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drawings/drawing2.xml" ContentType="application/vnd.openxmlformats-officedocument.drawingml.chartshapes+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drawings/drawing4.xml" ContentType="application/vnd.openxmlformats-officedocument.drawingml.chartshapes+xml"/>
  <Override PartName="/word/charts/chart7.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C86859" w:rsidP="00A25BCA">
      <w:pPr>
        <w:pStyle w:val="af6"/>
      </w:pPr>
      <w:r>
        <w:rPr>
          <w:rFonts w:hint="eastAsia"/>
        </w:rPr>
        <w:t>調查</w:t>
      </w:r>
      <w:r w:rsidR="00D75644" w:rsidRPr="004D141F">
        <w:rPr>
          <w:rFonts w:hint="eastAsia"/>
        </w:rPr>
        <w:t>報告</w:t>
      </w:r>
    </w:p>
    <w:p w:rsidR="00E25849" w:rsidRPr="00533A37" w:rsidRDefault="00E25849" w:rsidP="00CC3A34">
      <w:pPr>
        <w:pStyle w:val="1"/>
        <w:kinsoku w:val="0"/>
        <w:rPr>
          <w:rFonts w:ascii="Times New Roman" w:hAnsi="Times New Roman"/>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507767271"/>
      <w:bookmarkStart w:id="25" w:name="_Toc512420714"/>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533A37" w:rsidRPr="00533A37">
        <w:rPr>
          <w:rFonts w:ascii="Times New Roman" w:hAnsi="Times New Roman"/>
          <w:spacing w:val="-4"/>
          <w:szCs w:val="32"/>
        </w:rPr>
        <w:t>公益彩券盈餘自</w:t>
      </w:r>
      <w:r w:rsidR="00533A37" w:rsidRPr="00533A37">
        <w:rPr>
          <w:rFonts w:ascii="Times New Roman" w:hAnsi="Times New Roman"/>
          <w:spacing w:val="-4"/>
          <w:szCs w:val="32"/>
        </w:rPr>
        <w:t>88</w:t>
      </w:r>
      <w:r w:rsidR="00533A37" w:rsidRPr="00533A37">
        <w:rPr>
          <w:rFonts w:ascii="Times New Roman" w:hAnsi="Times New Roman"/>
          <w:spacing w:val="-4"/>
          <w:szCs w:val="32"/>
        </w:rPr>
        <w:t>年</w:t>
      </w:r>
      <w:r w:rsidR="00533A37" w:rsidRPr="00533A37">
        <w:rPr>
          <w:rFonts w:ascii="Times New Roman" w:hAnsi="Times New Roman"/>
          <w:spacing w:val="-4"/>
          <w:szCs w:val="32"/>
        </w:rPr>
        <w:t>12</w:t>
      </w:r>
      <w:r w:rsidR="00533A37" w:rsidRPr="00533A37">
        <w:rPr>
          <w:rFonts w:ascii="Times New Roman" w:hAnsi="Times New Roman"/>
          <w:spacing w:val="-4"/>
          <w:szCs w:val="32"/>
        </w:rPr>
        <w:t>月發行以來至</w:t>
      </w:r>
      <w:r w:rsidR="00533A37" w:rsidRPr="00533A37">
        <w:rPr>
          <w:rFonts w:ascii="Times New Roman" w:hAnsi="Times New Roman"/>
          <w:spacing w:val="-4"/>
          <w:szCs w:val="32"/>
        </w:rPr>
        <w:t>104</w:t>
      </w:r>
      <w:r w:rsidR="00533A37" w:rsidRPr="00533A37">
        <w:rPr>
          <w:rFonts w:ascii="Times New Roman" w:hAnsi="Times New Roman"/>
          <w:spacing w:val="-4"/>
          <w:szCs w:val="32"/>
        </w:rPr>
        <w:t>年供地方政府辦理社會福利之用總計已達</w:t>
      </w:r>
      <w:r w:rsidR="00533A37" w:rsidRPr="00533A37">
        <w:rPr>
          <w:rFonts w:ascii="Times New Roman" w:hAnsi="Times New Roman"/>
          <w:spacing w:val="-4"/>
          <w:szCs w:val="32"/>
        </w:rPr>
        <w:t>1,801</w:t>
      </w:r>
      <w:r w:rsidR="00533A37" w:rsidRPr="00533A37">
        <w:rPr>
          <w:rFonts w:ascii="Times New Roman" w:hAnsi="Times New Roman"/>
          <w:spacing w:val="-4"/>
          <w:szCs w:val="32"/>
        </w:rPr>
        <w:t>億餘元，惟各地方政府是否依法專款專用？實際運用效益及中央主管機關監督機制各為何？又截至</w:t>
      </w:r>
      <w:r w:rsidR="00533A37" w:rsidRPr="00533A37">
        <w:rPr>
          <w:rFonts w:ascii="Times New Roman" w:hAnsi="Times New Roman"/>
          <w:spacing w:val="-4"/>
          <w:szCs w:val="32"/>
        </w:rPr>
        <w:t>104</w:t>
      </w:r>
      <w:r w:rsidR="00533A37" w:rsidRPr="00533A37">
        <w:rPr>
          <w:rFonts w:ascii="Times New Roman" w:hAnsi="Times New Roman"/>
          <w:spacing w:val="-4"/>
          <w:szCs w:val="32"/>
        </w:rPr>
        <w:t>年底，各地方政府公益彩券盈餘分配款待運用數累積總計已高達</w:t>
      </w:r>
      <w:r w:rsidR="00533A37" w:rsidRPr="00533A37">
        <w:rPr>
          <w:rFonts w:ascii="Times New Roman" w:hAnsi="Times New Roman"/>
          <w:spacing w:val="-4"/>
          <w:szCs w:val="32"/>
        </w:rPr>
        <w:t>150</w:t>
      </w:r>
      <w:r w:rsidR="00533A37" w:rsidRPr="00533A37">
        <w:rPr>
          <w:rFonts w:ascii="Times New Roman" w:hAnsi="Times New Roman"/>
          <w:spacing w:val="-4"/>
          <w:szCs w:val="32"/>
        </w:rPr>
        <w:t>億餘元，其支用範圍有無調整之必要？本案攸關弱勢族群之權益甚鉅，實有從制度面、法令面及執行面通盤調查瞭解之必要案</w:t>
      </w:r>
      <w:r w:rsidR="00CC3A34" w:rsidRPr="00533A37">
        <w:rPr>
          <w:rFonts w:ascii="Times New Roman" w:hAnsi="Times New Roman"/>
          <w:szCs w:val="32"/>
        </w:rPr>
        <w:t>。</w:t>
      </w:r>
      <w:bookmarkEnd w:id="24"/>
      <w:bookmarkEnd w:id="25"/>
    </w:p>
    <w:p w:rsidR="0040606A" w:rsidRDefault="0040606A" w:rsidP="0040606A">
      <w:pPr>
        <w:pStyle w:val="1"/>
      </w:pPr>
      <w:bookmarkStart w:id="26" w:name="_Toc507767524"/>
      <w:bookmarkStart w:id="27" w:name="_Toc511115236"/>
      <w:bookmarkStart w:id="28" w:name="_Toc512420826"/>
      <w:bookmarkStart w:id="29" w:name="_Toc524902730"/>
      <w:r>
        <w:rPr>
          <w:rFonts w:hint="eastAsia"/>
        </w:rPr>
        <w:t>調查意見：</w:t>
      </w:r>
      <w:bookmarkEnd w:id="26"/>
      <w:bookmarkEnd w:id="27"/>
      <w:bookmarkEnd w:id="28"/>
    </w:p>
    <w:p w:rsidR="0040606A" w:rsidRDefault="0040606A" w:rsidP="00760551">
      <w:pPr>
        <w:pStyle w:val="11"/>
        <w:kinsoku w:val="0"/>
        <w:ind w:left="680" w:firstLine="672"/>
        <w:rPr>
          <w:rFonts w:ascii="Times New Roman"/>
          <w:spacing w:val="-2"/>
        </w:rPr>
      </w:pPr>
      <w:r>
        <w:rPr>
          <w:rFonts w:ascii="Times New Roman" w:hint="eastAsia"/>
          <w:spacing w:val="-2"/>
        </w:rPr>
        <w:t>本案係緣於</w:t>
      </w:r>
      <w:r>
        <w:rPr>
          <w:rFonts w:ascii="新細明體" w:eastAsia="新細明體" w:hAnsi="新細明體" w:hint="eastAsia"/>
          <w:spacing w:val="-2"/>
        </w:rPr>
        <w:t>「</w:t>
      </w:r>
      <w:r>
        <w:rPr>
          <w:rFonts w:hint="eastAsia"/>
          <w:spacing w:val="-2"/>
        </w:rPr>
        <w:t>據悉，地方政府為解決財政危機，左支右絀，甚至違法調度與弱勢照顧息息相關之社會福利基金。然該基金係專為人民維持其一定生活質量，滿足其物質和精神基本需要之專項資金，弱勢者對此基金依賴甚鉅。各縣市是否依法專款專用？抑或巧立名目，任意</w:t>
      </w:r>
      <w:r>
        <w:rPr>
          <w:rFonts w:ascii="新細明體" w:eastAsia="新細明體" w:hAnsi="新細明體" w:hint="eastAsia"/>
          <w:spacing w:val="-2"/>
        </w:rPr>
        <w:t>『</w:t>
      </w:r>
      <w:r>
        <w:rPr>
          <w:rFonts w:hint="eastAsia"/>
          <w:spacing w:val="-2"/>
        </w:rPr>
        <w:t>淘空</w:t>
      </w:r>
      <w:r>
        <w:rPr>
          <w:rFonts w:ascii="新細明體" w:eastAsia="新細明體" w:hAnsi="新細明體" w:hint="eastAsia"/>
          <w:spacing w:val="-2"/>
        </w:rPr>
        <w:t>』</w:t>
      </w:r>
      <w:r>
        <w:rPr>
          <w:rFonts w:hint="eastAsia"/>
          <w:spacing w:val="-2"/>
        </w:rPr>
        <w:t>？主管機關有無落實稽核機制？實有深入瞭解之必要案。</w:t>
      </w:r>
      <w:r>
        <w:rPr>
          <w:rFonts w:ascii="新細明體" w:eastAsia="新細明體" w:hAnsi="新細明體" w:hint="eastAsia"/>
          <w:spacing w:val="-2"/>
        </w:rPr>
        <w:t>」</w:t>
      </w:r>
      <w:r>
        <w:rPr>
          <w:rFonts w:hint="eastAsia"/>
          <w:spacing w:val="-2"/>
        </w:rPr>
        <w:t>該案</w:t>
      </w:r>
      <w:r>
        <w:rPr>
          <w:rFonts w:ascii="Times New Roman" w:hint="eastAsia"/>
          <w:spacing w:val="-2"/>
        </w:rPr>
        <w:t>經函請財政部、勞動部、內政部、衛生福利部</w:t>
      </w:r>
      <w:r>
        <w:rPr>
          <w:rFonts w:ascii="Times New Roman"/>
          <w:spacing w:val="-2"/>
        </w:rPr>
        <w:t>(</w:t>
      </w:r>
      <w:r>
        <w:rPr>
          <w:rFonts w:ascii="Times New Roman" w:hint="eastAsia"/>
          <w:spacing w:val="-2"/>
        </w:rPr>
        <w:t>下稱衛福部</w:t>
      </w:r>
      <w:r>
        <w:rPr>
          <w:rFonts w:ascii="Times New Roman"/>
          <w:spacing w:val="-2"/>
        </w:rPr>
        <w:t>)</w:t>
      </w:r>
      <w:r>
        <w:rPr>
          <w:rFonts w:ascii="Times New Roman" w:hint="eastAsia"/>
          <w:spacing w:val="-2"/>
        </w:rPr>
        <w:t>、行政院主計總處及審計部就公益彩券盈餘分配基金、身心障礙者就業基金、建築物無障礙設備與設施改善基金之收支保管及運用相關問題，提供書面說明及相關卷證資料，復於</w:t>
      </w:r>
      <w:r w:rsidR="00932BA2">
        <w:rPr>
          <w:rFonts w:ascii="Times New Roman" w:hint="eastAsia"/>
          <w:spacing w:val="-2"/>
        </w:rPr>
        <w:t>民國</w:t>
      </w:r>
      <w:r w:rsidR="00932BA2">
        <w:rPr>
          <w:rFonts w:ascii="Times New Roman" w:hint="eastAsia"/>
          <w:spacing w:val="-2"/>
        </w:rPr>
        <w:t>(</w:t>
      </w:r>
      <w:r w:rsidR="00932BA2">
        <w:rPr>
          <w:rFonts w:ascii="Times New Roman" w:hint="eastAsia"/>
          <w:spacing w:val="-2"/>
        </w:rPr>
        <w:t>下同</w:t>
      </w:r>
      <w:r w:rsidR="00932BA2">
        <w:rPr>
          <w:rFonts w:ascii="Times New Roman" w:hint="eastAsia"/>
          <w:spacing w:val="-2"/>
        </w:rPr>
        <w:t>)</w:t>
      </w:r>
      <w:r w:rsidR="00760551" w:rsidRPr="00F54380">
        <w:rPr>
          <w:rFonts w:ascii="Times New Roman"/>
          <w:spacing w:val="-2"/>
          <w:szCs w:val="32"/>
        </w:rPr>
        <w:t>104</w:t>
      </w:r>
      <w:r w:rsidR="00760551" w:rsidRPr="00F54380">
        <w:rPr>
          <w:rFonts w:ascii="Times New Roman"/>
          <w:spacing w:val="-2"/>
          <w:szCs w:val="32"/>
        </w:rPr>
        <w:t>年</w:t>
      </w:r>
      <w:r w:rsidR="00760551" w:rsidRPr="00F54380">
        <w:rPr>
          <w:rFonts w:ascii="Times New Roman"/>
          <w:spacing w:val="-2"/>
          <w:szCs w:val="32"/>
        </w:rPr>
        <w:t>10</w:t>
      </w:r>
      <w:r w:rsidR="00760551" w:rsidRPr="00F54380">
        <w:rPr>
          <w:rFonts w:ascii="Times New Roman"/>
          <w:spacing w:val="-2"/>
          <w:szCs w:val="32"/>
        </w:rPr>
        <w:t>月</w:t>
      </w:r>
      <w:r w:rsidR="00760551" w:rsidRPr="00F54380">
        <w:rPr>
          <w:rFonts w:ascii="Times New Roman"/>
          <w:spacing w:val="-2"/>
          <w:szCs w:val="32"/>
        </w:rPr>
        <w:t>5</w:t>
      </w:r>
      <w:r w:rsidR="00760551" w:rsidRPr="00F54380">
        <w:rPr>
          <w:rFonts w:ascii="Times New Roman"/>
          <w:spacing w:val="-2"/>
          <w:szCs w:val="32"/>
        </w:rPr>
        <w:t>日、</w:t>
      </w:r>
      <w:r w:rsidR="00760551" w:rsidRPr="00F54380">
        <w:rPr>
          <w:rFonts w:ascii="Times New Roman" w:hint="eastAsia"/>
          <w:spacing w:val="-2"/>
          <w:szCs w:val="32"/>
        </w:rPr>
        <w:t>10</w:t>
      </w:r>
      <w:r w:rsidR="00760551" w:rsidRPr="00F54380">
        <w:rPr>
          <w:rFonts w:ascii="Times New Roman" w:hint="eastAsia"/>
          <w:spacing w:val="-2"/>
          <w:szCs w:val="32"/>
        </w:rPr>
        <w:t>月</w:t>
      </w:r>
      <w:r w:rsidR="00760551" w:rsidRPr="00F54380">
        <w:rPr>
          <w:rFonts w:ascii="Times New Roman"/>
          <w:spacing w:val="-2"/>
          <w:szCs w:val="32"/>
        </w:rPr>
        <w:t>14</w:t>
      </w:r>
      <w:r w:rsidR="00760551" w:rsidRPr="00F54380">
        <w:rPr>
          <w:rFonts w:ascii="Times New Roman"/>
          <w:spacing w:val="-2"/>
          <w:szCs w:val="32"/>
        </w:rPr>
        <w:t>日</w:t>
      </w:r>
      <w:r w:rsidR="00760551" w:rsidRPr="00F54380">
        <w:rPr>
          <w:rFonts w:ascii="Times New Roman" w:hint="eastAsia"/>
          <w:spacing w:val="-2"/>
          <w:szCs w:val="32"/>
        </w:rPr>
        <w:t>、</w:t>
      </w:r>
      <w:r w:rsidR="00760551" w:rsidRPr="00F54380">
        <w:rPr>
          <w:rFonts w:ascii="Times New Roman" w:hint="eastAsia"/>
          <w:spacing w:val="-2"/>
          <w:szCs w:val="32"/>
        </w:rPr>
        <w:t>10</w:t>
      </w:r>
      <w:r w:rsidR="00760551" w:rsidRPr="00F54380">
        <w:rPr>
          <w:rFonts w:ascii="Times New Roman" w:hint="eastAsia"/>
          <w:spacing w:val="-2"/>
          <w:szCs w:val="32"/>
        </w:rPr>
        <w:t>月</w:t>
      </w:r>
      <w:r w:rsidR="00760551" w:rsidRPr="00F54380">
        <w:rPr>
          <w:rFonts w:ascii="Times New Roman"/>
          <w:spacing w:val="-2"/>
          <w:szCs w:val="32"/>
        </w:rPr>
        <w:t>20</w:t>
      </w:r>
      <w:r w:rsidR="00760551" w:rsidRPr="00F54380">
        <w:rPr>
          <w:rFonts w:ascii="Times New Roman"/>
          <w:spacing w:val="-2"/>
          <w:szCs w:val="32"/>
        </w:rPr>
        <w:t>日</w:t>
      </w:r>
      <w:r w:rsidR="00760551" w:rsidRPr="00F54380">
        <w:rPr>
          <w:rFonts w:ascii="Times New Roman" w:hint="eastAsia"/>
          <w:spacing w:val="-2"/>
          <w:szCs w:val="32"/>
        </w:rPr>
        <w:t>、</w:t>
      </w:r>
      <w:r w:rsidR="00760551" w:rsidRPr="00F54380">
        <w:rPr>
          <w:rFonts w:ascii="Times New Roman" w:hint="eastAsia"/>
          <w:spacing w:val="-2"/>
          <w:szCs w:val="32"/>
        </w:rPr>
        <w:t>10</w:t>
      </w:r>
      <w:r w:rsidR="00760551" w:rsidRPr="00F54380">
        <w:rPr>
          <w:rFonts w:ascii="Times New Roman" w:hint="eastAsia"/>
          <w:spacing w:val="-2"/>
          <w:szCs w:val="32"/>
        </w:rPr>
        <w:t>月</w:t>
      </w:r>
      <w:r w:rsidR="00760551" w:rsidRPr="00F54380">
        <w:rPr>
          <w:rFonts w:ascii="Times New Roman" w:hint="eastAsia"/>
          <w:spacing w:val="-2"/>
          <w:szCs w:val="32"/>
        </w:rPr>
        <w:t>26</w:t>
      </w:r>
      <w:r w:rsidR="00760551" w:rsidRPr="00F54380">
        <w:rPr>
          <w:rFonts w:ascii="Times New Roman" w:hint="eastAsia"/>
          <w:spacing w:val="-2"/>
          <w:szCs w:val="32"/>
        </w:rPr>
        <w:t>日、</w:t>
      </w:r>
      <w:r w:rsidR="00760551" w:rsidRPr="00F54380">
        <w:rPr>
          <w:rFonts w:ascii="Times New Roman"/>
          <w:spacing w:val="-2"/>
          <w:szCs w:val="32"/>
        </w:rPr>
        <w:t>11</w:t>
      </w:r>
      <w:r w:rsidR="00760551" w:rsidRPr="00F54380">
        <w:rPr>
          <w:rFonts w:ascii="Times New Roman"/>
          <w:spacing w:val="-2"/>
          <w:szCs w:val="32"/>
        </w:rPr>
        <w:t>月</w:t>
      </w:r>
      <w:r w:rsidR="00760551" w:rsidRPr="00F54380">
        <w:rPr>
          <w:rFonts w:ascii="Times New Roman"/>
          <w:spacing w:val="-2"/>
          <w:szCs w:val="32"/>
        </w:rPr>
        <w:t>26</w:t>
      </w:r>
      <w:r w:rsidR="00760551" w:rsidRPr="00F54380">
        <w:rPr>
          <w:rFonts w:ascii="Times New Roman"/>
          <w:spacing w:val="-2"/>
          <w:szCs w:val="32"/>
        </w:rPr>
        <w:t>日</w:t>
      </w:r>
      <w:r w:rsidR="00760551">
        <w:rPr>
          <w:rFonts w:ascii="Times New Roman" w:hint="eastAsia"/>
          <w:spacing w:val="-2"/>
          <w:szCs w:val="32"/>
        </w:rPr>
        <w:t>及同月</w:t>
      </w:r>
      <w:r w:rsidR="00760551" w:rsidRPr="00F54380">
        <w:rPr>
          <w:rFonts w:ascii="Times New Roman"/>
          <w:spacing w:val="-2"/>
          <w:szCs w:val="32"/>
        </w:rPr>
        <w:t>27</w:t>
      </w:r>
      <w:r w:rsidR="00760551" w:rsidRPr="00F54380">
        <w:rPr>
          <w:rFonts w:ascii="Times New Roman"/>
          <w:spacing w:val="-2"/>
          <w:szCs w:val="32"/>
        </w:rPr>
        <w:t>日</w:t>
      </w:r>
      <w:r w:rsidR="00760551">
        <w:rPr>
          <w:rFonts w:ascii="Times New Roman" w:hint="eastAsia"/>
          <w:spacing w:val="-2"/>
          <w:szCs w:val="32"/>
        </w:rPr>
        <w:t>、</w:t>
      </w:r>
      <w:r w:rsidR="00760551" w:rsidRPr="00F54380">
        <w:rPr>
          <w:rFonts w:ascii="Times New Roman"/>
          <w:spacing w:val="-2"/>
          <w:szCs w:val="32"/>
        </w:rPr>
        <w:t>12</w:t>
      </w:r>
      <w:r w:rsidR="00760551" w:rsidRPr="00F54380">
        <w:rPr>
          <w:rFonts w:ascii="Times New Roman"/>
          <w:spacing w:val="-2"/>
          <w:szCs w:val="32"/>
        </w:rPr>
        <w:t>月</w:t>
      </w:r>
      <w:r w:rsidR="00760551" w:rsidRPr="00F54380">
        <w:rPr>
          <w:rFonts w:ascii="Times New Roman"/>
          <w:spacing w:val="-2"/>
          <w:szCs w:val="32"/>
        </w:rPr>
        <w:t>9</w:t>
      </w:r>
      <w:r w:rsidR="00760551" w:rsidRPr="00F54380">
        <w:rPr>
          <w:rFonts w:ascii="Times New Roman"/>
          <w:spacing w:val="-2"/>
          <w:szCs w:val="32"/>
        </w:rPr>
        <w:t>日</w:t>
      </w:r>
      <w:r w:rsidR="00760551">
        <w:rPr>
          <w:rFonts w:ascii="Times New Roman" w:hint="eastAsia"/>
          <w:spacing w:val="-2"/>
          <w:szCs w:val="32"/>
        </w:rPr>
        <w:t>及同月</w:t>
      </w:r>
      <w:r w:rsidR="00760551" w:rsidRPr="00F54380">
        <w:rPr>
          <w:rFonts w:ascii="Times New Roman"/>
          <w:spacing w:val="-2"/>
          <w:szCs w:val="32"/>
        </w:rPr>
        <w:t>10</w:t>
      </w:r>
      <w:r w:rsidR="00760551" w:rsidRPr="00F54380">
        <w:rPr>
          <w:rFonts w:ascii="Times New Roman"/>
          <w:spacing w:val="-2"/>
          <w:szCs w:val="32"/>
        </w:rPr>
        <w:t>日、</w:t>
      </w:r>
      <w:r w:rsidR="00760551" w:rsidRPr="00F54380">
        <w:rPr>
          <w:rFonts w:ascii="Times New Roman"/>
          <w:spacing w:val="-2"/>
          <w:szCs w:val="32"/>
        </w:rPr>
        <w:t>21</w:t>
      </w:r>
      <w:r w:rsidR="00760551" w:rsidRPr="00F54380">
        <w:rPr>
          <w:rFonts w:ascii="Times New Roman"/>
          <w:spacing w:val="-2"/>
          <w:szCs w:val="32"/>
        </w:rPr>
        <w:t>日</w:t>
      </w:r>
      <w:r>
        <w:rPr>
          <w:rFonts w:ascii="Times New Roman" w:hint="eastAsia"/>
          <w:spacing w:val="-2"/>
          <w:szCs w:val="32"/>
        </w:rPr>
        <w:t>分別至新竹縣政府、新竹市政府、苗栗縣政府、臺東縣政府及高雄市政府辦理簡報，並查閱前開</w:t>
      </w:r>
      <w:r>
        <w:rPr>
          <w:rFonts w:ascii="Times New Roman"/>
          <w:spacing w:val="-2"/>
          <w:szCs w:val="32"/>
        </w:rPr>
        <w:t>3</w:t>
      </w:r>
      <w:r>
        <w:rPr>
          <w:rFonts w:ascii="Times New Roman" w:hint="eastAsia"/>
          <w:spacing w:val="-2"/>
          <w:szCs w:val="32"/>
        </w:rPr>
        <w:t>基金</w:t>
      </w:r>
      <w:r>
        <w:rPr>
          <w:rFonts w:ascii="Times New Roman"/>
          <w:spacing w:val="-2"/>
          <w:szCs w:val="32"/>
        </w:rPr>
        <w:t>101</w:t>
      </w:r>
      <w:r>
        <w:rPr>
          <w:rFonts w:ascii="Times New Roman" w:hint="eastAsia"/>
          <w:spacing w:val="-2"/>
          <w:szCs w:val="32"/>
        </w:rPr>
        <w:t>年至</w:t>
      </w:r>
      <w:r>
        <w:rPr>
          <w:rFonts w:ascii="Times New Roman"/>
          <w:spacing w:val="-2"/>
          <w:szCs w:val="32"/>
        </w:rPr>
        <w:t>104</w:t>
      </w:r>
      <w:r>
        <w:rPr>
          <w:rFonts w:ascii="Times New Roman" w:hint="eastAsia"/>
          <w:spacing w:val="-2"/>
          <w:szCs w:val="32"/>
        </w:rPr>
        <w:t>年所有支出之會計報告、帳簿、傳票及支出憑證等資料</w:t>
      </w:r>
      <w:r>
        <w:rPr>
          <w:rFonts w:ascii="Times New Roman" w:hint="eastAsia"/>
          <w:spacing w:val="-2"/>
        </w:rPr>
        <w:t>。</w:t>
      </w:r>
    </w:p>
    <w:p w:rsidR="0040606A" w:rsidRDefault="0040606A" w:rsidP="00932BA2">
      <w:pPr>
        <w:pStyle w:val="11"/>
        <w:topLinePunct/>
        <w:ind w:left="680" w:firstLine="664"/>
        <w:rPr>
          <w:rFonts w:ascii="Times New Roman"/>
          <w:spacing w:val="-4"/>
        </w:rPr>
      </w:pPr>
      <w:r w:rsidRPr="00B360FF">
        <w:rPr>
          <w:rFonts w:ascii="Times New Roman" w:hint="eastAsia"/>
          <w:spacing w:val="-4"/>
          <w:szCs w:val="32"/>
        </w:rPr>
        <w:t>本案再根據前揭實地</w:t>
      </w:r>
      <w:r w:rsidRPr="00B360FF">
        <w:rPr>
          <w:rFonts w:ascii="Times New Roman" w:hint="eastAsia"/>
          <w:spacing w:val="-4"/>
        </w:rPr>
        <w:t>查閱帳冊所發現之問題，</w:t>
      </w:r>
      <w:r w:rsidRPr="00B360FF">
        <w:rPr>
          <w:rFonts w:ascii="Times New Roman" w:hint="eastAsia"/>
          <w:spacing w:val="-4"/>
          <w:szCs w:val="32"/>
        </w:rPr>
        <w:t>函請審計部轉請其所屬新竹市審計室、苗栗縣審計室、臺東縣審</w:t>
      </w:r>
      <w:r w:rsidRPr="00B360FF">
        <w:rPr>
          <w:rFonts w:ascii="Times New Roman" w:hint="eastAsia"/>
          <w:spacing w:val="-4"/>
          <w:szCs w:val="32"/>
        </w:rPr>
        <w:lastRenderedPageBreak/>
        <w:t>計室及高雄市審計處派員協助查核。嗣為全面檢視地方政府是否亦發生前開類似問題，爰再函請審計部轉所屬各地方審計處</w:t>
      </w:r>
      <w:r w:rsidRPr="00B360FF">
        <w:rPr>
          <w:rFonts w:ascii="Times New Roman"/>
          <w:spacing w:val="-4"/>
          <w:szCs w:val="32"/>
        </w:rPr>
        <w:t>(</w:t>
      </w:r>
      <w:r w:rsidRPr="00B360FF">
        <w:rPr>
          <w:rFonts w:ascii="Times New Roman" w:hint="eastAsia"/>
          <w:spacing w:val="-4"/>
          <w:szCs w:val="32"/>
        </w:rPr>
        <w:t>室</w:t>
      </w:r>
      <w:r w:rsidRPr="00B360FF">
        <w:rPr>
          <w:rFonts w:ascii="Times New Roman"/>
          <w:spacing w:val="-4"/>
          <w:szCs w:val="32"/>
        </w:rPr>
        <w:t>)</w:t>
      </w:r>
      <w:r w:rsidRPr="00B360FF">
        <w:rPr>
          <w:rFonts w:ascii="Times New Roman" w:hint="eastAsia"/>
          <w:spacing w:val="-4"/>
          <w:szCs w:val="32"/>
        </w:rPr>
        <w:t>協助查核。</w:t>
      </w:r>
      <w:r w:rsidRPr="00B360FF">
        <w:rPr>
          <w:rFonts w:ascii="Times New Roman" w:hint="eastAsia"/>
          <w:spacing w:val="-4"/>
        </w:rPr>
        <w:t>惟經檢視調卷、實地查閱帳冊及函請審計部全面查核等資料後發現，卷證資料龐雜，問題態樣各異，其中公益彩券盈餘自</w:t>
      </w:r>
      <w:r w:rsidRPr="00B360FF">
        <w:rPr>
          <w:rFonts w:ascii="Times New Roman" w:hint="eastAsia"/>
          <w:spacing w:val="-4"/>
        </w:rPr>
        <w:t>88</w:t>
      </w:r>
      <w:r w:rsidRPr="00B360FF">
        <w:rPr>
          <w:rFonts w:ascii="Times New Roman" w:hint="eastAsia"/>
          <w:spacing w:val="-4"/>
        </w:rPr>
        <w:t>年底發行以來至</w:t>
      </w:r>
      <w:r w:rsidR="00D1276E" w:rsidRPr="00B360FF">
        <w:rPr>
          <w:rFonts w:ascii="Times New Roman" w:hint="eastAsia"/>
          <w:spacing w:val="-4"/>
        </w:rPr>
        <w:t>105</w:t>
      </w:r>
      <w:r w:rsidRPr="00B360FF">
        <w:rPr>
          <w:rFonts w:ascii="Times New Roman" w:hint="eastAsia"/>
          <w:spacing w:val="-4"/>
        </w:rPr>
        <w:t>年供地方政府辦理社會福利之用總計已達</w:t>
      </w:r>
      <w:r w:rsidR="00932BA2" w:rsidRPr="00B360FF">
        <w:rPr>
          <w:rFonts w:ascii="Times New Roman" w:hint="eastAsia"/>
          <w:spacing w:val="-4"/>
        </w:rPr>
        <w:t>新臺幣</w:t>
      </w:r>
      <w:r w:rsidR="00932BA2" w:rsidRPr="00B360FF">
        <w:rPr>
          <w:rFonts w:ascii="Times New Roman" w:hint="eastAsia"/>
          <w:spacing w:val="-4"/>
        </w:rPr>
        <w:t>(</w:t>
      </w:r>
      <w:r w:rsidR="00932BA2" w:rsidRPr="00B360FF">
        <w:rPr>
          <w:rFonts w:ascii="Times New Roman" w:hint="eastAsia"/>
          <w:spacing w:val="-4"/>
        </w:rPr>
        <w:t>下同</w:t>
      </w:r>
      <w:r w:rsidR="00932BA2" w:rsidRPr="00B360FF">
        <w:rPr>
          <w:rFonts w:ascii="Times New Roman" w:hint="eastAsia"/>
          <w:spacing w:val="-4"/>
        </w:rPr>
        <w:t>)</w:t>
      </w:r>
      <w:r w:rsidRPr="00B360FF">
        <w:rPr>
          <w:rFonts w:ascii="Times New Roman"/>
          <w:spacing w:val="-4"/>
        </w:rPr>
        <w:t>1,</w:t>
      </w:r>
      <w:r w:rsidR="00D1276E" w:rsidRPr="00B360FF">
        <w:rPr>
          <w:rFonts w:ascii="Times New Roman" w:hint="eastAsia"/>
          <w:spacing w:val="-4"/>
        </w:rPr>
        <w:t>932</w:t>
      </w:r>
      <w:r w:rsidRPr="00B360FF">
        <w:rPr>
          <w:rFonts w:ascii="Times New Roman" w:hint="eastAsia"/>
          <w:spacing w:val="-4"/>
        </w:rPr>
        <w:t>億餘元，惟是否依法專款專用與實際運用效益，以及中央主管機關監督機制等情，皆攸關弱勢族群之權益甚鉅；加以截至</w:t>
      </w:r>
      <w:r w:rsidR="00D1276E" w:rsidRPr="00B360FF">
        <w:rPr>
          <w:rFonts w:ascii="Times New Roman" w:hint="eastAsia"/>
          <w:spacing w:val="-4"/>
        </w:rPr>
        <w:t>105</w:t>
      </w:r>
      <w:r w:rsidRPr="00B360FF">
        <w:rPr>
          <w:rFonts w:ascii="Times New Roman" w:hint="eastAsia"/>
          <w:spacing w:val="-4"/>
        </w:rPr>
        <w:t>年底，各地方政府公益彩券盈餘分配款待運用數累積總計已高達</w:t>
      </w:r>
      <w:r w:rsidRPr="00B360FF">
        <w:rPr>
          <w:rFonts w:ascii="Times New Roman"/>
          <w:spacing w:val="-4"/>
        </w:rPr>
        <w:t>15</w:t>
      </w:r>
      <w:r w:rsidR="00D1276E" w:rsidRPr="00B360FF">
        <w:rPr>
          <w:rFonts w:ascii="Times New Roman" w:hint="eastAsia"/>
          <w:spacing w:val="-4"/>
        </w:rPr>
        <w:t>9</w:t>
      </w:r>
      <w:r w:rsidRPr="00B360FF">
        <w:rPr>
          <w:rFonts w:ascii="Times New Roman" w:hint="eastAsia"/>
          <w:spacing w:val="-4"/>
        </w:rPr>
        <w:t>億餘元，其支用範圍有無調整之必要，以有效提升使用效益，嘉惠更多族群，實應</w:t>
      </w:r>
      <w:r>
        <w:rPr>
          <w:rFonts w:ascii="Times New Roman" w:hint="eastAsia"/>
          <w:spacing w:val="-4"/>
        </w:rPr>
        <w:t>從制度面、法令面及執行面，通盤詳加調查瞭解，為免此部分調查曠日費時，爰就各地方政府公益彩券盈餘分配基金部分，另立新案進行調查</w:t>
      </w:r>
      <w:r w:rsidR="00B360FF">
        <w:rPr>
          <w:rStyle w:val="aff1"/>
          <w:rFonts w:ascii="Times New Roman"/>
          <w:spacing w:val="-4"/>
        </w:rPr>
        <w:footnoteReference w:id="1"/>
      </w:r>
      <w:r>
        <w:rPr>
          <w:rFonts w:ascii="Times New Roman" w:hint="eastAsia"/>
          <w:spacing w:val="-4"/>
        </w:rPr>
        <w:t>。</w:t>
      </w:r>
    </w:p>
    <w:p w:rsidR="0040606A" w:rsidRPr="00DD5D0E" w:rsidRDefault="0040606A" w:rsidP="0040606A">
      <w:pPr>
        <w:pStyle w:val="11"/>
        <w:topLinePunct/>
        <w:ind w:left="680" w:firstLine="680"/>
        <w:rPr>
          <w:rFonts w:ascii="Times New Roman"/>
        </w:rPr>
      </w:pPr>
      <w:r>
        <w:rPr>
          <w:rFonts w:ascii="Times New Roman" w:hint="eastAsia"/>
        </w:rPr>
        <w:t>本院</w:t>
      </w:r>
      <w:r w:rsidR="00B360FF">
        <w:rPr>
          <w:rFonts w:ascii="Times New Roman" w:hint="eastAsia"/>
        </w:rPr>
        <w:t>又於</w:t>
      </w:r>
      <w:r>
        <w:rPr>
          <w:rFonts w:ascii="Times New Roman"/>
        </w:rPr>
        <w:t>105</w:t>
      </w:r>
      <w:r>
        <w:rPr>
          <w:rFonts w:ascii="Times New Roman" w:hint="eastAsia"/>
        </w:rPr>
        <w:t>年</w:t>
      </w:r>
      <w:r>
        <w:rPr>
          <w:rFonts w:ascii="Times New Roman"/>
        </w:rPr>
        <w:t>10</w:t>
      </w:r>
      <w:r>
        <w:rPr>
          <w:rFonts w:ascii="Times New Roman" w:hint="eastAsia"/>
        </w:rPr>
        <w:t>月</w:t>
      </w:r>
      <w:r>
        <w:rPr>
          <w:rFonts w:ascii="Times New Roman"/>
        </w:rPr>
        <w:t>18</w:t>
      </w:r>
      <w:r>
        <w:rPr>
          <w:rFonts w:ascii="Times New Roman" w:hint="eastAsia"/>
        </w:rPr>
        <w:t>日及</w:t>
      </w:r>
      <w:r>
        <w:rPr>
          <w:rFonts w:ascii="Times New Roman"/>
          <w:szCs w:val="32"/>
        </w:rPr>
        <w:t>21</w:t>
      </w:r>
      <w:r>
        <w:rPr>
          <w:rFonts w:ascii="Times New Roman" w:hint="eastAsia"/>
          <w:szCs w:val="32"/>
        </w:rPr>
        <w:t>日赴宜蘭縣政府查閱相關帳冊，復於同年</w:t>
      </w:r>
      <w:r>
        <w:rPr>
          <w:rFonts w:ascii="Times New Roman"/>
          <w:szCs w:val="32"/>
        </w:rPr>
        <w:t>11</w:t>
      </w:r>
      <w:r>
        <w:rPr>
          <w:rFonts w:ascii="Times New Roman" w:hint="eastAsia"/>
          <w:szCs w:val="32"/>
        </w:rPr>
        <w:t>月</w:t>
      </w:r>
      <w:r>
        <w:rPr>
          <w:rFonts w:ascii="Times New Roman"/>
          <w:szCs w:val="32"/>
        </w:rPr>
        <w:t>15</w:t>
      </w:r>
      <w:r>
        <w:rPr>
          <w:rFonts w:ascii="Times New Roman" w:hint="eastAsia"/>
          <w:szCs w:val="32"/>
        </w:rPr>
        <w:t>日舉辦座談會，邀請立法院</w:t>
      </w:r>
      <w:r>
        <w:rPr>
          <w:rFonts w:ascii="Times New Roman" w:hint="eastAsia"/>
        </w:rPr>
        <w:t>鍾佳濱委員、台灣彩券股份有限公司</w:t>
      </w:r>
      <w:r>
        <w:rPr>
          <w:rFonts w:ascii="Times New Roman"/>
        </w:rPr>
        <w:t>(</w:t>
      </w:r>
      <w:r>
        <w:rPr>
          <w:rFonts w:ascii="Times New Roman" w:hint="eastAsia"/>
        </w:rPr>
        <w:t>下稱台彩公司</w:t>
      </w:r>
      <w:r w:rsidRPr="00D1276E">
        <w:rPr>
          <w:rFonts w:ascii="Times New Roman"/>
        </w:rPr>
        <w:t>)</w:t>
      </w:r>
      <w:r w:rsidRPr="00D1276E">
        <w:rPr>
          <w:rStyle w:val="aff1"/>
          <w:rFonts w:ascii="Times New Roman"/>
        </w:rPr>
        <w:footnoteReference w:id="2"/>
      </w:r>
      <w:r w:rsidRPr="00D1276E">
        <w:rPr>
          <w:rFonts w:ascii="Times New Roman" w:hint="eastAsia"/>
        </w:rPr>
        <w:t>、</w:t>
      </w:r>
      <w:r w:rsidRPr="00D1276E">
        <w:rPr>
          <w:rFonts w:ascii="Times New Roman" w:hint="eastAsia"/>
          <w:szCs w:val="32"/>
        </w:rPr>
        <w:t>原住民族委員會鍾興華副主任委員、王美蘋處長、屏東縣吳麗雪副縣長、新北市政府社會局張錦麗局長</w:t>
      </w:r>
      <w:r w:rsidRPr="00DD5D0E">
        <w:rPr>
          <w:rFonts w:ascii="Times New Roman" w:hint="eastAsia"/>
          <w:szCs w:val="32"/>
        </w:rPr>
        <w:t>、臺北市政府社會局黃清高副局長等人提供實務意見；並於</w:t>
      </w:r>
      <w:r w:rsidR="00136B87" w:rsidRPr="00DD5D0E">
        <w:rPr>
          <w:rFonts w:ascii="Times New Roman" w:hint="eastAsia"/>
          <w:szCs w:val="32"/>
        </w:rPr>
        <w:t>同年</w:t>
      </w:r>
      <w:r w:rsidRPr="00DD5D0E">
        <w:rPr>
          <w:rFonts w:ascii="Times New Roman"/>
          <w:szCs w:val="32"/>
        </w:rPr>
        <w:t>11</w:t>
      </w:r>
      <w:r w:rsidRPr="00DD5D0E">
        <w:rPr>
          <w:rFonts w:ascii="Times New Roman" w:hint="eastAsia"/>
          <w:szCs w:val="32"/>
        </w:rPr>
        <w:t>月</w:t>
      </w:r>
      <w:r w:rsidRPr="00DD5D0E">
        <w:rPr>
          <w:rFonts w:ascii="Times New Roman"/>
          <w:szCs w:val="32"/>
        </w:rPr>
        <w:t>15</w:t>
      </w:r>
      <w:r w:rsidRPr="00DD5D0E">
        <w:rPr>
          <w:rFonts w:ascii="Times New Roman" w:hint="eastAsia"/>
          <w:szCs w:val="32"/>
        </w:rPr>
        <w:t>日及</w:t>
      </w:r>
      <w:r w:rsidRPr="00DD5D0E">
        <w:rPr>
          <w:rFonts w:ascii="Times New Roman"/>
          <w:szCs w:val="32"/>
        </w:rPr>
        <w:t>12</w:t>
      </w:r>
      <w:r w:rsidRPr="00DD5D0E">
        <w:rPr>
          <w:rFonts w:ascii="Times New Roman" w:hint="eastAsia"/>
          <w:szCs w:val="32"/>
        </w:rPr>
        <w:t>月</w:t>
      </w:r>
      <w:r w:rsidRPr="00DD5D0E">
        <w:rPr>
          <w:rFonts w:ascii="Times New Roman"/>
          <w:szCs w:val="32"/>
        </w:rPr>
        <w:t>2</w:t>
      </w:r>
      <w:r w:rsidRPr="00DD5D0E">
        <w:rPr>
          <w:rFonts w:ascii="Times New Roman" w:hint="eastAsia"/>
          <w:szCs w:val="32"/>
        </w:rPr>
        <w:t>日舉辦諮詢會議，邀請國立</w:t>
      </w:r>
      <w:r w:rsidR="00136B87" w:rsidRPr="00DD5D0E">
        <w:rPr>
          <w:rFonts w:ascii="Times New Roman" w:hint="eastAsia"/>
          <w:szCs w:val="32"/>
        </w:rPr>
        <w:t>台灣</w:t>
      </w:r>
      <w:r w:rsidRPr="00DD5D0E">
        <w:rPr>
          <w:rFonts w:ascii="Times New Roman" w:hint="eastAsia"/>
          <w:szCs w:val="32"/>
        </w:rPr>
        <w:t>科技大學</w:t>
      </w:r>
      <w:r w:rsidR="00136B87" w:rsidRPr="00DD5D0E">
        <w:rPr>
          <w:rFonts w:ascii="Times New Roman" w:hint="eastAsia"/>
          <w:szCs w:val="32"/>
        </w:rPr>
        <w:t>企業管理</w:t>
      </w:r>
      <w:r w:rsidRPr="00DD5D0E">
        <w:rPr>
          <w:rFonts w:ascii="Times New Roman" w:hint="eastAsia"/>
          <w:szCs w:val="32"/>
        </w:rPr>
        <w:t>系劉代洋教授</w:t>
      </w:r>
      <w:r w:rsidR="00136B87" w:rsidRPr="00DD5D0E">
        <w:rPr>
          <w:rStyle w:val="aff1"/>
          <w:rFonts w:ascii="Times New Roman"/>
          <w:szCs w:val="32"/>
        </w:rPr>
        <w:footnoteReference w:id="3"/>
      </w:r>
      <w:r w:rsidRPr="00DD5D0E">
        <w:rPr>
          <w:rFonts w:ascii="Times New Roman" w:hint="eastAsia"/>
          <w:szCs w:val="32"/>
        </w:rPr>
        <w:t>、國立政治大學財政系教授周麗芳教授、國立暨南國際大學社會政策與社會工作學系張英陣教授、朝陽科技大學社會工作系謝儒賢教授等人，提供專業意見。另函請台彩公司提供書面說明及相</w:t>
      </w:r>
      <w:r w:rsidRPr="00DD5D0E">
        <w:rPr>
          <w:rFonts w:ascii="Times New Roman" w:hint="eastAsia"/>
          <w:szCs w:val="32"/>
        </w:rPr>
        <w:lastRenderedPageBreak/>
        <w:t>關卷證資料。</w:t>
      </w:r>
    </w:p>
    <w:p w:rsidR="0040606A" w:rsidRPr="00D94FE7" w:rsidRDefault="0040606A" w:rsidP="0040606A">
      <w:pPr>
        <w:pStyle w:val="11"/>
        <w:ind w:left="680" w:firstLine="680"/>
        <w:rPr>
          <w:rFonts w:ascii="Times New Roman"/>
          <w:bCs/>
          <w:szCs w:val="52"/>
        </w:rPr>
      </w:pPr>
      <w:r w:rsidRPr="00D94FE7">
        <w:rPr>
          <w:rFonts w:ascii="Times New Roman" w:hint="eastAsia"/>
          <w:szCs w:val="32"/>
        </w:rPr>
        <w:t>嗣後又再函請審計部協助更新及釐清部分統計資料及疑義事項，並轉請各地方審計處</w:t>
      </w:r>
      <w:r w:rsidRPr="00D94FE7">
        <w:rPr>
          <w:rFonts w:ascii="Times New Roman"/>
          <w:szCs w:val="32"/>
        </w:rPr>
        <w:t>(</w:t>
      </w:r>
      <w:r w:rsidRPr="00D94FE7">
        <w:rPr>
          <w:rFonts w:ascii="Times New Roman" w:hint="eastAsia"/>
          <w:szCs w:val="32"/>
        </w:rPr>
        <w:t>室</w:t>
      </w:r>
      <w:r w:rsidRPr="00D94FE7">
        <w:rPr>
          <w:rFonts w:ascii="Times New Roman"/>
          <w:szCs w:val="32"/>
        </w:rPr>
        <w:t>)</w:t>
      </w:r>
      <w:r w:rsidRPr="00D94FE7">
        <w:rPr>
          <w:rFonts w:ascii="Times New Roman" w:hint="eastAsia"/>
          <w:szCs w:val="32"/>
        </w:rPr>
        <w:t>協助查核</w:t>
      </w:r>
      <w:r w:rsidRPr="00D94FE7">
        <w:rPr>
          <w:rFonts w:ascii="Times New Roman"/>
          <w:szCs w:val="32"/>
        </w:rPr>
        <w:t>105</w:t>
      </w:r>
      <w:r w:rsidRPr="00D94FE7">
        <w:rPr>
          <w:rFonts w:ascii="Times New Roman" w:hint="eastAsia"/>
          <w:szCs w:val="32"/>
        </w:rPr>
        <w:t>年各地方政府相關支出帳冊資料。最後</w:t>
      </w:r>
      <w:r w:rsidR="00D94FE7" w:rsidRPr="00D94FE7">
        <w:rPr>
          <w:rFonts w:ascii="Times New Roman" w:hint="eastAsia"/>
          <w:szCs w:val="32"/>
        </w:rPr>
        <w:t>本案</w:t>
      </w:r>
      <w:r w:rsidRPr="00D94FE7">
        <w:rPr>
          <w:rFonts w:ascii="Times New Roman" w:hint="eastAsia"/>
        </w:rPr>
        <w:t>依據調卷、實地查閱帳冊及審計機關派員查核等所得之相關資料，</w:t>
      </w:r>
      <w:r w:rsidRPr="00D94FE7">
        <w:rPr>
          <w:rFonts w:ascii="Times New Roman" w:hint="eastAsia"/>
          <w:bCs/>
        </w:rPr>
        <w:t>於</w:t>
      </w:r>
      <w:r w:rsidRPr="00D94FE7">
        <w:rPr>
          <w:rFonts w:ascii="Times New Roman"/>
          <w:bCs/>
        </w:rPr>
        <w:t>106</w:t>
      </w:r>
      <w:r w:rsidRPr="00D94FE7">
        <w:rPr>
          <w:rFonts w:ascii="Times New Roman" w:hint="eastAsia"/>
          <w:bCs/>
        </w:rPr>
        <w:t>年</w:t>
      </w:r>
      <w:r w:rsidRPr="00D94FE7">
        <w:rPr>
          <w:rFonts w:ascii="Times New Roman"/>
          <w:bCs/>
        </w:rPr>
        <w:t>11</w:t>
      </w:r>
      <w:r w:rsidRPr="00D94FE7">
        <w:rPr>
          <w:rFonts w:ascii="Times New Roman" w:hint="eastAsia"/>
          <w:bCs/>
        </w:rPr>
        <w:t>月</w:t>
      </w:r>
      <w:r w:rsidRPr="00D94FE7">
        <w:rPr>
          <w:rFonts w:ascii="Times New Roman"/>
          <w:bCs/>
        </w:rPr>
        <w:t>7</w:t>
      </w:r>
      <w:r w:rsidRPr="00D94FE7">
        <w:rPr>
          <w:rFonts w:ascii="Times New Roman" w:hint="eastAsia"/>
          <w:bCs/>
        </w:rPr>
        <w:t>日詢問財政部蘇建榮政務次長、國庫署阮清華署長、衛福部社會及家庭署簡慧娟署長暨相關主管人員，再參酌財政部</w:t>
      </w:r>
      <w:r w:rsidR="00D94FE7">
        <w:rPr>
          <w:rFonts w:ascii="Times New Roman" w:hint="eastAsia"/>
          <w:bCs/>
        </w:rPr>
        <w:t>與</w:t>
      </w:r>
      <w:r w:rsidRPr="00D94FE7">
        <w:rPr>
          <w:rFonts w:ascii="Times New Roman" w:hint="eastAsia"/>
          <w:bCs/>
        </w:rPr>
        <w:t>衛福部於詢問後所補充之書面說明資料，以及蒐集</w:t>
      </w:r>
      <w:r w:rsidRPr="00D94FE7">
        <w:rPr>
          <w:rFonts w:ascii="Times New Roman" w:hint="eastAsia"/>
        </w:rPr>
        <w:t>相關統計資料，業經</w:t>
      </w:r>
      <w:r w:rsidRPr="00D94FE7">
        <w:rPr>
          <w:rFonts w:ascii="Times New Roman" w:hint="eastAsia"/>
          <w:bCs/>
          <w:szCs w:val="52"/>
        </w:rPr>
        <w:t>調查完畢。</w:t>
      </w:r>
    </w:p>
    <w:p w:rsidR="0040606A" w:rsidRPr="008A7013" w:rsidRDefault="0040606A" w:rsidP="0040606A">
      <w:pPr>
        <w:pStyle w:val="11"/>
        <w:ind w:left="680" w:firstLine="680"/>
      </w:pPr>
      <w:r w:rsidRPr="008A7013">
        <w:rPr>
          <w:rFonts w:ascii="Times New Roman" w:hint="eastAsia"/>
          <w:bCs/>
          <w:szCs w:val="52"/>
        </w:rPr>
        <w:t>由於中央相關主管機關及審計部所屬各地方審計處</w:t>
      </w:r>
      <w:r w:rsidRPr="008A7013">
        <w:rPr>
          <w:rFonts w:ascii="Times New Roman" w:hint="eastAsia"/>
          <w:bCs/>
          <w:szCs w:val="52"/>
        </w:rPr>
        <w:t>(</w:t>
      </w:r>
      <w:r w:rsidRPr="008A7013">
        <w:rPr>
          <w:rFonts w:ascii="Times New Roman" w:hint="eastAsia"/>
          <w:bCs/>
          <w:szCs w:val="52"/>
        </w:rPr>
        <w:t>室</w:t>
      </w:r>
      <w:r w:rsidRPr="008A7013">
        <w:rPr>
          <w:rFonts w:ascii="Times New Roman" w:hint="eastAsia"/>
          <w:bCs/>
          <w:szCs w:val="52"/>
        </w:rPr>
        <w:t>)</w:t>
      </w:r>
      <w:r w:rsidRPr="008A7013">
        <w:rPr>
          <w:rFonts w:ascii="Times New Roman" w:hint="eastAsia"/>
          <w:bCs/>
          <w:szCs w:val="52"/>
        </w:rPr>
        <w:t>對於各地方政府公益彩券盈餘分配基金</w:t>
      </w:r>
      <w:r w:rsidRPr="008A7013">
        <w:rPr>
          <w:rFonts w:ascii="Times New Roman" w:hint="eastAsia"/>
          <w:bCs/>
          <w:szCs w:val="52"/>
        </w:rPr>
        <w:t>(</w:t>
      </w:r>
      <w:r w:rsidRPr="008A7013">
        <w:rPr>
          <w:rFonts w:ascii="Times New Roman" w:hint="eastAsia"/>
          <w:bCs/>
          <w:szCs w:val="52"/>
        </w:rPr>
        <w:t>款</w:t>
      </w:r>
      <w:r w:rsidRPr="008A7013">
        <w:rPr>
          <w:rFonts w:ascii="Times New Roman" w:hint="eastAsia"/>
          <w:bCs/>
          <w:szCs w:val="52"/>
        </w:rPr>
        <w:t>)</w:t>
      </w:r>
      <w:r w:rsidRPr="008A7013">
        <w:rPr>
          <w:rFonts w:ascii="Times New Roman" w:hint="eastAsia"/>
          <w:bCs/>
          <w:szCs w:val="52"/>
        </w:rPr>
        <w:t>之收支保管及運用情形，已有相關考核及查核機制，且就</w:t>
      </w:r>
      <w:r w:rsidR="00D94FE7">
        <w:rPr>
          <w:rFonts w:ascii="Times New Roman" w:hint="eastAsia"/>
          <w:bCs/>
          <w:szCs w:val="52"/>
        </w:rPr>
        <w:t>地方政府</w:t>
      </w:r>
      <w:r w:rsidRPr="008A7013">
        <w:rPr>
          <w:rFonts w:ascii="Times New Roman" w:hint="eastAsia"/>
          <w:bCs/>
          <w:szCs w:val="52"/>
        </w:rPr>
        <w:t>個別具體缺失事項亦有列管機制以追蹤後續改善辦理情形，爰本案主要</w:t>
      </w:r>
      <w:r w:rsidR="00D94FE7">
        <w:rPr>
          <w:rFonts w:ascii="Times New Roman" w:hint="eastAsia"/>
          <w:bCs/>
          <w:szCs w:val="52"/>
        </w:rPr>
        <w:t>係</w:t>
      </w:r>
      <w:r w:rsidRPr="008A7013">
        <w:rPr>
          <w:rFonts w:ascii="Times New Roman" w:hint="eastAsia"/>
          <w:bCs/>
          <w:szCs w:val="52"/>
        </w:rPr>
        <w:t>就整體共通性問題提出相關意見臚列</w:t>
      </w:r>
      <w:r w:rsidRPr="008A7013">
        <w:rPr>
          <w:rFonts w:hAnsi="標楷體" w:hint="eastAsia"/>
          <w:szCs w:val="36"/>
        </w:rPr>
        <w:t>如次。</w:t>
      </w:r>
    </w:p>
    <w:p w:rsidR="00C7556F" w:rsidRPr="00C7556F" w:rsidRDefault="00C7556F" w:rsidP="00C7556F">
      <w:pPr>
        <w:pStyle w:val="2"/>
        <w:rPr>
          <w:rFonts w:ascii="Times New Roman" w:hAnsi="Times New Roman"/>
          <w:b/>
          <w:szCs w:val="32"/>
        </w:rPr>
      </w:pPr>
      <w:bookmarkStart w:id="30" w:name="_Toc507518449"/>
      <w:bookmarkStart w:id="31" w:name="_Toc473813306"/>
      <w:bookmarkStart w:id="32" w:name="_Toc507072983"/>
      <w:bookmarkStart w:id="33" w:name="_Toc507767525"/>
      <w:bookmarkStart w:id="34" w:name="_Toc512420827"/>
      <w:bookmarkStart w:id="35" w:name="_Toc507168682"/>
      <w:bookmarkStart w:id="36" w:name="_Toc507163479"/>
      <w:bookmarkStart w:id="37" w:name="_Toc507163227"/>
      <w:bookmarkStart w:id="38" w:name="_Toc507072986"/>
      <w:r w:rsidRPr="00C7556F">
        <w:rPr>
          <w:rFonts w:ascii="Times New Roman" w:hAnsi="Times New Roman"/>
          <w:b/>
        </w:rPr>
        <w:t>公益彩券的發行具有公益目的，經由民眾的購買，協助充實政府推動社會福利之財源，以促進社會福利之能量，財政部為其主管機關。各地方政府每年從財政部獲配之公益彩券盈餘，依法應專款專用於社會福利支出，以增進社會福利功能；惟部分地方政府卻向該府所設立之公益彩券盈餘分配基金或專戶，調度鉅額款項，且非短期調借；在</w:t>
      </w:r>
      <w:r w:rsidRPr="00C7556F">
        <w:rPr>
          <w:rFonts w:ascii="Times New Roman" w:hAnsi="Times New Roman"/>
          <w:b/>
        </w:rPr>
        <w:t>101</w:t>
      </w:r>
      <w:r w:rsidRPr="00C7556F">
        <w:rPr>
          <w:rFonts w:ascii="Times New Roman" w:hAnsi="Times New Roman"/>
          <w:b/>
        </w:rPr>
        <w:t>至</w:t>
      </w:r>
      <w:r w:rsidRPr="00C7556F">
        <w:rPr>
          <w:rFonts w:ascii="Times New Roman" w:hAnsi="Times New Roman"/>
          <w:b/>
        </w:rPr>
        <w:t>105</w:t>
      </w:r>
      <w:r w:rsidRPr="00C7556F">
        <w:rPr>
          <w:rFonts w:ascii="Times New Roman" w:hAnsi="Times New Roman"/>
          <w:b/>
        </w:rPr>
        <w:t>年間計有</w:t>
      </w:r>
      <w:r w:rsidRPr="00C7556F">
        <w:rPr>
          <w:rFonts w:ascii="Times New Roman" w:hAnsi="Times New Roman"/>
          <w:b/>
        </w:rPr>
        <w:t>8</w:t>
      </w:r>
      <w:r w:rsidRPr="00C7556F">
        <w:rPr>
          <w:rFonts w:ascii="Times New Roman" w:hAnsi="Times New Roman"/>
          <w:b/>
        </w:rPr>
        <w:t>個地方政府曾向該基金或專戶調借，不但未提報各該管理委員會審議，且歷次對於調借是否妨礙該基金或專戶之設立目的，均無相關評估資料，甚至部分地方政府對於調借鉅額之核准層級欠當，均有可議之處；另，目前將該基金或專戶納入集中支付，供公庫統一調度運用的地方政府已有</w:t>
      </w:r>
      <w:r w:rsidRPr="00C7556F">
        <w:rPr>
          <w:rFonts w:ascii="Times New Roman" w:hAnsi="Times New Roman"/>
          <w:b/>
        </w:rPr>
        <w:t>12</w:t>
      </w:r>
      <w:r w:rsidRPr="00C7556F">
        <w:rPr>
          <w:rFonts w:ascii="Times New Roman" w:hAnsi="Times New Roman"/>
          <w:b/>
        </w:rPr>
        <w:t>個；惟財政部自</w:t>
      </w:r>
      <w:r w:rsidRPr="00C7556F">
        <w:rPr>
          <w:rFonts w:ascii="Times New Roman" w:hAnsi="Times New Roman"/>
          <w:b/>
        </w:rPr>
        <w:t>88</w:t>
      </w:r>
      <w:r w:rsidRPr="00C7556F">
        <w:rPr>
          <w:rFonts w:ascii="Times New Roman" w:hAnsi="Times New Roman"/>
          <w:b/>
        </w:rPr>
        <w:t>年開辦公益彩券發行以來，對於上述地方政府調借及納入集中支付之作法，因缺乏相關查核監督機制，無法確保該基金或</w:t>
      </w:r>
      <w:r w:rsidRPr="00C7556F">
        <w:rPr>
          <w:rFonts w:ascii="Times New Roman" w:hAnsi="Times New Roman"/>
          <w:b/>
        </w:rPr>
        <w:lastRenderedPageBreak/>
        <w:t>專戶的運用不受妨礙而影響其設立目的，核有疏失。</w:t>
      </w:r>
      <w:bookmarkEnd w:id="30"/>
      <w:bookmarkEnd w:id="31"/>
      <w:bookmarkEnd w:id="32"/>
      <w:bookmarkEnd w:id="33"/>
      <w:bookmarkEnd w:id="34"/>
    </w:p>
    <w:p w:rsidR="00C7556F" w:rsidRPr="00C7556F" w:rsidRDefault="00C7556F" w:rsidP="00C7556F">
      <w:pPr>
        <w:pStyle w:val="3"/>
        <w:numPr>
          <w:ilvl w:val="2"/>
          <w:numId w:val="9"/>
        </w:numPr>
        <w:topLinePunct/>
        <w:ind w:left="1360" w:hanging="680"/>
        <w:rPr>
          <w:rFonts w:ascii="Times New Roman" w:hAnsi="Times New Roman"/>
          <w:spacing w:val="-3"/>
        </w:rPr>
      </w:pPr>
      <w:bookmarkStart w:id="39" w:name="_Toc507518450"/>
      <w:bookmarkStart w:id="40" w:name="_Toc507491502"/>
      <w:bookmarkStart w:id="41" w:name="_Toc507484678"/>
      <w:bookmarkStart w:id="42" w:name="_Toc507403557"/>
      <w:bookmarkStart w:id="43" w:name="_Toc507359621"/>
      <w:bookmarkStart w:id="44" w:name="_Toc507168680"/>
      <w:bookmarkStart w:id="45" w:name="_Toc507163477"/>
      <w:bookmarkStart w:id="46" w:name="_Toc507163225"/>
      <w:bookmarkStart w:id="47" w:name="_Toc507072984"/>
      <w:bookmarkStart w:id="48" w:name="_Toc507767526"/>
      <w:bookmarkStart w:id="49" w:name="_Toc507768252"/>
      <w:bookmarkStart w:id="50" w:name="_Toc511308029"/>
      <w:bookmarkStart w:id="51" w:name="_Toc511998471"/>
      <w:bookmarkStart w:id="52" w:name="_Toc512420828"/>
      <w:r w:rsidRPr="00C7556F">
        <w:rPr>
          <w:rFonts w:ascii="Times New Roman" w:hAnsi="Times New Roman"/>
          <w:spacing w:val="-3"/>
        </w:rPr>
        <w:t>依據公益彩券發行條例第</w:t>
      </w:r>
      <w:r w:rsidRPr="00C7556F">
        <w:rPr>
          <w:rFonts w:ascii="Times New Roman" w:hAnsi="Times New Roman"/>
          <w:spacing w:val="-3"/>
        </w:rPr>
        <w:t>2</w:t>
      </w:r>
      <w:r w:rsidRPr="00C7556F">
        <w:rPr>
          <w:rFonts w:ascii="Times New Roman" w:hAnsi="Times New Roman"/>
          <w:spacing w:val="-3"/>
        </w:rPr>
        <w:t>條規定：「本條例所稱主管機關為財政部。」同條例第</w:t>
      </w:r>
      <w:r w:rsidRPr="00C7556F">
        <w:rPr>
          <w:rFonts w:ascii="Times New Roman" w:hAnsi="Times New Roman"/>
          <w:spacing w:val="-3"/>
        </w:rPr>
        <w:t>6</w:t>
      </w:r>
      <w:r w:rsidRPr="00C7556F">
        <w:rPr>
          <w:rFonts w:ascii="Times New Roman" w:hAnsi="Times New Roman"/>
          <w:spacing w:val="-3"/>
        </w:rPr>
        <w:t>條第</w:t>
      </w:r>
      <w:r w:rsidRPr="00C7556F">
        <w:rPr>
          <w:rFonts w:ascii="Times New Roman" w:hAnsi="Times New Roman"/>
          <w:spacing w:val="-3"/>
        </w:rPr>
        <w:t>2</w:t>
      </w:r>
      <w:r w:rsidRPr="00C7556F">
        <w:rPr>
          <w:rFonts w:ascii="Times New Roman" w:hAnsi="Times New Roman"/>
          <w:spacing w:val="-3"/>
        </w:rPr>
        <w:t>項及第</w:t>
      </w:r>
      <w:r w:rsidRPr="00C7556F">
        <w:rPr>
          <w:rFonts w:ascii="Times New Roman" w:hAnsi="Times New Roman"/>
          <w:spacing w:val="-3"/>
        </w:rPr>
        <w:t>4</w:t>
      </w:r>
      <w:r w:rsidRPr="00C7556F">
        <w:rPr>
          <w:rFonts w:ascii="Times New Roman" w:hAnsi="Times New Roman"/>
          <w:spacing w:val="-3"/>
        </w:rPr>
        <w:t>項分別規定：「發行機構</w:t>
      </w:r>
      <w:r w:rsidRPr="00C7556F">
        <w:rPr>
          <w:rStyle w:val="aff1"/>
          <w:rFonts w:ascii="Times New Roman" w:hAnsi="Times New Roman"/>
          <w:spacing w:val="-3"/>
        </w:rPr>
        <w:footnoteReference w:id="4"/>
      </w:r>
      <w:r w:rsidRPr="00C7556F">
        <w:rPr>
          <w:rFonts w:ascii="Times New Roman" w:hAnsi="Times New Roman"/>
          <w:spacing w:val="-3"/>
        </w:rPr>
        <w:t>應將各種公益彩券發行之盈餘專供政府補助國民年金、全民健康保險準備及社會福利支出之用，其中社會福利支出，應以政府辦理社會保險、福利服務、社會救助、國民就業、醫療保健之業務為限，並不得充抵依財政收支劃分法已分配及補助之社會福利經費。」</w:t>
      </w:r>
      <w:r w:rsidRPr="00C7556F">
        <w:rPr>
          <w:rFonts w:ascii="Times New Roman" w:eastAsia="新細明體" w:hAnsi="Times New Roman"/>
          <w:spacing w:val="-3"/>
        </w:rPr>
        <w:t>「</w:t>
      </w:r>
      <w:r w:rsidRPr="00C7556F">
        <w:rPr>
          <w:rFonts w:ascii="Times New Roman" w:hAnsi="Times New Roman"/>
          <w:spacing w:val="-3"/>
          <w:szCs w:val="32"/>
        </w:rPr>
        <w:t>各直轄市政府</w:t>
      </w:r>
      <w:r w:rsidRPr="00C7556F">
        <w:rPr>
          <w:rFonts w:ascii="Times New Roman" w:hAnsi="Times New Roman"/>
          <w:spacing w:val="-3"/>
        </w:rPr>
        <w:t>、縣</w:t>
      </w:r>
      <w:r w:rsidRPr="00C7556F">
        <w:rPr>
          <w:rFonts w:ascii="Times New Roman" w:hAnsi="Times New Roman"/>
          <w:spacing w:val="-3"/>
        </w:rPr>
        <w:t>(</w:t>
      </w:r>
      <w:r w:rsidRPr="00C7556F">
        <w:rPr>
          <w:rFonts w:ascii="Times New Roman" w:hAnsi="Times New Roman"/>
          <w:spacing w:val="-3"/>
        </w:rPr>
        <w:t>市</w:t>
      </w:r>
      <w:r w:rsidRPr="00C7556F">
        <w:rPr>
          <w:rFonts w:ascii="Times New Roman" w:hAnsi="Times New Roman"/>
          <w:spacing w:val="-3"/>
        </w:rPr>
        <w:t>)</w:t>
      </w:r>
      <w:r w:rsidRPr="00C7556F">
        <w:rPr>
          <w:rFonts w:ascii="Times New Roman" w:hAnsi="Times New Roman"/>
          <w:spacing w:val="-3"/>
        </w:rPr>
        <w:t>政府依第二項規定所得盈餘補助款，應依該項社會福利範圍專款專用</w:t>
      </w:r>
      <w:r w:rsidRPr="00C7556F">
        <w:rPr>
          <w:rFonts w:ascii="Times New Roman" w:hAnsi="Times New Roman"/>
          <w:spacing w:val="-3"/>
        </w:rPr>
        <w:t>……</w:t>
      </w:r>
      <w:r w:rsidRPr="00C7556F">
        <w:rPr>
          <w:rFonts w:ascii="Times New Roman" w:hAnsi="Times New Roman"/>
          <w:spacing w:val="-3"/>
        </w:rPr>
        <w:t>。」第</w:t>
      </w:r>
      <w:r w:rsidRPr="00C7556F">
        <w:rPr>
          <w:rFonts w:ascii="Times New Roman" w:hAnsi="Times New Roman"/>
          <w:spacing w:val="-3"/>
        </w:rPr>
        <w:t>6</w:t>
      </w:r>
      <w:r w:rsidRPr="00C7556F">
        <w:rPr>
          <w:rFonts w:ascii="Times New Roman" w:hAnsi="Times New Roman"/>
          <w:spacing w:val="-3"/>
        </w:rPr>
        <w:t>條之</w:t>
      </w:r>
      <w:r w:rsidRPr="00C7556F">
        <w:rPr>
          <w:rFonts w:ascii="Times New Roman" w:hAnsi="Times New Roman"/>
          <w:spacing w:val="-3"/>
        </w:rPr>
        <w:t>3</w:t>
      </w:r>
      <w:r w:rsidRPr="00C7556F">
        <w:rPr>
          <w:rFonts w:ascii="Times New Roman" w:hAnsi="Times New Roman"/>
          <w:spacing w:val="-3"/>
        </w:rPr>
        <w:t>並規定：「各受配機關應以</w:t>
      </w:r>
      <w:r w:rsidRPr="00C7556F">
        <w:rPr>
          <w:rFonts w:ascii="Times New Roman" w:hAnsi="Times New Roman"/>
          <w:bCs w:val="0"/>
          <w:spacing w:val="-3"/>
        </w:rPr>
        <w:t>基金</w:t>
      </w:r>
      <w:r w:rsidRPr="00C7556F">
        <w:rPr>
          <w:rFonts w:ascii="Times New Roman" w:hAnsi="Times New Roman"/>
          <w:spacing w:val="-3"/>
        </w:rPr>
        <w:t>或收支並列方式管理運用公益彩券盈餘分配款；前項以收支並列方式管理運用者，應於公庫或代理公庫之行庫設立專戶儲存。」因此，公益彩券發行條例之主管機關為財政部，各地方政府對於其所獲配之公益彩券盈餘，依法應設立基金或專戶儲存並專款專用於社會福利支出。</w:t>
      </w:r>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C7556F" w:rsidRPr="00C7556F" w:rsidRDefault="00C7556F" w:rsidP="00C7556F">
      <w:pPr>
        <w:pStyle w:val="3"/>
        <w:numPr>
          <w:ilvl w:val="2"/>
          <w:numId w:val="9"/>
        </w:numPr>
        <w:kinsoku w:val="0"/>
        <w:ind w:left="1360" w:hanging="680"/>
        <w:rPr>
          <w:rFonts w:ascii="Times New Roman" w:hAnsi="Times New Roman"/>
          <w:b/>
        </w:rPr>
      </w:pPr>
      <w:bookmarkStart w:id="53" w:name="_Toc507518451"/>
      <w:bookmarkStart w:id="54" w:name="_Toc507491503"/>
      <w:bookmarkStart w:id="55" w:name="_Toc507484679"/>
      <w:bookmarkStart w:id="56" w:name="_Toc507403558"/>
      <w:bookmarkStart w:id="57" w:name="_Toc507359622"/>
      <w:bookmarkStart w:id="58" w:name="_Toc507168681"/>
      <w:bookmarkStart w:id="59" w:name="_Toc507163478"/>
      <w:bookmarkStart w:id="60" w:name="_Toc507163226"/>
      <w:bookmarkStart w:id="61" w:name="_Toc507072985"/>
      <w:bookmarkStart w:id="62" w:name="_Toc507767527"/>
      <w:bookmarkStart w:id="63" w:name="_Toc507768253"/>
      <w:bookmarkStart w:id="64" w:name="_Toc511308030"/>
      <w:bookmarkStart w:id="65" w:name="_Toc511998472"/>
      <w:bookmarkStart w:id="66" w:name="_Toc512420829"/>
      <w:r w:rsidRPr="00C7556F">
        <w:rPr>
          <w:rFonts w:ascii="Times New Roman" w:hAnsi="Times New Roman"/>
          <w:b/>
          <w:spacing w:val="-4"/>
        </w:rPr>
        <w:t>財政部為公益彩券</w:t>
      </w:r>
      <w:r w:rsidRPr="00C7556F">
        <w:rPr>
          <w:rFonts w:ascii="Times New Roman" w:hAnsi="Times New Roman"/>
          <w:b/>
        </w:rPr>
        <w:t>發行條例之主管機關，對於地方政府向其公益彩券盈餘分配基金或專戶調度周轉款項之舉措，有無妨礙專戶設立之目的及實際運用等情，卻缺乏監督查核機制，致生苗栗縣、臺東縣及新竹市非短期調借鉅額款項之情事：</w:t>
      </w:r>
    </w:p>
    <w:p w:rsidR="00C7556F" w:rsidRPr="00C7556F" w:rsidRDefault="00C7556F" w:rsidP="00C7556F">
      <w:pPr>
        <w:pStyle w:val="32"/>
        <w:ind w:left="1361" w:firstLine="680"/>
        <w:rPr>
          <w:rFonts w:ascii="Times New Roman"/>
        </w:rPr>
      </w:pPr>
      <w:r w:rsidRPr="00C7556F">
        <w:rPr>
          <w:rFonts w:ascii="Times New Roman"/>
        </w:rPr>
        <w:t>依據審計部查復結果顯示，目前各地方政府對於其所獲配之公益彩券盈餘的管理運用方式，採收支並列方式管理並設立專戶儲存的有宜蘭縣、苗栗縣、雲林縣、嘉義縣及澎湖縣，其餘</w:t>
      </w:r>
      <w:r w:rsidRPr="00C7556F">
        <w:rPr>
          <w:rFonts w:ascii="Times New Roman"/>
        </w:rPr>
        <w:t>17</w:t>
      </w:r>
      <w:r w:rsidRPr="00C7556F">
        <w:rPr>
          <w:rFonts w:ascii="Times New Roman"/>
        </w:rPr>
        <w:t>個地方政府則採基金設立方式。而據本院調查、審計部查核及財政部查復等結果</w:t>
      </w:r>
      <w:r w:rsidRPr="00C7556F">
        <w:rPr>
          <w:rFonts w:ascii="Times New Roman"/>
          <w:szCs w:val="32"/>
        </w:rPr>
        <w:t>發現，</w:t>
      </w:r>
      <w:r w:rsidRPr="00C7556F">
        <w:rPr>
          <w:rFonts w:ascii="Times New Roman"/>
          <w:szCs w:val="32"/>
        </w:rPr>
        <w:t>101</w:t>
      </w:r>
      <w:r w:rsidRPr="00C7556F">
        <w:rPr>
          <w:rFonts w:ascii="Times New Roman"/>
          <w:szCs w:val="32"/>
        </w:rPr>
        <w:t>年至</w:t>
      </w:r>
      <w:r w:rsidRPr="00C7556F">
        <w:rPr>
          <w:rFonts w:ascii="Times New Roman"/>
          <w:szCs w:val="32"/>
        </w:rPr>
        <w:t>105</w:t>
      </w:r>
      <w:r w:rsidRPr="00C7556F">
        <w:rPr>
          <w:rFonts w:ascii="Times New Roman"/>
          <w:szCs w:val="32"/>
        </w:rPr>
        <w:t>年計有</w:t>
      </w:r>
      <w:r w:rsidRPr="00C7556F">
        <w:rPr>
          <w:rFonts w:ascii="Times New Roman"/>
          <w:szCs w:val="32"/>
        </w:rPr>
        <w:t>8</w:t>
      </w:r>
      <w:r w:rsidRPr="00C7556F">
        <w:rPr>
          <w:rFonts w:ascii="Times New Roman"/>
          <w:szCs w:val="32"/>
        </w:rPr>
        <w:t>個地方政府向其所設立之基金或專戶調度款項，包括：高雄市、臺南市、苗栗縣、南投縣、屏東縣、花蓮縣、臺東縣及新竹市政府</w:t>
      </w:r>
      <w:r w:rsidRPr="00C7556F">
        <w:rPr>
          <w:rFonts w:ascii="Times New Roman"/>
          <w:spacing w:val="-4"/>
          <w:szCs w:val="32"/>
        </w:rPr>
        <w:t>。</w:t>
      </w:r>
      <w:r w:rsidRPr="00C7556F">
        <w:rPr>
          <w:rFonts w:ascii="Times New Roman"/>
          <w:spacing w:val="-4"/>
        </w:rPr>
        <w:t>而公益彩券</w:t>
      </w:r>
      <w:r w:rsidRPr="00C7556F">
        <w:rPr>
          <w:rFonts w:ascii="Times New Roman"/>
        </w:rPr>
        <w:t>發行條例之主管機關</w:t>
      </w:r>
      <w:r w:rsidRPr="00C7556F">
        <w:rPr>
          <w:rFonts w:ascii="Times New Roman"/>
          <w:spacing w:val="-4"/>
        </w:rPr>
        <w:t>財政部</w:t>
      </w:r>
      <w:r w:rsidRPr="00C7556F">
        <w:rPr>
          <w:rFonts w:ascii="Times New Roman"/>
        </w:rPr>
        <w:t>，對於地方政府向其基金或專戶調度周轉款項之舉措，以及有無妨礙專戶設立之目的及實際運用等情，卻缺乏監督查核機制，致生苗栗縣、臺東縣及新竹市調借鉅額款項，且屬非短期調借之情事。茲說明如下：</w:t>
      </w:r>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C7556F" w:rsidRPr="00C7556F" w:rsidRDefault="00C7556F" w:rsidP="00C7556F">
      <w:pPr>
        <w:pStyle w:val="4"/>
        <w:numPr>
          <w:ilvl w:val="3"/>
          <w:numId w:val="9"/>
        </w:numPr>
        <w:rPr>
          <w:rFonts w:ascii="Times New Roman" w:hAnsi="Times New Roman"/>
        </w:rPr>
      </w:pPr>
      <w:r w:rsidRPr="00C7556F">
        <w:rPr>
          <w:rFonts w:ascii="Times New Roman" w:hAnsi="Times New Roman"/>
        </w:rPr>
        <w:t>苗栗縣政府：</w:t>
      </w:r>
    </w:p>
    <w:p w:rsidR="00C7556F" w:rsidRPr="00C7556F" w:rsidRDefault="00C7556F" w:rsidP="00C7556F">
      <w:pPr>
        <w:pStyle w:val="42"/>
        <w:topLinePunct/>
        <w:ind w:left="1701" w:firstLine="680"/>
        <w:rPr>
          <w:rFonts w:ascii="Times New Roman"/>
        </w:rPr>
      </w:pPr>
      <w:r w:rsidRPr="00C7556F">
        <w:rPr>
          <w:rFonts w:ascii="Times New Roman"/>
        </w:rPr>
        <w:t>101</w:t>
      </w:r>
      <w:r w:rsidRPr="00C7556F">
        <w:rPr>
          <w:rFonts w:ascii="Times New Roman"/>
        </w:rPr>
        <w:t>年至</w:t>
      </w:r>
      <w:r w:rsidRPr="00C7556F">
        <w:rPr>
          <w:rFonts w:ascii="Times New Roman"/>
        </w:rPr>
        <w:t>105</w:t>
      </w:r>
      <w:r w:rsidRPr="00C7556F">
        <w:rPr>
          <w:rFonts w:ascii="Times New Roman"/>
        </w:rPr>
        <w:t>年苗栗縣政府向該縣公益彩券盈餘分配款專戶調借</w:t>
      </w:r>
      <w:r w:rsidRPr="00C7556F">
        <w:rPr>
          <w:rFonts w:ascii="Times New Roman"/>
        </w:rPr>
        <w:t>9</w:t>
      </w:r>
      <w:r w:rsidRPr="00C7556F">
        <w:rPr>
          <w:rFonts w:ascii="Times New Roman"/>
        </w:rPr>
        <w:t>次款項，金額共計</w:t>
      </w:r>
      <w:r w:rsidRPr="00C7556F">
        <w:rPr>
          <w:rFonts w:ascii="Times New Roman"/>
        </w:rPr>
        <w:t>16.7</w:t>
      </w:r>
      <w:r w:rsidRPr="00C7556F">
        <w:rPr>
          <w:rFonts w:ascii="Times New Roman"/>
        </w:rPr>
        <w:t>億元</w:t>
      </w:r>
      <w:r w:rsidRPr="00C7556F">
        <w:rPr>
          <w:rFonts w:ascii="Times New Roman"/>
        </w:rPr>
        <w:t>(</w:t>
      </w:r>
      <w:r w:rsidRPr="00C7556F">
        <w:rPr>
          <w:rFonts w:ascii="Times New Roman"/>
        </w:rPr>
        <w:t>詳見下表</w:t>
      </w:r>
      <w:r w:rsidRPr="00C7556F">
        <w:rPr>
          <w:rFonts w:ascii="Times New Roman"/>
        </w:rPr>
        <w:t>1)</w:t>
      </w:r>
      <w:r w:rsidRPr="00C7556F">
        <w:rPr>
          <w:rFonts w:ascii="Times New Roman"/>
        </w:rPr>
        <w:t>。該府</w:t>
      </w:r>
      <w:r w:rsidRPr="00C7556F">
        <w:rPr>
          <w:rFonts w:ascii="Times New Roman"/>
        </w:rPr>
        <w:t>103</w:t>
      </w:r>
      <w:r w:rsidRPr="00C7556F">
        <w:rPr>
          <w:rFonts w:ascii="Times New Roman"/>
        </w:rPr>
        <w:t>年調借公益彩券盈餘分配款共計高達</w:t>
      </w:r>
      <w:r w:rsidRPr="00C7556F">
        <w:rPr>
          <w:rFonts w:ascii="Times New Roman"/>
        </w:rPr>
        <w:t>8.5</w:t>
      </w:r>
      <w:r w:rsidRPr="00C7556F">
        <w:rPr>
          <w:rFonts w:ascii="Times New Roman"/>
        </w:rPr>
        <w:t>億元，查</w:t>
      </w:r>
      <w:r w:rsidRPr="00C7556F">
        <w:rPr>
          <w:rFonts w:ascii="Times New Roman"/>
        </w:rPr>
        <w:t>103</w:t>
      </w:r>
      <w:r w:rsidRPr="00C7556F">
        <w:rPr>
          <w:rFonts w:ascii="Times New Roman"/>
        </w:rPr>
        <w:t>年底及</w:t>
      </w:r>
      <w:r w:rsidRPr="00C7556F">
        <w:rPr>
          <w:rFonts w:ascii="Times New Roman"/>
        </w:rPr>
        <w:t>104</w:t>
      </w:r>
      <w:r w:rsidRPr="00C7556F">
        <w:rPr>
          <w:rFonts w:ascii="Times New Roman"/>
        </w:rPr>
        <w:t>年底該府累計公益彩券盈餘分配待運用數</w:t>
      </w:r>
      <w:r w:rsidRPr="00C7556F">
        <w:rPr>
          <w:rStyle w:val="aff1"/>
          <w:rFonts w:ascii="Times New Roman"/>
        </w:rPr>
        <w:footnoteReference w:id="5"/>
      </w:r>
      <w:r w:rsidRPr="00C7556F">
        <w:rPr>
          <w:rFonts w:ascii="Times New Roman"/>
        </w:rPr>
        <w:t>分別為</w:t>
      </w:r>
      <w:r w:rsidRPr="00C7556F">
        <w:rPr>
          <w:rFonts w:ascii="Times New Roman"/>
        </w:rPr>
        <w:t>8</w:t>
      </w:r>
      <w:r w:rsidRPr="00C7556F">
        <w:rPr>
          <w:rFonts w:ascii="Times New Roman"/>
        </w:rPr>
        <w:t>億</w:t>
      </w:r>
      <w:r w:rsidRPr="00C7556F">
        <w:rPr>
          <w:rFonts w:ascii="Times New Roman"/>
        </w:rPr>
        <w:t>2,974</w:t>
      </w:r>
      <w:r w:rsidRPr="00C7556F">
        <w:rPr>
          <w:rFonts w:ascii="Times New Roman"/>
        </w:rPr>
        <w:t>萬</w:t>
      </w:r>
      <w:r w:rsidRPr="00C7556F">
        <w:rPr>
          <w:rFonts w:ascii="Times New Roman"/>
        </w:rPr>
        <w:t>8,108</w:t>
      </w:r>
      <w:r w:rsidRPr="00C7556F">
        <w:rPr>
          <w:rFonts w:ascii="Times New Roman"/>
        </w:rPr>
        <w:t>元、</w:t>
      </w:r>
      <w:r w:rsidRPr="00C7556F">
        <w:rPr>
          <w:rFonts w:ascii="Times New Roman"/>
        </w:rPr>
        <w:t>8</w:t>
      </w:r>
      <w:r w:rsidRPr="00C7556F">
        <w:rPr>
          <w:rFonts w:ascii="Times New Roman"/>
        </w:rPr>
        <w:t>億</w:t>
      </w:r>
      <w:r w:rsidRPr="00C7556F">
        <w:rPr>
          <w:rFonts w:ascii="Times New Roman"/>
        </w:rPr>
        <w:t>887</w:t>
      </w:r>
      <w:r w:rsidRPr="00C7556F">
        <w:rPr>
          <w:rFonts w:ascii="Times New Roman"/>
        </w:rPr>
        <w:t>萬</w:t>
      </w:r>
      <w:r w:rsidRPr="00C7556F">
        <w:rPr>
          <w:rFonts w:ascii="Times New Roman"/>
        </w:rPr>
        <w:t>7,663</w:t>
      </w:r>
      <w:r w:rsidRPr="00C7556F">
        <w:rPr>
          <w:rFonts w:ascii="Times New Roman"/>
        </w:rPr>
        <w:t>元，調借餘額占待運用數之比重高達</w:t>
      </w:r>
      <w:r w:rsidRPr="00C7556F">
        <w:rPr>
          <w:rFonts w:ascii="Times New Roman"/>
        </w:rPr>
        <w:t>96.41</w:t>
      </w:r>
      <w:r w:rsidRPr="00C7556F">
        <w:rPr>
          <w:rFonts w:ascii="Times New Roman"/>
        </w:rPr>
        <w:t>％、</w:t>
      </w:r>
      <w:r w:rsidRPr="00C7556F">
        <w:rPr>
          <w:rFonts w:ascii="Times New Roman"/>
        </w:rPr>
        <w:t>92.72</w:t>
      </w:r>
      <w:r w:rsidRPr="00C7556F">
        <w:rPr>
          <w:rFonts w:ascii="Times New Roman"/>
        </w:rPr>
        <w:t>％</w:t>
      </w:r>
      <w:r w:rsidRPr="00C7556F">
        <w:rPr>
          <w:rStyle w:val="aff1"/>
          <w:rFonts w:ascii="Times New Roman"/>
        </w:rPr>
        <w:footnoteReference w:id="6"/>
      </w:r>
      <w:r w:rsidRPr="00C7556F">
        <w:rPr>
          <w:rFonts w:ascii="Times New Roman"/>
        </w:rPr>
        <w:t>；且截至</w:t>
      </w:r>
      <w:r w:rsidRPr="00C7556F">
        <w:rPr>
          <w:rFonts w:ascii="Times New Roman"/>
          <w:szCs w:val="32"/>
        </w:rPr>
        <w:t>107</w:t>
      </w:r>
      <w:r w:rsidRPr="00C7556F">
        <w:rPr>
          <w:rFonts w:ascii="Times New Roman"/>
          <w:szCs w:val="32"/>
        </w:rPr>
        <w:t>年</w:t>
      </w:r>
      <w:r w:rsidRPr="00C7556F">
        <w:rPr>
          <w:rFonts w:ascii="Times New Roman"/>
          <w:szCs w:val="32"/>
        </w:rPr>
        <w:t>4</w:t>
      </w:r>
      <w:r w:rsidRPr="00C7556F">
        <w:rPr>
          <w:rFonts w:ascii="Times New Roman"/>
        </w:rPr>
        <w:t>月</w:t>
      </w:r>
      <w:r w:rsidRPr="00C7556F">
        <w:rPr>
          <w:rFonts w:ascii="Times New Roman"/>
        </w:rPr>
        <w:t>23</w:t>
      </w:r>
      <w:r w:rsidRPr="00C7556F">
        <w:rPr>
          <w:rFonts w:ascii="Times New Roman"/>
        </w:rPr>
        <w:t>日仍有</w:t>
      </w:r>
      <w:r w:rsidRPr="00C7556F">
        <w:rPr>
          <w:rFonts w:ascii="Times New Roman"/>
        </w:rPr>
        <w:t>6.1</w:t>
      </w:r>
      <w:r w:rsidRPr="00C7556F">
        <w:rPr>
          <w:rFonts w:ascii="Times New Roman"/>
        </w:rPr>
        <w:t>億元未能歸墊，非屬短期調借。</w:t>
      </w:r>
    </w:p>
    <w:p w:rsidR="00C7556F" w:rsidRPr="00C7556F" w:rsidRDefault="00C7556F" w:rsidP="00C7556F">
      <w:pPr>
        <w:pStyle w:val="a3"/>
        <w:numPr>
          <w:ilvl w:val="0"/>
          <w:numId w:val="34"/>
        </w:numPr>
        <w:spacing w:before="120" w:after="0"/>
        <w:ind w:left="2380" w:rightChars="-42" w:right="-143" w:hanging="673"/>
        <w:textAlignment w:val="auto"/>
        <w:rPr>
          <w:rFonts w:ascii="Times New Roman" w:hAnsi="Times New Roman"/>
          <w:b/>
          <w:spacing w:val="-8"/>
        </w:rPr>
      </w:pPr>
      <w:r w:rsidRPr="00C7556F">
        <w:rPr>
          <w:rFonts w:ascii="Times New Roman" w:hAnsi="Times New Roman"/>
          <w:b/>
          <w:spacing w:val="-8"/>
        </w:rPr>
        <w:t>苗栗縣政府向該縣公益彩券盈餘分配款專戶調借情形</w:t>
      </w:r>
    </w:p>
    <w:p w:rsidR="00C7556F" w:rsidRPr="00C7556F" w:rsidRDefault="00C7556F" w:rsidP="00C7556F">
      <w:pPr>
        <w:pStyle w:val="42"/>
        <w:kinsoku w:val="0"/>
        <w:spacing w:line="320" w:lineRule="exact"/>
        <w:ind w:leftChars="498" w:left="1699" w:hangingChars="2" w:hanging="5"/>
        <w:jc w:val="right"/>
        <w:rPr>
          <w:rFonts w:ascii="Times New Roman"/>
          <w:sz w:val="24"/>
          <w:szCs w:val="24"/>
        </w:rPr>
      </w:pPr>
      <w:r w:rsidRPr="00C7556F">
        <w:rPr>
          <w:rFonts w:ascii="Times New Roman"/>
          <w:sz w:val="24"/>
          <w:szCs w:val="24"/>
        </w:rPr>
        <w:t>單位：億元</w:t>
      </w:r>
    </w:p>
    <w:tbl>
      <w:tblPr>
        <w:tblW w:w="4033" w:type="pct"/>
        <w:tblInd w:w="17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107"/>
        <w:gridCol w:w="1156"/>
        <w:gridCol w:w="1265"/>
        <w:gridCol w:w="1121"/>
        <w:gridCol w:w="1265"/>
        <w:gridCol w:w="1207"/>
      </w:tblGrid>
      <w:tr w:rsidR="00C7556F" w:rsidRPr="00C7556F" w:rsidTr="00E65E91">
        <w:trPr>
          <w:trHeight w:val="20"/>
          <w:tblHeader/>
        </w:trPr>
        <w:tc>
          <w:tcPr>
            <w:tcW w:w="772"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調借日期</w:t>
            </w:r>
          </w:p>
        </w:tc>
        <w:tc>
          <w:tcPr>
            <w:tcW w:w="813"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調借金額</w:t>
            </w:r>
          </w:p>
        </w:tc>
        <w:tc>
          <w:tcPr>
            <w:tcW w:w="889"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歸還日期</w:t>
            </w:r>
          </w:p>
        </w:tc>
        <w:tc>
          <w:tcPr>
            <w:tcW w:w="788"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歸還金額</w:t>
            </w:r>
          </w:p>
        </w:tc>
        <w:tc>
          <w:tcPr>
            <w:tcW w:w="889"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墊支時間</w:t>
            </w:r>
          </w:p>
        </w:tc>
        <w:tc>
          <w:tcPr>
            <w:tcW w:w="848"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截至</w:t>
            </w:r>
            <w:r w:rsidRPr="00C7556F">
              <w:rPr>
                <w:rFonts w:ascii="Times New Roman"/>
                <w:kern w:val="0"/>
                <w:sz w:val="24"/>
                <w:szCs w:val="24"/>
              </w:rPr>
              <w:t>107</w:t>
            </w:r>
            <w:r w:rsidRPr="00C7556F">
              <w:rPr>
                <w:rFonts w:ascii="Times New Roman"/>
                <w:kern w:val="0"/>
                <w:sz w:val="24"/>
                <w:szCs w:val="24"/>
              </w:rPr>
              <w:t>年</w:t>
            </w:r>
            <w:r w:rsidRPr="00C7556F">
              <w:rPr>
                <w:rFonts w:ascii="Times New Roman"/>
                <w:kern w:val="0"/>
                <w:sz w:val="24"/>
                <w:szCs w:val="24"/>
              </w:rPr>
              <w:t>4</w:t>
            </w:r>
            <w:r w:rsidRPr="00C7556F">
              <w:rPr>
                <w:rFonts w:ascii="Times New Roman"/>
                <w:kern w:val="0"/>
                <w:sz w:val="24"/>
                <w:szCs w:val="24"/>
              </w:rPr>
              <w:t>月</w:t>
            </w:r>
            <w:r w:rsidRPr="00C7556F">
              <w:rPr>
                <w:rFonts w:ascii="Times New Roman"/>
                <w:kern w:val="0"/>
                <w:sz w:val="24"/>
                <w:szCs w:val="24"/>
              </w:rPr>
              <w:t>23</w:t>
            </w:r>
            <w:r w:rsidRPr="00C7556F">
              <w:rPr>
                <w:rFonts w:ascii="Times New Roman"/>
                <w:kern w:val="0"/>
                <w:sz w:val="24"/>
                <w:szCs w:val="24"/>
              </w:rPr>
              <w:t>日尚欠調借餘額</w:t>
            </w:r>
          </w:p>
        </w:tc>
      </w:tr>
      <w:tr w:rsidR="00C7556F" w:rsidRPr="00C7556F" w:rsidTr="00E65E91">
        <w:trPr>
          <w:trHeight w:val="20"/>
        </w:trPr>
        <w:tc>
          <w:tcPr>
            <w:tcW w:w="772" w:type="pct"/>
            <w:vMerge w:val="restar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102.07.31</w:t>
            </w:r>
          </w:p>
        </w:tc>
        <w:tc>
          <w:tcPr>
            <w:tcW w:w="813"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1.6</w:t>
            </w:r>
          </w:p>
        </w:tc>
        <w:tc>
          <w:tcPr>
            <w:tcW w:w="889" w:type="pct"/>
            <w:vAlign w:val="center"/>
            <w:hideMark/>
          </w:tcPr>
          <w:p w:rsidR="00C7556F" w:rsidRPr="00C7556F" w:rsidRDefault="00C7556F" w:rsidP="00E65E91">
            <w:pPr>
              <w:widowControl/>
              <w:spacing w:line="280" w:lineRule="exact"/>
              <w:jc w:val="center"/>
              <w:rPr>
                <w:rFonts w:ascii="Times New Roman"/>
                <w:spacing w:val="-10"/>
                <w:kern w:val="0"/>
                <w:sz w:val="24"/>
                <w:szCs w:val="24"/>
              </w:rPr>
            </w:pPr>
            <w:r w:rsidRPr="00C7556F">
              <w:rPr>
                <w:rFonts w:ascii="Times New Roman"/>
                <w:spacing w:val="-10"/>
                <w:kern w:val="0"/>
                <w:sz w:val="24"/>
                <w:szCs w:val="24"/>
              </w:rPr>
              <w:t>102.12.2</w:t>
            </w:r>
          </w:p>
        </w:tc>
        <w:tc>
          <w:tcPr>
            <w:tcW w:w="788"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1.6</w:t>
            </w:r>
          </w:p>
        </w:tc>
        <w:tc>
          <w:tcPr>
            <w:tcW w:w="889"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102.7.31</w:t>
            </w:r>
            <w:r w:rsidRPr="00C7556F">
              <w:rPr>
                <w:rFonts w:ascii="Times New Roman"/>
                <w:kern w:val="0"/>
                <w:sz w:val="24"/>
                <w:szCs w:val="24"/>
              </w:rPr>
              <w:t>至</w:t>
            </w:r>
            <w:r w:rsidRPr="00C7556F">
              <w:rPr>
                <w:rFonts w:ascii="Times New Roman"/>
                <w:kern w:val="0"/>
                <w:sz w:val="24"/>
                <w:szCs w:val="24"/>
              </w:rPr>
              <w:t>12.2</w:t>
            </w:r>
          </w:p>
        </w:tc>
        <w:tc>
          <w:tcPr>
            <w:tcW w:w="848" w:type="pct"/>
            <w:vMerge w:val="restar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0</w:t>
            </w:r>
          </w:p>
        </w:tc>
      </w:tr>
      <w:tr w:rsidR="00C7556F" w:rsidRPr="00C7556F" w:rsidTr="00E65E91">
        <w:trPr>
          <w:trHeight w:val="20"/>
        </w:trPr>
        <w:tc>
          <w:tcPr>
            <w:tcW w:w="0" w:type="auto"/>
            <w:vMerge/>
            <w:vAlign w:val="center"/>
            <w:hideMark/>
          </w:tcPr>
          <w:p w:rsidR="00C7556F" w:rsidRPr="00C7556F" w:rsidRDefault="00C7556F" w:rsidP="00E65E91">
            <w:pPr>
              <w:widowControl/>
              <w:overflowPunct/>
              <w:autoSpaceDE/>
              <w:autoSpaceDN/>
              <w:spacing w:line="280" w:lineRule="exact"/>
              <w:jc w:val="left"/>
              <w:rPr>
                <w:rFonts w:ascii="Times New Roman"/>
                <w:kern w:val="0"/>
                <w:sz w:val="24"/>
                <w:szCs w:val="24"/>
              </w:rPr>
            </w:pPr>
          </w:p>
        </w:tc>
        <w:tc>
          <w:tcPr>
            <w:tcW w:w="813"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2.3</w:t>
            </w:r>
          </w:p>
        </w:tc>
        <w:tc>
          <w:tcPr>
            <w:tcW w:w="889" w:type="pct"/>
            <w:vAlign w:val="center"/>
            <w:hideMark/>
          </w:tcPr>
          <w:p w:rsidR="00C7556F" w:rsidRPr="00C7556F" w:rsidRDefault="00C7556F" w:rsidP="00E65E91">
            <w:pPr>
              <w:widowControl/>
              <w:spacing w:line="280" w:lineRule="exact"/>
              <w:jc w:val="center"/>
              <w:rPr>
                <w:rFonts w:ascii="Times New Roman"/>
                <w:spacing w:val="-10"/>
                <w:kern w:val="0"/>
                <w:sz w:val="24"/>
                <w:szCs w:val="24"/>
              </w:rPr>
            </w:pPr>
            <w:r w:rsidRPr="00C7556F">
              <w:rPr>
                <w:rFonts w:ascii="Times New Roman"/>
                <w:spacing w:val="-10"/>
                <w:kern w:val="0"/>
                <w:sz w:val="24"/>
                <w:szCs w:val="24"/>
              </w:rPr>
              <w:t>102.12.31</w:t>
            </w:r>
          </w:p>
        </w:tc>
        <w:tc>
          <w:tcPr>
            <w:tcW w:w="788"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2.3</w:t>
            </w:r>
          </w:p>
        </w:tc>
        <w:tc>
          <w:tcPr>
            <w:tcW w:w="889"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102.7.31</w:t>
            </w:r>
            <w:r w:rsidRPr="00C7556F">
              <w:rPr>
                <w:rFonts w:ascii="Times New Roman"/>
                <w:kern w:val="0"/>
                <w:sz w:val="24"/>
                <w:szCs w:val="24"/>
              </w:rPr>
              <w:t>至</w:t>
            </w:r>
            <w:r w:rsidRPr="00C7556F">
              <w:rPr>
                <w:rFonts w:ascii="Times New Roman"/>
                <w:kern w:val="0"/>
                <w:sz w:val="24"/>
                <w:szCs w:val="24"/>
              </w:rPr>
              <w:t>12.31</w:t>
            </w:r>
          </w:p>
        </w:tc>
        <w:tc>
          <w:tcPr>
            <w:tcW w:w="0" w:type="auto"/>
            <w:vMerge/>
            <w:vAlign w:val="center"/>
            <w:hideMark/>
          </w:tcPr>
          <w:p w:rsidR="00C7556F" w:rsidRPr="00C7556F" w:rsidRDefault="00C7556F" w:rsidP="00E65E91">
            <w:pPr>
              <w:widowControl/>
              <w:overflowPunct/>
              <w:autoSpaceDE/>
              <w:autoSpaceDN/>
              <w:spacing w:line="280" w:lineRule="exact"/>
              <w:jc w:val="left"/>
              <w:rPr>
                <w:rFonts w:ascii="Times New Roman"/>
                <w:kern w:val="0"/>
                <w:sz w:val="24"/>
                <w:szCs w:val="24"/>
              </w:rPr>
            </w:pPr>
          </w:p>
        </w:tc>
      </w:tr>
      <w:tr w:rsidR="00C7556F" w:rsidRPr="00C7556F" w:rsidTr="00E65E91">
        <w:trPr>
          <w:trHeight w:val="20"/>
        </w:trPr>
        <w:tc>
          <w:tcPr>
            <w:tcW w:w="772"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102.08.21</w:t>
            </w:r>
          </w:p>
        </w:tc>
        <w:tc>
          <w:tcPr>
            <w:tcW w:w="813"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2</w:t>
            </w:r>
          </w:p>
        </w:tc>
        <w:tc>
          <w:tcPr>
            <w:tcW w:w="889" w:type="pct"/>
            <w:vAlign w:val="center"/>
            <w:hideMark/>
          </w:tcPr>
          <w:p w:rsidR="00C7556F" w:rsidRPr="00C7556F" w:rsidRDefault="00C7556F" w:rsidP="00E65E91">
            <w:pPr>
              <w:widowControl/>
              <w:spacing w:line="280" w:lineRule="exact"/>
              <w:jc w:val="center"/>
              <w:rPr>
                <w:rFonts w:ascii="Times New Roman"/>
                <w:spacing w:val="-10"/>
                <w:kern w:val="0"/>
                <w:sz w:val="24"/>
                <w:szCs w:val="24"/>
              </w:rPr>
            </w:pPr>
            <w:r w:rsidRPr="00C7556F">
              <w:rPr>
                <w:rFonts w:ascii="Times New Roman"/>
                <w:spacing w:val="-10"/>
                <w:kern w:val="0"/>
                <w:sz w:val="24"/>
                <w:szCs w:val="24"/>
              </w:rPr>
              <w:t>102.12.31</w:t>
            </w:r>
          </w:p>
        </w:tc>
        <w:tc>
          <w:tcPr>
            <w:tcW w:w="788"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2</w:t>
            </w:r>
          </w:p>
        </w:tc>
        <w:tc>
          <w:tcPr>
            <w:tcW w:w="889"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102.8.21</w:t>
            </w:r>
            <w:r w:rsidRPr="00C7556F">
              <w:rPr>
                <w:rFonts w:ascii="Times New Roman"/>
                <w:kern w:val="0"/>
                <w:sz w:val="24"/>
                <w:szCs w:val="24"/>
              </w:rPr>
              <w:t>至</w:t>
            </w:r>
            <w:r w:rsidRPr="00C7556F">
              <w:rPr>
                <w:rFonts w:ascii="Times New Roman"/>
                <w:kern w:val="0"/>
                <w:sz w:val="24"/>
                <w:szCs w:val="24"/>
              </w:rPr>
              <w:t>12.31</w:t>
            </w:r>
          </w:p>
        </w:tc>
        <w:tc>
          <w:tcPr>
            <w:tcW w:w="848"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0</w:t>
            </w:r>
          </w:p>
        </w:tc>
      </w:tr>
      <w:tr w:rsidR="00C7556F" w:rsidRPr="00C7556F" w:rsidTr="00E65E91">
        <w:trPr>
          <w:trHeight w:val="20"/>
        </w:trPr>
        <w:tc>
          <w:tcPr>
            <w:tcW w:w="772"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102.09.30</w:t>
            </w:r>
          </w:p>
        </w:tc>
        <w:tc>
          <w:tcPr>
            <w:tcW w:w="813"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0.9</w:t>
            </w:r>
          </w:p>
        </w:tc>
        <w:tc>
          <w:tcPr>
            <w:tcW w:w="889" w:type="pct"/>
            <w:vAlign w:val="center"/>
            <w:hideMark/>
          </w:tcPr>
          <w:p w:rsidR="00C7556F" w:rsidRPr="00C7556F" w:rsidRDefault="00C7556F" w:rsidP="00E65E91">
            <w:pPr>
              <w:widowControl/>
              <w:spacing w:line="280" w:lineRule="exact"/>
              <w:jc w:val="center"/>
              <w:rPr>
                <w:rFonts w:ascii="Times New Roman"/>
                <w:spacing w:val="-10"/>
                <w:kern w:val="0"/>
                <w:sz w:val="24"/>
                <w:szCs w:val="24"/>
              </w:rPr>
            </w:pPr>
            <w:r w:rsidRPr="00C7556F">
              <w:rPr>
                <w:rFonts w:ascii="Times New Roman"/>
                <w:spacing w:val="-10"/>
                <w:kern w:val="0"/>
                <w:sz w:val="24"/>
                <w:szCs w:val="24"/>
              </w:rPr>
              <w:t>102.12.31</w:t>
            </w:r>
          </w:p>
        </w:tc>
        <w:tc>
          <w:tcPr>
            <w:tcW w:w="788"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0.9</w:t>
            </w:r>
          </w:p>
        </w:tc>
        <w:tc>
          <w:tcPr>
            <w:tcW w:w="889"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102.9.30</w:t>
            </w:r>
            <w:r w:rsidRPr="00C7556F">
              <w:rPr>
                <w:rFonts w:ascii="Times New Roman"/>
                <w:kern w:val="0"/>
                <w:sz w:val="24"/>
                <w:szCs w:val="24"/>
              </w:rPr>
              <w:t>至</w:t>
            </w:r>
            <w:r w:rsidRPr="00C7556F">
              <w:rPr>
                <w:rFonts w:ascii="Times New Roman"/>
                <w:kern w:val="0"/>
                <w:sz w:val="24"/>
                <w:szCs w:val="24"/>
              </w:rPr>
              <w:t>12.31</w:t>
            </w:r>
          </w:p>
        </w:tc>
        <w:tc>
          <w:tcPr>
            <w:tcW w:w="848"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0</w:t>
            </w:r>
          </w:p>
        </w:tc>
      </w:tr>
      <w:tr w:rsidR="00C7556F" w:rsidRPr="00C7556F" w:rsidTr="00E65E91">
        <w:trPr>
          <w:trHeight w:val="20"/>
        </w:trPr>
        <w:tc>
          <w:tcPr>
            <w:tcW w:w="772"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102.11.29</w:t>
            </w:r>
          </w:p>
        </w:tc>
        <w:tc>
          <w:tcPr>
            <w:tcW w:w="813"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0.6</w:t>
            </w:r>
          </w:p>
        </w:tc>
        <w:tc>
          <w:tcPr>
            <w:tcW w:w="889" w:type="pct"/>
            <w:vAlign w:val="center"/>
            <w:hideMark/>
          </w:tcPr>
          <w:p w:rsidR="00C7556F" w:rsidRPr="00C7556F" w:rsidRDefault="00C7556F" w:rsidP="00E65E91">
            <w:pPr>
              <w:widowControl/>
              <w:spacing w:line="280" w:lineRule="exact"/>
              <w:jc w:val="center"/>
              <w:rPr>
                <w:rFonts w:ascii="Times New Roman"/>
                <w:spacing w:val="-10"/>
                <w:kern w:val="0"/>
                <w:sz w:val="24"/>
                <w:szCs w:val="24"/>
              </w:rPr>
            </w:pPr>
            <w:r w:rsidRPr="00C7556F">
              <w:rPr>
                <w:rFonts w:ascii="Times New Roman"/>
                <w:spacing w:val="-10"/>
                <w:kern w:val="0"/>
                <w:sz w:val="24"/>
                <w:szCs w:val="24"/>
              </w:rPr>
              <w:t>102.12.31</w:t>
            </w:r>
          </w:p>
        </w:tc>
        <w:tc>
          <w:tcPr>
            <w:tcW w:w="788"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0.6</w:t>
            </w:r>
          </w:p>
        </w:tc>
        <w:tc>
          <w:tcPr>
            <w:tcW w:w="889"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102.11.29</w:t>
            </w:r>
            <w:r w:rsidRPr="00C7556F">
              <w:rPr>
                <w:rFonts w:ascii="Times New Roman"/>
                <w:kern w:val="0"/>
                <w:sz w:val="24"/>
                <w:szCs w:val="24"/>
              </w:rPr>
              <w:t>至</w:t>
            </w:r>
            <w:r w:rsidRPr="00C7556F">
              <w:rPr>
                <w:rFonts w:ascii="Times New Roman"/>
                <w:kern w:val="0"/>
                <w:sz w:val="24"/>
                <w:szCs w:val="24"/>
              </w:rPr>
              <w:t>12.31</w:t>
            </w:r>
          </w:p>
        </w:tc>
        <w:tc>
          <w:tcPr>
            <w:tcW w:w="848"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0</w:t>
            </w:r>
          </w:p>
        </w:tc>
      </w:tr>
      <w:tr w:rsidR="00C7556F" w:rsidRPr="00C7556F" w:rsidTr="00E65E91">
        <w:trPr>
          <w:trHeight w:val="20"/>
        </w:trPr>
        <w:tc>
          <w:tcPr>
            <w:tcW w:w="772"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102.12.27</w:t>
            </w:r>
          </w:p>
        </w:tc>
        <w:tc>
          <w:tcPr>
            <w:tcW w:w="813"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0.8</w:t>
            </w:r>
          </w:p>
        </w:tc>
        <w:tc>
          <w:tcPr>
            <w:tcW w:w="889" w:type="pct"/>
            <w:vAlign w:val="center"/>
            <w:hideMark/>
          </w:tcPr>
          <w:p w:rsidR="00C7556F" w:rsidRPr="00C7556F" w:rsidRDefault="00C7556F" w:rsidP="00E65E91">
            <w:pPr>
              <w:widowControl/>
              <w:spacing w:line="280" w:lineRule="exact"/>
              <w:jc w:val="center"/>
              <w:rPr>
                <w:rFonts w:ascii="Times New Roman"/>
                <w:spacing w:val="-10"/>
                <w:kern w:val="0"/>
                <w:sz w:val="24"/>
                <w:szCs w:val="24"/>
              </w:rPr>
            </w:pPr>
            <w:r w:rsidRPr="00C7556F">
              <w:rPr>
                <w:rFonts w:ascii="Times New Roman"/>
                <w:spacing w:val="-10"/>
                <w:kern w:val="0"/>
                <w:sz w:val="24"/>
                <w:szCs w:val="24"/>
              </w:rPr>
              <w:t>102.12.31</w:t>
            </w:r>
          </w:p>
        </w:tc>
        <w:tc>
          <w:tcPr>
            <w:tcW w:w="788"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0.8</w:t>
            </w:r>
          </w:p>
        </w:tc>
        <w:tc>
          <w:tcPr>
            <w:tcW w:w="889"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102.12.27</w:t>
            </w:r>
            <w:r w:rsidRPr="00C7556F">
              <w:rPr>
                <w:rFonts w:ascii="Times New Roman"/>
                <w:kern w:val="0"/>
                <w:sz w:val="24"/>
                <w:szCs w:val="24"/>
              </w:rPr>
              <w:t>至</w:t>
            </w:r>
            <w:r w:rsidRPr="00C7556F">
              <w:rPr>
                <w:rFonts w:ascii="Times New Roman"/>
                <w:kern w:val="0"/>
                <w:sz w:val="24"/>
                <w:szCs w:val="24"/>
              </w:rPr>
              <w:t>12.31</w:t>
            </w:r>
          </w:p>
        </w:tc>
        <w:tc>
          <w:tcPr>
            <w:tcW w:w="848"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0</w:t>
            </w:r>
          </w:p>
        </w:tc>
      </w:tr>
      <w:tr w:rsidR="00C7556F" w:rsidRPr="00C7556F" w:rsidTr="00E65E91">
        <w:trPr>
          <w:trHeight w:val="20"/>
        </w:trPr>
        <w:tc>
          <w:tcPr>
            <w:tcW w:w="772" w:type="pct"/>
            <w:vMerge w:val="restar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103.01.03</w:t>
            </w:r>
          </w:p>
        </w:tc>
        <w:tc>
          <w:tcPr>
            <w:tcW w:w="813" w:type="pct"/>
            <w:vMerge w:val="restar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5</w:t>
            </w:r>
          </w:p>
        </w:tc>
        <w:tc>
          <w:tcPr>
            <w:tcW w:w="889" w:type="pct"/>
            <w:vAlign w:val="center"/>
            <w:hideMark/>
          </w:tcPr>
          <w:p w:rsidR="00C7556F" w:rsidRPr="00C7556F" w:rsidRDefault="00C7556F" w:rsidP="00E65E91">
            <w:pPr>
              <w:widowControl/>
              <w:spacing w:line="280" w:lineRule="exact"/>
              <w:jc w:val="center"/>
              <w:rPr>
                <w:rFonts w:ascii="Times New Roman"/>
                <w:spacing w:val="-10"/>
                <w:kern w:val="0"/>
                <w:sz w:val="24"/>
                <w:szCs w:val="24"/>
              </w:rPr>
            </w:pPr>
            <w:r w:rsidRPr="00C7556F">
              <w:rPr>
                <w:rFonts w:ascii="Times New Roman"/>
                <w:spacing w:val="-10"/>
                <w:kern w:val="0"/>
                <w:sz w:val="24"/>
                <w:szCs w:val="24"/>
              </w:rPr>
              <w:t>103.4.23</w:t>
            </w:r>
          </w:p>
        </w:tc>
        <w:tc>
          <w:tcPr>
            <w:tcW w:w="788"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0.5</w:t>
            </w:r>
          </w:p>
        </w:tc>
        <w:tc>
          <w:tcPr>
            <w:tcW w:w="889"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103.1.3</w:t>
            </w:r>
            <w:r w:rsidRPr="00C7556F">
              <w:rPr>
                <w:rFonts w:ascii="Times New Roman"/>
                <w:kern w:val="0"/>
                <w:sz w:val="24"/>
                <w:szCs w:val="24"/>
              </w:rPr>
              <w:t>至</w:t>
            </w:r>
            <w:r w:rsidRPr="00C7556F">
              <w:rPr>
                <w:rFonts w:ascii="Times New Roman"/>
                <w:kern w:val="0"/>
                <w:sz w:val="24"/>
                <w:szCs w:val="24"/>
              </w:rPr>
              <w:t>4.23</w:t>
            </w:r>
          </w:p>
        </w:tc>
        <w:tc>
          <w:tcPr>
            <w:tcW w:w="848"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w:t>
            </w:r>
          </w:p>
        </w:tc>
      </w:tr>
      <w:tr w:rsidR="00C7556F" w:rsidRPr="00C7556F" w:rsidTr="00E65E91">
        <w:trPr>
          <w:trHeight w:val="20"/>
        </w:trPr>
        <w:tc>
          <w:tcPr>
            <w:tcW w:w="0" w:type="auto"/>
            <w:vMerge/>
            <w:vAlign w:val="center"/>
            <w:hideMark/>
          </w:tcPr>
          <w:p w:rsidR="00C7556F" w:rsidRPr="00C7556F" w:rsidRDefault="00C7556F" w:rsidP="00E65E91">
            <w:pPr>
              <w:widowControl/>
              <w:overflowPunct/>
              <w:autoSpaceDE/>
              <w:autoSpaceDN/>
              <w:spacing w:line="280" w:lineRule="exact"/>
              <w:jc w:val="left"/>
              <w:rPr>
                <w:rFonts w:ascii="Times New Roman"/>
                <w:kern w:val="0"/>
                <w:sz w:val="24"/>
                <w:szCs w:val="24"/>
              </w:rPr>
            </w:pPr>
          </w:p>
        </w:tc>
        <w:tc>
          <w:tcPr>
            <w:tcW w:w="0" w:type="auto"/>
            <w:vMerge/>
            <w:vAlign w:val="center"/>
            <w:hideMark/>
          </w:tcPr>
          <w:p w:rsidR="00C7556F" w:rsidRPr="00C7556F" w:rsidRDefault="00C7556F" w:rsidP="00E65E91">
            <w:pPr>
              <w:widowControl/>
              <w:overflowPunct/>
              <w:autoSpaceDE/>
              <w:autoSpaceDN/>
              <w:spacing w:line="280" w:lineRule="exact"/>
              <w:jc w:val="left"/>
              <w:rPr>
                <w:rFonts w:ascii="Times New Roman"/>
                <w:kern w:val="0"/>
                <w:sz w:val="24"/>
                <w:szCs w:val="24"/>
              </w:rPr>
            </w:pPr>
          </w:p>
        </w:tc>
        <w:tc>
          <w:tcPr>
            <w:tcW w:w="889" w:type="pct"/>
            <w:vAlign w:val="center"/>
            <w:hideMark/>
          </w:tcPr>
          <w:p w:rsidR="00C7556F" w:rsidRPr="00C7556F" w:rsidRDefault="00C7556F" w:rsidP="00E65E91">
            <w:pPr>
              <w:widowControl/>
              <w:spacing w:line="280" w:lineRule="exact"/>
              <w:jc w:val="center"/>
              <w:rPr>
                <w:rFonts w:ascii="Times New Roman"/>
                <w:spacing w:val="-10"/>
                <w:kern w:val="0"/>
                <w:sz w:val="24"/>
                <w:szCs w:val="24"/>
              </w:rPr>
            </w:pPr>
            <w:r w:rsidRPr="00C7556F">
              <w:rPr>
                <w:rFonts w:ascii="Times New Roman"/>
                <w:spacing w:val="-10"/>
                <w:kern w:val="0"/>
                <w:sz w:val="24"/>
                <w:szCs w:val="24"/>
              </w:rPr>
              <w:t>104.5.14</w:t>
            </w:r>
          </w:p>
        </w:tc>
        <w:tc>
          <w:tcPr>
            <w:tcW w:w="788"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0.3</w:t>
            </w:r>
          </w:p>
        </w:tc>
        <w:tc>
          <w:tcPr>
            <w:tcW w:w="889"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103.1.3</w:t>
            </w:r>
            <w:r w:rsidRPr="00C7556F">
              <w:rPr>
                <w:rFonts w:ascii="Times New Roman"/>
                <w:kern w:val="0"/>
                <w:sz w:val="24"/>
                <w:szCs w:val="24"/>
              </w:rPr>
              <w:t>至</w:t>
            </w:r>
            <w:r w:rsidRPr="00C7556F">
              <w:rPr>
                <w:rFonts w:ascii="Times New Roman"/>
                <w:kern w:val="0"/>
                <w:sz w:val="24"/>
                <w:szCs w:val="24"/>
              </w:rPr>
              <w:t>104.5.14</w:t>
            </w:r>
          </w:p>
        </w:tc>
        <w:tc>
          <w:tcPr>
            <w:tcW w:w="848"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w:t>
            </w:r>
          </w:p>
        </w:tc>
      </w:tr>
      <w:tr w:rsidR="00C7556F" w:rsidRPr="00C7556F" w:rsidTr="00E65E91">
        <w:trPr>
          <w:trHeight w:val="20"/>
        </w:trPr>
        <w:tc>
          <w:tcPr>
            <w:tcW w:w="0" w:type="auto"/>
            <w:vMerge/>
            <w:vAlign w:val="center"/>
            <w:hideMark/>
          </w:tcPr>
          <w:p w:rsidR="00C7556F" w:rsidRPr="00C7556F" w:rsidRDefault="00C7556F" w:rsidP="00E65E91">
            <w:pPr>
              <w:widowControl/>
              <w:overflowPunct/>
              <w:autoSpaceDE/>
              <w:autoSpaceDN/>
              <w:spacing w:line="280" w:lineRule="exact"/>
              <w:jc w:val="left"/>
              <w:rPr>
                <w:rFonts w:ascii="Times New Roman"/>
                <w:kern w:val="0"/>
                <w:sz w:val="24"/>
                <w:szCs w:val="24"/>
              </w:rPr>
            </w:pPr>
          </w:p>
        </w:tc>
        <w:tc>
          <w:tcPr>
            <w:tcW w:w="0" w:type="auto"/>
            <w:vMerge/>
            <w:vAlign w:val="center"/>
            <w:hideMark/>
          </w:tcPr>
          <w:p w:rsidR="00C7556F" w:rsidRPr="00C7556F" w:rsidRDefault="00C7556F" w:rsidP="00E65E91">
            <w:pPr>
              <w:widowControl/>
              <w:overflowPunct/>
              <w:autoSpaceDE/>
              <w:autoSpaceDN/>
              <w:spacing w:line="280" w:lineRule="exact"/>
              <w:jc w:val="left"/>
              <w:rPr>
                <w:rFonts w:ascii="Times New Roman"/>
                <w:kern w:val="0"/>
                <w:sz w:val="24"/>
                <w:szCs w:val="24"/>
              </w:rPr>
            </w:pPr>
          </w:p>
        </w:tc>
        <w:tc>
          <w:tcPr>
            <w:tcW w:w="889" w:type="pct"/>
            <w:vAlign w:val="center"/>
            <w:hideMark/>
          </w:tcPr>
          <w:p w:rsidR="00C7556F" w:rsidRPr="00C7556F" w:rsidRDefault="00C7556F" w:rsidP="00E65E91">
            <w:pPr>
              <w:widowControl/>
              <w:spacing w:line="280" w:lineRule="exact"/>
              <w:jc w:val="center"/>
              <w:rPr>
                <w:rFonts w:ascii="Times New Roman"/>
                <w:spacing w:val="-10"/>
                <w:kern w:val="0"/>
                <w:sz w:val="24"/>
                <w:szCs w:val="24"/>
              </w:rPr>
            </w:pPr>
            <w:r w:rsidRPr="00C7556F">
              <w:rPr>
                <w:rFonts w:ascii="Times New Roman"/>
                <w:spacing w:val="-10"/>
                <w:kern w:val="0"/>
                <w:sz w:val="24"/>
                <w:szCs w:val="24"/>
              </w:rPr>
              <w:t>104.6.12</w:t>
            </w:r>
          </w:p>
        </w:tc>
        <w:tc>
          <w:tcPr>
            <w:tcW w:w="788"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0.2</w:t>
            </w:r>
          </w:p>
        </w:tc>
        <w:tc>
          <w:tcPr>
            <w:tcW w:w="889"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103.1.3</w:t>
            </w:r>
            <w:r w:rsidRPr="00C7556F">
              <w:rPr>
                <w:rFonts w:ascii="Times New Roman"/>
                <w:kern w:val="0"/>
                <w:sz w:val="24"/>
                <w:szCs w:val="24"/>
              </w:rPr>
              <w:t>至</w:t>
            </w:r>
            <w:r w:rsidRPr="00C7556F">
              <w:rPr>
                <w:rFonts w:ascii="Times New Roman"/>
                <w:kern w:val="0"/>
                <w:sz w:val="24"/>
                <w:szCs w:val="24"/>
              </w:rPr>
              <w:t>104.6.12</w:t>
            </w:r>
          </w:p>
        </w:tc>
        <w:tc>
          <w:tcPr>
            <w:tcW w:w="848"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w:t>
            </w:r>
          </w:p>
        </w:tc>
      </w:tr>
      <w:tr w:rsidR="00C7556F" w:rsidRPr="00C7556F" w:rsidTr="00E65E91">
        <w:trPr>
          <w:trHeight w:val="20"/>
        </w:trPr>
        <w:tc>
          <w:tcPr>
            <w:tcW w:w="0" w:type="auto"/>
            <w:vMerge/>
            <w:vAlign w:val="center"/>
            <w:hideMark/>
          </w:tcPr>
          <w:p w:rsidR="00C7556F" w:rsidRPr="00C7556F" w:rsidRDefault="00C7556F" w:rsidP="00E65E91">
            <w:pPr>
              <w:widowControl/>
              <w:overflowPunct/>
              <w:autoSpaceDE/>
              <w:autoSpaceDN/>
              <w:spacing w:line="280" w:lineRule="exact"/>
              <w:jc w:val="left"/>
              <w:rPr>
                <w:rFonts w:ascii="Times New Roman"/>
                <w:kern w:val="0"/>
                <w:sz w:val="24"/>
                <w:szCs w:val="24"/>
              </w:rPr>
            </w:pPr>
          </w:p>
        </w:tc>
        <w:tc>
          <w:tcPr>
            <w:tcW w:w="0" w:type="auto"/>
            <w:vMerge/>
            <w:vAlign w:val="center"/>
            <w:hideMark/>
          </w:tcPr>
          <w:p w:rsidR="00C7556F" w:rsidRPr="00C7556F" w:rsidRDefault="00C7556F" w:rsidP="00E65E91">
            <w:pPr>
              <w:widowControl/>
              <w:overflowPunct/>
              <w:autoSpaceDE/>
              <w:autoSpaceDN/>
              <w:spacing w:line="280" w:lineRule="exact"/>
              <w:jc w:val="left"/>
              <w:rPr>
                <w:rFonts w:ascii="Times New Roman"/>
                <w:kern w:val="0"/>
                <w:sz w:val="24"/>
                <w:szCs w:val="24"/>
              </w:rPr>
            </w:pPr>
          </w:p>
        </w:tc>
        <w:tc>
          <w:tcPr>
            <w:tcW w:w="889" w:type="pct"/>
            <w:vAlign w:val="center"/>
            <w:hideMark/>
          </w:tcPr>
          <w:p w:rsidR="00C7556F" w:rsidRPr="00C7556F" w:rsidRDefault="00C7556F" w:rsidP="00E65E91">
            <w:pPr>
              <w:widowControl/>
              <w:spacing w:line="280" w:lineRule="exact"/>
              <w:jc w:val="center"/>
              <w:rPr>
                <w:rFonts w:ascii="Times New Roman"/>
                <w:spacing w:val="-10"/>
                <w:kern w:val="0"/>
                <w:sz w:val="24"/>
                <w:szCs w:val="24"/>
              </w:rPr>
            </w:pPr>
            <w:r w:rsidRPr="00C7556F">
              <w:rPr>
                <w:rFonts w:ascii="Times New Roman"/>
                <w:spacing w:val="-10"/>
                <w:kern w:val="0"/>
                <w:sz w:val="24"/>
                <w:szCs w:val="24"/>
              </w:rPr>
              <w:t>105.5.31</w:t>
            </w:r>
          </w:p>
        </w:tc>
        <w:tc>
          <w:tcPr>
            <w:tcW w:w="788"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0.5</w:t>
            </w:r>
          </w:p>
        </w:tc>
        <w:tc>
          <w:tcPr>
            <w:tcW w:w="889"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103.1.3</w:t>
            </w:r>
            <w:r w:rsidRPr="00C7556F">
              <w:rPr>
                <w:rFonts w:ascii="Times New Roman"/>
                <w:kern w:val="0"/>
                <w:sz w:val="24"/>
                <w:szCs w:val="24"/>
              </w:rPr>
              <w:t>至</w:t>
            </w:r>
            <w:r w:rsidRPr="00C7556F">
              <w:rPr>
                <w:rFonts w:ascii="Times New Roman"/>
                <w:spacing w:val="-10"/>
                <w:kern w:val="0"/>
                <w:sz w:val="24"/>
                <w:szCs w:val="24"/>
              </w:rPr>
              <w:t>105.5.31</w:t>
            </w:r>
          </w:p>
        </w:tc>
        <w:tc>
          <w:tcPr>
            <w:tcW w:w="848"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w:t>
            </w:r>
          </w:p>
        </w:tc>
      </w:tr>
      <w:tr w:rsidR="00C7556F" w:rsidRPr="00C7556F" w:rsidTr="00E65E91">
        <w:trPr>
          <w:trHeight w:val="20"/>
        </w:trPr>
        <w:tc>
          <w:tcPr>
            <w:tcW w:w="0" w:type="auto"/>
            <w:vMerge/>
            <w:vAlign w:val="center"/>
            <w:hideMark/>
          </w:tcPr>
          <w:p w:rsidR="00C7556F" w:rsidRPr="00C7556F" w:rsidRDefault="00C7556F" w:rsidP="00E65E91">
            <w:pPr>
              <w:widowControl/>
              <w:overflowPunct/>
              <w:autoSpaceDE/>
              <w:autoSpaceDN/>
              <w:spacing w:line="280" w:lineRule="exact"/>
              <w:jc w:val="left"/>
              <w:rPr>
                <w:rFonts w:ascii="Times New Roman"/>
                <w:kern w:val="0"/>
                <w:sz w:val="24"/>
                <w:szCs w:val="24"/>
              </w:rPr>
            </w:pPr>
          </w:p>
        </w:tc>
        <w:tc>
          <w:tcPr>
            <w:tcW w:w="0" w:type="auto"/>
            <w:vMerge/>
            <w:vAlign w:val="center"/>
            <w:hideMark/>
          </w:tcPr>
          <w:p w:rsidR="00C7556F" w:rsidRPr="00C7556F" w:rsidRDefault="00C7556F" w:rsidP="00E65E91">
            <w:pPr>
              <w:widowControl/>
              <w:overflowPunct/>
              <w:autoSpaceDE/>
              <w:autoSpaceDN/>
              <w:spacing w:line="280" w:lineRule="exact"/>
              <w:jc w:val="left"/>
              <w:rPr>
                <w:rFonts w:ascii="Times New Roman"/>
                <w:kern w:val="0"/>
                <w:sz w:val="24"/>
                <w:szCs w:val="24"/>
              </w:rPr>
            </w:pPr>
          </w:p>
        </w:tc>
        <w:tc>
          <w:tcPr>
            <w:tcW w:w="889" w:type="pct"/>
            <w:vAlign w:val="center"/>
            <w:hideMark/>
          </w:tcPr>
          <w:p w:rsidR="00C7556F" w:rsidRPr="00C7556F" w:rsidRDefault="00C7556F" w:rsidP="00E65E91">
            <w:pPr>
              <w:widowControl/>
              <w:spacing w:line="280" w:lineRule="exact"/>
              <w:jc w:val="center"/>
              <w:rPr>
                <w:rFonts w:ascii="Times New Roman"/>
                <w:spacing w:val="-10"/>
                <w:kern w:val="0"/>
                <w:sz w:val="24"/>
                <w:szCs w:val="24"/>
              </w:rPr>
            </w:pPr>
            <w:r w:rsidRPr="00C7556F">
              <w:rPr>
                <w:rFonts w:ascii="Times New Roman"/>
                <w:spacing w:val="-10"/>
                <w:kern w:val="0"/>
                <w:sz w:val="24"/>
                <w:szCs w:val="24"/>
              </w:rPr>
              <w:t>106.5.11</w:t>
            </w:r>
          </w:p>
        </w:tc>
        <w:tc>
          <w:tcPr>
            <w:tcW w:w="788"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0.6</w:t>
            </w:r>
          </w:p>
        </w:tc>
        <w:tc>
          <w:tcPr>
            <w:tcW w:w="889"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103.1.3</w:t>
            </w:r>
            <w:r w:rsidRPr="00C7556F">
              <w:rPr>
                <w:rFonts w:ascii="Times New Roman"/>
                <w:kern w:val="0"/>
                <w:sz w:val="24"/>
                <w:szCs w:val="24"/>
              </w:rPr>
              <w:t>至</w:t>
            </w:r>
            <w:r w:rsidRPr="00C7556F">
              <w:rPr>
                <w:rFonts w:ascii="Times New Roman"/>
                <w:spacing w:val="-10"/>
                <w:kern w:val="0"/>
                <w:sz w:val="24"/>
                <w:szCs w:val="24"/>
              </w:rPr>
              <w:t>106.5.11</w:t>
            </w:r>
          </w:p>
        </w:tc>
        <w:tc>
          <w:tcPr>
            <w:tcW w:w="848"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w:t>
            </w:r>
          </w:p>
        </w:tc>
      </w:tr>
      <w:tr w:rsidR="00C7556F" w:rsidRPr="00C7556F" w:rsidTr="00E65E91">
        <w:trPr>
          <w:trHeight w:val="20"/>
        </w:trPr>
        <w:tc>
          <w:tcPr>
            <w:tcW w:w="0" w:type="auto"/>
            <w:vMerge/>
            <w:vAlign w:val="center"/>
            <w:hideMark/>
          </w:tcPr>
          <w:p w:rsidR="00C7556F" w:rsidRPr="00C7556F" w:rsidRDefault="00C7556F" w:rsidP="00E65E91">
            <w:pPr>
              <w:widowControl/>
              <w:overflowPunct/>
              <w:autoSpaceDE/>
              <w:autoSpaceDN/>
              <w:spacing w:line="280" w:lineRule="exact"/>
              <w:jc w:val="left"/>
              <w:rPr>
                <w:rFonts w:ascii="Times New Roman"/>
                <w:kern w:val="0"/>
                <w:sz w:val="24"/>
                <w:szCs w:val="24"/>
              </w:rPr>
            </w:pPr>
          </w:p>
        </w:tc>
        <w:tc>
          <w:tcPr>
            <w:tcW w:w="0" w:type="auto"/>
            <w:vMerge/>
            <w:vAlign w:val="center"/>
            <w:hideMark/>
          </w:tcPr>
          <w:p w:rsidR="00C7556F" w:rsidRPr="00C7556F" w:rsidRDefault="00C7556F" w:rsidP="00E65E91">
            <w:pPr>
              <w:widowControl/>
              <w:overflowPunct/>
              <w:autoSpaceDE/>
              <w:autoSpaceDN/>
              <w:spacing w:line="280" w:lineRule="exact"/>
              <w:jc w:val="left"/>
              <w:rPr>
                <w:rFonts w:ascii="Times New Roman"/>
                <w:kern w:val="0"/>
                <w:sz w:val="24"/>
                <w:szCs w:val="24"/>
              </w:rPr>
            </w:pPr>
          </w:p>
        </w:tc>
        <w:tc>
          <w:tcPr>
            <w:tcW w:w="889" w:type="pct"/>
            <w:vAlign w:val="center"/>
            <w:hideMark/>
          </w:tcPr>
          <w:p w:rsidR="00C7556F" w:rsidRPr="00C7556F" w:rsidRDefault="00C7556F" w:rsidP="00E65E91">
            <w:pPr>
              <w:widowControl/>
              <w:spacing w:line="280" w:lineRule="exact"/>
              <w:jc w:val="center"/>
              <w:rPr>
                <w:rFonts w:ascii="Times New Roman"/>
                <w:spacing w:val="-10"/>
                <w:kern w:val="0"/>
                <w:sz w:val="24"/>
                <w:szCs w:val="24"/>
              </w:rPr>
            </w:pPr>
            <w:r w:rsidRPr="00C7556F">
              <w:rPr>
                <w:rFonts w:ascii="Times New Roman"/>
                <w:spacing w:val="-10"/>
                <w:kern w:val="0"/>
                <w:sz w:val="24"/>
                <w:szCs w:val="24"/>
              </w:rPr>
              <w:t>106.8.31</w:t>
            </w:r>
          </w:p>
        </w:tc>
        <w:tc>
          <w:tcPr>
            <w:tcW w:w="788"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0.3</w:t>
            </w:r>
          </w:p>
        </w:tc>
        <w:tc>
          <w:tcPr>
            <w:tcW w:w="889"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103.1.3</w:t>
            </w:r>
            <w:r w:rsidRPr="00C7556F">
              <w:rPr>
                <w:rFonts w:ascii="Times New Roman"/>
                <w:kern w:val="0"/>
                <w:sz w:val="24"/>
                <w:szCs w:val="24"/>
              </w:rPr>
              <w:t>至</w:t>
            </w:r>
            <w:r w:rsidRPr="00C7556F">
              <w:rPr>
                <w:rFonts w:ascii="Times New Roman"/>
                <w:spacing w:val="-10"/>
                <w:kern w:val="0"/>
                <w:sz w:val="24"/>
                <w:szCs w:val="24"/>
              </w:rPr>
              <w:t>106.8.31</w:t>
            </w:r>
          </w:p>
        </w:tc>
        <w:tc>
          <w:tcPr>
            <w:tcW w:w="848"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w:t>
            </w:r>
          </w:p>
        </w:tc>
      </w:tr>
      <w:tr w:rsidR="00C7556F" w:rsidRPr="00C7556F" w:rsidTr="00E65E91">
        <w:trPr>
          <w:trHeight w:val="20"/>
        </w:trPr>
        <w:tc>
          <w:tcPr>
            <w:tcW w:w="0" w:type="auto"/>
            <w:vMerge/>
            <w:vAlign w:val="center"/>
            <w:hideMark/>
          </w:tcPr>
          <w:p w:rsidR="00C7556F" w:rsidRPr="00C7556F" w:rsidRDefault="00C7556F" w:rsidP="00E65E91">
            <w:pPr>
              <w:widowControl/>
              <w:overflowPunct/>
              <w:autoSpaceDE/>
              <w:autoSpaceDN/>
              <w:spacing w:line="280" w:lineRule="exact"/>
              <w:jc w:val="left"/>
              <w:rPr>
                <w:rFonts w:ascii="Times New Roman"/>
                <w:kern w:val="0"/>
                <w:sz w:val="24"/>
                <w:szCs w:val="24"/>
              </w:rPr>
            </w:pPr>
          </w:p>
        </w:tc>
        <w:tc>
          <w:tcPr>
            <w:tcW w:w="0" w:type="auto"/>
            <w:vMerge/>
            <w:vAlign w:val="center"/>
            <w:hideMark/>
          </w:tcPr>
          <w:p w:rsidR="00C7556F" w:rsidRPr="00C7556F" w:rsidRDefault="00C7556F" w:rsidP="00E65E91">
            <w:pPr>
              <w:widowControl/>
              <w:overflowPunct/>
              <w:autoSpaceDE/>
              <w:autoSpaceDN/>
              <w:spacing w:line="280" w:lineRule="exact"/>
              <w:jc w:val="left"/>
              <w:rPr>
                <w:rFonts w:ascii="Times New Roman"/>
                <w:kern w:val="0"/>
                <w:sz w:val="24"/>
                <w:szCs w:val="24"/>
              </w:rPr>
            </w:pPr>
          </w:p>
        </w:tc>
        <w:tc>
          <w:tcPr>
            <w:tcW w:w="889" w:type="pct"/>
            <w:vAlign w:val="center"/>
            <w:hideMark/>
          </w:tcPr>
          <w:p w:rsidR="00C7556F" w:rsidRPr="00C7556F" w:rsidRDefault="00C7556F" w:rsidP="00E65E91">
            <w:pPr>
              <w:widowControl/>
              <w:spacing w:line="280" w:lineRule="exact"/>
              <w:jc w:val="center"/>
              <w:rPr>
                <w:rFonts w:ascii="Times New Roman"/>
                <w:spacing w:val="-10"/>
                <w:kern w:val="0"/>
                <w:sz w:val="24"/>
                <w:szCs w:val="24"/>
              </w:rPr>
            </w:pPr>
            <w:r w:rsidRPr="00C7556F">
              <w:rPr>
                <w:rFonts w:ascii="Times New Roman"/>
                <w:spacing w:val="-10"/>
                <w:kern w:val="0"/>
                <w:sz w:val="24"/>
                <w:szCs w:val="24"/>
              </w:rPr>
              <w:t>-</w:t>
            </w:r>
          </w:p>
        </w:tc>
        <w:tc>
          <w:tcPr>
            <w:tcW w:w="788"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spacing w:val="-10"/>
                <w:kern w:val="0"/>
                <w:sz w:val="24"/>
                <w:szCs w:val="24"/>
              </w:rPr>
              <w:t>-</w:t>
            </w:r>
          </w:p>
        </w:tc>
        <w:tc>
          <w:tcPr>
            <w:tcW w:w="889"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103.1.3</w:t>
            </w:r>
          </w:p>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迄今</w:t>
            </w:r>
          </w:p>
        </w:tc>
        <w:tc>
          <w:tcPr>
            <w:tcW w:w="848"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2.6</w:t>
            </w:r>
          </w:p>
        </w:tc>
      </w:tr>
      <w:tr w:rsidR="00C7556F" w:rsidRPr="00C7556F" w:rsidTr="00E65E91">
        <w:trPr>
          <w:trHeight w:val="20"/>
        </w:trPr>
        <w:tc>
          <w:tcPr>
            <w:tcW w:w="772"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103.01.09</w:t>
            </w:r>
          </w:p>
        </w:tc>
        <w:tc>
          <w:tcPr>
            <w:tcW w:w="813"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1.7</w:t>
            </w:r>
          </w:p>
        </w:tc>
        <w:tc>
          <w:tcPr>
            <w:tcW w:w="889" w:type="pct"/>
            <w:vAlign w:val="center"/>
            <w:hideMark/>
          </w:tcPr>
          <w:p w:rsidR="00C7556F" w:rsidRPr="00C7556F" w:rsidRDefault="00C7556F" w:rsidP="00E65E91">
            <w:pPr>
              <w:widowControl/>
              <w:spacing w:line="280" w:lineRule="exact"/>
              <w:jc w:val="center"/>
              <w:rPr>
                <w:rFonts w:ascii="Times New Roman"/>
                <w:spacing w:val="-10"/>
                <w:kern w:val="0"/>
                <w:sz w:val="24"/>
                <w:szCs w:val="24"/>
              </w:rPr>
            </w:pPr>
            <w:r w:rsidRPr="00C7556F">
              <w:rPr>
                <w:rFonts w:ascii="Times New Roman"/>
                <w:spacing w:val="-10"/>
                <w:kern w:val="0"/>
                <w:sz w:val="24"/>
                <w:szCs w:val="24"/>
              </w:rPr>
              <w:t>-</w:t>
            </w:r>
          </w:p>
        </w:tc>
        <w:tc>
          <w:tcPr>
            <w:tcW w:w="788"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spacing w:val="-10"/>
                <w:kern w:val="0"/>
                <w:sz w:val="24"/>
                <w:szCs w:val="24"/>
              </w:rPr>
              <w:t>-</w:t>
            </w:r>
          </w:p>
        </w:tc>
        <w:tc>
          <w:tcPr>
            <w:tcW w:w="889"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103.1.9</w:t>
            </w:r>
          </w:p>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迄今</w:t>
            </w:r>
          </w:p>
        </w:tc>
        <w:tc>
          <w:tcPr>
            <w:tcW w:w="848"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1.7</w:t>
            </w:r>
          </w:p>
        </w:tc>
      </w:tr>
      <w:tr w:rsidR="00C7556F" w:rsidRPr="00C7556F" w:rsidTr="00E65E91">
        <w:trPr>
          <w:trHeight w:val="20"/>
        </w:trPr>
        <w:tc>
          <w:tcPr>
            <w:tcW w:w="772"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103.09.05</w:t>
            </w:r>
          </w:p>
        </w:tc>
        <w:tc>
          <w:tcPr>
            <w:tcW w:w="813"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0.8</w:t>
            </w:r>
          </w:p>
        </w:tc>
        <w:tc>
          <w:tcPr>
            <w:tcW w:w="889" w:type="pct"/>
            <w:vAlign w:val="center"/>
            <w:hideMark/>
          </w:tcPr>
          <w:p w:rsidR="00C7556F" w:rsidRPr="00C7556F" w:rsidRDefault="00C7556F" w:rsidP="00E65E91">
            <w:pPr>
              <w:widowControl/>
              <w:spacing w:line="280" w:lineRule="exact"/>
              <w:jc w:val="center"/>
              <w:rPr>
                <w:rFonts w:ascii="Times New Roman"/>
                <w:spacing w:val="-10"/>
                <w:kern w:val="0"/>
                <w:sz w:val="24"/>
                <w:szCs w:val="24"/>
              </w:rPr>
            </w:pPr>
            <w:r w:rsidRPr="00C7556F">
              <w:rPr>
                <w:rFonts w:ascii="Times New Roman"/>
                <w:spacing w:val="-10"/>
                <w:kern w:val="0"/>
                <w:sz w:val="24"/>
                <w:szCs w:val="24"/>
              </w:rPr>
              <w:t>-</w:t>
            </w:r>
          </w:p>
        </w:tc>
        <w:tc>
          <w:tcPr>
            <w:tcW w:w="788" w:type="pct"/>
            <w:vAlign w:val="center"/>
            <w:hideMark/>
          </w:tcPr>
          <w:p w:rsidR="00C7556F" w:rsidRPr="00C7556F" w:rsidRDefault="00C7556F" w:rsidP="00E65E91">
            <w:pPr>
              <w:spacing w:line="280" w:lineRule="exact"/>
              <w:jc w:val="center"/>
              <w:rPr>
                <w:rFonts w:ascii="Times New Roman"/>
              </w:rPr>
            </w:pPr>
            <w:r w:rsidRPr="00C7556F">
              <w:rPr>
                <w:rFonts w:ascii="Times New Roman"/>
                <w:spacing w:val="-10"/>
                <w:kern w:val="0"/>
                <w:sz w:val="24"/>
                <w:szCs w:val="24"/>
              </w:rPr>
              <w:t>-</w:t>
            </w:r>
          </w:p>
        </w:tc>
        <w:tc>
          <w:tcPr>
            <w:tcW w:w="889"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103.9.15</w:t>
            </w:r>
          </w:p>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迄今</w:t>
            </w:r>
          </w:p>
        </w:tc>
        <w:tc>
          <w:tcPr>
            <w:tcW w:w="848"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0.8</w:t>
            </w:r>
          </w:p>
        </w:tc>
      </w:tr>
      <w:tr w:rsidR="00C7556F" w:rsidRPr="00C7556F" w:rsidTr="00E65E91">
        <w:trPr>
          <w:trHeight w:val="20"/>
        </w:trPr>
        <w:tc>
          <w:tcPr>
            <w:tcW w:w="772"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103.10.31</w:t>
            </w:r>
          </w:p>
        </w:tc>
        <w:tc>
          <w:tcPr>
            <w:tcW w:w="813"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1</w:t>
            </w:r>
          </w:p>
        </w:tc>
        <w:tc>
          <w:tcPr>
            <w:tcW w:w="889" w:type="pct"/>
            <w:vAlign w:val="center"/>
            <w:hideMark/>
          </w:tcPr>
          <w:p w:rsidR="00C7556F" w:rsidRPr="00C7556F" w:rsidRDefault="00C7556F" w:rsidP="00E65E91">
            <w:pPr>
              <w:widowControl/>
              <w:spacing w:line="280" w:lineRule="exact"/>
              <w:jc w:val="center"/>
              <w:rPr>
                <w:rFonts w:ascii="Times New Roman"/>
                <w:spacing w:val="-10"/>
                <w:kern w:val="0"/>
                <w:sz w:val="24"/>
                <w:szCs w:val="24"/>
              </w:rPr>
            </w:pPr>
            <w:r w:rsidRPr="00C7556F">
              <w:rPr>
                <w:rFonts w:ascii="Times New Roman"/>
                <w:spacing w:val="-10"/>
                <w:kern w:val="0"/>
                <w:sz w:val="24"/>
                <w:szCs w:val="24"/>
              </w:rPr>
              <w:t>-</w:t>
            </w:r>
          </w:p>
        </w:tc>
        <w:tc>
          <w:tcPr>
            <w:tcW w:w="788" w:type="pct"/>
            <w:vAlign w:val="center"/>
            <w:hideMark/>
          </w:tcPr>
          <w:p w:rsidR="00C7556F" w:rsidRPr="00C7556F" w:rsidRDefault="00C7556F" w:rsidP="00E65E91">
            <w:pPr>
              <w:spacing w:line="280" w:lineRule="exact"/>
              <w:jc w:val="center"/>
              <w:rPr>
                <w:rFonts w:ascii="Times New Roman"/>
              </w:rPr>
            </w:pPr>
            <w:r w:rsidRPr="00C7556F">
              <w:rPr>
                <w:rFonts w:ascii="Times New Roman"/>
                <w:spacing w:val="-10"/>
                <w:kern w:val="0"/>
                <w:sz w:val="24"/>
                <w:szCs w:val="24"/>
              </w:rPr>
              <w:t>-</w:t>
            </w:r>
          </w:p>
        </w:tc>
        <w:tc>
          <w:tcPr>
            <w:tcW w:w="889" w:type="pct"/>
            <w:vAlign w:val="center"/>
            <w:hideMark/>
          </w:tcPr>
          <w:p w:rsidR="00C7556F" w:rsidRPr="00C7556F" w:rsidRDefault="00C7556F" w:rsidP="00E65E91">
            <w:pPr>
              <w:widowControl/>
              <w:spacing w:line="280" w:lineRule="exact"/>
              <w:jc w:val="center"/>
              <w:rPr>
                <w:rFonts w:ascii="Times New Roman"/>
                <w:kern w:val="0"/>
                <w:sz w:val="22"/>
                <w:szCs w:val="22"/>
              </w:rPr>
            </w:pPr>
            <w:r w:rsidRPr="00C7556F">
              <w:rPr>
                <w:rFonts w:ascii="Times New Roman"/>
                <w:kern w:val="0"/>
                <w:sz w:val="22"/>
                <w:szCs w:val="22"/>
              </w:rPr>
              <w:t>103.10.31</w:t>
            </w:r>
          </w:p>
          <w:p w:rsidR="00C7556F" w:rsidRPr="00C7556F" w:rsidRDefault="00C7556F" w:rsidP="00E65E91">
            <w:pPr>
              <w:widowControl/>
              <w:spacing w:line="280" w:lineRule="exact"/>
              <w:jc w:val="center"/>
              <w:rPr>
                <w:rFonts w:ascii="Times New Roman"/>
                <w:kern w:val="0"/>
                <w:sz w:val="22"/>
                <w:szCs w:val="22"/>
              </w:rPr>
            </w:pPr>
            <w:r w:rsidRPr="00C7556F">
              <w:rPr>
                <w:rFonts w:ascii="Times New Roman"/>
                <w:kern w:val="0"/>
                <w:sz w:val="22"/>
                <w:szCs w:val="22"/>
              </w:rPr>
              <w:t>迄今</w:t>
            </w:r>
          </w:p>
        </w:tc>
        <w:tc>
          <w:tcPr>
            <w:tcW w:w="848" w:type="pct"/>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1</w:t>
            </w:r>
          </w:p>
        </w:tc>
      </w:tr>
      <w:tr w:rsidR="00C7556F" w:rsidRPr="00C7556F" w:rsidTr="00E65E91">
        <w:trPr>
          <w:trHeight w:val="256"/>
        </w:trPr>
        <w:tc>
          <w:tcPr>
            <w:tcW w:w="772" w:type="pct"/>
            <w:vAlign w:val="center"/>
            <w:hideMark/>
          </w:tcPr>
          <w:p w:rsidR="00C7556F" w:rsidRPr="00C7556F" w:rsidRDefault="00C7556F" w:rsidP="00E65E91">
            <w:pPr>
              <w:widowControl/>
              <w:spacing w:line="300" w:lineRule="exact"/>
              <w:jc w:val="center"/>
              <w:rPr>
                <w:rFonts w:ascii="Times New Roman"/>
                <w:kern w:val="0"/>
                <w:sz w:val="24"/>
                <w:szCs w:val="24"/>
              </w:rPr>
            </w:pPr>
            <w:r w:rsidRPr="00C7556F">
              <w:rPr>
                <w:rFonts w:ascii="Times New Roman"/>
                <w:kern w:val="0"/>
                <w:sz w:val="24"/>
                <w:szCs w:val="24"/>
              </w:rPr>
              <w:t>合</w:t>
            </w:r>
            <w:r w:rsidRPr="00C7556F">
              <w:rPr>
                <w:rFonts w:ascii="Times New Roman"/>
                <w:kern w:val="0"/>
                <w:sz w:val="24"/>
                <w:szCs w:val="24"/>
              </w:rPr>
              <w:t xml:space="preserve">  </w:t>
            </w:r>
            <w:r w:rsidRPr="00C7556F">
              <w:rPr>
                <w:rFonts w:ascii="Times New Roman"/>
                <w:kern w:val="0"/>
                <w:sz w:val="24"/>
                <w:szCs w:val="24"/>
              </w:rPr>
              <w:t>計</w:t>
            </w:r>
          </w:p>
        </w:tc>
        <w:tc>
          <w:tcPr>
            <w:tcW w:w="813" w:type="pct"/>
            <w:vAlign w:val="center"/>
            <w:hideMark/>
          </w:tcPr>
          <w:p w:rsidR="00C7556F" w:rsidRPr="00C7556F" w:rsidRDefault="00C7556F" w:rsidP="00E65E91">
            <w:pPr>
              <w:widowControl/>
              <w:spacing w:line="300" w:lineRule="exact"/>
              <w:jc w:val="center"/>
              <w:rPr>
                <w:rFonts w:ascii="Times New Roman"/>
                <w:kern w:val="0"/>
                <w:sz w:val="24"/>
                <w:szCs w:val="24"/>
              </w:rPr>
            </w:pPr>
            <w:r w:rsidRPr="00C7556F">
              <w:rPr>
                <w:rFonts w:ascii="Times New Roman"/>
                <w:kern w:val="0"/>
                <w:sz w:val="24"/>
                <w:szCs w:val="24"/>
              </w:rPr>
              <w:t>16.7</w:t>
            </w:r>
          </w:p>
        </w:tc>
        <w:tc>
          <w:tcPr>
            <w:tcW w:w="889" w:type="pct"/>
            <w:vAlign w:val="center"/>
            <w:hideMark/>
          </w:tcPr>
          <w:p w:rsidR="00C7556F" w:rsidRPr="00C7556F" w:rsidRDefault="00C7556F" w:rsidP="00E65E91">
            <w:pPr>
              <w:widowControl/>
              <w:spacing w:line="300" w:lineRule="exact"/>
              <w:jc w:val="center"/>
              <w:rPr>
                <w:rFonts w:ascii="Times New Roman"/>
                <w:spacing w:val="-10"/>
                <w:kern w:val="0"/>
                <w:sz w:val="24"/>
                <w:szCs w:val="24"/>
              </w:rPr>
            </w:pPr>
            <w:r w:rsidRPr="00C7556F">
              <w:rPr>
                <w:rFonts w:ascii="Times New Roman"/>
                <w:spacing w:val="-10"/>
                <w:kern w:val="0"/>
                <w:sz w:val="24"/>
                <w:szCs w:val="24"/>
              </w:rPr>
              <w:t>-</w:t>
            </w:r>
          </w:p>
        </w:tc>
        <w:tc>
          <w:tcPr>
            <w:tcW w:w="788" w:type="pct"/>
            <w:vAlign w:val="center"/>
            <w:hideMark/>
          </w:tcPr>
          <w:p w:rsidR="00C7556F" w:rsidRPr="00C7556F" w:rsidRDefault="00C7556F" w:rsidP="00E65E91">
            <w:pPr>
              <w:spacing w:line="300" w:lineRule="exact"/>
              <w:jc w:val="center"/>
              <w:rPr>
                <w:rFonts w:ascii="Times New Roman"/>
              </w:rPr>
            </w:pPr>
            <w:r w:rsidRPr="00C7556F">
              <w:rPr>
                <w:rFonts w:ascii="Times New Roman"/>
                <w:spacing w:val="-10"/>
                <w:kern w:val="0"/>
                <w:sz w:val="24"/>
                <w:szCs w:val="24"/>
              </w:rPr>
              <w:t>-</w:t>
            </w:r>
          </w:p>
        </w:tc>
        <w:tc>
          <w:tcPr>
            <w:tcW w:w="889" w:type="pct"/>
            <w:vAlign w:val="center"/>
            <w:hideMark/>
          </w:tcPr>
          <w:p w:rsidR="00C7556F" w:rsidRPr="00C7556F" w:rsidRDefault="00C7556F" w:rsidP="00E65E91">
            <w:pPr>
              <w:widowControl/>
              <w:spacing w:line="300" w:lineRule="exact"/>
              <w:jc w:val="center"/>
              <w:rPr>
                <w:rFonts w:ascii="Times New Roman"/>
                <w:kern w:val="0"/>
                <w:sz w:val="22"/>
                <w:szCs w:val="22"/>
              </w:rPr>
            </w:pPr>
            <w:r w:rsidRPr="00C7556F">
              <w:rPr>
                <w:rFonts w:ascii="Times New Roman"/>
                <w:kern w:val="0"/>
                <w:sz w:val="22"/>
                <w:szCs w:val="22"/>
              </w:rPr>
              <w:t>-</w:t>
            </w:r>
          </w:p>
        </w:tc>
        <w:tc>
          <w:tcPr>
            <w:tcW w:w="848" w:type="pct"/>
            <w:vAlign w:val="center"/>
            <w:hideMark/>
          </w:tcPr>
          <w:p w:rsidR="00C7556F" w:rsidRPr="00C7556F" w:rsidRDefault="00C7556F" w:rsidP="00E65E91">
            <w:pPr>
              <w:widowControl/>
              <w:spacing w:line="300" w:lineRule="exact"/>
              <w:jc w:val="center"/>
              <w:rPr>
                <w:rFonts w:ascii="Times New Roman"/>
                <w:kern w:val="0"/>
                <w:sz w:val="24"/>
                <w:szCs w:val="24"/>
              </w:rPr>
            </w:pPr>
            <w:r w:rsidRPr="00C7556F">
              <w:rPr>
                <w:rFonts w:ascii="Times New Roman"/>
                <w:kern w:val="0"/>
                <w:sz w:val="24"/>
                <w:szCs w:val="24"/>
              </w:rPr>
              <w:t>6.1</w:t>
            </w:r>
          </w:p>
        </w:tc>
      </w:tr>
    </w:tbl>
    <w:p w:rsidR="00C7556F" w:rsidRPr="00C7556F" w:rsidRDefault="00C7556F" w:rsidP="00C7556F">
      <w:pPr>
        <w:pStyle w:val="42"/>
        <w:kinsoku w:val="0"/>
        <w:spacing w:afterLines="25" w:after="114" w:line="320" w:lineRule="exact"/>
        <w:ind w:leftChars="498" w:left="1699" w:hangingChars="2" w:hanging="5"/>
        <w:rPr>
          <w:rFonts w:ascii="Times New Roman"/>
        </w:rPr>
      </w:pPr>
      <w:r w:rsidRPr="00C7556F">
        <w:rPr>
          <w:rFonts w:ascii="Times New Roman"/>
          <w:kern w:val="0"/>
          <w:sz w:val="24"/>
          <w:szCs w:val="24"/>
        </w:rPr>
        <w:t>資料來源：財政部、審計部，本院整理製表。</w:t>
      </w:r>
    </w:p>
    <w:p w:rsidR="00C7556F" w:rsidRPr="00C7556F" w:rsidRDefault="00C7556F" w:rsidP="00C7556F">
      <w:pPr>
        <w:pStyle w:val="4"/>
        <w:numPr>
          <w:ilvl w:val="3"/>
          <w:numId w:val="9"/>
        </w:numPr>
        <w:rPr>
          <w:rFonts w:ascii="Times New Roman" w:hAnsi="Times New Roman"/>
        </w:rPr>
      </w:pPr>
      <w:r w:rsidRPr="00C7556F">
        <w:rPr>
          <w:rFonts w:ascii="Times New Roman" w:hAnsi="Times New Roman"/>
        </w:rPr>
        <w:t>新竹市政府：</w:t>
      </w:r>
    </w:p>
    <w:p w:rsidR="00C7556F" w:rsidRPr="00C7556F" w:rsidRDefault="00C7556F" w:rsidP="00C7556F">
      <w:pPr>
        <w:pStyle w:val="4"/>
        <w:numPr>
          <w:ilvl w:val="0"/>
          <w:numId w:val="0"/>
        </w:numPr>
        <w:topLinePunct/>
        <w:ind w:left="1701" w:firstLine="641"/>
        <w:rPr>
          <w:rFonts w:ascii="Times New Roman" w:hAnsi="Times New Roman"/>
        </w:rPr>
      </w:pPr>
      <w:r w:rsidRPr="00C7556F">
        <w:rPr>
          <w:rFonts w:ascii="Times New Roman" w:hAnsi="Times New Roman"/>
        </w:rPr>
        <w:t>新竹市政府於</w:t>
      </w:r>
      <w:r w:rsidRPr="00C7556F">
        <w:rPr>
          <w:rFonts w:ascii="Times New Roman" w:hAnsi="Times New Roman"/>
        </w:rPr>
        <w:t>98</w:t>
      </w:r>
      <w:r w:rsidRPr="00C7556F">
        <w:rPr>
          <w:rFonts w:ascii="Times New Roman" w:hAnsi="Times New Roman"/>
        </w:rPr>
        <w:t>年、</w:t>
      </w:r>
      <w:r w:rsidRPr="00C7556F">
        <w:rPr>
          <w:rFonts w:ascii="Times New Roman" w:hAnsi="Times New Roman"/>
        </w:rPr>
        <w:t>99</w:t>
      </w:r>
      <w:r w:rsidRPr="00C7556F">
        <w:rPr>
          <w:rFonts w:ascii="Times New Roman" w:hAnsi="Times New Roman"/>
        </w:rPr>
        <w:t>年間向該市公益彩券盈餘分配基金調借</w:t>
      </w:r>
      <w:r w:rsidRPr="00C7556F">
        <w:rPr>
          <w:rFonts w:ascii="Times New Roman" w:hAnsi="Times New Roman"/>
        </w:rPr>
        <w:t>6</w:t>
      </w:r>
      <w:r w:rsidRPr="00C7556F">
        <w:rPr>
          <w:rFonts w:ascii="Times New Roman" w:hAnsi="Times New Roman"/>
        </w:rPr>
        <w:t>次款項，調借金額共計</w:t>
      </w:r>
      <w:r w:rsidRPr="00C7556F">
        <w:rPr>
          <w:rFonts w:ascii="Times New Roman" w:hAnsi="Times New Roman"/>
        </w:rPr>
        <w:t>5.4</w:t>
      </w:r>
      <w:r w:rsidRPr="00C7556F">
        <w:rPr>
          <w:rFonts w:ascii="Times New Roman" w:hAnsi="Times New Roman"/>
        </w:rPr>
        <w:t>億元，惟截至</w:t>
      </w:r>
      <w:r w:rsidRPr="00C7556F">
        <w:rPr>
          <w:rFonts w:ascii="Times New Roman" w:hAnsi="Times New Roman"/>
        </w:rPr>
        <w:t>101</w:t>
      </w:r>
      <w:r w:rsidRPr="00C7556F">
        <w:rPr>
          <w:rFonts w:ascii="Times New Roman" w:hAnsi="Times New Roman"/>
        </w:rPr>
        <w:t>年底尚有餘額</w:t>
      </w:r>
      <w:r w:rsidRPr="00C7556F">
        <w:rPr>
          <w:rFonts w:ascii="Times New Roman" w:hAnsi="Times New Roman"/>
        </w:rPr>
        <w:t>4.2</w:t>
      </w:r>
      <w:r w:rsidRPr="00C7556F">
        <w:rPr>
          <w:rFonts w:ascii="Times New Roman" w:hAnsi="Times New Roman"/>
        </w:rPr>
        <w:t>億元未能歸墊，且非短期調借。嗣後該府於</w:t>
      </w:r>
      <w:r w:rsidRPr="00C7556F">
        <w:rPr>
          <w:rFonts w:ascii="Times New Roman" w:hAnsi="Times New Roman"/>
        </w:rPr>
        <w:t>101</w:t>
      </w:r>
      <w:r w:rsidRPr="00C7556F">
        <w:rPr>
          <w:rFonts w:ascii="Times New Roman" w:hAnsi="Times New Roman"/>
        </w:rPr>
        <w:t>年</w:t>
      </w:r>
      <w:r w:rsidRPr="00C7556F">
        <w:rPr>
          <w:rFonts w:ascii="Times New Roman" w:hAnsi="Times New Roman"/>
        </w:rPr>
        <w:t>9</w:t>
      </w:r>
      <w:r w:rsidRPr="00C7556F">
        <w:rPr>
          <w:rFonts w:ascii="Times New Roman" w:hAnsi="Times New Roman"/>
        </w:rPr>
        <w:t>月</w:t>
      </w:r>
      <w:r w:rsidRPr="00C7556F">
        <w:rPr>
          <w:rFonts w:ascii="Times New Roman" w:hAnsi="Times New Roman"/>
        </w:rPr>
        <w:t>25</w:t>
      </w:r>
      <w:r w:rsidRPr="00C7556F">
        <w:rPr>
          <w:rFonts w:ascii="Times New Roman" w:hAnsi="Times New Roman"/>
        </w:rPr>
        <w:t>日再向該基金調借</w:t>
      </w:r>
      <w:r w:rsidRPr="00C7556F">
        <w:rPr>
          <w:rFonts w:ascii="Times New Roman" w:hAnsi="Times New Roman"/>
        </w:rPr>
        <w:t>2</w:t>
      </w:r>
      <w:r w:rsidRPr="00C7556F">
        <w:rPr>
          <w:rFonts w:ascii="Times New Roman" w:hAnsi="Times New Roman"/>
        </w:rPr>
        <w:t>億元，當時累計調借金額已高達</w:t>
      </w:r>
      <w:r w:rsidRPr="00C7556F">
        <w:rPr>
          <w:rFonts w:ascii="Times New Roman" w:hAnsi="Times New Roman"/>
        </w:rPr>
        <w:t>6.2</w:t>
      </w:r>
      <w:r w:rsidRPr="00C7556F">
        <w:rPr>
          <w:rFonts w:ascii="Times New Roman" w:hAnsi="Times New Roman"/>
        </w:rPr>
        <w:t>億元</w:t>
      </w:r>
      <w:r w:rsidRPr="00C7556F">
        <w:rPr>
          <w:rFonts w:ascii="Times New Roman" w:hAnsi="Times New Roman"/>
        </w:rPr>
        <w:t>(</w:t>
      </w:r>
      <w:r w:rsidRPr="00C7556F">
        <w:rPr>
          <w:rFonts w:ascii="Times New Roman" w:hAnsi="Times New Roman"/>
        </w:rPr>
        <w:t>詳見下表</w:t>
      </w:r>
      <w:r w:rsidRPr="00C7556F">
        <w:rPr>
          <w:rFonts w:ascii="Times New Roman" w:hAnsi="Times New Roman"/>
        </w:rPr>
        <w:t>2)</w:t>
      </w:r>
      <w:r w:rsidRPr="00C7556F">
        <w:rPr>
          <w:rFonts w:ascii="Times New Roman" w:hAnsi="Times New Roman"/>
        </w:rPr>
        <w:t>，且</w:t>
      </w:r>
      <w:r w:rsidRPr="00C7556F">
        <w:rPr>
          <w:rFonts w:ascii="Times New Roman" w:hAnsi="Times New Roman"/>
        </w:rPr>
        <w:t>101</w:t>
      </w:r>
      <w:r w:rsidRPr="00C7556F">
        <w:rPr>
          <w:rFonts w:ascii="Times New Roman" w:hAnsi="Times New Roman"/>
        </w:rPr>
        <w:t>年底該府累計公益彩券盈餘分配款待運用數為</w:t>
      </w:r>
      <w:r w:rsidRPr="00C7556F">
        <w:rPr>
          <w:rFonts w:ascii="Times New Roman" w:hAnsi="Times New Roman"/>
        </w:rPr>
        <w:t>7</w:t>
      </w:r>
      <w:r w:rsidRPr="00C7556F">
        <w:rPr>
          <w:rFonts w:ascii="Times New Roman" w:hAnsi="Times New Roman"/>
        </w:rPr>
        <w:t>億</w:t>
      </w:r>
      <w:r w:rsidRPr="00C7556F">
        <w:rPr>
          <w:rFonts w:ascii="Times New Roman" w:hAnsi="Times New Roman"/>
        </w:rPr>
        <w:t>2,119</w:t>
      </w:r>
      <w:r w:rsidRPr="00C7556F">
        <w:rPr>
          <w:rFonts w:ascii="Times New Roman" w:hAnsi="Times New Roman"/>
        </w:rPr>
        <w:t>萬餘元，調借比重高達</w:t>
      </w:r>
      <w:r w:rsidRPr="00C7556F">
        <w:rPr>
          <w:rFonts w:ascii="Times New Roman" w:hAnsi="Times New Roman"/>
        </w:rPr>
        <w:t>85.97</w:t>
      </w:r>
      <w:r w:rsidRPr="00C7556F">
        <w:rPr>
          <w:rFonts w:ascii="Times New Roman" w:hAnsi="Times New Roman"/>
        </w:rPr>
        <w:t>％</w:t>
      </w:r>
      <w:r w:rsidRPr="00C7556F">
        <w:rPr>
          <w:rStyle w:val="aff1"/>
          <w:rFonts w:ascii="Times New Roman" w:hAnsi="Times New Roman"/>
        </w:rPr>
        <w:footnoteReference w:id="7"/>
      </w:r>
      <w:r w:rsidRPr="00C7556F">
        <w:rPr>
          <w:rFonts w:ascii="Times New Roman" w:hAnsi="Times New Roman"/>
        </w:rPr>
        <w:t>。</w:t>
      </w:r>
    </w:p>
    <w:p w:rsidR="00C7556F" w:rsidRPr="00C7556F" w:rsidRDefault="00C7556F" w:rsidP="00C7556F">
      <w:pPr>
        <w:pStyle w:val="a3"/>
        <w:numPr>
          <w:ilvl w:val="0"/>
          <w:numId w:val="34"/>
        </w:numPr>
        <w:spacing w:before="120" w:after="0"/>
        <w:ind w:left="2535" w:rightChars="-42" w:right="-143" w:hanging="828"/>
        <w:textAlignment w:val="auto"/>
        <w:rPr>
          <w:rFonts w:ascii="Times New Roman" w:hAnsi="Times New Roman"/>
          <w:b/>
          <w:spacing w:val="-8"/>
        </w:rPr>
      </w:pPr>
      <w:r w:rsidRPr="00C7556F">
        <w:rPr>
          <w:rFonts w:ascii="Times New Roman" w:hAnsi="Times New Roman"/>
          <w:b/>
          <w:spacing w:val="0"/>
        </w:rPr>
        <w:t>新竹市</w:t>
      </w:r>
      <w:r w:rsidRPr="00C7556F">
        <w:rPr>
          <w:rFonts w:ascii="Times New Roman" w:hAnsi="Times New Roman"/>
          <w:b/>
          <w:spacing w:val="-8"/>
        </w:rPr>
        <w:t>政府向該市公益彩券盈餘分配基金調借情形</w:t>
      </w:r>
    </w:p>
    <w:p w:rsidR="00C7556F" w:rsidRPr="00C7556F" w:rsidRDefault="00C7556F" w:rsidP="00C7556F">
      <w:pPr>
        <w:pStyle w:val="42"/>
        <w:kinsoku w:val="0"/>
        <w:spacing w:line="320" w:lineRule="exact"/>
        <w:ind w:leftChars="498" w:left="1699" w:hangingChars="2" w:hanging="5"/>
        <w:jc w:val="right"/>
        <w:rPr>
          <w:rFonts w:ascii="Times New Roman"/>
          <w:b/>
        </w:rPr>
      </w:pPr>
      <w:r w:rsidRPr="00C7556F">
        <w:rPr>
          <w:rFonts w:ascii="Times New Roman"/>
          <w:sz w:val="24"/>
          <w:szCs w:val="24"/>
        </w:rPr>
        <w:t>單位：億元</w:t>
      </w:r>
    </w:p>
    <w:tbl>
      <w:tblPr>
        <w:tblW w:w="0" w:type="auto"/>
        <w:tblInd w:w="17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015"/>
        <w:gridCol w:w="1227"/>
        <w:gridCol w:w="1273"/>
        <w:gridCol w:w="1132"/>
        <w:gridCol w:w="2431"/>
      </w:tblGrid>
      <w:tr w:rsidR="00C7556F" w:rsidRPr="00C7556F" w:rsidTr="00E65E91">
        <w:trPr>
          <w:trHeight w:val="330"/>
          <w:tblHeader/>
        </w:trPr>
        <w:tc>
          <w:tcPr>
            <w:tcW w:w="0" w:type="auto"/>
            <w:noWrap/>
            <w:vAlign w:val="center"/>
            <w:hideMark/>
          </w:tcPr>
          <w:p w:rsidR="00C7556F" w:rsidRPr="00C7556F" w:rsidRDefault="00C7556F" w:rsidP="00E65E91">
            <w:pPr>
              <w:widowControl/>
              <w:kinsoku w:val="0"/>
              <w:spacing w:line="300" w:lineRule="exact"/>
              <w:jc w:val="center"/>
              <w:rPr>
                <w:rFonts w:ascii="Times New Roman"/>
                <w:kern w:val="0"/>
                <w:sz w:val="24"/>
                <w:szCs w:val="24"/>
              </w:rPr>
            </w:pPr>
            <w:r w:rsidRPr="00C7556F">
              <w:rPr>
                <w:rFonts w:ascii="Times New Roman"/>
                <w:kern w:val="0"/>
                <w:sz w:val="24"/>
                <w:szCs w:val="24"/>
              </w:rPr>
              <w:t>調借</w:t>
            </w:r>
          </w:p>
          <w:p w:rsidR="00C7556F" w:rsidRPr="00C7556F" w:rsidRDefault="00C7556F" w:rsidP="00E65E91">
            <w:pPr>
              <w:widowControl/>
              <w:kinsoku w:val="0"/>
              <w:spacing w:line="300" w:lineRule="exact"/>
              <w:jc w:val="center"/>
              <w:rPr>
                <w:rFonts w:ascii="Times New Roman"/>
                <w:kern w:val="0"/>
                <w:sz w:val="24"/>
                <w:szCs w:val="24"/>
              </w:rPr>
            </w:pPr>
            <w:r w:rsidRPr="00C7556F">
              <w:rPr>
                <w:rFonts w:ascii="Times New Roman"/>
                <w:kern w:val="0"/>
                <w:sz w:val="24"/>
                <w:szCs w:val="24"/>
              </w:rPr>
              <w:t>日期</w:t>
            </w:r>
          </w:p>
        </w:tc>
        <w:tc>
          <w:tcPr>
            <w:tcW w:w="1230" w:type="dxa"/>
            <w:noWrap/>
            <w:vAlign w:val="center"/>
            <w:hideMark/>
          </w:tcPr>
          <w:p w:rsidR="00C7556F" w:rsidRPr="00C7556F" w:rsidRDefault="00C7556F" w:rsidP="00E65E91">
            <w:pPr>
              <w:widowControl/>
              <w:kinsoku w:val="0"/>
              <w:spacing w:line="300" w:lineRule="exact"/>
              <w:jc w:val="center"/>
              <w:rPr>
                <w:rFonts w:ascii="Times New Roman"/>
                <w:kern w:val="0"/>
                <w:sz w:val="24"/>
                <w:szCs w:val="24"/>
              </w:rPr>
            </w:pPr>
            <w:r w:rsidRPr="00C7556F">
              <w:rPr>
                <w:rFonts w:ascii="Times New Roman"/>
                <w:kern w:val="0"/>
                <w:sz w:val="24"/>
                <w:szCs w:val="24"/>
              </w:rPr>
              <w:t>調借金額</w:t>
            </w:r>
          </w:p>
        </w:tc>
        <w:tc>
          <w:tcPr>
            <w:tcW w:w="1276" w:type="dxa"/>
            <w:noWrap/>
            <w:vAlign w:val="center"/>
            <w:hideMark/>
          </w:tcPr>
          <w:p w:rsidR="00C7556F" w:rsidRPr="00C7556F" w:rsidRDefault="00C7556F" w:rsidP="00E65E91">
            <w:pPr>
              <w:widowControl/>
              <w:kinsoku w:val="0"/>
              <w:spacing w:line="300" w:lineRule="exact"/>
              <w:jc w:val="center"/>
              <w:rPr>
                <w:rFonts w:ascii="Times New Roman"/>
                <w:kern w:val="0"/>
                <w:sz w:val="24"/>
                <w:szCs w:val="24"/>
              </w:rPr>
            </w:pPr>
            <w:r w:rsidRPr="00C7556F">
              <w:rPr>
                <w:rFonts w:ascii="Times New Roman"/>
                <w:kern w:val="0"/>
                <w:sz w:val="24"/>
                <w:szCs w:val="24"/>
              </w:rPr>
              <w:t>還款日期</w:t>
            </w:r>
          </w:p>
        </w:tc>
        <w:tc>
          <w:tcPr>
            <w:tcW w:w="1134" w:type="dxa"/>
            <w:noWrap/>
            <w:vAlign w:val="center"/>
            <w:hideMark/>
          </w:tcPr>
          <w:p w:rsidR="00C7556F" w:rsidRPr="00C7556F" w:rsidRDefault="00C7556F" w:rsidP="00E65E91">
            <w:pPr>
              <w:widowControl/>
              <w:kinsoku w:val="0"/>
              <w:spacing w:line="300" w:lineRule="exact"/>
              <w:jc w:val="center"/>
              <w:rPr>
                <w:rFonts w:ascii="Times New Roman"/>
                <w:kern w:val="0"/>
                <w:sz w:val="24"/>
                <w:szCs w:val="24"/>
              </w:rPr>
            </w:pPr>
            <w:r w:rsidRPr="00C7556F">
              <w:rPr>
                <w:rFonts w:ascii="Times New Roman"/>
                <w:kern w:val="0"/>
                <w:sz w:val="24"/>
                <w:szCs w:val="24"/>
              </w:rPr>
              <w:t>還款金額</w:t>
            </w:r>
          </w:p>
        </w:tc>
        <w:tc>
          <w:tcPr>
            <w:tcW w:w="2436" w:type="dxa"/>
            <w:noWrap/>
            <w:vAlign w:val="center"/>
            <w:hideMark/>
          </w:tcPr>
          <w:p w:rsidR="00C7556F" w:rsidRPr="00C7556F" w:rsidRDefault="00C7556F" w:rsidP="00E65E91">
            <w:pPr>
              <w:widowControl/>
              <w:kinsoku w:val="0"/>
              <w:spacing w:line="300" w:lineRule="exact"/>
              <w:jc w:val="center"/>
              <w:rPr>
                <w:rFonts w:ascii="Times New Roman"/>
                <w:kern w:val="0"/>
                <w:sz w:val="24"/>
                <w:szCs w:val="24"/>
              </w:rPr>
            </w:pPr>
            <w:r w:rsidRPr="00C7556F">
              <w:rPr>
                <w:rFonts w:ascii="Times New Roman"/>
                <w:kern w:val="0"/>
                <w:sz w:val="24"/>
                <w:szCs w:val="24"/>
              </w:rPr>
              <w:t>借款期間及金額</w:t>
            </w:r>
          </w:p>
        </w:tc>
      </w:tr>
      <w:tr w:rsidR="00C7556F" w:rsidRPr="00C7556F" w:rsidTr="00E65E91">
        <w:trPr>
          <w:trHeight w:val="330"/>
        </w:trPr>
        <w:tc>
          <w:tcPr>
            <w:tcW w:w="0" w:type="auto"/>
            <w:noWrap/>
            <w:vAlign w:val="center"/>
            <w:hideMark/>
          </w:tcPr>
          <w:p w:rsidR="00C7556F" w:rsidRPr="00C7556F" w:rsidRDefault="00C7556F" w:rsidP="00E65E91">
            <w:pPr>
              <w:widowControl/>
              <w:spacing w:line="280" w:lineRule="exact"/>
              <w:jc w:val="center"/>
              <w:rPr>
                <w:rFonts w:ascii="Times New Roman"/>
                <w:spacing w:val="-10"/>
                <w:kern w:val="0"/>
                <w:sz w:val="24"/>
                <w:szCs w:val="24"/>
              </w:rPr>
            </w:pPr>
            <w:r w:rsidRPr="00C7556F">
              <w:rPr>
                <w:rFonts w:ascii="Times New Roman"/>
                <w:spacing w:val="-10"/>
                <w:kern w:val="0"/>
                <w:sz w:val="24"/>
                <w:szCs w:val="24"/>
              </w:rPr>
              <w:t>98.01.05</w:t>
            </w:r>
          </w:p>
        </w:tc>
        <w:tc>
          <w:tcPr>
            <w:tcW w:w="1230" w:type="dxa"/>
            <w:noWrap/>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2</w:t>
            </w:r>
          </w:p>
        </w:tc>
        <w:tc>
          <w:tcPr>
            <w:tcW w:w="1276" w:type="dxa"/>
            <w:noWrap/>
            <w:vAlign w:val="center"/>
            <w:hideMark/>
          </w:tcPr>
          <w:p w:rsidR="00C7556F" w:rsidRPr="00C7556F" w:rsidRDefault="00C7556F" w:rsidP="00E65E91">
            <w:pPr>
              <w:widowControl/>
              <w:spacing w:line="280" w:lineRule="exact"/>
              <w:jc w:val="center"/>
              <w:rPr>
                <w:rFonts w:ascii="Times New Roman"/>
                <w:spacing w:val="-10"/>
                <w:kern w:val="0"/>
                <w:sz w:val="24"/>
                <w:szCs w:val="24"/>
              </w:rPr>
            </w:pPr>
            <w:r w:rsidRPr="00C7556F">
              <w:rPr>
                <w:rFonts w:ascii="Times New Roman"/>
                <w:spacing w:val="-10"/>
                <w:kern w:val="0"/>
                <w:sz w:val="24"/>
                <w:szCs w:val="24"/>
              </w:rPr>
              <w:t>102.01.03</w:t>
            </w:r>
          </w:p>
        </w:tc>
        <w:tc>
          <w:tcPr>
            <w:tcW w:w="1134" w:type="dxa"/>
            <w:noWrap/>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2</w:t>
            </w:r>
          </w:p>
        </w:tc>
        <w:tc>
          <w:tcPr>
            <w:tcW w:w="2436" w:type="dxa"/>
            <w:noWrap/>
            <w:vAlign w:val="center"/>
            <w:hideMark/>
          </w:tcPr>
          <w:p w:rsidR="00C7556F" w:rsidRPr="00C7556F" w:rsidRDefault="00C7556F" w:rsidP="00E65E91">
            <w:pPr>
              <w:widowControl/>
              <w:kinsoku w:val="0"/>
              <w:spacing w:line="280" w:lineRule="exact"/>
              <w:rPr>
                <w:rFonts w:ascii="Times New Roman"/>
                <w:spacing w:val="-26"/>
                <w:kern w:val="0"/>
                <w:sz w:val="24"/>
                <w:szCs w:val="24"/>
              </w:rPr>
            </w:pPr>
            <w:r w:rsidRPr="00C7556F">
              <w:rPr>
                <w:rFonts w:ascii="Times New Roman"/>
                <w:spacing w:val="-26"/>
                <w:kern w:val="0"/>
                <w:sz w:val="24"/>
                <w:szCs w:val="24"/>
              </w:rPr>
              <w:t>98.1.5-102.1.2(3</w:t>
            </w:r>
            <w:r w:rsidRPr="00C7556F">
              <w:rPr>
                <w:rFonts w:ascii="Times New Roman"/>
                <w:spacing w:val="-26"/>
                <w:kern w:val="0"/>
                <w:sz w:val="24"/>
                <w:szCs w:val="24"/>
              </w:rPr>
              <w:t>年</w:t>
            </w:r>
            <w:r w:rsidRPr="00C7556F">
              <w:rPr>
                <w:rFonts w:ascii="Times New Roman"/>
                <w:spacing w:val="-26"/>
                <w:kern w:val="0"/>
                <w:sz w:val="24"/>
                <w:szCs w:val="24"/>
              </w:rPr>
              <w:t>363</w:t>
            </w:r>
            <w:r w:rsidRPr="00C7556F">
              <w:rPr>
                <w:rFonts w:ascii="Times New Roman"/>
                <w:spacing w:val="-26"/>
                <w:kern w:val="0"/>
                <w:sz w:val="24"/>
                <w:szCs w:val="24"/>
              </w:rPr>
              <w:t>天</w:t>
            </w:r>
            <w:r w:rsidRPr="00C7556F">
              <w:rPr>
                <w:rFonts w:ascii="Times New Roman"/>
                <w:spacing w:val="-26"/>
                <w:kern w:val="0"/>
                <w:sz w:val="24"/>
                <w:szCs w:val="24"/>
              </w:rPr>
              <w:t>)</w:t>
            </w:r>
          </w:p>
          <w:p w:rsidR="00C7556F" w:rsidRPr="00C7556F" w:rsidRDefault="00C7556F" w:rsidP="00E65E91">
            <w:pPr>
              <w:widowControl/>
              <w:kinsoku w:val="0"/>
              <w:spacing w:line="280" w:lineRule="exact"/>
              <w:rPr>
                <w:rFonts w:ascii="Times New Roman"/>
                <w:spacing w:val="-14"/>
                <w:kern w:val="0"/>
                <w:sz w:val="24"/>
                <w:szCs w:val="24"/>
              </w:rPr>
            </w:pPr>
            <w:r w:rsidRPr="00C7556F">
              <w:rPr>
                <w:rFonts w:ascii="Times New Roman"/>
                <w:spacing w:val="-14"/>
                <w:kern w:val="0"/>
                <w:sz w:val="24"/>
                <w:szCs w:val="24"/>
              </w:rPr>
              <w:t>2</w:t>
            </w:r>
            <w:r w:rsidRPr="00C7556F">
              <w:rPr>
                <w:rFonts w:ascii="Times New Roman"/>
                <w:spacing w:val="-14"/>
                <w:kern w:val="0"/>
                <w:sz w:val="24"/>
                <w:szCs w:val="24"/>
              </w:rPr>
              <w:t>億元</w:t>
            </w:r>
            <w:r w:rsidRPr="00C7556F">
              <w:rPr>
                <w:rFonts w:ascii="Times New Roman"/>
                <w:spacing w:val="-14"/>
                <w:kern w:val="0"/>
                <w:sz w:val="24"/>
                <w:szCs w:val="24"/>
              </w:rPr>
              <w:t xml:space="preserve"> </w:t>
            </w:r>
          </w:p>
        </w:tc>
      </w:tr>
      <w:tr w:rsidR="00C7556F" w:rsidRPr="00C7556F" w:rsidTr="00E65E91">
        <w:trPr>
          <w:trHeight w:val="330"/>
        </w:trPr>
        <w:tc>
          <w:tcPr>
            <w:tcW w:w="0" w:type="auto"/>
            <w:vMerge w:val="restart"/>
            <w:noWrap/>
            <w:vAlign w:val="center"/>
            <w:hideMark/>
          </w:tcPr>
          <w:p w:rsidR="00C7556F" w:rsidRPr="00C7556F" w:rsidRDefault="00C7556F" w:rsidP="00E65E91">
            <w:pPr>
              <w:widowControl/>
              <w:spacing w:line="280" w:lineRule="exact"/>
              <w:jc w:val="center"/>
              <w:rPr>
                <w:rFonts w:ascii="Times New Roman"/>
                <w:spacing w:val="-10"/>
                <w:kern w:val="0"/>
                <w:sz w:val="24"/>
                <w:szCs w:val="24"/>
              </w:rPr>
            </w:pPr>
            <w:r w:rsidRPr="00C7556F">
              <w:rPr>
                <w:rFonts w:ascii="Times New Roman"/>
                <w:spacing w:val="-10"/>
                <w:kern w:val="0"/>
                <w:sz w:val="24"/>
                <w:szCs w:val="24"/>
              </w:rPr>
              <w:t>98.09.28</w:t>
            </w:r>
          </w:p>
        </w:tc>
        <w:tc>
          <w:tcPr>
            <w:tcW w:w="1230" w:type="dxa"/>
            <w:vMerge w:val="restart"/>
            <w:noWrap/>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0.8</w:t>
            </w:r>
          </w:p>
        </w:tc>
        <w:tc>
          <w:tcPr>
            <w:tcW w:w="1276" w:type="dxa"/>
            <w:noWrap/>
            <w:vAlign w:val="center"/>
            <w:hideMark/>
          </w:tcPr>
          <w:p w:rsidR="00C7556F" w:rsidRPr="00C7556F" w:rsidRDefault="00C7556F" w:rsidP="00E65E91">
            <w:pPr>
              <w:widowControl/>
              <w:spacing w:line="280" w:lineRule="exact"/>
              <w:jc w:val="center"/>
              <w:rPr>
                <w:rFonts w:ascii="Times New Roman"/>
                <w:spacing w:val="-10"/>
                <w:kern w:val="0"/>
                <w:sz w:val="24"/>
                <w:szCs w:val="24"/>
              </w:rPr>
            </w:pPr>
            <w:r w:rsidRPr="00C7556F">
              <w:rPr>
                <w:rFonts w:ascii="Times New Roman"/>
                <w:spacing w:val="-10"/>
                <w:kern w:val="0"/>
                <w:sz w:val="24"/>
                <w:szCs w:val="24"/>
              </w:rPr>
              <w:t>98.10.02</w:t>
            </w:r>
          </w:p>
        </w:tc>
        <w:tc>
          <w:tcPr>
            <w:tcW w:w="1134" w:type="dxa"/>
            <w:noWrap/>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0.6</w:t>
            </w:r>
          </w:p>
        </w:tc>
        <w:tc>
          <w:tcPr>
            <w:tcW w:w="2436" w:type="dxa"/>
            <w:noWrap/>
            <w:hideMark/>
          </w:tcPr>
          <w:p w:rsidR="00C7556F" w:rsidRPr="00C7556F" w:rsidRDefault="00C7556F" w:rsidP="00E65E91">
            <w:pPr>
              <w:widowControl/>
              <w:kinsoku w:val="0"/>
              <w:spacing w:line="280" w:lineRule="exact"/>
              <w:rPr>
                <w:rFonts w:ascii="Times New Roman"/>
                <w:spacing w:val="-14"/>
                <w:kern w:val="0"/>
                <w:sz w:val="24"/>
                <w:szCs w:val="24"/>
              </w:rPr>
            </w:pPr>
            <w:r w:rsidRPr="00C7556F">
              <w:rPr>
                <w:rFonts w:ascii="Times New Roman"/>
                <w:spacing w:val="-14"/>
                <w:kern w:val="0"/>
                <w:sz w:val="24"/>
                <w:szCs w:val="24"/>
              </w:rPr>
              <w:t>98.9.28-98.10.1(4</w:t>
            </w:r>
            <w:r w:rsidRPr="00C7556F">
              <w:rPr>
                <w:rFonts w:ascii="Times New Roman"/>
                <w:spacing w:val="-14"/>
                <w:kern w:val="0"/>
                <w:sz w:val="24"/>
                <w:szCs w:val="24"/>
              </w:rPr>
              <w:t>天</w:t>
            </w:r>
            <w:r w:rsidRPr="00C7556F">
              <w:rPr>
                <w:rFonts w:ascii="Times New Roman"/>
                <w:spacing w:val="-14"/>
                <w:kern w:val="0"/>
                <w:sz w:val="24"/>
                <w:szCs w:val="24"/>
              </w:rPr>
              <w:t>)</w:t>
            </w:r>
          </w:p>
          <w:p w:rsidR="00C7556F" w:rsidRPr="00C7556F" w:rsidRDefault="00C7556F" w:rsidP="00E65E91">
            <w:pPr>
              <w:widowControl/>
              <w:kinsoku w:val="0"/>
              <w:spacing w:line="280" w:lineRule="exact"/>
              <w:rPr>
                <w:rFonts w:ascii="Times New Roman"/>
                <w:spacing w:val="-14"/>
                <w:kern w:val="0"/>
                <w:sz w:val="24"/>
                <w:szCs w:val="24"/>
              </w:rPr>
            </w:pPr>
            <w:r w:rsidRPr="00C7556F">
              <w:rPr>
                <w:rFonts w:ascii="Times New Roman"/>
                <w:spacing w:val="-14"/>
                <w:kern w:val="0"/>
                <w:sz w:val="24"/>
                <w:szCs w:val="24"/>
              </w:rPr>
              <w:t>0.6</w:t>
            </w:r>
            <w:r w:rsidRPr="00C7556F">
              <w:rPr>
                <w:rFonts w:ascii="Times New Roman"/>
                <w:spacing w:val="-14"/>
                <w:kern w:val="0"/>
                <w:sz w:val="24"/>
                <w:szCs w:val="24"/>
              </w:rPr>
              <w:t>億元</w:t>
            </w:r>
          </w:p>
        </w:tc>
      </w:tr>
      <w:tr w:rsidR="00C7556F" w:rsidRPr="00C7556F" w:rsidTr="00E65E91">
        <w:trPr>
          <w:trHeight w:val="330"/>
        </w:trPr>
        <w:tc>
          <w:tcPr>
            <w:tcW w:w="0" w:type="auto"/>
            <w:vMerge/>
            <w:vAlign w:val="center"/>
            <w:hideMark/>
          </w:tcPr>
          <w:p w:rsidR="00C7556F" w:rsidRPr="00C7556F" w:rsidRDefault="00C7556F" w:rsidP="00E65E91">
            <w:pPr>
              <w:widowControl/>
              <w:overflowPunct/>
              <w:autoSpaceDE/>
              <w:autoSpaceDN/>
              <w:jc w:val="left"/>
              <w:rPr>
                <w:rFonts w:ascii="Times New Roman"/>
                <w:spacing w:val="-10"/>
                <w:kern w:val="0"/>
                <w:sz w:val="24"/>
                <w:szCs w:val="24"/>
              </w:rPr>
            </w:pPr>
          </w:p>
        </w:tc>
        <w:tc>
          <w:tcPr>
            <w:tcW w:w="0" w:type="auto"/>
            <w:vMerge/>
            <w:vAlign w:val="center"/>
            <w:hideMark/>
          </w:tcPr>
          <w:p w:rsidR="00C7556F" w:rsidRPr="00C7556F" w:rsidRDefault="00C7556F" w:rsidP="00E65E91">
            <w:pPr>
              <w:widowControl/>
              <w:overflowPunct/>
              <w:autoSpaceDE/>
              <w:autoSpaceDN/>
              <w:jc w:val="left"/>
              <w:rPr>
                <w:rFonts w:ascii="Times New Roman"/>
                <w:kern w:val="0"/>
                <w:sz w:val="24"/>
                <w:szCs w:val="24"/>
              </w:rPr>
            </w:pPr>
          </w:p>
        </w:tc>
        <w:tc>
          <w:tcPr>
            <w:tcW w:w="1276" w:type="dxa"/>
            <w:noWrap/>
            <w:vAlign w:val="center"/>
            <w:hideMark/>
          </w:tcPr>
          <w:p w:rsidR="00C7556F" w:rsidRPr="00C7556F" w:rsidRDefault="00C7556F" w:rsidP="00E65E91">
            <w:pPr>
              <w:widowControl/>
              <w:jc w:val="center"/>
              <w:rPr>
                <w:rFonts w:ascii="Times New Roman"/>
                <w:spacing w:val="-10"/>
                <w:kern w:val="0"/>
                <w:sz w:val="24"/>
                <w:szCs w:val="24"/>
              </w:rPr>
            </w:pPr>
            <w:r w:rsidRPr="00C7556F">
              <w:rPr>
                <w:rFonts w:ascii="Times New Roman"/>
                <w:spacing w:val="-10"/>
                <w:kern w:val="0"/>
                <w:sz w:val="24"/>
                <w:szCs w:val="24"/>
              </w:rPr>
              <w:t>102.01.03</w:t>
            </w:r>
          </w:p>
        </w:tc>
        <w:tc>
          <w:tcPr>
            <w:tcW w:w="1134" w:type="dxa"/>
            <w:noWrap/>
            <w:vAlign w:val="center"/>
            <w:hideMark/>
          </w:tcPr>
          <w:p w:rsidR="00C7556F" w:rsidRPr="00C7556F" w:rsidRDefault="00C7556F" w:rsidP="00E65E91">
            <w:pPr>
              <w:widowControl/>
              <w:jc w:val="center"/>
              <w:rPr>
                <w:rFonts w:ascii="Times New Roman"/>
                <w:kern w:val="0"/>
                <w:sz w:val="24"/>
                <w:szCs w:val="24"/>
              </w:rPr>
            </w:pPr>
            <w:r w:rsidRPr="00C7556F">
              <w:rPr>
                <w:rFonts w:ascii="Times New Roman"/>
                <w:kern w:val="0"/>
                <w:sz w:val="24"/>
                <w:szCs w:val="24"/>
              </w:rPr>
              <w:t>0.2</w:t>
            </w:r>
          </w:p>
        </w:tc>
        <w:tc>
          <w:tcPr>
            <w:tcW w:w="2436" w:type="dxa"/>
            <w:noWrap/>
            <w:hideMark/>
          </w:tcPr>
          <w:p w:rsidR="00C7556F" w:rsidRPr="00C7556F" w:rsidRDefault="00C7556F" w:rsidP="00E65E91">
            <w:pPr>
              <w:widowControl/>
              <w:kinsoku w:val="0"/>
              <w:spacing w:line="240" w:lineRule="exact"/>
              <w:rPr>
                <w:rFonts w:ascii="Times New Roman"/>
                <w:spacing w:val="-20"/>
                <w:kern w:val="0"/>
                <w:sz w:val="24"/>
                <w:szCs w:val="24"/>
              </w:rPr>
            </w:pPr>
            <w:r w:rsidRPr="00C7556F">
              <w:rPr>
                <w:rFonts w:ascii="Times New Roman"/>
                <w:spacing w:val="-20"/>
                <w:kern w:val="0"/>
                <w:sz w:val="24"/>
                <w:szCs w:val="24"/>
              </w:rPr>
              <w:t>98.10.2-102.1.2(3</w:t>
            </w:r>
            <w:r w:rsidRPr="00C7556F">
              <w:rPr>
                <w:rFonts w:ascii="Times New Roman"/>
                <w:spacing w:val="-20"/>
                <w:kern w:val="0"/>
                <w:sz w:val="24"/>
                <w:szCs w:val="24"/>
              </w:rPr>
              <w:t>年</w:t>
            </w:r>
            <w:r w:rsidRPr="00C7556F">
              <w:rPr>
                <w:rFonts w:ascii="Times New Roman"/>
                <w:spacing w:val="-20"/>
                <w:kern w:val="0"/>
                <w:sz w:val="24"/>
                <w:szCs w:val="24"/>
              </w:rPr>
              <w:t>93</w:t>
            </w:r>
            <w:r w:rsidRPr="00C7556F">
              <w:rPr>
                <w:rFonts w:ascii="Times New Roman"/>
                <w:spacing w:val="-20"/>
                <w:kern w:val="0"/>
                <w:sz w:val="24"/>
                <w:szCs w:val="24"/>
              </w:rPr>
              <w:t>天</w:t>
            </w:r>
            <w:r w:rsidRPr="00C7556F">
              <w:rPr>
                <w:rFonts w:ascii="Times New Roman"/>
                <w:spacing w:val="-20"/>
                <w:kern w:val="0"/>
                <w:sz w:val="24"/>
                <w:szCs w:val="24"/>
              </w:rPr>
              <w:t>)</w:t>
            </w:r>
          </w:p>
          <w:p w:rsidR="00C7556F" w:rsidRPr="00C7556F" w:rsidRDefault="00C7556F" w:rsidP="00E65E91">
            <w:pPr>
              <w:widowControl/>
              <w:kinsoku w:val="0"/>
              <w:spacing w:line="240" w:lineRule="exact"/>
              <w:rPr>
                <w:rFonts w:ascii="Times New Roman"/>
                <w:spacing w:val="-14"/>
                <w:kern w:val="0"/>
                <w:sz w:val="24"/>
                <w:szCs w:val="24"/>
              </w:rPr>
            </w:pPr>
            <w:r w:rsidRPr="00C7556F">
              <w:rPr>
                <w:rFonts w:ascii="Times New Roman"/>
                <w:spacing w:val="-14"/>
                <w:kern w:val="0"/>
                <w:sz w:val="24"/>
                <w:szCs w:val="24"/>
              </w:rPr>
              <w:t>0.2</w:t>
            </w:r>
            <w:r w:rsidRPr="00C7556F">
              <w:rPr>
                <w:rFonts w:ascii="Times New Roman"/>
                <w:spacing w:val="-14"/>
                <w:kern w:val="0"/>
                <w:sz w:val="24"/>
                <w:szCs w:val="24"/>
              </w:rPr>
              <w:t>億元</w:t>
            </w:r>
          </w:p>
        </w:tc>
      </w:tr>
      <w:tr w:rsidR="00C7556F" w:rsidRPr="00C7556F" w:rsidTr="00E65E91">
        <w:trPr>
          <w:trHeight w:val="330"/>
        </w:trPr>
        <w:tc>
          <w:tcPr>
            <w:tcW w:w="0" w:type="auto"/>
            <w:noWrap/>
            <w:vAlign w:val="center"/>
            <w:hideMark/>
          </w:tcPr>
          <w:p w:rsidR="00C7556F" w:rsidRPr="00C7556F" w:rsidRDefault="00C7556F" w:rsidP="00E65E91">
            <w:pPr>
              <w:widowControl/>
              <w:spacing w:line="280" w:lineRule="exact"/>
              <w:jc w:val="center"/>
              <w:rPr>
                <w:rFonts w:ascii="Times New Roman"/>
                <w:spacing w:val="-10"/>
                <w:kern w:val="0"/>
                <w:sz w:val="24"/>
                <w:szCs w:val="24"/>
              </w:rPr>
            </w:pPr>
            <w:r w:rsidRPr="00C7556F">
              <w:rPr>
                <w:rFonts w:ascii="Times New Roman"/>
                <w:spacing w:val="-10"/>
                <w:kern w:val="0"/>
                <w:sz w:val="24"/>
                <w:szCs w:val="24"/>
              </w:rPr>
              <w:t>98.10.29</w:t>
            </w:r>
          </w:p>
        </w:tc>
        <w:tc>
          <w:tcPr>
            <w:tcW w:w="1230" w:type="dxa"/>
            <w:noWrap/>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0.6</w:t>
            </w:r>
          </w:p>
        </w:tc>
        <w:tc>
          <w:tcPr>
            <w:tcW w:w="1276" w:type="dxa"/>
            <w:noWrap/>
            <w:vAlign w:val="center"/>
            <w:hideMark/>
          </w:tcPr>
          <w:p w:rsidR="00C7556F" w:rsidRPr="00C7556F" w:rsidRDefault="00C7556F" w:rsidP="00E65E91">
            <w:pPr>
              <w:widowControl/>
              <w:spacing w:line="280" w:lineRule="exact"/>
              <w:jc w:val="center"/>
              <w:rPr>
                <w:rFonts w:ascii="Times New Roman"/>
                <w:spacing w:val="-10"/>
                <w:kern w:val="0"/>
                <w:sz w:val="24"/>
                <w:szCs w:val="24"/>
              </w:rPr>
            </w:pPr>
            <w:r w:rsidRPr="00C7556F">
              <w:rPr>
                <w:rFonts w:ascii="Times New Roman"/>
                <w:spacing w:val="-10"/>
                <w:kern w:val="0"/>
                <w:sz w:val="24"/>
                <w:szCs w:val="24"/>
              </w:rPr>
              <w:t>98.11.09</w:t>
            </w:r>
          </w:p>
        </w:tc>
        <w:tc>
          <w:tcPr>
            <w:tcW w:w="1134" w:type="dxa"/>
            <w:noWrap/>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0.6</w:t>
            </w:r>
          </w:p>
        </w:tc>
        <w:tc>
          <w:tcPr>
            <w:tcW w:w="2436" w:type="dxa"/>
            <w:noWrap/>
            <w:hideMark/>
          </w:tcPr>
          <w:p w:rsidR="00C7556F" w:rsidRPr="00C7556F" w:rsidRDefault="00C7556F" w:rsidP="00E65E91">
            <w:pPr>
              <w:widowControl/>
              <w:kinsoku w:val="0"/>
              <w:spacing w:line="280" w:lineRule="exact"/>
              <w:rPr>
                <w:rFonts w:ascii="Times New Roman"/>
                <w:spacing w:val="-20"/>
                <w:kern w:val="0"/>
                <w:sz w:val="24"/>
                <w:szCs w:val="24"/>
              </w:rPr>
            </w:pPr>
            <w:r w:rsidRPr="00C7556F">
              <w:rPr>
                <w:rFonts w:ascii="Times New Roman"/>
                <w:spacing w:val="-20"/>
                <w:kern w:val="0"/>
                <w:sz w:val="24"/>
                <w:szCs w:val="24"/>
              </w:rPr>
              <w:t>98.10.29-98.11.8(11</w:t>
            </w:r>
            <w:r w:rsidRPr="00C7556F">
              <w:rPr>
                <w:rFonts w:ascii="Times New Roman"/>
                <w:spacing w:val="-20"/>
                <w:kern w:val="0"/>
                <w:sz w:val="24"/>
                <w:szCs w:val="24"/>
              </w:rPr>
              <w:t>天</w:t>
            </w:r>
            <w:r w:rsidRPr="00C7556F">
              <w:rPr>
                <w:rFonts w:ascii="Times New Roman"/>
                <w:spacing w:val="-20"/>
                <w:kern w:val="0"/>
                <w:sz w:val="24"/>
                <w:szCs w:val="24"/>
              </w:rPr>
              <w:t>)</w:t>
            </w:r>
          </w:p>
          <w:p w:rsidR="00C7556F" w:rsidRPr="00C7556F" w:rsidRDefault="00C7556F" w:rsidP="00E65E91">
            <w:pPr>
              <w:widowControl/>
              <w:kinsoku w:val="0"/>
              <w:spacing w:line="280" w:lineRule="exact"/>
              <w:rPr>
                <w:rFonts w:ascii="Times New Roman"/>
                <w:spacing w:val="-14"/>
                <w:kern w:val="0"/>
                <w:sz w:val="24"/>
                <w:szCs w:val="24"/>
              </w:rPr>
            </w:pPr>
            <w:r w:rsidRPr="00C7556F">
              <w:rPr>
                <w:rFonts w:ascii="Times New Roman"/>
                <w:spacing w:val="-14"/>
                <w:kern w:val="0"/>
                <w:sz w:val="24"/>
                <w:szCs w:val="24"/>
              </w:rPr>
              <w:t>0.6</w:t>
            </w:r>
            <w:r w:rsidRPr="00C7556F">
              <w:rPr>
                <w:rFonts w:ascii="Times New Roman"/>
                <w:spacing w:val="-14"/>
                <w:kern w:val="0"/>
                <w:sz w:val="24"/>
                <w:szCs w:val="24"/>
              </w:rPr>
              <w:t>億元</w:t>
            </w:r>
          </w:p>
        </w:tc>
      </w:tr>
      <w:tr w:rsidR="00C7556F" w:rsidRPr="00C7556F" w:rsidTr="00E65E91">
        <w:trPr>
          <w:trHeight w:val="330"/>
        </w:trPr>
        <w:tc>
          <w:tcPr>
            <w:tcW w:w="0" w:type="auto"/>
            <w:noWrap/>
            <w:vAlign w:val="center"/>
            <w:hideMark/>
          </w:tcPr>
          <w:p w:rsidR="00C7556F" w:rsidRPr="00C7556F" w:rsidRDefault="00C7556F" w:rsidP="00E65E91">
            <w:pPr>
              <w:widowControl/>
              <w:spacing w:line="280" w:lineRule="exact"/>
              <w:jc w:val="center"/>
              <w:rPr>
                <w:rFonts w:ascii="Times New Roman"/>
                <w:spacing w:val="-10"/>
                <w:kern w:val="0"/>
                <w:sz w:val="24"/>
                <w:szCs w:val="24"/>
              </w:rPr>
            </w:pPr>
            <w:r w:rsidRPr="00C7556F">
              <w:rPr>
                <w:rFonts w:ascii="Times New Roman"/>
                <w:spacing w:val="-10"/>
                <w:kern w:val="0"/>
                <w:sz w:val="24"/>
                <w:szCs w:val="24"/>
              </w:rPr>
              <w:t>99.02.25</w:t>
            </w:r>
          </w:p>
        </w:tc>
        <w:tc>
          <w:tcPr>
            <w:tcW w:w="1230" w:type="dxa"/>
            <w:noWrap/>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1</w:t>
            </w:r>
          </w:p>
        </w:tc>
        <w:tc>
          <w:tcPr>
            <w:tcW w:w="1276" w:type="dxa"/>
            <w:noWrap/>
            <w:vAlign w:val="center"/>
            <w:hideMark/>
          </w:tcPr>
          <w:p w:rsidR="00C7556F" w:rsidRPr="00C7556F" w:rsidRDefault="00C7556F" w:rsidP="00E65E91">
            <w:pPr>
              <w:widowControl/>
              <w:spacing w:line="280" w:lineRule="exact"/>
              <w:jc w:val="center"/>
              <w:rPr>
                <w:rFonts w:ascii="Times New Roman"/>
                <w:spacing w:val="-10"/>
                <w:kern w:val="0"/>
                <w:sz w:val="24"/>
                <w:szCs w:val="24"/>
              </w:rPr>
            </w:pPr>
            <w:r w:rsidRPr="00C7556F">
              <w:rPr>
                <w:rFonts w:ascii="Times New Roman"/>
                <w:spacing w:val="-10"/>
                <w:kern w:val="0"/>
                <w:sz w:val="24"/>
                <w:szCs w:val="24"/>
              </w:rPr>
              <w:t>102.01.03</w:t>
            </w:r>
          </w:p>
        </w:tc>
        <w:tc>
          <w:tcPr>
            <w:tcW w:w="1134" w:type="dxa"/>
            <w:noWrap/>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1</w:t>
            </w:r>
          </w:p>
        </w:tc>
        <w:tc>
          <w:tcPr>
            <w:tcW w:w="2436" w:type="dxa"/>
            <w:noWrap/>
            <w:hideMark/>
          </w:tcPr>
          <w:p w:rsidR="00C7556F" w:rsidRPr="00C7556F" w:rsidRDefault="00C7556F" w:rsidP="00E65E91">
            <w:pPr>
              <w:widowControl/>
              <w:kinsoku w:val="0"/>
              <w:spacing w:line="280" w:lineRule="exact"/>
              <w:rPr>
                <w:rFonts w:ascii="Times New Roman"/>
                <w:spacing w:val="-26"/>
                <w:kern w:val="0"/>
                <w:sz w:val="24"/>
                <w:szCs w:val="24"/>
              </w:rPr>
            </w:pPr>
            <w:r w:rsidRPr="00C7556F">
              <w:rPr>
                <w:rFonts w:ascii="Times New Roman"/>
                <w:spacing w:val="-26"/>
                <w:kern w:val="0"/>
                <w:sz w:val="24"/>
                <w:szCs w:val="24"/>
              </w:rPr>
              <w:t>99.2.25-102.1.2(2</w:t>
            </w:r>
            <w:r w:rsidRPr="00C7556F">
              <w:rPr>
                <w:rFonts w:ascii="Times New Roman"/>
                <w:spacing w:val="-26"/>
                <w:kern w:val="0"/>
                <w:sz w:val="24"/>
                <w:szCs w:val="24"/>
              </w:rPr>
              <w:t>年</w:t>
            </w:r>
            <w:r w:rsidRPr="00C7556F">
              <w:rPr>
                <w:rFonts w:ascii="Times New Roman"/>
                <w:spacing w:val="-26"/>
                <w:kern w:val="0"/>
                <w:sz w:val="24"/>
                <w:szCs w:val="24"/>
              </w:rPr>
              <w:t>313</w:t>
            </w:r>
            <w:r w:rsidRPr="00C7556F">
              <w:rPr>
                <w:rFonts w:ascii="Times New Roman"/>
                <w:spacing w:val="-26"/>
                <w:kern w:val="0"/>
                <w:sz w:val="24"/>
                <w:szCs w:val="24"/>
              </w:rPr>
              <w:t>天</w:t>
            </w:r>
            <w:r w:rsidRPr="00C7556F">
              <w:rPr>
                <w:rFonts w:ascii="Times New Roman"/>
                <w:spacing w:val="-26"/>
                <w:kern w:val="0"/>
                <w:sz w:val="24"/>
                <w:szCs w:val="24"/>
              </w:rPr>
              <w:t>)</w:t>
            </w:r>
          </w:p>
          <w:p w:rsidR="00C7556F" w:rsidRPr="00C7556F" w:rsidRDefault="00C7556F" w:rsidP="00E65E91">
            <w:pPr>
              <w:widowControl/>
              <w:kinsoku w:val="0"/>
              <w:spacing w:line="280" w:lineRule="exact"/>
              <w:rPr>
                <w:rFonts w:ascii="Times New Roman"/>
                <w:spacing w:val="-14"/>
                <w:kern w:val="0"/>
                <w:sz w:val="24"/>
                <w:szCs w:val="24"/>
              </w:rPr>
            </w:pPr>
            <w:r w:rsidRPr="00C7556F">
              <w:rPr>
                <w:rFonts w:ascii="Times New Roman"/>
                <w:spacing w:val="-14"/>
                <w:kern w:val="0"/>
                <w:sz w:val="24"/>
                <w:szCs w:val="24"/>
              </w:rPr>
              <w:t>1</w:t>
            </w:r>
            <w:r w:rsidRPr="00C7556F">
              <w:rPr>
                <w:rFonts w:ascii="Times New Roman"/>
                <w:spacing w:val="-14"/>
                <w:kern w:val="0"/>
                <w:sz w:val="24"/>
                <w:szCs w:val="24"/>
              </w:rPr>
              <w:t>億元</w:t>
            </w:r>
          </w:p>
        </w:tc>
      </w:tr>
      <w:tr w:rsidR="00C7556F" w:rsidRPr="00C7556F" w:rsidTr="00E65E91">
        <w:trPr>
          <w:trHeight w:val="330"/>
        </w:trPr>
        <w:tc>
          <w:tcPr>
            <w:tcW w:w="0" w:type="auto"/>
            <w:noWrap/>
            <w:vAlign w:val="center"/>
            <w:hideMark/>
          </w:tcPr>
          <w:p w:rsidR="00C7556F" w:rsidRPr="00C7556F" w:rsidRDefault="00C7556F" w:rsidP="00E65E91">
            <w:pPr>
              <w:widowControl/>
              <w:spacing w:line="280" w:lineRule="exact"/>
              <w:jc w:val="center"/>
              <w:rPr>
                <w:rFonts w:ascii="Times New Roman"/>
                <w:spacing w:val="-10"/>
                <w:kern w:val="0"/>
                <w:sz w:val="24"/>
                <w:szCs w:val="24"/>
              </w:rPr>
            </w:pPr>
            <w:r w:rsidRPr="00C7556F">
              <w:rPr>
                <w:rFonts w:ascii="Times New Roman"/>
                <w:spacing w:val="-10"/>
                <w:kern w:val="0"/>
                <w:sz w:val="24"/>
                <w:szCs w:val="24"/>
              </w:rPr>
              <w:t>99.08.30</w:t>
            </w:r>
          </w:p>
        </w:tc>
        <w:tc>
          <w:tcPr>
            <w:tcW w:w="1230" w:type="dxa"/>
            <w:noWrap/>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0.5</w:t>
            </w:r>
          </w:p>
        </w:tc>
        <w:tc>
          <w:tcPr>
            <w:tcW w:w="1276" w:type="dxa"/>
            <w:noWrap/>
            <w:vAlign w:val="center"/>
            <w:hideMark/>
          </w:tcPr>
          <w:p w:rsidR="00C7556F" w:rsidRPr="00C7556F" w:rsidRDefault="00C7556F" w:rsidP="00E65E91">
            <w:pPr>
              <w:widowControl/>
              <w:spacing w:line="280" w:lineRule="exact"/>
              <w:jc w:val="center"/>
              <w:rPr>
                <w:rFonts w:ascii="Times New Roman"/>
                <w:spacing w:val="-10"/>
                <w:kern w:val="0"/>
                <w:sz w:val="24"/>
                <w:szCs w:val="24"/>
              </w:rPr>
            </w:pPr>
            <w:r w:rsidRPr="00C7556F">
              <w:rPr>
                <w:rFonts w:ascii="Times New Roman"/>
                <w:spacing w:val="-10"/>
                <w:kern w:val="0"/>
                <w:sz w:val="24"/>
                <w:szCs w:val="24"/>
              </w:rPr>
              <w:t>102.01.03</w:t>
            </w:r>
          </w:p>
        </w:tc>
        <w:tc>
          <w:tcPr>
            <w:tcW w:w="1134" w:type="dxa"/>
            <w:noWrap/>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0.5</w:t>
            </w:r>
          </w:p>
        </w:tc>
        <w:tc>
          <w:tcPr>
            <w:tcW w:w="2436" w:type="dxa"/>
            <w:noWrap/>
            <w:hideMark/>
          </w:tcPr>
          <w:p w:rsidR="00C7556F" w:rsidRPr="00C7556F" w:rsidRDefault="00C7556F" w:rsidP="00E65E91">
            <w:pPr>
              <w:widowControl/>
              <w:kinsoku w:val="0"/>
              <w:spacing w:line="280" w:lineRule="exact"/>
              <w:rPr>
                <w:rFonts w:ascii="Times New Roman"/>
                <w:spacing w:val="-26"/>
                <w:kern w:val="0"/>
                <w:sz w:val="24"/>
                <w:szCs w:val="24"/>
              </w:rPr>
            </w:pPr>
            <w:r w:rsidRPr="00C7556F">
              <w:rPr>
                <w:rFonts w:ascii="Times New Roman"/>
                <w:spacing w:val="-26"/>
                <w:kern w:val="0"/>
                <w:sz w:val="24"/>
                <w:szCs w:val="24"/>
              </w:rPr>
              <w:t>99.8.30-102.1.2(2</w:t>
            </w:r>
            <w:r w:rsidRPr="00C7556F">
              <w:rPr>
                <w:rFonts w:ascii="Times New Roman"/>
                <w:spacing w:val="-26"/>
                <w:kern w:val="0"/>
                <w:sz w:val="24"/>
                <w:szCs w:val="24"/>
              </w:rPr>
              <w:t>年</w:t>
            </w:r>
            <w:r w:rsidRPr="00C7556F">
              <w:rPr>
                <w:rFonts w:ascii="Times New Roman"/>
                <w:spacing w:val="-26"/>
                <w:kern w:val="0"/>
                <w:sz w:val="24"/>
                <w:szCs w:val="24"/>
              </w:rPr>
              <w:t>126</w:t>
            </w:r>
            <w:r w:rsidRPr="00C7556F">
              <w:rPr>
                <w:rFonts w:ascii="Times New Roman"/>
                <w:spacing w:val="-26"/>
                <w:kern w:val="0"/>
                <w:sz w:val="24"/>
                <w:szCs w:val="24"/>
              </w:rPr>
              <w:t>天</w:t>
            </w:r>
            <w:r w:rsidRPr="00C7556F">
              <w:rPr>
                <w:rFonts w:ascii="Times New Roman"/>
                <w:spacing w:val="-26"/>
                <w:kern w:val="0"/>
                <w:sz w:val="24"/>
                <w:szCs w:val="24"/>
              </w:rPr>
              <w:t>)</w:t>
            </w:r>
          </w:p>
          <w:p w:rsidR="00C7556F" w:rsidRPr="00C7556F" w:rsidRDefault="00C7556F" w:rsidP="00E65E91">
            <w:pPr>
              <w:widowControl/>
              <w:kinsoku w:val="0"/>
              <w:spacing w:line="280" w:lineRule="exact"/>
              <w:rPr>
                <w:rFonts w:ascii="Times New Roman"/>
                <w:spacing w:val="-14"/>
                <w:kern w:val="0"/>
                <w:sz w:val="24"/>
                <w:szCs w:val="24"/>
              </w:rPr>
            </w:pPr>
            <w:r w:rsidRPr="00C7556F">
              <w:rPr>
                <w:rFonts w:ascii="Times New Roman"/>
                <w:spacing w:val="-14"/>
                <w:kern w:val="0"/>
                <w:sz w:val="24"/>
                <w:szCs w:val="24"/>
              </w:rPr>
              <w:t>0.5</w:t>
            </w:r>
            <w:r w:rsidRPr="00C7556F">
              <w:rPr>
                <w:rFonts w:ascii="Times New Roman"/>
                <w:spacing w:val="-14"/>
                <w:kern w:val="0"/>
                <w:sz w:val="24"/>
                <w:szCs w:val="24"/>
              </w:rPr>
              <w:t>億元</w:t>
            </w:r>
          </w:p>
        </w:tc>
      </w:tr>
      <w:tr w:rsidR="00C7556F" w:rsidRPr="00C7556F" w:rsidTr="00E65E91">
        <w:trPr>
          <w:trHeight w:val="330"/>
        </w:trPr>
        <w:tc>
          <w:tcPr>
            <w:tcW w:w="0" w:type="auto"/>
            <w:noWrap/>
            <w:vAlign w:val="center"/>
            <w:hideMark/>
          </w:tcPr>
          <w:p w:rsidR="00C7556F" w:rsidRPr="00C7556F" w:rsidRDefault="00C7556F" w:rsidP="00E65E91">
            <w:pPr>
              <w:widowControl/>
              <w:spacing w:line="280" w:lineRule="exact"/>
              <w:jc w:val="center"/>
              <w:rPr>
                <w:rFonts w:ascii="Times New Roman"/>
                <w:spacing w:val="-10"/>
                <w:kern w:val="0"/>
                <w:sz w:val="24"/>
                <w:szCs w:val="24"/>
              </w:rPr>
            </w:pPr>
            <w:r w:rsidRPr="00C7556F">
              <w:rPr>
                <w:rFonts w:ascii="Times New Roman"/>
                <w:spacing w:val="-10"/>
                <w:kern w:val="0"/>
                <w:sz w:val="24"/>
                <w:szCs w:val="24"/>
              </w:rPr>
              <w:t>99.10.27</w:t>
            </w:r>
          </w:p>
        </w:tc>
        <w:tc>
          <w:tcPr>
            <w:tcW w:w="1230" w:type="dxa"/>
            <w:noWrap/>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0.5</w:t>
            </w:r>
          </w:p>
        </w:tc>
        <w:tc>
          <w:tcPr>
            <w:tcW w:w="1276" w:type="dxa"/>
            <w:noWrap/>
            <w:vAlign w:val="center"/>
            <w:hideMark/>
          </w:tcPr>
          <w:p w:rsidR="00C7556F" w:rsidRPr="00C7556F" w:rsidRDefault="00C7556F" w:rsidP="00E65E91">
            <w:pPr>
              <w:widowControl/>
              <w:spacing w:line="280" w:lineRule="exact"/>
              <w:jc w:val="center"/>
              <w:rPr>
                <w:rFonts w:ascii="Times New Roman"/>
                <w:spacing w:val="-10"/>
                <w:kern w:val="0"/>
                <w:sz w:val="24"/>
                <w:szCs w:val="24"/>
              </w:rPr>
            </w:pPr>
            <w:r w:rsidRPr="00C7556F">
              <w:rPr>
                <w:rFonts w:ascii="Times New Roman"/>
                <w:spacing w:val="-10"/>
                <w:kern w:val="0"/>
                <w:sz w:val="24"/>
                <w:szCs w:val="24"/>
              </w:rPr>
              <w:t>102.01.03</w:t>
            </w:r>
          </w:p>
        </w:tc>
        <w:tc>
          <w:tcPr>
            <w:tcW w:w="1134" w:type="dxa"/>
            <w:noWrap/>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0.5</w:t>
            </w:r>
          </w:p>
        </w:tc>
        <w:tc>
          <w:tcPr>
            <w:tcW w:w="2436" w:type="dxa"/>
            <w:noWrap/>
            <w:hideMark/>
          </w:tcPr>
          <w:p w:rsidR="00C7556F" w:rsidRPr="00C7556F" w:rsidRDefault="00C7556F" w:rsidP="00E65E91">
            <w:pPr>
              <w:widowControl/>
              <w:kinsoku w:val="0"/>
              <w:spacing w:line="280" w:lineRule="exact"/>
              <w:rPr>
                <w:rFonts w:ascii="Times New Roman"/>
                <w:spacing w:val="-26"/>
                <w:kern w:val="0"/>
                <w:sz w:val="24"/>
                <w:szCs w:val="24"/>
              </w:rPr>
            </w:pPr>
            <w:r w:rsidRPr="00C7556F">
              <w:rPr>
                <w:rFonts w:ascii="Times New Roman"/>
                <w:spacing w:val="-26"/>
                <w:kern w:val="0"/>
                <w:sz w:val="24"/>
                <w:szCs w:val="24"/>
              </w:rPr>
              <w:t>99.10.27-102.1.2(2</w:t>
            </w:r>
            <w:r w:rsidRPr="00C7556F">
              <w:rPr>
                <w:rFonts w:ascii="Times New Roman"/>
                <w:spacing w:val="-26"/>
                <w:kern w:val="0"/>
                <w:sz w:val="24"/>
                <w:szCs w:val="24"/>
              </w:rPr>
              <w:t>年</w:t>
            </w:r>
            <w:r w:rsidRPr="00C7556F">
              <w:rPr>
                <w:rFonts w:ascii="Times New Roman"/>
                <w:spacing w:val="-26"/>
                <w:kern w:val="0"/>
                <w:sz w:val="24"/>
                <w:szCs w:val="24"/>
              </w:rPr>
              <w:t>68</w:t>
            </w:r>
            <w:r w:rsidRPr="00C7556F">
              <w:rPr>
                <w:rFonts w:ascii="Times New Roman"/>
                <w:spacing w:val="-26"/>
                <w:kern w:val="0"/>
                <w:sz w:val="24"/>
                <w:szCs w:val="24"/>
              </w:rPr>
              <w:t>天</w:t>
            </w:r>
            <w:r w:rsidRPr="00C7556F">
              <w:rPr>
                <w:rFonts w:ascii="Times New Roman"/>
                <w:spacing w:val="-26"/>
                <w:kern w:val="0"/>
                <w:sz w:val="24"/>
                <w:szCs w:val="24"/>
              </w:rPr>
              <w:t>)</w:t>
            </w:r>
          </w:p>
          <w:p w:rsidR="00C7556F" w:rsidRPr="00C7556F" w:rsidRDefault="00C7556F" w:rsidP="00E65E91">
            <w:pPr>
              <w:widowControl/>
              <w:kinsoku w:val="0"/>
              <w:spacing w:line="280" w:lineRule="exact"/>
              <w:rPr>
                <w:rFonts w:ascii="Times New Roman"/>
                <w:spacing w:val="-14"/>
                <w:kern w:val="0"/>
                <w:sz w:val="24"/>
                <w:szCs w:val="24"/>
              </w:rPr>
            </w:pPr>
            <w:r w:rsidRPr="00C7556F">
              <w:rPr>
                <w:rFonts w:ascii="Times New Roman"/>
                <w:spacing w:val="-14"/>
                <w:kern w:val="0"/>
                <w:sz w:val="24"/>
                <w:szCs w:val="24"/>
              </w:rPr>
              <w:t>0.5</w:t>
            </w:r>
            <w:r w:rsidRPr="00C7556F">
              <w:rPr>
                <w:rFonts w:ascii="Times New Roman"/>
                <w:spacing w:val="-14"/>
                <w:kern w:val="0"/>
                <w:sz w:val="24"/>
                <w:szCs w:val="24"/>
              </w:rPr>
              <w:t>億元</w:t>
            </w:r>
          </w:p>
        </w:tc>
      </w:tr>
      <w:tr w:rsidR="00C7556F" w:rsidRPr="00C7556F" w:rsidTr="00E65E91">
        <w:trPr>
          <w:trHeight w:val="330"/>
        </w:trPr>
        <w:tc>
          <w:tcPr>
            <w:tcW w:w="0" w:type="auto"/>
            <w:noWrap/>
            <w:vAlign w:val="center"/>
            <w:hideMark/>
          </w:tcPr>
          <w:p w:rsidR="00C7556F" w:rsidRPr="00C7556F" w:rsidRDefault="00C7556F" w:rsidP="00E65E91">
            <w:pPr>
              <w:widowControl/>
              <w:spacing w:line="280" w:lineRule="exact"/>
              <w:jc w:val="center"/>
              <w:rPr>
                <w:rFonts w:ascii="Times New Roman"/>
                <w:spacing w:val="-10"/>
                <w:kern w:val="0"/>
                <w:sz w:val="24"/>
                <w:szCs w:val="24"/>
              </w:rPr>
            </w:pPr>
            <w:r w:rsidRPr="00C7556F">
              <w:rPr>
                <w:rFonts w:ascii="Times New Roman"/>
                <w:spacing w:val="-10"/>
                <w:kern w:val="0"/>
                <w:sz w:val="24"/>
                <w:szCs w:val="24"/>
              </w:rPr>
              <w:t>101.09.25</w:t>
            </w:r>
          </w:p>
        </w:tc>
        <w:tc>
          <w:tcPr>
            <w:tcW w:w="1230" w:type="dxa"/>
            <w:noWrap/>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2</w:t>
            </w:r>
          </w:p>
        </w:tc>
        <w:tc>
          <w:tcPr>
            <w:tcW w:w="1276" w:type="dxa"/>
            <w:noWrap/>
            <w:vAlign w:val="center"/>
            <w:hideMark/>
          </w:tcPr>
          <w:p w:rsidR="00C7556F" w:rsidRPr="00C7556F" w:rsidRDefault="00C7556F" w:rsidP="00E65E91">
            <w:pPr>
              <w:widowControl/>
              <w:spacing w:line="280" w:lineRule="exact"/>
              <w:jc w:val="center"/>
              <w:rPr>
                <w:rFonts w:ascii="Times New Roman"/>
                <w:spacing w:val="-10"/>
                <w:kern w:val="0"/>
                <w:sz w:val="24"/>
                <w:szCs w:val="24"/>
              </w:rPr>
            </w:pPr>
            <w:r w:rsidRPr="00C7556F">
              <w:rPr>
                <w:rFonts w:ascii="Times New Roman"/>
                <w:spacing w:val="-10"/>
                <w:kern w:val="0"/>
                <w:sz w:val="24"/>
                <w:szCs w:val="24"/>
              </w:rPr>
              <w:t>102.01.03</w:t>
            </w:r>
          </w:p>
        </w:tc>
        <w:tc>
          <w:tcPr>
            <w:tcW w:w="1134" w:type="dxa"/>
            <w:noWrap/>
            <w:vAlign w:val="center"/>
            <w:hideMark/>
          </w:tcPr>
          <w:p w:rsidR="00C7556F" w:rsidRPr="00C7556F" w:rsidRDefault="00C7556F" w:rsidP="00E65E91">
            <w:pPr>
              <w:widowControl/>
              <w:spacing w:line="280" w:lineRule="exact"/>
              <w:jc w:val="center"/>
              <w:rPr>
                <w:rFonts w:ascii="Times New Roman"/>
                <w:kern w:val="0"/>
                <w:sz w:val="24"/>
                <w:szCs w:val="24"/>
              </w:rPr>
            </w:pPr>
            <w:r w:rsidRPr="00C7556F">
              <w:rPr>
                <w:rFonts w:ascii="Times New Roman"/>
                <w:kern w:val="0"/>
                <w:sz w:val="24"/>
                <w:szCs w:val="24"/>
              </w:rPr>
              <w:t>2</w:t>
            </w:r>
          </w:p>
        </w:tc>
        <w:tc>
          <w:tcPr>
            <w:tcW w:w="2436" w:type="dxa"/>
            <w:noWrap/>
            <w:hideMark/>
          </w:tcPr>
          <w:p w:rsidR="00C7556F" w:rsidRPr="00C7556F" w:rsidRDefault="00C7556F" w:rsidP="00E65E91">
            <w:pPr>
              <w:widowControl/>
              <w:kinsoku w:val="0"/>
              <w:spacing w:line="280" w:lineRule="exact"/>
              <w:rPr>
                <w:rFonts w:ascii="Times New Roman"/>
                <w:spacing w:val="-26"/>
                <w:kern w:val="0"/>
                <w:sz w:val="24"/>
                <w:szCs w:val="24"/>
              </w:rPr>
            </w:pPr>
            <w:r w:rsidRPr="00C7556F">
              <w:rPr>
                <w:rFonts w:ascii="Times New Roman"/>
                <w:spacing w:val="-26"/>
                <w:kern w:val="0"/>
                <w:sz w:val="24"/>
                <w:szCs w:val="24"/>
              </w:rPr>
              <w:t>101.9.25-102.1.2(100</w:t>
            </w:r>
            <w:r w:rsidRPr="00C7556F">
              <w:rPr>
                <w:rFonts w:ascii="Times New Roman"/>
                <w:spacing w:val="-26"/>
                <w:kern w:val="0"/>
                <w:sz w:val="24"/>
                <w:szCs w:val="24"/>
              </w:rPr>
              <w:t>天</w:t>
            </w:r>
            <w:r w:rsidRPr="00C7556F">
              <w:rPr>
                <w:rFonts w:ascii="Times New Roman"/>
                <w:spacing w:val="-26"/>
                <w:kern w:val="0"/>
                <w:sz w:val="24"/>
                <w:szCs w:val="24"/>
              </w:rPr>
              <w:t>)</w:t>
            </w:r>
          </w:p>
          <w:p w:rsidR="00C7556F" w:rsidRPr="00C7556F" w:rsidRDefault="00C7556F" w:rsidP="00E65E91">
            <w:pPr>
              <w:widowControl/>
              <w:kinsoku w:val="0"/>
              <w:spacing w:line="280" w:lineRule="exact"/>
              <w:rPr>
                <w:rFonts w:ascii="Times New Roman"/>
                <w:spacing w:val="-14"/>
                <w:kern w:val="0"/>
                <w:sz w:val="24"/>
                <w:szCs w:val="24"/>
              </w:rPr>
            </w:pPr>
            <w:r w:rsidRPr="00C7556F">
              <w:rPr>
                <w:rFonts w:ascii="Times New Roman"/>
                <w:spacing w:val="-14"/>
                <w:kern w:val="0"/>
                <w:sz w:val="24"/>
                <w:szCs w:val="24"/>
              </w:rPr>
              <w:t>2</w:t>
            </w:r>
            <w:r w:rsidRPr="00C7556F">
              <w:rPr>
                <w:rFonts w:ascii="Times New Roman"/>
                <w:spacing w:val="-14"/>
                <w:kern w:val="0"/>
                <w:sz w:val="24"/>
                <w:szCs w:val="24"/>
              </w:rPr>
              <w:t>億元</w:t>
            </w:r>
          </w:p>
        </w:tc>
      </w:tr>
      <w:tr w:rsidR="00C7556F" w:rsidRPr="00C7556F" w:rsidTr="00E65E91">
        <w:trPr>
          <w:trHeight w:val="488"/>
        </w:trPr>
        <w:tc>
          <w:tcPr>
            <w:tcW w:w="0" w:type="auto"/>
            <w:vAlign w:val="center"/>
            <w:hideMark/>
          </w:tcPr>
          <w:p w:rsidR="00C7556F" w:rsidRPr="00C7556F" w:rsidRDefault="00C7556F" w:rsidP="00E65E91">
            <w:pPr>
              <w:widowControl/>
              <w:spacing w:line="280" w:lineRule="exact"/>
              <w:jc w:val="center"/>
              <w:rPr>
                <w:rFonts w:ascii="Times New Roman"/>
                <w:bCs/>
                <w:kern w:val="0"/>
                <w:sz w:val="24"/>
                <w:szCs w:val="24"/>
              </w:rPr>
            </w:pPr>
            <w:r w:rsidRPr="00C7556F">
              <w:rPr>
                <w:rFonts w:ascii="Times New Roman"/>
                <w:bCs/>
                <w:kern w:val="0"/>
                <w:sz w:val="24"/>
                <w:szCs w:val="24"/>
              </w:rPr>
              <w:t>合</w:t>
            </w:r>
            <w:r w:rsidRPr="00C7556F">
              <w:rPr>
                <w:rFonts w:ascii="Times New Roman"/>
                <w:bCs/>
                <w:kern w:val="0"/>
                <w:sz w:val="24"/>
                <w:szCs w:val="24"/>
              </w:rPr>
              <w:t xml:space="preserve">  </w:t>
            </w:r>
            <w:r w:rsidRPr="00C7556F">
              <w:rPr>
                <w:rFonts w:ascii="Times New Roman"/>
                <w:bCs/>
                <w:kern w:val="0"/>
                <w:sz w:val="24"/>
                <w:szCs w:val="24"/>
              </w:rPr>
              <w:t>計</w:t>
            </w:r>
          </w:p>
        </w:tc>
        <w:tc>
          <w:tcPr>
            <w:tcW w:w="1230" w:type="dxa"/>
            <w:noWrap/>
            <w:vAlign w:val="center"/>
            <w:hideMark/>
          </w:tcPr>
          <w:p w:rsidR="00C7556F" w:rsidRPr="00C7556F" w:rsidRDefault="00C7556F" w:rsidP="00E65E91">
            <w:pPr>
              <w:widowControl/>
              <w:spacing w:line="280" w:lineRule="exact"/>
              <w:jc w:val="center"/>
              <w:rPr>
                <w:rFonts w:ascii="Times New Roman"/>
                <w:bCs/>
                <w:kern w:val="0"/>
                <w:sz w:val="24"/>
                <w:szCs w:val="24"/>
              </w:rPr>
            </w:pPr>
            <w:r w:rsidRPr="00C7556F">
              <w:rPr>
                <w:rFonts w:ascii="Times New Roman"/>
                <w:bCs/>
                <w:kern w:val="0"/>
                <w:sz w:val="24"/>
                <w:szCs w:val="24"/>
              </w:rPr>
              <w:t>7.4</w:t>
            </w:r>
          </w:p>
        </w:tc>
        <w:tc>
          <w:tcPr>
            <w:tcW w:w="1276" w:type="dxa"/>
            <w:noWrap/>
            <w:vAlign w:val="center"/>
            <w:hideMark/>
          </w:tcPr>
          <w:p w:rsidR="00C7556F" w:rsidRPr="00C7556F" w:rsidRDefault="00C7556F" w:rsidP="00E65E91">
            <w:pPr>
              <w:widowControl/>
              <w:spacing w:line="280" w:lineRule="exact"/>
              <w:jc w:val="center"/>
              <w:rPr>
                <w:rFonts w:ascii="Times New Roman"/>
                <w:bCs/>
                <w:kern w:val="0"/>
                <w:sz w:val="24"/>
                <w:szCs w:val="24"/>
              </w:rPr>
            </w:pPr>
            <w:r w:rsidRPr="00C7556F">
              <w:rPr>
                <w:rFonts w:ascii="Times New Roman"/>
                <w:bCs/>
                <w:kern w:val="0"/>
                <w:sz w:val="24"/>
                <w:szCs w:val="24"/>
              </w:rPr>
              <w:t>-</w:t>
            </w:r>
          </w:p>
        </w:tc>
        <w:tc>
          <w:tcPr>
            <w:tcW w:w="1134" w:type="dxa"/>
            <w:noWrap/>
            <w:vAlign w:val="center"/>
            <w:hideMark/>
          </w:tcPr>
          <w:p w:rsidR="00C7556F" w:rsidRPr="00C7556F" w:rsidRDefault="00C7556F" w:rsidP="00E65E91">
            <w:pPr>
              <w:widowControl/>
              <w:spacing w:line="280" w:lineRule="exact"/>
              <w:jc w:val="center"/>
              <w:rPr>
                <w:rFonts w:ascii="Times New Roman"/>
                <w:bCs/>
                <w:kern w:val="0"/>
                <w:sz w:val="24"/>
                <w:szCs w:val="24"/>
              </w:rPr>
            </w:pPr>
            <w:r w:rsidRPr="00C7556F">
              <w:rPr>
                <w:rFonts w:ascii="Times New Roman"/>
                <w:bCs/>
                <w:kern w:val="0"/>
                <w:sz w:val="24"/>
                <w:szCs w:val="24"/>
              </w:rPr>
              <w:t>7.4</w:t>
            </w:r>
          </w:p>
        </w:tc>
        <w:tc>
          <w:tcPr>
            <w:tcW w:w="2436" w:type="dxa"/>
            <w:noWrap/>
            <w:vAlign w:val="center"/>
            <w:hideMark/>
          </w:tcPr>
          <w:p w:rsidR="00C7556F" w:rsidRPr="00C7556F" w:rsidRDefault="00C7556F" w:rsidP="00E65E91">
            <w:pPr>
              <w:widowControl/>
              <w:spacing w:line="280" w:lineRule="exact"/>
              <w:jc w:val="center"/>
              <w:rPr>
                <w:rFonts w:ascii="Times New Roman"/>
                <w:bCs/>
                <w:kern w:val="0"/>
                <w:sz w:val="24"/>
                <w:szCs w:val="24"/>
              </w:rPr>
            </w:pPr>
            <w:r w:rsidRPr="00C7556F">
              <w:rPr>
                <w:rFonts w:ascii="Times New Roman"/>
                <w:bCs/>
                <w:kern w:val="0"/>
                <w:sz w:val="24"/>
                <w:szCs w:val="24"/>
              </w:rPr>
              <w:t>-</w:t>
            </w:r>
          </w:p>
        </w:tc>
      </w:tr>
    </w:tbl>
    <w:p w:rsidR="00C7556F" w:rsidRPr="00C7556F" w:rsidRDefault="00C7556F" w:rsidP="00C7556F">
      <w:pPr>
        <w:pStyle w:val="42"/>
        <w:kinsoku w:val="0"/>
        <w:spacing w:line="320" w:lineRule="exact"/>
        <w:ind w:leftChars="498" w:left="2480" w:hangingChars="302" w:hanging="786"/>
        <w:rPr>
          <w:rFonts w:ascii="Times New Roman"/>
          <w:kern w:val="0"/>
          <w:sz w:val="24"/>
          <w:szCs w:val="24"/>
        </w:rPr>
      </w:pPr>
      <w:r w:rsidRPr="00C7556F">
        <w:rPr>
          <w:rFonts w:ascii="Times New Roman"/>
          <w:kern w:val="0"/>
          <w:sz w:val="24"/>
          <w:szCs w:val="24"/>
        </w:rPr>
        <w:t>備註：公益彩券盈餘分配基金於</w:t>
      </w:r>
      <w:r w:rsidRPr="00C7556F">
        <w:rPr>
          <w:rFonts w:ascii="Times New Roman"/>
          <w:kern w:val="0"/>
          <w:sz w:val="24"/>
          <w:szCs w:val="24"/>
        </w:rPr>
        <w:t>102</w:t>
      </w:r>
      <w:r w:rsidRPr="00C7556F">
        <w:rPr>
          <w:rFonts w:ascii="Times New Roman"/>
          <w:kern w:val="0"/>
          <w:sz w:val="24"/>
          <w:szCs w:val="24"/>
        </w:rPr>
        <w:t>年</w:t>
      </w:r>
      <w:r w:rsidRPr="00C7556F">
        <w:rPr>
          <w:rFonts w:ascii="Times New Roman"/>
          <w:kern w:val="0"/>
          <w:sz w:val="24"/>
          <w:szCs w:val="24"/>
        </w:rPr>
        <w:t>1</w:t>
      </w:r>
      <w:r w:rsidRPr="00C7556F">
        <w:rPr>
          <w:rFonts w:ascii="Times New Roman"/>
          <w:kern w:val="0"/>
          <w:sz w:val="24"/>
          <w:szCs w:val="24"/>
        </w:rPr>
        <w:t>月</w:t>
      </w:r>
      <w:r w:rsidRPr="00C7556F">
        <w:rPr>
          <w:rFonts w:ascii="Times New Roman"/>
          <w:kern w:val="0"/>
          <w:sz w:val="24"/>
          <w:szCs w:val="24"/>
        </w:rPr>
        <w:t>1</w:t>
      </w:r>
      <w:r w:rsidRPr="00C7556F">
        <w:rPr>
          <w:rFonts w:ascii="Times New Roman"/>
          <w:kern w:val="0"/>
          <w:sz w:val="24"/>
          <w:szCs w:val="24"/>
        </w:rPr>
        <w:t>日納入市庫集中支付，為利該基金納入市庫集中支付，該府於</w:t>
      </w:r>
      <w:r w:rsidRPr="00C7556F">
        <w:rPr>
          <w:rFonts w:ascii="Times New Roman"/>
          <w:kern w:val="0"/>
          <w:sz w:val="24"/>
          <w:szCs w:val="24"/>
        </w:rPr>
        <w:t>102</w:t>
      </w:r>
      <w:r w:rsidRPr="00C7556F">
        <w:rPr>
          <w:rFonts w:ascii="Times New Roman"/>
          <w:kern w:val="0"/>
          <w:sz w:val="24"/>
          <w:szCs w:val="24"/>
        </w:rPr>
        <w:t>年</w:t>
      </w:r>
      <w:r w:rsidRPr="00C7556F">
        <w:rPr>
          <w:rFonts w:ascii="Times New Roman"/>
          <w:kern w:val="0"/>
          <w:sz w:val="24"/>
          <w:szCs w:val="24"/>
        </w:rPr>
        <w:t>1</w:t>
      </w:r>
      <w:r w:rsidRPr="00C7556F">
        <w:rPr>
          <w:rFonts w:ascii="Times New Roman"/>
          <w:kern w:val="0"/>
          <w:sz w:val="24"/>
          <w:szCs w:val="24"/>
        </w:rPr>
        <w:t>月</w:t>
      </w:r>
      <w:r w:rsidRPr="00C7556F">
        <w:rPr>
          <w:rFonts w:ascii="Times New Roman"/>
          <w:kern w:val="0"/>
          <w:sz w:val="24"/>
          <w:szCs w:val="24"/>
        </w:rPr>
        <w:t>3</w:t>
      </w:r>
      <w:r w:rsidRPr="00C7556F">
        <w:rPr>
          <w:rFonts w:ascii="Times New Roman"/>
          <w:kern w:val="0"/>
          <w:sz w:val="24"/>
          <w:szCs w:val="24"/>
        </w:rPr>
        <w:t>日全數歸還調借款。</w:t>
      </w:r>
    </w:p>
    <w:p w:rsidR="00C7556F" w:rsidRPr="00C7556F" w:rsidRDefault="00C7556F" w:rsidP="00C7556F">
      <w:pPr>
        <w:pStyle w:val="42"/>
        <w:kinsoku w:val="0"/>
        <w:spacing w:afterLines="50" w:after="228" w:line="320" w:lineRule="exact"/>
        <w:ind w:leftChars="498" w:left="1699" w:hangingChars="2" w:hanging="5"/>
        <w:rPr>
          <w:rFonts w:ascii="Times New Roman"/>
          <w:kern w:val="0"/>
          <w:sz w:val="24"/>
          <w:szCs w:val="24"/>
        </w:rPr>
      </w:pPr>
      <w:r w:rsidRPr="00C7556F">
        <w:rPr>
          <w:rFonts w:ascii="Times New Roman"/>
          <w:kern w:val="0"/>
          <w:sz w:val="24"/>
          <w:szCs w:val="24"/>
        </w:rPr>
        <w:t>資料來源：審計部，本院整理製表。</w:t>
      </w:r>
    </w:p>
    <w:p w:rsidR="00C7556F" w:rsidRPr="00C7556F" w:rsidRDefault="00C7556F" w:rsidP="00C7556F">
      <w:pPr>
        <w:pStyle w:val="4"/>
        <w:numPr>
          <w:ilvl w:val="3"/>
          <w:numId w:val="9"/>
        </w:numPr>
        <w:rPr>
          <w:rFonts w:ascii="Times New Roman" w:hAnsi="Times New Roman"/>
        </w:rPr>
      </w:pPr>
      <w:r w:rsidRPr="00C7556F">
        <w:rPr>
          <w:rFonts w:ascii="Times New Roman" w:hAnsi="Times New Roman"/>
        </w:rPr>
        <w:t>臺東縣政府：</w:t>
      </w:r>
    </w:p>
    <w:p w:rsidR="00C7556F" w:rsidRPr="00C7556F" w:rsidRDefault="00C7556F" w:rsidP="00C7556F">
      <w:pPr>
        <w:pStyle w:val="42"/>
        <w:ind w:left="1701" w:firstLine="680"/>
        <w:rPr>
          <w:rFonts w:ascii="Times New Roman"/>
        </w:rPr>
      </w:pPr>
      <w:r w:rsidRPr="00C7556F">
        <w:rPr>
          <w:rFonts w:ascii="Times New Roman"/>
        </w:rPr>
        <w:t>101</w:t>
      </w:r>
      <w:r w:rsidRPr="00C7556F">
        <w:rPr>
          <w:rFonts w:ascii="Times New Roman"/>
        </w:rPr>
        <w:t>年至</w:t>
      </w:r>
      <w:r w:rsidRPr="00C7556F">
        <w:rPr>
          <w:rFonts w:ascii="Times New Roman"/>
        </w:rPr>
        <w:t>105</w:t>
      </w:r>
      <w:r w:rsidRPr="00C7556F">
        <w:rPr>
          <w:rFonts w:ascii="Times New Roman"/>
        </w:rPr>
        <w:t>年臺東縣政府向該縣公益彩券盈餘分配基金調借</w:t>
      </w:r>
      <w:r w:rsidRPr="00C7556F">
        <w:rPr>
          <w:rFonts w:ascii="Times New Roman"/>
        </w:rPr>
        <w:t>10</w:t>
      </w:r>
      <w:r w:rsidRPr="00C7556F">
        <w:rPr>
          <w:rFonts w:ascii="Times New Roman"/>
        </w:rPr>
        <w:t>次款項，金額共計</w:t>
      </w:r>
      <w:r w:rsidRPr="00C7556F">
        <w:rPr>
          <w:rFonts w:ascii="Times New Roman"/>
        </w:rPr>
        <w:t>14.4</w:t>
      </w:r>
      <w:r w:rsidRPr="00C7556F">
        <w:rPr>
          <w:rFonts w:ascii="Times New Roman"/>
        </w:rPr>
        <w:t>億元</w:t>
      </w:r>
      <w:r w:rsidRPr="00C7556F">
        <w:rPr>
          <w:rFonts w:ascii="Times New Roman"/>
        </w:rPr>
        <w:t>(</w:t>
      </w:r>
      <w:r w:rsidRPr="00C7556F">
        <w:rPr>
          <w:rFonts w:ascii="Times New Roman"/>
        </w:rPr>
        <w:t>詳見下表</w:t>
      </w:r>
      <w:r w:rsidRPr="00C7556F">
        <w:rPr>
          <w:rFonts w:ascii="Times New Roman"/>
        </w:rPr>
        <w:t>3)</w:t>
      </w:r>
      <w:r w:rsidRPr="00C7556F">
        <w:rPr>
          <w:rFonts w:ascii="Times New Roman"/>
        </w:rPr>
        <w:t>。該府</w:t>
      </w:r>
      <w:r w:rsidRPr="00C7556F">
        <w:rPr>
          <w:rFonts w:ascii="Times New Roman"/>
        </w:rPr>
        <w:t>102</w:t>
      </w:r>
      <w:r w:rsidRPr="00C7556F">
        <w:rPr>
          <w:rFonts w:ascii="Times New Roman"/>
        </w:rPr>
        <w:t>年、</w:t>
      </w:r>
      <w:r w:rsidRPr="00C7556F">
        <w:rPr>
          <w:rFonts w:ascii="Times New Roman"/>
        </w:rPr>
        <w:t>103</w:t>
      </w:r>
      <w:r w:rsidRPr="00C7556F">
        <w:rPr>
          <w:rFonts w:ascii="Times New Roman"/>
        </w:rPr>
        <w:t>年向該縣公益彩券基金調借</w:t>
      </w:r>
      <w:r w:rsidRPr="00C7556F">
        <w:rPr>
          <w:rFonts w:ascii="Times New Roman"/>
        </w:rPr>
        <w:t>3.2</w:t>
      </w:r>
      <w:r w:rsidRPr="00C7556F">
        <w:rPr>
          <w:rFonts w:ascii="Times New Roman"/>
        </w:rPr>
        <w:t>億元、</w:t>
      </w:r>
      <w:r w:rsidRPr="00C7556F">
        <w:rPr>
          <w:rFonts w:ascii="Times New Roman"/>
        </w:rPr>
        <w:t>0.5</w:t>
      </w:r>
      <w:r w:rsidRPr="00C7556F">
        <w:rPr>
          <w:rFonts w:ascii="Times New Roman"/>
        </w:rPr>
        <w:t>億元，合計調借餘額高達</w:t>
      </w:r>
      <w:r w:rsidRPr="00C7556F">
        <w:rPr>
          <w:rFonts w:ascii="Times New Roman"/>
        </w:rPr>
        <w:t>3.7</w:t>
      </w:r>
      <w:r w:rsidRPr="00C7556F">
        <w:rPr>
          <w:rFonts w:ascii="Times New Roman"/>
        </w:rPr>
        <w:t>億元，直至本院著手調查後，於</w:t>
      </w:r>
      <w:r w:rsidRPr="00C7556F">
        <w:rPr>
          <w:rFonts w:ascii="Times New Roman"/>
        </w:rPr>
        <w:t>105</w:t>
      </w:r>
      <w:r w:rsidRPr="00C7556F">
        <w:rPr>
          <w:rFonts w:ascii="Times New Roman"/>
        </w:rPr>
        <w:t>年</w:t>
      </w:r>
      <w:r w:rsidRPr="00C7556F">
        <w:rPr>
          <w:rFonts w:ascii="Times New Roman"/>
        </w:rPr>
        <w:t>1</w:t>
      </w:r>
      <w:r w:rsidRPr="00C7556F">
        <w:rPr>
          <w:rFonts w:ascii="Times New Roman"/>
        </w:rPr>
        <w:t>月</w:t>
      </w:r>
      <w:r w:rsidRPr="00C7556F">
        <w:rPr>
          <w:rFonts w:ascii="Times New Roman"/>
        </w:rPr>
        <w:t>19</w:t>
      </w:r>
      <w:r w:rsidRPr="00C7556F">
        <w:rPr>
          <w:rFonts w:ascii="Times New Roman"/>
        </w:rPr>
        <w:t>日始償還，非屬短期調借；且</w:t>
      </w:r>
      <w:r w:rsidRPr="00C7556F">
        <w:rPr>
          <w:rFonts w:ascii="Times New Roman"/>
        </w:rPr>
        <w:t>104</w:t>
      </w:r>
      <w:r w:rsidRPr="00C7556F">
        <w:rPr>
          <w:rFonts w:ascii="Times New Roman"/>
        </w:rPr>
        <w:t>年底該府累計公益彩券盈餘分配待運用數為</w:t>
      </w:r>
      <w:r w:rsidRPr="00C7556F">
        <w:rPr>
          <w:rFonts w:ascii="Times New Roman"/>
        </w:rPr>
        <w:t>4</w:t>
      </w:r>
      <w:r w:rsidRPr="00C7556F">
        <w:rPr>
          <w:rFonts w:ascii="Times New Roman"/>
        </w:rPr>
        <w:t>億</w:t>
      </w:r>
      <w:r w:rsidRPr="00C7556F">
        <w:rPr>
          <w:rFonts w:ascii="Times New Roman"/>
        </w:rPr>
        <w:t>3,424</w:t>
      </w:r>
      <w:r w:rsidRPr="00C7556F">
        <w:rPr>
          <w:rFonts w:ascii="Times New Roman"/>
        </w:rPr>
        <w:t>萬餘元，調借比重高達</w:t>
      </w:r>
      <w:r w:rsidRPr="00C7556F">
        <w:rPr>
          <w:rFonts w:ascii="Times New Roman"/>
        </w:rPr>
        <w:t>85.21</w:t>
      </w:r>
      <w:r w:rsidRPr="00C7556F">
        <w:rPr>
          <w:rFonts w:ascii="Times New Roman"/>
        </w:rPr>
        <w:t>％</w:t>
      </w:r>
      <w:r w:rsidRPr="00C7556F">
        <w:rPr>
          <w:rStyle w:val="aff1"/>
          <w:rFonts w:ascii="Times New Roman"/>
        </w:rPr>
        <w:footnoteReference w:id="8"/>
      </w:r>
      <w:r w:rsidRPr="00C7556F">
        <w:rPr>
          <w:rFonts w:ascii="Times New Roman"/>
        </w:rPr>
        <w:t>。</w:t>
      </w:r>
    </w:p>
    <w:p w:rsidR="00C7556F" w:rsidRPr="00C7556F" w:rsidRDefault="00C7556F" w:rsidP="00C7556F">
      <w:pPr>
        <w:pStyle w:val="a3"/>
        <w:numPr>
          <w:ilvl w:val="0"/>
          <w:numId w:val="34"/>
        </w:numPr>
        <w:spacing w:before="120" w:after="0"/>
        <w:ind w:left="2535" w:rightChars="-42" w:right="-143" w:hanging="828"/>
        <w:textAlignment w:val="auto"/>
        <w:rPr>
          <w:rFonts w:ascii="Times New Roman" w:hAnsi="Times New Roman"/>
          <w:b/>
          <w:spacing w:val="0"/>
        </w:rPr>
      </w:pPr>
      <w:r w:rsidRPr="00C7556F">
        <w:rPr>
          <w:rFonts w:ascii="Times New Roman" w:hAnsi="Times New Roman"/>
          <w:b/>
          <w:spacing w:val="-8"/>
        </w:rPr>
        <w:t>臺東縣政府向該縣公益彩券盈餘分配基金調借情形</w:t>
      </w:r>
    </w:p>
    <w:p w:rsidR="00C7556F" w:rsidRPr="00C7556F" w:rsidRDefault="00C7556F" w:rsidP="00C7556F">
      <w:pPr>
        <w:pStyle w:val="42"/>
        <w:kinsoku w:val="0"/>
        <w:spacing w:line="320" w:lineRule="exact"/>
        <w:ind w:leftChars="498" w:left="1699" w:hangingChars="2" w:hanging="5"/>
        <w:jc w:val="right"/>
        <w:rPr>
          <w:rFonts w:ascii="Times New Roman"/>
          <w:sz w:val="24"/>
          <w:szCs w:val="24"/>
        </w:rPr>
      </w:pPr>
      <w:r w:rsidRPr="00C7556F">
        <w:rPr>
          <w:rFonts w:ascii="Times New Roman"/>
          <w:sz w:val="24"/>
          <w:szCs w:val="24"/>
        </w:rPr>
        <w:t>單位：億元</w:t>
      </w:r>
    </w:p>
    <w:tbl>
      <w:tblPr>
        <w:tblW w:w="4033" w:type="pct"/>
        <w:tblInd w:w="17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780"/>
        <w:gridCol w:w="1781"/>
        <w:gridCol w:w="1780"/>
        <w:gridCol w:w="1780"/>
      </w:tblGrid>
      <w:tr w:rsidR="00C7556F" w:rsidRPr="00C7556F" w:rsidTr="00E65E91">
        <w:trPr>
          <w:trHeight w:val="283"/>
          <w:tblHeader/>
        </w:trPr>
        <w:tc>
          <w:tcPr>
            <w:tcW w:w="1249" w:type="pct"/>
            <w:tcBorders>
              <w:top w:val="single" w:sz="6" w:space="0" w:color="auto"/>
              <w:left w:val="single" w:sz="6" w:space="0" w:color="auto"/>
              <w:bottom w:val="single" w:sz="6" w:space="0" w:color="auto"/>
              <w:right w:val="single" w:sz="6" w:space="0" w:color="auto"/>
            </w:tcBorders>
            <w:noWrap/>
            <w:vAlign w:val="center"/>
            <w:hideMark/>
          </w:tcPr>
          <w:p w:rsidR="00C7556F" w:rsidRPr="00C7556F" w:rsidRDefault="00C7556F" w:rsidP="00E65E91">
            <w:pPr>
              <w:widowControl/>
              <w:spacing w:line="360" w:lineRule="exact"/>
              <w:jc w:val="center"/>
              <w:rPr>
                <w:rFonts w:ascii="Times New Roman"/>
                <w:kern w:val="0"/>
                <w:sz w:val="24"/>
                <w:szCs w:val="24"/>
              </w:rPr>
            </w:pPr>
            <w:r w:rsidRPr="00C7556F">
              <w:rPr>
                <w:rFonts w:ascii="Times New Roman"/>
                <w:kern w:val="0"/>
                <w:sz w:val="24"/>
                <w:szCs w:val="24"/>
              </w:rPr>
              <w:t>調借日期</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C7556F" w:rsidRPr="00C7556F" w:rsidRDefault="00C7556F" w:rsidP="00E65E91">
            <w:pPr>
              <w:widowControl/>
              <w:spacing w:line="360" w:lineRule="exact"/>
              <w:jc w:val="center"/>
              <w:rPr>
                <w:rFonts w:ascii="Times New Roman"/>
                <w:kern w:val="0"/>
                <w:sz w:val="24"/>
                <w:szCs w:val="24"/>
              </w:rPr>
            </w:pPr>
            <w:r w:rsidRPr="00C7556F">
              <w:rPr>
                <w:rFonts w:ascii="Times New Roman"/>
                <w:kern w:val="0"/>
                <w:sz w:val="24"/>
                <w:szCs w:val="24"/>
              </w:rPr>
              <w:t>調借金額</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C7556F" w:rsidRPr="00C7556F" w:rsidRDefault="00C7556F" w:rsidP="00E65E91">
            <w:pPr>
              <w:widowControl/>
              <w:spacing w:line="360" w:lineRule="exact"/>
              <w:jc w:val="center"/>
              <w:rPr>
                <w:rFonts w:ascii="Times New Roman"/>
                <w:kern w:val="0"/>
                <w:sz w:val="24"/>
                <w:szCs w:val="24"/>
              </w:rPr>
            </w:pPr>
            <w:r w:rsidRPr="00C7556F">
              <w:rPr>
                <w:rFonts w:ascii="Times New Roman"/>
                <w:kern w:val="0"/>
                <w:sz w:val="24"/>
                <w:szCs w:val="24"/>
              </w:rPr>
              <w:t>還款日期</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C7556F" w:rsidRPr="00C7556F" w:rsidRDefault="00C7556F" w:rsidP="00E65E91">
            <w:pPr>
              <w:widowControl/>
              <w:spacing w:line="360" w:lineRule="exact"/>
              <w:jc w:val="center"/>
              <w:rPr>
                <w:rFonts w:ascii="Times New Roman"/>
                <w:kern w:val="0"/>
                <w:sz w:val="24"/>
                <w:szCs w:val="24"/>
              </w:rPr>
            </w:pPr>
            <w:r w:rsidRPr="00C7556F">
              <w:rPr>
                <w:rFonts w:ascii="Times New Roman"/>
                <w:kern w:val="0"/>
                <w:sz w:val="24"/>
                <w:szCs w:val="24"/>
              </w:rPr>
              <w:t>還款金額</w:t>
            </w:r>
          </w:p>
        </w:tc>
      </w:tr>
      <w:tr w:rsidR="00C7556F" w:rsidRPr="00C7556F" w:rsidTr="00E65E91">
        <w:trPr>
          <w:trHeight w:val="283"/>
        </w:trPr>
        <w:tc>
          <w:tcPr>
            <w:tcW w:w="1249" w:type="pct"/>
            <w:tcBorders>
              <w:top w:val="single" w:sz="6" w:space="0" w:color="auto"/>
              <w:left w:val="single" w:sz="6" w:space="0" w:color="auto"/>
              <w:bottom w:val="single" w:sz="6" w:space="0" w:color="auto"/>
              <w:right w:val="single" w:sz="6" w:space="0" w:color="auto"/>
            </w:tcBorders>
            <w:noWrap/>
            <w:vAlign w:val="center"/>
            <w:hideMark/>
          </w:tcPr>
          <w:p w:rsidR="00C7556F" w:rsidRPr="00C7556F" w:rsidRDefault="00C7556F" w:rsidP="00E65E91">
            <w:pPr>
              <w:widowControl/>
              <w:spacing w:line="320" w:lineRule="exact"/>
              <w:jc w:val="center"/>
              <w:rPr>
                <w:rFonts w:ascii="Times New Roman"/>
                <w:kern w:val="0"/>
                <w:sz w:val="24"/>
                <w:szCs w:val="24"/>
              </w:rPr>
            </w:pPr>
            <w:r w:rsidRPr="00C7556F">
              <w:rPr>
                <w:rFonts w:ascii="Times New Roman"/>
                <w:kern w:val="0"/>
                <w:sz w:val="24"/>
                <w:szCs w:val="24"/>
              </w:rPr>
              <w:t>101.01.13</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C7556F" w:rsidRPr="00C7556F" w:rsidRDefault="00C7556F" w:rsidP="00C7556F">
            <w:pPr>
              <w:widowControl/>
              <w:spacing w:line="320" w:lineRule="exact"/>
              <w:ind w:rightChars="20" w:right="68"/>
              <w:jc w:val="center"/>
              <w:rPr>
                <w:rFonts w:ascii="Times New Roman"/>
                <w:kern w:val="0"/>
                <w:sz w:val="24"/>
                <w:szCs w:val="24"/>
              </w:rPr>
            </w:pPr>
            <w:r w:rsidRPr="00C7556F">
              <w:rPr>
                <w:rFonts w:ascii="Times New Roman"/>
                <w:kern w:val="0"/>
                <w:sz w:val="24"/>
                <w:szCs w:val="24"/>
              </w:rPr>
              <w:t>1.9</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C7556F" w:rsidRPr="00C7556F" w:rsidRDefault="00C7556F" w:rsidP="00E65E91">
            <w:pPr>
              <w:widowControl/>
              <w:spacing w:line="320" w:lineRule="exact"/>
              <w:jc w:val="center"/>
              <w:rPr>
                <w:rFonts w:ascii="Times New Roman"/>
                <w:kern w:val="0"/>
                <w:sz w:val="24"/>
                <w:szCs w:val="24"/>
              </w:rPr>
            </w:pPr>
            <w:r w:rsidRPr="00C7556F">
              <w:rPr>
                <w:rFonts w:ascii="Times New Roman"/>
                <w:kern w:val="0"/>
                <w:sz w:val="24"/>
                <w:szCs w:val="24"/>
              </w:rPr>
              <w:t>101.12.27</w:t>
            </w:r>
          </w:p>
        </w:tc>
        <w:tc>
          <w:tcPr>
            <w:tcW w:w="1250" w:type="pct"/>
            <w:tcBorders>
              <w:top w:val="single" w:sz="6" w:space="0" w:color="auto"/>
              <w:left w:val="single" w:sz="6" w:space="0" w:color="auto"/>
              <w:bottom w:val="single" w:sz="6" w:space="0" w:color="auto"/>
              <w:right w:val="single" w:sz="6" w:space="0" w:color="auto"/>
            </w:tcBorders>
            <w:noWrap/>
            <w:hideMark/>
          </w:tcPr>
          <w:p w:rsidR="00C7556F" w:rsidRPr="00C7556F" w:rsidRDefault="00C7556F" w:rsidP="00C7556F">
            <w:pPr>
              <w:widowControl/>
              <w:spacing w:line="320" w:lineRule="exact"/>
              <w:ind w:rightChars="20" w:right="68"/>
              <w:jc w:val="center"/>
              <w:rPr>
                <w:rFonts w:ascii="Times New Roman"/>
                <w:kern w:val="0"/>
                <w:sz w:val="24"/>
                <w:szCs w:val="24"/>
              </w:rPr>
            </w:pPr>
            <w:r w:rsidRPr="00C7556F">
              <w:rPr>
                <w:rFonts w:ascii="Times New Roman"/>
                <w:kern w:val="0"/>
                <w:sz w:val="24"/>
                <w:szCs w:val="24"/>
              </w:rPr>
              <w:t>1.9</w:t>
            </w:r>
          </w:p>
        </w:tc>
      </w:tr>
      <w:tr w:rsidR="00C7556F" w:rsidRPr="00C7556F" w:rsidTr="00E65E91">
        <w:trPr>
          <w:trHeight w:val="283"/>
        </w:trPr>
        <w:tc>
          <w:tcPr>
            <w:tcW w:w="1249" w:type="pct"/>
            <w:tcBorders>
              <w:top w:val="single" w:sz="6" w:space="0" w:color="auto"/>
              <w:left w:val="single" w:sz="6" w:space="0" w:color="auto"/>
              <w:bottom w:val="single" w:sz="6" w:space="0" w:color="auto"/>
              <w:right w:val="single" w:sz="6" w:space="0" w:color="auto"/>
            </w:tcBorders>
            <w:noWrap/>
            <w:vAlign w:val="center"/>
            <w:hideMark/>
          </w:tcPr>
          <w:p w:rsidR="00C7556F" w:rsidRPr="00C7556F" w:rsidRDefault="00C7556F" w:rsidP="00E65E91">
            <w:pPr>
              <w:widowControl/>
              <w:spacing w:line="320" w:lineRule="exact"/>
              <w:jc w:val="center"/>
              <w:rPr>
                <w:rFonts w:ascii="Times New Roman"/>
                <w:kern w:val="0"/>
                <w:sz w:val="24"/>
                <w:szCs w:val="24"/>
              </w:rPr>
            </w:pPr>
            <w:r w:rsidRPr="00C7556F">
              <w:rPr>
                <w:rFonts w:ascii="Times New Roman"/>
                <w:kern w:val="0"/>
                <w:sz w:val="24"/>
                <w:szCs w:val="24"/>
              </w:rPr>
              <w:t>101.05.14</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C7556F" w:rsidRPr="00C7556F" w:rsidRDefault="00C7556F" w:rsidP="00C7556F">
            <w:pPr>
              <w:widowControl/>
              <w:spacing w:line="320" w:lineRule="exact"/>
              <w:ind w:rightChars="20" w:right="68"/>
              <w:jc w:val="center"/>
              <w:rPr>
                <w:rFonts w:ascii="Times New Roman"/>
                <w:kern w:val="0"/>
                <w:sz w:val="24"/>
                <w:szCs w:val="24"/>
              </w:rPr>
            </w:pPr>
            <w:r w:rsidRPr="00C7556F">
              <w:rPr>
                <w:rFonts w:ascii="Times New Roman"/>
                <w:kern w:val="0"/>
                <w:sz w:val="24"/>
                <w:szCs w:val="24"/>
              </w:rPr>
              <w:t>0.4</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C7556F" w:rsidRPr="00C7556F" w:rsidRDefault="00C7556F" w:rsidP="00E65E91">
            <w:pPr>
              <w:widowControl/>
              <w:spacing w:line="320" w:lineRule="exact"/>
              <w:jc w:val="center"/>
              <w:rPr>
                <w:rFonts w:ascii="Times New Roman"/>
                <w:kern w:val="0"/>
                <w:sz w:val="24"/>
                <w:szCs w:val="24"/>
              </w:rPr>
            </w:pPr>
            <w:r w:rsidRPr="00C7556F">
              <w:rPr>
                <w:rFonts w:ascii="Times New Roman"/>
                <w:kern w:val="0"/>
                <w:sz w:val="24"/>
                <w:szCs w:val="24"/>
              </w:rPr>
              <w:t>101.12.27</w:t>
            </w:r>
          </w:p>
        </w:tc>
        <w:tc>
          <w:tcPr>
            <w:tcW w:w="1250" w:type="pct"/>
            <w:tcBorders>
              <w:top w:val="single" w:sz="6" w:space="0" w:color="auto"/>
              <w:left w:val="single" w:sz="6" w:space="0" w:color="auto"/>
              <w:bottom w:val="single" w:sz="6" w:space="0" w:color="auto"/>
              <w:right w:val="single" w:sz="6" w:space="0" w:color="auto"/>
            </w:tcBorders>
            <w:noWrap/>
            <w:hideMark/>
          </w:tcPr>
          <w:p w:rsidR="00C7556F" w:rsidRPr="00C7556F" w:rsidRDefault="00C7556F" w:rsidP="00C7556F">
            <w:pPr>
              <w:widowControl/>
              <w:spacing w:line="320" w:lineRule="exact"/>
              <w:ind w:rightChars="20" w:right="68"/>
              <w:jc w:val="center"/>
              <w:rPr>
                <w:rFonts w:ascii="Times New Roman"/>
                <w:kern w:val="0"/>
                <w:sz w:val="24"/>
                <w:szCs w:val="24"/>
              </w:rPr>
            </w:pPr>
            <w:r w:rsidRPr="00C7556F">
              <w:rPr>
                <w:rFonts w:ascii="Times New Roman"/>
                <w:kern w:val="0"/>
                <w:sz w:val="24"/>
                <w:szCs w:val="24"/>
              </w:rPr>
              <w:t>0.4</w:t>
            </w:r>
          </w:p>
        </w:tc>
      </w:tr>
      <w:tr w:rsidR="00C7556F" w:rsidRPr="00C7556F" w:rsidTr="00E65E91">
        <w:trPr>
          <w:trHeight w:val="283"/>
        </w:trPr>
        <w:tc>
          <w:tcPr>
            <w:tcW w:w="1249" w:type="pct"/>
            <w:tcBorders>
              <w:top w:val="single" w:sz="6" w:space="0" w:color="auto"/>
              <w:left w:val="single" w:sz="6" w:space="0" w:color="auto"/>
              <w:bottom w:val="single" w:sz="6" w:space="0" w:color="auto"/>
              <w:right w:val="single" w:sz="6" w:space="0" w:color="auto"/>
            </w:tcBorders>
            <w:noWrap/>
            <w:vAlign w:val="center"/>
            <w:hideMark/>
          </w:tcPr>
          <w:p w:rsidR="00C7556F" w:rsidRPr="00C7556F" w:rsidRDefault="00C7556F" w:rsidP="00E65E91">
            <w:pPr>
              <w:widowControl/>
              <w:spacing w:line="320" w:lineRule="exact"/>
              <w:jc w:val="center"/>
              <w:rPr>
                <w:rFonts w:ascii="Times New Roman"/>
                <w:kern w:val="0"/>
                <w:sz w:val="24"/>
                <w:szCs w:val="24"/>
              </w:rPr>
            </w:pPr>
            <w:r w:rsidRPr="00C7556F">
              <w:rPr>
                <w:rFonts w:ascii="Times New Roman"/>
                <w:kern w:val="0"/>
                <w:sz w:val="24"/>
                <w:szCs w:val="24"/>
              </w:rPr>
              <w:t>101.08.15</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C7556F" w:rsidRPr="00C7556F" w:rsidRDefault="00C7556F" w:rsidP="00C7556F">
            <w:pPr>
              <w:widowControl/>
              <w:spacing w:line="320" w:lineRule="exact"/>
              <w:ind w:leftChars="-15" w:left="-4" w:rightChars="20" w:right="68" w:hangingChars="18" w:hanging="47"/>
              <w:jc w:val="center"/>
              <w:rPr>
                <w:rFonts w:ascii="Times New Roman"/>
                <w:kern w:val="0"/>
                <w:sz w:val="24"/>
                <w:szCs w:val="24"/>
              </w:rPr>
            </w:pPr>
            <w:r w:rsidRPr="00C7556F">
              <w:rPr>
                <w:rFonts w:ascii="Times New Roman"/>
                <w:kern w:val="0"/>
                <w:sz w:val="24"/>
                <w:szCs w:val="24"/>
              </w:rPr>
              <w:t>0.5</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C7556F" w:rsidRPr="00C7556F" w:rsidRDefault="00C7556F" w:rsidP="00E65E91">
            <w:pPr>
              <w:widowControl/>
              <w:spacing w:line="320" w:lineRule="exact"/>
              <w:jc w:val="center"/>
              <w:rPr>
                <w:rFonts w:ascii="Times New Roman"/>
                <w:kern w:val="0"/>
                <w:sz w:val="24"/>
                <w:szCs w:val="24"/>
              </w:rPr>
            </w:pPr>
            <w:r w:rsidRPr="00C7556F">
              <w:rPr>
                <w:rFonts w:ascii="Times New Roman"/>
                <w:kern w:val="0"/>
                <w:sz w:val="24"/>
                <w:szCs w:val="24"/>
              </w:rPr>
              <w:t>101.12.27</w:t>
            </w:r>
          </w:p>
        </w:tc>
        <w:tc>
          <w:tcPr>
            <w:tcW w:w="1250" w:type="pct"/>
            <w:tcBorders>
              <w:top w:val="single" w:sz="6" w:space="0" w:color="auto"/>
              <w:left w:val="single" w:sz="6" w:space="0" w:color="auto"/>
              <w:bottom w:val="single" w:sz="6" w:space="0" w:color="auto"/>
              <w:right w:val="single" w:sz="6" w:space="0" w:color="auto"/>
            </w:tcBorders>
            <w:noWrap/>
            <w:hideMark/>
          </w:tcPr>
          <w:p w:rsidR="00C7556F" w:rsidRPr="00C7556F" w:rsidRDefault="00C7556F" w:rsidP="00C7556F">
            <w:pPr>
              <w:widowControl/>
              <w:spacing w:line="320" w:lineRule="exact"/>
              <w:ind w:rightChars="20" w:right="68"/>
              <w:jc w:val="center"/>
              <w:rPr>
                <w:rFonts w:ascii="Times New Roman"/>
                <w:kern w:val="0"/>
                <w:sz w:val="24"/>
                <w:szCs w:val="24"/>
              </w:rPr>
            </w:pPr>
            <w:r w:rsidRPr="00C7556F">
              <w:rPr>
                <w:rFonts w:ascii="Times New Roman"/>
                <w:kern w:val="0"/>
                <w:sz w:val="24"/>
                <w:szCs w:val="24"/>
              </w:rPr>
              <w:t>0.5</w:t>
            </w:r>
          </w:p>
        </w:tc>
      </w:tr>
      <w:tr w:rsidR="00C7556F" w:rsidRPr="00C7556F" w:rsidTr="00E65E91">
        <w:trPr>
          <w:trHeight w:val="283"/>
        </w:trPr>
        <w:tc>
          <w:tcPr>
            <w:tcW w:w="1249" w:type="pct"/>
            <w:tcBorders>
              <w:top w:val="single" w:sz="6" w:space="0" w:color="auto"/>
              <w:left w:val="single" w:sz="6" w:space="0" w:color="auto"/>
              <w:bottom w:val="single" w:sz="6" w:space="0" w:color="auto"/>
              <w:right w:val="single" w:sz="6" w:space="0" w:color="auto"/>
            </w:tcBorders>
            <w:noWrap/>
            <w:vAlign w:val="center"/>
            <w:hideMark/>
          </w:tcPr>
          <w:p w:rsidR="00C7556F" w:rsidRPr="00C7556F" w:rsidRDefault="00C7556F" w:rsidP="00E65E91">
            <w:pPr>
              <w:widowControl/>
              <w:spacing w:line="320" w:lineRule="exact"/>
              <w:jc w:val="center"/>
              <w:rPr>
                <w:rFonts w:ascii="Times New Roman"/>
                <w:kern w:val="0"/>
                <w:sz w:val="24"/>
                <w:szCs w:val="24"/>
              </w:rPr>
            </w:pPr>
            <w:r w:rsidRPr="00C7556F">
              <w:rPr>
                <w:rFonts w:ascii="Times New Roman"/>
                <w:kern w:val="0"/>
                <w:sz w:val="24"/>
                <w:szCs w:val="24"/>
              </w:rPr>
              <w:t>102.01.16</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C7556F" w:rsidRPr="00C7556F" w:rsidRDefault="00C7556F" w:rsidP="00C7556F">
            <w:pPr>
              <w:widowControl/>
              <w:spacing w:line="320" w:lineRule="exact"/>
              <w:ind w:rightChars="20" w:right="68"/>
              <w:jc w:val="center"/>
              <w:rPr>
                <w:rFonts w:ascii="Times New Roman"/>
                <w:kern w:val="0"/>
                <w:sz w:val="24"/>
                <w:szCs w:val="24"/>
              </w:rPr>
            </w:pPr>
            <w:r w:rsidRPr="00C7556F">
              <w:rPr>
                <w:rFonts w:ascii="Times New Roman"/>
                <w:kern w:val="0"/>
                <w:sz w:val="24"/>
                <w:szCs w:val="24"/>
              </w:rPr>
              <w:t>2.6</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C7556F" w:rsidRPr="00C7556F" w:rsidRDefault="00C7556F" w:rsidP="00E65E91">
            <w:pPr>
              <w:widowControl/>
              <w:spacing w:line="320" w:lineRule="exact"/>
              <w:jc w:val="center"/>
              <w:rPr>
                <w:rFonts w:ascii="Times New Roman"/>
                <w:kern w:val="0"/>
                <w:sz w:val="24"/>
                <w:szCs w:val="24"/>
              </w:rPr>
            </w:pPr>
            <w:r w:rsidRPr="00C7556F">
              <w:rPr>
                <w:rFonts w:ascii="Times New Roman"/>
                <w:kern w:val="0"/>
                <w:sz w:val="24"/>
                <w:szCs w:val="24"/>
              </w:rPr>
              <w:t>102.12.30</w:t>
            </w:r>
          </w:p>
        </w:tc>
        <w:tc>
          <w:tcPr>
            <w:tcW w:w="1250" w:type="pct"/>
            <w:tcBorders>
              <w:top w:val="single" w:sz="6" w:space="0" w:color="auto"/>
              <w:left w:val="single" w:sz="6" w:space="0" w:color="auto"/>
              <w:bottom w:val="single" w:sz="6" w:space="0" w:color="auto"/>
              <w:right w:val="single" w:sz="6" w:space="0" w:color="auto"/>
            </w:tcBorders>
            <w:noWrap/>
            <w:hideMark/>
          </w:tcPr>
          <w:p w:rsidR="00C7556F" w:rsidRPr="00C7556F" w:rsidRDefault="00C7556F" w:rsidP="00C7556F">
            <w:pPr>
              <w:widowControl/>
              <w:spacing w:line="320" w:lineRule="exact"/>
              <w:ind w:rightChars="20" w:right="68"/>
              <w:jc w:val="center"/>
              <w:rPr>
                <w:rFonts w:ascii="Times New Roman"/>
                <w:kern w:val="0"/>
                <w:sz w:val="24"/>
                <w:szCs w:val="24"/>
              </w:rPr>
            </w:pPr>
            <w:r w:rsidRPr="00C7556F">
              <w:rPr>
                <w:rFonts w:ascii="Times New Roman"/>
                <w:kern w:val="0"/>
                <w:sz w:val="24"/>
                <w:szCs w:val="24"/>
              </w:rPr>
              <w:t>2.6</w:t>
            </w:r>
          </w:p>
        </w:tc>
      </w:tr>
      <w:tr w:rsidR="00C7556F" w:rsidRPr="00C7556F" w:rsidTr="00E65E91">
        <w:trPr>
          <w:trHeight w:val="283"/>
        </w:trPr>
        <w:tc>
          <w:tcPr>
            <w:tcW w:w="1249" w:type="pct"/>
            <w:tcBorders>
              <w:top w:val="single" w:sz="6" w:space="0" w:color="auto"/>
              <w:left w:val="single" w:sz="6" w:space="0" w:color="auto"/>
              <w:bottom w:val="single" w:sz="6" w:space="0" w:color="auto"/>
              <w:right w:val="single" w:sz="6" w:space="0" w:color="auto"/>
            </w:tcBorders>
            <w:noWrap/>
            <w:vAlign w:val="center"/>
            <w:hideMark/>
          </w:tcPr>
          <w:p w:rsidR="00C7556F" w:rsidRPr="00C7556F" w:rsidRDefault="00C7556F" w:rsidP="00E65E91">
            <w:pPr>
              <w:widowControl/>
              <w:spacing w:line="320" w:lineRule="exact"/>
              <w:jc w:val="center"/>
              <w:rPr>
                <w:rFonts w:ascii="Times New Roman"/>
                <w:kern w:val="0"/>
                <w:sz w:val="24"/>
                <w:szCs w:val="24"/>
              </w:rPr>
            </w:pPr>
            <w:r w:rsidRPr="00C7556F">
              <w:rPr>
                <w:rFonts w:ascii="Times New Roman"/>
                <w:kern w:val="0"/>
                <w:sz w:val="24"/>
                <w:szCs w:val="24"/>
              </w:rPr>
              <w:t>102.07.12</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C7556F" w:rsidRPr="00C7556F" w:rsidRDefault="00C7556F" w:rsidP="00C7556F">
            <w:pPr>
              <w:widowControl/>
              <w:spacing w:line="320" w:lineRule="exact"/>
              <w:ind w:leftChars="-15" w:left="-4" w:rightChars="20" w:right="68" w:hangingChars="18" w:hanging="47"/>
              <w:jc w:val="center"/>
              <w:rPr>
                <w:rFonts w:ascii="Times New Roman"/>
                <w:kern w:val="0"/>
                <w:sz w:val="24"/>
                <w:szCs w:val="24"/>
              </w:rPr>
            </w:pPr>
            <w:r w:rsidRPr="00C7556F">
              <w:rPr>
                <w:rFonts w:ascii="Times New Roman"/>
                <w:kern w:val="0"/>
                <w:sz w:val="24"/>
                <w:szCs w:val="24"/>
              </w:rPr>
              <w:t>0.6</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C7556F" w:rsidRPr="00C7556F" w:rsidRDefault="00C7556F" w:rsidP="00E65E91">
            <w:pPr>
              <w:widowControl/>
              <w:spacing w:line="320" w:lineRule="exact"/>
              <w:jc w:val="center"/>
              <w:rPr>
                <w:rFonts w:ascii="Times New Roman"/>
                <w:kern w:val="0"/>
                <w:sz w:val="24"/>
                <w:szCs w:val="24"/>
              </w:rPr>
            </w:pPr>
            <w:r w:rsidRPr="00C7556F">
              <w:rPr>
                <w:rFonts w:ascii="Times New Roman"/>
                <w:kern w:val="0"/>
                <w:sz w:val="24"/>
                <w:szCs w:val="24"/>
              </w:rPr>
              <w:t>102.12.30</w:t>
            </w:r>
          </w:p>
        </w:tc>
        <w:tc>
          <w:tcPr>
            <w:tcW w:w="1250" w:type="pct"/>
            <w:tcBorders>
              <w:top w:val="single" w:sz="6" w:space="0" w:color="auto"/>
              <w:left w:val="single" w:sz="6" w:space="0" w:color="auto"/>
              <w:bottom w:val="single" w:sz="6" w:space="0" w:color="auto"/>
              <w:right w:val="single" w:sz="6" w:space="0" w:color="auto"/>
            </w:tcBorders>
            <w:noWrap/>
            <w:hideMark/>
          </w:tcPr>
          <w:p w:rsidR="00C7556F" w:rsidRPr="00C7556F" w:rsidRDefault="00C7556F" w:rsidP="00C7556F">
            <w:pPr>
              <w:widowControl/>
              <w:spacing w:line="320" w:lineRule="exact"/>
              <w:ind w:rightChars="20" w:right="68"/>
              <w:jc w:val="center"/>
              <w:rPr>
                <w:rFonts w:ascii="Times New Roman"/>
                <w:kern w:val="0"/>
                <w:sz w:val="24"/>
                <w:szCs w:val="24"/>
              </w:rPr>
            </w:pPr>
            <w:r w:rsidRPr="00C7556F">
              <w:rPr>
                <w:rFonts w:ascii="Times New Roman"/>
                <w:kern w:val="0"/>
                <w:sz w:val="24"/>
                <w:szCs w:val="24"/>
              </w:rPr>
              <w:t>0.6</w:t>
            </w:r>
          </w:p>
        </w:tc>
      </w:tr>
      <w:tr w:rsidR="00C7556F" w:rsidRPr="00C7556F" w:rsidTr="00E65E91">
        <w:trPr>
          <w:trHeight w:val="283"/>
        </w:trPr>
        <w:tc>
          <w:tcPr>
            <w:tcW w:w="1249" w:type="pct"/>
            <w:vMerge w:val="restart"/>
            <w:tcBorders>
              <w:top w:val="single" w:sz="6" w:space="0" w:color="auto"/>
              <w:left w:val="single" w:sz="6" w:space="0" w:color="auto"/>
              <w:bottom w:val="single" w:sz="6" w:space="0" w:color="auto"/>
              <w:right w:val="single" w:sz="6" w:space="0" w:color="auto"/>
            </w:tcBorders>
            <w:noWrap/>
            <w:vAlign w:val="center"/>
            <w:hideMark/>
          </w:tcPr>
          <w:p w:rsidR="00C7556F" w:rsidRPr="00C7556F" w:rsidRDefault="00C7556F" w:rsidP="00E65E91">
            <w:pPr>
              <w:widowControl/>
              <w:spacing w:line="320" w:lineRule="exact"/>
              <w:jc w:val="center"/>
              <w:rPr>
                <w:rFonts w:ascii="Times New Roman"/>
                <w:kern w:val="0"/>
                <w:sz w:val="24"/>
                <w:szCs w:val="24"/>
              </w:rPr>
            </w:pPr>
            <w:r w:rsidRPr="00C7556F">
              <w:rPr>
                <w:rFonts w:ascii="Times New Roman"/>
                <w:kern w:val="0"/>
                <w:sz w:val="24"/>
                <w:szCs w:val="24"/>
              </w:rPr>
              <w:t>103.01.01</w:t>
            </w:r>
          </w:p>
        </w:tc>
        <w:tc>
          <w:tcPr>
            <w:tcW w:w="1250" w:type="pct"/>
            <w:vMerge w:val="restart"/>
            <w:tcBorders>
              <w:top w:val="single" w:sz="6" w:space="0" w:color="auto"/>
              <w:left w:val="single" w:sz="6" w:space="0" w:color="auto"/>
              <w:bottom w:val="single" w:sz="6" w:space="0" w:color="auto"/>
              <w:right w:val="single" w:sz="6" w:space="0" w:color="auto"/>
            </w:tcBorders>
            <w:noWrap/>
            <w:vAlign w:val="center"/>
            <w:hideMark/>
          </w:tcPr>
          <w:p w:rsidR="00C7556F" w:rsidRPr="00C7556F" w:rsidRDefault="00C7556F" w:rsidP="00C7556F">
            <w:pPr>
              <w:widowControl/>
              <w:spacing w:line="320" w:lineRule="exact"/>
              <w:ind w:rightChars="20" w:right="68"/>
              <w:jc w:val="center"/>
              <w:rPr>
                <w:rFonts w:ascii="Times New Roman"/>
                <w:kern w:val="0"/>
                <w:sz w:val="24"/>
                <w:szCs w:val="24"/>
              </w:rPr>
            </w:pPr>
            <w:r w:rsidRPr="00C7556F">
              <w:rPr>
                <w:rFonts w:ascii="Times New Roman"/>
                <w:kern w:val="0"/>
                <w:sz w:val="24"/>
                <w:szCs w:val="24"/>
              </w:rPr>
              <w:t>3.2</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C7556F" w:rsidRPr="00C7556F" w:rsidRDefault="00C7556F" w:rsidP="00E65E91">
            <w:pPr>
              <w:widowControl/>
              <w:spacing w:line="320" w:lineRule="exact"/>
              <w:jc w:val="center"/>
              <w:rPr>
                <w:rFonts w:ascii="Times New Roman"/>
                <w:kern w:val="0"/>
                <w:sz w:val="24"/>
                <w:szCs w:val="24"/>
              </w:rPr>
            </w:pPr>
            <w:r w:rsidRPr="00C7556F">
              <w:rPr>
                <w:rFonts w:ascii="Times New Roman"/>
                <w:kern w:val="0"/>
                <w:sz w:val="24"/>
                <w:szCs w:val="24"/>
              </w:rPr>
              <w:t>103.12.24</w:t>
            </w:r>
          </w:p>
        </w:tc>
        <w:tc>
          <w:tcPr>
            <w:tcW w:w="1250" w:type="pct"/>
            <w:tcBorders>
              <w:top w:val="single" w:sz="6" w:space="0" w:color="auto"/>
              <w:left w:val="single" w:sz="6" w:space="0" w:color="auto"/>
              <w:bottom w:val="single" w:sz="6" w:space="0" w:color="auto"/>
              <w:right w:val="single" w:sz="6" w:space="0" w:color="auto"/>
            </w:tcBorders>
            <w:noWrap/>
            <w:hideMark/>
          </w:tcPr>
          <w:p w:rsidR="00C7556F" w:rsidRPr="00C7556F" w:rsidRDefault="00C7556F" w:rsidP="00C7556F">
            <w:pPr>
              <w:widowControl/>
              <w:spacing w:line="320" w:lineRule="exact"/>
              <w:ind w:rightChars="20" w:right="68"/>
              <w:jc w:val="center"/>
              <w:rPr>
                <w:rFonts w:ascii="Times New Roman"/>
                <w:kern w:val="0"/>
                <w:sz w:val="24"/>
                <w:szCs w:val="24"/>
              </w:rPr>
            </w:pPr>
            <w:r w:rsidRPr="00C7556F">
              <w:rPr>
                <w:rFonts w:ascii="Times New Roman"/>
                <w:kern w:val="0"/>
                <w:sz w:val="24"/>
                <w:szCs w:val="24"/>
              </w:rPr>
              <w:t>0.2</w:t>
            </w:r>
          </w:p>
        </w:tc>
      </w:tr>
      <w:tr w:rsidR="00C7556F" w:rsidRPr="00C7556F" w:rsidTr="00E65E91">
        <w:trPr>
          <w:trHeight w:val="283"/>
        </w:trPr>
        <w:tc>
          <w:tcPr>
            <w:tcW w:w="0" w:type="auto"/>
            <w:vMerge/>
            <w:tcBorders>
              <w:top w:val="single" w:sz="6" w:space="0" w:color="auto"/>
              <w:left w:val="single" w:sz="6" w:space="0" w:color="auto"/>
              <w:bottom w:val="single" w:sz="6" w:space="0" w:color="auto"/>
              <w:right w:val="single" w:sz="6" w:space="0" w:color="auto"/>
            </w:tcBorders>
            <w:vAlign w:val="center"/>
            <w:hideMark/>
          </w:tcPr>
          <w:p w:rsidR="00C7556F" w:rsidRPr="00C7556F" w:rsidRDefault="00C7556F" w:rsidP="00E65E91">
            <w:pPr>
              <w:widowControl/>
              <w:overflowPunct/>
              <w:autoSpaceDE/>
              <w:autoSpaceDN/>
              <w:spacing w:line="320" w:lineRule="exact"/>
              <w:jc w:val="left"/>
              <w:rPr>
                <w:rFonts w:ascii="Times New Roman"/>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7556F" w:rsidRPr="00C7556F" w:rsidRDefault="00C7556F" w:rsidP="00E65E91">
            <w:pPr>
              <w:widowControl/>
              <w:overflowPunct/>
              <w:autoSpaceDE/>
              <w:autoSpaceDN/>
              <w:spacing w:line="320" w:lineRule="exact"/>
              <w:jc w:val="left"/>
              <w:rPr>
                <w:rFonts w:ascii="Times New Roman"/>
                <w:kern w:val="0"/>
                <w:sz w:val="24"/>
                <w:szCs w:val="24"/>
              </w:rPr>
            </w:pP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C7556F" w:rsidRPr="00C7556F" w:rsidRDefault="00C7556F" w:rsidP="00E65E91">
            <w:pPr>
              <w:widowControl/>
              <w:spacing w:line="320" w:lineRule="exact"/>
              <w:jc w:val="center"/>
              <w:rPr>
                <w:rFonts w:ascii="Times New Roman"/>
                <w:kern w:val="0"/>
                <w:sz w:val="24"/>
                <w:szCs w:val="24"/>
              </w:rPr>
            </w:pPr>
            <w:r w:rsidRPr="00C7556F">
              <w:rPr>
                <w:rFonts w:ascii="Times New Roman"/>
                <w:kern w:val="0"/>
                <w:sz w:val="24"/>
                <w:szCs w:val="24"/>
              </w:rPr>
              <w:t>103.12.31</w:t>
            </w:r>
          </w:p>
        </w:tc>
        <w:tc>
          <w:tcPr>
            <w:tcW w:w="1250" w:type="pct"/>
            <w:tcBorders>
              <w:top w:val="single" w:sz="6" w:space="0" w:color="auto"/>
              <w:left w:val="single" w:sz="6" w:space="0" w:color="auto"/>
              <w:bottom w:val="single" w:sz="6" w:space="0" w:color="auto"/>
              <w:right w:val="single" w:sz="6" w:space="0" w:color="auto"/>
            </w:tcBorders>
            <w:noWrap/>
            <w:hideMark/>
          </w:tcPr>
          <w:p w:rsidR="00C7556F" w:rsidRPr="00C7556F" w:rsidRDefault="00C7556F" w:rsidP="00C7556F">
            <w:pPr>
              <w:widowControl/>
              <w:spacing w:line="320" w:lineRule="exact"/>
              <w:ind w:rightChars="20" w:right="68"/>
              <w:jc w:val="center"/>
              <w:rPr>
                <w:rFonts w:ascii="Times New Roman"/>
                <w:kern w:val="0"/>
                <w:sz w:val="24"/>
                <w:szCs w:val="24"/>
              </w:rPr>
            </w:pPr>
            <w:r w:rsidRPr="00C7556F">
              <w:rPr>
                <w:rFonts w:ascii="Times New Roman"/>
                <w:kern w:val="0"/>
                <w:sz w:val="24"/>
                <w:szCs w:val="24"/>
              </w:rPr>
              <w:t>3.0</w:t>
            </w:r>
          </w:p>
        </w:tc>
      </w:tr>
      <w:tr w:rsidR="00C7556F" w:rsidRPr="00C7556F" w:rsidTr="00E65E91">
        <w:trPr>
          <w:trHeight w:val="283"/>
        </w:trPr>
        <w:tc>
          <w:tcPr>
            <w:tcW w:w="1249" w:type="pct"/>
            <w:tcBorders>
              <w:top w:val="single" w:sz="6" w:space="0" w:color="auto"/>
              <w:left w:val="single" w:sz="6" w:space="0" w:color="auto"/>
              <w:bottom w:val="single" w:sz="6" w:space="0" w:color="auto"/>
              <w:right w:val="single" w:sz="6" w:space="0" w:color="auto"/>
            </w:tcBorders>
            <w:noWrap/>
            <w:vAlign w:val="center"/>
            <w:hideMark/>
          </w:tcPr>
          <w:p w:rsidR="00C7556F" w:rsidRPr="00C7556F" w:rsidRDefault="00C7556F" w:rsidP="00E65E91">
            <w:pPr>
              <w:widowControl/>
              <w:spacing w:line="320" w:lineRule="exact"/>
              <w:jc w:val="center"/>
              <w:rPr>
                <w:rFonts w:ascii="Times New Roman"/>
                <w:kern w:val="0"/>
                <w:sz w:val="24"/>
                <w:szCs w:val="24"/>
              </w:rPr>
            </w:pPr>
            <w:r w:rsidRPr="00C7556F">
              <w:rPr>
                <w:rFonts w:ascii="Times New Roman"/>
                <w:kern w:val="0"/>
                <w:sz w:val="24"/>
                <w:szCs w:val="24"/>
              </w:rPr>
              <w:t>103.09.25</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C7556F" w:rsidRPr="00C7556F" w:rsidRDefault="00C7556F" w:rsidP="00C7556F">
            <w:pPr>
              <w:widowControl/>
              <w:spacing w:line="320" w:lineRule="exact"/>
              <w:ind w:rightChars="20" w:right="68"/>
              <w:jc w:val="center"/>
              <w:rPr>
                <w:rFonts w:ascii="Times New Roman"/>
                <w:kern w:val="0"/>
                <w:sz w:val="24"/>
                <w:szCs w:val="24"/>
              </w:rPr>
            </w:pPr>
            <w:r w:rsidRPr="00C7556F">
              <w:rPr>
                <w:rFonts w:ascii="Times New Roman"/>
                <w:kern w:val="0"/>
                <w:sz w:val="24"/>
                <w:szCs w:val="24"/>
              </w:rPr>
              <w:t>0.7</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C7556F" w:rsidRPr="00C7556F" w:rsidRDefault="00C7556F" w:rsidP="00E65E91">
            <w:pPr>
              <w:widowControl/>
              <w:spacing w:line="320" w:lineRule="exact"/>
              <w:jc w:val="center"/>
              <w:rPr>
                <w:rFonts w:ascii="Times New Roman"/>
                <w:kern w:val="0"/>
                <w:sz w:val="24"/>
                <w:szCs w:val="24"/>
              </w:rPr>
            </w:pPr>
            <w:r w:rsidRPr="00C7556F">
              <w:rPr>
                <w:rFonts w:ascii="Times New Roman"/>
                <w:kern w:val="0"/>
                <w:sz w:val="24"/>
                <w:szCs w:val="24"/>
              </w:rPr>
              <w:t>103.12.31</w:t>
            </w:r>
          </w:p>
        </w:tc>
        <w:tc>
          <w:tcPr>
            <w:tcW w:w="1250" w:type="pct"/>
            <w:tcBorders>
              <w:top w:val="single" w:sz="6" w:space="0" w:color="auto"/>
              <w:left w:val="single" w:sz="6" w:space="0" w:color="auto"/>
              <w:bottom w:val="single" w:sz="6" w:space="0" w:color="auto"/>
              <w:right w:val="single" w:sz="6" w:space="0" w:color="auto"/>
            </w:tcBorders>
            <w:noWrap/>
            <w:hideMark/>
          </w:tcPr>
          <w:p w:rsidR="00C7556F" w:rsidRPr="00C7556F" w:rsidRDefault="00C7556F" w:rsidP="00C7556F">
            <w:pPr>
              <w:widowControl/>
              <w:spacing w:line="320" w:lineRule="exact"/>
              <w:ind w:rightChars="20" w:right="68"/>
              <w:jc w:val="center"/>
              <w:rPr>
                <w:rFonts w:ascii="Times New Roman"/>
                <w:kern w:val="0"/>
                <w:sz w:val="24"/>
                <w:szCs w:val="24"/>
              </w:rPr>
            </w:pPr>
            <w:r w:rsidRPr="00C7556F">
              <w:rPr>
                <w:rFonts w:ascii="Times New Roman"/>
                <w:kern w:val="0"/>
                <w:sz w:val="24"/>
                <w:szCs w:val="24"/>
              </w:rPr>
              <w:t>0.7</w:t>
            </w:r>
          </w:p>
        </w:tc>
      </w:tr>
      <w:tr w:rsidR="00C7556F" w:rsidRPr="00C7556F" w:rsidTr="00E65E91">
        <w:trPr>
          <w:trHeight w:val="283"/>
        </w:trPr>
        <w:tc>
          <w:tcPr>
            <w:tcW w:w="1249" w:type="pct"/>
            <w:vMerge w:val="restart"/>
            <w:tcBorders>
              <w:top w:val="single" w:sz="6" w:space="0" w:color="auto"/>
              <w:left w:val="single" w:sz="6" w:space="0" w:color="auto"/>
              <w:bottom w:val="single" w:sz="6" w:space="0" w:color="auto"/>
              <w:right w:val="single" w:sz="6" w:space="0" w:color="auto"/>
            </w:tcBorders>
            <w:noWrap/>
            <w:vAlign w:val="center"/>
            <w:hideMark/>
          </w:tcPr>
          <w:p w:rsidR="00C7556F" w:rsidRPr="00C7556F" w:rsidRDefault="00C7556F" w:rsidP="00E65E91">
            <w:pPr>
              <w:widowControl/>
              <w:spacing w:line="320" w:lineRule="exact"/>
              <w:jc w:val="center"/>
              <w:rPr>
                <w:rFonts w:ascii="Times New Roman"/>
                <w:kern w:val="0"/>
                <w:sz w:val="24"/>
                <w:szCs w:val="24"/>
              </w:rPr>
            </w:pPr>
            <w:r w:rsidRPr="00C7556F">
              <w:rPr>
                <w:rFonts w:ascii="Times New Roman"/>
                <w:kern w:val="0"/>
                <w:sz w:val="24"/>
                <w:szCs w:val="24"/>
              </w:rPr>
              <w:t>104.01.01</w:t>
            </w:r>
          </w:p>
        </w:tc>
        <w:tc>
          <w:tcPr>
            <w:tcW w:w="1250" w:type="pct"/>
            <w:vMerge w:val="restart"/>
            <w:tcBorders>
              <w:top w:val="single" w:sz="6" w:space="0" w:color="auto"/>
              <w:left w:val="single" w:sz="6" w:space="0" w:color="auto"/>
              <w:bottom w:val="single" w:sz="6" w:space="0" w:color="auto"/>
              <w:right w:val="single" w:sz="6" w:space="0" w:color="auto"/>
            </w:tcBorders>
            <w:noWrap/>
            <w:vAlign w:val="center"/>
            <w:hideMark/>
          </w:tcPr>
          <w:p w:rsidR="00C7556F" w:rsidRPr="00C7556F" w:rsidRDefault="00C7556F" w:rsidP="00C7556F">
            <w:pPr>
              <w:widowControl/>
              <w:spacing w:line="320" w:lineRule="exact"/>
              <w:ind w:rightChars="20" w:right="68"/>
              <w:jc w:val="center"/>
              <w:rPr>
                <w:rFonts w:ascii="Times New Roman"/>
                <w:kern w:val="0"/>
                <w:sz w:val="24"/>
                <w:szCs w:val="24"/>
              </w:rPr>
            </w:pPr>
            <w:r w:rsidRPr="00C7556F">
              <w:rPr>
                <w:rFonts w:ascii="Times New Roman"/>
                <w:kern w:val="0"/>
                <w:sz w:val="24"/>
                <w:szCs w:val="24"/>
              </w:rPr>
              <w:t>3.7</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C7556F" w:rsidRPr="00C7556F" w:rsidRDefault="00C7556F" w:rsidP="00E65E91">
            <w:pPr>
              <w:widowControl/>
              <w:spacing w:line="320" w:lineRule="exact"/>
              <w:jc w:val="center"/>
              <w:rPr>
                <w:rFonts w:ascii="Times New Roman"/>
                <w:kern w:val="0"/>
                <w:sz w:val="24"/>
                <w:szCs w:val="24"/>
              </w:rPr>
            </w:pPr>
            <w:r w:rsidRPr="00C7556F">
              <w:rPr>
                <w:rFonts w:ascii="Times New Roman"/>
                <w:kern w:val="0"/>
                <w:sz w:val="24"/>
                <w:szCs w:val="24"/>
              </w:rPr>
              <w:t>104.08.14</w:t>
            </w:r>
          </w:p>
        </w:tc>
        <w:tc>
          <w:tcPr>
            <w:tcW w:w="1250" w:type="pct"/>
            <w:tcBorders>
              <w:top w:val="single" w:sz="6" w:space="0" w:color="auto"/>
              <w:left w:val="single" w:sz="6" w:space="0" w:color="auto"/>
              <w:bottom w:val="single" w:sz="6" w:space="0" w:color="auto"/>
              <w:right w:val="single" w:sz="6" w:space="0" w:color="auto"/>
            </w:tcBorders>
            <w:vAlign w:val="center"/>
            <w:hideMark/>
          </w:tcPr>
          <w:p w:rsidR="00C7556F" w:rsidRPr="00C7556F" w:rsidRDefault="00C7556F" w:rsidP="00C7556F">
            <w:pPr>
              <w:widowControl/>
              <w:spacing w:line="320" w:lineRule="exact"/>
              <w:ind w:rightChars="20" w:right="68"/>
              <w:jc w:val="center"/>
              <w:rPr>
                <w:rFonts w:ascii="Times New Roman"/>
                <w:kern w:val="0"/>
                <w:sz w:val="24"/>
                <w:szCs w:val="24"/>
              </w:rPr>
            </w:pPr>
            <w:r w:rsidRPr="00C7556F">
              <w:rPr>
                <w:rFonts w:ascii="Times New Roman"/>
                <w:kern w:val="0"/>
                <w:sz w:val="24"/>
                <w:szCs w:val="24"/>
              </w:rPr>
              <w:t>0.2</w:t>
            </w:r>
          </w:p>
        </w:tc>
      </w:tr>
      <w:tr w:rsidR="00C7556F" w:rsidRPr="00C7556F" w:rsidTr="00E65E91">
        <w:trPr>
          <w:trHeight w:val="283"/>
        </w:trPr>
        <w:tc>
          <w:tcPr>
            <w:tcW w:w="0" w:type="auto"/>
            <w:vMerge/>
            <w:tcBorders>
              <w:top w:val="single" w:sz="6" w:space="0" w:color="auto"/>
              <w:left w:val="single" w:sz="6" w:space="0" w:color="auto"/>
              <w:bottom w:val="single" w:sz="6" w:space="0" w:color="auto"/>
              <w:right w:val="single" w:sz="6" w:space="0" w:color="auto"/>
            </w:tcBorders>
            <w:vAlign w:val="center"/>
            <w:hideMark/>
          </w:tcPr>
          <w:p w:rsidR="00C7556F" w:rsidRPr="00C7556F" w:rsidRDefault="00C7556F" w:rsidP="00E65E91">
            <w:pPr>
              <w:widowControl/>
              <w:overflowPunct/>
              <w:autoSpaceDE/>
              <w:autoSpaceDN/>
              <w:spacing w:line="320" w:lineRule="exact"/>
              <w:jc w:val="left"/>
              <w:rPr>
                <w:rFonts w:ascii="Times New Roman"/>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7556F" w:rsidRPr="00C7556F" w:rsidRDefault="00C7556F" w:rsidP="00E65E91">
            <w:pPr>
              <w:widowControl/>
              <w:overflowPunct/>
              <w:autoSpaceDE/>
              <w:autoSpaceDN/>
              <w:spacing w:line="320" w:lineRule="exact"/>
              <w:jc w:val="left"/>
              <w:rPr>
                <w:rFonts w:ascii="Times New Roman"/>
                <w:kern w:val="0"/>
                <w:sz w:val="24"/>
                <w:szCs w:val="24"/>
              </w:rPr>
            </w:pP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C7556F" w:rsidRPr="00C7556F" w:rsidRDefault="00C7556F" w:rsidP="00E65E91">
            <w:pPr>
              <w:widowControl/>
              <w:spacing w:line="320" w:lineRule="exact"/>
              <w:jc w:val="center"/>
              <w:rPr>
                <w:rFonts w:ascii="Times New Roman"/>
                <w:kern w:val="0"/>
                <w:sz w:val="24"/>
                <w:szCs w:val="24"/>
              </w:rPr>
            </w:pPr>
            <w:r w:rsidRPr="00C7556F">
              <w:rPr>
                <w:rFonts w:ascii="Times New Roman"/>
                <w:kern w:val="0"/>
                <w:sz w:val="24"/>
                <w:szCs w:val="24"/>
              </w:rPr>
              <w:t>104.12.04</w:t>
            </w:r>
          </w:p>
        </w:tc>
        <w:tc>
          <w:tcPr>
            <w:tcW w:w="1250" w:type="pct"/>
            <w:tcBorders>
              <w:top w:val="single" w:sz="6" w:space="0" w:color="auto"/>
              <w:left w:val="single" w:sz="6" w:space="0" w:color="auto"/>
              <w:bottom w:val="single" w:sz="6" w:space="0" w:color="auto"/>
              <w:right w:val="single" w:sz="6" w:space="0" w:color="auto"/>
            </w:tcBorders>
            <w:vAlign w:val="center"/>
            <w:hideMark/>
          </w:tcPr>
          <w:p w:rsidR="00C7556F" w:rsidRPr="00C7556F" w:rsidRDefault="00C7556F" w:rsidP="00C7556F">
            <w:pPr>
              <w:widowControl/>
              <w:spacing w:line="320" w:lineRule="exact"/>
              <w:ind w:rightChars="20" w:right="68"/>
              <w:jc w:val="center"/>
              <w:rPr>
                <w:rFonts w:ascii="Times New Roman"/>
                <w:kern w:val="0"/>
                <w:sz w:val="24"/>
                <w:szCs w:val="24"/>
              </w:rPr>
            </w:pPr>
            <w:r w:rsidRPr="00C7556F">
              <w:rPr>
                <w:rFonts w:ascii="Times New Roman"/>
                <w:kern w:val="0"/>
                <w:sz w:val="24"/>
                <w:szCs w:val="24"/>
              </w:rPr>
              <w:t>0.3</w:t>
            </w:r>
          </w:p>
        </w:tc>
      </w:tr>
      <w:tr w:rsidR="00C7556F" w:rsidRPr="00C7556F" w:rsidTr="00E65E91">
        <w:trPr>
          <w:trHeight w:val="283"/>
        </w:trPr>
        <w:tc>
          <w:tcPr>
            <w:tcW w:w="0" w:type="auto"/>
            <w:vMerge/>
            <w:tcBorders>
              <w:top w:val="single" w:sz="6" w:space="0" w:color="auto"/>
              <w:left w:val="single" w:sz="6" w:space="0" w:color="auto"/>
              <w:bottom w:val="single" w:sz="6" w:space="0" w:color="auto"/>
              <w:right w:val="single" w:sz="6" w:space="0" w:color="auto"/>
            </w:tcBorders>
            <w:vAlign w:val="center"/>
            <w:hideMark/>
          </w:tcPr>
          <w:p w:rsidR="00C7556F" w:rsidRPr="00C7556F" w:rsidRDefault="00C7556F" w:rsidP="00E65E91">
            <w:pPr>
              <w:widowControl/>
              <w:overflowPunct/>
              <w:autoSpaceDE/>
              <w:autoSpaceDN/>
              <w:spacing w:line="320" w:lineRule="exact"/>
              <w:jc w:val="left"/>
              <w:rPr>
                <w:rFonts w:ascii="Times New Roman"/>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7556F" w:rsidRPr="00C7556F" w:rsidRDefault="00C7556F" w:rsidP="00E65E91">
            <w:pPr>
              <w:widowControl/>
              <w:overflowPunct/>
              <w:autoSpaceDE/>
              <w:autoSpaceDN/>
              <w:spacing w:line="320" w:lineRule="exact"/>
              <w:jc w:val="left"/>
              <w:rPr>
                <w:rFonts w:ascii="Times New Roman"/>
                <w:kern w:val="0"/>
                <w:sz w:val="24"/>
                <w:szCs w:val="24"/>
              </w:rPr>
            </w:pP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C7556F" w:rsidRPr="00C7556F" w:rsidRDefault="00C7556F" w:rsidP="00E65E91">
            <w:pPr>
              <w:widowControl/>
              <w:spacing w:line="320" w:lineRule="exact"/>
              <w:jc w:val="center"/>
              <w:rPr>
                <w:rFonts w:ascii="Times New Roman"/>
                <w:kern w:val="0"/>
                <w:sz w:val="24"/>
                <w:szCs w:val="24"/>
              </w:rPr>
            </w:pPr>
            <w:r w:rsidRPr="00C7556F">
              <w:rPr>
                <w:rFonts w:ascii="Times New Roman"/>
                <w:kern w:val="0"/>
                <w:sz w:val="24"/>
                <w:szCs w:val="24"/>
              </w:rPr>
              <w:t>104.12.23</w:t>
            </w:r>
          </w:p>
        </w:tc>
        <w:tc>
          <w:tcPr>
            <w:tcW w:w="1250" w:type="pct"/>
            <w:tcBorders>
              <w:top w:val="single" w:sz="6" w:space="0" w:color="auto"/>
              <w:left w:val="single" w:sz="6" w:space="0" w:color="auto"/>
              <w:bottom w:val="single" w:sz="6" w:space="0" w:color="auto"/>
              <w:right w:val="single" w:sz="6" w:space="0" w:color="auto"/>
            </w:tcBorders>
            <w:vAlign w:val="center"/>
            <w:hideMark/>
          </w:tcPr>
          <w:p w:rsidR="00C7556F" w:rsidRPr="00C7556F" w:rsidRDefault="00C7556F" w:rsidP="00C7556F">
            <w:pPr>
              <w:widowControl/>
              <w:spacing w:line="320" w:lineRule="exact"/>
              <w:ind w:rightChars="20" w:right="68"/>
              <w:jc w:val="center"/>
              <w:rPr>
                <w:rFonts w:ascii="Times New Roman"/>
                <w:kern w:val="0"/>
                <w:sz w:val="24"/>
                <w:szCs w:val="24"/>
              </w:rPr>
            </w:pPr>
            <w:r w:rsidRPr="00C7556F">
              <w:rPr>
                <w:rFonts w:ascii="Times New Roman"/>
                <w:kern w:val="0"/>
                <w:sz w:val="24"/>
                <w:szCs w:val="24"/>
              </w:rPr>
              <w:t>0.3</w:t>
            </w:r>
          </w:p>
        </w:tc>
      </w:tr>
      <w:tr w:rsidR="00C7556F" w:rsidRPr="00C7556F" w:rsidTr="00E65E91">
        <w:trPr>
          <w:trHeight w:val="283"/>
        </w:trPr>
        <w:tc>
          <w:tcPr>
            <w:tcW w:w="0" w:type="auto"/>
            <w:vMerge/>
            <w:tcBorders>
              <w:top w:val="single" w:sz="6" w:space="0" w:color="auto"/>
              <w:left w:val="single" w:sz="6" w:space="0" w:color="auto"/>
              <w:bottom w:val="single" w:sz="6" w:space="0" w:color="auto"/>
              <w:right w:val="single" w:sz="6" w:space="0" w:color="auto"/>
            </w:tcBorders>
            <w:vAlign w:val="center"/>
            <w:hideMark/>
          </w:tcPr>
          <w:p w:rsidR="00C7556F" w:rsidRPr="00C7556F" w:rsidRDefault="00C7556F" w:rsidP="00E65E91">
            <w:pPr>
              <w:widowControl/>
              <w:overflowPunct/>
              <w:autoSpaceDE/>
              <w:autoSpaceDN/>
              <w:spacing w:line="320" w:lineRule="exact"/>
              <w:jc w:val="left"/>
              <w:rPr>
                <w:rFonts w:ascii="Times New Roman"/>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7556F" w:rsidRPr="00C7556F" w:rsidRDefault="00C7556F" w:rsidP="00E65E91">
            <w:pPr>
              <w:widowControl/>
              <w:overflowPunct/>
              <w:autoSpaceDE/>
              <w:autoSpaceDN/>
              <w:spacing w:line="320" w:lineRule="exact"/>
              <w:jc w:val="left"/>
              <w:rPr>
                <w:rFonts w:ascii="Times New Roman"/>
                <w:kern w:val="0"/>
                <w:sz w:val="24"/>
                <w:szCs w:val="24"/>
              </w:rPr>
            </w:pP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C7556F" w:rsidRPr="00C7556F" w:rsidRDefault="00C7556F" w:rsidP="00E65E91">
            <w:pPr>
              <w:widowControl/>
              <w:spacing w:line="320" w:lineRule="exact"/>
              <w:jc w:val="center"/>
              <w:rPr>
                <w:rFonts w:ascii="Times New Roman"/>
                <w:kern w:val="0"/>
                <w:sz w:val="24"/>
                <w:szCs w:val="24"/>
              </w:rPr>
            </w:pPr>
            <w:r w:rsidRPr="00C7556F">
              <w:rPr>
                <w:rFonts w:ascii="Times New Roman"/>
                <w:kern w:val="0"/>
                <w:sz w:val="24"/>
                <w:szCs w:val="24"/>
              </w:rPr>
              <w:t>105.01.19</w:t>
            </w:r>
          </w:p>
        </w:tc>
        <w:tc>
          <w:tcPr>
            <w:tcW w:w="1250" w:type="pct"/>
            <w:tcBorders>
              <w:top w:val="single" w:sz="6" w:space="0" w:color="auto"/>
              <w:left w:val="single" w:sz="6" w:space="0" w:color="auto"/>
              <w:bottom w:val="single" w:sz="6" w:space="0" w:color="auto"/>
              <w:right w:val="single" w:sz="6" w:space="0" w:color="auto"/>
            </w:tcBorders>
            <w:vAlign w:val="center"/>
            <w:hideMark/>
          </w:tcPr>
          <w:p w:rsidR="00C7556F" w:rsidRPr="00C7556F" w:rsidRDefault="00C7556F" w:rsidP="00C7556F">
            <w:pPr>
              <w:widowControl/>
              <w:spacing w:line="320" w:lineRule="exact"/>
              <w:ind w:rightChars="20" w:right="68"/>
              <w:jc w:val="center"/>
              <w:rPr>
                <w:rFonts w:ascii="Times New Roman"/>
                <w:kern w:val="0"/>
                <w:sz w:val="24"/>
                <w:szCs w:val="24"/>
              </w:rPr>
            </w:pPr>
            <w:r w:rsidRPr="00C7556F">
              <w:rPr>
                <w:rFonts w:ascii="Times New Roman"/>
                <w:kern w:val="0"/>
                <w:sz w:val="24"/>
                <w:szCs w:val="24"/>
              </w:rPr>
              <w:t>2.9</w:t>
            </w:r>
          </w:p>
        </w:tc>
      </w:tr>
      <w:tr w:rsidR="00C7556F" w:rsidRPr="00C7556F" w:rsidTr="00E65E91">
        <w:trPr>
          <w:trHeight w:val="283"/>
        </w:trPr>
        <w:tc>
          <w:tcPr>
            <w:tcW w:w="1249" w:type="pct"/>
            <w:tcBorders>
              <w:top w:val="single" w:sz="6" w:space="0" w:color="auto"/>
              <w:left w:val="single" w:sz="6" w:space="0" w:color="auto"/>
              <w:bottom w:val="single" w:sz="6" w:space="0" w:color="auto"/>
              <w:right w:val="single" w:sz="6" w:space="0" w:color="auto"/>
            </w:tcBorders>
            <w:noWrap/>
            <w:vAlign w:val="center"/>
            <w:hideMark/>
          </w:tcPr>
          <w:p w:rsidR="00C7556F" w:rsidRPr="00C7556F" w:rsidRDefault="00C7556F" w:rsidP="00E65E91">
            <w:pPr>
              <w:widowControl/>
              <w:spacing w:line="320" w:lineRule="exact"/>
              <w:jc w:val="center"/>
              <w:rPr>
                <w:rFonts w:ascii="Times New Roman"/>
                <w:kern w:val="0"/>
                <w:sz w:val="24"/>
                <w:szCs w:val="24"/>
              </w:rPr>
            </w:pPr>
            <w:r w:rsidRPr="00C7556F">
              <w:rPr>
                <w:rFonts w:ascii="Times New Roman"/>
                <w:kern w:val="0"/>
                <w:sz w:val="24"/>
                <w:szCs w:val="24"/>
              </w:rPr>
              <w:t>104.01.15</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C7556F" w:rsidRPr="00C7556F" w:rsidRDefault="00C7556F" w:rsidP="00C7556F">
            <w:pPr>
              <w:widowControl/>
              <w:spacing w:line="320" w:lineRule="exact"/>
              <w:ind w:rightChars="20" w:right="68"/>
              <w:jc w:val="center"/>
              <w:rPr>
                <w:rFonts w:ascii="Times New Roman"/>
                <w:kern w:val="0"/>
                <w:sz w:val="24"/>
                <w:szCs w:val="24"/>
              </w:rPr>
            </w:pPr>
            <w:r w:rsidRPr="00C7556F">
              <w:rPr>
                <w:rFonts w:ascii="Times New Roman"/>
                <w:kern w:val="0"/>
                <w:sz w:val="24"/>
                <w:szCs w:val="24"/>
              </w:rPr>
              <w:t>0.2</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C7556F" w:rsidRPr="00C7556F" w:rsidRDefault="00C7556F" w:rsidP="00E65E91">
            <w:pPr>
              <w:widowControl/>
              <w:spacing w:line="320" w:lineRule="exact"/>
              <w:jc w:val="center"/>
              <w:rPr>
                <w:rFonts w:ascii="Times New Roman"/>
                <w:kern w:val="0"/>
                <w:sz w:val="24"/>
                <w:szCs w:val="24"/>
              </w:rPr>
            </w:pPr>
            <w:r w:rsidRPr="00C7556F">
              <w:rPr>
                <w:rFonts w:ascii="Times New Roman"/>
                <w:kern w:val="0"/>
                <w:sz w:val="24"/>
                <w:szCs w:val="24"/>
              </w:rPr>
              <w:t>105.01.19</w:t>
            </w:r>
          </w:p>
        </w:tc>
        <w:tc>
          <w:tcPr>
            <w:tcW w:w="1250" w:type="pct"/>
            <w:tcBorders>
              <w:top w:val="single" w:sz="6" w:space="0" w:color="auto"/>
              <w:left w:val="single" w:sz="6" w:space="0" w:color="auto"/>
              <w:bottom w:val="single" w:sz="6" w:space="0" w:color="auto"/>
              <w:right w:val="single" w:sz="6" w:space="0" w:color="auto"/>
            </w:tcBorders>
            <w:vAlign w:val="center"/>
            <w:hideMark/>
          </w:tcPr>
          <w:p w:rsidR="00C7556F" w:rsidRPr="00C7556F" w:rsidRDefault="00C7556F" w:rsidP="00C7556F">
            <w:pPr>
              <w:widowControl/>
              <w:spacing w:line="320" w:lineRule="exact"/>
              <w:ind w:rightChars="20" w:right="68"/>
              <w:jc w:val="center"/>
              <w:rPr>
                <w:rFonts w:ascii="Times New Roman"/>
                <w:kern w:val="0"/>
                <w:sz w:val="24"/>
                <w:szCs w:val="24"/>
              </w:rPr>
            </w:pPr>
            <w:r w:rsidRPr="00C7556F">
              <w:rPr>
                <w:rFonts w:ascii="Times New Roman"/>
                <w:kern w:val="0"/>
                <w:sz w:val="24"/>
                <w:szCs w:val="24"/>
              </w:rPr>
              <w:t>0.2</w:t>
            </w:r>
          </w:p>
        </w:tc>
      </w:tr>
      <w:tr w:rsidR="00C7556F" w:rsidRPr="00C7556F" w:rsidTr="00E65E91">
        <w:trPr>
          <w:trHeight w:val="283"/>
        </w:trPr>
        <w:tc>
          <w:tcPr>
            <w:tcW w:w="1249" w:type="pct"/>
            <w:tcBorders>
              <w:top w:val="single" w:sz="6" w:space="0" w:color="auto"/>
              <w:left w:val="single" w:sz="6" w:space="0" w:color="auto"/>
              <w:bottom w:val="single" w:sz="6" w:space="0" w:color="auto"/>
              <w:right w:val="single" w:sz="6" w:space="0" w:color="auto"/>
            </w:tcBorders>
            <w:noWrap/>
            <w:vAlign w:val="center"/>
            <w:hideMark/>
          </w:tcPr>
          <w:p w:rsidR="00C7556F" w:rsidRPr="00C7556F" w:rsidRDefault="00C7556F" w:rsidP="00E65E91">
            <w:pPr>
              <w:widowControl/>
              <w:spacing w:line="320" w:lineRule="exact"/>
              <w:jc w:val="center"/>
              <w:rPr>
                <w:rFonts w:ascii="Times New Roman"/>
                <w:kern w:val="0"/>
                <w:sz w:val="24"/>
                <w:szCs w:val="24"/>
              </w:rPr>
            </w:pPr>
            <w:r w:rsidRPr="00C7556F">
              <w:rPr>
                <w:rFonts w:ascii="Times New Roman"/>
                <w:kern w:val="0"/>
                <w:sz w:val="24"/>
                <w:szCs w:val="24"/>
              </w:rPr>
              <w:t>104.03.03</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C7556F" w:rsidRPr="00C7556F" w:rsidRDefault="00C7556F" w:rsidP="00C7556F">
            <w:pPr>
              <w:widowControl/>
              <w:spacing w:line="320" w:lineRule="exact"/>
              <w:ind w:rightChars="20" w:right="68"/>
              <w:jc w:val="center"/>
              <w:rPr>
                <w:rFonts w:ascii="Times New Roman"/>
                <w:kern w:val="0"/>
                <w:sz w:val="24"/>
                <w:szCs w:val="24"/>
              </w:rPr>
            </w:pPr>
            <w:r w:rsidRPr="00C7556F">
              <w:rPr>
                <w:rFonts w:ascii="Times New Roman"/>
                <w:kern w:val="0"/>
                <w:sz w:val="24"/>
                <w:szCs w:val="24"/>
              </w:rPr>
              <w:t>0.6</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C7556F" w:rsidRPr="00C7556F" w:rsidRDefault="00C7556F" w:rsidP="00E65E91">
            <w:pPr>
              <w:widowControl/>
              <w:spacing w:line="320" w:lineRule="exact"/>
              <w:jc w:val="center"/>
              <w:rPr>
                <w:rFonts w:ascii="Times New Roman"/>
                <w:kern w:val="0"/>
                <w:sz w:val="24"/>
                <w:szCs w:val="24"/>
              </w:rPr>
            </w:pPr>
            <w:r w:rsidRPr="00C7556F">
              <w:rPr>
                <w:rFonts w:ascii="Times New Roman"/>
                <w:kern w:val="0"/>
                <w:sz w:val="24"/>
                <w:szCs w:val="24"/>
              </w:rPr>
              <w:t>105.01.19</w:t>
            </w:r>
          </w:p>
        </w:tc>
        <w:tc>
          <w:tcPr>
            <w:tcW w:w="1250" w:type="pct"/>
            <w:tcBorders>
              <w:top w:val="single" w:sz="6" w:space="0" w:color="auto"/>
              <w:left w:val="single" w:sz="6" w:space="0" w:color="auto"/>
              <w:bottom w:val="single" w:sz="6" w:space="0" w:color="auto"/>
              <w:right w:val="single" w:sz="6" w:space="0" w:color="auto"/>
            </w:tcBorders>
            <w:vAlign w:val="center"/>
            <w:hideMark/>
          </w:tcPr>
          <w:p w:rsidR="00C7556F" w:rsidRPr="00C7556F" w:rsidRDefault="00C7556F" w:rsidP="00C7556F">
            <w:pPr>
              <w:widowControl/>
              <w:spacing w:line="320" w:lineRule="exact"/>
              <w:ind w:rightChars="20" w:right="68"/>
              <w:jc w:val="center"/>
              <w:rPr>
                <w:rFonts w:ascii="Times New Roman"/>
                <w:kern w:val="0"/>
                <w:sz w:val="24"/>
                <w:szCs w:val="24"/>
              </w:rPr>
            </w:pPr>
            <w:r w:rsidRPr="00C7556F">
              <w:rPr>
                <w:rFonts w:ascii="Times New Roman"/>
                <w:kern w:val="0"/>
                <w:sz w:val="24"/>
                <w:szCs w:val="24"/>
              </w:rPr>
              <w:t>0.6</w:t>
            </w:r>
          </w:p>
        </w:tc>
      </w:tr>
      <w:tr w:rsidR="00C7556F" w:rsidRPr="00C7556F" w:rsidTr="00E65E91">
        <w:trPr>
          <w:trHeight w:val="283"/>
        </w:trPr>
        <w:tc>
          <w:tcPr>
            <w:tcW w:w="1249" w:type="pct"/>
            <w:tcBorders>
              <w:top w:val="single" w:sz="6" w:space="0" w:color="auto"/>
              <w:left w:val="single" w:sz="6" w:space="0" w:color="auto"/>
              <w:bottom w:val="single" w:sz="6" w:space="0" w:color="auto"/>
              <w:right w:val="single" w:sz="6" w:space="0" w:color="auto"/>
            </w:tcBorders>
            <w:noWrap/>
            <w:vAlign w:val="center"/>
            <w:hideMark/>
          </w:tcPr>
          <w:p w:rsidR="00C7556F" w:rsidRPr="00C7556F" w:rsidRDefault="00C7556F" w:rsidP="00E65E91">
            <w:pPr>
              <w:widowControl/>
              <w:spacing w:line="320" w:lineRule="exact"/>
              <w:jc w:val="center"/>
              <w:rPr>
                <w:rFonts w:ascii="Times New Roman"/>
                <w:kern w:val="0"/>
                <w:sz w:val="24"/>
                <w:szCs w:val="24"/>
              </w:rPr>
            </w:pPr>
            <w:r w:rsidRPr="00C7556F">
              <w:rPr>
                <w:rFonts w:ascii="Times New Roman"/>
                <w:kern w:val="0"/>
                <w:sz w:val="24"/>
                <w:szCs w:val="24"/>
              </w:rPr>
              <w:t>合計</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C7556F" w:rsidRPr="00C7556F" w:rsidRDefault="00C7556F" w:rsidP="00C7556F">
            <w:pPr>
              <w:widowControl/>
              <w:spacing w:line="320" w:lineRule="exact"/>
              <w:ind w:rightChars="20" w:right="68"/>
              <w:jc w:val="center"/>
              <w:rPr>
                <w:rFonts w:ascii="Times New Roman"/>
                <w:kern w:val="0"/>
                <w:sz w:val="24"/>
                <w:szCs w:val="24"/>
              </w:rPr>
            </w:pPr>
            <w:r w:rsidRPr="00C7556F">
              <w:rPr>
                <w:rFonts w:ascii="Times New Roman"/>
                <w:kern w:val="0"/>
                <w:sz w:val="24"/>
                <w:szCs w:val="24"/>
              </w:rPr>
              <w:t>14.4</w:t>
            </w:r>
          </w:p>
        </w:tc>
        <w:tc>
          <w:tcPr>
            <w:tcW w:w="1250" w:type="pct"/>
            <w:tcBorders>
              <w:top w:val="single" w:sz="6" w:space="0" w:color="auto"/>
              <w:left w:val="single" w:sz="6" w:space="0" w:color="auto"/>
              <w:bottom w:val="single" w:sz="6" w:space="0" w:color="auto"/>
              <w:right w:val="single" w:sz="6" w:space="0" w:color="auto"/>
            </w:tcBorders>
            <w:noWrap/>
            <w:vAlign w:val="center"/>
            <w:hideMark/>
          </w:tcPr>
          <w:p w:rsidR="00C7556F" w:rsidRPr="00C7556F" w:rsidRDefault="00C7556F" w:rsidP="00E65E91">
            <w:pPr>
              <w:widowControl/>
              <w:spacing w:line="320" w:lineRule="exact"/>
              <w:jc w:val="center"/>
              <w:rPr>
                <w:rFonts w:ascii="Times New Roman"/>
                <w:kern w:val="0"/>
                <w:sz w:val="24"/>
                <w:szCs w:val="24"/>
              </w:rPr>
            </w:pPr>
            <w:r w:rsidRPr="00C7556F">
              <w:rPr>
                <w:rFonts w:ascii="Times New Roman"/>
                <w:kern w:val="0"/>
                <w:sz w:val="24"/>
                <w:szCs w:val="24"/>
              </w:rPr>
              <w:t>-</w:t>
            </w:r>
          </w:p>
        </w:tc>
        <w:tc>
          <w:tcPr>
            <w:tcW w:w="1250" w:type="pct"/>
            <w:tcBorders>
              <w:top w:val="single" w:sz="6" w:space="0" w:color="auto"/>
              <w:left w:val="single" w:sz="6" w:space="0" w:color="auto"/>
              <w:bottom w:val="single" w:sz="6" w:space="0" w:color="auto"/>
              <w:right w:val="single" w:sz="6" w:space="0" w:color="auto"/>
            </w:tcBorders>
            <w:vAlign w:val="center"/>
            <w:hideMark/>
          </w:tcPr>
          <w:p w:rsidR="00C7556F" w:rsidRPr="00C7556F" w:rsidRDefault="00C7556F" w:rsidP="00C7556F">
            <w:pPr>
              <w:widowControl/>
              <w:spacing w:line="320" w:lineRule="exact"/>
              <w:ind w:rightChars="20" w:right="68"/>
              <w:jc w:val="center"/>
              <w:rPr>
                <w:rFonts w:ascii="Times New Roman"/>
                <w:kern w:val="0"/>
                <w:sz w:val="24"/>
                <w:szCs w:val="24"/>
              </w:rPr>
            </w:pPr>
            <w:r w:rsidRPr="00C7556F">
              <w:rPr>
                <w:rFonts w:ascii="Times New Roman"/>
                <w:kern w:val="0"/>
                <w:sz w:val="24"/>
                <w:szCs w:val="24"/>
              </w:rPr>
              <w:t>14.4</w:t>
            </w:r>
          </w:p>
        </w:tc>
      </w:tr>
    </w:tbl>
    <w:p w:rsidR="00C7556F" w:rsidRPr="00C7556F" w:rsidRDefault="00C7556F" w:rsidP="00C7556F">
      <w:pPr>
        <w:pStyle w:val="42"/>
        <w:spacing w:line="320" w:lineRule="exact"/>
        <w:ind w:leftChars="498" w:left="2451" w:hangingChars="291" w:hanging="757"/>
        <w:rPr>
          <w:rFonts w:ascii="Times New Roman"/>
          <w:sz w:val="24"/>
          <w:szCs w:val="24"/>
        </w:rPr>
      </w:pPr>
      <w:r w:rsidRPr="00C7556F">
        <w:rPr>
          <w:rFonts w:ascii="Times New Roman"/>
          <w:sz w:val="24"/>
          <w:szCs w:val="24"/>
        </w:rPr>
        <w:t>備註：</w:t>
      </w:r>
      <w:r w:rsidRPr="00C7556F">
        <w:rPr>
          <w:rFonts w:ascii="Times New Roman"/>
          <w:sz w:val="24"/>
          <w:szCs w:val="24"/>
        </w:rPr>
        <w:t>102</w:t>
      </w:r>
      <w:r w:rsidRPr="00C7556F">
        <w:rPr>
          <w:rFonts w:ascii="Times New Roman"/>
          <w:sz w:val="24"/>
          <w:szCs w:val="24"/>
        </w:rPr>
        <w:t>及</w:t>
      </w:r>
      <w:r w:rsidRPr="00C7556F">
        <w:rPr>
          <w:rFonts w:ascii="Times New Roman"/>
          <w:sz w:val="24"/>
          <w:szCs w:val="24"/>
        </w:rPr>
        <w:t>103</w:t>
      </w:r>
      <w:r w:rsidRPr="00C7556F">
        <w:rPr>
          <w:rFonts w:ascii="Times New Roman"/>
          <w:sz w:val="24"/>
          <w:szCs w:val="24"/>
        </w:rPr>
        <w:t>年底該府各償還</w:t>
      </w:r>
      <w:r w:rsidRPr="00C7556F">
        <w:rPr>
          <w:rFonts w:ascii="Times New Roman"/>
          <w:sz w:val="24"/>
          <w:szCs w:val="24"/>
        </w:rPr>
        <w:t>3.2</w:t>
      </w:r>
      <w:r w:rsidRPr="00C7556F">
        <w:rPr>
          <w:rFonts w:ascii="Times New Roman"/>
          <w:sz w:val="24"/>
          <w:szCs w:val="24"/>
        </w:rPr>
        <w:t>億元及</w:t>
      </w:r>
      <w:r w:rsidRPr="00C7556F">
        <w:rPr>
          <w:rFonts w:ascii="Times New Roman"/>
          <w:sz w:val="24"/>
          <w:szCs w:val="24"/>
        </w:rPr>
        <w:t>3.7</w:t>
      </w:r>
      <w:r w:rsidRPr="00C7556F">
        <w:rPr>
          <w:rFonts w:ascii="Times New Roman"/>
          <w:sz w:val="24"/>
          <w:szCs w:val="24"/>
        </w:rPr>
        <w:t>億元，均僅帳面註記歸還該基金專戶，並未實際還款，而係於</w:t>
      </w:r>
      <w:r w:rsidRPr="00C7556F">
        <w:rPr>
          <w:rFonts w:ascii="Times New Roman"/>
          <w:sz w:val="24"/>
          <w:szCs w:val="24"/>
        </w:rPr>
        <w:t>105</w:t>
      </w:r>
      <w:r w:rsidRPr="00C7556F">
        <w:rPr>
          <w:rFonts w:ascii="Times New Roman"/>
          <w:sz w:val="24"/>
          <w:szCs w:val="24"/>
        </w:rPr>
        <w:t>年</w:t>
      </w:r>
      <w:r w:rsidRPr="00C7556F">
        <w:rPr>
          <w:rFonts w:ascii="Times New Roman"/>
          <w:sz w:val="24"/>
          <w:szCs w:val="24"/>
        </w:rPr>
        <w:t>1</w:t>
      </w:r>
      <w:r w:rsidRPr="00C7556F">
        <w:rPr>
          <w:rFonts w:ascii="Times New Roman"/>
          <w:sz w:val="24"/>
          <w:szCs w:val="24"/>
        </w:rPr>
        <w:t>月</w:t>
      </w:r>
      <w:r w:rsidRPr="00C7556F">
        <w:rPr>
          <w:rFonts w:ascii="Times New Roman"/>
          <w:sz w:val="24"/>
          <w:szCs w:val="24"/>
        </w:rPr>
        <w:t>19</w:t>
      </w:r>
      <w:r w:rsidRPr="00C7556F">
        <w:rPr>
          <w:rFonts w:ascii="Times New Roman"/>
          <w:sz w:val="24"/>
          <w:szCs w:val="24"/>
        </w:rPr>
        <w:t>日始將調借款項歸還該基金。</w:t>
      </w:r>
    </w:p>
    <w:p w:rsidR="00C7556F" w:rsidRPr="00C7556F" w:rsidRDefault="00C7556F" w:rsidP="00C7556F">
      <w:pPr>
        <w:pStyle w:val="42"/>
        <w:spacing w:afterLines="25" w:after="114" w:line="320" w:lineRule="exact"/>
        <w:ind w:leftChars="498" w:left="1699" w:hangingChars="2" w:hanging="5"/>
        <w:rPr>
          <w:rFonts w:ascii="Times New Roman"/>
        </w:rPr>
      </w:pPr>
      <w:r w:rsidRPr="00C7556F">
        <w:rPr>
          <w:rFonts w:ascii="Times New Roman"/>
          <w:kern w:val="0"/>
          <w:sz w:val="24"/>
          <w:szCs w:val="24"/>
        </w:rPr>
        <w:t>資料來源：審計部，本院整理製表。</w:t>
      </w:r>
    </w:p>
    <w:p w:rsidR="00C7556F" w:rsidRPr="00C7556F" w:rsidRDefault="00C7556F" w:rsidP="00C7556F">
      <w:pPr>
        <w:pStyle w:val="3"/>
        <w:numPr>
          <w:ilvl w:val="2"/>
          <w:numId w:val="9"/>
        </w:numPr>
        <w:kinsoku w:val="0"/>
        <w:ind w:left="1360" w:hanging="680"/>
        <w:rPr>
          <w:rFonts w:ascii="Times New Roman" w:hAnsi="Times New Roman"/>
          <w:b/>
        </w:rPr>
      </w:pPr>
      <w:bookmarkStart w:id="67" w:name="_Toc507518452"/>
      <w:bookmarkStart w:id="68" w:name="_Toc507491504"/>
      <w:bookmarkStart w:id="69" w:name="_Toc507484680"/>
      <w:bookmarkStart w:id="70" w:name="_Toc507403559"/>
      <w:bookmarkStart w:id="71" w:name="_Toc507359623"/>
      <w:bookmarkStart w:id="72" w:name="_Toc507767528"/>
      <w:bookmarkStart w:id="73" w:name="_Toc507768254"/>
      <w:bookmarkStart w:id="74" w:name="_Toc511308031"/>
      <w:bookmarkStart w:id="75" w:name="_Toc511998473"/>
      <w:bookmarkStart w:id="76" w:name="_Toc512420830"/>
      <w:r w:rsidRPr="00C7556F">
        <w:rPr>
          <w:rFonts w:ascii="Times New Roman" w:hAnsi="Times New Roman"/>
          <w:b/>
        </w:rPr>
        <w:t>財政部對於地方政府調借作業，未能建立相關監督查核機制，以致部分地方政府調借過程未經提報各該管理委員會審議通過方才調度，甚至有些地方政府核准調借之層級欠當，而調借之前亦無評估以維護該基金或專戶之設立目的，均有可議之處：</w:t>
      </w:r>
    </w:p>
    <w:p w:rsidR="00C7556F" w:rsidRPr="00C7556F" w:rsidRDefault="00C7556F" w:rsidP="00C7556F">
      <w:pPr>
        <w:pStyle w:val="32"/>
        <w:ind w:left="1361" w:firstLine="680"/>
        <w:rPr>
          <w:rFonts w:ascii="Times New Roman"/>
        </w:rPr>
      </w:pPr>
      <w:r w:rsidRPr="00C7556F">
        <w:rPr>
          <w:rFonts w:ascii="Times New Roman"/>
        </w:rPr>
        <w:t>依據公庫法第</w:t>
      </w:r>
      <w:r w:rsidRPr="00C7556F">
        <w:rPr>
          <w:rFonts w:ascii="Times New Roman"/>
        </w:rPr>
        <w:t>21</w:t>
      </w:r>
      <w:r w:rsidRPr="00C7556F">
        <w:rPr>
          <w:rFonts w:ascii="Times New Roman"/>
        </w:rPr>
        <w:t>條規定，機關專戶存管款項，於不妨礙專戶</w:t>
      </w:r>
      <w:r w:rsidRPr="00C7556F">
        <w:rPr>
          <w:rFonts w:ascii="Times New Roman"/>
          <w:szCs w:val="32"/>
        </w:rPr>
        <w:t>設立</w:t>
      </w:r>
      <w:r w:rsidRPr="00C7556F">
        <w:rPr>
          <w:rFonts w:ascii="Times New Roman"/>
        </w:rPr>
        <w:t>目的下，各該政府得視公庫實際需要，統一調度運用。惟財政部對於地方政府調借作業，未能建立相關監督查核機制，以致發生以下不當情事</w:t>
      </w:r>
      <w:r w:rsidRPr="00C7556F">
        <w:rPr>
          <w:rFonts w:ascii="Times New Roman"/>
          <w:b/>
        </w:rPr>
        <w:t>，</w:t>
      </w:r>
      <w:r w:rsidRPr="00C7556F">
        <w:rPr>
          <w:rFonts w:ascii="Times New Roman"/>
        </w:rPr>
        <w:t>茲說明如下：</w:t>
      </w:r>
    </w:p>
    <w:bookmarkEnd w:id="67"/>
    <w:bookmarkEnd w:id="68"/>
    <w:bookmarkEnd w:id="69"/>
    <w:bookmarkEnd w:id="70"/>
    <w:bookmarkEnd w:id="71"/>
    <w:bookmarkEnd w:id="72"/>
    <w:bookmarkEnd w:id="73"/>
    <w:bookmarkEnd w:id="74"/>
    <w:bookmarkEnd w:id="75"/>
    <w:bookmarkEnd w:id="76"/>
    <w:p w:rsidR="00C7556F" w:rsidRPr="00C7556F" w:rsidRDefault="00C7556F" w:rsidP="00C7556F">
      <w:pPr>
        <w:pStyle w:val="4"/>
        <w:numPr>
          <w:ilvl w:val="3"/>
          <w:numId w:val="9"/>
        </w:numPr>
        <w:topLinePunct/>
        <w:rPr>
          <w:rFonts w:ascii="Times New Roman" w:hAnsi="Times New Roman"/>
          <w:b/>
        </w:rPr>
      </w:pPr>
      <w:r w:rsidRPr="00C7556F">
        <w:rPr>
          <w:rFonts w:ascii="Times New Roman" w:hAnsi="Times New Roman"/>
          <w:b/>
        </w:rPr>
        <w:t>調借過程未提報各該管理委員會審議：</w:t>
      </w:r>
    </w:p>
    <w:p w:rsidR="00C7556F" w:rsidRPr="00C7556F" w:rsidRDefault="00C7556F" w:rsidP="00C7556F">
      <w:pPr>
        <w:pStyle w:val="42"/>
        <w:ind w:left="1701" w:firstLine="680"/>
        <w:rPr>
          <w:rFonts w:ascii="Times New Roman"/>
        </w:rPr>
      </w:pPr>
      <w:r w:rsidRPr="00C7556F">
        <w:rPr>
          <w:rFonts w:ascii="Times New Roman"/>
        </w:rPr>
        <w:t>各地方政府為公益彩券盈餘分配基金</w:t>
      </w:r>
      <w:r w:rsidRPr="00C7556F">
        <w:rPr>
          <w:rFonts w:ascii="Times New Roman"/>
        </w:rPr>
        <w:t>(</w:t>
      </w:r>
      <w:r w:rsidRPr="00C7556F">
        <w:rPr>
          <w:rFonts w:ascii="Times New Roman"/>
        </w:rPr>
        <w:t>分配款</w:t>
      </w:r>
      <w:r w:rsidRPr="00C7556F">
        <w:rPr>
          <w:rFonts w:ascii="Times New Roman"/>
        </w:rPr>
        <w:t>)</w:t>
      </w:r>
      <w:r w:rsidRPr="00C7556F">
        <w:rPr>
          <w:rFonts w:ascii="Times New Roman"/>
        </w:rPr>
        <w:t>之收支、保管及運用等，皆據以設立公益彩券盈餘運用管理委員會</w:t>
      </w:r>
      <w:r w:rsidRPr="00C7556F">
        <w:rPr>
          <w:rFonts w:ascii="Times New Roman"/>
        </w:rPr>
        <w:t>(</w:t>
      </w:r>
      <w:r w:rsidRPr="00C7556F">
        <w:rPr>
          <w:rFonts w:ascii="Times New Roman"/>
        </w:rPr>
        <w:t>小組</w:t>
      </w:r>
      <w:r w:rsidRPr="00C7556F">
        <w:rPr>
          <w:rFonts w:ascii="Times New Roman"/>
        </w:rPr>
        <w:t>)</w:t>
      </w:r>
      <w:r w:rsidRPr="00C7556F">
        <w:rPr>
          <w:rFonts w:ascii="Times New Roman"/>
        </w:rPr>
        <w:t>，並訂有自治法規依權責辦理，其任務主要包括：</w:t>
      </w:r>
      <w:r w:rsidRPr="00C7556F">
        <w:rPr>
          <w:rFonts w:ascii="Times New Roman"/>
        </w:rPr>
        <w:t>(1)</w:t>
      </w:r>
      <w:r w:rsidRPr="00C7556F">
        <w:rPr>
          <w:rFonts w:ascii="Times New Roman"/>
        </w:rPr>
        <w:t>公益彩券盈餘分配基金</w:t>
      </w:r>
      <w:r w:rsidRPr="00C7556F">
        <w:rPr>
          <w:rFonts w:ascii="Times New Roman"/>
        </w:rPr>
        <w:t>(</w:t>
      </w:r>
      <w:r w:rsidRPr="00C7556F">
        <w:rPr>
          <w:rFonts w:ascii="Times New Roman"/>
        </w:rPr>
        <w:t>分配款</w:t>
      </w:r>
      <w:r w:rsidRPr="00C7556F">
        <w:rPr>
          <w:rFonts w:ascii="Times New Roman"/>
        </w:rPr>
        <w:t>)</w:t>
      </w:r>
      <w:r w:rsidRPr="00C7556F">
        <w:rPr>
          <w:rFonts w:ascii="Times New Roman"/>
        </w:rPr>
        <w:t>收支、保管及運用之審議；</w:t>
      </w:r>
      <w:r w:rsidRPr="00C7556F">
        <w:rPr>
          <w:rFonts w:ascii="Times New Roman"/>
        </w:rPr>
        <w:t>(2)</w:t>
      </w:r>
      <w:r w:rsidRPr="00C7556F">
        <w:rPr>
          <w:rFonts w:ascii="Times New Roman"/>
        </w:rPr>
        <w:t>公益彩券盈餘分配基金</w:t>
      </w:r>
      <w:r w:rsidRPr="00C7556F">
        <w:rPr>
          <w:rFonts w:ascii="Times New Roman"/>
        </w:rPr>
        <w:t>(</w:t>
      </w:r>
      <w:r w:rsidRPr="00C7556F">
        <w:rPr>
          <w:rFonts w:ascii="Times New Roman"/>
        </w:rPr>
        <w:t>分配款</w:t>
      </w:r>
      <w:r w:rsidRPr="00C7556F">
        <w:rPr>
          <w:rFonts w:ascii="Times New Roman"/>
        </w:rPr>
        <w:t>)</w:t>
      </w:r>
      <w:r w:rsidRPr="00C7556F">
        <w:rPr>
          <w:rFonts w:ascii="Times New Roman"/>
        </w:rPr>
        <w:t>運用執行情形之考核；</w:t>
      </w:r>
      <w:r w:rsidRPr="00C7556F">
        <w:rPr>
          <w:rFonts w:ascii="Times New Roman"/>
        </w:rPr>
        <w:t>(3)</w:t>
      </w:r>
      <w:r w:rsidRPr="00C7556F">
        <w:rPr>
          <w:rFonts w:ascii="Times New Roman"/>
        </w:rPr>
        <w:t>公益彩券盈餘分配基金</w:t>
      </w:r>
      <w:r w:rsidRPr="00C7556F">
        <w:rPr>
          <w:rFonts w:ascii="Times New Roman"/>
        </w:rPr>
        <w:t>(</w:t>
      </w:r>
      <w:r w:rsidRPr="00C7556F">
        <w:rPr>
          <w:rFonts w:ascii="Times New Roman"/>
        </w:rPr>
        <w:t>分配款</w:t>
      </w:r>
      <w:r w:rsidRPr="00C7556F">
        <w:rPr>
          <w:rFonts w:ascii="Times New Roman"/>
        </w:rPr>
        <w:t>)</w:t>
      </w:r>
      <w:r w:rsidRPr="00C7556F">
        <w:rPr>
          <w:rFonts w:ascii="Times New Roman"/>
        </w:rPr>
        <w:t>年度預算、決算之審議；</w:t>
      </w:r>
      <w:r w:rsidRPr="00C7556F">
        <w:rPr>
          <w:rFonts w:ascii="Times New Roman"/>
        </w:rPr>
        <w:t>(4)</w:t>
      </w:r>
      <w:r w:rsidRPr="00C7556F">
        <w:rPr>
          <w:rFonts w:ascii="Times New Roman"/>
        </w:rPr>
        <w:t>其他公益彩券盈餘分配基金</w:t>
      </w:r>
      <w:r w:rsidRPr="00C7556F">
        <w:rPr>
          <w:rFonts w:ascii="Times New Roman"/>
        </w:rPr>
        <w:t>(</w:t>
      </w:r>
      <w:r w:rsidRPr="00C7556F">
        <w:rPr>
          <w:rFonts w:ascii="Times New Roman"/>
        </w:rPr>
        <w:t>分配款</w:t>
      </w:r>
      <w:r w:rsidRPr="00C7556F">
        <w:rPr>
          <w:rFonts w:ascii="Times New Roman"/>
        </w:rPr>
        <w:t>)</w:t>
      </w:r>
      <w:r w:rsidRPr="00C7556F">
        <w:rPr>
          <w:rFonts w:ascii="Times New Roman"/>
        </w:rPr>
        <w:t>相關事項之審議，以管理及運用公益彩券盈餘分配款。惟據本院實地查閱帳冊，以及審計部所屬各地方審計處</w:t>
      </w:r>
      <w:r w:rsidRPr="00C7556F">
        <w:rPr>
          <w:rFonts w:ascii="Times New Roman"/>
        </w:rPr>
        <w:t>(</w:t>
      </w:r>
      <w:r w:rsidRPr="00C7556F">
        <w:rPr>
          <w:rFonts w:ascii="Times New Roman"/>
        </w:rPr>
        <w:t>室</w:t>
      </w:r>
      <w:r w:rsidRPr="00C7556F">
        <w:rPr>
          <w:rFonts w:ascii="Times New Roman"/>
        </w:rPr>
        <w:t>)</w:t>
      </w:r>
      <w:r w:rsidRPr="00C7556F">
        <w:rPr>
          <w:rFonts w:ascii="Times New Roman"/>
        </w:rPr>
        <w:t>查核之結果顯示，</w:t>
      </w:r>
      <w:r w:rsidRPr="00C7556F">
        <w:rPr>
          <w:rFonts w:ascii="Times New Roman"/>
        </w:rPr>
        <w:t>101</w:t>
      </w:r>
      <w:r w:rsidRPr="00C7556F">
        <w:rPr>
          <w:rFonts w:ascii="Times New Roman"/>
        </w:rPr>
        <w:t>年至</w:t>
      </w:r>
      <w:r w:rsidRPr="00C7556F">
        <w:rPr>
          <w:rFonts w:ascii="Times New Roman"/>
        </w:rPr>
        <w:t>105</w:t>
      </w:r>
      <w:r w:rsidRPr="00C7556F">
        <w:rPr>
          <w:rFonts w:ascii="Times New Roman"/>
        </w:rPr>
        <w:t>年地方政府向其所設立之公益彩券盈餘分配基金或專戶調借的有</w:t>
      </w:r>
      <w:r w:rsidRPr="00C7556F">
        <w:rPr>
          <w:rFonts w:ascii="Times New Roman"/>
        </w:rPr>
        <w:t>8</w:t>
      </w:r>
      <w:r w:rsidRPr="00C7556F">
        <w:rPr>
          <w:rFonts w:ascii="Times New Roman"/>
        </w:rPr>
        <w:t>個，皆未事前提報各該管理委員會</w:t>
      </w:r>
      <w:r w:rsidRPr="00C7556F">
        <w:rPr>
          <w:rFonts w:ascii="Times New Roman"/>
        </w:rPr>
        <w:t>(</w:t>
      </w:r>
      <w:r w:rsidRPr="00C7556F">
        <w:rPr>
          <w:rFonts w:ascii="Times New Roman"/>
        </w:rPr>
        <w:t>小組</w:t>
      </w:r>
      <w:r w:rsidRPr="00C7556F">
        <w:rPr>
          <w:rFonts w:ascii="Times New Roman"/>
        </w:rPr>
        <w:t>)</w:t>
      </w:r>
      <w:r w:rsidRPr="00C7556F">
        <w:rPr>
          <w:rFonts w:ascii="Times New Roman"/>
        </w:rPr>
        <w:t>審議，其中事後向管理委員會</w:t>
      </w:r>
      <w:r w:rsidRPr="00C7556F">
        <w:rPr>
          <w:rFonts w:ascii="Times New Roman"/>
        </w:rPr>
        <w:t>(</w:t>
      </w:r>
      <w:r w:rsidRPr="00C7556F">
        <w:rPr>
          <w:rFonts w:ascii="Times New Roman"/>
        </w:rPr>
        <w:t>小組</w:t>
      </w:r>
      <w:r w:rsidRPr="00C7556F">
        <w:rPr>
          <w:rFonts w:ascii="Times New Roman"/>
        </w:rPr>
        <w:t>)</w:t>
      </w:r>
      <w:r w:rsidRPr="00C7556F">
        <w:rPr>
          <w:rFonts w:ascii="Times New Roman"/>
        </w:rPr>
        <w:t>報告調借情事的只有花蓮縣政府。</w:t>
      </w:r>
    </w:p>
    <w:p w:rsidR="00C7556F" w:rsidRPr="00C7556F" w:rsidRDefault="00C7556F" w:rsidP="00C7556F">
      <w:pPr>
        <w:pStyle w:val="4"/>
        <w:numPr>
          <w:ilvl w:val="3"/>
          <w:numId w:val="9"/>
        </w:numPr>
        <w:topLinePunct/>
        <w:rPr>
          <w:rFonts w:ascii="Times New Roman" w:hAnsi="Times New Roman"/>
          <w:b/>
        </w:rPr>
      </w:pPr>
      <w:r w:rsidRPr="00C7556F">
        <w:rPr>
          <w:rFonts w:ascii="Times New Roman" w:hAnsi="Times New Roman"/>
          <w:b/>
          <w:spacing w:val="-2"/>
        </w:rPr>
        <w:t>調借過程未見相關評核程序</w:t>
      </w:r>
      <w:r w:rsidRPr="00C7556F">
        <w:rPr>
          <w:rFonts w:ascii="Times New Roman" w:hAnsi="Times New Roman"/>
          <w:b/>
          <w:spacing w:val="-2"/>
          <w:szCs w:val="32"/>
        </w:rPr>
        <w:t>與機制，以確保該財務調度不會妨礙該基金或專戶之設立目的：</w:t>
      </w:r>
    </w:p>
    <w:p w:rsidR="00C7556F" w:rsidRPr="00C7556F" w:rsidRDefault="00C7556F" w:rsidP="00C7556F">
      <w:pPr>
        <w:pStyle w:val="42"/>
        <w:ind w:left="1701" w:firstLine="680"/>
        <w:rPr>
          <w:rFonts w:ascii="Times New Roman"/>
        </w:rPr>
      </w:pPr>
      <w:r w:rsidRPr="00C7556F">
        <w:rPr>
          <w:rFonts w:ascii="Times New Roman"/>
        </w:rPr>
        <w:t>經本院及審計部所屬地方審計處</w:t>
      </w:r>
      <w:r w:rsidRPr="00C7556F">
        <w:rPr>
          <w:rFonts w:ascii="Times New Roman"/>
        </w:rPr>
        <w:t>(</w:t>
      </w:r>
      <w:r w:rsidRPr="00C7556F">
        <w:rPr>
          <w:rFonts w:ascii="Times New Roman"/>
        </w:rPr>
        <w:t>室</w:t>
      </w:r>
      <w:r w:rsidRPr="00C7556F">
        <w:rPr>
          <w:rFonts w:ascii="Times New Roman"/>
        </w:rPr>
        <w:t>)</w:t>
      </w:r>
      <w:r w:rsidRPr="00C7556F">
        <w:rPr>
          <w:rFonts w:ascii="Times New Roman"/>
        </w:rPr>
        <w:t>調閱各地方政府歷次簽辦調借之資料，發現部分地方政府歷次調借作業雖均以專簽方式辦理，會簽的是該基金之管理單位及主計單位，之後再陳報至縣、市長</w:t>
      </w:r>
      <w:r w:rsidRPr="00C7556F">
        <w:rPr>
          <w:rFonts w:ascii="Times New Roman"/>
        </w:rPr>
        <w:t>(</w:t>
      </w:r>
      <w:r w:rsidRPr="00C7556F">
        <w:rPr>
          <w:rFonts w:ascii="Times New Roman"/>
        </w:rPr>
        <w:t>或秘書長</w:t>
      </w:r>
      <w:r w:rsidRPr="00C7556F">
        <w:rPr>
          <w:rFonts w:ascii="Times New Roman"/>
        </w:rPr>
        <w:t>)</w:t>
      </w:r>
      <w:r w:rsidRPr="00C7556F">
        <w:rPr>
          <w:rFonts w:ascii="Times New Roman"/>
        </w:rPr>
        <w:t>層級核可；惟調借過程卻未見相關評核程序</w:t>
      </w:r>
      <w:r w:rsidRPr="00C7556F">
        <w:rPr>
          <w:rFonts w:ascii="Times New Roman"/>
          <w:szCs w:val="32"/>
        </w:rPr>
        <w:t>與機制，以確認該調度及金額不會妨礙該專戶設立之目的。例如臺東縣政府</w:t>
      </w:r>
      <w:r w:rsidRPr="00C7556F">
        <w:rPr>
          <w:rFonts w:ascii="Times New Roman"/>
          <w:szCs w:val="32"/>
        </w:rPr>
        <w:t>10</w:t>
      </w:r>
      <w:r w:rsidRPr="00C7556F">
        <w:rPr>
          <w:rFonts w:ascii="Times New Roman"/>
          <w:szCs w:val="32"/>
        </w:rPr>
        <w:t>次調借中，有兩次即</w:t>
      </w:r>
      <w:r w:rsidRPr="00C7556F">
        <w:rPr>
          <w:rFonts w:ascii="Times New Roman"/>
        </w:rPr>
        <w:t>103</w:t>
      </w:r>
      <w:r w:rsidRPr="00C7556F">
        <w:rPr>
          <w:rFonts w:ascii="Times New Roman"/>
        </w:rPr>
        <w:t>年</w:t>
      </w:r>
      <w:r w:rsidRPr="00C7556F">
        <w:rPr>
          <w:rFonts w:ascii="Times New Roman"/>
        </w:rPr>
        <w:t>1</w:t>
      </w:r>
      <w:r w:rsidRPr="00C7556F">
        <w:rPr>
          <w:rFonts w:ascii="Times New Roman"/>
        </w:rPr>
        <w:t>月</w:t>
      </w:r>
      <w:r w:rsidRPr="00C7556F">
        <w:rPr>
          <w:rFonts w:ascii="Times New Roman"/>
        </w:rPr>
        <w:t>1</w:t>
      </w:r>
      <w:r w:rsidRPr="00C7556F">
        <w:rPr>
          <w:rFonts w:ascii="Times New Roman"/>
        </w:rPr>
        <w:t>日及</w:t>
      </w:r>
      <w:r w:rsidRPr="00C7556F">
        <w:rPr>
          <w:rFonts w:ascii="Times New Roman"/>
        </w:rPr>
        <w:t>104</w:t>
      </w:r>
      <w:r w:rsidRPr="00C7556F">
        <w:rPr>
          <w:rFonts w:ascii="Times New Roman"/>
        </w:rPr>
        <w:t>年</w:t>
      </w:r>
      <w:r w:rsidRPr="00C7556F">
        <w:rPr>
          <w:rFonts w:ascii="Times New Roman"/>
        </w:rPr>
        <w:t>1</w:t>
      </w:r>
      <w:r w:rsidRPr="00C7556F">
        <w:rPr>
          <w:rFonts w:ascii="Times New Roman"/>
        </w:rPr>
        <w:t>月</w:t>
      </w:r>
      <w:r w:rsidRPr="00C7556F">
        <w:rPr>
          <w:rFonts w:ascii="Times New Roman"/>
        </w:rPr>
        <w:t>1</w:t>
      </w:r>
      <w:r w:rsidRPr="00C7556F">
        <w:rPr>
          <w:rFonts w:ascii="Times New Roman"/>
        </w:rPr>
        <w:t>日各調借的</w:t>
      </w:r>
      <w:r w:rsidRPr="00C7556F">
        <w:rPr>
          <w:rFonts w:ascii="Times New Roman"/>
        </w:rPr>
        <w:t>3.2</w:t>
      </w:r>
      <w:r w:rsidRPr="00C7556F">
        <w:rPr>
          <w:rFonts w:ascii="Times New Roman"/>
        </w:rPr>
        <w:t>億元及</w:t>
      </w:r>
      <w:r w:rsidRPr="00C7556F">
        <w:rPr>
          <w:rFonts w:ascii="Times New Roman"/>
        </w:rPr>
        <w:t>3.7</w:t>
      </w:r>
      <w:r w:rsidRPr="00C7556F">
        <w:rPr>
          <w:rFonts w:ascii="Times New Roman"/>
        </w:rPr>
        <w:t>億元，而如此高額的續借，未提報管理單位審議且跳過簽辦手續逕自全額順延於次年。</w:t>
      </w:r>
    </w:p>
    <w:p w:rsidR="00C7556F" w:rsidRPr="00C7556F" w:rsidRDefault="00C7556F" w:rsidP="00C7556F">
      <w:pPr>
        <w:pStyle w:val="4"/>
        <w:numPr>
          <w:ilvl w:val="3"/>
          <w:numId w:val="9"/>
        </w:numPr>
        <w:topLinePunct/>
        <w:rPr>
          <w:rFonts w:ascii="Times New Roman" w:hAnsi="Times New Roman"/>
          <w:b/>
        </w:rPr>
      </w:pPr>
      <w:r w:rsidRPr="00C7556F">
        <w:rPr>
          <w:rFonts w:ascii="Times New Roman" w:hAnsi="Times New Roman"/>
          <w:b/>
        </w:rPr>
        <w:t>核准調借之層級欠妥：</w:t>
      </w:r>
    </w:p>
    <w:p w:rsidR="00C7556F" w:rsidRPr="00C7556F" w:rsidRDefault="00C7556F" w:rsidP="00C7556F">
      <w:pPr>
        <w:pStyle w:val="42"/>
        <w:ind w:left="1701" w:firstLine="680"/>
        <w:rPr>
          <w:rFonts w:ascii="Times New Roman"/>
        </w:rPr>
      </w:pPr>
      <w:r w:rsidRPr="00C7556F">
        <w:rPr>
          <w:rFonts w:ascii="Times New Roman"/>
          <w:szCs w:val="32"/>
        </w:rPr>
        <w:t>高雄市政府於</w:t>
      </w:r>
      <w:r w:rsidRPr="00C7556F">
        <w:rPr>
          <w:rFonts w:ascii="Times New Roman"/>
          <w:szCs w:val="32"/>
        </w:rPr>
        <w:t>102</w:t>
      </w:r>
      <w:r w:rsidRPr="00C7556F">
        <w:rPr>
          <w:rFonts w:ascii="Times New Roman"/>
          <w:szCs w:val="32"/>
        </w:rPr>
        <w:t>年</w:t>
      </w:r>
      <w:r w:rsidRPr="00C7556F">
        <w:rPr>
          <w:rFonts w:ascii="Times New Roman"/>
          <w:szCs w:val="32"/>
        </w:rPr>
        <w:t>3</w:t>
      </w:r>
      <w:r w:rsidRPr="00C7556F">
        <w:rPr>
          <w:rFonts w:ascii="Times New Roman"/>
          <w:szCs w:val="32"/>
        </w:rPr>
        <w:t>月</w:t>
      </w:r>
      <w:r w:rsidRPr="00C7556F">
        <w:rPr>
          <w:rFonts w:ascii="Times New Roman"/>
          <w:szCs w:val="32"/>
        </w:rPr>
        <w:t>6</w:t>
      </w:r>
      <w:r w:rsidRPr="00C7556F">
        <w:rPr>
          <w:rFonts w:ascii="Times New Roman"/>
          <w:szCs w:val="32"/>
        </w:rPr>
        <w:t>日及</w:t>
      </w:r>
      <w:r w:rsidRPr="00C7556F">
        <w:rPr>
          <w:rFonts w:ascii="Times New Roman"/>
        </w:rPr>
        <w:t>7</w:t>
      </w:r>
      <w:r w:rsidRPr="00C7556F">
        <w:rPr>
          <w:rFonts w:ascii="Times New Roman"/>
        </w:rPr>
        <w:t>月</w:t>
      </w:r>
      <w:r w:rsidRPr="00C7556F">
        <w:rPr>
          <w:rFonts w:ascii="Times New Roman"/>
        </w:rPr>
        <w:t>25</w:t>
      </w:r>
      <w:r w:rsidRPr="00C7556F">
        <w:rPr>
          <w:rFonts w:ascii="Times New Roman"/>
        </w:rPr>
        <w:t>日向該</w:t>
      </w:r>
      <w:r w:rsidRPr="00C7556F">
        <w:rPr>
          <w:rFonts w:ascii="Times New Roman"/>
          <w:szCs w:val="32"/>
        </w:rPr>
        <w:t>基金調借的</w:t>
      </w:r>
      <w:r w:rsidRPr="00C7556F">
        <w:rPr>
          <w:rFonts w:ascii="Times New Roman"/>
          <w:szCs w:val="32"/>
        </w:rPr>
        <w:t>2.5</w:t>
      </w:r>
      <w:r w:rsidRPr="00C7556F">
        <w:rPr>
          <w:rFonts w:ascii="Times New Roman"/>
          <w:szCs w:val="32"/>
        </w:rPr>
        <w:t>億元及</w:t>
      </w:r>
      <w:r w:rsidRPr="00C7556F">
        <w:rPr>
          <w:rFonts w:ascii="Times New Roman"/>
          <w:szCs w:val="32"/>
        </w:rPr>
        <w:t>5</w:t>
      </w:r>
      <w:r w:rsidRPr="00C7556F">
        <w:rPr>
          <w:rFonts w:ascii="Times New Roman"/>
          <w:szCs w:val="32"/>
        </w:rPr>
        <w:t>億元，准借核章者竟是社會局局長授權章</w:t>
      </w:r>
      <w:r w:rsidRPr="00C7556F">
        <w:rPr>
          <w:rFonts w:ascii="Times New Roman"/>
          <w:szCs w:val="32"/>
        </w:rPr>
        <w:t>(</w:t>
      </w:r>
      <w:r w:rsidRPr="00C7556F">
        <w:rPr>
          <w:rFonts w:ascii="Times New Roman"/>
        </w:rPr>
        <w:t>甲二</w:t>
      </w:r>
      <w:r w:rsidRPr="00C7556F">
        <w:rPr>
          <w:rFonts w:ascii="Times New Roman"/>
        </w:rPr>
        <w:t>)</w:t>
      </w:r>
      <w:r w:rsidRPr="00C7556F">
        <w:rPr>
          <w:rFonts w:ascii="Times New Roman"/>
        </w:rPr>
        <w:t>及社會局局長授權章</w:t>
      </w:r>
      <w:r w:rsidRPr="00C7556F">
        <w:rPr>
          <w:rFonts w:ascii="Times New Roman"/>
        </w:rPr>
        <w:t>(</w:t>
      </w:r>
      <w:r w:rsidRPr="00C7556F">
        <w:rPr>
          <w:rFonts w:ascii="Times New Roman"/>
        </w:rPr>
        <w:t>甲一</w:t>
      </w:r>
      <w:r w:rsidRPr="00C7556F">
        <w:rPr>
          <w:rFonts w:ascii="Times New Roman"/>
        </w:rPr>
        <w:t>)</w:t>
      </w:r>
      <w:r w:rsidRPr="00C7556F">
        <w:rPr>
          <w:rFonts w:ascii="Times New Roman"/>
        </w:rPr>
        <w:t>。又，</w:t>
      </w:r>
      <w:r w:rsidRPr="00C7556F">
        <w:rPr>
          <w:rFonts w:ascii="Times New Roman"/>
        </w:rPr>
        <w:t>101</w:t>
      </w:r>
      <w:r w:rsidRPr="00C7556F">
        <w:rPr>
          <w:rFonts w:ascii="Times New Roman"/>
        </w:rPr>
        <w:t>年至</w:t>
      </w:r>
      <w:r w:rsidRPr="00C7556F">
        <w:rPr>
          <w:rFonts w:ascii="Times New Roman"/>
        </w:rPr>
        <w:t>104</w:t>
      </w:r>
      <w:r w:rsidRPr="00C7556F">
        <w:rPr>
          <w:rFonts w:ascii="Times New Roman"/>
        </w:rPr>
        <w:t>年臺東縣政府向該基金共調借</w:t>
      </w:r>
      <w:r w:rsidRPr="00C7556F">
        <w:rPr>
          <w:rFonts w:ascii="Times New Roman"/>
        </w:rPr>
        <w:t>10</w:t>
      </w:r>
      <w:r w:rsidRPr="00C7556F">
        <w:rPr>
          <w:rFonts w:ascii="Times New Roman"/>
        </w:rPr>
        <w:t>次，每次調借金額</w:t>
      </w:r>
      <w:r w:rsidRPr="00C7556F">
        <w:rPr>
          <w:rFonts w:ascii="Times New Roman"/>
        </w:rPr>
        <w:t>0.2</w:t>
      </w:r>
      <w:r w:rsidRPr="00C7556F">
        <w:rPr>
          <w:rFonts w:ascii="Times New Roman"/>
        </w:rPr>
        <w:t>億元至</w:t>
      </w:r>
      <w:r w:rsidRPr="00C7556F">
        <w:rPr>
          <w:rFonts w:ascii="Times New Roman"/>
        </w:rPr>
        <w:t>3.2</w:t>
      </w:r>
      <w:r w:rsidRPr="00C7556F">
        <w:rPr>
          <w:rFonts w:ascii="Times New Roman"/>
        </w:rPr>
        <w:t>億元不等，其中</w:t>
      </w:r>
      <w:r w:rsidRPr="00C7556F">
        <w:rPr>
          <w:rFonts w:ascii="Times New Roman"/>
        </w:rPr>
        <w:t>8</w:t>
      </w:r>
      <w:r w:rsidRPr="00C7556F">
        <w:rPr>
          <w:rFonts w:ascii="Times New Roman"/>
        </w:rPr>
        <w:t>次係由該府財政處</w:t>
      </w:r>
      <w:r w:rsidRPr="00C7556F">
        <w:rPr>
          <w:rFonts w:ascii="Times New Roman"/>
        </w:rPr>
        <w:t>(</w:t>
      </w:r>
      <w:r w:rsidRPr="00C7556F">
        <w:rPr>
          <w:rFonts w:ascii="Times New Roman"/>
        </w:rPr>
        <w:t>後更名為財政及經濟發展處</w:t>
      </w:r>
      <w:r w:rsidRPr="00C7556F">
        <w:rPr>
          <w:rFonts w:ascii="Times New Roman"/>
        </w:rPr>
        <w:t>)</w:t>
      </w:r>
      <w:r w:rsidRPr="00C7556F">
        <w:rPr>
          <w:rFonts w:ascii="Times New Roman"/>
        </w:rPr>
        <w:t>處長核准。顯見該</w:t>
      </w:r>
      <w:r w:rsidRPr="00C7556F">
        <w:rPr>
          <w:rFonts w:ascii="Times New Roman"/>
        </w:rPr>
        <w:t>2</w:t>
      </w:r>
      <w:r w:rsidRPr="00C7556F">
        <w:rPr>
          <w:rFonts w:ascii="Times New Roman"/>
        </w:rPr>
        <w:t>地方政府對於基金或專戶的設立目的極為不尊重，調借的程序不嚴謹而欠正當。</w:t>
      </w:r>
    </w:p>
    <w:p w:rsidR="00C7556F" w:rsidRPr="00C7556F" w:rsidRDefault="00C7556F" w:rsidP="00C7556F">
      <w:pPr>
        <w:pStyle w:val="4"/>
        <w:numPr>
          <w:ilvl w:val="3"/>
          <w:numId w:val="9"/>
        </w:numPr>
        <w:kinsoku w:val="0"/>
        <w:topLinePunct/>
        <w:rPr>
          <w:rFonts w:ascii="Times New Roman" w:hAnsi="Times New Roman"/>
          <w:b/>
        </w:rPr>
      </w:pPr>
      <w:r w:rsidRPr="00C7556F">
        <w:rPr>
          <w:rFonts w:ascii="Times New Roman" w:hAnsi="Times New Roman"/>
          <w:b/>
        </w:rPr>
        <w:t>調借後，未依簽辦調借之簽核意見如期如實歸還，顯有未當：</w:t>
      </w:r>
    </w:p>
    <w:p w:rsidR="00C7556F" w:rsidRPr="00C7556F" w:rsidRDefault="00C7556F" w:rsidP="00C7556F">
      <w:pPr>
        <w:pStyle w:val="5"/>
        <w:rPr>
          <w:rFonts w:ascii="Times New Roman" w:hAnsi="Times New Roman"/>
        </w:rPr>
      </w:pPr>
      <w:r w:rsidRPr="00C7556F">
        <w:rPr>
          <w:rFonts w:ascii="Times New Roman" w:hAnsi="Times New Roman"/>
        </w:rPr>
        <w:t>苗栗縣政府於</w:t>
      </w:r>
      <w:r w:rsidRPr="00C7556F">
        <w:rPr>
          <w:rFonts w:ascii="Times New Roman" w:hAnsi="Times New Roman"/>
        </w:rPr>
        <w:t>103</w:t>
      </w:r>
      <w:r w:rsidRPr="00C7556F">
        <w:rPr>
          <w:rFonts w:ascii="Times New Roman" w:hAnsi="Times New Roman"/>
        </w:rPr>
        <w:t>年向其公益彩券盈餘分配專戶簽辦調借款項時，該府勞動及社會資源處提出簽核意見表示：</w:t>
      </w:r>
      <w:r w:rsidRPr="00C7556F">
        <w:rPr>
          <w:rFonts w:ascii="Times New Roman" w:eastAsia="新細明體" w:hAnsi="Times New Roman"/>
        </w:rPr>
        <w:t>「</w:t>
      </w:r>
      <w:r w:rsidRPr="00C7556F">
        <w:rPr>
          <w:rFonts w:ascii="Times New Roman" w:hAnsi="Times New Roman"/>
        </w:rPr>
        <w:t>本府獲配之盈餘補助款應於福利範圍內專款專用，如為因應縣庫調度需要，應於年終以前連同利息一併繳回」等語，惟嗣後該府卻</w:t>
      </w:r>
      <w:r w:rsidRPr="00C7556F">
        <w:rPr>
          <w:rFonts w:ascii="Times New Roman" w:hAnsi="Times New Roman"/>
          <w:szCs w:val="32"/>
        </w:rPr>
        <w:t>未如期償還調借款項，且截至</w:t>
      </w:r>
      <w:r w:rsidRPr="00C7556F">
        <w:rPr>
          <w:rFonts w:ascii="Times New Roman" w:hAnsi="Times New Roman"/>
          <w:szCs w:val="32"/>
        </w:rPr>
        <w:t>107</w:t>
      </w:r>
      <w:r w:rsidRPr="00C7556F">
        <w:rPr>
          <w:rFonts w:ascii="Times New Roman" w:hAnsi="Times New Roman"/>
          <w:szCs w:val="32"/>
        </w:rPr>
        <w:t>年</w:t>
      </w:r>
      <w:r w:rsidRPr="00C7556F">
        <w:rPr>
          <w:rFonts w:ascii="Times New Roman" w:hAnsi="Times New Roman"/>
          <w:szCs w:val="32"/>
        </w:rPr>
        <w:t>4</w:t>
      </w:r>
      <w:r w:rsidRPr="00C7556F">
        <w:rPr>
          <w:rFonts w:ascii="Times New Roman" w:hAnsi="Times New Roman"/>
        </w:rPr>
        <w:t>月</w:t>
      </w:r>
      <w:r w:rsidRPr="00C7556F">
        <w:rPr>
          <w:rFonts w:ascii="Times New Roman" w:hAnsi="Times New Roman"/>
        </w:rPr>
        <w:t>23</w:t>
      </w:r>
      <w:r w:rsidRPr="00C7556F">
        <w:rPr>
          <w:rFonts w:ascii="Times New Roman" w:hAnsi="Times New Roman"/>
        </w:rPr>
        <w:t>日仍有</w:t>
      </w:r>
      <w:r w:rsidRPr="00C7556F">
        <w:rPr>
          <w:rFonts w:ascii="Times New Roman" w:hAnsi="Times New Roman"/>
        </w:rPr>
        <w:t>6.1</w:t>
      </w:r>
      <w:r w:rsidRPr="00C7556F">
        <w:rPr>
          <w:rFonts w:ascii="Times New Roman" w:hAnsi="Times New Roman"/>
        </w:rPr>
        <w:t>億元未能償還歸墊</w:t>
      </w:r>
      <w:r w:rsidRPr="00C7556F">
        <w:rPr>
          <w:rFonts w:ascii="Times New Roman" w:hAnsi="Times New Roman"/>
          <w:szCs w:val="32"/>
        </w:rPr>
        <w:t>。對此</w:t>
      </w:r>
      <w:r w:rsidRPr="00C7556F">
        <w:rPr>
          <w:rFonts w:ascii="Times New Roman" w:hAnsi="Times New Roman"/>
        </w:rPr>
        <w:t>財政部說明略以：</w:t>
      </w:r>
      <w:r w:rsidRPr="00C7556F">
        <w:rPr>
          <w:rFonts w:ascii="Times New Roman" w:eastAsia="新細明體" w:hAnsi="Times New Roman"/>
        </w:rPr>
        <w:t>「</w:t>
      </w:r>
      <w:r w:rsidRPr="00C7556F">
        <w:rPr>
          <w:rFonts w:ascii="Times New Roman" w:hAnsi="Times New Roman"/>
          <w:kern w:val="0"/>
          <w:szCs w:val="32"/>
        </w:rPr>
        <w:t>苗栗縣政府未遵循預算法及預算籌</w:t>
      </w:r>
      <w:r w:rsidRPr="00C7556F">
        <w:rPr>
          <w:rFonts w:ascii="Times New Roman" w:hAnsi="Times New Roman"/>
        </w:rPr>
        <w:t>編原則等規定，不僅未償債務餘額逾債限，其公庫長期入不敷出，導致全面資金調度危機，其問題根本在於未遵循相關財務法規覈實編列預算與妥適管控收支之故。」</w:t>
      </w:r>
    </w:p>
    <w:p w:rsidR="00C7556F" w:rsidRPr="00C7556F" w:rsidRDefault="00C7556F" w:rsidP="00C7556F">
      <w:pPr>
        <w:pStyle w:val="5"/>
        <w:rPr>
          <w:rFonts w:ascii="Times New Roman" w:hAnsi="Times New Roman"/>
        </w:rPr>
      </w:pPr>
      <w:r w:rsidRPr="00C7556F">
        <w:rPr>
          <w:rFonts w:ascii="Times New Roman" w:hAnsi="Times New Roman"/>
        </w:rPr>
        <w:t>102</w:t>
      </w:r>
      <w:r w:rsidRPr="00C7556F">
        <w:rPr>
          <w:rFonts w:ascii="Times New Roman" w:hAnsi="Times New Roman"/>
        </w:rPr>
        <w:t>年臺東縣政府調借該縣公益彩券盈餘分配基金共計</w:t>
      </w:r>
      <w:r w:rsidRPr="00C7556F">
        <w:rPr>
          <w:rFonts w:ascii="Times New Roman" w:hAnsi="Times New Roman"/>
        </w:rPr>
        <w:t>3.2</w:t>
      </w:r>
      <w:r w:rsidRPr="00C7556F">
        <w:rPr>
          <w:rFonts w:ascii="Times New Roman" w:hAnsi="Times New Roman"/>
        </w:rPr>
        <w:t>億元，於簽辦時明載：「為免帳務久懸，將於年度結束時將所調度之專戶款項退還」等語；又據該府提供本院之資料表示，</w:t>
      </w:r>
      <w:r w:rsidRPr="00C7556F">
        <w:rPr>
          <w:rFonts w:ascii="Times New Roman" w:hAnsi="Times New Roman"/>
          <w:szCs w:val="32"/>
        </w:rPr>
        <w:t>102</w:t>
      </w:r>
      <w:r w:rsidRPr="00C7556F">
        <w:rPr>
          <w:rFonts w:ascii="Times New Roman" w:hAnsi="Times New Roman"/>
          <w:szCs w:val="32"/>
        </w:rPr>
        <w:t>年、</w:t>
      </w:r>
      <w:r w:rsidRPr="00C7556F">
        <w:rPr>
          <w:rFonts w:ascii="Times New Roman" w:hAnsi="Times New Roman"/>
          <w:szCs w:val="32"/>
        </w:rPr>
        <w:t>103</w:t>
      </w:r>
      <w:r w:rsidRPr="00C7556F">
        <w:rPr>
          <w:rFonts w:ascii="Times New Roman" w:hAnsi="Times New Roman"/>
          <w:szCs w:val="32"/>
        </w:rPr>
        <w:t>年</w:t>
      </w:r>
      <w:r w:rsidRPr="00C7556F">
        <w:rPr>
          <w:rFonts w:ascii="Times New Roman" w:hAnsi="Times New Roman"/>
        </w:rPr>
        <w:t>該府調借之</w:t>
      </w:r>
      <w:r w:rsidRPr="00C7556F">
        <w:rPr>
          <w:rFonts w:ascii="Times New Roman" w:hAnsi="Times New Roman"/>
        </w:rPr>
        <w:t>3.2</w:t>
      </w:r>
      <w:r w:rsidRPr="00C7556F">
        <w:rPr>
          <w:rFonts w:ascii="Times New Roman" w:hAnsi="Times New Roman"/>
        </w:rPr>
        <w:t>億元及</w:t>
      </w:r>
      <w:r w:rsidRPr="00C7556F">
        <w:rPr>
          <w:rFonts w:ascii="Times New Roman" w:hAnsi="Times New Roman"/>
        </w:rPr>
        <w:t>3.7</w:t>
      </w:r>
      <w:r w:rsidRPr="00C7556F">
        <w:rPr>
          <w:rFonts w:ascii="Times New Roman" w:hAnsi="Times New Roman"/>
        </w:rPr>
        <w:t>億元款項均於</w:t>
      </w:r>
      <w:r w:rsidRPr="00C7556F">
        <w:rPr>
          <w:rFonts w:ascii="Times New Roman" w:hAnsi="Times New Roman"/>
        </w:rPr>
        <w:t>102</w:t>
      </w:r>
      <w:r w:rsidRPr="00C7556F">
        <w:rPr>
          <w:rFonts w:ascii="Times New Roman" w:hAnsi="Times New Roman"/>
        </w:rPr>
        <w:t>年</w:t>
      </w:r>
      <w:r w:rsidRPr="00C7556F">
        <w:rPr>
          <w:rFonts w:ascii="Times New Roman" w:hAnsi="Times New Roman"/>
        </w:rPr>
        <w:t>12</w:t>
      </w:r>
      <w:r w:rsidRPr="00C7556F">
        <w:rPr>
          <w:rFonts w:ascii="Times New Roman" w:hAnsi="Times New Roman"/>
        </w:rPr>
        <w:t>月間及</w:t>
      </w:r>
      <w:r w:rsidRPr="00C7556F">
        <w:rPr>
          <w:rFonts w:ascii="Times New Roman" w:hAnsi="Times New Roman"/>
        </w:rPr>
        <w:t>103</w:t>
      </w:r>
      <w:r w:rsidRPr="00C7556F">
        <w:rPr>
          <w:rFonts w:ascii="Times New Roman" w:hAnsi="Times New Roman"/>
        </w:rPr>
        <w:t>年</w:t>
      </w:r>
      <w:r w:rsidRPr="00C7556F">
        <w:rPr>
          <w:rFonts w:ascii="Times New Roman" w:hAnsi="Times New Roman"/>
        </w:rPr>
        <w:t>12</w:t>
      </w:r>
      <w:r w:rsidRPr="00C7556F">
        <w:rPr>
          <w:rFonts w:ascii="Times New Roman" w:hAnsi="Times New Roman"/>
        </w:rPr>
        <w:t>月</w:t>
      </w:r>
      <w:r w:rsidRPr="00C7556F">
        <w:rPr>
          <w:rFonts w:ascii="Times New Roman" w:hAnsi="Times New Roman"/>
        </w:rPr>
        <w:t>31</w:t>
      </w:r>
      <w:r w:rsidRPr="00C7556F">
        <w:rPr>
          <w:rFonts w:ascii="Times New Roman" w:hAnsi="Times New Roman"/>
        </w:rPr>
        <w:t>日全數歸還該基金。惟經本院實地查核帳冊發現，</w:t>
      </w:r>
      <w:r w:rsidRPr="00C7556F">
        <w:rPr>
          <w:rFonts w:ascii="Times New Roman" w:hAnsi="Times New Roman"/>
          <w:szCs w:val="32"/>
        </w:rPr>
        <w:t>102</w:t>
      </w:r>
      <w:r w:rsidRPr="00C7556F">
        <w:rPr>
          <w:rFonts w:ascii="Times New Roman" w:hAnsi="Times New Roman"/>
          <w:szCs w:val="32"/>
        </w:rPr>
        <w:t>年底及</w:t>
      </w:r>
      <w:r w:rsidRPr="00C7556F">
        <w:rPr>
          <w:rFonts w:ascii="Times New Roman" w:hAnsi="Times New Roman"/>
          <w:szCs w:val="32"/>
        </w:rPr>
        <w:t>103</w:t>
      </w:r>
      <w:r w:rsidRPr="00C7556F">
        <w:rPr>
          <w:rFonts w:ascii="Times New Roman" w:hAnsi="Times New Roman"/>
        </w:rPr>
        <w:t>年底該基金帳戶餘額分別僅為</w:t>
      </w:r>
      <w:r w:rsidRPr="00C7556F">
        <w:rPr>
          <w:rFonts w:ascii="Times New Roman" w:hAnsi="Times New Roman"/>
        </w:rPr>
        <w:t>5,302</w:t>
      </w:r>
      <w:r w:rsidRPr="00C7556F">
        <w:rPr>
          <w:rFonts w:ascii="Times New Roman" w:hAnsi="Times New Roman"/>
        </w:rPr>
        <w:t>萬</w:t>
      </w:r>
      <w:r w:rsidRPr="00C7556F">
        <w:rPr>
          <w:rFonts w:ascii="Times New Roman" w:hAnsi="Times New Roman"/>
        </w:rPr>
        <w:t>6,848</w:t>
      </w:r>
      <w:r w:rsidRPr="00C7556F">
        <w:rPr>
          <w:rFonts w:ascii="Times New Roman" w:hAnsi="Times New Roman"/>
        </w:rPr>
        <w:t>元及</w:t>
      </w:r>
      <w:r w:rsidRPr="00C7556F">
        <w:rPr>
          <w:rFonts w:ascii="Times New Roman" w:hAnsi="Times New Roman"/>
        </w:rPr>
        <w:t>3,763</w:t>
      </w:r>
      <w:r w:rsidRPr="00C7556F">
        <w:rPr>
          <w:rFonts w:ascii="Times New Roman" w:hAnsi="Times New Roman"/>
        </w:rPr>
        <w:t>萬</w:t>
      </w:r>
      <w:r w:rsidRPr="00C7556F">
        <w:rPr>
          <w:rFonts w:ascii="Times New Roman" w:hAnsi="Times New Roman"/>
        </w:rPr>
        <w:t>6,034</w:t>
      </w:r>
      <w:r w:rsidRPr="00C7556F">
        <w:rPr>
          <w:rFonts w:ascii="Times New Roman" w:hAnsi="Times New Roman"/>
        </w:rPr>
        <w:t>元，且</w:t>
      </w:r>
      <w:r w:rsidRPr="00C7556F">
        <w:rPr>
          <w:rFonts w:ascii="Times New Roman" w:hAnsi="Times New Roman"/>
          <w:szCs w:val="32"/>
        </w:rPr>
        <w:t>102</w:t>
      </w:r>
      <w:r w:rsidRPr="00C7556F">
        <w:rPr>
          <w:rFonts w:ascii="Times New Roman" w:hAnsi="Times New Roman"/>
          <w:szCs w:val="32"/>
        </w:rPr>
        <w:t>年底</w:t>
      </w:r>
      <w:r w:rsidRPr="00C7556F">
        <w:rPr>
          <w:rFonts w:ascii="Times New Roman" w:hAnsi="Times New Roman"/>
        </w:rPr>
        <w:t>及</w:t>
      </w:r>
      <w:r w:rsidRPr="00C7556F">
        <w:rPr>
          <w:rFonts w:ascii="Times New Roman" w:hAnsi="Times New Roman"/>
        </w:rPr>
        <w:t>103</w:t>
      </w:r>
      <w:r w:rsidRPr="00C7556F">
        <w:rPr>
          <w:rFonts w:ascii="Times New Roman" w:hAnsi="Times New Roman"/>
        </w:rPr>
        <w:t>年底該基金平衡表帳列載明為「短期墊款」</w:t>
      </w:r>
      <w:r w:rsidRPr="00C7556F">
        <w:rPr>
          <w:rFonts w:ascii="Times New Roman" w:hAnsi="Times New Roman"/>
        </w:rPr>
        <w:t>3.2</w:t>
      </w:r>
      <w:r w:rsidRPr="00C7556F">
        <w:rPr>
          <w:rFonts w:ascii="Times New Roman" w:hAnsi="Times New Roman"/>
        </w:rPr>
        <w:t>億元及</w:t>
      </w:r>
      <w:r w:rsidRPr="00C7556F">
        <w:rPr>
          <w:rFonts w:ascii="Times New Roman" w:hAnsi="Times New Roman"/>
        </w:rPr>
        <w:t>3.7</w:t>
      </w:r>
      <w:r w:rsidRPr="00C7556F">
        <w:rPr>
          <w:rFonts w:ascii="Times New Roman" w:hAnsi="Times New Roman"/>
        </w:rPr>
        <w:t>億元，足見該府並未如實還款，卻在帳面註記業已歸還。經函請審計部持續追蹤，該府始於</w:t>
      </w:r>
      <w:r w:rsidRPr="00C7556F">
        <w:rPr>
          <w:rFonts w:ascii="Times New Roman" w:hAnsi="Times New Roman"/>
        </w:rPr>
        <w:t>105</w:t>
      </w:r>
      <w:r w:rsidRPr="00C7556F">
        <w:rPr>
          <w:rFonts w:ascii="Times New Roman" w:hAnsi="Times New Roman"/>
        </w:rPr>
        <w:t>年</w:t>
      </w:r>
      <w:r w:rsidRPr="00C7556F">
        <w:rPr>
          <w:rFonts w:ascii="Times New Roman" w:hAnsi="Times New Roman"/>
        </w:rPr>
        <w:t>1</w:t>
      </w:r>
      <w:r w:rsidRPr="00C7556F">
        <w:rPr>
          <w:rFonts w:ascii="Times New Roman" w:hAnsi="Times New Roman"/>
        </w:rPr>
        <w:t>月</w:t>
      </w:r>
      <w:r w:rsidRPr="00C7556F">
        <w:rPr>
          <w:rFonts w:ascii="Times New Roman" w:hAnsi="Times New Roman"/>
        </w:rPr>
        <w:t>18</w:t>
      </w:r>
      <w:r w:rsidRPr="00C7556F">
        <w:rPr>
          <w:rFonts w:ascii="Times New Roman" w:hAnsi="Times New Roman"/>
        </w:rPr>
        <w:t>日將調借款項全數歸還。</w:t>
      </w:r>
    </w:p>
    <w:p w:rsidR="00C7556F" w:rsidRPr="00C7556F" w:rsidRDefault="00C7556F" w:rsidP="00C7556F">
      <w:pPr>
        <w:pStyle w:val="5"/>
        <w:rPr>
          <w:rFonts w:ascii="Times New Roman" w:hAnsi="Times New Roman"/>
        </w:rPr>
      </w:pPr>
      <w:r w:rsidRPr="00C7556F">
        <w:rPr>
          <w:rFonts w:ascii="Times New Roman" w:hAnsi="Times New Roman"/>
        </w:rPr>
        <w:t>新竹市政府財政處</w:t>
      </w:r>
      <w:r w:rsidRPr="00C7556F">
        <w:rPr>
          <w:rFonts w:ascii="Times New Roman" w:hAnsi="Times New Roman"/>
        </w:rPr>
        <w:t>98</w:t>
      </w:r>
      <w:r w:rsidRPr="00C7556F">
        <w:rPr>
          <w:rFonts w:ascii="Times New Roman" w:hAnsi="Times New Roman"/>
        </w:rPr>
        <w:t>年</w:t>
      </w:r>
      <w:r w:rsidRPr="00C7556F">
        <w:rPr>
          <w:rFonts w:ascii="Times New Roman" w:hAnsi="Times New Roman"/>
        </w:rPr>
        <w:t>9</w:t>
      </w:r>
      <w:r w:rsidRPr="00C7556F">
        <w:rPr>
          <w:rFonts w:ascii="Times New Roman" w:hAnsi="Times New Roman"/>
        </w:rPr>
        <w:t>月</w:t>
      </w:r>
      <w:r w:rsidRPr="00C7556F">
        <w:rPr>
          <w:rFonts w:ascii="Times New Roman" w:hAnsi="Times New Roman"/>
        </w:rPr>
        <w:t>23</w:t>
      </w:r>
      <w:r w:rsidRPr="00C7556F">
        <w:rPr>
          <w:rFonts w:ascii="Times New Roman" w:hAnsi="Times New Roman"/>
        </w:rPr>
        <w:t>日綜簽</w:t>
      </w:r>
      <w:r w:rsidRPr="00C7556F">
        <w:rPr>
          <w:rFonts w:ascii="Times New Roman" w:eastAsia="新細明體" w:hAnsi="Times New Roman"/>
        </w:rPr>
        <w:t>，</w:t>
      </w:r>
      <w:r w:rsidRPr="00C7556F">
        <w:rPr>
          <w:rFonts w:ascii="Times New Roman" w:hAnsi="Times New Roman"/>
        </w:rPr>
        <w:t>有關擬向公益彩券盈餘分配基金調度</w:t>
      </w:r>
      <w:r w:rsidRPr="00C7556F">
        <w:rPr>
          <w:rFonts w:ascii="Times New Roman" w:hAnsi="Times New Roman"/>
        </w:rPr>
        <w:t>8</w:t>
      </w:r>
      <w:r w:rsidRPr="00C7556F">
        <w:rPr>
          <w:rFonts w:ascii="Times New Roman" w:hAnsi="Times New Roman"/>
        </w:rPr>
        <w:t>千萬元一案</w:t>
      </w:r>
      <w:r w:rsidRPr="00C7556F">
        <w:rPr>
          <w:rFonts w:ascii="Times New Roman" w:eastAsia="新細明體" w:hAnsi="Times New Roman"/>
        </w:rPr>
        <w:t>，</w:t>
      </w:r>
      <w:r w:rsidRPr="00C7556F">
        <w:rPr>
          <w:rFonts w:ascii="Times New Roman" w:hAnsi="Times New Roman"/>
        </w:rPr>
        <w:t>經該府社會處簽略以：「如奉核調度</w:t>
      </w:r>
      <w:r w:rsidRPr="00C7556F">
        <w:rPr>
          <w:rFonts w:ascii="Times New Roman" w:eastAsia="新細明體" w:hAnsi="Times New Roman"/>
        </w:rPr>
        <w:t>，</w:t>
      </w:r>
      <w:r w:rsidRPr="00C7556F">
        <w:rPr>
          <w:rFonts w:ascii="Times New Roman" w:hAnsi="Times New Roman"/>
        </w:rPr>
        <w:t>請於</w:t>
      </w:r>
      <w:r w:rsidRPr="00C7556F">
        <w:rPr>
          <w:rFonts w:ascii="Times New Roman" w:hAnsi="Times New Roman"/>
        </w:rPr>
        <w:t>10</w:t>
      </w:r>
      <w:r w:rsidRPr="00C7556F">
        <w:rPr>
          <w:rFonts w:ascii="Times New Roman" w:hAnsi="Times New Roman"/>
        </w:rPr>
        <w:t>月起每月償還</w:t>
      </w:r>
      <w:r w:rsidRPr="00C7556F">
        <w:rPr>
          <w:rFonts w:ascii="Times New Roman" w:hAnsi="Times New Roman"/>
        </w:rPr>
        <w:t>3</w:t>
      </w:r>
      <w:r w:rsidRPr="00C7556F">
        <w:rPr>
          <w:rFonts w:ascii="Times New Roman" w:hAnsi="Times New Roman"/>
        </w:rPr>
        <w:t>千萬元」等語；另該府財政處</w:t>
      </w:r>
      <w:r w:rsidRPr="00C7556F">
        <w:rPr>
          <w:rFonts w:ascii="Times New Roman" w:hAnsi="Times New Roman"/>
        </w:rPr>
        <w:t>98</w:t>
      </w:r>
      <w:r w:rsidRPr="00C7556F">
        <w:rPr>
          <w:rFonts w:ascii="Times New Roman" w:hAnsi="Times New Roman"/>
        </w:rPr>
        <w:t>年</w:t>
      </w:r>
      <w:r w:rsidRPr="00C7556F">
        <w:rPr>
          <w:rFonts w:ascii="Times New Roman" w:hAnsi="Times New Roman"/>
        </w:rPr>
        <w:t>10</w:t>
      </w:r>
      <w:r w:rsidRPr="00C7556F">
        <w:rPr>
          <w:rFonts w:ascii="Times New Roman" w:hAnsi="Times New Roman"/>
        </w:rPr>
        <w:t>月</w:t>
      </w:r>
      <w:r w:rsidRPr="00C7556F">
        <w:rPr>
          <w:rFonts w:ascii="Times New Roman" w:hAnsi="Times New Roman"/>
        </w:rPr>
        <w:t>22</w:t>
      </w:r>
      <w:r w:rsidRPr="00C7556F">
        <w:rPr>
          <w:rFonts w:ascii="Times New Roman" w:hAnsi="Times New Roman"/>
        </w:rPr>
        <w:t>日綜簽</w:t>
      </w:r>
      <w:r w:rsidRPr="00C7556F">
        <w:rPr>
          <w:rFonts w:ascii="Times New Roman" w:eastAsia="新細明體" w:hAnsi="Times New Roman"/>
        </w:rPr>
        <w:t>，</w:t>
      </w:r>
      <w:r w:rsidRPr="00C7556F">
        <w:rPr>
          <w:rFonts w:ascii="Times New Roman" w:hAnsi="Times New Roman"/>
        </w:rPr>
        <w:t>有關擬向公益彩券盈餘分配基金調度</w:t>
      </w:r>
      <w:r w:rsidRPr="00C7556F">
        <w:rPr>
          <w:rFonts w:ascii="Times New Roman" w:hAnsi="Times New Roman"/>
        </w:rPr>
        <w:t>6</w:t>
      </w:r>
      <w:r w:rsidRPr="00C7556F">
        <w:rPr>
          <w:rFonts w:ascii="Times New Roman" w:hAnsi="Times New Roman"/>
        </w:rPr>
        <w:t>千萬元一案</w:t>
      </w:r>
      <w:r w:rsidRPr="00C7556F">
        <w:rPr>
          <w:rFonts w:ascii="Times New Roman" w:eastAsia="新細明體" w:hAnsi="Times New Roman"/>
        </w:rPr>
        <w:t>，</w:t>
      </w:r>
      <w:r w:rsidRPr="00C7556F">
        <w:rPr>
          <w:rFonts w:ascii="Times New Roman" w:hAnsi="Times New Roman"/>
        </w:rPr>
        <w:t>經社會處簽略以</w:t>
      </w:r>
      <w:r w:rsidRPr="00C7556F">
        <w:rPr>
          <w:rFonts w:ascii="Times New Roman" w:eastAsia="新細明體" w:hAnsi="Times New Roman"/>
        </w:rPr>
        <w:t>：</w:t>
      </w:r>
      <w:r w:rsidRPr="00C7556F">
        <w:rPr>
          <w:rFonts w:ascii="Times New Roman" w:hAnsi="Times New Roman"/>
        </w:rPr>
        <w:t>「如奉核調度，請於</w:t>
      </w:r>
      <w:r w:rsidRPr="00C7556F">
        <w:rPr>
          <w:rFonts w:ascii="Times New Roman" w:hAnsi="Times New Roman"/>
        </w:rPr>
        <w:t>11</w:t>
      </w:r>
      <w:r w:rsidRPr="00C7556F">
        <w:rPr>
          <w:rFonts w:ascii="Times New Roman" w:hAnsi="Times New Roman"/>
        </w:rPr>
        <w:t>月</w:t>
      </w:r>
      <w:r w:rsidRPr="00C7556F">
        <w:rPr>
          <w:rFonts w:ascii="Times New Roman" w:hAnsi="Times New Roman"/>
        </w:rPr>
        <w:t>20</w:t>
      </w:r>
      <w:r w:rsidRPr="00C7556F">
        <w:rPr>
          <w:rFonts w:ascii="Times New Roman" w:hAnsi="Times New Roman"/>
        </w:rPr>
        <w:t>日前償還</w:t>
      </w:r>
      <w:r w:rsidRPr="00C7556F">
        <w:rPr>
          <w:rFonts w:ascii="Times New Roman" w:hAnsi="Times New Roman"/>
        </w:rPr>
        <w:t>6</w:t>
      </w:r>
      <w:r w:rsidRPr="00C7556F">
        <w:rPr>
          <w:rFonts w:ascii="Times New Roman" w:hAnsi="Times New Roman"/>
        </w:rPr>
        <w:t>千萬元」等語。惟據審計部查復結果顯示，該府於</w:t>
      </w:r>
      <w:r w:rsidRPr="00C7556F">
        <w:rPr>
          <w:rFonts w:ascii="Times New Roman" w:hAnsi="Times New Roman"/>
        </w:rPr>
        <w:t>98</w:t>
      </w:r>
      <w:r w:rsidRPr="00C7556F">
        <w:rPr>
          <w:rFonts w:ascii="Times New Roman" w:hAnsi="Times New Roman"/>
        </w:rPr>
        <w:t>年</w:t>
      </w:r>
      <w:r w:rsidRPr="00C7556F">
        <w:rPr>
          <w:rFonts w:ascii="Times New Roman" w:hAnsi="Times New Roman"/>
        </w:rPr>
        <w:t>10</w:t>
      </w:r>
      <w:r w:rsidRPr="00C7556F">
        <w:rPr>
          <w:rFonts w:ascii="Times New Roman" w:hAnsi="Times New Roman"/>
        </w:rPr>
        <w:t>月</w:t>
      </w:r>
      <w:r w:rsidRPr="00C7556F">
        <w:rPr>
          <w:rFonts w:ascii="Times New Roman" w:hAnsi="Times New Roman"/>
        </w:rPr>
        <w:t>2</w:t>
      </w:r>
      <w:r w:rsidRPr="00C7556F">
        <w:rPr>
          <w:rFonts w:ascii="Times New Roman" w:hAnsi="Times New Roman"/>
        </w:rPr>
        <w:t>日及</w:t>
      </w:r>
      <w:r w:rsidRPr="00C7556F">
        <w:rPr>
          <w:rFonts w:ascii="Times New Roman" w:hAnsi="Times New Roman"/>
        </w:rPr>
        <w:t>11</w:t>
      </w:r>
      <w:r w:rsidRPr="00C7556F">
        <w:rPr>
          <w:rFonts w:ascii="Times New Roman" w:hAnsi="Times New Roman"/>
        </w:rPr>
        <w:t>月</w:t>
      </w:r>
      <w:r w:rsidRPr="00C7556F">
        <w:rPr>
          <w:rFonts w:ascii="Times New Roman" w:hAnsi="Times New Roman"/>
        </w:rPr>
        <w:t>9</w:t>
      </w:r>
      <w:r w:rsidRPr="00C7556F">
        <w:rPr>
          <w:rFonts w:ascii="Times New Roman" w:hAnsi="Times New Roman"/>
        </w:rPr>
        <w:t>日分別償還基金</w:t>
      </w:r>
      <w:r w:rsidRPr="00C7556F">
        <w:rPr>
          <w:rFonts w:ascii="Times New Roman" w:hAnsi="Times New Roman"/>
        </w:rPr>
        <w:t>6</w:t>
      </w:r>
      <w:r w:rsidRPr="00C7556F">
        <w:rPr>
          <w:rFonts w:ascii="Times New Roman" w:hAnsi="Times New Roman"/>
        </w:rPr>
        <w:t>千萬元後，餘款</w:t>
      </w:r>
      <w:r w:rsidRPr="00C7556F">
        <w:rPr>
          <w:rFonts w:ascii="Times New Roman" w:hAnsi="Times New Roman"/>
        </w:rPr>
        <w:t>2</w:t>
      </w:r>
      <w:r w:rsidRPr="00C7556F">
        <w:rPr>
          <w:rFonts w:ascii="Times New Roman" w:hAnsi="Times New Roman"/>
        </w:rPr>
        <w:t>千萬元</w:t>
      </w:r>
      <w:r w:rsidRPr="00C7556F">
        <w:rPr>
          <w:rFonts w:ascii="Times New Roman" w:hAnsi="Times New Roman"/>
        </w:rPr>
        <w:t>(</w:t>
      </w:r>
      <w:r w:rsidRPr="00C7556F">
        <w:rPr>
          <w:rFonts w:ascii="Times New Roman" w:hAnsi="Times New Roman"/>
        </w:rPr>
        <w:t>併同</w:t>
      </w:r>
      <w:r w:rsidRPr="00C7556F">
        <w:rPr>
          <w:rFonts w:ascii="Times New Roman" w:hAnsi="Times New Roman"/>
        </w:rPr>
        <w:t>98</w:t>
      </w:r>
      <w:r w:rsidRPr="00C7556F">
        <w:rPr>
          <w:rFonts w:ascii="Times New Roman" w:hAnsi="Times New Roman"/>
        </w:rPr>
        <w:t>年</w:t>
      </w:r>
      <w:r w:rsidRPr="00C7556F">
        <w:rPr>
          <w:rFonts w:ascii="Times New Roman" w:hAnsi="Times New Roman"/>
        </w:rPr>
        <w:t>1</w:t>
      </w:r>
      <w:r w:rsidRPr="00C7556F">
        <w:rPr>
          <w:rFonts w:ascii="Times New Roman" w:hAnsi="Times New Roman"/>
        </w:rPr>
        <w:t>月</w:t>
      </w:r>
      <w:r w:rsidRPr="00C7556F">
        <w:rPr>
          <w:rFonts w:ascii="Times New Roman" w:hAnsi="Times New Roman"/>
        </w:rPr>
        <w:t>5</w:t>
      </w:r>
      <w:r w:rsidRPr="00C7556F">
        <w:rPr>
          <w:rFonts w:ascii="Times New Roman" w:hAnsi="Times New Roman"/>
        </w:rPr>
        <w:t>日調借之</w:t>
      </w:r>
      <w:r w:rsidRPr="00C7556F">
        <w:rPr>
          <w:rFonts w:ascii="Times New Roman" w:hAnsi="Times New Roman"/>
        </w:rPr>
        <w:t>2</w:t>
      </w:r>
      <w:r w:rsidRPr="00C7556F">
        <w:rPr>
          <w:rFonts w:ascii="Times New Roman" w:hAnsi="Times New Roman"/>
        </w:rPr>
        <w:t>億元，請詳表</w:t>
      </w:r>
      <w:r w:rsidRPr="00C7556F">
        <w:rPr>
          <w:rFonts w:ascii="Times New Roman" w:hAnsi="Times New Roman"/>
        </w:rPr>
        <w:t>2)</w:t>
      </w:r>
      <w:r w:rsidRPr="00C7556F">
        <w:rPr>
          <w:rFonts w:ascii="Times New Roman" w:hAnsi="Times New Roman"/>
        </w:rPr>
        <w:t>迄</w:t>
      </w:r>
      <w:r w:rsidRPr="00C7556F">
        <w:rPr>
          <w:rFonts w:ascii="Times New Roman" w:hAnsi="Times New Roman"/>
        </w:rPr>
        <w:t>102</w:t>
      </w:r>
      <w:r w:rsidRPr="00C7556F">
        <w:rPr>
          <w:rFonts w:ascii="Times New Roman" w:hAnsi="Times New Roman"/>
        </w:rPr>
        <w:t>年</w:t>
      </w:r>
      <w:r w:rsidRPr="00C7556F">
        <w:rPr>
          <w:rFonts w:ascii="Times New Roman" w:hAnsi="Times New Roman"/>
        </w:rPr>
        <w:t>1</w:t>
      </w:r>
      <w:r w:rsidRPr="00C7556F">
        <w:rPr>
          <w:rFonts w:ascii="Times New Roman" w:hAnsi="Times New Roman"/>
        </w:rPr>
        <w:t>月</w:t>
      </w:r>
      <w:r w:rsidRPr="00C7556F">
        <w:rPr>
          <w:rFonts w:ascii="Times New Roman" w:hAnsi="Times New Roman"/>
        </w:rPr>
        <w:t>3</w:t>
      </w:r>
      <w:r w:rsidRPr="00C7556F">
        <w:rPr>
          <w:rFonts w:ascii="Times New Roman" w:hAnsi="Times New Roman"/>
        </w:rPr>
        <w:t>日始償還，並未確實如期償還調度自公益彩券盈餘分配基金之款項，顯有未當。</w:t>
      </w:r>
    </w:p>
    <w:p w:rsidR="00C7556F" w:rsidRPr="00C7556F" w:rsidRDefault="00C7556F" w:rsidP="00C7556F">
      <w:pPr>
        <w:pStyle w:val="3"/>
        <w:numPr>
          <w:ilvl w:val="2"/>
          <w:numId w:val="9"/>
        </w:numPr>
        <w:rPr>
          <w:rFonts w:ascii="Times New Roman" w:hAnsi="Times New Roman"/>
          <w:spacing w:val="-2"/>
        </w:rPr>
      </w:pPr>
      <w:bookmarkStart w:id="77" w:name="_Toc507518453"/>
      <w:bookmarkStart w:id="78" w:name="_Toc507491505"/>
      <w:bookmarkStart w:id="79" w:name="_Toc507484681"/>
      <w:bookmarkStart w:id="80" w:name="_Toc507403560"/>
      <w:bookmarkStart w:id="81" w:name="_Toc507359624"/>
      <w:bookmarkStart w:id="82" w:name="_Toc507168683"/>
      <w:bookmarkStart w:id="83" w:name="_Toc507163480"/>
      <w:bookmarkStart w:id="84" w:name="_Toc507163228"/>
      <w:bookmarkStart w:id="85" w:name="_Toc507072987"/>
      <w:bookmarkStart w:id="86" w:name="_Toc507767529"/>
      <w:bookmarkStart w:id="87" w:name="_Toc507768255"/>
      <w:bookmarkStart w:id="88" w:name="_Toc511115241"/>
      <w:bookmarkStart w:id="89" w:name="_Toc511308032"/>
      <w:bookmarkStart w:id="90" w:name="_Toc511998474"/>
      <w:bookmarkStart w:id="91" w:name="_Toc512420831"/>
      <w:bookmarkEnd w:id="35"/>
      <w:bookmarkEnd w:id="36"/>
      <w:bookmarkEnd w:id="37"/>
      <w:bookmarkEnd w:id="38"/>
      <w:r w:rsidRPr="00C7556F">
        <w:rPr>
          <w:rFonts w:ascii="Times New Roman" w:hAnsi="Times New Roman"/>
          <w:spacing w:val="-2"/>
        </w:rPr>
        <w:t>再查，部分地方政府因財政困窘及資金調度困難，爰將公益彩券盈餘分配基金或專戶納入集中支付供縣市</w:t>
      </w:r>
      <w:r w:rsidRPr="00C7556F">
        <w:rPr>
          <w:rFonts w:ascii="Times New Roman" w:hAnsi="Times New Roman"/>
          <w:spacing w:val="-2"/>
        </w:rPr>
        <w:t>(</w:t>
      </w:r>
      <w:r w:rsidRPr="00C7556F">
        <w:rPr>
          <w:rFonts w:ascii="Times New Roman" w:hAnsi="Times New Roman"/>
          <w:spacing w:val="-2"/>
        </w:rPr>
        <w:t>庫</w:t>
      </w:r>
      <w:r w:rsidRPr="00C7556F">
        <w:rPr>
          <w:rFonts w:ascii="Times New Roman" w:hAnsi="Times New Roman"/>
          <w:spacing w:val="-2"/>
        </w:rPr>
        <w:t>)</w:t>
      </w:r>
      <w:r w:rsidRPr="00C7556F">
        <w:rPr>
          <w:rFonts w:ascii="Times New Roman" w:hAnsi="Times New Roman"/>
          <w:spacing w:val="-2"/>
        </w:rPr>
        <w:t>資金統一調度使用，計有新北市、桃園市、</w:t>
      </w:r>
      <w:r w:rsidRPr="00C7556F">
        <w:rPr>
          <w:rFonts w:ascii="Times New Roman" w:hAnsi="Times New Roman"/>
        </w:rPr>
        <w:t>臺南市、基隆市、宜蘭縣、新竹市、彰化縣、嘉義縣、屏東縣、臺東縣、澎湖縣、連江縣等</w:t>
      </w:r>
      <w:r w:rsidRPr="00C7556F">
        <w:rPr>
          <w:rFonts w:ascii="Times New Roman" w:hAnsi="Times New Roman"/>
        </w:rPr>
        <w:t>12</w:t>
      </w:r>
      <w:r w:rsidRPr="00C7556F">
        <w:rPr>
          <w:rFonts w:ascii="Times New Roman" w:hAnsi="Times New Roman"/>
        </w:rPr>
        <w:t>市縣。其中除連江縣政府將大部分基金餘額予以定存</w:t>
      </w:r>
      <w:r w:rsidRPr="00C7556F">
        <w:rPr>
          <w:rFonts w:ascii="Times New Roman" w:hAnsi="Times New Roman"/>
        </w:rPr>
        <w:t>(</w:t>
      </w:r>
      <w:r w:rsidRPr="00C7556F">
        <w:rPr>
          <w:rFonts w:ascii="Times New Roman" w:hAnsi="Times New Roman"/>
        </w:rPr>
        <w:t>比重達</w:t>
      </w:r>
      <w:r w:rsidRPr="00C7556F">
        <w:rPr>
          <w:rFonts w:ascii="Times New Roman" w:hAnsi="Times New Roman"/>
        </w:rPr>
        <w:t>6</w:t>
      </w:r>
      <w:r w:rsidRPr="00C7556F">
        <w:rPr>
          <w:rFonts w:ascii="Times New Roman" w:hAnsi="Times New Roman"/>
        </w:rPr>
        <w:t>成以上</w:t>
      </w:r>
      <w:r w:rsidRPr="00C7556F">
        <w:rPr>
          <w:rFonts w:ascii="Times New Roman" w:hAnsi="Times New Roman"/>
        </w:rPr>
        <w:t>)</w:t>
      </w:r>
      <w:r w:rsidRPr="00C7556F">
        <w:rPr>
          <w:rFonts w:ascii="Times New Roman" w:hAnsi="Times New Roman"/>
          <w:spacing w:val="-2"/>
        </w:rPr>
        <w:t>以挹注基金收入外，其餘</w:t>
      </w:r>
      <w:r w:rsidRPr="00C7556F">
        <w:rPr>
          <w:rFonts w:ascii="Times New Roman" w:hAnsi="Times New Roman"/>
          <w:spacing w:val="-2"/>
        </w:rPr>
        <w:t>11</w:t>
      </w:r>
      <w:r w:rsidRPr="00C7556F">
        <w:rPr>
          <w:rFonts w:ascii="Times New Roman" w:hAnsi="Times New Roman"/>
          <w:spacing w:val="-2"/>
        </w:rPr>
        <w:t>市縣則將全數基金或專戶餘額供縣</w:t>
      </w:r>
      <w:r w:rsidRPr="00C7556F">
        <w:rPr>
          <w:rFonts w:ascii="Times New Roman" w:hAnsi="Times New Roman"/>
          <w:spacing w:val="-2"/>
        </w:rPr>
        <w:t>(</w:t>
      </w:r>
      <w:r w:rsidRPr="00C7556F">
        <w:rPr>
          <w:rFonts w:ascii="Times New Roman" w:hAnsi="Times New Roman"/>
          <w:spacing w:val="-2"/>
        </w:rPr>
        <w:t>市</w:t>
      </w:r>
      <w:r w:rsidRPr="00C7556F">
        <w:rPr>
          <w:rFonts w:ascii="Times New Roman" w:hAnsi="Times New Roman"/>
          <w:spacing w:val="-2"/>
        </w:rPr>
        <w:t>)</w:t>
      </w:r>
      <w:r w:rsidRPr="00C7556F">
        <w:rPr>
          <w:rFonts w:ascii="Times New Roman" w:hAnsi="Times New Roman"/>
          <w:spacing w:val="-2"/>
        </w:rPr>
        <w:t>庫資金統一調度使用。</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C7556F" w:rsidRPr="00C7556F" w:rsidRDefault="00C7556F" w:rsidP="00C7556F">
      <w:pPr>
        <w:pStyle w:val="3"/>
        <w:numPr>
          <w:ilvl w:val="2"/>
          <w:numId w:val="9"/>
        </w:numPr>
        <w:kinsoku w:val="0"/>
        <w:ind w:left="1360" w:hanging="680"/>
        <w:rPr>
          <w:rFonts w:ascii="Times New Roman" w:hAnsi="Times New Roman"/>
          <w:szCs w:val="32"/>
        </w:rPr>
      </w:pPr>
      <w:bookmarkStart w:id="92" w:name="_Toc507518454"/>
      <w:bookmarkStart w:id="93" w:name="_Toc507491506"/>
      <w:bookmarkStart w:id="94" w:name="_Toc507484682"/>
      <w:bookmarkStart w:id="95" w:name="_Toc507403561"/>
      <w:bookmarkStart w:id="96" w:name="_Toc507359625"/>
      <w:bookmarkStart w:id="97" w:name="_Toc507168684"/>
      <w:bookmarkStart w:id="98" w:name="_Toc507163481"/>
      <w:bookmarkStart w:id="99" w:name="_Toc507163229"/>
      <w:bookmarkStart w:id="100" w:name="_Toc507072988"/>
      <w:bookmarkStart w:id="101" w:name="_Toc507767530"/>
      <w:bookmarkStart w:id="102" w:name="_Toc507768256"/>
      <w:bookmarkStart w:id="103" w:name="_Toc511308033"/>
      <w:bookmarkStart w:id="104" w:name="_Toc511998475"/>
      <w:bookmarkStart w:id="105" w:name="_Toc512420832"/>
      <w:bookmarkStart w:id="106" w:name="_Toc507518455"/>
      <w:bookmarkStart w:id="107" w:name="_Toc507491507"/>
      <w:bookmarkStart w:id="108" w:name="_Toc507484683"/>
      <w:bookmarkStart w:id="109" w:name="_Toc507403562"/>
      <w:bookmarkStart w:id="110" w:name="_Toc507359626"/>
      <w:bookmarkStart w:id="111" w:name="_Toc507767531"/>
      <w:bookmarkStart w:id="112" w:name="_Toc507768257"/>
      <w:bookmarkStart w:id="113" w:name="_Toc511115243"/>
      <w:r w:rsidRPr="00C7556F">
        <w:rPr>
          <w:rFonts w:ascii="Times New Roman" w:hAnsi="Times New Roman"/>
          <w:spacing w:val="-2"/>
        </w:rPr>
        <w:t>公益彩券的發行具有公益目的，旨在經由民眾的購買，協助充實政府推動社會福利之財源，以促進社會福利之能量。財政部為其主管機關，應為購買彩券的人民負起監督公益彩券盈餘保管及運用之職責，惟針對前述地方政府向其公益彩券盈餘分配基金或專戶調度鉅額款項，以及將之納入集中支付等作法，究竟有無妨礙專戶設立之目的及基金實際支出運用？地方政府若因市庫透支及公共債務比率逾限而無法新增舉債時，調借或納入集中支付之舉措，有否妨礙地方政府獲配公益彩券盈餘運用之效能？調借額度與借期</w:t>
      </w:r>
      <w:r w:rsidRPr="00C7556F">
        <w:rPr>
          <w:rFonts w:ascii="Times New Roman" w:hAnsi="Times New Roman"/>
          <w:spacing w:val="-2"/>
          <w:szCs w:val="32"/>
        </w:rPr>
        <w:t>是否合理？當基金或專戶需用款項時能否確由公庫調節資金支應</w:t>
      </w:r>
      <w:r w:rsidRPr="00C7556F">
        <w:rPr>
          <w:rFonts w:ascii="Times New Roman" w:hAnsi="Times New Roman"/>
          <w:spacing w:val="-2"/>
        </w:rPr>
        <w:t>等情事，均攸關社會福利之正常推動及弱勢族群之及時照顧，財政部卻無相關監督查核機制，亦未納入歷次業務評鑑考核之範圍，而</w:t>
      </w:r>
      <w:r w:rsidRPr="00C7556F">
        <w:rPr>
          <w:rFonts w:ascii="Times New Roman" w:hAnsi="Times New Roman"/>
          <w:spacing w:val="-2"/>
        </w:rPr>
        <w:t>104</w:t>
      </w:r>
      <w:r w:rsidRPr="00C7556F">
        <w:rPr>
          <w:rFonts w:ascii="Times New Roman" w:hAnsi="Times New Roman"/>
          <w:spacing w:val="-2"/>
        </w:rPr>
        <w:t>年度考核指標，與周轉調度較為相關者，僅針對「專戶設立」考核「於公庫或代理公庫之行庫設立專戶儲存」</w:t>
      </w:r>
      <w:r w:rsidRPr="00C7556F">
        <w:rPr>
          <w:rFonts w:ascii="Times New Roman" w:hAnsi="Times New Roman"/>
          <w:spacing w:val="-2"/>
        </w:rPr>
        <w:t>1</w:t>
      </w:r>
      <w:r w:rsidRPr="00C7556F">
        <w:rPr>
          <w:rFonts w:ascii="Times New Roman" w:hAnsi="Times New Roman"/>
          <w:spacing w:val="-2"/>
        </w:rPr>
        <w:t>項</w:t>
      </w:r>
      <w:r w:rsidRPr="00C7556F">
        <w:rPr>
          <w:rFonts w:ascii="Times New Roman" w:hAnsi="Times New Roman"/>
          <w:spacing w:val="-2"/>
        </w:rPr>
        <w:t>(</w:t>
      </w:r>
      <w:r w:rsidRPr="00C7556F">
        <w:rPr>
          <w:rFonts w:ascii="Times New Roman" w:hAnsi="Times New Roman"/>
          <w:spacing w:val="-2"/>
        </w:rPr>
        <w:t>配分</w:t>
      </w:r>
      <w:r w:rsidRPr="00C7556F">
        <w:rPr>
          <w:rFonts w:ascii="Times New Roman" w:hAnsi="Times New Roman"/>
          <w:spacing w:val="-2"/>
        </w:rPr>
        <w:t>2</w:t>
      </w:r>
      <w:r w:rsidRPr="00C7556F">
        <w:rPr>
          <w:rFonts w:ascii="Times New Roman" w:hAnsi="Times New Roman"/>
          <w:spacing w:val="-2"/>
        </w:rPr>
        <w:t>分</w:t>
      </w:r>
      <w:r w:rsidRPr="00C7556F">
        <w:rPr>
          <w:rFonts w:ascii="Times New Roman" w:hAnsi="Times New Roman"/>
          <w:spacing w:val="-2"/>
        </w:rPr>
        <w:t>)</w:t>
      </w:r>
      <w:r w:rsidRPr="00C7556F">
        <w:rPr>
          <w:rFonts w:ascii="Times New Roman" w:hAnsi="Times New Roman"/>
          <w:spacing w:val="-2"/>
        </w:rPr>
        <w:t>；雖然</w:t>
      </w:r>
      <w:r w:rsidRPr="00C7556F">
        <w:rPr>
          <w:rFonts w:ascii="Times New Roman" w:hAnsi="Times New Roman"/>
          <w:spacing w:val="-2"/>
        </w:rPr>
        <w:t>105</w:t>
      </w:r>
      <w:r w:rsidRPr="00C7556F">
        <w:rPr>
          <w:rFonts w:ascii="Times New Roman" w:hAnsi="Times New Roman"/>
          <w:spacing w:val="-2"/>
        </w:rPr>
        <w:t>年度再新增「專戶餘額是否符合第</w:t>
      </w:r>
      <w:r w:rsidRPr="00C7556F">
        <w:rPr>
          <w:rFonts w:ascii="Times New Roman" w:hAnsi="Times New Roman"/>
          <w:spacing w:val="-2"/>
        </w:rPr>
        <w:t>4</w:t>
      </w:r>
      <w:r w:rsidRPr="00C7556F">
        <w:rPr>
          <w:rFonts w:ascii="Times New Roman" w:hAnsi="Times New Roman"/>
          <w:spacing w:val="-2"/>
        </w:rPr>
        <w:t>季季報表累計待運用數」</w:t>
      </w:r>
      <w:r w:rsidRPr="00C7556F">
        <w:rPr>
          <w:rFonts w:ascii="Times New Roman" w:hAnsi="Times New Roman"/>
          <w:spacing w:val="-2"/>
        </w:rPr>
        <w:t>1</w:t>
      </w:r>
      <w:r w:rsidRPr="00C7556F">
        <w:rPr>
          <w:rFonts w:ascii="Times New Roman" w:hAnsi="Times New Roman"/>
          <w:spacing w:val="-2"/>
        </w:rPr>
        <w:t>項</w:t>
      </w:r>
      <w:r w:rsidRPr="00C7556F">
        <w:rPr>
          <w:rFonts w:ascii="Times New Roman" w:hAnsi="Times New Roman"/>
          <w:spacing w:val="-2"/>
        </w:rPr>
        <w:t>(</w:t>
      </w:r>
      <w:r w:rsidRPr="00C7556F">
        <w:rPr>
          <w:rFonts w:ascii="Times New Roman" w:hAnsi="Times New Roman"/>
          <w:spacing w:val="-2"/>
        </w:rPr>
        <w:t>配分</w:t>
      </w:r>
      <w:r w:rsidRPr="00C7556F">
        <w:rPr>
          <w:rFonts w:ascii="Times New Roman" w:hAnsi="Times New Roman"/>
          <w:spacing w:val="-2"/>
        </w:rPr>
        <w:t>1</w:t>
      </w:r>
      <w:r w:rsidRPr="00C7556F">
        <w:rPr>
          <w:rFonts w:ascii="Times New Roman" w:hAnsi="Times New Roman"/>
          <w:spacing w:val="-2"/>
        </w:rPr>
        <w:t>分</w:t>
      </w:r>
      <w:r w:rsidRPr="00C7556F">
        <w:rPr>
          <w:rFonts w:ascii="Times New Roman" w:hAnsi="Times New Roman"/>
          <w:spacing w:val="-2"/>
        </w:rPr>
        <w:t>)</w:t>
      </w:r>
      <w:r w:rsidRPr="00C7556F">
        <w:rPr>
          <w:rFonts w:ascii="Times New Roman" w:hAnsi="Times New Roman"/>
          <w:spacing w:val="-2"/>
        </w:rPr>
        <w:t>：「符合，或不符合但經補充差異原因並提供佐證資料後，足資證明符合者：</w:t>
      </w:r>
      <w:r w:rsidRPr="00C7556F">
        <w:rPr>
          <w:rFonts w:ascii="Times New Roman" w:hAnsi="Times New Roman"/>
          <w:spacing w:val="-2"/>
        </w:rPr>
        <w:t>1</w:t>
      </w:r>
      <w:r w:rsidRPr="00C7556F">
        <w:rPr>
          <w:rFonts w:ascii="Times New Roman" w:hAnsi="Times New Roman"/>
          <w:spacing w:val="-2"/>
        </w:rPr>
        <w:t>分」，實質上對考核調度額度與期間是否妨礙專戶運作未能發揮導正不當調借之效果，此外，本院對此提出詢問，財政部僅憑地方政府函復結果，即回復略以：「公庫調度盈餘未妨礙其設立盈餘專戶之目的，亦無影響運作之情事」，且稱</w:t>
      </w:r>
      <w:r w:rsidRPr="00C7556F">
        <w:rPr>
          <w:rFonts w:ascii="Times New Roman" w:eastAsia="新細明體" w:hAnsi="Times New Roman"/>
          <w:spacing w:val="-2"/>
        </w:rPr>
        <w:t>：「</w:t>
      </w:r>
      <w:r w:rsidRPr="00C7556F">
        <w:rPr>
          <w:rFonts w:ascii="Times New Roman" w:hAnsi="Times New Roman"/>
          <w:spacing w:val="-2"/>
        </w:rPr>
        <w:t>依地方制度法規定，地方政府之財政收支、公庫款項融通調度管理，屬地方自治事項，且地方政府獲配彩券盈餘係地方政府自有社福財源，如未違反社福支出運用規範，本部原則尊重地方政府財政自主權責」、</w:t>
      </w:r>
      <w:r w:rsidRPr="00C7556F">
        <w:rPr>
          <w:rFonts w:ascii="Times New Roman" w:eastAsia="新細明體" w:hAnsi="Times New Roman"/>
          <w:spacing w:val="-2"/>
        </w:rPr>
        <w:t>「</w:t>
      </w:r>
      <w:r w:rsidRPr="00C7556F">
        <w:rPr>
          <w:rFonts w:ascii="Times New Roman" w:hAnsi="Times New Roman"/>
          <w:spacing w:val="-2"/>
          <w:szCs w:val="32"/>
        </w:rPr>
        <w:t>公益彩券分配款有無納入集中支付或調借，屬地方自治權責，無須</w:t>
      </w:r>
      <w:r w:rsidRPr="00C7556F">
        <w:rPr>
          <w:rFonts w:ascii="Times New Roman" w:hAnsi="Times New Roman"/>
          <w:spacing w:val="-2"/>
        </w:rPr>
        <w:t>提報本部」等語，顯見該部不僅缺乏具體監督查核作為，且態度消極，核有疏失</w:t>
      </w:r>
      <w:r w:rsidRPr="00C7556F">
        <w:rPr>
          <w:rFonts w:ascii="Times New Roman" w:hAnsi="Times New Roman"/>
        </w:rPr>
        <w:t>。</w:t>
      </w:r>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40606A" w:rsidRPr="001A22C8" w:rsidRDefault="00C7556F" w:rsidP="00C7556F">
      <w:pPr>
        <w:pStyle w:val="3"/>
      </w:pPr>
      <w:bookmarkStart w:id="114" w:name="_Toc507168685"/>
      <w:bookmarkStart w:id="115" w:name="_Toc507163482"/>
      <w:bookmarkStart w:id="116" w:name="_Toc507163230"/>
      <w:bookmarkStart w:id="117" w:name="_Toc507072989"/>
      <w:bookmarkStart w:id="118" w:name="_Toc511308034"/>
      <w:bookmarkStart w:id="119" w:name="_Toc511998476"/>
      <w:bookmarkStart w:id="120" w:name="_Toc512420833"/>
      <w:r w:rsidRPr="00C7556F">
        <w:rPr>
          <w:rFonts w:ascii="Times New Roman" w:hAnsi="Times New Roman"/>
          <w:szCs w:val="32"/>
        </w:rPr>
        <w:t>綜上，</w:t>
      </w:r>
      <w:bookmarkEnd w:id="114"/>
      <w:bookmarkEnd w:id="115"/>
      <w:bookmarkEnd w:id="116"/>
      <w:bookmarkEnd w:id="117"/>
      <w:r w:rsidRPr="00C7556F">
        <w:rPr>
          <w:rFonts w:ascii="Times New Roman" w:hAnsi="Times New Roman"/>
        </w:rPr>
        <w:t>各地方政府每年從財政部獲配之公益彩券盈餘，依法應專款專用於社會福利支出，以增進社會福祉，惟部分地方政府向其所設立之公益彩券盈餘分配基金或專戶調度鉅額款項，且非短期調借；在</w:t>
      </w:r>
      <w:r w:rsidRPr="00C7556F">
        <w:rPr>
          <w:rFonts w:ascii="Times New Roman" w:hAnsi="Times New Roman"/>
        </w:rPr>
        <w:t>101</w:t>
      </w:r>
      <w:r w:rsidRPr="00C7556F">
        <w:rPr>
          <w:rFonts w:ascii="Times New Roman" w:hAnsi="Times New Roman"/>
        </w:rPr>
        <w:t>至</w:t>
      </w:r>
      <w:r w:rsidRPr="00C7556F">
        <w:rPr>
          <w:rFonts w:ascii="Times New Roman" w:hAnsi="Times New Roman"/>
        </w:rPr>
        <w:t>105</w:t>
      </w:r>
      <w:r w:rsidRPr="00C7556F">
        <w:rPr>
          <w:rFonts w:ascii="Times New Roman" w:hAnsi="Times New Roman"/>
        </w:rPr>
        <w:t>年間計有</w:t>
      </w:r>
      <w:r w:rsidRPr="00C7556F">
        <w:rPr>
          <w:rFonts w:ascii="Times New Roman" w:hAnsi="Times New Roman"/>
        </w:rPr>
        <w:t>8</w:t>
      </w:r>
      <w:r w:rsidRPr="00C7556F">
        <w:rPr>
          <w:rFonts w:ascii="Times New Roman" w:hAnsi="Times New Roman"/>
        </w:rPr>
        <w:t>個地方政府曾向該基金或專戶調借，不但未提報各該管理委員會審議，且歷次對於調借有無妨礙該基金或專戶設立之目的，均乏相關評估資料，甚至部分地方政府核准調借鉅額之層級欠當，均有可議之處；而將該基金或專戶納入集中支付，供公庫統一調度運用的有</w:t>
      </w:r>
      <w:r w:rsidRPr="00C7556F">
        <w:rPr>
          <w:rFonts w:ascii="Times New Roman" w:hAnsi="Times New Roman"/>
        </w:rPr>
        <w:t>12</w:t>
      </w:r>
      <w:r w:rsidRPr="00C7556F">
        <w:rPr>
          <w:rFonts w:ascii="Times New Roman" w:hAnsi="Times New Roman"/>
        </w:rPr>
        <w:t>個地方政府。財政部自</w:t>
      </w:r>
      <w:r w:rsidRPr="00C7556F">
        <w:rPr>
          <w:rFonts w:ascii="Times New Roman" w:hAnsi="Times New Roman"/>
        </w:rPr>
        <w:t>88</w:t>
      </w:r>
      <w:r w:rsidRPr="00C7556F">
        <w:rPr>
          <w:rFonts w:ascii="Times New Roman" w:hAnsi="Times New Roman"/>
        </w:rPr>
        <w:t>年開辦公益彩券發行以來，對地方政府上述之作法，沒有相關查核監督機制，無法</w:t>
      </w:r>
      <w:r w:rsidRPr="00C7556F">
        <w:rPr>
          <w:rFonts w:ascii="Times New Roman" w:hAnsi="Times New Roman"/>
          <w:spacing w:val="-6"/>
        </w:rPr>
        <w:t>確保該基金或專戶的運用不受妨礙而影響其設立目的</w:t>
      </w:r>
      <w:r w:rsidRPr="00C7556F">
        <w:rPr>
          <w:rFonts w:ascii="Times New Roman" w:hAnsi="Times New Roman"/>
        </w:rPr>
        <w:t>，核有疏失。</w:t>
      </w:r>
      <w:bookmarkEnd w:id="106"/>
      <w:bookmarkEnd w:id="107"/>
      <w:bookmarkEnd w:id="108"/>
      <w:bookmarkEnd w:id="109"/>
      <w:bookmarkEnd w:id="110"/>
      <w:bookmarkEnd w:id="111"/>
      <w:bookmarkEnd w:id="112"/>
      <w:bookmarkEnd w:id="113"/>
      <w:bookmarkEnd w:id="118"/>
      <w:bookmarkEnd w:id="119"/>
      <w:bookmarkEnd w:id="120"/>
    </w:p>
    <w:p w:rsidR="0040606A" w:rsidRPr="008A7013" w:rsidRDefault="0040606A" w:rsidP="0040606A">
      <w:pPr>
        <w:pStyle w:val="2"/>
        <w:numPr>
          <w:ilvl w:val="1"/>
          <w:numId w:val="9"/>
        </w:numPr>
        <w:rPr>
          <w:b/>
        </w:rPr>
      </w:pPr>
      <w:bookmarkStart w:id="121" w:name="_Toc507518456"/>
      <w:bookmarkStart w:id="122" w:name="_Toc507767532"/>
      <w:bookmarkStart w:id="123" w:name="_Toc511115244"/>
      <w:bookmarkStart w:id="124" w:name="_Toc512420834"/>
      <w:r w:rsidRPr="008A7013">
        <w:rPr>
          <w:rFonts w:hint="eastAsia"/>
          <w:b/>
        </w:rPr>
        <w:t>各地方政府雖已依規定按季公開其公益彩券盈餘運用情形，惟公告資料中並未揭露調借相關資訊，以致外界無從得知地方政府向其所設公益彩券盈餘分配基金或專戶調度周轉之實情；</w:t>
      </w:r>
      <w:bookmarkEnd w:id="121"/>
      <w:bookmarkEnd w:id="122"/>
      <w:bookmarkEnd w:id="123"/>
      <w:r w:rsidRPr="008A7013">
        <w:rPr>
          <w:rFonts w:hint="eastAsia"/>
          <w:b/>
        </w:rPr>
        <w:t>而財政部網站雖有公告各級政府向其所設之各項基金或專戶調度周轉總額，惟前述資訊係按年公告各地方政府調借「總額」</w:t>
      </w:r>
      <w:r w:rsidRPr="008A7013">
        <w:rPr>
          <w:b/>
        </w:rPr>
        <w:t>，</w:t>
      </w:r>
      <w:r w:rsidRPr="008A7013">
        <w:rPr>
          <w:rFonts w:hint="eastAsia"/>
          <w:b/>
        </w:rPr>
        <w:t>並無地方政府</w:t>
      </w:r>
      <w:r w:rsidRPr="008A7013">
        <w:rPr>
          <w:b/>
        </w:rPr>
        <w:t>向所設「各項」基金</w:t>
      </w:r>
      <w:r w:rsidRPr="008A7013">
        <w:rPr>
          <w:rFonts w:hint="eastAsia"/>
          <w:b/>
        </w:rPr>
        <w:t>或專戶</w:t>
      </w:r>
      <w:r w:rsidRPr="008A7013">
        <w:rPr>
          <w:b/>
        </w:rPr>
        <w:t>之調借金額</w:t>
      </w:r>
      <w:r w:rsidRPr="008A7013">
        <w:rPr>
          <w:rFonts w:hint="eastAsia"/>
          <w:b/>
        </w:rPr>
        <w:t>，爰亦無從得知地方政府向所設公益彩券盈餘分配基金或專戶調度周轉之金額，難謂充分</w:t>
      </w:r>
      <w:r w:rsidR="008A7013">
        <w:rPr>
          <w:rFonts w:hint="eastAsia"/>
          <w:b/>
        </w:rPr>
        <w:t>揭露</w:t>
      </w:r>
      <w:r w:rsidRPr="008A7013">
        <w:rPr>
          <w:rFonts w:hint="eastAsia"/>
          <w:b/>
        </w:rPr>
        <w:t>，此皆不利公益彩券</w:t>
      </w:r>
      <w:r w:rsidR="006171DF">
        <w:rPr>
          <w:rFonts w:hint="eastAsia"/>
          <w:b/>
        </w:rPr>
        <w:t>盈餘</w:t>
      </w:r>
      <w:r w:rsidRPr="008A7013">
        <w:rPr>
          <w:rFonts w:hint="eastAsia"/>
          <w:b/>
        </w:rPr>
        <w:t>財務資訊之透明，亦對購買彩券之民眾響應公益的行動不夠尊重，財政部實應檢討改進。</w:t>
      </w:r>
      <w:bookmarkEnd w:id="124"/>
    </w:p>
    <w:p w:rsidR="0040606A" w:rsidRPr="00566ACC" w:rsidRDefault="0040606A" w:rsidP="0040606A">
      <w:pPr>
        <w:pStyle w:val="3"/>
        <w:numPr>
          <w:ilvl w:val="2"/>
          <w:numId w:val="9"/>
        </w:numPr>
        <w:rPr>
          <w:rFonts w:ascii="Times New Roman" w:hAnsi="Times New Roman"/>
        </w:rPr>
      </w:pPr>
      <w:bookmarkStart w:id="125" w:name="_Toc507767533"/>
      <w:bookmarkStart w:id="126" w:name="_Toc507768259"/>
      <w:bookmarkStart w:id="127" w:name="_Toc511115245"/>
      <w:bookmarkStart w:id="128" w:name="_Toc511308036"/>
      <w:bookmarkStart w:id="129" w:name="_Toc511998478"/>
      <w:bookmarkStart w:id="130" w:name="_Toc512420835"/>
      <w:bookmarkStart w:id="131" w:name="_Toc507518457"/>
      <w:r w:rsidRPr="00566ACC">
        <w:rPr>
          <w:rFonts w:ascii="Times New Roman" w:hAnsi="Times New Roman" w:hint="eastAsia"/>
        </w:rPr>
        <w:t>依據公益彩券發行條例第</w:t>
      </w:r>
      <w:r w:rsidRPr="00566ACC">
        <w:rPr>
          <w:rFonts w:ascii="Times New Roman" w:hAnsi="Times New Roman"/>
        </w:rPr>
        <w:t>6</w:t>
      </w:r>
      <w:r w:rsidRPr="00566ACC">
        <w:rPr>
          <w:rFonts w:ascii="Times New Roman" w:hAnsi="Times New Roman" w:hint="eastAsia"/>
        </w:rPr>
        <w:t>條第</w:t>
      </w:r>
      <w:r w:rsidRPr="00566ACC">
        <w:rPr>
          <w:rFonts w:ascii="Times New Roman" w:hAnsi="Times New Roman"/>
        </w:rPr>
        <w:t>4</w:t>
      </w:r>
      <w:r w:rsidRPr="00566ACC">
        <w:rPr>
          <w:rFonts w:ascii="Times New Roman" w:hAnsi="Times New Roman" w:hint="eastAsia"/>
        </w:rPr>
        <w:t>項規定：「各直轄市政府、縣</w:t>
      </w:r>
      <w:r w:rsidRPr="00566ACC">
        <w:rPr>
          <w:rFonts w:ascii="Times New Roman" w:hAnsi="Times New Roman"/>
        </w:rPr>
        <w:t>(</w:t>
      </w:r>
      <w:r w:rsidRPr="00566ACC">
        <w:rPr>
          <w:rFonts w:ascii="Times New Roman" w:hAnsi="Times New Roman" w:hint="eastAsia"/>
        </w:rPr>
        <w:t>市</w:t>
      </w:r>
      <w:r w:rsidRPr="00566ACC">
        <w:rPr>
          <w:rFonts w:ascii="Times New Roman" w:hAnsi="Times New Roman"/>
        </w:rPr>
        <w:t>)</w:t>
      </w:r>
      <w:r w:rsidRPr="00566ACC">
        <w:rPr>
          <w:rFonts w:ascii="Times New Roman" w:hAnsi="Times New Roman" w:hint="eastAsia"/>
        </w:rPr>
        <w:t>政府依第二項規定所得盈餘補助款，應依該項社會福利範圍專款專用，並按季公開運用情形。主管機關應定期以網際網路方式，公告彩券盈餘之運用情形；其公告及前項組成辦法，由主管機關擬訂，報請行政院核定。」</w:t>
      </w:r>
      <w:bookmarkEnd w:id="125"/>
      <w:bookmarkEnd w:id="126"/>
      <w:bookmarkEnd w:id="127"/>
      <w:bookmarkEnd w:id="128"/>
      <w:bookmarkEnd w:id="129"/>
      <w:bookmarkEnd w:id="130"/>
    </w:p>
    <w:p w:rsidR="0040606A" w:rsidRPr="006171DF" w:rsidRDefault="0040606A" w:rsidP="006171DF">
      <w:pPr>
        <w:pStyle w:val="3"/>
        <w:numPr>
          <w:ilvl w:val="2"/>
          <w:numId w:val="9"/>
        </w:numPr>
        <w:topLinePunct/>
        <w:ind w:left="1360" w:hanging="680"/>
        <w:rPr>
          <w:rFonts w:ascii="Times New Roman" w:hAnsi="Times New Roman"/>
          <w:spacing w:val="-2"/>
        </w:rPr>
      </w:pPr>
      <w:bookmarkStart w:id="132" w:name="_Toc507767534"/>
      <w:bookmarkStart w:id="133" w:name="_Toc507768260"/>
      <w:bookmarkStart w:id="134" w:name="_Toc511308037"/>
      <w:bookmarkStart w:id="135" w:name="_Toc511998479"/>
      <w:bookmarkStart w:id="136" w:name="_Toc512420836"/>
      <w:bookmarkStart w:id="137" w:name="_Toc511115247"/>
      <w:bookmarkStart w:id="138" w:name="_Toc507518458"/>
      <w:bookmarkStart w:id="139" w:name="_Toc507767535"/>
      <w:bookmarkStart w:id="140" w:name="_Toc507768261"/>
      <w:bookmarkEnd w:id="131"/>
      <w:r w:rsidRPr="006171DF">
        <w:rPr>
          <w:rFonts w:ascii="Times New Roman" w:hAnsi="Times New Roman" w:hint="eastAsia"/>
          <w:spacing w:val="-2"/>
        </w:rPr>
        <w:t>依上開規定，各地方政府應按季公開彩券盈餘之運用情形；主管機關亦應定期以網際網路方式，公告彩券盈餘之運用情形。經查</w:t>
      </w:r>
      <w:r w:rsidRPr="006171DF">
        <w:rPr>
          <w:rFonts w:ascii="Times New Roman" w:hAnsi="Times New Roman"/>
          <w:spacing w:val="-2"/>
        </w:rPr>
        <w:t>101</w:t>
      </w:r>
      <w:r w:rsidRPr="006171DF">
        <w:rPr>
          <w:rFonts w:ascii="Times New Roman" w:hAnsi="Times New Roman" w:hint="eastAsia"/>
          <w:spacing w:val="-2"/>
        </w:rPr>
        <w:t>年至</w:t>
      </w:r>
      <w:r w:rsidRPr="006171DF">
        <w:rPr>
          <w:rFonts w:ascii="Times New Roman" w:hAnsi="Times New Roman"/>
          <w:spacing w:val="-2"/>
        </w:rPr>
        <w:t>105</w:t>
      </w:r>
      <w:r w:rsidRPr="006171DF">
        <w:rPr>
          <w:rFonts w:ascii="Times New Roman" w:hAnsi="Times New Roman" w:hint="eastAsia"/>
          <w:spacing w:val="-2"/>
        </w:rPr>
        <w:t>年各地方政府雖均有依規定按時公告季報表</w:t>
      </w:r>
      <w:r w:rsidRPr="006171DF">
        <w:rPr>
          <w:rStyle w:val="aff1"/>
          <w:rFonts w:ascii="Times New Roman" w:hAnsi="Times New Roman"/>
          <w:spacing w:val="-2"/>
        </w:rPr>
        <w:footnoteReference w:id="9"/>
      </w:r>
      <w:r w:rsidRPr="006171DF">
        <w:rPr>
          <w:rFonts w:ascii="Times New Roman" w:hAnsi="Times New Roman" w:hint="eastAsia"/>
          <w:spacing w:val="-2"/>
        </w:rPr>
        <w:t>，財政部亦將各地方政府對於公益彩券盈餘之運用情形定期公告於該部國庫署網站，惟因法令明定</w:t>
      </w:r>
      <w:r w:rsidRPr="006171DF">
        <w:rPr>
          <w:rFonts w:hAnsi="標楷體" w:hint="eastAsia"/>
          <w:spacing w:val="-2"/>
        </w:rPr>
        <w:t>「</w:t>
      </w:r>
      <w:r w:rsidRPr="006171DF">
        <w:rPr>
          <w:rFonts w:ascii="Times New Roman" w:hAnsi="Times New Roman" w:hint="eastAsia"/>
          <w:spacing w:val="-2"/>
        </w:rPr>
        <w:t>運用情形</w:t>
      </w:r>
      <w:r w:rsidRPr="006171DF">
        <w:rPr>
          <w:rFonts w:hAnsi="標楷體" w:hint="eastAsia"/>
          <w:spacing w:val="-2"/>
        </w:rPr>
        <w:t>」應按季公開，所稱「</w:t>
      </w:r>
      <w:r w:rsidRPr="006171DF">
        <w:rPr>
          <w:rFonts w:ascii="Times New Roman" w:hAnsi="Times New Roman" w:hint="eastAsia"/>
          <w:spacing w:val="-2"/>
        </w:rPr>
        <w:t>運用情形</w:t>
      </w:r>
      <w:r w:rsidRPr="006171DF">
        <w:rPr>
          <w:rFonts w:hAnsi="標楷體" w:hint="eastAsia"/>
          <w:spacing w:val="-2"/>
        </w:rPr>
        <w:t>」並未能涵蓋調借及納入集中支付之資訊，爰</w:t>
      </w:r>
      <w:r w:rsidRPr="006171DF">
        <w:rPr>
          <w:rFonts w:ascii="Times New Roman" w:hAnsi="Times New Roman" w:hint="eastAsia"/>
          <w:spacing w:val="-2"/>
        </w:rPr>
        <w:t>前述統計報表皆未公告調借該基金及將該基金納入集中支付等相關資訊，以致社會各界無從得知</w:t>
      </w:r>
      <w:r w:rsidR="006171DF" w:rsidRPr="006171DF">
        <w:rPr>
          <w:rFonts w:ascii="Times New Roman" w:hAnsi="Times New Roman" w:hint="eastAsia"/>
          <w:spacing w:val="-2"/>
        </w:rPr>
        <w:t>有關</w:t>
      </w:r>
      <w:r w:rsidRPr="006171DF">
        <w:rPr>
          <w:rFonts w:ascii="Times New Roman" w:hAnsi="Times New Roman" w:hint="eastAsia"/>
          <w:spacing w:val="-2"/>
        </w:rPr>
        <w:t>各地方政府向其所設立之公益彩券盈餘分配基金或專戶調度之情形及周轉之金額。</w:t>
      </w:r>
      <w:bookmarkEnd w:id="132"/>
      <w:bookmarkEnd w:id="133"/>
      <w:bookmarkEnd w:id="134"/>
      <w:bookmarkEnd w:id="135"/>
      <w:bookmarkEnd w:id="136"/>
    </w:p>
    <w:p w:rsidR="0040606A" w:rsidRPr="008A7013" w:rsidRDefault="0040606A" w:rsidP="006171DF">
      <w:pPr>
        <w:pStyle w:val="3"/>
        <w:numPr>
          <w:ilvl w:val="2"/>
          <w:numId w:val="9"/>
        </w:numPr>
        <w:kinsoku w:val="0"/>
        <w:ind w:left="1360" w:hanging="680"/>
      </w:pPr>
      <w:bookmarkStart w:id="141" w:name="_Toc511308038"/>
      <w:bookmarkStart w:id="142" w:name="_Toc511998480"/>
      <w:bookmarkStart w:id="143" w:name="_Toc512420837"/>
      <w:r w:rsidRPr="006171DF">
        <w:rPr>
          <w:rFonts w:ascii="Times New Roman" w:hAnsi="Times New Roman" w:hint="eastAsia"/>
          <w:spacing w:val="-8"/>
        </w:rPr>
        <w:t>再查，本院</w:t>
      </w:r>
      <w:r w:rsidR="006171DF" w:rsidRPr="006171DF">
        <w:rPr>
          <w:rFonts w:ascii="Times New Roman" w:hAnsi="Times New Roman" w:hint="eastAsia"/>
          <w:spacing w:val="-8"/>
        </w:rPr>
        <w:t>以</w:t>
      </w:r>
      <w:r w:rsidRPr="006171DF">
        <w:rPr>
          <w:rFonts w:ascii="Times New Roman" w:hAnsi="Times New Roman" w:hint="eastAsia"/>
          <w:spacing w:val="-8"/>
        </w:rPr>
        <w:t>104</w:t>
      </w:r>
      <w:r w:rsidRPr="006171DF">
        <w:rPr>
          <w:rFonts w:ascii="Times New Roman" w:hAnsi="Times New Roman" w:hint="eastAsia"/>
          <w:spacing w:val="-8"/>
        </w:rPr>
        <w:t>年</w:t>
      </w:r>
      <w:r w:rsidRPr="006171DF">
        <w:rPr>
          <w:rFonts w:ascii="Times New Roman" w:hAnsi="Times New Roman" w:hint="eastAsia"/>
          <w:spacing w:val="-8"/>
        </w:rPr>
        <w:t>11</w:t>
      </w:r>
      <w:r w:rsidRPr="006171DF">
        <w:rPr>
          <w:rFonts w:ascii="Times New Roman" w:hAnsi="Times New Roman" w:hint="eastAsia"/>
          <w:spacing w:val="-8"/>
        </w:rPr>
        <w:t>月</w:t>
      </w:r>
      <w:r w:rsidRPr="006171DF">
        <w:rPr>
          <w:rFonts w:ascii="Times New Roman" w:hAnsi="Times New Roman" w:hint="eastAsia"/>
          <w:spacing w:val="-8"/>
        </w:rPr>
        <w:t>10</w:t>
      </w:r>
      <w:r w:rsidRPr="006171DF">
        <w:rPr>
          <w:rFonts w:ascii="Times New Roman" w:hAnsi="Times New Roman" w:hint="eastAsia"/>
          <w:spacing w:val="-8"/>
        </w:rPr>
        <w:t>日處台調參字第</w:t>
      </w:r>
      <w:r w:rsidRPr="006171DF">
        <w:rPr>
          <w:rFonts w:ascii="Times New Roman" w:hAnsi="Times New Roman" w:hint="eastAsia"/>
          <w:spacing w:val="-8"/>
        </w:rPr>
        <w:t>1040831791</w:t>
      </w:r>
      <w:r w:rsidRPr="008A7013">
        <w:rPr>
          <w:rFonts w:ascii="Times New Roman" w:hAnsi="Times New Roman" w:hint="eastAsia"/>
        </w:rPr>
        <w:t>號函詢財政部有關查核或監督地方政府調借公益彩券盈餘分配基金之機制，依該部</w:t>
      </w:r>
      <w:r w:rsidR="006171DF">
        <w:rPr>
          <w:rFonts w:ascii="Times New Roman" w:hAnsi="Times New Roman" w:hint="eastAsia"/>
        </w:rPr>
        <w:t>函復：</w:t>
      </w:r>
      <w:r w:rsidRPr="008A7013">
        <w:rPr>
          <w:rFonts w:ascii="Times New Roman" w:hAnsi="Times New Roman" w:hint="eastAsia"/>
        </w:rPr>
        <w:t>為強化政府債務資訊揭露，已依照公共債務法第</w:t>
      </w:r>
      <w:r w:rsidRPr="008A7013">
        <w:rPr>
          <w:rFonts w:ascii="Times New Roman" w:hAnsi="Times New Roman"/>
        </w:rPr>
        <w:t>5</w:t>
      </w:r>
      <w:r w:rsidRPr="008A7013">
        <w:rPr>
          <w:rFonts w:ascii="Times New Roman" w:hAnsi="Times New Roman" w:hint="eastAsia"/>
        </w:rPr>
        <w:t>條第</w:t>
      </w:r>
      <w:r w:rsidRPr="008A7013">
        <w:rPr>
          <w:rFonts w:ascii="Times New Roman" w:hAnsi="Times New Roman"/>
        </w:rPr>
        <w:t>5</w:t>
      </w:r>
      <w:r w:rsidRPr="008A7013">
        <w:rPr>
          <w:rFonts w:hint="eastAsia"/>
        </w:rPr>
        <w:t>項</w:t>
      </w:r>
      <w:r w:rsidRPr="008A7013">
        <w:rPr>
          <w:rFonts w:hAnsi="標楷體" w:hint="eastAsia"/>
        </w:rPr>
        <w:t>：「……各級政府向所設之『各項』基金調度周轉金額應充分揭露。」之規定</w:t>
      </w:r>
      <w:r w:rsidRPr="008A7013">
        <w:rPr>
          <w:rFonts w:ascii="Times New Roman" w:hAnsi="標楷體" w:cs="標楷體" w:hint="eastAsia"/>
          <w:szCs w:val="32"/>
        </w:rPr>
        <w:t>，定期彙編相關資訊</w:t>
      </w:r>
      <w:r w:rsidRPr="008A7013">
        <w:rPr>
          <w:rFonts w:hAnsi="標楷體" w:hint="eastAsia"/>
        </w:rPr>
        <w:t>，定期</w:t>
      </w:r>
      <w:r w:rsidRPr="008A7013">
        <w:rPr>
          <w:rFonts w:hint="eastAsia"/>
        </w:rPr>
        <w:t>將各地方政府</w:t>
      </w:r>
      <w:r w:rsidRPr="008A7013">
        <w:rPr>
          <w:rFonts w:hAnsi="標楷體" w:hint="eastAsia"/>
        </w:rPr>
        <w:t>向其所設之基金調度周轉金額，</w:t>
      </w:r>
      <w:r w:rsidRPr="008A7013">
        <w:rPr>
          <w:rFonts w:hint="eastAsia"/>
        </w:rPr>
        <w:t>公告於該部國庫署網站</w:t>
      </w:r>
      <w:r w:rsidR="006171DF">
        <w:rPr>
          <w:rFonts w:hint="eastAsia"/>
        </w:rPr>
        <w:t>等語</w:t>
      </w:r>
      <w:r w:rsidRPr="008A7013">
        <w:rPr>
          <w:rFonts w:hint="eastAsia"/>
        </w:rPr>
        <w:t>。惟查，前述資訊係按年公告各地方政府調借</w:t>
      </w:r>
      <w:r w:rsidRPr="008A7013">
        <w:rPr>
          <w:rFonts w:hAnsi="標楷體" w:hint="eastAsia"/>
        </w:rPr>
        <w:t>「</w:t>
      </w:r>
      <w:r w:rsidRPr="008A7013">
        <w:rPr>
          <w:rFonts w:hint="eastAsia"/>
        </w:rPr>
        <w:t>總額</w:t>
      </w:r>
      <w:r w:rsidRPr="008A7013">
        <w:rPr>
          <w:rFonts w:hAnsi="標楷體" w:hint="eastAsia"/>
        </w:rPr>
        <w:t>」</w:t>
      </w:r>
      <w:r w:rsidRPr="008A7013">
        <w:rPr>
          <w:rFonts w:ascii="Times New Roman" w:hAnsi="Times New Roman"/>
        </w:rPr>
        <w:t>(</w:t>
      </w:r>
      <w:r w:rsidRPr="008A7013">
        <w:rPr>
          <w:rFonts w:ascii="Times New Roman" w:hAnsi="Times New Roman"/>
        </w:rPr>
        <w:t>詳見下表</w:t>
      </w:r>
      <w:r w:rsidRPr="008A7013">
        <w:rPr>
          <w:rFonts w:ascii="Times New Roman" w:hAnsi="Times New Roman"/>
        </w:rPr>
        <w:t>4)</w:t>
      </w:r>
      <w:r w:rsidRPr="008A7013">
        <w:rPr>
          <w:rFonts w:ascii="Times New Roman" w:hAnsi="Times New Roman"/>
        </w:rPr>
        <w:t>，</w:t>
      </w:r>
      <w:r w:rsidRPr="008A7013">
        <w:rPr>
          <w:rFonts w:ascii="Times New Roman" w:hAnsi="Times New Roman" w:hint="eastAsia"/>
        </w:rPr>
        <w:t>並無地方</w:t>
      </w:r>
      <w:r w:rsidRPr="008A7013">
        <w:rPr>
          <w:rFonts w:ascii="Times New Roman" w:hAnsi="Times New Roman"/>
        </w:rPr>
        <w:t>政府向所設「各項」基金</w:t>
      </w:r>
      <w:r w:rsidRPr="008A7013">
        <w:rPr>
          <w:rFonts w:ascii="Times New Roman" w:hAnsi="Times New Roman" w:hint="eastAsia"/>
        </w:rPr>
        <w:t>或專戶</w:t>
      </w:r>
      <w:r w:rsidRPr="008A7013">
        <w:rPr>
          <w:rFonts w:ascii="Times New Roman" w:hAnsi="Times New Roman"/>
        </w:rPr>
        <w:t>之調借金額，</w:t>
      </w:r>
      <w:r w:rsidRPr="008A7013">
        <w:rPr>
          <w:rFonts w:ascii="Times New Roman" w:hAnsi="Times New Roman" w:hint="eastAsia"/>
        </w:rPr>
        <w:t>爰</w:t>
      </w:r>
      <w:r w:rsidRPr="008A7013">
        <w:rPr>
          <w:rFonts w:ascii="Times New Roman" w:hAnsi="Times New Roman"/>
        </w:rPr>
        <w:t>無從得知</w:t>
      </w:r>
      <w:r w:rsidRPr="008A7013">
        <w:rPr>
          <w:rFonts w:ascii="Times New Roman" w:hAnsi="Times New Roman" w:hint="eastAsia"/>
        </w:rPr>
        <w:t>各地方政府向</w:t>
      </w:r>
      <w:r w:rsidR="00512AA4">
        <w:rPr>
          <w:rFonts w:ascii="Times New Roman" w:hAnsi="Times New Roman" w:hint="eastAsia"/>
        </w:rPr>
        <w:t>其</w:t>
      </w:r>
      <w:r w:rsidRPr="008A7013">
        <w:rPr>
          <w:rFonts w:ascii="Times New Roman" w:hAnsi="Times New Roman" w:hint="eastAsia"/>
        </w:rPr>
        <w:t>所設公益彩券盈餘分配基金或專戶調度周轉之金額；</w:t>
      </w:r>
      <w:r w:rsidRPr="008A7013">
        <w:rPr>
          <w:rFonts w:ascii="Times New Roman" w:hAnsi="Times New Roman"/>
        </w:rPr>
        <w:t>而公告時間亦有落差</w:t>
      </w:r>
      <w:r w:rsidRPr="008A7013">
        <w:rPr>
          <w:rFonts w:ascii="Times New Roman" w:hAnsi="Times New Roman"/>
        </w:rPr>
        <w:t>(</w:t>
      </w:r>
      <w:r w:rsidRPr="008A7013">
        <w:rPr>
          <w:rFonts w:ascii="Times New Roman" w:hAnsi="Times New Roman"/>
        </w:rPr>
        <w:t>目前僅公告至</w:t>
      </w:r>
      <w:r w:rsidRPr="008A7013">
        <w:rPr>
          <w:rFonts w:ascii="Times New Roman" w:hAnsi="Times New Roman"/>
        </w:rPr>
        <w:t>105</w:t>
      </w:r>
      <w:r w:rsidRPr="008A7013">
        <w:rPr>
          <w:rFonts w:ascii="Times New Roman" w:hAnsi="Times New Roman"/>
        </w:rPr>
        <w:t>年度</w:t>
      </w:r>
      <w:r w:rsidRPr="008A7013">
        <w:rPr>
          <w:rStyle w:val="aff1"/>
          <w:rFonts w:ascii="Times New Roman" w:hAnsi="Times New Roman"/>
        </w:rPr>
        <w:footnoteReference w:id="10"/>
      </w:r>
      <w:r w:rsidRPr="008A7013">
        <w:rPr>
          <w:rFonts w:ascii="Times New Roman" w:hAnsi="Times New Roman"/>
        </w:rPr>
        <w:t>)</w:t>
      </w:r>
      <w:r w:rsidRPr="008A7013">
        <w:rPr>
          <w:rFonts w:ascii="Times New Roman" w:hAnsi="Times New Roman"/>
        </w:rPr>
        <w:t>。因此，</w:t>
      </w:r>
      <w:r w:rsidRPr="008A7013">
        <w:rPr>
          <w:rFonts w:ascii="Times New Roman" w:hAnsi="Times New Roman" w:hint="eastAsia"/>
        </w:rPr>
        <w:t>以當前上述之資訊公開與揭露機制而論，仍</w:t>
      </w:r>
      <w:r w:rsidRPr="008A7013">
        <w:rPr>
          <w:rFonts w:ascii="Times New Roman" w:hAnsi="Times New Roman"/>
        </w:rPr>
        <w:t>未能</w:t>
      </w:r>
      <w:r w:rsidRPr="008A7013">
        <w:rPr>
          <w:rFonts w:ascii="Times New Roman" w:hAnsi="Times New Roman" w:hint="eastAsia"/>
        </w:rPr>
        <w:t>就</w:t>
      </w:r>
      <w:r w:rsidRPr="008A7013">
        <w:rPr>
          <w:rFonts w:ascii="Times New Roman" w:hAnsi="Times New Roman"/>
        </w:rPr>
        <w:t>各地方政府調借</w:t>
      </w:r>
      <w:r w:rsidRPr="008A7013">
        <w:rPr>
          <w:rFonts w:ascii="Times New Roman" w:hAnsi="Times New Roman" w:hint="eastAsia"/>
        </w:rPr>
        <w:t>及將</w:t>
      </w:r>
      <w:r w:rsidR="00512AA4">
        <w:rPr>
          <w:rFonts w:ascii="Times New Roman" w:hAnsi="Times New Roman" w:hint="eastAsia"/>
        </w:rPr>
        <w:t>公益彩券</w:t>
      </w:r>
      <w:r w:rsidRPr="008A7013">
        <w:rPr>
          <w:rFonts w:ascii="Times New Roman" w:hAnsi="Times New Roman"/>
        </w:rPr>
        <w:t>盈餘分配基金</w:t>
      </w:r>
      <w:r w:rsidR="00512AA4">
        <w:rPr>
          <w:rFonts w:ascii="Times New Roman" w:hAnsi="Times New Roman" w:hint="eastAsia"/>
        </w:rPr>
        <w:t>或專戶</w:t>
      </w:r>
      <w:r w:rsidRPr="008A7013">
        <w:rPr>
          <w:rFonts w:ascii="Times New Roman" w:hAnsi="Times New Roman" w:hint="eastAsia"/>
        </w:rPr>
        <w:t>納入集中支付</w:t>
      </w:r>
      <w:r w:rsidRPr="008A7013">
        <w:rPr>
          <w:rFonts w:ascii="Times New Roman" w:hAnsi="Times New Roman"/>
        </w:rPr>
        <w:t>之情事</w:t>
      </w:r>
      <w:r w:rsidRPr="008A7013">
        <w:rPr>
          <w:rFonts w:ascii="Times New Roman" w:hAnsi="Times New Roman" w:hint="eastAsia"/>
        </w:rPr>
        <w:t>，予以</w:t>
      </w:r>
      <w:r w:rsidRPr="008A7013">
        <w:rPr>
          <w:rFonts w:ascii="Times New Roman" w:hAnsi="Times New Roman"/>
        </w:rPr>
        <w:t>及時</w:t>
      </w:r>
      <w:r w:rsidRPr="008A7013">
        <w:rPr>
          <w:rFonts w:ascii="Times New Roman" w:hAnsi="Times New Roman" w:hint="eastAsia"/>
        </w:rPr>
        <w:t>而</w:t>
      </w:r>
      <w:r w:rsidRPr="008A7013">
        <w:rPr>
          <w:rFonts w:ascii="Times New Roman" w:hAnsi="Times New Roman"/>
        </w:rPr>
        <w:t>充分</w:t>
      </w:r>
      <w:r w:rsidRPr="008A7013">
        <w:rPr>
          <w:rFonts w:ascii="Times New Roman" w:hAnsi="Times New Roman" w:hint="eastAsia"/>
        </w:rPr>
        <w:t>之</w:t>
      </w:r>
      <w:r w:rsidRPr="008A7013">
        <w:rPr>
          <w:rFonts w:ascii="Times New Roman" w:hAnsi="Times New Roman"/>
        </w:rPr>
        <w:t>揭露</w:t>
      </w:r>
      <w:r w:rsidRPr="008A7013">
        <w:rPr>
          <w:rFonts w:ascii="Times New Roman" w:hAnsi="Times New Roman" w:hint="eastAsia"/>
        </w:rPr>
        <w:t>與公開</w:t>
      </w:r>
      <w:r w:rsidRPr="008A7013">
        <w:rPr>
          <w:rFonts w:ascii="Times New Roman" w:hAnsi="Times New Roman"/>
        </w:rPr>
        <w:t>。</w:t>
      </w:r>
      <w:bookmarkEnd w:id="137"/>
      <w:bookmarkEnd w:id="141"/>
      <w:bookmarkEnd w:id="142"/>
      <w:bookmarkEnd w:id="143"/>
    </w:p>
    <w:p w:rsidR="0040606A" w:rsidRPr="008A7013" w:rsidRDefault="0040606A" w:rsidP="0040606A">
      <w:pPr>
        <w:pStyle w:val="3"/>
        <w:numPr>
          <w:ilvl w:val="2"/>
          <w:numId w:val="9"/>
        </w:numPr>
        <w:topLinePunct/>
        <w:ind w:left="1360" w:hanging="680"/>
        <w:rPr>
          <w:rFonts w:ascii="Times New Roman" w:hAnsi="Times New Roman"/>
        </w:rPr>
      </w:pPr>
      <w:bookmarkStart w:id="144" w:name="_Toc511115248"/>
      <w:bookmarkStart w:id="145" w:name="_Toc511308039"/>
      <w:bookmarkStart w:id="146" w:name="_Toc511998481"/>
      <w:bookmarkStart w:id="147" w:name="_Toc512420838"/>
      <w:r w:rsidRPr="008A7013">
        <w:rPr>
          <w:rFonts w:ascii="Times New Roman" w:hAnsi="Times New Roman"/>
        </w:rPr>
        <w:t>依據</w:t>
      </w:r>
      <w:r w:rsidRPr="008A7013">
        <w:rPr>
          <w:rFonts w:ascii="Times New Roman" w:hAnsi="Times New Roman" w:hint="eastAsia"/>
        </w:rPr>
        <w:t>財政部於</w:t>
      </w:r>
      <w:r w:rsidRPr="008A7013">
        <w:rPr>
          <w:rFonts w:ascii="Times New Roman" w:hAnsi="Times New Roman"/>
        </w:rPr>
        <w:t>本院</w:t>
      </w:r>
      <w:r w:rsidRPr="008A7013">
        <w:rPr>
          <w:rFonts w:ascii="Times New Roman" w:hAnsi="Times New Roman" w:hint="eastAsia"/>
        </w:rPr>
        <w:t>詢問時</w:t>
      </w:r>
      <w:r w:rsidRPr="008A7013">
        <w:rPr>
          <w:rFonts w:ascii="Times New Roman" w:hAnsi="Times New Roman"/>
        </w:rPr>
        <w:t>說明略以</w:t>
      </w:r>
      <w:r w:rsidRPr="008A7013">
        <w:rPr>
          <w:rFonts w:ascii="Times New Roman" w:hAnsi="Times New Roman" w:hint="eastAsia"/>
        </w:rPr>
        <w:t>：</w:t>
      </w:r>
      <w:r w:rsidRPr="008A7013">
        <w:rPr>
          <w:rFonts w:ascii="Times New Roman" w:hAnsi="Times New Roman"/>
        </w:rPr>
        <w:t>依公債法第</w:t>
      </w:r>
      <w:r w:rsidRPr="008A7013">
        <w:rPr>
          <w:rFonts w:ascii="Times New Roman" w:hAnsi="Times New Roman"/>
        </w:rPr>
        <w:t>5</w:t>
      </w:r>
      <w:r w:rsidRPr="008A7013">
        <w:rPr>
          <w:rFonts w:ascii="Times New Roman" w:hAnsi="Times New Roman"/>
        </w:rPr>
        <w:t>條第</w:t>
      </w:r>
      <w:r w:rsidRPr="008A7013">
        <w:rPr>
          <w:rFonts w:ascii="Times New Roman" w:hAnsi="Times New Roman"/>
        </w:rPr>
        <w:t>5</w:t>
      </w:r>
      <w:r w:rsidRPr="008A7013">
        <w:rPr>
          <w:rFonts w:ascii="Times New Roman" w:hAnsi="Times New Roman"/>
        </w:rPr>
        <w:t>項規定，定期公告各級政府向所設基金調度周轉金額，其揭露原則</w:t>
      </w:r>
      <w:r w:rsidR="00512AA4">
        <w:rPr>
          <w:rFonts w:ascii="Times New Roman" w:hAnsi="Times New Roman" w:hint="eastAsia"/>
        </w:rPr>
        <w:t>，</w:t>
      </w:r>
      <w:r w:rsidRPr="008A7013">
        <w:rPr>
          <w:rFonts w:ascii="Times New Roman" w:hAnsi="Times New Roman"/>
        </w:rPr>
        <w:t>該部</w:t>
      </w:r>
      <w:r w:rsidR="00512AA4">
        <w:rPr>
          <w:rFonts w:ascii="Times New Roman" w:hAnsi="Times New Roman" w:hint="eastAsia"/>
        </w:rPr>
        <w:t>於</w:t>
      </w:r>
      <w:r w:rsidRPr="008A7013">
        <w:rPr>
          <w:rFonts w:ascii="Times New Roman" w:hAnsi="Times New Roman"/>
        </w:rPr>
        <w:t>102</w:t>
      </w:r>
      <w:r w:rsidRPr="008A7013">
        <w:rPr>
          <w:rFonts w:ascii="Times New Roman" w:hAnsi="Times New Roman"/>
        </w:rPr>
        <w:t>年</w:t>
      </w:r>
      <w:r w:rsidRPr="008A7013">
        <w:rPr>
          <w:rFonts w:ascii="Times New Roman" w:hAnsi="Times New Roman"/>
        </w:rPr>
        <w:t>12</w:t>
      </w:r>
      <w:r w:rsidRPr="008A7013">
        <w:rPr>
          <w:rFonts w:ascii="Times New Roman" w:hAnsi="Times New Roman"/>
        </w:rPr>
        <w:t>月</w:t>
      </w:r>
      <w:r w:rsidRPr="008A7013">
        <w:rPr>
          <w:rFonts w:ascii="Times New Roman" w:hAnsi="Times New Roman"/>
        </w:rPr>
        <w:t>27</w:t>
      </w:r>
      <w:r w:rsidRPr="008A7013">
        <w:rPr>
          <w:rFonts w:ascii="Times New Roman" w:hAnsi="Times New Roman"/>
        </w:rPr>
        <w:t>日及</w:t>
      </w:r>
      <w:r w:rsidRPr="008A7013">
        <w:rPr>
          <w:rFonts w:ascii="Times New Roman" w:hAnsi="Times New Roman"/>
        </w:rPr>
        <w:t>103</w:t>
      </w:r>
      <w:r w:rsidRPr="008A7013">
        <w:rPr>
          <w:rFonts w:ascii="Times New Roman" w:hAnsi="Times New Roman"/>
        </w:rPr>
        <w:t>年</w:t>
      </w:r>
      <w:r w:rsidRPr="008A7013">
        <w:rPr>
          <w:rFonts w:ascii="Times New Roman" w:hAnsi="Times New Roman"/>
        </w:rPr>
        <w:t>4</w:t>
      </w:r>
      <w:r w:rsidRPr="008A7013">
        <w:rPr>
          <w:rFonts w:ascii="Times New Roman" w:hAnsi="Times New Roman"/>
        </w:rPr>
        <w:t>月</w:t>
      </w:r>
      <w:r w:rsidRPr="008A7013">
        <w:rPr>
          <w:rFonts w:ascii="Times New Roman" w:hAnsi="Times New Roman"/>
        </w:rPr>
        <w:t>7</w:t>
      </w:r>
      <w:r w:rsidRPr="008A7013">
        <w:rPr>
          <w:rFonts w:ascii="Times New Roman" w:hAnsi="Times New Roman"/>
        </w:rPr>
        <w:t>日邀集專家學者、相關中央部會及地方政府會商，基於節省人力及簡化行政作業考量，決議採「按年」公告各級政府調度周轉「總額」方式辦理；</w:t>
      </w:r>
      <w:r w:rsidRPr="008A7013">
        <w:rPr>
          <w:rFonts w:ascii="Times New Roman" w:hAnsi="Times New Roman"/>
        </w:rPr>
        <w:t>104</w:t>
      </w:r>
      <w:r w:rsidRPr="008A7013">
        <w:rPr>
          <w:rFonts w:ascii="Times New Roman" w:hAnsi="Times New Roman"/>
        </w:rPr>
        <w:t>年</w:t>
      </w:r>
      <w:r w:rsidRPr="008A7013">
        <w:rPr>
          <w:rFonts w:ascii="Times New Roman" w:hAnsi="Times New Roman"/>
        </w:rPr>
        <w:t>11</w:t>
      </w:r>
      <w:r w:rsidRPr="008A7013">
        <w:rPr>
          <w:rFonts w:ascii="Times New Roman" w:hAnsi="Times New Roman"/>
        </w:rPr>
        <w:t>月間該部再就上開揭露頻率洽詢地方政府意見，多數地方政府表示，考量向所設基金或專戶調度多屬短期資金周轉，倘提高公告頻率，恐易造成民眾對政府實際債務之誤解，爰維持按年公告做法</w:t>
      </w:r>
      <w:r w:rsidRPr="008A7013">
        <w:rPr>
          <w:rFonts w:ascii="Times New Roman" w:hAnsi="Times New Roman" w:hint="eastAsia"/>
        </w:rPr>
        <w:t>等語</w:t>
      </w:r>
      <w:r w:rsidRPr="008A7013">
        <w:rPr>
          <w:rFonts w:ascii="Times New Roman" w:hAnsi="Times New Roman"/>
        </w:rPr>
        <w:t>。</w:t>
      </w:r>
      <w:r w:rsidRPr="008A7013">
        <w:rPr>
          <w:rFonts w:ascii="Times New Roman" w:hAnsi="Times New Roman" w:hint="eastAsia"/>
        </w:rPr>
        <w:t>惟</w:t>
      </w:r>
      <w:r w:rsidRPr="008A7013">
        <w:rPr>
          <w:rFonts w:ascii="Times New Roman" w:hAnsi="Times New Roman"/>
        </w:rPr>
        <w:t>經向</w:t>
      </w:r>
      <w:r w:rsidRPr="008A7013">
        <w:rPr>
          <w:rFonts w:ascii="Times New Roman" w:hAnsi="Times New Roman" w:hint="eastAsia"/>
        </w:rPr>
        <w:t>該部</w:t>
      </w:r>
      <w:r w:rsidRPr="008A7013">
        <w:rPr>
          <w:rFonts w:ascii="Times New Roman" w:hAnsi="Times New Roman"/>
        </w:rPr>
        <w:t>調閱上開會議紀錄資料</w:t>
      </w:r>
      <w:r w:rsidRPr="008A7013">
        <w:rPr>
          <w:rFonts w:ascii="Times New Roman" w:hAnsi="Times New Roman" w:hint="eastAsia"/>
        </w:rPr>
        <w:t>，兩次會議皆無提及「以總額方式揭露」之相關決議，其決議內容如下：</w:t>
      </w:r>
      <w:bookmarkEnd w:id="144"/>
      <w:bookmarkEnd w:id="145"/>
      <w:bookmarkEnd w:id="146"/>
      <w:bookmarkEnd w:id="147"/>
    </w:p>
    <w:p w:rsidR="0040606A" w:rsidRPr="008A7013" w:rsidRDefault="0040606A" w:rsidP="0040606A">
      <w:pPr>
        <w:pStyle w:val="4"/>
        <w:numPr>
          <w:ilvl w:val="3"/>
          <w:numId w:val="9"/>
        </w:numPr>
        <w:kinsoku w:val="0"/>
      </w:pPr>
      <w:r w:rsidRPr="008A7013">
        <w:rPr>
          <w:rFonts w:ascii="Times New Roman" w:hAnsi="Times New Roman"/>
        </w:rPr>
        <w:t>102</w:t>
      </w:r>
      <w:r w:rsidRPr="008A7013">
        <w:rPr>
          <w:rFonts w:ascii="Times New Roman" w:hAnsi="Times New Roman"/>
        </w:rPr>
        <w:t>年</w:t>
      </w:r>
      <w:r w:rsidRPr="008A7013">
        <w:rPr>
          <w:rFonts w:ascii="Times New Roman" w:hAnsi="Times New Roman"/>
        </w:rPr>
        <w:t>12</w:t>
      </w:r>
      <w:r w:rsidRPr="008A7013">
        <w:rPr>
          <w:rFonts w:ascii="Times New Roman" w:hAnsi="Times New Roman"/>
        </w:rPr>
        <w:t>月</w:t>
      </w:r>
      <w:r w:rsidRPr="008A7013">
        <w:rPr>
          <w:rFonts w:ascii="Times New Roman" w:hAnsi="Times New Roman"/>
        </w:rPr>
        <w:t>27</w:t>
      </w:r>
      <w:r w:rsidRPr="008A7013">
        <w:rPr>
          <w:rFonts w:ascii="Times New Roman" w:hAnsi="Times New Roman"/>
        </w:rPr>
        <w:t>日研商「依據國際組織標準揭露各級政府債務及向各項基金調度周轉金額作業相關事宜」會議決議載述</w:t>
      </w:r>
      <w:r w:rsidRPr="008A7013">
        <w:rPr>
          <w:rFonts w:ascii="Times New Roman" w:hAnsi="Times New Roman" w:hint="eastAsia"/>
        </w:rPr>
        <w:t>略以</w:t>
      </w:r>
      <w:r w:rsidRPr="008A7013">
        <w:rPr>
          <w:rFonts w:ascii="Times New Roman" w:hAnsi="Times New Roman"/>
        </w:rPr>
        <w:t>：為簡省人力及簡化行政作業，債務統計公告採按年公告方式辦理。</w:t>
      </w:r>
    </w:p>
    <w:p w:rsidR="0040606A" w:rsidRPr="008A7013" w:rsidRDefault="0040606A" w:rsidP="0040606A">
      <w:pPr>
        <w:pStyle w:val="4"/>
        <w:numPr>
          <w:ilvl w:val="3"/>
          <w:numId w:val="9"/>
        </w:numPr>
        <w:kinsoku w:val="0"/>
      </w:pPr>
      <w:r w:rsidRPr="008A7013">
        <w:rPr>
          <w:rFonts w:ascii="Times New Roman" w:hAnsi="Times New Roman"/>
        </w:rPr>
        <w:t>103</w:t>
      </w:r>
      <w:r w:rsidRPr="008A7013">
        <w:rPr>
          <w:rFonts w:ascii="Times New Roman" w:hAnsi="Times New Roman"/>
        </w:rPr>
        <w:t>年</w:t>
      </w:r>
      <w:r w:rsidRPr="008A7013">
        <w:rPr>
          <w:rFonts w:ascii="Times New Roman" w:hAnsi="Times New Roman"/>
        </w:rPr>
        <w:t>4</w:t>
      </w:r>
      <w:r w:rsidRPr="008A7013">
        <w:rPr>
          <w:rFonts w:ascii="Times New Roman" w:hAnsi="Times New Roman"/>
        </w:rPr>
        <w:t>月</w:t>
      </w:r>
      <w:r w:rsidRPr="008A7013">
        <w:rPr>
          <w:rFonts w:ascii="Times New Roman" w:hAnsi="Times New Roman"/>
        </w:rPr>
        <w:t>7</w:t>
      </w:r>
      <w:r w:rsidRPr="008A7013">
        <w:rPr>
          <w:rFonts w:ascii="Times New Roman" w:hAnsi="Times New Roman"/>
        </w:rPr>
        <w:t>日續商「依據國際組織標準揭露各級政府債務及向各項基金調度周轉金額作業相關事宜」會議決議載述略以：各</w:t>
      </w:r>
      <w:r w:rsidRPr="008A7013">
        <w:rPr>
          <w:rFonts w:hAnsi="標楷體" w:hint="eastAsia"/>
        </w:rPr>
        <w:t>級政府應揭露向未納入集中支付之非營業特種基金調度周轉金額。</w:t>
      </w:r>
    </w:p>
    <w:p w:rsidR="0040606A" w:rsidRPr="00D84D5D" w:rsidRDefault="0040606A" w:rsidP="0040606A">
      <w:pPr>
        <w:pStyle w:val="a3"/>
        <w:numPr>
          <w:ilvl w:val="0"/>
          <w:numId w:val="34"/>
        </w:numPr>
        <w:spacing w:before="120" w:after="0"/>
        <w:ind w:left="2156" w:rightChars="11" w:right="37" w:hanging="756"/>
        <w:textAlignment w:val="auto"/>
        <w:rPr>
          <w:rFonts w:ascii="Times New Roman" w:hAnsi="Times New Roman"/>
          <w:spacing w:val="-4"/>
        </w:rPr>
      </w:pPr>
      <w:bookmarkStart w:id="148" w:name="_Toc507518459"/>
      <w:bookmarkEnd w:id="138"/>
      <w:bookmarkEnd w:id="139"/>
      <w:bookmarkEnd w:id="140"/>
      <w:r>
        <w:rPr>
          <w:rFonts w:ascii="Times New Roman" w:hAnsi="Times New Roman"/>
          <w:b/>
        </w:rPr>
        <w:t>105</w:t>
      </w:r>
      <w:r>
        <w:rPr>
          <w:rFonts w:hint="eastAsia"/>
          <w:b/>
        </w:rPr>
        <w:t>年度各級政府向所設各項基金及專戶調度周轉金額統計表</w:t>
      </w:r>
    </w:p>
    <w:p w:rsidR="0040606A" w:rsidRPr="00D84D5D" w:rsidRDefault="0040606A" w:rsidP="0040606A">
      <w:pPr>
        <w:pStyle w:val="3"/>
        <w:numPr>
          <w:ilvl w:val="0"/>
          <w:numId w:val="0"/>
        </w:numPr>
        <w:kinsoku w:val="0"/>
        <w:spacing w:line="320" w:lineRule="exact"/>
        <w:ind w:leftChars="406" w:left="2016" w:rightChars="3" w:right="10" w:hanging="635"/>
        <w:jc w:val="right"/>
        <w:rPr>
          <w:rFonts w:ascii="Times New Roman" w:hAnsi="Times New Roman"/>
          <w:spacing w:val="-4"/>
          <w:sz w:val="24"/>
          <w:szCs w:val="24"/>
        </w:rPr>
      </w:pPr>
      <w:bookmarkStart w:id="149" w:name="_Toc511115249"/>
      <w:bookmarkStart w:id="150" w:name="_Toc511308040"/>
      <w:bookmarkStart w:id="151" w:name="_Toc511998482"/>
      <w:bookmarkStart w:id="152" w:name="_Toc512420839"/>
      <w:r w:rsidRPr="00D84D5D">
        <w:rPr>
          <w:rFonts w:hint="eastAsia"/>
          <w:spacing w:val="-4"/>
          <w:sz w:val="24"/>
          <w:szCs w:val="24"/>
        </w:rPr>
        <w:t>單位：億元</w:t>
      </w:r>
      <w:bookmarkEnd w:id="148"/>
      <w:bookmarkEnd w:id="149"/>
      <w:bookmarkEnd w:id="150"/>
      <w:bookmarkEnd w:id="151"/>
      <w:bookmarkEnd w:id="152"/>
    </w:p>
    <w:tbl>
      <w:tblPr>
        <w:tblW w:w="7405" w:type="dxa"/>
        <w:tblInd w:w="1522" w:type="dxa"/>
        <w:tblCellMar>
          <w:left w:w="0" w:type="dxa"/>
          <w:right w:w="0" w:type="dxa"/>
        </w:tblCellMar>
        <w:tblLook w:val="04A0" w:firstRow="1" w:lastRow="0" w:firstColumn="1" w:lastColumn="0" w:noHBand="0" w:noVBand="1"/>
      </w:tblPr>
      <w:tblGrid>
        <w:gridCol w:w="2745"/>
        <w:gridCol w:w="2414"/>
        <w:gridCol w:w="2246"/>
      </w:tblGrid>
      <w:tr w:rsidR="0040606A" w:rsidTr="00C055EF">
        <w:trPr>
          <w:tblHeader/>
        </w:trPr>
        <w:tc>
          <w:tcPr>
            <w:tcW w:w="27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606A" w:rsidRDefault="0040606A" w:rsidP="00C055EF">
            <w:pPr>
              <w:pStyle w:val="3"/>
              <w:numPr>
                <w:ilvl w:val="0"/>
                <w:numId w:val="0"/>
              </w:numPr>
              <w:spacing w:line="340" w:lineRule="exact"/>
              <w:jc w:val="center"/>
              <w:rPr>
                <w:rFonts w:ascii="Times New Roman" w:hAnsi="Times New Roman"/>
                <w:spacing w:val="-4"/>
                <w:sz w:val="28"/>
                <w:szCs w:val="28"/>
              </w:rPr>
            </w:pPr>
            <w:bookmarkStart w:id="153" w:name="_Toc507518460"/>
            <w:bookmarkStart w:id="154" w:name="_Toc507767536"/>
            <w:bookmarkStart w:id="155" w:name="_Toc507768262"/>
            <w:bookmarkStart w:id="156" w:name="_Toc511115250"/>
            <w:bookmarkStart w:id="157" w:name="_Toc511308041"/>
            <w:bookmarkStart w:id="158" w:name="_Toc511998483"/>
            <w:bookmarkStart w:id="159" w:name="_Toc512420840"/>
            <w:r>
              <w:rPr>
                <w:rFonts w:hint="eastAsia"/>
                <w:spacing w:val="-4"/>
                <w:sz w:val="28"/>
                <w:szCs w:val="28"/>
              </w:rPr>
              <w:t>名稱</w:t>
            </w:r>
            <w:bookmarkEnd w:id="153"/>
            <w:bookmarkEnd w:id="154"/>
            <w:bookmarkEnd w:id="155"/>
            <w:bookmarkEnd w:id="156"/>
            <w:bookmarkEnd w:id="157"/>
            <w:bookmarkEnd w:id="158"/>
            <w:bookmarkEnd w:id="159"/>
          </w:p>
        </w:tc>
        <w:tc>
          <w:tcPr>
            <w:tcW w:w="24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0606A" w:rsidRDefault="0040606A" w:rsidP="00C055EF">
            <w:pPr>
              <w:pStyle w:val="3"/>
              <w:numPr>
                <w:ilvl w:val="0"/>
                <w:numId w:val="0"/>
              </w:numPr>
              <w:spacing w:line="340" w:lineRule="exact"/>
              <w:jc w:val="center"/>
              <w:rPr>
                <w:rFonts w:ascii="Times New Roman" w:hAnsi="Times New Roman"/>
                <w:spacing w:val="-4"/>
                <w:sz w:val="28"/>
                <w:szCs w:val="28"/>
              </w:rPr>
            </w:pPr>
            <w:bookmarkStart w:id="160" w:name="_Toc507518461"/>
            <w:bookmarkStart w:id="161" w:name="_Toc507767537"/>
            <w:bookmarkStart w:id="162" w:name="_Toc507768263"/>
            <w:bookmarkStart w:id="163" w:name="_Toc511115251"/>
            <w:bookmarkStart w:id="164" w:name="_Toc511308042"/>
            <w:bookmarkStart w:id="165" w:name="_Toc511998484"/>
            <w:bookmarkStart w:id="166" w:name="_Toc512420841"/>
            <w:r>
              <w:rPr>
                <w:rFonts w:hint="eastAsia"/>
                <w:spacing w:val="-4"/>
                <w:sz w:val="28"/>
                <w:szCs w:val="28"/>
              </w:rPr>
              <w:t>中央、直轄市或</w:t>
            </w:r>
            <w:bookmarkEnd w:id="160"/>
            <w:bookmarkEnd w:id="161"/>
            <w:bookmarkEnd w:id="162"/>
            <w:bookmarkEnd w:id="163"/>
            <w:bookmarkEnd w:id="164"/>
            <w:bookmarkEnd w:id="165"/>
            <w:bookmarkEnd w:id="166"/>
          </w:p>
          <w:p w:rsidR="0040606A" w:rsidRDefault="0040606A" w:rsidP="00C055EF">
            <w:pPr>
              <w:pStyle w:val="3"/>
              <w:numPr>
                <w:ilvl w:val="0"/>
                <w:numId w:val="0"/>
              </w:numPr>
              <w:spacing w:line="340" w:lineRule="exact"/>
              <w:jc w:val="center"/>
              <w:rPr>
                <w:rFonts w:ascii="Times New Roman" w:hAnsi="Times New Roman"/>
                <w:spacing w:val="-4"/>
                <w:sz w:val="28"/>
                <w:szCs w:val="28"/>
              </w:rPr>
            </w:pPr>
            <w:bookmarkStart w:id="167" w:name="_Toc507518462"/>
            <w:bookmarkStart w:id="168" w:name="_Toc507767538"/>
            <w:bookmarkStart w:id="169" w:name="_Toc507768264"/>
            <w:bookmarkStart w:id="170" w:name="_Toc511115252"/>
            <w:bookmarkStart w:id="171" w:name="_Toc511308043"/>
            <w:bookmarkStart w:id="172" w:name="_Toc511998485"/>
            <w:bookmarkStart w:id="173" w:name="_Toc512420842"/>
            <w:r>
              <w:rPr>
                <w:rFonts w:hint="eastAsia"/>
                <w:spacing w:val="-4"/>
                <w:sz w:val="28"/>
                <w:szCs w:val="28"/>
              </w:rPr>
              <w:t>縣市政府</w:t>
            </w:r>
            <w:bookmarkEnd w:id="167"/>
            <w:bookmarkEnd w:id="168"/>
            <w:bookmarkEnd w:id="169"/>
            <w:bookmarkEnd w:id="170"/>
            <w:bookmarkEnd w:id="171"/>
            <w:bookmarkEnd w:id="172"/>
            <w:bookmarkEnd w:id="173"/>
          </w:p>
        </w:tc>
        <w:tc>
          <w:tcPr>
            <w:tcW w:w="2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0606A" w:rsidRDefault="0040606A" w:rsidP="00C055EF">
            <w:pPr>
              <w:pStyle w:val="3"/>
              <w:numPr>
                <w:ilvl w:val="0"/>
                <w:numId w:val="0"/>
              </w:numPr>
              <w:spacing w:line="340" w:lineRule="exact"/>
              <w:jc w:val="center"/>
              <w:rPr>
                <w:rFonts w:ascii="Times New Roman" w:hAnsi="Times New Roman"/>
                <w:spacing w:val="-4"/>
                <w:sz w:val="28"/>
                <w:szCs w:val="28"/>
              </w:rPr>
            </w:pPr>
            <w:bookmarkStart w:id="174" w:name="_Toc507518463"/>
            <w:bookmarkStart w:id="175" w:name="_Toc507767539"/>
            <w:bookmarkStart w:id="176" w:name="_Toc507768265"/>
            <w:bookmarkStart w:id="177" w:name="_Toc511115253"/>
            <w:bookmarkStart w:id="178" w:name="_Toc511308044"/>
            <w:bookmarkStart w:id="179" w:name="_Toc511998486"/>
            <w:bookmarkStart w:id="180" w:name="_Toc512420843"/>
            <w:r>
              <w:rPr>
                <w:rFonts w:hint="eastAsia"/>
                <w:spacing w:val="-4"/>
                <w:sz w:val="28"/>
                <w:szCs w:val="28"/>
              </w:rPr>
              <w:t>鄉</w:t>
            </w:r>
            <w:r>
              <w:rPr>
                <w:rFonts w:ascii="Times New Roman" w:hAnsi="Times New Roman"/>
                <w:spacing w:val="-4"/>
                <w:sz w:val="28"/>
                <w:szCs w:val="28"/>
              </w:rPr>
              <w:t>(</w:t>
            </w:r>
            <w:r>
              <w:rPr>
                <w:rFonts w:hint="eastAsia"/>
                <w:spacing w:val="-4"/>
                <w:sz w:val="28"/>
                <w:szCs w:val="28"/>
              </w:rPr>
              <w:t>鎮、市</w:t>
            </w:r>
            <w:r>
              <w:rPr>
                <w:rFonts w:ascii="Times New Roman" w:hAnsi="Times New Roman"/>
                <w:spacing w:val="-4"/>
                <w:sz w:val="28"/>
                <w:szCs w:val="28"/>
              </w:rPr>
              <w:t>)</w:t>
            </w:r>
            <w:r>
              <w:rPr>
                <w:rFonts w:hint="eastAsia"/>
                <w:spacing w:val="-4"/>
                <w:sz w:val="28"/>
                <w:szCs w:val="28"/>
              </w:rPr>
              <w:t>公所</w:t>
            </w:r>
            <w:bookmarkEnd w:id="174"/>
            <w:bookmarkEnd w:id="175"/>
            <w:bookmarkEnd w:id="176"/>
            <w:bookmarkEnd w:id="177"/>
            <w:bookmarkEnd w:id="178"/>
            <w:bookmarkEnd w:id="179"/>
            <w:bookmarkEnd w:id="180"/>
          </w:p>
        </w:tc>
      </w:tr>
      <w:tr w:rsidR="0040606A" w:rsidTr="00C055EF">
        <w:trPr>
          <w:trHeight w:val="320"/>
        </w:trPr>
        <w:tc>
          <w:tcPr>
            <w:tcW w:w="2746" w:type="dxa"/>
            <w:tcBorders>
              <w:top w:val="nil"/>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rsidR="0040606A" w:rsidRDefault="0040606A" w:rsidP="00C055EF">
            <w:pPr>
              <w:pStyle w:val="3"/>
              <w:numPr>
                <w:ilvl w:val="0"/>
                <w:numId w:val="0"/>
              </w:numPr>
              <w:topLinePunct/>
              <w:spacing w:line="340" w:lineRule="exact"/>
              <w:rPr>
                <w:rFonts w:ascii="Times New Roman" w:hAnsi="Times New Roman"/>
                <w:spacing w:val="-4"/>
                <w:sz w:val="28"/>
                <w:szCs w:val="28"/>
              </w:rPr>
            </w:pPr>
            <w:bookmarkStart w:id="181" w:name="_Toc507518464"/>
            <w:bookmarkStart w:id="182" w:name="_Toc507767540"/>
            <w:bookmarkStart w:id="183" w:name="_Toc507768266"/>
            <w:bookmarkStart w:id="184" w:name="_Toc511115254"/>
            <w:bookmarkStart w:id="185" w:name="_Toc511308045"/>
            <w:bookmarkStart w:id="186" w:name="_Toc511998487"/>
            <w:bookmarkStart w:id="187" w:name="_Toc512420844"/>
            <w:r>
              <w:rPr>
                <w:rFonts w:hint="eastAsia"/>
                <w:spacing w:val="-4"/>
                <w:sz w:val="28"/>
                <w:szCs w:val="28"/>
              </w:rPr>
              <w:t>中央政府</w:t>
            </w:r>
            <w:bookmarkEnd w:id="181"/>
            <w:bookmarkEnd w:id="182"/>
            <w:bookmarkEnd w:id="183"/>
            <w:bookmarkEnd w:id="184"/>
            <w:bookmarkEnd w:id="185"/>
            <w:bookmarkEnd w:id="186"/>
            <w:bookmarkEnd w:id="187"/>
          </w:p>
        </w:tc>
        <w:tc>
          <w:tcPr>
            <w:tcW w:w="2413" w:type="dxa"/>
            <w:tcBorders>
              <w:top w:val="nil"/>
              <w:left w:val="nil"/>
              <w:bottom w:val="single" w:sz="8" w:space="0" w:color="auto"/>
              <w:right w:val="single" w:sz="8" w:space="0" w:color="auto"/>
            </w:tcBorders>
            <w:shd w:val="clear" w:color="auto" w:fill="FBD4B4"/>
            <w:tcMar>
              <w:top w:w="0" w:type="dxa"/>
              <w:left w:w="108" w:type="dxa"/>
              <w:bottom w:w="0" w:type="dxa"/>
              <w:right w:w="108" w:type="dxa"/>
            </w:tcMar>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188" w:name="_Toc507518465"/>
            <w:bookmarkStart w:id="189" w:name="_Toc507767541"/>
            <w:bookmarkStart w:id="190" w:name="_Toc507768267"/>
            <w:bookmarkStart w:id="191" w:name="_Toc511115255"/>
            <w:bookmarkStart w:id="192" w:name="_Toc511308046"/>
            <w:bookmarkStart w:id="193" w:name="_Toc511998488"/>
            <w:bookmarkStart w:id="194" w:name="_Toc512420845"/>
            <w:r>
              <w:rPr>
                <w:rFonts w:ascii="Times New Roman" w:hAnsi="Times New Roman"/>
                <w:spacing w:val="-4"/>
                <w:sz w:val="28"/>
                <w:szCs w:val="28"/>
              </w:rPr>
              <w:t>0.00</w:t>
            </w:r>
            <w:bookmarkEnd w:id="188"/>
            <w:bookmarkEnd w:id="189"/>
            <w:bookmarkEnd w:id="190"/>
            <w:bookmarkEnd w:id="191"/>
            <w:bookmarkEnd w:id="192"/>
            <w:bookmarkEnd w:id="193"/>
            <w:bookmarkEnd w:id="194"/>
          </w:p>
        </w:tc>
        <w:tc>
          <w:tcPr>
            <w:tcW w:w="2246" w:type="dxa"/>
            <w:vMerge w:val="restart"/>
            <w:tcBorders>
              <w:top w:val="nil"/>
              <w:left w:val="nil"/>
              <w:bottom w:val="double" w:sz="6" w:space="0" w:color="auto"/>
              <w:right w:val="single" w:sz="8" w:space="0" w:color="auto"/>
            </w:tcBorders>
            <w:tcMar>
              <w:top w:w="0" w:type="dxa"/>
              <w:left w:w="108" w:type="dxa"/>
              <w:bottom w:w="0" w:type="dxa"/>
              <w:right w:w="108" w:type="dxa"/>
            </w:tcMar>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p>
        </w:tc>
      </w:tr>
      <w:tr w:rsidR="0040606A" w:rsidTr="00C055EF">
        <w:trPr>
          <w:trHeight w:val="86"/>
        </w:trPr>
        <w:tc>
          <w:tcPr>
            <w:tcW w:w="2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606A" w:rsidRDefault="0040606A" w:rsidP="00C055EF">
            <w:pPr>
              <w:pStyle w:val="3"/>
              <w:numPr>
                <w:ilvl w:val="0"/>
                <w:numId w:val="0"/>
              </w:numPr>
              <w:topLinePunct/>
              <w:spacing w:line="340" w:lineRule="exact"/>
              <w:jc w:val="left"/>
              <w:rPr>
                <w:rFonts w:ascii="Times New Roman" w:hAnsi="Times New Roman"/>
                <w:spacing w:val="-4"/>
                <w:sz w:val="28"/>
                <w:szCs w:val="28"/>
              </w:rPr>
            </w:pPr>
            <w:bookmarkStart w:id="195" w:name="_Toc507518466"/>
            <w:bookmarkStart w:id="196" w:name="_Toc507767542"/>
            <w:bookmarkStart w:id="197" w:name="_Toc507768268"/>
            <w:bookmarkStart w:id="198" w:name="_Toc511115256"/>
            <w:bookmarkStart w:id="199" w:name="_Toc511308047"/>
            <w:bookmarkStart w:id="200" w:name="_Toc511998489"/>
            <w:bookmarkStart w:id="201" w:name="_Toc512420846"/>
            <w:r>
              <w:rPr>
                <w:rFonts w:hint="eastAsia"/>
                <w:spacing w:val="-4"/>
                <w:sz w:val="28"/>
                <w:szCs w:val="28"/>
              </w:rPr>
              <w:t>臺北市</w:t>
            </w:r>
            <w:bookmarkEnd w:id="195"/>
            <w:bookmarkEnd w:id="196"/>
            <w:bookmarkEnd w:id="197"/>
            <w:bookmarkEnd w:id="198"/>
            <w:bookmarkEnd w:id="199"/>
            <w:bookmarkEnd w:id="200"/>
            <w:bookmarkEnd w:id="201"/>
          </w:p>
        </w:tc>
        <w:tc>
          <w:tcPr>
            <w:tcW w:w="2413" w:type="dxa"/>
            <w:tcBorders>
              <w:top w:val="nil"/>
              <w:left w:val="nil"/>
              <w:bottom w:val="single" w:sz="8" w:space="0" w:color="auto"/>
              <w:right w:val="single" w:sz="8"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202" w:name="_Toc507518467"/>
            <w:bookmarkStart w:id="203" w:name="_Toc507767543"/>
            <w:bookmarkStart w:id="204" w:name="_Toc507768269"/>
            <w:bookmarkStart w:id="205" w:name="_Toc511115257"/>
            <w:bookmarkStart w:id="206" w:name="_Toc511308048"/>
            <w:bookmarkStart w:id="207" w:name="_Toc511998490"/>
            <w:bookmarkStart w:id="208" w:name="_Toc512420847"/>
            <w:r>
              <w:rPr>
                <w:rFonts w:ascii="Times New Roman" w:hAnsi="Times New Roman"/>
                <w:spacing w:val="-4"/>
                <w:sz w:val="28"/>
                <w:szCs w:val="28"/>
              </w:rPr>
              <w:t>327.89</w:t>
            </w:r>
            <w:bookmarkEnd w:id="202"/>
            <w:bookmarkEnd w:id="203"/>
            <w:bookmarkEnd w:id="204"/>
            <w:bookmarkEnd w:id="205"/>
            <w:bookmarkEnd w:id="206"/>
            <w:bookmarkEnd w:id="207"/>
            <w:bookmarkEnd w:id="208"/>
          </w:p>
        </w:tc>
        <w:tc>
          <w:tcPr>
            <w:tcW w:w="0" w:type="auto"/>
            <w:vMerge/>
            <w:tcBorders>
              <w:top w:val="nil"/>
              <w:left w:val="nil"/>
              <w:bottom w:val="double" w:sz="6" w:space="0" w:color="auto"/>
              <w:right w:val="single" w:sz="8" w:space="0" w:color="auto"/>
            </w:tcBorders>
            <w:vAlign w:val="center"/>
            <w:hideMark/>
          </w:tcPr>
          <w:p w:rsidR="0040606A" w:rsidRDefault="0040606A" w:rsidP="00C055EF">
            <w:pPr>
              <w:widowControl/>
              <w:overflowPunct/>
              <w:autoSpaceDE/>
              <w:autoSpaceDN/>
              <w:jc w:val="left"/>
              <w:rPr>
                <w:rFonts w:ascii="Times New Roman"/>
                <w:bCs/>
                <w:spacing w:val="-4"/>
                <w:kern w:val="32"/>
                <w:sz w:val="28"/>
                <w:szCs w:val="28"/>
              </w:rPr>
            </w:pPr>
          </w:p>
        </w:tc>
      </w:tr>
      <w:tr w:rsidR="0040606A" w:rsidTr="00C055EF">
        <w:trPr>
          <w:trHeight w:val="23"/>
        </w:trPr>
        <w:tc>
          <w:tcPr>
            <w:tcW w:w="2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606A" w:rsidRDefault="0040606A" w:rsidP="00C055EF">
            <w:pPr>
              <w:pStyle w:val="3"/>
              <w:numPr>
                <w:ilvl w:val="0"/>
                <w:numId w:val="0"/>
              </w:numPr>
              <w:topLinePunct/>
              <w:spacing w:line="340" w:lineRule="exact"/>
              <w:jc w:val="left"/>
              <w:rPr>
                <w:rFonts w:ascii="Times New Roman" w:hAnsi="Times New Roman"/>
                <w:spacing w:val="-4"/>
                <w:sz w:val="28"/>
                <w:szCs w:val="28"/>
              </w:rPr>
            </w:pPr>
            <w:bookmarkStart w:id="209" w:name="_Toc507518468"/>
            <w:bookmarkStart w:id="210" w:name="_Toc507767544"/>
            <w:bookmarkStart w:id="211" w:name="_Toc507768270"/>
            <w:bookmarkStart w:id="212" w:name="_Toc511115258"/>
            <w:bookmarkStart w:id="213" w:name="_Toc511308049"/>
            <w:bookmarkStart w:id="214" w:name="_Toc511998491"/>
            <w:bookmarkStart w:id="215" w:name="_Toc512420848"/>
            <w:r>
              <w:rPr>
                <w:rFonts w:hint="eastAsia"/>
                <w:spacing w:val="-4"/>
                <w:sz w:val="28"/>
                <w:szCs w:val="28"/>
              </w:rPr>
              <w:t>高雄市</w:t>
            </w:r>
            <w:bookmarkEnd w:id="209"/>
            <w:bookmarkEnd w:id="210"/>
            <w:bookmarkEnd w:id="211"/>
            <w:bookmarkEnd w:id="212"/>
            <w:bookmarkEnd w:id="213"/>
            <w:bookmarkEnd w:id="214"/>
            <w:bookmarkEnd w:id="215"/>
          </w:p>
        </w:tc>
        <w:tc>
          <w:tcPr>
            <w:tcW w:w="2413" w:type="dxa"/>
            <w:tcBorders>
              <w:top w:val="nil"/>
              <w:left w:val="nil"/>
              <w:bottom w:val="single" w:sz="8" w:space="0" w:color="auto"/>
              <w:right w:val="single" w:sz="8"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216" w:name="_Toc507518469"/>
            <w:bookmarkStart w:id="217" w:name="_Toc507767545"/>
            <w:bookmarkStart w:id="218" w:name="_Toc507768271"/>
            <w:bookmarkStart w:id="219" w:name="_Toc511115259"/>
            <w:bookmarkStart w:id="220" w:name="_Toc511308050"/>
            <w:bookmarkStart w:id="221" w:name="_Toc511998492"/>
            <w:bookmarkStart w:id="222" w:name="_Toc512420849"/>
            <w:r>
              <w:rPr>
                <w:rFonts w:ascii="Times New Roman" w:hAnsi="Times New Roman"/>
                <w:spacing w:val="-4"/>
                <w:sz w:val="28"/>
                <w:szCs w:val="28"/>
              </w:rPr>
              <w:t>0.00</w:t>
            </w:r>
            <w:bookmarkEnd w:id="216"/>
            <w:bookmarkEnd w:id="217"/>
            <w:bookmarkEnd w:id="218"/>
            <w:bookmarkEnd w:id="219"/>
            <w:bookmarkEnd w:id="220"/>
            <w:bookmarkEnd w:id="221"/>
            <w:bookmarkEnd w:id="222"/>
          </w:p>
        </w:tc>
        <w:tc>
          <w:tcPr>
            <w:tcW w:w="0" w:type="auto"/>
            <w:vMerge/>
            <w:tcBorders>
              <w:top w:val="nil"/>
              <w:left w:val="nil"/>
              <w:bottom w:val="double" w:sz="6" w:space="0" w:color="auto"/>
              <w:right w:val="single" w:sz="8" w:space="0" w:color="auto"/>
            </w:tcBorders>
            <w:vAlign w:val="center"/>
            <w:hideMark/>
          </w:tcPr>
          <w:p w:rsidR="0040606A" w:rsidRDefault="0040606A" w:rsidP="00C055EF">
            <w:pPr>
              <w:widowControl/>
              <w:overflowPunct/>
              <w:autoSpaceDE/>
              <w:autoSpaceDN/>
              <w:jc w:val="left"/>
              <w:rPr>
                <w:rFonts w:ascii="Times New Roman"/>
                <w:bCs/>
                <w:spacing w:val="-4"/>
                <w:kern w:val="32"/>
                <w:sz w:val="28"/>
                <w:szCs w:val="28"/>
              </w:rPr>
            </w:pPr>
          </w:p>
        </w:tc>
      </w:tr>
      <w:tr w:rsidR="0040606A" w:rsidTr="00C055EF">
        <w:trPr>
          <w:trHeight w:val="320"/>
        </w:trPr>
        <w:tc>
          <w:tcPr>
            <w:tcW w:w="2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606A" w:rsidRDefault="0040606A" w:rsidP="00C055EF">
            <w:pPr>
              <w:pStyle w:val="3"/>
              <w:numPr>
                <w:ilvl w:val="0"/>
                <w:numId w:val="0"/>
              </w:numPr>
              <w:topLinePunct/>
              <w:spacing w:line="340" w:lineRule="exact"/>
              <w:jc w:val="left"/>
              <w:rPr>
                <w:rFonts w:ascii="Times New Roman" w:hAnsi="Times New Roman"/>
                <w:spacing w:val="-4"/>
                <w:sz w:val="28"/>
                <w:szCs w:val="28"/>
              </w:rPr>
            </w:pPr>
            <w:bookmarkStart w:id="223" w:name="_Toc507518470"/>
            <w:bookmarkStart w:id="224" w:name="_Toc507767546"/>
            <w:bookmarkStart w:id="225" w:name="_Toc507768272"/>
            <w:bookmarkStart w:id="226" w:name="_Toc511115260"/>
            <w:bookmarkStart w:id="227" w:name="_Toc511308051"/>
            <w:bookmarkStart w:id="228" w:name="_Toc511998493"/>
            <w:bookmarkStart w:id="229" w:name="_Toc512420850"/>
            <w:r>
              <w:rPr>
                <w:rFonts w:hint="eastAsia"/>
                <w:spacing w:val="-4"/>
                <w:sz w:val="28"/>
                <w:szCs w:val="28"/>
              </w:rPr>
              <w:t>新北市</w:t>
            </w:r>
            <w:bookmarkEnd w:id="223"/>
            <w:bookmarkEnd w:id="224"/>
            <w:bookmarkEnd w:id="225"/>
            <w:bookmarkEnd w:id="226"/>
            <w:bookmarkEnd w:id="227"/>
            <w:bookmarkEnd w:id="228"/>
            <w:bookmarkEnd w:id="229"/>
          </w:p>
        </w:tc>
        <w:tc>
          <w:tcPr>
            <w:tcW w:w="2413" w:type="dxa"/>
            <w:tcBorders>
              <w:top w:val="nil"/>
              <w:left w:val="nil"/>
              <w:bottom w:val="single" w:sz="8" w:space="0" w:color="auto"/>
              <w:right w:val="single" w:sz="8"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230" w:name="_Toc507518471"/>
            <w:bookmarkStart w:id="231" w:name="_Toc507767547"/>
            <w:bookmarkStart w:id="232" w:name="_Toc507768273"/>
            <w:bookmarkStart w:id="233" w:name="_Toc511115261"/>
            <w:bookmarkStart w:id="234" w:name="_Toc511308052"/>
            <w:bookmarkStart w:id="235" w:name="_Toc511998494"/>
            <w:bookmarkStart w:id="236" w:name="_Toc512420851"/>
            <w:r>
              <w:rPr>
                <w:rFonts w:ascii="Times New Roman" w:hAnsi="Times New Roman"/>
                <w:spacing w:val="-4"/>
                <w:sz w:val="28"/>
                <w:szCs w:val="28"/>
              </w:rPr>
              <w:t>0.00</w:t>
            </w:r>
            <w:bookmarkEnd w:id="230"/>
            <w:bookmarkEnd w:id="231"/>
            <w:bookmarkEnd w:id="232"/>
            <w:bookmarkEnd w:id="233"/>
            <w:bookmarkEnd w:id="234"/>
            <w:bookmarkEnd w:id="235"/>
            <w:bookmarkEnd w:id="236"/>
          </w:p>
        </w:tc>
        <w:tc>
          <w:tcPr>
            <w:tcW w:w="0" w:type="auto"/>
            <w:vMerge/>
            <w:tcBorders>
              <w:top w:val="nil"/>
              <w:left w:val="nil"/>
              <w:bottom w:val="double" w:sz="6" w:space="0" w:color="auto"/>
              <w:right w:val="single" w:sz="8" w:space="0" w:color="auto"/>
            </w:tcBorders>
            <w:vAlign w:val="center"/>
            <w:hideMark/>
          </w:tcPr>
          <w:p w:rsidR="0040606A" w:rsidRDefault="0040606A" w:rsidP="00C055EF">
            <w:pPr>
              <w:widowControl/>
              <w:overflowPunct/>
              <w:autoSpaceDE/>
              <w:autoSpaceDN/>
              <w:jc w:val="left"/>
              <w:rPr>
                <w:rFonts w:ascii="Times New Roman"/>
                <w:bCs/>
                <w:spacing w:val="-4"/>
                <w:kern w:val="32"/>
                <w:sz w:val="28"/>
                <w:szCs w:val="28"/>
              </w:rPr>
            </w:pPr>
          </w:p>
        </w:tc>
      </w:tr>
      <w:tr w:rsidR="0040606A" w:rsidTr="00C055EF">
        <w:trPr>
          <w:trHeight w:val="320"/>
        </w:trPr>
        <w:tc>
          <w:tcPr>
            <w:tcW w:w="2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606A" w:rsidRDefault="0040606A" w:rsidP="00C055EF">
            <w:pPr>
              <w:pStyle w:val="3"/>
              <w:numPr>
                <w:ilvl w:val="0"/>
                <w:numId w:val="0"/>
              </w:numPr>
              <w:topLinePunct/>
              <w:spacing w:line="340" w:lineRule="exact"/>
              <w:jc w:val="left"/>
              <w:rPr>
                <w:rFonts w:ascii="Times New Roman" w:hAnsi="Times New Roman"/>
                <w:spacing w:val="-4"/>
                <w:sz w:val="28"/>
                <w:szCs w:val="28"/>
              </w:rPr>
            </w:pPr>
            <w:bookmarkStart w:id="237" w:name="_Toc507518472"/>
            <w:bookmarkStart w:id="238" w:name="_Toc507767548"/>
            <w:bookmarkStart w:id="239" w:name="_Toc507768274"/>
            <w:bookmarkStart w:id="240" w:name="_Toc511115262"/>
            <w:bookmarkStart w:id="241" w:name="_Toc511308053"/>
            <w:bookmarkStart w:id="242" w:name="_Toc511998495"/>
            <w:bookmarkStart w:id="243" w:name="_Toc512420852"/>
            <w:r>
              <w:rPr>
                <w:rFonts w:hint="eastAsia"/>
                <w:spacing w:val="-4"/>
                <w:sz w:val="28"/>
                <w:szCs w:val="28"/>
              </w:rPr>
              <w:t>臺中市</w:t>
            </w:r>
            <w:bookmarkEnd w:id="237"/>
            <w:bookmarkEnd w:id="238"/>
            <w:bookmarkEnd w:id="239"/>
            <w:bookmarkEnd w:id="240"/>
            <w:bookmarkEnd w:id="241"/>
            <w:bookmarkEnd w:id="242"/>
            <w:bookmarkEnd w:id="243"/>
          </w:p>
        </w:tc>
        <w:tc>
          <w:tcPr>
            <w:tcW w:w="2413" w:type="dxa"/>
            <w:tcBorders>
              <w:top w:val="nil"/>
              <w:left w:val="nil"/>
              <w:bottom w:val="single" w:sz="8" w:space="0" w:color="auto"/>
              <w:right w:val="single" w:sz="8"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244" w:name="_Toc507518473"/>
            <w:bookmarkStart w:id="245" w:name="_Toc507767549"/>
            <w:bookmarkStart w:id="246" w:name="_Toc507768275"/>
            <w:bookmarkStart w:id="247" w:name="_Toc511115263"/>
            <w:bookmarkStart w:id="248" w:name="_Toc511308054"/>
            <w:bookmarkStart w:id="249" w:name="_Toc511998496"/>
            <w:bookmarkStart w:id="250" w:name="_Toc512420853"/>
            <w:r>
              <w:rPr>
                <w:rFonts w:ascii="Times New Roman" w:hAnsi="Times New Roman"/>
                <w:spacing w:val="-4"/>
                <w:sz w:val="28"/>
                <w:szCs w:val="28"/>
              </w:rPr>
              <w:t>0.00</w:t>
            </w:r>
            <w:bookmarkEnd w:id="244"/>
            <w:bookmarkEnd w:id="245"/>
            <w:bookmarkEnd w:id="246"/>
            <w:bookmarkEnd w:id="247"/>
            <w:bookmarkEnd w:id="248"/>
            <w:bookmarkEnd w:id="249"/>
            <w:bookmarkEnd w:id="250"/>
          </w:p>
        </w:tc>
        <w:tc>
          <w:tcPr>
            <w:tcW w:w="0" w:type="auto"/>
            <w:vMerge/>
            <w:tcBorders>
              <w:top w:val="nil"/>
              <w:left w:val="nil"/>
              <w:bottom w:val="double" w:sz="6" w:space="0" w:color="auto"/>
              <w:right w:val="single" w:sz="8" w:space="0" w:color="auto"/>
            </w:tcBorders>
            <w:vAlign w:val="center"/>
            <w:hideMark/>
          </w:tcPr>
          <w:p w:rsidR="0040606A" w:rsidRDefault="0040606A" w:rsidP="00C055EF">
            <w:pPr>
              <w:widowControl/>
              <w:overflowPunct/>
              <w:autoSpaceDE/>
              <w:autoSpaceDN/>
              <w:jc w:val="left"/>
              <w:rPr>
                <w:rFonts w:ascii="Times New Roman"/>
                <w:bCs/>
                <w:spacing w:val="-4"/>
                <w:kern w:val="32"/>
                <w:sz w:val="28"/>
                <w:szCs w:val="28"/>
              </w:rPr>
            </w:pPr>
          </w:p>
        </w:tc>
      </w:tr>
      <w:tr w:rsidR="0040606A" w:rsidTr="00C055EF">
        <w:trPr>
          <w:trHeight w:val="320"/>
        </w:trPr>
        <w:tc>
          <w:tcPr>
            <w:tcW w:w="2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606A" w:rsidRDefault="0040606A" w:rsidP="00C055EF">
            <w:pPr>
              <w:pStyle w:val="3"/>
              <w:numPr>
                <w:ilvl w:val="0"/>
                <w:numId w:val="0"/>
              </w:numPr>
              <w:topLinePunct/>
              <w:spacing w:line="340" w:lineRule="exact"/>
              <w:jc w:val="left"/>
              <w:rPr>
                <w:rFonts w:ascii="Times New Roman" w:hAnsi="Times New Roman"/>
                <w:spacing w:val="-4"/>
                <w:sz w:val="28"/>
                <w:szCs w:val="28"/>
              </w:rPr>
            </w:pPr>
            <w:bookmarkStart w:id="251" w:name="_Toc507518474"/>
            <w:bookmarkStart w:id="252" w:name="_Toc507767550"/>
            <w:bookmarkStart w:id="253" w:name="_Toc507768276"/>
            <w:bookmarkStart w:id="254" w:name="_Toc511115264"/>
            <w:bookmarkStart w:id="255" w:name="_Toc511308055"/>
            <w:bookmarkStart w:id="256" w:name="_Toc511998497"/>
            <w:bookmarkStart w:id="257" w:name="_Toc512420854"/>
            <w:r>
              <w:rPr>
                <w:rFonts w:hint="eastAsia"/>
                <w:spacing w:val="-4"/>
                <w:sz w:val="28"/>
                <w:szCs w:val="28"/>
              </w:rPr>
              <w:t>臺南市</w:t>
            </w:r>
            <w:bookmarkEnd w:id="251"/>
            <w:bookmarkEnd w:id="252"/>
            <w:bookmarkEnd w:id="253"/>
            <w:bookmarkEnd w:id="254"/>
            <w:bookmarkEnd w:id="255"/>
            <w:bookmarkEnd w:id="256"/>
            <w:bookmarkEnd w:id="257"/>
          </w:p>
        </w:tc>
        <w:tc>
          <w:tcPr>
            <w:tcW w:w="2413" w:type="dxa"/>
            <w:tcBorders>
              <w:top w:val="nil"/>
              <w:left w:val="nil"/>
              <w:bottom w:val="single" w:sz="8" w:space="0" w:color="auto"/>
              <w:right w:val="single" w:sz="8"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258" w:name="_Toc507518475"/>
            <w:bookmarkStart w:id="259" w:name="_Toc507767551"/>
            <w:bookmarkStart w:id="260" w:name="_Toc507768277"/>
            <w:bookmarkStart w:id="261" w:name="_Toc511115265"/>
            <w:bookmarkStart w:id="262" w:name="_Toc511308056"/>
            <w:bookmarkStart w:id="263" w:name="_Toc511998498"/>
            <w:bookmarkStart w:id="264" w:name="_Toc512420855"/>
            <w:r>
              <w:rPr>
                <w:rFonts w:ascii="Times New Roman" w:hAnsi="Times New Roman"/>
                <w:spacing w:val="-4"/>
                <w:sz w:val="28"/>
                <w:szCs w:val="28"/>
              </w:rPr>
              <w:t>24.69</w:t>
            </w:r>
            <w:bookmarkEnd w:id="258"/>
            <w:bookmarkEnd w:id="259"/>
            <w:bookmarkEnd w:id="260"/>
            <w:bookmarkEnd w:id="261"/>
            <w:bookmarkEnd w:id="262"/>
            <w:bookmarkEnd w:id="263"/>
            <w:bookmarkEnd w:id="264"/>
          </w:p>
        </w:tc>
        <w:tc>
          <w:tcPr>
            <w:tcW w:w="0" w:type="auto"/>
            <w:vMerge/>
            <w:tcBorders>
              <w:top w:val="nil"/>
              <w:left w:val="nil"/>
              <w:bottom w:val="double" w:sz="6" w:space="0" w:color="auto"/>
              <w:right w:val="single" w:sz="8" w:space="0" w:color="auto"/>
            </w:tcBorders>
            <w:vAlign w:val="center"/>
            <w:hideMark/>
          </w:tcPr>
          <w:p w:rsidR="0040606A" w:rsidRDefault="0040606A" w:rsidP="00C055EF">
            <w:pPr>
              <w:widowControl/>
              <w:overflowPunct/>
              <w:autoSpaceDE/>
              <w:autoSpaceDN/>
              <w:jc w:val="left"/>
              <w:rPr>
                <w:rFonts w:ascii="Times New Roman"/>
                <w:bCs/>
                <w:spacing w:val="-4"/>
                <w:kern w:val="32"/>
                <w:sz w:val="28"/>
                <w:szCs w:val="28"/>
              </w:rPr>
            </w:pPr>
          </w:p>
        </w:tc>
      </w:tr>
      <w:tr w:rsidR="0040606A" w:rsidTr="00C055EF">
        <w:trPr>
          <w:trHeight w:val="320"/>
        </w:trPr>
        <w:tc>
          <w:tcPr>
            <w:tcW w:w="2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606A" w:rsidRDefault="0040606A" w:rsidP="00C055EF">
            <w:pPr>
              <w:pStyle w:val="3"/>
              <w:numPr>
                <w:ilvl w:val="0"/>
                <w:numId w:val="0"/>
              </w:numPr>
              <w:topLinePunct/>
              <w:spacing w:line="340" w:lineRule="exact"/>
              <w:jc w:val="left"/>
              <w:rPr>
                <w:rFonts w:ascii="Times New Roman" w:hAnsi="Times New Roman"/>
                <w:spacing w:val="-4"/>
                <w:sz w:val="28"/>
                <w:szCs w:val="28"/>
              </w:rPr>
            </w:pPr>
            <w:bookmarkStart w:id="265" w:name="_Toc507518476"/>
            <w:bookmarkStart w:id="266" w:name="_Toc507767552"/>
            <w:bookmarkStart w:id="267" w:name="_Toc507768278"/>
            <w:bookmarkStart w:id="268" w:name="_Toc511115266"/>
            <w:bookmarkStart w:id="269" w:name="_Toc511308057"/>
            <w:bookmarkStart w:id="270" w:name="_Toc511998499"/>
            <w:bookmarkStart w:id="271" w:name="_Toc512420856"/>
            <w:r>
              <w:rPr>
                <w:rFonts w:hint="eastAsia"/>
                <w:spacing w:val="-4"/>
                <w:sz w:val="28"/>
                <w:szCs w:val="28"/>
              </w:rPr>
              <w:t>桃園市</w:t>
            </w:r>
            <w:bookmarkEnd w:id="265"/>
            <w:bookmarkEnd w:id="266"/>
            <w:bookmarkEnd w:id="267"/>
            <w:bookmarkEnd w:id="268"/>
            <w:bookmarkEnd w:id="269"/>
            <w:bookmarkEnd w:id="270"/>
            <w:bookmarkEnd w:id="271"/>
          </w:p>
        </w:tc>
        <w:tc>
          <w:tcPr>
            <w:tcW w:w="2413" w:type="dxa"/>
            <w:tcBorders>
              <w:top w:val="nil"/>
              <w:left w:val="nil"/>
              <w:bottom w:val="single" w:sz="8" w:space="0" w:color="auto"/>
              <w:right w:val="single" w:sz="8"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272" w:name="_Toc507518477"/>
            <w:bookmarkStart w:id="273" w:name="_Toc507767553"/>
            <w:bookmarkStart w:id="274" w:name="_Toc507768279"/>
            <w:bookmarkStart w:id="275" w:name="_Toc511115267"/>
            <w:bookmarkStart w:id="276" w:name="_Toc511308058"/>
            <w:bookmarkStart w:id="277" w:name="_Toc511998500"/>
            <w:bookmarkStart w:id="278" w:name="_Toc512420857"/>
            <w:r>
              <w:rPr>
                <w:rFonts w:ascii="Times New Roman" w:hAnsi="Times New Roman"/>
                <w:spacing w:val="-4"/>
                <w:sz w:val="28"/>
                <w:szCs w:val="28"/>
              </w:rPr>
              <w:t>0.00</w:t>
            </w:r>
            <w:bookmarkEnd w:id="272"/>
            <w:bookmarkEnd w:id="273"/>
            <w:bookmarkEnd w:id="274"/>
            <w:bookmarkEnd w:id="275"/>
            <w:bookmarkEnd w:id="276"/>
            <w:bookmarkEnd w:id="277"/>
            <w:bookmarkEnd w:id="278"/>
          </w:p>
        </w:tc>
        <w:tc>
          <w:tcPr>
            <w:tcW w:w="0" w:type="auto"/>
            <w:vMerge/>
            <w:tcBorders>
              <w:top w:val="nil"/>
              <w:left w:val="nil"/>
              <w:bottom w:val="double" w:sz="6" w:space="0" w:color="auto"/>
              <w:right w:val="single" w:sz="8" w:space="0" w:color="auto"/>
            </w:tcBorders>
            <w:vAlign w:val="center"/>
            <w:hideMark/>
          </w:tcPr>
          <w:p w:rsidR="0040606A" w:rsidRDefault="0040606A" w:rsidP="00C055EF">
            <w:pPr>
              <w:widowControl/>
              <w:overflowPunct/>
              <w:autoSpaceDE/>
              <w:autoSpaceDN/>
              <w:jc w:val="left"/>
              <w:rPr>
                <w:rFonts w:ascii="Times New Roman"/>
                <w:bCs/>
                <w:spacing w:val="-4"/>
                <w:kern w:val="32"/>
                <w:sz w:val="28"/>
                <w:szCs w:val="28"/>
              </w:rPr>
            </w:pPr>
          </w:p>
        </w:tc>
      </w:tr>
      <w:tr w:rsidR="0040606A" w:rsidTr="00C055EF">
        <w:trPr>
          <w:trHeight w:val="320"/>
        </w:trPr>
        <w:tc>
          <w:tcPr>
            <w:tcW w:w="2746" w:type="dxa"/>
            <w:tcBorders>
              <w:top w:val="nil"/>
              <w:left w:val="single" w:sz="8" w:space="0" w:color="auto"/>
              <w:bottom w:val="double" w:sz="6" w:space="0" w:color="auto"/>
              <w:right w:val="single" w:sz="8" w:space="0" w:color="auto"/>
            </w:tcBorders>
            <w:tcMar>
              <w:top w:w="0" w:type="dxa"/>
              <w:left w:w="108" w:type="dxa"/>
              <w:bottom w:w="0" w:type="dxa"/>
              <w:right w:w="108" w:type="dxa"/>
            </w:tcMar>
            <w:vAlign w:val="center"/>
            <w:hideMark/>
          </w:tcPr>
          <w:p w:rsidR="0040606A" w:rsidRDefault="0040606A" w:rsidP="00C055EF">
            <w:pPr>
              <w:pStyle w:val="3"/>
              <w:numPr>
                <w:ilvl w:val="0"/>
                <w:numId w:val="0"/>
              </w:numPr>
              <w:topLinePunct/>
              <w:spacing w:line="340" w:lineRule="exact"/>
              <w:jc w:val="left"/>
              <w:rPr>
                <w:rFonts w:ascii="Times New Roman" w:hAnsi="Times New Roman"/>
                <w:spacing w:val="-4"/>
                <w:sz w:val="28"/>
                <w:szCs w:val="28"/>
              </w:rPr>
            </w:pPr>
            <w:bookmarkStart w:id="279" w:name="_Toc507518478"/>
            <w:bookmarkStart w:id="280" w:name="_Toc507767554"/>
            <w:bookmarkStart w:id="281" w:name="_Toc507768280"/>
            <w:bookmarkStart w:id="282" w:name="_Toc511115268"/>
            <w:bookmarkStart w:id="283" w:name="_Toc511308059"/>
            <w:bookmarkStart w:id="284" w:name="_Toc511998501"/>
            <w:bookmarkStart w:id="285" w:name="_Toc512420858"/>
            <w:r>
              <w:rPr>
                <w:rFonts w:hint="eastAsia"/>
                <w:spacing w:val="-4"/>
                <w:sz w:val="28"/>
                <w:szCs w:val="28"/>
              </w:rPr>
              <w:t>直轄市合計</w:t>
            </w:r>
            <w:r>
              <w:rPr>
                <w:rFonts w:ascii="Times New Roman" w:hAnsi="Times New Roman"/>
                <w:spacing w:val="-4"/>
                <w:sz w:val="28"/>
                <w:szCs w:val="28"/>
              </w:rPr>
              <w:t>(1)</w:t>
            </w:r>
            <w:bookmarkEnd w:id="279"/>
            <w:bookmarkEnd w:id="280"/>
            <w:bookmarkEnd w:id="281"/>
            <w:bookmarkEnd w:id="282"/>
            <w:bookmarkEnd w:id="283"/>
            <w:bookmarkEnd w:id="284"/>
            <w:bookmarkEnd w:id="285"/>
          </w:p>
        </w:tc>
        <w:tc>
          <w:tcPr>
            <w:tcW w:w="2413" w:type="dxa"/>
            <w:tcBorders>
              <w:top w:val="nil"/>
              <w:left w:val="nil"/>
              <w:bottom w:val="double" w:sz="6" w:space="0" w:color="auto"/>
              <w:right w:val="single" w:sz="8"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286" w:name="_Toc507518479"/>
            <w:bookmarkStart w:id="287" w:name="_Toc507767555"/>
            <w:bookmarkStart w:id="288" w:name="_Toc507768281"/>
            <w:bookmarkStart w:id="289" w:name="_Toc511115269"/>
            <w:bookmarkStart w:id="290" w:name="_Toc511308060"/>
            <w:bookmarkStart w:id="291" w:name="_Toc511998502"/>
            <w:bookmarkStart w:id="292" w:name="_Toc512420859"/>
            <w:r>
              <w:rPr>
                <w:rFonts w:ascii="Times New Roman" w:hAnsi="Times New Roman"/>
                <w:spacing w:val="-4"/>
                <w:sz w:val="28"/>
                <w:szCs w:val="28"/>
              </w:rPr>
              <w:t>352.58</w:t>
            </w:r>
            <w:bookmarkEnd w:id="286"/>
            <w:bookmarkEnd w:id="287"/>
            <w:bookmarkEnd w:id="288"/>
            <w:bookmarkEnd w:id="289"/>
            <w:bookmarkEnd w:id="290"/>
            <w:bookmarkEnd w:id="291"/>
            <w:bookmarkEnd w:id="292"/>
          </w:p>
        </w:tc>
        <w:tc>
          <w:tcPr>
            <w:tcW w:w="0" w:type="auto"/>
            <w:vMerge/>
            <w:tcBorders>
              <w:top w:val="nil"/>
              <w:left w:val="nil"/>
              <w:bottom w:val="double" w:sz="6" w:space="0" w:color="auto"/>
              <w:right w:val="single" w:sz="8" w:space="0" w:color="auto"/>
            </w:tcBorders>
            <w:vAlign w:val="center"/>
            <w:hideMark/>
          </w:tcPr>
          <w:p w:rsidR="0040606A" w:rsidRDefault="0040606A" w:rsidP="00C055EF">
            <w:pPr>
              <w:widowControl/>
              <w:overflowPunct/>
              <w:autoSpaceDE/>
              <w:autoSpaceDN/>
              <w:jc w:val="left"/>
              <w:rPr>
                <w:rFonts w:ascii="Times New Roman"/>
                <w:bCs/>
                <w:spacing w:val="-4"/>
                <w:kern w:val="32"/>
                <w:sz w:val="28"/>
                <w:szCs w:val="28"/>
              </w:rPr>
            </w:pPr>
          </w:p>
        </w:tc>
      </w:tr>
      <w:tr w:rsidR="0040606A" w:rsidTr="00C055EF">
        <w:trPr>
          <w:trHeight w:val="320"/>
        </w:trPr>
        <w:tc>
          <w:tcPr>
            <w:tcW w:w="2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606A" w:rsidRDefault="0040606A" w:rsidP="00C055EF">
            <w:pPr>
              <w:pStyle w:val="3"/>
              <w:numPr>
                <w:ilvl w:val="0"/>
                <w:numId w:val="0"/>
              </w:numPr>
              <w:topLinePunct/>
              <w:spacing w:line="340" w:lineRule="exact"/>
              <w:jc w:val="left"/>
              <w:rPr>
                <w:rFonts w:ascii="Times New Roman" w:hAnsi="Times New Roman"/>
                <w:spacing w:val="-4"/>
                <w:sz w:val="28"/>
                <w:szCs w:val="28"/>
              </w:rPr>
            </w:pPr>
            <w:bookmarkStart w:id="293" w:name="_Toc507518480"/>
            <w:bookmarkStart w:id="294" w:name="_Toc507767556"/>
            <w:bookmarkStart w:id="295" w:name="_Toc507768282"/>
            <w:bookmarkStart w:id="296" w:name="_Toc511115270"/>
            <w:bookmarkStart w:id="297" w:name="_Toc511308061"/>
            <w:bookmarkStart w:id="298" w:name="_Toc511998503"/>
            <w:bookmarkStart w:id="299" w:name="_Toc512420860"/>
            <w:r>
              <w:rPr>
                <w:rFonts w:hint="eastAsia"/>
                <w:spacing w:val="-4"/>
                <w:sz w:val="28"/>
                <w:szCs w:val="28"/>
              </w:rPr>
              <w:t>宜蘭縣</w:t>
            </w:r>
            <w:bookmarkEnd w:id="293"/>
            <w:bookmarkEnd w:id="294"/>
            <w:bookmarkEnd w:id="295"/>
            <w:bookmarkEnd w:id="296"/>
            <w:bookmarkEnd w:id="297"/>
            <w:bookmarkEnd w:id="298"/>
            <w:bookmarkEnd w:id="299"/>
          </w:p>
        </w:tc>
        <w:tc>
          <w:tcPr>
            <w:tcW w:w="2413" w:type="dxa"/>
            <w:tcBorders>
              <w:top w:val="nil"/>
              <w:left w:val="nil"/>
              <w:bottom w:val="single" w:sz="8" w:space="0" w:color="auto"/>
              <w:right w:val="single" w:sz="8"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300" w:name="_Toc507518481"/>
            <w:bookmarkStart w:id="301" w:name="_Toc507767557"/>
            <w:bookmarkStart w:id="302" w:name="_Toc507768283"/>
            <w:bookmarkStart w:id="303" w:name="_Toc511115271"/>
            <w:bookmarkStart w:id="304" w:name="_Toc511308062"/>
            <w:bookmarkStart w:id="305" w:name="_Toc511998504"/>
            <w:bookmarkStart w:id="306" w:name="_Toc512420861"/>
            <w:r>
              <w:rPr>
                <w:rFonts w:ascii="Times New Roman" w:hAnsi="Times New Roman"/>
                <w:spacing w:val="-4"/>
                <w:sz w:val="28"/>
                <w:szCs w:val="28"/>
              </w:rPr>
              <w:t>0.00</w:t>
            </w:r>
            <w:bookmarkEnd w:id="300"/>
            <w:bookmarkEnd w:id="301"/>
            <w:bookmarkEnd w:id="302"/>
            <w:bookmarkEnd w:id="303"/>
            <w:bookmarkEnd w:id="304"/>
            <w:bookmarkEnd w:id="305"/>
            <w:bookmarkEnd w:id="306"/>
          </w:p>
        </w:tc>
        <w:tc>
          <w:tcPr>
            <w:tcW w:w="2246" w:type="dxa"/>
            <w:tcBorders>
              <w:top w:val="nil"/>
              <w:left w:val="nil"/>
              <w:bottom w:val="single" w:sz="8" w:space="0" w:color="auto"/>
              <w:right w:val="single" w:sz="8"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307" w:name="_Toc507518482"/>
            <w:bookmarkStart w:id="308" w:name="_Toc507767558"/>
            <w:bookmarkStart w:id="309" w:name="_Toc507768284"/>
            <w:bookmarkStart w:id="310" w:name="_Toc511115272"/>
            <w:bookmarkStart w:id="311" w:name="_Toc511308063"/>
            <w:bookmarkStart w:id="312" w:name="_Toc511998505"/>
            <w:bookmarkStart w:id="313" w:name="_Toc512420862"/>
            <w:r>
              <w:rPr>
                <w:rFonts w:ascii="Times New Roman" w:hAnsi="Times New Roman"/>
                <w:spacing w:val="-4"/>
                <w:sz w:val="28"/>
                <w:szCs w:val="28"/>
              </w:rPr>
              <w:t>0.00</w:t>
            </w:r>
            <w:bookmarkEnd w:id="307"/>
            <w:bookmarkEnd w:id="308"/>
            <w:bookmarkEnd w:id="309"/>
            <w:bookmarkEnd w:id="310"/>
            <w:bookmarkEnd w:id="311"/>
            <w:bookmarkEnd w:id="312"/>
            <w:bookmarkEnd w:id="313"/>
          </w:p>
        </w:tc>
      </w:tr>
      <w:tr w:rsidR="0040606A" w:rsidTr="00C055EF">
        <w:trPr>
          <w:trHeight w:val="320"/>
        </w:trPr>
        <w:tc>
          <w:tcPr>
            <w:tcW w:w="2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606A" w:rsidRDefault="0040606A" w:rsidP="00C055EF">
            <w:pPr>
              <w:pStyle w:val="3"/>
              <w:numPr>
                <w:ilvl w:val="0"/>
                <w:numId w:val="0"/>
              </w:numPr>
              <w:topLinePunct/>
              <w:spacing w:line="340" w:lineRule="exact"/>
              <w:jc w:val="left"/>
              <w:rPr>
                <w:rFonts w:ascii="Times New Roman" w:hAnsi="Times New Roman"/>
                <w:spacing w:val="-4"/>
                <w:sz w:val="28"/>
                <w:szCs w:val="28"/>
              </w:rPr>
            </w:pPr>
            <w:bookmarkStart w:id="314" w:name="_Toc507518483"/>
            <w:bookmarkStart w:id="315" w:name="_Toc507767559"/>
            <w:bookmarkStart w:id="316" w:name="_Toc507768285"/>
            <w:bookmarkStart w:id="317" w:name="_Toc511115273"/>
            <w:bookmarkStart w:id="318" w:name="_Toc511308064"/>
            <w:bookmarkStart w:id="319" w:name="_Toc511998506"/>
            <w:bookmarkStart w:id="320" w:name="_Toc512420863"/>
            <w:r>
              <w:rPr>
                <w:rFonts w:hint="eastAsia"/>
                <w:spacing w:val="-4"/>
                <w:sz w:val="28"/>
                <w:szCs w:val="28"/>
              </w:rPr>
              <w:t>新竹縣</w:t>
            </w:r>
            <w:bookmarkEnd w:id="314"/>
            <w:bookmarkEnd w:id="315"/>
            <w:bookmarkEnd w:id="316"/>
            <w:bookmarkEnd w:id="317"/>
            <w:bookmarkEnd w:id="318"/>
            <w:bookmarkEnd w:id="319"/>
            <w:bookmarkEnd w:id="320"/>
          </w:p>
        </w:tc>
        <w:tc>
          <w:tcPr>
            <w:tcW w:w="2413" w:type="dxa"/>
            <w:tcBorders>
              <w:top w:val="nil"/>
              <w:left w:val="nil"/>
              <w:bottom w:val="single" w:sz="8" w:space="0" w:color="auto"/>
              <w:right w:val="single" w:sz="8"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321" w:name="_Toc507518484"/>
            <w:bookmarkStart w:id="322" w:name="_Toc507767560"/>
            <w:bookmarkStart w:id="323" w:name="_Toc507768286"/>
            <w:bookmarkStart w:id="324" w:name="_Toc511115274"/>
            <w:bookmarkStart w:id="325" w:name="_Toc511308065"/>
            <w:bookmarkStart w:id="326" w:name="_Toc511998507"/>
            <w:bookmarkStart w:id="327" w:name="_Toc512420864"/>
            <w:r>
              <w:rPr>
                <w:rFonts w:ascii="Times New Roman" w:hAnsi="Times New Roman"/>
                <w:spacing w:val="-4"/>
                <w:sz w:val="28"/>
                <w:szCs w:val="28"/>
              </w:rPr>
              <w:t>88.08</w:t>
            </w:r>
            <w:bookmarkEnd w:id="321"/>
            <w:bookmarkEnd w:id="322"/>
            <w:bookmarkEnd w:id="323"/>
            <w:bookmarkEnd w:id="324"/>
            <w:bookmarkEnd w:id="325"/>
            <w:bookmarkEnd w:id="326"/>
            <w:bookmarkEnd w:id="327"/>
          </w:p>
        </w:tc>
        <w:tc>
          <w:tcPr>
            <w:tcW w:w="2246" w:type="dxa"/>
            <w:tcBorders>
              <w:top w:val="nil"/>
              <w:left w:val="nil"/>
              <w:bottom w:val="single" w:sz="8" w:space="0" w:color="auto"/>
              <w:right w:val="single" w:sz="8"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328" w:name="_Toc507518485"/>
            <w:bookmarkStart w:id="329" w:name="_Toc507767561"/>
            <w:bookmarkStart w:id="330" w:name="_Toc507768287"/>
            <w:bookmarkStart w:id="331" w:name="_Toc511115275"/>
            <w:bookmarkStart w:id="332" w:name="_Toc511308066"/>
            <w:bookmarkStart w:id="333" w:name="_Toc511998508"/>
            <w:bookmarkStart w:id="334" w:name="_Toc512420865"/>
            <w:r>
              <w:rPr>
                <w:rFonts w:ascii="Times New Roman" w:hAnsi="Times New Roman"/>
                <w:spacing w:val="-4"/>
                <w:sz w:val="28"/>
                <w:szCs w:val="28"/>
              </w:rPr>
              <w:t>0.00</w:t>
            </w:r>
            <w:bookmarkEnd w:id="328"/>
            <w:bookmarkEnd w:id="329"/>
            <w:bookmarkEnd w:id="330"/>
            <w:bookmarkEnd w:id="331"/>
            <w:bookmarkEnd w:id="332"/>
            <w:bookmarkEnd w:id="333"/>
            <w:bookmarkEnd w:id="334"/>
          </w:p>
        </w:tc>
      </w:tr>
      <w:tr w:rsidR="0040606A" w:rsidTr="00C055EF">
        <w:trPr>
          <w:trHeight w:val="320"/>
        </w:trPr>
        <w:tc>
          <w:tcPr>
            <w:tcW w:w="2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606A" w:rsidRDefault="0040606A" w:rsidP="00C055EF">
            <w:pPr>
              <w:pStyle w:val="3"/>
              <w:numPr>
                <w:ilvl w:val="0"/>
                <w:numId w:val="0"/>
              </w:numPr>
              <w:topLinePunct/>
              <w:spacing w:line="340" w:lineRule="exact"/>
              <w:jc w:val="left"/>
              <w:rPr>
                <w:rFonts w:ascii="Times New Roman" w:hAnsi="Times New Roman"/>
                <w:spacing w:val="-4"/>
                <w:sz w:val="28"/>
                <w:szCs w:val="28"/>
              </w:rPr>
            </w:pPr>
            <w:bookmarkStart w:id="335" w:name="_Toc507518486"/>
            <w:bookmarkStart w:id="336" w:name="_Toc507767562"/>
            <w:bookmarkStart w:id="337" w:name="_Toc507768288"/>
            <w:bookmarkStart w:id="338" w:name="_Toc511115276"/>
            <w:bookmarkStart w:id="339" w:name="_Toc511308067"/>
            <w:bookmarkStart w:id="340" w:name="_Toc511998509"/>
            <w:bookmarkStart w:id="341" w:name="_Toc512420866"/>
            <w:r>
              <w:rPr>
                <w:rFonts w:hint="eastAsia"/>
                <w:spacing w:val="-4"/>
                <w:sz w:val="28"/>
                <w:szCs w:val="28"/>
              </w:rPr>
              <w:t>苗栗縣</w:t>
            </w:r>
            <w:bookmarkEnd w:id="335"/>
            <w:bookmarkEnd w:id="336"/>
            <w:bookmarkEnd w:id="337"/>
            <w:bookmarkEnd w:id="338"/>
            <w:bookmarkEnd w:id="339"/>
            <w:bookmarkEnd w:id="340"/>
            <w:bookmarkEnd w:id="341"/>
          </w:p>
        </w:tc>
        <w:tc>
          <w:tcPr>
            <w:tcW w:w="2413" w:type="dxa"/>
            <w:tcBorders>
              <w:top w:val="nil"/>
              <w:left w:val="nil"/>
              <w:bottom w:val="single" w:sz="8" w:space="0" w:color="auto"/>
              <w:right w:val="single" w:sz="8"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342" w:name="_Toc507518487"/>
            <w:bookmarkStart w:id="343" w:name="_Toc507767563"/>
            <w:bookmarkStart w:id="344" w:name="_Toc507768289"/>
            <w:bookmarkStart w:id="345" w:name="_Toc511115277"/>
            <w:bookmarkStart w:id="346" w:name="_Toc511308068"/>
            <w:bookmarkStart w:id="347" w:name="_Toc511998510"/>
            <w:bookmarkStart w:id="348" w:name="_Toc512420867"/>
            <w:r>
              <w:rPr>
                <w:rFonts w:ascii="Times New Roman" w:hAnsi="Times New Roman"/>
                <w:spacing w:val="-4"/>
                <w:sz w:val="28"/>
                <w:szCs w:val="28"/>
              </w:rPr>
              <w:t>83.53</w:t>
            </w:r>
            <w:bookmarkEnd w:id="342"/>
            <w:bookmarkEnd w:id="343"/>
            <w:bookmarkEnd w:id="344"/>
            <w:bookmarkEnd w:id="345"/>
            <w:bookmarkEnd w:id="346"/>
            <w:bookmarkEnd w:id="347"/>
            <w:bookmarkEnd w:id="348"/>
          </w:p>
        </w:tc>
        <w:tc>
          <w:tcPr>
            <w:tcW w:w="2246" w:type="dxa"/>
            <w:tcBorders>
              <w:top w:val="nil"/>
              <w:left w:val="nil"/>
              <w:bottom w:val="single" w:sz="8" w:space="0" w:color="auto"/>
              <w:right w:val="single" w:sz="8"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349" w:name="_Toc507518488"/>
            <w:bookmarkStart w:id="350" w:name="_Toc507767564"/>
            <w:bookmarkStart w:id="351" w:name="_Toc507768290"/>
            <w:bookmarkStart w:id="352" w:name="_Toc511115278"/>
            <w:bookmarkStart w:id="353" w:name="_Toc511308069"/>
            <w:bookmarkStart w:id="354" w:name="_Toc511998511"/>
            <w:bookmarkStart w:id="355" w:name="_Toc512420868"/>
            <w:r>
              <w:rPr>
                <w:rFonts w:ascii="Times New Roman" w:hAnsi="Times New Roman"/>
                <w:spacing w:val="-4"/>
                <w:sz w:val="28"/>
                <w:szCs w:val="28"/>
              </w:rPr>
              <w:t>0.2963</w:t>
            </w:r>
            <w:bookmarkEnd w:id="349"/>
            <w:bookmarkEnd w:id="350"/>
            <w:bookmarkEnd w:id="351"/>
            <w:bookmarkEnd w:id="352"/>
            <w:bookmarkEnd w:id="353"/>
            <w:bookmarkEnd w:id="354"/>
            <w:bookmarkEnd w:id="355"/>
          </w:p>
        </w:tc>
      </w:tr>
      <w:tr w:rsidR="0040606A" w:rsidTr="00C055EF">
        <w:trPr>
          <w:trHeight w:val="320"/>
        </w:trPr>
        <w:tc>
          <w:tcPr>
            <w:tcW w:w="2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606A" w:rsidRDefault="0040606A" w:rsidP="00C055EF">
            <w:pPr>
              <w:pStyle w:val="3"/>
              <w:numPr>
                <w:ilvl w:val="0"/>
                <w:numId w:val="0"/>
              </w:numPr>
              <w:topLinePunct/>
              <w:spacing w:line="340" w:lineRule="exact"/>
              <w:jc w:val="left"/>
              <w:rPr>
                <w:rFonts w:ascii="Times New Roman" w:hAnsi="Times New Roman"/>
                <w:spacing w:val="-4"/>
                <w:sz w:val="28"/>
                <w:szCs w:val="28"/>
              </w:rPr>
            </w:pPr>
            <w:bookmarkStart w:id="356" w:name="_Toc507518489"/>
            <w:bookmarkStart w:id="357" w:name="_Toc507767565"/>
            <w:bookmarkStart w:id="358" w:name="_Toc507768291"/>
            <w:bookmarkStart w:id="359" w:name="_Toc511115279"/>
            <w:bookmarkStart w:id="360" w:name="_Toc511308070"/>
            <w:bookmarkStart w:id="361" w:name="_Toc511998512"/>
            <w:bookmarkStart w:id="362" w:name="_Toc512420869"/>
            <w:r>
              <w:rPr>
                <w:rFonts w:hint="eastAsia"/>
                <w:spacing w:val="-4"/>
                <w:sz w:val="28"/>
                <w:szCs w:val="28"/>
              </w:rPr>
              <w:t>彰化縣</w:t>
            </w:r>
            <w:bookmarkEnd w:id="356"/>
            <w:bookmarkEnd w:id="357"/>
            <w:bookmarkEnd w:id="358"/>
            <w:bookmarkEnd w:id="359"/>
            <w:bookmarkEnd w:id="360"/>
            <w:bookmarkEnd w:id="361"/>
            <w:bookmarkEnd w:id="362"/>
          </w:p>
        </w:tc>
        <w:tc>
          <w:tcPr>
            <w:tcW w:w="2413" w:type="dxa"/>
            <w:tcBorders>
              <w:top w:val="nil"/>
              <w:left w:val="nil"/>
              <w:bottom w:val="single" w:sz="8" w:space="0" w:color="auto"/>
              <w:right w:val="single" w:sz="8"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363" w:name="_Toc507518490"/>
            <w:bookmarkStart w:id="364" w:name="_Toc507767566"/>
            <w:bookmarkStart w:id="365" w:name="_Toc507768292"/>
            <w:bookmarkStart w:id="366" w:name="_Toc511115280"/>
            <w:bookmarkStart w:id="367" w:name="_Toc511308071"/>
            <w:bookmarkStart w:id="368" w:name="_Toc511998513"/>
            <w:bookmarkStart w:id="369" w:name="_Toc512420870"/>
            <w:r>
              <w:rPr>
                <w:rFonts w:ascii="Times New Roman" w:hAnsi="Times New Roman"/>
                <w:spacing w:val="-4"/>
                <w:sz w:val="28"/>
                <w:szCs w:val="28"/>
              </w:rPr>
              <w:t>0.00</w:t>
            </w:r>
            <w:bookmarkEnd w:id="363"/>
            <w:bookmarkEnd w:id="364"/>
            <w:bookmarkEnd w:id="365"/>
            <w:bookmarkEnd w:id="366"/>
            <w:bookmarkEnd w:id="367"/>
            <w:bookmarkEnd w:id="368"/>
            <w:bookmarkEnd w:id="369"/>
          </w:p>
        </w:tc>
        <w:tc>
          <w:tcPr>
            <w:tcW w:w="2246" w:type="dxa"/>
            <w:tcBorders>
              <w:top w:val="nil"/>
              <w:left w:val="nil"/>
              <w:bottom w:val="single" w:sz="8" w:space="0" w:color="auto"/>
              <w:right w:val="single" w:sz="8"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370" w:name="_Toc507518491"/>
            <w:bookmarkStart w:id="371" w:name="_Toc507767567"/>
            <w:bookmarkStart w:id="372" w:name="_Toc507768293"/>
            <w:bookmarkStart w:id="373" w:name="_Toc511115281"/>
            <w:bookmarkStart w:id="374" w:name="_Toc511308072"/>
            <w:bookmarkStart w:id="375" w:name="_Toc511998514"/>
            <w:bookmarkStart w:id="376" w:name="_Toc512420871"/>
            <w:r>
              <w:rPr>
                <w:rFonts w:ascii="Times New Roman" w:hAnsi="Times New Roman"/>
                <w:spacing w:val="-4"/>
                <w:sz w:val="28"/>
                <w:szCs w:val="28"/>
              </w:rPr>
              <w:t>0.00</w:t>
            </w:r>
            <w:bookmarkEnd w:id="370"/>
            <w:bookmarkEnd w:id="371"/>
            <w:bookmarkEnd w:id="372"/>
            <w:bookmarkEnd w:id="373"/>
            <w:bookmarkEnd w:id="374"/>
            <w:bookmarkEnd w:id="375"/>
            <w:bookmarkEnd w:id="376"/>
          </w:p>
        </w:tc>
      </w:tr>
      <w:tr w:rsidR="0040606A" w:rsidTr="00C055EF">
        <w:trPr>
          <w:trHeight w:val="320"/>
        </w:trPr>
        <w:tc>
          <w:tcPr>
            <w:tcW w:w="2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606A" w:rsidRDefault="0040606A" w:rsidP="00C055EF">
            <w:pPr>
              <w:pStyle w:val="3"/>
              <w:numPr>
                <w:ilvl w:val="0"/>
                <w:numId w:val="0"/>
              </w:numPr>
              <w:topLinePunct/>
              <w:spacing w:line="340" w:lineRule="exact"/>
              <w:jc w:val="left"/>
              <w:rPr>
                <w:rFonts w:ascii="Times New Roman" w:hAnsi="Times New Roman"/>
                <w:spacing w:val="-4"/>
                <w:sz w:val="28"/>
                <w:szCs w:val="28"/>
              </w:rPr>
            </w:pPr>
            <w:bookmarkStart w:id="377" w:name="_Toc507518492"/>
            <w:bookmarkStart w:id="378" w:name="_Toc507767568"/>
            <w:bookmarkStart w:id="379" w:name="_Toc507768294"/>
            <w:bookmarkStart w:id="380" w:name="_Toc511115282"/>
            <w:bookmarkStart w:id="381" w:name="_Toc511308073"/>
            <w:bookmarkStart w:id="382" w:name="_Toc511998515"/>
            <w:bookmarkStart w:id="383" w:name="_Toc512420872"/>
            <w:r>
              <w:rPr>
                <w:rFonts w:hint="eastAsia"/>
                <w:spacing w:val="-4"/>
                <w:sz w:val="28"/>
                <w:szCs w:val="28"/>
              </w:rPr>
              <w:t>南投縣</w:t>
            </w:r>
            <w:bookmarkEnd w:id="377"/>
            <w:bookmarkEnd w:id="378"/>
            <w:bookmarkEnd w:id="379"/>
            <w:bookmarkEnd w:id="380"/>
            <w:bookmarkEnd w:id="381"/>
            <w:bookmarkEnd w:id="382"/>
            <w:bookmarkEnd w:id="383"/>
          </w:p>
        </w:tc>
        <w:tc>
          <w:tcPr>
            <w:tcW w:w="2413" w:type="dxa"/>
            <w:tcBorders>
              <w:top w:val="nil"/>
              <w:left w:val="nil"/>
              <w:bottom w:val="single" w:sz="8" w:space="0" w:color="auto"/>
              <w:right w:val="single" w:sz="8"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384" w:name="_Toc507518493"/>
            <w:bookmarkStart w:id="385" w:name="_Toc507767569"/>
            <w:bookmarkStart w:id="386" w:name="_Toc507768295"/>
            <w:bookmarkStart w:id="387" w:name="_Toc511115283"/>
            <w:bookmarkStart w:id="388" w:name="_Toc511308074"/>
            <w:bookmarkStart w:id="389" w:name="_Toc511998516"/>
            <w:bookmarkStart w:id="390" w:name="_Toc512420873"/>
            <w:r>
              <w:rPr>
                <w:rFonts w:ascii="Times New Roman" w:hAnsi="Times New Roman"/>
                <w:spacing w:val="-4"/>
                <w:sz w:val="28"/>
                <w:szCs w:val="28"/>
              </w:rPr>
              <w:t>0.00</w:t>
            </w:r>
            <w:bookmarkEnd w:id="384"/>
            <w:bookmarkEnd w:id="385"/>
            <w:bookmarkEnd w:id="386"/>
            <w:bookmarkEnd w:id="387"/>
            <w:bookmarkEnd w:id="388"/>
            <w:bookmarkEnd w:id="389"/>
            <w:bookmarkEnd w:id="390"/>
          </w:p>
        </w:tc>
        <w:tc>
          <w:tcPr>
            <w:tcW w:w="2246" w:type="dxa"/>
            <w:tcBorders>
              <w:top w:val="nil"/>
              <w:left w:val="nil"/>
              <w:bottom w:val="single" w:sz="8" w:space="0" w:color="auto"/>
              <w:right w:val="single" w:sz="8"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391" w:name="_Toc507518494"/>
            <w:bookmarkStart w:id="392" w:name="_Toc507767570"/>
            <w:bookmarkStart w:id="393" w:name="_Toc507768296"/>
            <w:bookmarkStart w:id="394" w:name="_Toc511115284"/>
            <w:bookmarkStart w:id="395" w:name="_Toc511308075"/>
            <w:bookmarkStart w:id="396" w:name="_Toc511998517"/>
            <w:bookmarkStart w:id="397" w:name="_Toc512420874"/>
            <w:r>
              <w:rPr>
                <w:rFonts w:ascii="Times New Roman" w:hAnsi="Times New Roman"/>
                <w:spacing w:val="-4"/>
                <w:sz w:val="28"/>
                <w:szCs w:val="28"/>
              </w:rPr>
              <w:t>0.3567</w:t>
            </w:r>
            <w:bookmarkEnd w:id="391"/>
            <w:bookmarkEnd w:id="392"/>
            <w:bookmarkEnd w:id="393"/>
            <w:bookmarkEnd w:id="394"/>
            <w:bookmarkEnd w:id="395"/>
            <w:bookmarkEnd w:id="396"/>
            <w:bookmarkEnd w:id="397"/>
          </w:p>
        </w:tc>
      </w:tr>
      <w:tr w:rsidR="0040606A" w:rsidTr="00C055EF">
        <w:trPr>
          <w:trHeight w:val="320"/>
        </w:trPr>
        <w:tc>
          <w:tcPr>
            <w:tcW w:w="2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606A" w:rsidRDefault="0040606A" w:rsidP="00C055EF">
            <w:pPr>
              <w:pStyle w:val="3"/>
              <w:numPr>
                <w:ilvl w:val="0"/>
                <w:numId w:val="0"/>
              </w:numPr>
              <w:topLinePunct/>
              <w:spacing w:line="340" w:lineRule="exact"/>
              <w:jc w:val="left"/>
              <w:rPr>
                <w:rFonts w:ascii="Times New Roman" w:hAnsi="Times New Roman"/>
                <w:spacing w:val="-4"/>
                <w:sz w:val="28"/>
                <w:szCs w:val="28"/>
              </w:rPr>
            </w:pPr>
            <w:bookmarkStart w:id="398" w:name="_Toc507518495"/>
            <w:bookmarkStart w:id="399" w:name="_Toc507767571"/>
            <w:bookmarkStart w:id="400" w:name="_Toc507768297"/>
            <w:bookmarkStart w:id="401" w:name="_Toc511115285"/>
            <w:bookmarkStart w:id="402" w:name="_Toc511308076"/>
            <w:bookmarkStart w:id="403" w:name="_Toc511998518"/>
            <w:bookmarkStart w:id="404" w:name="_Toc512420875"/>
            <w:r>
              <w:rPr>
                <w:rFonts w:hint="eastAsia"/>
                <w:spacing w:val="-4"/>
                <w:sz w:val="28"/>
                <w:szCs w:val="28"/>
              </w:rPr>
              <w:t>雲林縣</w:t>
            </w:r>
            <w:bookmarkEnd w:id="398"/>
            <w:bookmarkEnd w:id="399"/>
            <w:bookmarkEnd w:id="400"/>
            <w:bookmarkEnd w:id="401"/>
            <w:bookmarkEnd w:id="402"/>
            <w:bookmarkEnd w:id="403"/>
            <w:bookmarkEnd w:id="404"/>
          </w:p>
        </w:tc>
        <w:tc>
          <w:tcPr>
            <w:tcW w:w="2413" w:type="dxa"/>
            <w:tcBorders>
              <w:top w:val="nil"/>
              <w:left w:val="nil"/>
              <w:bottom w:val="single" w:sz="8" w:space="0" w:color="auto"/>
              <w:right w:val="single" w:sz="8"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405" w:name="_Toc507518496"/>
            <w:bookmarkStart w:id="406" w:name="_Toc507767572"/>
            <w:bookmarkStart w:id="407" w:name="_Toc507768298"/>
            <w:bookmarkStart w:id="408" w:name="_Toc511115286"/>
            <w:bookmarkStart w:id="409" w:name="_Toc511308077"/>
            <w:bookmarkStart w:id="410" w:name="_Toc511998519"/>
            <w:bookmarkStart w:id="411" w:name="_Toc512420876"/>
            <w:r>
              <w:rPr>
                <w:rFonts w:ascii="Times New Roman" w:hAnsi="Times New Roman"/>
                <w:spacing w:val="-4"/>
                <w:sz w:val="28"/>
                <w:szCs w:val="28"/>
              </w:rPr>
              <w:t>29.52</w:t>
            </w:r>
            <w:bookmarkEnd w:id="405"/>
            <w:bookmarkEnd w:id="406"/>
            <w:bookmarkEnd w:id="407"/>
            <w:bookmarkEnd w:id="408"/>
            <w:bookmarkEnd w:id="409"/>
            <w:bookmarkEnd w:id="410"/>
            <w:bookmarkEnd w:id="411"/>
          </w:p>
        </w:tc>
        <w:tc>
          <w:tcPr>
            <w:tcW w:w="2246" w:type="dxa"/>
            <w:tcBorders>
              <w:top w:val="nil"/>
              <w:left w:val="nil"/>
              <w:bottom w:val="single" w:sz="8" w:space="0" w:color="auto"/>
              <w:right w:val="single" w:sz="8"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412" w:name="_Toc507518497"/>
            <w:bookmarkStart w:id="413" w:name="_Toc507767573"/>
            <w:bookmarkStart w:id="414" w:name="_Toc507768299"/>
            <w:bookmarkStart w:id="415" w:name="_Toc511115287"/>
            <w:bookmarkStart w:id="416" w:name="_Toc511308078"/>
            <w:bookmarkStart w:id="417" w:name="_Toc511998520"/>
            <w:bookmarkStart w:id="418" w:name="_Toc512420877"/>
            <w:r>
              <w:rPr>
                <w:rFonts w:ascii="Times New Roman" w:hAnsi="Times New Roman"/>
                <w:spacing w:val="-4"/>
                <w:sz w:val="28"/>
                <w:szCs w:val="28"/>
              </w:rPr>
              <w:t>0.0317</w:t>
            </w:r>
            <w:bookmarkEnd w:id="412"/>
            <w:bookmarkEnd w:id="413"/>
            <w:bookmarkEnd w:id="414"/>
            <w:bookmarkEnd w:id="415"/>
            <w:bookmarkEnd w:id="416"/>
            <w:bookmarkEnd w:id="417"/>
            <w:bookmarkEnd w:id="418"/>
          </w:p>
        </w:tc>
      </w:tr>
      <w:tr w:rsidR="0040606A" w:rsidTr="00C055EF">
        <w:trPr>
          <w:trHeight w:val="320"/>
        </w:trPr>
        <w:tc>
          <w:tcPr>
            <w:tcW w:w="2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606A" w:rsidRDefault="0040606A" w:rsidP="00C055EF">
            <w:pPr>
              <w:pStyle w:val="3"/>
              <w:numPr>
                <w:ilvl w:val="0"/>
                <w:numId w:val="0"/>
              </w:numPr>
              <w:topLinePunct/>
              <w:spacing w:line="340" w:lineRule="exact"/>
              <w:jc w:val="left"/>
              <w:rPr>
                <w:rFonts w:ascii="Times New Roman" w:hAnsi="Times New Roman"/>
                <w:spacing w:val="-4"/>
                <w:sz w:val="28"/>
                <w:szCs w:val="28"/>
              </w:rPr>
            </w:pPr>
            <w:bookmarkStart w:id="419" w:name="_Toc507518498"/>
            <w:bookmarkStart w:id="420" w:name="_Toc507767574"/>
            <w:bookmarkStart w:id="421" w:name="_Toc507768300"/>
            <w:bookmarkStart w:id="422" w:name="_Toc511115288"/>
            <w:bookmarkStart w:id="423" w:name="_Toc511308079"/>
            <w:bookmarkStart w:id="424" w:name="_Toc511998521"/>
            <w:bookmarkStart w:id="425" w:name="_Toc512420878"/>
            <w:r>
              <w:rPr>
                <w:rFonts w:hint="eastAsia"/>
                <w:spacing w:val="-4"/>
                <w:sz w:val="28"/>
                <w:szCs w:val="28"/>
              </w:rPr>
              <w:t>嘉義縣</w:t>
            </w:r>
            <w:bookmarkEnd w:id="419"/>
            <w:bookmarkEnd w:id="420"/>
            <w:bookmarkEnd w:id="421"/>
            <w:bookmarkEnd w:id="422"/>
            <w:bookmarkEnd w:id="423"/>
            <w:bookmarkEnd w:id="424"/>
            <w:bookmarkEnd w:id="425"/>
          </w:p>
        </w:tc>
        <w:tc>
          <w:tcPr>
            <w:tcW w:w="2413" w:type="dxa"/>
            <w:tcBorders>
              <w:top w:val="nil"/>
              <w:left w:val="nil"/>
              <w:bottom w:val="single" w:sz="8" w:space="0" w:color="auto"/>
              <w:right w:val="single" w:sz="8"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426" w:name="_Toc507518499"/>
            <w:bookmarkStart w:id="427" w:name="_Toc507767575"/>
            <w:bookmarkStart w:id="428" w:name="_Toc507768301"/>
            <w:bookmarkStart w:id="429" w:name="_Toc511115289"/>
            <w:bookmarkStart w:id="430" w:name="_Toc511308080"/>
            <w:bookmarkStart w:id="431" w:name="_Toc511998522"/>
            <w:bookmarkStart w:id="432" w:name="_Toc512420879"/>
            <w:r>
              <w:rPr>
                <w:rFonts w:ascii="Times New Roman" w:hAnsi="Times New Roman"/>
                <w:spacing w:val="-4"/>
                <w:sz w:val="28"/>
                <w:szCs w:val="28"/>
              </w:rPr>
              <w:t>5.70</w:t>
            </w:r>
            <w:bookmarkEnd w:id="426"/>
            <w:bookmarkEnd w:id="427"/>
            <w:bookmarkEnd w:id="428"/>
            <w:bookmarkEnd w:id="429"/>
            <w:bookmarkEnd w:id="430"/>
            <w:bookmarkEnd w:id="431"/>
            <w:bookmarkEnd w:id="432"/>
          </w:p>
        </w:tc>
        <w:tc>
          <w:tcPr>
            <w:tcW w:w="2246" w:type="dxa"/>
            <w:tcBorders>
              <w:top w:val="nil"/>
              <w:left w:val="nil"/>
              <w:bottom w:val="single" w:sz="8" w:space="0" w:color="auto"/>
              <w:right w:val="single" w:sz="8"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433" w:name="_Toc507518500"/>
            <w:bookmarkStart w:id="434" w:name="_Toc507767576"/>
            <w:bookmarkStart w:id="435" w:name="_Toc507768302"/>
            <w:bookmarkStart w:id="436" w:name="_Toc511115290"/>
            <w:bookmarkStart w:id="437" w:name="_Toc511308081"/>
            <w:bookmarkStart w:id="438" w:name="_Toc511998523"/>
            <w:bookmarkStart w:id="439" w:name="_Toc512420880"/>
            <w:r>
              <w:rPr>
                <w:rFonts w:ascii="Times New Roman" w:hAnsi="Times New Roman"/>
                <w:spacing w:val="-4"/>
                <w:sz w:val="28"/>
                <w:szCs w:val="28"/>
              </w:rPr>
              <w:t>0.00</w:t>
            </w:r>
            <w:bookmarkEnd w:id="433"/>
            <w:bookmarkEnd w:id="434"/>
            <w:bookmarkEnd w:id="435"/>
            <w:bookmarkEnd w:id="436"/>
            <w:bookmarkEnd w:id="437"/>
            <w:bookmarkEnd w:id="438"/>
            <w:bookmarkEnd w:id="439"/>
          </w:p>
        </w:tc>
      </w:tr>
      <w:tr w:rsidR="0040606A" w:rsidTr="00C055EF">
        <w:trPr>
          <w:trHeight w:val="320"/>
        </w:trPr>
        <w:tc>
          <w:tcPr>
            <w:tcW w:w="2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606A" w:rsidRDefault="0040606A" w:rsidP="00C055EF">
            <w:pPr>
              <w:pStyle w:val="3"/>
              <w:numPr>
                <w:ilvl w:val="0"/>
                <w:numId w:val="0"/>
              </w:numPr>
              <w:topLinePunct/>
              <w:spacing w:line="340" w:lineRule="exact"/>
              <w:jc w:val="left"/>
              <w:rPr>
                <w:rFonts w:ascii="Times New Roman" w:hAnsi="Times New Roman"/>
                <w:spacing w:val="-4"/>
                <w:sz w:val="28"/>
                <w:szCs w:val="28"/>
              </w:rPr>
            </w:pPr>
            <w:bookmarkStart w:id="440" w:name="_Toc507518501"/>
            <w:bookmarkStart w:id="441" w:name="_Toc507767577"/>
            <w:bookmarkStart w:id="442" w:name="_Toc507768303"/>
            <w:bookmarkStart w:id="443" w:name="_Toc511115291"/>
            <w:bookmarkStart w:id="444" w:name="_Toc511308082"/>
            <w:bookmarkStart w:id="445" w:name="_Toc511998524"/>
            <w:bookmarkStart w:id="446" w:name="_Toc512420881"/>
            <w:r>
              <w:rPr>
                <w:rFonts w:hint="eastAsia"/>
                <w:spacing w:val="-4"/>
                <w:sz w:val="28"/>
                <w:szCs w:val="28"/>
              </w:rPr>
              <w:t>屏東縣</w:t>
            </w:r>
            <w:bookmarkEnd w:id="440"/>
            <w:bookmarkEnd w:id="441"/>
            <w:bookmarkEnd w:id="442"/>
            <w:bookmarkEnd w:id="443"/>
            <w:bookmarkEnd w:id="444"/>
            <w:bookmarkEnd w:id="445"/>
            <w:bookmarkEnd w:id="446"/>
          </w:p>
        </w:tc>
        <w:tc>
          <w:tcPr>
            <w:tcW w:w="2413" w:type="dxa"/>
            <w:tcBorders>
              <w:top w:val="nil"/>
              <w:left w:val="nil"/>
              <w:bottom w:val="single" w:sz="8" w:space="0" w:color="auto"/>
              <w:right w:val="single" w:sz="8"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447" w:name="_Toc507518502"/>
            <w:bookmarkStart w:id="448" w:name="_Toc507767578"/>
            <w:bookmarkStart w:id="449" w:name="_Toc507768304"/>
            <w:bookmarkStart w:id="450" w:name="_Toc511115292"/>
            <w:bookmarkStart w:id="451" w:name="_Toc511308083"/>
            <w:bookmarkStart w:id="452" w:name="_Toc511998525"/>
            <w:bookmarkStart w:id="453" w:name="_Toc512420882"/>
            <w:r>
              <w:rPr>
                <w:rFonts w:ascii="Times New Roman" w:hAnsi="Times New Roman"/>
                <w:spacing w:val="-4"/>
                <w:sz w:val="28"/>
                <w:szCs w:val="28"/>
              </w:rPr>
              <w:t>0.00</w:t>
            </w:r>
            <w:bookmarkEnd w:id="447"/>
            <w:bookmarkEnd w:id="448"/>
            <w:bookmarkEnd w:id="449"/>
            <w:bookmarkEnd w:id="450"/>
            <w:bookmarkEnd w:id="451"/>
            <w:bookmarkEnd w:id="452"/>
            <w:bookmarkEnd w:id="453"/>
          </w:p>
        </w:tc>
        <w:tc>
          <w:tcPr>
            <w:tcW w:w="2246" w:type="dxa"/>
            <w:tcBorders>
              <w:top w:val="nil"/>
              <w:left w:val="nil"/>
              <w:bottom w:val="single" w:sz="8" w:space="0" w:color="auto"/>
              <w:right w:val="single" w:sz="8"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454" w:name="_Toc507518503"/>
            <w:bookmarkStart w:id="455" w:name="_Toc507767579"/>
            <w:bookmarkStart w:id="456" w:name="_Toc507768305"/>
            <w:bookmarkStart w:id="457" w:name="_Toc511115293"/>
            <w:bookmarkStart w:id="458" w:name="_Toc511308084"/>
            <w:bookmarkStart w:id="459" w:name="_Toc511998526"/>
            <w:bookmarkStart w:id="460" w:name="_Toc512420883"/>
            <w:r>
              <w:rPr>
                <w:rFonts w:ascii="Times New Roman" w:hAnsi="Times New Roman"/>
                <w:spacing w:val="-4"/>
                <w:sz w:val="28"/>
                <w:szCs w:val="28"/>
              </w:rPr>
              <w:t>0.04</w:t>
            </w:r>
            <w:bookmarkEnd w:id="454"/>
            <w:bookmarkEnd w:id="455"/>
            <w:bookmarkEnd w:id="456"/>
            <w:bookmarkEnd w:id="457"/>
            <w:bookmarkEnd w:id="458"/>
            <w:bookmarkEnd w:id="459"/>
            <w:bookmarkEnd w:id="460"/>
          </w:p>
        </w:tc>
      </w:tr>
      <w:tr w:rsidR="0040606A" w:rsidTr="00C055EF">
        <w:trPr>
          <w:trHeight w:val="320"/>
        </w:trPr>
        <w:tc>
          <w:tcPr>
            <w:tcW w:w="2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606A" w:rsidRDefault="0040606A" w:rsidP="00C055EF">
            <w:pPr>
              <w:pStyle w:val="3"/>
              <w:numPr>
                <w:ilvl w:val="0"/>
                <w:numId w:val="0"/>
              </w:numPr>
              <w:topLinePunct/>
              <w:spacing w:line="340" w:lineRule="exact"/>
              <w:jc w:val="left"/>
              <w:rPr>
                <w:rFonts w:ascii="Times New Roman" w:hAnsi="Times New Roman"/>
                <w:spacing w:val="-4"/>
                <w:sz w:val="28"/>
                <w:szCs w:val="28"/>
              </w:rPr>
            </w:pPr>
            <w:bookmarkStart w:id="461" w:name="_Toc507518504"/>
            <w:bookmarkStart w:id="462" w:name="_Toc507767580"/>
            <w:bookmarkStart w:id="463" w:name="_Toc507768306"/>
            <w:bookmarkStart w:id="464" w:name="_Toc511115294"/>
            <w:bookmarkStart w:id="465" w:name="_Toc511308085"/>
            <w:bookmarkStart w:id="466" w:name="_Toc511998527"/>
            <w:bookmarkStart w:id="467" w:name="_Toc512420884"/>
            <w:r>
              <w:rPr>
                <w:rFonts w:hint="eastAsia"/>
                <w:spacing w:val="-4"/>
                <w:sz w:val="28"/>
                <w:szCs w:val="28"/>
              </w:rPr>
              <w:t>臺東縣</w:t>
            </w:r>
            <w:bookmarkEnd w:id="461"/>
            <w:bookmarkEnd w:id="462"/>
            <w:bookmarkEnd w:id="463"/>
            <w:bookmarkEnd w:id="464"/>
            <w:bookmarkEnd w:id="465"/>
            <w:bookmarkEnd w:id="466"/>
            <w:bookmarkEnd w:id="467"/>
          </w:p>
        </w:tc>
        <w:tc>
          <w:tcPr>
            <w:tcW w:w="2413" w:type="dxa"/>
            <w:tcBorders>
              <w:top w:val="nil"/>
              <w:left w:val="nil"/>
              <w:bottom w:val="single" w:sz="8" w:space="0" w:color="auto"/>
              <w:right w:val="single" w:sz="8"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468" w:name="_Toc507518505"/>
            <w:bookmarkStart w:id="469" w:name="_Toc507767581"/>
            <w:bookmarkStart w:id="470" w:name="_Toc507768307"/>
            <w:bookmarkStart w:id="471" w:name="_Toc511115295"/>
            <w:bookmarkStart w:id="472" w:name="_Toc511308086"/>
            <w:bookmarkStart w:id="473" w:name="_Toc511998528"/>
            <w:bookmarkStart w:id="474" w:name="_Toc512420885"/>
            <w:r>
              <w:rPr>
                <w:rFonts w:ascii="Times New Roman" w:hAnsi="Times New Roman"/>
                <w:spacing w:val="-4"/>
                <w:sz w:val="28"/>
                <w:szCs w:val="28"/>
              </w:rPr>
              <w:t>8.16</w:t>
            </w:r>
            <w:bookmarkEnd w:id="468"/>
            <w:bookmarkEnd w:id="469"/>
            <w:bookmarkEnd w:id="470"/>
            <w:bookmarkEnd w:id="471"/>
            <w:bookmarkEnd w:id="472"/>
            <w:bookmarkEnd w:id="473"/>
            <w:bookmarkEnd w:id="474"/>
          </w:p>
        </w:tc>
        <w:tc>
          <w:tcPr>
            <w:tcW w:w="2246" w:type="dxa"/>
            <w:tcBorders>
              <w:top w:val="nil"/>
              <w:left w:val="nil"/>
              <w:bottom w:val="single" w:sz="8" w:space="0" w:color="auto"/>
              <w:right w:val="single" w:sz="8"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475" w:name="_Toc507518506"/>
            <w:bookmarkStart w:id="476" w:name="_Toc507767582"/>
            <w:bookmarkStart w:id="477" w:name="_Toc507768308"/>
            <w:bookmarkStart w:id="478" w:name="_Toc511115296"/>
            <w:bookmarkStart w:id="479" w:name="_Toc511308087"/>
            <w:bookmarkStart w:id="480" w:name="_Toc511998529"/>
            <w:bookmarkStart w:id="481" w:name="_Toc512420886"/>
            <w:r>
              <w:rPr>
                <w:rFonts w:ascii="Times New Roman" w:hAnsi="Times New Roman"/>
                <w:spacing w:val="-4"/>
                <w:sz w:val="28"/>
                <w:szCs w:val="28"/>
              </w:rPr>
              <w:t>0.00</w:t>
            </w:r>
            <w:bookmarkEnd w:id="475"/>
            <w:bookmarkEnd w:id="476"/>
            <w:bookmarkEnd w:id="477"/>
            <w:bookmarkEnd w:id="478"/>
            <w:bookmarkEnd w:id="479"/>
            <w:bookmarkEnd w:id="480"/>
            <w:bookmarkEnd w:id="481"/>
          </w:p>
        </w:tc>
      </w:tr>
      <w:tr w:rsidR="0040606A" w:rsidTr="00C055EF">
        <w:trPr>
          <w:trHeight w:val="320"/>
        </w:trPr>
        <w:tc>
          <w:tcPr>
            <w:tcW w:w="2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606A" w:rsidRDefault="0040606A" w:rsidP="00C055EF">
            <w:pPr>
              <w:pStyle w:val="3"/>
              <w:numPr>
                <w:ilvl w:val="0"/>
                <w:numId w:val="0"/>
              </w:numPr>
              <w:topLinePunct/>
              <w:spacing w:line="340" w:lineRule="exact"/>
              <w:jc w:val="left"/>
              <w:rPr>
                <w:rFonts w:ascii="Times New Roman" w:hAnsi="Times New Roman"/>
                <w:spacing w:val="-4"/>
                <w:sz w:val="28"/>
                <w:szCs w:val="28"/>
              </w:rPr>
            </w:pPr>
            <w:bookmarkStart w:id="482" w:name="_Toc507518507"/>
            <w:bookmarkStart w:id="483" w:name="_Toc507767583"/>
            <w:bookmarkStart w:id="484" w:name="_Toc507768309"/>
            <w:bookmarkStart w:id="485" w:name="_Toc511115297"/>
            <w:bookmarkStart w:id="486" w:name="_Toc511308088"/>
            <w:bookmarkStart w:id="487" w:name="_Toc511998530"/>
            <w:bookmarkStart w:id="488" w:name="_Toc512420887"/>
            <w:r>
              <w:rPr>
                <w:rFonts w:hint="eastAsia"/>
                <w:spacing w:val="-4"/>
                <w:sz w:val="28"/>
                <w:szCs w:val="28"/>
              </w:rPr>
              <w:t>花蓮縣</w:t>
            </w:r>
            <w:bookmarkEnd w:id="482"/>
            <w:bookmarkEnd w:id="483"/>
            <w:bookmarkEnd w:id="484"/>
            <w:bookmarkEnd w:id="485"/>
            <w:bookmarkEnd w:id="486"/>
            <w:bookmarkEnd w:id="487"/>
            <w:bookmarkEnd w:id="488"/>
          </w:p>
        </w:tc>
        <w:tc>
          <w:tcPr>
            <w:tcW w:w="2413" w:type="dxa"/>
            <w:tcBorders>
              <w:top w:val="nil"/>
              <w:left w:val="nil"/>
              <w:bottom w:val="single" w:sz="8" w:space="0" w:color="auto"/>
              <w:right w:val="single" w:sz="4"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489" w:name="_Toc507518508"/>
            <w:bookmarkStart w:id="490" w:name="_Toc507767584"/>
            <w:bookmarkStart w:id="491" w:name="_Toc507768310"/>
            <w:bookmarkStart w:id="492" w:name="_Toc511115298"/>
            <w:bookmarkStart w:id="493" w:name="_Toc511308089"/>
            <w:bookmarkStart w:id="494" w:name="_Toc511998531"/>
            <w:bookmarkStart w:id="495" w:name="_Toc512420888"/>
            <w:r>
              <w:rPr>
                <w:rFonts w:ascii="Times New Roman" w:hAnsi="Times New Roman"/>
                <w:spacing w:val="-4"/>
                <w:sz w:val="28"/>
                <w:szCs w:val="28"/>
              </w:rPr>
              <w:t>6.00</w:t>
            </w:r>
            <w:bookmarkEnd w:id="489"/>
            <w:bookmarkEnd w:id="490"/>
            <w:bookmarkEnd w:id="491"/>
            <w:bookmarkEnd w:id="492"/>
            <w:bookmarkEnd w:id="493"/>
            <w:bookmarkEnd w:id="494"/>
            <w:bookmarkEnd w:id="495"/>
          </w:p>
        </w:tc>
        <w:tc>
          <w:tcPr>
            <w:tcW w:w="2246"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496" w:name="_Toc507518509"/>
            <w:bookmarkStart w:id="497" w:name="_Toc507767585"/>
            <w:bookmarkStart w:id="498" w:name="_Toc507768311"/>
            <w:bookmarkStart w:id="499" w:name="_Toc511115299"/>
            <w:bookmarkStart w:id="500" w:name="_Toc511308090"/>
            <w:bookmarkStart w:id="501" w:name="_Toc511998532"/>
            <w:bookmarkStart w:id="502" w:name="_Toc512420889"/>
            <w:r>
              <w:rPr>
                <w:rFonts w:ascii="Times New Roman" w:hAnsi="Times New Roman"/>
                <w:spacing w:val="-4"/>
                <w:sz w:val="28"/>
                <w:szCs w:val="28"/>
              </w:rPr>
              <w:t>0.00</w:t>
            </w:r>
            <w:bookmarkEnd w:id="496"/>
            <w:bookmarkEnd w:id="497"/>
            <w:bookmarkEnd w:id="498"/>
            <w:bookmarkEnd w:id="499"/>
            <w:bookmarkEnd w:id="500"/>
            <w:bookmarkEnd w:id="501"/>
            <w:bookmarkEnd w:id="502"/>
          </w:p>
        </w:tc>
      </w:tr>
      <w:tr w:rsidR="0040606A" w:rsidTr="00C055EF">
        <w:trPr>
          <w:trHeight w:val="320"/>
        </w:trPr>
        <w:tc>
          <w:tcPr>
            <w:tcW w:w="2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606A" w:rsidRDefault="0040606A" w:rsidP="00C055EF">
            <w:pPr>
              <w:pStyle w:val="3"/>
              <w:numPr>
                <w:ilvl w:val="0"/>
                <w:numId w:val="0"/>
              </w:numPr>
              <w:topLinePunct/>
              <w:spacing w:line="340" w:lineRule="exact"/>
              <w:jc w:val="left"/>
              <w:rPr>
                <w:rFonts w:ascii="Times New Roman" w:hAnsi="Times New Roman"/>
                <w:spacing w:val="-4"/>
                <w:sz w:val="28"/>
                <w:szCs w:val="28"/>
              </w:rPr>
            </w:pPr>
            <w:bookmarkStart w:id="503" w:name="_Toc507518510"/>
            <w:bookmarkStart w:id="504" w:name="_Toc507767586"/>
            <w:bookmarkStart w:id="505" w:name="_Toc507768312"/>
            <w:bookmarkStart w:id="506" w:name="_Toc511115300"/>
            <w:bookmarkStart w:id="507" w:name="_Toc511308091"/>
            <w:bookmarkStart w:id="508" w:name="_Toc511998533"/>
            <w:bookmarkStart w:id="509" w:name="_Toc512420890"/>
            <w:r>
              <w:rPr>
                <w:rFonts w:hint="eastAsia"/>
                <w:spacing w:val="-4"/>
                <w:sz w:val="28"/>
                <w:szCs w:val="28"/>
              </w:rPr>
              <w:t>澎湖縣</w:t>
            </w:r>
            <w:bookmarkEnd w:id="503"/>
            <w:bookmarkEnd w:id="504"/>
            <w:bookmarkEnd w:id="505"/>
            <w:bookmarkEnd w:id="506"/>
            <w:bookmarkEnd w:id="507"/>
            <w:bookmarkEnd w:id="508"/>
            <w:bookmarkEnd w:id="509"/>
          </w:p>
        </w:tc>
        <w:tc>
          <w:tcPr>
            <w:tcW w:w="2413" w:type="dxa"/>
            <w:tcBorders>
              <w:top w:val="nil"/>
              <w:left w:val="nil"/>
              <w:bottom w:val="single" w:sz="8" w:space="0" w:color="auto"/>
              <w:right w:val="single" w:sz="4"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510" w:name="_Toc507518511"/>
            <w:bookmarkStart w:id="511" w:name="_Toc507767587"/>
            <w:bookmarkStart w:id="512" w:name="_Toc507768313"/>
            <w:bookmarkStart w:id="513" w:name="_Toc511115301"/>
            <w:bookmarkStart w:id="514" w:name="_Toc511308092"/>
            <w:bookmarkStart w:id="515" w:name="_Toc511998534"/>
            <w:bookmarkStart w:id="516" w:name="_Toc512420891"/>
            <w:r>
              <w:rPr>
                <w:rFonts w:ascii="Times New Roman" w:hAnsi="Times New Roman"/>
                <w:spacing w:val="-4"/>
                <w:sz w:val="28"/>
                <w:szCs w:val="28"/>
              </w:rPr>
              <w:t>0.00</w:t>
            </w:r>
            <w:bookmarkEnd w:id="510"/>
            <w:bookmarkEnd w:id="511"/>
            <w:bookmarkEnd w:id="512"/>
            <w:bookmarkEnd w:id="513"/>
            <w:bookmarkEnd w:id="514"/>
            <w:bookmarkEnd w:id="515"/>
            <w:bookmarkEnd w:id="516"/>
          </w:p>
        </w:tc>
        <w:tc>
          <w:tcPr>
            <w:tcW w:w="2246"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517" w:name="_Toc507518512"/>
            <w:bookmarkStart w:id="518" w:name="_Toc507767588"/>
            <w:bookmarkStart w:id="519" w:name="_Toc507768314"/>
            <w:bookmarkStart w:id="520" w:name="_Toc511115302"/>
            <w:bookmarkStart w:id="521" w:name="_Toc511308093"/>
            <w:bookmarkStart w:id="522" w:name="_Toc511998535"/>
            <w:bookmarkStart w:id="523" w:name="_Toc512420892"/>
            <w:r>
              <w:rPr>
                <w:rFonts w:ascii="Times New Roman" w:hAnsi="Times New Roman"/>
                <w:spacing w:val="-4"/>
                <w:sz w:val="28"/>
                <w:szCs w:val="28"/>
              </w:rPr>
              <w:t>0.00</w:t>
            </w:r>
            <w:bookmarkEnd w:id="517"/>
            <w:bookmarkEnd w:id="518"/>
            <w:bookmarkEnd w:id="519"/>
            <w:bookmarkEnd w:id="520"/>
            <w:bookmarkEnd w:id="521"/>
            <w:bookmarkEnd w:id="522"/>
            <w:bookmarkEnd w:id="523"/>
          </w:p>
        </w:tc>
      </w:tr>
      <w:tr w:rsidR="0040606A" w:rsidTr="00C055EF">
        <w:trPr>
          <w:trHeight w:val="320"/>
        </w:trPr>
        <w:tc>
          <w:tcPr>
            <w:tcW w:w="2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606A" w:rsidRDefault="0040606A" w:rsidP="00C055EF">
            <w:pPr>
              <w:pStyle w:val="3"/>
              <w:numPr>
                <w:ilvl w:val="0"/>
                <w:numId w:val="0"/>
              </w:numPr>
              <w:topLinePunct/>
              <w:spacing w:line="340" w:lineRule="exact"/>
              <w:jc w:val="left"/>
              <w:rPr>
                <w:rFonts w:ascii="Times New Roman" w:hAnsi="Times New Roman"/>
                <w:spacing w:val="-4"/>
                <w:sz w:val="28"/>
                <w:szCs w:val="28"/>
              </w:rPr>
            </w:pPr>
            <w:bookmarkStart w:id="524" w:name="_Toc507518513"/>
            <w:bookmarkStart w:id="525" w:name="_Toc507767589"/>
            <w:bookmarkStart w:id="526" w:name="_Toc507768315"/>
            <w:bookmarkStart w:id="527" w:name="_Toc511115303"/>
            <w:bookmarkStart w:id="528" w:name="_Toc511308094"/>
            <w:bookmarkStart w:id="529" w:name="_Toc511998536"/>
            <w:bookmarkStart w:id="530" w:name="_Toc512420893"/>
            <w:r>
              <w:rPr>
                <w:rFonts w:hint="eastAsia"/>
                <w:spacing w:val="-4"/>
                <w:sz w:val="28"/>
                <w:szCs w:val="28"/>
              </w:rPr>
              <w:t>基隆市</w:t>
            </w:r>
            <w:bookmarkEnd w:id="524"/>
            <w:bookmarkEnd w:id="525"/>
            <w:bookmarkEnd w:id="526"/>
            <w:bookmarkEnd w:id="527"/>
            <w:bookmarkEnd w:id="528"/>
            <w:bookmarkEnd w:id="529"/>
            <w:bookmarkEnd w:id="530"/>
          </w:p>
        </w:tc>
        <w:tc>
          <w:tcPr>
            <w:tcW w:w="2413" w:type="dxa"/>
            <w:tcBorders>
              <w:top w:val="nil"/>
              <w:left w:val="nil"/>
              <w:bottom w:val="single" w:sz="8" w:space="0" w:color="auto"/>
              <w:right w:val="single" w:sz="4"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531" w:name="_Toc507518514"/>
            <w:bookmarkStart w:id="532" w:name="_Toc507767590"/>
            <w:bookmarkStart w:id="533" w:name="_Toc507768316"/>
            <w:bookmarkStart w:id="534" w:name="_Toc511115304"/>
            <w:bookmarkStart w:id="535" w:name="_Toc511308095"/>
            <w:bookmarkStart w:id="536" w:name="_Toc511998537"/>
            <w:bookmarkStart w:id="537" w:name="_Toc512420894"/>
            <w:r>
              <w:rPr>
                <w:rFonts w:ascii="Times New Roman" w:hAnsi="Times New Roman"/>
                <w:spacing w:val="-4"/>
                <w:sz w:val="28"/>
                <w:szCs w:val="28"/>
              </w:rPr>
              <w:t>0.00</w:t>
            </w:r>
            <w:bookmarkEnd w:id="531"/>
            <w:bookmarkEnd w:id="532"/>
            <w:bookmarkEnd w:id="533"/>
            <w:bookmarkEnd w:id="534"/>
            <w:bookmarkEnd w:id="535"/>
            <w:bookmarkEnd w:id="536"/>
            <w:bookmarkEnd w:id="537"/>
          </w:p>
        </w:tc>
        <w:tc>
          <w:tcPr>
            <w:tcW w:w="2246"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538" w:name="_Toc507518515"/>
            <w:bookmarkStart w:id="539" w:name="_Toc507767591"/>
            <w:bookmarkStart w:id="540" w:name="_Toc507768317"/>
            <w:bookmarkStart w:id="541" w:name="_Toc511115305"/>
            <w:bookmarkStart w:id="542" w:name="_Toc511308096"/>
            <w:bookmarkStart w:id="543" w:name="_Toc511998538"/>
            <w:bookmarkStart w:id="544" w:name="_Toc512420895"/>
            <w:r>
              <w:rPr>
                <w:rFonts w:ascii="Times New Roman" w:hAnsi="Times New Roman"/>
                <w:spacing w:val="-4"/>
                <w:sz w:val="28"/>
                <w:szCs w:val="28"/>
              </w:rPr>
              <w:t>0.00</w:t>
            </w:r>
            <w:bookmarkEnd w:id="538"/>
            <w:bookmarkEnd w:id="539"/>
            <w:bookmarkEnd w:id="540"/>
            <w:bookmarkEnd w:id="541"/>
            <w:bookmarkEnd w:id="542"/>
            <w:bookmarkEnd w:id="543"/>
            <w:bookmarkEnd w:id="544"/>
          </w:p>
        </w:tc>
      </w:tr>
      <w:tr w:rsidR="0040606A" w:rsidTr="00C055EF">
        <w:trPr>
          <w:trHeight w:val="320"/>
        </w:trPr>
        <w:tc>
          <w:tcPr>
            <w:tcW w:w="2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606A" w:rsidRDefault="0040606A" w:rsidP="00C055EF">
            <w:pPr>
              <w:pStyle w:val="3"/>
              <w:numPr>
                <w:ilvl w:val="0"/>
                <w:numId w:val="0"/>
              </w:numPr>
              <w:topLinePunct/>
              <w:spacing w:line="340" w:lineRule="exact"/>
              <w:jc w:val="left"/>
              <w:rPr>
                <w:rFonts w:ascii="Times New Roman" w:hAnsi="Times New Roman"/>
                <w:spacing w:val="-4"/>
                <w:sz w:val="28"/>
                <w:szCs w:val="28"/>
              </w:rPr>
            </w:pPr>
            <w:bookmarkStart w:id="545" w:name="_Toc507518516"/>
            <w:bookmarkStart w:id="546" w:name="_Toc507767592"/>
            <w:bookmarkStart w:id="547" w:name="_Toc507768318"/>
            <w:bookmarkStart w:id="548" w:name="_Toc511115306"/>
            <w:bookmarkStart w:id="549" w:name="_Toc511308097"/>
            <w:bookmarkStart w:id="550" w:name="_Toc511998539"/>
            <w:bookmarkStart w:id="551" w:name="_Toc512420896"/>
            <w:r>
              <w:rPr>
                <w:rFonts w:hint="eastAsia"/>
                <w:spacing w:val="-4"/>
                <w:sz w:val="28"/>
                <w:szCs w:val="28"/>
              </w:rPr>
              <w:t>新竹市</w:t>
            </w:r>
            <w:bookmarkEnd w:id="545"/>
            <w:bookmarkEnd w:id="546"/>
            <w:bookmarkEnd w:id="547"/>
            <w:bookmarkEnd w:id="548"/>
            <w:bookmarkEnd w:id="549"/>
            <w:bookmarkEnd w:id="550"/>
            <w:bookmarkEnd w:id="551"/>
          </w:p>
        </w:tc>
        <w:tc>
          <w:tcPr>
            <w:tcW w:w="2413" w:type="dxa"/>
            <w:tcBorders>
              <w:top w:val="nil"/>
              <w:left w:val="nil"/>
              <w:bottom w:val="single" w:sz="8" w:space="0" w:color="auto"/>
              <w:right w:val="single" w:sz="4"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552" w:name="_Toc507518517"/>
            <w:bookmarkStart w:id="553" w:name="_Toc507767593"/>
            <w:bookmarkStart w:id="554" w:name="_Toc507768319"/>
            <w:bookmarkStart w:id="555" w:name="_Toc511115307"/>
            <w:bookmarkStart w:id="556" w:name="_Toc511308098"/>
            <w:bookmarkStart w:id="557" w:name="_Toc511998540"/>
            <w:bookmarkStart w:id="558" w:name="_Toc512420897"/>
            <w:r>
              <w:rPr>
                <w:rFonts w:ascii="Times New Roman" w:hAnsi="Times New Roman"/>
                <w:spacing w:val="-4"/>
                <w:sz w:val="28"/>
                <w:szCs w:val="28"/>
              </w:rPr>
              <w:t>9.22</w:t>
            </w:r>
            <w:bookmarkEnd w:id="552"/>
            <w:bookmarkEnd w:id="553"/>
            <w:bookmarkEnd w:id="554"/>
            <w:bookmarkEnd w:id="555"/>
            <w:bookmarkEnd w:id="556"/>
            <w:bookmarkEnd w:id="557"/>
            <w:bookmarkEnd w:id="558"/>
          </w:p>
        </w:tc>
        <w:tc>
          <w:tcPr>
            <w:tcW w:w="2246"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559" w:name="_Toc507518518"/>
            <w:bookmarkStart w:id="560" w:name="_Toc507767594"/>
            <w:bookmarkStart w:id="561" w:name="_Toc507768320"/>
            <w:bookmarkStart w:id="562" w:name="_Toc511115308"/>
            <w:bookmarkStart w:id="563" w:name="_Toc511308099"/>
            <w:bookmarkStart w:id="564" w:name="_Toc511998541"/>
            <w:bookmarkStart w:id="565" w:name="_Toc512420898"/>
            <w:r>
              <w:rPr>
                <w:rFonts w:ascii="Times New Roman" w:hAnsi="Times New Roman"/>
                <w:spacing w:val="-4"/>
                <w:sz w:val="28"/>
                <w:szCs w:val="28"/>
              </w:rPr>
              <w:t>0.00</w:t>
            </w:r>
            <w:bookmarkEnd w:id="559"/>
            <w:bookmarkEnd w:id="560"/>
            <w:bookmarkEnd w:id="561"/>
            <w:bookmarkEnd w:id="562"/>
            <w:bookmarkEnd w:id="563"/>
            <w:bookmarkEnd w:id="564"/>
            <w:bookmarkEnd w:id="565"/>
          </w:p>
        </w:tc>
      </w:tr>
      <w:tr w:rsidR="0040606A" w:rsidTr="00C055EF">
        <w:trPr>
          <w:trHeight w:val="320"/>
        </w:trPr>
        <w:tc>
          <w:tcPr>
            <w:tcW w:w="2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606A" w:rsidRDefault="0040606A" w:rsidP="00C055EF">
            <w:pPr>
              <w:pStyle w:val="3"/>
              <w:numPr>
                <w:ilvl w:val="0"/>
                <w:numId w:val="0"/>
              </w:numPr>
              <w:topLinePunct/>
              <w:spacing w:line="340" w:lineRule="exact"/>
              <w:jc w:val="left"/>
              <w:rPr>
                <w:rFonts w:ascii="Times New Roman" w:hAnsi="Times New Roman"/>
                <w:spacing w:val="-4"/>
                <w:sz w:val="28"/>
                <w:szCs w:val="28"/>
              </w:rPr>
            </w:pPr>
            <w:bookmarkStart w:id="566" w:name="_Toc507518519"/>
            <w:bookmarkStart w:id="567" w:name="_Toc507767595"/>
            <w:bookmarkStart w:id="568" w:name="_Toc507768321"/>
            <w:bookmarkStart w:id="569" w:name="_Toc511115309"/>
            <w:bookmarkStart w:id="570" w:name="_Toc511308100"/>
            <w:bookmarkStart w:id="571" w:name="_Toc511998542"/>
            <w:bookmarkStart w:id="572" w:name="_Toc512420899"/>
            <w:r>
              <w:rPr>
                <w:rFonts w:hint="eastAsia"/>
                <w:spacing w:val="-4"/>
                <w:sz w:val="28"/>
                <w:szCs w:val="28"/>
              </w:rPr>
              <w:t>嘉義市</w:t>
            </w:r>
            <w:bookmarkEnd w:id="566"/>
            <w:bookmarkEnd w:id="567"/>
            <w:bookmarkEnd w:id="568"/>
            <w:bookmarkEnd w:id="569"/>
            <w:bookmarkEnd w:id="570"/>
            <w:bookmarkEnd w:id="571"/>
            <w:bookmarkEnd w:id="572"/>
          </w:p>
        </w:tc>
        <w:tc>
          <w:tcPr>
            <w:tcW w:w="2413" w:type="dxa"/>
            <w:tcBorders>
              <w:top w:val="nil"/>
              <w:left w:val="nil"/>
              <w:bottom w:val="single" w:sz="8" w:space="0" w:color="auto"/>
              <w:right w:val="single" w:sz="4"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573" w:name="_Toc507518520"/>
            <w:bookmarkStart w:id="574" w:name="_Toc507767596"/>
            <w:bookmarkStart w:id="575" w:name="_Toc507768322"/>
            <w:bookmarkStart w:id="576" w:name="_Toc511115310"/>
            <w:bookmarkStart w:id="577" w:name="_Toc511308101"/>
            <w:bookmarkStart w:id="578" w:name="_Toc511998543"/>
            <w:bookmarkStart w:id="579" w:name="_Toc512420900"/>
            <w:r>
              <w:rPr>
                <w:rFonts w:ascii="Times New Roman" w:hAnsi="Times New Roman"/>
                <w:spacing w:val="-4"/>
                <w:sz w:val="28"/>
                <w:szCs w:val="28"/>
              </w:rPr>
              <w:t>0.00</w:t>
            </w:r>
            <w:bookmarkEnd w:id="573"/>
            <w:bookmarkEnd w:id="574"/>
            <w:bookmarkEnd w:id="575"/>
            <w:bookmarkEnd w:id="576"/>
            <w:bookmarkEnd w:id="577"/>
            <w:bookmarkEnd w:id="578"/>
            <w:bookmarkEnd w:id="579"/>
          </w:p>
        </w:tc>
        <w:tc>
          <w:tcPr>
            <w:tcW w:w="2246"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580" w:name="_Toc507518521"/>
            <w:bookmarkStart w:id="581" w:name="_Toc507767597"/>
            <w:bookmarkStart w:id="582" w:name="_Toc507768323"/>
            <w:bookmarkStart w:id="583" w:name="_Toc511115311"/>
            <w:bookmarkStart w:id="584" w:name="_Toc511308102"/>
            <w:bookmarkStart w:id="585" w:name="_Toc511998544"/>
            <w:bookmarkStart w:id="586" w:name="_Toc512420901"/>
            <w:r>
              <w:rPr>
                <w:rFonts w:ascii="Times New Roman" w:hAnsi="Times New Roman"/>
                <w:spacing w:val="-4"/>
                <w:sz w:val="28"/>
                <w:szCs w:val="28"/>
              </w:rPr>
              <w:t>0.00</w:t>
            </w:r>
            <w:bookmarkEnd w:id="580"/>
            <w:bookmarkEnd w:id="581"/>
            <w:bookmarkEnd w:id="582"/>
            <w:bookmarkEnd w:id="583"/>
            <w:bookmarkEnd w:id="584"/>
            <w:bookmarkEnd w:id="585"/>
            <w:bookmarkEnd w:id="586"/>
          </w:p>
        </w:tc>
      </w:tr>
      <w:tr w:rsidR="0040606A" w:rsidTr="00C055EF">
        <w:trPr>
          <w:trHeight w:val="320"/>
        </w:trPr>
        <w:tc>
          <w:tcPr>
            <w:tcW w:w="2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606A" w:rsidRDefault="0040606A" w:rsidP="00C055EF">
            <w:pPr>
              <w:pStyle w:val="3"/>
              <w:numPr>
                <w:ilvl w:val="0"/>
                <w:numId w:val="0"/>
              </w:numPr>
              <w:topLinePunct/>
              <w:spacing w:line="340" w:lineRule="exact"/>
              <w:jc w:val="left"/>
              <w:rPr>
                <w:rFonts w:ascii="Times New Roman" w:hAnsi="Times New Roman"/>
                <w:spacing w:val="-4"/>
                <w:sz w:val="28"/>
                <w:szCs w:val="28"/>
              </w:rPr>
            </w:pPr>
            <w:bookmarkStart w:id="587" w:name="_Toc507518522"/>
            <w:bookmarkStart w:id="588" w:name="_Toc507767598"/>
            <w:bookmarkStart w:id="589" w:name="_Toc507768324"/>
            <w:bookmarkStart w:id="590" w:name="_Toc511115312"/>
            <w:bookmarkStart w:id="591" w:name="_Toc511308103"/>
            <w:bookmarkStart w:id="592" w:name="_Toc511998545"/>
            <w:bookmarkStart w:id="593" w:name="_Toc512420902"/>
            <w:r>
              <w:rPr>
                <w:rFonts w:hint="eastAsia"/>
                <w:spacing w:val="-4"/>
                <w:sz w:val="28"/>
                <w:szCs w:val="28"/>
              </w:rPr>
              <w:t>金門縣</w:t>
            </w:r>
            <w:bookmarkEnd w:id="587"/>
            <w:bookmarkEnd w:id="588"/>
            <w:bookmarkEnd w:id="589"/>
            <w:bookmarkEnd w:id="590"/>
            <w:bookmarkEnd w:id="591"/>
            <w:bookmarkEnd w:id="592"/>
            <w:bookmarkEnd w:id="593"/>
          </w:p>
        </w:tc>
        <w:tc>
          <w:tcPr>
            <w:tcW w:w="2413" w:type="dxa"/>
            <w:tcBorders>
              <w:top w:val="nil"/>
              <w:left w:val="nil"/>
              <w:bottom w:val="single" w:sz="8" w:space="0" w:color="auto"/>
              <w:right w:val="single" w:sz="4"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594" w:name="_Toc507518523"/>
            <w:bookmarkStart w:id="595" w:name="_Toc507767599"/>
            <w:bookmarkStart w:id="596" w:name="_Toc507768325"/>
            <w:bookmarkStart w:id="597" w:name="_Toc511115313"/>
            <w:bookmarkStart w:id="598" w:name="_Toc511308104"/>
            <w:bookmarkStart w:id="599" w:name="_Toc511998546"/>
            <w:bookmarkStart w:id="600" w:name="_Toc512420903"/>
            <w:r>
              <w:rPr>
                <w:rFonts w:ascii="Times New Roman" w:hAnsi="Times New Roman"/>
                <w:spacing w:val="-4"/>
                <w:sz w:val="28"/>
                <w:szCs w:val="28"/>
              </w:rPr>
              <w:t>0.00</w:t>
            </w:r>
            <w:bookmarkEnd w:id="594"/>
            <w:bookmarkEnd w:id="595"/>
            <w:bookmarkEnd w:id="596"/>
            <w:bookmarkEnd w:id="597"/>
            <w:bookmarkEnd w:id="598"/>
            <w:bookmarkEnd w:id="599"/>
            <w:bookmarkEnd w:id="600"/>
          </w:p>
        </w:tc>
        <w:tc>
          <w:tcPr>
            <w:tcW w:w="2246"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601" w:name="_Toc507518524"/>
            <w:bookmarkStart w:id="602" w:name="_Toc507767600"/>
            <w:bookmarkStart w:id="603" w:name="_Toc507768326"/>
            <w:bookmarkStart w:id="604" w:name="_Toc511115314"/>
            <w:bookmarkStart w:id="605" w:name="_Toc511308105"/>
            <w:bookmarkStart w:id="606" w:name="_Toc511998547"/>
            <w:bookmarkStart w:id="607" w:name="_Toc512420904"/>
            <w:r>
              <w:rPr>
                <w:rFonts w:ascii="Times New Roman" w:hAnsi="Times New Roman"/>
                <w:spacing w:val="-4"/>
                <w:sz w:val="28"/>
                <w:szCs w:val="28"/>
              </w:rPr>
              <w:t>0.00</w:t>
            </w:r>
            <w:bookmarkEnd w:id="601"/>
            <w:bookmarkEnd w:id="602"/>
            <w:bookmarkEnd w:id="603"/>
            <w:bookmarkEnd w:id="604"/>
            <w:bookmarkEnd w:id="605"/>
            <w:bookmarkEnd w:id="606"/>
            <w:bookmarkEnd w:id="607"/>
          </w:p>
        </w:tc>
      </w:tr>
      <w:tr w:rsidR="0040606A" w:rsidTr="00C055EF">
        <w:trPr>
          <w:trHeight w:val="320"/>
        </w:trPr>
        <w:tc>
          <w:tcPr>
            <w:tcW w:w="2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606A" w:rsidRDefault="0040606A" w:rsidP="00C055EF">
            <w:pPr>
              <w:pStyle w:val="3"/>
              <w:numPr>
                <w:ilvl w:val="0"/>
                <w:numId w:val="0"/>
              </w:numPr>
              <w:topLinePunct/>
              <w:spacing w:line="340" w:lineRule="exact"/>
              <w:jc w:val="left"/>
              <w:rPr>
                <w:rFonts w:ascii="Times New Roman" w:hAnsi="Times New Roman"/>
                <w:spacing w:val="-4"/>
                <w:sz w:val="28"/>
                <w:szCs w:val="28"/>
              </w:rPr>
            </w:pPr>
            <w:bookmarkStart w:id="608" w:name="_Toc507518525"/>
            <w:bookmarkStart w:id="609" w:name="_Toc507767601"/>
            <w:bookmarkStart w:id="610" w:name="_Toc507768327"/>
            <w:bookmarkStart w:id="611" w:name="_Toc511115315"/>
            <w:bookmarkStart w:id="612" w:name="_Toc511308106"/>
            <w:bookmarkStart w:id="613" w:name="_Toc511998548"/>
            <w:bookmarkStart w:id="614" w:name="_Toc512420905"/>
            <w:r>
              <w:rPr>
                <w:rFonts w:hint="eastAsia"/>
                <w:spacing w:val="-4"/>
                <w:sz w:val="28"/>
                <w:szCs w:val="28"/>
              </w:rPr>
              <w:t>連江縣</w:t>
            </w:r>
            <w:bookmarkEnd w:id="608"/>
            <w:bookmarkEnd w:id="609"/>
            <w:bookmarkEnd w:id="610"/>
            <w:bookmarkEnd w:id="611"/>
            <w:bookmarkEnd w:id="612"/>
            <w:bookmarkEnd w:id="613"/>
            <w:bookmarkEnd w:id="614"/>
          </w:p>
        </w:tc>
        <w:tc>
          <w:tcPr>
            <w:tcW w:w="2413" w:type="dxa"/>
            <w:tcBorders>
              <w:top w:val="nil"/>
              <w:left w:val="nil"/>
              <w:bottom w:val="single" w:sz="8" w:space="0" w:color="auto"/>
              <w:right w:val="single" w:sz="4"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615" w:name="_Toc507518526"/>
            <w:bookmarkStart w:id="616" w:name="_Toc507767602"/>
            <w:bookmarkStart w:id="617" w:name="_Toc507768328"/>
            <w:bookmarkStart w:id="618" w:name="_Toc511115316"/>
            <w:bookmarkStart w:id="619" w:name="_Toc511308107"/>
            <w:bookmarkStart w:id="620" w:name="_Toc511998549"/>
            <w:bookmarkStart w:id="621" w:name="_Toc512420906"/>
            <w:r>
              <w:rPr>
                <w:rFonts w:ascii="Times New Roman" w:hAnsi="Times New Roman"/>
                <w:spacing w:val="-4"/>
                <w:sz w:val="28"/>
                <w:szCs w:val="28"/>
              </w:rPr>
              <w:t>0.00</w:t>
            </w:r>
            <w:bookmarkEnd w:id="615"/>
            <w:bookmarkEnd w:id="616"/>
            <w:bookmarkEnd w:id="617"/>
            <w:bookmarkEnd w:id="618"/>
            <w:bookmarkEnd w:id="619"/>
            <w:bookmarkEnd w:id="620"/>
            <w:bookmarkEnd w:id="621"/>
          </w:p>
        </w:tc>
        <w:tc>
          <w:tcPr>
            <w:tcW w:w="2246"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622" w:name="_Toc507518527"/>
            <w:bookmarkStart w:id="623" w:name="_Toc507767603"/>
            <w:bookmarkStart w:id="624" w:name="_Toc507768329"/>
            <w:bookmarkStart w:id="625" w:name="_Toc511115317"/>
            <w:bookmarkStart w:id="626" w:name="_Toc511308108"/>
            <w:bookmarkStart w:id="627" w:name="_Toc511998550"/>
            <w:bookmarkStart w:id="628" w:name="_Toc512420907"/>
            <w:r>
              <w:rPr>
                <w:rFonts w:ascii="Times New Roman" w:hAnsi="Times New Roman"/>
                <w:spacing w:val="-4"/>
                <w:sz w:val="28"/>
                <w:szCs w:val="28"/>
              </w:rPr>
              <w:t>0.00</w:t>
            </w:r>
            <w:bookmarkEnd w:id="622"/>
            <w:bookmarkEnd w:id="623"/>
            <w:bookmarkEnd w:id="624"/>
            <w:bookmarkEnd w:id="625"/>
            <w:bookmarkEnd w:id="626"/>
            <w:bookmarkEnd w:id="627"/>
            <w:bookmarkEnd w:id="628"/>
          </w:p>
        </w:tc>
      </w:tr>
      <w:tr w:rsidR="0040606A" w:rsidTr="00C055EF">
        <w:trPr>
          <w:trHeight w:val="320"/>
        </w:trPr>
        <w:tc>
          <w:tcPr>
            <w:tcW w:w="27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606A" w:rsidRDefault="0040606A" w:rsidP="00C055EF">
            <w:pPr>
              <w:pStyle w:val="3"/>
              <w:numPr>
                <w:ilvl w:val="0"/>
                <w:numId w:val="0"/>
              </w:numPr>
              <w:topLinePunct/>
              <w:spacing w:line="340" w:lineRule="exact"/>
              <w:jc w:val="left"/>
              <w:rPr>
                <w:rFonts w:ascii="Times New Roman" w:hAnsi="Times New Roman"/>
                <w:spacing w:val="-4"/>
                <w:sz w:val="28"/>
                <w:szCs w:val="28"/>
              </w:rPr>
            </w:pPr>
            <w:bookmarkStart w:id="629" w:name="_Toc507518528"/>
            <w:bookmarkStart w:id="630" w:name="_Toc507767604"/>
            <w:bookmarkStart w:id="631" w:name="_Toc507768330"/>
            <w:bookmarkStart w:id="632" w:name="_Toc511115318"/>
            <w:bookmarkStart w:id="633" w:name="_Toc511308109"/>
            <w:bookmarkStart w:id="634" w:name="_Toc511998551"/>
            <w:bookmarkStart w:id="635" w:name="_Toc512420908"/>
            <w:r>
              <w:rPr>
                <w:rFonts w:hint="eastAsia"/>
                <w:spacing w:val="-4"/>
                <w:sz w:val="28"/>
                <w:szCs w:val="28"/>
              </w:rPr>
              <w:t>縣</w:t>
            </w:r>
            <w:r>
              <w:rPr>
                <w:rFonts w:ascii="Times New Roman" w:hAnsi="Times New Roman"/>
                <w:spacing w:val="-4"/>
                <w:sz w:val="28"/>
                <w:szCs w:val="28"/>
              </w:rPr>
              <w:t>(</w:t>
            </w:r>
            <w:r>
              <w:rPr>
                <w:rFonts w:hint="eastAsia"/>
                <w:spacing w:val="-4"/>
                <w:sz w:val="28"/>
                <w:szCs w:val="28"/>
              </w:rPr>
              <w:t>市</w:t>
            </w:r>
            <w:r>
              <w:rPr>
                <w:rFonts w:ascii="Times New Roman" w:hAnsi="Times New Roman"/>
                <w:spacing w:val="-4"/>
                <w:sz w:val="28"/>
                <w:szCs w:val="28"/>
              </w:rPr>
              <w:t>)</w:t>
            </w:r>
            <w:r>
              <w:rPr>
                <w:rFonts w:hint="eastAsia"/>
                <w:spacing w:val="-4"/>
                <w:sz w:val="28"/>
                <w:szCs w:val="28"/>
              </w:rPr>
              <w:t>合計</w:t>
            </w:r>
            <w:r>
              <w:rPr>
                <w:rFonts w:ascii="Times New Roman" w:hAnsi="Times New Roman"/>
                <w:spacing w:val="-4"/>
                <w:sz w:val="28"/>
                <w:szCs w:val="28"/>
              </w:rPr>
              <w:t>(2)</w:t>
            </w:r>
            <w:bookmarkEnd w:id="629"/>
            <w:bookmarkEnd w:id="630"/>
            <w:bookmarkEnd w:id="631"/>
            <w:bookmarkEnd w:id="632"/>
            <w:bookmarkEnd w:id="633"/>
            <w:bookmarkEnd w:id="634"/>
            <w:bookmarkEnd w:id="635"/>
          </w:p>
        </w:tc>
        <w:tc>
          <w:tcPr>
            <w:tcW w:w="2413" w:type="dxa"/>
            <w:tcBorders>
              <w:top w:val="nil"/>
              <w:left w:val="nil"/>
              <w:bottom w:val="single" w:sz="8" w:space="0" w:color="auto"/>
              <w:right w:val="single" w:sz="4"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636" w:name="_Toc507518529"/>
            <w:bookmarkStart w:id="637" w:name="_Toc507767605"/>
            <w:bookmarkStart w:id="638" w:name="_Toc507768331"/>
            <w:bookmarkStart w:id="639" w:name="_Toc511115319"/>
            <w:bookmarkStart w:id="640" w:name="_Toc511308110"/>
            <w:bookmarkStart w:id="641" w:name="_Toc511998552"/>
            <w:bookmarkStart w:id="642" w:name="_Toc512420909"/>
            <w:r>
              <w:rPr>
                <w:rFonts w:ascii="Times New Roman" w:hAnsi="Times New Roman"/>
                <w:spacing w:val="-4"/>
                <w:sz w:val="28"/>
                <w:szCs w:val="28"/>
              </w:rPr>
              <w:t>230.21</w:t>
            </w:r>
            <w:bookmarkEnd w:id="636"/>
            <w:bookmarkEnd w:id="637"/>
            <w:bookmarkEnd w:id="638"/>
            <w:bookmarkEnd w:id="639"/>
            <w:bookmarkEnd w:id="640"/>
            <w:bookmarkEnd w:id="641"/>
            <w:bookmarkEnd w:id="642"/>
          </w:p>
        </w:tc>
        <w:tc>
          <w:tcPr>
            <w:tcW w:w="2246"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p>
        </w:tc>
      </w:tr>
      <w:tr w:rsidR="0040606A" w:rsidTr="00C055EF">
        <w:trPr>
          <w:trHeight w:val="320"/>
        </w:trPr>
        <w:tc>
          <w:tcPr>
            <w:tcW w:w="5159" w:type="dxa"/>
            <w:gridSpan w:val="2"/>
            <w:tcBorders>
              <w:top w:val="nil"/>
              <w:left w:val="single" w:sz="8" w:space="0" w:color="auto"/>
              <w:bottom w:val="single" w:sz="4" w:space="0" w:color="auto"/>
              <w:right w:val="single" w:sz="4"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rPr>
                <w:rFonts w:ascii="Times New Roman" w:hAnsi="Times New Roman"/>
                <w:spacing w:val="-4"/>
                <w:sz w:val="28"/>
                <w:szCs w:val="28"/>
              </w:rPr>
            </w:pPr>
            <w:bookmarkStart w:id="643" w:name="_Toc507518530"/>
            <w:bookmarkStart w:id="644" w:name="_Toc507767606"/>
            <w:bookmarkStart w:id="645" w:name="_Toc507768332"/>
            <w:bookmarkStart w:id="646" w:name="_Toc511115320"/>
            <w:bookmarkStart w:id="647" w:name="_Toc511308111"/>
            <w:bookmarkStart w:id="648" w:name="_Toc511998553"/>
            <w:bookmarkStart w:id="649" w:name="_Toc512420910"/>
            <w:r>
              <w:rPr>
                <w:rFonts w:hint="eastAsia"/>
                <w:spacing w:val="-4"/>
                <w:sz w:val="28"/>
                <w:szCs w:val="28"/>
              </w:rPr>
              <w:t>鄉</w:t>
            </w:r>
            <w:r>
              <w:rPr>
                <w:rFonts w:ascii="Times New Roman" w:hAnsi="Times New Roman"/>
                <w:spacing w:val="-4"/>
                <w:sz w:val="28"/>
                <w:szCs w:val="28"/>
              </w:rPr>
              <w:t>(</w:t>
            </w:r>
            <w:r>
              <w:rPr>
                <w:rFonts w:hint="eastAsia"/>
                <w:spacing w:val="-4"/>
                <w:sz w:val="28"/>
                <w:szCs w:val="28"/>
              </w:rPr>
              <w:t>鎮、市</w:t>
            </w:r>
            <w:r>
              <w:rPr>
                <w:rFonts w:ascii="Times New Roman" w:hAnsi="Times New Roman"/>
                <w:spacing w:val="-4"/>
                <w:sz w:val="28"/>
                <w:szCs w:val="28"/>
              </w:rPr>
              <w:t>)</w:t>
            </w:r>
            <w:r>
              <w:rPr>
                <w:rFonts w:hint="eastAsia"/>
                <w:spacing w:val="-4"/>
                <w:sz w:val="28"/>
                <w:szCs w:val="28"/>
              </w:rPr>
              <w:t>合計</w:t>
            </w:r>
            <w:r>
              <w:rPr>
                <w:rFonts w:ascii="Times New Roman" w:hAnsi="Times New Roman"/>
                <w:spacing w:val="-4"/>
                <w:sz w:val="28"/>
                <w:szCs w:val="28"/>
              </w:rPr>
              <w:t>(3)</w:t>
            </w:r>
            <w:bookmarkEnd w:id="643"/>
            <w:bookmarkEnd w:id="644"/>
            <w:bookmarkEnd w:id="645"/>
            <w:bookmarkEnd w:id="646"/>
            <w:bookmarkEnd w:id="647"/>
            <w:bookmarkEnd w:id="648"/>
            <w:bookmarkEnd w:id="649"/>
          </w:p>
        </w:tc>
        <w:tc>
          <w:tcPr>
            <w:tcW w:w="2246" w:type="dxa"/>
            <w:tcBorders>
              <w:top w:val="nil"/>
              <w:left w:val="single" w:sz="4" w:space="0" w:color="auto"/>
              <w:bottom w:val="single" w:sz="4" w:space="0" w:color="auto"/>
              <w:right w:val="single" w:sz="8"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650" w:name="_Toc507518531"/>
            <w:bookmarkStart w:id="651" w:name="_Toc507767607"/>
            <w:bookmarkStart w:id="652" w:name="_Toc507768333"/>
            <w:bookmarkStart w:id="653" w:name="_Toc511115321"/>
            <w:bookmarkStart w:id="654" w:name="_Toc511308112"/>
            <w:bookmarkStart w:id="655" w:name="_Toc511998554"/>
            <w:bookmarkStart w:id="656" w:name="_Toc512420911"/>
            <w:r>
              <w:rPr>
                <w:rFonts w:ascii="Times New Roman" w:hAnsi="Times New Roman"/>
                <w:spacing w:val="-4"/>
                <w:sz w:val="28"/>
                <w:szCs w:val="28"/>
              </w:rPr>
              <w:t>0.72</w:t>
            </w:r>
            <w:bookmarkEnd w:id="650"/>
            <w:bookmarkEnd w:id="651"/>
            <w:bookmarkEnd w:id="652"/>
            <w:bookmarkEnd w:id="653"/>
            <w:bookmarkEnd w:id="654"/>
            <w:bookmarkEnd w:id="655"/>
            <w:bookmarkEnd w:id="656"/>
          </w:p>
        </w:tc>
      </w:tr>
      <w:tr w:rsidR="0040606A" w:rsidTr="00C055EF">
        <w:trPr>
          <w:trHeight w:val="320"/>
        </w:trPr>
        <w:tc>
          <w:tcPr>
            <w:tcW w:w="5160" w:type="dxa"/>
            <w:gridSpan w:val="2"/>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40606A" w:rsidRDefault="0040606A" w:rsidP="00C055EF">
            <w:pPr>
              <w:pStyle w:val="3"/>
              <w:numPr>
                <w:ilvl w:val="0"/>
                <w:numId w:val="0"/>
              </w:numPr>
              <w:topLinePunct/>
              <w:spacing w:line="340" w:lineRule="exact"/>
              <w:rPr>
                <w:rFonts w:ascii="Times New Roman" w:hAnsi="Times New Roman"/>
                <w:spacing w:val="-4"/>
                <w:sz w:val="28"/>
                <w:szCs w:val="28"/>
              </w:rPr>
            </w:pPr>
            <w:bookmarkStart w:id="657" w:name="_Toc507518532"/>
            <w:bookmarkStart w:id="658" w:name="_Toc507767608"/>
            <w:bookmarkStart w:id="659" w:name="_Toc507768334"/>
            <w:bookmarkStart w:id="660" w:name="_Toc511115322"/>
            <w:bookmarkStart w:id="661" w:name="_Toc511308113"/>
            <w:bookmarkStart w:id="662" w:name="_Toc511998555"/>
            <w:bookmarkStart w:id="663" w:name="_Toc512420912"/>
            <w:r>
              <w:rPr>
                <w:rFonts w:hint="eastAsia"/>
                <w:spacing w:val="-4"/>
                <w:sz w:val="28"/>
                <w:szCs w:val="28"/>
              </w:rPr>
              <w:t>各級政府合計</w:t>
            </w:r>
            <w:r>
              <w:rPr>
                <w:rFonts w:ascii="Times New Roman" w:hAnsi="Times New Roman"/>
                <w:spacing w:val="-4"/>
                <w:sz w:val="28"/>
                <w:szCs w:val="28"/>
              </w:rPr>
              <w:t>(4)=(1)+(2)+(3)</w:t>
            </w:r>
            <w:bookmarkEnd w:id="657"/>
            <w:bookmarkEnd w:id="658"/>
            <w:bookmarkEnd w:id="659"/>
            <w:bookmarkEnd w:id="660"/>
            <w:bookmarkEnd w:id="661"/>
            <w:bookmarkEnd w:id="662"/>
            <w:bookmarkEnd w:id="663"/>
          </w:p>
        </w:tc>
        <w:tc>
          <w:tcPr>
            <w:tcW w:w="2245" w:type="dxa"/>
            <w:tcBorders>
              <w:top w:val="single" w:sz="4" w:space="0" w:color="auto"/>
              <w:left w:val="single" w:sz="4" w:space="0" w:color="auto"/>
              <w:bottom w:val="single" w:sz="8" w:space="0" w:color="auto"/>
              <w:right w:val="single" w:sz="8" w:space="0" w:color="auto"/>
            </w:tcBorders>
            <w:hideMark/>
          </w:tcPr>
          <w:p w:rsidR="0040606A" w:rsidRDefault="0040606A" w:rsidP="00C055EF">
            <w:pPr>
              <w:pStyle w:val="3"/>
              <w:numPr>
                <w:ilvl w:val="0"/>
                <w:numId w:val="0"/>
              </w:numPr>
              <w:topLinePunct/>
              <w:spacing w:line="340" w:lineRule="exact"/>
              <w:jc w:val="right"/>
              <w:rPr>
                <w:rFonts w:ascii="Times New Roman" w:hAnsi="Times New Roman"/>
                <w:spacing w:val="-4"/>
                <w:sz w:val="28"/>
                <w:szCs w:val="28"/>
              </w:rPr>
            </w:pPr>
            <w:bookmarkStart w:id="664" w:name="_Toc507518533"/>
            <w:bookmarkStart w:id="665" w:name="_Toc507767609"/>
            <w:bookmarkStart w:id="666" w:name="_Toc507768335"/>
            <w:bookmarkStart w:id="667" w:name="_Toc511115323"/>
            <w:bookmarkStart w:id="668" w:name="_Toc511308114"/>
            <w:bookmarkStart w:id="669" w:name="_Toc511998556"/>
            <w:bookmarkStart w:id="670" w:name="_Toc512420913"/>
            <w:r>
              <w:rPr>
                <w:rFonts w:ascii="Times New Roman" w:hAnsi="Times New Roman"/>
                <w:spacing w:val="-4"/>
                <w:sz w:val="28"/>
                <w:szCs w:val="28"/>
              </w:rPr>
              <w:t>583.51</w:t>
            </w:r>
            <w:bookmarkEnd w:id="664"/>
            <w:bookmarkEnd w:id="665"/>
            <w:bookmarkEnd w:id="666"/>
            <w:bookmarkEnd w:id="667"/>
            <w:bookmarkEnd w:id="668"/>
            <w:bookmarkEnd w:id="669"/>
            <w:bookmarkEnd w:id="670"/>
          </w:p>
        </w:tc>
      </w:tr>
    </w:tbl>
    <w:p w:rsidR="0040606A" w:rsidRDefault="0040606A" w:rsidP="0040606A">
      <w:pPr>
        <w:pStyle w:val="3"/>
        <w:numPr>
          <w:ilvl w:val="0"/>
          <w:numId w:val="0"/>
        </w:numPr>
        <w:spacing w:line="320" w:lineRule="exact"/>
        <w:ind w:leftChars="406" w:left="2086" w:rightChars="3" w:right="10" w:hanging="705"/>
        <w:rPr>
          <w:rFonts w:ascii="Times New Roman" w:hAnsi="Times New Roman"/>
          <w:spacing w:val="-4"/>
          <w:sz w:val="24"/>
          <w:szCs w:val="24"/>
        </w:rPr>
      </w:pPr>
      <w:bookmarkStart w:id="671" w:name="_Toc507518534"/>
      <w:bookmarkStart w:id="672" w:name="_Toc507767610"/>
      <w:bookmarkStart w:id="673" w:name="_Toc507768336"/>
      <w:bookmarkStart w:id="674" w:name="_Toc511115324"/>
      <w:bookmarkStart w:id="675" w:name="_Toc511308115"/>
      <w:bookmarkStart w:id="676" w:name="_Toc511998557"/>
      <w:bookmarkStart w:id="677" w:name="_Toc512420914"/>
      <w:r>
        <w:rPr>
          <w:rFonts w:hint="eastAsia"/>
          <w:spacing w:val="-4"/>
          <w:sz w:val="24"/>
          <w:szCs w:val="24"/>
        </w:rPr>
        <w:t>備註：本表統計數據係各級政府向「未納入集中支付」基金及特定用途專戶調度周轉金額。</w:t>
      </w:r>
      <w:bookmarkEnd w:id="671"/>
      <w:bookmarkEnd w:id="672"/>
      <w:bookmarkEnd w:id="673"/>
      <w:bookmarkEnd w:id="674"/>
      <w:bookmarkEnd w:id="675"/>
      <w:bookmarkEnd w:id="676"/>
      <w:bookmarkEnd w:id="677"/>
    </w:p>
    <w:p w:rsidR="0040606A" w:rsidRDefault="0040606A" w:rsidP="0040606A">
      <w:pPr>
        <w:pStyle w:val="3"/>
        <w:numPr>
          <w:ilvl w:val="0"/>
          <w:numId w:val="0"/>
        </w:numPr>
        <w:kinsoku w:val="0"/>
        <w:spacing w:afterLines="25" w:after="114" w:line="320" w:lineRule="exact"/>
        <w:ind w:leftChars="406" w:left="2016" w:rightChars="3" w:right="10" w:hanging="635"/>
        <w:rPr>
          <w:spacing w:val="-4"/>
          <w:sz w:val="24"/>
          <w:szCs w:val="24"/>
        </w:rPr>
      </w:pPr>
      <w:bookmarkStart w:id="678" w:name="_Toc507518535"/>
      <w:bookmarkStart w:id="679" w:name="_Toc507767611"/>
      <w:bookmarkStart w:id="680" w:name="_Toc507768337"/>
      <w:bookmarkStart w:id="681" w:name="_Toc511115325"/>
      <w:bookmarkStart w:id="682" w:name="_Toc511308116"/>
      <w:bookmarkStart w:id="683" w:name="_Toc511998558"/>
      <w:bookmarkStart w:id="684" w:name="_Toc512420915"/>
      <w:r>
        <w:rPr>
          <w:rFonts w:hint="eastAsia"/>
          <w:spacing w:val="-4"/>
          <w:sz w:val="24"/>
          <w:szCs w:val="24"/>
        </w:rPr>
        <w:t>資料來源：財政部國庫署網站。</w:t>
      </w:r>
      <w:bookmarkEnd w:id="678"/>
      <w:bookmarkEnd w:id="679"/>
      <w:bookmarkEnd w:id="680"/>
      <w:bookmarkEnd w:id="681"/>
      <w:bookmarkEnd w:id="682"/>
      <w:bookmarkEnd w:id="683"/>
      <w:bookmarkEnd w:id="684"/>
    </w:p>
    <w:p w:rsidR="0040606A" w:rsidRPr="002A1F75" w:rsidRDefault="0040606A" w:rsidP="0040606A">
      <w:pPr>
        <w:pStyle w:val="3"/>
      </w:pPr>
      <w:bookmarkStart w:id="685" w:name="_Toc511308117"/>
      <w:bookmarkStart w:id="686" w:name="_Toc511998559"/>
      <w:bookmarkStart w:id="687" w:name="_Toc512420916"/>
      <w:r w:rsidRPr="002A1F75">
        <w:rPr>
          <w:rFonts w:hint="eastAsia"/>
        </w:rPr>
        <w:t>按</w:t>
      </w:r>
      <w:r w:rsidRPr="002A1F75">
        <w:rPr>
          <w:rFonts w:ascii="Times New Roman" w:hAnsi="Times New Roman" w:hint="eastAsia"/>
        </w:rPr>
        <w:t>民眾以購買彩券支持公益彩券發行，實係期望協助充實政府公益彩券盈餘，以促進社會福利，地方政府獲配之公益彩券盈餘雖係地方政府自有社福財源，但更為民眾愛心之展現，爰尤須妥慎使用，以免影響公益彩券銷售，不利於社會福利經費之籌措，最終損及弱勢民眾福祉。惟因實際已發生部分地方政府因未遵循相關財務法規覈實編列預算與妥適管控收支，而向其所設立之公益彩券盈餘分配基金或專戶調度鉅額款項之情事，且非屬短期調借，此必為購買彩券之民眾所不樂見。以目前地方政府及財政部有關公彩盈餘調借及納入集中支付情形之相關資訊揭露方式，社會各界尚無從得知各地方政府向其所設立之公益彩券盈餘分配基金或專戶調度周轉之情形及金額，</w:t>
      </w:r>
      <w:r w:rsidR="002A1F75" w:rsidRPr="002A1F75">
        <w:rPr>
          <w:rFonts w:hint="eastAsia"/>
        </w:rPr>
        <w:t>非</w:t>
      </w:r>
      <w:r w:rsidRPr="002A1F75">
        <w:rPr>
          <w:rFonts w:hint="eastAsia"/>
        </w:rPr>
        <w:t>但不利公益彩券財務資訊之透明足供社會各界檢視，亦難杜是否妥善運用之眾疑，並使不當調借之縣市政府心生警惕，應予檢討改進</w:t>
      </w:r>
      <w:r w:rsidRPr="002A1F75">
        <w:rPr>
          <w:rFonts w:ascii="Times New Roman" w:hAnsi="Times New Roman" w:hint="eastAsia"/>
        </w:rPr>
        <w:t>。</w:t>
      </w:r>
      <w:bookmarkEnd w:id="685"/>
      <w:bookmarkEnd w:id="686"/>
      <w:bookmarkEnd w:id="687"/>
    </w:p>
    <w:p w:rsidR="0040606A" w:rsidRPr="00CD45E7" w:rsidRDefault="0040606A" w:rsidP="0040606A">
      <w:pPr>
        <w:pStyle w:val="3"/>
        <w:numPr>
          <w:ilvl w:val="1"/>
          <w:numId w:val="9"/>
        </w:numPr>
        <w:topLinePunct/>
        <w:ind w:left="1020" w:hanging="680"/>
        <w:rPr>
          <w:rFonts w:ascii="Times New Roman" w:hAnsi="Times New Roman"/>
          <w:b/>
          <w:spacing w:val="-2"/>
          <w:szCs w:val="32"/>
        </w:rPr>
      </w:pPr>
      <w:bookmarkStart w:id="688" w:name="_Toc507518536"/>
      <w:bookmarkStart w:id="689" w:name="_Toc507767612"/>
      <w:bookmarkStart w:id="690" w:name="_Toc511115327"/>
      <w:bookmarkStart w:id="691" w:name="_Toc512420917"/>
      <w:r w:rsidRPr="00CD45E7">
        <w:rPr>
          <w:rFonts w:ascii="Times New Roman" w:hAnsi="Times New Roman" w:hint="eastAsia"/>
          <w:b/>
          <w:spacing w:val="-2"/>
          <w:szCs w:val="32"/>
        </w:rPr>
        <w:t>公益彩券於</w:t>
      </w:r>
      <w:r w:rsidRPr="00CD45E7">
        <w:rPr>
          <w:rFonts w:ascii="Times New Roman" w:hAnsi="Times New Roman"/>
          <w:b/>
          <w:spacing w:val="-2"/>
          <w:szCs w:val="32"/>
        </w:rPr>
        <w:t>88</w:t>
      </w:r>
      <w:r w:rsidRPr="00CD45E7">
        <w:rPr>
          <w:rFonts w:ascii="Times New Roman" w:hAnsi="Times New Roman" w:hint="eastAsia"/>
          <w:b/>
          <w:spacing w:val="-2"/>
          <w:szCs w:val="32"/>
        </w:rPr>
        <w:t>年</w:t>
      </w:r>
      <w:r w:rsidRPr="00CD45E7">
        <w:rPr>
          <w:rFonts w:ascii="Times New Roman" w:hAnsi="Times New Roman"/>
          <w:b/>
          <w:spacing w:val="-2"/>
          <w:szCs w:val="32"/>
        </w:rPr>
        <w:t>12</w:t>
      </w:r>
      <w:r w:rsidRPr="00CD45E7">
        <w:rPr>
          <w:rFonts w:ascii="Times New Roman" w:hAnsi="Times New Roman" w:hint="eastAsia"/>
          <w:b/>
          <w:spacing w:val="-2"/>
          <w:szCs w:val="32"/>
        </w:rPr>
        <w:t>月</w:t>
      </w:r>
      <w:r w:rsidRPr="00CD45E7">
        <w:rPr>
          <w:rFonts w:ascii="Times New Roman" w:hAnsi="Times New Roman"/>
          <w:b/>
          <w:spacing w:val="-2"/>
          <w:szCs w:val="32"/>
        </w:rPr>
        <w:t>1</w:t>
      </w:r>
      <w:r w:rsidRPr="00CD45E7">
        <w:rPr>
          <w:rFonts w:ascii="Times New Roman" w:hAnsi="Times New Roman" w:hint="eastAsia"/>
          <w:b/>
          <w:spacing w:val="-2"/>
          <w:szCs w:val="32"/>
        </w:rPr>
        <w:t>日發行，其盈餘之</w:t>
      </w:r>
      <w:r w:rsidRPr="00CD45E7">
        <w:rPr>
          <w:rFonts w:ascii="Times New Roman" w:hAnsi="Times New Roman"/>
          <w:b/>
          <w:spacing w:val="-2"/>
          <w:szCs w:val="32"/>
        </w:rPr>
        <w:t>50</w:t>
      </w:r>
      <w:r w:rsidRPr="00CD45E7">
        <w:rPr>
          <w:rFonts w:ascii="Times New Roman" w:hAnsi="Times New Roman" w:hint="eastAsia"/>
          <w:b/>
          <w:spacing w:val="-2"/>
          <w:szCs w:val="32"/>
        </w:rPr>
        <w:t>％分配專供各地方政府辦理社會福利支出之用，惟財政部對於該盈餘之分配指標及權重，</w:t>
      </w:r>
      <w:r w:rsidRPr="002A1F75">
        <w:rPr>
          <w:rFonts w:ascii="Times New Roman" w:hAnsi="Times New Roman" w:hint="eastAsia"/>
          <w:b/>
          <w:spacing w:val="-2"/>
          <w:szCs w:val="32"/>
        </w:rPr>
        <w:t>歷經</w:t>
      </w:r>
      <w:r w:rsidRPr="002A1F75">
        <w:rPr>
          <w:rFonts w:ascii="Times New Roman" w:hAnsi="Times New Roman"/>
          <w:b/>
          <w:spacing w:val="-2"/>
          <w:szCs w:val="32"/>
        </w:rPr>
        <w:t>14</w:t>
      </w:r>
      <w:r w:rsidRPr="002A1F75">
        <w:rPr>
          <w:rFonts w:ascii="Times New Roman" w:hAnsi="Times New Roman" w:hint="eastAsia"/>
          <w:b/>
          <w:spacing w:val="-2"/>
          <w:szCs w:val="32"/>
        </w:rPr>
        <w:t>年後方於</w:t>
      </w:r>
      <w:r w:rsidRPr="002A1F75">
        <w:rPr>
          <w:rFonts w:ascii="Times New Roman" w:hAnsi="Times New Roman"/>
          <w:b/>
          <w:spacing w:val="-2"/>
          <w:szCs w:val="32"/>
        </w:rPr>
        <w:t>102</w:t>
      </w:r>
      <w:r w:rsidRPr="002A1F75">
        <w:rPr>
          <w:rFonts w:ascii="Times New Roman" w:hAnsi="Times New Roman" w:hint="eastAsia"/>
          <w:b/>
          <w:spacing w:val="-2"/>
          <w:szCs w:val="32"/>
        </w:rPr>
        <w:t>年啟動第</w:t>
      </w:r>
      <w:r w:rsidRPr="002A1F75">
        <w:rPr>
          <w:rFonts w:ascii="Times New Roman" w:hAnsi="Times New Roman"/>
          <w:b/>
          <w:spacing w:val="-2"/>
          <w:szCs w:val="32"/>
        </w:rPr>
        <w:t>1</w:t>
      </w:r>
      <w:r w:rsidRPr="002A1F75">
        <w:rPr>
          <w:rFonts w:ascii="Times New Roman" w:hAnsi="Times New Roman" w:hint="eastAsia"/>
          <w:b/>
          <w:spacing w:val="-2"/>
          <w:szCs w:val="32"/>
        </w:rPr>
        <w:t>次檢討，欠缺定期檢討評估機制，以致無從判斷並掌握盈餘分配之合理性及公益性，應予檢討改進。</w:t>
      </w:r>
      <w:bookmarkEnd w:id="688"/>
      <w:bookmarkEnd w:id="689"/>
      <w:bookmarkEnd w:id="690"/>
      <w:bookmarkEnd w:id="691"/>
    </w:p>
    <w:p w:rsidR="0040606A" w:rsidRDefault="0040606A" w:rsidP="0040606A">
      <w:pPr>
        <w:pStyle w:val="3"/>
        <w:numPr>
          <w:ilvl w:val="2"/>
          <w:numId w:val="9"/>
        </w:numPr>
        <w:topLinePunct/>
        <w:ind w:left="1360" w:hanging="680"/>
        <w:rPr>
          <w:rFonts w:ascii="Times New Roman" w:hAnsi="Times New Roman"/>
          <w:b/>
          <w:szCs w:val="48"/>
        </w:rPr>
      </w:pPr>
      <w:bookmarkStart w:id="692" w:name="_Toc507518537"/>
      <w:bookmarkStart w:id="693" w:name="_Toc507491510"/>
      <w:bookmarkStart w:id="694" w:name="_Toc507484686"/>
      <w:bookmarkStart w:id="695" w:name="_Toc507403565"/>
      <w:bookmarkStart w:id="696" w:name="_Toc507359629"/>
      <w:bookmarkStart w:id="697" w:name="_Toc507168663"/>
      <w:bookmarkStart w:id="698" w:name="_Toc507767613"/>
      <w:bookmarkStart w:id="699" w:name="_Toc507768339"/>
      <w:bookmarkStart w:id="700" w:name="_Toc511115328"/>
      <w:bookmarkStart w:id="701" w:name="_Toc511308119"/>
      <w:bookmarkStart w:id="702" w:name="_Toc511998561"/>
      <w:bookmarkStart w:id="703" w:name="_Toc512420918"/>
      <w:bookmarkStart w:id="704" w:name="_Toc507163463"/>
      <w:bookmarkStart w:id="705" w:name="_Toc507163211"/>
      <w:bookmarkStart w:id="706" w:name="_Toc507072976"/>
      <w:r>
        <w:rPr>
          <w:rFonts w:ascii="Times New Roman" w:hAnsi="Times New Roman" w:hint="eastAsia"/>
          <w:spacing w:val="2"/>
        </w:rPr>
        <w:t>依據財政部於</w:t>
      </w:r>
      <w:r>
        <w:rPr>
          <w:rFonts w:ascii="Times New Roman" w:hAnsi="Times New Roman"/>
          <w:spacing w:val="2"/>
        </w:rPr>
        <w:t>88</w:t>
      </w:r>
      <w:r>
        <w:rPr>
          <w:rFonts w:ascii="Times New Roman" w:hAnsi="Times New Roman" w:hint="eastAsia"/>
          <w:spacing w:val="2"/>
        </w:rPr>
        <w:t>年</w:t>
      </w:r>
      <w:r>
        <w:rPr>
          <w:rFonts w:ascii="Times New Roman" w:hAnsi="Times New Roman"/>
          <w:spacing w:val="2"/>
        </w:rPr>
        <w:t>11</w:t>
      </w:r>
      <w:r>
        <w:rPr>
          <w:rFonts w:ascii="Times New Roman" w:hAnsi="Times New Roman" w:hint="eastAsia"/>
          <w:spacing w:val="2"/>
        </w:rPr>
        <w:t>月</w:t>
      </w:r>
      <w:r>
        <w:rPr>
          <w:rFonts w:ascii="Times New Roman" w:hAnsi="Times New Roman"/>
          <w:spacing w:val="2"/>
        </w:rPr>
        <w:t>29</w:t>
      </w:r>
      <w:r>
        <w:rPr>
          <w:rFonts w:ascii="Times New Roman" w:hAnsi="Times New Roman" w:hint="eastAsia"/>
          <w:spacing w:val="2"/>
        </w:rPr>
        <w:t>日訂定之「財政部公益彩券監理委員會組成辦法」第</w:t>
      </w:r>
      <w:r>
        <w:rPr>
          <w:rFonts w:ascii="Times New Roman" w:hAnsi="Times New Roman"/>
          <w:spacing w:val="2"/>
        </w:rPr>
        <w:t>3</w:t>
      </w:r>
      <w:r>
        <w:rPr>
          <w:rFonts w:ascii="Times New Roman" w:hAnsi="Times New Roman" w:hint="eastAsia"/>
          <w:spacing w:val="2"/>
        </w:rPr>
        <w:t>條規定，公益彩券盈餘之分配，應以</w:t>
      </w:r>
      <w:r>
        <w:rPr>
          <w:rFonts w:ascii="Times New Roman" w:hAnsi="Times New Roman"/>
          <w:spacing w:val="2"/>
        </w:rPr>
        <w:t>50</w:t>
      </w:r>
      <w:r>
        <w:rPr>
          <w:rFonts w:hAnsi="標楷體" w:hint="eastAsia"/>
          <w:spacing w:val="2"/>
        </w:rPr>
        <w:t>％</w:t>
      </w:r>
      <w:r>
        <w:rPr>
          <w:rFonts w:ascii="Times New Roman" w:hAnsi="Times New Roman" w:hint="eastAsia"/>
          <w:spacing w:val="2"/>
        </w:rPr>
        <w:t>供地方政府辦理社會福利及慈善等公益活動、</w:t>
      </w:r>
      <w:r>
        <w:rPr>
          <w:rFonts w:ascii="Times New Roman" w:hAnsi="Times New Roman"/>
          <w:spacing w:val="2"/>
        </w:rPr>
        <w:t>45</w:t>
      </w:r>
      <w:r>
        <w:rPr>
          <w:rFonts w:hAnsi="標楷體" w:hint="eastAsia"/>
          <w:spacing w:val="2"/>
        </w:rPr>
        <w:t>％</w:t>
      </w:r>
      <w:r>
        <w:rPr>
          <w:rFonts w:ascii="Times New Roman" w:hAnsi="Times New Roman" w:hint="eastAsia"/>
          <w:spacing w:val="2"/>
        </w:rPr>
        <w:t>供國民年金、</w:t>
      </w:r>
      <w:r>
        <w:rPr>
          <w:rFonts w:ascii="Times New Roman" w:hAnsi="Times New Roman"/>
          <w:spacing w:val="2"/>
        </w:rPr>
        <w:t>5</w:t>
      </w:r>
      <w:r>
        <w:rPr>
          <w:rFonts w:hAnsi="標楷體" w:hint="eastAsia"/>
          <w:spacing w:val="2"/>
        </w:rPr>
        <w:t>％</w:t>
      </w:r>
      <w:r>
        <w:rPr>
          <w:rFonts w:ascii="Times New Roman" w:hAnsi="Times New Roman" w:hint="eastAsia"/>
          <w:spacing w:val="2"/>
        </w:rPr>
        <w:t>供全民健康保險準備之用；前項分配予地方政府之公益彩券盈餘，應先提撥其中之</w:t>
      </w:r>
      <w:r>
        <w:rPr>
          <w:rFonts w:ascii="Times New Roman" w:hAnsi="Times New Roman"/>
          <w:spacing w:val="2"/>
        </w:rPr>
        <w:t>15</w:t>
      </w:r>
      <w:r>
        <w:rPr>
          <w:rFonts w:ascii="Times New Roman" w:hAnsi="Times New Roman" w:hint="eastAsia"/>
          <w:spacing w:val="2"/>
        </w:rPr>
        <w:t>％，平均分配予各地方政府；其餘</w:t>
      </w:r>
      <w:r>
        <w:rPr>
          <w:rFonts w:ascii="Times New Roman" w:hAnsi="Times New Roman"/>
          <w:spacing w:val="2"/>
        </w:rPr>
        <w:t>85</w:t>
      </w:r>
      <w:r>
        <w:rPr>
          <w:rFonts w:ascii="Times New Roman" w:hAnsi="Times New Roman" w:hint="eastAsia"/>
          <w:spacing w:val="2"/>
        </w:rPr>
        <w:t>％，依各直轄市、縣</w:t>
      </w:r>
      <w:r>
        <w:rPr>
          <w:rFonts w:ascii="Times New Roman" w:hAnsi="Times New Roman"/>
          <w:spacing w:val="2"/>
        </w:rPr>
        <w:t>(</w:t>
      </w:r>
      <w:r>
        <w:rPr>
          <w:rFonts w:ascii="Times New Roman" w:hAnsi="Times New Roman" w:hint="eastAsia"/>
          <w:spacing w:val="2"/>
        </w:rPr>
        <w:t>市</w:t>
      </w:r>
      <w:r>
        <w:rPr>
          <w:rFonts w:ascii="Times New Roman" w:hAnsi="Times New Roman"/>
          <w:spacing w:val="2"/>
        </w:rPr>
        <w:t>)</w:t>
      </w:r>
      <w:r>
        <w:rPr>
          <w:rFonts w:ascii="Times New Roman" w:hAnsi="Times New Roman" w:hint="eastAsia"/>
          <w:spacing w:val="2"/>
        </w:rPr>
        <w:t>人口數比例及公益彩券銷售金額比例各占</w:t>
      </w:r>
      <w:r>
        <w:rPr>
          <w:rFonts w:ascii="Times New Roman" w:hAnsi="Times New Roman"/>
          <w:spacing w:val="2"/>
        </w:rPr>
        <w:t>50</w:t>
      </w:r>
      <w:r>
        <w:rPr>
          <w:rFonts w:ascii="Times New Roman" w:hAnsi="Times New Roman" w:hint="eastAsia"/>
          <w:spacing w:val="2"/>
        </w:rPr>
        <w:t>％權數分配之。</w:t>
      </w:r>
      <w:bookmarkEnd w:id="692"/>
      <w:bookmarkEnd w:id="693"/>
      <w:bookmarkEnd w:id="694"/>
      <w:bookmarkEnd w:id="695"/>
      <w:bookmarkEnd w:id="696"/>
      <w:bookmarkEnd w:id="697"/>
      <w:bookmarkEnd w:id="698"/>
      <w:bookmarkEnd w:id="699"/>
      <w:bookmarkEnd w:id="700"/>
      <w:bookmarkEnd w:id="701"/>
      <w:bookmarkEnd w:id="702"/>
      <w:bookmarkEnd w:id="703"/>
    </w:p>
    <w:p w:rsidR="0040606A" w:rsidRDefault="0040606A" w:rsidP="0040606A">
      <w:pPr>
        <w:pStyle w:val="3"/>
        <w:numPr>
          <w:ilvl w:val="2"/>
          <w:numId w:val="9"/>
        </w:numPr>
        <w:topLinePunct/>
        <w:ind w:left="1360" w:hanging="680"/>
        <w:rPr>
          <w:rFonts w:ascii="Times New Roman" w:hAnsi="Times New Roman"/>
          <w:b/>
          <w:szCs w:val="48"/>
        </w:rPr>
      </w:pPr>
      <w:bookmarkStart w:id="707" w:name="_Toc507518538"/>
      <w:bookmarkStart w:id="708" w:name="_Toc507491511"/>
      <w:bookmarkStart w:id="709" w:name="_Toc507484687"/>
      <w:bookmarkStart w:id="710" w:name="_Toc507403566"/>
      <w:bookmarkStart w:id="711" w:name="_Toc507359630"/>
      <w:bookmarkStart w:id="712" w:name="_Toc507168664"/>
      <w:bookmarkStart w:id="713" w:name="_Toc507767614"/>
      <w:bookmarkStart w:id="714" w:name="_Toc507768340"/>
      <w:bookmarkStart w:id="715" w:name="_Toc511115329"/>
      <w:bookmarkStart w:id="716" w:name="_Toc511308120"/>
      <w:bookmarkStart w:id="717" w:name="_Toc511998562"/>
      <w:bookmarkStart w:id="718" w:name="_Toc512420919"/>
      <w:r>
        <w:rPr>
          <w:rFonts w:ascii="Times New Roman" w:hAnsi="Times New Roman" w:hint="eastAsia"/>
        </w:rPr>
        <w:t>從財政部提供之統計資料觀察，</w:t>
      </w:r>
      <w:r>
        <w:rPr>
          <w:rFonts w:ascii="Times New Roman" w:hAnsi="Times New Roman"/>
        </w:rPr>
        <w:t>96</w:t>
      </w:r>
      <w:r>
        <w:rPr>
          <w:rFonts w:ascii="Times New Roman" w:hAnsi="Times New Roman" w:hint="eastAsia"/>
        </w:rPr>
        <w:t>年至</w:t>
      </w:r>
      <w:r>
        <w:rPr>
          <w:rFonts w:ascii="Times New Roman" w:hAnsi="Times New Roman"/>
        </w:rPr>
        <w:t>102</w:t>
      </w:r>
      <w:r>
        <w:rPr>
          <w:rFonts w:ascii="Times New Roman" w:hAnsi="Times New Roman" w:hint="eastAsia"/>
        </w:rPr>
        <w:t>年每年</w:t>
      </w:r>
      <w:r>
        <w:rPr>
          <w:rFonts w:ascii="Times New Roman" w:hAnsi="Times New Roman"/>
        </w:rPr>
        <w:t>6</w:t>
      </w:r>
      <w:r>
        <w:rPr>
          <w:rFonts w:ascii="Times New Roman" w:hAnsi="Times New Roman" w:hint="eastAsia"/>
        </w:rPr>
        <w:t>個直轄市政府</w:t>
      </w:r>
      <w:r w:rsidR="002A1F75">
        <w:rPr>
          <w:rStyle w:val="aff1"/>
          <w:rFonts w:ascii="Times New Roman" w:hAnsi="Times New Roman"/>
        </w:rPr>
        <w:footnoteReference w:id="11"/>
      </w:r>
      <w:r>
        <w:rPr>
          <w:rFonts w:ascii="Times New Roman" w:hAnsi="Times New Roman" w:hint="eastAsia"/>
        </w:rPr>
        <w:t>獲配數占</w:t>
      </w:r>
      <w:r>
        <w:rPr>
          <w:rFonts w:ascii="Times New Roman" w:hAnsi="Times New Roman"/>
        </w:rPr>
        <w:t>22</w:t>
      </w:r>
      <w:r>
        <w:rPr>
          <w:rFonts w:ascii="Times New Roman" w:hAnsi="Times New Roman" w:hint="eastAsia"/>
        </w:rPr>
        <w:t>個地方政府總獲配數之比率皆達</w:t>
      </w:r>
      <w:r w:rsidRPr="001A22C8">
        <w:rPr>
          <w:rFonts w:ascii="Times New Roman" w:hAnsi="Times New Roman"/>
        </w:rPr>
        <w:t>6</w:t>
      </w:r>
      <w:r w:rsidRPr="001A22C8">
        <w:rPr>
          <w:rFonts w:ascii="Times New Roman" w:hAnsi="Times New Roman" w:hint="eastAsia"/>
        </w:rPr>
        <w:t>成以上，其餘</w:t>
      </w:r>
      <w:r w:rsidRPr="001A22C8">
        <w:rPr>
          <w:rFonts w:ascii="Times New Roman" w:hAnsi="Times New Roman"/>
        </w:rPr>
        <w:t>16</w:t>
      </w:r>
      <w:r w:rsidRPr="001A22C8">
        <w:rPr>
          <w:rFonts w:ascii="Times New Roman" w:hAnsi="Times New Roman" w:hint="eastAsia"/>
        </w:rPr>
        <w:t>個地方政府獲配比率皆未超過</w:t>
      </w:r>
      <w:r w:rsidRPr="001A22C8">
        <w:rPr>
          <w:rFonts w:ascii="Times New Roman" w:hAnsi="Times New Roman"/>
        </w:rPr>
        <w:t>4</w:t>
      </w:r>
      <w:r w:rsidRPr="001A22C8">
        <w:rPr>
          <w:rFonts w:ascii="Times New Roman" w:hAnsi="Times New Roman" w:hint="eastAsia"/>
        </w:rPr>
        <w:t>成</w:t>
      </w:r>
      <w:r w:rsidRPr="001A22C8">
        <w:rPr>
          <w:rFonts w:ascii="Times New Roman" w:hAnsi="Times New Roman"/>
        </w:rPr>
        <w:t>(</w:t>
      </w:r>
      <w:r w:rsidRPr="001A22C8">
        <w:rPr>
          <w:rFonts w:ascii="Times New Roman" w:hAnsi="Times New Roman" w:hint="eastAsia"/>
        </w:rPr>
        <w:t>詳見</w:t>
      </w:r>
      <w:r w:rsidR="005D79B1" w:rsidRPr="001A22C8">
        <w:rPr>
          <w:rFonts w:ascii="Times New Roman" w:hAnsi="Times New Roman" w:hint="eastAsia"/>
        </w:rPr>
        <w:t>處理辦法之後的</w:t>
      </w:r>
      <w:r w:rsidRPr="001A22C8">
        <w:rPr>
          <w:rFonts w:ascii="Times New Roman" w:hAnsi="Times New Roman" w:hint="eastAsia"/>
        </w:rPr>
        <w:t>附表一、附表二</w:t>
      </w:r>
      <w:r w:rsidR="001A100D">
        <w:rPr>
          <w:rFonts w:ascii="Times New Roman" w:hAnsi="Times New Roman" w:hint="eastAsia"/>
        </w:rPr>
        <w:t>，以及</w:t>
      </w:r>
      <w:r>
        <w:rPr>
          <w:rFonts w:ascii="Times New Roman" w:hAnsi="Times New Roman" w:hint="eastAsia"/>
        </w:rPr>
        <w:t>下圖</w:t>
      </w:r>
      <w:r>
        <w:rPr>
          <w:rFonts w:ascii="Times New Roman" w:hAnsi="Times New Roman"/>
        </w:rPr>
        <w:t>1)</w:t>
      </w:r>
      <w:r>
        <w:rPr>
          <w:rFonts w:ascii="Times New Roman" w:hint="eastAsia"/>
          <w:szCs w:val="32"/>
        </w:rPr>
        <w:t>。</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rsidR="0040606A" w:rsidRDefault="0040606A" w:rsidP="0040606A">
      <w:pPr>
        <w:pStyle w:val="3"/>
        <w:numPr>
          <w:ilvl w:val="0"/>
          <w:numId w:val="0"/>
        </w:numPr>
        <w:topLinePunct/>
        <w:ind w:left="1360"/>
        <w:rPr>
          <w:rFonts w:ascii="Times New Roman" w:hAnsi="Times New Roman"/>
          <w:b/>
          <w:szCs w:val="48"/>
        </w:rPr>
      </w:pPr>
      <w:bookmarkStart w:id="719" w:name="_Toc507518539"/>
      <w:bookmarkStart w:id="720" w:name="_Toc507491512"/>
      <w:bookmarkStart w:id="721" w:name="_Toc507484688"/>
      <w:bookmarkStart w:id="722" w:name="_Toc507403567"/>
      <w:bookmarkStart w:id="723" w:name="_Toc507359631"/>
      <w:bookmarkStart w:id="724" w:name="_Toc507168665"/>
      <w:bookmarkStart w:id="725" w:name="_Toc507767615"/>
      <w:bookmarkStart w:id="726" w:name="_Toc507768341"/>
      <w:bookmarkStart w:id="727" w:name="_Toc511115330"/>
      <w:bookmarkStart w:id="728" w:name="_Toc511308121"/>
      <w:bookmarkStart w:id="729" w:name="_Toc511998563"/>
      <w:bookmarkStart w:id="730" w:name="_Toc512420920"/>
      <w:r>
        <w:rPr>
          <w:noProof/>
        </w:rPr>
        <w:drawing>
          <wp:inline distT="0" distB="0" distL="0" distR="0" wp14:anchorId="0D698B15" wp14:editId="25096B10">
            <wp:extent cx="5160818" cy="3068782"/>
            <wp:effectExtent l="0" t="0" r="20955" b="17780"/>
            <wp:docPr id="2" name="圖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719"/>
      <w:bookmarkEnd w:id="720"/>
      <w:bookmarkEnd w:id="721"/>
      <w:bookmarkEnd w:id="722"/>
      <w:bookmarkEnd w:id="723"/>
      <w:bookmarkEnd w:id="724"/>
      <w:bookmarkEnd w:id="725"/>
      <w:bookmarkEnd w:id="726"/>
      <w:bookmarkEnd w:id="727"/>
      <w:bookmarkEnd w:id="728"/>
      <w:bookmarkEnd w:id="729"/>
      <w:bookmarkEnd w:id="730"/>
    </w:p>
    <w:p w:rsidR="0040606A" w:rsidRPr="00E665DC" w:rsidRDefault="0040606A" w:rsidP="00E665DC">
      <w:pPr>
        <w:pStyle w:val="a1"/>
        <w:numPr>
          <w:ilvl w:val="0"/>
          <w:numId w:val="46"/>
        </w:numPr>
        <w:spacing w:before="0" w:after="0"/>
        <w:ind w:left="1358" w:rightChars="-192" w:right="-653" w:firstLine="0"/>
        <w:textAlignment w:val="auto"/>
        <w:rPr>
          <w:rFonts w:ascii="Times New Roman" w:hAnsi="Times New Roman"/>
          <w:spacing w:val="0"/>
        </w:rPr>
      </w:pPr>
      <w:bookmarkStart w:id="731" w:name="_Toc507163464"/>
      <w:bookmarkStart w:id="732" w:name="_Toc507163212"/>
      <w:bookmarkStart w:id="733" w:name="_Toc507072977"/>
      <w:r w:rsidRPr="00E665DC">
        <w:rPr>
          <w:rFonts w:ascii="Times New Roman"/>
          <w:b/>
          <w:spacing w:val="0"/>
        </w:rPr>
        <w:t>96</w:t>
      </w:r>
      <w:r w:rsidRPr="00E665DC">
        <w:rPr>
          <w:rFonts w:ascii="Times New Roman" w:hint="eastAsia"/>
          <w:b/>
          <w:spacing w:val="0"/>
        </w:rPr>
        <w:t>年至</w:t>
      </w:r>
      <w:r w:rsidRPr="00E665DC">
        <w:rPr>
          <w:rFonts w:ascii="Times New Roman"/>
          <w:b/>
          <w:spacing w:val="0"/>
        </w:rPr>
        <w:t>105</w:t>
      </w:r>
      <w:r w:rsidRPr="00E665DC">
        <w:rPr>
          <w:rFonts w:ascii="Times New Roman" w:hint="eastAsia"/>
          <w:b/>
          <w:spacing w:val="0"/>
        </w:rPr>
        <w:t>年直轄市及非直轄市政府獲配公益彩券盈餘之占比分布情形</w:t>
      </w:r>
    </w:p>
    <w:p w:rsidR="0040606A" w:rsidRDefault="0040606A" w:rsidP="0040606A">
      <w:pPr>
        <w:pStyle w:val="a1"/>
        <w:numPr>
          <w:ilvl w:val="0"/>
          <w:numId w:val="0"/>
        </w:numPr>
        <w:kinsoku w:val="0"/>
        <w:spacing w:before="0" w:afterLines="25" w:after="114" w:line="320" w:lineRule="exact"/>
        <w:ind w:leftChars="-1" w:left="-3" w:rightChars="-186" w:right="-633" w:firstLineChars="553" w:firstLine="1372"/>
        <w:jc w:val="both"/>
        <w:rPr>
          <w:rFonts w:ascii="Times New Roman" w:hAnsi="Times New Roman"/>
          <w:spacing w:val="2"/>
          <w:sz w:val="24"/>
          <w:szCs w:val="24"/>
        </w:rPr>
      </w:pPr>
      <w:r>
        <w:rPr>
          <w:rFonts w:ascii="Times New Roman" w:hint="eastAsia"/>
          <w:spacing w:val="-6"/>
          <w:sz w:val="24"/>
          <w:szCs w:val="24"/>
        </w:rPr>
        <w:t>資料來源：財政部，本院整理製圖。</w:t>
      </w:r>
    </w:p>
    <w:p w:rsidR="0040606A" w:rsidRDefault="0040606A" w:rsidP="0040606A">
      <w:pPr>
        <w:pStyle w:val="3"/>
        <w:numPr>
          <w:ilvl w:val="2"/>
          <w:numId w:val="9"/>
        </w:numPr>
        <w:ind w:left="1360" w:hanging="680"/>
        <w:rPr>
          <w:rFonts w:ascii="Times New Roman" w:hAnsi="Times New Roman"/>
        </w:rPr>
      </w:pPr>
      <w:bookmarkStart w:id="734" w:name="_Toc507767616"/>
      <w:bookmarkStart w:id="735" w:name="_Toc507768342"/>
      <w:bookmarkStart w:id="736" w:name="_Toc511115331"/>
      <w:bookmarkStart w:id="737" w:name="_Toc511308122"/>
      <w:bookmarkStart w:id="738" w:name="_Toc511998564"/>
      <w:bookmarkStart w:id="739" w:name="_Toc512420921"/>
      <w:r>
        <w:rPr>
          <w:rFonts w:ascii="Times New Roman" w:hAnsi="Times New Roman" w:hint="eastAsia"/>
        </w:rPr>
        <w:t>嗣因部分縣市公益彩券盈餘分配款待運用數偏高，</w:t>
      </w:r>
      <w:r>
        <w:rPr>
          <w:rFonts w:ascii="Times New Roman" w:hAnsi="Times New Roman"/>
        </w:rPr>
        <w:t>100</w:t>
      </w:r>
      <w:r>
        <w:rPr>
          <w:rFonts w:ascii="Times New Roman" w:hAnsi="Times New Roman" w:hint="eastAsia"/>
        </w:rPr>
        <w:t>年立法院財政委員會決議略以：「統計至</w:t>
      </w:r>
      <w:r>
        <w:rPr>
          <w:rFonts w:ascii="Times New Roman" w:hAnsi="Times New Roman"/>
        </w:rPr>
        <w:t>100</w:t>
      </w:r>
      <w:r>
        <w:rPr>
          <w:rFonts w:ascii="Times New Roman" w:hAnsi="Times New Roman" w:hint="eastAsia"/>
        </w:rPr>
        <w:t>年</w:t>
      </w:r>
      <w:r>
        <w:rPr>
          <w:rFonts w:ascii="Times New Roman" w:hAnsi="Times New Roman"/>
        </w:rPr>
        <w:t>6</w:t>
      </w:r>
      <w:r>
        <w:rPr>
          <w:rFonts w:ascii="Times New Roman" w:hAnsi="Times New Roman" w:hint="eastAsia"/>
        </w:rPr>
        <w:t>月底止，分配予各地方政府之彩券盈餘待運用數累計尚有</w:t>
      </w:r>
      <w:r>
        <w:rPr>
          <w:rFonts w:ascii="Times New Roman" w:hAnsi="Times New Roman"/>
        </w:rPr>
        <w:t>113</w:t>
      </w:r>
      <w:r>
        <w:rPr>
          <w:rFonts w:ascii="Times New Roman" w:hAnsi="Times New Roman" w:hint="eastAsia"/>
        </w:rPr>
        <w:t>億</w:t>
      </w:r>
      <w:r>
        <w:rPr>
          <w:rFonts w:ascii="Times New Roman" w:hAnsi="Times New Roman"/>
        </w:rPr>
        <w:t>4,417</w:t>
      </w:r>
      <w:r>
        <w:rPr>
          <w:rFonts w:ascii="Times New Roman" w:hAnsi="Times New Roman" w:hint="eastAsia"/>
        </w:rPr>
        <w:t>萬餘元，部分縣市待運用數甚至超過</w:t>
      </w:r>
      <w:r>
        <w:rPr>
          <w:rFonts w:ascii="Times New Roman" w:hAnsi="Times New Roman"/>
        </w:rPr>
        <w:t>10</w:t>
      </w:r>
      <w:r>
        <w:rPr>
          <w:rFonts w:ascii="Times New Roman" w:hAnsi="Times New Roman" w:hint="eastAsia"/>
        </w:rPr>
        <w:t>億元，顯示大多數地方政府未能積極運用彩券盈餘辦理社會福利事項。有鑑於此，財政部國庫署……應檢討目前盈餘用途、執行方式之妥適性，使公益彩券發行所獲之盈餘，確能增進社會福利。」案經財政部提送該部公益彩券監理委員會第</w:t>
      </w:r>
      <w:r>
        <w:rPr>
          <w:rFonts w:ascii="Times New Roman" w:hAnsi="Times New Roman"/>
        </w:rPr>
        <w:t>52</w:t>
      </w:r>
      <w:r>
        <w:rPr>
          <w:rFonts w:ascii="Times New Roman" w:hAnsi="Times New Roman" w:hint="eastAsia"/>
        </w:rPr>
        <w:t>次會議討論並獲致決議略以：「公益彩券盈餘分配地方政府之方式，委員建議有關保留一定額度，視考核成績增減分配或研訂公式建立獎懲機制；……請財政部研議，如屬可行，即提報本委員會討論。」</w:t>
      </w:r>
      <w:bookmarkEnd w:id="731"/>
      <w:bookmarkEnd w:id="732"/>
      <w:bookmarkEnd w:id="733"/>
      <w:bookmarkEnd w:id="734"/>
      <w:bookmarkEnd w:id="735"/>
      <w:bookmarkEnd w:id="736"/>
      <w:bookmarkEnd w:id="737"/>
      <w:bookmarkEnd w:id="738"/>
      <w:bookmarkEnd w:id="739"/>
    </w:p>
    <w:p w:rsidR="0040606A" w:rsidRDefault="0040606A" w:rsidP="0040606A">
      <w:pPr>
        <w:pStyle w:val="3"/>
        <w:numPr>
          <w:ilvl w:val="2"/>
          <w:numId w:val="9"/>
        </w:numPr>
        <w:ind w:left="1360" w:hanging="680"/>
        <w:rPr>
          <w:rFonts w:ascii="Times New Roman" w:hAnsi="Times New Roman"/>
          <w:szCs w:val="48"/>
        </w:rPr>
      </w:pPr>
      <w:bookmarkStart w:id="740" w:name="_Toc507767617"/>
      <w:bookmarkStart w:id="741" w:name="_Toc507768343"/>
      <w:bookmarkStart w:id="742" w:name="_Toc511115332"/>
      <w:bookmarkStart w:id="743" w:name="_Toc511308123"/>
      <w:bookmarkStart w:id="744" w:name="_Toc511998565"/>
      <w:bookmarkStart w:id="745" w:name="_Toc512420922"/>
      <w:bookmarkStart w:id="746" w:name="_Toc507518541"/>
      <w:bookmarkStart w:id="747" w:name="_Toc507491514"/>
      <w:bookmarkStart w:id="748" w:name="_Toc507484690"/>
      <w:bookmarkStart w:id="749" w:name="_Toc507403569"/>
      <w:bookmarkStart w:id="750" w:name="_Toc507359633"/>
      <w:bookmarkStart w:id="751" w:name="_Toc507168667"/>
      <w:bookmarkStart w:id="752" w:name="_Toc507163465"/>
      <w:bookmarkStart w:id="753" w:name="_Toc507163213"/>
      <w:bookmarkStart w:id="754" w:name="_Toc507072978"/>
      <w:r>
        <w:rPr>
          <w:rFonts w:ascii="Times New Roman" w:hAnsi="Times New Roman" w:hint="eastAsia"/>
        </w:rPr>
        <w:t>財政部基於部分地方政</w:t>
      </w:r>
      <w:r>
        <w:rPr>
          <w:rFonts w:ascii="Times New Roman" w:hAnsi="Times New Roman" w:hint="eastAsia"/>
          <w:szCs w:val="32"/>
        </w:rPr>
        <w:t>府獲配之公益彩券盈餘存有累積待運用數偏高之情事，且考量原分配</w:t>
      </w:r>
      <w:r>
        <w:rPr>
          <w:rFonts w:ascii="Times New Roman" w:hAnsi="Times New Roman" w:hint="eastAsia"/>
        </w:rPr>
        <w:t>公式</w:t>
      </w:r>
      <w:r w:rsidR="00A751D5">
        <w:rPr>
          <w:rFonts w:ascii="Times New Roman" w:hAnsi="Times New Roman" w:hint="eastAsia"/>
        </w:rPr>
        <w:t>係</w:t>
      </w:r>
      <w:r>
        <w:rPr>
          <w:rFonts w:ascii="Times New Roman" w:hAnsi="Times New Roman" w:hint="eastAsia"/>
        </w:rPr>
        <w:t>採計各</w:t>
      </w:r>
      <w:r w:rsidR="00A751D5">
        <w:rPr>
          <w:rFonts w:ascii="Times New Roman" w:hAnsi="Times New Roman" w:hint="eastAsia"/>
        </w:rPr>
        <w:t>縣市</w:t>
      </w:r>
      <w:r>
        <w:rPr>
          <w:rFonts w:ascii="Times New Roman" w:hAnsi="Times New Roman" w:hint="eastAsia"/>
        </w:rPr>
        <w:t>人口數及銷售數額，對於直轄市等人口多、消費力強之都會區域較為有利，恐使盈餘分配存在累退性問題</w:t>
      </w:r>
      <w:r>
        <w:rPr>
          <w:rStyle w:val="aff1"/>
          <w:rFonts w:ascii="Times New Roman" w:hAnsi="Times New Roman"/>
        </w:rPr>
        <w:footnoteReference w:id="12"/>
      </w:r>
      <w:r>
        <w:rPr>
          <w:rFonts w:ascii="Times New Roman" w:hAnsi="Times New Roman" w:hint="eastAsia"/>
        </w:rPr>
        <w:t>，遂於</w:t>
      </w:r>
      <w:r>
        <w:rPr>
          <w:rFonts w:ascii="Times New Roman" w:hAnsi="Times New Roman"/>
        </w:rPr>
        <w:t>102</w:t>
      </w:r>
      <w:r>
        <w:rPr>
          <w:rFonts w:ascii="Times New Roman" w:hAnsi="Times New Roman" w:hint="eastAsia"/>
        </w:rPr>
        <w:t>年</w:t>
      </w:r>
      <w:r>
        <w:rPr>
          <w:rFonts w:ascii="Times New Roman" w:hAnsi="Times New Roman"/>
        </w:rPr>
        <w:t>1</w:t>
      </w:r>
      <w:r>
        <w:rPr>
          <w:rFonts w:ascii="Times New Roman" w:hAnsi="Times New Roman" w:hint="eastAsia"/>
        </w:rPr>
        <w:t>月</w:t>
      </w:r>
      <w:r>
        <w:rPr>
          <w:rFonts w:ascii="Times New Roman" w:hAnsi="Times New Roman"/>
        </w:rPr>
        <w:t>3</w:t>
      </w:r>
      <w:r>
        <w:rPr>
          <w:rFonts w:ascii="Times New Roman" w:hAnsi="Times New Roman" w:hint="eastAsia"/>
        </w:rPr>
        <w:t>日及</w:t>
      </w:r>
      <w:r>
        <w:rPr>
          <w:rFonts w:ascii="Times New Roman" w:hAnsi="Times New Roman"/>
        </w:rPr>
        <w:t>4</w:t>
      </w:r>
      <w:r>
        <w:rPr>
          <w:rFonts w:ascii="Times New Roman" w:hAnsi="Times New Roman" w:hint="eastAsia"/>
        </w:rPr>
        <w:t>月</w:t>
      </w:r>
      <w:r>
        <w:rPr>
          <w:rFonts w:ascii="Times New Roman" w:hAnsi="Times New Roman"/>
        </w:rPr>
        <w:t>8</w:t>
      </w:r>
      <w:r>
        <w:rPr>
          <w:rFonts w:ascii="Times New Roman" w:hAnsi="Times New Roman" w:hint="eastAsia"/>
        </w:rPr>
        <w:t>日邀集原內政部</w:t>
      </w:r>
      <w:r>
        <w:rPr>
          <w:rFonts w:ascii="Times New Roman" w:hAnsi="Times New Roman"/>
        </w:rPr>
        <w:t>(</w:t>
      </w:r>
      <w:r w:rsidRPr="00702A1C">
        <w:rPr>
          <w:rFonts w:ascii="Times New Roman" w:hAnsi="Times New Roman" w:hint="eastAsia"/>
        </w:rPr>
        <w:t>自</w:t>
      </w:r>
      <w:r w:rsidRPr="00702A1C">
        <w:rPr>
          <w:rFonts w:ascii="Times New Roman" w:hAnsi="Times New Roman" w:hint="eastAsia"/>
        </w:rPr>
        <w:t>102</w:t>
      </w:r>
      <w:r w:rsidRPr="00702A1C">
        <w:rPr>
          <w:rFonts w:ascii="Times New Roman" w:hAnsi="Times New Roman" w:hint="eastAsia"/>
        </w:rPr>
        <w:t>年</w:t>
      </w:r>
      <w:r w:rsidRPr="00702A1C">
        <w:rPr>
          <w:rFonts w:ascii="Times New Roman" w:hAnsi="Times New Roman" w:hint="eastAsia"/>
        </w:rPr>
        <w:t>7</w:t>
      </w:r>
      <w:r w:rsidRPr="00702A1C">
        <w:rPr>
          <w:rFonts w:ascii="Times New Roman" w:hAnsi="Times New Roman" w:hint="eastAsia"/>
        </w:rPr>
        <w:t>月</w:t>
      </w:r>
      <w:r w:rsidRPr="00702A1C">
        <w:rPr>
          <w:rFonts w:ascii="Times New Roman" w:hAnsi="Times New Roman" w:hint="eastAsia"/>
        </w:rPr>
        <w:t>23</w:t>
      </w:r>
      <w:r w:rsidRPr="00702A1C">
        <w:rPr>
          <w:rFonts w:ascii="Times New Roman" w:hAnsi="Times New Roman" w:hint="eastAsia"/>
        </w:rPr>
        <w:t>日起改由「衛生福利部」管轄</w:t>
      </w:r>
      <w:r>
        <w:rPr>
          <w:rFonts w:ascii="Times New Roman" w:hAnsi="Times New Roman"/>
        </w:rPr>
        <w:t>)</w:t>
      </w:r>
      <w:r w:rsidR="00DB3C46">
        <w:rPr>
          <w:rFonts w:ascii="Times New Roman" w:hAnsi="Times New Roman" w:hint="eastAsia"/>
        </w:rPr>
        <w:t>及</w:t>
      </w:r>
      <w:r>
        <w:rPr>
          <w:rFonts w:ascii="Times New Roman" w:hAnsi="Times New Roman" w:hint="eastAsia"/>
        </w:rPr>
        <w:t>地方政府召開會議，研商公益彩券盈餘分配予地方政府之調整方案，將社福人口</w:t>
      </w:r>
      <w:r>
        <w:rPr>
          <w:rFonts w:ascii="Times New Roman" w:hAnsi="Times New Roman"/>
        </w:rPr>
        <w:t>(</w:t>
      </w:r>
      <w:r>
        <w:rPr>
          <w:rFonts w:ascii="Times New Roman" w:hAnsi="Times New Roman" w:hint="eastAsia"/>
        </w:rPr>
        <w:t>低收入戶、身心障礙者設算現金給付以外之其他項目支出金額</w:t>
      </w:r>
      <w:r w:rsidR="001A100D">
        <w:rPr>
          <w:rFonts w:ascii="Times New Roman" w:hAnsi="Times New Roman" w:hint="eastAsia"/>
        </w:rPr>
        <w:t>，</w:t>
      </w:r>
      <w:r>
        <w:rPr>
          <w:rFonts w:ascii="Times New Roman" w:hAnsi="Times New Roman" w:hint="eastAsia"/>
        </w:rPr>
        <w:t>兒童、少年、老年人口數，以及特殊境遇家庭戶數</w:t>
      </w:r>
      <w:r>
        <w:rPr>
          <w:rFonts w:ascii="Times New Roman" w:hAnsi="Times New Roman"/>
        </w:rPr>
        <w:t>)</w:t>
      </w:r>
      <w:r>
        <w:rPr>
          <w:rFonts w:ascii="Times New Roman" w:hAnsi="Times New Roman" w:hint="eastAsia"/>
        </w:rPr>
        <w:t>、考核成績納入分配指標，以反映地方社福需求、縮小城鄉差距，並於</w:t>
      </w:r>
      <w:r>
        <w:rPr>
          <w:rFonts w:ascii="Times New Roman" w:hAnsi="Times New Roman"/>
        </w:rPr>
        <w:t>103</w:t>
      </w:r>
      <w:r>
        <w:rPr>
          <w:rFonts w:ascii="Times New Roman" w:hAnsi="Times New Roman" w:hint="eastAsia"/>
        </w:rPr>
        <w:t>年</w:t>
      </w:r>
      <w:r>
        <w:rPr>
          <w:rFonts w:ascii="Times New Roman" w:hAnsi="Times New Roman"/>
        </w:rPr>
        <w:t>1</w:t>
      </w:r>
      <w:r>
        <w:rPr>
          <w:rFonts w:ascii="Times New Roman" w:hAnsi="Times New Roman" w:hint="eastAsia"/>
        </w:rPr>
        <w:t>月</w:t>
      </w:r>
      <w:r>
        <w:rPr>
          <w:rFonts w:ascii="Times New Roman" w:hAnsi="Times New Roman"/>
        </w:rPr>
        <w:t>1</w:t>
      </w:r>
      <w:r>
        <w:rPr>
          <w:rFonts w:ascii="Times New Roman" w:hAnsi="Times New Roman" w:hint="eastAsia"/>
        </w:rPr>
        <w:t>日施行。</w:t>
      </w:r>
      <w:bookmarkEnd w:id="740"/>
      <w:bookmarkEnd w:id="741"/>
      <w:bookmarkEnd w:id="742"/>
      <w:bookmarkEnd w:id="743"/>
      <w:bookmarkEnd w:id="744"/>
      <w:bookmarkEnd w:id="745"/>
    </w:p>
    <w:p w:rsidR="0040606A" w:rsidRDefault="0040606A" w:rsidP="0040606A">
      <w:pPr>
        <w:pStyle w:val="3"/>
        <w:numPr>
          <w:ilvl w:val="2"/>
          <w:numId w:val="9"/>
        </w:numPr>
        <w:topLinePunct/>
        <w:ind w:left="1360" w:hanging="680"/>
        <w:rPr>
          <w:rFonts w:ascii="Times New Roman" w:hAnsi="Times New Roman"/>
          <w:szCs w:val="48"/>
        </w:rPr>
      </w:pPr>
      <w:bookmarkStart w:id="755" w:name="_Toc507767618"/>
      <w:bookmarkStart w:id="756" w:name="_Toc507768344"/>
      <w:bookmarkStart w:id="757" w:name="_Toc511115333"/>
      <w:bookmarkStart w:id="758" w:name="_Toc511308124"/>
      <w:bookmarkStart w:id="759" w:name="_Toc511998566"/>
      <w:bookmarkStart w:id="760" w:name="_Toc512420923"/>
      <w:r>
        <w:rPr>
          <w:rFonts w:ascii="Times New Roman" w:hAnsi="Times New Roman" w:hint="eastAsia"/>
          <w:szCs w:val="48"/>
        </w:rPr>
        <w:t>嗣後財政部</w:t>
      </w:r>
      <w:r>
        <w:rPr>
          <w:rFonts w:ascii="Times New Roman" w:hAnsi="Times New Roman" w:hint="eastAsia"/>
        </w:rPr>
        <w:t>鑑於第</w:t>
      </w:r>
      <w:r>
        <w:rPr>
          <w:rFonts w:ascii="Times New Roman" w:hAnsi="Times New Roman"/>
        </w:rPr>
        <w:t>1</w:t>
      </w:r>
      <w:r>
        <w:rPr>
          <w:rFonts w:ascii="Times New Roman" w:hAnsi="Times New Roman" w:hint="eastAsia"/>
        </w:rPr>
        <w:t>次修正後之分配指標，採計低收入戶、身心障礙者支出金額</w:t>
      </w:r>
      <w:r>
        <w:rPr>
          <w:rFonts w:ascii="Times New Roman" w:hAnsi="Times New Roman"/>
        </w:rPr>
        <w:t>(</w:t>
      </w:r>
      <w:r>
        <w:rPr>
          <w:rFonts w:ascii="Times New Roman" w:hAnsi="Times New Roman" w:hint="eastAsia"/>
        </w:rPr>
        <w:t>設算現金給付除外</w:t>
      </w:r>
      <w:r>
        <w:rPr>
          <w:rFonts w:ascii="Times New Roman" w:hAnsi="Times New Roman"/>
        </w:rPr>
        <w:t>)</w:t>
      </w:r>
      <w:r>
        <w:rPr>
          <w:rFonts w:ascii="Times New Roman" w:hAnsi="Times New Roman" w:hint="eastAsia"/>
        </w:rPr>
        <w:t>，對財政狀況較充裕之地方政府較為有利，爰再次檢討修正分配方式。該部於</w:t>
      </w:r>
      <w:r>
        <w:rPr>
          <w:rFonts w:ascii="Times New Roman" w:hAnsi="Times New Roman"/>
        </w:rPr>
        <w:t>104</w:t>
      </w:r>
      <w:r>
        <w:rPr>
          <w:rFonts w:ascii="Times New Roman" w:hAnsi="Times New Roman" w:hint="eastAsia"/>
        </w:rPr>
        <w:t>年</w:t>
      </w:r>
      <w:r>
        <w:rPr>
          <w:rFonts w:ascii="Times New Roman" w:hAnsi="Times New Roman"/>
        </w:rPr>
        <w:t>3</w:t>
      </w:r>
      <w:r>
        <w:rPr>
          <w:rFonts w:ascii="Times New Roman" w:hAnsi="Times New Roman" w:hint="eastAsia"/>
        </w:rPr>
        <w:t>月</w:t>
      </w:r>
      <w:r>
        <w:rPr>
          <w:rFonts w:ascii="Times New Roman" w:hAnsi="Times New Roman"/>
        </w:rPr>
        <w:t>26</w:t>
      </w:r>
      <w:r>
        <w:rPr>
          <w:rFonts w:ascii="Times New Roman" w:hAnsi="Times New Roman" w:hint="eastAsia"/>
        </w:rPr>
        <w:t>日經邀集衛福部及地方政府召開會議研商，調整公益彩券盈餘分配公式，將</w:t>
      </w:r>
      <w:r>
        <w:rPr>
          <w:rFonts w:ascii="Times New Roman" w:eastAsia="新細明體" w:hAnsi="Times New Roman" w:hint="eastAsia"/>
        </w:rPr>
        <w:t>「</w:t>
      </w:r>
      <w:r>
        <w:rPr>
          <w:rFonts w:ascii="Times New Roman" w:hAnsi="Times New Roman" w:hint="eastAsia"/>
        </w:rPr>
        <w:t>低收入戶支出金額」與「身心障礙者支出金額」</w:t>
      </w:r>
      <w:r>
        <w:rPr>
          <w:rFonts w:ascii="Times New Roman" w:hAnsi="Times New Roman"/>
        </w:rPr>
        <w:t>2</w:t>
      </w:r>
      <w:r>
        <w:rPr>
          <w:rFonts w:ascii="Times New Roman" w:hAnsi="Times New Roman" w:hint="eastAsia"/>
        </w:rPr>
        <w:t>項指標，修改為「低收入戶『戶數』」與「身心障礙者『人口數』」，並於</w:t>
      </w:r>
      <w:r>
        <w:rPr>
          <w:rFonts w:ascii="Times New Roman" w:hAnsi="Times New Roman"/>
        </w:rPr>
        <w:t>105</w:t>
      </w:r>
      <w:r>
        <w:rPr>
          <w:rFonts w:ascii="Times New Roman" w:hAnsi="Times New Roman" w:hint="eastAsia"/>
        </w:rPr>
        <w:t>年</w:t>
      </w:r>
      <w:r>
        <w:rPr>
          <w:rFonts w:ascii="Times New Roman" w:hAnsi="Times New Roman"/>
        </w:rPr>
        <w:t>1</w:t>
      </w:r>
      <w:r>
        <w:rPr>
          <w:rFonts w:ascii="Times New Roman" w:hAnsi="Times New Roman" w:hint="eastAsia"/>
        </w:rPr>
        <w:t>月</w:t>
      </w:r>
      <w:r>
        <w:rPr>
          <w:rFonts w:ascii="Times New Roman" w:hAnsi="Times New Roman"/>
        </w:rPr>
        <w:t>1</w:t>
      </w:r>
      <w:r>
        <w:rPr>
          <w:rFonts w:ascii="Times New Roman" w:hAnsi="Times New Roman" w:hint="eastAsia"/>
        </w:rPr>
        <w:t>日施行。</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rsidR="0040606A" w:rsidRDefault="0040606A" w:rsidP="0040606A">
      <w:pPr>
        <w:pStyle w:val="a3"/>
        <w:numPr>
          <w:ilvl w:val="0"/>
          <w:numId w:val="34"/>
        </w:numPr>
        <w:spacing w:before="120" w:after="0"/>
        <w:ind w:left="2072" w:rightChars="-42" w:right="-143" w:hanging="686"/>
        <w:jc w:val="center"/>
        <w:textAlignment w:val="auto"/>
        <w:rPr>
          <w:rFonts w:ascii="Times New Roman"/>
          <w:b/>
          <w:spacing w:val="-6"/>
        </w:rPr>
      </w:pPr>
      <w:r>
        <w:rPr>
          <w:rFonts w:ascii="Times New Roman" w:hAnsi="Times New Roman" w:hint="eastAsia"/>
          <w:b/>
          <w:spacing w:val="-6"/>
        </w:rPr>
        <w:t>歷年公益彩券</w:t>
      </w:r>
      <w:r>
        <w:rPr>
          <w:rFonts w:ascii="Times New Roman" w:hint="eastAsia"/>
          <w:b/>
          <w:spacing w:val="-6"/>
        </w:rPr>
        <w:t>盈餘分配予地方政府之方式、公式及指標</w:t>
      </w:r>
    </w:p>
    <w:tbl>
      <w:tblPr>
        <w:tblW w:w="7800" w:type="dxa"/>
        <w:tblInd w:w="13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419"/>
        <w:gridCol w:w="1891"/>
        <w:gridCol w:w="2598"/>
        <w:gridCol w:w="1892"/>
      </w:tblGrid>
      <w:tr w:rsidR="0040606A" w:rsidTr="00C055EF">
        <w:trPr>
          <w:trHeight w:val="20"/>
          <w:tblHeader/>
        </w:trPr>
        <w:tc>
          <w:tcPr>
            <w:tcW w:w="1419" w:type="dxa"/>
            <w:tcBorders>
              <w:top w:val="single" w:sz="6" w:space="0" w:color="auto"/>
              <w:left w:val="single" w:sz="6" w:space="0" w:color="auto"/>
              <w:bottom w:val="single" w:sz="6" w:space="0" w:color="auto"/>
              <w:right w:val="single" w:sz="6" w:space="0" w:color="auto"/>
            </w:tcBorders>
            <w:noWrap/>
            <w:hideMark/>
          </w:tcPr>
          <w:p w:rsidR="0040606A" w:rsidRDefault="0040606A" w:rsidP="00C055EF">
            <w:pPr>
              <w:widowControl/>
              <w:kinsoku w:val="0"/>
              <w:spacing w:line="360" w:lineRule="exact"/>
              <w:jc w:val="center"/>
              <w:rPr>
                <w:rFonts w:ascii="Times New Roman"/>
                <w:color w:val="000000"/>
                <w:spacing w:val="-10"/>
                <w:kern w:val="0"/>
                <w:sz w:val="28"/>
                <w:szCs w:val="28"/>
              </w:rPr>
            </w:pPr>
            <w:r>
              <w:rPr>
                <w:rFonts w:ascii="Times New Roman" w:hint="eastAsia"/>
                <w:color w:val="000000"/>
                <w:spacing w:val="-10"/>
                <w:kern w:val="0"/>
                <w:sz w:val="28"/>
                <w:szCs w:val="28"/>
              </w:rPr>
              <w:t>時間</w:t>
            </w:r>
          </w:p>
        </w:tc>
        <w:tc>
          <w:tcPr>
            <w:tcW w:w="1891" w:type="dxa"/>
            <w:tcBorders>
              <w:top w:val="single" w:sz="6" w:space="0" w:color="auto"/>
              <w:left w:val="single" w:sz="6" w:space="0" w:color="auto"/>
              <w:bottom w:val="single" w:sz="6" w:space="0" w:color="auto"/>
              <w:right w:val="single" w:sz="6" w:space="0" w:color="auto"/>
            </w:tcBorders>
            <w:hideMark/>
          </w:tcPr>
          <w:p w:rsidR="0040606A" w:rsidRDefault="0040606A" w:rsidP="00C055EF">
            <w:pPr>
              <w:widowControl/>
              <w:kinsoku w:val="0"/>
              <w:spacing w:line="360" w:lineRule="exact"/>
              <w:jc w:val="center"/>
              <w:rPr>
                <w:rFonts w:ascii="Times New Roman"/>
                <w:color w:val="000000"/>
                <w:spacing w:val="-16"/>
                <w:kern w:val="0"/>
                <w:sz w:val="28"/>
                <w:szCs w:val="28"/>
              </w:rPr>
            </w:pPr>
            <w:r>
              <w:rPr>
                <w:rFonts w:ascii="Times New Roman"/>
                <w:color w:val="000000"/>
                <w:spacing w:val="-16"/>
                <w:kern w:val="0"/>
                <w:sz w:val="28"/>
                <w:szCs w:val="28"/>
              </w:rPr>
              <w:t>88</w:t>
            </w:r>
            <w:r>
              <w:rPr>
                <w:rFonts w:ascii="Times New Roman" w:hint="eastAsia"/>
                <w:color w:val="000000"/>
                <w:spacing w:val="-16"/>
                <w:kern w:val="0"/>
                <w:sz w:val="28"/>
                <w:szCs w:val="28"/>
              </w:rPr>
              <w:t>年至</w:t>
            </w:r>
            <w:r>
              <w:rPr>
                <w:rFonts w:ascii="Times New Roman"/>
                <w:color w:val="000000"/>
                <w:spacing w:val="-16"/>
                <w:kern w:val="0"/>
                <w:sz w:val="28"/>
                <w:szCs w:val="28"/>
              </w:rPr>
              <w:t>102</w:t>
            </w:r>
            <w:r>
              <w:rPr>
                <w:rFonts w:ascii="Times New Roman" w:hint="eastAsia"/>
                <w:color w:val="000000"/>
                <w:spacing w:val="-16"/>
                <w:kern w:val="0"/>
                <w:sz w:val="28"/>
                <w:szCs w:val="28"/>
              </w:rPr>
              <w:t>年</w:t>
            </w:r>
          </w:p>
        </w:tc>
        <w:tc>
          <w:tcPr>
            <w:tcW w:w="2598" w:type="dxa"/>
            <w:tcBorders>
              <w:top w:val="single" w:sz="6" w:space="0" w:color="auto"/>
              <w:left w:val="single" w:sz="6" w:space="0" w:color="auto"/>
              <w:bottom w:val="single" w:sz="6" w:space="0" w:color="auto"/>
              <w:right w:val="single" w:sz="6" w:space="0" w:color="auto"/>
            </w:tcBorders>
            <w:hideMark/>
          </w:tcPr>
          <w:p w:rsidR="0040606A" w:rsidRDefault="0040606A" w:rsidP="00C055EF">
            <w:pPr>
              <w:widowControl/>
              <w:kinsoku w:val="0"/>
              <w:spacing w:line="360" w:lineRule="exact"/>
              <w:jc w:val="center"/>
              <w:rPr>
                <w:rFonts w:ascii="Times New Roman"/>
                <w:color w:val="000000"/>
                <w:spacing w:val="-16"/>
                <w:kern w:val="0"/>
                <w:sz w:val="28"/>
                <w:szCs w:val="28"/>
              </w:rPr>
            </w:pPr>
            <w:r>
              <w:rPr>
                <w:rFonts w:ascii="Times New Roman"/>
                <w:color w:val="000000"/>
                <w:spacing w:val="-16"/>
                <w:kern w:val="0"/>
                <w:sz w:val="28"/>
                <w:szCs w:val="28"/>
              </w:rPr>
              <w:t>103</w:t>
            </w:r>
            <w:r>
              <w:rPr>
                <w:rFonts w:ascii="Times New Roman" w:hint="eastAsia"/>
                <w:color w:val="000000"/>
                <w:spacing w:val="-16"/>
                <w:kern w:val="0"/>
                <w:sz w:val="28"/>
                <w:szCs w:val="28"/>
              </w:rPr>
              <w:t>年至</w:t>
            </w:r>
            <w:r>
              <w:rPr>
                <w:rFonts w:ascii="Times New Roman"/>
                <w:color w:val="000000"/>
                <w:spacing w:val="-16"/>
                <w:kern w:val="0"/>
                <w:sz w:val="28"/>
                <w:szCs w:val="28"/>
              </w:rPr>
              <w:t>104</w:t>
            </w:r>
            <w:r>
              <w:rPr>
                <w:rFonts w:ascii="Times New Roman" w:hint="eastAsia"/>
                <w:color w:val="000000"/>
                <w:spacing w:val="-16"/>
                <w:kern w:val="0"/>
                <w:sz w:val="28"/>
                <w:szCs w:val="28"/>
              </w:rPr>
              <w:t>年</w:t>
            </w:r>
          </w:p>
        </w:tc>
        <w:tc>
          <w:tcPr>
            <w:tcW w:w="1892" w:type="dxa"/>
            <w:tcBorders>
              <w:top w:val="single" w:sz="6" w:space="0" w:color="auto"/>
              <w:left w:val="single" w:sz="6" w:space="0" w:color="auto"/>
              <w:bottom w:val="single" w:sz="6" w:space="0" w:color="auto"/>
              <w:right w:val="single" w:sz="6" w:space="0" w:color="auto"/>
            </w:tcBorders>
            <w:hideMark/>
          </w:tcPr>
          <w:p w:rsidR="0040606A" w:rsidRDefault="0040606A" w:rsidP="00C055EF">
            <w:pPr>
              <w:widowControl/>
              <w:kinsoku w:val="0"/>
              <w:spacing w:line="360" w:lineRule="exact"/>
              <w:jc w:val="center"/>
              <w:rPr>
                <w:rFonts w:ascii="Times New Roman"/>
                <w:color w:val="000000"/>
                <w:spacing w:val="-16"/>
                <w:kern w:val="0"/>
                <w:sz w:val="28"/>
                <w:szCs w:val="28"/>
              </w:rPr>
            </w:pPr>
            <w:r>
              <w:rPr>
                <w:rFonts w:ascii="Times New Roman"/>
                <w:color w:val="000000"/>
                <w:spacing w:val="-16"/>
                <w:kern w:val="0"/>
                <w:sz w:val="28"/>
                <w:szCs w:val="28"/>
              </w:rPr>
              <w:t>105</w:t>
            </w:r>
            <w:r>
              <w:rPr>
                <w:rFonts w:ascii="Times New Roman" w:hint="eastAsia"/>
                <w:color w:val="000000"/>
                <w:spacing w:val="-16"/>
                <w:kern w:val="0"/>
                <w:sz w:val="28"/>
                <w:szCs w:val="28"/>
              </w:rPr>
              <w:t>年</w:t>
            </w:r>
            <w:r>
              <w:rPr>
                <w:rFonts w:ascii="Times New Roman"/>
                <w:color w:val="000000"/>
                <w:spacing w:val="-16"/>
                <w:kern w:val="0"/>
                <w:sz w:val="28"/>
                <w:szCs w:val="28"/>
              </w:rPr>
              <w:t>1</w:t>
            </w:r>
            <w:r>
              <w:rPr>
                <w:rFonts w:ascii="Times New Roman" w:hint="eastAsia"/>
                <w:color w:val="000000"/>
                <w:spacing w:val="-16"/>
                <w:kern w:val="0"/>
                <w:sz w:val="28"/>
                <w:szCs w:val="28"/>
              </w:rPr>
              <w:t>月</w:t>
            </w:r>
            <w:r>
              <w:rPr>
                <w:rFonts w:ascii="Times New Roman"/>
                <w:color w:val="000000"/>
                <w:spacing w:val="-16"/>
                <w:kern w:val="0"/>
                <w:sz w:val="28"/>
                <w:szCs w:val="28"/>
              </w:rPr>
              <w:t>1</w:t>
            </w:r>
            <w:r>
              <w:rPr>
                <w:rFonts w:ascii="Times New Roman" w:hint="eastAsia"/>
                <w:color w:val="000000"/>
                <w:spacing w:val="-16"/>
                <w:kern w:val="0"/>
                <w:sz w:val="28"/>
                <w:szCs w:val="28"/>
              </w:rPr>
              <w:t>日起</w:t>
            </w:r>
          </w:p>
        </w:tc>
      </w:tr>
      <w:tr w:rsidR="0040606A" w:rsidTr="00C055EF">
        <w:trPr>
          <w:trHeight w:val="20"/>
        </w:trPr>
        <w:tc>
          <w:tcPr>
            <w:tcW w:w="1419" w:type="dxa"/>
            <w:tcBorders>
              <w:top w:val="single" w:sz="6" w:space="0" w:color="auto"/>
              <w:left w:val="single" w:sz="6" w:space="0" w:color="auto"/>
              <w:bottom w:val="single" w:sz="6" w:space="0" w:color="auto"/>
              <w:right w:val="single" w:sz="6" w:space="0" w:color="auto"/>
            </w:tcBorders>
            <w:noWrap/>
            <w:vAlign w:val="center"/>
            <w:hideMark/>
          </w:tcPr>
          <w:p w:rsidR="0040606A" w:rsidRDefault="0040606A" w:rsidP="00C055EF">
            <w:pPr>
              <w:widowControl/>
              <w:kinsoku w:val="0"/>
              <w:spacing w:line="340" w:lineRule="exact"/>
              <w:jc w:val="center"/>
              <w:rPr>
                <w:rFonts w:ascii="Times New Roman"/>
                <w:color w:val="000000"/>
                <w:kern w:val="0"/>
                <w:sz w:val="26"/>
                <w:szCs w:val="26"/>
              </w:rPr>
            </w:pPr>
            <w:r>
              <w:rPr>
                <w:rFonts w:ascii="Times New Roman" w:hint="eastAsia"/>
                <w:color w:val="000000"/>
                <w:kern w:val="0"/>
                <w:sz w:val="26"/>
                <w:szCs w:val="26"/>
              </w:rPr>
              <w:t>分配方式</w:t>
            </w:r>
          </w:p>
        </w:tc>
        <w:tc>
          <w:tcPr>
            <w:tcW w:w="1891"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kinsoku w:val="0"/>
              <w:spacing w:line="340" w:lineRule="exact"/>
              <w:rPr>
                <w:rFonts w:ascii="Times New Roman"/>
                <w:color w:val="000000"/>
                <w:kern w:val="0"/>
                <w:sz w:val="26"/>
                <w:szCs w:val="26"/>
              </w:rPr>
            </w:pPr>
            <w:r>
              <w:rPr>
                <w:rFonts w:ascii="Times New Roman" w:hint="eastAsia"/>
                <w:color w:val="000000"/>
                <w:kern w:val="0"/>
                <w:sz w:val="26"/>
                <w:szCs w:val="26"/>
              </w:rPr>
              <w:t>無區分</w:t>
            </w:r>
          </w:p>
        </w:tc>
        <w:tc>
          <w:tcPr>
            <w:tcW w:w="2598"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kinsoku w:val="0"/>
              <w:spacing w:line="340" w:lineRule="exact"/>
              <w:jc w:val="center"/>
              <w:rPr>
                <w:rFonts w:ascii="Times New Roman"/>
                <w:color w:val="000000"/>
                <w:kern w:val="0"/>
                <w:sz w:val="26"/>
                <w:szCs w:val="26"/>
              </w:rPr>
            </w:pPr>
            <w:r>
              <w:rPr>
                <w:rFonts w:ascii="Times New Roman" w:hint="eastAsia"/>
                <w:color w:val="000000"/>
                <w:kern w:val="0"/>
                <w:sz w:val="26"/>
                <w:szCs w:val="26"/>
              </w:rPr>
              <w:t>「先行撥付」及</w:t>
            </w:r>
          </w:p>
          <w:p w:rsidR="0040606A" w:rsidRDefault="0040606A" w:rsidP="00C055EF">
            <w:pPr>
              <w:widowControl/>
              <w:kinsoku w:val="0"/>
              <w:spacing w:line="340" w:lineRule="exact"/>
              <w:jc w:val="center"/>
              <w:rPr>
                <w:rFonts w:ascii="Times New Roman"/>
                <w:color w:val="000000"/>
                <w:spacing w:val="-8"/>
                <w:kern w:val="0"/>
                <w:sz w:val="26"/>
                <w:szCs w:val="26"/>
              </w:rPr>
            </w:pPr>
            <w:r>
              <w:rPr>
                <w:rFonts w:ascii="Times New Roman" w:hint="eastAsia"/>
                <w:color w:val="000000"/>
                <w:kern w:val="0"/>
                <w:sz w:val="26"/>
                <w:szCs w:val="26"/>
              </w:rPr>
              <w:t>「另為撥付」</w:t>
            </w:r>
          </w:p>
        </w:tc>
        <w:tc>
          <w:tcPr>
            <w:tcW w:w="1892"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kinsoku w:val="0"/>
              <w:spacing w:line="340" w:lineRule="exact"/>
              <w:rPr>
                <w:rFonts w:ascii="Times New Roman"/>
                <w:color w:val="000000"/>
                <w:kern w:val="0"/>
                <w:sz w:val="26"/>
                <w:szCs w:val="26"/>
              </w:rPr>
            </w:pPr>
            <w:r>
              <w:rPr>
                <w:rFonts w:ascii="Times New Roman" w:hint="eastAsia"/>
                <w:color w:val="000000"/>
                <w:kern w:val="0"/>
                <w:sz w:val="26"/>
                <w:szCs w:val="26"/>
              </w:rPr>
              <w:t>同左</w:t>
            </w:r>
          </w:p>
        </w:tc>
      </w:tr>
      <w:tr w:rsidR="0040606A" w:rsidTr="00C055EF">
        <w:trPr>
          <w:trHeight w:val="20"/>
        </w:trPr>
        <w:tc>
          <w:tcPr>
            <w:tcW w:w="1419"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kinsoku w:val="0"/>
              <w:spacing w:line="340" w:lineRule="exact"/>
              <w:jc w:val="center"/>
              <w:rPr>
                <w:rFonts w:ascii="Times New Roman"/>
                <w:color w:val="000000"/>
                <w:kern w:val="0"/>
                <w:sz w:val="26"/>
                <w:szCs w:val="26"/>
              </w:rPr>
            </w:pPr>
            <w:r>
              <w:rPr>
                <w:rFonts w:ascii="Times New Roman" w:hint="eastAsia"/>
                <w:color w:val="000000"/>
                <w:spacing w:val="-10"/>
                <w:kern w:val="0"/>
                <w:sz w:val="26"/>
                <w:szCs w:val="26"/>
              </w:rPr>
              <w:t>各地方政府</w:t>
            </w:r>
            <w:r>
              <w:rPr>
                <w:rFonts w:ascii="Times New Roman" w:hint="eastAsia"/>
                <w:color w:val="000000"/>
                <w:kern w:val="0"/>
                <w:sz w:val="26"/>
                <w:szCs w:val="26"/>
              </w:rPr>
              <w:t>獲配數</w:t>
            </w:r>
          </w:p>
        </w:tc>
        <w:tc>
          <w:tcPr>
            <w:tcW w:w="1891" w:type="dxa"/>
            <w:tcBorders>
              <w:top w:val="single" w:sz="6" w:space="0" w:color="auto"/>
              <w:left w:val="single" w:sz="6" w:space="0" w:color="auto"/>
              <w:bottom w:val="single" w:sz="6" w:space="0" w:color="auto"/>
              <w:right w:val="single" w:sz="6" w:space="0" w:color="auto"/>
            </w:tcBorders>
            <w:vAlign w:val="center"/>
            <w:hideMark/>
          </w:tcPr>
          <w:p w:rsidR="0040606A" w:rsidRPr="00760ECF" w:rsidRDefault="0040606A" w:rsidP="00C055EF">
            <w:pPr>
              <w:widowControl/>
              <w:kinsoku w:val="0"/>
              <w:spacing w:line="340" w:lineRule="exact"/>
              <w:rPr>
                <w:rFonts w:ascii="Times New Roman"/>
                <w:color w:val="000000" w:themeColor="text1"/>
                <w:kern w:val="0"/>
                <w:sz w:val="26"/>
                <w:szCs w:val="26"/>
              </w:rPr>
            </w:pPr>
            <w:r w:rsidRPr="00760ECF">
              <w:rPr>
                <w:rFonts w:ascii="Times New Roman" w:hint="eastAsia"/>
                <w:color w:val="000000" w:themeColor="text1"/>
                <w:kern w:val="0"/>
                <w:sz w:val="26"/>
                <w:szCs w:val="26"/>
              </w:rPr>
              <w:t>發行機構按月結算盈餘數</w:t>
            </w:r>
            <w:r w:rsidRPr="00760ECF">
              <w:rPr>
                <w:rFonts w:ascii="Times New Roman"/>
                <w:color w:val="000000" w:themeColor="text1"/>
                <w:kern w:val="0"/>
                <w:sz w:val="26"/>
                <w:szCs w:val="26"/>
              </w:rPr>
              <w:t>×</w:t>
            </w:r>
            <w:r w:rsidRPr="00760ECF">
              <w:rPr>
                <w:rFonts w:ascii="Times New Roman" w:hint="eastAsia"/>
                <w:color w:val="000000" w:themeColor="text1"/>
                <w:kern w:val="0"/>
                <w:sz w:val="26"/>
                <w:szCs w:val="26"/>
              </w:rPr>
              <w:t>分配指標權重</w:t>
            </w:r>
          </w:p>
        </w:tc>
        <w:tc>
          <w:tcPr>
            <w:tcW w:w="2598" w:type="dxa"/>
            <w:tcBorders>
              <w:top w:val="single" w:sz="6" w:space="0" w:color="auto"/>
              <w:left w:val="single" w:sz="6" w:space="0" w:color="auto"/>
              <w:bottom w:val="single" w:sz="6" w:space="0" w:color="auto"/>
              <w:right w:val="single" w:sz="6" w:space="0" w:color="auto"/>
            </w:tcBorders>
            <w:vAlign w:val="center"/>
            <w:hideMark/>
          </w:tcPr>
          <w:p w:rsidR="0040606A" w:rsidRPr="00760ECF" w:rsidRDefault="0040606A" w:rsidP="00C055EF">
            <w:pPr>
              <w:widowControl/>
              <w:kinsoku w:val="0"/>
              <w:spacing w:line="340" w:lineRule="exact"/>
              <w:rPr>
                <w:rFonts w:ascii="Times New Roman"/>
                <w:color w:val="000000" w:themeColor="text1"/>
                <w:kern w:val="0"/>
                <w:sz w:val="26"/>
                <w:szCs w:val="26"/>
              </w:rPr>
            </w:pPr>
            <w:r w:rsidRPr="00760ECF">
              <w:rPr>
                <w:rFonts w:ascii="Times New Roman" w:hint="eastAsia"/>
                <w:color w:val="000000" w:themeColor="text1"/>
                <w:spacing w:val="-10"/>
                <w:kern w:val="0"/>
                <w:sz w:val="26"/>
                <w:szCs w:val="26"/>
              </w:rPr>
              <w:t>先行撥付數</w:t>
            </w:r>
            <w:r w:rsidRPr="00760ECF">
              <w:rPr>
                <w:rFonts w:ascii="Times New Roman"/>
                <w:color w:val="000000" w:themeColor="text1"/>
                <w:spacing w:val="-10"/>
                <w:kern w:val="0"/>
                <w:sz w:val="26"/>
                <w:szCs w:val="26"/>
              </w:rPr>
              <w:t>=</w:t>
            </w:r>
            <w:r w:rsidRPr="00760ECF">
              <w:rPr>
                <w:rFonts w:ascii="Times New Roman" w:hint="eastAsia"/>
                <w:color w:val="000000" w:themeColor="text1"/>
                <w:spacing w:val="-10"/>
                <w:kern w:val="0"/>
                <w:sz w:val="26"/>
                <w:szCs w:val="26"/>
              </w:rPr>
              <w:t>依當年度</w:t>
            </w:r>
            <w:r w:rsidRPr="00760ECF">
              <w:rPr>
                <w:rFonts w:ascii="Times New Roman" w:hint="eastAsia"/>
                <w:color w:val="000000" w:themeColor="text1"/>
                <w:kern w:val="0"/>
                <w:sz w:val="26"/>
                <w:szCs w:val="26"/>
              </w:rPr>
              <w:t>預算編列合計數計算之各月份分配額度</w:t>
            </w:r>
            <w:r w:rsidRPr="00760ECF">
              <w:rPr>
                <w:rFonts w:ascii="Times New Roman"/>
                <w:color w:val="000000" w:themeColor="text1"/>
                <w:kern w:val="0"/>
                <w:sz w:val="26"/>
                <w:szCs w:val="26"/>
              </w:rPr>
              <w:t>×</w:t>
            </w:r>
            <w:r w:rsidRPr="00760ECF">
              <w:rPr>
                <w:rFonts w:ascii="Times New Roman" w:hint="eastAsia"/>
                <w:color w:val="000000" w:themeColor="text1"/>
                <w:kern w:val="0"/>
                <w:sz w:val="26"/>
                <w:szCs w:val="26"/>
              </w:rPr>
              <w:t>分配指標權重</w:t>
            </w:r>
          </w:p>
        </w:tc>
        <w:tc>
          <w:tcPr>
            <w:tcW w:w="1892"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kinsoku w:val="0"/>
              <w:spacing w:line="340" w:lineRule="exact"/>
              <w:rPr>
                <w:rFonts w:ascii="Times New Roman"/>
                <w:color w:val="000000"/>
                <w:kern w:val="0"/>
                <w:sz w:val="26"/>
                <w:szCs w:val="26"/>
              </w:rPr>
            </w:pPr>
            <w:r>
              <w:rPr>
                <w:rFonts w:ascii="Times New Roman" w:hint="eastAsia"/>
                <w:color w:val="000000"/>
                <w:kern w:val="0"/>
                <w:sz w:val="26"/>
                <w:szCs w:val="26"/>
              </w:rPr>
              <w:t>同左</w:t>
            </w:r>
          </w:p>
        </w:tc>
      </w:tr>
      <w:tr w:rsidR="0040606A" w:rsidTr="00C055EF">
        <w:trPr>
          <w:trHeight w:val="20"/>
        </w:trPr>
        <w:tc>
          <w:tcPr>
            <w:tcW w:w="1419"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kinsoku w:val="0"/>
              <w:spacing w:line="340" w:lineRule="exact"/>
              <w:jc w:val="center"/>
              <w:rPr>
                <w:rFonts w:ascii="Times New Roman"/>
                <w:color w:val="000000"/>
                <w:kern w:val="0"/>
                <w:sz w:val="26"/>
                <w:szCs w:val="26"/>
              </w:rPr>
            </w:pPr>
            <w:r>
              <w:rPr>
                <w:rFonts w:ascii="Times New Roman" w:hint="eastAsia"/>
                <w:color w:val="000000"/>
                <w:kern w:val="0"/>
                <w:sz w:val="26"/>
                <w:szCs w:val="26"/>
              </w:rPr>
              <w:t>分配指標權重</w:t>
            </w:r>
          </w:p>
        </w:tc>
        <w:tc>
          <w:tcPr>
            <w:tcW w:w="1891" w:type="dxa"/>
            <w:tcBorders>
              <w:top w:val="single" w:sz="6" w:space="0" w:color="auto"/>
              <w:left w:val="single" w:sz="6" w:space="0" w:color="auto"/>
              <w:bottom w:val="single" w:sz="6" w:space="0" w:color="auto"/>
              <w:right w:val="single" w:sz="6" w:space="0" w:color="auto"/>
            </w:tcBorders>
            <w:hideMark/>
          </w:tcPr>
          <w:p w:rsidR="0040606A" w:rsidRPr="00760ECF" w:rsidRDefault="0040606A" w:rsidP="00C055EF">
            <w:pPr>
              <w:pStyle w:val="afc"/>
              <w:widowControl/>
              <w:numPr>
                <w:ilvl w:val="0"/>
                <w:numId w:val="36"/>
              </w:numPr>
              <w:kinsoku w:val="0"/>
              <w:spacing w:line="340" w:lineRule="exact"/>
              <w:ind w:leftChars="0"/>
              <w:rPr>
                <w:rFonts w:ascii="Times New Roman"/>
                <w:color w:val="000000" w:themeColor="text1"/>
                <w:kern w:val="0"/>
                <w:sz w:val="26"/>
                <w:szCs w:val="26"/>
              </w:rPr>
            </w:pPr>
            <w:r w:rsidRPr="00760ECF">
              <w:rPr>
                <w:rFonts w:ascii="Times New Roman"/>
                <w:color w:val="000000" w:themeColor="text1"/>
                <w:kern w:val="0"/>
                <w:sz w:val="26"/>
                <w:szCs w:val="26"/>
              </w:rPr>
              <w:t>15</w:t>
            </w:r>
            <w:r w:rsidRPr="00760ECF">
              <w:rPr>
                <w:rFonts w:ascii="Times New Roman" w:hint="eastAsia"/>
                <w:color w:val="000000" w:themeColor="text1"/>
                <w:kern w:val="0"/>
                <w:sz w:val="26"/>
                <w:szCs w:val="26"/>
              </w:rPr>
              <w:t>％：平均分配</w:t>
            </w:r>
            <w:r w:rsidRPr="00760ECF">
              <w:rPr>
                <w:rFonts w:ascii="Times New Roman"/>
                <w:color w:val="000000" w:themeColor="text1"/>
                <w:kern w:val="0"/>
                <w:sz w:val="26"/>
                <w:szCs w:val="26"/>
              </w:rPr>
              <w:t>22</w:t>
            </w:r>
            <w:r w:rsidRPr="00760ECF">
              <w:rPr>
                <w:rFonts w:ascii="Times New Roman" w:hint="eastAsia"/>
                <w:color w:val="000000" w:themeColor="text1"/>
                <w:kern w:val="0"/>
                <w:sz w:val="26"/>
                <w:szCs w:val="26"/>
              </w:rPr>
              <w:t>個地方政府。</w:t>
            </w:r>
          </w:p>
          <w:p w:rsidR="0040606A" w:rsidRPr="00760ECF" w:rsidRDefault="0040606A" w:rsidP="00C055EF">
            <w:pPr>
              <w:pStyle w:val="afc"/>
              <w:widowControl/>
              <w:numPr>
                <w:ilvl w:val="0"/>
                <w:numId w:val="36"/>
              </w:numPr>
              <w:kinsoku w:val="0"/>
              <w:spacing w:line="340" w:lineRule="exact"/>
              <w:ind w:leftChars="0"/>
              <w:rPr>
                <w:rFonts w:ascii="Times New Roman"/>
                <w:color w:val="000000" w:themeColor="text1"/>
                <w:kern w:val="0"/>
                <w:sz w:val="26"/>
                <w:szCs w:val="26"/>
              </w:rPr>
            </w:pPr>
            <w:r w:rsidRPr="00760ECF">
              <w:rPr>
                <w:rFonts w:ascii="Times New Roman"/>
                <w:color w:val="000000" w:themeColor="text1"/>
                <w:kern w:val="0"/>
                <w:sz w:val="26"/>
                <w:szCs w:val="26"/>
              </w:rPr>
              <w:t>85</w:t>
            </w:r>
            <w:r w:rsidRPr="00760ECF">
              <w:rPr>
                <w:rFonts w:ascii="Times New Roman" w:hint="eastAsia"/>
                <w:color w:val="000000" w:themeColor="text1"/>
                <w:kern w:val="0"/>
                <w:sz w:val="26"/>
                <w:szCs w:val="26"/>
              </w:rPr>
              <w:t>％：</w:t>
            </w:r>
          </w:p>
          <w:p w:rsidR="0040606A" w:rsidRPr="00760ECF" w:rsidRDefault="0040606A" w:rsidP="00C055EF">
            <w:pPr>
              <w:widowControl/>
              <w:kinsoku w:val="0"/>
              <w:spacing w:line="340" w:lineRule="exact"/>
              <w:ind w:leftChars="52" w:left="544" w:hangingChars="131" w:hanging="367"/>
              <w:rPr>
                <w:rFonts w:ascii="Times New Roman"/>
                <w:color w:val="000000" w:themeColor="text1"/>
                <w:kern w:val="0"/>
                <w:sz w:val="26"/>
                <w:szCs w:val="26"/>
              </w:rPr>
            </w:pPr>
            <w:r w:rsidRPr="00760ECF">
              <w:rPr>
                <w:rFonts w:ascii="Times New Roman"/>
                <w:color w:val="000000" w:themeColor="text1"/>
                <w:kern w:val="0"/>
                <w:sz w:val="26"/>
                <w:szCs w:val="26"/>
              </w:rPr>
              <w:t>(</w:t>
            </w:r>
            <w:r w:rsidRPr="00760ECF">
              <w:rPr>
                <w:rFonts w:ascii="Times New Roman" w:hint="eastAsia"/>
                <w:color w:val="000000" w:themeColor="text1"/>
                <w:kern w:val="0"/>
                <w:sz w:val="26"/>
                <w:szCs w:val="26"/>
              </w:rPr>
              <w:t>1</w:t>
            </w:r>
            <w:r w:rsidRPr="00760ECF">
              <w:rPr>
                <w:rFonts w:ascii="Times New Roman"/>
                <w:color w:val="000000" w:themeColor="text1"/>
                <w:kern w:val="0"/>
                <w:sz w:val="26"/>
                <w:szCs w:val="26"/>
              </w:rPr>
              <w:t>)</w:t>
            </w:r>
            <w:r w:rsidRPr="00760ECF">
              <w:rPr>
                <w:rFonts w:ascii="Times New Roman" w:hint="eastAsia"/>
                <w:color w:val="000000" w:themeColor="text1"/>
                <w:kern w:val="0"/>
                <w:sz w:val="26"/>
                <w:szCs w:val="26"/>
              </w:rPr>
              <w:t>各地方政府人口數比例：</w:t>
            </w:r>
            <w:r w:rsidRPr="00760ECF">
              <w:rPr>
                <w:rFonts w:ascii="Times New Roman"/>
                <w:color w:val="000000" w:themeColor="text1"/>
                <w:kern w:val="0"/>
                <w:sz w:val="26"/>
                <w:szCs w:val="26"/>
              </w:rPr>
              <w:t>42.5</w:t>
            </w:r>
            <w:r w:rsidRPr="00760ECF">
              <w:rPr>
                <w:rFonts w:ascii="Times New Roman" w:hint="eastAsia"/>
                <w:color w:val="000000" w:themeColor="text1"/>
                <w:kern w:val="0"/>
                <w:sz w:val="26"/>
                <w:szCs w:val="26"/>
              </w:rPr>
              <w:t>％。</w:t>
            </w:r>
          </w:p>
          <w:p w:rsidR="0040606A" w:rsidRPr="00760ECF" w:rsidRDefault="0040606A" w:rsidP="00C055EF">
            <w:pPr>
              <w:widowControl/>
              <w:kinsoku w:val="0"/>
              <w:spacing w:line="340" w:lineRule="exact"/>
              <w:ind w:leftChars="52" w:left="544" w:hangingChars="131" w:hanging="367"/>
              <w:rPr>
                <w:rFonts w:ascii="Times New Roman"/>
                <w:color w:val="000000" w:themeColor="text1"/>
                <w:kern w:val="0"/>
                <w:sz w:val="26"/>
                <w:szCs w:val="26"/>
              </w:rPr>
            </w:pPr>
            <w:r w:rsidRPr="00760ECF">
              <w:rPr>
                <w:rFonts w:ascii="Times New Roman"/>
                <w:color w:val="000000" w:themeColor="text1"/>
                <w:kern w:val="0"/>
                <w:sz w:val="26"/>
                <w:szCs w:val="26"/>
              </w:rPr>
              <w:t>(2)</w:t>
            </w:r>
            <w:r w:rsidRPr="00760ECF">
              <w:rPr>
                <w:rFonts w:ascii="Times New Roman" w:hint="eastAsia"/>
                <w:color w:val="000000" w:themeColor="text1"/>
                <w:kern w:val="0"/>
                <w:sz w:val="26"/>
                <w:szCs w:val="26"/>
              </w:rPr>
              <w:t>銷售金額比例：</w:t>
            </w:r>
            <w:r w:rsidRPr="00760ECF">
              <w:rPr>
                <w:rFonts w:ascii="Times New Roman"/>
                <w:color w:val="000000" w:themeColor="text1"/>
                <w:kern w:val="0"/>
                <w:sz w:val="26"/>
                <w:szCs w:val="26"/>
              </w:rPr>
              <w:t>42.5</w:t>
            </w:r>
            <w:r w:rsidRPr="00760ECF">
              <w:rPr>
                <w:rFonts w:ascii="Times New Roman" w:hint="eastAsia"/>
                <w:color w:val="000000" w:themeColor="text1"/>
                <w:kern w:val="0"/>
                <w:sz w:val="26"/>
                <w:szCs w:val="26"/>
              </w:rPr>
              <w:t>％。</w:t>
            </w:r>
          </w:p>
        </w:tc>
        <w:tc>
          <w:tcPr>
            <w:tcW w:w="2598" w:type="dxa"/>
            <w:tcBorders>
              <w:top w:val="single" w:sz="6" w:space="0" w:color="auto"/>
              <w:left w:val="single" w:sz="6" w:space="0" w:color="auto"/>
              <w:bottom w:val="single" w:sz="6" w:space="0" w:color="auto"/>
              <w:right w:val="single" w:sz="6" w:space="0" w:color="auto"/>
            </w:tcBorders>
            <w:hideMark/>
          </w:tcPr>
          <w:p w:rsidR="0040606A" w:rsidRPr="00760ECF" w:rsidRDefault="0040606A" w:rsidP="00C055EF">
            <w:pPr>
              <w:pStyle w:val="afc"/>
              <w:widowControl/>
              <w:numPr>
                <w:ilvl w:val="0"/>
                <w:numId w:val="37"/>
              </w:numPr>
              <w:kinsoku w:val="0"/>
              <w:spacing w:line="340" w:lineRule="exact"/>
              <w:ind w:leftChars="0"/>
              <w:rPr>
                <w:rFonts w:ascii="Times New Roman"/>
                <w:color w:val="000000" w:themeColor="text1"/>
                <w:kern w:val="0"/>
                <w:sz w:val="26"/>
                <w:szCs w:val="26"/>
              </w:rPr>
            </w:pPr>
            <w:r w:rsidRPr="00760ECF">
              <w:rPr>
                <w:rFonts w:ascii="Times New Roman"/>
                <w:color w:val="000000" w:themeColor="text1"/>
                <w:kern w:val="0"/>
                <w:sz w:val="26"/>
                <w:szCs w:val="26"/>
              </w:rPr>
              <w:t>15</w:t>
            </w:r>
            <w:r w:rsidRPr="00760ECF">
              <w:rPr>
                <w:rFonts w:ascii="Times New Roman" w:hint="eastAsia"/>
                <w:color w:val="000000" w:themeColor="text1"/>
                <w:kern w:val="0"/>
                <w:sz w:val="26"/>
                <w:szCs w:val="26"/>
              </w:rPr>
              <w:t>％：平均分配</w:t>
            </w:r>
            <w:r w:rsidRPr="00760ECF">
              <w:rPr>
                <w:rFonts w:ascii="Times New Roman"/>
                <w:color w:val="000000" w:themeColor="text1"/>
                <w:kern w:val="0"/>
                <w:sz w:val="26"/>
                <w:szCs w:val="26"/>
              </w:rPr>
              <w:t>22</w:t>
            </w:r>
            <w:r w:rsidRPr="00760ECF">
              <w:rPr>
                <w:rFonts w:ascii="Times New Roman" w:hint="eastAsia"/>
                <w:color w:val="000000" w:themeColor="text1"/>
                <w:kern w:val="0"/>
                <w:sz w:val="26"/>
                <w:szCs w:val="26"/>
              </w:rPr>
              <w:t>個地方政府。</w:t>
            </w:r>
          </w:p>
          <w:p w:rsidR="0040606A" w:rsidRPr="00760ECF" w:rsidRDefault="0040606A" w:rsidP="00C055EF">
            <w:pPr>
              <w:pStyle w:val="afc"/>
              <w:widowControl/>
              <w:numPr>
                <w:ilvl w:val="0"/>
                <w:numId w:val="37"/>
              </w:numPr>
              <w:kinsoku w:val="0"/>
              <w:spacing w:line="340" w:lineRule="exact"/>
              <w:ind w:leftChars="0"/>
              <w:rPr>
                <w:rFonts w:ascii="Times New Roman"/>
                <w:color w:val="000000" w:themeColor="text1"/>
                <w:kern w:val="0"/>
                <w:sz w:val="26"/>
                <w:szCs w:val="26"/>
              </w:rPr>
            </w:pPr>
            <w:r w:rsidRPr="00760ECF">
              <w:rPr>
                <w:rFonts w:ascii="Times New Roman"/>
                <w:color w:val="000000" w:themeColor="text1"/>
                <w:kern w:val="0"/>
                <w:sz w:val="26"/>
                <w:szCs w:val="26"/>
              </w:rPr>
              <w:t>25</w:t>
            </w:r>
            <w:r w:rsidRPr="00760ECF">
              <w:rPr>
                <w:rFonts w:ascii="Times New Roman" w:hint="eastAsia"/>
                <w:color w:val="000000" w:themeColor="text1"/>
                <w:kern w:val="0"/>
                <w:sz w:val="26"/>
                <w:szCs w:val="26"/>
              </w:rPr>
              <w:t>％：各地方政府前一年度銷售金額比重。</w:t>
            </w:r>
          </w:p>
          <w:p w:rsidR="0040606A" w:rsidRPr="00760ECF" w:rsidRDefault="0040606A" w:rsidP="00C055EF">
            <w:pPr>
              <w:pStyle w:val="afc"/>
              <w:widowControl/>
              <w:numPr>
                <w:ilvl w:val="0"/>
                <w:numId w:val="37"/>
              </w:numPr>
              <w:kinsoku w:val="0"/>
              <w:spacing w:line="340" w:lineRule="exact"/>
              <w:ind w:leftChars="0"/>
              <w:rPr>
                <w:rFonts w:ascii="Times New Roman"/>
                <w:color w:val="000000" w:themeColor="text1"/>
                <w:kern w:val="0"/>
                <w:sz w:val="26"/>
                <w:szCs w:val="26"/>
              </w:rPr>
            </w:pPr>
            <w:r w:rsidRPr="00760ECF">
              <w:rPr>
                <w:rFonts w:ascii="Times New Roman"/>
                <w:color w:val="000000" w:themeColor="text1"/>
                <w:spacing w:val="-6"/>
                <w:kern w:val="0"/>
                <w:sz w:val="26"/>
                <w:szCs w:val="26"/>
              </w:rPr>
              <w:t>60</w:t>
            </w:r>
            <w:r w:rsidRPr="00760ECF">
              <w:rPr>
                <w:rFonts w:ascii="Times New Roman" w:hint="eastAsia"/>
                <w:color w:val="000000" w:themeColor="text1"/>
                <w:spacing w:val="-6"/>
                <w:kern w:val="0"/>
                <w:sz w:val="26"/>
                <w:szCs w:val="26"/>
              </w:rPr>
              <w:t>％：依各地方政府近</w:t>
            </w:r>
            <w:r w:rsidRPr="00760ECF">
              <w:rPr>
                <w:rFonts w:ascii="Times New Roman"/>
                <w:color w:val="000000" w:themeColor="text1"/>
                <w:spacing w:val="-6"/>
                <w:kern w:val="0"/>
                <w:sz w:val="26"/>
                <w:szCs w:val="26"/>
              </w:rPr>
              <w:t>2</w:t>
            </w:r>
            <w:r w:rsidRPr="00760ECF">
              <w:rPr>
                <w:rFonts w:ascii="Times New Roman" w:hint="eastAsia"/>
                <w:color w:val="000000" w:themeColor="text1"/>
                <w:spacing w:val="-6"/>
                <w:kern w:val="0"/>
                <w:sz w:val="26"/>
                <w:szCs w:val="26"/>
              </w:rPr>
              <w:t>年度支用於低收入戶</w:t>
            </w:r>
            <w:r w:rsidRPr="00760ECF">
              <w:rPr>
                <w:rFonts w:ascii="Times New Roman" w:hint="eastAsia"/>
                <w:color w:val="000000" w:themeColor="text1"/>
                <w:kern w:val="0"/>
                <w:sz w:val="26"/>
                <w:szCs w:val="26"/>
              </w:rPr>
              <w:t>、身心障礙者設算現金給付以外</w:t>
            </w:r>
            <w:r w:rsidRPr="00760ECF">
              <w:rPr>
                <w:rFonts w:ascii="Times New Roman" w:hint="eastAsia"/>
                <w:color w:val="000000" w:themeColor="text1"/>
                <w:spacing w:val="-14"/>
                <w:kern w:val="0"/>
                <w:sz w:val="26"/>
                <w:szCs w:val="26"/>
              </w:rPr>
              <w:t>之其他項目支出金額</w:t>
            </w:r>
            <w:r w:rsidRPr="00760ECF">
              <w:rPr>
                <w:rFonts w:ascii="Times New Roman" w:hint="eastAsia"/>
                <w:color w:val="000000" w:themeColor="text1"/>
                <w:spacing w:val="-8"/>
                <w:kern w:val="0"/>
                <w:sz w:val="26"/>
                <w:szCs w:val="26"/>
              </w:rPr>
              <w:t>與兒童、少年、老年</w:t>
            </w:r>
            <w:r w:rsidRPr="00760ECF">
              <w:rPr>
                <w:rFonts w:ascii="Times New Roman"/>
                <w:color w:val="000000" w:themeColor="text1"/>
                <w:kern w:val="0"/>
                <w:sz w:val="26"/>
                <w:szCs w:val="26"/>
              </w:rPr>
              <w:t>3</w:t>
            </w:r>
            <w:r w:rsidRPr="00760ECF">
              <w:rPr>
                <w:rFonts w:ascii="Times New Roman" w:hint="eastAsia"/>
                <w:color w:val="000000" w:themeColor="text1"/>
                <w:kern w:val="0"/>
                <w:sz w:val="26"/>
                <w:szCs w:val="26"/>
              </w:rPr>
              <w:t>類人口數及特殊</w:t>
            </w:r>
            <w:r w:rsidRPr="00760ECF">
              <w:rPr>
                <w:rFonts w:ascii="Times New Roman" w:hint="eastAsia"/>
                <w:color w:val="000000" w:themeColor="text1"/>
                <w:spacing w:val="-8"/>
                <w:kern w:val="0"/>
                <w:sz w:val="26"/>
                <w:szCs w:val="26"/>
              </w:rPr>
              <w:t>境遇家庭戶數等</w:t>
            </w:r>
            <w:r w:rsidRPr="00760ECF">
              <w:rPr>
                <w:rFonts w:ascii="Times New Roman"/>
                <w:color w:val="000000" w:themeColor="text1"/>
                <w:spacing w:val="-8"/>
                <w:kern w:val="0"/>
                <w:sz w:val="26"/>
                <w:szCs w:val="26"/>
              </w:rPr>
              <w:t>6</w:t>
            </w:r>
            <w:r w:rsidRPr="00760ECF">
              <w:rPr>
                <w:rFonts w:ascii="Times New Roman" w:hint="eastAsia"/>
                <w:color w:val="000000" w:themeColor="text1"/>
                <w:spacing w:val="-8"/>
                <w:kern w:val="0"/>
                <w:sz w:val="26"/>
                <w:szCs w:val="26"/>
              </w:rPr>
              <w:t>項</w:t>
            </w:r>
            <w:r w:rsidRPr="00760ECF">
              <w:rPr>
                <w:rFonts w:ascii="Times New Roman" w:hint="eastAsia"/>
                <w:color w:val="000000" w:themeColor="text1"/>
                <w:kern w:val="0"/>
                <w:sz w:val="26"/>
                <w:szCs w:val="26"/>
              </w:rPr>
              <w:t>社會福利指標，各按</w:t>
            </w:r>
            <w:r w:rsidRPr="00760ECF">
              <w:rPr>
                <w:rFonts w:ascii="Times New Roman"/>
                <w:color w:val="000000" w:themeColor="text1"/>
                <w:kern w:val="0"/>
                <w:sz w:val="26"/>
                <w:szCs w:val="26"/>
              </w:rPr>
              <w:t>10</w:t>
            </w:r>
            <w:r w:rsidRPr="00760ECF">
              <w:rPr>
                <w:rFonts w:ascii="Times New Roman" w:hint="eastAsia"/>
                <w:color w:val="000000" w:themeColor="text1"/>
                <w:kern w:val="0"/>
                <w:sz w:val="26"/>
                <w:szCs w:val="26"/>
              </w:rPr>
              <w:t>％權數分配。</w:t>
            </w:r>
          </w:p>
        </w:tc>
        <w:tc>
          <w:tcPr>
            <w:tcW w:w="1892" w:type="dxa"/>
            <w:tcBorders>
              <w:top w:val="single" w:sz="6" w:space="0" w:color="auto"/>
              <w:left w:val="single" w:sz="6" w:space="0" w:color="auto"/>
              <w:bottom w:val="single" w:sz="6" w:space="0" w:color="auto"/>
              <w:right w:val="single" w:sz="6" w:space="0" w:color="auto"/>
            </w:tcBorders>
            <w:hideMark/>
          </w:tcPr>
          <w:tbl>
            <w:tblPr>
              <w:tblW w:w="2232" w:type="dxa"/>
              <w:tblLayout w:type="fixed"/>
              <w:tblLook w:val="04A0" w:firstRow="1" w:lastRow="0" w:firstColumn="1" w:lastColumn="0" w:noHBand="0" w:noVBand="1"/>
            </w:tblPr>
            <w:tblGrid>
              <w:gridCol w:w="2232"/>
            </w:tblGrid>
            <w:tr w:rsidR="0040606A" w:rsidTr="00C055EF">
              <w:trPr>
                <w:trHeight w:val="1380"/>
              </w:trPr>
              <w:tc>
                <w:tcPr>
                  <w:tcW w:w="2232" w:type="dxa"/>
                  <w:hideMark/>
                </w:tcPr>
                <w:p w:rsidR="0040606A" w:rsidRDefault="0040606A" w:rsidP="001A100D">
                  <w:pPr>
                    <w:widowControl/>
                    <w:topLinePunct/>
                    <w:spacing w:line="340" w:lineRule="exact"/>
                    <w:ind w:leftChars="-28" w:left="-95" w:rightChars="85" w:right="289" w:firstLineChars="5" w:firstLine="14"/>
                    <w:rPr>
                      <w:rFonts w:ascii="Times New Roman"/>
                      <w:spacing w:val="4"/>
                      <w:sz w:val="26"/>
                      <w:szCs w:val="26"/>
                    </w:rPr>
                  </w:pPr>
                  <w:r>
                    <w:rPr>
                      <w:rFonts w:ascii="Times New Roman" w:hint="eastAsia"/>
                      <w:color w:val="000000"/>
                      <w:spacing w:val="4"/>
                      <w:kern w:val="0"/>
                      <w:sz w:val="26"/>
                      <w:szCs w:val="26"/>
                    </w:rPr>
                    <w:t>除修正社福指標為：</w:t>
                  </w:r>
                  <w:r>
                    <w:rPr>
                      <w:rFonts w:ascii="Times New Roman" w:eastAsia="新細明體" w:hint="eastAsia"/>
                      <w:color w:val="000000"/>
                      <w:spacing w:val="4"/>
                      <w:kern w:val="0"/>
                      <w:sz w:val="26"/>
                      <w:szCs w:val="26"/>
                    </w:rPr>
                    <w:t>「</w:t>
                  </w:r>
                  <w:r>
                    <w:rPr>
                      <w:rFonts w:ascii="Times New Roman" w:hint="eastAsia"/>
                      <w:spacing w:val="4"/>
                      <w:sz w:val="26"/>
                      <w:szCs w:val="26"/>
                    </w:rPr>
                    <w:t>依各直轄市、縣</w:t>
                  </w:r>
                  <w:r>
                    <w:rPr>
                      <w:rFonts w:ascii="Times New Roman"/>
                      <w:spacing w:val="4"/>
                      <w:sz w:val="26"/>
                      <w:szCs w:val="26"/>
                    </w:rPr>
                    <w:t>(</w:t>
                  </w:r>
                  <w:r>
                    <w:rPr>
                      <w:rFonts w:ascii="Times New Roman" w:hint="eastAsia"/>
                      <w:spacing w:val="4"/>
                      <w:sz w:val="26"/>
                      <w:szCs w:val="26"/>
                    </w:rPr>
                    <w:t>市</w:t>
                  </w:r>
                  <w:r>
                    <w:rPr>
                      <w:rFonts w:ascii="Times New Roman"/>
                      <w:spacing w:val="4"/>
                      <w:sz w:val="26"/>
                      <w:szCs w:val="26"/>
                    </w:rPr>
                    <w:t>)</w:t>
                  </w:r>
                  <w:r>
                    <w:rPr>
                      <w:rFonts w:ascii="Times New Roman" w:hint="eastAsia"/>
                      <w:spacing w:val="4"/>
                      <w:sz w:val="26"/>
                      <w:szCs w:val="26"/>
                    </w:rPr>
                    <w:t>政府最近</w:t>
                  </w:r>
                  <w:r>
                    <w:rPr>
                      <w:rFonts w:ascii="Times New Roman"/>
                      <w:spacing w:val="4"/>
                      <w:sz w:val="26"/>
                      <w:szCs w:val="26"/>
                    </w:rPr>
                    <w:t>2</w:t>
                  </w:r>
                  <w:r>
                    <w:rPr>
                      <w:rFonts w:ascii="Times New Roman" w:hint="eastAsia"/>
                      <w:spacing w:val="4"/>
                      <w:sz w:val="26"/>
                      <w:szCs w:val="26"/>
                    </w:rPr>
                    <w:t>年度身心障礙者、兒童、少年、老人四類人口數及低收入戶、特殊境遇家庭</w:t>
                  </w:r>
                  <w:r>
                    <w:rPr>
                      <w:rFonts w:ascii="Times New Roman"/>
                      <w:spacing w:val="4"/>
                      <w:sz w:val="26"/>
                      <w:szCs w:val="26"/>
                    </w:rPr>
                    <w:t>2</w:t>
                  </w:r>
                  <w:r>
                    <w:rPr>
                      <w:rFonts w:ascii="Times New Roman" w:hint="eastAsia"/>
                      <w:spacing w:val="4"/>
                      <w:sz w:val="26"/>
                      <w:szCs w:val="26"/>
                    </w:rPr>
                    <w:t>類戶數</w:t>
                  </w:r>
                  <w:r>
                    <w:rPr>
                      <w:rFonts w:ascii="新細明體" w:eastAsia="新細明體" w:hAnsi="新細明體" w:hint="eastAsia"/>
                      <w:spacing w:val="4"/>
                      <w:sz w:val="26"/>
                      <w:szCs w:val="26"/>
                    </w:rPr>
                    <w:t>」</w:t>
                  </w:r>
                  <w:r>
                    <w:rPr>
                      <w:rFonts w:ascii="Times New Roman" w:hint="eastAsia"/>
                      <w:spacing w:val="4"/>
                      <w:sz w:val="26"/>
                      <w:szCs w:val="26"/>
                    </w:rPr>
                    <w:t>等</w:t>
                  </w:r>
                  <w:r>
                    <w:rPr>
                      <w:rFonts w:ascii="Times New Roman"/>
                      <w:spacing w:val="4"/>
                      <w:sz w:val="26"/>
                      <w:szCs w:val="26"/>
                    </w:rPr>
                    <w:t>6</w:t>
                  </w:r>
                  <w:r>
                    <w:rPr>
                      <w:rFonts w:ascii="Times New Roman" w:hint="eastAsia"/>
                      <w:spacing w:val="4"/>
                      <w:sz w:val="26"/>
                      <w:szCs w:val="26"/>
                    </w:rPr>
                    <w:t>項社會福利指標，其餘均同左。</w:t>
                  </w:r>
                </w:p>
              </w:tc>
            </w:tr>
          </w:tbl>
          <w:p w:rsidR="0040606A" w:rsidRDefault="0040606A" w:rsidP="00C055EF">
            <w:pPr>
              <w:widowControl/>
              <w:overflowPunct/>
              <w:autoSpaceDE/>
              <w:autoSpaceDN/>
              <w:jc w:val="left"/>
              <w:rPr>
                <w:rFonts w:ascii="Times New Roman" w:eastAsia="新細明體"/>
                <w:kern w:val="0"/>
                <w:sz w:val="20"/>
              </w:rPr>
            </w:pPr>
          </w:p>
        </w:tc>
      </w:tr>
      <w:tr w:rsidR="0040606A" w:rsidTr="00C055EF">
        <w:trPr>
          <w:trHeight w:val="567"/>
        </w:trPr>
        <w:tc>
          <w:tcPr>
            <w:tcW w:w="1419" w:type="dxa"/>
            <w:tcBorders>
              <w:top w:val="single" w:sz="6" w:space="0" w:color="auto"/>
              <w:left w:val="single" w:sz="8" w:space="0" w:color="auto"/>
              <w:bottom w:val="single" w:sz="8" w:space="0" w:color="auto"/>
              <w:right w:val="single" w:sz="8" w:space="0" w:color="auto"/>
            </w:tcBorders>
            <w:vAlign w:val="center"/>
            <w:hideMark/>
          </w:tcPr>
          <w:p w:rsidR="0040606A" w:rsidRDefault="0040606A" w:rsidP="00C055EF">
            <w:pPr>
              <w:widowControl/>
              <w:kinsoku w:val="0"/>
              <w:spacing w:line="340" w:lineRule="exact"/>
              <w:jc w:val="center"/>
              <w:rPr>
                <w:rFonts w:ascii="Times New Roman"/>
                <w:color w:val="000000"/>
                <w:kern w:val="0"/>
                <w:sz w:val="26"/>
                <w:szCs w:val="26"/>
              </w:rPr>
            </w:pPr>
            <w:r>
              <w:rPr>
                <w:rFonts w:ascii="Times New Roman" w:hint="eastAsia"/>
                <w:color w:val="000000"/>
                <w:kern w:val="0"/>
                <w:sz w:val="26"/>
                <w:szCs w:val="26"/>
              </w:rPr>
              <w:t>另為撥付</w:t>
            </w:r>
          </w:p>
        </w:tc>
        <w:tc>
          <w:tcPr>
            <w:tcW w:w="1891" w:type="dxa"/>
            <w:tcBorders>
              <w:top w:val="single" w:sz="6" w:space="0" w:color="auto"/>
              <w:left w:val="single" w:sz="8" w:space="0" w:color="auto"/>
              <w:bottom w:val="single" w:sz="8" w:space="0" w:color="auto"/>
              <w:right w:val="single" w:sz="8" w:space="0" w:color="auto"/>
            </w:tcBorders>
            <w:hideMark/>
          </w:tcPr>
          <w:p w:rsidR="0040606A" w:rsidRDefault="0040606A" w:rsidP="00C055EF">
            <w:pPr>
              <w:widowControl/>
              <w:kinsoku w:val="0"/>
              <w:spacing w:line="340" w:lineRule="exact"/>
              <w:rPr>
                <w:rFonts w:ascii="Times New Roman"/>
                <w:color w:val="000000"/>
                <w:kern w:val="0"/>
                <w:sz w:val="26"/>
                <w:szCs w:val="26"/>
              </w:rPr>
            </w:pPr>
            <w:r>
              <w:rPr>
                <w:rFonts w:ascii="Times New Roman" w:hint="eastAsia"/>
                <w:color w:val="000000"/>
                <w:kern w:val="0"/>
                <w:sz w:val="26"/>
                <w:szCs w:val="26"/>
              </w:rPr>
              <w:t>無</w:t>
            </w:r>
          </w:p>
        </w:tc>
        <w:tc>
          <w:tcPr>
            <w:tcW w:w="2598" w:type="dxa"/>
            <w:tcBorders>
              <w:top w:val="single" w:sz="6" w:space="0" w:color="auto"/>
              <w:left w:val="single" w:sz="8" w:space="0" w:color="auto"/>
              <w:bottom w:val="single" w:sz="8" w:space="0" w:color="auto"/>
              <w:right w:val="single" w:sz="8" w:space="0" w:color="auto"/>
            </w:tcBorders>
            <w:hideMark/>
          </w:tcPr>
          <w:p w:rsidR="0040606A" w:rsidRDefault="0040606A" w:rsidP="00C055EF">
            <w:pPr>
              <w:widowControl/>
              <w:kinsoku w:val="0"/>
              <w:spacing w:line="340" w:lineRule="exact"/>
              <w:rPr>
                <w:rFonts w:ascii="Times New Roman"/>
                <w:color w:val="000000"/>
                <w:spacing w:val="-4"/>
                <w:kern w:val="0"/>
                <w:sz w:val="26"/>
                <w:szCs w:val="26"/>
              </w:rPr>
            </w:pPr>
            <w:r>
              <w:rPr>
                <w:rFonts w:ascii="Times New Roman" w:hint="eastAsia"/>
                <w:color w:val="000000"/>
                <w:spacing w:val="-4"/>
                <w:kern w:val="0"/>
                <w:sz w:val="26"/>
                <w:szCs w:val="26"/>
              </w:rPr>
              <w:t>依上開先行撥付方式分配後，如仍有賸餘，按下列方式分配：</w:t>
            </w:r>
          </w:p>
          <w:p w:rsidR="0040606A" w:rsidRDefault="0040606A" w:rsidP="00C055EF">
            <w:pPr>
              <w:widowControl/>
              <w:kinsoku w:val="0"/>
              <w:spacing w:line="340" w:lineRule="exact"/>
              <w:ind w:left="231" w:hangingChars="85" w:hanging="231"/>
              <w:rPr>
                <w:rFonts w:ascii="Times New Roman"/>
                <w:color w:val="000000"/>
                <w:spacing w:val="-4"/>
                <w:kern w:val="0"/>
                <w:sz w:val="26"/>
                <w:szCs w:val="26"/>
              </w:rPr>
            </w:pPr>
            <w:r>
              <w:rPr>
                <w:rFonts w:ascii="Times New Roman"/>
                <w:color w:val="000000"/>
                <w:spacing w:val="-4"/>
                <w:kern w:val="0"/>
                <w:sz w:val="26"/>
                <w:szCs w:val="26"/>
              </w:rPr>
              <w:br w:type="page"/>
              <w:t>1.</w:t>
            </w:r>
            <w:r>
              <w:rPr>
                <w:rFonts w:ascii="Times New Roman" w:hint="eastAsia"/>
                <w:color w:val="000000"/>
                <w:spacing w:val="-8"/>
                <w:kern w:val="0"/>
                <w:sz w:val="26"/>
                <w:szCs w:val="26"/>
              </w:rPr>
              <w:t>先按當年度公益彩券盈餘運用考核成績為分配依據，考核成績在</w:t>
            </w:r>
            <w:r>
              <w:rPr>
                <w:rFonts w:ascii="Times New Roman"/>
                <w:color w:val="000000"/>
                <w:spacing w:val="-8"/>
                <w:kern w:val="0"/>
                <w:sz w:val="26"/>
                <w:szCs w:val="26"/>
              </w:rPr>
              <w:t>95</w:t>
            </w:r>
            <w:r>
              <w:rPr>
                <w:rFonts w:ascii="Times New Roman" w:hint="eastAsia"/>
                <w:color w:val="000000"/>
                <w:spacing w:val="-8"/>
                <w:kern w:val="0"/>
                <w:sz w:val="26"/>
                <w:szCs w:val="26"/>
              </w:rPr>
              <w:t>分以上者，撥付</w:t>
            </w:r>
            <w:r>
              <w:rPr>
                <w:rFonts w:ascii="Times New Roman"/>
                <w:color w:val="000000"/>
                <w:spacing w:val="-8"/>
                <w:kern w:val="0"/>
                <w:sz w:val="26"/>
                <w:szCs w:val="26"/>
              </w:rPr>
              <w:t>6</w:t>
            </w:r>
            <w:r>
              <w:rPr>
                <w:rFonts w:ascii="Times New Roman" w:hint="eastAsia"/>
                <w:color w:val="000000"/>
                <w:spacing w:val="-8"/>
                <w:kern w:val="0"/>
                <w:sz w:val="26"/>
                <w:szCs w:val="26"/>
              </w:rPr>
              <w:t>千萬元；</w:t>
            </w:r>
            <w:r>
              <w:rPr>
                <w:rFonts w:ascii="Times New Roman"/>
                <w:color w:val="000000"/>
                <w:spacing w:val="-8"/>
                <w:kern w:val="0"/>
                <w:sz w:val="26"/>
                <w:szCs w:val="26"/>
              </w:rPr>
              <w:t>90</w:t>
            </w:r>
            <w:r>
              <w:rPr>
                <w:rFonts w:ascii="Times New Roman" w:hint="eastAsia"/>
                <w:color w:val="000000"/>
                <w:spacing w:val="-4"/>
                <w:kern w:val="0"/>
                <w:sz w:val="26"/>
                <w:szCs w:val="26"/>
              </w:rPr>
              <w:t>分以上未滿</w:t>
            </w:r>
            <w:r>
              <w:rPr>
                <w:rFonts w:ascii="Times New Roman"/>
                <w:color w:val="000000"/>
                <w:spacing w:val="-4"/>
                <w:kern w:val="0"/>
                <w:sz w:val="26"/>
                <w:szCs w:val="26"/>
              </w:rPr>
              <w:t>95</w:t>
            </w:r>
            <w:r>
              <w:rPr>
                <w:rFonts w:ascii="Times New Roman" w:hint="eastAsia"/>
                <w:color w:val="000000"/>
                <w:spacing w:val="-4"/>
                <w:kern w:val="0"/>
                <w:sz w:val="26"/>
                <w:szCs w:val="26"/>
              </w:rPr>
              <w:t>分者，撥付</w:t>
            </w:r>
            <w:r>
              <w:rPr>
                <w:rFonts w:ascii="Times New Roman"/>
                <w:color w:val="000000"/>
                <w:spacing w:val="-4"/>
                <w:kern w:val="0"/>
                <w:sz w:val="26"/>
                <w:szCs w:val="26"/>
              </w:rPr>
              <w:t>5</w:t>
            </w:r>
            <w:r>
              <w:rPr>
                <w:rFonts w:ascii="Times New Roman" w:hint="eastAsia"/>
                <w:color w:val="000000"/>
                <w:spacing w:val="-4"/>
                <w:kern w:val="0"/>
                <w:sz w:val="26"/>
                <w:szCs w:val="26"/>
              </w:rPr>
              <w:t>千萬元；</w:t>
            </w:r>
            <w:r>
              <w:rPr>
                <w:rFonts w:ascii="Times New Roman"/>
                <w:color w:val="000000"/>
                <w:spacing w:val="-4"/>
                <w:kern w:val="0"/>
                <w:sz w:val="26"/>
                <w:szCs w:val="26"/>
              </w:rPr>
              <w:t>85</w:t>
            </w:r>
            <w:r>
              <w:rPr>
                <w:rFonts w:ascii="Times New Roman" w:hint="eastAsia"/>
                <w:color w:val="000000"/>
                <w:spacing w:val="-4"/>
                <w:kern w:val="0"/>
                <w:sz w:val="26"/>
                <w:szCs w:val="26"/>
              </w:rPr>
              <w:t>分以上未滿</w:t>
            </w:r>
            <w:r>
              <w:rPr>
                <w:rFonts w:ascii="Times New Roman"/>
                <w:color w:val="000000"/>
                <w:spacing w:val="-4"/>
                <w:kern w:val="0"/>
                <w:sz w:val="26"/>
                <w:szCs w:val="26"/>
              </w:rPr>
              <w:t>90</w:t>
            </w:r>
            <w:r>
              <w:rPr>
                <w:rFonts w:ascii="Times New Roman" w:hint="eastAsia"/>
                <w:color w:val="000000"/>
                <w:spacing w:val="-4"/>
                <w:kern w:val="0"/>
                <w:sz w:val="26"/>
                <w:szCs w:val="26"/>
              </w:rPr>
              <w:t>分者，撥付</w:t>
            </w:r>
            <w:r>
              <w:rPr>
                <w:rFonts w:ascii="Times New Roman"/>
                <w:color w:val="000000"/>
                <w:spacing w:val="-4"/>
                <w:kern w:val="0"/>
                <w:sz w:val="26"/>
                <w:szCs w:val="26"/>
              </w:rPr>
              <w:t>4</w:t>
            </w:r>
            <w:r>
              <w:rPr>
                <w:rFonts w:ascii="Times New Roman" w:hint="eastAsia"/>
                <w:color w:val="000000"/>
                <w:spacing w:val="-4"/>
                <w:kern w:val="0"/>
                <w:sz w:val="26"/>
                <w:szCs w:val="26"/>
              </w:rPr>
              <w:t>千萬元；</w:t>
            </w:r>
            <w:r>
              <w:rPr>
                <w:rFonts w:ascii="Times New Roman"/>
                <w:color w:val="000000"/>
                <w:spacing w:val="-4"/>
                <w:kern w:val="0"/>
                <w:sz w:val="26"/>
                <w:szCs w:val="26"/>
              </w:rPr>
              <w:t>80</w:t>
            </w:r>
            <w:r>
              <w:rPr>
                <w:rFonts w:ascii="Times New Roman" w:hint="eastAsia"/>
                <w:color w:val="000000"/>
                <w:spacing w:val="-4"/>
                <w:kern w:val="0"/>
                <w:sz w:val="26"/>
                <w:szCs w:val="26"/>
              </w:rPr>
              <w:t>分以上未滿</w:t>
            </w:r>
            <w:r>
              <w:rPr>
                <w:rFonts w:ascii="Times New Roman"/>
                <w:color w:val="000000"/>
                <w:spacing w:val="-4"/>
                <w:kern w:val="0"/>
                <w:sz w:val="26"/>
                <w:szCs w:val="26"/>
              </w:rPr>
              <w:t>85</w:t>
            </w:r>
            <w:r>
              <w:rPr>
                <w:rFonts w:ascii="Times New Roman" w:hint="eastAsia"/>
                <w:color w:val="000000"/>
                <w:spacing w:val="-4"/>
                <w:kern w:val="0"/>
                <w:sz w:val="26"/>
                <w:szCs w:val="26"/>
              </w:rPr>
              <w:t>分者，撥付</w:t>
            </w:r>
            <w:r>
              <w:rPr>
                <w:rFonts w:ascii="Times New Roman"/>
                <w:color w:val="000000"/>
                <w:spacing w:val="-4"/>
                <w:kern w:val="0"/>
                <w:sz w:val="26"/>
                <w:szCs w:val="26"/>
              </w:rPr>
              <w:t>2</w:t>
            </w:r>
            <w:r>
              <w:rPr>
                <w:rFonts w:ascii="Times New Roman" w:hint="eastAsia"/>
                <w:color w:val="000000"/>
                <w:spacing w:val="-4"/>
                <w:kern w:val="0"/>
                <w:sz w:val="26"/>
                <w:szCs w:val="26"/>
              </w:rPr>
              <w:t>千</w:t>
            </w:r>
            <w:r>
              <w:rPr>
                <w:rFonts w:ascii="Times New Roman"/>
                <w:color w:val="000000"/>
                <w:spacing w:val="-4"/>
                <w:kern w:val="0"/>
                <w:sz w:val="26"/>
                <w:szCs w:val="26"/>
              </w:rPr>
              <w:t>5</w:t>
            </w:r>
            <w:r>
              <w:rPr>
                <w:rFonts w:ascii="Times New Roman" w:hint="eastAsia"/>
                <w:color w:val="000000"/>
                <w:spacing w:val="-4"/>
                <w:kern w:val="0"/>
                <w:sz w:val="26"/>
                <w:szCs w:val="26"/>
              </w:rPr>
              <w:t>百萬元；未滿</w:t>
            </w:r>
            <w:r>
              <w:rPr>
                <w:rFonts w:ascii="Times New Roman"/>
                <w:color w:val="000000"/>
                <w:spacing w:val="-4"/>
                <w:kern w:val="0"/>
                <w:sz w:val="26"/>
                <w:szCs w:val="26"/>
              </w:rPr>
              <w:t>80</w:t>
            </w:r>
            <w:r>
              <w:rPr>
                <w:rFonts w:ascii="Times New Roman" w:hint="eastAsia"/>
                <w:color w:val="000000"/>
                <w:spacing w:val="-4"/>
                <w:kern w:val="0"/>
                <w:sz w:val="26"/>
                <w:szCs w:val="26"/>
              </w:rPr>
              <w:t>分者，撥付</w:t>
            </w:r>
            <w:r>
              <w:rPr>
                <w:rFonts w:ascii="Times New Roman"/>
                <w:color w:val="000000"/>
                <w:spacing w:val="-4"/>
                <w:kern w:val="0"/>
                <w:sz w:val="26"/>
                <w:szCs w:val="26"/>
              </w:rPr>
              <w:t>1</w:t>
            </w:r>
            <w:r>
              <w:rPr>
                <w:rFonts w:ascii="Times New Roman" w:hint="eastAsia"/>
                <w:color w:val="000000"/>
                <w:spacing w:val="-4"/>
                <w:kern w:val="0"/>
                <w:sz w:val="26"/>
                <w:szCs w:val="26"/>
              </w:rPr>
              <w:t>千萬元。</w:t>
            </w:r>
          </w:p>
          <w:p w:rsidR="0040606A" w:rsidRDefault="0040606A" w:rsidP="00C055EF">
            <w:pPr>
              <w:widowControl/>
              <w:topLinePunct/>
              <w:spacing w:line="340" w:lineRule="exact"/>
              <w:ind w:left="231" w:hangingChars="85" w:hanging="231"/>
              <w:rPr>
                <w:rFonts w:ascii="Times New Roman"/>
                <w:color w:val="000000"/>
                <w:spacing w:val="-4"/>
                <w:kern w:val="0"/>
                <w:sz w:val="26"/>
                <w:szCs w:val="26"/>
              </w:rPr>
            </w:pPr>
            <w:r>
              <w:rPr>
                <w:rFonts w:ascii="Times New Roman"/>
                <w:color w:val="000000"/>
                <w:spacing w:val="-4"/>
                <w:kern w:val="0"/>
                <w:sz w:val="26"/>
                <w:szCs w:val="26"/>
              </w:rPr>
              <w:br w:type="page"/>
              <w:t>2.</w:t>
            </w:r>
            <w:r>
              <w:rPr>
                <w:rFonts w:ascii="Times New Roman" w:hint="eastAsia"/>
                <w:color w:val="000000"/>
                <w:spacing w:val="-8"/>
                <w:kern w:val="0"/>
                <w:sz w:val="26"/>
                <w:szCs w:val="26"/>
              </w:rPr>
              <w:t>如仍有賸餘，再依上開先行撥付之分配指標權重進行分配。</w:t>
            </w:r>
          </w:p>
        </w:tc>
        <w:tc>
          <w:tcPr>
            <w:tcW w:w="1892" w:type="dxa"/>
            <w:tcBorders>
              <w:top w:val="single" w:sz="6" w:space="0" w:color="auto"/>
              <w:left w:val="single" w:sz="8" w:space="0" w:color="auto"/>
              <w:bottom w:val="single" w:sz="8" w:space="0" w:color="auto"/>
              <w:right w:val="single" w:sz="8" w:space="0" w:color="auto"/>
            </w:tcBorders>
            <w:hideMark/>
          </w:tcPr>
          <w:p w:rsidR="0040606A" w:rsidRDefault="0040606A" w:rsidP="00C055EF">
            <w:pPr>
              <w:widowControl/>
              <w:kinsoku w:val="0"/>
              <w:spacing w:line="340" w:lineRule="exact"/>
              <w:rPr>
                <w:rFonts w:ascii="Times New Roman"/>
                <w:color w:val="000000"/>
                <w:kern w:val="0"/>
                <w:sz w:val="26"/>
                <w:szCs w:val="26"/>
              </w:rPr>
            </w:pPr>
            <w:r>
              <w:rPr>
                <w:rFonts w:ascii="Times New Roman" w:hint="eastAsia"/>
                <w:color w:val="000000"/>
                <w:kern w:val="0"/>
                <w:sz w:val="26"/>
                <w:szCs w:val="26"/>
              </w:rPr>
              <w:t>同左</w:t>
            </w:r>
          </w:p>
        </w:tc>
      </w:tr>
    </w:tbl>
    <w:p w:rsidR="0040606A" w:rsidRDefault="0040606A" w:rsidP="0040606A">
      <w:pPr>
        <w:pStyle w:val="4"/>
        <w:numPr>
          <w:ilvl w:val="0"/>
          <w:numId w:val="0"/>
        </w:numPr>
        <w:kinsoku w:val="0"/>
        <w:spacing w:afterLines="25" w:after="114" w:line="320" w:lineRule="exact"/>
        <w:ind w:leftChars="50" w:left="170" w:firstLineChars="509" w:firstLine="1202"/>
        <w:rPr>
          <w:b/>
        </w:rPr>
      </w:pPr>
      <w:r>
        <w:rPr>
          <w:rFonts w:hint="eastAsia"/>
          <w:spacing w:val="-12"/>
          <w:sz w:val="24"/>
          <w:szCs w:val="24"/>
        </w:rPr>
        <w:t>資料來源：財政部</w:t>
      </w:r>
    </w:p>
    <w:p w:rsidR="0040606A" w:rsidRPr="00516C3A" w:rsidRDefault="0040606A" w:rsidP="00516C3A">
      <w:pPr>
        <w:pStyle w:val="3"/>
        <w:numPr>
          <w:ilvl w:val="2"/>
          <w:numId w:val="9"/>
        </w:numPr>
        <w:topLinePunct/>
        <w:ind w:left="1360" w:hanging="680"/>
        <w:rPr>
          <w:rFonts w:ascii="Times New Roman" w:hAnsi="Times New Roman"/>
          <w:color w:val="000000" w:themeColor="text1"/>
          <w:spacing w:val="-1"/>
          <w:szCs w:val="32"/>
        </w:rPr>
      </w:pPr>
      <w:bookmarkStart w:id="761" w:name="_Toc507484691"/>
      <w:bookmarkStart w:id="762" w:name="_Toc507403570"/>
      <w:bookmarkStart w:id="763" w:name="_Toc507359634"/>
      <w:bookmarkStart w:id="764" w:name="_Toc507518542"/>
      <w:bookmarkStart w:id="765" w:name="_Toc507491515"/>
      <w:bookmarkStart w:id="766" w:name="_Toc507767619"/>
      <w:bookmarkStart w:id="767" w:name="_Toc507768345"/>
      <w:bookmarkStart w:id="768" w:name="_Toc511115334"/>
      <w:bookmarkStart w:id="769" w:name="_Toc511308125"/>
      <w:bookmarkStart w:id="770" w:name="_Toc511998567"/>
      <w:bookmarkStart w:id="771" w:name="_Toc512420924"/>
      <w:bookmarkStart w:id="772" w:name="_Toc507168668"/>
      <w:bookmarkStart w:id="773" w:name="_Toc507163466"/>
      <w:bookmarkStart w:id="774" w:name="_Toc507163214"/>
      <w:bookmarkStart w:id="775" w:name="_Toc507072979"/>
      <w:r w:rsidRPr="00516C3A">
        <w:rPr>
          <w:rFonts w:ascii="Times New Roman" w:hAnsi="Times New Roman" w:hint="eastAsia"/>
          <w:color w:val="000000" w:themeColor="text1"/>
          <w:spacing w:val="-1"/>
          <w:szCs w:val="32"/>
        </w:rPr>
        <w:t>公益彩券盈餘分配予地方政府之指標及其權重經第</w:t>
      </w:r>
      <w:r w:rsidRPr="00516C3A">
        <w:rPr>
          <w:rFonts w:ascii="Times New Roman" w:hAnsi="Times New Roman"/>
          <w:color w:val="000000" w:themeColor="text1"/>
          <w:spacing w:val="-1"/>
          <w:szCs w:val="32"/>
        </w:rPr>
        <w:t>1</w:t>
      </w:r>
      <w:r w:rsidRPr="00516C3A">
        <w:rPr>
          <w:rFonts w:ascii="Times New Roman" w:hAnsi="Times New Roman" w:hint="eastAsia"/>
          <w:color w:val="000000" w:themeColor="text1"/>
          <w:spacing w:val="-1"/>
          <w:szCs w:val="32"/>
        </w:rPr>
        <w:t>次修正後，</w:t>
      </w:r>
      <w:r w:rsidRPr="00516C3A">
        <w:rPr>
          <w:rFonts w:ascii="Times New Roman" w:hAnsi="Times New Roman"/>
          <w:color w:val="000000" w:themeColor="text1"/>
          <w:spacing w:val="-1"/>
          <w:szCs w:val="32"/>
        </w:rPr>
        <w:t>6</w:t>
      </w:r>
      <w:r w:rsidRPr="00516C3A">
        <w:rPr>
          <w:rFonts w:ascii="Times New Roman" w:hAnsi="Times New Roman" w:hint="eastAsia"/>
          <w:color w:val="000000" w:themeColor="text1"/>
          <w:spacing w:val="-1"/>
          <w:szCs w:val="32"/>
        </w:rPr>
        <w:t>個直轄市政府獲配比率從</w:t>
      </w:r>
      <w:r w:rsidRPr="00516C3A">
        <w:rPr>
          <w:rFonts w:ascii="Times New Roman" w:hAnsi="Times New Roman"/>
          <w:color w:val="000000" w:themeColor="text1"/>
          <w:spacing w:val="-1"/>
          <w:szCs w:val="32"/>
        </w:rPr>
        <w:t>102</w:t>
      </w:r>
      <w:r w:rsidRPr="00516C3A">
        <w:rPr>
          <w:rFonts w:ascii="Times New Roman" w:hAnsi="Times New Roman" w:hint="eastAsia"/>
          <w:color w:val="000000" w:themeColor="text1"/>
          <w:spacing w:val="-1"/>
          <w:szCs w:val="32"/>
        </w:rPr>
        <w:t>年之</w:t>
      </w:r>
      <w:r w:rsidRPr="00516C3A">
        <w:rPr>
          <w:rFonts w:ascii="Times New Roman" w:hAnsi="Times New Roman"/>
          <w:color w:val="000000" w:themeColor="text1"/>
          <w:spacing w:val="-1"/>
          <w:szCs w:val="32"/>
        </w:rPr>
        <w:t>65.01</w:t>
      </w:r>
      <w:r w:rsidRPr="00516C3A">
        <w:rPr>
          <w:rFonts w:ascii="Times New Roman" w:hAnsi="Times New Roman" w:hint="eastAsia"/>
          <w:color w:val="000000" w:themeColor="text1"/>
          <w:spacing w:val="-1"/>
          <w:szCs w:val="32"/>
        </w:rPr>
        <w:t>％，降至</w:t>
      </w:r>
      <w:r w:rsidRPr="00516C3A">
        <w:rPr>
          <w:rFonts w:ascii="Times New Roman" w:hAnsi="Times New Roman"/>
          <w:color w:val="000000" w:themeColor="text1"/>
          <w:spacing w:val="-1"/>
          <w:szCs w:val="32"/>
        </w:rPr>
        <w:t>103</w:t>
      </w:r>
      <w:r w:rsidRPr="00516C3A">
        <w:rPr>
          <w:rFonts w:ascii="Times New Roman" w:hAnsi="Times New Roman" w:hint="eastAsia"/>
          <w:color w:val="000000" w:themeColor="text1"/>
          <w:spacing w:val="-1"/>
          <w:szCs w:val="32"/>
        </w:rPr>
        <w:t>年之</w:t>
      </w:r>
      <w:r w:rsidRPr="00516C3A">
        <w:rPr>
          <w:rFonts w:ascii="Times New Roman" w:hAnsi="Times New Roman"/>
          <w:color w:val="000000" w:themeColor="text1"/>
          <w:spacing w:val="-1"/>
          <w:szCs w:val="32"/>
        </w:rPr>
        <w:t>60.83</w:t>
      </w:r>
      <w:r w:rsidRPr="00516C3A">
        <w:rPr>
          <w:rFonts w:ascii="Times New Roman" w:hAnsi="Times New Roman" w:hint="eastAsia"/>
          <w:color w:val="000000" w:themeColor="text1"/>
          <w:spacing w:val="-1"/>
          <w:szCs w:val="32"/>
        </w:rPr>
        <w:t>％、</w:t>
      </w:r>
      <w:r w:rsidRPr="00516C3A">
        <w:rPr>
          <w:rFonts w:ascii="Times New Roman" w:hAnsi="Times New Roman"/>
          <w:color w:val="000000" w:themeColor="text1"/>
          <w:spacing w:val="-1"/>
          <w:szCs w:val="32"/>
        </w:rPr>
        <w:t>104</w:t>
      </w:r>
      <w:r w:rsidRPr="00516C3A">
        <w:rPr>
          <w:rFonts w:ascii="Times New Roman" w:hAnsi="Times New Roman" w:hint="eastAsia"/>
          <w:color w:val="000000" w:themeColor="text1"/>
          <w:spacing w:val="-1"/>
          <w:szCs w:val="32"/>
        </w:rPr>
        <w:t>年之</w:t>
      </w:r>
      <w:r w:rsidRPr="00516C3A">
        <w:rPr>
          <w:rFonts w:ascii="Times New Roman" w:hAnsi="Times New Roman"/>
          <w:color w:val="000000" w:themeColor="text1"/>
          <w:spacing w:val="-1"/>
          <w:szCs w:val="32"/>
        </w:rPr>
        <w:t>60.38</w:t>
      </w:r>
      <w:r w:rsidRPr="00516C3A">
        <w:rPr>
          <w:rFonts w:ascii="Times New Roman" w:hAnsi="Times New Roman" w:hint="eastAsia"/>
          <w:color w:val="000000" w:themeColor="text1"/>
          <w:spacing w:val="-1"/>
          <w:szCs w:val="32"/>
        </w:rPr>
        <w:t>％，其餘</w:t>
      </w:r>
      <w:r w:rsidRPr="00516C3A">
        <w:rPr>
          <w:rFonts w:ascii="Times New Roman" w:hAnsi="Times New Roman"/>
          <w:color w:val="000000" w:themeColor="text1"/>
          <w:spacing w:val="-1"/>
          <w:szCs w:val="32"/>
        </w:rPr>
        <w:t>16</w:t>
      </w:r>
      <w:r w:rsidRPr="00516C3A">
        <w:rPr>
          <w:rFonts w:ascii="Times New Roman" w:hAnsi="Times New Roman" w:hint="eastAsia"/>
          <w:color w:val="000000" w:themeColor="text1"/>
          <w:spacing w:val="-1"/>
          <w:szCs w:val="32"/>
        </w:rPr>
        <w:t>個地方政府獲配比率從</w:t>
      </w:r>
      <w:r w:rsidRPr="00516C3A">
        <w:rPr>
          <w:rFonts w:ascii="Times New Roman" w:hAnsi="Times New Roman"/>
          <w:color w:val="000000" w:themeColor="text1"/>
          <w:spacing w:val="-1"/>
          <w:szCs w:val="32"/>
        </w:rPr>
        <w:t>102</w:t>
      </w:r>
      <w:r w:rsidRPr="00516C3A">
        <w:rPr>
          <w:rFonts w:ascii="Times New Roman" w:hAnsi="Times New Roman" w:hint="eastAsia"/>
          <w:color w:val="000000" w:themeColor="text1"/>
          <w:spacing w:val="-1"/>
          <w:szCs w:val="32"/>
        </w:rPr>
        <w:t>年之</w:t>
      </w:r>
      <w:r w:rsidRPr="00516C3A">
        <w:rPr>
          <w:rFonts w:ascii="Times New Roman" w:hAnsi="Times New Roman"/>
          <w:color w:val="000000" w:themeColor="text1"/>
          <w:spacing w:val="-1"/>
          <w:szCs w:val="32"/>
        </w:rPr>
        <w:t>34.99</w:t>
      </w:r>
      <w:r w:rsidRPr="00516C3A">
        <w:rPr>
          <w:rFonts w:ascii="Times New Roman" w:hAnsi="Times New Roman" w:hint="eastAsia"/>
          <w:color w:val="000000" w:themeColor="text1"/>
          <w:spacing w:val="-1"/>
          <w:szCs w:val="32"/>
        </w:rPr>
        <w:t>％，達到</w:t>
      </w:r>
      <w:r w:rsidRPr="00516C3A">
        <w:rPr>
          <w:rFonts w:ascii="Times New Roman" w:hAnsi="Times New Roman"/>
          <w:color w:val="000000" w:themeColor="text1"/>
          <w:spacing w:val="-1"/>
          <w:szCs w:val="32"/>
        </w:rPr>
        <w:t>103</w:t>
      </w:r>
      <w:r w:rsidRPr="00516C3A">
        <w:rPr>
          <w:rFonts w:ascii="Times New Roman" w:hAnsi="Times New Roman" w:hint="eastAsia"/>
          <w:color w:val="000000" w:themeColor="text1"/>
          <w:spacing w:val="-1"/>
          <w:szCs w:val="32"/>
        </w:rPr>
        <w:t>年之</w:t>
      </w:r>
      <w:r w:rsidRPr="00516C3A">
        <w:rPr>
          <w:rFonts w:ascii="Times New Roman" w:hAnsi="Times New Roman"/>
          <w:color w:val="000000" w:themeColor="text1"/>
          <w:spacing w:val="-1"/>
          <w:szCs w:val="32"/>
        </w:rPr>
        <w:t>39.76</w:t>
      </w:r>
      <w:r w:rsidRPr="00516C3A">
        <w:rPr>
          <w:rFonts w:ascii="Times New Roman" w:hAnsi="Times New Roman" w:hint="eastAsia"/>
          <w:color w:val="000000" w:themeColor="text1"/>
          <w:spacing w:val="-1"/>
          <w:szCs w:val="32"/>
        </w:rPr>
        <w:t>％及</w:t>
      </w:r>
      <w:r w:rsidRPr="00516C3A">
        <w:rPr>
          <w:rFonts w:ascii="Times New Roman" w:hAnsi="Times New Roman"/>
          <w:color w:val="000000" w:themeColor="text1"/>
          <w:spacing w:val="-1"/>
          <w:szCs w:val="32"/>
        </w:rPr>
        <w:t>104</w:t>
      </w:r>
      <w:r w:rsidRPr="00516C3A">
        <w:rPr>
          <w:rFonts w:ascii="Times New Roman" w:hAnsi="Times New Roman" w:hint="eastAsia"/>
          <w:color w:val="000000" w:themeColor="text1"/>
          <w:spacing w:val="-1"/>
          <w:szCs w:val="32"/>
        </w:rPr>
        <w:t>年之</w:t>
      </w:r>
      <w:r w:rsidRPr="00516C3A">
        <w:rPr>
          <w:rFonts w:ascii="Times New Roman" w:hAnsi="Times New Roman"/>
          <w:color w:val="000000" w:themeColor="text1"/>
          <w:spacing w:val="-1"/>
          <w:szCs w:val="32"/>
        </w:rPr>
        <w:t>39.62</w:t>
      </w:r>
      <w:r w:rsidRPr="00516C3A">
        <w:rPr>
          <w:rFonts w:ascii="Times New Roman" w:hAnsi="Times New Roman" w:hint="eastAsia"/>
          <w:color w:val="000000" w:themeColor="text1"/>
          <w:spacing w:val="-1"/>
          <w:szCs w:val="32"/>
        </w:rPr>
        <w:t>。第</w:t>
      </w:r>
      <w:r w:rsidRPr="00516C3A">
        <w:rPr>
          <w:rFonts w:ascii="Times New Roman" w:hAnsi="Times New Roman"/>
          <w:color w:val="000000" w:themeColor="text1"/>
          <w:spacing w:val="-1"/>
          <w:szCs w:val="32"/>
        </w:rPr>
        <w:t>2</w:t>
      </w:r>
      <w:r w:rsidRPr="00516C3A">
        <w:rPr>
          <w:rFonts w:ascii="Times New Roman" w:hAnsi="Times New Roman" w:hint="eastAsia"/>
          <w:color w:val="000000" w:themeColor="text1"/>
          <w:spacing w:val="-1"/>
          <w:szCs w:val="32"/>
        </w:rPr>
        <w:t>次修正後，</w:t>
      </w:r>
      <w:r w:rsidRPr="00516C3A">
        <w:rPr>
          <w:rFonts w:ascii="Times New Roman" w:hAnsi="Times New Roman"/>
          <w:color w:val="000000" w:themeColor="text1"/>
          <w:spacing w:val="-1"/>
          <w:szCs w:val="32"/>
        </w:rPr>
        <w:t>105</w:t>
      </w:r>
      <w:r w:rsidRPr="00516C3A">
        <w:rPr>
          <w:rFonts w:ascii="Times New Roman" w:hAnsi="Times New Roman" w:hint="eastAsia"/>
          <w:color w:val="000000" w:themeColor="text1"/>
          <w:spacing w:val="-1"/>
          <w:szCs w:val="32"/>
        </w:rPr>
        <w:t>年時，</w:t>
      </w:r>
      <w:r w:rsidRPr="00516C3A">
        <w:rPr>
          <w:rFonts w:ascii="Times New Roman" w:hAnsi="Times New Roman"/>
          <w:color w:val="000000" w:themeColor="text1"/>
          <w:spacing w:val="-1"/>
          <w:szCs w:val="32"/>
        </w:rPr>
        <w:t>6</w:t>
      </w:r>
      <w:r w:rsidRPr="00516C3A">
        <w:rPr>
          <w:rFonts w:ascii="Times New Roman" w:hAnsi="Times New Roman" w:hint="eastAsia"/>
          <w:color w:val="000000" w:themeColor="text1"/>
          <w:spacing w:val="-1"/>
          <w:szCs w:val="32"/>
        </w:rPr>
        <w:t>個直轄市政府獲配比率再降至</w:t>
      </w:r>
      <w:r w:rsidRPr="00516C3A">
        <w:rPr>
          <w:rFonts w:ascii="Times New Roman" w:hAnsi="Times New Roman"/>
          <w:color w:val="000000" w:themeColor="text1"/>
          <w:spacing w:val="-1"/>
          <w:szCs w:val="32"/>
        </w:rPr>
        <w:t>58.31</w:t>
      </w:r>
      <w:r w:rsidRPr="00516C3A">
        <w:rPr>
          <w:rFonts w:ascii="Times New Roman" w:hAnsi="Times New Roman" w:hint="eastAsia"/>
          <w:color w:val="000000" w:themeColor="text1"/>
          <w:spacing w:val="-1"/>
          <w:szCs w:val="32"/>
        </w:rPr>
        <w:t>％，其餘</w:t>
      </w:r>
      <w:r w:rsidRPr="00516C3A">
        <w:rPr>
          <w:rFonts w:ascii="Times New Roman" w:hAnsi="Times New Roman"/>
          <w:color w:val="000000" w:themeColor="text1"/>
          <w:spacing w:val="-1"/>
          <w:szCs w:val="32"/>
        </w:rPr>
        <w:t>16</w:t>
      </w:r>
      <w:r w:rsidRPr="00516C3A">
        <w:rPr>
          <w:rFonts w:ascii="Times New Roman" w:hAnsi="Times New Roman" w:hint="eastAsia"/>
          <w:color w:val="000000" w:themeColor="text1"/>
          <w:spacing w:val="-1"/>
          <w:szCs w:val="32"/>
        </w:rPr>
        <w:t>個地方政府獲配比率超過</w:t>
      </w:r>
      <w:r w:rsidRPr="00516C3A">
        <w:rPr>
          <w:rFonts w:ascii="Times New Roman" w:hAnsi="Times New Roman"/>
          <w:color w:val="000000" w:themeColor="text1"/>
          <w:spacing w:val="-1"/>
          <w:szCs w:val="32"/>
        </w:rPr>
        <w:t>4</w:t>
      </w:r>
      <w:r w:rsidRPr="00516C3A">
        <w:rPr>
          <w:rFonts w:ascii="Times New Roman" w:hAnsi="Times New Roman" w:hint="eastAsia"/>
          <w:color w:val="000000" w:themeColor="text1"/>
          <w:spacing w:val="-1"/>
          <w:szCs w:val="32"/>
        </w:rPr>
        <w:t>成</w:t>
      </w:r>
      <w:r w:rsidRPr="00516C3A">
        <w:rPr>
          <w:rFonts w:ascii="Times New Roman" w:hAnsi="Times New Roman"/>
          <w:color w:val="000000" w:themeColor="text1"/>
          <w:spacing w:val="-1"/>
          <w:szCs w:val="32"/>
        </w:rPr>
        <w:t>(</w:t>
      </w:r>
      <w:r w:rsidRPr="00516C3A">
        <w:rPr>
          <w:rFonts w:ascii="Times New Roman" w:hAnsi="Times New Roman" w:hint="eastAsia"/>
          <w:color w:val="000000" w:themeColor="text1"/>
          <w:spacing w:val="-1"/>
          <w:szCs w:val="32"/>
        </w:rPr>
        <w:t>詳見</w:t>
      </w:r>
      <w:r w:rsidR="005D79B1" w:rsidRPr="00516C3A">
        <w:rPr>
          <w:rFonts w:ascii="Times New Roman" w:hAnsi="Times New Roman" w:hint="eastAsia"/>
          <w:color w:val="000000" w:themeColor="text1"/>
          <w:spacing w:val="-1"/>
        </w:rPr>
        <w:t>處理辦法之後的</w:t>
      </w:r>
      <w:r w:rsidRPr="00516C3A">
        <w:rPr>
          <w:rFonts w:ascii="Times New Roman" w:hAnsi="Times New Roman" w:hint="eastAsia"/>
          <w:color w:val="000000" w:themeColor="text1"/>
          <w:spacing w:val="-1"/>
          <w:szCs w:val="32"/>
        </w:rPr>
        <w:t>附表一、附表二</w:t>
      </w:r>
      <w:r w:rsidR="00516C3A" w:rsidRPr="00516C3A">
        <w:rPr>
          <w:rFonts w:ascii="Times New Roman" w:hAnsi="Times New Roman" w:hint="eastAsia"/>
          <w:color w:val="000000" w:themeColor="text1"/>
          <w:spacing w:val="-1"/>
          <w:szCs w:val="32"/>
        </w:rPr>
        <w:t>，</w:t>
      </w:r>
      <w:r w:rsidR="00990CD2">
        <w:rPr>
          <w:rFonts w:ascii="Times New Roman" w:hAnsi="Times New Roman" w:hint="eastAsia"/>
          <w:color w:val="000000" w:themeColor="text1"/>
          <w:spacing w:val="-1"/>
          <w:szCs w:val="32"/>
        </w:rPr>
        <w:t>以</w:t>
      </w:r>
      <w:r w:rsidRPr="00516C3A">
        <w:rPr>
          <w:rFonts w:ascii="Times New Roman" w:hAnsi="Times New Roman" w:hint="eastAsia"/>
          <w:color w:val="000000" w:themeColor="text1"/>
          <w:spacing w:val="-1"/>
          <w:szCs w:val="32"/>
        </w:rPr>
        <w:t>及上圖</w:t>
      </w:r>
      <w:r w:rsidRPr="00516C3A">
        <w:rPr>
          <w:rFonts w:ascii="Times New Roman" w:hAnsi="Times New Roman"/>
          <w:color w:val="000000" w:themeColor="text1"/>
          <w:spacing w:val="-1"/>
          <w:szCs w:val="32"/>
        </w:rPr>
        <w:t>1)</w:t>
      </w:r>
      <w:r w:rsidRPr="00516C3A">
        <w:rPr>
          <w:rFonts w:ascii="Times New Roman" w:hAnsi="Times New Roman" w:hint="eastAsia"/>
          <w:color w:val="000000" w:themeColor="text1"/>
          <w:spacing w:val="-1"/>
          <w:szCs w:val="32"/>
        </w:rPr>
        <w:t>，凸顯分配公式之調整，對於改善各縣市公益彩券盈餘分配款差距過大之問題，稍有助益。且據本院諮詢之專家學者表示略以：</w:t>
      </w:r>
      <w:r w:rsidRPr="00516C3A">
        <w:rPr>
          <w:rFonts w:ascii="Times New Roman" w:hAnsi="Times New Roman" w:hint="eastAsia"/>
          <w:color w:val="000000" w:themeColor="text1"/>
          <w:spacing w:val="-1"/>
        </w:rPr>
        <w:t>目前是</w:t>
      </w:r>
      <w:r w:rsidRPr="00516C3A">
        <w:rPr>
          <w:rFonts w:ascii="Times New Roman" w:hAnsi="Times New Roman"/>
          <w:color w:val="000000" w:themeColor="text1"/>
          <w:spacing w:val="-1"/>
        </w:rPr>
        <w:t>15%</w:t>
      </w:r>
      <w:r w:rsidRPr="00516C3A">
        <w:rPr>
          <w:rFonts w:ascii="Times New Roman" w:hAnsi="Times New Roman" w:hint="eastAsia"/>
          <w:color w:val="000000" w:themeColor="text1"/>
          <w:spacing w:val="-1"/>
        </w:rPr>
        <w:t>分配予各縣市政府，另依銷售貢獻度及</w:t>
      </w:r>
      <w:r w:rsidRPr="00516C3A">
        <w:rPr>
          <w:rFonts w:ascii="Times New Roman" w:hAnsi="Times New Roman"/>
          <w:color w:val="000000" w:themeColor="text1"/>
          <w:spacing w:val="-1"/>
        </w:rPr>
        <w:t>6</w:t>
      </w:r>
      <w:r w:rsidRPr="00516C3A">
        <w:rPr>
          <w:rFonts w:ascii="Times New Roman" w:hAnsi="Times New Roman" w:hint="eastAsia"/>
          <w:color w:val="000000" w:themeColor="text1"/>
          <w:spacing w:val="-1"/>
        </w:rPr>
        <w:t>項弱勢人口等進行分配；目前設算結果，每個縣市之分配金額除以人口總數之人均</w:t>
      </w:r>
      <w:r w:rsidRPr="00516C3A">
        <w:rPr>
          <w:rFonts w:ascii="Times New Roman" w:hAnsi="Times New Roman"/>
          <w:color w:val="000000" w:themeColor="text1"/>
          <w:spacing w:val="-1"/>
        </w:rPr>
        <w:t>(</w:t>
      </w:r>
      <w:r w:rsidRPr="00516C3A">
        <w:rPr>
          <w:rFonts w:ascii="Times New Roman" w:hAnsi="Times New Roman" w:hint="eastAsia"/>
          <w:color w:val="000000" w:themeColor="text1"/>
          <w:spacing w:val="-1"/>
        </w:rPr>
        <w:t>每人分配到的金額</w:t>
      </w:r>
      <w:r w:rsidRPr="00516C3A">
        <w:rPr>
          <w:rFonts w:ascii="Times New Roman" w:hAnsi="Times New Roman"/>
          <w:color w:val="000000" w:themeColor="text1"/>
          <w:spacing w:val="-1"/>
        </w:rPr>
        <w:t>)</w:t>
      </w:r>
      <w:r w:rsidRPr="00516C3A">
        <w:rPr>
          <w:rFonts w:ascii="Times New Roman" w:hAnsi="Times New Roman" w:hint="eastAsia"/>
          <w:color w:val="000000" w:themeColor="text1"/>
          <w:spacing w:val="-1"/>
        </w:rPr>
        <w:t>其實差不多，但希望公益彩券盈餘能夠挹注比較弱勢的地區；經過財政部調整公式後，產生些微作用、慢慢拉近分配的距離，但仍希望財政較為拮据的縣市能有更多對弱勢的分配數等語。</w:t>
      </w:r>
      <w:bookmarkEnd w:id="761"/>
      <w:bookmarkEnd w:id="762"/>
      <w:bookmarkEnd w:id="763"/>
      <w:r w:rsidRPr="00516C3A">
        <w:rPr>
          <w:rFonts w:ascii="Times New Roman" w:hAnsi="Times New Roman" w:hint="eastAsia"/>
          <w:color w:val="000000" w:themeColor="text1"/>
          <w:spacing w:val="-1"/>
        </w:rPr>
        <w:t>本院座談時，地方政府代表亦表示：分配一定要將城鄉落差的因素納入考量，否則分配狀況不盡合理，導致窮者愈窮、富者愈富等語。</w:t>
      </w:r>
      <w:bookmarkEnd w:id="764"/>
      <w:bookmarkEnd w:id="765"/>
      <w:bookmarkEnd w:id="766"/>
      <w:bookmarkEnd w:id="767"/>
      <w:bookmarkEnd w:id="768"/>
      <w:bookmarkEnd w:id="769"/>
      <w:bookmarkEnd w:id="770"/>
      <w:bookmarkEnd w:id="771"/>
    </w:p>
    <w:p w:rsidR="0040606A" w:rsidRPr="00760ECF" w:rsidRDefault="0040606A" w:rsidP="0040606A">
      <w:pPr>
        <w:pStyle w:val="3"/>
        <w:numPr>
          <w:ilvl w:val="2"/>
          <w:numId w:val="9"/>
        </w:numPr>
        <w:kinsoku w:val="0"/>
        <w:ind w:left="1360" w:hanging="680"/>
        <w:rPr>
          <w:rFonts w:ascii="Times New Roman" w:hAnsi="Times New Roman"/>
          <w:color w:val="000000" w:themeColor="text1"/>
          <w:szCs w:val="32"/>
        </w:rPr>
      </w:pPr>
      <w:bookmarkStart w:id="776" w:name="_Toc507518543"/>
      <w:bookmarkStart w:id="777" w:name="_Toc507491516"/>
      <w:bookmarkStart w:id="778" w:name="_Toc507484692"/>
      <w:bookmarkStart w:id="779" w:name="_Toc507403571"/>
      <w:bookmarkStart w:id="780" w:name="_Toc507359635"/>
      <w:bookmarkStart w:id="781" w:name="_Toc507767620"/>
      <w:bookmarkStart w:id="782" w:name="_Toc507768346"/>
      <w:bookmarkStart w:id="783" w:name="_Toc511115335"/>
      <w:bookmarkStart w:id="784" w:name="_Toc511308126"/>
      <w:bookmarkStart w:id="785" w:name="_Toc511998568"/>
      <w:bookmarkStart w:id="786" w:name="_Toc512420925"/>
      <w:r w:rsidRPr="00760ECF">
        <w:rPr>
          <w:rFonts w:ascii="Times New Roman" w:hAnsi="Times New Roman" w:hint="eastAsia"/>
          <w:color w:val="000000" w:themeColor="text1"/>
          <w:szCs w:val="32"/>
        </w:rPr>
        <w:t>惟公益彩券於</w:t>
      </w:r>
      <w:r w:rsidRPr="00760ECF">
        <w:rPr>
          <w:rFonts w:ascii="Times New Roman" w:hAnsi="Times New Roman"/>
          <w:color w:val="000000" w:themeColor="text1"/>
          <w:szCs w:val="32"/>
        </w:rPr>
        <w:t>88</w:t>
      </w:r>
      <w:r w:rsidRPr="00760ECF">
        <w:rPr>
          <w:rFonts w:ascii="Times New Roman" w:hAnsi="Times New Roman" w:hint="eastAsia"/>
          <w:color w:val="000000" w:themeColor="text1"/>
          <w:szCs w:val="32"/>
        </w:rPr>
        <w:t>年</w:t>
      </w:r>
      <w:r w:rsidRPr="00760ECF">
        <w:rPr>
          <w:rFonts w:ascii="Times New Roman" w:hAnsi="Times New Roman"/>
          <w:color w:val="000000" w:themeColor="text1"/>
          <w:szCs w:val="32"/>
        </w:rPr>
        <w:t>12</w:t>
      </w:r>
      <w:r w:rsidRPr="00760ECF">
        <w:rPr>
          <w:rFonts w:ascii="Times New Roman" w:hAnsi="Times New Roman" w:hint="eastAsia"/>
          <w:color w:val="000000" w:themeColor="text1"/>
          <w:szCs w:val="32"/>
        </w:rPr>
        <w:t>月發行，財政部於同年</w:t>
      </w:r>
      <w:r w:rsidRPr="00760ECF">
        <w:rPr>
          <w:rFonts w:ascii="Times New Roman" w:hAnsi="Times New Roman"/>
          <w:color w:val="000000" w:themeColor="text1"/>
          <w:szCs w:val="32"/>
        </w:rPr>
        <w:t>11</w:t>
      </w:r>
      <w:r w:rsidRPr="00760ECF">
        <w:rPr>
          <w:rFonts w:ascii="Times New Roman" w:hAnsi="Times New Roman" w:hint="eastAsia"/>
          <w:color w:val="000000" w:themeColor="text1"/>
          <w:szCs w:val="32"/>
        </w:rPr>
        <w:t>月</w:t>
      </w:r>
      <w:r w:rsidRPr="00760ECF">
        <w:rPr>
          <w:rFonts w:ascii="Times New Roman" w:hAnsi="Times New Roman"/>
          <w:color w:val="000000" w:themeColor="text1"/>
          <w:szCs w:val="32"/>
        </w:rPr>
        <w:t>29</w:t>
      </w:r>
      <w:r w:rsidRPr="00760ECF">
        <w:rPr>
          <w:rFonts w:ascii="Times New Roman" w:hAnsi="Times New Roman" w:hint="eastAsia"/>
          <w:color w:val="000000" w:themeColor="text1"/>
          <w:szCs w:val="32"/>
        </w:rPr>
        <w:t>日所訂定之盈餘分配指標及權重，直至</w:t>
      </w:r>
      <w:r w:rsidRPr="00760ECF">
        <w:rPr>
          <w:rFonts w:ascii="Times New Roman" w:hAnsi="Times New Roman"/>
          <w:color w:val="000000" w:themeColor="text1"/>
          <w:szCs w:val="32"/>
        </w:rPr>
        <w:t>14</w:t>
      </w:r>
      <w:r w:rsidRPr="00760ECF">
        <w:rPr>
          <w:rFonts w:ascii="Times New Roman" w:hAnsi="Times New Roman" w:hint="eastAsia"/>
          <w:color w:val="000000" w:themeColor="text1"/>
          <w:szCs w:val="32"/>
        </w:rPr>
        <w:t>年後即</w:t>
      </w:r>
      <w:r w:rsidRPr="00760ECF">
        <w:rPr>
          <w:rFonts w:ascii="Times New Roman" w:hAnsi="Times New Roman"/>
          <w:color w:val="000000" w:themeColor="text1"/>
          <w:szCs w:val="32"/>
        </w:rPr>
        <w:t>102</w:t>
      </w:r>
      <w:r w:rsidRPr="00760ECF">
        <w:rPr>
          <w:rFonts w:ascii="Times New Roman" w:hAnsi="Times New Roman" w:hint="eastAsia"/>
          <w:color w:val="000000" w:themeColor="text1"/>
          <w:szCs w:val="32"/>
        </w:rPr>
        <w:t>年方進行第</w:t>
      </w:r>
      <w:r w:rsidRPr="00760ECF">
        <w:rPr>
          <w:rFonts w:ascii="Times New Roman" w:hAnsi="Times New Roman"/>
          <w:color w:val="000000" w:themeColor="text1"/>
          <w:szCs w:val="32"/>
        </w:rPr>
        <w:t>1</w:t>
      </w:r>
      <w:r w:rsidRPr="00760ECF">
        <w:rPr>
          <w:rFonts w:ascii="Times New Roman" w:hAnsi="Times New Roman" w:hint="eastAsia"/>
          <w:color w:val="000000" w:themeColor="text1"/>
          <w:szCs w:val="32"/>
        </w:rPr>
        <w:t>次檢討調整，本院詢及理由，該部表示：「法制並無規範要求定期檢討，</w:t>
      </w:r>
      <w:r w:rsidRPr="00760ECF">
        <w:rPr>
          <w:rFonts w:ascii="Times New Roman" w:hAnsi="Times New Roman"/>
          <w:color w:val="000000" w:themeColor="text1"/>
          <w:szCs w:val="32"/>
        </w:rPr>
        <w:t>2</w:t>
      </w:r>
      <w:r w:rsidRPr="00760ECF">
        <w:rPr>
          <w:rFonts w:ascii="Times New Roman" w:hAnsi="Times New Roman" w:hint="eastAsia"/>
          <w:color w:val="000000" w:themeColor="text1"/>
          <w:szCs w:val="32"/>
        </w:rPr>
        <w:t>次的分配公式之所以提出檢討修正，係因應</w:t>
      </w:r>
      <w:r w:rsidRPr="00760ECF">
        <w:rPr>
          <w:rFonts w:ascii="Times New Roman" w:hAnsi="Times New Roman"/>
          <w:color w:val="000000" w:themeColor="text1"/>
          <w:szCs w:val="32"/>
        </w:rPr>
        <w:t>101</w:t>
      </w:r>
      <w:r w:rsidRPr="00760ECF">
        <w:rPr>
          <w:rFonts w:ascii="Times New Roman" w:hAnsi="Times New Roman" w:hint="eastAsia"/>
          <w:color w:val="000000" w:themeColor="text1"/>
          <w:szCs w:val="32"/>
        </w:rPr>
        <w:t>年委外研究報告的相關建議，遂啟動調整作業</w:t>
      </w:r>
      <w:r w:rsidRPr="00760ECF">
        <w:rPr>
          <w:rFonts w:hAnsi="標楷體" w:hint="eastAsia"/>
          <w:color w:val="000000" w:themeColor="text1"/>
          <w:szCs w:val="32"/>
        </w:rPr>
        <w:t>」</w:t>
      </w:r>
      <w:r w:rsidRPr="00760ECF">
        <w:rPr>
          <w:rFonts w:ascii="Times New Roman" w:hAnsi="Times New Roman" w:hint="eastAsia"/>
          <w:color w:val="000000" w:themeColor="text1"/>
          <w:szCs w:val="32"/>
        </w:rPr>
        <w:t>。再問：</w:t>
      </w:r>
      <w:r w:rsidRPr="00760ECF">
        <w:rPr>
          <w:rFonts w:hAnsi="標楷體" w:hint="eastAsia"/>
          <w:color w:val="000000" w:themeColor="text1"/>
          <w:szCs w:val="32"/>
        </w:rPr>
        <w:t>「</w:t>
      </w:r>
      <w:r w:rsidRPr="00760ECF">
        <w:rPr>
          <w:rFonts w:ascii="Times New Roman" w:hAnsi="Times New Roman" w:hint="eastAsia"/>
          <w:color w:val="000000" w:themeColor="text1"/>
          <w:szCs w:val="32"/>
        </w:rPr>
        <w:t>除因應委外研究的建議外，有何定期檢討評估的機制？</w:t>
      </w:r>
      <w:r w:rsidRPr="00760ECF">
        <w:rPr>
          <w:rFonts w:hAnsi="標楷體" w:hint="eastAsia"/>
          <w:color w:val="000000" w:themeColor="text1"/>
          <w:szCs w:val="32"/>
        </w:rPr>
        <w:t>」該部答以：「</w:t>
      </w:r>
      <w:r w:rsidRPr="00760ECF">
        <w:rPr>
          <w:rFonts w:ascii="Times New Roman" w:hAnsi="Times New Roman"/>
          <w:color w:val="000000" w:themeColor="text1"/>
          <w:szCs w:val="32"/>
        </w:rPr>
        <w:t>105</w:t>
      </w:r>
      <w:r w:rsidRPr="00760ECF">
        <w:rPr>
          <w:rFonts w:ascii="Times New Roman" w:hAnsi="Times New Roman" w:hint="eastAsia"/>
          <w:color w:val="000000" w:themeColor="text1"/>
          <w:szCs w:val="32"/>
        </w:rPr>
        <w:t>年方實施，第</w:t>
      </w:r>
      <w:r w:rsidRPr="00760ECF">
        <w:rPr>
          <w:rFonts w:ascii="Times New Roman" w:hAnsi="Times New Roman"/>
          <w:color w:val="000000" w:themeColor="text1"/>
          <w:szCs w:val="32"/>
        </w:rPr>
        <w:t>2</w:t>
      </w:r>
      <w:r w:rsidRPr="00760ECF">
        <w:rPr>
          <w:rFonts w:ascii="Times New Roman" w:hAnsi="Times New Roman" w:hint="eastAsia"/>
          <w:color w:val="000000" w:themeColor="text1"/>
          <w:szCs w:val="32"/>
        </w:rPr>
        <w:t>次修正的分配公式，基於預算穩定，目前沒有。」顯見該部對於盈餘分配公式之合理性，欠缺定期檢討評估機制，以致無從掌握公益彩券盈餘之分配能否達到縮小城鄉差距及兼顧地方社會福利需求之目的。</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rsidR="0040606A" w:rsidRPr="00760ECF" w:rsidRDefault="0040606A" w:rsidP="0040606A">
      <w:pPr>
        <w:pStyle w:val="3"/>
        <w:numPr>
          <w:ilvl w:val="2"/>
          <w:numId w:val="9"/>
        </w:numPr>
        <w:kinsoku w:val="0"/>
        <w:ind w:left="1360" w:hanging="680"/>
        <w:rPr>
          <w:rFonts w:ascii="Times New Roman" w:hAnsi="Times New Roman"/>
          <w:color w:val="000000" w:themeColor="text1"/>
          <w:spacing w:val="-4"/>
          <w:szCs w:val="32"/>
        </w:rPr>
      </w:pPr>
      <w:bookmarkStart w:id="787" w:name="_Toc507518544"/>
      <w:bookmarkStart w:id="788" w:name="_Toc507491517"/>
      <w:bookmarkStart w:id="789" w:name="_Toc507484693"/>
      <w:bookmarkStart w:id="790" w:name="_Toc507403572"/>
      <w:bookmarkStart w:id="791" w:name="_Toc507359636"/>
      <w:bookmarkStart w:id="792" w:name="_Toc507168669"/>
      <w:bookmarkStart w:id="793" w:name="_Toc507163467"/>
      <w:bookmarkStart w:id="794" w:name="_Toc507163215"/>
      <w:bookmarkStart w:id="795" w:name="_Toc507072980"/>
      <w:bookmarkStart w:id="796" w:name="_Toc507767621"/>
      <w:bookmarkStart w:id="797" w:name="_Toc507768347"/>
      <w:bookmarkStart w:id="798" w:name="_Toc511115336"/>
      <w:bookmarkStart w:id="799" w:name="_Toc511308127"/>
      <w:bookmarkStart w:id="800" w:name="_Toc511998569"/>
      <w:bookmarkStart w:id="801" w:name="_Toc512420926"/>
      <w:r>
        <w:rPr>
          <w:rFonts w:ascii="Times New Roman" w:hAnsi="Times New Roman" w:hint="eastAsia"/>
          <w:spacing w:val="-4"/>
          <w:szCs w:val="32"/>
        </w:rPr>
        <w:t>綜上，公益彩券於</w:t>
      </w:r>
      <w:r>
        <w:rPr>
          <w:rFonts w:ascii="Times New Roman" w:hAnsi="Times New Roman"/>
          <w:spacing w:val="-4"/>
          <w:szCs w:val="32"/>
        </w:rPr>
        <w:t>88</w:t>
      </w:r>
      <w:r>
        <w:rPr>
          <w:rFonts w:ascii="Times New Roman" w:hAnsi="Times New Roman" w:hint="eastAsia"/>
          <w:spacing w:val="-4"/>
          <w:szCs w:val="32"/>
        </w:rPr>
        <w:t>年</w:t>
      </w:r>
      <w:r>
        <w:rPr>
          <w:rFonts w:ascii="Times New Roman" w:hAnsi="Times New Roman"/>
          <w:spacing w:val="-4"/>
          <w:szCs w:val="32"/>
        </w:rPr>
        <w:t>12</w:t>
      </w:r>
      <w:r>
        <w:rPr>
          <w:rFonts w:ascii="Times New Roman" w:hAnsi="Times New Roman" w:hint="eastAsia"/>
          <w:spacing w:val="-4"/>
          <w:szCs w:val="32"/>
        </w:rPr>
        <w:t>月發行，</w:t>
      </w:r>
      <w:r>
        <w:rPr>
          <w:rFonts w:ascii="Times New Roman" w:hAnsi="Times New Roman" w:hint="eastAsia"/>
          <w:szCs w:val="32"/>
        </w:rPr>
        <w:t>財政部於</w:t>
      </w:r>
      <w:r>
        <w:rPr>
          <w:rFonts w:ascii="Times New Roman" w:hAnsi="Times New Roman"/>
          <w:szCs w:val="32"/>
        </w:rPr>
        <w:t>88</w:t>
      </w:r>
      <w:r>
        <w:rPr>
          <w:rFonts w:ascii="Times New Roman" w:hAnsi="Times New Roman" w:hint="eastAsia"/>
          <w:szCs w:val="32"/>
        </w:rPr>
        <w:t>年</w:t>
      </w:r>
      <w:r>
        <w:rPr>
          <w:rFonts w:ascii="Times New Roman" w:hAnsi="Times New Roman"/>
          <w:szCs w:val="32"/>
        </w:rPr>
        <w:t>11</w:t>
      </w:r>
      <w:r>
        <w:rPr>
          <w:rFonts w:ascii="Times New Roman" w:hAnsi="Times New Roman" w:hint="eastAsia"/>
          <w:szCs w:val="32"/>
        </w:rPr>
        <w:t>月</w:t>
      </w:r>
      <w:r>
        <w:rPr>
          <w:rFonts w:ascii="Times New Roman" w:hAnsi="Times New Roman"/>
          <w:szCs w:val="32"/>
        </w:rPr>
        <w:t>29</w:t>
      </w:r>
      <w:r>
        <w:rPr>
          <w:rFonts w:ascii="Times New Roman" w:hAnsi="Times New Roman" w:hint="eastAsia"/>
          <w:szCs w:val="32"/>
        </w:rPr>
        <w:t>日訂</w:t>
      </w:r>
      <w:r w:rsidRPr="00760ECF">
        <w:rPr>
          <w:rFonts w:ascii="Times New Roman" w:hAnsi="Times New Roman" w:hint="eastAsia"/>
          <w:color w:val="000000" w:themeColor="text1"/>
          <w:szCs w:val="32"/>
        </w:rPr>
        <w:t>定公益彩券盈餘分配予地方政府之指標及權重</w:t>
      </w:r>
      <w:r w:rsidRPr="00760ECF">
        <w:rPr>
          <w:rFonts w:ascii="Times New Roman" w:hAnsi="Times New Roman" w:hint="eastAsia"/>
          <w:color w:val="000000" w:themeColor="text1"/>
          <w:spacing w:val="-4"/>
          <w:szCs w:val="32"/>
        </w:rPr>
        <w:t>，嗣後因無定期檢討評估機制，直至</w:t>
      </w:r>
      <w:r w:rsidRPr="00760ECF">
        <w:rPr>
          <w:rFonts w:ascii="Times New Roman" w:hAnsi="Times New Roman"/>
          <w:color w:val="000000" w:themeColor="text1"/>
          <w:spacing w:val="-4"/>
          <w:szCs w:val="32"/>
        </w:rPr>
        <w:t>102</w:t>
      </w:r>
      <w:r w:rsidRPr="00760ECF">
        <w:rPr>
          <w:rFonts w:ascii="Times New Roman" w:hAnsi="Times New Roman" w:hint="eastAsia"/>
          <w:color w:val="000000" w:themeColor="text1"/>
          <w:spacing w:val="-4"/>
          <w:szCs w:val="32"/>
        </w:rPr>
        <w:t>年始啟動第</w:t>
      </w:r>
      <w:r w:rsidRPr="00760ECF">
        <w:rPr>
          <w:rFonts w:ascii="Times New Roman" w:hAnsi="Times New Roman"/>
          <w:color w:val="000000" w:themeColor="text1"/>
          <w:spacing w:val="-4"/>
          <w:szCs w:val="32"/>
        </w:rPr>
        <w:t>1</w:t>
      </w:r>
      <w:r w:rsidRPr="00760ECF">
        <w:rPr>
          <w:rFonts w:ascii="Times New Roman" w:hAnsi="Times New Roman" w:hint="eastAsia"/>
          <w:color w:val="000000" w:themeColor="text1"/>
          <w:spacing w:val="-4"/>
          <w:szCs w:val="32"/>
        </w:rPr>
        <w:t>次檢討調整，以致無從掌握公益彩券盈餘之分配能否達到縮小城鄉差距及兼顧地方社會福利需求之目的，應予檢討改進。</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rsidR="0040606A" w:rsidRPr="001A22C8" w:rsidRDefault="0040606A" w:rsidP="0040606A">
      <w:pPr>
        <w:pStyle w:val="2"/>
        <w:numPr>
          <w:ilvl w:val="1"/>
          <w:numId w:val="9"/>
        </w:numPr>
        <w:kinsoku w:val="0"/>
        <w:ind w:left="1020" w:hanging="680"/>
        <w:rPr>
          <w:rFonts w:ascii="Times New Roman" w:hAnsi="Times New Roman"/>
          <w:b/>
        </w:rPr>
      </w:pPr>
      <w:bookmarkStart w:id="802" w:name="_Toc507518545"/>
      <w:bookmarkStart w:id="803" w:name="_Toc507767622"/>
      <w:bookmarkStart w:id="804" w:name="_Toc511115337"/>
      <w:bookmarkStart w:id="805" w:name="_Toc512420927"/>
      <w:bookmarkStart w:id="806" w:name="_Toc507072981"/>
      <w:r>
        <w:rPr>
          <w:rFonts w:ascii="Times New Roman" w:hAnsi="Times New Roman" w:hint="eastAsia"/>
          <w:b/>
        </w:rPr>
        <w:t>各地方政府為公益彩券盈餘分配基金</w:t>
      </w:r>
      <w:r>
        <w:rPr>
          <w:rFonts w:ascii="Times New Roman" w:hAnsi="Times New Roman"/>
          <w:b/>
        </w:rPr>
        <w:t>(</w:t>
      </w:r>
      <w:r>
        <w:rPr>
          <w:rFonts w:ascii="Times New Roman" w:hAnsi="Times New Roman" w:hint="eastAsia"/>
          <w:b/>
        </w:rPr>
        <w:t>款</w:t>
      </w:r>
      <w:r>
        <w:rPr>
          <w:rFonts w:ascii="Times New Roman" w:hAnsi="Times New Roman"/>
          <w:b/>
        </w:rPr>
        <w:t>)</w:t>
      </w:r>
      <w:r>
        <w:rPr>
          <w:rFonts w:ascii="Times New Roman" w:hAnsi="Times New Roman" w:hint="eastAsia"/>
          <w:b/>
        </w:rPr>
        <w:t>之收支、保管及運用，雖皆</w:t>
      </w:r>
      <w:r w:rsidRPr="001A22C8">
        <w:rPr>
          <w:rFonts w:ascii="Times New Roman" w:hAnsi="Times New Roman" w:hint="eastAsia"/>
          <w:b/>
        </w:rPr>
        <w:t>已設立運用管理委員會</w:t>
      </w:r>
      <w:r w:rsidRPr="001A22C8">
        <w:rPr>
          <w:rFonts w:ascii="Times New Roman" w:hAnsi="Times New Roman"/>
          <w:b/>
        </w:rPr>
        <w:t>(</w:t>
      </w:r>
      <w:r w:rsidRPr="001A22C8">
        <w:rPr>
          <w:rFonts w:ascii="Times New Roman" w:hAnsi="Times New Roman" w:hint="eastAsia"/>
          <w:b/>
        </w:rPr>
        <w:t>小組</w:t>
      </w:r>
      <w:r w:rsidRPr="001A22C8">
        <w:rPr>
          <w:rFonts w:ascii="Times New Roman" w:hAnsi="Times New Roman"/>
          <w:b/>
        </w:rPr>
        <w:t>)</w:t>
      </w:r>
      <w:r w:rsidRPr="001A22C8">
        <w:rPr>
          <w:rFonts w:ascii="Times New Roman" w:hAnsi="Times New Roman" w:hint="eastAsia"/>
          <w:b/>
        </w:rPr>
        <w:t>，以監督地方公益彩券盈餘分配款之管理及運用，惟間有部分縣市該委員會之組成結構欠妥、委員出席率欠佳，亦有代理出席情況等情，財政部允應督促其檢討改進，以有效發揮監督功能。</w:t>
      </w:r>
      <w:bookmarkEnd w:id="802"/>
      <w:bookmarkEnd w:id="803"/>
      <w:bookmarkEnd w:id="804"/>
      <w:bookmarkEnd w:id="805"/>
    </w:p>
    <w:p w:rsidR="0040606A" w:rsidRPr="002E3FD8" w:rsidRDefault="0040606A" w:rsidP="0040606A">
      <w:pPr>
        <w:pStyle w:val="3"/>
        <w:numPr>
          <w:ilvl w:val="2"/>
          <w:numId w:val="9"/>
        </w:numPr>
        <w:topLinePunct/>
        <w:ind w:left="1360" w:hanging="680"/>
        <w:rPr>
          <w:rFonts w:ascii="Times New Roman" w:hAnsi="Times New Roman"/>
        </w:rPr>
      </w:pPr>
      <w:bookmarkStart w:id="807" w:name="_Toc507359646"/>
      <w:bookmarkStart w:id="808" w:name="_Toc507518546"/>
      <w:bookmarkStart w:id="809" w:name="_Toc507491519"/>
      <w:bookmarkStart w:id="810" w:name="_Toc507484695"/>
      <w:bookmarkStart w:id="811" w:name="_Toc507403582"/>
      <w:bookmarkStart w:id="812" w:name="_Toc507767623"/>
      <w:bookmarkStart w:id="813" w:name="_Toc507768349"/>
      <w:bookmarkStart w:id="814" w:name="_Toc511115338"/>
      <w:bookmarkStart w:id="815" w:name="_Toc511308129"/>
      <w:bookmarkStart w:id="816" w:name="_Toc511998571"/>
      <w:bookmarkStart w:id="817" w:name="_Toc512420928"/>
      <w:r>
        <w:rPr>
          <w:rFonts w:ascii="Times New Roman" w:hAnsi="Times New Roman" w:hint="eastAsia"/>
        </w:rPr>
        <w:t>依據審計部及財政部查復結果顯示，各地方政府為公益彩券盈餘分配基金</w:t>
      </w:r>
      <w:r>
        <w:rPr>
          <w:rFonts w:ascii="Times New Roman" w:hAnsi="Times New Roman"/>
        </w:rPr>
        <w:t>(</w:t>
      </w:r>
      <w:r>
        <w:rPr>
          <w:rFonts w:ascii="Times New Roman" w:hAnsi="Times New Roman" w:hint="eastAsia"/>
        </w:rPr>
        <w:t>分配款</w:t>
      </w:r>
      <w:r>
        <w:rPr>
          <w:rFonts w:ascii="Times New Roman" w:hAnsi="Times New Roman"/>
        </w:rPr>
        <w:t>)</w:t>
      </w:r>
      <w:r>
        <w:rPr>
          <w:rFonts w:ascii="Times New Roman" w:hAnsi="Times New Roman" w:hint="eastAsia"/>
        </w:rPr>
        <w:t>之收支、保管及運用，皆訂有收支保管運用辦法，並設立公益彩券盈餘運用管理委員會及其組成相關規定，</w:t>
      </w:r>
      <w:bookmarkEnd w:id="807"/>
      <w:r>
        <w:rPr>
          <w:rFonts w:ascii="Times New Roman" w:hAnsi="Times New Roman" w:hint="eastAsia"/>
        </w:rPr>
        <w:t>以監督公益彩券盈餘分配款之管理及</w:t>
      </w:r>
      <w:r w:rsidRPr="002E3FD8">
        <w:rPr>
          <w:rFonts w:ascii="Times New Roman" w:hAnsi="Times New Roman" w:hint="eastAsia"/>
        </w:rPr>
        <w:t>運用</w:t>
      </w:r>
      <w:r w:rsidRPr="002E3FD8">
        <w:rPr>
          <w:rFonts w:ascii="Times New Roman" w:hAnsi="Times New Roman"/>
        </w:rPr>
        <w:t>(</w:t>
      </w:r>
      <w:r w:rsidRPr="002E3FD8">
        <w:rPr>
          <w:rFonts w:ascii="Times New Roman" w:hAnsi="Times New Roman" w:hint="eastAsia"/>
        </w:rPr>
        <w:t>詳見下表</w:t>
      </w:r>
      <w:r w:rsidRPr="002E3FD8">
        <w:rPr>
          <w:rFonts w:ascii="Times New Roman" w:hAnsi="Times New Roman"/>
        </w:rPr>
        <w:t>6</w:t>
      </w:r>
      <w:r w:rsidRPr="002E3FD8">
        <w:rPr>
          <w:rFonts w:ascii="Times New Roman" w:hAnsi="Times New Roman" w:hint="eastAsia"/>
        </w:rPr>
        <w:t>及表</w:t>
      </w:r>
      <w:r w:rsidRPr="002E3FD8">
        <w:rPr>
          <w:rFonts w:ascii="Times New Roman" w:hAnsi="Times New Roman" w:hint="eastAsia"/>
        </w:rPr>
        <w:t>7</w:t>
      </w:r>
      <w:r w:rsidRPr="002E3FD8">
        <w:rPr>
          <w:rFonts w:ascii="Times New Roman" w:hAnsi="Times New Roman"/>
        </w:rPr>
        <w:t>)</w:t>
      </w:r>
      <w:r w:rsidRPr="002E3FD8">
        <w:rPr>
          <w:rFonts w:ascii="Times New Roman" w:hAnsi="Times New Roman" w:hint="eastAsia"/>
        </w:rPr>
        <w:t>。</w:t>
      </w:r>
      <w:bookmarkEnd w:id="808"/>
      <w:bookmarkEnd w:id="809"/>
      <w:bookmarkEnd w:id="810"/>
      <w:bookmarkEnd w:id="811"/>
      <w:bookmarkEnd w:id="812"/>
      <w:bookmarkEnd w:id="813"/>
      <w:bookmarkEnd w:id="814"/>
      <w:bookmarkEnd w:id="815"/>
      <w:bookmarkEnd w:id="816"/>
      <w:bookmarkEnd w:id="817"/>
    </w:p>
    <w:p w:rsidR="0040606A" w:rsidRDefault="0040606A" w:rsidP="0040606A">
      <w:pPr>
        <w:pStyle w:val="a3"/>
        <w:numPr>
          <w:ilvl w:val="0"/>
          <w:numId w:val="34"/>
        </w:numPr>
        <w:spacing w:before="120" w:after="0"/>
        <w:ind w:left="1841" w:rightChars="-91" w:right="-310" w:hanging="427"/>
        <w:textAlignment w:val="auto"/>
        <w:rPr>
          <w:rFonts w:ascii="Times New Roman" w:hAnsi="Times New Roman"/>
          <w:b/>
          <w:spacing w:val="0"/>
        </w:rPr>
      </w:pPr>
      <w:r>
        <w:rPr>
          <w:rFonts w:ascii="Times New Roman" w:hAnsi="Times New Roman" w:hint="eastAsia"/>
          <w:b/>
          <w:spacing w:val="0"/>
        </w:rPr>
        <w:t>地方政府公益彩券盈餘分配款管理情形一覽表</w:t>
      </w:r>
    </w:p>
    <w:tbl>
      <w:tblPr>
        <w:tblW w:w="7443" w:type="dxa"/>
        <w:tblInd w:w="13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924"/>
        <w:gridCol w:w="680"/>
        <w:gridCol w:w="818"/>
        <w:gridCol w:w="680"/>
        <w:gridCol w:w="790"/>
        <w:gridCol w:w="680"/>
        <w:gridCol w:w="1265"/>
        <w:gridCol w:w="803"/>
        <w:gridCol w:w="803"/>
      </w:tblGrid>
      <w:tr w:rsidR="0040606A" w:rsidTr="00C055EF">
        <w:trPr>
          <w:trHeight w:val="250"/>
          <w:tblHeader/>
        </w:trPr>
        <w:tc>
          <w:tcPr>
            <w:tcW w:w="924" w:type="dxa"/>
            <w:vMerge w:val="restart"/>
            <w:vAlign w:val="center"/>
            <w:hideMark/>
          </w:tcPr>
          <w:p w:rsidR="0040606A" w:rsidRDefault="0040606A" w:rsidP="00C055EF">
            <w:pPr>
              <w:widowControl/>
              <w:overflowPunct/>
              <w:autoSpaceDE/>
              <w:spacing w:line="260" w:lineRule="exact"/>
              <w:jc w:val="center"/>
              <w:rPr>
                <w:rFonts w:hAnsi="標楷體" w:cs="新細明體"/>
                <w:kern w:val="0"/>
                <w:sz w:val="25"/>
                <w:szCs w:val="25"/>
              </w:rPr>
            </w:pPr>
            <w:r>
              <w:rPr>
                <w:rFonts w:hAnsi="標楷體" w:cs="新細明體" w:hint="eastAsia"/>
                <w:kern w:val="0"/>
                <w:sz w:val="25"/>
                <w:szCs w:val="25"/>
              </w:rPr>
              <w:t>縣市別</w:t>
            </w:r>
          </w:p>
        </w:tc>
        <w:tc>
          <w:tcPr>
            <w:tcW w:w="1498" w:type="dxa"/>
            <w:gridSpan w:val="2"/>
            <w:vAlign w:val="center"/>
            <w:hideMark/>
          </w:tcPr>
          <w:p w:rsidR="0040606A" w:rsidRDefault="0040606A" w:rsidP="00C055EF">
            <w:pPr>
              <w:widowControl/>
              <w:overflowPunct/>
              <w:autoSpaceDE/>
              <w:spacing w:line="260" w:lineRule="exact"/>
              <w:jc w:val="center"/>
              <w:rPr>
                <w:rFonts w:hAnsi="標楷體" w:cs="新細明體"/>
                <w:kern w:val="0"/>
                <w:sz w:val="24"/>
                <w:szCs w:val="24"/>
              </w:rPr>
            </w:pPr>
            <w:r>
              <w:rPr>
                <w:rFonts w:hAnsi="標楷體" w:cs="新細明體" w:hint="eastAsia"/>
                <w:kern w:val="0"/>
                <w:sz w:val="24"/>
                <w:szCs w:val="24"/>
              </w:rPr>
              <w:t xml:space="preserve">成立基金者 </w:t>
            </w:r>
          </w:p>
        </w:tc>
        <w:tc>
          <w:tcPr>
            <w:tcW w:w="3415" w:type="dxa"/>
            <w:gridSpan w:val="4"/>
            <w:vAlign w:val="center"/>
            <w:hideMark/>
          </w:tcPr>
          <w:p w:rsidR="0040606A" w:rsidRDefault="0040606A" w:rsidP="00C055EF">
            <w:pPr>
              <w:widowControl/>
              <w:overflowPunct/>
              <w:autoSpaceDE/>
              <w:spacing w:line="260" w:lineRule="exact"/>
              <w:jc w:val="center"/>
              <w:rPr>
                <w:rFonts w:hAnsi="標楷體" w:cs="新細明體"/>
                <w:kern w:val="0"/>
                <w:sz w:val="24"/>
                <w:szCs w:val="24"/>
              </w:rPr>
            </w:pPr>
            <w:r>
              <w:rPr>
                <w:rFonts w:hAnsi="標楷體" w:cs="新細明體" w:hint="eastAsia"/>
                <w:kern w:val="0"/>
                <w:sz w:val="24"/>
                <w:szCs w:val="24"/>
              </w:rPr>
              <w:t>以收支並列方式</w:t>
            </w:r>
          </w:p>
          <w:p w:rsidR="0040606A" w:rsidRDefault="0040606A" w:rsidP="00C055EF">
            <w:pPr>
              <w:widowControl/>
              <w:overflowPunct/>
              <w:autoSpaceDE/>
              <w:spacing w:line="260" w:lineRule="exact"/>
              <w:jc w:val="center"/>
              <w:rPr>
                <w:rFonts w:hAnsi="標楷體" w:cs="新細明體"/>
                <w:kern w:val="0"/>
                <w:sz w:val="24"/>
                <w:szCs w:val="24"/>
              </w:rPr>
            </w:pPr>
            <w:r>
              <w:rPr>
                <w:rFonts w:hAnsi="標楷體" w:cs="新細明體" w:hint="eastAsia"/>
                <w:kern w:val="0"/>
                <w:sz w:val="24"/>
                <w:szCs w:val="24"/>
              </w:rPr>
              <w:t>管理運用者</w:t>
            </w:r>
          </w:p>
        </w:tc>
        <w:tc>
          <w:tcPr>
            <w:tcW w:w="1606" w:type="dxa"/>
            <w:gridSpan w:val="2"/>
            <w:vMerge w:val="restart"/>
            <w:vAlign w:val="center"/>
            <w:hideMark/>
          </w:tcPr>
          <w:p w:rsidR="0040606A" w:rsidRDefault="0040606A" w:rsidP="00C055EF">
            <w:pPr>
              <w:widowControl/>
              <w:overflowPunct/>
              <w:autoSpaceDE/>
              <w:spacing w:line="260" w:lineRule="exact"/>
              <w:jc w:val="center"/>
              <w:rPr>
                <w:rFonts w:hAnsi="標楷體" w:cs="新細明體"/>
                <w:kern w:val="0"/>
                <w:sz w:val="24"/>
                <w:szCs w:val="24"/>
              </w:rPr>
            </w:pPr>
            <w:r>
              <w:rPr>
                <w:rFonts w:hAnsi="標楷體" w:cs="新細明體" w:hint="eastAsia"/>
                <w:kern w:val="0"/>
                <w:sz w:val="24"/>
                <w:szCs w:val="24"/>
              </w:rPr>
              <w:t>是否成立公益彩券盈餘管理委員會</w:t>
            </w:r>
          </w:p>
        </w:tc>
      </w:tr>
      <w:tr w:rsidR="0040606A" w:rsidTr="00C055EF">
        <w:trPr>
          <w:trHeight w:val="892"/>
          <w:tblHeader/>
        </w:trPr>
        <w:tc>
          <w:tcPr>
            <w:tcW w:w="0" w:type="auto"/>
            <w:vMerge/>
            <w:vAlign w:val="center"/>
            <w:hideMark/>
          </w:tcPr>
          <w:p w:rsidR="0040606A" w:rsidRDefault="0040606A" w:rsidP="00C055EF">
            <w:pPr>
              <w:widowControl/>
              <w:overflowPunct/>
              <w:autoSpaceDE/>
              <w:autoSpaceDN/>
              <w:jc w:val="left"/>
              <w:rPr>
                <w:rFonts w:hAnsi="標楷體" w:cs="新細明體"/>
                <w:kern w:val="0"/>
                <w:sz w:val="25"/>
                <w:szCs w:val="25"/>
              </w:rPr>
            </w:pPr>
          </w:p>
        </w:tc>
        <w:tc>
          <w:tcPr>
            <w:tcW w:w="1498" w:type="dxa"/>
            <w:gridSpan w:val="2"/>
            <w:vAlign w:val="center"/>
            <w:hideMark/>
          </w:tcPr>
          <w:p w:rsidR="0040606A" w:rsidRDefault="0040606A" w:rsidP="00C055EF">
            <w:pPr>
              <w:widowControl/>
              <w:overflowPunct/>
              <w:autoSpaceDE/>
              <w:spacing w:line="260" w:lineRule="exact"/>
              <w:jc w:val="center"/>
              <w:rPr>
                <w:rFonts w:hAnsi="標楷體" w:cs="新細明體"/>
                <w:kern w:val="0"/>
                <w:sz w:val="24"/>
                <w:szCs w:val="24"/>
              </w:rPr>
            </w:pPr>
            <w:r>
              <w:rPr>
                <w:rFonts w:hAnsi="標楷體" w:cs="新細明體" w:hint="eastAsia"/>
                <w:kern w:val="0"/>
                <w:sz w:val="24"/>
                <w:szCs w:val="24"/>
              </w:rPr>
              <w:t>是否訂定收支保管運用辦法</w:t>
            </w:r>
          </w:p>
        </w:tc>
        <w:tc>
          <w:tcPr>
            <w:tcW w:w="1470" w:type="dxa"/>
            <w:gridSpan w:val="2"/>
            <w:vAlign w:val="center"/>
            <w:hideMark/>
          </w:tcPr>
          <w:p w:rsidR="0040606A" w:rsidRDefault="0040606A" w:rsidP="00C055EF">
            <w:pPr>
              <w:widowControl/>
              <w:overflowPunct/>
              <w:autoSpaceDE/>
              <w:spacing w:line="260" w:lineRule="exact"/>
              <w:jc w:val="center"/>
              <w:rPr>
                <w:rFonts w:hAnsi="標楷體" w:cs="新細明體"/>
                <w:kern w:val="0"/>
                <w:sz w:val="24"/>
                <w:szCs w:val="24"/>
              </w:rPr>
            </w:pPr>
            <w:r>
              <w:rPr>
                <w:rFonts w:hAnsi="標楷體" w:cs="新細明體" w:hint="eastAsia"/>
                <w:kern w:val="0"/>
                <w:sz w:val="24"/>
                <w:szCs w:val="24"/>
              </w:rPr>
              <w:t>是否訂定相關收支管理運用辦法</w:t>
            </w:r>
          </w:p>
        </w:tc>
        <w:tc>
          <w:tcPr>
            <w:tcW w:w="1945" w:type="dxa"/>
            <w:gridSpan w:val="2"/>
            <w:vAlign w:val="center"/>
            <w:hideMark/>
          </w:tcPr>
          <w:p w:rsidR="0040606A" w:rsidRDefault="0040606A" w:rsidP="00C055EF">
            <w:pPr>
              <w:widowControl/>
              <w:overflowPunct/>
              <w:autoSpaceDE/>
              <w:spacing w:line="260" w:lineRule="exact"/>
              <w:jc w:val="center"/>
              <w:rPr>
                <w:rFonts w:hAnsi="標楷體" w:cs="新細明體"/>
                <w:kern w:val="0"/>
                <w:sz w:val="24"/>
                <w:szCs w:val="24"/>
              </w:rPr>
            </w:pPr>
            <w:r>
              <w:rPr>
                <w:rFonts w:hAnsi="標楷體" w:cs="新細明體" w:hint="eastAsia"/>
                <w:kern w:val="0"/>
                <w:sz w:val="24"/>
                <w:szCs w:val="24"/>
              </w:rPr>
              <w:t>是否於公庫或代理公庫之行庫設立專戶儲存</w:t>
            </w:r>
          </w:p>
        </w:tc>
        <w:tc>
          <w:tcPr>
            <w:tcW w:w="0" w:type="auto"/>
            <w:gridSpan w:val="2"/>
            <w:vMerge/>
            <w:vAlign w:val="center"/>
            <w:hideMark/>
          </w:tcPr>
          <w:p w:rsidR="0040606A" w:rsidRDefault="0040606A" w:rsidP="00C055EF">
            <w:pPr>
              <w:widowControl/>
              <w:overflowPunct/>
              <w:autoSpaceDE/>
              <w:autoSpaceDN/>
              <w:jc w:val="left"/>
              <w:rPr>
                <w:rFonts w:hAnsi="標楷體" w:cs="新細明體"/>
                <w:kern w:val="0"/>
                <w:sz w:val="24"/>
                <w:szCs w:val="24"/>
              </w:rPr>
            </w:pPr>
          </w:p>
        </w:tc>
      </w:tr>
      <w:tr w:rsidR="0040606A" w:rsidTr="00C055EF">
        <w:trPr>
          <w:trHeight w:val="194"/>
          <w:tblHeader/>
        </w:trPr>
        <w:tc>
          <w:tcPr>
            <w:tcW w:w="0" w:type="auto"/>
            <w:vMerge/>
            <w:vAlign w:val="center"/>
            <w:hideMark/>
          </w:tcPr>
          <w:p w:rsidR="0040606A" w:rsidRDefault="0040606A" w:rsidP="00C055EF">
            <w:pPr>
              <w:widowControl/>
              <w:overflowPunct/>
              <w:autoSpaceDE/>
              <w:autoSpaceDN/>
              <w:jc w:val="left"/>
              <w:rPr>
                <w:rFonts w:hAnsi="標楷體" w:cs="新細明體"/>
                <w:kern w:val="0"/>
                <w:sz w:val="25"/>
                <w:szCs w:val="25"/>
              </w:rPr>
            </w:pPr>
          </w:p>
        </w:tc>
        <w:tc>
          <w:tcPr>
            <w:tcW w:w="680" w:type="dxa"/>
            <w:vAlign w:val="center"/>
            <w:hideMark/>
          </w:tcPr>
          <w:p w:rsidR="0040606A" w:rsidRDefault="0040606A" w:rsidP="00C055EF">
            <w:pPr>
              <w:widowControl/>
              <w:overflowPunct/>
              <w:autoSpaceDE/>
              <w:jc w:val="center"/>
              <w:rPr>
                <w:rFonts w:hAnsi="標楷體" w:cs="新細明體"/>
                <w:kern w:val="0"/>
                <w:sz w:val="24"/>
                <w:szCs w:val="24"/>
              </w:rPr>
            </w:pPr>
            <w:r>
              <w:rPr>
                <w:rFonts w:hAnsi="標楷體" w:cs="新細明體" w:hint="eastAsia"/>
                <w:kern w:val="0"/>
                <w:sz w:val="24"/>
                <w:szCs w:val="24"/>
              </w:rPr>
              <w:t>是</w:t>
            </w:r>
          </w:p>
        </w:tc>
        <w:tc>
          <w:tcPr>
            <w:tcW w:w="818" w:type="dxa"/>
            <w:vAlign w:val="center"/>
            <w:hideMark/>
          </w:tcPr>
          <w:p w:rsidR="0040606A" w:rsidRDefault="0040606A" w:rsidP="00C055EF">
            <w:pPr>
              <w:widowControl/>
              <w:overflowPunct/>
              <w:autoSpaceDE/>
              <w:jc w:val="center"/>
              <w:rPr>
                <w:rFonts w:hAnsi="標楷體" w:cs="新細明體"/>
                <w:kern w:val="0"/>
                <w:sz w:val="24"/>
                <w:szCs w:val="24"/>
              </w:rPr>
            </w:pPr>
            <w:r>
              <w:rPr>
                <w:rFonts w:hAnsi="標楷體" w:cs="新細明體" w:hint="eastAsia"/>
                <w:kern w:val="0"/>
                <w:sz w:val="24"/>
                <w:szCs w:val="24"/>
              </w:rPr>
              <w:t>否</w:t>
            </w:r>
          </w:p>
        </w:tc>
        <w:tc>
          <w:tcPr>
            <w:tcW w:w="680" w:type="dxa"/>
            <w:vAlign w:val="center"/>
            <w:hideMark/>
          </w:tcPr>
          <w:p w:rsidR="0040606A" w:rsidRDefault="0040606A" w:rsidP="00C055EF">
            <w:pPr>
              <w:widowControl/>
              <w:overflowPunct/>
              <w:autoSpaceDE/>
              <w:jc w:val="center"/>
              <w:rPr>
                <w:rFonts w:hAnsi="標楷體" w:cs="新細明體"/>
                <w:kern w:val="0"/>
                <w:sz w:val="24"/>
                <w:szCs w:val="24"/>
              </w:rPr>
            </w:pPr>
            <w:r>
              <w:rPr>
                <w:rFonts w:hAnsi="標楷體" w:cs="新細明體" w:hint="eastAsia"/>
                <w:kern w:val="0"/>
                <w:sz w:val="24"/>
                <w:szCs w:val="24"/>
              </w:rPr>
              <w:t>是</w:t>
            </w:r>
          </w:p>
        </w:tc>
        <w:tc>
          <w:tcPr>
            <w:tcW w:w="790" w:type="dxa"/>
            <w:vAlign w:val="center"/>
            <w:hideMark/>
          </w:tcPr>
          <w:p w:rsidR="0040606A" w:rsidRDefault="0040606A" w:rsidP="00C055EF">
            <w:pPr>
              <w:widowControl/>
              <w:overflowPunct/>
              <w:autoSpaceDE/>
              <w:jc w:val="center"/>
              <w:rPr>
                <w:rFonts w:hAnsi="標楷體" w:cs="新細明體"/>
                <w:kern w:val="0"/>
                <w:sz w:val="24"/>
                <w:szCs w:val="24"/>
              </w:rPr>
            </w:pPr>
            <w:r>
              <w:rPr>
                <w:rFonts w:hAnsi="標楷體" w:cs="新細明體" w:hint="eastAsia"/>
                <w:kern w:val="0"/>
                <w:sz w:val="24"/>
                <w:szCs w:val="24"/>
              </w:rPr>
              <w:t>否</w:t>
            </w:r>
          </w:p>
        </w:tc>
        <w:tc>
          <w:tcPr>
            <w:tcW w:w="680" w:type="dxa"/>
            <w:vAlign w:val="center"/>
            <w:hideMark/>
          </w:tcPr>
          <w:p w:rsidR="0040606A" w:rsidRDefault="0040606A" w:rsidP="00C055EF">
            <w:pPr>
              <w:widowControl/>
              <w:overflowPunct/>
              <w:autoSpaceDE/>
              <w:jc w:val="center"/>
              <w:rPr>
                <w:rFonts w:hAnsi="標楷體" w:cs="新細明體"/>
                <w:kern w:val="0"/>
                <w:sz w:val="24"/>
                <w:szCs w:val="24"/>
              </w:rPr>
            </w:pPr>
            <w:r>
              <w:rPr>
                <w:rFonts w:hAnsi="標楷體" w:cs="新細明體" w:hint="eastAsia"/>
                <w:kern w:val="0"/>
                <w:sz w:val="24"/>
                <w:szCs w:val="24"/>
              </w:rPr>
              <w:t>是</w:t>
            </w:r>
          </w:p>
        </w:tc>
        <w:tc>
          <w:tcPr>
            <w:tcW w:w="1265" w:type="dxa"/>
            <w:vAlign w:val="center"/>
            <w:hideMark/>
          </w:tcPr>
          <w:p w:rsidR="0040606A" w:rsidRDefault="0040606A" w:rsidP="00C055EF">
            <w:pPr>
              <w:widowControl/>
              <w:overflowPunct/>
              <w:autoSpaceDE/>
              <w:jc w:val="center"/>
              <w:rPr>
                <w:rFonts w:hAnsi="標楷體" w:cs="新細明體"/>
                <w:kern w:val="0"/>
                <w:sz w:val="24"/>
                <w:szCs w:val="24"/>
              </w:rPr>
            </w:pPr>
            <w:r>
              <w:rPr>
                <w:rFonts w:hAnsi="標楷體" w:cs="新細明體" w:hint="eastAsia"/>
                <w:kern w:val="0"/>
                <w:sz w:val="24"/>
                <w:szCs w:val="24"/>
              </w:rPr>
              <w:t>否</w:t>
            </w:r>
          </w:p>
        </w:tc>
        <w:tc>
          <w:tcPr>
            <w:tcW w:w="803" w:type="dxa"/>
            <w:vAlign w:val="center"/>
            <w:hideMark/>
          </w:tcPr>
          <w:p w:rsidR="0040606A" w:rsidRDefault="0040606A" w:rsidP="00C055EF">
            <w:pPr>
              <w:widowControl/>
              <w:overflowPunct/>
              <w:autoSpaceDE/>
              <w:jc w:val="center"/>
              <w:rPr>
                <w:rFonts w:hAnsi="標楷體" w:cs="新細明體"/>
                <w:kern w:val="0"/>
                <w:sz w:val="24"/>
                <w:szCs w:val="24"/>
              </w:rPr>
            </w:pPr>
            <w:r>
              <w:rPr>
                <w:rFonts w:hAnsi="標楷體" w:cs="新細明體" w:hint="eastAsia"/>
                <w:kern w:val="0"/>
                <w:sz w:val="24"/>
                <w:szCs w:val="24"/>
              </w:rPr>
              <w:t>是</w:t>
            </w:r>
          </w:p>
        </w:tc>
        <w:tc>
          <w:tcPr>
            <w:tcW w:w="803" w:type="dxa"/>
            <w:vAlign w:val="center"/>
            <w:hideMark/>
          </w:tcPr>
          <w:p w:rsidR="0040606A" w:rsidRDefault="0040606A" w:rsidP="00C055EF">
            <w:pPr>
              <w:widowControl/>
              <w:overflowPunct/>
              <w:autoSpaceDE/>
              <w:jc w:val="center"/>
              <w:rPr>
                <w:rFonts w:hAnsi="標楷體" w:cs="新細明體"/>
                <w:kern w:val="0"/>
                <w:sz w:val="24"/>
                <w:szCs w:val="24"/>
              </w:rPr>
            </w:pPr>
            <w:r>
              <w:rPr>
                <w:rFonts w:hAnsi="標楷體" w:cs="新細明體" w:hint="eastAsia"/>
                <w:kern w:val="0"/>
                <w:sz w:val="24"/>
                <w:szCs w:val="24"/>
              </w:rPr>
              <w:t>否</w:t>
            </w:r>
          </w:p>
        </w:tc>
      </w:tr>
      <w:tr w:rsidR="0040606A" w:rsidTr="00C055EF">
        <w:trPr>
          <w:trHeight w:val="311"/>
        </w:trPr>
        <w:tc>
          <w:tcPr>
            <w:tcW w:w="924" w:type="dxa"/>
            <w:vAlign w:val="center"/>
            <w:hideMark/>
          </w:tcPr>
          <w:p w:rsidR="0040606A" w:rsidRDefault="0040606A" w:rsidP="00C055EF">
            <w:pPr>
              <w:widowControl/>
              <w:overflowPunct/>
              <w:autoSpaceDE/>
              <w:spacing w:line="320" w:lineRule="exact"/>
              <w:jc w:val="center"/>
              <w:rPr>
                <w:rFonts w:hAnsi="標楷體" w:cs="新細明體"/>
                <w:kern w:val="0"/>
                <w:sz w:val="25"/>
                <w:szCs w:val="25"/>
              </w:rPr>
            </w:pPr>
            <w:r>
              <w:rPr>
                <w:rFonts w:hAnsi="標楷體" w:cs="新細明體" w:hint="eastAsia"/>
                <w:kern w:val="0"/>
                <w:sz w:val="25"/>
                <w:szCs w:val="25"/>
              </w:rPr>
              <w:t>臺北市</w:t>
            </w:r>
          </w:p>
        </w:tc>
        <w:tc>
          <w:tcPr>
            <w:tcW w:w="680"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818"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79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1265"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803"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803"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r>
      <w:tr w:rsidR="0040606A" w:rsidTr="00C055EF">
        <w:trPr>
          <w:trHeight w:val="311"/>
        </w:trPr>
        <w:tc>
          <w:tcPr>
            <w:tcW w:w="924" w:type="dxa"/>
            <w:vAlign w:val="center"/>
            <w:hideMark/>
          </w:tcPr>
          <w:p w:rsidR="0040606A" w:rsidRDefault="0040606A" w:rsidP="00C055EF">
            <w:pPr>
              <w:widowControl/>
              <w:overflowPunct/>
              <w:autoSpaceDE/>
              <w:spacing w:line="320" w:lineRule="exact"/>
              <w:jc w:val="center"/>
              <w:rPr>
                <w:rFonts w:hAnsi="標楷體" w:cs="新細明體"/>
                <w:kern w:val="0"/>
                <w:sz w:val="25"/>
                <w:szCs w:val="25"/>
              </w:rPr>
            </w:pPr>
            <w:r>
              <w:rPr>
                <w:rFonts w:hAnsi="標楷體" w:cs="新細明體" w:hint="eastAsia"/>
                <w:kern w:val="0"/>
                <w:sz w:val="25"/>
                <w:szCs w:val="25"/>
              </w:rPr>
              <w:t>新北市</w:t>
            </w:r>
          </w:p>
        </w:tc>
        <w:tc>
          <w:tcPr>
            <w:tcW w:w="680"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818"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79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1265"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803"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803"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r>
      <w:tr w:rsidR="0040606A" w:rsidTr="00C055EF">
        <w:trPr>
          <w:trHeight w:val="311"/>
        </w:trPr>
        <w:tc>
          <w:tcPr>
            <w:tcW w:w="924" w:type="dxa"/>
            <w:vAlign w:val="center"/>
            <w:hideMark/>
          </w:tcPr>
          <w:p w:rsidR="0040606A" w:rsidRDefault="0040606A" w:rsidP="00C055EF">
            <w:pPr>
              <w:widowControl/>
              <w:overflowPunct/>
              <w:autoSpaceDE/>
              <w:spacing w:line="320" w:lineRule="exact"/>
              <w:jc w:val="center"/>
              <w:rPr>
                <w:rFonts w:hAnsi="標楷體" w:cs="新細明體"/>
                <w:kern w:val="0"/>
                <w:sz w:val="25"/>
                <w:szCs w:val="25"/>
              </w:rPr>
            </w:pPr>
            <w:r>
              <w:rPr>
                <w:rFonts w:hAnsi="標楷體" w:cs="新細明體" w:hint="eastAsia"/>
                <w:kern w:val="0"/>
                <w:sz w:val="25"/>
                <w:szCs w:val="25"/>
              </w:rPr>
              <w:t>桃園市</w:t>
            </w:r>
          </w:p>
        </w:tc>
        <w:tc>
          <w:tcPr>
            <w:tcW w:w="680"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818"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79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1265"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803"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803"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r>
      <w:tr w:rsidR="0040606A" w:rsidTr="00C055EF">
        <w:trPr>
          <w:trHeight w:val="311"/>
        </w:trPr>
        <w:tc>
          <w:tcPr>
            <w:tcW w:w="924" w:type="dxa"/>
            <w:vAlign w:val="center"/>
            <w:hideMark/>
          </w:tcPr>
          <w:p w:rsidR="0040606A" w:rsidRDefault="0040606A" w:rsidP="00C055EF">
            <w:pPr>
              <w:widowControl/>
              <w:overflowPunct/>
              <w:autoSpaceDE/>
              <w:spacing w:line="320" w:lineRule="exact"/>
              <w:jc w:val="center"/>
              <w:rPr>
                <w:rFonts w:hAnsi="標楷體" w:cs="新細明體"/>
                <w:kern w:val="0"/>
                <w:sz w:val="25"/>
                <w:szCs w:val="25"/>
              </w:rPr>
            </w:pPr>
            <w:r>
              <w:rPr>
                <w:rFonts w:hAnsi="標楷體" w:cs="新細明體" w:hint="eastAsia"/>
                <w:kern w:val="0"/>
                <w:sz w:val="25"/>
                <w:szCs w:val="25"/>
              </w:rPr>
              <w:t>臺中市</w:t>
            </w:r>
          </w:p>
        </w:tc>
        <w:tc>
          <w:tcPr>
            <w:tcW w:w="680"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818"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79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1265"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803"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803"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r>
      <w:tr w:rsidR="0040606A" w:rsidTr="00C055EF">
        <w:trPr>
          <w:trHeight w:val="311"/>
        </w:trPr>
        <w:tc>
          <w:tcPr>
            <w:tcW w:w="924" w:type="dxa"/>
            <w:vAlign w:val="center"/>
            <w:hideMark/>
          </w:tcPr>
          <w:p w:rsidR="0040606A" w:rsidRDefault="0040606A" w:rsidP="00C055EF">
            <w:pPr>
              <w:widowControl/>
              <w:overflowPunct/>
              <w:autoSpaceDE/>
              <w:spacing w:line="320" w:lineRule="exact"/>
              <w:jc w:val="center"/>
              <w:rPr>
                <w:rFonts w:hAnsi="標楷體" w:cs="新細明體"/>
                <w:kern w:val="0"/>
                <w:sz w:val="25"/>
                <w:szCs w:val="25"/>
              </w:rPr>
            </w:pPr>
            <w:r>
              <w:rPr>
                <w:rFonts w:hAnsi="標楷體" w:cs="新細明體" w:hint="eastAsia"/>
                <w:kern w:val="0"/>
                <w:sz w:val="25"/>
                <w:szCs w:val="25"/>
              </w:rPr>
              <w:t>臺南市</w:t>
            </w:r>
          </w:p>
        </w:tc>
        <w:tc>
          <w:tcPr>
            <w:tcW w:w="680"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818"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79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1265"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803"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803"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r>
      <w:tr w:rsidR="0040606A" w:rsidTr="00C055EF">
        <w:trPr>
          <w:trHeight w:val="311"/>
        </w:trPr>
        <w:tc>
          <w:tcPr>
            <w:tcW w:w="924" w:type="dxa"/>
            <w:vAlign w:val="center"/>
            <w:hideMark/>
          </w:tcPr>
          <w:p w:rsidR="0040606A" w:rsidRDefault="0040606A" w:rsidP="00C055EF">
            <w:pPr>
              <w:widowControl/>
              <w:overflowPunct/>
              <w:autoSpaceDE/>
              <w:spacing w:line="320" w:lineRule="exact"/>
              <w:jc w:val="center"/>
              <w:rPr>
                <w:rFonts w:hAnsi="標楷體" w:cs="新細明體"/>
                <w:kern w:val="0"/>
                <w:sz w:val="25"/>
                <w:szCs w:val="25"/>
              </w:rPr>
            </w:pPr>
            <w:r>
              <w:rPr>
                <w:rFonts w:hAnsi="標楷體" w:cs="新細明體" w:hint="eastAsia"/>
                <w:kern w:val="0"/>
                <w:sz w:val="25"/>
                <w:szCs w:val="25"/>
              </w:rPr>
              <w:t>高雄市</w:t>
            </w:r>
          </w:p>
        </w:tc>
        <w:tc>
          <w:tcPr>
            <w:tcW w:w="680"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818"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79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1265"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803"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803"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r>
      <w:tr w:rsidR="0040606A" w:rsidTr="00C055EF">
        <w:trPr>
          <w:trHeight w:val="311"/>
        </w:trPr>
        <w:tc>
          <w:tcPr>
            <w:tcW w:w="924" w:type="dxa"/>
            <w:vAlign w:val="center"/>
            <w:hideMark/>
          </w:tcPr>
          <w:p w:rsidR="0040606A" w:rsidRDefault="0040606A" w:rsidP="00C055EF">
            <w:pPr>
              <w:widowControl/>
              <w:overflowPunct/>
              <w:autoSpaceDE/>
              <w:spacing w:line="320" w:lineRule="exact"/>
              <w:jc w:val="center"/>
              <w:rPr>
                <w:rFonts w:hAnsi="標楷體" w:cs="新細明體"/>
                <w:kern w:val="0"/>
                <w:sz w:val="25"/>
                <w:szCs w:val="25"/>
              </w:rPr>
            </w:pPr>
            <w:r>
              <w:rPr>
                <w:rFonts w:hAnsi="標楷體" w:cs="新細明體" w:hint="eastAsia"/>
                <w:kern w:val="0"/>
                <w:sz w:val="25"/>
                <w:szCs w:val="25"/>
              </w:rPr>
              <w:t>基隆市</w:t>
            </w:r>
          </w:p>
        </w:tc>
        <w:tc>
          <w:tcPr>
            <w:tcW w:w="680"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818"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79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1265"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803"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803"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r>
      <w:tr w:rsidR="0040606A" w:rsidTr="00C055EF">
        <w:trPr>
          <w:trHeight w:val="311"/>
        </w:trPr>
        <w:tc>
          <w:tcPr>
            <w:tcW w:w="924" w:type="dxa"/>
            <w:vAlign w:val="center"/>
            <w:hideMark/>
          </w:tcPr>
          <w:p w:rsidR="0040606A" w:rsidRDefault="0040606A" w:rsidP="00C055EF">
            <w:pPr>
              <w:widowControl/>
              <w:overflowPunct/>
              <w:autoSpaceDE/>
              <w:spacing w:line="320" w:lineRule="exact"/>
              <w:jc w:val="center"/>
              <w:rPr>
                <w:rFonts w:hAnsi="標楷體" w:cs="新細明體"/>
                <w:kern w:val="0"/>
                <w:sz w:val="25"/>
                <w:szCs w:val="25"/>
              </w:rPr>
            </w:pPr>
            <w:r>
              <w:rPr>
                <w:rFonts w:hAnsi="標楷體" w:cs="新細明體" w:hint="eastAsia"/>
                <w:kern w:val="0"/>
                <w:sz w:val="25"/>
                <w:szCs w:val="25"/>
              </w:rPr>
              <w:t>宜蘭縣</w:t>
            </w:r>
          </w:p>
        </w:tc>
        <w:tc>
          <w:tcPr>
            <w:tcW w:w="68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818"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79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1265"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803"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803"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r>
      <w:tr w:rsidR="0040606A" w:rsidTr="00C055EF">
        <w:trPr>
          <w:trHeight w:val="311"/>
        </w:trPr>
        <w:tc>
          <w:tcPr>
            <w:tcW w:w="924" w:type="dxa"/>
            <w:vAlign w:val="center"/>
            <w:hideMark/>
          </w:tcPr>
          <w:p w:rsidR="0040606A" w:rsidRDefault="0040606A" w:rsidP="00C055EF">
            <w:pPr>
              <w:widowControl/>
              <w:overflowPunct/>
              <w:autoSpaceDE/>
              <w:spacing w:line="320" w:lineRule="exact"/>
              <w:jc w:val="center"/>
              <w:rPr>
                <w:rFonts w:hAnsi="標楷體" w:cs="新細明體"/>
                <w:kern w:val="0"/>
                <w:sz w:val="25"/>
                <w:szCs w:val="25"/>
              </w:rPr>
            </w:pPr>
            <w:r>
              <w:rPr>
                <w:rFonts w:hAnsi="標楷體" w:cs="新細明體" w:hint="eastAsia"/>
                <w:kern w:val="0"/>
                <w:sz w:val="25"/>
                <w:szCs w:val="25"/>
              </w:rPr>
              <w:t>新竹縣</w:t>
            </w:r>
          </w:p>
        </w:tc>
        <w:tc>
          <w:tcPr>
            <w:tcW w:w="680"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818"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79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1265"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803"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803"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r>
      <w:tr w:rsidR="0040606A" w:rsidTr="00C055EF">
        <w:trPr>
          <w:trHeight w:val="311"/>
        </w:trPr>
        <w:tc>
          <w:tcPr>
            <w:tcW w:w="924" w:type="dxa"/>
            <w:vAlign w:val="center"/>
            <w:hideMark/>
          </w:tcPr>
          <w:p w:rsidR="0040606A" w:rsidRDefault="0040606A" w:rsidP="00C055EF">
            <w:pPr>
              <w:widowControl/>
              <w:overflowPunct/>
              <w:autoSpaceDE/>
              <w:spacing w:line="320" w:lineRule="exact"/>
              <w:jc w:val="center"/>
              <w:rPr>
                <w:rFonts w:hAnsi="標楷體" w:cs="新細明體"/>
                <w:kern w:val="0"/>
                <w:sz w:val="25"/>
                <w:szCs w:val="25"/>
              </w:rPr>
            </w:pPr>
            <w:r>
              <w:rPr>
                <w:rFonts w:hAnsi="標楷體" w:cs="新細明體" w:hint="eastAsia"/>
                <w:kern w:val="0"/>
                <w:sz w:val="25"/>
                <w:szCs w:val="25"/>
              </w:rPr>
              <w:t>新竹市</w:t>
            </w:r>
          </w:p>
        </w:tc>
        <w:tc>
          <w:tcPr>
            <w:tcW w:w="680"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818"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79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1265"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803"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803"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r>
      <w:tr w:rsidR="0040606A" w:rsidTr="00C055EF">
        <w:trPr>
          <w:trHeight w:val="311"/>
        </w:trPr>
        <w:tc>
          <w:tcPr>
            <w:tcW w:w="924" w:type="dxa"/>
            <w:vAlign w:val="center"/>
            <w:hideMark/>
          </w:tcPr>
          <w:p w:rsidR="0040606A" w:rsidRDefault="0040606A" w:rsidP="00C055EF">
            <w:pPr>
              <w:widowControl/>
              <w:overflowPunct/>
              <w:autoSpaceDE/>
              <w:spacing w:line="320" w:lineRule="exact"/>
              <w:jc w:val="center"/>
              <w:rPr>
                <w:rFonts w:hAnsi="標楷體" w:cs="新細明體"/>
                <w:kern w:val="0"/>
                <w:sz w:val="25"/>
                <w:szCs w:val="25"/>
              </w:rPr>
            </w:pPr>
            <w:r>
              <w:rPr>
                <w:rFonts w:hAnsi="標楷體" w:cs="新細明體" w:hint="eastAsia"/>
                <w:kern w:val="0"/>
                <w:sz w:val="25"/>
                <w:szCs w:val="25"/>
              </w:rPr>
              <w:t>苗栗縣</w:t>
            </w:r>
          </w:p>
        </w:tc>
        <w:tc>
          <w:tcPr>
            <w:tcW w:w="68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818"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79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1265"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803"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803"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r>
      <w:tr w:rsidR="0040606A" w:rsidTr="00C055EF">
        <w:trPr>
          <w:trHeight w:val="311"/>
        </w:trPr>
        <w:tc>
          <w:tcPr>
            <w:tcW w:w="924" w:type="dxa"/>
            <w:vAlign w:val="center"/>
            <w:hideMark/>
          </w:tcPr>
          <w:p w:rsidR="0040606A" w:rsidRDefault="0040606A" w:rsidP="00C055EF">
            <w:pPr>
              <w:widowControl/>
              <w:overflowPunct/>
              <w:autoSpaceDE/>
              <w:spacing w:line="320" w:lineRule="exact"/>
              <w:jc w:val="center"/>
              <w:rPr>
                <w:rFonts w:hAnsi="標楷體" w:cs="新細明體"/>
                <w:kern w:val="0"/>
                <w:sz w:val="25"/>
                <w:szCs w:val="25"/>
              </w:rPr>
            </w:pPr>
            <w:r>
              <w:rPr>
                <w:rFonts w:hAnsi="標楷體" w:cs="新細明體" w:hint="eastAsia"/>
                <w:kern w:val="0"/>
                <w:sz w:val="25"/>
                <w:szCs w:val="25"/>
              </w:rPr>
              <w:t>彰化縣</w:t>
            </w:r>
          </w:p>
        </w:tc>
        <w:tc>
          <w:tcPr>
            <w:tcW w:w="680"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818"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79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1265"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803"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803"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r>
      <w:tr w:rsidR="0040606A" w:rsidTr="00C055EF">
        <w:trPr>
          <w:trHeight w:val="311"/>
        </w:trPr>
        <w:tc>
          <w:tcPr>
            <w:tcW w:w="924" w:type="dxa"/>
            <w:vAlign w:val="center"/>
            <w:hideMark/>
          </w:tcPr>
          <w:p w:rsidR="0040606A" w:rsidRDefault="0040606A" w:rsidP="00C055EF">
            <w:pPr>
              <w:widowControl/>
              <w:overflowPunct/>
              <w:autoSpaceDE/>
              <w:spacing w:line="320" w:lineRule="exact"/>
              <w:jc w:val="center"/>
              <w:rPr>
                <w:rFonts w:hAnsi="標楷體" w:cs="新細明體"/>
                <w:kern w:val="0"/>
                <w:sz w:val="25"/>
                <w:szCs w:val="25"/>
              </w:rPr>
            </w:pPr>
            <w:r>
              <w:rPr>
                <w:rFonts w:hAnsi="標楷體" w:cs="新細明體" w:hint="eastAsia"/>
                <w:kern w:val="0"/>
                <w:sz w:val="25"/>
                <w:szCs w:val="25"/>
              </w:rPr>
              <w:t>南投縣</w:t>
            </w:r>
          </w:p>
        </w:tc>
        <w:tc>
          <w:tcPr>
            <w:tcW w:w="680"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818"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79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1265"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803"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803"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r>
      <w:tr w:rsidR="0040606A" w:rsidTr="00C055EF">
        <w:trPr>
          <w:trHeight w:val="311"/>
        </w:trPr>
        <w:tc>
          <w:tcPr>
            <w:tcW w:w="924" w:type="dxa"/>
            <w:vAlign w:val="center"/>
            <w:hideMark/>
          </w:tcPr>
          <w:p w:rsidR="0040606A" w:rsidRDefault="0040606A" w:rsidP="00C055EF">
            <w:pPr>
              <w:widowControl/>
              <w:overflowPunct/>
              <w:autoSpaceDE/>
              <w:spacing w:line="320" w:lineRule="exact"/>
              <w:jc w:val="center"/>
              <w:rPr>
                <w:rFonts w:hAnsi="標楷體" w:cs="新細明體"/>
                <w:kern w:val="0"/>
                <w:sz w:val="25"/>
                <w:szCs w:val="25"/>
              </w:rPr>
            </w:pPr>
            <w:r>
              <w:rPr>
                <w:rFonts w:hAnsi="標楷體" w:cs="新細明體" w:hint="eastAsia"/>
                <w:kern w:val="0"/>
                <w:sz w:val="25"/>
                <w:szCs w:val="25"/>
              </w:rPr>
              <w:t>雲林縣</w:t>
            </w:r>
          </w:p>
        </w:tc>
        <w:tc>
          <w:tcPr>
            <w:tcW w:w="68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818"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79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1265"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803"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803"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r>
      <w:tr w:rsidR="0040606A" w:rsidTr="00C055EF">
        <w:trPr>
          <w:trHeight w:val="311"/>
        </w:trPr>
        <w:tc>
          <w:tcPr>
            <w:tcW w:w="924" w:type="dxa"/>
            <w:vAlign w:val="center"/>
            <w:hideMark/>
          </w:tcPr>
          <w:p w:rsidR="0040606A" w:rsidRDefault="0040606A" w:rsidP="00C055EF">
            <w:pPr>
              <w:widowControl/>
              <w:overflowPunct/>
              <w:autoSpaceDE/>
              <w:spacing w:line="320" w:lineRule="exact"/>
              <w:jc w:val="center"/>
              <w:rPr>
                <w:rFonts w:hAnsi="標楷體" w:cs="新細明體"/>
                <w:kern w:val="0"/>
                <w:sz w:val="25"/>
                <w:szCs w:val="25"/>
              </w:rPr>
            </w:pPr>
            <w:r>
              <w:rPr>
                <w:rFonts w:hAnsi="標楷體" w:cs="新細明體" w:hint="eastAsia"/>
                <w:kern w:val="0"/>
                <w:sz w:val="25"/>
                <w:szCs w:val="25"/>
              </w:rPr>
              <w:t>嘉義縣</w:t>
            </w:r>
          </w:p>
        </w:tc>
        <w:tc>
          <w:tcPr>
            <w:tcW w:w="68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818"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79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1265"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803"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803"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r>
      <w:tr w:rsidR="0040606A" w:rsidTr="00C055EF">
        <w:trPr>
          <w:trHeight w:val="311"/>
        </w:trPr>
        <w:tc>
          <w:tcPr>
            <w:tcW w:w="924" w:type="dxa"/>
            <w:vAlign w:val="center"/>
            <w:hideMark/>
          </w:tcPr>
          <w:p w:rsidR="0040606A" w:rsidRDefault="0040606A" w:rsidP="00C055EF">
            <w:pPr>
              <w:widowControl/>
              <w:overflowPunct/>
              <w:autoSpaceDE/>
              <w:spacing w:line="320" w:lineRule="exact"/>
              <w:jc w:val="center"/>
              <w:rPr>
                <w:rFonts w:hAnsi="標楷體" w:cs="新細明體"/>
                <w:kern w:val="0"/>
                <w:sz w:val="25"/>
                <w:szCs w:val="25"/>
              </w:rPr>
            </w:pPr>
            <w:r>
              <w:rPr>
                <w:rFonts w:hAnsi="標楷體" w:cs="新細明體" w:hint="eastAsia"/>
                <w:kern w:val="0"/>
                <w:sz w:val="25"/>
                <w:szCs w:val="25"/>
              </w:rPr>
              <w:t>嘉義市</w:t>
            </w:r>
          </w:p>
        </w:tc>
        <w:tc>
          <w:tcPr>
            <w:tcW w:w="680"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818"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79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1265"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803"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803"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r>
      <w:tr w:rsidR="0040606A" w:rsidTr="00C055EF">
        <w:trPr>
          <w:trHeight w:val="311"/>
        </w:trPr>
        <w:tc>
          <w:tcPr>
            <w:tcW w:w="924" w:type="dxa"/>
            <w:vAlign w:val="center"/>
            <w:hideMark/>
          </w:tcPr>
          <w:p w:rsidR="0040606A" w:rsidRDefault="0040606A" w:rsidP="00C055EF">
            <w:pPr>
              <w:widowControl/>
              <w:overflowPunct/>
              <w:autoSpaceDE/>
              <w:spacing w:line="320" w:lineRule="exact"/>
              <w:jc w:val="center"/>
              <w:rPr>
                <w:rFonts w:hAnsi="標楷體" w:cs="新細明體"/>
                <w:kern w:val="0"/>
                <w:sz w:val="25"/>
                <w:szCs w:val="25"/>
              </w:rPr>
            </w:pPr>
            <w:r>
              <w:rPr>
                <w:rFonts w:hAnsi="標楷體" w:cs="新細明體" w:hint="eastAsia"/>
                <w:kern w:val="0"/>
                <w:sz w:val="25"/>
                <w:szCs w:val="25"/>
              </w:rPr>
              <w:t>屏東縣</w:t>
            </w:r>
          </w:p>
        </w:tc>
        <w:tc>
          <w:tcPr>
            <w:tcW w:w="680"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818"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79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1265"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803"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803"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r>
      <w:tr w:rsidR="0040606A" w:rsidTr="00C055EF">
        <w:trPr>
          <w:trHeight w:val="311"/>
        </w:trPr>
        <w:tc>
          <w:tcPr>
            <w:tcW w:w="924" w:type="dxa"/>
            <w:vAlign w:val="center"/>
            <w:hideMark/>
          </w:tcPr>
          <w:p w:rsidR="0040606A" w:rsidRDefault="0040606A" w:rsidP="00C055EF">
            <w:pPr>
              <w:widowControl/>
              <w:overflowPunct/>
              <w:autoSpaceDE/>
              <w:spacing w:line="320" w:lineRule="exact"/>
              <w:jc w:val="center"/>
              <w:rPr>
                <w:rFonts w:hAnsi="標楷體" w:cs="新細明體"/>
                <w:kern w:val="0"/>
                <w:sz w:val="25"/>
                <w:szCs w:val="25"/>
              </w:rPr>
            </w:pPr>
            <w:r>
              <w:rPr>
                <w:rFonts w:hAnsi="標楷體" w:cs="新細明體" w:hint="eastAsia"/>
                <w:kern w:val="0"/>
                <w:sz w:val="25"/>
                <w:szCs w:val="25"/>
              </w:rPr>
              <w:t>花蓮縣</w:t>
            </w:r>
          </w:p>
        </w:tc>
        <w:tc>
          <w:tcPr>
            <w:tcW w:w="680"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818"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79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1265"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803"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803"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r>
      <w:tr w:rsidR="0040606A" w:rsidTr="00C055EF">
        <w:trPr>
          <w:trHeight w:val="311"/>
        </w:trPr>
        <w:tc>
          <w:tcPr>
            <w:tcW w:w="924" w:type="dxa"/>
            <w:vAlign w:val="center"/>
            <w:hideMark/>
          </w:tcPr>
          <w:p w:rsidR="0040606A" w:rsidRDefault="0040606A" w:rsidP="00C055EF">
            <w:pPr>
              <w:widowControl/>
              <w:overflowPunct/>
              <w:autoSpaceDE/>
              <w:spacing w:line="320" w:lineRule="exact"/>
              <w:jc w:val="center"/>
              <w:rPr>
                <w:rFonts w:hAnsi="標楷體" w:cs="新細明體"/>
                <w:kern w:val="0"/>
                <w:sz w:val="25"/>
                <w:szCs w:val="25"/>
              </w:rPr>
            </w:pPr>
            <w:r>
              <w:rPr>
                <w:rFonts w:hAnsi="標楷體" w:cs="新細明體" w:hint="eastAsia"/>
                <w:kern w:val="0"/>
                <w:sz w:val="25"/>
                <w:szCs w:val="25"/>
              </w:rPr>
              <w:t>臺東縣</w:t>
            </w:r>
          </w:p>
        </w:tc>
        <w:tc>
          <w:tcPr>
            <w:tcW w:w="680"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818"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79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1265"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803"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803"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r>
      <w:tr w:rsidR="0040606A" w:rsidTr="00C055EF">
        <w:trPr>
          <w:trHeight w:val="311"/>
        </w:trPr>
        <w:tc>
          <w:tcPr>
            <w:tcW w:w="924" w:type="dxa"/>
            <w:vAlign w:val="center"/>
            <w:hideMark/>
          </w:tcPr>
          <w:p w:rsidR="0040606A" w:rsidRDefault="0040606A" w:rsidP="00C055EF">
            <w:pPr>
              <w:widowControl/>
              <w:overflowPunct/>
              <w:autoSpaceDE/>
              <w:spacing w:line="320" w:lineRule="exact"/>
              <w:jc w:val="center"/>
              <w:rPr>
                <w:rFonts w:hAnsi="標楷體" w:cs="新細明體"/>
                <w:kern w:val="0"/>
                <w:sz w:val="25"/>
                <w:szCs w:val="25"/>
              </w:rPr>
            </w:pPr>
            <w:r>
              <w:rPr>
                <w:rFonts w:hAnsi="標楷體" w:cs="新細明體" w:hint="eastAsia"/>
                <w:kern w:val="0"/>
                <w:sz w:val="25"/>
                <w:szCs w:val="25"/>
              </w:rPr>
              <w:t>澎湖縣</w:t>
            </w:r>
          </w:p>
        </w:tc>
        <w:tc>
          <w:tcPr>
            <w:tcW w:w="68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818"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79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1265"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803"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803"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r>
      <w:tr w:rsidR="0040606A" w:rsidTr="00C055EF">
        <w:trPr>
          <w:trHeight w:val="311"/>
        </w:trPr>
        <w:tc>
          <w:tcPr>
            <w:tcW w:w="924" w:type="dxa"/>
            <w:vAlign w:val="center"/>
            <w:hideMark/>
          </w:tcPr>
          <w:p w:rsidR="0040606A" w:rsidRDefault="0040606A" w:rsidP="00C055EF">
            <w:pPr>
              <w:widowControl/>
              <w:overflowPunct/>
              <w:autoSpaceDE/>
              <w:spacing w:line="320" w:lineRule="exact"/>
              <w:jc w:val="center"/>
              <w:rPr>
                <w:rFonts w:hAnsi="標楷體" w:cs="新細明體"/>
                <w:kern w:val="0"/>
                <w:sz w:val="25"/>
                <w:szCs w:val="25"/>
              </w:rPr>
            </w:pPr>
            <w:r>
              <w:rPr>
                <w:rFonts w:hAnsi="標楷體" w:cs="新細明體" w:hint="eastAsia"/>
                <w:kern w:val="0"/>
                <w:sz w:val="25"/>
                <w:szCs w:val="25"/>
              </w:rPr>
              <w:t>金門縣</w:t>
            </w:r>
          </w:p>
        </w:tc>
        <w:tc>
          <w:tcPr>
            <w:tcW w:w="680"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818"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79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1265"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803"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803"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r>
      <w:tr w:rsidR="0040606A" w:rsidTr="00C055EF">
        <w:trPr>
          <w:trHeight w:val="311"/>
        </w:trPr>
        <w:tc>
          <w:tcPr>
            <w:tcW w:w="924" w:type="dxa"/>
            <w:vAlign w:val="center"/>
            <w:hideMark/>
          </w:tcPr>
          <w:p w:rsidR="0040606A" w:rsidRDefault="0040606A" w:rsidP="00C055EF">
            <w:pPr>
              <w:widowControl/>
              <w:overflowPunct/>
              <w:autoSpaceDE/>
              <w:spacing w:line="320" w:lineRule="exact"/>
              <w:jc w:val="center"/>
              <w:rPr>
                <w:rFonts w:hAnsi="標楷體" w:cs="新細明體"/>
                <w:kern w:val="0"/>
                <w:sz w:val="25"/>
                <w:szCs w:val="25"/>
              </w:rPr>
            </w:pPr>
            <w:r>
              <w:rPr>
                <w:rFonts w:hAnsi="標楷體" w:cs="新細明體" w:hint="eastAsia"/>
                <w:kern w:val="0"/>
                <w:sz w:val="25"/>
                <w:szCs w:val="25"/>
              </w:rPr>
              <w:t>連江縣</w:t>
            </w:r>
          </w:p>
        </w:tc>
        <w:tc>
          <w:tcPr>
            <w:tcW w:w="680"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818"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79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680"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1265"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c>
          <w:tcPr>
            <w:tcW w:w="803" w:type="dxa"/>
            <w:noWrap/>
            <w:vAlign w:val="center"/>
            <w:hideMark/>
          </w:tcPr>
          <w:p w:rsidR="0040606A" w:rsidRDefault="0040606A" w:rsidP="00C055EF">
            <w:pPr>
              <w:widowControl/>
              <w:overflowPunct/>
              <w:autoSpaceDE/>
              <w:spacing w:line="320" w:lineRule="exact"/>
              <w:jc w:val="center"/>
              <w:rPr>
                <w:rFonts w:hAnsi="標楷體" w:cs="新細明體"/>
                <w:kern w:val="0"/>
                <w:szCs w:val="32"/>
              </w:rPr>
            </w:pPr>
            <w:r>
              <w:rPr>
                <w:rFonts w:hAnsi="標楷體" w:cs="新細明體" w:hint="eastAsia"/>
                <w:kern w:val="0"/>
                <w:szCs w:val="32"/>
              </w:rPr>
              <w:t>ˇ</w:t>
            </w:r>
          </w:p>
        </w:tc>
        <w:tc>
          <w:tcPr>
            <w:tcW w:w="803" w:type="dxa"/>
            <w:vAlign w:val="center"/>
            <w:hideMark/>
          </w:tcPr>
          <w:p w:rsidR="0040606A" w:rsidRDefault="0040606A" w:rsidP="00C055EF">
            <w:pPr>
              <w:widowControl/>
              <w:overflowPunct/>
              <w:autoSpaceDE/>
              <w:spacing w:line="320" w:lineRule="exact"/>
              <w:jc w:val="center"/>
              <w:rPr>
                <w:rFonts w:hAnsi="標楷體" w:cs="新細明體"/>
                <w:kern w:val="0"/>
                <w:sz w:val="24"/>
                <w:szCs w:val="24"/>
              </w:rPr>
            </w:pPr>
            <w:r>
              <w:rPr>
                <w:rFonts w:hAnsi="標楷體" w:cs="新細明體" w:hint="eastAsia"/>
                <w:kern w:val="0"/>
                <w:sz w:val="24"/>
                <w:szCs w:val="24"/>
              </w:rPr>
              <w:t xml:space="preserve">　</w:t>
            </w:r>
          </w:p>
        </w:tc>
      </w:tr>
    </w:tbl>
    <w:p w:rsidR="0040606A" w:rsidRDefault="0040606A" w:rsidP="0040606A">
      <w:pPr>
        <w:pStyle w:val="4"/>
        <w:numPr>
          <w:ilvl w:val="0"/>
          <w:numId w:val="0"/>
        </w:numPr>
        <w:kinsoku w:val="0"/>
        <w:spacing w:line="320" w:lineRule="exact"/>
        <w:ind w:firstLineChars="511" w:firstLine="1329"/>
        <w:rPr>
          <w:rFonts w:ascii="Times New Roman" w:hAnsi="Times New Roman"/>
          <w:sz w:val="24"/>
          <w:szCs w:val="24"/>
        </w:rPr>
      </w:pPr>
      <w:r>
        <w:rPr>
          <w:rFonts w:ascii="Times New Roman" w:hAnsi="Times New Roman" w:hint="eastAsia"/>
          <w:sz w:val="24"/>
          <w:szCs w:val="24"/>
        </w:rPr>
        <w:t>資料來源：審計部。</w:t>
      </w:r>
    </w:p>
    <w:p w:rsidR="0040606A" w:rsidRDefault="0040606A" w:rsidP="0040606A">
      <w:pPr>
        <w:pStyle w:val="a3"/>
        <w:numPr>
          <w:ilvl w:val="0"/>
          <w:numId w:val="34"/>
        </w:numPr>
        <w:spacing w:before="60" w:after="0"/>
        <w:ind w:left="2058" w:rightChars="-58" w:right="-197" w:hanging="686"/>
        <w:textAlignment w:val="auto"/>
        <w:rPr>
          <w:rFonts w:ascii="Times New Roman" w:hAnsi="Times New Roman"/>
          <w:b/>
          <w:spacing w:val="-14"/>
        </w:rPr>
      </w:pPr>
      <w:bookmarkStart w:id="818" w:name="_Toc507359647"/>
      <w:r>
        <w:rPr>
          <w:rFonts w:ascii="Times New Roman" w:hAnsi="Times New Roman" w:hint="eastAsia"/>
          <w:b/>
          <w:spacing w:val="-14"/>
        </w:rPr>
        <w:t>各縣市公益彩券盈餘運用管理委員會名稱及組成規定名稱</w:t>
      </w:r>
    </w:p>
    <w:tbl>
      <w:tblPr>
        <w:tblStyle w:val="afb"/>
        <w:tblW w:w="7699" w:type="dxa"/>
        <w:tblInd w:w="14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64"/>
        <w:gridCol w:w="3178"/>
        <w:gridCol w:w="3457"/>
      </w:tblGrid>
      <w:tr w:rsidR="0040606A" w:rsidTr="00C055EF">
        <w:trPr>
          <w:tblHeader/>
        </w:trPr>
        <w:tc>
          <w:tcPr>
            <w:tcW w:w="1064"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3"/>
              <w:numPr>
                <w:ilvl w:val="0"/>
                <w:numId w:val="0"/>
              </w:numPr>
              <w:kinsoku w:val="0"/>
              <w:spacing w:line="340" w:lineRule="exact"/>
              <w:ind w:leftChars="-23" w:rightChars="-11" w:right="-37" w:hangingChars="26" w:hanging="78"/>
              <w:jc w:val="center"/>
              <w:rPr>
                <w:rFonts w:ascii="Times New Roman" w:hAnsi="Times New Roman"/>
                <w:sz w:val="28"/>
                <w:szCs w:val="28"/>
              </w:rPr>
            </w:pPr>
            <w:bookmarkStart w:id="819" w:name="_Toc507403583"/>
            <w:bookmarkStart w:id="820" w:name="_Toc507484696"/>
            <w:bookmarkStart w:id="821" w:name="_Toc507491520"/>
            <w:bookmarkStart w:id="822" w:name="_Toc507518547"/>
            <w:bookmarkStart w:id="823" w:name="_Toc507767624"/>
            <w:bookmarkStart w:id="824" w:name="_Toc507768350"/>
            <w:bookmarkStart w:id="825" w:name="_Toc511115339"/>
            <w:bookmarkStart w:id="826" w:name="_Toc511308130"/>
            <w:bookmarkStart w:id="827" w:name="_Toc511998572"/>
            <w:bookmarkStart w:id="828" w:name="_Toc512420929"/>
            <w:r>
              <w:rPr>
                <w:rFonts w:ascii="Times New Roman" w:hAnsi="Times New Roman" w:hint="eastAsia"/>
                <w:sz w:val="28"/>
                <w:szCs w:val="28"/>
              </w:rPr>
              <w:t>縣市別</w:t>
            </w:r>
            <w:bookmarkEnd w:id="819"/>
            <w:bookmarkEnd w:id="820"/>
            <w:bookmarkEnd w:id="821"/>
            <w:bookmarkEnd w:id="822"/>
            <w:bookmarkEnd w:id="823"/>
            <w:bookmarkEnd w:id="824"/>
            <w:bookmarkEnd w:id="825"/>
            <w:bookmarkEnd w:id="826"/>
            <w:bookmarkEnd w:id="827"/>
            <w:bookmarkEnd w:id="828"/>
          </w:p>
        </w:tc>
        <w:tc>
          <w:tcPr>
            <w:tcW w:w="3178"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3"/>
              <w:numPr>
                <w:ilvl w:val="0"/>
                <w:numId w:val="0"/>
              </w:numPr>
              <w:kinsoku w:val="0"/>
              <w:spacing w:line="340" w:lineRule="exact"/>
              <w:ind w:leftChars="-23" w:left="-51" w:rightChars="-15" w:right="-51" w:hangingChars="9" w:hanging="27"/>
              <w:jc w:val="center"/>
              <w:rPr>
                <w:rFonts w:ascii="Times New Roman" w:hAnsi="Times New Roman"/>
                <w:sz w:val="28"/>
                <w:szCs w:val="28"/>
              </w:rPr>
            </w:pPr>
            <w:bookmarkStart w:id="829" w:name="_Toc507403584"/>
            <w:bookmarkStart w:id="830" w:name="_Toc507484697"/>
            <w:bookmarkStart w:id="831" w:name="_Toc507491521"/>
            <w:bookmarkStart w:id="832" w:name="_Toc507518548"/>
            <w:bookmarkStart w:id="833" w:name="_Toc507767625"/>
            <w:bookmarkStart w:id="834" w:name="_Toc507768351"/>
            <w:bookmarkStart w:id="835" w:name="_Toc511115340"/>
            <w:bookmarkStart w:id="836" w:name="_Toc511308131"/>
            <w:bookmarkStart w:id="837" w:name="_Toc511998573"/>
            <w:bookmarkStart w:id="838" w:name="_Toc512420930"/>
            <w:r>
              <w:rPr>
                <w:rFonts w:ascii="Times New Roman" w:hAnsi="Times New Roman" w:hint="eastAsia"/>
                <w:sz w:val="28"/>
                <w:szCs w:val="28"/>
              </w:rPr>
              <w:t>公益彩券盈餘運用管理委員會名稱</w:t>
            </w:r>
            <w:bookmarkEnd w:id="829"/>
            <w:bookmarkEnd w:id="830"/>
            <w:bookmarkEnd w:id="831"/>
            <w:bookmarkEnd w:id="832"/>
            <w:bookmarkEnd w:id="833"/>
            <w:bookmarkEnd w:id="834"/>
            <w:bookmarkEnd w:id="835"/>
            <w:bookmarkEnd w:id="836"/>
            <w:bookmarkEnd w:id="837"/>
            <w:bookmarkEnd w:id="838"/>
          </w:p>
        </w:tc>
        <w:tc>
          <w:tcPr>
            <w:tcW w:w="3457"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3"/>
              <w:numPr>
                <w:ilvl w:val="0"/>
                <w:numId w:val="0"/>
              </w:numPr>
              <w:kinsoku w:val="0"/>
              <w:spacing w:line="340" w:lineRule="exact"/>
              <w:ind w:leftChars="-23" w:left="-51" w:rightChars="-15" w:right="-51" w:hangingChars="9" w:hanging="27"/>
              <w:jc w:val="center"/>
              <w:rPr>
                <w:rFonts w:ascii="Times New Roman" w:hAnsi="Times New Roman"/>
                <w:sz w:val="28"/>
                <w:szCs w:val="28"/>
              </w:rPr>
            </w:pPr>
            <w:bookmarkStart w:id="839" w:name="_Toc507403585"/>
            <w:bookmarkStart w:id="840" w:name="_Toc507484698"/>
            <w:bookmarkStart w:id="841" w:name="_Toc507491522"/>
            <w:bookmarkStart w:id="842" w:name="_Toc507518549"/>
            <w:bookmarkStart w:id="843" w:name="_Toc507767626"/>
            <w:bookmarkStart w:id="844" w:name="_Toc507768352"/>
            <w:bookmarkStart w:id="845" w:name="_Toc511115341"/>
            <w:bookmarkStart w:id="846" w:name="_Toc511308132"/>
            <w:bookmarkStart w:id="847" w:name="_Toc511998574"/>
            <w:bookmarkStart w:id="848" w:name="_Toc512420931"/>
            <w:r>
              <w:rPr>
                <w:rFonts w:ascii="Times New Roman" w:hAnsi="Times New Roman" w:hint="eastAsia"/>
                <w:sz w:val="28"/>
                <w:szCs w:val="28"/>
              </w:rPr>
              <w:t>組成規定名稱</w:t>
            </w:r>
            <w:bookmarkEnd w:id="839"/>
            <w:bookmarkEnd w:id="840"/>
            <w:bookmarkEnd w:id="841"/>
            <w:bookmarkEnd w:id="842"/>
            <w:bookmarkEnd w:id="843"/>
            <w:bookmarkEnd w:id="844"/>
            <w:bookmarkEnd w:id="845"/>
            <w:bookmarkEnd w:id="846"/>
            <w:bookmarkEnd w:id="847"/>
            <w:bookmarkEnd w:id="848"/>
          </w:p>
        </w:tc>
      </w:tr>
      <w:tr w:rsidR="0040606A" w:rsidTr="00C055EF">
        <w:tc>
          <w:tcPr>
            <w:tcW w:w="1064"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overflowPunct/>
              <w:autoSpaceDE/>
              <w:spacing w:line="320" w:lineRule="exact"/>
              <w:jc w:val="center"/>
              <w:rPr>
                <w:rFonts w:hAnsi="標楷體" w:cs="新細明體"/>
                <w:kern w:val="0"/>
                <w:sz w:val="26"/>
                <w:szCs w:val="26"/>
              </w:rPr>
            </w:pPr>
            <w:r>
              <w:rPr>
                <w:rFonts w:hAnsi="標楷體" w:cs="新細明體" w:hint="eastAsia"/>
                <w:kern w:val="0"/>
                <w:sz w:val="26"/>
                <w:szCs w:val="26"/>
              </w:rPr>
              <w:t>臺北市</w:t>
            </w:r>
          </w:p>
        </w:tc>
        <w:tc>
          <w:tcPr>
            <w:tcW w:w="3178" w:type="dxa"/>
            <w:tcBorders>
              <w:top w:val="single" w:sz="6" w:space="0" w:color="auto"/>
              <w:left w:val="single" w:sz="6" w:space="0" w:color="auto"/>
              <w:bottom w:val="single" w:sz="6" w:space="0" w:color="auto"/>
              <w:right w:val="single" w:sz="6" w:space="0" w:color="auto"/>
            </w:tcBorders>
            <w:hideMark/>
          </w:tcPr>
          <w:p w:rsidR="0040606A" w:rsidRDefault="0040606A" w:rsidP="00C055EF">
            <w:pPr>
              <w:pStyle w:val="3"/>
              <w:numPr>
                <w:ilvl w:val="0"/>
                <w:numId w:val="0"/>
              </w:numPr>
              <w:kinsoku w:val="0"/>
              <w:spacing w:line="320" w:lineRule="exact"/>
              <w:ind w:leftChars="-15" w:left="-51" w:rightChars="-19" w:right="-65"/>
              <w:rPr>
                <w:rFonts w:ascii="Times New Roman" w:hAnsi="Times New Roman"/>
                <w:spacing w:val="-10"/>
                <w:sz w:val="26"/>
                <w:szCs w:val="26"/>
              </w:rPr>
            </w:pPr>
            <w:bookmarkStart w:id="849" w:name="_Toc507403586"/>
            <w:bookmarkStart w:id="850" w:name="_Toc507484699"/>
            <w:bookmarkStart w:id="851" w:name="_Toc507491523"/>
            <w:bookmarkStart w:id="852" w:name="_Toc507518550"/>
            <w:bookmarkStart w:id="853" w:name="_Toc507767627"/>
            <w:bookmarkStart w:id="854" w:name="_Toc507768353"/>
            <w:bookmarkStart w:id="855" w:name="_Toc511115342"/>
            <w:bookmarkStart w:id="856" w:name="_Toc511308133"/>
            <w:bookmarkStart w:id="857" w:name="_Toc511998575"/>
            <w:bookmarkStart w:id="858" w:name="_Toc512420932"/>
            <w:r>
              <w:rPr>
                <w:rFonts w:ascii="Times New Roman" w:hAnsi="Times New Roman" w:hint="eastAsia"/>
                <w:spacing w:val="-10"/>
                <w:sz w:val="26"/>
                <w:szCs w:val="26"/>
              </w:rPr>
              <w:t>臺北市社會福利委員會</w:t>
            </w:r>
            <w:bookmarkEnd w:id="849"/>
            <w:bookmarkEnd w:id="850"/>
            <w:bookmarkEnd w:id="851"/>
            <w:bookmarkEnd w:id="852"/>
            <w:bookmarkEnd w:id="853"/>
            <w:bookmarkEnd w:id="854"/>
            <w:bookmarkEnd w:id="855"/>
            <w:bookmarkEnd w:id="856"/>
            <w:bookmarkEnd w:id="857"/>
            <w:bookmarkEnd w:id="858"/>
          </w:p>
        </w:tc>
        <w:tc>
          <w:tcPr>
            <w:tcW w:w="3457" w:type="dxa"/>
            <w:tcBorders>
              <w:top w:val="single" w:sz="6" w:space="0" w:color="auto"/>
              <w:left w:val="single" w:sz="6" w:space="0" w:color="auto"/>
              <w:bottom w:val="single" w:sz="6" w:space="0" w:color="auto"/>
              <w:right w:val="single" w:sz="6" w:space="0" w:color="auto"/>
            </w:tcBorders>
            <w:hideMark/>
          </w:tcPr>
          <w:p w:rsidR="0040606A" w:rsidRDefault="0040606A" w:rsidP="00C055EF">
            <w:pPr>
              <w:pStyle w:val="3"/>
              <w:numPr>
                <w:ilvl w:val="0"/>
                <w:numId w:val="0"/>
              </w:numPr>
              <w:kinsoku w:val="0"/>
              <w:spacing w:line="320" w:lineRule="exact"/>
              <w:ind w:leftChars="-15" w:left="-51"/>
              <w:rPr>
                <w:rFonts w:ascii="Times New Roman" w:hAnsi="Times New Roman"/>
                <w:spacing w:val="-10"/>
                <w:sz w:val="26"/>
                <w:szCs w:val="26"/>
              </w:rPr>
            </w:pPr>
            <w:bookmarkStart w:id="859" w:name="_Toc507403587"/>
            <w:bookmarkStart w:id="860" w:name="_Toc507484700"/>
            <w:bookmarkStart w:id="861" w:name="_Toc507491524"/>
            <w:bookmarkStart w:id="862" w:name="_Toc507518551"/>
            <w:bookmarkStart w:id="863" w:name="_Toc507767628"/>
            <w:bookmarkStart w:id="864" w:name="_Toc507768354"/>
            <w:bookmarkStart w:id="865" w:name="_Toc511115343"/>
            <w:bookmarkStart w:id="866" w:name="_Toc511308134"/>
            <w:bookmarkStart w:id="867" w:name="_Toc511998576"/>
            <w:bookmarkStart w:id="868" w:name="_Toc512420933"/>
            <w:r>
              <w:rPr>
                <w:rFonts w:ascii="Times New Roman" w:hAnsi="Times New Roman" w:hint="eastAsia"/>
                <w:spacing w:val="-10"/>
                <w:sz w:val="26"/>
                <w:szCs w:val="26"/>
              </w:rPr>
              <w:t>臺北市社會福利委員會設置要點</w:t>
            </w:r>
            <w:bookmarkEnd w:id="859"/>
            <w:bookmarkEnd w:id="860"/>
            <w:bookmarkEnd w:id="861"/>
            <w:bookmarkEnd w:id="862"/>
            <w:bookmarkEnd w:id="863"/>
            <w:bookmarkEnd w:id="864"/>
            <w:bookmarkEnd w:id="865"/>
            <w:bookmarkEnd w:id="866"/>
            <w:bookmarkEnd w:id="867"/>
            <w:bookmarkEnd w:id="868"/>
          </w:p>
        </w:tc>
      </w:tr>
      <w:tr w:rsidR="0040606A" w:rsidTr="00C055EF">
        <w:tc>
          <w:tcPr>
            <w:tcW w:w="1064"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overflowPunct/>
              <w:autoSpaceDE/>
              <w:spacing w:line="320" w:lineRule="exact"/>
              <w:jc w:val="center"/>
              <w:rPr>
                <w:rFonts w:hAnsi="標楷體" w:cs="新細明體"/>
                <w:kern w:val="0"/>
                <w:sz w:val="26"/>
                <w:szCs w:val="26"/>
              </w:rPr>
            </w:pPr>
            <w:r>
              <w:rPr>
                <w:rFonts w:hAnsi="標楷體" w:cs="新細明體" w:hint="eastAsia"/>
                <w:kern w:val="0"/>
                <w:sz w:val="26"/>
                <w:szCs w:val="26"/>
              </w:rPr>
              <w:t>新北市</w:t>
            </w:r>
          </w:p>
        </w:tc>
        <w:tc>
          <w:tcPr>
            <w:tcW w:w="3178" w:type="dxa"/>
            <w:tcBorders>
              <w:top w:val="single" w:sz="6" w:space="0" w:color="auto"/>
              <w:left w:val="single" w:sz="6" w:space="0" w:color="auto"/>
              <w:bottom w:val="single" w:sz="6" w:space="0" w:color="auto"/>
              <w:right w:val="single" w:sz="6" w:space="0" w:color="auto"/>
            </w:tcBorders>
            <w:hideMark/>
          </w:tcPr>
          <w:p w:rsidR="0040606A" w:rsidRDefault="0040606A" w:rsidP="00C055EF">
            <w:pPr>
              <w:pStyle w:val="3"/>
              <w:numPr>
                <w:ilvl w:val="0"/>
                <w:numId w:val="0"/>
              </w:numPr>
              <w:kinsoku w:val="0"/>
              <w:spacing w:line="320" w:lineRule="exact"/>
              <w:ind w:leftChars="-15" w:left="-51" w:rightChars="-19" w:right="-65"/>
              <w:rPr>
                <w:rFonts w:ascii="Times New Roman" w:hAnsi="Times New Roman"/>
                <w:spacing w:val="-10"/>
                <w:sz w:val="26"/>
                <w:szCs w:val="26"/>
              </w:rPr>
            </w:pPr>
            <w:bookmarkStart w:id="869" w:name="_Toc507403588"/>
            <w:bookmarkStart w:id="870" w:name="_Toc507484701"/>
            <w:bookmarkStart w:id="871" w:name="_Toc507491525"/>
            <w:bookmarkStart w:id="872" w:name="_Toc507518552"/>
            <w:bookmarkStart w:id="873" w:name="_Toc507767629"/>
            <w:bookmarkStart w:id="874" w:name="_Toc507768355"/>
            <w:bookmarkStart w:id="875" w:name="_Toc511115344"/>
            <w:bookmarkStart w:id="876" w:name="_Toc511308135"/>
            <w:bookmarkStart w:id="877" w:name="_Toc511998577"/>
            <w:bookmarkStart w:id="878" w:name="_Toc512420934"/>
            <w:r>
              <w:rPr>
                <w:rFonts w:ascii="Times New Roman" w:hAnsi="Times New Roman" w:hint="eastAsia"/>
                <w:spacing w:val="-10"/>
                <w:sz w:val="26"/>
                <w:szCs w:val="26"/>
              </w:rPr>
              <w:t>新北市公益彩券盈餘分配基金管理委員會</w:t>
            </w:r>
            <w:bookmarkEnd w:id="869"/>
            <w:bookmarkEnd w:id="870"/>
            <w:bookmarkEnd w:id="871"/>
            <w:bookmarkEnd w:id="872"/>
            <w:bookmarkEnd w:id="873"/>
            <w:bookmarkEnd w:id="874"/>
            <w:bookmarkEnd w:id="875"/>
            <w:bookmarkEnd w:id="876"/>
            <w:bookmarkEnd w:id="877"/>
            <w:bookmarkEnd w:id="878"/>
          </w:p>
        </w:tc>
        <w:tc>
          <w:tcPr>
            <w:tcW w:w="3457" w:type="dxa"/>
            <w:tcBorders>
              <w:top w:val="single" w:sz="6" w:space="0" w:color="auto"/>
              <w:left w:val="single" w:sz="6" w:space="0" w:color="auto"/>
              <w:bottom w:val="single" w:sz="6" w:space="0" w:color="auto"/>
              <w:right w:val="single" w:sz="6" w:space="0" w:color="auto"/>
            </w:tcBorders>
            <w:hideMark/>
          </w:tcPr>
          <w:p w:rsidR="0040606A" w:rsidRDefault="0040606A" w:rsidP="00C055EF">
            <w:pPr>
              <w:pStyle w:val="3"/>
              <w:numPr>
                <w:ilvl w:val="0"/>
                <w:numId w:val="0"/>
              </w:numPr>
              <w:kinsoku w:val="0"/>
              <w:spacing w:line="320" w:lineRule="exact"/>
              <w:ind w:leftChars="-15" w:left="-51" w:rightChars="-19" w:right="-65"/>
              <w:rPr>
                <w:rFonts w:ascii="Times New Roman" w:hAnsi="Times New Roman"/>
                <w:spacing w:val="-10"/>
                <w:sz w:val="26"/>
                <w:szCs w:val="26"/>
              </w:rPr>
            </w:pPr>
            <w:bookmarkStart w:id="879" w:name="_Toc507403589"/>
            <w:bookmarkStart w:id="880" w:name="_Toc507484702"/>
            <w:bookmarkStart w:id="881" w:name="_Toc507491526"/>
            <w:bookmarkStart w:id="882" w:name="_Toc507518553"/>
            <w:bookmarkStart w:id="883" w:name="_Toc507767630"/>
            <w:bookmarkStart w:id="884" w:name="_Toc507768356"/>
            <w:bookmarkStart w:id="885" w:name="_Toc511115345"/>
            <w:bookmarkStart w:id="886" w:name="_Toc511308136"/>
            <w:bookmarkStart w:id="887" w:name="_Toc511998578"/>
            <w:bookmarkStart w:id="888" w:name="_Toc512420935"/>
            <w:r>
              <w:rPr>
                <w:rFonts w:ascii="Times New Roman" w:hAnsi="Times New Roman" w:hint="eastAsia"/>
                <w:spacing w:val="-10"/>
                <w:sz w:val="26"/>
                <w:szCs w:val="26"/>
              </w:rPr>
              <w:t>新北市公益彩券盈餘分配基金收支保管及運用辦法</w:t>
            </w:r>
            <w:bookmarkEnd w:id="879"/>
            <w:bookmarkEnd w:id="880"/>
            <w:bookmarkEnd w:id="881"/>
            <w:bookmarkEnd w:id="882"/>
            <w:bookmarkEnd w:id="883"/>
            <w:bookmarkEnd w:id="884"/>
            <w:bookmarkEnd w:id="885"/>
            <w:bookmarkEnd w:id="886"/>
            <w:bookmarkEnd w:id="887"/>
            <w:bookmarkEnd w:id="888"/>
          </w:p>
        </w:tc>
      </w:tr>
      <w:tr w:rsidR="0040606A" w:rsidTr="00C055EF">
        <w:tc>
          <w:tcPr>
            <w:tcW w:w="1064"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overflowPunct/>
              <w:autoSpaceDE/>
              <w:spacing w:line="320" w:lineRule="exact"/>
              <w:jc w:val="center"/>
              <w:rPr>
                <w:rFonts w:hAnsi="標楷體" w:cs="新細明體"/>
                <w:kern w:val="0"/>
                <w:sz w:val="26"/>
                <w:szCs w:val="26"/>
              </w:rPr>
            </w:pPr>
            <w:r>
              <w:rPr>
                <w:rFonts w:hAnsi="標楷體" w:cs="新細明體" w:hint="eastAsia"/>
                <w:kern w:val="0"/>
                <w:sz w:val="26"/>
                <w:szCs w:val="26"/>
              </w:rPr>
              <w:t>桃園市</w:t>
            </w:r>
          </w:p>
        </w:tc>
        <w:tc>
          <w:tcPr>
            <w:tcW w:w="3178" w:type="dxa"/>
            <w:tcBorders>
              <w:top w:val="single" w:sz="6" w:space="0" w:color="auto"/>
              <w:left w:val="single" w:sz="6" w:space="0" w:color="auto"/>
              <w:bottom w:val="single" w:sz="6" w:space="0" w:color="auto"/>
              <w:right w:val="single" w:sz="6" w:space="0" w:color="auto"/>
            </w:tcBorders>
            <w:hideMark/>
          </w:tcPr>
          <w:p w:rsidR="0040606A" w:rsidRDefault="0040606A" w:rsidP="00C055EF">
            <w:pPr>
              <w:pStyle w:val="3"/>
              <w:numPr>
                <w:ilvl w:val="0"/>
                <w:numId w:val="0"/>
              </w:numPr>
              <w:kinsoku w:val="0"/>
              <w:spacing w:line="320" w:lineRule="exact"/>
              <w:ind w:leftChars="-15" w:left="-51" w:rightChars="-19" w:right="-65"/>
              <w:rPr>
                <w:rFonts w:ascii="Times New Roman" w:hAnsi="Times New Roman"/>
                <w:spacing w:val="-10"/>
                <w:sz w:val="26"/>
                <w:szCs w:val="26"/>
              </w:rPr>
            </w:pPr>
            <w:bookmarkStart w:id="889" w:name="_Toc507403590"/>
            <w:bookmarkStart w:id="890" w:name="_Toc507484703"/>
            <w:bookmarkStart w:id="891" w:name="_Toc507491527"/>
            <w:bookmarkStart w:id="892" w:name="_Toc507518554"/>
            <w:bookmarkStart w:id="893" w:name="_Toc507767631"/>
            <w:bookmarkStart w:id="894" w:name="_Toc507768357"/>
            <w:bookmarkStart w:id="895" w:name="_Toc511115346"/>
            <w:bookmarkStart w:id="896" w:name="_Toc511308137"/>
            <w:bookmarkStart w:id="897" w:name="_Toc511998579"/>
            <w:bookmarkStart w:id="898" w:name="_Toc512420936"/>
            <w:r>
              <w:rPr>
                <w:rFonts w:ascii="Times New Roman" w:hAnsi="Times New Roman" w:hint="eastAsia"/>
                <w:spacing w:val="-10"/>
                <w:sz w:val="26"/>
                <w:szCs w:val="26"/>
              </w:rPr>
              <w:t>桃園市公益彩券盈餘分配基金管理會</w:t>
            </w:r>
            <w:bookmarkEnd w:id="889"/>
            <w:bookmarkEnd w:id="890"/>
            <w:bookmarkEnd w:id="891"/>
            <w:bookmarkEnd w:id="892"/>
            <w:bookmarkEnd w:id="893"/>
            <w:bookmarkEnd w:id="894"/>
            <w:bookmarkEnd w:id="895"/>
            <w:bookmarkEnd w:id="896"/>
            <w:bookmarkEnd w:id="897"/>
            <w:bookmarkEnd w:id="898"/>
          </w:p>
        </w:tc>
        <w:tc>
          <w:tcPr>
            <w:tcW w:w="3457" w:type="dxa"/>
            <w:tcBorders>
              <w:top w:val="single" w:sz="6" w:space="0" w:color="auto"/>
              <w:left w:val="single" w:sz="6" w:space="0" w:color="auto"/>
              <w:bottom w:val="single" w:sz="6" w:space="0" w:color="auto"/>
              <w:right w:val="single" w:sz="6" w:space="0" w:color="auto"/>
            </w:tcBorders>
            <w:hideMark/>
          </w:tcPr>
          <w:p w:rsidR="0040606A" w:rsidRDefault="0040606A" w:rsidP="002633B6">
            <w:pPr>
              <w:pStyle w:val="3"/>
              <w:numPr>
                <w:ilvl w:val="0"/>
                <w:numId w:val="0"/>
              </w:numPr>
              <w:kinsoku w:val="0"/>
              <w:spacing w:line="320" w:lineRule="exact"/>
              <w:ind w:leftChars="-15" w:left="-51" w:rightChars="-19" w:right="-65"/>
              <w:rPr>
                <w:rFonts w:ascii="Times New Roman" w:hAnsi="Times New Roman"/>
                <w:spacing w:val="-10"/>
                <w:sz w:val="26"/>
                <w:szCs w:val="26"/>
              </w:rPr>
            </w:pPr>
            <w:bookmarkStart w:id="899" w:name="_Toc507403591"/>
            <w:bookmarkStart w:id="900" w:name="_Toc507484704"/>
            <w:bookmarkStart w:id="901" w:name="_Toc507491528"/>
            <w:bookmarkStart w:id="902" w:name="_Toc507518555"/>
            <w:bookmarkStart w:id="903" w:name="_Toc507767632"/>
            <w:bookmarkStart w:id="904" w:name="_Toc507768358"/>
            <w:bookmarkStart w:id="905" w:name="_Toc511115347"/>
            <w:bookmarkStart w:id="906" w:name="_Toc511308138"/>
            <w:bookmarkStart w:id="907" w:name="_Toc511998580"/>
            <w:bookmarkStart w:id="908" w:name="_Toc512420937"/>
            <w:r>
              <w:rPr>
                <w:rFonts w:ascii="Times New Roman" w:hAnsi="Times New Roman" w:hint="eastAsia"/>
                <w:spacing w:val="-10"/>
                <w:sz w:val="26"/>
                <w:szCs w:val="26"/>
              </w:rPr>
              <w:t>桃園市公益彩券盈餘分配基金管理會設置要點</w:t>
            </w:r>
            <w:bookmarkEnd w:id="899"/>
            <w:bookmarkEnd w:id="900"/>
            <w:bookmarkEnd w:id="901"/>
            <w:bookmarkEnd w:id="902"/>
            <w:bookmarkEnd w:id="903"/>
            <w:bookmarkEnd w:id="904"/>
            <w:bookmarkEnd w:id="905"/>
            <w:bookmarkEnd w:id="906"/>
            <w:bookmarkEnd w:id="907"/>
            <w:bookmarkEnd w:id="908"/>
          </w:p>
        </w:tc>
      </w:tr>
      <w:tr w:rsidR="0040606A" w:rsidTr="00C055EF">
        <w:tc>
          <w:tcPr>
            <w:tcW w:w="1064"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overflowPunct/>
              <w:autoSpaceDE/>
              <w:spacing w:line="300" w:lineRule="exact"/>
              <w:jc w:val="center"/>
              <w:rPr>
                <w:rFonts w:hAnsi="標楷體" w:cs="新細明體"/>
                <w:kern w:val="0"/>
                <w:sz w:val="26"/>
                <w:szCs w:val="26"/>
              </w:rPr>
            </w:pPr>
            <w:r>
              <w:rPr>
                <w:rFonts w:hAnsi="標楷體" w:cs="新細明體" w:hint="eastAsia"/>
                <w:kern w:val="0"/>
                <w:sz w:val="26"/>
                <w:szCs w:val="26"/>
              </w:rPr>
              <w:t>臺中市</w:t>
            </w:r>
          </w:p>
        </w:tc>
        <w:tc>
          <w:tcPr>
            <w:tcW w:w="3178" w:type="dxa"/>
            <w:tcBorders>
              <w:top w:val="single" w:sz="6" w:space="0" w:color="auto"/>
              <w:left w:val="single" w:sz="6" w:space="0" w:color="auto"/>
              <w:bottom w:val="single" w:sz="6" w:space="0" w:color="auto"/>
              <w:right w:val="single" w:sz="6" w:space="0" w:color="auto"/>
            </w:tcBorders>
            <w:hideMark/>
          </w:tcPr>
          <w:p w:rsidR="0040606A" w:rsidRDefault="0040606A" w:rsidP="00C055EF">
            <w:pPr>
              <w:pStyle w:val="3"/>
              <w:numPr>
                <w:ilvl w:val="0"/>
                <w:numId w:val="0"/>
              </w:numPr>
              <w:kinsoku w:val="0"/>
              <w:spacing w:line="300" w:lineRule="exact"/>
              <w:ind w:leftChars="-15" w:left="-51" w:rightChars="-19" w:right="-65"/>
              <w:rPr>
                <w:rFonts w:ascii="Times New Roman" w:hAnsi="Times New Roman"/>
                <w:spacing w:val="-10"/>
                <w:sz w:val="26"/>
                <w:szCs w:val="26"/>
              </w:rPr>
            </w:pPr>
            <w:bookmarkStart w:id="909" w:name="_Toc507403592"/>
            <w:bookmarkStart w:id="910" w:name="_Toc507484705"/>
            <w:bookmarkStart w:id="911" w:name="_Toc507491529"/>
            <w:bookmarkStart w:id="912" w:name="_Toc507518556"/>
            <w:bookmarkStart w:id="913" w:name="_Toc507767633"/>
            <w:bookmarkStart w:id="914" w:name="_Toc507768359"/>
            <w:bookmarkStart w:id="915" w:name="_Toc511115348"/>
            <w:bookmarkStart w:id="916" w:name="_Toc511308139"/>
            <w:bookmarkStart w:id="917" w:name="_Toc511998581"/>
            <w:bookmarkStart w:id="918" w:name="_Toc512420938"/>
            <w:r>
              <w:rPr>
                <w:rFonts w:ascii="Times New Roman" w:hAnsi="Times New Roman" w:hint="eastAsia"/>
                <w:spacing w:val="-10"/>
                <w:sz w:val="26"/>
                <w:szCs w:val="26"/>
              </w:rPr>
              <w:t>臺中市公益彩券盈餘管理委員會</w:t>
            </w:r>
            <w:bookmarkEnd w:id="909"/>
            <w:bookmarkEnd w:id="910"/>
            <w:bookmarkEnd w:id="911"/>
            <w:bookmarkEnd w:id="912"/>
            <w:bookmarkEnd w:id="913"/>
            <w:bookmarkEnd w:id="914"/>
            <w:bookmarkEnd w:id="915"/>
            <w:bookmarkEnd w:id="916"/>
            <w:bookmarkEnd w:id="917"/>
            <w:bookmarkEnd w:id="918"/>
          </w:p>
        </w:tc>
        <w:tc>
          <w:tcPr>
            <w:tcW w:w="3457" w:type="dxa"/>
            <w:tcBorders>
              <w:top w:val="single" w:sz="6" w:space="0" w:color="auto"/>
              <w:left w:val="single" w:sz="6" w:space="0" w:color="auto"/>
              <w:bottom w:val="single" w:sz="6" w:space="0" w:color="auto"/>
              <w:right w:val="single" w:sz="6" w:space="0" w:color="auto"/>
            </w:tcBorders>
            <w:hideMark/>
          </w:tcPr>
          <w:p w:rsidR="0040606A" w:rsidRDefault="0040606A" w:rsidP="00C055EF">
            <w:pPr>
              <w:pStyle w:val="3"/>
              <w:numPr>
                <w:ilvl w:val="0"/>
                <w:numId w:val="0"/>
              </w:numPr>
              <w:kinsoku w:val="0"/>
              <w:spacing w:line="300" w:lineRule="exact"/>
              <w:ind w:leftChars="-15" w:left="-51" w:rightChars="-19" w:right="-65"/>
              <w:rPr>
                <w:rFonts w:ascii="Times New Roman" w:hAnsi="Times New Roman"/>
                <w:spacing w:val="-10"/>
                <w:sz w:val="26"/>
                <w:szCs w:val="26"/>
              </w:rPr>
            </w:pPr>
            <w:bookmarkStart w:id="919" w:name="_Toc507403593"/>
            <w:bookmarkStart w:id="920" w:name="_Toc507484706"/>
            <w:bookmarkStart w:id="921" w:name="_Toc507491530"/>
            <w:bookmarkStart w:id="922" w:name="_Toc507518557"/>
            <w:bookmarkStart w:id="923" w:name="_Toc507767634"/>
            <w:bookmarkStart w:id="924" w:name="_Toc507768360"/>
            <w:bookmarkStart w:id="925" w:name="_Toc511115349"/>
            <w:bookmarkStart w:id="926" w:name="_Toc511308140"/>
            <w:bookmarkStart w:id="927" w:name="_Toc511998582"/>
            <w:bookmarkStart w:id="928" w:name="_Toc512420939"/>
            <w:r>
              <w:rPr>
                <w:rFonts w:ascii="Times New Roman" w:hAnsi="Times New Roman" w:hint="eastAsia"/>
                <w:spacing w:val="-10"/>
                <w:sz w:val="26"/>
                <w:szCs w:val="26"/>
              </w:rPr>
              <w:t>臺中市公益彩券盈餘管理委員會設置要點</w:t>
            </w:r>
            <w:bookmarkEnd w:id="919"/>
            <w:bookmarkEnd w:id="920"/>
            <w:bookmarkEnd w:id="921"/>
            <w:bookmarkEnd w:id="922"/>
            <w:bookmarkEnd w:id="923"/>
            <w:bookmarkEnd w:id="924"/>
            <w:bookmarkEnd w:id="925"/>
            <w:bookmarkEnd w:id="926"/>
            <w:bookmarkEnd w:id="927"/>
            <w:bookmarkEnd w:id="928"/>
          </w:p>
        </w:tc>
      </w:tr>
      <w:tr w:rsidR="0040606A" w:rsidTr="00C055EF">
        <w:tc>
          <w:tcPr>
            <w:tcW w:w="1064"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overflowPunct/>
              <w:autoSpaceDE/>
              <w:spacing w:line="300" w:lineRule="exact"/>
              <w:jc w:val="center"/>
              <w:rPr>
                <w:rFonts w:hAnsi="標楷體" w:cs="新細明體"/>
                <w:kern w:val="0"/>
                <w:sz w:val="26"/>
                <w:szCs w:val="26"/>
              </w:rPr>
            </w:pPr>
            <w:r>
              <w:rPr>
                <w:rFonts w:hAnsi="標楷體" w:cs="新細明體" w:hint="eastAsia"/>
                <w:kern w:val="0"/>
                <w:sz w:val="26"/>
                <w:szCs w:val="26"/>
              </w:rPr>
              <w:t>臺南市</w:t>
            </w:r>
          </w:p>
        </w:tc>
        <w:tc>
          <w:tcPr>
            <w:tcW w:w="3178" w:type="dxa"/>
            <w:tcBorders>
              <w:top w:val="single" w:sz="6" w:space="0" w:color="auto"/>
              <w:left w:val="single" w:sz="6" w:space="0" w:color="auto"/>
              <w:bottom w:val="single" w:sz="6" w:space="0" w:color="auto"/>
              <w:right w:val="single" w:sz="6" w:space="0" w:color="auto"/>
            </w:tcBorders>
            <w:hideMark/>
          </w:tcPr>
          <w:p w:rsidR="0040606A" w:rsidRPr="008A7013" w:rsidRDefault="0040606A" w:rsidP="00C055EF">
            <w:pPr>
              <w:pStyle w:val="3"/>
              <w:numPr>
                <w:ilvl w:val="0"/>
                <w:numId w:val="0"/>
              </w:numPr>
              <w:kinsoku w:val="0"/>
              <w:spacing w:line="300" w:lineRule="exact"/>
              <w:ind w:leftChars="-15" w:left="-51" w:rightChars="-19" w:right="-65"/>
              <w:rPr>
                <w:rFonts w:ascii="Times New Roman" w:hAnsi="Times New Roman"/>
                <w:spacing w:val="-10"/>
                <w:sz w:val="26"/>
                <w:szCs w:val="26"/>
              </w:rPr>
            </w:pPr>
            <w:bookmarkStart w:id="929" w:name="_Toc507403594"/>
            <w:bookmarkStart w:id="930" w:name="_Toc507484707"/>
            <w:bookmarkStart w:id="931" w:name="_Toc507491531"/>
            <w:bookmarkStart w:id="932" w:name="_Toc507518558"/>
            <w:bookmarkStart w:id="933" w:name="_Toc507767635"/>
            <w:bookmarkStart w:id="934" w:name="_Toc507768361"/>
            <w:bookmarkStart w:id="935" w:name="_Toc511115350"/>
            <w:bookmarkStart w:id="936" w:name="_Toc511308141"/>
            <w:bookmarkStart w:id="937" w:name="_Toc511998583"/>
            <w:bookmarkStart w:id="938" w:name="_Toc512420940"/>
            <w:r w:rsidRPr="008A7013">
              <w:rPr>
                <w:rFonts w:ascii="Times New Roman" w:hAnsi="Times New Roman" w:hint="eastAsia"/>
                <w:spacing w:val="-10"/>
                <w:sz w:val="26"/>
                <w:szCs w:val="26"/>
              </w:rPr>
              <w:t>臺南市公益彩券盈餘分配基金管理小組</w:t>
            </w:r>
            <w:bookmarkEnd w:id="929"/>
            <w:bookmarkEnd w:id="930"/>
            <w:bookmarkEnd w:id="931"/>
            <w:bookmarkEnd w:id="932"/>
            <w:bookmarkEnd w:id="933"/>
            <w:bookmarkEnd w:id="934"/>
            <w:bookmarkEnd w:id="935"/>
            <w:bookmarkEnd w:id="936"/>
            <w:bookmarkEnd w:id="937"/>
            <w:bookmarkEnd w:id="938"/>
          </w:p>
        </w:tc>
        <w:tc>
          <w:tcPr>
            <w:tcW w:w="3457" w:type="dxa"/>
            <w:tcBorders>
              <w:top w:val="single" w:sz="6" w:space="0" w:color="auto"/>
              <w:left w:val="single" w:sz="6" w:space="0" w:color="auto"/>
              <w:bottom w:val="single" w:sz="6" w:space="0" w:color="auto"/>
              <w:right w:val="single" w:sz="6" w:space="0" w:color="auto"/>
            </w:tcBorders>
            <w:hideMark/>
          </w:tcPr>
          <w:p w:rsidR="0040606A" w:rsidRPr="008A7013" w:rsidRDefault="0040606A" w:rsidP="00C055EF">
            <w:pPr>
              <w:pStyle w:val="3"/>
              <w:numPr>
                <w:ilvl w:val="0"/>
                <w:numId w:val="0"/>
              </w:numPr>
              <w:kinsoku w:val="0"/>
              <w:spacing w:line="300" w:lineRule="exact"/>
              <w:ind w:leftChars="-15" w:left="-51" w:rightChars="-19" w:right="-65"/>
              <w:rPr>
                <w:rFonts w:ascii="Times New Roman" w:hAnsi="Times New Roman"/>
                <w:spacing w:val="-10"/>
                <w:sz w:val="26"/>
                <w:szCs w:val="26"/>
              </w:rPr>
            </w:pPr>
            <w:bookmarkStart w:id="939" w:name="_Toc507403595"/>
            <w:bookmarkStart w:id="940" w:name="_Toc507484708"/>
            <w:bookmarkStart w:id="941" w:name="_Toc507491532"/>
            <w:bookmarkStart w:id="942" w:name="_Toc507518559"/>
            <w:bookmarkStart w:id="943" w:name="_Toc507767636"/>
            <w:bookmarkStart w:id="944" w:name="_Toc507768362"/>
            <w:bookmarkStart w:id="945" w:name="_Toc511115351"/>
            <w:bookmarkStart w:id="946" w:name="_Toc511308142"/>
            <w:bookmarkStart w:id="947" w:name="_Toc511998584"/>
            <w:bookmarkStart w:id="948" w:name="_Toc512420941"/>
            <w:r w:rsidRPr="008A7013">
              <w:rPr>
                <w:rFonts w:ascii="Times New Roman" w:hAnsi="Times New Roman" w:hint="eastAsia"/>
                <w:spacing w:val="-10"/>
                <w:sz w:val="26"/>
                <w:szCs w:val="26"/>
              </w:rPr>
              <w:t>臺南市公益彩券盈餘分配基金收支保管及運用辦法</w:t>
            </w:r>
            <w:bookmarkEnd w:id="939"/>
            <w:bookmarkEnd w:id="940"/>
            <w:bookmarkEnd w:id="941"/>
            <w:bookmarkEnd w:id="942"/>
            <w:bookmarkEnd w:id="943"/>
            <w:bookmarkEnd w:id="944"/>
            <w:bookmarkEnd w:id="945"/>
            <w:bookmarkEnd w:id="946"/>
            <w:bookmarkEnd w:id="947"/>
            <w:bookmarkEnd w:id="948"/>
          </w:p>
        </w:tc>
      </w:tr>
      <w:tr w:rsidR="0040606A" w:rsidTr="001F4069">
        <w:tc>
          <w:tcPr>
            <w:tcW w:w="1064"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overflowPunct/>
              <w:autoSpaceDE/>
              <w:spacing w:line="300" w:lineRule="exact"/>
              <w:jc w:val="center"/>
              <w:rPr>
                <w:rFonts w:hAnsi="標楷體" w:cs="新細明體"/>
                <w:kern w:val="0"/>
                <w:sz w:val="26"/>
                <w:szCs w:val="26"/>
              </w:rPr>
            </w:pPr>
            <w:r>
              <w:rPr>
                <w:rFonts w:hAnsi="標楷體" w:cs="新細明體" w:hint="eastAsia"/>
                <w:kern w:val="0"/>
                <w:sz w:val="26"/>
                <w:szCs w:val="26"/>
              </w:rPr>
              <w:t>高雄市</w:t>
            </w:r>
          </w:p>
        </w:tc>
        <w:tc>
          <w:tcPr>
            <w:tcW w:w="3178" w:type="dxa"/>
            <w:tcBorders>
              <w:top w:val="single" w:sz="6" w:space="0" w:color="auto"/>
              <w:left w:val="single" w:sz="6" w:space="0" w:color="auto"/>
              <w:bottom w:val="single" w:sz="6" w:space="0" w:color="auto"/>
              <w:right w:val="single" w:sz="6" w:space="0" w:color="auto"/>
            </w:tcBorders>
            <w:vAlign w:val="center"/>
            <w:hideMark/>
          </w:tcPr>
          <w:p w:rsidR="0040606A" w:rsidRPr="00224A08" w:rsidRDefault="0040606A" w:rsidP="001F4069">
            <w:pPr>
              <w:pStyle w:val="3"/>
              <w:numPr>
                <w:ilvl w:val="0"/>
                <w:numId w:val="0"/>
              </w:numPr>
              <w:kinsoku w:val="0"/>
              <w:spacing w:line="300" w:lineRule="exact"/>
              <w:ind w:leftChars="-15" w:left="-51" w:rightChars="-19" w:right="-65"/>
              <w:rPr>
                <w:rFonts w:ascii="Times New Roman" w:hAnsi="Times New Roman"/>
                <w:spacing w:val="-10"/>
                <w:sz w:val="26"/>
                <w:szCs w:val="26"/>
              </w:rPr>
            </w:pPr>
            <w:bookmarkStart w:id="949" w:name="_Toc507403596"/>
            <w:bookmarkStart w:id="950" w:name="_Toc507484709"/>
            <w:bookmarkStart w:id="951" w:name="_Toc507491533"/>
            <w:bookmarkStart w:id="952" w:name="_Toc507518560"/>
            <w:bookmarkStart w:id="953" w:name="_Toc507767637"/>
            <w:bookmarkStart w:id="954" w:name="_Toc507768363"/>
            <w:bookmarkStart w:id="955" w:name="_Toc511115352"/>
            <w:bookmarkStart w:id="956" w:name="_Toc511308143"/>
            <w:bookmarkStart w:id="957" w:name="_Toc511998585"/>
            <w:bookmarkStart w:id="958" w:name="_Toc512420942"/>
            <w:r w:rsidRPr="00224A08">
              <w:rPr>
                <w:rFonts w:ascii="Times New Roman" w:hAnsi="Times New Roman" w:hint="eastAsia"/>
                <w:spacing w:val="-10"/>
                <w:sz w:val="26"/>
                <w:szCs w:val="26"/>
              </w:rPr>
              <w:t>高雄市</w:t>
            </w:r>
            <w:r w:rsidR="00224A08" w:rsidRPr="00224A08">
              <w:rPr>
                <w:rFonts w:ascii="Times New Roman" w:hAnsi="Times New Roman" w:hint="eastAsia"/>
                <w:spacing w:val="-10"/>
                <w:sz w:val="26"/>
                <w:szCs w:val="26"/>
              </w:rPr>
              <w:t>公益彩券盈餘基金管理會</w:t>
            </w:r>
            <w:bookmarkEnd w:id="949"/>
            <w:bookmarkEnd w:id="950"/>
            <w:bookmarkEnd w:id="951"/>
            <w:bookmarkEnd w:id="952"/>
            <w:bookmarkEnd w:id="953"/>
            <w:bookmarkEnd w:id="954"/>
            <w:bookmarkEnd w:id="955"/>
            <w:bookmarkEnd w:id="956"/>
            <w:bookmarkEnd w:id="957"/>
            <w:bookmarkEnd w:id="958"/>
          </w:p>
        </w:tc>
        <w:tc>
          <w:tcPr>
            <w:tcW w:w="3457" w:type="dxa"/>
            <w:tcBorders>
              <w:top w:val="single" w:sz="6" w:space="0" w:color="auto"/>
              <w:left w:val="single" w:sz="6" w:space="0" w:color="auto"/>
              <w:bottom w:val="single" w:sz="6" w:space="0" w:color="auto"/>
              <w:right w:val="single" w:sz="6" w:space="0" w:color="auto"/>
            </w:tcBorders>
            <w:hideMark/>
          </w:tcPr>
          <w:p w:rsidR="0040606A" w:rsidRDefault="0040606A" w:rsidP="00C055EF">
            <w:pPr>
              <w:pStyle w:val="3"/>
              <w:numPr>
                <w:ilvl w:val="0"/>
                <w:numId w:val="0"/>
              </w:numPr>
              <w:kinsoku w:val="0"/>
              <w:spacing w:line="300" w:lineRule="exact"/>
              <w:ind w:leftChars="-15" w:left="-51" w:rightChars="-19" w:right="-65"/>
              <w:rPr>
                <w:rFonts w:ascii="Times New Roman" w:hAnsi="Times New Roman"/>
                <w:spacing w:val="-10"/>
                <w:sz w:val="26"/>
                <w:szCs w:val="26"/>
              </w:rPr>
            </w:pPr>
            <w:bookmarkStart w:id="959" w:name="_Toc507403597"/>
            <w:bookmarkStart w:id="960" w:name="_Toc507484710"/>
            <w:bookmarkStart w:id="961" w:name="_Toc507491534"/>
            <w:bookmarkStart w:id="962" w:name="_Toc507518561"/>
            <w:bookmarkStart w:id="963" w:name="_Toc507767638"/>
            <w:bookmarkStart w:id="964" w:name="_Toc507768364"/>
            <w:bookmarkStart w:id="965" w:name="_Toc511115353"/>
            <w:bookmarkStart w:id="966" w:name="_Toc511308144"/>
            <w:bookmarkStart w:id="967" w:name="_Toc511998586"/>
            <w:bookmarkStart w:id="968" w:name="_Toc512420943"/>
            <w:r>
              <w:rPr>
                <w:rFonts w:ascii="Times New Roman" w:hAnsi="Times New Roman" w:hint="eastAsia"/>
                <w:spacing w:val="-10"/>
                <w:sz w:val="26"/>
                <w:szCs w:val="26"/>
              </w:rPr>
              <w:t>高雄市公益彩券盈餘基金設置管理及運用自治條例</w:t>
            </w:r>
            <w:bookmarkEnd w:id="959"/>
            <w:bookmarkEnd w:id="960"/>
            <w:bookmarkEnd w:id="961"/>
            <w:bookmarkEnd w:id="962"/>
            <w:bookmarkEnd w:id="963"/>
            <w:bookmarkEnd w:id="964"/>
            <w:bookmarkEnd w:id="965"/>
            <w:bookmarkEnd w:id="966"/>
            <w:bookmarkEnd w:id="967"/>
            <w:bookmarkEnd w:id="968"/>
          </w:p>
        </w:tc>
      </w:tr>
      <w:tr w:rsidR="0040606A" w:rsidTr="00C055EF">
        <w:tc>
          <w:tcPr>
            <w:tcW w:w="1064"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overflowPunct/>
              <w:autoSpaceDE/>
              <w:spacing w:line="300" w:lineRule="exact"/>
              <w:jc w:val="center"/>
              <w:rPr>
                <w:rFonts w:hAnsi="標楷體" w:cs="新細明體"/>
                <w:kern w:val="0"/>
                <w:sz w:val="26"/>
                <w:szCs w:val="26"/>
              </w:rPr>
            </w:pPr>
            <w:r>
              <w:rPr>
                <w:rFonts w:hAnsi="標楷體" w:cs="新細明體" w:hint="eastAsia"/>
                <w:kern w:val="0"/>
                <w:sz w:val="26"/>
                <w:szCs w:val="26"/>
              </w:rPr>
              <w:t>基隆市</w:t>
            </w:r>
          </w:p>
        </w:tc>
        <w:tc>
          <w:tcPr>
            <w:tcW w:w="3178" w:type="dxa"/>
            <w:tcBorders>
              <w:top w:val="single" w:sz="6" w:space="0" w:color="auto"/>
              <w:left w:val="single" w:sz="6" w:space="0" w:color="auto"/>
              <w:bottom w:val="single" w:sz="6" w:space="0" w:color="auto"/>
              <w:right w:val="single" w:sz="6" w:space="0" w:color="auto"/>
            </w:tcBorders>
            <w:hideMark/>
          </w:tcPr>
          <w:p w:rsidR="0040606A" w:rsidRDefault="00224A08" w:rsidP="00C055EF">
            <w:pPr>
              <w:pStyle w:val="3"/>
              <w:numPr>
                <w:ilvl w:val="0"/>
                <w:numId w:val="0"/>
              </w:numPr>
              <w:kinsoku w:val="0"/>
              <w:spacing w:line="300" w:lineRule="exact"/>
              <w:ind w:leftChars="-15" w:left="-51" w:rightChars="-19" w:right="-65"/>
              <w:rPr>
                <w:rFonts w:ascii="Times New Roman" w:hAnsi="Times New Roman"/>
                <w:spacing w:val="-10"/>
                <w:sz w:val="26"/>
                <w:szCs w:val="26"/>
              </w:rPr>
            </w:pPr>
            <w:bookmarkStart w:id="969" w:name="_Toc512420944"/>
            <w:r w:rsidRPr="00224A08">
              <w:rPr>
                <w:rFonts w:ascii="Times New Roman" w:hAnsi="Times New Roman"/>
                <w:spacing w:val="-10"/>
                <w:sz w:val="26"/>
                <w:szCs w:val="26"/>
              </w:rPr>
              <w:t>基隆市政府公益彩券盈餘分配特種基金管理委員會</w:t>
            </w:r>
            <w:bookmarkEnd w:id="969"/>
          </w:p>
        </w:tc>
        <w:tc>
          <w:tcPr>
            <w:tcW w:w="3457" w:type="dxa"/>
            <w:tcBorders>
              <w:top w:val="single" w:sz="6" w:space="0" w:color="auto"/>
              <w:left w:val="single" w:sz="6" w:space="0" w:color="auto"/>
              <w:bottom w:val="single" w:sz="6" w:space="0" w:color="auto"/>
              <w:right w:val="single" w:sz="6" w:space="0" w:color="auto"/>
            </w:tcBorders>
            <w:hideMark/>
          </w:tcPr>
          <w:p w:rsidR="0040606A" w:rsidRDefault="00224A08" w:rsidP="00C055EF">
            <w:pPr>
              <w:pStyle w:val="3"/>
              <w:numPr>
                <w:ilvl w:val="0"/>
                <w:numId w:val="0"/>
              </w:numPr>
              <w:kinsoku w:val="0"/>
              <w:spacing w:line="300" w:lineRule="exact"/>
              <w:ind w:leftChars="-15" w:left="-51" w:rightChars="-19" w:right="-65"/>
              <w:rPr>
                <w:rFonts w:ascii="Times New Roman" w:hAnsi="Times New Roman"/>
                <w:spacing w:val="-10"/>
                <w:sz w:val="26"/>
                <w:szCs w:val="26"/>
              </w:rPr>
            </w:pPr>
            <w:bookmarkStart w:id="970" w:name="_Toc512420945"/>
            <w:r w:rsidRPr="00224A08">
              <w:rPr>
                <w:rFonts w:ascii="Times New Roman" w:hAnsi="Times New Roman"/>
                <w:spacing w:val="-10"/>
                <w:sz w:val="26"/>
                <w:szCs w:val="26"/>
              </w:rPr>
              <w:t>基隆市政府公益彩券盈餘分配特種基金管理委員會設置要點</w:t>
            </w:r>
            <w:bookmarkEnd w:id="970"/>
          </w:p>
        </w:tc>
      </w:tr>
      <w:tr w:rsidR="0040606A" w:rsidTr="00C055EF">
        <w:tc>
          <w:tcPr>
            <w:tcW w:w="1064"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overflowPunct/>
              <w:autoSpaceDE/>
              <w:spacing w:line="300" w:lineRule="exact"/>
              <w:jc w:val="center"/>
              <w:rPr>
                <w:rFonts w:hAnsi="標楷體" w:cs="新細明體"/>
                <w:kern w:val="0"/>
                <w:sz w:val="26"/>
                <w:szCs w:val="26"/>
              </w:rPr>
            </w:pPr>
            <w:r>
              <w:rPr>
                <w:rFonts w:hAnsi="標楷體" w:cs="新細明體" w:hint="eastAsia"/>
                <w:kern w:val="0"/>
                <w:sz w:val="26"/>
                <w:szCs w:val="26"/>
              </w:rPr>
              <w:t>宜蘭縣</w:t>
            </w:r>
          </w:p>
        </w:tc>
        <w:tc>
          <w:tcPr>
            <w:tcW w:w="3178" w:type="dxa"/>
            <w:tcBorders>
              <w:top w:val="single" w:sz="6" w:space="0" w:color="auto"/>
              <w:left w:val="single" w:sz="6" w:space="0" w:color="auto"/>
              <w:bottom w:val="single" w:sz="6" w:space="0" w:color="auto"/>
              <w:right w:val="single" w:sz="6" w:space="0" w:color="auto"/>
            </w:tcBorders>
            <w:hideMark/>
          </w:tcPr>
          <w:p w:rsidR="0040606A" w:rsidRDefault="00224A08" w:rsidP="00C055EF">
            <w:pPr>
              <w:pStyle w:val="3"/>
              <w:numPr>
                <w:ilvl w:val="0"/>
                <w:numId w:val="0"/>
              </w:numPr>
              <w:kinsoku w:val="0"/>
              <w:spacing w:line="300" w:lineRule="exact"/>
              <w:ind w:leftChars="-15" w:left="-51" w:rightChars="-19" w:right="-65"/>
              <w:rPr>
                <w:rFonts w:ascii="Times New Roman" w:hAnsi="Times New Roman"/>
                <w:spacing w:val="-10"/>
                <w:sz w:val="26"/>
                <w:szCs w:val="26"/>
              </w:rPr>
            </w:pPr>
            <w:bookmarkStart w:id="971" w:name="_Toc512420946"/>
            <w:r w:rsidRPr="00224A08">
              <w:rPr>
                <w:rFonts w:ascii="Times New Roman" w:hAnsi="Times New Roman" w:hint="eastAsia"/>
                <w:spacing w:val="-10"/>
                <w:sz w:val="26"/>
                <w:szCs w:val="26"/>
              </w:rPr>
              <w:t>宜蘭縣公益彩券盈餘管理委員會</w:t>
            </w:r>
            <w:bookmarkEnd w:id="971"/>
          </w:p>
        </w:tc>
        <w:tc>
          <w:tcPr>
            <w:tcW w:w="3457" w:type="dxa"/>
            <w:tcBorders>
              <w:top w:val="single" w:sz="6" w:space="0" w:color="auto"/>
              <w:left w:val="single" w:sz="6" w:space="0" w:color="auto"/>
              <w:bottom w:val="single" w:sz="6" w:space="0" w:color="auto"/>
              <w:right w:val="single" w:sz="6" w:space="0" w:color="auto"/>
            </w:tcBorders>
            <w:hideMark/>
          </w:tcPr>
          <w:p w:rsidR="0040606A" w:rsidRDefault="0040606A" w:rsidP="00C055EF">
            <w:pPr>
              <w:pStyle w:val="3"/>
              <w:numPr>
                <w:ilvl w:val="0"/>
                <w:numId w:val="0"/>
              </w:numPr>
              <w:kinsoku w:val="0"/>
              <w:spacing w:line="300" w:lineRule="exact"/>
              <w:ind w:leftChars="-15" w:left="-51" w:rightChars="-19" w:right="-65"/>
              <w:rPr>
                <w:rFonts w:ascii="Times New Roman" w:hAnsi="Times New Roman"/>
                <w:spacing w:val="-10"/>
                <w:sz w:val="26"/>
                <w:szCs w:val="26"/>
              </w:rPr>
            </w:pPr>
            <w:bookmarkStart w:id="972" w:name="_Toc507403601"/>
            <w:bookmarkStart w:id="973" w:name="_Toc507484714"/>
            <w:bookmarkStart w:id="974" w:name="_Toc507491538"/>
            <w:bookmarkStart w:id="975" w:name="_Toc507518565"/>
            <w:bookmarkStart w:id="976" w:name="_Toc507767642"/>
            <w:bookmarkStart w:id="977" w:name="_Toc507768368"/>
            <w:bookmarkStart w:id="978" w:name="_Toc511115357"/>
            <w:bookmarkStart w:id="979" w:name="_Toc511308148"/>
            <w:bookmarkStart w:id="980" w:name="_Toc511998590"/>
            <w:bookmarkStart w:id="981" w:name="_Toc512420947"/>
            <w:r>
              <w:rPr>
                <w:rFonts w:ascii="Times New Roman" w:hAnsi="Times New Roman" w:hint="eastAsia"/>
                <w:spacing w:val="-10"/>
                <w:sz w:val="26"/>
                <w:szCs w:val="26"/>
              </w:rPr>
              <w:t>宜蘭縣公益彩券盈餘管理委員會設置要點</w:t>
            </w:r>
            <w:bookmarkEnd w:id="972"/>
            <w:bookmarkEnd w:id="973"/>
            <w:bookmarkEnd w:id="974"/>
            <w:bookmarkEnd w:id="975"/>
            <w:bookmarkEnd w:id="976"/>
            <w:bookmarkEnd w:id="977"/>
            <w:bookmarkEnd w:id="978"/>
            <w:bookmarkEnd w:id="979"/>
            <w:bookmarkEnd w:id="980"/>
            <w:bookmarkEnd w:id="981"/>
          </w:p>
        </w:tc>
      </w:tr>
      <w:tr w:rsidR="0040606A" w:rsidTr="00C055EF">
        <w:tc>
          <w:tcPr>
            <w:tcW w:w="1064"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overflowPunct/>
              <w:autoSpaceDE/>
              <w:spacing w:line="300" w:lineRule="exact"/>
              <w:jc w:val="center"/>
              <w:rPr>
                <w:rFonts w:hAnsi="標楷體" w:cs="新細明體"/>
                <w:kern w:val="0"/>
                <w:sz w:val="26"/>
                <w:szCs w:val="26"/>
              </w:rPr>
            </w:pPr>
            <w:r>
              <w:rPr>
                <w:rFonts w:hAnsi="標楷體" w:cs="新細明體" w:hint="eastAsia"/>
                <w:kern w:val="0"/>
                <w:sz w:val="26"/>
                <w:szCs w:val="26"/>
              </w:rPr>
              <w:t>新竹縣</w:t>
            </w:r>
          </w:p>
        </w:tc>
        <w:tc>
          <w:tcPr>
            <w:tcW w:w="3178" w:type="dxa"/>
            <w:tcBorders>
              <w:top w:val="single" w:sz="6" w:space="0" w:color="auto"/>
              <w:left w:val="single" w:sz="6" w:space="0" w:color="auto"/>
              <w:bottom w:val="single" w:sz="6" w:space="0" w:color="auto"/>
              <w:right w:val="single" w:sz="6" w:space="0" w:color="auto"/>
            </w:tcBorders>
            <w:hideMark/>
          </w:tcPr>
          <w:p w:rsidR="0040606A" w:rsidRDefault="0040606A" w:rsidP="00C055EF">
            <w:pPr>
              <w:pStyle w:val="3"/>
              <w:numPr>
                <w:ilvl w:val="0"/>
                <w:numId w:val="0"/>
              </w:numPr>
              <w:kinsoku w:val="0"/>
              <w:spacing w:line="300" w:lineRule="exact"/>
              <w:ind w:leftChars="-15" w:left="-51" w:rightChars="-19" w:right="-65"/>
              <w:rPr>
                <w:rFonts w:ascii="Times New Roman" w:hAnsi="Times New Roman"/>
                <w:spacing w:val="-10"/>
                <w:sz w:val="26"/>
                <w:szCs w:val="26"/>
              </w:rPr>
            </w:pPr>
            <w:bookmarkStart w:id="982" w:name="_Toc507403602"/>
            <w:bookmarkStart w:id="983" w:name="_Toc507484715"/>
            <w:bookmarkStart w:id="984" w:name="_Toc507491539"/>
            <w:bookmarkStart w:id="985" w:name="_Toc507518566"/>
            <w:bookmarkStart w:id="986" w:name="_Toc507767643"/>
            <w:bookmarkStart w:id="987" w:name="_Toc507768369"/>
            <w:bookmarkStart w:id="988" w:name="_Toc511115358"/>
            <w:bookmarkStart w:id="989" w:name="_Toc511308149"/>
            <w:bookmarkStart w:id="990" w:name="_Toc511998591"/>
            <w:bookmarkStart w:id="991" w:name="_Toc512420948"/>
            <w:r>
              <w:rPr>
                <w:rFonts w:ascii="Times New Roman" w:hAnsi="Times New Roman" w:hint="eastAsia"/>
                <w:spacing w:val="-10"/>
                <w:sz w:val="26"/>
                <w:szCs w:val="26"/>
              </w:rPr>
              <w:t>新竹縣</w:t>
            </w:r>
            <w:r w:rsidR="0094790A">
              <w:rPr>
                <w:rFonts w:ascii="Times New Roman" w:hAnsi="Times New Roman" w:hint="eastAsia"/>
                <w:spacing w:val="-10"/>
                <w:sz w:val="26"/>
                <w:szCs w:val="26"/>
              </w:rPr>
              <w:t>政府</w:t>
            </w:r>
            <w:r>
              <w:rPr>
                <w:rFonts w:ascii="Times New Roman" w:hAnsi="Times New Roman" w:hint="eastAsia"/>
                <w:spacing w:val="-10"/>
                <w:sz w:val="26"/>
                <w:szCs w:val="26"/>
              </w:rPr>
              <w:t>公益彩券盈餘管理委員會</w:t>
            </w:r>
            <w:bookmarkEnd w:id="982"/>
            <w:bookmarkEnd w:id="983"/>
            <w:bookmarkEnd w:id="984"/>
            <w:bookmarkEnd w:id="985"/>
            <w:bookmarkEnd w:id="986"/>
            <w:bookmarkEnd w:id="987"/>
            <w:bookmarkEnd w:id="988"/>
            <w:bookmarkEnd w:id="989"/>
            <w:bookmarkEnd w:id="990"/>
            <w:bookmarkEnd w:id="991"/>
          </w:p>
        </w:tc>
        <w:tc>
          <w:tcPr>
            <w:tcW w:w="3457" w:type="dxa"/>
            <w:tcBorders>
              <w:top w:val="single" w:sz="6" w:space="0" w:color="auto"/>
              <w:left w:val="single" w:sz="6" w:space="0" w:color="auto"/>
              <w:bottom w:val="single" w:sz="6" w:space="0" w:color="auto"/>
              <w:right w:val="single" w:sz="6" w:space="0" w:color="auto"/>
            </w:tcBorders>
            <w:hideMark/>
          </w:tcPr>
          <w:p w:rsidR="0040606A" w:rsidRDefault="0040606A" w:rsidP="00C055EF">
            <w:pPr>
              <w:pStyle w:val="3"/>
              <w:numPr>
                <w:ilvl w:val="0"/>
                <w:numId w:val="0"/>
              </w:numPr>
              <w:kinsoku w:val="0"/>
              <w:spacing w:line="300" w:lineRule="exact"/>
              <w:ind w:leftChars="-15" w:left="-51" w:rightChars="-19" w:right="-65"/>
              <w:rPr>
                <w:rFonts w:ascii="Times New Roman" w:hAnsi="Times New Roman"/>
                <w:spacing w:val="-10"/>
                <w:sz w:val="26"/>
                <w:szCs w:val="26"/>
              </w:rPr>
            </w:pPr>
            <w:bookmarkStart w:id="992" w:name="_Toc507403603"/>
            <w:bookmarkStart w:id="993" w:name="_Toc507484716"/>
            <w:bookmarkStart w:id="994" w:name="_Toc507491540"/>
            <w:bookmarkStart w:id="995" w:name="_Toc507518567"/>
            <w:bookmarkStart w:id="996" w:name="_Toc507767644"/>
            <w:bookmarkStart w:id="997" w:name="_Toc507768370"/>
            <w:bookmarkStart w:id="998" w:name="_Toc511115359"/>
            <w:bookmarkStart w:id="999" w:name="_Toc511308150"/>
            <w:bookmarkStart w:id="1000" w:name="_Toc511998592"/>
            <w:bookmarkStart w:id="1001" w:name="_Toc512420949"/>
            <w:r>
              <w:rPr>
                <w:rFonts w:ascii="Times New Roman" w:hAnsi="Times New Roman" w:hint="eastAsia"/>
                <w:spacing w:val="-10"/>
                <w:sz w:val="26"/>
                <w:szCs w:val="26"/>
              </w:rPr>
              <w:t>新竹縣公益彩券盈餘管理委員會設置要點</w:t>
            </w:r>
            <w:bookmarkEnd w:id="992"/>
            <w:bookmarkEnd w:id="993"/>
            <w:bookmarkEnd w:id="994"/>
            <w:bookmarkEnd w:id="995"/>
            <w:bookmarkEnd w:id="996"/>
            <w:bookmarkEnd w:id="997"/>
            <w:bookmarkEnd w:id="998"/>
            <w:bookmarkEnd w:id="999"/>
            <w:bookmarkEnd w:id="1000"/>
            <w:bookmarkEnd w:id="1001"/>
          </w:p>
        </w:tc>
      </w:tr>
      <w:tr w:rsidR="0040606A" w:rsidTr="00C055EF">
        <w:tc>
          <w:tcPr>
            <w:tcW w:w="1064"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overflowPunct/>
              <w:autoSpaceDE/>
              <w:spacing w:line="300" w:lineRule="exact"/>
              <w:jc w:val="center"/>
              <w:rPr>
                <w:rFonts w:hAnsi="標楷體" w:cs="新細明體"/>
                <w:kern w:val="0"/>
                <w:sz w:val="26"/>
                <w:szCs w:val="26"/>
              </w:rPr>
            </w:pPr>
            <w:r>
              <w:rPr>
                <w:rFonts w:hAnsi="標楷體" w:cs="新細明體" w:hint="eastAsia"/>
                <w:kern w:val="0"/>
                <w:sz w:val="26"/>
                <w:szCs w:val="26"/>
              </w:rPr>
              <w:t>新竹市</w:t>
            </w:r>
          </w:p>
        </w:tc>
        <w:tc>
          <w:tcPr>
            <w:tcW w:w="3178" w:type="dxa"/>
            <w:tcBorders>
              <w:top w:val="single" w:sz="6" w:space="0" w:color="auto"/>
              <w:left w:val="single" w:sz="6" w:space="0" w:color="auto"/>
              <w:bottom w:val="single" w:sz="6" w:space="0" w:color="auto"/>
              <w:right w:val="single" w:sz="6" w:space="0" w:color="auto"/>
            </w:tcBorders>
            <w:hideMark/>
          </w:tcPr>
          <w:p w:rsidR="0040606A" w:rsidRDefault="0094790A" w:rsidP="00C055EF">
            <w:pPr>
              <w:pStyle w:val="3"/>
              <w:numPr>
                <w:ilvl w:val="0"/>
                <w:numId w:val="0"/>
              </w:numPr>
              <w:kinsoku w:val="0"/>
              <w:spacing w:line="300" w:lineRule="exact"/>
              <w:ind w:leftChars="-15" w:left="-51" w:rightChars="-19" w:right="-65"/>
              <w:rPr>
                <w:rFonts w:ascii="Times New Roman" w:hAnsi="Times New Roman"/>
                <w:spacing w:val="-10"/>
                <w:sz w:val="26"/>
                <w:szCs w:val="26"/>
              </w:rPr>
            </w:pPr>
            <w:bookmarkStart w:id="1002" w:name="_Toc507403604"/>
            <w:bookmarkStart w:id="1003" w:name="_Toc507484717"/>
            <w:bookmarkStart w:id="1004" w:name="_Toc507491541"/>
            <w:bookmarkStart w:id="1005" w:name="_Toc507518568"/>
            <w:bookmarkStart w:id="1006" w:name="_Toc507767645"/>
            <w:bookmarkStart w:id="1007" w:name="_Toc507768371"/>
            <w:bookmarkStart w:id="1008" w:name="_Toc511115360"/>
            <w:bookmarkStart w:id="1009" w:name="_Toc511308151"/>
            <w:bookmarkStart w:id="1010" w:name="_Toc511998593"/>
            <w:bookmarkStart w:id="1011" w:name="_Toc512420950"/>
            <w:r w:rsidRPr="0094790A">
              <w:rPr>
                <w:rFonts w:ascii="Times New Roman" w:hAnsi="Times New Roman" w:hint="eastAsia"/>
                <w:spacing w:val="-10"/>
                <w:sz w:val="26"/>
                <w:szCs w:val="26"/>
              </w:rPr>
              <w:t>新竹市公益彩券盈餘分配基金管理</w:t>
            </w:r>
            <w:r w:rsidR="0040606A">
              <w:rPr>
                <w:rFonts w:ascii="Times New Roman" w:hAnsi="Times New Roman" w:hint="eastAsia"/>
                <w:spacing w:val="-10"/>
                <w:sz w:val="26"/>
                <w:szCs w:val="26"/>
              </w:rPr>
              <w:t>委員會</w:t>
            </w:r>
            <w:bookmarkEnd w:id="1002"/>
            <w:bookmarkEnd w:id="1003"/>
            <w:bookmarkEnd w:id="1004"/>
            <w:bookmarkEnd w:id="1005"/>
            <w:bookmarkEnd w:id="1006"/>
            <w:bookmarkEnd w:id="1007"/>
            <w:bookmarkEnd w:id="1008"/>
            <w:bookmarkEnd w:id="1009"/>
            <w:bookmarkEnd w:id="1010"/>
            <w:bookmarkEnd w:id="1011"/>
          </w:p>
        </w:tc>
        <w:tc>
          <w:tcPr>
            <w:tcW w:w="3457" w:type="dxa"/>
            <w:tcBorders>
              <w:top w:val="single" w:sz="6" w:space="0" w:color="auto"/>
              <w:left w:val="single" w:sz="6" w:space="0" w:color="auto"/>
              <w:bottom w:val="single" w:sz="6" w:space="0" w:color="auto"/>
              <w:right w:val="single" w:sz="6" w:space="0" w:color="auto"/>
            </w:tcBorders>
            <w:hideMark/>
          </w:tcPr>
          <w:p w:rsidR="0040606A" w:rsidRDefault="0040606A" w:rsidP="00C055EF">
            <w:pPr>
              <w:pStyle w:val="3"/>
              <w:numPr>
                <w:ilvl w:val="0"/>
                <w:numId w:val="0"/>
              </w:numPr>
              <w:kinsoku w:val="0"/>
              <w:spacing w:line="300" w:lineRule="exact"/>
              <w:ind w:leftChars="-15" w:left="-51" w:rightChars="-19" w:right="-65"/>
              <w:rPr>
                <w:rFonts w:ascii="Times New Roman" w:hAnsi="Times New Roman"/>
                <w:spacing w:val="-10"/>
                <w:sz w:val="26"/>
                <w:szCs w:val="26"/>
              </w:rPr>
            </w:pPr>
            <w:bookmarkStart w:id="1012" w:name="_Toc507403605"/>
            <w:bookmarkStart w:id="1013" w:name="_Toc507484718"/>
            <w:bookmarkStart w:id="1014" w:name="_Toc507491542"/>
            <w:bookmarkStart w:id="1015" w:name="_Toc507518569"/>
            <w:bookmarkStart w:id="1016" w:name="_Toc507767646"/>
            <w:bookmarkStart w:id="1017" w:name="_Toc507768372"/>
            <w:bookmarkStart w:id="1018" w:name="_Toc511115361"/>
            <w:bookmarkStart w:id="1019" w:name="_Toc511308152"/>
            <w:bookmarkStart w:id="1020" w:name="_Toc511998594"/>
            <w:bookmarkStart w:id="1021" w:name="_Toc512420951"/>
            <w:r w:rsidRPr="0094790A">
              <w:rPr>
                <w:rFonts w:ascii="Times New Roman" w:hAnsi="Times New Roman" w:hint="eastAsia"/>
                <w:sz w:val="26"/>
                <w:szCs w:val="26"/>
              </w:rPr>
              <w:t>新竹市公益彩券盈餘分配基金</w:t>
            </w:r>
            <w:r w:rsidR="002633B6">
              <w:rPr>
                <w:rFonts w:ascii="Times New Roman" w:hAnsi="Times New Roman" w:hint="eastAsia"/>
                <w:spacing w:val="-10"/>
                <w:sz w:val="26"/>
                <w:szCs w:val="26"/>
              </w:rPr>
              <w:t>管理</w:t>
            </w:r>
            <w:r>
              <w:rPr>
                <w:rFonts w:ascii="Times New Roman" w:hAnsi="Times New Roman" w:hint="eastAsia"/>
                <w:spacing w:val="-10"/>
                <w:sz w:val="26"/>
                <w:szCs w:val="26"/>
              </w:rPr>
              <w:t>委員會設置要點</w:t>
            </w:r>
            <w:bookmarkEnd w:id="1012"/>
            <w:bookmarkEnd w:id="1013"/>
            <w:bookmarkEnd w:id="1014"/>
            <w:bookmarkEnd w:id="1015"/>
            <w:bookmarkEnd w:id="1016"/>
            <w:bookmarkEnd w:id="1017"/>
            <w:bookmarkEnd w:id="1018"/>
            <w:bookmarkEnd w:id="1019"/>
            <w:bookmarkEnd w:id="1020"/>
            <w:bookmarkEnd w:id="1021"/>
          </w:p>
        </w:tc>
      </w:tr>
      <w:tr w:rsidR="0040606A" w:rsidTr="00C055EF">
        <w:tc>
          <w:tcPr>
            <w:tcW w:w="1064"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overflowPunct/>
              <w:autoSpaceDE/>
              <w:spacing w:line="300" w:lineRule="exact"/>
              <w:jc w:val="center"/>
              <w:rPr>
                <w:rFonts w:hAnsi="標楷體" w:cs="新細明體"/>
                <w:kern w:val="0"/>
                <w:sz w:val="26"/>
                <w:szCs w:val="26"/>
              </w:rPr>
            </w:pPr>
            <w:r>
              <w:rPr>
                <w:rFonts w:hAnsi="標楷體" w:cs="新細明體" w:hint="eastAsia"/>
                <w:kern w:val="0"/>
                <w:sz w:val="26"/>
                <w:szCs w:val="26"/>
              </w:rPr>
              <w:t>苗栗縣</w:t>
            </w:r>
          </w:p>
        </w:tc>
        <w:tc>
          <w:tcPr>
            <w:tcW w:w="3178" w:type="dxa"/>
            <w:tcBorders>
              <w:top w:val="single" w:sz="6" w:space="0" w:color="auto"/>
              <w:left w:val="single" w:sz="6" w:space="0" w:color="auto"/>
              <w:bottom w:val="single" w:sz="6" w:space="0" w:color="auto"/>
              <w:right w:val="single" w:sz="6" w:space="0" w:color="auto"/>
            </w:tcBorders>
            <w:hideMark/>
          </w:tcPr>
          <w:p w:rsidR="0040606A" w:rsidRDefault="0040606A" w:rsidP="00C055EF">
            <w:pPr>
              <w:pStyle w:val="3"/>
              <w:numPr>
                <w:ilvl w:val="0"/>
                <w:numId w:val="0"/>
              </w:numPr>
              <w:kinsoku w:val="0"/>
              <w:spacing w:line="300" w:lineRule="exact"/>
              <w:ind w:leftChars="-15" w:left="-51" w:rightChars="-19" w:right="-65"/>
              <w:rPr>
                <w:rFonts w:ascii="Times New Roman" w:hAnsi="Times New Roman"/>
                <w:spacing w:val="-10"/>
                <w:sz w:val="26"/>
                <w:szCs w:val="26"/>
              </w:rPr>
            </w:pPr>
            <w:bookmarkStart w:id="1022" w:name="_Toc507403606"/>
            <w:bookmarkStart w:id="1023" w:name="_Toc507484719"/>
            <w:bookmarkStart w:id="1024" w:name="_Toc507491543"/>
            <w:bookmarkStart w:id="1025" w:name="_Toc507518570"/>
            <w:bookmarkStart w:id="1026" w:name="_Toc507767647"/>
            <w:bookmarkStart w:id="1027" w:name="_Toc507768373"/>
            <w:bookmarkStart w:id="1028" w:name="_Toc511115362"/>
            <w:bookmarkStart w:id="1029" w:name="_Toc511308153"/>
            <w:bookmarkStart w:id="1030" w:name="_Toc511998595"/>
            <w:bookmarkStart w:id="1031" w:name="_Toc512420952"/>
            <w:r>
              <w:rPr>
                <w:rFonts w:ascii="Times New Roman" w:hAnsi="Times New Roman" w:hint="eastAsia"/>
                <w:spacing w:val="-10"/>
                <w:sz w:val="26"/>
                <w:szCs w:val="26"/>
              </w:rPr>
              <w:t>苗栗縣公益彩券盈餘管理委員會</w:t>
            </w:r>
            <w:bookmarkEnd w:id="1022"/>
            <w:bookmarkEnd w:id="1023"/>
            <w:bookmarkEnd w:id="1024"/>
            <w:bookmarkEnd w:id="1025"/>
            <w:bookmarkEnd w:id="1026"/>
            <w:bookmarkEnd w:id="1027"/>
            <w:bookmarkEnd w:id="1028"/>
            <w:bookmarkEnd w:id="1029"/>
            <w:bookmarkEnd w:id="1030"/>
            <w:bookmarkEnd w:id="1031"/>
          </w:p>
        </w:tc>
        <w:tc>
          <w:tcPr>
            <w:tcW w:w="3457" w:type="dxa"/>
            <w:tcBorders>
              <w:top w:val="single" w:sz="6" w:space="0" w:color="auto"/>
              <w:left w:val="single" w:sz="6" w:space="0" w:color="auto"/>
              <w:bottom w:val="single" w:sz="6" w:space="0" w:color="auto"/>
              <w:right w:val="single" w:sz="6" w:space="0" w:color="auto"/>
            </w:tcBorders>
            <w:hideMark/>
          </w:tcPr>
          <w:p w:rsidR="0040606A" w:rsidRDefault="0040606A" w:rsidP="00C055EF">
            <w:pPr>
              <w:pStyle w:val="3"/>
              <w:numPr>
                <w:ilvl w:val="0"/>
                <w:numId w:val="0"/>
              </w:numPr>
              <w:kinsoku w:val="0"/>
              <w:spacing w:line="300" w:lineRule="exact"/>
              <w:ind w:leftChars="-15" w:left="-51" w:rightChars="-19" w:right="-65"/>
              <w:rPr>
                <w:rFonts w:ascii="Times New Roman" w:hAnsi="Times New Roman"/>
                <w:spacing w:val="-10"/>
                <w:sz w:val="26"/>
                <w:szCs w:val="26"/>
              </w:rPr>
            </w:pPr>
            <w:bookmarkStart w:id="1032" w:name="_Toc507403607"/>
            <w:bookmarkStart w:id="1033" w:name="_Toc507484720"/>
            <w:bookmarkStart w:id="1034" w:name="_Toc507491544"/>
            <w:bookmarkStart w:id="1035" w:name="_Toc507518571"/>
            <w:bookmarkStart w:id="1036" w:name="_Toc507767648"/>
            <w:bookmarkStart w:id="1037" w:name="_Toc507768374"/>
            <w:bookmarkStart w:id="1038" w:name="_Toc511115363"/>
            <w:bookmarkStart w:id="1039" w:name="_Toc511308154"/>
            <w:bookmarkStart w:id="1040" w:name="_Toc511998596"/>
            <w:bookmarkStart w:id="1041" w:name="_Toc512420953"/>
            <w:r w:rsidRPr="0094790A">
              <w:rPr>
                <w:rFonts w:ascii="Times New Roman" w:hAnsi="Times New Roman" w:hint="eastAsia"/>
                <w:sz w:val="26"/>
                <w:szCs w:val="26"/>
              </w:rPr>
              <w:t>苗栗縣公益彩券盈餘管理委</w:t>
            </w:r>
            <w:r>
              <w:rPr>
                <w:rFonts w:ascii="Times New Roman" w:hAnsi="Times New Roman" w:hint="eastAsia"/>
                <w:spacing w:val="-10"/>
                <w:sz w:val="26"/>
                <w:szCs w:val="26"/>
              </w:rPr>
              <w:t>員會設置要點</w:t>
            </w:r>
            <w:bookmarkEnd w:id="1032"/>
            <w:bookmarkEnd w:id="1033"/>
            <w:bookmarkEnd w:id="1034"/>
            <w:bookmarkEnd w:id="1035"/>
            <w:bookmarkEnd w:id="1036"/>
            <w:bookmarkEnd w:id="1037"/>
            <w:bookmarkEnd w:id="1038"/>
            <w:bookmarkEnd w:id="1039"/>
            <w:bookmarkEnd w:id="1040"/>
            <w:bookmarkEnd w:id="1041"/>
          </w:p>
        </w:tc>
      </w:tr>
      <w:tr w:rsidR="0040606A" w:rsidTr="00C055EF">
        <w:tc>
          <w:tcPr>
            <w:tcW w:w="1064"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overflowPunct/>
              <w:autoSpaceDE/>
              <w:spacing w:line="300" w:lineRule="exact"/>
              <w:jc w:val="center"/>
              <w:rPr>
                <w:rFonts w:hAnsi="標楷體" w:cs="新細明體"/>
                <w:kern w:val="0"/>
                <w:sz w:val="26"/>
                <w:szCs w:val="26"/>
              </w:rPr>
            </w:pPr>
            <w:r>
              <w:rPr>
                <w:rFonts w:hAnsi="標楷體" w:cs="新細明體" w:hint="eastAsia"/>
                <w:kern w:val="0"/>
                <w:sz w:val="26"/>
                <w:szCs w:val="26"/>
              </w:rPr>
              <w:t>彰化縣</w:t>
            </w:r>
          </w:p>
        </w:tc>
        <w:tc>
          <w:tcPr>
            <w:tcW w:w="3178" w:type="dxa"/>
            <w:tcBorders>
              <w:top w:val="single" w:sz="6" w:space="0" w:color="auto"/>
              <w:left w:val="single" w:sz="6" w:space="0" w:color="auto"/>
              <w:bottom w:val="single" w:sz="6" w:space="0" w:color="auto"/>
              <w:right w:val="single" w:sz="6" w:space="0" w:color="auto"/>
            </w:tcBorders>
            <w:hideMark/>
          </w:tcPr>
          <w:p w:rsidR="0040606A" w:rsidRDefault="0040606A" w:rsidP="0094790A">
            <w:pPr>
              <w:pStyle w:val="3"/>
              <w:numPr>
                <w:ilvl w:val="0"/>
                <w:numId w:val="0"/>
              </w:numPr>
              <w:kinsoku w:val="0"/>
              <w:spacing w:line="300" w:lineRule="exact"/>
              <w:ind w:leftChars="-15" w:left="-51" w:rightChars="-19" w:right="-65"/>
              <w:rPr>
                <w:rFonts w:ascii="Times New Roman" w:hAnsi="Times New Roman"/>
                <w:spacing w:val="-10"/>
                <w:sz w:val="26"/>
                <w:szCs w:val="26"/>
              </w:rPr>
            </w:pPr>
            <w:bookmarkStart w:id="1042" w:name="_Toc507403608"/>
            <w:bookmarkStart w:id="1043" w:name="_Toc507484721"/>
            <w:bookmarkStart w:id="1044" w:name="_Toc507491545"/>
            <w:bookmarkStart w:id="1045" w:name="_Toc507518572"/>
            <w:bookmarkStart w:id="1046" w:name="_Toc507767649"/>
            <w:bookmarkStart w:id="1047" w:name="_Toc507768375"/>
            <w:bookmarkStart w:id="1048" w:name="_Toc511115364"/>
            <w:bookmarkStart w:id="1049" w:name="_Toc511308155"/>
            <w:bookmarkStart w:id="1050" w:name="_Toc511998597"/>
            <w:bookmarkStart w:id="1051" w:name="_Toc512420954"/>
            <w:r>
              <w:rPr>
                <w:rFonts w:ascii="Times New Roman" w:hAnsi="Times New Roman" w:hint="eastAsia"/>
                <w:spacing w:val="-10"/>
                <w:sz w:val="26"/>
                <w:szCs w:val="26"/>
              </w:rPr>
              <w:t>彰化縣</w:t>
            </w:r>
            <w:r w:rsidR="0094790A" w:rsidRPr="0094790A">
              <w:rPr>
                <w:rFonts w:ascii="Times New Roman" w:hAnsi="Times New Roman" w:hint="eastAsia"/>
                <w:spacing w:val="-10"/>
                <w:sz w:val="26"/>
                <w:szCs w:val="26"/>
              </w:rPr>
              <w:t>公益彩券盈餘分配基金管理委員會</w:t>
            </w:r>
            <w:bookmarkEnd w:id="1042"/>
            <w:bookmarkEnd w:id="1043"/>
            <w:bookmarkEnd w:id="1044"/>
            <w:bookmarkEnd w:id="1045"/>
            <w:bookmarkEnd w:id="1046"/>
            <w:bookmarkEnd w:id="1047"/>
            <w:bookmarkEnd w:id="1048"/>
            <w:bookmarkEnd w:id="1049"/>
            <w:bookmarkEnd w:id="1050"/>
            <w:bookmarkEnd w:id="1051"/>
          </w:p>
        </w:tc>
        <w:tc>
          <w:tcPr>
            <w:tcW w:w="3457" w:type="dxa"/>
            <w:tcBorders>
              <w:top w:val="single" w:sz="6" w:space="0" w:color="auto"/>
              <w:left w:val="single" w:sz="6" w:space="0" w:color="auto"/>
              <w:bottom w:val="single" w:sz="6" w:space="0" w:color="auto"/>
              <w:right w:val="single" w:sz="6" w:space="0" w:color="auto"/>
            </w:tcBorders>
            <w:hideMark/>
          </w:tcPr>
          <w:p w:rsidR="0040606A" w:rsidRPr="0094790A" w:rsidRDefault="0040606A" w:rsidP="00C055EF">
            <w:pPr>
              <w:pStyle w:val="3"/>
              <w:numPr>
                <w:ilvl w:val="0"/>
                <w:numId w:val="0"/>
              </w:numPr>
              <w:kinsoku w:val="0"/>
              <w:spacing w:line="300" w:lineRule="exact"/>
              <w:ind w:leftChars="-15" w:left="-51" w:rightChars="-19" w:right="-65"/>
              <w:rPr>
                <w:rFonts w:ascii="Times New Roman" w:hAnsi="Times New Roman"/>
                <w:sz w:val="26"/>
                <w:szCs w:val="26"/>
              </w:rPr>
            </w:pPr>
            <w:bookmarkStart w:id="1052" w:name="_Toc507403609"/>
            <w:bookmarkStart w:id="1053" w:name="_Toc507484722"/>
            <w:bookmarkStart w:id="1054" w:name="_Toc507491546"/>
            <w:bookmarkStart w:id="1055" w:name="_Toc507518573"/>
            <w:bookmarkStart w:id="1056" w:name="_Toc507767650"/>
            <w:bookmarkStart w:id="1057" w:name="_Toc507768376"/>
            <w:bookmarkStart w:id="1058" w:name="_Toc511115365"/>
            <w:bookmarkStart w:id="1059" w:name="_Toc511308156"/>
            <w:bookmarkStart w:id="1060" w:name="_Toc511998598"/>
            <w:bookmarkStart w:id="1061" w:name="_Toc512420955"/>
            <w:r w:rsidRPr="0094790A">
              <w:rPr>
                <w:rFonts w:ascii="Times New Roman" w:hAnsi="Times New Roman" w:hint="eastAsia"/>
                <w:sz w:val="26"/>
                <w:szCs w:val="26"/>
              </w:rPr>
              <w:t>彰化縣公益彩券盈餘分配基金收支保管及運用辦法</w:t>
            </w:r>
            <w:bookmarkEnd w:id="1052"/>
            <w:bookmarkEnd w:id="1053"/>
            <w:bookmarkEnd w:id="1054"/>
            <w:bookmarkEnd w:id="1055"/>
            <w:bookmarkEnd w:id="1056"/>
            <w:bookmarkEnd w:id="1057"/>
            <w:bookmarkEnd w:id="1058"/>
            <w:bookmarkEnd w:id="1059"/>
            <w:bookmarkEnd w:id="1060"/>
            <w:bookmarkEnd w:id="1061"/>
          </w:p>
        </w:tc>
      </w:tr>
      <w:tr w:rsidR="0040606A" w:rsidTr="00C055EF">
        <w:tc>
          <w:tcPr>
            <w:tcW w:w="1064"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overflowPunct/>
              <w:autoSpaceDE/>
              <w:spacing w:line="300" w:lineRule="exact"/>
              <w:jc w:val="center"/>
              <w:rPr>
                <w:rFonts w:hAnsi="標楷體" w:cs="新細明體"/>
                <w:kern w:val="0"/>
                <w:sz w:val="26"/>
                <w:szCs w:val="26"/>
              </w:rPr>
            </w:pPr>
            <w:r>
              <w:rPr>
                <w:rFonts w:hAnsi="標楷體" w:cs="新細明體" w:hint="eastAsia"/>
                <w:kern w:val="0"/>
                <w:sz w:val="26"/>
                <w:szCs w:val="26"/>
              </w:rPr>
              <w:t>南投縣</w:t>
            </w:r>
          </w:p>
        </w:tc>
        <w:tc>
          <w:tcPr>
            <w:tcW w:w="3178" w:type="dxa"/>
            <w:tcBorders>
              <w:top w:val="single" w:sz="6" w:space="0" w:color="auto"/>
              <w:left w:val="single" w:sz="6" w:space="0" w:color="auto"/>
              <w:bottom w:val="single" w:sz="6" w:space="0" w:color="auto"/>
              <w:right w:val="single" w:sz="6" w:space="0" w:color="auto"/>
            </w:tcBorders>
            <w:hideMark/>
          </w:tcPr>
          <w:p w:rsidR="0040606A" w:rsidRDefault="0040606A" w:rsidP="00C055EF">
            <w:pPr>
              <w:pStyle w:val="3"/>
              <w:numPr>
                <w:ilvl w:val="0"/>
                <w:numId w:val="0"/>
              </w:numPr>
              <w:kinsoku w:val="0"/>
              <w:spacing w:line="300" w:lineRule="exact"/>
              <w:ind w:leftChars="-15" w:left="-51" w:rightChars="-19" w:right="-65"/>
              <w:rPr>
                <w:rFonts w:ascii="Times New Roman" w:hAnsi="Times New Roman"/>
                <w:spacing w:val="-10"/>
                <w:sz w:val="26"/>
                <w:szCs w:val="26"/>
              </w:rPr>
            </w:pPr>
            <w:bookmarkStart w:id="1062" w:name="_Toc507403610"/>
            <w:bookmarkStart w:id="1063" w:name="_Toc507484723"/>
            <w:bookmarkStart w:id="1064" w:name="_Toc507491547"/>
            <w:bookmarkStart w:id="1065" w:name="_Toc507518574"/>
            <w:bookmarkStart w:id="1066" w:name="_Toc507767651"/>
            <w:bookmarkStart w:id="1067" w:name="_Toc507768377"/>
            <w:bookmarkStart w:id="1068" w:name="_Toc511115366"/>
            <w:bookmarkStart w:id="1069" w:name="_Toc511308157"/>
            <w:bookmarkStart w:id="1070" w:name="_Toc511998599"/>
            <w:bookmarkStart w:id="1071" w:name="_Toc512420956"/>
            <w:r>
              <w:rPr>
                <w:rFonts w:ascii="Times New Roman" w:hAnsi="Times New Roman" w:hint="eastAsia"/>
                <w:spacing w:val="-10"/>
                <w:sz w:val="26"/>
                <w:szCs w:val="26"/>
              </w:rPr>
              <w:t>南投縣公益彩券盈餘管理委員會</w:t>
            </w:r>
            <w:bookmarkEnd w:id="1062"/>
            <w:bookmarkEnd w:id="1063"/>
            <w:bookmarkEnd w:id="1064"/>
            <w:bookmarkEnd w:id="1065"/>
            <w:bookmarkEnd w:id="1066"/>
            <w:bookmarkEnd w:id="1067"/>
            <w:bookmarkEnd w:id="1068"/>
            <w:bookmarkEnd w:id="1069"/>
            <w:bookmarkEnd w:id="1070"/>
            <w:bookmarkEnd w:id="1071"/>
          </w:p>
        </w:tc>
        <w:tc>
          <w:tcPr>
            <w:tcW w:w="3457" w:type="dxa"/>
            <w:tcBorders>
              <w:top w:val="single" w:sz="6" w:space="0" w:color="auto"/>
              <w:left w:val="single" w:sz="6" w:space="0" w:color="auto"/>
              <w:bottom w:val="single" w:sz="6" w:space="0" w:color="auto"/>
              <w:right w:val="single" w:sz="6" w:space="0" w:color="auto"/>
            </w:tcBorders>
            <w:hideMark/>
          </w:tcPr>
          <w:p w:rsidR="0040606A" w:rsidRPr="0094790A" w:rsidRDefault="0040606A" w:rsidP="00C055EF">
            <w:pPr>
              <w:pStyle w:val="3"/>
              <w:numPr>
                <w:ilvl w:val="0"/>
                <w:numId w:val="0"/>
              </w:numPr>
              <w:kinsoku w:val="0"/>
              <w:spacing w:line="300" w:lineRule="exact"/>
              <w:ind w:leftChars="-15" w:left="-51" w:rightChars="-19" w:right="-65"/>
              <w:rPr>
                <w:rFonts w:ascii="Times New Roman" w:hAnsi="Times New Roman"/>
                <w:sz w:val="26"/>
                <w:szCs w:val="26"/>
              </w:rPr>
            </w:pPr>
            <w:bookmarkStart w:id="1072" w:name="_Toc507403611"/>
            <w:bookmarkStart w:id="1073" w:name="_Toc507484724"/>
            <w:bookmarkStart w:id="1074" w:name="_Toc507491548"/>
            <w:bookmarkStart w:id="1075" w:name="_Toc507518575"/>
            <w:bookmarkStart w:id="1076" w:name="_Toc507767652"/>
            <w:bookmarkStart w:id="1077" w:name="_Toc507768378"/>
            <w:bookmarkStart w:id="1078" w:name="_Toc511115367"/>
            <w:bookmarkStart w:id="1079" w:name="_Toc511308158"/>
            <w:bookmarkStart w:id="1080" w:name="_Toc511998600"/>
            <w:bookmarkStart w:id="1081" w:name="_Toc512420957"/>
            <w:r w:rsidRPr="0094790A">
              <w:rPr>
                <w:rFonts w:ascii="Times New Roman" w:hAnsi="Times New Roman" w:hint="eastAsia"/>
                <w:sz w:val="26"/>
                <w:szCs w:val="26"/>
              </w:rPr>
              <w:t>南投縣公益彩券盈餘管理委員會設置要點</w:t>
            </w:r>
            <w:bookmarkEnd w:id="1072"/>
            <w:bookmarkEnd w:id="1073"/>
            <w:bookmarkEnd w:id="1074"/>
            <w:bookmarkEnd w:id="1075"/>
            <w:bookmarkEnd w:id="1076"/>
            <w:bookmarkEnd w:id="1077"/>
            <w:bookmarkEnd w:id="1078"/>
            <w:bookmarkEnd w:id="1079"/>
            <w:bookmarkEnd w:id="1080"/>
            <w:bookmarkEnd w:id="1081"/>
          </w:p>
        </w:tc>
      </w:tr>
      <w:tr w:rsidR="0040606A" w:rsidTr="00C055EF">
        <w:tc>
          <w:tcPr>
            <w:tcW w:w="1064"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overflowPunct/>
              <w:autoSpaceDE/>
              <w:spacing w:line="300" w:lineRule="exact"/>
              <w:jc w:val="center"/>
              <w:rPr>
                <w:rFonts w:hAnsi="標楷體" w:cs="新細明體"/>
                <w:kern w:val="0"/>
                <w:sz w:val="26"/>
                <w:szCs w:val="26"/>
              </w:rPr>
            </w:pPr>
            <w:r>
              <w:rPr>
                <w:rFonts w:hAnsi="標楷體" w:cs="新細明體" w:hint="eastAsia"/>
                <w:kern w:val="0"/>
                <w:sz w:val="26"/>
                <w:szCs w:val="26"/>
              </w:rPr>
              <w:t>雲林縣</w:t>
            </w:r>
          </w:p>
        </w:tc>
        <w:tc>
          <w:tcPr>
            <w:tcW w:w="3178" w:type="dxa"/>
            <w:tcBorders>
              <w:top w:val="single" w:sz="6" w:space="0" w:color="auto"/>
              <w:left w:val="single" w:sz="6" w:space="0" w:color="auto"/>
              <w:bottom w:val="single" w:sz="6" w:space="0" w:color="auto"/>
              <w:right w:val="single" w:sz="6" w:space="0" w:color="auto"/>
            </w:tcBorders>
            <w:hideMark/>
          </w:tcPr>
          <w:p w:rsidR="0040606A" w:rsidRDefault="0040606A" w:rsidP="00C055EF">
            <w:pPr>
              <w:pStyle w:val="3"/>
              <w:numPr>
                <w:ilvl w:val="0"/>
                <w:numId w:val="0"/>
              </w:numPr>
              <w:kinsoku w:val="0"/>
              <w:spacing w:line="300" w:lineRule="exact"/>
              <w:ind w:leftChars="-15" w:left="-51" w:rightChars="-19" w:right="-65"/>
              <w:rPr>
                <w:rFonts w:ascii="Times New Roman" w:hAnsi="Times New Roman"/>
                <w:spacing w:val="-10"/>
                <w:sz w:val="26"/>
                <w:szCs w:val="26"/>
              </w:rPr>
            </w:pPr>
            <w:bookmarkStart w:id="1082" w:name="_Toc507403612"/>
            <w:bookmarkStart w:id="1083" w:name="_Toc507484725"/>
            <w:bookmarkStart w:id="1084" w:name="_Toc507491549"/>
            <w:bookmarkStart w:id="1085" w:name="_Toc507518576"/>
            <w:bookmarkStart w:id="1086" w:name="_Toc507767653"/>
            <w:bookmarkStart w:id="1087" w:name="_Toc507768379"/>
            <w:bookmarkStart w:id="1088" w:name="_Toc511115368"/>
            <w:bookmarkStart w:id="1089" w:name="_Toc511308159"/>
            <w:bookmarkStart w:id="1090" w:name="_Toc511998601"/>
            <w:bookmarkStart w:id="1091" w:name="_Toc512420958"/>
            <w:r w:rsidRPr="0094790A">
              <w:rPr>
                <w:rFonts w:ascii="Times New Roman" w:hAnsi="Times New Roman" w:hint="eastAsia"/>
                <w:spacing w:val="-20"/>
                <w:sz w:val="26"/>
                <w:szCs w:val="26"/>
              </w:rPr>
              <w:t>雲林縣</w:t>
            </w:r>
            <w:r w:rsidR="0094790A" w:rsidRPr="0094790A">
              <w:rPr>
                <w:rFonts w:ascii="Times New Roman" w:hAnsi="Times New Roman" w:hint="eastAsia"/>
                <w:spacing w:val="-20"/>
                <w:sz w:val="26"/>
                <w:szCs w:val="26"/>
              </w:rPr>
              <w:t>公益彩券盈餘分配款</w:t>
            </w:r>
            <w:r w:rsidR="0094790A" w:rsidRPr="0094790A">
              <w:rPr>
                <w:rFonts w:ascii="Times New Roman" w:hAnsi="Times New Roman" w:hint="eastAsia"/>
                <w:spacing w:val="-10"/>
                <w:sz w:val="26"/>
                <w:szCs w:val="26"/>
              </w:rPr>
              <w:t>專戶管理委員</w:t>
            </w:r>
            <w:r>
              <w:rPr>
                <w:rFonts w:ascii="Times New Roman" w:hAnsi="Times New Roman" w:hint="eastAsia"/>
                <w:spacing w:val="-10"/>
                <w:sz w:val="26"/>
                <w:szCs w:val="26"/>
              </w:rPr>
              <w:t>會</w:t>
            </w:r>
            <w:bookmarkEnd w:id="1082"/>
            <w:bookmarkEnd w:id="1083"/>
            <w:bookmarkEnd w:id="1084"/>
            <w:bookmarkEnd w:id="1085"/>
            <w:bookmarkEnd w:id="1086"/>
            <w:bookmarkEnd w:id="1087"/>
            <w:bookmarkEnd w:id="1088"/>
            <w:bookmarkEnd w:id="1089"/>
            <w:bookmarkEnd w:id="1090"/>
            <w:bookmarkEnd w:id="1091"/>
          </w:p>
        </w:tc>
        <w:tc>
          <w:tcPr>
            <w:tcW w:w="3457" w:type="dxa"/>
            <w:tcBorders>
              <w:top w:val="single" w:sz="6" w:space="0" w:color="auto"/>
              <w:left w:val="single" w:sz="6" w:space="0" w:color="auto"/>
              <w:bottom w:val="single" w:sz="6" w:space="0" w:color="auto"/>
              <w:right w:val="single" w:sz="6" w:space="0" w:color="auto"/>
            </w:tcBorders>
            <w:hideMark/>
          </w:tcPr>
          <w:p w:rsidR="0040606A" w:rsidRDefault="0040606A" w:rsidP="00C055EF">
            <w:pPr>
              <w:pStyle w:val="3"/>
              <w:numPr>
                <w:ilvl w:val="0"/>
                <w:numId w:val="0"/>
              </w:numPr>
              <w:kinsoku w:val="0"/>
              <w:spacing w:line="300" w:lineRule="exact"/>
              <w:ind w:leftChars="-15" w:left="-51" w:rightChars="-19" w:right="-65"/>
              <w:rPr>
                <w:rFonts w:ascii="Times New Roman" w:hAnsi="Times New Roman"/>
                <w:spacing w:val="-10"/>
                <w:sz w:val="26"/>
                <w:szCs w:val="26"/>
              </w:rPr>
            </w:pPr>
            <w:bookmarkStart w:id="1092" w:name="_Toc507403613"/>
            <w:bookmarkStart w:id="1093" w:name="_Toc507484726"/>
            <w:bookmarkStart w:id="1094" w:name="_Toc507491550"/>
            <w:bookmarkStart w:id="1095" w:name="_Toc507518577"/>
            <w:bookmarkStart w:id="1096" w:name="_Toc507767654"/>
            <w:bookmarkStart w:id="1097" w:name="_Toc507768380"/>
            <w:bookmarkStart w:id="1098" w:name="_Toc511115369"/>
            <w:bookmarkStart w:id="1099" w:name="_Toc511308160"/>
            <w:bookmarkStart w:id="1100" w:name="_Toc511998602"/>
            <w:bookmarkStart w:id="1101" w:name="_Toc512420959"/>
            <w:r>
              <w:rPr>
                <w:rFonts w:ascii="Times New Roman" w:hAnsi="Times New Roman" w:hint="eastAsia"/>
                <w:spacing w:val="-10"/>
                <w:sz w:val="26"/>
                <w:szCs w:val="26"/>
              </w:rPr>
              <w:t>雲林縣公益彩券盈餘分配款專戶管理委員會組織規程</w:t>
            </w:r>
            <w:bookmarkEnd w:id="1092"/>
            <w:bookmarkEnd w:id="1093"/>
            <w:bookmarkEnd w:id="1094"/>
            <w:bookmarkEnd w:id="1095"/>
            <w:bookmarkEnd w:id="1096"/>
            <w:bookmarkEnd w:id="1097"/>
            <w:bookmarkEnd w:id="1098"/>
            <w:bookmarkEnd w:id="1099"/>
            <w:bookmarkEnd w:id="1100"/>
            <w:bookmarkEnd w:id="1101"/>
          </w:p>
        </w:tc>
      </w:tr>
      <w:tr w:rsidR="0040606A" w:rsidTr="00C055EF">
        <w:tc>
          <w:tcPr>
            <w:tcW w:w="1064"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overflowPunct/>
              <w:autoSpaceDE/>
              <w:spacing w:line="300" w:lineRule="exact"/>
              <w:jc w:val="center"/>
              <w:rPr>
                <w:rFonts w:hAnsi="標楷體" w:cs="新細明體"/>
                <w:kern w:val="0"/>
                <w:sz w:val="26"/>
                <w:szCs w:val="26"/>
              </w:rPr>
            </w:pPr>
            <w:r>
              <w:rPr>
                <w:rFonts w:hAnsi="標楷體" w:cs="新細明體" w:hint="eastAsia"/>
                <w:kern w:val="0"/>
                <w:sz w:val="26"/>
                <w:szCs w:val="26"/>
              </w:rPr>
              <w:t>嘉義縣</w:t>
            </w:r>
          </w:p>
        </w:tc>
        <w:tc>
          <w:tcPr>
            <w:tcW w:w="3178" w:type="dxa"/>
            <w:tcBorders>
              <w:top w:val="single" w:sz="6" w:space="0" w:color="auto"/>
              <w:left w:val="single" w:sz="6" w:space="0" w:color="auto"/>
              <w:bottom w:val="single" w:sz="6" w:space="0" w:color="auto"/>
              <w:right w:val="single" w:sz="6" w:space="0" w:color="auto"/>
            </w:tcBorders>
            <w:hideMark/>
          </w:tcPr>
          <w:p w:rsidR="0040606A" w:rsidRDefault="0040606A" w:rsidP="00C055EF">
            <w:pPr>
              <w:pStyle w:val="3"/>
              <w:numPr>
                <w:ilvl w:val="0"/>
                <w:numId w:val="0"/>
              </w:numPr>
              <w:kinsoku w:val="0"/>
              <w:spacing w:line="300" w:lineRule="exact"/>
              <w:ind w:leftChars="-15" w:left="-51" w:rightChars="-19" w:right="-65"/>
              <w:rPr>
                <w:rFonts w:ascii="Times New Roman" w:hAnsi="Times New Roman"/>
                <w:spacing w:val="-10"/>
                <w:sz w:val="26"/>
                <w:szCs w:val="26"/>
              </w:rPr>
            </w:pPr>
            <w:bookmarkStart w:id="1102" w:name="_Toc507403614"/>
            <w:bookmarkStart w:id="1103" w:name="_Toc507484727"/>
            <w:bookmarkStart w:id="1104" w:name="_Toc507491551"/>
            <w:bookmarkStart w:id="1105" w:name="_Toc507518578"/>
            <w:bookmarkStart w:id="1106" w:name="_Toc507767655"/>
            <w:bookmarkStart w:id="1107" w:name="_Toc507768381"/>
            <w:bookmarkStart w:id="1108" w:name="_Toc511115370"/>
            <w:bookmarkStart w:id="1109" w:name="_Toc511308161"/>
            <w:bookmarkStart w:id="1110" w:name="_Toc511998603"/>
            <w:bookmarkStart w:id="1111" w:name="_Toc512420960"/>
            <w:r>
              <w:rPr>
                <w:rFonts w:ascii="Times New Roman" w:hAnsi="Times New Roman" w:hint="eastAsia"/>
                <w:spacing w:val="-10"/>
                <w:sz w:val="26"/>
                <w:szCs w:val="26"/>
              </w:rPr>
              <w:t>嘉義縣公益彩券盈餘管理委員會</w:t>
            </w:r>
            <w:bookmarkEnd w:id="1102"/>
            <w:bookmarkEnd w:id="1103"/>
            <w:bookmarkEnd w:id="1104"/>
            <w:bookmarkEnd w:id="1105"/>
            <w:bookmarkEnd w:id="1106"/>
            <w:bookmarkEnd w:id="1107"/>
            <w:bookmarkEnd w:id="1108"/>
            <w:bookmarkEnd w:id="1109"/>
            <w:bookmarkEnd w:id="1110"/>
            <w:bookmarkEnd w:id="1111"/>
          </w:p>
        </w:tc>
        <w:tc>
          <w:tcPr>
            <w:tcW w:w="3457" w:type="dxa"/>
            <w:tcBorders>
              <w:top w:val="single" w:sz="6" w:space="0" w:color="auto"/>
              <w:left w:val="single" w:sz="6" w:space="0" w:color="auto"/>
              <w:bottom w:val="single" w:sz="6" w:space="0" w:color="auto"/>
              <w:right w:val="single" w:sz="6" w:space="0" w:color="auto"/>
            </w:tcBorders>
            <w:hideMark/>
          </w:tcPr>
          <w:p w:rsidR="0040606A" w:rsidRDefault="0040606A" w:rsidP="00C055EF">
            <w:pPr>
              <w:pStyle w:val="3"/>
              <w:numPr>
                <w:ilvl w:val="0"/>
                <w:numId w:val="0"/>
              </w:numPr>
              <w:kinsoku w:val="0"/>
              <w:spacing w:line="300" w:lineRule="exact"/>
              <w:ind w:leftChars="-15" w:left="-51" w:rightChars="-19" w:right="-65"/>
              <w:rPr>
                <w:rFonts w:ascii="Times New Roman" w:hAnsi="Times New Roman"/>
                <w:spacing w:val="-10"/>
                <w:sz w:val="26"/>
                <w:szCs w:val="26"/>
              </w:rPr>
            </w:pPr>
            <w:bookmarkStart w:id="1112" w:name="_Toc507403615"/>
            <w:bookmarkStart w:id="1113" w:name="_Toc507484728"/>
            <w:bookmarkStart w:id="1114" w:name="_Toc507491552"/>
            <w:bookmarkStart w:id="1115" w:name="_Toc507518579"/>
            <w:bookmarkStart w:id="1116" w:name="_Toc507767656"/>
            <w:bookmarkStart w:id="1117" w:name="_Toc507768382"/>
            <w:bookmarkStart w:id="1118" w:name="_Toc511115371"/>
            <w:bookmarkStart w:id="1119" w:name="_Toc511308162"/>
            <w:bookmarkStart w:id="1120" w:name="_Toc511998604"/>
            <w:bookmarkStart w:id="1121" w:name="_Toc512420961"/>
            <w:r w:rsidRPr="00C52751">
              <w:rPr>
                <w:rFonts w:ascii="Times New Roman" w:hAnsi="Times New Roman" w:hint="eastAsia"/>
                <w:sz w:val="26"/>
                <w:szCs w:val="26"/>
              </w:rPr>
              <w:t>嘉義縣公益彩券盈餘分配收支</w:t>
            </w:r>
            <w:r w:rsidRPr="00C52751">
              <w:rPr>
                <w:rFonts w:ascii="Times New Roman" w:hAnsi="Times New Roman" w:hint="eastAsia"/>
                <w:spacing w:val="-10"/>
                <w:sz w:val="26"/>
                <w:szCs w:val="26"/>
              </w:rPr>
              <w:t>運用要點</w:t>
            </w:r>
            <w:bookmarkEnd w:id="1112"/>
            <w:bookmarkEnd w:id="1113"/>
            <w:bookmarkEnd w:id="1114"/>
            <w:bookmarkEnd w:id="1115"/>
            <w:bookmarkEnd w:id="1116"/>
            <w:bookmarkEnd w:id="1117"/>
            <w:bookmarkEnd w:id="1118"/>
            <w:bookmarkEnd w:id="1119"/>
            <w:bookmarkEnd w:id="1120"/>
            <w:bookmarkEnd w:id="1121"/>
          </w:p>
        </w:tc>
      </w:tr>
      <w:tr w:rsidR="0040606A" w:rsidTr="00C055EF">
        <w:tc>
          <w:tcPr>
            <w:tcW w:w="1064"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overflowPunct/>
              <w:autoSpaceDE/>
              <w:spacing w:line="300" w:lineRule="exact"/>
              <w:jc w:val="center"/>
              <w:rPr>
                <w:rFonts w:hAnsi="標楷體" w:cs="新細明體"/>
                <w:kern w:val="0"/>
                <w:sz w:val="26"/>
                <w:szCs w:val="26"/>
              </w:rPr>
            </w:pPr>
            <w:r>
              <w:rPr>
                <w:rFonts w:hAnsi="標楷體" w:cs="新細明體" w:hint="eastAsia"/>
                <w:kern w:val="0"/>
                <w:sz w:val="26"/>
                <w:szCs w:val="26"/>
              </w:rPr>
              <w:t>嘉義市</w:t>
            </w:r>
          </w:p>
        </w:tc>
        <w:tc>
          <w:tcPr>
            <w:tcW w:w="3178" w:type="dxa"/>
            <w:tcBorders>
              <w:top w:val="single" w:sz="6" w:space="0" w:color="auto"/>
              <w:left w:val="single" w:sz="6" w:space="0" w:color="auto"/>
              <w:bottom w:val="single" w:sz="6" w:space="0" w:color="auto"/>
              <w:right w:val="single" w:sz="6" w:space="0" w:color="auto"/>
            </w:tcBorders>
            <w:hideMark/>
          </w:tcPr>
          <w:p w:rsidR="0040606A" w:rsidRDefault="00AC7D66" w:rsidP="00C055EF">
            <w:pPr>
              <w:pStyle w:val="3"/>
              <w:numPr>
                <w:ilvl w:val="0"/>
                <w:numId w:val="0"/>
              </w:numPr>
              <w:kinsoku w:val="0"/>
              <w:spacing w:line="300" w:lineRule="exact"/>
              <w:ind w:leftChars="-15" w:left="-51" w:rightChars="-19" w:right="-65"/>
              <w:rPr>
                <w:rFonts w:ascii="Times New Roman" w:hAnsi="Times New Roman"/>
                <w:spacing w:val="-10"/>
                <w:sz w:val="26"/>
                <w:szCs w:val="26"/>
              </w:rPr>
            </w:pPr>
            <w:bookmarkStart w:id="1122" w:name="_Toc512420962"/>
            <w:r w:rsidRPr="00AC7D66">
              <w:rPr>
                <w:rFonts w:ascii="Times New Roman" w:hAnsi="Times New Roman" w:hint="eastAsia"/>
                <w:spacing w:val="-10"/>
                <w:sz w:val="26"/>
                <w:szCs w:val="26"/>
              </w:rPr>
              <w:t>嘉義市政府公益彩券盈餘管理委員會</w:t>
            </w:r>
            <w:bookmarkEnd w:id="1122"/>
          </w:p>
        </w:tc>
        <w:tc>
          <w:tcPr>
            <w:tcW w:w="3457" w:type="dxa"/>
            <w:tcBorders>
              <w:top w:val="single" w:sz="6" w:space="0" w:color="auto"/>
              <w:left w:val="single" w:sz="6" w:space="0" w:color="auto"/>
              <w:bottom w:val="single" w:sz="6" w:space="0" w:color="auto"/>
              <w:right w:val="single" w:sz="6" w:space="0" w:color="auto"/>
            </w:tcBorders>
            <w:hideMark/>
          </w:tcPr>
          <w:p w:rsidR="0040606A" w:rsidRDefault="0040606A" w:rsidP="00C055EF">
            <w:pPr>
              <w:pStyle w:val="3"/>
              <w:numPr>
                <w:ilvl w:val="0"/>
                <w:numId w:val="0"/>
              </w:numPr>
              <w:kinsoku w:val="0"/>
              <w:spacing w:line="300" w:lineRule="exact"/>
              <w:ind w:leftChars="-15" w:left="-51" w:rightChars="-19" w:right="-65"/>
              <w:rPr>
                <w:rFonts w:ascii="Times New Roman" w:hAnsi="Times New Roman"/>
                <w:spacing w:val="-10"/>
                <w:sz w:val="26"/>
                <w:szCs w:val="26"/>
              </w:rPr>
            </w:pPr>
            <w:bookmarkStart w:id="1123" w:name="_Toc507403617"/>
            <w:bookmarkStart w:id="1124" w:name="_Toc507484730"/>
            <w:bookmarkStart w:id="1125" w:name="_Toc507491554"/>
            <w:bookmarkStart w:id="1126" w:name="_Toc507518581"/>
            <w:bookmarkStart w:id="1127" w:name="_Toc507767658"/>
            <w:bookmarkStart w:id="1128" w:name="_Toc507768384"/>
            <w:bookmarkStart w:id="1129" w:name="_Toc511115373"/>
            <w:bookmarkStart w:id="1130" w:name="_Toc511308164"/>
            <w:bookmarkStart w:id="1131" w:name="_Toc511998606"/>
            <w:bookmarkStart w:id="1132" w:name="_Toc512420963"/>
            <w:r w:rsidRPr="00AC7D66">
              <w:rPr>
                <w:rFonts w:ascii="Times New Roman" w:hAnsi="Times New Roman" w:hint="eastAsia"/>
                <w:sz w:val="26"/>
                <w:szCs w:val="26"/>
              </w:rPr>
              <w:t>嘉義市政府公益彩券</w:t>
            </w:r>
            <w:r w:rsidR="0094790A" w:rsidRPr="00AC7D66">
              <w:rPr>
                <w:rFonts w:ascii="Times New Roman" w:hAnsi="Times New Roman" w:hint="eastAsia"/>
                <w:sz w:val="26"/>
                <w:szCs w:val="26"/>
              </w:rPr>
              <w:t>盈餘</w:t>
            </w:r>
            <w:r w:rsidRPr="00AC7D66">
              <w:rPr>
                <w:rFonts w:ascii="Times New Roman" w:hAnsi="Times New Roman" w:hint="eastAsia"/>
                <w:sz w:val="26"/>
                <w:szCs w:val="26"/>
              </w:rPr>
              <w:t>管理</w:t>
            </w:r>
            <w:r>
              <w:rPr>
                <w:rFonts w:ascii="Times New Roman" w:hAnsi="Times New Roman" w:hint="eastAsia"/>
                <w:spacing w:val="-10"/>
                <w:sz w:val="26"/>
                <w:szCs w:val="26"/>
              </w:rPr>
              <w:t>委員會設置要點</w:t>
            </w:r>
            <w:bookmarkEnd w:id="1123"/>
            <w:bookmarkEnd w:id="1124"/>
            <w:bookmarkEnd w:id="1125"/>
            <w:bookmarkEnd w:id="1126"/>
            <w:bookmarkEnd w:id="1127"/>
            <w:bookmarkEnd w:id="1128"/>
            <w:bookmarkEnd w:id="1129"/>
            <w:bookmarkEnd w:id="1130"/>
            <w:bookmarkEnd w:id="1131"/>
            <w:bookmarkEnd w:id="1132"/>
          </w:p>
        </w:tc>
      </w:tr>
      <w:tr w:rsidR="0040606A" w:rsidTr="00C055EF">
        <w:tc>
          <w:tcPr>
            <w:tcW w:w="1064"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overflowPunct/>
              <w:autoSpaceDE/>
              <w:spacing w:line="300" w:lineRule="exact"/>
              <w:jc w:val="center"/>
              <w:rPr>
                <w:rFonts w:hAnsi="標楷體" w:cs="新細明體"/>
                <w:kern w:val="0"/>
                <w:sz w:val="26"/>
                <w:szCs w:val="26"/>
              </w:rPr>
            </w:pPr>
            <w:r>
              <w:rPr>
                <w:rFonts w:hAnsi="標楷體" w:cs="新細明體" w:hint="eastAsia"/>
                <w:kern w:val="0"/>
                <w:sz w:val="26"/>
                <w:szCs w:val="26"/>
              </w:rPr>
              <w:t>屏東縣</w:t>
            </w:r>
          </w:p>
        </w:tc>
        <w:tc>
          <w:tcPr>
            <w:tcW w:w="3178" w:type="dxa"/>
            <w:tcBorders>
              <w:top w:val="single" w:sz="6" w:space="0" w:color="auto"/>
              <w:left w:val="single" w:sz="6" w:space="0" w:color="auto"/>
              <w:bottom w:val="single" w:sz="6" w:space="0" w:color="auto"/>
              <w:right w:val="single" w:sz="6" w:space="0" w:color="auto"/>
            </w:tcBorders>
            <w:hideMark/>
          </w:tcPr>
          <w:p w:rsidR="0040606A" w:rsidRDefault="00AC7D66" w:rsidP="00C055EF">
            <w:pPr>
              <w:pStyle w:val="3"/>
              <w:numPr>
                <w:ilvl w:val="0"/>
                <w:numId w:val="0"/>
              </w:numPr>
              <w:kinsoku w:val="0"/>
              <w:spacing w:line="300" w:lineRule="exact"/>
              <w:ind w:leftChars="-15" w:left="-51" w:rightChars="-19" w:right="-65"/>
              <w:rPr>
                <w:rFonts w:ascii="Times New Roman" w:hAnsi="Times New Roman"/>
                <w:spacing w:val="-10"/>
                <w:sz w:val="26"/>
                <w:szCs w:val="26"/>
              </w:rPr>
            </w:pPr>
            <w:bookmarkStart w:id="1133" w:name="_Toc512420964"/>
            <w:r w:rsidRPr="00AC7D66">
              <w:rPr>
                <w:rFonts w:ascii="Times New Roman" w:hAnsi="Times New Roman" w:hint="eastAsia"/>
                <w:spacing w:val="-10"/>
                <w:sz w:val="26"/>
                <w:szCs w:val="26"/>
              </w:rPr>
              <w:t>屏東縣公益彩券盈餘分配基金管理委員會</w:t>
            </w:r>
            <w:bookmarkEnd w:id="1133"/>
          </w:p>
        </w:tc>
        <w:tc>
          <w:tcPr>
            <w:tcW w:w="3457" w:type="dxa"/>
            <w:tcBorders>
              <w:top w:val="single" w:sz="6" w:space="0" w:color="auto"/>
              <w:left w:val="single" w:sz="6" w:space="0" w:color="auto"/>
              <w:bottom w:val="single" w:sz="6" w:space="0" w:color="auto"/>
              <w:right w:val="single" w:sz="6" w:space="0" w:color="auto"/>
            </w:tcBorders>
            <w:hideMark/>
          </w:tcPr>
          <w:p w:rsidR="0040606A" w:rsidRDefault="00AC7D66" w:rsidP="00C055EF">
            <w:pPr>
              <w:pStyle w:val="3"/>
              <w:numPr>
                <w:ilvl w:val="0"/>
                <w:numId w:val="0"/>
              </w:numPr>
              <w:kinsoku w:val="0"/>
              <w:spacing w:line="300" w:lineRule="exact"/>
              <w:ind w:leftChars="-15" w:left="-51" w:rightChars="-19" w:right="-65"/>
              <w:rPr>
                <w:rFonts w:ascii="Times New Roman" w:hAnsi="Times New Roman"/>
                <w:spacing w:val="-10"/>
                <w:sz w:val="26"/>
                <w:szCs w:val="26"/>
              </w:rPr>
            </w:pPr>
            <w:bookmarkStart w:id="1134" w:name="_Toc512420965"/>
            <w:r w:rsidRPr="00AC7D66">
              <w:rPr>
                <w:rFonts w:ascii="Times New Roman" w:hAnsi="Times New Roman" w:hint="eastAsia"/>
                <w:sz w:val="26"/>
                <w:szCs w:val="26"/>
              </w:rPr>
              <w:t>屏東縣公益彩券盈餘分配基金</w:t>
            </w:r>
            <w:r w:rsidRPr="00AC7D66">
              <w:rPr>
                <w:rFonts w:ascii="Times New Roman" w:hAnsi="Times New Roman" w:hint="eastAsia"/>
                <w:spacing w:val="-10"/>
                <w:sz w:val="26"/>
                <w:szCs w:val="26"/>
              </w:rPr>
              <w:t>收支保管及運用辦法</w:t>
            </w:r>
            <w:bookmarkEnd w:id="1134"/>
          </w:p>
        </w:tc>
      </w:tr>
      <w:tr w:rsidR="0040606A" w:rsidTr="00C055EF">
        <w:tc>
          <w:tcPr>
            <w:tcW w:w="1064"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overflowPunct/>
              <w:autoSpaceDE/>
              <w:spacing w:line="300" w:lineRule="exact"/>
              <w:jc w:val="center"/>
              <w:rPr>
                <w:rFonts w:hAnsi="標楷體" w:cs="新細明體"/>
                <w:kern w:val="0"/>
                <w:sz w:val="26"/>
                <w:szCs w:val="26"/>
              </w:rPr>
            </w:pPr>
            <w:r>
              <w:rPr>
                <w:rFonts w:hAnsi="標楷體" w:cs="新細明體" w:hint="eastAsia"/>
                <w:kern w:val="0"/>
                <w:sz w:val="26"/>
                <w:szCs w:val="26"/>
              </w:rPr>
              <w:t>花蓮縣</w:t>
            </w:r>
          </w:p>
        </w:tc>
        <w:tc>
          <w:tcPr>
            <w:tcW w:w="3178" w:type="dxa"/>
            <w:tcBorders>
              <w:top w:val="single" w:sz="6" w:space="0" w:color="auto"/>
              <w:left w:val="single" w:sz="6" w:space="0" w:color="auto"/>
              <w:bottom w:val="single" w:sz="6" w:space="0" w:color="auto"/>
              <w:right w:val="single" w:sz="6" w:space="0" w:color="auto"/>
            </w:tcBorders>
            <w:hideMark/>
          </w:tcPr>
          <w:p w:rsidR="0040606A" w:rsidRDefault="00AC7D66" w:rsidP="00C055EF">
            <w:pPr>
              <w:pStyle w:val="3"/>
              <w:numPr>
                <w:ilvl w:val="0"/>
                <w:numId w:val="0"/>
              </w:numPr>
              <w:kinsoku w:val="0"/>
              <w:spacing w:line="300" w:lineRule="exact"/>
              <w:ind w:leftChars="-15" w:left="-51" w:rightChars="-19" w:right="-65"/>
              <w:rPr>
                <w:rFonts w:ascii="Times New Roman" w:hAnsi="Times New Roman"/>
                <w:spacing w:val="-10"/>
                <w:sz w:val="26"/>
                <w:szCs w:val="26"/>
              </w:rPr>
            </w:pPr>
            <w:bookmarkStart w:id="1135" w:name="_Toc512420966"/>
            <w:r w:rsidRPr="00AC7D66">
              <w:rPr>
                <w:rFonts w:ascii="Times New Roman" w:hAnsi="Times New Roman" w:hint="eastAsia"/>
                <w:spacing w:val="-10"/>
                <w:sz w:val="26"/>
                <w:szCs w:val="26"/>
              </w:rPr>
              <w:t>花蓮縣公益彩券盈餘分配基金管理委員會</w:t>
            </w:r>
            <w:bookmarkEnd w:id="1135"/>
          </w:p>
        </w:tc>
        <w:tc>
          <w:tcPr>
            <w:tcW w:w="3457" w:type="dxa"/>
            <w:tcBorders>
              <w:top w:val="single" w:sz="6" w:space="0" w:color="auto"/>
              <w:left w:val="single" w:sz="6" w:space="0" w:color="auto"/>
              <w:bottom w:val="single" w:sz="6" w:space="0" w:color="auto"/>
              <w:right w:val="single" w:sz="6" w:space="0" w:color="auto"/>
            </w:tcBorders>
            <w:hideMark/>
          </w:tcPr>
          <w:p w:rsidR="0040606A" w:rsidRDefault="0040606A" w:rsidP="00AC7D66">
            <w:pPr>
              <w:pStyle w:val="3"/>
              <w:numPr>
                <w:ilvl w:val="0"/>
                <w:numId w:val="0"/>
              </w:numPr>
              <w:kinsoku w:val="0"/>
              <w:spacing w:line="300" w:lineRule="exact"/>
              <w:ind w:leftChars="-15" w:left="-51"/>
              <w:rPr>
                <w:rFonts w:ascii="Times New Roman" w:hAnsi="Times New Roman"/>
                <w:spacing w:val="-10"/>
                <w:sz w:val="26"/>
                <w:szCs w:val="26"/>
              </w:rPr>
            </w:pPr>
            <w:bookmarkStart w:id="1136" w:name="_Toc507403621"/>
            <w:bookmarkStart w:id="1137" w:name="_Toc507484734"/>
            <w:bookmarkStart w:id="1138" w:name="_Toc507491558"/>
            <w:bookmarkStart w:id="1139" w:name="_Toc507518585"/>
            <w:bookmarkStart w:id="1140" w:name="_Toc507767662"/>
            <w:bookmarkStart w:id="1141" w:name="_Toc507768388"/>
            <w:bookmarkStart w:id="1142" w:name="_Toc511115377"/>
            <w:bookmarkStart w:id="1143" w:name="_Toc511308168"/>
            <w:bookmarkStart w:id="1144" w:name="_Toc511998610"/>
            <w:bookmarkStart w:id="1145" w:name="_Toc512420967"/>
            <w:r w:rsidRPr="00AC7D66">
              <w:rPr>
                <w:rFonts w:ascii="Times New Roman" w:hAnsi="Times New Roman" w:hint="eastAsia"/>
                <w:sz w:val="26"/>
                <w:szCs w:val="26"/>
              </w:rPr>
              <w:t>花蓮縣公益彩券盈餘分配基</w:t>
            </w:r>
            <w:r w:rsidRPr="00AC7D66">
              <w:rPr>
                <w:rFonts w:ascii="Times New Roman" w:hAnsi="Times New Roman" w:hint="eastAsia"/>
                <w:spacing w:val="-18"/>
                <w:sz w:val="26"/>
                <w:szCs w:val="26"/>
              </w:rPr>
              <w:t>金收支</w:t>
            </w:r>
            <w:r w:rsidR="00AC7D66" w:rsidRPr="00AC7D66">
              <w:rPr>
                <w:rFonts w:ascii="Times New Roman" w:hAnsi="Times New Roman" w:hint="eastAsia"/>
                <w:spacing w:val="-18"/>
                <w:sz w:val="26"/>
                <w:szCs w:val="26"/>
              </w:rPr>
              <w:t>管理及運用</w:t>
            </w:r>
            <w:r w:rsidRPr="00AC7D66">
              <w:rPr>
                <w:rFonts w:ascii="Times New Roman" w:hAnsi="Times New Roman" w:hint="eastAsia"/>
                <w:spacing w:val="-18"/>
                <w:sz w:val="26"/>
                <w:szCs w:val="26"/>
              </w:rPr>
              <w:t>自治條例</w:t>
            </w:r>
            <w:bookmarkEnd w:id="1136"/>
            <w:bookmarkEnd w:id="1137"/>
            <w:bookmarkEnd w:id="1138"/>
            <w:bookmarkEnd w:id="1139"/>
            <w:bookmarkEnd w:id="1140"/>
            <w:bookmarkEnd w:id="1141"/>
            <w:bookmarkEnd w:id="1142"/>
            <w:bookmarkEnd w:id="1143"/>
            <w:bookmarkEnd w:id="1144"/>
            <w:bookmarkEnd w:id="1145"/>
          </w:p>
        </w:tc>
      </w:tr>
      <w:tr w:rsidR="0040606A" w:rsidTr="00C055EF">
        <w:tc>
          <w:tcPr>
            <w:tcW w:w="1064"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overflowPunct/>
              <w:autoSpaceDE/>
              <w:spacing w:line="300" w:lineRule="exact"/>
              <w:jc w:val="center"/>
              <w:rPr>
                <w:rFonts w:hAnsi="標楷體" w:cs="新細明體"/>
                <w:kern w:val="0"/>
                <w:sz w:val="26"/>
                <w:szCs w:val="26"/>
              </w:rPr>
            </w:pPr>
            <w:r>
              <w:rPr>
                <w:rFonts w:hAnsi="標楷體" w:cs="新細明體" w:hint="eastAsia"/>
                <w:kern w:val="0"/>
                <w:sz w:val="26"/>
                <w:szCs w:val="26"/>
              </w:rPr>
              <w:t>臺東縣</w:t>
            </w:r>
          </w:p>
        </w:tc>
        <w:tc>
          <w:tcPr>
            <w:tcW w:w="3178" w:type="dxa"/>
            <w:tcBorders>
              <w:top w:val="single" w:sz="6" w:space="0" w:color="auto"/>
              <w:left w:val="single" w:sz="6" w:space="0" w:color="auto"/>
              <w:bottom w:val="single" w:sz="6" w:space="0" w:color="auto"/>
              <w:right w:val="single" w:sz="6" w:space="0" w:color="auto"/>
            </w:tcBorders>
            <w:hideMark/>
          </w:tcPr>
          <w:p w:rsidR="0040606A" w:rsidRDefault="0040606A" w:rsidP="00C055EF">
            <w:pPr>
              <w:pStyle w:val="3"/>
              <w:numPr>
                <w:ilvl w:val="0"/>
                <w:numId w:val="0"/>
              </w:numPr>
              <w:kinsoku w:val="0"/>
              <w:spacing w:line="300" w:lineRule="exact"/>
              <w:ind w:leftChars="-15" w:left="-51" w:rightChars="-19" w:right="-65"/>
              <w:rPr>
                <w:rFonts w:ascii="Times New Roman" w:hAnsi="Times New Roman"/>
                <w:spacing w:val="-10"/>
                <w:sz w:val="26"/>
                <w:szCs w:val="26"/>
              </w:rPr>
            </w:pPr>
            <w:bookmarkStart w:id="1146" w:name="_Toc507403622"/>
            <w:bookmarkStart w:id="1147" w:name="_Toc507484735"/>
            <w:bookmarkStart w:id="1148" w:name="_Toc507491559"/>
            <w:bookmarkStart w:id="1149" w:name="_Toc507518586"/>
            <w:bookmarkStart w:id="1150" w:name="_Toc507767663"/>
            <w:bookmarkStart w:id="1151" w:name="_Toc507768389"/>
            <w:bookmarkStart w:id="1152" w:name="_Toc511115378"/>
            <w:bookmarkStart w:id="1153" w:name="_Toc511308169"/>
            <w:bookmarkStart w:id="1154" w:name="_Toc511998611"/>
            <w:bookmarkStart w:id="1155" w:name="_Toc512420968"/>
            <w:r>
              <w:rPr>
                <w:rFonts w:ascii="Times New Roman" w:hAnsi="Times New Roman" w:hint="eastAsia"/>
                <w:spacing w:val="-10"/>
                <w:sz w:val="26"/>
                <w:szCs w:val="26"/>
              </w:rPr>
              <w:t>臺東縣</w:t>
            </w:r>
            <w:r w:rsidR="00AC7D66">
              <w:rPr>
                <w:rFonts w:ascii="Times New Roman" w:hAnsi="Times New Roman" w:hint="eastAsia"/>
                <w:spacing w:val="-10"/>
                <w:sz w:val="26"/>
                <w:szCs w:val="26"/>
              </w:rPr>
              <w:t>政府</w:t>
            </w:r>
            <w:r w:rsidR="00AC7D66" w:rsidRPr="00AC7D66">
              <w:rPr>
                <w:rFonts w:ascii="Times New Roman" w:hAnsi="Times New Roman" w:hint="eastAsia"/>
                <w:spacing w:val="-10"/>
                <w:sz w:val="26"/>
                <w:szCs w:val="26"/>
              </w:rPr>
              <w:t>公益彩券基金管理委員會</w:t>
            </w:r>
            <w:bookmarkEnd w:id="1146"/>
            <w:bookmarkEnd w:id="1147"/>
            <w:bookmarkEnd w:id="1148"/>
            <w:bookmarkEnd w:id="1149"/>
            <w:bookmarkEnd w:id="1150"/>
            <w:bookmarkEnd w:id="1151"/>
            <w:bookmarkEnd w:id="1152"/>
            <w:bookmarkEnd w:id="1153"/>
            <w:bookmarkEnd w:id="1154"/>
            <w:bookmarkEnd w:id="1155"/>
          </w:p>
        </w:tc>
        <w:tc>
          <w:tcPr>
            <w:tcW w:w="3457" w:type="dxa"/>
            <w:tcBorders>
              <w:top w:val="single" w:sz="6" w:space="0" w:color="auto"/>
              <w:left w:val="single" w:sz="6" w:space="0" w:color="auto"/>
              <w:bottom w:val="single" w:sz="6" w:space="0" w:color="auto"/>
              <w:right w:val="single" w:sz="6" w:space="0" w:color="auto"/>
            </w:tcBorders>
            <w:hideMark/>
          </w:tcPr>
          <w:p w:rsidR="0040606A" w:rsidRDefault="0040606A" w:rsidP="00AC7D66">
            <w:pPr>
              <w:pStyle w:val="3"/>
              <w:numPr>
                <w:ilvl w:val="0"/>
                <w:numId w:val="0"/>
              </w:numPr>
              <w:kinsoku w:val="0"/>
              <w:spacing w:line="300" w:lineRule="exact"/>
              <w:ind w:leftChars="-15" w:left="-51"/>
              <w:rPr>
                <w:rFonts w:ascii="Times New Roman" w:hAnsi="Times New Roman"/>
                <w:spacing w:val="-10"/>
                <w:sz w:val="26"/>
                <w:szCs w:val="26"/>
              </w:rPr>
            </w:pPr>
            <w:bookmarkStart w:id="1156" w:name="_Toc507403623"/>
            <w:bookmarkStart w:id="1157" w:name="_Toc507484736"/>
            <w:bookmarkStart w:id="1158" w:name="_Toc507491560"/>
            <w:bookmarkStart w:id="1159" w:name="_Toc507518587"/>
            <w:bookmarkStart w:id="1160" w:name="_Toc507767664"/>
            <w:bookmarkStart w:id="1161" w:name="_Toc507768390"/>
            <w:bookmarkStart w:id="1162" w:name="_Toc511115379"/>
            <w:bookmarkStart w:id="1163" w:name="_Toc511308170"/>
            <w:bookmarkStart w:id="1164" w:name="_Toc511998612"/>
            <w:bookmarkStart w:id="1165" w:name="_Toc512420969"/>
            <w:r w:rsidRPr="00AC7D66">
              <w:rPr>
                <w:rFonts w:ascii="Times New Roman" w:hAnsi="Times New Roman" w:hint="eastAsia"/>
                <w:sz w:val="26"/>
                <w:szCs w:val="26"/>
              </w:rPr>
              <w:t>臺東縣公益彩券</w:t>
            </w:r>
            <w:r w:rsidR="00AC7D66" w:rsidRPr="00AC7D66">
              <w:rPr>
                <w:rFonts w:ascii="Times New Roman" w:hAnsi="Times New Roman" w:hint="eastAsia"/>
                <w:sz w:val="26"/>
                <w:szCs w:val="26"/>
              </w:rPr>
              <w:t>基金</w:t>
            </w:r>
            <w:r w:rsidRPr="00AC7D66">
              <w:rPr>
                <w:rFonts w:ascii="Times New Roman" w:hAnsi="Times New Roman" w:hint="eastAsia"/>
                <w:sz w:val="26"/>
                <w:szCs w:val="26"/>
              </w:rPr>
              <w:t>收支保管</w:t>
            </w:r>
            <w:r>
              <w:rPr>
                <w:rFonts w:ascii="Times New Roman" w:hAnsi="Times New Roman" w:hint="eastAsia"/>
                <w:spacing w:val="-10"/>
                <w:sz w:val="26"/>
                <w:szCs w:val="26"/>
              </w:rPr>
              <w:t>及運用辦法</w:t>
            </w:r>
            <w:bookmarkEnd w:id="1156"/>
            <w:bookmarkEnd w:id="1157"/>
            <w:bookmarkEnd w:id="1158"/>
            <w:bookmarkEnd w:id="1159"/>
            <w:bookmarkEnd w:id="1160"/>
            <w:bookmarkEnd w:id="1161"/>
            <w:bookmarkEnd w:id="1162"/>
            <w:bookmarkEnd w:id="1163"/>
            <w:bookmarkEnd w:id="1164"/>
            <w:bookmarkEnd w:id="1165"/>
          </w:p>
        </w:tc>
      </w:tr>
      <w:tr w:rsidR="0040606A" w:rsidTr="00C055EF">
        <w:tc>
          <w:tcPr>
            <w:tcW w:w="1064"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overflowPunct/>
              <w:autoSpaceDE/>
              <w:spacing w:line="300" w:lineRule="exact"/>
              <w:jc w:val="center"/>
              <w:rPr>
                <w:rFonts w:hAnsi="標楷體" w:cs="新細明體"/>
                <w:kern w:val="0"/>
                <w:sz w:val="26"/>
                <w:szCs w:val="26"/>
              </w:rPr>
            </w:pPr>
            <w:r>
              <w:rPr>
                <w:rFonts w:hAnsi="標楷體" w:cs="新細明體" w:hint="eastAsia"/>
                <w:kern w:val="0"/>
                <w:sz w:val="26"/>
                <w:szCs w:val="26"/>
              </w:rPr>
              <w:t>澎湖縣</w:t>
            </w:r>
          </w:p>
        </w:tc>
        <w:tc>
          <w:tcPr>
            <w:tcW w:w="3178" w:type="dxa"/>
            <w:tcBorders>
              <w:top w:val="single" w:sz="6" w:space="0" w:color="auto"/>
              <w:left w:val="single" w:sz="6" w:space="0" w:color="auto"/>
              <w:bottom w:val="single" w:sz="6" w:space="0" w:color="auto"/>
              <w:right w:val="single" w:sz="6" w:space="0" w:color="auto"/>
            </w:tcBorders>
            <w:hideMark/>
          </w:tcPr>
          <w:p w:rsidR="0040606A" w:rsidRDefault="00AC7D66" w:rsidP="00C055EF">
            <w:pPr>
              <w:pStyle w:val="3"/>
              <w:numPr>
                <w:ilvl w:val="0"/>
                <w:numId w:val="0"/>
              </w:numPr>
              <w:kinsoku w:val="0"/>
              <w:spacing w:line="300" w:lineRule="exact"/>
              <w:ind w:leftChars="-15" w:left="-51" w:rightChars="-19" w:right="-65"/>
              <w:rPr>
                <w:rFonts w:ascii="Times New Roman" w:hAnsi="Times New Roman"/>
                <w:spacing w:val="-10"/>
                <w:sz w:val="26"/>
                <w:szCs w:val="26"/>
              </w:rPr>
            </w:pPr>
            <w:bookmarkStart w:id="1166" w:name="_Toc507403624"/>
            <w:bookmarkStart w:id="1167" w:name="_Toc507484737"/>
            <w:bookmarkStart w:id="1168" w:name="_Toc507491561"/>
            <w:bookmarkStart w:id="1169" w:name="_Toc507518588"/>
            <w:bookmarkStart w:id="1170" w:name="_Toc507767665"/>
            <w:bookmarkStart w:id="1171" w:name="_Toc507768391"/>
            <w:bookmarkStart w:id="1172" w:name="_Toc511115380"/>
            <w:bookmarkStart w:id="1173" w:name="_Toc511308171"/>
            <w:bookmarkStart w:id="1174" w:name="_Toc511998613"/>
            <w:bookmarkStart w:id="1175" w:name="_Toc512420970"/>
            <w:r w:rsidRPr="00AC7D66">
              <w:rPr>
                <w:rFonts w:ascii="Times New Roman" w:hAnsi="Times New Roman" w:hint="eastAsia"/>
                <w:spacing w:val="-10"/>
                <w:sz w:val="26"/>
                <w:szCs w:val="26"/>
              </w:rPr>
              <w:t>澎湖縣公益彩券盈餘分配款管理</w:t>
            </w:r>
            <w:r w:rsidR="0040606A">
              <w:rPr>
                <w:rFonts w:ascii="Times New Roman" w:hAnsi="Times New Roman" w:hint="eastAsia"/>
                <w:spacing w:val="-10"/>
                <w:sz w:val="26"/>
                <w:szCs w:val="26"/>
              </w:rPr>
              <w:t>委員會</w:t>
            </w:r>
            <w:bookmarkEnd w:id="1166"/>
            <w:bookmarkEnd w:id="1167"/>
            <w:bookmarkEnd w:id="1168"/>
            <w:bookmarkEnd w:id="1169"/>
            <w:bookmarkEnd w:id="1170"/>
            <w:bookmarkEnd w:id="1171"/>
            <w:bookmarkEnd w:id="1172"/>
            <w:bookmarkEnd w:id="1173"/>
            <w:bookmarkEnd w:id="1174"/>
            <w:bookmarkEnd w:id="1175"/>
          </w:p>
        </w:tc>
        <w:tc>
          <w:tcPr>
            <w:tcW w:w="3457" w:type="dxa"/>
            <w:tcBorders>
              <w:top w:val="single" w:sz="6" w:space="0" w:color="auto"/>
              <w:left w:val="single" w:sz="6" w:space="0" w:color="auto"/>
              <w:bottom w:val="single" w:sz="6" w:space="0" w:color="auto"/>
              <w:right w:val="single" w:sz="6" w:space="0" w:color="auto"/>
            </w:tcBorders>
            <w:hideMark/>
          </w:tcPr>
          <w:p w:rsidR="0040606A" w:rsidRDefault="0040606A" w:rsidP="00C055EF">
            <w:pPr>
              <w:pStyle w:val="3"/>
              <w:numPr>
                <w:ilvl w:val="0"/>
                <w:numId w:val="0"/>
              </w:numPr>
              <w:kinsoku w:val="0"/>
              <w:spacing w:line="300" w:lineRule="exact"/>
              <w:ind w:leftChars="-15" w:left="-51"/>
              <w:rPr>
                <w:rFonts w:ascii="Times New Roman" w:hAnsi="Times New Roman"/>
                <w:spacing w:val="-10"/>
                <w:sz w:val="26"/>
                <w:szCs w:val="26"/>
              </w:rPr>
            </w:pPr>
            <w:bookmarkStart w:id="1176" w:name="_Toc507403625"/>
            <w:bookmarkStart w:id="1177" w:name="_Toc507484738"/>
            <w:bookmarkStart w:id="1178" w:name="_Toc507491562"/>
            <w:bookmarkStart w:id="1179" w:name="_Toc507518589"/>
            <w:bookmarkStart w:id="1180" w:name="_Toc507767666"/>
            <w:bookmarkStart w:id="1181" w:name="_Toc507768392"/>
            <w:bookmarkStart w:id="1182" w:name="_Toc511115381"/>
            <w:bookmarkStart w:id="1183" w:name="_Toc511308172"/>
            <w:bookmarkStart w:id="1184" w:name="_Toc511998614"/>
            <w:bookmarkStart w:id="1185" w:name="_Toc512420971"/>
            <w:r>
              <w:rPr>
                <w:rFonts w:ascii="Times New Roman" w:hAnsi="Times New Roman" w:hint="eastAsia"/>
                <w:spacing w:val="-10"/>
                <w:sz w:val="26"/>
                <w:szCs w:val="26"/>
              </w:rPr>
              <w:t>澎湖縣公益彩券盈餘分配款收支保管及運用管理辦法</w:t>
            </w:r>
            <w:bookmarkEnd w:id="1176"/>
            <w:bookmarkEnd w:id="1177"/>
            <w:bookmarkEnd w:id="1178"/>
            <w:bookmarkEnd w:id="1179"/>
            <w:bookmarkEnd w:id="1180"/>
            <w:bookmarkEnd w:id="1181"/>
            <w:bookmarkEnd w:id="1182"/>
            <w:bookmarkEnd w:id="1183"/>
            <w:bookmarkEnd w:id="1184"/>
            <w:bookmarkEnd w:id="1185"/>
          </w:p>
        </w:tc>
      </w:tr>
      <w:tr w:rsidR="0040606A" w:rsidTr="00C055EF">
        <w:tc>
          <w:tcPr>
            <w:tcW w:w="1064"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overflowPunct/>
              <w:autoSpaceDE/>
              <w:spacing w:line="300" w:lineRule="exact"/>
              <w:jc w:val="center"/>
              <w:rPr>
                <w:rFonts w:hAnsi="標楷體" w:cs="新細明體"/>
                <w:kern w:val="0"/>
                <w:sz w:val="26"/>
                <w:szCs w:val="26"/>
              </w:rPr>
            </w:pPr>
            <w:r>
              <w:rPr>
                <w:rFonts w:hAnsi="標楷體" w:cs="新細明體" w:hint="eastAsia"/>
                <w:kern w:val="0"/>
                <w:sz w:val="26"/>
                <w:szCs w:val="26"/>
              </w:rPr>
              <w:t>金門縣</w:t>
            </w:r>
          </w:p>
        </w:tc>
        <w:tc>
          <w:tcPr>
            <w:tcW w:w="3178" w:type="dxa"/>
            <w:tcBorders>
              <w:top w:val="single" w:sz="6" w:space="0" w:color="auto"/>
              <w:left w:val="single" w:sz="6" w:space="0" w:color="auto"/>
              <w:bottom w:val="single" w:sz="6" w:space="0" w:color="auto"/>
              <w:right w:val="single" w:sz="6" w:space="0" w:color="auto"/>
            </w:tcBorders>
            <w:hideMark/>
          </w:tcPr>
          <w:p w:rsidR="0040606A" w:rsidRDefault="0040606A" w:rsidP="00C055EF">
            <w:pPr>
              <w:pStyle w:val="3"/>
              <w:numPr>
                <w:ilvl w:val="0"/>
                <w:numId w:val="0"/>
              </w:numPr>
              <w:kinsoku w:val="0"/>
              <w:spacing w:line="300" w:lineRule="exact"/>
              <w:ind w:leftChars="-15" w:left="-51" w:rightChars="-19" w:right="-65"/>
              <w:rPr>
                <w:rFonts w:ascii="Times New Roman" w:hAnsi="Times New Roman"/>
                <w:spacing w:val="-10"/>
                <w:sz w:val="26"/>
                <w:szCs w:val="26"/>
              </w:rPr>
            </w:pPr>
            <w:bookmarkStart w:id="1186" w:name="_Toc507403626"/>
            <w:bookmarkStart w:id="1187" w:name="_Toc507484739"/>
            <w:bookmarkStart w:id="1188" w:name="_Toc507491563"/>
            <w:bookmarkStart w:id="1189" w:name="_Toc507518590"/>
            <w:bookmarkStart w:id="1190" w:name="_Toc507767667"/>
            <w:bookmarkStart w:id="1191" w:name="_Toc507768393"/>
            <w:bookmarkStart w:id="1192" w:name="_Toc511115382"/>
            <w:bookmarkStart w:id="1193" w:name="_Toc511308173"/>
            <w:bookmarkStart w:id="1194" w:name="_Toc511998615"/>
            <w:bookmarkStart w:id="1195" w:name="_Toc512420972"/>
            <w:r>
              <w:rPr>
                <w:rFonts w:ascii="Times New Roman" w:hAnsi="Times New Roman" w:hint="eastAsia"/>
                <w:spacing w:val="-10"/>
                <w:sz w:val="26"/>
                <w:szCs w:val="26"/>
              </w:rPr>
              <w:t>金門縣社會福利基金</w:t>
            </w:r>
            <w:r w:rsidR="00AC7D66" w:rsidRPr="00AC7D66">
              <w:rPr>
                <w:rFonts w:ascii="Times New Roman" w:hAnsi="Times New Roman" w:hint="eastAsia"/>
                <w:spacing w:val="-10"/>
                <w:sz w:val="26"/>
                <w:szCs w:val="26"/>
              </w:rPr>
              <w:t>收支保管及運用</w:t>
            </w:r>
            <w:r>
              <w:rPr>
                <w:rFonts w:ascii="Times New Roman" w:hAnsi="Times New Roman" w:hint="eastAsia"/>
                <w:spacing w:val="-10"/>
                <w:sz w:val="26"/>
                <w:szCs w:val="26"/>
              </w:rPr>
              <w:t>監督委員會</w:t>
            </w:r>
            <w:bookmarkEnd w:id="1186"/>
            <w:bookmarkEnd w:id="1187"/>
            <w:bookmarkEnd w:id="1188"/>
            <w:bookmarkEnd w:id="1189"/>
            <w:bookmarkEnd w:id="1190"/>
            <w:bookmarkEnd w:id="1191"/>
            <w:bookmarkEnd w:id="1192"/>
            <w:bookmarkEnd w:id="1193"/>
            <w:bookmarkEnd w:id="1194"/>
            <w:bookmarkEnd w:id="1195"/>
          </w:p>
        </w:tc>
        <w:tc>
          <w:tcPr>
            <w:tcW w:w="3457" w:type="dxa"/>
            <w:tcBorders>
              <w:top w:val="single" w:sz="6" w:space="0" w:color="auto"/>
              <w:left w:val="single" w:sz="6" w:space="0" w:color="auto"/>
              <w:bottom w:val="single" w:sz="6" w:space="0" w:color="auto"/>
              <w:right w:val="single" w:sz="6" w:space="0" w:color="auto"/>
            </w:tcBorders>
            <w:hideMark/>
          </w:tcPr>
          <w:p w:rsidR="0040606A" w:rsidRDefault="0040606A" w:rsidP="00C055EF">
            <w:pPr>
              <w:pStyle w:val="3"/>
              <w:numPr>
                <w:ilvl w:val="0"/>
                <w:numId w:val="0"/>
              </w:numPr>
              <w:kinsoku w:val="0"/>
              <w:spacing w:line="300" w:lineRule="exact"/>
              <w:ind w:leftChars="-15" w:left="-51"/>
              <w:rPr>
                <w:rFonts w:ascii="Times New Roman" w:hAnsi="Times New Roman"/>
                <w:spacing w:val="-10"/>
                <w:sz w:val="26"/>
                <w:szCs w:val="26"/>
              </w:rPr>
            </w:pPr>
            <w:bookmarkStart w:id="1196" w:name="_Toc507403627"/>
            <w:bookmarkStart w:id="1197" w:name="_Toc507484740"/>
            <w:bookmarkStart w:id="1198" w:name="_Toc507491564"/>
            <w:bookmarkStart w:id="1199" w:name="_Toc507518591"/>
            <w:bookmarkStart w:id="1200" w:name="_Toc507767668"/>
            <w:bookmarkStart w:id="1201" w:name="_Toc507768394"/>
            <w:bookmarkStart w:id="1202" w:name="_Toc511115383"/>
            <w:bookmarkStart w:id="1203" w:name="_Toc511308174"/>
            <w:bookmarkStart w:id="1204" w:name="_Toc511998616"/>
            <w:bookmarkStart w:id="1205" w:name="_Toc512420973"/>
            <w:r w:rsidRPr="00AC7D66">
              <w:rPr>
                <w:rFonts w:ascii="Times New Roman" w:hAnsi="Times New Roman" w:hint="eastAsia"/>
                <w:sz w:val="26"/>
                <w:szCs w:val="26"/>
              </w:rPr>
              <w:t>金門縣社會福利基金收支保管</w:t>
            </w:r>
            <w:r>
              <w:rPr>
                <w:rFonts w:ascii="Times New Roman" w:hAnsi="Times New Roman" w:hint="eastAsia"/>
                <w:spacing w:val="-10"/>
                <w:sz w:val="26"/>
                <w:szCs w:val="26"/>
              </w:rPr>
              <w:t>及運用辦法</w:t>
            </w:r>
            <w:bookmarkEnd w:id="1196"/>
            <w:bookmarkEnd w:id="1197"/>
            <w:bookmarkEnd w:id="1198"/>
            <w:bookmarkEnd w:id="1199"/>
            <w:bookmarkEnd w:id="1200"/>
            <w:bookmarkEnd w:id="1201"/>
            <w:bookmarkEnd w:id="1202"/>
            <w:bookmarkEnd w:id="1203"/>
            <w:bookmarkEnd w:id="1204"/>
            <w:bookmarkEnd w:id="1205"/>
          </w:p>
        </w:tc>
      </w:tr>
      <w:tr w:rsidR="0040606A" w:rsidTr="00C055EF">
        <w:tc>
          <w:tcPr>
            <w:tcW w:w="1064"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overflowPunct/>
              <w:autoSpaceDE/>
              <w:spacing w:line="300" w:lineRule="exact"/>
              <w:jc w:val="center"/>
              <w:rPr>
                <w:rFonts w:hAnsi="標楷體" w:cs="新細明體"/>
                <w:kern w:val="0"/>
                <w:sz w:val="26"/>
                <w:szCs w:val="26"/>
              </w:rPr>
            </w:pPr>
            <w:r>
              <w:rPr>
                <w:rFonts w:hAnsi="標楷體" w:cs="新細明體" w:hint="eastAsia"/>
                <w:kern w:val="0"/>
                <w:sz w:val="26"/>
                <w:szCs w:val="26"/>
              </w:rPr>
              <w:t>連江縣</w:t>
            </w:r>
          </w:p>
        </w:tc>
        <w:tc>
          <w:tcPr>
            <w:tcW w:w="3178" w:type="dxa"/>
            <w:tcBorders>
              <w:top w:val="single" w:sz="6" w:space="0" w:color="auto"/>
              <w:left w:val="single" w:sz="6" w:space="0" w:color="auto"/>
              <w:bottom w:val="single" w:sz="6" w:space="0" w:color="auto"/>
              <w:right w:val="single" w:sz="6" w:space="0" w:color="auto"/>
            </w:tcBorders>
            <w:hideMark/>
          </w:tcPr>
          <w:p w:rsidR="0040606A" w:rsidRDefault="001C1C35" w:rsidP="00C055EF">
            <w:pPr>
              <w:pStyle w:val="3"/>
              <w:numPr>
                <w:ilvl w:val="0"/>
                <w:numId w:val="0"/>
              </w:numPr>
              <w:kinsoku w:val="0"/>
              <w:spacing w:line="300" w:lineRule="exact"/>
              <w:ind w:leftChars="-15" w:left="-51" w:rightChars="-19" w:right="-65"/>
              <w:rPr>
                <w:rFonts w:ascii="Times New Roman" w:hAnsi="Times New Roman"/>
                <w:spacing w:val="-10"/>
                <w:sz w:val="26"/>
                <w:szCs w:val="26"/>
              </w:rPr>
            </w:pPr>
            <w:bookmarkStart w:id="1206" w:name="_Toc512420974"/>
            <w:r w:rsidRPr="001C1C35">
              <w:rPr>
                <w:rFonts w:ascii="Times New Roman" w:hAnsi="Times New Roman" w:hint="eastAsia"/>
                <w:spacing w:val="-10"/>
                <w:sz w:val="26"/>
                <w:szCs w:val="26"/>
              </w:rPr>
              <w:t>連江縣公益彩券盈餘分配基金管理運用委員會</w:t>
            </w:r>
            <w:bookmarkEnd w:id="1206"/>
          </w:p>
        </w:tc>
        <w:tc>
          <w:tcPr>
            <w:tcW w:w="3457" w:type="dxa"/>
            <w:tcBorders>
              <w:top w:val="single" w:sz="6" w:space="0" w:color="auto"/>
              <w:left w:val="single" w:sz="6" w:space="0" w:color="auto"/>
              <w:bottom w:val="single" w:sz="6" w:space="0" w:color="auto"/>
              <w:right w:val="single" w:sz="6" w:space="0" w:color="auto"/>
            </w:tcBorders>
            <w:hideMark/>
          </w:tcPr>
          <w:p w:rsidR="0040606A" w:rsidRDefault="0040606A" w:rsidP="001C1C35">
            <w:pPr>
              <w:pStyle w:val="3"/>
              <w:numPr>
                <w:ilvl w:val="0"/>
                <w:numId w:val="0"/>
              </w:numPr>
              <w:kinsoku w:val="0"/>
              <w:spacing w:line="300" w:lineRule="exact"/>
              <w:ind w:leftChars="-15" w:left="-51"/>
              <w:rPr>
                <w:rFonts w:ascii="Times New Roman" w:hAnsi="Times New Roman"/>
                <w:spacing w:val="-10"/>
                <w:sz w:val="26"/>
                <w:szCs w:val="26"/>
              </w:rPr>
            </w:pPr>
            <w:bookmarkStart w:id="1207" w:name="_Toc507403629"/>
            <w:bookmarkStart w:id="1208" w:name="_Toc507484742"/>
            <w:bookmarkStart w:id="1209" w:name="_Toc507491566"/>
            <w:bookmarkStart w:id="1210" w:name="_Toc507518593"/>
            <w:bookmarkStart w:id="1211" w:name="_Toc507767670"/>
            <w:bookmarkStart w:id="1212" w:name="_Toc507768396"/>
            <w:bookmarkStart w:id="1213" w:name="_Toc511115385"/>
            <w:bookmarkStart w:id="1214" w:name="_Toc511308176"/>
            <w:bookmarkStart w:id="1215" w:name="_Toc511998618"/>
            <w:bookmarkStart w:id="1216" w:name="_Toc512420975"/>
            <w:r w:rsidRPr="001C1C35">
              <w:rPr>
                <w:rFonts w:ascii="Times New Roman" w:hAnsi="Times New Roman" w:hint="eastAsia"/>
                <w:sz w:val="26"/>
                <w:szCs w:val="26"/>
              </w:rPr>
              <w:t>連江縣公益彩券盈餘分配基金</w:t>
            </w:r>
            <w:r>
              <w:rPr>
                <w:rFonts w:ascii="Times New Roman" w:hAnsi="Times New Roman" w:hint="eastAsia"/>
                <w:spacing w:val="-10"/>
                <w:sz w:val="26"/>
                <w:szCs w:val="26"/>
              </w:rPr>
              <w:t>管理運用</w:t>
            </w:r>
            <w:bookmarkEnd w:id="1207"/>
            <w:bookmarkEnd w:id="1208"/>
            <w:bookmarkEnd w:id="1209"/>
            <w:bookmarkEnd w:id="1210"/>
            <w:bookmarkEnd w:id="1211"/>
            <w:bookmarkEnd w:id="1212"/>
            <w:bookmarkEnd w:id="1213"/>
            <w:bookmarkEnd w:id="1214"/>
            <w:bookmarkEnd w:id="1215"/>
            <w:r w:rsidR="001C1C35">
              <w:rPr>
                <w:rFonts w:ascii="Times New Roman" w:hAnsi="Times New Roman" w:hint="eastAsia"/>
                <w:spacing w:val="-10"/>
                <w:sz w:val="26"/>
                <w:szCs w:val="26"/>
              </w:rPr>
              <w:t>辦法</w:t>
            </w:r>
            <w:bookmarkEnd w:id="1216"/>
          </w:p>
        </w:tc>
      </w:tr>
    </w:tbl>
    <w:p w:rsidR="0040606A" w:rsidRDefault="0040606A" w:rsidP="0040606A">
      <w:pPr>
        <w:pStyle w:val="4"/>
        <w:numPr>
          <w:ilvl w:val="0"/>
          <w:numId w:val="0"/>
        </w:numPr>
        <w:kinsoku w:val="0"/>
        <w:spacing w:afterLines="25" w:after="114" w:line="320" w:lineRule="exact"/>
        <w:ind w:leftChars="-1" w:left="-3" w:firstLineChars="528" w:firstLine="1374"/>
        <w:rPr>
          <w:rFonts w:ascii="Times New Roman" w:hAnsi="Times New Roman"/>
          <w:sz w:val="24"/>
          <w:szCs w:val="24"/>
        </w:rPr>
      </w:pPr>
      <w:r>
        <w:rPr>
          <w:rFonts w:ascii="Times New Roman" w:hAnsi="Times New Roman" w:hint="eastAsia"/>
          <w:sz w:val="24"/>
          <w:szCs w:val="24"/>
        </w:rPr>
        <w:t>資料來源：財政部及各地方政府訂定之相關法規。</w:t>
      </w:r>
    </w:p>
    <w:p w:rsidR="0040606A" w:rsidRPr="002E3FD8" w:rsidRDefault="0040606A" w:rsidP="0040606A">
      <w:pPr>
        <w:pStyle w:val="3"/>
        <w:numPr>
          <w:ilvl w:val="2"/>
          <w:numId w:val="9"/>
        </w:numPr>
        <w:topLinePunct/>
        <w:ind w:left="1360" w:hanging="680"/>
        <w:rPr>
          <w:rFonts w:ascii="Times New Roman" w:hAnsi="Times New Roman"/>
        </w:rPr>
      </w:pPr>
      <w:bookmarkStart w:id="1217" w:name="_Toc507518594"/>
      <w:bookmarkStart w:id="1218" w:name="_Toc507491567"/>
      <w:bookmarkStart w:id="1219" w:name="_Toc507484743"/>
      <w:bookmarkStart w:id="1220" w:name="_Toc507403630"/>
      <w:bookmarkStart w:id="1221" w:name="_Toc507767671"/>
      <w:bookmarkStart w:id="1222" w:name="_Toc507768397"/>
      <w:bookmarkStart w:id="1223" w:name="_Toc511115386"/>
      <w:bookmarkStart w:id="1224" w:name="_Toc511308177"/>
      <w:bookmarkStart w:id="1225" w:name="_Toc511998619"/>
      <w:bookmarkStart w:id="1226" w:name="_Toc512420976"/>
      <w:r>
        <w:rPr>
          <w:rFonts w:ascii="Times New Roman" w:hAnsi="Times New Roman" w:hint="eastAsia"/>
        </w:rPr>
        <w:t>如前所述，各縣市公益彩券盈餘管理委員會</w:t>
      </w:r>
      <w:r>
        <w:rPr>
          <w:rFonts w:ascii="Times New Roman" w:hAnsi="Times New Roman"/>
        </w:rPr>
        <w:t>(</w:t>
      </w:r>
      <w:r>
        <w:rPr>
          <w:rFonts w:ascii="Times New Roman" w:hAnsi="Times New Roman" w:hint="eastAsia"/>
        </w:rPr>
        <w:t>小組</w:t>
      </w:r>
      <w:r>
        <w:rPr>
          <w:rFonts w:ascii="Times New Roman" w:hAnsi="Times New Roman"/>
        </w:rPr>
        <w:t>)</w:t>
      </w:r>
      <w:r>
        <w:rPr>
          <w:rFonts w:ascii="Times New Roman" w:hAnsi="Times New Roman" w:hint="eastAsia"/>
        </w:rPr>
        <w:t>之任務主要包括：</w:t>
      </w:r>
      <w:r>
        <w:rPr>
          <w:rFonts w:ascii="Times New Roman" w:hAnsi="Times New Roman"/>
        </w:rPr>
        <w:t>1</w:t>
      </w:r>
      <w:r>
        <w:rPr>
          <w:rFonts w:ascii="Times New Roman" w:hAnsi="Times New Roman" w:hint="eastAsia"/>
        </w:rPr>
        <w:t>、公益彩券盈餘分配基金</w:t>
      </w:r>
      <w:r>
        <w:rPr>
          <w:rFonts w:ascii="Times New Roman" w:hAnsi="Times New Roman"/>
        </w:rPr>
        <w:t>(</w:t>
      </w:r>
      <w:r>
        <w:rPr>
          <w:rFonts w:ascii="Times New Roman" w:hAnsi="Times New Roman" w:hint="eastAsia"/>
        </w:rPr>
        <w:t>分配款</w:t>
      </w:r>
      <w:r>
        <w:rPr>
          <w:rFonts w:ascii="Times New Roman" w:hAnsi="Times New Roman"/>
        </w:rPr>
        <w:t>)</w:t>
      </w:r>
      <w:r>
        <w:rPr>
          <w:rFonts w:ascii="Times New Roman" w:hAnsi="Times New Roman" w:hint="eastAsia"/>
        </w:rPr>
        <w:t>收支、保管及運用之審議；</w:t>
      </w:r>
      <w:r>
        <w:rPr>
          <w:rFonts w:ascii="Times New Roman" w:hAnsi="Times New Roman"/>
        </w:rPr>
        <w:t>2</w:t>
      </w:r>
      <w:r>
        <w:rPr>
          <w:rFonts w:ascii="Times New Roman" w:hAnsi="Times New Roman" w:hint="eastAsia"/>
        </w:rPr>
        <w:t>、公益彩券盈餘分配基金</w:t>
      </w:r>
      <w:r>
        <w:rPr>
          <w:rFonts w:ascii="Times New Roman" w:hAnsi="Times New Roman"/>
        </w:rPr>
        <w:t>(</w:t>
      </w:r>
      <w:r>
        <w:rPr>
          <w:rFonts w:ascii="Times New Roman" w:hAnsi="Times New Roman" w:hint="eastAsia"/>
        </w:rPr>
        <w:t>分配款</w:t>
      </w:r>
      <w:r>
        <w:rPr>
          <w:rFonts w:ascii="Times New Roman" w:hAnsi="Times New Roman"/>
        </w:rPr>
        <w:t>)</w:t>
      </w:r>
      <w:r>
        <w:rPr>
          <w:rFonts w:ascii="Times New Roman" w:hAnsi="Times New Roman" w:hint="eastAsia"/>
        </w:rPr>
        <w:t>運用執行情形之考核；</w:t>
      </w:r>
      <w:r>
        <w:rPr>
          <w:rFonts w:ascii="Times New Roman" w:hAnsi="Times New Roman"/>
        </w:rPr>
        <w:t>3</w:t>
      </w:r>
      <w:r>
        <w:rPr>
          <w:rFonts w:ascii="Times New Roman" w:hAnsi="Times New Roman" w:hint="eastAsia"/>
        </w:rPr>
        <w:t>、公益彩券盈餘分配基金</w:t>
      </w:r>
      <w:r>
        <w:rPr>
          <w:rFonts w:ascii="Times New Roman" w:hAnsi="Times New Roman"/>
        </w:rPr>
        <w:t>(</w:t>
      </w:r>
      <w:r>
        <w:rPr>
          <w:rFonts w:ascii="Times New Roman" w:hAnsi="Times New Roman" w:hint="eastAsia"/>
        </w:rPr>
        <w:t>分配款</w:t>
      </w:r>
      <w:r>
        <w:rPr>
          <w:rFonts w:ascii="Times New Roman" w:hAnsi="Times New Roman"/>
        </w:rPr>
        <w:t>)</w:t>
      </w:r>
      <w:r>
        <w:rPr>
          <w:rFonts w:ascii="Times New Roman" w:hAnsi="Times New Roman" w:hint="eastAsia"/>
        </w:rPr>
        <w:t>年度預算、決算之審議；</w:t>
      </w:r>
      <w:r>
        <w:rPr>
          <w:rFonts w:ascii="Times New Roman" w:hAnsi="Times New Roman"/>
        </w:rPr>
        <w:t>4</w:t>
      </w:r>
      <w:r>
        <w:rPr>
          <w:rFonts w:ascii="Times New Roman" w:hAnsi="Times New Roman" w:hint="eastAsia"/>
        </w:rPr>
        <w:t>、其他公益彩券盈餘分配基金</w:t>
      </w:r>
      <w:r>
        <w:rPr>
          <w:rFonts w:ascii="Times New Roman" w:hAnsi="Times New Roman"/>
        </w:rPr>
        <w:t>(</w:t>
      </w:r>
      <w:r>
        <w:rPr>
          <w:rFonts w:ascii="Times New Roman" w:hAnsi="Times New Roman" w:hint="eastAsia"/>
        </w:rPr>
        <w:t>分配款</w:t>
      </w:r>
      <w:r>
        <w:rPr>
          <w:rFonts w:ascii="Times New Roman" w:hAnsi="Times New Roman"/>
        </w:rPr>
        <w:t>)</w:t>
      </w:r>
      <w:r>
        <w:rPr>
          <w:rFonts w:ascii="Times New Roman" w:hAnsi="Times New Roman" w:hint="eastAsia"/>
        </w:rPr>
        <w:t>相關事項之審議。因此，</w:t>
      </w:r>
      <w:r w:rsidR="0000448C">
        <w:rPr>
          <w:rFonts w:ascii="Times New Roman" w:hAnsi="Times New Roman" w:hint="eastAsia"/>
        </w:rPr>
        <w:t>各縣市該</w:t>
      </w:r>
      <w:r>
        <w:rPr>
          <w:rFonts w:ascii="Times New Roman" w:hAnsi="Times New Roman" w:hint="eastAsia"/>
        </w:rPr>
        <w:t>管理委員會</w:t>
      </w:r>
      <w:r>
        <w:rPr>
          <w:rFonts w:ascii="Times New Roman" w:hAnsi="Times New Roman"/>
        </w:rPr>
        <w:t>(</w:t>
      </w:r>
      <w:r>
        <w:rPr>
          <w:rFonts w:ascii="Times New Roman" w:hAnsi="Times New Roman" w:hint="eastAsia"/>
        </w:rPr>
        <w:t>小組</w:t>
      </w:r>
      <w:r>
        <w:rPr>
          <w:rFonts w:ascii="Times New Roman" w:hAnsi="Times New Roman"/>
        </w:rPr>
        <w:t>)</w:t>
      </w:r>
      <w:r>
        <w:rPr>
          <w:rFonts w:ascii="Times New Roman" w:hAnsi="Times New Roman" w:hint="eastAsia"/>
        </w:rPr>
        <w:t>若能有效運作及落實審議，對於地方公益彩券盈餘分配基金</w:t>
      </w:r>
      <w:r>
        <w:rPr>
          <w:rFonts w:ascii="Times New Roman" w:hAnsi="Times New Roman"/>
        </w:rPr>
        <w:t>(</w:t>
      </w:r>
      <w:r>
        <w:rPr>
          <w:rFonts w:ascii="Times New Roman" w:hAnsi="Times New Roman" w:hint="eastAsia"/>
        </w:rPr>
        <w:t>分配款</w:t>
      </w:r>
      <w:r>
        <w:rPr>
          <w:rFonts w:ascii="Times New Roman" w:hAnsi="Times New Roman"/>
        </w:rPr>
        <w:t>)</w:t>
      </w:r>
      <w:r>
        <w:rPr>
          <w:rFonts w:ascii="Times New Roman" w:hAnsi="Times New Roman" w:hint="eastAsia"/>
        </w:rPr>
        <w:t>之運用情形及使用方向，</w:t>
      </w:r>
      <w:r w:rsidRPr="002E3FD8">
        <w:rPr>
          <w:rFonts w:ascii="Times New Roman" w:hAnsi="Times New Roman" w:hint="eastAsia"/>
        </w:rPr>
        <w:t>確能發揮監督之功能。查</w:t>
      </w:r>
      <w:r w:rsidRPr="002E3FD8">
        <w:rPr>
          <w:rFonts w:ascii="Times New Roman" w:hAnsi="Times New Roman"/>
        </w:rPr>
        <w:t>101</w:t>
      </w:r>
      <w:r w:rsidRPr="002E3FD8">
        <w:rPr>
          <w:rFonts w:ascii="Times New Roman" w:hAnsi="Times New Roman" w:hint="eastAsia"/>
        </w:rPr>
        <w:t>年至</w:t>
      </w:r>
      <w:r w:rsidRPr="002E3FD8">
        <w:rPr>
          <w:rFonts w:ascii="Times New Roman" w:hAnsi="Times New Roman"/>
        </w:rPr>
        <w:t>105</w:t>
      </w:r>
      <w:r w:rsidRPr="002E3FD8">
        <w:rPr>
          <w:rFonts w:ascii="Times New Roman" w:hAnsi="Times New Roman" w:hint="eastAsia"/>
        </w:rPr>
        <w:t>年財政部對於各地方政府</w:t>
      </w:r>
      <w:r w:rsidR="0000448C" w:rsidRPr="0000448C">
        <w:rPr>
          <w:rFonts w:ascii="Times New Roman" w:hAnsi="Times New Roman" w:hint="eastAsia"/>
        </w:rPr>
        <w:t>公益彩券盈餘管理委員會</w:t>
      </w:r>
      <w:r w:rsidRPr="002E3FD8">
        <w:rPr>
          <w:rFonts w:ascii="Times New Roman" w:hAnsi="Times New Roman"/>
        </w:rPr>
        <w:t>(</w:t>
      </w:r>
      <w:r w:rsidRPr="002E3FD8">
        <w:rPr>
          <w:rFonts w:ascii="Times New Roman" w:hAnsi="Times New Roman" w:hint="eastAsia"/>
        </w:rPr>
        <w:t>小組</w:t>
      </w:r>
      <w:r w:rsidRPr="002E3FD8">
        <w:rPr>
          <w:rFonts w:ascii="Times New Roman" w:hAnsi="Times New Roman"/>
        </w:rPr>
        <w:t>)</w:t>
      </w:r>
      <w:r w:rsidRPr="002E3FD8">
        <w:rPr>
          <w:rFonts w:ascii="Times New Roman" w:hAnsi="Times New Roman" w:hint="eastAsia"/>
        </w:rPr>
        <w:t>之運作情形，皆有進行考核，考核結果彙整如下表</w:t>
      </w:r>
      <w:r w:rsidRPr="002E3FD8">
        <w:rPr>
          <w:rFonts w:ascii="Times New Roman" w:hAnsi="Times New Roman"/>
        </w:rPr>
        <w:t>8</w:t>
      </w:r>
      <w:r w:rsidRPr="002E3FD8">
        <w:rPr>
          <w:rFonts w:ascii="Times New Roman" w:hAnsi="Times New Roman" w:hint="eastAsia"/>
        </w:rPr>
        <w:t>。</w:t>
      </w:r>
      <w:bookmarkEnd w:id="1217"/>
      <w:bookmarkEnd w:id="1218"/>
      <w:bookmarkEnd w:id="1219"/>
      <w:bookmarkEnd w:id="1220"/>
      <w:bookmarkEnd w:id="1221"/>
      <w:bookmarkEnd w:id="1222"/>
      <w:bookmarkEnd w:id="1223"/>
      <w:bookmarkEnd w:id="1224"/>
      <w:bookmarkEnd w:id="1225"/>
      <w:bookmarkEnd w:id="1226"/>
    </w:p>
    <w:p w:rsidR="0040606A" w:rsidRDefault="0040606A" w:rsidP="0040606A">
      <w:pPr>
        <w:pStyle w:val="a3"/>
        <w:numPr>
          <w:ilvl w:val="0"/>
          <w:numId w:val="34"/>
        </w:numPr>
        <w:spacing w:before="120" w:after="0"/>
        <w:ind w:left="2072" w:rightChars="-13" w:right="-44" w:hanging="728"/>
        <w:textAlignment w:val="auto"/>
        <w:rPr>
          <w:rFonts w:ascii="Times New Roman" w:hAnsi="Times New Roman"/>
          <w:b/>
          <w:spacing w:val="0"/>
        </w:rPr>
      </w:pPr>
      <w:r>
        <w:rPr>
          <w:rFonts w:ascii="Times New Roman" w:hAnsi="Times New Roman"/>
          <w:b/>
          <w:spacing w:val="0"/>
        </w:rPr>
        <w:t>101</w:t>
      </w:r>
      <w:r>
        <w:rPr>
          <w:rFonts w:ascii="Times New Roman" w:hAnsi="Times New Roman" w:hint="eastAsia"/>
          <w:b/>
          <w:spacing w:val="0"/>
        </w:rPr>
        <w:t>年至</w:t>
      </w:r>
      <w:r>
        <w:rPr>
          <w:rFonts w:ascii="Times New Roman" w:hAnsi="Times New Roman"/>
          <w:b/>
          <w:spacing w:val="0"/>
        </w:rPr>
        <w:t>105</w:t>
      </w:r>
      <w:r>
        <w:rPr>
          <w:rFonts w:ascii="Times New Roman" w:hAnsi="Times New Roman" w:hint="eastAsia"/>
          <w:b/>
          <w:spacing w:val="0"/>
        </w:rPr>
        <w:t>年財政部對於各地方政府公益彩券盈餘管理委員會</w:t>
      </w:r>
      <w:r w:rsidR="0000448C">
        <w:rPr>
          <w:rFonts w:ascii="Times New Roman" w:hAnsi="Times New Roman" w:hint="eastAsia"/>
          <w:b/>
          <w:spacing w:val="0"/>
        </w:rPr>
        <w:t>(</w:t>
      </w:r>
      <w:r w:rsidR="0000448C">
        <w:rPr>
          <w:rFonts w:ascii="Times New Roman" w:hAnsi="Times New Roman" w:hint="eastAsia"/>
          <w:b/>
          <w:spacing w:val="0"/>
        </w:rPr>
        <w:t>小組</w:t>
      </w:r>
      <w:r w:rsidR="0000448C">
        <w:rPr>
          <w:rFonts w:ascii="Times New Roman" w:hAnsi="Times New Roman" w:hint="eastAsia"/>
          <w:b/>
          <w:spacing w:val="0"/>
        </w:rPr>
        <w:t>)</w:t>
      </w:r>
      <w:r>
        <w:rPr>
          <w:rFonts w:ascii="Times New Roman" w:hAnsi="Times New Roman" w:hint="eastAsia"/>
          <w:b/>
          <w:spacing w:val="0"/>
        </w:rPr>
        <w:t>之考核結果</w:t>
      </w:r>
    </w:p>
    <w:tbl>
      <w:tblPr>
        <w:tblStyle w:val="afb"/>
        <w:tblW w:w="7601" w:type="dxa"/>
        <w:tblInd w:w="14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9"/>
        <w:gridCol w:w="1175"/>
        <w:gridCol w:w="1176"/>
        <w:gridCol w:w="1176"/>
        <w:gridCol w:w="1176"/>
        <w:gridCol w:w="1939"/>
      </w:tblGrid>
      <w:tr w:rsidR="0040606A" w:rsidTr="00C055EF">
        <w:trPr>
          <w:trHeight w:val="179"/>
          <w:tblHeader/>
        </w:trPr>
        <w:tc>
          <w:tcPr>
            <w:tcW w:w="959" w:type="dxa"/>
            <w:tcBorders>
              <w:top w:val="single" w:sz="6" w:space="0" w:color="auto"/>
              <w:left w:val="single" w:sz="6" w:space="0" w:color="auto"/>
              <w:bottom w:val="single" w:sz="6" w:space="0" w:color="auto"/>
              <w:right w:val="single" w:sz="6" w:space="0" w:color="auto"/>
            </w:tcBorders>
            <w:hideMark/>
          </w:tcPr>
          <w:p w:rsidR="0040606A" w:rsidRDefault="0040606A" w:rsidP="00C055EF">
            <w:pPr>
              <w:pStyle w:val="3"/>
              <w:numPr>
                <w:ilvl w:val="0"/>
                <w:numId w:val="0"/>
              </w:numPr>
              <w:kinsoku w:val="0"/>
              <w:spacing w:line="320" w:lineRule="exact"/>
              <w:ind w:leftChars="-21" w:left="2" w:rightChars="-19" w:right="-65" w:hangingChars="26" w:hanging="73"/>
              <w:jc w:val="center"/>
              <w:rPr>
                <w:rFonts w:ascii="Times New Roman" w:hAnsi="Times New Roman"/>
                <w:sz w:val="26"/>
                <w:szCs w:val="26"/>
              </w:rPr>
            </w:pPr>
            <w:bookmarkStart w:id="1227" w:name="_Toc507403631"/>
            <w:bookmarkStart w:id="1228" w:name="_Toc507484744"/>
            <w:bookmarkStart w:id="1229" w:name="_Toc507491568"/>
            <w:bookmarkStart w:id="1230" w:name="_Toc507518595"/>
            <w:bookmarkStart w:id="1231" w:name="_Toc507767672"/>
            <w:bookmarkStart w:id="1232" w:name="_Toc507768398"/>
            <w:bookmarkStart w:id="1233" w:name="_Toc511115387"/>
            <w:bookmarkStart w:id="1234" w:name="_Toc511308178"/>
            <w:bookmarkStart w:id="1235" w:name="_Toc511998620"/>
            <w:bookmarkStart w:id="1236" w:name="_Toc512420977"/>
            <w:r>
              <w:rPr>
                <w:rFonts w:ascii="Times New Roman" w:hAnsi="Times New Roman" w:hint="eastAsia"/>
                <w:sz w:val="26"/>
                <w:szCs w:val="26"/>
              </w:rPr>
              <w:t>縣市別</w:t>
            </w:r>
            <w:bookmarkEnd w:id="1227"/>
            <w:bookmarkEnd w:id="1228"/>
            <w:bookmarkEnd w:id="1229"/>
            <w:bookmarkEnd w:id="1230"/>
            <w:bookmarkEnd w:id="1231"/>
            <w:bookmarkEnd w:id="1232"/>
            <w:bookmarkEnd w:id="1233"/>
            <w:bookmarkEnd w:id="1234"/>
            <w:bookmarkEnd w:id="1235"/>
            <w:bookmarkEnd w:id="1236"/>
          </w:p>
        </w:tc>
        <w:tc>
          <w:tcPr>
            <w:tcW w:w="1175" w:type="dxa"/>
            <w:tcBorders>
              <w:top w:val="single" w:sz="6" w:space="0" w:color="auto"/>
              <w:left w:val="single" w:sz="6" w:space="0" w:color="auto"/>
              <w:bottom w:val="single" w:sz="6" w:space="0" w:color="auto"/>
              <w:right w:val="single" w:sz="6" w:space="0" w:color="auto"/>
            </w:tcBorders>
            <w:hideMark/>
          </w:tcPr>
          <w:p w:rsidR="0040606A" w:rsidRDefault="0040606A" w:rsidP="00C055EF">
            <w:pPr>
              <w:pStyle w:val="3"/>
              <w:numPr>
                <w:ilvl w:val="0"/>
                <w:numId w:val="0"/>
              </w:numPr>
              <w:kinsoku w:val="0"/>
              <w:spacing w:line="320" w:lineRule="exact"/>
              <w:jc w:val="center"/>
              <w:rPr>
                <w:rFonts w:ascii="Times New Roman" w:hAnsi="Times New Roman"/>
                <w:sz w:val="26"/>
                <w:szCs w:val="26"/>
              </w:rPr>
            </w:pPr>
            <w:bookmarkStart w:id="1237" w:name="_Toc507403632"/>
            <w:bookmarkStart w:id="1238" w:name="_Toc507484745"/>
            <w:bookmarkStart w:id="1239" w:name="_Toc507491569"/>
            <w:bookmarkStart w:id="1240" w:name="_Toc507518596"/>
            <w:bookmarkStart w:id="1241" w:name="_Toc507767673"/>
            <w:bookmarkStart w:id="1242" w:name="_Toc507768399"/>
            <w:bookmarkStart w:id="1243" w:name="_Toc511115388"/>
            <w:bookmarkStart w:id="1244" w:name="_Toc511308179"/>
            <w:bookmarkStart w:id="1245" w:name="_Toc511998621"/>
            <w:bookmarkStart w:id="1246" w:name="_Toc512420978"/>
            <w:r>
              <w:rPr>
                <w:rFonts w:ascii="Times New Roman" w:hAnsi="Times New Roman"/>
                <w:sz w:val="26"/>
                <w:szCs w:val="26"/>
              </w:rPr>
              <w:t>101</w:t>
            </w:r>
            <w:r>
              <w:rPr>
                <w:rFonts w:ascii="Times New Roman" w:hAnsi="Times New Roman" w:hint="eastAsia"/>
                <w:sz w:val="26"/>
                <w:szCs w:val="26"/>
              </w:rPr>
              <w:t>年</w:t>
            </w:r>
            <w:bookmarkEnd w:id="1237"/>
            <w:bookmarkEnd w:id="1238"/>
            <w:bookmarkEnd w:id="1239"/>
            <w:bookmarkEnd w:id="1240"/>
            <w:bookmarkEnd w:id="1241"/>
            <w:bookmarkEnd w:id="1242"/>
            <w:bookmarkEnd w:id="1243"/>
            <w:bookmarkEnd w:id="1244"/>
            <w:bookmarkEnd w:id="1245"/>
            <w:bookmarkEnd w:id="1246"/>
          </w:p>
        </w:tc>
        <w:tc>
          <w:tcPr>
            <w:tcW w:w="1176" w:type="dxa"/>
            <w:tcBorders>
              <w:top w:val="single" w:sz="6" w:space="0" w:color="auto"/>
              <w:left w:val="single" w:sz="6" w:space="0" w:color="auto"/>
              <w:bottom w:val="single" w:sz="6" w:space="0" w:color="auto"/>
              <w:right w:val="single" w:sz="6" w:space="0" w:color="auto"/>
            </w:tcBorders>
            <w:hideMark/>
          </w:tcPr>
          <w:p w:rsidR="0040606A" w:rsidRDefault="0040606A" w:rsidP="00C055EF">
            <w:pPr>
              <w:pStyle w:val="3"/>
              <w:numPr>
                <w:ilvl w:val="0"/>
                <w:numId w:val="0"/>
              </w:numPr>
              <w:kinsoku w:val="0"/>
              <w:spacing w:line="320" w:lineRule="exact"/>
              <w:jc w:val="center"/>
              <w:rPr>
                <w:rFonts w:ascii="Times New Roman" w:hAnsi="Times New Roman"/>
                <w:sz w:val="26"/>
                <w:szCs w:val="26"/>
              </w:rPr>
            </w:pPr>
            <w:bookmarkStart w:id="1247" w:name="_Toc507403633"/>
            <w:bookmarkStart w:id="1248" w:name="_Toc507484746"/>
            <w:bookmarkStart w:id="1249" w:name="_Toc507491570"/>
            <w:bookmarkStart w:id="1250" w:name="_Toc507518597"/>
            <w:bookmarkStart w:id="1251" w:name="_Toc507767674"/>
            <w:bookmarkStart w:id="1252" w:name="_Toc507768400"/>
            <w:bookmarkStart w:id="1253" w:name="_Toc511115389"/>
            <w:bookmarkStart w:id="1254" w:name="_Toc511308180"/>
            <w:bookmarkStart w:id="1255" w:name="_Toc511998622"/>
            <w:bookmarkStart w:id="1256" w:name="_Toc512420979"/>
            <w:r>
              <w:rPr>
                <w:rFonts w:ascii="Times New Roman" w:hAnsi="Times New Roman"/>
                <w:sz w:val="26"/>
                <w:szCs w:val="26"/>
              </w:rPr>
              <w:t>102</w:t>
            </w:r>
            <w:r>
              <w:rPr>
                <w:rFonts w:ascii="Times New Roman" w:hAnsi="Times New Roman" w:hint="eastAsia"/>
                <w:sz w:val="26"/>
                <w:szCs w:val="26"/>
              </w:rPr>
              <w:t>年</w:t>
            </w:r>
            <w:bookmarkEnd w:id="1247"/>
            <w:bookmarkEnd w:id="1248"/>
            <w:bookmarkEnd w:id="1249"/>
            <w:bookmarkEnd w:id="1250"/>
            <w:bookmarkEnd w:id="1251"/>
            <w:bookmarkEnd w:id="1252"/>
            <w:bookmarkEnd w:id="1253"/>
            <w:bookmarkEnd w:id="1254"/>
            <w:bookmarkEnd w:id="1255"/>
            <w:bookmarkEnd w:id="1256"/>
          </w:p>
        </w:tc>
        <w:tc>
          <w:tcPr>
            <w:tcW w:w="1176" w:type="dxa"/>
            <w:tcBorders>
              <w:top w:val="single" w:sz="6" w:space="0" w:color="auto"/>
              <w:left w:val="single" w:sz="6" w:space="0" w:color="auto"/>
              <w:bottom w:val="single" w:sz="6" w:space="0" w:color="auto"/>
              <w:right w:val="single" w:sz="6" w:space="0" w:color="auto"/>
            </w:tcBorders>
            <w:hideMark/>
          </w:tcPr>
          <w:p w:rsidR="0040606A" w:rsidRDefault="0040606A" w:rsidP="00C055EF">
            <w:pPr>
              <w:pStyle w:val="3"/>
              <w:numPr>
                <w:ilvl w:val="0"/>
                <w:numId w:val="0"/>
              </w:numPr>
              <w:kinsoku w:val="0"/>
              <w:spacing w:line="320" w:lineRule="exact"/>
              <w:jc w:val="center"/>
              <w:rPr>
                <w:rFonts w:ascii="Times New Roman" w:hAnsi="Times New Roman"/>
                <w:sz w:val="26"/>
                <w:szCs w:val="26"/>
              </w:rPr>
            </w:pPr>
            <w:bookmarkStart w:id="1257" w:name="_Toc507403634"/>
            <w:bookmarkStart w:id="1258" w:name="_Toc507484747"/>
            <w:bookmarkStart w:id="1259" w:name="_Toc507491571"/>
            <w:bookmarkStart w:id="1260" w:name="_Toc507518598"/>
            <w:bookmarkStart w:id="1261" w:name="_Toc507767675"/>
            <w:bookmarkStart w:id="1262" w:name="_Toc507768401"/>
            <w:bookmarkStart w:id="1263" w:name="_Toc511115390"/>
            <w:bookmarkStart w:id="1264" w:name="_Toc511308181"/>
            <w:bookmarkStart w:id="1265" w:name="_Toc511998623"/>
            <w:bookmarkStart w:id="1266" w:name="_Toc512420980"/>
            <w:r>
              <w:rPr>
                <w:rFonts w:ascii="Times New Roman" w:hAnsi="Times New Roman"/>
                <w:sz w:val="26"/>
                <w:szCs w:val="26"/>
              </w:rPr>
              <w:t>103</w:t>
            </w:r>
            <w:r>
              <w:rPr>
                <w:rFonts w:ascii="Times New Roman" w:hAnsi="Times New Roman" w:hint="eastAsia"/>
                <w:sz w:val="26"/>
                <w:szCs w:val="26"/>
              </w:rPr>
              <w:t>年</w:t>
            </w:r>
            <w:bookmarkEnd w:id="1257"/>
            <w:bookmarkEnd w:id="1258"/>
            <w:bookmarkEnd w:id="1259"/>
            <w:bookmarkEnd w:id="1260"/>
            <w:bookmarkEnd w:id="1261"/>
            <w:bookmarkEnd w:id="1262"/>
            <w:bookmarkEnd w:id="1263"/>
            <w:bookmarkEnd w:id="1264"/>
            <w:bookmarkEnd w:id="1265"/>
            <w:bookmarkEnd w:id="1266"/>
          </w:p>
        </w:tc>
        <w:tc>
          <w:tcPr>
            <w:tcW w:w="1176" w:type="dxa"/>
            <w:tcBorders>
              <w:top w:val="single" w:sz="6" w:space="0" w:color="auto"/>
              <w:left w:val="single" w:sz="6" w:space="0" w:color="auto"/>
              <w:bottom w:val="single" w:sz="6" w:space="0" w:color="auto"/>
              <w:right w:val="single" w:sz="6" w:space="0" w:color="auto"/>
            </w:tcBorders>
            <w:hideMark/>
          </w:tcPr>
          <w:p w:rsidR="0040606A" w:rsidRDefault="0040606A" w:rsidP="00C055EF">
            <w:pPr>
              <w:pStyle w:val="3"/>
              <w:numPr>
                <w:ilvl w:val="0"/>
                <w:numId w:val="0"/>
              </w:numPr>
              <w:kinsoku w:val="0"/>
              <w:spacing w:line="320" w:lineRule="exact"/>
              <w:jc w:val="center"/>
              <w:rPr>
                <w:rFonts w:ascii="Times New Roman" w:hAnsi="Times New Roman"/>
                <w:sz w:val="26"/>
                <w:szCs w:val="26"/>
              </w:rPr>
            </w:pPr>
            <w:bookmarkStart w:id="1267" w:name="_Toc507403635"/>
            <w:bookmarkStart w:id="1268" w:name="_Toc507484748"/>
            <w:bookmarkStart w:id="1269" w:name="_Toc507491572"/>
            <w:bookmarkStart w:id="1270" w:name="_Toc507518599"/>
            <w:bookmarkStart w:id="1271" w:name="_Toc507767676"/>
            <w:bookmarkStart w:id="1272" w:name="_Toc507768402"/>
            <w:bookmarkStart w:id="1273" w:name="_Toc511115391"/>
            <w:bookmarkStart w:id="1274" w:name="_Toc511308182"/>
            <w:bookmarkStart w:id="1275" w:name="_Toc511998624"/>
            <w:bookmarkStart w:id="1276" w:name="_Toc512420981"/>
            <w:r>
              <w:rPr>
                <w:rFonts w:ascii="Times New Roman" w:hAnsi="Times New Roman"/>
                <w:sz w:val="26"/>
                <w:szCs w:val="26"/>
              </w:rPr>
              <w:t>104</w:t>
            </w:r>
            <w:r>
              <w:rPr>
                <w:rFonts w:ascii="Times New Roman" w:hAnsi="Times New Roman" w:hint="eastAsia"/>
                <w:sz w:val="26"/>
                <w:szCs w:val="26"/>
              </w:rPr>
              <w:t>年</w:t>
            </w:r>
            <w:bookmarkEnd w:id="1267"/>
            <w:bookmarkEnd w:id="1268"/>
            <w:bookmarkEnd w:id="1269"/>
            <w:bookmarkEnd w:id="1270"/>
            <w:bookmarkEnd w:id="1271"/>
            <w:bookmarkEnd w:id="1272"/>
            <w:bookmarkEnd w:id="1273"/>
            <w:bookmarkEnd w:id="1274"/>
            <w:bookmarkEnd w:id="1275"/>
            <w:bookmarkEnd w:id="1276"/>
          </w:p>
        </w:tc>
        <w:tc>
          <w:tcPr>
            <w:tcW w:w="1939" w:type="dxa"/>
            <w:tcBorders>
              <w:top w:val="single" w:sz="6" w:space="0" w:color="auto"/>
              <w:left w:val="single" w:sz="6" w:space="0" w:color="auto"/>
              <w:bottom w:val="single" w:sz="6" w:space="0" w:color="auto"/>
              <w:right w:val="single" w:sz="6" w:space="0" w:color="auto"/>
            </w:tcBorders>
            <w:hideMark/>
          </w:tcPr>
          <w:p w:rsidR="0040606A" w:rsidRDefault="0040606A" w:rsidP="00C055EF">
            <w:pPr>
              <w:pStyle w:val="3"/>
              <w:numPr>
                <w:ilvl w:val="0"/>
                <w:numId w:val="0"/>
              </w:numPr>
              <w:kinsoku w:val="0"/>
              <w:spacing w:line="320" w:lineRule="exact"/>
              <w:jc w:val="center"/>
              <w:rPr>
                <w:rFonts w:ascii="Times New Roman" w:hAnsi="Times New Roman"/>
                <w:sz w:val="26"/>
                <w:szCs w:val="26"/>
              </w:rPr>
            </w:pPr>
            <w:bookmarkStart w:id="1277" w:name="_Toc507403636"/>
            <w:bookmarkStart w:id="1278" w:name="_Toc507484749"/>
            <w:bookmarkStart w:id="1279" w:name="_Toc507491573"/>
            <w:bookmarkStart w:id="1280" w:name="_Toc507518600"/>
            <w:bookmarkStart w:id="1281" w:name="_Toc507767677"/>
            <w:bookmarkStart w:id="1282" w:name="_Toc507768403"/>
            <w:bookmarkStart w:id="1283" w:name="_Toc511115392"/>
            <w:bookmarkStart w:id="1284" w:name="_Toc511308183"/>
            <w:bookmarkStart w:id="1285" w:name="_Toc511998625"/>
            <w:bookmarkStart w:id="1286" w:name="_Toc512420982"/>
            <w:r>
              <w:rPr>
                <w:rFonts w:ascii="Times New Roman" w:hAnsi="Times New Roman"/>
                <w:sz w:val="26"/>
                <w:szCs w:val="26"/>
              </w:rPr>
              <w:t>105</w:t>
            </w:r>
            <w:r>
              <w:rPr>
                <w:rFonts w:ascii="Times New Roman" w:hAnsi="Times New Roman" w:hint="eastAsia"/>
                <w:sz w:val="26"/>
                <w:szCs w:val="26"/>
              </w:rPr>
              <w:t>年</w:t>
            </w:r>
            <w:bookmarkEnd w:id="1277"/>
            <w:bookmarkEnd w:id="1278"/>
            <w:bookmarkEnd w:id="1279"/>
            <w:bookmarkEnd w:id="1280"/>
            <w:bookmarkEnd w:id="1281"/>
            <w:bookmarkEnd w:id="1282"/>
            <w:bookmarkEnd w:id="1283"/>
            <w:bookmarkEnd w:id="1284"/>
            <w:bookmarkEnd w:id="1285"/>
            <w:bookmarkEnd w:id="1286"/>
          </w:p>
        </w:tc>
      </w:tr>
      <w:tr w:rsidR="0040606A" w:rsidTr="00C055EF">
        <w:tc>
          <w:tcPr>
            <w:tcW w:w="959"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spacing w:line="260" w:lineRule="exact"/>
              <w:ind w:leftChars="-19" w:hangingChars="25" w:hanging="65"/>
              <w:jc w:val="center"/>
              <w:rPr>
                <w:rFonts w:ascii="Times New Roman" w:hAnsi="標楷體"/>
                <w:sz w:val="24"/>
                <w:szCs w:val="24"/>
              </w:rPr>
            </w:pPr>
            <w:r>
              <w:rPr>
                <w:rFonts w:ascii="Times New Roman" w:hAnsi="標楷體" w:hint="eastAsia"/>
                <w:sz w:val="24"/>
                <w:szCs w:val="24"/>
              </w:rPr>
              <w:t>臺北市</w:t>
            </w:r>
          </w:p>
        </w:tc>
        <w:tc>
          <w:tcPr>
            <w:tcW w:w="1175"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Pr>
                <w:rFonts w:ascii="Times New Roman" w:hAnsi="標楷體" w:hint="eastAsia"/>
                <w:spacing w:val="-20"/>
                <w:sz w:val="24"/>
                <w:szCs w:val="24"/>
              </w:rPr>
              <w:t>如期召開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Pr>
                <w:rFonts w:ascii="Times New Roman" w:hAnsi="標楷體" w:hint="eastAsia"/>
                <w:spacing w:val="-20"/>
                <w:sz w:val="24"/>
                <w:szCs w:val="24"/>
              </w:rPr>
              <w:t>定期召開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Pr>
                <w:rFonts w:ascii="Times New Roman" w:hAnsi="標楷體" w:hint="eastAsia"/>
                <w:spacing w:val="-20"/>
                <w:sz w:val="24"/>
                <w:szCs w:val="24"/>
              </w:rPr>
              <w:t>定期召開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Pr>
                <w:rFonts w:ascii="Times New Roman" w:hAnsi="標楷體" w:hint="eastAsia"/>
                <w:spacing w:val="-20"/>
                <w:sz w:val="24"/>
                <w:szCs w:val="24"/>
              </w:rPr>
              <w:t>定期召開</w:t>
            </w:r>
          </w:p>
        </w:tc>
        <w:tc>
          <w:tcPr>
            <w:tcW w:w="1939"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topLinePunct/>
              <w:spacing w:line="260" w:lineRule="exact"/>
              <w:ind w:leftChars="-24" w:left="-82" w:rightChars="-15" w:right="-51" w:firstLineChars="6" w:firstLine="12"/>
              <w:rPr>
                <w:rFonts w:ascii="Times New Roman" w:hAnsi="標楷體"/>
                <w:spacing w:val="-26"/>
                <w:sz w:val="24"/>
                <w:szCs w:val="24"/>
              </w:rPr>
            </w:pPr>
            <w:r>
              <w:rPr>
                <w:rFonts w:ascii="Times New Roman" w:hAnsi="標楷體" w:hint="eastAsia"/>
                <w:spacing w:val="-26"/>
                <w:sz w:val="24"/>
                <w:szCs w:val="24"/>
              </w:rPr>
              <w:t>定期召開會議，並具實質監督考核功能。</w:t>
            </w:r>
          </w:p>
        </w:tc>
      </w:tr>
      <w:tr w:rsidR="0040606A" w:rsidTr="00C055EF">
        <w:tc>
          <w:tcPr>
            <w:tcW w:w="959"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spacing w:line="260" w:lineRule="exact"/>
              <w:ind w:leftChars="-19" w:hangingChars="25" w:hanging="65"/>
              <w:jc w:val="center"/>
              <w:rPr>
                <w:rFonts w:ascii="Times New Roman" w:hAnsi="標楷體"/>
                <w:sz w:val="24"/>
                <w:szCs w:val="24"/>
              </w:rPr>
            </w:pPr>
            <w:r>
              <w:rPr>
                <w:rFonts w:ascii="Times New Roman" w:hAnsi="標楷體" w:hint="eastAsia"/>
                <w:sz w:val="24"/>
                <w:szCs w:val="24"/>
              </w:rPr>
              <w:t>新北市</w:t>
            </w:r>
          </w:p>
        </w:tc>
        <w:tc>
          <w:tcPr>
            <w:tcW w:w="1175"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Pr>
                <w:rFonts w:ascii="Times New Roman" w:hAnsi="標楷體" w:hint="eastAsia"/>
                <w:spacing w:val="-20"/>
                <w:sz w:val="24"/>
                <w:szCs w:val="24"/>
              </w:rPr>
              <w:t>如期召開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Pr>
                <w:rFonts w:ascii="Times New Roman" w:hAnsi="標楷體" w:hint="eastAsia"/>
                <w:spacing w:val="-20"/>
                <w:sz w:val="24"/>
                <w:szCs w:val="24"/>
              </w:rPr>
              <w:t>定期召開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Pr>
                <w:rFonts w:ascii="Times New Roman" w:hAnsi="標楷體" w:hint="eastAsia"/>
                <w:spacing w:val="-20"/>
                <w:sz w:val="24"/>
                <w:szCs w:val="24"/>
              </w:rPr>
              <w:t>定期召開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Pr>
                <w:rFonts w:ascii="Times New Roman" w:hAnsi="標楷體" w:hint="eastAsia"/>
                <w:spacing w:val="-20"/>
                <w:sz w:val="24"/>
                <w:szCs w:val="24"/>
              </w:rPr>
              <w:t>定期召開</w:t>
            </w:r>
          </w:p>
        </w:tc>
        <w:tc>
          <w:tcPr>
            <w:tcW w:w="1939"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topLinePunct/>
              <w:spacing w:line="260" w:lineRule="exact"/>
              <w:ind w:leftChars="-24" w:left="-82" w:rightChars="-15" w:right="-51" w:firstLineChars="6" w:firstLine="12"/>
              <w:rPr>
                <w:rFonts w:ascii="Times New Roman" w:hAnsi="標楷體"/>
                <w:spacing w:val="-26"/>
                <w:sz w:val="24"/>
                <w:szCs w:val="24"/>
              </w:rPr>
            </w:pPr>
            <w:r>
              <w:rPr>
                <w:rFonts w:ascii="Times New Roman" w:hAnsi="標楷體" w:hint="eastAsia"/>
                <w:spacing w:val="-26"/>
                <w:sz w:val="24"/>
                <w:szCs w:val="24"/>
              </w:rPr>
              <w:t>定期召開會議，並具實質監督考核功能。</w:t>
            </w:r>
          </w:p>
        </w:tc>
      </w:tr>
      <w:tr w:rsidR="0040606A" w:rsidTr="00C055EF">
        <w:tc>
          <w:tcPr>
            <w:tcW w:w="959"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kinsoku w:val="0"/>
              <w:spacing w:line="260" w:lineRule="exact"/>
              <w:ind w:leftChars="-19" w:hangingChars="25" w:hanging="65"/>
              <w:jc w:val="center"/>
              <w:rPr>
                <w:rFonts w:ascii="Times New Roman" w:hAnsi="標楷體"/>
                <w:sz w:val="24"/>
                <w:szCs w:val="24"/>
              </w:rPr>
            </w:pPr>
            <w:r>
              <w:rPr>
                <w:rFonts w:ascii="Times New Roman" w:hAnsi="標楷體" w:hint="eastAsia"/>
                <w:sz w:val="24"/>
                <w:szCs w:val="24"/>
              </w:rPr>
              <w:t>桃園市</w:t>
            </w:r>
          </w:p>
        </w:tc>
        <w:tc>
          <w:tcPr>
            <w:tcW w:w="1175"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Pr>
                <w:rFonts w:ascii="Times New Roman" w:hAnsi="標楷體" w:hint="eastAsia"/>
                <w:spacing w:val="-20"/>
                <w:sz w:val="24"/>
                <w:szCs w:val="24"/>
              </w:rPr>
              <w:t>如期召開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Pr>
                <w:rFonts w:ascii="Times New Roman" w:hAnsi="標楷體" w:hint="eastAsia"/>
                <w:spacing w:val="-20"/>
                <w:sz w:val="24"/>
                <w:szCs w:val="24"/>
              </w:rPr>
              <w:t>定期召開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Pr>
                <w:rFonts w:ascii="Times New Roman" w:hAnsi="標楷體" w:hint="eastAsia"/>
                <w:spacing w:val="-20"/>
                <w:sz w:val="24"/>
                <w:szCs w:val="24"/>
              </w:rPr>
              <w:t>定期召開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Pr>
                <w:rFonts w:ascii="Times New Roman" w:hAnsi="標楷體" w:hint="eastAsia"/>
                <w:spacing w:val="-20"/>
                <w:sz w:val="24"/>
                <w:szCs w:val="24"/>
              </w:rPr>
              <w:t>定期召開</w:t>
            </w:r>
          </w:p>
        </w:tc>
        <w:tc>
          <w:tcPr>
            <w:tcW w:w="1939"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topLinePunct/>
              <w:spacing w:line="260" w:lineRule="exact"/>
              <w:ind w:leftChars="-24" w:left="-82" w:rightChars="-15" w:right="-51" w:firstLineChars="6" w:firstLine="12"/>
              <w:rPr>
                <w:rFonts w:ascii="Times New Roman" w:hAnsi="標楷體"/>
                <w:spacing w:val="-26"/>
                <w:sz w:val="24"/>
                <w:szCs w:val="24"/>
              </w:rPr>
            </w:pPr>
            <w:r>
              <w:rPr>
                <w:rFonts w:ascii="Times New Roman" w:hAnsi="標楷體" w:hint="eastAsia"/>
                <w:spacing w:val="-26"/>
                <w:sz w:val="24"/>
                <w:szCs w:val="24"/>
              </w:rPr>
              <w:t>定期召開會議，並具實質監督考核功能。</w:t>
            </w:r>
          </w:p>
        </w:tc>
      </w:tr>
      <w:tr w:rsidR="0040606A" w:rsidTr="00C055EF">
        <w:tc>
          <w:tcPr>
            <w:tcW w:w="959"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spacing w:line="260" w:lineRule="exact"/>
              <w:ind w:leftChars="-19" w:hangingChars="25" w:hanging="65"/>
              <w:jc w:val="center"/>
              <w:rPr>
                <w:rFonts w:ascii="Times New Roman" w:hAnsi="標楷體"/>
                <w:sz w:val="24"/>
                <w:szCs w:val="24"/>
              </w:rPr>
            </w:pPr>
            <w:r>
              <w:rPr>
                <w:rFonts w:ascii="Times New Roman" w:hAnsi="標楷體" w:hint="eastAsia"/>
                <w:sz w:val="24"/>
                <w:szCs w:val="24"/>
              </w:rPr>
              <w:t>臺中市</w:t>
            </w:r>
          </w:p>
        </w:tc>
        <w:tc>
          <w:tcPr>
            <w:tcW w:w="1175"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Pr>
                <w:rFonts w:ascii="Times New Roman" w:hAnsi="標楷體" w:hint="eastAsia"/>
                <w:spacing w:val="-20"/>
                <w:sz w:val="24"/>
                <w:szCs w:val="24"/>
              </w:rPr>
              <w:t>如期召開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Pr>
                <w:rFonts w:ascii="Times New Roman" w:hAnsi="標楷體" w:hint="eastAsia"/>
                <w:spacing w:val="-20"/>
                <w:sz w:val="24"/>
                <w:szCs w:val="24"/>
              </w:rPr>
              <w:t>定期召開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Pr>
                <w:rFonts w:ascii="Times New Roman" w:hAnsi="標楷體" w:hint="eastAsia"/>
                <w:spacing w:val="-20"/>
                <w:sz w:val="24"/>
                <w:szCs w:val="24"/>
              </w:rPr>
              <w:t>定期召開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Pr>
                <w:rFonts w:ascii="Times New Roman" w:hAnsi="標楷體" w:hint="eastAsia"/>
                <w:spacing w:val="-20"/>
                <w:sz w:val="24"/>
                <w:szCs w:val="24"/>
              </w:rPr>
              <w:t>定期召開</w:t>
            </w:r>
          </w:p>
        </w:tc>
        <w:tc>
          <w:tcPr>
            <w:tcW w:w="1939"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topLinePunct/>
              <w:spacing w:line="260" w:lineRule="exact"/>
              <w:ind w:leftChars="-24" w:left="-82" w:rightChars="-15" w:right="-51" w:firstLineChars="6" w:firstLine="12"/>
              <w:rPr>
                <w:rFonts w:ascii="Times New Roman" w:hAnsi="標楷體"/>
                <w:spacing w:val="-26"/>
                <w:sz w:val="24"/>
                <w:szCs w:val="24"/>
              </w:rPr>
            </w:pPr>
            <w:r>
              <w:rPr>
                <w:rFonts w:ascii="Times New Roman" w:hAnsi="標楷體" w:hint="eastAsia"/>
                <w:spacing w:val="-26"/>
                <w:sz w:val="24"/>
                <w:szCs w:val="24"/>
              </w:rPr>
              <w:t>定期召開會議，並具實質監督考核功能。</w:t>
            </w:r>
          </w:p>
        </w:tc>
      </w:tr>
      <w:tr w:rsidR="0040606A" w:rsidTr="00C055EF">
        <w:tc>
          <w:tcPr>
            <w:tcW w:w="959"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spacing w:line="260" w:lineRule="exact"/>
              <w:ind w:leftChars="-19" w:hangingChars="25" w:hanging="65"/>
              <w:jc w:val="center"/>
              <w:rPr>
                <w:rFonts w:ascii="Times New Roman" w:hAnsi="標楷體"/>
                <w:sz w:val="24"/>
                <w:szCs w:val="24"/>
              </w:rPr>
            </w:pPr>
            <w:r>
              <w:rPr>
                <w:rFonts w:ascii="Times New Roman" w:hAnsi="標楷體" w:hint="eastAsia"/>
                <w:sz w:val="24"/>
                <w:szCs w:val="24"/>
              </w:rPr>
              <w:t>臺南市</w:t>
            </w:r>
          </w:p>
        </w:tc>
        <w:tc>
          <w:tcPr>
            <w:tcW w:w="1175"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Pr>
                <w:rFonts w:ascii="Times New Roman" w:hAnsi="標楷體" w:hint="eastAsia"/>
                <w:spacing w:val="-20"/>
                <w:sz w:val="24"/>
                <w:szCs w:val="24"/>
              </w:rPr>
              <w:t>如期召開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Pr>
                <w:rFonts w:ascii="Times New Roman" w:hAnsi="標楷體" w:hint="eastAsia"/>
                <w:spacing w:val="-20"/>
                <w:sz w:val="24"/>
                <w:szCs w:val="24"/>
              </w:rPr>
              <w:t>定期召開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Pr>
                <w:rFonts w:ascii="Times New Roman" w:hAnsi="標楷體" w:hint="eastAsia"/>
                <w:spacing w:val="-20"/>
                <w:sz w:val="24"/>
                <w:szCs w:val="24"/>
              </w:rPr>
              <w:t>定期召開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Pr>
                <w:rFonts w:ascii="Times New Roman" w:hAnsi="標楷體" w:hint="eastAsia"/>
                <w:spacing w:val="-20"/>
                <w:sz w:val="24"/>
                <w:szCs w:val="24"/>
              </w:rPr>
              <w:t>定期召開</w:t>
            </w:r>
          </w:p>
        </w:tc>
        <w:tc>
          <w:tcPr>
            <w:tcW w:w="1939"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topLinePunct/>
              <w:spacing w:line="260" w:lineRule="exact"/>
              <w:ind w:leftChars="-24" w:left="-82" w:rightChars="-15" w:right="-51" w:firstLineChars="6" w:firstLine="12"/>
              <w:rPr>
                <w:rFonts w:ascii="Times New Roman" w:hAnsi="標楷體"/>
                <w:spacing w:val="-26"/>
                <w:sz w:val="24"/>
                <w:szCs w:val="24"/>
              </w:rPr>
            </w:pPr>
            <w:r>
              <w:rPr>
                <w:rFonts w:ascii="Times New Roman" w:hAnsi="標楷體" w:hint="eastAsia"/>
                <w:spacing w:val="-26"/>
                <w:sz w:val="24"/>
                <w:szCs w:val="24"/>
              </w:rPr>
              <w:t>定期召開會議，並具實質監督考核功能。</w:t>
            </w:r>
          </w:p>
        </w:tc>
      </w:tr>
      <w:tr w:rsidR="0040606A" w:rsidTr="00C055EF">
        <w:tc>
          <w:tcPr>
            <w:tcW w:w="959"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spacing w:line="260" w:lineRule="exact"/>
              <w:ind w:leftChars="-19" w:hangingChars="25" w:hanging="65"/>
              <w:jc w:val="center"/>
              <w:rPr>
                <w:rFonts w:ascii="Times New Roman" w:hAnsi="標楷體"/>
                <w:sz w:val="24"/>
                <w:szCs w:val="24"/>
              </w:rPr>
            </w:pPr>
            <w:r>
              <w:rPr>
                <w:rFonts w:ascii="Times New Roman" w:hAnsi="標楷體" w:hint="eastAsia"/>
                <w:sz w:val="24"/>
                <w:szCs w:val="24"/>
              </w:rPr>
              <w:t>高雄市</w:t>
            </w:r>
          </w:p>
        </w:tc>
        <w:tc>
          <w:tcPr>
            <w:tcW w:w="1175"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如期召開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定期召開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定期召開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定期召開</w:t>
            </w:r>
          </w:p>
        </w:tc>
        <w:tc>
          <w:tcPr>
            <w:tcW w:w="1939"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topLinePunct/>
              <w:spacing w:line="260" w:lineRule="exact"/>
              <w:ind w:leftChars="-24" w:left="-82" w:rightChars="-15" w:right="-51" w:firstLineChars="6" w:firstLine="12"/>
              <w:rPr>
                <w:rFonts w:ascii="Times New Roman" w:hAnsi="標楷體"/>
                <w:spacing w:val="-26"/>
                <w:sz w:val="24"/>
                <w:szCs w:val="24"/>
              </w:rPr>
            </w:pPr>
            <w:r w:rsidRPr="00C52751">
              <w:rPr>
                <w:rFonts w:ascii="Times New Roman" w:hAnsi="標楷體" w:hint="eastAsia"/>
                <w:spacing w:val="-26"/>
                <w:sz w:val="24"/>
                <w:szCs w:val="24"/>
              </w:rPr>
              <w:t>定期召開會議，並具實質監督考核功能。</w:t>
            </w:r>
          </w:p>
        </w:tc>
      </w:tr>
      <w:tr w:rsidR="0040606A" w:rsidTr="00C055EF">
        <w:tc>
          <w:tcPr>
            <w:tcW w:w="959"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spacing w:line="260" w:lineRule="exact"/>
              <w:ind w:leftChars="-19" w:hangingChars="25" w:hanging="65"/>
              <w:jc w:val="center"/>
              <w:rPr>
                <w:rFonts w:ascii="Times New Roman" w:hAnsi="標楷體"/>
                <w:sz w:val="24"/>
                <w:szCs w:val="24"/>
              </w:rPr>
            </w:pPr>
            <w:r>
              <w:rPr>
                <w:rFonts w:ascii="Times New Roman" w:hAnsi="標楷體" w:hint="eastAsia"/>
                <w:sz w:val="24"/>
                <w:szCs w:val="24"/>
              </w:rPr>
              <w:t>宜蘭縣</w:t>
            </w:r>
          </w:p>
        </w:tc>
        <w:tc>
          <w:tcPr>
            <w:tcW w:w="1175"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如期召開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811FE5" w:rsidRPr="00C52751" w:rsidRDefault="0040606A" w:rsidP="00811FE5">
            <w:pPr>
              <w:pStyle w:val="5"/>
              <w:numPr>
                <w:ilvl w:val="0"/>
                <w:numId w:val="0"/>
              </w:numPr>
              <w:topLinePunct/>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定期召開</w:t>
            </w:r>
          </w:p>
          <w:p w:rsidR="0040606A" w:rsidRPr="00C52751" w:rsidRDefault="0040606A" w:rsidP="00C055EF">
            <w:pPr>
              <w:pStyle w:val="5"/>
              <w:numPr>
                <w:ilvl w:val="0"/>
                <w:numId w:val="0"/>
              </w:numPr>
              <w:topLinePunct/>
              <w:spacing w:line="260" w:lineRule="exact"/>
              <w:ind w:leftChars="-17" w:left="-58" w:rightChars="-12" w:right="-41"/>
              <w:rPr>
                <w:rFonts w:ascii="Times New Roman" w:hAnsi="標楷體"/>
                <w:spacing w:val="-20"/>
                <w:sz w:val="24"/>
                <w:szCs w:val="24"/>
              </w:rPr>
            </w:pPr>
            <w:r w:rsidRPr="00C52751">
              <w:rPr>
                <w:rFonts w:ascii="Times New Roman" w:hAnsi="標楷體"/>
                <w:spacing w:val="-20"/>
                <w:sz w:val="24"/>
                <w:szCs w:val="24"/>
              </w:rPr>
              <w:t>(</w:t>
            </w:r>
            <w:r w:rsidRPr="00C52751">
              <w:rPr>
                <w:rFonts w:ascii="Times New Roman" w:hAnsi="標楷體" w:hint="eastAsia"/>
                <w:spacing w:val="-22"/>
                <w:sz w:val="23"/>
                <w:szCs w:val="23"/>
              </w:rPr>
              <w:t>實質</w:t>
            </w:r>
            <w:r w:rsidRPr="00C52751">
              <w:rPr>
                <w:rFonts w:ascii="Times New Roman" w:hAnsi="標楷體" w:hint="eastAsia"/>
                <w:spacing w:val="-20"/>
                <w:sz w:val="24"/>
                <w:szCs w:val="24"/>
              </w:rPr>
              <w:t>功能待加強</w:t>
            </w:r>
            <w:r w:rsidRPr="00C52751">
              <w:rPr>
                <w:rFonts w:ascii="Times New Roman" w:hAnsi="標楷體"/>
                <w:spacing w:val="-20"/>
                <w:sz w:val="24"/>
                <w:szCs w:val="24"/>
              </w:rPr>
              <w:t>)</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topLinePunct/>
              <w:spacing w:line="260" w:lineRule="exact"/>
              <w:ind w:leftChars="-17" w:left="-58" w:rightChars="-12" w:right="-41"/>
              <w:rPr>
                <w:rFonts w:ascii="Times New Roman" w:hAnsi="標楷體"/>
                <w:spacing w:val="-20"/>
                <w:sz w:val="24"/>
                <w:szCs w:val="24"/>
              </w:rPr>
            </w:pPr>
            <w:r w:rsidRPr="00C52751">
              <w:rPr>
                <w:rFonts w:ascii="Times New Roman" w:hAnsi="標楷體" w:hint="eastAsia"/>
                <w:spacing w:val="-20"/>
                <w:sz w:val="24"/>
                <w:szCs w:val="24"/>
              </w:rPr>
              <w:t>定期召開</w:t>
            </w:r>
            <w:r w:rsidRPr="00C52751">
              <w:rPr>
                <w:rFonts w:ascii="Times New Roman" w:hAnsi="標楷體"/>
                <w:spacing w:val="-20"/>
                <w:sz w:val="24"/>
                <w:szCs w:val="24"/>
              </w:rPr>
              <w:t>(</w:t>
            </w:r>
            <w:r w:rsidRPr="00C52751">
              <w:rPr>
                <w:rFonts w:ascii="Times New Roman" w:hAnsi="標楷體" w:hint="eastAsia"/>
                <w:spacing w:val="-22"/>
                <w:sz w:val="23"/>
                <w:szCs w:val="23"/>
              </w:rPr>
              <w:t>實質</w:t>
            </w:r>
            <w:r w:rsidRPr="00C52751">
              <w:rPr>
                <w:rFonts w:ascii="Times New Roman" w:hAnsi="標楷體" w:hint="eastAsia"/>
                <w:spacing w:val="-20"/>
                <w:sz w:val="24"/>
                <w:szCs w:val="24"/>
              </w:rPr>
              <w:t>功能待加強</w:t>
            </w:r>
            <w:r w:rsidRPr="00C52751">
              <w:rPr>
                <w:rFonts w:ascii="Times New Roman" w:hAnsi="標楷體"/>
                <w:spacing w:val="-20"/>
                <w:sz w:val="24"/>
                <w:szCs w:val="24"/>
              </w:rPr>
              <w:t>)</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定期召開</w:t>
            </w:r>
          </w:p>
        </w:tc>
        <w:tc>
          <w:tcPr>
            <w:tcW w:w="1939"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topLinePunct/>
              <w:spacing w:line="260" w:lineRule="exact"/>
              <w:ind w:leftChars="-24" w:left="-82" w:rightChars="-15" w:right="-51" w:firstLineChars="6" w:firstLine="12"/>
              <w:rPr>
                <w:rFonts w:ascii="Times New Roman" w:hAnsi="標楷體"/>
                <w:spacing w:val="-26"/>
                <w:sz w:val="24"/>
                <w:szCs w:val="24"/>
              </w:rPr>
            </w:pPr>
            <w:r w:rsidRPr="00C52751">
              <w:rPr>
                <w:rFonts w:ascii="Times New Roman" w:hAnsi="標楷體" w:hint="eastAsia"/>
                <w:spacing w:val="-26"/>
                <w:sz w:val="24"/>
                <w:szCs w:val="24"/>
              </w:rPr>
              <w:t>定期召開會議，並具實質監督考核功能。</w:t>
            </w:r>
          </w:p>
        </w:tc>
      </w:tr>
      <w:tr w:rsidR="0040606A" w:rsidTr="00C055EF">
        <w:tc>
          <w:tcPr>
            <w:tcW w:w="959"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spacing w:line="260" w:lineRule="exact"/>
              <w:ind w:leftChars="-19" w:hangingChars="25" w:hanging="65"/>
              <w:jc w:val="center"/>
              <w:rPr>
                <w:rFonts w:ascii="Times New Roman" w:hAnsi="標楷體"/>
                <w:sz w:val="24"/>
                <w:szCs w:val="24"/>
              </w:rPr>
            </w:pPr>
            <w:r>
              <w:rPr>
                <w:rFonts w:ascii="Times New Roman" w:hAnsi="標楷體" w:hint="eastAsia"/>
                <w:sz w:val="24"/>
                <w:szCs w:val="24"/>
              </w:rPr>
              <w:t>新竹縣</w:t>
            </w:r>
          </w:p>
        </w:tc>
        <w:tc>
          <w:tcPr>
            <w:tcW w:w="1175"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如期召開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定期召開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topLinePunct/>
              <w:spacing w:line="260" w:lineRule="exact"/>
              <w:ind w:leftChars="-17" w:left="-58" w:rightChars="-12" w:right="-41"/>
              <w:rPr>
                <w:rFonts w:ascii="Times New Roman" w:hAnsi="標楷體"/>
                <w:spacing w:val="-20"/>
                <w:sz w:val="24"/>
                <w:szCs w:val="24"/>
              </w:rPr>
            </w:pPr>
            <w:r w:rsidRPr="00C52751">
              <w:rPr>
                <w:rFonts w:ascii="Times New Roman" w:hAnsi="標楷體" w:hint="eastAsia"/>
                <w:spacing w:val="-20"/>
                <w:sz w:val="24"/>
                <w:szCs w:val="24"/>
              </w:rPr>
              <w:t>定期召開</w:t>
            </w:r>
            <w:r w:rsidRPr="00C52751">
              <w:rPr>
                <w:rFonts w:ascii="Times New Roman" w:hAnsi="標楷體"/>
                <w:spacing w:val="-20"/>
                <w:sz w:val="24"/>
                <w:szCs w:val="24"/>
              </w:rPr>
              <w:t>(</w:t>
            </w:r>
            <w:r w:rsidRPr="00C52751">
              <w:rPr>
                <w:rFonts w:ascii="Times New Roman" w:hAnsi="標楷體" w:hint="eastAsia"/>
                <w:spacing w:val="-20"/>
                <w:sz w:val="24"/>
                <w:szCs w:val="24"/>
              </w:rPr>
              <w:t>實質功能待加強</w:t>
            </w:r>
            <w:r w:rsidRPr="00C52751">
              <w:rPr>
                <w:rFonts w:ascii="Times New Roman" w:hAnsi="標楷體"/>
                <w:spacing w:val="-20"/>
                <w:sz w:val="24"/>
                <w:szCs w:val="24"/>
              </w:rPr>
              <w:t>)</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定期召開</w:t>
            </w:r>
          </w:p>
        </w:tc>
        <w:tc>
          <w:tcPr>
            <w:tcW w:w="1939"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topLinePunct/>
              <w:spacing w:line="260" w:lineRule="exact"/>
              <w:ind w:leftChars="-24" w:left="-82" w:rightChars="-15" w:right="-51" w:firstLineChars="6" w:firstLine="12"/>
              <w:rPr>
                <w:rFonts w:ascii="Times New Roman" w:hAnsi="標楷體"/>
                <w:spacing w:val="-26"/>
                <w:sz w:val="24"/>
                <w:szCs w:val="24"/>
              </w:rPr>
            </w:pPr>
            <w:r w:rsidRPr="00C52751">
              <w:rPr>
                <w:rFonts w:ascii="Times New Roman" w:hAnsi="標楷體" w:hint="eastAsia"/>
                <w:spacing w:val="-26"/>
                <w:sz w:val="24"/>
                <w:szCs w:val="24"/>
              </w:rPr>
              <w:t>定期召開會議，並具實質監督考核功能。</w:t>
            </w:r>
          </w:p>
        </w:tc>
      </w:tr>
      <w:tr w:rsidR="0040606A" w:rsidTr="00C055EF">
        <w:tc>
          <w:tcPr>
            <w:tcW w:w="959"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spacing w:line="260" w:lineRule="exact"/>
              <w:ind w:leftChars="-19" w:hangingChars="25" w:hanging="65"/>
              <w:jc w:val="center"/>
              <w:rPr>
                <w:rFonts w:ascii="Times New Roman" w:hAnsi="標楷體"/>
                <w:sz w:val="24"/>
                <w:szCs w:val="24"/>
              </w:rPr>
            </w:pPr>
            <w:r>
              <w:rPr>
                <w:rFonts w:ascii="Times New Roman" w:hAnsi="標楷體" w:hint="eastAsia"/>
                <w:sz w:val="24"/>
                <w:szCs w:val="24"/>
              </w:rPr>
              <w:t>苗栗縣</w:t>
            </w:r>
          </w:p>
        </w:tc>
        <w:tc>
          <w:tcPr>
            <w:tcW w:w="1175"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如期召開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811FE5" w:rsidRPr="00C52751" w:rsidRDefault="0040606A" w:rsidP="00811FE5">
            <w:pPr>
              <w:pStyle w:val="5"/>
              <w:numPr>
                <w:ilvl w:val="0"/>
                <w:numId w:val="0"/>
              </w:numPr>
              <w:topLinePunct/>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定期召開</w:t>
            </w:r>
          </w:p>
          <w:p w:rsidR="0040606A" w:rsidRPr="00C52751" w:rsidRDefault="0040606A" w:rsidP="00C055EF">
            <w:pPr>
              <w:pStyle w:val="5"/>
              <w:numPr>
                <w:ilvl w:val="0"/>
                <w:numId w:val="0"/>
              </w:numPr>
              <w:topLinePunct/>
              <w:spacing w:line="260" w:lineRule="exact"/>
              <w:ind w:leftChars="-17" w:left="-58" w:rightChars="-12" w:right="-41"/>
              <w:rPr>
                <w:rFonts w:ascii="Times New Roman" w:hAnsi="標楷體"/>
                <w:spacing w:val="-20"/>
                <w:sz w:val="24"/>
                <w:szCs w:val="24"/>
              </w:rPr>
            </w:pPr>
            <w:r w:rsidRPr="00C52751">
              <w:rPr>
                <w:rFonts w:ascii="Times New Roman" w:hAnsi="標楷體"/>
                <w:spacing w:val="-20"/>
                <w:sz w:val="24"/>
                <w:szCs w:val="24"/>
              </w:rPr>
              <w:t>(</w:t>
            </w:r>
            <w:r w:rsidRPr="00C52751">
              <w:rPr>
                <w:rFonts w:ascii="Times New Roman" w:hAnsi="標楷體" w:hint="eastAsia"/>
                <w:spacing w:val="-22"/>
                <w:sz w:val="23"/>
                <w:szCs w:val="23"/>
              </w:rPr>
              <w:t>實質</w:t>
            </w:r>
            <w:r w:rsidRPr="00C52751">
              <w:rPr>
                <w:rFonts w:ascii="Times New Roman" w:hAnsi="標楷體" w:hint="eastAsia"/>
                <w:spacing w:val="-20"/>
                <w:sz w:val="24"/>
                <w:szCs w:val="24"/>
              </w:rPr>
              <w:t>功能待加強</w:t>
            </w:r>
            <w:r w:rsidRPr="00C52751">
              <w:rPr>
                <w:rFonts w:ascii="Times New Roman" w:hAnsi="標楷體"/>
                <w:spacing w:val="-20"/>
                <w:sz w:val="24"/>
                <w:szCs w:val="24"/>
              </w:rPr>
              <w:t>)</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topLinePunct/>
              <w:spacing w:line="260" w:lineRule="exact"/>
              <w:ind w:leftChars="-17" w:left="-58" w:rightChars="-12" w:right="-41"/>
              <w:rPr>
                <w:rFonts w:ascii="Times New Roman" w:hAnsi="標楷體"/>
                <w:spacing w:val="-20"/>
                <w:sz w:val="24"/>
                <w:szCs w:val="24"/>
              </w:rPr>
            </w:pPr>
            <w:r w:rsidRPr="00C52751">
              <w:rPr>
                <w:rFonts w:ascii="Times New Roman" w:hAnsi="標楷體" w:hint="eastAsia"/>
                <w:spacing w:val="-20"/>
                <w:sz w:val="24"/>
                <w:szCs w:val="24"/>
              </w:rPr>
              <w:t>定期召開</w:t>
            </w:r>
            <w:r w:rsidRPr="00C52751">
              <w:rPr>
                <w:rFonts w:ascii="Times New Roman" w:hAnsi="標楷體"/>
                <w:spacing w:val="-20"/>
                <w:sz w:val="24"/>
                <w:szCs w:val="24"/>
              </w:rPr>
              <w:t>(</w:t>
            </w:r>
            <w:r w:rsidRPr="00C52751">
              <w:rPr>
                <w:rFonts w:ascii="Times New Roman" w:hAnsi="標楷體" w:hint="eastAsia"/>
                <w:spacing w:val="-20"/>
                <w:sz w:val="24"/>
                <w:szCs w:val="24"/>
              </w:rPr>
              <w:t>實質功能待加強</w:t>
            </w:r>
            <w:r w:rsidRPr="00C52751">
              <w:rPr>
                <w:rFonts w:ascii="Times New Roman" w:hAnsi="標楷體"/>
                <w:spacing w:val="-20"/>
                <w:sz w:val="24"/>
                <w:szCs w:val="24"/>
              </w:rPr>
              <w:t>)</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定期召開</w:t>
            </w:r>
          </w:p>
        </w:tc>
        <w:tc>
          <w:tcPr>
            <w:tcW w:w="1939"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topLinePunct/>
              <w:spacing w:line="260" w:lineRule="exact"/>
              <w:ind w:leftChars="-24" w:left="-82" w:rightChars="-15" w:right="-51" w:firstLineChars="6" w:firstLine="12"/>
              <w:rPr>
                <w:rFonts w:ascii="Times New Roman" w:hAnsi="標楷體"/>
                <w:spacing w:val="-26"/>
                <w:sz w:val="24"/>
                <w:szCs w:val="24"/>
              </w:rPr>
            </w:pPr>
            <w:r w:rsidRPr="00C52751">
              <w:rPr>
                <w:rFonts w:ascii="Times New Roman" w:hAnsi="標楷體" w:hint="eastAsia"/>
                <w:spacing w:val="-26"/>
                <w:sz w:val="24"/>
                <w:szCs w:val="24"/>
              </w:rPr>
              <w:t>定期召開會議，並具實質監督考核功能。</w:t>
            </w:r>
          </w:p>
        </w:tc>
      </w:tr>
      <w:tr w:rsidR="0040606A" w:rsidTr="00C055EF">
        <w:tc>
          <w:tcPr>
            <w:tcW w:w="959"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spacing w:line="260" w:lineRule="exact"/>
              <w:ind w:leftChars="-19" w:hangingChars="25" w:hanging="65"/>
              <w:jc w:val="center"/>
              <w:rPr>
                <w:rFonts w:ascii="Times New Roman" w:hAnsi="標楷體"/>
                <w:sz w:val="24"/>
                <w:szCs w:val="24"/>
              </w:rPr>
            </w:pPr>
            <w:r>
              <w:rPr>
                <w:rFonts w:ascii="Times New Roman" w:hAnsi="標楷體" w:hint="eastAsia"/>
                <w:sz w:val="24"/>
                <w:szCs w:val="24"/>
              </w:rPr>
              <w:t>彰化縣</w:t>
            </w:r>
          </w:p>
        </w:tc>
        <w:tc>
          <w:tcPr>
            <w:tcW w:w="1175"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如期召開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811FE5" w:rsidRPr="00C52751" w:rsidRDefault="0040606A" w:rsidP="00811FE5">
            <w:pPr>
              <w:pStyle w:val="5"/>
              <w:numPr>
                <w:ilvl w:val="0"/>
                <w:numId w:val="0"/>
              </w:numPr>
              <w:topLinePunct/>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定期召開</w:t>
            </w:r>
          </w:p>
          <w:p w:rsidR="0040606A" w:rsidRPr="00C52751" w:rsidRDefault="0040606A" w:rsidP="00C055EF">
            <w:pPr>
              <w:pStyle w:val="5"/>
              <w:numPr>
                <w:ilvl w:val="0"/>
                <w:numId w:val="0"/>
              </w:numPr>
              <w:topLinePunct/>
              <w:spacing w:line="260" w:lineRule="exact"/>
              <w:ind w:leftChars="-17" w:left="-58" w:rightChars="-12" w:right="-41"/>
              <w:rPr>
                <w:rFonts w:ascii="Times New Roman" w:hAnsi="標楷體"/>
                <w:spacing w:val="-20"/>
                <w:sz w:val="24"/>
                <w:szCs w:val="24"/>
              </w:rPr>
            </w:pPr>
            <w:r w:rsidRPr="00C52751">
              <w:rPr>
                <w:rFonts w:ascii="Times New Roman" w:hAnsi="標楷體"/>
                <w:spacing w:val="-20"/>
                <w:sz w:val="24"/>
                <w:szCs w:val="24"/>
              </w:rPr>
              <w:t>(</w:t>
            </w:r>
            <w:r w:rsidRPr="00C52751">
              <w:rPr>
                <w:rFonts w:ascii="Times New Roman" w:hAnsi="標楷體" w:hint="eastAsia"/>
                <w:spacing w:val="-22"/>
                <w:sz w:val="23"/>
                <w:szCs w:val="23"/>
              </w:rPr>
              <w:t>實質</w:t>
            </w:r>
            <w:r w:rsidRPr="00C52751">
              <w:rPr>
                <w:rFonts w:ascii="Times New Roman" w:hAnsi="標楷體" w:hint="eastAsia"/>
                <w:spacing w:val="-20"/>
                <w:sz w:val="24"/>
                <w:szCs w:val="24"/>
              </w:rPr>
              <w:t>功能待加強</w:t>
            </w:r>
            <w:r w:rsidRPr="00C52751">
              <w:rPr>
                <w:rFonts w:ascii="Times New Roman" w:hAnsi="標楷體"/>
                <w:spacing w:val="-20"/>
                <w:sz w:val="24"/>
                <w:szCs w:val="24"/>
              </w:rPr>
              <w:t>)</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topLinePunct/>
              <w:spacing w:line="260" w:lineRule="exact"/>
              <w:ind w:leftChars="-17" w:left="-58" w:rightChars="-12" w:right="-41"/>
              <w:rPr>
                <w:rFonts w:ascii="Times New Roman" w:hAnsi="標楷體"/>
                <w:spacing w:val="-20"/>
                <w:sz w:val="24"/>
                <w:szCs w:val="24"/>
              </w:rPr>
            </w:pPr>
            <w:r w:rsidRPr="00C52751">
              <w:rPr>
                <w:rFonts w:ascii="Times New Roman" w:hAnsi="標楷體" w:hint="eastAsia"/>
                <w:spacing w:val="-20"/>
                <w:sz w:val="24"/>
                <w:szCs w:val="24"/>
              </w:rPr>
              <w:t>定期召開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定期召開</w:t>
            </w:r>
          </w:p>
        </w:tc>
        <w:tc>
          <w:tcPr>
            <w:tcW w:w="1939"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topLinePunct/>
              <w:spacing w:line="260" w:lineRule="exact"/>
              <w:ind w:leftChars="-24" w:left="-82" w:rightChars="-15" w:right="-51" w:firstLineChars="6" w:firstLine="12"/>
              <w:rPr>
                <w:rFonts w:ascii="Times New Roman" w:hAnsi="標楷體"/>
                <w:spacing w:val="-26"/>
                <w:sz w:val="24"/>
                <w:szCs w:val="24"/>
              </w:rPr>
            </w:pPr>
            <w:r w:rsidRPr="00C52751">
              <w:rPr>
                <w:rFonts w:ascii="Times New Roman" w:hAnsi="標楷體" w:hint="eastAsia"/>
                <w:spacing w:val="-26"/>
                <w:sz w:val="24"/>
                <w:szCs w:val="24"/>
              </w:rPr>
              <w:t>定期召開會議，並具實質監督考核功能。</w:t>
            </w:r>
          </w:p>
        </w:tc>
      </w:tr>
      <w:tr w:rsidR="0040606A" w:rsidTr="00C055EF">
        <w:tc>
          <w:tcPr>
            <w:tcW w:w="959"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spacing w:line="260" w:lineRule="exact"/>
              <w:ind w:leftChars="-19" w:hangingChars="25" w:hanging="65"/>
              <w:jc w:val="center"/>
              <w:rPr>
                <w:rFonts w:ascii="Times New Roman" w:hAnsi="標楷體"/>
                <w:sz w:val="24"/>
                <w:szCs w:val="24"/>
              </w:rPr>
            </w:pPr>
            <w:r>
              <w:rPr>
                <w:rFonts w:ascii="Times New Roman" w:hAnsi="標楷體" w:hint="eastAsia"/>
                <w:sz w:val="24"/>
                <w:szCs w:val="24"/>
              </w:rPr>
              <w:t>南投縣</w:t>
            </w:r>
          </w:p>
        </w:tc>
        <w:tc>
          <w:tcPr>
            <w:tcW w:w="1175"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如期召開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811FE5" w:rsidRPr="00C52751" w:rsidRDefault="0040606A" w:rsidP="00811FE5">
            <w:pPr>
              <w:pStyle w:val="5"/>
              <w:numPr>
                <w:ilvl w:val="0"/>
                <w:numId w:val="0"/>
              </w:numPr>
              <w:topLinePunct/>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定期召開</w:t>
            </w:r>
          </w:p>
          <w:p w:rsidR="0040606A" w:rsidRPr="00C52751" w:rsidRDefault="0040606A" w:rsidP="00C055EF">
            <w:pPr>
              <w:pStyle w:val="5"/>
              <w:numPr>
                <w:ilvl w:val="0"/>
                <w:numId w:val="0"/>
              </w:numPr>
              <w:topLinePunct/>
              <w:spacing w:line="260" w:lineRule="exact"/>
              <w:ind w:leftChars="-17" w:left="-58" w:rightChars="-12" w:right="-41"/>
              <w:rPr>
                <w:rFonts w:ascii="Times New Roman" w:hAnsi="標楷體"/>
                <w:spacing w:val="-20"/>
                <w:sz w:val="24"/>
                <w:szCs w:val="24"/>
              </w:rPr>
            </w:pPr>
            <w:r w:rsidRPr="00C52751">
              <w:rPr>
                <w:rFonts w:ascii="Times New Roman" w:hAnsi="標楷體"/>
                <w:spacing w:val="-20"/>
                <w:sz w:val="24"/>
                <w:szCs w:val="24"/>
              </w:rPr>
              <w:t>(</w:t>
            </w:r>
            <w:r w:rsidRPr="00C52751">
              <w:rPr>
                <w:rFonts w:ascii="Times New Roman" w:hAnsi="標楷體" w:hint="eastAsia"/>
                <w:spacing w:val="-22"/>
                <w:sz w:val="23"/>
                <w:szCs w:val="23"/>
              </w:rPr>
              <w:t>實質</w:t>
            </w:r>
            <w:r w:rsidRPr="00C52751">
              <w:rPr>
                <w:rFonts w:ascii="Times New Roman" w:hAnsi="標楷體" w:hint="eastAsia"/>
                <w:spacing w:val="-20"/>
                <w:sz w:val="24"/>
                <w:szCs w:val="24"/>
              </w:rPr>
              <w:t>功能待加強</w:t>
            </w:r>
            <w:r w:rsidRPr="00C52751">
              <w:rPr>
                <w:rFonts w:ascii="Times New Roman" w:hAnsi="標楷體"/>
                <w:spacing w:val="-20"/>
                <w:sz w:val="24"/>
                <w:szCs w:val="24"/>
              </w:rPr>
              <w:t>)</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topLinePunct/>
              <w:spacing w:line="260" w:lineRule="exact"/>
              <w:ind w:leftChars="-17" w:left="-58" w:rightChars="-12" w:right="-41"/>
              <w:rPr>
                <w:rFonts w:ascii="Times New Roman" w:hAnsi="標楷體"/>
                <w:spacing w:val="-20"/>
                <w:sz w:val="24"/>
                <w:szCs w:val="24"/>
              </w:rPr>
            </w:pPr>
            <w:r w:rsidRPr="00C52751">
              <w:rPr>
                <w:rFonts w:ascii="Times New Roman" w:hAnsi="標楷體" w:hint="eastAsia"/>
                <w:spacing w:val="-20"/>
                <w:sz w:val="24"/>
                <w:szCs w:val="24"/>
              </w:rPr>
              <w:t>定期召開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定期召開</w:t>
            </w:r>
          </w:p>
        </w:tc>
        <w:tc>
          <w:tcPr>
            <w:tcW w:w="1939"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60" w:lineRule="exact"/>
              <w:ind w:leftChars="-24" w:left="-82" w:rightChars="-15" w:right="-51" w:firstLineChars="6" w:firstLine="12"/>
              <w:rPr>
                <w:rFonts w:ascii="Times New Roman" w:hAnsi="標楷體"/>
                <w:spacing w:val="-26"/>
                <w:sz w:val="24"/>
                <w:szCs w:val="24"/>
              </w:rPr>
            </w:pPr>
            <w:r w:rsidRPr="00C52751">
              <w:rPr>
                <w:rFonts w:ascii="Times New Roman" w:hAnsi="標楷體" w:hint="eastAsia"/>
                <w:spacing w:val="-26"/>
                <w:sz w:val="24"/>
                <w:szCs w:val="24"/>
              </w:rPr>
              <w:t>定期召開會議，並具實質監督功能，惟考核功能待加強，且未對委員辦理說明會。</w:t>
            </w:r>
          </w:p>
        </w:tc>
      </w:tr>
      <w:tr w:rsidR="0040606A" w:rsidTr="00C055EF">
        <w:tc>
          <w:tcPr>
            <w:tcW w:w="959"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spacing w:line="260" w:lineRule="exact"/>
              <w:ind w:leftChars="-19" w:hangingChars="25" w:hanging="65"/>
              <w:jc w:val="center"/>
              <w:rPr>
                <w:rFonts w:ascii="Times New Roman" w:hAnsi="標楷體"/>
                <w:sz w:val="24"/>
                <w:szCs w:val="24"/>
              </w:rPr>
            </w:pPr>
            <w:r>
              <w:rPr>
                <w:rFonts w:ascii="Times New Roman" w:hAnsi="標楷體" w:hint="eastAsia"/>
                <w:sz w:val="24"/>
                <w:szCs w:val="24"/>
              </w:rPr>
              <w:t>雲林縣</w:t>
            </w:r>
          </w:p>
        </w:tc>
        <w:tc>
          <w:tcPr>
            <w:tcW w:w="1175"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如期召開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811FE5" w:rsidRPr="00C52751" w:rsidRDefault="0040606A" w:rsidP="00811FE5">
            <w:pPr>
              <w:pStyle w:val="5"/>
              <w:numPr>
                <w:ilvl w:val="0"/>
                <w:numId w:val="0"/>
              </w:numPr>
              <w:topLinePunct/>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定期召開</w:t>
            </w:r>
          </w:p>
          <w:p w:rsidR="0040606A" w:rsidRPr="00C52751" w:rsidRDefault="0040606A" w:rsidP="00C055EF">
            <w:pPr>
              <w:pStyle w:val="5"/>
              <w:numPr>
                <w:ilvl w:val="0"/>
                <w:numId w:val="0"/>
              </w:numPr>
              <w:topLinePunct/>
              <w:spacing w:line="260" w:lineRule="exact"/>
              <w:ind w:leftChars="-17" w:left="-58" w:rightChars="-12" w:right="-41"/>
              <w:rPr>
                <w:rFonts w:ascii="Times New Roman" w:hAnsi="標楷體"/>
                <w:spacing w:val="-20"/>
                <w:sz w:val="24"/>
                <w:szCs w:val="24"/>
              </w:rPr>
            </w:pPr>
            <w:r w:rsidRPr="00C52751">
              <w:rPr>
                <w:rFonts w:ascii="Times New Roman" w:hAnsi="標楷體"/>
                <w:spacing w:val="-20"/>
                <w:sz w:val="24"/>
                <w:szCs w:val="24"/>
              </w:rPr>
              <w:t>(</w:t>
            </w:r>
            <w:r w:rsidRPr="00C52751">
              <w:rPr>
                <w:rFonts w:ascii="Times New Roman" w:hAnsi="標楷體" w:hint="eastAsia"/>
                <w:spacing w:val="-22"/>
                <w:sz w:val="23"/>
                <w:szCs w:val="23"/>
              </w:rPr>
              <w:t>實質</w:t>
            </w:r>
            <w:r w:rsidRPr="00C52751">
              <w:rPr>
                <w:rFonts w:ascii="Times New Roman" w:hAnsi="標楷體" w:hint="eastAsia"/>
                <w:spacing w:val="-20"/>
                <w:sz w:val="24"/>
                <w:szCs w:val="24"/>
              </w:rPr>
              <w:t>功能待加強</w:t>
            </w:r>
            <w:r w:rsidRPr="00C52751">
              <w:rPr>
                <w:rFonts w:ascii="Times New Roman" w:hAnsi="標楷體"/>
                <w:spacing w:val="-20"/>
                <w:sz w:val="24"/>
                <w:szCs w:val="24"/>
              </w:rPr>
              <w:t>)</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topLinePunct/>
              <w:spacing w:line="260" w:lineRule="exact"/>
              <w:ind w:leftChars="-17" w:left="-58" w:rightChars="-12" w:right="-41"/>
              <w:rPr>
                <w:rFonts w:ascii="Times New Roman" w:hAnsi="標楷體"/>
                <w:spacing w:val="-20"/>
                <w:sz w:val="24"/>
                <w:szCs w:val="24"/>
              </w:rPr>
            </w:pPr>
            <w:r w:rsidRPr="00C52751">
              <w:rPr>
                <w:rFonts w:ascii="Times New Roman" w:hAnsi="標楷體" w:hint="eastAsia"/>
                <w:spacing w:val="-20"/>
                <w:sz w:val="24"/>
                <w:szCs w:val="24"/>
              </w:rPr>
              <w:t>定期召開</w:t>
            </w:r>
            <w:r w:rsidRPr="00C52751">
              <w:rPr>
                <w:rFonts w:ascii="Times New Roman" w:hAnsi="標楷體"/>
                <w:spacing w:val="-20"/>
                <w:sz w:val="24"/>
                <w:szCs w:val="24"/>
              </w:rPr>
              <w:t>(</w:t>
            </w:r>
            <w:r w:rsidRPr="00C52751">
              <w:rPr>
                <w:rFonts w:ascii="Times New Roman" w:hAnsi="標楷體" w:hint="eastAsia"/>
                <w:spacing w:val="-20"/>
                <w:sz w:val="24"/>
                <w:szCs w:val="24"/>
              </w:rPr>
              <w:t>未執行會議決議</w:t>
            </w:r>
            <w:r w:rsidRPr="00C52751">
              <w:rPr>
                <w:rFonts w:ascii="Times New Roman" w:hAnsi="標楷體"/>
                <w:spacing w:val="-20"/>
                <w:sz w:val="24"/>
                <w:szCs w:val="24"/>
              </w:rPr>
              <w:t>)</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定期召開</w:t>
            </w:r>
          </w:p>
        </w:tc>
        <w:tc>
          <w:tcPr>
            <w:tcW w:w="1939"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topLinePunct/>
              <w:spacing w:line="260" w:lineRule="exact"/>
              <w:ind w:leftChars="-24" w:left="-82" w:rightChars="-15" w:right="-51" w:firstLineChars="6" w:firstLine="12"/>
              <w:rPr>
                <w:rFonts w:ascii="Times New Roman" w:hAnsi="標楷體"/>
                <w:spacing w:val="-26"/>
                <w:sz w:val="24"/>
                <w:szCs w:val="24"/>
              </w:rPr>
            </w:pPr>
            <w:r w:rsidRPr="00C52751">
              <w:rPr>
                <w:rFonts w:ascii="Times New Roman" w:hAnsi="標楷體" w:hint="eastAsia"/>
                <w:spacing w:val="-26"/>
                <w:sz w:val="24"/>
                <w:szCs w:val="24"/>
              </w:rPr>
              <w:t>定期召開會議，並具實質監督功能，惟考核功能待加強。</w:t>
            </w:r>
          </w:p>
        </w:tc>
      </w:tr>
      <w:tr w:rsidR="0040606A" w:rsidTr="00C055EF">
        <w:tc>
          <w:tcPr>
            <w:tcW w:w="959"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spacing w:line="260" w:lineRule="exact"/>
              <w:ind w:leftChars="-19" w:hangingChars="25" w:hanging="65"/>
              <w:jc w:val="center"/>
              <w:rPr>
                <w:rFonts w:ascii="Times New Roman" w:hAnsi="標楷體"/>
                <w:sz w:val="24"/>
                <w:szCs w:val="24"/>
              </w:rPr>
            </w:pPr>
            <w:r>
              <w:rPr>
                <w:rFonts w:ascii="Times New Roman" w:hAnsi="標楷體" w:hint="eastAsia"/>
                <w:sz w:val="24"/>
                <w:szCs w:val="24"/>
              </w:rPr>
              <w:t>嘉義縣</w:t>
            </w:r>
          </w:p>
        </w:tc>
        <w:tc>
          <w:tcPr>
            <w:tcW w:w="1175"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如期召開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定期召開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定期召開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定期召開</w:t>
            </w:r>
          </w:p>
        </w:tc>
        <w:tc>
          <w:tcPr>
            <w:tcW w:w="1939"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60" w:lineRule="exact"/>
              <w:ind w:leftChars="-24" w:left="-82" w:rightChars="-15" w:right="-51" w:firstLineChars="6" w:firstLine="12"/>
              <w:rPr>
                <w:rFonts w:ascii="Times New Roman" w:hAnsi="標楷體"/>
                <w:spacing w:val="-26"/>
                <w:sz w:val="24"/>
                <w:szCs w:val="24"/>
              </w:rPr>
            </w:pPr>
            <w:r w:rsidRPr="00C52751">
              <w:rPr>
                <w:rFonts w:ascii="Times New Roman" w:hAnsi="標楷體" w:hint="eastAsia"/>
                <w:spacing w:val="-26"/>
                <w:sz w:val="24"/>
                <w:szCs w:val="24"/>
              </w:rPr>
              <w:t>定期召開會議，並具實質監督功能，惟考核功能待加強，且未對委員辦理說明會。</w:t>
            </w:r>
          </w:p>
        </w:tc>
      </w:tr>
      <w:tr w:rsidR="0040606A" w:rsidTr="00C055EF">
        <w:tc>
          <w:tcPr>
            <w:tcW w:w="959"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spacing w:line="260" w:lineRule="exact"/>
              <w:ind w:leftChars="-19" w:hangingChars="25" w:hanging="65"/>
              <w:jc w:val="center"/>
              <w:rPr>
                <w:rFonts w:ascii="Times New Roman" w:hAnsi="標楷體"/>
                <w:sz w:val="24"/>
                <w:szCs w:val="24"/>
              </w:rPr>
            </w:pPr>
            <w:r>
              <w:rPr>
                <w:rFonts w:ascii="Times New Roman" w:hAnsi="標楷體" w:hint="eastAsia"/>
                <w:sz w:val="24"/>
                <w:szCs w:val="24"/>
              </w:rPr>
              <w:t>屏東縣</w:t>
            </w:r>
          </w:p>
        </w:tc>
        <w:tc>
          <w:tcPr>
            <w:tcW w:w="1175"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如期召開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定期召開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topLinePunct/>
              <w:spacing w:line="260" w:lineRule="exact"/>
              <w:ind w:leftChars="-17" w:left="-58" w:rightChars="-12" w:right="-41"/>
              <w:rPr>
                <w:rFonts w:ascii="Times New Roman" w:hAnsi="標楷體"/>
                <w:spacing w:val="-20"/>
                <w:sz w:val="24"/>
                <w:szCs w:val="24"/>
              </w:rPr>
            </w:pPr>
            <w:r w:rsidRPr="00C52751">
              <w:rPr>
                <w:rFonts w:ascii="Times New Roman" w:hAnsi="標楷體" w:hint="eastAsia"/>
                <w:spacing w:val="-20"/>
                <w:sz w:val="24"/>
                <w:szCs w:val="24"/>
              </w:rPr>
              <w:t>定期召開</w:t>
            </w:r>
            <w:r w:rsidRPr="00C52751">
              <w:rPr>
                <w:rFonts w:ascii="Times New Roman" w:hAnsi="標楷體"/>
                <w:spacing w:val="-20"/>
                <w:sz w:val="24"/>
                <w:szCs w:val="24"/>
              </w:rPr>
              <w:t>(</w:t>
            </w:r>
            <w:r w:rsidRPr="00C52751">
              <w:rPr>
                <w:rFonts w:ascii="Times New Roman" w:hAnsi="標楷體" w:hint="eastAsia"/>
                <w:spacing w:val="-22"/>
                <w:sz w:val="23"/>
                <w:szCs w:val="23"/>
              </w:rPr>
              <w:t>實質</w:t>
            </w:r>
            <w:r w:rsidRPr="00C52751">
              <w:rPr>
                <w:rFonts w:ascii="Times New Roman" w:hAnsi="標楷體" w:hint="eastAsia"/>
                <w:spacing w:val="-20"/>
                <w:sz w:val="24"/>
                <w:szCs w:val="24"/>
              </w:rPr>
              <w:t>功能待加強</w:t>
            </w:r>
            <w:r w:rsidRPr="00C52751">
              <w:rPr>
                <w:rFonts w:ascii="Times New Roman" w:hAnsi="標楷體"/>
                <w:spacing w:val="-20"/>
                <w:sz w:val="24"/>
                <w:szCs w:val="24"/>
              </w:rPr>
              <w:t>)</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topLinePunct/>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定期召開</w:t>
            </w:r>
          </w:p>
        </w:tc>
        <w:tc>
          <w:tcPr>
            <w:tcW w:w="1939"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topLinePunct/>
              <w:spacing w:line="260" w:lineRule="exact"/>
              <w:ind w:leftChars="-24" w:left="-82" w:rightChars="-15" w:right="-51" w:firstLineChars="6" w:firstLine="12"/>
              <w:rPr>
                <w:rFonts w:ascii="Times New Roman" w:hAnsi="標楷體"/>
                <w:spacing w:val="-26"/>
                <w:sz w:val="24"/>
                <w:szCs w:val="24"/>
              </w:rPr>
            </w:pPr>
            <w:r w:rsidRPr="00C52751">
              <w:rPr>
                <w:rFonts w:ascii="Times New Roman" w:hAnsi="標楷體" w:hint="eastAsia"/>
                <w:spacing w:val="-26"/>
                <w:sz w:val="24"/>
                <w:szCs w:val="24"/>
              </w:rPr>
              <w:t>定期召開會議，並具實質監督考核功能。</w:t>
            </w:r>
          </w:p>
        </w:tc>
      </w:tr>
      <w:tr w:rsidR="0040606A" w:rsidTr="00C055EF">
        <w:tc>
          <w:tcPr>
            <w:tcW w:w="959"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spacing w:line="260" w:lineRule="exact"/>
              <w:ind w:leftChars="-19" w:hangingChars="25" w:hanging="65"/>
              <w:jc w:val="center"/>
              <w:rPr>
                <w:rFonts w:ascii="Times New Roman" w:hAnsi="標楷體"/>
                <w:sz w:val="24"/>
                <w:szCs w:val="24"/>
              </w:rPr>
            </w:pPr>
            <w:r>
              <w:rPr>
                <w:rFonts w:ascii="Times New Roman" w:hAnsi="標楷體" w:hint="eastAsia"/>
                <w:sz w:val="24"/>
                <w:szCs w:val="24"/>
              </w:rPr>
              <w:t>澎湖縣</w:t>
            </w:r>
          </w:p>
        </w:tc>
        <w:tc>
          <w:tcPr>
            <w:tcW w:w="1175"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如期召開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定期召開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定期召開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定期召開</w:t>
            </w:r>
          </w:p>
        </w:tc>
        <w:tc>
          <w:tcPr>
            <w:tcW w:w="1939"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topLinePunct/>
              <w:spacing w:line="260" w:lineRule="exact"/>
              <w:ind w:leftChars="-24" w:left="-82" w:rightChars="-15" w:right="-51" w:firstLineChars="6" w:firstLine="12"/>
              <w:rPr>
                <w:rFonts w:ascii="Times New Roman" w:hAnsi="標楷體"/>
                <w:spacing w:val="-26"/>
                <w:sz w:val="24"/>
                <w:szCs w:val="24"/>
              </w:rPr>
            </w:pPr>
            <w:r w:rsidRPr="00C52751">
              <w:rPr>
                <w:rFonts w:ascii="Times New Roman" w:hAnsi="標楷體" w:hint="eastAsia"/>
                <w:spacing w:val="-26"/>
                <w:sz w:val="24"/>
                <w:szCs w:val="24"/>
              </w:rPr>
              <w:t>定期召開會議，並具實質監督考核功能。</w:t>
            </w:r>
          </w:p>
        </w:tc>
      </w:tr>
      <w:tr w:rsidR="0040606A" w:rsidTr="00C055EF">
        <w:tc>
          <w:tcPr>
            <w:tcW w:w="959"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spacing w:line="260" w:lineRule="exact"/>
              <w:ind w:leftChars="-19" w:hangingChars="25" w:hanging="65"/>
              <w:jc w:val="center"/>
              <w:rPr>
                <w:rFonts w:ascii="Times New Roman" w:hAnsi="標楷體"/>
                <w:sz w:val="24"/>
                <w:szCs w:val="24"/>
              </w:rPr>
            </w:pPr>
            <w:r>
              <w:rPr>
                <w:rFonts w:ascii="Times New Roman" w:hAnsi="標楷體" w:hint="eastAsia"/>
                <w:sz w:val="24"/>
                <w:szCs w:val="24"/>
              </w:rPr>
              <w:t>花蓮縣</w:t>
            </w:r>
          </w:p>
        </w:tc>
        <w:tc>
          <w:tcPr>
            <w:tcW w:w="1175"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如期召開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topLinePunct/>
              <w:spacing w:line="260" w:lineRule="exact"/>
              <w:ind w:leftChars="-17" w:left="-58" w:rightChars="-12" w:right="-41"/>
              <w:rPr>
                <w:rFonts w:ascii="Times New Roman" w:hAnsi="標楷體"/>
                <w:spacing w:val="-20"/>
                <w:sz w:val="24"/>
                <w:szCs w:val="24"/>
              </w:rPr>
            </w:pPr>
            <w:r w:rsidRPr="00C52751">
              <w:rPr>
                <w:rFonts w:ascii="Times New Roman" w:hAnsi="標楷體" w:hint="eastAsia"/>
                <w:spacing w:val="-20"/>
                <w:sz w:val="24"/>
                <w:szCs w:val="24"/>
              </w:rPr>
              <w:t>定期召開</w:t>
            </w:r>
            <w:r w:rsidRPr="00C52751">
              <w:rPr>
                <w:rFonts w:ascii="Times New Roman" w:hAnsi="標楷體"/>
                <w:spacing w:val="-20"/>
                <w:sz w:val="24"/>
                <w:szCs w:val="24"/>
              </w:rPr>
              <w:t>(</w:t>
            </w:r>
            <w:r w:rsidRPr="00C52751">
              <w:rPr>
                <w:rFonts w:ascii="Times New Roman" w:hAnsi="標楷體" w:hint="eastAsia"/>
                <w:spacing w:val="-20"/>
                <w:sz w:val="24"/>
                <w:szCs w:val="24"/>
              </w:rPr>
              <w:t>實質功能待加強</w:t>
            </w:r>
            <w:r w:rsidRPr="00C52751">
              <w:rPr>
                <w:rFonts w:ascii="Times New Roman" w:hAnsi="標楷體"/>
                <w:spacing w:val="-20"/>
                <w:sz w:val="24"/>
                <w:szCs w:val="24"/>
              </w:rPr>
              <w:t>)</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topLinePunct/>
              <w:spacing w:line="260" w:lineRule="exact"/>
              <w:ind w:leftChars="-17" w:left="-58" w:rightChars="-12" w:right="-41"/>
              <w:rPr>
                <w:rFonts w:ascii="Times New Roman" w:hAnsi="標楷體"/>
                <w:spacing w:val="-20"/>
                <w:sz w:val="24"/>
                <w:szCs w:val="24"/>
              </w:rPr>
            </w:pPr>
            <w:r w:rsidRPr="00C52751">
              <w:rPr>
                <w:rFonts w:ascii="Times New Roman" w:hAnsi="標楷體" w:hint="eastAsia"/>
                <w:spacing w:val="-20"/>
                <w:sz w:val="24"/>
                <w:szCs w:val="24"/>
              </w:rPr>
              <w:t>定期召開</w:t>
            </w:r>
            <w:r w:rsidRPr="00C52751">
              <w:rPr>
                <w:rFonts w:ascii="Times New Roman" w:hAnsi="標楷體"/>
                <w:spacing w:val="-20"/>
                <w:sz w:val="24"/>
                <w:szCs w:val="24"/>
              </w:rPr>
              <w:t>(</w:t>
            </w:r>
            <w:r w:rsidRPr="00C52751">
              <w:rPr>
                <w:rFonts w:ascii="Times New Roman" w:hAnsi="標楷體" w:hint="eastAsia"/>
                <w:spacing w:val="-20"/>
                <w:sz w:val="24"/>
                <w:szCs w:val="24"/>
              </w:rPr>
              <w:t>實質功能待加強</w:t>
            </w:r>
            <w:r w:rsidRPr="00C52751">
              <w:rPr>
                <w:rFonts w:ascii="Times New Roman" w:hAnsi="標楷體"/>
                <w:spacing w:val="-20"/>
                <w:sz w:val="24"/>
                <w:szCs w:val="24"/>
              </w:rPr>
              <w:t>)</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topLinePunct/>
              <w:spacing w:line="260" w:lineRule="exact"/>
              <w:ind w:leftChars="-17" w:left="-58" w:rightChars="-12" w:right="-41"/>
              <w:rPr>
                <w:rFonts w:ascii="Times New Roman" w:hAnsi="標楷體"/>
                <w:spacing w:val="-20"/>
                <w:sz w:val="24"/>
                <w:szCs w:val="24"/>
              </w:rPr>
            </w:pPr>
            <w:r w:rsidRPr="00C52751">
              <w:rPr>
                <w:rFonts w:ascii="Times New Roman" w:hAnsi="標楷體" w:hint="eastAsia"/>
                <w:spacing w:val="-20"/>
                <w:sz w:val="24"/>
                <w:szCs w:val="24"/>
              </w:rPr>
              <w:t>定期召開</w:t>
            </w:r>
          </w:p>
        </w:tc>
        <w:tc>
          <w:tcPr>
            <w:tcW w:w="1939"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topLinePunct/>
              <w:spacing w:line="260" w:lineRule="exact"/>
              <w:ind w:leftChars="-24" w:left="-82" w:rightChars="-15" w:right="-51" w:firstLineChars="6" w:firstLine="12"/>
              <w:rPr>
                <w:rFonts w:ascii="Times New Roman" w:hAnsi="標楷體"/>
                <w:spacing w:val="-26"/>
                <w:sz w:val="24"/>
                <w:szCs w:val="24"/>
              </w:rPr>
            </w:pPr>
            <w:r w:rsidRPr="00C52751">
              <w:rPr>
                <w:rFonts w:ascii="Times New Roman" w:hAnsi="標楷體" w:hint="eastAsia"/>
                <w:spacing w:val="-26"/>
                <w:sz w:val="24"/>
                <w:szCs w:val="24"/>
              </w:rPr>
              <w:t>定期召開會議，並具實質監督考核功能。</w:t>
            </w:r>
          </w:p>
        </w:tc>
      </w:tr>
      <w:tr w:rsidR="0040606A" w:rsidTr="00C055EF">
        <w:tc>
          <w:tcPr>
            <w:tcW w:w="959"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spacing w:line="260" w:lineRule="exact"/>
              <w:ind w:leftChars="-19" w:hangingChars="25" w:hanging="65"/>
              <w:jc w:val="center"/>
              <w:rPr>
                <w:rFonts w:ascii="Times New Roman" w:hAnsi="標楷體"/>
                <w:sz w:val="24"/>
                <w:szCs w:val="24"/>
              </w:rPr>
            </w:pPr>
            <w:r>
              <w:rPr>
                <w:rFonts w:ascii="Times New Roman" w:hAnsi="標楷體" w:hint="eastAsia"/>
                <w:sz w:val="24"/>
                <w:szCs w:val="24"/>
              </w:rPr>
              <w:t>臺東縣</w:t>
            </w:r>
          </w:p>
        </w:tc>
        <w:tc>
          <w:tcPr>
            <w:tcW w:w="1175"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如期召開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定期召開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定期召開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定期召開</w:t>
            </w:r>
          </w:p>
        </w:tc>
        <w:tc>
          <w:tcPr>
            <w:tcW w:w="1939"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topLinePunct/>
              <w:spacing w:line="260" w:lineRule="exact"/>
              <w:ind w:leftChars="-24" w:left="-82" w:rightChars="-15" w:right="-51" w:firstLineChars="6" w:firstLine="12"/>
              <w:rPr>
                <w:rFonts w:ascii="Times New Roman" w:hAnsi="標楷體"/>
                <w:spacing w:val="-26"/>
                <w:sz w:val="24"/>
                <w:szCs w:val="24"/>
              </w:rPr>
            </w:pPr>
            <w:r w:rsidRPr="00C52751">
              <w:rPr>
                <w:rFonts w:ascii="Times New Roman" w:hAnsi="標楷體" w:hint="eastAsia"/>
                <w:spacing w:val="-26"/>
                <w:sz w:val="24"/>
                <w:szCs w:val="24"/>
              </w:rPr>
              <w:t>定期召開會議，並具實質監督考核功能。</w:t>
            </w:r>
          </w:p>
        </w:tc>
      </w:tr>
      <w:tr w:rsidR="0040606A" w:rsidTr="00C055EF">
        <w:tc>
          <w:tcPr>
            <w:tcW w:w="959"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spacing w:line="260" w:lineRule="exact"/>
              <w:ind w:leftChars="-19" w:hangingChars="25" w:hanging="65"/>
              <w:jc w:val="center"/>
              <w:rPr>
                <w:rFonts w:ascii="Times New Roman" w:hAnsi="標楷體"/>
                <w:sz w:val="24"/>
                <w:szCs w:val="24"/>
              </w:rPr>
            </w:pPr>
            <w:r>
              <w:rPr>
                <w:rFonts w:ascii="Times New Roman" w:hAnsi="標楷體" w:hint="eastAsia"/>
                <w:sz w:val="24"/>
                <w:szCs w:val="24"/>
              </w:rPr>
              <w:t>基隆市</w:t>
            </w:r>
          </w:p>
        </w:tc>
        <w:tc>
          <w:tcPr>
            <w:tcW w:w="1175"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如期召開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定期召開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定期召開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定期召開</w:t>
            </w:r>
          </w:p>
        </w:tc>
        <w:tc>
          <w:tcPr>
            <w:tcW w:w="1939"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topLinePunct/>
              <w:spacing w:line="260" w:lineRule="exact"/>
              <w:ind w:leftChars="-24" w:left="-82" w:rightChars="-15" w:right="-51" w:firstLineChars="6" w:firstLine="12"/>
              <w:rPr>
                <w:rFonts w:ascii="Times New Roman" w:hAnsi="標楷體"/>
                <w:spacing w:val="-26"/>
                <w:sz w:val="24"/>
                <w:szCs w:val="24"/>
              </w:rPr>
            </w:pPr>
            <w:r w:rsidRPr="00C52751">
              <w:rPr>
                <w:rFonts w:ascii="Times New Roman" w:hAnsi="標楷體" w:hint="eastAsia"/>
                <w:spacing w:val="-26"/>
                <w:sz w:val="24"/>
                <w:szCs w:val="24"/>
              </w:rPr>
              <w:t>定期召開會議，並具實質監督考核功能。</w:t>
            </w:r>
          </w:p>
        </w:tc>
      </w:tr>
      <w:tr w:rsidR="0040606A" w:rsidTr="00C055EF">
        <w:tc>
          <w:tcPr>
            <w:tcW w:w="959"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spacing w:line="240" w:lineRule="exact"/>
              <w:ind w:leftChars="-19" w:hangingChars="25" w:hanging="65"/>
              <w:jc w:val="center"/>
              <w:rPr>
                <w:rFonts w:ascii="Times New Roman" w:hAnsi="標楷體"/>
                <w:sz w:val="24"/>
                <w:szCs w:val="24"/>
              </w:rPr>
            </w:pPr>
            <w:r>
              <w:rPr>
                <w:rFonts w:ascii="Times New Roman" w:hAnsi="標楷體" w:hint="eastAsia"/>
                <w:sz w:val="24"/>
                <w:szCs w:val="24"/>
              </w:rPr>
              <w:t>新竹市</w:t>
            </w:r>
          </w:p>
        </w:tc>
        <w:tc>
          <w:tcPr>
            <w:tcW w:w="1175"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4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如期召開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4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定期召開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4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定期召開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4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定期召開</w:t>
            </w:r>
          </w:p>
        </w:tc>
        <w:tc>
          <w:tcPr>
            <w:tcW w:w="1939"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topLinePunct/>
              <w:spacing w:line="240" w:lineRule="exact"/>
              <w:ind w:leftChars="-24" w:left="-82" w:rightChars="-15" w:right="-51" w:firstLineChars="6" w:firstLine="12"/>
              <w:rPr>
                <w:rFonts w:ascii="Times New Roman" w:hAnsi="標楷體"/>
                <w:spacing w:val="-26"/>
                <w:sz w:val="24"/>
                <w:szCs w:val="24"/>
              </w:rPr>
            </w:pPr>
            <w:r w:rsidRPr="00C52751">
              <w:rPr>
                <w:rFonts w:ascii="Times New Roman" w:hAnsi="標楷體" w:hint="eastAsia"/>
                <w:spacing w:val="-26"/>
                <w:sz w:val="24"/>
                <w:szCs w:val="24"/>
              </w:rPr>
              <w:t>定期召開會議，並具實質監督功能，惟考核功能待加強。</w:t>
            </w:r>
          </w:p>
        </w:tc>
      </w:tr>
      <w:tr w:rsidR="0040606A" w:rsidTr="00C055EF">
        <w:tc>
          <w:tcPr>
            <w:tcW w:w="959"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spacing w:line="260" w:lineRule="exact"/>
              <w:ind w:leftChars="-19" w:hangingChars="25" w:hanging="65"/>
              <w:jc w:val="center"/>
              <w:rPr>
                <w:rFonts w:ascii="Times New Roman" w:hAnsi="標楷體"/>
                <w:sz w:val="24"/>
                <w:szCs w:val="24"/>
              </w:rPr>
            </w:pPr>
            <w:r>
              <w:rPr>
                <w:rFonts w:ascii="Times New Roman" w:hAnsi="標楷體" w:hint="eastAsia"/>
                <w:sz w:val="24"/>
                <w:szCs w:val="24"/>
              </w:rPr>
              <w:t>嘉義市</w:t>
            </w:r>
          </w:p>
        </w:tc>
        <w:tc>
          <w:tcPr>
            <w:tcW w:w="1175"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如期召開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定期召開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topLinePunct/>
              <w:spacing w:line="260" w:lineRule="exact"/>
              <w:ind w:leftChars="-17" w:left="-58" w:rightChars="-12" w:right="-41"/>
              <w:rPr>
                <w:rFonts w:ascii="Times New Roman" w:hAnsi="標楷體"/>
                <w:spacing w:val="-20"/>
                <w:sz w:val="24"/>
                <w:szCs w:val="24"/>
              </w:rPr>
            </w:pPr>
            <w:r w:rsidRPr="00C52751">
              <w:rPr>
                <w:rFonts w:ascii="Times New Roman" w:hAnsi="標楷體" w:hint="eastAsia"/>
                <w:spacing w:val="-20"/>
                <w:sz w:val="24"/>
                <w:szCs w:val="24"/>
              </w:rPr>
              <w:t>定期召開</w:t>
            </w:r>
            <w:r w:rsidRPr="00C52751">
              <w:rPr>
                <w:rFonts w:ascii="Times New Roman" w:hAnsi="標楷體"/>
                <w:spacing w:val="-20"/>
                <w:sz w:val="24"/>
                <w:szCs w:val="24"/>
              </w:rPr>
              <w:t>(</w:t>
            </w:r>
            <w:r w:rsidRPr="00C52751">
              <w:rPr>
                <w:rFonts w:ascii="Times New Roman" w:hAnsi="標楷體" w:hint="eastAsia"/>
                <w:spacing w:val="-20"/>
                <w:sz w:val="24"/>
                <w:szCs w:val="24"/>
              </w:rPr>
              <w:t>實質功能待加強</w:t>
            </w:r>
            <w:r w:rsidRPr="00C52751">
              <w:rPr>
                <w:rFonts w:ascii="Times New Roman" w:hAnsi="標楷體"/>
                <w:spacing w:val="-20"/>
                <w:sz w:val="24"/>
                <w:szCs w:val="24"/>
              </w:rPr>
              <w:t>)</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811FE5">
            <w:pPr>
              <w:pStyle w:val="5"/>
              <w:numPr>
                <w:ilvl w:val="0"/>
                <w:numId w:val="0"/>
              </w:numPr>
              <w:topLinePunct/>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定期召開</w:t>
            </w:r>
          </w:p>
        </w:tc>
        <w:tc>
          <w:tcPr>
            <w:tcW w:w="1939"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topLinePunct/>
              <w:spacing w:line="280" w:lineRule="exact"/>
              <w:ind w:leftChars="-24" w:left="-82" w:rightChars="-15" w:right="-51" w:firstLineChars="6" w:firstLine="12"/>
              <w:rPr>
                <w:rFonts w:ascii="Times New Roman" w:hAnsi="標楷體"/>
                <w:spacing w:val="-26"/>
                <w:sz w:val="24"/>
                <w:szCs w:val="24"/>
              </w:rPr>
            </w:pPr>
            <w:r w:rsidRPr="00C52751">
              <w:rPr>
                <w:rFonts w:ascii="Times New Roman" w:hAnsi="標楷體" w:hint="eastAsia"/>
                <w:spacing w:val="-26"/>
                <w:sz w:val="24"/>
                <w:szCs w:val="24"/>
              </w:rPr>
              <w:t>定期召開會議，並具實質監督考核功能。</w:t>
            </w:r>
          </w:p>
        </w:tc>
      </w:tr>
      <w:tr w:rsidR="0040606A" w:rsidTr="00C055EF">
        <w:tc>
          <w:tcPr>
            <w:tcW w:w="959"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spacing w:line="260" w:lineRule="exact"/>
              <w:ind w:leftChars="-19" w:hangingChars="25" w:hanging="65"/>
              <w:jc w:val="center"/>
              <w:rPr>
                <w:rFonts w:ascii="Times New Roman" w:hAnsi="標楷體"/>
                <w:sz w:val="24"/>
                <w:szCs w:val="24"/>
              </w:rPr>
            </w:pPr>
            <w:r>
              <w:rPr>
                <w:rFonts w:ascii="Times New Roman" w:hAnsi="標楷體" w:hint="eastAsia"/>
                <w:sz w:val="24"/>
                <w:szCs w:val="24"/>
              </w:rPr>
              <w:t>金門縣</w:t>
            </w:r>
          </w:p>
        </w:tc>
        <w:tc>
          <w:tcPr>
            <w:tcW w:w="1175"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如期召開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定期召開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topLinePunct/>
              <w:spacing w:line="260" w:lineRule="exact"/>
              <w:ind w:leftChars="-17" w:left="-58" w:rightChars="-12" w:right="-41"/>
              <w:rPr>
                <w:rFonts w:ascii="Times New Roman" w:hAnsi="標楷體"/>
                <w:spacing w:val="-20"/>
                <w:sz w:val="24"/>
                <w:szCs w:val="24"/>
              </w:rPr>
            </w:pPr>
            <w:r w:rsidRPr="00C52751">
              <w:rPr>
                <w:rFonts w:ascii="Times New Roman" w:hAnsi="標楷體" w:hint="eastAsia"/>
                <w:spacing w:val="-20"/>
                <w:sz w:val="24"/>
                <w:szCs w:val="24"/>
              </w:rPr>
              <w:t>定期召開</w:t>
            </w:r>
            <w:r w:rsidRPr="00C52751">
              <w:rPr>
                <w:rFonts w:ascii="Times New Roman" w:hAnsi="標楷體"/>
                <w:spacing w:val="-20"/>
                <w:sz w:val="24"/>
                <w:szCs w:val="24"/>
              </w:rPr>
              <w:t>(</w:t>
            </w:r>
            <w:r w:rsidRPr="00C52751">
              <w:rPr>
                <w:rFonts w:ascii="Times New Roman" w:hAnsi="標楷體" w:hint="eastAsia"/>
                <w:spacing w:val="-20"/>
                <w:sz w:val="24"/>
                <w:szCs w:val="24"/>
              </w:rPr>
              <w:t>實質功能待加強</w:t>
            </w:r>
            <w:r w:rsidRPr="00C52751">
              <w:rPr>
                <w:rFonts w:ascii="Times New Roman" w:hAnsi="標楷體"/>
                <w:spacing w:val="-20"/>
                <w:sz w:val="24"/>
                <w:szCs w:val="24"/>
              </w:rPr>
              <w:t>)</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811FE5">
            <w:pPr>
              <w:pStyle w:val="5"/>
              <w:numPr>
                <w:ilvl w:val="0"/>
                <w:numId w:val="0"/>
              </w:numPr>
              <w:topLinePunct/>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定期召開</w:t>
            </w:r>
          </w:p>
        </w:tc>
        <w:tc>
          <w:tcPr>
            <w:tcW w:w="1939"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topLinePunct/>
              <w:spacing w:line="280" w:lineRule="exact"/>
              <w:ind w:leftChars="-24" w:left="-82" w:rightChars="-15" w:right="-51" w:firstLineChars="6" w:firstLine="12"/>
              <w:rPr>
                <w:rFonts w:ascii="Times New Roman" w:hAnsi="標楷體"/>
                <w:spacing w:val="-26"/>
                <w:sz w:val="24"/>
                <w:szCs w:val="24"/>
              </w:rPr>
            </w:pPr>
            <w:r w:rsidRPr="00C52751">
              <w:rPr>
                <w:rFonts w:ascii="Times New Roman" w:hAnsi="標楷體" w:hint="eastAsia"/>
                <w:spacing w:val="-26"/>
                <w:sz w:val="24"/>
                <w:szCs w:val="24"/>
              </w:rPr>
              <w:t>定期召開會議，並具實質監督考核功能。</w:t>
            </w:r>
          </w:p>
        </w:tc>
      </w:tr>
      <w:tr w:rsidR="0040606A" w:rsidTr="00C055EF">
        <w:tc>
          <w:tcPr>
            <w:tcW w:w="959"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5"/>
              <w:numPr>
                <w:ilvl w:val="0"/>
                <w:numId w:val="0"/>
              </w:numPr>
              <w:spacing w:line="260" w:lineRule="exact"/>
              <w:ind w:leftChars="-19" w:hangingChars="25" w:hanging="65"/>
              <w:jc w:val="center"/>
              <w:rPr>
                <w:rFonts w:ascii="Times New Roman" w:hAnsi="標楷體"/>
                <w:sz w:val="24"/>
                <w:szCs w:val="24"/>
              </w:rPr>
            </w:pPr>
            <w:r>
              <w:rPr>
                <w:rFonts w:ascii="Times New Roman" w:hAnsi="標楷體" w:hint="eastAsia"/>
                <w:sz w:val="24"/>
                <w:szCs w:val="24"/>
              </w:rPr>
              <w:t>連江縣</w:t>
            </w:r>
          </w:p>
        </w:tc>
        <w:tc>
          <w:tcPr>
            <w:tcW w:w="1175" w:type="dxa"/>
            <w:tcBorders>
              <w:top w:val="single" w:sz="6" w:space="0" w:color="auto"/>
              <w:left w:val="single" w:sz="6" w:space="0" w:color="auto"/>
              <w:bottom w:val="single" w:sz="6" w:space="0" w:color="auto"/>
              <w:right w:val="single" w:sz="6" w:space="0" w:color="auto"/>
            </w:tcBorders>
            <w:vAlign w:val="center"/>
            <w:hideMark/>
          </w:tcPr>
          <w:p w:rsidR="001A22C8" w:rsidRPr="00C52751" w:rsidRDefault="0040606A" w:rsidP="00811FE5">
            <w:pPr>
              <w:pStyle w:val="5"/>
              <w:numPr>
                <w:ilvl w:val="0"/>
                <w:numId w:val="0"/>
              </w:numPr>
              <w:kinsoku w:val="0"/>
              <w:spacing w:line="260" w:lineRule="exact"/>
              <w:ind w:leftChars="-17" w:left="-58" w:rightChars="-12" w:right="-41"/>
              <w:jc w:val="center"/>
              <w:rPr>
                <w:rFonts w:ascii="Times New Roman" w:hAnsi="標楷體"/>
                <w:spacing w:val="-26"/>
                <w:sz w:val="24"/>
                <w:szCs w:val="24"/>
              </w:rPr>
            </w:pPr>
            <w:r w:rsidRPr="00C52751">
              <w:rPr>
                <w:rFonts w:ascii="Times New Roman" w:hAnsi="標楷體" w:hint="eastAsia"/>
                <w:spacing w:val="-26"/>
                <w:sz w:val="24"/>
                <w:szCs w:val="24"/>
              </w:rPr>
              <w:t>如期召開</w:t>
            </w:r>
          </w:p>
          <w:p w:rsidR="0040606A" w:rsidRPr="00C52751" w:rsidRDefault="0040606A" w:rsidP="00C055EF">
            <w:pPr>
              <w:pStyle w:val="5"/>
              <w:numPr>
                <w:ilvl w:val="0"/>
                <w:numId w:val="0"/>
              </w:numPr>
              <w:kinsoku w:val="0"/>
              <w:spacing w:line="260" w:lineRule="exact"/>
              <w:ind w:leftChars="-17" w:left="-58" w:rightChars="-12" w:right="-41"/>
              <w:rPr>
                <w:rFonts w:ascii="Times New Roman" w:hAnsi="標楷體"/>
                <w:spacing w:val="-34"/>
                <w:sz w:val="24"/>
                <w:szCs w:val="24"/>
              </w:rPr>
            </w:pPr>
            <w:r w:rsidRPr="00C52751">
              <w:rPr>
                <w:rFonts w:ascii="Times New Roman" w:hAnsi="標楷體"/>
                <w:spacing w:val="-34"/>
                <w:sz w:val="24"/>
                <w:szCs w:val="24"/>
              </w:rPr>
              <w:t>(</w:t>
            </w:r>
            <w:r w:rsidRPr="00C52751">
              <w:rPr>
                <w:rFonts w:ascii="Times New Roman" w:hAnsi="標楷體" w:hint="eastAsia"/>
                <w:spacing w:val="-34"/>
                <w:sz w:val="24"/>
                <w:szCs w:val="24"/>
              </w:rPr>
              <w:t>實質審議功能待加強</w:t>
            </w:r>
            <w:r w:rsidRPr="00C52751">
              <w:rPr>
                <w:rFonts w:ascii="Times New Roman" w:hAnsi="標楷體"/>
                <w:spacing w:val="-34"/>
                <w:sz w:val="24"/>
                <w:szCs w:val="24"/>
              </w:rPr>
              <w:t>)</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811FE5">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定期召開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811FE5">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定期召開</w:t>
            </w:r>
          </w:p>
        </w:tc>
        <w:tc>
          <w:tcPr>
            <w:tcW w:w="1176"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811FE5">
            <w:pPr>
              <w:pStyle w:val="5"/>
              <w:numPr>
                <w:ilvl w:val="0"/>
                <w:numId w:val="0"/>
              </w:numPr>
              <w:kinsoku w:val="0"/>
              <w:spacing w:line="260" w:lineRule="exact"/>
              <w:ind w:leftChars="-17" w:left="-58" w:rightChars="-12" w:right="-41"/>
              <w:jc w:val="center"/>
              <w:rPr>
                <w:rFonts w:ascii="Times New Roman" w:hAnsi="標楷體"/>
                <w:spacing w:val="-20"/>
                <w:sz w:val="24"/>
                <w:szCs w:val="24"/>
              </w:rPr>
            </w:pPr>
            <w:r w:rsidRPr="00C52751">
              <w:rPr>
                <w:rFonts w:ascii="Times New Roman" w:hAnsi="標楷體" w:hint="eastAsia"/>
                <w:spacing w:val="-20"/>
                <w:sz w:val="24"/>
                <w:szCs w:val="24"/>
              </w:rPr>
              <w:t>定期召開</w:t>
            </w:r>
          </w:p>
        </w:tc>
        <w:tc>
          <w:tcPr>
            <w:tcW w:w="1939" w:type="dxa"/>
            <w:tcBorders>
              <w:top w:val="single" w:sz="6" w:space="0" w:color="auto"/>
              <w:left w:val="single" w:sz="6" w:space="0" w:color="auto"/>
              <w:bottom w:val="single" w:sz="6" w:space="0" w:color="auto"/>
              <w:right w:val="single" w:sz="6" w:space="0" w:color="auto"/>
            </w:tcBorders>
            <w:vAlign w:val="center"/>
            <w:hideMark/>
          </w:tcPr>
          <w:p w:rsidR="0040606A" w:rsidRPr="00C52751" w:rsidRDefault="0040606A" w:rsidP="00C055EF">
            <w:pPr>
              <w:pStyle w:val="5"/>
              <w:numPr>
                <w:ilvl w:val="0"/>
                <w:numId w:val="0"/>
              </w:numPr>
              <w:topLinePunct/>
              <w:spacing w:line="280" w:lineRule="exact"/>
              <w:ind w:leftChars="-24" w:left="-82" w:rightChars="-15" w:right="-51" w:firstLineChars="6" w:firstLine="12"/>
              <w:rPr>
                <w:rFonts w:ascii="Times New Roman" w:hAnsi="標楷體"/>
                <w:spacing w:val="-26"/>
                <w:sz w:val="24"/>
                <w:szCs w:val="24"/>
              </w:rPr>
            </w:pPr>
            <w:r w:rsidRPr="00C52751">
              <w:rPr>
                <w:rFonts w:ascii="Times New Roman" w:hAnsi="標楷體" w:hint="eastAsia"/>
                <w:spacing w:val="-26"/>
                <w:sz w:val="24"/>
                <w:szCs w:val="24"/>
              </w:rPr>
              <w:t>定期召開會議，並具實質監督功能，惟考核功能待加強。</w:t>
            </w:r>
          </w:p>
        </w:tc>
      </w:tr>
    </w:tbl>
    <w:p w:rsidR="0040606A" w:rsidRDefault="0040606A" w:rsidP="0040606A">
      <w:pPr>
        <w:pStyle w:val="3"/>
        <w:numPr>
          <w:ilvl w:val="0"/>
          <w:numId w:val="0"/>
        </w:numPr>
        <w:kinsoku w:val="0"/>
        <w:spacing w:afterLines="25" w:after="114" w:line="320" w:lineRule="exact"/>
        <w:ind w:left="1361"/>
        <w:rPr>
          <w:rFonts w:ascii="Times New Roman" w:hAnsi="Times New Roman"/>
          <w:sz w:val="24"/>
          <w:szCs w:val="24"/>
        </w:rPr>
      </w:pPr>
      <w:bookmarkStart w:id="1287" w:name="_Toc507518601"/>
      <w:bookmarkStart w:id="1288" w:name="_Toc507491574"/>
      <w:bookmarkStart w:id="1289" w:name="_Toc507484750"/>
      <w:bookmarkStart w:id="1290" w:name="_Toc507403637"/>
      <w:bookmarkStart w:id="1291" w:name="_Toc507767678"/>
      <w:bookmarkStart w:id="1292" w:name="_Toc507768404"/>
      <w:bookmarkStart w:id="1293" w:name="_Toc511115393"/>
      <w:bookmarkStart w:id="1294" w:name="_Toc511308184"/>
      <w:bookmarkStart w:id="1295" w:name="_Toc511998626"/>
      <w:bookmarkStart w:id="1296" w:name="_Toc512420983"/>
      <w:r>
        <w:rPr>
          <w:rFonts w:ascii="Times New Roman" w:hAnsi="Times New Roman" w:hint="eastAsia"/>
          <w:sz w:val="24"/>
          <w:szCs w:val="24"/>
        </w:rPr>
        <w:t>資料來源：財政部</w:t>
      </w:r>
      <w:bookmarkEnd w:id="1287"/>
      <w:bookmarkEnd w:id="1288"/>
      <w:bookmarkEnd w:id="1289"/>
      <w:bookmarkEnd w:id="1290"/>
      <w:bookmarkEnd w:id="1291"/>
      <w:bookmarkEnd w:id="1292"/>
      <w:bookmarkEnd w:id="1293"/>
      <w:bookmarkEnd w:id="1294"/>
      <w:bookmarkEnd w:id="1295"/>
      <w:bookmarkEnd w:id="1296"/>
    </w:p>
    <w:p w:rsidR="0040606A" w:rsidRDefault="0040606A" w:rsidP="0040606A">
      <w:pPr>
        <w:pStyle w:val="3"/>
        <w:numPr>
          <w:ilvl w:val="2"/>
          <w:numId w:val="9"/>
        </w:numPr>
        <w:kinsoku w:val="0"/>
        <w:rPr>
          <w:rFonts w:ascii="Times New Roman" w:hAnsi="Times New Roman"/>
        </w:rPr>
      </w:pPr>
      <w:bookmarkStart w:id="1297" w:name="_Toc507518602"/>
      <w:bookmarkStart w:id="1298" w:name="_Toc507491575"/>
      <w:bookmarkStart w:id="1299" w:name="_Toc507484751"/>
      <w:bookmarkStart w:id="1300" w:name="_Toc507403638"/>
      <w:bookmarkStart w:id="1301" w:name="_Toc507767679"/>
      <w:bookmarkStart w:id="1302" w:name="_Toc507768405"/>
      <w:bookmarkStart w:id="1303" w:name="_Toc511115394"/>
      <w:bookmarkStart w:id="1304" w:name="_Toc511308185"/>
      <w:bookmarkStart w:id="1305" w:name="_Toc511998627"/>
      <w:bookmarkStart w:id="1306" w:name="_Toc512420984"/>
      <w:r>
        <w:rPr>
          <w:rFonts w:ascii="Times New Roman" w:hAnsi="Times New Roman" w:hint="eastAsia"/>
        </w:rPr>
        <w:t>惟從審計部轉據各地方審計處</w:t>
      </w:r>
      <w:r>
        <w:rPr>
          <w:rFonts w:ascii="Times New Roman" w:hAnsi="Times New Roman"/>
        </w:rPr>
        <w:t>(</w:t>
      </w:r>
      <w:r>
        <w:rPr>
          <w:rFonts w:ascii="Times New Roman" w:hAnsi="Times New Roman" w:hint="eastAsia"/>
        </w:rPr>
        <w:t>室</w:t>
      </w:r>
      <w:r>
        <w:rPr>
          <w:rFonts w:ascii="Times New Roman" w:hAnsi="Times New Roman"/>
        </w:rPr>
        <w:t>)</w:t>
      </w:r>
      <w:r>
        <w:rPr>
          <w:rFonts w:ascii="Times New Roman" w:hAnsi="Times New Roman" w:hint="eastAsia"/>
        </w:rPr>
        <w:t>查復結果顯示，</w:t>
      </w:r>
      <w:bookmarkStart w:id="1307" w:name="_Toc506297469"/>
      <w:r>
        <w:rPr>
          <w:rFonts w:ascii="Times New Roman" w:hAnsi="Times New Roman" w:hint="eastAsia"/>
        </w:rPr>
        <w:t>部分縣市管理委員會之委員出席會議情形欠佳，亦有代理出席情形</w:t>
      </w:r>
      <w:bookmarkEnd w:id="1307"/>
      <w:r>
        <w:rPr>
          <w:rFonts w:ascii="Times New Roman" w:hAnsi="Times New Roman" w:hint="eastAsia"/>
        </w:rPr>
        <w:t>：</w:t>
      </w:r>
      <w:bookmarkEnd w:id="818"/>
      <w:bookmarkEnd w:id="1297"/>
      <w:bookmarkEnd w:id="1298"/>
      <w:bookmarkEnd w:id="1299"/>
      <w:bookmarkEnd w:id="1300"/>
      <w:bookmarkEnd w:id="1301"/>
      <w:bookmarkEnd w:id="1302"/>
      <w:bookmarkEnd w:id="1303"/>
      <w:bookmarkEnd w:id="1304"/>
      <w:bookmarkEnd w:id="1305"/>
      <w:bookmarkEnd w:id="1306"/>
    </w:p>
    <w:p w:rsidR="0040606A" w:rsidRDefault="0040606A" w:rsidP="005D1FA6">
      <w:pPr>
        <w:pStyle w:val="4"/>
        <w:numPr>
          <w:ilvl w:val="3"/>
          <w:numId w:val="9"/>
        </w:numPr>
        <w:topLinePunct/>
        <w:rPr>
          <w:rFonts w:ascii="Times New Roman" w:hAnsi="Times New Roman"/>
        </w:rPr>
      </w:pPr>
      <w:r>
        <w:rPr>
          <w:rFonts w:ascii="Times New Roman" w:hAnsi="Times New Roman"/>
        </w:rPr>
        <w:t>101</w:t>
      </w:r>
      <w:r>
        <w:rPr>
          <w:rFonts w:ascii="Times New Roman" w:hAnsi="Times New Roman" w:hint="eastAsia"/>
        </w:rPr>
        <w:t>年至</w:t>
      </w:r>
      <w:r>
        <w:rPr>
          <w:rFonts w:ascii="Times New Roman" w:hAnsi="Times New Roman"/>
        </w:rPr>
        <w:t>105</w:t>
      </w:r>
      <w:r>
        <w:rPr>
          <w:rFonts w:ascii="Times New Roman" w:hAnsi="Times New Roman" w:hint="eastAsia"/>
        </w:rPr>
        <w:t>年委員出席率不及</w:t>
      </w:r>
      <w:r>
        <w:rPr>
          <w:rFonts w:ascii="Times New Roman" w:hAnsi="Times New Roman"/>
        </w:rPr>
        <w:t>60</w:t>
      </w:r>
      <w:r>
        <w:rPr>
          <w:rFonts w:ascii="Times New Roman" w:hAnsi="Times New Roman" w:hint="eastAsia"/>
        </w:rPr>
        <w:t>％者，計有</w:t>
      </w:r>
      <w:r w:rsidR="005D1FA6">
        <w:rPr>
          <w:rFonts w:ascii="Times New Roman" w:hAnsi="Times New Roman" w:hint="eastAsia"/>
        </w:rPr>
        <w:t>10</w:t>
      </w:r>
      <w:r>
        <w:rPr>
          <w:rFonts w:ascii="Times New Roman" w:hAnsi="Times New Roman" w:hint="eastAsia"/>
        </w:rPr>
        <w:t>個縣市：高雄市</w:t>
      </w:r>
      <w:r>
        <w:rPr>
          <w:rFonts w:ascii="Times New Roman" w:hAnsi="Times New Roman"/>
        </w:rPr>
        <w:t>(101</w:t>
      </w:r>
      <w:r>
        <w:rPr>
          <w:rFonts w:ascii="Times New Roman" w:hAnsi="Times New Roman" w:hint="eastAsia"/>
        </w:rPr>
        <w:t>年、</w:t>
      </w:r>
      <w:r>
        <w:rPr>
          <w:rFonts w:ascii="Times New Roman" w:hAnsi="Times New Roman"/>
        </w:rPr>
        <w:t>102</w:t>
      </w:r>
      <w:r>
        <w:rPr>
          <w:rFonts w:ascii="Times New Roman" w:hAnsi="Times New Roman" w:hint="eastAsia"/>
        </w:rPr>
        <w:t>年及</w:t>
      </w:r>
      <w:r>
        <w:rPr>
          <w:rFonts w:ascii="Times New Roman" w:hAnsi="Times New Roman"/>
        </w:rPr>
        <w:t>103</w:t>
      </w:r>
      <w:r>
        <w:rPr>
          <w:rFonts w:ascii="Times New Roman" w:hAnsi="Times New Roman" w:hint="eastAsia"/>
        </w:rPr>
        <w:t>年</w:t>
      </w:r>
      <w:r>
        <w:rPr>
          <w:rFonts w:ascii="Times New Roman" w:hAnsi="Times New Roman"/>
        </w:rPr>
        <w:t>)</w:t>
      </w:r>
      <w:r>
        <w:rPr>
          <w:rFonts w:ascii="Times New Roman" w:hAnsi="Times New Roman" w:hint="eastAsia"/>
        </w:rPr>
        <w:t>、宜蘭縣</w:t>
      </w:r>
      <w:r>
        <w:rPr>
          <w:rFonts w:ascii="Times New Roman" w:hAnsi="Times New Roman"/>
        </w:rPr>
        <w:t>(102</w:t>
      </w:r>
      <w:r>
        <w:rPr>
          <w:rFonts w:ascii="Times New Roman" w:hAnsi="Times New Roman" w:hint="eastAsia"/>
        </w:rPr>
        <w:t>年、</w:t>
      </w:r>
      <w:r>
        <w:rPr>
          <w:rFonts w:ascii="Times New Roman" w:hAnsi="Times New Roman"/>
        </w:rPr>
        <w:t>103</w:t>
      </w:r>
      <w:r>
        <w:rPr>
          <w:rFonts w:ascii="Times New Roman" w:hAnsi="Times New Roman" w:hint="eastAsia"/>
        </w:rPr>
        <w:t>年</w:t>
      </w:r>
      <w:r w:rsidR="005D1FA6">
        <w:rPr>
          <w:rFonts w:ascii="Times New Roman" w:hAnsi="Times New Roman" w:hint="eastAsia"/>
        </w:rPr>
        <w:t>及</w:t>
      </w:r>
      <w:r w:rsidR="005D1FA6">
        <w:rPr>
          <w:rFonts w:ascii="Times New Roman" w:hAnsi="Times New Roman" w:hint="eastAsia"/>
        </w:rPr>
        <w:t>105</w:t>
      </w:r>
      <w:r w:rsidR="005D1FA6">
        <w:rPr>
          <w:rFonts w:ascii="Times New Roman" w:hAnsi="Times New Roman" w:hint="eastAsia"/>
        </w:rPr>
        <w:t>年</w:t>
      </w:r>
      <w:r>
        <w:rPr>
          <w:rFonts w:ascii="Times New Roman" w:hAnsi="Times New Roman"/>
        </w:rPr>
        <w:t>)</w:t>
      </w:r>
      <w:r>
        <w:rPr>
          <w:rFonts w:ascii="Times New Roman" w:hAnsi="Times New Roman" w:hint="eastAsia"/>
        </w:rPr>
        <w:t>、苗栗縣</w:t>
      </w:r>
      <w:r>
        <w:rPr>
          <w:rFonts w:ascii="Times New Roman" w:hAnsi="Times New Roman"/>
        </w:rPr>
        <w:t>(102</w:t>
      </w:r>
      <w:r>
        <w:rPr>
          <w:rFonts w:ascii="Times New Roman" w:hAnsi="Times New Roman" w:hint="eastAsia"/>
        </w:rPr>
        <w:t>年</w:t>
      </w:r>
      <w:r>
        <w:rPr>
          <w:rFonts w:ascii="Times New Roman" w:hAnsi="Times New Roman"/>
        </w:rPr>
        <w:t>)</w:t>
      </w:r>
      <w:r>
        <w:rPr>
          <w:rFonts w:ascii="Times New Roman" w:hAnsi="Times New Roman" w:hint="eastAsia"/>
        </w:rPr>
        <w:t>、南投縣</w:t>
      </w:r>
      <w:r>
        <w:rPr>
          <w:rFonts w:ascii="Times New Roman" w:hAnsi="Times New Roman"/>
        </w:rPr>
        <w:t>(101</w:t>
      </w:r>
      <w:r>
        <w:rPr>
          <w:rFonts w:ascii="Times New Roman" w:hAnsi="Times New Roman" w:hint="eastAsia"/>
        </w:rPr>
        <w:t>年</w:t>
      </w:r>
      <w:r>
        <w:rPr>
          <w:rFonts w:ascii="Times New Roman" w:hAnsi="Times New Roman"/>
        </w:rPr>
        <w:t>)</w:t>
      </w:r>
      <w:r>
        <w:rPr>
          <w:rFonts w:ascii="Times New Roman" w:hAnsi="Times New Roman" w:hint="eastAsia"/>
        </w:rPr>
        <w:t>、雲林縣</w:t>
      </w:r>
      <w:r>
        <w:rPr>
          <w:rFonts w:ascii="Times New Roman" w:hAnsi="Times New Roman"/>
        </w:rPr>
        <w:t>(101</w:t>
      </w:r>
      <w:r>
        <w:rPr>
          <w:rFonts w:ascii="Times New Roman" w:hAnsi="Times New Roman" w:hint="eastAsia"/>
        </w:rPr>
        <w:t>年、</w:t>
      </w:r>
      <w:r>
        <w:rPr>
          <w:rFonts w:ascii="Times New Roman" w:hAnsi="Times New Roman"/>
        </w:rPr>
        <w:t>102</w:t>
      </w:r>
      <w:r>
        <w:rPr>
          <w:rFonts w:ascii="Times New Roman" w:hAnsi="Times New Roman" w:hint="eastAsia"/>
        </w:rPr>
        <w:t>年、</w:t>
      </w:r>
      <w:r>
        <w:rPr>
          <w:rFonts w:ascii="Times New Roman" w:hAnsi="Times New Roman"/>
        </w:rPr>
        <w:t>103</w:t>
      </w:r>
      <w:r>
        <w:rPr>
          <w:rFonts w:ascii="Times New Roman" w:hAnsi="Times New Roman" w:hint="eastAsia"/>
        </w:rPr>
        <w:t>年及</w:t>
      </w:r>
      <w:r>
        <w:rPr>
          <w:rFonts w:ascii="Times New Roman" w:hAnsi="Times New Roman"/>
        </w:rPr>
        <w:t>105</w:t>
      </w:r>
      <w:r>
        <w:rPr>
          <w:rFonts w:ascii="Times New Roman" w:hAnsi="Times New Roman" w:hint="eastAsia"/>
        </w:rPr>
        <w:t>年</w:t>
      </w:r>
      <w:r>
        <w:rPr>
          <w:rFonts w:ascii="Times New Roman" w:hAnsi="Times New Roman"/>
        </w:rPr>
        <w:t>)</w:t>
      </w:r>
      <w:r>
        <w:rPr>
          <w:rFonts w:ascii="Times New Roman" w:hAnsi="Times New Roman" w:hint="eastAsia"/>
        </w:rPr>
        <w:t>、嘉義縣</w:t>
      </w:r>
      <w:r>
        <w:rPr>
          <w:rFonts w:ascii="Times New Roman" w:hAnsi="Times New Roman"/>
        </w:rPr>
        <w:t>(104</w:t>
      </w:r>
      <w:r>
        <w:rPr>
          <w:rFonts w:ascii="Times New Roman" w:hAnsi="Times New Roman" w:hint="eastAsia"/>
        </w:rPr>
        <w:t>年</w:t>
      </w:r>
      <w:r>
        <w:rPr>
          <w:rFonts w:ascii="Times New Roman" w:hAnsi="Times New Roman"/>
        </w:rPr>
        <w:t>)</w:t>
      </w:r>
      <w:r>
        <w:rPr>
          <w:rFonts w:ascii="Times New Roman" w:hAnsi="Times New Roman" w:hint="eastAsia"/>
        </w:rPr>
        <w:t>、新竹市</w:t>
      </w:r>
      <w:r>
        <w:rPr>
          <w:rFonts w:ascii="Times New Roman" w:hAnsi="Times New Roman"/>
        </w:rPr>
        <w:t>(101</w:t>
      </w:r>
      <w:r>
        <w:rPr>
          <w:rFonts w:ascii="Times New Roman" w:hAnsi="Times New Roman" w:hint="eastAsia"/>
        </w:rPr>
        <w:t>年及</w:t>
      </w:r>
      <w:r>
        <w:rPr>
          <w:rFonts w:ascii="Times New Roman" w:hAnsi="Times New Roman"/>
        </w:rPr>
        <w:t>104</w:t>
      </w:r>
      <w:r>
        <w:rPr>
          <w:rFonts w:ascii="Times New Roman" w:hAnsi="Times New Roman" w:hint="eastAsia"/>
        </w:rPr>
        <w:t>年</w:t>
      </w:r>
      <w:r>
        <w:rPr>
          <w:rFonts w:ascii="Times New Roman" w:hAnsi="Times New Roman"/>
        </w:rPr>
        <w:t>)</w:t>
      </w:r>
      <w:r w:rsidR="005D1FA6">
        <w:rPr>
          <w:rFonts w:ascii="Times New Roman" w:hAnsi="Times New Roman" w:hint="eastAsia"/>
        </w:rPr>
        <w:t>、嘉義市</w:t>
      </w:r>
      <w:r w:rsidR="005D1FA6">
        <w:rPr>
          <w:rFonts w:ascii="Times New Roman" w:hAnsi="Times New Roman" w:hint="eastAsia"/>
        </w:rPr>
        <w:t>(105</w:t>
      </w:r>
      <w:r w:rsidR="005D1FA6">
        <w:rPr>
          <w:rFonts w:ascii="Times New Roman" w:hAnsi="Times New Roman" w:hint="eastAsia"/>
        </w:rPr>
        <w:t>年</w:t>
      </w:r>
      <w:r w:rsidR="005D1FA6">
        <w:rPr>
          <w:rFonts w:ascii="Times New Roman" w:hAnsi="Times New Roman" w:hint="eastAsia"/>
        </w:rPr>
        <w:t>)</w:t>
      </w:r>
      <w:r>
        <w:rPr>
          <w:rFonts w:ascii="Times New Roman" w:hAnsi="Times New Roman" w:hint="eastAsia"/>
        </w:rPr>
        <w:t>、金門縣</w:t>
      </w:r>
      <w:r>
        <w:rPr>
          <w:rFonts w:ascii="Times New Roman" w:hAnsi="Times New Roman"/>
        </w:rPr>
        <w:t>(101</w:t>
      </w:r>
      <w:r>
        <w:rPr>
          <w:rFonts w:ascii="Times New Roman" w:hAnsi="Times New Roman" w:hint="eastAsia"/>
        </w:rPr>
        <w:t>年及</w:t>
      </w:r>
      <w:r>
        <w:rPr>
          <w:rFonts w:ascii="Times New Roman" w:hAnsi="Times New Roman"/>
        </w:rPr>
        <w:t>103</w:t>
      </w:r>
      <w:r>
        <w:rPr>
          <w:rFonts w:ascii="Times New Roman" w:hAnsi="Times New Roman" w:hint="eastAsia"/>
        </w:rPr>
        <w:t>年</w:t>
      </w:r>
      <w:r>
        <w:rPr>
          <w:rFonts w:ascii="Times New Roman" w:hAnsi="Times New Roman"/>
        </w:rPr>
        <w:t>)</w:t>
      </w:r>
      <w:r>
        <w:rPr>
          <w:rFonts w:ascii="Times New Roman" w:hAnsi="Times New Roman" w:hint="eastAsia"/>
        </w:rPr>
        <w:t>及連江縣</w:t>
      </w:r>
      <w:r>
        <w:rPr>
          <w:rFonts w:ascii="Times New Roman" w:hAnsi="Times New Roman"/>
        </w:rPr>
        <w:t>(101</w:t>
      </w:r>
      <w:r>
        <w:rPr>
          <w:rFonts w:ascii="Times New Roman" w:hAnsi="Times New Roman" w:hint="eastAsia"/>
        </w:rPr>
        <w:t>年及</w:t>
      </w:r>
      <w:r>
        <w:rPr>
          <w:rFonts w:ascii="Times New Roman" w:hAnsi="Times New Roman"/>
        </w:rPr>
        <w:t>102</w:t>
      </w:r>
      <w:r>
        <w:rPr>
          <w:rFonts w:ascii="Times New Roman" w:hAnsi="Times New Roman" w:hint="eastAsia"/>
        </w:rPr>
        <w:t>年</w:t>
      </w:r>
      <w:r>
        <w:rPr>
          <w:rFonts w:ascii="Times New Roman" w:hAnsi="Times New Roman"/>
        </w:rPr>
        <w:t>)</w:t>
      </w:r>
      <w:r>
        <w:rPr>
          <w:rFonts w:ascii="Times New Roman" w:hAnsi="Times New Roman" w:hint="eastAsia"/>
        </w:rPr>
        <w:t>等</w:t>
      </w:r>
      <w:r w:rsidR="005D1FA6">
        <w:rPr>
          <w:rFonts w:ascii="Times New Roman" w:hAnsi="Times New Roman" w:hint="eastAsia"/>
        </w:rPr>
        <w:t>10</w:t>
      </w:r>
      <w:r>
        <w:rPr>
          <w:rFonts w:ascii="Times New Roman" w:hAnsi="Times New Roman" w:hint="eastAsia"/>
        </w:rPr>
        <w:t>個縣市。</w:t>
      </w:r>
    </w:p>
    <w:p w:rsidR="0040606A" w:rsidRDefault="0040606A" w:rsidP="0038205F">
      <w:pPr>
        <w:pStyle w:val="4"/>
        <w:numPr>
          <w:ilvl w:val="3"/>
          <w:numId w:val="9"/>
        </w:numPr>
        <w:topLinePunct/>
        <w:rPr>
          <w:rFonts w:ascii="Times New Roman" w:hAnsi="Times New Roman"/>
        </w:rPr>
      </w:pPr>
      <w:r>
        <w:rPr>
          <w:rFonts w:ascii="Times New Roman" w:hAnsi="Times New Roman"/>
        </w:rPr>
        <w:t>101</w:t>
      </w:r>
      <w:r>
        <w:rPr>
          <w:rFonts w:ascii="Times New Roman" w:hAnsi="Times New Roman" w:hint="eastAsia"/>
        </w:rPr>
        <w:t>年至</w:t>
      </w:r>
      <w:r>
        <w:rPr>
          <w:rFonts w:ascii="Times New Roman" w:hAnsi="Times New Roman"/>
        </w:rPr>
        <w:t>105</w:t>
      </w:r>
      <w:r>
        <w:rPr>
          <w:rFonts w:ascii="Times New Roman" w:hAnsi="Times New Roman" w:hint="eastAsia"/>
        </w:rPr>
        <w:t>年委員由他人代理出席之比率超過</w:t>
      </w:r>
      <w:r>
        <w:rPr>
          <w:rFonts w:ascii="Times New Roman" w:hAnsi="Times New Roman"/>
        </w:rPr>
        <w:t>45</w:t>
      </w:r>
      <w:r>
        <w:rPr>
          <w:rFonts w:ascii="Times New Roman" w:hAnsi="Times New Roman" w:hint="eastAsia"/>
        </w:rPr>
        <w:t>％者，計有</w:t>
      </w:r>
      <w:r w:rsidR="0038205F">
        <w:rPr>
          <w:rFonts w:ascii="Times New Roman" w:hAnsi="Times New Roman" w:hint="eastAsia"/>
        </w:rPr>
        <w:t>6</w:t>
      </w:r>
      <w:r>
        <w:rPr>
          <w:rFonts w:ascii="Times New Roman" w:hAnsi="Times New Roman" w:hint="eastAsia"/>
        </w:rPr>
        <w:t>個縣市：臺北市</w:t>
      </w:r>
      <w:r>
        <w:rPr>
          <w:rFonts w:ascii="Times New Roman" w:hAnsi="Times New Roman"/>
        </w:rPr>
        <w:t>(103</w:t>
      </w:r>
      <w:r>
        <w:rPr>
          <w:rFonts w:ascii="Times New Roman" w:hAnsi="Times New Roman" w:hint="eastAsia"/>
        </w:rPr>
        <w:t>年及</w:t>
      </w:r>
      <w:r>
        <w:rPr>
          <w:rFonts w:ascii="Times New Roman" w:hAnsi="Times New Roman"/>
        </w:rPr>
        <w:t>104</w:t>
      </w:r>
      <w:r>
        <w:rPr>
          <w:rFonts w:ascii="Times New Roman" w:hAnsi="Times New Roman" w:hint="eastAsia"/>
        </w:rPr>
        <w:t>年</w:t>
      </w:r>
      <w:r>
        <w:rPr>
          <w:rFonts w:ascii="Times New Roman" w:hAnsi="Times New Roman"/>
        </w:rPr>
        <w:t>)</w:t>
      </w:r>
      <w:r>
        <w:rPr>
          <w:rFonts w:ascii="Times New Roman" w:hAnsi="Times New Roman" w:hint="eastAsia"/>
        </w:rPr>
        <w:t>、新北市</w:t>
      </w:r>
      <w:r>
        <w:rPr>
          <w:rFonts w:ascii="Times New Roman" w:hAnsi="Times New Roman"/>
        </w:rPr>
        <w:t>(101</w:t>
      </w:r>
      <w:r>
        <w:rPr>
          <w:rFonts w:ascii="Times New Roman" w:hAnsi="Times New Roman" w:hint="eastAsia"/>
        </w:rPr>
        <w:t>年及</w:t>
      </w:r>
      <w:r>
        <w:rPr>
          <w:rFonts w:ascii="Times New Roman" w:hAnsi="Times New Roman"/>
        </w:rPr>
        <w:t>105</w:t>
      </w:r>
      <w:r>
        <w:rPr>
          <w:rFonts w:ascii="Times New Roman" w:hAnsi="Times New Roman" w:hint="eastAsia"/>
        </w:rPr>
        <w:t>年</w:t>
      </w:r>
      <w:r>
        <w:rPr>
          <w:rFonts w:ascii="Times New Roman" w:hAnsi="Times New Roman"/>
        </w:rPr>
        <w:t>)</w:t>
      </w:r>
      <w:r>
        <w:rPr>
          <w:rFonts w:ascii="Times New Roman" w:hAnsi="Times New Roman" w:hint="eastAsia"/>
        </w:rPr>
        <w:t>、桃園市</w:t>
      </w:r>
      <w:r>
        <w:rPr>
          <w:rFonts w:ascii="Times New Roman" w:hAnsi="Times New Roman"/>
        </w:rPr>
        <w:t>(103</w:t>
      </w:r>
      <w:r>
        <w:rPr>
          <w:rFonts w:ascii="Times New Roman" w:hAnsi="Times New Roman" w:hint="eastAsia"/>
        </w:rPr>
        <w:t>年</w:t>
      </w:r>
      <w:r>
        <w:rPr>
          <w:rFonts w:ascii="Times New Roman" w:hAnsi="Times New Roman"/>
        </w:rPr>
        <w:t>)</w:t>
      </w:r>
      <w:r>
        <w:rPr>
          <w:rFonts w:ascii="Times New Roman" w:hAnsi="Times New Roman" w:hint="eastAsia"/>
        </w:rPr>
        <w:t>、臺南市</w:t>
      </w:r>
      <w:r>
        <w:rPr>
          <w:rFonts w:ascii="Times New Roman" w:hAnsi="Times New Roman"/>
        </w:rPr>
        <w:t>(104</w:t>
      </w:r>
      <w:r>
        <w:rPr>
          <w:rFonts w:ascii="Times New Roman" w:hAnsi="Times New Roman" w:hint="eastAsia"/>
        </w:rPr>
        <w:t>年</w:t>
      </w:r>
      <w:r>
        <w:rPr>
          <w:rFonts w:ascii="Times New Roman" w:hAnsi="Times New Roman"/>
        </w:rPr>
        <w:t>)</w:t>
      </w:r>
      <w:r w:rsidR="005D1FA6">
        <w:rPr>
          <w:rFonts w:ascii="Times New Roman" w:hAnsi="Times New Roman" w:hint="eastAsia"/>
        </w:rPr>
        <w:t>、宜蘭縣</w:t>
      </w:r>
      <w:r w:rsidR="005D1FA6">
        <w:rPr>
          <w:rFonts w:ascii="Times New Roman" w:hAnsi="Times New Roman" w:hint="eastAsia"/>
        </w:rPr>
        <w:t>(105</w:t>
      </w:r>
      <w:r w:rsidR="005D1FA6">
        <w:rPr>
          <w:rFonts w:ascii="Times New Roman" w:hAnsi="Times New Roman" w:hint="eastAsia"/>
        </w:rPr>
        <w:t>年</w:t>
      </w:r>
      <w:r w:rsidR="005D1FA6">
        <w:rPr>
          <w:rFonts w:ascii="Times New Roman" w:hAnsi="Times New Roman" w:hint="eastAsia"/>
        </w:rPr>
        <w:t>)</w:t>
      </w:r>
      <w:r>
        <w:rPr>
          <w:rFonts w:ascii="Times New Roman" w:hAnsi="Times New Roman" w:hint="eastAsia"/>
        </w:rPr>
        <w:t>、臺東縣</w:t>
      </w:r>
      <w:r>
        <w:rPr>
          <w:rFonts w:ascii="Times New Roman" w:hAnsi="Times New Roman"/>
        </w:rPr>
        <w:t>(101</w:t>
      </w:r>
      <w:r>
        <w:rPr>
          <w:rFonts w:ascii="Times New Roman" w:hAnsi="Times New Roman" w:hint="eastAsia"/>
        </w:rPr>
        <w:t>年</w:t>
      </w:r>
      <w:r w:rsidR="0038205F">
        <w:rPr>
          <w:rFonts w:ascii="Times New Roman" w:hAnsi="Times New Roman" w:hint="eastAsia"/>
        </w:rPr>
        <w:t>至</w:t>
      </w:r>
      <w:r>
        <w:rPr>
          <w:rFonts w:ascii="Times New Roman" w:hAnsi="Times New Roman"/>
        </w:rPr>
        <w:t>104</w:t>
      </w:r>
      <w:r>
        <w:rPr>
          <w:rFonts w:ascii="Times New Roman" w:hAnsi="Times New Roman" w:hint="eastAsia"/>
        </w:rPr>
        <w:t>年</w:t>
      </w:r>
      <w:r>
        <w:rPr>
          <w:rFonts w:ascii="Times New Roman" w:hAnsi="Times New Roman"/>
        </w:rPr>
        <w:t>)</w:t>
      </w:r>
      <w:r>
        <w:rPr>
          <w:rFonts w:ascii="Times New Roman" w:hAnsi="Times New Roman" w:hint="eastAsia"/>
        </w:rPr>
        <w:t>等</w:t>
      </w:r>
      <w:r w:rsidR="0038205F">
        <w:rPr>
          <w:rFonts w:ascii="Times New Roman" w:hAnsi="Times New Roman" w:hint="eastAsia"/>
        </w:rPr>
        <w:t>6</w:t>
      </w:r>
      <w:r>
        <w:rPr>
          <w:rFonts w:ascii="Times New Roman" w:hAnsi="Times New Roman" w:hint="eastAsia"/>
        </w:rPr>
        <w:t>個縣市。</w:t>
      </w:r>
    </w:p>
    <w:p w:rsidR="0040606A" w:rsidRDefault="0040606A" w:rsidP="0040606A">
      <w:pPr>
        <w:pStyle w:val="3"/>
        <w:numPr>
          <w:ilvl w:val="2"/>
          <w:numId w:val="9"/>
        </w:numPr>
        <w:kinsoku w:val="0"/>
        <w:rPr>
          <w:rFonts w:ascii="Times New Roman" w:hAnsi="Times New Roman"/>
          <w:bCs w:val="0"/>
        </w:rPr>
      </w:pPr>
      <w:bookmarkStart w:id="1308" w:name="_Toc507518603"/>
      <w:bookmarkStart w:id="1309" w:name="_Toc507491576"/>
      <w:bookmarkStart w:id="1310" w:name="_Toc507484752"/>
      <w:bookmarkStart w:id="1311" w:name="_Toc507403639"/>
      <w:bookmarkStart w:id="1312" w:name="_Toc507359648"/>
      <w:bookmarkStart w:id="1313" w:name="_Toc507767680"/>
      <w:bookmarkStart w:id="1314" w:name="_Toc507768406"/>
      <w:bookmarkStart w:id="1315" w:name="_Toc511115395"/>
      <w:bookmarkStart w:id="1316" w:name="_Toc511308186"/>
      <w:bookmarkStart w:id="1317" w:name="_Toc511998628"/>
      <w:bookmarkStart w:id="1318" w:name="_Toc512420985"/>
      <w:r>
        <w:rPr>
          <w:rFonts w:ascii="Times New Roman" w:hAnsi="Times New Roman" w:hint="eastAsia"/>
        </w:rPr>
        <w:t>再依審計部轉據各地方審計處</w:t>
      </w:r>
      <w:r>
        <w:rPr>
          <w:rFonts w:ascii="Times New Roman" w:hAnsi="Times New Roman"/>
        </w:rPr>
        <w:t>(</w:t>
      </w:r>
      <w:r>
        <w:rPr>
          <w:rFonts w:ascii="Times New Roman" w:hAnsi="Times New Roman" w:hint="eastAsia"/>
        </w:rPr>
        <w:t>室</w:t>
      </w:r>
      <w:r>
        <w:rPr>
          <w:rFonts w:ascii="Times New Roman" w:hAnsi="Times New Roman"/>
        </w:rPr>
        <w:t>)</w:t>
      </w:r>
      <w:r>
        <w:rPr>
          <w:rFonts w:ascii="Times New Roman" w:hAnsi="Times New Roman" w:hint="eastAsia"/>
        </w:rPr>
        <w:t>查復結果</w:t>
      </w:r>
      <w:r>
        <w:rPr>
          <w:rFonts w:ascii="Times New Roman" w:hAnsi="Times New Roman" w:hint="eastAsia"/>
          <w:bCs w:val="0"/>
        </w:rPr>
        <w:t>顯示，部分縣市公益彩券盈餘管理委員會</w:t>
      </w:r>
      <w:bookmarkEnd w:id="1308"/>
      <w:bookmarkEnd w:id="1309"/>
      <w:bookmarkEnd w:id="1310"/>
      <w:bookmarkEnd w:id="1311"/>
      <w:bookmarkEnd w:id="1312"/>
      <w:r>
        <w:rPr>
          <w:rFonts w:ascii="Times New Roman" w:hAnsi="Times New Roman" w:hint="eastAsia"/>
          <w:bCs w:val="0"/>
        </w:rPr>
        <w:t>組成結構</w:t>
      </w:r>
      <w:r>
        <w:rPr>
          <w:rFonts w:hint="eastAsia"/>
        </w:rPr>
        <w:t>存有社會福利團體或機構代表福利類別有欠平衡、管理委員會設置要點部分規定與實際執行情形有間，且欠缺委員利益迴避條款等問題：</w:t>
      </w:r>
      <w:bookmarkEnd w:id="1313"/>
      <w:bookmarkEnd w:id="1314"/>
      <w:bookmarkEnd w:id="1315"/>
      <w:bookmarkEnd w:id="1316"/>
      <w:bookmarkEnd w:id="1317"/>
      <w:bookmarkEnd w:id="1318"/>
    </w:p>
    <w:p w:rsidR="0040606A" w:rsidRDefault="0040606A" w:rsidP="0040606A">
      <w:pPr>
        <w:pStyle w:val="4"/>
        <w:numPr>
          <w:ilvl w:val="3"/>
          <w:numId w:val="9"/>
        </w:numPr>
        <w:kinsoku w:val="0"/>
        <w:rPr>
          <w:rFonts w:ascii="Times New Roman" w:hAnsi="Times New Roman"/>
        </w:rPr>
      </w:pPr>
      <w:r>
        <w:rPr>
          <w:rFonts w:ascii="Times New Roman" w:hAnsi="Times New Roman" w:hint="eastAsia"/>
        </w:rPr>
        <w:t>管理委員會之社會福利團體或機構代表福利類別有欠平衡，如：臺中市</w:t>
      </w:r>
      <w:r w:rsidR="00AF5872">
        <w:rPr>
          <w:rFonts w:ascii="Times New Roman" w:hAnsi="Times New Roman" w:hint="eastAsia"/>
        </w:rPr>
        <w:t>、宜蘭縣</w:t>
      </w:r>
      <w:r>
        <w:rPr>
          <w:rFonts w:ascii="Times New Roman" w:hAnsi="Times New Roman" w:hint="eastAsia"/>
        </w:rPr>
        <w:t>、基隆市、新竹縣、嘉義市、連江縣等</w:t>
      </w:r>
      <w:r w:rsidR="00AF5872">
        <w:rPr>
          <w:rFonts w:ascii="Times New Roman" w:hAnsi="Times New Roman" w:hint="eastAsia"/>
        </w:rPr>
        <w:t>6</w:t>
      </w:r>
      <w:r>
        <w:rPr>
          <w:rFonts w:ascii="Times New Roman" w:hAnsi="Times New Roman" w:hint="eastAsia"/>
        </w:rPr>
        <w:t>個縣市</w:t>
      </w:r>
      <w:r w:rsidR="00760ECF">
        <w:rPr>
          <w:rFonts w:ascii="Times New Roman" w:hAnsi="Times New Roman" w:hint="eastAsia"/>
        </w:rPr>
        <w:t>(</w:t>
      </w:r>
      <w:r w:rsidR="00760ECF">
        <w:rPr>
          <w:rFonts w:ascii="Times New Roman" w:hAnsi="Times New Roman" w:hint="eastAsia"/>
        </w:rPr>
        <w:t>詳見下表</w:t>
      </w:r>
      <w:r w:rsidR="00760ECF">
        <w:rPr>
          <w:rFonts w:ascii="Times New Roman" w:hAnsi="Times New Roman" w:hint="eastAsia"/>
        </w:rPr>
        <w:t>9)</w:t>
      </w:r>
      <w:r>
        <w:rPr>
          <w:rFonts w:ascii="Times New Roman" w:hAnsi="Times New Roman" w:hint="eastAsia"/>
        </w:rPr>
        <w:t>。</w:t>
      </w:r>
    </w:p>
    <w:p w:rsidR="0040606A" w:rsidRDefault="0040606A" w:rsidP="00760ECF">
      <w:pPr>
        <w:pStyle w:val="4"/>
        <w:numPr>
          <w:ilvl w:val="3"/>
          <w:numId w:val="9"/>
        </w:numPr>
        <w:topLinePunct/>
        <w:rPr>
          <w:rFonts w:ascii="Times New Roman" w:hAnsi="Times New Roman"/>
        </w:rPr>
      </w:pPr>
      <w:r>
        <w:rPr>
          <w:rFonts w:ascii="Times New Roman" w:hAnsi="Times New Roman" w:hint="eastAsia"/>
        </w:rPr>
        <w:t>管理委員會設置要點部分規定與實際執行情形有間，且欠缺委員利益迴避條款，如：宜蘭縣</w:t>
      </w:r>
      <w:r w:rsidR="00760ECF">
        <w:rPr>
          <w:rFonts w:ascii="Times New Roman" w:hAnsi="Times New Roman" w:hint="eastAsia"/>
        </w:rPr>
        <w:t>(</w:t>
      </w:r>
      <w:r w:rsidR="00760ECF">
        <w:rPr>
          <w:rFonts w:ascii="Times New Roman" w:hAnsi="Times New Roman" w:hint="eastAsia"/>
        </w:rPr>
        <w:t>詳見下表</w:t>
      </w:r>
      <w:r w:rsidR="00760ECF">
        <w:rPr>
          <w:rFonts w:ascii="Times New Roman" w:hAnsi="Times New Roman" w:hint="eastAsia"/>
        </w:rPr>
        <w:t>9)</w:t>
      </w:r>
      <w:r>
        <w:rPr>
          <w:rFonts w:ascii="Times New Roman" w:hAnsi="Times New Roman" w:hint="eastAsia"/>
        </w:rPr>
        <w:t>。</w:t>
      </w:r>
    </w:p>
    <w:p w:rsidR="0040606A" w:rsidRDefault="0040606A" w:rsidP="00885C9D">
      <w:pPr>
        <w:pStyle w:val="a3"/>
        <w:numPr>
          <w:ilvl w:val="0"/>
          <w:numId w:val="34"/>
        </w:numPr>
        <w:spacing w:before="60" w:after="0"/>
        <w:ind w:left="2495" w:rightChars="-13" w:right="-44" w:hanging="771"/>
        <w:textAlignment w:val="auto"/>
        <w:rPr>
          <w:rFonts w:ascii="Times New Roman" w:hAnsi="Times New Roman"/>
          <w:b/>
          <w:spacing w:val="0"/>
        </w:rPr>
      </w:pPr>
      <w:r>
        <w:rPr>
          <w:rFonts w:ascii="Times New Roman" w:hAnsi="標楷體"/>
          <w:b/>
          <w:spacing w:val="0"/>
          <w:szCs w:val="32"/>
        </w:rPr>
        <w:t>101</w:t>
      </w:r>
      <w:r>
        <w:rPr>
          <w:rFonts w:ascii="Times New Roman" w:hAnsi="標楷體" w:hint="eastAsia"/>
          <w:b/>
          <w:spacing w:val="0"/>
          <w:szCs w:val="32"/>
        </w:rPr>
        <w:t>年至</w:t>
      </w:r>
      <w:r>
        <w:rPr>
          <w:rFonts w:ascii="Times New Roman" w:hAnsi="標楷體"/>
          <w:b/>
          <w:spacing w:val="0"/>
          <w:szCs w:val="32"/>
        </w:rPr>
        <w:t>105</w:t>
      </w:r>
      <w:r>
        <w:rPr>
          <w:rFonts w:ascii="Times New Roman" w:hAnsi="標楷體" w:hint="eastAsia"/>
          <w:b/>
          <w:spacing w:val="0"/>
          <w:szCs w:val="32"/>
        </w:rPr>
        <w:t>年</w:t>
      </w:r>
      <w:r>
        <w:rPr>
          <w:rFonts w:ascii="Times New Roman" w:hAnsi="Times New Roman" w:hint="eastAsia"/>
          <w:b/>
          <w:spacing w:val="0"/>
        </w:rPr>
        <w:t>各地方審計處</w:t>
      </w:r>
      <w:r>
        <w:rPr>
          <w:rFonts w:ascii="Times New Roman" w:hAnsi="Times New Roman"/>
          <w:b/>
          <w:spacing w:val="0"/>
        </w:rPr>
        <w:t>(</w:t>
      </w:r>
      <w:r>
        <w:rPr>
          <w:rFonts w:ascii="Times New Roman" w:hAnsi="Times New Roman" w:hint="eastAsia"/>
          <w:b/>
          <w:spacing w:val="0"/>
        </w:rPr>
        <w:t>室</w:t>
      </w:r>
      <w:r>
        <w:rPr>
          <w:rFonts w:ascii="Times New Roman" w:hAnsi="Times New Roman"/>
          <w:b/>
          <w:spacing w:val="0"/>
        </w:rPr>
        <w:t>)</w:t>
      </w:r>
      <w:r>
        <w:rPr>
          <w:rFonts w:ascii="Times New Roman" w:hAnsi="Times New Roman" w:hint="eastAsia"/>
          <w:b/>
          <w:spacing w:val="0"/>
        </w:rPr>
        <w:t>查核各縣市公益彩券盈餘管理委員會缺失彙整一覽表</w:t>
      </w:r>
    </w:p>
    <w:tbl>
      <w:tblPr>
        <w:tblStyle w:val="afb"/>
        <w:tblW w:w="7209" w:type="dxa"/>
        <w:tblInd w:w="18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97"/>
        <w:gridCol w:w="5812"/>
      </w:tblGrid>
      <w:tr w:rsidR="0040606A" w:rsidTr="00C055EF">
        <w:trPr>
          <w:tblHeader/>
        </w:trPr>
        <w:tc>
          <w:tcPr>
            <w:tcW w:w="1397" w:type="dxa"/>
            <w:tcBorders>
              <w:top w:val="single" w:sz="8" w:space="0" w:color="auto"/>
              <w:left w:val="single" w:sz="8" w:space="0" w:color="auto"/>
              <w:bottom w:val="single" w:sz="8" w:space="0" w:color="auto"/>
              <w:right w:val="single" w:sz="8" w:space="0" w:color="auto"/>
            </w:tcBorders>
            <w:vAlign w:val="center"/>
            <w:hideMark/>
          </w:tcPr>
          <w:p w:rsidR="0040606A" w:rsidRDefault="0040606A" w:rsidP="00C055EF">
            <w:pPr>
              <w:pStyle w:val="4"/>
              <w:numPr>
                <w:ilvl w:val="0"/>
                <w:numId w:val="0"/>
              </w:numPr>
              <w:kinsoku w:val="0"/>
              <w:spacing w:line="360" w:lineRule="exact"/>
              <w:jc w:val="center"/>
              <w:rPr>
                <w:rFonts w:ascii="Times New Roman" w:hAnsi="Times New Roman"/>
                <w:sz w:val="28"/>
                <w:szCs w:val="28"/>
              </w:rPr>
            </w:pPr>
            <w:r>
              <w:rPr>
                <w:rFonts w:ascii="Times New Roman" w:hAnsi="Times New Roman" w:hint="eastAsia"/>
                <w:sz w:val="28"/>
                <w:szCs w:val="28"/>
              </w:rPr>
              <w:t>縣市別</w:t>
            </w:r>
          </w:p>
        </w:tc>
        <w:tc>
          <w:tcPr>
            <w:tcW w:w="5812" w:type="dxa"/>
            <w:tcBorders>
              <w:top w:val="single" w:sz="8" w:space="0" w:color="auto"/>
              <w:left w:val="single" w:sz="8" w:space="0" w:color="auto"/>
              <w:bottom w:val="single" w:sz="8" w:space="0" w:color="auto"/>
              <w:right w:val="single" w:sz="8" w:space="0" w:color="auto"/>
            </w:tcBorders>
            <w:vAlign w:val="center"/>
            <w:hideMark/>
          </w:tcPr>
          <w:p w:rsidR="0040606A" w:rsidRDefault="0040606A" w:rsidP="00C055EF">
            <w:pPr>
              <w:pStyle w:val="4"/>
              <w:numPr>
                <w:ilvl w:val="0"/>
                <w:numId w:val="0"/>
              </w:numPr>
              <w:kinsoku w:val="0"/>
              <w:spacing w:line="360" w:lineRule="exact"/>
              <w:jc w:val="center"/>
              <w:rPr>
                <w:rFonts w:ascii="Times New Roman" w:hAnsi="Times New Roman"/>
                <w:sz w:val="28"/>
                <w:szCs w:val="28"/>
              </w:rPr>
            </w:pPr>
            <w:r>
              <w:rPr>
                <w:rFonts w:ascii="Times New Roman" w:hAnsi="Times New Roman" w:hint="eastAsia"/>
                <w:sz w:val="28"/>
                <w:szCs w:val="28"/>
              </w:rPr>
              <w:t>缺</w:t>
            </w:r>
            <w:r>
              <w:rPr>
                <w:rFonts w:ascii="Times New Roman" w:hAnsi="Times New Roman"/>
                <w:sz w:val="28"/>
                <w:szCs w:val="28"/>
              </w:rPr>
              <w:t xml:space="preserve">  </w:t>
            </w:r>
            <w:r>
              <w:rPr>
                <w:rFonts w:ascii="Times New Roman" w:hAnsi="Times New Roman" w:hint="eastAsia"/>
                <w:sz w:val="28"/>
                <w:szCs w:val="28"/>
              </w:rPr>
              <w:t>失</w:t>
            </w:r>
            <w:r>
              <w:rPr>
                <w:rFonts w:ascii="Times New Roman" w:hAnsi="Times New Roman"/>
                <w:sz w:val="28"/>
                <w:szCs w:val="28"/>
              </w:rPr>
              <w:t xml:space="preserve">  </w:t>
            </w:r>
            <w:r>
              <w:rPr>
                <w:rFonts w:ascii="Times New Roman" w:hAnsi="Times New Roman" w:hint="eastAsia"/>
                <w:sz w:val="28"/>
                <w:szCs w:val="28"/>
              </w:rPr>
              <w:t>情</w:t>
            </w:r>
            <w:r>
              <w:rPr>
                <w:rFonts w:ascii="Times New Roman" w:hAnsi="Times New Roman"/>
                <w:sz w:val="28"/>
                <w:szCs w:val="28"/>
              </w:rPr>
              <w:t xml:space="preserve">  </w:t>
            </w:r>
            <w:r>
              <w:rPr>
                <w:rFonts w:ascii="Times New Roman" w:hAnsi="Times New Roman" w:hint="eastAsia"/>
                <w:sz w:val="28"/>
                <w:szCs w:val="28"/>
              </w:rPr>
              <w:t>形</w:t>
            </w:r>
          </w:p>
        </w:tc>
      </w:tr>
      <w:tr w:rsidR="0040606A" w:rsidTr="00C055EF">
        <w:tc>
          <w:tcPr>
            <w:tcW w:w="1397" w:type="dxa"/>
            <w:tcBorders>
              <w:top w:val="single" w:sz="8" w:space="0" w:color="auto"/>
              <w:left w:val="single" w:sz="8" w:space="0" w:color="auto"/>
              <w:bottom w:val="single" w:sz="8" w:space="0" w:color="auto"/>
              <w:right w:val="single" w:sz="8" w:space="0" w:color="auto"/>
            </w:tcBorders>
            <w:hideMark/>
          </w:tcPr>
          <w:p w:rsidR="0040606A" w:rsidRDefault="0040606A" w:rsidP="00C055EF">
            <w:pPr>
              <w:pStyle w:val="4"/>
              <w:numPr>
                <w:ilvl w:val="0"/>
                <w:numId w:val="0"/>
              </w:numPr>
              <w:kinsoku w:val="0"/>
              <w:spacing w:line="360" w:lineRule="exact"/>
              <w:jc w:val="center"/>
              <w:rPr>
                <w:rFonts w:ascii="Times New Roman" w:hAnsi="Times New Roman"/>
                <w:sz w:val="28"/>
                <w:szCs w:val="28"/>
              </w:rPr>
            </w:pPr>
            <w:r>
              <w:rPr>
                <w:rFonts w:ascii="Times New Roman" w:hAnsi="Times New Roman" w:hint="eastAsia"/>
                <w:sz w:val="28"/>
                <w:szCs w:val="28"/>
              </w:rPr>
              <w:t>臺中市</w:t>
            </w:r>
          </w:p>
        </w:tc>
        <w:tc>
          <w:tcPr>
            <w:tcW w:w="5812" w:type="dxa"/>
            <w:tcBorders>
              <w:top w:val="single" w:sz="8" w:space="0" w:color="auto"/>
              <w:left w:val="single" w:sz="8" w:space="0" w:color="auto"/>
              <w:bottom w:val="single" w:sz="8" w:space="0" w:color="auto"/>
              <w:right w:val="single" w:sz="8" w:space="0" w:color="auto"/>
            </w:tcBorders>
            <w:hideMark/>
          </w:tcPr>
          <w:p w:rsidR="0040606A" w:rsidRPr="00885C9D" w:rsidRDefault="0040606A" w:rsidP="00C055EF">
            <w:pPr>
              <w:pStyle w:val="4"/>
              <w:numPr>
                <w:ilvl w:val="0"/>
                <w:numId w:val="0"/>
              </w:numPr>
              <w:kinsoku w:val="0"/>
              <w:spacing w:line="360" w:lineRule="exact"/>
              <w:rPr>
                <w:rFonts w:ascii="Times New Roman" w:hAnsi="Times New Roman"/>
                <w:spacing w:val="-8"/>
                <w:sz w:val="28"/>
                <w:szCs w:val="28"/>
              </w:rPr>
            </w:pPr>
            <w:r w:rsidRPr="00885C9D">
              <w:rPr>
                <w:rFonts w:ascii="Times New Roman" w:hAnsi="Times New Roman" w:hint="eastAsia"/>
                <w:spacing w:val="-8"/>
                <w:sz w:val="28"/>
                <w:szCs w:val="28"/>
              </w:rPr>
              <w:t>基金委員會之社會福利團體或機構代表福利類別有欠平衡，以及委員出席會議情形欠佳，建請廣納多元社福團體代表，並鼓勵積極參與，以推動完善社會福利政策，提升基金營運功能；已通知臺中市政府社會局檢討改善。</w:t>
            </w:r>
          </w:p>
        </w:tc>
      </w:tr>
      <w:tr w:rsidR="0040606A" w:rsidTr="00C055EF">
        <w:tc>
          <w:tcPr>
            <w:tcW w:w="1397" w:type="dxa"/>
            <w:tcBorders>
              <w:top w:val="single" w:sz="8" w:space="0" w:color="auto"/>
              <w:left w:val="single" w:sz="8" w:space="0" w:color="auto"/>
              <w:bottom w:val="single" w:sz="8" w:space="0" w:color="auto"/>
              <w:right w:val="single" w:sz="8" w:space="0" w:color="auto"/>
            </w:tcBorders>
            <w:hideMark/>
          </w:tcPr>
          <w:p w:rsidR="0040606A" w:rsidRDefault="0040606A" w:rsidP="00C055EF">
            <w:pPr>
              <w:pStyle w:val="4"/>
              <w:numPr>
                <w:ilvl w:val="0"/>
                <w:numId w:val="0"/>
              </w:numPr>
              <w:kinsoku w:val="0"/>
              <w:spacing w:line="360" w:lineRule="exact"/>
              <w:jc w:val="center"/>
              <w:rPr>
                <w:rFonts w:ascii="Times New Roman" w:hAnsi="Times New Roman"/>
                <w:sz w:val="28"/>
                <w:szCs w:val="28"/>
              </w:rPr>
            </w:pPr>
            <w:r>
              <w:rPr>
                <w:rFonts w:ascii="Times New Roman" w:hAnsi="Times New Roman" w:hint="eastAsia"/>
                <w:sz w:val="28"/>
                <w:szCs w:val="28"/>
              </w:rPr>
              <w:t>基隆市</w:t>
            </w:r>
          </w:p>
        </w:tc>
        <w:tc>
          <w:tcPr>
            <w:tcW w:w="5812" w:type="dxa"/>
            <w:tcBorders>
              <w:top w:val="single" w:sz="8" w:space="0" w:color="auto"/>
              <w:left w:val="single" w:sz="8" w:space="0" w:color="auto"/>
              <w:bottom w:val="single" w:sz="8" w:space="0" w:color="auto"/>
              <w:right w:val="single" w:sz="8" w:space="0" w:color="auto"/>
            </w:tcBorders>
            <w:hideMark/>
          </w:tcPr>
          <w:p w:rsidR="0040606A" w:rsidRDefault="0040606A" w:rsidP="0099135A">
            <w:pPr>
              <w:pStyle w:val="4"/>
              <w:numPr>
                <w:ilvl w:val="0"/>
                <w:numId w:val="0"/>
              </w:numPr>
              <w:kinsoku w:val="0"/>
              <w:spacing w:line="360" w:lineRule="exact"/>
              <w:rPr>
                <w:rFonts w:ascii="Times New Roman" w:hAnsi="Times New Roman"/>
                <w:sz w:val="28"/>
                <w:szCs w:val="28"/>
              </w:rPr>
            </w:pPr>
            <w:r>
              <w:rPr>
                <w:rFonts w:ascii="Times New Roman" w:hAnsi="Times New Roman"/>
                <w:sz w:val="28"/>
                <w:szCs w:val="28"/>
              </w:rPr>
              <w:t>102</w:t>
            </w:r>
            <w:r>
              <w:rPr>
                <w:rFonts w:ascii="Times New Roman" w:hAnsi="Times New Roman" w:hint="eastAsia"/>
                <w:sz w:val="28"/>
                <w:szCs w:val="28"/>
              </w:rPr>
              <w:t>年至</w:t>
            </w:r>
            <w:r>
              <w:rPr>
                <w:rFonts w:ascii="Times New Roman" w:hAnsi="Times New Roman"/>
                <w:sz w:val="28"/>
                <w:szCs w:val="28"/>
              </w:rPr>
              <w:t>104</w:t>
            </w:r>
            <w:r>
              <w:rPr>
                <w:rFonts w:ascii="Times New Roman" w:hAnsi="Times New Roman" w:hint="eastAsia"/>
                <w:sz w:val="28"/>
                <w:szCs w:val="28"/>
              </w:rPr>
              <w:t>年該府基金用途列有兒童及少年福利服務、婦女福利、老人福利、身心障礙者福利、社會救助服務及其他福利等</w:t>
            </w:r>
            <w:r>
              <w:rPr>
                <w:rFonts w:ascii="Times New Roman" w:hAnsi="Times New Roman"/>
                <w:sz w:val="28"/>
                <w:szCs w:val="28"/>
              </w:rPr>
              <w:t>6</w:t>
            </w:r>
            <w:r>
              <w:rPr>
                <w:rFonts w:ascii="Times New Roman" w:hAnsi="Times New Roman" w:hint="eastAsia"/>
                <w:sz w:val="28"/>
                <w:szCs w:val="28"/>
              </w:rPr>
              <w:t>項與社會福利有關業務計畫，約</w:t>
            </w:r>
            <w:r>
              <w:rPr>
                <w:rFonts w:ascii="Times New Roman" w:hAnsi="Times New Roman"/>
                <w:sz w:val="28"/>
                <w:szCs w:val="28"/>
              </w:rPr>
              <w:t>7</w:t>
            </w:r>
            <w:r>
              <w:rPr>
                <w:rFonts w:ascii="Times New Roman" w:hAnsi="Times New Roman" w:hint="eastAsia"/>
                <w:sz w:val="28"/>
                <w:szCs w:val="28"/>
              </w:rPr>
              <w:t>成支出係集中於老人福利、身心障礙者福利及社會救助服務等業務計畫，其中社會救助服務計畫經費約占年度社會福利經費</w:t>
            </w:r>
            <w:r>
              <w:rPr>
                <w:rFonts w:ascii="Times New Roman" w:hAnsi="Times New Roman"/>
                <w:sz w:val="28"/>
                <w:szCs w:val="28"/>
              </w:rPr>
              <w:t>2</w:t>
            </w:r>
            <w:r>
              <w:rPr>
                <w:rFonts w:ascii="Times New Roman" w:hAnsi="Times New Roman" w:hint="eastAsia"/>
                <w:sz w:val="28"/>
                <w:szCs w:val="28"/>
              </w:rPr>
              <w:t>成，惟</w:t>
            </w:r>
            <w:r w:rsidR="0099135A">
              <w:rPr>
                <w:rFonts w:ascii="Times New Roman" w:hAnsi="Times New Roman" w:hint="eastAsia"/>
                <w:sz w:val="28"/>
                <w:szCs w:val="28"/>
              </w:rPr>
              <w:t>據該府認定，</w:t>
            </w:r>
            <w:r>
              <w:rPr>
                <w:rFonts w:ascii="Times New Roman" w:hAnsi="Times New Roman" w:hint="eastAsia"/>
                <w:sz w:val="28"/>
                <w:szCs w:val="28"/>
              </w:rPr>
              <w:t>前述團體代表尚無社會救助類別代表。</w:t>
            </w:r>
          </w:p>
        </w:tc>
      </w:tr>
      <w:tr w:rsidR="0040606A" w:rsidTr="00C055EF">
        <w:tc>
          <w:tcPr>
            <w:tcW w:w="1397" w:type="dxa"/>
            <w:tcBorders>
              <w:top w:val="single" w:sz="8" w:space="0" w:color="auto"/>
              <w:left w:val="single" w:sz="8" w:space="0" w:color="auto"/>
              <w:bottom w:val="single" w:sz="8" w:space="0" w:color="auto"/>
              <w:right w:val="single" w:sz="8" w:space="0" w:color="auto"/>
            </w:tcBorders>
            <w:hideMark/>
          </w:tcPr>
          <w:p w:rsidR="0040606A" w:rsidRDefault="0040606A" w:rsidP="00615767">
            <w:pPr>
              <w:pStyle w:val="4"/>
              <w:numPr>
                <w:ilvl w:val="0"/>
                <w:numId w:val="0"/>
              </w:numPr>
              <w:kinsoku w:val="0"/>
              <w:spacing w:line="340" w:lineRule="exact"/>
              <w:jc w:val="center"/>
              <w:rPr>
                <w:rFonts w:ascii="Times New Roman" w:hAnsi="Times New Roman"/>
                <w:sz w:val="28"/>
                <w:szCs w:val="28"/>
              </w:rPr>
            </w:pPr>
            <w:r>
              <w:rPr>
                <w:rFonts w:ascii="Times New Roman" w:hAnsi="Times New Roman" w:hint="eastAsia"/>
                <w:sz w:val="28"/>
                <w:szCs w:val="28"/>
              </w:rPr>
              <w:t>宜蘭縣</w:t>
            </w:r>
          </w:p>
        </w:tc>
        <w:tc>
          <w:tcPr>
            <w:tcW w:w="5812" w:type="dxa"/>
            <w:tcBorders>
              <w:top w:val="single" w:sz="8" w:space="0" w:color="auto"/>
              <w:left w:val="single" w:sz="8" w:space="0" w:color="auto"/>
              <w:bottom w:val="single" w:sz="8" w:space="0" w:color="auto"/>
              <w:right w:val="single" w:sz="8" w:space="0" w:color="auto"/>
            </w:tcBorders>
            <w:hideMark/>
          </w:tcPr>
          <w:p w:rsidR="00AF5872" w:rsidRDefault="0040606A" w:rsidP="00615767">
            <w:pPr>
              <w:pStyle w:val="4"/>
              <w:numPr>
                <w:ilvl w:val="3"/>
                <w:numId w:val="33"/>
              </w:numPr>
              <w:kinsoku w:val="0"/>
              <w:spacing w:line="340" w:lineRule="exact"/>
              <w:ind w:left="203" w:rightChars="-19" w:right="-65" w:hanging="266"/>
              <w:rPr>
                <w:rFonts w:ascii="Times New Roman" w:hAnsi="Times New Roman"/>
                <w:sz w:val="28"/>
                <w:szCs w:val="28"/>
              </w:rPr>
            </w:pPr>
            <w:r>
              <w:rPr>
                <w:rFonts w:ascii="Times New Roman" w:hAnsi="Times New Roman" w:hint="eastAsia"/>
                <w:sz w:val="28"/>
                <w:szCs w:val="28"/>
              </w:rPr>
              <w:t>第</w:t>
            </w:r>
            <w:r>
              <w:rPr>
                <w:rFonts w:ascii="Times New Roman" w:hAnsi="Times New Roman"/>
                <w:sz w:val="28"/>
                <w:szCs w:val="28"/>
              </w:rPr>
              <w:t>6</w:t>
            </w:r>
            <w:r>
              <w:rPr>
                <w:rFonts w:ascii="Times New Roman" w:hAnsi="Times New Roman" w:hint="eastAsia"/>
                <w:sz w:val="28"/>
                <w:szCs w:val="28"/>
              </w:rPr>
              <w:t>屆委員會屬褔利類別之委員，僅</w:t>
            </w:r>
            <w:r>
              <w:rPr>
                <w:rFonts w:ascii="Times New Roman" w:hAnsi="Times New Roman"/>
                <w:sz w:val="28"/>
                <w:szCs w:val="28"/>
              </w:rPr>
              <w:t>4</w:t>
            </w:r>
            <w:r>
              <w:rPr>
                <w:rFonts w:ascii="Times New Roman" w:hAnsi="Times New Roman" w:hint="eastAsia"/>
                <w:sz w:val="28"/>
                <w:szCs w:val="28"/>
              </w:rPr>
              <w:t>位，其中</w:t>
            </w:r>
            <w:r>
              <w:rPr>
                <w:rFonts w:ascii="Times New Roman" w:hAnsi="Times New Roman"/>
                <w:sz w:val="28"/>
                <w:szCs w:val="28"/>
              </w:rPr>
              <w:t>1</w:t>
            </w:r>
            <w:r>
              <w:rPr>
                <w:rFonts w:ascii="Times New Roman" w:hAnsi="Times New Roman" w:hint="eastAsia"/>
                <w:sz w:val="28"/>
                <w:szCs w:val="28"/>
              </w:rPr>
              <w:t>位為老人褔利代表、</w:t>
            </w:r>
            <w:r>
              <w:rPr>
                <w:rFonts w:ascii="Times New Roman" w:hAnsi="Times New Roman"/>
                <w:sz w:val="28"/>
                <w:szCs w:val="28"/>
              </w:rPr>
              <w:t>3</w:t>
            </w:r>
            <w:r>
              <w:rPr>
                <w:rFonts w:ascii="Times New Roman" w:hAnsi="Times New Roman" w:hint="eastAsia"/>
                <w:sz w:val="28"/>
                <w:szCs w:val="28"/>
              </w:rPr>
              <w:t>位為兒童褔利代表，與</w:t>
            </w:r>
            <w:r>
              <w:rPr>
                <w:rFonts w:ascii="新細明體" w:eastAsia="新細明體" w:hAnsi="新細明體" w:hint="eastAsia"/>
                <w:sz w:val="28"/>
                <w:szCs w:val="28"/>
              </w:rPr>
              <w:t>「</w:t>
            </w:r>
            <w:r>
              <w:rPr>
                <w:rFonts w:ascii="Times New Roman" w:hAnsi="Times New Roman" w:hint="eastAsia"/>
                <w:sz w:val="28"/>
                <w:szCs w:val="28"/>
              </w:rPr>
              <w:t>宜蘭縣公益彩券盈餘管理委員會設置要點</w:t>
            </w:r>
            <w:r>
              <w:rPr>
                <w:rFonts w:ascii="新細明體" w:eastAsia="新細明體" w:hAnsi="新細明體" w:hint="eastAsia"/>
                <w:sz w:val="28"/>
                <w:szCs w:val="28"/>
              </w:rPr>
              <w:t>」</w:t>
            </w:r>
            <w:r>
              <w:rPr>
                <w:rFonts w:ascii="Times New Roman" w:hAnsi="Times New Roman" w:hint="eastAsia"/>
                <w:sz w:val="28"/>
                <w:szCs w:val="28"/>
              </w:rPr>
              <w:t>第</w:t>
            </w:r>
            <w:r>
              <w:rPr>
                <w:rFonts w:ascii="Times New Roman" w:hAnsi="Times New Roman"/>
                <w:sz w:val="28"/>
                <w:szCs w:val="28"/>
              </w:rPr>
              <w:t>3</w:t>
            </w:r>
            <w:r>
              <w:rPr>
                <w:rFonts w:ascii="Times New Roman" w:hAnsi="Times New Roman" w:hint="eastAsia"/>
                <w:sz w:val="28"/>
                <w:szCs w:val="28"/>
              </w:rPr>
              <w:t>點第</w:t>
            </w:r>
            <w:r>
              <w:rPr>
                <w:rFonts w:ascii="Times New Roman" w:hAnsi="Times New Roman"/>
                <w:sz w:val="28"/>
                <w:szCs w:val="28"/>
              </w:rPr>
              <w:t>1</w:t>
            </w:r>
            <w:r>
              <w:rPr>
                <w:rFonts w:ascii="Times New Roman" w:hAnsi="Times New Roman" w:hint="eastAsia"/>
                <w:sz w:val="28"/>
                <w:szCs w:val="28"/>
              </w:rPr>
              <w:t>項要求福利類委員應有</w:t>
            </w:r>
            <w:r>
              <w:rPr>
                <w:rFonts w:ascii="Times New Roman" w:hAnsi="Times New Roman"/>
                <w:sz w:val="28"/>
                <w:szCs w:val="28"/>
              </w:rPr>
              <w:t>6</w:t>
            </w:r>
            <w:r>
              <w:rPr>
                <w:rFonts w:ascii="Times New Roman" w:hAnsi="Times New Roman" w:hint="eastAsia"/>
                <w:sz w:val="28"/>
                <w:szCs w:val="28"/>
              </w:rPr>
              <w:t>至</w:t>
            </w:r>
            <w:r>
              <w:rPr>
                <w:rFonts w:ascii="Times New Roman" w:hAnsi="Times New Roman"/>
                <w:sz w:val="28"/>
                <w:szCs w:val="28"/>
              </w:rPr>
              <w:t>8</w:t>
            </w:r>
            <w:r>
              <w:rPr>
                <w:rFonts w:ascii="Times New Roman" w:hAnsi="Times New Roman" w:hint="eastAsia"/>
                <w:sz w:val="28"/>
                <w:szCs w:val="28"/>
              </w:rPr>
              <w:t>位之規定未符。</w:t>
            </w:r>
          </w:p>
          <w:p w:rsidR="00AF5872" w:rsidRDefault="0040606A" w:rsidP="00615767">
            <w:pPr>
              <w:pStyle w:val="4"/>
              <w:numPr>
                <w:ilvl w:val="3"/>
                <w:numId w:val="33"/>
              </w:numPr>
              <w:kinsoku w:val="0"/>
              <w:spacing w:line="340" w:lineRule="exact"/>
              <w:ind w:left="203" w:rightChars="-19" w:right="-65" w:hanging="266"/>
              <w:rPr>
                <w:rFonts w:ascii="Times New Roman" w:hAnsi="Times New Roman"/>
                <w:sz w:val="28"/>
                <w:szCs w:val="28"/>
              </w:rPr>
            </w:pPr>
            <w:r>
              <w:rPr>
                <w:rFonts w:ascii="Times New Roman" w:hAnsi="Times New Roman" w:hint="eastAsia"/>
                <w:sz w:val="28"/>
                <w:szCs w:val="28"/>
              </w:rPr>
              <w:t>褔利類委員代表僅有老人及兒童等類別，尚無身心障礙及婦女類代表，核有未盡平衡之虞</w:t>
            </w:r>
            <w:r w:rsidR="00AF5872">
              <w:rPr>
                <w:rFonts w:ascii="Times New Roman" w:hAnsi="Times New Roman" w:hint="eastAsia"/>
                <w:sz w:val="28"/>
                <w:szCs w:val="28"/>
              </w:rPr>
              <w:t>。</w:t>
            </w:r>
          </w:p>
          <w:p w:rsidR="0040606A" w:rsidRDefault="0040606A" w:rsidP="00615767">
            <w:pPr>
              <w:pStyle w:val="4"/>
              <w:numPr>
                <w:ilvl w:val="3"/>
                <w:numId w:val="33"/>
              </w:numPr>
              <w:kinsoku w:val="0"/>
              <w:spacing w:line="340" w:lineRule="exact"/>
              <w:ind w:left="203" w:rightChars="-19" w:right="-65" w:hanging="266"/>
              <w:rPr>
                <w:rFonts w:ascii="Times New Roman" w:hAnsi="Times New Roman"/>
                <w:sz w:val="28"/>
                <w:szCs w:val="28"/>
              </w:rPr>
            </w:pPr>
            <w:r>
              <w:rPr>
                <w:rFonts w:ascii="Times New Roman" w:hAnsi="Times New Roman" w:hint="eastAsia"/>
                <w:sz w:val="28"/>
                <w:szCs w:val="28"/>
              </w:rPr>
              <w:t>委員職責涉及計畫款項之審查，卻乏相關利益迴避條款，有欠妥適。</w:t>
            </w:r>
          </w:p>
        </w:tc>
      </w:tr>
      <w:tr w:rsidR="0040606A" w:rsidTr="00C055EF">
        <w:tc>
          <w:tcPr>
            <w:tcW w:w="1397" w:type="dxa"/>
            <w:tcBorders>
              <w:top w:val="single" w:sz="8" w:space="0" w:color="auto"/>
              <w:left w:val="single" w:sz="8" w:space="0" w:color="auto"/>
              <w:bottom w:val="single" w:sz="8" w:space="0" w:color="auto"/>
              <w:right w:val="single" w:sz="8" w:space="0" w:color="auto"/>
            </w:tcBorders>
            <w:hideMark/>
          </w:tcPr>
          <w:p w:rsidR="0040606A" w:rsidRDefault="0040606A" w:rsidP="00615767">
            <w:pPr>
              <w:pStyle w:val="4"/>
              <w:numPr>
                <w:ilvl w:val="0"/>
                <w:numId w:val="0"/>
              </w:numPr>
              <w:kinsoku w:val="0"/>
              <w:spacing w:line="340" w:lineRule="exact"/>
              <w:jc w:val="center"/>
              <w:rPr>
                <w:rFonts w:ascii="Times New Roman" w:hAnsi="Times New Roman"/>
                <w:sz w:val="28"/>
                <w:szCs w:val="28"/>
              </w:rPr>
            </w:pPr>
            <w:r>
              <w:rPr>
                <w:rFonts w:ascii="Times New Roman" w:hAnsi="Times New Roman" w:hint="eastAsia"/>
                <w:sz w:val="28"/>
                <w:szCs w:val="28"/>
              </w:rPr>
              <w:t>新竹縣</w:t>
            </w:r>
          </w:p>
        </w:tc>
        <w:tc>
          <w:tcPr>
            <w:tcW w:w="5812" w:type="dxa"/>
            <w:tcBorders>
              <w:top w:val="single" w:sz="8" w:space="0" w:color="auto"/>
              <w:left w:val="single" w:sz="8" w:space="0" w:color="auto"/>
              <w:bottom w:val="single" w:sz="8" w:space="0" w:color="auto"/>
              <w:right w:val="single" w:sz="8" w:space="0" w:color="auto"/>
            </w:tcBorders>
            <w:hideMark/>
          </w:tcPr>
          <w:p w:rsidR="0040606A" w:rsidRDefault="0040606A" w:rsidP="00615767">
            <w:pPr>
              <w:pStyle w:val="4"/>
              <w:numPr>
                <w:ilvl w:val="0"/>
                <w:numId w:val="0"/>
              </w:numPr>
              <w:kinsoku w:val="0"/>
              <w:spacing w:line="340" w:lineRule="exact"/>
              <w:rPr>
                <w:rFonts w:ascii="Times New Roman" w:hAnsi="Times New Roman"/>
                <w:sz w:val="28"/>
                <w:szCs w:val="28"/>
              </w:rPr>
            </w:pPr>
            <w:r>
              <w:rPr>
                <w:rFonts w:ascii="Times New Roman" w:hAnsi="Times New Roman" w:hint="eastAsia"/>
                <w:sz w:val="28"/>
                <w:szCs w:val="28"/>
              </w:rPr>
              <w:t>第</w:t>
            </w:r>
            <w:r>
              <w:rPr>
                <w:rFonts w:ascii="Times New Roman" w:hAnsi="Times New Roman"/>
                <w:sz w:val="28"/>
                <w:szCs w:val="28"/>
              </w:rPr>
              <w:t>2</w:t>
            </w:r>
            <w:r>
              <w:rPr>
                <w:rFonts w:ascii="Times New Roman" w:hAnsi="Times New Roman" w:hint="eastAsia"/>
                <w:sz w:val="28"/>
                <w:szCs w:val="28"/>
              </w:rPr>
              <w:t>屆委員名單中，社福團體代表成員包含老人團體代表</w:t>
            </w:r>
            <w:r>
              <w:rPr>
                <w:rFonts w:ascii="Times New Roman" w:hAnsi="Times New Roman"/>
                <w:sz w:val="28"/>
                <w:szCs w:val="28"/>
              </w:rPr>
              <w:t>2</w:t>
            </w:r>
            <w:r>
              <w:rPr>
                <w:rFonts w:ascii="Times New Roman" w:hAnsi="Times New Roman" w:hint="eastAsia"/>
                <w:sz w:val="28"/>
                <w:szCs w:val="28"/>
              </w:rPr>
              <w:t>人、身心障礙團體代表</w:t>
            </w:r>
            <w:r>
              <w:rPr>
                <w:rFonts w:ascii="Times New Roman" w:hAnsi="Times New Roman"/>
                <w:sz w:val="28"/>
                <w:szCs w:val="28"/>
              </w:rPr>
              <w:t>3</w:t>
            </w:r>
            <w:r>
              <w:rPr>
                <w:rFonts w:ascii="Times New Roman" w:hAnsi="Times New Roman" w:hint="eastAsia"/>
                <w:sz w:val="28"/>
                <w:szCs w:val="28"/>
              </w:rPr>
              <w:t>人、婦女團體代表</w:t>
            </w:r>
            <w:r>
              <w:rPr>
                <w:rFonts w:ascii="Times New Roman" w:hAnsi="Times New Roman"/>
                <w:sz w:val="28"/>
                <w:szCs w:val="28"/>
              </w:rPr>
              <w:t>1</w:t>
            </w:r>
            <w:r>
              <w:rPr>
                <w:rFonts w:ascii="Times New Roman" w:hAnsi="Times New Roman" w:hint="eastAsia"/>
                <w:sz w:val="28"/>
                <w:szCs w:val="28"/>
              </w:rPr>
              <w:t>人，惟尚乏兒童及少年福利類別之代表。</w:t>
            </w:r>
          </w:p>
        </w:tc>
      </w:tr>
      <w:tr w:rsidR="0040606A" w:rsidTr="00C055EF">
        <w:tc>
          <w:tcPr>
            <w:tcW w:w="1397" w:type="dxa"/>
            <w:tcBorders>
              <w:top w:val="single" w:sz="8" w:space="0" w:color="auto"/>
              <w:left w:val="single" w:sz="8" w:space="0" w:color="auto"/>
              <w:bottom w:val="single" w:sz="8" w:space="0" w:color="auto"/>
              <w:right w:val="single" w:sz="8" w:space="0" w:color="auto"/>
            </w:tcBorders>
            <w:hideMark/>
          </w:tcPr>
          <w:p w:rsidR="0040606A" w:rsidRDefault="0040606A" w:rsidP="00615767">
            <w:pPr>
              <w:pStyle w:val="4"/>
              <w:numPr>
                <w:ilvl w:val="0"/>
                <w:numId w:val="0"/>
              </w:numPr>
              <w:kinsoku w:val="0"/>
              <w:spacing w:line="340" w:lineRule="exact"/>
              <w:jc w:val="center"/>
              <w:rPr>
                <w:rFonts w:ascii="Times New Roman" w:hAnsi="Times New Roman"/>
                <w:sz w:val="28"/>
                <w:szCs w:val="28"/>
              </w:rPr>
            </w:pPr>
            <w:r>
              <w:rPr>
                <w:rFonts w:ascii="Times New Roman" w:hAnsi="Times New Roman" w:hint="eastAsia"/>
                <w:sz w:val="28"/>
                <w:szCs w:val="28"/>
              </w:rPr>
              <w:t>嘉義市</w:t>
            </w:r>
          </w:p>
        </w:tc>
        <w:tc>
          <w:tcPr>
            <w:tcW w:w="5812" w:type="dxa"/>
            <w:tcBorders>
              <w:top w:val="single" w:sz="8" w:space="0" w:color="auto"/>
              <w:left w:val="single" w:sz="8" w:space="0" w:color="auto"/>
              <w:bottom w:val="single" w:sz="8" w:space="0" w:color="auto"/>
              <w:right w:val="single" w:sz="8" w:space="0" w:color="auto"/>
            </w:tcBorders>
            <w:hideMark/>
          </w:tcPr>
          <w:p w:rsidR="0040606A" w:rsidRDefault="0040606A" w:rsidP="00615767">
            <w:pPr>
              <w:pStyle w:val="4"/>
              <w:numPr>
                <w:ilvl w:val="0"/>
                <w:numId w:val="0"/>
              </w:numPr>
              <w:topLinePunct/>
              <w:spacing w:line="340" w:lineRule="exact"/>
              <w:rPr>
                <w:rFonts w:ascii="Times New Roman" w:hAnsi="Times New Roman"/>
                <w:spacing w:val="-4"/>
                <w:sz w:val="28"/>
                <w:szCs w:val="28"/>
              </w:rPr>
            </w:pPr>
            <w:r>
              <w:rPr>
                <w:rFonts w:ascii="Times New Roman" w:hAnsi="Times New Roman" w:hint="eastAsia"/>
                <w:spacing w:val="-4"/>
                <w:sz w:val="28"/>
                <w:szCs w:val="28"/>
              </w:rPr>
              <w:t>該府派任之社會福利機構團體代表</w:t>
            </w:r>
            <w:r>
              <w:rPr>
                <w:rFonts w:ascii="Times New Roman" w:hAnsi="Times New Roman"/>
                <w:spacing w:val="-4"/>
                <w:sz w:val="28"/>
                <w:szCs w:val="28"/>
              </w:rPr>
              <w:t>4</w:t>
            </w:r>
            <w:r>
              <w:rPr>
                <w:rFonts w:ascii="Times New Roman" w:hAnsi="Times New Roman" w:hint="eastAsia"/>
                <w:spacing w:val="-4"/>
                <w:sz w:val="28"/>
                <w:szCs w:val="28"/>
              </w:rPr>
              <w:t>人，係雙福社會福利慈善基金會、殘障服務協會、腦性麻痺協會及小英之友會之委員代表，顯有未能涵蓋兒童及少年、婦女及老人等層面。</w:t>
            </w:r>
          </w:p>
        </w:tc>
      </w:tr>
      <w:tr w:rsidR="00760ECF" w:rsidTr="00C055EF">
        <w:tc>
          <w:tcPr>
            <w:tcW w:w="1397" w:type="dxa"/>
            <w:tcBorders>
              <w:top w:val="single" w:sz="8" w:space="0" w:color="auto"/>
              <w:left w:val="single" w:sz="8" w:space="0" w:color="auto"/>
              <w:bottom w:val="single" w:sz="8" w:space="0" w:color="auto"/>
              <w:right w:val="single" w:sz="8" w:space="0" w:color="auto"/>
            </w:tcBorders>
          </w:tcPr>
          <w:p w:rsidR="00760ECF" w:rsidRDefault="00760ECF" w:rsidP="00615767">
            <w:pPr>
              <w:pStyle w:val="4"/>
              <w:numPr>
                <w:ilvl w:val="0"/>
                <w:numId w:val="0"/>
              </w:numPr>
              <w:kinsoku w:val="0"/>
              <w:spacing w:line="340" w:lineRule="exact"/>
              <w:jc w:val="center"/>
              <w:rPr>
                <w:rFonts w:ascii="Times New Roman" w:hAnsi="Times New Roman"/>
                <w:sz w:val="28"/>
                <w:szCs w:val="28"/>
              </w:rPr>
            </w:pPr>
            <w:r>
              <w:rPr>
                <w:rFonts w:ascii="Times New Roman" w:hAnsi="Times New Roman" w:hint="eastAsia"/>
                <w:sz w:val="28"/>
                <w:szCs w:val="28"/>
              </w:rPr>
              <w:t>連江縣</w:t>
            </w:r>
          </w:p>
        </w:tc>
        <w:tc>
          <w:tcPr>
            <w:tcW w:w="5812" w:type="dxa"/>
            <w:tcBorders>
              <w:top w:val="single" w:sz="8" w:space="0" w:color="auto"/>
              <w:left w:val="single" w:sz="8" w:space="0" w:color="auto"/>
              <w:bottom w:val="single" w:sz="8" w:space="0" w:color="auto"/>
              <w:right w:val="single" w:sz="8" w:space="0" w:color="auto"/>
            </w:tcBorders>
          </w:tcPr>
          <w:p w:rsidR="00760ECF" w:rsidRDefault="00760ECF" w:rsidP="00615767">
            <w:pPr>
              <w:pStyle w:val="4"/>
              <w:numPr>
                <w:ilvl w:val="0"/>
                <w:numId w:val="0"/>
              </w:numPr>
              <w:topLinePunct/>
              <w:spacing w:line="340" w:lineRule="exact"/>
              <w:rPr>
                <w:rFonts w:ascii="Times New Roman" w:hAnsi="Times New Roman"/>
                <w:spacing w:val="-4"/>
                <w:sz w:val="28"/>
                <w:szCs w:val="28"/>
              </w:rPr>
            </w:pPr>
            <w:r w:rsidRPr="00760ECF">
              <w:rPr>
                <w:rFonts w:ascii="Times New Roman" w:hAnsi="Times New Roman" w:hint="eastAsia"/>
                <w:sz w:val="28"/>
                <w:szCs w:val="28"/>
              </w:rPr>
              <w:t>101</w:t>
            </w:r>
            <w:r w:rsidRPr="00760ECF">
              <w:rPr>
                <w:rFonts w:ascii="Times New Roman" w:hAnsi="Times New Roman" w:hint="eastAsia"/>
                <w:sz w:val="28"/>
                <w:szCs w:val="28"/>
              </w:rPr>
              <w:t>年度抽查</w:t>
            </w:r>
            <w:r>
              <w:rPr>
                <w:rFonts w:ascii="Times New Roman" w:hAnsi="Times New Roman" w:hint="eastAsia"/>
                <w:sz w:val="28"/>
                <w:szCs w:val="28"/>
              </w:rPr>
              <w:t>有關該</w:t>
            </w:r>
            <w:r w:rsidRPr="00760ECF">
              <w:rPr>
                <w:rFonts w:ascii="Times New Roman" w:hAnsi="Times New Roman" w:hint="eastAsia"/>
                <w:sz w:val="28"/>
                <w:szCs w:val="28"/>
              </w:rPr>
              <w:t>委員會運作狀況</w:t>
            </w:r>
            <w:r>
              <w:rPr>
                <w:rFonts w:ascii="Times New Roman" w:hAnsi="Times New Roman" w:hint="eastAsia"/>
                <w:sz w:val="28"/>
                <w:szCs w:val="28"/>
              </w:rPr>
              <w:t>時</w:t>
            </w:r>
            <w:r w:rsidRPr="00760ECF">
              <w:rPr>
                <w:rFonts w:ascii="Times New Roman" w:hAnsi="Times New Roman" w:hint="eastAsia"/>
                <w:sz w:val="28"/>
                <w:szCs w:val="28"/>
              </w:rPr>
              <w:t>，發現該府</w:t>
            </w:r>
            <w:r>
              <w:rPr>
                <w:rFonts w:ascii="Times New Roman" w:hAnsi="Times New Roman" w:hint="eastAsia"/>
                <w:sz w:val="28"/>
                <w:szCs w:val="28"/>
              </w:rPr>
              <w:t>該委員會</w:t>
            </w:r>
            <w:r w:rsidRPr="00760ECF">
              <w:rPr>
                <w:rFonts w:ascii="Times New Roman" w:hAnsi="Times New Roman" w:hint="eastAsia"/>
                <w:sz w:val="28"/>
                <w:szCs w:val="28"/>
              </w:rPr>
              <w:t>計有</w:t>
            </w:r>
            <w:r w:rsidRPr="00760ECF">
              <w:rPr>
                <w:rFonts w:ascii="Times New Roman" w:hAnsi="Times New Roman" w:hint="eastAsia"/>
                <w:sz w:val="28"/>
                <w:szCs w:val="28"/>
              </w:rPr>
              <w:t>9</w:t>
            </w:r>
            <w:r w:rsidRPr="00760ECF">
              <w:rPr>
                <w:rFonts w:ascii="Times New Roman" w:hAnsi="Times New Roman" w:hint="eastAsia"/>
                <w:sz w:val="28"/>
                <w:szCs w:val="28"/>
              </w:rPr>
              <w:t>名</w:t>
            </w:r>
            <w:r>
              <w:rPr>
                <w:rFonts w:ascii="Times New Roman" w:hAnsi="Times New Roman" w:hint="eastAsia"/>
                <w:sz w:val="28"/>
                <w:szCs w:val="28"/>
              </w:rPr>
              <w:t>委員</w:t>
            </w:r>
            <w:r w:rsidRPr="00760ECF">
              <w:rPr>
                <w:rFonts w:ascii="Times New Roman" w:hAnsi="Times New Roman" w:hint="eastAsia"/>
                <w:sz w:val="28"/>
                <w:szCs w:val="28"/>
              </w:rPr>
              <w:t>，惟專家學者及社福團體代表僅</w:t>
            </w:r>
            <w:r w:rsidRPr="00760ECF">
              <w:rPr>
                <w:rFonts w:ascii="Times New Roman" w:hAnsi="Times New Roman" w:hint="eastAsia"/>
                <w:sz w:val="28"/>
                <w:szCs w:val="28"/>
              </w:rPr>
              <w:t>2</w:t>
            </w:r>
            <w:r w:rsidRPr="00760ECF">
              <w:rPr>
                <w:rFonts w:ascii="Times New Roman" w:hAnsi="Times New Roman" w:hint="eastAsia"/>
                <w:sz w:val="28"/>
                <w:szCs w:val="28"/>
              </w:rPr>
              <w:t>名</w:t>
            </w:r>
            <w:r>
              <w:rPr>
                <w:rFonts w:ascii="Times New Roman" w:hAnsi="Times New Roman" w:hint="eastAsia"/>
                <w:sz w:val="28"/>
                <w:szCs w:val="28"/>
              </w:rPr>
              <w:t>。</w:t>
            </w:r>
          </w:p>
        </w:tc>
      </w:tr>
    </w:tbl>
    <w:p w:rsidR="0040606A" w:rsidRDefault="0040606A" w:rsidP="0040606A">
      <w:pPr>
        <w:pStyle w:val="4"/>
        <w:numPr>
          <w:ilvl w:val="0"/>
          <w:numId w:val="0"/>
        </w:numPr>
        <w:spacing w:afterLines="25" w:after="114" w:line="320" w:lineRule="exact"/>
        <w:ind w:left="1701"/>
        <w:rPr>
          <w:rFonts w:ascii="Times New Roman" w:hAnsi="Times New Roman"/>
          <w:spacing w:val="-10"/>
        </w:rPr>
      </w:pPr>
      <w:r>
        <w:rPr>
          <w:rFonts w:ascii="Times New Roman" w:hAnsi="Times New Roman" w:hint="eastAsia"/>
          <w:spacing w:val="-10"/>
          <w:sz w:val="24"/>
          <w:szCs w:val="24"/>
        </w:rPr>
        <w:t>資料來源：審計部提供之各地方審計處</w:t>
      </w:r>
      <w:r w:rsidR="007E0869">
        <w:rPr>
          <w:rFonts w:ascii="Times New Roman" w:hAnsi="Times New Roman" w:hint="eastAsia"/>
          <w:spacing w:val="-10"/>
          <w:sz w:val="24"/>
          <w:szCs w:val="24"/>
        </w:rPr>
        <w:t>(</w:t>
      </w:r>
      <w:r>
        <w:rPr>
          <w:rFonts w:ascii="Times New Roman" w:hAnsi="Times New Roman" w:hint="eastAsia"/>
          <w:spacing w:val="-10"/>
          <w:sz w:val="24"/>
          <w:szCs w:val="24"/>
        </w:rPr>
        <w:t>室</w:t>
      </w:r>
      <w:r w:rsidR="007E0869">
        <w:rPr>
          <w:rFonts w:ascii="Times New Roman" w:hAnsi="Times New Roman" w:hint="eastAsia"/>
          <w:spacing w:val="-10"/>
          <w:sz w:val="24"/>
          <w:szCs w:val="24"/>
        </w:rPr>
        <w:t>)</w:t>
      </w:r>
      <w:r>
        <w:rPr>
          <w:rFonts w:ascii="Times New Roman" w:hAnsi="Times New Roman" w:hint="eastAsia"/>
          <w:spacing w:val="-10"/>
          <w:sz w:val="24"/>
          <w:szCs w:val="24"/>
        </w:rPr>
        <w:t>查核資料，本院整理製表。</w:t>
      </w:r>
    </w:p>
    <w:p w:rsidR="0040606A" w:rsidRDefault="0040606A" w:rsidP="0040606A">
      <w:pPr>
        <w:pStyle w:val="3"/>
        <w:numPr>
          <w:ilvl w:val="2"/>
          <w:numId w:val="9"/>
        </w:numPr>
        <w:kinsoku w:val="0"/>
        <w:rPr>
          <w:rFonts w:ascii="Times New Roman" w:hAnsi="Times New Roman"/>
        </w:rPr>
      </w:pPr>
      <w:bookmarkStart w:id="1319" w:name="_Toc507491577"/>
      <w:bookmarkStart w:id="1320" w:name="_Toc507484753"/>
      <w:bookmarkStart w:id="1321" w:name="_Toc507403640"/>
      <w:bookmarkStart w:id="1322" w:name="_Toc507518604"/>
      <w:bookmarkStart w:id="1323" w:name="_Toc507767681"/>
      <w:bookmarkStart w:id="1324" w:name="_Toc507768407"/>
      <w:bookmarkStart w:id="1325" w:name="_Toc511115396"/>
      <w:bookmarkStart w:id="1326" w:name="_Toc511308187"/>
      <w:bookmarkStart w:id="1327" w:name="_Toc511998629"/>
      <w:bookmarkStart w:id="1328" w:name="_Toc512420986"/>
      <w:r>
        <w:rPr>
          <w:rFonts w:ascii="Times New Roman" w:hAnsi="Times New Roman" w:hint="eastAsia"/>
        </w:rPr>
        <w:t>針對前述情事，財政部於本院詢問時坦言：「有關地方管理委員會的運作係由財政部負責考核，而基於人力有限及權限分際，爰考核係針對有無定期召開委員會、有無發揮功能等，並未針對委員出席狀況進行考核。」「過去確實未注意委員的出席狀況，本部將進行檢討，考量是否納入考核指標。」</w:t>
      </w:r>
      <w:bookmarkEnd w:id="1319"/>
      <w:bookmarkEnd w:id="1320"/>
      <w:bookmarkEnd w:id="1321"/>
      <w:r>
        <w:rPr>
          <w:rFonts w:ascii="Times New Roman" w:hAnsi="Times New Roman" w:hint="eastAsia"/>
        </w:rPr>
        <w:t>該部於詢問後亦再補充書面說明略以：「未來在委員立意迴避部分，本部將納入考核指標，督促地方政府重視；至於出席率及代理出席問題，涉及地方自治運作，本部將邀集地方政府研議可行性，以提升地方政府公益彩券盈餘管理委會功能。」</w:t>
      </w:r>
      <w:bookmarkEnd w:id="1322"/>
      <w:bookmarkEnd w:id="1323"/>
      <w:bookmarkEnd w:id="1324"/>
      <w:bookmarkEnd w:id="1325"/>
      <w:bookmarkEnd w:id="1326"/>
      <w:bookmarkEnd w:id="1327"/>
      <w:bookmarkEnd w:id="1328"/>
    </w:p>
    <w:p w:rsidR="0040606A" w:rsidRDefault="0040606A" w:rsidP="0040606A">
      <w:pPr>
        <w:pStyle w:val="3"/>
        <w:numPr>
          <w:ilvl w:val="2"/>
          <w:numId w:val="9"/>
        </w:numPr>
        <w:kinsoku w:val="0"/>
        <w:rPr>
          <w:rFonts w:ascii="Times New Roman" w:hAnsi="Times New Roman"/>
        </w:rPr>
      </w:pPr>
      <w:bookmarkStart w:id="1329" w:name="_Toc507518605"/>
      <w:bookmarkStart w:id="1330" w:name="_Toc507491578"/>
      <w:bookmarkStart w:id="1331" w:name="_Toc507484754"/>
      <w:bookmarkStart w:id="1332" w:name="_Toc507403641"/>
      <w:bookmarkStart w:id="1333" w:name="_Toc507767682"/>
      <w:bookmarkStart w:id="1334" w:name="_Toc507768408"/>
      <w:bookmarkStart w:id="1335" w:name="_Toc511115397"/>
      <w:bookmarkStart w:id="1336" w:name="_Toc511308188"/>
      <w:bookmarkStart w:id="1337" w:name="_Toc511998630"/>
      <w:bookmarkStart w:id="1338" w:name="_Toc512420987"/>
      <w:r>
        <w:rPr>
          <w:rFonts w:ascii="Times New Roman" w:hAnsi="Times New Roman" w:hint="eastAsia"/>
        </w:rPr>
        <w:t>此外，目前除澎湖縣公益彩券盈餘分配款管理委員會每年僅召開</w:t>
      </w:r>
      <w:r>
        <w:rPr>
          <w:rFonts w:ascii="Times New Roman" w:hAnsi="Times New Roman"/>
        </w:rPr>
        <w:t>1</w:t>
      </w:r>
      <w:r>
        <w:rPr>
          <w:rFonts w:ascii="Times New Roman" w:hAnsi="Times New Roman" w:hint="eastAsia"/>
        </w:rPr>
        <w:t>次會議外，其餘</w:t>
      </w:r>
      <w:r>
        <w:rPr>
          <w:rFonts w:ascii="Times New Roman" w:hAnsi="Times New Roman"/>
        </w:rPr>
        <w:t>21</w:t>
      </w:r>
      <w:r>
        <w:rPr>
          <w:rFonts w:ascii="Times New Roman" w:hAnsi="Times New Roman" w:hint="eastAsia"/>
        </w:rPr>
        <w:t>個縣市管理委員會均召開</w:t>
      </w:r>
      <w:r>
        <w:rPr>
          <w:rFonts w:ascii="Times New Roman" w:hAnsi="Times New Roman"/>
        </w:rPr>
        <w:t>2</w:t>
      </w:r>
      <w:r>
        <w:rPr>
          <w:rFonts w:ascii="Times New Roman" w:hAnsi="Times New Roman" w:hint="eastAsia"/>
        </w:rPr>
        <w:t>次以上之會議。針對前述情事，財政部經函請該府表示略以：該府考量該縣民間團體資源較少，會議組成不易，且獲配數額亦相對少，於地方預算審查會議前召開</w:t>
      </w:r>
      <w:r>
        <w:rPr>
          <w:rFonts w:ascii="Times New Roman" w:hAnsi="Times New Roman"/>
        </w:rPr>
        <w:t>1</w:t>
      </w:r>
      <w:r>
        <w:rPr>
          <w:rFonts w:ascii="Times New Roman" w:hAnsi="Times New Roman" w:hint="eastAsia"/>
        </w:rPr>
        <w:t>次會議，進行彩券盈餘業務執行報告、審查年度計畫及辦理預算編列審議，並檢核年度執行情形等語。惟查財政部</w:t>
      </w:r>
      <w:r>
        <w:rPr>
          <w:rFonts w:ascii="Times New Roman" w:hAnsi="Times New Roman"/>
        </w:rPr>
        <w:t>101</w:t>
      </w:r>
      <w:r>
        <w:rPr>
          <w:rFonts w:ascii="Times New Roman" w:hAnsi="Times New Roman" w:hint="eastAsia"/>
        </w:rPr>
        <w:t>年委外研究報告</w:t>
      </w:r>
      <w:r>
        <w:rPr>
          <w:rStyle w:val="aff1"/>
          <w:rFonts w:ascii="Times New Roman" w:hAnsi="Times New Roman"/>
        </w:rPr>
        <w:footnoteReference w:id="13"/>
      </w:r>
      <w:r>
        <w:rPr>
          <w:rFonts w:ascii="Times New Roman" w:hAnsi="Times New Roman" w:hint="eastAsia"/>
        </w:rPr>
        <w:t>曾提及：「非都會區的承辦人員表示，在非都會</w:t>
      </w:r>
      <w:r w:rsidR="002E3665">
        <w:rPr>
          <w:rFonts w:ascii="Times New Roman" w:hAnsi="Times New Roman" w:hint="eastAsia"/>
        </w:rPr>
        <w:t>區</w:t>
      </w:r>
      <w:r>
        <w:rPr>
          <w:rFonts w:ascii="Times New Roman" w:hAnsi="Times New Roman" w:hint="eastAsia"/>
        </w:rPr>
        <w:t>難以聘任到『專業』的監理委員參與其公彩監理委員會的運作，特別是離島或大學設立不足地區的地方政府，幾乎沒有專業的公彩監理委員願意『跨海』幫忙離島或偏遠地區發展專業能力。」該部於本院詢問時亦表示：「離島縣市聘請委員困難，社工人力及團體培力也不足，中央公彩監理委員會相關會議中曾針對離島地區的問題進行研商，此部分會後將併案進行檢討研議。」顯見該部明知離島縣市公益彩券盈餘管理委員會實際運作之困難，卻未能積極提出因應協助對策，難謂允當。</w:t>
      </w:r>
      <w:bookmarkEnd w:id="1329"/>
      <w:bookmarkEnd w:id="1330"/>
      <w:bookmarkEnd w:id="1331"/>
      <w:bookmarkEnd w:id="1332"/>
      <w:bookmarkEnd w:id="1333"/>
      <w:bookmarkEnd w:id="1334"/>
      <w:bookmarkEnd w:id="1335"/>
      <w:bookmarkEnd w:id="1336"/>
      <w:bookmarkEnd w:id="1337"/>
      <w:bookmarkEnd w:id="1338"/>
    </w:p>
    <w:p w:rsidR="0040606A" w:rsidRDefault="0040606A" w:rsidP="002E3665">
      <w:pPr>
        <w:pStyle w:val="3"/>
        <w:numPr>
          <w:ilvl w:val="2"/>
          <w:numId w:val="9"/>
        </w:numPr>
        <w:topLinePunct/>
        <w:ind w:left="1360" w:hanging="680"/>
        <w:rPr>
          <w:rFonts w:ascii="Times New Roman" w:hAnsi="Times New Roman"/>
        </w:rPr>
      </w:pPr>
      <w:bookmarkStart w:id="1339" w:name="_Toc507518606"/>
      <w:bookmarkStart w:id="1340" w:name="_Toc507491579"/>
      <w:bookmarkStart w:id="1341" w:name="_Toc507484755"/>
      <w:bookmarkStart w:id="1342" w:name="_Toc507403642"/>
      <w:bookmarkStart w:id="1343" w:name="_Toc507767683"/>
      <w:bookmarkStart w:id="1344" w:name="_Toc507768409"/>
      <w:bookmarkStart w:id="1345" w:name="_Toc511115398"/>
      <w:bookmarkStart w:id="1346" w:name="_Toc511308189"/>
      <w:bookmarkStart w:id="1347" w:name="_Toc511998631"/>
      <w:bookmarkStart w:id="1348" w:name="_Toc512420988"/>
      <w:r>
        <w:rPr>
          <w:rFonts w:ascii="Times New Roman" w:hAnsi="Times New Roman" w:hint="eastAsia"/>
        </w:rPr>
        <w:t>綜上，各地方政府為公益彩券盈餘分配基金</w:t>
      </w:r>
      <w:r>
        <w:rPr>
          <w:rFonts w:ascii="Times New Roman" w:hAnsi="Times New Roman"/>
        </w:rPr>
        <w:t>(</w:t>
      </w:r>
      <w:r>
        <w:rPr>
          <w:rFonts w:ascii="Times New Roman" w:hAnsi="Times New Roman" w:hint="eastAsia"/>
        </w:rPr>
        <w:t>分配款</w:t>
      </w:r>
      <w:r>
        <w:rPr>
          <w:rFonts w:ascii="Times New Roman" w:hAnsi="Times New Roman"/>
        </w:rPr>
        <w:t>)</w:t>
      </w:r>
      <w:r>
        <w:rPr>
          <w:rFonts w:ascii="Times New Roman" w:hAnsi="Times New Roman" w:hint="eastAsia"/>
        </w:rPr>
        <w:t>之收支、保管及運用，雖皆已設立運用管理委員會</w:t>
      </w:r>
      <w:r>
        <w:rPr>
          <w:rFonts w:ascii="Times New Roman" w:hAnsi="Times New Roman"/>
        </w:rPr>
        <w:t>(</w:t>
      </w:r>
      <w:r>
        <w:rPr>
          <w:rFonts w:ascii="Times New Roman" w:hAnsi="Times New Roman" w:hint="eastAsia"/>
        </w:rPr>
        <w:t>小組</w:t>
      </w:r>
      <w:r>
        <w:rPr>
          <w:rFonts w:ascii="Times New Roman" w:hAnsi="Times New Roman"/>
        </w:rPr>
        <w:t>)</w:t>
      </w:r>
      <w:r>
        <w:rPr>
          <w:rFonts w:ascii="Times New Roman" w:hAnsi="Times New Roman" w:hint="eastAsia"/>
        </w:rPr>
        <w:t>，以監督地方公益彩券盈餘分配款之管理及運用，惟間有部分縣市委員會組成結構欠妥、委員出席率欠佳，亦有代理出席情況等情，財政部允應督促檢討改進，以使委員會有效發揮監督功能。</w:t>
      </w:r>
      <w:bookmarkEnd w:id="1339"/>
      <w:bookmarkEnd w:id="1340"/>
      <w:bookmarkEnd w:id="1341"/>
      <w:bookmarkEnd w:id="1342"/>
      <w:bookmarkEnd w:id="1343"/>
      <w:bookmarkEnd w:id="1344"/>
      <w:bookmarkEnd w:id="1345"/>
      <w:bookmarkEnd w:id="1346"/>
      <w:bookmarkEnd w:id="1347"/>
      <w:bookmarkEnd w:id="1348"/>
    </w:p>
    <w:p w:rsidR="0040606A" w:rsidRDefault="0040606A" w:rsidP="0040606A">
      <w:pPr>
        <w:pStyle w:val="2"/>
        <w:numPr>
          <w:ilvl w:val="1"/>
          <w:numId w:val="9"/>
        </w:numPr>
        <w:kinsoku w:val="0"/>
        <w:rPr>
          <w:rFonts w:ascii="Times New Roman" w:hAnsi="Times New Roman"/>
          <w:b/>
          <w:spacing w:val="-2"/>
        </w:rPr>
      </w:pPr>
      <w:bookmarkStart w:id="1349" w:name="_Toc507518607"/>
      <w:bookmarkStart w:id="1350" w:name="_Toc507767684"/>
      <w:bookmarkStart w:id="1351" w:name="_Toc511115399"/>
      <w:bookmarkStart w:id="1352" w:name="_Toc512420989"/>
      <w:r>
        <w:rPr>
          <w:rFonts w:ascii="Times New Roman" w:hAnsi="Times New Roman" w:hint="eastAsia"/>
          <w:b/>
          <w:spacing w:val="-2"/>
        </w:rPr>
        <w:t>公益彩券盈餘屬不穩定、補充性的財源，衛福部雖已規範地方政府就屬於常態性社會福利支出項目應以公務預算優先支應，惟欠缺</w:t>
      </w:r>
      <w:bookmarkEnd w:id="806"/>
      <w:r>
        <w:rPr>
          <w:rFonts w:ascii="Times New Roman" w:hAnsi="Times New Roman" w:hint="eastAsia"/>
          <w:b/>
          <w:spacing w:val="-2"/>
        </w:rPr>
        <w:t>相關評核及監督機制，以避免公益彩券盈餘之挹注替代或排擠原應有的地方社會福利支出預算，應予檢討改進。</w:t>
      </w:r>
      <w:bookmarkEnd w:id="1349"/>
      <w:bookmarkEnd w:id="1350"/>
      <w:bookmarkEnd w:id="1351"/>
      <w:bookmarkEnd w:id="1352"/>
    </w:p>
    <w:p w:rsidR="0040606A" w:rsidRPr="00375CD1" w:rsidRDefault="0040606A" w:rsidP="0040606A">
      <w:pPr>
        <w:pStyle w:val="3"/>
        <w:numPr>
          <w:ilvl w:val="2"/>
          <w:numId w:val="9"/>
        </w:numPr>
        <w:kinsoku w:val="0"/>
        <w:ind w:left="1360" w:hanging="680"/>
        <w:rPr>
          <w:rFonts w:ascii="Times New Roman" w:hAnsi="Times New Roman"/>
          <w:color w:val="000000" w:themeColor="text1"/>
        </w:rPr>
      </w:pPr>
      <w:bookmarkStart w:id="1353" w:name="_Toc507767685"/>
      <w:bookmarkStart w:id="1354" w:name="_Toc507768411"/>
      <w:bookmarkStart w:id="1355" w:name="_Toc511115400"/>
      <w:bookmarkStart w:id="1356" w:name="_Toc511308191"/>
      <w:bookmarkStart w:id="1357" w:name="_Toc511998633"/>
      <w:bookmarkStart w:id="1358" w:name="_Toc512420990"/>
      <w:bookmarkStart w:id="1359" w:name="_Toc507518608"/>
      <w:bookmarkStart w:id="1360" w:name="_Toc507491603"/>
      <w:bookmarkStart w:id="1361" w:name="_Toc507484779"/>
      <w:bookmarkStart w:id="1362" w:name="_Toc507403574"/>
      <w:bookmarkStart w:id="1363" w:name="_Toc507359638"/>
      <w:bookmarkStart w:id="1364" w:name="_Toc507168671"/>
      <w:bookmarkStart w:id="1365" w:name="_Toc507163469"/>
      <w:bookmarkStart w:id="1366" w:name="_Toc507163217"/>
      <w:r w:rsidRPr="00375CD1">
        <w:rPr>
          <w:rFonts w:ascii="Times New Roman" w:hAnsi="Times New Roman" w:hint="eastAsia"/>
          <w:color w:val="000000" w:themeColor="text1"/>
        </w:rPr>
        <w:t>查我國公益彩券發行之目的，於立法過程係朝社會福利、公益之方式，並於公益彩券發行條例第</w:t>
      </w:r>
      <w:r w:rsidRPr="00375CD1">
        <w:rPr>
          <w:rFonts w:ascii="Times New Roman" w:hAnsi="Times New Roman"/>
          <w:color w:val="000000" w:themeColor="text1"/>
        </w:rPr>
        <w:t>1</w:t>
      </w:r>
      <w:r w:rsidRPr="00375CD1">
        <w:rPr>
          <w:rFonts w:ascii="Times New Roman" w:hAnsi="Times New Roman" w:hint="eastAsia"/>
          <w:color w:val="000000" w:themeColor="text1"/>
        </w:rPr>
        <w:t>條明確揭示係為增進社會福利。立法院委員曾於</w:t>
      </w:r>
      <w:r w:rsidRPr="00375CD1">
        <w:rPr>
          <w:rFonts w:ascii="Times New Roman" w:hAnsi="Times New Roman"/>
          <w:color w:val="000000" w:themeColor="text1"/>
        </w:rPr>
        <w:t>101</w:t>
      </w:r>
      <w:r w:rsidRPr="00375CD1">
        <w:rPr>
          <w:rFonts w:ascii="Times New Roman" w:hAnsi="Times New Roman" w:hint="eastAsia"/>
          <w:color w:val="000000" w:themeColor="text1"/>
        </w:rPr>
        <w:t>年間提案修正公益彩券發行條例第</w:t>
      </w:r>
      <w:r w:rsidRPr="00375CD1">
        <w:rPr>
          <w:rFonts w:ascii="Times New Roman" w:hAnsi="Times New Roman"/>
          <w:color w:val="000000" w:themeColor="text1"/>
        </w:rPr>
        <w:t>6</w:t>
      </w:r>
      <w:r w:rsidRPr="00375CD1">
        <w:rPr>
          <w:rFonts w:ascii="Times New Roman" w:hAnsi="Times New Roman" w:hint="eastAsia"/>
          <w:color w:val="000000" w:themeColor="text1"/>
        </w:rPr>
        <w:t>條，建議將彩券部分收入用於補助公共文化事業，案經行政院交付財政部及衛福部研析意見後，鑑於彩券盈餘係地方</w:t>
      </w:r>
      <w:r w:rsidR="002E3665">
        <w:rPr>
          <w:rFonts w:ascii="Times New Roman" w:hAnsi="Times New Roman" w:hint="eastAsia"/>
          <w:color w:val="000000" w:themeColor="text1"/>
        </w:rPr>
        <w:t>社會福利</w:t>
      </w:r>
      <w:r w:rsidRPr="00375CD1">
        <w:rPr>
          <w:rFonts w:ascii="Times New Roman" w:hAnsi="Times New Roman" w:hint="eastAsia"/>
          <w:color w:val="000000" w:themeColor="text1"/>
        </w:rPr>
        <w:t>經費</w:t>
      </w:r>
      <w:r w:rsidR="002E3665">
        <w:rPr>
          <w:rFonts w:ascii="Times New Roman" w:hAnsi="Times New Roman" w:hint="eastAsia"/>
          <w:color w:val="000000" w:themeColor="text1"/>
        </w:rPr>
        <w:t>之</w:t>
      </w:r>
      <w:r w:rsidRPr="00375CD1">
        <w:rPr>
          <w:rFonts w:ascii="Times New Roman" w:hAnsi="Times New Roman" w:hint="eastAsia"/>
          <w:color w:val="000000" w:themeColor="text1"/>
        </w:rPr>
        <w:t>重要來源，尤其是財政較為困窘之縣市</w:t>
      </w:r>
      <w:r w:rsidR="002E3665">
        <w:rPr>
          <w:rFonts w:ascii="Times New Roman" w:hAnsi="Times New Roman" w:hint="eastAsia"/>
          <w:color w:val="000000" w:themeColor="text1"/>
        </w:rPr>
        <w:t>；</w:t>
      </w:r>
      <w:r w:rsidRPr="00375CD1">
        <w:rPr>
          <w:rFonts w:ascii="Times New Roman" w:hAnsi="Times New Roman" w:hint="eastAsia"/>
          <w:color w:val="000000" w:themeColor="text1"/>
        </w:rPr>
        <w:t>且在地方政府多年運用下，對社會福利人口之照顧，有相當貢獻，為免影響社福財源之籌應，爰未予增列社會福利支出以外之用途。財政部及衛福部於本院詢問時亦皆表示：現階段國家財政困窘，地方預算中，社福支出占比大，對社福財源需求大，公益彩券是補充財源，仍希望公益彩券的運用限於社福支出等語。本院座談時，地方</w:t>
      </w:r>
      <w:r w:rsidR="002E3665">
        <w:rPr>
          <w:rFonts w:ascii="Times New Roman" w:hAnsi="Times New Roman" w:hint="eastAsia"/>
          <w:color w:val="000000" w:themeColor="text1"/>
        </w:rPr>
        <w:t>政府</w:t>
      </w:r>
      <w:r w:rsidRPr="00375CD1">
        <w:rPr>
          <w:rFonts w:ascii="Times New Roman" w:hAnsi="Times New Roman" w:hint="eastAsia"/>
          <w:color w:val="000000" w:themeColor="text1"/>
        </w:rPr>
        <w:t>社政單位</w:t>
      </w:r>
      <w:r w:rsidR="002E3665">
        <w:rPr>
          <w:rFonts w:ascii="Times New Roman" w:hAnsi="Times New Roman" w:hint="eastAsia"/>
          <w:color w:val="000000" w:themeColor="text1"/>
        </w:rPr>
        <w:t>代表</w:t>
      </w:r>
      <w:r w:rsidRPr="00375CD1">
        <w:rPr>
          <w:rFonts w:ascii="Times New Roman" w:hAnsi="Times New Roman" w:hint="eastAsia"/>
          <w:color w:val="000000" w:themeColor="text1"/>
        </w:rPr>
        <w:t>亦表示：</w:t>
      </w:r>
      <w:r w:rsidRPr="00375CD1">
        <w:rPr>
          <w:rFonts w:ascii="Times New Roman" w:hint="eastAsia"/>
          <w:color w:val="000000" w:themeColor="text1"/>
        </w:rPr>
        <w:t>就社福立場，希望公益彩券盈餘</w:t>
      </w:r>
      <w:r w:rsidR="002E3665">
        <w:rPr>
          <w:rFonts w:ascii="Times New Roman" w:hint="eastAsia"/>
          <w:color w:val="000000" w:themeColor="text1"/>
        </w:rPr>
        <w:t>仍能</w:t>
      </w:r>
      <w:r w:rsidRPr="00375CD1">
        <w:rPr>
          <w:rFonts w:ascii="Times New Roman" w:hint="eastAsia"/>
          <w:color w:val="000000" w:themeColor="text1"/>
        </w:rPr>
        <w:t>使用在社福，因當前各縣市推動社福相當辛苦，公彩</w:t>
      </w:r>
      <w:r w:rsidR="002E3665">
        <w:rPr>
          <w:rFonts w:ascii="Times New Roman" w:hint="eastAsia"/>
          <w:color w:val="000000" w:themeColor="text1"/>
        </w:rPr>
        <w:t>盈餘</w:t>
      </w:r>
      <w:r w:rsidRPr="00375CD1">
        <w:rPr>
          <w:rFonts w:ascii="Times New Roman" w:hint="eastAsia"/>
          <w:color w:val="000000" w:themeColor="text1"/>
        </w:rPr>
        <w:t>對地方</w:t>
      </w:r>
      <w:r w:rsidR="002E3665">
        <w:rPr>
          <w:rFonts w:ascii="Times New Roman" w:hint="eastAsia"/>
          <w:color w:val="000000" w:themeColor="text1"/>
        </w:rPr>
        <w:t>經費</w:t>
      </w:r>
      <w:r w:rsidRPr="00375CD1">
        <w:rPr>
          <w:rFonts w:ascii="Times New Roman" w:hint="eastAsia"/>
          <w:color w:val="000000" w:themeColor="text1"/>
        </w:rPr>
        <w:t>而言是很大的挹注，爰認為確保使用在社福這塊仍有其必要性等語。</w:t>
      </w:r>
      <w:bookmarkEnd w:id="1353"/>
      <w:bookmarkEnd w:id="1354"/>
      <w:bookmarkEnd w:id="1355"/>
      <w:bookmarkEnd w:id="1356"/>
      <w:bookmarkEnd w:id="1357"/>
      <w:bookmarkEnd w:id="1358"/>
    </w:p>
    <w:p w:rsidR="0040606A" w:rsidRPr="00C121DF" w:rsidRDefault="0040606A" w:rsidP="002E3665">
      <w:pPr>
        <w:pStyle w:val="3"/>
        <w:numPr>
          <w:ilvl w:val="2"/>
          <w:numId w:val="9"/>
        </w:numPr>
        <w:topLinePunct/>
        <w:ind w:left="1360" w:hanging="680"/>
        <w:rPr>
          <w:rFonts w:ascii="Times New Roman" w:hAnsi="Times New Roman"/>
          <w:color w:val="000000" w:themeColor="text1"/>
          <w:szCs w:val="32"/>
        </w:rPr>
      </w:pPr>
      <w:bookmarkStart w:id="1367" w:name="_Toc507767686"/>
      <w:bookmarkStart w:id="1368" w:name="_Toc507768412"/>
      <w:bookmarkStart w:id="1369" w:name="_Toc511115401"/>
      <w:bookmarkStart w:id="1370" w:name="_Toc511308192"/>
      <w:bookmarkStart w:id="1371" w:name="_Toc511998634"/>
      <w:bookmarkStart w:id="1372" w:name="_Toc512420991"/>
      <w:r w:rsidRPr="00375CD1">
        <w:rPr>
          <w:rFonts w:ascii="Times New Roman" w:hAnsi="Times New Roman" w:hint="eastAsia"/>
          <w:color w:val="000000" w:themeColor="text1"/>
        </w:rPr>
        <w:t>依據財政部提供之統計資料顯示，近</w:t>
      </w:r>
      <w:r w:rsidRPr="00375CD1">
        <w:rPr>
          <w:rFonts w:ascii="Times New Roman" w:hAnsi="Times New Roman"/>
          <w:color w:val="000000" w:themeColor="text1"/>
        </w:rPr>
        <w:t>10</w:t>
      </w:r>
      <w:r w:rsidRPr="00375CD1">
        <w:rPr>
          <w:rFonts w:ascii="Times New Roman" w:hAnsi="Times New Roman" w:hint="eastAsia"/>
          <w:color w:val="000000" w:themeColor="text1"/>
        </w:rPr>
        <w:t>年來</w:t>
      </w:r>
      <w:r w:rsidR="002E3665">
        <w:rPr>
          <w:rFonts w:ascii="Times New Roman" w:hAnsi="Times New Roman" w:hint="eastAsia"/>
          <w:color w:val="000000" w:themeColor="text1"/>
        </w:rPr>
        <w:t>公益彩券</w:t>
      </w:r>
      <w:r w:rsidRPr="00375CD1">
        <w:rPr>
          <w:rFonts w:ascii="Times New Roman" w:hAnsi="Times New Roman" w:hint="eastAsia"/>
          <w:color w:val="000000" w:themeColor="text1"/>
        </w:rPr>
        <w:t>盈餘分配予地方政府辦理社會福利之金額</w:t>
      </w:r>
      <w:r w:rsidR="002E3665">
        <w:rPr>
          <w:rFonts w:ascii="Times New Roman" w:hAnsi="Times New Roman" w:hint="eastAsia"/>
          <w:color w:val="000000" w:themeColor="text1"/>
        </w:rPr>
        <w:t>，</w:t>
      </w:r>
      <w:r w:rsidRPr="00375CD1">
        <w:rPr>
          <w:rFonts w:ascii="Times New Roman" w:hAnsi="Times New Roman" w:hint="eastAsia"/>
          <w:color w:val="000000" w:themeColor="text1"/>
        </w:rPr>
        <w:t>從</w:t>
      </w:r>
      <w:r w:rsidRPr="00375CD1">
        <w:rPr>
          <w:rFonts w:ascii="Times New Roman" w:hAnsi="Times New Roman"/>
          <w:color w:val="000000" w:themeColor="text1"/>
        </w:rPr>
        <w:t>96</w:t>
      </w:r>
      <w:r w:rsidRPr="00375CD1">
        <w:rPr>
          <w:rFonts w:ascii="Times New Roman" w:hAnsi="Times New Roman" w:hint="eastAsia"/>
          <w:color w:val="000000" w:themeColor="text1"/>
        </w:rPr>
        <w:t>年之</w:t>
      </w:r>
      <w:r w:rsidRPr="00375CD1">
        <w:rPr>
          <w:rFonts w:ascii="Times New Roman" w:hAnsi="Times New Roman"/>
          <w:color w:val="000000" w:themeColor="text1"/>
        </w:rPr>
        <w:t>77</w:t>
      </w:r>
      <w:r w:rsidRPr="00375CD1">
        <w:rPr>
          <w:rFonts w:ascii="Times New Roman" w:hAnsi="Times New Roman" w:hint="eastAsia"/>
          <w:color w:val="000000" w:themeColor="text1"/>
        </w:rPr>
        <w:t>億</w:t>
      </w:r>
      <w:r w:rsidRPr="00375CD1">
        <w:rPr>
          <w:rFonts w:ascii="Times New Roman" w:hAnsi="Times New Roman"/>
          <w:color w:val="000000" w:themeColor="text1"/>
        </w:rPr>
        <w:t>6</w:t>
      </w:r>
      <w:r w:rsidRPr="00375CD1">
        <w:rPr>
          <w:rFonts w:ascii="Times New Roman" w:hAnsi="Times New Roman" w:hint="eastAsia"/>
          <w:color w:val="000000" w:themeColor="text1"/>
        </w:rPr>
        <w:t>千萬餘元，逐年增加至</w:t>
      </w:r>
      <w:r w:rsidRPr="00375CD1">
        <w:rPr>
          <w:rFonts w:ascii="Times New Roman" w:hAnsi="Times New Roman"/>
          <w:color w:val="000000" w:themeColor="text1"/>
        </w:rPr>
        <w:t>102</w:t>
      </w:r>
      <w:r w:rsidRPr="00375CD1">
        <w:rPr>
          <w:rFonts w:ascii="Times New Roman" w:hAnsi="Times New Roman" w:hint="eastAsia"/>
          <w:color w:val="000000" w:themeColor="text1"/>
        </w:rPr>
        <w:t>年之</w:t>
      </w:r>
      <w:r w:rsidRPr="00375CD1">
        <w:rPr>
          <w:rFonts w:ascii="Times New Roman" w:hAnsi="Times New Roman"/>
          <w:color w:val="000000" w:themeColor="text1"/>
        </w:rPr>
        <w:t>180</w:t>
      </w:r>
      <w:r w:rsidRPr="00375CD1">
        <w:rPr>
          <w:rFonts w:ascii="Times New Roman" w:hAnsi="Times New Roman" w:hint="eastAsia"/>
          <w:color w:val="000000" w:themeColor="text1"/>
        </w:rPr>
        <w:t>億</w:t>
      </w:r>
      <w:r w:rsidRPr="00375CD1">
        <w:rPr>
          <w:rFonts w:ascii="Times New Roman" w:hAnsi="Times New Roman"/>
          <w:color w:val="000000" w:themeColor="text1"/>
        </w:rPr>
        <w:t>3</w:t>
      </w:r>
      <w:r w:rsidRPr="00375CD1">
        <w:rPr>
          <w:rFonts w:ascii="Times New Roman" w:hAnsi="Times New Roman" w:hint="eastAsia"/>
          <w:color w:val="000000" w:themeColor="text1"/>
        </w:rPr>
        <w:t>千萬餘元，嗣後則逐年降低至</w:t>
      </w:r>
      <w:r w:rsidR="002E3665">
        <w:rPr>
          <w:rFonts w:ascii="Times New Roman" w:hAnsi="Times New Roman" w:hint="eastAsia"/>
          <w:color w:val="000000" w:themeColor="text1"/>
        </w:rPr>
        <w:t>105</w:t>
      </w:r>
      <w:r w:rsidR="002E3665">
        <w:rPr>
          <w:rFonts w:ascii="Times New Roman" w:hAnsi="Times New Roman" w:hint="eastAsia"/>
          <w:color w:val="000000" w:themeColor="text1"/>
        </w:rPr>
        <w:t>年之</w:t>
      </w:r>
      <w:r w:rsidRPr="00375CD1">
        <w:rPr>
          <w:rFonts w:ascii="Times New Roman" w:hAnsi="Times New Roman"/>
          <w:color w:val="000000" w:themeColor="text1"/>
        </w:rPr>
        <w:t>132</w:t>
      </w:r>
      <w:r w:rsidRPr="00375CD1">
        <w:rPr>
          <w:rFonts w:ascii="Times New Roman" w:hAnsi="Times New Roman" w:hint="eastAsia"/>
          <w:color w:val="000000" w:themeColor="text1"/>
        </w:rPr>
        <w:t>億</w:t>
      </w:r>
      <w:r w:rsidRPr="00375CD1">
        <w:rPr>
          <w:rFonts w:ascii="Times New Roman" w:hAnsi="Times New Roman"/>
          <w:color w:val="000000" w:themeColor="text1"/>
        </w:rPr>
        <w:t>9</w:t>
      </w:r>
      <w:r w:rsidRPr="00375CD1">
        <w:rPr>
          <w:rFonts w:ascii="Times New Roman" w:hAnsi="Times New Roman" w:hint="eastAsia"/>
          <w:color w:val="000000" w:themeColor="text1"/>
        </w:rPr>
        <w:t>千萬餘元</w:t>
      </w:r>
      <w:r w:rsidRPr="00375CD1">
        <w:rPr>
          <w:rFonts w:ascii="Times New Roman" w:hAnsi="Times New Roman"/>
          <w:color w:val="000000" w:themeColor="text1"/>
        </w:rPr>
        <w:t>(</w:t>
      </w:r>
      <w:r w:rsidRPr="00375CD1">
        <w:rPr>
          <w:rFonts w:ascii="Times New Roman" w:hAnsi="Times New Roman" w:hint="eastAsia"/>
          <w:color w:val="000000" w:themeColor="text1"/>
        </w:rPr>
        <w:t>詳見下圖</w:t>
      </w:r>
      <w:r w:rsidRPr="00375CD1">
        <w:rPr>
          <w:rFonts w:ascii="Times New Roman" w:hAnsi="Times New Roman"/>
          <w:color w:val="000000" w:themeColor="text1"/>
        </w:rPr>
        <w:t>2)</w:t>
      </w:r>
      <w:r w:rsidRPr="00375CD1">
        <w:rPr>
          <w:rFonts w:ascii="Times New Roman" w:hAnsi="Times New Roman" w:hint="eastAsia"/>
          <w:color w:val="000000" w:themeColor="text1"/>
        </w:rPr>
        <w:t>。</w:t>
      </w:r>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p>
    <w:p w:rsidR="0040606A" w:rsidRDefault="0040606A" w:rsidP="0040606A">
      <w:pPr>
        <w:pStyle w:val="3"/>
        <w:numPr>
          <w:ilvl w:val="0"/>
          <w:numId w:val="0"/>
        </w:numPr>
        <w:kinsoku w:val="0"/>
        <w:ind w:left="1360" w:firstLineChars="15" w:firstLine="51"/>
        <w:rPr>
          <w:rFonts w:ascii="Times New Roman" w:hAnsi="Times New Roman"/>
        </w:rPr>
      </w:pPr>
      <w:bookmarkStart w:id="1373" w:name="_Toc507767687"/>
      <w:bookmarkStart w:id="1374" w:name="_Toc507768413"/>
      <w:bookmarkStart w:id="1375" w:name="_Toc511115402"/>
      <w:bookmarkStart w:id="1376" w:name="_Toc511308193"/>
      <w:bookmarkStart w:id="1377" w:name="_Toc511998635"/>
      <w:bookmarkStart w:id="1378" w:name="_Toc512420992"/>
      <w:r>
        <w:rPr>
          <w:noProof/>
        </w:rPr>
        <w:drawing>
          <wp:inline distT="0" distB="0" distL="0" distR="0" wp14:anchorId="755D14C2" wp14:editId="0EF24F6A">
            <wp:extent cx="4777740" cy="2819400"/>
            <wp:effectExtent l="0" t="0" r="22860" b="19050"/>
            <wp:docPr id="4" name="圖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End w:id="1373"/>
      <w:bookmarkEnd w:id="1374"/>
      <w:bookmarkEnd w:id="1375"/>
      <w:bookmarkEnd w:id="1376"/>
      <w:bookmarkEnd w:id="1377"/>
      <w:bookmarkEnd w:id="1378"/>
    </w:p>
    <w:p w:rsidR="0040606A" w:rsidRDefault="0040606A" w:rsidP="00E665DC">
      <w:pPr>
        <w:pStyle w:val="a1"/>
        <w:numPr>
          <w:ilvl w:val="0"/>
          <w:numId w:val="33"/>
        </w:numPr>
        <w:kinsoku w:val="0"/>
        <w:spacing w:before="0" w:after="0"/>
        <w:ind w:left="2058" w:rightChars="-21" w:right="-71" w:hanging="675"/>
        <w:textAlignment w:val="auto"/>
        <w:rPr>
          <w:rFonts w:ascii="Times New Roman" w:hAnsi="Times New Roman"/>
        </w:rPr>
      </w:pPr>
      <w:r>
        <w:rPr>
          <w:rFonts w:ascii="Times New Roman"/>
          <w:b/>
          <w:spacing w:val="0"/>
        </w:rPr>
        <w:t>96</w:t>
      </w:r>
      <w:r>
        <w:rPr>
          <w:rFonts w:ascii="Times New Roman" w:hint="eastAsia"/>
          <w:b/>
          <w:spacing w:val="0"/>
        </w:rPr>
        <w:t>年至</w:t>
      </w:r>
      <w:r>
        <w:rPr>
          <w:rFonts w:ascii="Times New Roman"/>
          <w:b/>
          <w:spacing w:val="0"/>
        </w:rPr>
        <w:t>105</w:t>
      </w:r>
      <w:r>
        <w:rPr>
          <w:rFonts w:ascii="Times New Roman" w:hint="eastAsia"/>
          <w:b/>
          <w:spacing w:val="0"/>
        </w:rPr>
        <w:t>年各</w:t>
      </w:r>
      <w:r>
        <w:rPr>
          <w:rFonts w:ascii="Times New Roman" w:hAnsi="Times New Roman" w:hint="eastAsia"/>
          <w:b/>
          <w:spacing w:val="0"/>
        </w:rPr>
        <w:t>地方政府</w:t>
      </w:r>
      <w:r>
        <w:rPr>
          <w:rFonts w:ascii="Times New Roman" w:hint="eastAsia"/>
          <w:b/>
          <w:spacing w:val="0"/>
        </w:rPr>
        <w:t>獲配公益彩券盈餘金額增減趨勢圖</w:t>
      </w:r>
    </w:p>
    <w:p w:rsidR="0040606A" w:rsidRDefault="0040606A" w:rsidP="0040606A">
      <w:pPr>
        <w:pStyle w:val="3"/>
        <w:numPr>
          <w:ilvl w:val="0"/>
          <w:numId w:val="0"/>
        </w:numPr>
        <w:kinsoku w:val="0"/>
        <w:spacing w:afterLines="25" w:after="114" w:line="320" w:lineRule="exact"/>
        <w:ind w:left="1361"/>
        <w:rPr>
          <w:rFonts w:ascii="Times New Roman" w:hAnsi="Times New Roman"/>
          <w:sz w:val="24"/>
          <w:szCs w:val="24"/>
        </w:rPr>
      </w:pPr>
      <w:bookmarkStart w:id="1379" w:name="_Toc507767688"/>
      <w:bookmarkStart w:id="1380" w:name="_Toc507768414"/>
      <w:bookmarkStart w:id="1381" w:name="_Toc511115403"/>
      <w:bookmarkStart w:id="1382" w:name="_Toc511308194"/>
      <w:bookmarkStart w:id="1383" w:name="_Toc511998636"/>
      <w:bookmarkStart w:id="1384" w:name="_Toc512420993"/>
      <w:bookmarkStart w:id="1385" w:name="_Toc507518609"/>
      <w:bookmarkStart w:id="1386" w:name="_Toc507491604"/>
      <w:bookmarkStart w:id="1387" w:name="_Toc507484780"/>
      <w:bookmarkStart w:id="1388" w:name="_Toc507403575"/>
      <w:bookmarkStart w:id="1389" w:name="_Toc507359639"/>
      <w:bookmarkStart w:id="1390" w:name="_Toc507168677"/>
      <w:bookmarkStart w:id="1391" w:name="_Toc507163470"/>
      <w:bookmarkStart w:id="1392" w:name="_Toc507163218"/>
      <w:bookmarkStart w:id="1393" w:name="_Toc507168672"/>
      <w:r>
        <w:rPr>
          <w:rFonts w:ascii="Times New Roman" w:hAnsi="Times New Roman" w:hint="eastAsia"/>
          <w:sz w:val="24"/>
          <w:szCs w:val="24"/>
        </w:rPr>
        <w:t>資料來源：財政部，本院整理製圖。</w:t>
      </w:r>
      <w:bookmarkEnd w:id="1379"/>
      <w:bookmarkEnd w:id="1380"/>
      <w:bookmarkEnd w:id="1381"/>
      <w:bookmarkEnd w:id="1382"/>
      <w:bookmarkEnd w:id="1383"/>
      <w:bookmarkEnd w:id="1384"/>
    </w:p>
    <w:p w:rsidR="0040606A" w:rsidRPr="004B74FC" w:rsidRDefault="0040606A" w:rsidP="002E3665">
      <w:pPr>
        <w:pStyle w:val="3"/>
        <w:numPr>
          <w:ilvl w:val="2"/>
          <w:numId w:val="9"/>
        </w:numPr>
        <w:topLinePunct/>
        <w:ind w:left="1360" w:hanging="680"/>
        <w:rPr>
          <w:rFonts w:ascii="Times New Roman" w:hAnsi="Times New Roman"/>
        </w:rPr>
      </w:pPr>
      <w:bookmarkStart w:id="1394" w:name="_Toc507767689"/>
      <w:bookmarkStart w:id="1395" w:name="_Toc507768415"/>
      <w:bookmarkStart w:id="1396" w:name="_Toc511115404"/>
      <w:bookmarkStart w:id="1397" w:name="_Toc511308195"/>
      <w:bookmarkStart w:id="1398" w:name="_Toc511998637"/>
      <w:bookmarkStart w:id="1399" w:name="_Toc512420994"/>
      <w:r>
        <w:rPr>
          <w:rFonts w:ascii="Times New Roman" w:hAnsi="Times New Roman" w:hint="eastAsia"/>
          <w:szCs w:val="32"/>
        </w:rPr>
        <w:t>查衛福部</w:t>
      </w:r>
      <w:r>
        <w:rPr>
          <w:rFonts w:ascii="Times New Roman" w:hAnsi="Times New Roman" w:hint="eastAsia"/>
        </w:rPr>
        <w:t>考量</w:t>
      </w:r>
      <w:r w:rsidR="002E3665">
        <w:rPr>
          <w:rFonts w:ascii="Times New Roman" w:hAnsi="Times New Roman" w:hint="eastAsia"/>
        </w:rPr>
        <w:t>公益</w:t>
      </w:r>
      <w:r>
        <w:rPr>
          <w:rFonts w:ascii="Times New Roman" w:hAnsi="Times New Roman" w:hint="eastAsia"/>
        </w:rPr>
        <w:t>彩券盈餘係不穩定財源，為社會福利之補充性財源，且為符合</w:t>
      </w:r>
      <w:r w:rsidR="002E3665">
        <w:rPr>
          <w:rFonts w:ascii="Times New Roman" w:hAnsi="Times New Roman" w:hint="eastAsia"/>
        </w:rPr>
        <w:t>公益彩券</w:t>
      </w:r>
      <w:r>
        <w:rPr>
          <w:rFonts w:ascii="Times New Roman" w:hAnsi="Times New Roman" w:hint="eastAsia"/>
        </w:rPr>
        <w:t>發行條例之立法意旨，避免地方政</w:t>
      </w:r>
      <w:r w:rsidRPr="004B74FC">
        <w:rPr>
          <w:rFonts w:ascii="Times New Roman" w:hAnsi="Times New Roman" w:hint="eastAsia"/>
        </w:rPr>
        <w:t>府以公益彩券盈餘替代公務預算，</w:t>
      </w:r>
      <w:r w:rsidRPr="004B74FC">
        <w:rPr>
          <w:rFonts w:ascii="Times New Roman" w:hAnsi="Times New Roman" w:hint="eastAsia"/>
          <w:szCs w:val="32"/>
        </w:rPr>
        <w:t>於</w:t>
      </w:r>
      <w:r w:rsidRPr="004B74FC">
        <w:rPr>
          <w:rFonts w:ascii="Times New Roman" w:hAnsi="Times New Roman"/>
          <w:szCs w:val="32"/>
        </w:rPr>
        <w:t>102</w:t>
      </w:r>
      <w:r w:rsidRPr="004B74FC">
        <w:rPr>
          <w:rFonts w:ascii="Times New Roman" w:hAnsi="Times New Roman" w:hint="eastAsia"/>
          <w:szCs w:val="32"/>
        </w:rPr>
        <w:t>年</w:t>
      </w:r>
      <w:r w:rsidRPr="004B74FC">
        <w:rPr>
          <w:rFonts w:ascii="Times New Roman" w:hAnsi="Times New Roman"/>
          <w:szCs w:val="32"/>
        </w:rPr>
        <w:t>5</w:t>
      </w:r>
      <w:r w:rsidRPr="004B74FC">
        <w:rPr>
          <w:rFonts w:ascii="Times New Roman" w:hAnsi="Times New Roman" w:hint="eastAsia"/>
          <w:szCs w:val="32"/>
        </w:rPr>
        <w:t>月</w:t>
      </w:r>
      <w:r w:rsidRPr="004B74FC">
        <w:rPr>
          <w:rFonts w:ascii="Times New Roman" w:hAnsi="Times New Roman"/>
          <w:szCs w:val="32"/>
        </w:rPr>
        <w:t>1</w:t>
      </w:r>
      <w:r w:rsidRPr="004B74FC">
        <w:rPr>
          <w:rFonts w:ascii="Times New Roman" w:hAnsi="Times New Roman" w:hint="eastAsia"/>
          <w:szCs w:val="32"/>
        </w:rPr>
        <w:t>日訂定「各直</w:t>
      </w:r>
      <w:r w:rsidRPr="004B74FC">
        <w:rPr>
          <w:rFonts w:ascii="Times New Roman" w:hAnsi="Times New Roman" w:hint="eastAsia"/>
        </w:rPr>
        <w:t>轄市、縣</w:t>
      </w:r>
      <w:r w:rsidRPr="004B74FC">
        <w:rPr>
          <w:rFonts w:ascii="Times New Roman" w:hAnsi="Times New Roman"/>
        </w:rPr>
        <w:t>(</w:t>
      </w:r>
      <w:r w:rsidRPr="004B74FC">
        <w:rPr>
          <w:rFonts w:ascii="Times New Roman" w:hAnsi="Times New Roman" w:hint="eastAsia"/>
        </w:rPr>
        <w:t>市</w:t>
      </w:r>
      <w:r w:rsidRPr="004B74FC">
        <w:rPr>
          <w:rFonts w:ascii="Times New Roman" w:hAnsi="Times New Roman"/>
        </w:rPr>
        <w:t>)</w:t>
      </w:r>
      <w:r w:rsidRPr="004B74FC">
        <w:rPr>
          <w:rFonts w:ascii="Times New Roman" w:hAnsi="Times New Roman" w:hint="eastAsia"/>
        </w:rPr>
        <w:t>政府公益彩券盈餘編列及運用說明」，供地方政府遵循，督導各地</w:t>
      </w:r>
      <w:r w:rsidRPr="004B74FC">
        <w:rPr>
          <w:rFonts w:ascii="Times New Roman" w:hAnsi="Times New Roman" w:hint="eastAsia"/>
          <w:szCs w:val="32"/>
        </w:rPr>
        <w:t>方政府對於公益彩券盈餘分配款之運用範圍</w:t>
      </w:r>
      <w:r w:rsidRPr="004B74FC">
        <w:rPr>
          <w:rFonts w:ascii="Times New Roman" w:hAnsi="Times New Roman" w:hint="eastAsia"/>
        </w:rPr>
        <w:t>，其中明載：</w:t>
      </w:r>
      <w:bookmarkEnd w:id="1394"/>
      <w:bookmarkEnd w:id="1395"/>
      <w:r w:rsidRPr="004B74FC">
        <w:rPr>
          <w:rFonts w:ascii="Times New Roman" w:hAnsi="Times New Roman"/>
        </w:rPr>
        <w:t>「壹、公益彩券盈餘編列原</w:t>
      </w:r>
      <w:r w:rsidRPr="004B74FC">
        <w:rPr>
          <w:rFonts w:ascii="Times New Roman" w:hAnsi="Times New Roman"/>
          <w:spacing w:val="-2"/>
          <w:szCs w:val="32"/>
        </w:rPr>
        <w:t>則一、</w:t>
      </w:r>
      <w:r w:rsidRPr="004B74FC">
        <w:rPr>
          <w:rFonts w:hAnsi="標楷體"/>
          <w:spacing w:val="-2"/>
          <w:szCs w:val="32"/>
        </w:rPr>
        <w:t>……</w:t>
      </w:r>
      <w:r w:rsidRPr="004B74FC">
        <w:rPr>
          <w:rFonts w:ascii="Times New Roman" w:hAnsi="Times New Roman"/>
          <w:spacing w:val="-2"/>
          <w:szCs w:val="32"/>
        </w:rPr>
        <w:t>依組織法或作用法規定相關機關應編列常態性支出者，則應優先以公務預算編列支應，以避免公益彩券盈餘</w:t>
      </w:r>
      <w:r w:rsidRPr="004B74FC">
        <w:rPr>
          <w:rFonts w:ascii="Times New Roman" w:hAnsi="Times New Roman"/>
          <w:spacing w:val="-2"/>
          <w:szCs w:val="32"/>
        </w:rPr>
        <w:t>(</w:t>
      </w:r>
      <w:r w:rsidRPr="004B74FC">
        <w:rPr>
          <w:rFonts w:ascii="Times New Roman" w:hAnsi="Times New Roman"/>
          <w:spacing w:val="-2"/>
          <w:szCs w:val="32"/>
        </w:rPr>
        <w:t>不穩定財源</w:t>
      </w:r>
      <w:r w:rsidRPr="004B74FC">
        <w:rPr>
          <w:rFonts w:ascii="Times New Roman" w:hAnsi="Times New Roman"/>
          <w:spacing w:val="-2"/>
          <w:szCs w:val="32"/>
        </w:rPr>
        <w:t>)</w:t>
      </w:r>
      <w:r w:rsidRPr="004B74FC">
        <w:rPr>
          <w:rFonts w:ascii="Times New Roman" w:hAnsi="Times New Roman"/>
          <w:spacing w:val="-2"/>
          <w:szCs w:val="32"/>
        </w:rPr>
        <w:t>用來替代政府各該機關制度化之法定義務支出。二、各地方政府應善加運用公益彩券盈餘於創新性與實驗性相關計畫，</w:t>
      </w:r>
      <w:r w:rsidRPr="004B74FC">
        <w:rPr>
          <w:rFonts w:hAnsi="標楷體"/>
          <w:spacing w:val="-2"/>
          <w:szCs w:val="32"/>
        </w:rPr>
        <w:t>……</w:t>
      </w:r>
      <w:r w:rsidRPr="004B74FC">
        <w:rPr>
          <w:rFonts w:ascii="Times New Roman" w:hAnsi="Times New Roman"/>
          <w:spacing w:val="-2"/>
          <w:szCs w:val="32"/>
        </w:rPr>
        <w:t>。」</w:t>
      </w:r>
      <w:bookmarkEnd w:id="1396"/>
      <w:bookmarkEnd w:id="1397"/>
      <w:bookmarkEnd w:id="1398"/>
      <w:bookmarkEnd w:id="1399"/>
    </w:p>
    <w:p w:rsidR="0040606A" w:rsidRDefault="0040606A" w:rsidP="0040606A">
      <w:pPr>
        <w:pStyle w:val="3"/>
        <w:numPr>
          <w:ilvl w:val="2"/>
          <w:numId w:val="9"/>
        </w:numPr>
        <w:kinsoku w:val="0"/>
        <w:ind w:left="1360" w:hanging="680"/>
        <w:rPr>
          <w:rFonts w:ascii="Times New Roman" w:hAnsi="Times New Roman"/>
        </w:rPr>
      </w:pPr>
      <w:bookmarkStart w:id="1400" w:name="_Toc507767690"/>
      <w:bookmarkStart w:id="1401" w:name="_Toc507768416"/>
      <w:bookmarkStart w:id="1402" w:name="_Toc511115405"/>
      <w:bookmarkStart w:id="1403" w:name="_Toc511308196"/>
      <w:bookmarkStart w:id="1404" w:name="_Toc511998638"/>
      <w:bookmarkStart w:id="1405" w:name="_Toc512420995"/>
      <w:r>
        <w:rPr>
          <w:rFonts w:hint="eastAsia"/>
          <w:color w:val="000000"/>
        </w:rPr>
        <w:t>衛福部於本院詢問時雖表示</w:t>
      </w:r>
      <w:r>
        <w:rPr>
          <w:rFonts w:ascii="Times New Roman" w:hAnsi="Times New Roman" w:hint="eastAsia"/>
        </w:rPr>
        <w:t>：每年定期考核時，檢視預算數及決算書，釐清計畫係屬長期性或創新性，地方政府若未正確使用，會遭扣分等語。惟查：</w:t>
      </w:r>
      <w:bookmarkEnd w:id="1385"/>
      <w:bookmarkEnd w:id="1386"/>
      <w:bookmarkEnd w:id="1387"/>
      <w:bookmarkEnd w:id="1388"/>
      <w:bookmarkEnd w:id="1389"/>
      <w:bookmarkEnd w:id="1400"/>
      <w:bookmarkEnd w:id="1401"/>
      <w:bookmarkEnd w:id="1402"/>
      <w:bookmarkEnd w:id="1403"/>
      <w:bookmarkEnd w:id="1404"/>
      <w:bookmarkEnd w:id="1405"/>
    </w:p>
    <w:bookmarkEnd w:id="1390"/>
    <w:p w:rsidR="0040606A" w:rsidRPr="00C121DF" w:rsidRDefault="0040606A" w:rsidP="0040606A">
      <w:pPr>
        <w:pStyle w:val="4"/>
        <w:numPr>
          <w:ilvl w:val="3"/>
          <w:numId w:val="9"/>
        </w:numPr>
        <w:kinsoku w:val="0"/>
        <w:ind w:leftChars="351" w:left="1704"/>
        <w:rPr>
          <w:rFonts w:ascii="Times New Roman" w:hAnsi="Times New Roman"/>
          <w:color w:val="000000" w:themeColor="text1"/>
        </w:rPr>
      </w:pPr>
      <w:r>
        <w:rPr>
          <w:rFonts w:ascii="Times New Roman" w:hAnsi="Times New Roman" w:hint="eastAsia"/>
        </w:rPr>
        <w:t>依據審計部提供之資料顯示，</w:t>
      </w:r>
      <w:r>
        <w:rPr>
          <w:rFonts w:ascii="Times New Roman"/>
        </w:rPr>
        <w:t>22</w:t>
      </w:r>
      <w:r>
        <w:rPr>
          <w:rFonts w:ascii="Times New Roman" w:hint="eastAsia"/>
        </w:rPr>
        <w:t>個地方政府社會福利支出決算數</w:t>
      </w:r>
      <w:r>
        <w:rPr>
          <w:rFonts w:ascii="Times New Roman"/>
        </w:rPr>
        <w:t>(</w:t>
      </w:r>
      <w:r>
        <w:rPr>
          <w:rFonts w:ascii="Times New Roman" w:hint="eastAsia"/>
        </w:rPr>
        <w:t>含公益彩券盈餘分配款</w:t>
      </w:r>
      <w:r>
        <w:rPr>
          <w:rFonts w:ascii="Times New Roman"/>
        </w:rPr>
        <w:t>)</w:t>
      </w:r>
      <w:r>
        <w:rPr>
          <w:rFonts w:ascii="Times New Roman" w:hint="eastAsia"/>
        </w:rPr>
        <w:t>總計，從</w:t>
      </w:r>
      <w:r>
        <w:rPr>
          <w:rFonts w:ascii="Times New Roman"/>
        </w:rPr>
        <w:t>100</w:t>
      </w:r>
      <w:r>
        <w:rPr>
          <w:rFonts w:ascii="Times New Roman" w:hint="eastAsia"/>
        </w:rPr>
        <w:t>年之</w:t>
      </w:r>
      <w:r>
        <w:rPr>
          <w:rFonts w:ascii="Times New Roman"/>
        </w:rPr>
        <w:t>1,857</w:t>
      </w:r>
      <w:r>
        <w:rPr>
          <w:rFonts w:ascii="Times New Roman" w:hint="eastAsia"/>
        </w:rPr>
        <w:t>億</w:t>
      </w:r>
      <w:r>
        <w:rPr>
          <w:rFonts w:ascii="Times New Roman"/>
        </w:rPr>
        <w:t>6</w:t>
      </w:r>
      <w:r w:rsidRPr="00C121DF">
        <w:rPr>
          <w:rFonts w:ascii="Times New Roman" w:hint="eastAsia"/>
          <w:color w:val="000000" w:themeColor="text1"/>
        </w:rPr>
        <w:t>千萬餘元，逐年減少至</w:t>
      </w:r>
      <w:r w:rsidRPr="00C121DF">
        <w:rPr>
          <w:rFonts w:ascii="Times New Roman"/>
          <w:color w:val="000000" w:themeColor="text1"/>
        </w:rPr>
        <w:t>105</w:t>
      </w:r>
      <w:r w:rsidRPr="00C121DF">
        <w:rPr>
          <w:rFonts w:ascii="Times New Roman" w:hint="eastAsia"/>
          <w:color w:val="000000" w:themeColor="text1"/>
        </w:rPr>
        <w:t>年之</w:t>
      </w:r>
      <w:r w:rsidRPr="00C121DF">
        <w:rPr>
          <w:rFonts w:ascii="Times New Roman"/>
          <w:color w:val="000000" w:themeColor="text1"/>
        </w:rPr>
        <w:t>1,558</w:t>
      </w:r>
      <w:r w:rsidRPr="00C121DF">
        <w:rPr>
          <w:rFonts w:ascii="Times New Roman" w:hint="eastAsia"/>
          <w:color w:val="000000" w:themeColor="text1"/>
        </w:rPr>
        <w:t>億</w:t>
      </w:r>
      <w:r w:rsidRPr="00C121DF">
        <w:rPr>
          <w:rFonts w:ascii="Times New Roman"/>
          <w:color w:val="000000" w:themeColor="text1"/>
        </w:rPr>
        <w:t>5</w:t>
      </w:r>
      <w:r w:rsidRPr="00C121DF">
        <w:rPr>
          <w:rFonts w:ascii="Times New Roman" w:hint="eastAsia"/>
          <w:color w:val="000000" w:themeColor="text1"/>
        </w:rPr>
        <w:t>百萬餘元</w:t>
      </w:r>
      <w:r w:rsidRPr="00C121DF">
        <w:rPr>
          <w:rFonts w:ascii="Times New Roman"/>
          <w:color w:val="000000" w:themeColor="text1"/>
        </w:rPr>
        <w:t>(</w:t>
      </w:r>
      <w:r w:rsidRPr="00C121DF">
        <w:rPr>
          <w:rFonts w:ascii="Times New Roman" w:hint="eastAsia"/>
          <w:color w:val="000000" w:themeColor="text1"/>
        </w:rPr>
        <w:t>詳見</w:t>
      </w:r>
      <w:r w:rsidR="00293E95" w:rsidRPr="00C121DF">
        <w:rPr>
          <w:rFonts w:ascii="Times New Roman" w:hAnsi="Times New Roman" w:hint="eastAsia"/>
          <w:color w:val="000000" w:themeColor="text1"/>
        </w:rPr>
        <w:t>處理辦法之後的</w:t>
      </w:r>
      <w:r w:rsidRPr="00C121DF">
        <w:rPr>
          <w:rFonts w:ascii="Times New Roman" w:hint="eastAsia"/>
          <w:color w:val="000000" w:themeColor="text1"/>
        </w:rPr>
        <w:t>附表三</w:t>
      </w:r>
      <w:r w:rsidR="002E3665">
        <w:rPr>
          <w:rFonts w:ascii="Times New Roman" w:hint="eastAsia"/>
          <w:color w:val="000000" w:themeColor="text1"/>
        </w:rPr>
        <w:t>，以</w:t>
      </w:r>
      <w:r w:rsidRPr="00C121DF">
        <w:rPr>
          <w:rFonts w:ascii="Times New Roman" w:hint="eastAsia"/>
          <w:color w:val="000000" w:themeColor="text1"/>
        </w:rPr>
        <w:t>及下圖</w:t>
      </w:r>
      <w:r w:rsidRPr="00C121DF">
        <w:rPr>
          <w:rFonts w:ascii="Times New Roman"/>
          <w:color w:val="000000" w:themeColor="text1"/>
        </w:rPr>
        <w:t>3)</w:t>
      </w:r>
      <w:r w:rsidRPr="00C121DF">
        <w:rPr>
          <w:rFonts w:ascii="Times New Roman" w:hint="eastAsia"/>
          <w:color w:val="000000" w:themeColor="text1"/>
        </w:rPr>
        <w:t>。</w:t>
      </w:r>
      <w:r w:rsidRPr="00C121DF">
        <w:rPr>
          <w:rFonts w:ascii="Times New Roman" w:hAnsi="Times New Roman" w:hint="eastAsia"/>
          <w:color w:val="000000" w:themeColor="text1"/>
        </w:rPr>
        <w:t>再據財政部查復資料顯示，</w:t>
      </w:r>
      <w:r w:rsidRPr="00C121DF">
        <w:rPr>
          <w:rFonts w:ascii="Times New Roman"/>
          <w:color w:val="000000" w:themeColor="text1"/>
        </w:rPr>
        <w:t>22</w:t>
      </w:r>
      <w:r w:rsidRPr="00C121DF">
        <w:rPr>
          <w:rFonts w:ascii="Times New Roman" w:hint="eastAsia"/>
          <w:color w:val="000000" w:themeColor="text1"/>
        </w:rPr>
        <w:t>個縣市公益彩券盈餘分配款執行數總計，從</w:t>
      </w:r>
      <w:r w:rsidRPr="00C121DF">
        <w:rPr>
          <w:rFonts w:ascii="Times New Roman"/>
          <w:color w:val="000000" w:themeColor="text1"/>
        </w:rPr>
        <w:t>100</w:t>
      </w:r>
      <w:r w:rsidRPr="00C121DF">
        <w:rPr>
          <w:rFonts w:ascii="Times New Roman" w:hint="eastAsia"/>
          <w:color w:val="000000" w:themeColor="text1"/>
        </w:rPr>
        <w:t>年之</w:t>
      </w:r>
      <w:r w:rsidRPr="00C121DF">
        <w:rPr>
          <w:rFonts w:ascii="Times New Roman"/>
          <w:color w:val="000000" w:themeColor="text1"/>
        </w:rPr>
        <w:t>90</w:t>
      </w:r>
      <w:r w:rsidRPr="00C121DF">
        <w:rPr>
          <w:rFonts w:ascii="Times New Roman" w:hint="eastAsia"/>
          <w:color w:val="000000" w:themeColor="text1"/>
        </w:rPr>
        <w:t>億</w:t>
      </w:r>
      <w:r w:rsidRPr="00C121DF">
        <w:rPr>
          <w:rFonts w:ascii="Times New Roman"/>
          <w:color w:val="000000" w:themeColor="text1"/>
        </w:rPr>
        <w:t>7</w:t>
      </w:r>
      <w:r w:rsidRPr="00C121DF">
        <w:rPr>
          <w:rFonts w:ascii="Times New Roman" w:hint="eastAsia"/>
          <w:color w:val="000000" w:themeColor="text1"/>
        </w:rPr>
        <w:t>千萬餘元，逐年增加至</w:t>
      </w:r>
      <w:r w:rsidRPr="00C121DF">
        <w:rPr>
          <w:rFonts w:ascii="Times New Roman"/>
          <w:color w:val="000000" w:themeColor="text1"/>
        </w:rPr>
        <w:t>104</w:t>
      </w:r>
      <w:r w:rsidRPr="00C121DF">
        <w:rPr>
          <w:rFonts w:ascii="Times New Roman" w:hint="eastAsia"/>
          <w:color w:val="000000" w:themeColor="text1"/>
        </w:rPr>
        <w:t>年之</w:t>
      </w:r>
      <w:r w:rsidRPr="00C121DF">
        <w:rPr>
          <w:rFonts w:ascii="Times New Roman"/>
          <w:color w:val="000000" w:themeColor="text1"/>
        </w:rPr>
        <w:t>169</w:t>
      </w:r>
      <w:r w:rsidRPr="00C121DF">
        <w:rPr>
          <w:rFonts w:ascii="Times New Roman" w:hint="eastAsia"/>
          <w:color w:val="000000" w:themeColor="text1"/>
        </w:rPr>
        <w:t>億</w:t>
      </w:r>
      <w:r w:rsidRPr="00C121DF">
        <w:rPr>
          <w:rFonts w:ascii="Times New Roman"/>
          <w:color w:val="000000" w:themeColor="text1"/>
        </w:rPr>
        <w:t>2</w:t>
      </w:r>
      <w:r w:rsidRPr="00C121DF">
        <w:rPr>
          <w:rFonts w:ascii="Times New Roman" w:hint="eastAsia"/>
          <w:color w:val="000000" w:themeColor="text1"/>
        </w:rPr>
        <w:t>百萬餘元，</w:t>
      </w:r>
      <w:r w:rsidRPr="00C121DF">
        <w:rPr>
          <w:rFonts w:ascii="Times New Roman"/>
          <w:color w:val="000000" w:themeColor="text1"/>
        </w:rPr>
        <w:t>105</w:t>
      </w:r>
      <w:r w:rsidRPr="00C121DF">
        <w:rPr>
          <w:rFonts w:ascii="Times New Roman" w:hint="eastAsia"/>
          <w:color w:val="000000" w:themeColor="text1"/>
        </w:rPr>
        <w:t>年則略降為</w:t>
      </w:r>
      <w:r w:rsidRPr="00C121DF">
        <w:rPr>
          <w:rFonts w:ascii="Times New Roman"/>
          <w:color w:val="000000" w:themeColor="text1"/>
        </w:rPr>
        <w:t>168</w:t>
      </w:r>
      <w:r w:rsidRPr="00C121DF">
        <w:rPr>
          <w:rFonts w:ascii="Times New Roman" w:hint="eastAsia"/>
          <w:color w:val="000000" w:themeColor="text1"/>
        </w:rPr>
        <w:t>億</w:t>
      </w:r>
      <w:r w:rsidRPr="00C121DF">
        <w:rPr>
          <w:rFonts w:ascii="Times New Roman"/>
          <w:color w:val="000000" w:themeColor="text1"/>
        </w:rPr>
        <w:t>9</w:t>
      </w:r>
      <w:r w:rsidRPr="00C121DF">
        <w:rPr>
          <w:rFonts w:ascii="Times New Roman" w:hint="eastAsia"/>
          <w:color w:val="000000" w:themeColor="text1"/>
        </w:rPr>
        <w:t>千萬餘元</w:t>
      </w:r>
      <w:r w:rsidRPr="00C121DF">
        <w:rPr>
          <w:rFonts w:ascii="Times New Roman"/>
          <w:color w:val="000000" w:themeColor="text1"/>
        </w:rPr>
        <w:t>(</w:t>
      </w:r>
      <w:r w:rsidRPr="00C121DF">
        <w:rPr>
          <w:rFonts w:ascii="Times New Roman" w:hint="eastAsia"/>
          <w:color w:val="000000" w:themeColor="text1"/>
        </w:rPr>
        <w:t>詳見</w:t>
      </w:r>
      <w:r w:rsidR="00293E95" w:rsidRPr="00C121DF">
        <w:rPr>
          <w:rFonts w:ascii="Times New Roman" w:hAnsi="Times New Roman" w:hint="eastAsia"/>
          <w:color w:val="000000" w:themeColor="text1"/>
        </w:rPr>
        <w:t>處理辦法之後的</w:t>
      </w:r>
      <w:r w:rsidRPr="00C121DF">
        <w:rPr>
          <w:rFonts w:ascii="Times New Roman" w:hint="eastAsia"/>
          <w:color w:val="000000" w:themeColor="text1"/>
        </w:rPr>
        <w:t>附表四</w:t>
      </w:r>
      <w:r w:rsidR="00613F67">
        <w:rPr>
          <w:rFonts w:ascii="Times New Roman" w:hint="eastAsia"/>
          <w:color w:val="000000" w:themeColor="text1"/>
        </w:rPr>
        <w:t>，以</w:t>
      </w:r>
      <w:r w:rsidRPr="00C121DF">
        <w:rPr>
          <w:rFonts w:ascii="Times New Roman" w:hint="eastAsia"/>
          <w:color w:val="000000" w:themeColor="text1"/>
        </w:rPr>
        <w:t>及下圖</w:t>
      </w:r>
      <w:r w:rsidRPr="00C121DF">
        <w:rPr>
          <w:rFonts w:ascii="Times New Roman"/>
          <w:color w:val="000000" w:themeColor="text1"/>
        </w:rPr>
        <w:t>3)</w:t>
      </w:r>
      <w:r w:rsidRPr="00C121DF">
        <w:rPr>
          <w:rFonts w:ascii="Times New Roman" w:hAnsi="Times New Roman" w:hint="eastAsia"/>
          <w:color w:val="000000" w:themeColor="text1"/>
        </w:rPr>
        <w:t>；</w:t>
      </w:r>
      <w:r w:rsidR="00613F67">
        <w:rPr>
          <w:rFonts w:ascii="Times New Roman" w:hAnsi="Times New Roman" w:hint="eastAsia"/>
          <w:color w:val="000000" w:themeColor="text1"/>
        </w:rPr>
        <w:t>而</w:t>
      </w:r>
      <w:r w:rsidRPr="00C121DF">
        <w:rPr>
          <w:rFonts w:ascii="Times New Roman" w:hint="eastAsia"/>
          <w:color w:val="000000" w:themeColor="text1"/>
        </w:rPr>
        <w:t>公益彩券盈餘分配款執行數</w:t>
      </w:r>
      <w:r w:rsidRPr="00C121DF">
        <w:rPr>
          <w:rFonts w:ascii="Times New Roman" w:hAnsi="Times New Roman" w:hint="eastAsia"/>
          <w:color w:val="000000" w:themeColor="text1"/>
        </w:rPr>
        <w:t>占各該年度社會福利</w:t>
      </w:r>
      <w:r w:rsidR="00613F67">
        <w:rPr>
          <w:rFonts w:ascii="Times New Roman" w:hAnsi="Times New Roman" w:hint="eastAsia"/>
          <w:color w:val="000000" w:themeColor="text1"/>
        </w:rPr>
        <w:t>支出</w:t>
      </w:r>
      <w:r w:rsidRPr="00C121DF">
        <w:rPr>
          <w:rFonts w:ascii="Times New Roman" w:hAnsi="Times New Roman" w:hint="eastAsia"/>
          <w:color w:val="000000" w:themeColor="text1"/>
        </w:rPr>
        <w:t>總經費之比率，從</w:t>
      </w:r>
      <w:r w:rsidRPr="00C121DF">
        <w:rPr>
          <w:rFonts w:ascii="Times New Roman" w:hAnsi="Times New Roman"/>
          <w:color w:val="000000" w:themeColor="text1"/>
        </w:rPr>
        <w:t>100</w:t>
      </w:r>
      <w:r w:rsidRPr="00C121DF">
        <w:rPr>
          <w:rFonts w:ascii="Times New Roman" w:hAnsi="Times New Roman" w:hint="eastAsia"/>
          <w:color w:val="000000" w:themeColor="text1"/>
        </w:rPr>
        <w:t>年之</w:t>
      </w:r>
      <w:r w:rsidRPr="00C121DF">
        <w:rPr>
          <w:rFonts w:ascii="Times New Roman" w:hAnsi="Times New Roman"/>
          <w:color w:val="000000" w:themeColor="text1"/>
        </w:rPr>
        <w:t>4.88</w:t>
      </w:r>
      <w:r w:rsidRPr="00C121DF">
        <w:rPr>
          <w:rFonts w:ascii="Times New Roman" w:hAnsi="Times New Roman" w:hint="eastAsia"/>
          <w:color w:val="000000" w:themeColor="text1"/>
        </w:rPr>
        <w:t>％，逐年增加至</w:t>
      </w:r>
      <w:r w:rsidRPr="00C121DF">
        <w:rPr>
          <w:rFonts w:ascii="Times New Roman" w:hAnsi="Times New Roman"/>
          <w:color w:val="000000" w:themeColor="text1"/>
        </w:rPr>
        <w:t>105</w:t>
      </w:r>
      <w:r w:rsidRPr="00C121DF">
        <w:rPr>
          <w:rFonts w:ascii="Times New Roman" w:hAnsi="Times New Roman" w:hint="eastAsia"/>
          <w:color w:val="000000" w:themeColor="text1"/>
        </w:rPr>
        <w:t>年之</w:t>
      </w:r>
      <w:r w:rsidRPr="00C121DF">
        <w:rPr>
          <w:rFonts w:ascii="Times New Roman" w:hAnsi="Times New Roman"/>
          <w:color w:val="000000" w:themeColor="text1"/>
        </w:rPr>
        <w:t>10.84</w:t>
      </w:r>
      <w:r w:rsidRPr="00C121DF">
        <w:rPr>
          <w:rFonts w:ascii="Times New Roman" w:hAnsi="Times New Roman" w:hint="eastAsia"/>
          <w:color w:val="000000" w:themeColor="text1"/>
        </w:rPr>
        <w:t>％</w:t>
      </w:r>
      <w:r w:rsidRPr="00C121DF">
        <w:rPr>
          <w:rFonts w:ascii="Times New Roman" w:hAnsi="標楷體"/>
          <w:color w:val="000000" w:themeColor="text1"/>
          <w:szCs w:val="32"/>
        </w:rPr>
        <w:t>(</w:t>
      </w:r>
      <w:r w:rsidRPr="00C121DF">
        <w:rPr>
          <w:rFonts w:ascii="Times New Roman" w:hAnsi="標楷體" w:hint="eastAsia"/>
          <w:color w:val="000000" w:themeColor="text1"/>
          <w:szCs w:val="32"/>
        </w:rPr>
        <w:t>詳見下表</w:t>
      </w:r>
      <w:r w:rsidRPr="00C121DF">
        <w:rPr>
          <w:rFonts w:ascii="Times New Roman" w:hAnsi="標楷體"/>
          <w:color w:val="000000" w:themeColor="text1"/>
          <w:szCs w:val="32"/>
        </w:rPr>
        <w:t>10</w:t>
      </w:r>
      <w:r w:rsidRPr="00C121DF">
        <w:rPr>
          <w:rFonts w:ascii="Times New Roman" w:hAnsi="標楷體" w:hint="eastAsia"/>
          <w:color w:val="000000" w:themeColor="text1"/>
          <w:szCs w:val="32"/>
        </w:rPr>
        <w:t>及下圖</w:t>
      </w:r>
      <w:r w:rsidRPr="00C121DF">
        <w:rPr>
          <w:rFonts w:ascii="Times New Roman" w:hAnsi="標楷體"/>
          <w:color w:val="000000" w:themeColor="text1"/>
          <w:szCs w:val="32"/>
        </w:rPr>
        <w:t>4)</w:t>
      </w:r>
      <w:bookmarkEnd w:id="1391"/>
      <w:bookmarkEnd w:id="1392"/>
      <w:r w:rsidRPr="00C121DF">
        <w:rPr>
          <w:rFonts w:ascii="Times New Roman" w:hAnsi="Times New Roman" w:hint="eastAsia"/>
          <w:color w:val="000000" w:themeColor="text1"/>
        </w:rPr>
        <w:t>。</w:t>
      </w:r>
      <w:bookmarkEnd w:id="1393"/>
    </w:p>
    <w:p w:rsidR="0040606A" w:rsidRDefault="0040606A" w:rsidP="0079700F">
      <w:pPr>
        <w:pStyle w:val="3"/>
        <w:numPr>
          <w:ilvl w:val="0"/>
          <w:numId w:val="0"/>
        </w:numPr>
        <w:topLinePunct/>
        <w:ind w:firstLineChars="375" w:firstLine="1276"/>
        <w:rPr>
          <w:rFonts w:ascii="Times New Roman" w:hAnsi="Times New Roman"/>
        </w:rPr>
      </w:pPr>
      <w:bookmarkStart w:id="1406" w:name="_Toc507518610"/>
      <w:bookmarkStart w:id="1407" w:name="_Toc507491605"/>
      <w:bookmarkStart w:id="1408" w:name="_Toc507484781"/>
      <w:bookmarkStart w:id="1409" w:name="_Toc507403576"/>
      <w:bookmarkStart w:id="1410" w:name="_Toc507359640"/>
      <w:bookmarkStart w:id="1411" w:name="_Toc507767691"/>
      <w:bookmarkStart w:id="1412" w:name="_Toc507768417"/>
      <w:bookmarkStart w:id="1413" w:name="_Toc511115406"/>
      <w:bookmarkStart w:id="1414" w:name="_Toc511308197"/>
      <w:bookmarkStart w:id="1415" w:name="_Toc511998639"/>
      <w:bookmarkStart w:id="1416" w:name="_Toc512420996"/>
      <w:r>
        <w:rPr>
          <w:noProof/>
        </w:rPr>
        <w:drawing>
          <wp:inline distT="0" distB="0" distL="0" distR="0" wp14:anchorId="00DD4F95" wp14:editId="4542B1D7">
            <wp:extent cx="4849091" cy="2230582"/>
            <wp:effectExtent l="0" t="0" r="27940" b="17780"/>
            <wp:docPr id="3" name="圖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End w:id="1406"/>
      <w:bookmarkEnd w:id="1407"/>
      <w:bookmarkEnd w:id="1408"/>
      <w:bookmarkEnd w:id="1409"/>
      <w:bookmarkEnd w:id="1410"/>
      <w:bookmarkEnd w:id="1411"/>
      <w:bookmarkEnd w:id="1412"/>
      <w:bookmarkEnd w:id="1413"/>
      <w:bookmarkEnd w:id="1414"/>
      <w:bookmarkEnd w:id="1415"/>
      <w:bookmarkEnd w:id="1416"/>
    </w:p>
    <w:p w:rsidR="0040606A" w:rsidRPr="00FB5FB4" w:rsidRDefault="0040606A" w:rsidP="0079700F">
      <w:pPr>
        <w:pStyle w:val="a1"/>
        <w:numPr>
          <w:ilvl w:val="0"/>
          <w:numId w:val="33"/>
        </w:numPr>
        <w:spacing w:before="0" w:after="0"/>
        <w:ind w:left="1974" w:rightChars="-25" w:right="-85" w:hanging="728"/>
        <w:textAlignment w:val="auto"/>
        <w:rPr>
          <w:rFonts w:ascii="Times New Roman" w:hAnsi="Times New Roman"/>
          <w:b/>
          <w:spacing w:val="0"/>
        </w:rPr>
      </w:pPr>
      <w:r w:rsidRPr="0079700F">
        <w:rPr>
          <w:rFonts w:ascii="Times New Roman" w:hAnsi="Times New Roman"/>
          <w:b/>
          <w:spacing w:val="-6"/>
        </w:rPr>
        <w:t>100</w:t>
      </w:r>
      <w:r w:rsidRPr="0079700F">
        <w:rPr>
          <w:rFonts w:ascii="Times New Roman" w:hAnsi="Times New Roman" w:hint="eastAsia"/>
          <w:b/>
          <w:spacing w:val="-6"/>
        </w:rPr>
        <w:t>年至</w:t>
      </w:r>
      <w:r w:rsidRPr="0079700F">
        <w:rPr>
          <w:rFonts w:ascii="Times New Roman" w:hAnsi="Times New Roman"/>
          <w:b/>
          <w:spacing w:val="-6"/>
        </w:rPr>
        <w:t>105</w:t>
      </w:r>
      <w:r w:rsidRPr="0079700F">
        <w:rPr>
          <w:rFonts w:ascii="Times New Roman" w:hAnsi="Times New Roman" w:hint="eastAsia"/>
          <w:b/>
          <w:spacing w:val="-6"/>
        </w:rPr>
        <w:t>年我國社會福利支出及公益彩券盈餘分配款</w:t>
      </w:r>
      <w:r w:rsidRPr="00FB5FB4">
        <w:rPr>
          <w:rFonts w:ascii="Times New Roman" w:hAnsi="Times New Roman" w:hint="eastAsia"/>
          <w:b/>
          <w:spacing w:val="0"/>
        </w:rPr>
        <w:t>執行數</w:t>
      </w:r>
      <w:r w:rsidR="00613F67">
        <w:rPr>
          <w:rFonts w:ascii="Times New Roman" w:hAnsi="Times New Roman" w:hint="eastAsia"/>
          <w:b/>
          <w:spacing w:val="0"/>
        </w:rPr>
        <w:t>消長</w:t>
      </w:r>
      <w:r w:rsidRPr="00FB5FB4">
        <w:rPr>
          <w:rFonts w:ascii="Times New Roman" w:hAnsi="Times New Roman" w:hint="eastAsia"/>
          <w:b/>
          <w:spacing w:val="0"/>
        </w:rPr>
        <w:t>趨勢</w:t>
      </w:r>
    </w:p>
    <w:p w:rsidR="0040606A" w:rsidRDefault="0040606A" w:rsidP="00C121DF">
      <w:pPr>
        <w:pStyle w:val="2"/>
        <w:numPr>
          <w:ilvl w:val="0"/>
          <w:numId w:val="0"/>
        </w:numPr>
        <w:spacing w:afterLines="25" w:after="114" w:line="320" w:lineRule="exact"/>
        <w:ind w:leftChars="-1" w:left="-3" w:firstLineChars="615" w:firstLine="1600"/>
        <w:rPr>
          <w:sz w:val="24"/>
          <w:szCs w:val="24"/>
        </w:rPr>
      </w:pPr>
      <w:bookmarkStart w:id="1417" w:name="_Toc507518611"/>
      <w:bookmarkStart w:id="1418" w:name="_Toc507491606"/>
      <w:bookmarkStart w:id="1419" w:name="_Toc507484782"/>
      <w:bookmarkStart w:id="1420" w:name="_Toc507403577"/>
      <w:bookmarkStart w:id="1421" w:name="_Toc507359641"/>
      <w:bookmarkStart w:id="1422" w:name="_Toc507168674"/>
      <w:bookmarkStart w:id="1423" w:name="_Toc507163472"/>
      <w:bookmarkStart w:id="1424" w:name="_Toc507163220"/>
      <w:bookmarkStart w:id="1425" w:name="_Toc507767692"/>
      <w:bookmarkStart w:id="1426" w:name="_Toc507768418"/>
      <w:bookmarkStart w:id="1427" w:name="_Toc511115407"/>
      <w:bookmarkStart w:id="1428" w:name="_Toc511308198"/>
      <w:bookmarkStart w:id="1429" w:name="_Toc511998640"/>
      <w:bookmarkStart w:id="1430" w:name="_Toc512420997"/>
      <w:r>
        <w:rPr>
          <w:rFonts w:hint="eastAsia"/>
          <w:sz w:val="24"/>
          <w:szCs w:val="24"/>
        </w:rPr>
        <w:t>資料來源：審計部及財政部，本院整理製表。</w:t>
      </w:r>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p>
    <w:p w:rsidR="0040606A" w:rsidRPr="003C7D3D" w:rsidRDefault="0040606A" w:rsidP="0040606A">
      <w:pPr>
        <w:pStyle w:val="a3"/>
        <w:numPr>
          <w:ilvl w:val="0"/>
          <w:numId w:val="34"/>
        </w:numPr>
        <w:spacing w:before="120" w:after="0"/>
        <w:ind w:left="1932" w:rightChars="-13" w:right="-44" w:hanging="896"/>
        <w:textAlignment w:val="auto"/>
        <w:rPr>
          <w:rFonts w:ascii="Times New Roman" w:hAnsi="Times New Roman"/>
          <w:spacing w:val="-6"/>
        </w:rPr>
      </w:pPr>
      <w:bookmarkStart w:id="1431" w:name="_Toc507072982"/>
      <w:r w:rsidRPr="003C7D3D">
        <w:rPr>
          <w:rFonts w:ascii="Times New Roman" w:hAnsi="Times New Roman"/>
          <w:b/>
          <w:spacing w:val="-6"/>
        </w:rPr>
        <w:t>100</w:t>
      </w:r>
      <w:r w:rsidRPr="003C7D3D">
        <w:rPr>
          <w:rFonts w:ascii="Times New Roman" w:hAnsi="Times New Roman" w:hint="eastAsia"/>
          <w:b/>
          <w:spacing w:val="-6"/>
        </w:rPr>
        <w:t>年至</w:t>
      </w:r>
      <w:r w:rsidRPr="003C7D3D">
        <w:rPr>
          <w:rFonts w:ascii="Times New Roman" w:hAnsi="Times New Roman"/>
          <w:b/>
          <w:spacing w:val="0"/>
        </w:rPr>
        <w:t>105</w:t>
      </w:r>
      <w:r w:rsidRPr="003C7D3D">
        <w:rPr>
          <w:rFonts w:ascii="Times New Roman" w:hAnsi="Times New Roman" w:hint="eastAsia"/>
          <w:b/>
          <w:spacing w:val="-6"/>
        </w:rPr>
        <w:t>年各地方政府公益彩券盈餘分配款執行數占社會福利</w:t>
      </w:r>
      <w:r w:rsidRPr="003C7D3D">
        <w:rPr>
          <w:rFonts w:ascii="Times New Roman" w:hAnsi="Times New Roman" w:hint="eastAsia"/>
          <w:b/>
          <w:spacing w:val="0"/>
        </w:rPr>
        <w:t>支出之比率</w:t>
      </w:r>
      <w:bookmarkStart w:id="1432" w:name="_Toc511115408"/>
      <w:r>
        <w:rPr>
          <w:rFonts w:ascii="Times New Roman" w:hAnsi="Times New Roman" w:hint="eastAsia"/>
          <w:b/>
          <w:spacing w:val="0"/>
        </w:rPr>
        <w:t xml:space="preserve">                      </w:t>
      </w:r>
      <w:r w:rsidRPr="003C7D3D">
        <w:rPr>
          <w:rFonts w:ascii="Times New Roman" w:hAnsi="Times New Roman" w:hint="eastAsia"/>
          <w:sz w:val="24"/>
          <w:szCs w:val="24"/>
        </w:rPr>
        <w:t>單位：</w:t>
      </w:r>
      <w:r w:rsidRPr="003C7D3D">
        <w:rPr>
          <w:rFonts w:hAnsi="標楷體" w:hint="eastAsia"/>
          <w:sz w:val="24"/>
          <w:szCs w:val="24"/>
        </w:rPr>
        <w:t>％</w:t>
      </w:r>
      <w:bookmarkEnd w:id="1432"/>
    </w:p>
    <w:tbl>
      <w:tblPr>
        <w:tblW w:w="7752" w:type="dxa"/>
        <w:tblInd w:w="10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135"/>
        <w:gridCol w:w="1078"/>
        <w:gridCol w:w="994"/>
        <w:gridCol w:w="938"/>
        <w:gridCol w:w="1036"/>
        <w:gridCol w:w="1285"/>
        <w:gridCol w:w="1286"/>
      </w:tblGrid>
      <w:tr w:rsidR="0040606A" w:rsidTr="00613F67">
        <w:trPr>
          <w:trHeight w:val="140"/>
          <w:tblHeader/>
        </w:trPr>
        <w:tc>
          <w:tcPr>
            <w:tcW w:w="1135" w:type="dxa"/>
            <w:tcBorders>
              <w:top w:val="single" w:sz="8" w:space="0" w:color="auto"/>
              <w:left w:val="single" w:sz="8" w:space="0" w:color="auto"/>
              <w:bottom w:val="single" w:sz="8" w:space="0" w:color="auto"/>
              <w:right w:val="single" w:sz="8" w:space="0" w:color="auto"/>
              <w:tl2br w:val="single" w:sz="8" w:space="0" w:color="auto"/>
            </w:tcBorders>
            <w:shd w:val="clear" w:color="auto" w:fill="FFFFFF"/>
            <w:noWrap/>
            <w:vAlign w:val="center"/>
            <w:hideMark/>
          </w:tcPr>
          <w:p w:rsidR="0040606A" w:rsidRDefault="0040606A" w:rsidP="00C055EF">
            <w:pPr>
              <w:widowControl/>
              <w:overflowPunct/>
              <w:autoSpaceDE/>
              <w:spacing w:line="320" w:lineRule="exact"/>
              <w:jc w:val="center"/>
              <w:rPr>
                <w:rFonts w:ascii="Times New Roman"/>
                <w:b/>
                <w:spacing w:val="-12"/>
                <w:kern w:val="0"/>
                <w:sz w:val="26"/>
                <w:szCs w:val="26"/>
              </w:rPr>
            </w:pPr>
            <w:r>
              <w:rPr>
                <w:rFonts w:ascii="Times New Roman"/>
                <w:b/>
                <w:spacing w:val="-12"/>
                <w:kern w:val="0"/>
                <w:sz w:val="26"/>
                <w:szCs w:val="26"/>
              </w:rPr>
              <w:t xml:space="preserve">   </w:t>
            </w:r>
            <w:r>
              <w:rPr>
                <w:rFonts w:ascii="Times New Roman" w:hint="eastAsia"/>
                <w:b/>
                <w:spacing w:val="-12"/>
                <w:kern w:val="0"/>
                <w:sz w:val="26"/>
                <w:szCs w:val="26"/>
              </w:rPr>
              <w:t>年別</w:t>
            </w:r>
          </w:p>
          <w:p w:rsidR="0040606A" w:rsidRDefault="0040606A" w:rsidP="00C055EF">
            <w:pPr>
              <w:widowControl/>
              <w:overflowPunct/>
              <w:autoSpaceDE/>
              <w:spacing w:line="320" w:lineRule="exact"/>
              <w:jc w:val="left"/>
              <w:rPr>
                <w:rFonts w:ascii="Times New Roman"/>
                <w:b/>
                <w:spacing w:val="-12"/>
                <w:kern w:val="0"/>
                <w:sz w:val="26"/>
                <w:szCs w:val="26"/>
              </w:rPr>
            </w:pPr>
            <w:r>
              <w:rPr>
                <w:rFonts w:ascii="Times New Roman" w:hint="eastAsia"/>
                <w:b/>
                <w:spacing w:val="-12"/>
                <w:kern w:val="0"/>
                <w:sz w:val="26"/>
                <w:szCs w:val="26"/>
              </w:rPr>
              <w:t>縣市別</w:t>
            </w:r>
          </w:p>
        </w:tc>
        <w:tc>
          <w:tcPr>
            <w:tcW w:w="1078" w:type="dxa"/>
            <w:tcBorders>
              <w:top w:val="single" w:sz="8" w:space="0" w:color="auto"/>
              <w:left w:val="single" w:sz="8" w:space="0" w:color="auto"/>
              <w:bottom w:val="single" w:sz="8" w:space="0" w:color="auto"/>
              <w:right w:val="single" w:sz="8" w:space="0" w:color="auto"/>
            </w:tcBorders>
            <w:vAlign w:val="center"/>
            <w:hideMark/>
          </w:tcPr>
          <w:p w:rsidR="0040606A" w:rsidRDefault="0040606A" w:rsidP="00C055EF">
            <w:pPr>
              <w:kinsoku w:val="0"/>
              <w:spacing w:line="320" w:lineRule="exact"/>
              <w:jc w:val="center"/>
              <w:rPr>
                <w:b/>
                <w:sz w:val="26"/>
                <w:szCs w:val="26"/>
              </w:rPr>
            </w:pPr>
            <w:r>
              <w:rPr>
                <w:rFonts w:ascii="Times New Roman"/>
                <w:b/>
                <w:kern w:val="0"/>
                <w:sz w:val="26"/>
                <w:szCs w:val="26"/>
              </w:rPr>
              <w:t>100</w:t>
            </w:r>
          </w:p>
        </w:tc>
        <w:tc>
          <w:tcPr>
            <w:tcW w:w="994" w:type="dxa"/>
            <w:tcBorders>
              <w:top w:val="single" w:sz="8" w:space="0" w:color="auto"/>
              <w:left w:val="single" w:sz="8" w:space="0" w:color="auto"/>
              <w:bottom w:val="single" w:sz="8" w:space="0" w:color="auto"/>
              <w:right w:val="single" w:sz="8" w:space="0" w:color="auto"/>
            </w:tcBorders>
            <w:vAlign w:val="center"/>
            <w:hideMark/>
          </w:tcPr>
          <w:p w:rsidR="0040606A" w:rsidRDefault="0040606A" w:rsidP="00C055EF">
            <w:pPr>
              <w:kinsoku w:val="0"/>
              <w:spacing w:line="320" w:lineRule="exact"/>
              <w:jc w:val="center"/>
              <w:rPr>
                <w:b/>
                <w:sz w:val="26"/>
                <w:szCs w:val="26"/>
              </w:rPr>
            </w:pPr>
            <w:r>
              <w:rPr>
                <w:rFonts w:ascii="Times New Roman"/>
                <w:b/>
                <w:kern w:val="0"/>
                <w:sz w:val="26"/>
                <w:szCs w:val="26"/>
              </w:rPr>
              <w:t>101</w:t>
            </w:r>
          </w:p>
        </w:tc>
        <w:tc>
          <w:tcPr>
            <w:tcW w:w="938" w:type="dxa"/>
            <w:tcBorders>
              <w:top w:val="single" w:sz="8" w:space="0" w:color="auto"/>
              <w:left w:val="single" w:sz="8" w:space="0" w:color="auto"/>
              <w:bottom w:val="single" w:sz="8" w:space="0" w:color="auto"/>
              <w:right w:val="single" w:sz="8" w:space="0" w:color="auto"/>
            </w:tcBorders>
            <w:vAlign w:val="center"/>
            <w:hideMark/>
          </w:tcPr>
          <w:p w:rsidR="0040606A" w:rsidRDefault="0040606A" w:rsidP="00C055EF">
            <w:pPr>
              <w:kinsoku w:val="0"/>
              <w:spacing w:line="320" w:lineRule="exact"/>
              <w:jc w:val="center"/>
              <w:rPr>
                <w:b/>
                <w:sz w:val="26"/>
                <w:szCs w:val="26"/>
              </w:rPr>
            </w:pPr>
            <w:r>
              <w:rPr>
                <w:rFonts w:ascii="Times New Roman"/>
                <w:b/>
                <w:kern w:val="0"/>
                <w:sz w:val="26"/>
                <w:szCs w:val="26"/>
              </w:rPr>
              <w:t>102</w:t>
            </w:r>
          </w:p>
        </w:tc>
        <w:tc>
          <w:tcPr>
            <w:tcW w:w="1036" w:type="dxa"/>
            <w:tcBorders>
              <w:top w:val="single" w:sz="8" w:space="0" w:color="auto"/>
              <w:left w:val="single" w:sz="8" w:space="0" w:color="auto"/>
              <w:bottom w:val="single" w:sz="8" w:space="0" w:color="auto"/>
              <w:right w:val="single" w:sz="8" w:space="0" w:color="auto"/>
            </w:tcBorders>
            <w:vAlign w:val="center"/>
            <w:hideMark/>
          </w:tcPr>
          <w:p w:rsidR="0040606A" w:rsidRDefault="0040606A" w:rsidP="00C055EF">
            <w:pPr>
              <w:kinsoku w:val="0"/>
              <w:spacing w:line="320" w:lineRule="exact"/>
              <w:jc w:val="center"/>
              <w:rPr>
                <w:b/>
                <w:sz w:val="26"/>
                <w:szCs w:val="26"/>
              </w:rPr>
            </w:pPr>
            <w:r>
              <w:rPr>
                <w:rFonts w:ascii="Times New Roman"/>
                <w:b/>
                <w:kern w:val="0"/>
                <w:sz w:val="26"/>
                <w:szCs w:val="26"/>
              </w:rPr>
              <w:t>103</w:t>
            </w:r>
          </w:p>
        </w:tc>
        <w:tc>
          <w:tcPr>
            <w:tcW w:w="1285" w:type="dxa"/>
            <w:tcBorders>
              <w:top w:val="single" w:sz="8" w:space="0" w:color="auto"/>
              <w:left w:val="single" w:sz="8" w:space="0" w:color="auto"/>
              <w:bottom w:val="single" w:sz="8" w:space="0" w:color="auto"/>
              <w:right w:val="single" w:sz="8" w:space="0" w:color="auto"/>
            </w:tcBorders>
            <w:vAlign w:val="center"/>
            <w:hideMark/>
          </w:tcPr>
          <w:p w:rsidR="0040606A" w:rsidRDefault="0040606A" w:rsidP="00C055EF">
            <w:pPr>
              <w:kinsoku w:val="0"/>
              <w:spacing w:line="320" w:lineRule="exact"/>
              <w:jc w:val="center"/>
              <w:rPr>
                <w:rFonts w:ascii="Times New Roman"/>
                <w:b/>
                <w:kern w:val="0"/>
                <w:sz w:val="26"/>
                <w:szCs w:val="26"/>
              </w:rPr>
            </w:pPr>
            <w:r>
              <w:rPr>
                <w:rFonts w:ascii="Times New Roman"/>
                <w:b/>
                <w:kern w:val="0"/>
                <w:sz w:val="26"/>
                <w:szCs w:val="26"/>
              </w:rPr>
              <w:t>104</w:t>
            </w:r>
          </w:p>
        </w:tc>
        <w:tc>
          <w:tcPr>
            <w:tcW w:w="1286" w:type="dxa"/>
            <w:tcBorders>
              <w:top w:val="single" w:sz="8" w:space="0" w:color="auto"/>
              <w:left w:val="single" w:sz="8" w:space="0" w:color="auto"/>
              <w:bottom w:val="single" w:sz="8" w:space="0" w:color="auto"/>
              <w:right w:val="single" w:sz="8" w:space="0" w:color="auto"/>
            </w:tcBorders>
            <w:vAlign w:val="center"/>
            <w:hideMark/>
          </w:tcPr>
          <w:p w:rsidR="0040606A" w:rsidRDefault="0040606A" w:rsidP="00C055EF">
            <w:pPr>
              <w:kinsoku w:val="0"/>
              <w:spacing w:line="320" w:lineRule="exact"/>
              <w:jc w:val="center"/>
              <w:rPr>
                <w:rFonts w:ascii="Times New Roman"/>
                <w:b/>
                <w:kern w:val="0"/>
                <w:sz w:val="26"/>
                <w:szCs w:val="26"/>
              </w:rPr>
            </w:pPr>
            <w:r>
              <w:rPr>
                <w:rFonts w:ascii="Times New Roman"/>
                <w:b/>
                <w:kern w:val="0"/>
                <w:sz w:val="26"/>
                <w:szCs w:val="26"/>
              </w:rPr>
              <w:t>105</w:t>
            </w:r>
          </w:p>
        </w:tc>
      </w:tr>
      <w:tr w:rsidR="00613F67" w:rsidTr="00613F67">
        <w:trPr>
          <w:trHeight w:val="268"/>
        </w:trPr>
        <w:tc>
          <w:tcPr>
            <w:tcW w:w="1135" w:type="dxa"/>
            <w:tcBorders>
              <w:top w:val="single" w:sz="8" w:space="0" w:color="auto"/>
              <w:left w:val="single" w:sz="8" w:space="0" w:color="auto"/>
              <w:bottom w:val="single" w:sz="8" w:space="0" w:color="auto"/>
              <w:right w:val="single" w:sz="8" w:space="0" w:color="auto"/>
            </w:tcBorders>
            <w:noWrap/>
            <w:vAlign w:val="center"/>
          </w:tcPr>
          <w:p w:rsidR="00613F67" w:rsidRDefault="00613F67" w:rsidP="00183EA6">
            <w:pPr>
              <w:widowControl/>
              <w:overflowPunct/>
              <w:autoSpaceDE/>
              <w:spacing w:line="360" w:lineRule="exact"/>
              <w:jc w:val="center"/>
              <w:rPr>
                <w:rFonts w:ascii="Times New Roman"/>
                <w:spacing w:val="-12"/>
                <w:kern w:val="0"/>
                <w:sz w:val="26"/>
                <w:szCs w:val="26"/>
              </w:rPr>
            </w:pPr>
            <w:r>
              <w:rPr>
                <w:rFonts w:ascii="Times New Roman" w:hint="eastAsia"/>
                <w:spacing w:val="-12"/>
                <w:kern w:val="0"/>
                <w:sz w:val="26"/>
                <w:szCs w:val="26"/>
              </w:rPr>
              <w:t>總</w:t>
            </w:r>
            <w:r>
              <w:rPr>
                <w:rFonts w:ascii="Times New Roman"/>
                <w:spacing w:val="-12"/>
                <w:kern w:val="0"/>
                <w:sz w:val="26"/>
                <w:szCs w:val="26"/>
              </w:rPr>
              <w:t xml:space="preserve">  </w:t>
            </w:r>
            <w:r>
              <w:rPr>
                <w:rFonts w:ascii="Times New Roman" w:hint="eastAsia"/>
                <w:spacing w:val="-12"/>
                <w:kern w:val="0"/>
                <w:sz w:val="26"/>
                <w:szCs w:val="26"/>
              </w:rPr>
              <w:t>計</w:t>
            </w:r>
          </w:p>
        </w:tc>
        <w:tc>
          <w:tcPr>
            <w:tcW w:w="1078" w:type="dxa"/>
            <w:tcBorders>
              <w:top w:val="single" w:sz="8" w:space="0" w:color="auto"/>
              <w:left w:val="single" w:sz="8" w:space="0" w:color="auto"/>
              <w:bottom w:val="single" w:sz="8" w:space="0" w:color="auto"/>
              <w:right w:val="single" w:sz="8" w:space="0" w:color="auto"/>
            </w:tcBorders>
            <w:vAlign w:val="center"/>
          </w:tcPr>
          <w:p w:rsidR="00613F67" w:rsidRDefault="00613F67" w:rsidP="00613F67">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4.88</w:t>
            </w:r>
          </w:p>
        </w:tc>
        <w:tc>
          <w:tcPr>
            <w:tcW w:w="994" w:type="dxa"/>
            <w:tcBorders>
              <w:top w:val="single" w:sz="8" w:space="0" w:color="auto"/>
              <w:left w:val="single" w:sz="8" w:space="0" w:color="auto"/>
              <w:bottom w:val="single" w:sz="8" w:space="0" w:color="auto"/>
              <w:right w:val="single" w:sz="8" w:space="0" w:color="auto"/>
            </w:tcBorders>
            <w:vAlign w:val="center"/>
          </w:tcPr>
          <w:p w:rsidR="00613F67" w:rsidRDefault="00613F67" w:rsidP="00613F67">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5.65</w:t>
            </w:r>
          </w:p>
        </w:tc>
        <w:tc>
          <w:tcPr>
            <w:tcW w:w="938" w:type="dxa"/>
            <w:tcBorders>
              <w:top w:val="single" w:sz="8" w:space="0" w:color="auto"/>
              <w:left w:val="single" w:sz="8" w:space="0" w:color="auto"/>
              <w:bottom w:val="single" w:sz="8" w:space="0" w:color="auto"/>
              <w:right w:val="single" w:sz="8" w:space="0" w:color="auto"/>
            </w:tcBorders>
            <w:vAlign w:val="center"/>
          </w:tcPr>
          <w:p w:rsidR="00613F67" w:rsidRDefault="00613F67" w:rsidP="00613F67">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7.89</w:t>
            </w:r>
          </w:p>
        </w:tc>
        <w:tc>
          <w:tcPr>
            <w:tcW w:w="1036" w:type="dxa"/>
            <w:tcBorders>
              <w:top w:val="single" w:sz="8" w:space="0" w:color="auto"/>
              <w:left w:val="single" w:sz="8" w:space="0" w:color="auto"/>
              <w:bottom w:val="single" w:sz="8" w:space="0" w:color="auto"/>
              <w:right w:val="single" w:sz="8" w:space="0" w:color="auto"/>
            </w:tcBorders>
            <w:vAlign w:val="center"/>
          </w:tcPr>
          <w:p w:rsidR="00613F67" w:rsidRDefault="00613F67" w:rsidP="00613F67">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9.49</w:t>
            </w:r>
          </w:p>
        </w:tc>
        <w:tc>
          <w:tcPr>
            <w:tcW w:w="1285" w:type="dxa"/>
            <w:tcBorders>
              <w:top w:val="single" w:sz="8" w:space="0" w:color="auto"/>
              <w:left w:val="single" w:sz="8" w:space="0" w:color="auto"/>
              <w:bottom w:val="single" w:sz="8" w:space="0" w:color="auto"/>
              <w:right w:val="single" w:sz="8" w:space="0" w:color="auto"/>
            </w:tcBorders>
            <w:vAlign w:val="center"/>
          </w:tcPr>
          <w:p w:rsidR="00613F67" w:rsidRDefault="00613F67" w:rsidP="00613F67">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10.78</w:t>
            </w:r>
          </w:p>
        </w:tc>
        <w:tc>
          <w:tcPr>
            <w:tcW w:w="1286" w:type="dxa"/>
            <w:tcBorders>
              <w:top w:val="single" w:sz="8" w:space="0" w:color="auto"/>
              <w:left w:val="single" w:sz="8" w:space="0" w:color="auto"/>
              <w:bottom w:val="single" w:sz="8" w:space="0" w:color="auto"/>
              <w:right w:val="single" w:sz="8" w:space="0" w:color="auto"/>
            </w:tcBorders>
            <w:vAlign w:val="center"/>
          </w:tcPr>
          <w:p w:rsidR="00613F67" w:rsidRDefault="00613F67" w:rsidP="00613F67">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10.84</w:t>
            </w:r>
          </w:p>
        </w:tc>
      </w:tr>
      <w:tr w:rsidR="00613F67" w:rsidTr="00613F67">
        <w:trPr>
          <w:trHeight w:val="268"/>
        </w:trPr>
        <w:tc>
          <w:tcPr>
            <w:tcW w:w="1135" w:type="dxa"/>
            <w:tcBorders>
              <w:top w:val="single" w:sz="8" w:space="0" w:color="auto"/>
              <w:left w:val="single" w:sz="8" w:space="0" w:color="auto"/>
              <w:bottom w:val="single" w:sz="8" w:space="0" w:color="auto"/>
              <w:right w:val="single" w:sz="8" w:space="0" w:color="auto"/>
            </w:tcBorders>
            <w:noWrap/>
            <w:vAlign w:val="center"/>
          </w:tcPr>
          <w:p w:rsidR="00613F67" w:rsidRDefault="00613F67" w:rsidP="00183EA6">
            <w:pPr>
              <w:widowControl/>
              <w:overflowPunct/>
              <w:autoSpaceDE/>
              <w:spacing w:line="360" w:lineRule="exact"/>
              <w:jc w:val="center"/>
              <w:rPr>
                <w:rFonts w:ascii="Times New Roman"/>
                <w:color w:val="000000"/>
                <w:spacing w:val="-12"/>
                <w:kern w:val="0"/>
                <w:sz w:val="26"/>
                <w:szCs w:val="26"/>
              </w:rPr>
            </w:pPr>
            <w:r>
              <w:rPr>
                <w:rFonts w:ascii="Times New Roman" w:hint="eastAsia"/>
                <w:color w:val="000000"/>
                <w:spacing w:val="-12"/>
                <w:kern w:val="0"/>
                <w:sz w:val="26"/>
                <w:szCs w:val="26"/>
              </w:rPr>
              <w:t>臺北市</w:t>
            </w:r>
          </w:p>
        </w:tc>
        <w:tc>
          <w:tcPr>
            <w:tcW w:w="1078" w:type="dxa"/>
            <w:tcBorders>
              <w:top w:val="single" w:sz="8" w:space="0" w:color="auto"/>
              <w:left w:val="single" w:sz="8" w:space="0" w:color="auto"/>
              <w:bottom w:val="single" w:sz="8" w:space="0" w:color="auto"/>
              <w:right w:val="single" w:sz="8" w:space="0" w:color="auto"/>
            </w:tcBorders>
            <w:vAlign w:val="center"/>
          </w:tcPr>
          <w:p w:rsidR="00613F67" w:rsidRDefault="00613F67" w:rsidP="00613F67">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2.23</w:t>
            </w:r>
          </w:p>
        </w:tc>
        <w:tc>
          <w:tcPr>
            <w:tcW w:w="994" w:type="dxa"/>
            <w:tcBorders>
              <w:top w:val="single" w:sz="8" w:space="0" w:color="auto"/>
              <w:left w:val="single" w:sz="8" w:space="0" w:color="auto"/>
              <w:bottom w:val="single" w:sz="8" w:space="0" w:color="auto"/>
              <w:right w:val="single" w:sz="8" w:space="0" w:color="auto"/>
            </w:tcBorders>
            <w:vAlign w:val="center"/>
          </w:tcPr>
          <w:p w:rsidR="00613F67" w:rsidRDefault="00613F67" w:rsidP="00613F67">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1.98</w:t>
            </w:r>
          </w:p>
        </w:tc>
        <w:tc>
          <w:tcPr>
            <w:tcW w:w="938" w:type="dxa"/>
            <w:tcBorders>
              <w:top w:val="single" w:sz="8" w:space="0" w:color="auto"/>
              <w:left w:val="single" w:sz="8" w:space="0" w:color="auto"/>
              <w:bottom w:val="single" w:sz="8" w:space="0" w:color="auto"/>
              <w:right w:val="single" w:sz="8" w:space="0" w:color="auto"/>
            </w:tcBorders>
            <w:vAlign w:val="center"/>
          </w:tcPr>
          <w:p w:rsidR="00613F67" w:rsidRDefault="00613F67" w:rsidP="00613F67">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3.96</w:t>
            </w:r>
          </w:p>
        </w:tc>
        <w:tc>
          <w:tcPr>
            <w:tcW w:w="1036" w:type="dxa"/>
            <w:tcBorders>
              <w:top w:val="single" w:sz="8" w:space="0" w:color="auto"/>
              <w:left w:val="single" w:sz="8" w:space="0" w:color="auto"/>
              <w:bottom w:val="single" w:sz="8" w:space="0" w:color="auto"/>
              <w:right w:val="single" w:sz="8" w:space="0" w:color="auto"/>
            </w:tcBorders>
            <w:vAlign w:val="center"/>
          </w:tcPr>
          <w:p w:rsidR="00613F67" w:rsidRDefault="00613F67" w:rsidP="00613F67">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5.42</w:t>
            </w:r>
          </w:p>
        </w:tc>
        <w:tc>
          <w:tcPr>
            <w:tcW w:w="1285" w:type="dxa"/>
            <w:tcBorders>
              <w:top w:val="single" w:sz="8" w:space="0" w:color="auto"/>
              <w:left w:val="single" w:sz="8" w:space="0" w:color="auto"/>
              <w:bottom w:val="single" w:sz="8" w:space="0" w:color="auto"/>
              <w:right w:val="single" w:sz="8" w:space="0" w:color="auto"/>
            </w:tcBorders>
            <w:vAlign w:val="center"/>
          </w:tcPr>
          <w:p w:rsidR="00613F67" w:rsidRDefault="00613F67" w:rsidP="00613F67">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8.84</w:t>
            </w:r>
          </w:p>
        </w:tc>
        <w:tc>
          <w:tcPr>
            <w:tcW w:w="1286" w:type="dxa"/>
            <w:tcBorders>
              <w:top w:val="single" w:sz="8" w:space="0" w:color="auto"/>
              <w:left w:val="single" w:sz="8" w:space="0" w:color="auto"/>
              <w:bottom w:val="single" w:sz="8" w:space="0" w:color="auto"/>
              <w:right w:val="single" w:sz="8" w:space="0" w:color="auto"/>
            </w:tcBorders>
            <w:vAlign w:val="center"/>
          </w:tcPr>
          <w:p w:rsidR="00613F67" w:rsidRDefault="00613F67" w:rsidP="00613F67">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8.63</w:t>
            </w:r>
          </w:p>
        </w:tc>
      </w:tr>
      <w:tr w:rsidR="00613F67" w:rsidTr="00613F67">
        <w:trPr>
          <w:trHeight w:val="268"/>
        </w:trPr>
        <w:tc>
          <w:tcPr>
            <w:tcW w:w="1135" w:type="dxa"/>
            <w:tcBorders>
              <w:top w:val="single" w:sz="8" w:space="0" w:color="auto"/>
              <w:left w:val="single" w:sz="8" w:space="0" w:color="auto"/>
              <w:bottom w:val="single" w:sz="8" w:space="0" w:color="auto"/>
              <w:right w:val="single" w:sz="8" w:space="0" w:color="auto"/>
            </w:tcBorders>
            <w:noWrap/>
            <w:vAlign w:val="center"/>
            <w:hideMark/>
          </w:tcPr>
          <w:p w:rsidR="00613F67" w:rsidRDefault="00613F67" w:rsidP="00CB7BB4">
            <w:pPr>
              <w:widowControl/>
              <w:overflowPunct/>
              <w:autoSpaceDE/>
              <w:spacing w:line="360" w:lineRule="exact"/>
              <w:jc w:val="center"/>
              <w:rPr>
                <w:rFonts w:ascii="Times New Roman"/>
                <w:color w:val="000000"/>
                <w:spacing w:val="-12"/>
                <w:kern w:val="0"/>
                <w:sz w:val="26"/>
                <w:szCs w:val="26"/>
              </w:rPr>
            </w:pPr>
            <w:r>
              <w:rPr>
                <w:rFonts w:ascii="Times New Roman" w:hint="eastAsia"/>
                <w:color w:val="000000"/>
                <w:spacing w:val="-12"/>
                <w:kern w:val="0"/>
                <w:sz w:val="26"/>
                <w:szCs w:val="26"/>
              </w:rPr>
              <w:t>新北市</w:t>
            </w:r>
          </w:p>
        </w:tc>
        <w:tc>
          <w:tcPr>
            <w:tcW w:w="1078"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5.76</w:t>
            </w:r>
          </w:p>
        </w:tc>
        <w:tc>
          <w:tcPr>
            <w:tcW w:w="994"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6.47</w:t>
            </w:r>
          </w:p>
        </w:tc>
        <w:tc>
          <w:tcPr>
            <w:tcW w:w="938"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10.01</w:t>
            </w:r>
          </w:p>
        </w:tc>
        <w:tc>
          <w:tcPr>
            <w:tcW w:w="1036"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11.33</w:t>
            </w:r>
          </w:p>
        </w:tc>
        <w:tc>
          <w:tcPr>
            <w:tcW w:w="1285"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10.50</w:t>
            </w:r>
          </w:p>
        </w:tc>
        <w:tc>
          <w:tcPr>
            <w:tcW w:w="1286"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8.91</w:t>
            </w:r>
          </w:p>
        </w:tc>
      </w:tr>
      <w:tr w:rsidR="00613F67" w:rsidTr="00613F67">
        <w:trPr>
          <w:trHeight w:val="268"/>
        </w:trPr>
        <w:tc>
          <w:tcPr>
            <w:tcW w:w="1135" w:type="dxa"/>
            <w:tcBorders>
              <w:top w:val="single" w:sz="8" w:space="0" w:color="auto"/>
              <w:left w:val="single" w:sz="8" w:space="0" w:color="auto"/>
              <w:bottom w:val="single" w:sz="8" w:space="0" w:color="auto"/>
              <w:right w:val="single" w:sz="8" w:space="0" w:color="auto"/>
            </w:tcBorders>
            <w:noWrap/>
            <w:vAlign w:val="center"/>
            <w:hideMark/>
          </w:tcPr>
          <w:p w:rsidR="00613F67" w:rsidRDefault="00613F67" w:rsidP="00CB7BB4">
            <w:pPr>
              <w:widowControl/>
              <w:overflowPunct/>
              <w:autoSpaceDE/>
              <w:spacing w:line="360" w:lineRule="exact"/>
              <w:jc w:val="center"/>
              <w:rPr>
                <w:rFonts w:ascii="Times New Roman"/>
                <w:color w:val="000000"/>
                <w:spacing w:val="-12"/>
                <w:kern w:val="0"/>
                <w:sz w:val="26"/>
                <w:szCs w:val="26"/>
              </w:rPr>
            </w:pPr>
            <w:r>
              <w:rPr>
                <w:rFonts w:ascii="Times New Roman" w:hint="eastAsia"/>
                <w:color w:val="000000"/>
                <w:spacing w:val="-12"/>
                <w:kern w:val="0"/>
                <w:sz w:val="26"/>
                <w:szCs w:val="26"/>
              </w:rPr>
              <w:t>臺中市</w:t>
            </w:r>
          </w:p>
        </w:tc>
        <w:tc>
          <w:tcPr>
            <w:tcW w:w="1078"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4.43</w:t>
            </w:r>
          </w:p>
        </w:tc>
        <w:tc>
          <w:tcPr>
            <w:tcW w:w="994"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6.48</w:t>
            </w:r>
          </w:p>
        </w:tc>
        <w:tc>
          <w:tcPr>
            <w:tcW w:w="938"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11.20</w:t>
            </w:r>
          </w:p>
        </w:tc>
        <w:tc>
          <w:tcPr>
            <w:tcW w:w="1036"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12.97</w:t>
            </w:r>
          </w:p>
        </w:tc>
        <w:tc>
          <w:tcPr>
            <w:tcW w:w="1285"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12.81</w:t>
            </w:r>
          </w:p>
        </w:tc>
        <w:tc>
          <w:tcPr>
            <w:tcW w:w="1286"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9.91</w:t>
            </w:r>
          </w:p>
        </w:tc>
      </w:tr>
      <w:tr w:rsidR="00613F67" w:rsidTr="00613F67">
        <w:trPr>
          <w:trHeight w:val="268"/>
        </w:trPr>
        <w:tc>
          <w:tcPr>
            <w:tcW w:w="1135" w:type="dxa"/>
            <w:tcBorders>
              <w:top w:val="single" w:sz="8" w:space="0" w:color="auto"/>
              <w:left w:val="single" w:sz="8" w:space="0" w:color="auto"/>
              <w:bottom w:val="single" w:sz="8" w:space="0" w:color="auto"/>
              <w:right w:val="single" w:sz="8" w:space="0" w:color="auto"/>
            </w:tcBorders>
            <w:noWrap/>
            <w:vAlign w:val="center"/>
            <w:hideMark/>
          </w:tcPr>
          <w:p w:rsidR="00613F67" w:rsidRDefault="00613F67" w:rsidP="00CB7BB4">
            <w:pPr>
              <w:widowControl/>
              <w:overflowPunct/>
              <w:autoSpaceDE/>
              <w:spacing w:line="360" w:lineRule="exact"/>
              <w:jc w:val="center"/>
              <w:rPr>
                <w:rFonts w:ascii="Times New Roman"/>
                <w:color w:val="000000"/>
                <w:spacing w:val="-12"/>
                <w:kern w:val="0"/>
                <w:sz w:val="26"/>
                <w:szCs w:val="26"/>
              </w:rPr>
            </w:pPr>
            <w:r>
              <w:rPr>
                <w:rFonts w:ascii="Times New Roman" w:hint="eastAsia"/>
                <w:color w:val="000000"/>
                <w:spacing w:val="-12"/>
                <w:kern w:val="0"/>
                <w:sz w:val="26"/>
                <w:szCs w:val="26"/>
              </w:rPr>
              <w:t>臺南市</w:t>
            </w:r>
          </w:p>
        </w:tc>
        <w:tc>
          <w:tcPr>
            <w:tcW w:w="1078"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2.63</w:t>
            </w:r>
          </w:p>
        </w:tc>
        <w:tc>
          <w:tcPr>
            <w:tcW w:w="994"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4.01</w:t>
            </w:r>
          </w:p>
        </w:tc>
        <w:tc>
          <w:tcPr>
            <w:tcW w:w="938"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9.34</w:t>
            </w:r>
          </w:p>
        </w:tc>
        <w:tc>
          <w:tcPr>
            <w:tcW w:w="1036"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10.02</w:t>
            </w:r>
          </w:p>
        </w:tc>
        <w:tc>
          <w:tcPr>
            <w:tcW w:w="1285"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12.97</w:t>
            </w:r>
          </w:p>
        </w:tc>
        <w:tc>
          <w:tcPr>
            <w:tcW w:w="1286"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11.07</w:t>
            </w:r>
          </w:p>
        </w:tc>
      </w:tr>
      <w:tr w:rsidR="00613F67" w:rsidTr="00613F67">
        <w:trPr>
          <w:trHeight w:val="268"/>
        </w:trPr>
        <w:tc>
          <w:tcPr>
            <w:tcW w:w="1135" w:type="dxa"/>
            <w:tcBorders>
              <w:top w:val="single" w:sz="8" w:space="0" w:color="auto"/>
              <w:left w:val="single" w:sz="8" w:space="0" w:color="auto"/>
              <w:bottom w:val="single" w:sz="8" w:space="0" w:color="auto"/>
              <w:right w:val="single" w:sz="8" w:space="0" w:color="auto"/>
            </w:tcBorders>
            <w:noWrap/>
            <w:vAlign w:val="center"/>
            <w:hideMark/>
          </w:tcPr>
          <w:p w:rsidR="00613F67" w:rsidRDefault="00613F67" w:rsidP="00CB7BB4">
            <w:pPr>
              <w:widowControl/>
              <w:overflowPunct/>
              <w:autoSpaceDE/>
              <w:spacing w:line="360" w:lineRule="exact"/>
              <w:jc w:val="center"/>
              <w:rPr>
                <w:rFonts w:ascii="Times New Roman"/>
                <w:color w:val="000000"/>
                <w:spacing w:val="-12"/>
                <w:kern w:val="0"/>
                <w:sz w:val="26"/>
                <w:szCs w:val="26"/>
              </w:rPr>
            </w:pPr>
            <w:r>
              <w:rPr>
                <w:rFonts w:ascii="Times New Roman" w:hint="eastAsia"/>
                <w:color w:val="000000"/>
                <w:spacing w:val="-12"/>
                <w:kern w:val="0"/>
                <w:sz w:val="26"/>
                <w:szCs w:val="26"/>
              </w:rPr>
              <w:t>高雄市</w:t>
            </w:r>
          </w:p>
        </w:tc>
        <w:tc>
          <w:tcPr>
            <w:tcW w:w="1078"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3.31</w:t>
            </w:r>
          </w:p>
        </w:tc>
        <w:tc>
          <w:tcPr>
            <w:tcW w:w="994"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4.17</w:t>
            </w:r>
          </w:p>
        </w:tc>
        <w:tc>
          <w:tcPr>
            <w:tcW w:w="938"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4.89</w:t>
            </w:r>
          </w:p>
        </w:tc>
        <w:tc>
          <w:tcPr>
            <w:tcW w:w="1036"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6.30</w:t>
            </w:r>
          </w:p>
        </w:tc>
        <w:tc>
          <w:tcPr>
            <w:tcW w:w="1285"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7.73</w:t>
            </w:r>
          </w:p>
        </w:tc>
        <w:tc>
          <w:tcPr>
            <w:tcW w:w="1286"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9.35</w:t>
            </w:r>
          </w:p>
        </w:tc>
      </w:tr>
      <w:tr w:rsidR="00613F67" w:rsidTr="00613F67">
        <w:trPr>
          <w:trHeight w:val="268"/>
        </w:trPr>
        <w:tc>
          <w:tcPr>
            <w:tcW w:w="1135" w:type="dxa"/>
            <w:tcBorders>
              <w:top w:val="single" w:sz="8" w:space="0" w:color="auto"/>
              <w:left w:val="single" w:sz="8" w:space="0" w:color="auto"/>
              <w:bottom w:val="single" w:sz="8" w:space="0" w:color="auto"/>
              <w:right w:val="single" w:sz="8" w:space="0" w:color="auto"/>
            </w:tcBorders>
            <w:noWrap/>
            <w:vAlign w:val="center"/>
            <w:hideMark/>
          </w:tcPr>
          <w:p w:rsidR="00613F67" w:rsidRDefault="00613F67" w:rsidP="00CB7BB4">
            <w:pPr>
              <w:widowControl/>
              <w:overflowPunct/>
              <w:autoSpaceDE/>
              <w:spacing w:line="360" w:lineRule="exact"/>
              <w:jc w:val="center"/>
              <w:rPr>
                <w:rFonts w:ascii="Times New Roman"/>
                <w:color w:val="000000"/>
                <w:spacing w:val="-12"/>
                <w:kern w:val="0"/>
                <w:sz w:val="26"/>
                <w:szCs w:val="26"/>
              </w:rPr>
            </w:pPr>
            <w:r>
              <w:rPr>
                <w:rFonts w:ascii="Times New Roman" w:hint="eastAsia"/>
                <w:color w:val="000000"/>
                <w:spacing w:val="-12"/>
                <w:kern w:val="0"/>
                <w:sz w:val="26"/>
                <w:szCs w:val="26"/>
              </w:rPr>
              <w:t>桃園市</w:t>
            </w:r>
          </w:p>
        </w:tc>
        <w:tc>
          <w:tcPr>
            <w:tcW w:w="1078"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8.37</w:t>
            </w:r>
          </w:p>
        </w:tc>
        <w:tc>
          <w:tcPr>
            <w:tcW w:w="994"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11.57</w:t>
            </w:r>
          </w:p>
        </w:tc>
        <w:tc>
          <w:tcPr>
            <w:tcW w:w="938"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15.89</w:t>
            </w:r>
          </w:p>
        </w:tc>
        <w:tc>
          <w:tcPr>
            <w:tcW w:w="1036"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15.54</w:t>
            </w:r>
          </w:p>
        </w:tc>
        <w:tc>
          <w:tcPr>
            <w:tcW w:w="1285"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10.96</w:t>
            </w:r>
          </w:p>
        </w:tc>
        <w:tc>
          <w:tcPr>
            <w:tcW w:w="1286"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10.44</w:t>
            </w:r>
          </w:p>
        </w:tc>
      </w:tr>
      <w:tr w:rsidR="00613F67" w:rsidTr="00613F67">
        <w:trPr>
          <w:trHeight w:val="268"/>
        </w:trPr>
        <w:tc>
          <w:tcPr>
            <w:tcW w:w="1135" w:type="dxa"/>
            <w:tcBorders>
              <w:top w:val="single" w:sz="8" w:space="0" w:color="auto"/>
              <w:left w:val="single" w:sz="8" w:space="0" w:color="auto"/>
              <w:bottom w:val="single" w:sz="8" w:space="0" w:color="auto"/>
              <w:right w:val="single" w:sz="8" w:space="0" w:color="auto"/>
            </w:tcBorders>
            <w:noWrap/>
            <w:vAlign w:val="center"/>
            <w:hideMark/>
          </w:tcPr>
          <w:p w:rsidR="00613F67" w:rsidRDefault="00613F67" w:rsidP="00CB7BB4">
            <w:pPr>
              <w:widowControl/>
              <w:overflowPunct/>
              <w:autoSpaceDE/>
              <w:spacing w:line="360" w:lineRule="exact"/>
              <w:jc w:val="center"/>
              <w:rPr>
                <w:rFonts w:ascii="Times New Roman"/>
                <w:color w:val="000000"/>
                <w:spacing w:val="-12"/>
                <w:kern w:val="0"/>
                <w:sz w:val="26"/>
                <w:szCs w:val="26"/>
              </w:rPr>
            </w:pPr>
            <w:r>
              <w:rPr>
                <w:rFonts w:ascii="Times New Roman" w:hint="eastAsia"/>
                <w:color w:val="000000"/>
                <w:spacing w:val="-12"/>
                <w:kern w:val="0"/>
                <w:sz w:val="26"/>
                <w:szCs w:val="26"/>
              </w:rPr>
              <w:t>宜蘭縣</w:t>
            </w:r>
          </w:p>
        </w:tc>
        <w:tc>
          <w:tcPr>
            <w:tcW w:w="1078"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12.85</w:t>
            </w:r>
          </w:p>
        </w:tc>
        <w:tc>
          <w:tcPr>
            <w:tcW w:w="994"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11.61</w:t>
            </w:r>
          </w:p>
        </w:tc>
        <w:tc>
          <w:tcPr>
            <w:tcW w:w="938"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12.33</w:t>
            </w:r>
          </w:p>
        </w:tc>
        <w:tc>
          <w:tcPr>
            <w:tcW w:w="1036"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15.53</w:t>
            </w:r>
          </w:p>
        </w:tc>
        <w:tc>
          <w:tcPr>
            <w:tcW w:w="1285"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17.36</w:t>
            </w:r>
          </w:p>
        </w:tc>
        <w:tc>
          <w:tcPr>
            <w:tcW w:w="1286"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14.44</w:t>
            </w:r>
          </w:p>
        </w:tc>
      </w:tr>
      <w:tr w:rsidR="00613F67" w:rsidTr="00613F67">
        <w:trPr>
          <w:trHeight w:val="268"/>
        </w:trPr>
        <w:tc>
          <w:tcPr>
            <w:tcW w:w="1135" w:type="dxa"/>
            <w:tcBorders>
              <w:top w:val="single" w:sz="8" w:space="0" w:color="auto"/>
              <w:left w:val="single" w:sz="8" w:space="0" w:color="auto"/>
              <w:bottom w:val="single" w:sz="8" w:space="0" w:color="auto"/>
              <w:right w:val="single" w:sz="8" w:space="0" w:color="auto"/>
            </w:tcBorders>
            <w:noWrap/>
            <w:vAlign w:val="center"/>
            <w:hideMark/>
          </w:tcPr>
          <w:p w:rsidR="00613F67" w:rsidRDefault="00613F67" w:rsidP="00CB7BB4">
            <w:pPr>
              <w:widowControl/>
              <w:overflowPunct/>
              <w:autoSpaceDE/>
              <w:spacing w:line="360" w:lineRule="exact"/>
              <w:jc w:val="center"/>
              <w:rPr>
                <w:rFonts w:ascii="Times New Roman"/>
                <w:color w:val="000000"/>
                <w:spacing w:val="-12"/>
                <w:kern w:val="0"/>
                <w:sz w:val="26"/>
                <w:szCs w:val="26"/>
              </w:rPr>
            </w:pPr>
            <w:r>
              <w:rPr>
                <w:rFonts w:ascii="Times New Roman" w:hint="eastAsia"/>
                <w:color w:val="000000"/>
                <w:spacing w:val="-12"/>
                <w:kern w:val="0"/>
                <w:sz w:val="26"/>
                <w:szCs w:val="26"/>
              </w:rPr>
              <w:t>新竹縣</w:t>
            </w:r>
          </w:p>
        </w:tc>
        <w:tc>
          <w:tcPr>
            <w:tcW w:w="1078"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9.12</w:t>
            </w:r>
          </w:p>
        </w:tc>
        <w:tc>
          <w:tcPr>
            <w:tcW w:w="994"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7.56</w:t>
            </w:r>
          </w:p>
        </w:tc>
        <w:tc>
          <w:tcPr>
            <w:tcW w:w="938"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8.14</w:t>
            </w:r>
          </w:p>
        </w:tc>
        <w:tc>
          <w:tcPr>
            <w:tcW w:w="1036"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10.72</w:t>
            </w:r>
          </w:p>
        </w:tc>
        <w:tc>
          <w:tcPr>
            <w:tcW w:w="1285"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11.54</w:t>
            </w:r>
          </w:p>
        </w:tc>
        <w:tc>
          <w:tcPr>
            <w:tcW w:w="1286"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11.62</w:t>
            </w:r>
          </w:p>
        </w:tc>
      </w:tr>
      <w:tr w:rsidR="00613F67" w:rsidTr="00613F67">
        <w:trPr>
          <w:trHeight w:val="268"/>
        </w:trPr>
        <w:tc>
          <w:tcPr>
            <w:tcW w:w="1135" w:type="dxa"/>
            <w:tcBorders>
              <w:top w:val="single" w:sz="8" w:space="0" w:color="auto"/>
              <w:left w:val="single" w:sz="8" w:space="0" w:color="auto"/>
              <w:bottom w:val="single" w:sz="8" w:space="0" w:color="auto"/>
              <w:right w:val="single" w:sz="8" w:space="0" w:color="auto"/>
            </w:tcBorders>
            <w:noWrap/>
            <w:vAlign w:val="center"/>
            <w:hideMark/>
          </w:tcPr>
          <w:p w:rsidR="00613F67" w:rsidRDefault="00613F67" w:rsidP="00CB7BB4">
            <w:pPr>
              <w:widowControl/>
              <w:overflowPunct/>
              <w:autoSpaceDE/>
              <w:spacing w:line="360" w:lineRule="exact"/>
              <w:jc w:val="center"/>
              <w:rPr>
                <w:rFonts w:ascii="Times New Roman"/>
                <w:color w:val="000000"/>
                <w:spacing w:val="-12"/>
                <w:kern w:val="0"/>
                <w:sz w:val="26"/>
                <w:szCs w:val="26"/>
              </w:rPr>
            </w:pPr>
            <w:r>
              <w:rPr>
                <w:rFonts w:ascii="Times New Roman" w:hint="eastAsia"/>
                <w:color w:val="000000"/>
                <w:spacing w:val="-12"/>
                <w:kern w:val="0"/>
                <w:sz w:val="26"/>
                <w:szCs w:val="26"/>
              </w:rPr>
              <w:t>苗栗縣</w:t>
            </w:r>
          </w:p>
        </w:tc>
        <w:tc>
          <w:tcPr>
            <w:tcW w:w="1078"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5.72</w:t>
            </w:r>
          </w:p>
        </w:tc>
        <w:tc>
          <w:tcPr>
            <w:tcW w:w="994"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7.62</w:t>
            </w:r>
          </w:p>
        </w:tc>
        <w:tc>
          <w:tcPr>
            <w:tcW w:w="938"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11.09</w:t>
            </w:r>
          </w:p>
        </w:tc>
        <w:tc>
          <w:tcPr>
            <w:tcW w:w="1036"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13.95</w:t>
            </w:r>
          </w:p>
        </w:tc>
        <w:tc>
          <w:tcPr>
            <w:tcW w:w="1285"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14.61</w:t>
            </w:r>
          </w:p>
        </w:tc>
        <w:tc>
          <w:tcPr>
            <w:tcW w:w="1286"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22.91</w:t>
            </w:r>
          </w:p>
        </w:tc>
      </w:tr>
      <w:tr w:rsidR="00613F67" w:rsidTr="00613F67">
        <w:trPr>
          <w:trHeight w:val="268"/>
        </w:trPr>
        <w:tc>
          <w:tcPr>
            <w:tcW w:w="1135" w:type="dxa"/>
            <w:tcBorders>
              <w:top w:val="single" w:sz="8" w:space="0" w:color="auto"/>
              <w:left w:val="single" w:sz="8" w:space="0" w:color="auto"/>
              <w:bottom w:val="single" w:sz="8" w:space="0" w:color="auto"/>
              <w:right w:val="single" w:sz="8" w:space="0" w:color="auto"/>
            </w:tcBorders>
            <w:noWrap/>
            <w:vAlign w:val="center"/>
            <w:hideMark/>
          </w:tcPr>
          <w:p w:rsidR="00613F67" w:rsidRDefault="00613F67" w:rsidP="00CB7BB4">
            <w:pPr>
              <w:widowControl/>
              <w:overflowPunct/>
              <w:autoSpaceDE/>
              <w:spacing w:line="360" w:lineRule="exact"/>
              <w:jc w:val="center"/>
              <w:rPr>
                <w:rFonts w:ascii="Times New Roman"/>
                <w:color w:val="000000"/>
                <w:spacing w:val="-12"/>
                <w:kern w:val="0"/>
                <w:sz w:val="26"/>
                <w:szCs w:val="26"/>
              </w:rPr>
            </w:pPr>
            <w:r>
              <w:rPr>
                <w:rFonts w:ascii="Times New Roman" w:hint="eastAsia"/>
                <w:color w:val="000000"/>
                <w:spacing w:val="-12"/>
                <w:kern w:val="0"/>
                <w:sz w:val="26"/>
                <w:szCs w:val="26"/>
              </w:rPr>
              <w:t>彰化縣</w:t>
            </w:r>
          </w:p>
        </w:tc>
        <w:tc>
          <w:tcPr>
            <w:tcW w:w="1078"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10.55</w:t>
            </w:r>
          </w:p>
        </w:tc>
        <w:tc>
          <w:tcPr>
            <w:tcW w:w="994"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9.99</w:t>
            </w:r>
          </w:p>
        </w:tc>
        <w:tc>
          <w:tcPr>
            <w:tcW w:w="938"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13.46</w:t>
            </w:r>
          </w:p>
        </w:tc>
        <w:tc>
          <w:tcPr>
            <w:tcW w:w="1036"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13.49</w:t>
            </w:r>
          </w:p>
        </w:tc>
        <w:tc>
          <w:tcPr>
            <w:tcW w:w="1285"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8.73</w:t>
            </w:r>
          </w:p>
        </w:tc>
        <w:tc>
          <w:tcPr>
            <w:tcW w:w="1286"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8.95</w:t>
            </w:r>
          </w:p>
        </w:tc>
      </w:tr>
      <w:tr w:rsidR="00613F67" w:rsidTr="00613F67">
        <w:trPr>
          <w:trHeight w:val="268"/>
        </w:trPr>
        <w:tc>
          <w:tcPr>
            <w:tcW w:w="1135" w:type="dxa"/>
            <w:tcBorders>
              <w:top w:val="single" w:sz="8" w:space="0" w:color="auto"/>
              <w:left w:val="single" w:sz="8" w:space="0" w:color="auto"/>
              <w:bottom w:val="single" w:sz="8" w:space="0" w:color="auto"/>
              <w:right w:val="single" w:sz="8" w:space="0" w:color="auto"/>
            </w:tcBorders>
            <w:noWrap/>
            <w:vAlign w:val="center"/>
            <w:hideMark/>
          </w:tcPr>
          <w:p w:rsidR="00613F67" w:rsidRDefault="00613F67" w:rsidP="00CB7BB4">
            <w:pPr>
              <w:widowControl/>
              <w:overflowPunct/>
              <w:autoSpaceDE/>
              <w:spacing w:line="360" w:lineRule="exact"/>
              <w:jc w:val="center"/>
              <w:rPr>
                <w:rFonts w:ascii="Times New Roman"/>
                <w:color w:val="000000"/>
                <w:spacing w:val="-12"/>
                <w:kern w:val="0"/>
                <w:sz w:val="26"/>
                <w:szCs w:val="26"/>
              </w:rPr>
            </w:pPr>
            <w:r>
              <w:rPr>
                <w:rFonts w:ascii="Times New Roman" w:hint="eastAsia"/>
                <w:color w:val="000000"/>
                <w:spacing w:val="-12"/>
                <w:kern w:val="0"/>
                <w:sz w:val="26"/>
                <w:szCs w:val="26"/>
              </w:rPr>
              <w:t>南投縣</w:t>
            </w:r>
          </w:p>
        </w:tc>
        <w:tc>
          <w:tcPr>
            <w:tcW w:w="1078"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8.53</w:t>
            </w:r>
          </w:p>
        </w:tc>
        <w:tc>
          <w:tcPr>
            <w:tcW w:w="994"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9.37</w:t>
            </w:r>
          </w:p>
        </w:tc>
        <w:tc>
          <w:tcPr>
            <w:tcW w:w="938"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9.28</w:t>
            </w:r>
          </w:p>
        </w:tc>
        <w:tc>
          <w:tcPr>
            <w:tcW w:w="1036"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10.08</w:t>
            </w:r>
          </w:p>
        </w:tc>
        <w:tc>
          <w:tcPr>
            <w:tcW w:w="1285"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11.57</w:t>
            </w:r>
          </w:p>
        </w:tc>
        <w:tc>
          <w:tcPr>
            <w:tcW w:w="1286"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14.03</w:t>
            </w:r>
          </w:p>
        </w:tc>
      </w:tr>
      <w:tr w:rsidR="00613F67" w:rsidTr="00613F67">
        <w:trPr>
          <w:trHeight w:val="268"/>
        </w:trPr>
        <w:tc>
          <w:tcPr>
            <w:tcW w:w="1135" w:type="dxa"/>
            <w:tcBorders>
              <w:top w:val="single" w:sz="8" w:space="0" w:color="auto"/>
              <w:left w:val="single" w:sz="8" w:space="0" w:color="auto"/>
              <w:bottom w:val="single" w:sz="8" w:space="0" w:color="auto"/>
              <w:right w:val="single" w:sz="8" w:space="0" w:color="auto"/>
            </w:tcBorders>
            <w:noWrap/>
            <w:vAlign w:val="center"/>
            <w:hideMark/>
          </w:tcPr>
          <w:p w:rsidR="00613F67" w:rsidRDefault="00613F67" w:rsidP="00CB7BB4">
            <w:pPr>
              <w:widowControl/>
              <w:overflowPunct/>
              <w:autoSpaceDE/>
              <w:spacing w:line="360" w:lineRule="exact"/>
              <w:jc w:val="center"/>
              <w:rPr>
                <w:rFonts w:ascii="Times New Roman"/>
                <w:color w:val="000000"/>
                <w:spacing w:val="-12"/>
                <w:kern w:val="0"/>
                <w:sz w:val="26"/>
                <w:szCs w:val="26"/>
              </w:rPr>
            </w:pPr>
            <w:r>
              <w:rPr>
                <w:rFonts w:ascii="Times New Roman" w:hint="eastAsia"/>
                <w:color w:val="000000"/>
                <w:spacing w:val="-12"/>
                <w:kern w:val="0"/>
                <w:sz w:val="26"/>
                <w:szCs w:val="26"/>
              </w:rPr>
              <w:t>雲林縣</w:t>
            </w:r>
          </w:p>
        </w:tc>
        <w:tc>
          <w:tcPr>
            <w:tcW w:w="1078"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6.31</w:t>
            </w:r>
          </w:p>
        </w:tc>
        <w:tc>
          <w:tcPr>
            <w:tcW w:w="994"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7.42</w:t>
            </w:r>
          </w:p>
        </w:tc>
        <w:tc>
          <w:tcPr>
            <w:tcW w:w="938"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8.56</w:t>
            </w:r>
          </w:p>
        </w:tc>
        <w:tc>
          <w:tcPr>
            <w:tcW w:w="1036"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9.95</w:t>
            </w:r>
          </w:p>
        </w:tc>
        <w:tc>
          <w:tcPr>
            <w:tcW w:w="1285"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13.25</w:t>
            </w:r>
          </w:p>
        </w:tc>
        <w:tc>
          <w:tcPr>
            <w:tcW w:w="1286"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13.32</w:t>
            </w:r>
          </w:p>
        </w:tc>
      </w:tr>
      <w:tr w:rsidR="00613F67" w:rsidTr="00613F67">
        <w:trPr>
          <w:trHeight w:val="268"/>
        </w:trPr>
        <w:tc>
          <w:tcPr>
            <w:tcW w:w="1135" w:type="dxa"/>
            <w:tcBorders>
              <w:top w:val="single" w:sz="8" w:space="0" w:color="auto"/>
              <w:left w:val="single" w:sz="8" w:space="0" w:color="auto"/>
              <w:bottom w:val="single" w:sz="8" w:space="0" w:color="auto"/>
              <w:right w:val="single" w:sz="8" w:space="0" w:color="auto"/>
            </w:tcBorders>
            <w:noWrap/>
            <w:vAlign w:val="center"/>
            <w:hideMark/>
          </w:tcPr>
          <w:p w:rsidR="00613F67" w:rsidRDefault="00613F67" w:rsidP="00CB7BB4">
            <w:pPr>
              <w:widowControl/>
              <w:overflowPunct/>
              <w:autoSpaceDE/>
              <w:spacing w:line="360" w:lineRule="exact"/>
              <w:jc w:val="center"/>
              <w:rPr>
                <w:rFonts w:ascii="Times New Roman"/>
                <w:color w:val="000000"/>
                <w:spacing w:val="-12"/>
                <w:kern w:val="0"/>
                <w:sz w:val="26"/>
                <w:szCs w:val="26"/>
              </w:rPr>
            </w:pPr>
            <w:r>
              <w:rPr>
                <w:rFonts w:ascii="Times New Roman" w:hint="eastAsia"/>
                <w:color w:val="000000"/>
                <w:spacing w:val="-12"/>
                <w:kern w:val="0"/>
                <w:sz w:val="26"/>
                <w:szCs w:val="26"/>
              </w:rPr>
              <w:t>嘉義縣</w:t>
            </w:r>
          </w:p>
        </w:tc>
        <w:tc>
          <w:tcPr>
            <w:tcW w:w="1078"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7.33</w:t>
            </w:r>
          </w:p>
        </w:tc>
        <w:tc>
          <w:tcPr>
            <w:tcW w:w="994"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8.53</w:t>
            </w:r>
          </w:p>
        </w:tc>
        <w:tc>
          <w:tcPr>
            <w:tcW w:w="938"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7.63</w:t>
            </w:r>
          </w:p>
        </w:tc>
        <w:tc>
          <w:tcPr>
            <w:tcW w:w="1036"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11.26</w:t>
            </w:r>
          </w:p>
        </w:tc>
        <w:tc>
          <w:tcPr>
            <w:tcW w:w="1285"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12.03</w:t>
            </w:r>
          </w:p>
        </w:tc>
        <w:tc>
          <w:tcPr>
            <w:tcW w:w="1286"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11.25</w:t>
            </w:r>
          </w:p>
        </w:tc>
      </w:tr>
      <w:tr w:rsidR="00613F67" w:rsidTr="00613F67">
        <w:trPr>
          <w:trHeight w:val="268"/>
        </w:trPr>
        <w:tc>
          <w:tcPr>
            <w:tcW w:w="1135" w:type="dxa"/>
            <w:tcBorders>
              <w:top w:val="single" w:sz="8" w:space="0" w:color="auto"/>
              <w:left w:val="single" w:sz="8" w:space="0" w:color="auto"/>
              <w:bottom w:val="single" w:sz="8" w:space="0" w:color="auto"/>
              <w:right w:val="single" w:sz="8" w:space="0" w:color="auto"/>
            </w:tcBorders>
            <w:noWrap/>
            <w:vAlign w:val="center"/>
            <w:hideMark/>
          </w:tcPr>
          <w:p w:rsidR="00613F67" w:rsidRDefault="00613F67" w:rsidP="00CB7BB4">
            <w:pPr>
              <w:widowControl/>
              <w:overflowPunct/>
              <w:autoSpaceDE/>
              <w:spacing w:line="360" w:lineRule="exact"/>
              <w:jc w:val="center"/>
              <w:rPr>
                <w:rFonts w:ascii="Times New Roman"/>
                <w:color w:val="000000"/>
                <w:spacing w:val="-12"/>
                <w:kern w:val="0"/>
                <w:sz w:val="26"/>
                <w:szCs w:val="26"/>
              </w:rPr>
            </w:pPr>
            <w:r>
              <w:rPr>
                <w:rFonts w:ascii="Times New Roman" w:hint="eastAsia"/>
                <w:color w:val="000000"/>
                <w:spacing w:val="-12"/>
                <w:kern w:val="0"/>
                <w:sz w:val="26"/>
                <w:szCs w:val="26"/>
              </w:rPr>
              <w:t>屏東縣</w:t>
            </w:r>
          </w:p>
        </w:tc>
        <w:tc>
          <w:tcPr>
            <w:tcW w:w="1078"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8.46</w:t>
            </w:r>
          </w:p>
        </w:tc>
        <w:tc>
          <w:tcPr>
            <w:tcW w:w="994"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7.69</w:t>
            </w:r>
          </w:p>
        </w:tc>
        <w:tc>
          <w:tcPr>
            <w:tcW w:w="938"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8.22</w:t>
            </w:r>
          </w:p>
        </w:tc>
        <w:tc>
          <w:tcPr>
            <w:tcW w:w="1036"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9.36</w:t>
            </w:r>
          </w:p>
        </w:tc>
        <w:tc>
          <w:tcPr>
            <w:tcW w:w="1285"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10.74</w:t>
            </w:r>
          </w:p>
        </w:tc>
        <w:tc>
          <w:tcPr>
            <w:tcW w:w="1286"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13.16</w:t>
            </w:r>
          </w:p>
        </w:tc>
      </w:tr>
      <w:tr w:rsidR="00613F67" w:rsidTr="00613F67">
        <w:trPr>
          <w:trHeight w:val="268"/>
        </w:trPr>
        <w:tc>
          <w:tcPr>
            <w:tcW w:w="1135" w:type="dxa"/>
            <w:tcBorders>
              <w:top w:val="single" w:sz="8" w:space="0" w:color="auto"/>
              <w:left w:val="single" w:sz="8" w:space="0" w:color="auto"/>
              <w:bottom w:val="single" w:sz="8" w:space="0" w:color="auto"/>
              <w:right w:val="single" w:sz="8" w:space="0" w:color="auto"/>
            </w:tcBorders>
            <w:noWrap/>
            <w:vAlign w:val="center"/>
            <w:hideMark/>
          </w:tcPr>
          <w:p w:rsidR="00613F67" w:rsidRDefault="00613F67" w:rsidP="00CB7BB4">
            <w:pPr>
              <w:widowControl/>
              <w:overflowPunct/>
              <w:autoSpaceDE/>
              <w:spacing w:line="360" w:lineRule="exact"/>
              <w:jc w:val="center"/>
              <w:rPr>
                <w:rFonts w:ascii="Times New Roman"/>
                <w:color w:val="000000"/>
                <w:spacing w:val="-12"/>
                <w:kern w:val="0"/>
                <w:sz w:val="26"/>
                <w:szCs w:val="26"/>
              </w:rPr>
            </w:pPr>
            <w:r>
              <w:rPr>
                <w:rFonts w:ascii="Times New Roman" w:hint="eastAsia"/>
                <w:color w:val="000000"/>
                <w:spacing w:val="-12"/>
                <w:kern w:val="0"/>
                <w:sz w:val="26"/>
                <w:szCs w:val="26"/>
              </w:rPr>
              <w:t>臺東縣</w:t>
            </w:r>
          </w:p>
        </w:tc>
        <w:tc>
          <w:tcPr>
            <w:tcW w:w="1078"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9.93</w:t>
            </w:r>
          </w:p>
        </w:tc>
        <w:tc>
          <w:tcPr>
            <w:tcW w:w="994"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9.34</w:t>
            </w:r>
          </w:p>
        </w:tc>
        <w:tc>
          <w:tcPr>
            <w:tcW w:w="938"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8.76</w:t>
            </w:r>
          </w:p>
        </w:tc>
        <w:tc>
          <w:tcPr>
            <w:tcW w:w="1036"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10.55</w:t>
            </w:r>
          </w:p>
        </w:tc>
        <w:tc>
          <w:tcPr>
            <w:tcW w:w="1285"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11.18</w:t>
            </w:r>
          </w:p>
        </w:tc>
        <w:tc>
          <w:tcPr>
            <w:tcW w:w="1286"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12.85</w:t>
            </w:r>
          </w:p>
        </w:tc>
      </w:tr>
      <w:tr w:rsidR="00613F67" w:rsidTr="00613F67">
        <w:trPr>
          <w:trHeight w:val="268"/>
        </w:trPr>
        <w:tc>
          <w:tcPr>
            <w:tcW w:w="1135" w:type="dxa"/>
            <w:tcBorders>
              <w:top w:val="single" w:sz="8" w:space="0" w:color="auto"/>
              <w:left w:val="single" w:sz="8" w:space="0" w:color="auto"/>
              <w:bottom w:val="single" w:sz="8" w:space="0" w:color="auto"/>
              <w:right w:val="single" w:sz="8" w:space="0" w:color="auto"/>
            </w:tcBorders>
            <w:noWrap/>
            <w:vAlign w:val="center"/>
            <w:hideMark/>
          </w:tcPr>
          <w:p w:rsidR="00613F67" w:rsidRDefault="00613F67" w:rsidP="00CB7BB4">
            <w:pPr>
              <w:widowControl/>
              <w:overflowPunct/>
              <w:autoSpaceDE/>
              <w:spacing w:line="360" w:lineRule="exact"/>
              <w:jc w:val="center"/>
              <w:rPr>
                <w:rFonts w:ascii="Times New Roman"/>
                <w:color w:val="000000"/>
                <w:spacing w:val="-12"/>
                <w:kern w:val="0"/>
                <w:sz w:val="26"/>
                <w:szCs w:val="26"/>
              </w:rPr>
            </w:pPr>
            <w:r>
              <w:rPr>
                <w:rFonts w:ascii="Times New Roman" w:hint="eastAsia"/>
                <w:color w:val="000000"/>
                <w:spacing w:val="-12"/>
                <w:kern w:val="0"/>
                <w:sz w:val="26"/>
                <w:szCs w:val="26"/>
              </w:rPr>
              <w:t>花蓮縣</w:t>
            </w:r>
          </w:p>
        </w:tc>
        <w:tc>
          <w:tcPr>
            <w:tcW w:w="1078"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5.79</w:t>
            </w:r>
          </w:p>
        </w:tc>
        <w:tc>
          <w:tcPr>
            <w:tcW w:w="994"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7.67</w:t>
            </w:r>
          </w:p>
        </w:tc>
        <w:tc>
          <w:tcPr>
            <w:tcW w:w="938"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7.89</w:t>
            </w:r>
          </w:p>
        </w:tc>
        <w:tc>
          <w:tcPr>
            <w:tcW w:w="1036"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12.72</w:t>
            </w:r>
          </w:p>
        </w:tc>
        <w:tc>
          <w:tcPr>
            <w:tcW w:w="1285"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12.45</w:t>
            </w:r>
          </w:p>
        </w:tc>
        <w:tc>
          <w:tcPr>
            <w:tcW w:w="1286"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22.33</w:t>
            </w:r>
          </w:p>
        </w:tc>
      </w:tr>
      <w:tr w:rsidR="00613F67" w:rsidTr="00613F67">
        <w:trPr>
          <w:trHeight w:val="268"/>
        </w:trPr>
        <w:tc>
          <w:tcPr>
            <w:tcW w:w="1135" w:type="dxa"/>
            <w:tcBorders>
              <w:top w:val="single" w:sz="8" w:space="0" w:color="auto"/>
              <w:left w:val="single" w:sz="8" w:space="0" w:color="auto"/>
              <w:bottom w:val="single" w:sz="8" w:space="0" w:color="auto"/>
              <w:right w:val="single" w:sz="8" w:space="0" w:color="auto"/>
            </w:tcBorders>
            <w:noWrap/>
            <w:vAlign w:val="center"/>
            <w:hideMark/>
          </w:tcPr>
          <w:p w:rsidR="00613F67" w:rsidRDefault="00613F67" w:rsidP="00CB7BB4">
            <w:pPr>
              <w:widowControl/>
              <w:overflowPunct/>
              <w:autoSpaceDE/>
              <w:spacing w:line="360" w:lineRule="exact"/>
              <w:jc w:val="center"/>
              <w:rPr>
                <w:rFonts w:ascii="Times New Roman"/>
                <w:color w:val="000000"/>
                <w:spacing w:val="-12"/>
                <w:kern w:val="0"/>
                <w:sz w:val="26"/>
                <w:szCs w:val="26"/>
              </w:rPr>
            </w:pPr>
            <w:r>
              <w:rPr>
                <w:rFonts w:ascii="Times New Roman" w:hint="eastAsia"/>
                <w:color w:val="000000"/>
                <w:spacing w:val="-12"/>
                <w:kern w:val="0"/>
                <w:sz w:val="26"/>
                <w:szCs w:val="26"/>
              </w:rPr>
              <w:t>澎湖縣</w:t>
            </w:r>
          </w:p>
        </w:tc>
        <w:tc>
          <w:tcPr>
            <w:tcW w:w="1078"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8.30</w:t>
            </w:r>
          </w:p>
        </w:tc>
        <w:tc>
          <w:tcPr>
            <w:tcW w:w="994"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10.39</w:t>
            </w:r>
          </w:p>
        </w:tc>
        <w:tc>
          <w:tcPr>
            <w:tcW w:w="938"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5.70</w:t>
            </w:r>
          </w:p>
        </w:tc>
        <w:tc>
          <w:tcPr>
            <w:tcW w:w="1036"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9.83</w:t>
            </w:r>
          </w:p>
        </w:tc>
        <w:tc>
          <w:tcPr>
            <w:tcW w:w="1285"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14.03</w:t>
            </w:r>
          </w:p>
        </w:tc>
        <w:tc>
          <w:tcPr>
            <w:tcW w:w="1286"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16.99</w:t>
            </w:r>
          </w:p>
        </w:tc>
      </w:tr>
      <w:tr w:rsidR="00613F67" w:rsidTr="00613F67">
        <w:trPr>
          <w:trHeight w:val="268"/>
        </w:trPr>
        <w:tc>
          <w:tcPr>
            <w:tcW w:w="1135" w:type="dxa"/>
            <w:tcBorders>
              <w:top w:val="single" w:sz="8" w:space="0" w:color="auto"/>
              <w:left w:val="single" w:sz="8" w:space="0" w:color="auto"/>
              <w:bottom w:val="single" w:sz="8" w:space="0" w:color="auto"/>
              <w:right w:val="single" w:sz="8" w:space="0" w:color="auto"/>
            </w:tcBorders>
            <w:noWrap/>
            <w:vAlign w:val="center"/>
            <w:hideMark/>
          </w:tcPr>
          <w:p w:rsidR="00613F67" w:rsidRDefault="00613F67" w:rsidP="00CB7BB4">
            <w:pPr>
              <w:widowControl/>
              <w:overflowPunct/>
              <w:autoSpaceDE/>
              <w:spacing w:line="360" w:lineRule="exact"/>
              <w:jc w:val="center"/>
              <w:rPr>
                <w:rFonts w:ascii="Times New Roman"/>
                <w:color w:val="000000"/>
                <w:spacing w:val="-12"/>
                <w:kern w:val="0"/>
                <w:sz w:val="26"/>
                <w:szCs w:val="26"/>
              </w:rPr>
            </w:pPr>
            <w:r>
              <w:rPr>
                <w:rFonts w:ascii="Times New Roman" w:hint="eastAsia"/>
                <w:color w:val="000000"/>
                <w:spacing w:val="-12"/>
                <w:kern w:val="0"/>
                <w:sz w:val="26"/>
                <w:szCs w:val="26"/>
              </w:rPr>
              <w:t>基隆市</w:t>
            </w:r>
          </w:p>
        </w:tc>
        <w:tc>
          <w:tcPr>
            <w:tcW w:w="1078"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6.23</w:t>
            </w:r>
          </w:p>
        </w:tc>
        <w:tc>
          <w:tcPr>
            <w:tcW w:w="994"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6.70</w:t>
            </w:r>
          </w:p>
        </w:tc>
        <w:tc>
          <w:tcPr>
            <w:tcW w:w="938"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12.50</w:t>
            </w:r>
          </w:p>
        </w:tc>
        <w:tc>
          <w:tcPr>
            <w:tcW w:w="1036"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15.59</w:t>
            </w:r>
          </w:p>
        </w:tc>
        <w:tc>
          <w:tcPr>
            <w:tcW w:w="1285"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17.75</w:t>
            </w:r>
          </w:p>
        </w:tc>
        <w:tc>
          <w:tcPr>
            <w:tcW w:w="1286"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17.13</w:t>
            </w:r>
          </w:p>
        </w:tc>
      </w:tr>
      <w:tr w:rsidR="00613F67" w:rsidTr="00613F67">
        <w:trPr>
          <w:trHeight w:val="268"/>
        </w:trPr>
        <w:tc>
          <w:tcPr>
            <w:tcW w:w="1135" w:type="dxa"/>
            <w:tcBorders>
              <w:top w:val="single" w:sz="8" w:space="0" w:color="auto"/>
              <w:left w:val="single" w:sz="8" w:space="0" w:color="auto"/>
              <w:bottom w:val="single" w:sz="8" w:space="0" w:color="auto"/>
              <w:right w:val="single" w:sz="8" w:space="0" w:color="auto"/>
            </w:tcBorders>
            <w:noWrap/>
            <w:vAlign w:val="center"/>
            <w:hideMark/>
          </w:tcPr>
          <w:p w:rsidR="00613F67" w:rsidRDefault="00613F67" w:rsidP="00CB7BB4">
            <w:pPr>
              <w:widowControl/>
              <w:overflowPunct/>
              <w:autoSpaceDE/>
              <w:spacing w:line="360" w:lineRule="exact"/>
              <w:jc w:val="center"/>
              <w:rPr>
                <w:rFonts w:ascii="Times New Roman"/>
                <w:color w:val="000000"/>
                <w:spacing w:val="-12"/>
                <w:kern w:val="0"/>
                <w:sz w:val="26"/>
                <w:szCs w:val="26"/>
              </w:rPr>
            </w:pPr>
            <w:r>
              <w:rPr>
                <w:rFonts w:ascii="Times New Roman" w:hint="eastAsia"/>
                <w:color w:val="000000"/>
                <w:spacing w:val="-12"/>
                <w:kern w:val="0"/>
                <w:sz w:val="26"/>
                <w:szCs w:val="26"/>
              </w:rPr>
              <w:t>新竹市</w:t>
            </w:r>
          </w:p>
        </w:tc>
        <w:tc>
          <w:tcPr>
            <w:tcW w:w="1078"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7.94</w:t>
            </w:r>
          </w:p>
        </w:tc>
        <w:tc>
          <w:tcPr>
            <w:tcW w:w="994"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10.32</w:t>
            </w:r>
          </w:p>
        </w:tc>
        <w:tc>
          <w:tcPr>
            <w:tcW w:w="938"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10.34</w:t>
            </w:r>
          </w:p>
        </w:tc>
        <w:tc>
          <w:tcPr>
            <w:tcW w:w="1036"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14.60</w:t>
            </w:r>
          </w:p>
        </w:tc>
        <w:tc>
          <w:tcPr>
            <w:tcW w:w="1285"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15.87</w:t>
            </w:r>
          </w:p>
        </w:tc>
        <w:tc>
          <w:tcPr>
            <w:tcW w:w="1286"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16.66</w:t>
            </w:r>
          </w:p>
        </w:tc>
      </w:tr>
      <w:tr w:rsidR="00613F67" w:rsidTr="00613F67">
        <w:trPr>
          <w:trHeight w:val="268"/>
        </w:trPr>
        <w:tc>
          <w:tcPr>
            <w:tcW w:w="1135" w:type="dxa"/>
            <w:tcBorders>
              <w:top w:val="single" w:sz="8" w:space="0" w:color="auto"/>
              <w:left w:val="single" w:sz="8" w:space="0" w:color="auto"/>
              <w:bottom w:val="single" w:sz="8" w:space="0" w:color="auto"/>
              <w:right w:val="single" w:sz="8" w:space="0" w:color="auto"/>
            </w:tcBorders>
            <w:noWrap/>
            <w:vAlign w:val="center"/>
            <w:hideMark/>
          </w:tcPr>
          <w:p w:rsidR="00613F67" w:rsidRDefault="00613F67" w:rsidP="00CB7BB4">
            <w:pPr>
              <w:widowControl/>
              <w:overflowPunct/>
              <w:autoSpaceDE/>
              <w:spacing w:line="360" w:lineRule="exact"/>
              <w:jc w:val="center"/>
              <w:rPr>
                <w:rFonts w:ascii="Times New Roman"/>
                <w:color w:val="000000"/>
                <w:spacing w:val="-12"/>
                <w:kern w:val="0"/>
                <w:sz w:val="26"/>
                <w:szCs w:val="26"/>
              </w:rPr>
            </w:pPr>
            <w:r>
              <w:rPr>
                <w:rFonts w:ascii="Times New Roman" w:hint="eastAsia"/>
                <w:color w:val="000000"/>
                <w:spacing w:val="-12"/>
                <w:kern w:val="0"/>
                <w:sz w:val="26"/>
                <w:szCs w:val="26"/>
              </w:rPr>
              <w:t>嘉義市</w:t>
            </w:r>
          </w:p>
        </w:tc>
        <w:tc>
          <w:tcPr>
            <w:tcW w:w="1078"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16.85</w:t>
            </w:r>
          </w:p>
        </w:tc>
        <w:tc>
          <w:tcPr>
            <w:tcW w:w="994"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14.36</w:t>
            </w:r>
          </w:p>
        </w:tc>
        <w:tc>
          <w:tcPr>
            <w:tcW w:w="938"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12.73</w:t>
            </w:r>
          </w:p>
        </w:tc>
        <w:tc>
          <w:tcPr>
            <w:tcW w:w="1036"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16.56</w:t>
            </w:r>
          </w:p>
        </w:tc>
        <w:tc>
          <w:tcPr>
            <w:tcW w:w="1285"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14.45</w:t>
            </w:r>
          </w:p>
        </w:tc>
        <w:tc>
          <w:tcPr>
            <w:tcW w:w="1286"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15.55</w:t>
            </w:r>
          </w:p>
        </w:tc>
      </w:tr>
      <w:tr w:rsidR="00613F67" w:rsidTr="00613F67">
        <w:trPr>
          <w:trHeight w:val="268"/>
        </w:trPr>
        <w:tc>
          <w:tcPr>
            <w:tcW w:w="1135" w:type="dxa"/>
            <w:tcBorders>
              <w:top w:val="single" w:sz="8" w:space="0" w:color="auto"/>
              <w:left w:val="single" w:sz="8" w:space="0" w:color="auto"/>
              <w:bottom w:val="single" w:sz="8" w:space="0" w:color="auto"/>
              <w:right w:val="single" w:sz="8" w:space="0" w:color="auto"/>
            </w:tcBorders>
            <w:noWrap/>
            <w:vAlign w:val="center"/>
            <w:hideMark/>
          </w:tcPr>
          <w:p w:rsidR="00613F67" w:rsidRDefault="00613F67" w:rsidP="00CB7BB4">
            <w:pPr>
              <w:widowControl/>
              <w:overflowPunct/>
              <w:autoSpaceDE/>
              <w:spacing w:line="360" w:lineRule="exact"/>
              <w:jc w:val="center"/>
              <w:rPr>
                <w:rFonts w:ascii="Times New Roman"/>
                <w:color w:val="000000"/>
                <w:spacing w:val="-12"/>
                <w:kern w:val="0"/>
                <w:sz w:val="26"/>
                <w:szCs w:val="26"/>
              </w:rPr>
            </w:pPr>
            <w:r>
              <w:rPr>
                <w:rFonts w:ascii="Times New Roman" w:hint="eastAsia"/>
                <w:color w:val="000000"/>
                <w:spacing w:val="-12"/>
                <w:kern w:val="0"/>
                <w:sz w:val="26"/>
                <w:szCs w:val="26"/>
              </w:rPr>
              <w:t>金門縣</w:t>
            </w:r>
          </w:p>
        </w:tc>
        <w:tc>
          <w:tcPr>
            <w:tcW w:w="1078"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6.79</w:t>
            </w:r>
          </w:p>
        </w:tc>
        <w:tc>
          <w:tcPr>
            <w:tcW w:w="994"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10.42</w:t>
            </w:r>
          </w:p>
        </w:tc>
        <w:tc>
          <w:tcPr>
            <w:tcW w:w="938"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9.69</w:t>
            </w:r>
          </w:p>
        </w:tc>
        <w:tc>
          <w:tcPr>
            <w:tcW w:w="1036"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10.06</w:t>
            </w:r>
          </w:p>
        </w:tc>
        <w:tc>
          <w:tcPr>
            <w:tcW w:w="1285"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7.05</w:t>
            </w:r>
          </w:p>
        </w:tc>
        <w:tc>
          <w:tcPr>
            <w:tcW w:w="1286"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14.88</w:t>
            </w:r>
          </w:p>
        </w:tc>
      </w:tr>
      <w:tr w:rsidR="00613F67" w:rsidTr="00613F67">
        <w:trPr>
          <w:trHeight w:val="268"/>
        </w:trPr>
        <w:tc>
          <w:tcPr>
            <w:tcW w:w="1135" w:type="dxa"/>
            <w:tcBorders>
              <w:top w:val="single" w:sz="8" w:space="0" w:color="auto"/>
              <w:left w:val="single" w:sz="8" w:space="0" w:color="auto"/>
              <w:bottom w:val="single" w:sz="8" w:space="0" w:color="auto"/>
              <w:right w:val="single" w:sz="8" w:space="0" w:color="auto"/>
            </w:tcBorders>
            <w:noWrap/>
            <w:vAlign w:val="center"/>
            <w:hideMark/>
          </w:tcPr>
          <w:p w:rsidR="00613F67" w:rsidRDefault="00613F67" w:rsidP="00CB7BB4">
            <w:pPr>
              <w:widowControl/>
              <w:overflowPunct/>
              <w:autoSpaceDE/>
              <w:spacing w:line="360" w:lineRule="exact"/>
              <w:jc w:val="center"/>
              <w:rPr>
                <w:rFonts w:ascii="Times New Roman"/>
                <w:color w:val="000000"/>
                <w:spacing w:val="-12"/>
                <w:kern w:val="0"/>
                <w:sz w:val="26"/>
                <w:szCs w:val="26"/>
              </w:rPr>
            </w:pPr>
            <w:r>
              <w:rPr>
                <w:rFonts w:ascii="Times New Roman" w:hint="eastAsia"/>
                <w:color w:val="000000"/>
                <w:spacing w:val="-12"/>
                <w:kern w:val="0"/>
                <w:sz w:val="26"/>
                <w:szCs w:val="26"/>
              </w:rPr>
              <w:t>連江縣</w:t>
            </w:r>
          </w:p>
        </w:tc>
        <w:tc>
          <w:tcPr>
            <w:tcW w:w="1078"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6.36</w:t>
            </w:r>
          </w:p>
        </w:tc>
        <w:tc>
          <w:tcPr>
            <w:tcW w:w="994"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8.48</w:t>
            </w:r>
          </w:p>
        </w:tc>
        <w:tc>
          <w:tcPr>
            <w:tcW w:w="938"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12.17</w:t>
            </w:r>
          </w:p>
        </w:tc>
        <w:tc>
          <w:tcPr>
            <w:tcW w:w="1036"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13.81</w:t>
            </w:r>
          </w:p>
        </w:tc>
        <w:tc>
          <w:tcPr>
            <w:tcW w:w="1285"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25.67</w:t>
            </w:r>
          </w:p>
        </w:tc>
        <w:tc>
          <w:tcPr>
            <w:tcW w:w="1286" w:type="dxa"/>
            <w:tcBorders>
              <w:top w:val="single" w:sz="8" w:space="0" w:color="auto"/>
              <w:left w:val="single" w:sz="8" w:space="0" w:color="auto"/>
              <w:bottom w:val="single" w:sz="8" w:space="0" w:color="auto"/>
              <w:right w:val="single" w:sz="8" w:space="0" w:color="auto"/>
            </w:tcBorders>
            <w:vAlign w:val="center"/>
            <w:hideMark/>
          </w:tcPr>
          <w:p w:rsidR="00613F67" w:rsidRDefault="00613F67" w:rsidP="00CB7BB4">
            <w:pPr>
              <w:spacing w:line="360" w:lineRule="exact"/>
              <w:ind w:rightChars="33" w:right="112"/>
              <w:jc w:val="right"/>
              <w:rPr>
                <w:rFonts w:ascii="Times New Roman" w:eastAsia="新細明體"/>
                <w:color w:val="000000"/>
                <w:sz w:val="26"/>
                <w:szCs w:val="26"/>
              </w:rPr>
            </w:pPr>
            <w:r>
              <w:rPr>
                <w:rFonts w:ascii="Times New Roman" w:eastAsia="新細明體"/>
                <w:color w:val="000000"/>
                <w:sz w:val="26"/>
                <w:szCs w:val="26"/>
              </w:rPr>
              <w:t>31.99</w:t>
            </w:r>
          </w:p>
        </w:tc>
      </w:tr>
    </w:tbl>
    <w:p w:rsidR="0040606A" w:rsidRDefault="0040606A" w:rsidP="0040606A">
      <w:pPr>
        <w:pStyle w:val="3"/>
        <w:numPr>
          <w:ilvl w:val="0"/>
          <w:numId w:val="0"/>
        </w:numPr>
        <w:topLinePunct/>
        <w:spacing w:afterLines="25" w:after="114" w:line="300" w:lineRule="exact"/>
        <w:ind w:firstLineChars="423" w:firstLine="1050"/>
        <w:rPr>
          <w:rFonts w:ascii="Times New Roman" w:hAnsi="Times New Roman"/>
          <w:b/>
        </w:rPr>
      </w:pPr>
      <w:bookmarkStart w:id="1433" w:name="_Toc507518612"/>
      <w:bookmarkStart w:id="1434" w:name="_Toc507491607"/>
      <w:bookmarkStart w:id="1435" w:name="_Toc507484783"/>
      <w:bookmarkStart w:id="1436" w:name="_Toc507403578"/>
      <w:bookmarkStart w:id="1437" w:name="_Toc507359642"/>
      <w:bookmarkStart w:id="1438" w:name="_Toc507168675"/>
      <w:bookmarkStart w:id="1439" w:name="_Toc507163473"/>
      <w:bookmarkStart w:id="1440" w:name="_Toc507163221"/>
      <w:bookmarkStart w:id="1441" w:name="_Toc507767693"/>
      <w:bookmarkStart w:id="1442" w:name="_Toc507768419"/>
      <w:bookmarkStart w:id="1443" w:name="_Toc511115409"/>
      <w:bookmarkStart w:id="1444" w:name="_Toc511308199"/>
      <w:bookmarkStart w:id="1445" w:name="_Toc511998641"/>
      <w:bookmarkStart w:id="1446" w:name="_Toc512420998"/>
      <w:r>
        <w:rPr>
          <w:rFonts w:ascii="Times New Roman" w:hAnsi="Times New Roman" w:hint="eastAsia"/>
          <w:spacing w:val="-6"/>
          <w:sz w:val="24"/>
          <w:szCs w:val="24"/>
        </w:rPr>
        <w:t>資料來源：財政部、審計部；本院整理製表。</w:t>
      </w:r>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p>
    <w:p w:rsidR="0040606A" w:rsidRDefault="0040606A" w:rsidP="0040606A">
      <w:pPr>
        <w:widowControl/>
        <w:overflowPunct/>
        <w:autoSpaceDE/>
        <w:autoSpaceDN/>
        <w:jc w:val="left"/>
        <w:rPr>
          <w:rFonts w:ascii="Times New Roman"/>
          <w:b/>
          <w:bCs/>
          <w:kern w:val="32"/>
          <w:szCs w:val="48"/>
        </w:rPr>
        <w:sectPr w:rsidR="0040606A" w:rsidSect="00F72BEA">
          <w:footerReference w:type="default" r:id="rId12"/>
          <w:pgSz w:w="11907" w:h="16840"/>
          <w:pgMar w:top="1701" w:right="1418" w:bottom="1418" w:left="1418" w:header="851" w:footer="851" w:gutter="227"/>
          <w:cols w:space="720"/>
          <w:docGrid w:type="linesAndChars" w:linePitch="457" w:charSpace="4127"/>
        </w:sectPr>
      </w:pPr>
    </w:p>
    <w:p w:rsidR="0040606A" w:rsidRDefault="0040606A" w:rsidP="0040606A">
      <w:pPr>
        <w:pStyle w:val="a1"/>
        <w:numPr>
          <w:ilvl w:val="0"/>
          <w:numId w:val="33"/>
        </w:numPr>
        <w:spacing w:before="0" w:after="0"/>
        <w:ind w:left="1862" w:rightChars="-157" w:right="-534" w:hanging="588"/>
        <w:jc w:val="left"/>
        <w:textAlignment w:val="auto"/>
        <w:rPr>
          <w:rFonts w:ascii="Times New Roman" w:hAnsi="Times New Roman"/>
          <w:b/>
        </w:rPr>
      </w:pPr>
      <w:r>
        <w:rPr>
          <w:rFonts w:ascii="Times New Roman"/>
          <w:b/>
          <w:spacing w:val="-4"/>
        </w:rPr>
        <w:t>100</w:t>
      </w:r>
      <w:r>
        <w:rPr>
          <w:rFonts w:ascii="Times New Roman" w:hint="eastAsia"/>
          <w:b/>
          <w:spacing w:val="-4"/>
        </w:rPr>
        <w:t>年至</w:t>
      </w:r>
      <w:r>
        <w:rPr>
          <w:rFonts w:ascii="Times New Roman"/>
          <w:b/>
          <w:spacing w:val="-4"/>
        </w:rPr>
        <w:t>105</w:t>
      </w:r>
      <w:r>
        <w:rPr>
          <w:rFonts w:ascii="Times New Roman" w:hint="eastAsia"/>
          <w:b/>
          <w:spacing w:val="-4"/>
        </w:rPr>
        <w:t>年</w:t>
      </w:r>
      <w:r>
        <w:rPr>
          <w:rFonts w:ascii="Times New Roman" w:hAnsi="Times New Roman" w:hint="eastAsia"/>
          <w:b/>
        </w:rPr>
        <w:t>各</w:t>
      </w:r>
      <w:r>
        <w:rPr>
          <w:rFonts w:ascii="Times New Roman" w:hAnsi="Times New Roman" w:hint="eastAsia"/>
          <w:b/>
          <w:spacing w:val="0"/>
        </w:rPr>
        <w:t>地方政府</w:t>
      </w:r>
      <w:r>
        <w:rPr>
          <w:rFonts w:ascii="Times New Roman" w:hAnsi="Times New Roman" w:hint="eastAsia"/>
          <w:b/>
        </w:rPr>
        <w:t>公益彩券盈餘分配款執行數占社會福利支出之</w:t>
      </w:r>
      <w:r>
        <w:rPr>
          <w:rFonts w:ascii="Times New Roman" w:hint="eastAsia"/>
          <w:b/>
        </w:rPr>
        <w:t>占比</w:t>
      </w:r>
    </w:p>
    <w:p w:rsidR="0040606A" w:rsidRDefault="0040606A" w:rsidP="0040606A">
      <w:pPr>
        <w:pStyle w:val="2"/>
        <w:numPr>
          <w:ilvl w:val="0"/>
          <w:numId w:val="0"/>
        </w:numPr>
        <w:kinsoku w:val="0"/>
        <w:ind w:left="1" w:firstLineChars="390" w:firstLine="1327"/>
        <w:rPr>
          <w:rFonts w:ascii="Times New Roman" w:hAnsi="Times New Roman"/>
          <w:sz w:val="24"/>
          <w:szCs w:val="24"/>
        </w:rPr>
      </w:pPr>
      <w:bookmarkStart w:id="1447" w:name="_Toc507767694"/>
      <w:bookmarkStart w:id="1448" w:name="_Toc507768420"/>
      <w:bookmarkStart w:id="1449" w:name="_Toc511115410"/>
      <w:bookmarkStart w:id="1450" w:name="_Toc511308200"/>
      <w:bookmarkStart w:id="1451" w:name="_Toc511998642"/>
      <w:bookmarkStart w:id="1452" w:name="_Toc512420999"/>
      <w:r>
        <w:rPr>
          <w:noProof/>
        </w:rPr>
        <w:drawing>
          <wp:anchor distT="0" distB="0" distL="114300" distR="114300" simplePos="0" relativeHeight="251659264" behindDoc="0" locked="0" layoutInCell="1" allowOverlap="1" wp14:anchorId="2AAD4D1D" wp14:editId="557425D4">
            <wp:simplePos x="0" y="0"/>
            <wp:positionH relativeFrom="margin">
              <wp:posOffset>-358140</wp:posOffset>
            </wp:positionH>
            <wp:positionV relativeFrom="margin">
              <wp:posOffset>-14605</wp:posOffset>
            </wp:positionV>
            <wp:extent cx="9686290" cy="4986655"/>
            <wp:effectExtent l="0" t="0" r="10160" b="23495"/>
            <wp:wrapSquare wrapText="bothSides"/>
            <wp:docPr id="6" name="圖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bookmarkStart w:id="1453" w:name="_Toc507518613"/>
      <w:bookmarkStart w:id="1454" w:name="_Toc507491608"/>
      <w:bookmarkStart w:id="1455" w:name="_Toc507484784"/>
      <w:bookmarkStart w:id="1456" w:name="_Toc507403579"/>
      <w:bookmarkStart w:id="1457" w:name="_Toc507359643"/>
      <w:bookmarkStart w:id="1458" w:name="_Toc507168676"/>
      <w:bookmarkStart w:id="1459" w:name="_Toc507163474"/>
      <w:bookmarkStart w:id="1460" w:name="_Toc507163222"/>
      <w:r>
        <w:rPr>
          <w:rFonts w:ascii="Times New Roman" w:hAnsi="Times New Roman"/>
          <w:b/>
        </w:rPr>
        <w:t xml:space="preserve"> </w:t>
      </w:r>
      <w:r>
        <w:rPr>
          <w:rFonts w:ascii="Times New Roman" w:hAnsi="Times New Roman" w:hint="eastAsia"/>
          <w:sz w:val="24"/>
          <w:szCs w:val="24"/>
        </w:rPr>
        <w:t>資料來源：審計部及財政部，本院整理製圖。</w:t>
      </w:r>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rsidR="0040606A" w:rsidRDefault="0040606A" w:rsidP="0040606A">
      <w:pPr>
        <w:widowControl/>
        <w:overflowPunct/>
        <w:autoSpaceDE/>
        <w:autoSpaceDN/>
        <w:jc w:val="left"/>
        <w:rPr>
          <w:rFonts w:ascii="Times New Roman"/>
          <w:b/>
          <w:bCs/>
          <w:kern w:val="32"/>
          <w:szCs w:val="48"/>
        </w:rPr>
        <w:sectPr w:rsidR="0040606A">
          <w:pgSz w:w="16840" w:h="11907" w:orient="landscape"/>
          <w:pgMar w:top="1418" w:right="1701" w:bottom="1418" w:left="1418" w:header="851" w:footer="851" w:gutter="227"/>
          <w:cols w:space="720"/>
          <w:docGrid w:type="linesAndChars" w:linePitch="457" w:charSpace="4127"/>
        </w:sectPr>
      </w:pPr>
    </w:p>
    <w:p w:rsidR="0040606A" w:rsidRDefault="0040606A" w:rsidP="0040606A">
      <w:pPr>
        <w:pStyle w:val="4"/>
        <w:numPr>
          <w:ilvl w:val="3"/>
          <w:numId w:val="9"/>
        </w:numPr>
        <w:topLinePunct/>
        <w:rPr>
          <w:rFonts w:ascii="Times New Roman" w:hAnsi="Times New Roman"/>
        </w:rPr>
      </w:pPr>
      <w:r>
        <w:rPr>
          <w:rFonts w:ascii="Times New Roman" w:hAnsi="Times New Roman" w:hint="eastAsia"/>
        </w:rPr>
        <w:t>再據財政部</w:t>
      </w:r>
      <w:r>
        <w:rPr>
          <w:rFonts w:ascii="Times New Roman" w:hAnsi="Times New Roman"/>
        </w:rPr>
        <w:t>101</w:t>
      </w:r>
      <w:r>
        <w:rPr>
          <w:rFonts w:ascii="Times New Roman" w:hAnsi="Times New Roman" w:hint="eastAsia"/>
        </w:rPr>
        <w:t>年「公益彩券盈餘運用監督機制及績效評估之檢討與改進委託研究報告」指出：雖無充分相關實證資料直接佐證地方政府以公彩預算替代公務預算，但地方政府在「預算編列的態度」上，確實以「能用公彩預算支應者優先使用公彩盈餘獲配數」的觀念編列預算，此作法將產生福利排擠效應；且</w:t>
      </w:r>
      <w:r w:rsidR="00613F67">
        <w:rPr>
          <w:rFonts w:ascii="Times New Roman" w:hAnsi="Times New Roman" w:hint="eastAsia"/>
        </w:rPr>
        <w:t>該</w:t>
      </w:r>
      <w:r>
        <w:rPr>
          <w:rFonts w:ascii="Times New Roman" w:hAnsi="Times New Roman" w:hint="eastAsia"/>
        </w:rPr>
        <w:t>研究發現只要規範鬆動，即會強化地方政府以「公益彩券」替代「公務預算」的既有作為等語。</w:t>
      </w:r>
    </w:p>
    <w:p w:rsidR="0040606A" w:rsidRPr="006E6F2A" w:rsidRDefault="0040606A" w:rsidP="006E6F2A">
      <w:pPr>
        <w:pStyle w:val="4"/>
        <w:numPr>
          <w:ilvl w:val="3"/>
          <w:numId w:val="9"/>
        </w:numPr>
        <w:topLinePunct/>
        <w:rPr>
          <w:rFonts w:ascii="Times New Roman" w:hAnsi="Times New Roman"/>
          <w:spacing w:val="-2"/>
        </w:rPr>
      </w:pPr>
      <w:r w:rsidRPr="006E6F2A">
        <w:rPr>
          <w:rFonts w:ascii="Times New Roman" w:hAnsi="Times New Roman" w:hint="eastAsia"/>
          <w:bCs/>
          <w:spacing w:val="-2"/>
        </w:rPr>
        <w:t>各地方政府對於獲配公益彩券盈餘之收支、管理及運用情形，財政部及</w:t>
      </w:r>
      <w:r w:rsidRPr="006E6F2A">
        <w:rPr>
          <w:rFonts w:ascii="Times New Roman" w:hAnsi="Times New Roman" w:hint="eastAsia"/>
          <w:spacing w:val="-2"/>
        </w:rPr>
        <w:t>衛福</w:t>
      </w:r>
      <w:r w:rsidRPr="006E6F2A">
        <w:rPr>
          <w:rFonts w:ascii="Times New Roman" w:hAnsi="Times New Roman" w:hint="eastAsia"/>
          <w:bCs/>
          <w:spacing w:val="-2"/>
        </w:rPr>
        <w:t>部主</w:t>
      </w:r>
      <w:r w:rsidRPr="006E6F2A">
        <w:rPr>
          <w:rFonts w:hAnsi="標楷體" w:hint="eastAsia"/>
          <w:color w:val="000000"/>
          <w:spacing w:val="-2"/>
        </w:rPr>
        <w:t>要係透過</w:t>
      </w:r>
      <w:r w:rsidRPr="006E6F2A">
        <w:rPr>
          <w:rFonts w:ascii="Times New Roman" w:hAnsi="Times New Roman" w:hint="eastAsia"/>
          <w:color w:val="000000"/>
          <w:spacing w:val="-2"/>
        </w:rPr>
        <w:t>「中央對直轄市、縣</w:t>
      </w:r>
      <w:r w:rsidRPr="006E6F2A">
        <w:rPr>
          <w:rFonts w:ascii="Times New Roman" w:hAnsi="Times New Roman"/>
          <w:color w:val="000000"/>
          <w:spacing w:val="-2"/>
        </w:rPr>
        <w:t>(</w:t>
      </w:r>
      <w:r w:rsidRPr="006E6F2A">
        <w:rPr>
          <w:rFonts w:ascii="Times New Roman" w:hAnsi="Times New Roman" w:hint="eastAsia"/>
          <w:color w:val="000000"/>
          <w:spacing w:val="-2"/>
        </w:rPr>
        <w:t>市</w:t>
      </w:r>
      <w:r w:rsidRPr="006E6F2A">
        <w:rPr>
          <w:rFonts w:ascii="Times New Roman" w:hAnsi="Times New Roman"/>
          <w:color w:val="000000"/>
          <w:spacing w:val="-2"/>
        </w:rPr>
        <w:t>)</w:t>
      </w:r>
      <w:r w:rsidRPr="006E6F2A">
        <w:rPr>
          <w:rFonts w:ascii="Times New Roman" w:hAnsi="Times New Roman" w:hint="eastAsia"/>
          <w:color w:val="000000"/>
          <w:spacing w:val="-2"/>
        </w:rPr>
        <w:t>政府執行社會福利績效考核」進行監督考核，</w:t>
      </w:r>
      <w:r w:rsidRPr="006E6F2A">
        <w:rPr>
          <w:rFonts w:ascii="Times New Roman" w:hAnsi="Times New Roman" w:hint="eastAsia"/>
          <w:spacing w:val="-2"/>
        </w:rPr>
        <w:t>每</w:t>
      </w:r>
      <w:r w:rsidRPr="006E6F2A">
        <w:rPr>
          <w:rFonts w:ascii="Times New Roman" w:hAnsi="Times New Roman"/>
          <w:spacing w:val="-2"/>
        </w:rPr>
        <w:t>2</w:t>
      </w:r>
      <w:r w:rsidRPr="006E6F2A">
        <w:rPr>
          <w:rFonts w:ascii="Times New Roman" w:hAnsi="Times New Roman" w:hint="eastAsia"/>
          <w:spacing w:val="-2"/>
        </w:rPr>
        <w:t>年採行實地考核，未辦理實地考核之年度，則採行書面考核</w:t>
      </w:r>
      <w:r w:rsidRPr="006E6F2A">
        <w:rPr>
          <w:rFonts w:ascii="Times New Roman" w:hAnsi="Times New Roman" w:hint="eastAsia"/>
          <w:color w:val="000000"/>
          <w:spacing w:val="-2"/>
        </w:rPr>
        <w:t>，其中針對各地方政府運用情形之考核指標包括：</w:t>
      </w:r>
      <w:r w:rsidRPr="006E6F2A">
        <w:rPr>
          <w:rFonts w:ascii="Times New Roman" w:hAnsi="Times New Roman"/>
          <w:color w:val="000000"/>
          <w:spacing w:val="-2"/>
        </w:rPr>
        <w:t>(1)</w:t>
      </w:r>
      <w:r w:rsidRPr="006E6F2A">
        <w:rPr>
          <w:rFonts w:ascii="Times New Roman" w:hAnsi="Times New Roman" w:hint="eastAsia"/>
          <w:color w:val="000000"/>
          <w:spacing w:val="-2"/>
        </w:rPr>
        <w:t>預算編列是否有充抵「公益彩券盈餘運用考核及追回款項保管及運用辦法」第</w:t>
      </w:r>
      <w:r w:rsidRPr="006E6F2A">
        <w:rPr>
          <w:rFonts w:ascii="Times New Roman" w:hAnsi="Times New Roman"/>
          <w:color w:val="000000"/>
          <w:spacing w:val="-2"/>
        </w:rPr>
        <w:t>5</w:t>
      </w:r>
      <w:r w:rsidRPr="006E6F2A">
        <w:rPr>
          <w:rFonts w:ascii="Times New Roman" w:hAnsi="Times New Roman" w:hint="eastAsia"/>
          <w:color w:val="000000"/>
          <w:spacing w:val="-2"/>
        </w:rPr>
        <w:t>條及第</w:t>
      </w:r>
      <w:r w:rsidRPr="006E6F2A">
        <w:rPr>
          <w:rFonts w:ascii="Times New Roman" w:hAnsi="Times New Roman"/>
          <w:color w:val="000000"/>
          <w:spacing w:val="-2"/>
        </w:rPr>
        <w:t>11</w:t>
      </w:r>
      <w:r w:rsidRPr="006E6F2A">
        <w:rPr>
          <w:rFonts w:ascii="Times New Roman" w:hAnsi="Times New Roman" w:hint="eastAsia"/>
          <w:color w:val="000000"/>
          <w:spacing w:val="-2"/>
        </w:rPr>
        <w:t>條第</w:t>
      </w:r>
      <w:r w:rsidRPr="006E6F2A">
        <w:rPr>
          <w:rFonts w:ascii="Times New Roman" w:hAnsi="Times New Roman"/>
          <w:color w:val="000000"/>
          <w:spacing w:val="-2"/>
        </w:rPr>
        <w:t>6</w:t>
      </w:r>
      <w:r w:rsidRPr="006E6F2A">
        <w:rPr>
          <w:rFonts w:ascii="Times New Roman" w:hAnsi="Times New Roman" w:hint="eastAsia"/>
          <w:color w:val="000000"/>
          <w:spacing w:val="-2"/>
        </w:rPr>
        <w:t>款經主辦機關決議項目經費；</w:t>
      </w:r>
      <w:r w:rsidRPr="006E6F2A">
        <w:rPr>
          <w:rFonts w:ascii="Times New Roman" w:hAnsi="Times New Roman"/>
          <w:color w:val="000000"/>
          <w:spacing w:val="-2"/>
        </w:rPr>
        <w:t>(2)</w:t>
      </w:r>
      <w:r w:rsidRPr="006E6F2A">
        <w:rPr>
          <w:rFonts w:ascii="Times New Roman" w:hAnsi="Times New Roman" w:hint="eastAsia"/>
          <w:color w:val="000000"/>
          <w:spacing w:val="-2"/>
        </w:rPr>
        <w:t>年度</w:t>
      </w:r>
      <w:r w:rsidRPr="006E6F2A">
        <w:rPr>
          <w:rFonts w:ascii="Times New Roman" w:hAnsi="Times New Roman" w:hint="eastAsia"/>
          <w:spacing w:val="-2"/>
          <w:szCs w:val="24"/>
        </w:rPr>
        <w:t>預算執行率；</w:t>
      </w:r>
      <w:r w:rsidRPr="006E6F2A">
        <w:rPr>
          <w:rFonts w:ascii="Times New Roman" w:hAnsi="Times New Roman"/>
          <w:spacing w:val="-2"/>
          <w:szCs w:val="24"/>
        </w:rPr>
        <w:t>(3)</w:t>
      </w:r>
      <w:r w:rsidRPr="006E6F2A">
        <w:rPr>
          <w:rFonts w:ascii="Times New Roman" w:hAnsi="Times New Roman" w:hint="eastAsia"/>
          <w:spacing w:val="-2"/>
        </w:rPr>
        <w:t>辦理中央社會福利法規所定得辦事項；</w:t>
      </w:r>
      <w:r w:rsidRPr="006E6F2A">
        <w:rPr>
          <w:rFonts w:ascii="Times New Roman" w:hAnsi="Times New Roman"/>
          <w:spacing w:val="-2"/>
        </w:rPr>
        <w:t>(4)</w:t>
      </w:r>
      <w:r w:rsidRPr="006E6F2A">
        <w:rPr>
          <w:rFonts w:ascii="Times New Roman" w:hAnsi="Times New Roman" w:hint="eastAsia"/>
          <w:spacing w:val="-2"/>
          <w:szCs w:val="24"/>
        </w:rPr>
        <w:t>形象宣導辦理情形；</w:t>
      </w:r>
      <w:r w:rsidRPr="006E6F2A">
        <w:rPr>
          <w:rFonts w:ascii="Times New Roman" w:hAnsi="Times New Roman"/>
          <w:spacing w:val="-2"/>
          <w:szCs w:val="24"/>
        </w:rPr>
        <w:t>(5)</w:t>
      </w:r>
      <w:r w:rsidRPr="006E6F2A">
        <w:rPr>
          <w:rFonts w:ascii="Times New Roman" w:hAnsi="Times New Roman" w:hint="eastAsia"/>
          <w:spacing w:val="-2"/>
          <w:szCs w:val="24"/>
        </w:rPr>
        <w:t>預決算是否符合政事別社會福利支出歸類原則與範圍等；</w:t>
      </w:r>
      <w:r w:rsidRPr="006E6F2A">
        <w:rPr>
          <w:rFonts w:ascii="Times New Roman" w:hAnsi="Times New Roman"/>
          <w:spacing w:val="-2"/>
          <w:szCs w:val="24"/>
        </w:rPr>
        <w:t>(6)</w:t>
      </w:r>
      <w:r w:rsidRPr="006E6F2A">
        <w:rPr>
          <w:rFonts w:hAnsi="新細明體" w:hint="eastAsia"/>
          <w:spacing w:val="-2"/>
          <w:szCs w:val="24"/>
        </w:rPr>
        <w:t>支用非法定現金給付項目經費等。惟考核時間有限，加以前述考核指標多僅能看出地方政府對於公益彩券盈餘分配款之運用是否符合法令規範的形式要件，至於實質上有否以公益彩券盈餘逐漸替代公務預算之情事，仍乏具體相關評核機制。本院諮詢之專家學者亦表示：</w:t>
      </w:r>
      <w:r w:rsidRPr="006E6F2A">
        <w:rPr>
          <w:rFonts w:ascii="Times New Roman" w:hAnsi="Times New Roman" w:hint="eastAsia"/>
          <w:spacing w:val="-2"/>
        </w:rPr>
        <w:t>公益彩券</w:t>
      </w:r>
      <w:r w:rsidR="006E6F2A" w:rsidRPr="006E6F2A">
        <w:rPr>
          <w:rFonts w:ascii="Times New Roman" w:hAnsi="Times New Roman" w:hint="eastAsia"/>
          <w:spacing w:val="-2"/>
        </w:rPr>
        <w:t>盈餘</w:t>
      </w:r>
      <w:r w:rsidRPr="006E6F2A">
        <w:rPr>
          <w:rFonts w:ascii="Times New Roman" w:hAnsi="Times New Roman" w:hint="eastAsia"/>
          <w:spacing w:val="-2"/>
        </w:rPr>
        <w:t>僅係整體社會福利支出之一環，但在經濟衰退、政府預算有限時，社會福利預算易遭核刪，特別是部分地方政府財政拮据、財政自主性不佳，可能導致地方政府例行性政事支出當中，社會福利支出之比重無法繼續維持或成長等語。</w:t>
      </w:r>
    </w:p>
    <w:p w:rsidR="0040606A" w:rsidRDefault="0040606A" w:rsidP="006E6F2A">
      <w:pPr>
        <w:pStyle w:val="4"/>
        <w:numPr>
          <w:ilvl w:val="3"/>
          <w:numId w:val="9"/>
        </w:numPr>
        <w:kinsoku w:val="0"/>
        <w:rPr>
          <w:rFonts w:ascii="Times New Roman" w:hAnsi="Times New Roman"/>
        </w:rPr>
      </w:pPr>
      <w:r>
        <w:rPr>
          <w:rFonts w:ascii="Times New Roman" w:hAnsi="Times New Roman" w:hint="eastAsia"/>
        </w:rPr>
        <w:t>另據本院其他</w:t>
      </w:r>
      <w:r w:rsidR="006E6F2A">
        <w:rPr>
          <w:rFonts w:ascii="Times New Roman" w:hAnsi="Times New Roman" w:hint="eastAsia"/>
        </w:rPr>
        <w:t>案件</w:t>
      </w:r>
      <w:r>
        <w:rPr>
          <w:rFonts w:ascii="Times New Roman" w:hAnsi="Times New Roman" w:hint="eastAsia"/>
        </w:rPr>
        <w:t>調查結果</w:t>
      </w:r>
      <w:r>
        <w:rPr>
          <w:rStyle w:val="aff1"/>
          <w:rFonts w:ascii="Times New Roman" w:hAnsi="Times New Roman"/>
        </w:rPr>
        <w:footnoteReference w:id="14"/>
      </w:r>
      <w:r>
        <w:rPr>
          <w:rFonts w:ascii="Times New Roman" w:hAnsi="Times New Roman" w:hint="eastAsia"/>
        </w:rPr>
        <w:t>顯示，各地方政府依法</w:t>
      </w:r>
      <w:r w:rsidR="006E6F2A">
        <w:rPr>
          <w:rFonts w:ascii="Times New Roman" w:hAnsi="Times New Roman" w:hint="eastAsia"/>
        </w:rPr>
        <w:t>應</w:t>
      </w:r>
      <w:r>
        <w:rPr>
          <w:rFonts w:ascii="Times New Roman" w:hAnsi="Times New Roman" w:hint="eastAsia"/>
        </w:rPr>
        <w:t>按年從寬編列公務預算，以挹注足夠之資源推動身心障礙者就業促進相關服務，惟</w:t>
      </w:r>
      <w:r>
        <w:rPr>
          <w:rFonts w:ascii="Times New Roman" w:hAnsi="Times New Roman"/>
        </w:rPr>
        <w:t>101</w:t>
      </w:r>
      <w:r>
        <w:rPr>
          <w:rFonts w:ascii="Times New Roman" w:hAnsi="Times New Roman" w:hint="eastAsia"/>
        </w:rPr>
        <w:t>年至</w:t>
      </w:r>
      <w:r>
        <w:rPr>
          <w:rFonts w:ascii="Times New Roman" w:hAnsi="Times New Roman"/>
        </w:rPr>
        <w:t>104</w:t>
      </w:r>
      <w:r>
        <w:rPr>
          <w:rFonts w:ascii="Times New Roman" w:hAnsi="Times New Roman" w:hint="eastAsia"/>
        </w:rPr>
        <w:t>年卻有</w:t>
      </w:r>
      <w:r>
        <w:rPr>
          <w:rFonts w:ascii="Times New Roman" w:hAnsi="Times New Roman"/>
        </w:rPr>
        <w:t>10</w:t>
      </w:r>
      <w:r>
        <w:rPr>
          <w:rFonts w:ascii="Times New Roman" w:hAnsi="Times New Roman" w:hint="eastAsia"/>
        </w:rPr>
        <w:t>個地方政府未依法編列公務預算；即使有編列者，金額仍屬偏低，亦有逐年減少之情形；且</w:t>
      </w:r>
      <w:r>
        <w:rPr>
          <w:rFonts w:ascii="Times New Roman" w:hAnsi="Times New Roman"/>
        </w:rPr>
        <w:t>101</w:t>
      </w:r>
      <w:r>
        <w:rPr>
          <w:rFonts w:ascii="Times New Roman" w:hAnsi="Times New Roman" w:hint="eastAsia"/>
        </w:rPr>
        <w:t>年至</w:t>
      </w:r>
      <w:r>
        <w:rPr>
          <w:rFonts w:ascii="Times New Roman" w:hAnsi="Times New Roman"/>
        </w:rPr>
        <w:t>104</w:t>
      </w:r>
      <w:r>
        <w:rPr>
          <w:rFonts w:ascii="Times New Roman" w:hAnsi="Times New Roman" w:hint="eastAsia"/>
        </w:rPr>
        <w:t>年地方政府以公務預算辦理身心障礙者就業促進業務之經費所占比率始終未超過</w:t>
      </w:r>
      <w:r>
        <w:rPr>
          <w:rFonts w:ascii="Times New Roman" w:hAnsi="Times New Roman"/>
        </w:rPr>
        <w:t>5</w:t>
      </w:r>
      <w:r>
        <w:rPr>
          <w:rFonts w:ascii="Times New Roman" w:hAnsi="Times New Roman" w:hint="eastAsia"/>
        </w:rPr>
        <w:t>％，而地方政府運用</w:t>
      </w:r>
      <w:r w:rsidR="006E6F2A">
        <w:rPr>
          <w:rFonts w:ascii="Times New Roman" w:hAnsi="Times New Roman" w:hint="eastAsia"/>
        </w:rPr>
        <w:t>公益</w:t>
      </w:r>
      <w:r>
        <w:rPr>
          <w:rFonts w:ascii="Times New Roman" w:hAnsi="Times New Roman" w:hint="eastAsia"/>
        </w:rPr>
        <w:t>彩券盈餘分配款之比率卻從</w:t>
      </w:r>
      <w:r>
        <w:rPr>
          <w:rFonts w:ascii="Times New Roman" w:hAnsi="Times New Roman"/>
        </w:rPr>
        <w:t>101</w:t>
      </w:r>
      <w:r>
        <w:rPr>
          <w:rFonts w:ascii="Times New Roman" w:hAnsi="Times New Roman" w:hint="eastAsia"/>
        </w:rPr>
        <w:t>年</w:t>
      </w:r>
      <w:r>
        <w:rPr>
          <w:rFonts w:ascii="Times New Roman" w:hAnsi="Times New Roman"/>
        </w:rPr>
        <w:t>2.3</w:t>
      </w:r>
      <w:r>
        <w:rPr>
          <w:rFonts w:ascii="Times New Roman" w:hAnsi="Times New Roman" w:hint="eastAsia"/>
        </w:rPr>
        <w:t>％，增加至</w:t>
      </w:r>
      <w:r>
        <w:rPr>
          <w:rFonts w:ascii="Times New Roman" w:hAnsi="Times New Roman"/>
        </w:rPr>
        <w:t>103</w:t>
      </w:r>
      <w:r>
        <w:rPr>
          <w:rFonts w:ascii="Times New Roman" w:hAnsi="Times New Roman" w:hint="eastAsia"/>
        </w:rPr>
        <w:t>年之</w:t>
      </w:r>
      <w:r>
        <w:rPr>
          <w:rFonts w:ascii="Times New Roman" w:hAnsi="Times New Roman"/>
        </w:rPr>
        <w:t>12.71</w:t>
      </w:r>
      <w:r>
        <w:rPr>
          <w:rFonts w:ascii="Times New Roman" w:hAnsi="Times New Roman" w:hint="eastAsia"/>
        </w:rPr>
        <w:t>％，</w:t>
      </w:r>
      <w:r>
        <w:rPr>
          <w:rFonts w:ascii="Times New Roman" w:hAnsi="Times New Roman"/>
        </w:rPr>
        <w:t>104</w:t>
      </w:r>
      <w:r>
        <w:rPr>
          <w:rFonts w:ascii="Times New Roman" w:hAnsi="Times New Roman" w:hint="eastAsia"/>
        </w:rPr>
        <w:t>年則降為</w:t>
      </w:r>
      <w:r>
        <w:rPr>
          <w:rFonts w:ascii="Times New Roman" w:hAnsi="Times New Roman"/>
        </w:rPr>
        <w:t>2.88</w:t>
      </w:r>
      <w:r>
        <w:rPr>
          <w:rFonts w:ascii="Times New Roman" w:hAnsi="Times New Roman" w:hint="eastAsia"/>
        </w:rPr>
        <w:t>％。再據本院諮詢之專家學者表示：某地方政府以公益彩券盈餘分配款編列許多弱勢族群就業相關，惟該地方政府身心障礙</w:t>
      </w:r>
      <w:r w:rsidR="006E6F2A">
        <w:rPr>
          <w:rFonts w:ascii="Times New Roman" w:hAnsi="Times New Roman" w:hint="eastAsia"/>
        </w:rPr>
        <w:t>者</w:t>
      </w:r>
      <w:r>
        <w:rPr>
          <w:rFonts w:ascii="Times New Roman" w:hAnsi="Times New Roman" w:hint="eastAsia"/>
        </w:rPr>
        <w:t>就業基金尚有</w:t>
      </w:r>
      <w:r>
        <w:rPr>
          <w:rFonts w:ascii="Times New Roman" w:hAnsi="Times New Roman"/>
        </w:rPr>
        <w:t>1</w:t>
      </w:r>
      <w:r>
        <w:rPr>
          <w:rFonts w:ascii="Times New Roman" w:hAnsi="Times New Roman" w:hint="eastAsia"/>
        </w:rPr>
        <w:t>億餘元之餘額，在當前「</w:t>
      </w:r>
      <w:r w:rsidR="006E6F2A">
        <w:rPr>
          <w:rFonts w:ascii="Times New Roman" w:hAnsi="Times New Roman" w:hint="eastAsia"/>
        </w:rPr>
        <w:t>身心障礙者就業基金</w:t>
      </w:r>
      <w:r>
        <w:rPr>
          <w:rFonts w:ascii="Times New Roman" w:hAnsi="Times New Roman" w:hint="eastAsia"/>
        </w:rPr>
        <w:t>」仍有餘額之情形下，卻已</w:t>
      </w:r>
      <w:r w:rsidR="006E6F2A">
        <w:rPr>
          <w:rFonts w:ascii="Times New Roman" w:hAnsi="Times New Roman" w:hint="eastAsia"/>
        </w:rPr>
        <w:t>仰賴</w:t>
      </w:r>
      <w:r>
        <w:rPr>
          <w:rFonts w:ascii="Times New Roman" w:hAnsi="Times New Roman" w:hint="eastAsia"/>
        </w:rPr>
        <w:t>運用公益彩券盈餘分配款等語。</w:t>
      </w:r>
    </w:p>
    <w:p w:rsidR="0040606A" w:rsidRPr="00C121DF" w:rsidRDefault="0040606A" w:rsidP="0040606A">
      <w:pPr>
        <w:pStyle w:val="3"/>
        <w:numPr>
          <w:ilvl w:val="2"/>
          <w:numId w:val="9"/>
        </w:numPr>
        <w:kinsoku w:val="0"/>
        <w:ind w:left="1360" w:hanging="680"/>
        <w:rPr>
          <w:rFonts w:ascii="Times New Roman" w:hAnsi="Times New Roman"/>
          <w:color w:val="000000" w:themeColor="text1"/>
        </w:rPr>
      </w:pPr>
      <w:bookmarkStart w:id="1461" w:name="_Toc508899443"/>
      <w:bookmarkStart w:id="1462" w:name="_Toc511115411"/>
      <w:bookmarkStart w:id="1463" w:name="_Toc511308201"/>
      <w:bookmarkStart w:id="1464" w:name="_Toc511998643"/>
      <w:bookmarkStart w:id="1465" w:name="_Toc512421000"/>
      <w:bookmarkStart w:id="1466" w:name="_Toc507518614"/>
      <w:bookmarkStart w:id="1467" w:name="_Toc507491609"/>
      <w:bookmarkStart w:id="1468" w:name="_Toc507484785"/>
      <w:bookmarkStart w:id="1469" w:name="_Toc507403580"/>
      <w:bookmarkStart w:id="1470" w:name="_Toc507359644"/>
      <w:bookmarkStart w:id="1471" w:name="_Toc507767695"/>
      <w:bookmarkStart w:id="1472" w:name="_Toc507768421"/>
      <w:r w:rsidRPr="00C121DF">
        <w:rPr>
          <w:rFonts w:ascii="Times New Roman" w:hAnsi="Times New Roman" w:hint="eastAsia"/>
          <w:color w:val="000000" w:themeColor="text1"/>
        </w:rPr>
        <w:t>再據財政部統計資料顯示，整體而言，</w:t>
      </w:r>
      <w:r w:rsidRPr="00C121DF">
        <w:rPr>
          <w:rFonts w:ascii="Times New Roman" w:hAnsi="Times New Roman" w:hint="eastAsia"/>
          <w:color w:val="000000" w:themeColor="text1"/>
        </w:rPr>
        <w:t>101</w:t>
      </w:r>
      <w:r w:rsidRPr="00C121DF">
        <w:rPr>
          <w:rFonts w:ascii="Times New Roman" w:hAnsi="Times New Roman" w:hint="eastAsia"/>
          <w:color w:val="000000" w:themeColor="text1"/>
        </w:rPr>
        <w:t>年</w:t>
      </w:r>
      <w:r w:rsidRPr="00C121DF">
        <w:rPr>
          <w:rFonts w:ascii="Times New Roman" w:hAnsi="Times New Roman"/>
          <w:color w:val="000000" w:themeColor="text1"/>
        </w:rPr>
        <w:t>至</w:t>
      </w:r>
      <w:r w:rsidRPr="00C121DF">
        <w:rPr>
          <w:rFonts w:ascii="Times New Roman" w:hAnsi="Times New Roman" w:hint="eastAsia"/>
          <w:color w:val="000000" w:themeColor="text1"/>
        </w:rPr>
        <w:t>105</w:t>
      </w:r>
      <w:r w:rsidRPr="00C121DF">
        <w:rPr>
          <w:rFonts w:ascii="Times New Roman" w:hAnsi="Times New Roman"/>
          <w:color w:val="000000" w:themeColor="text1"/>
        </w:rPr>
        <w:t>年地方政府公益彩券盈餘分配款運用於身心障礙者福利項目之比率</w:t>
      </w:r>
      <w:r w:rsidRPr="00C121DF">
        <w:rPr>
          <w:rFonts w:ascii="Times New Roman" w:hAnsi="Times New Roman" w:hint="eastAsia"/>
          <w:color w:val="000000" w:themeColor="text1"/>
        </w:rPr>
        <w:t>皆為</w:t>
      </w:r>
      <w:r w:rsidRPr="00C121DF">
        <w:rPr>
          <w:rFonts w:ascii="Times New Roman" w:hAnsi="Times New Roman"/>
          <w:color w:val="000000" w:themeColor="text1"/>
        </w:rPr>
        <w:t>最高，在</w:t>
      </w:r>
      <w:r w:rsidRPr="00C121DF">
        <w:rPr>
          <w:rFonts w:ascii="Times New Roman" w:hAnsi="Times New Roman"/>
          <w:color w:val="000000" w:themeColor="text1"/>
        </w:rPr>
        <w:t>3</w:t>
      </w:r>
      <w:r w:rsidRPr="00C121DF">
        <w:rPr>
          <w:rFonts w:ascii="Times New Roman" w:hAnsi="Times New Roman"/>
          <w:color w:val="000000" w:themeColor="text1"/>
        </w:rPr>
        <w:t>成至</w:t>
      </w:r>
      <w:r w:rsidRPr="00C121DF">
        <w:rPr>
          <w:rFonts w:ascii="Times New Roman" w:hAnsi="Times New Roman"/>
          <w:color w:val="000000" w:themeColor="text1"/>
        </w:rPr>
        <w:t>4</w:t>
      </w:r>
      <w:r w:rsidRPr="00C121DF">
        <w:rPr>
          <w:rFonts w:ascii="Times New Roman" w:hAnsi="Times New Roman"/>
          <w:color w:val="000000" w:themeColor="text1"/>
        </w:rPr>
        <w:t>成之間</w:t>
      </w:r>
      <w:r w:rsidRPr="00C121DF">
        <w:rPr>
          <w:rFonts w:ascii="Times New Roman" w:hAnsi="Times New Roman" w:hint="eastAsia"/>
          <w:color w:val="000000" w:themeColor="text1"/>
        </w:rPr>
        <w:t>；</w:t>
      </w:r>
      <w:r w:rsidRPr="00C121DF">
        <w:rPr>
          <w:rFonts w:ascii="Times New Roman" w:hAnsi="Times New Roman"/>
          <w:color w:val="000000" w:themeColor="text1"/>
        </w:rPr>
        <w:t>其次為老人福利項目，在</w:t>
      </w:r>
      <w:r w:rsidRPr="00C121DF">
        <w:rPr>
          <w:rFonts w:ascii="Times New Roman" w:hAnsi="Times New Roman"/>
          <w:color w:val="000000" w:themeColor="text1"/>
        </w:rPr>
        <w:t>17</w:t>
      </w:r>
      <w:r w:rsidRPr="00C121DF">
        <w:rPr>
          <w:rFonts w:ascii="Times New Roman" w:hAnsi="Times New Roman"/>
          <w:color w:val="000000" w:themeColor="text1"/>
        </w:rPr>
        <w:t>％至</w:t>
      </w:r>
      <w:r w:rsidRPr="00C121DF">
        <w:rPr>
          <w:rFonts w:ascii="Times New Roman" w:hAnsi="Times New Roman"/>
          <w:color w:val="000000" w:themeColor="text1"/>
        </w:rPr>
        <w:t>24</w:t>
      </w:r>
      <w:r w:rsidRPr="00C121DF">
        <w:rPr>
          <w:rFonts w:ascii="Times New Roman" w:hAnsi="Times New Roman"/>
          <w:color w:val="000000" w:themeColor="text1"/>
        </w:rPr>
        <w:t>％之間</w:t>
      </w:r>
      <w:r w:rsidRPr="00C121DF">
        <w:rPr>
          <w:rFonts w:ascii="Times New Roman" w:hAnsi="Times New Roman" w:hint="eastAsia"/>
          <w:color w:val="000000" w:themeColor="text1"/>
        </w:rPr>
        <w:t>；再其次為社會救助或兒少福利，各年互有增長；婦女福利項目為最低，均在</w:t>
      </w:r>
      <w:r w:rsidRPr="00C121DF">
        <w:rPr>
          <w:rFonts w:ascii="Times New Roman" w:hAnsi="Times New Roman" w:hint="eastAsia"/>
          <w:color w:val="000000" w:themeColor="text1"/>
        </w:rPr>
        <w:t>5</w:t>
      </w:r>
      <w:r w:rsidRPr="00C121DF">
        <w:rPr>
          <w:rFonts w:ascii="Times New Roman" w:hAnsi="Times New Roman"/>
          <w:color w:val="000000" w:themeColor="text1"/>
        </w:rPr>
        <w:t>％</w:t>
      </w:r>
      <w:r w:rsidRPr="00C121DF">
        <w:rPr>
          <w:rFonts w:ascii="Times New Roman" w:hAnsi="Times New Roman" w:hint="eastAsia"/>
          <w:color w:val="000000" w:themeColor="text1"/>
        </w:rPr>
        <w:t>以下</w:t>
      </w:r>
      <w:r w:rsidRPr="00C121DF">
        <w:rPr>
          <w:rFonts w:ascii="Times New Roman" w:hAnsi="Times New Roman" w:hint="eastAsia"/>
          <w:color w:val="000000" w:themeColor="text1"/>
        </w:rPr>
        <w:t>(</w:t>
      </w:r>
      <w:r w:rsidRPr="00C121DF">
        <w:rPr>
          <w:rFonts w:ascii="Times New Roman" w:hAnsi="Times New Roman" w:hint="eastAsia"/>
          <w:color w:val="000000" w:themeColor="text1"/>
        </w:rPr>
        <w:t>詳見下表</w:t>
      </w:r>
      <w:r w:rsidRPr="00C121DF">
        <w:rPr>
          <w:rFonts w:ascii="Times New Roman" w:hAnsi="Times New Roman" w:hint="eastAsia"/>
          <w:color w:val="000000" w:themeColor="text1"/>
        </w:rPr>
        <w:t>11</w:t>
      </w:r>
      <w:r w:rsidR="006E6F2A">
        <w:rPr>
          <w:rFonts w:ascii="Times New Roman" w:hAnsi="Times New Roman" w:hint="eastAsia"/>
          <w:color w:val="000000" w:themeColor="text1"/>
        </w:rPr>
        <w:t>及圖</w:t>
      </w:r>
      <w:r w:rsidR="00E665DC">
        <w:rPr>
          <w:rFonts w:ascii="Times New Roman" w:hAnsi="Times New Roman" w:hint="eastAsia"/>
          <w:color w:val="000000" w:themeColor="text1"/>
        </w:rPr>
        <w:t>5</w:t>
      </w:r>
      <w:r w:rsidRPr="00C121DF">
        <w:rPr>
          <w:rFonts w:ascii="Times New Roman" w:hAnsi="Times New Roman" w:hint="eastAsia"/>
          <w:color w:val="000000" w:themeColor="text1"/>
        </w:rPr>
        <w:t>)</w:t>
      </w:r>
      <w:r w:rsidRPr="00C121DF">
        <w:rPr>
          <w:rFonts w:ascii="Times New Roman" w:hAnsi="Times New Roman"/>
          <w:color w:val="000000" w:themeColor="text1"/>
        </w:rPr>
        <w:t>。隨著人口老化</w:t>
      </w:r>
      <w:r w:rsidRPr="00C121DF">
        <w:rPr>
          <w:rFonts w:ascii="Times New Roman" w:hAnsi="Times New Roman" w:hint="eastAsia"/>
          <w:color w:val="000000" w:themeColor="text1"/>
        </w:rPr>
        <w:t>快速</w:t>
      </w:r>
      <w:r w:rsidRPr="00C121DF">
        <w:rPr>
          <w:rFonts w:ascii="Times New Roman" w:hAnsi="Times New Roman"/>
          <w:color w:val="000000" w:themeColor="text1"/>
        </w:rPr>
        <w:t>及照顧服務需求多元化，行政院於</w:t>
      </w:r>
      <w:r w:rsidRPr="00C121DF">
        <w:rPr>
          <w:rFonts w:ascii="Times New Roman" w:hAnsi="Times New Roman"/>
          <w:color w:val="000000" w:themeColor="text1"/>
        </w:rPr>
        <w:t>105</w:t>
      </w:r>
      <w:r w:rsidRPr="00C121DF">
        <w:rPr>
          <w:rFonts w:ascii="Times New Roman" w:hAnsi="Times New Roman"/>
          <w:color w:val="000000" w:themeColor="text1"/>
        </w:rPr>
        <w:t>年</w:t>
      </w:r>
      <w:r w:rsidRPr="00C121DF">
        <w:rPr>
          <w:rFonts w:ascii="Times New Roman" w:hAnsi="Times New Roman"/>
          <w:color w:val="000000" w:themeColor="text1"/>
        </w:rPr>
        <w:t>12</w:t>
      </w:r>
      <w:r w:rsidRPr="00C121DF">
        <w:rPr>
          <w:rFonts w:ascii="Times New Roman" w:hAnsi="Times New Roman"/>
          <w:color w:val="000000" w:themeColor="text1"/>
        </w:rPr>
        <w:t>月核定長期照顧十年計畫</w:t>
      </w:r>
      <w:r w:rsidRPr="00C121DF">
        <w:rPr>
          <w:rFonts w:ascii="Times New Roman" w:hAnsi="Times New Roman"/>
          <w:color w:val="000000" w:themeColor="text1"/>
        </w:rPr>
        <w:t>2.0(</w:t>
      </w:r>
      <w:r w:rsidRPr="00C121DF">
        <w:rPr>
          <w:rFonts w:ascii="Times New Roman" w:hAnsi="Times New Roman"/>
          <w:color w:val="000000" w:themeColor="text1"/>
        </w:rPr>
        <w:t>即長照</w:t>
      </w:r>
      <w:r w:rsidRPr="00C121DF">
        <w:rPr>
          <w:rFonts w:ascii="Times New Roman" w:hAnsi="Times New Roman"/>
          <w:color w:val="000000" w:themeColor="text1"/>
        </w:rPr>
        <w:t>2.0)</w:t>
      </w:r>
      <w:r w:rsidRPr="00C121DF">
        <w:rPr>
          <w:rFonts w:ascii="Times New Roman" w:hAnsi="Times New Roman"/>
          <w:color w:val="000000" w:themeColor="text1"/>
        </w:rPr>
        <w:t>，並自</w:t>
      </w:r>
      <w:r w:rsidRPr="00C121DF">
        <w:rPr>
          <w:rFonts w:ascii="Times New Roman" w:hAnsi="Times New Roman"/>
          <w:color w:val="000000" w:themeColor="text1"/>
        </w:rPr>
        <w:t>106</w:t>
      </w:r>
      <w:r w:rsidRPr="00C121DF">
        <w:rPr>
          <w:rFonts w:ascii="Times New Roman" w:hAnsi="Times New Roman"/>
          <w:color w:val="000000" w:themeColor="text1"/>
        </w:rPr>
        <w:t>年</w:t>
      </w:r>
      <w:r w:rsidRPr="00C121DF">
        <w:rPr>
          <w:rFonts w:ascii="Times New Roman" w:hAnsi="Times New Roman"/>
          <w:color w:val="000000" w:themeColor="text1"/>
        </w:rPr>
        <w:t>1</w:t>
      </w:r>
      <w:r w:rsidRPr="00C121DF">
        <w:rPr>
          <w:rFonts w:ascii="Times New Roman" w:hAnsi="Times New Roman"/>
          <w:color w:val="000000" w:themeColor="text1"/>
        </w:rPr>
        <w:t>月起實施</w:t>
      </w:r>
      <w:r w:rsidRPr="00C121DF">
        <w:rPr>
          <w:rFonts w:ascii="Times New Roman" w:hAnsi="Times New Roman" w:hint="eastAsia"/>
          <w:color w:val="000000" w:themeColor="text1"/>
        </w:rPr>
        <w:t>，除</w:t>
      </w:r>
      <w:r w:rsidRPr="00C121DF">
        <w:rPr>
          <w:rFonts w:ascii="Times New Roman" w:hAnsi="Times New Roman"/>
          <w:color w:val="000000" w:themeColor="text1"/>
        </w:rPr>
        <w:t>擴大服務對象</w:t>
      </w:r>
      <w:r w:rsidRPr="00C121DF">
        <w:rPr>
          <w:rFonts w:ascii="Times New Roman" w:hAnsi="Times New Roman" w:hint="eastAsia"/>
          <w:color w:val="000000" w:themeColor="text1"/>
        </w:rPr>
        <w:t>外，並</w:t>
      </w:r>
      <w:r w:rsidRPr="00C121DF">
        <w:rPr>
          <w:rFonts w:ascii="Times New Roman" w:hAnsi="Times New Roman"/>
          <w:color w:val="000000" w:themeColor="text1"/>
        </w:rPr>
        <w:t>增加服務項目，</w:t>
      </w:r>
      <w:r w:rsidRPr="00C121DF">
        <w:rPr>
          <w:rFonts w:ascii="Times New Roman" w:hAnsi="Times New Roman" w:hint="eastAsia"/>
          <w:color w:val="000000" w:themeColor="text1"/>
        </w:rPr>
        <w:t>以</w:t>
      </w:r>
      <w:r w:rsidRPr="00C121DF">
        <w:rPr>
          <w:rFonts w:ascii="Times New Roman" w:hAnsi="Times New Roman"/>
          <w:color w:val="000000" w:themeColor="text1"/>
        </w:rPr>
        <w:t>回應高齡化社會</w:t>
      </w:r>
      <w:r w:rsidRPr="00C121DF">
        <w:rPr>
          <w:rFonts w:ascii="Times New Roman" w:hAnsi="Times New Roman" w:hint="eastAsia"/>
          <w:color w:val="000000" w:themeColor="text1"/>
        </w:rPr>
        <w:t>的</w:t>
      </w:r>
      <w:r w:rsidRPr="00C121DF">
        <w:rPr>
          <w:rFonts w:ascii="Times New Roman" w:hAnsi="Times New Roman"/>
          <w:color w:val="000000" w:themeColor="text1"/>
        </w:rPr>
        <w:t>長照問題。</w:t>
      </w:r>
      <w:r w:rsidRPr="00C121DF">
        <w:rPr>
          <w:rFonts w:ascii="Times New Roman" w:hAnsi="Times New Roman" w:hint="eastAsia"/>
          <w:color w:val="000000" w:themeColor="text1"/>
        </w:rPr>
        <w:t>按長照</w:t>
      </w:r>
      <w:r w:rsidRPr="00C121DF">
        <w:rPr>
          <w:rFonts w:ascii="Times New Roman" w:hAnsi="Times New Roman" w:hint="eastAsia"/>
          <w:color w:val="000000" w:themeColor="text1"/>
        </w:rPr>
        <w:t>2.0</w:t>
      </w:r>
      <w:r w:rsidRPr="00C121DF">
        <w:rPr>
          <w:rFonts w:ascii="Times New Roman" w:hAnsi="Times New Roman" w:hint="eastAsia"/>
          <w:color w:val="000000" w:themeColor="text1"/>
        </w:rPr>
        <w:t>相關所需經費係由中央及地方政府預算支應，衛福部為籌措財源，於</w:t>
      </w:r>
      <w:r w:rsidRPr="00C121DF">
        <w:rPr>
          <w:rFonts w:ascii="Times New Roman" w:hAnsi="Times New Roman" w:hint="eastAsia"/>
          <w:color w:val="000000" w:themeColor="text1"/>
        </w:rPr>
        <w:t>106</w:t>
      </w:r>
      <w:r w:rsidRPr="00C121DF">
        <w:rPr>
          <w:rFonts w:ascii="Times New Roman" w:hAnsi="Times New Roman" w:hint="eastAsia"/>
          <w:color w:val="000000" w:themeColor="text1"/>
        </w:rPr>
        <w:t>年依法設置長照服務發展基金，該基金之主要來源包括：遺產稅、贈與稅、菸稅、政府預算撥充、菸品健康福利捐等</w:t>
      </w:r>
      <w:r w:rsidRPr="00C121DF">
        <w:rPr>
          <w:rStyle w:val="aff1"/>
          <w:rFonts w:ascii="Times New Roman" w:hAnsi="Times New Roman"/>
          <w:color w:val="000000" w:themeColor="text1"/>
        </w:rPr>
        <w:footnoteReference w:id="15"/>
      </w:r>
      <w:r w:rsidRPr="00C121DF">
        <w:rPr>
          <w:rFonts w:ascii="Times New Roman" w:hAnsi="Times New Roman" w:hint="eastAsia"/>
          <w:color w:val="000000" w:themeColor="text1"/>
        </w:rPr>
        <w:t>，且配合長照</w:t>
      </w:r>
      <w:r w:rsidRPr="00C121DF">
        <w:rPr>
          <w:rFonts w:ascii="Times New Roman" w:hAnsi="Times New Roman" w:hint="eastAsia"/>
          <w:color w:val="000000" w:themeColor="text1"/>
        </w:rPr>
        <w:t>2.0</w:t>
      </w:r>
      <w:r w:rsidRPr="00C121DF">
        <w:rPr>
          <w:rFonts w:ascii="Times New Roman" w:hAnsi="Times New Roman" w:hint="eastAsia"/>
          <w:color w:val="000000" w:themeColor="text1"/>
        </w:rPr>
        <w:t>之推動，</w:t>
      </w:r>
      <w:r w:rsidRPr="00C121DF">
        <w:rPr>
          <w:rFonts w:ascii="Times New Roman" w:hAnsi="Times New Roman" w:hint="eastAsia"/>
          <w:color w:val="000000" w:themeColor="text1"/>
        </w:rPr>
        <w:t>106</w:t>
      </w:r>
      <w:r w:rsidRPr="00C121DF">
        <w:rPr>
          <w:rFonts w:ascii="Times New Roman" w:hAnsi="Times New Roman" w:hint="eastAsia"/>
          <w:color w:val="000000" w:themeColor="text1"/>
        </w:rPr>
        <w:t>年度</w:t>
      </w:r>
      <w:r w:rsidRPr="00C121DF">
        <w:rPr>
          <w:rFonts w:ascii="Times New Roman" w:hAnsi="Times New Roman"/>
          <w:color w:val="000000" w:themeColor="text1"/>
        </w:rPr>
        <w:t>預算</w:t>
      </w:r>
      <w:r w:rsidRPr="00C121DF">
        <w:rPr>
          <w:rFonts w:ascii="Times New Roman" w:hAnsi="Times New Roman" w:hint="eastAsia"/>
          <w:color w:val="000000" w:themeColor="text1"/>
        </w:rPr>
        <w:t>規模</w:t>
      </w:r>
      <w:r w:rsidRPr="00C121DF">
        <w:rPr>
          <w:rFonts w:ascii="Times New Roman" w:hAnsi="Times New Roman"/>
          <w:color w:val="000000" w:themeColor="text1"/>
        </w:rPr>
        <w:t>達</w:t>
      </w:r>
      <w:r w:rsidRPr="00C121DF">
        <w:rPr>
          <w:rFonts w:ascii="Times New Roman" w:hAnsi="Times New Roman"/>
          <w:color w:val="000000" w:themeColor="text1"/>
        </w:rPr>
        <w:t>162.26</w:t>
      </w:r>
      <w:r w:rsidRPr="00C121DF">
        <w:rPr>
          <w:rFonts w:ascii="Times New Roman" w:hAnsi="Times New Roman"/>
          <w:color w:val="000000" w:themeColor="text1"/>
        </w:rPr>
        <w:t>億元</w:t>
      </w:r>
      <w:r w:rsidRPr="00C121DF">
        <w:rPr>
          <w:rFonts w:ascii="Times New Roman" w:hAnsi="Times New Roman" w:hint="eastAsia"/>
          <w:color w:val="000000" w:themeColor="text1"/>
        </w:rPr>
        <w:t>(</w:t>
      </w:r>
      <w:r w:rsidRPr="00C121DF">
        <w:rPr>
          <w:rFonts w:ascii="Times New Roman" w:hAnsi="Times New Roman" w:hint="eastAsia"/>
          <w:color w:val="000000" w:themeColor="text1"/>
        </w:rPr>
        <w:t>相較於</w:t>
      </w:r>
      <w:r w:rsidRPr="00C121DF">
        <w:rPr>
          <w:rFonts w:ascii="Times New Roman" w:hAnsi="Times New Roman" w:hint="eastAsia"/>
          <w:color w:val="000000" w:themeColor="text1"/>
        </w:rPr>
        <w:t>105</w:t>
      </w:r>
      <w:r w:rsidRPr="00C121DF">
        <w:rPr>
          <w:rFonts w:ascii="Times New Roman" w:hAnsi="Times New Roman" w:hint="eastAsia"/>
          <w:color w:val="000000" w:themeColor="text1"/>
        </w:rPr>
        <w:t>年之</w:t>
      </w:r>
      <w:r w:rsidRPr="00C121DF">
        <w:rPr>
          <w:rFonts w:ascii="Times New Roman" w:hAnsi="Times New Roman" w:hint="eastAsia"/>
          <w:color w:val="000000" w:themeColor="text1"/>
        </w:rPr>
        <w:t>53.76</w:t>
      </w:r>
      <w:r w:rsidRPr="00C121DF">
        <w:rPr>
          <w:rFonts w:ascii="Times New Roman" w:hAnsi="Times New Roman" w:hint="eastAsia"/>
          <w:color w:val="000000" w:themeColor="text1"/>
        </w:rPr>
        <w:t>億元，增加</w:t>
      </w:r>
      <w:r w:rsidRPr="00C121DF">
        <w:rPr>
          <w:rFonts w:ascii="Times New Roman" w:hAnsi="Times New Roman" w:hint="eastAsia"/>
          <w:color w:val="000000" w:themeColor="text1"/>
        </w:rPr>
        <w:t>108.50</w:t>
      </w:r>
      <w:r w:rsidRPr="00C121DF">
        <w:rPr>
          <w:rFonts w:ascii="Times New Roman" w:hAnsi="Times New Roman" w:hint="eastAsia"/>
          <w:color w:val="000000" w:themeColor="text1"/>
        </w:rPr>
        <w:t>億元</w:t>
      </w:r>
      <w:r w:rsidRPr="00C121DF">
        <w:rPr>
          <w:rFonts w:ascii="Times New Roman" w:hAnsi="Times New Roman" w:hint="eastAsia"/>
          <w:color w:val="000000" w:themeColor="text1"/>
        </w:rPr>
        <w:t>)</w:t>
      </w:r>
      <w:r w:rsidRPr="00C121DF">
        <w:rPr>
          <w:rFonts w:ascii="Times New Roman" w:hAnsi="Times New Roman" w:hint="eastAsia"/>
          <w:color w:val="000000" w:themeColor="text1"/>
        </w:rPr>
        <w:t>，推估嗣後每年度所需經費更是逐年增加，從</w:t>
      </w:r>
      <w:r w:rsidRPr="00C121DF">
        <w:rPr>
          <w:rFonts w:ascii="Times New Roman" w:hAnsi="Times New Roman" w:hint="eastAsia"/>
          <w:color w:val="000000" w:themeColor="text1"/>
        </w:rPr>
        <w:t>107</w:t>
      </w:r>
      <w:r w:rsidRPr="00C121DF">
        <w:rPr>
          <w:rFonts w:ascii="Times New Roman" w:hAnsi="Times New Roman" w:hint="eastAsia"/>
          <w:color w:val="000000" w:themeColor="text1"/>
        </w:rPr>
        <w:t>年度之</w:t>
      </w:r>
      <w:r w:rsidRPr="00C121DF">
        <w:rPr>
          <w:rFonts w:ascii="Times New Roman" w:hAnsi="Times New Roman" w:hint="eastAsia"/>
          <w:color w:val="000000" w:themeColor="text1"/>
        </w:rPr>
        <w:t>314.45</w:t>
      </w:r>
      <w:r w:rsidRPr="00C121DF">
        <w:rPr>
          <w:rFonts w:ascii="Times New Roman" w:hAnsi="Times New Roman" w:hint="eastAsia"/>
          <w:color w:val="000000" w:themeColor="text1"/>
        </w:rPr>
        <w:t>億元，增加至</w:t>
      </w:r>
      <w:r w:rsidRPr="00C121DF">
        <w:rPr>
          <w:rFonts w:ascii="Times New Roman" w:hAnsi="Times New Roman" w:hint="eastAsia"/>
          <w:color w:val="000000" w:themeColor="text1"/>
        </w:rPr>
        <w:t>115</w:t>
      </w:r>
      <w:r w:rsidRPr="00C121DF">
        <w:rPr>
          <w:rFonts w:ascii="Times New Roman" w:hAnsi="Times New Roman" w:hint="eastAsia"/>
          <w:color w:val="000000" w:themeColor="text1"/>
        </w:rPr>
        <w:t>年度之</w:t>
      </w:r>
      <w:r w:rsidRPr="00C121DF">
        <w:rPr>
          <w:rFonts w:ascii="Times New Roman" w:hAnsi="Times New Roman" w:hint="eastAsia"/>
          <w:color w:val="000000" w:themeColor="text1"/>
        </w:rPr>
        <w:t>736.48</w:t>
      </w:r>
      <w:r w:rsidRPr="00C121DF">
        <w:rPr>
          <w:rFonts w:ascii="Times New Roman" w:hAnsi="Times New Roman" w:hint="eastAsia"/>
          <w:color w:val="000000" w:themeColor="text1"/>
        </w:rPr>
        <w:t>億元</w:t>
      </w:r>
      <w:r w:rsidRPr="00C121DF">
        <w:rPr>
          <w:rStyle w:val="aff1"/>
          <w:rFonts w:ascii="Times New Roman" w:hAnsi="Times New Roman"/>
          <w:color w:val="000000" w:themeColor="text1"/>
        </w:rPr>
        <w:footnoteReference w:id="16"/>
      </w:r>
      <w:r w:rsidRPr="00C121DF">
        <w:rPr>
          <w:rFonts w:ascii="Times New Roman" w:hAnsi="Times New Roman" w:hint="eastAsia"/>
          <w:color w:val="000000" w:themeColor="text1"/>
        </w:rPr>
        <w:t>。惟目前我國長照服務主要以稅收</w:t>
      </w:r>
      <w:r w:rsidRPr="00C121DF">
        <w:rPr>
          <w:rFonts w:ascii="Times New Roman" w:hAnsi="Times New Roman"/>
          <w:color w:val="000000" w:themeColor="text1"/>
        </w:rPr>
        <w:t>為財源</w:t>
      </w:r>
      <w:r w:rsidRPr="00C121DF">
        <w:rPr>
          <w:rFonts w:ascii="Times New Roman" w:hAnsi="Times New Roman" w:hint="eastAsia"/>
          <w:color w:val="000000" w:themeColor="text1"/>
        </w:rPr>
        <w:t>，波動較大，勢必衝擊長照財源。而地方政府囿於財政狀況，為因應長照</w:t>
      </w:r>
      <w:r w:rsidRPr="00C121DF">
        <w:rPr>
          <w:rFonts w:ascii="Times New Roman" w:hAnsi="Times New Roman" w:hint="eastAsia"/>
          <w:color w:val="000000" w:themeColor="text1"/>
        </w:rPr>
        <w:t>2.0</w:t>
      </w:r>
      <w:r w:rsidRPr="00C121DF">
        <w:rPr>
          <w:rFonts w:ascii="Times New Roman" w:hAnsi="Times New Roman" w:hint="eastAsia"/>
          <w:color w:val="000000" w:themeColor="text1"/>
        </w:rPr>
        <w:t>所需經費，於公益彩券盈餘分配款之運用上是否造成福利排擠效應，衛福部自應及早</w:t>
      </w:r>
      <w:r w:rsidRPr="00C121DF">
        <w:rPr>
          <w:rFonts w:ascii="Times New Roman" w:hAnsi="Times New Roman"/>
          <w:color w:val="000000" w:themeColor="text1"/>
        </w:rPr>
        <w:t>正視此</w:t>
      </w:r>
      <w:r w:rsidRPr="00C121DF">
        <w:rPr>
          <w:rFonts w:ascii="Times New Roman" w:hAnsi="Times New Roman"/>
          <w:bCs w:val="0"/>
          <w:color w:val="000000" w:themeColor="text1"/>
          <w:szCs w:val="32"/>
        </w:rPr>
        <w:t>問題</w:t>
      </w:r>
      <w:r w:rsidRPr="00C121DF">
        <w:rPr>
          <w:rFonts w:ascii="Times New Roman" w:hAnsi="Times New Roman" w:hint="eastAsia"/>
          <w:color w:val="000000" w:themeColor="text1"/>
        </w:rPr>
        <w:t>，建立相關評核及監督機制，以確保</w:t>
      </w:r>
      <w:r w:rsidRPr="00C121DF">
        <w:rPr>
          <w:rFonts w:ascii="Times New Roman" w:hAnsi="Times New Roman"/>
          <w:color w:val="000000" w:themeColor="text1"/>
        </w:rPr>
        <w:t>公益彩券盈餘</w:t>
      </w:r>
      <w:r w:rsidRPr="00C121DF">
        <w:rPr>
          <w:rFonts w:ascii="Times New Roman" w:hAnsi="Times New Roman" w:hint="eastAsia"/>
          <w:color w:val="000000" w:themeColor="text1"/>
        </w:rPr>
        <w:t>分配款運用於各福利類別之均衡及合理性。</w:t>
      </w:r>
      <w:bookmarkEnd w:id="1461"/>
      <w:bookmarkEnd w:id="1462"/>
      <w:bookmarkEnd w:id="1463"/>
      <w:bookmarkEnd w:id="1464"/>
      <w:bookmarkEnd w:id="1465"/>
    </w:p>
    <w:p w:rsidR="0040606A" w:rsidRPr="00E762C9" w:rsidRDefault="0040606A" w:rsidP="0040606A">
      <w:pPr>
        <w:pStyle w:val="a3"/>
        <w:numPr>
          <w:ilvl w:val="0"/>
          <w:numId w:val="34"/>
        </w:numPr>
        <w:spacing w:before="120" w:after="0"/>
        <w:ind w:left="1190" w:rightChars="-177" w:right="-602" w:hanging="854"/>
        <w:textAlignment w:val="auto"/>
        <w:rPr>
          <w:rFonts w:ascii="Times New Roman" w:hAnsi="Times New Roman"/>
          <w:bCs w:val="0"/>
          <w:spacing w:val="-6"/>
        </w:rPr>
      </w:pPr>
      <w:r w:rsidRPr="00E762C9">
        <w:rPr>
          <w:rFonts w:ascii="Times New Roman" w:hAnsi="Times New Roman" w:hint="eastAsia"/>
          <w:b/>
          <w:spacing w:val="-6"/>
        </w:rPr>
        <w:t>101</w:t>
      </w:r>
      <w:r w:rsidRPr="00E762C9">
        <w:rPr>
          <w:rFonts w:ascii="Times New Roman" w:hAnsi="Times New Roman"/>
          <w:b/>
          <w:spacing w:val="-6"/>
        </w:rPr>
        <w:t>年至</w:t>
      </w:r>
      <w:r w:rsidRPr="00E762C9">
        <w:rPr>
          <w:rFonts w:ascii="Times New Roman" w:hAnsi="Times New Roman" w:hint="eastAsia"/>
          <w:b/>
          <w:spacing w:val="-6"/>
        </w:rPr>
        <w:t>105</w:t>
      </w:r>
      <w:r w:rsidRPr="00E762C9">
        <w:rPr>
          <w:rFonts w:ascii="Times New Roman" w:hAnsi="Times New Roman" w:hint="eastAsia"/>
          <w:b/>
          <w:spacing w:val="-6"/>
        </w:rPr>
        <w:t>年全國</w:t>
      </w:r>
      <w:r w:rsidRPr="00E762C9">
        <w:rPr>
          <w:rFonts w:ascii="Times New Roman" w:hAnsi="Times New Roman" w:hint="eastAsia"/>
          <w:b/>
          <w:spacing w:val="-6"/>
        </w:rPr>
        <w:t>22</w:t>
      </w:r>
      <w:r w:rsidRPr="00E762C9">
        <w:rPr>
          <w:rFonts w:ascii="Times New Roman" w:hAnsi="Times New Roman" w:hint="eastAsia"/>
          <w:b/>
          <w:spacing w:val="-6"/>
        </w:rPr>
        <w:t>個地方政府</w:t>
      </w:r>
      <w:r w:rsidRPr="00E762C9">
        <w:rPr>
          <w:rFonts w:ascii="Times New Roman" w:hAnsi="Times New Roman"/>
          <w:b/>
          <w:spacing w:val="-6"/>
        </w:rPr>
        <w:t>公益彩券盈餘</w:t>
      </w:r>
      <w:r w:rsidRPr="00E762C9">
        <w:rPr>
          <w:rFonts w:ascii="Times New Roman" w:hAnsi="Times New Roman" w:hint="eastAsia"/>
          <w:b/>
          <w:spacing w:val="-6"/>
        </w:rPr>
        <w:t>分配款執行數概況</w:t>
      </w:r>
      <w:r w:rsidRPr="00E762C9">
        <w:rPr>
          <w:rFonts w:ascii="Times New Roman" w:hAnsi="Times New Roman" w:hint="eastAsia"/>
          <w:b/>
          <w:spacing w:val="-6"/>
        </w:rPr>
        <w:t xml:space="preserve">                    </w:t>
      </w:r>
      <w:r w:rsidRPr="00E762C9">
        <w:rPr>
          <w:rFonts w:ascii="Times New Roman" w:hAnsi="Times New Roman" w:hint="eastAsia"/>
          <w:spacing w:val="-6"/>
        </w:rPr>
        <w:t xml:space="preserve">  </w:t>
      </w:r>
      <w:r w:rsidRPr="00E762C9">
        <w:rPr>
          <w:rFonts w:ascii="Times New Roman" w:hAnsi="Times New Roman"/>
          <w:spacing w:val="-6"/>
        </w:rPr>
        <w:t xml:space="preserve">     </w:t>
      </w:r>
    </w:p>
    <w:p w:rsidR="0040606A" w:rsidRPr="002F1725" w:rsidRDefault="0040606A" w:rsidP="0040606A">
      <w:pPr>
        <w:pStyle w:val="3"/>
        <w:numPr>
          <w:ilvl w:val="0"/>
          <w:numId w:val="0"/>
        </w:numPr>
        <w:topLinePunct/>
        <w:spacing w:line="320" w:lineRule="exact"/>
        <w:ind w:left="1361"/>
        <w:jc w:val="right"/>
        <w:rPr>
          <w:rFonts w:ascii="Times New Roman" w:hAnsi="Times New Roman"/>
          <w:bCs w:val="0"/>
          <w:sz w:val="24"/>
          <w:szCs w:val="24"/>
        </w:rPr>
      </w:pPr>
      <w:bookmarkStart w:id="1473" w:name="_Toc508899444"/>
      <w:bookmarkStart w:id="1474" w:name="_Toc511115412"/>
      <w:bookmarkStart w:id="1475" w:name="_Toc511308202"/>
      <w:bookmarkStart w:id="1476" w:name="_Toc511998644"/>
      <w:bookmarkStart w:id="1477" w:name="_Toc512421001"/>
      <w:r w:rsidRPr="002F1725">
        <w:rPr>
          <w:rFonts w:ascii="Times New Roman" w:hAnsi="Times New Roman"/>
          <w:sz w:val="24"/>
          <w:szCs w:val="24"/>
        </w:rPr>
        <w:t>單位：元</w:t>
      </w:r>
      <w:r w:rsidRPr="002F1725">
        <w:rPr>
          <w:rFonts w:ascii="Times New Roman" w:hAnsi="Times New Roman" w:hint="eastAsia"/>
          <w:sz w:val="24"/>
          <w:szCs w:val="24"/>
        </w:rPr>
        <w:t>；</w:t>
      </w:r>
      <w:r w:rsidRPr="002F1725">
        <w:rPr>
          <w:rFonts w:hAnsi="標楷體" w:hint="eastAsia"/>
          <w:sz w:val="24"/>
          <w:szCs w:val="24"/>
        </w:rPr>
        <w:t>％</w:t>
      </w:r>
      <w:bookmarkEnd w:id="1473"/>
      <w:bookmarkEnd w:id="1474"/>
      <w:bookmarkEnd w:id="1475"/>
      <w:bookmarkEnd w:id="1476"/>
      <w:bookmarkEnd w:id="1477"/>
    </w:p>
    <w:tbl>
      <w:tblPr>
        <w:tblW w:w="9015" w:type="dxa"/>
        <w:tblInd w:w="4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574"/>
        <w:gridCol w:w="658"/>
        <w:gridCol w:w="1190"/>
        <w:gridCol w:w="1105"/>
        <w:gridCol w:w="994"/>
        <w:gridCol w:w="1120"/>
        <w:gridCol w:w="1134"/>
        <w:gridCol w:w="1134"/>
        <w:gridCol w:w="1106"/>
      </w:tblGrid>
      <w:tr w:rsidR="0040606A" w:rsidRPr="008A38E0" w:rsidTr="00C055EF">
        <w:trPr>
          <w:trHeight w:val="465"/>
          <w:tblHeader/>
        </w:trPr>
        <w:tc>
          <w:tcPr>
            <w:tcW w:w="2422" w:type="dxa"/>
            <w:gridSpan w:val="3"/>
            <w:tcBorders>
              <w:tl2br w:val="single" w:sz="8" w:space="0" w:color="auto"/>
            </w:tcBorders>
            <w:vAlign w:val="center"/>
          </w:tcPr>
          <w:p w:rsidR="0040606A" w:rsidRPr="002F1725" w:rsidRDefault="0040606A" w:rsidP="00C055EF">
            <w:pPr>
              <w:widowControl/>
              <w:spacing w:line="320" w:lineRule="exact"/>
              <w:jc w:val="center"/>
              <w:rPr>
                <w:kern w:val="0"/>
                <w:sz w:val="24"/>
                <w:szCs w:val="24"/>
              </w:rPr>
            </w:pPr>
            <w:r w:rsidRPr="002F1725">
              <w:rPr>
                <w:rFonts w:hint="eastAsia"/>
                <w:kern w:val="0"/>
                <w:sz w:val="24"/>
                <w:szCs w:val="24"/>
              </w:rPr>
              <w:t xml:space="preserve">       </w:t>
            </w:r>
            <w:r>
              <w:rPr>
                <w:rFonts w:hint="eastAsia"/>
                <w:kern w:val="0"/>
                <w:sz w:val="24"/>
                <w:szCs w:val="24"/>
              </w:rPr>
              <w:t xml:space="preserve"> </w:t>
            </w:r>
            <w:r w:rsidRPr="002F1725">
              <w:rPr>
                <w:rFonts w:hint="eastAsia"/>
                <w:kern w:val="0"/>
                <w:sz w:val="24"/>
                <w:szCs w:val="24"/>
              </w:rPr>
              <w:t>各福利類別</w:t>
            </w:r>
          </w:p>
          <w:p w:rsidR="0040606A" w:rsidRPr="002F1725" w:rsidRDefault="0040606A" w:rsidP="00C055EF">
            <w:pPr>
              <w:widowControl/>
              <w:spacing w:line="320" w:lineRule="exact"/>
              <w:jc w:val="left"/>
              <w:rPr>
                <w:kern w:val="0"/>
                <w:sz w:val="24"/>
                <w:szCs w:val="24"/>
              </w:rPr>
            </w:pPr>
            <w:r w:rsidRPr="002F1725">
              <w:rPr>
                <w:rFonts w:hint="eastAsia"/>
                <w:kern w:val="0"/>
                <w:sz w:val="24"/>
                <w:szCs w:val="24"/>
              </w:rPr>
              <w:t xml:space="preserve"> 年度別</w:t>
            </w:r>
          </w:p>
        </w:tc>
        <w:tc>
          <w:tcPr>
            <w:tcW w:w="1105" w:type="dxa"/>
            <w:shd w:val="clear" w:color="auto" w:fill="auto"/>
            <w:noWrap/>
            <w:vAlign w:val="center"/>
            <w:hideMark/>
          </w:tcPr>
          <w:p w:rsidR="0040606A" w:rsidRPr="002F1725" w:rsidRDefault="0040606A" w:rsidP="00C055EF">
            <w:pPr>
              <w:widowControl/>
              <w:spacing w:line="320" w:lineRule="exact"/>
              <w:jc w:val="center"/>
              <w:rPr>
                <w:rFonts w:ascii="Times New Roman"/>
                <w:spacing w:val="-10"/>
                <w:kern w:val="0"/>
                <w:sz w:val="24"/>
                <w:szCs w:val="24"/>
              </w:rPr>
            </w:pPr>
            <w:r w:rsidRPr="002F1725">
              <w:rPr>
                <w:rFonts w:ascii="Times New Roman"/>
                <w:spacing w:val="-10"/>
                <w:kern w:val="0"/>
                <w:sz w:val="24"/>
                <w:szCs w:val="24"/>
              </w:rPr>
              <w:t>兒少福利</w:t>
            </w:r>
          </w:p>
        </w:tc>
        <w:tc>
          <w:tcPr>
            <w:tcW w:w="994" w:type="dxa"/>
            <w:shd w:val="clear" w:color="auto" w:fill="auto"/>
            <w:noWrap/>
            <w:vAlign w:val="center"/>
            <w:hideMark/>
          </w:tcPr>
          <w:p w:rsidR="0040606A" w:rsidRPr="002F1725" w:rsidRDefault="0040606A" w:rsidP="00C055EF">
            <w:pPr>
              <w:widowControl/>
              <w:spacing w:line="320" w:lineRule="exact"/>
              <w:jc w:val="center"/>
              <w:rPr>
                <w:rFonts w:ascii="Times New Roman"/>
                <w:spacing w:val="-16"/>
                <w:kern w:val="0"/>
                <w:sz w:val="24"/>
                <w:szCs w:val="24"/>
              </w:rPr>
            </w:pPr>
            <w:r w:rsidRPr="002F1725">
              <w:rPr>
                <w:rFonts w:ascii="Times New Roman"/>
                <w:spacing w:val="-16"/>
                <w:kern w:val="0"/>
                <w:sz w:val="24"/>
                <w:szCs w:val="24"/>
              </w:rPr>
              <w:t>婦女福利</w:t>
            </w:r>
          </w:p>
        </w:tc>
        <w:tc>
          <w:tcPr>
            <w:tcW w:w="1120" w:type="dxa"/>
            <w:tcBorders>
              <w:right w:val="single" w:sz="8" w:space="0" w:color="auto"/>
            </w:tcBorders>
            <w:shd w:val="clear" w:color="auto" w:fill="auto"/>
            <w:noWrap/>
            <w:vAlign w:val="center"/>
            <w:hideMark/>
          </w:tcPr>
          <w:p w:rsidR="0040606A" w:rsidRPr="002F1725" w:rsidRDefault="0040606A" w:rsidP="00C055EF">
            <w:pPr>
              <w:widowControl/>
              <w:spacing w:line="320" w:lineRule="exact"/>
              <w:jc w:val="center"/>
              <w:rPr>
                <w:rFonts w:ascii="Times New Roman"/>
                <w:spacing w:val="-10"/>
                <w:kern w:val="0"/>
                <w:sz w:val="24"/>
                <w:szCs w:val="24"/>
              </w:rPr>
            </w:pPr>
            <w:r w:rsidRPr="002F1725">
              <w:rPr>
                <w:rFonts w:ascii="Times New Roman"/>
                <w:spacing w:val="-10"/>
                <w:kern w:val="0"/>
                <w:sz w:val="24"/>
                <w:szCs w:val="24"/>
              </w:rPr>
              <w:t>老人福利</w:t>
            </w:r>
          </w:p>
        </w:tc>
        <w:tc>
          <w:tcPr>
            <w:tcW w:w="1134" w:type="dxa"/>
            <w:tcBorders>
              <w:top w:val="single" w:sz="8" w:space="0" w:color="auto"/>
              <w:left w:val="single" w:sz="8" w:space="0" w:color="auto"/>
              <w:right w:val="single" w:sz="8" w:space="0" w:color="auto"/>
            </w:tcBorders>
            <w:shd w:val="clear" w:color="auto" w:fill="auto"/>
            <w:noWrap/>
            <w:vAlign w:val="center"/>
            <w:hideMark/>
          </w:tcPr>
          <w:p w:rsidR="0040606A" w:rsidRPr="002F1725" w:rsidRDefault="0040606A" w:rsidP="00C055EF">
            <w:pPr>
              <w:widowControl/>
              <w:spacing w:line="320" w:lineRule="exact"/>
              <w:jc w:val="center"/>
              <w:rPr>
                <w:rFonts w:ascii="Times New Roman"/>
                <w:spacing w:val="-10"/>
                <w:kern w:val="0"/>
                <w:sz w:val="24"/>
                <w:szCs w:val="24"/>
              </w:rPr>
            </w:pPr>
            <w:r w:rsidRPr="002F1725">
              <w:rPr>
                <w:rFonts w:ascii="Times New Roman"/>
                <w:spacing w:val="-10"/>
                <w:kern w:val="0"/>
                <w:sz w:val="24"/>
                <w:szCs w:val="24"/>
              </w:rPr>
              <w:t>身心障礙者福利</w:t>
            </w:r>
          </w:p>
        </w:tc>
        <w:tc>
          <w:tcPr>
            <w:tcW w:w="1134" w:type="dxa"/>
            <w:tcBorders>
              <w:top w:val="single" w:sz="8" w:space="0" w:color="auto"/>
              <w:left w:val="single" w:sz="8" w:space="0" w:color="auto"/>
              <w:right w:val="single" w:sz="8" w:space="0" w:color="auto"/>
            </w:tcBorders>
            <w:shd w:val="clear" w:color="auto" w:fill="auto"/>
            <w:noWrap/>
            <w:vAlign w:val="center"/>
            <w:hideMark/>
          </w:tcPr>
          <w:p w:rsidR="0040606A" w:rsidRPr="002F1725" w:rsidRDefault="0040606A" w:rsidP="00C055EF">
            <w:pPr>
              <w:widowControl/>
              <w:spacing w:line="320" w:lineRule="exact"/>
              <w:jc w:val="center"/>
              <w:rPr>
                <w:rFonts w:ascii="Times New Roman"/>
                <w:spacing w:val="-10"/>
                <w:kern w:val="0"/>
                <w:sz w:val="24"/>
                <w:szCs w:val="24"/>
              </w:rPr>
            </w:pPr>
            <w:r w:rsidRPr="002F1725">
              <w:rPr>
                <w:rFonts w:ascii="Times New Roman"/>
                <w:spacing w:val="-10"/>
                <w:kern w:val="0"/>
                <w:sz w:val="24"/>
                <w:szCs w:val="24"/>
              </w:rPr>
              <w:t>社會救助</w:t>
            </w:r>
          </w:p>
        </w:tc>
        <w:tc>
          <w:tcPr>
            <w:tcW w:w="1106" w:type="dxa"/>
            <w:tcBorders>
              <w:top w:val="single" w:sz="8" w:space="0" w:color="auto"/>
              <w:left w:val="single" w:sz="8" w:space="0" w:color="auto"/>
            </w:tcBorders>
            <w:shd w:val="clear" w:color="auto" w:fill="auto"/>
            <w:noWrap/>
            <w:vAlign w:val="center"/>
            <w:hideMark/>
          </w:tcPr>
          <w:p w:rsidR="0040606A" w:rsidRPr="002F1725" w:rsidRDefault="0040606A" w:rsidP="00C055EF">
            <w:pPr>
              <w:widowControl/>
              <w:spacing w:line="320" w:lineRule="exact"/>
              <w:jc w:val="center"/>
              <w:rPr>
                <w:rFonts w:ascii="Times New Roman"/>
                <w:spacing w:val="-10"/>
                <w:kern w:val="0"/>
                <w:sz w:val="24"/>
                <w:szCs w:val="24"/>
              </w:rPr>
            </w:pPr>
            <w:r w:rsidRPr="002F1725">
              <w:rPr>
                <w:rFonts w:ascii="Times New Roman"/>
                <w:spacing w:val="-10"/>
                <w:kern w:val="0"/>
                <w:sz w:val="24"/>
                <w:szCs w:val="24"/>
              </w:rPr>
              <w:t>其他福利</w:t>
            </w:r>
          </w:p>
        </w:tc>
      </w:tr>
      <w:tr w:rsidR="0040606A" w:rsidRPr="000F70AD" w:rsidTr="00C055EF">
        <w:trPr>
          <w:trHeight w:val="324"/>
        </w:trPr>
        <w:tc>
          <w:tcPr>
            <w:tcW w:w="574" w:type="dxa"/>
            <w:vMerge w:val="restart"/>
            <w:vAlign w:val="center"/>
          </w:tcPr>
          <w:p w:rsidR="0040606A" w:rsidRPr="002F1725" w:rsidRDefault="0040606A" w:rsidP="00C055EF">
            <w:pPr>
              <w:widowControl/>
              <w:kinsoku w:val="0"/>
              <w:spacing w:line="340" w:lineRule="exact"/>
              <w:jc w:val="center"/>
              <w:rPr>
                <w:rFonts w:ascii="Times New Roman"/>
                <w:kern w:val="0"/>
                <w:sz w:val="24"/>
                <w:szCs w:val="24"/>
              </w:rPr>
            </w:pPr>
            <w:r w:rsidRPr="002F1725">
              <w:rPr>
                <w:rFonts w:ascii="Times New Roman"/>
                <w:kern w:val="0"/>
                <w:sz w:val="24"/>
                <w:szCs w:val="24"/>
              </w:rPr>
              <w:t>101</w:t>
            </w:r>
          </w:p>
        </w:tc>
        <w:tc>
          <w:tcPr>
            <w:tcW w:w="658" w:type="dxa"/>
            <w:shd w:val="clear" w:color="auto" w:fill="auto"/>
            <w:noWrap/>
            <w:vAlign w:val="center"/>
          </w:tcPr>
          <w:p w:rsidR="0040606A" w:rsidRPr="002F1725" w:rsidRDefault="0040606A" w:rsidP="00C055EF">
            <w:pPr>
              <w:widowControl/>
              <w:spacing w:line="340" w:lineRule="exact"/>
              <w:jc w:val="center"/>
              <w:rPr>
                <w:rFonts w:ascii="Times New Roman" w:eastAsia="新細明體"/>
                <w:spacing w:val="-20"/>
                <w:kern w:val="0"/>
                <w:sz w:val="24"/>
                <w:szCs w:val="24"/>
              </w:rPr>
            </w:pPr>
            <w:r w:rsidRPr="002F1725">
              <w:rPr>
                <w:rFonts w:ascii="Times New Roman"/>
                <w:spacing w:val="-20"/>
                <w:kern w:val="0"/>
                <w:sz w:val="24"/>
                <w:szCs w:val="24"/>
              </w:rPr>
              <w:t>合計</w:t>
            </w:r>
          </w:p>
        </w:tc>
        <w:tc>
          <w:tcPr>
            <w:tcW w:w="1190" w:type="dxa"/>
            <w:vAlign w:val="center"/>
          </w:tcPr>
          <w:p w:rsidR="0040606A" w:rsidRPr="002F1725" w:rsidRDefault="0040606A" w:rsidP="00C055EF">
            <w:pPr>
              <w:widowControl/>
              <w:spacing w:line="340" w:lineRule="exact"/>
              <w:ind w:rightChars="4" w:right="14"/>
              <w:jc w:val="right"/>
              <w:rPr>
                <w:rFonts w:ascii="Times New Roman" w:eastAsia="新細明體"/>
                <w:spacing w:val="-20"/>
                <w:kern w:val="0"/>
                <w:sz w:val="20"/>
              </w:rPr>
            </w:pPr>
            <w:r w:rsidRPr="002F1725">
              <w:rPr>
                <w:rFonts w:ascii="Times New Roman" w:eastAsia="新細明體"/>
                <w:spacing w:val="-20"/>
                <w:kern w:val="0"/>
                <w:sz w:val="20"/>
              </w:rPr>
              <w:t xml:space="preserve">10,262,707,053 </w:t>
            </w:r>
          </w:p>
        </w:tc>
        <w:tc>
          <w:tcPr>
            <w:tcW w:w="1105" w:type="dxa"/>
            <w:shd w:val="clear" w:color="auto" w:fill="auto"/>
            <w:noWrap/>
            <w:vAlign w:val="center"/>
          </w:tcPr>
          <w:p w:rsidR="0040606A" w:rsidRPr="002F1725" w:rsidRDefault="0040606A" w:rsidP="00C055EF">
            <w:pPr>
              <w:widowControl/>
              <w:spacing w:line="340" w:lineRule="exact"/>
              <w:ind w:rightChars="4" w:right="14"/>
              <w:jc w:val="right"/>
              <w:rPr>
                <w:rFonts w:ascii="Times New Roman" w:eastAsia="新細明體"/>
                <w:spacing w:val="-20"/>
                <w:kern w:val="0"/>
                <w:sz w:val="20"/>
              </w:rPr>
            </w:pPr>
            <w:r w:rsidRPr="002F1725">
              <w:rPr>
                <w:rFonts w:ascii="Times New Roman" w:eastAsia="新細明體"/>
                <w:spacing w:val="-20"/>
                <w:kern w:val="0"/>
                <w:sz w:val="20"/>
              </w:rPr>
              <w:t xml:space="preserve">1,554,109,587 </w:t>
            </w:r>
          </w:p>
        </w:tc>
        <w:tc>
          <w:tcPr>
            <w:tcW w:w="994" w:type="dxa"/>
            <w:shd w:val="clear" w:color="auto" w:fill="auto"/>
            <w:noWrap/>
            <w:vAlign w:val="center"/>
          </w:tcPr>
          <w:p w:rsidR="0040606A" w:rsidRPr="002F1725" w:rsidRDefault="0040606A" w:rsidP="00C055EF">
            <w:pPr>
              <w:widowControl/>
              <w:spacing w:line="340" w:lineRule="exact"/>
              <w:ind w:rightChars="4" w:right="14"/>
              <w:jc w:val="right"/>
              <w:rPr>
                <w:rFonts w:ascii="Times New Roman" w:eastAsia="新細明體"/>
                <w:spacing w:val="-20"/>
                <w:kern w:val="0"/>
                <w:sz w:val="20"/>
              </w:rPr>
            </w:pPr>
            <w:r w:rsidRPr="002F1725">
              <w:rPr>
                <w:rFonts w:ascii="Times New Roman" w:eastAsia="新細明體"/>
                <w:spacing w:val="-20"/>
                <w:kern w:val="0"/>
                <w:sz w:val="20"/>
              </w:rPr>
              <w:t xml:space="preserve">287,450,631 </w:t>
            </w:r>
          </w:p>
        </w:tc>
        <w:tc>
          <w:tcPr>
            <w:tcW w:w="1120" w:type="dxa"/>
            <w:tcBorders>
              <w:right w:val="single" w:sz="8" w:space="0" w:color="auto"/>
            </w:tcBorders>
            <w:shd w:val="clear" w:color="auto" w:fill="auto"/>
            <w:noWrap/>
            <w:vAlign w:val="center"/>
          </w:tcPr>
          <w:p w:rsidR="0040606A" w:rsidRPr="002F1725" w:rsidRDefault="0040606A" w:rsidP="00C055EF">
            <w:pPr>
              <w:widowControl/>
              <w:spacing w:line="340" w:lineRule="exact"/>
              <w:ind w:rightChars="4" w:right="14"/>
              <w:jc w:val="right"/>
              <w:rPr>
                <w:rFonts w:ascii="Times New Roman" w:eastAsia="新細明體"/>
                <w:spacing w:val="-20"/>
                <w:kern w:val="0"/>
                <w:sz w:val="20"/>
              </w:rPr>
            </w:pPr>
            <w:r w:rsidRPr="002F1725">
              <w:rPr>
                <w:rFonts w:ascii="Times New Roman" w:eastAsia="新細明體"/>
                <w:spacing w:val="-20"/>
                <w:kern w:val="0"/>
                <w:sz w:val="20"/>
              </w:rPr>
              <w:t xml:space="preserve">2,339,556,051 </w:t>
            </w:r>
          </w:p>
        </w:tc>
        <w:tc>
          <w:tcPr>
            <w:tcW w:w="1134" w:type="dxa"/>
            <w:tcBorders>
              <w:left w:val="single" w:sz="8" w:space="0" w:color="auto"/>
              <w:right w:val="single" w:sz="8" w:space="0" w:color="auto"/>
            </w:tcBorders>
            <w:shd w:val="clear" w:color="auto" w:fill="auto"/>
            <w:noWrap/>
            <w:vAlign w:val="center"/>
          </w:tcPr>
          <w:p w:rsidR="0040606A" w:rsidRPr="002F1725" w:rsidRDefault="0040606A" w:rsidP="00C055EF">
            <w:pPr>
              <w:widowControl/>
              <w:spacing w:line="340" w:lineRule="exact"/>
              <w:ind w:rightChars="4" w:right="14"/>
              <w:jc w:val="right"/>
              <w:rPr>
                <w:rFonts w:ascii="Times New Roman" w:eastAsia="新細明體"/>
                <w:spacing w:val="-20"/>
                <w:kern w:val="0"/>
                <w:sz w:val="20"/>
              </w:rPr>
            </w:pPr>
            <w:r w:rsidRPr="002F1725">
              <w:rPr>
                <w:rFonts w:ascii="Times New Roman" w:eastAsia="新細明體"/>
                <w:spacing w:val="-20"/>
                <w:kern w:val="0"/>
                <w:sz w:val="20"/>
              </w:rPr>
              <w:t xml:space="preserve">3,469,586,916 </w:t>
            </w:r>
          </w:p>
        </w:tc>
        <w:tc>
          <w:tcPr>
            <w:tcW w:w="1134" w:type="dxa"/>
            <w:tcBorders>
              <w:left w:val="single" w:sz="8" w:space="0" w:color="auto"/>
              <w:right w:val="single" w:sz="8" w:space="0" w:color="auto"/>
            </w:tcBorders>
            <w:shd w:val="clear" w:color="auto" w:fill="auto"/>
            <w:noWrap/>
            <w:vAlign w:val="center"/>
          </w:tcPr>
          <w:p w:rsidR="0040606A" w:rsidRPr="002F1725" w:rsidRDefault="0040606A" w:rsidP="00C055EF">
            <w:pPr>
              <w:widowControl/>
              <w:spacing w:line="340" w:lineRule="exact"/>
              <w:ind w:rightChars="4" w:right="14"/>
              <w:jc w:val="right"/>
              <w:rPr>
                <w:rFonts w:ascii="Times New Roman" w:eastAsia="新細明體"/>
                <w:spacing w:val="-20"/>
                <w:kern w:val="0"/>
                <w:sz w:val="20"/>
              </w:rPr>
            </w:pPr>
            <w:r w:rsidRPr="002F1725">
              <w:rPr>
                <w:rFonts w:ascii="Times New Roman" w:eastAsia="新細明體"/>
                <w:spacing w:val="-20"/>
                <w:kern w:val="0"/>
                <w:sz w:val="20"/>
              </w:rPr>
              <w:t xml:space="preserve">1,741,011,651 </w:t>
            </w:r>
          </w:p>
        </w:tc>
        <w:tc>
          <w:tcPr>
            <w:tcW w:w="1106" w:type="dxa"/>
            <w:tcBorders>
              <w:left w:val="single" w:sz="8" w:space="0" w:color="auto"/>
            </w:tcBorders>
            <w:shd w:val="clear" w:color="auto" w:fill="auto"/>
            <w:noWrap/>
            <w:vAlign w:val="center"/>
          </w:tcPr>
          <w:p w:rsidR="0040606A" w:rsidRPr="002F1725" w:rsidRDefault="0040606A" w:rsidP="00C055EF">
            <w:pPr>
              <w:widowControl/>
              <w:spacing w:line="340" w:lineRule="exact"/>
              <w:ind w:rightChars="4" w:right="14"/>
              <w:jc w:val="right"/>
              <w:rPr>
                <w:rFonts w:ascii="Times New Roman" w:eastAsia="新細明體"/>
                <w:spacing w:val="-20"/>
                <w:kern w:val="0"/>
                <w:sz w:val="20"/>
              </w:rPr>
            </w:pPr>
            <w:r w:rsidRPr="002F1725">
              <w:rPr>
                <w:rFonts w:ascii="Times New Roman" w:eastAsia="新細明體"/>
                <w:spacing w:val="-20"/>
                <w:kern w:val="0"/>
                <w:sz w:val="20"/>
              </w:rPr>
              <w:t xml:space="preserve">870,992,217 </w:t>
            </w:r>
          </w:p>
        </w:tc>
      </w:tr>
      <w:tr w:rsidR="0040606A" w:rsidRPr="000F70AD" w:rsidTr="00C055EF">
        <w:trPr>
          <w:trHeight w:val="187"/>
        </w:trPr>
        <w:tc>
          <w:tcPr>
            <w:tcW w:w="574" w:type="dxa"/>
            <w:vMerge/>
            <w:vAlign w:val="center"/>
          </w:tcPr>
          <w:p w:rsidR="0040606A" w:rsidRPr="002F1725" w:rsidRDefault="0040606A" w:rsidP="00C055EF">
            <w:pPr>
              <w:widowControl/>
              <w:kinsoku w:val="0"/>
              <w:spacing w:line="340" w:lineRule="exact"/>
              <w:jc w:val="center"/>
              <w:rPr>
                <w:rFonts w:ascii="Times New Roman"/>
                <w:kern w:val="0"/>
                <w:sz w:val="24"/>
                <w:szCs w:val="24"/>
              </w:rPr>
            </w:pPr>
          </w:p>
        </w:tc>
        <w:tc>
          <w:tcPr>
            <w:tcW w:w="658" w:type="dxa"/>
            <w:shd w:val="clear" w:color="auto" w:fill="auto"/>
            <w:noWrap/>
            <w:vAlign w:val="center"/>
          </w:tcPr>
          <w:p w:rsidR="0040606A" w:rsidRPr="002F1725" w:rsidRDefault="0040606A" w:rsidP="00C055EF">
            <w:pPr>
              <w:widowControl/>
              <w:spacing w:line="340" w:lineRule="exact"/>
              <w:jc w:val="center"/>
              <w:rPr>
                <w:rFonts w:ascii="Times New Roman"/>
                <w:spacing w:val="-20"/>
                <w:kern w:val="0"/>
                <w:sz w:val="24"/>
                <w:szCs w:val="24"/>
              </w:rPr>
            </w:pPr>
            <w:r w:rsidRPr="002F1725">
              <w:rPr>
                <w:rFonts w:ascii="Times New Roman" w:hint="eastAsia"/>
                <w:spacing w:val="-20"/>
                <w:kern w:val="0"/>
                <w:sz w:val="24"/>
                <w:szCs w:val="24"/>
              </w:rPr>
              <w:t>比率</w:t>
            </w:r>
          </w:p>
        </w:tc>
        <w:tc>
          <w:tcPr>
            <w:tcW w:w="1190" w:type="dxa"/>
            <w:vAlign w:val="center"/>
          </w:tcPr>
          <w:p w:rsidR="0040606A" w:rsidRPr="00DD1B65" w:rsidRDefault="0040606A" w:rsidP="00C055EF">
            <w:pPr>
              <w:widowControl/>
              <w:spacing w:line="340" w:lineRule="exact"/>
              <w:ind w:rightChars="4" w:right="14"/>
              <w:jc w:val="right"/>
              <w:rPr>
                <w:rFonts w:ascii="Times New Roman" w:eastAsia="新細明體"/>
                <w:kern w:val="0"/>
                <w:sz w:val="20"/>
              </w:rPr>
            </w:pPr>
            <w:r w:rsidRPr="00DD1B65">
              <w:rPr>
                <w:rFonts w:ascii="Times New Roman" w:eastAsia="新細明體"/>
                <w:kern w:val="0"/>
                <w:sz w:val="20"/>
              </w:rPr>
              <w:t>100</w:t>
            </w:r>
            <w:r w:rsidRPr="00DD1B65">
              <w:rPr>
                <w:rFonts w:ascii="Times New Roman" w:eastAsia="新細明體" w:hint="eastAsia"/>
                <w:kern w:val="0"/>
                <w:sz w:val="20"/>
              </w:rPr>
              <w:t>.00</w:t>
            </w:r>
          </w:p>
        </w:tc>
        <w:tc>
          <w:tcPr>
            <w:tcW w:w="1105" w:type="dxa"/>
            <w:shd w:val="clear" w:color="auto" w:fill="auto"/>
            <w:noWrap/>
            <w:vAlign w:val="center"/>
          </w:tcPr>
          <w:p w:rsidR="0040606A" w:rsidRPr="00DD1B65" w:rsidRDefault="0040606A" w:rsidP="00C055EF">
            <w:pPr>
              <w:spacing w:line="340" w:lineRule="exact"/>
              <w:ind w:rightChars="4" w:right="14"/>
              <w:jc w:val="right"/>
              <w:rPr>
                <w:rFonts w:ascii="Times New Roman" w:eastAsia="新細明體"/>
                <w:kern w:val="0"/>
                <w:sz w:val="20"/>
              </w:rPr>
            </w:pPr>
            <w:r w:rsidRPr="00DD1B65">
              <w:rPr>
                <w:rFonts w:ascii="Times New Roman" w:eastAsia="新細明體"/>
                <w:kern w:val="0"/>
                <w:sz w:val="20"/>
              </w:rPr>
              <w:t>15.14</w:t>
            </w:r>
          </w:p>
        </w:tc>
        <w:tc>
          <w:tcPr>
            <w:tcW w:w="994" w:type="dxa"/>
            <w:shd w:val="clear" w:color="auto" w:fill="auto"/>
            <w:noWrap/>
            <w:vAlign w:val="center"/>
          </w:tcPr>
          <w:p w:rsidR="0040606A" w:rsidRPr="00DD1B65" w:rsidRDefault="0040606A" w:rsidP="00C055EF">
            <w:pPr>
              <w:spacing w:line="340" w:lineRule="exact"/>
              <w:ind w:rightChars="4" w:right="14"/>
              <w:jc w:val="right"/>
              <w:rPr>
                <w:rFonts w:ascii="Times New Roman" w:eastAsia="新細明體"/>
                <w:kern w:val="0"/>
                <w:sz w:val="20"/>
              </w:rPr>
            </w:pPr>
            <w:r w:rsidRPr="00DD1B65">
              <w:rPr>
                <w:rFonts w:ascii="Times New Roman" w:eastAsia="新細明體"/>
                <w:kern w:val="0"/>
                <w:sz w:val="20"/>
              </w:rPr>
              <w:t>2.80</w:t>
            </w:r>
          </w:p>
        </w:tc>
        <w:tc>
          <w:tcPr>
            <w:tcW w:w="1120" w:type="dxa"/>
            <w:tcBorders>
              <w:right w:val="single" w:sz="8" w:space="0" w:color="auto"/>
            </w:tcBorders>
            <w:shd w:val="clear" w:color="auto" w:fill="auto"/>
            <w:noWrap/>
            <w:vAlign w:val="center"/>
          </w:tcPr>
          <w:p w:rsidR="0040606A" w:rsidRPr="00DD1B65" w:rsidRDefault="0040606A" w:rsidP="00C055EF">
            <w:pPr>
              <w:spacing w:line="340" w:lineRule="exact"/>
              <w:ind w:rightChars="4" w:right="14"/>
              <w:jc w:val="right"/>
              <w:rPr>
                <w:rFonts w:ascii="Times New Roman" w:eastAsia="新細明體"/>
                <w:kern w:val="0"/>
                <w:sz w:val="20"/>
              </w:rPr>
            </w:pPr>
            <w:r w:rsidRPr="00DD1B65">
              <w:rPr>
                <w:rFonts w:ascii="Times New Roman" w:eastAsia="新細明體"/>
                <w:kern w:val="0"/>
                <w:sz w:val="20"/>
              </w:rPr>
              <w:t>22.80</w:t>
            </w:r>
          </w:p>
        </w:tc>
        <w:tc>
          <w:tcPr>
            <w:tcW w:w="1134" w:type="dxa"/>
            <w:tcBorders>
              <w:left w:val="single" w:sz="8" w:space="0" w:color="auto"/>
              <w:right w:val="single" w:sz="8" w:space="0" w:color="auto"/>
            </w:tcBorders>
            <w:shd w:val="clear" w:color="auto" w:fill="auto"/>
            <w:noWrap/>
            <w:vAlign w:val="center"/>
          </w:tcPr>
          <w:p w:rsidR="0040606A" w:rsidRPr="00DD1B65" w:rsidRDefault="0040606A" w:rsidP="00C055EF">
            <w:pPr>
              <w:spacing w:line="340" w:lineRule="exact"/>
              <w:ind w:rightChars="4" w:right="14"/>
              <w:jc w:val="right"/>
              <w:rPr>
                <w:rFonts w:ascii="Times New Roman" w:eastAsia="新細明體"/>
                <w:kern w:val="0"/>
                <w:sz w:val="20"/>
              </w:rPr>
            </w:pPr>
            <w:r w:rsidRPr="00DD1B65">
              <w:rPr>
                <w:rFonts w:ascii="Times New Roman" w:eastAsia="新細明體"/>
                <w:kern w:val="0"/>
                <w:sz w:val="20"/>
              </w:rPr>
              <w:t>33.81</w:t>
            </w:r>
          </w:p>
        </w:tc>
        <w:tc>
          <w:tcPr>
            <w:tcW w:w="1134" w:type="dxa"/>
            <w:tcBorders>
              <w:left w:val="single" w:sz="8" w:space="0" w:color="auto"/>
              <w:right w:val="single" w:sz="8" w:space="0" w:color="auto"/>
            </w:tcBorders>
            <w:shd w:val="clear" w:color="auto" w:fill="auto"/>
            <w:noWrap/>
            <w:vAlign w:val="center"/>
          </w:tcPr>
          <w:p w:rsidR="0040606A" w:rsidRPr="00DD1B65" w:rsidRDefault="0040606A" w:rsidP="00C055EF">
            <w:pPr>
              <w:spacing w:line="340" w:lineRule="exact"/>
              <w:ind w:rightChars="4" w:right="14"/>
              <w:jc w:val="right"/>
              <w:rPr>
                <w:rFonts w:ascii="Times New Roman" w:eastAsia="新細明體"/>
                <w:kern w:val="0"/>
                <w:sz w:val="20"/>
              </w:rPr>
            </w:pPr>
            <w:r w:rsidRPr="00DD1B65">
              <w:rPr>
                <w:rFonts w:ascii="Times New Roman" w:eastAsia="新細明體"/>
                <w:kern w:val="0"/>
                <w:sz w:val="20"/>
              </w:rPr>
              <w:t>16.96</w:t>
            </w:r>
          </w:p>
        </w:tc>
        <w:tc>
          <w:tcPr>
            <w:tcW w:w="1106" w:type="dxa"/>
            <w:tcBorders>
              <w:left w:val="single" w:sz="8" w:space="0" w:color="auto"/>
            </w:tcBorders>
            <w:shd w:val="clear" w:color="auto" w:fill="auto"/>
            <w:noWrap/>
            <w:vAlign w:val="center"/>
          </w:tcPr>
          <w:p w:rsidR="0040606A" w:rsidRPr="00DD1B65" w:rsidRDefault="0040606A" w:rsidP="00C055EF">
            <w:pPr>
              <w:spacing w:line="340" w:lineRule="exact"/>
              <w:ind w:rightChars="4" w:right="14"/>
              <w:jc w:val="right"/>
              <w:rPr>
                <w:rFonts w:ascii="Times New Roman" w:eastAsia="新細明體"/>
                <w:kern w:val="0"/>
                <w:sz w:val="20"/>
              </w:rPr>
            </w:pPr>
            <w:r w:rsidRPr="00DD1B65">
              <w:rPr>
                <w:rFonts w:ascii="Times New Roman" w:eastAsia="新細明體"/>
                <w:kern w:val="0"/>
                <w:sz w:val="20"/>
              </w:rPr>
              <w:t>8.49</w:t>
            </w:r>
          </w:p>
        </w:tc>
      </w:tr>
      <w:tr w:rsidR="0040606A" w:rsidRPr="000F70AD" w:rsidTr="00C055EF">
        <w:trPr>
          <w:trHeight w:val="44"/>
        </w:trPr>
        <w:tc>
          <w:tcPr>
            <w:tcW w:w="574" w:type="dxa"/>
            <w:vMerge w:val="restart"/>
            <w:vAlign w:val="center"/>
          </w:tcPr>
          <w:p w:rsidR="0040606A" w:rsidRPr="002F1725" w:rsidRDefault="0040606A" w:rsidP="00C055EF">
            <w:pPr>
              <w:widowControl/>
              <w:kinsoku w:val="0"/>
              <w:spacing w:line="340" w:lineRule="exact"/>
              <w:jc w:val="center"/>
              <w:rPr>
                <w:rFonts w:ascii="Times New Roman"/>
                <w:kern w:val="0"/>
                <w:sz w:val="24"/>
                <w:szCs w:val="24"/>
              </w:rPr>
            </w:pPr>
            <w:r w:rsidRPr="002F1725">
              <w:rPr>
                <w:rFonts w:ascii="Times New Roman"/>
                <w:kern w:val="0"/>
                <w:sz w:val="24"/>
                <w:szCs w:val="24"/>
              </w:rPr>
              <w:t>102</w:t>
            </w:r>
          </w:p>
        </w:tc>
        <w:tc>
          <w:tcPr>
            <w:tcW w:w="658" w:type="dxa"/>
            <w:shd w:val="clear" w:color="auto" w:fill="auto"/>
            <w:noWrap/>
            <w:vAlign w:val="center"/>
          </w:tcPr>
          <w:p w:rsidR="0040606A" w:rsidRPr="002F1725" w:rsidRDefault="0040606A" w:rsidP="00C055EF">
            <w:pPr>
              <w:widowControl/>
              <w:spacing w:line="340" w:lineRule="exact"/>
              <w:jc w:val="center"/>
              <w:rPr>
                <w:rFonts w:ascii="Times New Roman" w:eastAsia="新細明體"/>
                <w:spacing w:val="-20"/>
                <w:kern w:val="0"/>
                <w:sz w:val="24"/>
                <w:szCs w:val="24"/>
              </w:rPr>
            </w:pPr>
            <w:r w:rsidRPr="002F1725">
              <w:rPr>
                <w:rFonts w:ascii="Times New Roman"/>
                <w:spacing w:val="-20"/>
                <w:kern w:val="0"/>
                <w:sz w:val="24"/>
                <w:szCs w:val="24"/>
              </w:rPr>
              <w:t>合計</w:t>
            </w:r>
          </w:p>
        </w:tc>
        <w:tc>
          <w:tcPr>
            <w:tcW w:w="1190" w:type="dxa"/>
            <w:vAlign w:val="center"/>
          </w:tcPr>
          <w:p w:rsidR="0040606A" w:rsidRPr="002F1725" w:rsidRDefault="0040606A" w:rsidP="00C055EF">
            <w:pPr>
              <w:widowControl/>
              <w:spacing w:line="340" w:lineRule="exact"/>
              <w:ind w:rightChars="4" w:right="14"/>
              <w:jc w:val="right"/>
              <w:rPr>
                <w:rFonts w:ascii="Times New Roman" w:eastAsia="新細明體"/>
                <w:spacing w:val="-20"/>
                <w:kern w:val="0"/>
                <w:sz w:val="20"/>
              </w:rPr>
            </w:pPr>
            <w:r w:rsidRPr="002F1725">
              <w:rPr>
                <w:rFonts w:ascii="Times New Roman" w:eastAsia="新細明體"/>
                <w:spacing w:val="-20"/>
                <w:kern w:val="0"/>
                <w:sz w:val="20"/>
              </w:rPr>
              <w:t xml:space="preserve">12,714,267,228 </w:t>
            </w:r>
          </w:p>
        </w:tc>
        <w:tc>
          <w:tcPr>
            <w:tcW w:w="1105" w:type="dxa"/>
            <w:shd w:val="clear" w:color="auto" w:fill="auto"/>
            <w:noWrap/>
            <w:vAlign w:val="center"/>
          </w:tcPr>
          <w:p w:rsidR="0040606A" w:rsidRPr="002F1725" w:rsidRDefault="0040606A" w:rsidP="00C055EF">
            <w:pPr>
              <w:widowControl/>
              <w:spacing w:line="340" w:lineRule="exact"/>
              <w:ind w:rightChars="4" w:right="14"/>
              <w:jc w:val="right"/>
              <w:rPr>
                <w:rFonts w:ascii="Times New Roman" w:eastAsia="新細明體"/>
                <w:spacing w:val="-20"/>
                <w:kern w:val="0"/>
                <w:sz w:val="20"/>
              </w:rPr>
            </w:pPr>
            <w:r w:rsidRPr="002F1725">
              <w:rPr>
                <w:rFonts w:ascii="Times New Roman" w:eastAsia="新細明體"/>
                <w:spacing w:val="-20"/>
                <w:kern w:val="0"/>
                <w:sz w:val="20"/>
              </w:rPr>
              <w:t xml:space="preserve">2,533,295,125 </w:t>
            </w:r>
          </w:p>
        </w:tc>
        <w:tc>
          <w:tcPr>
            <w:tcW w:w="994" w:type="dxa"/>
            <w:shd w:val="clear" w:color="auto" w:fill="auto"/>
            <w:noWrap/>
            <w:vAlign w:val="center"/>
          </w:tcPr>
          <w:p w:rsidR="0040606A" w:rsidRPr="002F1725" w:rsidRDefault="0040606A" w:rsidP="00C055EF">
            <w:pPr>
              <w:widowControl/>
              <w:spacing w:line="340" w:lineRule="exact"/>
              <w:ind w:rightChars="4" w:right="14"/>
              <w:jc w:val="right"/>
              <w:rPr>
                <w:rFonts w:ascii="Times New Roman" w:eastAsia="新細明體"/>
                <w:spacing w:val="-20"/>
                <w:kern w:val="0"/>
                <w:sz w:val="20"/>
              </w:rPr>
            </w:pPr>
            <w:r w:rsidRPr="002F1725">
              <w:rPr>
                <w:rFonts w:ascii="Times New Roman" w:eastAsia="新細明體"/>
                <w:spacing w:val="-20"/>
                <w:kern w:val="0"/>
                <w:sz w:val="20"/>
              </w:rPr>
              <w:t xml:space="preserve">266,643,311 </w:t>
            </w:r>
          </w:p>
        </w:tc>
        <w:tc>
          <w:tcPr>
            <w:tcW w:w="1120" w:type="dxa"/>
            <w:tcBorders>
              <w:right w:val="single" w:sz="8" w:space="0" w:color="auto"/>
            </w:tcBorders>
            <w:shd w:val="clear" w:color="auto" w:fill="auto"/>
            <w:noWrap/>
            <w:vAlign w:val="center"/>
          </w:tcPr>
          <w:p w:rsidR="0040606A" w:rsidRPr="002F1725" w:rsidRDefault="0040606A" w:rsidP="00C055EF">
            <w:pPr>
              <w:widowControl/>
              <w:spacing w:line="340" w:lineRule="exact"/>
              <w:ind w:rightChars="4" w:right="14"/>
              <w:jc w:val="right"/>
              <w:rPr>
                <w:rFonts w:ascii="Times New Roman" w:eastAsia="新細明體"/>
                <w:spacing w:val="-20"/>
                <w:kern w:val="0"/>
                <w:sz w:val="20"/>
              </w:rPr>
            </w:pPr>
            <w:r w:rsidRPr="002F1725">
              <w:rPr>
                <w:rFonts w:ascii="Times New Roman" w:eastAsia="新細明體"/>
                <w:spacing w:val="-20"/>
                <w:kern w:val="0"/>
                <w:sz w:val="20"/>
              </w:rPr>
              <w:t xml:space="preserve">2,281,521,647 </w:t>
            </w:r>
          </w:p>
        </w:tc>
        <w:tc>
          <w:tcPr>
            <w:tcW w:w="1134" w:type="dxa"/>
            <w:tcBorders>
              <w:left w:val="single" w:sz="8" w:space="0" w:color="auto"/>
              <w:right w:val="single" w:sz="8" w:space="0" w:color="auto"/>
            </w:tcBorders>
            <w:shd w:val="clear" w:color="auto" w:fill="auto"/>
            <w:noWrap/>
            <w:vAlign w:val="center"/>
          </w:tcPr>
          <w:p w:rsidR="0040606A" w:rsidRPr="002F1725" w:rsidRDefault="0040606A" w:rsidP="00C055EF">
            <w:pPr>
              <w:widowControl/>
              <w:spacing w:line="340" w:lineRule="exact"/>
              <w:ind w:rightChars="4" w:right="14"/>
              <w:jc w:val="right"/>
              <w:rPr>
                <w:rFonts w:ascii="Times New Roman" w:eastAsia="新細明體"/>
                <w:spacing w:val="-20"/>
                <w:kern w:val="0"/>
                <w:sz w:val="20"/>
              </w:rPr>
            </w:pPr>
            <w:r w:rsidRPr="002F1725">
              <w:rPr>
                <w:rFonts w:ascii="Times New Roman" w:eastAsia="新細明體"/>
                <w:spacing w:val="-20"/>
                <w:kern w:val="0"/>
                <w:sz w:val="20"/>
              </w:rPr>
              <w:t xml:space="preserve">4,172,729,346 </w:t>
            </w:r>
          </w:p>
        </w:tc>
        <w:tc>
          <w:tcPr>
            <w:tcW w:w="1134" w:type="dxa"/>
            <w:tcBorders>
              <w:left w:val="single" w:sz="8" w:space="0" w:color="auto"/>
              <w:right w:val="single" w:sz="8" w:space="0" w:color="auto"/>
            </w:tcBorders>
            <w:shd w:val="clear" w:color="auto" w:fill="auto"/>
            <w:noWrap/>
            <w:vAlign w:val="center"/>
          </w:tcPr>
          <w:p w:rsidR="0040606A" w:rsidRPr="002F1725" w:rsidRDefault="0040606A" w:rsidP="00C055EF">
            <w:pPr>
              <w:widowControl/>
              <w:spacing w:line="340" w:lineRule="exact"/>
              <w:ind w:rightChars="4" w:right="14"/>
              <w:jc w:val="right"/>
              <w:rPr>
                <w:rFonts w:ascii="Times New Roman" w:eastAsia="新細明體"/>
                <w:spacing w:val="-20"/>
                <w:kern w:val="0"/>
                <w:sz w:val="20"/>
              </w:rPr>
            </w:pPr>
            <w:r w:rsidRPr="002F1725">
              <w:rPr>
                <w:rFonts w:ascii="Times New Roman" w:eastAsia="新細明體"/>
                <w:spacing w:val="-20"/>
                <w:kern w:val="0"/>
                <w:sz w:val="20"/>
              </w:rPr>
              <w:t xml:space="preserve">2,438,060,911 </w:t>
            </w:r>
          </w:p>
        </w:tc>
        <w:tc>
          <w:tcPr>
            <w:tcW w:w="1106" w:type="dxa"/>
            <w:tcBorders>
              <w:left w:val="single" w:sz="8" w:space="0" w:color="auto"/>
            </w:tcBorders>
            <w:shd w:val="clear" w:color="auto" w:fill="auto"/>
            <w:noWrap/>
            <w:vAlign w:val="center"/>
          </w:tcPr>
          <w:p w:rsidR="0040606A" w:rsidRPr="002F1725" w:rsidRDefault="0040606A" w:rsidP="00C055EF">
            <w:pPr>
              <w:widowControl/>
              <w:spacing w:line="340" w:lineRule="exact"/>
              <w:ind w:rightChars="4" w:right="14"/>
              <w:jc w:val="right"/>
              <w:rPr>
                <w:rFonts w:ascii="Times New Roman" w:eastAsia="新細明體"/>
                <w:spacing w:val="-20"/>
                <w:kern w:val="0"/>
                <w:sz w:val="20"/>
              </w:rPr>
            </w:pPr>
            <w:r w:rsidRPr="002F1725">
              <w:rPr>
                <w:rFonts w:ascii="Times New Roman" w:eastAsia="新細明體"/>
                <w:spacing w:val="-20"/>
                <w:kern w:val="0"/>
                <w:sz w:val="20"/>
              </w:rPr>
              <w:t xml:space="preserve">1,022,016,888 </w:t>
            </w:r>
          </w:p>
        </w:tc>
      </w:tr>
      <w:tr w:rsidR="0040606A" w:rsidRPr="000F70AD" w:rsidTr="00C055EF">
        <w:trPr>
          <w:trHeight w:val="44"/>
        </w:trPr>
        <w:tc>
          <w:tcPr>
            <w:tcW w:w="574" w:type="dxa"/>
            <w:vMerge/>
            <w:vAlign w:val="center"/>
          </w:tcPr>
          <w:p w:rsidR="0040606A" w:rsidRPr="002F1725" w:rsidRDefault="0040606A" w:rsidP="00C055EF">
            <w:pPr>
              <w:widowControl/>
              <w:kinsoku w:val="0"/>
              <w:spacing w:line="340" w:lineRule="exact"/>
              <w:jc w:val="center"/>
              <w:rPr>
                <w:rFonts w:ascii="Times New Roman"/>
                <w:kern w:val="0"/>
                <w:sz w:val="24"/>
                <w:szCs w:val="24"/>
              </w:rPr>
            </w:pPr>
          </w:p>
        </w:tc>
        <w:tc>
          <w:tcPr>
            <w:tcW w:w="658" w:type="dxa"/>
            <w:shd w:val="clear" w:color="auto" w:fill="auto"/>
            <w:noWrap/>
            <w:vAlign w:val="center"/>
          </w:tcPr>
          <w:p w:rsidR="0040606A" w:rsidRPr="002F1725" w:rsidRDefault="0040606A" w:rsidP="00C055EF">
            <w:pPr>
              <w:widowControl/>
              <w:spacing w:line="340" w:lineRule="exact"/>
              <w:jc w:val="center"/>
              <w:rPr>
                <w:rFonts w:ascii="Times New Roman"/>
                <w:spacing w:val="-20"/>
                <w:kern w:val="0"/>
                <w:sz w:val="24"/>
                <w:szCs w:val="24"/>
              </w:rPr>
            </w:pPr>
            <w:r w:rsidRPr="002F1725">
              <w:rPr>
                <w:rFonts w:ascii="Times New Roman" w:hint="eastAsia"/>
                <w:spacing w:val="-20"/>
                <w:kern w:val="0"/>
                <w:sz w:val="24"/>
                <w:szCs w:val="24"/>
              </w:rPr>
              <w:t>比率</w:t>
            </w:r>
          </w:p>
        </w:tc>
        <w:tc>
          <w:tcPr>
            <w:tcW w:w="1190" w:type="dxa"/>
            <w:vAlign w:val="center"/>
          </w:tcPr>
          <w:p w:rsidR="0040606A" w:rsidRPr="00DD1B65" w:rsidRDefault="0040606A" w:rsidP="00C055EF">
            <w:pPr>
              <w:widowControl/>
              <w:spacing w:line="340" w:lineRule="exact"/>
              <w:ind w:rightChars="4" w:right="14"/>
              <w:jc w:val="right"/>
              <w:rPr>
                <w:rFonts w:ascii="Times New Roman" w:eastAsia="新細明體"/>
                <w:kern w:val="0"/>
                <w:sz w:val="20"/>
              </w:rPr>
            </w:pPr>
            <w:r w:rsidRPr="00DD1B65">
              <w:rPr>
                <w:rFonts w:ascii="Times New Roman" w:eastAsia="新細明體"/>
                <w:kern w:val="0"/>
                <w:sz w:val="20"/>
              </w:rPr>
              <w:t>100</w:t>
            </w:r>
            <w:r w:rsidRPr="00DD1B65">
              <w:rPr>
                <w:rFonts w:ascii="Times New Roman" w:eastAsia="新細明體" w:hint="eastAsia"/>
                <w:kern w:val="0"/>
                <w:sz w:val="20"/>
              </w:rPr>
              <w:t>.00</w:t>
            </w:r>
          </w:p>
        </w:tc>
        <w:tc>
          <w:tcPr>
            <w:tcW w:w="1105" w:type="dxa"/>
            <w:shd w:val="clear" w:color="auto" w:fill="auto"/>
            <w:noWrap/>
            <w:vAlign w:val="center"/>
          </w:tcPr>
          <w:p w:rsidR="0040606A" w:rsidRPr="00DD1B65" w:rsidRDefault="0040606A" w:rsidP="00C055EF">
            <w:pPr>
              <w:spacing w:line="340" w:lineRule="exact"/>
              <w:ind w:rightChars="4" w:right="14"/>
              <w:jc w:val="right"/>
              <w:rPr>
                <w:rFonts w:ascii="Times New Roman" w:eastAsia="新細明體"/>
                <w:kern w:val="0"/>
                <w:sz w:val="20"/>
              </w:rPr>
            </w:pPr>
            <w:r w:rsidRPr="00DD1B65">
              <w:rPr>
                <w:rFonts w:ascii="Times New Roman" w:eastAsia="新細明體"/>
                <w:kern w:val="0"/>
                <w:sz w:val="20"/>
              </w:rPr>
              <w:t>19.92</w:t>
            </w:r>
          </w:p>
        </w:tc>
        <w:tc>
          <w:tcPr>
            <w:tcW w:w="994" w:type="dxa"/>
            <w:shd w:val="clear" w:color="auto" w:fill="auto"/>
            <w:noWrap/>
            <w:vAlign w:val="center"/>
          </w:tcPr>
          <w:p w:rsidR="0040606A" w:rsidRPr="00DD1B65" w:rsidRDefault="0040606A" w:rsidP="00C055EF">
            <w:pPr>
              <w:spacing w:line="340" w:lineRule="exact"/>
              <w:ind w:rightChars="4" w:right="14"/>
              <w:jc w:val="right"/>
              <w:rPr>
                <w:rFonts w:ascii="Times New Roman" w:eastAsia="新細明體"/>
                <w:kern w:val="0"/>
                <w:sz w:val="20"/>
              </w:rPr>
            </w:pPr>
            <w:r w:rsidRPr="00DD1B65">
              <w:rPr>
                <w:rFonts w:ascii="Times New Roman" w:eastAsia="新細明體"/>
                <w:kern w:val="0"/>
                <w:sz w:val="20"/>
              </w:rPr>
              <w:t>2.10</w:t>
            </w:r>
          </w:p>
        </w:tc>
        <w:tc>
          <w:tcPr>
            <w:tcW w:w="1120" w:type="dxa"/>
            <w:tcBorders>
              <w:right w:val="single" w:sz="8" w:space="0" w:color="auto"/>
            </w:tcBorders>
            <w:shd w:val="clear" w:color="auto" w:fill="auto"/>
            <w:noWrap/>
            <w:vAlign w:val="center"/>
          </w:tcPr>
          <w:p w:rsidR="0040606A" w:rsidRPr="00DD1B65" w:rsidRDefault="0040606A" w:rsidP="00C055EF">
            <w:pPr>
              <w:spacing w:line="340" w:lineRule="exact"/>
              <w:ind w:rightChars="4" w:right="14"/>
              <w:jc w:val="right"/>
              <w:rPr>
                <w:rFonts w:ascii="Times New Roman" w:eastAsia="新細明體"/>
                <w:kern w:val="0"/>
                <w:sz w:val="20"/>
              </w:rPr>
            </w:pPr>
            <w:r w:rsidRPr="00DD1B65">
              <w:rPr>
                <w:rFonts w:ascii="Times New Roman" w:eastAsia="新細明體"/>
                <w:kern w:val="0"/>
                <w:sz w:val="20"/>
              </w:rPr>
              <w:t>17.94</w:t>
            </w:r>
          </w:p>
        </w:tc>
        <w:tc>
          <w:tcPr>
            <w:tcW w:w="1134" w:type="dxa"/>
            <w:tcBorders>
              <w:left w:val="single" w:sz="8" w:space="0" w:color="auto"/>
              <w:right w:val="single" w:sz="8" w:space="0" w:color="auto"/>
            </w:tcBorders>
            <w:shd w:val="clear" w:color="auto" w:fill="auto"/>
            <w:noWrap/>
            <w:vAlign w:val="center"/>
          </w:tcPr>
          <w:p w:rsidR="0040606A" w:rsidRPr="00DD1B65" w:rsidRDefault="0040606A" w:rsidP="00C055EF">
            <w:pPr>
              <w:spacing w:line="340" w:lineRule="exact"/>
              <w:ind w:rightChars="4" w:right="14"/>
              <w:jc w:val="right"/>
              <w:rPr>
                <w:rFonts w:ascii="Times New Roman" w:eastAsia="新細明體"/>
                <w:kern w:val="0"/>
                <w:sz w:val="20"/>
              </w:rPr>
            </w:pPr>
            <w:r w:rsidRPr="00DD1B65">
              <w:rPr>
                <w:rFonts w:ascii="Times New Roman" w:eastAsia="新細明體"/>
                <w:kern w:val="0"/>
                <w:sz w:val="20"/>
              </w:rPr>
              <w:t>32.82</w:t>
            </w:r>
          </w:p>
        </w:tc>
        <w:tc>
          <w:tcPr>
            <w:tcW w:w="1134" w:type="dxa"/>
            <w:tcBorders>
              <w:left w:val="single" w:sz="8" w:space="0" w:color="auto"/>
              <w:right w:val="single" w:sz="8" w:space="0" w:color="auto"/>
            </w:tcBorders>
            <w:shd w:val="clear" w:color="auto" w:fill="auto"/>
            <w:noWrap/>
            <w:vAlign w:val="center"/>
          </w:tcPr>
          <w:p w:rsidR="0040606A" w:rsidRPr="00DD1B65" w:rsidRDefault="0040606A" w:rsidP="00C055EF">
            <w:pPr>
              <w:spacing w:line="340" w:lineRule="exact"/>
              <w:ind w:rightChars="4" w:right="14"/>
              <w:jc w:val="right"/>
              <w:rPr>
                <w:rFonts w:ascii="Times New Roman" w:eastAsia="新細明體"/>
                <w:kern w:val="0"/>
                <w:sz w:val="20"/>
              </w:rPr>
            </w:pPr>
            <w:r w:rsidRPr="00DD1B65">
              <w:rPr>
                <w:rFonts w:ascii="Times New Roman" w:eastAsia="新細明體"/>
                <w:kern w:val="0"/>
                <w:sz w:val="20"/>
              </w:rPr>
              <w:t>19.18</w:t>
            </w:r>
          </w:p>
        </w:tc>
        <w:tc>
          <w:tcPr>
            <w:tcW w:w="1106" w:type="dxa"/>
            <w:tcBorders>
              <w:left w:val="single" w:sz="8" w:space="0" w:color="auto"/>
            </w:tcBorders>
            <w:shd w:val="clear" w:color="auto" w:fill="auto"/>
            <w:noWrap/>
            <w:vAlign w:val="center"/>
          </w:tcPr>
          <w:p w:rsidR="0040606A" w:rsidRPr="00DD1B65" w:rsidRDefault="0040606A" w:rsidP="00C055EF">
            <w:pPr>
              <w:spacing w:line="340" w:lineRule="exact"/>
              <w:ind w:rightChars="4" w:right="14"/>
              <w:jc w:val="right"/>
              <w:rPr>
                <w:rFonts w:ascii="Times New Roman" w:eastAsia="新細明體"/>
                <w:kern w:val="0"/>
                <w:sz w:val="20"/>
              </w:rPr>
            </w:pPr>
            <w:r w:rsidRPr="00DD1B65">
              <w:rPr>
                <w:rFonts w:ascii="Times New Roman" w:eastAsia="新細明體"/>
                <w:kern w:val="0"/>
                <w:sz w:val="20"/>
              </w:rPr>
              <w:t>8.04</w:t>
            </w:r>
          </w:p>
        </w:tc>
      </w:tr>
      <w:tr w:rsidR="0040606A" w:rsidRPr="000F70AD" w:rsidTr="00C055EF">
        <w:trPr>
          <w:trHeight w:val="324"/>
        </w:trPr>
        <w:tc>
          <w:tcPr>
            <w:tcW w:w="574" w:type="dxa"/>
            <w:vMerge w:val="restart"/>
            <w:vAlign w:val="center"/>
          </w:tcPr>
          <w:p w:rsidR="0040606A" w:rsidRPr="002F1725" w:rsidRDefault="0040606A" w:rsidP="00C055EF">
            <w:pPr>
              <w:widowControl/>
              <w:kinsoku w:val="0"/>
              <w:spacing w:line="340" w:lineRule="exact"/>
              <w:jc w:val="center"/>
              <w:rPr>
                <w:rFonts w:ascii="Times New Roman"/>
                <w:kern w:val="0"/>
                <w:sz w:val="24"/>
                <w:szCs w:val="24"/>
              </w:rPr>
            </w:pPr>
            <w:r w:rsidRPr="002F1725">
              <w:rPr>
                <w:rFonts w:ascii="Times New Roman"/>
                <w:kern w:val="0"/>
                <w:sz w:val="24"/>
                <w:szCs w:val="24"/>
              </w:rPr>
              <w:t>103</w:t>
            </w:r>
          </w:p>
        </w:tc>
        <w:tc>
          <w:tcPr>
            <w:tcW w:w="658" w:type="dxa"/>
            <w:shd w:val="clear" w:color="auto" w:fill="auto"/>
            <w:noWrap/>
            <w:vAlign w:val="center"/>
          </w:tcPr>
          <w:p w:rsidR="0040606A" w:rsidRPr="002F1725" w:rsidRDefault="0040606A" w:rsidP="00C055EF">
            <w:pPr>
              <w:widowControl/>
              <w:spacing w:line="340" w:lineRule="exact"/>
              <w:jc w:val="center"/>
              <w:rPr>
                <w:rFonts w:ascii="Times New Roman" w:eastAsia="新細明體"/>
                <w:spacing w:val="-20"/>
                <w:kern w:val="0"/>
                <w:sz w:val="24"/>
                <w:szCs w:val="24"/>
              </w:rPr>
            </w:pPr>
            <w:r w:rsidRPr="002F1725">
              <w:rPr>
                <w:rFonts w:ascii="Times New Roman"/>
                <w:spacing w:val="-20"/>
                <w:kern w:val="0"/>
                <w:sz w:val="24"/>
                <w:szCs w:val="24"/>
              </w:rPr>
              <w:t>合計</w:t>
            </w:r>
          </w:p>
        </w:tc>
        <w:tc>
          <w:tcPr>
            <w:tcW w:w="1190" w:type="dxa"/>
            <w:vAlign w:val="center"/>
          </w:tcPr>
          <w:p w:rsidR="0040606A" w:rsidRPr="002F1725" w:rsidRDefault="0040606A" w:rsidP="00C055EF">
            <w:pPr>
              <w:widowControl/>
              <w:spacing w:line="340" w:lineRule="exact"/>
              <w:ind w:rightChars="4" w:right="14"/>
              <w:jc w:val="right"/>
              <w:rPr>
                <w:rFonts w:ascii="Times New Roman" w:eastAsia="新細明體"/>
                <w:spacing w:val="-20"/>
                <w:kern w:val="0"/>
                <w:sz w:val="20"/>
              </w:rPr>
            </w:pPr>
            <w:r w:rsidRPr="002F1725">
              <w:rPr>
                <w:rFonts w:ascii="Times New Roman" w:eastAsia="新細明體"/>
                <w:spacing w:val="-20"/>
                <w:kern w:val="0"/>
                <w:sz w:val="20"/>
              </w:rPr>
              <w:t xml:space="preserve">15,861,978,802 </w:t>
            </w:r>
          </w:p>
        </w:tc>
        <w:tc>
          <w:tcPr>
            <w:tcW w:w="1105" w:type="dxa"/>
            <w:shd w:val="clear" w:color="auto" w:fill="auto"/>
            <w:noWrap/>
            <w:vAlign w:val="center"/>
          </w:tcPr>
          <w:p w:rsidR="0040606A" w:rsidRPr="002F1725" w:rsidRDefault="0040606A" w:rsidP="00C055EF">
            <w:pPr>
              <w:widowControl/>
              <w:spacing w:line="340" w:lineRule="exact"/>
              <w:ind w:rightChars="4" w:right="14"/>
              <w:jc w:val="right"/>
              <w:rPr>
                <w:rFonts w:ascii="Times New Roman" w:eastAsia="新細明體"/>
                <w:spacing w:val="-20"/>
                <w:kern w:val="0"/>
                <w:sz w:val="20"/>
              </w:rPr>
            </w:pPr>
            <w:r w:rsidRPr="002F1725">
              <w:rPr>
                <w:rFonts w:ascii="Times New Roman" w:eastAsia="新細明體"/>
                <w:spacing w:val="-20"/>
                <w:kern w:val="0"/>
                <w:sz w:val="20"/>
              </w:rPr>
              <w:t xml:space="preserve">2,222,432,339 </w:t>
            </w:r>
          </w:p>
        </w:tc>
        <w:tc>
          <w:tcPr>
            <w:tcW w:w="994" w:type="dxa"/>
            <w:shd w:val="clear" w:color="auto" w:fill="auto"/>
            <w:noWrap/>
            <w:vAlign w:val="center"/>
          </w:tcPr>
          <w:p w:rsidR="0040606A" w:rsidRPr="002F1725" w:rsidRDefault="0040606A" w:rsidP="00C055EF">
            <w:pPr>
              <w:widowControl/>
              <w:spacing w:line="340" w:lineRule="exact"/>
              <w:ind w:rightChars="4" w:right="14"/>
              <w:jc w:val="right"/>
              <w:rPr>
                <w:rFonts w:ascii="Times New Roman" w:eastAsia="新細明體"/>
                <w:spacing w:val="-20"/>
                <w:kern w:val="0"/>
                <w:sz w:val="20"/>
              </w:rPr>
            </w:pPr>
            <w:r w:rsidRPr="002F1725">
              <w:rPr>
                <w:rFonts w:ascii="Times New Roman" w:eastAsia="新細明體"/>
                <w:spacing w:val="-20"/>
                <w:kern w:val="0"/>
                <w:sz w:val="20"/>
              </w:rPr>
              <w:t xml:space="preserve">342,478,025 </w:t>
            </w:r>
          </w:p>
        </w:tc>
        <w:tc>
          <w:tcPr>
            <w:tcW w:w="1120" w:type="dxa"/>
            <w:tcBorders>
              <w:right w:val="single" w:sz="8" w:space="0" w:color="auto"/>
            </w:tcBorders>
            <w:shd w:val="clear" w:color="auto" w:fill="auto"/>
            <w:noWrap/>
            <w:vAlign w:val="center"/>
          </w:tcPr>
          <w:p w:rsidR="0040606A" w:rsidRPr="002F1725" w:rsidRDefault="0040606A" w:rsidP="00C055EF">
            <w:pPr>
              <w:widowControl/>
              <w:spacing w:line="340" w:lineRule="exact"/>
              <w:ind w:rightChars="4" w:right="14"/>
              <w:jc w:val="right"/>
              <w:rPr>
                <w:rFonts w:ascii="Times New Roman" w:eastAsia="新細明體"/>
                <w:spacing w:val="-20"/>
                <w:kern w:val="0"/>
                <w:sz w:val="20"/>
              </w:rPr>
            </w:pPr>
            <w:r w:rsidRPr="002F1725">
              <w:rPr>
                <w:rFonts w:ascii="Times New Roman" w:eastAsia="新細明體"/>
                <w:spacing w:val="-20"/>
                <w:kern w:val="0"/>
                <w:sz w:val="20"/>
              </w:rPr>
              <w:t xml:space="preserve">2,782,431,378 </w:t>
            </w:r>
          </w:p>
        </w:tc>
        <w:tc>
          <w:tcPr>
            <w:tcW w:w="1134" w:type="dxa"/>
            <w:tcBorders>
              <w:left w:val="single" w:sz="8" w:space="0" w:color="auto"/>
              <w:right w:val="single" w:sz="8" w:space="0" w:color="auto"/>
            </w:tcBorders>
            <w:shd w:val="clear" w:color="auto" w:fill="auto"/>
            <w:noWrap/>
            <w:vAlign w:val="center"/>
          </w:tcPr>
          <w:p w:rsidR="0040606A" w:rsidRPr="002F1725" w:rsidRDefault="0040606A" w:rsidP="00C055EF">
            <w:pPr>
              <w:widowControl/>
              <w:spacing w:line="340" w:lineRule="exact"/>
              <w:ind w:rightChars="4" w:right="14"/>
              <w:jc w:val="right"/>
              <w:rPr>
                <w:rFonts w:ascii="Times New Roman" w:eastAsia="新細明體"/>
                <w:spacing w:val="-20"/>
                <w:kern w:val="0"/>
                <w:sz w:val="20"/>
              </w:rPr>
            </w:pPr>
            <w:r w:rsidRPr="002F1725">
              <w:rPr>
                <w:rFonts w:ascii="Times New Roman" w:eastAsia="新細明體"/>
                <w:spacing w:val="-20"/>
                <w:kern w:val="0"/>
                <w:sz w:val="20"/>
              </w:rPr>
              <w:t xml:space="preserve">7,015,584,261 </w:t>
            </w:r>
          </w:p>
        </w:tc>
        <w:tc>
          <w:tcPr>
            <w:tcW w:w="1134" w:type="dxa"/>
            <w:tcBorders>
              <w:left w:val="single" w:sz="8" w:space="0" w:color="auto"/>
              <w:right w:val="single" w:sz="8" w:space="0" w:color="auto"/>
            </w:tcBorders>
            <w:shd w:val="clear" w:color="auto" w:fill="auto"/>
            <w:noWrap/>
            <w:vAlign w:val="center"/>
          </w:tcPr>
          <w:p w:rsidR="0040606A" w:rsidRPr="002F1725" w:rsidRDefault="0040606A" w:rsidP="00C055EF">
            <w:pPr>
              <w:widowControl/>
              <w:spacing w:line="340" w:lineRule="exact"/>
              <w:ind w:rightChars="4" w:right="14"/>
              <w:jc w:val="right"/>
              <w:rPr>
                <w:rFonts w:ascii="Times New Roman" w:eastAsia="新細明體"/>
                <w:spacing w:val="-20"/>
                <w:kern w:val="0"/>
                <w:sz w:val="20"/>
              </w:rPr>
            </w:pPr>
            <w:r w:rsidRPr="002F1725">
              <w:rPr>
                <w:rFonts w:ascii="Times New Roman" w:eastAsia="新細明體"/>
                <w:spacing w:val="-20"/>
                <w:kern w:val="0"/>
                <w:sz w:val="20"/>
              </w:rPr>
              <w:t xml:space="preserve">2,334,042,894 </w:t>
            </w:r>
          </w:p>
        </w:tc>
        <w:tc>
          <w:tcPr>
            <w:tcW w:w="1106" w:type="dxa"/>
            <w:tcBorders>
              <w:left w:val="single" w:sz="8" w:space="0" w:color="auto"/>
            </w:tcBorders>
            <w:shd w:val="clear" w:color="auto" w:fill="auto"/>
            <w:noWrap/>
            <w:vAlign w:val="center"/>
          </w:tcPr>
          <w:p w:rsidR="0040606A" w:rsidRPr="002F1725" w:rsidRDefault="0040606A" w:rsidP="00C055EF">
            <w:pPr>
              <w:widowControl/>
              <w:spacing w:line="340" w:lineRule="exact"/>
              <w:ind w:rightChars="4" w:right="14"/>
              <w:jc w:val="right"/>
              <w:rPr>
                <w:rFonts w:ascii="Times New Roman" w:eastAsia="新細明體"/>
                <w:spacing w:val="-20"/>
                <w:kern w:val="0"/>
                <w:sz w:val="20"/>
              </w:rPr>
            </w:pPr>
            <w:r w:rsidRPr="002F1725">
              <w:rPr>
                <w:rFonts w:ascii="Times New Roman" w:eastAsia="新細明體"/>
                <w:spacing w:val="-20"/>
                <w:kern w:val="0"/>
                <w:sz w:val="20"/>
              </w:rPr>
              <w:t xml:space="preserve">1,165,009,905 </w:t>
            </w:r>
          </w:p>
        </w:tc>
      </w:tr>
      <w:tr w:rsidR="0040606A" w:rsidRPr="00DD1B65" w:rsidTr="00C055EF">
        <w:trPr>
          <w:trHeight w:val="44"/>
        </w:trPr>
        <w:tc>
          <w:tcPr>
            <w:tcW w:w="574" w:type="dxa"/>
            <w:vMerge/>
            <w:vAlign w:val="center"/>
          </w:tcPr>
          <w:p w:rsidR="0040606A" w:rsidRPr="002F1725" w:rsidRDefault="0040606A" w:rsidP="00C055EF">
            <w:pPr>
              <w:widowControl/>
              <w:kinsoku w:val="0"/>
              <w:spacing w:line="340" w:lineRule="exact"/>
              <w:jc w:val="center"/>
              <w:rPr>
                <w:rFonts w:ascii="Times New Roman"/>
                <w:kern w:val="0"/>
                <w:sz w:val="24"/>
                <w:szCs w:val="24"/>
              </w:rPr>
            </w:pPr>
          </w:p>
        </w:tc>
        <w:tc>
          <w:tcPr>
            <w:tcW w:w="658" w:type="dxa"/>
            <w:shd w:val="clear" w:color="auto" w:fill="auto"/>
            <w:noWrap/>
            <w:vAlign w:val="center"/>
          </w:tcPr>
          <w:p w:rsidR="0040606A" w:rsidRPr="002F1725" w:rsidRDefault="0040606A" w:rsidP="00C055EF">
            <w:pPr>
              <w:widowControl/>
              <w:spacing w:line="340" w:lineRule="exact"/>
              <w:jc w:val="center"/>
              <w:rPr>
                <w:rFonts w:ascii="Times New Roman"/>
                <w:spacing w:val="-20"/>
                <w:kern w:val="0"/>
                <w:sz w:val="24"/>
                <w:szCs w:val="24"/>
              </w:rPr>
            </w:pPr>
            <w:r w:rsidRPr="002F1725">
              <w:rPr>
                <w:rFonts w:ascii="Times New Roman" w:hint="eastAsia"/>
                <w:spacing w:val="-20"/>
                <w:kern w:val="0"/>
                <w:sz w:val="24"/>
                <w:szCs w:val="24"/>
              </w:rPr>
              <w:t>比率</w:t>
            </w:r>
          </w:p>
        </w:tc>
        <w:tc>
          <w:tcPr>
            <w:tcW w:w="1190" w:type="dxa"/>
            <w:vAlign w:val="center"/>
          </w:tcPr>
          <w:p w:rsidR="0040606A" w:rsidRPr="00DD1B65" w:rsidRDefault="0040606A" w:rsidP="00C055EF">
            <w:pPr>
              <w:widowControl/>
              <w:spacing w:line="340" w:lineRule="exact"/>
              <w:ind w:rightChars="4" w:right="14"/>
              <w:jc w:val="right"/>
              <w:rPr>
                <w:rFonts w:ascii="Times New Roman" w:eastAsia="新細明體"/>
                <w:kern w:val="0"/>
                <w:sz w:val="20"/>
              </w:rPr>
            </w:pPr>
            <w:r w:rsidRPr="00DD1B65">
              <w:rPr>
                <w:rFonts w:ascii="Times New Roman" w:eastAsia="新細明體"/>
                <w:kern w:val="0"/>
                <w:sz w:val="20"/>
              </w:rPr>
              <w:t>100</w:t>
            </w:r>
            <w:r w:rsidRPr="00DD1B65">
              <w:rPr>
                <w:rFonts w:ascii="Times New Roman" w:eastAsia="新細明體" w:hint="eastAsia"/>
                <w:kern w:val="0"/>
                <w:sz w:val="20"/>
              </w:rPr>
              <w:t>.00</w:t>
            </w:r>
          </w:p>
        </w:tc>
        <w:tc>
          <w:tcPr>
            <w:tcW w:w="1105" w:type="dxa"/>
            <w:shd w:val="clear" w:color="auto" w:fill="auto"/>
            <w:noWrap/>
            <w:vAlign w:val="center"/>
          </w:tcPr>
          <w:p w:rsidR="0040606A" w:rsidRPr="00DD1B65" w:rsidRDefault="0040606A" w:rsidP="00C055EF">
            <w:pPr>
              <w:spacing w:line="340" w:lineRule="exact"/>
              <w:ind w:rightChars="4" w:right="14"/>
              <w:jc w:val="right"/>
              <w:rPr>
                <w:rFonts w:ascii="Times New Roman" w:eastAsia="新細明體"/>
                <w:kern w:val="0"/>
                <w:sz w:val="20"/>
              </w:rPr>
            </w:pPr>
            <w:r w:rsidRPr="00DD1B65">
              <w:rPr>
                <w:rFonts w:ascii="Times New Roman" w:eastAsia="新細明體"/>
                <w:kern w:val="0"/>
                <w:sz w:val="20"/>
              </w:rPr>
              <w:t>14.01</w:t>
            </w:r>
          </w:p>
        </w:tc>
        <w:tc>
          <w:tcPr>
            <w:tcW w:w="994" w:type="dxa"/>
            <w:shd w:val="clear" w:color="auto" w:fill="auto"/>
            <w:noWrap/>
            <w:vAlign w:val="center"/>
          </w:tcPr>
          <w:p w:rsidR="0040606A" w:rsidRPr="00DD1B65" w:rsidRDefault="0040606A" w:rsidP="00C055EF">
            <w:pPr>
              <w:spacing w:line="340" w:lineRule="exact"/>
              <w:ind w:rightChars="4" w:right="14"/>
              <w:jc w:val="right"/>
              <w:rPr>
                <w:rFonts w:ascii="Times New Roman" w:eastAsia="新細明體"/>
                <w:kern w:val="0"/>
                <w:sz w:val="20"/>
              </w:rPr>
            </w:pPr>
            <w:r w:rsidRPr="00DD1B65">
              <w:rPr>
                <w:rFonts w:ascii="Times New Roman" w:eastAsia="新細明體"/>
                <w:kern w:val="0"/>
                <w:sz w:val="20"/>
              </w:rPr>
              <w:t>2.16</w:t>
            </w:r>
          </w:p>
        </w:tc>
        <w:tc>
          <w:tcPr>
            <w:tcW w:w="1120" w:type="dxa"/>
            <w:tcBorders>
              <w:right w:val="single" w:sz="8" w:space="0" w:color="auto"/>
            </w:tcBorders>
            <w:shd w:val="clear" w:color="auto" w:fill="auto"/>
            <w:noWrap/>
            <w:vAlign w:val="center"/>
          </w:tcPr>
          <w:p w:rsidR="0040606A" w:rsidRPr="00DD1B65" w:rsidRDefault="0040606A" w:rsidP="00C055EF">
            <w:pPr>
              <w:spacing w:line="340" w:lineRule="exact"/>
              <w:ind w:rightChars="4" w:right="14"/>
              <w:jc w:val="right"/>
              <w:rPr>
                <w:rFonts w:ascii="Times New Roman" w:eastAsia="新細明體"/>
                <w:kern w:val="0"/>
                <w:sz w:val="20"/>
              </w:rPr>
            </w:pPr>
            <w:r w:rsidRPr="00DD1B65">
              <w:rPr>
                <w:rFonts w:ascii="Times New Roman" w:eastAsia="新細明體"/>
                <w:kern w:val="0"/>
                <w:sz w:val="20"/>
              </w:rPr>
              <w:t>17.54</w:t>
            </w:r>
          </w:p>
        </w:tc>
        <w:tc>
          <w:tcPr>
            <w:tcW w:w="1134" w:type="dxa"/>
            <w:tcBorders>
              <w:left w:val="single" w:sz="8" w:space="0" w:color="auto"/>
              <w:right w:val="single" w:sz="8" w:space="0" w:color="auto"/>
            </w:tcBorders>
            <w:shd w:val="clear" w:color="auto" w:fill="auto"/>
            <w:noWrap/>
            <w:vAlign w:val="center"/>
          </w:tcPr>
          <w:p w:rsidR="0040606A" w:rsidRPr="00DD1B65" w:rsidRDefault="0040606A" w:rsidP="00C055EF">
            <w:pPr>
              <w:spacing w:line="340" w:lineRule="exact"/>
              <w:ind w:rightChars="4" w:right="14"/>
              <w:jc w:val="right"/>
              <w:rPr>
                <w:rFonts w:ascii="Times New Roman" w:eastAsia="新細明體"/>
                <w:kern w:val="0"/>
                <w:sz w:val="20"/>
              </w:rPr>
            </w:pPr>
            <w:r w:rsidRPr="00DD1B65">
              <w:rPr>
                <w:rFonts w:ascii="Times New Roman" w:eastAsia="新細明體"/>
                <w:kern w:val="0"/>
                <w:sz w:val="20"/>
              </w:rPr>
              <w:t>44.23</w:t>
            </w:r>
          </w:p>
        </w:tc>
        <w:tc>
          <w:tcPr>
            <w:tcW w:w="1134" w:type="dxa"/>
            <w:tcBorders>
              <w:left w:val="single" w:sz="8" w:space="0" w:color="auto"/>
              <w:right w:val="single" w:sz="8" w:space="0" w:color="auto"/>
            </w:tcBorders>
            <w:shd w:val="clear" w:color="auto" w:fill="auto"/>
            <w:noWrap/>
            <w:vAlign w:val="center"/>
          </w:tcPr>
          <w:p w:rsidR="0040606A" w:rsidRPr="00DD1B65" w:rsidRDefault="0040606A" w:rsidP="00C055EF">
            <w:pPr>
              <w:spacing w:line="340" w:lineRule="exact"/>
              <w:ind w:rightChars="4" w:right="14"/>
              <w:jc w:val="right"/>
              <w:rPr>
                <w:rFonts w:ascii="Times New Roman" w:eastAsia="新細明體"/>
                <w:kern w:val="0"/>
                <w:sz w:val="20"/>
              </w:rPr>
            </w:pPr>
            <w:r w:rsidRPr="00DD1B65">
              <w:rPr>
                <w:rFonts w:ascii="Times New Roman" w:eastAsia="新細明體"/>
                <w:kern w:val="0"/>
                <w:sz w:val="20"/>
              </w:rPr>
              <w:t>14.71</w:t>
            </w:r>
          </w:p>
        </w:tc>
        <w:tc>
          <w:tcPr>
            <w:tcW w:w="1106" w:type="dxa"/>
            <w:tcBorders>
              <w:left w:val="single" w:sz="8" w:space="0" w:color="auto"/>
            </w:tcBorders>
            <w:shd w:val="clear" w:color="auto" w:fill="auto"/>
            <w:noWrap/>
            <w:vAlign w:val="center"/>
          </w:tcPr>
          <w:p w:rsidR="0040606A" w:rsidRPr="00DD1B65" w:rsidRDefault="0040606A" w:rsidP="00C055EF">
            <w:pPr>
              <w:spacing w:line="340" w:lineRule="exact"/>
              <w:ind w:rightChars="4" w:right="14"/>
              <w:jc w:val="right"/>
              <w:rPr>
                <w:rFonts w:ascii="Times New Roman" w:eastAsia="新細明體"/>
                <w:kern w:val="0"/>
                <w:sz w:val="20"/>
              </w:rPr>
            </w:pPr>
            <w:r w:rsidRPr="00DD1B65">
              <w:rPr>
                <w:rFonts w:ascii="Times New Roman" w:eastAsia="新細明體"/>
                <w:kern w:val="0"/>
                <w:sz w:val="20"/>
              </w:rPr>
              <w:t>7.34</w:t>
            </w:r>
          </w:p>
        </w:tc>
      </w:tr>
      <w:tr w:rsidR="0040606A" w:rsidRPr="000F70AD" w:rsidTr="00C055EF">
        <w:trPr>
          <w:trHeight w:val="324"/>
        </w:trPr>
        <w:tc>
          <w:tcPr>
            <w:tcW w:w="574" w:type="dxa"/>
            <w:vMerge w:val="restart"/>
            <w:vAlign w:val="center"/>
          </w:tcPr>
          <w:p w:rsidR="0040606A" w:rsidRPr="002F1725" w:rsidRDefault="0040606A" w:rsidP="00C055EF">
            <w:pPr>
              <w:widowControl/>
              <w:kinsoku w:val="0"/>
              <w:spacing w:line="340" w:lineRule="exact"/>
              <w:jc w:val="center"/>
              <w:rPr>
                <w:rFonts w:ascii="Times New Roman"/>
                <w:kern w:val="0"/>
                <w:sz w:val="24"/>
                <w:szCs w:val="24"/>
              </w:rPr>
            </w:pPr>
            <w:r w:rsidRPr="002F1725">
              <w:rPr>
                <w:rFonts w:ascii="Times New Roman"/>
                <w:kern w:val="0"/>
                <w:sz w:val="24"/>
                <w:szCs w:val="24"/>
              </w:rPr>
              <w:t>104</w:t>
            </w:r>
          </w:p>
        </w:tc>
        <w:tc>
          <w:tcPr>
            <w:tcW w:w="658" w:type="dxa"/>
            <w:shd w:val="clear" w:color="auto" w:fill="auto"/>
            <w:noWrap/>
            <w:vAlign w:val="center"/>
          </w:tcPr>
          <w:p w:rsidR="0040606A" w:rsidRPr="002F1725" w:rsidRDefault="0040606A" w:rsidP="00C055EF">
            <w:pPr>
              <w:widowControl/>
              <w:spacing w:line="340" w:lineRule="exact"/>
              <w:jc w:val="center"/>
              <w:rPr>
                <w:rFonts w:ascii="Times New Roman" w:eastAsia="新細明體"/>
                <w:spacing w:val="-20"/>
                <w:kern w:val="0"/>
                <w:sz w:val="24"/>
                <w:szCs w:val="24"/>
              </w:rPr>
            </w:pPr>
            <w:r w:rsidRPr="002F1725">
              <w:rPr>
                <w:rFonts w:ascii="Times New Roman"/>
                <w:spacing w:val="-20"/>
                <w:kern w:val="0"/>
                <w:sz w:val="24"/>
                <w:szCs w:val="24"/>
              </w:rPr>
              <w:t>合計</w:t>
            </w:r>
          </w:p>
        </w:tc>
        <w:tc>
          <w:tcPr>
            <w:tcW w:w="1190" w:type="dxa"/>
            <w:vAlign w:val="center"/>
          </w:tcPr>
          <w:p w:rsidR="0040606A" w:rsidRPr="002F1725" w:rsidRDefault="0040606A" w:rsidP="00C055EF">
            <w:pPr>
              <w:widowControl/>
              <w:spacing w:line="340" w:lineRule="exact"/>
              <w:ind w:rightChars="4" w:right="14"/>
              <w:jc w:val="right"/>
              <w:rPr>
                <w:rFonts w:ascii="Times New Roman" w:eastAsia="新細明體"/>
                <w:spacing w:val="-20"/>
                <w:kern w:val="0"/>
                <w:sz w:val="20"/>
              </w:rPr>
            </w:pPr>
            <w:r w:rsidRPr="002F1725">
              <w:rPr>
                <w:rFonts w:ascii="Times New Roman" w:eastAsia="新細明體" w:hint="eastAsia"/>
                <w:spacing w:val="-20"/>
                <w:kern w:val="0"/>
                <w:sz w:val="20"/>
              </w:rPr>
              <w:t xml:space="preserve">16,902,796,965 </w:t>
            </w:r>
          </w:p>
        </w:tc>
        <w:tc>
          <w:tcPr>
            <w:tcW w:w="1105" w:type="dxa"/>
            <w:shd w:val="clear" w:color="auto" w:fill="auto"/>
            <w:noWrap/>
            <w:vAlign w:val="center"/>
          </w:tcPr>
          <w:p w:rsidR="0040606A" w:rsidRPr="002F1725" w:rsidRDefault="0040606A" w:rsidP="00C055EF">
            <w:pPr>
              <w:widowControl/>
              <w:spacing w:line="340" w:lineRule="exact"/>
              <w:ind w:rightChars="4" w:right="14"/>
              <w:jc w:val="right"/>
              <w:rPr>
                <w:rFonts w:ascii="Times New Roman" w:eastAsia="新細明體"/>
                <w:spacing w:val="-20"/>
                <w:kern w:val="0"/>
                <w:sz w:val="20"/>
              </w:rPr>
            </w:pPr>
            <w:r w:rsidRPr="002F1725">
              <w:rPr>
                <w:rFonts w:ascii="Times New Roman" w:eastAsia="新細明體" w:hint="eastAsia"/>
                <w:spacing w:val="-20"/>
                <w:kern w:val="0"/>
                <w:sz w:val="20"/>
              </w:rPr>
              <w:t xml:space="preserve">2,151,876,635 </w:t>
            </w:r>
          </w:p>
        </w:tc>
        <w:tc>
          <w:tcPr>
            <w:tcW w:w="994" w:type="dxa"/>
            <w:shd w:val="clear" w:color="auto" w:fill="auto"/>
            <w:noWrap/>
            <w:vAlign w:val="center"/>
          </w:tcPr>
          <w:p w:rsidR="0040606A" w:rsidRPr="002F1725" w:rsidRDefault="0040606A" w:rsidP="00C055EF">
            <w:pPr>
              <w:widowControl/>
              <w:spacing w:line="340" w:lineRule="exact"/>
              <w:ind w:rightChars="4" w:right="14"/>
              <w:jc w:val="right"/>
              <w:rPr>
                <w:rFonts w:ascii="Times New Roman" w:eastAsia="新細明體"/>
                <w:spacing w:val="-20"/>
                <w:kern w:val="0"/>
                <w:sz w:val="20"/>
              </w:rPr>
            </w:pPr>
            <w:r w:rsidRPr="002F1725">
              <w:rPr>
                <w:rFonts w:ascii="Times New Roman" w:eastAsia="新細明體" w:hint="eastAsia"/>
                <w:spacing w:val="-20"/>
                <w:kern w:val="0"/>
                <w:sz w:val="20"/>
              </w:rPr>
              <w:t xml:space="preserve">329,392,855 </w:t>
            </w:r>
          </w:p>
        </w:tc>
        <w:tc>
          <w:tcPr>
            <w:tcW w:w="1120" w:type="dxa"/>
            <w:tcBorders>
              <w:right w:val="single" w:sz="8" w:space="0" w:color="auto"/>
            </w:tcBorders>
            <w:shd w:val="clear" w:color="auto" w:fill="auto"/>
            <w:noWrap/>
            <w:vAlign w:val="center"/>
          </w:tcPr>
          <w:p w:rsidR="0040606A" w:rsidRPr="002F1725" w:rsidRDefault="0040606A" w:rsidP="00C055EF">
            <w:pPr>
              <w:widowControl/>
              <w:spacing w:line="340" w:lineRule="exact"/>
              <w:ind w:rightChars="4" w:right="14"/>
              <w:jc w:val="right"/>
              <w:rPr>
                <w:rFonts w:ascii="Times New Roman" w:eastAsia="新細明體"/>
                <w:spacing w:val="-20"/>
                <w:kern w:val="0"/>
                <w:sz w:val="20"/>
              </w:rPr>
            </w:pPr>
            <w:r w:rsidRPr="002F1725">
              <w:rPr>
                <w:rFonts w:ascii="Times New Roman" w:eastAsia="新細明體" w:hint="eastAsia"/>
                <w:spacing w:val="-20"/>
                <w:kern w:val="0"/>
                <w:sz w:val="20"/>
              </w:rPr>
              <w:t xml:space="preserve">3,301,618,774 </w:t>
            </w:r>
          </w:p>
        </w:tc>
        <w:tc>
          <w:tcPr>
            <w:tcW w:w="1134" w:type="dxa"/>
            <w:tcBorders>
              <w:left w:val="single" w:sz="8" w:space="0" w:color="auto"/>
              <w:right w:val="single" w:sz="8" w:space="0" w:color="auto"/>
            </w:tcBorders>
            <w:shd w:val="clear" w:color="auto" w:fill="auto"/>
            <w:noWrap/>
            <w:vAlign w:val="center"/>
          </w:tcPr>
          <w:p w:rsidR="0040606A" w:rsidRPr="002F1725" w:rsidRDefault="0040606A" w:rsidP="00C055EF">
            <w:pPr>
              <w:widowControl/>
              <w:spacing w:line="340" w:lineRule="exact"/>
              <w:ind w:rightChars="4" w:right="14"/>
              <w:jc w:val="right"/>
              <w:rPr>
                <w:rFonts w:ascii="Times New Roman" w:eastAsia="新細明體"/>
                <w:spacing w:val="-20"/>
                <w:kern w:val="0"/>
                <w:sz w:val="20"/>
              </w:rPr>
            </w:pPr>
            <w:r w:rsidRPr="002F1725">
              <w:rPr>
                <w:rFonts w:ascii="Times New Roman" w:eastAsia="新細明體" w:hint="eastAsia"/>
                <w:spacing w:val="-20"/>
                <w:kern w:val="0"/>
                <w:sz w:val="20"/>
              </w:rPr>
              <w:t xml:space="preserve">7,475,802,741 </w:t>
            </w:r>
          </w:p>
        </w:tc>
        <w:tc>
          <w:tcPr>
            <w:tcW w:w="1134" w:type="dxa"/>
            <w:tcBorders>
              <w:left w:val="single" w:sz="8" w:space="0" w:color="auto"/>
              <w:right w:val="single" w:sz="8" w:space="0" w:color="auto"/>
            </w:tcBorders>
            <w:shd w:val="clear" w:color="auto" w:fill="auto"/>
            <w:noWrap/>
            <w:vAlign w:val="center"/>
          </w:tcPr>
          <w:p w:rsidR="0040606A" w:rsidRPr="002F1725" w:rsidRDefault="0040606A" w:rsidP="00C055EF">
            <w:pPr>
              <w:widowControl/>
              <w:spacing w:line="340" w:lineRule="exact"/>
              <w:ind w:rightChars="4" w:right="14"/>
              <w:jc w:val="right"/>
              <w:rPr>
                <w:rFonts w:ascii="Times New Roman" w:eastAsia="新細明體"/>
                <w:spacing w:val="-20"/>
                <w:kern w:val="0"/>
                <w:sz w:val="20"/>
              </w:rPr>
            </w:pPr>
            <w:r w:rsidRPr="002F1725">
              <w:rPr>
                <w:rFonts w:ascii="Times New Roman" w:eastAsia="新細明體" w:hint="eastAsia"/>
                <w:spacing w:val="-20"/>
                <w:kern w:val="0"/>
                <w:sz w:val="20"/>
              </w:rPr>
              <w:t xml:space="preserve">2,470,541,524 </w:t>
            </w:r>
          </w:p>
        </w:tc>
        <w:tc>
          <w:tcPr>
            <w:tcW w:w="1106" w:type="dxa"/>
            <w:tcBorders>
              <w:left w:val="single" w:sz="8" w:space="0" w:color="auto"/>
            </w:tcBorders>
            <w:shd w:val="clear" w:color="auto" w:fill="auto"/>
            <w:noWrap/>
            <w:vAlign w:val="center"/>
          </w:tcPr>
          <w:p w:rsidR="0040606A" w:rsidRPr="002F1725" w:rsidRDefault="0040606A" w:rsidP="00C055EF">
            <w:pPr>
              <w:widowControl/>
              <w:spacing w:line="340" w:lineRule="exact"/>
              <w:ind w:rightChars="4" w:right="14"/>
              <w:jc w:val="right"/>
              <w:rPr>
                <w:rFonts w:ascii="Times New Roman" w:eastAsia="新細明體"/>
                <w:spacing w:val="-20"/>
                <w:kern w:val="0"/>
                <w:sz w:val="20"/>
              </w:rPr>
            </w:pPr>
            <w:r w:rsidRPr="002F1725">
              <w:rPr>
                <w:rFonts w:ascii="Times New Roman" w:eastAsia="新細明體" w:hint="eastAsia"/>
                <w:spacing w:val="-20"/>
                <w:kern w:val="0"/>
                <w:sz w:val="20"/>
              </w:rPr>
              <w:t xml:space="preserve">1,173,564,436 </w:t>
            </w:r>
          </w:p>
        </w:tc>
      </w:tr>
      <w:tr w:rsidR="0040606A" w:rsidRPr="000F70AD" w:rsidTr="00C055EF">
        <w:trPr>
          <w:trHeight w:val="75"/>
        </w:trPr>
        <w:tc>
          <w:tcPr>
            <w:tcW w:w="574" w:type="dxa"/>
            <w:vMerge/>
          </w:tcPr>
          <w:p w:rsidR="0040606A" w:rsidRPr="002F1725" w:rsidRDefault="0040606A" w:rsidP="00C055EF">
            <w:pPr>
              <w:widowControl/>
              <w:spacing w:line="340" w:lineRule="exact"/>
              <w:rPr>
                <w:kern w:val="0"/>
                <w:sz w:val="24"/>
                <w:szCs w:val="24"/>
              </w:rPr>
            </w:pPr>
          </w:p>
        </w:tc>
        <w:tc>
          <w:tcPr>
            <w:tcW w:w="658" w:type="dxa"/>
            <w:shd w:val="clear" w:color="auto" w:fill="auto"/>
            <w:noWrap/>
            <w:vAlign w:val="center"/>
          </w:tcPr>
          <w:p w:rsidR="0040606A" w:rsidRPr="002F1725" w:rsidRDefault="0040606A" w:rsidP="00C055EF">
            <w:pPr>
              <w:widowControl/>
              <w:spacing w:line="340" w:lineRule="exact"/>
              <w:jc w:val="center"/>
              <w:rPr>
                <w:rFonts w:ascii="Times New Roman"/>
                <w:spacing w:val="-20"/>
                <w:kern w:val="0"/>
                <w:sz w:val="24"/>
                <w:szCs w:val="24"/>
              </w:rPr>
            </w:pPr>
            <w:r w:rsidRPr="002F1725">
              <w:rPr>
                <w:rFonts w:ascii="Times New Roman" w:hint="eastAsia"/>
                <w:spacing w:val="-20"/>
                <w:kern w:val="0"/>
                <w:sz w:val="24"/>
                <w:szCs w:val="24"/>
              </w:rPr>
              <w:t>比率</w:t>
            </w:r>
          </w:p>
        </w:tc>
        <w:tc>
          <w:tcPr>
            <w:tcW w:w="1190" w:type="dxa"/>
            <w:vAlign w:val="center"/>
          </w:tcPr>
          <w:p w:rsidR="0040606A" w:rsidRPr="00DD1B65" w:rsidRDefault="0040606A" w:rsidP="00C055EF">
            <w:pPr>
              <w:widowControl/>
              <w:spacing w:line="340" w:lineRule="exact"/>
              <w:ind w:rightChars="4" w:right="14"/>
              <w:jc w:val="right"/>
              <w:rPr>
                <w:rFonts w:ascii="Times New Roman" w:eastAsia="新細明體"/>
                <w:kern w:val="0"/>
                <w:sz w:val="20"/>
              </w:rPr>
            </w:pPr>
            <w:r w:rsidRPr="00DD1B65">
              <w:rPr>
                <w:rFonts w:ascii="Times New Roman" w:eastAsia="新細明體" w:hint="eastAsia"/>
                <w:kern w:val="0"/>
                <w:sz w:val="20"/>
              </w:rPr>
              <w:t>100.00</w:t>
            </w:r>
          </w:p>
        </w:tc>
        <w:tc>
          <w:tcPr>
            <w:tcW w:w="1105" w:type="dxa"/>
            <w:shd w:val="clear" w:color="auto" w:fill="auto"/>
            <w:noWrap/>
            <w:vAlign w:val="center"/>
          </w:tcPr>
          <w:p w:rsidR="0040606A" w:rsidRPr="00DD1B65" w:rsidRDefault="0040606A" w:rsidP="00C055EF">
            <w:pPr>
              <w:widowControl/>
              <w:spacing w:line="340" w:lineRule="exact"/>
              <w:ind w:rightChars="4" w:right="14"/>
              <w:jc w:val="right"/>
              <w:rPr>
                <w:rFonts w:ascii="Times New Roman" w:eastAsia="新細明體"/>
                <w:kern w:val="0"/>
                <w:sz w:val="20"/>
              </w:rPr>
            </w:pPr>
            <w:r w:rsidRPr="00DD1B65">
              <w:rPr>
                <w:rFonts w:ascii="Times New Roman" w:eastAsia="新細明體" w:hint="eastAsia"/>
                <w:kern w:val="0"/>
                <w:sz w:val="20"/>
              </w:rPr>
              <w:t>12.73</w:t>
            </w:r>
          </w:p>
        </w:tc>
        <w:tc>
          <w:tcPr>
            <w:tcW w:w="994" w:type="dxa"/>
            <w:shd w:val="clear" w:color="auto" w:fill="auto"/>
            <w:noWrap/>
            <w:vAlign w:val="center"/>
          </w:tcPr>
          <w:p w:rsidR="0040606A" w:rsidRPr="00DD1B65" w:rsidRDefault="0040606A" w:rsidP="00C055EF">
            <w:pPr>
              <w:widowControl/>
              <w:spacing w:line="340" w:lineRule="exact"/>
              <w:ind w:rightChars="4" w:right="14"/>
              <w:jc w:val="right"/>
              <w:rPr>
                <w:rFonts w:ascii="Times New Roman" w:eastAsia="新細明體"/>
                <w:kern w:val="0"/>
                <w:sz w:val="20"/>
              </w:rPr>
            </w:pPr>
            <w:r w:rsidRPr="00DD1B65">
              <w:rPr>
                <w:rFonts w:ascii="Times New Roman" w:eastAsia="新細明體" w:hint="eastAsia"/>
                <w:kern w:val="0"/>
                <w:sz w:val="20"/>
              </w:rPr>
              <w:t>1.95</w:t>
            </w:r>
          </w:p>
        </w:tc>
        <w:tc>
          <w:tcPr>
            <w:tcW w:w="1120" w:type="dxa"/>
            <w:tcBorders>
              <w:right w:val="single" w:sz="8" w:space="0" w:color="auto"/>
            </w:tcBorders>
            <w:shd w:val="clear" w:color="auto" w:fill="auto"/>
            <w:noWrap/>
            <w:vAlign w:val="center"/>
          </w:tcPr>
          <w:p w:rsidR="0040606A" w:rsidRPr="00DD1B65" w:rsidRDefault="0040606A" w:rsidP="00C055EF">
            <w:pPr>
              <w:widowControl/>
              <w:spacing w:line="340" w:lineRule="exact"/>
              <w:ind w:rightChars="4" w:right="14"/>
              <w:jc w:val="right"/>
              <w:rPr>
                <w:rFonts w:ascii="Times New Roman" w:eastAsia="新細明體"/>
                <w:kern w:val="0"/>
                <w:sz w:val="20"/>
              </w:rPr>
            </w:pPr>
            <w:r w:rsidRPr="00DD1B65">
              <w:rPr>
                <w:rFonts w:ascii="Times New Roman" w:eastAsia="新細明體" w:hint="eastAsia"/>
                <w:kern w:val="0"/>
                <w:sz w:val="20"/>
              </w:rPr>
              <w:t>19.53</w:t>
            </w:r>
          </w:p>
        </w:tc>
        <w:tc>
          <w:tcPr>
            <w:tcW w:w="1134" w:type="dxa"/>
            <w:tcBorders>
              <w:left w:val="single" w:sz="8" w:space="0" w:color="auto"/>
              <w:right w:val="single" w:sz="8" w:space="0" w:color="auto"/>
            </w:tcBorders>
            <w:shd w:val="clear" w:color="auto" w:fill="auto"/>
            <w:noWrap/>
            <w:vAlign w:val="center"/>
          </w:tcPr>
          <w:p w:rsidR="0040606A" w:rsidRPr="00DD1B65" w:rsidRDefault="0040606A" w:rsidP="00C055EF">
            <w:pPr>
              <w:widowControl/>
              <w:spacing w:line="340" w:lineRule="exact"/>
              <w:ind w:rightChars="4" w:right="14"/>
              <w:jc w:val="right"/>
              <w:rPr>
                <w:rFonts w:ascii="Times New Roman" w:eastAsia="新細明體"/>
                <w:kern w:val="0"/>
                <w:sz w:val="20"/>
              </w:rPr>
            </w:pPr>
            <w:r w:rsidRPr="00DD1B65">
              <w:rPr>
                <w:rFonts w:ascii="Times New Roman" w:eastAsia="新細明體" w:hint="eastAsia"/>
                <w:kern w:val="0"/>
                <w:sz w:val="20"/>
              </w:rPr>
              <w:t>44.23</w:t>
            </w:r>
          </w:p>
        </w:tc>
        <w:tc>
          <w:tcPr>
            <w:tcW w:w="1134" w:type="dxa"/>
            <w:tcBorders>
              <w:left w:val="single" w:sz="8" w:space="0" w:color="auto"/>
              <w:right w:val="single" w:sz="8" w:space="0" w:color="auto"/>
            </w:tcBorders>
            <w:shd w:val="clear" w:color="auto" w:fill="auto"/>
            <w:noWrap/>
            <w:vAlign w:val="center"/>
          </w:tcPr>
          <w:p w:rsidR="0040606A" w:rsidRPr="00DD1B65" w:rsidRDefault="0040606A" w:rsidP="00C055EF">
            <w:pPr>
              <w:widowControl/>
              <w:spacing w:line="340" w:lineRule="exact"/>
              <w:ind w:rightChars="4" w:right="14"/>
              <w:jc w:val="right"/>
              <w:rPr>
                <w:rFonts w:ascii="Times New Roman" w:eastAsia="新細明體"/>
                <w:kern w:val="0"/>
                <w:sz w:val="20"/>
              </w:rPr>
            </w:pPr>
            <w:r w:rsidRPr="00DD1B65">
              <w:rPr>
                <w:rFonts w:ascii="Times New Roman" w:eastAsia="新細明體" w:hint="eastAsia"/>
                <w:kern w:val="0"/>
                <w:sz w:val="20"/>
              </w:rPr>
              <w:t>14.62</w:t>
            </w:r>
          </w:p>
        </w:tc>
        <w:tc>
          <w:tcPr>
            <w:tcW w:w="1106" w:type="dxa"/>
            <w:tcBorders>
              <w:left w:val="single" w:sz="8" w:space="0" w:color="auto"/>
            </w:tcBorders>
            <w:shd w:val="clear" w:color="auto" w:fill="auto"/>
            <w:noWrap/>
            <w:vAlign w:val="center"/>
          </w:tcPr>
          <w:p w:rsidR="0040606A" w:rsidRPr="00DD1B65" w:rsidRDefault="0040606A" w:rsidP="00C055EF">
            <w:pPr>
              <w:widowControl/>
              <w:spacing w:line="340" w:lineRule="exact"/>
              <w:ind w:rightChars="4" w:right="14"/>
              <w:jc w:val="right"/>
              <w:rPr>
                <w:rFonts w:ascii="Times New Roman" w:eastAsia="新細明體"/>
                <w:kern w:val="0"/>
                <w:sz w:val="20"/>
              </w:rPr>
            </w:pPr>
            <w:r w:rsidRPr="00DD1B65">
              <w:rPr>
                <w:rFonts w:ascii="Times New Roman" w:eastAsia="新細明體" w:hint="eastAsia"/>
                <w:kern w:val="0"/>
                <w:sz w:val="20"/>
              </w:rPr>
              <w:t>6.94</w:t>
            </w:r>
          </w:p>
        </w:tc>
      </w:tr>
      <w:tr w:rsidR="0040606A" w:rsidRPr="000F70AD" w:rsidTr="00C055EF">
        <w:trPr>
          <w:trHeight w:val="44"/>
        </w:trPr>
        <w:tc>
          <w:tcPr>
            <w:tcW w:w="574" w:type="dxa"/>
            <w:vMerge w:val="restart"/>
            <w:vAlign w:val="center"/>
          </w:tcPr>
          <w:p w:rsidR="0040606A" w:rsidRPr="002F1725" w:rsidRDefault="0040606A" w:rsidP="00C055EF">
            <w:pPr>
              <w:widowControl/>
              <w:kinsoku w:val="0"/>
              <w:spacing w:line="340" w:lineRule="exact"/>
              <w:jc w:val="center"/>
              <w:rPr>
                <w:rFonts w:ascii="Times New Roman"/>
                <w:kern w:val="0"/>
                <w:sz w:val="24"/>
                <w:szCs w:val="24"/>
              </w:rPr>
            </w:pPr>
            <w:r w:rsidRPr="002F1725">
              <w:rPr>
                <w:rFonts w:ascii="Times New Roman" w:hint="eastAsia"/>
                <w:kern w:val="0"/>
                <w:sz w:val="24"/>
                <w:szCs w:val="24"/>
              </w:rPr>
              <w:t>105</w:t>
            </w:r>
          </w:p>
        </w:tc>
        <w:tc>
          <w:tcPr>
            <w:tcW w:w="658" w:type="dxa"/>
            <w:shd w:val="clear" w:color="auto" w:fill="auto"/>
            <w:noWrap/>
            <w:vAlign w:val="center"/>
          </w:tcPr>
          <w:p w:rsidR="0040606A" w:rsidRPr="002F1725" w:rsidRDefault="0040606A" w:rsidP="00C055EF">
            <w:pPr>
              <w:widowControl/>
              <w:spacing w:line="340" w:lineRule="exact"/>
              <w:jc w:val="center"/>
              <w:rPr>
                <w:rFonts w:ascii="Times New Roman"/>
                <w:spacing w:val="-20"/>
                <w:kern w:val="0"/>
                <w:sz w:val="24"/>
                <w:szCs w:val="24"/>
              </w:rPr>
            </w:pPr>
            <w:r w:rsidRPr="002F1725">
              <w:rPr>
                <w:rFonts w:ascii="Times New Roman" w:hint="eastAsia"/>
                <w:spacing w:val="-20"/>
                <w:kern w:val="0"/>
                <w:sz w:val="24"/>
                <w:szCs w:val="24"/>
              </w:rPr>
              <w:t>合計</w:t>
            </w:r>
          </w:p>
        </w:tc>
        <w:tc>
          <w:tcPr>
            <w:tcW w:w="1190" w:type="dxa"/>
            <w:vAlign w:val="center"/>
          </w:tcPr>
          <w:p w:rsidR="0040606A" w:rsidRPr="002F1725" w:rsidRDefault="0040606A" w:rsidP="00C055EF">
            <w:pPr>
              <w:widowControl/>
              <w:spacing w:line="340" w:lineRule="exact"/>
              <w:ind w:rightChars="4" w:right="14"/>
              <w:jc w:val="right"/>
              <w:rPr>
                <w:rFonts w:ascii="Times New Roman" w:eastAsia="新細明體"/>
                <w:spacing w:val="-20"/>
                <w:kern w:val="0"/>
                <w:sz w:val="20"/>
              </w:rPr>
            </w:pPr>
            <w:r w:rsidRPr="002F1725">
              <w:rPr>
                <w:rFonts w:ascii="Times New Roman" w:eastAsia="新細明體" w:hint="eastAsia"/>
                <w:spacing w:val="-20"/>
                <w:kern w:val="0"/>
                <w:sz w:val="20"/>
              </w:rPr>
              <w:t xml:space="preserve">16,894,285,995 </w:t>
            </w:r>
          </w:p>
        </w:tc>
        <w:tc>
          <w:tcPr>
            <w:tcW w:w="1105" w:type="dxa"/>
            <w:shd w:val="clear" w:color="auto" w:fill="auto"/>
            <w:noWrap/>
            <w:vAlign w:val="center"/>
          </w:tcPr>
          <w:p w:rsidR="0040606A" w:rsidRPr="002F1725" w:rsidRDefault="0040606A" w:rsidP="00C055EF">
            <w:pPr>
              <w:widowControl/>
              <w:spacing w:line="340" w:lineRule="exact"/>
              <w:ind w:rightChars="4" w:right="14"/>
              <w:jc w:val="right"/>
              <w:rPr>
                <w:rFonts w:ascii="Times New Roman" w:eastAsia="新細明體"/>
                <w:spacing w:val="-20"/>
                <w:kern w:val="0"/>
                <w:sz w:val="20"/>
              </w:rPr>
            </w:pPr>
            <w:r w:rsidRPr="002F1725">
              <w:rPr>
                <w:rFonts w:ascii="Times New Roman" w:eastAsia="新細明體" w:hint="eastAsia"/>
                <w:spacing w:val="-20"/>
                <w:kern w:val="0"/>
                <w:sz w:val="20"/>
              </w:rPr>
              <w:t xml:space="preserve">2,309,853,222 </w:t>
            </w:r>
          </w:p>
        </w:tc>
        <w:tc>
          <w:tcPr>
            <w:tcW w:w="994" w:type="dxa"/>
            <w:shd w:val="clear" w:color="auto" w:fill="auto"/>
            <w:noWrap/>
            <w:vAlign w:val="center"/>
          </w:tcPr>
          <w:p w:rsidR="0040606A" w:rsidRPr="002F1725" w:rsidRDefault="0040606A" w:rsidP="00C055EF">
            <w:pPr>
              <w:widowControl/>
              <w:spacing w:line="340" w:lineRule="exact"/>
              <w:ind w:rightChars="4" w:right="14"/>
              <w:jc w:val="right"/>
              <w:rPr>
                <w:rFonts w:ascii="Times New Roman" w:eastAsia="新細明體"/>
                <w:spacing w:val="-20"/>
                <w:kern w:val="0"/>
                <w:sz w:val="20"/>
              </w:rPr>
            </w:pPr>
            <w:r w:rsidRPr="002F1725">
              <w:rPr>
                <w:rFonts w:ascii="Times New Roman" w:eastAsia="新細明體" w:hint="eastAsia"/>
                <w:spacing w:val="-20"/>
                <w:kern w:val="0"/>
                <w:sz w:val="20"/>
              </w:rPr>
              <w:t xml:space="preserve">365,079,125 </w:t>
            </w:r>
          </w:p>
        </w:tc>
        <w:tc>
          <w:tcPr>
            <w:tcW w:w="1120" w:type="dxa"/>
            <w:tcBorders>
              <w:right w:val="single" w:sz="8" w:space="0" w:color="auto"/>
            </w:tcBorders>
            <w:shd w:val="clear" w:color="auto" w:fill="auto"/>
            <w:noWrap/>
            <w:vAlign w:val="center"/>
          </w:tcPr>
          <w:p w:rsidR="0040606A" w:rsidRPr="002F1725" w:rsidRDefault="0040606A" w:rsidP="00C055EF">
            <w:pPr>
              <w:widowControl/>
              <w:spacing w:line="340" w:lineRule="exact"/>
              <w:ind w:rightChars="4" w:right="14"/>
              <w:jc w:val="right"/>
              <w:rPr>
                <w:rFonts w:ascii="Times New Roman" w:eastAsia="新細明體"/>
                <w:spacing w:val="-20"/>
                <w:kern w:val="0"/>
                <w:sz w:val="20"/>
              </w:rPr>
            </w:pPr>
            <w:r w:rsidRPr="002F1725">
              <w:rPr>
                <w:rFonts w:ascii="Times New Roman" w:eastAsia="新細明體" w:hint="eastAsia"/>
                <w:spacing w:val="-20"/>
                <w:kern w:val="0"/>
                <w:sz w:val="20"/>
              </w:rPr>
              <w:t xml:space="preserve">3,489,966,230 </w:t>
            </w:r>
          </w:p>
        </w:tc>
        <w:tc>
          <w:tcPr>
            <w:tcW w:w="1134" w:type="dxa"/>
            <w:tcBorders>
              <w:left w:val="single" w:sz="8" w:space="0" w:color="auto"/>
              <w:right w:val="single" w:sz="8" w:space="0" w:color="auto"/>
            </w:tcBorders>
            <w:shd w:val="clear" w:color="auto" w:fill="auto"/>
            <w:noWrap/>
            <w:vAlign w:val="center"/>
          </w:tcPr>
          <w:p w:rsidR="0040606A" w:rsidRPr="002F1725" w:rsidRDefault="0040606A" w:rsidP="00C055EF">
            <w:pPr>
              <w:widowControl/>
              <w:spacing w:line="340" w:lineRule="exact"/>
              <w:ind w:rightChars="4" w:right="14"/>
              <w:jc w:val="right"/>
              <w:rPr>
                <w:rFonts w:ascii="Times New Roman" w:eastAsia="新細明體"/>
                <w:spacing w:val="-20"/>
                <w:kern w:val="0"/>
                <w:sz w:val="20"/>
              </w:rPr>
            </w:pPr>
            <w:r w:rsidRPr="002F1725">
              <w:rPr>
                <w:rFonts w:ascii="Times New Roman" w:eastAsia="新細明體" w:hint="eastAsia"/>
                <w:spacing w:val="-20"/>
                <w:kern w:val="0"/>
                <w:sz w:val="20"/>
              </w:rPr>
              <w:t xml:space="preserve">7,235,530,467 </w:t>
            </w:r>
          </w:p>
        </w:tc>
        <w:tc>
          <w:tcPr>
            <w:tcW w:w="1134" w:type="dxa"/>
            <w:tcBorders>
              <w:left w:val="single" w:sz="8" w:space="0" w:color="auto"/>
              <w:right w:val="single" w:sz="8" w:space="0" w:color="auto"/>
            </w:tcBorders>
            <w:shd w:val="clear" w:color="auto" w:fill="auto"/>
            <w:noWrap/>
            <w:vAlign w:val="center"/>
          </w:tcPr>
          <w:p w:rsidR="0040606A" w:rsidRPr="002F1725" w:rsidRDefault="0040606A" w:rsidP="00C055EF">
            <w:pPr>
              <w:widowControl/>
              <w:spacing w:line="340" w:lineRule="exact"/>
              <w:ind w:rightChars="4" w:right="14"/>
              <w:jc w:val="right"/>
              <w:rPr>
                <w:rFonts w:ascii="Times New Roman" w:eastAsia="新細明體"/>
                <w:spacing w:val="-20"/>
                <w:kern w:val="0"/>
                <w:sz w:val="20"/>
              </w:rPr>
            </w:pPr>
            <w:r w:rsidRPr="002F1725">
              <w:rPr>
                <w:rFonts w:ascii="Times New Roman" w:eastAsia="新細明體" w:hint="eastAsia"/>
                <w:spacing w:val="-20"/>
                <w:kern w:val="0"/>
                <w:sz w:val="20"/>
              </w:rPr>
              <w:t xml:space="preserve">9,362,314,747 </w:t>
            </w:r>
          </w:p>
        </w:tc>
        <w:tc>
          <w:tcPr>
            <w:tcW w:w="1106" w:type="dxa"/>
            <w:tcBorders>
              <w:left w:val="single" w:sz="8" w:space="0" w:color="auto"/>
            </w:tcBorders>
            <w:shd w:val="clear" w:color="auto" w:fill="auto"/>
            <w:noWrap/>
            <w:vAlign w:val="center"/>
          </w:tcPr>
          <w:p w:rsidR="0040606A" w:rsidRPr="00DD1B65" w:rsidRDefault="0040606A" w:rsidP="00C055EF">
            <w:pPr>
              <w:widowControl/>
              <w:spacing w:line="340" w:lineRule="exact"/>
              <w:ind w:rightChars="4" w:right="14"/>
              <w:jc w:val="right"/>
              <w:rPr>
                <w:rFonts w:ascii="Times New Roman" w:eastAsia="新細明體"/>
                <w:spacing w:val="-20"/>
                <w:kern w:val="0"/>
                <w:sz w:val="20"/>
              </w:rPr>
            </w:pPr>
            <w:r w:rsidRPr="00DD1B65">
              <w:rPr>
                <w:rFonts w:ascii="Times New Roman" w:eastAsia="新細明體" w:hint="eastAsia"/>
                <w:spacing w:val="-20"/>
                <w:kern w:val="0"/>
                <w:sz w:val="20"/>
              </w:rPr>
              <w:t xml:space="preserve">1,179,107,584 </w:t>
            </w:r>
          </w:p>
        </w:tc>
      </w:tr>
      <w:tr w:rsidR="0040606A" w:rsidRPr="00971873" w:rsidTr="00C055EF">
        <w:trPr>
          <w:trHeight w:val="44"/>
        </w:trPr>
        <w:tc>
          <w:tcPr>
            <w:tcW w:w="574" w:type="dxa"/>
            <w:vMerge/>
          </w:tcPr>
          <w:p w:rsidR="0040606A" w:rsidRPr="002F1725" w:rsidRDefault="0040606A" w:rsidP="00C055EF">
            <w:pPr>
              <w:widowControl/>
              <w:spacing w:line="340" w:lineRule="exact"/>
              <w:rPr>
                <w:kern w:val="0"/>
                <w:sz w:val="24"/>
                <w:szCs w:val="24"/>
              </w:rPr>
            </w:pPr>
          </w:p>
        </w:tc>
        <w:tc>
          <w:tcPr>
            <w:tcW w:w="658" w:type="dxa"/>
            <w:shd w:val="clear" w:color="auto" w:fill="auto"/>
            <w:noWrap/>
            <w:vAlign w:val="center"/>
          </w:tcPr>
          <w:p w:rsidR="0040606A" w:rsidRPr="002F1725" w:rsidRDefault="0040606A" w:rsidP="00C055EF">
            <w:pPr>
              <w:widowControl/>
              <w:spacing w:line="340" w:lineRule="exact"/>
              <w:jc w:val="center"/>
              <w:rPr>
                <w:rFonts w:ascii="Times New Roman"/>
                <w:spacing w:val="-20"/>
                <w:kern w:val="0"/>
                <w:sz w:val="24"/>
                <w:szCs w:val="24"/>
              </w:rPr>
            </w:pPr>
            <w:r w:rsidRPr="002F1725">
              <w:rPr>
                <w:rFonts w:ascii="Times New Roman" w:hint="eastAsia"/>
                <w:spacing w:val="-20"/>
                <w:kern w:val="0"/>
                <w:sz w:val="24"/>
                <w:szCs w:val="24"/>
              </w:rPr>
              <w:t>比率</w:t>
            </w:r>
          </w:p>
        </w:tc>
        <w:tc>
          <w:tcPr>
            <w:tcW w:w="1190" w:type="dxa"/>
            <w:vAlign w:val="center"/>
          </w:tcPr>
          <w:p w:rsidR="0040606A" w:rsidRPr="00DD1B65" w:rsidRDefault="0040606A" w:rsidP="00C055EF">
            <w:pPr>
              <w:widowControl/>
              <w:spacing w:line="340" w:lineRule="exact"/>
              <w:ind w:rightChars="4" w:right="14"/>
              <w:jc w:val="right"/>
              <w:rPr>
                <w:rFonts w:ascii="Times New Roman" w:eastAsia="新細明體"/>
                <w:kern w:val="0"/>
                <w:sz w:val="20"/>
              </w:rPr>
            </w:pPr>
            <w:r w:rsidRPr="00DD1B65">
              <w:rPr>
                <w:rFonts w:ascii="Times New Roman" w:eastAsia="新細明體" w:hint="eastAsia"/>
                <w:kern w:val="0"/>
                <w:sz w:val="20"/>
              </w:rPr>
              <w:t xml:space="preserve">100.00 </w:t>
            </w:r>
          </w:p>
        </w:tc>
        <w:tc>
          <w:tcPr>
            <w:tcW w:w="1105" w:type="dxa"/>
            <w:shd w:val="clear" w:color="auto" w:fill="auto"/>
            <w:noWrap/>
            <w:vAlign w:val="center"/>
          </w:tcPr>
          <w:p w:rsidR="0040606A" w:rsidRPr="00DD1B65" w:rsidRDefault="0040606A" w:rsidP="00C055EF">
            <w:pPr>
              <w:widowControl/>
              <w:spacing w:line="340" w:lineRule="exact"/>
              <w:ind w:rightChars="4" w:right="14"/>
              <w:jc w:val="right"/>
              <w:rPr>
                <w:rFonts w:ascii="Times New Roman" w:eastAsia="新細明體"/>
                <w:kern w:val="0"/>
                <w:sz w:val="20"/>
              </w:rPr>
            </w:pPr>
            <w:r w:rsidRPr="00DD1B65">
              <w:rPr>
                <w:rFonts w:ascii="Times New Roman" w:eastAsia="新細明體" w:hint="eastAsia"/>
                <w:kern w:val="0"/>
                <w:sz w:val="20"/>
              </w:rPr>
              <w:t>13.67</w:t>
            </w:r>
          </w:p>
        </w:tc>
        <w:tc>
          <w:tcPr>
            <w:tcW w:w="994" w:type="dxa"/>
            <w:shd w:val="clear" w:color="auto" w:fill="auto"/>
            <w:noWrap/>
            <w:vAlign w:val="center"/>
          </w:tcPr>
          <w:p w:rsidR="0040606A" w:rsidRPr="00DD1B65" w:rsidRDefault="0040606A" w:rsidP="00C055EF">
            <w:pPr>
              <w:widowControl/>
              <w:spacing w:line="340" w:lineRule="exact"/>
              <w:ind w:rightChars="4" w:right="14"/>
              <w:jc w:val="right"/>
              <w:rPr>
                <w:rFonts w:ascii="Times New Roman" w:eastAsia="新細明體"/>
                <w:kern w:val="0"/>
                <w:sz w:val="20"/>
              </w:rPr>
            </w:pPr>
            <w:r w:rsidRPr="00DD1B65">
              <w:rPr>
                <w:rFonts w:ascii="Times New Roman" w:eastAsia="新細明體" w:hint="eastAsia"/>
                <w:kern w:val="0"/>
                <w:sz w:val="20"/>
              </w:rPr>
              <w:t>2.16</w:t>
            </w:r>
          </w:p>
        </w:tc>
        <w:tc>
          <w:tcPr>
            <w:tcW w:w="1120" w:type="dxa"/>
            <w:tcBorders>
              <w:right w:val="single" w:sz="8" w:space="0" w:color="auto"/>
            </w:tcBorders>
            <w:shd w:val="clear" w:color="auto" w:fill="auto"/>
            <w:noWrap/>
            <w:vAlign w:val="center"/>
          </w:tcPr>
          <w:p w:rsidR="0040606A" w:rsidRPr="00DD1B65" w:rsidRDefault="0040606A" w:rsidP="00C055EF">
            <w:pPr>
              <w:widowControl/>
              <w:spacing w:line="340" w:lineRule="exact"/>
              <w:ind w:rightChars="4" w:right="14"/>
              <w:jc w:val="right"/>
              <w:rPr>
                <w:rFonts w:ascii="Times New Roman" w:eastAsia="新細明體"/>
                <w:kern w:val="0"/>
                <w:sz w:val="20"/>
              </w:rPr>
            </w:pPr>
            <w:r w:rsidRPr="00DD1B65">
              <w:rPr>
                <w:rFonts w:ascii="Times New Roman" w:eastAsia="新細明體" w:hint="eastAsia"/>
                <w:kern w:val="0"/>
                <w:sz w:val="20"/>
              </w:rPr>
              <w:t>20.66</w:t>
            </w:r>
          </w:p>
        </w:tc>
        <w:tc>
          <w:tcPr>
            <w:tcW w:w="1134" w:type="dxa"/>
            <w:tcBorders>
              <w:left w:val="single" w:sz="8" w:space="0" w:color="auto"/>
              <w:bottom w:val="single" w:sz="8" w:space="0" w:color="auto"/>
              <w:right w:val="single" w:sz="8" w:space="0" w:color="auto"/>
            </w:tcBorders>
            <w:shd w:val="clear" w:color="auto" w:fill="auto"/>
            <w:noWrap/>
            <w:vAlign w:val="center"/>
          </w:tcPr>
          <w:p w:rsidR="0040606A" w:rsidRPr="00DD1B65" w:rsidRDefault="0040606A" w:rsidP="00C055EF">
            <w:pPr>
              <w:widowControl/>
              <w:spacing w:line="340" w:lineRule="exact"/>
              <w:ind w:rightChars="4" w:right="14"/>
              <w:jc w:val="right"/>
              <w:rPr>
                <w:rFonts w:ascii="Times New Roman" w:eastAsia="新細明體"/>
                <w:kern w:val="0"/>
                <w:sz w:val="20"/>
              </w:rPr>
            </w:pPr>
            <w:r w:rsidRPr="00DD1B65">
              <w:rPr>
                <w:rFonts w:ascii="Times New Roman" w:eastAsia="新細明體" w:hint="eastAsia"/>
                <w:kern w:val="0"/>
                <w:sz w:val="20"/>
              </w:rPr>
              <w:t>42.83</w:t>
            </w:r>
          </w:p>
        </w:tc>
        <w:tc>
          <w:tcPr>
            <w:tcW w:w="1134" w:type="dxa"/>
            <w:tcBorders>
              <w:left w:val="single" w:sz="8" w:space="0" w:color="auto"/>
              <w:bottom w:val="single" w:sz="8" w:space="0" w:color="auto"/>
              <w:right w:val="single" w:sz="8" w:space="0" w:color="auto"/>
            </w:tcBorders>
            <w:shd w:val="clear" w:color="auto" w:fill="auto"/>
            <w:noWrap/>
            <w:vAlign w:val="center"/>
          </w:tcPr>
          <w:p w:rsidR="0040606A" w:rsidRPr="00DD1B65" w:rsidRDefault="0040606A" w:rsidP="00C055EF">
            <w:pPr>
              <w:widowControl/>
              <w:spacing w:line="340" w:lineRule="exact"/>
              <w:ind w:rightChars="4" w:right="14"/>
              <w:jc w:val="right"/>
              <w:rPr>
                <w:rFonts w:ascii="Times New Roman" w:eastAsia="新細明體"/>
                <w:kern w:val="0"/>
                <w:sz w:val="20"/>
              </w:rPr>
            </w:pPr>
            <w:r w:rsidRPr="00DD1B65">
              <w:rPr>
                <w:rFonts w:ascii="Times New Roman" w:eastAsia="新細明體" w:hint="eastAsia"/>
                <w:kern w:val="0"/>
                <w:sz w:val="20"/>
              </w:rPr>
              <w:t>13.70</w:t>
            </w:r>
          </w:p>
        </w:tc>
        <w:tc>
          <w:tcPr>
            <w:tcW w:w="1106" w:type="dxa"/>
            <w:tcBorders>
              <w:left w:val="single" w:sz="8" w:space="0" w:color="auto"/>
              <w:bottom w:val="single" w:sz="8" w:space="0" w:color="auto"/>
            </w:tcBorders>
            <w:shd w:val="clear" w:color="auto" w:fill="auto"/>
            <w:noWrap/>
            <w:vAlign w:val="center"/>
          </w:tcPr>
          <w:p w:rsidR="0040606A" w:rsidRPr="00DD1B65" w:rsidRDefault="0040606A" w:rsidP="00C055EF">
            <w:pPr>
              <w:widowControl/>
              <w:spacing w:line="340" w:lineRule="exact"/>
              <w:ind w:rightChars="26" w:right="88"/>
              <w:jc w:val="right"/>
              <w:rPr>
                <w:rFonts w:ascii="Times New Roman" w:eastAsia="新細明體"/>
                <w:kern w:val="0"/>
                <w:sz w:val="20"/>
              </w:rPr>
            </w:pPr>
            <w:r w:rsidRPr="00DD1B65">
              <w:rPr>
                <w:rFonts w:ascii="Times New Roman" w:eastAsia="新細明體" w:hint="eastAsia"/>
                <w:kern w:val="0"/>
                <w:sz w:val="20"/>
              </w:rPr>
              <w:t>6.98</w:t>
            </w:r>
          </w:p>
        </w:tc>
      </w:tr>
    </w:tbl>
    <w:p w:rsidR="0040606A" w:rsidRDefault="0040606A" w:rsidP="0040606A">
      <w:pPr>
        <w:pStyle w:val="3"/>
        <w:numPr>
          <w:ilvl w:val="0"/>
          <w:numId w:val="0"/>
        </w:numPr>
        <w:topLinePunct/>
        <w:spacing w:afterLines="25" w:after="114" w:line="320" w:lineRule="exact"/>
        <w:ind w:left="1315" w:rightChars="-66" w:right="-224" w:hanging="923"/>
        <w:rPr>
          <w:rFonts w:ascii="Times New Roman" w:hAnsi="Times New Roman"/>
          <w:bCs w:val="0"/>
        </w:rPr>
      </w:pPr>
      <w:bookmarkStart w:id="1478" w:name="_Toc508899445"/>
      <w:bookmarkStart w:id="1479" w:name="_Toc511115413"/>
      <w:bookmarkStart w:id="1480" w:name="_Toc511308203"/>
      <w:bookmarkStart w:id="1481" w:name="_Toc511998645"/>
      <w:bookmarkStart w:id="1482" w:name="_Toc512421002"/>
      <w:r w:rsidRPr="00E961E5">
        <w:rPr>
          <w:rFonts w:ascii="Times New Roman" w:hint="eastAsia"/>
          <w:sz w:val="24"/>
          <w:szCs w:val="24"/>
        </w:rPr>
        <w:t>資料來源：財政部</w:t>
      </w:r>
      <w:r>
        <w:rPr>
          <w:rFonts w:ascii="Times New Roman" w:hint="eastAsia"/>
          <w:sz w:val="24"/>
          <w:szCs w:val="24"/>
        </w:rPr>
        <w:t>查復資料</w:t>
      </w:r>
      <w:r w:rsidRPr="00E961E5">
        <w:rPr>
          <w:rFonts w:ascii="Times New Roman" w:hint="eastAsia"/>
          <w:sz w:val="24"/>
          <w:szCs w:val="24"/>
        </w:rPr>
        <w:t>及該部國庫署網站</w:t>
      </w:r>
      <w:r>
        <w:rPr>
          <w:rFonts w:ascii="Times New Roman" w:hint="eastAsia"/>
          <w:sz w:val="24"/>
          <w:szCs w:val="24"/>
        </w:rPr>
        <w:t>。</w:t>
      </w:r>
      <w:bookmarkEnd w:id="1478"/>
      <w:bookmarkEnd w:id="1479"/>
      <w:bookmarkEnd w:id="1480"/>
      <w:bookmarkEnd w:id="1481"/>
      <w:bookmarkEnd w:id="1482"/>
    </w:p>
    <w:p w:rsidR="0040606A" w:rsidRDefault="0040606A" w:rsidP="0040606A">
      <w:pPr>
        <w:pStyle w:val="3"/>
        <w:numPr>
          <w:ilvl w:val="0"/>
          <w:numId w:val="0"/>
        </w:numPr>
        <w:topLinePunct/>
        <w:ind w:leftChars="-1" w:left="-3" w:firstLineChars="375" w:firstLine="1276"/>
        <w:rPr>
          <w:rFonts w:ascii="Times New Roman" w:hAnsi="Times New Roman"/>
          <w:bCs w:val="0"/>
        </w:rPr>
      </w:pPr>
      <w:bookmarkStart w:id="1483" w:name="_Toc508899446"/>
      <w:bookmarkStart w:id="1484" w:name="_Toc511115414"/>
      <w:bookmarkStart w:id="1485" w:name="_Toc511308204"/>
      <w:bookmarkStart w:id="1486" w:name="_Toc511998646"/>
      <w:bookmarkStart w:id="1487" w:name="_Toc512421003"/>
      <w:r>
        <w:rPr>
          <w:noProof/>
        </w:rPr>
        <w:drawing>
          <wp:inline distT="0" distB="0" distL="0" distR="0" wp14:anchorId="63DC1D1D" wp14:editId="0E55DF58">
            <wp:extent cx="5063067" cy="3251200"/>
            <wp:effectExtent l="0" t="0" r="23495" b="25400"/>
            <wp:docPr id="9" name="圖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End w:id="1483"/>
      <w:bookmarkEnd w:id="1484"/>
      <w:bookmarkEnd w:id="1485"/>
      <w:bookmarkEnd w:id="1486"/>
      <w:bookmarkEnd w:id="1487"/>
    </w:p>
    <w:p w:rsidR="0040606A" w:rsidRPr="001D3C47" w:rsidRDefault="0040606A" w:rsidP="0040606A">
      <w:pPr>
        <w:pStyle w:val="a1"/>
        <w:numPr>
          <w:ilvl w:val="0"/>
          <w:numId w:val="33"/>
        </w:numPr>
        <w:spacing w:before="0" w:after="0"/>
        <w:ind w:left="1974" w:rightChars="-157" w:right="-534" w:hanging="700"/>
        <w:jc w:val="left"/>
        <w:textAlignment w:val="auto"/>
        <w:rPr>
          <w:rFonts w:ascii="Times New Roman" w:hAnsi="Times New Roman"/>
          <w:bCs w:val="0"/>
          <w:spacing w:val="-12"/>
        </w:rPr>
      </w:pPr>
      <w:r w:rsidRPr="00C54AAC">
        <w:rPr>
          <w:rFonts w:ascii="Times New Roman" w:hAnsi="Times New Roman" w:hint="eastAsia"/>
          <w:b/>
          <w:spacing w:val="-12"/>
        </w:rPr>
        <w:t>101</w:t>
      </w:r>
      <w:r w:rsidRPr="00C54AAC">
        <w:rPr>
          <w:rFonts w:ascii="Times New Roman" w:hAnsi="Times New Roman"/>
          <w:b/>
          <w:spacing w:val="-12"/>
        </w:rPr>
        <w:t>年至</w:t>
      </w:r>
      <w:r w:rsidRPr="00C54AAC">
        <w:rPr>
          <w:rFonts w:ascii="Times New Roman" w:hAnsi="Times New Roman" w:hint="eastAsia"/>
          <w:b/>
          <w:spacing w:val="-12"/>
        </w:rPr>
        <w:t>105</w:t>
      </w:r>
      <w:r w:rsidRPr="00C54AAC">
        <w:rPr>
          <w:rFonts w:ascii="Times New Roman" w:hAnsi="Times New Roman" w:hint="eastAsia"/>
          <w:b/>
          <w:spacing w:val="-12"/>
        </w:rPr>
        <w:t>年全國</w:t>
      </w:r>
      <w:r w:rsidRPr="00C54AAC">
        <w:rPr>
          <w:rFonts w:ascii="Times New Roman" w:hAnsi="Times New Roman" w:hint="eastAsia"/>
          <w:b/>
          <w:spacing w:val="-12"/>
        </w:rPr>
        <w:t>22</w:t>
      </w:r>
      <w:r w:rsidRPr="00C54AAC">
        <w:rPr>
          <w:rFonts w:ascii="Times New Roman" w:hAnsi="Times New Roman" w:hint="eastAsia"/>
          <w:b/>
          <w:spacing w:val="-12"/>
        </w:rPr>
        <w:t>個地方政府</w:t>
      </w:r>
      <w:r w:rsidRPr="00C54AAC">
        <w:rPr>
          <w:rFonts w:ascii="Times New Roman" w:hAnsi="Times New Roman"/>
          <w:b/>
          <w:spacing w:val="-12"/>
        </w:rPr>
        <w:t>公益彩券盈餘</w:t>
      </w:r>
      <w:r w:rsidRPr="00C54AAC">
        <w:rPr>
          <w:rFonts w:ascii="Times New Roman" w:hAnsi="Times New Roman" w:hint="eastAsia"/>
          <w:b/>
          <w:spacing w:val="-12"/>
        </w:rPr>
        <w:t>分配款</w:t>
      </w:r>
      <w:r>
        <w:rPr>
          <w:rFonts w:ascii="Times New Roman" w:hAnsi="Times New Roman" w:hint="eastAsia"/>
          <w:b/>
          <w:spacing w:val="-12"/>
        </w:rPr>
        <w:t>運用於各類福利別之占比分布</w:t>
      </w:r>
    </w:p>
    <w:p w:rsidR="0040606A" w:rsidRPr="00C54AAC" w:rsidRDefault="0040606A" w:rsidP="0040606A">
      <w:pPr>
        <w:pStyle w:val="3"/>
        <w:numPr>
          <w:ilvl w:val="0"/>
          <w:numId w:val="0"/>
        </w:numPr>
        <w:topLinePunct/>
        <w:spacing w:afterLines="25" w:after="114" w:line="320" w:lineRule="exact"/>
        <w:ind w:left="1315" w:rightChars="-66" w:right="-224" w:hanging="39"/>
        <w:rPr>
          <w:rFonts w:ascii="Times New Roman" w:hAnsi="Times New Roman"/>
          <w:bCs w:val="0"/>
          <w:spacing w:val="-12"/>
        </w:rPr>
      </w:pPr>
      <w:bookmarkStart w:id="1488" w:name="_Toc508899447"/>
      <w:bookmarkStart w:id="1489" w:name="_Toc511115415"/>
      <w:bookmarkStart w:id="1490" w:name="_Toc511308205"/>
      <w:bookmarkStart w:id="1491" w:name="_Toc511998647"/>
      <w:bookmarkStart w:id="1492" w:name="_Toc512421004"/>
      <w:r>
        <w:rPr>
          <w:rFonts w:ascii="Times New Roman" w:hint="eastAsia"/>
          <w:sz w:val="24"/>
          <w:szCs w:val="24"/>
        </w:rPr>
        <w:t>資料來源：</w:t>
      </w:r>
      <w:r w:rsidRPr="00E961E5">
        <w:rPr>
          <w:rFonts w:ascii="Times New Roman" w:hint="eastAsia"/>
          <w:sz w:val="24"/>
          <w:szCs w:val="24"/>
        </w:rPr>
        <w:t>財政部</w:t>
      </w:r>
      <w:r>
        <w:rPr>
          <w:rFonts w:ascii="Times New Roman" w:hint="eastAsia"/>
          <w:sz w:val="24"/>
          <w:szCs w:val="24"/>
        </w:rPr>
        <w:t>查復資料</w:t>
      </w:r>
      <w:r w:rsidRPr="00E961E5">
        <w:rPr>
          <w:rFonts w:ascii="Times New Roman" w:hint="eastAsia"/>
          <w:sz w:val="24"/>
          <w:szCs w:val="24"/>
        </w:rPr>
        <w:t>及該部國庫署網站</w:t>
      </w:r>
      <w:r>
        <w:rPr>
          <w:rFonts w:ascii="Times New Roman" w:hint="eastAsia"/>
          <w:sz w:val="24"/>
          <w:szCs w:val="24"/>
        </w:rPr>
        <w:t>，本院整理製圖。</w:t>
      </w:r>
      <w:bookmarkEnd w:id="1488"/>
      <w:bookmarkEnd w:id="1489"/>
      <w:bookmarkEnd w:id="1490"/>
      <w:bookmarkEnd w:id="1491"/>
      <w:bookmarkEnd w:id="1492"/>
    </w:p>
    <w:p w:rsidR="0040606A" w:rsidRPr="00C121DF" w:rsidRDefault="0040606A" w:rsidP="0040606A">
      <w:pPr>
        <w:pStyle w:val="3"/>
        <w:numPr>
          <w:ilvl w:val="2"/>
          <w:numId w:val="9"/>
        </w:numPr>
        <w:topLinePunct/>
        <w:ind w:left="1360" w:hanging="680"/>
        <w:rPr>
          <w:rFonts w:ascii="Times New Roman" w:hAnsi="Times New Roman"/>
          <w:bCs w:val="0"/>
        </w:rPr>
      </w:pPr>
      <w:bookmarkStart w:id="1493" w:name="_Toc508899448"/>
      <w:bookmarkStart w:id="1494" w:name="_Toc511115416"/>
      <w:bookmarkStart w:id="1495" w:name="_Toc511308206"/>
      <w:bookmarkStart w:id="1496" w:name="_Toc511998648"/>
      <w:bookmarkStart w:id="1497" w:name="_Toc512421005"/>
      <w:bookmarkEnd w:id="1466"/>
      <w:bookmarkEnd w:id="1467"/>
      <w:bookmarkEnd w:id="1468"/>
      <w:bookmarkEnd w:id="1469"/>
      <w:bookmarkEnd w:id="1470"/>
      <w:bookmarkEnd w:id="1471"/>
      <w:bookmarkEnd w:id="1472"/>
      <w:r w:rsidRPr="00C121DF">
        <w:rPr>
          <w:rFonts w:ascii="Times New Roman" w:hAnsi="Times New Roman" w:hint="eastAsia"/>
          <w:bCs w:val="0"/>
          <w:color w:val="000000" w:themeColor="text1"/>
        </w:rPr>
        <w:t>綜上，</w:t>
      </w:r>
      <w:r w:rsidRPr="00C121DF">
        <w:rPr>
          <w:rFonts w:ascii="Times New Roman" w:hAnsi="Times New Roman" w:hint="eastAsia"/>
          <w:color w:val="000000" w:themeColor="text1"/>
        </w:rPr>
        <w:t>公益彩券盈餘屬不穩定、補充性的財源，衛福部雖已規範要求地方政府對於常態性社會福利支出項目應以公務預算優先支應，卻欠缺相關評核及監督機制，以避免公益彩券盈餘之挹注替代或排擠原應有之地方社會福利支出預算，應予檢討改進。另地方政府為因應長照</w:t>
      </w:r>
      <w:r w:rsidRPr="00C121DF">
        <w:rPr>
          <w:rFonts w:ascii="Times New Roman" w:hAnsi="Times New Roman" w:hint="eastAsia"/>
          <w:color w:val="000000" w:themeColor="text1"/>
        </w:rPr>
        <w:t>2.0</w:t>
      </w:r>
      <w:r w:rsidRPr="00C121DF">
        <w:rPr>
          <w:rFonts w:ascii="Times New Roman" w:hAnsi="Times New Roman" w:hint="eastAsia"/>
          <w:color w:val="000000" w:themeColor="text1"/>
        </w:rPr>
        <w:t>所需經費，於公益彩券盈餘分配款之運用上是否造成福利排擠效應，衛福部亦應</w:t>
      </w:r>
      <w:r w:rsidR="005F57FC">
        <w:rPr>
          <w:rFonts w:ascii="Times New Roman" w:hAnsi="Times New Roman" w:hint="eastAsia"/>
          <w:color w:val="000000" w:themeColor="text1"/>
        </w:rPr>
        <w:t>建立</w:t>
      </w:r>
      <w:r w:rsidRPr="00C121DF">
        <w:rPr>
          <w:rFonts w:ascii="Times New Roman" w:hAnsi="Times New Roman" w:hint="eastAsia"/>
          <w:color w:val="000000" w:themeColor="text1"/>
        </w:rPr>
        <w:t>相關評核及監督機制，以確保</w:t>
      </w:r>
      <w:r w:rsidRPr="00C121DF">
        <w:rPr>
          <w:rFonts w:ascii="Times New Roman" w:hAnsi="Times New Roman"/>
          <w:color w:val="000000" w:themeColor="text1"/>
        </w:rPr>
        <w:t>公益彩券盈餘</w:t>
      </w:r>
      <w:r w:rsidRPr="00C121DF">
        <w:rPr>
          <w:rFonts w:ascii="Times New Roman" w:hAnsi="Times New Roman" w:hint="eastAsia"/>
          <w:color w:val="000000" w:themeColor="text1"/>
        </w:rPr>
        <w:t>分配款運用於各福利類別之均衡及合理性。</w:t>
      </w:r>
      <w:bookmarkEnd w:id="1493"/>
      <w:bookmarkEnd w:id="1494"/>
      <w:bookmarkEnd w:id="1495"/>
      <w:bookmarkEnd w:id="1496"/>
      <w:bookmarkEnd w:id="1497"/>
    </w:p>
    <w:p w:rsidR="0040606A" w:rsidRDefault="0040606A" w:rsidP="0040606A">
      <w:pPr>
        <w:pStyle w:val="2"/>
        <w:numPr>
          <w:ilvl w:val="1"/>
          <w:numId w:val="9"/>
        </w:numPr>
        <w:kinsoku w:val="0"/>
        <w:ind w:left="1020" w:hanging="680"/>
        <w:rPr>
          <w:rFonts w:ascii="Times New Roman" w:hAnsi="Times New Roman"/>
          <w:b/>
        </w:rPr>
      </w:pPr>
      <w:bookmarkStart w:id="1498" w:name="_Toc507518615"/>
      <w:bookmarkStart w:id="1499" w:name="_Toc507072991"/>
      <w:bookmarkStart w:id="1500" w:name="_Toc507767696"/>
      <w:bookmarkStart w:id="1501" w:name="_Toc511115417"/>
      <w:bookmarkStart w:id="1502" w:name="_Toc512421006"/>
      <w:bookmarkEnd w:id="1431"/>
      <w:r>
        <w:rPr>
          <w:rFonts w:ascii="Times New Roman" w:hAnsi="Times New Roman" w:hint="eastAsia"/>
          <w:b/>
          <w:szCs w:val="32"/>
        </w:rPr>
        <w:t>各地方政府以獲配之</w:t>
      </w:r>
      <w:r>
        <w:rPr>
          <w:rFonts w:ascii="Times New Roman" w:hAnsi="Times New Roman" w:hint="eastAsia"/>
          <w:b/>
        </w:rPr>
        <w:t>公益彩券盈餘用於</w:t>
      </w:r>
      <w:r>
        <w:rPr>
          <w:rFonts w:ascii="Times New Roman" w:hAnsi="Times New Roman"/>
          <w:b/>
          <w:szCs w:val="32"/>
        </w:rPr>
        <w:t>6</w:t>
      </w:r>
      <w:r>
        <w:rPr>
          <w:rFonts w:ascii="Times New Roman" w:hAnsi="Times New Roman" w:hint="eastAsia"/>
          <w:b/>
        </w:rPr>
        <w:t>項法定現金補助經費之比率雖已呈現逐年降低之趨勢，惟部分縣市運用比率仍高，</w:t>
      </w:r>
      <w:r w:rsidR="00C121DF">
        <w:rPr>
          <w:rFonts w:ascii="Times New Roman" w:hAnsi="Times New Roman" w:hint="eastAsia"/>
          <w:b/>
        </w:rPr>
        <w:t>甚至</w:t>
      </w:r>
      <w:r>
        <w:rPr>
          <w:rFonts w:ascii="Times New Roman" w:hAnsi="Times New Roman" w:hint="eastAsia"/>
          <w:b/>
        </w:rPr>
        <w:t>有近</w:t>
      </w:r>
      <w:r>
        <w:rPr>
          <w:rFonts w:ascii="Times New Roman" w:hAnsi="Times New Roman"/>
          <w:b/>
        </w:rPr>
        <w:t>8</w:t>
      </w:r>
      <w:r>
        <w:rPr>
          <w:rFonts w:ascii="Times New Roman" w:hAnsi="Times New Roman" w:hint="eastAsia"/>
          <w:b/>
        </w:rPr>
        <w:t>成者，衛福部允應督促檢討改進。</w:t>
      </w:r>
      <w:bookmarkEnd w:id="1498"/>
      <w:bookmarkEnd w:id="1499"/>
      <w:bookmarkEnd w:id="1500"/>
      <w:bookmarkEnd w:id="1501"/>
      <w:bookmarkEnd w:id="1502"/>
    </w:p>
    <w:p w:rsidR="0040606A" w:rsidRDefault="005F57FC" w:rsidP="0040606A">
      <w:pPr>
        <w:pStyle w:val="3"/>
        <w:numPr>
          <w:ilvl w:val="2"/>
          <w:numId w:val="9"/>
        </w:numPr>
        <w:rPr>
          <w:rFonts w:ascii="Times New Roman" w:hAnsi="Times New Roman"/>
        </w:rPr>
      </w:pPr>
      <w:bookmarkStart w:id="1503" w:name="_Toc507518616"/>
      <w:bookmarkStart w:id="1504" w:name="_Toc507491611"/>
      <w:bookmarkStart w:id="1505" w:name="_Toc507484787"/>
      <w:bookmarkStart w:id="1506" w:name="_Toc507403644"/>
      <w:bookmarkStart w:id="1507" w:name="_Toc507359651"/>
      <w:bookmarkStart w:id="1508" w:name="_Toc507168688"/>
      <w:bookmarkStart w:id="1509" w:name="_Toc507163485"/>
      <w:bookmarkStart w:id="1510" w:name="_Toc507163233"/>
      <w:bookmarkStart w:id="1511" w:name="_Toc507072992"/>
      <w:bookmarkStart w:id="1512" w:name="_Toc507767697"/>
      <w:bookmarkStart w:id="1513" w:name="_Toc507768423"/>
      <w:bookmarkStart w:id="1514" w:name="_Toc511115418"/>
      <w:bookmarkStart w:id="1515" w:name="_Toc511308208"/>
      <w:bookmarkStart w:id="1516" w:name="_Toc511998650"/>
      <w:bookmarkStart w:id="1517" w:name="_Toc512421007"/>
      <w:r>
        <w:rPr>
          <w:rFonts w:ascii="Times New Roman" w:hAnsi="Times New Roman" w:hint="eastAsia"/>
        </w:rPr>
        <w:t>如前所述，</w:t>
      </w:r>
      <w:r w:rsidR="0040606A">
        <w:rPr>
          <w:rFonts w:ascii="Times New Roman" w:hAnsi="Times New Roman" w:hint="eastAsia"/>
        </w:rPr>
        <w:t>依據公益彩券發行條例第</w:t>
      </w:r>
      <w:r w:rsidR="0040606A">
        <w:rPr>
          <w:rFonts w:ascii="Times New Roman" w:hAnsi="Times New Roman"/>
        </w:rPr>
        <w:t>6</w:t>
      </w:r>
      <w:r w:rsidR="0040606A">
        <w:rPr>
          <w:rFonts w:ascii="Times New Roman" w:hAnsi="Times New Roman" w:hint="eastAsia"/>
        </w:rPr>
        <w:t>條第</w:t>
      </w:r>
      <w:r w:rsidR="0040606A">
        <w:rPr>
          <w:rFonts w:ascii="Times New Roman" w:hAnsi="Times New Roman"/>
        </w:rPr>
        <w:t>2</w:t>
      </w:r>
      <w:r w:rsidR="0040606A">
        <w:rPr>
          <w:rFonts w:ascii="Times New Roman" w:hAnsi="Times New Roman" w:hint="eastAsia"/>
        </w:rPr>
        <w:t>項規定：發行機構應將各種公益彩券發行之盈餘專供政府補助國民年金、全民健康保險準備及社會福利支出之用，其中社會福利支出，應以政府辦理社會保險、福利服務、社會救助、國民就業、醫療保健之業務為限，並不得充抵依財政收支劃分法</w:t>
      </w:r>
      <w:r w:rsidR="007E417F">
        <w:rPr>
          <w:rFonts w:ascii="Times New Roman" w:hAnsi="Times New Roman" w:hint="eastAsia"/>
        </w:rPr>
        <w:t>(</w:t>
      </w:r>
      <w:r w:rsidR="007E417F">
        <w:rPr>
          <w:rFonts w:ascii="Times New Roman" w:hAnsi="Times New Roman" w:hint="eastAsia"/>
        </w:rPr>
        <w:t>下稱財劃法</w:t>
      </w:r>
      <w:r w:rsidR="007E417F">
        <w:rPr>
          <w:rFonts w:ascii="Times New Roman" w:hAnsi="Times New Roman" w:hint="eastAsia"/>
        </w:rPr>
        <w:t>)</w:t>
      </w:r>
      <w:r w:rsidR="0040606A">
        <w:rPr>
          <w:rFonts w:ascii="Times New Roman" w:hAnsi="Times New Roman" w:hint="eastAsia"/>
        </w:rPr>
        <w:t>已分配及補助之社會福利經費。再據「公益彩券盈餘運用考核與追回款項保管及運用辦法」第</w:t>
      </w:r>
      <w:r w:rsidR="0040606A">
        <w:rPr>
          <w:rFonts w:ascii="Times New Roman" w:hAnsi="Times New Roman"/>
        </w:rPr>
        <w:t>5</w:t>
      </w:r>
      <w:r w:rsidR="0040606A">
        <w:rPr>
          <w:rFonts w:ascii="Times New Roman" w:hAnsi="Times New Roman" w:hint="eastAsia"/>
        </w:rPr>
        <w:t>條規定：公益彩券發行條例第</w:t>
      </w:r>
      <w:r w:rsidR="0040606A">
        <w:rPr>
          <w:rFonts w:ascii="Times New Roman" w:hAnsi="Times New Roman"/>
        </w:rPr>
        <w:t>6</w:t>
      </w:r>
      <w:r w:rsidR="0040606A">
        <w:rPr>
          <w:rFonts w:ascii="Times New Roman" w:hAnsi="Times New Roman" w:hint="eastAsia"/>
        </w:rPr>
        <w:t>條第</w:t>
      </w:r>
      <w:r w:rsidR="0040606A">
        <w:rPr>
          <w:rFonts w:ascii="Times New Roman" w:hAnsi="Times New Roman"/>
        </w:rPr>
        <w:t>2</w:t>
      </w:r>
      <w:r w:rsidR="0040606A">
        <w:rPr>
          <w:rFonts w:ascii="Times New Roman" w:hAnsi="Times New Roman" w:hint="eastAsia"/>
        </w:rPr>
        <w:t>項所稱依財劃法已分配及補助之社會福利經費，係指下列各款：</w:t>
      </w:r>
      <w:r w:rsidR="0040606A">
        <w:rPr>
          <w:rFonts w:ascii="Times New Roman" w:hAnsi="Times New Roman"/>
        </w:rPr>
        <w:t>1</w:t>
      </w:r>
      <w:r w:rsidR="0040606A">
        <w:rPr>
          <w:rFonts w:ascii="Times New Roman" w:hAnsi="Times New Roman" w:hint="eastAsia"/>
        </w:rPr>
        <w:t>、國民年金保險保險費；</w:t>
      </w:r>
      <w:r w:rsidR="0040606A">
        <w:rPr>
          <w:rFonts w:ascii="Times New Roman" w:hAnsi="Times New Roman"/>
        </w:rPr>
        <w:t>2</w:t>
      </w:r>
      <w:r w:rsidR="0040606A">
        <w:rPr>
          <w:rFonts w:ascii="Times New Roman" w:hAnsi="Times New Roman" w:hint="eastAsia"/>
        </w:rPr>
        <w:t>、農民健康保險保險費；</w:t>
      </w:r>
      <w:r w:rsidR="0040606A">
        <w:rPr>
          <w:rFonts w:ascii="Times New Roman" w:hAnsi="Times New Roman"/>
        </w:rPr>
        <w:t>3</w:t>
      </w:r>
      <w:r w:rsidR="0040606A">
        <w:rPr>
          <w:rFonts w:ascii="Times New Roman" w:hAnsi="Times New Roman" w:hint="eastAsia"/>
        </w:rPr>
        <w:t>、中低收入老人生活津貼；</w:t>
      </w:r>
      <w:r w:rsidR="0040606A">
        <w:rPr>
          <w:rFonts w:ascii="Times New Roman" w:hAnsi="Times New Roman"/>
        </w:rPr>
        <w:t>4</w:t>
      </w:r>
      <w:r w:rsidR="0040606A">
        <w:rPr>
          <w:rFonts w:ascii="Times New Roman" w:hAnsi="Times New Roman" w:hint="eastAsia"/>
        </w:rPr>
        <w:t>、老年農民福利津貼；</w:t>
      </w:r>
      <w:r w:rsidR="0040606A">
        <w:rPr>
          <w:rFonts w:ascii="Times New Roman" w:hAnsi="Times New Roman"/>
        </w:rPr>
        <w:t>5</w:t>
      </w:r>
      <w:r w:rsidR="0040606A">
        <w:rPr>
          <w:rFonts w:ascii="Times New Roman" w:hAnsi="Times New Roman" w:hint="eastAsia"/>
        </w:rPr>
        <w:t>、以中央定額設算之一般性社會福利補助款指定辦理施政項目。</w:t>
      </w:r>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p>
    <w:p w:rsidR="0040606A" w:rsidRDefault="0040606A" w:rsidP="00C121DF">
      <w:pPr>
        <w:pStyle w:val="3"/>
        <w:numPr>
          <w:ilvl w:val="2"/>
          <w:numId w:val="9"/>
        </w:numPr>
        <w:topLinePunct/>
        <w:ind w:left="1360" w:hanging="680"/>
        <w:rPr>
          <w:rFonts w:ascii="Times New Roman" w:hAnsi="Times New Roman"/>
        </w:rPr>
      </w:pPr>
      <w:bookmarkStart w:id="1518" w:name="_Toc507518617"/>
      <w:bookmarkStart w:id="1519" w:name="_Toc507491612"/>
      <w:bookmarkStart w:id="1520" w:name="_Toc507484788"/>
      <w:bookmarkStart w:id="1521" w:name="_Toc507403645"/>
      <w:bookmarkStart w:id="1522" w:name="_Toc507359652"/>
      <w:bookmarkStart w:id="1523" w:name="_Toc507168689"/>
      <w:bookmarkStart w:id="1524" w:name="_Toc507163486"/>
      <w:bookmarkStart w:id="1525" w:name="_Toc507163234"/>
      <w:bookmarkStart w:id="1526" w:name="_Toc507072993"/>
      <w:bookmarkStart w:id="1527" w:name="_Toc507767698"/>
      <w:bookmarkStart w:id="1528" w:name="_Toc507768424"/>
      <w:bookmarkStart w:id="1529" w:name="_Toc511115419"/>
      <w:bookmarkStart w:id="1530" w:name="_Toc511308209"/>
      <w:bookmarkStart w:id="1531" w:name="_Toc511998651"/>
      <w:bookmarkStart w:id="1532" w:name="_Toc512421008"/>
      <w:r>
        <w:rPr>
          <w:rFonts w:ascii="Times New Roman" w:hAnsi="Times New Roman" w:hint="eastAsia"/>
        </w:rPr>
        <w:t>中央為改善各縣市公益彩券盈餘分配款待運用數偏高之問題，</w:t>
      </w:r>
      <w:r w:rsidR="005F57FC">
        <w:rPr>
          <w:rFonts w:ascii="Times New Roman" w:hAnsi="Times New Roman" w:hint="eastAsia"/>
        </w:rPr>
        <w:t>遂</w:t>
      </w:r>
      <w:r>
        <w:rPr>
          <w:rFonts w:ascii="Times New Roman" w:hAnsi="Times New Roman" w:hint="eastAsia"/>
        </w:rPr>
        <w:t>放寬「不可充抵公務預算」之規定，使「身心障礙者生活補助、輔助器具及教養費等</w:t>
      </w:r>
      <w:r>
        <w:rPr>
          <w:rFonts w:ascii="Times New Roman" w:hAnsi="Times New Roman"/>
        </w:rPr>
        <w:t>3</w:t>
      </w:r>
      <w:r>
        <w:rPr>
          <w:rFonts w:ascii="Times New Roman" w:hAnsi="Times New Roman" w:hint="eastAsia"/>
        </w:rPr>
        <w:t>項補助」、「低收入戶家庭及兒童生活補助」、「低收入戶就學生活補助」、「低收入戶以工代賑」等</w:t>
      </w:r>
      <w:r>
        <w:rPr>
          <w:rFonts w:ascii="Times New Roman" w:hAnsi="Times New Roman"/>
        </w:rPr>
        <w:t>6</w:t>
      </w:r>
      <w:r>
        <w:rPr>
          <w:rFonts w:ascii="Times New Roman" w:hAnsi="Times New Roman" w:hint="eastAsia"/>
        </w:rPr>
        <w:t>項計畫經費</w:t>
      </w:r>
      <w:r>
        <w:rPr>
          <w:rFonts w:ascii="Times New Roman" w:hAnsi="Times New Roman"/>
        </w:rPr>
        <w:t>(</w:t>
      </w:r>
      <w:r>
        <w:rPr>
          <w:rFonts w:ascii="Times New Roman" w:hAnsi="Times New Roman" w:hint="eastAsia"/>
        </w:rPr>
        <w:t>下稱</w:t>
      </w:r>
      <w:r>
        <w:rPr>
          <w:rFonts w:ascii="Times New Roman" w:hAnsi="Times New Roman"/>
        </w:rPr>
        <w:t>6</w:t>
      </w:r>
      <w:r>
        <w:rPr>
          <w:rFonts w:ascii="Times New Roman" w:hAnsi="Times New Roman" w:hint="eastAsia"/>
        </w:rPr>
        <w:t>項法定現金補助計畫經費</w:t>
      </w:r>
      <w:r>
        <w:rPr>
          <w:rFonts w:ascii="Times New Roman" w:hAnsi="Times New Roman"/>
        </w:rPr>
        <w:t>)</w:t>
      </w:r>
      <w:r>
        <w:rPr>
          <w:rFonts w:ascii="Times New Roman" w:hAnsi="Times New Roman" w:hint="eastAsia"/>
        </w:rPr>
        <w:t>，得以運用公益彩券盈餘分配款支應。惟同時為避免各地方政府以</w:t>
      </w:r>
      <w:r w:rsidR="005F57FC">
        <w:rPr>
          <w:rFonts w:ascii="Times New Roman" w:hAnsi="Times New Roman" w:hint="eastAsia"/>
        </w:rPr>
        <w:t>該盈餘</w:t>
      </w:r>
      <w:r>
        <w:rPr>
          <w:rFonts w:ascii="Times New Roman" w:hAnsi="Times New Roman" w:hint="eastAsia"/>
        </w:rPr>
        <w:t>分配款過度用於前述</w:t>
      </w:r>
      <w:r>
        <w:rPr>
          <w:rFonts w:ascii="Times New Roman" w:hAnsi="Times New Roman"/>
          <w:szCs w:val="24"/>
        </w:rPr>
        <w:t>6</w:t>
      </w:r>
      <w:r>
        <w:rPr>
          <w:rFonts w:ascii="Times New Roman" w:hAnsi="Times New Roman" w:hint="eastAsia"/>
          <w:szCs w:val="24"/>
        </w:rPr>
        <w:t>項法定現金補助計畫經費</w:t>
      </w:r>
      <w:r>
        <w:rPr>
          <w:rFonts w:ascii="Times New Roman" w:hAnsi="Times New Roman" w:hint="eastAsia"/>
        </w:rPr>
        <w:t>，爰於考核指標中訂定各地方政府依其財力分級可運用公益彩券盈餘分配款編列</w:t>
      </w:r>
      <w:r>
        <w:rPr>
          <w:rFonts w:ascii="Times New Roman" w:hAnsi="Times New Roman"/>
        </w:rPr>
        <w:t>6</w:t>
      </w:r>
      <w:r>
        <w:rPr>
          <w:rFonts w:ascii="Times New Roman" w:hAnsi="Times New Roman" w:hint="eastAsia"/>
        </w:rPr>
        <w:t>項現金給付經費之比率上限</w:t>
      </w:r>
      <w:r w:rsidRPr="00C52751">
        <w:rPr>
          <w:rFonts w:ascii="Times New Roman" w:hAnsi="Times New Roman"/>
        </w:rPr>
        <w:t>(</w:t>
      </w:r>
      <w:r w:rsidRPr="00C52751">
        <w:rPr>
          <w:rFonts w:ascii="Times New Roman" w:hAnsi="Times New Roman" w:hint="eastAsia"/>
        </w:rPr>
        <w:t>詳見下表</w:t>
      </w:r>
      <w:r w:rsidRPr="00C52751">
        <w:rPr>
          <w:rFonts w:ascii="Times New Roman" w:hAnsi="Times New Roman"/>
        </w:rPr>
        <w:t>1</w:t>
      </w:r>
      <w:r w:rsidR="00C121DF" w:rsidRPr="00C52751">
        <w:rPr>
          <w:rFonts w:ascii="Times New Roman" w:hAnsi="Times New Roman" w:hint="eastAsia"/>
        </w:rPr>
        <w:t>2</w:t>
      </w:r>
      <w:r w:rsidRPr="00C52751">
        <w:rPr>
          <w:rFonts w:ascii="Times New Roman" w:hAnsi="Times New Roman"/>
        </w:rPr>
        <w:t>)</w:t>
      </w:r>
      <w:r w:rsidRPr="00C52751">
        <w:rPr>
          <w:rFonts w:ascii="Times New Roman" w:hAnsi="Times New Roman" w:hint="eastAsia"/>
        </w:rPr>
        <w:t>。</w:t>
      </w:r>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p>
    <w:p w:rsidR="0040606A" w:rsidRDefault="0040606A" w:rsidP="008F3169">
      <w:pPr>
        <w:pStyle w:val="a3"/>
        <w:numPr>
          <w:ilvl w:val="0"/>
          <w:numId w:val="34"/>
        </w:numPr>
        <w:spacing w:before="120" w:after="0"/>
        <w:ind w:left="2268" w:rightChars="69" w:right="235" w:hanging="812"/>
        <w:textAlignment w:val="auto"/>
        <w:rPr>
          <w:rFonts w:ascii="Times New Roman" w:hAnsi="Times New Roman"/>
          <w:spacing w:val="-16"/>
        </w:rPr>
      </w:pPr>
      <w:r w:rsidRPr="008F3169">
        <w:rPr>
          <w:rFonts w:ascii="Times New Roman" w:hAnsi="Times New Roman" w:hint="eastAsia"/>
          <w:b/>
        </w:rPr>
        <w:t>各地方政府依財力分級運用公益彩券盈餘編列設算制度</w:t>
      </w:r>
      <w:r>
        <w:rPr>
          <w:rFonts w:ascii="Times New Roman" w:hAnsi="Times New Roman"/>
          <w:b/>
          <w:spacing w:val="-16"/>
        </w:rPr>
        <w:t>6</w:t>
      </w:r>
      <w:r>
        <w:rPr>
          <w:rFonts w:ascii="Times New Roman" w:hAnsi="Times New Roman" w:hint="eastAsia"/>
          <w:b/>
          <w:spacing w:val="-16"/>
        </w:rPr>
        <w:t>項現金給付項目指標經費之配置比率上限參考表</w:t>
      </w:r>
    </w:p>
    <w:tbl>
      <w:tblPr>
        <w:tblW w:w="7167" w:type="dxa"/>
        <w:tblInd w:w="16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260"/>
        <w:gridCol w:w="1582"/>
        <w:gridCol w:w="1959"/>
        <w:gridCol w:w="1206"/>
        <w:gridCol w:w="1160"/>
      </w:tblGrid>
      <w:tr w:rsidR="0040606A" w:rsidTr="00C055EF">
        <w:trPr>
          <w:tblHeader/>
        </w:trPr>
        <w:tc>
          <w:tcPr>
            <w:tcW w:w="1260"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spacing w:line="320" w:lineRule="exact"/>
              <w:jc w:val="center"/>
              <w:rPr>
                <w:rFonts w:ascii="Times New Roman"/>
                <w:sz w:val="28"/>
                <w:szCs w:val="28"/>
              </w:rPr>
            </w:pPr>
            <w:r>
              <w:rPr>
                <w:rFonts w:ascii="Times New Roman" w:hint="eastAsia"/>
                <w:sz w:val="28"/>
                <w:szCs w:val="28"/>
              </w:rPr>
              <w:t>財力</w:t>
            </w:r>
          </w:p>
          <w:p w:rsidR="0040606A" w:rsidRDefault="0040606A" w:rsidP="00C055EF">
            <w:pPr>
              <w:spacing w:line="320" w:lineRule="exact"/>
              <w:jc w:val="center"/>
              <w:rPr>
                <w:rFonts w:ascii="Times New Roman"/>
                <w:sz w:val="28"/>
                <w:szCs w:val="28"/>
              </w:rPr>
            </w:pPr>
            <w:r>
              <w:rPr>
                <w:rFonts w:ascii="Times New Roman" w:hint="eastAsia"/>
                <w:sz w:val="28"/>
                <w:szCs w:val="28"/>
              </w:rPr>
              <w:t>分級</w:t>
            </w:r>
          </w:p>
          <w:p w:rsidR="008939AF" w:rsidRPr="008939AF" w:rsidRDefault="008939AF" w:rsidP="00C055EF">
            <w:pPr>
              <w:spacing w:line="320" w:lineRule="exact"/>
              <w:jc w:val="center"/>
              <w:rPr>
                <w:rFonts w:ascii="Times New Roman"/>
                <w:sz w:val="28"/>
                <w:szCs w:val="28"/>
                <w:vertAlign w:val="superscript"/>
              </w:rPr>
            </w:pPr>
            <w:r w:rsidRPr="008939AF">
              <w:rPr>
                <w:rFonts w:ascii="Times New Roman" w:hint="eastAsia"/>
                <w:sz w:val="28"/>
                <w:szCs w:val="28"/>
                <w:vertAlign w:val="superscript"/>
              </w:rPr>
              <w:t>(</w:t>
            </w:r>
            <w:r w:rsidRPr="008939AF">
              <w:rPr>
                <w:rFonts w:ascii="Times New Roman" w:hint="eastAsia"/>
                <w:sz w:val="28"/>
                <w:szCs w:val="28"/>
                <w:vertAlign w:val="superscript"/>
              </w:rPr>
              <w:t>備註</w:t>
            </w:r>
            <w:r w:rsidRPr="008939AF">
              <w:rPr>
                <w:rFonts w:ascii="Times New Roman" w:hint="eastAsia"/>
                <w:sz w:val="28"/>
                <w:szCs w:val="28"/>
                <w:vertAlign w:val="superscript"/>
              </w:rPr>
              <w:t>1)</w:t>
            </w:r>
          </w:p>
        </w:tc>
        <w:tc>
          <w:tcPr>
            <w:tcW w:w="1582"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spacing w:line="320" w:lineRule="exact"/>
              <w:jc w:val="center"/>
              <w:rPr>
                <w:rFonts w:ascii="Times New Roman"/>
                <w:sz w:val="28"/>
                <w:szCs w:val="28"/>
              </w:rPr>
            </w:pPr>
            <w:r>
              <w:rPr>
                <w:rFonts w:ascii="Times New Roman" w:hint="eastAsia"/>
                <w:sz w:val="28"/>
                <w:szCs w:val="28"/>
              </w:rPr>
              <w:t>計畫</w:t>
            </w:r>
          </w:p>
          <w:p w:rsidR="0040606A" w:rsidRDefault="0040606A" w:rsidP="00C055EF">
            <w:pPr>
              <w:spacing w:line="320" w:lineRule="exact"/>
              <w:jc w:val="center"/>
              <w:rPr>
                <w:rFonts w:ascii="Times New Roman"/>
                <w:sz w:val="28"/>
                <w:szCs w:val="28"/>
              </w:rPr>
            </w:pPr>
            <w:r>
              <w:rPr>
                <w:rFonts w:ascii="Times New Roman" w:hint="eastAsia"/>
                <w:sz w:val="28"/>
                <w:szCs w:val="28"/>
              </w:rPr>
              <w:t>經費</w:t>
            </w:r>
          </w:p>
          <w:p w:rsidR="0040606A" w:rsidRDefault="0040606A" w:rsidP="008939AF">
            <w:pPr>
              <w:spacing w:line="320" w:lineRule="exact"/>
              <w:ind w:firstLineChars="182" w:firstLine="546"/>
              <w:jc w:val="center"/>
              <w:rPr>
                <w:rFonts w:ascii="Times New Roman"/>
                <w:sz w:val="28"/>
                <w:szCs w:val="28"/>
              </w:rPr>
            </w:pPr>
            <w:r>
              <w:rPr>
                <w:rFonts w:ascii="Times New Roman"/>
                <w:sz w:val="28"/>
                <w:szCs w:val="28"/>
              </w:rPr>
              <w:t>D</w:t>
            </w:r>
            <w:r w:rsidR="008939AF" w:rsidRPr="008939AF">
              <w:rPr>
                <w:rFonts w:ascii="Times New Roman" w:hint="eastAsia"/>
                <w:sz w:val="28"/>
                <w:szCs w:val="28"/>
                <w:vertAlign w:val="superscript"/>
              </w:rPr>
              <w:t>(</w:t>
            </w:r>
            <w:r w:rsidR="008939AF" w:rsidRPr="008939AF">
              <w:rPr>
                <w:rFonts w:ascii="Times New Roman" w:hint="eastAsia"/>
                <w:sz w:val="28"/>
                <w:szCs w:val="28"/>
                <w:vertAlign w:val="superscript"/>
              </w:rPr>
              <w:t>備註</w:t>
            </w:r>
            <w:r w:rsidR="008939AF" w:rsidRPr="008939AF">
              <w:rPr>
                <w:rFonts w:ascii="Times New Roman" w:hint="eastAsia"/>
                <w:sz w:val="28"/>
                <w:szCs w:val="28"/>
                <w:vertAlign w:val="superscript"/>
              </w:rPr>
              <w:t>2)</w:t>
            </w:r>
          </w:p>
        </w:tc>
        <w:tc>
          <w:tcPr>
            <w:tcW w:w="1959"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spacing w:line="320" w:lineRule="exact"/>
              <w:ind w:leftChars="-29" w:left="-99" w:rightChars="-31" w:right="-105" w:firstLineChars="6" w:firstLine="16"/>
              <w:jc w:val="center"/>
              <w:rPr>
                <w:rFonts w:ascii="Times New Roman"/>
                <w:sz w:val="28"/>
                <w:szCs w:val="28"/>
              </w:rPr>
            </w:pPr>
            <w:r>
              <w:rPr>
                <w:rFonts w:ascii="Times New Roman" w:hint="eastAsia"/>
                <w:spacing w:val="-18"/>
                <w:sz w:val="28"/>
                <w:szCs w:val="28"/>
              </w:rPr>
              <w:t>運用公益彩券</w:t>
            </w:r>
            <w:r>
              <w:rPr>
                <w:rFonts w:ascii="Times New Roman" w:hint="eastAsia"/>
                <w:sz w:val="28"/>
                <w:szCs w:val="28"/>
              </w:rPr>
              <w:t>盈餘上限</w:t>
            </w:r>
          </w:p>
          <w:p w:rsidR="0040606A" w:rsidRDefault="0040606A" w:rsidP="00C055EF">
            <w:pPr>
              <w:spacing w:line="320" w:lineRule="exact"/>
              <w:ind w:leftChars="-29" w:left="-99" w:rightChars="-20" w:right="-68" w:firstLineChars="14" w:firstLine="42"/>
              <w:jc w:val="center"/>
              <w:rPr>
                <w:rFonts w:ascii="Times New Roman"/>
                <w:sz w:val="28"/>
                <w:szCs w:val="28"/>
              </w:rPr>
            </w:pPr>
            <w:r>
              <w:rPr>
                <w:rFonts w:ascii="Times New Roman"/>
                <w:sz w:val="28"/>
                <w:szCs w:val="28"/>
              </w:rPr>
              <w:t>A</w:t>
            </w:r>
          </w:p>
        </w:tc>
        <w:tc>
          <w:tcPr>
            <w:tcW w:w="1206"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spacing w:line="320" w:lineRule="exact"/>
              <w:jc w:val="center"/>
              <w:rPr>
                <w:rFonts w:ascii="Times New Roman"/>
                <w:sz w:val="28"/>
                <w:szCs w:val="28"/>
              </w:rPr>
            </w:pPr>
            <w:r>
              <w:rPr>
                <w:rFonts w:ascii="Times New Roman" w:hint="eastAsia"/>
                <w:sz w:val="28"/>
                <w:szCs w:val="28"/>
              </w:rPr>
              <w:t>中央</w:t>
            </w:r>
          </w:p>
          <w:p w:rsidR="0040606A" w:rsidRDefault="0040606A" w:rsidP="00C055EF">
            <w:pPr>
              <w:spacing w:line="320" w:lineRule="exact"/>
              <w:jc w:val="center"/>
              <w:rPr>
                <w:rFonts w:ascii="Times New Roman"/>
                <w:sz w:val="28"/>
                <w:szCs w:val="28"/>
              </w:rPr>
            </w:pPr>
            <w:r>
              <w:rPr>
                <w:rFonts w:ascii="Times New Roman" w:hint="eastAsia"/>
                <w:sz w:val="28"/>
                <w:szCs w:val="28"/>
              </w:rPr>
              <w:t>補助</w:t>
            </w:r>
          </w:p>
          <w:p w:rsidR="0040606A" w:rsidRDefault="0040606A" w:rsidP="00C055EF">
            <w:pPr>
              <w:spacing w:line="320" w:lineRule="exact"/>
              <w:jc w:val="center"/>
              <w:rPr>
                <w:rFonts w:ascii="Times New Roman"/>
                <w:sz w:val="28"/>
                <w:szCs w:val="28"/>
              </w:rPr>
            </w:pPr>
            <w:r>
              <w:rPr>
                <w:rFonts w:ascii="Times New Roman"/>
                <w:sz w:val="28"/>
                <w:szCs w:val="28"/>
              </w:rPr>
              <w:t>B</w:t>
            </w:r>
          </w:p>
        </w:tc>
        <w:tc>
          <w:tcPr>
            <w:tcW w:w="1160"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spacing w:line="320" w:lineRule="exact"/>
              <w:ind w:leftChars="-31" w:left="3" w:rightChars="-19" w:right="-65" w:hangingChars="36" w:hanging="108"/>
              <w:jc w:val="center"/>
              <w:rPr>
                <w:rFonts w:ascii="Times New Roman"/>
                <w:sz w:val="28"/>
                <w:szCs w:val="28"/>
              </w:rPr>
            </w:pPr>
            <w:r>
              <w:rPr>
                <w:rFonts w:ascii="Times New Roman" w:hint="eastAsia"/>
                <w:sz w:val="28"/>
                <w:szCs w:val="28"/>
              </w:rPr>
              <w:t>自籌款</w:t>
            </w:r>
          </w:p>
          <w:p w:rsidR="0040606A" w:rsidRDefault="0040606A" w:rsidP="00C055EF">
            <w:pPr>
              <w:spacing w:line="320" w:lineRule="exact"/>
              <w:ind w:leftChars="-31" w:left="3" w:rightChars="-19" w:right="-65" w:hangingChars="36" w:hanging="108"/>
              <w:jc w:val="center"/>
              <w:rPr>
                <w:rFonts w:ascii="Times New Roman"/>
                <w:sz w:val="28"/>
                <w:szCs w:val="28"/>
              </w:rPr>
            </w:pPr>
            <w:r>
              <w:rPr>
                <w:rFonts w:ascii="Times New Roman"/>
                <w:sz w:val="28"/>
                <w:szCs w:val="28"/>
              </w:rPr>
              <w:t>C</w:t>
            </w:r>
          </w:p>
        </w:tc>
      </w:tr>
      <w:tr w:rsidR="0040606A" w:rsidTr="00C055EF">
        <w:tc>
          <w:tcPr>
            <w:tcW w:w="1260"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60" w:lineRule="exact"/>
              <w:jc w:val="center"/>
              <w:rPr>
                <w:rFonts w:ascii="Times New Roman"/>
                <w:sz w:val="28"/>
                <w:szCs w:val="28"/>
              </w:rPr>
            </w:pPr>
            <w:r>
              <w:rPr>
                <w:rFonts w:ascii="Times New Roman"/>
                <w:sz w:val="28"/>
                <w:szCs w:val="28"/>
              </w:rPr>
              <w:t>1</w:t>
            </w:r>
          </w:p>
        </w:tc>
        <w:tc>
          <w:tcPr>
            <w:tcW w:w="1582"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60" w:lineRule="exact"/>
              <w:jc w:val="center"/>
              <w:rPr>
                <w:rFonts w:ascii="Times New Roman"/>
                <w:sz w:val="28"/>
                <w:szCs w:val="28"/>
              </w:rPr>
            </w:pPr>
            <w:r>
              <w:rPr>
                <w:rFonts w:ascii="Times New Roman"/>
                <w:sz w:val="28"/>
                <w:szCs w:val="28"/>
              </w:rPr>
              <w:t>100%</w:t>
            </w:r>
          </w:p>
        </w:tc>
        <w:tc>
          <w:tcPr>
            <w:tcW w:w="1959"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60" w:lineRule="exact"/>
              <w:jc w:val="center"/>
              <w:rPr>
                <w:rFonts w:ascii="Times New Roman"/>
                <w:sz w:val="28"/>
                <w:szCs w:val="28"/>
              </w:rPr>
            </w:pPr>
            <w:r>
              <w:rPr>
                <w:rFonts w:ascii="Times New Roman"/>
                <w:sz w:val="28"/>
                <w:szCs w:val="28"/>
              </w:rPr>
              <w:t>45%</w:t>
            </w:r>
          </w:p>
        </w:tc>
        <w:tc>
          <w:tcPr>
            <w:tcW w:w="1206" w:type="dxa"/>
            <w:vMerge w:val="restart"/>
            <w:tcBorders>
              <w:top w:val="single" w:sz="6" w:space="0" w:color="auto"/>
              <w:left w:val="single" w:sz="6" w:space="0" w:color="auto"/>
              <w:bottom w:val="single" w:sz="6" w:space="0" w:color="auto"/>
              <w:right w:val="single" w:sz="6" w:space="0" w:color="auto"/>
            </w:tcBorders>
            <w:hideMark/>
          </w:tcPr>
          <w:p w:rsidR="0040606A" w:rsidRDefault="0040606A" w:rsidP="008939AF">
            <w:pPr>
              <w:spacing w:line="360" w:lineRule="exact"/>
              <w:jc w:val="center"/>
              <w:rPr>
                <w:rFonts w:ascii="Times New Roman"/>
                <w:sz w:val="28"/>
                <w:szCs w:val="28"/>
              </w:rPr>
            </w:pPr>
            <w:r>
              <w:rPr>
                <w:rFonts w:ascii="Times New Roman" w:hint="eastAsia"/>
                <w:sz w:val="28"/>
                <w:szCs w:val="28"/>
              </w:rPr>
              <w:t>備註</w:t>
            </w:r>
            <w:r w:rsidR="008939AF">
              <w:rPr>
                <w:rFonts w:ascii="Times New Roman" w:hint="eastAsia"/>
                <w:sz w:val="28"/>
                <w:szCs w:val="28"/>
              </w:rPr>
              <w:t>3</w:t>
            </w:r>
          </w:p>
        </w:tc>
        <w:tc>
          <w:tcPr>
            <w:tcW w:w="1160" w:type="dxa"/>
            <w:vMerge w:val="restart"/>
            <w:tcBorders>
              <w:top w:val="single" w:sz="6" w:space="0" w:color="auto"/>
              <w:left w:val="single" w:sz="6" w:space="0" w:color="auto"/>
              <w:bottom w:val="single" w:sz="6" w:space="0" w:color="auto"/>
              <w:right w:val="single" w:sz="6" w:space="0" w:color="auto"/>
            </w:tcBorders>
            <w:hideMark/>
          </w:tcPr>
          <w:p w:rsidR="0040606A" w:rsidRDefault="0040606A" w:rsidP="008939AF">
            <w:pPr>
              <w:spacing w:line="360" w:lineRule="exact"/>
              <w:jc w:val="center"/>
              <w:rPr>
                <w:rFonts w:ascii="Times New Roman"/>
                <w:sz w:val="28"/>
                <w:szCs w:val="28"/>
              </w:rPr>
            </w:pPr>
            <w:r>
              <w:rPr>
                <w:rFonts w:ascii="Times New Roman" w:hint="eastAsia"/>
                <w:sz w:val="28"/>
                <w:szCs w:val="28"/>
              </w:rPr>
              <w:t>備註</w:t>
            </w:r>
            <w:r w:rsidR="008939AF">
              <w:rPr>
                <w:rFonts w:ascii="Times New Roman" w:hint="eastAsia"/>
                <w:sz w:val="28"/>
                <w:szCs w:val="28"/>
              </w:rPr>
              <w:t>3</w:t>
            </w:r>
          </w:p>
        </w:tc>
      </w:tr>
      <w:tr w:rsidR="0040606A" w:rsidTr="00C055EF">
        <w:tc>
          <w:tcPr>
            <w:tcW w:w="1260"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60" w:lineRule="exact"/>
              <w:jc w:val="center"/>
              <w:rPr>
                <w:rFonts w:ascii="Times New Roman"/>
                <w:sz w:val="28"/>
                <w:szCs w:val="28"/>
              </w:rPr>
            </w:pPr>
            <w:r>
              <w:rPr>
                <w:rFonts w:ascii="Times New Roman"/>
                <w:sz w:val="28"/>
                <w:szCs w:val="28"/>
              </w:rPr>
              <w:t>2</w:t>
            </w:r>
          </w:p>
        </w:tc>
        <w:tc>
          <w:tcPr>
            <w:tcW w:w="1582"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60" w:lineRule="exact"/>
              <w:jc w:val="center"/>
              <w:rPr>
                <w:rFonts w:ascii="Times New Roman"/>
                <w:sz w:val="28"/>
                <w:szCs w:val="28"/>
              </w:rPr>
            </w:pPr>
            <w:r>
              <w:rPr>
                <w:rFonts w:ascii="Times New Roman"/>
                <w:sz w:val="28"/>
                <w:szCs w:val="28"/>
              </w:rPr>
              <w:t>100%</w:t>
            </w:r>
          </w:p>
        </w:tc>
        <w:tc>
          <w:tcPr>
            <w:tcW w:w="1959"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60" w:lineRule="exact"/>
              <w:jc w:val="center"/>
              <w:rPr>
                <w:rFonts w:ascii="Times New Roman"/>
                <w:sz w:val="28"/>
                <w:szCs w:val="28"/>
              </w:rPr>
            </w:pPr>
            <w:r>
              <w:rPr>
                <w:rFonts w:ascii="Times New Roman"/>
                <w:sz w:val="28"/>
                <w:szCs w:val="28"/>
              </w:rPr>
              <w:t>55%</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overflowPunct/>
              <w:autoSpaceDE/>
              <w:autoSpaceDN/>
              <w:jc w:val="left"/>
              <w:rPr>
                <w:rFonts w:ascii="Times New Roman"/>
                <w:sz w:val="28"/>
                <w:szCs w:val="2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overflowPunct/>
              <w:autoSpaceDE/>
              <w:autoSpaceDN/>
              <w:jc w:val="left"/>
              <w:rPr>
                <w:rFonts w:ascii="Times New Roman"/>
                <w:sz w:val="28"/>
                <w:szCs w:val="28"/>
              </w:rPr>
            </w:pPr>
          </w:p>
        </w:tc>
      </w:tr>
      <w:tr w:rsidR="0040606A" w:rsidTr="00C055EF">
        <w:tc>
          <w:tcPr>
            <w:tcW w:w="1260"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60" w:lineRule="exact"/>
              <w:jc w:val="center"/>
              <w:rPr>
                <w:rFonts w:ascii="Times New Roman"/>
                <w:sz w:val="28"/>
                <w:szCs w:val="28"/>
              </w:rPr>
            </w:pPr>
            <w:r>
              <w:rPr>
                <w:rFonts w:ascii="Times New Roman"/>
                <w:sz w:val="28"/>
                <w:szCs w:val="28"/>
              </w:rPr>
              <w:t>3</w:t>
            </w:r>
          </w:p>
        </w:tc>
        <w:tc>
          <w:tcPr>
            <w:tcW w:w="1582"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60" w:lineRule="exact"/>
              <w:jc w:val="center"/>
              <w:rPr>
                <w:rFonts w:ascii="Times New Roman"/>
                <w:sz w:val="28"/>
                <w:szCs w:val="28"/>
              </w:rPr>
            </w:pPr>
            <w:r>
              <w:rPr>
                <w:rFonts w:ascii="Times New Roman"/>
                <w:sz w:val="28"/>
                <w:szCs w:val="28"/>
              </w:rPr>
              <w:t>100%</w:t>
            </w:r>
          </w:p>
        </w:tc>
        <w:tc>
          <w:tcPr>
            <w:tcW w:w="1959"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60" w:lineRule="exact"/>
              <w:jc w:val="center"/>
              <w:rPr>
                <w:rFonts w:ascii="Times New Roman"/>
                <w:sz w:val="28"/>
                <w:szCs w:val="28"/>
              </w:rPr>
            </w:pPr>
            <w:r>
              <w:rPr>
                <w:rFonts w:ascii="Times New Roman"/>
                <w:sz w:val="28"/>
                <w:szCs w:val="28"/>
              </w:rPr>
              <w:t>65%</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overflowPunct/>
              <w:autoSpaceDE/>
              <w:autoSpaceDN/>
              <w:jc w:val="left"/>
              <w:rPr>
                <w:rFonts w:ascii="Times New Roman"/>
                <w:sz w:val="28"/>
                <w:szCs w:val="2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overflowPunct/>
              <w:autoSpaceDE/>
              <w:autoSpaceDN/>
              <w:jc w:val="left"/>
              <w:rPr>
                <w:rFonts w:ascii="Times New Roman"/>
                <w:sz w:val="28"/>
                <w:szCs w:val="28"/>
              </w:rPr>
            </w:pPr>
          </w:p>
        </w:tc>
      </w:tr>
      <w:tr w:rsidR="0040606A" w:rsidTr="00C055EF">
        <w:tc>
          <w:tcPr>
            <w:tcW w:w="1260"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60" w:lineRule="exact"/>
              <w:jc w:val="center"/>
              <w:rPr>
                <w:rFonts w:ascii="Times New Roman"/>
                <w:sz w:val="28"/>
                <w:szCs w:val="28"/>
              </w:rPr>
            </w:pPr>
            <w:r>
              <w:rPr>
                <w:rFonts w:ascii="Times New Roman"/>
                <w:sz w:val="28"/>
                <w:szCs w:val="28"/>
              </w:rPr>
              <w:t>4</w:t>
            </w:r>
          </w:p>
        </w:tc>
        <w:tc>
          <w:tcPr>
            <w:tcW w:w="1582"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60" w:lineRule="exact"/>
              <w:jc w:val="center"/>
              <w:rPr>
                <w:rFonts w:ascii="Times New Roman"/>
                <w:sz w:val="28"/>
                <w:szCs w:val="28"/>
              </w:rPr>
            </w:pPr>
            <w:r>
              <w:rPr>
                <w:rFonts w:ascii="Times New Roman"/>
                <w:sz w:val="28"/>
                <w:szCs w:val="28"/>
              </w:rPr>
              <w:t>100%</w:t>
            </w:r>
          </w:p>
        </w:tc>
        <w:tc>
          <w:tcPr>
            <w:tcW w:w="1959"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60" w:lineRule="exact"/>
              <w:jc w:val="center"/>
              <w:rPr>
                <w:rFonts w:ascii="Times New Roman"/>
                <w:sz w:val="28"/>
                <w:szCs w:val="28"/>
              </w:rPr>
            </w:pPr>
            <w:r>
              <w:rPr>
                <w:rFonts w:ascii="Times New Roman"/>
                <w:sz w:val="28"/>
                <w:szCs w:val="28"/>
              </w:rPr>
              <w:t>75%</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overflowPunct/>
              <w:autoSpaceDE/>
              <w:autoSpaceDN/>
              <w:jc w:val="left"/>
              <w:rPr>
                <w:rFonts w:ascii="Times New Roman"/>
                <w:sz w:val="28"/>
                <w:szCs w:val="2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overflowPunct/>
              <w:autoSpaceDE/>
              <w:autoSpaceDN/>
              <w:jc w:val="left"/>
              <w:rPr>
                <w:rFonts w:ascii="Times New Roman"/>
                <w:sz w:val="28"/>
                <w:szCs w:val="28"/>
              </w:rPr>
            </w:pPr>
          </w:p>
        </w:tc>
      </w:tr>
      <w:tr w:rsidR="0040606A" w:rsidTr="00C055EF">
        <w:tc>
          <w:tcPr>
            <w:tcW w:w="1260"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60" w:lineRule="exact"/>
              <w:jc w:val="center"/>
              <w:rPr>
                <w:rFonts w:ascii="Times New Roman"/>
                <w:sz w:val="28"/>
                <w:szCs w:val="28"/>
              </w:rPr>
            </w:pPr>
            <w:r>
              <w:rPr>
                <w:rFonts w:ascii="Times New Roman"/>
                <w:sz w:val="28"/>
                <w:szCs w:val="28"/>
              </w:rPr>
              <w:t>5</w:t>
            </w:r>
          </w:p>
        </w:tc>
        <w:tc>
          <w:tcPr>
            <w:tcW w:w="1582"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60" w:lineRule="exact"/>
              <w:jc w:val="center"/>
              <w:rPr>
                <w:rFonts w:ascii="Times New Roman"/>
                <w:sz w:val="28"/>
                <w:szCs w:val="28"/>
              </w:rPr>
            </w:pPr>
            <w:r>
              <w:rPr>
                <w:rFonts w:ascii="Times New Roman"/>
                <w:sz w:val="28"/>
                <w:szCs w:val="28"/>
              </w:rPr>
              <w:t>100%</w:t>
            </w:r>
          </w:p>
        </w:tc>
        <w:tc>
          <w:tcPr>
            <w:tcW w:w="1959"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60" w:lineRule="exact"/>
              <w:jc w:val="center"/>
              <w:rPr>
                <w:rFonts w:ascii="Times New Roman"/>
                <w:sz w:val="28"/>
                <w:szCs w:val="28"/>
              </w:rPr>
            </w:pPr>
            <w:r>
              <w:rPr>
                <w:rFonts w:ascii="Times New Roman"/>
                <w:sz w:val="28"/>
                <w:szCs w:val="28"/>
              </w:rPr>
              <w:t>85%</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overflowPunct/>
              <w:autoSpaceDE/>
              <w:autoSpaceDN/>
              <w:jc w:val="left"/>
              <w:rPr>
                <w:rFonts w:ascii="Times New Roman"/>
                <w:sz w:val="28"/>
                <w:szCs w:val="2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overflowPunct/>
              <w:autoSpaceDE/>
              <w:autoSpaceDN/>
              <w:jc w:val="left"/>
              <w:rPr>
                <w:rFonts w:ascii="Times New Roman"/>
                <w:sz w:val="28"/>
                <w:szCs w:val="28"/>
              </w:rPr>
            </w:pPr>
          </w:p>
        </w:tc>
      </w:tr>
    </w:tbl>
    <w:p w:rsidR="0040606A" w:rsidRDefault="0040606A" w:rsidP="0040606A">
      <w:pPr>
        <w:kinsoku w:val="0"/>
        <w:spacing w:line="320" w:lineRule="exact"/>
        <w:ind w:firstLineChars="581" w:firstLine="1511"/>
        <w:rPr>
          <w:rFonts w:ascii="Times New Roman"/>
          <w:sz w:val="24"/>
          <w:szCs w:val="24"/>
        </w:rPr>
      </w:pPr>
      <w:r>
        <w:rPr>
          <w:rFonts w:ascii="Times New Roman" w:hint="eastAsia"/>
          <w:sz w:val="24"/>
          <w:szCs w:val="24"/>
        </w:rPr>
        <w:t>備註：</w:t>
      </w:r>
    </w:p>
    <w:p w:rsidR="005F57FC" w:rsidRDefault="0040606A" w:rsidP="008939AF">
      <w:pPr>
        <w:kinsoku w:val="0"/>
        <w:spacing w:line="320" w:lineRule="exact"/>
        <w:ind w:leftChars="526" w:left="2156" w:rightChars="48" w:right="163" w:hangingChars="141" w:hanging="367"/>
        <w:rPr>
          <w:rFonts w:ascii="Times New Roman"/>
          <w:sz w:val="24"/>
          <w:szCs w:val="24"/>
        </w:rPr>
      </w:pPr>
      <w:r>
        <w:rPr>
          <w:rFonts w:ascii="Times New Roman"/>
          <w:sz w:val="24"/>
          <w:szCs w:val="24"/>
        </w:rPr>
        <w:t>1</w:t>
      </w:r>
      <w:r>
        <w:rPr>
          <w:rFonts w:ascii="Times New Roman" w:hint="eastAsia"/>
          <w:sz w:val="24"/>
          <w:szCs w:val="24"/>
        </w:rPr>
        <w:t>、</w:t>
      </w:r>
      <w:r w:rsidR="008939AF">
        <w:rPr>
          <w:rFonts w:ascii="Times New Roman" w:hint="eastAsia"/>
          <w:sz w:val="24"/>
          <w:szCs w:val="24"/>
        </w:rPr>
        <w:t>依據</w:t>
      </w:r>
      <w:r w:rsidR="008939AF" w:rsidRPr="008939AF">
        <w:rPr>
          <w:rFonts w:ascii="Times New Roman"/>
          <w:sz w:val="24"/>
          <w:szCs w:val="24"/>
        </w:rPr>
        <w:t>行政院主計總處</w:t>
      </w:r>
      <w:r w:rsidR="008939AF" w:rsidRPr="008939AF">
        <w:rPr>
          <w:rFonts w:ascii="Times New Roman" w:hint="eastAsia"/>
          <w:sz w:val="24"/>
          <w:szCs w:val="24"/>
        </w:rPr>
        <w:t>於</w:t>
      </w:r>
      <w:r w:rsidR="008939AF" w:rsidRPr="008939AF">
        <w:rPr>
          <w:rFonts w:ascii="Times New Roman" w:hint="eastAsia"/>
          <w:sz w:val="24"/>
          <w:szCs w:val="24"/>
        </w:rPr>
        <w:t>102</w:t>
      </w:r>
      <w:r w:rsidR="008939AF" w:rsidRPr="008939AF">
        <w:rPr>
          <w:rFonts w:ascii="Times New Roman" w:hint="eastAsia"/>
          <w:sz w:val="24"/>
          <w:szCs w:val="24"/>
        </w:rPr>
        <w:t>年</w:t>
      </w:r>
      <w:r w:rsidR="008939AF" w:rsidRPr="008939AF">
        <w:rPr>
          <w:rFonts w:ascii="Times New Roman" w:hint="eastAsia"/>
          <w:sz w:val="24"/>
          <w:szCs w:val="24"/>
        </w:rPr>
        <w:t>8</w:t>
      </w:r>
      <w:r w:rsidR="008939AF" w:rsidRPr="008939AF">
        <w:rPr>
          <w:rFonts w:ascii="Times New Roman" w:hint="eastAsia"/>
          <w:sz w:val="24"/>
          <w:szCs w:val="24"/>
        </w:rPr>
        <w:t>月</w:t>
      </w:r>
      <w:r w:rsidR="008939AF" w:rsidRPr="008939AF">
        <w:rPr>
          <w:rFonts w:ascii="Times New Roman" w:hint="eastAsia"/>
          <w:sz w:val="24"/>
          <w:szCs w:val="24"/>
        </w:rPr>
        <w:t>8</w:t>
      </w:r>
      <w:r w:rsidR="008939AF" w:rsidRPr="008939AF">
        <w:rPr>
          <w:rFonts w:ascii="Times New Roman" w:hint="eastAsia"/>
          <w:sz w:val="24"/>
          <w:szCs w:val="24"/>
        </w:rPr>
        <w:t>日</w:t>
      </w:r>
      <w:r w:rsidR="008939AF" w:rsidRPr="008939AF">
        <w:rPr>
          <w:rFonts w:ascii="Times New Roman"/>
          <w:sz w:val="24"/>
          <w:szCs w:val="24"/>
        </w:rPr>
        <w:t>公布並於</w:t>
      </w:r>
      <w:r w:rsidR="008939AF" w:rsidRPr="008939AF">
        <w:rPr>
          <w:rFonts w:ascii="Times New Roman"/>
          <w:sz w:val="24"/>
          <w:szCs w:val="24"/>
        </w:rPr>
        <w:t>103</w:t>
      </w:r>
      <w:r w:rsidR="008939AF" w:rsidRPr="008939AF">
        <w:rPr>
          <w:rFonts w:ascii="Times New Roman"/>
          <w:sz w:val="24"/>
          <w:szCs w:val="24"/>
        </w:rPr>
        <w:t>年起適用之各直轄市、縣市政府財力分級</w:t>
      </w:r>
      <w:r w:rsidR="008939AF" w:rsidRPr="008939AF">
        <w:rPr>
          <w:rFonts w:ascii="Times New Roman"/>
          <w:sz w:val="24"/>
          <w:szCs w:val="24"/>
        </w:rPr>
        <w:t>1-5</w:t>
      </w:r>
      <w:r w:rsidR="008939AF" w:rsidRPr="008939AF">
        <w:rPr>
          <w:rFonts w:ascii="Times New Roman"/>
          <w:sz w:val="24"/>
          <w:szCs w:val="24"/>
        </w:rPr>
        <w:t>級</w:t>
      </w:r>
      <w:r w:rsidR="008939AF">
        <w:rPr>
          <w:rFonts w:ascii="Times New Roman" w:hint="eastAsia"/>
          <w:sz w:val="24"/>
          <w:szCs w:val="24"/>
        </w:rPr>
        <w:t>。</w:t>
      </w:r>
    </w:p>
    <w:p w:rsidR="0040606A" w:rsidRDefault="005F57FC" w:rsidP="0040606A">
      <w:pPr>
        <w:kinsoku w:val="0"/>
        <w:spacing w:line="320" w:lineRule="exact"/>
        <w:ind w:leftChars="526" w:left="2083" w:rightChars="48" w:right="163" w:hangingChars="113" w:hanging="294"/>
        <w:rPr>
          <w:rFonts w:ascii="Times New Roman"/>
          <w:sz w:val="24"/>
          <w:szCs w:val="24"/>
        </w:rPr>
      </w:pPr>
      <w:r>
        <w:rPr>
          <w:rFonts w:ascii="Times New Roman" w:hint="eastAsia"/>
          <w:sz w:val="24"/>
          <w:szCs w:val="24"/>
        </w:rPr>
        <w:t>2</w:t>
      </w:r>
      <w:r>
        <w:rPr>
          <w:rFonts w:ascii="Times New Roman" w:hint="eastAsia"/>
          <w:sz w:val="24"/>
          <w:szCs w:val="24"/>
        </w:rPr>
        <w:t>、</w:t>
      </w:r>
      <w:r w:rsidR="0040606A">
        <w:rPr>
          <w:rFonts w:ascii="Times New Roman"/>
          <w:sz w:val="24"/>
          <w:szCs w:val="24"/>
        </w:rPr>
        <w:t>D=A+B+C</w:t>
      </w:r>
      <w:r w:rsidR="0040606A">
        <w:rPr>
          <w:rFonts w:ascii="Times New Roman" w:hint="eastAsia"/>
          <w:sz w:val="24"/>
          <w:szCs w:val="24"/>
        </w:rPr>
        <w:t>，欄內</w:t>
      </w:r>
      <w:r w:rsidR="0040606A">
        <w:rPr>
          <w:rFonts w:ascii="Times New Roman"/>
          <w:sz w:val="24"/>
          <w:szCs w:val="24"/>
        </w:rPr>
        <w:t>A</w:t>
      </w:r>
      <w:r w:rsidR="0040606A">
        <w:rPr>
          <w:rFonts w:ascii="Times New Roman" w:hint="eastAsia"/>
          <w:sz w:val="24"/>
          <w:szCs w:val="24"/>
        </w:rPr>
        <w:t>之比率指公益彩券盈餘經費占各分支計畫總額之比率上限。</w:t>
      </w:r>
    </w:p>
    <w:p w:rsidR="0040606A" w:rsidRDefault="005F57FC" w:rsidP="0040606A">
      <w:pPr>
        <w:kinsoku w:val="0"/>
        <w:spacing w:line="320" w:lineRule="exact"/>
        <w:ind w:leftChars="526" w:left="2083" w:rightChars="48" w:right="163" w:hangingChars="113" w:hanging="294"/>
        <w:rPr>
          <w:rFonts w:ascii="Times New Roman"/>
          <w:sz w:val="24"/>
          <w:szCs w:val="24"/>
        </w:rPr>
      </w:pPr>
      <w:r>
        <w:rPr>
          <w:rFonts w:ascii="Times New Roman" w:hint="eastAsia"/>
          <w:sz w:val="24"/>
          <w:szCs w:val="24"/>
        </w:rPr>
        <w:t>3</w:t>
      </w:r>
      <w:r w:rsidR="0040606A">
        <w:rPr>
          <w:rFonts w:ascii="Times New Roman" w:hint="eastAsia"/>
          <w:sz w:val="24"/>
          <w:szCs w:val="24"/>
        </w:rPr>
        <w:t>、</w:t>
      </w:r>
      <w:r w:rsidR="0040606A">
        <w:rPr>
          <w:rFonts w:ascii="Times New Roman"/>
          <w:sz w:val="24"/>
          <w:szCs w:val="24"/>
        </w:rPr>
        <w:t>B</w:t>
      </w:r>
      <w:r w:rsidR="0040606A">
        <w:rPr>
          <w:rFonts w:ascii="Times New Roman" w:hint="eastAsia"/>
          <w:sz w:val="24"/>
          <w:szCs w:val="24"/>
        </w:rPr>
        <w:t>、</w:t>
      </w:r>
      <w:r w:rsidR="0040606A">
        <w:rPr>
          <w:rFonts w:ascii="Times New Roman"/>
          <w:sz w:val="24"/>
          <w:szCs w:val="24"/>
        </w:rPr>
        <w:t>C</w:t>
      </w:r>
      <w:r w:rsidR="0040606A">
        <w:rPr>
          <w:rFonts w:ascii="Times New Roman" w:hint="eastAsia"/>
          <w:sz w:val="24"/>
          <w:szCs w:val="24"/>
        </w:rPr>
        <w:t>之占比原則上由各地方政府視各自財力狀況編列。</w:t>
      </w:r>
    </w:p>
    <w:p w:rsidR="0040606A" w:rsidRDefault="0040606A" w:rsidP="0040606A">
      <w:pPr>
        <w:pStyle w:val="3"/>
        <w:numPr>
          <w:ilvl w:val="0"/>
          <w:numId w:val="0"/>
        </w:numPr>
        <w:spacing w:afterLines="50" w:after="228" w:line="320" w:lineRule="exact"/>
        <w:ind w:left="1361" w:firstLineChars="52" w:firstLine="135"/>
      </w:pPr>
      <w:bookmarkStart w:id="1533" w:name="_Toc507518618"/>
      <w:bookmarkStart w:id="1534" w:name="_Toc507491613"/>
      <w:bookmarkStart w:id="1535" w:name="_Toc507484789"/>
      <w:bookmarkStart w:id="1536" w:name="_Toc507403646"/>
      <w:bookmarkStart w:id="1537" w:name="_Toc507359653"/>
      <w:bookmarkStart w:id="1538" w:name="_Toc507168690"/>
      <w:bookmarkStart w:id="1539" w:name="_Toc507163487"/>
      <w:bookmarkStart w:id="1540" w:name="_Toc507163235"/>
      <w:bookmarkStart w:id="1541" w:name="_Toc507072994"/>
      <w:bookmarkStart w:id="1542" w:name="_Toc507767699"/>
      <w:bookmarkStart w:id="1543" w:name="_Toc507768425"/>
      <w:bookmarkStart w:id="1544" w:name="_Toc511115420"/>
      <w:bookmarkStart w:id="1545" w:name="_Toc511308210"/>
      <w:bookmarkStart w:id="1546" w:name="_Toc511998652"/>
      <w:bookmarkStart w:id="1547" w:name="_Toc512421009"/>
      <w:r>
        <w:rPr>
          <w:rFonts w:ascii="Times New Roman" w:hint="eastAsia"/>
          <w:sz w:val="24"/>
          <w:szCs w:val="24"/>
        </w:rPr>
        <w:t>資料</w:t>
      </w:r>
      <w:r>
        <w:rPr>
          <w:rFonts w:hAnsi="標楷體" w:hint="eastAsia"/>
          <w:sz w:val="24"/>
          <w:szCs w:val="24"/>
        </w:rPr>
        <w:t>來源：本院整理自衛福部提供之資料。</w:t>
      </w:r>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p>
    <w:p w:rsidR="0040606A" w:rsidRDefault="0040606A" w:rsidP="0040606A">
      <w:pPr>
        <w:pStyle w:val="3"/>
        <w:numPr>
          <w:ilvl w:val="2"/>
          <w:numId w:val="9"/>
        </w:numPr>
        <w:topLinePunct/>
        <w:ind w:left="1360" w:hanging="680"/>
        <w:rPr>
          <w:rFonts w:ascii="Times New Roman" w:hAnsi="Times New Roman"/>
          <w:szCs w:val="24"/>
        </w:rPr>
      </w:pPr>
      <w:bookmarkStart w:id="1548" w:name="_Toc507767700"/>
      <w:bookmarkStart w:id="1549" w:name="_Toc507768426"/>
      <w:bookmarkStart w:id="1550" w:name="_Toc511115421"/>
      <w:bookmarkStart w:id="1551" w:name="_Toc511308211"/>
      <w:bookmarkStart w:id="1552" w:name="_Toc511998653"/>
      <w:bookmarkStart w:id="1553" w:name="_Toc512421010"/>
      <w:bookmarkStart w:id="1554" w:name="_Toc507518619"/>
      <w:bookmarkStart w:id="1555" w:name="_Toc507491614"/>
      <w:bookmarkStart w:id="1556" w:name="_Toc507484790"/>
      <w:bookmarkStart w:id="1557" w:name="_Toc507403647"/>
      <w:bookmarkStart w:id="1558" w:name="_Toc507359654"/>
      <w:bookmarkStart w:id="1559" w:name="_Toc507168691"/>
      <w:bookmarkStart w:id="1560" w:name="_Toc507163488"/>
      <w:bookmarkStart w:id="1561" w:name="_Toc507163236"/>
      <w:bookmarkStart w:id="1562" w:name="_Toc507072995"/>
      <w:r>
        <w:rPr>
          <w:rFonts w:ascii="Times New Roman" w:hAnsi="Times New Roman" w:hint="eastAsia"/>
          <w:szCs w:val="32"/>
        </w:rPr>
        <w:t>依據本院實地訪查發現，部分地方政府以公益彩券</w:t>
      </w:r>
      <w:r>
        <w:rPr>
          <w:rFonts w:ascii="Times New Roman" w:hAnsi="Times New Roman" w:hint="eastAsia"/>
          <w:szCs w:val="24"/>
        </w:rPr>
        <w:t>盈餘分配款</w:t>
      </w:r>
      <w:r w:rsidR="00DC4C0D">
        <w:rPr>
          <w:rFonts w:ascii="Times New Roman" w:hAnsi="Times New Roman" w:hint="eastAsia"/>
          <w:szCs w:val="24"/>
        </w:rPr>
        <w:t>分別</w:t>
      </w:r>
      <w:r>
        <w:rPr>
          <w:rFonts w:ascii="Times New Roman" w:hAnsi="Times New Roman" w:hint="eastAsia"/>
          <w:szCs w:val="24"/>
        </w:rPr>
        <w:t>用於</w:t>
      </w:r>
      <w:r w:rsidR="00DC4C0D">
        <w:rPr>
          <w:rFonts w:ascii="Times New Roman" w:hAnsi="Times New Roman" w:hint="eastAsia"/>
          <w:szCs w:val="24"/>
        </w:rPr>
        <w:t>各該</w:t>
      </w:r>
      <w:r>
        <w:rPr>
          <w:rFonts w:ascii="Times New Roman" w:hAnsi="Times New Roman" w:hint="eastAsia"/>
          <w:szCs w:val="24"/>
        </w:rPr>
        <w:t>項法定現金補助計畫經費預算</w:t>
      </w:r>
      <w:r>
        <w:rPr>
          <w:rFonts w:ascii="Times New Roman" w:hAnsi="Times New Roman" w:hint="eastAsia"/>
          <w:szCs w:val="32"/>
        </w:rPr>
        <w:t>之</w:t>
      </w:r>
      <w:r>
        <w:rPr>
          <w:rFonts w:ascii="Times New Roman" w:hAnsi="Times New Roman" w:hint="eastAsia"/>
        </w:rPr>
        <w:t>比率，雖未</w:t>
      </w:r>
      <w:r>
        <w:rPr>
          <w:rFonts w:ascii="Times New Roman" w:hAnsi="Times New Roman" w:hint="eastAsia"/>
          <w:szCs w:val="24"/>
        </w:rPr>
        <w:t>超過衛福部前述考核指標所訂之上限標準</w:t>
      </w:r>
      <w:r>
        <w:rPr>
          <w:rFonts w:ascii="Times New Roman" w:hAnsi="Times New Roman" w:hint="eastAsia"/>
        </w:rPr>
        <w:t>，惟</w:t>
      </w:r>
      <w:r>
        <w:rPr>
          <w:rFonts w:ascii="Times New Roman" w:hAnsi="Times New Roman"/>
        </w:rPr>
        <w:t>6</w:t>
      </w:r>
      <w:r>
        <w:rPr>
          <w:rFonts w:ascii="Times New Roman" w:hAnsi="Times New Roman" w:hint="eastAsia"/>
        </w:rPr>
        <w:t>項</w:t>
      </w:r>
      <w:r w:rsidR="00DC4C0D">
        <w:rPr>
          <w:rFonts w:ascii="Times New Roman" w:hAnsi="Times New Roman" w:hint="eastAsia"/>
          <w:szCs w:val="24"/>
        </w:rPr>
        <w:t>法定現金補助</w:t>
      </w:r>
      <w:r>
        <w:rPr>
          <w:rFonts w:ascii="Times New Roman" w:hAnsi="Times New Roman" w:hint="eastAsia"/>
        </w:rPr>
        <w:t>經費總計占</w:t>
      </w:r>
      <w:r>
        <w:rPr>
          <w:rFonts w:ascii="Times New Roman" w:hAnsi="Times New Roman" w:hint="eastAsia"/>
          <w:szCs w:val="24"/>
        </w:rPr>
        <w:t>公益彩券盈餘分配款預算數</w:t>
      </w:r>
      <w:r>
        <w:rPr>
          <w:rFonts w:ascii="Times New Roman" w:hAnsi="Times New Roman" w:hint="eastAsia"/>
        </w:rPr>
        <w:t>之比率卻有</w:t>
      </w:r>
      <w:r>
        <w:rPr>
          <w:rFonts w:ascii="Times New Roman" w:hAnsi="Times New Roman" w:hint="eastAsia"/>
          <w:szCs w:val="32"/>
        </w:rPr>
        <w:t>偏高情事，爰請衛福部詳予查明。而從該部查復資料顯示：</w:t>
      </w:r>
      <w:bookmarkEnd w:id="1548"/>
      <w:bookmarkEnd w:id="1549"/>
      <w:bookmarkEnd w:id="1550"/>
      <w:bookmarkEnd w:id="1551"/>
      <w:bookmarkEnd w:id="1552"/>
      <w:bookmarkEnd w:id="1553"/>
    </w:p>
    <w:p w:rsidR="0040606A" w:rsidRPr="00400DB9" w:rsidRDefault="0040606A" w:rsidP="0040606A">
      <w:pPr>
        <w:pStyle w:val="4"/>
        <w:numPr>
          <w:ilvl w:val="3"/>
          <w:numId w:val="9"/>
        </w:numPr>
        <w:topLinePunct/>
        <w:rPr>
          <w:rFonts w:ascii="Times New Roman" w:hAnsi="Times New Roman"/>
          <w:szCs w:val="24"/>
        </w:rPr>
      </w:pPr>
      <w:r>
        <w:rPr>
          <w:rFonts w:ascii="Times New Roman" w:hAnsi="Times New Roman"/>
          <w:szCs w:val="32"/>
        </w:rPr>
        <w:t>22</w:t>
      </w:r>
      <w:r>
        <w:rPr>
          <w:rFonts w:ascii="Times New Roman" w:hAnsi="Times New Roman" w:hint="eastAsia"/>
          <w:szCs w:val="32"/>
        </w:rPr>
        <w:t>個地方政府</w:t>
      </w:r>
      <w:r>
        <w:rPr>
          <w:rFonts w:ascii="Times New Roman" w:hAnsi="Times New Roman" w:hint="eastAsia"/>
          <w:szCs w:val="24"/>
        </w:rPr>
        <w:t>以公益彩券盈餘分配款用於</w:t>
      </w:r>
      <w:r>
        <w:rPr>
          <w:rFonts w:ascii="Times New Roman" w:hAnsi="Times New Roman"/>
          <w:szCs w:val="24"/>
        </w:rPr>
        <w:t>6</w:t>
      </w:r>
      <w:r>
        <w:rPr>
          <w:rFonts w:ascii="Times New Roman" w:hAnsi="Times New Roman" w:hint="eastAsia"/>
          <w:szCs w:val="24"/>
        </w:rPr>
        <w:t>項現金補助計畫經費預算總數，占該盈餘分配款預算數之比率，</w:t>
      </w:r>
      <w:r>
        <w:rPr>
          <w:rFonts w:ascii="Times New Roman" w:hAnsi="Times New Roman"/>
          <w:szCs w:val="24"/>
        </w:rPr>
        <w:t>101</w:t>
      </w:r>
      <w:r>
        <w:rPr>
          <w:rFonts w:ascii="Times New Roman" w:hAnsi="Times New Roman" w:hint="eastAsia"/>
          <w:szCs w:val="24"/>
        </w:rPr>
        <w:t>年及</w:t>
      </w:r>
      <w:r>
        <w:rPr>
          <w:rFonts w:ascii="Times New Roman" w:hAnsi="Times New Roman"/>
          <w:szCs w:val="24"/>
        </w:rPr>
        <w:t>102</w:t>
      </w:r>
      <w:r w:rsidRPr="00400DB9">
        <w:rPr>
          <w:rFonts w:ascii="Times New Roman" w:hAnsi="Times New Roman" w:hint="eastAsia"/>
          <w:szCs w:val="24"/>
        </w:rPr>
        <w:t>年</w:t>
      </w:r>
      <w:r w:rsidR="00DC4C0D" w:rsidRPr="00400DB9">
        <w:rPr>
          <w:rFonts w:ascii="Times New Roman" w:hAnsi="Times New Roman" w:hint="eastAsia"/>
          <w:szCs w:val="24"/>
        </w:rPr>
        <w:t>均</w:t>
      </w:r>
      <w:r w:rsidRPr="00400DB9">
        <w:rPr>
          <w:rFonts w:ascii="Times New Roman" w:hAnsi="Times New Roman" w:hint="eastAsia"/>
          <w:szCs w:val="24"/>
        </w:rPr>
        <w:t>高達將近</w:t>
      </w:r>
      <w:r w:rsidRPr="00400DB9">
        <w:rPr>
          <w:rFonts w:ascii="Times New Roman" w:hAnsi="Times New Roman"/>
          <w:szCs w:val="24"/>
        </w:rPr>
        <w:t>6</w:t>
      </w:r>
      <w:r w:rsidRPr="00400DB9">
        <w:rPr>
          <w:rFonts w:ascii="Times New Roman" w:hAnsi="Times New Roman" w:hint="eastAsia"/>
          <w:szCs w:val="24"/>
        </w:rPr>
        <w:t>成，嗣後</w:t>
      </w:r>
      <w:r w:rsidR="00DC4C0D" w:rsidRPr="00400DB9">
        <w:rPr>
          <w:rFonts w:ascii="Times New Roman" w:hAnsi="Times New Roman" w:hint="eastAsia"/>
          <w:szCs w:val="24"/>
        </w:rPr>
        <w:t>則</w:t>
      </w:r>
      <w:r w:rsidRPr="00400DB9">
        <w:rPr>
          <w:rFonts w:ascii="Times New Roman" w:hAnsi="Times New Roman" w:hint="eastAsia"/>
          <w:szCs w:val="24"/>
        </w:rPr>
        <w:t>逐年降低至</w:t>
      </w:r>
      <w:r w:rsidRPr="00400DB9">
        <w:rPr>
          <w:rFonts w:ascii="Times New Roman" w:hAnsi="Times New Roman"/>
          <w:szCs w:val="24"/>
        </w:rPr>
        <w:t>105</w:t>
      </w:r>
      <w:r w:rsidRPr="00400DB9">
        <w:rPr>
          <w:rFonts w:ascii="Times New Roman" w:hAnsi="Times New Roman" w:hint="eastAsia"/>
          <w:szCs w:val="24"/>
        </w:rPr>
        <w:t>年之</w:t>
      </w:r>
      <w:r w:rsidRPr="00400DB9">
        <w:rPr>
          <w:rFonts w:ascii="Times New Roman" w:hAnsi="Times New Roman"/>
          <w:szCs w:val="24"/>
        </w:rPr>
        <w:t>4</w:t>
      </w:r>
      <w:r w:rsidRPr="00400DB9">
        <w:rPr>
          <w:rFonts w:ascii="Times New Roman" w:hAnsi="Times New Roman" w:hint="eastAsia"/>
          <w:szCs w:val="24"/>
        </w:rPr>
        <w:t>成</w:t>
      </w:r>
      <w:r w:rsidRPr="00400DB9">
        <w:rPr>
          <w:rFonts w:ascii="Times New Roman" w:hAnsi="Times New Roman"/>
          <w:szCs w:val="24"/>
        </w:rPr>
        <w:t>(</w:t>
      </w:r>
      <w:r w:rsidRPr="00400DB9">
        <w:rPr>
          <w:rFonts w:ascii="Times New Roman" w:hAnsi="Times New Roman" w:hint="eastAsia"/>
          <w:szCs w:val="24"/>
        </w:rPr>
        <w:t>詳見下表</w:t>
      </w:r>
      <w:r w:rsidR="00C121DF" w:rsidRPr="00400DB9">
        <w:rPr>
          <w:rFonts w:ascii="Times New Roman" w:hAnsi="Times New Roman" w:hint="eastAsia"/>
          <w:szCs w:val="24"/>
        </w:rPr>
        <w:t>13</w:t>
      </w:r>
      <w:r w:rsidRPr="00400DB9">
        <w:rPr>
          <w:rFonts w:ascii="Times New Roman" w:hAnsi="Times New Roman" w:hint="eastAsia"/>
          <w:szCs w:val="24"/>
        </w:rPr>
        <w:t>及下圖</w:t>
      </w:r>
      <w:r w:rsidR="00E665DC">
        <w:rPr>
          <w:rFonts w:ascii="Times New Roman" w:hAnsi="Times New Roman" w:hint="eastAsia"/>
          <w:szCs w:val="24"/>
        </w:rPr>
        <w:t>6</w:t>
      </w:r>
      <w:r w:rsidRPr="00400DB9">
        <w:rPr>
          <w:rFonts w:ascii="Times New Roman" w:hAnsi="Times New Roman"/>
          <w:szCs w:val="24"/>
        </w:rPr>
        <w:t>)</w:t>
      </w:r>
      <w:r w:rsidRPr="00400DB9">
        <w:rPr>
          <w:rFonts w:ascii="Times New Roman" w:hAnsi="Times New Roman" w:hint="eastAsia"/>
          <w:szCs w:val="24"/>
        </w:rPr>
        <w:t>。</w:t>
      </w:r>
    </w:p>
    <w:p w:rsidR="0040606A" w:rsidRPr="00400DB9" w:rsidRDefault="0040606A" w:rsidP="00DC4C0D">
      <w:pPr>
        <w:pStyle w:val="4"/>
        <w:numPr>
          <w:ilvl w:val="3"/>
          <w:numId w:val="9"/>
        </w:numPr>
        <w:topLinePunct/>
        <w:rPr>
          <w:rFonts w:ascii="Times New Roman" w:hAnsi="Times New Roman"/>
          <w:szCs w:val="24"/>
        </w:rPr>
      </w:pPr>
      <w:r w:rsidRPr="00400DB9">
        <w:rPr>
          <w:rFonts w:ascii="Times New Roman" w:hAnsi="Times New Roman" w:hint="eastAsia"/>
          <w:szCs w:val="24"/>
        </w:rPr>
        <w:t>惟若</w:t>
      </w:r>
      <w:r w:rsidR="00DC4C0D" w:rsidRPr="00400DB9">
        <w:rPr>
          <w:rFonts w:ascii="Times New Roman" w:hAnsi="Times New Roman" w:hint="eastAsia"/>
          <w:szCs w:val="24"/>
        </w:rPr>
        <w:t>分別</w:t>
      </w:r>
      <w:r w:rsidRPr="00400DB9">
        <w:rPr>
          <w:rFonts w:ascii="Times New Roman" w:hAnsi="Times New Roman" w:hint="eastAsia"/>
          <w:szCs w:val="24"/>
        </w:rPr>
        <w:t>從各地方政府觀察，部分</w:t>
      </w:r>
      <w:r w:rsidRPr="00400DB9">
        <w:rPr>
          <w:rFonts w:ascii="Times New Roman" w:hAnsi="Times New Roman" w:hint="eastAsia"/>
        </w:rPr>
        <w:t>縣市</w:t>
      </w:r>
      <w:r w:rsidRPr="00400DB9">
        <w:rPr>
          <w:rFonts w:ascii="Times New Roman" w:hAnsi="Times New Roman"/>
          <w:szCs w:val="24"/>
        </w:rPr>
        <w:t>6</w:t>
      </w:r>
      <w:r w:rsidRPr="00400DB9">
        <w:rPr>
          <w:rFonts w:ascii="Times New Roman" w:hAnsi="Times New Roman" w:hint="eastAsia"/>
          <w:szCs w:val="24"/>
        </w:rPr>
        <w:t>項現金補助經費</w:t>
      </w:r>
      <w:r w:rsidR="00DC4C0D" w:rsidRPr="00400DB9">
        <w:rPr>
          <w:rFonts w:ascii="Times New Roman" w:hAnsi="Times New Roman" w:hint="eastAsia"/>
          <w:szCs w:val="24"/>
        </w:rPr>
        <w:t>總數</w:t>
      </w:r>
      <w:r w:rsidRPr="00400DB9">
        <w:rPr>
          <w:rFonts w:ascii="Times New Roman" w:hAnsi="Times New Roman" w:hint="eastAsia"/>
          <w:szCs w:val="24"/>
        </w:rPr>
        <w:t>占公益彩券盈餘分配款預算數之比率</w:t>
      </w:r>
      <w:r w:rsidR="00DC4C0D" w:rsidRPr="00400DB9">
        <w:rPr>
          <w:rFonts w:ascii="Times New Roman" w:hAnsi="Times New Roman" w:hint="eastAsia"/>
          <w:szCs w:val="24"/>
        </w:rPr>
        <w:t>偏高，占</w:t>
      </w:r>
      <w:r w:rsidRPr="00400DB9">
        <w:rPr>
          <w:rFonts w:ascii="Times New Roman" w:hAnsi="Times New Roman"/>
          <w:szCs w:val="24"/>
        </w:rPr>
        <w:t>5</w:t>
      </w:r>
      <w:r w:rsidRPr="00400DB9">
        <w:rPr>
          <w:rFonts w:ascii="Times New Roman" w:hAnsi="Times New Roman" w:hint="eastAsia"/>
          <w:szCs w:val="24"/>
        </w:rPr>
        <w:t>成以上</w:t>
      </w:r>
      <w:r w:rsidR="00DC4C0D" w:rsidRPr="00400DB9">
        <w:rPr>
          <w:rFonts w:ascii="Times New Roman" w:hAnsi="Times New Roman" w:hint="eastAsia"/>
          <w:szCs w:val="24"/>
        </w:rPr>
        <w:t>者計有</w:t>
      </w:r>
      <w:r w:rsidR="00DC4C0D" w:rsidRPr="00400DB9">
        <w:rPr>
          <w:rFonts w:ascii="Times New Roman" w:hAnsi="Times New Roman" w:hint="eastAsia"/>
          <w:szCs w:val="24"/>
        </w:rPr>
        <w:t>10</w:t>
      </w:r>
      <w:r w:rsidR="00DC4C0D" w:rsidRPr="00400DB9">
        <w:rPr>
          <w:rFonts w:ascii="Times New Roman" w:hAnsi="Times New Roman" w:hint="eastAsia"/>
          <w:szCs w:val="24"/>
        </w:rPr>
        <w:t>個縣市，</w:t>
      </w:r>
      <w:r w:rsidRPr="00400DB9">
        <w:rPr>
          <w:rFonts w:ascii="Times New Roman" w:hAnsi="Times New Roman" w:hint="eastAsia"/>
          <w:szCs w:val="24"/>
        </w:rPr>
        <w:t>包括：新北市</w:t>
      </w:r>
      <w:r w:rsidRPr="00400DB9">
        <w:rPr>
          <w:rFonts w:ascii="Times New Roman" w:hAnsi="Times New Roman"/>
          <w:szCs w:val="24"/>
        </w:rPr>
        <w:t>(102</w:t>
      </w:r>
      <w:r w:rsidRPr="00400DB9">
        <w:rPr>
          <w:rFonts w:ascii="Times New Roman" w:hAnsi="Times New Roman" w:hint="eastAsia"/>
          <w:szCs w:val="24"/>
        </w:rPr>
        <w:t>年至</w:t>
      </w:r>
      <w:r w:rsidRPr="00400DB9">
        <w:rPr>
          <w:rFonts w:ascii="Times New Roman" w:hAnsi="Times New Roman"/>
          <w:szCs w:val="24"/>
        </w:rPr>
        <w:t>105</w:t>
      </w:r>
      <w:r w:rsidRPr="00400DB9">
        <w:rPr>
          <w:rFonts w:ascii="Times New Roman" w:hAnsi="Times New Roman" w:hint="eastAsia"/>
          <w:szCs w:val="24"/>
        </w:rPr>
        <w:t>年</w:t>
      </w:r>
      <w:r w:rsidRPr="00400DB9">
        <w:rPr>
          <w:rFonts w:ascii="Times New Roman" w:hAnsi="Times New Roman"/>
          <w:szCs w:val="24"/>
        </w:rPr>
        <w:t>)</w:t>
      </w:r>
      <w:r w:rsidRPr="00400DB9">
        <w:rPr>
          <w:rFonts w:ascii="Times New Roman" w:hAnsi="Times New Roman" w:hint="eastAsia"/>
          <w:szCs w:val="24"/>
        </w:rPr>
        <w:t>、臺南市</w:t>
      </w:r>
      <w:r w:rsidRPr="00400DB9">
        <w:rPr>
          <w:rFonts w:ascii="Times New Roman" w:hAnsi="Times New Roman"/>
          <w:szCs w:val="24"/>
        </w:rPr>
        <w:t>(101</w:t>
      </w:r>
      <w:r w:rsidRPr="00400DB9">
        <w:rPr>
          <w:rFonts w:ascii="Times New Roman" w:hAnsi="Times New Roman" w:hint="eastAsia"/>
          <w:szCs w:val="24"/>
        </w:rPr>
        <w:t>年、</w:t>
      </w:r>
      <w:r w:rsidRPr="00400DB9">
        <w:rPr>
          <w:rFonts w:ascii="Times New Roman" w:hAnsi="Times New Roman"/>
          <w:szCs w:val="24"/>
        </w:rPr>
        <w:t>103</w:t>
      </w:r>
      <w:r w:rsidRPr="00400DB9">
        <w:rPr>
          <w:rFonts w:ascii="Times New Roman" w:hAnsi="Times New Roman" w:hint="eastAsia"/>
          <w:szCs w:val="24"/>
        </w:rPr>
        <w:t>年及</w:t>
      </w:r>
      <w:r w:rsidRPr="00400DB9">
        <w:rPr>
          <w:rFonts w:ascii="Times New Roman" w:hAnsi="Times New Roman"/>
          <w:szCs w:val="24"/>
        </w:rPr>
        <w:t>104</w:t>
      </w:r>
      <w:r w:rsidRPr="00400DB9">
        <w:rPr>
          <w:rFonts w:ascii="Times New Roman" w:hAnsi="Times New Roman" w:hint="eastAsia"/>
          <w:szCs w:val="24"/>
        </w:rPr>
        <w:t>年</w:t>
      </w:r>
      <w:r w:rsidRPr="00400DB9">
        <w:rPr>
          <w:rFonts w:ascii="Times New Roman" w:hAnsi="Times New Roman"/>
          <w:szCs w:val="24"/>
        </w:rPr>
        <w:t>)</w:t>
      </w:r>
      <w:r w:rsidRPr="00400DB9">
        <w:rPr>
          <w:rFonts w:ascii="Times New Roman" w:hAnsi="Times New Roman" w:hint="eastAsia"/>
          <w:szCs w:val="24"/>
        </w:rPr>
        <w:t>、高雄市</w:t>
      </w:r>
      <w:r w:rsidRPr="00400DB9">
        <w:rPr>
          <w:rFonts w:ascii="Times New Roman" w:hAnsi="Times New Roman"/>
          <w:szCs w:val="24"/>
        </w:rPr>
        <w:t>(103</w:t>
      </w:r>
      <w:r w:rsidRPr="00400DB9">
        <w:rPr>
          <w:rFonts w:ascii="Times New Roman" w:hAnsi="Times New Roman" w:hint="eastAsia"/>
          <w:szCs w:val="24"/>
        </w:rPr>
        <w:t>年</w:t>
      </w:r>
      <w:r w:rsidRPr="00400DB9">
        <w:rPr>
          <w:rFonts w:ascii="Times New Roman" w:hAnsi="Times New Roman"/>
          <w:szCs w:val="24"/>
        </w:rPr>
        <w:t>)</w:t>
      </w:r>
      <w:r w:rsidRPr="00400DB9">
        <w:rPr>
          <w:rFonts w:ascii="Times New Roman" w:hAnsi="Times New Roman" w:hint="eastAsia"/>
          <w:szCs w:val="24"/>
        </w:rPr>
        <w:t>、宜蘭縣</w:t>
      </w:r>
      <w:r w:rsidRPr="00400DB9">
        <w:rPr>
          <w:rFonts w:ascii="Times New Roman" w:hAnsi="Times New Roman"/>
          <w:szCs w:val="24"/>
        </w:rPr>
        <w:t>(101</w:t>
      </w:r>
      <w:r w:rsidRPr="00400DB9">
        <w:rPr>
          <w:rFonts w:ascii="Times New Roman" w:hAnsi="Times New Roman" w:hint="eastAsia"/>
          <w:szCs w:val="24"/>
        </w:rPr>
        <w:t>年、</w:t>
      </w:r>
      <w:r w:rsidRPr="00400DB9">
        <w:rPr>
          <w:rFonts w:ascii="Times New Roman" w:hAnsi="Times New Roman"/>
          <w:szCs w:val="24"/>
        </w:rPr>
        <w:t>104</w:t>
      </w:r>
      <w:r w:rsidRPr="00400DB9">
        <w:rPr>
          <w:rFonts w:ascii="Times New Roman" w:hAnsi="Times New Roman" w:hint="eastAsia"/>
          <w:szCs w:val="24"/>
        </w:rPr>
        <w:t>年及</w:t>
      </w:r>
      <w:r w:rsidRPr="00400DB9">
        <w:rPr>
          <w:rFonts w:ascii="Times New Roman" w:hAnsi="Times New Roman"/>
          <w:szCs w:val="24"/>
        </w:rPr>
        <w:t>105</w:t>
      </w:r>
      <w:r w:rsidRPr="00400DB9">
        <w:rPr>
          <w:rFonts w:ascii="Times New Roman" w:hAnsi="Times New Roman" w:hint="eastAsia"/>
          <w:szCs w:val="24"/>
        </w:rPr>
        <w:t>年</w:t>
      </w:r>
      <w:r w:rsidRPr="00400DB9">
        <w:rPr>
          <w:rFonts w:ascii="Times New Roman" w:hAnsi="Times New Roman"/>
          <w:szCs w:val="24"/>
        </w:rPr>
        <w:t>)</w:t>
      </w:r>
      <w:r w:rsidRPr="00400DB9">
        <w:rPr>
          <w:rFonts w:ascii="Times New Roman" w:hAnsi="Times New Roman" w:hint="eastAsia"/>
          <w:szCs w:val="24"/>
        </w:rPr>
        <w:t>、苗栗縣</w:t>
      </w:r>
      <w:r w:rsidRPr="00400DB9">
        <w:rPr>
          <w:rFonts w:ascii="Times New Roman" w:hAnsi="Times New Roman"/>
          <w:szCs w:val="24"/>
        </w:rPr>
        <w:t>(105</w:t>
      </w:r>
      <w:r w:rsidRPr="00400DB9">
        <w:rPr>
          <w:rFonts w:ascii="Times New Roman" w:hAnsi="Times New Roman" w:hint="eastAsia"/>
          <w:szCs w:val="24"/>
        </w:rPr>
        <w:t>年</w:t>
      </w:r>
      <w:r w:rsidRPr="00400DB9">
        <w:rPr>
          <w:rFonts w:ascii="Times New Roman" w:hAnsi="Times New Roman"/>
          <w:szCs w:val="24"/>
        </w:rPr>
        <w:t>)</w:t>
      </w:r>
      <w:r w:rsidRPr="00400DB9">
        <w:rPr>
          <w:rFonts w:ascii="Times New Roman" w:hAnsi="Times New Roman" w:hint="eastAsia"/>
          <w:szCs w:val="24"/>
        </w:rPr>
        <w:t>、雲林縣</w:t>
      </w:r>
      <w:r w:rsidRPr="00400DB9">
        <w:rPr>
          <w:rFonts w:ascii="Times New Roman" w:hAnsi="Times New Roman"/>
          <w:szCs w:val="24"/>
        </w:rPr>
        <w:t>(101</w:t>
      </w:r>
      <w:r w:rsidRPr="00400DB9">
        <w:rPr>
          <w:rFonts w:ascii="Times New Roman" w:hAnsi="Times New Roman" w:hint="eastAsia"/>
          <w:szCs w:val="24"/>
        </w:rPr>
        <w:t>年至</w:t>
      </w:r>
      <w:r w:rsidRPr="00400DB9">
        <w:rPr>
          <w:rFonts w:ascii="Times New Roman" w:hAnsi="Times New Roman"/>
          <w:szCs w:val="24"/>
        </w:rPr>
        <w:t>105</w:t>
      </w:r>
      <w:r w:rsidRPr="00400DB9">
        <w:rPr>
          <w:rFonts w:ascii="Times New Roman" w:hAnsi="Times New Roman" w:hint="eastAsia"/>
          <w:szCs w:val="24"/>
        </w:rPr>
        <w:t>年</w:t>
      </w:r>
      <w:r w:rsidRPr="00400DB9">
        <w:rPr>
          <w:rFonts w:ascii="Times New Roman" w:hAnsi="Times New Roman"/>
          <w:szCs w:val="24"/>
        </w:rPr>
        <w:t>)</w:t>
      </w:r>
      <w:r w:rsidRPr="00400DB9">
        <w:rPr>
          <w:rFonts w:ascii="Times New Roman" w:hAnsi="Times New Roman" w:hint="eastAsia"/>
          <w:szCs w:val="24"/>
        </w:rPr>
        <w:t>、嘉義縣</w:t>
      </w:r>
      <w:r w:rsidRPr="00400DB9">
        <w:rPr>
          <w:rFonts w:ascii="Times New Roman" w:hAnsi="Times New Roman"/>
          <w:szCs w:val="24"/>
        </w:rPr>
        <w:t>(101</w:t>
      </w:r>
      <w:r w:rsidRPr="00400DB9">
        <w:rPr>
          <w:rFonts w:ascii="Times New Roman" w:hAnsi="Times New Roman" w:hint="eastAsia"/>
          <w:szCs w:val="24"/>
        </w:rPr>
        <w:t>年、</w:t>
      </w:r>
      <w:r w:rsidRPr="00400DB9">
        <w:rPr>
          <w:rFonts w:ascii="Times New Roman" w:hAnsi="Times New Roman"/>
          <w:szCs w:val="24"/>
        </w:rPr>
        <w:t>102</w:t>
      </w:r>
      <w:r w:rsidRPr="00400DB9">
        <w:rPr>
          <w:rFonts w:ascii="Times New Roman" w:hAnsi="Times New Roman" w:hint="eastAsia"/>
          <w:szCs w:val="24"/>
        </w:rPr>
        <w:t>年、</w:t>
      </w:r>
      <w:r w:rsidRPr="00400DB9">
        <w:rPr>
          <w:rFonts w:ascii="Times New Roman" w:hAnsi="Times New Roman"/>
          <w:szCs w:val="24"/>
        </w:rPr>
        <w:t>104</w:t>
      </w:r>
      <w:r w:rsidRPr="00400DB9">
        <w:rPr>
          <w:rFonts w:ascii="Times New Roman" w:hAnsi="Times New Roman" w:hint="eastAsia"/>
          <w:szCs w:val="24"/>
        </w:rPr>
        <w:t>年及</w:t>
      </w:r>
      <w:r w:rsidRPr="00400DB9">
        <w:rPr>
          <w:rFonts w:ascii="Times New Roman" w:hAnsi="Times New Roman"/>
          <w:szCs w:val="24"/>
        </w:rPr>
        <w:t>105</w:t>
      </w:r>
      <w:r w:rsidRPr="00400DB9">
        <w:rPr>
          <w:rFonts w:ascii="Times New Roman" w:hAnsi="Times New Roman" w:hint="eastAsia"/>
          <w:szCs w:val="24"/>
        </w:rPr>
        <w:t>年</w:t>
      </w:r>
      <w:r w:rsidRPr="00400DB9">
        <w:rPr>
          <w:rFonts w:ascii="Times New Roman" w:hAnsi="Times New Roman"/>
          <w:szCs w:val="24"/>
        </w:rPr>
        <w:t>)</w:t>
      </w:r>
      <w:r w:rsidRPr="00400DB9">
        <w:rPr>
          <w:rFonts w:ascii="Times New Roman" w:hAnsi="Times New Roman" w:hint="eastAsia"/>
          <w:szCs w:val="24"/>
        </w:rPr>
        <w:t>、花蓮縣</w:t>
      </w:r>
      <w:r w:rsidRPr="00400DB9">
        <w:rPr>
          <w:rFonts w:ascii="Times New Roman" w:hAnsi="Times New Roman"/>
          <w:szCs w:val="24"/>
        </w:rPr>
        <w:t>(105</w:t>
      </w:r>
      <w:r w:rsidRPr="00400DB9">
        <w:rPr>
          <w:rFonts w:ascii="Times New Roman" w:hAnsi="Times New Roman" w:hint="eastAsia"/>
          <w:szCs w:val="24"/>
        </w:rPr>
        <w:t>年</w:t>
      </w:r>
      <w:r w:rsidRPr="00400DB9">
        <w:rPr>
          <w:rFonts w:ascii="Times New Roman" w:hAnsi="Times New Roman"/>
          <w:szCs w:val="24"/>
        </w:rPr>
        <w:t>)</w:t>
      </w:r>
      <w:r w:rsidRPr="00400DB9">
        <w:rPr>
          <w:rFonts w:ascii="Times New Roman" w:hAnsi="Times New Roman" w:hint="eastAsia"/>
          <w:szCs w:val="24"/>
        </w:rPr>
        <w:t>、澎湖縣</w:t>
      </w:r>
      <w:r w:rsidRPr="00400DB9">
        <w:rPr>
          <w:rFonts w:ascii="Times New Roman" w:hAnsi="Times New Roman"/>
          <w:szCs w:val="24"/>
        </w:rPr>
        <w:t>(104</w:t>
      </w:r>
      <w:r w:rsidRPr="00400DB9">
        <w:rPr>
          <w:rFonts w:ascii="Times New Roman" w:hAnsi="Times New Roman" w:hint="eastAsia"/>
          <w:szCs w:val="24"/>
        </w:rPr>
        <w:t>年</w:t>
      </w:r>
      <w:r w:rsidRPr="00400DB9">
        <w:rPr>
          <w:rFonts w:ascii="Times New Roman" w:hAnsi="Times New Roman"/>
          <w:szCs w:val="24"/>
        </w:rPr>
        <w:t>)</w:t>
      </w:r>
      <w:r w:rsidRPr="00400DB9">
        <w:rPr>
          <w:rFonts w:ascii="Times New Roman" w:hAnsi="Times New Roman" w:hint="eastAsia"/>
          <w:szCs w:val="24"/>
        </w:rPr>
        <w:t>、嘉義市</w:t>
      </w:r>
      <w:r w:rsidRPr="00400DB9">
        <w:rPr>
          <w:rFonts w:ascii="Times New Roman" w:hAnsi="Times New Roman"/>
          <w:szCs w:val="24"/>
        </w:rPr>
        <w:t>(101</w:t>
      </w:r>
      <w:r w:rsidRPr="00400DB9">
        <w:rPr>
          <w:rFonts w:ascii="Times New Roman" w:hAnsi="Times New Roman" w:hint="eastAsia"/>
          <w:szCs w:val="24"/>
        </w:rPr>
        <w:t>年及</w:t>
      </w:r>
      <w:r w:rsidRPr="00400DB9">
        <w:rPr>
          <w:rFonts w:ascii="Times New Roman" w:hAnsi="Times New Roman"/>
          <w:szCs w:val="24"/>
        </w:rPr>
        <w:t>102</w:t>
      </w:r>
      <w:r w:rsidRPr="00400DB9">
        <w:rPr>
          <w:rFonts w:ascii="Times New Roman" w:hAnsi="Times New Roman" w:hint="eastAsia"/>
          <w:szCs w:val="24"/>
        </w:rPr>
        <w:t>年</w:t>
      </w:r>
      <w:r w:rsidRPr="00400DB9">
        <w:rPr>
          <w:rFonts w:ascii="Times New Roman" w:hAnsi="Times New Roman"/>
          <w:szCs w:val="24"/>
        </w:rPr>
        <w:t>)</w:t>
      </w:r>
      <w:r w:rsidRPr="00400DB9">
        <w:rPr>
          <w:rFonts w:ascii="Times New Roman" w:hAnsi="Times New Roman" w:hint="eastAsia"/>
          <w:szCs w:val="24"/>
        </w:rPr>
        <w:t>，其中雲林縣占比甚至高達</w:t>
      </w:r>
      <w:r w:rsidRPr="00400DB9">
        <w:rPr>
          <w:rFonts w:ascii="Times New Roman" w:hAnsi="Times New Roman"/>
          <w:szCs w:val="24"/>
        </w:rPr>
        <w:t>7</w:t>
      </w:r>
      <w:r w:rsidRPr="00400DB9">
        <w:rPr>
          <w:rFonts w:ascii="Times New Roman" w:hAnsi="Times New Roman" w:hint="eastAsia"/>
          <w:szCs w:val="24"/>
        </w:rPr>
        <w:t>、</w:t>
      </w:r>
      <w:r w:rsidRPr="00400DB9">
        <w:rPr>
          <w:rFonts w:ascii="Times New Roman" w:hAnsi="Times New Roman"/>
          <w:szCs w:val="24"/>
        </w:rPr>
        <w:t>8</w:t>
      </w:r>
      <w:r w:rsidRPr="00400DB9">
        <w:rPr>
          <w:rFonts w:ascii="Times New Roman" w:hAnsi="Times New Roman" w:hint="eastAsia"/>
          <w:szCs w:val="24"/>
        </w:rPr>
        <w:t>成以上</w:t>
      </w:r>
      <w:r w:rsidRPr="00400DB9">
        <w:rPr>
          <w:rFonts w:ascii="Times New Roman" w:hAnsi="Times New Roman"/>
          <w:szCs w:val="24"/>
        </w:rPr>
        <w:t>(</w:t>
      </w:r>
      <w:r w:rsidRPr="00400DB9">
        <w:rPr>
          <w:rFonts w:ascii="Times New Roman" w:hAnsi="Times New Roman" w:hint="eastAsia"/>
          <w:szCs w:val="24"/>
        </w:rPr>
        <w:t>詳見下表</w:t>
      </w:r>
      <w:r w:rsidR="00C121DF" w:rsidRPr="00400DB9">
        <w:rPr>
          <w:rFonts w:ascii="Times New Roman" w:hAnsi="Times New Roman" w:hint="eastAsia"/>
          <w:szCs w:val="24"/>
        </w:rPr>
        <w:t>13</w:t>
      </w:r>
      <w:r w:rsidRPr="00400DB9">
        <w:rPr>
          <w:rFonts w:ascii="Times New Roman" w:hAnsi="Times New Roman" w:hint="eastAsia"/>
          <w:szCs w:val="24"/>
        </w:rPr>
        <w:t>及下圖</w:t>
      </w:r>
      <w:r w:rsidR="00E665DC">
        <w:rPr>
          <w:rFonts w:ascii="Times New Roman" w:hAnsi="Times New Roman" w:hint="eastAsia"/>
          <w:szCs w:val="24"/>
        </w:rPr>
        <w:t>6</w:t>
      </w:r>
      <w:r w:rsidRPr="00400DB9">
        <w:rPr>
          <w:rFonts w:ascii="Times New Roman" w:hAnsi="Times New Roman"/>
          <w:szCs w:val="24"/>
        </w:rPr>
        <w:t>)</w:t>
      </w:r>
      <w:r w:rsidRPr="00400DB9">
        <w:rPr>
          <w:rFonts w:ascii="Times New Roman" w:hAnsi="Times New Roman" w:hint="eastAsia"/>
          <w:szCs w:val="24"/>
        </w:rPr>
        <w:t>。</w:t>
      </w:r>
      <w:bookmarkEnd w:id="1554"/>
      <w:bookmarkEnd w:id="1555"/>
      <w:bookmarkEnd w:id="1556"/>
      <w:bookmarkEnd w:id="1557"/>
      <w:bookmarkEnd w:id="1558"/>
      <w:bookmarkEnd w:id="1559"/>
      <w:bookmarkEnd w:id="1560"/>
      <w:bookmarkEnd w:id="1561"/>
      <w:bookmarkEnd w:id="1562"/>
    </w:p>
    <w:p w:rsidR="0040606A" w:rsidRDefault="0040606A" w:rsidP="00C121DF">
      <w:pPr>
        <w:pStyle w:val="a3"/>
        <w:numPr>
          <w:ilvl w:val="0"/>
          <w:numId w:val="34"/>
        </w:numPr>
        <w:spacing w:before="120" w:after="0"/>
        <w:ind w:left="2198" w:rightChars="-5" w:right="-17" w:hanging="812"/>
        <w:textAlignment w:val="auto"/>
        <w:rPr>
          <w:rFonts w:ascii="Times New Roman" w:hAnsi="Times New Roman"/>
          <w:b/>
          <w:szCs w:val="24"/>
        </w:rPr>
      </w:pPr>
      <w:r>
        <w:rPr>
          <w:rFonts w:ascii="Times New Roman"/>
          <w:b/>
          <w:color w:val="000000" w:themeColor="text1"/>
          <w:spacing w:val="-6"/>
        </w:rPr>
        <w:t>101</w:t>
      </w:r>
      <w:r>
        <w:rPr>
          <w:rFonts w:ascii="Times New Roman" w:hint="eastAsia"/>
          <w:b/>
          <w:color w:val="000000" w:themeColor="text1"/>
          <w:spacing w:val="-6"/>
        </w:rPr>
        <w:t>年至</w:t>
      </w:r>
      <w:r>
        <w:rPr>
          <w:rFonts w:ascii="Times New Roman"/>
          <w:b/>
          <w:color w:val="000000" w:themeColor="text1"/>
          <w:spacing w:val="-6"/>
        </w:rPr>
        <w:t>106</w:t>
      </w:r>
      <w:r>
        <w:rPr>
          <w:rFonts w:ascii="Times New Roman" w:hint="eastAsia"/>
          <w:b/>
          <w:color w:val="000000" w:themeColor="text1"/>
          <w:spacing w:val="-6"/>
        </w:rPr>
        <w:t>年各地方政府以公益彩卷盈餘分配款運用於</w:t>
      </w:r>
      <w:r>
        <w:rPr>
          <w:rFonts w:ascii="Times New Roman"/>
          <w:b/>
          <w:color w:val="000000" w:themeColor="text1"/>
          <w:spacing w:val="-6"/>
        </w:rPr>
        <w:t>6</w:t>
      </w:r>
      <w:r>
        <w:rPr>
          <w:rFonts w:ascii="Times New Roman" w:hint="eastAsia"/>
          <w:b/>
          <w:color w:val="000000" w:themeColor="text1"/>
          <w:spacing w:val="-6"/>
        </w:rPr>
        <w:t>項現金補助計畫經費及占比</w:t>
      </w:r>
    </w:p>
    <w:p w:rsidR="0040606A" w:rsidRDefault="0040606A" w:rsidP="0040606A">
      <w:pPr>
        <w:pStyle w:val="3"/>
        <w:numPr>
          <w:ilvl w:val="0"/>
          <w:numId w:val="0"/>
        </w:numPr>
        <w:spacing w:line="320" w:lineRule="exact"/>
        <w:ind w:left="1361" w:firstLineChars="52" w:firstLine="135"/>
        <w:jc w:val="right"/>
        <w:rPr>
          <w:rFonts w:ascii="Times New Roman" w:hAnsi="Times New Roman"/>
          <w:sz w:val="24"/>
          <w:szCs w:val="24"/>
        </w:rPr>
      </w:pPr>
      <w:bookmarkStart w:id="1563" w:name="_Toc507767701"/>
      <w:bookmarkStart w:id="1564" w:name="_Toc507768427"/>
      <w:bookmarkStart w:id="1565" w:name="_Toc511115422"/>
      <w:bookmarkStart w:id="1566" w:name="_Toc511308212"/>
      <w:bookmarkStart w:id="1567" w:name="_Toc511998654"/>
      <w:bookmarkStart w:id="1568" w:name="_Toc512421011"/>
      <w:r>
        <w:rPr>
          <w:rFonts w:ascii="Times New Roman" w:hAnsi="Times New Roman" w:hint="eastAsia"/>
          <w:sz w:val="24"/>
          <w:szCs w:val="24"/>
        </w:rPr>
        <w:t>單位：元；</w:t>
      </w:r>
      <w:r>
        <w:rPr>
          <w:rFonts w:hAnsi="標楷體" w:hint="eastAsia"/>
          <w:sz w:val="24"/>
          <w:szCs w:val="24"/>
        </w:rPr>
        <w:t>％</w:t>
      </w:r>
      <w:bookmarkEnd w:id="1563"/>
      <w:bookmarkEnd w:id="1564"/>
      <w:bookmarkEnd w:id="1565"/>
      <w:bookmarkEnd w:id="1566"/>
      <w:bookmarkEnd w:id="1567"/>
      <w:bookmarkEnd w:id="1568"/>
    </w:p>
    <w:tbl>
      <w:tblPr>
        <w:tblStyle w:val="afb"/>
        <w:tblW w:w="7476" w:type="dxa"/>
        <w:tblInd w:w="14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89"/>
        <w:gridCol w:w="1148"/>
        <w:gridCol w:w="2657"/>
        <w:gridCol w:w="2382"/>
      </w:tblGrid>
      <w:tr w:rsidR="0040606A" w:rsidTr="00C055EF">
        <w:trPr>
          <w:tblHeader/>
        </w:trPr>
        <w:tc>
          <w:tcPr>
            <w:tcW w:w="2437"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40606A" w:rsidRPr="00EA59C3" w:rsidRDefault="0040606A" w:rsidP="00C055EF">
            <w:pPr>
              <w:spacing w:line="320" w:lineRule="exact"/>
              <w:jc w:val="center"/>
              <w:rPr>
                <w:rFonts w:ascii="Times New Roman"/>
                <w:color w:val="000000" w:themeColor="text1"/>
                <w:sz w:val="28"/>
                <w:szCs w:val="28"/>
              </w:rPr>
            </w:pPr>
            <w:r>
              <w:rPr>
                <w:rFonts w:hint="eastAsia"/>
                <w:color w:val="000000" w:themeColor="text1"/>
                <w:sz w:val="28"/>
                <w:szCs w:val="28"/>
              </w:rPr>
              <w:t>縣市別</w:t>
            </w:r>
          </w:p>
          <w:p w:rsidR="0040606A" w:rsidRPr="00EA59C3" w:rsidRDefault="0040606A" w:rsidP="00C055EF">
            <w:pPr>
              <w:spacing w:line="320" w:lineRule="exact"/>
              <w:jc w:val="center"/>
              <w:rPr>
                <w:rFonts w:ascii="Times New Roman"/>
                <w:color w:val="000000" w:themeColor="text1"/>
                <w:sz w:val="28"/>
                <w:szCs w:val="28"/>
              </w:rPr>
            </w:pPr>
            <w:r w:rsidRPr="00EA59C3">
              <w:rPr>
                <w:rFonts w:ascii="Times New Roman"/>
                <w:color w:val="000000" w:themeColor="text1"/>
                <w:sz w:val="28"/>
                <w:szCs w:val="28"/>
              </w:rPr>
              <w:t>及年別</w:t>
            </w:r>
          </w:p>
          <w:p w:rsidR="0040606A" w:rsidRDefault="0040606A" w:rsidP="00C055EF">
            <w:pPr>
              <w:spacing w:line="320" w:lineRule="exact"/>
              <w:jc w:val="center"/>
              <w:rPr>
                <w:color w:val="000000" w:themeColor="text1"/>
                <w:sz w:val="28"/>
                <w:szCs w:val="28"/>
              </w:rPr>
            </w:pPr>
            <w:r w:rsidRPr="00EA59C3">
              <w:rPr>
                <w:rFonts w:ascii="Times New Roman"/>
                <w:color w:val="000000" w:themeColor="text1"/>
                <w:sz w:val="28"/>
                <w:szCs w:val="28"/>
              </w:rPr>
              <w:t>(</w:t>
            </w:r>
            <w:r w:rsidRPr="00EA59C3">
              <w:rPr>
                <w:rFonts w:ascii="Times New Roman"/>
                <w:color w:val="000000" w:themeColor="text1"/>
                <w:sz w:val="28"/>
                <w:szCs w:val="28"/>
              </w:rPr>
              <w:t>財力等級</w:t>
            </w:r>
            <w:r w:rsidRPr="00EA59C3">
              <w:rPr>
                <w:rFonts w:ascii="Times New Roman"/>
                <w:color w:val="000000" w:themeColor="text1"/>
                <w:sz w:val="28"/>
                <w:szCs w:val="28"/>
              </w:rPr>
              <w:t>)</w:t>
            </w:r>
          </w:p>
        </w:tc>
        <w:tc>
          <w:tcPr>
            <w:tcW w:w="5039" w:type="dxa"/>
            <w:gridSpan w:val="2"/>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spacing w:line="320" w:lineRule="exact"/>
              <w:ind w:leftChars="-15" w:left="-51" w:rightChars="-20" w:right="-68" w:firstLineChars="5" w:firstLine="14"/>
              <w:jc w:val="center"/>
              <w:rPr>
                <w:rFonts w:ascii="Times New Roman"/>
                <w:color w:val="000000" w:themeColor="text1"/>
                <w:spacing w:val="-6"/>
                <w:sz w:val="28"/>
                <w:szCs w:val="28"/>
              </w:rPr>
            </w:pPr>
            <w:r>
              <w:rPr>
                <w:rFonts w:ascii="Times New Roman"/>
                <w:color w:val="000000" w:themeColor="text1"/>
                <w:spacing w:val="-6"/>
                <w:sz w:val="28"/>
                <w:szCs w:val="28"/>
              </w:rPr>
              <w:t>6</w:t>
            </w:r>
            <w:r>
              <w:rPr>
                <w:rFonts w:ascii="Times New Roman" w:hint="eastAsia"/>
                <w:color w:val="000000" w:themeColor="text1"/>
                <w:spacing w:val="-6"/>
                <w:sz w:val="28"/>
                <w:szCs w:val="28"/>
              </w:rPr>
              <w:t>項現金補助計畫</w:t>
            </w:r>
          </w:p>
          <w:p w:rsidR="0040606A" w:rsidRDefault="0040606A" w:rsidP="00C055EF">
            <w:pPr>
              <w:spacing w:line="320" w:lineRule="exact"/>
              <w:ind w:leftChars="-15" w:left="-51" w:rightChars="-20" w:right="-68" w:firstLineChars="5" w:firstLine="14"/>
              <w:jc w:val="center"/>
              <w:rPr>
                <w:rFonts w:ascii="Times New Roman"/>
                <w:color w:val="000000" w:themeColor="text1"/>
                <w:spacing w:val="-6"/>
                <w:sz w:val="28"/>
                <w:szCs w:val="28"/>
              </w:rPr>
            </w:pPr>
            <w:r>
              <w:rPr>
                <w:rFonts w:ascii="Times New Roman" w:hint="eastAsia"/>
                <w:color w:val="000000" w:themeColor="text1"/>
                <w:spacing w:val="-6"/>
                <w:sz w:val="28"/>
                <w:szCs w:val="28"/>
              </w:rPr>
              <w:t>經費總計</w:t>
            </w:r>
          </w:p>
        </w:tc>
      </w:tr>
      <w:tr w:rsidR="0040606A" w:rsidTr="00C055EF">
        <w:trPr>
          <w:trHeight w:val="361"/>
          <w:tblHeader/>
        </w:trPr>
        <w:tc>
          <w:tcPr>
            <w:tcW w:w="2437" w:type="dxa"/>
            <w:gridSpan w:val="2"/>
            <w:vMerge/>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overflowPunct/>
              <w:autoSpaceDE/>
              <w:autoSpaceDN/>
              <w:jc w:val="left"/>
              <w:rPr>
                <w:color w:val="000000" w:themeColor="text1"/>
                <w:sz w:val="28"/>
                <w:szCs w:val="28"/>
              </w:rPr>
            </w:pPr>
          </w:p>
        </w:tc>
        <w:tc>
          <w:tcPr>
            <w:tcW w:w="2657"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spacing w:line="320" w:lineRule="exact"/>
              <w:jc w:val="center"/>
              <w:rPr>
                <w:color w:val="000000" w:themeColor="text1"/>
                <w:sz w:val="28"/>
                <w:szCs w:val="28"/>
              </w:rPr>
            </w:pPr>
            <w:r>
              <w:rPr>
                <w:rFonts w:hint="eastAsia"/>
                <w:color w:val="000000" w:themeColor="text1"/>
                <w:sz w:val="28"/>
                <w:szCs w:val="28"/>
              </w:rPr>
              <w:t>金額</w:t>
            </w:r>
          </w:p>
        </w:tc>
        <w:tc>
          <w:tcPr>
            <w:tcW w:w="2382"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spacing w:line="320" w:lineRule="exact"/>
              <w:ind w:leftChars="-34" w:left="-81" w:rightChars="-20" w:right="-68" w:hangingChars="13" w:hanging="35"/>
              <w:jc w:val="center"/>
              <w:rPr>
                <w:color w:val="000000" w:themeColor="text1"/>
                <w:spacing w:val="-14"/>
                <w:sz w:val="28"/>
                <w:szCs w:val="28"/>
              </w:rPr>
            </w:pPr>
            <w:r>
              <w:rPr>
                <w:rFonts w:hint="eastAsia"/>
                <w:color w:val="000000" w:themeColor="text1"/>
                <w:spacing w:val="-14"/>
                <w:sz w:val="28"/>
                <w:szCs w:val="28"/>
              </w:rPr>
              <w:t>占公益彩券盈餘預算之比率</w:t>
            </w:r>
          </w:p>
        </w:tc>
      </w:tr>
      <w:tr w:rsidR="0040606A" w:rsidTr="00C055EF">
        <w:trPr>
          <w:trHeight w:val="241"/>
        </w:trPr>
        <w:tc>
          <w:tcPr>
            <w:tcW w:w="1289" w:type="dxa"/>
            <w:vMerge w:val="restart"/>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overflowPunct/>
              <w:autoSpaceDE/>
              <w:spacing w:line="300" w:lineRule="exact"/>
              <w:jc w:val="left"/>
              <w:rPr>
                <w:b/>
                <w:color w:val="000000" w:themeColor="text1"/>
                <w:sz w:val="28"/>
                <w:szCs w:val="28"/>
              </w:rPr>
            </w:pPr>
            <w:r>
              <w:rPr>
                <w:rFonts w:hint="eastAsia"/>
                <w:b/>
                <w:color w:val="000000" w:themeColor="text1"/>
                <w:sz w:val="28"/>
                <w:szCs w:val="28"/>
              </w:rPr>
              <w:t>總  計</w:t>
            </w: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b/>
                <w:color w:val="000000" w:themeColor="text1"/>
                <w:sz w:val="28"/>
                <w:szCs w:val="28"/>
              </w:rPr>
            </w:pPr>
            <w:r>
              <w:rPr>
                <w:rFonts w:ascii="Times New Roman"/>
                <w:b/>
                <w:color w:val="000000" w:themeColor="text1"/>
                <w:sz w:val="28"/>
                <w:szCs w:val="28"/>
              </w:rPr>
              <w:t>101</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b/>
                <w:color w:val="000000" w:themeColor="text1"/>
                <w:sz w:val="28"/>
                <w:szCs w:val="28"/>
              </w:rPr>
            </w:pPr>
            <w:r>
              <w:rPr>
                <w:rFonts w:ascii="Times New Roman"/>
                <w:b/>
                <w:color w:val="000000" w:themeColor="text1"/>
                <w:sz w:val="28"/>
                <w:szCs w:val="28"/>
              </w:rPr>
              <w:t>6,204,133,907</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widowControl/>
              <w:spacing w:line="300" w:lineRule="exact"/>
              <w:jc w:val="right"/>
              <w:rPr>
                <w:rFonts w:ascii="Times New Roman"/>
                <w:b/>
                <w:color w:val="000000" w:themeColor="text1"/>
                <w:sz w:val="28"/>
                <w:szCs w:val="28"/>
              </w:rPr>
            </w:pPr>
            <w:r>
              <w:rPr>
                <w:rFonts w:ascii="Times New Roman"/>
                <w:b/>
                <w:color w:val="000000" w:themeColor="text1"/>
                <w:sz w:val="28"/>
                <w:szCs w:val="28"/>
              </w:rPr>
              <w:t>59.31</w:t>
            </w:r>
          </w:p>
        </w:tc>
      </w:tr>
      <w:tr w:rsidR="0040606A" w:rsidTr="00C055EF">
        <w:trPr>
          <w:trHeight w:val="53"/>
        </w:trPr>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overflowPunct/>
              <w:autoSpaceDE/>
              <w:autoSpaceDN/>
              <w:jc w:val="left"/>
              <w:rPr>
                <w:b/>
                <w:color w:val="000000" w:themeColor="text1"/>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b/>
                <w:color w:val="000000" w:themeColor="text1"/>
                <w:sz w:val="28"/>
                <w:szCs w:val="28"/>
              </w:rPr>
            </w:pPr>
            <w:r>
              <w:rPr>
                <w:rFonts w:ascii="Times New Roman"/>
                <w:b/>
                <w:color w:val="000000" w:themeColor="text1"/>
                <w:sz w:val="28"/>
                <w:szCs w:val="28"/>
              </w:rPr>
              <w:t>102</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b/>
                <w:color w:val="000000" w:themeColor="text1"/>
                <w:sz w:val="28"/>
                <w:szCs w:val="28"/>
              </w:rPr>
            </w:pPr>
            <w:r>
              <w:rPr>
                <w:rFonts w:ascii="Times New Roman"/>
                <w:b/>
                <w:color w:val="000000" w:themeColor="text1"/>
                <w:sz w:val="28"/>
                <w:szCs w:val="28"/>
              </w:rPr>
              <w:t>7,188,412,963</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widowControl/>
              <w:spacing w:line="300" w:lineRule="exact"/>
              <w:jc w:val="right"/>
              <w:rPr>
                <w:rFonts w:ascii="Times New Roman"/>
                <w:b/>
                <w:color w:val="000000" w:themeColor="text1"/>
                <w:sz w:val="28"/>
                <w:szCs w:val="28"/>
              </w:rPr>
            </w:pPr>
            <w:r>
              <w:rPr>
                <w:rFonts w:ascii="Times New Roman"/>
                <w:b/>
                <w:color w:val="000000" w:themeColor="text1"/>
                <w:sz w:val="28"/>
                <w:szCs w:val="28"/>
              </w:rPr>
              <w:t>59.30</w:t>
            </w:r>
          </w:p>
        </w:tc>
      </w:tr>
      <w:tr w:rsidR="0040606A" w:rsidTr="00C055EF">
        <w:trPr>
          <w:trHeight w:val="53"/>
        </w:trPr>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overflowPunct/>
              <w:autoSpaceDE/>
              <w:autoSpaceDN/>
              <w:jc w:val="left"/>
              <w:rPr>
                <w:b/>
                <w:color w:val="000000" w:themeColor="text1"/>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b/>
                <w:color w:val="000000" w:themeColor="text1"/>
                <w:sz w:val="28"/>
                <w:szCs w:val="28"/>
              </w:rPr>
            </w:pPr>
            <w:r>
              <w:rPr>
                <w:rFonts w:ascii="Times New Roman"/>
                <w:b/>
                <w:color w:val="000000" w:themeColor="text1"/>
                <w:sz w:val="28"/>
                <w:szCs w:val="28"/>
              </w:rPr>
              <w:t>103</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b/>
                <w:color w:val="000000" w:themeColor="text1"/>
                <w:sz w:val="28"/>
                <w:szCs w:val="28"/>
              </w:rPr>
            </w:pPr>
            <w:r>
              <w:rPr>
                <w:rFonts w:ascii="Times New Roman"/>
                <w:b/>
                <w:color w:val="000000" w:themeColor="text1"/>
                <w:sz w:val="28"/>
                <w:szCs w:val="28"/>
              </w:rPr>
              <w:t>8,047,436,495</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widowControl/>
              <w:spacing w:line="300" w:lineRule="exact"/>
              <w:jc w:val="right"/>
              <w:rPr>
                <w:rFonts w:ascii="Times New Roman"/>
                <w:b/>
                <w:color w:val="000000" w:themeColor="text1"/>
                <w:sz w:val="28"/>
                <w:szCs w:val="28"/>
              </w:rPr>
            </w:pPr>
            <w:r>
              <w:rPr>
                <w:rFonts w:ascii="Times New Roman"/>
                <w:b/>
                <w:color w:val="000000" w:themeColor="text1"/>
                <w:sz w:val="28"/>
                <w:szCs w:val="28"/>
              </w:rPr>
              <w:t>49.96</w:t>
            </w:r>
          </w:p>
        </w:tc>
      </w:tr>
      <w:tr w:rsidR="0040606A" w:rsidTr="00C055EF">
        <w:trPr>
          <w:trHeight w:val="138"/>
        </w:trPr>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overflowPunct/>
              <w:autoSpaceDE/>
              <w:autoSpaceDN/>
              <w:jc w:val="left"/>
              <w:rPr>
                <w:b/>
                <w:color w:val="000000" w:themeColor="text1"/>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b/>
                <w:color w:val="000000" w:themeColor="text1"/>
                <w:sz w:val="28"/>
                <w:szCs w:val="28"/>
              </w:rPr>
            </w:pPr>
            <w:r>
              <w:rPr>
                <w:rFonts w:ascii="Times New Roman"/>
                <w:b/>
                <w:color w:val="000000" w:themeColor="text1"/>
                <w:sz w:val="28"/>
                <w:szCs w:val="28"/>
              </w:rPr>
              <w:t>104</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b/>
                <w:color w:val="000000" w:themeColor="text1"/>
                <w:sz w:val="28"/>
                <w:szCs w:val="28"/>
              </w:rPr>
            </w:pPr>
            <w:r>
              <w:rPr>
                <w:rFonts w:ascii="Times New Roman"/>
                <w:b/>
                <w:color w:val="000000" w:themeColor="text1"/>
                <w:sz w:val="28"/>
                <w:szCs w:val="28"/>
              </w:rPr>
              <w:t>7,461,574,223</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widowControl/>
              <w:spacing w:line="300" w:lineRule="exact"/>
              <w:jc w:val="right"/>
              <w:rPr>
                <w:rFonts w:ascii="Times New Roman"/>
                <w:b/>
                <w:color w:val="000000" w:themeColor="text1"/>
                <w:sz w:val="28"/>
                <w:szCs w:val="28"/>
              </w:rPr>
            </w:pPr>
            <w:r>
              <w:rPr>
                <w:rFonts w:ascii="Times New Roman"/>
                <w:b/>
                <w:color w:val="000000" w:themeColor="text1"/>
                <w:sz w:val="28"/>
                <w:szCs w:val="28"/>
              </w:rPr>
              <w:t>43.31</w:t>
            </w:r>
          </w:p>
        </w:tc>
      </w:tr>
      <w:tr w:rsidR="0040606A" w:rsidTr="00C055EF">
        <w:trPr>
          <w:trHeight w:val="53"/>
        </w:trPr>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overflowPunct/>
              <w:autoSpaceDE/>
              <w:autoSpaceDN/>
              <w:jc w:val="left"/>
              <w:rPr>
                <w:b/>
                <w:color w:val="000000" w:themeColor="text1"/>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b/>
                <w:color w:val="000000" w:themeColor="text1"/>
                <w:sz w:val="28"/>
                <w:szCs w:val="28"/>
              </w:rPr>
            </w:pPr>
            <w:r>
              <w:rPr>
                <w:rFonts w:ascii="Times New Roman"/>
                <w:b/>
                <w:color w:val="000000" w:themeColor="text1"/>
                <w:sz w:val="28"/>
                <w:szCs w:val="28"/>
              </w:rPr>
              <w:t>105</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b/>
                <w:color w:val="000000" w:themeColor="text1"/>
                <w:sz w:val="28"/>
                <w:szCs w:val="28"/>
              </w:rPr>
            </w:pPr>
            <w:r>
              <w:rPr>
                <w:rFonts w:ascii="Times New Roman"/>
                <w:b/>
                <w:color w:val="000000" w:themeColor="text1"/>
                <w:sz w:val="28"/>
                <w:szCs w:val="28"/>
              </w:rPr>
              <w:t>7,466,822,003</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widowControl/>
              <w:spacing w:line="300" w:lineRule="exact"/>
              <w:jc w:val="right"/>
              <w:rPr>
                <w:rFonts w:ascii="Times New Roman"/>
                <w:b/>
                <w:color w:val="000000" w:themeColor="text1"/>
                <w:sz w:val="28"/>
                <w:szCs w:val="28"/>
              </w:rPr>
            </w:pPr>
            <w:r>
              <w:rPr>
                <w:rFonts w:ascii="Times New Roman"/>
                <w:b/>
                <w:color w:val="000000" w:themeColor="text1"/>
                <w:sz w:val="28"/>
                <w:szCs w:val="28"/>
              </w:rPr>
              <w:t>43.17</w:t>
            </w:r>
          </w:p>
        </w:tc>
      </w:tr>
      <w:tr w:rsidR="0040606A" w:rsidTr="00C055EF">
        <w:trPr>
          <w:trHeight w:val="53"/>
        </w:trPr>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overflowPunct/>
              <w:autoSpaceDE/>
              <w:autoSpaceDN/>
              <w:jc w:val="left"/>
              <w:rPr>
                <w:b/>
                <w:color w:val="000000" w:themeColor="text1"/>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b/>
                <w:color w:val="000000" w:themeColor="text1"/>
                <w:sz w:val="28"/>
                <w:szCs w:val="28"/>
              </w:rPr>
            </w:pPr>
            <w:r>
              <w:rPr>
                <w:rFonts w:ascii="Times New Roman"/>
                <w:b/>
                <w:color w:val="000000" w:themeColor="text1"/>
                <w:sz w:val="28"/>
                <w:szCs w:val="28"/>
              </w:rPr>
              <w:t>106</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b/>
                <w:color w:val="000000" w:themeColor="text1"/>
                <w:sz w:val="28"/>
                <w:szCs w:val="28"/>
              </w:rPr>
            </w:pPr>
            <w:r>
              <w:rPr>
                <w:rFonts w:ascii="Times New Roman"/>
                <w:b/>
                <w:color w:val="000000" w:themeColor="text1"/>
                <w:sz w:val="28"/>
                <w:szCs w:val="28"/>
              </w:rPr>
              <w:t>5,499,598,392</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b/>
                <w:color w:val="000000"/>
                <w:sz w:val="28"/>
                <w:szCs w:val="28"/>
              </w:rPr>
            </w:pPr>
            <w:r>
              <w:rPr>
                <w:rFonts w:ascii="Times New Roman"/>
                <w:b/>
                <w:color w:val="000000"/>
                <w:sz w:val="28"/>
                <w:szCs w:val="28"/>
              </w:rPr>
              <w:t>32.56</w:t>
            </w:r>
          </w:p>
        </w:tc>
      </w:tr>
      <w:tr w:rsidR="0040606A" w:rsidTr="00C055EF">
        <w:tc>
          <w:tcPr>
            <w:tcW w:w="1289" w:type="dxa"/>
            <w:vMerge w:val="restart"/>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spacing w:line="300" w:lineRule="exact"/>
              <w:ind w:leftChars="-29" w:left="2" w:hangingChars="39" w:hanging="101"/>
              <w:jc w:val="center"/>
              <w:rPr>
                <w:rFonts w:ascii="Times New Roman"/>
                <w:color w:val="000000" w:themeColor="text1"/>
                <w:spacing w:val="-20"/>
                <w:sz w:val="28"/>
                <w:szCs w:val="28"/>
              </w:rPr>
            </w:pPr>
            <w:r w:rsidRPr="00C121DF">
              <w:rPr>
                <w:rFonts w:ascii="Times New Roman" w:hint="eastAsia"/>
                <w:color w:val="000000" w:themeColor="text1"/>
                <w:spacing w:val="-20"/>
                <w:sz w:val="28"/>
                <w:szCs w:val="28"/>
              </w:rPr>
              <w:t>臺北市</w:t>
            </w:r>
          </w:p>
          <w:p w:rsidR="0040606A" w:rsidRPr="00C121DF" w:rsidRDefault="0040606A" w:rsidP="00C055EF">
            <w:pPr>
              <w:spacing w:line="300" w:lineRule="exact"/>
              <w:ind w:leftChars="-29" w:left="2" w:hangingChars="39" w:hanging="101"/>
              <w:jc w:val="center"/>
              <w:rPr>
                <w:rFonts w:ascii="Times New Roman"/>
                <w:color w:val="000000" w:themeColor="text1"/>
                <w:spacing w:val="-20"/>
                <w:sz w:val="28"/>
                <w:szCs w:val="28"/>
              </w:rPr>
            </w:pPr>
            <w:r w:rsidRPr="00C121DF">
              <w:rPr>
                <w:rFonts w:ascii="Times New Roman" w:hint="eastAsia"/>
                <w:color w:val="000000" w:themeColor="text1"/>
                <w:spacing w:val="-20"/>
                <w:sz w:val="28"/>
                <w:szCs w:val="28"/>
              </w:rPr>
              <w:t>(</w:t>
            </w:r>
            <w:r w:rsidRPr="00C121DF">
              <w:rPr>
                <w:rFonts w:ascii="Times New Roman" w:hint="eastAsia"/>
                <w:color w:val="000000" w:themeColor="text1"/>
                <w:spacing w:val="-20"/>
                <w:sz w:val="28"/>
                <w:szCs w:val="28"/>
              </w:rPr>
              <w:t>第</w:t>
            </w:r>
            <w:r w:rsidRPr="00C121DF">
              <w:rPr>
                <w:rFonts w:ascii="Times New Roman" w:hint="eastAsia"/>
                <w:color w:val="000000" w:themeColor="text1"/>
                <w:spacing w:val="-20"/>
                <w:sz w:val="28"/>
                <w:szCs w:val="28"/>
              </w:rPr>
              <w:t>1</w:t>
            </w:r>
            <w:r w:rsidRPr="00C121DF">
              <w:rPr>
                <w:rFonts w:ascii="Times New Roman" w:hint="eastAsia"/>
                <w:color w:val="000000" w:themeColor="text1"/>
                <w:spacing w:val="-20"/>
                <w:sz w:val="28"/>
                <w:szCs w:val="28"/>
              </w:rPr>
              <w:t>級</w:t>
            </w:r>
            <w:r w:rsidRPr="00C121DF">
              <w:rPr>
                <w:rFonts w:ascii="Times New Roman" w:hint="eastAsia"/>
                <w:color w:val="000000" w:themeColor="text1"/>
                <w:spacing w:val="-20"/>
                <w:sz w:val="28"/>
                <w:szCs w:val="28"/>
              </w:rPr>
              <w:t>)</w:t>
            </w: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101</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21" w:right="-71" w:hangingChars="47" w:hanging="141"/>
              <w:jc w:val="right"/>
              <w:rPr>
                <w:rFonts w:ascii="Times New Roman"/>
                <w:color w:val="000000" w:themeColor="text1"/>
                <w:sz w:val="28"/>
                <w:szCs w:val="28"/>
              </w:rPr>
            </w:pPr>
            <w:r>
              <w:rPr>
                <w:rFonts w:ascii="Times New Roman"/>
                <w:color w:val="000000" w:themeColor="text1"/>
                <w:sz w:val="28"/>
                <w:szCs w:val="28"/>
              </w:rPr>
              <w:t xml:space="preserve">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0.00</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102</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21" w:right="-71" w:hangingChars="47" w:hanging="141"/>
              <w:jc w:val="right"/>
              <w:rPr>
                <w:rFonts w:ascii="Times New Roman"/>
                <w:color w:val="000000" w:themeColor="text1"/>
                <w:sz w:val="28"/>
                <w:szCs w:val="28"/>
              </w:rPr>
            </w:pPr>
            <w:r>
              <w:rPr>
                <w:rFonts w:ascii="Times New Roman"/>
                <w:color w:val="000000" w:themeColor="text1"/>
                <w:sz w:val="28"/>
                <w:szCs w:val="28"/>
              </w:rPr>
              <w:t xml:space="preserve">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0.00</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103</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666,499,000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31.88</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104</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668,782,001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26.68</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105</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733,143,001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27.54</w:t>
            </w:r>
          </w:p>
        </w:tc>
      </w:tr>
      <w:tr w:rsidR="0040606A" w:rsidTr="00C055EF">
        <w:trPr>
          <w:trHeight w:val="53"/>
        </w:trPr>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106</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696,485,823</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sz w:val="28"/>
                <w:szCs w:val="28"/>
              </w:rPr>
            </w:pPr>
            <w:r>
              <w:rPr>
                <w:rFonts w:ascii="Times New Roman"/>
                <w:color w:val="000000"/>
                <w:sz w:val="28"/>
                <w:szCs w:val="28"/>
              </w:rPr>
              <w:t>24.22</w:t>
            </w:r>
          </w:p>
        </w:tc>
      </w:tr>
      <w:tr w:rsidR="0040606A" w:rsidTr="00C055EF">
        <w:trPr>
          <w:trHeight w:val="53"/>
        </w:trPr>
        <w:tc>
          <w:tcPr>
            <w:tcW w:w="1289" w:type="dxa"/>
            <w:vMerge w:val="restart"/>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spacing w:line="300" w:lineRule="exact"/>
              <w:ind w:leftChars="-29" w:left="2" w:hangingChars="39" w:hanging="101"/>
              <w:jc w:val="center"/>
              <w:rPr>
                <w:rFonts w:ascii="Times New Roman"/>
                <w:color w:val="000000" w:themeColor="text1"/>
                <w:spacing w:val="-20"/>
                <w:sz w:val="28"/>
                <w:szCs w:val="28"/>
              </w:rPr>
            </w:pPr>
            <w:r w:rsidRPr="00C121DF">
              <w:rPr>
                <w:rFonts w:ascii="Times New Roman" w:hint="eastAsia"/>
                <w:color w:val="000000" w:themeColor="text1"/>
                <w:spacing w:val="-20"/>
                <w:sz w:val="28"/>
                <w:szCs w:val="28"/>
              </w:rPr>
              <w:t>新北市</w:t>
            </w:r>
          </w:p>
          <w:p w:rsidR="0040606A" w:rsidRPr="00C121DF" w:rsidRDefault="0040606A" w:rsidP="00C055EF">
            <w:pPr>
              <w:spacing w:line="300" w:lineRule="exact"/>
              <w:ind w:leftChars="-29" w:left="2" w:hangingChars="39" w:hanging="101"/>
              <w:jc w:val="center"/>
              <w:rPr>
                <w:rFonts w:ascii="Times New Roman"/>
                <w:color w:val="000000" w:themeColor="text1"/>
                <w:spacing w:val="-20"/>
                <w:sz w:val="28"/>
                <w:szCs w:val="28"/>
              </w:rPr>
            </w:pPr>
            <w:r w:rsidRPr="00C121DF">
              <w:rPr>
                <w:rFonts w:ascii="Times New Roman" w:hint="eastAsia"/>
                <w:color w:val="000000" w:themeColor="text1"/>
                <w:spacing w:val="-20"/>
                <w:sz w:val="28"/>
                <w:szCs w:val="28"/>
              </w:rPr>
              <w:t>(</w:t>
            </w:r>
            <w:r w:rsidRPr="00C121DF">
              <w:rPr>
                <w:rFonts w:ascii="Times New Roman" w:hint="eastAsia"/>
                <w:color w:val="000000" w:themeColor="text1"/>
                <w:spacing w:val="-20"/>
                <w:sz w:val="28"/>
                <w:szCs w:val="28"/>
              </w:rPr>
              <w:t>第</w:t>
            </w:r>
            <w:r w:rsidRPr="00C121DF">
              <w:rPr>
                <w:rFonts w:ascii="Times New Roman" w:hint="eastAsia"/>
                <w:color w:val="000000" w:themeColor="text1"/>
                <w:spacing w:val="-20"/>
                <w:sz w:val="28"/>
                <w:szCs w:val="28"/>
              </w:rPr>
              <w:t>2</w:t>
            </w:r>
            <w:r w:rsidRPr="00C121DF">
              <w:rPr>
                <w:rFonts w:ascii="Times New Roman" w:hint="eastAsia"/>
                <w:color w:val="000000" w:themeColor="text1"/>
                <w:spacing w:val="-20"/>
                <w:sz w:val="28"/>
                <w:szCs w:val="28"/>
              </w:rPr>
              <w:t>級</w:t>
            </w:r>
            <w:r w:rsidRPr="00C121DF">
              <w:rPr>
                <w:rFonts w:ascii="Times New Roman" w:hint="eastAsia"/>
                <w:color w:val="000000" w:themeColor="text1"/>
                <w:spacing w:val="-20"/>
                <w:sz w:val="28"/>
                <w:szCs w:val="28"/>
              </w:rPr>
              <w:t>)</w:t>
            </w: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101</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903,233,000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44.47</w:t>
            </w:r>
          </w:p>
        </w:tc>
      </w:tr>
      <w:tr w:rsidR="0040606A" w:rsidTr="00C055EF">
        <w:trPr>
          <w:trHeight w:val="53"/>
        </w:trPr>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102</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1,374,725,000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63.36</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103</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1,621,784,000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65.32</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104</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1,532,369,000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66.23</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105</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1,003,310,000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58.73</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106</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1,002,832,400</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sz w:val="28"/>
                <w:szCs w:val="28"/>
              </w:rPr>
            </w:pPr>
            <w:r>
              <w:rPr>
                <w:rFonts w:ascii="Times New Roman"/>
                <w:color w:val="000000"/>
                <w:sz w:val="28"/>
                <w:szCs w:val="28"/>
              </w:rPr>
              <w:t>58.00</w:t>
            </w:r>
          </w:p>
        </w:tc>
      </w:tr>
      <w:tr w:rsidR="0040606A" w:rsidTr="00C055EF">
        <w:trPr>
          <w:trHeight w:val="154"/>
        </w:trPr>
        <w:tc>
          <w:tcPr>
            <w:tcW w:w="1289" w:type="dxa"/>
            <w:vMerge w:val="restart"/>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spacing w:line="300" w:lineRule="exact"/>
              <w:ind w:leftChars="-29" w:left="2" w:hangingChars="39" w:hanging="101"/>
              <w:jc w:val="center"/>
              <w:rPr>
                <w:rFonts w:ascii="Times New Roman"/>
                <w:color w:val="000000" w:themeColor="text1"/>
                <w:spacing w:val="-20"/>
                <w:sz w:val="28"/>
                <w:szCs w:val="28"/>
              </w:rPr>
            </w:pPr>
            <w:r w:rsidRPr="00C121DF">
              <w:rPr>
                <w:rFonts w:ascii="Times New Roman" w:hint="eastAsia"/>
                <w:color w:val="000000" w:themeColor="text1"/>
                <w:spacing w:val="-20"/>
                <w:sz w:val="28"/>
                <w:szCs w:val="28"/>
              </w:rPr>
              <w:t>桃園市</w:t>
            </w:r>
          </w:p>
          <w:p w:rsidR="0040606A" w:rsidRPr="00C121DF" w:rsidRDefault="0040606A" w:rsidP="00C055EF">
            <w:pPr>
              <w:spacing w:line="300" w:lineRule="exact"/>
              <w:ind w:leftChars="-29" w:left="2" w:hangingChars="39" w:hanging="101"/>
              <w:jc w:val="center"/>
              <w:rPr>
                <w:rFonts w:ascii="Times New Roman"/>
                <w:color w:val="000000" w:themeColor="text1"/>
                <w:spacing w:val="-20"/>
                <w:sz w:val="28"/>
                <w:szCs w:val="28"/>
              </w:rPr>
            </w:pPr>
            <w:r w:rsidRPr="00C121DF">
              <w:rPr>
                <w:rFonts w:ascii="Times New Roman" w:hint="eastAsia"/>
                <w:color w:val="000000" w:themeColor="text1"/>
                <w:spacing w:val="-20"/>
                <w:sz w:val="28"/>
                <w:szCs w:val="28"/>
              </w:rPr>
              <w:t>(</w:t>
            </w:r>
            <w:r w:rsidRPr="00C121DF">
              <w:rPr>
                <w:rFonts w:ascii="Times New Roman" w:hint="eastAsia"/>
                <w:color w:val="000000" w:themeColor="text1"/>
                <w:spacing w:val="-20"/>
                <w:sz w:val="28"/>
                <w:szCs w:val="28"/>
              </w:rPr>
              <w:t>第</w:t>
            </w:r>
            <w:r w:rsidRPr="00C121DF">
              <w:rPr>
                <w:rFonts w:ascii="Times New Roman" w:hint="eastAsia"/>
                <w:color w:val="000000" w:themeColor="text1"/>
                <w:spacing w:val="-20"/>
                <w:sz w:val="28"/>
                <w:szCs w:val="28"/>
              </w:rPr>
              <w:t>2</w:t>
            </w:r>
            <w:r w:rsidRPr="00C121DF">
              <w:rPr>
                <w:rFonts w:ascii="Times New Roman" w:hint="eastAsia"/>
                <w:color w:val="000000" w:themeColor="text1"/>
                <w:spacing w:val="-20"/>
                <w:sz w:val="28"/>
                <w:szCs w:val="28"/>
              </w:rPr>
              <w:t>級</w:t>
            </w:r>
            <w:r w:rsidRPr="00C121DF">
              <w:rPr>
                <w:rFonts w:ascii="Times New Roman" w:hint="eastAsia"/>
                <w:color w:val="000000" w:themeColor="text1"/>
                <w:spacing w:val="-20"/>
                <w:sz w:val="28"/>
                <w:szCs w:val="28"/>
              </w:rPr>
              <w:t>)</w:t>
            </w: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101</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618,066,000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43.65</w:t>
            </w:r>
          </w:p>
        </w:tc>
      </w:tr>
      <w:tr w:rsidR="0040606A" w:rsidTr="00C055EF">
        <w:trPr>
          <w:trHeight w:val="115"/>
        </w:trPr>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102</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589,487,000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42.49</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103</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21" w:right="-71" w:hangingChars="47" w:hanging="141"/>
              <w:jc w:val="right"/>
              <w:rPr>
                <w:rFonts w:ascii="Times New Roman"/>
                <w:color w:val="000000" w:themeColor="text1"/>
                <w:sz w:val="28"/>
                <w:szCs w:val="28"/>
              </w:rPr>
            </w:pPr>
            <w:r>
              <w:rPr>
                <w:rFonts w:ascii="Times New Roman"/>
                <w:color w:val="000000" w:themeColor="text1"/>
                <w:sz w:val="28"/>
                <w:szCs w:val="28"/>
              </w:rPr>
              <w:t xml:space="preserve">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0.00</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104</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676,472,002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38.97</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105</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639,455,002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37.24</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106</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340,514,000</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sz w:val="28"/>
                <w:szCs w:val="28"/>
              </w:rPr>
            </w:pPr>
            <w:r>
              <w:rPr>
                <w:rFonts w:ascii="Times New Roman"/>
                <w:color w:val="000000"/>
                <w:sz w:val="28"/>
                <w:szCs w:val="28"/>
              </w:rPr>
              <w:t>28.72</w:t>
            </w:r>
          </w:p>
        </w:tc>
      </w:tr>
      <w:tr w:rsidR="0040606A" w:rsidTr="00C055EF">
        <w:tc>
          <w:tcPr>
            <w:tcW w:w="1289" w:type="dxa"/>
            <w:vMerge w:val="restart"/>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spacing w:line="320" w:lineRule="exact"/>
              <w:ind w:leftChars="-29" w:left="2" w:hangingChars="39" w:hanging="101"/>
              <w:jc w:val="center"/>
              <w:rPr>
                <w:rFonts w:ascii="Times New Roman"/>
                <w:color w:val="000000" w:themeColor="text1"/>
                <w:spacing w:val="-20"/>
                <w:sz w:val="28"/>
                <w:szCs w:val="28"/>
              </w:rPr>
            </w:pPr>
            <w:r w:rsidRPr="00C121DF">
              <w:rPr>
                <w:rFonts w:ascii="Times New Roman" w:hint="eastAsia"/>
                <w:color w:val="000000" w:themeColor="text1"/>
                <w:spacing w:val="-20"/>
                <w:sz w:val="28"/>
                <w:szCs w:val="28"/>
              </w:rPr>
              <w:t>臺中市</w:t>
            </w:r>
          </w:p>
          <w:p w:rsidR="0040606A" w:rsidRPr="00C121DF" w:rsidRDefault="0040606A" w:rsidP="00C055EF">
            <w:pPr>
              <w:spacing w:line="320" w:lineRule="exact"/>
              <w:ind w:leftChars="-29" w:left="2" w:hangingChars="39" w:hanging="101"/>
              <w:jc w:val="center"/>
              <w:rPr>
                <w:rFonts w:ascii="Times New Roman"/>
                <w:color w:val="000000" w:themeColor="text1"/>
                <w:spacing w:val="-20"/>
                <w:sz w:val="28"/>
                <w:szCs w:val="28"/>
              </w:rPr>
            </w:pPr>
            <w:r w:rsidRPr="00C121DF">
              <w:rPr>
                <w:rFonts w:ascii="Times New Roman" w:hint="eastAsia"/>
                <w:color w:val="000000" w:themeColor="text1"/>
                <w:spacing w:val="-20"/>
                <w:sz w:val="28"/>
                <w:szCs w:val="28"/>
              </w:rPr>
              <w:t>(</w:t>
            </w:r>
            <w:r w:rsidRPr="00C121DF">
              <w:rPr>
                <w:rFonts w:ascii="Times New Roman" w:hint="eastAsia"/>
                <w:color w:val="000000" w:themeColor="text1"/>
                <w:spacing w:val="-20"/>
                <w:sz w:val="28"/>
                <w:szCs w:val="28"/>
              </w:rPr>
              <w:t>第</w:t>
            </w:r>
            <w:r w:rsidRPr="00C121DF">
              <w:rPr>
                <w:rFonts w:ascii="Times New Roman" w:hint="eastAsia"/>
                <w:color w:val="000000" w:themeColor="text1"/>
                <w:spacing w:val="-20"/>
                <w:sz w:val="28"/>
                <w:szCs w:val="28"/>
              </w:rPr>
              <w:t>2</w:t>
            </w:r>
            <w:r w:rsidRPr="00C121DF">
              <w:rPr>
                <w:rFonts w:ascii="Times New Roman" w:hint="eastAsia"/>
                <w:color w:val="000000" w:themeColor="text1"/>
                <w:spacing w:val="-20"/>
                <w:sz w:val="28"/>
                <w:szCs w:val="28"/>
              </w:rPr>
              <w:t>級</w:t>
            </w:r>
            <w:r w:rsidRPr="00C121DF">
              <w:rPr>
                <w:rFonts w:ascii="Times New Roman" w:hint="eastAsia"/>
                <w:color w:val="000000" w:themeColor="text1"/>
                <w:spacing w:val="-20"/>
                <w:sz w:val="28"/>
                <w:szCs w:val="28"/>
              </w:rPr>
              <w:t>)</w:t>
            </w: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101</w:t>
            </w:r>
          </w:p>
        </w:tc>
        <w:tc>
          <w:tcPr>
            <w:tcW w:w="2657" w:type="dxa"/>
            <w:tcBorders>
              <w:top w:val="single" w:sz="6" w:space="0" w:color="auto"/>
              <w:left w:val="single" w:sz="6" w:space="0" w:color="auto"/>
              <w:bottom w:val="single" w:sz="6" w:space="0" w:color="auto"/>
              <w:right w:val="single" w:sz="6" w:space="0" w:color="auto"/>
            </w:tcBorders>
            <w:vAlign w:val="bottom"/>
          </w:tcPr>
          <w:p w:rsidR="0040606A" w:rsidRDefault="0040606A" w:rsidP="00C055EF">
            <w:pPr>
              <w:spacing w:line="300" w:lineRule="exact"/>
              <w:ind w:leftChars="-43" w:left="-5" w:rightChars="-21" w:right="-71" w:hangingChars="47" w:hanging="141"/>
              <w:jc w:val="right"/>
              <w:rPr>
                <w:rFonts w:ascii="Times New Roman"/>
                <w:color w:val="000000" w:themeColor="text1"/>
                <w:sz w:val="28"/>
                <w:szCs w:val="28"/>
              </w:rPr>
            </w:pP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0.00</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102</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99,440,000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7.64</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103</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650,423,000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30.49</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104</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658,397,000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28.61</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105</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159,680,000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9.22</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106</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82,480,000</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sz w:val="28"/>
                <w:szCs w:val="28"/>
              </w:rPr>
            </w:pPr>
            <w:r>
              <w:rPr>
                <w:rFonts w:ascii="Times New Roman"/>
                <w:color w:val="000000"/>
                <w:sz w:val="28"/>
                <w:szCs w:val="28"/>
              </w:rPr>
              <w:t>6.26</w:t>
            </w:r>
          </w:p>
        </w:tc>
      </w:tr>
      <w:tr w:rsidR="0040606A" w:rsidTr="00C055EF">
        <w:tc>
          <w:tcPr>
            <w:tcW w:w="1289" w:type="dxa"/>
            <w:vMerge w:val="restart"/>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spacing w:line="320" w:lineRule="exact"/>
              <w:ind w:leftChars="-29" w:left="2" w:hangingChars="39" w:hanging="101"/>
              <w:jc w:val="center"/>
              <w:rPr>
                <w:rFonts w:ascii="Times New Roman"/>
                <w:color w:val="000000" w:themeColor="text1"/>
                <w:spacing w:val="-20"/>
                <w:sz w:val="28"/>
                <w:szCs w:val="28"/>
              </w:rPr>
            </w:pPr>
            <w:r w:rsidRPr="00C121DF">
              <w:rPr>
                <w:rFonts w:ascii="Times New Roman" w:hint="eastAsia"/>
                <w:color w:val="000000" w:themeColor="text1"/>
                <w:spacing w:val="-20"/>
                <w:sz w:val="28"/>
                <w:szCs w:val="28"/>
              </w:rPr>
              <w:t>臺南市</w:t>
            </w:r>
          </w:p>
          <w:p w:rsidR="0040606A" w:rsidRPr="00C121DF" w:rsidRDefault="0040606A" w:rsidP="00C055EF">
            <w:pPr>
              <w:spacing w:line="320" w:lineRule="exact"/>
              <w:ind w:leftChars="-29" w:left="2" w:hangingChars="39" w:hanging="101"/>
              <w:jc w:val="center"/>
              <w:rPr>
                <w:rFonts w:ascii="Times New Roman"/>
                <w:color w:val="000000" w:themeColor="text1"/>
                <w:spacing w:val="-20"/>
                <w:sz w:val="28"/>
                <w:szCs w:val="28"/>
              </w:rPr>
            </w:pPr>
            <w:r w:rsidRPr="00C121DF">
              <w:rPr>
                <w:rFonts w:ascii="Times New Roman" w:hint="eastAsia"/>
                <w:color w:val="000000" w:themeColor="text1"/>
                <w:spacing w:val="-20"/>
                <w:sz w:val="28"/>
                <w:szCs w:val="28"/>
              </w:rPr>
              <w:t>(</w:t>
            </w:r>
            <w:r w:rsidRPr="00C121DF">
              <w:rPr>
                <w:rFonts w:ascii="Times New Roman" w:hint="eastAsia"/>
                <w:color w:val="000000" w:themeColor="text1"/>
                <w:spacing w:val="-20"/>
                <w:sz w:val="28"/>
                <w:szCs w:val="28"/>
              </w:rPr>
              <w:t>第</w:t>
            </w:r>
            <w:r w:rsidRPr="00C121DF">
              <w:rPr>
                <w:rFonts w:ascii="Times New Roman" w:hint="eastAsia"/>
                <w:color w:val="000000" w:themeColor="text1"/>
                <w:spacing w:val="-20"/>
                <w:sz w:val="28"/>
                <w:szCs w:val="28"/>
              </w:rPr>
              <w:t>3</w:t>
            </w:r>
            <w:r w:rsidRPr="00C121DF">
              <w:rPr>
                <w:rFonts w:ascii="Times New Roman" w:hint="eastAsia"/>
                <w:color w:val="000000" w:themeColor="text1"/>
                <w:spacing w:val="-20"/>
                <w:sz w:val="28"/>
                <w:szCs w:val="28"/>
              </w:rPr>
              <w:t>級</w:t>
            </w:r>
            <w:r w:rsidRPr="00C121DF">
              <w:rPr>
                <w:rFonts w:ascii="Times New Roman" w:hint="eastAsia"/>
                <w:color w:val="000000" w:themeColor="text1"/>
                <w:spacing w:val="-20"/>
                <w:sz w:val="28"/>
                <w:szCs w:val="28"/>
              </w:rPr>
              <w:t>)</w:t>
            </w: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101</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589,487,000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89.73</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102</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0.00</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103</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714,733,002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62.11</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104</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684,929,002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52.18</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105</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223,993,000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21.49</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106</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223,479,000</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sz w:val="28"/>
                <w:szCs w:val="28"/>
              </w:rPr>
            </w:pPr>
            <w:r>
              <w:rPr>
                <w:rFonts w:ascii="Times New Roman"/>
                <w:color w:val="000000"/>
                <w:sz w:val="28"/>
                <w:szCs w:val="28"/>
              </w:rPr>
              <w:t>18.24</w:t>
            </w:r>
          </w:p>
        </w:tc>
      </w:tr>
      <w:tr w:rsidR="0040606A" w:rsidTr="00C055EF">
        <w:tc>
          <w:tcPr>
            <w:tcW w:w="1289" w:type="dxa"/>
            <w:vMerge w:val="restart"/>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spacing w:line="320" w:lineRule="exact"/>
              <w:ind w:leftChars="-29" w:left="2" w:hangingChars="39" w:hanging="101"/>
              <w:jc w:val="center"/>
              <w:rPr>
                <w:rFonts w:ascii="Times New Roman"/>
                <w:color w:val="000000" w:themeColor="text1"/>
                <w:spacing w:val="-20"/>
                <w:sz w:val="28"/>
                <w:szCs w:val="28"/>
              </w:rPr>
            </w:pPr>
            <w:r w:rsidRPr="00C121DF">
              <w:rPr>
                <w:rFonts w:ascii="Times New Roman" w:hint="eastAsia"/>
                <w:color w:val="000000" w:themeColor="text1"/>
                <w:spacing w:val="-20"/>
                <w:sz w:val="28"/>
                <w:szCs w:val="28"/>
              </w:rPr>
              <w:t>高雄市</w:t>
            </w:r>
          </w:p>
          <w:p w:rsidR="0040606A" w:rsidRPr="00C121DF" w:rsidRDefault="0040606A" w:rsidP="00C055EF">
            <w:pPr>
              <w:spacing w:line="320" w:lineRule="exact"/>
              <w:ind w:leftChars="-29" w:left="2" w:hangingChars="39" w:hanging="101"/>
              <w:jc w:val="center"/>
              <w:rPr>
                <w:rFonts w:ascii="Times New Roman"/>
                <w:color w:val="000000" w:themeColor="text1"/>
                <w:spacing w:val="-20"/>
                <w:sz w:val="28"/>
                <w:szCs w:val="28"/>
              </w:rPr>
            </w:pPr>
            <w:r w:rsidRPr="00C121DF">
              <w:rPr>
                <w:rFonts w:ascii="Times New Roman" w:hint="eastAsia"/>
                <w:color w:val="000000" w:themeColor="text1"/>
                <w:spacing w:val="-20"/>
                <w:sz w:val="28"/>
                <w:szCs w:val="28"/>
              </w:rPr>
              <w:t>(</w:t>
            </w:r>
            <w:r w:rsidRPr="00C121DF">
              <w:rPr>
                <w:rFonts w:ascii="Times New Roman" w:hint="eastAsia"/>
                <w:color w:val="000000" w:themeColor="text1"/>
                <w:spacing w:val="-20"/>
                <w:sz w:val="28"/>
                <w:szCs w:val="28"/>
              </w:rPr>
              <w:t>第</w:t>
            </w:r>
            <w:r w:rsidRPr="00C121DF">
              <w:rPr>
                <w:rFonts w:ascii="Times New Roman" w:hint="eastAsia"/>
                <w:color w:val="000000" w:themeColor="text1"/>
                <w:spacing w:val="-20"/>
                <w:sz w:val="28"/>
                <w:szCs w:val="28"/>
              </w:rPr>
              <w:t>3</w:t>
            </w:r>
            <w:r w:rsidRPr="00C121DF">
              <w:rPr>
                <w:rFonts w:ascii="Times New Roman" w:hint="eastAsia"/>
                <w:color w:val="000000" w:themeColor="text1"/>
                <w:spacing w:val="-20"/>
                <w:sz w:val="28"/>
                <w:szCs w:val="28"/>
              </w:rPr>
              <w:t>級</w:t>
            </w:r>
            <w:r w:rsidRPr="00C121DF">
              <w:rPr>
                <w:rFonts w:ascii="Times New Roman" w:hint="eastAsia"/>
                <w:color w:val="000000" w:themeColor="text1"/>
                <w:spacing w:val="-20"/>
                <w:sz w:val="28"/>
                <w:szCs w:val="28"/>
              </w:rPr>
              <w:t>)</w:t>
            </w: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101</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131,167,000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13.09</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102</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191,002,000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16.43</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Pr="00C52751" w:rsidRDefault="0040606A" w:rsidP="00C055EF">
            <w:pPr>
              <w:spacing w:line="322" w:lineRule="exact"/>
              <w:ind w:leftChars="-32" w:left="59" w:rightChars="-23" w:right="-78" w:hangingChars="56" w:hanging="168"/>
              <w:jc w:val="center"/>
              <w:rPr>
                <w:rFonts w:ascii="Times New Roman"/>
                <w:sz w:val="28"/>
                <w:szCs w:val="28"/>
              </w:rPr>
            </w:pPr>
            <w:r w:rsidRPr="00C52751">
              <w:rPr>
                <w:rFonts w:ascii="Times New Roman"/>
                <w:sz w:val="28"/>
                <w:szCs w:val="28"/>
              </w:rPr>
              <w:t>103</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Pr="00C52751" w:rsidRDefault="0040606A" w:rsidP="00C055EF">
            <w:pPr>
              <w:spacing w:line="322" w:lineRule="exact"/>
              <w:ind w:leftChars="-43" w:left="-5" w:rightChars="-11" w:right="-37" w:hangingChars="47" w:hanging="141"/>
              <w:jc w:val="right"/>
              <w:rPr>
                <w:rFonts w:ascii="Times New Roman"/>
                <w:sz w:val="28"/>
                <w:szCs w:val="28"/>
              </w:rPr>
            </w:pPr>
            <w:r w:rsidRPr="00C52751">
              <w:rPr>
                <w:rFonts w:ascii="Times New Roman"/>
                <w:sz w:val="28"/>
                <w:szCs w:val="28"/>
              </w:rPr>
              <w:t xml:space="preserve">1,573,244,000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Pr="00C52751" w:rsidRDefault="0040606A" w:rsidP="00C055EF">
            <w:pPr>
              <w:spacing w:line="322" w:lineRule="exact"/>
              <w:jc w:val="right"/>
              <w:rPr>
                <w:rFonts w:ascii="Times New Roman"/>
                <w:sz w:val="28"/>
                <w:szCs w:val="28"/>
              </w:rPr>
            </w:pPr>
            <w:r w:rsidRPr="00C52751">
              <w:rPr>
                <w:rFonts w:ascii="Times New Roman"/>
                <w:sz w:val="28"/>
                <w:szCs w:val="28"/>
              </w:rPr>
              <w:t>86.68</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104</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548,481,000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29.98</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105</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510,275,000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29.26</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106</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346,865,000</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sz w:val="28"/>
                <w:szCs w:val="28"/>
              </w:rPr>
            </w:pPr>
            <w:r>
              <w:rPr>
                <w:rFonts w:ascii="Times New Roman"/>
                <w:color w:val="000000"/>
                <w:sz w:val="28"/>
                <w:szCs w:val="28"/>
              </w:rPr>
              <w:t>20.28</w:t>
            </w:r>
          </w:p>
        </w:tc>
      </w:tr>
      <w:tr w:rsidR="0040606A" w:rsidTr="00C055EF">
        <w:tc>
          <w:tcPr>
            <w:tcW w:w="1289" w:type="dxa"/>
            <w:vMerge w:val="restart"/>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spacing w:line="320" w:lineRule="exact"/>
              <w:ind w:leftChars="-29" w:left="2" w:hangingChars="39" w:hanging="101"/>
              <w:jc w:val="center"/>
              <w:rPr>
                <w:rFonts w:ascii="Times New Roman"/>
                <w:color w:val="000000" w:themeColor="text1"/>
                <w:spacing w:val="-20"/>
                <w:sz w:val="28"/>
                <w:szCs w:val="28"/>
              </w:rPr>
            </w:pPr>
            <w:r w:rsidRPr="00C121DF">
              <w:rPr>
                <w:rFonts w:ascii="Times New Roman" w:hint="eastAsia"/>
                <w:color w:val="000000" w:themeColor="text1"/>
                <w:spacing w:val="-20"/>
                <w:sz w:val="28"/>
                <w:szCs w:val="28"/>
              </w:rPr>
              <w:t>宜蘭縣</w:t>
            </w:r>
          </w:p>
          <w:p w:rsidR="0040606A" w:rsidRPr="00C121DF" w:rsidRDefault="0040606A" w:rsidP="00C055EF">
            <w:pPr>
              <w:spacing w:line="320" w:lineRule="exact"/>
              <w:ind w:leftChars="-29" w:left="2" w:hangingChars="39" w:hanging="101"/>
              <w:jc w:val="center"/>
              <w:rPr>
                <w:rFonts w:ascii="Times New Roman"/>
                <w:color w:val="000000" w:themeColor="text1"/>
                <w:spacing w:val="-20"/>
                <w:sz w:val="28"/>
                <w:szCs w:val="28"/>
              </w:rPr>
            </w:pPr>
            <w:r w:rsidRPr="00C121DF">
              <w:rPr>
                <w:rFonts w:ascii="Times New Roman" w:hint="eastAsia"/>
                <w:color w:val="000000" w:themeColor="text1"/>
                <w:spacing w:val="-20"/>
                <w:sz w:val="28"/>
                <w:szCs w:val="28"/>
              </w:rPr>
              <w:t>(</w:t>
            </w:r>
            <w:r w:rsidRPr="00C121DF">
              <w:rPr>
                <w:rFonts w:ascii="Times New Roman" w:hint="eastAsia"/>
                <w:color w:val="000000" w:themeColor="text1"/>
                <w:spacing w:val="-20"/>
                <w:sz w:val="28"/>
                <w:szCs w:val="28"/>
              </w:rPr>
              <w:t>第</w:t>
            </w:r>
            <w:r w:rsidRPr="00C121DF">
              <w:rPr>
                <w:rFonts w:ascii="Times New Roman" w:hint="eastAsia"/>
                <w:color w:val="000000" w:themeColor="text1"/>
                <w:spacing w:val="-20"/>
                <w:sz w:val="28"/>
                <w:szCs w:val="28"/>
              </w:rPr>
              <w:t>4</w:t>
            </w:r>
            <w:r w:rsidRPr="00C121DF">
              <w:rPr>
                <w:rFonts w:ascii="Times New Roman" w:hint="eastAsia"/>
                <w:color w:val="000000" w:themeColor="text1"/>
                <w:spacing w:val="-20"/>
                <w:sz w:val="28"/>
                <w:szCs w:val="28"/>
              </w:rPr>
              <w:t>級</w:t>
            </w:r>
            <w:r w:rsidRPr="00C121DF">
              <w:rPr>
                <w:rFonts w:ascii="Times New Roman" w:hint="eastAsia"/>
                <w:color w:val="000000" w:themeColor="text1"/>
                <w:spacing w:val="-20"/>
                <w:sz w:val="28"/>
                <w:szCs w:val="28"/>
              </w:rPr>
              <w:t>)</w:t>
            </w: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101</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140,404,000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50.88</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102</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128,532,000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46.00</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103</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181,845,000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48.92</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104</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180,291,000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52.69</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105</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184,465,000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57.14</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106</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181,885,000</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sz w:val="28"/>
                <w:szCs w:val="28"/>
              </w:rPr>
            </w:pPr>
            <w:r>
              <w:rPr>
                <w:rFonts w:ascii="Times New Roman"/>
                <w:color w:val="000000"/>
                <w:sz w:val="28"/>
                <w:szCs w:val="28"/>
              </w:rPr>
              <w:t>47.66</w:t>
            </w:r>
          </w:p>
        </w:tc>
      </w:tr>
      <w:tr w:rsidR="0040606A" w:rsidTr="00C055EF">
        <w:tc>
          <w:tcPr>
            <w:tcW w:w="1289" w:type="dxa"/>
            <w:vMerge w:val="restart"/>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spacing w:line="320" w:lineRule="exact"/>
              <w:ind w:leftChars="-29" w:left="2" w:hangingChars="39" w:hanging="101"/>
              <w:jc w:val="center"/>
              <w:rPr>
                <w:rFonts w:ascii="Times New Roman"/>
                <w:color w:val="000000" w:themeColor="text1"/>
                <w:spacing w:val="-20"/>
                <w:sz w:val="28"/>
                <w:szCs w:val="28"/>
              </w:rPr>
            </w:pPr>
            <w:r w:rsidRPr="00C121DF">
              <w:rPr>
                <w:rFonts w:ascii="Times New Roman" w:hint="eastAsia"/>
                <w:color w:val="000000" w:themeColor="text1"/>
                <w:spacing w:val="-20"/>
                <w:sz w:val="28"/>
                <w:szCs w:val="28"/>
              </w:rPr>
              <w:t>新竹縣</w:t>
            </w:r>
          </w:p>
          <w:p w:rsidR="0040606A" w:rsidRPr="00C121DF" w:rsidRDefault="0040606A" w:rsidP="00C055EF">
            <w:pPr>
              <w:spacing w:line="320" w:lineRule="exact"/>
              <w:ind w:leftChars="-29" w:left="2" w:hangingChars="39" w:hanging="101"/>
              <w:jc w:val="center"/>
              <w:rPr>
                <w:rFonts w:ascii="Times New Roman"/>
                <w:color w:val="000000" w:themeColor="text1"/>
                <w:spacing w:val="-20"/>
                <w:sz w:val="28"/>
                <w:szCs w:val="28"/>
              </w:rPr>
            </w:pPr>
            <w:r w:rsidRPr="00C121DF">
              <w:rPr>
                <w:rFonts w:ascii="Times New Roman" w:hint="eastAsia"/>
                <w:color w:val="000000" w:themeColor="text1"/>
                <w:spacing w:val="-20"/>
                <w:sz w:val="28"/>
                <w:szCs w:val="28"/>
              </w:rPr>
              <w:t>(</w:t>
            </w:r>
            <w:r w:rsidRPr="00C121DF">
              <w:rPr>
                <w:rFonts w:ascii="Times New Roman" w:hint="eastAsia"/>
                <w:color w:val="000000" w:themeColor="text1"/>
                <w:spacing w:val="-20"/>
                <w:sz w:val="28"/>
                <w:szCs w:val="28"/>
              </w:rPr>
              <w:t>第</w:t>
            </w:r>
            <w:r w:rsidRPr="00C121DF">
              <w:rPr>
                <w:rFonts w:ascii="Times New Roman" w:hint="eastAsia"/>
                <w:color w:val="000000" w:themeColor="text1"/>
                <w:spacing w:val="-20"/>
                <w:sz w:val="28"/>
                <w:szCs w:val="28"/>
              </w:rPr>
              <w:t>3</w:t>
            </w:r>
            <w:r w:rsidRPr="00C121DF">
              <w:rPr>
                <w:rFonts w:ascii="Times New Roman" w:hint="eastAsia"/>
                <w:color w:val="000000" w:themeColor="text1"/>
                <w:spacing w:val="-20"/>
                <w:sz w:val="28"/>
                <w:szCs w:val="28"/>
              </w:rPr>
              <w:t>級</w:t>
            </w:r>
            <w:r w:rsidRPr="00C121DF">
              <w:rPr>
                <w:rFonts w:ascii="Times New Roman" w:hint="eastAsia"/>
                <w:color w:val="000000" w:themeColor="text1"/>
                <w:spacing w:val="-20"/>
                <w:sz w:val="28"/>
                <w:szCs w:val="28"/>
              </w:rPr>
              <w:t>)</w:t>
            </w: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101</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818,851,958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12.00</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102</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873,051,415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16.12</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103</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805,383,007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27.24</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104</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534,589,220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39.00</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105</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587,870,000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28.95</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106</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199,334,000</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sz w:val="28"/>
                <w:szCs w:val="28"/>
              </w:rPr>
            </w:pPr>
            <w:r>
              <w:rPr>
                <w:rFonts w:ascii="Times New Roman"/>
                <w:color w:val="000000"/>
                <w:sz w:val="28"/>
                <w:szCs w:val="28"/>
              </w:rPr>
              <w:t>49.68</w:t>
            </w:r>
          </w:p>
        </w:tc>
      </w:tr>
      <w:tr w:rsidR="0040606A" w:rsidTr="00C055EF">
        <w:tc>
          <w:tcPr>
            <w:tcW w:w="1289" w:type="dxa"/>
            <w:vMerge w:val="restart"/>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spacing w:line="320" w:lineRule="exact"/>
              <w:ind w:leftChars="-29" w:left="2" w:hangingChars="39" w:hanging="101"/>
              <w:jc w:val="center"/>
              <w:rPr>
                <w:rFonts w:ascii="Times New Roman"/>
                <w:color w:val="000000" w:themeColor="text1"/>
                <w:spacing w:val="-20"/>
                <w:sz w:val="28"/>
                <w:szCs w:val="28"/>
              </w:rPr>
            </w:pPr>
            <w:r w:rsidRPr="00C121DF">
              <w:rPr>
                <w:rFonts w:ascii="Times New Roman" w:hint="eastAsia"/>
                <w:color w:val="000000" w:themeColor="text1"/>
                <w:spacing w:val="-20"/>
                <w:sz w:val="28"/>
                <w:szCs w:val="28"/>
              </w:rPr>
              <w:t>苗栗縣</w:t>
            </w:r>
          </w:p>
          <w:p w:rsidR="0040606A" w:rsidRPr="00C121DF" w:rsidRDefault="0040606A" w:rsidP="00C055EF">
            <w:pPr>
              <w:spacing w:line="320" w:lineRule="exact"/>
              <w:ind w:leftChars="-29" w:left="2" w:hangingChars="39" w:hanging="101"/>
              <w:jc w:val="center"/>
              <w:rPr>
                <w:rFonts w:ascii="Times New Roman"/>
                <w:color w:val="000000" w:themeColor="text1"/>
                <w:spacing w:val="-20"/>
                <w:sz w:val="28"/>
                <w:szCs w:val="28"/>
              </w:rPr>
            </w:pPr>
            <w:r w:rsidRPr="00C121DF">
              <w:rPr>
                <w:rFonts w:ascii="Times New Roman" w:hint="eastAsia"/>
                <w:color w:val="000000" w:themeColor="text1"/>
                <w:spacing w:val="-20"/>
                <w:sz w:val="28"/>
                <w:szCs w:val="28"/>
              </w:rPr>
              <w:t>(</w:t>
            </w:r>
            <w:r w:rsidRPr="00C121DF">
              <w:rPr>
                <w:rFonts w:ascii="Times New Roman" w:hint="eastAsia"/>
                <w:color w:val="000000" w:themeColor="text1"/>
                <w:spacing w:val="-20"/>
                <w:sz w:val="28"/>
                <w:szCs w:val="28"/>
              </w:rPr>
              <w:t>第</w:t>
            </w:r>
            <w:r w:rsidRPr="00C121DF">
              <w:rPr>
                <w:rFonts w:ascii="Times New Roman" w:hint="eastAsia"/>
                <w:color w:val="000000" w:themeColor="text1"/>
                <w:spacing w:val="-20"/>
                <w:sz w:val="28"/>
                <w:szCs w:val="28"/>
              </w:rPr>
              <w:t>5</w:t>
            </w:r>
            <w:r w:rsidRPr="00C121DF">
              <w:rPr>
                <w:rFonts w:ascii="Times New Roman" w:hint="eastAsia"/>
                <w:color w:val="000000" w:themeColor="text1"/>
                <w:spacing w:val="-20"/>
                <w:sz w:val="28"/>
                <w:szCs w:val="28"/>
              </w:rPr>
              <w:t>級</w:t>
            </w:r>
            <w:r w:rsidRPr="00C121DF">
              <w:rPr>
                <w:rFonts w:ascii="Times New Roman" w:hint="eastAsia"/>
                <w:color w:val="000000" w:themeColor="text1"/>
                <w:spacing w:val="-20"/>
                <w:sz w:val="28"/>
                <w:szCs w:val="28"/>
              </w:rPr>
              <w:t>)</w:t>
            </w: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101</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0.00</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102</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177,000,000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29.00</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103</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223,278,000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49.34</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104</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223,278,000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47.21</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105</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411,289,000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64.98</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106</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391,092,000</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sz w:val="28"/>
                <w:szCs w:val="28"/>
              </w:rPr>
            </w:pPr>
            <w:r>
              <w:rPr>
                <w:rFonts w:ascii="Times New Roman"/>
                <w:color w:val="000000"/>
                <w:sz w:val="28"/>
                <w:szCs w:val="28"/>
              </w:rPr>
              <w:t>62.58</w:t>
            </w:r>
          </w:p>
        </w:tc>
      </w:tr>
      <w:tr w:rsidR="0040606A" w:rsidTr="00C055EF">
        <w:tc>
          <w:tcPr>
            <w:tcW w:w="1289" w:type="dxa"/>
            <w:vMerge w:val="restart"/>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spacing w:line="320" w:lineRule="exact"/>
              <w:ind w:leftChars="-29" w:left="2" w:hangingChars="39" w:hanging="101"/>
              <w:jc w:val="center"/>
              <w:rPr>
                <w:rFonts w:ascii="Times New Roman"/>
                <w:color w:val="000000" w:themeColor="text1"/>
                <w:spacing w:val="-20"/>
                <w:sz w:val="28"/>
                <w:szCs w:val="28"/>
              </w:rPr>
            </w:pPr>
            <w:r w:rsidRPr="00C121DF">
              <w:rPr>
                <w:rFonts w:ascii="Times New Roman" w:hint="eastAsia"/>
                <w:color w:val="000000" w:themeColor="text1"/>
                <w:spacing w:val="-20"/>
                <w:sz w:val="28"/>
                <w:szCs w:val="28"/>
              </w:rPr>
              <w:t>彰化縣</w:t>
            </w:r>
          </w:p>
          <w:p w:rsidR="0040606A" w:rsidRPr="00C121DF" w:rsidRDefault="0040606A" w:rsidP="00C055EF">
            <w:pPr>
              <w:spacing w:line="320" w:lineRule="exact"/>
              <w:ind w:leftChars="-29" w:left="2" w:hangingChars="39" w:hanging="101"/>
              <w:jc w:val="center"/>
              <w:rPr>
                <w:rFonts w:ascii="Times New Roman"/>
                <w:color w:val="000000" w:themeColor="text1"/>
                <w:spacing w:val="-20"/>
                <w:sz w:val="28"/>
                <w:szCs w:val="28"/>
              </w:rPr>
            </w:pPr>
            <w:r w:rsidRPr="00C121DF">
              <w:rPr>
                <w:rFonts w:ascii="Times New Roman" w:hint="eastAsia"/>
                <w:color w:val="000000" w:themeColor="text1"/>
                <w:spacing w:val="-20"/>
                <w:sz w:val="28"/>
                <w:szCs w:val="28"/>
              </w:rPr>
              <w:t>(</w:t>
            </w:r>
            <w:r w:rsidRPr="00C121DF">
              <w:rPr>
                <w:rFonts w:ascii="Times New Roman" w:hint="eastAsia"/>
                <w:color w:val="000000" w:themeColor="text1"/>
                <w:spacing w:val="-20"/>
                <w:sz w:val="28"/>
                <w:szCs w:val="28"/>
              </w:rPr>
              <w:t>第</w:t>
            </w:r>
            <w:r w:rsidRPr="00C121DF">
              <w:rPr>
                <w:rFonts w:ascii="Times New Roman" w:hint="eastAsia"/>
                <w:color w:val="000000" w:themeColor="text1"/>
                <w:spacing w:val="-20"/>
                <w:sz w:val="28"/>
                <w:szCs w:val="28"/>
              </w:rPr>
              <w:t>4</w:t>
            </w:r>
            <w:r w:rsidRPr="00C121DF">
              <w:rPr>
                <w:rFonts w:ascii="Times New Roman" w:hint="eastAsia"/>
                <w:color w:val="000000" w:themeColor="text1"/>
                <w:spacing w:val="-20"/>
                <w:sz w:val="28"/>
                <w:szCs w:val="28"/>
              </w:rPr>
              <w:t>級</w:t>
            </w:r>
            <w:r w:rsidRPr="00C121DF">
              <w:rPr>
                <w:rFonts w:ascii="Times New Roman" w:hint="eastAsia"/>
                <w:color w:val="000000" w:themeColor="text1"/>
                <w:spacing w:val="-20"/>
                <w:sz w:val="28"/>
                <w:szCs w:val="28"/>
              </w:rPr>
              <w:t>)</w:t>
            </w: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101</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122,039,000</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6.50</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102</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170,225,000</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8.93</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103</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131,070,000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16.76</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104</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10,160,000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2.65</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105</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96,461,000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13.84</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106</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85,821,000</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sz w:val="28"/>
                <w:szCs w:val="28"/>
              </w:rPr>
            </w:pPr>
            <w:r>
              <w:rPr>
                <w:rFonts w:ascii="Times New Roman"/>
                <w:color w:val="000000"/>
                <w:sz w:val="28"/>
                <w:szCs w:val="28"/>
              </w:rPr>
              <w:t>11.38</w:t>
            </w:r>
          </w:p>
        </w:tc>
      </w:tr>
      <w:tr w:rsidR="0040606A" w:rsidTr="00C055EF">
        <w:tc>
          <w:tcPr>
            <w:tcW w:w="1289" w:type="dxa"/>
            <w:vMerge w:val="restart"/>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spacing w:line="320" w:lineRule="exact"/>
              <w:ind w:leftChars="-29" w:left="2" w:hangingChars="39" w:hanging="101"/>
              <w:jc w:val="center"/>
              <w:rPr>
                <w:rFonts w:ascii="Times New Roman"/>
                <w:color w:val="000000" w:themeColor="text1"/>
                <w:spacing w:val="-20"/>
                <w:sz w:val="28"/>
                <w:szCs w:val="28"/>
              </w:rPr>
            </w:pPr>
            <w:r w:rsidRPr="00C121DF">
              <w:rPr>
                <w:rFonts w:ascii="Times New Roman" w:hint="eastAsia"/>
                <w:color w:val="000000" w:themeColor="text1"/>
                <w:spacing w:val="-20"/>
                <w:sz w:val="28"/>
                <w:szCs w:val="28"/>
              </w:rPr>
              <w:t>南投縣</w:t>
            </w:r>
          </w:p>
          <w:p w:rsidR="0040606A" w:rsidRPr="00C121DF" w:rsidRDefault="0040606A" w:rsidP="00C055EF">
            <w:pPr>
              <w:spacing w:line="320" w:lineRule="exact"/>
              <w:ind w:leftChars="-29" w:left="2" w:hangingChars="39" w:hanging="101"/>
              <w:jc w:val="center"/>
              <w:rPr>
                <w:rFonts w:ascii="Times New Roman"/>
                <w:color w:val="000000" w:themeColor="text1"/>
                <w:spacing w:val="-20"/>
                <w:sz w:val="28"/>
                <w:szCs w:val="28"/>
              </w:rPr>
            </w:pPr>
            <w:r w:rsidRPr="00C121DF">
              <w:rPr>
                <w:rFonts w:ascii="Times New Roman" w:hint="eastAsia"/>
                <w:color w:val="000000" w:themeColor="text1"/>
                <w:spacing w:val="-20"/>
                <w:sz w:val="28"/>
                <w:szCs w:val="28"/>
              </w:rPr>
              <w:t>(</w:t>
            </w:r>
            <w:r w:rsidRPr="00C121DF">
              <w:rPr>
                <w:rFonts w:ascii="Times New Roman" w:hint="eastAsia"/>
                <w:color w:val="000000" w:themeColor="text1"/>
                <w:spacing w:val="-20"/>
                <w:sz w:val="28"/>
                <w:szCs w:val="28"/>
              </w:rPr>
              <w:t>第</w:t>
            </w:r>
            <w:r w:rsidRPr="00C121DF">
              <w:rPr>
                <w:rFonts w:ascii="Times New Roman" w:hint="eastAsia"/>
                <w:color w:val="000000" w:themeColor="text1"/>
                <w:spacing w:val="-20"/>
                <w:sz w:val="28"/>
                <w:szCs w:val="28"/>
              </w:rPr>
              <w:t>4</w:t>
            </w:r>
            <w:r w:rsidRPr="00C121DF">
              <w:rPr>
                <w:rFonts w:ascii="Times New Roman" w:hint="eastAsia"/>
                <w:color w:val="000000" w:themeColor="text1"/>
                <w:spacing w:val="-20"/>
                <w:sz w:val="28"/>
                <w:szCs w:val="28"/>
              </w:rPr>
              <w:t>級</w:t>
            </w:r>
            <w:r w:rsidRPr="00C121DF">
              <w:rPr>
                <w:rFonts w:ascii="Times New Roman" w:hint="eastAsia"/>
                <w:color w:val="000000" w:themeColor="text1"/>
                <w:spacing w:val="-20"/>
                <w:sz w:val="28"/>
                <w:szCs w:val="28"/>
              </w:rPr>
              <w:t>)</w:t>
            </w: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101</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9,000,000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3.00</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102</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12,000,000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3.77</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103</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69,694,000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24.45</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104</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70,384,000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17.92</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105</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105,720,000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20.49</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106</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81,384,000</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sz w:val="28"/>
                <w:szCs w:val="28"/>
              </w:rPr>
            </w:pPr>
            <w:r>
              <w:rPr>
                <w:rFonts w:ascii="Times New Roman"/>
                <w:color w:val="000000"/>
                <w:sz w:val="28"/>
                <w:szCs w:val="28"/>
              </w:rPr>
              <w:t>13.94</w:t>
            </w:r>
          </w:p>
        </w:tc>
      </w:tr>
      <w:tr w:rsidR="0040606A" w:rsidTr="00C055EF">
        <w:tc>
          <w:tcPr>
            <w:tcW w:w="1289" w:type="dxa"/>
            <w:vMerge w:val="restart"/>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spacing w:line="320" w:lineRule="exact"/>
              <w:ind w:leftChars="-29" w:left="2" w:hangingChars="39" w:hanging="101"/>
              <w:jc w:val="center"/>
              <w:rPr>
                <w:rFonts w:ascii="Times New Roman"/>
                <w:color w:val="000000" w:themeColor="text1"/>
                <w:spacing w:val="-20"/>
                <w:sz w:val="28"/>
                <w:szCs w:val="28"/>
              </w:rPr>
            </w:pPr>
            <w:r w:rsidRPr="00C121DF">
              <w:rPr>
                <w:rFonts w:ascii="Times New Roman" w:hint="eastAsia"/>
                <w:color w:val="000000" w:themeColor="text1"/>
                <w:spacing w:val="-20"/>
                <w:sz w:val="28"/>
                <w:szCs w:val="28"/>
              </w:rPr>
              <w:t>雲林縣</w:t>
            </w:r>
          </w:p>
          <w:p w:rsidR="0040606A" w:rsidRPr="00C121DF" w:rsidRDefault="0040606A" w:rsidP="00C055EF">
            <w:pPr>
              <w:spacing w:line="320" w:lineRule="exact"/>
              <w:ind w:leftChars="-29" w:left="2" w:hangingChars="39" w:hanging="101"/>
              <w:jc w:val="center"/>
              <w:rPr>
                <w:rFonts w:ascii="Times New Roman"/>
                <w:color w:val="000000" w:themeColor="text1"/>
                <w:spacing w:val="-20"/>
                <w:sz w:val="28"/>
                <w:szCs w:val="28"/>
              </w:rPr>
            </w:pPr>
            <w:r w:rsidRPr="00C121DF">
              <w:rPr>
                <w:rFonts w:ascii="Times New Roman" w:hint="eastAsia"/>
                <w:color w:val="000000" w:themeColor="text1"/>
                <w:spacing w:val="-20"/>
                <w:sz w:val="28"/>
                <w:szCs w:val="28"/>
              </w:rPr>
              <w:t>(</w:t>
            </w:r>
            <w:r w:rsidRPr="00C121DF">
              <w:rPr>
                <w:rFonts w:ascii="Times New Roman" w:hint="eastAsia"/>
                <w:color w:val="000000" w:themeColor="text1"/>
                <w:spacing w:val="-20"/>
                <w:sz w:val="28"/>
                <w:szCs w:val="28"/>
              </w:rPr>
              <w:t>第</w:t>
            </w:r>
            <w:r w:rsidRPr="00C121DF">
              <w:rPr>
                <w:rFonts w:ascii="Times New Roman" w:hint="eastAsia"/>
                <w:color w:val="000000" w:themeColor="text1"/>
                <w:spacing w:val="-20"/>
                <w:sz w:val="28"/>
                <w:szCs w:val="28"/>
              </w:rPr>
              <w:t>4</w:t>
            </w:r>
            <w:r w:rsidRPr="00C121DF">
              <w:rPr>
                <w:rFonts w:ascii="Times New Roman" w:hint="eastAsia"/>
                <w:color w:val="000000" w:themeColor="text1"/>
                <w:spacing w:val="-20"/>
                <w:sz w:val="28"/>
                <w:szCs w:val="28"/>
              </w:rPr>
              <w:t>級</w:t>
            </w:r>
            <w:r w:rsidRPr="00C121DF">
              <w:rPr>
                <w:rFonts w:ascii="Times New Roman" w:hint="eastAsia"/>
                <w:color w:val="000000" w:themeColor="text1"/>
                <w:spacing w:val="-20"/>
                <w:sz w:val="28"/>
                <w:szCs w:val="28"/>
              </w:rPr>
              <w:t>)</w:t>
            </w: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101</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199,636,960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74.50</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102</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273,364,702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80.50</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103</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349,330,000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81.34</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104</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398,895,000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81.40</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105</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468,690,000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85.11</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106</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460,168,227</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sz w:val="28"/>
                <w:szCs w:val="28"/>
              </w:rPr>
            </w:pPr>
            <w:r>
              <w:rPr>
                <w:rFonts w:ascii="Times New Roman"/>
                <w:color w:val="000000"/>
                <w:sz w:val="28"/>
                <w:szCs w:val="28"/>
              </w:rPr>
              <w:t>85.55</w:t>
            </w:r>
          </w:p>
        </w:tc>
      </w:tr>
      <w:tr w:rsidR="0040606A" w:rsidTr="00C055EF">
        <w:tc>
          <w:tcPr>
            <w:tcW w:w="1289" w:type="dxa"/>
            <w:vMerge w:val="restart"/>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spacing w:line="320" w:lineRule="exact"/>
              <w:ind w:leftChars="-29" w:left="2" w:hangingChars="39" w:hanging="101"/>
              <w:jc w:val="center"/>
              <w:rPr>
                <w:rFonts w:ascii="Times New Roman"/>
                <w:color w:val="000000" w:themeColor="text1"/>
                <w:spacing w:val="-20"/>
                <w:sz w:val="28"/>
                <w:szCs w:val="28"/>
              </w:rPr>
            </w:pPr>
            <w:r w:rsidRPr="00C121DF">
              <w:rPr>
                <w:rFonts w:ascii="Times New Roman" w:hint="eastAsia"/>
                <w:color w:val="000000" w:themeColor="text1"/>
                <w:spacing w:val="-20"/>
                <w:sz w:val="28"/>
                <w:szCs w:val="28"/>
              </w:rPr>
              <w:t>嘉義縣</w:t>
            </w:r>
          </w:p>
          <w:p w:rsidR="0040606A" w:rsidRPr="00C121DF" w:rsidRDefault="0040606A" w:rsidP="00C055EF">
            <w:pPr>
              <w:spacing w:line="320" w:lineRule="exact"/>
              <w:ind w:leftChars="-29" w:left="2" w:hangingChars="39" w:hanging="101"/>
              <w:jc w:val="center"/>
              <w:rPr>
                <w:rFonts w:ascii="Times New Roman"/>
                <w:color w:val="000000" w:themeColor="text1"/>
                <w:spacing w:val="-20"/>
                <w:sz w:val="28"/>
                <w:szCs w:val="28"/>
              </w:rPr>
            </w:pPr>
            <w:r w:rsidRPr="00C121DF">
              <w:rPr>
                <w:rFonts w:ascii="Times New Roman" w:hint="eastAsia"/>
                <w:color w:val="000000" w:themeColor="text1"/>
                <w:spacing w:val="-20"/>
                <w:sz w:val="28"/>
                <w:szCs w:val="28"/>
              </w:rPr>
              <w:t>(</w:t>
            </w:r>
            <w:r w:rsidRPr="00C121DF">
              <w:rPr>
                <w:rFonts w:ascii="Times New Roman" w:hint="eastAsia"/>
                <w:color w:val="000000" w:themeColor="text1"/>
                <w:spacing w:val="-20"/>
                <w:sz w:val="28"/>
                <w:szCs w:val="28"/>
              </w:rPr>
              <w:t>第</w:t>
            </w:r>
            <w:r w:rsidRPr="00C121DF">
              <w:rPr>
                <w:rFonts w:ascii="Times New Roman" w:hint="eastAsia"/>
                <w:color w:val="000000" w:themeColor="text1"/>
                <w:spacing w:val="-20"/>
                <w:sz w:val="28"/>
                <w:szCs w:val="28"/>
              </w:rPr>
              <w:t>5</w:t>
            </w:r>
            <w:r w:rsidRPr="00C121DF">
              <w:rPr>
                <w:rFonts w:ascii="Times New Roman" w:hint="eastAsia"/>
                <w:color w:val="000000" w:themeColor="text1"/>
                <w:spacing w:val="-20"/>
                <w:sz w:val="28"/>
                <w:szCs w:val="28"/>
              </w:rPr>
              <w:t>級</w:t>
            </w:r>
            <w:r w:rsidRPr="00C121DF">
              <w:rPr>
                <w:rFonts w:ascii="Times New Roman" w:hint="eastAsia"/>
                <w:color w:val="000000" w:themeColor="text1"/>
                <w:spacing w:val="-20"/>
                <w:sz w:val="28"/>
                <w:szCs w:val="28"/>
              </w:rPr>
              <w:t>)</w:t>
            </w: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101</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180,131,000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69.00</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102</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156,467,000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65.00</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103</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108,547,000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30.98</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104</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202,961,000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51.81</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105</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271,852,000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72.28</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106</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234,613,000</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sz w:val="28"/>
                <w:szCs w:val="28"/>
              </w:rPr>
            </w:pPr>
            <w:r>
              <w:rPr>
                <w:rFonts w:ascii="Times New Roman"/>
                <w:color w:val="000000"/>
                <w:sz w:val="28"/>
                <w:szCs w:val="28"/>
              </w:rPr>
              <w:t>70.77</w:t>
            </w:r>
          </w:p>
        </w:tc>
      </w:tr>
      <w:tr w:rsidR="0040606A" w:rsidTr="00C055EF">
        <w:tc>
          <w:tcPr>
            <w:tcW w:w="1289" w:type="dxa"/>
            <w:vMerge w:val="restart"/>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spacing w:line="320" w:lineRule="exact"/>
              <w:ind w:leftChars="-29" w:left="2" w:hangingChars="39" w:hanging="101"/>
              <w:jc w:val="center"/>
              <w:rPr>
                <w:rFonts w:ascii="Times New Roman"/>
                <w:color w:val="000000" w:themeColor="text1"/>
                <w:spacing w:val="-20"/>
                <w:sz w:val="28"/>
                <w:szCs w:val="28"/>
              </w:rPr>
            </w:pPr>
            <w:r w:rsidRPr="00C121DF">
              <w:rPr>
                <w:rFonts w:ascii="Times New Roman" w:hint="eastAsia"/>
                <w:color w:val="000000" w:themeColor="text1"/>
                <w:spacing w:val="-20"/>
                <w:sz w:val="28"/>
                <w:szCs w:val="28"/>
              </w:rPr>
              <w:t>屏東縣</w:t>
            </w:r>
          </w:p>
          <w:p w:rsidR="0040606A" w:rsidRPr="00C121DF" w:rsidRDefault="0040606A" w:rsidP="00C055EF">
            <w:pPr>
              <w:spacing w:line="320" w:lineRule="exact"/>
              <w:ind w:leftChars="-29" w:left="2" w:hangingChars="39" w:hanging="101"/>
              <w:jc w:val="center"/>
              <w:rPr>
                <w:rFonts w:ascii="Times New Roman"/>
                <w:color w:val="000000" w:themeColor="text1"/>
                <w:spacing w:val="-20"/>
                <w:sz w:val="28"/>
                <w:szCs w:val="28"/>
              </w:rPr>
            </w:pPr>
            <w:r w:rsidRPr="00C121DF">
              <w:rPr>
                <w:rFonts w:ascii="Times New Roman" w:hint="eastAsia"/>
                <w:color w:val="000000" w:themeColor="text1"/>
                <w:spacing w:val="-20"/>
                <w:sz w:val="28"/>
                <w:szCs w:val="28"/>
              </w:rPr>
              <w:t>(</w:t>
            </w:r>
            <w:r w:rsidRPr="00C121DF">
              <w:rPr>
                <w:rFonts w:ascii="Times New Roman" w:hint="eastAsia"/>
                <w:color w:val="000000" w:themeColor="text1"/>
                <w:spacing w:val="-20"/>
                <w:sz w:val="28"/>
                <w:szCs w:val="28"/>
              </w:rPr>
              <w:t>第</w:t>
            </w:r>
            <w:r w:rsidRPr="00C121DF">
              <w:rPr>
                <w:rFonts w:ascii="Times New Roman" w:hint="eastAsia"/>
                <w:color w:val="000000" w:themeColor="text1"/>
                <w:spacing w:val="-20"/>
                <w:sz w:val="28"/>
                <w:szCs w:val="28"/>
              </w:rPr>
              <w:t>5</w:t>
            </w:r>
            <w:r w:rsidRPr="00C121DF">
              <w:rPr>
                <w:rFonts w:ascii="Times New Roman" w:hint="eastAsia"/>
                <w:color w:val="000000" w:themeColor="text1"/>
                <w:spacing w:val="-20"/>
                <w:sz w:val="28"/>
                <w:szCs w:val="28"/>
              </w:rPr>
              <w:t>級</w:t>
            </w:r>
            <w:r w:rsidRPr="00C121DF">
              <w:rPr>
                <w:rFonts w:ascii="Times New Roman" w:hint="eastAsia"/>
                <w:color w:val="000000" w:themeColor="text1"/>
                <w:spacing w:val="-20"/>
                <w:sz w:val="28"/>
                <w:szCs w:val="28"/>
              </w:rPr>
              <w:t>)</w:t>
            </w: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101</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95,360,000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32.00</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102</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51,900,000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16.74</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103</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67,000,000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14.89</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104</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138,269,000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24.69</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105</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232,656,000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34.72</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106</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222,649,000</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sz w:val="28"/>
                <w:szCs w:val="28"/>
              </w:rPr>
            </w:pPr>
            <w:r>
              <w:rPr>
                <w:rFonts w:ascii="Times New Roman"/>
                <w:color w:val="000000"/>
                <w:sz w:val="28"/>
                <w:szCs w:val="28"/>
              </w:rPr>
              <w:t>34.90</w:t>
            </w:r>
          </w:p>
        </w:tc>
      </w:tr>
      <w:tr w:rsidR="0040606A" w:rsidTr="00C055EF">
        <w:tc>
          <w:tcPr>
            <w:tcW w:w="1289" w:type="dxa"/>
            <w:vMerge w:val="restart"/>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spacing w:line="320" w:lineRule="exact"/>
              <w:ind w:leftChars="-29" w:left="2" w:hangingChars="39" w:hanging="101"/>
              <w:jc w:val="center"/>
              <w:rPr>
                <w:rFonts w:ascii="Times New Roman"/>
                <w:color w:val="000000" w:themeColor="text1"/>
                <w:spacing w:val="-20"/>
                <w:sz w:val="28"/>
                <w:szCs w:val="28"/>
              </w:rPr>
            </w:pPr>
            <w:r w:rsidRPr="00C121DF">
              <w:rPr>
                <w:rFonts w:ascii="Times New Roman" w:hint="eastAsia"/>
                <w:color w:val="000000" w:themeColor="text1"/>
                <w:spacing w:val="-20"/>
                <w:sz w:val="28"/>
                <w:szCs w:val="28"/>
              </w:rPr>
              <w:t>花蓮縣</w:t>
            </w:r>
          </w:p>
          <w:p w:rsidR="0040606A" w:rsidRPr="00C121DF" w:rsidRDefault="0040606A" w:rsidP="00C055EF">
            <w:pPr>
              <w:spacing w:line="300" w:lineRule="exact"/>
              <w:ind w:leftChars="1" w:left="6" w:hangingChars="1" w:hanging="3"/>
              <w:rPr>
                <w:rFonts w:ascii="Times New Roman"/>
                <w:color w:val="000000" w:themeColor="text1"/>
                <w:spacing w:val="-8"/>
                <w:sz w:val="26"/>
                <w:szCs w:val="26"/>
              </w:rPr>
            </w:pPr>
            <w:r w:rsidRPr="00C121DF">
              <w:rPr>
                <w:rFonts w:ascii="Times New Roman" w:hint="eastAsia"/>
                <w:color w:val="000000" w:themeColor="text1"/>
                <w:spacing w:val="-8"/>
                <w:sz w:val="26"/>
                <w:szCs w:val="26"/>
              </w:rPr>
              <w:t>(</w:t>
            </w:r>
            <w:r w:rsidRPr="00C121DF">
              <w:rPr>
                <w:rFonts w:ascii="Times New Roman" w:hint="eastAsia"/>
                <w:color w:val="000000" w:themeColor="text1"/>
                <w:spacing w:val="-8"/>
                <w:sz w:val="26"/>
                <w:szCs w:val="26"/>
              </w:rPr>
              <w:t>原為第</w:t>
            </w:r>
            <w:r w:rsidRPr="00C121DF">
              <w:rPr>
                <w:rFonts w:ascii="Times New Roman" w:hint="eastAsia"/>
                <w:color w:val="000000" w:themeColor="text1"/>
                <w:spacing w:val="-8"/>
                <w:sz w:val="26"/>
                <w:szCs w:val="26"/>
              </w:rPr>
              <w:t>4</w:t>
            </w:r>
            <w:r w:rsidRPr="00C121DF">
              <w:rPr>
                <w:rFonts w:ascii="Times New Roman" w:hint="eastAsia"/>
                <w:color w:val="000000" w:themeColor="text1"/>
                <w:spacing w:val="-8"/>
                <w:sz w:val="26"/>
                <w:szCs w:val="26"/>
              </w:rPr>
              <w:t>級，</w:t>
            </w:r>
            <w:r w:rsidRPr="00C121DF">
              <w:rPr>
                <w:rFonts w:ascii="Times New Roman" w:hint="eastAsia"/>
                <w:color w:val="000000" w:themeColor="text1"/>
                <w:spacing w:val="-8"/>
                <w:sz w:val="26"/>
                <w:szCs w:val="26"/>
              </w:rPr>
              <w:t>106</w:t>
            </w:r>
            <w:r w:rsidRPr="00C121DF">
              <w:rPr>
                <w:rFonts w:ascii="Times New Roman" w:hint="eastAsia"/>
                <w:color w:val="000000" w:themeColor="text1"/>
                <w:spacing w:val="-8"/>
                <w:sz w:val="26"/>
                <w:szCs w:val="26"/>
              </w:rPr>
              <w:t>年調整為第</w:t>
            </w:r>
            <w:r w:rsidRPr="00C121DF">
              <w:rPr>
                <w:rFonts w:ascii="Times New Roman" w:hint="eastAsia"/>
                <w:color w:val="000000" w:themeColor="text1"/>
                <w:spacing w:val="-8"/>
                <w:sz w:val="26"/>
                <w:szCs w:val="26"/>
              </w:rPr>
              <w:t>5</w:t>
            </w:r>
            <w:r w:rsidRPr="00C121DF">
              <w:rPr>
                <w:rFonts w:ascii="Times New Roman" w:hint="eastAsia"/>
                <w:color w:val="000000" w:themeColor="text1"/>
                <w:spacing w:val="-8"/>
                <w:sz w:val="26"/>
                <w:szCs w:val="26"/>
              </w:rPr>
              <w:t>級</w:t>
            </w:r>
            <w:r w:rsidRPr="00C121DF">
              <w:rPr>
                <w:rFonts w:ascii="Times New Roman" w:hint="eastAsia"/>
                <w:color w:val="000000" w:themeColor="text1"/>
                <w:spacing w:val="-8"/>
                <w:sz w:val="26"/>
                <w:szCs w:val="26"/>
              </w:rPr>
              <w:t>)</w:t>
            </w: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101</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30,721,000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15.44</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102</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31,821,000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16.00</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103</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44,319,000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17.05</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104</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44,797,000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17.50</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105</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332,340,000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61.28</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106</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314,572,000</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sz w:val="28"/>
                <w:szCs w:val="28"/>
              </w:rPr>
            </w:pPr>
            <w:r>
              <w:rPr>
                <w:rFonts w:ascii="Times New Roman"/>
                <w:color w:val="000000"/>
                <w:sz w:val="28"/>
                <w:szCs w:val="28"/>
              </w:rPr>
              <w:t>58.22</w:t>
            </w:r>
          </w:p>
        </w:tc>
      </w:tr>
      <w:tr w:rsidR="0040606A" w:rsidTr="00C055EF">
        <w:tc>
          <w:tcPr>
            <w:tcW w:w="1289" w:type="dxa"/>
            <w:vMerge w:val="restart"/>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spacing w:line="320" w:lineRule="exact"/>
              <w:ind w:leftChars="-29" w:left="2" w:hangingChars="39" w:hanging="101"/>
              <w:jc w:val="center"/>
              <w:rPr>
                <w:rFonts w:ascii="Times New Roman"/>
                <w:color w:val="000000" w:themeColor="text1"/>
                <w:spacing w:val="-20"/>
                <w:sz w:val="28"/>
                <w:szCs w:val="28"/>
              </w:rPr>
            </w:pPr>
            <w:r w:rsidRPr="00C121DF">
              <w:rPr>
                <w:rFonts w:ascii="Times New Roman" w:hint="eastAsia"/>
                <w:color w:val="000000" w:themeColor="text1"/>
                <w:spacing w:val="-20"/>
                <w:sz w:val="28"/>
                <w:szCs w:val="28"/>
              </w:rPr>
              <w:t>臺東縣</w:t>
            </w:r>
          </w:p>
          <w:p w:rsidR="0040606A" w:rsidRPr="00C121DF" w:rsidRDefault="0040606A" w:rsidP="00C055EF">
            <w:pPr>
              <w:spacing w:line="320" w:lineRule="exact"/>
              <w:ind w:leftChars="-29" w:left="2" w:hangingChars="39" w:hanging="101"/>
              <w:jc w:val="center"/>
              <w:rPr>
                <w:rFonts w:ascii="Times New Roman"/>
                <w:color w:val="000000" w:themeColor="text1"/>
                <w:spacing w:val="-20"/>
                <w:sz w:val="28"/>
                <w:szCs w:val="28"/>
              </w:rPr>
            </w:pPr>
            <w:r w:rsidRPr="00C121DF">
              <w:rPr>
                <w:rFonts w:ascii="Times New Roman" w:hint="eastAsia"/>
                <w:color w:val="000000" w:themeColor="text1"/>
                <w:spacing w:val="-20"/>
                <w:sz w:val="28"/>
                <w:szCs w:val="28"/>
              </w:rPr>
              <w:t>(</w:t>
            </w:r>
            <w:r w:rsidRPr="00C121DF">
              <w:rPr>
                <w:rFonts w:ascii="Times New Roman" w:hint="eastAsia"/>
                <w:color w:val="000000" w:themeColor="text1"/>
                <w:spacing w:val="-20"/>
                <w:sz w:val="28"/>
                <w:szCs w:val="28"/>
              </w:rPr>
              <w:t>第</w:t>
            </w:r>
            <w:r w:rsidRPr="00C121DF">
              <w:rPr>
                <w:rFonts w:ascii="Times New Roman" w:hint="eastAsia"/>
                <w:color w:val="000000" w:themeColor="text1"/>
                <w:spacing w:val="-20"/>
                <w:sz w:val="28"/>
                <w:szCs w:val="28"/>
              </w:rPr>
              <w:t>5</w:t>
            </w:r>
            <w:r w:rsidRPr="00C121DF">
              <w:rPr>
                <w:rFonts w:ascii="Times New Roman" w:hint="eastAsia"/>
                <w:color w:val="000000" w:themeColor="text1"/>
                <w:spacing w:val="-20"/>
                <w:sz w:val="28"/>
                <w:szCs w:val="28"/>
              </w:rPr>
              <w:t>級</w:t>
            </w:r>
            <w:r w:rsidRPr="00C121DF">
              <w:rPr>
                <w:rFonts w:ascii="Times New Roman" w:hint="eastAsia"/>
                <w:color w:val="000000" w:themeColor="text1"/>
                <w:spacing w:val="-20"/>
                <w:sz w:val="28"/>
                <w:szCs w:val="28"/>
              </w:rPr>
              <w:t>)</w:t>
            </w: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101</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1,061,804,000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10.57</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102</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1,162,314,000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10.72</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103</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1,044,460,000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19.53</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104</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1,012,650,000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25.66</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105</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1,038,329,000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26.59</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106</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71,092,000</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sz w:val="28"/>
                <w:szCs w:val="28"/>
              </w:rPr>
            </w:pPr>
            <w:r>
              <w:rPr>
                <w:rFonts w:ascii="Times New Roman"/>
                <w:color w:val="000000"/>
                <w:sz w:val="28"/>
                <w:szCs w:val="28"/>
              </w:rPr>
              <w:t>22.85</w:t>
            </w:r>
          </w:p>
        </w:tc>
      </w:tr>
      <w:tr w:rsidR="0040606A" w:rsidTr="00C055EF">
        <w:tc>
          <w:tcPr>
            <w:tcW w:w="1289" w:type="dxa"/>
            <w:vMerge w:val="restart"/>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spacing w:line="320" w:lineRule="exact"/>
              <w:ind w:leftChars="-29" w:left="2" w:hangingChars="39" w:hanging="101"/>
              <w:jc w:val="center"/>
              <w:rPr>
                <w:rFonts w:ascii="Times New Roman"/>
                <w:color w:val="000000" w:themeColor="text1"/>
                <w:spacing w:val="-20"/>
                <w:sz w:val="28"/>
                <w:szCs w:val="28"/>
              </w:rPr>
            </w:pPr>
            <w:r w:rsidRPr="00C121DF">
              <w:rPr>
                <w:rFonts w:ascii="Times New Roman" w:hint="eastAsia"/>
                <w:color w:val="000000" w:themeColor="text1"/>
                <w:spacing w:val="-20"/>
                <w:sz w:val="28"/>
                <w:szCs w:val="28"/>
              </w:rPr>
              <w:t>澎湖縣</w:t>
            </w:r>
          </w:p>
          <w:p w:rsidR="0040606A" w:rsidRPr="00C121DF" w:rsidRDefault="0040606A" w:rsidP="00C055EF">
            <w:pPr>
              <w:spacing w:line="320" w:lineRule="exact"/>
              <w:ind w:leftChars="-29" w:left="2" w:hangingChars="39" w:hanging="101"/>
              <w:jc w:val="center"/>
              <w:rPr>
                <w:rFonts w:ascii="Times New Roman"/>
                <w:color w:val="000000" w:themeColor="text1"/>
                <w:spacing w:val="-20"/>
                <w:sz w:val="28"/>
                <w:szCs w:val="28"/>
              </w:rPr>
            </w:pPr>
            <w:r w:rsidRPr="00C121DF">
              <w:rPr>
                <w:rFonts w:ascii="Times New Roman" w:hint="eastAsia"/>
                <w:color w:val="000000" w:themeColor="text1"/>
                <w:spacing w:val="-20"/>
                <w:sz w:val="28"/>
                <w:szCs w:val="28"/>
              </w:rPr>
              <w:t>(</w:t>
            </w:r>
            <w:r w:rsidRPr="00C121DF">
              <w:rPr>
                <w:rFonts w:ascii="Times New Roman" w:hint="eastAsia"/>
                <w:color w:val="000000" w:themeColor="text1"/>
                <w:spacing w:val="-20"/>
                <w:sz w:val="28"/>
                <w:szCs w:val="28"/>
              </w:rPr>
              <w:t>第</w:t>
            </w:r>
            <w:r w:rsidRPr="00C121DF">
              <w:rPr>
                <w:rFonts w:ascii="Times New Roman" w:hint="eastAsia"/>
                <w:color w:val="000000" w:themeColor="text1"/>
                <w:spacing w:val="-20"/>
                <w:sz w:val="28"/>
                <w:szCs w:val="28"/>
              </w:rPr>
              <w:t>5</w:t>
            </w:r>
            <w:r w:rsidRPr="00C121DF">
              <w:rPr>
                <w:rFonts w:ascii="Times New Roman" w:hint="eastAsia"/>
                <w:color w:val="000000" w:themeColor="text1"/>
                <w:spacing w:val="-20"/>
                <w:sz w:val="28"/>
                <w:szCs w:val="28"/>
              </w:rPr>
              <w:t>級</w:t>
            </w:r>
            <w:r w:rsidRPr="00C121DF">
              <w:rPr>
                <w:rFonts w:ascii="Times New Roman" w:hint="eastAsia"/>
                <w:color w:val="000000" w:themeColor="text1"/>
                <w:spacing w:val="-20"/>
                <w:sz w:val="28"/>
                <w:szCs w:val="28"/>
              </w:rPr>
              <w:t>)</w:t>
            </w: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101</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0.00</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102</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0.00</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103</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50,000,000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40.27</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104</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82,500,000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51.31</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105</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112,932,000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47.60</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106</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105,285,000</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sz w:val="28"/>
                <w:szCs w:val="28"/>
              </w:rPr>
            </w:pPr>
            <w:r>
              <w:rPr>
                <w:rFonts w:ascii="Times New Roman"/>
                <w:color w:val="000000"/>
                <w:sz w:val="28"/>
                <w:szCs w:val="28"/>
              </w:rPr>
              <w:t>52.16</w:t>
            </w:r>
          </w:p>
        </w:tc>
      </w:tr>
      <w:tr w:rsidR="0040606A" w:rsidTr="00C055EF">
        <w:tc>
          <w:tcPr>
            <w:tcW w:w="1289" w:type="dxa"/>
            <w:vMerge w:val="restart"/>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spacing w:line="320" w:lineRule="exact"/>
              <w:ind w:leftChars="-29" w:left="2" w:hangingChars="39" w:hanging="101"/>
              <w:jc w:val="center"/>
              <w:rPr>
                <w:rFonts w:ascii="Times New Roman"/>
                <w:color w:val="000000" w:themeColor="text1"/>
                <w:spacing w:val="-20"/>
                <w:sz w:val="28"/>
                <w:szCs w:val="28"/>
              </w:rPr>
            </w:pPr>
            <w:r w:rsidRPr="00C121DF">
              <w:rPr>
                <w:rFonts w:ascii="Times New Roman" w:hint="eastAsia"/>
                <w:color w:val="000000" w:themeColor="text1"/>
                <w:spacing w:val="-20"/>
                <w:sz w:val="28"/>
                <w:szCs w:val="28"/>
              </w:rPr>
              <w:t>基隆市</w:t>
            </w:r>
          </w:p>
          <w:p w:rsidR="0040606A" w:rsidRPr="00C121DF" w:rsidRDefault="0040606A" w:rsidP="00C055EF">
            <w:pPr>
              <w:spacing w:line="320" w:lineRule="exact"/>
              <w:ind w:leftChars="-29" w:left="2" w:hangingChars="39" w:hanging="101"/>
              <w:jc w:val="center"/>
              <w:rPr>
                <w:rFonts w:ascii="Times New Roman"/>
                <w:color w:val="000000" w:themeColor="text1"/>
                <w:spacing w:val="-20"/>
                <w:sz w:val="28"/>
                <w:szCs w:val="28"/>
              </w:rPr>
            </w:pPr>
            <w:r w:rsidRPr="00C121DF">
              <w:rPr>
                <w:rFonts w:ascii="Times New Roman" w:hint="eastAsia"/>
                <w:color w:val="000000" w:themeColor="text1"/>
                <w:spacing w:val="-20"/>
                <w:sz w:val="28"/>
                <w:szCs w:val="28"/>
              </w:rPr>
              <w:t>(</w:t>
            </w:r>
            <w:r w:rsidRPr="00C121DF">
              <w:rPr>
                <w:rFonts w:ascii="Times New Roman" w:hint="eastAsia"/>
                <w:color w:val="000000" w:themeColor="text1"/>
                <w:spacing w:val="-20"/>
                <w:sz w:val="28"/>
                <w:szCs w:val="28"/>
              </w:rPr>
              <w:t>第</w:t>
            </w:r>
            <w:r w:rsidRPr="00C121DF">
              <w:rPr>
                <w:rFonts w:ascii="Times New Roman" w:hint="eastAsia"/>
                <w:color w:val="000000" w:themeColor="text1"/>
                <w:spacing w:val="-20"/>
                <w:sz w:val="28"/>
                <w:szCs w:val="28"/>
              </w:rPr>
              <w:t>3</w:t>
            </w:r>
            <w:r w:rsidRPr="00C121DF">
              <w:rPr>
                <w:rFonts w:ascii="Times New Roman" w:hint="eastAsia"/>
                <w:color w:val="000000" w:themeColor="text1"/>
                <w:spacing w:val="-20"/>
                <w:sz w:val="28"/>
                <w:szCs w:val="28"/>
              </w:rPr>
              <w:t>級</w:t>
            </w:r>
            <w:r w:rsidRPr="00C121DF">
              <w:rPr>
                <w:rFonts w:ascii="Times New Roman" w:hint="eastAsia"/>
                <w:color w:val="000000" w:themeColor="text1"/>
                <w:spacing w:val="-20"/>
                <w:sz w:val="28"/>
                <w:szCs w:val="28"/>
              </w:rPr>
              <w:t>)</w:t>
            </w: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101</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0.00</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102</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0.00</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22"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103</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176,687,488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22" w:lineRule="exact"/>
              <w:jc w:val="right"/>
              <w:rPr>
                <w:rFonts w:ascii="Times New Roman"/>
                <w:color w:val="000000" w:themeColor="text1"/>
                <w:sz w:val="28"/>
                <w:szCs w:val="28"/>
              </w:rPr>
            </w:pPr>
            <w:r>
              <w:rPr>
                <w:rFonts w:ascii="Times New Roman"/>
                <w:color w:val="000000" w:themeColor="text1"/>
                <w:sz w:val="28"/>
                <w:szCs w:val="28"/>
              </w:rPr>
              <w:t>40.44</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104</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175,529,000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39.66</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105</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198,484,000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38.52</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106</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121,234,942</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sz w:val="28"/>
                <w:szCs w:val="28"/>
              </w:rPr>
            </w:pPr>
            <w:r>
              <w:rPr>
                <w:rFonts w:ascii="Times New Roman"/>
                <w:color w:val="000000"/>
                <w:sz w:val="28"/>
                <w:szCs w:val="28"/>
              </w:rPr>
              <w:t>28.53</w:t>
            </w:r>
          </w:p>
        </w:tc>
      </w:tr>
      <w:tr w:rsidR="0040606A" w:rsidTr="00C055EF">
        <w:tc>
          <w:tcPr>
            <w:tcW w:w="1289" w:type="dxa"/>
            <w:vMerge w:val="restart"/>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spacing w:line="320" w:lineRule="exact"/>
              <w:ind w:leftChars="-29" w:left="2" w:hangingChars="39" w:hanging="101"/>
              <w:jc w:val="center"/>
              <w:rPr>
                <w:rFonts w:ascii="Times New Roman"/>
                <w:color w:val="000000" w:themeColor="text1"/>
                <w:spacing w:val="-20"/>
                <w:sz w:val="28"/>
                <w:szCs w:val="28"/>
              </w:rPr>
            </w:pPr>
            <w:r w:rsidRPr="00C121DF">
              <w:rPr>
                <w:rFonts w:ascii="Times New Roman" w:hint="eastAsia"/>
                <w:color w:val="000000" w:themeColor="text1"/>
                <w:spacing w:val="-20"/>
                <w:sz w:val="28"/>
                <w:szCs w:val="28"/>
              </w:rPr>
              <w:t>新竹市</w:t>
            </w:r>
          </w:p>
          <w:p w:rsidR="0040606A" w:rsidRPr="00C121DF" w:rsidRDefault="0040606A" w:rsidP="00C055EF">
            <w:pPr>
              <w:spacing w:line="300" w:lineRule="exact"/>
              <w:ind w:leftChars="1" w:left="6" w:hangingChars="1" w:hanging="3"/>
              <w:rPr>
                <w:rFonts w:ascii="Times New Roman"/>
                <w:color w:val="000000" w:themeColor="text1"/>
                <w:spacing w:val="-12"/>
                <w:sz w:val="26"/>
                <w:szCs w:val="26"/>
              </w:rPr>
            </w:pPr>
            <w:r w:rsidRPr="00C121DF">
              <w:rPr>
                <w:rFonts w:ascii="Times New Roman" w:hint="eastAsia"/>
                <w:color w:val="000000" w:themeColor="text1"/>
                <w:spacing w:val="-12"/>
                <w:sz w:val="26"/>
                <w:szCs w:val="26"/>
              </w:rPr>
              <w:t>(</w:t>
            </w:r>
            <w:r w:rsidRPr="00C121DF">
              <w:rPr>
                <w:rFonts w:ascii="Times New Roman" w:hint="eastAsia"/>
                <w:color w:val="000000" w:themeColor="text1"/>
                <w:spacing w:val="-12"/>
                <w:sz w:val="26"/>
                <w:szCs w:val="26"/>
              </w:rPr>
              <w:t>原為第</w:t>
            </w:r>
            <w:r w:rsidRPr="00C121DF">
              <w:rPr>
                <w:rFonts w:ascii="Times New Roman" w:hint="eastAsia"/>
                <w:color w:val="000000" w:themeColor="text1"/>
                <w:spacing w:val="-12"/>
                <w:sz w:val="26"/>
                <w:szCs w:val="26"/>
              </w:rPr>
              <w:t>2</w:t>
            </w:r>
            <w:r w:rsidRPr="00C121DF">
              <w:rPr>
                <w:rFonts w:ascii="Times New Roman" w:hint="eastAsia"/>
                <w:color w:val="000000" w:themeColor="text1"/>
                <w:spacing w:val="-12"/>
                <w:sz w:val="26"/>
                <w:szCs w:val="26"/>
              </w:rPr>
              <w:t>級；</w:t>
            </w:r>
            <w:r w:rsidRPr="00C121DF">
              <w:rPr>
                <w:rFonts w:ascii="Times New Roman" w:hint="eastAsia"/>
                <w:color w:val="000000" w:themeColor="text1"/>
                <w:spacing w:val="-12"/>
                <w:sz w:val="26"/>
                <w:szCs w:val="26"/>
              </w:rPr>
              <w:t>106</w:t>
            </w:r>
            <w:r w:rsidRPr="00C121DF">
              <w:rPr>
                <w:rFonts w:ascii="Times New Roman" w:hint="eastAsia"/>
                <w:color w:val="000000" w:themeColor="text1"/>
                <w:spacing w:val="-12"/>
                <w:sz w:val="26"/>
                <w:szCs w:val="26"/>
              </w:rPr>
              <w:t>年調整為第</w:t>
            </w:r>
            <w:r w:rsidRPr="00C121DF">
              <w:rPr>
                <w:rFonts w:ascii="Times New Roman" w:hint="eastAsia"/>
                <w:color w:val="000000" w:themeColor="text1"/>
                <w:spacing w:val="-12"/>
                <w:sz w:val="26"/>
                <w:szCs w:val="26"/>
              </w:rPr>
              <w:t>3</w:t>
            </w:r>
            <w:r w:rsidRPr="00C121DF">
              <w:rPr>
                <w:rFonts w:ascii="Times New Roman" w:hint="eastAsia"/>
                <w:color w:val="000000" w:themeColor="text1"/>
                <w:spacing w:val="-12"/>
                <w:sz w:val="26"/>
                <w:szCs w:val="26"/>
              </w:rPr>
              <w:t>級</w:t>
            </w:r>
            <w:r w:rsidRPr="00C121DF">
              <w:rPr>
                <w:rFonts w:ascii="Times New Roman" w:hint="eastAsia"/>
                <w:color w:val="000000" w:themeColor="text1"/>
                <w:spacing w:val="-12"/>
                <w:sz w:val="26"/>
                <w:szCs w:val="26"/>
              </w:rPr>
              <w:t>)</w:t>
            </w: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101</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27,500,000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5.84</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102</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48,707,000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9.69</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103</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171,893,000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39.06</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104</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181,700,000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37.47</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105</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205,272,000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38.43</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106</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140,200,000</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sz w:val="28"/>
                <w:szCs w:val="28"/>
              </w:rPr>
            </w:pPr>
            <w:r>
              <w:rPr>
                <w:rFonts w:ascii="Times New Roman"/>
                <w:color w:val="000000"/>
                <w:sz w:val="28"/>
                <w:szCs w:val="28"/>
              </w:rPr>
              <w:t>31.80</w:t>
            </w:r>
          </w:p>
        </w:tc>
      </w:tr>
      <w:tr w:rsidR="0040606A" w:rsidTr="00C055EF">
        <w:tc>
          <w:tcPr>
            <w:tcW w:w="1289" w:type="dxa"/>
            <w:vMerge w:val="restart"/>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spacing w:line="320" w:lineRule="exact"/>
              <w:ind w:leftChars="-29" w:left="2" w:hangingChars="39" w:hanging="101"/>
              <w:jc w:val="center"/>
              <w:rPr>
                <w:rFonts w:ascii="Times New Roman"/>
                <w:color w:val="000000" w:themeColor="text1"/>
                <w:spacing w:val="-20"/>
                <w:sz w:val="28"/>
                <w:szCs w:val="28"/>
              </w:rPr>
            </w:pPr>
            <w:r w:rsidRPr="00C121DF">
              <w:rPr>
                <w:rFonts w:ascii="Times New Roman" w:hint="eastAsia"/>
                <w:color w:val="000000" w:themeColor="text1"/>
                <w:spacing w:val="-20"/>
                <w:sz w:val="28"/>
                <w:szCs w:val="28"/>
              </w:rPr>
              <w:t>嘉義市</w:t>
            </w:r>
          </w:p>
          <w:p w:rsidR="0040606A" w:rsidRPr="00C121DF" w:rsidRDefault="0040606A" w:rsidP="00C055EF">
            <w:pPr>
              <w:spacing w:line="320" w:lineRule="exact"/>
              <w:ind w:leftChars="-29" w:left="2" w:hangingChars="39" w:hanging="101"/>
              <w:jc w:val="center"/>
              <w:rPr>
                <w:rFonts w:ascii="Times New Roman"/>
                <w:color w:val="000000" w:themeColor="text1"/>
                <w:spacing w:val="-20"/>
                <w:sz w:val="28"/>
                <w:szCs w:val="28"/>
              </w:rPr>
            </w:pPr>
            <w:r w:rsidRPr="00C121DF">
              <w:rPr>
                <w:rFonts w:ascii="Times New Roman" w:hint="eastAsia"/>
                <w:color w:val="000000" w:themeColor="text1"/>
                <w:spacing w:val="-20"/>
                <w:sz w:val="28"/>
                <w:szCs w:val="28"/>
              </w:rPr>
              <w:t>(</w:t>
            </w:r>
            <w:r w:rsidRPr="00C121DF">
              <w:rPr>
                <w:rFonts w:ascii="Times New Roman" w:hint="eastAsia"/>
                <w:color w:val="000000" w:themeColor="text1"/>
                <w:spacing w:val="-20"/>
                <w:sz w:val="28"/>
                <w:szCs w:val="28"/>
              </w:rPr>
              <w:t>第</w:t>
            </w:r>
            <w:r w:rsidRPr="00C121DF">
              <w:rPr>
                <w:rFonts w:ascii="Times New Roman" w:hint="eastAsia"/>
                <w:color w:val="000000" w:themeColor="text1"/>
                <w:spacing w:val="-20"/>
                <w:sz w:val="28"/>
                <w:szCs w:val="28"/>
              </w:rPr>
              <w:t>3</w:t>
            </w:r>
            <w:r w:rsidRPr="00C121DF">
              <w:rPr>
                <w:rFonts w:ascii="Times New Roman" w:hint="eastAsia"/>
                <w:color w:val="000000" w:themeColor="text1"/>
                <w:spacing w:val="-20"/>
                <w:sz w:val="28"/>
                <w:szCs w:val="28"/>
              </w:rPr>
              <w:t>級</w:t>
            </w:r>
            <w:r w:rsidRPr="00C121DF">
              <w:rPr>
                <w:rFonts w:ascii="Times New Roman" w:hint="eastAsia"/>
                <w:color w:val="000000" w:themeColor="text1"/>
                <w:spacing w:val="-20"/>
                <w:sz w:val="28"/>
                <w:szCs w:val="28"/>
              </w:rPr>
              <w:t>)</w:t>
            </w: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101</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111,000,000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58.64</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102</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111,000,000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52.43</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103</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111,000,000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41.53</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104</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110,920,000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42.27</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105</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121,000,000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46.29</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106</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131,140,000</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sz w:val="28"/>
                <w:szCs w:val="28"/>
              </w:rPr>
            </w:pPr>
            <w:r>
              <w:rPr>
                <w:rFonts w:ascii="Times New Roman"/>
                <w:color w:val="000000"/>
                <w:sz w:val="28"/>
                <w:szCs w:val="28"/>
              </w:rPr>
              <w:t>47.77</w:t>
            </w:r>
          </w:p>
        </w:tc>
      </w:tr>
      <w:tr w:rsidR="0040606A" w:rsidTr="00C055EF">
        <w:tc>
          <w:tcPr>
            <w:tcW w:w="1289" w:type="dxa"/>
            <w:vMerge w:val="restart"/>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spacing w:line="320" w:lineRule="exact"/>
              <w:ind w:leftChars="-29" w:left="2" w:hangingChars="39" w:hanging="101"/>
              <w:jc w:val="center"/>
              <w:rPr>
                <w:rFonts w:ascii="Times New Roman"/>
                <w:color w:val="000000" w:themeColor="text1"/>
                <w:spacing w:val="-20"/>
                <w:sz w:val="28"/>
                <w:szCs w:val="28"/>
              </w:rPr>
            </w:pPr>
            <w:r w:rsidRPr="00C121DF">
              <w:rPr>
                <w:rFonts w:ascii="Times New Roman" w:hint="eastAsia"/>
                <w:color w:val="000000" w:themeColor="text1"/>
                <w:spacing w:val="-20"/>
                <w:sz w:val="28"/>
                <w:szCs w:val="28"/>
              </w:rPr>
              <w:t>金門縣</w:t>
            </w:r>
          </w:p>
          <w:p w:rsidR="0040606A" w:rsidRPr="00C121DF" w:rsidRDefault="0040606A" w:rsidP="00C055EF">
            <w:pPr>
              <w:spacing w:line="320" w:lineRule="exact"/>
              <w:ind w:leftChars="-29" w:left="2" w:hangingChars="39" w:hanging="101"/>
              <w:jc w:val="center"/>
              <w:rPr>
                <w:rFonts w:ascii="Times New Roman"/>
                <w:color w:val="000000" w:themeColor="text1"/>
                <w:spacing w:val="-20"/>
                <w:sz w:val="28"/>
                <w:szCs w:val="28"/>
              </w:rPr>
            </w:pPr>
            <w:r w:rsidRPr="00C121DF">
              <w:rPr>
                <w:rFonts w:ascii="Times New Roman" w:hint="eastAsia"/>
                <w:color w:val="000000" w:themeColor="text1"/>
                <w:spacing w:val="-20"/>
                <w:sz w:val="28"/>
                <w:szCs w:val="28"/>
              </w:rPr>
              <w:t>(</w:t>
            </w:r>
            <w:r w:rsidRPr="00C121DF">
              <w:rPr>
                <w:rFonts w:ascii="Times New Roman" w:hint="eastAsia"/>
                <w:color w:val="000000" w:themeColor="text1"/>
                <w:spacing w:val="-20"/>
                <w:sz w:val="28"/>
                <w:szCs w:val="28"/>
              </w:rPr>
              <w:t>第</w:t>
            </w:r>
            <w:r w:rsidRPr="00C121DF">
              <w:rPr>
                <w:rFonts w:ascii="Times New Roman" w:hint="eastAsia"/>
                <w:color w:val="000000" w:themeColor="text1"/>
                <w:spacing w:val="-20"/>
                <w:sz w:val="28"/>
                <w:szCs w:val="28"/>
              </w:rPr>
              <w:t>3</w:t>
            </w:r>
            <w:r w:rsidRPr="00C121DF">
              <w:rPr>
                <w:rFonts w:ascii="Times New Roman" w:hint="eastAsia"/>
                <w:color w:val="000000" w:themeColor="text1"/>
                <w:spacing w:val="-20"/>
                <w:sz w:val="28"/>
                <w:szCs w:val="28"/>
              </w:rPr>
              <w:t>級</w:t>
            </w:r>
            <w:r w:rsidRPr="00C121DF">
              <w:rPr>
                <w:rFonts w:ascii="Times New Roman" w:hint="eastAsia"/>
                <w:color w:val="000000" w:themeColor="text1"/>
                <w:spacing w:val="-20"/>
                <w:sz w:val="28"/>
                <w:szCs w:val="28"/>
              </w:rPr>
              <w:t>)</w:t>
            </w: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101</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0.00</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102</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0.00</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103</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0.00</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104</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0.00</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105</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43,519,000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19.97</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106</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55,837,000</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sz w:val="28"/>
                <w:szCs w:val="28"/>
              </w:rPr>
            </w:pPr>
            <w:r>
              <w:rPr>
                <w:rFonts w:ascii="Times New Roman"/>
                <w:color w:val="000000"/>
                <w:sz w:val="28"/>
                <w:szCs w:val="28"/>
              </w:rPr>
              <w:t>25.10</w:t>
            </w:r>
          </w:p>
        </w:tc>
      </w:tr>
      <w:tr w:rsidR="0040606A" w:rsidTr="00C055EF">
        <w:tc>
          <w:tcPr>
            <w:tcW w:w="1289" w:type="dxa"/>
            <w:vMerge w:val="restart"/>
            <w:tcBorders>
              <w:top w:val="single" w:sz="6" w:space="0" w:color="auto"/>
              <w:left w:val="single" w:sz="6" w:space="0" w:color="auto"/>
              <w:bottom w:val="single" w:sz="6" w:space="0" w:color="auto"/>
              <w:right w:val="single" w:sz="6" w:space="0" w:color="auto"/>
            </w:tcBorders>
            <w:vAlign w:val="center"/>
            <w:hideMark/>
          </w:tcPr>
          <w:p w:rsidR="0040606A" w:rsidRPr="00C121DF" w:rsidRDefault="0040606A" w:rsidP="00C055EF">
            <w:pPr>
              <w:spacing w:line="320" w:lineRule="exact"/>
              <w:ind w:leftChars="-29" w:left="2" w:hangingChars="39" w:hanging="101"/>
              <w:jc w:val="center"/>
              <w:rPr>
                <w:rFonts w:ascii="Times New Roman"/>
                <w:color w:val="000000" w:themeColor="text1"/>
                <w:spacing w:val="-20"/>
                <w:sz w:val="28"/>
                <w:szCs w:val="28"/>
              </w:rPr>
            </w:pPr>
            <w:r w:rsidRPr="00C121DF">
              <w:rPr>
                <w:rFonts w:ascii="Times New Roman" w:hint="eastAsia"/>
                <w:color w:val="000000" w:themeColor="text1"/>
                <w:spacing w:val="-20"/>
                <w:sz w:val="28"/>
                <w:szCs w:val="28"/>
              </w:rPr>
              <w:t>連江縣</w:t>
            </w:r>
          </w:p>
          <w:p w:rsidR="0040606A" w:rsidRPr="00C121DF" w:rsidRDefault="0040606A" w:rsidP="00C055EF">
            <w:pPr>
              <w:spacing w:line="320" w:lineRule="exact"/>
              <w:ind w:leftChars="-29" w:left="2" w:hangingChars="39" w:hanging="101"/>
              <w:jc w:val="center"/>
              <w:rPr>
                <w:rFonts w:ascii="Times New Roman"/>
                <w:color w:val="000000" w:themeColor="text1"/>
                <w:spacing w:val="-20"/>
                <w:sz w:val="22"/>
                <w:szCs w:val="22"/>
              </w:rPr>
            </w:pPr>
            <w:r w:rsidRPr="00C121DF">
              <w:rPr>
                <w:rFonts w:ascii="Times New Roman" w:hint="eastAsia"/>
                <w:color w:val="000000" w:themeColor="text1"/>
                <w:spacing w:val="-20"/>
                <w:sz w:val="28"/>
                <w:szCs w:val="28"/>
              </w:rPr>
              <w:t>(</w:t>
            </w:r>
            <w:r w:rsidRPr="00C121DF">
              <w:rPr>
                <w:rFonts w:ascii="Times New Roman" w:hint="eastAsia"/>
                <w:color w:val="000000" w:themeColor="text1"/>
                <w:spacing w:val="-20"/>
                <w:sz w:val="28"/>
                <w:szCs w:val="28"/>
              </w:rPr>
              <w:t>第</w:t>
            </w:r>
            <w:r w:rsidRPr="00C121DF">
              <w:rPr>
                <w:rFonts w:ascii="Times New Roman" w:hint="eastAsia"/>
                <w:color w:val="000000" w:themeColor="text1"/>
                <w:spacing w:val="-20"/>
                <w:sz w:val="28"/>
                <w:szCs w:val="28"/>
              </w:rPr>
              <w:t>5</w:t>
            </w:r>
            <w:r w:rsidRPr="00C121DF">
              <w:rPr>
                <w:rFonts w:ascii="Times New Roman" w:hint="eastAsia"/>
                <w:color w:val="000000" w:themeColor="text1"/>
                <w:spacing w:val="-20"/>
                <w:sz w:val="28"/>
                <w:szCs w:val="28"/>
              </w:rPr>
              <w:t>級</w:t>
            </w:r>
            <w:r w:rsidRPr="00C121DF">
              <w:rPr>
                <w:rFonts w:ascii="Times New Roman" w:hint="eastAsia"/>
                <w:color w:val="000000" w:themeColor="text1"/>
                <w:spacing w:val="-20"/>
                <w:sz w:val="28"/>
                <w:szCs w:val="28"/>
              </w:rPr>
              <w:t>)</w:t>
            </w: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101</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0.00</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102</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1,000,000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2.80</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103</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1,000,000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2.03</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104</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10,150,000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11.68</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105</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 xml:space="preserve">10,080,000 </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themeColor="text1"/>
                <w:sz w:val="28"/>
                <w:szCs w:val="28"/>
              </w:rPr>
            </w:pPr>
            <w:r>
              <w:rPr>
                <w:rFonts w:ascii="Times New Roman"/>
                <w:color w:val="000000" w:themeColor="text1"/>
                <w:sz w:val="28"/>
                <w:szCs w:val="28"/>
              </w:rPr>
              <w:t>6.07</w:t>
            </w:r>
          </w:p>
        </w:tc>
      </w:tr>
      <w:tr w:rsidR="0040606A" w:rsidTr="00C055EF">
        <w:tc>
          <w:tcPr>
            <w:tcW w:w="1289" w:type="dxa"/>
            <w:vMerge/>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overflowPunct/>
              <w:autoSpaceDE/>
              <w:autoSpaceDN/>
              <w:jc w:val="left"/>
              <w:rPr>
                <w:rFonts w:ascii="Times New Roman"/>
                <w:color w:val="000000" w:themeColor="text1"/>
                <w:spacing w:val="-20"/>
                <w:sz w:val="28"/>
                <w:szCs w:val="28"/>
              </w:rPr>
            </w:pPr>
          </w:p>
        </w:tc>
        <w:tc>
          <w:tcPr>
            <w:tcW w:w="1148" w:type="dxa"/>
            <w:tcBorders>
              <w:top w:val="single" w:sz="6" w:space="0" w:color="auto"/>
              <w:left w:val="single" w:sz="6" w:space="0" w:color="auto"/>
              <w:bottom w:val="single" w:sz="6" w:space="0" w:color="auto"/>
              <w:right w:val="single" w:sz="6" w:space="0" w:color="auto"/>
            </w:tcBorders>
            <w:hideMark/>
          </w:tcPr>
          <w:p w:rsidR="0040606A" w:rsidRDefault="0040606A" w:rsidP="00C055EF">
            <w:pPr>
              <w:spacing w:line="300" w:lineRule="exact"/>
              <w:ind w:leftChars="-32" w:left="59" w:rightChars="-23" w:right="-78" w:hangingChars="56" w:hanging="168"/>
              <w:jc w:val="center"/>
              <w:rPr>
                <w:rFonts w:ascii="Times New Roman"/>
                <w:color w:val="000000" w:themeColor="text1"/>
                <w:sz w:val="28"/>
                <w:szCs w:val="28"/>
              </w:rPr>
            </w:pPr>
            <w:r>
              <w:rPr>
                <w:rFonts w:ascii="Times New Roman"/>
                <w:color w:val="000000" w:themeColor="text1"/>
                <w:sz w:val="28"/>
                <w:szCs w:val="28"/>
              </w:rPr>
              <w:t>106</w:t>
            </w:r>
          </w:p>
        </w:tc>
        <w:tc>
          <w:tcPr>
            <w:tcW w:w="2657"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ind w:leftChars="-43" w:left="-5" w:rightChars="-11" w:right="-37" w:hangingChars="47" w:hanging="141"/>
              <w:jc w:val="right"/>
              <w:rPr>
                <w:rFonts w:ascii="Times New Roman"/>
                <w:color w:val="000000" w:themeColor="text1"/>
                <w:sz w:val="28"/>
                <w:szCs w:val="28"/>
              </w:rPr>
            </w:pPr>
            <w:r>
              <w:rPr>
                <w:rFonts w:ascii="Times New Roman"/>
                <w:color w:val="000000" w:themeColor="text1"/>
                <w:sz w:val="28"/>
                <w:szCs w:val="28"/>
              </w:rPr>
              <w:t>10,635,000</w:t>
            </w:r>
          </w:p>
        </w:tc>
        <w:tc>
          <w:tcPr>
            <w:tcW w:w="2382" w:type="dxa"/>
            <w:tcBorders>
              <w:top w:val="single" w:sz="6" w:space="0" w:color="auto"/>
              <w:left w:val="single" w:sz="6" w:space="0" w:color="auto"/>
              <w:bottom w:val="single" w:sz="6" w:space="0" w:color="auto"/>
              <w:right w:val="single" w:sz="6" w:space="0" w:color="auto"/>
            </w:tcBorders>
            <w:vAlign w:val="bottom"/>
            <w:hideMark/>
          </w:tcPr>
          <w:p w:rsidR="0040606A" w:rsidRDefault="0040606A" w:rsidP="00C055EF">
            <w:pPr>
              <w:spacing w:line="300" w:lineRule="exact"/>
              <w:jc w:val="right"/>
              <w:rPr>
                <w:rFonts w:ascii="Times New Roman"/>
                <w:color w:val="000000"/>
                <w:sz w:val="28"/>
                <w:szCs w:val="28"/>
              </w:rPr>
            </w:pPr>
            <w:r>
              <w:rPr>
                <w:rFonts w:ascii="Times New Roman"/>
                <w:color w:val="000000"/>
                <w:sz w:val="28"/>
                <w:szCs w:val="28"/>
              </w:rPr>
              <w:t>6.07</w:t>
            </w:r>
          </w:p>
        </w:tc>
      </w:tr>
    </w:tbl>
    <w:p w:rsidR="0040606A" w:rsidRDefault="0040606A" w:rsidP="0040606A">
      <w:pPr>
        <w:pStyle w:val="3"/>
        <w:numPr>
          <w:ilvl w:val="0"/>
          <w:numId w:val="0"/>
        </w:numPr>
        <w:topLinePunct/>
        <w:spacing w:afterLines="50" w:after="228" w:line="320" w:lineRule="exact"/>
        <w:ind w:left="1361"/>
        <w:rPr>
          <w:rFonts w:ascii="Times New Roman" w:hAnsi="Times New Roman"/>
          <w:sz w:val="24"/>
          <w:szCs w:val="24"/>
        </w:rPr>
      </w:pPr>
      <w:bookmarkStart w:id="1569" w:name="_Toc507767702"/>
      <w:bookmarkStart w:id="1570" w:name="_Toc507768428"/>
      <w:bookmarkStart w:id="1571" w:name="_Toc511115423"/>
      <w:bookmarkStart w:id="1572" w:name="_Toc511308213"/>
      <w:bookmarkStart w:id="1573" w:name="_Toc511998655"/>
      <w:bookmarkStart w:id="1574" w:name="_Toc512421012"/>
      <w:r>
        <w:rPr>
          <w:rFonts w:ascii="Times New Roman" w:hAnsi="Times New Roman" w:hint="eastAsia"/>
          <w:sz w:val="24"/>
          <w:szCs w:val="24"/>
        </w:rPr>
        <w:t>資料來源：衛福部。</w:t>
      </w:r>
      <w:bookmarkEnd w:id="1569"/>
      <w:bookmarkEnd w:id="1570"/>
      <w:bookmarkEnd w:id="1571"/>
      <w:bookmarkEnd w:id="1572"/>
      <w:bookmarkEnd w:id="1573"/>
      <w:bookmarkEnd w:id="1574"/>
    </w:p>
    <w:p w:rsidR="0040606A" w:rsidRDefault="0040606A" w:rsidP="0040606A">
      <w:pPr>
        <w:widowControl/>
        <w:overflowPunct/>
        <w:autoSpaceDE/>
        <w:autoSpaceDN/>
        <w:jc w:val="left"/>
        <w:rPr>
          <w:rFonts w:ascii="Times New Roman"/>
          <w:b/>
          <w:bCs/>
          <w:kern w:val="32"/>
          <w:szCs w:val="36"/>
        </w:rPr>
        <w:sectPr w:rsidR="0040606A">
          <w:pgSz w:w="11907" w:h="16840"/>
          <w:pgMar w:top="1701" w:right="1418" w:bottom="1418" w:left="1418" w:header="851" w:footer="851" w:gutter="227"/>
          <w:cols w:space="720"/>
          <w:docGrid w:type="linesAndChars" w:linePitch="457" w:charSpace="4127"/>
        </w:sectPr>
      </w:pPr>
    </w:p>
    <w:p w:rsidR="0040606A" w:rsidRDefault="0040606A" w:rsidP="0040606A">
      <w:pPr>
        <w:pStyle w:val="5"/>
        <w:numPr>
          <w:ilvl w:val="0"/>
          <w:numId w:val="0"/>
        </w:numPr>
        <w:kinsoku w:val="0"/>
        <w:spacing w:line="320" w:lineRule="exact"/>
        <w:ind w:leftChars="-136" w:left="149" w:hangingChars="180" w:hanging="612"/>
        <w:rPr>
          <w:rFonts w:ascii="Times New Roman" w:hAnsi="Times New Roman"/>
          <w:sz w:val="28"/>
          <w:szCs w:val="28"/>
        </w:rPr>
      </w:pPr>
      <w:r>
        <w:rPr>
          <w:noProof/>
        </w:rPr>
        <w:drawing>
          <wp:anchor distT="0" distB="0" distL="114300" distR="114300" simplePos="0" relativeHeight="251657216" behindDoc="0" locked="0" layoutInCell="1" allowOverlap="1" wp14:anchorId="0F65E579" wp14:editId="532116C4">
            <wp:simplePos x="0" y="0"/>
            <wp:positionH relativeFrom="margin">
              <wp:posOffset>-456565</wp:posOffset>
            </wp:positionH>
            <wp:positionV relativeFrom="margin">
              <wp:posOffset>-48895</wp:posOffset>
            </wp:positionV>
            <wp:extent cx="9869170" cy="4944110"/>
            <wp:effectExtent l="0" t="0" r="17780" b="27940"/>
            <wp:wrapSquare wrapText="bothSides"/>
            <wp:docPr id="5" name="圖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bookmarkStart w:id="1575" w:name="_Toc507168693"/>
      <w:bookmarkStart w:id="1576" w:name="_Toc507163490"/>
      <w:bookmarkStart w:id="1577" w:name="_Toc507163238"/>
      <w:bookmarkStart w:id="1578" w:name="_Toc507072997"/>
    </w:p>
    <w:p w:rsidR="0040606A" w:rsidRDefault="0040606A" w:rsidP="0040606A">
      <w:pPr>
        <w:pStyle w:val="a1"/>
        <w:numPr>
          <w:ilvl w:val="0"/>
          <w:numId w:val="33"/>
        </w:numPr>
        <w:spacing w:before="0" w:after="0"/>
        <w:ind w:left="518" w:rightChars="-157" w:right="-534" w:hanging="812"/>
        <w:jc w:val="left"/>
        <w:textAlignment w:val="auto"/>
        <w:rPr>
          <w:rFonts w:ascii="Times New Roman" w:hAnsi="Times New Roman"/>
          <w:b/>
          <w:spacing w:val="-2"/>
          <w:sz w:val="24"/>
          <w:szCs w:val="24"/>
        </w:rPr>
      </w:pPr>
      <w:r>
        <w:rPr>
          <w:rFonts w:ascii="Times New Roman" w:hAnsi="Times New Roman"/>
          <w:b/>
        </w:rPr>
        <w:t>101</w:t>
      </w:r>
      <w:r>
        <w:rPr>
          <w:rFonts w:ascii="Times New Roman" w:hAnsi="Times New Roman" w:hint="eastAsia"/>
          <w:b/>
        </w:rPr>
        <w:t>年至</w:t>
      </w:r>
      <w:r>
        <w:rPr>
          <w:rFonts w:ascii="Times New Roman" w:hAnsi="Times New Roman"/>
          <w:b/>
        </w:rPr>
        <w:t>106</w:t>
      </w:r>
      <w:r>
        <w:rPr>
          <w:rFonts w:ascii="Times New Roman" w:hAnsi="Times New Roman" w:hint="eastAsia"/>
          <w:b/>
        </w:rPr>
        <w:t>年各地方政府以公益彩券盈餘分配基金</w:t>
      </w:r>
      <w:r>
        <w:rPr>
          <w:rFonts w:ascii="Times New Roman" w:hAnsi="Times New Roman"/>
          <w:b/>
        </w:rPr>
        <w:t>(</w:t>
      </w:r>
      <w:r>
        <w:rPr>
          <w:rFonts w:ascii="Times New Roman" w:hAnsi="Times New Roman" w:hint="eastAsia"/>
          <w:b/>
        </w:rPr>
        <w:t>款</w:t>
      </w:r>
      <w:r>
        <w:rPr>
          <w:rFonts w:ascii="Times New Roman" w:hAnsi="Times New Roman"/>
          <w:b/>
        </w:rPr>
        <w:t>)</w:t>
      </w:r>
      <w:r>
        <w:rPr>
          <w:rFonts w:ascii="Times New Roman" w:hAnsi="Times New Roman" w:hint="eastAsia"/>
          <w:b/>
        </w:rPr>
        <w:t>用於</w:t>
      </w:r>
      <w:r>
        <w:rPr>
          <w:rFonts w:ascii="Times New Roman" w:hAnsi="Times New Roman"/>
          <w:b/>
        </w:rPr>
        <w:t>6</w:t>
      </w:r>
      <w:r>
        <w:rPr>
          <w:rFonts w:ascii="Times New Roman" w:hAnsi="Times New Roman" w:hint="eastAsia"/>
          <w:b/>
        </w:rPr>
        <w:t>項法定現金補助之預算占比分布情形</w:t>
      </w:r>
    </w:p>
    <w:p w:rsidR="0040606A" w:rsidRDefault="0040606A" w:rsidP="0040606A">
      <w:pPr>
        <w:pStyle w:val="5"/>
        <w:numPr>
          <w:ilvl w:val="0"/>
          <w:numId w:val="0"/>
        </w:numPr>
        <w:kinsoku w:val="0"/>
        <w:spacing w:line="320" w:lineRule="exact"/>
        <w:ind w:leftChars="-1" w:left="-3" w:firstLineChars="236" w:firstLine="605"/>
        <w:rPr>
          <w:rFonts w:ascii="Times New Roman" w:hAnsi="Times New Roman"/>
          <w:b/>
        </w:rPr>
      </w:pPr>
      <w:r>
        <w:rPr>
          <w:rFonts w:ascii="Times New Roman" w:hAnsi="Times New Roman" w:hint="eastAsia"/>
          <w:spacing w:val="-2"/>
          <w:sz w:val="24"/>
          <w:szCs w:val="24"/>
        </w:rPr>
        <w:t>資料來源：衛福部，本院彙整製圖。</w:t>
      </w:r>
    </w:p>
    <w:p w:rsidR="0040606A" w:rsidRDefault="0040606A" w:rsidP="0040606A">
      <w:pPr>
        <w:widowControl/>
        <w:overflowPunct/>
        <w:autoSpaceDE/>
        <w:autoSpaceDN/>
        <w:jc w:val="left"/>
        <w:rPr>
          <w:rFonts w:hAnsi="Arial"/>
          <w:bCs/>
          <w:kern w:val="32"/>
          <w:szCs w:val="36"/>
        </w:rPr>
        <w:sectPr w:rsidR="0040606A">
          <w:pgSz w:w="16840" w:h="11907" w:orient="landscape"/>
          <w:pgMar w:top="1418" w:right="1701" w:bottom="1418" w:left="1418" w:header="851" w:footer="851" w:gutter="227"/>
          <w:cols w:space="720"/>
          <w:docGrid w:type="linesAndChars" w:linePitch="457" w:charSpace="4127"/>
        </w:sectPr>
      </w:pPr>
    </w:p>
    <w:p w:rsidR="0040606A" w:rsidRPr="00BB2C3A" w:rsidRDefault="0040606A" w:rsidP="00FC29D4">
      <w:pPr>
        <w:pStyle w:val="3"/>
        <w:numPr>
          <w:ilvl w:val="2"/>
          <w:numId w:val="9"/>
        </w:numPr>
        <w:topLinePunct/>
        <w:ind w:left="1360" w:hanging="680"/>
        <w:rPr>
          <w:rFonts w:ascii="Times New Roman" w:hAnsi="Times New Roman"/>
          <w:szCs w:val="24"/>
        </w:rPr>
      </w:pPr>
      <w:bookmarkStart w:id="1579" w:name="_Toc507518620"/>
      <w:bookmarkStart w:id="1580" w:name="_Toc507491615"/>
      <w:bookmarkStart w:id="1581" w:name="_Toc507484791"/>
      <w:bookmarkStart w:id="1582" w:name="_Toc507403648"/>
      <w:bookmarkStart w:id="1583" w:name="_Toc507359655"/>
      <w:bookmarkStart w:id="1584" w:name="_Toc507168692"/>
      <w:bookmarkStart w:id="1585" w:name="_Toc507163489"/>
      <w:bookmarkStart w:id="1586" w:name="_Toc507163237"/>
      <w:bookmarkStart w:id="1587" w:name="_Toc507072996"/>
      <w:bookmarkStart w:id="1588" w:name="_Toc507767703"/>
      <w:bookmarkStart w:id="1589" w:name="_Toc507768429"/>
      <w:bookmarkStart w:id="1590" w:name="_Toc511115424"/>
      <w:bookmarkStart w:id="1591" w:name="_Toc511308214"/>
      <w:bookmarkStart w:id="1592" w:name="_Toc511998656"/>
      <w:bookmarkStart w:id="1593" w:name="_Toc512421013"/>
      <w:bookmarkStart w:id="1594" w:name="_Toc507518621"/>
      <w:bookmarkStart w:id="1595" w:name="_Toc507491616"/>
      <w:bookmarkStart w:id="1596" w:name="_Toc507484792"/>
      <w:bookmarkStart w:id="1597" w:name="_Toc507403649"/>
      <w:bookmarkStart w:id="1598" w:name="_Toc507359656"/>
      <w:r>
        <w:rPr>
          <w:rFonts w:ascii="Times New Roman" w:hAnsi="Times New Roman" w:hint="eastAsia"/>
          <w:szCs w:val="24"/>
        </w:rPr>
        <w:t>針對前述情事，衛福部於本院詢問時表示：該部確實也發現到這項問題，必須坦言該部訂出</w:t>
      </w:r>
      <w:r w:rsidR="00DC4C0D">
        <w:rPr>
          <w:rFonts w:ascii="Times New Roman" w:hAnsi="Times New Roman" w:hint="eastAsia"/>
          <w:szCs w:val="24"/>
        </w:rPr>
        <w:t>6</w:t>
      </w:r>
      <w:r>
        <w:rPr>
          <w:rFonts w:ascii="Times New Roman" w:hAnsi="Times New Roman" w:hint="eastAsia"/>
          <w:szCs w:val="24"/>
        </w:rPr>
        <w:t>項現金給付的編列比率之後，確實發生負面的效果，有些地方政府原本不編，看到此表後，開始編列，也讓部分縣市愈編愈多等語。該部為避免該項財源過度運用於法定現金給付，自</w:t>
      </w:r>
      <w:r>
        <w:rPr>
          <w:rFonts w:ascii="Times New Roman" w:hAnsi="Times New Roman"/>
          <w:szCs w:val="24"/>
        </w:rPr>
        <w:t>106</w:t>
      </w:r>
      <w:r>
        <w:rPr>
          <w:rFonts w:ascii="Times New Roman" w:hAnsi="Times New Roman" w:hint="eastAsia"/>
          <w:szCs w:val="24"/>
        </w:rPr>
        <w:t>年度修正「法定現金給付經費編列調整情形」的考核指標，要求地方政府逐年減編</w:t>
      </w:r>
      <w:r>
        <w:rPr>
          <w:rFonts w:ascii="Times New Roman" w:hAnsi="Times New Roman"/>
          <w:szCs w:val="24"/>
        </w:rPr>
        <w:t>6</w:t>
      </w:r>
      <w:r>
        <w:rPr>
          <w:rFonts w:ascii="Times New Roman" w:hAnsi="Times New Roman" w:hint="eastAsia"/>
          <w:szCs w:val="24"/>
        </w:rPr>
        <w:t>項法定現金給付預算</w:t>
      </w:r>
      <w:r>
        <w:rPr>
          <w:rStyle w:val="aff1"/>
          <w:rFonts w:ascii="Times New Roman" w:hAnsi="Times New Roman"/>
          <w:szCs w:val="24"/>
        </w:rPr>
        <w:footnoteReference w:id="17"/>
      </w:r>
      <w:r>
        <w:rPr>
          <w:rFonts w:ascii="Times New Roman" w:hAnsi="Times New Roman" w:hint="eastAsia"/>
          <w:szCs w:val="24"/>
        </w:rPr>
        <w:t>，</w:t>
      </w:r>
      <w:r>
        <w:rPr>
          <w:rFonts w:ascii="Times New Roman" w:hAnsi="Times New Roman"/>
          <w:szCs w:val="24"/>
        </w:rPr>
        <w:t>107</w:t>
      </w:r>
      <w:r>
        <w:rPr>
          <w:rFonts w:ascii="Times New Roman" w:hAnsi="Times New Roman" w:hint="eastAsia"/>
          <w:szCs w:val="24"/>
        </w:rPr>
        <w:t>年度更進一步將此項指標配分自</w:t>
      </w:r>
      <w:r>
        <w:rPr>
          <w:rFonts w:ascii="Times New Roman" w:hAnsi="Times New Roman"/>
          <w:szCs w:val="24"/>
        </w:rPr>
        <w:t>5</w:t>
      </w:r>
      <w:r>
        <w:rPr>
          <w:rFonts w:ascii="Times New Roman" w:hAnsi="Times New Roman" w:hint="eastAsia"/>
          <w:szCs w:val="24"/>
        </w:rPr>
        <w:t>分調增為</w:t>
      </w:r>
      <w:r>
        <w:rPr>
          <w:rFonts w:ascii="Times New Roman" w:hAnsi="Times New Roman"/>
          <w:szCs w:val="24"/>
        </w:rPr>
        <w:t>15</w:t>
      </w:r>
      <w:r>
        <w:rPr>
          <w:rFonts w:ascii="Times New Roman" w:hAnsi="Times New Roman" w:hint="eastAsia"/>
          <w:szCs w:val="24"/>
        </w:rPr>
        <w:t>分，以加速引導效果。而從該部提供之資料顯示，</w:t>
      </w:r>
      <w:r>
        <w:rPr>
          <w:rFonts w:ascii="Times New Roman" w:hAnsi="Times New Roman"/>
          <w:szCs w:val="24"/>
        </w:rPr>
        <w:t>106</w:t>
      </w:r>
      <w:r>
        <w:rPr>
          <w:rFonts w:ascii="Times New Roman" w:hAnsi="Times New Roman" w:hint="eastAsia"/>
          <w:szCs w:val="24"/>
        </w:rPr>
        <w:t>年</w:t>
      </w:r>
      <w:r>
        <w:rPr>
          <w:rFonts w:ascii="Times New Roman" w:hAnsi="Times New Roman"/>
          <w:szCs w:val="24"/>
        </w:rPr>
        <w:t>22</w:t>
      </w:r>
      <w:r>
        <w:rPr>
          <w:rFonts w:ascii="Times New Roman" w:hAnsi="Times New Roman" w:hint="eastAsia"/>
          <w:szCs w:val="24"/>
        </w:rPr>
        <w:t>個地方政府以公益彩券盈餘分配款運用於</w:t>
      </w:r>
      <w:r>
        <w:rPr>
          <w:rFonts w:ascii="Times New Roman" w:hAnsi="Times New Roman"/>
          <w:szCs w:val="24"/>
        </w:rPr>
        <w:t>6</w:t>
      </w:r>
      <w:r>
        <w:rPr>
          <w:rFonts w:ascii="Times New Roman" w:hAnsi="Times New Roman" w:hint="eastAsia"/>
          <w:szCs w:val="24"/>
        </w:rPr>
        <w:t>項現金補助計畫之經費占比</w:t>
      </w:r>
      <w:r w:rsidRPr="00BB2C3A">
        <w:rPr>
          <w:rFonts w:ascii="Times New Roman" w:hAnsi="Times New Roman" w:hint="eastAsia"/>
          <w:szCs w:val="24"/>
        </w:rPr>
        <w:t>降至</w:t>
      </w:r>
      <w:r w:rsidRPr="00BB2C3A">
        <w:rPr>
          <w:rFonts w:ascii="Times New Roman" w:hAnsi="Times New Roman"/>
          <w:szCs w:val="24"/>
        </w:rPr>
        <w:t>32.56</w:t>
      </w:r>
      <w:r w:rsidRPr="00BB2C3A">
        <w:rPr>
          <w:rFonts w:ascii="Times New Roman" w:hAnsi="Times New Roman" w:hint="eastAsia"/>
          <w:szCs w:val="24"/>
        </w:rPr>
        <w:t>％，其中</w:t>
      </w:r>
      <w:r w:rsidRPr="00BB2C3A">
        <w:rPr>
          <w:rFonts w:ascii="Times New Roman" w:hAnsi="Times New Roman"/>
          <w:szCs w:val="24"/>
        </w:rPr>
        <w:t>17</w:t>
      </w:r>
      <w:r w:rsidRPr="00BB2C3A">
        <w:rPr>
          <w:rFonts w:ascii="Times New Roman" w:hAnsi="Times New Roman" w:hint="eastAsia"/>
          <w:szCs w:val="24"/>
        </w:rPr>
        <w:t>個縣市減少編列比率逾</w:t>
      </w:r>
      <w:r w:rsidRPr="00BB2C3A">
        <w:rPr>
          <w:rFonts w:ascii="Times New Roman" w:hAnsi="Times New Roman"/>
          <w:szCs w:val="24"/>
        </w:rPr>
        <w:t>4%</w:t>
      </w:r>
      <w:r w:rsidRPr="00BB2C3A">
        <w:rPr>
          <w:rFonts w:ascii="Times New Roman" w:hAnsi="Times New Roman" w:hint="eastAsia"/>
          <w:szCs w:val="24"/>
        </w:rPr>
        <w:t>。惟新北市、苗栗縣、雲林縣</w:t>
      </w:r>
      <w:r w:rsidR="00FC29D4">
        <w:rPr>
          <w:rFonts w:ascii="Times New Roman" w:hAnsi="Times New Roman" w:hint="eastAsia"/>
          <w:szCs w:val="24"/>
        </w:rPr>
        <w:t>、嘉義縣</w:t>
      </w:r>
      <w:r w:rsidRPr="00BB2C3A">
        <w:rPr>
          <w:rFonts w:ascii="Times New Roman" w:hAnsi="Times New Roman" w:hint="eastAsia"/>
          <w:szCs w:val="24"/>
        </w:rPr>
        <w:t>、花蓮縣、澎湖縣仍超過</w:t>
      </w:r>
      <w:r w:rsidRPr="00BB2C3A">
        <w:rPr>
          <w:rFonts w:ascii="Times New Roman" w:hAnsi="Times New Roman"/>
          <w:szCs w:val="24"/>
        </w:rPr>
        <w:t>5</w:t>
      </w:r>
      <w:r w:rsidRPr="00BB2C3A">
        <w:rPr>
          <w:rFonts w:ascii="Times New Roman" w:hAnsi="Times New Roman" w:hint="eastAsia"/>
          <w:szCs w:val="24"/>
        </w:rPr>
        <w:t>成，且新竹縣、雲林縣、</w:t>
      </w:r>
      <w:r w:rsidRPr="00FC29D4">
        <w:rPr>
          <w:rFonts w:ascii="Times New Roman" w:hAnsi="Times New Roman" w:hint="eastAsia"/>
          <w:spacing w:val="-4"/>
          <w:szCs w:val="24"/>
        </w:rPr>
        <w:t>澎湖縣、嘉義市不降反增，雲林縣甚至高達</w:t>
      </w:r>
      <w:r w:rsidRPr="00FC29D4">
        <w:rPr>
          <w:rFonts w:ascii="Times New Roman" w:hAnsi="Times New Roman"/>
          <w:spacing w:val="-4"/>
          <w:szCs w:val="24"/>
        </w:rPr>
        <w:t>85.55</w:t>
      </w:r>
      <w:r w:rsidRPr="00FC29D4">
        <w:rPr>
          <w:rFonts w:ascii="Times New Roman" w:hAnsi="Times New Roman" w:hint="eastAsia"/>
          <w:spacing w:val="-4"/>
          <w:szCs w:val="24"/>
        </w:rPr>
        <w:t>％</w:t>
      </w:r>
      <w:r w:rsidRPr="00BB2C3A">
        <w:rPr>
          <w:rFonts w:ascii="Times New Roman" w:hAnsi="Times New Roman"/>
          <w:spacing w:val="-6"/>
          <w:szCs w:val="24"/>
        </w:rPr>
        <w:t>(</w:t>
      </w:r>
      <w:r w:rsidRPr="00BB2C3A">
        <w:rPr>
          <w:rFonts w:ascii="Times New Roman" w:hAnsi="Times New Roman" w:hint="eastAsia"/>
          <w:spacing w:val="-6"/>
          <w:szCs w:val="24"/>
        </w:rPr>
        <w:t>詳見前表</w:t>
      </w:r>
      <w:r w:rsidR="00C121DF" w:rsidRPr="00BB2C3A">
        <w:rPr>
          <w:rFonts w:ascii="Times New Roman" w:hAnsi="Times New Roman" w:hint="eastAsia"/>
          <w:spacing w:val="-6"/>
          <w:szCs w:val="24"/>
        </w:rPr>
        <w:t>13</w:t>
      </w:r>
      <w:r w:rsidRPr="00BB2C3A">
        <w:rPr>
          <w:rFonts w:ascii="Times New Roman" w:hAnsi="Times New Roman" w:hint="eastAsia"/>
          <w:spacing w:val="-6"/>
          <w:szCs w:val="24"/>
        </w:rPr>
        <w:t>及前圖</w:t>
      </w:r>
      <w:r w:rsidR="00E665DC">
        <w:rPr>
          <w:rFonts w:ascii="Times New Roman" w:hAnsi="Times New Roman" w:hint="eastAsia"/>
          <w:spacing w:val="-6"/>
          <w:szCs w:val="24"/>
        </w:rPr>
        <w:t>6</w:t>
      </w:r>
      <w:r w:rsidRPr="00BB2C3A">
        <w:rPr>
          <w:rFonts w:ascii="Times New Roman" w:hAnsi="Times New Roman"/>
          <w:spacing w:val="-6"/>
          <w:szCs w:val="24"/>
        </w:rPr>
        <w:t>)</w:t>
      </w:r>
      <w:r w:rsidRPr="00BB2C3A">
        <w:rPr>
          <w:rFonts w:ascii="Times New Roman" w:hAnsi="Times New Roman" w:hint="eastAsia"/>
          <w:szCs w:val="24"/>
        </w:rPr>
        <w:t>。</w:t>
      </w:r>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p>
    <w:p w:rsidR="0040606A" w:rsidRPr="0054488D" w:rsidRDefault="0040606A" w:rsidP="0040606A">
      <w:pPr>
        <w:pStyle w:val="3"/>
        <w:numPr>
          <w:ilvl w:val="2"/>
          <w:numId w:val="9"/>
        </w:numPr>
        <w:kinsoku w:val="0"/>
        <w:ind w:left="1360" w:hanging="680"/>
        <w:rPr>
          <w:rFonts w:ascii="Times New Roman" w:hAnsi="Times New Roman"/>
          <w:szCs w:val="32"/>
        </w:rPr>
      </w:pPr>
      <w:bookmarkStart w:id="1599" w:name="_Toc511115425"/>
      <w:bookmarkStart w:id="1600" w:name="_Toc511308215"/>
      <w:bookmarkStart w:id="1601" w:name="_Toc511998657"/>
      <w:bookmarkStart w:id="1602" w:name="_Toc512421014"/>
      <w:r w:rsidRPr="0054488D">
        <w:rPr>
          <w:rFonts w:ascii="Times New Roman" w:hAnsi="Times New Roman" w:hint="eastAsia"/>
          <w:szCs w:val="24"/>
        </w:rPr>
        <w:t>另查，衛福部雖於「</w:t>
      </w:r>
      <w:r w:rsidRPr="0054488D">
        <w:rPr>
          <w:rFonts w:ascii="Times New Roman" w:hAnsi="Times New Roman"/>
          <w:szCs w:val="24"/>
        </w:rPr>
        <w:t>各直轄市、縣</w:t>
      </w:r>
      <w:r w:rsidRPr="0054488D">
        <w:rPr>
          <w:rFonts w:ascii="Times New Roman" w:hAnsi="Times New Roman"/>
          <w:szCs w:val="24"/>
        </w:rPr>
        <w:t>(</w:t>
      </w:r>
      <w:r w:rsidRPr="0054488D">
        <w:rPr>
          <w:rFonts w:ascii="Times New Roman" w:hAnsi="Times New Roman"/>
          <w:szCs w:val="24"/>
        </w:rPr>
        <w:t>市</w:t>
      </w:r>
      <w:r w:rsidRPr="0054488D">
        <w:rPr>
          <w:rFonts w:ascii="Times New Roman" w:hAnsi="Times New Roman"/>
          <w:szCs w:val="24"/>
        </w:rPr>
        <w:t>)</w:t>
      </w:r>
      <w:r w:rsidRPr="0054488D">
        <w:rPr>
          <w:rFonts w:ascii="Times New Roman" w:hAnsi="Times New Roman"/>
          <w:szCs w:val="24"/>
        </w:rPr>
        <w:t>政府公益彩券盈餘編列及運用說明</w:t>
      </w:r>
      <w:r w:rsidRPr="0054488D">
        <w:rPr>
          <w:rFonts w:ascii="Times New Roman" w:hAnsi="Times New Roman" w:hint="eastAsia"/>
          <w:szCs w:val="24"/>
        </w:rPr>
        <w:t>」明確規範：</w:t>
      </w:r>
      <w:r w:rsidRPr="0054488D">
        <w:rPr>
          <w:rFonts w:ascii="Times New Roman" w:hAnsi="Times New Roman"/>
          <w:szCs w:val="32"/>
        </w:rPr>
        <w:t>「參、現金給付及非現金給付認定</w:t>
      </w:r>
      <w:r w:rsidRPr="0054488D">
        <w:rPr>
          <w:rFonts w:ascii="Times New Roman" w:hAnsi="Times New Roman" w:hint="eastAsia"/>
          <w:szCs w:val="32"/>
        </w:rPr>
        <w:t>：……</w:t>
      </w:r>
      <w:r w:rsidRPr="0054488D">
        <w:rPr>
          <w:rFonts w:ascii="Times New Roman" w:hAnsi="Times New Roman"/>
          <w:szCs w:val="32"/>
        </w:rPr>
        <w:t>二、有關常態性支出及法定現金給付因公務預算不足以支應</w:t>
      </w:r>
      <w:r w:rsidRPr="0054488D">
        <w:rPr>
          <w:rFonts w:ascii="Times New Roman" w:hAnsi="Times New Roman" w:hint="eastAsia"/>
          <w:szCs w:val="32"/>
        </w:rPr>
        <w:t>，</w:t>
      </w:r>
      <w:r w:rsidRPr="0054488D">
        <w:rPr>
          <w:rFonts w:ascii="Times New Roman" w:hAnsi="Times New Roman"/>
          <w:szCs w:val="32"/>
        </w:rPr>
        <w:t>仍優先以公務預算支應，不足則宜先結合民間資源後，尚有不足再以公彩盈餘編列預算。」</w:t>
      </w:r>
      <w:r w:rsidRPr="0054488D">
        <w:rPr>
          <w:rFonts w:ascii="Times New Roman" w:hAnsi="Times New Roman" w:hint="eastAsia"/>
          <w:szCs w:val="32"/>
        </w:rPr>
        <w:t>惟據</w:t>
      </w:r>
      <w:r w:rsidRPr="0054488D">
        <w:rPr>
          <w:rFonts w:ascii="Times New Roman" w:hAnsi="Times New Roman" w:hint="eastAsia"/>
        </w:rPr>
        <w:t>本院實地查閱帳冊及審計部轉據各地方審計處</w:t>
      </w:r>
      <w:r w:rsidRPr="0054488D">
        <w:rPr>
          <w:rFonts w:ascii="Times New Roman" w:hAnsi="Times New Roman" w:hint="eastAsia"/>
        </w:rPr>
        <w:t>(</w:t>
      </w:r>
      <w:r w:rsidRPr="0054488D">
        <w:rPr>
          <w:rFonts w:ascii="Times New Roman" w:hAnsi="Times New Roman" w:hint="eastAsia"/>
        </w:rPr>
        <w:t>室</w:t>
      </w:r>
      <w:r w:rsidRPr="0054488D">
        <w:rPr>
          <w:rFonts w:ascii="Times New Roman" w:hAnsi="Times New Roman" w:hint="eastAsia"/>
        </w:rPr>
        <w:t>)</w:t>
      </w:r>
      <w:r w:rsidRPr="0054488D">
        <w:rPr>
          <w:rFonts w:ascii="Times New Roman" w:hAnsi="Times New Roman" w:hint="eastAsia"/>
        </w:rPr>
        <w:t>查核結果發現，部分地方政府以公益彩券盈餘分配款運用現金給付項目，如：</w:t>
      </w:r>
      <w:r w:rsidRPr="0054488D">
        <w:rPr>
          <w:rFonts w:ascii="Times New Roman" w:hAnsi="Times New Roman"/>
          <w:szCs w:val="32"/>
        </w:rPr>
        <w:t>補助低收入戶、身心障礙者、</w:t>
      </w:r>
      <w:r w:rsidRPr="0054488D">
        <w:rPr>
          <w:rFonts w:ascii="Times New Roman" w:hAnsi="Times New Roman"/>
          <w:szCs w:val="32"/>
        </w:rPr>
        <w:t>65</w:t>
      </w:r>
      <w:r w:rsidRPr="0054488D">
        <w:rPr>
          <w:rFonts w:ascii="Times New Roman" w:hAnsi="Times New Roman"/>
          <w:szCs w:val="32"/>
        </w:rPr>
        <w:t>歲以上老人之健保費自付額；單親家庭子女生活補助費；私立課後托育中心兒童托育津貼</w:t>
      </w:r>
      <w:r w:rsidRPr="0054488D">
        <w:rPr>
          <w:rFonts w:ascii="Times New Roman" w:hAnsi="Times New Roman" w:hint="eastAsia"/>
        </w:rPr>
        <w:t>，以及補助</w:t>
      </w:r>
      <w:r w:rsidR="005E5D9F">
        <w:rPr>
          <w:rFonts w:ascii="Times New Roman" w:hAnsi="Times New Roman" w:hint="eastAsia"/>
        </w:rPr>
        <w:t>民間團體</w:t>
      </w:r>
      <w:r w:rsidRPr="0054488D">
        <w:rPr>
          <w:rFonts w:ascii="Times New Roman" w:hAnsi="Times New Roman" w:hint="eastAsia"/>
        </w:rPr>
        <w:t>出國考察費用等。</w:t>
      </w:r>
      <w:r w:rsidR="005E5D9F">
        <w:rPr>
          <w:rFonts w:ascii="Times New Roman" w:hAnsi="Times New Roman" w:hint="eastAsia"/>
        </w:rPr>
        <w:t>而</w:t>
      </w:r>
      <w:r w:rsidRPr="0054488D">
        <w:rPr>
          <w:rFonts w:ascii="Times New Roman" w:hAnsi="Times New Roman" w:hint="eastAsia"/>
        </w:rPr>
        <w:t>前述支出</w:t>
      </w:r>
      <w:r w:rsidRPr="0054488D">
        <w:rPr>
          <w:rFonts w:ascii="Times New Roman" w:hAnsi="Times New Roman"/>
          <w:szCs w:val="32"/>
        </w:rPr>
        <w:t>是否符合「各直轄市、縣</w:t>
      </w:r>
      <w:r w:rsidRPr="0054488D">
        <w:rPr>
          <w:rFonts w:ascii="Times New Roman" w:hAnsi="Times New Roman"/>
          <w:szCs w:val="32"/>
        </w:rPr>
        <w:t>(</w:t>
      </w:r>
      <w:r w:rsidRPr="0054488D">
        <w:rPr>
          <w:rFonts w:ascii="Times New Roman" w:hAnsi="Times New Roman"/>
          <w:szCs w:val="32"/>
        </w:rPr>
        <w:t>市</w:t>
      </w:r>
      <w:r w:rsidRPr="0054488D">
        <w:rPr>
          <w:rFonts w:ascii="Times New Roman" w:hAnsi="Times New Roman"/>
          <w:szCs w:val="32"/>
        </w:rPr>
        <w:t>)</w:t>
      </w:r>
      <w:r w:rsidRPr="0054488D">
        <w:rPr>
          <w:rFonts w:ascii="Times New Roman" w:hAnsi="Times New Roman"/>
          <w:szCs w:val="32"/>
        </w:rPr>
        <w:t>政府公益彩券盈餘編列及運用說明」及</w:t>
      </w:r>
      <w:r w:rsidRPr="0054488D">
        <w:rPr>
          <w:rFonts w:ascii="Times New Roman" w:hAnsi="Times New Roman" w:hint="eastAsia"/>
          <w:szCs w:val="32"/>
        </w:rPr>
        <w:t>允當，經詢據衛福部卻稱：有關低收入戶春節慰問金、單親家庭子女生活補助費、私立課後托育中心兒童托育津貼，地方政府倘訂定自治條例並經議會審議通過，則屬法定現金給付，得以支用；補助低收入戶、身心障礙者、</w:t>
      </w:r>
      <w:r w:rsidRPr="0054488D">
        <w:rPr>
          <w:rFonts w:ascii="Times New Roman" w:hAnsi="Times New Roman" w:hint="eastAsia"/>
          <w:szCs w:val="32"/>
        </w:rPr>
        <w:t>65</w:t>
      </w:r>
      <w:r w:rsidRPr="0054488D">
        <w:rPr>
          <w:rFonts w:ascii="Times New Roman" w:hAnsi="Times New Roman" w:hint="eastAsia"/>
          <w:szCs w:val="32"/>
        </w:rPr>
        <w:t>歲以上老人的健保費自付額，屬社會保險範疇，依公彩監理委員會第</w:t>
      </w:r>
      <w:r w:rsidRPr="0054488D">
        <w:rPr>
          <w:rFonts w:ascii="Times New Roman" w:hAnsi="Times New Roman" w:hint="eastAsia"/>
          <w:szCs w:val="32"/>
        </w:rPr>
        <w:t>37</w:t>
      </w:r>
      <w:r w:rsidRPr="0054488D">
        <w:rPr>
          <w:rFonts w:ascii="Times New Roman" w:hAnsi="Times New Roman" w:hint="eastAsia"/>
          <w:szCs w:val="32"/>
        </w:rPr>
        <w:t>次會議決議地方政府得以公彩盈餘支應法定補助對象以外的弱勢民眾健保或自付費等語。</w:t>
      </w:r>
      <w:bookmarkEnd w:id="1599"/>
      <w:bookmarkEnd w:id="1600"/>
      <w:bookmarkEnd w:id="1601"/>
      <w:bookmarkEnd w:id="1602"/>
    </w:p>
    <w:p w:rsidR="0040606A" w:rsidRPr="004C392C" w:rsidRDefault="0040606A" w:rsidP="004C392C">
      <w:pPr>
        <w:pStyle w:val="3"/>
        <w:numPr>
          <w:ilvl w:val="2"/>
          <w:numId w:val="9"/>
        </w:numPr>
        <w:kinsoku w:val="0"/>
        <w:ind w:left="1360" w:hanging="680"/>
        <w:rPr>
          <w:rFonts w:ascii="Times New Roman" w:hAnsi="Times New Roman"/>
          <w:b/>
        </w:rPr>
      </w:pPr>
      <w:bookmarkStart w:id="1603" w:name="_Toc507767704"/>
      <w:bookmarkStart w:id="1604" w:name="_Toc507768430"/>
      <w:bookmarkStart w:id="1605" w:name="_Toc511115426"/>
      <w:bookmarkStart w:id="1606" w:name="_Toc511308216"/>
      <w:bookmarkStart w:id="1607" w:name="_Toc511998658"/>
      <w:bookmarkStart w:id="1608" w:name="_Toc512421015"/>
      <w:r w:rsidRPr="004C392C">
        <w:rPr>
          <w:rFonts w:hint="eastAsia"/>
        </w:rPr>
        <w:t>綜上，</w:t>
      </w:r>
      <w:r w:rsidRPr="004C392C">
        <w:rPr>
          <w:rFonts w:ascii="Times New Roman" w:hAnsi="Times New Roman" w:hint="eastAsia"/>
        </w:rPr>
        <w:t>「身心障礙者生活補助、輔助器具及教養費等</w:t>
      </w:r>
      <w:r w:rsidRPr="004C392C">
        <w:rPr>
          <w:rFonts w:ascii="Times New Roman" w:hAnsi="Times New Roman"/>
        </w:rPr>
        <w:t>3</w:t>
      </w:r>
      <w:r w:rsidRPr="004C392C">
        <w:rPr>
          <w:rFonts w:ascii="Times New Roman" w:hAnsi="Times New Roman" w:hint="eastAsia"/>
        </w:rPr>
        <w:t>項補助」、「低收入戶家庭及兒童生活補助」、「低收入戶就學生活補助」、「低收入戶以工代賑」係依身心障礙者權益保障法、社會救助法等相關法律所應提供之現金給付項目，政府自應以穩定之預算經費支應前述法定現金給付，而</w:t>
      </w:r>
      <w:r w:rsidRPr="004C392C">
        <w:rPr>
          <w:rFonts w:ascii="Times New Roman" w:hAnsi="Times New Roman" w:hint="eastAsia"/>
          <w:szCs w:val="24"/>
        </w:rPr>
        <w:t>公益彩券盈餘係屬不穩定財源，</w:t>
      </w:r>
      <w:r w:rsidRPr="004C392C">
        <w:rPr>
          <w:rFonts w:ascii="Times New Roman" w:hAnsi="Times New Roman" w:hint="eastAsia"/>
          <w:spacing w:val="-2"/>
          <w:szCs w:val="24"/>
        </w:rPr>
        <w:t>各地方政府以公益彩券盈餘分配款用於</w:t>
      </w:r>
      <w:r w:rsidRPr="004C392C">
        <w:rPr>
          <w:rFonts w:ascii="Times New Roman" w:hAnsi="Times New Roman"/>
          <w:spacing w:val="-2"/>
          <w:szCs w:val="24"/>
        </w:rPr>
        <w:t>6</w:t>
      </w:r>
      <w:r w:rsidRPr="004C392C">
        <w:rPr>
          <w:rFonts w:ascii="Times New Roman" w:hAnsi="Times New Roman" w:hint="eastAsia"/>
          <w:spacing w:val="-2"/>
          <w:szCs w:val="24"/>
        </w:rPr>
        <w:t>項</w:t>
      </w:r>
      <w:r w:rsidRPr="004C392C">
        <w:rPr>
          <w:rFonts w:ascii="Times New Roman" w:hAnsi="Times New Roman" w:hint="eastAsia"/>
          <w:szCs w:val="24"/>
        </w:rPr>
        <w:t>法定現金補助經費之比率雖已呈現逐年降低之趨勢，衛福部亦修正考核指標，以避免</w:t>
      </w:r>
      <w:r w:rsidR="005E5D9F" w:rsidRPr="004C392C">
        <w:rPr>
          <w:rFonts w:ascii="Times New Roman" w:hAnsi="Times New Roman" w:hint="eastAsia"/>
          <w:szCs w:val="24"/>
        </w:rPr>
        <w:t>地方政府將該</w:t>
      </w:r>
      <w:r w:rsidRPr="004C392C">
        <w:rPr>
          <w:rFonts w:ascii="Times New Roman" w:hAnsi="Times New Roman" w:hint="eastAsia"/>
          <w:szCs w:val="24"/>
        </w:rPr>
        <w:t>盈餘分配款過度運用於法定現金給付，引導地方政府逐年降低編列比率，惟部分縣市運用比率仍高，</w:t>
      </w:r>
      <w:r w:rsidR="00C121DF" w:rsidRPr="004C392C">
        <w:rPr>
          <w:rFonts w:ascii="Times New Roman" w:hAnsi="Times New Roman" w:hint="eastAsia"/>
          <w:szCs w:val="24"/>
        </w:rPr>
        <w:t>甚至</w:t>
      </w:r>
      <w:r w:rsidRPr="004C392C">
        <w:rPr>
          <w:rFonts w:ascii="Times New Roman" w:hAnsi="Times New Roman" w:hint="eastAsia"/>
          <w:szCs w:val="24"/>
        </w:rPr>
        <w:t>有高達</w:t>
      </w:r>
      <w:r w:rsidRPr="004C392C">
        <w:rPr>
          <w:rFonts w:ascii="Times New Roman" w:hAnsi="Times New Roman"/>
          <w:szCs w:val="24"/>
        </w:rPr>
        <w:t>8</w:t>
      </w:r>
      <w:r w:rsidRPr="004C392C">
        <w:rPr>
          <w:rFonts w:ascii="Times New Roman" w:hAnsi="Times New Roman" w:hint="eastAsia"/>
          <w:szCs w:val="24"/>
        </w:rPr>
        <w:t>成者，衛福部允應督促檢討改進。</w:t>
      </w:r>
      <w:bookmarkEnd w:id="1575"/>
      <w:bookmarkEnd w:id="1576"/>
      <w:bookmarkEnd w:id="1577"/>
      <w:bookmarkEnd w:id="1578"/>
      <w:bookmarkEnd w:id="1594"/>
      <w:bookmarkEnd w:id="1595"/>
      <w:bookmarkEnd w:id="1596"/>
      <w:bookmarkEnd w:id="1597"/>
      <w:bookmarkEnd w:id="1598"/>
      <w:bookmarkEnd w:id="1603"/>
      <w:bookmarkEnd w:id="1604"/>
      <w:bookmarkEnd w:id="1605"/>
      <w:bookmarkEnd w:id="1606"/>
      <w:bookmarkEnd w:id="1607"/>
      <w:bookmarkEnd w:id="1608"/>
    </w:p>
    <w:p w:rsidR="0040606A" w:rsidRPr="00016B23" w:rsidRDefault="0040606A" w:rsidP="0040606A">
      <w:pPr>
        <w:pStyle w:val="2"/>
        <w:numPr>
          <w:ilvl w:val="1"/>
          <w:numId w:val="9"/>
        </w:numPr>
        <w:kinsoku w:val="0"/>
        <w:ind w:left="1020" w:hanging="680"/>
        <w:rPr>
          <w:rFonts w:ascii="Times New Roman" w:hAnsi="Times New Roman"/>
          <w:b/>
          <w:spacing w:val="-2"/>
        </w:rPr>
      </w:pPr>
      <w:bookmarkStart w:id="1609" w:name="_Toc507518622"/>
      <w:bookmarkStart w:id="1610" w:name="_Toc507767705"/>
      <w:bookmarkStart w:id="1611" w:name="_Toc511115427"/>
      <w:bookmarkStart w:id="1612" w:name="_Toc512421016"/>
      <w:bookmarkStart w:id="1613" w:name="_Toc507072998"/>
      <w:r w:rsidRPr="00016B23">
        <w:rPr>
          <w:rFonts w:ascii="Times New Roman" w:hAnsi="Times New Roman" w:hint="eastAsia"/>
          <w:b/>
          <w:spacing w:val="-2"/>
        </w:rPr>
        <w:t>財政部為避免地方政府以</w:t>
      </w:r>
      <w:r w:rsidR="00985397">
        <w:rPr>
          <w:rFonts w:ascii="Times New Roman" w:hAnsi="Times New Roman" w:hint="eastAsia"/>
          <w:b/>
          <w:spacing w:val="-2"/>
        </w:rPr>
        <w:t>獲配之</w:t>
      </w:r>
      <w:r w:rsidRPr="00016B23">
        <w:rPr>
          <w:rFonts w:ascii="Times New Roman" w:hAnsi="Times New Roman" w:hint="eastAsia"/>
          <w:b/>
          <w:spacing w:val="-2"/>
        </w:rPr>
        <w:t>公益彩券盈餘過度運用於資本門支出，雖已於</w:t>
      </w:r>
      <w:r w:rsidRPr="00016B23">
        <w:rPr>
          <w:rFonts w:ascii="Times New Roman" w:hAnsi="Times New Roman"/>
          <w:b/>
          <w:spacing w:val="-2"/>
        </w:rPr>
        <w:t>104</w:t>
      </w:r>
      <w:r w:rsidRPr="00016B23">
        <w:rPr>
          <w:rFonts w:ascii="Times New Roman" w:hAnsi="Times New Roman" w:hint="eastAsia"/>
          <w:b/>
          <w:spacing w:val="-2"/>
        </w:rPr>
        <w:t>年間規範相關</w:t>
      </w:r>
      <w:r w:rsidR="00C121DF" w:rsidRPr="00016B23">
        <w:rPr>
          <w:rFonts w:ascii="Times New Roman" w:hAnsi="Times New Roman" w:hint="eastAsia"/>
          <w:b/>
          <w:spacing w:val="-2"/>
        </w:rPr>
        <w:t>的</w:t>
      </w:r>
      <w:r w:rsidRPr="00016B23">
        <w:rPr>
          <w:rFonts w:ascii="Times New Roman" w:hAnsi="Times New Roman" w:hint="eastAsia"/>
          <w:b/>
          <w:spacing w:val="-2"/>
        </w:rPr>
        <w:t>運用原則及上限，並列入</w:t>
      </w:r>
      <w:r w:rsidRPr="00016B23">
        <w:rPr>
          <w:rFonts w:ascii="Times New Roman" w:hAnsi="Times New Roman"/>
          <w:b/>
          <w:spacing w:val="-2"/>
        </w:rPr>
        <w:t>106</w:t>
      </w:r>
      <w:r w:rsidRPr="00016B23">
        <w:rPr>
          <w:rFonts w:ascii="Times New Roman" w:hAnsi="Times New Roman" w:hint="eastAsia"/>
          <w:b/>
          <w:spacing w:val="-2"/>
        </w:rPr>
        <w:t>年度考核指標</w:t>
      </w:r>
      <w:r w:rsidR="00C121DF" w:rsidRPr="00016B23">
        <w:rPr>
          <w:rFonts w:ascii="Times New Roman" w:hAnsi="Times New Roman" w:hint="eastAsia"/>
          <w:b/>
          <w:spacing w:val="-2"/>
        </w:rPr>
        <w:t>；</w:t>
      </w:r>
      <w:r w:rsidRPr="00016B23">
        <w:rPr>
          <w:rFonts w:ascii="Times New Roman" w:hAnsi="Times New Roman" w:hint="eastAsia"/>
          <w:b/>
          <w:spacing w:val="-2"/>
        </w:rPr>
        <w:t>惟後續各地方政府</w:t>
      </w:r>
      <w:r w:rsidR="00C121DF" w:rsidRPr="00016B23">
        <w:rPr>
          <w:rFonts w:ascii="Times New Roman" w:hAnsi="Times New Roman" w:hint="eastAsia"/>
          <w:b/>
          <w:spacing w:val="-2"/>
        </w:rPr>
        <w:t>在</w:t>
      </w:r>
      <w:r w:rsidRPr="00016B23">
        <w:rPr>
          <w:rFonts w:ascii="Times New Roman" w:hAnsi="Times New Roman" w:hint="eastAsia"/>
          <w:b/>
          <w:spacing w:val="-2"/>
        </w:rPr>
        <w:t>實際運用</w:t>
      </w:r>
      <w:r w:rsidR="00C121DF" w:rsidRPr="00016B23">
        <w:rPr>
          <w:rFonts w:ascii="Times New Roman" w:hAnsi="Times New Roman" w:hint="eastAsia"/>
          <w:b/>
          <w:spacing w:val="-2"/>
        </w:rPr>
        <w:t>上</w:t>
      </w:r>
      <w:r w:rsidRPr="00016B23">
        <w:rPr>
          <w:rFonts w:ascii="Times New Roman" w:hAnsi="Times New Roman" w:hint="eastAsia"/>
          <w:b/>
          <w:spacing w:val="-2"/>
        </w:rPr>
        <w:t>是否將產生如</w:t>
      </w:r>
      <w:r w:rsidR="00C121DF" w:rsidRPr="00016B23">
        <w:rPr>
          <w:rFonts w:ascii="Times New Roman" w:hAnsi="Times New Roman" w:hint="eastAsia"/>
          <w:b/>
          <w:spacing w:val="-2"/>
        </w:rPr>
        <w:t>前述</w:t>
      </w:r>
      <w:r w:rsidRPr="00016B23">
        <w:rPr>
          <w:rFonts w:ascii="Times New Roman" w:hAnsi="Times New Roman"/>
          <w:b/>
          <w:spacing w:val="-2"/>
        </w:rPr>
        <w:t>6</w:t>
      </w:r>
      <w:r w:rsidRPr="00016B23">
        <w:rPr>
          <w:rFonts w:ascii="Times New Roman" w:hAnsi="Times New Roman" w:hint="eastAsia"/>
          <w:b/>
          <w:spacing w:val="-2"/>
        </w:rPr>
        <w:t>項法定現金補助之類似情事，該部允應及早妥為因應，避免造成預算排擠效應及易放難收等問題。</w:t>
      </w:r>
      <w:bookmarkEnd w:id="1609"/>
      <w:bookmarkEnd w:id="1610"/>
      <w:bookmarkEnd w:id="1611"/>
      <w:bookmarkEnd w:id="1612"/>
    </w:p>
    <w:p w:rsidR="0040606A" w:rsidRPr="00CE3D61" w:rsidRDefault="0040606A" w:rsidP="00CE3D61">
      <w:pPr>
        <w:pStyle w:val="3"/>
        <w:numPr>
          <w:ilvl w:val="2"/>
          <w:numId w:val="9"/>
        </w:numPr>
        <w:topLinePunct/>
        <w:ind w:left="1360" w:hanging="680"/>
        <w:rPr>
          <w:rFonts w:ascii="Times New Roman" w:hAnsi="Times New Roman"/>
          <w:szCs w:val="24"/>
        </w:rPr>
      </w:pPr>
      <w:bookmarkStart w:id="1614" w:name="_Toc507518623"/>
      <w:bookmarkStart w:id="1615" w:name="_Toc507767706"/>
      <w:bookmarkStart w:id="1616" w:name="_Toc507768432"/>
      <w:bookmarkStart w:id="1617" w:name="_Toc511115428"/>
      <w:bookmarkStart w:id="1618" w:name="_Toc511308218"/>
      <w:bookmarkStart w:id="1619" w:name="_Toc511998660"/>
      <w:bookmarkStart w:id="1620" w:name="_Toc512421017"/>
      <w:bookmarkStart w:id="1621" w:name="_Toc507491618"/>
      <w:bookmarkStart w:id="1622" w:name="_Toc507484794"/>
      <w:r w:rsidRPr="00CE3D61">
        <w:rPr>
          <w:rFonts w:ascii="Times New Roman" w:hAnsi="Times New Roman" w:hint="eastAsia"/>
          <w:szCs w:val="24"/>
        </w:rPr>
        <w:t>如前所述，衛福部為避免各地方政府以獲配之公益彩券盈餘過度用於</w:t>
      </w:r>
      <w:r w:rsidRPr="00CE3D61">
        <w:rPr>
          <w:rFonts w:ascii="Times New Roman" w:hAnsi="Times New Roman"/>
          <w:szCs w:val="24"/>
        </w:rPr>
        <w:t>6</w:t>
      </w:r>
      <w:r w:rsidRPr="00CE3D61">
        <w:rPr>
          <w:rFonts w:ascii="Times New Roman" w:hAnsi="Times New Roman" w:hint="eastAsia"/>
          <w:szCs w:val="24"/>
        </w:rPr>
        <w:t>項法定現金補助計畫經費，爰於考核指標中訂定地方政府依其財力分級可編列</w:t>
      </w:r>
      <w:r w:rsidRPr="00CE3D61">
        <w:rPr>
          <w:rFonts w:ascii="Times New Roman" w:hAnsi="Times New Roman"/>
          <w:szCs w:val="24"/>
        </w:rPr>
        <w:t>6</w:t>
      </w:r>
      <w:r w:rsidRPr="00CE3D61">
        <w:rPr>
          <w:rFonts w:ascii="Times New Roman" w:hAnsi="Times New Roman" w:hint="eastAsia"/>
          <w:szCs w:val="24"/>
        </w:rPr>
        <w:t>項現金給付經費之比率上限，而每年各地方政府以</w:t>
      </w:r>
      <w:r w:rsidR="00CE3D61" w:rsidRPr="00CE3D61">
        <w:rPr>
          <w:rFonts w:ascii="Times New Roman" w:hAnsi="Times New Roman" w:hint="eastAsia"/>
          <w:szCs w:val="24"/>
        </w:rPr>
        <w:t>該</w:t>
      </w:r>
      <w:r w:rsidRPr="00CE3D61">
        <w:rPr>
          <w:rFonts w:ascii="Times New Roman" w:hAnsi="Times New Roman" w:hint="eastAsia"/>
          <w:szCs w:val="24"/>
        </w:rPr>
        <w:t>盈餘分配款用於</w:t>
      </w:r>
      <w:r w:rsidR="00CE3D61" w:rsidRPr="00CE3D61">
        <w:rPr>
          <w:rFonts w:ascii="Times New Roman" w:hAnsi="Times New Roman" w:hint="eastAsia"/>
          <w:szCs w:val="24"/>
        </w:rPr>
        <w:t>各該項</w:t>
      </w:r>
      <w:r w:rsidRPr="00CE3D61">
        <w:rPr>
          <w:rFonts w:ascii="Times New Roman" w:hAnsi="Times New Roman" w:hint="eastAsia"/>
          <w:szCs w:val="24"/>
        </w:rPr>
        <w:t>法定現金補助計畫經費預算之比率，雖符合財力分級編列標準，惟</w:t>
      </w:r>
      <w:r w:rsidRPr="00CE3D61">
        <w:rPr>
          <w:rFonts w:ascii="Times New Roman" w:hAnsi="Times New Roman"/>
          <w:szCs w:val="24"/>
        </w:rPr>
        <w:t>6</w:t>
      </w:r>
      <w:r w:rsidRPr="00CE3D61">
        <w:rPr>
          <w:rFonts w:ascii="Times New Roman" w:hAnsi="Times New Roman" w:hint="eastAsia"/>
          <w:szCs w:val="24"/>
        </w:rPr>
        <w:t>項經費</w:t>
      </w:r>
      <w:r w:rsidR="00CE3D61" w:rsidRPr="00CE3D61">
        <w:rPr>
          <w:rFonts w:ascii="Times New Roman" w:hAnsi="Times New Roman" w:hint="eastAsia"/>
          <w:szCs w:val="24"/>
        </w:rPr>
        <w:t>總額</w:t>
      </w:r>
      <w:r w:rsidRPr="00CE3D61">
        <w:rPr>
          <w:rFonts w:ascii="Times New Roman" w:hAnsi="Times New Roman" w:hint="eastAsia"/>
          <w:szCs w:val="24"/>
        </w:rPr>
        <w:t>占公益彩券盈餘分配款預算數之比率卻有偏高之情事；嗣後衛福部雖已透過考核指標要求逐年減編預算，惟部分縣市運用比率仍偏高，甚</w:t>
      </w:r>
      <w:r w:rsidR="00CE3D61" w:rsidRPr="00CE3D61">
        <w:rPr>
          <w:rFonts w:ascii="Times New Roman" w:hAnsi="Times New Roman" w:hint="eastAsia"/>
          <w:szCs w:val="24"/>
        </w:rPr>
        <w:t>至</w:t>
      </w:r>
      <w:r w:rsidRPr="00CE3D61">
        <w:rPr>
          <w:rFonts w:ascii="Times New Roman" w:hAnsi="Times New Roman" w:hint="eastAsia"/>
          <w:szCs w:val="24"/>
        </w:rPr>
        <w:t>有高達</w:t>
      </w:r>
      <w:r w:rsidRPr="00CE3D61">
        <w:rPr>
          <w:rFonts w:ascii="Times New Roman" w:hAnsi="Times New Roman"/>
          <w:szCs w:val="24"/>
        </w:rPr>
        <w:t>8</w:t>
      </w:r>
      <w:r w:rsidRPr="00CE3D61">
        <w:rPr>
          <w:rFonts w:ascii="Times New Roman" w:hAnsi="Times New Roman" w:hint="eastAsia"/>
          <w:szCs w:val="24"/>
        </w:rPr>
        <w:t>成者。</w:t>
      </w:r>
      <w:bookmarkEnd w:id="1614"/>
      <w:bookmarkEnd w:id="1615"/>
      <w:bookmarkEnd w:id="1616"/>
      <w:bookmarkEnd w:id="1617"/>
      <w:bookmarkEnd w:id="1618"/>
      <w:bookmarkEnd w:id="1619"/>
      <w:bookmarkEnd w:id="1620"/>
    </w:p>
    <w:p w:rsidR="0040606A" w:rsidRDefault="0040606A" w:rsidP="0040606A">
      <w:pPr>
        <w:pStyle w:val="3"/>
        <w:numPr>
          <w:ilvl w:val="2"/>
          <w:numId w:val="9"/>
        </w:numPr>
        <w:kinsoku w:val="0"/>
        <w:ind w:left="1360" w:hanging="680"/>
        <w:rPr>
          <w:rFonts w:ascii="Times New Roman" w:hAnsi="Times New Roman"/>
        </w:rPr>
      </w:pPr>
      <w:bookmarkStart w:id="1623" w:name="_Toc507518624"/>
      <w:bookmarkStart w:id="1624" w:name="_Toc507767707"/>
      <w:bookmarkStart w:id="1625" w:name="_Toc507768433"/>
      <w:bookmarkStart w:id="1626" w:name="_Toc511115429"/>
      <w:bookmarkStart w:id="1627" w:name="_Toc511308219"/>
      <w:bookmarkStart w:id="1628" w:name="_Toc511998661"/>
      <w:bookmarkStart w:id="1629" w:name="_Toc512421018"/>
      <w:r>
        <w:rPr>
          <w:rFonts w:ascii="Times New Roman" w:hAnsi="Times New Roman" w:hint="eastAsia"/>
          <w:szCs w:val="24"/>
        </w:rPr>
        <w:t>針對公益彩券盈餘累積剩餘款運用於社會福利資本門支出之問題，依據</w:t>
      </w:r>
      <w:r>
        <w:rPr>
          <w:rFonts w:ascii="Times New Roman" w:hAnsi="Times New Roman"/>
          <w:szCs w:val="24"/>
        </w:rPr>
        <w:t>102</w:t>
      </w:r>
      <w:r>
        <w:rPr>
          <w:rFonts w:ascii="Times New Roman" w:hAnsi="Times New Roman" w:hint="eastAsia"/>
          <w:szCs w:val="24"/>
        </w:rPr>
        <w:t>年</w:t>
      </w:r>
      <w:r>
        <w:rPr>
          <w:rFonts w:ascii="Times New Roman" w:hAnsi="Times New Roman"/>
          <w:szCs w:val="24"/>
        </w:rPr>
        <w:t>3</w:t>
      </w:r>
      <w:r>
        <w:rPr>
          <w:rFonts w:ascii="Times New Roman" w:hAnsi="Times New Roman" w:hint="eastAsia"/>
          <w:szCs w:val="24"/>
        </w:rPr>
        <w:t>月</w:t>
      </w:r>
      <w:r>
        <w:rPr>
          <w:rFonts w:ascii="Times New Roman" w:hAnsi="Times New Roman"/>
          <w:szCs w:val="24"/>
        </w:rPr>
        <w:t>26</w:t>
      </w:r>
      <w:r>
        <w:rPr>
          <w:rFonts w:ascii="Times New Roman" w:hAnsi="Times New Roman" w:hint="eastAsia"/>
          <w:szCs w:val="24"/>
        </w:rPr>
        <w:t>日</w:t>
      </w:r>
      <w:r w:rsidR="00393492">
        <w:rPr>
          <w:rFonts w:ascii="Times New Roman" w:hAnsi="Times New Roman" w:hint="eastAsia"/>
          <w:szCs w:val="24"/>
        </w:rPr>
        <w:t>財政部</w:t>
      </w:r>
      <w:r w:rsidR="004931EE">
        <w:rPr>
          <w:rFonts w:ascii="Times New Roman" w:hAnsi="Times New Roman" w:hint="eastAsia"/>
          <w:spacing w:val="2"/>
        </w:rPr>
        <w:t>公益彩券監理委員會</w:t>
      </w:r>
      <w:r>
        <w:rPr>
          <w:rFonts w:ascii="Times New Roman" w:hAnsi="Times New Roman" w:hint="eastAsia"/>
          <w:szCs w:val="24"/>
        </w:rPr>
        <w:t>第</w:t>
      </w:r>
      <w:r>
        <w:rPr>
          <w:rFonts w:ascii="Times New Roman" w:hAnsi="Times New Roman"/>
          <w:szCs w:val="24"/>
        </w:rPr>
        <w:t>54</w:t>
      </w:r>
      <w:r>
        <w:rPr>
          <w:rFonts w:ascii="Times New Roman" w:hAnsi="Times New Roman" w:hint="eastAsia"/>
          <w:szCs w:val="24"/>
        </w:rPr>
        <w:t>次委員會議紀錄</w:t>
      </w:r>
      <w:r w:rsidR="00393492">
        <w:rPr>
          <w:rFonts w:ascii="Times New Roman" w:hAnsi="Times New Roman" w:hint="eastAsia"/>
          <w:szCs w:val="24"/>
        </w:rPr>
        <w:t>顯示</w:t>
      </w:r>
      <w:r>
        <w:rPr>
          <w:rFonts w:ascii="Times New Roman" w:hAnsi="Times New Roman" w:hint="eastAsia"/>
          <w:szCs w:val="24"/>
        </w:rPr>
        <w:t>，委員提出意見如下：</w:t>
      </w:r>
      <w:r>
        <w:rPr>
          <w:rFonts w:ascii="Times New Roman" w:hAnsi="Times New Roman"/>
          <w:szCs w:val="24"/>
        </w:rPr>
        <w:t>1</w:t>
      </w:r>
      <w:r>
        <w:rPr>
          <w:rFonts w:ascii="Times New Roman" w:hAnsi="Times New Roman" w:hint="eastAsia"/>
          <w:szCs w:val="24"/>
        </w:rPr>
        <w:t>、資本性支出占年度公益彩券盈餘支出比例過大，形成以快速方法將累積剩餘款用完，恐有社會觀感問題；</w:t>
      </w:r>
      <w:r>
        <w:rPr>
          <w:rFonts w:ascii="Times New Roman" w:hAnsi="Times New Roman"/>
          <w:szCs w:val="24"/>
        </w:rPr>
        <w:t>2</w:t>
      </w:r>
      <w:r>
        <w:rPr>
          <w:rFonts w:ascii="Times New Roman" w:hAnsi="Times New Roman" w:hint="eastAsia"/>
          <w:szCs w:val="24"/>
        </w:rPr>
        <w:t>、公益彩券盈餘如欲運用於社會福利資本設施，宜以輔助性、維修性等經常門支出為主，不宜大量運用於資本門支出，如有運用於資本門必要，仍應於公務預算編列自籌款，不足部分始得以公益彩券盈餘支應。案經決議：「公益彩券盈餘運用於資本設施，宜優先由現有設施或資產進行活化運用，避免閒置。」前述決議並經財政部以</w:t>
      </w:r>
      <w:r>
        <w:rPr>
          <w:rFonts w:ascii="Times New Roman" w:hAnsi="Times New Roman"/>
          <w:szCs w:val="24"/>
        </w:rPr>
        <w:t>102</w:t>
      </w:r>
      <w:r>
        <w:rPr>
          <w:rFonts w:ascii="Times New Roman" w:hAnsi="Times New Roman" w:hint="eastAsia"/>
          <w:szCs w:val="24"/>
        </w:rPr>
        <w:t>年</w:t>
      </w:r>
      <w:r>
        <w:rPr>
          <w:rFonts w:ascii="Times New Roman" w:hAnsi="Times New Roman"/>
          <w:szCs w:val="24"/>
        </w:rPr>
        <w:t>4</w:t>
      </w:r>
      <w:r>
        <w:rPr>
          <w:rFonts w:ascii="Times New Roman" w:hAnsi="Times New Roman" w:hint="eastAsia"/>
          <w:szCs w:val="24"/>
        </w:rPr>
        <w:t>月</w:t>
      </w:r>
      <w:r>
        <w:rPr>
          <w:rFonts w:ascii="Times New Roman" w:hAnsi="Times New Roman"/>
          <w:szCs w:val="24"/>
        </w:rPr>
        <w:t>18</w:t>
      </w:r>
      <w:r>
        <w:rPr>
          <w:rFonts w:ascii="Times New Roman" w:hAnsi="Times New Roman" w:hint="eastAsia"/>
          <w:szCs w:val="24"/>
        </w:rPr>
        <w:t>日台財庫字第</w:t>
      </w:r>
      <w:r>
        <w:rPr>
          <w:rFonts w:ascii="Times New Roman" w:hAnsi="Times New Roman"/>
          <w:szCs w:val="24"/>
        </w:rPr>
        <w:t>1020364380</w:t>
      </w:r>
      <w:r>
        <w:rPr>
          <w:rFonts w:ascii="Times New Roman" w:hAnsi="Times New Roman" w:hint="eastAsia"/>
          <w:szCs w:val="24"/>
        </w:rPr>
        <w:t>號函知各地方政府配合辦理在案。</w:t>
      </w:r>
      <w:bookmarkEnd w:id="1623"/>
      <w:bookmarkEnd w:id="1624"/>
      <w:bookmarkEnd w:id="1625"/>
      <w:bookmarkEnd w:id="1626"/>
      <w:bookmarkEnd w:id="1627"/>
      <w:bookmarkEnd w:id="1628"/>
      <w:bookmarkEnd w:id="1629"/>
    </w:p>
    <w:p w:rsidR="0040606A" w:rsidRPr="00F12F28" w:rsidRDefault="0040606A" w:rsidP="0040606A">
      <w:pPr>
        <w:pStyle w:val="3"/>
        <w:numPr>
          <w:ilvl w:val="2"/>
          <w:numId w:val="9"/>
        </w:numPr>
        <w:kinsoku w:val="0"/>
        <w:ind w:left="1360" w:hanging="680"/>
        <w:rPr>
          <w:rFonts w:ascii="Times New Roman" w:hAnsi="Times New Roman"/>
          <w:szCs w:val="32"/>
        </w:rPr>
      </w:pPr>
      <w:bookmarkStart w:id="1630" w:name="_Toc507518625"/>
      <w:bookmarkStart w:id="1631" w:name="_Toc507767708"/>
      <w:bookmarkStart w:id="1632" w:name="_Toc507768434"/>
      <w:bookmarkStart w:id="1633" w:name="_Toc511115430"/>
      <w:bookmarkStart w:id="1634" w:name="_Toc511308220"/>
      <w:bookmarkStart w:id="1635" w:name="_Toc511998662"/>
      <w:bookmarkStart w:id="1636" w:name="_Toc512421019"/>
      <w:r>
        <w:rPr>
          <w:rFonts w:ascii="Times New Roman" w:hAnsi="Times New Roman" w:hint="eastAsia"/>
          <w:szCs w:val="24"/>
        </w:rPr>
        <w:t>惟查，各地方政府實際上以公益彩券盈餘累積剩餘款運用於社會福利資本門支出時，有否落實前述運用原則，財政部卻</w:t>
      </w:r>
      <w:r w:rsidR="00393492">
        <w:rPr>
          <w:rFonts w:ascii="Times New Roman" w:hAnsi="Times New Roman" w:hint="eastAsia"/>
          <w:szCs w:val="24"/>
        </w:rPr>
        <w:t>無</w:t>
      </w:r>
      <w:r>
        <w:rPr>
          <w:rFonts w:ascii="Times New Roman" w:hAnsi="Times New Roman" w:hint="eastAsia"/>
          <w:szCs w:val="24"/>
        </w:rPr>
        <w:t>相關評核監督機制，亦未納入考核範圍。且經本院實地查閱帳冊後發現，某地方政府以該項財源運用於公務機關修繕工程、設施更新等項目，爰函請審計部</w:t>
      </w:r>
      <w:r>
        <w:rPr>
          <w:rFonts w:ascii="Times New Roman" w:hAnsi="Times New Roman" w:hint="eastAsia"/>
        </w:rPr>
        <w:t>轉各地方審計處</w:t>
      </w:r>
      <w:r>
        <w:rPr>
          <w:rFonts w:ascii="Times New Roman" w:hAnsi="Times New Roman"/>
        </w:rPr>
        <w:t>(</w:t>
      </w:r>
      <w:r>
        <w:rPr>
          <w:rFonts w:ascii="Times New Roman" w:hAnsi="Times New Roman" w:hint="eastAsia"/>
        </w:rPr>
        <w:t>室</w:t>
      </w:r>
      <w:r>
        <w:rPr>
          <w:rFonts w:ascii="Times New Roman" w:hAnsi="Times New Roman"/>
        </w:rPr>
        <w:t>)</w:t>
      </w:r>
      <w:r>
        <w:rPr>
          <w:rFonts w:ascii="Times New Roman" w:hAnsi="Times New Roman" w:hint="eastAsia"/>
        </w:rPr>
        <w:t>協助查核。依據審計部查復結果顯示，</w:t>
      </w:r>
      <w:r>
        <w:rPr>
          <w:rFonts w:ascii="Times New Roman" w:hAnsi="Times New Roman"/>
        </w:rPr>
        <w:t>101</w:t>
      </w:r>
      <w:r>
        <w:rPr>
          <w:rFonts w:ascii="Times New Roman" w:hAnsi="Times New Roman" w:hint="eastAsia"/>
        </w:rPr>
        <w:t>年至</w:t>
      </w:r>
      <w:r>
        <w:rPr>
          <w:rFonts w:ascii="Times New Roman" w:hAnsi="Times New Roman"/>
        </w:rPr>
        <w:t>105</w:t>
      </w:r>
      <w:r>
        <w:rPr>
          <w:rFonts w:ascii="Times New Roman" w:hAnsi="Times New Roman" w:hint="eastAsia"/>
        </w:rPr>
        <w:t>年部分縣市以公益彩券盈餘分配款用於公務機關</w:t>
      </w:r>
      <w:r>
        <w:rPr>
          <w:rFonts w:ascii="Times New Roman" w:hAnsi="Times New Roman" w:hint="eastAsia"/>
          <w:szCs w:val="32"/>
        </w:rPr>
        <w:t>修繕工程、設施更新項目之經費占比，有欠</w:t>
      </w:r>
      <w:r w:rsidRPr="00F12F28">
        <w:rPr>
          <w:rFonts w:ascii="Times New Roman" w:hAnsi="Times New Roman" w:hint="eastAsia"/>
          <w:szCs w:val="32"/>
        </w:rPr>
        <w:t>允當</w:t>
      </w:r>
      <w:r>
        <w:rPr>
          <w:rFonts w:ascii="Times New Roman" w:hAnsi="Times New Roman" w:hint="eastAsia"/>
          <w:szCs w:val="32"/>
        </w:rPr>
        <w:t>：</w:t>
      </w:r>
      <w:bookmarkEnd w:id="1621"/>
      <w:bookmarkEnd w:id="1622"/>
      <w:bookmarkEnd w:id="1630"/>
      <w:bookmarkEnd w:id="1631"/>
      <w:bookmarkEnd w:id="1632"/>
      <w:bookmarkEnd w:id="1633"/>
      <w:bookmarkEnd w:id="1634"/>
      <w:bookmarkEnd w:id="1635"/>
      <w:bookmarkEnd w:id="1636"/>
    </w:p>
    <w:p w:rsidR="0040606A" w:rsidRDefault="0040606A" w:rsidP="0040606A">
      <w:pPr>
        <w:pStyle w:val="4"/>
        <w:numPr>
          <w:ilvl w:val="3"/>
          <w:numId w:val="9"/>
        </w:numPr>
        <w:topLinePunct/>
        <w:rPr>
          <w:rFonts w:ascii="Times New Roman" w:hAnsi="Times New Roman"/>
          <w:bCs/>
        </w:rPr>
      </w:pPr>
      <w:r>
        <w:rPr>
          <w:rFonts w:ascii="Times New Roman" w:hAnsi="Times New Roman" w:hint="eastAsia"/>
          <w:bCs/>
        </w:rPr>
        <w:t>臺北市：為興建籌設老人長期照顧機構、身心障礙者福利機構及托嬰中心所需，</w:t>
      </w:r>
      <w:r>
        <w:rPr>
          <w:rFonts w:ascii="Times New Roman" w:hAnsi="Times New Roman"/>
          <w:bCs/>
        </w:rPr>
        <w:t>104</w:t>
      </w:r>
      <w:r>
        <w:rPr>
          <w:rFonts w:ascii="Times New Roman" w:hAnsi="Times New Roman" w:hint="eastAsia"/>
          <w:bCs/>
        </w:rPr>
        <w:t>年配合參建台肥公營住宅社會福利設施工程共計</w:t>
      </w:r>
      <w:r>
        <w:rPr>
          <w:rFonts w:ascii="Times New Roman" w:hAnsi="Times New Roman"/>
          <w:bCs/>
        </w:rPr>
        <w:t>3</w:t>
      </w:r>
      <w:r>
        <w:rPr>
          <w:rFonts w:ascii="Times New Roman" w:hAnsi="Times New Roman" w:hint="eastAsia"/>
          <w:bCs/>
        </w:rPr>
        <w:t>億</w:t>
      </w:r>
      <w:r>
        <w:rPr>
          <w:rFonts w:ascii="Times New Roman" w:hAnsi="Times New Roman"/>
          <w:bCs/>
        </w:rPr>
        <w:t>7,655</w:t>
      </w:r>
      <w:r>
        <w:rPr>
          <w:rFonts w:ascii="Times New Roman" w:hAnsi="Times New Roman" w:hint="eastAsia"/>
          <w:bCs/>
        </w:rPr>
        <w:t>萬餘元，分別於</w:t>
      </w:r>
      <w:r w:rsidR="00393492">
        <w:rPr>
          <w:rFonts w:ascii="Times New Roman" w:hAnsi="Times New Roman" w:hint="eastAsia"/>
          <w:bCs/>
        </w:rPr>
        <w:t>該府社會局</w:t>
      </w:r>
      <w:r>
        <w:rPr>
          <w:rFonts w:ascii="Times New Roman" w:hAnsi="Times New Roman" w:hint="eastAsia"/>
          <w:bCs/>
        </w:rPr>
        <w:t>公務預算</w:t>
      </w:r>
      <w:r>
        <w:rPr>
          <w:rFonts w:ascii="Times New Roman" w:hAnsi="Times New Roman"/>
          <w:bCs/>
        </w:rPr>
        <w:t>(10</w:t>
      </w:r>
      <w:r>
        <w:rPr>
          <w:rFonts w:ascii="Times New Roman" w:hAnsi="Times New Roman" w:hint="eastAsia"/>
          <w:bCs/>
        </w:rPr>
        <w:t>％</w:t>
      </w:r>
      <w:r>
        <w:rPr>
          <w:rFonts w:ascii="Times New Roman" w:hAnsi="Times New Roman"/>
          <w:bCs/>
        </w:rPr>
        <w:t>)</w:t>
      </w:r>
      <w:r>
        <w:rPr>
          <w:rFonts w:ascii="Times New Roman" w:hAnsi="Times New Roman" w:hint="eastAsia"/>
          <w:bCs/>
        </w:rPr>
        <w:t>及</w:t>
      </w:r>
      <w:r>
        <w:rPr>
          <w:rFonts w:ascii="Times New Roman" w:hAnsi="Times New Roman" w:hint="eastAsia"/>
        </w:rPr>
        <w:t>公益彩券盈餘分配基金</w:t>
      </w:r>
      <w:r>
        <w:rPr>
          <w:rFonts w:ascii="Times New Roman" w:hAnsi="Times New Roman"/>
          <w:bCs/>
        </w:rPr>
        <w:t>(90</w:t>
      </w:r>
      <w:r>
        <w:rPr>
          <w:rFonts w:ascii="Times New Roman" w:hAnsi="Times New Roman" w:hint="eastAsia"/>
          <w:bCs/>
        </w:rPr>
        <w:t>％</w:t>
      </w:r>
      <w:r>
        <w:rPr>
          <w:rFonts w:ascii="Times New Roman" w:hAnsi="Times New Roman"/>
          <w:bCs/>
        </w:rPr>
        <w:t>)</w:t>
      </w:r>
      <w:r>
        <w:rPr>
          <w:rFonts w:ascii="Times New Roman" w:hAnsi="Times New Roman" w:hint="eastAsia"/>
          <w:bCs/>
        </w:rPr>
        <w:t>支應。惟該基金大量運用於資本門支出，且計畫經費以該基金為主要負擔者，與首揭財政部函示未臻相合。</w:t>
      </w:r>
    </w:p>
    <w:p w:rsidR="0040606A" w:rsidRDefault="0040606A" w:rsidP="0040606A">
      <w:pPr>
        <w:pStyle w:val="4"/>
        <w:numPr>
          <w:ilvl w:val="3"/>
          <w:numId w:val="9"/>
        </w:numPr>
        <w:kinsoku w:val="0"/>
        <w:rPr>
          <w:rFonts w:ascii="Times New Roman" w:hAnsi="Times New Roman"/>
          <w:bCs/>
        </w:rPr>
      </w:pPr>
      <w:r>
        <w:rPr>
          <w:rFonts w:ascii="Times New Roman" w:hAnsi="Times New Roman" w:hint="eastAsia"/>
          <w:bCs/>
        </w:rPr>
        <w:t>高雄市：用於該府社會局仁愛之家等行政機關修繕工程及設施設備更新等費用，其中仁愛之家於</w:t>
      </w:r>
      <w:r>
        <w:rPr>
          <w:rFonts w:ascii="Times New Roman" w:hAnsi="Times New Roman"/>
          <w:bCs/>
        </w:rPr>
        <w:t>102</w:t>
      </w:r>
      <w:r>
        <w:rPr>
          <w:rFonts w:ascii="Times New Roman" w:hAnsi="Times New Roman" w:hint="eastAsia"/>
          <w:bCs/>
        </w:rPr>
        <w:t>年至</w:t>
      </w:r>
      <w:r>
        <w:rPr>
          <w:rFonts w:ascii="Times New Roman" w:hAnsi="Times New Roman"/>
          <w:bCs/>
        </w:rPr>
        <w:t>104</w:t>
      </w:r>
      <w:r>
        <w:rPr>
          <w:rFonts w:ascii="Times New Roman" w:hAnsi="Times New Roman" w:hint="eastAsia"/>
          <w:bCs/>
        </w:rPr>
        <w:t>年公務預算資本門支出僅編列</w:t>
      </w:r>
      <w:r>
        <w:rPr>
          <w:rFonts w:ascii="Times New Roman" w:hAnsi="Times New Roman"/>
          <w:bCs/>
        </w:rPr>
        <w:t>61</w:t>
      </w:r>
      <w:r>
        <w:rPr>
          <w:rFonts w:ascii="Times New Roman" w:hAnsi="Times New Roman" w:hint="eastAsia"/>
          <w:bCs/>
        </w:rPr>
        <w:t>萬餘元，惟該</w:t>
      </w:r>
      <w:r>
        <w:rPr>
          <w:rFonts w:ascii="Times New Roman" w:hAnsi="Times New Roman"/>
          <w:bCs/>
        </w:rPr>
        <w:t>3</w:t>
      </w:r>
      <w:r>
        <w:rPr>
          <w:rFonts w:ascii="Times New Roman" w:hAnsi="Times New Roman" w:hint="eastAsia"/>
          <w:bCs/>
        </w:rPr>
        <w:t>年向該市</w:t>
      </w:r>
      <w:r>
        <w:rPr>
          <w:rFonts w:ascii="Times New Roman" w:hAnsi="Times New Roman" w:hint="eastAsia"/>
        </w:rPr>
        <w:t>公益彩券盈餘分配基金</w:t>
      </w:r>
      <w:r>
        <w:rPr>
          <w:rFonts w:ascii="Times New Roman" w:hAnsi="Times New Roman" w:hint="eastAsia"/>
          <w:bCs/>
        </w:rPr>
        <w:t>申請經費合計</w:t>
      </w:r>
      <w:r>
        <w:rPr>
          <w:rFonts w:ascii="Times New Roman" w:hAnsi="Times New Roman"/>
          <w:bCs/>
        </w:rPr>
        <w:t>1,488</w:t>
      </w:r>
      <w:r>
        <w:rPr>
          <w:rFonts w:ascii="Times New Roman" w:hAnsi="Times New Roman" w:hint="eastAsia"/>
          <w:bCs/>
        </w:rPr>
        <w:t>萬餘元，辦理廳舍整建及購置設施設備、櫥櫃更新等，核銷金額</w:t>
      </w:r>
      <w:r>
        <w:rPr>
          <w:rFonts w:ascii="Times New Roman" w:hAnsi="Times New Roman"/>
          <w:bCs/>
        </w:rPr>
        <w:t>1,379</w:t>
      </w:r>
      <w:r>
        <w:rPr>
          <w:rFonts w:ascii="Times New Roman" w:hAnsi="Times New Roman" w:hint="eastAsia"/>
          <w:bCs/>
        </w:rPr>
        <w:t>萬餘元，所編公務預算僅占整體資本門支出之</w:t>
      </w:r>
      <w:r>
        <w:rPr>
          <w:rFonts w:ascii="Times New Roman" w:hAnsi="Times New Roman"/>
          <w:bCs/>
        </w:rPr>
        <w:t>4.45</w:t>
      </w:r>
      <w:r>
        <w:rPr>
          <w:rFonts w:ascii="Times New Roman" w:hAnsi="Times New Roman" w:hint="eastAsia"/>
          <w:bCs/>
        </w:rPr>
        <w:t>％。</w:t>
      </w:r>
    </w:p>
    <w:p w:rsidR="0040606A" w:rsidRDefault="0040606A" w:rsidP="0040606A">
      <w:pPr>
        <w:pStyle w:val="4"/>
        <w:numPr>
          <w:ilvl w:val="3"/>
          <w:numId w:val="9"/>
        </w:numPr>
        <w:topLinePunct/>
        <w:rPr>
          <w:rFonts w:ascii="Times New Roman" w:hAnsi="Times New Roman"/>
          <w:bCs/>
          <w:spacing w:val="-4"/>
          <w:szCs w:val="32"/>
        </w:rPr>
      </w:pPr>
      <w:r>
        <w:rPr>
          <w:rFonts w:ascii="Times New Roman" w:hAnsi="Times New Roman" w:hint="eastAsia"/>
          <w:bCs/>
          <w:spacing w:val="-4"/>
          <w:szCs w:val="32"/>
        </w:rPr>
        <w:t>臺南市：</w:t>
      </w:r>
      <w:r>
        <w:rPr>
          <w:rFonts w:ascii="Times New Roman" w:hAnsi="Times New Roman"/>
          <w:bCs/>
          <w:spacing w:val="-4"/>
          <w:szCs w:val="32"/>
        </w:rPr>
        <w:t>101</w:t>
      </w:r>
      <w:r>
        <w:rPr>
          <w:rFonts w:ascii="Times New Roman" w:hAnsi="Times New Roman" w:hint="eastAsia"/>
          <w:bCs/>
          <w:spacing w:val="-4"/>
          <w:szCs w:val="32"/>
        </w:rPr>
        <w:t>年臺南市公益彩券盈餘分配基金預算中，屬修繕工程及設施設備更新之占比達</w:t>
      </w:r>
      <w:r>
        <w:rPr>
          <w:rFonts w:ascii="Times New Roman" w:hAnsi="Times New Roman"/>
          <w:bCs/>
          <w:spacing w:val="-4"/>
          <w:szCs w:val="32"/>
        </w:rPr>
        <w:t>10.41</w:t>
      </w:r>
      <w:r>
        <w:rPr>
          <w:rFonts w:ascii="Times New Roman" w:hAnsi="Times New Roman" w:hint="eastAsia"/>
          <w:bCs/>
          <w:spacing w:val="-4"/>
          <w:szCs w:val="32"/>
        </w:rPr>
        <w:t>％。</w:t>
      </w:r>
    </w:p>
    <w:p w:rsidR="0040606A" w:rsidRDefault="0040606A" w:rsidP="0040606A">
      <w:pPr>
        <w:pStyle w:val="4"/>
        <w:numPr>
          <w:ilvl w:val="3"/>
          <w:numId w:val="9"/>
        </w:numPr>
        <w:topLinePunct/>
        <w:rPr>
          <w:rFonts w:ascii="Times New Roman" w:hAnsi="Times New Roman"/>
          <w:bCs/>
          <w:szCs w:val="32"/>
        </w:rPr>
      </w:pPr>
      <w:r>
        <w:rPr>
          <w:rFonts w:ascii="Times New Roman" w:hAnsi="Times New Roman" w:hint="eastAsia"/>
          <w:bCs/>
          <w:szCs w:val="32"/>
        </w:rPr>
        <w:t>臺東縣：規劃</w:t>
      </w:r>
      <w:r>
        <w:rPr>
          <w:rFonts w:ascii="Times New Roman" w:hAnsi="Times New Roman"/>
          <w:bCs/>
          <w:szCs w:val="32"/>
        </w:rPr>
        <w:t>104</w:t>
      </w:r>
      <w:r>
        <w:rPr>
          <w:rFonts w:ascii="Times New Roman" w:hAnsi="Times New Roman" w:hint="eastAsia"/>
          <w:bCs/>
          <w:szCs w:val="32"/>
        </w:rPr>
        <w:t>年度開辦「和親堂」</w:t>
      </w:r>
      <w:r>
        <w:rPr>
          <w:rFonts w:ascii="Times New Roman" w:hAnsi="Times New Roman"/>
          <w:bCs/>
          <w:szCs w:val="32"/>
        </w:rPr>
        <w:t>(</w:t>
      </w:r>
      <w:r>
        <w:rPr>
          <w:rFonts w:ascii="Times New Roman" w:hAnsi="Times New Roman" w:hint="eastAsia"/>
          <w:bCs/>
          <w:szCs w:val="32"/>
        </w:rPr>
        <w:t>日間托老</w:t>
      </w:r>
      <w:r>
        <w:rPr>
          <w:rFonts w:ascii="Times New Roman" w:hAnsi="Times New Roman"/>
          <w:bCs/>
          <w:szCs w:val="32"/>
        </w:rPr>
        <w:t>)</w:t>
      </w:r>
      <w:r>
        <w:rPr>
          <w:rFonts w:ascii="Times New Roman" w:hAnsi="Times New Roman" w:hint="eastAsia"/>
          <w:bCs/>
          <w:szCs w:val="32"/>
        </w:rPr>
        <w:t>試辦計畫，須有償價購國有土地及地上物，因自有財源不足，即運用公益彩券盈餘編列土地價購款</w:t>
      </w:r>
      <w:r>
        <w:rPr>
          <w:rFonts w:ascii="Times New Roman" w:hAnsi="Times New Roman"/>
          <w:bCs/>
          <w:szCs w:val="32"/>
        </w:rPr>
        <w:t>340</w:t>
      </w:r>
      <w:r>
        <w:rPr>
          <w:rFonts w:ascii="Times New Roman" w:hAnsi="Times New Roman" w:hint="eastAsia"/>
          <w:bCs/>
          <w:szCs w:val="32"/>
        </w:rPr>
        <w:t>萬元。</w:t>
      </w:r>
    </w:p>
    <w:p w:rsidR="0040606A" w:rsidRDefault="0040606A" w:rsidP="0040606A">
      <w:pPr>
        <w:pStyle w:val="4"/>
        <w:numPr>
          <w:ilvl w:val="3"/>
          <w:numId w:val="9"/>
        </w:numPr>
        <w:topLinePunct/>
        <w:rPr>
          <w:rFonts w:ascii="Times New Roman" w:hAnsi="Times New Roman"/>
          <w:bCs/>
          <w:spacing w:val="-2"/>
          <w:szCs w:val="32"/>
        </w:rPr>
      </w:pPr>
      <w:r>
        <w:rPr>
          <w:rFonts w:hAnsi="標楷體" w:hint="eastAsia"/>
          <w:snapToGrid w:val="0"/>
          <w:kern w:val="0"/>
          <w:szCs w:val="32"/>
        </w:rPr>
        <w:t>彰化縣：</w:t>
      </w:r>
      <w:r>
        <w:rPr>
          <w:rFonts w:ascii="Times New Roman" w:hAnsi="Times New Roman"/>
          <w:snapToGrid w:val="0"/>
          <w:kern w:val="0"/>
          <w:szCs w:val="32"/>
        </w:rPr>
        <w:t>101</w:t>
      </w:r>
      <w:r>
        <w:rPr>
          <w:rFonts w:ascii="Times New Roman" w:hAnsi="Times New Roman" w:hint="eastAsia"/>
          <w:snapToGrid w:val="0"/>
          <w:kern w:val="0"/>
          <w:szCs w:val="32"/>
        </w:rPr>
        <w:t>至</w:t>
      </w:r>
      <w:r>
        <w:rPr>
          <w:rFonts w:ascii="Times New Roman" w:hAnsi="Times New Roman"/>
          <w:snapToGrid w:val="0"/>
          <w:kern w:val="0"/>
          <w:szCs w:val="32"/>
        </w:rPr>
        <w:t>104</w:t>
      </w:r>
      <w:r>
        <w:rPr>
          <w:rFonts w:ascii="Times New Roman" w:hAnsi="Times New Roman" w:hint="eastAsia"/>
          <w:snapToGrid w:val="0"/>
          <w:kern w:val="0"/>
          <w:szCs w:val="32"/>
        </w:rPr>
        <w:t>年度修繕工程及設施設備更新項目係使用在行政機關及縣內公立機構，皆係辦理社會福利服務之建物修繕或相關設施設備更新，其各年度金額分別為</w:t>
      </w:r>
      <w:r>
        <w:rPr>
          <w:rFonts w:ascii="Times New Roman" w:hAnsi="Times New Roman"/>
          <w:snapToGrid w:val="0"/>
          <w:kern w:val="0"/>
          <w:szCs w:val="32"/>
        </w:rPr>
        <w:t>2,018</w:t>
      </w:r>
      <w:r>
        <w:rPr>
          <w:rFonts w:ascii="Times New Roman" w:hAnsi="Times New Roman" w:hint="eastAsia"/>
          <w:snapToGrid w:val="0"/>
          <w:kern w:val="0"/>
          <w:szCs w:val="32"/>
        </w:rPr>
        <w:t>萬餘元、</w:t>
      </w:r>
      <w:r>
        <w:rPr>
          <w:rFonts w:ascii="Times New Roman" w:hAnsi="Times New Roman"/>
          <w:snapToGrid w:val="0"/>
          <w:kern w:val="0"/>
          <w:szCs w:val="32"/>
        </w:rPr>
        <w:t>5,107</w:t>
      </w:r>
      <w:r>
        <w:rPr>
          <w:rFonts w:ascii="Times New Roman" w:hAnsi="Times New Roman" w:hint="eastAsia"/>
          <w:snapToGrid w:val="0"/>
          <w:kern w:val="0"/>
          <w:szCs w:val="32"/>
        </w:rPr>
        <w:t>萬餘元、</w:t>
      </w:r>
      <w:r>
        <w:rPr>
          <w:rFonts w:ascii="Times New Roman" w:hAnsi="Times New Roman"/>
          <w:snapToGrid w:val="0"/>
          <w:kern w:val="0"/>
          <w:szCs w:val="32"/>
        </w:rPr>
        <w:t>2,924</w:t>
      </w:r>
      <w:r>
        <w:rPr>
          <w:rFonts w:ascii="Times New Roman" w:hAnsi="Times New Roman" w:hint="eastAsia"/>
          <w:snapToGrid w:val="0"/>
          <w:kern w:val="0"/>
          <w:szCs w:val="32"/>
        </w:rPr>
        <w:t>萬餘元及</w:t>
      </w:r>
      <w:r>
        <w:rPr>
          <w:rFonts w:ascii="Times New Roman" w:hAnsi="Times New Roman"/>
          <w:snapToGrid w:val="0"/>
          <w:kern w:val="0"/>
          <w:szCs w:val="32"/>
        </w:rPr>
        <w:t>7,647</w:t>
      </w:r>
      <w:r>
        <w:rPr>
          <w:rFonts w:ascii="Times New Roman" w:hAnsi="Times New Roman" w:hint="eastAsia"/>
          <w:snapToGrid w:val="0"/>
          <w:kern w:val="0"/>
          <w:szCs w:val="32"/>
        </w:rPr>
        <w:t>萬餘元。</w:t>
      </w:r>
    </w:p>
    <w:p w:rsidR="0040606A" w:rsidRDefault="0040606A" w:rsidP="0040606A">
      <w:pPr>
        <w:pStyle w:val="4"/>
        <w:numPr>
          <w:ilvl w:val="3"/>
          <w:numId w:val="9"/>
        </w:numPr>
        <w:topLinePunct/>
        <w:rPr>
          <w:rFonts w:ascii="Times New Roman" w:hAnsi="Times New Roman"/>
          <w:bCs/>
        </w:rPr>
      </w:pPr>
      <w:r>
        <w:rPr>
          <w:rFonts w:ascii="Times New Roman" w:hAnsi="Times New Roman" w:hint="eastAsia"/>
          <w:snapToGrid w:val="0"/>
          <w:kern w:val="0"/>
          <w:szCs w:val="32"/>
        </w:rPr>
        <w:t>南投縣：</w:t>
      </w:r>
      <w:r>
        <w:rPr>
          <w:rFonts w:ascii="Times New Roman" w:hAnsi="Times New Roman" w:hint="eastAsia"/>
        </w:rPr>
        <w:t>部分金額用於支出公</w:t>
      </w:r>
      <w:r>
        <w:rPr>
          <w:rFonts w:ascii="Times New Roman" w:hAnsi="Times New Roman" w:hint="eastAsia"/>
          <w:bCs/>
          <w:snapToGrid w:val="0"/>
          <w:kern w:val="0"/>
          <w:szCs w:val="32"/>
        </w:rPr>
        <w:t>立機構及機關</w:t>
      </w:r>
      <w:r>
        <w:rPr>
          <w:rFonts w:ascii="Times New Roman" w:hAnsi="Times New Roman"/>
          <w:bCs/>
          <w:snapToGrid w:val="0"/>
          <w:kern w:val="0"/>
          <w:szCs w:val="32"/>
        </w:rPr>
        <w:t>(</w:t>
      </w:r>
      <w:r>
        <w:rPr>
          <w:rFonts w:ascii="Times New Roman" w:hAnsi="Times New Roman" w:hint="eastAsia"/>
          <w:bCs/>
          <w:snapToGrid w:val="0"/>
          <w:kern w:val="0"/>
          <w:szCs w:val="32"/>
        </w:rPr>
        <w:t>活動中心</w:t>
      </w:r>
      <w:r>
        <w:rPr>
          <w:rFonts w:ascii="Times New Roman" w:hAnsi="Times New Roman"/>
          <w:bCs/>
          <w:snapToGrid w:val="0"/>
          <w:kern w:val="0"/>
          <w:szCs w:val="32"/>
        </w:rPr>
        <w:t>)</w:t>
      </w:r>
      <w:r>
        <w:rPr>
          <w:rFonts w:ascii="Times New Roman" w:hAnsi="Times New Roman" w:hint="eastAsia"/>
          <w:bCs/>
          <w:snapToGrid w:val="0"/>
          <w:kern w:val="0"/>
          <w:szCs w:val="32"/>
        </w:rPr>
        <w:t>等修繕工程及設施設備更新等，</w:t>
      </w:r>
      <w:r>
        <w:rPr>
          <w:rFonts w:ascii="Times New Roman" w:hAnsi="Times New Roman"/>
          <w:bCs/>
          <w:snapToGrid w:val="0"/>
          <w:kern w:val="0"/>
          <w:szCs w:val="32"/>
        </w:rPr>
        <w:t>101</w:t>
      </w:r>
      <w:r>
        <w:rPr>
          <w:rFonts w:ascii="Times New Roman" w:hAnsi="Times New Roman" w:hint="eastAsia"/>
          <w:bCs/>
          <w:snapToGrid w:val="0"/>
          <w:kern w:val="0"/>
          <w:szCs w:val="32"/>
        </w:rPr>
        <w:t>年基金決算數中屬修繕工程及設施設備更新</w:t>
      </w:r>
      <w:r>
        <w:rPr>
          <w:rFonts w:ascii="Times New Roman" w:hAnsi="Times New Roman" w:hint="eastAsia"/>
          <w:snapToGrid w:val="0"/>
          <w:kern w:val="0"/>
          <w:szCs w:val="32"/>
        </w:rPr>
        <w:t>項目之</w:t>
      </w:r>
      <w:r>
        <w:rPr>
          <w:rFonts w:ascii="Times New Roman" w:hAnsi="Times New Roman" w:hint="eastAsia"/>
          <w:bCs/>
          <w:snapToGrid w:val="0"/>
          <w:kern w:val="0"/>
          <w:szCs w:val="32"/>
        </w:rPr>
        <w:t>金額為</w:t>
      </w:r>
      <w:r>
        <w:rPr>
          <w:rFonts w:ascii="Times New Roman" w:hAnsi="Times New Roman"/>
          <w:bCs/>
        </w:rPr>
        <w:t>2,004</w:t>
      </w:r>
      <w:r>
        <w:rPr>
          <w:rFonts w:ascii="Times New Roman" w:hAnsi="Times New Roman" w:hint="eastAsia"/>
          <w:bCs/>
        </w:rPr>
        <w:t>萬</w:t>
      </w:r>
      <w:r>
        <w:rPr>
          <w:rFonts w:ascii="Times New Roman" w:hAnsi="Times New Roman"/>
          <w:bCs/>
        </w:rPr>
        <w:t>5,997</w:t>
      </w:r>
      <w:r>
        <w:rPr>
          <w:rFonts w:ascii="Times New Roman" w:hAnsi="Times New Roman" w:hint="eastAsia"/>
          <w:bCs/>
        </w:rPr>
        <w:t>元，占</w:t>
      </w:r>
      <w:r>
        <w:rPr>
          <w:rFonts w:ascii="Times New Roman" w:hAnsi="Times New Roman" w:hint="eastAsia"/>
          <w:bCs/>
          <w:szCs w:val="32"/>
        </w:rPr>
        <w:t>基金用途</w:t>
      </w:r>
      <w:r>
        <w:rPr>
          <w:rFonts w:ascii="Times New Roman" w:hAnsi="Times New Roman" w:hint="eastAsia"/>
          <w:bCs/>
        </w:rPr>
        <w:t>決算數之</w:t>
      </w:r>
      <w:r>
        <w:rPr>
          <w:rFonts w:ascii="Times New Roman" w:hAnsi="Times New Roman"/>
          <w:bCs/>
        </w:rPr>
        <w:t>7.7</w:t>
      </w:r>
      <w:r>
        <w:rPr>
          <w:rFonts w:ascii="Times New Roman" w:hAnsi="Times New Roman" w:hint="eastAsia"/>
          <w:bCs/>
        </w:rPr>
        <w:t>％。</w:t>
      </w:r>
    </w:p>
    <w:p w:rsidR="0040606A" w:rsidRDefault="0040606A" w:rsidP="0040606A">
      <w:pPr>
        <w:pStyle w:val="4"/>
        <w:numPr>
          <w:ilvl w:val="3"/>
          <w:numId w:val="9"/>
        </w:numPr>
        <w:topLinePunct/>
        <w:rPr>
          <w:rFonts w:ascii="Times New Roman" w:hAnsi="Times New Roman"/>
          <w:bCs/>
        </w:rPr>
      </w:pPr>
      <w:r>
        <w:rPr>
          <w:rFonts w:ascii="Times New Roman" w:hAnsi="Times New Roman" w:hint="eastAsia"/>
          <w:bCs/>
        </w:rPr>
        <w:t>連江縣：</w:t>
      </w:r>
      <w:r>
        <w:rPr>
          <w:rFonts w:ascii="Times New Roman" w:hAnsi="Times New Roman"/>
          <w:szCs w:val="32"/>
        </w:rPr>
        <w:t>104</w:t>
      </w:r>
      <w:r>
        <w:rPr>
          <w:rFonts w:ascii="Times New Roman" w:hAnsi="Times New Roman" w:hint="eastAsia"/>
          <w:szCs w:val="32"/>
        </w:rPr>
        <w:t>年度屬修繕工程及設施設備更新之項目決算金額為</w:t>
      </w:r>
      <w:r>
        <w:rPr>
          <w:rFonts w:ascii="Times New Roman" w:hAnsi="Times New Roman"/>
          <w:szCs w:val="32"/>
        </w:rPr>
        <w:t>768</w:t>
      </w:r>
      <w:r>
        <w:rPr>
          <w:rFonts w:ascii="Times New Roman" w:hAnsi="Times New Roman" w:hint="eastAsia"/>
          <w:szCs w:val="32"/>
        </w:rPr>
        <w:t>萬餘元</w:t>
      </w:r>
      <w:r>
        <w:rPr>
          <w:rFonts w:ascii="Times New Roman" w:hAnsi="Times New Roman"/>
          <w:szCs w:val="32"/>
        </w:rPr>
        <w:t>(</w:t>
      </w:r>
      <w:r>
        <w:rPr>
          <w:rFonts w:ascii="Times New Roman" w:hAnsi="Times New Roman" w:hint="eastAsia"/>
          <w:szCs w:val="32"/>
        </w:rPr>
        <w:t>辦理公共托育中心計畫</w:t>
      </w:r>
      <w:r>
        <w:rPr>
          <w:rFonts w:ascii="Times New Roman" w:hAnsi="Times New Roman"/>
          <w:szCs w:val="32"/>
        </w:rPr>
        <w:t>)</w:t>
      </w:r>
      <w:r>
        <w:rPr>
          <w:rFonts w:ascii="Times New Roman" w:hAnsi="Times New Roman" w:hint="eastAsia"/>
          <w:szCs w:val="32"/>
        </w:rPr>
        <w:t>，占決算數之</w:t>
      </w:r>
      <w:r>
        <w:rPr>
          <w:rFonts w:ascii="Times New Roman" w:hAnsi="Times New Roman"/>
          <w:szCs w:val="32"/>
        </w:rPr>
        <w:t>10.43</w:t>
      </w:r>
      <w:r>
        <w:rPr>
          <w:rFonts w:ascii="Times New Roman" w:hAnsi="Times New Roman" w:hint="eastAsia"/>
          <w:szCs w:val="32"/>
        </w:rPr>
        <w:t>％。</w:t>
      </w:r>
    </w:p>
    <w:p w:rsidR="0040606A" w:rsidRPr="007A5545" w:rsidRDefault="0040606A" w:rsidP="0040606A">
      <w:pPr>
        <w:pStyle w:val="3"/>
        <w:numPr>
          <w:ilvl w:val="2"/>
          <w:numId w:val="9"/>
        </w:numPr>
        <w:kinsoku w:val="0"/>
        <w:ind w:left="1360" w:hanging="680"/>
        <w:rPr>
          <w:rFonts w:ascii="Times New Roman" w:hAnsi="Times New Roman"/>
          <w:spacing w:val="-4"/>
          <w:szCs w:val="32"/>
        </w:rPr>
      </w:pPr>
      <w:bookmarkStart w:id="1637" w:name="_Toc507518626"/>
      <w:bookmarkStart w:id="1638" w:name="_Toc507491619"/>
      <w:bookmarkStart w:id="1639" w:name="_Toc507484795"/>
      <w:bookmarkStart w:id="1640" w:name="_Toc507767709"/>
      <w:bookmarkStart w:id="1641" w:name="_Toc507768435"/>
      <w:bookmarkStart w:id="1642" w:name="_Toc511115431"/>
      <w:bookmarkStart w:id="1643" w:name="_Toc511308221"/>
      <w:bookmarkStart w:id="1644" w:name="_Toc511998663"/>
      <w:bookmarkStart w:id="1645" w:name="_Toc512421020"/>
      <w:r w:rsidRPr="007A5545">
        <w:rPr>
          <w:rFonts w:ascii="Times New Roman" w:hAnsi="Times New Roman" w:hint="eastAsia"/>
          <w:spacing w:val="-4"/>
          <w:szCs w:val="32"/>
        </w:rPr>
        <w:t>財政部為避免地方政府</w:t>
      </w:r>
      <w:r w:rsidR="007A5545" w:rsidRPr="007A5545">
        <w:rPr>
          <w:rFonts w:ascii="Times New Roman" w:hAnsi="Times New Roman" w:hint="eastAsia"/>
          <w:spacing w:val="-4"/>
          <w:szCs w:val="32"/>
        </w:rPr>
        <w:t>以</w:t>
      </w:r>
      <w:r w:rsidRPr="007A5545">
        <w:rPr>
          <w:rFonts w:ascii="Times New Roman" w:hAnsi="Times New Roman" w:hint="eastAsia"/>
          <w:spacing w:val="-4"/>
          <w:szCs w:val="32"/>
        </w:rPr>
        <w:t>公益彩券盈餘</w:t>
      </w:r>
      <w:r w:rsidR="007A5545" w:rsidRPr="007A5545">
        <w:rPr>
          <w:rFonts w:ascii="Times New Roman" w:hAnsi="Times New Roman" w:hint="eastAsia"/>
          <w:spacing w:val="-4"/>
          <w:szCs w:val="32"/>
        </w:rPr>
        <w:t>過度運用</w:t>
      </w:r>
      <w:r w:rsidRPr="007A5545">
        <w:rPr>
          <w:rFonts w:ascii="Times New Roman" w:hAnsi="Times New Roman" w:hint="eastAsia"/>
          <w:spacing w:val="-4"/>
          <w:szCs w:val="32"/>
        </w:rPr>
        <w:t>於資本性支出，</w:t>
      </w:r>
      <w:r w:rsidR="007A5545" w:rsidRPr="007A5545">
        <w:rPr>
          <w:rFonts w:ascii="Times New Roman" w:hAnsi="Times New Roman" w:hint="eastAsia"/>
          <w:spacing w:val="-4"/>
          <w:szCs w:val="32"/>
        </w:rPr>
        <w:t>造成</w:t>
      </w:r>
      <w:r w:rsidRPr="007A5545">
        <w:rPr>
          <w:rFonts w:ascii="Times New Roman" w:hAnsi="Times New Roman" w:hint="eastAsia"/>
          <w:spacing w:val="-4"/>
          <w:szCs w:val="32"/>
        </w:rPr>
        <w:t>排擠一般社福財源，且兼顧因應地方政府施政需求，就</w:t>
      </w:r>
      <w:r w:rsidR="007A5545" w:rsidRPr="007A5545">
        <w:rPr>
          <w:rFonts w:ascii="Times New Roman" w:hAnsi="Times New Roman" w:hint="eastAsia"/>
          <w:spacing w:val="-4"/>
          <w:szCs w:val="32"/>
        </w:rPr>
        <w:t>公益</w:t>
      </w:r>
      <w:r w:rsidRPr="007A5545">
        <w:rPr>
          <w:rFonts w:ascii="Times New Roman" w:hAnsi="Times New Roman" w:hint="eastAsia"/>
          <w:spacing w:val="-4"/>
          <w:szCs w:val="32"/>
        </w:rPr>
        <w:t>彩券盈餘運用於資本性支出事宜，於</w:t>
      </w:r>
      <w:r w:rsidRPr="007A5545">
        <w:rPr>
          <w:rFonts w:ascii="Times New Roman" w:hAnsi="Times New Roman"/>
          <w:spacing w:val="-4"/>
          <w:szCs w:val="32"/>
        </w:rPr>
        <w:t>104</w:t>
      </w:r>
      <w:r w:rsidRPr="007A5545">
        <w:rPr>
          <w:rFonts w:ascii="Times New Roman" w:hAnsi="Times New Roman" w:hint="eastAsia"/>
          <w:spacing w:val="-4"/>
          <w:szCs w:val="32"/>
        </w:rPr>
        <w:t>年</w:t>
      </w:r>
      <w:r w:rsidRPr="007A5545">
        <w:rPr>
          <w:rFonts w:ascii="Times New Roman" w:hAnsi="Times New Roman"/>
          <w:spacing w:val="-4"/>
          <w:szCs w:val="32"/>
        </w:rPr>
        <w:t>3</w:t>
      </w:r>
      <w:r w:rsidRPr="007A5545">
        <w:rPr>
          <w:rFonts w:ascii="Times New Roman" w:hAnsi="Times New Roman" w:hint="eastAsia"/>
          <w:spacing w:val="-4"/>
          <w:szCs w:val="32"/>
        </w:rPr>
        <w:t>月</w:t>
      </w:r>
      <w:r w:rsidRPr="007A5545">
        <w:rPr>
          <w:rFonts w:ascii="Times New Roman" w:hAnsi="Times New Roman"/>
          <w:spacing w:val="-4"/>
          <w:szCs w:val="32"/>
        </w:rPr>
        <w:t>26</w:t>
      </w:r>
      <w:r w:rsidRPr="007A5545">
        <w:rPr>
          <w:rFonts w:ascii="Times New Roman" w:hAnsi="Times New Roman" w:hint="eastAsia"/>
          <w:spacing w:val="-4"/>
          <w:szCs w:val="32"/>
        </w:rPr>
        <w:t>日邀集該部公益彩券監理委員會之委員、行政院主計總處、衛福部及地方政府等機關召開研商會議，並就會議結論，報經該部</w:t>
      </w:r>
      <w:r w:rsidR="007A5545" w:rsidRPr="007A5545">
        <w:rPr>
          <w:rFonts w:ascii="Times New Roman" w:hAnsi="Times New Roman" w:hint="eastAsia"/>
          <w:spacing w:val="-4"/>
          <w:szCs w:val="32"/>
        </w:rPr>
        <w:t>公益彩券監理委員會</w:t>
      </w:r>
      <w:r w:rsidRPr="007A5545">
        <w:rPr>
          <w:rFonts w:ascii="Times New Roman" w:hAnsi="Times New Roman" w:hint="eastAsia"/>
          <w:spacing w:val="-4"/>
          <w:szCs w:val="32"/>
        </w:rPr>
        <w:t>同年</w:t>
      </w:r>
      <w:r w:rsidRPr="007A5545">
        <w:rPr>
          <w:rFonts w:ascii="Times New Roman" w:hAnsi="Times New Roman"/>
          <w:spacing w:val="-4"/>
          <w:szCs w:val="32"/>
        </w:rPr>
        <w:t>104</w:t>
      </w:r>
      <w:r w:rsidRPr="007A5545">
        <w:rPr>
          <w:rFonts w:ascii="Times New Roman" w:hAnsi="Times New Roman" w:hint="eastAsia"/>
          <w:spacing w:val="-4"/>
          <w:szCs w:val="32"/>
        </w:rPr>
        <w:t>年</w:t>
      </w:r>
      <w:r w:rsidRPr="007A5545">
        <w:rPr>
          <w:rFonts w:ascii="Times New Roman" w:hAnsi="Times New Roman"/>
          <w:spacing w:val="-4"/>
          <w:szCs w:val="32"/>
        </w:rPr>
        <w:t>6</w:t>
      </w:r>
      <w:r w:rsidRPr="007A5545">
        <w:rPr>
          <w:rFonts w:ascii="Times New Roman" w:hAnsi="Times New Roman" w:hint="eastAsia"/>
          <w:spacing w:val="-4"/>
          <w:szCs w:val="32"/>
        </w:rPr>
        <w:t>月</w:t>
      </w:r>
      <w:r w:rsidRPr="007A5545">
        <w:rPr>
          <w:rFonts w:ascii="Times New Roman" w:hAnsi="Times New Roman"/>
          <w:spacing w:val="-4"/>
          <w:szCs w:val="32"/>
        </w:rPr>
        <w:t>25</w:t>
      </w:r>
      <w:r w:rsidRPr="007A5545">
        <w:rPr>
          <w:rFonts w:ascii="Times New Roman" w:hAnsi="Times New Roman" w:hint="eastAsia"/>
          <w:spacing w:val="-4"/>
          <w:szCs w:val="32"/>
        </w:rPr>
        <w:t>日第</w:t>
      </w:r>
      <w:r w:rsidRPr="007A5545">
        <w:rPr>
          <w:rFonts w:ascii="Times New Roman" w:hAnsi="Times New Roman"/>
          <w:spacing w:val="-4"/>
          <w:szCs w:val="32"/>
        </w:rPr>
        <w:t>63</w:t>
      </w:r>
      <w:r w:rsidRPr="007A5545">
        <w:rPr>
          <w:rFonts w:ascii="Times New Roman" w:hAnsi="Times New Roman" w:hint="eastAsia"/>
          <w:spacing w:val="-4"/>
          <w:szCs w:val="32"/>
        </w:rPr>
        <w:t>次會議同意備查，並經財政部以同年</w:t>
      </w:r>
      <w:r w:rsidRPr="007A5545">
        <w:rPr>
          <w:rFonts w:ascii="Times New Roman" w:hAnsi="Times New Roman"/>
          <w:spacing w:val="-4"/>
          <w:szCs w:val="32"/>
        </w:rPr>
        <w:t>7</w:t>
      </w:r>
      <w:r w:rsidRPr="007A5545">
        <w:rPr>
          <w:rFonts w:ascii="Times New Roman" w:hAnsi="Times New Roman" w:hint="eastAsia"/>
          <w:spacing w:val="-4"/>
          <w:szCs w:val="32"/>
        </w:rPr>
        <w:t>月</w:t>
      </w:r>
      <w:r w:rsidRPr="007A5545">
        <w:rPr>
          <w:rFonts w:ascii="Times New Roman" w:hAnsi="Times New Roman"/>
          <w:spacing w:val="-4"/>
          <w:szCs w:val="32"/>
        </w:rPr>
        <w:t>8</w:t>
      </w:r>
      <w:r w:rsidRPr="007A5545">
        <w:rPr>
          <w:rFonts w:ascii="Times New Roman" w:hAnsi="Times New Roman" w:hint="eastAsia"/>
          <w:spacing w:val="-4"/>
          <w:szCs w:val="32"/>
        </w:rPr>
        <w:t>日台財庫字第</w:t>
      </w:r>
      <w:r w:rsidRPr="007A5545">
        <w:rPr>
          <w:rFonts w:ascii="Times New Roman" w:hAnsi="Times New Roman"/>
          <w:spacing w:val="-4"/>
          <w:szCs w:val="32"/>
        </w:rPr>
        <w:t>10403702480</w:t>
      </w:r>
      <w:r w:rsidRPr="007A5545">
        <w:rPr>
          <w:rFonts w:ascii="Times New Roman" w:hAnsi="Times New Roman" w:hint="eastAsia"/>
          <w:spacing w:val="-4"/>
          <w:szCs w:val="32"/>
        </w:rPr>
        <w:t>號函函知各地方政府。前開會議結論如下：</w:t>
      </w:r>
      <w:bookmarkEnd w:id="1637"/>
      <w:bookmarkEnd w:id="1638"/>
      <w:bookmarkEnd w:id="1639"/>
      <w:bookmarkEnd w:id="1640"/>
      <w:bookmarkEnd w:id="1641"/>
      <w:bookmarkEnd w:id="1642"/>
      <w:bookmarkEnd w:id="1643"/>
      <w:bookmarkEnd w:id="1644"/>
      <w:bookmarkEnd w:id="1645"/>
    </w:p>
    <w:p w:rsidR="0040606A" w:rsidRDefault="0040606A" w:rsidP="0040606A">
      <w:pPr>
        <w:pStyle w:val="4"/>
        <w:numPr>
          <w:ilvl w:val="3"/>
          <w:numId w:val="9"/>
        </w:numPr>
        <w:kinsoku w:val="0"/>
        <w:rPr>
          <w:rFonts w:ascii="Times New Roman" w:hAnsi="Times New Roman"/>
          <w:bCs/>
          <w:szCs w:val="32"/>
        </w:rPr>
      </w:pPr>
      <w:r>
        <w:rPr>
          <w:rFonts w:ascii="Times New Roman" w:hAnsi="Times New Roman" w:hint="eastAsia"/>
          <w:bCs/>
          <w:szCs w:val="32"/>
        </w:rPr>
        <w:t>有關彩券盈餘之運用，除現有設施及設備之維護及修繕，得運用於購置房屋、新建設施，惟排除運用於購置土地。</w:t>
      </w:r>
    </w:p>
    <w:p w:rsidR="0040606A" w:rsidRDefault="0040606A" w:rsidP="0040606A">
      <w:pPr>
        <w:pStyle w:val="4"/>
        <w:numPr>
          <w:ilvl w:val="3"/>
          <w:numId w:val="9"/>
        </w:numPr>
        <w:topLinePunct/>
        <w:rPr>
          <w:rFonts w:ascii="Times New Roman" w:hAnsi="Times New Roman"/>
          <w:bCs/>
          <w:spacing w:val="-4"/>
          <w:szCs w:val="32"/>
        </w:rPr>
      </w:pPr>
      <w:r>
        <w:rPr>
          <w:rFonts w:ascii="Times New Roman" w:hAnsi="Times New Roman" w:hint="eastAsia"/>
          <w:bCs/>
          <w:spacing w:val="-4"/>
          <w:szCs w:val="32"/>
        </w:rPr>
        <w:t>彩券盈餘運用於購置房屋、新建設施工程之支出，應依財力級次訂定運用盈餘上限，其上限參照衛福部「各直轄市、縣市政府依財力分級運用公益彩券盈餘編列設算制度</w:t>
      </w:r>
      <w:r>
        <w:rPr>
          <w:rFonts w:ascii="Times New Roman" w:hAnsi="Times New Roman"/>
          <w:bCs/>
          <w:spacing w:val="-4"/>
          <w:szCs w:val="32"/>
        </w:rPr>
        <w:t>6</w:t>
      </w:r>
      <w:r>
        <w:rPr>
          <w:rFonts w:ascii="Times New Roman" w:hAnsi="Times New Roman" w:hint="eastAsia"/>
          <w:bCs/>
          <w:spacing w:val="-4"/>
          <w:szCs w:val="32"/>
        </w:rPr>
        <w:t>項現金給付項目指標經費之配置比例參考表」所訂盈餘運用上限，依財力級次分別為</w:t>
      </w:r>
      <w:r>
        <w:rPr>
          <w:rFonts w:ascii="Times New Roman" w:hAnsi="Times New Roman"/>
          <w:bCs/>
          <w:spacing w:val="-4"/>
          <w:szCs w:val="32"/>
        </w:rPr>
        <w:t>45</w:t>
      </w:r>
      <w:r>
        <w:rPr>
          <w:rFonts w:ascii="Times New Roman" w:hAnsi="Times New Roman" w:hint="eastAsia"/>
          <w:bCs/>
          <w:spacing w:val="-4"/>
          <w:szCs w:val="32"/>
        </w:rPr>
        <w:t>％、</w:t>
      </w:r>
      <w:r>
        <w:rPr>
          <w:rFonts w:ascii="Times New Roman" w:hAnsi="Times New Roman"/>
          <w:bCs/>
          <w:spacing w:val="-4"/>
          <w:szCs w:val="32"/>
        </w:rPr>
        <w:t>55</w:t>
      </w:r>
      <w:r>
        <w:rPr>
          <w:rFonts w:ascii="Times New Roman" w:hAnsi="Times New Roman" w:hint="eastAsia"/>
          <w:bCs/>
          <w:spacing w:val="-4"/>
          <w:szCs w:val="32"/>
        </w:rPr>
        <w:t>％、</w:t>
      </w:r>
      <w:r>
        <w:rPr>
          <w:rFonts w:ascii="Times New Roman" w:hAnsi="Times New Roman"/>
          <w:bCs/>
          <w:spacing w:val="-4"/>
          <w:szCs w:val="32"/>
        </w:rPr>
        <w:t>65</w:t>
      </w:r>
      <w:r>
        <w:rPr>
          <w:rFonts w:ascii="Times New Roman" w:hAnsi="Times New Roman" w:hint="eastAsia"/>
          <w:bCs/>
          <w:spacing w:val="-4"/>
          <w:szCs w:val="32"/>
        </w:rPr>
        <w:t>％、</w:t>
      </w:r>
      <w:r>
        <w:rPr>
          <w:rFonts w:ascii="Times New Roman" w:hAnsi="Times New Roman"/>
          <w:bCs/>
          <w:spacing w:val="-4"/>
          <w:szCs w:val="32"/>
        </w:rPr>
        <w:t>75</w:t>
      </w:r>
      <w:r>
        <w:rPr>
          <w:rFonts w:ascii="Times New Roman" w:hAnsi="Times New Roman" w:hint="eastAsia"/>
          <w:bCs/>
          <w:spacing w:val="-4"/>
          <w:szCs w:val="32"/>
        </w:rPr>
        <w:t>％及</w:t>
      </w:r>
      <w:r>
        <w:rPr>
          <w:rFonts w:ascii="Times New Roman" w:hAnsi="Times New Roman"/>
          <w:bCs/>
          <w:spacing w:val="-4"/>
          <w:szCs w:val="32"/>
        </w:rPr>
        <w:t>85</w:t>
      </w:r>
      <w:r>
        <w:rPr>
          <w:rFonts w:ascii="Times New Roman" w:hAnsi="Times New Roman" w:hint="eastAsia"/>
          <w:bCs/>
          <w:spacing w:val="-4"/>
          <w:szCs w:val="32"/>
        </w:rPr>
        <w:t>％。</w:t>
      </w:r>
    </w:p>
    <w:p w:rsidR="0040606A" w:rsidRDefault="0040606A" w:rsidP="0040606A">
      <w:pPr>
        <w:pStyle w:val="4"/>
        <w:numPr>
          <w:ilvl w:val="3"/>
          <w:numId w:val="9"/>
        </w:numPr>
        <w:kinsoku w:val="0"/>
        <w:rPr>
          <w:rFonts w:ascii="Times New Roman" w:hAnsi="Times New Roman"/>
          <w:bCs/>
          <w:szCs w:val="32"/>
        </w:rPr>
      </w:pPr>
      <w:r>
        <w:rPr>
          <w:rFonts w:ascii="Times New Roman" w:hAnsi="Times New Roman" w:hint="eastAsia"/>
          <w:bCs/>
          <w:szCs w:val="32"/>
        </w:rPr>
        <w:t>地方政府不得將彩券盈餘補助民間團體辦理購置房屋、新建設施工程之支出。</w:t>
      </w:r>
    </w:p>
    <w:p w:rsidR="0040606A" w:rsidRDefault="0040606A" w:rsidP="0040606A">
      <w:pPr>
        <w:pStyle w:val="4"/>
        <w:numPr>
          <w:ilvl w:val="3"/>
          <w:numId w:val="9"/>
        </w:numPr>
        <w:kinsoku w:val="0"/>
        <w:rPr>
          <w:rFonts w:ascii="Times New Roman" w:hAnsi="Times New Roman"/>
          <w:bCs/>
          <w:szCs w:val="32"/>
        </w:rPr>
      </w:pPr>
      <w:r>
        <w:rPr>
          <w:rFonts w:ascii="Times New Roman" w:hAnsi="Times New Roman" w:hint="eastAsia"/>
          <w:bCs/>
          <w:szCs w:val="32"/>
        </w:rPr>
        <w:t>地方政府於編列購置房屋、新建設施工程之支出等預算前，應以專案方式提報地方政府所設之彩券盈餘管理委員會審查通過，發揮因地制宜之監督功能。</w:t>
      </w:r>
    </w:p>
    <w:p w:rsidR="0040606A" w:rsidRDefault="0040606A" w:rsidP="0040606A">
      <w:pPr>
        <w:pStyle w:val="3"/>
        <w:numPr>
          <w:ilvl w:val="2"/>
          <w:numId w:val="9"/>
        </w:numPr>
        <w:kinsoku w:val="0"/>
        <w:ind w:left="1360" w:hanging="680"/>
        <w:rPr>
          <w:rFonts w:ascii="Times New Roman" w:hAnsi="Times New Roman"/>
          <w:szCs w:val="32"/>
        </w:rPr>
      </w:pPr>
      <w:bookmarkStart w:id="1646" w:name="_Toc507518627"/>
      <w:bookmarkStart w:id="1647" w:name="_Toc507491620"/>
      <w:bookmarkStart w:id="1648" w:name="_Toc507484796"/>
      <w:bookmarkStart w:id="1649" w:name="_Toc507767710"/>
      <w:bookmarkStart w:id="1650" w:name="_Toc507768436"/>
      <w:bookmarkStart w:id="1651" w:name="_Toc511115432"/>
      <w:bookmarkStart w:id="1652" w:name="_Toc511308222"/>
      <w:bookmarkStart w:id="1653" w:name="_Toc511998664"/>
      <w:bookmarkStart w:id="1654" w:name="_Toc512421021"/>
      <w:r>
        <w:rPr>
          <w:rFonts w:ascii="Times New Roman" w:hAnsi="Times New Roman" w:hint="eastAsia"/>
          <w:szCs w:val="32"/>
        </w:rPr>
        <w:t>財政部為督導各地方政府落實前述</w:t>
      </w:r>
      <w:r>
        <w:rPr>
          <w:rFonts w:ascii="Times New Roman" w:hAnsi="Times New Roman"/>
          <w:szCs w:val="32"/>
        </w:rPr>
        <w:t>104</w:t>
      </w:r>
      <w:r>
        <w:rPr>
          <w:rFonts w:ascii="Times New Roman" w:hAnsi="Times New Roman" w:hint="eastAsia"/>
          <w:szCs w:val="32"/>
        </w:rPr>
        <w:t>年</w:t>
      </w:r>
      <w:r>
        <w:rPr>
          <w:rFonts w:ascii="Times New Roman" w:hAnsi="Times New Roman"/>
          <w:szCs w:val="32"/>
        </w:rPr>
        <w:t>3</w:t>
      </w:r>
      <w:r>
        <w:rPr>
          <w:rFonts w:ascii="Times New Roman" w:hAnsi="Times New Roman" w:hint="eastAsia"/>
          <w:szCs w:val="32"/>
        </w:rPr>
        <w:t>月</w:t>
      </w:r>
      <w:r>
        <w:rPr>
          <w:rFonts w:ascii="Times New Roman" w:hAnsi="Times New Roman"/>
          <w:szCs w:val="32"/>
        </w:rPr>
        <w:t>26</w:t>
      </w:r>
      <w:r>
        <w:rPr>
          <w:rFonts w:ascii="Times New Roman" w:hAnsi="Times New Roman" w:hint="eastAsia"/>
          <w:szCs w:val="32"/>
        </w:rPr>
        <w:t>日會議結論，雖已列入</w:t>
      </w:r>
      <w:r>
        <w:rPr>
          <w:rFonts w:ascii="Times New Roman" w:hAnsi="Times New Roman"/>
          <w:szCs w:val="32"/>
        </w:rPr>
        <w:t>106</w:t>
      </w:r>
      <w:r>
        <w:rPr>
          <w:rFonts w:ascii="Times New Roman" w:hAnsi="Times New Roman" w:hint="eastAsia"/>
          <w:szCs w:val="32"/>
        </w:rPr>
        <w:t>年度考核指標</w:t>
      </w:r>
      <w:r>
        <w:rPr>
          <w:rFonts w:ascii="Times New Roman" w:hAnsi="Times New Roman"/>
          <w:szCs w:val="32"/>
        </w:rPr>
        <w:t>(</w:t>
      </w:r>
      <w:r>
        <w:rPr>
          <w:rFonts w:ascii="Times New Roman" w:hAnsi="Times New Roman" w:hint="eastAsia"/>
          <w:szCs w:val="32"/>
        </w:rPr>
        <w:t>考核</w:t>
      </w:r>
      <w:r>
        <w:rPr>
          <w:rFonts w:ascii="Times New Roman" w:hAnsi="Times New Roman"/>
          <w:szCs w:val="32"/>
        </w:rPr>
        <w:t>106</w:t>
      </w:r>
      <w:r>
        <w:rPr>
          <w:rFonts w:ascii="Times New Roman" w:hAnsi="Times New Roman" w:hint="eastAsia"/>
          <w:szCs w:val="32"/>
        </w:rPr>
        <w:t>年度預算編列與</w:t>
      </w:r>
      <w:r>
        <w:rPr>
          <w:rFonts w:ascii="Times New Roman" w:hAnsi="Times New Roman"/>
          <w:szCs w:val="32"/>
        </w:rPr>
        <w:t>105</w:t>
      </w:r>
      <w:r>
        <w:rPr>
          <w:rFonts w:ascii="Times New Roman" w:hAnsi="Times New Roman" w:hint="eastAsia"/>
          <w:szCs w:val="32"/>
        </w:rPr>
        <w:t>年度決算執行情形</w:t>
      </w:r>
      <w:r>
        <w:rPr>
          <w:rFonts w:ascii="Times New Roman" w:hAnsi="Times New Roman"/>
          <w:szCs w:val="32"/>
        </w:rPr>
        <w:t>)</w:t>
      </w:r>
      <w:r>
        <w:rPr>
          <w:rStyle w:val="aff1"/>
          <w:rFonts w:ascii="Times New Roman" w:hAnsi="Times New Roman"/>
          <w:szCs w:val="32"/>
        </w:rPr>
        <w:footnoteReference w:id="18"/>
      </w:r>
      <w:r>
        <w:rPr>
          <w:rFonts w:ascii="Times New Roman" w:hAnsi="Times New Roman" w:hint="eastAsia"/>
          <w:szCs w:val="32"/>
        </w:rPr>
        <w:t>；惟前述規範對於公益彩券盈餘運用於購置房屋、新建設施工程之支出標準，亦是參照衛福部「各直轄市、縣市政府依財力分級運用公益彩券盈餘編列設算制度</w:t>
      </w:r>
      <w:r>
        <w:rPr>
          <w:rFonts w:ascii="Times New Roman" w:hAnsi="Times New Roman"/>
          <w:szCs w:val="32"/>
        </w:rPr>
        <w:t>6</w:t>
      </w:r>
      <w:r>
        <w:rPr>
          <w:rFonts w:ascii="Times New Roman" w:hAnsi="Times New Roman" w:hint="eastAsia"/>
          <w:szCs w:val="32"/>
        </w:rPr>
        <w:t>項現金給付項目指標經費之配置比例參考表」所訂之盈餘運用上限</w:t>
      </w:r>
      <w:r>
        <w:rPr>
          <w:rFonts w:ascii="Times New Roman" w:hAnsi="Times New Roman"/>
          <w:szCs w:val="32"/>
        </w:rPr>
        <w:t>(</w:t>
      </w:r>
      <w:r>
        <w:rPr>
          <w:rFonts w:ascii="Times New Roman" w:hAnsi="Times New Roman" w:hint="eastAsia"/>
          <w:szCs w:val="32"/>
        </w:rPr>
        <w:t>依財力級次分別為</w:t>
      </w:r>
      <w:r>
        <w:rPr>
          <w:rFonts w:ascii="Times New Roman" w:hAnsi="Times New Roman"/>
          <w:szCs w:val="32"/>
        </w:rPr>
        <w:t>45</w:t>
      </w:r>
      <w:r>
        <w:rPr>
          <w:rFonts w:ascii="Times New Roman" w:hAnsi="Times New Roman" w:hint="eastAsia"/>
          <w:szCs w:val="32"/>
        </w:rPr>
        <w:t>％、</w:t>
      </w:r>
      <w:r>
        <w:rPr>
          <w:rFonts w:ascii="Times New Roman" w:hAnsi="Times New Roman"/>
          <w:szCs w:val="32"/>
        </w:rPr>
        <w:t>55</w:t>
      </w:r>
      <w:r>
        <w:rPr>
          <w:rFonts w:ascii="Times New Roman" w:hAnsi="Times New Roman" w:hint="eastAsia"/>
          <w:szCs w:val="32"/>
        </w:rPr>
        <w:t>％、</w:t>
      </w:r>
      <w:r>
        <w:rPr>
          <w:rFonts w:ascii="Times New Roman" w:hAnsi="Times New Roman"/>
          <w:szCs w:val="32"/>
        </w:rPr>
        <w:t>65</w:t>
      </w:r>
      <w:r>
        <w:rPr>
          <w:rFonts w:ascii="Times New Roman" w:hAnsi="Times New Roman" w:hint="eastAsia"/>
          <w:szCs w:val="32"/>
        </w:rPr>
        <w:t>％、</w:t>
      </w:r>
      <w:r>
        <w:rPr>
          <w:rFonts w:ascii="Times New Roman" w:hAnsi="Times New Roman"/>
          <w:szCs w:val="32"/>
        </w:rPr>
        <w:t>75</w:t>
      </w:r>
      <w:r>
        <w:rPr>
          <w:rFonts w:ascii="Times New Roman" w:hAnsi="Times New Roman" w:hint="eastAsia"/>
          <w:szCs w:val="32"/>
        </w:rPr>
        <w:t>％及</w:t>
      </w:r>
      <w:r>
        <w:rPr>
          <w:rFonts w:ascii="Times New Roman" w:hAnsi="Times New Roman"/>
          <w:szCs w:val="32"/>
        </w:rPr>
        <w:t>85</w:t>
      </w:r>
      <w:r>
        <w:rPr>
          <w:rFonts w:ascii="Times New Roman" w:hAnsi="Times New Roman" w:hint="eastAsia"/>
          <w:szCs w:val="32"/>
        </w:rPr>
        <w:t>％</w:t>
      </w:r>
      <w:r>
        <w:rPr>
          <w:rFonts w:ascii="Times New Roman" w:hAnsi="Times New Roman"/>
          <w:szCs w:val="32"/>
        </w:rPr>
        <w:t>)</w:t>
      </w:r>
      <w:r>
        <w:rPr>
          <w:rFonts w:ascii="Times New Roman" w:hAnsi="Times New Roman" w:hint="eastAsia"/>
          <w:szCs w:val="32"/>
        </w:rPr>
        <w:t>，而後續各地方政府實際運用情形是否將產生如前述</w:t>
      </w:r>
      <w:r>
        <w:rPr>
          <w:rFonts w:ascii="Times New Roman" w:hAnsi="Times New Roman"/>
          <w:szCs w:val="32"/>
        </w:rPr>
        <w:t>6</w:t>
      </w:r>
      <w:r>
        <w:rPr>
          <w:rFonts w:ascii="Times New Roman" w:hAnsi="Times New Roman" w:hint="eastAsia"/>
          <w:szCs w:val="32"/>
        </w:rPr>
        <w:t>項法定現金補助經費占比逐年提高之類似情事，</w:t>
      </w:r>
      <w:r w:rsidR="00183EA6">
        <w:rPr>
          <w:rFonts w:ascii="Times New Roman" w:hAnsi="Times New Roman" w:hint="eastAsia"/>
          <w:szCs w:val="32"/>
        </w:rPr>
        <w:t>財政部</w:t>
      </w:r>
      <w:r>
        <w:rPr>
          <w:rFonts w:ascii="Times New Roman" w:hAnsi="Times New Roman" w:hint="eastAsia"/>
          <w:szCs w:val="32"/>
        </w:rPr>
        <w:t>允應及早妥為因應，避免造成預算排擠效應及易放難收等問題。</w:t>
      </w:r>
      <w:bookmarkEnd w:id="1646"/>
      <w:bookmarkEnd w:id="1647"/>
      <w:bookmarkEnd w:id="1648"/>
      <w:bookmarkEnd w:id="1649"/>
      <w:bookmarkEnd w:id="1650"/>
      <w:bookmarkEnd w:id="1651"/>
      <w:bookmarkEnd w:id="1652"/>
      <w:bookmarkEnd w:id="1653"/>
      <w:bookmarkEnd w:id="1654"/>
    </w:p>
    <w:p w:rsidR="0040606A" w:rsidRDefault="0040606A" w:rsidP="0040606A">
      <w:pPr>
        <w:pStyle w:val="3"/>
        <w:numPr>
          <w:ilvl w:val="2"/>
          <w:numId w:val="9"/>
        </w:numPr>
        <w:kinsoku w:val="0"/>
        <w:ind w:left="1360" w:hanging="680"/>
        <w:rPr>
          <w:rFonts w:ascii="Times New Roman" w:hAnsi="Times New Roman"/>
          <w:szCs w:val="32"/>
        </w:rPr>
      </w:pPr>
      <w:bookmarkStart w:id="1655" w:name="_Toc507767711"/>
      <w:bookmarkStart w:id="1656" w:name="_Toc507768437"/>
      <w:bookmarkStart w:id="1657" w:name="_Toc511115433"/>
      <w:bookmarkStart w:id="1658" w:name="_Toc511308223"/>
      <w:bookmarkStart w:id="1659" w:name="_Toc511998665"/>
      <w:bookmarkStart w:id="1660" w:name="_Toc512421022"/>
      <w:r>
        <w:rPr>
          <w:rFonts w:ascii="Times New Roman" w:hAnsi="Times New Roman" w:hint="eastAsia"/>
          <w:szCs w:val="32"/>
        </w:rPr>
        <w:t>此外，高雄市政府</w:t>
      </w:r>
      <w:r>
        <w:rPr>
          <w:rFonts w:ascii="Times New Roman" w:hAnsi="Times New Roman" w:hint="eastAsia"/>
          <w:bCs w:val="0"/>
        </w:rPr>
        <w:t>社會局仁愛之家於</w:t>
      </w:r>
      <w:r>
        <w:rPr>
          <w:rFonts w:ascii="Times New Roman" w:hAnsi="Times New Roman"/>
          <w:bCs w:val="0"/>
        </w:rPr>
        <w:t>102</w:t>
      </w:r>
      <w:r>
        <w:rPr>
          <w:rFonts w:ascii="Times New Roman" w:hAnsi="Times New Roman" w:hint="eastAsia"/>
          <w:bCs w:val="0"/>
        </w:rPr>
        <w:t>年至</w:t>
      </w:r>
      <w:r>
        <w:rPr>
          <w:rFonts w:ascii="Times New Roman" w:hAnsi="Times New Roman"/>
          <w:bCs w:val="0"/>
        </w:rPr>
        <w:t>104</w:t>
      </w:r>
      <w:r>
        <w:rPr>
          <w:rFonts w:ascii="Times New Roman" w:hAnsi="Times New Roman" w:hint="eastAsia"/>
          <w:bCs w:val="0"/>
        </w:rPr>
        <w:t>年向該市</w:t>
      </w:r>
      <w:r>
        <w:rPr>
          <w:rFonts w:ascii="Times New Roman" w:hAnsi="Times New Roman" w:hint="eastAsia"/>
        </w:rPr>
        <w:t>公益彩券盈餘分配基金</w:t>
      </w:r>
      <w:r>
        <w:rPr>
          <w:rFonts w:ascii="Times New Roman" w:hAnsi="Times New Roman" w:hint="eastAsia"/>
          <w:bCs w:val="0"/>
        </w:rPr>
        <w:t>申請經費合計</w:t>
      </w:r>
      <w:r>
        <w:rPr>
          <w:rFonts w:ascii="Times New Roman" w:hAnsi="Times New Roman"/>
          <w:bCs w:val="0"/>
        </w:rPr>
        <w:t>1,488</w:t>
      </w:r>
      <w:r>
        <w:rPr>
          <w:rFonts w:ascii="Times New Roman" w:hAnsi="Times New Roman" w:hint="eastAsia"/>
          <w:bCs w:val="0"/>
        </w:rPr>
        <w:t>萬餘元，辦理廳舍整建及購置設施設備、櫥櫃更新等</w:t>
      </w:r>
      <w:r>
        <w:rPr>
          <w:rFonts w:ascii="Times New Roman" w:hAnsi="Times New Roman"/>
          <w:bCs w:val="0"/>
        </w:rPr>
        <w:t>(</w:t>
      </w:r>
      <w:r>
        <w:rPr>
          <w:rFonts w:ascii="Times New Roman" w:hAnsi="Times New Roman" w:hint="eastAsia"/>
          <w:bCs w:val="0"/>
        </w:rPr>
        <w:t>核銷金額</w:t>
      </w:r>
      <w:r>
        <w:rPr>
          <w:rFonts w:ascii="Times New Roman" w:hAnsi="Times New Roman"/>
          <w:bCs w:val="0"/>
        </w:rPr>
        <w:t>1,379</w:t>
      </w:r>
      <w:r>
        <w:rPr>
          <w:rFonts w:ascii="Times New Roman" w:hAnsi="Times New Roman" w:hint="eastAsia"/>
          <w:bCs w:val="0"/>
        </w:rPr>
        <w:t>萬餘元</w:t>
      </w:r>
      <w:r>
        <w:rPr>
          <w:rFonts w:ascii="Times New Roman" w:hAnsi="Times New Roman"/>
          <w:bCs w:val="0"/>
        </w:rPr>
        <w:t>)</w:t>
      </w:r>
      <w:r>
        <w:rPr>
          <w:rFonts w:ascii="Times New Roman" w:hAnsi="Times New Roman" w:hint="eastAsia"/>
          <w:bCs w:val="0"/>
        </w:rPr>
        <w:t>，所編公務預算僅占整體資本門支出之</w:t>
      </w:r>
      <w:r>
        <w:rPr>
          <w:rFonts w:ascii="Times New Roman" w:hAnsi="Times New Roman"/>
          <w:bCs w:val="0"/>
        </w:rPr>
        <w:t>4.45</w:t>
      </w:r>
      <w:r>
        <w:rPr>
          <w:rFonts w:ascii="Times New Roman" w:hAnsi="Times New Roman" w:hint="eastAsia"/>
          <w:bCs w:val="0"/>
        </w:rPr>
        <w:t>％</w:t>
      </w:r>
      <w:r>
        <w:rPr>
          <w:rFonts w:ascii="Times New Roman" w:hAnsi="Times New Roman" w:hint="eastAsia"/>
          <w:szCs w:val="32"/>
        </w:rPr>
        <w:t>，</w:t>
      </w:r>
      <w:r w:rsidR="00183EA6">
        <w:rPr>
          <w:rFonts w:ascii="Times New Roman" w:hAnsi="Times New Roman" w:hint="eastAsia"/>
          <w:szCs w:val="32"/>
        </w:rPr>
        <w:t>惟</w:t>
      </w:r>
      <w:r>
        <w:rPr>
          <w:rFonts w:ascii="Times New Roman" w:hAnsi="Times New Roman" w:hint="eastAsia"/>
          <w:szCs w:val="32"/>
        </w:rPr>
        <w:t>財政部前述資本性支出規範僅就運用於「購置房屋、新建設施工程」之支出項目，至於「現有設施及設備之維護及修繕」之支出標準，卻</w:t>
      </w:r>
      <w:r w:rsidR="00183EA6">
        <w:rPr>
          <w:rFonts w:ascii="Times New Roman" w:hAnsi="Times New Roman" w:hint="eastAsia"/>
          <w:szCs w:val="32"/>
        </w:rPr>
        <w:t>缺</w:t>
      </w:r>
      <w:r>
        <w:rPr>
          <w:rFonts w:ascii="Times New Roman" w:hAnsi="Times New Roman" w:hint="eastAsia"/>
          <w:szCs w:val="32"/>
        </w:rPr>
        <w:t>乏相關規範，亦應檢討改進。</w:t>
      </w:r>
      <w:bookmarkEnd w:id="1655"/>
      <w:bookmarkEnd w:id="1656"/>
      <w:bookmarkEnd w:id="1657"/>
      <w:bookmarkEnd w:id="1658"/>
      <w:bookmarkEnd w:id="1659"/>
      <w:bookmarkEnd w:id="1660"/>
    </w:p>
    <w:p w:rsidR="0040606A" w:rsidRPr="00183EA6" w:rsidRDefault="0040606A" w:rsidP="0040606A">
      <w:pPr>
        <w:pStyle w:val="3"/>
        <w:numPr>
          <w:ilvl w:val="2"/>
          <w:numId w:val="9"/>
        </w:numPr>
        <w:kinsoku w:val="0"/>
        <w:ind w:left="1360" w:hanging="680"/>
        <w:rPr>
          <w:rFonts w:ascii="Times New Roman" w:hAnsi="Times New Roman"/>
          <w:szCs w:val="32"/>
        </w:rPr>
      </w:pPr>
      <w:bookmarkStart w:id="1661" w:name="_Toc507767712"/>
      <w:bookmarkStart w:id="1662" w:name="_Toc507768438"/>
      <w:bookmarkStart w:id="1663" w:name="_Toc511115434"/>
      <w:bookmarkStart w:id="1664" w:name="_Toc511308224"/>
      <w:bookmarkStart w:id="1665" w:name="_Toc511998666"/>
      <w:bookmarkStart w:id="1666" w:name="_Toc512421023"/>
      <w:r w:rsidRPr="00183EA6">
        <w:rPr>
          <w:rFonts w:ascii="Times New Roman" w:hAnsi="Times New Roman" w:hint="eastAsia"/>
          <w:szCs w:val="32"/>
        </w:rPr>
        <w:t>綜上，</w:t>
      </w:r>
      <w:r w:rsidR="00183EA6" w:rsidRPr="00183EA6">
        <w:rPr>
          <w:rFonts w:ascii="Times New Roman" w:hAnsi="Times New Roman" w:hint="eastAsia"/>
          <w:szCs w:val="32"/>
        </w:rPr>
        <w:t>財政部為避免地方政府以獲配之公益彩券盈餘過度運用於資本門支出</w:t>
      </w:r>
      <w:r w:rsidR="00C121DF" w:rsidRPr="00183EA6">
        <w:rPr>
          <w:rFonts w:ascii="Times New Roman" w:hAnsi="Times New Roman" w:hint="eastAsia"/>
          <w:szCs w:val="32"/>
        </w:rPr>
        <w:t>，雖已於</w:t>
      </w:r>
      <w:r w:rsidR="00C121DF" w:rsidRPr="00183EA6">
        <w:rPr>
          <w:rFonts w:ascii="Times New Roman" w:hAnsi="Times New Roman"/>
          <w:szCs w:val="32"/>
        </w:rPr>
        <w:t>104</w:t>
      </w:r>
      <w:r w:rsidR="00C121DF" w:rsidRPr="00183EA6">
        <w:rPr>
          <w:rFonts w:ascii="Times New Roman" w:hAnsi="Times New Roman" w:hint="eastAsia"/>
          <w:szCs w:val="32"/>
        </w:rPr>
        <w:t>年間規範相關的運用原則及上限，並列入</w:t>
      </w:r>
      <w:r w:rsidR="00C121DF" w:rsidRPr="00183EA6">
        <w:rPr>
          <w:rFonts w:ascii="Times New Roman" w:hAnsi="Times New Roman"/>
          <w:szCs w:val="32"/>
        </w:rPr>
        <w:t>106</w:t>
      </w:r>
      <w:r w:rsidR="00C121DF" w:rsidRPr="00183EA6">
        <w:rPr>
          <w:rFonts w:ascii="Times New Roman" w:hAnsi="Times New Roman" w:hint="eastAsia"/>
          <w:szCs w:val="32"/>
        </w:rPr>
        <w:t>年度考核指標；惟後</w:t>
      </w:r>
      <w:r w:rsidR="00C121DF" w:rsidRPr="00183EA6">
        <w:rPr>
          <w:rFonts w:ascii="Times New Roman" w:hAnsi="Times New Roman" w:hint="eastAsia"/>
        </w:rPr>
        <w:t>續各地方政府在實際運用上是否將產生如前述</w:t>
      </w:r>
      <w:r w:rsidR="00C121DF" w:rsidRPr="00183EA6">
        <w:rPr>
          <w:rFonts w:ascii="Times New Roman" w:hAnsi="Times New Roman"/>
        </w:rPr>
        <w:t>6</w:t>
      </w:r>
      <w:r w:rsidR="00C121DF" w:rsidRPr="00183EA6">
        <w:rPr>
          <w:rFonts w:ascii="Times New Roman" w:hAnsi="Times New Roman" w:hint="eastAsia"/>
        </w:rPr>
        <w:t>項法定現金補助之類似情事，該部允應及早妥為因應，避免造成預算排擠效應及易放難收等問題</w:t>
      </w:r>
      <w:r w:rsidRPr="00183EA6">
        <w:rPr>
          <w:rFonts w:ascii="Times New Roman" w:hAnsi="Times New Roman" w:hint="eastAsia"/>
        </w:rPr>
        <w:t>。</w:t>
      </w:r>
      <w:bookmarkEnd w:id="1661"/>
      <w:bookmarkEnd w:id="1662"/>
      <w:bookmarkEnd w:id="1663"/>
      <w:bookmarkEnd w:id="1664"/>
      <w:bookmarkEnd w:id="1665"/>
      <w:bookmarkEnd w:id="1666"/>
    </w:p>
    <w:p w:rsidR="0040606A" w:rsidRDefault="0040606A" w:rsidP="0040606A">
      <w:pPr>
        <w:pStyle w:val="2"/>
        <w:numPr>
          <w:ilvl w:val="1"/>
          <w:numId w:val="9"/>
        </w:numPr>
        <w:topLinePunct/>
        <w:ind w:left="1020" w:hanging="680"/>
        <w:rPr>
          <w:rFonts w:ascii="Times New Roman" w:hAnsi="Times New Roman"/>
          <w:b/>
        </w:rPr>
      </w:pPr>
      <w:bookmarkStart w:id="1667" w:name="_Toc507518635"/>
      <w:bookmarkStart w:id="1668" w:name="_Toc507767713"/>
      <w:bookmarkStart w:id="1669" w:name="_Toc511115435"/>
      <w:bookmarkStart w:id="1670" w:name="_Toc512421024"/>
      <w:bookmarkStart w:id="1671" w:name="_Toc507518628"/>
      <w:r>
        <w:rPr>
          <w:rFonts w:ascii="Times New Roman" w:hAnsi="Times New Roman" w:hint="eastAsia"/>
          <w:b/>
        </w:rPr>
        <w:t>衛福部對於目前部分地方政府將</w:t>
      </w:r>
      <w:r w:rsidR="00183EA6">
        <w:rPr>
          <w:rFonts w:ascii="Times New Roman" w:hAnsi="Times New Roman" w:hint="eastAsia"/>
          <w:b/>
        </w:rPr>
        <w:t>獲配之部分</w:t>
      </w:r>
      <w:r>
        <w:rPr>
          <w:rFonts w:ascii="Times New Roman" w:hAnsi="Times New Roman" w:hint="eastAsia"/>
          <w:b/>
        </w:rPr>
        <w:t>公益彩券盈餘予以定存之作法，應予釐清妥適性，避免爭議及排擠社會福利計畫之推動辦理。</w:t>
      </w:r>
      <w:bookmarkEnd w:id="1667"/>
      <w:bookmarkEnd w:id="1668"/>
      <w:bookmarkEnd w:id="1669"/>
      <w:bookmarkEnd w:id="1670"/>
    </w:p>
    <w:p w:rsidR="0040606A" w:rsidRPr="00183EA6" w:rsidRDefault="00183EA6" w:rsidP="0040606A">
      <w:pPr>
        <w:pStyle w:val="3"/>
        <w:numPr>
          <w:ilvl w:val="2"/>
          <w:numId w:val="9"/>
        </w:numPr>
        <w:kinsoku w:val="0"/>
        <w:rPr>
          <w:rFonts w:ascii="Times New Roman" w:hAnsi="Times New Roman"/>
          <w:spacing w:val="-4"/>
        </w:rPr>
      </w:pPr>
      <w:bookmarkStart w:id="1672" w:name="_Toc507518636"/>
      <w:bookmarkStart w:id="1673" w:name="_Toc507767714"/>
      <w:bookmarkStart w:id="1674" w:name="_Toc507768440"/>
      <w:bookmarkStart w:id="1675" w:name="_Toc511115436"/>
      <w:bookmarkStart w:id="1676" w:name="_Toc511308226"/>
      <w:bookmarkStart w:id="1677" w:name="_Toc511998668"/>
      <w:bookmarkStart w:id="1678" w:name="_Toc512421025"/>
      <w:r w:rsidRPr="00183EA6">
        <w:rPr>
          <w:rFonts w:ascii="Times New Roman" w:hAnsi="Times New Roman" w:hint="eastAsia"/>
          <w:spacing w:val="-4"/>
        </w:rPr>
        <w:t>查中央對地方政府</w:t>
      </w:r>
      <w:r w:rsidR="0040606A" w:rsidRPr="00183EA6">
        <w:rPr>
          <w:rFonts w:ascii="Times New Roman" w:hAnsi="Times New Roman" w:hint="eastAsia"/>
          <w:spacing w:val="-4"/>
        </w:rPr>
        <w:t>「公益彩券盈餘運用考核指標及評分標準表」</w:t>
      </w:r>
      <w:r w:rsidRPr="00183EA6">
        <w:rPr>
          <w:rFonts w:ascii="Times New Roman" w:hAnsi="Times New Roman" w:hint="eastAsia"/>
          <w:spacing w:val="-4"/>
        </w:rPr>
        <w:t>，</w:t>
      </w:r>
      <w:r w:rsidR="0040606A" w:rsidRPr="00183EA6">
        <w:rPr>
          <w:rFonts w:ascii="Times New Roman" w:hAnsi="Times New Roman" w:hint="eastAsia"/>
          <w:spacing w:val="-4"/>
        </w:rPr>
        <w:t>針對「年度歲出預算編列是否符合政事別社會福利支出」考核指標，其審核依據之一為：「計畫項目實際用途認定，依計畫項目功能及性質為準，非屬社會福利功能者均予以扣減，如計畫用於定存、購買公債、國庫券等，視為不符合政事別。」</w:t>
      </w:r>
      <w:bookmarkEnd w:id="1672"/>
      <w:bookmarkEnd w:id="1673"/>
      <w:bookmarkEnd w:id="1674"/>
      <w:bookmarkEnd w:id="1675"/>
      <w:bookmarkEnd w:id="1676"/>
      <w:bookmarkEnd w:id="1677"/>
      <w:bookmarkEnd w:id="1678"/>
    </w:p>
    <w:p w:rsidR="0040606A" w:rsidRPr="00183EA6" w:rsidRDefault="0040606A" w:rsidP="00183EA6">
      <w:pPr>
        <w:pStyle w:val="3"/>
        <w:numPr>
          <w:ilvl w:val="2"/>
          <w:numId w:val="9"/>
        </w:numPr>
        <w:kinsoku w:val="0"/>
        <w:ind w:left="1360" w:hanging="680"/>
        <w:rPr>
          <w:rFonts w:ascii="Times New Roman"/>
          <w:spacing w:val="-2"/>
        </w:rPr>
      </w:pPr>
      <w:bookmarkStart w:id="1679" w:name="_Toc507518637"/>
      <w:bookmarkStart w:id="1680" w:name="_Toc507767715"/>
      <w:bookmarkStart w:id="1681" w:name="_Toc507768441"/>
      <w:bookmarkStart w:id="1682" w:name="_Toc511115437"/>
      <w:bookmarkStart w:id="1683" w:name="_Toc511308227"/>
      <w:bookmarkStart w:id="1684" w:name="_Toc511998669"/>
      <w:bookmarkStart w:id="1685" w:name="_Toc512421026"/>
      <w:r w:rsidRPr="00183EA6">
        <w:rPr>
          <w:rFonts w:ascii="Times New Roman" w:hAnsi="Times New Roman" w:hint="eastAsia"/>
          <w:spacing w:val="-2"/>
        </w:rPr>
        <w:t>有關</w:t>
      </w:r>
      <w:r w:rsidRPr="00183EA6">
        <w:rPr>
          <w:rFonts w:ascii="Times New Roman" w:hint="eastAsia"/>
          <w:spacing w:val="-2"/>
        </w:rPr>
        <w:t>地方政府若將</w:t>
      </w:r>
      <w:r w:rsidR="00183EA6">
        <w:rPr>
          <w:rFonts w:ascii="Times New Roman" w:hint="eastAsia"/>
          <w:spacing w:val="-2"/>
        </w:rPr>
        <w:t>獲配之</w:t>
      </w:r>
      <w:r w:rsidRPr="00183EA6">
        <w:rPr>
          <w:rFonts w:ascii="Times New Roman" w:hint="eastAsia"/>
          <w:spacing w:val="-2"/>
        </w:rPr>
        <w:t>公益彩券盈餘以定存方式增加收</w:t>
      </w:r>
      <w:r w:rsidRPr="00183EA6">
        <w:rPr>
          <w:rFonts w:ascii="Times New Roman" w:hAnsi="Times New Roman" w:hint="eastAsia"/>
          <w:spacing w:val="-2"/>
        </w:rPr>
        <w:t>益，孳息部分亦專款作為社會福利支出之用，是否符合前述考核指標一</w:t>
      </w:r>
      <w:r w:rsidRPr="00183EA6">
        <w:rPr>
          <w:rFonts w:ascii="Times New Roman" w:hint="eastAsia"/>
          <w:spacing w:val="-2"/>
        </w:rPr>
        <w:t>節，</w:t>
      </w:r>
      <w:r w:rsidRPr="00183EA6">
        <w:rPr>
          <w:rFonts w:ascii="Times New Roman" w:hAnsi="Times New Roman" w:hint="eastAsia"/>
          <w:spacing w:val="-2"/>
        </w:rPr>
        <w:t>經審計部依財政部轉據衛福部說明</w:t>
      </w:r>
      <w:r w:rsidRPr="00183EA6">
        <w:rPr>
          <w:rFonts w:ascii="新細明體" w:eastAsia="新細明體" w:hAnsi="新細明體" w:hint="eastAsia"/>
          <w:spacing w:val="-2"/>
        </w:rPr>
        <w:t>：</w:t>
      </w:r>
      <w:r w:rsidRPr="00183EA6">
        <w:rPr>
          <w:rFonts w:ascii="Times New Roman" w:hAnsi="Times New Roman" w:hint="eastAsia"/>
          <w:spacing w:val="-2"/>
        </w:rPr>
        <w:t>有關年度預算及計畫之執行，地方政府獲配公益彩券盈餘，其運用精神為增進社會福利，應支用於弱勢民眾照顧服務之計畫項目，而購買公債、國庫券、定存等投資理財事項，非照顧弱勢基本尊嚴所需，為免地方政府匡列年度歲出預算經費於定存額度，而排擠推展社會福利經費之疑慮，爰視為不符合政事別社會福利支出，另於考核指標所列年度歲出預算經費不得用於定存、購買公債、國庫券等之規範</w:t>
      </w:r>
      <w:r w:rsidRPr="00183EA6">
        <w:rPr>
          <w:rFonts w:ascii="Times New Roman" w:hint="eastAsia"/>
          <w:spacing w:val="-2"/>
        </w:rPr>
        <w:t>等語。財政部於書面詢問資料中亦表示：前述考核指標之訂定，係考量如地方政府為增加基金收入，於運用計畫中匡列經費於定存、購買公債、國庫券等，將排擠社會福利計畫之推動辦理，爰訂定該項指標；且據地方政府查復資料，均未運用計畫於定存、購買公債、國庫券等語。</w:t>
      </w:r>
      <w:bookmarkEnd w:id="1679"/>
      <w:bookmarkEnd w:id="1680"/>
      <w:bookmarkEnd w:id="1681"/>
      <w:bookmarkEnd w:id="1682"/>
      <w:bookmarkEnd w:id="1683"/>
      <w:bookmarkEnd w:id="1684"/>
      <w:bookmarkEnd w:id="1685"/>
    </w:p>
    <w:p w:rsidR="0040606A" w:rsidRPr="00A627AA" w:rsidRDefault="0040606A" w:rsidP="00A627AA">
      <w:pPr>
        <w:pStyle w:val="3"/>
        <w:numPr>
          <w:ilvl w:val="2"/>
          <w:numId w:val="9"/>
        </w:numPr>
        <w:kinsoku w:val="0"/>
        <w:ind w:left="1360" w:hanging="680"/>
        <w:rPr>
          <w:rFonts w:ascii="Times New Roman" w:hAnsi="Times New Roman"/>
        </w:rPr>
      </w:pPr>
      <w:bookmarkStart w:id="1686" w:name="_Toc507518638"/>
      <w:bookmarkStart w:id="1687" w:name="_Toc507767716"/>
      <w:bookmarkStart w:id="1688" w:name="_Toc507768442"/>
      <w:bookmarkStart w:id="1689" w:name="_Toc511115438"/>
      <w:bookmarkStart w:id="1690" w:name="_Toc511308228"/>
      <w:bookmarkStart w:id="1691" w:name="_Toc511998670"/>
      <w:bookmarkStart w:id="1692" w:name="_Toc512421027"/>
      <w:r w:rsidRPr="00A627AA">
        <w:rPr>
          <w:rFonts w:ascii="Times New Roman" w:hAnsi="Times New Roman" w:hint="eastAsia"/>
        </w:rPr>
        <w:t>惟據審計部查復結果顯示，</w:t>
      </w:r>
      <w:r w:rsidR="00A627AA" w:rsidRPr="00A627AA">
        <w:rPr>
          <w:rFonts w:ascii="Times New Roman" w:hAnsi="Times New Roman"/>
        </w:rPr>
        <w:t>101</w:t>
      </w:r>
      <w:r w:rsidR="00A627AA" w:rsidRPr="00A627AA">
        <w:rPr>
          <w:rFonts w:ascii="Times New Roman" w:hAnsi="Times New Roman"/>
        </w:rPr>
        <w:t>年至</w:t>
      </w:r>
      <w:r w:rsidR="00A627AA" w:rsidRPr="00A627AA">
        <w:rPr>
          <w:rFonts w:ascii="Times New Roman" w:hAnsi="Times New Roman"/>
        </w:rPr>
        <w:t>105</w:t>
      </w:r>
      <w:r w:rsidR="00A627AA" w:rsidRPr="00A627AA">
        <w:rPr>
          <w:rFonts w:ascii="Times New Roman" w:hAnsi="Times New Roman"/>
        </w:rPr>
        <w:t>年各地方政府對於</w:t>
      </w:r>
      <w:r w:rsidR="00A627AA" w:rsidRPr="00A627AA">
        <w:rPr>
          <w:rFonts w:ascii="Times New Roman" w:hAnsi="Times New Roman" w:hint="eastAsia"/>
        </w:rPr>
        <w:t>獲配</w:t>
      </w:r>
      <w:r w:rsidR="00A627AA" w:rsidRPr="00A627AA">
        <w:rPr>
          <w:rFonts w:ascii="Times New Roman" w:hAnsi="Times New Roman"/>
        </w:rPr>
        <w:t>公益彩券盈餘</w:t>
      </w:r>
      <w:r w:rsidR="00A627AA" w:rsidRPr="00A627AA">
        <w:rPr>
          <w:rFonts w:ascii="Times New Roman" w:hAnsi="Times New Roman" w:hint="eastAsia"/>
        </w:rPr>
        <w:t>之</w:t>
      </w:r>
      <w:r w:rsidR="00A627AA" w:rsidRPr="00A627AA">
        <w:rPr>
          <w:rFonts w:ascii="Times New Roman" w:hAnsi="Times New Roman"/>
        </w:rPr>
        <w:t>留存方式，</w:t>
      </w:r>
      <w:r w:rsidR="00A627AA" w:rsidRPr="00A627AA">
        <w:rPr>
          <w:rFonts w:ascii="Times New Roman" w:hAnsi="Times New Roman" w:hint="eastAsia"/>
        </w:rPr>
        <w:t>計有</w:t>
      </w:r>
      <w:r w:rsidR="00A627AA" w:rsidRPr="00A627AA">
        <w:rPr>
          <w:rFonts w:ascii="Times New Roman" w:hAnsi="Times New Roman"/>
        </w:rPr>
        <w:t>臺北市、</w:t>
      </w:r>
      <w:r w:rsidR="00A627AA" w:rsidRPr="00A627AA">
        <w:rPr>
          <w:rFonts w:ascii="Times New Roman" w:hAnsi="Times New Roman" w:hint="eastAsia"/>
        </w:rPr>
        <w:t>臺中市</w:t>
      </w:r>
      <w:r w:rsidR="00A627AA" w:rsidRPr="00A627AA">
        <w:rPr>
          <w:rFonts w:ascii="Times New Roman" w:hAnsi="Times New Roman" w:hint="eastAsia"/>
        </w:rPr>
        <w:t>(103</w:t>
      </w:r>
      <w:r w:rsidR="00A627AA" w:rsidRPr="00A627AA">
        <w:rPr>
          <w:rFonts w:ascii="Times New Roman" w:hAnsi="Times New Roman" w:hint="eastAsia"/>
        </w:rPr>
        <w:t>年至</w:t>
      </w:r>
      <w:r w:rsidR="00A627AA" w:rsidRPr="00A627AA">
        <w:rPr>
          <w:rFonts w:ascii="Times New Roman" w:hAnsi="Times New Roman" w:hint="eastAsia"/>
        </w:rPr>
        <w:t>105</w:t>
      </w:r>
      <w:r w:rsidR="00A627AA" w:rsidRPr="00A627AA">
        <w:rPr>
          <w:rFonts w:ascii="Times New Roman" w:hAnsi="Times New Roman" w:hint="eastAsia"/>
        </w:rPr>
        <w:t>年</w:t>
      </w:r>
      <w:r w:rsidR="00A627AA" w:rsidRPr="00A627AA">
        <w:rPr>
          <w:rFonts w:ascii="Times New Roman" w:hAnsi="Times New Roman" w:hint="eastAsia"/>
        </w:rPr>
        <w:t>)</w:t>
      </w:r>
      <w:r w:rsidR="00A627AA" w:rsidRPr="00A627AA">
        <w:rPr>
          <w:rFonts w:ascii="Times New Roman" w:hAnsi="Times New Roman" w:hint="eastAsia"/>
        </w:rPr>
        <w:t>、高雄市</w:t>
      </w:r>
      <w:r w:rsidR="00A627AA" w:rsidRPr="00A627AA">
        <w:rPr>
          <w:rFonts w:ascii="Times New Roman" w:hAnsi="Times New Roman" w:hint="eastAsia"/>
        </w:rPr>
        <w:t>(105</w:t>
      </w:r>
      <w:r w:rsidR="00A627AA" w:rsidRPr="00A627AA">
        <w:rPr>
          <w:rFonts w:ascii="Times New Roman" w:hAnsi="Times New Roman" w:hint="eastAsia"/>
        </w:rPr>
        <w:t>年</w:t>
      </w:r>
      <w:r w:rsidR="00A627AA" w:rsidRPr="00A627AA">
        <w:rPr>
          <w:rFonts w:ascii="Times New Roman" w:hAnsi="Times New Roman" w:hint="eastAsia"/>
        </w:rPr>
        <w:t>)</w:t>
      </w:r>
      <w:r w:rsidR="00A627AA" w:rsidRPr="00A627AA">
        <w:rPr>
          <w:rFonts w:ascii="Times New Roman" w:hAnsi="Times New Roman" w:hint="eastAsia"/>
        </w:rPr>
        <w:t>、新竹縣</w:t>
      </w:r>
      <w:r w:rsidR="00A627AA" w:rsidRPr="00A627AA">
        <w:rPr>
          <w:rFonts w:ascii="Times New Roman" w:hAnsi="Times New Roman" w:hint="eastAsia"/>
        </w:rPr>
        <w:t>(101</w:t>
      </w:r>
      <w:r w:rsidR="00A627AA" w:rsidRPr="00A627AA">
        <w:rPr>
          <w:rFonts w:ascii="Times New Roman" w:hAnsi="Times New Roman" w:hint="eastAsia"/>
        </w:rPr>
        <w:t>年至</w:t>
      </w:r>
      <w:r w:rsidR="00A627AA" w:rsidRPr="00A627AA">
        <w:rPr>
          <w:rFonts w:ascii="Times New Roman" w:hAnsi="Times New Roman" w:hint="eastAsia"/>
        </w:rPr>
        <w:t>104</w:t>
      </w:r>
      <w:r w:rsidR="00A627AA" w:rsidRPr="00A627AA">
        <w:rPr>
          <w:rFonts w:ascii="Times New Roman" w:hAnsi="Times New Roman" w:hint="eastAsia"/>
        </w:rPr>
        <w:t>年</w:t>
      </w:r>
      <w:r w:rsidR="00A627AA" w:rsidRPr="00A627AA">
        <w:rPr>
          <w:rFonts w:ascii="Times New Roman" w:hAnsi="Times New Roman" w:hint="eastAsia"/>
        </w:rPr>
        <w:t>)</w:t>
      </w:r>
      <w:r w:rsidR="00A627AA" w:rsidRPr="00A627AA">
        <w:rPr>
          <w:rFonts w:ascii="Times New Roman" w:hAnsi="Times New Roman" w:hint="eastAsia"/>
        </w:rPr>
        <w:t>、</w:t>
      </w:r>
      <w:r w:rsidR="00A627AA" w:rsidRPr="00A627AA">
        <w:rPr>
          <w:rFonts w:ascii="Times New Roman" w:hAnsi="Times New Roman"/>
        </w:rPr>
        <w:t>南投縣</w:t>
      </w:r>
      <w:r w:rsidR="00A627AA" w:rsidRPr="00A627AA">
        <w:rPr>
          <w:rFonts w:ascii="Times New Roman" w:hAnsi="Times New Roman" w:hint="eastAsia"/>
        </w:rPr>
        <w:t>、花蓮縣、嘉義市、</w:t>
      </w:r>
      <w:r w:rsidR="00A627AA" w:rsidRPr="00A627AA">
        <w:rPr>
          <w:rFonts w:ascii="Times New Roman" w:hAnsi="Times New Roman"/>
        </w:rPr>
        <w:t>金門縣及連江縣</w:t>
      </w:r>
      <w:r w:rsidR="00A627AA" w:rsidRPr="00A627AA">
        <w:rPr>
          <w:rFonts w:ascii="Times New Roman" w:hAnsi="Times New Roman" w:hint="eastAsia"/>
        </w:rPr>
        <w:t>等</w:t>
      </w:r>
      <w:r w:rsidR="00A627AA">
        <w:rPr>
          <w:rFonts w:ascii="Times New Roman" w:hAnsi="Times New Roman" w:hint="eastAsia"/>
        </w:rPr>
        <w:t>9</w:t>
      </w:r>
      <w:r w:rsidR="00A627AA" w:rsidRPr="00A627AA">
        <w:rPr>
          <w:rFonts w:ascii="Times New Roman" w:hAnsi="Times New Roman" w:hint="eastAsia"/>
        </w:rPr>
        <w:t>個縣市採</w:t>
      </w:r>
      <w:r w:rsidR="00A627AA" w:rsidRPr="00A627AA">
        <w:rPr>
          <w:rFonts w:ascii="Times New Roman" w:hAnsi="Times New Roman"/>
        </w:rPr>
        <w:t>定存</w:t>
      </w:r>
      <w:r w:rsidR="00A627AA" w:rsidRPr="00A627AA">
        <w:rPr>
          <w:rFonts w:ascii="Times New Roman" w:hAnsi="Times New Roman" w:hint="eastAsia"/>
        </w:rPr>
        <w:t>方式</w:t>
      </w:r>
      <w:r w:rsidR="00A627AA" w:rsidRPr="00A627AA">
        <w:rPr>
          <w:rFonts w:ascii="Times New Roman" w:hAnsi="Times New Roman"/>
        </w:rPr>
        <w:t>留存</w:t>
      </w:r>
      <w:r w:rsidR="00A627AA" w:rsidRPr="00A627AA">
        <w:rPr>
          <w:rFonts w:ascii="Times New Roman" w:hAnsi="Times New Roman" w:hint="eastAsia"/>
        </w:rPr>
        <w:t>其獲配之部分公益彩券盈餘</w:t>
      </w:r>
      <w:r w:rsidR="00A627AA" w:rsidRPr="00A627AA">
        <w:rPr>
          <w:rFonts w:ascii="Times New Roman" w:hAnsi="Times New Roman"/>
        </w:rPr>
        <w:t>，</w:t>
      </w:r>
      <w:r w:rsidRPr="00A627AA">
        <w:rPr>
          <w:rFonts w:ascii="Times New Roman" w:hAnsi="Times New Roman" w:hint="eastAsia"/>
        </w:rPr>
        <w:t>其中有</w:t>
      </w:r>
      <w:r w:rsidRPr="00A627AA">
        <w:rPr>
          <w:rFonts w:ascii="Times New Roman" w:hAnsi="Times New Roman"/>
        </w:rPr>
        <w:t>4</w:t>
      </w:r>
      <w:r w:rsidRPr="00A627AA">
        <w:rPr>
          <w:rFonts w:ascii="Times New Roman" w:hAnsi="Times New Roman" w:hint="eastAsia"/>
        </w:rPr>
        <w:t>個縣市定存比率超過</w:t>
      </w:r>
      <w:r w:rsidRPr="00A627AA">
        <w:rPr>
          <w:rFonts w:ascii="Times New Roman" w:hAnsi="Times New Roman"/>
        </w:rPr>
        <w:t>5</w:t>
      </w:r>
      <w:r w:rsidRPr="00A627AA">
        <w:rPr>
          <w:rFonts w:ascii="Times New Roman" w:hAnsi="Times New Roman" w:hint="eastAsia"/>
        </w:rPr>
        <w:t>成。衛福部於本院詢問時卻表示：「本項考核指標可能文字讓人無法理解，本意是不希望地方政府將彩券用於投資。</w:t>
      </w:r>
      <w:r w:rsidRPr="00A627AA">
        <w:rPr>
          <w:rFonts w:ascii="Times New Roman" w:hAnsi="Times New Roman"/>
        </w:rPr>
        <w:t>(</w:t>
      </w:r>
      <w:r w:rsidRPr="00A627AA">
        <w:rPr>
          <w:rFonts w:ascii="Times New Roman" w:hAnsi="Times New Roman" w:hint="eastAsia"/>
        </w:rPr>
        <w:t>問：若地方政府將公益彩券盈餘分配款適時、適量予以定存，是否符合前述指標？</w:t>
      </w:r>
      <w:r w:rsidRPr="00A627AA">
        <w:rPr>
          <w:rFonts w:ascii="Times New Roman" w:hAnsi="Times New Roman"/>
        </w:rPr>
        <w:t>)</w:t>
      </w:r>
      <w:r w:rsidRPr="00A627AA">
        <w:rPr>
          <w:rFonts w:ascii="Times New Roman" w:hAnsi="Times New Roman" w:hint="eastAsia"/>
        </w:rPr>
        <w:t>若正面開放，擔心會衍生相關問題。考核時若發現此問題，會提出來，但不會扣分。」</w:t>
      </w:r>
      <w:bookmarkEnd w:id="1686"/>
      <w:bookmarkEnd w:id="1687"/>
      <w:bookmarkEnd w:id="1688"/>
      <w:bookmarkEnd w:id="1689"/>
      <w:bookmarkEnd w:id="1690"/>
      <w:bookmarkEnd w:id="1691"/>
      <w:bookmarkEnd w:id="1692"/>
    </w:p>
    <w:p w:rsidR="0040606A" w:rsidRDefault="0040606A" w:rsidP="0040606A">
      <w:pPr>
        <w:pStyle w:val="3"/>
        <w:numPr>
          <w:ilvl w:val="2"/>
          <w:numId w:val="9"/>
        </w:numPr>
        <w:kinsoku w:val="0"/>
        <w:ind w:left="1360" w:hanging="680"/>
        <w:rPr>
          <w:rFonts w:ascii="Times New Roman" w:hAnsi="Times New Roman"/>
        </w:rPr>
      </w:pPr>
      <w:bookmarkStart w:id="1693" w:name="_Toc507767717"/>
      <w:bookmarkStart w:id="1694" w:name="_Toc507768443"/>
      <w:bookmarkStart w:id="1695" w:name="_Toc511115439"/>
      <w:bookmarkStart w:id="1696" w:name="_Toc511308229"/>
      <w:bookmarkStart w:id="1697" w:name="_Toc511998671"/>
      <w:bookmarkStart w:id="1698" w:name="_Toc512421028"/>
      <w:r>
        <w:rPr>
          <w:rFonts w:ascii="Times New Roman" w:hAnsi="Times New Roman" w:hint="eastAsia"/>
        </w:rPr>
        <w:t>再據審計部查復結果，部分地方政府對於前述考核標準是否合理提出</w:t>
      </w:r>
      <w:r w:rsidR="00183EA6">
        <w:rPr>
          <w:rFonts w:ascii="Times New Roman" w:hAnsi="Times New Roman" w:hint="eastAsia"/>
        </w:rPr>
        <w:t>相關</w:t>
      </w:r>
      <w:r>
        <w:rPr>
          <w:rFonts w:ascii="Times New Roman" w:hAnsi="Times New Roman" w:hint="eastAsia"/>
        </w:rPr>
        <w:t>意見</w:t>
      </w:r>
      <w:r w:rsidR="00183EA6">
        <w:rPr>
          <w:rFonts w:ascii="Times New Roman" w:hAnsi="Times New Roman" w:hint="eastAsia"/>
        </w:rPr>
        <w:t>，茲彙整</w:t>
      </w:r>
      <w:r w:rsidR="00C121DF">
        <w:rPr>
          <w:rFonts w:ascii="Times New Roman" w:hAnsi="Times New Roman" w:hint="eastAsia"/>
        </w:rPr>
        <w:t>如下表</w:t>
      </w:r>
      <w:r w:rsidR="00016B23">
        <w:rPr>
          <w:rFonts w:ascii="Times New Roman" w:hAnsi="Times New Roman" w:hint="eastAsia"/>
        </w:rPr>
        <w:t>14</w:t>
      </w:r>
      <w:r>
        <w:rPr>
          <w:rFonts w:ascii="Times New Roman" w:hAnsi="Times New Roman" w:hint="eastAsia"/>
        </w:rPr>
        <w:t>：</w:t>
      </w:r>
      <w:bookmarkEnd w:id="1693"/>
      <w:bookmarkEnd w:id="1694"/>
      <w:bookmarkEnd w:id="1695"/>
      <w:bookmarkEnd w:id="1696"/>
      <w:bookmarkEnd w:id="1697"/>
      <w:bookmarkEnd w:id="1698"/>
    </w:p>
    <w:p w:rsidR="00C121DF" w:rsidRPr="00921CEE" w:rsidRDefault="00C121DF" w:rsidP="00921CEE">
      <w:pPr>
        <w:pStyle w:val="a3"/>
        <w:numPr>
          <w:ilvl w:val="0"/>
          <w:numId w:val="34"/>
        </w:numPr>
        <w:spacing w:before="120" w:after="0"/>
        <w:ind w:left="2282" w:rightChars="15" w:right="51" w:hanging="896"/>
        <w:textAlignment w:val="auto"/>
        <w:rPr>
          <w:rFonts w:ascii="Times New Roman" w:hAnsi="Times New Roman"/>
          <w:b/>
          <w:spacing w:val="0"/>
        </w:rPr>
      </w:pPr>
      <w:r w:rsidRPr="00E36E9F">
        <w:rPr>
          <w:rFonts w:ascii="Times New Roman" w:hAnsi="Times New Roman" w:hint="eastAsia"/>
          <w:b/>
          <w:spacing w:val="-8"/>
        </w:rPr>
        <w:t>地方政府對於</w:t>
      </w:r>
      <w:r w:rsidR="00921CEE" w:rsidRPr="00E36E9F">
        <w:rPr>
          <w:rFonts w:ascii="Times New Roman" w:hAnsi="Times New Roman" w:hint="eastAsia"/>
          <w:b/>
          <w:spacing w:val="-8"/>
        </w:rPr>
        <w:t>「計畫用於定存、購買公債、國庫券等</w:t>
      </w:r>
      <w:r w:rsidR="00921CEE" w:rsidRPr="00921CEE">
        <w:rPr>
          <w:rFonts w:ascii="Times New Roman" w:hAnsi="Times New Roman" w:hint="eastAsia"/>
          <w:b/>
          <w:spacing w:val="0"/>
        </w:rPr>
        <w:t>，視為不符合政事別」</w:t>
      </w:r>
      <w:r w:rsidRPr="00921CEE">
        <w:rPr>
          <w:rFonts w:ascii="Times New Roman" w:hAnsi="Times New Roman" w:hint="eastAsia"/>
          <w:b/>
          <w:spacing w:val="0"/>
        </w:rPr>
        <w:t>考核標準</w:t>
      </w:r>
      <w:r w:rsidR="00921CEE" w:rsidRPr="00921CEE">
        <w:rPr>
          <w:rFonts w:ascii="Times New Roman" w:hAnsi="Times New Roman" w:hint="eastAsia"/>
          <w:b/>
          <w:spacing w:val="0"/>
        </w:rPr>
        <w:t>之意見彙整表</w:t>
      </w:r>
    </w:p>
    <w:tbl>
      <w:tblPr>
        <w:tblStyle w:val="afb"/>
        <w:tblW w:w="7389" w:type="dxa"/>
        <w:tblInd w:w="1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46"/>
        <w:gridCol w:w="6143"/>
      </w:tblGrid>
      <w:tr w:rsidR="0040606A" w:rsidTr="00C055EF">
        <w:trPr>
          <w:tblHeader/>
        </w:trPr>
        <w:tc>
          <w:tcPr>
            <w:tcW w:w="1246" w:type="dxa"/>
            <w:tcBorders>
              <w:top w:val="single" w:sz="6" w:space="0" w:color="auto"/>
              <w:left w:val="single" w:sz="6" w:space="0" w:color="auto"/>
              <w:bottom w:val="single" w:sz="6" w:space="0" w:color="auto"/>
              <w:right w:val="single" w:sz="6" w:space="0" w:color="auto"/>
            </w:tcBorders>
            <w:hideMark/>
          </w:tcPr>
          <w:p w:rsidR="0040606A" w:rsidRDefault="0040606A" w:rsidP="00C055EF">
            <w:pPr>
              <w:pStyle w:val="3"/>
              <w:numPr>
                <w:ilvl w:val="0"/>
                <w:numId w:val="0"/>
              </w:numPr>
              <w:topLinePunct/>
              <w:jc w:val="center"/>
              <w:rPr>
                <w:rFonts w:ascii="Times New Roman" w:hAnsi="Times New Roman"/>
                <w:sz w:val="28"/>
                <w:szCs w:val="28"/>
              </w:rPr>
            </w:pPr>
            <w:bookmarkStart w:id="1699" w:name="_Toc507767718"/>
            <w:bookmarkStart w:id="1700" w:name="_Toc507768444"/>
            <w:bookmarkStart w:id="1701" w:name="_Toc511115440"/>
            <w:bookmarkStart w:id="1702" w:name="_Toc511308230"/>
            <w:bookmarkStart w:id="1703" w:name="_Toc511998672"/>
            <w:bookmarkStart w:id="1704" w:name="_Toc512421029"/>
            <w:r>
              <w:rPr>
                <w:rFonts w:ascii="Times New Roman" w:hAnsi="Times New Roman" w:hint="eastAsia"/>
                <w:sz w:val="28"/>
                <w:szCs w:val="28"/>
              </w:rPr>
              <w:t>縣市別</w:t>
            </w:r>
            <w:bookmarkEnd w:id="1699"/>
            <w:bookmarkEnd w:id="1700"/>
            <w:bookmarkEnd w:id="1701"/>
            <w:bookmarkEnd w:id="1702"/>
            <w:bookmarkEnd w:id="1703"/>
            <w:bookmarkEnd w:id="1704"/>
          </w:p>
        </w:tc>
        <w:tc>
          <w:tcPr>
            <w:tcW w:w="6143" w:type="dxa"/>
            <w:tcBorders>
              <w:top w:val="single" w:sz="6" w:space="0" w:color="auto"/>
              <w:left w:val="single" w:sz="6" w:space="0" w:color="auto"/>
              <w:bottom w:val="single" w:sz="6" w:space="0" w:color="auto"/>
              <w:right w:val="single" w:sz="6" w:space="0" w:color="auto"/>
            </w:tcBorders>
            <w:hideMark/>
          </w:tcPr>
          <w:p w:rsidR="0040606A" w:rsidRDefault="0040606A" w:rsidP="00C055EF">
            <w:pPr>
              <w:pStyle w:val="3"/>
              <w:numPr>
                <w:ilvl w:val="0"/>
                <w:numId w:val="0"/>
              </w:numPr>
              <w:topLinePunct/>
              <w:jc w:val="center"/>
              <w:rPr>
                <w:rFonts w:ascii="Times New Roman" w:hAnsi="Times New Roman"/>
                <w:sz w:val="28"/>
                <w:szCs w:val="28"/>
              </w:rPr>
            </w:pPr>
            <w:bookmarkStart w:id="1705" w:name="_Toc507767719"/>
            <w:bookmarkStart w:id="1706" w:name="_Toc507768445"/>
            <w:bookmarkStart w:id="1707" w:name="_Toc511115441"/>
            <w:bookmarkStart w:id="1708" w:name="_Toc511308231"/>
            <w:bookmarkStart w:id="1709" w:name="_Toc511998673"/>
            <w:bookmarkStart w:id="1710" w:name="_Toc512421030"/>
            <w:r>
              <w:rPr>
                <w:rFonts w:ascii="Times New Roman" w:hAnsi="Times New Roman" w:hint="eastAsia"/>
                <w:sz w:val="28"/>
                <w:szCs w:val="28"/>
              </w:rPr>
              <w:t>意</w:t>
            </w:r>
            <w:r>
              <w:rPr>
                <w:rFonts w:ascii="Times New Roman" w:hAnsi="Times New Roman"/>
                <w:sz w:val="28"/>
                <w:szCs w:val="28"/>
              </w:rPr>
              <w:t xml:space="preserve">   </w:t>
            </w:r>
            <w:r>
              <w:rPr>
                <w:rFonts w:ascii="Times New Roman" w:hAnsi="Times New Roman" w:hint="eastAsia"/>
                <w:sz w:val="28"/>
                <w:szCs w:val="28"/>
              </w:rPr>
              <w:t>見</w:t>
            </w:r>
            <w:bookmarkEnd w:id="1705"/>
            <w:bookmarkEnd w:id="1706"/>
            <w:bookmarkEnd w:id="1707"/>
            <w:bookmarkEnd w:id="1708"/>
            <w:bookmarkEnd w:id="1709"/>
            <w:bookmarkEnd w:id="1710"/>
          </w:p>
        </w:tc>
      </w:tr>
      <w:tr w:rsidR="0040606A" w:rsidTr="00C055EF">
        <w:tc>
          <w:tcPr>
            <w:tcW w:w="1246"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3"/>
              <w:numPr>
                <w:ilvl w:val="0"/>
                <w:numId w:val="0"/>
              </w:numPr>
              <w:kinsoku w:val="0"/>
              <w:spacing w:line="380" w:lineRule="exact"/>
              <w:jc w:val="center"/>
              <w:rPr>
                <w:rFonts w:ascii="Times New Roman" w:hAnsi="Times New Roman"/>
                <w:sz w:val="28"/>
                <w:szCs w:val="28"/>
              </w:rPr>
            </w:pPr>
            <w:bookmarkStart w:id="1711" w:name="_Toc507767720"/>
            <w:bookmarkStart w:id="1712" w:name="_Toc507768446"/>
            <w:bookmarkStart w:id="1713" w:name="_Toc511115442"/>
            <w:bookmarkStart w:id="1714" w:name="_Toc511308232"/>
            <w:bookmarkStart w:id="1715" w:name="_Toc511998674"/>
            <w:bookmarkStart w:id="1716" w:name="_Toc512421031"/>
            <w:r>
              <w:rPr>
                <w:rFonts w:ascii="Times New Roman" w:hAnsi="Times New Roman" w:hint="eastAsia"/>
                <w:sz w:val="28"/>
                <w:szCs w:val="28"/>
              </w:rPr>
              <w:t>新北市</w:t>
            </w:r>
            <w:bookmarkEnd w:id="1711"/>
            <w:bookmarkEnd w:id="1712"/>
            <w:bookmarkEnd w:id="1713"/>
            <w:bookmarkEnd w:id="1714"/>
            <w:bookmarkEnd w:id="1715"/>
            <w:bookmarkEnd w:id="1716"/>
          </w:p>
        </w:tc>
        <w:tc>
          <w:tcPr>
            <w:tcW w:w="6143" w:type="dxa"/>
            <w:tcBorders>
              <w:top w:val="single" w:sz="6" w:space="0" w:color="auto"/>
              <w:left w:val="single" w:sz="6" w:space="0" w:color="auto"/>
              <w:bottom w:val="single" w:sz="6" w:space="0" w:color="auto"/>
              <w:right w:val="single" w:sz="6" w:space="0" w:color="auto"/>
            </w:tcBorders>
            <w:hideMark/>
          </w:tcPr>
          <w:p w:rsidR="0040606A" w:rsidRDefault="0040606A" w:rsidP="0040606A">
            <w:pPr>
              <w:pStyle w:val="3"/>
              <w:numPr>
                <w:ilvl w:val="0"/>
                <w:numId w:val="0"/>
              </w:numPr>
              <w:kinsoku w:val="0"/>
              <w:spacing w:line="380" w:lineRule="exact"/>
              <w:ind w:leftChars="-20" w:left="-40" w:rightChars="-15" w:right="-51" w:hangingChars="10" w:hanging="28"/>
              <w:rPr>
                <w:rFonts w:ascii="Times New Roman" w:hAnsi="Times New Roman"/>
                <w:spacing w:val="-10"/>
                <w:sz w:val="28"/>
                <w:szCs w:val="28"/>
              </w:rPr>
            </w:pPr>
            <w:bookmarkStart w:id="1717" w:name="_Toc507767721"/>
            <w:bookmarkStart w:id="1718" w:name="_Toc507768447"/>
            <w:bookmarkStart w:id="1719" w:name="_Toc511115443"/>
            <w:bookmarkStart w:id="1720" w:name="_Toc511308233"/>
            <w:bookmarkStart w:id="1721" w:name="_Toc511998675"/>
            <w:bookmarkStart w:id="1722" w:name="_Toc512421032"/>
            <w:r>
              <w:rPr>
                <w:rFonts w:ascii="Times New Roman" w:hAnsi="Times New Roman" w:hint="eastAsia"/>
                <w:spacing w:val="-10"/>
                <w:sz w:val="28"/>
                <w:szCs w:val="28"/>
              </w:rPr>
              <w:t>目前現階段考評指標尚屬合理，定存方式雖可增加基金收入，惟據公益彩券發行條例第</w:t>
            </w:r>
            <w:r>
              <w:rPr>
                <w:rFonts w:ascii="Times New Roman" w:hAnsi="Times New Roman"/>
                <w:spacing w:val="-10"/>
                <w:sz w:val="28"/>
                <w:szCs w:val="28"/>
              </w:rPr>
              <w:t>6</w:t>
            </w:r>
            <w:r>
              <w:rPr>
                <w:rFonts w:ascii="Times New Roman" w:hAnsi="Times New Roman" w:hint="eastAsia"/>
                <w:spacing w:val="-10"/>
                <w:sz w:val="28"/>
                <w:szCs w:val="28"/>
              </w:rPr>
              <w:t>條第</w:t>
            </w:r>
            <w:r>
              <w:rPr>
                <w:rFonts w:ascii="Times New Roman" w:hAnsi="Times New Roman"/>
                <w:spacing w:val="-10"/>
                <w:sz w:val="28"/>
                <w:szCs w:val="28"/>
              </w:rPr>
              <w:t>2</w:t>
            </w:r>
            <w:r>
              <w:rPr>
                <w:rFonts w:ascii="Times New Roman" w:hAnsi="Times New Roman" w:hint="eastAsia"/>
                <w:spacing w:val="-10"/>
                <w:sz w:val="28"/>
                <w:szCs w:val="28"/>
              </w:rPr>
              <w:t>項規定，公益彩券盈餘專供政府補助國民年金、全民健康保險準備及社會福利支出之用，並以增進社會福利功能為依歸，若匡定數額辦理定存計畫恐有排擠其他福利經費之疑慮，且定存方式是否為支出的形式之一，亦有所爭議，仍要探討適法性之問題。再者，從社會觀感來看，公益彩券盈餘應積極規劃使用，致力落實社會福利政策，如開放定存計畫，是否表示社會福利相關經費已充足，不需彩券盈餘挹注。因此，若盈餘辦理定存符合公益彩券發行條例之規定，建議應訂定相關支用條件</w:t>
            </w:r>
            <w:r>
              <w:rPr>
                <w:rFonts w:ascii="Times New Roman" w:hAnsi="Times New Roman"/>
                <w:spacing w:val="-10"/>
                <w:sz w:val="28"/>
                <w:szCs w:val="28"/>
              </w:rPr>
              <w:t>(</w:t>
            </w:r>
            <w:r>
              <w:rPr>
                <w:rFonts w:ascii="Times New Roman" w:hAnsi="Times New Roman" w:hint="eastAsia"/>
                <w:spacing w:val="-10"/>
                <w:sz w:val="28"/>
                <w:szCs w:val="28"/>
              </w:rPr>
              <w:t>如數額限制等</w:t>
            </w:r>
            <w:r>
              <w:rPr>
                <w:rFonts w:ascii="Times New Roman" w:hAnsi="Times New Roman"/>
                <w:spacing w:val="-10"/>
                <w:sz w:val="28"/>
                <w:szCs w:val="28"/>
              </w:rPr>
              <w:t>)</w:t>
            </w:r>
            <w:r>
              <w:rPr>
                <w:rFonts w:ascii="Times New Roman" w:hAnsi="Times New Roman" w:hint="eastAsia"/>
                <w:spacing w:val="-10"/>
                <w:sz w:val="28"/>
                <w:szCs w:val="28"/>
              </w:rPr>
              <w:t>，避免產生負面影響，降低民眾購買彩券之意願，反使彩券盈收減少</w:t>
            </w:r>
            <w:bookmarkEnd w:id="1717"/>
            <w:bookmarkEnd w:id="1718"/>
            <w:bookmarkEnd w:id="1719"/>
            <w:bookmarkEnd w:id="1720"/>
            <w:bookmarkEnd w:id="1721"/>
            <w:bookmarkEnd w:id="1722"/>
          </w:p>
        </w:tc>
      </w:tr>
      <w:tr w:rsidR="0040606A" w:rsidTr="00C055EF">
        <w:tc>
          <w:tcPr>
            <w:tcW w:w="1246"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400DB9">
            <w:pPr>
              <w:pStyle w:val="3"/>
              <w:numPr>
                <w:ilvl w:val="0"/>
                <w:numId w:val="0"/>
              </w:numPr>
              <w:kinsoku w:val="0"/>
              <w:spacing w:line="360" w:lineRule="exact"/>
              <w:jc w:val="center"/>
              <w:rPr>
                <w:rFonts w:ascii="Times New Roman" w:hAnsi="Times New Roman"/>
                <w:sz w:val="28"/>
                <w:szCs w:val="28"/>
              </w:rPr>
            </w:pPr>
            <w:bookmarkStart w:id="1723" w:name="_Toc507767722"/>
            <w:bookmarkStart w:id="1724" w:name="_Toc507768448"/>
            <w:bookmarkStart w:id="1725" w:name="_Toc511115444"/>
            <w:bookmarkStart w:id="1726" w:name="_Toc511308234"/>
            <w:bookmarkStart w:id="1727" w:name="_Toc511998676"/>
            <w:bookmarkStart w:id="1728" w:name="_Toc512421033"/>
            <w:r>
              <w:rPr>
                <w:rFonts w:ascii="Times New Roman" w:hAnsi="Times New Roman" w:hint="eastAsia"/>
                <w:sz w:val="28"/>
                <w:szCs w:val="28"/>
              </w:rPr>
              <w:t>高雄市</w:t>
            </w:r>
            <w:bookmarkEnd w:id="1723"/>
            <w:bookmarkEnd w:id="1724"/>
            <w:bookmarkEnd w:id="1725"/>
            <w:bookmarkEnd w:id="1726"/>
            <w:bookmarkEnd w:id="1727"/>
            <w:bookmarkEnd w:id="1728"/>
          </w:p>
        </w:tc>
        <w:tc>
          <w:tcPr>
            <w:tcW w:w="6143" w:type="dxa"/>
            <w:tcBorders>
              <w:top w:val="single" w:sz="6" w:space="0" w:color="auto"/>
              <w:left w:val="single" w:sz="6" w:space="0" w:color="auto"/>
              <w:bottom w:val="single" w:sz="6" w:space="0" w:color="auto"/>
              <w:right w:val="single" w:sz="6" w:space="0" w:color="auto"/>
            </w:tcBorders>
            <w:hideMark/>
          </w:tcPr>
          <w:p w:rsidR="0040606A" w:rsidRDefault="0040606A" w:rsidP="00400DB9">
            <w:pPr>
              <w:pStyle w:val="3"/>
              <w:numPr>
                <w:ilvl w:val="0"/>
                <w:numId w:val="0"/>
              </w:numPr>
              <w:kinsoku w:val="0"/>
              <w:spacing w:line="360" w:lineRule="exact"/>
              <w:ind w:leftChars="-20" w:left="-40" w:rightChars="-15" w:right="-51" w:hangingChars="10" w:hanging="28"/>
              <w:rPr>
                <w:rFonts w:ascii="Times New Roman" w:hAnsi="Times New Roman"/>
                <w:spacing w:val="-10"/>
                <w:sz w:val="28"/>
                <w:szCs w:val="28"/>
              </w:rPr>
            </w:pPr>
            <w:bookmarkStart w:id="1729" w:name="_Toc507767723"/>
            <w:bookmarkStart w:id="1730" w:name="_Toc507768449"/>
            <w:bookmarkStart w:id="1731" w:name="_Toc511115445"/>
            <w:bookmarkStart w:id="1732" w:name="_Toc511308235"/>
            <w:bookmarkStart w:id="1733" w:name="_Toc511998677"/>
            <w:bookmarkStart w:id="1734" w:name="_Toc512421034"/>
            <w:r>
              <w:rPr>
                <w:rFonts w:ascii="Times New Roman" w:hAnsi="Times New Roman" w:hint="eastAsia"/>
                <w:spacing w:val="-10"/>
                <w:sz w:val="28"/>
                <w:szCs w:val="28"/>
              </w:rPr>
              <w:t>公益彩券盈餘基金應運用於符合社會福利支出之計畫，倘計畫用於定存、購買公債、國庫券等，雖提升基金收入，但將排擠其他社會福利服務計畫經費，使基金無法即時回應民眾需求及推展創新服務，恐不符合公益彩券盈餘基金運用於社會福利之精神，爰該府認為該項指標尚屬合理；惟若地方政府係將公益彩券盈餘分配款以定存方式增加基金收益，孳息</w:t>
            </w:r>
            <w:r w:rsidR="00E806BF">
              <w:rPr>
                <w:rFonts w:ascii="Times New Roman" w:hAnsi="Times New Roman" w:hint="eastAsia"/>
                <w:spacing w:val="-10"/>
                <w:sz w:val="28"/>
                <w:szCs w:val="28"/>
              </w:rPr>
              <w:t>則</w:t>
            </w:r>
            <w:r>
              <w:rPr>
                <w:rFonts w:ascii="Times New Roman" w:hAnsi="Times New Roman" w:hint="eastAsia"/>
                <w:spacing w:val="-10"/>
                <w:sz w:val="28"/>
                <w:szCs w:val="28"/>
              </w:rPr>
              <w:t>專款作為社會福利支出之用，應不適用前述考核指標。</w:t>
            </w:r>
            <w:bookmarkEnd w:id="1729"/>
            <w:bookmarkEnd w:id="1730"/>
            <w:bookmarkEnd w:id="1731"/>
            <w:bookmarkEnd w:id="1732"/>
            <w:bookmarkEnd w:id="1733"/>
            <w:bookmarkEnd w:id="1734"/>
          </w:p>
        </w:tc>
      </w:tr>
      <w:tr w:rsidR="0040606A" w:rsidTr="00C055EF">
        <w:tc>
          <w:tcPr>
            <w:tcW w:w="1246"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400DB9">
            <w:pPr>
              <w:pStyle w:val="3"/>
              <w:numPr>
                <w:ilvl w:val="0"/>
                <w:numId w:val="0"/>
              </w:numPr>
              <w:kinsoku w:val="0"/>
              <w:spacing w:line="360" w:lineRule="exact"/>
              <w:jc w:val="center"/>
              <w:rPr>
                <w:rFonts w:ascii="Times New Roman" w:hAnsi="Times New Roman"/>
                <w:sz w:val="28"/>
                <w:szCs w:val="28"/>
              </w:rPr>
            </w:pPr>
            <w:bookmarkStart w:id="1735" w:name="_Toc507767724"/>
            <w:bookmarkStart w:id="1736" w:name="_Toc507768450"/>
            <w:bookmarkStart w:id="1737" w:name="_Toc511115446"/>
            <w:bookmarkStart w:id="1738" w:name="_Toc511308236"/>
            <w:bookmarkStart w:id="1739" w:name="_Toc511998678"/>
            <w:bookmarkStart w:id="1740" w:name="_Toc512421035"/>
            <w:r>
              <w:rPr>
                <w:rFonts w:ascii="Times New Roman" w:hAnsi="Times New Roman" w:hint="eastAsia"/>
                <w:spacing w:val="-4"/>
                <w:sz w:val="28"/>
                <w:szCs w:val="28"/>
              </w:rPr>
              <w:t>南投縣</w:t>
            </w:r>
            <w:bookmarkEnd w:id="1735"/>
            <w:bookmarkEnd w:id="1736"/>
            <w:bookmarkEnd w:id="1737"/>
            <w:bookmarkEnd w:id="1738"/>
            <w:bookmarkEnd w:id="1739"/>
            <w:bookmarkEnd w:id="1740"/>
          </w:p>
        </w:tc>
        <w:tc>
          <w:tcPr>
            <w:tcW w:w="6143" w:type="dxa"/>
            <w:tcBorders>
              <w:top w:val="single" w:sz="6" w:space="0" w:color="auto"/>
              <w:left w:val="single" w:sz="6" w:space="0" w:color="auto"/>
              <w:bottom w:val="single" w:sz="6" w:space="0" w:color="auto"/>
              <w:right w:val="single" w:sz="6" w:space="0" w:color="auto"/>
            </w:tcBorders>
            <w:hideMark/>
          </w:tcPr>
          <w:p w:rsidR="0040606A" w:rsidRDefault="0040606A" w:rsidP="00400DB9">
            <w:pPr>
              <w:pStyle w:val="3"/>
              <w:numPr>
                <w:ilvl w:val="0"/>
                <w:numId w:val="0"/>
              </w:numPr>
              <w:kinsoku w:val="0"/>
              <w:spacing w:line="360" w:lineRule="exact"/>
              <w:ind w:leftChars="-20" w:left="-40" w:rightChars="-15" w:right="-51" w:hangingChars="10" w:hanging="28"/>
              <w:rPr>
                <w:rFonts w:ascii="Times New Roman" w:hAnsi="Times New Roman"/>
                <w:spacing w:val="-10"/>
                <w:sz w:val="28"/>
                <w:szCs w:val="28"/>
              </w:rPr>
            </w:pPr>
            <w:bookmarkStart w:id="1741" w:name="_Toc507767725"/>
            <w:bookmarkStart w:id="1742" w:name="_Toc507768451"/>
            <w:bookmarkStart w:id="1743" w:name="_Toc511115447"/>
            <w:bookmarkStart w:id="1744" w:name="_Toc511308237"/>
            <w:bookmarkStart w:id="1745" w:name="_Toc511998679"/>
            <w:bookmarkStart w:id="1746" w:name="_Toc512421036"/>
            <w:r>
              <w:rPr>
                <w:rFonts w:ascii="Times New Roman" w:hAnsi="Times New Roman" w:hint="eastAsia"/>
                <w:spacing w:val="-10"/>
                <w:sz w:val="28"/>
                <w:szCs w:val="28"/>
              </w:rPr>
              <w:t>地方政府將公益彩券盈餘分配款以定存方式增加基金收益，</w:t>
            </w:r>
            <w:r w:rsidR="00E806BF">
              <w:rPr>
                <w:rFonts w:ascii="Times New Roman" w:hAnsi="Times New Roman" w:hint="eastAsia"/>
                <w:spacing w:val="-10"/>
                <w:sz w:val="28"/>
                <w:szCs w:val="28"/>
              </w:rPr>
              <w:t>其</w:t>
            </w:r>
            <w:r>
              <w:rPr>
                <w:rFonts w:ascii="Times New Roman" w:hAnsi="Times New Roman" w:hint="eastAsia"/>
                <w:spacing w:val="-10"/>
                <w:sz w:val="28"/>
                <w:szCs w:val="28"/>
              </w:rPr>
              <w:t>孳息亦專款作為社會福利支出之用，尚符合</w:t>
            </w:r>
            <w:r w:rsidR="00E806BF">
              <w:rPr>
                <w:rFonts w:ascii="Times New Roman" w:hAnsi="Times New Roman" w:hint="eastAsia"/>
                <w:spacing w:val="-10"/>
                <w:sz w:val="28"/>
                <w:szCs w:val="28"/>
              </w:rPr>
              <w:t>該</w:t>
            </w:r>
            <w:r>
              <w:rPr>
                <w:rFonts w:ascii="Times New Roman" w:hAnsi="Times New Roman" w:hint="eastAsia"/>
                <w:spacing w:val="-10"/>
                <w:sz w:val="28"/>
                <w:szCs w:val="28"/>
              </w:rPr>
              <w:t>縣公益彩券盈餘分配基金收支保管及運用辦法，若非屬社會福利功能之計畫項目，應不符考核指標。另該府表示考核指標不甚合理，因公彩盈餘屬不穩定財源，累計待運用數如未全數支用，定存收入可增加及挹注社福經費。</w:t>
            </w:r>
            <w:bookmarkEnd w:id="1741"/>
            <w:bookmarkEnd w:id="1742"/>
            <w:bookmarkEnd w:id="1743"/>
            <w:bookmarkEnd w:id="1744"/>
            <w:bookmarkEnd w:id="1745"/>
            <w:bookmarkEnd w:id="1746"/>
          </w:p>
        </w:tc>
      </w:tr>
      <w:tr w:rsidR="0040606A" w:rsidTr="00C055EF">
        <w:tc>
          <w:tcPr>
            <w:tcW w:w="1246"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400DB9">
            <w:pPr>
              <w:pStyle w:val="3"/>
              <w:numPr>
                <w:ilvl w:val="0"/>
                <w:numId w:val="0"/>
              </w:numPr>
              <w:kinsoku w:val="0"/>
              <w:spacing w:line="360" w:lineRule="exact"/>
              <w:jc w:val="center"/>
              <w:rPr>
                <w:rFonts w:ascii="Times New Roman" w:hAnsi="Times New Roman"/>
                <w:sz w:val="28"/>
                <w:szCs w:val="28"/>
              </w:rPr>
            </w:pPr>
            <w:bookmarkStart w:id="1747" w:name="_Toc507767726"/>
            <w:bookmarkStart w:id="1748" w:name="_Toc507768452"/>
            <w:bookmarkStart w:id="1749" w:name="_Toc511115448"/>
            <w:bookmarkStart w:id="1750" w:name="_Toc511308238"/>
            <w:bookmarkStart w:id="1751" w:name="_Toc511998680"/>
            <w:bookmarkStart w:id="1752" w:name="_Toc512421037"/>
            <w:r>
              <w:rPr>
                <w:rFonts w:ascii="Times New Roman" w:hAnsi="Times New Roman" w:hint="eastAsia"/>
                <w:spacing w:val="-4"/>
                <w:sz w:val="28"/>
                <w:szCs w:val="28"/>
              </w:rPr>
              <w:t>金門縣</w:t>
            </w:r>
            <w:bookmarkEnd w:id="1747"/>
            <w:bookmarkEnd w:id="1748"/>
            <w:bookmarkEnd w:id="1749"/>
            <w:bookmarkEnd w:id="1750"/>
            <w:bookmarkEnd w:id="1751"/>
            <w:bookmarkEnd w:id="1752"/>
          </w:p>
        </w:tc>
        <w:tc>
          <w:tcPr>
            <w:tcW w:w="6143" w:type="dxa"/>
            <w:tcBorders>
              <w:top w:val="single" w:sz="6" w:space="0" w:color="auto"/>
              <w:left w:val="single" w:sz="6" w:space="0" w:color="auto"/>
              <w:bottom w:val="single" w:sz="6" w:space="0" w:color="auto"/>
              <w:right w:val="single" w:sz="6" w:space="0" w:color="auto"/>
            </w:tcBorders>
            <w:hideMark/>
          </w:tcPr>
          <w:p w:rsidR="0040606A" w:rsidRDefault="0040606A" w:rsidP="00400DB9">
            <w:pPr>
              <w:pStyle w:val="3"/>
              <w:numPr>
                <w:ilvl w:val="0"/>
                <w:numId w:val="0"/>
              </w:numPr>
              <w:topLinePunct/>
              <w:spacing w:line="360" w:lineRule="exact"/>
              <w:ind w:leftChars="-23" w:left="-78" w:rightChars="-15" w:right="-51" w:firstLineChars="4" w:firstLine="11"/>
              <w:rPr>
                <w:rFonts w:ascii="Times New Roman" w:hAnsi="Times New Roman"/>
                <w:spacing w:val="-14"/>
                <w:sz w:val="28"/>
                <w:szCs w:val="28"/>
              </w:rPr>
            </w:pPr>
            <w:bookmarkStart w:id="1753" w:name="_Toc507767727"/>
            <w:bookmarkStart w:id="1754" w:name="_Toc507768453"/>
            <w:bookmarkStart w:id="1755" w:name="_Toc511115449"/>
            <w:bookmarkStart w:id="1756" w:name="_Toc511308239"/>
            <w:bookmarkStart w:id="1757" w:name="_Toc511998681"/>
            <w:bookmarkStart w:id="1758" w:name="_Toc512421038"/>
            <w:r>
              <w:rPr>
                <w:rFonts w:ascii="Times New Roman" w:hAnsi="Times New Roman" w:hint="eastAsia"/>
                <w:spacing w:val="-14"/>
                <w:sz w:val="28"/>
                <w:szCs w:val="28"/>
              </w:rPr>
              <w:t>該府反映是項指標並不合理，並稱該府年度歲出預算編列皆符合政事別社會福利支出，基金之累積賸餘款在不影響支用情形下，建議可用於定存、購買公債、國庫券以增加基金額外收入，挹注社會福利。</w:t>
            </w:r>
            <w:bookmarkEnd w:id="1753"/>
            <w:bookmarkEnd w:id="1754"/>
            <w:bookmarkEnd w:id="1755"/>
            <w:bookmarkEnd w:id="1756"/>
            <w:bookmarkEnd w:id="1757"/>
            <w:bookmarkEnd w:id="1758"/>
          </w:p>
        </w:tc>
      </w:tr>
    </w:tbl>
    <w:p w:rsidR="00921CEE" w:rsidRPr="00921CEE" w:rsidRDefault="00921CEE" w:rsidP="00921CEE">
      <w:pPr>
        <w:pStyle w:val="3"/>
        <w:numPr>
          <w:ilvl w:val="0"/>
          <w:numId w:val="0"/>
        </w:numPr>
        <w:kinsoku w:val="0"/>
        <w:spacing w:afterLines="25" w:after="114" w:line="320" w:lineRule="exact"/>
        <w:ind w:left="1361"/>
        <w:rPr>
          <w:rFonts w:ascii="Times New Roman" w:hAnsi="Times New Roman"/>
          <w:sz w:val="24"/>
          <w:szCs w:val="24"/>
        </w:rPr>
      </w:pPr>
      <w:bookmarkStart w:id="1759" w:name="_Toc511998682"/>
      <w:bookmarkStart w:id="1760" w:name="_Toc512421039"/>
      <w:bookmarkStart w:id="1761" w:name="_Toc507767728"/>
      <w:bookmarkStart w:id="1762" w:name="_Toc507768454"/>
      <w:bookmarkStart w:id="1763" w:name="_Toc511115450"/>
      <w:bookmarkStart w:id="1764" w:name="_Toc511308240"/>
      <w:bookmarkStart w:id="1765" w:name="_Toc507518639"/>
      <w:r w:rsidRPr="00921CEE">
        <w:rPr>
          <w:rFonts w:ascii="Times New Roman" w:hAnsi="Times New Roman" w:hint="eastAsia"/>
          <w:sz w:val="24"/>
          <w:szCs w:val="24"/>
        </w:rPr>
        <w:t>資料來源：審計部</w:t>
      </w:r>
      <w:bookmarkEnd w:id="1759"/>
      <w:bookmarkEnd w:id="1760"/>
    </w:p>
    <w:p w:rsidR="0040606A" w:rsidRPr="00E806BF" w:rsidRDefault="0040606A" w:rsidP="00E806BF">
      <w:pPr>
        <w:pStyle w:val="3"/>
        <w:numPr>
          <w:ilvl w:val="2"/>
          <w:numId w:val="9"/>
        </w:numPr>
        <w:kinsoku w:val="0"/>
        <w:spacing w:beforeLines="25" w:before="114"/>
        <w:ind w:left="1360" w:hanging="680"/>
        <w:rPr>
          <w:rFonts w:ascii="Times New Roman" w:hAnsi="Times New Roman"/>
        </w:rPr>
      </w:pPr>
      <w:bookmarkStart w:id="1766" w:name="_Toc511998683"/>
      <w:bookmarkStart w:id="1767" w:name="_Toc512421040"/>
      <w:r w:rsidRPr="00E806BF">
        <w:rPr>
          <w:rFonts w:ascii="Times New Roman" w:hint="eastAsia"/>
        </w:rPr>
        <w:t>綜上，衛福部考量地方政府若為增</w:t>
      </w:r>
      <w:r w:rsidRPr="00E806BF">
        <w:rPr>
          <w:rFonts w:ascii="Times New Roman" w:hAnsi="Times New Roman" w:hint="eastAsia"/>
        </w:rPr>
        <w:t>加</w:t>
      </w:r>
      <w:r w:rsidR="00E806BF" w:rsidRPr="00E806BF">
        <w:rPr>
          <w:rFonts w:ascii="Times New Roman" w:hAnsi="Times New Roman" w:hint="eastAsia"/>
        </w:rPr>
        <w:t>公益彩券盈餘分配</w:t>
      </w:r>
      <w:r w:rsidRPr="00E806BF">
        <w:rPr>
          <w:rFonts w:ascii="Times New Roman" w:hAnsi="Times New Roman" w:hint="eastAsia"/>
        </w:rPr>
        <w:t>基金收入，於運用計畫匡列經費於定存，將排擠社會</w:t>
      </w:r>
      <w:r w:rsidRPr="00E806BF">
        <w:rPr>
          <w:rFonts w:ascii="Times New Roman" w:hint="eastAsia"/>
        </w:rPr>
        <w:t>福利計畫之推動辦理，</w:t>
      </w:r>
      <w:r w:rsidRPr="00E806BF">
        <w:rPr>
          <w:rFonts w:ascii="Times New Roman" w:hAnsi="Times New Roman" w:hint="eastAsia"/>
        </w:rPr>
        <w:t>爰視為不符合政事別社會福利支出，並列入考核指標。惟據審計部查復結果顯示，</w:t>
      </w:r>
      <w:r w:rsidRPr="00E806BF">
        <w:rPr>
          <w:rFonts w:ascii="Times New Roman" w:hAnsi="Times New Roman"/>
        </w:rPr>
        <w:t>101</w:t>
      </w:r>
      <w:r w:rsidRPr="00E806BF">
        <w:rPr>
          <w:rFonts w:ascii="Times New Roman" w:hAnsi="Times New Roman" w:hint="eastAsia"/>
        </w:rPr>
        <w:t>年至</w:t>
      </w:r>
      <w:r w:rsidRPr="00E806BF">
        <w:rPr>
          <w:rFonts w:ascii="Times New Roman" w:hAnsi="Times New Roman"/>
        </w:rPr>
        <w:t>105</w:t>
      </w:r>
      <w:r w:rsidRPr="00E806BF">
        <w:rPr>
          <w:rFonts w:ascii="Times New Roman" w:hAnsi="Times New Roman" w:hint="eastAsia"/>
        </w:rPr>
        <w:t>年計有</w:t>
      </w:r>
      <w:r w:rsidRPr="00E806BF">
        <w:rPr>
          <w:rFonts w:ascii="Times New Roman" w:hAnsi="Times New Roman"/>
        </w:rPr>
        <w:t>8</w:t>
      </w:r>
      <w:r w:rsidRPr="00E806BF">
        <w:rPr>
          <w:rFonts w:ascii="Times New Roman" w:hAnsi="Times New Roman" w:hint="eastAsia"/>
        </w:rPr>
        <w:t>個地方政府將</w:t>
      </w:r>
      <w:r w:rsidR="00E806BF" w:rsidRPr="00E806BF">
        <w:rPr>
          <w:rFonts w:ascii="Times New Roman" w:hAnsi="Times New Roman" w:hint="eastAsia"/>
        </w:rPr>
        <w:t>其獲配之</w:t>
      </w:r>
      <w:r w:rsidRPr="00E806BF">
        <w:rPr>
          <w:rFonts w:ascii="Times New Roman" w:hAnsi="Times New Roman" w:hint="eastAsia"/>
        </w:rPr>
        <w:t>部分</w:t>
      </w:r>
      <w:r w:rsidR="00E806BF" w:rsidRPr="00E806BF">
        <w:rPr>
          <w:rFonts w:ascii="Times New Roman" w:hAnsi="Times New Roman" w:hint="eastAsia"/>
        </w:rPr>
        <w:t>公益彩券</w:t>
      </w:r>
      <w:r w:rsidRPr="00E806BF">
        <w:rPr>
          <w:rFonts w:ascii="Times New Roman" w:hAnsi="Times New Roman" w:hint="eastAsia"/>
        </w:rPr>
        <w:t>盈餘予以定存，</w:t>
      </w:r>
      <w:r w:rsidR="00E806BF" w:rsidRPr="00E806BF">
        <w:rPr>
          <w:rFonts w:ascii="Times New Roman" w:hAnsi="Times New Roman" w:hint="eastAsia"/>
        </w:rPr>
        <w:t>且</w:t>
      </w:r>
      <w:r w:rsidRPr="00E806BF">
        <w:rPr>
          <w:rFonts w:ascii="Times New Roman" w:hAnsi="Times New Roman" w:hint="eastAsia"/>
        </w:rPr>
        <w:t>其中</w:t>
      </w:r>
      <w:r w:rsidRPr="00E806BF">
        <w:rPr>
          <w:rFonts w:ascii="Times New Roman" w:hAnsi="Times New Roman"/>
        </w:rPr>
        <w:t>4</w:t>
      </w:r>
      <w:r w:rsidRPr="00E806BF">
        <w:rPr>
          <w:rFonts w:ascii="Times New Roman" w:hAnsi="Times New Roman" w:hint="eastAsia"/>
        </w:rPr>
        <w:t>個縣市定存比率超過</w:t>
      </w:r>
      <w:r w:rsidRPr="00E806BF">
        <w:rPr>
          <w:rFonts w:ascii="Times New Roman" w:hAnsi="Times New Roman"/>
        </w:rPr>
        <w:t>5</w:t>
      </w:r>
      <w:r w:rsidRPr="00E806BF">
        <w:rPr>
          <w:rFonts w:ascii="Times New Roman" w:hAnsi="Times New Roman" w:hint="eastAsia"/>
        </w:rPr>
        <w:t>成。然而，衛福部卻又表示：「若正面開放，擔心會衍生相關問題。考核時若發現此問題，會提出來，但不會扣分。」是以，衛福部對於目前部分地方政府</w:t>
      </w:r>
      <w:r w:rsidR="00E806BF">
        <w:rPr>
          <w:rFonts w:ascii="Times New Roman" w:hAnsi="Times New Roman" w:hint="eastAsia"/>
        </w:rPr>
        <w:t>採取</w:t>
      </w:r>
      <w:r w:rsidRPr="00E806BF">
        <w:rPr>
          <w:rFonts w:ascii="Times New Roman" w:hAnsi="Times New Roman" w:hint="eastAsia"/>
        </w:rPr>
        <w:t>定存之作法，應予釐清妥適性，避免爭議及排擠社會福利計畫之推動辦理。</w:t>
      </w:r>
      <w:bookmarkEnd w:id="1761"/>
      <w:bookmarkEnd w:id="1762"/>
      <w:bookmarkEnd w:id="1763"/>
      <w:bookmarkEnd w:id="1764"/>
      <w:bookmarkEnd w:id="1766"/>
      <w:bookmarkEnd w:id="1767"/>
    </w:p>
    <w:p w:rsidR="0040606A" w:rsidRDefault="0040606A" w:rsidP="0040606A">
      <w:pPr>
        <w:pStyle w:val="2"/>
        <w:numPr>
          <w:ilvl w:val="1"/>
          <w:numId w:val="9"/>
        </w:numPr>
        <w:kinsoku w:val="0"/>
        <w:ind w:left="1020" w:hanging="680"/>
        <w:rPr>
          <w:rFonts w:ascii="Times New Roman" w:hAnsi="Times New Roman"/>
          <w:b/>
        </w:rPr>
      </w:pPr>
      <w:bookmarkStart w:id="1768" w:name="_Toc507518640"/>
      <w:bookmarkStart w:id="1769" w:name="_Toc507767729"/>
      <w:bookmarkStart w:id="1770" w:name="_Toc511115451"/>
      <w:bookmarkStart w:id="1771" w:name="_Toc512421041"/>
      <w:bookmarkEnd w:id="1765"/>
      <w:r>
        <w:rPr>
          <w:rFonts w:ascii="Times New Roman" w:hAnsi="Times New Roman" w:hint="eastAsia"/>
          <w:b/>
          <w:szCs w:val="36"/>
        </w:rPr>
        <w:t>截至</w:t>
      </w:r>
      <w:r>
        <w:rPr>
          <w:rFonts w:ascii="Times New Roman" w:hAnsi="Times New Roman"/>
          <w:b/>
          <w:szCs w:val="36"/>
        </w:rPr>
        <w:t>105</w:t>
      </w:r>
      <w:r>
        <w:rPr>
          <w:rFonts w:ascii="Times New Roman" w:hAnsi="Times New Roman" w:hint="eastAsia"/>
          <w:b/>
          <w:szCs w:val="36"/>
        </w:rPr>
        <w:t>年底，</w:t>
      </w:r>
      <w:r>
        <w:rPr>
          <w:rFonts w:ascii="Times New Roman" w:hAnsi="Times New Roman"/>
          <w:b/>
          <w:szCs w:val="36"/>
        </w:rPr>
        <w:t>22</w:t>
      </w:r>
      <w:r>
        <w:rPr>
          <w:rFonts w:ascii="Times New Roman" w:hAnsi="Times New Roman" w:hint="eastAsia"/>
          <w:b/>
          <w:szCs w:val="36"/>
        </w:rPr>
        <w:t>個縣市公益彩券盈餘分配款累計待運</w:t>
      </w:r>
      <w:r>
        <w:rPr>
          <w:rFonts w:ascii="Times New Roman" w:hAnsi="Times New Roman" w:hint="eastAsia"/>
          <w:b/>
          <w:spacing w:val="-2"/>
        </w:rPr>
        <w:t>用數已達</w:t>
      </w:r>
      <w:r>
        <w:rPr>
          <w:rFonts w:ascii="Times New Roman" w:hAnsi="Times New Roman"/>
          <w:b/>
          <w:spacing w:val="-2"/>
        </w:rPr>
        <w:t>159</w:t>
      </w:r>
      <w:r>
        <w:rPr>
          <w:rFonts w:ascii="Times New Roman" w:hAnsi="Times New Roman" w:hint="eastAsia"/>
          <w:b/>
          <w:spacing w:val="-2"/>
        </w:rPr>
        <w:t>億</w:t>
      </w:r>
      <w:r>
        <w:rPr>
          <w:rFonts w:ascii="Times New Roman" w:hAnsi="Times New Roman"/>
          <w:b/>
          <w:spacing w:val="-2"/>
        </w:rPr>
        <w:t>8</w:t>
      </w:r>
      <w:r>
        <w:rPr>
          <w:rFonts w:ascii="Times New Roman" w:hAnsi="Times New Roman" w:hint="eastAsia"/>
          <w:b/>
          <w:spacing w:val="-2"/>
        </w:rPr>
        <w:t>千萬餘元，財政部及衛福部為促請地方政府積極強化運用，雖自</w:t>
      </w:r>
      <w:r>
        <w:rPr>
          <w:rFonts w:ascii="Times New Roman" w:hAnsi="Times New Roman"/>
          <w:b/>
          <w:spacing w:val="-2"/>
        </w:rPr>
        <w:t>102</w:t>
      </w:r>
      <w:r>
        <w:rPr>
          <w:rFonts w:ascii="Times New Roman" w:hAnsi="Times New Roman" w:hint="eastAsia"/>
          <w:b/>
          <w:spacing w:val="-2"/>
        </w:rPr>
        <w:t>年逐年提高考核配分，</w:t>
      </w:r>
      <w:r>
        <w:rPr>
          <w:rFonts w:ascii="Times New Roman" w:hAnsi="Times New Roman" w:hint="eastAsia"/>
          <w:b/>
        </w:rPr>
        <w:t>惟欠缺相關監督及輔導機制，以避免地方產生誤用之風險</w:t>
      </w:r>
      <w:r w:rsidR="005E005C">
        <w:rPr>
          <w:rFonts w:ascii="Times New Roman" w:hAnsi="Times New Roman" w:hint="eastAsia"/>
          <w:b/>
        </w:rPr>
        <w:t>；加以</w:t>
      </w:r>
      <w:r>
        <w:rPr>
          <w:rFonts w:ascii="Times New Roman" w:hAnsi="Times New Roman" w:hint="eastAsia"/>
          <w:b/>
        </w:rPr>
        <w:t>部分縣市在地提供服</w:t>
      </w:r>
      <w:r w:rsidRPr="00016B23">
        <w:rPr>
          <w:rFonts w:ascii="Times New Roman" w:hAnsi="Times New Roman" w:hint="eastAsia"/>
          <w:b/>
        </w:rPr>
        <w:t>務之民間團體數量不足，以致運用公益彩券盈餘分配款</w:t>
      </w:r>
      <w:r w:rsidR="00C121DF" w:rsidRPr="00016B23">
        <w:rPr>
          <w:rFonts w:ascii="Times New Roman" w:hAnsi="Times New Roman" w:hint="eastAsia"/>
          <w:b/>
        </w:rPr>
        <w:t>結合民間力量</w:t>
      </w:r>
      <w:r w:rsidRPr="00016B23">
        <w:rPr>
          <w:rFonts w:ascii="Times New Roman" w:hAnsi="Times New Roman" w:hint="eastAsia"/>
          <w:b/>
        </w:rPr>
        <w:t>推展社會福利</w:t>
      </w:r>
      <w:r w:rsidR="00C121DF" w:rsidRPr="00016B23">
        <w:rPr>
          <w:rFonts w:ascii="Times New Roman" w:hAnsi="Times New Roman" w:hint="eastAsia"/>
          <w:b/>
        </w:rPr>
        <w:t>需求</w:t>
      </w:r>
      <w:r w:rsidRPr="00016B23">
        <w:rPr>
          <w:rFonts w:ascii="Times New Roman" w:hAnsi="Times New Roman" w:hint="eastAsia"/>
          <w:b/>
        </w:rPr>
        <w:t>更具挑戰及艱困，</w:t>
      </w:r>
      <w:r w:rsidR="005E005C">
        <w:rPr>
          <w:rFonts w:ascii="Times New Roman" w:hAnsi="Times New Roman" w:hint="eastAsia"/>
          <w:b/>
        </w:rPr>
        <w:t>均</w:t>
      </w:r>
      <w:r w:rsidRPr="00016B23">
        <w:rPr>
          <w:rFonts w:ascii="Times New Roman" w:hAnsi="Times New Roman" w:hint="eastAsia"/>
          <w:b/>
        </w:rPr>
        <w:t>亟待財政部及衛福部</w:t>
      </w:r>
      <w:r>
        <w:rPr>
          <w:rFonts w:ascii="Times New Roman" w:hAnsi="Times New Roman" w:hint="eastAsia"/>
          <w:b/>
        </w:rPr>
        <w:t>妥為因應解決，並研議納入「安全預備金」之可行性，以合理降低待運用累積數，並增進地方社會福利供給之永續性。</w:t>
      </w:r>
      <w:bookmarkEnd w:id="1768"/>
      <w:bookmarkEnd w:id="1769"/>
      <w:bookmarkEnd w:id="1770"/>
      <w:bookmarkEnd w:id="1771"/>
    </w:p>
    <w:p w:rsidR="0040606A" w:rsidRDefault="0040606A" w:rsidP="0040606A">
      <w:pPr>
        <w:pStyle w:val="3"/>
        <w:numPr>
          <w:ilvl w:val="2"/>
          <w:numId w:val="9"/>
        </w:numPr>
        <w:kinsoku w:val="0"/>
        <w:ind w:left="1360" w:hanging="680"/>
        <w:rPr>
          <w:rFonts w:ascii="Times New Roman" w:hAnsi="Times New Roman"/>
        </w:rPr>
      </w:pPr>
      <w:bookmarkStart w:id="1772" w:name="_Toc507518641"/>
      <w:bookmarkStart w:id="1773" w:name="_Toc507491624"/>
      <w:bookmarkStart w:id="1774" w:name="_Toc507767730"/>
      <w:bookmarkStart w:id="1775" w:name="_Toc507768456"/>
      <w:bookmarkStart w:id="1776" w:name="_Toc511115452"/>
      <w:bookmarkStart w:id="1777" w:name="_Toc511308242"/>
      <w:bookmarkStart w:id="1778" w:name="_Toc511998685"/>
      <w:bookmarkStart w:id="1779" w:name="_Toc512421042"/>
      <w:bookmarkStart w:id="1780" w:name="_Toc507484800"/>
      <w:bookmarkStart w:id="1781" w:name="_Toc507403654"/>
      <w:bookmarkStart w:id="1782" w:name="_Toc507359661"/>
      <w:bookmarkStart w:id="1783" w:name="_Toc507168698"/>
      <w:bookmarkStart w:id="1784" w:name="_Toc507163495"/>
      <w:bookmarkStart w:id="1785" w:name="_Toc507163243"/>
      <w:bookmarkStart w:id="1786" w:name="_Toc507072999"/>
      <w:r>
        <w:rPr>
          <w:rFonts w:ascii="Times New Roman" w:hAnsi="Times New Roman" w:hint="eastAsia"/>
        </w:rPr>
        <w:t>依據財政部提供及該部</w:t>
      </w:r>
      <w:r>
        <w:rPr>
          <w:rFonts w:hint="eastAsia"/>
        </w:rPr>
        <w:t>網站</w:t>
      </w:r>
      <w:r>
        <w:rPr>
          <w:rFonts w:ascii="Times New Roman" w:hAnsi="Times New Roman" w:hint="eastAsia"/>
        </w:rPr>
        <w:t>公布之統計資料顯示，各縣市</w:t>
      </w:r>
      <w:r>
        <w:rPr>
          <w:rFonts w:ascii="Times New Roman" w:hAnsi="Times New Roman" w:hint="eastAsia"/>
          <w:szCs w:val="32"/>
        </w:rPr>
        <w:t>公益彩券盈餘分配款待運用</w:t>
      </w:r>
      <w:r>
        <w:rPr>
          <w:rFonts w:hint="eastAsia"/>
        </w:rPr>
        <w:t>數額累積逐年增加</w:t>
      </w:r>
      <w:r>
        <w:rPr>
          <w:rFonts w:ascii="Times New Roman" w:hAnsi="Times New Roman" w:hint="eastAsia"/>
        </w:rPr>
        <w:t>，截至</w:t>
      </w:r>
      <w:r>
        <w:rPr>
          <w:rFonts w:ascii="Times New Roman" w:hAnsi="Times New Roman"/>
        </w:rPr>
        <w:t>105</w:t>
      </w:r>
      <w:r>
        <w:rPr>
          <w:rFonts w:ascii="Times New Roman" w:hAnsi="Times New Roman" w:hint="eastAsia"/>
        </w:rPr>
        <w:t>年底，</w:t>
      </w:r>
      <w:r>
        <w:rPr>
          <w:rFonts w:ascii="Times New Roman" w:hAnsi="Times New Roman"/>
        </w:rPr>
        <w:t>22</w:t>
      </w:r>
      <w:r>
        <w:rPr>
          <w:rFonts w:ascii="Times New Roman" w:hAnsi="Times New Roman" w:hint="eastAsia"/>
        </w:rPr>
        <w:t>個縣市累積</w:t>
      </w:r>
      <w:r>
        <w:rPr>
          <w:rFonts w:ascii="Times New Roman" w:hAnsi="Times New Roman" w:hint="eastAsia"/>
          <w:szCs w:val="32"/>
        </w:rPr>
        <w:t>待運用</w:t>
      </w:r>
      <w:r>
        <w:rPr>
          <w:rFonts w:hint="eastAsia"/>
        </w:rPr>
        <w:t>數</w:t>
      </w:r>
      <w:r>
        <w:rPr>
          <w:rFonts w:ascii="Times New Roman" w:hAnsi="Times New Roman" w:hint="eastAsia"/>
        </w:rPr>
        <w:t>總計</w:t>
      </w:r>
      <w:r>
        <w:rPr>
          <w:rFonts w:ascii="Times New Roman" w:hAnsi="Times New Roman"/>
        </w:rPr>
        <w:t>159</w:t>
      </w:r>
      <w:r>
        <w:rPr>
          <w:rFonts w:ascii="Times New Roman" w:hAnsi="Times New Roman" w:hint="eastAsia"/>
        </w:rPr>
        <w:t>億</w:t>
      </w:r>
      <w:r>
        <w:rPr>
          <w:rFonts w:ascii="Times New Roman" w:hAnsi="Times New Roman"/>
        </w:rPr>
        <w:t>8</w:t>
      </w:r>
      <w:r>
        <w:rPr>
          <w:rFonts w:ascii="Times New Roman" w:hAnsi="Times New Roman" w:hint="eastAsia"/>
        </w:rPr>
        <w:t>千萬餘</w:t>
      </w:r>
      <w:r w:rsidRPr="00E36E9F">
        <w:rPr>
          <w:rFonts w:ascii="Times New Roman" w:hAnsi="Times New Roman" w:hint="eastAsia"/>
        </w:rPr>
        <w:t>元</w:t>
      </w:r>
      <w:r w:rsidRPr="00E36E9F">
        <w:rPr>
          <w:rFonts w:ascii="Times New Roman" w:hAnsi="Times New Roman"/>
        </w:rPr>
        <w:t>(</w:t>
      </w:r>
      <w:r w:rsidRPr="00E36E9F">
        <w:rPr>
          <w:rFonts w:ascii="Times New Roman" w:hAnsi="Times New Roman" w:hint="eastAsia"/>
        </w:rPr>
        <w:t>詳見</w:t>
      </w:r>
      <w:r w:rsidR="00293E95" w:rsidRPr="00E36E9F">
        <w:rPr>
          <w:rFonts w:ascii="Times New Roman" w:hAnsi="Times New Roman" w:hint="eastAsia"/>
        </w:rPr>
        <w:t>處理辦法之後的</w:t>
      </w:r>
      <w:r w:rsidRPr="00E36E9F">
        <w:rPr>
          <w:rFonts w:ascii="Times New Roman" w:hAnsi="Times New Roman" w:hint="eastAsia"/>
        </w:rPr>
        <w:t>附表五</w:t>
      </w:r>
      <w:r w:rsidRPr="00E36E9F">
        <w:rPr>
          <w:rFonts w:ascii="Times New Roman" w:hAnsi="Times New Roman"/>
        </w:rPr>
        <w:t>)</w:t>
      </w:r>
      <w:r>
        <w:rPr>
          <w:rFonts w:ascii="Times New Roman" w:hAnsi="Times New Roman" w:hint="eastAsia"/>
        </w:rPr>
        <w:t>，</w:t>
      </w:r>
      <w:r>
        <w:rPr>
          <w:rFonts w:ascii="Times New Roman" w:hAnsi="Times New Roman" w:hint="eastAsia"/>
          <w:szCs w:val="32"/>
        </w:rPr>
        <w:t>占</w:t>
      </w:r>
      <w:r>
        <w:rPr>
          <w:rFonts w:ascii="Times New Roman" w:hAnsi="Times New Roman"/>
          <w:szCs w:val="32"/>
        </w:rPr>
        <w:t>105</w:t>
      </w:r>
      <w:r>
        <w:rPr>
          <w:rFonts w:ascii="Times New Roman" w:hAnsi="Times New Roman" w:hint="eastAsia"/>
          <w:szCs w:val="32"/>
        </w:rPr>
        <w:t>年</w:t>
      </w:r>
      <w:r>
        <w:rPr>
          <w:rFonts w:ascii="Times New Roman" w:hAnsi="Times New Roman"/>
          <w:szCs w:val="32"/>
        </w:rPr>
        <w:t>22</w:t>
      </w:r>
      <w:r>
        <w:rPr>
          <w:rFonts w:ascii="Times New Roman" w:hAnsi="Times New Roman" w:hint="eastAsia"/>
          <w:szCs w:val="32"/>
        </w:rPr>
        <w:t>個地方政府</w:t>
      </w:r>
      <w:r w:rsidR="005E005C">
        <w:rPr>
          <w:rFonts w:ascii="Times New Roman" w:hAnsi="Times New Roman" w:hint="eastAsia"/>
          <w:szCs w:val="32"/>
        </w:rPr>
        <w:t>該盈餘</w:t>
      </w:r>
      <w:r>
        <w:rPr>
          <w:rFonts w:ascii="Times New Roman" w:hAnsi="Times New Roman" w:hint="eastAsia"/>
          <w:szCs w:val="32"/>
        </w:rPr>
        <w:t>分配款總</w:t>
      </w:r>
      <w:r>
        <w:rPr>
          <w:rFonts w:ascii="Times New Roman" w:hAnsi="Times New Roman" w:hint="eastAsia"/>
        </w:rPr>
        <w:t>數</w:t>
      </w:r>
      <w:r>
        <w:rPr>
          <w:rFonts w:ascii="Times New Roman" w:hAnsi="Times New Roman"/>
        </w:rPr>
        <w:t>(134</w:t>
      </w:r>
      <w:r>
        <w:rPr>
          <w:rFonts w:ascii="Times New Roman" w:hAnsi="Times New Roman" w:hint="eastAsia"/>
        </w:rPr>
        <w:t>億</w:t>
      </w:r>
      <w:r>
        <w:rPr>
          <w:rFonts w:ascii="Times New Roman" w:hAnsi="Times New Roman"/>
        </w:rPr>
        <w:t>5</w:t>
      </w:r>
      <w:r>
        <w:rPr>
          <w:rFonts w:ascii="Times New Roman" w:hAnsi="Times New Roman" w:hint="eastAsia"/>
        </w:rPr>
        <w:t>千萬餘元</w:t>
      </w:r>
      <w:r>
        <w:rPr>
          <w:rFonts w:ascii="Times New Roman" w:hAnsi="Times New Roman"/>
        </w:rPr>
        <w:t>)</w:t>
      </w:r>
      <w:r>
        <w:rPr>
          <w:rFonts w:ascii="Times New Roman" w:hAnsi="Times New Roman" w:hint="eastAsia"/>
        </w:rPr>
        <w:t>之</w:t>
      </w:r>
      <w:r>
        <w:rPr>
          <w:rFonts w:ascii="Times New Roman" w:hAnsi="Times New Roman"/>
        </w:rPr>
        <w:t>118.81</w:t>
      </w:r>
      <w:r>
        <w:rPr>
          <w:rFonts w:ascii="Times New Roman" w:hAnsi="Times New Roman" w:hint="eastAsia"/>
        </w:rPr>
        <w:t>％。再從</w:t>
      </w:r>
      <w:r w:rsidR="005E005C">
        <w:rPr>
          <w:rFonts w:ascii="Times New Roman" w:hAnsi="Times New Roman" w:hint="eastAsia"/>
        </w:rPr>
        <w:t>各個</w:t>
      </w:r>
      <w:r>
        <w:rPr>
          <w:rFonts w:ascii="Times New Roman" w:hAnsi="Times New Roman" w:hint="eastAsia"/>
          <w:szCs w:val="32"/>
        </w:rPr>
        <w:t>地方政府分別觀之，</w:t>
      </w:r>
      <w:r>
        <w:rPr>
          <w:rFonts w:ascii="Times New Roman" w:hAnsi="Times New Roman" w:hint="eastAsia"/>
        </w:rPr>
        <w:t>截至</w:t>
      </w:r>
      <w:r>
        <w:rPr>
          <w:rFonts w:ascii="Times New Roman" w:hAnsi="Times New Roman"/>
        </w:rPr>
        <w:t>105</w:t>
      </w:r>
      <w:r>
        <w:rPr>
          <w:rFonts w:ascii="Times New Roman" w:hAnsi="Times New Roman" w:hint="eastAsia"/>
        </w:rPr>
        <w:t>年底，</w:t>
      </w:r>
      <w:r>
        <w:rPr>
          <w:rFonts w:ascii="Times New Roman" w:hAnsi="Times New Roman"/>
        </w:rPr>
        <w:t>22</w:t>
      </w:r>
      <w:r>
        <w:rPr>
          <w:rFonts w:ascii="Times New Roman" w:hAnsi="Times New Roman" w:hint="eastAsia"/>
        </w:rPr>
        <w:t>個縣市</w:t>
      </w:r>
      <w:r>
        <w:rPr>
          <w:rFonts w:ascii="Times New Roman" w:hAnsi="Times New Roman" w:hint="eastAsia"/>
          <w:szCs w:val="32"/>
        </w:rPr>
        <w:t>待運用</w:t>
      </w:r>
      <w:r>
        <w:rPr>
          <w:rFonts w:hint="eastAsia"/>
        </w:rPr>
        <w:t>數額累計</w:t>
      </w:r>
      <w:r>
        <w:rPr>
          <w:rFonts w:ascii="Times New Roman" w:hAnsi="Times New Roman" w:hint="eastAsia"/>
          <w:szCs w:val="32"/>
        </w:rPr>
        <w:t>，介於</w:t>
      </w:r>
      <w:r>
        <w:rPr>
          <w:rFonts w:ascii="Times New Roman" w:hAnsi="Times New Roman"/>
          <w:szCs w:val="32"/>
        </w:rPr>
        <w:t>2</w:t>
      </w:r>
      <w:r>
        <w:rPr>
          <w:rFonts w:ascii="Times New Roman" w:hAnsi="Times New Roman" w:hint="eastAsia"/>
          <w:szCs w:val="32"/>
        </w:rPr>
        <w:t>億餘元至</w:t>
      </w:r>
      <w:r>
        <w:rPr>
          <w:rFonts w:ascii="Times New Roman" w:hAnsi="Times New Roman"/>
          <w:szCs w:val="32"/>
        </w:rPr>
        <w:t>20</w:t>
      </w:r>
      <w:r>
        <w:rPr>
          <w:rFonts w:ascii="Times New Roman" w:hAnsi="Times New Roman" w:hint="eastAsia"/>
          <w:szCs w:val="32"/>
        </w:rPr>
        <w:t>億</w:t>
      </w:r>
      <w:r>
        <w:rPr>
          <w:rFonts w:ascii="Times New Roman" w:hAnsi="Times New Roman"/>
          <w:szCs w:val="32"/>
        </w:rPr>
        <w:t>2</w:t>
      </w:r>
      <w:r>
        <w:rPr>
          <w:rFonts w:ascii="Times New Roman" w:hAnsi="Times New Roman" w:hint="eastAsia"/>
          <w:szCs w:val="32"/>
        </w:rPr>
        <w:t>千萬餘元間，其中</w:t>
      </w:r>
      <w:r>
        <w:rPr>
          <w:rFonts w:ascii="Times New Roman" w:hAnsi="Times New Roman" w:hint="eastAsia"/>
        </w:rPr>
        <w:t>以直轄市為最多</w:t>
      </w:r>
      <w:r>
        <w:rPr>
          <w:rFonts w:ascii="Times New Roman" w:hAnsi="Times New Roman" w:hint="eastAsia"/>
          <w:szCs w:val="32"/>
        </w:rPr>
        <w:t>：</w:t>
      </w:r>
      <w:bookmarkEnd w:id="1772"/>
      <w:bookmarkEnd w:id="1773"/>
      <w:bookmarkEnd w:id="1774"/>
      <w:bookmarkEnd w:id="1775"/>
      <w:bookmarkEnd w:id="1776"/>
      <w:bookmarkEnd w:id="1777"/>
      <w:bookmarkEnd w:id="1778"/>
      <w:bookmarkEnd w:id="1779"/>
    </w:p>
    <w:p w:rsidR="0040606A" w:rsidRDefault="0040606A" w:rsidP="0040606A">
      <w:pPr>
        <w:pStyle w:val="4"/>
        <w:numPr>
          <w:ilvl w:val="3"/>
          <w:numId w:val="9"/>
        </w:numPr>
        <w:topLinePunct/>
        <w:rPr>
          <w:rFonts w:ascii="Times New Roman" w:hAnsi="Times New Roman"/>
        </w:rPr>
      </w:pPr>
      <w:r>
        <w:rPr>
          <w:rFonts w:ascii="Times New Roman" w:hAnsi="Times New Roman"/>
        </w:rPr>
        <w:t>6</w:t>
      </w:r>
      <w:r>
        <w:rPr>
          <w:rFonts w:ascii="Times New Roman" w:hAnsi="Times New Roman" w:hint="eastAsia"/>
        </w:rPr>
        <w:t>個直轄市待運用數，依序如下：</w:t>
      </w:r>
    </w:p>
    <w:p w:rsidR="0040606A" w:rsidRDefault="0040606A" w:rsidP="0040606A">
      <w:pPr>
        <w:pStyle w:val="5"/>
        <w:numPr>
          <w:ilvl w:val="4"/>
          <w:numId w:val="9"/>
        </w:numPr>
        <w:kinsoku w:val="0"/>
        <w:rPr>
          <w:rFonts w:ascii="Times New Roman" w:hAnsi="Times New Roman"/>
        </w:rPr>
      </w:pPr>
      <w:r>
        <w:rPr>
          <w:rFonts w:ascii="Times New Roman" w:hAnsi="Times New Roman" w:hint="eastAsia"/>
        </w:rPr>
        <w:t>臺北市為</w:t>
      </w:r>
      <w:r>
        <w:rPr>
          <w:rFonts w:ascii="Times New Roman" w:hAnsi="Times New Roman"/>
        </w:rPr>
        <w:t>20</w:t>
      </w:r>
      <w:r>
        <w:rPr>
          <w:rFonts w:ascii="Times New Roman" w:hAnsi="Times New Roman" w:hint="eastAsia"/>
        </w:rPr>
        <w:t>億</w:t>
      </w:r>
      <w:r>
        <w:rPr>
          <w:rFonts w:ascii="Times New Roman" w:hAnsi="Times New Roman"/>
        </w:rPr>
        <w:t>2</w:t>
      </w:r>
      <w:r>
        <w:rPr>
          <w:rFonts w:ascii="Times New Roman" w:hAnsi="Times New Roman" w:hint="eastAsia"/>
        </w:rPr>
        <w:t>千餘萬元，占</w:t>
      </w:r>
      <w:r>
        <w:rPr>
          <w:rFonts w:ascii="Times New Roman" w:hAnsi="Times New Roman"/>
        </w:rPr>
        <w:t>105</w:t>
      </w:r>
      <w:r>
        <w:rPr>
          <w:rFonts w:ascii="Times New Roman" w:hAnsi="Times New Roman" w:hint="eastAsia"/>
          <w:szCs w:val="32"/>
        </w:rPr>
        <w:t>年度</w:t>
      </w:r>
      <w:r>
        <w:rPr>
          <w:rFonts w:ascii="Times New Roman" w:hAnsi="Times New Roman" w:hint="eastAsia"/>
        </w:rPr>
        <w:t>該市</w:t>
      </w:r>
      <w:r>
        <w:rPr>
          <w:rFonts w:ascii="Times New Roman" w:hAnsi="Times New Roman" w:hint="eastAsia"/>
          <w:szCs w:val="32"/>
        </w:rPr>
        <w:t>盈餘分配款</w:t>
      </w:r>
      <w:r>
        <w:rPr>
          <w:rFonts w:ascii="Times New Roman" w:hAnsi="Times New Roman"/>
          <w:szCs w:val="32"/>
        </w:rPr>
        <w:t>(14</w:t>
      </w:r>
      <w:r>
        <w:rPr>
          <w:rFonts w:ascii="Times New Roman" w:hAnsi="Times New Roman" w:hint="eastAsia"/>
          <w:szCs w:val="32"/>
        </w:rPr>
        <w:t>億</w:t>
      </w:r>
      <w:r>
        <w:rPr>
          <w:rFonts w:ascii="Times New Roman" w:hAnsi="Times New Roman"/>
          <w:szCs w:val="32"/>
        </w:rPr>
        <w:t>7</w:t>
      </w:r>
      <w:r>
        <w:rPr>
          <w:rFonts w:ascii="Times New Roman" w:hAnsi="Times New Roman" w:hint="eastAsia"/>
          <w:szCs w:val="32"/>
        </w:rPr>
        <w:t>千萬餘元</w:t>
      </w:r>
      <w:r>
        <w:rPr>
          <w:rFonts w:ascii="Times New Roman" w:hAnsi="Times New Roman"/>
          <w:szCs w:val="32"/>
        </w:rPr>
        <w:t>)</w:t>
      </w:r>
      <w:r>
        <w:rPr>
          <w:rFonts w:ascii="Times New Roman" w:hAnsi="Times New Roman" w:hint="eastAsia"/>
          <w:szCs w:val="32"/>
        </w:rPr>
        <w:t>之</w:t>
      </w:r>
      <w:r>
        <w:rPr>
          <w:rFonts w:ascii="Times New Roman" w:hAnsi="Times New Roman"/>
          <w:szCs w:val="32"/>
        </w:rPr>
        <w:t>137.41</w:t>
      </w:r>
      <w:r>
        <w:rPr>
          <w:rFonts w:hAnsi="標楷體" w:hint="eastAsia"/>
          <w:szCs w:val="32"/>
        </w:rPr>
        <w:t>％。</w:t>
      </w:r>
    </w:p>
    <w:p w:rsidR="0040606A" w:rsidRDefault="0040606A" w:rsidP="0040606A">
      <w:pPr>
        <w:pStyle w:val="5"/>
        <w:numPr>
          <w:ilvl w:val="4"/>
          <w:numId w:val="9"/>
        </w:numPr>
        <w:kinsoku w:val="0"/>
        <w:rPr>
          <w:rFonts w:ascii="Times New Roman" w:hAnsi="Times New Roman"/>
        </w:rPr>
      </w:pPr>
      <w:r>
        <w:rPr>
          <w:rFonts w:hAnsi="標楷體" w:hint="eastAsia"/>
          <w:szCs w:val="32"/>
        </w:rPr>
        <w:t>新北市為</w:t>
      </w:r>
      <w:r>
        <w:rPr>
          <w:rFonts w:ascii="Times New Roman" w:hAnsi="Times New Roman"/>
        </w:rPr>
        <w:t>15</w:t>
      </w:r>
      <w:r>
        <w:rPr>
          <w:rFonts w:ascii="Times New Roman" w:hAnsi="Times New Roman" w:hint="eastAsia"/>
        </w:rPr>
        <w:t>億餘元，占</w:t>
      </w:r>
      <w:r>
        <w:rPr>
          <w:rFonts w:ascii="Times New Roman" w:hAnsi="Times New Roman"/>
        </w:rPr>
        <w:t>105</w:t>
      </w:r>
      <w:r>
        <w:rPr>
          <w:rFonts w:ascii="Times New Roman" w:hAnsi="Times New Roman" w:hint="eastAsia"/>
          <w:szCs w:val="32"/>
        </w:rPr>
        <w:t>年度</w:t>
      </w:r>
      <w:r>
        <w:rPr>
          <w:rFonts w:ascii="Times New Roman" w:hAnsi="Times New Roman" w:hint="eastAsia"/>
        </w:rPr>
        <w:t>該市</w:t>
      </w:r>
      <w:r>
        <w:rPr>
          <w:rFonts w:ascii="Times New Roman" w:hAnsi="Times New Roman" w:hint="eastAsia"/>
          <w:szCs w:val="32"/>
        </w:rPr>
        <w:t>盈餘分配款</w:t>
      </w:r>
      <w:r>
        <w:rPr>
          <w:rFonts w:ascii="Times New Roman" w:hAnsi="Times New Roman"/>
          <w:szCs w:val="32"/>
        </w:rPr>
        <w:t>(17</w:t>
      </w:r>
      <w:r>
        <w:rPr>
          <w:rFonts w:ascii="Times New Roman" w:hAnsi="Times New Roman" w:hint="eastAsia"/>
          <w:szCs w:val="32"/>
        </w:rPr>
        <w:t>億</w:t>
      </w:r>
      <w:r>
        <w:rPr>
          <w:rFonts w:ascii="Times New Roman" w:hAnsi="Times New Roman"/>
          <w:szCs w:val="32"/>
        </w:rPr>
        <w:t>4</w:t>
      </w:r>
      <w:r>
        <w:rPr>
          <w:rFonts w:ascii="Times New Roman" w:hAnsi="Times New Roman" w:hint="eastAsia"/>
          <w:szCs w:val="32"/>
        </w:rPr>
        <w:t>千萬餘元</w:t>
      </w:r>
      <w:r>
        <w:rPr>
          <w:rFonts w:ascii="Times New Roman" w:hAnsi="Times New Roman"/>
          <w:szCs w:val="32"/>
        </w:rPr>
        <w:t>)</w:t>
      </w:r>
      <w:r>
        <w:rPr>
          <w:rFonts w:ascii="Times New Roman" w:hAnsi="Times New Roman" w:hint="eastAsia"/>
          <w:szCs w:val="32"/>
        </w:rPr>
        <w:t>之</w:t>
      </w:r>
      <w:r>
        <w:rPr>
          <w:rFonts w:ascii="Times New Roman" w:hAnsi="Times New Roman"/>
          <w:szCs w:val="32"/>
        </w:rPr>
        <w:t>86.21</w:t>
      </w:r>
      <w:r>
        <w:rPr>
          <w:rFonts w:hAnsi="標楷體" w:hint="eastAsia"/>
          <w:szCs w:val="32"/>
        </w:rPr>
        <w:t>％。</w:t>
      </w:r>
    </w:p>
    <w:p w:rsidR="0040606A" w:rsidRDefault="0040606A" w:rsidP="0040606A">
      <w:pPr>
        <w:pStyle w:val="5"/>
        <w:numPr>
          <w:ilvl w:val="4"/>
          <w:numId w:val="9"/>
        </w:numPr>
        <w:kinsoku w:val="0"/>
        <w:rPr>
          <w:rFonts w:ascii="Times New Roman" w:hAnsi="Times New Roman"/>
          <w:szCs w:val="32"/>
        </w:rPr>
      </w:pPr>
      <w:r>
        <w:rPr>
          <w:rFonts w:ascii="Times New Roman" w:hAnsi="Times New Roman" w:hint="eastAsia"/>
        </w:rPr>
        <w:t>高雄市為</w:t>
      </w:r>
      <w:r>
        <w:rPr>
          <w:rFonts w:ascii="Times New Roman" w:hAnsi="Times New Roman"/>
          <w:szCs w:val="32"/>
        </w:rPr>
        <w:t>10</w:t>
      </w:r>
      <w:r>
        <w:rPr>
          <w:rFonts w:ascii="Times New Roman" w:hAnsi="Times New Roman" w:hint="eastAsia"/>
          <w:szCs w:val="32"/>
        </w:rPr>
        <w:t>億</w:t>
      </w:r>
      <w:r>
        <w:rPr>
          <w:rFonts w:ascii="Times New Roman" w:hAnsi="Times New Roman"/>
          <w:szCs w:val="32"/>
        </w:rPr>
        <w:t>1</w:t>
      </w:r>
      <w:r>
        <w:rPr>
          <w:rFonts w:ascii="Times New Roman" w:hAnsi="Times New Roman" w:hint="eastAsia"/>
          <w:szCs w:val="32"/>
        </w:rPr>
        <w:t>千餘萬元，占</w:t>
      </w:r>
      <w:r>
        <w:rPr>
          <w:rFonts w:ascii="Times New Roman" w:hAnsi="Times New Roman"/>
          <w:szCs w:val="32"/>
        </w:rPr>
        <w:t>105</w:t>
      </w:r>
      <w:r>
        <w:rPr>
          <w:rFonts w:ascii="Times New Roman" w:hAnsi="Times New Roman" w:hint="eastAsia"/>
          <w:szCs w:val="32"/>
        </w:rPr>
        <w:t>年該市盈餘分配款</w:t>
      </w:r>
      <w:r>
        <w:rPr>
          <w:rFonts w:ascii="Times New Roman" w:hAnsi="Times New Roman"/>
          <w:szCs w:val="32"/>
        </w:rPr>
        <w:t>(13</w:t>
      </w:r>
      <w:r>
        <w:rPr>
          <w:rFonts w:ascii="Times New Roman" w:hAnsi="Times New Roman" w:hint="eastAsia"/>
          <w:szCs w:val="32"/>
        </w:rPr>
        <w:t>億</w:t>
      </w:r>
      <w:r>
        <w:rPr>
          <w:rFonts w:ascii="Times New Roman" w:hAnsi="Times New Roman"/>
          <w:szCs w:val="32"/>
        </w:rPr>
        <w:t>4</w:t>
      </w:r>
      <w:r>
        <w:rPr>
          <w:rFonts w:ascii="Times New Roman" w:hAnsi="Times New Roman" w:hint="eastAsia"/>
          <w:szCs w:val="32"/>
        </w:rPr>
        <w:t>千萬餘元</w:t>
      </w:r>
      <w:r>
        <w:rPr>
          <w:rFonts w:ascii="Times New Roman" w:hAnsi="Times New Roman"/>
          <w:szCs w:val="32"/>
        </w:rPr>
        <w:t>)</w:t>
      </w:r>
      <w:r>
        <w:rPr>
          <w:rFonts w:ascii="Times New Roman" w:hAnsi="Times New Roman" w:hint="eastAsia"/>
          <w:szCs w:val="32"/>
        </w:rPr>
        <w:t>之</w:t>
      </w:r>
      <w:r>
        <w:rPr>
          <w:rFonts w:ascii="Times New Roman" w:hAnsi="Times New Roman"/>
          <w:szCs w:val="32"/>
        </w:rPr>
        <w:t>75.37</w:t>
      </w:r>
      <w:r>
        <w:rPr>
          <w:rFonts w:ascii="Times New Roman" w:hAnsi="Times New Roman" w:hint="eastAsia"/>
          <w:szCs w:val="32"/>
        </w:rPr>
        <w:t>％。</w:t>
      </w:r>
    </w:p>
    <w:p w:rsidR="0040606A" w:rsidRDefault="0040606A" w:rsidP="0040606A">
      <w:pPr>
        <w:pStyle w:val="5"/>
        <w:numPr>
          <w:ilvl w:val="4"/>
          <w:numId w:val="9"/>
        </w:numPr>
        <w:kinsoku w:val="0"/>
        <w:rPr>
          <w:rFonts w:ascii="Times New Roman" w:hAnsi="Times New Roman"/>
          <w:szCs w:val="32"/>
        </w:rPr>
      </w:pPr>
      <w:r>
        <w:rPr>
          <w:rFonts w:ascii="Times New Roman" w:hAnsi="Times New Roman" w:hint="eastAsia"/>
          <w:szCs w:val="32"/>
        </w:rPr>
        <w:t>臺中市為</w:t>
      </w:r>
      <w:r>
        <w:rPr>
          <w:rFonts w:ascii="Times New Roman" w:hAnsi="Times New Roman"/>
          <w:szCs w:val="32"/>
        </w:rPr>
        <w:t>9</w:t>
      </w:r>
      <w:r>
        <w:rPr>
          <w:rFonts w:ascii="Times New Roman" w:hAnsi="Times New Roman" w:hint="eastAsia"/>
          <w:szCs w:val="32"/>
        </w:rPr>
        <w:t>億</w:t>
      </w:r>
      <w:r>
        <w:rPr>
          <w:rFonts w:ascii="Times New Roman" w:hAnsi="Times New Roman"/>
          <w:szCs w:val="32"/>
        </w:rPr>
        <w:t>9</w:t>
      </w:r>
      <w:r>
        <w:rPr>
          <w:rFonts w:ascii="Times New Roman" w:hAnsi="Times New Roman" w:hint="eastAsia"/>
          <w:szCs w:val="32"/>
        </w:rPr>
        <w:t>千餘萬元，占</w:t>
      </w:r>
      <w:r>
        <w:rPr>
          <w:rFonts w:ascii="Times New Roman" w:hAnsi="Times New Roman"/>
          <w:szCs w:val="32"/>
        </w:rPr>
        <w:t>105</w:t>
      </w:r>
      <w:r>
        <w:rPr>
          <w:rFonts w:ascii="Times New Roman" w:hAnsi="Times New Roman" w:hint="eastAsia"/>
          <w:szCs w:val="32"/>
        </w:rPr>
        <w:t>年該市盈餘分配款</w:t>
      </w:r>
      <w:r>
        <w:rPr>
          <w:rFonts w:ascii="Times New Roman" w:hAnsi="Times New Roman"/>
          <w:szCs w:val="32"/>
        </w:rPr>
        <w:t>(13</w:t>
      </w:r>
      <w:r>
        <w:rPr>
          <w:rFonts w:ascii="Times New Roman" w:hAnsi="Times New Roman" w:hint="eastAsia"/>
          <w:szCs w:val="32"/>
        </w:rPr>
        <w:t>億</w:t>
      </w:r>
      <w:r>
        <w:rPr>
          <w:rFonts w:ascii="Times New Roman" w:hAnsi="Times New Roman"/>
          <w:szCs w:val="32"/>
        </w:rPr>
        <w:t>5</w:t>
      </w:r>
      <w:r>
        <w:rPr>
          <w:rFonts w:ascii="Times New Roman" w:hAnsi="Times New Roman" w:hint="eastAsia"/>
          <w:szCs w:val="32"/>
        </w:rPr>
        <w:t>千萬餘元</w:t>
      </w:r>
      <w:r>
        <w:rPr>
          <w:rFonts w:ascii="Times New Roman" w:hAnsi="Times New Roman"/>
          <w:szCs w:val="32"/>
        </w:rPr>
        <w:t>)</w:t>
      </w:r>
      <w:r>
        <w:rPr>
          <w:rFonts w:ascii="Times New Roman" w:hAnsi="Times New Roman" w:hint="eastAsia"/>
          <w:szCs w:val="32"/>
        </w:rPr>
        <w:t>之</w:t>
      </w:r>
      <w:r>
        <w:rPr>
          <w:rFonts w:ascii="Times New Roman" w:hAnsi="Times New Roman"/>
          <w:szCs w:val="32"/>
        </w:rPr>
        <w:t>73.33</w:t>
      </w:r>
      <w:r>
        <w:rPr>
          <w:rFonts w:ascii="Times New Roman" w:hAnsi="Times New Roman" w:hint="eastAsia"/>
          <w:szCs w:val="32"/>
        </w:rPr>
        <w:t>％。</w:t>
      </w:r>
    </w:p>
    <w:p w:rsidR="0040606A" w:rsidRDefault="0040606A" w:rsidP="0040606A">
      <w:pPr>
        <w:pStyle w:val="5"/>
        <w:numPr>
          <w:ilvl w:val="4"/>
          <w:numId w:val="9"/>
        </w:numPr>
        <w:kinsoku w:val="0"/>
        <w:rPr>
          <w:rFonts w:ascii="Times New Roman" w:hAnsi="Times New Roman"/>
          <w:szCs w:val="32"/>
        </w:rPr>
      </w:pPr>
      <w:r>
        <w:rPr>
          <w:rFonts w:ascii="Times New Roman" w:hAnsi="Times New Roman" w:hint="eastAsia"/>
          <w:szCs w:val="32"/>
        </w:rPr>
        <w:t>桃園市為</w:t>
      </w:r>
      <w:r>
        <w:rPr>
          <w:rFonts w:ascii="Times New Roman" w:hAnsi="Times New Roman"/>
          <w:szCs w:val="32"/>
        </w:rPr>
        <w:t>8</w:t>
      </w:r>
      <w:r>
        <w:rPr>
          <w:rFonts w:ascii="Times New Roman" w:hAnsi="Times New Roman" w:hint="eastAsia"/>
          <w:szCs w:val="32"/>
        </w:rPr>
        <w:t>億</w:t>
      </w:r>
      <w:r>
        <w:rPr>
          <w:rFonts w:ascii="Times New Roman" w:hAnsi="Times New Roman"/>
          <w:szCs w:val="32"/>
        </w:rPr>
        <w:t>1</w:t>
      </w:r>
      <w:r>
        <w:rPr>
          <w:rFonts w:ascii="Times New Roman" w:hAnsi="Times New Roman" w:hint="eastAsia"/>
          <w:szCs w:val="32"/>
        </w:rPr>
        <w:t>千餘萬元，占</w:t>
      </w:r>
      <w:r>
        <w:rPr>
          <w:rFonts w:ascii="Times New Roman" w:hAnsi="Times New Roman"/>
          <w:szCs w:val="32"/>
        </w:rPr>
        <w:t>105</w:t>
      </w:r>
      <w:r>
        <w:rPr>
          <w:rFonts w:ascii="Times New Roman" w:hAnsi="Times New Roman" w:hint="eastAsia"/>
          <w:szCs w:val="32"/>
        </w:rPr>
        <w:t>年該市盈餘分配款</w:t>
      </w:r>
      <w:r>
        <w:rPr>
          <w:rFonts w:ascii="Times New Roman" w:hAnsi="Times New Roman"/>
          <w:szCs w:val="32"/>
        </w:rPr>
        <w:t>(10</w:t>
      </w:r>
      <w:r>
        <w:rPr>
          <w:rFonts w:ascii="Times New Roman" w:hAnsi="Times New Roman" w:hint="eastAsia"/>
          <w:szCs w:val="32"/>
        </w:rPr>
        <w:t>億</w:t>
      </w:r>
      <w:r>
        <w:rPr>
          <w:rFonts w:ascii="Times New Roman" w:hAnsi="Times New Roman"/>
          <w:szCs w:val="32"/>
        </w:rPr>
        <w:t>1</w:t>
      </w:r>
      <w:r>
        <w:rPr>
          <w:rFonts w:ascii="Times New Roman" w:hAnsi="Times New Roman" w:hint="eastAsia"/>
          <w:szCs w:val="32"/>
        </w:rPr>
        <w:t>千萬餘元</w:t>
      </w:r>
      <w:r>
        <w:rPr>
          <w:rFonts w:ascii="Times New Roman" w:hAnsi="Times New Roman"/>
          <w:szCs w:val="32"/>
        </w:rPr>
        <w:t>)</w:t>
      </w:r>
      <w:r>
        <w:rPr>
          <w:rFonts w:ascii="Times New Roman" w:hAnsi="Times New Roman" w:hint="eastAsia"/>
          <w:szCs w:val="32"/>
        </w:rPr>
        <w:t>之</w:t>
      </w:r>
      <w:r>
        <w:rPr>
          <w:rFonts w:ascii="Times New Roman" w:hAnsi="Times New Roman"/>
          <w:szCs w:val="32"/>
        </w:rPr>
        <w:t>80.20</w:t>
      </w:r>
      <w:r>
        <w:rPr>
          <w:rFonts w:ascii="Times New Roman" w:hAnsi="Times New Roman" w:hint="eastAsia"/>
          <w:szCs w:val="32"/>
        </w:rPr>
        <w:t>％。</w:t>
      </w:r>
    </w:p>
    <w:p w:rsidR="0040606A" w:rsidRDefault="0040606A" w:rsidP="0040606A">
      <w:pPr>
        <w:pStyle w:val="5"/>
        <w:numPr>
          <w:ilvl w:val="4"/>
          <w:numId w:val="9"/>
        </w:numPr>
        <w:kinsoku w:val="0"/>
        <w:rPr>
          <w:rFonts w:ascii="Times New Roman" w:hAnsi="Times New Roman"/>
          <w:szCs w:val="32"/>
        </w:rPr>
      </w:pPr>
      <w:r>
        <w:rPr>
          <w:rFonts w:ascii="Times New Roman" w:hAnsi="Times New Roman" w:hint="eastAsia"/>
          <w:szCs w:val="32"/>
        </w:rPr>
        <w:t>臺南市待運用數累計</w:t>
      </w:r>
      <w:r>
        <w:rPr>
          <w:rFonts w:ascii="Times New Roman" w:hAnsi="Times New Roman"/>
          <w:szCs w:val="32"/>
        </w:rPr>
        <w:t>7</w:t>
      </w:r>
      <w:r>
        <w:rPr>
          <w:rFonts w:ascii="Times New Roman" w:hAnsi="Times New Roman" w:hint="eastAsia"/>
          <w:szCs w:val="32"/>
        </w:rPr>
        <w:t>億</w:t>
      </w:r>
      <w:r>
        <w:rPr>
          <w:rFonts w:ascii="Times New Roman" w:hAnsi="Times New Roman"/>
          <w:szCs w:val="32"/>
        </w:rPr>
        <w:t>9</w:t>
      </w:r>
      <w:r>
        <w:rPr>
          <w:rFonts w:ascii="Times New Roman" w:hAnsi="Times New Roman" w:hint="eastAsia"/>
          <w:szCs w:val="32"/>
        </w:rPr>
        <w:t>千萬餘元，占</w:t>
      </w:r>
      <w:r>
        <w:rPr>
          <w:rFonts w:ascii="Times New Roman" w:hAnsi="Times New Roman"/>
          <w:szCs w:val="32"/>
        </w:rPr>
        <w:t>105</w:t>
      </w:r>
      <w:r>
        <w:rPr>
          <w:rFonts w:ascii="Times New Roman" w:hAnsi="Times New Roman" w:hint="eastAsia"/>
          <w:szCs w:val="32"/>
        </w:rPr>
        <w:t>年該市盈餘分配款</w:t>
      </w:r>
      <w:r>
        <w:rPr>
          <w:rFonts w:ascii="Times New Roman" w:hAnsi="Times New Roman"/>
          <w:szCs w:val="32"/>
        </w:rPr>
        <w:t>(9</w:t>
      </w:r>
      <w:r>
        <w:rPr>
          <w:rFonts w:ascii="Times New Roman" w:hAnsi="Times New Roman" w:hint="eastAsia"/>
          <w:szCs w:val="32"/>
        </w:rPr>
        <w:t>億</w:t>
      </w:r>
      <w:r>
        <w:rPr>
          <w:rFonts w:ascii="Times New Roman" w:hAnsi="Times New Roman"/>
          <w:szCs w:val="32"/>
        </w:rPr>
        <w:t>1</w:t>
      </w:r>
      <w:r>
        <w:rPr>
          <w:rFonts w:ascii="Times New Roman" w:hAnsi="Times New Roman" w:hint="eastAsia"/>
          <w:szCs w:val="32"/>
        </w:rPr>
        <w:t>千萬餘元</w:t>
      </w:r>
      <w:r>
        <w:rPr>
          <w:rFonts w:ascii="Times New Roman" w:hAnsi="Times New Roman"/>
          <w:szCs w:val="32"/>
        </w:rPr>
        <w:t>)</w:t>
      </w:r>
      <w:r>
        <w:rPr>
          <w:rFonts w:ascii="Times New Roman" w:hAnsi="Times New Roman" w:hint="eastAsia"/>
          <w:szCs w:val="32"/>
        </w:rPr>
        <w:t>之</w:t>
      </w:r>
      <w:r>
        <w:rPr>
          <w:rFonts w:ascii="Times New Roman" w:hAnsi="Times New Roman"/>
          <w:szCs w:val="32"/>
        </w:rPr>
        <w:t>86.81</w:t>
      </w:r>
      <w:r>
        <w:rPr>
          <w:rFonts w:ascii="Times New Roman" w:hAnsi="Times New Roman" w:hint="eastAsia"/>
          <w:szCs w:val="32"/>
        </w:rPr>
        <w:t>％。</w:t>
      </w:r>
    </w:p>
    <w:p w:rsidR="0040606A" w:rsidRDefault="0040606A" w:rsidP="0040606A">
      <w:pPr>
        <w:pStyle w:val="5"/>
        <w:numPr>
          <w:ilvl w:val="4"/>
          <w:numId w:val="9"/>
        </w:numPr>
        <w:kinsoku w:val="0"/>
        <w:rPr>
          <w:rFonts w:ascii="Times New Roman" w:hAnsi="Times New Roman"/>
        </w:rPr>
      </w:pPr>
      <w:r>
        <w:rPr>
          <w:rFonts w:ascii="Times New Roman" w:hAnsi="Times New Roman" w:hint="eastAsia"/>
          <w:szCs w:val="32"/>
        </w:rPr>
        <w:t>另</w:t>
      </w:r>
      <w:r>
        <w:rPr>
          <w:rFonts w:ascii="Times New Roman" w:hAnsi="Times New Roman"/>
          <w:szCs w:val="32"/>
        </w:rPr>
        <w:t>6</w:t>
      </w:r>
      <w:r>
        <w:rPr>
          <w:rFonts w:ascii="Times New Roman" w:hAnsi="Times New Roman" w:hint="eastAsia"/>
          <w:szCs w:val="32"/>
        </w:rPr>
        <w:t>個直轄市待運用數</w:t>
      </w:r>
      <w:r w:rsidR="005E005C">
        <w:rPr>
          <w:rFonts w:ascii="Times New Roman" w:hAnsi="Times New Roman" w:hint="eastAsia"/>
          <w:szCs w:val="32"/>
        </w:rPr>
        <w:t>合計</w:t>
      </w:r>
      <w:r>
        <w:rPr>
          <w:rFonts w:ascii="Times New Roman" w:hAnsi="Times New Roman"/>
          <w:szCs w:val="32"/>
        </w:rPr>
        <w:t>71</w:t>
      </w:r>
      <w:r>
        <w:rPr>
          <w:rFonts w:ascii="Times New Roman" w:hAnsi="Times New Roman" w:hint="eastAsia"/>
          <w:szCs w:val="32"/>
        </w:rPr>
        <w:t>億</w:t>
      </w:r>
      <w:r>
        <w:rPr>
          <w:rFonts w:ascii="Times New Roman" w:hAnsi="Times New Roman"/>
          <w:szCs w:val="32"/>
        </w:rPr>
        <w:t>4</w:t>
      </w:r>
      <w:r>
        <w:rPr>
          <w:rFonts w:ascii="Times New Roman" w:hAnsi="Times New Roman" w:hint="eastAsia"/>
          <w:szCs w:val="32"/>
        </w:rPr>
        <w:t>千萬餘元，占</w:t>
      </w:r>
      <w:r>
        <w:rPr>
          <w:rFonts w:ascii="Times New Roman" w:hAnsi="Times New Roman"/>
          <w:szCs w:val="32"/>
        </w:rPr>
        <w:t>22</w:t>
      </w:r>
      <w:r>
        <w:rPr>
          <w:rFonts w:ascii="Times New Roman" w:hAnsi="Times New Roman" w:hint="eastAsia"/>
          <w:szCs w:val="32"/>
        </w:rPr>
        <w:t>個地方政府待運用數額</w:t>
      </w:r>
      <w:r>
        <w:rPr>
          <w:rFonts w:ascii="Times New Roman" w:hAnsi="Times New Roman" w:hint="eastAsia"/>
        </w:rPr>
        <w:t>總計</w:t>
      </w:r>
      <w:r>
        <w:rPr>
          <w:rFonts w:ascii="Times New Roman" w:hAnsi="Times New Roman"/>
        </w:rPr>
        <w:t>(159</w:t>
      </w:r>
      <w:r>
        <w:rPr>
          <w:rFonts w:ascii="Times New Roman" w:hAnsi="Times New Roman" w:hint="eastAsia"/>
        </w:rPr>
        <w:t>億</w:t>
      </w:r>
      <w:r>
        <w:rPr>
          <w:rFonts w:ascii="Times New Roman" w:hAnsi="Times New Roman"/>
        </w:rPr>
        <w:t>8</w:t>
      </w:r>
      <w:r>
        <w:rPr>
          <w:rFonts w:ascii="Times New Roman" w:hAnsi="Times New Roman" w:hint="eastAsia"/>
        </w:rPr>
        <w:t>千萬餘元</w:t>
      </w:r>
      <w:r>
        <w:rPr>
          <w:rFonts w:ascii="Times New Roman" w:hAnsi="Times New Roman"/>
          <w:szCs w:val="32"/>
        </w:rPr>
        <w:t>)</w:t>
      </w:r>
      <w:r>
        <w:rPr>
          <w:rFonts w:ascii="Times New Roman" w:hAnsi="Times New Roman" w:hint="eastAsia"/>
          <w:szCs w:val="32"/>
        </w:rPr>
        <w:t>之</w:t>
      </w:r>
      <w:r>
        <w:rPr>
          <w:rFonts w:ascii="Times New Roman" w:hAnsi="Times New Roman"/>
          <w:szCs w:val="32"/>
        </w:rPr>
        <w:t>44.69</w:t>
      </w:r>
      <w:r>
        <w:rPr>
          <w:rFonts w:ascii="Times New Roman" w:hAnsi="Times New Roman" w:hint="eastAsia"/>
          <w:szCs w:val="32"/>
        </w:rPr>
        <w:t>％。</w:t>
      </w:r>
    </w:p>
    <w:p w:rsidR="0040606A" w:rsidRDefault="0040606A" w:rsidP="0040606A">
      <w:pPr>
        <w:pStyle w:val="4"/>
        <w:numPr>
          <w:ilvl w:val="3"/>
          <w:numId w:val="9"/>
        </w:numPr>
        <w:topLinePunct/>
        <w:rPr>
          <w:rFonts w:ascii="Times New Roman" w:hAnsi="Times New Roman"/>
          <w:sz w:val="28"/>
          <w:szCs w:val="28"/>
        </w:rPr>
      </w:pPr>
      <w:r>
        <w:rPr>
          <w:rFonts w:ascii="Times New Roman" w:hAnsi="Times New Roman" w:hint="eastAsia"/>
          <w:szCs w:val="32"/>
        </w:rPr>
        <w:t>其餘</w:t>
      </w:r>
      <w:r>
        <w:rPr>
          <w:rFonts w:ascii="Times New Roman" w:hAnsi="Times New Roman"/>
          <w:szCs w:val="32"/>
        </w:rPr>
        <w:t>16</w:t>
      </w:r>
      <w:r>
        <w:rPr>
          <w:rFonts w:ascii="Times New Roman" w:hAnsi="Times New Roman" w:hint="eastAsia"/>
          <w:szCs w:val="32"/>
        </w:rPr>
        <w:t>個</w:t>
      </w:r>
      <w:r>
        <w:rPr>
          <w:rFonts w:ascii="Times New Roman" w:hAnsi="Times New Roman" w:hint="eastAsia"/>
        </w:rPr>
        <w:t>地方政府</w:t>
      </w:r>
      <w:r>
        <w:rPr>
          <w:rFonts w:ascii="新細明體" w:eastAsia="新細明體" w:hAnsi="新細明體" w:hint="eastAsia"/>
        </w:rPr>
        <w:t>：</w:t>
      </w:r>
    </w:p>
    <w:p w:rsidR="0040606A" w:rsidRDefault="0040606A" w:rsidP="005E005C">
      <w:pPr>
        <w:pStyle w:val="5"/>
        <w:numPr>
          <w:ilvl w:val="4"/>
          <w:numId w:val="9"/>
        </w:numPr>
        <w:topLinePunct/>
        <w:ind w:left="2042" w:hanging="851"/>
        <w:rPr>
          <w:rFonts w:ascii="Times New Roman" w:hAnsi="Times New Roman"/>
          <w:szCs w:val="32"/>
        </w:rPr>
      </w:pPr>
      <w:r>
        <w:rPr>
          <w:rFonts w:ascii="Times New Roman" w:hAnsi="Times New Roman" w:hint="eastAsia"/>
          <w:szCs w:val="32"/>
        </w:rPr>
        <w:t>以南投縣為最多，</w:t>
      </w:r>
      <w:r>
        <w:rPr>
          <w:rFonts w:ascii="Times New Roman" w:hAnsi="Times New Roman" w:hint="eastAsia"/>
        </w:rPr>
        <w:t>待運用數累計</w:t>
      </w:r>
      <w:r w:rsidR="005E005C">
        <w:rPr>
          <w:rFonts w:ascii="Times New Roman" w:hAnsi="Times New Roman" w:hint="eastAsia"/>
        </w:rPr>
        <w:t>達</w:t>
      </w:r>
      <w:r>
        <w:rPr>
          <w:rFonts w:ascii="Times New Roman" w:hAnsi="Times New Roman"/>
        </w:rPr>
        <w:t>9</w:t>
      </w:r>
      <w:r>
        <w:rPr>
          <w:rFonts w:ascii="Times New Roman" w:hAnsi="Times New Roman" w:hint="eastAsia"/>
        </w:rPr>
        <w:t>億</w:t>
      </w:r>
      <w:r>
        <w:rPr>
          <w:rFonts w:ascii="Times New Roman" w:hAnsi="Times New Roman"/>
        </w:rPr>
        <w:t>6</w:t>
      </w:r>
      <w:r>
        <w:rPr>
          <w:rFonts w:ascii="Times New Roman" w:hAnsi="Times New Roman" w:hint="eastAsia"/>
        </w:rPr>
        <w:t>千餘萬元</w:t>
      </w:r>
      <w:r>
        <w:rPr>
          <w:rFonts w:ascii="Times New Roman" w:hAnsi="Times New Roman"/>
        </w:rPr>
        <w:t>(</w:t>
      </w:r>
      <w:r>
        <w:rPr>
          <w:rFonts w:ascii="Times New Roman" w:hAnsi="Times New Roman" w:hint="eastAsia"/>
        </w:rPr>
        <w:t>占</w:t>
      </w:r>
      <w:r>
        <w:rPr>
          <w:rFonts w:ascii="Times New Roman" w:hAnsi="Times New Roman"/>
          <w:szCs w:val="32"/>
        </w:rPr>
        <w:t>105</w:t>
      </w:r>
      <w:r>
        <w:rPr>
          <w:rFonts w:ascii="Times New Roman" w:hAnsi="Times New Roman" w:hint="eastAsia"/>
          <w:szCs w:val="32"/>
        </w:rPr>
        <w:t>年該縣盈餘分配款之</w:t>
      </w:r>
      <w:r>
        <w:rPr>
          <w:rFonts w:ascii="Times New Roman" w:hAnsi="Times New Roman"/>
          <w:szCs w:val="32"/>
        </w:rPr>
        <w:t>213.33</w:t>
      </w:r>
      <w:r>
        <w:rPr>
          <w:rFonts w:hAnsi="標楷體" w:hint="eastAsia"/>
          <w:szCs w:val="32"/>
        </w:rPr>
        <w:t>％，下同</w:t>
      </w:r>
      <w:r>
        <w:rPr>
          <w:rFonts w:ascii="Times New Roman" w:hAnsi="Times New Roman"/>
        </w:rPr>
        <w:t>)</w:t>
      </w:r>
      <w:r>
        <w:rPr>
          <w:rFonts w:ascii="Times New Roman" w:hAnsi="Times New Roman" w:hint="eastAsia"/>
        </w:rPr>
        <w:t>。</w:t>
      </w:r>
    </w:p>
    <w:p w:rsidR="0040606A" w:rsidRDefault="0040606A" w:rsidP="0040606A">
      <w:pPr>
        <w:pStyle w:val="5"/>
        <w:numPr>
          <w:ilvl w:val="4"/>
          <w:numId w:val="9"/>
        </w:numPr>
        <w:kinsoku w:val="0"/>
        <w:rPr>
          <w:rFonts w:ascii="Times New Roman" w:hAnsi="Times New Roman"/>
          <w:szCs w:val="32"/>
        </w:rPr>
      </w:pPr>
      <w:r>
        <w:rPr>
          <w:rFonts w:ascii="Times New Roman" w:hAnsi="Times New Roman" w:hint="eastAsia"/>
        </w:rPr>
        <w:t>其餘</w:t>
      </w:r>
      <w:r>
        <w:rPr>
          <w:rFonts w:ascii="Times New Roman" w:hAnsi="Times New Roman" w:hint="eastAsia"/>
          <w:szCs w:val="32"/>
        </w:rPr>
        <w:t>依序</w:t>
      </w:r>
      <w:r>
        <w:rPr>
          <w:rFonts w:ascii="Times New Roman" w:hAnsi="Times New Roman" w:hint="eastAsia"/>
        </w:rPr>
        <w:t>為：</w:t>
      </w:r>
    </w:p>
    <w:p w:rsidR="0040606A" w:rsidRDefault="0040606A" w:rsidP="0040606A">
      <w:pPr>
        <w:pStyle w:val="6"/>
        <w:numPr>
          <w:ilvl w:val="5"/>
          <w:numId w:val="9"/>
        </w:numPr>
        <w:kinsoku w:val="0"/>
        <w:rPr>
          <w:rFonts w:ascii="Times New Roman" w:hAnsi="Times New Roman"/>
          <w:szCs w:val="32"/>
        </w:rPr>
      </w:pPr>
      <w:r>
        <w:rPr>
          <w:rFonts w:ascii="Times New Roman" w:hAnsi="Times New Roman" w:hint="eastAsia"/>
        </w:rPr>
        <w:t>苗栗縣</w:t>
      </w:r>
      <w:r w:rsidR="005E005C">
        <w:rPr>
          <w:rFonts w:ascii="Times New Roman" w:hAnsi="Times New Roman" w:hint="eastAsia"/>
        </w:rPr>
        <w:t>為</w:t>
      </w:r>
      <w:r>
        <w:rPr>
          <w:rFonts w:ascii="Times New Roman" w:hAnsi="Times New Roman"/>
        </w:rPr>
        <w:t>7</w:t>
      </w:r>
      <w:r>
        <w:rPr>
          <w:rFonts w:ascii="Times New Roman" w:hAnsi="Times New Roman" w:hint="eastAsia"/>
        </w:rPr>
        <w:t>億</w:t>
      </w:r>
      <w:r>
        <w:rPr>
          <w:rFonts w:ascii="Times New Roman" w:hAnsi="Times New Roman"/>
        </w:rPr>
        <w:t>7</w:t>
      </w:r>
      <w:r>
        <w:rPr>
          <w:rFonts w:ascii="Times New Roman" w:hAnsi="Times New Roman" w:hint="eastAsia"/>
        </w:rPr>
        <w:t>千萬餘元</w:t>
      </w:r>
      <w:r>
        <w:rPr>
          <w:rFonts w:ascii="Times New Roman" w:hAnsi="Times New Roman"/>
        </w:rPr>
        <w:t>(</w:t>
      </w:r>
      <w:r>
        <w:rPr>
          <w:rFonts w:ascii="Times New Roman" w:hAnsi="Times New Roman" w:hint="eastAsia"/>
        </w:rPr>
        <w:t>占</w:t>
      </w:r>
      <w:r>
        <w:rPr>
          <w:rFonts w:ascii="Times New Roman" w:hAnsi="Times New Roman"/>
        </w:rPr>
        <w:t>139.55</w:t>
      </w:r>
      <w:r>
        <w:rPr>
          <w:rFonts w:hAnsi="標楷體" w:hint="eastAsia"/>
          <w:szCs w:val="32"/>
        </w:rPr>
        <w:t>％</w:t>
      </w:r>
      <w:r>
        <w:rPr>
          <w:rFonts w:ascii="Times New Roman" w:hAnsi="Times New Roman"/>
        </w:rPr>
        <w:t>)</w:t>
      </w:r>
      <w:r>
        <w:rPr>
          <w:rFonts w:ascii="Times New Roman" w:hAnsi="Times New Roman" w:hint="eastAsia"/>
        </w:rPr>
        <w:t>。</w:t>
      </w:r>
    </w:p>
    <w:p w:rsidR="0040606A" w:rsidRPr="005E005C" w:rsidRDefault="0040606A" w:rsidP="006254F1">
      <w:pPr>
        <w:pStyle w:val="6"/>
        <w:numPr>
          <w:ilvl w:val="5"/>
          <w:numId w:val="9"/>
        </w:numPr>
        <w:kinsoku w:val="0"/>
        <w:rPr>
          <w:rFonts w:ascii="Times New Roman" w:hAnsi="Times New Roman"/>
          <w:szCs w:val="32"/>
        </w:rPr>
      </w:pPr>
      <w:r w:rsidRPr="005E005C">
        <w:rPr>
          <w:rFonts w:ascii="Times New Roman" w:hAnsi="Times New Roman" w:hint="eastAsia"/>
        </w:rPr>
        <w:t>彰化縣</w:t>
      </w:r>
      <w:r w:rsidR="005E005C">
        <w:rPr>
          <w:rFonts w:ascii="Times New Roman" w:hAnsi="Times New Roman" w:hint="eastAsia"/>
        </w:rPr>
        <w:t>為</w:t>
      </w:r>
      <w:r w:rsidRPr="005E005C">
        <w:rPr>
          <w:rFonts w:ascii="Times New Roman" w:hAnsi="Times New Roman"/>
        </w:rPr>
        <w:t>7</w:t>
      </w:r>
      <w:r w:rsidRPr="005E005C">
        <w:rPr>
          <w:rFonts w:ascii="Times New Roman" w:hAnsi="Times New Roman" w:hint="eastAsia"/>
        </w:rPr>
        <w:t>億</w:t>
      </w:r>
      <w:r w:rsidRPr="005E005C">
        <w:rPr>
          <w:rFonts w:ascii="Times New Roman" w:hAnsi="Times New Roman"/>
        </w:rPr>
        <w:t>6</w:t>
      </w:r>
      <w:r w:rsidRPr="005E005C">
        <w:rPr>
          <w:rFonts w:ascii="Times New Roman" w:hAnsi="Times New Roman" w:hint="eastAsia"/>
        </w:rPr>
        <w:t>千萬餘元</w:t>
      </w:r>
      <w:r w:rsidRPr="005E005C">
        <w:rPr>
          <w:rFonts w:ascii="Times New Roman" w:hAnsi="Times New Roman"/>
        </w:rPr>
        <w:t>(</w:t>
      </w:r>
      <w:r w:rsidRPr="005E005C">
        <w:rPr>
          <w:rFonts w:ascii="Times New Roman" w:hAnsi="Times New Roman" w:hint="eastAsia"/>
        </w:rPr>
        <w:t>占</w:t>
      </w:r>
      <w:r w:rsidRPr="005E005C">
        <w:rPr>
          <w:rFonts w:ascii="Times New Roman" w:hAnsi="Times New Roman"/>
        </w:rPr>
        <w:t>179.07</w:t>
      </w:r>
      <w:r w:rsidRPr="005E005C">
        <w:rPr>
          <w:rFonts w:hAnsi="標楷體" w:hint="eastAsia"/>
          <w:szCs w:val="32"/>
        </w:rPr>
        <w:t>％</w:t>
      </w:r>
      <w:r w:rsidRPr="005E005C">
        <w:rPr>
          <w:rFonts w:ascii="Times New Roman" w:hAnsi="Times New Roman"/>
        </w:rPr>
        <w:t>)</w:t>
      </w:r>
      <w:r w:rsidRPr="005E005C">
        <w:rPr>
          <w:rFonts w:ascii="Times New Roman" w:hAnsi="Times New Roman" w:hint="eastAsia"/>
        </w:rPr>
        <w:t>。</w:t>
      </w:r>
    </w:p>
    <w:p w:rsidR="0040606A" w:rsidRDefault="0040606A" w:rsidP="0040606A">
      <w:pPr>
        <w:pStyle w:val="6"/>
        <w:numPr>
          <w:ilvl w:val="5"/>
          <w:numId w:val="9"/>
        </w:numPr>
        <w:kinsoku w:val="0"/>
        <w:rPr>
          <w:rFonts w:ascii="Times New Roman" w:hAnsi="Times New Roman"/>
          <w:szCs w:val="32"/>
        </w:rPr>
      </w:pPr>
      <w:r>
        <w:rPr>
          <w:rFonts w:ascii="Times New Roman" w:hAnsi="Times New Roman" w:hint="eastAsia"/>
        </w:rPr>
        <w:t>雲林縣</w:t>
      </w:r>
      <w:r w:rsidR="005E005C">
        <w:rPr>
          <w:rFonts w:ascii="Times New Roman" w:hAnsi="Times New Roman" w:hint="eastAsia"/>
        </w:rPr>
        <w:t>為</w:t>
      </w:r>
      <w:r>
        <w:rPr>
          <w:rFonts w:ascii="Times New Roman" w:hAnsi="Times New Roman"/>
        </w:rPr>
        <w:t>7</w:t>
      </w:r>
      <w:r>
        <w:rPr>
          <w:rFonts w:ascii="Times New Roman" w:hAnsi="Times New Roman" w:hint="eastAsia"/>
        </w:rPr>
        <w:t>億</w:t>
      </w:r>
      <w:r>
        <w:rPr>
          <w:rFonts w:ascii="Times New Roman" w:hAnsi="Times New Roman"/>
        </w:rPr>
        <w:t>5</w:t>
      </w:r>
      <w:r>
        <w:rPr>
          <w:rFonts w:ascii="Times New Roman" w:hAnsi="Times New Roman" w:hint="eastAsia"/>
        </w:rPr>
        <w:t>千萬餘元</w:t>
      </w:r>
      <w:r>
        <w:rPr>
          <w:rFonts w:ascii="Times New Roman" w:hAnsi="Times New Roman"/>
        </w:rPr>
        <w:t>(</w:t>
      </w:r>
      <w:r>
        <w:rPr>
          <w:rFonts w:ascii="Times New Roman" w:hAnsi="Times New Roman" w:hint="eastAsia"/>
        </w:rPr>
        <w:t>占</w:t>
      </w:r>
      <w:r>
        <w:rPr>
          <w:rFonts w:ascii="Times New Roman" w:hAnsi="Times New Roman"/>
          <w:szCs w:val="32"/>
        </w:rPr>
        <w:t>153.06</w:t>
      </w:r>
      <w:r>
        <w:rPr>
          <w:rFonts w:hAnsi="標楷體" w:hint="eastAsia"/>
          <w:szCs w:val="32"/>
        </w:rPr>
        <w:t>％</w:t>
      </w:r>
      <w:r>
        <w:rPr>
          <w:rFonts w:ascii="Times New Roman" w:hAnsi="Times New Roman"/>
        </w:rPr>
        <w:t>)</w:t>
      </w:r>
      <w:r>
        <w:rPr>
          <w:rFonts w:ascii="Times New Roman" w:hAnsi="Times New Roman" w:hint="eastAsia"/>
        </w:rPr>
        <w:t>。</w:t>
      </w:r>
    </w:p>
    <w:p w:rsidR="0040606A" w:rsidRDefault="0040606A" w:rsidP="0040606A">
      <w:pPr>
        <w:pStyle w:val="6"/>
        <w:numPr>
          <w:ilvl w:val="5"/>
          <w:numId w:val="9"/>
        </w:numPr>
        <w:kinsoku w:val="0"/>
        <w:rPr>
          <w:rFonts w:ascii="Times New Roman" w:hAnsi="Times New Roman"/>
          <w:szCs w:val="32"/>
        </w:rPr>
      </w:pPr>
      <w:r>
        <w:rPr>
          <w:rFonts w:ascii="Times New Roman" w:hAnsi="Times New Roman" w:hint="eastAsia"/>
        </w:rPr>
        <w:t>屏東縣</w:t>
      </w:r>
      <w:r w:rsidR="005E005C">
        <w:rPr>
          <w:rFonts w:ascii="Times New Roman" w:hAnsi="Times New Roman" w:hint="eastAsia"/>
        </w:rPr>
        <w:t>為</w:t>
      </w:r>
      <w:r>
        <w:rPr>
          <w:rFonts w:ascii="Times New Roman" w:hAnsi="Times New Roman"/>
        </w:rPr>
        <w:t>7</w:t>
      </w:r>
      <w:r>
        <w:rPr>
          <w:rFonts w:ascii="Times New Roman" w:hAnsi="Times New Roman" w:hint="eastAsia"/>
        </w:rPr>
        <w:t>億餘元</w:t>
      </w:r>
      <w:r>
        <w:rPr>
          <w:rFonts w:ascii="Times New Roman" w:hAnsi="Times New Roman"/>
        </w:rPr>
        <w:t>(125.00</w:t>
      </w:r>
      <w:r>
        <w:rPr>
          <w:rFonts w:hAnsi="標楷體" w:hint="eastAsia"/>
          <w:szCs w:val="32"/>
        </w:rPr>
        <w:t>％</w:t>
      </w:r>
      <w:r>
        <w:rPr>
          <w:rFonts w:ascii="Times New Roman" w:hAnsi="Times New Roman"/>
        </w:rPr>
        <w:t>)</w:t>
      </w:r>
      <w:r>
        <w:rPr>
          <w:rFonts w:ascii="Times New Roman" w:hAnsi="Times New Roman" w:hint="eastAsia"/>
        </w:rPr>
        <w:t>。</w:t>
      </w:r>
    </w:p>
    <w:p w:rsidR="0040606A" w:rsidRDefault="0040606A" w:rsidP="0040606A">
      <w:pPr>
        <w:pStyle w:val="6"/>
        <w:numPr>
          <w:ilvl w:val="5"/>
          <w:numId w:val="9"/>
        </w:numPr>
        <w:kinsoku w:val="0"/>
        <w:rPr>
          <w:rFonts w:ascii="Times New Roman" w:hAnsi="Times New Roman"/>
          <w:szCs w:val="32"/>
        </w:rPr>
      </w:pPr>
      <w:r>
        <w:rPr>
          <w:rFonts w:ascii="Times New Roman" w:hAnsi="Times New Roman" w:hint="eastAsia"/>
        </w:rPr>
        <w:t>最少為金門縣</w:t>
      </w:r>
      <w:r w:rsidR="006254F1">
        <w:rPr>
          <w:rFonts w:ascii="Times New Roman" w:hAnsi="Times New Roman" w:hint="eastAsia"/>
        </w:rPr>
        <w:t>之</w:t>
      </w:r>
      <w:r>
        <w:rPr>
          <w:rFonts w:ascii="Times New Roman" w:hAnsi="Times New Roman"/>
        </w:rPr>
        <w:t>2</w:t>
      </w:r>
      <w:r>
        <w:rPr>
          <w:rFonts w:ascii="Times New Roman" w:hAnsi="Times New Roman" w:hint="eastAsia"/>
        </w:rPr>
        <w:t>億餘元</w:t>
      </w:r>
      <w:r>
        <w:rPr>
          <w:rFonts w:ascii="Times New Roman" w:hAnsi="Times New Roman"/>
        </w:rPr>
        <w:t>(</w:t>
      </w:r>
      <w:r>
        <w:rPr>
          <w:rFonts w:ascii="Times New Roman" w:hAnsi="Times New Roman" w:hint="eastAsia"/>
        </w:rPr>
        <w:t>占</w:t>
      </w:r>
      <w:r>
        <w:rPr>
          <w:rFonts w:ascii="Times New Roman" w:hAnsi="Times New Roman"/>
          <w:szCs w:val="32"/>
        </w:rPr>
        <w:t>125.00</w:t>
      </w:r>
      <w:r>
        <w:rPr>
          <w:rFonts w:hAnsi="標楷體" w:hint="eastAsia"/>
          <w:szCs w:val="32"/>
        </w:rPr>
        <w:t>％</w:t>
      </w:r>
      <w:r>
        <w:rPr>
          <w:rFonts w:ascii="Times New Roman" w:hAnsi="Times New Roman"/>
        </w:rPr>
        <w:t>)</w:t>
      </w:r>
      <w:r>
        <w:rPr>
          <w:rFonts w:ascii="Times New Roman" w:hAnsi="Times New Roman" w:hint="eastAsia"/>
        </w:rPr>
        <w:t>。</w:t>
      </w:r>
    </w:p>
    <w:p w:rsidR="0040606A" w:rsidRDefault="0040606A" w:rsidP="0040606A">
      <w:pPr>
        <w:pStyle w:val="5"/>
        <w:numPr>
          <w:ilvl w:val="4"/>
          <w:numId w:val="9"/>
        </w:numPr>
        <w:kinsoku w:val="0"/>
        <w:rPr>
          <w:rFonts w:ascii="Times New Roman" w:hAnsi="Times New Roman"/>
          <w:b/>
        </w:rPr>
      </w:pPr>
      <w:r>
        <w:rPr>
          <w:rFonts w:ascii="Times New Roman" w:hAnsi="Times New Roman" w:hint="eastAsia"/>
        </w:rPr>
        <w:t>另</w:t>
      </w:r>
      <w:r>
        <w:rPr>
          <w:rFonts w:ascii="Times New Roman" w:hAnsi="Times New Roman"/>
          <w:szCs w:val="32"/>
        </w:rPr>
        <w:t>16</w:t>
      </w:r>
      <w:r>
        <w:rPr>
          <w:rFonts w:ascii="Times New Roman" w:hAnsi="Times New Roman" w:hint="eastAsia"/>
          <w:szCs w:val="32"/>
        </w:rPr>
        <w:t>個縣市</w:t>
      </w:r>
      <w:r w:rsidR="006254F1">
        <w:rPr>
          <w:rFonts w:ascii="Times New Roman" w:hAnsi="Times New Roman" w:hint="eastAsia"/>
          <w:szCs w:val="32"/>
        </w:rPr>
        <w:t>待運用數合計</w:t>
      </w:r>
      <w:r>
        <w:rPr>
          <w:rFonts w:ascii="Times New Roman" w:hAnsi="Times New Roman"/>
        </w:rPr>
        <w:t>88</w:t>
      </w:r>
      <w:r>
        <w:rPr>
          <w:rFonts w:ascii="Times New Roman" w:hAnsi="Times New Roman" w:hint="eastAsia"/>
        </w:rPr>
        <w:t>億</w:t>
      </w:r>
      <w:r>
        <w:rPr>
          <w:rFonts w:ascii="Times New Roman" w:hAnsi="Times New Roman"/>
        </w:rPr>
        <w:t>3</w:t>
      </w:r>
      <w:r>
        <w:rPr>
          <w:rFonts w:ascii="Times New Roman" w:hAnsi="Times New Roman" w:hint="eastAsia"/>
        </w:rPr>
        <w:t>千萬餘元，</w:t>
      </w:r>
      <w:r w:rsidR="006254F1">
        <w:rPr>
          <w:rFonts w:ascii="Times New Roman" w:hAnsi="Times New Roman" w:hint="eastAsia"/>
          <w:szCs w:val="32"/>
        </w:rPr>
        <w:t>占</w:t>
      </w:r>
      <w:r w:rsidR="006254F1">
        <w:rPr>
          <w:rFonts w:ascii="Times New Roman" w:hAnsi="Times New Roman"/>
          <w:szCs w:val="32"/>
        </w:rPr>
        <w:t>22</w:t>
      </w:r>
      <w:r w:rsidR="006254F1">
        <w:rPr>
          <w:rFonts w:ascii="Times New Roman" w:hAnsi="Times New Roman" w:hint="eastAsia"/>
          <w:szCs w:val="32"/>
        </w:rPr>
        <w:t>個地方政府待運用數額</w:t>
      </w:r>
      <w:r w:rsidR="006254F1">
        <w:rPr>
          <w:rFonts w:ascii="Times New Roman" w:hAnsi="Times New Roman" w:hint="eastAsia"/>
        </w:rPr>
        <w:t>總計</w:t>
      </w:r>
      <w:r>
        <w:rPr>
          <w:rFonts w:ascii="Times New Roman" w:hAnsi="Times New Roman"/>
        </w:rPr>
        <w:t>(159</w:t>
      </w:r>
      <w:r>
        <w:rPr>
          <w:rFonts w:ascii="Times New Roman" w:hAnsi="Times New Roman" w:hint="eastAsia"/>
        </w:rPr>
        <w:t>億</w:t>
      </w:r>
      <w:r>
        <w:rPr>
          <w:rFonts w:ascii="Times New Roman" w:hAnsi="Times New Roman"/>
        </w:rPr>
        <w:t>8</w:t>
      </w:r>
      <w:r>
        <w:rPr>
          <w:rFonts w:ascii="Times New Roman" w:hAnsi="Times New Roman" w:hint="eastAsia"/>
          <w:szCs w:val="32"/>
        </w:rPr>
        <w:t>千萬餘</w:t>
      </w:r>
      <w:r>
        <w:rPr>
          <w:rFonts w:ascii="Times New Roman" w:hAnsi="Times New Roman" w:hint="eastAsia"/>
        </w:rPr>
        <w:t>元</w:t>
      </w:r>
      <w:r>
        <w:rPr>
          <w:rFonts w:ascii="Times New Roman" w:hAnsi="Times New Roman"/>
          <w:szCs w:val="32"/>
        </w:rPr>
        <w:t>)</w:t>
      </w:r>
      <w:r>
        <w:rPr>
          <w:rFonts w:ascii="Times New Roman" w:hAnsi="Times New Roman" w:hint="eastAsia"/>
          <w:szCs w:val="32"/>
        </w:rPr>
        <w:t>之</w:t>
      </w:r>
      <w:r>
        <w:rPr>
          <w:rFonts w:ascii="Times New Roman" w:hAnsi="Times New Roman"/>
          <w:szCs w:val="32"/>
        </w:rPr>
        <w:t>55.31</w:t>
      </w:r>
      <w:r>
        <w:rPr>
          <w:rFonts w:ascii="Times New Roman" w:hAnsi="Times New Roman" w:hint="eastAsia"/>
          <w:szCs w:val="32"/>
        </w:rPr>
        <w:t>％。</w:t>
      </w:r>
    </w:p>
    <w:p w:rsidR="0040606A" w:rsidRPr="001432C3" w:rsidRDefault="0040606A" w:rsidP="00BF563B">
      <w:pPr>
        <w:pStyle w:val="3"/>
        <w:numPr>
          <w:ilvl w:val="2"/>
          <w:numId w:val="9"/>
        </w:numPr>
        <w:kinsoku w:val="0"/>
        <w:ind w:left="1360" w:hanging="680"/>
        <w:rPr>
          <w:rFonts w:ascii="Times New Roman" w:hAnsi="Times New Roman"/>
        </w:rPr>
      </w:pPr>
      <w:bookmarkStart w:id="1787" w:name="_Toc507073001"/>
      <w:bookmarkStart w:id="1788" w:name="_Toc507163245"/>
      <w:bookmarkStart w:id="1789" w:name="_Toc507163497"/>
      <w:bookmarkStart w:id="1790" w:name="_Toc507168700"/>
      <w:bookmarkStart w:id="1791" w:name="_Toc507491625"/>
      <w:bookmarkStart w:id="1792" w:name="_Toc507518642"/>
      <w:bookmarkStart w:id="1793" w:name="_Toc507767731"/>
      <w:bookmarkStart w:id="1794" w:name="_Toc507768457"/>
      <w:bookmarkStart w:id="1795" w:name="_Toc511115453"/>
      <w:bookmarkStart w:id="1796" w:name="_Toc511308243"/>
      <w:bookmarkStart w:id="1797" w:name="_Toc511998686"/>
      <w:bookmarkStart w:id="1798" w:name="_Toc512421043"/>
      <w:bookmarkEnd w:id="1780"/>
      <w:bookmarkEnd w:id="1781"/>
      <w:bookmarkEnd w:id="1782"/>
      <w:bookmarkEnd w:id="1783"/>
      <w:bookmarkEnd w:id="1784"/>
      <w:bookmarkEnd w:id="1785"/>
      <w:bookmarkEnd w:id="1786"/>
      <w:bookmarkEnd w:id="1787"/>
      <w:bookmarkEnd w:id="1788"/>
      <w:bookmarkEnd w:id="1789"/>
      <w:bookmarkEnd w:id="1790"/>
      <w:r w:rsidRPr="001432C3">
        <w:rPr>
          <w:rFonts w:ascii="Times New Roman" w:hAnsi="Times New Roman" w:hint="eastAsia"/>
        </w:rPr>
        <w:t>依據審計部查核意見指出略以：從各縣市或依累計待運用數占盈餘分配數百分比，或各年度基金用途占基金來源比率、期末基金餘額等項目與前一年度或近幾年同期間或其他</w:t>
      </w:r>
      <w:r w:rsidRPr="001432C3">
        <w:rPr>
          <w:rFonts w:hint="eastAsia"/>
        </w:rPr>
        <w:t>鄰近</w:t>
      </w:r>
      <w:r w:rsidRPr="001432C3">
        <w:rPr>
          <w:rFonts w:ascii="Times New Roman" w:hAnsi="Times New Roman" w:hint="eastAsia"/>
        </w:rPr>
        <w:t>縣市等綜合評估後，部分縣市公益彩券盈餘分配款累計待運用數額偏高，包括：新北市、臺中市、基隆市、宜蘭縣、新竹縣、新竹市、苗栗縣、南投縣、彰化縣、雲林縣、嘉義縣、金門縣、花蓮縣、澎湖縣、連江縣等</w:t>
      </w:r>
      <w:r w:rsidRPr="001432C3">
        <w:rPr>
          <w:rFonts w:ascii="Times New Roman" w:hAnsi="Times New Roman"/>
        </w:rPr>
        <w:t>15</w:t>
      </w:r>
      <w:r w:rsidRPr="001432C3">
        <w:rPr>
          <w:rFonts w:ascii="Times New Roman" w:hAnsi="Times New Roman" w:hint="eastAsia"/>
        </w:rPr>
        <w:t>個</w:t>
      </w:r>
      <w:r w:rsidR="00BF563B" w:rsidRPr="001432C3">
        <w:rPr>
          <w:rFonts w:ascii="Times New Roman" w:hAnsi="Times New Roman" w:hint="eastAsia"/>
        </w:rPr>
        <w:t>縣市</w:t>
      </w:r>
      <w:r w:rsidRPr="001432C3">
        <w:rPr>
          <w:rFonts w:ascii="Times New Roman" w:hAnsi="Times New Roman" w:hint="eastAsia"/>
        </w:rPr>
        <w:t>，有待中央主管機關持續研謀具體良策，俾改善各地方政府普遍具有高額累積待運用數額之情況</w:t>
      </w:r>
      <w:r w:rsidR="00BF563B" w:rsidRPr="001432C3">
        <w:rPr>
          <w:rFonts w:ascii="Times New Roman" w:hAnsi="Times New Roman" w:hint="eastAsia"/>
        </w:rPr>
        <w:t>等語</w:t>
      </w:r>
      <w:r w:rsidRPr="001432C3">
        <w:rPr>
          <w:rFonts w:ascii="Times New Roman" w:hAnsi="Times New Roman" w:hint="eastAsia"/>
        </w:rPr>
        <w:t>。</w:t>
      </w:r>
      <w:bookmarkEnd w:id="1791"/>
      <w:bookmarkEnd w:id="1792"/>
      <w:bookmarkEnd w:id="1793"/>
      <w:bookmarkEnd w:id="1794"/>
      <w:bookmarkEnd w:id="1795"/>
      <w:bookmarkEnd w:id="1796"/>
      <w:bookmarkEnd w:id="1797"/>
      <w:bookmarkEnd w:id="1798"/>
    </w:p>
    <w:p w:rsidR="0040606A" w:rsidRPr="00E36E9F" w:rsidRDefault="0040606A" w:rsidP="0040606A">
      <w:pPr>
        <w:pStyle w:val="3"/>
        <w:numPr>
          <w:ilvl w:val="2"/>
          <w:numId w:val="9"/>
        </w:numPr>
        <w:kinsoku w:val="0"/>
        <w:ind w:left="1360" w:hanging="680"/>
        <w:rPr>
          <w:rFonts w:ascii="Times New Roman" w:hAnsi="Times New Roman"/>
          <w:spacing w:val="-2"/>
        </w:rPr>
      </w:pPr>
      <w:bookmarkStart w:id="1799" w:name="_Toc507518643"/>
      <w:bookmarkStart w:id="1800" w:name="_Toc507491626"/>
      <w:bookmarkStart w:id="1801" w:name="_Toc507767732"/>
      <w:bookmarkStart w:id="1802" w:name="_Toc507768458"/>
      <w:bookmarkStart w:id="1803" w:name="_Toc511115454"/>
      <w:bookmarkStart w:id="1804" w:name="_Toc511308244"/>
      <w:bookmarkStart w:id="1805" w:name="_Toc511998687"/>
      <w:bookmarkStart w:id="1806" w:name="_Toc512421044"/>
      <w:r w:rsidRPr="00E36E9F">
        <w:rPr>
          <w:rFonts w:ascii="Times New Roman" w:hAnsi="Times New Roman" w:hint="eastAsia"/>
          <w:spacing w:val="-2"/>
        </w:rPr>
        <w:t>查財政部為強化</w:t>
      </w:r>
      <w:r w:rsidR="00E36E9F" w:rsidRPr="00E36E9F">
        <w:rPr>
          <w:rFonts w:ascii="Times New Roman" w:hAnsi="Times New Roman" w:hint="eastAsia"/>
          <w:spacing w:val="-2"/>
        </w:rPr>
        <w:t>各</w:t>
      </w:r>
      <w:r w:rsidRPr="00E36E9F">
        <w:rPr>
          <w:rFonts w:ascii="Times New Roman" w:hAnsi="Times New Roman" w:hint="eastAsia"/>
          <w:spacing w:val="-2"/>
        </w:rPr>
        <w:t>地方</w:t>
      </w:r>
      <w:r w:rsidR="00E36E9F" w:rsidRPr="00E36E9F">
        <w:rPr>
          <w:rFonts w:ascii="Times New Roman" w:hAnsi="Times New Roman" w:hint="eastAsia"/>
          <w:spacing w:val="-2"/>
        </w:rPr>
        <w:t>政府對於</w:t>
      </w:r>
      <w:r w:rsidRPr="00E36E9F">
        <w:rPr>
          <w:rFonts w:ascii="Times New Roman" w:hAnsi="Times New Roman" w:hint="eastAsia"/>
          <w:spacing w:val="-2"/>
        </w:rPr>
        <w:t>公益彩券盈餘待運用數之運用，自</w:t>
      </w:r>
      <w:r w:rsidRPr="00E36E9F">
        <w:rPr>
          <w:rFonts w:ascii="Times New Roman" w:hAnsi="Times New Roman"/>
          <w:spacing w:val="-2"/>
        </w:rPr>
        <w:t>102</w:t>
      </w:r>
      <w:r w:rsidRPr="00E36E9F">
        <w:rPr>
          <w:rFonts w:ascii="Times New Roman" w:hAnsi="Times New Roman" w:hint="eastAsia"/>
          <w:spacing w:val="-2"/>
        </w:rPr>
        <w:t>年逐年提高考核配分如下</w:t>
      </w:r>
      <w:r w:rsidR="00C121DF" w:rsidRPr="00E36E9F">
        <w:rPr>
          <w:rFonts w:ascii="Times New Roman" w:hAnsi="Times New Roman" w:hint="eastAsia"/>
          <w:spacing w:val="-2"/>
        </w:rPr>
        <w:t>表</w:t>
      </w:r>
      <w:r w:rsidR="00E36E9F" w:rsidRPr="00E36E9F">
        <w:rPr>
          <w:rFonts w:ascii="Times New Roman" w:hAnsi="Times New Roman" w:hint="eastAsia"/>
          <w:spacing w:val="-2"/>
        </w:rPr>
        <w:t>15</w:t>
      </w:r>
      <w:r w:rsidRPr="00E36E9F">
        <w:rPr>
          <w:rFonts w:ascii="Times New Roman" w:hAnsi="Times New Roman" w:hint="eastAsia"/>
          <w:spacing w:val="-2"/>
        </w:rPr>
        <w:t>：</w:t>
      </w:r>
      <w:bookmarkEnd w:id="1799"/>
      <w:bookmarkEnd w:id="1800"/>
      <w:bookmarkEnd w:id="1801"/>
      <w:bookmarkEnd w:id="1802"/>
      <w:bookmarkEnd w:id="1803"/>
      <w:bookmarkEnd w:id="1804"/>
      <w:bookmarkEnd w:id="1805"/>
      <w:bookmarkEnd w:id="1806"/>
    </w:p>
    <w:p w:rsidR="00E36E9F" w:rsidRPr="00016B23" w:rsidRDefault="00E36E9F" w:rsidP="00E36E9F">
      <w:pPr>
        <w:pStyle w:val="a3"/>
        <w:numPr>
          <w:ilvl w:val="0"/>
          <w:numId w:val="34"/>
        </w:numPr>
        <w:spacing w:before="120" w:after="0"/>
        <w:ind w:left="2212" w:rightChars="-5" w:right="-17" w:hanging="910"/>
        <w:textAlignment w:val="auto"/>
        <w:rPr>
          <w:rFonts w:ascii="Times New Roman" w:hAnsi="Times New Roman"/>
          <w:b/>
          <w:spacing w:val="0"/>
        </w:rPr>
      </w:pPr>
      <w:r w:rsidRPr="00016B23">
        <w:rPr>
          <w:rFonts w:ascii="Times New Roman" w:hAnsi="Times New Roman" w:hint="eastAsia"/>
          <w:b/>
          <w:spacing w:val="-6"/>
        </w:rPr>
        <w:t>財政部自</w:t>
      </w:r>
      <w:r w:rsidRPr="00016B23">
        <w:rPr>
          <w:rFonts w:ascii="Times New Roman" w:hAnsi="Times New Roman"/>
          <w:b/>
          <w:spacing w:val="-6"/>
        </w:rPr>
        <w:t>102</w:t>
      </w:r>
      <w:r w:rsidRPr="00016B23">
        <w:rPr>
          <w:rFonts w:ascii="Times New Roman" w:hAnsi="Times New Roman" w:hint="eastAsia"/>
          <w:b/>
          <w:spacing w:val="-6"/>
        </w:rPr>
        <w:t>年對地方公益彩券盈餘待運用數之運用逐年</w:t>
      </w:r>
      <w:r w:rsidRPr="00016B23">
        <w:rPr>
          <w:rFonts w:ascii="Times New Roman" w:hAnsi="Times New Roman" w:hint="eastAsia"/>
          <w:b/>
          <w:spacing w:val="0"/>
        </w:rPr>
        <w:t>提高考核配分一覽表</w:t>
      </w:r>
    </w:p>
    <w:tbl>
      <w:tblPr>
        <w:tblStyle w:val="afb"/>
        <w:tblW w:w="7559" w:type="dxa"/>
        <w:tblInd w:w="14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17"/>
        <w:gridCol w:w="2744"/>
        <w:gridCol w:w="2898"/>
      </w:tblGrid>
      <w:tr w:rsidR="0040606A" w:rsidTr="00E36E9F">
        <w:trPr>
          <w:tblHeader/>
        </w:trPr>
        <w:tc>
          <w:tcPr>
            <w:tcW w:w="1917"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A627AA">
            <w:pPr>
              <w:pStyle w:val="3"/>
              <w:numPr>
                <w:ilvl w:val="0"/>
                <w:numId w:val="0"/>
              </w:numPr>
              <w:kinsoku w:val="0"/>
              <w:spacing w:line="340" w:lineRule="exact"/>
              <w:jc w:val="center"/>
              <w:rPr>
                <w:rFonts w:ascii="Times New Roman" w:hAnsi="Times New Roman"/>
                <w:color w:val="000000" w:themeColor="text1"/>
                <w:sz w:val="28"/>
                <w:szCs w:val="28"/>
              </w:rPr>
            </w:pPr>
            <w:bookmarkStart w:id="1807" w:name="_Toc507767733"/>
            <w:bookmarkStart w:id="1808" w:name="_Toc507768459"/>
            <w:bookmarkStart w:id="1809" w:name="_Toc511115455"/>
            <w:bookmarkStart w:id="1810" w:name="_Toc511308245"/>
            <w:bookmarkStart w:id="1811" w:name="_Toc511998688"/>
            <w:bookmarkStart w:id="1812" w:name="_Toc512421045"/>
            <w:r>
              <w:rPr>
                <w:rFonts w:ascii="Times New Roman" w:hAnsi="Times New Roman" w:hint="eastAsia"/>
                <w:color w:val="000000" w:themeColor="text1"/>
                <w:sz w:val="28"/>
                <w:szCs w:val="28"/>
              </w:rPr>
              <w:t>年度</w:t>
            </w:r>
            <w:bookmarkEnd w:id="1807"/>
            <w:bookmarkEnd w:id="1808"/>
            <w:bookmarkEnd w:id="1809"/>
            <w:bookmarkEnd w:id="1810"/>
            <w:bookmarkEnd w:id="1811"/>
            <w:bookmarkEnd w:id="1812"/>
          </w:p>
        </w:tc>
        <w:tc>
          <w:tcPr>
            <w:tcW w:w="2744"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A627AA">
            <w:pPr>
              <w:spacing w:line="340" w:lineRule="exact"/>
              <w:jc w:val="center"/>
              <w:rPr>
                <w:rFonts w:ascii="Times New Roman"/>
                <w:color w:val="000000" w:themeColor="text1"/>
                <w:sz w:val="28"/>
                <w:szCs w:val="28"/>
              </w:rPr>
            </w:pPr>
            <w:r>
              <w:rPr>
                <w:rFonts w:ascii="Times New Roman" w:hint="eastAsia"/>
                <w:color w:val="000000" w:themeColor="text1"/>
                <w:sz w:val="28"/>
                <w:szCs w:val="28"/>
              </w:rPr>
              <w:t>累計賸餘款</w:t>
            </w:r>
          </w:p>
          <w:p w:rsidR="0040606A" w:rsidRDefault="0040606A" w:rsidP="00A627AA">
            <w:pPr>
              <w:spacing w:line="340" w:lineRule="exact"/>
              <w:jc w:val="center"/>
              <w:rPr>
                <w:rFonts w:ascii="Times New Roman"/>
                <w:color w:val="000000" w:themeColor="text1"/>
                <w:sz w:val="28"/>
                <w:szCs w:val="28"/>
              </w:rPr>
            </w:pPr>
            <w:r>
              <w:rPr>
                <w:rFonts w:ascii="Times New Roman" w:hint="eastAsia"/>
                <w:color w:val="000000" w:themeColor="text1"/>
                <w:sz w:val="28"/>
                <w:szCs w:val="28"/>
              </w:rPr>
              <w:t>運用比率</w:t>
            </w:r>
            <w:r>
              <w:rPr>
                <w:rFonts w:ascii="Times New Roman"/>
                <w:color w:val="000000" w:themeColor="text1"/>
                <w:sz w:val="28"/>
                <w:szCs w:val="28"/>
              </w:rPr>
              <w:t>(%)</w:t>
            </w:r>
          </w:p>
        </w:tc>
        <w:tc>
          <w:tcPr>
            <w:tcW w:w="2898"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A627AA">
            <w:pPr>
              <w:spacing w:line="340" w:lineRule="exact"/>
              <w:jc w:val="center"/>
              <w:rPr>
                <w:rFonts w:ascii="Times New Roman"/>
                <w:color w:val="000000" w:themeColor="text1"/>
                <w:sz w:val="28"/>
                <w:szCs w:val="28"/>
              </w:rPr>
            </w:pPr>
            <w:r>
              <w:rPr>
                <w:rFonts w:ascii="Times New Roman" w:hint="eastAsia"/>
                <w:color w:val="000000" w:themeColor="text1"/>
                <w:sz w:val="28"/>
                <w:szCs w:val="28"/>
              </w:rPr>
              <w:t>考核配分</w:t>
            </w:r>
          </w:p>
          <w:p w:rsidR="0040606A" w:rsidRDefault="0040606A" w:rsidP="00A627AA">
            <w:pPr>
              <w:spacing w:line="340" w:lineRule="exact"/>
              <w:jc w:val="center"/>
              <w:rPr>
                <w:rFonts w:ascii="Times New Roman"/>
                <w:color w:val="000000" w:themeColor="text1"/>
                <w:sz w:val="28"/>
                <w:szCs w:val="28"/>
              </w:rPr>
            </w:pPr>
            <w:r>
              <w:rPr>
                <w:rFonts w:ascii="Times New Roman"/>
                <w:color w:val="000000" w:themeColor="text1"/>
                <w:sz w:val="28"/>
                <w:szCs w:val="28"/>
              </w:rPr>
              <w:t>(</w:t>
            </w:r>
            <w:r>
              <w:rPr>
                <w:rFonts w:ascii="Times New Roman" w:hint="eastAsia"/>
                <w:color w:val="000000" w:themeColor="text1"/>
                <w:sz w:val="28"/>
                <w:szCs w:val="28"/>
              </w:rPr>
              <w:t>分</w:t>
            </w:r>
            <w:r>
              <w:rPr>
                <w:rFonts w:ascii="Times New Roman"/>
                <w:color w:val="000000" w:themeColor="text1"/>
                <w:sz w:val="28"/>
                <w:szCs w:val="28"/>
              </w:rPr>
              <w:t>)</w:t>
            </w:r>
          </w:p>
        </w:tc>
      </w:tr>
      <w:tr w:rsidR="0040606A" w:rsidTr="00C055EF">
        <w:tc>
          <w:tcPr>
            <w:tcW w:w="1917"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A627AA">
            <w:pPr>
              <w:kinsoku w:val="0"/>
              <w:spacing w:line="340" w:lineRule="exact"/>
              <w:jc w:val="center"/>
              <w:rPr>
                <w:rFonts w:ascii="Times New Roman"/>
                <w:color w:val="000000" w:themeColor="text1"/>
                <w:sz w:val="28"/>
                <w:szCs w:val="28"/>
              </w:rPr>
            </w:pPr>
            <w:r>
              <w:rPr>
                <w:rFonts w:ascii="Times New Roman"/>
                <w:color w:val="000000" w:themeColor="text1"/>
                <w:sz w:val="28"/>
                <w:szCs w:val="28"/>
              </w:rPr>
              <w:t>102</w:t>
            </w:r>
          </w:p>
        </w:tc>
        <w:tc>
          <w:tcPr>
            <w:tcW w:w="2744"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A627AA">
            <w:pPr>
              <w:kinsoku w:val="0"/>
              <w:spacing w:line="340" w:lineRule="exact"/>
              <w:jc w:val="center"/>
              <w:rPr>
                <w:rFonts w:ascii="Times New Roman"/>
                <w:color w:val="000000" w:themeColor="text1"/>
                <w:sz w:val="28"/>
                <w:szCs w:val="28"/>
              </w:rPr>
            </w:pPr>
            <w:r>
              <w:rPr>
                <w:rFonts w:ascii="Times New Roman"/>
                <w:color w:val="000000" w:themeColor="text1"/>
                <w:sz w:val="28"/>
                <w:szCs w:val="28"/>
              </w:rPr>
              <w:t>20</w:t>
            </w:r>
          </w:p>
        </w:tc>
        <w:tc>
          <w:tcPr>
            <w:tcW w:w="2898"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A627AA">
            <w:pPr>
              <w:kinsoku w:val="0"/>
              <w:spacing w:line="340" w:lineRule="exact"/>
              <w:jc w:val="center"/>
              <w:rPr>
                <w:rFonts w:ascii="Times New Roman"/>
                <w:color w:val="000000" w:themeColor="text1"/>
                <w:sz w:val="28"/>
                <w:szCs w:val="28"/>
              </w:rPr>
            </w:pPr>
            <w:r>
              <w:rPr>
                <w:rFonts w:ascii="Times New Roman"/>
                <w:color w:val="000000" w:themeColor="text1"/>
                <w:sz w:val="28"/>
                <w:szCs w:val="28"/>
              </w:rPr>
              <w:t>3</w:t>
            </w:r>
          </w:p>
        </w:tc>
      </w:tr>
      <w:tr w:rsidR="0040606A" w:rsidTr="00C055EF">
        <w:tc>
          <w:tcPr>
            <w:tcW w:w="1917"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A627AA">
            <w:pPr>
              <w:kinsoku w:val="0"/>
              <w:spacing w:line="340" w:lineRule="exact"/>
              <w:jc w:val="center"/>
              <w:rPr>
                <w:rFonts w:ascii="Times New Roman"/>
                <w:color w:val="000000" w:themeColor="text1"/>
                <w:sz w:val="28"/>
                <w:szCs w:val="28"/>
              </w:rPr>
            </w:pPr>
            <w:r>
              <w:rPr>
                <w:rFonts w:ascii="Times New Roman"/>
                <w:color w:val="000000" w:themeColor="text1"/>
                <w:sz w:val="28"/>
                <w:szCs w:val="28"/>
              </w:rPr>
              <w:t>103</w:t>
            </w:r>
          </w:p>
        </w:tc>
        <w:tc>
          <w:tcPr>
            <w:tcW w:w="2744"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A627AA">
            <w:pPr>
              <w:kinsoku w:val="0"/>
              <w:spacing w:line="340" w:lineRule="exact"/>
              <w:jc w:val="center"/>
              <w:rPr>
                <w:rFonts w:ascii="Times New Roman"/>
                <w:color w:val="000000" w:themeColor="text1"/>
                <w:sz w:val="28"/>
                <w:szCs w:val="28"/>
              </w:rPr>
            </w:pPr>
            <w:r>
              <w:rPr>
                <w:rFonts w:ascii="Times New Roman"/>
                <w:color w:val="000000" w:themeColor="text1"/>
                <w:sz w:val="28"/>
                <w:szCs w:val="28"/>
              </w:rPr>
              <w:t>20</w:t>
            </w:r>
          </w:p>
        </w:tc>
        <w:tc>
          <w:tcPr>
            <w:tcW w:w="2898"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A627AA">
            <w:pPr>
              <w:kinsoku w:val="0"/>
              <w:spacing w:line="340" w:lineRule="exact"/>
              <w:jc w:val="center"/>
              <w:rPr>
                <w:rFonts w:ascii="Times New Roman"/>
                <w:color w:val="000000" w:themeColor="text1"/>
                <w:sz w:val="28"/>
                <w:szCs w:val="28"/>
              </w:rPr>
            </w:pPr>
            <w:r>
              <w:rPr>
                <w:rFonts w:ascii="Times New Roman"/>
                <w:color w:val="000000" w:themeColor="text1"/>
                <w:sz w:val="28"/>
                <w:szCs w:val="28"/>
              </w:rPr>
              <w:t>6</w:t>
            </w:r>
          </w:p>
        </w:tc>
      </w:tr>
      <w:tr w:rsidR="0040606A" w:rsidTr="00C055EF">
        <w:tc>
          <w:tcPr>
            <w:tcW w:w="1917"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A627AA">
            <w:pPr>
              <w:kinsoku w:val="0"/>
              <w:spacing w:line="340" w:lineRule="exact"/>
              <w:jc w:val="center"/>
              <w:rPr>
                <w:rFonts w:ascii="Times New Roman"/>
                <w:color w:val="000000" w:themeColor="text1"/>
                <w:sz w:val="28"/>
                <w:szCs w:val="28"/>
              </w:rPr>
            </w:pPr>
            <w:r>
              <w:rPr>
                <w:rFonts w:ascii="Times New Roman"/>
                <w:color w:val="000000" w:themeColor="text1"/>
                <w:sz w:val="28"/>
                <w:szCs w:val="28"/>
              </w:rPr>
              <w:t>104</w:t>
            </w:r>
          </w:p>
        </w:tc>
        <w:tc>
          <w:tcPr>
            <w:tcW w:w="2744"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A627AA">
            <w:pPr>
              <w:kinsoku w:val="0"/>
              <w:spacing w:line="340" w:lineRule="exact"/>
              <w:jc w:val="center"/>
              <w:rPr>
                <w:rFonts w:ascii="Times New Roman"/>
                <w:color w:val="000000" w:themeColor="text1"/>
                <w:sz w:val="28"/>
                <w:szCs w:val="28"/>
              </w:rPr>
            </w:pPr>
            <w:r>
              <w:rPr>
                <w:rFonts w:ascii="Times New Roman"/>
                <w:color w:val="000000" w:themeColor="text1"/>
                <w:sz w:val="28"/>
                <w:szCs w:val="28"/>
              </w:rPr>
              <w:t>20</w:t>
            </w:r>
          </w:p>
        </w:tc>
        <w:tc>
          <w:tcPr>
            <w:tcW w:w="2898"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A627AA">
            <w:pPr>
              <w:kinsoku w:val="0"/>
              <w:spacing w:line="340" w:lineRule="exact"/>
              <w:jc w:val="center"/>
              <w:rPr>
                <w:rFonts w:ascii="Times New Roman"/>
                <w:color w:val="000000" w:themeColor="text1"/>
                <w:sz w:val="28"/>
                <w:szCs w:val="28"/>
              </w:rPr>
            </w:pPr>
            <w:r>
              <w:rPr>
                <w:rFonts w:ascii="Times New Roman"/>
                <w:color w:val="000000" w:themeColor="text1"/>
                <w:sz w:val="28"/>
                <w:szCs w:val="28"/>
              </w:rPr>
              <w:t>8</w:t>
            </w:r>
          </w:p>
        </w:tc>
      </w:tr>
      <w:tr w:rsidR="0040606A" w:rsidTr="00C055EF">
        <w:tc>
          <w:tcPr>
            <w:tcW w:w="1917"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A627AA">
            <w:pPr>
              <w:kinsoku w:val="0"/>
              <w:spacing w:line="340" w:lineRule="exact"/>
              <w:jc w:val="center"/>
              <w:rPr>
                <w:rFonts w:ascii="Times New Roman"/>
                <w:color w:val="000000" w:themeColor="text1"/>
                <w:sz w:val="28"/>
                <w:szCs w:val="28"/>
              </w:rPr>
            </w:pPr>
            <w:r>
              <w:rPr>
                <w:rFonts w:ascii="Times New Roman"/>
                <w:color w:val="000000" w:themeColor="text1"/>
                <w:sz w:val="28"/>
                <w:szCs w:val="28"/>
              </w:rPr>
              <w:t>105</w:t>
            </w:r>
          </w:p>
        </w:tc>
        <w:tc>
          <w:tcPr>
            <w:tcW w:w="2744"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A627AA">
            <w:pPr>
              <w:kinsoku w:val="0"/>
              <w:spacing w:line="340" w:lineRule="exact"/>
              <w:jc w:val="center"/>
              <w:rPr>
                <w:rFonts w:ascii="Times New Roman"/>
                <w:color w:val="000000" w:themeColor="text1"/>
                <w:sz w:val="28"/>
                <w:szCs w:val="28"/>
              </w:rPr>
            </w:pPr>
            <w:r>
              <w:rPr>
                <w:rFonts w:ascii="Times New Roman"/>
                <w:color w:val="000000" w:themeColor="text1"/>
                <w:sz w:val="28"/>
                <w:szCs w:val="28"/>
              </w:rPr>
              <w:t>25</w:t>
            </w:r>
          </w:p>
        </w:tc>
        <w:tc>
          <w:tcPr>
            <w:tcW w:w="2898"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A627AA">
            <w:pPr>
              <w:kinsoku w:val="0"/>
              <w:spacing w:line="340" w:lineRule="exact"/>
              <w:jc w:val="center"/>
              <w:rPr>
                <w:rFonts w:ascii="Times New Roman"/>
                <w:color w:val="000000" w:themeColor="text1"/>
                <w:sz w:val="28"/>
                <w:szCs w:val="28"/>
              </w:rPr>
            </w:pPr>
            <w:r>
              <w:rPr>
                <w:rFonts w:ascii="Times New Roman"/>
                <w:color w:val="000000" w:themeColor="text1"/>
                <w:sz w:val="28"/>
                <w:szCs w:val="28"/>
              </w:rPr>
              <w:t>8</w:t>
            </w:r>
          </w:p>
        </w:tc>
      </w:tr>
      <w:tr w:rsidR="0040606A" w:rsidTr="00C055EF">
        <w:tc>
          <w:tcPr>
            <w:tcW w:w="1917"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A627AA">
            <w:pPr>
              <w:kinsoku w:val="0"/>
              <w:spacing w:line="340" w:lineRule="exact"/>
              <w:jc w:val="center"/>
              <w:rPr>
                <w:rFonts w:ascii="Times New Roman"/>
                <w:color w:val="000000" w:themeColor="text1"/>
                <w:sz w:val="28"/>
                <w:szCs w:val="28"/>
              </w:rPr>
            </w:pPr>
            <w:r>
              <w:rPr>
                <w:rFonts w:ascii="Times New Roman"/>
                <w:color w:val="000000" w:themeColor="text1"/>
                <w:sz w:val="28"/>
                <w:szCs w:val="28"/>
              </w:rPr>
              <w:t>106</w:t>
            </w:r>
          </w:p>
        </w:tc>
        <w:tc>
          <w:tcPr>
            <w:tcW w:w="2744"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A627AA">
            <w:pPr>
              <w:kinsoku w:val="0"/>
              <w:spacing w:line="340" w:lineRule="exact"/>
              <w:jc w:val="center"/>
              <w:rPr>
                <w:rFonts w:ascii="Times New Roman"/>
                <w:color w:val="000000" w:themeColor="text1"/>
                <w:sz w:val="28"/>
                <w:szCs w:val="28"/>
              </w:rPr>
            </w:pPr>
            <w:r>
              <w:rPr>
                <w:rFonts w:ascii="Times New Roman"/>
                <w:color w:val="000000" w:themeColor="text1"/>
                <w:sz w:val="28"/>
                <w:szCs w:val="28"/>
              </w:rPr>
              <w:t>25</w:t>
            </w:r>
          </w:p>
        </w:tc>
        <w:tc>
          <w:tcPr>
            <w:tcW w:w="2898"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A627AA">
            <w:pPr>
              <w:kinsoku w:val="0"/>
              <w:spacing w:line="340" w:lineRule="exact"/>
              <w:jc w:val="center"/>
              <w:rPr>
                <w:rFonts w:ascii="Times New Roman"/>
                <w:color w:val="000000" w:themeColor="text1"/>
                <w:sz w:val="28"/>
                <w:szCs w:val="28"/>
              </w:rPr>
            </w:pPr>
            <w:r>
              <w:rPr>
                <w:rFonts w:ascii="Times New Roman"/>
                <w:color w:val="000000" w:themeColor="text1"/>
                <w:sz w:val="28"/>
                <w:szCs w:val="28"/>
              </w:rPr>
              <w:t>15</w:t>
            </w:r>
          </w:p>
        </w:tc>
      </w:tr>
      <w:tr w:rsidR="0040606A" w:rsidTr="00C055EF">
        <w:tc>
          <w:tcPr>
            <w:tcW w:w="1917"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A627AA">
            <w:pPr>
              <w:kinsoku w:val="0"/>
              <w:spacing w:line="340" w:lineRule="exact"/>
              <w:jc w:val="center"/>
              <w:rPr>
                <w:rFonts w:ascii="Times New Roman"/>
                <w:color w:val="000000" w:themeColor="text1"/>
                <w:sz w:val="28"/>
                <w:szCs w:val="28"/>
              </w:rPr>
            </w:pPr>
            <w:r>
              <w:rPr>
                <w:rFonts w:ascii="Times New Roman"/>
                <w:color w:val="000000" w:themeColor="text1"/>
                <w:sz w:val="28"/>
                <w:szCs w:val="28"/>
              </w:rPr>
              <w:t>107</w:t>
            </w:r>
          </w:p>
        </w:tc>
        <w:tc>
          <w:tcPr>
            <w:tcW w:w="2744"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A627AA">
            <w:pPr>
              <w:kinsoku w:val="0"/>
              <w:spacing w:line="340" w:lineRule="exact"/>
              <w:jc w:val="center"/>
              <w:rPr>
                <w:rFonts w:ascii="Times New Roman"/>
                <w:color w:val="000000" w:themeColor="text1"/>
                <w:sz w:val="28"/>
                <w:szCs w:val="28"/>
              </w:rPr>
            </w:pPr>
            <w:r>
              <w:rPr>
                <w:rFonts w:ascii="Times New Roman"/>
                <w:color w:val="000000" w:themeColor="text1"/>
                <w:sz w:val="28"/>
                <w:szCs w:val="28"/>
              </w:rPr>
              <w:t>25</w:t>
            </w:r>
          </w:p>
        </w:tc>
        <w:tc>
          <w:tcPr>
            <w:tcW w:w="2898"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A627AA">
            <w:pPr>
              <w:kinsoku w:val="0"/>
              <w:spacing w:line="340" w:lineRule="exact"/>
              <w:jc w:val="center"/>
              <w:rPr>
                <w:rFonts w:ascii="Times New Roman"/>
                <w:color w:val="000000" w:themeColor="text1"/>
                <w:sz w:val="28"/>
                <w:szCs w:val="28"/>
              </w:rPr>
            </w:pPr>
            <w:r>
              <w:rPr>
                <w:rFonts w:ascii="Times New Roman"/>
                <w:color w:val="000000" w:themeColor="text1"/>
                <w:sz w:val="28"/>
                <w:szCs w:val="28"/>
              </w:rPr>
              <w:t>12</w:t>
            </w:r>
          </w:p>
        </w:tc>
      </w:tr>
    </w:tbl>
    <w:p w:rsidR="00E36E9F" w:rsidRDefault="00E36E9F" w:rsidP="00E36E9F">
      <w:pPr>
        <w:pStyle w:val="3"/>
        <w:numPr>
          <w:ilvl w:val="0"/>
          <w:numId w:val="0"/>
        </w:numPr>
        <w:kinsoku w:val="0"/>
        <w:spacing w:afterLines="25" w:after="114" w:line="320" w:lineRule="exact"/>
        <w:ind w:left="1361"/>
        <w:rPr>
          <w:rFonts w:ascii="Times New Roman" w:hAnsi="Times New Roman"/>
          <w:sz w:val="24"/>
          <w:szCs w:val="24"/>
        </w:rPr>
      </w:pPr>
      <w:bookmarkStart w:id="1813" w:name="_Toc511998689"/>
      <w:bookmarkStart w:id="1814" w:name="_Toc512421046"/>
      <w:bookmarkStart w:id="1815" w:name="_Toc507767734"/>
      <w:bookmarkStart w:id="1816" w:name="_Toc507768460"/>
      <w:bookmarkStart w:id="1817" w:name="_Toc511115456"/>
      <w:bookmarkStart w:id="1818" w:name="_Toc511308246"/>
      <w:r w:rsidRPr="00E36E9F">
        <w:rPr>
          <w:rFonts w:ascii="Times New Roman" w:hAnsi="Times New Roman" w:hint="eastAsia"/>
          <w:sz w:val="24"/>
          <w:szCs w:val="24"/>
        </w:rPr>
        <w:t>資料來源：財政部。</w:t>
      </w:r>
      <w:bookmarkEnd w:id="1813"/>
      <w:bookmarkEnd w:id="1814"/>
    </w:p>
    <w:p w:rsidR="0040606A" w:rsidRPr="00016B23" w:rsidRDefault="0099109C" w:rsidP="0040606A">
      <w:pPr>
        <w:pStyle w:val="3"/>
        <w:numPr>
          <w:ilvl w:val="2"/>
          <w:numId w:val="9"/>
        </w:numPr>
        <w:kinsoku w:val="0"/>
        <w:spacing w:beforeLines="25" w:before="114"/>
        <w:ind w:left="1360" w:hanging="680"/>
        <w:rPr>
          <w:rFonts w:ascii="Times New Roman" w:hAnsi="Times New Roman"/>
        </w:rPr>
      </w:pPr>
      <w:bookmarkStart w:id="1819" w:name="_Toc511998690"/>
      <w:bookmarkStart w:id="1820" w:name="_Toc512421047"/>
      <w:r>
        <w:rPr>
          <w:rFonts w:ascii="Times New Roman" w:hAnsi="Times New Roman" w:hint="eastAsia"/>
        </w:rPr>
        <w:t>從</w:t>
      </w:r>
      <w:r w:rsidR="0040606A">
        <w:rPr>
          <w:rFonts w:ascii="Times New Roman" w:hAnsi="Times New Roman" w:hint="eastAsia"/>
        </w:rPr>
        <w:t>財政部提供之資料</w:t>
      </w:r>
      <w:r>
        <w:rPr>
          <w:rFonts w:ascii="Times New Roman" w:hAnsi="Times New Roman" w:hint="eastAsia"/>
        </w:rPr>
        <w:t>觀察</w:t>
      </w:r>
      <w:r w:rsidR="0040606A">
        <w:rPr>
          <w:rFonts w:ascii="Times New Roman" w:hAnsi="Times New Roman" w:hint="eastAsia"/>
        </w:rPr>
        <w:t>，前述措施執行後，</w:t>
      </w:r>
      <w:r w:rsidR="0040606A">
        <w:rPr>
          <w:rFonts w:ascii="Times New Roman" w:hAnsi="Times New Roman"/>
        </w:rPr>
        <w:t>22</w:t>
      </w:r>
      <w:r>
        <w:rPr>
          <w:rFonts w:ascii="Times New Roman" w:hAnsi="Times New Roman" w:hint="eastAsia"/>
        </w:rPr>
        <w:t>個</w:t>
      </w:r>
      <w:r w:rsidR="0040606A">
        <w:rPr>
          <w:rFonts w:ascii="Times New Roman" w:hAnsi="Times New Roman" w:hint="eastAsia"/>
        </w:rPr>
        <w:t>縣市累計待運用數成長比率</w:t>
      </w:r>
      <w:r w:rsidR="0040606A">
        <w:rPr>
          <w:rStyle w:val="aff1"/>
          <w:rFonts w:ascii="Times New Roman" w:hAnsi="Times New Roman"/>
        </w:rPr>
        <w:footnoteReference w:id="19"/>
      </w:r>
      <w:r w:rsidR="0040606A">
        <w:rPr>
          <w:rFonts w:ascii="Times New Roman" w:hAnsi="Times New Roman" w:hint="eastAsia"/>
        </w:rPr>
        <w:t>由</w:t>
      </w:r>
      <w:r w:rsidR="0040606A">
        <w:rPr>
          <w:rFonts w:ascii="Times New Roman" w:hAnsi="Times New Roman"/>
        </w:rPr>
        <w:t>100</w:t>
      </w:r>
      <w:r w:rsidR="0040606A">
        <w:rPr>
          <w:rFonts w:ascii="Times New Roman" w:hAnsi="Times New Roman" w:hint="eastAsia"/>
        </w:rPr>
        <w:t>年之</w:t>
      </w:r>
      <w:r w:rsidR="0040606A">
        <w:rPr>
          <w:rFonts w:ascii="Times New Roman" w:hAnsi="Times New Roman"/>
        </w:rPr>
        <w:t>31%</w:t>
      </w:r>
      <w:r w:rsidR="0040606A">
        <w:rPr>
          <w:rFonts w:ascii="Times New Roman" w:hAnsi="Times New Roman" w:hint="eastAsia"/>
        </w:rPr>
        <w:t>，逐年降低至</w:t>
      </w:r>
      <w:r w:rsidR="0040606A">
        <w:rPr>
          <w:rFonts w:ascii="Times New Roman" w:hAnsi="Times New Roman"/>
        </w:rPr>
        <w:t>104</w:t>
      </w:r>
      <w:r w:rsidR="0040606A">
        <w:rPr>
          <w:rFonts w:ascii="Times New Roman" w:hAnsi="Times New Roman" w:hint="eastAsia"/>
        </w:rPr>
        <w:t>年之</w:t>
      </w:r>
      <w:r w:rsidR="0040606A">
        <w:rPr>
          <w:rFonts w:ascii="Times New Roman" w:hAnsi="Times New Roman"/>
        </w:rPr>
        <w:t>-22%</w:t>
      </w:r>
      <w:r w:rsidR="0040606A">
        <w:rPr>
          <w:rFonts w:ascii="Times New Roman" w:hAnsi="Times New Roman" w:hint="eastAsia"/>
        </w:rPr>
        <w:t>及</w:t>
      </w:r>
      <w:r w:rsidR="0040606A">
        <w:rPr>
          <w:rFonts w:ascii="Times New Roman" w:hAnsi="Times New Roman"/>
        </w:rPr>
        <w:t>105</w:t>
      </w:r>
      <w:r w:rsidR="0040606A">
        <w:rPr>
          <w:rFonts w:ascii="Times New Roman" w:hAnsi="Times New Roman" w:hint="eastAsia"/>
        </w:rPr>
        <w:t>年之</w:t>
      </w:r>
      <w:r w:rsidR="0040606A">
        <w:rPr>
          <w:rFonts w:ascii="Times New Roman" w:hAnsi="Times New Roman"/>
        </w:rPr>
        <w:t>7%</w:t>
      </w:r>
      <w:r>
        <w:rPr>
          <w:rFonts w:ascii="Times New Roman" w:hAnsi="Times New Roman" w:hint="eastAsia"/>
        </w:rPr>
        <w:t>；</w:t>
      </w:r>
      <w:r w:rsidR="0040606A">
        <w:rPr>
          <w:rFonts w:ascii="Times New Roman" w:hAnsi="Times New Roman" w:hint="eastAsia"/>
        </w:rPr>
        <w:t>年度執行數占分配數比率，</w:t>
      </w:r>
      <w:r>
        <w:rPr>
          <w:rFonts w:ascii="Times New Roman" w:hAnsi="Times New Roman" w:hint="eastAsia"/>
        </w:rPr>
        <w:t>則</w:t>
      </w:r>
      <w:r w:rsidR="0040606A">
        <w:rPr>
          <w:rFonts w:ascii="Times New Roman" w:hAnsi="Times New Roman" w:hint="eastAsia"/>
        </w:rPr>
        <w:t>由</w:t>
      </w:r>
      <w:r w:rsidR="0040606A">
        <w:rPr>
          <w:rFonts w:ascii="Times New Roman" w:hAnsi="Times New Roman"/>
        </w:rPr>
        <w:t>101</w:t>
      </w:r>
      <w:r w:rsidR="0040606A">
        <w:rPr>
          <w:rFonts w:ascii="Times New Roman" w:hAnsi="Times New Roman" w:hint="eastAsia"/>
        </w:rPr>
        <w:t>年之</w:t>
      </w:r>
      <w:r w:rsidR="0040606A">
        <w:rPr>
          <w:rFonts w:ascii="Times New Roman" w:hAnsi="Times New Roman"/>
        </w:rPr>
        <w:t>76%</w:t>
      </w:r>
      <w:r w:rsidR="0040606A">
        <w:rPr>
          <w:rFonts w:ascii="Times New Roman" w:hAnsi="Times New Roman" w:hint="eastAsia"/>
        </w:rPr>
        <w:t>，逐年攀升至</w:t>
      </w:r>
      <w:r w:rsidR="0040606A">
        <w:rPr>
          <w:rFonts w:ascii="Times New Roman" w:hAnsi="Times New Roman"/>
        </w:rPr>
        <w:t>104</w:t>
      </w:r>
      <w:r w:rsidR="0040606A">
        <w:rPr>
          <w:rFonts w:ascii="Times New Roman" w:hAnsi="Times New Roman" w:hint="eastAsia"/>
        </w:rPr>
        <w:t>年之</w:t>
      </w:r>
      <w:r w:rsidR="0040606A">
        <w:rPr>
          <w:rFonts w:ascii="Times New Roman" w:hAnsi="Times New Roman"/>
        </w:rPr>
        <w:t>142%</w:t>
      </w:r>
      <w:r w:rsidR="0040606A">
        <w:rPr>
          <w:rFonts w:ascii="Times New Roman" w:hAnsi="Times New Roman" w:hint="eastAsia"/>
        </w:rPr>
        <w:t>、</w:t>
      </w:r>
      <w:r w:rsidR="0040606A">
        <w:rPr>
          <w:rFonts w:ascii="Times New Roman" w:hAnsi="Times New Roman"/>
        </w:rPr>
        <w:t>105</w:t>
      </w:r>
      <w:r w:rsidR="0040606A">
        <w:rPr>
          <w:rFonts w:ascii="Times New Roman" w:hAnsi="Times New Roman" w:hint="eastAsia"/>
        </w:rPr>
        <w:t>年之</w:t>
      </w:r>
      <w:r w:rsidR="0040606A">
        <w:rPr>
          <w:rFonts w:ascii="Times New Roman" w:hAnsi="Times New Roman"/>
        </w:rPr>
        <w:t>96%</w:t>
      </w:r>
      <w:r w:rsidR="0040606A">
        <w:rPr>
          <w:rFonts w:ascii="Times New Roman" w:hAnsi="Times New Roman" w:hint="eastAsia"/>
        </w:rPr>
        <w:t>。</w:t>
      </w:r>
      <w:r w:rsidR="0040606A">
        <w:rPr>
          <w:rFonts w:ascii="Times New Roman" w:hAnsi="Times New Roman"/>
        </w:rPr>
        <w:t>102</w:t>
      </w:r>
      <w:r w:rsidR="0040606A">
        <w:rPr>
          <w:rFonts w:ascii="Times New Roman" w:hAnsi="Times New Roman" w:hint="eastAsia"/>
        </w:rPr>
        <w:t>年至</w:t>
      </w:r>
      <w:r w:rsidR="0040606A">
        <w:rPr>
          <w:rFonts w:ascii="Times New Roman" w:hAnsi="Times New Roman"/>
        </w:rPr>
        <w:t>105</w:t>
      </w:r>
      <w:r w:rsidR="0040606A">
        <w:rPr>
          <w:rFonts w:ascii="Times New Roman" w:hAnsi="Times New Roman" w:hint="eastAsia"/>
        </w:rPr>
        <w:t>年財政部對各地方政府「運用以前年度公益彩券盈餘累積賸餘款」之考核結果</w:t>
      </w:r>
      <w:r w:rsidR="00016B23">
        <w:rPr>
          <w:rFonts w:ascii="Times New Roman" w:hAnsi="Times New Roman" w:hint="eastAsia"/>
        </w:rPr>
        <w:t>見</w:t>
      </w:r>
      <w:r w:rsidR="0040606A" w:rsidRPr="00016B23">
        <w:rPr>
          <w:rFonts w:ascii="Times New Roman" w:hAnsi="Times New Roman" w:hint="eastAsia"/>
        </w:rPr>
        <w:t>下表</w:t>
      </w:r>
      <w:r w:rsidR="0040606A" w:rsidRPr="00016B23">
        <w:rPr>
          <w:rFonts w:ascii="Times New Roman" w:hAnsi="Times New Roman" w:hint="eastAsia"/>
        </w:rPr>
        <w:t>1</w:t>
      </w:r>
      <w:r w:rsidR="00D163D7" w:rsidRPr="00016B23">
        <w:rPr>
          <w:rFonts w:ascii="Times New Roman" w:hAnsi="Times New Roman" w:hint="eastAsia"/>
        </w:rPr>
        <w:t>6</w:t>
      </w:r>
      <w:r w:rsidR="0040606A" w:rsidRPr="00016B23">
        <w:rPr>
          <w:rFonts w:ascii="Times New Roman" w:hAnsi="Times New Roman" w:hint="eastAsia"/>
        </w:rPr>
        <w:t>：</w:t>
      </w:r>
      <w:bookmarkEnd w:id="1815"/>
      <w:bookmarkEnd w:id="1816"/>
      <w:bookmarkEnd w:id="1817"/>
      <w:bookmarkEnd w:id="1818"/>
      <w:bookmarkEnd w:id="1819"/>
      <w:bookmarkEnd w:id="1820"/>
    </w:p>
    <w:p w:rsidR="0040606A" w:rsidRPr="00F12F28" w:rsidRDefault="0040606A" w:rsidP="0040606A">
      <w:pPr>
        <w:pStyle w:val="a3"/>
        <w:numPr>
          <w:ilvl w:val="0"/>
          <w:numId w:val="34"/>
        </w:numPr>
        <w:spacing w:before="120" w:after="0"/>
        <w:ind w:left="2212" w:rightChars="-5" w:right="-17" w:hanging="910"/>
        <w:textAlignment w:val="auto"/>
        <w:rPr>
          <w:rFonts w:ascii="Times New Roman" w:hAnsi="Times New Roman"/>
          <w:b/>
          <w:spacing w:val="0"/>
        </w:rPr>
      </w:pPr>
      <w:r w:rsidRPr="00F12F28">
        <w:rPr>
          <w:rFonts w:ascii="Times New Roman" w:hAnsi="Times New Roman"/>
          <w:b/>
          <w:spacing w:val="-6"/>
        </w:rPr>
        <w:t>102</w:t>
      </w:r>
      <w:r w:rsidRPr="00F12F28">
        <w:rPr>
          <w:rFonts w:ascii="Times New Roman" w:hAnsi="Times New Roman" w:hint="eastAsia"/>
          <w:b/>
          <w:spacing w:val="-6"/>
        </w:rPr>
        <w:t>年至</w:t>
      </w:r>
      <w:r w:rsidRPr="00F12F28">
        <w:rPr>
          <w:rFonts w:ascii="Times New Roman" w:hAnsi="Times New Roman"/>
          <w:b/>
          <w:spacing w:val="-6"/>
        </w:rPr>
        <w:t>105</w:t>
      </w:r>
      <w:r w:rsidRPr="00F12F28">
        <w:rPr>
          <w:rFonts w:ascii="Times New Roman" w:hAnsi="Times New Roman" w:hint="eastAsia"/>
          <w:b/>
          <w:spacing w:val="-6"/>
        </w:rPr>
        <w:t>年</w:t>
      </w:r>
      <w:r w:rsidRPr="00F12F28">
        <w:rPr>
          <w:rFonts w:ascii="Times New Roman" w:hint="eastAsia"/>
          <w:b/>
          <w:color w:val="000000" w:themeColor="text1"/>
          <w:spacing w:val="-6"/>
        </w:rPr>
        <w:t>中央</w:t>
      </w:r>
      <w:r w:rsidRPr="00F12F28">
        <w:rPr>
          <w:rFonts w:ascii="Times New Roman" w:hAnsi="Times New Roman" w:hint="eastAsia"/>
          <w:b/>
          <w:spacing w:val="-6"/>
        </w:rPr>
        <w:t>對各地方政府「運用以前年度公益</w:t>
      </w:r>
      <w:r w:rsidRPr="00F12F28">
        <w:rPr>
          <w:rFonts w:ascii="Times New Roman" w:hAnsi="Times New Roman" w:hint="eastAsia"/>
          <w:b/>
          <w:spacing w:val="0"/>
        </w:rPr>
        <w:t>彩券盈餘累積賸餘款」之考核結果</w:t>
      </w:r>
    </w:p>
    <w:tbl>
      <w:tblPr>
        <w:tblStyle w:val="afb"/>
        <w:tblW w:w="7559" w:type="dxa"/>
        <w:tblInd w:w="14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12"/>
        <w:gridCol w:w="2758"/>
        <w:gridCol w:w="3289"/>
      </w:tblGrid>
      <w:tr w:rsidR="0040606A" w:rsidTr="00C055EF">
        <w:trPr>
          <w:tblHeader/>
        </w:trPr>
        <w:tc>
          <w:tcPr>
            <w:tcW w:w="1512"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pStyle w:val="3"/>
              <w:numPr>
                <w:ilvl w:val="0"/>
                <w:numId w:val="0"/>
              </w:numPr>
              <w:kinsoku w:val="0"/>
              <w:spacing w:line="360" w:lineRule="exact"/>
              <w:jc w:val="center"/>
              <w:rPr>
                <w:rFonts w:ascii="Times New Roman" w:hAnsi="Times New Roman"/>
                <w:color w:val="000000" w:themeColor="text1"/>
                <w:sz w:val="28"/>
                <w:szCs w:val="28"/>
              </w:rPr>
            </w:pPr>
            <w:bookmarkStart w:id="1821" w:name="_Toc507767735"/>
            <w:bookmarkStart w:id="1822" w:name="_Toc507768461"/>
            <w:bookmarkStart w:id="1823" w:name="_Toc511115457"/>
            <w:bookmarkStart w:id="1824" w:name="_Toc511308247"/>
            <w:bookmarkStart w:id="1825" w:name="_Toc511998691"/>
            <w:bookmarkStart w:id="1826" w:name="_Toc512421048"/>
            <w:r>
              <w:rPr>
                <w:rFonts w:ascii="Times New Roman" w:hAnsi="Times New Roman" w:hint="eastAsia"/>
                <w:color w:val="000000" w:themeColor="text1"/>
                <w:sz w:val="28"/>
                <w:szCs w:val="28"/>
              </w:rPr>
              <w:t>考核年度</w:t>
            </w:r>
            <w:bookmarkEnd w:id="1821"/>
            <w:bookmarkEnd w:id="1822"/>
            <w:bookmarkEnd w:id="1823"/>
            <w:bookmarkEnd w:id="1824"/>
            <w:bookmarkEnd w:id="1825"/>
            <w:bookmarkEnd w:id="1826"/>
          </w:p>
        </w:tc>
        <w:tc>
          <w:tcPr>
            <w:tcW w:w="2758"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spacing w:line="360" w:lineRule="exact"/>
              <w:jc w:val="center"/>
              <w:rPr>
                <w:rFonts w:ascii="Times New Roman"/>
                <w:color w:val="000000" w:themeColor="text1"/>
                <w:sz w:val="28"/>
                <w:szCs w:val="28"/>
              </w:rPr>
            </w:pPr>
            <w:r>
              <w:rPr>
                <w:rFonts w:ascii="Times New Roman" w:hint="eastAsia"/>
                <w:color w:val="000000" w:themeColor="text1"/>
                <w:sz w:val="28"/>
                <w:szCs w:val="28"/>
              </w:rPr>
              <w:t>考核指標</w:t>
            </w:r>
          </w:p>
        </w:tc>
        <w:tc>
          <w:tcPr>
            <w:tcW w:w="3289"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spacing w:line="360" w:lineRule="exact"/>
              <w:jc w:val="center"/>
              <w:rPr>
                <w:rFonts w:ascii="Times New Roman"/>
                <w:color w:val="000000" w:themeColor="text1"/>
                <w:sz w:val="28"/>
                <w:szCs w:val="28"/>
              </w:rPr>
            </w:pPr>
            <w:r>
              <w:rPr>
                <w:rFonts w:ascii="Times New Roman" w:hint="eastAsia"/>
                <w:color w:val="000000" w:themeColor="text1"/>
                <w:sz w:val="28"/>
                <w:szCs w:val="28"/>
              </w:rPr>
              <w:t>達成指標者</w:t>
            </w:r>
          </w:p>
        </w:tc>
      </w:tr>
      <w:tr w:rsidR="0040606A" w:rsidTr="00C055EF">
        <w:tc>
          <w:tcPr>
            <w:tcW w:w="1512"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kinsoku w:val="0"/>
              <w:spacing w:line="380" w:lineRule="exact"/>
              <w:jc w:val="center"/>
              <w:rPr>
                <w:rFonts w:ascii="Times New Roman"/>
                <w:color w:val="000000" w:themeColor="text1"/>
                <w:sz w:val="28"/>
                <w:szCs w:val="28"/>
              </w:rPr>
            </w:pPr>
            <w:r>
              <w:rPr>
                <w:rFonts w:ascii="Times New Roman"/>
                <w:color w:val="000000" w:themeColor="text1"/>
                <w:sz w:val="28"/>
                <w:szCs w:val="28"/>
              </w:rPr>
              <w:t>102</w:t>
            </w:r>
          </w:p>
        </w:tc>
        <w:tc>
          <w:tcPr>
            <w:tcW w:w="2758"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40606A">
            <w:pPr>
              <w:kinsoku w:val="0"/>
              <w:spacing w:line="380" w:lineRule="exact"/>
              <w:ind w:leftChars="-19" w:left="-65" w:rightChars="-15" w:right="-51"/>
              <w:rPr>
                <w:rFonts w:ascii="Times New Roman"/>
                <w:color w:val="000000" w:themeColor="text1"/>
                <w:spacing w:val="-6"/>
                <w:sz w:val="28"/>
                <w:szCs w:val="28"/>
              </w:rPr>
            </w:pPr>
            <w:r>
              <w:rPr>
                <w:rFonts w:ascii="Times New Roman" w:hint="eastAsia"/>
                <w:spacing w:val="-6"/>
                <w:sz w:val="28"/>
                <w:szCs w:val="28"/>
              </w:rPr>
              <w:t>有以前年度賸餘款者，歲出預算增加編列比率達</w:t>
            </w:r>
            <w:r>
              <w:rPr>
                <w:rFonts w:ascii="Times New Roman"/>
                <w:spacing w:val="-6"/>
                <w:sz w:val="28"/>
                <w:szCs w:val="28"/>
              </w:rPr>
              <w:t>100</w:t>
            </w:r>
            <w:r>
              <w:rPr>
                <w:rFonts w:ascii="Times New Roman" w:hint="eastAsia"/>
                <w:spacing w:val="-6"/>
                <w:sz w:val="28"/>
                <w:szCs w:val="28"/>
              </w:rPr>
              <w:t>年度決算之累計待運用數</w:t>
            </w:r>
            <w:r>
              <w:rPr>
                <w:rFonts w:ascii="Times New Roman"/>
                <w:spacing w:val="-6"/>
                <w:sz w:val="28"/>
                <w:szCs w:val="28"/>
              </w:rPr>
              <w:t>20%</w:t>
            </w:r>
            <w:r>
              <w:rPr>
                <w:rFonts w:ascii="Times New Roman" w:hint="eastAsia"/>
                <w:spacing w:val="-6"/>
                <w:sz w:val="28"/>
                <w:szCs w:val="28"/>
              </w:rPr>
              <w:t>者，該項考核成績得滿分</w:t>
            </w:r>
            <w:r>
              <w:rPr>
                <w:rFonts w:ascii="Times New Roman"/>
                <w:spacing w:val="-6"/>
                <w:sz w:val="28"/>
                <w:szCs w:val="28"/>
              </w:rPr>
              <w:t>(3</w:t>
            </w:r>
            <w:r>
              <w:rPr>
                <w:rFonts w:ascii="Times New Roman" w:hint="eastAsia"/>
                <w:spacing w:val="-6"/>
                <w:sz w:val="28"/>
                <w:szCs w:val="28"/>
              </w:rPr>
              <w:t>分</w:t>
            </w:r>
            <w:r>
              <w:rPr>
                <w:rFonts w:ascii="Times New Roman"/>
                <w:spacing w:val="-6"/>
                <w:sz w:val="28"/>
                <w:szCs w:val="28"/>
              </w:rPr>
              <w:t>)</w:t>
            </w:r>
            <w:r>
              <w:rPr>
                <w:rFonts w:ascii="Times New Roman" w:hint="eastAsia"/>
                <w:spacing w:val="-6"/>
                <w:sz w:val="28"/>
                <w:szCs w:val="28"/>
              </w:rPr>
              <w:t>。</w:t>
            </w:r>
          </w:p>
        </w:tc>
        <w:tc>
          <w:tcPr>
            <w:tcW w:w="3289"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BD589B">
            <w:pPr>
              <w:topLinePunct/>
              <w:spacing w:line="380" w:lineRule="exact"/>
              <w:ind w:leftChars="-19" w:left="-65" w:rightChars="-15" w:right="-51"/>
              <w:rPr>
                <w:rFonts w:ascii="Times New Roman"/>
                <w:color w:val="000000" w:themeColor="text1"/>
                <w:spacing w:val="-6"/>
                <w:sz w:val="28"/>
                <w:szCs w:val="28"/>
              </w:rPr>
            </w:pPr>
            <w:r>
              <w:rPr>
                <w:rFonts w:ascii="Times New Roman" w:hint="eastAsia"/>
                <w:spacing w:val="-6"/>
                <w:sz w:val="28"/>
                <w:szCs w:val="28"/>
              </w:rPr>
              <w:t>臺中市、臺東縣、臺南市、金門縣、南投縣、屏東縣、苗栗縣、桃園市、高雄市、基隆市、新北市、嘉義市、嘉義縣、彰化縣及澎湖縣等</w:t>
            </w:r>
            <w:r>
              <w:rPr>
                <w:rFonts w:ascii="Times New Roman"/>
                <w:spacing w:val="-6"/>
                <w:sz w:val="28"/>
                <w:szCs w:val="28"/>
              </w:rPr>
              <w:t>15</w:t>
            </w:r>
            <w:r>
              <w:rPr>
                <w:rFonts w:ascii="Times New Roman" w:hint="eastAsia"/>
                <w:spacing w:val="-6"/>
                <w:sz w:val="28"/>
                <w:szCs w:val="28"/>
              </w:rPr>
              <w:t>個縣市</w:t>
            </w:r>
            <w:r w:rsidR="00406FC6">
              <w:rPr>
                <w:rFonts w:ascii="Times New Roman" w:hint="eastAsia"/>
                <w:spacing w:val="-6"/>
                <w:sz w:val="28"/>
                <w:szCs w:val="28"/>
              </w:rPr>
              <w:t>。</w:t>
            </w:r>
          </w:p>
        </w:tc>
      </w:tr>
      <w:tr w:rsidR="0040606A" w:rsidTr="00C055EF">
        <w:tc>
          <w:tcPr>
            <w:tcW w:w="1512"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kinsoku w:val="0"/>
              <w:spacing w:line="380" w:lineRule="exact"/>
              <w:jc w:val="center"/>
              <w:rPr>
                <w:rFonts w:ascii="Times New Roman"/>
                <w:color w:val="000000" w:themeColor="text1"/>
                <w:sz w:val="28"/>
                <w:szCs w:val="28"/>
              </w:rPr>
            </w:pPr>
            <w:r>
              <w:rPr>
                <w:rFonts w:ascii="Times New Roman"/>
                <w:color w:val="000000" w:themeColor="text1"/>
                <w:sz w:val="28"/>
                <w:szCs w:val="28"/>
              </w:rPr>
              <w:t>103</w:t>
            </w:r>
          </w:p>
        </w:tc>
        <w:tc>
          <w:tcPr>
            <w:tcW w:w="2758"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40606A">
            <w:pPr>
              <w:kinsoku w:val="0"/>
              <w:spacing w:line="380" w:lineRule="exact"/>
              <w:ind w:leftChars="-19" w:left="-65" w:rightChars="-15" w:right="-51"/>
              <w:rPr>
                <w:rFonts w:ascii="Times New Roman"/>
                <w:color w:val="000000" w:themeColor="text1"/>
                <w:spacing w:val="-6"/>
                <w:sz w:val="28"/>
                <w:szCs w:val="28"/>
              </w:rPr>
            </w:pPr>
            <w:r>
              <w:rPr>
                <w:rFonts w:ascii="Times New Roman" w:hint="eastAsia"/>
                <w:spacing w:val="-6"/>
                <w:sz w:val="28"/>
                <w:szCs w:val="28"/>
              </w:rPr>
              <w:t>有以前年度賸餘款，歲出預算增加編列比率達</w:t>
            </w:r>
            <w:r>
              <w:rPr>
                <w:rFonts w:ascii="Times New Roman"/>
                <w:spacing w:val="-6"/>
                <w:sz w:val="28"/>
                <w:szCs w:val="28"/>
              </w:rPr>
              <w:t xml:space="preserve">101 </w:t>
            </w:r>
            <w:r>
              <w:rPr>
                <w:rFonts w:ascii="Times New Roman" w:hint="eastAsia"/>
                <w:spacing w:val="-6"/>
                <w:sz w:val="28"/>
                <w:szCs w:val="28"/>
              </w:rPr>
              <w:t>年度決算之累計待運用數</w:t>
            </w:r>
            <w:r>
              <w:rPr>
                <w:rFonts w:ascii="Times New Roman"/>
                <w:spacing w:val="-6"/>
                <w:sz w:val="28"/>
                <w:szCs w:val="28"/>
              </w:rPr>
              <w:t>20%</w:t>
            </w:r>
            <w:r>
              <w:rPr>
                <w:rFonts w:ascii="Times New Roman" w:hint="eastAsia"/>
                <w:spacing w:val="-6"/>
                <w:sz w:val="28"/>
                <w:szCs w:val="28"/>
              </w:rPr>
              <w:t>者，該項考核成績得滿分</w:t>
            </w:r>
            <w:r>
              <w:rPr>
                <w:rFonts w:ascii="Times New Roman"/>
                <w:spacing w:val="-6"/>
                <w:sz w:val="28"/>
                <w:szCs w:val="28"/>
              </w:rPr>
              <w:t>(6</w:t>
            </w:r>
            <w:r>
              <w:rPr>
                <w:rFonts w:ascii="Times New Roman" w:hint="eastAsia"/>
                <w:spacing w:val="-6"/>
                <w:sz w:val="28"/>
                <w:szCs w:val="28"/>
              </w:rPr>
              <w:t>分</w:t>
            </w:r>
            <w:r>
              <w:rPr>
                <w:rFonts w:ascii="Times New Roman"/>
                <w:spacing w:val="-6"/>
                <w:sz w:val="28"/>
                <w:szCs w:val="28"/>
              </w:rPr>
              <w:t>)</w:t>
            </w:r>
            <w:r>
              <w:rPr>
                <w:rFonts w:ascii="Times New Roman" w:hint="eastAsia"/>
                <w:spacing w:val="-6"/>
                <w:sz w:val="28"/>
                <w:szCs w:val="28"/>
              </w:rPr>
              <w:t>。</w:t>
            </w:r>
          </w:p>
        </w:tc>
        <w:tc>
          <w:tcPr>
            <w:tcW w:w="3289"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BD589B">
            <w:pPr>
              <w:topLinePunct/>
              <w:spacing w:line="380" w:lineRule="exact"/>
              <w:ind w:leftChars="-19" w:left="-65" w:rightChars="-15" w:right="-51"/>
              <w:rPr>
                <w:rFonts w:ascii="Times New Roman"/>
                <w:color w:val="000000" w:themeColor="text1"/>
                <w:spacing w:val="-6"/>
                <w:sz w:val="28"/>
                <w:szCs w:val="28"/>
              </w:rPr>
            </w:pPr>
            <w:r>
              <w:rPr>
                <w:rFonts w:ascii="Times New Roman" w:hint="eastAsia"/>
                <w:spacing w:val="-6"/>
                <w:sz w:val="28"/>
                <w:szCs w:val="28"/>
              </w:rPr>
              <w:t>臺中市、臺東縣、臺南市、宜蘭縣、金門縣、苗栗縣、桃園市、高雄市、基隆市、新北市、新竹市、新竹縣、嘉義市及嘉義縣等</w:t>
            </w:r>
            <w:r>
              <w:rPr>
                <w:rFonts w:ascii="Times New Roman"/>
                <w:spacing w:val="-6"/>
                <w:sz w:val="28"/>
                <w:szCs w:val="28"/>
              </w:rPr>
              <w:t>14</w:t>
            </w:r>
            <w:r>
              <w:rPr>
                <w:rFonts w:ascii="Times New Roman" w:hint="eastAsia"/>
                <w:spacing w:val="-6"/>
                <w:sz w:val="28"/>
                <w:szCs w:val="28"/>
              </w:rPr>
              <w:t>個縣市</w:t>
            </w:r>
            <w:r w:rsidR="00406FC6">
              <w:rPr>
                <w:rFonts w:ascii="Times New Roman" w:hint="eastAsia"/>
                <w:spacing w:val="-6"/>
                <w:sz w:val="28"/>
                <w:szCs w:val="28"/>
              </w:rPr>
              <w:t>。</w:t>
            </w:r>
          </w:p>
        </w:tc>
      </w:tr>
      <w:tr w:rsidR="0040606A" w:rsidTr="00C055EF">
        <w:tc>
          <w:tcPr>
            <w:tcW w:w="1512"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kinsoku w:val="0"/>
              <w:spacing w:line="380" w:lineRule="exact"/>
              <w:jc w:val="center"/>
              <w:rPr>
                <w:rFonts w:ascii="Times New Roman"/>
                <w:color w:val="000000" w:themeColor="text1"/>
                <w:sz w:val="28"/>
                <w:szCs w:val="28"/>
              </w:rPr>
            </w:pPr>
            <w:r>
              <w:rPr>
                <w:rFonts w:ascii="Times New Roman"/>
                <w:color w:val="000000" w:themeColor="text1"/>
                <w:sz w:val="28"/>
                <w:szCs w:val="28"/>
              </w:rPr>
              <w:t>104</w:t>
            </w:r>
          </w:p>
        </w:tc>
        <w:tc>
          <w:tcPr>
            <w:tcW w:w="2758"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40606A">
            <w:pPr>
              <w:kinsoku w:val="0"/>
              <w:spacing w:line="380" w:lineRule="exact"/>
              <w:ind w:leftChars="-19" w:left="-65" w:rightChars="-15" w:right="-51"/>
              <w:rPr>
                <w:rFonts w:ascii="Times New Roman"/>
                <w:color w:val="000000" w:themeColor="text1"/>
                <w:spacing w:val="-6"/>
                <w:sz w:val="28"/>
                <w:szCs w:val="28"/>
              </w:rPr>
            </w:pPr>
            <w:r>
              <w:rPr>
                <w:rFonts w:ascii="Times New Roman" w:hint="eastAsia"/>
                <w:spacing w:val="-6"/>
                <w:sz w:val="28"/>
                <w:szCs w:val="28"/>
              </w:rPr>
              <w:t>有以前年度賸餘款，歲出預算增加編列比率達</w:t>
            </w:r>
            <w:r>
              <w:rPr>
                <w:rFonts w:ascii="Times New Roman"/>
                <w:spacing w:val="-6"/>
                <w:sz w:val="28"/>
                <w:szCs w:val="28"/>
              </w:rPr>
              <w:t xml:space="preserve">102 </w:t>
            </w:r>
            <w:r>
              <w:rPr>
                <w:rFonts w:ascii="Times New Roman" w:hint="eastAsia"/>
                <w:spacing w:val="-6"/>
                <w:sz w:val="28"/>
                <w:szCs w:val="28"/>
              </w:rPr>
              <w:t>年度決算之累計待運用數</w:t>
            </w:r>
            <w:r>
              <w:rPr>
                <w:rFonts w:ascii="Times New Roman"/>
                <w:spacing w:val="-6"/>
                <w:sz w:val="28"/>
                <w:szCs w:val="28"/>
              </w:rPr>
              <w:t>20%</w:t>
            </w:r>
            <w:r>
              <w:rPr>
                <w:rFonts w:ascii="Times New Roman" w:hint="eastAsia"/>
                <w:spacing w:val="-6"/>
                <w:sz w:val="28"/>
                <w:szCs w:val="28"/>
              </w:rPr>
              <w:t>者，該項考核成績得滿分</w:t>
            </w:r>
            <w:r>
              <w:rPr>
                <w:rFonts w:ascii="Times New Roman"/>
                <w:spacing w:val="-6"/>
                <w:sz w:val="28"/>
                <w:szCs w:val="28"/>
              </w:rPr>
              <w:t>(8</w:t>
            </w:r>
            <w:r>
              <w:rPr>
                <w:rFonts w:ascii="Times New Roman" w:hint="eastAsia"/>
                <w:spacing w:val="-6"/>
                <w:sz w:val="28"/>
                <w:szCs w:val="28"/>
              </w:rPr>
              <w:t>分</w:t>
            </w:r>
            <w:r>
              <w:rPr>
                <w:rFonts w:ascii="Times New Roman"/>
                <w:spacing w:val="-6"/>
                <w:sz w:val="28"/>
                <w:szCs w:val="28"/>
              </w:rPr>
              <w:t>)</w:t>
            </w:r>
          </w:p>
        </w:tc>
        <w:tc>
          <w:tcPr>
            <w:tcW w:w="3289"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BD589B">
            <w:pPr>
              <w:topLinePunct/>
              <w:spacing w:line="380" w:lineRule="exact"/>
              <w:ind w:leftChars="-19" w:left="-65" w:rightChars="-15" w:right="-51"/>
              <w:rPr>
                <w:rFonts w:ascii="Times New Roman"/>
                <w:color w:val="000000" w:themeColor="text1"/>
                <w:spacing w:val="-6"/>
                <w:sz w:val="28"/>
                <w:szCs w:val="28"/>
              </w:rPr>
            </w:pPr>
            <w:r>
              <w:rPr>
                <w:rFonts w:ascii="Times New Roman" w:hint="eastAsia"/>
                <w:spacing w:val="-6"/>
                <w:sz w:val="28"/>
                <w:szCs w:val="28"/>
              </w:rPr>
              <w:t>臺中市、臺北市、臺東縣、臺南市、宜蘭縣、金門縣、南投縣、屏東縣、苗栗縣、桃園市、高雄市、基隆市、雲林縣、新北市、新竹市、新竹縣、嘉義市、嘉義縣、彰化縣及澎湖縣等</w:t>
            </w:r>
            <w:r>
              <w:rPr>
                <w:rFonts w:ascii="Times New Roman"/>
                <w:spacing w:val="-6"/>
                <w:sz w:val="28"/>
                <w:szCs w:val="28"/>
              </w:rPr>
              <w:t>20</w:t>
            </w:r>
            <w:r>
              <w:rPr>
                <w:rFonts w:ascii="Times New Roman" w:hint="eastAsia"/>
                <w:spacing w:val="-6"/>
                <w:sz w:val="28"/>
                <w:szCs w:val="28"/>
              </w:rPr>
              <w:t>個縣市</w:t>
            </w:r>
            <w:r w:rsidR="00BD589B">
              <w:rPr>
                <w:rFonts w:ascii="Times New Roman" w:hint="eastAsia"/>
                <w:spacing w:val="-6"/>
                <w:sz w:val="28"/>
                <w:szCs w:val="28"/>
              </w:rPr>
              <w:t>。</w:t>
            </w:r>
          </w:p>
        </w:tc>
      </w:tr>
      <w:tr w:rsidR="0040606A" w:rsidTr="00C055EF">
        <w:tc>
          <w:tcPr>
            <w:tcW w:w="1512"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kinsoku w:val="0"/>
              <w:spacing w:line="380" w:lineRule="exact"/>
              <w:jc w:val="center"/>
              <w:rPr>
                <w:rFonts w:ascii="Times New Roman"/>
                <w:color w:val="000000" w:themeColor="text1"/>
                <w:sz w:val="28"/>
                <w:szCs w:val="28"/>
              </w:rPr>
            </w:pPr>
            <w:r>
              <w:rPr>
                <w:rFonts w:ascii="Times New Roman"/>
                <w:color w:val="000000" w:themeColor="text1"/>
                <w:sz w:val="28"/>
                <w:szCs w:val="28"/>
              </w:rPr>
              <w:t>105</w:t>
            </w:r>
          </w:p>
        </w:tc>
        <w:tc>
          <w:tcPr>
            <w:tcW w:w="2758"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40606A">
            <w:pPr>
              <w:kinsoku w:val="0"/>
              <w:spacing w:line="380" w:lineRule="exact"/>
              <w:ind w:leftChars="-19" w:left="-65" w:rightChars="-15" w:right="-51"/>
              <w:rPr>
                <w:rFonts w:ascii="Times New Roman"/>
                <w:color w:val="000000" w:themeColor="text1"/>
                <w:spacing w:val="-6"/>
                <w:sz w:val="28"/>
                <w:szCs w:val="28"/>
              </w:rPr>
            </w:pPr>
            <w:r>
              <w:rPr>
                <w:rFonts w:ascii="Times New Roman" w:hint="eastAsia"/>
                <w:spacing w:val="-6"/>
                <w:sz w:val="28"/>
                <w:szCs w:val="28"/>
              </w:rPr>
              <w:t>有以前年度賸餘款者，歲出預算增加編列比率達</w:t>
            </w:r>
            <w:r>
              <w:rPr>
                <w:rFonts w:ascii="Times New Roman"/>
                <w:spacing w:val="-6"/>
                <w:sz w:val="28"/>
                <w:szCs w:val="28"/>
              </w:rPr>
              <w:t>103</w:t>
            </w:r>
            <w:r>
              <w:rPr>
                <w:rFonts w:ascii="Times New Roman" w:hint="eastAsia"/>
                <w:spacing w:val="-6"/>
                <w:sz w:val="28"/>
                <w:szCs w:val="28"/>
              </w:rPr>
              <w:t>年度決算之累計待運用數</w:t>
            </w:r>
            <w:r>
              <w:rPr>
                <w:rFonts w:ascii="Times New Roman"/>
                <w:spacing w:val="-6"/>
                <w:sz w:val="28"/>
                <w:szCs w:val="28"/>
              </w:rPr>
              <w:t>25%</w:t>
            </w:r>
            <w:r>
              <w:rPr>
                <w:rFonts w:ascii="Times New Roman" w:hint="eastAsia"/>
                <w:spacing w:val="-6"/>
                <w:sz w:val="28"/>
                <w:szCs w:val="28"/>
              </w:rPr>
              <w:t>者，該項考核成績得滿分</w:t>
            </w:r>
            <w:r>
              <w:rPr>
                <w:rFonts w:ascii="Times New Roman"/>
                <w:spacing w:val="-6"/>
                <w:sz w:val="28"/>
                <w:szCs w:val="28"/>
              </w:rPr>
              <w:t>(8</w:t>
            </w:r>
            <w:r>
              <w:rPr>
                <w:rFonts w:ascii="Times New Roman" w:hint="eastAsia"/>
                <w:spacing w:val="-6"/>
                <w:sz w:val="28"/>
                <w:szCs w:val="28"/>
              </w:rPr>
              <w:t>分</w:t>
            </w:r>
            <w:r>
              <w:rPr>
                <w:rFonts w:ascii="Times New Roman"/>
                <w:spacing w:val="-6"/>
                <w:sz w:val="28"/>
                <w:szCs w:val="28"/>
              </w:rPr>
              <w:t>)</w:t>
            </w:r>
          </w:p>
        </w:tc>
        <w:tc>
          <w:tcPr>
            <w:tcW w:w="3289"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406FC6">
            <w:pPr>
              <w:topLinePunct/>
              <w:spacing w:line="380" w:lineRule="exact"/>
              <w:ind w:leftChars="-19" w:left="-65" w:rightChars="-15" w:right="-51"/>
              <w:rPr>
                <w:rFonts w:ascii="Times New Roman"/>
                <w:color w:val="000000" w:themeColor="text1"/>
                <w:spacing w:val="-6"/>
                <w:sz w:val="28"/>
                <w:szCs w:val="28"/>
              </w:rPr>
            </w:pPr>
            <w:r>
              <w:rPr>
                <w:rFonts w:ascii="Times New Roman" w:hint="eastAsia"/>
                <w:spacing w:val="-6"/>
                <w:sz w:val="28"/>
                <w:szCs w:val="28"/>
              </w:rPr>
              <w:t>臺中市、臺北市、臺東縣、臺南市、宜蘭縣、花蓮縣、金門縣、南投縣、屏東縣、苗栗縣、桃園市、高雄市、基隆市、雲林縣、新北市、新竹市、新竹縣、嘉義市、嘉義縣、彰化縣及澎湖縣等</w:t>
            </w:r>
            <w:r>
              <w:rPr>
                <w:rFonts w:ascii="Times New Roman"/>
                <w:spacing w:val="-6"/>
                <w:sz w:val="28"/>
                <w:szCs w:val="28"/>
              </w:rPr>
              <w:t>2</w:t>
            </w:r>
            <w:r w:rsidR="00406FC6">
              <w:rPr>
                <w:rFonts w:ascii="Times New Roman" w:hint="eastAsia"/>
                <w:spacing w:val="-6"/>
                <w:sz w:val="28"/>
                <w:szCs w:val="28"/>
              </w:rPr>
              <w:t>1</w:t>
            </w:r>
            <w:r>
              <w:rPr>
                <w:rFonts w:ascii="Times New Roman" w:hint="eastAsia"/>
                <w:spacing w:val="-6"/>
                <w:sz w:val="28"/>
                <w:szCs w:val="28"/>
              </w:rPr>
              <w:t>個縣市</w:t>
            </w:r>
            <w:r w:rsidR="00BD589B">
              <w:rPr>
                <w:rFonts w:ascii="Times New Roman" w:hint="eastAsia"/>
                <w:spacing w:val="-6"/>
                <w:sz w:val="28"/>
                <w:szCs w:val="28"/>
              </w:rPr>
              <w:t>。</w:t>
            </w:r>
          </w:p>
        </w:tc>
      </w:tr>
    </w:tbl>
    <w:p w:rsidR="0040606A" w:rsidRDefault="0040606A" w:rsidP="0040606A">
      <w:pPr>
        <w:pStyle w:val="3"/>
        <w:numPr>
          <w:ilvl w:val="0"/>
          <w:numId w:val="0"/>
        </w:numPr>
        <w:kinsoku w:val="0"/>
        <w:spacing w:afterLines="25" w:after="114" w:line="320" w:lineRule="exact"/>
        <w:ind w:left="1361"/>
        <w:rPr>
          <w:rFonts w:ascii="Times New Roman" w:hAnsi="Times New Roman"/>
          <w:sz w:val="24"/>
          <w:szCs w:val="24"/>
        </w:rPr>
      </w:pPr>
      <w:bookmarkStart w:id="1827" w:name="_Toc507767736"/>
      <w:bookmarkStart w:id="1828" w:name="_Toc507768462"/>
      <w:bookmarkStart w:id="1829" w:name="_Toc511115458"/>
      <w:bookmarkStart w:id="1830" w:name="_Toc511308248"/>
      <w:bookmarkStart w:id="1831" w:name="_Toc511998692"/>
      <w:bookmarkStart w:id="1832" w:name="_Toc512421049"/>
      <w:bookmarkStart w:id="1833" w:name="_Toc507518647"/>
      <w:bookmarkStart w:id="1834" w:name="_Toc507491630"/>
      <w:r>
        <w:rPr>
          <w:rFonts w:ascii="Times New Roman" w:hAnsi="Times New Roman" w:hint="eastAsia"/>
          <w:sz w:val="24"/>
          <w:szCs w:val="24"/>
        </w:rPr>
        <w:t>資料來源：財政部於詢問後補充之書面資料。</w:t>
      </w:r>
      <w:bookmarkEnd w:id="1827"/>
      <w:bookmarkEnd w:id="1828"/>
      <w:bookmarkEnd w:id="1829"/>
      <w:bookmarkEnd w:id="1830"/>
      <w:bookmarkEnd w:id="1831"/>
      <w:bookmarkEnd w:id="1832"/>
    </w:p>
    <w:p w:rsidR="0040606A" w:rsidRPr="007F39EF" w:rsidRDefault="0040606A" w:rsidP="0040606A">
      <w:pPr>
        <w:pStyle w:val="3"/>
        <w:numPr>
          <w:ilvl w:val="2"/>
          <w:numId w:val="9"/>
        </w:numPr>
        <w:kinsoku w:val="0"/>
        <w:ind w:left="1360" w:hanging="680"/>
        <w:rPr>
          <w:rFonts w:ascii="Times New Roman"/>
          <w:spacing w:val="-4"/>
        </w:rPr>
      </w:pPr>
      <w:bookmarkStart w:id="1835" w:name="_Toc507767737"/>
      <w:bookmarkStart w:id="1836" w:name="_Toc507768463"/>
      <w:bookmarkStart w:id="1837" w:name="_Toc511115459"/>
      <w:bookmarkStart w:id="1838" w:name="_Toc511308249"/>
      <w:bookmarkStart w:id="1839" w:name="_Toc511998693"/>
      <w:bookmarkStart w:id="1840" w:name="_Toc512421050"/>
      <w:r w:rsidRPr="007F39EF">
        <w:rPr>
          <w:rFonts w:ascii="Times New Roman" w:hAnsi="Times New Roman" w:hint="eastAsia"/>
          <w:spacing w:val="-4"/>
        </w:rPr>
        <w:t>惟據地方政府代表於本院座談時表示：</w:t>
      </w:r>
      <w:r w:rsidRPr="007F39EF">
        <w:rPr>
          <w:rFonts w:hAnsi="標楷體" w:hint="eastAsia"/>
          <w:spacing w:val="-4"/>
        </w:rPr>
        <w:t>○○</w:t>
      </w:r>
      <w:r w:rsidRPr="007F39EF">
        <w:rPr>
          <w:rFonts w:ascii="Times New Roman" w:hAnsi="Times New Roman" w:hint="eastAsia"/>
          <w:spacing w:val="-4"/>
        </w:rPr>
        <w:t>縣形成賸餘的原因係無人執行，創新方案亦無專業能力操作所致；部分地方因欠缺專業團隊及民間團體提供協助，以致運用公益彩券盈餘分配款發展創新方案，相當困難；</w:t>
      </w:r>
      <w:r w:rsidRPr="007F39EF">
        <w:rPr>
          <w:rFonts w:ascii="Times New Roman" w:hint="eastAsia"/>
          <w:spacing w:val="-4"/>
        </w:rPr>
        <w:t>較弱的縣市競爭不過新北市、臺北市、桃園市、臺中市，因人力本來就少，要比競爭型方案時，</w:t>
      </w:r>
      <w:r w:rsidRPr="007F39EF">
        <w:rPr>
          <w:rFonts w:hAnsi="標楷體" w:hint="eastAsia"/>
          <w:spacing w:val="-4"/>
        </w:rPr>
        <w:t>○○</w:t>
      </w:r>
      <w:r w:rsidRPr="007F39EF">
        <w:rPr>
          <w:rFonts w:ascii="Times New Roman" w:hint="eastAsia"/>
          <w:spacing w:val="-4"/>
        </w:rPr>
        <w:t>縣的民間團體在程度、專業能力比較不強，地方政府需要經常輔導、拜託民間團體提送計畫，但仍力有未逮</w:t>
      </w:r>
      <w:r w:rsidRPr="007F39EF">
        <w:rPr>
          <w:rFonts w:ascii="Times New Roman" w:hAnsi="Times New Roman" w:hint="eastAsia"/>
          <w:spacing w:val="-4"/>
        </w:rPr>
        <w:t>等語。顯見部分地方政府因其在地提供服務之民間團體數量不足，</w:t>
      </w:r>
      <w:r w:rsidRPr="007F39EF">
        <w:rPr>
          <w:rFonts w:ascii="Times New Roman" w:hint="eastAsia"/>
          <w:spacing w:val="-4"/>
        </w:rPr>
        <w:t>服務量能因而有所不足，以致運用公益彩券盈餘分配款推展社會福利更具挑戰及艱困。惟財政部及衛福部僅是透過量化的考核指標促使地方政府加強迅速運用累計待運用數，卻缺乏相關配套及協助輔導機制，是否引發地方政府預算編列或</w:t>
      </w:r>
      <w:r w:rsidR="0099109C" w:rsidRPr="007F39EF">
        <w:rPr>
          <w:rFonts w:ascii="Times New Roman" w:hint="eastAsia"/>
          <w:spacing w:val="-4"/>
        </w:rPr>
        <w:t>經</w:t>
      </w:r>
      <w:r w:rsidRPr="007F39EF">
        <w:rPr>
          <w:rFonts w:ascii="Times New Roman" w:hint="eastAsia"/>
          <w:spacing w:val="-4"/>
        </w:rPr>
        <w:t>費使用不當之情事，不無疑慮。</w:t>
      </w:r>
      <w:bookmarkEnd w:id="1833"/>
      <w:bookmarkEnd w:id="1834"/>
      <w:bookmarkEnd w:id="1835"/>
      <w:bookmarkEnd w:id="1836"/>
      <w:bookmarkEnd w:id="1837"/>
      <w:bookmarkEnd w:id="1838"/>
      <w:bookmarkEnd w:id="1839"/>
      <w:bookmarkEnd w:id="1840"/>
    </w:p>
    <w:p w:rsidR="0040606A" w:rsidRDefault="0040606A" w:rsidP="0040606A">
      <w:pPr>
        <w:pStyle w:val="3"/>
        <w:numPr>
          <w:ilvl w:val="2"/>
          <w:numId w:val="9"/>
        </w:numPr>
        <w:kinsoku w:val="0"/>
        <w:ind w:left="1360" w:hanging="680"/>
        <w:rPr>
          <w:rFonts w:ascii="Times New Roman" w:hAnsi="Times New Roman"/>
        </w:rPr>
      </w:pPr>
      <w:bookmarkStart w:id="1841" w:name="_Toc507518648"/>
      <w:bookmarkStart w:id="1842" w:name="_Toc507491631"/>
      <w:bookmarkStart w:id="1843" w:name="_Toc507767738"/>
      <w:bookmarkStart w:id="1844" w:name="_Toc507768464"/>
      <w:bookmarkStart w:id="1845" w:name="_Toc511115460"/>
      <w:bookmarkStart w:id="1846" w:name="_Toc511308250"/>
      <w:bookmarkStart w:id="1847" w:name="_Toc511998694"/>
      <w:bookmarkStart w:id="1848" w:name="_Toc512421051"/>
      <w:r>
        <w:rPr>
          <w:rFonts w:ascii="Times New Roman" w:hAnsi="Times New Roman" w:hint="eastAsia"/>
        </w:rPr>
        <w:t>再據財政部</w:t>
      </w:r>
      <w:r>
        <w:rPr>
          <w:rFonts w:ascii="Times New Roman" w:hAnsi="Times New Roman"/>
        </w:rPr>
        <w:t>101</w:t>
      </w:r>
      <w:r>
        <w:rPr>
          <w:rFonts w:ascii="Times New Roman" w:hAnsi="Times New Roman" w:hint="eastAsia"/>
        </w:rPr>
        <w:t>年度委託研究報告指出：</w:t>
      </w:r>
      <w:r>
        <w:rPr>
          <w:rFonts w:ascii="Times New Roman" w:hAnsi="Times New Roman"/>
        </w:rPr>
        <w:t>102</w:t>
      </w:r>
      <w:r>
        <w:rPr>
          <w:rFonts w:ascii="Times New Roman" w:hAnsi="Times New Roman" w:hint="eastAsia"/>
        </w:rPr>
        <w:t>年度起有關增加運用累計待運用數之考核係依照「有以前年度賸餘款者，歲出預算增加編列比率達</w:t>
      </w:r>
      <w:r>
        <w:rPr>
          <w:rFonts w:ascii="Times New Roman" w:hAnsi="Times New Roman"/>
        </w:rPr>
        <w:t>100</w:t>
      </w:r>
      <w:r>
        <w:rPr>
          <w:rFonts w:ascii="Times New Roman" w:hAnsi="Times New Roman" w:hint="eastAsia"/>
        </w:rPr>
        <w:t>年度決算之累計待運用數</w:t>
      </w:r>
      <w:r>
        <w:rPr>
          <w:rFonts w:ascii="Times New Roman" w:hAnsi="Times New Roman"/>
        </w:rPr>
        <w:t>20%</w:t>
      </w:r>
      <w:r>
        <w:rPr>
          <w:rFonts w:ascii="Times New Roman" w:hAnsi="Times New Roman" w:hint="eastAsia"/>
        </w:rPr>
        <w:t>」，此項指標立意良善，卻有濫用之虞，爰建議與其冒著每年消化累積賸餘款</w:t>
      </w:r>
      <w:r>
        <w:rPr>
          <w:rFonts w:ascii="Times New Roman" w:hAnsi="Times New Roman"/>
        </w:rPr>
        <w:t>20%</w:t>
      </w:r>
      <w:r>
        <w:rPr>
          <w:rFonts w:ascii="Times New Roman" w:hAnsi="Times New Roman" w:hint="eastAsia"/>
        </w:rPr>
        <w:t>的風險，不如請地方政府提出對既有累計待運用數的「運用計畫」，可為多年度的計畫性方案，以建立地方政府更為完整的社會福利輸送體系，而非「單一年度無規劃」迅速執行卻缺乏政策延續性的獨立方案；另該研究亦建議：累計待運用數的處理可納入「安全預備金」加以</w:t>
      </w:r>
      <w:r w:rsidR="0099109C">
        <w:rPr>
          <w:rFonts w:ascii="Times New Roman" w:hAnsi="Times New Roman" w:hint="eastAsia"/>
        </w:rPr>
        <w:t>控管</w:t>
      </w:r>
      <w:r>
        <w:rPr>
          <w:rFonts w:ascii="Times New Roman" w:hAnsi="Times New Roman" w:hint="eastAsia"/>
        </w:rPr>
        <w:t>，以增加地方社會福利供給的延續性，並抑制累計待運用數持續增加。而某地方政府代表於本院座談時表示：各縣市之所以有賸餘款並非是用不掉，係因地方財源與社會福利支出仍相當不足，且該市因民間團體監督</w:t>
      </w:r>
      <w:r w:rsidR="007F39EF">
        <w:rPr>
          <w:rFonts w:ascii="Times New Roman" w:hAnsi="Times New Roman" w:hint="eastAsia"/>
        </w:rPr>
        <w:t>力道</w:t>
      </w:r>
      <w:r>
        <w:rPr>
          <w:rFonts w:ascii="Times New Roman" w:hAnsi="Times New Roman" w:hint="eastAsia"/>
        </w:rPr>
        <w:t>既強且嚴格，再加上預估賸餘款</w:t>
      </w:r>
      <w:r w:rsidR="007F39EF">
        <w:rPr>
          <w:rFonts w:ascii="Times New Roman" w:hAnsi="Times New Roman" w:hint="eastAsia"/>
        </w:rPr>
        <w:t>將</w:t>
      </w:r>
      <w:r>
        <w:rPr>
          <w:rFonts w:ascii="Times New Roman" w:hAnsi="Times New Roman" w:hint="eastAsia"/>
        </w:rPr>
        <w:t>於</w:t>
      </w:r>
      <w:r>
        <w:rPr>
          <w:rFonts w:ascii="Times New Roman" w:hAnsi="Times New Roman"/>
        </w:rPr>
        <w:t>5</w:t>
      </w:r>
      <w:r>
        <w:rPr>
          <w:rFonts w:ascii="Times New Roman" w:hAnsi="Times New Roman" w:hint="eastAsia"/>
        </w:rPr>
        <w:t>年內用罄，之後將入不敷出，爰更加嚴謹運用賸餘款，並希望可作長遠之規劃及使用等語。本院諮詢之專家學者亦表示：</w:t>
      </w:r>
      <w:r>
        <w:rPr>
          <w:rFonts w:ascii="Times New Roman" w:hAnsi="Times New Roman" w:hint="eastAsia"/>
          <w:szCs w:val="32"/>
        </w:rPr>
        <w:t>隨人口減少之趨勢，公彩盈餘將逐年縮減，預估</w:t>
      </w:r>
      <w:r>
        <w:rPr>
          <w:rFonts w:ascii="Times New Roman" w:hAnsi="Times New Roman"/>
          <w:szCs w:val="32"/>
        </w:rPr>
        <w:t>130</w:t>
      </w:r>
      <w:r>
        <w:rPr>
          <w:rFonts w:ascii="Times New Roman" w:hAnsi="Times New Roman" w:hint="eastAsia"/>
          <w:szCs w:val="32"/>
        </w:rPr>
        <w:t>年乃是老年人口最多的時間點，但同時亦為公彩盈餘最少之時，倘若現在將其用罄，恐影響政策延續性，應否考量建立提撥機制，保留一部分作為因應未來不足之用等語。</w:t>
      </w:r>
      <w:r>
        <w:rPr>
          <w:rFonts w:ascii="Times New Roman" w:hAnsi="Times New Roman" w:hint="eastAsia"/>
        </w:rPr>
        <w:t>且據財政部查復表示：對獲配彩券盈餘累計賸餘運用，該部公益彩券監理委員會之委員及部分地方政府，亦有以公益彩券盈餘係不穩定財源，為利地方社會福利業務穩定推動辦理，提出年度應有部分保留款或準備款概念，以增加地方社福經費供給之延續性等語。</w:t>
      </w:r>
      <w:bookmarkEnd w:id="1841"/>
      <w:bookmarkEnd w:id="1842"/>
      <w:bookmarkEnd w:id="1843"/>
      <w:bookmarkEnd w:id="1844"/>
      <w:bookmarkEnd w:id="1845"/>
      <w:bookmarkEnd w:id="1846"/>
      <w:bookmarkEnd w:id="1847"/>
      <w:bookmarkEnd w:id="1848"/>
    </w:p>
    <w:p w:rsidR="0040606A" w:rsidRDefault="0040606A" w:rsidP="0040606A">
      <w:pPr>
        <w:pStyle w:val="3"/>
        <w:numPr>
          <w:ilvl w:val="2"/>
          <w:numId w:val="9"/>
        </w:numPr>
        <w:topLinePunct/>
        <w:ind w:left="1360" w:hanging="680"/>
        <w:rPr>
          <w:rFonts w:ascii="Times New Roman" w:hAnsi="Times New Roman"/>
        </w:rPr>
      </w:pPr>
      <w:bookmarkStart w:id="1849" w:name="_Toc507518649"/>
      <w:bookmarkStart w:id="1850" w:name="_Toc507491632"/>
      <w:bookmarkStart w:id="1851" w:name="_Toc507767739"/>
      <w:bookmarkStart w:id="1852" w:name="_Toc507768465"/>
      <w:bookmarkStart w:id="1853" w:name="_Toc511115461"/>
      <w:bookmarkStart w:id="1854" w:name="_Toc511308251"/>
      <w:bookmarkStart w:id="1855" w:name="_Toc511998695"/>
      <w:bookmarkStart w:id="1856" w:name="_Toc512421052"/>
      <w:r>
        <w:rPr>
          <w:rFonts w:ascii="Times New Roman" w:hAnsi="Times New Roman" w:hint="eastAsia"/>
        </w:rPr>
        <w:t>綜上，</w:t>
      </w:r>
      <w:bookmarkEnd w:id="1849"/>
      <w:bookmarkEnd w:id="1850"/>
      <w:r>
        <w:rPr>
          <w:rFonts w:ascii="Times New Roman" w:hAnsi="Times New Roman" w:hint="eastAsia"/>
        </w:rPr>
        <w:t>截至</w:t>
      </w:r>
      <w:r>
        <w:rPr>
          <w:rFonts w:ascii="Times New Roman" w:hAnsi="Times New Roman"/>
        </w:rPr>
        <w:t>105</w:t>
      </w:r>
      <w:r>
        <w:rPr>
          <w:rFonts w:ascii="Times New Roman" w:hAnsi="Times New Roman" w:hint="eastAsia"/>
        </w:rPr>
        <w:t>年底，</w:t>
      </w:r>
      <w:r>
        <w:rPr>
          <w:rFonts w:ascii="Times New Roman" w:hAnsi="Times New Roman"/>
        </w:rPr>
        <w:t>22</w:t>
      </w:r>
      <w:r>
        <w:rPr>
          <w:rFonts w:ascii="Times New Roman" w:hAnsi="Times New Roman" w:hint="eastAsia"/>
        </w:rPr>
        <w:t>個縣市公益彩券盈餘分配款累計待運用數已達</w:t>
      </w:r>
      <w:r>
        <w:rPr>
          <w:rFonts w:ascii="Times New Roman" w:hAnsi="Times New Roman"/>
        </w:rPr>
        <w:t>159</w:t>
      </w:r>
      <w:r>
        <w:rPr>
          <w:rFonts w:ascii="Times New Roman" w:hAnsi="Times New Roman" w:hint="eastAsia"/>
        </w:rPr>
        <w:t>億</w:t>
      </w:r>
      <w:r>
        <w:rPr>
          <w:rFonts w:ascii="Times New Roman" w:hAnsi="Times New Roman"/>
        </w:rPr>
        <w:t>8</w:t>
      </w:r>
      <w:r>
        <w:rPr>
          <w:rFonts w:ascii="Times New Roman" w:hAnsi="Times New Roman" w:hint="eastAsia"/>
        </w:rPr>
        <w:t>千萬餘元，財政部及衛福部為促請地方政府積極強化運用，雖自</w:t>
      </w:r>
      <w:r>
        <w:rPr>
          <w:rFonts w:ascii="Times New Roman" w:hAnsi="Times New Roman"/>
        </w:rPr>
        <w:t>102</w:t>
      </w:r>
      <w:r>
        <w:rPr>
          <w:rFonts w:ascii="Times New Roman" w:hAnsi="Times New Roman" w:hint="eastAsia"/>
        </w:rPr>
        <w:t>年逐年提高考核配分，惟欠缺相關監督及輔導機制，以避免地方產生運用不當之風險；</w:t>
      </w:r>
      <w:r w:rsidR="007F39EF" w:rsidRPr="007F39EF">
        <w:rPr>
          <w:rFonts w:ascii="Times New Roman" w:hAnsi="Times New Roman" w:hint="eastAsia"/>
        </w:rPr>
        <w:t>加以部分縣市在地提供服務之民間團體數量不足，以致運用公益彩券盈餘分配款結合民間力量推展社會福利需求更具挑戰及艱困，均亟待財政部及衛福部妥為因應解決，並研議納入「安全預備金」之可行性，以合理降低待運用累積數，並增進地方社會福利供給之永續性</w:t>
      </w:r>
      <w:r w:rsidRPr="007F39EF">
        <w:rPr>
          <w:rFonts w:ascii="Times New Roman" w:hAnsi="Times New Roman" w:hint="eastAsia"/>
        </w:rPr>
        <w:t>。</w:t>
      </w:r>
      <w:bookmarkEnd w:id="1851"/>
      <w:bookmarkEnd w:id="1852"/>
      <w:bookmarkEnd w:id="1853"/>
      <w:bookmarkEnd w:id="1854"/>
      <w:bookmarkEnd w:id="1855"/>
      <w:bookmarkEnd w:id="1856"/>
    </w:p>
    <w:p w:rsidR="0040606A" w:rsidRDefault="0040606A" w:rsidP="0040606A">
      <w:pPr>
        <w:pStyle w:val="2"/>
        <w:numPr>
          <w:ilvl w:val="1"/>
          <w:numId w:val="9"/>
        </w:numPr>
        <w:topLinePunct/>
        <w:ind w:left="1020" w:hanging="680"/>
        <w:rPr>
          <w:rFonts w:ascii="Times New Roman" w:hAnsi="Times New Roman"/>
          <w:b/>
          <w:spacing w:val="-4"/>
        </w:rPr>
      </w:pPr>
      <w:bookmarkStart w:id="1857" w:name="_Toc507767740"/>
      <w:bookmarkStart w:id="1858" w:name="_Toc511115462"/>
      <w:bookmarkStart w:id="1859" w:name="_Toc512421053"/>
      <w:r>
        <w:rPr>
          <w:rFonts w:ascii="Times New Roman" w:hAnsi="Times New Roman" w:hint="eastAsia"/>
          <w:b/>
          <w:spacing w:val="-4"/>
        </w:rPr>
        <w:t>財政部</w:t>
      </w:r>
      <w:bookmarkStart w:id="1860" w:name="_Toc507073000"/>
      <w:r>
        <w:rPr>
          <w:rFonts w:ascii="Times New Roman" w:hAnsi="Times New Roman" w:hint="eastAsia"/>
          <w:b/>
          <w:spacing w:val="-4"/>
        </w:rPr>
        <w:t>國庫署網站定期公布之「公益彩券盈餘分配及銷售量簡表」中有關分配予地方政府辦理社會福利的金額，與該部國庫署網站另定期公布之「公益彩券盈餘分配辦理社會福利事業情形彙總表」中有關</w:t>
      </w:r>
      <w:r>
        <w:rPr>
          <w:rFonts w:ascii="Times New Roman" w:hAnsi="Times New Roman"/>
          <w:b/>
          <w:spacing w:val="-4"/>
        </w:rPr>
        <w:t>22</w:t>
      </w:r>
      <w:r>
        <w:rPr>
          <w:rFonts w:ascii="Times New Roman" w:hAnsi="Times New Roman" w:hint="eastAsia"/>
          <w:b/>
          <w:spacing w:val="-4"/>
        </w:rPr>
        <w:t>個縣市獲配公益彩券盈餘總計的金額，</w:t>
      </w:r>
      <w:r w:rsidR="00320E09">
        <w:rPr>
          <w:rFonts w:ascii="Times New Roman" w:hAnsi="Times New Roman" w:hint="eastAsia"/>
          <w:b/>
          <w:spacing w:val="-4"/>
        </w:rPr>
        <w:t>兩項統計</w:t>
      </w:r>
      <w:r>
        <w:rPr>
          <w:rFonts w:ascii="Times New Roman" w:hAnsi="Times New Roman" w:hint="eastAsia"/>
          <w:b/>
          <w:spacing w:val="-4"/>
        </w:rPr>
        <w:t>數據存有差異，以</w:t>
      </w:r>
      <w:r>
        <w:rPr>
          <w:rFonts w:ascii="Times New Roman" w:hAnsi="Times New Roman"/>
          <w:b/>
          <w:spacing w:val="-4"/>
        </w:rPr>
        <w:t>105</w:t>
      </w:r>
      <w:r>
        <w:rPr>
          <w:rFonts w:ascii="Times New Roman" w:hAnsi="Times New Roman" w:hint="eastAsia"/>
          <w:b/>
          <w:spacing w:val="-4"/>
        </w:rPr>
        <w:t>年為例，差異達</w:t>
      </w:r>
      <w:r>
        <w:rPr>
          <w:rFonts w:ascii="Times New Roman" w:hAnsi="Times New Roman"/>
          <w:b/>
          <w:spacing w:val="-4"/>
        </w:rPr>
        <w:t>43</w:t>
      </w:r>
      <w:r>
        <w:rPr>
          <w:rFonts w:ascii="Times New Roman" w:hAnsi="Times New Roman" w:hint="eastAsia"/>
          <w:b/>
          <w:spacing w:val="-4"/>
        </w:rPr>
        <w:t>億餘元，該</w:t>
      </w:r>
      <w:r w:rsidRPr="00D163D7">
        <w:rPr>
          <w:rFonts w:ascii="Times New Roman" w:hAnsi="Times New Roman" w:hint="eastAsia"/>
          <w:b/>
          <w:spacing w:val="-4"/>
        </w:rPr>
        <w:t>差異係因前者為當年度</w:t>
      </w:r>
      <w:r w:rsidRPr="00D163D7">
        <w:rPr>
          <w:rFonts w:ascii="Times New Roman" w:hAnsi="Times New Roman"/>
          <w:b/>
          <w:spacing w:val="-4"/>
        </w:rPr>
        <w:t>1</w:t>
      </w:r>
      <w:r w:rsidRPr="00D163D7">
        <w:rPr>
          <w:rFonts w:ascii="Times New Roman" w:hAnsi="Times New Roman" w:hint="eastAsia"/>
          <w:b/>
          <w:spacing w:val="-4"/>
        </w:rPr>
        <w:t>月至</w:t>
      </w:r>
      <w:r w:rsidRPr="00D163D7">
        <w:rPr>
          <w:rFonts w:ascii="Times New Roman" w:hAnsi="Times New Roman"/>
          <w:b/>
          <w:spacing w:val="-4"/>
        </w:rPr>
        <w:t>12</w:t>
      </w:r>
      <w:r w:rsidRPr="00D163D7">
        <w:rPr>
          <w:rFonts w:ascii="Times New Roman" w:hAnsi="Times New Roman" w:hint="eastAsia"/>
          <w:b/>
          <w:spacing w:val="-4"/>
        </w:rPr>
        <w:t>月完整資料，後者則為前一年度</w:t>
      </w:r>
      <w:r w:rsidRPr="00D163D7">
        <w:rPr>
          <w:rFonts w:ascii="Times New Roman" w:hAnsi="Times New Roman"/>
          <w:b/>
          <w:spacing w:val="-4"/>
        </w:rPr>
        <w:t>12</w:t>
      </w:r>
      <w:r w:rsidRPr="00D163D7">
        <w:rPr>
          <w:rFonts w:ascii="Times New Roman" w:hAnsi="Times New Roman" w:hint="eastAsia"/>
          <w:b/>
          <w:spacing w:val="-4"/>
        </w:rPr>
        <w:t>月至當年度</w:t>
      </w:r>
      <w:r w:rsidRPr="00D163D7">
        <w:rPr>
          <w:rFonts w:ascii="Times New Roman" w:hAnsi="Times New Roman"/>
          <w:b/>
          <w:spacing w:val="-4"/>
        </w:rPr>
        <w:t>1</w:t>
      </w:r>
      <w:r w:rsidRPr="00D163D7">
        <w:rPr>
          <w:rFonts w:ascii="Times New Roman" w:hAnsi="Times New Roman" w:hint="eastAsia"/>
          <w:b/>
          <w:spacing w:val="-4"/>
        </w:rPr>
        <w:t>月至</w:t>
      </w:r>
      <w:r w:rsidRPr="00D163D7">
        <w:rPr>
          <w:rFonts w:ascii="Times New Roman" w:hAnsi="Times New Roman"/>
          <w:b/>
          <w:spacing w:val="-4"/>
        </w:rPr>
        <w:t>11</w:t>
      </w:r>
      <w:r w:rsidRPr="00D163D7">
        <w:rPr>
          <w:rFonts w:ascii="Times New Roman" w:hAnsi="Times New Roman" w:hint="eastAsia"/>
          <w:b/>
          <w:spacing w:val="-4"/>
        </w:rPr>
        <w:t>月資料，此造成兩者數據落差甚大，不利於社會各界檢視，易遭非議，該部應速檢討</w:t>
      </w:r>
      <w:r>
        <w:rPr>
          <w:rFonts w:ascii="Times New Roman" w:hAnsi="Times New Roman" w:hint="eastAsia"/>
          <w:b/>
          <w:spacing w:val="-4"/>
        </w:rPr>
        <w:t>改進。</w:t>
      </w:r>
      <w:bookmarkEnd w:id="1671"/>
      <w:bookmarkEnd w:id="1857"/>
      <w:bookmarkEnd w:id="1858"/>
      <w:bookmarkEnd w:id="1859"/>
      <w:bookmarkEnd w:id="1860"/>
    </w:p>
    <w:p w:rsidR="0040606A" w:rsidRDefault="0040606A" w:rsidP="0040606A">
      <w:pPr>
        <w:pStyle w:val="3"/>
        <w:numPr>
          <w:ilvl w:val="2"/>
          <w:numId w:val="9"/>
        </w:numPr>
        <w:kinsoku w:val="0"/>
        <w:ind w:left="1360" w:hanging="680"/>
        <w:rPr>
          <w:rFonts w:ascii="Times New Roman" w:hAnsi="Times New Roman"/>
        </w:rPr>
      </w:pPr>
      <w:bookmarkStart w:id="1861" w:name="_Toc507518629"/>
      <w:bookmarkStart w:id="1862" w:name="_Toc507767741"/>
      <w:bookmarkStart w:id="1863" w:name="_Toc507768467"/>
      <w:bookmarkStart w:id="1864" w:name="_Toc511115463"/>
      <w:bookmarkStart w:id="1865" w:name="_Toc511308253"/>
      <w:bookmarkStart w:id="1866" w:name="_Toc511998697"/>
      <w:bookmarkStart w:id="1867" w:name="_Toc512421054"/>
      <w:r>
        <w:rPr>
          <w:rFonts w:ascii="Times New Roman" w:hAnsi="Times New Roman" w:hint="eastAsia"/>
        </w:rPr>
        <w:t>依據財政部於國庫署網站定期公布之「公益彩券盈餘分配及銷售量簡表」顯示，公益彩券自</w:t>
      </w:r>
      <w:r>
        <w:rPr>
          <w:rFonts w:ascii="Times New Roman" w:hAnsi="Times New Roman"/>
        </w:rPr>
        <w:t>88</w:t>
      </w:r>
      <w:r>
        <w:rPr>
          <w:rFonts w:ascii="Times New Roman" w:hAnsi="Times New Roman" w:hint="eastAsia"/>
        </w:rPr>
        <w:t>年</w:t>
      </w:r>
      <w:r>
        <w:rPr>
          <w:rFonts w:ascii="Times New Roman" w:hAnsi="Times New Roman"/>
        </w:rPr>
        <w:t>12</w:t>
      </w:r>
      <w:r>
        <w:rPr>
          <w:rFonts w:ascii="Times New Roman" w:hAnsi="Times New Roman" w:hint="eastAsia"/>
        </w:rPr>
        <w:t>月發行以來，每年盈餘分配數供</w:t>
      </w:r>
      <w:r>
        <w:rPr>
          <w:rFonts w:ascii="Times New Roman" w:hAnsi="Times New Roman" w:hint="eastAsia"/>
          <w:szCs w:val="32"/>
        </w:rPr>
        <w:t>地方政府</w:t>
      </w:r>
      <w:r>
        <w:rPr>
          <w:rFonts w:ascii="Times New Roman" w:hAnsi="Times New Roman" w:hint="eastAsia"/>
        </w:rPr>
        <w:t>辦理社會福利之金額從</w:t>
      </w:r>
      <w:r>
        <w:rPr>
          <w:rFonts w:ascii="Times New Roman" w:hAnsi="Times New Roman"/>
        </w:rPr>
        <w:t>89</w:t>
      </w:r>
      <w:r>
        <w:rPr>
          <w:rFonts w:ascii="Times New Roman" w:hAnsi="Times New Roman" w:hint="eastAsia"/>
        </w:rPr>
        <w:t>年之</w:t>
      </w:r>
      <w:r>
        <w:rPr>
          <w:rFonts w:ascii="Times New Roman" w:hAnsi="Times New Roman"/>
        </w:rPr>
        <w:t>36</w:t>
      </w:r>
      <w:r>
        <w:rPr>
          <w:rFonts w:ascii="Times New Roman" w:hAnsi="Times New Roman" w:hint="eastAsia"/>
        </w:rPr>
        <w:t>億</w:t>
      </w:r>
      <w:r>
        <w:rPr>
          <w:rFonts w:ascii="Times New Roman" w:hAnsi="Times New Roman"/>
        </w:rPr>
        <w:t>2</w:t>
      </w:r>
      <w:r>
        <w:rPr>
          <w:rFonts w:ascii="Times New Roman" w:hAnsi="Times New Roman" w:hint="eastAsia"/>
        </w:rPr>
        <w:t>千萬餘元，逐年成長至</w:t>
      </w:r>
      <w:r>
        <w:rPr>
          <w:rFonts w:ascii="Times New Roman" w:hAnsi="Times New Roman"/>
        </w:rPr>
        <w:t>102</w:t>
      </w:r>
      <w:r>
        <w:rPr>
          <w:rFonts w:ascii="Times New Roman" w:hAnsi="Times New Roman" w:hint="eastAsia"/>
        </w:rPr>
        <w:t>年之</w:t>
      </w:r>
      <w:r>
        <w:rPr>
          <w:rFonts w:ascii="Times New Roman" w:hAnsi="Times New Roman"/>
        </w:rPr>
        <w:t>180</w:t>
      </w:r>
      <w:r>
        <w:rPr>
          <w:rFonts w:ascii="Times New Roman" w:hAnsi="Times New Roman" w:hint="eastAsia"/>
        </w:rPr>
        <w:t>億</w:t>
      </w:r>
      <w:r>
        <w:rPr>
          <w:rFonts w:ascii="Times New Roman" w:hAnsi="Times New Roman"/>
        </w:rPr>
        <w:t>3</w:t>
      </w:r>
      <w:r>
        <w:rPr>
          <w:rFonts w:ascii="Times New Roman" w:hAnsi="Times New Roman" w:hint="eastAsia"/>
        </w:rPr>
        <w:t>千萬餘元，嗣後降低至</w:t>
      </w:r>
      <w:r>
        <w:rPr>
          <w:rFonts w:ascii="Times New Roman" w:hAnsi="Times New Roman"/>
        </w:rPr>
        <w:t>105</w:t>
      </w:r>
      <w:r>
        <w:rPr>
          <w:rFonts w:ascii="Times New Roman" w:hAnsi="Times New Roman" w:hint="eastAsia"/>
        </w:rPr>
        <w:t>年之</w:t>
      </w:r>
      <w:r>
        <w:rPr>
          <w:rFonts w:ascii="Times New Roman" w:hAnsi="Times New Roman"/>
        </w:rPr>
        <w:t>132</w:t>
      </w:r>
      <w:r>
        <w:rPr>
          <w:rFonts w:ascii="Times New Roman" w:hAnsi="Times New Roman" w:hint="eastAsia"/>
        </w:rPr>
        <w:t>億</w:t>
      </w:r>
      <w:r>
        <w:rPr>
          <w:rFonts w:ascii="Times New Roman" w:hAnsi="Times New Roman"/>
        </w:rPr>
        <w:t>9</w:t>
      </w:r>
      <w:r>
        <w:rPr>
          <w:rFonts w:ascii="Times New Roman" w:hAnsi="Times New Roman" w:hint="eastAsia"/>
        </w:rPr>
        <w:t>千萬餘元</w:t>
      </w:r>
      <w:r w:rsidRPr="00016B23">
        <w:rPr>
          <w:rFonts w:ascii="Times New Roman" w:hAnsi="Times New Roman"/>
        </w:rPr>
        <w:t>(</w:t>
      </w:r>
      <w:r w:rsidRPr="00016B23">
        <w:rPr>
          <w:rFonts w:ascii="Times New Roman" w:hAnsi="Times New Roman" w:hint="eastAsia"/>
        </w:rPr>
        <w:t>詳見下表</w:t>
      </w:r>
      <w:r w:rsidRPr="00016B23">
        <w:rPr>
          <w:rFonts w:ascii="Times New Roman" w:hAnsi="Times New Roman"/>
        </w:rPr>
        <w:t>1</w:t>
      </w:r>
      <w:r w:rsidR="00D163D7" w:rsidRPr="00016B23">
        <w:rPr>
          <w:rFonts w:ascii="Times New Roman" w:hAnsi="Times New Roman" w:hint="eastAsia"/>
        </w:rPr>
        <w:t>7</w:t>
      </w:r>
      <w:r w:rsidRPr="00016B23">
        <w:rPr>
          <w:rFonts w:ascii="Times New Roman" w:hAnsi="Times New Roman"/>
        </w:rPr>
        <w:t>)</w:t>
      </w:r>
      <w:r w:rsidRPr="00016B23">
        <w:rPr>
          <w:rFonts w:ascii="Times New Roman" w:hAnsi="Times New Roman" w:hint="eastAsia"/>
        </w:rPr>
        <w:t>。</w:t>
      </w:r>
      <w:bookmarkEnd w:id="1861"/>
      <w:bookmarkEnd w:id="1862"/>
      <w:bookmarkEnd w:id="1863"/>
      <w:bookmarkEnd w:id="1864"/>
      <w:bookmarkEnd w:id="1865"/>
      <w:bookmarkEnd w:id="1866"/>
      <w:bookmarkEnd w:id="1867"/>
    </w:p>
    <w:p w:rsidR="0040606A" w:rsidRDefault="0040606A" w:rsidP="0040606A">
      <w:pPr>
        <w:pStyle w:val="a3"/>
        <w:numPr>
          <w:ilvl w:val="0"/>
          <w:numId w:val="34"/>
        </w:numPr>
        <w:spacing w:before="120" w:after="0"/>
        <w:ind w:left="2212" w:rightChars="-5" w:right="-17" w:hanging="910"/>
        <w:textAlignment w:val="auto"/>
        <w:rPr>
          <w:rFonts w:ascii="Times New Roman" w:hAnsi="Times New Roman"/>
          <w:b/>
          <w:spacing w:val="0"/>
        </w:rPr>
      </w:pPr>
      <w:r>
        <w:rPr>
          <w:rFonts w:ascii="Times New Roman" w:hAnsi="Times New Roman" w:hint="eastAsia"/>
          <w:b/>
          <w:spacing w:val="0"/>
        </w:rPr>
        <w:t>公益彩券盈餘分配數</w:t>
      </w:r>
      <w:r>
        <w:rPr>
          <w:rFonts w:ascii="Times New Roman" w:hAnsi="Times New Roman"/>
          <w:b/>
          <w:spacing w:val="0"/>
        </w:rPr>
        <w:t>(</w:t>
      </w:r>
      <w:r>
        <w:rPr>
          <w:rFonts w:ascii="Times New Roman" w:hAnsi="Times New Roman" w:hint="eastAsia"/>
          <w:b/>
          <w:spacing w:val="0"/>
        </w:rPr>
        <w:t>自</w:t>
      </w:r>
      <w:r>
        <w:rPr>
          <w:rFonts w:ascii="Times New Roman" w:hAnsi="Times New Roman"/>
          <w:b/>
          <w:spacing w:val="0"/>
        </w:rPr>
        <w:t>88</w:t>
      </w:r>
      <w:r>
        <w:rPr>
          <w:rFonts w:ascii="Times New Roman" w:hAnsi="Times New Roman" w:hint="eastAsia"/>
          <w:b/>
          <w:spacing w:val="0"/>
        </w:rPr>
        <w:t>年</w:t>
      </w:r>
      <w:r>
        <w:rPr>
          <w:rFonts w:ascii="Times New Roman" w:hAnsi="Times New Roman"/>
          <w:b/>
          <w:spacing w:val="0"/>
        </w:rPr>
        <w:t>12</w:t>
      </w:r>
      <w:r>
        <w:rPr>
          <w:rFonts w:ascii="Times New Roman" w:hAnsi="Times New Roman" w:hint="eastAsia"/>
          <w:b/>
          <w:spacing w:val="0"/>
        </w:rPr>
        <w:t>月發行以來</w:t>
      </w:r>
      <w:r>
        <w:rPr>
          <w:rFonts w:ascii="Times New Roman" w:hAnsi="Times New Roman"/>
          <w:b/>
          <w:spacing w:val="0"/>
        </w:rPr>
        <w:t>)</w:t>
      </w:r>
    </w:p>
    <w:p w:rsidR="0040606A" w:rsidRDefault="0040606A" w:rsidP="0040606A">
      <w:pPr>
        <w:pStyle w:val="4"/>
        <w:numPr>
          <w:ilvl w:val="0"/>
          <w:numId w:val="0"/>
        </w:numPr>
        <w:spacing w:line="320" w:lineRule="exact"/>
        <w:ind w:left="1701" w:rightChars="-67" w:right="-228" w:firstLineChars="387" w:firstLine="1007"/>
        <w:jc w:val="right"/>
        <w:rPr>
          <w:rFonts w:ascii="Times New Roman" w:hAnsi="Times New Roman"/>
          <w:sz w:val="24"/>
          <w:szCs w:val="24"/>
        </w:rPr>
      </w:pPr>
      <w:r>
        <w:rPr>
          <w:rFonts w:ascii="Times New Roman" w:hAnsi="Times New Roman" w:hint="eastAsia"/>
          <w:sz w:val="24"/>
          <w:szCs w:val="24"/>
        </w:rPr>
        <w:t>單位：元</w:t>
      </w:r>
    </w:p>
    <w:tbl>
      <w:tblPr>
        <w:tblW w:w="7788" w:type="dxa"/>
        <w:tblInd w:w="14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04"/>
        <w:gridCol w:w="1702"/>
        <w:gridCol w:w="1724"/>
        <w:gridCol w:w="1708"/>
        <w:gridCol w:w="1650"/>
      </w:tblGrid>
      <w:tr w:rsidR="0040606A" w:rsidTr="00C055EF">
        <w:trPr>
          <w:tblHeader/>
        </w:trPr>
        <w:tc>
          <w:tcPr>
            <w:tcW w:w="1003" w:type="dxa"/>
            <w:vMerge w:val="restart"/>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kinsoku w:val="0"/>
              <w:spacing w:line="340" w:lineRule="exact"/>
              <w:jc w:val="center"/>
              <w:rPr>
                <w:sz w:val="26"/>
                <w:szCs w:val="26"/>
              </w:rPr>
            </w:pPr>
            <w:r>
              <w:rPr>
                <w:rFonts w:hAnsi="標楷體" w:hint="eastAsia"/>
                <w:sz w:val="26"/>
                <w:szCs w:val="26"/>
              </w:rPr>
              <w:t>年別</w:t>
            </w:r>
          </w:p>
        </w:tc>
        <w:tc>
          <w:tcPr>
            <w:tcW w:w="6780" w:type="dxa"/>
            <w:gridSpan w:val="4"/>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kinsoku w:val="0"/>
              <w:spacing w:line="340" w:lineRule="exact"/>
              <w:jc w:val="center"/>
              <w:rPr>
                <w:sz w:val="26"/>
                <w:szCs w:val="26"/>
              </w:rPr>
            </w:pPr>
            <w:r>
              <w:rPr>
                <w:rFonts w:hAnsi="標楷體" w:hint="eastAsia"/>
                <w:sz w:val="26"/>
                <w:szCs w:val="26"/>
              </w:rPr>
              <w:t>盈餘分配數</w:t>
            </w:r>
          </w:p>
        </w:tc>
      </w:tr>
      <w:tr w:rsidR="0040606A" w:rsidTr="00C055EF">
        <w:trPr>
          <w:tblHeader/>
        </w:trPr>
        <w:tc>
          <w:tcPr>
            <w:tcW w:w="1003" w:type="dxa"/>
            <w:vMerge/>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widowControl/>
              <w:overflowPunct/>
              <w:autoSpaceDE/>
              <w:autoSpaceDN/>
              <w:jc w:val="left"/>
              <w:rPr>
                <w:sz w:val="26"/>
                <w:szCs w:val="26"/>
              </w:rPr>
            </w:pPr>
          </w:p>
        </w:tc>
        <w:tc>
          <w:tcPr>
            <w:tcW w:w="1701" w:type="dxa"/>
            <w:tcBorders>
              <w:top w:val="single" w:sz="12" w:space="0" w:color="000000"/>
              <w:left w:val="single" w:sz="12" w:space="0" w:color="000000"/>
              <w:bottom w:val="single" w:sz="6" w:space="0" w:color="000000"/>
              <w:right w:val="single" w:sz="12" w:space="0" w:color="000000"/>
            </w:tcBorders>
            <w:shd w:val="clear" w:color="auto" w:fill="F2F2F2" w:themeFill="background1" w:themeFillShade="F2"/>
            <w:vAlign w:val="center"/>
            <w:hideMark/>
          </w:tcPr>
          <w:p w:rsidR="0040606A" w:rsidRDefault="0040606A" w:rsidP="00C055EF">
            <w:pPr>
              <w:kinsoku w:val="0"/>
              <w:spacing w:line="280" w:lineRule="exact"/>
              <w:jc w:val="center"/>
              <w:rPr>
                <w:rFonts w:ascii="Times New Roman"/>
                <w:sz w:val="26"/>
                <w:szCs w:val="26"/>
              </w:rPr>
            </w:pPr>
            <w:r>
              <w:rPr>
                <w:rFonts w:ascii="Times New Roman" w:hint="eastAsia"/>
                <w:sz w:val="26"/>
                <w:szCs w:val="26"/>
              </w:rPr>
              <w:t>地方政府</w:t>
            </w:r>
          </w:p>
          <w:p w:rsidR="0040606A" w:rsidRDefault="0040606A" w:rsidP="00C055EF">
            <w:pPr>
              <w:kinsoku w:val="0"/>
              <w:spacing w:line="280" w:lineRule="exact"/>
              <w:jc w:val="center"/>
              <w:rPr>
                <w:rFonts w:ascii="Times New Roman"/>
                <w:sz w:val="26"/>
                <w:szCs w:val="26"/>
              </w:rPr>
            </w:pPr>
            <w:r>
              <w:rPr>
                <w:rFonts w:ascii="Times New Roman"/>
                <w:sz w:val="26"/>
                <w:szCs w:val="26"/>
              </w:rPr>
              <w:t>(</w:t>
            </w:r>
            <w:r>
              <w:rPr>
                <w:rFonts w:ascii="Times New Roman" w:hint="eastAsia"/>
                <w:sz w:val="26"/>
                <w:szCs w:val="26"/>
              </w:rPr>
              <w:t>社會福利</w:t>
            </w:r>
            <w:r>
              <w:rPr>
                <w:rFonts w:ascii="Times New Roman"/>
                <w:sz w:val="26"/>
                <w:szCs w:val="26"/>
              </w:rPr>
              <w:t>)</w:t>
            </w:r>
          </w:p>
        </w:tc>
        <w:tc>
          <w:tcPr>
            <w:tcW w:w="1723" w:type="dxa"/>
            <w:tcBorders>
              <w:top w:val="single" w:sz="6" w:space="0" w:color="000000"/>
              <w:left w:val="single" w:sz="12" w:space="0" w:color="000000"/>
              <w:bottom w:val="single" w:sz="6" w:space="0" w:color="000000"/>
              <w:right w:val="single" w:sz="6" w:space="0" w:color="000000"/>
            </w:tcBorders>
            <w:vAlign w:val="center"/>
            <w:hideMark/>
          </w:tcPr>
          <w:p w:rsidR="0040606A" w:rsidRDefault="0040606A" w:rsidP="00C055EF">
            <w:pPr>
              <w:kinsoku w:val="0"/>
              <w:spacing w:line="280" w:lineRule="exact"/>
              <w:jc w:val="center"/>
              <w:rPr>
                <w:rFonts w:ascii="Times New Roman"/>
                <w:sz w:val="26"/>
                <w:szCs w:val="26"/>
              </w:rPr>
            </w:pPr>
            <w:r>
              <w:rPr>
                <w:rFonts w:ascii="Times New Roman" w:hint="eastAsia"/>
                <w:sz w:val="26"/>
                <w:szCs w:val="26"/>
              </w:rPr>
              <w:t>衛生福利部</w:t>
            </w:r>
          </w:p>
          <w:p w:rsidR="0040606A" w:rsidRDefault="0040606A" w:rsidP="00C055EF">
            <w:pPr>
              <w:kinsoku w:val="0"/>
              <w:spacing w:line="280" w:lineRule="exact"/>
              <w:jc w:val="center"/>
              <w:rPr>
                <w:rFonts w:ascii="Times New Roman"/>
                <w:sz w:val="26"/>
                <w:szCs w:val="26"/>
              </w:rPr>
            </w:pPr>
            <w:r>
              <w:rPr>
                <w:rFonts w:ascii="Times New Roman"/>
                <w:sz w:val="26"/>
                <w:szCs w:val="26"/>
              </w:rPr>
              <w:t>(</w:t>
            </w:r>
            <w:r>
              <w:rPr>
                <w:rFonts w:ascii="Times New Roman" w:hint="eastAsia"/>
                <w:sz w:val="26"/>
                <w:szCs w:val="26"/>
              </w:rPr>
              <w:t>國民年金</w:t>
            </w:r>
            <w:r>
              <w:rPr>
                <w:rFonts w:ascii="Times New Roman"/>
                <w:sz w:val="26"/>
                <w:szCs w:val="26"/>
              </w:rPr>
              <w:t>)</w:t>
            </w:r>
          </w:p>
        </w:tc>
        <w:tc>
          <w:tcPr>
            <w:tcW w:w="1707"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40606A">
            <w:pPr>
              <w:kinsoku w:val="0"/>
              <w:spacing w:line="280" w:lineRule="exact"/>
              <w:ind w:leftChars="-17" w:left="-58" w:rightChars="-27" w:right="-92" w:firstLineChars="6" w:firstLine="16"/>
              <w:jc w:val="center"/>
              <w:rPr>
                <w:rFonts w:ascii="Times New Roman"/>
                <w:spacing w:val="-10"/>
                <w:sz w:val="26"/>
                <w:szCs w:val="26"/>
              </w:rPr>
            </w:pPr>
            <w:r>
              <w:rPr>
                <w:rFonts w:ascii="Times New Roman" w:hint="eastAsia"/>
                <w:spacing w:val="-10"/>
                <w:sz w:val="26"/>
                <w:szCs w:val="26"/>
              </w:rPr>
              <w:t>衛生福利部中央健康保險署</w:t>
            </w:r>
          </w:p>
          <w:p w:rsidR="0040606A" w:rsidRDefault="0040606A" w:rsidP="00C055EF">
            <w:pPr>
              <w:kinsoku w:val="0"/>
              <w:spacing w:line="280" w:lineRule="exact"/>
              <w:jc w:val="center"/>
              <w:rPr>
                <w:rFonts w:ascii="Times New Roman"/>
                <w:spacing w:val="-24"/>
                <w:sz w:val="24"/>
                <w:szCs w:val="24"/>
              </w:rPr>
            </w:pPr>
            <w:r>
              <w:rPr>
                <w:rFonts w:ascii="Times New Roman"/>
                <w:spacing w:val="-24"/>
                <w:sz w:val="24"/>
                <w:szCs w:val="24"/>
              </w:rPr>
              <w:t>(</w:t>
            </w:r>
            <w:r>
              <w:rPr>
                <w:rFonts w:ascii="Times New Roman" w:hint="eastAsia"/>
                <w:spacing w:val="-24"/>
                <w:sz w:val="24"/>
                <w:szCs w:val="24"/>
              </w:rPr>
              <w:t>全民健保準備</w:t>
            </w:r>
            <w:r>
              <w:rPr>
                <w:rFonts w:ascii="Times New Roman"/>
                <w:spacing w:val="-24"/>
                <w:sz w:val="24"/>
                <w:szCs w:val="24"/>
              </w:rPr>
              <w:t>)</w:t>
            </w:r>
          </w:p>
        </w:tc>
        <w:tc>
          <w:tcPr>
            <w:tcW w:w="1649"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kinsoku w:val="0"/>
              <w:spacing w:line="320" w:lineRule="exact"/>
              <w:jc w:val="center"/>
              <w:rPr>
                <w:rFonts w:ascii="Times New Roman"/>
                <w:sz w:val="26"/>
                <w:szCs w:val="26"/>
              </w:rPr>
            </w:pPr>
            <w:r>
              <w:rPr>
                <w:rFonts w:ascii="Times New Roman" w:hint="eastAsia"/>
                <w:sz w:val="26"/>
                <w:szCs w:val="26"/>
              </w:rPr>
              <w:t>合計</w:t>
            </w:r>
          </w:p>
        </w:tc>
      </w:tr>
      <w:tr w:rsidR="0040606A" w:rsidTr="00C055EF">
        <w:trPr>
          <w:trHeight w:val="340"/>
        </w:trPr>
        <w:tc>
          <w:tcPr>
            <w:tcW w:w="1003"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40606A">
            <w:pPr>
              <w:spacing w:line="340" w:lineRule="exact"/>
              <w:ind w:leftChars="-20" w:left="2" w:rightChars="-15" w:right="-51" w:hangingChars="29" w:hanging="70"/>
              <w:jc w:val="center"/>
              <w:rPr>
                <w:rFonts w:ascii="Times New Roman"/>
                <w:spacing w:val="-20"/>
                <w:sz w:val="26"/>
                <w:szCs w:val="26"/>
              </w:rPr>
            </w:pPr>
            <w:r>
              <w:rPr>
                <w:rFonts w:ascii="Times New Roman"/>
                <w:spacing w:val="-20"/>
                <w:sz w:val="26"/>
                <w:szCs w:val="26"/>
              </w:rPr>
              <w:t>89</w:t>
            </w:r>
            <w:r>
              <w:rPr>
                <w:rFonts w:ascii="Times New Roman" w:hint="eastAsia"/>
                <w:spacing w:val="-20"/>
                <w:sz w:val="26"/>
                <w:szCs w:val="26"/>
              </w:rPr>
              <w:t>年度</w:t>
            </w:r>
          </w:p>
        </w:tc>
        <w:tc>
          <w:tcPr>
            <w:tcW w:w="1701" w:type="dxa"/>
            <w:tcBorders>
              <w:top w:val="single" w:sz="6" w:space="0" w:color="000000"/>
              <w:left w:val="single" w:sz="12" w:space="0" w:color="000000"/>
              <w:bottom w:val="single" w:sz="6" w:space="0" w:color="000000"/>
              <w:right w:val="single" w:sz="12" w:space="0" w:color="000000"/>
            </w:tcBorders>
            <w:shd w:val="clear" w:color="auto" w:fill="F2F2F2" w:themeFill="background1" w:themeFillShade="F2"/>
            <w:vAlign w:val="center"/>
            <w:hideMark/>
          </w:tcPr>
          <w:p w:rsidR="0040606A" w:rsidRDefault="0040606A" w:rsidP="0040606A">
            <w:pPr>
              <w:spacing w:line="340" w:lineRule="exact"/>
              <w:ind w:leftChars="-27" w:left="-1" w:rightChars="-19" w:right="-65" w:hangingChars="38" w:hanging="91"/>
              <w:jc w:val="right"/>
              <w:rPr>
                <w:rFonts w:ascii="Times New Roman"/>
                <w:spacing w:val="-20"/>
                <w:sz w:val="26"/>
                <w:szCs w:val="26"/>
              </w:rPr>
            </w:pPr>
            <w:r>
              <w:rPr>
                <w:rFonts w:ascii="Times New Roman"/>
                <w:spacing w:val="-20"/>
                <w:sz w:val="26"/>
                <w:szCs w:val="26"/>
              </w:rPr>
              <w:t xml:space="preserve">3,621,766,815 </w:t>
            </w:r>
          </w:p>
        </w:tc>
        <w:tc>
          <w:tcPr>
            <w:tcW w:w="1723" w:type="dxa"/>
            <w:tcBorders>
              <w:top w:val="single" w:sz="6" w:space="0" w:color="000000"/>
              <w:left w:val="single" w:sz="12"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0"/>
                <w:sz w:val="26"/>
                <w:szCs w:val="26"/>
              </w:rPr>
            </w:pPr>
            <w:r>
              <w:rPr>
                <w:rFonts w:ascii="Times New Roman"/>
                <w:spacing w:val="-20"/>
                <w:sz w:val="26"/>
                <w:szCs w:val="26"/>
              </w:rPr>
              <w:t xml:space="preserve">1,651,590,613 </w:t>
            </w:r>
          </w:p>
        </w:tc>
        <w:tc>
          <w:tcPr>
            <w:tcW w:w="1707"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0"/>
                <w:sz w:val="26"/>
                <w:szCs w:val="26"/>
              </w:rPr>
            </w:pPr>
            <w:r>
              <w:rPr>
                <w:rFonts w:ascii="Times New Roman"/>
                <w:spacing w:val="-20"/>
                <w:sz w:val="26"/>
                <w:szCs w:val="26"/>
              </w:rPr>
              <w:t xml:space="preserve">277,545,128 </w:t>
            </w:r>
          </w:p>
        </w:tc>
        <w:tc>
          <w:tcPr>
            <w:tcW w:w="1649"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0"/>
                <w:sz w:val="26"/>
                <w:szCs w:val="26"/>
              </w:rPr>
            </w:pPr>
            <w:r>
              <w:rPr>
                <w:rFonts w:ascii="Times New Roman"/>
                <w:spacing w:val="-20"/>
                <w:sz w:val="26"/>
                <w:szCs w:val="26"/>
              </w:rPr>
              <w:t xml:space="preserve">5,550,902,556 </w:t>
            </w:r>
          </w:p>
        </w:tc>
      </w:tr>
      <w:tr w:rsidR="0040606A" w:rsidTr="00C055EF">
        <w:trPr>
          <w:trHeight w:val="340"/>
        </w:trPr>
        <w:tc>
          <w:tcPr>
            <w:tcW w:w="1003"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40606A">
            <w:pPr>
              <w:spacing w:line="340" w:lineRule="exact"/>
              <w:ind w:leftChars="-20" w:left="2" w:rightChars="-15" w:right="-51" w:hangingChars="29" w:hanging="70"/>
              <w:jc w:val="center"/>
              <w:rPr>
                <w:rFonts w:ascii="Times New Roman"/>
                <w:spacing w:val="-20"/>
                <w:sz w:val="26"/>
                <w:szCs w:val="26"/>
              </w:rPr>
            </w:pPr>
            <w:r>
              <w:rPr>
                <w:rFonts w:ascii="Times New Roman"/>
                <w:spacing w:val="-20"/>
                <w:sz w:val="26"/>
                <w:szCs w:val="26"/>
              </w:rPr>
              <w:t>90</w:t>
            </w:r>
            <w:r>
              <w:rPr>
                <w:rFonts w:ascii="Times New Roman" w:hint="eastAsia"/>
                <w:spacing w:val="-20"/>
                <w:sz w:val="26"/>
                <w:szCs w:val="26"/>
              </w:rPr>
              <w:t>年度</w:t>
            </w:r>
          </w:p>
        </w:tc>
        <w:tc>
          <w:tcPr>
            <w:tcW w:w="1701" w:type="dxa"/>
            <w:tcBorders>
              <w:top w:val="single" w:sz="6" w:space="0" w:color="000000"/>
              <w:left w:val="single" w:sz="12" w:space="0" w:color="000000"/>
              <w:bottom w:val="single" w:sz="6" w:space="0" w:color="000000"/>
              <w:right w:val="single" w:sz="12" w:space="0" w:color="000000"/>
            </w:tcBorders>
            <w:shd w:val="clear" w:color="auto" w:fill="F2F2F2" w:themeFill="background1" w:themeFillShade="F2"/>
            <w:vAlign w:val="center"/>
            <w:hideMark/>
          </w:tcPr>
          <w:p w:rsidR="0040606A" w:rsidRDefault="0040606A" w:rsidP="0040606A">
            <w:pPr>
              <w:spacing w:line="340" w:lineRule="exact"/>
              <w:ind w:leftChars="-27" w:left="-1" w:rightChars="-19" w:right="-65" w:hangingChars="38" w:hanging="91"/>
              <w:jc w:val="right"/>
              <w:rPr>
                <w:rFonts w:ascii="Times New Roman"/>
                <w:spacing w:val="-20"/>
                <w:sz w:val="26"/>
                <w:szCs w:val="26"/>
              </w:rPr>
            </w:pPr>
            <w:r>
              <w:rPr>
                <w:rFonts w:ascii="Times New Roman"/>
                <w:spacing w:val="-20"/>
                <w:sz w:val="26"/>
                <w:szCs w:val="26"/>
              </w:rPr>
              <w:t xml:space="preserve">1,100,384,214 </w:t>
            </w:r>
          </w:p>
        </w:tc>
        <w:tc>
          <w:tcPr>
            <w:tcW w:w="1723" w:type="dxa"/>
            <w:tcBorders>
              <w:top w:val="single" w:sz="6" w:space="0" w:color="000000"/>
              <w:left w:val="single" w:sz="12"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0"/>
                <w:sz w:val="26"/>
                <w:szCs w:val="26"/>
              </w:rPr>
            </w:pPr>
            <w:r>
              <w:rPr>
                <w:rFonts w:ascii="Times New Roman"/>
                <w:spacing w:val="-20"/>
                <w:sz w:val="26"/>
                <w:szCs w:val="26"/>
              </w:rPr>
              <w:t xml:space="preserve">990,345,790 </w:t>
            </w:r>
          </w:p>
        </w:tc>
        <w:tc>
          <w:tcPr>
            <w:tcW w:w="1707"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0"/>
                <w:sz w:val="26"/>
                <w:szCs w:val="26"/>
              </w:rPr>
            </w:pPr>
            <w:r>
              <w:rPr>
                <w:rFonts w:ascii="Times New Roman"/>
                <w:spacing w:val="-20"/>
                <w:sz w:val="26"/>
                <w:szCs w:val="26"/>
              </w:rPr>
              <w:t xml:space="preserve">110,038,422 </w:t>
            </w:r>
          </w:p>
        </w:tc>
        <w:tc>
          <w:tcPr>
            <w:tcW w:w="1649"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0"/>
                <w:sz w:val="26"/>
                <w:szCs w:val="26"/>
              </w:rPr>
            </w:pPr>
            <w:r>
              <w:rPr>
                <w:rFonts w:ascii="Times New Roman"/>
                <w:spacing w:val="-20"/>
                <w:sz w:val="26"/>
                <w:szCs w:val="26"/>
              </w:rPr>
              <w:t xml:space="preserve">2,200,768,426 </w:t>
            </w:r>
          </w:p>
        </w:tc>
      </w:tr>
      <w:tr w:rsidR="0040606A" w:rsidTr="00C055EF">
        <w:tc>
          <w:tcPr>
            <w:tcW w:w="1003"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40606A">
            <w:pPr>
              <w:kinsoku w:val="0"/>
              <w:spacing w:line="260" w:lineRule="exact"/>
              <w:ind w:leftChars="-19" w:left="-65" w:rightChars="-15" w:right="-51" w:firstLineChars="11" w:firstLine="26"/>
              <w:rPr>
                <w:rFonts w:ascii="Times New Roman"/>
                <w:spacing w:val="-20"/>
                <w:sz w:val="26"/>
                <w:szCs w:val="26"/>
              </w:rPr>
            </w:pPr>
            <w:r>
              <w:rPr>
                <w:rFonts w:ascii="Times New Roman" w:hint="eastAsia"/>
                <w:spacing w:val="-20"/>
                <w:sz w:val="26"/>
                <w:szCs w:val="26"/>
              </w:rPr>
              <w:t>發行結束結算盈餘</w:t>
            </w:r>
          </w:p>
        </w:tc>
        <w:tc>
          <w:tcPr>
            <w:tcW w:w="1701" w:type="dxa"/>
            <w:tcBorders>
              <w:top w:val="single" w:sz="6" w:space="0" w:color="000000"/>
              <w:left w:val="single" w:sz="12" w:space="0" w:color="000000"/>
              <w:bottom w:val="single" w:sz="6" w:space="0" w:color="000000"/>
              <w:right w:val="single" w:sz="12" w:space="0" w:color="000000"/>
            </w:tcBorders>
            <w:shd w:val="clear" w:color="auto" w:fill="F2F2F2" w:themeFill="background1" w:themeFillShade="F2"/>
            <w:vAlign w:val="center"/>
            <w:hideMark/>
          </w:tcPr>
          <w:p w:rsidR="0040606A" w:rsidRDefault="0040606A" w:rsidP="0040606A">
            <w:pPr>
              <w:spacing w:line="260" w:lineRule="exact"/>
              <w:ind w:leftChars="-27" w:left="-1" w:rightChars="-19" w:right="-65" w:hangingChars="38" w:hanging="91"/>
              <w:jc w:val="right"/>
              <w:rPr>
                <w:rFonts w:ascii="Times New Roman"/>
                <w:spacing w:val="-20"/>
                <w:sz w:val="26"/>
                <w:szCs w:val="26"/>
              </w:rPr>
            </w:pPr>
            <w:r>
              <w:rPr>
                <w:rFonts w:ascii="Times New Roman"/>
                <w:spacing w:val="-20"/>
                <w:sz w:val="26"/>
                <w:szCs w:val="26"/>
              </w:rPr>
              <w:t xml:space="preserve">256,656,105 </w:t>
            </w:r>
          </w:p>
        </w:tc>
        <w:tc>
          <w:tcPr>
            <w:tcW w:w="1723" w:type="dxa"/>
            <w:tcBorders>
              <w:top w:val="single" w:sz="6" w:space="0" w:color="000000"/>
              <w:left w:val="single" w:sz="12" w:space="0" w:color="000000"/>
              <w:bottom w:val="single" w:sz="6" w:space="0" w:color="000000"/>
              <w:right w:val="single" w:sz="6" w:space="0" w:color="000000"/>
            </w:tcBorders>
            <w:vAlign w:val="center"/>
            <w:hideMark/>
          </w:tcPr>
          <w:p w:rsidR="0040606A" w:rsidRDefault="0040606A" w:rsidP="00C055EF">
            <w:pPr>
              <w:spacing w:line="260" w:lineRule="exact"/>
              <w:jc w:val="right"/>
              <w:rPr>
                <w:rFonts w:ascii="Times New Roman"/>
                <w:spacing w:val="-20"/>
                <w:sz w:val="26"/>
                <w:szCs w:val="26"/>
              </w:rPr>
            </w:pPr>
            <w:r>
              <w:rPr>
                <w:rFonts w:ascii="Times New Roman"/>
                <w:spacing w:val="-20"/>
                <w:sz w:val="26"/>
                <w:szCs w:val="26"/>
              </w:rPr>
              <w:t xml:space="preserve">230,990,495 </w:t>
            </w:r>
          </w:p>
        </w:tc>
        <w:tc>
          <w:tcPr>
            <w:tcW w:w="1707"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260" w:lineRule="exact"/>
              <w:jc w:val="right"/>
              <w:rPr>
                <w:rFonts w:ascii="Times New Roman"/>
                <w:spacing w:val="-20"/>
                <w:sz w:val="26"/>
                <w:szCs w:val="26"/>
              </w:rPr>
            </w:pPr>
            <w:r>
              <w:rPr>
                <w:rFonts w:ascii="Times New Roman"/>
                <w:spacing w:val="-20"/>
                <w:sz w:val="26"/>
                <w:szCs w:val="26"/>
              </w:rPr>
              <w:t xml:space="preserve">25,665,611 </w:t>
            </w:r>
          </w:p>
        </w:tc>
        <w:tc>
          <w:tcPr>
            <w:tcW w:w="1649"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260" w:lineRule="exact"/>
              <w:jc w:val="right"/>
              <w:rPr>
                <w:rFonts w:ascii="Times New Roman"/>
                <w:spacing w:val="-20"/>
                <w:sz w:val="26"/>
                <w:szCs w:val="26"/>
              </w:rPr>
            </w:pPr>
            <w:r>
              <w:rPr>
                <w:rFonts w:ascii="Times New Roman"/>
                <w:spacing w:val="-20"/>
                <w:sz w:val="26"/>
                <w:szCs w:val="26"/>
              </w:rPr>
              <w:t xml:space="preserve">513,312,211 </w:t>
            </w:r>
          </w:p>
        </w:tc>
      </w:tr>
      <w:tr w:rsidR="0040606A" w:rsidTr="00C055EF">
        <w:tc>
          <w:tcPr>
            <w:tcW w:w="1003"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40606A">
            <w:pPr>
              <w:kinsoku w:val="0"/>
              <w:spacing w:line="320" w:lineRule="exact"/>
              <w:ind w:leftChars="-19" w:left="-65" w:rightChars="-15" w:right="-51" w:firstLineChars="11" w:firstLine="26"/>
              <w:rPr>
                <w:rFonts w:ascii="Times New Roman"/>
                <w:spacing w:val="-20"/>
                <w:sz w:val="26"/>
                <w:szCs w:val="26"/>
              </w:rPr>
            </w:pPr>
            <w:r>
              <w:rPr>
                <w:rFonts w:ascii="Times New Roman"/>
                <w:spacing w:val="-20"/>
                <w:sz w:val="26"/>
                <w:szCs w:val="26"/>
              </w:rPr>
              <w:t>89-90</w:t>
            </w:r>
            <w:r>
              <w:rPr>
                <w:rFonts w:ascii="Times New Roman" w:hint="eastAsia"/>
                <w:spacing w:val="-20"/>
                <w:sz w:val="26"/>
                <w:szCs w:val="26"/>
              </w:rPr>
              <w:t>年度合計</w:t>
            </w:r>
          </w:p>
        </w:tc>
        <w:tc>
          <w:tcPr>
            <w:tcW w:w="1701" w:type="dxa"/>
            <w:tcBorders>
              <w:top w:val="single" w:sz="6" w:space="0" w:color="000000"/>
              <w:left w:val="single" w:sz="12" w:space="0" w:color="000000"/>
              <w:bottom w:val="single" w:sz="6" w:space="0" w:color="000000"/>
              <w:right w:val="single" w:sz="12" w:space="0" w:color="000000"/>
            </w:tcBorders>
            <w:shd w:val="clear" w:color="auto" w:fill="F2F2F2" w:themeFill="background1" w:themeFillShade="F2"/>
            <w:vAlign w:val="center"/>
            <w:hideMark/>
          </w:tcPr>
          <w:p w:rsidR="0040606A" w:rsidRDefault="0040606A" w:rsidP="0040606A">
            <w:pPr>
              <w:spacing w:line="320" w:lineRule="exact"/>
              <w:ind w:leftChars="-27" w:left="-1" w:rightChars="-19" w:right="-65" w:hangingChars="38" w:hanging="91"/>
              <w:jc w:val="right"/>
              <w:rPr>
                <w:rFonts w:ascii="Times New Roman"/>
                <w:spacing w:val="-20"/>
                <w:sz w:val="26"/>
                <w:szCs w:val="26"/>
              </w:rPr>
            </w:pPr>
            <w:r>
              <w:rPr>
                <w:rFonts w:ascii="Times New Roman"/>
                <w:spacing w:val="-20"/>
                <w:sz w:val="26"/>
                <w:szCs w:val="26"/>
              </w:rPr>
              <w:t xml:space="preserve">4,978,807,134 </w:t>
            </w:r>
          </w:p>
        </w:tc>
        <w:tc>
          <w:tcPr>
            <w:tcW w:w="1723" w:type="dxa"/>
            <w:tcBorders>
              <w:top w:val="single" w:sz="6" w:space="0" w:color="000000"/>
              <w:left w:val="single" w:sz="12" w:space="0" w:color="000000"/>
              <w:bottom w:val="single" w:sz="6" w:space="0" w:color="000000"/>
              <w:right w:val="single" w:sz="6" w:space="0" w:color="000000"/>
            </w:tcBorders>
            <w:vAlign w:val="center"/>
            <w:hideMark/>
          </w:tcPr>
          <w:p w:rsidR="0040606A" w:rsidRDefault="0040606A" w:rsidP="00C055EF">
            <w:pPr>
              <w:spacing w:line="320" w:lineRule="exact"/>
              <w:jc w:val="right"/>
              <w:rPr>
                <w:rFonts w:ascii="Times New Roman"/>
                <w:spacing w:val="-20"/>
                <w:sz w:val="26"/>
                <w:szCs w:val="26"/>
              </w:rPr>
            </w:pPr>
            <w:r>
              <w:rPr>
                <w:rFonts w:ascii="Times New Roman"/>
                <w:spacing w:val="-20"/>
                <w:sz w:val="26"/>
                <w:szCs w:val="26"/>
              </w:rPr>
              <w:t xml:space="preserve">2,872,926,898 </w:t>
            </w:r>
          </w:p>
        </w:tc>
        <w:tc>
          <w:tcPr>
            <w:tcW w:w="1707"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320" w:lineRule="exact"/>
              <w:jc w:val="right"/>
              <w:rPr>
                <w:rFonts w:ascii="Times New Roman"/>
                <w:spacing w:val="-20"/>
                <w:sz w:val="26"/>
                <w:szCs w:val="26"/>
              </w:rPr>
            </w:pPr>
            <w:r>
              <w:rPr>
                <w:rFonts w:ascii="Times New Roman"/>
                <w:spacing w:val="-20"/>
                <w:sz w:val="26"/>
                <w:szCs w:val="26"/>
              </w:rPr>
              <w:t xml:space="preserve">413,249,161 </w:t>
            </w:r>
          </w:p>
        </w:tc>
        <w:tc>
          <w:tcPr>
            <w:tcW w:w="1649"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320" w:lineRule="exact"/>
              <w:jc w:val="right"/>
              <w:rPr>
                <w:rFonts w:ascii="Times New Roman"/>
                <w:spacing w:val="-20"/>
                <w:sz w:val="26"/>
                <w:szCs w:val="26"/>
              </w:rPr>
            </w:pPr>
            <w:r>
              <w:rPr>
                <w:rFonts w:ascii="Times New Roman"/>
                <w:spacing w:val="-20"/>
                <w:sz w:val="26"/>
                <w:szCs w:val="26"/>
              </w:rPr>
              <w:t xml:space="preserve">8,264,983,193 </w:t>
            </w:r>
          </w:p>
        </w:tc>
      </w:tr>
      <w:tr w:rsidR="0040606A" w:rsidTr="00C055EF">
        <w:trPr>
          <w:trHeight w:val="340"/>
        </w:trPr>
        <w:tc>
          <w:tcPr>
            <w:tcW w:w="1003"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40606A">
            <w:pPr>
              <w:spacing w:line="340" w:lineRule="exact"/>
              <w:ind w:leftChars="-20" w:left="2" w:rightChars="-15" w:right="-51" w:hangingChars="29" w:hanging="70"/>
              <w:jc w:val="center"/>
              <w:rPr>
                <w:rFonts w:ascii="Times New Roman"/>
                <w:spacing w:val="-20"/>
                <w:sz w:val="26"/>
                <w:szCs w:val="26"/>
              </w:rPr>
            </w:pPr>
            <w:r>
              <w:rPr>
                <w:rFonts w:ascii="Times New Roman"/>
                <w:spacing w:val="-20"/>
                <w:sz w:val="26"/>
                <w:szCs w:val="26"/>
              </w:rPr>
              <w:t>91</w:t>
            </w:r>
            <w:r>
              <w:rPr>
                <w:rFonts w:ascii="Times New Roman" w:hint="eastAsia"/>
                <w:spacing w:val="-20"/>
                <w:sz w:val="26"/>
                <w:szCs w:val="26"/>
              </w:rPr>
              <w:t>年度</w:t>
            </w:r>
          </w:p>
        </w:tc>
        <w:tc>
          <w:tcPr>
            <w:tcW w:w="1701" w:type="dxa"/>
            <w:tcBorders>
              <w:top w:val="single" w:sz="6" w:space="0" w:color="000000"/>
              <w:left w:val="single" w:sz="12" w:space="0" w:color="000000"/>
              <w:bottom w:val="single" w:sz="6" w:space="0" w:color="000000"/>
              <w:right w:val="single" w:sz="12" w:space="0" w:color="000000"/>
            </w:tcBorders>
            <w:shd w:val="clear" w:color="auto" w:fill="F2F2F2" w:themeFill="background1" w:themeFillShade="F2"/>
            <w:vAlign w:val="center"/>
            <w:hideMark/>
          </w:tcPr>
          <w:p w:rsidR="0040606A" w:rsidRDefault="0040606A" w:rsidP="0040606A">
            <w:pPr>
              <w:spacing w:line="340" w:lineRule="exact"/>
              <w:ind w:leftChars="-27" w:left="-1" w:rightChars="-19" w:right="-65" w:hangingChars="38" w:hanging="91"/>
              <w:jc w:val="right"/>
              <w:rPr>
                <w:rFonts w:ascii="Times New Roman"/>
                <w:spacing w:val="-20"/>
                <w:sz w:val="26"/>
                <w:szCs w:val="26"/>
              </w:rPr>
            </w:pPr>
            <w:r>
              <w:rPr>
                <w:rFonts w:ascii="Times New Roman"/>
                <w:spacing w:val="-20"/>
                <w:sz w:val="26"/>
                <w:szCs w:val="26"/>
              </w:rPr>
              <w:t xml:space="preserve">14,833,186,634 </w:t>
            </w:r>
          </w:p>
        </w:tc>
        <w:tc>
          <w:tcPr>
            <w:tcW w:w="1723" w:type="dxa"/>
            <w:tcBorders>
              <w:top w:val="single" w:sz="6" w:space="0" w:color="000000"/>
              <w:left w:val="single" w:sz="12"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0"/>
                <w:sz w:val="26"/>
                <w:szCs w:val="26"/>
              </w:rPr>
            </w:pPr>
            <w:r>
              <w:rPr>
                <w:rFonts w:ascii="Times New Roman"/>
                <w:spacing w:val="-20"/>
                <w:sz w:val="26"/>
                <w:szCs w:val="26"/>
              </w:rPr>
              <w:t xml:space="preserve">13,349,867,973 </w:t>
            </w:r>
          </w:p>
        </w:tc>
        <w:tc>
          <w:tcPr>
            <w:tcW w:w="1707"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0"/>
                <w:sz w:val="26"/>
                <w:szCs w:val="26"/>
              </w:rPr>
            </w:pPr>
            <w:r>
              <w:rPr>
                <w:rFonts w:ascii="Times New Roman"/>
                <w:spacing w:val="-20"/>
                <w:sz w:val="26"/>
                <w:szCs w:val="26"/>
              </w:rPr>
              <w:t xml:space="preserve">1,483,318,665 </w:t>
            </w:r>
          </w:p>
        </w:tc>
        <w:tc>
          <w:tcPr>
            <w:tcW w:w="1649"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6"/>
                <w:sz w:val="26"/>
                <w:szCs w:val="26"/>
              </w:rPr>
            </w:pPr>
            <w:r>
              <w:rPr>
                <w:rFonts w:ascii="Times New Roman"/>
                <w:spacing w:val="-26"/>
                <w:sz w:val="26"/>
                <w:szCs w:val="26"/>
              </w:rPr>
              <w:t xml:space="preserve">29,666,373,272 </w:t>
            </w:r>
          </w:p>
        </w:tc>
      </w:tr>
      <w:tr w:rsidR="0040606A" w:rsidTr="00C055EF">
        <w:trPr>
          <w:trHeight w:val="340"/>
        </w:trPr>
        <w:tc>
          <w:tcPr>
            <w:tcW w:w="1003"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40606A">
            <w:pPr>
              <w:spacing w:line="340" w:lineRule="exact"/>
              <w:ind w:leftChars="-20" w:left="2" w:rightChars="-15" w:right="-51" w:hangingChars="29" w:hanging="70"/>
              <w:jc w:val="center"/>
              <w:rPr>
                <w:rFonts w:ascii="Times New Roman"/>
                <w:spacing w:val="-20"/>
                <w:sz w:val="26"/>
                <w:szCs w:val="26"/>
              </w:rPr>
            </w:pPr>
            <w:r>
              <w:rPr>
                <w:rFonts w:ascii="Times New Roman"/>
                <w:spacing w:val="-20"/>
                <w:sz w:val="26"/>
                <w:szCs w:val="26"/>
              </w:rPr>
              <w:t>92</w:t>
            </w:r>
            <w:r>
              <w:rPr>
                <w:rFonts w:ascii="Times New Roman" w:hint="eastAsia"/>
                <w:spacing w:val="-20"/>
                <w:sz w:val="26"/>
                <w:szCs w:val="26"/>
              </w:rPr>
              <w:t>年度</w:t>
            </w:r>
          </w:p>
        </w:tc>
        <w:tc>
          <w:tcPr>
            <w:tcW w:w="1701" w:type="dxa"/>
            <w:tcBorders>
              <w:top w:val="single" w:sz="6" w:space="0" w:color="000000"/>
              <w:left w:val="single" w:sz="12" w:space="0" w:color="000000"/>
              <w:bottom w:val="single" w:sz="6" w:space="0" w:color="000000"/>
              <w:right w:val="single" w:sz="12" w:space="0" w:color="000000"/>
            </w:tcBorders>
            <w:shd w:val="clear" w:color="auto" w:fill="F2F2F2" w:themeFill="background1" w:themeFillShade="F2"/>
            <w:vAlign w:val="center"/>
            <w:hideMark/>
          </w:tcPr>
          <w:p w:rsidR="0040606A" w:rsidRDefault="0040606A" w:rsidP="0040606A">
            <w:pPr>
              <w:spacing w:line="340" w:lineRule="exact"/>
              <w:ind w:leftChars="-27" w:left="-1" w:rightChars="-19" w:right="-65" w:hangingChars="38" w:hanging="91"/>
              <w:jc w:val="right"/>
              <w:rPr>
                <w:rFonts w:ascii="Times New Roman"/>
                <w:spacing w:val="-20"/>
                <w:sz w:val="26"/>
                <w:szCs w:val="26"/>
              </w:rPr>
            </w:pPr>
            <w:r>
              <w:rPr>
                <w:rFonts w:ascii="Times New Roman"/>
                <w:spacing w:val="-20"/>
                <w:sz w:val="26"/>
                <w:szCs w:val="26"/>
              </w:rPr>
              <w:t xml:space="preserve">11,304,707,816 </w:t>
            </w:r>
          </w:p>
        </w:tc>
        <w:tc>
          <w:tcPr>
            <w:tcW w:w="1723" w:type="dxa"/>
            <w:tcBorders>
              <w:top w:val="single" w:sz="6" w:space="0" w:color="000000"/>
              <w:left w:val="single" w:sz="12"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0"/>
                <w:sz w:val="26"/>
                <w:szCs w:val="26"/>
              </w:rPr>
            </w:pPr>
            <w:r>
              <w:rPr>
                <w:rFonts w:ascii="Times New Roman"/>
                <w:spacing w:val="-20"/>
                <w:sz w:val="26"/>
                <w:szCs w:val="26"/>
              </w:rPr>
              <w:t xml:space="preserve">10,174,237,034 </w:t>
            </w:r>
          </w:p>
        </w:tc>
        <w:tc>
          <w:tcPr>
            <w:tcW w:w="1707"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0"/>
                <w:sz w:val="26"/>
                <w:szCs w:val="26"/>
              </w:rPr>
            </w:pPr>
            <w:r>
              <w:rPr>
                <w:rFonts w:ascii="Times New Roman"/>
                <w:spacing w:val="-20"/>
                <w:sz w:val="26"/>
                <w:szCs w:val="26"/>
              </w:rPr>
              <w:t xml:space="preserve">1,130,470,780 </w:t>
            </w:r>
          </w:p>
        </w:tc>
        <w:tc>
          <w:tcPr>
            <w:tcW w:w="1649"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6"/>
                <w:sz w:val="26"/>
                <w:szCs w:val="26"/>
              </w:rPr>
            </w:pPr>
            <w:r>
              <w:rPr>
                <w:rFonts w:ascii="Times New Roman"/>
                <w:spacing w:val="-26"/>
                <w:sz w:val="26"/>
                <w:szCs w:val="26"/>
              </w:rPr>
              <w:t xml:space="preserve">22,609,415,630 </w:t>
            </w:r>
          </w:p>
        </w:tc>
      </w:tr>
      <w:tr w:rsidR="0040606A" w:rsidTr="00C055EF">
        <w:trPr>
          <w:trHeight w:val="340"/>
        </w:trPr>
        <w:tc>
          <w:tcPr>
            <w:tcW w:w="1003"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40606A">
            <w:pPr>
              <w:spacing w:line="340" w:lineRule="exact"/>
              <w:ind w:leftChars="-20" w:left="2" w:rightChars="-15" w:right="-51" w:hangingChars="29" w:hanging="70"/>
              <w:jc w:val="center"/>
              <w:rPr>
                <w:rFonts w:ascii="Times New Roman"/>
                <w:spacing w:val="-20"/>
                <w:sz w:val="26"/>
                <w:szCs w:val="26"/>
              </w:rPr>
            </w:pPr>
            <w:r>
              <w:rPr>
                <w:rFonts w:ascii="Times New Roman"/>
                <w:spacing w:val="-20"/>
                <w:sz w:val="26"/>
                <w:szCs w:val="26"/>
              </w:rPr>
              <w:t>93</w:t>
            </w:r>
            <w:r>
              <w:rPr>
                <w:rFonts w:ascii="Times New Roman" w:hint="eastAsia"/>
                <w:spacing w:val="-20"/>
                <w:sz w:val="26"/>
                <w:szCs w:val="26"/>
              </w:rPr>
              <w:t>年度</w:t>
            </w:r>
          </w:p>
        </w:tc>
        <w:tc>
          <w:tcPr>
            <w:tcW w:w="1701" w:type="dxa"/>
            <w:tcBorders>
              <w:top w:val="single" w:sz="6" w:space="0" w:color="000000"/>
              <w:left w:val="single" w:sz="12" w:space="0" w:color="000000"/>
              <w:bottom w:val="single" w:sz="6" w:space="0" w:color="000000"/>
              <w:right w:val="single" w:sz="12" w:space="0" w:color="000000"/>
            </w:tcBorders>
            <w:shd w:val="clear" w:color="auto" w:fill="F2F2F2" w:themeFill="background1" w:themeFillShade="F2"/>
            <w:vAlign w:val="center"/>
            <w:hideMark/>
          </w:tcPr>
          <w:p w:rsidR="0040606A" w:rsidRDefault="0040606A" w:rsidP="0040606A">
            <w:pPr>
              <w:spacing w:line="340" w:lineRule="exact"/>
              <w:ind w:leftChars="-27" w:left="-1" w:rightChars="-19" w:right="-65" w:hangingChars="38" w:hanging="91"/>
              <w:jc w:val="right"/>
              <w:rPr>
                <w:rFonts w:ascii="Times New Roman"/>
                <w:spacing w:val="-20"/>
                <w:sz w:val="26"/>
                <w:szCs w:val="26"/>
              </w:rPr>
            </w:pPr>
            <w:r>
              <w:rPr>
                <w:rFonts w:ascii="Times New Roman"/>
                <w:spacing w:val="-20"/>
                <w:sz w:val="26"/>
                <w:szCs w:val="26"/>
              </w:rPr>
              <w:t xml:space="preserve">12,419,380,940 </w:t>
            </w:r>
          </w:p>
        </w:tc>
        <w:tc>
          <w:tcPr>
            <w:tcW w:w="1723" w:type="dxa"/>
            <w:tcBorders>
              <w:top w:val="single" w:sz="6" w:space="0" w:color="000000"/>
              <w:left w:val="single" w:sz="12"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0"/>
                <w:sz w:val="26"/>
                <w:szCs w:val="26"/>
              </w:rPr>
            </w:pPr>
            <w:r>
              <w:rPr>
                <w:rFonts w:ascii="Times New Roman"/>
                <w:spacing w:val="-20"/>
                <w:sz w:val="26"/>
                <w:szCs w:val="26"/>
              </w:rPr>
              <w:t xml:space="preserve">11,177,442,848 </w:t>
            </w:r>
          </w:p>
        </w:tc>
        <w:tc>
          <w:tcPr>
            <w:tcW w:w="1707"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0"/>
                <w:sz w:val="26"/>
                <w:szCs w:val="26"/>
              </w:rPr>
            </w:pPr>
            <w:r>
              <w:rPr>
                <w:rFonts w:ascii="Times New Roman"/>
                <w:spacing w:val="-20"/>
                <w:sz w:val="26"/>
                <w:szCs w:val="26"/>
              </w:rPr>
              <w:t xml:space="preserve">1,241,938,094 </w:t>
            </w:r>
          </w:p>
        </w:tc>
        <w:tc>
          <w:tcPr>
            <w:tcW w:w="1649"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6"/>
                <w:sz w:val="26"/>
                <w:szCs w:val="26"/>
              </w:rPr>
            </w:pPr>
            <w:r>
              <w:rPr>
                <w:rFonts w:ascii="Times New Roman"/>
                <w:spacing w:val="-26"/>
                <w:sz w:val="26"/>
                <w:szCs w:val="26"/>
              </w:rPr>
              <w:t xml:space="preserve">24,838,761,882 </w:t>
            </w:r>
          </w:p>
        </w:tc>
      </w:tr>
      <w:tr w:rsidR="0040606A" w:rsidTr="00C055EF">
        <w:trPr>
          <w:trHeight w:val="340"/>
        </w:trPr>
        <w:tc>
          <w:tcPr>
            <w:tcW w:w="1003"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40606A">
            <w:pPr>
              <w:spacing w:line="340" w:lineRule="exact"/>
              <w:ind w:leftChars="-20" w:left="2" w:rightChars="-15" w:right="-51" w:hangingChars="29" w:hanging="70"/>
              <w:jc w:val="center"/>
              <w:rPr>
                <w:rFonts w:ascii="Times New Roman"/>
                <w:spacing w:val="-20"/>
                <w:sz w:val="26"/>
                <w:szCs w:val="26"/>
              </w:rPr>
            </w:pPr>
            <w:r>
              <w:rPr>
                <w:rFonts w:ascii="Times New Roman"/>
                <w:spacing w:val="-20"/>
                <w:sz w:val="26"/>
                <w:szCs w:val="26"/>
              </w:rPr>
              <w:t>94</w:t>
            </w:r>
            <w:r>
              <w:rPr>
                <w:rFonts w:ascii="Times New Roman" w:hint="eastAsia"/>
                <w:spacing w:val="-20"/>
                <w:sz w:val="26"/>
                <w:szCs w:val="26"/>
              </w:rPr>
              <w:t>年度</w:t>
            </w:r>
          </w:p>
        </w:tc>
        <w:tc>
          <w:tcPr>
            <w:tcW w:w="1701" w:type="dxa"/>
            <w:tcBorders>
              <w:top w:val="single" w:sz="6" w:space="0" w:color="000000"/>
              <w:left w:val="single" w:sz="12" w:space="0" w:color="000000"/>
              <w:bottom w:val="single" w:sz="6" w:space="0" w:color="000000"/>
              <w:right w:val="single" w:sz="12" w:space="0" w:color="000000"/>
            </w:tcBorders>
            <w:shd w:val="clear" w:color="auto" w:fill="F2F2F2" w:themeFill="background1" w:themeFillShade="F2"/>
            <w:vAlign w:val="center"/>
            <w:hideMark/>
          </w:tcPr>
          <w:p w:rsidR="0040606A" w:rsidRDefault="0040606A" w:rsidP="0040606A">
            <w:pPr>
              <w:spacing w:line="340" w:lineRule="exact"/>
              <w:ind w:leftChars="-27" w:left="-1" w:rightChars="-19" w:right="-65" w:hangingChars="38" w:hanging="91"/>
              <w:jc w:val="right"/>
              <w:rPr>
                <w:rFonts w:ascii="Times New Roman"/>
                <w:spacing w:val="-20"/>
                <w:sz w:val="26"/>
                <w:szCs w:val="26"/>
              </w:rPr>
            </w:pPr>
            <w:r>
              <w:rPr>
                <w:rFonts w:ascii="Times New Roman"/>
                <w:spacing w:val="-20"/>
                <w:sz w:val="26"/>
                <w:szCs w:val="26"/>
              </w:rPr>
              <w:t xml:space="preserve">10,175,355,814 </w:t>
            </w:r>
          </w:p>
        </w:tc>
        <w:tc>
          <w:tcPr>
            <w:tcW w:w="1723" w:type="dxa"/>
            <w:tcBorders>
              <w:top w:val="single" w:sz="6" w:space="0" w:color="000000"/>
              <w:left w:val="single" w:sz="12"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0"/>
                <w:sz w:val="26"/>
                <w:szCs w:val="26"/>
              </w:rPr>
            </w:pPr>
            <w:r>
              <w:rPr>
                <w:rFonts w:ascii="Times New Roman"/>
                <w:spacing w:val="-20"/>
                <w:sz w:val="26"/>
                <w:szCs w:val="26"/>
              </w:rPr>
              <w:t xml:space="preserve">9,157,820,232 </w:t>
            </w:r>
          </w:p>
        </w:tc>
        <w:tc>
          <w:tcPr>
            <w:tcW w:w="1707"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0"/>
                <w:sz w:val="26"/>
                <w:szCs w:val="26"/>
              </w:rPr>
            </w:pPr>
            <w:r>
              <w:rPr>
                <w:rFonts w:ascii="Times New Roman"/>
                <w:spacing w:val="-20"/>
                <w:sz w:val="26"/>
                <w:szCs w:val="26"/>
              </w:rPr>
              <w:t xml:space="preserve">1,017,535,582 </w:t>
            </w:r>
          </w:p>
        </w:tc>
        <w:tc>
          <w:tcPr>
            <w:tcW w:w="1649"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6"/>
                <w:sz w:val="26"/>
                <w:szCs w:val="26"/>
              </w:rPr>
            </w:pPr>
            <w:r>
              <w:rPr>
                <w:rFonts w:ascii="Times New Roman"/>
                <w:spacing w:val="-26"/>
                <w:sz w:val="26"/>
                <w:szCs w:val="26"/>
              </w:rPr>
              <w:t xml:space="preserve">20,350,711,628 </w:t>
            </w:r>
          </w:p>
        </w:tc>
      </w:tr>
      <w:tr w:rsidR="0040606A" w:rsidTr="00C055EF">
        <w:trPr>
          <w:trHeight w:val="340"/>
        </w:trPr>
        <w:tc>
          <w:tcPr>
            <w:tcW w:w="1003"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40606A">
            <w:pPr>
              <w:spacing w:line="340" w:lineRule="exact"/>
              <w:ind w:leftChars="-20" w:left="2" w:rightChars="-15" w:right="-51" w:hangingChars="29" w:hanging="70"/>
              <w:jc w:val="center"/>
              <w:rPr>
                <w:rFonts w:ascii="Times New Roman"/>
                <w:spacing w:val="-20"/>
                <w:sz w:val="26"/>
                <w:szCs w:val="26"/>
              </w:rPr>
            </w:pPr>
            <w:r>
              <w:rPr>
                <w:rFonts w:ascii="Times New Roman"/>
                <w:spacing w:val="-20"/>
                <w:sz w:val="26"/>
                <w:szCs w:val="26"/>
              </w:rPr>
              <w:t>95</w:t>
            </w:r>
            <w:r>
              <w:rPr>
                <w:rFonts w:ascii="Times New Roman" w:hint="eastAsia"/>
                <w:spacing w:val="-20"/>
                <w:sz w:val="26"/>
                <w:szCs w:val="26"/>
              </w:rPr>
              <w:t>年度</w:t>
            </w:r>
          </w:p>
        </w:tc>
        <w:tc>
          <w:tcPr>
            <w:tcW w:w="1701" w:type="dxa"/>
            <w:tcBorders>
              <w:top w:val="single" w:sz="6" w:space="0" w:color="000000"/>
              <w:left w:val="single" w:sz="12" w:space="0" w:color="000000"/>
              <w:bottom w:val="single" w:sz="6" w:space="0" w:color="000000"/>
              <w:right w:val="single" w:sz="12" w:space="0" w:color="000000"/>
            </w:tcBorders>
            <w:shd w:val="clear" w:color="auto" w:fill="F2F2F2" w:themeFill="background1" w:themeFillShade="F2"/>
            <w:vAlign w:val="center"/>
            <w:hideMark/>
          </w:tcPr>
          <w:p w:rsidR="0040606A" w:rsidRDefault="0040606A" w:rsidP="0040606A">
            <w:pPr>
              <w:spacing w:line="340" w:lineRule="exact"/>
              <w:ind w:leftChars="-27" w:left="-1" w:rightChars="-19" w:right="-65" w:hangingChars="38" w:hanging="91"/>
              <w:jc w:val="right"/>
              <w:rPr>
                <w:rFonts w:ascii="Times New Roman"/>
                <w:spacing w:val="-20"/>
                <w:sz w:val="26"/>
                <w:szCs w:val="26"/>
              </w:rPr>
            </w:pPr>
            <w:r>
              <w:rPr>
                <w:rFonts w:ascii="Times New Roman"/>
                <w:spacing w:val="-20"/>
                <w:sz w:val="26"/>
                <w:szCs w:val="26"/>
              </w:rPr>
              <w:t xml:space="preserve">10,180,780,127 </w:t>
            </w:r>
          </w:p>
        </w:tc>
        <w:tc>
          <w:tcPr>
            <w:tcW w:w="1723" w:type="dxa"/>
            <w:tcBorders>
              <w:top w:val="single" w:sz="6" w:space="0" w:color="000000"/>
              <w:left w:val="single" w:sz="12"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0"/>
                <w:sz w:val="26"/>
                <w:szCs w:val="26"/>
              </w:rPr>
            </w:pPr>
            <w:r>
              <w:rPr>
                <w:rFonts w:ascii="Times New Roman"/>
                <w:spacing w:val="-20"/>
                <w:sz w:val="26"/>
                <w:szCs w:val="26"/>
              </w:rPr>
              <w:t xml:space="preserve">9,162,702,116 </w:t>
            </w:r>
          </w:p>
        </w:tc>
        <w:tc>
          <w:tcPr>
            <w:tcW w:w="1707"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0"/>
                <w:sz w:val="26"/>
                <w:szCs w:val="26"/>
              </w:rPr>
            </w:pPr>
            <w:r>
              <w:rPr>
                <w:rFonts w:ascii="Times New Roman"/>
                <w:spacing w:val="-20"/>
                <w:sz w:val="26"/>
                <w:szCs w:val="26"/>
              </w:rPr>
              <w:t xml:space="preserve">1,018,078,014 </w:t>
            </w:r>
          </w:p>
        </w:tc>
        <w:tc>
          <w:tcPr>
            <w:tcW w:w="1649"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6"/>
                <w:sz w:val="26"/>
                <w:szCs w:val="26"/>
              </w:rPr>
            </w:pPr>
            <w:r>
              <w:rPr>
                <w:rFonts w:ascii="Times New Roman"/>
                <w:spacing w:val="-26"/>
                <w:sz w:val="26"/>
                <w:szCs w:val="26"/>
              </w:rPr>
              <w:t xml:space="preserve">20,361,560,257 </w:t>
            </w:r>
          </w:p>
        </w:tc>
      </w:tr>
      <w:tr w:rsidR="0040606A" w:rsidTr="00C055EF">
        <w:tc>
          <w:tcPr>
            <w:tcW w:w="1003"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40606A">
            <w:pPr>
              <w:kinsoku w:val="0"/>
              <w:spacing w:line="260" w:lineRule="exact"/>
              <w:ind w:leftChars="-19" w:left="-65" w:rightChars="-15" w:right="-51" w:firstLineChars="11" w:firstLine="25"/>
              <w:rPr>
                <w:rFonts w:ascii="Times New Roman"/>
                <w:spacing w:val="-26"/>
                <w:sz w:val="26"/>
                <w:szCs w:val="26"/>
              </w:rPr>
            </w:pPr>
            <w:r>
              <w:rPr>
                <w:rFonts w:ascii="Times New Roman" w:hint="eastAsia"/>
                <w:spacing w:val="-26"/>
                <w:sz w:val="26"/>
                <w:szCs w:val="26"/>
              </w:rPr>
              <w:t>發行結束結算盈餘</w:t>
            </w:r>
          </w:p>
        </w:tc>
        <w:tc>
          <w:tcPr>
            <w:tcW w:w="1701" w:type="dxa"/>
            <w:tcBorders>
              <w:top w:val="single" w:sz="6" w:space="0" w:color="000000"/>
              <w:left w:val="single" w:sz="12" w:space="0" w:color="000000"/>
              <w:bottom w:val="single" w:sz="6" w:space="0" w:color="000000"/>
              <w:right w:val="single" w:sz="12" w:space="0" w:color="000000"/>
            </w:tcBorders>
            <w:shd w:val="clear" w:color="auto" w:fill="F2F2F2" w:themeFill="background1" w:themeFillShade="F2"/>
            <w:vAlign w:val="center"/>
            <w:hideMark/>
          </w:tcPr>
          <w:p w:rsidR="0040606A" w:rsidRDefault="0040606A" w:rsidP="0040606A">
            <w:pPr>
              <w:spacing w:line="260" w:lineRule="exact"/>
              <w:ind w:leftChars="-27" w:left="-1" w:rightChars="-19" w:right="-65" w:hangingChars="38" w:hanging="91"/>
              <w:jc w:val="right"/>
              <w:rPr>
                <w:rFonts w:ascii="Times New Roman"/>
                <w:spacing w:val="-20"/>
                <w:sz w:val="26"/>
                <w:szCs w:val="26"/>
              </w:rPr>
            </w:pPr>
            <w:r>
              <w:rPr>
                <w:rFonts w:ascii="Times New Roman"/>
                <w:spacing w:val="-20"/>
                <w:sz w:val="26"/>
                <w:szCs w:val="26"/>
              </w:rPr>
              <w:t xml:space="preserve">1,392,269,824 </w:t>
            </w:r>
          </w:p>
        </w:tc>
        <w:tc>
          <w:tcPr>
            <w:tcW w:w="1723" w:type="dxa"/>
            <w:tcBorders>
              <w:top w:val="single" w:sz="6" w:space="0" w:color="000000"/>
              <w:left w:val="single" w:sz="12" w:space="0" w:color="000000"/>
              <w:bottom w:val="single" w:sz="6" w:space="0" w:color="000000"/>
              <w:right w:val="single" w:sz="6" w:space="0" w:color="000000"/>
            </w:tcBorders>
            <w:vAlign w:val="center"/>
            <w:hideMark/>
          </w:tcPr>
          <w:p w:rsidR="0040606A" w:rsidRDefault="0040606A" w:rsidP="00C055EF">
            <w:pPr>
              <w:spacing w:line="260" w:lineRule="exact"/>
              <w:jc w:val="right"/>
              <w:rPr>
                <w:rFonts w:ascii="Times New Roman"/>
                <w:spacing w:val="-20"/>
                <w:sz w:val="26"/>
                <w:szCs w:val="26"/>
              </w:rPr>
            </w:pPr>
            <w:r>
              <w:rPr>
                <w:rFonts w:ascii="Times New Roman"/>
                <w:spacing w:val="-20"/>
                <w:sz w:val="26"/>
                <w:szCs w:val="26"/>
              </w:rPr>
              <w:t xml:space="preserve">1,253,042,841 </w:t>
            </w:r>
          </w:p>
        </w:tc>
        <w:tc>
          <w:tcPr>
            <w:tcW w:w="1707"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260" w:lineRule="exact"/>
              <w:jc w:val="right"/>
              <w:rPr>
                <w:rFonts w:ascii="Times New Roman"/>
                <w:spacing w:val="-20"/>
                <w:sz w:val="26"/>
                <w:szCs w:val="26"/>
              </w:rPr>
            </w:pPr>
            <w:r>
              <w:rPr>
                <w:rFonts w:ascii="Times New Roman"/>
                <w:spacing w:val="-20"/>
                <w:sz w:val="26"/>
                <w:szCs w:val="26"/>
              </w:rPr>
              <w:t xml:space="preserve">139,226,982 </w:t>
            </w:r>
          </w:p>
        </w:tc>
        <w:tc>
          <w:tcPr>
            <w:tcW w:w="1649"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260" w:lineRule="exact"/>
              <w:jc w:val="right"/>
              <w:rPr>
                <w:rFonts w:ascii="Times New Roman"/>
                <w:spacing w:val="-20"/>
                <w:sz w:val="26"/>
                <w:szCs w:val="26"/>
              </w:rPr>
            </w:pPr>
            <w:r>
              <w:rPr>
                <w:rFonts w:ascii="Times New Roman"/>
                <w:spacing w:val="-20"/>
                <w:sz w:val="26"/>
                <w:szCs w:val="26"/>
              </w:rPr>
              <w:t xml:space="preserve">2,784,539,647 </w:t>
            </w:r>
          </w:p>
        </w:tc>
      </w:tr>
      <w:tr w:rsidR="0040606A" w:rsidTr="00C055EF">
        <w:tc>
          <w:tcPr>
            <w:tcW w:w="1003"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40606A">
            <w:pPr>
              <w:kinsoku w:val="0"/>
              <w:spacing w:line="280" w:lineRule="exact"/>
              <w:ind w:leftChars="-19" w:left="-65" w:rightChars="-15" w:right="-51" w:firstLineChars="11" w:firstLine="26"/>
              <w:rPr>
                <w:rFonts w:ascii="Times New Roman"/>
                <w:spacing w:val="-20"/>
                <w:sz w:val="26"/>
                <w:szCs w:val="26"/>
              </w:rPr>
            </w:pPr>
            <w:r>
              <w:rPr>
                <w:rFonts w:ascii="Times New Roman"/>
                <w:spacing w:val="-20"/>
                <w:sz w:val="26"/>
                <w:szCs w:val="26"/>
              </w:rPr>
              <w:t>91-95</w:t>
            </w:r>
            <w:r>
              <w:rPr>
                <w:rFonts w:ascii="Times New Roman" w:hint="eastAsia"/>
                <w:spacing w:val="-20"/>
                <w:sz w:val="26"/>
                <w:szCs w:val="26"/>
              </w:rPr>
              <w:t>年度合計</w:t>
            </w:r>
          </w:p>
        </w:tc>
        <w:tc>
          <w:tcPr>
            <w:tcW w:w="1701" w:type="dxa"/>
            <w:tcBorders>
              <w:top w:val="single" w:sz="6" w:space="0" w:color="000000"/>
              <w:left w:val="single" w:sz="12" w:space="0" w:color="000000"/>
              <w:bottom w:val="single" w:sz="6" w:space="0" w:color="000000"/>
              <w:right w:val="single" w:sz="12" w:space="0" w:color="000000"/>
            </w:tcBorders>
            <w:shd w:val="clear" w:color="auto" w:fill="F2F2F2" w:themeFill="background1" w:themeFillShade="F2"/>
            <w:vAlign w:val="center"/>
            <w:hideMark/>
          </w:tcPr>
          <w:p w:rsidR="0040606A" w:rsidRDefault="0040606A" w:rsidP="0040606A">
            <w:pPr>
              <w:spacing w:line="300" w:lineRule="exact"/>
              <w:ind w:leftChars="-27" w:left="-1" w:rightChars="-19" w:right="-65" w:hangingChars="38" w:hanging="91"/>
              <w:jc w:val="right"/>
              <w:rPr>
                <w:rFonts w:ascii="Times New Roman"/>
                <w:spacing w:val="-20"/>
                <w:sz w:val="26"/>
                <w:szCs w:val="26"/>
              </w:rPr>
            </w:pPr>
            <w:r>
              <w:rPr>
                <w:rFonts w:ascii="Times New Roman"/>
                <w:spacing w:val="-20"/>
                <w:sz w:val="26"/>
                <w:szCs w:val="26"/>
              </w:rPr>
              <w:t xml:space="preserve">60,305,681,155 </w:t>
            </w:r>
          </w:p>
        </w:tc>
        <w:tc>
          <w:tcPr>
            <w:tcW w:w="1723" w:type="dxa"/>
            <w:tcBorders>
              <w:top w:val="single" w:sz="6" w:space="0" w:color="000000"/>
              <w:left w:val="single" w:sz="12" w:space="0" w:color="000000"/>
              <w:bottom w:val="single" w:sz="6" w:space="0" w:color="000000"/>
              <w:right w:val="single" w:sz="6" w:space="0" w:color="000000"/>
            </w:tcBorders>
            <w:vAlign w:val="center"/>
            <w:hideMark/>
          </w:tcPr>
          <w:p w:rsidR="0040606A" w:rsidRDefault="0040606A" w:rsidP="00C055EF">
            <w:pPr>
              <w:spacing w:line="300" w:lineRule="exact"/>
              <w:jc w:val="right"/>
              <w:rPr>
                <w:rFonts w:ascii="Times New Roman"/>
                <w:spacing w:val="-20"/>
                <w:sz w:val="26"/>
                <w:szCs w:val="26"/>
              </w:rPr>
            </w:pPr>
            <w:r>
              <w:rPr>
                <w:rFonts w:ascii="Times New Roman"/>
                <w:spacing w:val="-20"/>
                <w:sz w:val="26"/>
                <w:szCs w:val="26"/>
              </w:rPr>
              <w:t xml:space="preserve">54,275,113,044 </w:t>
            </w:r>
          </w:p>
        </w:tc>
        <w:tc>
          <w:tcPr>
            <w:tcW w:w="1707"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300" w:lineRule="exact"/>
              <w:jc w:val="right"/>
              <w:rPr>
                <w:rFonts w:ascii="Times New Roman"/>
                <w:spacing w:val="-20"/>
                <w:sz w:val="26"/>
                <w:szCs w:val="26"/>
              </w:rPr>
            </w:pPr>
            <w:r>
              <w:rPr>
                <w:rFonts w:ascii="Times New Roman"/>
                <w:spacing w:val="-20"/>
                <w:sz w:val="26"/>
                <w:szCs w:val="26"/>
              </w:rPr>
              <w:t xml:space="preserve">6,030,568,117 </w:t>
            </w:r>
          </w:p>
        </w:tc>
        <w:tc>
          <w:tcPr>
            <w:tcW w:w="1649"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40606A">
            <w:pPr>
              <w:spacing w:line="300" w:lineRule="exact"/>
              <w:ind w:leftChars="-20" w:left="-5" w:hangingChars="28" w:hanging="63"/>
              <w:jc w:val="right"/>
              <w:rPr>
                <w:rFonts w:ascii="Times New Roman"/>
                <w:spacing w:val="-28"/>
                <w:sz w:val="26"/>
                <w:szCs w:val="26"/>
              </w:rPr>
            </w:pPr>
            <w:r>
              <w:rPr>
                <w:rFonts w:ascii="Times New Roman"/>
                <w:spacing w:val="-28"/>
                <w:sz w:val="26"/>
                <w:szCs w:val="26"/>
              </w:rPr>
              <w:t xml:space="preserve">120,611,362,316 </w:t>
            </w:r>
          </w:p>
        </w:tc>
      </w:tr>
      <w:tr w:rsidR="0040606A" w:rsidTr="00C055EF">
        <w:trPr>
          <w:trHeight w:val="349"/>
        </w:trPr>
        <w:tc>
          <w:tcPr>
            <w:tcW w:w="1003"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340" w:lineRule="exact"/>
              <w:jc w:val="center"/>
              <w:rPr>
                <w:rFonts w:ascii="Times New Roman"/>
                <w:spacing w:val="-20"/>
                <w:sz w:val="26"/>
                <w:szCs w:val="26"/>
              </w:rPr>
            </w:pPr>
            <w:r>
              <w:rPr>
                <w:rFonts w:ascii="Times New Roman"/>
                <w:spacing w:val="-20"/>
                <w:sz w:val="26"/>
                <w:szCs w:val="26"/>
              </w:rPr>
              <w:t>96</w:t>
            </w:r>
            <w:r>
              <w:rPr>
                <w:rFonts w:ascii="Times New Roman" w:hint="eastAsia"/>
                <w:spacing w:val="-20"/>
                <w:sz w:val="26"/>
                <w:szCs w:val="26"/>
              </w:rPr>
              <w:t>年度</w:t>
            </w:r>
          </w:p>
        </w:tc>
        <w:tc>
          <w:tcPr>
            <w:tcW w:w="1701" w:type="dxa"/>
            <w:tcBorders>
              <w:top w:val="single" w:sz="6" w:space="0" w:color="000000"/>
              <w:left w:val="single" w:sz="12" w:space="0" w:color="000000"/>
              <w:bottom w:val="single" w:sz="6" w:space="0" w:color="000000"/>
              <w:right w:val="single" w:sz="12" w:space="0" w:color="000000"/>
            </w:tcBorders>
            <w:shd w:val="clear" w:color="auto" w:fill="F2F2F2" w:themeFill="background1" w:themeFillShade="F2"/>
            <w:vAlign w:val="center"/>
            <w:hideMark/>
          </w:tcPr>
          <w:p w:rsidR="0040606A" w:rsidRDefault="0040606A" w:rsidP="0040606A">
            <w:pPr>
              <w:spacing w:line="340" w:lineRule="exact"/>
              <w:ind w:leftChars="-27" w:left="-1" w:rightChars="-19" w:right="-65" w:hangingChars="38" w:hanging="91"/>
              <w:jc w:val="right"/>
              <w:rPr>
                <w:rFonts w:ascii="Times New Roman"/>
                <w:spacing w:val="-20"/>
                <w:sz w:val="26"/>
                <w:szCs w:val="26"/>
              </w:rPr>
            </w:pPr>
            <w:r>
              <w:rPr>
                <w:rFonts w:ascii="Times New Roman"/>
                <w:spacing w:val="-20"/>
                <w:sz w:val="26"/>
                <w:szCs w:val="26"/>
              </w:rPr>
              <w:t xml:space="preserve">7,766,794,594 </w:t>
            </w:r>
          </w:p>
        </w:tc>
        <w:tc>
          <w:tcPr>
            <w:tcW w:w="1723" w:type="dxa"/>
            <w:tcBorders>
              <w:top w:val="single" w:sz="6" w:space="0" w:color="000000"/>
              <w:left w:val="single" w:sz="12"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0"/>
                <w:sz w:val="26"/>
                <w:szCs w:val="26"/>
              </w:rPr>
            </w:pPr>
            <w:r>
              <w:rPr>
                <w:rFonts w:ascii="Times New Roman"/>
                <w:spacing w:val="-20"/>
                <w:sz w:val="26"/>
                <w:szCs w:val="26"/>
              </w:rPr>
              <w:t xml:space="preserve">6,990,115,132 </w:t>
            </w:r>
          </w:p>
        </w:tc>
        <w:tc>
          <w:tcPr>
            <w:tcW w:w="1707"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0"/>
                <w:sz w:val="26"/>
                <w:szCs w:val="26"/>
              </w:rPr>
            </w:pPr>
            <w:r>
              <w:rPr>
                <w:rFonts w:ascii="Times New Roman"/>
                <w:spacing w:val="-20"/>
                <w:sz w:val="26"/>
                <w:szCs w:val="26"/>
              </w:rPr>
              <w:t xml:space="preserve">776,679,458 </w:t>
            </w:r>
          </w:p>
        </w:tc>
        <w:tc>
          <w:tcPr>
            <w:tcW w:w="1649"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6"/>
                <w:sz w:val="26"/>
                <w:szCs w:val="26"/>
              </w:rPr>
            </w:pPr>
            <w:r>
              <w:rPr>
                <w:rFonts w:ascii="Times New Roman"/>
                <w:spacing w:val="-26"/>
                <w:sz w:val="26"/>
                <w:szCs w:val="26"/>
              </w:rPr>
              <w:t xml:space="preserve">15,533,589,184 </w:t>
            </w:r>
          </w:p>
        </w:tc>
      </w:tr>
      <w:tr w:rsidR="0040606A" w:rsidTr="00C055EF">
        <w:trPr>
          <w:trHeight w:val="349"/>
        </w:trPr>
        <w:tc>
          <w:tcPr>
            <w:tcW w:w="1003"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340" w:lineRule="exact"/>
              <w:jc w:val="center"/>
              <w:rPr>
                <w:rFonts w:ascii="Times New Roman"/>
                <w:spacing w:val="-20"/>
                <w:sz w:val="26"/>
                <w:szCs w:val="26"/>
              </w:rPr>
            </w:pPr>
            <w:r>
              <w:rPr>
                <w:rFonts w:ascii="Times New Roman"/>
                <w:spacing w:val="-20"/>
                <w:sz w:val="26"/>
                <w:szCs w:val="26"/>
              </w:rPr>
              <w:t>97</w:t>
            </w:r>
            <w:r>
              <w:rPr>
                <w:rFonts w:ascii="Times New Roman" w:hint="eastAsia"/>
                <w:spacing w:val="-20"/>
                <w:sz w:val="26"/>
                <w:szCs w:val="26"/>
              </w:rPr>
              <w:t>年度</w:t>
            </w:r>
          </w:p>
        </w:tc>
        <w:tc>
          <w:tcPr>
            <w:tcW w:w="1701" w:type="dxa"/>
            <w:tcBorders>
              <w:top w:val="single" w:sz="6" w:space="0" w:color="000000"/>
              <w:left w:val="single" w:sz="12" w:space="0" w:color="000000"/>
              <w:bottom w:val="single" w:sz="6" w:space="0" w:color="000000"/>
              <w:right w:val="single" w:sz="12" w:space="0" w:color="000000"/>
            </w:tcBorders>
            <w:shd w:val="clear" w:color="auto" w:fill="F2F2F2" w:themeFill="background1" w:themeFillShade="F2"/>
            <w:vAlign w:val="center"/>
            <w:hideMark/>
          </w:tcPr>
          <w:p w:rsidR="0040606A" w:rsidRDefault="0040606A" w:rsidP="0040606A">
            <w:pPr>
              <w:spacing w:line="340" w:lineRule="exact"/>
              <w:ind w:leftChars="-27" w:left="-1" w:rightChars="-19" w:right="-65" w:hangingChars="38" w:hanging="91"/>
              <w:jc w:val="right"/>
              <w:rPr>
                <w:rFonts w:ascii="Times New Roman"/>
                <w:spacing w:val="-20"/>
                <w:sz w:val="26"/>
                <w:szCs w:val="26"/>
              </w:rPr>
            </w:pPr>
            <w:r>
              <w:rPr>
                <w:rFonts w:ascii="Times New Roman"/>
                <w:spacing w:val="-20"/>
                <w:sz w:val="26"/>
                <w:szCs w:val="26"/>
              </w:rPr>
              <w:t xml:space="preserve">10,406,963,653 </w:t>
            </w:r>
          </w:p>
        </w:tc>
        <w:tc>
          <w:tcPr>
            <w:tcW w:w="1723" w:type="dxa"/>
            <w:tcBorders>
              <w:top w:val="single" w:sz="6" w:space="0" w:color="000000"/>
              <w:left w:val="single" w:sz="12"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0"/>
                <w:sz w:val="26"/>
                <w:szCs w:val="26"/>
              </w:rPr>
            </w:pPr>
            <w:r>
              <w:rPr>
                <w:rFonts w:ascii="Times New Roman"/>
                <w:spacing w:val="-20"/>
                <w:sz w:val="26"/>
                <w:szCs w:val="26"/>
              </w:rPr>
              <w:t xml:space="preserve">9,366,267,287 </w:t>
            </w:r>
          </w:p>
        </w:tc>
        <w:tc>
          <w:tcPr>
            <w:tcW w:w="1707"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0"/>
                <w:sz w:val="26"/>
                <w:szCs w:val="26"/>
              </w:rPr>
            </w:pPr>
            <w:r>
              <w:rPr>
                <w:rFonts w:ascii="Times New Roman"/>
                <w:spacing w:val="-20"/>
                <w:sz w:val="26"/>
                <w:szCs w:val="26"/>
              </w:rPr>
              <w:t xml:space="preserve">1,040,696,365 </w:t>
            </w:r>
          </w:p>
        </w:tc>
        <w:tc>
          <w:tcPr>
            <w:tcW w:w="1649"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6"/>
                <w:sz w:val="26"/>
                <w:szCs w:val="26"/>
              </w:rPr>
            </w:pPr>
            <w:r>
              <w:rPr>
                <w:rFonts w:ascii="Times New Roman"/>
                <w:spacing w:val="-26"/>
                <w:sz w:val="26"/>
                <w:szCs w:val="26"/>
              </w:rPr>
              <w:t xml:space="preserve">20,813,927,305 </w:t>
            </w:r>
          </w:p>
        </w:tc>
      </w:tr>
      <w:tr w:rsidR="0040606A" w:rsidTr="00C055EF">
        <w:trPr>
          <w:trHeight w:val="349"/>
        </w:trPr>
        <w:tc>
          <w:tcPr>
            <w:tcW w:w="1003"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340" w:lineRule="exact"/>
              <w:jc w:val="center"/>
              <w:rPr>
                <w:rFonts w:ascii="Times New Roman"/>
                <w:spacing w:val="-20"/>
                <w:sz w:val="26"/>
                <w:szCs w:val="26"/>
              </w:rPr>
            </w:pPr>
            <w:r>
              <w:rPr>
                <w:rFonts w:ascii="Times New Roman"/>
                <w:spacing w:val="-20"/>
                <w:sz w:val="26"/>
                <w:szCs w:val="26"/>
              </w:rPr>
              <w:t>98</w:t>
            </w:r>
            <w:r>
              <w:rPr>
                <w:rFonts w:ascii="Times New Roman" w:hint="eastAsia"/>
                <w:spacing w:val="-20"/>
                <w:sz w:val="26"/>
                <w:szCs w:val="26"/>
              </w:rPr>
              <w:t>年度</w:t>
            </w:r>
          </w:p>
        </w:tc>
        <w:tc>
          <w:tcPr>
            <w:tcW w:w="1701" w:type="dxa"/>
            <w:tcBorders>
              <w:top w:val="single" w:sz="6" w:space="0" w:color="000000"/>
              <w:left w:val="single" w:sz="12" w:space="0" w:color="000000"/>
              <w:bottom w:val="single" w:sz="6" w:space="0" w:color="000000"/>
              <w:right w:val="single" w:sz="12" w:space="0" w:color="000000"/>
            </w:tcBorders>
            <w:shd w:val="clear" w:color="auto" w:fill="F2F2F2" w:themeFill="background1" w:themeFillShade="F2"/>
            <w:vAlign w:val="center"/>
            <w:hideMark/>
          </w:tcPr>
          <w:p w:rsidR="0040606A" w:rsidRDefault="0040606A" w:rsidP="0040606A">
            <w:pPr>
              <w:spacing w:line="340" w:lineRule="exact"/>
              <w:ind w:leftChars="-27" w:left="-1" w:rightChars="-19" w:right="-65" w:hangingChars="38" w:hanging="91"/>
              <w:jc w:val="right"/>
              <w:rPr>
                <w:rFonts w:ascii="Times New Roman"/>
                <w:spacing w:val="-20"/>
                <w:sz w:val="26"/>
                <w:szCs w:val="26"/>
              </w:rPr>
            </w:pPr>
            <w:r>
              <w:rPr>
                <w:rFonts w:ascii="Times New Roman"/>
                <w:spacing w:val="-20"/>
                <w:sz w:val="26"/>
                <w:szCs w:val="26"/>
              </w:rPr>
              <w:t xml:space="preserve">9,827,096,829 </w:t>
            </w:r>
          </w:p>
        </w:tc>
        <w:tc>
          <w:tcPr>
            <w:tcW w:w="1723" w:type="dxa"/>
            <w:tcBorders>
              <w:top w:val="single" w:sz="6" w:space="0" w:color="000000"/>
              <w:left w:val="single" w:sz="12"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0"/>
                <w:sz w:val="26"/>
                <w:szCs w:val="26"/>
              </w:rPr>
            </w:pPr>
            <w:r>
              <w:rPr>
                <w:rFonts w:ascii="Times New Roman"/>
                <w:spacing w:val="-20"/>
                <w:sz w:val="26"/>
                <w:szCs w:val="26"/>
              </w:rPr>
              <w:t xml:space="preserve">8,844,387,147 </w:t>
            </w:r>
          </w:p>
        </w:tc>
        <w:tc>
          <w:tcPr>
            <w:tcW w:w="1707"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0"/>
                <w:sz w:val="26"/>
                <w:szCs w:val="26"/>
              </w:rPr>
            </w:pPr>
            <w:r>
              <w:rPr>
                <w:rFonts w:ascii="Times New Roman"/>
                <w:spacing w:val="-20"/>
                <w:sz w:val="26"/>
                <w:szCs w:val="26"/>
              </w:rPr>
              <w:t xml:space="preserve">982,709,683 </w:t>
            </w:r>
          </w:p>
        </w:tc>
        <w:tc>
          <w:tcPr>
            <w:tcW w:w="1649"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6"/>
                <w:sz w:val="26"/>
                <w:szCs w:val="26"/>
              </w:rPr>
            </w:pPr>
            <w:r>
              <w:rPr>
                <w:rFonts w:ascii="Times New Roman"/>
                <w:spacing w:val="-26"/>
                <w:sz w:val="26"/>
                <w:szCs w:val="26"/>
              </w:rPr>
              <w:t xml:space="preserve">19,654,193,659 </w:t>
            </w:r>
          </w:p>
        </w:tc>
      </w:tr>
      <w:tr w:rsidR="0040606A" w:rsidTr="00C055EF">
        <w:trPr>
          <w:trHeight w:val="349"/>
        </w:trPr>
        <w:tc>
          <w:tcPr>
            <w:tcW w:w="1003"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340" w:lineRule="exact"/>
              <w:jc w:val="center"/>
              <w:rPr>
                <w:rFonts w:ascii="Times New Roman"/>
                <w:spacing w:val="-20"/>
                <w:sz w:val="26"/>
                <w:szCs w:val="26"/>
              </w:rPr>
            </w:pPr>
            <w:r>
              <w:rPr>
                <w:rFonts w:ascii="Times New Roman"/>
                <w:spacing w:val="-20"/>
                <w:sz w:val="26"/>
                <w:szCs w:val="26"/>
              </w:rPr>
              <w:t>99</w:t>
            </w:r>
            <w:r>
              <w:rPr>
                <w:rFonts w:ascii="Times New Roman" w:hint="eastAsia"/>
                <w:spacing w:val="-20"/>
                <w:sz w:val="26"/>
                <w:szCs w:val="26"/>
              </w:rPr>
              <w:t>年度</w:t>
            </w:r>
          </w:p>
        </w:tc>
        <w:tc>
          <w:tcPr>
            <w:tcW w:w="1701" w:type="dxa"/>
            <w:tcBorders>
              <w:top w:val="single" w:sz="6" w:space="0" w:color="000000"/>
              <w:left w:val="single" w:sz="12" w:space="0" w:color="000000"/>
              <w:bottom w:val="single" w:sz="6" w:space="0" w:color="000000"/>
              <w:right w:val="single" w:sz="12" w:space="0" w:color="000000"/>
            </w:tcBorders>
            <w:shd w:val="clear" w:color="auto" w:fill="F2F2F2" w:themeFill="background1" w:themeFillShade="F2"/>
            <w:vAlign w:val="center"/>
            <w:hideMark/>
          </w:tcPr>
          <w:p w:rsidR="0040606A" w:rsidRDefault="0040606A" w:rsidP="0040606A">
            <w:pPr>
              <w:spacing w:line="340" w:lineRule="exact"/>
              <w:ind w:leftChars="-27" w:left="-1" w:rightChars="-19" w:right="-65" w:hangingChars="38" w:hanging="91"/>
              <w:jc w:val="right"/>
              <w:rPr>
                <w:rFonts w:ascii="Times New Roman"/>
                <w:spacing w:val="-20"/>
                <w:sz w:val="26"/>
                <w:szCs w:val="26"/>
              </w:rPr>
            </w:pPr>
            <w:r>
              <w:rPr>
                <w:rFonts w:ascii="Times New Roman"/>
                <w:spacing w:val="-20"/>
                <w:sz w:val="26"/>
                <w:szCs w:val="26"/>
              </w:rPr>
              <w:t xml:space="preserve">10,605,767,713 </w:t>
            </w:r>
          </w:p>
        </w:tc>
        <w:tc>
          <w:tcPr>
            <w:tcW w:w="1723" w:type="dxa"/>
            <w:tcBorders>
              <w:top w:val="single" w:sz="6" w:space="0" w:color="000000"/>
              <w:left w:val="single" w:sz="12"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0"/>
                <w:sz w:val="26"/>
                <w:szCs w:val="26"/>
              </w:rPr>
            </w:pPr>
            <w:r>
              <w:rPr>
                <w:rFonts w:ascii="Times New Roman"/>
                <w:spacing w:val="-20"/>
                <w:sz w:val="26"/>
                <w:szCs w:val="26"/>
              </w:rPr>
              <w:t xml:space="preserve">9,545,190,945 </w:t>
            </w:r>
          </w:p>
        </w:tc>
        <w:tc>
          <w:tcPr>
            <w:tcW w:w="1707"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0"/>
                <w:sz w:val="26"/>
                <w:szCs w:val="26"/>
              </w:rPr>
            </w:pPr>
            <w:r>
              <w:rPr>
                <w:rFonts w:ascii="Times New Roman"/>
                <w:spacing w:val="-20"/>
                <w:sz w:val="26"/>
                <w:szCs w:val="26"/>
              </w:rPr>
              <w:t xml:space="preserve">1,060,576,773 </w:t>
            </w:r>
          </w:p>
        </w:tc>
        <w:tc>
          <w:tcPr>
            <w:tcW w:w="1649"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6"/>
                <w:sz w:val="26"/>
                <w:szCs w:val="26"/>
              </w:rPr>
            </w:pPr>
            <w:r>
              <w:rPr>
                <w:rFonts w:ascii="Times New Roman"/>
                <w:spacing w:val="-26"/>
                <w:sz w:val="26"/>
                <w:szCs w:val="26"/>
              </w:rPr>
              <w:t xml:space="preserve">21,211,535,431 </w:t>
            </w:r>
          </w:p>
        </w:tc>
      </w:tr>
      <w:tr w:rsidR="0040606A" w:rsidTr="00C055EF">
        <w:trPr>
          <w:trHeight w:val="349"/>
        </w:trPr>
        <w:tc>
          <w:tcPr>
            <w:tcW w:w="1003"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40606A">
            <w:pPr>
              <w:spacing w:line="340" w:lineRule="exact"/>
              <w:ind w:leftChars="-20" w:left="2" w:rightChars="-15" w:right="-51" w:hangingChars="29" w:hanging="70"/>
              <w:jc w:val="center"/>
              <w:rPr>
                <w:rFonts w:ascii="Times New Roman"/>
                <w:spacing w:val="-20"/>
                <w:sz w:val="26"/>
                <w:szCs w:val="26"/>
              </w:rPr>
            </w:pPr>
            <w:r>
              <w:rPr>
                <w:rFonts w:ascii="Times New Roman"/>
                <w:spacing w:val="-20"/>
                <w:sz w:val="26"/>
                <w:szCs w:val="26"/>
              </w:rPr>
              <w:t>100</w:t>
            </w:r>
            <w:r>
              <w:rPr>
                <w:rFonts w:ascii="Times New Roman" w:hint="eastAsia"/>
                <w:spacing w:val="-20"/>
                <w:sz w:val="26"/>
                <w:szCs w:val="26"/>
              </w:rPr>
              <w:t>年度</w:t>
            </w:r>
          </w:p>
        </w:tc>
        <w:tc>
          <w:tcPr>
            <w:tcW w:w="1701" w:type="dxa"/>
            <w:tcBorders>
              <w:top w:val="single" w:sz="6" w:space="0" w:color="000000"/>
              <w:left w:val="single" w:sz="12" w:space="0" w:color="000000"/>
              <w:bottom w:val="single" w:sz="6" w:space="0" w:color="000000"/>
              <w:right w:val="single" w:sz="12" w:space="0" w:color="000000"/>
            </w:tcBorders>
            <w:shd w:val="clear" w:color="auto" w:fill="F2F2F2" w:themeFill="background1" w:themeFillShade="F2"/>
            <w:vAlign w:val="center"/>
            <w:hideMark/>
          </w:tcPr>
          <w:p w:rsidR="0040606A" w:rsidRDefault="0040606A" w:rsidP="0040606A">
            <w:pPr>
              <w:spacing w:line="340" w:lineRule="exact"/>
              <w:ind w:leftChars="-27" w:left="-1" w:rightChars="-19" w:right="-65" w:hangingChars="38" w:hanging="91"/>
              <w:jc w:val="right"/>
              <w:rPr>
                <w:rFonts w:ascii="Times New Roman"/>
                <w:spacing w:val="-20"/>
                <w:sz w:val="26"/>
                <w:szCs w:val="26"/>
              </w:rPr>
            </w:pPr>
            <w:r>
              <w:rPr>
                <w:rFonts w:ascii="Times New Roman"/>
                <w:spacing w:val="-20"/>
                <w:sz w:val="26"/>
                <w:szCs w:val="26"/>
              </w:rPr>
              <w:t xml:space="preserve">11,729,145,454 </w:t>
            </w:r>
          </w:p>
        </w:tc>
        <w:tc>
          <w:tcPr>
            <w:tcW w:w="1723" w:type="dxa"/>
            <w:tcBorders>
              <w:top w:val="single" w:sz="6" w:space="0" w:color="000000"/>
              <w:left w:val="single" w:sz="12"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0"/>
                <w:sz w:val="26"/>
                <w:szCs w:val="26"/>
              </w:rPr>
            </w:pPr>
            <w:r>
              <w:rPr>
                <w:rFonts w:ascii="Times New Roman"/>
                <w:spacing w:val="-20"/>
                <w:sz w:val="26"/>
                <w:szCs w:val="26"/>
              </w:rPr>
              <w:t xml:space="preserve">10,556,230,910 </w:t>
            </w:r>
          </w:p>
        </w:tc>
        <w:tc>
          <w:tcPr>
            <w:tcW w:w="1707"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0"/>
                <w:sz w:val="26"/>
                <w:szCs w:val="26"/>
              </w:rPr>
            </w:pPr>
            <w:r>
              <w:rPr>
                <w:rFonts w:ascii="Times New Roman"/>
                <w:spacing w:val="-20"/>
                <w:sz w:val="26"/>
                <w:szCs w:val="26"/>
              </w:rPr>
              <w:t xml:space="preserve">1,172,914,545 </w:t>
            </w:r>
          </w:p>
        </w:tc>
        <w:tc>
          <w:tcPr>
            <w:tcW w:w="1649"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6"/>
                <w:sz w:val="26"/>
                <w:szCs w:val="26"/>
              </w:rPr>
            </w:pPr>
            <w:r>
              <w:rPr>
                <w:rFonts w:ascii="Times New Roman"/>
                <w:spacing w:val="-26"/>
                <w:sz w:val="26"/>
                <w:szCs w:val="26"/>
              </w:rPr>
              <w:t xml:space="preserve">23,458,290,909 </w:t>
            </w:r>
          </w:p>
        </w:tc>
      </w:tr>
      <w:tr w:rsidR="0040606A" w:rsidTr="00C055EF">
        <w:trPr>
          <w:trHeight w:val="349"/>
        </w:trPr>
        <w:tc>
          <w:tcPr>
            <w:tcW w:w="1003"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40606A">
            <w:pPr>
              <w:spacing w:line="340" w:lineRule="exact"/>
              <w:ind w:leftChars="-20" w:left="2" w:rightChars="-15" w:right="-51" w:hangingChars="29" w:hanging="70"/>
              <w:jc w:val="center"/>
              <w:rPr>
                <w:rFonts w:ascii="Times New Roman"/>
                <w:spacing w:val="-20"/>
                <w:sz w:val="26"/>
                <w:szCs w:val="26"/>
              </w:rPr>
            </w:pPr>
            <w:r>
              <w:rPr>
                <w:rFonts w:ascii="Times New Roman"/>
                <w:spacing w:val="-20"/>
                <w:sz w:val="26"/>
                <w:szCs w:val="26"/>
              </w:rPr>
              <w:t>101</w:t>
            </w:r>
            <w:r>
              <w:rPr>
                <w:rFonts w:ascii="Times New Roman" w:hint="eastAsia"/>
                <w:spacing w:val="-20"/>
                <w:sz w:val="26"/>
                <w:szCs w:val="26"/>
              </w:rPr>
              <w:t>年度</w:t>
            </w:r>
          </w:p>
        </w:tc>
        <w:tc>
          <w:tcPr>
            <w:tcW w:w="1701" w:type="dxa"/>
            <w:tcBorders>
              <w:top w:val="single" w:sz="6" w:space="0" w:color="000000"/>
              <w:left w:val="single" w:sz="12" w:space="0" w:color="000000"/>
              <w:bottom w:val="single" w:sz="6" w:space="0" w:color="000000"/>
              <w:right w:val="single" w:sz="12" w:space="0" w:color="000000"/>
            </w:tcBorders>
            <w:shd w:val="clear" w:color="auto" w:fill="F2F2F2" w:themeFill="background1" w:themeFillShade="F2"/>
            <w:vAlign w:val="center"/>
            <w:hideMark/>
          </w:tcPr>
          <w:p w:rsidR="0040606A" w:rsidRDefault="0040606A" w:rsidP="0040606A">
            <w:pPr>
              <w:spacing w:line="340" w:lineRule="exact"/>
              <w:ind w:leftChars="-27" w:left="-1" w:rightChars="-19" w:right="-65" w:hangingChars="38" w:hanging="91"/>
              <w:jc w:val="right"/>
              <w:rPr>
                <w:rFonts w:ascii="Times New Roman"/>
                <w:spacing w:val="-20"/>
                <w:sz w:val="26"/>
                <w:szCs w:val="26"/>
              </w:rPr>
            </w:pPr>
            <w:r>
              <w:rPr>
                <w:rFonts w:ascii="Times New Roman"/>
                <w:spacing w:val="-20"/>
                <w:sz w:val="26"/>
                <w:szCs w:val="26"/>
              </w:rPr>
              <w:t xml:space="preserve">13,605,722,322 </w:t>
            </w:r>
          </w:p>
        </w:tc>
        <w:tc>
          <w:tcPr>
            <w:tcW w:w="1723" w:type="dxa"/>
            <w:tcBorders>
              <w:top w:val="single" w:sz="6" w:space="0" w:color="000000"/>
              <w:left w:val="single" w:sz="12"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0"/>
                <w:sz w:val="26"/>
                <w:szCs w:val="26"/>
              </w:rPr>
            </w:pPr>
            <w:r>
              <w:rPr>
                <w:rFonts w:ascii="Times New Roman"/>
                <w:spacing w:val="-20"/>
                <w:sz w:val="26"/>
                <w:szCs w:val="26"/>
              </w:rPr>
              <w:t xml:space="preserve">12,245,150,093 </w:t>
            </w:r>
          </w:p>
        </w:tc>
        <w:tc>
          <w:tcPr>
            <w:tcW w:w="1707"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0"/>
                <w:sz w:val="26"/>
                <w:szCs w:val="26"/>
              </w:rPr>
            </w:pPr>
            <w:r>
              <w:rPr>
                <w:rFonts w:ascii="Times New Roman"/>
                <w:spacing w:val="-20"/>
                <w:sz w:val="26"/>
                <w:szCs w:val="26"/>
              </w:rPr>
              <w:t xml:space="preserve">1,360,572,233 </w:t>
            </w:r>
          </w:p>
        </w:tc>
        <w:tc>
          <w:tcPr>
            <w:tcW w:w="1649"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6"/>
                <w:sz w:val="26"/>
                <w:szCs w:val="26"/>
              </w:rPr>
            </w:pPr>
            <w:r>
              <w:rPr>
                <w:rFonts w:ascii="Times New Roman"/>
                <w:spacing w:val="-26"/>
                <w:sz w:val="26"/>
                <w:szCs w:val="26"/>
              </w:rPr>
              <w:t xml:space="preserve">27,211,444,648 </w:t>
            </w:r>
          </w:p>
        </w:tc>
      </w:tr>
      <w:tr w:rsidR="0040606A" w:rsidTr="00C055EF">
        <w:trPr>
          <w:trHeight w:val="349"/>
        </w:trPr>
        <w:tc>
          <w:tcPr>
            <w:tcW w:w="1003"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40606A">
            <w:pPr>
              <w:spacing w:line="340" w:lineRule="exact"/>
              <w:ind w:leftChars="-20" w:left="2" w:rightChars="-15" w:right="-51" w:hangingChars="29" w:hanging="70"/>
              <w:jc w:val="center"/>
              <w:rPr>
                <w:rFonts w:ascii="Times New Roman"/>
                <w:spacing w:val="-20"/>
                <w:sz w:val="26"/>
                <w:szCs w:val="26"/>
              </w:rPr>
            </w:pPr>
            <w:r>
              <w:rPr>
                <w:rFonts w:ascii="Times New Roman"/>
                <w:spacing w:val="-20"/>
                <w:sz w:val="26"/>
                <w:szCs w:val="26"/>
              </w:rPr>
              <w:t>102</w:t>
            </w:r>
            <w:r>
              <w:rPr>
                <w:rFonts w:ascii="Times New Roman" w:hint="eastAsia"/>
                <w:spacing w:val="-20"/>
                <w:sz w:val="26"/>
                <w:szCs w:val="26"/>
              </w:rPr>
              <w:t>年度</w:t>
            </w:r>
          </w:p>
        </w:tc>
        <w:tc>
          <w:tcPr>
            <w:tcW w:w="1701" w:type="dxa"/>
            <w:tcBorders>
              <w:top w:val="single" w:sz="6" w:space="0" w:color="000000"/>
              <w:left w:val="single" w:sz="12" w:space="0" w:color="000000"/>
              <w:bottom w:val="single" w:sz="6" w:space="0" w:color="000000"/>
              <w:right w:val="single" w:sz="12" w:space="0" w:color="000000"/>
            </w:tcBorders>
            <w:shd w:val="clear" w:color="auto" w:fill="F2F2F2" w:themeFill="background1" w:themeFillShade="F2"/>
            <w:vAlign w:val="center"/>
            <w:hideMark/>
          </w:tcPr>
          <w:p w:rsidR="0040606A" w:rsidRDefault="0040606A" w:rsidP="0040606A">
            <w:pPr>
              <w:spacing w:line="340" w:lineRule="exact"/>
              <w:ind w:leftChars="-27" w:left="-1" w:rightChars="-19" w:right="-65" w:hangingChars="38" w:hanging="91"/>
              <w:jc w:val="right"/>
              <w:rPr>
                <w:rFonts w:ascii="Times New Roman"/>
                <w:spacing w:val="-20"/>
                <w:sz w:val="26"/>
                <w:szCs w:val="26"/>
              </w:rPr>
            </w:pPr>
            <w:r>
              <w:rPr>
                <w:rFonts w:ascii="Times New Roman"/>
                <w:spacing w:val="-20"/>
                <w:sz w:val="26"/>
                <w:szCs w:val="26"/>
              </w:rPr>
              <w:t xml:space="preserve">18,035,896,015 </w:t>
            </w:r>
          </w:p>
        </w:tc>
        <w:tc>
          <w:tcPr>
            <w:tcW w:w="1723" w:type="dxa"/>
            <w:tcBorders>
              <w:top w:val="single" w:sz="6" w:space="0" w:color="000000"/>
              <w:left w:val="single" w:sz="12"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0"/>
                <w:sz w:val="26"/>
                <w:szCs w:val="26"/>
              </w:rPr>
            </w:pPr>
            <w:r>
              <w:rPr>
                <w:rFonts w:ascii="Times New Roman"/>
                <w:spacing w:val="-20"/>
                <w:sz w:val="26"/>
                <w:szCs w:val="26"/>
              </w:rPr>
              <w:t xml:space="preserve">16,232,306,417 </w:t>
            </w:r>
          </w:p>
        </w:tc>
        <w:tc>
          <w:tcPr>
            <w:tcW w:w="1707"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0"/>
                <w:sz w:val="26"/>
                <w:szCs w:val="26"/>
              </w:rPr>
            </w:pPr>
            <w:r>
              <w:rPr>
                <w:rFonts w:ascii="Times New Roman"/>
                <w:spacing w:val="-20"/>
                <w:sz w:val="26"/>
                <w:szCs w:val="26"/>
              </w:rPr>
              <w:t xml:space="preserve">1,803,589,604 </w:t>
            </w:r>
          </w:p>
        </w:tc>
        <w:tc>
          <w:tcPr>
            <w:tcW w:w="1649"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6"/>
                <w:sz w:val="26"/>
                <w:szCs w:val="26"/>
              </w:rPr>
            </w:pPr>
            <w:r>
              <w:rPr>
                <w:rFonts w:ascii="Times New Roman"/>
                <w:spacing w:val="-26"/>
                <w:sz w:val="26"/>
                <w:szCs w:val="26"/>
              </w:rPr>
              <w:t xml:space="preserve">36,071,792,036 </w:t>
            </w:r>
          </w:p>
        </w:tc>
      </w:tr>
      <w:tr w:rsidR="0040606A" w:rsidTr="00C055EF">
        <w:tc>
          <w:tcPr>
            <w:tcW w:w="1003" w:type="dxa"/>
            <w:tcBorders>
              <w:top w:val="single" w:sz="6" w:space="0" w:color="000000"/>
              <w:left w:val="single" w:sz="6" w:space="0" w:color="000000"/>
              <w:bottom w:val="single" w:sz="6" w:space="0" w:color="000000"/>
              <w:right w:val="single" w:sz="6" w:space="0" w:color="000000"/>
            </w:tcBorders>
            <w:hideMark/>
          </w:tcPr>
          <w:p w:rsidR="0040606A" w:rsidRDefault="0040606A" w:rsidP="0040606A">
            <w:pPr>
              <w:kinsoku w:val="0"/>
              <w:spacing w:line="260" w:lineRule="exact"/>
              <w:ind w:leftChars="-19" w:left="-65" w:rightChars="-15" w:right="-51" w:firstLineChars="11" w:firstLine="25"/>
              <w:rPr>
                <w:rFonts w:ascii="Times New Roman"/>
                <w:spacing w:val="-20"/>
                <w:sz w:val="26"/>
                <w:szCs w:val="26"/>
              </w:rPr>
            </w:pPr>
            <w:r>
              <w:rPr>
                <w:rFonts w:ascii="Times New Roman" w:hint="eastAsia"/>
                <w:spacing w:val="-26"/>
                <w:sz w:val="26"/>
                <w:szCs w:val="26"/>
              </w:rPr>
              <w:t>發行結束結算盈餘</w:t>
            </w:r>
          </w:p>
        </w:tc>
        <w:tc>
          <w:tcPr>
            <w:tcW w:w="1701" w:type="dxa"/>
            <w:tcBorders>
              <w:top w:val="single" w:sz="6" w:space="0" w:color="000000"/>
              <w:left w:val="single" w:sz="12" w:space="0" w:color="000000"/>
              <w:bottom w:val="single" w:sz="6" w:space="0" w:color="000000"/>
              <w:right w:val="single" w:sz="12" w:space="0" w:color="000000"/>
            </w:tcBorders>
            <w:shd w:val="clear" w:color="auto" w:fill="F2F2F2" w:themeFill="background1" w:themeFillShade="F2"/>
            <w:vAlign w:val="center"/>
            <w:hideMark/>
          </w:tcPr>
          <w:p w:rsidR="0040606A" w:rsidRDefault="0040606A" w:rsidP="0040606A">
            <w:pPr>
              <w:spacing w:line="260" w:lineRule="exact"/>
              <w:ind w:leftChars="-27" w:left="-1" w:rightChars="-19" w:right="-65" w:hangingChars="38" w:hanging="91"/>
              <w:jc w:val="right"/>
              <w:rPr>
                <w:rFonts w:ascii="Times New Roman"/>
                <w:spacing w:val="-20"/>
                <w:sz w:val="26"/>
                <w:szCs w:val="26"/>
              </w:rPr>
            </w:pPr>
            <w:r>
              <w:rPr>
                <w:rFonts w:ascii="Times New Roman"/>
                <w:spacing w:val="-20"/>
                <w:sz w:val="26"/>
                <w:szCs w:val="26"/>
              </w:rPr>
              <w:t xml:space="preserve">1,767,218,627 </w:t>
            </w:r>
          </w:p>
        </w:tc>
        <w:tc>
          <w:tcPr>
            <w:tcW w:w="1723" w:type="dxa"/>
            <w:tcBorders>
              <w:top w:val="single" w:sz="6" w:space="0" w:color="000000"/>
              <w:left w:val="single" w:sz="12" w:space="0" w:color="000000"/>
              <w:bottom w:val="single" w:sz="6" w:space="0" w:color="000000"/>
              <w:right w:val="single" w:sz="6" w:space="0" w:color="000000"/>
            </w:tcBorders>
            <w:vAlign w:val="center"/>
            <w:hideMark/>
          </w:tcPr>
          <w:p w:rsidR="0040606A" w:rsidRDefault="0040606A" w:rsidP="00C055EF">
            <w:pPr>
              <w:spacing w:line="260" w:lineRule="exact"/>
              <w:jc w:val="right"/>
              <w:rPr>
                <w:rFonts w:ascii="Times New Roman"/>
                <w:spacing w:val="-20"/>
                <w:sz w:val="26"/>
                <w:szCs w:val="26"/>
              </w:rPr>
            </w:pPr>
            <w:r>
              <w:rPr>
                <w:rFonts w:ascii="Times New Roman"/>
                <w:spacing w:val="-20"/>
                <w:sz w:val="26"/>
                <w:szCs w:val="26"/>
              </w:rPr>
              <w:t xml:space="preserve">1,590,496,764 </w:t>
            </w:r>
          </w:p>
        </w:tc>
        <w:tc>
          <w:tcPr>
            <w:tcW w:w="1707"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260" w:lineRule="exact"/>
              <w:jc w:val="right"/>
              <w:rPr>
                <w:rFonts w:ascii="Times New Roman"/>
                <w:spacing w:val="-20"/>
                <w:sz w:val="26"/>
                <w:szCs w:val="26"/>
              </w:rPr>
            </w:pPr>
            <w:r>
              <w:rPr>
                <w:rFonts w:ascii="Times New Roman"/>
                <w:spacing w:val="-20"/>
                <w:sz w:val="26"/>
                <w:szCs w:val="26"/>
              </w:rPr>
              <w:t xml:space="preserve">176,721,863 </w:t>
            </w:r>
          </w:p>
        </w:tc>
        <w:tc>
          <w:tcPr>
            <w:tcW w:w="1649"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260" w:lineRule="exact"/>
              <w:jc w:val="right"/>
              <w:rPr>
                <w:rFonts w:ascii="Times New Roman"/>
                <w:spacing w:val="-20"/>
                <w:sz w:val="26"/>
                <w:szCs w:val="26"/>
              </w:rPr>
            </w:pPr>
            <w:r>
              <w:rPr>
                <w:rFonts w:ascii="Times New Roman"/>
                <w:spacing w:val="-20"/>
                <w:sz w:val="26"/>
                <w:szCs w:val="26"/>
              </w:rPr>
              <w:t xml:space="preserve">3,534,437,254 </w:t>
            </w:r>
          </w:p>
        </w:tc>
      </w:tr>
      <w:tr w:rsidR="0040606A" w:rsidTr="00C055EF">
        <w:tc>
          <w:tcPr>
            <w:tcW w:w="1003" w:type="dxa"/>
            <w:tcBorders>
              <w:top w:val="single" w:sz="6" w:space="0" w:color="000000"/>
              <w:left w:val="single" w:sz="6" w:space="0" w:color="000000"/>
              <w:bottom w:val="single" w:sz="6" w:space="0" w:color="000000"/>
              <w:right w:val="single" w:sz="6" w:space="0" w:color="000000"/>
            </w:tcBorders>
            <w:hideMark/>
          </w:tcPr>
          <w:p w:rsidR="0040606A" w:rsidRDefault="0040606A" w:rsidP="0040606A">
            <w:pPr>
              <w:kinsoku w:val="0"/>
              <w:spacing w:line="280" w:lineRule="exact"/>
              <w:ind w:leftChars="-19" w:left="-65" w:rightChars="-15" w:right="-51" w:firstLineChars="11" w:firstLine="25"/>
              <w:rPr>
                <w:rFonts w:ascii="Times New Roman"/>
                <w:spacing w:val="-26"/>
                <w:sz w:val="26"/>
                <w:szCs w:val="26"/>
              </w:rPr>
            </w:pPr>
            <w:r>
              <w:rPr>
                <w:rFonts w:ascii="Times New Roman"/>
                <w:spacing w:val="-26"/>
                <w:sz w:val="26"/>
                <w:szCs w:val="26"/>
              </w:rPr>
              <w:t>96-102</w:t>
            </w:r>
            <w:r>
              <w:rPr>
                <w:rFonts w:ascii="Times New Roman" w:hint="eastAsia"/>
                <w:spacing w:val="-26"/>
                <w:sz w:val="26"/>
                <w:szCs w:val="26"/>
              </w:rPr>
              <w:t>年度合計</w:t>
            </w:r>
          </w:p>
        </w:tc>
        <w:tc>
          <w:tcPr>
            <w:tcW w:w="1701" w:type="dxa"/>
            <w:tcBorders>
              <w:top w:val="single" w:sz="6" w:space="0" w:color="000000"/>
              <w:left w:val="single" w:sz="12" w:space="0" w:color="000000"/>
              <w:bottom w:val="single" w:sz="6" w:space="0" w:color="000000"/>
              <w:right w:val="single" w:sz="12" w:space="0" w:color="000000"/>
            </w:tcBorders>
            <w:shd w:val="clear" w:color="auto" w:fill="F2F2F2" w:themeFill="background1" w:themeFillShade="F2"/>
            <w:vAlign w:val="center"/>
            <w:hideMark/>
          </w:tcPr>
          <w:p w:rsidR="0040606A" w:rsidRDefault="0040606A" w:rsidP="0040606A">
            <w:pPr>
              <w:spacing w:line="280" w:lineRule="exact"/>
              <w:ind w:leftChars="-27" w:left="-1" w:rightChars="-19" w:right="-65" w:hangingChars="38" w:hanging="91"/>
              <w:jc w:val="right"/>
              <w:rPr>
                <w:rFonts w:ascii="Times New Roman"/>
                <w:spacing w:val="-20"/>
                <w:sz w:val="26"/>
                <w:szCs w:val="26"/>
              </w:rPr>
            </w:pPr>
            <w:r>
              <w:rPr>
                <w:rFonts w:ascii="Times New Roman"/>
                <w:spacing w:val="-20"/>
                <w:sz w:val="26"/>
                <w:szCs w:val="26"/>
              </w:rPr>
              <w:t xml:space="preserve">83,744,605,207 </w:t>
            </w:r>
          </w:p>
        </w:tc>
        <w:tc>
          <w:tcPr>
            <w:tcW w:w="1723" w:type="dxa"/>
            <w:tcBorders>
              <w:top w:val="single" w:sz="6" w:space="0" w:color="000000"/>
              <w:left w:val="single" w:sz="12" w:space="0" w:color="000000"/>
              <w:bottom w:val="single" w:sz="6" w:space="0" w:color="000000"/>
              <w:right w:val="single" w:sz="6" w:space="0" w:color="000000"/>
            </w:tcBorders>
            <w:vAlign w:val="center"/>
            <w:hideMark/>
          </w:tcPr>
          <w:p w:rsidR="0040606A" w:rsidRDefault="0040606A" w:rsidP="0040606A">
            <w:pPr>
              <w:spacing w:line="280" w:lineRule="exact"/>
              <w:ind w:leftChars="-27" w:left="-1" w:rightChars="-19" w:right="-65" w:hangingChars="38" w:hanging="91"/>
              <w:jc w:val="right"/>
              <w:rPr>
                <w:rFonts w:ascii="Times New Roman"/>
                <w:spacing w:val="-20"/>
                <w:sz w:val="26"/>
                <w:szCs w:val="26"/>
              </w:rPr>
            </w:pPr>
            <w:r>
              <w:rPr>
                <w:rFonts w:ascii="Times New Roman"/>
                <w:spacing w:val="-20"/>
                <w:sz w:val="26"/>
                <w:szCs w:val="26"/>
              </w:rPr>
              <w:t xml:space="preserve">75,370,144,695 </w:t>
            </w:r>
          </w:p>
        </w:tc>
        <w:tc>
          <w:tcPr>
            <w:tcW w:w="1707"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40606A">
            <w:pPr>
              <w:spacing w:line="280" w:lineRule="exact"/>
              <w:ind w:leftChars="-27" w:left="-1" w:rightChars="-19" w:right="-65" w:hangingChars="38" w:hanging="91"/>
              <w:jc w:val="right"/>
              <w:rPr>
                <w:rFonts w:ascii="Times New Roman"/>
                <w:spacing w:val="-20"/>
                <w:sz w:val="26"/>
                <w:szCs w:val="26"/>
              </w:rPr>
            </w:pPr>
            <w:r>
              <w:rPr>
                <w:rFonts w:ascii="Times New Roman"/>
                <w:spacing w:val="-20"/>
                <w:sz w:val="26"/>
                <w:szCs w:val="26"/>
              </w:rPr>
              <w:t xml:space="preserve">8,374,460,524 </w:t>
            </w:r>
          </w:p>
        </w:tc>
        <w:tc>
          <w:tcPr>
            <w:tcW w:w="1649"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40606A">
            <w:pPr>
              <w:spacing w:line="300" w:lineRule="exact"/>
              <w:ind w:leftChars="-20" w:left="-5" w:hangingChars="28" w:hanging="63"/>
              <w:jc w:val="right"/>
              <w:rPr>
                <w:rFonts w:ascii="Times New Roman"/>
                <w:spacing w:val="-28"/>
                <w:sz w:val="26"/>
                <w:szCs w:val="26"/>
              </w:rPr>
            </w:pPr>
            <w:r>
              <w:rPr>
                <w:rFonts w:ascii="Times New Roman"/>
                <w:spacing w:val="-28"/>
                <w:sz w:val="26"/>
                <w:szCs w:val="26"/>
              </w:rPr>
              <w:t xml:space="preserve">167,489,210,426 </w:t>
            </w:r>
          </w:p>
        </w:tc>
      </w:tr>
      <w:tr w:rsidR="0040606A" w:rsidTr="00C055EF">
        <w:trPr>
          <w:trHeight w:val="367"/>
        </w:trPr>
        <w:tc>
          <w:tcPr>
            <w:tcW w:w="1003"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40606A">
            <w:pPr>
              <w:spacing w:line="340" w:lineRule="exact"/>
              <w:ind w:leftChars="-20" w:left="5" w:rightChars="-15" w:right="-51" w:hangingChars="29" w:hanging="73"/>
              <w:jc w:val="center"/>
              <w:rPr>
                <w:rFonts w:ascii="Times New Roman"/>
                <w:spacing w:val="-14"/>
                <w:sz w:val="26"/>
                <w:szCs w:val="26"/>
              </w:rPr>
            </w:pPr>
            <w:r>
              <w:rPr>
                <w:rFonts w:ascii="Times New Roman"/>
                <w:spacing w:val="-14"/>
                <w:sz w:val="26"/>
                <w:szCs w:val="26"/>
              </w:rPr>
              <w:t>103</w:t>
            </w:r>
            <w:r>
              <w:rPr>
                <w:rFonts w:ascii="Times New Roman" w:hint="eastAsia"/>
                <w:spacing w:val="-14"/>
                <w:sz w:val="26"/>
                <w:szCs w:val="26"/>
              </w:rPr>
              <w:t>年度</w:t>
            </w:r>
          </w:p>
        </w:tc>
        <w:tc>
          <w:tcPr>
            <w:tcW w:w="1701" w:type="dxa"/>
            <w:tcBorders>
              <w:top w:val="single" w:sz="6" w:space="0" w:color="000000"/>
              <w:left w:val="single" w:sz="12" w:space="0" w:color="000000"/>
              <w:bottom w:val="single" w:sz="6" w:space="0" w:color="000000"/>
              <w:right w:val="single" w:sz="12" w:space="0" w:color="000000"/>
            </w:tcBorders>
            <w:shd w:val="clear" w:color="auto" w:fill="F2F2F2" w:themeFill="background1" w:themeFillShade="F2"/>
            <w:vAlign w:val="center"/>
            <w:hideMark/>
          </w:tcPr>
          <w:p w:rsidR="0040606A" w:rsidRDefault="0040606A" w:rsidP="0040606A">
            <w:pPr>
              <w:spacing w:line="340" w:lineRule="exact"/>
              <w:ind w:leftChars="-27" w:left="-1" w:rightChars="-19" w:right="-65" w:hangingChars="38" w:hanging="91"/>
              <w:jc w:val="right"/>
              <w:rPr>
                <w:rFonts w:ascii="Times New Roman"/>
                <w:spacing w:val="-20"/>
                <w:sz w:val="26"/>
                <w:szCs w:val="26"/>
              </w:rPr>
            </w:pPr>
            <w:r>
              <w:rPr>
                <w:rFonts w:ascii="Times New Roman"/>
                <w:spacing w:val="-20"/>
                <w:sz w:val="26"/>
                <w:szCs w:val="26"/>
              </w:rPr>
              <w:t xml:space="preserve">14,182,788,316 </w:t>
            </w:r>
          </w:p>
        </w:tc>
        <w:tc>
          <w:tcPr>
            <w:tcW w:w="1723" w:type="dxa"/>
            <w:tcBorders>
              <w:top w:val="single" w:sz="6" w:space="0" w:color="000000"/>
              <w:left w:val="single" w:sz="12"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0"/>
                <w:sz w:val="26"/>
                <w:szCs w:val="26"/>
              </w:rPr>
            </w:pPr>
            <w:r>
              <w:rPr>
                <w:rFonts w:ascii="Times New Roman"/>
                <w:spacing w:val="-20"/>
                <w:sz w:val="26"/>
                <w:szCs w:val="26"/>
              </w:rPr>
              <w:t xml:space="preserve">12,764,509,483 </w:t>
            </w:r>
          </w:p>
        </w:tc>
        <w:tc>
          <w:tcPr>
            <w:tcW w:w="1707"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0"/>
                <w:sz w:val="26"/>
                <w:szCs w:val="26"/>
              </w:rPr>
            </w:pPr>
            <w:r>
              <w:rPr>
                <w:rFonts w:ascii="Times New Roman"/>
                <w:spacing w:val="-20"/>
                <w:sz w:val="26"/>
                <w:szCs w:val="26"/>
              </w:rPr>
              <w:t xml:space="preserve">1,418,278,832 </w:t>
            </w:r>
          </w:p>
        </w:tc>
        <w:tc>
          <w:tcPr>
            <w:tcW w:w="1649"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6"/>
                <w:sz w:val="26"/>
                <w:szCs w:val="26"/>
              </w:rPr>
            </w:pPr>
            <w:r>
              <w:rPr>
                <w:rFonts w:ascii="Times New Roman"/>
                <w:spacing w:val="-26"/>
                <w:sz w:val="26"/>
                <w:szCs w:val="26"/>
              </w:rPr>
              <w:t xml:space="preserve">28,365,576,631 </w:t>
            </w:r>
          </w:p>
        </w:tc>
      </w:tr>
      <w:tr w:rsidR="0040606A" w:rsidTr="00C055EF">
        <w:trPr>
          <w:trHeight w:val="367"/>
        </w:trPr>
        <w:tc>
          <w:tcPr>
            <w:tcW w:w="1003"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40606A">
            <w:pPr>
              <w:spacing w:line="340" w:lineRule="exact"/>
              <w:ind w:leftChars="-20" w:left="5" w:rightChars="-15" w:right="-51" w:hangingChars="29" w:hanging="73"/>
              <w:jc w:val="center"/>
              <w:rPr>
                <w:rFonts w:ascii="Times New Roman"/>
                <w:spacing w:val="-14"/>
                <w:sz w:val="26"/>
                <w:szCs w:val="26"/>
              </w:rPr>
            </w:pPr>
            <w:r>
              <w:rPr>
                <w:rFonts w:ascii="Times New Roman"/>
                <w:spacing w:val="-14"/>
                <w:sz w:val="26"/>
                <w:szCs w:val="26"/>
              </w:rPr>
              <w:t>104</w:t>
            </w:r>
            <w:r>
              <w:rPr>
                <w:rFonts w:ascii="Times New Roman" w:hint="eastAsia"/>
                <w:spacing w:val="-14"/>
                <w:sz w:val="26"/>
                <w:szCs w:val="26"/>
              </w:rPr>
              <w:t>年度</w:t>
            </w:r>
          </w:p>
        </w:tc>
        <w:tc>
          <w:tcPr>
            <w:tcW w:w="1701" w:type="dxa"/>
            <w:tcBorders>
              <w:top w:val="single" w:sz="6" w:space="0" w:color="000000"/>
              <w:left w:val="single" w:sz="12" w:space="0" w:color="000000"/>
              <w:bottom w:val="single" w:sz="6" w:space="0" w:color="000000"/>
              <w:right w:val="single" w:sz="12" w:space="0" w:color="000000"/>
            </w:tcBorders>
            <w:shd w:val="clear" w:color="auto" w:fill="F2F2F2" w:themeFill="background1" w:themeFillShade="F2"/>
            <w:vAlign w:val="center"/>
            <w:hideMark/>
          </w:tcPr>
          <w:p w:rsidR="0040606A" w:rsidRDefault="0040606A" w:rsidP="0040606A">
            <w:pPr>
              <w:spacing w:line="340" w:lineRule="exact"/>
              <w:ind w:leftChars="-27" w:left="-1" w:rightChars="-19" w:right="-65" w:hangingChars="38" w:hanging="91"/>
              <w:jc w:val="right"/>
              <w:rPr>
                <w:rFonts w:ascii="Times New Roman"/>
                <w:spacing w:val="-20"/>
                <w:sz w:val="26"/>
                <w:szCs w:val="26"/>
              </w:rPr>
            </w:pPr>
            <w:r>
              <w:rPr>
                <w:rFonts w:ascii="Times New Roman"/>
                <w:spacing w:val="-20"/>
                <w:sz w:val="26"/>
                <w:szCs w:val="26"/>
              </w:rPr>
              <w:t>16,788,837,712</w:t>
            </w:r>
          </w:p>
        </w:tc>
        <w:tc>
          <w:tcPr>
            <w:tcW w:w="1723" w:type="dxa"/>
            <w:tcBorders>
              <w:top w:val="single" w:sz="6" w:space="0" w:color="000000"/>
              <w:left w:val="single" w:sz="12"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0"/>
                <w:sz w:val="26"/>
                <w:szCs w:val="26"/>
              </w:rPr>
            </w:pPr>
            <w:r>
              <w:rPr>
                <w:rFonts w:ascii="Times New Roman"/>
                <w:spacing w:val="-20"/>
                <w:sz w:val="26"/>
                <w:szCs w:val="26"/>
              </w:rPr>
              <w:t>15,109,953,941</w:t>
            </w:r>
          </w:p>
        </w:tc>
        <w:tc>
          <w:tcPr>
            <w:tcW w:w="1707"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0"/>
                <w:sz w:val="26"/>
                <w:szCs w:val="26"/>
              </w:rPr>
            </w:pPr>
            <w:r>
              <w:rPr>
                <w:rFonts w:ascii="Times New Roman"/>
                <w:spacing w:val="-20"/>
                <w:sz w:val="26"/>
                <w:szCs w:val="26"/>
              </w:rPr>
              <w:t>1,678,883,773</w:t>
            </w:r>
          </w:p>
        </w:tc>
        <w:tc>
          <w:tcPr>
            <w:tcW w:w="1649"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6"/>
                <w:sz w:val="26"/>
                <w:szCs w:val="26"/>
              </w:rPr>
            </w:pPr>
            <w:r>
              <w:rPr>
                <w:rFonts w:ascii="Times New Roman"/>
                <w:spacing w:val="-26"/>
                <w:sz w:val="26"/>
                <w:szCs w:val="26"/>
              </w:rPr>
              <w:t>33,577,675,426</w:t>
            </w:r>
          </w:p>
        </w:tc>
      </w:tr>
      <w:tr w:rsidR="0040606A" w:rsidTr="00C055EF">
        <w:trPr>
          <w:trHeight w:val="367"/>
        </w:trPr>
        <w:tc>
          <w:tcPr>
            <w:tcW w:w="1003"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40606A">
            <w:pPr>
              <w:spacing w:line="340" w:lineRule="exact"/>
              <w:ind w:leftChars="-20" w:left="5" w:rightChars="-15" w:right="-51" w:hangingChars="29" w:hanging="73"/>
              <w:jc w:val="center"/>
              <w:rPr>
                <w:rFonts w:ascii="Times New Roman"/>
                <w:spacing w:val="-14"/>
                <w:sz w:val="26"/>
                <w:szCs w:val="26"/>
              </w:rPr>
            </w:pPr>
            <w:r>
              <w:rPr>
                <w:rFonts w:ascii="Times New Roman"/>
                <w:spacing w:val="-14"/>
                <w:sz w:val="26"/>
                <w:szCs w:val="26"/>
              </w:rPr>
              <w:t>105</w:t>
            </w:r>
            <w:r>
              <w:rPr>
                <w:rFonts w:ascii="Times New Roman" w:hint="eastAsia"/>
                <w:spacing w:val="-14"/>
                <w:sz w:val="26"/>
                <w:szCs w:val="26"/>
              </w:rPr>
              <w:t>年度</w:t>
            </w:r>
          </w:p>
        </w:tc>
        <w:tc>
          <w:tcPr>
            <w:tcW w:w="1701" w:type="dxa"/>
            <w:tcBorders>
              <w:top w:val="single" w:sz="6" w:space="0" w:color="000000"/>
              <w:left w:val="single" w:sz="12" w:space="0" w:color="000000"/>
              <w:bottom w:val="single" w:sz="6" w:space="0" w:color="000000"/>
              <w:right w:val="single" w:sz="12" w:space="0" w:color="000000"/>
            </w:tcBorders>
            <w:shd w:val="clear" w:color="auto" w:fill="FDE9D9" w:themeFill="accent6" w:themeFillTint="33"/>
            <w:vAlign w:val="center"/>
            <w:hideMark/>
          </w:tcPr>
          <w:p w:rsidR="0040606A" w:rsidRDefault="0040606A" w:rsidP="0040606A">
            <w:pPr>
              <w:spacing w:line="340" w:lineRule="exact"/>
              <w:ind w:leftChars="-27" w:left="-1" w:rightChars="-19" w:right="-65" w:hangingChars="38" w:hanging="91"/>
              <w:jc w:val="right"/>
              <w:rPr>
                <w:rFonts w:ascii="Times New Roman"/>
                <w:spacing w:val="-20"/>
                <w:sz w:val="26"/>
                <w:szCs w:val="26"/>
              </w:rPr>
            </w:pPr>
            <w:r>
              <w:rPr>
                <w:rFonts w:ascii="Times New Roman"/>
                <w:spacing w:val="-20"/>
                <w:sz w:val="26"/>
                <w:szCs w:val="26"/>
              </w:rPr>
              <w:t>13,297,945,884</w:t>
            </w:r>
          </w:p>
        </w:tc>
        <w:tc>
          <w:tcPr>
            <w:tcW w:w="1723" w:type="dxa"/>
            <w:tcBorders>
              <w:top w:val="single" w:sz="6" w:space="0" w:color="000000"/>
              <w:left w:val="single" w:sz="12"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0"/>
                <w:sz w:val="26"/>
                <w:szCs w:val="26"/>
              </w:rPr>
            </w:pPr>
            <w:r>
              <w:rPr>
                <w:rFonts w:ascii="Times New Roman"/>
                <w:spacing w:val="-20"/>
                <w:sz w:val="26"/>
                <w:szCs w:val="26"/>
              </w:rPr>
              <w:t>11,968,151,298</w:t>
            </w:r>
          </w:p>
        </w:tc>
        <w:tc>
          <w:tcPr>
            <w:tcW w:w="1707"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0"/>
                <w:sz w:val="26"/>
                <w:szCs w:val="26"/>
              </w:rPr>
            </w:pPr>
            <w:r>
              <w:rPr>
                <w:rFonts w:ascii="Times New Roman"/>
                <w:spacing w:val="-20"/>
                <w:sz w:val="26"/>
                <w:szCs w:val="26"/>
              </w:rPr>
              <w:t>1,329,794,590</w:t>
            </w:r>
          </w:p>
        </w:tc>
        <w:tc>
          <w:tcPr>
            <w:tcW w:w="1649" w:type="dxa"/>
            <w:tcBorders>
              <w:top w:val="single" w:sz="6" w:space="0" w:color="000000"/>
              <w:left w:val="single" w:sz="6" w:space="0" w:color="000000"/>
              <w:bottom w:val="single" w:sz="6" w:space="0" w:color="000000"/>
              <w:right w:val="single" w:sz="6" w:space="0" w:color="000000"/>
            </w:tcBorders>
            <w:vAlign w:val="center"/>
            <w:hideMark/>
          </w:tcPr>
          <w:p w:rsidR="0040606A" w:rsidRDefault="0040606A" w:rsidP="00C055EF">
            <w:pPr>
              <w:spacing w:line="340" w:lineRule="exact"/>
              <w:jc w:val="right"/>
              <w:rPr>
                <w:rFonts w:ascii="Times New Roman"/>
                <w:spacing w:val="-26"/>
                <w:sz w:val="26"/>
                <w:szCs w:val="26"/>
              </w:rPr>
            </w:pPr>
            <w:r>
              <w:rPr>
                <w:rFonts w:ascii="Times New Roman"/>
                <w:spacing w:val="-26"/>
                <w:sz w:val="26"/>
                <w:szCs w:val="26"/>
              </w:rPr>
              <w:t>26,595,891,772</w:t>
            </w:r>
          </w:p>
        </w:tc>
      </w:tr>
    </w:tbl>
    <w:p w:rsidR="0040606A" w:rsidRDefault="0040606A" w:rsidP="0040606A">
      <w:pPr>
        <w:kinsoku w:val="0"/>
        <w:spacing w:afterLines="25" w:after="114" w:line="320" w:lineRule="exact"/>
        <w:ind w:leftChars="401" w:left="2540" w:rightChars="-99" w:right="-337" w:hangingChars="452" w:hanging="1176"/>
        <w:rPr>
          <w:rFonts w:ascii="Times New Roman"/>
          <w:sz w:val="24"/>
          <w:szCs w:val="24"/>
        </w:rPr>
      </w:pPr>
      <w:r>
        <w:rPr>
          <w:rFonts w:ascii="Times New Roman" w:hint="eastAsia"/>
          <w:sz w:val="24"/>
          <w:szCs w:val="24"/>
        </w:rPr>
        <w:t>資料來源：財政部</w:t>
      </w:r>
      <w:r>
        <w:rPr>
          <w:rFonts w:ascii="Times New Roman"/>
          <w:sz w:val="24"/>
          <w:szCs w:val="24"/>
        </w:rPr>
        <w:t>104</w:t>
      </w:r>
      <w:r>
        <w:rPr>
          <w:rFonts w:ascii="Times New Roman" w:hint="eastAsia"/>
          <w:sz w:val="24"/>
          <w:szCs w:val="24"/>
        </w:rPr>
        <w:t>年</w:t>
      </w:r>
      <w:r>
        <w:rPr>
          <w:rFonts w:ascii="Times New Roman"/>
          <w:sz w:val="24"/>
          <w:szCs w:val="24"/>
        </w:rPr>
        <w:t>9</w:t>
      </w:r>
      <w:r>
        <w:rPr>
          <w:rFonts w:ascii="Times New Roman" w:hint="eastAsia"/>
          <w:sz w:val="24"/>
          <w:szCs w:val="24"/>
        </w:rPr>
        <w:t>月</w:t>
      </w:r>
      <w:r>
        <w:rPr>
          <w:rFonts w:ascii="Times New Roman"/>
          <w:sz w:val="24"/>
          <w:szCs w:val="24"/>
        </w:rPr>
        <w:t>25</w:t>
      </w:r>
      <w:r>
        <w:rPr>
          <w:rFonts w:ascii="Times New Roman" w:hint="eastAsia"/>
          <w:sz w:val="24"/>
          <w:szCs w:val="24"/>
        </w:rPr>
        <w:t>日台財庫字第</w:t>
      </w:r>
      <w:r>
        <w:rPr>
          <w:rFonts w:ascii="Times New Roman"/>
          <w:sz w:val="24"/>
          <w:szCs w:val="24"/>
        </w:rPr>
        <w:t>10403748320</w:t>
      </w:r>
      <w:r>
        <w:rPr>
          <w:rFonts w:ascii="Times New Roman" w:hint="eastAsia"/>
          <w:sz w:val="24"/>
          <w:szCs w:val="24"/>
        </w:rPr>
        <w:t>號函及該部國庫署網站</w:t>
      </w:r>
      <w:r>
        <w:rPr>
          <w:rFonts w:ascii="微軟正黑體" w:eastAsia="微軟正黑體" w:hAnsi="微軟正黑體" w:hint="eastAsia"/>
          <w:sz w:val="24"/>
          <w:szCs w:val="24"/>
        </w:rPr>
        <w:t>「</w:t>
      </w:r>
      <w:r>
        <w:rPr>
          <w:rFonts w:ascii="Times New Roman" w:hint="eastAsia"/>
          <w:sz w:val="24"/>
          <w:szCs w:val="24"/>
        </w:rPr>
        <w:t>公益彩券盈餘分配及銷售量簡表」。</w:t>
      </w:r>
    </w:p>
    <w:p w:rsidR="0040606A" w:rsidRDefault="0040606A" w:rsidP="0040606A">
      <w:pPr>
        <w:pStyle w:val="3"/>
        <w:numPr>
          <w:ilvl w:val="2"/>
          <w:numId w:val="9"/>
        </w:numPr>
        <w:kinsoku w:val="0"/>
        <w:ind w:left="1360" w:hanging="680"/>
        <w:rPr>
          <w:rFonts w:ascii="Times New Roman" w:hAnsi="Times New Roman"/>
        </w:rPr>
      </w:pPr>
      <w:bookmarkStart w:id="1868" w:name="_Toc507518630"/>
      <w:bookmarkStart w:id="1869" w:name="_Toc507767742"/>
      <w:bookmarkStart w:id="1870" w:name="_Toc507768468"/>
      <w:bookmarkStart w:id="1871" w:name="_Toc511115464"/>
      <w:bookmarkStart w:id="1872" w:name="_Toc511308254"/>
      <w:bookmarkStart w:id="1873" w:name="_Toc511998698"/>
      <w:bookmarkStart w:id="1874" w:name="_Toc512421055"/>
      <w:r>
        <w:rPr>
          <w:rFonts w:ascii="Times New Roman" w:hAnsi="Times New Roman" w:hint="eastAsia"/>
        </w:rPr>
        <w:t>惟前揭「公益彩券盈餘分配及銷售量簡表」所公布之公益彩券盈餘分配予地方政府辦理社會</w:t>
      </w:r>
      <w:r>
        <w:rPr>
          <w:rFonts w:ascii="Times New Roman" w:hAnsi="Times New Roman" w:hint="eastAsia"/>
          <w:szCs w:val="32"/>
        </w:rPr>
        <w:t>福利的金額</w:t>
      </w:r>
      <w:r w:rsidRPr="00016B23">
        <w:rPr>
          <w:rFonts w:ascii="Times New Roman" w:hAnsi="Times New Roman"/>
        </w:rPr>
        <w:t>(</w:t>
      </w:r>
      <w:r w:rsidRPr="00016B23">
        <w:rPr>
          <w:rFonts w:ascii="Times New Roman" w:hAnsi="Times New Roman" w:hint="eastAsia"/>
        </w:rPr>
        <w:t>即前表</w:t>
      </w:r>
      <w:r w:rsidR="00D163D7" w:rsidRPr="00016B23">
        <w:rPr>
          <w:rFonts w:ascii="Times New Roman" w:hAnsi="Times New Roman" w:hint="eastAsia"/>
        </w:rPr>
        <w:t>17</w:t>
      </w:r>
      <w:r w:rsidRPr="00016B23">
        <w:rPr>
          <w:rFonts w:ascii="Times New Roman" w:hAnsi="Times New Roman"/>
        </w:rPr>
        <w:t>)</w:t>
      </w:r>
      <w:r w:rsidRPr="00016B23">
        <w:rPr>
          <w:rFonts w:ascii="Times New Roman" w:hAnsi="Times New Roman" w:hint="eastAsia"/>
        </w:rPr>
        <w:t>，卻</w:t>
      </w:r>
      <w:r>
        <w:rPr>
          <w:rFonts w:ascii="Times New Roman" w:hAnsi="Times New Roman" w:hint="eastAsia"/>
          <w:szCs w:val="32"/>
        </w:rPr>
        <w:t>與該部於國庫署網站另定期公布之</w:t>
      </w:r>
      <w:r w:rsidRPr="00016B23">
        <w:rPr>
          <w:rFonts w:ascii="Times New Roman" w:hAnsi="Times New Roman" w:hint="eastAsia"/>
          <w:szCs w:val="32"/>
        </w:rPr>
        <w:t>「公益彩券盈餘分配辦理社會福利事業情形彙總表」中</w:t>
      </w:r>
      <w:r w:rsidRPr="00016B23">
        <w:rPr>
          <w:rFonts w:ascii="Times New Roman" w:hAnsi="Times New Roman"/>
          <w:szCs w:val="32"/>
        </w:rPr>
        <w:t>22</w:t>
      </w:r>
      <w:r w:rsidRPr="00016B23">
        <w:rPr>
          <w:rFonts w:ascii="Times New Roman" w:hAnsi="Times New Roman" w:hint="eastAsia"/>
          <w:szCs w:val="32"/>
        </w:rPr>
        <w:t>個縣市</w:t>
      </w:r>
      <w:r w:rsidRPr="00016B23">
        <w:rPr>
          <w:rFonts w:ascii="Times New Roman" w:hAnsi="Times New Roman" w:hint="eastAsia"/>
        </w:rPr>
        <w:t>獲配公益彩券盈餘的金額</w:t>
      </w:r>
      <w:r w:rsidRPr="00016B23">
        <w:rPr>
          <w:rFonts w:ascii="Times New Roman" w:hAnsi="Times New Roman"/>
        </w:rPr>
        <w:t>(</w:t>
      </w:r>
      <w:r w:rsidRPr="00016B23">
        <w:rPr>
          <w:rFonts w:ascii="Times New Roman" w:hAnsi="Times New Roman" w:hint="eastAsia"/>
        </w:rPr>
        <w:t>詳見下表</w:t>
      </w:r>
      <w:r w:rsidR="00D163D7" w:rsidRPr="00016B23">
        <w:rPr>
          <w:rFonts w:ascii="Times New Roman" w:hAnsi="Times New Roman" w:hint="eastAsia"/>
        </w:rPr>
        <w:t>18</w:t>
      </w:r>
      <w:r w:rsidRPr="00016B23">
        <w:rPr>
          <w:rFonts w:ascii="Times New Roman" w:hAnsi="Times New Roman"/>
        </w:rPr>
        <w:t>)</w:t>
      </w:r>
      <w:r w:rsidRPr="00016B23">
        <w:rPr>
          <w:rFonts w:ascii="Times New Roman" w:hAnsi="Times New Roman" w:hint="eastAsia"/>
        </w:rPr>
        <w:t>，前後</w:t>
      </w:r>
      <w:r w:rsidR="00BD6B73">
        <w:rPr>
          <w:rFonts w:ascii="Times New Roman" w:hAnsi="Times New Roman" w:hint="eastAsia"/>
        </w:rPr>
        <w:t>兩項統計</w:t>
      </w:r>
      <w:r w:rsidRPr="00016B23">
        <w:rPr>
          <w:rFonts w:ascii="Times New Roman" w:hAnsi="Times New Roman" w:hint="eastAsia"/>
          <w:szCs w:val="32"/>
        </w:rPr>
        <w:t>數據每年皆存有差異之情形。以</w:t>
      </w:r>
      <w:r w:rsidRPr="00016B23">
        <w:rPr>
          <w:rFonts w:ascii="Times New Roman" w:hAnsi="Times New Roman"/>
          <w:szCs w:val="32"/>
        </w:rPr>
        <w:t>105</w:t>
      </w:r>
      <w:r w:rsidRPr="00016B23">
        <w:rPr>
          <w:rFonts w:ascii="Times New Roman" w:hAnsi="Times New Roman" w:hint="eastAsia"/>
          <w:szCs w:val="32"/>
        </w:rPr>
        <w:t>年為例，前表</w:t>
      </w:r>
      <w:r w:rsidR="00BD6B73">
        <w:rPr>
          <w:rFonts w:ascii="Times New Roman" w:hAnsi="Times New Roman" w:hint="eastAsia"/>
          <w:szCs w:val="32"/>
        </w:rPr>
        <w:t>17</w:t>
      </w:r>
      <w:r w:rsidRPr="00016B23">
        <w:rPr>
          <w:rFonts w:ascii="Times New Roman" w:hAnsi="Times New Roman" w:hint="eastAsia"/>
        </w:rPr>
        <w:t>中，公益彩券盈餘分配數供地方政府辦理社會福利之金額為</w:t>
      </w:r>
      <w:r w:rsidRPr="00016B23">
        <w:rPr>
          <w:rFonts w:ascii="Times New Roman" w:hAnsi="Times New Roman"/>
        </w:rPr>
        <w:t>132</w:t>
      </w:r>
      <w:r w:rsidRPr="00016B23">
        <w:rPr>
          <w:rFonts w:ascii="Times New Roman" w:hAnsi="Times New Roman" w:hint="eastAsia"/>
        </w:rPr>
        <w:t>億</w:t>
      </w:r>
      <w:r w:rsidRPr="00016B23">
        <w:rPr>
          <w:rFonts w:ascii="Times New Roman" w:hAnsi="Times New Roman"/>
        </w:rPr>
        <w:t>9</w:t>
      </w:r>
      <w:r w:rsidRPr="00016B23">
        <w:rPr>
          <w:rFonts w:ascii="Times New Roman" w:hAnsi="Times New Roman" w:hint="eastAsia"/>
        </w:rPr>
        <w:t>千萬餘元；惟下表</w:t>
      </w:r>
      <w:r w:rsidR="00BD6B73">
        <w:rPr>
          <w:rFonts w:ascii="Times New Roman" w:hAnsi="Times New Roman" w:hint="eastAsia"/>
        </w:rPr>
        <w:t>18</w:t>
      </w:r>
      <w:r w:rsidRPr="00016B23">
        <w:rPr>
          <w:rFonts w:ascii="Times New Roman" w:hAnsi="Times New Roman" w:hint="eastAsia"/>
        </w:rPr>
        <w:t>中，</w:t>
      </w:r>
      <w:r w:rsidRPr="00016B23">
        <w:rPr>
          <w:rFonts w:ascii="Times New Roman" w:hAnsi="Times New Roman"/>
        </w:rPr>
        <w:t>105</w:t>
      </w:r>
      <w:r w:rsidRPr="00016B23">
        <w:rPr>
          <w:rFonts w:ascii="Times New Roman" w:hAnsi="Times New Roman" w:hint="eastAsia"/>
        </w:rPr>
        <w:t>年</w:t>
      </w:r>
      <w:r w:rsidRPr="00016B23">
        <w:rPr>
          <w:rFonts w:ascii="Times New Roman" w:hAnsi="Times New Roman"/>
        </w:rPr>
        <w:t>22</w:t>
      </w:r>
      <w:r>
        <w:rPr>
          <w:rFonts w:ascii="Times New Roman" w:hAnsi="Times New Roman" w:hint="eastAsia"/>
        </w:rPr>
        <w:t>個地方政府獲配盈餘金額總計為</w:t>
      </w:r>
      <w:r>
        <w:rPr>
          <w:rFonts w:ascii="Times New Roman" w:hAnsi="Times New Roman"/>
        </w:rPr>
        <w:t>176</w:t>
      </w:r>
      <w:r>
        <w:rPr>
          <w:rFonts w:ascii="Times New Roman" w:hAnsi="Times New Roman" w:hint="eastAsia"/>
        </w:rPr>
        <w:t>億</w:t>
      </w:r>
      <w:r>
        <w:rPr>
          <w:rFonts w:ascii="Times New Roman" w:hAnsi="Times New Roman"/>
        </w:rPr>
        <w:t>7</w:t>
      </w:r>
      <w:r>
        <w:rPr>
          <w:rFonts w:ascii="Times New Roman" w:hAnsi="Times New Roman" w:hint="eastAsia"/>
        </w:rPr>
        <w:t>千萬餘元，兩者數據落差</w:t>
      </w:r>
      <w:r>
        <w:rPr>
          <w:rFonts w:ascii="Times New Roman" w:hAnsi="Times New Roman"/>
        </w:rPr>
        <w:t>43</w:t>
      </w:r>
      <w:r>
        <w:rPr>
          <w:rFonts w:ascii="Times New Roman" w:hAnsi="Times New Roman" w:hint="eastAsia"/>
        </w:rPr>
        <w:t>億餘元之多</w:t>
      </w:r>
      <w:r>
        <w:rPr>
          <w:rFonts w:ascii="Times New Roman" w:hAnsi="Times New Roman"/>
        </w:rPr>
        <w:t>(104</w:t>
      </w:r>
      <w:r>
        <w:rPr>
          <w:rFonts w:ascii="Times New Roman" w:hAnsi="Times New Roman" w:hint="eastAsia"/>
        </w:rPr>
        <w:t>年更差異</w:t>
      </w:r>
      <w:r w:rsidR="00BD6B73">
        <w:rPr>
          <w:rFonts w:ascii="Times New Roman" w:hAnsi="Times New Roman" w:hint="eastAsia"/>
        </w:rPr>
        <w:t>達</w:t>
      </w:r>
      <w:r>
        <w:rPr>
          <w:rFonts w:ascii="Times New Roman" w:hAnsi="Times New Roman"/>
        </w:rPr>
        <w:t>48</w:t>
      </w:r>
      <w:r>
        <w:rPr>
          <w:rFonts w:ascii="Times New Roman" w:hAnsi="Times New Roman" w:hint="eastAsia"/>
        </w:rPr>
        <w:t>億餘元</w:t>
      </w:r>
      <w:r>
        <w:rPr>
          <w:rFonts w:ascii="Times New Roman" w:hAnsi="Times New Roman"/>
        </w:rPr>
        <w:t>)</w:t>
      </w:r>
      <w:r>
        <w:rPr>
          <w:rFonts w:ascii="Times New Roman" w:hAnsi="Times New Roman" w:hint="eastAsia"/>
        </w:rPr>
        <w:t>。</w:t>
      </w:r>
      <w:bookmarkEnd w:id="1868"/>
      <w:bookmarkEnd w:id="1869"/>
      <w:bookmarkEnd w:id="1870"/>
      <w:bookmarkEnd w:id="1871"/>
      <w:bookmarkEnd w:id="1872"/>
      <w:bookmarkEnd w:id="1873"/>
      <w:bookmarkEnd w:id="1874"/>
    </w:p>
    <w:p w:rsidR="0040606A" w:rsidRDefault="0040606A" w:rsidP="0040606A">
      <w:pPr>
        <w:pStyle w:val="2"/>
        <w:numPr>
          <w:ilvl w:val="0"/>
          <w:numId w:val="0"/>
        </w:numPr>
        <w:kinsoku w:val="0"/>
        <w:ind w:left="1021"/>
        <w:rPr>
          <w:rFonts w:ascii="Times New Roman" w:hAnsi="Times New Roman"/>
        </w:rPr>
      </w:pPr>
    </w:p>
    <w:p w:rsidR="00BD6B73" w:rsidRDefault="00BD6B73" w:rsidP="0040606A">
      <w:pPr>
        <w:pStyle w:val="2"/>
        <w:numPr>
          <w:ilvl w:val="0"/>
          <w:numId w:val="0"/>
        </w:numPr>
        <w:kinsoku w:val="0"/>
        <w:ind w:left="1021"/>
        <w:rPr>
          <w:rFonts w:ascii="Times New Roman" w:hAnsi="Times New Roman"/>
        </w:rPr>
      </w:pPr>
    </w:p>
    <w:p w:rsidR="0040606A" w:rsidRPr="00F12F28" w:rsidRDefault="0040606A" w:rsidP="0040606A">
      <w:pPr>
        <w:pStyle w:val="a3"/>
        <w:numPr>
          <w:ilvl w:val="0"/>
          <w:numId w:val="34"/>
        </w:numPr>
        <w:spacing w:before="120" w:after="0"/>
        <w:ind w:left="2212" w:rightChars="-5" w:right="-17" w:hanging="910"/>
        <w:textAlignment w:val="auto"/>
        <w:rPr>
          <w:rFonts w:ascii="Times New Roman" w:hAnsi="Times New Roman"/>
          <w:b/>
          <w:spacing w:val="0"/>
        </w:rPr>
      </w:pPr>
      <w:r w:rsidRPr="00F12F28">
        <w:rPr>
          <w:rFonts w:ascii="Times New Roman" w:hAnsi="Times New Roman" w:hint="eastAsia"/>
          <w:b/>
          <w:spacing w:val="0"/>
        </w:rPr>
        <w:t>各地方政府獲配公益彩券盈餘金額</w:t>
      </w:r>
      <w:r w:rsidRPr="00F12F28">
        <w:rPr>
          <w:rFonts w:ascii="Times New Roman" w:hAnsi="Times New Roman"/>
          <w:b/>
          <w:spacing w:val="0"/>
        </w:rPr>
        <w:t>(</w:t>
      </w:r>
      <w:r w:rsidRPr="00F12F28">
        <w:rPr>
          <w:rFonts w:ascii="Times New Roman" w:hAnsi="Times New Roman" w:hint="eastAsia"/>
          <w:b/>
          <w:spacing w:val="0"/>
        </w:rPr>
        <w:t>節錄</w:t>
      </w:r>
      <w:r w:rsidRPr="00F12F28">
        <w:rPr>
          <w:rFonts w:ascii="Times New Roman" w:hAnsi="Times New Roman"/>
          <w:b/>
          <w:spacing w:val="0"/>
        </w:rPr>
        <w:t>101</w:t>
      </w:r>
      <w:r w:rsidRPr="00F12F28">
        <w:rPr>
          <w:rFonts w:ascii="Times New Roman" w:hAnsi="Times New Roman" w:hint="eastAsia"/>
          <w:b/>
          <w:spacing w:val="0"/>
        </w:rPr>
        <w:t>年至</w:t>
      </w:r>
      <w:r w:rsidRPr="00F12F28">
        <w:rPr>
          <w:rFonts w:ascii="Times New Roman" w:hAnsi="Times New Roman"/>
          <w:b/>
          <w:spacing w:val="0"/>
        </w:rPr>
        <w:t>105</w:t>
      </w:r>
      <w:r w:rsidRPr="00F12F28">
        <w:rPr>
          <w:rFonts w:ascii="Times New Roman" w:hAnsi="Times New Roman" w:hint="eastAsia"/>
          <w:b/>
          <w:spacing w:val="0"/>
        </w:rPr>
        <w:t>年部分</w:t>
      </w:r>
      <w:r w:rsidRPr="00F12F28">
        <w:rPr>
          <w:rFonts w:ascii="Times New Roman" w:hAnsi="Times New Roman"/>
          <w:b/>
          <w:spacing w:val="0"/>
        </w:rPr>
        <w:t>)</w:t>
      </w:r>
    </w:p>
    <w:p w:rsidR="0040606A" w:rsidRDefault="0040606A" w:rsidP="0040606A">
      <w:pPr>
        <w:pStyle w:val="3"/>
        <w:numPr>
          <w:ilvl w:val="0"/>
          <w:numId w:val="0"/>
        </w:numPr>
        <w:kinsoku w:val="0"/>
        <w:spacing w:line="320" w:lineRule="exact"/>
        <w:ind w:left="1361"/>
        <w:jc w:val="right"/>
        <w:rPr>
          <w:rFonts w:ascii="Times New Roman" w:hAnsi="Times New Roman"/>
          <w:sz w:val="24"/>
          <w:szCs w:val="24"/>
        </w:rPr>
      </w:pPr>
      <w:bookmarkStart w:id="1875" w:name="_Toc507518631"/>
      <w:bookmarkStart w:id="1876" w:name="_Toc507767743"/>
      <w:bookmarkStart w:id="1877" w:name="_Toc507768469"/>
      <w:bookmarkStart w:id="1878" w:name="_Toc511115465"/>
      <w:bookmarkStart w:id="1879" w:name="_Toc511308255"/>
      <w:bookmarkStart w:id="1880" w:name="_Toc511998699"/>
      <w:bookmarkStart w:id="1881" w:name="_Toc512421056"/>
      <w:r>
        <w:rPr>
          <w:rFonts w:ascii="Times New Roman" w:hAnsi="Times New Roman" w:hint="eastAsia"/>
          <w:sz w:val="24"/>
          <w:szCs w:val="24"/>
        </w:rPr>
        <w:t>單位：元</w:t>
      </w:r>
      <w:bookmarkEnd w:id="1875"/>
      <w:bookmarkEnd w:id="1876"/>
      <w:bookmarkEnd w:id="1877"/>
      <w:bookmarkEnd w:id="1878"/>
      <w:bookmarkEnd w:id="1879"/>
      <w:bookmarkEnd w:id="1880"/>
      <w:bookmarkEnd w:id="1881"/>
    </w:p>
    <w:tbl>
      <w:tblPr>
        <w:tblW w:w="7632" w:type="dxa"/>
        <w:tblInd w:w="13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4A0" w:firstRow="1" w:lastRow="0" w:firstColumn="1" w:lastColumn="0" w:noHBand="0" w:noVBand="1"/>
      </w:tblPr>
      <w:tblGrid>
        <w:gridCol w:w="1120"/>
        <w:gridCol w:w="1302"/>
        <w:gridCol w:w="1302"/>
        <w:gridCol w:w="1303"/>
        <w:gridCol w:w="1302"/>
        <w:gridCol w:w="1303"/>
      </w:tblGrid>
      <w:tr w:rsidR="0040606A" w:rsidTr="00C055EF">
        <w:trPr>
          <w:trHeight w:val="313"/>
          <w:tblHeader/>
        </w:trPr>
        <w:tc>
          <w:tcPr>
            <w:tcW w:w="1120" w:type="dxa"/>
            <w:tcBorders>
              <w:top w:val="single" w:sz="8" w:space="0" w:color="000000"/>
              <w:left w:val="single" w:sz="8" w:space="0" w:color="000000"/>
              <w:bottom w:val="single" w:sz="8" w:space="0" w:color="000000"/>
              <w:right w:val="single" w:sz="8" w:space="0" w:color="000000"/>
              <w:tl2br w:val="single" w:sz="8" w:space="0" w:color="000000"/>
            </w:tcBorders>
            <w:noWrap/>
            <w:vAlign w:val="center"/>
            <w:hideMark/>
          </w:tcPr>
          <w:p w:rsidR="0040606A" w:rsidRDefault="0040606A" w:rsidP="00C055EF">
            <w:pPr>
              <w:widowControl/>
              <w:spacing w:line="360" w:lineRule="exact"/>
              <w:jc w:val="center"/>
              <w:rPr>
                <w:rFonts w:ascii="Times New Roman"/>
                <w:kern w:val="0"/>
                <w:sz w:val="26"/>
                <w:szCs w:val="26"/>
              </w:rPr>
            </w:pPr>
            <w:r>
              <w:rPr>
                <w:rFonts w:ascii="Times New Roman"/>
                <w:kern w:val="0"/>
                <w:sz w:val="26"/>
                <w:szCs w:val="26"/>
              </w:rPr>
              <w:t xml:space="preserve">   </w:t>
            </w:r>
            <w:r>
              <w:rPr>
                <w:rFonts w:ascii="Times New Roman" w:hint="eastAsia"/>
                <w:kern w:val="0"/>
                <w:sz w:val="26"/>
                <w:szCs w:val="26"/>
              </w:rPr>
              <w:t>年別</w:t>
            </w:r>
          </w:p>
          <w:p w:rsidR="0040606A" w:rsidRDefault="0040606A" w:rsidP="00C055EF">
            <w:pPr>
              <w:widowControl/>
              <w:spacing w:line="360" w:lineRule="exact"/>
              <w:rPr>
                <w:rFonts w:ascii="Times New Roman"/>
                <w:spacing w:val="-10"/>
                <w:kern w:val="0"/>
                <w:sz w:val="26"/>
                <w:szCs w:val="26"/>
              </w:rPr>
            </w:pPr>
            <w:r>
              <w:rPr>
                <w:rFonts w:ascii="Times New Roman" w:hint="eastAsia"/>
                <w:spacing w:val="-10"/>
                <w:kern w:val="0"/>
                <w:sz w:val="26"/>
                <w:szCs w:val="26"/>
              </w:rPr>
              <w:t>縣市別</w:t>
            </w:r>
          </w:p>
        </w:tc>
        <w:tc>
          <w:tcPr>
            <w:tcW w:w="1301"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C055EF">
            <w:pPr>
              <w:widowControl/>
              <w:kinsoku w:val="0"/>
              <w:spacing w:line="360" w:lineRule="exact"/>
              <w:jc w:val="center"/>
              <w:rPr>
                <w:rFonts w:ascii="Times New Roman"/>
                <w:kern w:val="0"/>
                <w:sz w:val="26"/>
                <w:szCs w:val="26"/>
              </w:rPr>
            </w:pPr>
            <w:r>
              <w:rPr>
                <w:rFonts w:ascii="Times New Roman"/>
                <w:kern w:val="0"/>
                <w:sz w:val="26"/>
                <w:szCs w:val="26"/>
              </w:rPr>
              <w:t>101</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kinsoku w:val="0"/>
              <w:spacing w:line="360" w:lineRule="exact"/>
              <w:jc w:val="center"/>
              <w:rPr>
                <w:rFonts w:ascii="Times New Roman"/>
                <w:kern w:val="0"/>
                <w:sz w:val="26"/>
                <w:szCs w:val="26"/>
              </w:rPr>
            </w:pPr>
            <w:r>
              <w:rPr>
                <w:rFonts w:ascii="Times New Roman"/>
                <w:kern w:val="0"/>
                <w:sz w:val="26"/>
                <w:szCs w:val="26"/>
              </w:rPr>
              <w:t>102</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kinsoku w:val="0"/>
              <w:spacing w:line="360" w:lineRule="exact"/>
              <w:jc w:val="center"/>
              <w:rPr>
                <w:rFonts w:ascii="Times New Roman"/>
                <w:kern w:val="0"/>
                <w:sz w:val="26"/>
                <w:szCs w:val="26"/>
              </w:rPr>
            </w:pPr>
            <w:r>
              <w:rPr>
                <w:rFonts w:ascii="Times New Roman"/>
                <w:kern w:val="0"/>
                <w:sz w:val="26"/>
                <w:szCs w:val="26"/>
              </w:rPr>
              <w:t>103</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kinsoku w:val="0"/>
              <w:spacing w:line="360" w:lineRule="exact"/>
              <w:jc w:val="center"/>
              <w:rPr>
                <w:rFonts w:ascii="Times New Roman"/>
                <w:kern w:val="0"/>
                <w:sz w:val="26"/>
                <w:szCs w:val="26"/>
              </w:rPr>
            </w:pPr>
            <w:r>
              <w:rPr>
                <w:rFonts w:ascii="Times New Roman"/>
                <w:kern w:val="0"/>
                <w:sz w:val="26"/>
                <w:szCs w:val="26"/>
              </w:rPr>
              <w:t>104</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kinsoku w:val="0"/>
              <w:spacing w:line="360" w:lineRule="exact"/>
              <w:jc w:val="center"/>
              <w:rPr>
                <w:rFonts w:ascii="Times New Roman"/>
                <w:kern w:val="0"/>
                <w:sz w:val="26"/>
                <w:szCs w:val="26"/>
              </w:rPr>
            </w:pPr>
            <w:r>
              <w:rPr>
                <w:rFonts w:ascii="Times New Roman"/>
                <w:kern w:val="0"/>
                <w:sz w:val="26"/>
                <w:szCs w:val="26"/>
              </w:rPr>
              <w:t>105</w:t>
            </w:r>
          </w:p>
        </w:tc>
      </w:tr>
      <w:tr w:rsidR="0040606A" w:rsidTr="00C055EF">
        <w:trPr>
          <w:trHeight w:val="297"/>
        </w:trPr>
        <w:tc>
          <w:tcPr>
            <w:tcW w:w="1120"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C055EF">
            <w:pPr>
              <w:widowControl/>
              <w:spacing w:line="260" w:lineRule="exact"/>
              <w:jc w:val="center"/>
              <w:rPr>
                <w:b/>
                <w:kern w:val="0"/>
                <w:sz w:val="26"/>
                <w:szCs w:val="26"/>
              </w:rPr>
            </w:pPr>
            <w:r>
              <w:rPr>
                <w:rFonts w:hint="eastAsia"/>
                <w:b/>
                <w:kern w:val="0"/>
                <w:sz w:val="26"/>
                <w:szCs w:val="26"/>
              </w:rPr>
              <w:t>臺北市</w:t>
            </w:r>
          </w:p>
        </w:tc>
        <w:tc>
          <w:tcPr>
            <w:tcW w:w="1301"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40606A">
            <w:pPr>
              <w:widowControl/>
              <w:spacing w:line="260" w:lineRule="exact"/>
              <w:ind w:leftChars="-17" w:left="-10" w:hangingChars="22" w:hanging="48"/>
              <w:jc w:val="right"/>
              <w:rPr>
                <w:rFonts w:ascii="Times New Roman"/>
                <w:b/>
                <w:spacing w:val="-10"/>
                <w:kern w:val="0"/>
                <w:sz w:val="22"/>
                <w:szCs w:val="22"/>
              </w:rPr>
            </w:pPr>
            <w:r>
              <w:rPr>
                <w:rFonts w:ascii="Times New Roman"/>
                <w:b/>
                <w:spacing w:val="-10"/>
                <w:kern w:val="0"/>
                <w:sz w:val="22"/>
                <w:szCs w:val="22"/>
              </w:rPr>
              <w:t xml:space="preserve">1,717,099,386 </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40606A">
            <w:pPr>
              <w:widowControl/>
              <w:spacing w:line="260" w:lineRule="exact"/>
              <w:ind w:leftChars="-17" w:left="-10" w:hangingChars="22" w:hanging="48"/>
              <w:jc w:val="right"/>
              <w:rPr>
                <w:rFonts w:ascii="Times New Roman"/>
                <w:b/>
                <w:spacing w:val="-10"/>
                <w:kern w:val="0"/>
                <w:sz w:val="22"/>
                <w:szCs w:val="22"/>
              </w:rPr>
            </w:pPr>
            <w:r>
              <w:rPr>
                <w:rFonts w:ascii="Times New Roman"/>
                <w:b/>
                <w:spacing w:val="-10"/>
                <w:kern w:val="0"/>
                <w:sz w:val="22"/>
                <w:szCs w:val="22"/>
              </w:rPr>
              <w:t xml:space="preserve">1,902,352,082 </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b/>
                <w:spacing w:val="-18"/>
                <w:kern w:val="0"/>
                <w:sz w:val="22"/>
                <w:szCs w:val="22"/>
              </w:rPr>
            </w:pPr>
            <w:r>
              <w:rPr>
                <w:rFonts w:ascii="Times New Roman"/>
                <w:b/>
                <w:spacing w:val="-18"/>
                <w:kern w:val="0"/>
                <w:sz w:val="22"/>
                <w:szCs w:val="22"/>
              </w:rPr>
              <w:t xml:space="preserve">2,302,590,931 </w:t>
            </w:r>
          </w:p>
        </w:tc>
        <w:tc>
          <w:tcPr>
            <w:tcW w:w="1301" w:type="dxa"/>
            <w:tcBorders>
              <w:top w:val="single" w:sz="8" w:space="0" w:color="000000"/>
              <w:left w:val="single" w:sz="8" w:space="0" w:color="000000"/>
              <w:bottom w:val="single" w:sz="8" w:space="0" w:color="000000"/>
              <w:right w:val="single" w:sz="12" w:space="0" w:color="000000"/>
            </w:tcBorders>
            <w:vAlign w:val="center"/>
            <w:hideMark/>
          </w:tcPr>
          <w:p w:rsidR="0040606A" w:rsidRDefault="0040606A" w:rsidP="00C055EF">
            <w:pPr>
              <w:widowControl/>
              <w:spacing w:line="260" w:lineRule="exact"/>
              <w:jc w:val="right"/>
              <w:rPr>
                <w:rFonts w:ascii="Times New Roman"/>
                <w:b/>
                <w:spacing w:val="-14"/>
                <w:kern w:val="0"/>
                <w:sz w:val="22"/>
                <w:szCs w:val="22"/>
              </w:rPr>
            </w:pPr>
            <w:r>
              <w:rPr>
                <w:rFonts w:ascii="Times New Roman"/>
                <w:b/>
                <w:spacing w:val="-14"/>
                <w:kern w:val="0"/>
                <w:sz w:val="22"/>
                <w:szCs w:val="22"/>
              </w:rPr>
              <w:t xml:space="preserve">1,477,697,516 </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b/>
                <w:spacing w:val="-14"/>
                <w:kern w:val="0"/>
                <w:sz w:val="22"/>
                <w:szCs w:val="22"/>
              </w:rPr>
            </w:pPr>
            <w:r>
              <w:rPr>
                <w:rFonts w:ascii="Times New Roman"/>
                <w:b/>
                <w:spacing w:val="-14"/>
                <w:kern w:val="0"/>
                <w:sz w:val="22"/>
                <w:szCs w:val="22"/>
              </w:rPr>
              <w:t xml:space="preserve">2,132,645,196 </w:t>
            </w:r>
          </w:p>
        </w:tc>
      </w:tr>
      <w:tr w:rsidR="0040606A" w:rsidTr="00C055EF">
        <w:trPr>
          <w:trHeight w:val="297"/>
        </w:trPr>
        <w:tc>
          <w:tcPr>
            <w:tcW w:w="1120"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C055EF">
            <w:pPr>
              <w:widowControl/>
              <w:spacing w:line="260" w:lineRule="exact"/>
              <w:jc w:val="center"/>
              <w:rPr>
                <w:b/>
                <w:kern w:val="0"/>
                <w:sz w:val="26"/>
                <w:szCs w:val="26"/>
              </w:rPr>
            </w:pPr>
            <w:r>
              <w:rPr>
                <w:rFonts w:hint="eastAsia"/>
                <w:b/>
                <w:kern w:val="0"/>
                <w:sz w:val="26"/>
                <w:szCs w:val="26"/>
              </w:rPr>
              <w:t>新北市</w:t>
            </w:r>
          </w:p>
        </w:tc>
        <w:tc>
          <w:tcPr>
            <w:tcW w:w="1301"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40606A">
            <w:pPr>
              <w:widowControl/>
              <w:spacing w:line="260" w:lineRule="exact"/>
              <w:ind w:leftChars="-17" w:left="-10" w:hangingChars="22" w:hanging="48"/>
              <w:jc w:val="right"/>
              <w:rPr>
                <w:rFonts w:ascii="Times New Roman"/>
                <w:b/>
                <w:spacing w:val="-10"/>
                <w:kern w:val="0"/>
                <w:sz w:val="22"/>
                <w:szCs w:val="22"/>
              </w:rPr>
            </w:pPr>
            <w:r>
              <w:rPr>
                <w:rFonts w:ascii="Times New Roman"/>
                <w:b/>
                <w:spacing w:val="-10"/>
                <w:kern w:val="0"/>
                <w:sz w:val="22"/>
                <w:szCs w:val="22"/>
              </w:rPr>
              <w:t xml:space="preserve">2,130,637,730 </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40606A">
            <w:pPr>
              <w:widowControl/>
              <w:spacing w:line="260" w:lineRule="exact"/>
              <w:ind w:leftChars="-17" w:left="-10" w:hangingChars="22" w:hanging="48"/>
              <w:jc w:val="right"/>
              <w:rPr>
                <w:rFonts w:ascii="Times New Roman"/>
                <w:b/>
                <w:spacing w:val="-10"/>
                <w:kern w:val="0"/>
                <w:sz w:val="22"/>
                <w:szCs w:val="22"/>
              </w:rPr>
            </w:pPr>
            <w:r>
              <w:rPr>
                <w:rFonts w:ascii="Times New Roman"/>
                <w:b/>
                <w:spacing w:val="-10"/>
                <w:kern w:val="0"/>
                <w:sz w:val="22"/>
                <w:szCs w:val="22"/>
              </w:rPr>
              <w:t xml:space="preserve">2,437,989,839 </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b/>
                <w:spacing w:val="-18"/>
                <w:kern w:val="0"/>
                <w:sz w:val="22"/>
                <w:szCs w:val="22"/>
              </w:rPr>
            </w:pPr>
            <w:r>
              <w:rPr>
                <w:rFonts w:ascii="Times New Roman"/>
                <w:b/>
                <w:spacing w:val="-18"/>
                <w:kern w:val="0"/>
                <w:sz w:val="22"/>
                <w:szCs w:val="22"/>
              </w:rPr>
              <w:t>2,355,380,005</w:t>
            </w:r>
          </w:p>
        </w:tc>
        <w:tc>
          <w:tcPr>
            <w:tcW w:w="1301" w:type="dxa"/>
            <w:tcBorders>
              <w:top w:val="single" w:sz="8" w:space="0" w:color="000000"/>
              <w:left w:val="single" w:sz="8" w:space="0" w:color="000000"/>
              <w:bottom w:val="single" w:sz="8" w:space="0" w:color="000000"/>
              <w:right w:val="single" w:sz="12" w:space="0" w:color="000000"/>
            </w:tcBorders>
            <w:vAlign w:val="center"/>
            <w:hideMark/>
          </w:tcPr>
          <w:p w:rsidR="0040606A" w:rsidRDefault="0040606A" w:rsidP="00C055EF">
            <w:pPr>
              <w:widowControl/>
              <w:spacing w:line="260" w:lineRule="exact"/>
              <w:jc w:val="right"/>
              <w:rPr>
                <w:rFonts w:ascii="Times New Roman"/>
                <w:b/>
                <w:spacing w:val="-14"/>
                <w:kern w:val="0"/>
                <w:sz w:val="22"/>
                <w:szCs w:val="22"/>
              </w:rPr>
            </w:pPr>
            <w:r>
              <w:rPr>
                <w:rFonts w:ascii="Times New Roman"/>
                <w:b/>
                <w:spacing w:val="-14"/>
                <w:kern w:val="0"/>
                <w:sz w:val="22"/>
                <w:szCs w:val="22"/>
              </w:rPr>
              <w:t xml:space="preserve">1,390,391,319 </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b/>
                <w:spacing w:val="-14"/>
                <w:kern w:val="0"/>
                <w:sz w:val="22"/>
                <w:szCs w:val="22"/>
              </w:rPr>
            </w:pPr>
            <w:r>
              <w:rPr>
                <w:rFonts w:ascii="Times New Roman"/>
                <w:b/>
                <w:spacing w:val="-14"/>
                <w:kern w:val="0"/>
                <w:sz w:val="22"/>
                <w:szCs w:val="22"/>
              </w:rPr>
              <w:t xml:space="preserve">2,262,520,155 </w:t>
            </w:r>
          </w:p>
        </w:tc>
      </w:tr>
      <w:tr w:rsidR="0040606A" w:rsidTr="00C055EF">
        <w:trPr>
          <w:trHeight w:val="297"/>
        </w:trPr>
        <w:tc>
          <w:tcPr>
            <w:tcW w:w="1120"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C055EF">
            <w:pPr>
              <w:widowControl/>
              <w:spacing w:line="260" w:lineRule="exact"/>
              <w:jc w:val="center"/>
              <w:rPr>
                <w:b/>
                <w:kern w:val="0"/>
                <w:sz w:val="26"/>
                <w:szCs w:val="26"/>
              </w:rPr>
            </w:pPr>
            <w:r>
              <w:rPr>
                <w:rFonts w:hint="eastAsia"/>
                <w:b/>
                <w:kern w:val="0"/>
                <w:sz w:val="26"/>
                <w:szCs w:val="26"/>
              </w:rPr>
              <w:t>臺中市</w:t>
            </w:r>
          </w:p>
        </w:tc>
        <w:tc>
          <w:tcPr>
            <w:tcW w:w="1301"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40606A">
            <w:pPr>
              <w:widowControl/>
              <w:spacing w:line="260" w:lineRule="exact"/>
              <w:ind w:leftChars="-17" w:left="-10" w:hangingChars="22" w:hanging="48"/>
              <w:jc w:val="right"/>
              <w:rPr>
                <w:rFonts w:ascii="Times New Roman"/>
                <w:b/>
                <w:spacing w:val="-10"/>
                <w:kern w:val="0"/>
                <w:sz w:val="22"/>
                <w:szCs w:val="22"/>
              </w:rPr>
            </w:pPr>
            <w:r>
              <w:rPr>
                <w:rFonts w:ascii="Times New Roman"/>
                <w:b/>
                <w:spacing w:val="-10"/>
                <w:kern w:val="0"/>
                <w:sz w:val="22"/>
                <w:szCs w:val="22"/>
              </w:rPr>
              <w:t>1,439,482,377</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40606A">
            <w:pPr>
              <w:widowControl/>
              <w:spacing w:line="260" w:lineRule="exact"/>
              <w:ind w:leftChars="-17" w:left="-10" w:hangingChars="22" w:hanging="48"/>
              <w:jc w:val="right"/>
              <w:rPr>
                <w:rFonts w:ascii="Times New Roman"/>
                <w:b/>
                <w:spacing w:val="-10"/>
                <w:kern w:val="0"/>
                <w:sz w:val="22"/>
                <w:szCs w:val="22"/>
              </w:rPr>
            </w:pPr>
            <w:r>
              <w:rPr>
                <w:rFonts w:ascii="Times New Roman"/>
                <w:b/>
                <w:spacing w:val="-10"/>
                <w:kern w:val="0"/>
                <w:sz w:val="22"/>
                <w:szCs w:val="22"/>
              </w:rPr>
              <w:t>1,660,916,556</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b/>
                <w:spacing w:val="-18"/>
                <w:kern w:val="0"/>
                <w:sz w:val="22"/>
                <w:szCs w:val="22"/>
              </w:rPr>
            </w:pPr>
            <w:r>
              <w:rPr>
                <w:rFonts w:ascii="Times New Roman"/>
                <w:b/>
                <w:spacing w:val="-18"/>
                <w:kern w:val="0"/>
                <w:sz w:val="22"/>
                <w:szCs w:val="22"/>
              </w:rPr>
              <w:t>1,749,485,723</w:t>
            </w:r>
          </w:p>
        </w:tc>
        <w:tc>
          <w:tcPr>
            <w:tcW w:w="1301" w:type="dxa"/>
            <w:tcBorders>
              <w:top w:val="single" w:sz="8" w:space="0" w:color="000000"/>
              <w:left w:val="single" w:sz="8" w:space="0" w:color="000000"/>
              <w:bottom w:val="single" w:sz="8" w:space="0" w:color="000000"/>
              <w:right w:val="single" w:sz="12" w:space="0" w:color="000000"/>
            </w:tcBorders>
            <w:vAlign w:val="center"/>
            <w:hideMark/>
          </w:tcPr>
          <w:p w:rsidR="0040606A" w:rsidRDefault="0040606A" w:rsidP="00C055EF">
            <w:pPr>
              <w:widowControl/>
              <w:spacing w:line="260" w:lineRule="exact"/>
              <w:jc w:val="right"/>
              <w:rPr>
                <w:rFonts w:ascii="Times New Roman"/>
                <w:b/>
                <w:spacing w:val="-14"/>
                <w:kern w:val="0"/>
                <w:sz w:val="22"/>
                <w:szCs w:val="22"/>
              </w:rPr>
            </w:pPr>
            <w:r>
              <w:rPr>
                <w:rFonts w:ascii="Times New Roman"/>
                <w:b/>
                <w:spacing w:val="-14"/>
                <w:kern w:val="0"/>
                <w:sz w:val="22"/>
                <w:szCs w:val="22"/>
              </w:rPr>
              <w:t xml:space="preserve">1,126,443,064 </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b/>
                <w:spacing w:val="-14"/>
                <w:kern w:val="0"/>
                <w:sz w:val="22"/>
                <w:szCs w:val="22"/>
              </w:rPr>
            </w:pPr>
            <w:r>
              <w:rPr>
                <w:rFonts w:ascii="Times New Roman"/>
                <w:b/>
                <w:spacing w:val="-14"/>
                <w:kern w:val="0"/>
                <w:sz w:val="22"/>
                <w:szCs w:val="22"/>
              </w:rPr>
              <w:t xml:space="preserve">1,776,785,351 </w:t>
            </w:r>
          </w:p>
        </w:tc>
      </w:tr>
      <w:tr w:rsidR="0040606A" w:rsidTr="00C055EF">
        <w:trPr>
          <w:trHeight w:val="297"/>
        </w:trPr>
        <w:tc>
          <w:tcPr>
            <w:tcW w:w="1120"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C055EF">
            <w:pPr>
              <w:widowControl/>
              <w:spacing w:line="260" w:lineRule="exact"/>
              <w:jc w:val="center"/>
              <w:rPr>
                <w:b/>
                <w:kern w:val="0"/>
                <w:sz w:val="26"/>
                <w:szCs w:val="26"/>
              </w:rPr>
            </w:pPr>
            <w:r>
              <w:rPr>
                <w:rFonts w:hint="eastAsia"/>
                <w:b/>
                <w:kern w:val="0"/>
                <w:sz w:val="26"/>
                <w:szCs w:val="26"/>
              </w:rPr>
              <w:t>臺南市</w:t>
            </w:r>
          </w:p>
        </w:tc>
        <w:tc>
          <w:tcPr>
            <w:tcW w:w="1301"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40606A">
            <w:pPr>
              <w:widowControl/>
              <w:spacing w:line="260" w:lineRule="exact"/>
              <w:ind w:leftChars="-17" w:left="-10" w:hangingChars="22" w:hanging="48"/>
              <w:jc w:val="right"/>
              <w:rPr>
                <w:rFonts w:ascii="Times New Roman"/>
                <w:b/>
                <w:spacing w:val="-10"/>
                <w:kern w:val="0"/>
                <w:sz w:val="22"/>
                <w:szCs w:val="22"/>
              </w:rPr>
            </w:pPr>
            <w:r>
              <w:rPr>
                <w:rFonts w:ascii="Times New Roman"/>
                <w:b/>
                <w:spacing w:val="-10"/>
                <w:kern w:val="0"/>
                <w:sz w:val="22"/>
                <w:szCs w:val="22"/>
              </w:rPr>
              <w:t>893,156,319</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40606A">
            <w:pPr>
              <w:widowControl/>
              <w:spacing w:line="260" w:lineRule="exact"/>
              <w:ind w:leftChars="-17" w:left="-10" w:hangingChars="22" w:hanging="48"/>
              <w:jc w:val="right"/>
              <w:rPr>
                <w:rFonts w:ascii="Times New Roman"/>
                <w:b/>
                <w:spacing w:val="-10"/>
                <w:kern w:val="0"/>
                <w:sz w:val="22"/>
                <w:szCs w:val="22"/>
              </w:rPr>
            </w:pPr>
            <w:r>
              <w:rPr>
                <w:rFonts w:ascii="Times New Roman"/>
                <w:b/>
                <w:spacing w:val="-10"/>
                <w:kern w:val="0"/>
                <w:sz w:val="22"/>
                <w:szCs w:val="22"/>
              </w:rPr>
              <w:t>1,037,740,754</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b/>
                <w:spacing w:val="-18"/>
                <w:kern w:val="0"/>
                <w:sz w:val="22"/>
                <w:szCs w:val="22"/>
              </w:rPr>
            </w:pPr>
            <w:r>
              <w:rPr>
                <w:rFonts w:ascii="Times New Roman"/>
                <w:b/>
                <w:spacing w:val="-18"/>
                <w:kern w:val="0"/>
                <w:sz w:val="22"/>
                <w:szCs w:val="22"/>
              </w:rPr>
              <w:t>1,153,297,561</w:t>
            </w:r>
          </w:p>
        </w:tc>
        <w:tc>
          <w:tcPr>
            <w:tcW w:w="1301" w:type="dxa"/>
            <w:tcBorders>
              <w:top w:val="single" w:sz="8" w:space="0" w:color="000000"/>
              <w:left w:val="single" w:sz="8" w:space="0" w:color="000000"/>
              <w:bottom w:val="single" w:sz="8" w:space="0" w:color="000000"/>
              <w:right w:val="single" w:sz="12" w:space="0" w:color="000000"/>
            </w:tcBorders>
            <w:vAlign w:val="center"/>
            <w:hideMark/>
          </w:tcPr>
          <w:p w:rsidR="0040606A" w:rsidRDefault="0040606A" w:rsidP="00C055EF">
            <w:pPr>
              <w:widowControl/>
              <w:spacing w:line="260" w:lineRule="exact"/>
              <w:jc w:val="right"/>
              <w:rPr>
                <w:rFonts w:ascii="Times New Roman"/>
                <w:b/>
                <w:spacing w:val="-14"/>
                <w:kern w:val="0"/>
                <w:sz w:val="22"/>
                <w:szCs w:val="22"/>
              </w:rPr>
            </w:pPr>
            <w:r>
              <w:rPr>
                <w:rFonts w:ascii="Times New Roman"/>
                <w:b/>
                <w:spacing w:val="-14"/>
                <w:kern w:val="0"/>
                <w:sz w:val="22"/>
                <w:szCs w:val="22"/>
              </w:rPr>
              <w:t xml:space="preserve">791,601,391 </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b/>
                <w:spacing w:val="-14"/>
                <w:kern w:val="0"/>
                <w:sz w:val="22"/>
                <w:szCs w:val="22"/>
              </w:rPr>
            </w:pPr>
            <w:r>
              <w:rPr>
                <w:rFonts w:ascii="Times New Roman"/>
                <w:b/>
                <w:spacing w:val="-14"/>
                <w:kern w:val="0"/>
                <w:sz w:val="22"/>
                <w:szCs w:val="22"/>
              </w:rPr>
              <w:t xml:space="preserve">1,201,352,735 </w:t>
            </w:r>
          </w:p>
        </w:tc>
      </w:tr>
      <w:tr w:rsidR="0040606A" w:rsidTr="00C055EF">
        <w:trPr>
          <w:trHeight w:val="297"/>
        </w:trPr>
        <w:tc>
          <w:tcPr>
            <w:tcW w:w="1120"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C055EF">
            <w:pPr>
              <w:widowControl/>
              <w:spacing w:line="260" w:lineRule="exact"/>
              <w:jc w:val="center"/>
              <w:rPr>
                <w:b/>
                <w:kern w:val="0"/>
                <w:sz w:val="26"/>
                <w:szCs w:val="26"/>
              </w:rPr>
            </w:pPr>
            <w:r>
              <w:rPr>
                <w:rFonts w:hint="eastAsia"/>
                <w:b/>
                <w:kern w:val="0"/>
                <w:sz w:val="26"/>
                <w:szCs w:val="26"/>
              </w:rPr>
              <w:t>高雄市</w:t>
            </w:r>
          </w:p>
        </w:tc>
        <w:tc>
          <w:tcPr>
            <w:tcW w:w="1301"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40606A">
            <w:pPr>
              <w:widowControl/>
              <w:spacing w:line="260" w:lineRule="exact"/>
              <w:ind w:leftChars="-17" w:left="-10" w:hangingChars="22" w:hanging="48"/>
              <w:jc w:val="right"/>
              <w:rPr>
                <w:rFonts w:ascii="Times New Roman"/>
                <w:b/>
                <w:spacing w:val="-10"/>
                <w:kern w:val="0"/>
                <w:sz w:val="22"/>
                <w:szCs w:val="22"/>
              </w:rPr>
            </w:pPr>
            <w:r>
              <w:rPr>
                <w:rFonts w:ascii="Times New Roman"/>
                <w:b/>
                <w:spacing w:val="-10"/>
                <w:kern w:val="0"/>
                <w:sz w:val="22"/>
                <w:szCs w:val="22"/>
              </w:rPr>
              <w:t xml:space="preserve">1,417,846,016 </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40606A">
            <w:pPr>
              <w:widowControl/>
              <w:spacing w:line="260" w:lineRule="exact"/>
              <w:ind w:leftChars="-17" w:left="-10" w:hangingChars="22" w:hanging="48"/>
              <w:jc w:val="right"/>
              <w:rPr>
                <w:rFonts w:ascii="Times New Roman"/>
                <w:b/>
                <w:spacing w:val="-10"/>
                <w:kern w:val="0"/>
                <w:sz w:val="22"/>
                <w:szCs w:val="22"/>
              </w:rPr>
            </w:pPr>
            <w:r>
              <w:rPr>
                <w:rFonts w:ascii="Times New Roman"/>
                <w:b/>
                <w:spacing w:val="-10"/>
                <w:kern w:val="0"/>
                <w:sz w:val="22"/>
                <w:szCs w:val="22"/>
              </w:rPr>
              <w:t xml:space="preserve">1,660,689,541 </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b/>
                <w:spacing w:val="-18"/>
                <w:kern w:val="0"/>
                <w:sz w:val="22"/>
                <w:szCs w:val="22"/>
              </w:rPr>
            </w:pPr>
            <w:r>
              <w:rPr>
                <w:rFonts w:ascii="Times New Roman"/>
                <w:b/>
                <w:spacing w:val="-18"/>
                <w:kern w:val="0"/>
                <w:sz w:val="22"/>
                <w:szCs w:val="22"/>
              </w:rPr>
              <w:t xml:space="preserve">2,005,797,760 </w:t>
            </w:r>
          </w:p>
        </w:tc>
        <w:tc>
          <w:tcPr>
            <w:tcW w:w="1301" w:type="dxa"/>
            <w:tcBorders>
              <w:top w:val="single" w:sz="8" w:space="0" w:color="000000"/>
              <w:left w:val="single" w:sz="8" w:space="0" w:color="000000"/>
              <w:bottom w:val="single" w:sz="8" w:space="0" w:color="000000"/>
              <w:right w:val="single" w:sz="12" w:space="0" w:color="000000"/>
            </w:tcBorders>
            <w:vAlign w:val="center"/>
            <w:hideMark/>
          </w:tcPr>
          <w:p w:rsidR="0040606A" w:rsidRDefault="0040606A" w:rsidP="00C055EF">
            <w:pPr>
              <w:widowControl/>
              <w:spacing w:line="260" w:lineRule="exact"/>
              <w:jc w:val="right"/>
              <w:rPr>
                <w:rFonts w:ascii="Times New Roman"/>
                <w:b/>
                <w:spacing w:val="-14"/>
                <w:kern w:val="0"/>
                <w:sz w:val="22"/>
                <w:szCs w:val="22"/>
              </w:rPr>
            </w:pPr>
            <w:r>
              <w:rPr>
                <w:rFonts w:ascii="Times New Roman"/>
                <w:b/>
                <w:spacing w:val="-14"/>
                <w:kern w:val="0"/>
                <w:sz w:val="22"/>
                <w:szCs w:val="22"/>
              </w:rPr>
              <w:t xml:space="preserve">1,161,705,948 </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b/>
                <w:spacing w:val="-14"/>
                <w:kern w:val="0"/>
                <w:sz w:val="22"/>
                <w:szCs w:val="22"/>
              </w:rPr>
            </w:pPr>
            <w:r>
              <w:rPr>
                <w:rFonts w:ascii="Times New Roman"/>
                <w:b/>
                <w:spacing w:val="-14"/>
                <w:kern w:val="0"/>
                <w:sz w:val="22"/>
                <w:szCs w:val="22"/>
              </w:rPr>
              <w:t xml:space="preserve">1,773,051,957 </w:t>
            </w:r>
          </w:p>
        </w:tc>
      </w:tr>
      <w:tr w:rsidR="0040606A" w:rsidTr="00C055EF">
        <w:trPr>
          <w:trHeight w:val="297"/>
        </w:trPr>
        <w:tc>
          <w:tcPr>
            <w:tcW w:w="1120"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C055EF">
            <w:pPr>
              <w:widowControl/>
              <w:spacing w:line="260" w:lineRule="exact"/>
              <w:jc w:val="center"/>
              <w:rPr>
                <w:b/>
                <w:kern w:val="0"/>
                <w:sz w:val="26"/>
                <w:szCs w:val="26"/>
              </w:rPr>
            </w:pPr>
            <w:r>
              <w:rPr>
                <w:rFonts w:hint="eastAsia"/>
                <w:b/>
                <w:kern w:val="0"/>
                <w:sz w:val="26"/>
                <w:szCs w:val="26"/>
              </w:rPr>
              <w:t>桃園市</w:t>
            </w:r>
          </w:p>
        </w:tc>
        <w:tc>
          <w:tcPr>
            <w:tcW w:w="1301"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40606A">
            <w:pPr>
              <w:widowControl/>
              <w:spacing w:line="260" w:lineRule="exact"/>
              <w:ind w:leftChars="-17" w:left="-10" w:hangingChars="22" w:hanging="48"/>
              <w:jc w:val="right"/>
              <w:rPr>
                <w:rFonts w:ascii="Times New Roman"/>
                <w:b/>
                <w:spacing w:val="-10"/>
                <w:kern w:val="0"/>
                <w:sz w:val="22"/>
                <w:szCs w:val="22"/>
              </w:rPr>
            </w:pPr>
            <w:r>
              <w:rPr>
                <w:rFonts w:ascii="Times New Roman"/>
                <w:b/>
                <w:spacing w:val="-10"/>
                <w:kern w:val="0"/>
                <w:sz w:val="22"/>
                <w:szCs w:val="22"/>
              </w:rPr>
              <w:t>1,214,083,000</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40606A">
            <w:pPr>
              <w:widowControl/>
              <w:spacing w:line="260" w:lineRule="exact"/>
              <w:ind w:leftChars="-17" w:left="-10" w:hangingChars="22" w:hanging="48"/>
              <w:jc w:val="right"/>
              <w:rPr>
                <w:rFonts w:ascii="Times New Roman"/>
                <w:b/>
                <w:spacing w:val="-10"/>
                <w:kern w:val="0"/>
                <w:sz w:val="22"/>
                <w:szCs w:val="22"/>
              </w:rPr>
            </w:pPr>
            <w:r>
              <w:rPr>
                <w:rFonts w:ascii="Times New Roman"/>
                <w:b/>
                <w:spacing w:val="-10"/>
                <w:kern w:val="0"/>
                <w:sz w:val="22"/>
                <w:szCs w:val="22"/>
              </w:rPr>
              <w:t>1,422,566,353</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b/>
                <w:spacing w:val="-18"/>
                <w:kern w:val="0"/>
                <w:sz w:val="22"/>
                <w:szCs w:val="22"/>
              </w:rPr>
            </w:pPr>
            <w:r>
              <w:rPr>
                <w:rFonts w:ascii="Times New Roman"/>
                <w:b/>
                <w:spacing w:val="-18"/>
                <w:kern w:val="0"/>
                <w:sz w:val="22"/>
                <w:szCs w:val="22"/>
              </w:rPr>
              <w:t>1,445,495,829</w:t>
            </w:r>
          </w:p>
        </w:tc>
        <w:tc>
          <w:tcPr>
            <w:tcW w:w="1301" w:type="dxa"/>
            <w:tcBorders>
              <w:top w:val="single" w:sz="8" w:space="0" w:color="000000"/>
              <w:left w:val="single" w:sz="8" w:space="0" w:color="000000"/>
              <w:bottom w:val="single" w:sz="8" w:space="0" w:color="000000"/>
              <w:right w:val="single" w:sz="12" w:space="0" w:color="000000"/>
            </w:tcBorders>
            <w:vAlign w:val="center"/>
            <w:hideMark/>
          </w:tcPr>
          <w:p w:rsidR="0040606A" w:rsidRDefault="0040606A" w:rsidP="00C055EF">
            <w:pPr>
              <w:widowControl/>
              <w:spacing w:line="260" w:lineRule="exact"/>
              <w:jc w:val="right"/>
              <w:rPr>
                <w:rFonts w:ascii="Times New Roman"/>
                <w:b/>
                <w:spacing w:val="-14"/>
                <w:kern w:val="0"/>
                <w:sz w:val="22"/>
                <w:szCs w:val="22"/>
              </w:rPr>
            </w:pPr>
            <w:r>
              <w:rPr>
                <w:rFonts w:ascii="Times New Roman"/>
                <w:b/>
                <w:spacing w:val="-14"/>
                <w:kern w:val="0"/>
                <w:sz w:val="22"/>
                <w:szCs w:val="22"/>
              </w:rPr>
              <w:t xml:space="preserve">905,530,576 </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b/>
                <w:spacing w:val="-14"/>
                <w:kern w:val="0"/>
                <w:sz w:val="22"/>
                <w:szCs w:val="22"/>
              </w:rPr>
            </w:pPr>
            <w:r>
              <w:rPr>
                <w:rFonts w:ascii="Times New Roman"/>
                <w:b/>
                <w:spacing w:val="-14"/>
                <w:kern w:val="0"/>
                <w:sz w:val="22"/>
                <w:szCs w:val="22"/>
              </w:rPr>
              <w:t xml:space="preserve">1,356,370,957 </w:t>
            </w:r>
          </w:p>
        </w:tc>
      </w:tr>
      <w:tr w:rsidR="0040606A" w:rsidTr="00C055EF">
        <w:trPr>
          <w:trHeight w:val="297"/>
        </w:trPr>
        <w:tc>
          <w:tcPr>
            <w:tcW w:w="1120"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C055EF">
            <w:pPr>
              <w:widowControl/>
              <w:spacing w:line="260" w:lineRule="exact"/>
              <w:jc w:val="center"/>
              <w:rPr>
                <w:kern w:val="0"/>
                <w:sz w:val="26"/>
                <w:szCs w:val="26"/>
              </w:rPr>
            </w:pPr>
            <w:r>
              <w:rPr>
                <w:rFonts w:hint="eastAsia"/>
                <w:kern w:val="0"/>
                <w:sz w:val="26"/>
                <w:szCs w:val="26"/>
              </w:rPr>
              <w:t>宜蘭縣</w:t>
            </w:r>
          </w:p>
        </w:tc>
        <w:tc>
          <w:tcPr>
            <w:tcW w:w="1301"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40606A">
            <w:pPr>
              <w:widowControl/>
              <w:spacing w:line="260" w:lineRule="exact"/>
              <w:ind w:leftChars="-17" w:left="-10" w:hangingChars="22" w:hanging="48"/>
              <w:jc w:val="right"/>
              <w:rPr>
                <w:rFonts w:ascii="Times New Roman"/>
                <w:spacing w:val="-10"/>
                <w:kern w:val="0"/>
                <w:sz w:val="22"/>
                <w:szCs w:val="22"/>
              </w:rPr>
            </w:pPr>
            <w:r>
              <w:rPr>
                <w:rFonts w:ascii="Times New Roman"/>
                <w:spacing w:val="-10"/>
                <w:kern w:val="0"/>
                <w:sz w:val="22"/>
                <w:szCs w:val="22"/>
              </w:rPr>
              <w:t>301,564,592</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40606A">
            <w:pPr>
              <w:widowControl/>
              <w:spacing w:line="260" w:lineRule="exact"/>
              <w:ind w:leftChars="-17" w:left="-10" w:hangingChars="22" w:hanging="48"/>
              <w:jc w:val="right"/>
              <w:rPr>
                <w:rFonts w:ascii="Times New Roman"/>
                <w:spacing w:val="-10"/>
                <w:kern w:val="0"/>
                <w:sz w:val="22"/>
                <w:szCs w:val="22"/>
              </w:rPr>
            </w:pPr>
            <w:r>
              <w:rPr>
                <w:rFonts w:ascii="Times New Roman"/>
                <w:spacing w:val="-10"/>
                <w:kern w:val="0"/>
                <w:sz w:val="22"/>
                <w:szCs w:val="22"/>
              </w:rPr>
              <w:t>349,218,923</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0"/>
                <w:kern w:val="0"/>
                <w:sz w:val="22"/>
                <w:szCs w:val="22"/>
              </w:rPr>
            </w:pPr>
            <w:r>
              <w:rPr>
                <w:rFonts w:ascii="Times New Roman"/>
                <w:spacing w:val="-10"/>
                <w:kern w:val="0"/>
                <w:sz w:val="22"/>
                <w:szCs w:val="22"/>
              </w:rPr>
              <w:t>413,213,325</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4"/>
                <w:kern w:val="0"/>
                <w:sz w:val="22"/>
                <w:szCs w:val="22"/>
              </w:rPr>
            </w:pPr>
            <w:r>
              <w:rPr>
                <w:rFonts w:ascii="Times New Roman"/>
                <w:spacing w:val="-14"/>
                <w:kern w:val="0"/>
                <w:sz w:val="22"/>
                <w:szCs w:val="22"/>
              </w:rPr>
              <w:t xml:space="preserve">359,998,706 </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4"/>
                <w:kern w:val="0"/>
                <w:sz w:val="22"/>
                <w:szCs w:val="22"/>
              </w:rPr>
            </w:pPr>
            <w:r>
              <w:rPr>
                <w:rFonts w:ascii="Times New Roman"/>
                <w:spacing w:val="-14"/>
                <w:kern w:val="0"/>
                <w:sz w:val="22"/>
                <w:szCs w:val="22"/>
              </w:rPr>
              <w:t xml:space="preserve">484,783,428 </w:t>
            </w:r>
          </w:p>
        </w:tc>
      </w:tr>
      <w:tr w:rsidR="0040606A" w:rsidTr="00C055EF">
        <w:trPr>
          <w:trHeight w:val="297"/>
        </w:trPr>
        <w:tc>
          <w:tcPr>
            <w:tcW w:w="1120"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C055EF">
            <w:pPr>
              <w:widowControl/>
              <w:spacing w:line="260" w:lineRule="exact"/>
              <w:jc w:val="center"/>
              <w:rPr>
                <w:kern w:val="0"/>
                <w:sz w:val="26"/>
                <w:szCs w:val="26"/>
              </w:rPr>
            </w:pPr>
            <w:r>
              <w:rPr>
                <w:rFonts w:hint="eastAsia"/>
                <w:kern w:val="0"/>
                <w:sz w:val="26"/>
                <w:szCs w:val="26"/>
              </w:rPr>
              <w:t>新竹縣</w:t>
            </w:r>
          </w:p>
        </w:tc>
        <w:tc>
          <w:tcPr>
            <w:tcW w:w="1301"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40606A">
            <w:pPr>
              <w:widowControl/>
              <w:spacing w:line="260" w:lineRule="exact"/>
              <w:ind w:leftChars="-17" w:left="-10" w:hangingChars="22" w:hanging="48"/>
              <w:jc w:val="right"/>
              <w:rPr>
                <w:rFonts w:ascii="Times New Roman"/>
                <w:spacing w:val="-10"/>
                <w:kern w:val="0"/>
                <w:sz w:val="22"/>
                <w:szCs w:val="22"/>
              </w:rPr>
            </w:pPr>
            <w:r>
              <w:rPr>
                <w:rFonts w:ascii="Times New Roman"/>
                <w:spacing w:val="-10"/>
                <w:kern w:val="0"/>
                <w:sz w:val="22"/>
                <w:szCs w:val="22"/>
              </w:rPr>
              <w:t>341,807,302</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40606A">
            <w:pPr>
              <w:widowControl/>
              <w:spacing w:line="260" w:lineRule="exact"/>
              <w:ind w:leftChars="-17" w:left="-10" w:hangingChars="22" w:hanging="48"/>
              <w:jc w:val="right"/>
              <w:rPr>
                <w:rFonts w:ascii="Times New Roman"/>
                <w:spacing w:val="-10"/>
                <w:kern w:val="0"/>
                <w:sz w:val="22"/>
                <w:szCs w:val="22"/>
              </w:rPr>
            </w:pPr>
            <w:r>
              <w:rPr>
                <w:rFonts w:ascii="Times New Roman"/>
                <w:spacing w:val="-10"/>
                <w:kern w:val="0"/>
                <w:sz w:val="22"/>
                <w:szCs w:val="22"/>
              </w:rPr>
              <w:t>401,920,943</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0"/>
                <w:kern w:val="0"/>
                <w:sz w:val="22"/>
                <w:szCs w:val="22"/>
              </w:rPr>
            </w:pPr>
            <w:r>
              <w:rPr>
                <w:rFonts w:ascii="Times New Roman"/>
                <w:spacing w:val="-10"/>
                <w:kern w:val="0"/>
                <w:sz w:val="22"/>
                <w:szCs w:val="22"/>
              </w:rPr>
              <w:t>417,721,875</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4"/>
                <w:kern w:val="0"/>
                <w:sz w:val="22"/>
                <w:szCs w:val="22"/>
              </w:rPr>
            </w:pPr>
            <w:r>
              <w:rPr>
                <w:rFonts w:ascii="Times New Roman"/>
                <w:spacing w:val="-14"/>
                <w:kern w:val="0"/>
                <w:sz w:val="22"/>
                <w:szCs w:val="22"/>
              </w:rPr>
              <w:t xml:space="preserve">343,442,786 </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4"/>
                <w:kern w:val="0"/>
                <w:sz w:val="22"/>
                <w:szCs w:val="22"/>
              </w:rPr>
            </w:pPr>
            <w:r>
              <w:rPr>
                <w:rFonts w:ascii="Times New Roman"/>
                <w:spacing w:val="-14"/>
                <w:kern w:val="0"/>
                <w:sz w:val="22"/>
                <w:szCs w:val="22"/>
              </w:rPr>
              <w:t xml:space="preserve">473,911,509 </w:t>
            </w:r>
          </w:p>
        </w:tc>
      </w:tr>
      <w:tr w:rsidR="0040606A" w:rsidTr="00C055EF">
        <w:trPr>
          <w:trHeight w:val="297"/>
        </w:trPr>
        <w:tc>
          <w:tcPr>
            <w:tcW w:w="1120"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C055EF">
            <w:pPr>
              <w:widowControl/>
              <w:spacing w:line="260" w:lineRule="exact"/>
              <w:jc w:val="center"/>
              <w:rPr>
                <w:kern w:val="0"/>
                <w:sz w:val="26"/>
                <w:szCs w:val="26"/>
              </w:rPr>
            </w:pPr>
            <w:r>
              <w:rPr>
                <w:rFonts w:hint="eastAsia"/>
                <w:kern w:val="0"/>
                <w:sz w:val="26"/>
                <w:szCs w:val="26"/>
              </w:rPr>
              <w:t>苗栗縣</w:t>
            </w:r>
          </w:p>
        </w:tc>
        <w:tc>
          <w:tcPr>
            <w:tcW w:w="1301"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40606A">
            <w:pPr>
              <w:widowControl/>
              <w:spacing w:line="260" w:lineRule="exact"/>
              <w:ind w:leftChars="-17" w:left="-10" w:hangingChars="22" w:hanging="48"/>
              <w:jc w:val="right"/>
              <w:rPr>
                <w:rFonts w:ascii="Times New Roman"/>
                <w:spacing w:val="-10"/>
                <w:kern w:val="0"/>
                <w:sz w:val="22"/>
                <w:szCs w:val="22"/>
              </w:rPr>
            </w:pPr>
            <w:r>
              <w:rPr>
                <w:rFonts w:ascii="Times New Roman"/>
                <w:spacing w:val="-10"/>
                <w:kern w:val="0"/>
                <w:sz w:val="22"/>
                <w:szCs w:val="22"/>
              </w:rPr>
              <w:t>342,268,685</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40606A">
            <w:pPr>
              <w:widowControl/>
              <w:spacing w:line="260" w:lineRule="exact"/>
              <w:ind w:leftChars="-17" w:left="-10" w:hangingChars="22" w:hanging="48"/>
              <w:jc w:val="right"/>
              <w:rPr>
                <w:rFonts w:ascii="Times New Roman"/>
                <w:spacing w:val="-10"/>
                <w:kern w:val="0"/>
                <w:sz w:val="22"/>
                <w:szCs w:val="22"/>
              </w:rPr>
            </w:pPr>
            <w:r>
              <w:rPr>
                <w:rFonts w:ascii="Times New Roman"/>
                <w:spacing w:val="-10"/>
                <w:kern w:val="0"/>
                <w:sz w:val="22"/>
                <w:szCs w:val="22"/>
              </w:rPr>
              <w:t>402,067,606</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0"/>
                <w:kern w:val="0"/>
                <w:sz w:val="22"/>
                <w:szCs w:val="22"/>
              </w:rPr>
            </w:pPr>
            <w:r>
              <w:rPr>
                <w:rFonts w:ascii="Times New Roman"/>
                <w:spacing w:val="-10"/>
                <w:kern w:val="0"/>
                <w:sz w:val="22"/>
                <w:szCs w:val="22"/>
              </w:rPr>
              <w:t>477,185,621</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4"/>
                <w:kern w:val="0"/>
                <w:sz w:val="22"/>
                <w:szCs w:val="22"/>
              </w:rPr>
            </w:pPr>
            <w:r>
              <w:rPr>
                <w:rFonts w:ascii="Times New Roman"/>
                <w:spacing w:val="-14"/>
                <w:kern w:val="0"/>
                <w:sz w:val="22"/>
                <w:szCs w:val="22"/>
              </w:rPr>
              <w:t xml:space="preserve">390,301,233 </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4"/>
                <w:kern w:val="0"/>
                <w:sz w:val="22"/>
                <w:szCs w:val="22"/>
              </w:rPr>
            </w:pPr>
            <w:r>
              <w:rPr>
                <w:rFonts w:ascii="Times New Roman"/>
                <w:spacing w:val="-14"/>
                <w:kern w:val="0"/>
                <w:sz w:val="22"/>
                <w:szCs w:val="22"/>
              </w:rPr>
              <w:t xml:space="preserve">555,414,177 </w:t>
            </w:r>
          </w:p>
        </w:tc>
      </w:tr>
      <w:tr w:rsidR="0040606A" w:rsidTr="00C055EF">
        <w:trPr>
          <w:trHeight w:val="297"/>
        </w:trPr>
        <w:tc>
          <w:tcPr>
            <w:tcW w:w="1120"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C055EF">
            <w:pPr>
              <w:widowControl/>
              <w:spacing w:line="260" w:lineRule="exact"/>
              <w:jc w:val="center"/>
              <w:rPr>
                <w:kern w:val="0"/>
                <w:sz w:val="26"/>
                <w:szCs w:val="26"/>
              </w:rPr>
            </w:pPr>
            <w:r>
              <w:rPr>
                <w:rFonts w:hint="eastAsia"/>
                <w:kern w:val="0"/>
                <w:sz w:val="26"/>
                <w:szCs w:val="26"/>
              </w:rPr>
              <w:t>彰化縣</w:t>
            </w:r>
          </w:p>
        </w:tc>
        <w:tc>
          <w:tcPr>
            <w:tcW w:w="1301"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40606A">
            <w:pPr>
              <w:widowControl/>
              <w:spacing w:line="260" w:lineRule="exact"/>
              <w:ind w:leftChars="-17" w:left="-10" w:hangingChars="22" w:hanging="48"/>
              <w:jc w:val="right"/>
              <w:rPr>
                <w:rFonts w:ascii="Times New Roman"/>
                <w:spacing w:val="-10"/>
                <w:kern w:val="0"/>
                <w:sz w:val="22"/>
                <w:szCs w:val="22"/>
              </w:rPr>
            </w:pPr>
            <w:r>
              <w:rPr>
                <w:rFonts w:ascii="Times New Roman"/>
                <w:spacing w:val="-10"/>
                <w:kern w:val="0"/>
                <w:sz w:val="22"/>
                <w:szCs w:val="22"/>
              </w:rPr>
              <w:t>630,702,430</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40606A">
            <w:pPr>
              <w:widowControl/>
              <w:spacing w:line="260" w:lineRule="exact"/>
              <w:ind w:leftChars="-17" w:left="-10" w:hangingChars="22" w:hanging="48"/>
              <w:jc w:val="right"/>
              <w:rPr>
                <w:rFonts w:ascii="Times New Roman"/>
                <w:spacing w:val="-10"/>
                <w:kern w:val="0"/>
                <w:sz w:val="22"/>
                <w:szCs w:val="22"/>
              </w:rPr>
            </w:pPr>
            <w:r>
              <w:rPr>
                <w:rFonts w:ascii="Times New Roman"/>
                <w:spacing w:val="-10"/>
                <w:kern w:val="0"/>
                <w:sz w:val="22"/>
                <w:szCs w:val="22"/>
              </w:rPr>
              <w:t>724,276,566</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0"/>
                <w:kern w:val="0"/>
                <w:sz w:val="22"/>
                <w:szCs w:val="22"/>
              </w:rPr>
            </w:pPr>
            <w:r>
              <w:rPr>
                <w:rFonts w:ascii="Times New Roman"/>
                <w:spacing w:val="-10"/>
                <w:kern w:val="0"/>
                <w:sz w:val="22"/>
                <w:szCs w:val="22"/>
              </w:rPr>
              <w:t>795,766,858</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4"/>
                <w:kern w:val="0"/>
                <w:sz w:val="22"/>
                <w:szCs w:val="22"/>
              </w:rPr>
            </w:pPr>
            <w:r>
              <w:rPr>
                <w:rFonts w:ascii="Times New Roman"/>
                <w:spacing w:val="-14"/>
                <w:kern w:val="0"/>
                <w:sz w:val="22"/>
                <w:szCs w:val="22"/>
              </w:rPr>
              <w:t xml:space="preserve">562,681,070 </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4"/>
                <w:kern w:val="0"/>
                <w:sz w:val="22"/>
                <w:szCs w:val="22"/>
              </w:rPr>
            </w:pPr>
            <w:r>
              <w:rPr>
                <w:rFonts w:ascii="Times New Roman"/>
                <w:spacing w:val="-14"/>
                <w:kern w:val="0"/>
                <w:sz w:val="22"/>
                <w:szCs w:val="22"/>
              </w:rPr>
              <w:t xml:space="preserve">880,384,996 </w:t>
            </w:r>
          </w:p>
        </w:tc>
      </w:tr>
      <w:tr w:rsidR="0040606A" w:rsidTr="00C055EF">
        <w:trPr>
          <w:trHeight w:val="297"/>
        </w:trPr>
        <w:tc>
          <w:tcPr>
            <w:tcW w:w="1120"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C055EF">
            <w:pPr>
              <w:widowControl/>
              <w:spacing w:line="260" w:lineRule="exact"/>
              <w:jc w:val="center"/>
              <w:rPr>
                <w:kern w:val="0"/>
                <w:sz w:val="26"/>
                <w:szCs w:val="26"/>
              </w:rPr>
            </w:pPr>
            <w:r>
              <w:rPr>
                <w:rFonts w:hint="eastAsia"/>
                <w:kern w:val="0"/>
                <w:sz w:val="26"/>
                <w:szCs w:val="26"/>
              </w:rPr>
              <w:t>南投縣</w:t>
            </w:r>
          </w:p>
        </w:tc>
        <w:tc>
          <w:tcPr>
            <w:tcW w:w="1301"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40606A">
            <w:pPr>
              <w:widowControl/>
              <w:spacing w:line="260" w:lineRule="exact"/>
              <w:ind w:leftChars="-17" w:left="-10" w:hangingChars="22" w:hanging="48"/>
              <w:jc w:val="right"/>
              <w:rPr>
                <w:rFonts w:ascii="Times New Roman"/>
                <w:spacing w:val="-10"/>
                <w:kern w:val="0"/>
                <w:sz w:val="22"/>
                <w:szCs w:val="22"/>
              </w:rPr>
            </w:pPr>
            <w:r>
              <w:rPr>
                <w:rFonts w:ascii="Times New Roman"/>
                <w:spacing w:val="-10"/>
                <w:kern w:val="0"/>
                <w:sz w:val="22"/>
                <w:szCs w:val="22"/>
              </w:rPr>
              <w:t>326,817,065</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40606A">
            <w:pPr>
              <w:widowControl/>
              <w:spacing w:line="260" w:lineRule="exact"/>
              <w:ind w:leftChars="-17" w:left="-10" w:hangingChars="22" w:hanging="48"/>
              <w:jc w:val="right"/>
              <w:rPr>
                <w:rFonts w:ascii="Times New Roman"/>
                <w:spacing w:val="-10"/>
                <w:kern w:val="0"/>
                <w:sz w:val="22"/>
                <w:szCs w:val="22"/>
              </w:rPr>
            </w:pPr>
            <w:r>
              <w:rPr>
                <w:rFonts w:ascii="Times New Roman"/>
                <w:spacing w:val="-10"/>
                <w:kern w:val="0"/>
                <w:sz w:val="22"/>
                <w:szCs w:val="22"/>
              </w:rPr>
              <w:t>379,683,134</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0"/>
                <w:kern w:val="0"/>
                <w:sz w:val="22"/>
                <w:szCs w:val="22"/>
              </w:rPr>
            </w:pPr>
            <w:r>
              <w:rPr>
                <w:rFonts w:ascii="Times New Roman"/>
                <w:spacing w:val="-10"/>
                <w:kern w:val="0"/>
                <w:sz w:val="22"/>
                <w:szCs w:val="22"/>
              </w:rPr>
              <w:t>468,398,771</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4"/>
                <w:kern w:val="0"/>
                <w:sz w:val="22"/>
                <w:szCs w:val="22"/>
              </w:rPr>
            </w:pPr>
            <w:r>
              <w:rPr>
                <w:rFonts w:ascii="Times New Roman"/>
                <w:spacing w:val="-14"/>
                <w:kern w:val="0"/>
                <w:sz w:val="22"/>
                <w:szCs w:val="22"/>
              </w:rPr>
              <w:t xml:space="preserve">350,546,511 </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4"/>
                <w:kern w:val="0"/>
                <w:sz w:val="22"/>
                <w:szCs w:val="22"/>
              </w:rPr>
            </w:pPr>
            <w:r>
              <w:rPr>
                <w:rFonts w:ascii="Times New Roman"/>
                <w:spacing w:val="-14"/>
                <w:kern w:val="0"/>
                <w:sz w:val="22"/>
                <w:szCs w:val="22"/>
              </w:rPr>
              <w:t xml:space="preserve">529,524,632 </w:t>
            </w:r>
          </w:p>
        </w:tc>
      </w:tr>
      <w:tr w:rsidR="0040606A" w:rsidTr="00C055EF">
        <w:trPr>
          <w:trHeight w:val="297"/>
        </w:trPr>
        <w:tc>
          <w:tcPr>
            <w:tcW w:w="1120"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C055EF">
            <w:pPr>
              <w:widowControl/>
              <w:spacing w:line="260" w:lineRule="exact"/>
              <w:jc w:val="center"/>
              <w:rPr>
                <w:kern w:val="0"/>
                <w:sz w:val="26"/>
                <w:szCs w:val="26"/>
              </w:rPr>
            </w:pPr>
            <w:r>
              <w:rPr>
                <w:rFonts w:hint="eastAsia"/>
                <w:kern w:val="0"/>
                <w:sz w:val="26"/>
                <w:szCs w:val="26"/>
              </w:rPr>
              <w:t>雲林縣</w:t>
            </w:r>
          </w:p>
        </w:tc>
        <w:tc>
          <w:tcPr>
            <w:tcW w:w="1301"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40606A">
            <w:pPr>
              <w:widowControl/>
              <w:spacing w:line="260" w:lineRule="exact"/>
              <w:ind w:leftChars="-17" w:left="-10" w:hangingChars="22" w:hanging="48"/>
              <w:jc w:val="right"/>
              <w:rPr>
                <w:rFonts w:ascii="Times New Roman"/>
                <w:spacing w:val="-10"/>
                <w:kern w:val="0"/>
                <w:sz w:val="22"/>
                <w:szCs w:val="22"/>
              </w:rPr>
            </w:pPr>
            <w:r>
              <w:rPr>
                <w:rFonts w:ascii="Times New Roman"/>
                <w:spacing w:val="-10"/>
                <w:kern w:val="0"/>
                <w:sz w:val="22"/>
                <w:szCs w:val="22"/>
              </w:rPr>
              <w:t>367,913,176</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40606A">
            <w:pPr>
              <w:widowControl/>
              <w:spacing w:line="260" w:lineRule="exact"/>
              <w:ind w:leftChars="-17" w:left="-10" w:hangingChars="22" w:hanging="48"/>
              <w:jc w:val="right"/>
              <w:rPr>
                <w:rFonts w:ascii="Times New Roman"/>
                <w:spacing w:val="-10"/>
                <w:kern w:val="0"/>
                <w:sz w:val="22"/>
                <w:szCs w:val="22"/>
              </w:rPr>
            </w:pPr>
            <w:r>
              <w:rPr>
                <w:rFonts w:ascii="Times New Roman"/>
                <w:spacing w:val="-10"/>
                <w:kern w:val="0"/>
                <w:sz w:val="22"/>
                <w:szCs w:val="22"/>
              </w:rPr>
              <w:t>429,493,537</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0"/>
                <w:kern w:val="0"/>
                <w:sz w:val="22"/>
                <w:szCs w:val="22"/>
              </w:rPr>
            </w:pPr>
            <w:r>
              <w:rPr>
                <w:rFonts w:ascii="Times New Roman"/>
                <w:spacing w:val="-10"/>
                <w:kern w:val="0"/>
                <w:sz w:val="22"/>
                <w:szCs w:val="22"/>
              </w:rPr>
              <w:t>504,828,030</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4"/>
                <w:kern w:val="0"/>
                <w:sz w:val="22"/>
                <w:szCs w:val="22"/>
              </w:rPr>
            </w:pPr>
            <w:r>
              <w:rPr>
                <w:rFonts w:ascii="Times New Roman"/>
                <w:spacing w:val="-14"/>
                <w:kern w:val="0"/>
                <w:sz w:val="22"/>
                <w:szCs w:val="22"/>
              </w:rPr>
              <w:t xml:space="preserve">402,701,798 </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4"/>
                <w:kern w:val="0"/>
                <w:sz w:val="22"/>
                <w:szCs w:val="22"/>
              </w:rPr>
            </w:pPr>
            <w:r>
              <w:rPr>
                <w:rFonts w:ascii="Times New Roman"/>
                <w:spacing w:val="-14"/>
                <w:kern w:val="0"/>
                <w:sz w:val="22"/>
                <w:szCs w:val="22"/>
              </w:rPr>
              <w:t xml:space="preserve">630,583,351 </w:t>
            </w:r>
          </w:p>
        </w:tc>
      </w:tr>
      <w:tr w:rsidR="0040606A" w:rsidTr="00C055EF">
        <w:trPr>
          <w:trHeight w:val="297"/>
        </w:trPr>
        <w:tc>
          <w:tcPr>
            <w:tcW w:w="1120"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C055EF">
            <w:pPr>
              <w:widowControl/>
              <w:spacing w:line="260" w:lineRule="exact"/>
              <w:jc w:val="center"/>
              <w:rPr>
                <w:kern w:val="0"/>
                <w:sz w:val="26"/>
                <w:szCs w:val="26"/>
              </w:rPr>
            </w:pPr>
            <w:r>
              <w:rPr>
                <w:rFonts w:hint="eastAsia"/>
                <w:kern w:val="0"/>
                <w:sz w:val="26"/>
                <w:szCs w:val="26"/>
              </w:rPr>
              <w:t>嘉義縣</w:t>
            </w:r>
          </w:p>
        </w:tc>
        <w:tc>
          <w:tcPr>
            <w:tcW w:w="1301"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40606A">
            <w:pPr>
              <w:widowControl/>
              <w:spacing w:line="260" w:lineRule="exact"/>
              <w:ind w:leftChars="-17" w:left="-10" w:hangingChars="22" w:hanging="48"/>
              <w:jc w:val="right"/>
              <w:rPr>
                <w:rFonts w:ascii="Times New Roman"/>
                <w:spacing w:val="-10"/>
                <w:kern w:val="0"/>
                <w:sz w:val="22"/>
                <w:szCs w:val="22"/>
              </w:rPr>
            </w:pPr>
            <w:r>
              <w:rPr>
                <w:rFonts w:ascii="Times New Roman"/>
                <w:spacing w:val="-10"/>
                <w:kern w:val="0"/>
                <w:sz w:val="22"/>
                <w:szCs w:val="22"/>
              </w:rPr>
              <w:t>277,692,602</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40606A">
            <w:pPr>
              <w:widowControl/>
              <w:spacing w:line="260" w:lineRule="exact"/>
              <w:ind w:leftChars="-17" w:left="-10" w:hangingChars="22" w:hanging="48"/>
              <w:jc w:val="right"/>
              <w:rPr>
                <w:rFonts w:ascii="Times New Roman"/>
                <w:spacing w:val="-10"/>
                <w:kern w:val="0"/>
                <w:sz w:val="22"/>
                <w:szCs w:val="22"/>
              </w:rPr>
            </w:pPr>
            <w:r>
              <w:rPr>
                <w:rFonts w:ascii="Times New Roman"/>
                <w:spacing w:val="-10"/>
                <w:kern w:val="0"/>
                <w:sz w:val="22"/>
                <w:szCs w:val="22"/>
              </w:rPr>
              <w:t>320,552,969</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0"/>
                <w:kern w:val="0"/>
                <w:sz w:val="22"/>
                <w:szCs w:val="22"/>
              </w:rPr>
            </w:pPr>
            <w:r>
              <w:rPr>
                <w:rFonts w:ascii="Times New Roman"/>
                <w:spacing w:val="-10"/>
                <w:kern w:val="0"/>
                <w:sz w:val="22"/>
                <w:szCs w:val="22"/>
              </w:rPr>
              <w:t>373,783,318</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4"/>
                <w:kern w:val="0"/>
                <w:sz w:val="22"/>
                <w:szCs w:val="22"/>
              </w:rPr>
            </w:pPr>
            <w:r>
              <w:rPr>
                <w:rFonts w:ascii="Times New Roman"/>
                <w:spacing w:val="-14"/>
                <w:kern w:val="0"/>
                <w:sz w:val="22"/>
                <w:szCs w:val="22"/>
              </w:rPr>
              <w:t xml:space="preserve">313,836,935 </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4"/>
                <w:kern w:val="0"/>
                <w:sz w:val="22"/>
                <w:szCs w:val="22"/>
              </w:rPr>
            </w:pPr>
            <w:r>
              <w:rPr>
                <w:rFonts w:ascii="Times New Roman"/>
                <w:spacing w:val="-14"/>
                <w:kern w:val="0"/>
                <w:sz w:val="22"/>
                <w:szCs w:val="22"/>
              </w:rPr>
              <w:t xml:space="preserve">420,013,730 </w:t>
            </w:r>
          </w:p>
        </w:tc>
      </w:tr>
      <w:tr w:rsidR="0040606A" w:rsidTr="00C055EF">
        <w:trPr>
          <w:trHeight w:val="297"/>
        </w:trPr>
        <w:tc>
          <w:tcPr>
            <w:tcW w:w="1120"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C055EF">
            <w:pPr>
              <w:widowControl/>
              <w:spacing w:line="260" w:lineRule="exact"/>
              <w:jc w:val="center"/>
              <w:rPr>
                <w:kern w:val="0"/>
                <w:sz w:val="26"/>
                <w:szCs w:val="26"/>
              </w:rPr>
            </w:pPr>
            <w:r>
              <w:rPr>
                <w:rFonts w:hint="eastAsia"/>
                <w:kern w:val="0"/>
                <w:sz w:val="26"/>
                <w:szCs w:val="26"/>
              </w:rPr>
              <w:t>屏東縣</w:t>
            </w:r>
          </w:p>
        </w:tc>
        <w:tc>
          <w:tcPr>
            <w:tcW w:w="1301"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40606A">
            <w:pPr>
              <w:widowControl/>
              <w:spacing w:line="260" w:lineRule="exact"/>
              <w:ind w:leftChars="-17" w:left="-10" w:hangingChars="22" w:hanging="48"/>
              <w:jc w:val="right"/>
              <w:rPr>
                <w:rFonts w:ascii="Times New Roman"/>
                <w:spacing w:val="-10"/>
                <w:kern w:val="0"/>
                <w:sz w:val="22"/>
                <w:szCs w:val="22"/>
              </w:rPr>
            </w:pPr>
            <w:r>
              <w:rPr>
                <w:rFonts w:ascii="Times New Roman"/>
                <w:spacing w:val="-10"/>
                <w:kern w:val="0"/>
                <w:sz w:val="22"/>
                <w:szCs w:val="22"/>
              </w:rPr>
              <w:t>441,581,927</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40606A">
            <w:pPr>
              <w:widowControl/>
              <w:spacing w:line="260" w:lineRule="exact"/>
              <w:ind w:leftChars="-17" w:left="-10" w:hangingChars="22" w:hanging="48"/>
              <w:jc w:val="right"/>
              <w:rPr>
                <w:rFonts w:ascii="Times New Roman"/>
                <w:spacing w:val="-10"/>
                <w:kern w:val="0"/>
                <w:sz w:val="22"/>
                <w:szCs w:val="22"/>
              </w:rPr>
            </w:pPr>
            <w:r>
              <w:rPr>
                <w:rFonts w:ascii="Times New Roman"/>
                <w:spacing w:val="-10"/>
                <w:kern w:val="0"/>
                <w:sz w:val="22"/>
                <w:szCs w:val="22"/>
              </w:rPr>
              <w:t>504,104,144</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0"/>
                <w:kern w:val="0"/>
                <w:sz w:val="22"/>
                <w:szCs w:val="22"/>
              </w:rPr>
            </w:pPr>
            <w:r>
              <w:rPr>
                <w:rFonts w:ascii="Times New Roman"/>
                <w:spacing w:val="-10"/>
                <w:kern w:val="0"/>
                <w:sz w:val="22"/>
                <w:szCs w:val="22"/>
              </w:rPr>
              <w:t>677,750,810</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4"/>
                <w:kern w:val="0"/>
                <w:sz w:val="22"/>
                <w:szCs w:val="22"/>
              </w:rPr>
            </w:pPr>
            <w:r>
              <w:rPr>
                <w:rFonts w:ascii="Times New Roman"/>
                <w:spacing w:val="-14"/>
                <w:kern w:val="0"/>
                <w:sz w:val="22"/>
                <w:szCs w:val="22"/>
              </w:rPr>
              <w:t xml:space="preserve">498,814,445 </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4"/>
                <w:kern w:val="0"/>
                <w:sz w:val="22"/>
                <w:szCs w:val="22"/>
              </w:rPr>
            </w:pPr>
            <w:r>
              <w:rPr>
                <w:rFonts w:ascii="Times New Roman"/>
                <w:spacing w:val="-14"/>
                <w:kern w:val="0"/>
                <w:sz w:val="22"/>
                <w:szCs w:val="22"/>
              </w:rPr>
              <w:t xml:space="preserve">720,498,067 </w:t>
            </w:r>
          </w:p>
        </w:tc>
      </w:tr>
      <w:tr w:rsidR="0040606A" w:rsidTr="00C055EF">
        <w:trPr>
          <w:trHeight w:val="297"/>
        </w:trPr>
        <w:tc>
          <w:tcPr>
            <w:tcW w:w="1120"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C055EF">
            <w:pPr>
              <w:widowControl/>
              <w:spacing w:line="260" w:lineRule="exact"/>
              <w:jc w:val="center"/>
              <w:rPr>
                <w:kern w:val="0"/>
                <w:sz w:val="26"/>
                <w:szCs w:val="26"/>
              </w:rPr>
            </w:pPr>
            <w:r>
              <w:rPr>
                <w:rFonts w:hint="eastAsia"/>
                <w:kern w:val="0"/>
                <w:sz w:val="26"/>
                <w:szCs w:val="26"/>
              </w:rPr>
              <w:t>花蓮縣</w:t>
            </w:r>
          </w:p>
        </w:tc>
        <w:tc>
          <w:tcPr>
            <w:tcW w:w="1301"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40606A">
            <w:pPr>
              <w:widowControl/>
              <w:spacing w:line="260" w:lineRule="exact"/>
              <w:ind w:leftChars="-17" w:left="-10" w:hangingChars="22" w:hanging="48"/>
              <w:jc w:val="right"/>
              <w:rPr>
                <w:rFonts w:ascii="Times New Roman"/>
                <w:spacing w:val="-10"/>
                <w:kern w:val="0"/>
                <w:sz w:val="22"/>
                <w:szCs w:val="22"/>
              </w:rPr>
            </w:pPr>
            <w:r>
              <w:rPr>
                <w:rFonts w:ascii="Times New Roman"/>
                <w:spacing w:val="-10"/>
                <w:kern w:val="0"/>
                <w:sz w:val="22"/>
                <w:szCs w:val="22"/>
              </w:rPr>
              <w:t>261,878,356</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0"/>
                <w:kern w:val="0"/>
                <w:sz w:val="22"/>
                <w:szCs w:val="22"/>
              </w:rPr>
            </w:pPr>
            <w:r>
              <w:rPr>
                <w:rFonts w:ascii="Times New Roman"/>
                <w:spacing w:val="-10"/>
                <w:kern w:val="0"/>
                <w:sz w:val="22"/>
                <w:szCs w:val="22"/>
              </w:rPr>
              <w:t>303,014,931</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0"/>
                <w:kern w:val="0"/>
                <w:sz w:val="22"/>
                <w:szCs w:val="22"/>
              </w:rPr>
            </w:pPr>
            <w:r>
              <w:rPr>
                <w:rFonts w:ascii="Times New Roman"/>
                <w:spacing w:val="-10"/>
                <w:kern w:val="0"/>
                <w:sz w:val="22"/>
                <w:szCs w:val="22"/>
              </w:rPr>
              <w:t>336,252,711</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4"/>
                <w:kern w:val="0"/>
                <w:sz w:val="22"/>
                <w:szCs w:val="22"/>
              </w:rPr>
            </w:pPr>
            <w:r>
              <w:rPr>
                <w:rFonts w:ascii="Times New Roman"/>
                <w:spacing w:val="-14"/>
                <w:kern w:val="0"/>
                <w:sz w:val="22"/>
                <w:szCs w:val="22"/>
              </w:rPr>
              <w:t>281,376,096</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4"/>
                <w:kern w:val="0"/>
                <w:sz w:val="22"/>
                <w:szCs w:val="22"/>
              </w:rPr>
            </w:pPr>
            <w:r>
              <w:rPr>
                <w:rFonts w:ascii="Times New Roman"/>
                <w:spacing w:val="-14"/>
                <w:kern w:val="0"/>
                <w:sz w:val="22"/>
                <w:szCs w:val="22"/>
              </w:rPr>
              <w:t xml:space="preserve">328,595,127 </w:t>
            </w:r>
          </w:p>
        </w:tc>
      </w:tr>
      <w:tr w:rsidR="0040606A" w:rsidTr="00C055EF">
        <w:trPr>
          <w:trHeight w:val="297"/>
        </w:trPr>
        <w:tc>
          <w:tcPr>
            <w:tcW w:w="1120"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C055EF">
            <w:pPr>
              <w:widowControl/>
              <w:spacing w:line="260" w:lineRule="exact"/>
              <w:jc w:val="center"/>
              <w:rPr>
                <w:kern w:val="0"/>
                <w:sz w:val="26"/>
                <w:szCs w:val="26"/>
              </w:rPr>
            </w:pPr>
            <w:r>
              <w:rPr>
                <w:rFonts w:hint="eastAsia"/>
                <w:kern w:val="0"/>
                <w:sz w:val="26"/>
                <w:szCs w:val="26"/>
              </w:rPr>
              <w:t>臺東縣</w:t>
            </w:r>
          </w:p>
        </w:tc>
        <w:tc>
          <w:tcPr>
            <w:tcW w:w="1301"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40606A">
            <w:pPr>
              <w:widowControl/>
              <w:spacing w:line="260" w:lineRule="exact"/>
              <w:ind w:leftChars="-17" w:left="-10" w:hangingChars="22" w:hanging="48"/>
              <w:jc w:val="right"/>
              <w:rPr>
                <w:rFonts w:ascii="Times New Roman"/>
                <w:spacing w:val="-10"/>
                <w:kern w:val="0"/>
                <w:sz w:val="22"/>
                <w:szCs w:val="22"/>
              </w:rPr>
            </w:pPr>
            <w:r>
              <w:rPr>
                <w:rFonts w:ascii="Times New Roman"/>
                <w:spacing w:val="-10"/>
                <w:kern w:val="0"/>
                <w:sz w:val="22"/>
                <w:szCs w:val="22"/>
              </w:rPr>
              <w:t>194,720,597</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0"/>
                <w:kern w:val="0"/>
                <w:sz w:val="22"/>
                <w:szCs w:val="22"/>
              </w:rPr>
            </w:pPr>
            <w:r>
              <w:rPr>
                <w:rFonts w:ascii="Times New Roman"/>
                <w:spacing w:val="-10"/>
                <w:kern w:val="0"/>
                <w:sz w:val="22"/>
                <w:szCs w:val="22"/>
              </w:rPr>
              <w:t>227,842,833</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0"/>
                <w:kern w:val="0"/>
                <w:sz w:val="22"/>
                <w:szCs w:val="22"/>
              </w:rPr>
            </w:pPr>
            <w:r>
              <w:rPr>
                <w:rFonts w:ascii="Times New Roman"/>
                <w:spacing w:val="-10"/>
                <w:kern w:val="0"/>
                <w:sz w:val="22"/>
                <w:szCs w:val="22"/>
              </w:rPr>
              <w:t>256,020,133</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4"/>
                <w:kern w:val="0"/>
                <w:sz w:val="22"/>
                <w:szCs w:val="22"/>
              </w:rPr>
            </w:pPr>
            <w:r>
              <w:rPr>
                <w:rFonts w:ascii="Times New Roman"/>
                <w:spacing w:val="-14"/>
                <w:kern w:val="0"/>
                <w:sz w:val="22"/>
                <w:szCs w:val="22"/>
              </w:rPr>
              <w:t>272,352,416</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4"/>
                <w:kern w:val="0"/>
                <w:sz w:val="22"/>
                <w:szCs w:val="22"/>
              </w:rPr>
            </w:pPr>
            <w:r>
              <w:rPr>
                <w:rFonts w:ascii="Times New Roman"/>
                <w:spacing w:val="-14"/>
                <w:kern w:val="0"/>
                <w:sz w:val="22"/>
                <w:szCs w:val="22"/>
              </w:rPr>
              <w:t xml:space="preserve">393,014,608 </w:t>
            </w:r>
          </w:p>
        </w:tc>
      </w:tr>
      <w:tr w:rsidR="0040606A" w:rsidTr="00C055EF">
        <w:trPr>
          <w:trHeight w:val="297"/>
        </w:trPr>
        <w:tc>
          <w:tcPr>
            <w:tcW w:w="1120"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C055EF">
            <w:pPr>
              <w:widowControl/>
              <w:spacing w:line="260" w:lineRule="exact"/>
              <w:jc w:val="center"/>
              <w:rPr>
                <w:kern w:val="0"/>
                <w:sz w:val="26"/>
                <w:szCs w:val="26"/>
              </w:rPr>
            </w:pPr>
            <w:r>
              <w:rPr>
                <w:rFonts w:hint="eastAsia"/>
                <w:kern w:val="0"/>
                <w:sz w:val="26"/>
                <w:szCs w:val="26"/>
              </w:rPr>
              <w:t>澎湖縣</w:t>
            </w:r>
          </w:p>
        </w:tc>
        <w:tc>
          <w:tcPr>
            <w:tcW w:w="1301"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40606A">
            <w:pPr>
              <w:widowControl/>
              <w:spacing w:line="260" w:lineRule="exact"/>
              <w:ind w:leftChars="-17" w:left="-10" w:hangingChars="22" w:hanging="48"/>
              <w:jc w:val="right"/>
              <w:rPr>
                <w:rFonts w:ascii="Times New Roman"/>
                <w:spacing w:val="-10"/>
                <w:kern w:val="0"/>
                <w:sz w:val="22"/>
                <w:szCs w:val="22"/>
              </w:rPr>
            </w:pPr>
            <w:r>
              <w:rPr>
                <w:rFonts w:ascii="Times New Roman"/>
                <w:spacing w:val="-10"/>
                <w:kern w:val="0"/>
                <w:sz w:val="22"/>
                <w:szCs w:val="22"/>
              </w:rPr>
              <w:t>129,395,546</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0"/>
                <w:kern w:val="0"/>
                <w:sz w:val="22"/>
                <w:szCs w:val="22"/>
              </w:rPr>
            </w:pPr>
            <w:r>
              <w:rPr>
                <w:rFonts w:ascii="Times New Roman"/>
                <w:spacing w:val="-10"/>
                <w:kern w:val="0"/>
                <w:sz w:val="22"/>
                <w:szCs w:val="22"/>
              </w:rPr>
              <w:t>148,018,935</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0"/>
                <w:kern w:val="0"/>
                <w:sz w:val="22"/>
                <w:szCs w:val="22"/>
              </w:rPr>
            </w:pPr>
            <w:r>
              <w:rPr>
                <w:rFonts w:ascii="Times New Roman"/>
                <w:spacing w:val="-10"/>
                <w:kern w:val="0"/>
                <w:sz w:val="22"/>
                <w:szCs w:val="22"/>
              </w:rPr>
              <w:t>208,470,872</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4"/>
                <w:kern w:val="0"/>
                <w:sz w:val="22"/>
                <w:szCs w:val="22"/>
              </w:rPr>
            </w:pPr>
            <w:r>
              <w:rPr>
                <w:rFonts w:ascii="Times New Roman"/>
                <w:spacing w:val="-14"/>
                <w:kern w:val="0"/>
                <w:sz w:val="22"/>
                <w:szCs w:val="22"/>
              </w:rPr>
              <w:t xml:space="preserve">160,176,951 </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4"/>
                <w:kern w:val="0"/>
                <w:sz w:val="22"/>
                <w:szCs w:val="22"/>
              </w:rPr>
            </w:pPr>
            <w:r>
              <w:rPr>
                <w:rFonts w:ascii="Times New Roman"/>
                <w:spacing w:val="-14"/>
                <w:kern w:val="0"/>
                <w:sz w:val="22"/>
                <w:szCs w:val="22"/>
              </w:rPr>
              <w:t xml:space="preserve">262,699,741 </w:t>
            </w:r>
          </w:p>
        </w:tc>
      </w:tr>
      <w:tr w:rsidR="0040606A" w:rsidTr="00C055EF">
        <w:trPr>
          <w:trHeight w:val="297"/>
        </w:trPr>
        <w:tc>
          <w:tcPr>
            <w:tcW w:w="1120"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C055EF">
            <w:pPr>
              <w:widowControl/>
              <w:spacing w:line="260" w:lineRule="exact"/>
              <w:jc w:val="center"/>
              <w:rPr>
                <w:kern w:val="0"/>
                <w:sz w:val="26"/>
                <w:szCs w:val="26"/>
              </w:rPr>
            </w:pPr>
            <w:r>
              <w:rPr>
                <w:rFonts w:hint="eastAsia"/>
                <w:kern w:val="0"/>
                <w:sz w:val="26"/>
                <w:szCs w:val="26"/>
              </w:rPr>
              <w:t>基隆市</w:t>
            </w:r>
          </w:p>
        </w:tc>
        <w:tc>
          <w:tcPr>
            <w:tcW w:w="1301"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40606A">
            <w:pPr>
              <w:widowControl/>
              <w:spacing w:line="260" w:lineRule="exact"/>
              <w:ind w:leftChars="-17" w:left="-10" w:hangingChars="22" w:hanging="48"/>
              <w:jc w:val="right"/>
              <w:rPr>
                <w:rFonts w:ascii="Times New Roman"/>
                <w:spacing w:val="-10"/>
                <w:kern w:val="0"/>
                <w:sz w:val="22"/>
                <w:szCs w:val="22"/>
              </w:rPr>
            </w:pPr>
            <w:r>
              <w:rPr>
                <w:rFonts w:ascii="Times New Roman"/>
                <w:spacing w:val="-10"/>
                <w:kern w:val="0"/>
                <w:sz w:val="22"/>
                <w:szCs w:val="22"/>
              </w:rPr>
              <w:t>284,740,202</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0"/>
                <w:kern w:val="0"/>
                <w:sz w:val="22"/>
                <w:szCs w:val="22"/>
              </w:rPr>
            </w:pPr>
            <w:r>
              <w:rPr>
                <w:rFonts w:ascii="Times New Roman"/>
                <w:spacing w:val="-10"/>
                <w:kern w:val="0"/>
                <w:sz w:val="22"/>
                <w:szCs w:val="22"/>
              </w:rPr>
              <w:t>326,921,561</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0"/>
                <w:kern w:val="0"/>
                <w:sz w:val="22"/>
                <w:szCs w:val="22"/>
              </w:rPr>
            </w:pPr>
            <w:r>
              <w:rPr>
                <w:rFonts w:ascii="Times New Roman"/>
                <w:spacing w:val="-10"/>
                <w:kern w:val="0"/>
                <w:sz w:val="22"/>
                <w:szCs w:val="22"/>
              </w:rPr>
              <w:t>388,572,931</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4"/>
                <w:kern w:val="0"/>
                <w:sz w:val="22"/>
                <w:szCs w:val="22"/>
              </w:rPr>
            </w:pPr>
            <w:r>
              <w:rPr>
                <w:rFonts w:ascii="Times New Roman"/>
                <w:spacing w:val="-14"/>
                <w:kern w:val="0"/>
                <w:sz w:val="22"/>
                <w:szCs w:val="22"/>
              </w:rPr>
              <w:t xml:space="preserve">324,092,152 </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4"/>
                <w:kern w:val="0"/>
                <w:sz w:val="22"/>
                <w:szCs w:val="22"/>
              </w:rPr>
            </w:pPr>
            <w:r>
              <w:rPr>
                <w:rFonts w:ascii="Times New Roman"/>
                <w:spacing w:val="-14"/>
                <w:kern w:val="0"/>
                <w:sz w:val="22"/>
                <w:szCs w:val="22"/>
              </w:rPr>
              <w:t xml:space="preserve">424,210,793 </w:t>
            </w:r>
          </w:p>
        </w:tc>
      </w:tr>
      <w:tr w:rsidR="0040606A" w:rsidTr="00C055EF">
        <w:trPr>
          <w:trHeight w:val="297"/>
        </w:trPr>
        <w:tc>
          <w:tcPr>
            <w:tcW w:w="1120"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C055EF">
            <w:pPr>
              <w:widowControl/>
              <w:spacing w:line="260" w:lineRule="exact"/>
              <w:jc w:val="center"/>
              <w:rPr>
                <w:rFonts w:ascii="Times New Roman"/>
                <w:kern w:val="0"/>
                <w:sz w:val="26"/>
                <w:szCs w:val="26"/>
              </w:rPr>
            </w:pPr>
            <w:r>
              <w:rPr>
                <w:rFonts w:ascii="Times New Roman" w:hint="eastAsia"/>
                <w:kern w:val="0"/>
                <w:sz w:val="26"/>
                <w:szCs w:val="26"/>
              </w:rPr>
              <w:t>新竹市</w:t>
            </w:r>
          </w:p>
        </w:tc>
        <w:tc>
          <w:tcPr>
            <w:tcW w:w="1301"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40606A">
            <w:pPr>
              <w:widowControl/>
              <w:spacing w:line="260" w:lineRule="exact"/>
              <w:ind w:leftChars="-17" w:left="-10" w:hangingChars="22" w:hanging="48"/>
              <w:jc w:val="right"/>
              <w:rPr>
                <w:rFonts w:ascii="Times New Roman"/>
                <w:spacing w:val="-10"/>
                <w:kern w:val="0"/>
                <w:sz w:val="22"/>
                <w:szCs w:val="22"/>
              </w:rPr>
            </w:pPr>
            <w:r>
              <w:rPr>
                <w:rFonts w:ascii="Times New Roman"/>
                <w:spacing w:val="-10"/>
                <w:kern w:val="0"/>
                <w:sz w:val="22"/>
                <w:szCs w:val="22"/>
              </w:rPr>
              <w:t>322,945,557</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0"/>
                <w:kern w:val="0"/>
                <w:sz w:val="22"/>
                <w:szCs w:val="22"/>
              </w:rPr>
            </w:pPr>
            <w:r>
              <w:rPr>
                <w:rFonts w:ascii="Times New Roman"/>
                <w:spacing w:val="-10"/>
                <w:kern w:val="0"/>
                <w:sz w:val="22"/>
                <w:szCs w:val="22"/>
              </w:rPr>
              <w:t>377,665,209</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0"/>
                <w:kern w:val="0"/>
                <w:sz w:val="22"/>
                <w:szCs w:val="22"/>
              </w:rPr>
            </w:pPr>
            <w:r>
              <w:rPr>
                <w:rFonts w:ascii="Times New Roman"/>
                <w:spacing w:val="-10"/>
                <w:kern w:val="0"/>
                <w:sz w:val="22"/>
                <w:szCs w:val="22"/>
              </w:rPr>
              <w:t>404,219,651</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4"/>
                <w:kern w:val="0"/>
                <w:sz w:val="22"/>
                <w:szCs w:val="22"/>
              </w:rPr>
            </w:pPr>
            <w:r>
              <w:rPr>
                <w:rFonts w:ascii="Times New Roman"/>
                <w:spacing w:val="-14"/>
                <w:kern w:val="0"/>
                <w:sz w:val="22"/>
                <w:szCs w:val="22"/>
              </w:rPr>
              <w:t xml:space="preserve">316,858,575 </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4"/>
                <w:kern w:val="0"/>
                <w:sz w:val="22"/>
                <w:szCs w:val="22"/>
              </w:rPr>
            </w:pPr>
            <w:r>
              <w:rPr>
                <w:rFonts w:ascii="Times New Roman"/>
                <w:spacing w:val="-14"/>
                <w:kern w:val="0"/>
                <w:sz w:val="22"/>
                <w:szCs w:val="22"/>
              </w:rPr>
              <w:t xml:space="preserve">391,621,385 </w:t>
            </w:r>
          </w:p>
        </w:tc>
      </w:tr>
      <w:tr w:rsidR="0040606A" w:rsidTr="00C055EF">
        <w:trPr>
          <w:trHeight w:val="297"/>
        </w:trPr>
        <w:tc>
          <w:tcPr>
            <w:tcW w:w="1120"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C055EF">
            <w:pPr>
              <w:widowControl/>
              <w:spacing w:line="260" w:lineRule="exact"/>
              <w:jc w:val="center"/>
              <w:rPr>
                <w:rFonts w:ascii="Times New Roman"/>
                <w:kern w:val="0"/>
                <w:sz w:val="26"/>
                <w:szCs w:val="26"/>
              </w:rPr>
            </w:pPr>
            <w:r>
              <w:rPr>
                <w:rFonts w:ascii="Times New Roman" w:hint="eastAsia"/>
                <w:kern w:val="0"/>
                <w:sz w:val="26"/>
                <w:szCs w:val="26"/>
              </w:rPr>
              <w:t>嘉義市</w:t>
            </w:r>
          </w:p>
        </w:tc>
        <w:tc>
          <w:tcPr>
            <w:tcW w:w="1301"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40606A">
            <w:pPr>
              <w:widowControl/>
              <w:spacing w:line="260" w:lineRule="exact"/>
              <w:ind w:leftChars="-17" w:left="-10" w:hangingChars="22" w:hanging="48"/>
              <w:jc w:val="right"/>
              <w:rPr>
                <w:rFonts w:ascii="Times New Roman"/>
                <w:spacing w:val="-10"/>
                <w:kern w:val="0"/>
                <w:sz w:val="22"/>
                <w:szCs w:val="22"/>
              </w:rPr>
            </w:pPr>
            <w:r>
              <w:rPr>
                <w:rFonts w:ascii="Times New Roman"/>
                <w:spacing w:val="-10"/>
                <w:kern w:val="0"/>
                <w:sz w:val="22"/>
                <w:szCs w:val="22"/>
              </w:rPr>
              <w:t>229,260,221</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0"/>
                <w:kern w:val="0"/>
                <w:sz w:val="22"/>
                <w:szCs w:val="22"/>
              </w:rPr>
            </w:pPr>
            <w:r>
              <w:rPr>
                <w:rFonts w:ascii="Times New Roman"/>
                <w:spacing w:val="-10"/>
                <w:kern w:val="0"/>
                <w:sz w:val="22"/>
                <w:szCs w:val="22"/>
              </w:rPr>
              <w:t>264,122,493</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0"/>
                <w:kern w:val="0"/>
                <w:sz w:val="22"/>
                <w:szCs w:val="22"/>
              </w:rPr>
            </w:pPr>
            <w:r>
              <w:rPr>
                <w:rFonts w:ascii="Times New Roman"/>
                <w:spacing w:val="-10"/>
                <w:kern w:val="0"/>
                <w:sz w:val="22"/>
                <w:szCs w:val="22"/>
              </w:rPr>
              <w:t>287,391,261</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4"/>
                <w:kern w:val="0"/>
                <w:sz w:val="22"/>
                <w:szCs w:val="22"/>
              </w:rPr>
            </w:pPr>
            <w:r>
              <w:rPr>
                <w:rFonts w:ascii="Times New Roman"/>
                <w:spacing w:val="-14"/>
                <w:kern w:val="0"/>
                <w:sz w:val="22"/>
                <w:szCs w:val="22"/>
              </w:rPr>
              <w:t xml:space="preserve">242,921,170 </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4"/>
                <w:kern w:val="0"/>
                <w:sz w:val="22"/>
                <w:szCs w:val="22"/>
              </w:rPr>
            </w:pPr>
            <w:r>
              <w:rPr>
                <w:rFonts w:ascii="Times New Roman"/>
                <w:spacing w:val="-14"/>
                <w:kern w:val="0"/>
                <w:sz w:val="22"/>
                <w:szCs w:val="22"/>
              </w:rPr>
              <w:t xml:space="preserve">319,656,775 </w:t>
            </w:r>
          </w:p>
        </w:tc>
      </w:tr>
      <w:tr w:rsidR="0040606A" w:rsidTr="00C055EF">
        <w:trPr>
          <w:trHeight w:val="297"/>
        </w:trPr>
        <w:tc>
          <w:tcPr>
            <w:tcW w:w="1120"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C055EF">
            <w:pPr>
              <w:widowControl/>
              <w:spacing w:line="260" w:lineRule="exact"/>
              <w:jc w:val="center"/>
              <w:rPr>
                <w:rFonts w:ascii="Times New Roman"/>
                <w:kern w:val="0"/>
                <w:sz w:val="26"/>
                <w:szCs w:val="26"/>
              </w:rPr>
            </w:pPr>
            <w:r>
              <w:rPr>
                <w:rFonts w:ascii="Times New Roman" w:hint="eastAsia"/>
                <w:kern w:val="0"/>
                <w:sz w:val="26"/>
                <w:szCs w:val="26"/>
              </w:rPr>
              <w:t>金門縣</w:t>
            </w:r>
          </w:p>
        </w:tc>
        <w:tc>
          <w:tcPr>
            <w:tcW w:w="1301"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40606A">
            <w:pPr>
              <w:widowControl/>
              <w:spacing w:line="260" w:lineRule="exact"/>
              <w:ind w:leftChars="-17" w:left="-10" w:hangingChars="22" w:hanging="48"/>
              <w:jc w:val="right"/>
              <w:rPr>
                <w:rFonts w:ascii="Times New Roman"/>
                <w:spacing w:val="-10"/>
                <w:kern w:val="0"/>
                <w:sz w:val="22"/>
                <w:szCs w:val="22"/>
              </w:rPr>
            </w:pPr>
            <w:r>
              <w:rPr>
                <w:rFonts w:ascii="Times New Roman"/>
                <w:spacing w:val="-10"/>
                <w:kern w:val="0"/>
                <w:sz w:val="22"/>
                <w:szCs w:val="22"/>
              </w:rPr>
              <w:t>134,832,992</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0"/>
                <w:kern w:val="0"/>
                <w:sz w:val="22"/>
                <w:szCs w:val="22"/>
              </w:rPr>
            </w:pPr>
            <w:r>
              <w:rPr>
                <w:rFonts w:ascii="Times New Roman"/>
                <w:spacing w:val="-10"/>
                <w:kern w:val="0"/>
                <w:sz w:val="22"/>
                <w:szCs w:val="22"/>
              </w:rPr>
              <w:t>156,726,095</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0"/>
                <w:kern w:val="0"/>
                <w:sz w:val="22"/>
                <w:szCs w:val="22"/>
              </w:rPr>
            </w:pPr>
            <w:r>
              <w:rPr>
                <w:rFonts w:ascii="Times New Roman"/>
                <w:spacing w:val="-10"/>
                <w:kern w:val="0"/>
                <w:sz w:val="22"/>
                <w:szCs w:val="22"/>
              </w:rPr>
              <w:t>185,243,405</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4"/>
                <w:kern w:val="0"/>
                <w:sz w:val="22"/>
                <w:szCs w:val="22"/>
              </w:rPr>
            </w:pPr>
            <w:r>
              <w:rPr>
                <w:rFonts w:ascii="Times New Roman"/>
                <w:spacing w:val="-14"/>
                <w:kern w:val="0"/>
                <w:sz w:val="22"/>
                <w:szCs w:val="22"/>
              </w:rPr>
              <w:t xml:space="preserve">153,685,694 </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4"/>
                <w:kern w:val="0"/>
                <w:sz w:val="22"/>
                <w:szCs w:val="22"/>
              </w:rPr>
            </w:pPr>
            <w:r>
              <w:rPr>
                <w:rFonts w:ascii="Times New Roman"/>
                <w:spacing w:val="-14"/>
                <w:kern w:val="0"/>
                <w:sz w:val="22"/>
                <w:szCs w:val="22"/>
              </w:rPr>
              <w:t xml:space="preserve">221,532,488 </w:t>
            </w:r>
          </w:p>
        </w:tc>
      </w:tr>
      <w:tr w:rsidR="0040606A" w:rsidTr="00C055EF">
        <w:trPr>
          <w:trHeight w:val="297"/>
        </w:trPr>
        <w:tc>
          <w:tcPr>
            <w:tcW w:w="1120"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C055EF">
            <w:pPr>
              <w:widowControl/>
              <w:spacing w:line="260" w:lineRule="exact"/>
              <w:jc w:val="center"/>
              <w:rPr>
                <w:rFonts w:ascii="Times New Roman"/>
                <w:kern w:val="0"/>
                <w:sz w:val="26"/>
                <w:szCs w:val="26"/>
              </w:rPr>
            </w:pPr>
            <w:r>
              <w:rPr>
                <w:rFonts w:ascii="Times New Roman" w:hint="eastAsia"/>
                <w:kern w:val="0"/>
                <w:sz w:val="26"/>
                <w:szCs w:val="26"/>
              </w:rPr>
              <w:t>連江縣</w:t>
            </w:r>
          </w:p>
        </w:tc>
        <w:tc>
          <w:tcPr>
            <w:tcW w:w="1301"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40606A">
            <w:pPr>
              <w:widowControl/>
              <w:spacing w:line="260" w:lineRule="exact"/>
              <w:ind w:leftChars="-17" w:left="-10" w:hangingChars="22" w:hanging="48"/>
              <w:jc w:val="right"/>
              <w:rPr>
                <w:rFonts w:ascii="Times New Roman"/>
                <w:spacing w:val="-10"/>
                <w:kern w:val="0"/>
                <w:sz w:val="22"/>
                <w:szCs w:val="22"/>
              </w:rPr>
            </w:pPr>
            <w:r>
              <w:rPr>
                <w:rFonts w:ascii="Times New Roman"/>
                <w:spacing w:val="-10"/>
                <w:kern w:val="0"/>
                <w:sz w:val="22"/>
                <w:szCs w:val="22"/>
              </w:rPr>
              <w:t>95,384,396</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0"/>
                <w:kern w:val="0"/>
                <w:sz w:val="22"/>
                <w:szCs w:val="22"/>
              </w:rPr>
            </w:pPr>
            <w:r>
              <w:rPr>
                <w:rFonts w:ascii="Times New Roman"/>
                <w:spacing w:val="-10"/>
                <w:kern w:val="0"/>
                <w:sz w:val="22"/>
                <w:szCs w:val="22"/>
              </w:rPr>
              <w:t>107,794,522</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0"/>
                <w:kern w:val="0"/>
                <w:sz w:val="22"/>
                <w:szCs w:val="22"/>
              </w:rPr>
            </w:pPr>
            <w:r>
              <w:rPr>
                <w:rFonts w:ascii="Times New Roman"/>
                <w:spacing w:val="-10"/>
                <w:kern w:val="0"/>
                <w:sz w:val="22"/>
                <w:szCs w:val="22"/>
              </w:rPr>
              <w:t>131,521,019</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4"/>
                <w:kern w:val="0"/>
                <w:sz w:val="22"/>
                <w:szCs w:val="22"/>
              </w:rPr>
            </w:pPr>
            <w:r>
              <w:rPr>
                <w:rFonts w:ascii="Times New Roman"/>
                <w:spacing w:val="-14"/>
                <w:kern w:val="0"/>
                <w:sz w:val="22"/>
                <w:szCs w:val="22"/>
              </w:rPr>
              <w:t xml:space="preserve">109,906,806 </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C055EF">
            <w:pPr>
              <w:widowControl/>
              <w:spacing w:line="260" w:lineRule="exact"/>
              <w:jc w:val="right"/>
              <w:rPr>
                <w:rFonts w:ascii="Times New Roman"/>
                <w:spacing w:val="-14"/>
                <w:kern w:val="0"/>
                <w:sz w:val="22"/>
                <w:szCs w:val="22"/>
              </w:rPr>
            </w:pPr>
            <w:r>
              <w:rPr>
                <w:rFonts w:ascii="Times New Roman"/>
                <w:spacing w:val="-14"/>
                <w:kern w:val="0"/>
                <w:sz w:val="22"/>
                <w:szCs w:val="22"/>
              </w:rPr>
              <w:t xml:space="preserve">131,987,909 </w:t>
            </w:r>
          </w:p>
        </w:tc>
      </w:tr>
      <w:tr w:rsidR="0040606A" w:rsidTr="00C055EF">
        <w:trPr>
          <w:trHeight w:val="297"/>
        </w:trPr>
        <w:tc>
          <w:tcPr>
            <w:tcW w:w="1120"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C055EF">
            <w:pPr>
              <w:widowControl/>
              <w:spacing w:line="260" w:lineRule="exact"/>
              <w:jc w:val="center"/>
              <w:rPr>
                <w:rFonts w:ascii="Times New Roman"/>
                <w:b/>
                <w:kern w:val="0"/>
                <w:sz w:val="26"/>
                <w:szCs w:val="26"/>
              </w:rPr>
            </w:pPr>
            <w:r>
              <w:rPr>
                <w:rFonts w:ascii="Times New Roman" w:hint="eastAsia"/>
                <w:b/>
                <w:kern w:val="0"/>
                <w:sz w:val="26"/>
                <w:szCs w:val="26"/>
              </w:rPr>
              <w:t>總</w:t>
            </w:r>
            <w:r>
              <w:rPr>
                <w:rFonts w:ascii="Times New Roman"/>
                <w:b/>
                <w:kern w:val="0"/>
                <w:sz w:val="26"/>
                <w:szCs w:val="26"/>
              </w:rPr>
              <w:t xml:space="preserve">  </w:t>
            </w:r>
            <w:r>
              <w:rPr>
                <w:rFonts w:ascii="Times New Roman" w:hint="eastAsia"/>
                <w:b/>
                <w:kern w:val="0"/>
                <w:sz w:val="26"/>
                <w:szCs w:val="26"/>
              </w:rPr>
              <w:t>計</w:t>
            </w:r>
          </w:p>
        </w:tc>
        <w:tc>
          <w:tcPr>
            <w:tcW w:w="1301" w:type="dxa"/>
            <w:tcBorders>
              <w:top w:val="single" w:sz="8" w:space="0" w:color="000000"/>
              <w:left w:val="single" w:sz="8" w:space="0" w:color="000000"/>
              <w:bottom w:val="single" w:sz="8" w:space="0" w:color="000000"/>
              <w:right w:val="single" w:sz="8" w:space="0" w:color="000000"/>
            </w:tcBorders>
            <w:noWrap/>
            <w:vAlign w:val="center"/>
            <w:hideMark/>
          </w:tcPr>
          <w:p w:rsidR="0040606A" w:rsidRDefault="0040606A" w:rsidP="0040606A">
            <w:pPr>
              <w:widowControl/>
              <w:spacing w:line="260" w:lineRule="exact"/>
              <w:ind w:leftChars="-17" w:left="-14" w:rightChars="12" w:right="41" w:hangingChars="22" w:hanging="44"/>
              <w:jc w:val="right"/>
              <w:rPr>
                <w:rFonts w:ascii="Times New Roman"/>
                <w:b/>
                <w:spacing w:val="-20"/>
                <w:kern w:val="0"/>
                <w:sz w:val="22"/>
                <w:szCs w:val="22"/>
              </w:rPr>
            </w:pPr>
            <w:r>
              <w:rPr>
                <w:rFonts w:ascii="Times New Roman"/>
                <w:b/>
                <w:spacing w:val="-20"/>
                <w:kern w:val="0"/>
                <w:sz w:val="22"/>
                <w:szCs w:val="22"/>
              </w:rPr>
              <w:t xml:space="preserve">13,495,810,474 </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40606A">
            <w:pPr>
              <w:widowControl/>
              <w:spacing w:line="260" w:lineRule="exact"/>
              <w:ind w:leftChars="-17" w:left="-14" w:rightChars="12" w:right="41" w:hangingChars="22" w:hanging="44"/>
              <w:jc w:val="right"/>
              <w:rPr>
                <w:rFonts w:ascii="Times New Roman"/>
                <w:b/>
                <w:spacing w:val="-20"/>
                <w:kern w:val="0"/>
                <w:sz w:val="22"/>
                <w:szCs w:val="22"/>
              </w:rPr>
            </w:pPr>
            <w:r>
              <w:rPr>
                <w:rFonts w:ascii="Times New Roman"/>
                <w:b/>
                <w:spacing w:val="-20"/>
                <w:kern w:val="0"/>
                <w:sz w:val="22"/>
                <w:szCs w:val="22"/>
              </w:rPr>
              <w:t xml:space="preserve">15,545,676,526 </w:t>
            </w:r>
          </w:p>
        </w:tc>
        <w:tc>
          <w:tcPr>
            <w:tcW w:w="1302"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40606A">
            <w:pPr>
              <w:widowControl/>
              <w:spacing w:line="260" w:lineRule="exact"/>
              <w:ind w:leftChars="-17" w:left="-14" w:rightChars="12" w:right="41" w:hangingChars="22" w:hanging="44"/>
              <w:jc w:val="right"/>
              <w:rPr>
                <w:rFonts w:ascii="Times New Roman"/>
                <w:b/>
                <w:spacing w:val="-20"/>
                <w:kern w:val="0"/>
                <w:sz w:val="22"/>
                <w:szCs w:val="22"/>
              </w:rPr>
            </w:pPr>
            <w:r>
              <w:rPr>
                <w:rFonts w:ascii="Times New Roman"/>
                <w:b/>
                <w:spacing w:val="-20"/>
                <w:kern w:val="0"/>
                <w:sz w:val="22"/>
                <w:szCs w:val="22"/>
              </w:rPr>
              <w:t xml:space="preserve">17,338,388,400 </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40606A" w:rsidRDefault="0040606A" w:rsidP="0040606A">
            <w:pPr>
              <w:widowControl/>
              <w:spacing w:line="260" w:lineRule="exact"/>
              <w:ind w:leftChars="-17" w:left="-14" w:rightChars="12" w:right="41" w:hangingChars="22" w:hanging="44"/>
              <w:jc w:val="right"/>
              <w:rPr>
                <w:rFonts w:ascii="Times New Roman"/>
                <w:b/>
                <w:spacing w:val="-20"/>
                <w:kern w:val="0"/>
                <w:sz w:val="22"/>
                <w:szCs w:val="22"/>
              </w:rPr>
            </w:pPr>
            <w:r>
              <w:rPr>
                <w:rFonts w:ascii="Times New Roman"/>
                <w:b/>
                <w:spacing w:val="-20"/>
                <w:kern w:val="0"/>
                <w:sz w:val="22"/>
                <w:szCs w:val="22"/>
              </w:rPr>
              <w:t xml:space="preserve">11,937,063,158 </w:t>
            </w:r>
          </w:p>
        </w:tc>
        <w:tc>
          <w:tcPr>
            <w:tcW w:w="1302"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hideMark/>
          </w:tcPr>
          <w:p w:rsidR="0040606A" w:rsidRDefault="0040606A" w:rsidP="0040606A">
            <w:pPr>
              <w:widowControl/>
              <w:spacing w:line="260" w:lineRule="exact"/>
              <w:ind w:leftChars="-17" w:left="-14" w:rightChars="12" w:right="41" w:hangingChars="22" w:hanging="44"/>
              <w:jc w:val="right"/>
              <w:rPr>
                <w:rFonts w:ascii="Times New Roman"/>
                <w:b/>
                <w:spacing w:val="-20"/>
                <w:kern w:val="0"/>
                <w:sz w:val="22"/>
                <w:szCs w:val="22"/>
              </w:rPr>
            </w:pPr>
            <w:r>
              <w:rPr>
                <w:rFonts w:ascii="Times New Roman"/>
                <w:b/>
                <w:spacing w:val="-20"/>
                <w:kern w:val="0"/>
                <w:sz w:val="22"/>
                <w:szCs w:val="22"/>
              </w:rPr>
              <w:t xml:space="preserve">17,671,159,067 </w:t>
            </w:r>
          </w:p>
        </w:tc>
      </w:tr>
    </w:tbl>
    <w:p w:rsidR="0040606A" w:rsidRDefault="0040606A" w:rsidP="0040606A">
      <w:pPr>
        <w:topLinePunct/>
        <w:spacing w:afterLines="25" w:after="114" w:line="320" w:lineRule="exact"/>
        <w:ind w:leftChars="370" w:left="2497" w:rightChars="-17" w:right="-58" w:hangingChars="476" w:hanging="1238"/>
        <w:rPr>
          <w:rFonts w:ascii="Times New Roman"/>
          <w:spacing w:val="-18"/>
          <w:sz w:val="24"/>
          <w:szCs w:val="24"/>
        </w:rPr>
      </w:pPr>
      <w:r>
        <w:rPr>
          <w:rFonts w:ascii="Times New Roman" w:hint="eastAsia"/>
          <w:sz w:val="24"/>
          <w:szCs w:val="24"/>
        </w:rPr>
        <w:t>資料來源：財政部</w:t>
      </w:r>
      <w:r>
        <w:rPr>
          <w:rFonts w:ascii="Times New Roman"/>
          <w:sz w:val="24"/>
          <w:szCs w:val="24"/>
        </w:rPr>
        <w:t>104</w:t>
      </w:r>
      <w:r>
        <w:rPr>
          <w:rFonts w:ascii="Times New Roman" w:hint="eastAsia"/>
          <w:sz w:val="24"/>
          <w:szCs w:val="24"/>
        </w:rPr>
        <w:t>年</w:t>
      </w:r>
      <w:r>
        <w:rPr>
          <w:rFonts w:ascii="Times New Roman"/>
          <w:sz w:val="24"/>
          <w:szCs w:val="24"/>
        </w:rPr>
        <w:t>9</w:t>
      </w:r>
      <w:r>
        <w:rPr>
          <w:rFonts w:ascii="Times New Roman" w:hint="eastAsia"/>
          <w:sz w:val="24"/>
          <w:szCs w:val="24"/>
        </w:rPr>
        <w:t>月</w:t>
      </w:r>
      <w:r>
        <w:rPr>
          <w:rFonts w:ascii="Times New Roman"/>
          <w:sz w:val="24"/>
          <w:szCs w:val="24"/>
        </w:rPr>
        <w:t>25</w:t>
      </w:r>
      <w:r>
        <w:rPr>
          <w:rFonts w:ascii="Times New Roman" w:hint="eastAsia"/>
          <w:sz w:val="24"/>
          <w:szCs w:val="24"/>
        </w:rPr>
        <w:t>日台財庫字第</w:t>
      </w:r>
      <w:r>
        <w:rPr>
          <w:rFonts w:ascii="Times New Roman"/>
          <w:sz w:val="24"/>
          <w:szCs w:val="24"/>
        </w:rPr>
        <w:t>10403748320</w:t>
      </w:r>
      <w:r>
        <w:rPr>
          <w:rFonts w:ascii="Times New Roman" w:hint="eastAsia"/>
          <w:sz w:val="24"/>
          <w:szCs w:val="24"/>
        </w:rPr>
        <w:t>號函及該部</w:t>
      </w:r>
      <w:r>
        <w:rPr>
          <w:rFonts w:ascii="Times New Roman" w:hint="eastAsia"/>
          <w:spacing w:val="-18"/>
          <w:sz w:val="24"/>
          <w:szCs w:val="24"/>
        </w:rPr>
        <w:t>國庫署網站「公益彩券盈餘分配辦理社會福利事業情形彙總表」。</w:t>
      </w:r>
    </w:p>
    <w:p w:rsidR="0040606A" w:rsidRDefault="0040606A" w:rsidP="0040606A">
      <w:pPr>
        <w:pStyle w:val="3"/>
        <w:numPr>
          <w:ilvl w:val="2"/>
          <w:numId w:val="9"/>
        </w:numPr>
        <w:topLinePunct/>
        <w:ind w:left="1360" w:hanging="680"/>
        <w:rPr>
          <w:rFonts w:ascii="Times New Roman" w:hAnsi="Times New Roman"/>
          <w:spacing w:val="-8"/>
        </w:rPr>
      </w:pPr>
      <w:bookmarkStart w:id="1882" w:name="_Toc507518632"/>
      <w:bookmarkStart w:id="1883" w:name="_Toc507767744"/>
      <w:bookmarkStart w:id="1884" w:name="_Toc507768470"/>
      <w:bookmarkStart w:id="1885" w:name="_Toc511115466"/>
      <w:bookmarkStart w:id="1886" w:name="_Toc511308256"/>
      <w:bookmarkStart w:id="1887" w:name="_Toc511998700"/>
      <w:bookmarkStart w:id="1888" w:name="_Toc512421057"/>
      <w:r>
        <w:rPr>
          <w:rFonts w:ascii="Times New Roman" w:hAnsi="Times New Roman" w:hint="eastAsia"/>
          <w:spacing w:val="-8"/>
        </w:rPr>
        <w:t>針對前述差異情事，財政部於詢問書面資料說明略以：</w:t>
      </w:r>
      <w:bookmarkEnd w:id="1882"/>
      <w:bookmarkEnd w:id="1883"/>
      <w:bookmarkEnd w:id="1884"/>
      <w:bookmarkEnd w:id="1885"/>
      <w:bookmarkEnd w:id="1886"/>
      <w:bookmarkEnd w:id="1887"/>
      <w:bookmarkEnd w:id="1888"/>
    </w:p>
    <w:p w:rsidR="0040606A" w:rsidRDefault="0040606A" w:rsidP="0040606A">
      <w:pPr>
        <w:pStyle w:val="4"/>
        <w:numPr>
          <w:ilvl w:val="3"/>
          <w:numId w:val="9"/>
        </w:numPr>
        <w:kinsoku w:val="0"/>
        <w:rPr>
          <w:rFonts w:ascii="Times New Roman" w:hAnsi="Times New Roman"/>
          <w:bCs/>
          <w:spacing w:val="-2"/>
        </w:rPr>
      </w:pPr>
      <w:r>
        <w:rPr>
          <w:rFonts w:ascii="Times New Roman" w:hAnsi="Times New Roman" w:hint="eastAsia"/>
          <w:bCs/>
          <w:spacing w:val="-2"/>
        </w:rPr>
        <w:t>依據公益彩券發行條例第</w:t>
      </w:r>
      <w:r>
        <w:rPr>
          <w:rFonts w:ascii="Times New Roman" w:hAnsi="Times New Roman"/>
          <w:bCs/>
          <w:spacing w:val="-2"/>
        </w:rPr>
        <w:t>7</w:t>
      </w:r>
      <w:r>
        <w:rPr>
          <w:rFonts w:ascii="Times New Roman" w:hAnsi="Times New Roman" w:hint="eastAsia"/>
          <w:bCs/>
          <w:spacing w:val="-2"/>
        </w:rPr>
        <w:t>條規定，發行機構應於每月終了，將公益彩券發行情形作成營業報告書，併同損益表、獎金支出情形、盈餘分配表及銷管費用明細表，於次月</w:t>
      </w:r>
      <w:r>
        <w:rPr>
          <w:rFonts w:ascii="Times New Roman" w:hAnsi="Times New Roman"/>
          <w:bCs/>
          <w:spacing w:val="-2"/>
        </w:rPr>
        <w:t>15</w:t>
      </w:r>
      <w:r>
        <w:rPr>
          <w:rFonts w:ascii="Times New Roman" w:hAnsi="Times New Roman" w:hint="eastAsia"/>
          <w:bCs/>
          <w:spacing w:val="-2"/>
        </w:rPr>
        <w:t>日前報請主管機關備查。按上開規定，公益彩券盈餘係採次月辦理分配及撥付上月盈餘，例如</w:t>
      </w:r>
      <w:r>
        <w:rPr>
          <w:rFonts w:ascii="Times New Roman" w:hAnsi="Times New Roman"/>
          <w:bCs/>
          <w:spacing w:val="-2"/>
        </w:rPr>
        <w:t>104</w:t>
      </w:r>
      <w:r>
        <w:rPr>
          <w:rFonts w:ascii="Times New Roman" w:hAnsi="Times New Roman" w:hint="eastAsia"/>
          <w:bCs/>
          <w:spacing w:val="-2"/>
        </w:rPr>
        <w:t>年</w:t>
      </w:r>
      <w:r>
        <w:rPr>
          <w:rFonts w:ascii="Times New Roman" w:hAnsi="Times New Roman"/>
          <w:bCs/>
          <w:spacing w:val="-2"/>
        </w:rPr>
        <w:t>12</w:t>
      </w:r>
      <w:r>
        <w:rPr>
          <w:rFonts w:ascii="Times New Roman" w:hAnsi="Times New Roman" w:hint="eastAsia"/>
          <w:bCs/>
          <w:spacing w:val="-2"/>
        </w:rPr>
        <w:t>月公益彩券銷售盈餘，於</w:t>
      </w:r>
      <w:r>
        <w:rPr>
          <w:rFonts w:ascii="Times New Roman" w:hAnsi="Times New Roman"/>
          <w:bCs/>
          <w:spacing w:val="-2"/>
        </w:rPr>
        <w:t>105</w:t>
      </w:r>
      <w:r>
        <w:rPr>
          <w:rFonts w:ascii="Times New Roman" w:hAnsi="Times New Roman" w:hint="eastAsia"/>
          <w:bCs/>
          <w:spacing w:val="-2"/>
        </w:rPr>
        <w:t>年</w:t>
      </w:r>
      <w:r>
        <w:rPr>
          <w:rFonts w:ascii="Times New Roman" w:hAnsi="Times New Roman"/>
          <w:bCs/>
          <w:spacing w:val="-2"/>
        </w:rPr>
        <w:t>1</w:t>
      </w:r>
      <w:r>
        <w:rPr>
          <w:rFonts w:ascii="Times New Roman" w:hAnsi="Times New Roman" w:hint="eastAsia"/>
          <w:bCs/>
          <w:spacing w:val="-2"/>
        </w:rPr>
        <w:t>月辦理分配及撥付。</w:t>
      </w:r>
    </w:p>
    <w:p w:rsidR="0040606A" w:rsidRDefault="0040606A" w:rsidP="0040606A">
      <w:pPr>
        <w:pStyle w:val="4"/>
        <w:numPr>
          <w:ilvl w:val="3"/>
          <w:numId w:val="9"/>
        </w:numPr>
        <w:topLinePunct/>
        <w:rPr>
          <w:rFonts w:ascii="Times New Roman" w:hAnsi="Times New Roman"/>
          <w:bCs/>
        </w:rPr>
      </w:pPr>
      <w:r>
        <w:rPr>
          <w:rFonts w:ascii="Times New Roman" w:hAnsi="Times New Roman" w:hint="eastAsia"/>
          <w:bCs/>
        </w:rPr>
        <w:t>該部於國庫署網頁公告之公益彩券盈餘供地方政府社會福利支出之分配款</w:t>
      </w:r>
      <w:r>
        <w:rPr>
          <w:rFonts w:ascii="Times New Roman" w:hAnsi="Times New Roman"/>
          <w:bCs/>
        </w:rPr>
        <w:t>(</w:t>
      </w:r>
      <w:r>
        <w:rPr>
          <w:rFonts w:ascii="Times New Roman" w:hAnsi="Times New Roman" w:hint="eastAsia"/>
          <w:bCs/>
        </w:rPr>
        <w:t>即前表</w:t>
      </w:r>
      <w:r w:rsidR="00016B23">
        <w:rPr>
          <w:rFonts w:ascii="Times New Roman" w:hAnsi="Times New Roman" w:hint="eastAsia"/>
          <w:bCs/>
        </w:rPr>
        <w:t>17)</w:t>
      </w:r>
      <w:r>
        <w:rPr>
          <w:rFonts w:ascii="Times New Roman" w:hAnsi="Times New Roman" w:hint="eastAsia"/>
          <w:bCs/>
        </w:rPr>
        <w:t>，係依當年發行盈餘分配情形統計；而各地方政府獲配數額總計係以各地方政府獲配盈餘入帳時點</w:t>
      </w:r>
      <w:r w:rsidR="00BD6B73">
        <w:rPr>
          <w:rFonts w:ascii="Times New Roman" w:hAnsi="Times New Roman" w:hint="eastAsia"/>
          <w:bCs/>
        </w:rPr>
        <w:t>進行</w:t>
      </w:r>
      <w:r>
        <w:rPr>
          <w:rFonts w:ascii="Times New Roman" w:hAnsi="Times New Roman" w:hint="eastAsia"/>
          <w:bCs/>
        </w:rPr>
        <w:t>統計</w:t>
      </w:r>
      <w:r>
        <w:rPr>
          <w:rFonts w:ascii="Times New Roman" w:hAnsi="Times New Roman"/>
          <w:bCs/>
        </w:rPr>
        <w:t>(</w:t>
      </w:r>
      <w:r>
        <w:rPr>
          <w:rFonts w:ascii="Times New Roman" w:hAnsi="Times New Roman" w:hint="eastAsia"/>
          <w:bCs/>
        </w:rPr>
        <w:t>即前表</w:t>
      </w:r>
      <w:r w:rsidR="00016B23">
        <w:rPr>
          <w:rFonts w:ascii="Times New Roman" w:hAnsi="Times New Roman" w:hint="eastAsia"/>
          <w:bCs/>
        </w:rPr>
        <w:t>18</w:t>
      </w:r>
      <w:r>
        <w:rPr>
          <w:rFonts w:ascii="Times New Roman" w:hAnsi="Times New Roman"/>
          <w:bCs/>
        </w:rPr>
        <w:t>)</w:t>
      </w:r>
      <w:r>
        <w:rPr>
          <w:rFonts w:ascii="Times New Roman" w:hAnsi="Times New Roman" w:hint="eastAsia"/>
          <w:bCs/>
        </w:rPr>
        <w:t>，公益彩券盈餘採次月辦理分配及撥付上個月盈餘，爰前後</w:t>
      </w:r>
      <w:r>
        <w:rPr>
          <w:rFonts w:ascii="Times New Roman" w:hAnsi="Times New Roman"/>
          <w:bCs/>
        </w:rPr>
        <w:t>2</w:t>
      </w:r>
      <w:r>
        <w:rPr>
          <w:rFonts w:ascii="Times New Roman" w:hAnsi="Times New Roman" w:hint="eastAsia"/>
          <w:bCs/>
        </w:rPr>
        <w:t>項統計表統計期間不同</w:t>
      </w:r>
      <w:r w:rsidR="00BD6B73">
        <w:rPr>
          <w:rFonts w:ascii="Times New Roman" w:hAnsi="Times New Roman" w:hint="eastAsia"/>
          <w:bCs/>
        </w:rPr>
        <w:t>而</w:t>
      </w:r>
      <w:r>
        <w:rPr>
          <w:rFonts w:ascii="Times New Roman" w:hAnsi="Times New Roman" w:hint="eastAsia"/>
          <w:bCs/>
        </w:rPr>
        <w:t>產生時間落差</w:t>
      </w:r>
      <w:r w:rsidR="00BD6B73">
        <w:rPr>
          <w:rFonts w:ascii="Times New Roman" w:hAnsi="Times New Roman" w:hint="eastAsia"/>
          <w:bCs/>
        </w:rPr>
        <w:t>。</w:t>
      </w:r>
      <w:r>
        <w:rPr>
          <w:rFonts w:ascii="Times New Roman" w:hAnsi="Times New Roman" w:hint="eastAsia"/>
          <w:bCs/>
        </w:rPr>
        <w:t>換言之，以</w:t>
      </w:r>
      <w:r>
        <w:rPr>
          <w:rFonts w:ascii="Times New Roman" w:hAnsi="Times New Roman"/>
          <w:bCs/>
        </w:rPr>
        <w:t>105</w:t>
      </w:r>
      <w:r>
        <w:rPr>
          <w:rFonts w:ascii="Times New Roman" w:hAnsi="Times New Roman" w:hint="eastAsia"/>
          <w:bCs/>
        </w:rPr>
        <w:t>年度為例，前者</w:t>
      </w:r>
      <w:r>
        <w:rPr>
          <w:rFonts w:ascii="Times New Roman" w:hAnsi="Times New Roman"/>
          <w:bCs/>
        </w:rPr>
        <w:t>(</w:t>
      </w:r>
      <w:r>
        <w:rPr>
          <w:rFonts w:ascii="Times New Roman" w:hAnsi="Times New Roman" w:hint="eastAsia"/>
          <w:bCs/>
        </w:rPr>
        <w:t>即</w:t>
      </w:r>
      <w:r w:rsidR="00016B23">
        <w:rPr>
          <w:rFonts w:ascii="Times New Roman" w:hAnsi="Times New Roman" w:hint="eastAsia"/>
          <w:bCs/>
        </w:rPr>
        <w:t>前</w:t>
      </w:r>
      <w:r>
        <w:rPr>
          <w:rFonts w:ascii="Times New Roman" w:hAnsi="Times New Roman" w:hint="eastAsia"/>
          <w:bCs/>
        </w:rPr>
        <w:t>表</w:t>
      </w:r>
      <w:r w:rsidR="00016B23">
        <w:rPr>
          <w:rFonts w:ascii="Times New Roman" w:hAnsi="Times New Roman" w:hint="eastAsia"/>
          <w:bCs/>
        </w:rPr>
        <w:t>17</w:t>
      </w:r>
      <w:r>
        <w:rPr>
          <w:rFonts w:ascii="Times New Roman" w:hAnsi="Times New Roman"/>
          <w:bCs/>
        </w:rPr>
        <w:t>)</w:t>
      </w:r>
      <w:r>
        <w:rPr>
          <w:rFonts w:ascii="Times New Roman" w:hAnsi="Times New Roman" w:hint="eastAsia"/>
          <w:bCs/>
        </w:rPr>
        <w:t>統計時點為</w:t>
      </w:r>
      <w:r>
        <w:rPr>
          <w:rFonts w:ascii="Times New Roman" w:hAnsi="Times New Roman"/>
          <w:bCs/>
        </w:rPr>
        <w:t>105</w:t>
      </w:r>
      <w:r>
        <w:rPr>
          <w:rFonts w:ascii="Times New Roman" w:hAnsi="Times New Roman" w:hint="eastAsia"/>
          <w:bCs/>
        </w:rPr>
        <w:t>年</w:t>
      </w:r>
      <w:r>
        <w:rPr>
          <w:rFonts w:ascii="Times New Roman" w:hAnsi="Times New Roman"/>
          <w:bCs/>
        </w:rPr>
        <w:t>1</w:t>
      </w:r>
      <w:r>
        <w:rPr>
          <w:rFonts w:ascii="Times New Roman" w:hAnsi="Times New Roman" w:hint="eastAsia"/>
          <w:bCs/>
        </w:rPr>
        <w:t>月至</w:t>
      </w:r>
      <w:r>
        <w:rPr>
          <w:rFonts w:ascii="Times New Roman" w:hAnsi="Times New Roman"/>
          <w:bCs/>
        </w:rPr>
        <w:t>12</w:t>
      </w:r>
      <w:r>
        <w:rPr>
          <w:rFonts w:ascii="Times New Roman" w:hAnsi="Times New Roman" w:hint="eastAsia"/>
          <w:bCs/>
        </w:rPr>
        <w:t>月盈餘分配情形，後表</w:t>
      </w:r>
      <w:r>
        <w:rPr>
          <w:rFonts w:ascii="Times New Roman" w:hAnsi="Times New Roman"/>
          <w:bCs/>
        </w:rPr>
        <w:t>(</w:t>
      </w:r>
      <w:r>
        <w:rPr>
          <w:rFonts w:ascii="Times New Roman" w:hAnsi="Times New Roman" w:hint="eastAsia"/>
          <w:bCs/>
        </w:rPr>
        <w:t>即</w:t>
      </w:r>
      <w:r w:rsidR="00016B23">
        <w:rPr>
          <w:rFonts w:ascii="Times New Roman" w:hAnsi="Times New Roman" w:hint="eastAsia"/>
          <w:bCs/>
        </w:rPr>
        <w:t>前</w:t>
      </w:r>
      <w:r>
        <w:rPr>
          <w:rFonts w:ascii="Times New Roman" w:hAnsi="Times New Roman" w:hint="eastAsia"/>
          <w:bCs/>
        </w:rPr>
        <w:t>表</w:t>
      </w:r>
      <w:r w:rsidR="00016B23">
        <w:rPr>
          <w:rFonts w:ascii="Times New Roman" w:hAnsi="Times New Roman" w:hint="eastAsia"/>
          <w:bCs/>
        </w:rPr>
        <w:t>18</w:t>
      </w:r>
      <w:r>
        <w:rPr>
          <w:rFonts w:ascii="Times New Roman" w:hAnsi="Times New Roman"/>
          <w:bCs/>
        </w:rPr>
        <w:t>)</w:t>
      </w:r>
      <w:r>
        <w:rPr>
          <w:rFonts w:ascii="Times New Roman" w:hAnsi="Times New Roman" w:hint="eastAsia"/>
          <w:bCs/>
        </w:rPr>
        <w:t>統計時點為</w:t>
      </w:r>
      <w:r>
        <w:rPr>
          <w:rFonts w:ascii="Times New Roman" w:hAnsi="Times New Roman"/>
          <w:bCs/>
        </w:rPr>
        <w:t>104</w:t>
      </w:r>
      <w:r>
        <w:rPr>
          <w:rFonts w:ascii="Times New Roman" w:hAnsi="Times New Roman" w:hint="eastAsia"/>
          <w:bCs/>
        </w:rPr>
        <w:t>年</w:t>
      </w:r>
      <w:r>
        <w:rPr>
          <w:rFonts w:ascii="Times New Roman" w:hAnsi="Times New Roman"/>
          <w:bCs/>
        </w:rPr>
        <w:t>12</w:t>
      </w:r>
      <w:r>
        <w:rPr>
          <w:rFonts w:ascii="Times New Roman" w:hAnsi="Times New Roman" w:hint="eastAsia"/>
          <w:bCs/>
        </w:rPr>
        <w:t>月及</w:t>
      </w:r>
      <w:r>
        <w:rPr>
          <w:rFonts w:ascii="Times New Roman" w:hAnsi="Times New Roman"/>
          <w:bCs/>
        </w:rPr>
        <w:t>105</w:t>
      </w:r>
      <w:r>
        <w:rPr>
          <w:rFonts w:ascii="Times New Roman" w:hAnsi="Times New Roman" w:hint="eastAsia"/>
          <w:bCs/>
        </w:rPr>
        <w:t>年</w:t>
      </w:r>
      <w:r>
        <w:rPr>
          <w:rFonts w:ascii="Times New Roman" w:hAnsi="Times New Roman"/>
          <w:bCs/>
        </w:rPr>
        <w:t>1</w:t>
      </w:r>
      <w:r>
        <w:rPr>
          <w:rFonts w:ascii="Times New Roman" w:hAnsi="Times New Roman" w:hint="eastAsia"/>
          <w:bCs/>
        </w:rPr>
        <w:t>月至</w:t>
      </w:r>
      <w:r>
        <w:rPr>
          <w:rFonts w:ascii="Times New Roman" w:hAnsi="Times New Roman"/>
          <w:bCs/>
        </w:rPr>
        <w:t>11</w:t>
      </w:r>
      <w:r>
        <w:rPr>
          <w:rFonts w:ascii="Times New Roman" w:hAnsi="Times New Roman" w:hint="eastAsia"/>
          <w:bCs/>
        </w:rPr>
        <w:t>月各地方政府盈餘入帳情形。</w:t>
      </w:r>
    </w:p>
    <w:p w:rsidR="0040606A" w:rsidRPr="00016B23" w:rsidRDefault="0040606A" w:rsidP="00320E09">
      <w:pPr>
        <w:pStyle w:val="3"/>
        <w:numPr>
          <w:ilvl w:val="2"/>
          <w:numId w:val="9"/>
        </w:numPr>
        <w:kinsoku w:val="0"/>
        <w:ind w:left="1360" w:hanging="680"/>
        <w:rPr>
          <w:rFonts w:ascii="Times New Roman" w:hAnsi="Times New Roman"/>
        </w:rPr>
      </w:pPr>
      <w:bookmarkStart w:id="1889" w:name="_Toc507518633"/>
      <w:bookmarkStart w:id="1890" w:name="_Toc507767745"/>
      <w:bookmarkStart w:id="1891" w:name="_Toc507768471"/>
      <w:bookmarkStart w:id="1892" w:name="_Toc511115467"/>
      <w:bookmarkStart w:id="1893" w:name="_Toc511308257"/>
      <w:bookmarkStart w:id="1894" w:name="_Toc511998701"/>
      <w:bookmarkStart w:id="1895" w:name="_Toc512421058"/>
      <w:r w:rsidRPr="00016B23">
        <w:rPr>
          <w:rFonts w:ascii="Times New Roman" w:hAnsi="Times New Roman" w:hint="eastAsia"/>
          <w:szCs w:val="48"/>
        </w:rPr>
        <w:t>財政部前述雖已澄清差異之原因，惟上開兩項統計資料皆係由該部定期公布於國庫署網站供社會各界檢視、監督，數據卻落差甚大。再查衛福部社會及家庭署網站公布之社會福利績效考核報告中有關各年度</w:t>
      </w:r>
      <w:r w:rsidR="00320E09">
        <w:rPr>
          <w:rFonts w:ascii="Times New Roman" w:hAnsi="Times New Roman" w:hint="eastAsia"/>
          <w:szCs w:val="48"/>
        </w:rPr>
        <w:t>各</w:t>
      </w:r>
      <w:r w:rsidRPr="00016B23">
        <w:rPr>
          <w:rFonts w:ascii="Times New Roman" w:hAnsi="Times New Roman" w:hint="eastAsia"/>
          <w:szCs w:val="48"/>
        </w:rPr>
        <w:t>直轄市、縣</w:t>
      </w:r>
      <w:r w:rsidRPr="00016B23">
        <w:rPr>
          <w:rFonts w:ascii="Times New Roman" w:hAnsi="Times New Roman"/>
          <w:szCs w:val="48"/>
        </w:rPr>
        <w:t>(</w:t>
      </w:r>
      <w:r w:rsidRPr="00016B23">
        <w:rPr>
          <w:rFonts w:ascii="Times New Roman" w:hAnsi="Times New Roman" w:hint="eastAsia"/>
          <w:szCs w:val="48"/>
        </w:rPr>
        <w:t>市</w:t>
      </w:r>
      <w:r w:rsidRPr="00016B23">
        <w:rPr>
          <w:rFonts w:ascii="Times New Roman" w:hAnsi="Times New Roman"/>
          <w:szCs w:val="48"/>
        </w:rPr>
        <w:t>)</w:t>
      </w:r>
      <w:r w:rsidRPr="00016B23">
        <w:rPr>
          <w:rFonts w:ascii="Times New Roman" w:hAnsi="Times New Roman" w:hint="eastAsia"/>
          <w:szCs w:val="48"/>
        </w:rPr>
        <w:t>盈餘分配數，亦摘錄自財政部國庫署</w:t>
      </w:r>
      <w:r w:rsidRPr="00016B23">
        <w:rPr>
          <w:rFonts w:ascii="Times New Roman" w:hAnsi="Times New Roman" w:hint="eastAsia"/>
        </w:rPr>
        <w:t>公益彩券</w:t>
      </w:r>
      <w:r w:rsidRPr="00016B23">
        <w:rPr>
          <w:rFonts w:ascii="Times New Roman" w:hAnsi="Times New Roman" w:hint="eastAsia"/>
          <w:szCs w:val="48"/>
        </w:rPr>
        <w:t>盈餘分配辦理社會福利運用情形彙總表</w:t>
      </w:r>
      <w:r w:rsidRPr="00016B23">
        <w:rPr>
          <w:rFonts w:ascii="Times New Roman" w:hAnsi="Times New Roman"/>
          <w:szCs w:val="48"/>
        </w:rPr>
        <w:t>(</w:t>
      </w:r>
      <w:r w:rsidRPr="00016B23">
        <w:rPr>
          <w:rFonts w:ascii="Times New Roman" w:hAnsi="Times New Roman" w:hint="eastAsia"/>
          <w:szCs w:val="48"/>
        </w:rPr>
        <w:t>即表</w:t>
      </w:r>
      <w:r w:rsidR="00320E09">
        <w:rPr>
          <w:rFonts w:ascii="Times New Roman" w:hAnsi="Times New Roman" w:hint="eastAsia"/>
          <w:szCs w:val="48"/>
        </w:rPr>
        <w:t>18</w:t>
      </w:r>
      <w:r w:rsidRPr="00016B23">
        <w:rPr>
          <w:rFonts w:ascii="Times New Roman" w:hAnsi="Times New Roman"/>
          <w:szCs w:val="48"/>
        </w:rPr>
        <w:t>)</w:t>
      </w:r>
      <w:r w:rsidRPr="00016B23">
        <w:rPr>
          <w:rFonts w:ascii="Times New Roman" w:hAnsi="Times New Roman" w:hint="eastAsia"/>
          <w:szCs w:val="48"/>
        </w:rPr>
        <w:t>，惟該數據並非</w:t>
      </w:r>
      <w:r w:rsidRPr="00016B23">
        <w:rPr>
          <w:rFonts w:ascii="Times New Roman" w:hAnsi="Times New Roman" w:hint="eastAsia"/>
        </w:rPr>
        <w:t>當年度</w:t>
      </w:r>
      <w:r w:rsidRPr="00016B23">
        <w:rPr>
          <w:rFonts w:ascii="Times New Roman" w:hAnsi="Times New Roman"/>
        </w:rPr>
        <w:t>1</w:t>
      </w:r>
      <w:r w:rsidRPr="00016B23">
        <w:rPr>
          <w:rFonts w:ascii="Times New Roman" w:hAnsi="Times New Roman" w:hint="eastAsia"/>
        </w:rPr>
        <w:t>月至</w:t>
      </w:r>
      <w:r w:rsidRPr="00016B23">
        <w:rPr>
          <w:rFonts w:ascii="Times New Roman" w:hAnsi="Times New Roman"/>
        </w:rPr>
        <w:t>12</w:t>
      </w:r>
      <w:r w:rsidRPr="00016B23">
        <w:rPr>
          <w:rFonts w:ascii="Times New Roman" w:hAnsi="Times New Roman" w:hint="eastAsia"/>
        </w:rPr>
        <w:t>月完整</w:t>
      </w:r>
      <w:r w:rsidRPr="00016B23">
        <w:rPr>
          <w:rFonts w:ascii="Times New Roman" w:hAnsi="Times New Roman" w:hint="eastAsia"/>
          <w:szCs w:val="48"/>
        </w:rPr>
        <w:t>資料。</w:t>
      </w:r>
      <w:r w:rsidRPr="00016B23">
        <w:rPr>
          <w:rFonts w:ascii="Times New Roman" w:hAnsi="Times New Roman" w:hint="eastAsia"/>
        </w:rPr>
        <w:t>財政部於本院詢問時坦言：該部也發現原因，之後會以顯著的方式加以說明；此涉及與發行機構銷售報告的勾稽比對，會後再與各地方政府研商因應對策等語。</w:t>
      </w:r>
      <w:bookmarkEnd w:id="1889"/>
      <w:bookmarkEnd w:id="1890"/>
      <w:bookmarkEnd w:id="1891"/>
      <w:bookmarkEnd w:id="1892"/>
      <w:bookmarkEnd w:id="1893"/>
      <w:bookmarkEnd w:id="1894"/>
      <w:bookmarkEnd w:id="1895"/>
    </w:p>
    <w:p w:rsidR="0040606A" w:rsidRPr="00320E09" w:rsidRDefault="0040606A" w:rsidP="0040606A">
      <w:pPr>
        <w:pStyle w:val="3"/>
        <w:numPr>
          <w:ilvl w:val="2"/>
          <w:numId w:val="9"/>
        </w:numPr>
        <w:kinsoku w:val="0"/>
        <w:ind w:left="1360" w:hanging="680"/>
        <w:rPr>
          <w:rFonts w:ascii="Times New Roman" w:hAnsi="Times New Roman"/>
          <w:szCs w:val="32"/>
        </w:rPr>
      </w:pPr>
      <w:bookmarkStart w:id="1896" w:name="_Toc507518634"/>
      <w:bookmarkStart w:id="1897" w:name="_Toc507767746"/>
      <w:bookmarkStart w:id="1898" w:name="_Toc507768472"/>
      <w:bookmarkStart w:id="1899" w:name="_Toc511115468"/>
      <w:bookmarkStart w:id="1900" w:name="_Toc511308258"/>
      <w:bookmarkStart w:id="1901" w:name="_Toc511998702"/>
      <w:bookmarkStart w:id="1902" w:name="_Toc512421059"/>
      <w:r w:rsidRPr="00320E09">
        <w:rPr>
          <w:rFonts w:ascii="Times New Roman" w:hAnsi="Times New Roman" w:hint="eastAsia"/>
          <w:szCs w:val="32"/>
        </w:rPr>
        <w:t>綜上，</w:t>
      </w:r>
      <w:bookmarkEnd w:id="1896"/>
      <w:r w:rsidRPr="00320E09">
        <w:rPr>
          <w:rFonts w:ascii="Times New Roman" w:hAnsi="Times New Roman" w:hint="eastAsia"/>
        </w:rPr>
        <w:t>財政部國庫署網站定期公布之「公益彩券盈餘分配及銷售量簡表」中有關分配予地方政府辦理社會福利的金額，與該部國庫署網站另定期公布之「公益彩券盈餘分配辦理社會福利事業情形彙總表」中有關</w:t>
      </w:r>
      <w:r w:rsidRPr="00320E09">
        <w:rPr>
          <w:rFonts w:ascii="Times New Roman" w:hAnsi="Times New Roman"/>
        </w:rPr>
        <w:t>22</w:t>
      </w:r>
      <w:r w:rsidRPr="00320E09">
        <w:rPr>
          <w:rFonts w:ascii="Times New Roman" w:hAnsi="Times New Roman" w:hint="eastAsia"/>
        </w:rPr>
        <w:t>個縣市獲配公益彩券盈餘總計的金額，</w:t>
      </w:r>
      <w:r w:rsidR="00320E09" w:rsidRPr="00320E09">
        <w:rPr>
          <w:rFonts w:ascii="Times New Roman" w:hAnsi="Times New Roman" w:hint="eastAsia"/>
        </w:rPr>
        <w:t>兩項統計數據存有差異</w:t>
      </w:r>
      <w:r w:rsidRPr="00320E09">
        <w:rPr>
          <w:rFonts w:ascii="Times New Roman" w:hAnsi="Times New Roman" w:hint="eastAsia"/>
        </w:rPr>
        <w:t>，以</w:t>
      </w:r>
      <w:r w:rsidRPr="00320E09">
        <w:rPr>
          <w:rFonts w:ascii="Times New Roman" w:hAnsi="Times New Roman"/>
        </w:rPr>
        <w:t>105</w:t>
      </w:r>
      <w:r w:rsidRPr="00320E09">
        <w:rPr>
          <w:rFonts w:ascii="Times New Roman" w:hAnsi="Times New Roman" w:hint="eastAsia"/>
        </w:rPr>
        <w:t>年為例，差異達</w:t>
      </w:r>
      <w:r w:rsidRPr="00320E09">
        <w:rPr>
          <w:rFonts w:ascii="Times New Roman" w:hAnsi="Times New Roman"/>
        </w:rPr>
        <w:t>43</w:t>
      </w:r>
      <w:r w:rsidRPr="00320E09">
        <w:rPr>
          <w:rFonts w:ascii="Times New Roman" w:hAnsi="Times New Roman" w:hint="eastAsia"/>
        </w:rPr>
        <w:t>億餘元，該差異係因前者為當年度</w:t>
      </w:r>
      <w:r w:rsidRPr="00320E09">
        <w:rPr>
          <w:rFonts w:ascii="Times New Roman" w:hAnsi="Times New Roman"/>
        </w:rPr>
        <w:t>1</w:t>
      </w:r>
      <w:r w:rsidRPr="00320E09">
        <w:rPr>
          <w:rFonts w:ascii="Times New Roman" w:hAnsi="Times New Roman" w:hint="eastAsia"/>
        </w:rPr>
        <w:t>月至</w:t>
      </w:r>
      <w:r w:rsidRPr="00320E09">
        <w:rPr>
          <w:rFonts w:ascii="Times New Roman" w:hAnsi="Times New Roman"/>
        </w:rPr>
        <w:t>12</w:t>
      </w:r>
      <w:r w:rsidRPr="00320E09">
        <w:rPr>
          <w:rFonts w:ascii="Times New Roman" w:hAnsi="Times New Roman" w:hint="eastAsia"/>
        </w:rPr>
        <w:t>月完整資料，後者則為前一年度</w:t>
      </w:r>
      <w:r w:rsidRPr="00320E09">
        <w:rPr>
          <w:rFonts w:ascii="Times New Roman" w:hAnsi="Times New Roman"/>
        </w:rPr>
        <w:t>12</w:t>
      </w:r>
      <w:r w:rsidRPr="00320E09">
        <w:rPr>
          <w:rFonts w:ascii="Times New Roman" w:hAnsi="Times New Roman" w:hint="eastAsia"/>
        </w:rPr>
        <w:t>月至當年度</w:t>
      </w:r>
      <w:r w:rsidRPr="00320E09">
        <w:rPr>
          <w:rFonts w:ascii="Times New Roman" w:hAnsi="Times New Roman"/>
        </w:rPr>
        <w:t>1</w:t>
      </w:r>
      <w:r w:rsidRPr="00320E09">
        <w:rPr>
          <w:rFonts w:ascii="Times New Roman" w:hAnsi="Times New Roman" w:hint="eastAsia"/>
        </w:rPr>
        <w:t>月至</w:t>
      </w:r>
      <w:r w:rsidRPr="00320E09">
        <w:rPr>
          <w:rFonts w:ascii="Times New Roman" w:hAnsi="Times New Roman"/>
        </w:rPr>
        <w:t>11</w:t>
      </w:r>
      <w:r w:rsidRPr="00320E09">
        <w:rPr>
          <w:rFonts w:ascii="Times New Roman" w:hAnsi="Times New Roman" w:hint="eastAsia"/>
        </w:rPr>
        <w:t>月資料，此造成兩者數據落差甚大，不利於社會各界檢視，易遭非議，該部應</w:t>
      </w:r>
      <w:r w:rsidR="00D163D7" w:rsidRPr="00320E09">
        <w:rPr>
          <w:rFonts w:ascii="Times New Roman" w:hAnsi="Times New Roman" w:hint="eastAsia"/>
        </w:rPr>
        <w:t>速</w:t>
      </w:r>
      <w:r w:rsidRPr="00320E09">
        <w:rPr>
          <w:rFonts w:ascii="Times New Roman" w:hAnsi="Times New Roman" w:hint="eastAsia"/>
        </w:rPr>
        <w:t>檢討改進。</w:t>
      </w:r>
      <w:bookmarkEnd w:id="1897"/>
      <w:bookmarkEnd w:id="1898"/>
      <w:bookmarkEnd w:id="1899"/>
      <w:bookmarkEnd w:id="1900"/>
      <w:bookmarkEnd w:id="1901"/>
      <w:bookmarkEnd w:id="1902"/>
    </w:p>
    <w:p w:rsidR="0040606A" w:rsidRDefault="0040606A" w:rsidP="0040606A">
      <w:pPr>
        <w:pStyle w:val="2"/>
        <w:numPr>
          <w:ilvl w:val="1"/>
          <w:numId w:val="9"/>
        </w:numPr>
        <w:kinsoku w:val="0"/>
        <w:ind w:left="1344" w:hanging="1004"/>
        <w:rPr>
          <w:rFonts w:ascii="Times New Roman" w:hAnsi="Times New Roman"/>
          <w:b/>
        </w:rPr>
      </w:pPr>
      <w:bookmarkStart w:id="1903" w:name="_Toc507518650"/>
      <w:bookmarkStart w:id="1904" w:name="_Toc507767747"/>
      <w:bookmarkStart w:id="1905" w:name="_Toc511115469"/>
      <w:bookmarkStart w:id="1906" w:name="_Toc512421060"/>
      <w:bookmarkStart w:id="1907" w:name="_Toc507073002"/>
      <w:bookmarkEnd w:id="1613"/>
      <w:r>
        <w:rPr>
          <w:rFonts w:ascii="Times New Roman" w:hAnsi="Times New Roman" w:hint="eastAsia"/>
          <w:b/>
        </w:rPr>
        <w:t>金門縣政府將獲配之公益彩券盈餘納入該縣社會福利基金專戶中，惟該基金內尚有各界捐款及以前年度運用之剩餘款，該府對於該分配款之孳息卻未</w:t>
      </w:r>
      <w:r w:rsidR="00320E09">
        <w:rPr>
          <w:rFonts w:ascii="Times New Roman" w:hAnsi="Times New Roman" w:hint="eastAsia"/>
          <w:b/>
        </w:rPr>
        <w:t>能</w:t>
      </w:r>
      <w:r>
        <w:rPr>
          <w:rFonts w:ascii="Times New Roman" w:hAnsi="Times New Roman" w:hint="eastAsia"/>
          <w:b/>
        </w:rPr>
        <w:t>落實專款專用；又，基隆市政府原以統收統支方式管理運用公益彩券盈餘分配款，嗣於</w:t>
      </w:r>
      <w:r>
        <w:rPr>
          <w:rFonts w:ascii="Times New Roman" w:hAnsi="Times New Roman"/>
          <w:b/>
        </w:rPr>
        <w:t>94</w:t>
      </w:r>
      <w:r>
        <w:rPr>
          <w:rFonts w:ascii="Times New Roman" w:hAnsi="Times New Roman" w:hint="eastAsia"/>
          <w:b/>
        </w:rPr>
        <w:t>年成立公益彩券盈餘分配基金後，卻未將該</w:t>
      </w:r>
      <w:r w:rsidR="00320E09">
        <w:rPr>
          <w:rFonts w:ascii="Times New Roman" w:hAnsi="Times New Roman" w:hint="eastAsia"/>
          <w:b/>
        </w:rPr>
        <w:t>盈餘分配款</w:t>
      </w:r>
      <w:r>
        <w:rPr>
          <w:rFonts w:ascii="Times New Roman" w:hAnsi="Times New Roman" w:hint="eastAsia"/>
          <w:b/>
        </w:rPr>
        <w:t>全數轉入該</w:t>
      </w:r>
      <w:r w:rsidR="00320E09">
        <w:rPr>
          <w:rFonts w:ascii="Times New Roman" w:hAnsi="Times New Roman" w:hint="eastAsia"/>
          <w:b/>
        </w:rPr>
        <w:t>基金</w:t>
      </w:r>
      <w:r>
        <w:rPr>
          <w:rFonts w:ascii="Times New Roman" w:hAnsi="Times New Roman" w:hint="eastAsia"/>
          <w:b/>
        </w:rPr>
        <w:t>專戶，仍有</w:t>
      </w:r>
      <w:r>
        <w:rPr>
          <w:rFonts w:ascii="Times New Roman" w:hAnsi="Times New Roman"/>
          <w:b/>
        </w:rPr>
        <w:t>1,609</w:t>
      </w:r>
      <w:r>
        <w:rPr>
          <w:rFonts w:ascii="Times New Roman" w:hAnsi="Times New Roman" w:hint="eastAsia"/>
          <w:b/>
        </w:rPr>
        <w:t>萬</w:t>
      </w:r>
      <w:r>
        <w:rPr>
          <w:rFonts w:ascii="Times New Roman" w:hAnsi="Times New Roman"/>
          <w:b/>
        </w:rPr>
        <w:t>6,689</w:t>
      </w:r>
      <w:r>
        <w:rPr>
          <w:rFonts w:ascii="Times New Roman" w:hAnsi="Times New Roman" w:hint="eastAsia"/>
          <w:b/>
        </w:rPr>
        <w:t>元留存於市庫，財政部應予督促檢討改進。</w:t>
      </w:r>
      <w:bookmarkEnd w:id="1903"/>
      <w:bookmarkEnd w:id="1904"/>
      <w:bookmarkEnd w:id="1905"/>
      <w:bookmarkEnd w:id="1906"/>
    </w:p>
    <w:p w:rsidR="0040606A" w:rsidRDefault="0040606A" w:rsidP="0040606A">
      <w:pPr>
        <w:pStyle w:val="3"/>
        <w:numPr>
          <w:ilvl w:val="2"/>
          <w:numId w:val="9"/>
        </w:numPr>
        <w:kinsoku w:val="0"/>
        <w:rPr>
          <w:rFonts w:ascii="Times New Roman" w:hAnsi="Times New Roman"/>
        </w:rPr>
      </w:pPr>
      <w:bookmarkStart w:id="1908" w:name="_Toc507518651"/>
      <w:bookmarkStart w:id="1909" w:name="_Toc507491634"/>
      <w:bookmarkStart w:id="1910" w:name="_Toc507484802"/>
      <w:bookmarkStart w:id="1911" w:name="_Toc507767748"/>
      <w:bookmarkStart w:id="1912" w:name="_Toc507768474"/>
      <w:bookmarkStart w:id="1913" w:name="_Toc511115470"/>
      <w:bookmarkStart w:id="1914" w:name="_Toc511308260"/>
      <w:bookmarkStart w:id="1915" w:name="_Toc511998704"/>
      <w:bookmarkStart w:id="1916" w:name="_Toc512421061"/>
      <w:bookmarkStart w:id="1917" w:name="_Toc507403656"/>
      <w:bookmarkStart w:id="1918" w:name="_Toc507359663"/>
      <w:r>
        <w:rPr>
          <w:rFonts w:ascii="Times New Roman" w:hAnsi="Times New Roman" w:hint="eastAsia"/>
          <w:b/>
        </w:rPr>
        <w:t>有關金門縣政府對於公益彩券盈餘分配款之</w:t>
      </w:r>
      <w:r>
        <w:rPr>
          <w:rFonts w:hint="eastAsia"/>
          <w:b/>
        </w:rPr>
        <w:t>孳息</w:t>
      </w:r>
      <w:r>
        <w:rPr>
          <w:rFonts w:ascii="Times New Roman" w:hAnsi="Times New Roman" w:hint="eastAsia"/>
          <w:b/>
        </w:rPr>
        <w:t>未能專款專用</w:t>
      </w:r>
      <w:r>
        <w:rPr>
          <w:rFonts w:hint="eastAsia"/>
          <w:b/>
        </w:rPr>
        <w:t>部分：</w:t>
      </w:r>
      <w:bookmarkEnd w:id="1908"/>
      <w:bookmarkEnd w:id="1909"/>
      <w:bookmarkEnd w:id="1910"/>
      <w:bookmarkEnd w:id="1911"/>
      <w:bookmarkEnd w:id="1912"/>
      <w:bookmarkEnd w:id="1913"/>
      <w:bookmarkEnd w:id="1914"/>
      <w:bookmarkEnd w:id="1915"/>
      <w:bookmarkEnd w:id="1916"/>
    </w:p>
    <w:p w:rsidR="0040606A" w:rsidRDefault="0040606A" w:rsidP="0040606A">
      <w:pPr>
        <w:pStyle w:val="4"/>
        <w:numPr>
          <w:ilvl w:val="3"/>
          <w:numId w:val="9"/>
        </w:numPr>
        <w:topLinePunct/>
      </w:pPr>
      <w:bookmarkStart w:id="1919" w:name="_Toc507403657"/>
      <w:bookmarkStart w:id="1920" w:name="_Toc507359664"/>
      <w:bookmarkEnd w:id="1917"/>
      <w:bookmarkEnd w:id="1918"/>
      <w:r>
        <w:rPr>
          <w:rFonts w:hint="eastAsia"/>
        </w:rPr>
        <w:t>如前所述，各地方政府獲配之公益彩券盈餘依法應專款專用於社會福利支出項目。查金門縣政府將獲配之公益彩券盈餘係納入該縣社會福利基金專戶中管理運用，惟該基金內尚有各界捐款及以前年度運用之剩餘款，則該府有無將該</w:t>
      </w:r>
      <w:r w:rsidR="00320E09">
        <w:rPr>
          <w:rFonts w:hint="eastAsia"/>
        </w:rPr>
        <w:t>盈餘</w:t>
      </w:r>
      <w:r>
        <w:rPr>
          <w:rFonts w:hint="eastAsia"/>
        </w:rPr>
        <w:t>分配款及其孳息落實專款專用，依據審計部查復結果如下：</w:t>
      </w:r>
      <w:bookmarkEnd w:id="1919"/>
      <w:bookmarkEnd w:id="1920"/>
    </w:p>
    <w:p w:rsidR="0040606A" w:rsidRDefault="0040606A" w:rsidP="0040606A">
      <w:pPr>
        <w:pStyle w:val="5"/>
        <w:numPr>
          <w:ilvl w:val="4"/>
          <w:numId w:val="9"/>
        </w:numPr>
        <w:kinsoku w:val="0"/>
        <w:rPr>
          <w:rFonts w:ascii="Times New Roman" w:hAnsi="Times New Roman"/>
        </w:rPr>
      </w:pPr>
      <w:r>
        <w:rPr>
          <w:rFonts w:ascii="Times New Roman" w:hAnsi="Times New Roman" w:hint="eastAsia"/>
        </w:rPr>
        <w:t>金門縣政府為有效管理公益彩券盈餘之分配款及各界捐款等，設立金門縣社會福利基金，以及訂定「金門縣社會福利基金收支保管及運用辦法」，依該辦法第</w:t>
      </w:r>
      <w:r>
        <w:rPr>
          <w:rFonts w:ascii="Times New Roman" w:hAnsi="Times New Roman"/>
        </w:rPr>
        <w:t>4</w:t>
      </w:r>
      <w:r>
        <w:rPr>
          <w:rFonts w:ascii="Times New Roman" w:hAnsi="Times New Roman" w:hint="eastAsia"/>
        </w:rPr>
        <w:t>條規定略以，該基金之資金應專款專用，其支用範圍包括身心障礙者、兒童及少年、婦女、老人、低收入戶、原住民等社會福利服務及社會救助事項等相關費用。經查其執行情形，尚未發現與上開規定不符或未落實專款專用等情事。</w:t>
      </w:r>
    </w:p>
    <w:p w:rsidR="0040606A" w:rsidRDefault="0040606A" w:rsidP="0040606A">
      <w:pPr>
        <w:pStyle w:val="5"/>
        <w:numPr>
          <w:ilvl w:val="4"/>
          <w:numId w:val="9"/>
        </w:numPr>
        <w:kinsoku w:val="0"/>
        <w:rPr>
          <w:rFonts w:ascii="Times New Roman" w:hAnsi="Times New Roman"/>
        </w:rPr>
      </w:pPr>
      <w:r>
        <w:rPr>
          <w:rFonts w:ascii="Times New Roman" w:hAnsi="Times New Roman" w:hint="eastAsia"/>
        </w:rPr>
        <w:t>歷年金門縣政府均未於社會福利基金另設立專戶保管公益彩券盈餘分配款，而係將公益彩券盈餘分配款併同各界捐款、其他收入存放於該基金專戶，嗣為落實公益彩券盈餘分配款及其孳息之專款專用，雖已於</w:t>
      </w:r>
      <w:r>
        <w:rPr>
          <w:rFonts w:ascii="Times New Roman" w:hAnsi="Times New Roman"/>
        </w:rPr>
        <w:t>106</w:t>
      </w:r>
      <w:r>
        <w:rPr>
          <w:rFonts w:ascii="Times New Roman" w:hAnsi="Times New Roman" w:hint="eastAsia"/>
        </w:rPr>
        <w:t>年</w:t>
      </w:r>
      <w:r>
        <w:rPr>
          <w:rFonts w:ascii="Times New Roman" w:hAnsi="Times New Roman"/>
        </w:rPr>
        <w:t>7</w:t>
      </w:r>
      <w:r>
        <w:rPr>
          <w:rFonts w:ascii="Times New Roman" w:hAnsi="Times New Roman" w:hint="eastAsia"/>
        </w:rPr>
        <w:t>月</w:t>
      </w:r>
      <w:r>
        <w:rPr>
          <w:rFonts w:ascii="Times New Roman" w:hAnsi="Times New Roman"/>
        </w:rPr>
        <w:t>11</w:t>
      </w:r>
      <w:r>
        <w:rPr>
          <w:rFonts w:ascii="Times New Roman" w:hAnsi="Times New Roman" w:hint="eastAsia"/>
        </w:rPr>
        <w:t>日將該基金專戶內，扣除公益彩券盈餘分配款截至</w:t>
      </w:r>
      <w:r>
        <w:rPr>
          <w:rFonts w:ascii="Times New Roman" w:hAnsi="Times New Roman"/>
        </w:rPr>
        <w:t>105</w:t>
      </w:r>
      <w:r>
        <w:rPr>
          <w:rFonts w:ascii="Times New Roman" w:hAnsi="Times New Roman" w:hint="eastAsia"/>
        </w:rPr>
        <w:t>年</w:t>
      </w:r>
      <w:r>
        <w:rPr>
          <w:rFonts w:ascii="Times New Roman" w:hAnsi="Times New Roman"/>
        </w:rPr>
        <w:t>12</w:t>
      </w:r>
      <w:r>
        <w:rPr>
          <w:rFonts w:ascii="Times New Roman" w:hAnsi="Times New Roman" w:hint="eastAsia"/>
        </w:rPr>
        <w:t>月底之運用剩餘款</w:t>
      </w:r>
      <w:r>
        <w:rPr>
          <w:rFonts w:ascii="Times New Roman" w:hAnsi="Times New Roman"/>
        </w:rPr>
        <w:t>2</w:t>
      </w:r>
      <w:r w:rsidR="00320E09">
        <w:rPr>
          <w:rFonts w:ascii="Times New Roman" w:hAnsi="Times New Roman" w:hint="eastAsia"/>
        </w:rPr>
        <w:t>億</w:t>
      </w:r>
      <w:r>
        <w:rPr>
          <w:rFonts w:ascii="Times New Roman" w:hAnsi="Times New Roman"/>
        </w:rPr>
        <w:t>556</w:t>
      </w:r>
      <w:r w:rsidR="00320E09">
        <w:rPr>
          <w:rFonts w:ascii="Times New Roman" w:hAnsi="Times New Roman" w:hint="eastAsia"/>
        </w:rPr>
        <w:t>萬</w:t>
      </w:r>
      <w:r>
        <w:rPr>
          <w:rFonts w:ascii="Times New Roman" w:hAnsi="Times New Roman"/>
        </w:rPr>
        <w:t>7,258</w:t>
      </w:r>
      <w:r>
        <w:rPr>
          <w:rFonts w:ascii="Times New Roman" w:hAnsi="Times New Roman" w:hint="eastAsia"/>
        </w:rPr>
        <w:t>元後，其餘款項</w:t>
      </w:r>
      <w:r>
        <w:rPr>
          <w:rFonts w:ascii="Times New Roman" w:hAnsi="Times New Roman"/>
        </w:rPr>
        <w:t>(</w:t>
      </w:r>
      <w:r>
        <w:rPr>
          <w:rFonts w:ascii="Times New Roman" w:hAnsi="Times New Roman" w:hint="eastAsia"/>
        </w:rPr>
        <w:t>含專戶孳息</w:t>
      </w:r>
      <w:r>
        <w:rPr>
          <w:rFonts w:ascii="Times New Roman" w:hAnsi="Times New Roman"/>
        </w:rPr>
        <w:t>)</w:t>
      </w:r>
      <w:r>
        <w:rPr>
          <w:rFonts w:ascii="Times New Roman" w:hAnsi="Times New Roman" w:hint="eastAsia"/>
        </w:rPr>
        <w:t>全數轉存該府代收保管款專戶，因此，該基金專戶內之款項僅有公益彩券盈餘分配運用剩餘款，應可符合設立專戶專款專用之要求。</w:t>
      </w:r>
    </w:p>
    <w:p w:rsidR="0040606A" w:rsidRDefault="003F0FC4" w:rsidP="0040606A">
      <w:pPr>
        <w:pStyle w:val="5"/>
        <w:numPr>
          <w:ilvl w:val="4"/>
          <w:numId w:val="9"/>
        </w:numPr>
        <w:kinsoku w:val="0"/>
        <w:rPr>
          <w:rFonts w:ascii="Times New Roman" w:hAnsi="Times New Roman"/>
        </w:rPr>
      </w:pPr>
      <w:r>
        <w:rPr>
          <w:rFonts w:ascii="Times New Roman" w:hAnsi="Times New Roman" w:hint="eastAsia"/>
        </w:rPr>
        <w:t>該縣社會福利基金專戶</w:t>
      </w:r>
      <w:r w:rsidR="0040606A">
        <w:rPr>
          <w:rFonts w:ascii="Times New Roman" w:hAnsi="Times New Roman" w:hint="eastAsia"/>
        </w:rPr>
        <w:t>截至</w:t>
      </w:r>
      <w:r w:rsidR="0040606A">
        <w:rPr>
          <w:rFonts w:ascii="Times New Roman" w:hAnsi="Times New Roman"/>
        </w:rPr>
        <w:t>105</w:t>
      </w:r>
      <w:r w:rsidR="0040606A">
        <w:rPr>
          <w:rFonts w:ascii="Times New Roman" w:hAnsi="Times New Roman" w:hint="eastAsia"/>
        </w:rPr>
        <w:t>年</w:t>
      </w:r>
      <w:r w:rsidR="0040606A">
        <w:rPr>
          <w:rFonts w:ascii="Times New Roman" w:hAnsi="Times New Roman"/>
        </w:rPr>
        <w:t>12</w:t>
      </w:r>
      <w:r w:rsidR="0040606A">
        <w:rPr>
          <w:rFonts w:ascii="Times New Roman" w:hAnsi="Times New Roman" w:hint="eastAsia"/>
        </w:rPr>
        <w:t>月底之餘額，</w:t>
      </w:r>
      <w:r>
        <w:rPr>
          <w:rFonts w:ascii="Times New Roman" w:hAnsi="Times New Roman" w:hint="eastAsia"/>
        </w:rPr>
        <w:t>係</w:t>
      </w:r>
      <w:r w:rsidR="0040606A">
        <w:rPr>
          <w:rFonts w:ascii="Times New Roman" w:hAnsi="Times New Roman" w:hint="eastAsia"/>
        </w:rPr>
        <w:t>包含公益彩券盈餘分配累計待運用數</w:t>
      </w:r>
      <w:r w:rsidR="0040606A">
        <w:rPr>
          <w:rFonts w:ascii="Times New Roman" w:hAnsi="Times New Roman"/>
        </w:rPr>
        <w:t>2</w:t>
      </w:r>
      <w:r w:rsidR="0040606A">
        <w:rPr>
          <w:rFonts w:ascii="Times New Roman" w:hAnsi="Times New Roman" w:hint="eastAsia"/>
        </w:rPr>
        <w:t>億</w:t>
      </w:r>
      <w:r w:rsidR="0040606A">
        <w:rPr>
          <w:rFonts w:ascii="Times New Roman" w:hAnsi="Times New Roman"/>
        </w:rPr>
        <w:t>556</w:t>
      </w:r>
      <w:r w:rsidR="0040606A">
        <w:rPr>
          <w:rFonts w:ascii="Times New Roman" w:hAnsi="Times New Roman" w:hint="eastAsia"/>
        </w:rPr>
        <w:t>萬</w:t>
      </w:r>
      <w:r w:rsidR="0040606A">
        <w:rPr>
          <w:rFonts w:ascii="Times New Roman" w:hAnsi="Times New Roman"/>
        </w:rPr>
        <w:t>7,258</w:t>
      </w:r>
      <w:r w:rsidR="0040606A">
        <w:rPr>
          <w:rFonts w:ascii="Times New Roman" w:hAnsi="Times New Roman" w:hint="eastAsia"/>
        </w:rPr>
        <w:t>元、各界捐款及其他收入剩餘款、專戶孳息，且</w:t>
      </w:r>
      <w:r>
        <w:rPr>
          <w:rFonts w:ascii="Times New Roman" w:hAnsi="Times New Roman" w:hint="eastAsia"/>
        </w:rPr>
        <w:t>該</w:t>
      </w:r>
      <w:r w:rsidR="0040606A">
        <w:rPr>
          <w:rFonts w:ascii="Times New Roman" w:hAnsi="Times New Roman" w:hint="eastAsia"/>
        </w:rPr>
        <w:t>專戶孳息大多來自公益彩券盈餘分配款之計息。惟金門縣政府僅將公益彩券盈餘分配運用剩餘款</w:t>
      </w:r>
      <w:r w:rsidR="0040606A">
        <w:rPr>
          <w:rFonts w:ascii="Times New Roman" w:hAnsi="Times New Roman"/>
        </w:rPr>
        <w:t>2</w:t>
      </w:r>
      <w:r w:rsidR="0040606A">
        <w:rPr>
          <w:rFonts w:ascii="Times New Roman" w:hAnsi="Times New Roman" w:hint="eastAsia"/>
        </w:rPr>
        <w:t>億</w:t>
      </w:r>
      <w:r w:rsidR="0040606A">
        <w:rPr>
          <w:rFonts w:ascii="Times New Roman" w:hAnsi="Times New Roman"/>
        </w:rPr>
        <w:t>556</w:t>
      </w:r>
      <w:r w:rsidR="0040606A">
        <w:rPr>
          <w:rFonts w:ascii="Times New Roman" w:hAnsi="Times New Roman" w:hint="eastAsia"/>
        </w:rPr>
        <w:t>萬</w:t>
      </w:r>
      <w:r w:rsidR="0040606A">
        <w:rPr>
          <w:rFonts w:ascii="Times New Roman" w:hAnsi="Times New Roman"/>
        </w:rPr>
        <w:t>7,258</w:t>
      </w:r>
      <w:r w:rsidR="0040606A">
        <w:rPr>
          <w:rFonts w:ascii="Times New Roman" w:hAnsi="Times New Roman" w:hint="eastAsia"/>
        </w:rPr>
        <w:t>元留存該基金專戶，顯見公益彩券盈餘分配款於</w:t>
      </w:r>
      <w:r w:rsidR="0040606A">
        <w:rPr>
          <w:rFonts w:ascii="Times New Roman" w:hAnsi="Times New Roman"/>
        </w:rPr>
        <w:t>105</w:t>
      </w:r>
      <w:r w:rsidR="0040606A">
        <w:rPr>
          <w:rFonts w:ascii="Times New Roman" w:hAnsi="Times New Roman" w:hint="eastAsia"/>
        </w:rPr>
        <w:t>年底前之孳息均被轉存至該府代收保管款專戶，恐未能依規定專款專用公益彩券盈餘之孳息，核有欠妥。</w:t>
      </w:r>
    </w:p>
    <w:p w:rsidR="0040606A" w:rsidRDefault="0040606A" w:rsidP="0040606A">
      <w:pPr>
        <w:pStyle w:val="4"/>
        <w:numPr>
          <w:ilvl w:val="3"/>
          <w:numId w:val="9"/>
        </w:numPr>
        <w:kinsoku w:val="0"/>
        <w:rPr>
          <w:rFonts w:ascii="Times New Roman" w:hAnsi="Times New Roman"/>
        </w:rPr>
      </w:pPr>
      <w:r>
        <w:rPr>
          <w:rFonts w:ascii="Times New Roman" w:hAnsi="Times New Roman" w:hint="eastAsia"/>
        </w:rPr>
        <w:t>針對前述情事，本院經再請財政部確實查明實情，其結果如下：</w:t>
      </w:r>
    </w:p>
    <w:p w:rsidR="0040606A" w:rsidRDefault="0040606A" w:rsidP="0040606A">
      <w:pPr>
        <w:pStyle w:val="5"/>
        <w:numPr>
          <w:ilvl w:val="4"/>
          <w:numId w:val="9"/>
        </w:numPr>
        <w:kinsoku w:val="0"/>
        <w:rPr>
          <w:rFonts w:ascii="Times New Roman" w:hAnsi="Times New Roman"/>
        </w:rPr>
      </w:pPr>
      <w:r>
        <w:rPr>
          <w:rFonts w:ascii="Times New Roman" w:hAnsi="Times New Roman" w:hint="eastAsia"/>
        </w:rPr>
        <w:t>金門縣政府於</w:t>
      </w:r>
      <w:r>
        <w:rPr>
          <w:rFonts w:ascii="Times New Roman" w:hAnsi="Times New Roman"/>
        </w:rPr>
        <w:t>106</w:t>
      </w:r>
      <w:r>
        <w:rPr>
          <w:rFonts w:ascii="Times New Roman" w:hAnsi="Times New Roman" w:hint="eastAsia"/>
        </w:rPr>
        <w:t>年</w:t>
      </w:r>
      <w:r>
        <w:rPr>
          <w:rFonts w:ascii="Times New Roman" w:hAnsi="Times New Roman"/>
        </w:rPr>
        <w:t>2</w:t>
      </w:r>
      <w:r>
        <w:rPr>
          <w:rFonts w:ascii="Times New Roman" w:hAnsi="Times New Roman" w:hint="eastAsia"/>
        </w:rPr>
        <w:t>月</w:t>
      </w:r>
      <w:r>
        <w:rPr>
          <w:rFonts w:ascii="Times New Roman" w:hAnsi="Times New Roman"/>
        </w:rPr>
        <w:t>21</w:t>
      </w:r>
      <w:r>
        <w:rPr>
          <w:rFonts w:ascii="Times New Roman" w:hAnsi="Times New Roman" w:hint="eastAsia"/>
        </w:rPr>
        <w:t>日將該縣社會福利基金更名為「公益彩券盈餘分配基金專戶」，並於</w:t>
      </w:r>
      <w:r>
        <w:rPr>
          <w:rFonts w:ascii="Times New Roman" w:hAnsi="Times New Roman"/>
        </w:rPr>
        <w:t>106</w:t>
      </w:r>
      <w:r>
        <w:rPr>
          <w:rFonts w:ascii="Times New Roman" w:hAnsi="Times New Roman" w:hint="eastAsia"/>
        </w:rPr>
        <w:t>年</w:t>
      </w:r>
      <w:r>
        <w:rPr>
          <w:rFonts w:ascii="Times New Roman" w:hAnsi="Times New Roman"/>
        </w:rPr>
        <w:t>7</w:t>
      </w:r>
      <w:r>
        <w:rPr>
          <w:rFonts w:ascii="Times New Roman" w:hAnsi="Times New Roman" w:hint="eastAsia"/>
        </w:rPr>
        <w:t>月中旬將</w:t>
      </w:r>
      <w:r>
        <w:rPr>
          <w:rFonts w:ascii="Times New Roman" w:hAnsi="Times New Roman"/>
        </w:rPr>
        <w:t>105</w:t>
      </w:r>
      <w:r>
        <w:rPr>
          <w:rFonts w:ascii="Times New Roman" w:hAnsi="Times New Roman" w:hint="eastAsia"/>
        </w:rPr>
        <w:t>年度該府社會福利基金期末餘額</w:t>
      </w:r>
      <w:r>
        <w:rPr>
          <w:rFonts w:ascii="Times New Roman" w:hAnsi="Times New Roman"/>
        </w:rPr>
        <w:t>2</w:t>
      </w:r>
      <w:r>
        <w:rPr>
          <w:rFonts w:ascii="Times New Roman" w:hAnsi="Times New Roman" w:hint="eastAsia"/>
        </w:rPr>
        <w:t>億</w:t>
      </w:r>
      <w:r>
        <w:rPr>
          <w:rFonts w:ascii="Times New Roman" w:hAnsi="Times New Roman"/>
        </w:rPr>
        <w:t>4,504</w:t>
      </w:r>
      <w:r>
        <w:rPr>
          <w:rFonts w:ascii="Times New Roman" w:hAnsi="Times New Roman" w:hint="eastAsia"/>
        </w:rPr>
        <w:t>萬</w:t>
      </w:r>
      <w:r>
        <w:rPr>
          <w:rFonts w:ascii="Times New Roman" w:hAnsi="Times New Roman"/>
        </w:rPr>
        <w:t>7,004</w:t>
      </w:r>
      <w:r>
        <w:rPr>
          <w:rFonts w:ascii="Times New Roman" w:hAnsi="Times New Roman" w:hint="eastAsia"/>
        </w:rPr>
        <w:t>元與公益彩券盈餘分配累計待運用數</w:t>
      </w:r>
      <w:r>
        <w:rPr>
          <w:rFonts w:ascii="Times New Roman" w:hAnsi="Times New Roman"/>
        </w:rPr>
        <w:t>2</w:t>
      </w:r>
      <w:r>
        <w:rPr>
          <w:rFonts w:ascii="Times New Roman" w:hAnsi="Times New Roman" w:hint="eastAsia"/>
        </w:rPr>
        <w:t>億</w:t>
      </w:r>
      <w:r>
        <w:rPr>
          <w:rFonts w:ascii="Times New Roman" w:hAnsi="Times New Roman"/>
        </w:rPr>
        <w:t>556</w:t>
      </w:r>
      <w:r>
        <w:rPr>
          <w:rFonts w:ascii="Times New Roman" w:hAnsi="Times New Roman" w:hint="eastAsia"/>
        </w:rPr>
        <w:t>萬</w:t>
      </w:r>
      <w:r>
        <w:rPr>
          <w:rFonts w:ascii="Times New Roman" w:hAnsi="Times New Roman"/>
        </w:rPr>
        <w:t>7,258</w:t>
      </w:r>
      <w:r>
        <w:rPr>
          <w:rFonts w:ascii="Times New Roman" w:hAnsi="Times New Roman" w:hint="eastAsia"/>
        </w:rPr>
        <w:t>元之差額</w:t>
      </w:r>
      <w:r>
        <w:rPr>
          <w:rFonts w:ascii="Times New Roman" w:hAnsi="Times New Roman"/>
        </w:rPr>
        <w:t>3,947</w:t>
      </w:r>
      <w:r>
        <w:rPr>
          <w:rFonts w:ascii="Times New Roman" w:hAnsi="Times New Roman" w:hint="eastAsia"/>
        </w:rPr>
        <w:t>萬</w:t>
      </w:r>
      <w:r>
        <w:rPr>
          <w:rFonts w:ascii="Times New Roman" w:hAnsi="Times New Roman"/>
        </w:rPr>
        <w:t>9,746</w:t>
      </w:r>
      <w:r>
        <w:rPr>
          <w:rFonts w:ascii="Times New Roman" w:hAnsi="Times New Roman" w:hint="eastAsia"/>
        </w:rPr>
        <w:t>元轉入該府代收保管款專戶。</w:t>
      </w:r>
    </w:p>
    <w:p w:rsidR="0040606A" w:rsidRDefault="0040606A" w:rsidP="0040606A">
      <w:pPr>
        <w:pStyle w:val="5"/>
        <w:numPr>
          <w:ilvl w:val="4"/>
          <w:numId w:val="9"/>
        </w:numPr>
        <w:kinsoku w:val="0"/>
        <w:rPr>
          <w:rFonts w:ascii="Times New Roman" w:hAnsi="Times New Roman"/>
        </w:rPr>
      </w:pPr>
      <w:r>
        <w:rPr>
          <w:rFonts w:ascii="Times New Roman" w:hAnsi="Times New Roman" w:hint="eastAsia"/>
        </w:rPr>
        <w:t>上開原有彩券盈餘分配款孳息未併入「公益彩券盈餘分配基金專戶」，係因原有社會福利基金專戶有彩券盈餘歷年孳息、原社福基金原有餘額及各界捐款等，該府未能明確區分各基金結餘金額，造成混淆不清，經調閱歷史資料得知彩券盈餘分配款係</w:t>
      </w:r>
      <w:r>
        <w:rPr>
          <w:rFonts w:ascii="Times New Roman" w:hAnsi="Times New Roman"/>
        </w:rPr>
        <w:t>91</w:t>
      </w:r>
      <w:r>
        <w:rPr>
          <w:rFonts w:ascii="Times New Roman" w:hAnsi="Times New Roman" w:hint="eastAsia"/>
        </w:rPr>
        <w:t>年併入該縣社會福利基金，當時原社會福利基金原有餘額</w:t>
      </w:r>
      <w:r>
        <w:rPr>
          <w:rFonts w:ascii="Times New Roman" w:hAnsi="Times New Roman"/>
        </w:rPr>
        <w:t>1,330</w:t>
      </w:r>
      <w:r>
        <w:rPr>
          <w:rFonts w:ascii="Times New Roman" w:hAnsi="Times New Roman" w:hint="eastAsia"/>
        </w:rPr>
        <w:t>萬</w:t>
      </w:r>
      <w:r>
        <w:rPr>
          <w:rFonts w:ascii="Times New Roman" w:hAnsi="Times New Roman"/>
        </w:rPr>
        <w:t>9,000</w:t>
      </w:r>
      <w:r>
        <w:rPr>
          <w:rFonts w:ascii="Times New Roman" w:hAnsi="Times New Roman" w:hint="eastAsia"/>
        </w:rPr>
        <w:t>元、歷年各界捐款金額</w:t>
      </w:r>
      <w:r>
        <w:rPr>
          <w:rFonts w:ascii="Times New Roman" w:hAnsi="Times New Roman"/>
        </w:rPr>
        <w:t>882</w:t>
      </w:r>
      <w:r>
        <w:rPr>
          <w:rFonts w:ascii="Times New Roman" w:hAnsi="Times New Roman" w:hint="eastAsia"/>
        </w:rPr>
        <w:t>萬</w:t>
      </w:r>
      <w:r>
        <w:rPr>
          <w:rFonts w:ascii="Times New Roman" w:hAnsi="Times New Roman"/>
        </w:rPr>
        <w:t>1,037</w:t>
      </w:r>
      <w:r>
        <w:rPr>
          <w:rFonts w:ascii="Times New Roman" w:hAnsi="Times New Roman" w:hint="eastAsia"/>
        </w:rPr>
        <w:t>元及參考臺灣土地銀行歷年來活期存款年利率計算原社會福利基金歷年孳息約</w:t>
      </w:r>
      <w:r>
        <w:rPr>
          <w:rFonts w:ascii="Times New Roman" w:hAnsi="Times New Roman"/>
        </w:rPr>
        <w:t>60</w:t>
      </w:r>
      <w:r>
        <w:rPr>
          <w:rFonts w:ascii="Times New Roman" w:hAnsi="Times New Roman" w:hint="eastAsia"/>
        </w:rPr>
        <w:t>萬</w:t>
      </w:r>
      <w:r>
        <w:rPr>
          <w:rFonts w:ascii="Times New Roman" w:hAnsi="Times New Roman"/>
        </w:rPr>
        <w:t>6,890</w:t>
      </w:r>
      <w:r>
        <w:rPr>
          <w:rFonts w:ascii="Times New Roman" w:hAnsi="Times New Roman" w:hint="eastAsia"/>
        </w:rPr>
        <w:t>元，合計</w:t>
      </w:r>
      <w:r>
        <w:rPr>
          <w:rFonts w:ascii="Times New Roman" w:hAnsi="Times New Roman"/>
        </w:rPr>
        <w:t>2,273</w:t>
      </w:r>
      <w:r>
        <w:rPr>
          <w:rFonts w:ascii="Times New Roman" w:hAnsi="Times New Roman" w:hint="eastAsia"/>
        </w:rPr>
        <w:t>萬</w:t>
      </w:r>
      <w:r>
        <w:rPr>
          <w:rFonts w:ascii="Times New Roman" w:hAnsi="Times New Roman"/>
        </w:rPr>
        <w:t>6,927</w:t>
      </w:r>
      <w:r>
        <w:rPr>
          <w:rFonts w:ascii="Times New Roman" w:hAnsi="Times New Roman" w:hint="eastAsia"/>
        </w:rPr>
        <w:t>元，先前將公益彩券盈餘分配累計待運用數之差額</w:t>
      </w:r>
      <w:r>
        <w:rPr>
          <w:rFonts w:ascii="Times New Roman" w:hAnsi="Times New Roman"/>
        </w:rPr>
        <w:t>3,947</w:t>
      </w:r>
      <w:r>
        <w:rPr>
          <w:rFonts w:ascii="Times New Roman" w:hAnsi="Times New Roman" w:hint="eastAsia"/>
        </w:rPr>
        <w:t>萬</w:t>
      </w:r>
      <w:r>
        <w:rPr>
          <w:rFonts w:ascii="Times New Roman" w:hAnsi="Times New Roman"/>
        </w:rPr>
        <w:t>9,746</w:t>
      </w:r>
      <w:r>
        <w:rPr>
          <w:rFonts w:ascii="Times New Roman" w:hAnsi="Times New Roman" w:hint="eastAsia"/>
        </w:rPr>
        <w:t>元轉入該府代收保管款專戶，該府將另案辦理將多轉出之差額</w:t>
      </w:r>
      <w:r>
        <w:rPr>
          <w:rFonts w:ascii="Times New Roman" w:hAnsi="Times New Roman"/>
        </w:rPr>
        <w:t>1,674</w:t>
      </w:r>
      <w:r>
        <w:rPr>
          <w:rFonts w:ascii="Times New Roman" w:hAnsi="Times New Roman" w:hint="eastAsia"/>
        </w:rPr>
        <w:t>萬</w:t>
      </w:r>
      <w:r>
        <w:rPr>
          <w:rFonts w:ascii="Times New Roman" w:hAnsi="Times New Roman"/>
        </w:rPr>
        <w:t>2,819</w:t>
      </w:r>
      <w:r>
        <w:rPr>
          <w:rFonts w:ascii="Times New Roman" w:hAnsi="Times New Roman" w:hint="eastAsia"/>
        </w:rPr>
        <w:t>元轉回公益彩券盈餘分配基金專戶。</w:t>
      </w:r>
    </w:p>
    <w:p w:rsidR="0040606A" w:rsidRDefault="0040606A" w:rsidP="0040606A">
      <w:pPr>
        <w:pStyle w:val="4"/>
        <w:numPr>
          <w:ilvl w:val="3"/>
          <w:numId w:val="9"/>
        </w:numPr>
        <w:kinsoku w:val="0"/>
        <w:rPr>
          <w:rFonts w:ascii="Times New Roman" w:hAnsi="Times New Roman"/>
          <w:bCs/>
        </w:rPr>
      </w:pPr>
      <w:bookmarkStart w:id="1921" w:name="_Toc507403658"/>
      <w:bookmarkStart w:id="1922" w:name="_Toc507359665"/>
      <w:r>
        <w:rPr>
          <w:rFonts w:ascii="Times New Roman" w:hAnsi="Times New Roman" w:hint="eastAsia"/>
        </w:rPr>
        <w:t>據上，金門縣政府將獲配之公益彩券盈餘納入該縣社會福利基金專戶中管理運用，惟該基金內尚有各界捐款及以前年度運用之剩餘款，而該府對於該</w:t>
      </w:r>
      <w:r w:rsidR="003F0FC4">
        <w:rPr>
          <w:rFonts w:ascii="Times New Roman" w:hAnsi="Times New Roman" w:hint="eastAsia"/>
        </w:rPr>
        <w:t>盈餘</w:t>
      </w:r>
      <w:r>
        <w:rPr>
          <w:rFonts w:ascii="Times New Roman" w:hAnsi="Times New Roman" w:hint="eastAsia"/>
        </w:rPr>
        <w:t>分配款之孳息卻未</w:t>
      </w:r>
      <w:r w:rsidR="003F0FC4">
        <w:rPr>
          <w:rFonts w:ascii="Times New Roman" w:hAnsi="Times New Roman" w:hint="eastAsia"/>
        </w:rPr>
        <w:t>能</w:t>
      </w:r>
      <w:r>
        <w:rPr>
          <w:rFonts w:ascii="Times New Roman" w:hAnsi="Times New Roman" w:hint="eastAsia"/>
        </w:rPr>
        <w:t>落實專款專用，財政部應予督促檢討改進。</w:t>
      </w:r>
      <w:bookmarkEnd w:id="1921"/>
      <w:bookmarkEnd w:id="1922"/>
    </w:p>
    <w:p w:rsidR="0040606A" w:rsidRDefault="0040606A" w:rsidP="0040606A">
      <w:pPr>
        <w:pStyle w:val="3"/>
        <w:numPr>
          <w:ilvl w:val="2"/>
          <w:numId w:val="9"/>
        </w:numPr>
        <w:kinsoku w:val="0"/>
        <w:rPr>
          <w:rFonts w:ascii="Times New Roman" w:hAnsi="Times New Roman"/>
          <w:b/>
        </w:rPr>
      </w:pPr>
      <w:bookmarkStart w:id="1923" w:name="_Toc507518652"/>
      <w:bookmarkStart w:id="1924" w:name="_Toc507491635"/>
      <w:bookmarkStart w:id="1925" w:name="_Toc507484803"/>
      <w:bookmarkStart w:id="1926" w:name="_Toc507767749"/>
      <w:bookmarkStart w:id="1927" w:name="_Toc507768475"/>
      <w:bookmarkStart w:id="1928" w:name="_Toc511115471"/>
      <w:bookmarkStart w:id="1929" w:name="_Toc511308261"/>
      <w:bookmarkStart w:id="1930" w:name="_Toc511998705"/>
      <w:bookmarkStart w:id="1931" w:name="_Toc512421062"/>
      <w:r>
        <w:rPr>
          <w:rFonts w:ascii="Times New Roman" w:hAnsi="Times New Roman" w:hint="eastAsia"/>
          <w:b/>
        </w:rPr>
        <w:t>有關基隆市政府</w:t>
      </w:r>
      <w:r>
        <w:rPr>
          <w:rFonts w:ascii="Times New Roman" w:hAnsi="Times New Roman" w:hint="eastAsia"/>
          <w:b/>
          <w:szCs w:val="32"/>
        </w:rPr>
        <w:t>於</w:t>
      </w:r>
      <w:r>
        <w:rPr>
          <w:rFonts w:ascii="Times New Roman" w:hAnsi="Times New Roman"/>
          <w:b/>
          <w:szCs w:val="32"/>
        </w:rPr>
        <w:t>94</w:t>
      </w:r>
      <w:r>
        <w:rPr>
          <w:rFonts w:ascii="Times New Roman" w:hAnsi="Times New Roman" w:hint="eastAsia"/>
          <w:b/>
          <w:szCs w:val="32"/>
        </w:rPr>
        <w:t>年成立公益彩券盈餘分配基金後，未能將該基金全數轉入該專戶，仍有</w:t>
      </w:r>
      <w:r>
        <w:rPr>
          <w:rFonts w:ascii="Times New Roman" w:hAnsi="Times New Roman"/>
          <w:b/>
          <w:szCs w:val="32"/>
        </w:rPr>
        <w:t>1,609</w:t>
      </w:r>
      <w:r>
        <w:rPr>
          <w:rFonts w:ascii="Times New Roman" w:hAnsi="Times New Roman" w:hint="eastAsia"/>
          <w:b/>
          <w:szCs w:val="32"/>
        </w:rPr>
        <w:t>萬</w:t>
      </w:r>
      <w:r>
        <w:rPr>
          <w:rFonts w:ascii="Times New Roman" w:hAnsi="Times New Roman"/>
          <w:b/>
          <w:szCs w:val="32"/>
        </w:rPr>
        <w:t>6,689</w:t>
      </w:r>
      <w:r>
        <w:rPr>
          <w:rFonts w:ascii="Times New Roman" w:hAnsi="Times New Roman" w:hint="eastAsia"/>
          <w:b/>
          <w:szCs w:val="32"/>
        </w:rPr>
        <w:t>元留存於市庫部分：</w:t>
      </w:r>
      <w:bookmarkEnd w:id="1923"/>
      <w:bookmarkEnd w:id="1924"/>
      <w:bookmarkEnd w:id="1925"/>
      <w:bookmarkEnd w:id="1926"/>
      <w:bookmarkEnd w:id="1927"/>
      <w:bookmarkEnd w:id="1928"/>
      <w:bookmarkEnd w:id="1929"/>
      <w:bookmarkEnd w:id="1930"/>
      <w:bookmarkEnd w:id="1931"/>
    </w:p>
    <w:p w:rsidR="0040606A" w:rsidRPr="006A51BA" w:rsidRDefault="0040606A" w:rsidP="006A51BA">
      <w:pPr>
        <w:pStyle w:val="4"/>
        <w:numPr>
          <w:ilvl w:val="3"/>
          <w:numId w:val="9"/>
        </w:numPr>
        <w:kinsoku w:val="0"/>
        <w:rPr>
          <w:rFonts w:ascii="Times New Roman" w:hAnsi="Times New Roman"/>
          <w:b/>
          <w:spacing w:val="-2"/>
        </w:rPr>
      </w:pPr>
      <w:r w:rsidRPr="006A51BA">
        <w:rPr>
          <w:rFonts w:ascii="Times New Roman" w:hAnsi="Times New Roman" w:hint="eastAsia"/>
          <w:spacing w:val="-2"/>
          <w:szCs w:val="32"/>
        </w:rPr>
        <w:t>依據衛福部所提供之</w:t>
      </w:r>
      <w:r w:rsidRPr="006A51BA">
        <w:rPr>
          <w:rFonts w:ascii="Times New Roman" w:hAnsi="Times New Roman"/>
          <w:spacing w:val="-2"/>
          <w:szCs w:val="32"/>
        </w:rPr>
        <w:t>104</w:t>
      </w:r>
      <w:r w:rsidRPr="006A51BA">
        <w:rPr>
          <w:rFonts w:ascii="Times New Roman" w:hAnsi="Times New Roman" w:hint="eastAsia"/>
          <w:spacing w:val="-2"/>
          <w:szCs w:val="32"/>
        </w:rPr>
        <w:t>年度社會福利績效實地考核結果，</w:t>
      </w:r>
      <w:r w:rsidR="006A51BA" w:rsidRPr="006A51BA">
        <w:rPr>
          <w:rFonts w:ascii="Times New Roman" w:hAnsi="Times New Roman" w:hint="eastAsia"/>
          <w:spacing w:val="-2"/>
          <w:szCs w:val="32"/>
        </w:rPr>
        <w:t>基隆市公益彩券盈餘分配基金</w:t>
      </w:r>
      <w:r w:rsidRPr="006A51BA">
        <w:rPr>
          <w:rFonts w:ascii="Times New Roman" w:hAnsi="Times New Roman"/>
          <w:spacing w:val="-2"/>
          <w:szCs w:val="32"/>
        </w:rPr>
        <w:t>103</w:t>
      </w:r>
      <w:r w:rsidRPr="006A51BA">
        <w:rPr>
          <w:rFonts w:ascii="Times New Roman" w:hAnsi="Times New Roman" w:hint="eastAsia"/>
          <w:spacing w:val="-2"/>
          <w:szCs w:val="32"/>
        </w:rPr>
        <w:t>年</w:t>
      </w:r>
      <w:r w:rsidRPr="006A51BA">
        <w:rPr>
          <w:rFonts w:ascii="Times New Roman" w:hAnsi="Times New Roman"/>
          <w:spacing w:val="-2"/>
          <w:szCs w:val="32"/>
        </w:rPr>
        <w:t>12</w:t>
      </w:r>
      <w:r w:rsidRPr="006A51BA">
        <w:rPr>
          <w:rFonts w:ascii="Times New Roman" w:hAnsi="Times New Roman" w:hint="eastAsia"/>
          <w:spacing w:val="-2"/>
          <w:szCs w:val="32"/>
        </w:rPr>
        <w:t>月份會計報告</w:t>
      </w:r>
      <w:r w:rsidR="006A51BA" w:rsidRPr="006A51BA">
        <w:rPr>
          <w:rFonts w:ascii="Times New Roman" w:hAnsi="Times New Roman" w:hint="eastAsia"/>
          <w:spacing w:val="-2"/>
          <w:szCs w:val="32"/>
        </w:rPr>
        <w:t>列有</w:t>
      </w:r>
      <w:r w:rsidRPr="006A51BA">
        <w:rPr>
          <w:rFonts w:ascii="Times New Roman" w:hAnsi="Times New Roman" w:hint="eastAsia"/>
          <w:spacing w:val="-2"/>
          <w:szCs w:val="32"/>
        </w:rPr>
        <w:t>餘額</w:t>
      </w:r>
      <w:r w:rsidRPr="006A51BA">
        <w:rPr>
          <w:rFonts w:ascii="Times New Roman" w:hAnsi="Times New Roman"/>
          <w:spacing w:val="-2"/>
          <w:szCs w:val="32"/>
        </w:rPr>
        <w:t>6</w:t>
      </w:r>
      <w:r w:rsidRPr="006A51BA">
        <w:rPr>
          <w:rFonts w:ascii="Times New Roman" w:hAnsi="Times New Roman" w:hint="eastAsia"/>
          <w:spacing w:val="-2"/>
          <w:szCs w:val="32"/>
        </w:rPr>
        <w:t>億</w:t>
      </w:r>
      <w:r w:rsidRPr="006A51BA">
        <w:rPr>
          <w:rFonts w:ascii="Times New Roman" w:hAnsi="Times New Roman"/>
          <w:spacing w:val="-2"/>
          <w:szCs w:val="32"/>
        </w:rPr>
        <w:t>2,812</w:t>
      </w:r>
      <w:r w:rsidRPr="006A51BA">
        <w:rPr>
          <w:rFonts w:ascii="Times New Roman" w:hAnsi="Times New Roman" w:hint="eastAsia"/>
          <w:spacing w:val="-2"/>
          <w:szCs w:val="32"/>
        </w:rPr>
        <w:t>萬餘元，與</w:t>
      </w:r>
      <w:r w:rsidRPr="006A51BA">
        <w:rPr>
          <w:rFonts w:ascii="Times New Roman" w:hAnsi="Times New Roman"/>
          <w:spacing w:val="-2"/>
          <w:szCs w:val="32"/>
        </w:rPr>
        <w:t>103</w:t>
      </w:r>
      <w:r w:rsidRPr="006A51BA">
        <w:rPr>
          <w:rFonts w:ascii="Times New Roman" w:hAnsi="Times New Roman" w:hint="eastAsia"/>
          <w:spacing w:val="-2"/>
          <w:szCs w:val="32"/>
        </w:rPr>
        <w:t>年第</w:t>
      </w:r>
      <w:r w:rsidRPr="006A51BA">
        <w:rPr>
          <w:rFonts w:ascii="Times New Roman" w:hAnsi="Times New Roman"/>
          <w:spacing w:val="-2"/>
          <w:szCs w:val="32"/>
        </w:rPr>
        <w:t>4</w:t>
      </w:r>
      <w:r w:rsidRPr="006A51BA">
        <w:rPr>
          <w:rFonts w:ascii="Times New Roman" w:hAnsi="Times New Roman" w:hint="eastAsia"/>
          <w:spacing w:val="-2"/>
          <w:szCs w:val="32"/>
        </w:rPr>
        <w:t>季季報表所列累計待運用數</w:t>
      </w:r>
      <w:r w:rsidRPr="006A51BA">
        <w:rPr>
          <w:rFonts w:ascii="Times New Roman" w:hAnsi="Times New Roman"/>
          <w:spacing w:val="-2"/>
          <w:szCs w:val="32"/>
        </w:rPr>
        <w:t>6</w:t>
      </w:r>
      <w:r w:rsidRPr="006A51BA">
        <w:rPr>
          <w:rFonts w:ascii="Times New Roman" w:hAnsi="Times New Roman" w:hint="eastAsia"/>
          <w:spacing w:val="-2"/>
          <w:szCs w:val="32"/>
        </w:rPr>
        <w:t>億</w:t>
      </w:r>
      <w:r w:rsidRPr="006A51BA">
        <w:rPr>
          <w:rFonts w:ascii="Times New Roman" w:hAnsi="Times New Roman"/>
          <w:spacing w:val="-2"/>
          <w:szCs w:val="32"/>
        </w:rPr>
        <w:t>3,286</w:t>
      </w:r>
      <w:r w:rsidRPr="006A51BA">
        <w:rPr>
          <w:rFonts w:ascii="Times New Roman" w:hAnsi="Times New Roman" w:hint="eastAsia"/>
          <w:spacing w:val="-2"/>
          <w:szCs w:val="32"/>
        </w:rPr>
        <w:t>萬餘元，兩者並不一致。再據審計部查復結果顯示，經比較</w:t>
      </w:r>
      <w:r w:rsidRPr="006A51BA">
        <w:rPr>
          <w:rFonts w:ascii="Times New Roman" w:hAnsi="Times New Roman"/>
          <w:spacing w:val="-2"/>
          <w:szCs w:val="32"/>
        </w:rPr>
        <w:t>101</w:t>
      </w:r>
      <w:r w:rsidRPr="006A51BA">
        <w:rPr>
          <w:rFonts w:ascii="Times New Roman" w:hAnsi="Times New Roman" w:hint="eastAsia"/>
          <w:spacing w:val="-2"/>
          <w:szCs w:val="32"/>
        </w:rPr>
        <w:t>年至</w:t>
      </w:r>
      <w:r w:rsidRPr="006A51BA">
        <w:rPr>
          <w:rFonts w:ascii="Times New Roman" w:hAnsi="Times New Roman"/>
          <w:spacing w:val="-2"/>
          <w:szCs w:val="32"/>
        </w:rPr>
        <w:t>104</w:t>
      </w:r>
      <w:r w:rsidRPr="006A51BA">
        <w:rPr>
          <w:rFonts w:ascii="Times New Roman" w:hAnsi="Times New Roman" w:hint="eastAsia"/>
          <w:spacing w:val="-2"/>
          <w:szCs w:val="32"/>
        </w:rPr>
        <w:t>年</w:t>
      </w:r>
      <w:r w:rsidR="006A51BA" w:rsidRPr="006A51BA">
        <w:rPr>
          <w:rFonts w:ascii="Times New Roman" w:hAnsi="Times New Roman" w:hint="eastAsia"/>
          <w:spacing w:val="-2"/>
          <w:szCs w:val="32"/>
        </w:rPr>
        <w:t>該</w:t>
      </w:r>
      <w:r w:rsidRPr="006A51BA">
        <w:rPr>
          <w:rFonts w:ascii="Times New Roman" w:hAnsi="Times New Roman" w:hint="eastAsia"/>
          <w:spacing w:val="-2"/>
          <w:szCs w:val="32"/>
        </w:rPr>
        <w:t>市</w:t>
      </w:r>
      <w:r w:rsidR="006A51BA" w:rsidRPr="006A51BA">
        <w:rPr>
          <w:rFonts w:ascii="Times New Roman" w:hAnsi="Times New Roman" w:hint="eastAsia"/>
          <w:spacing w:val="-2"/>
          <w:szCs w:val="32"/>
        </w:rPr>
        <w:t>該基金</w:t>
      </w:r>
      <w:r w:rsidRPr="006A51BA">
        <w:rPr>
          <w:rFonts w:ascii="Times New Roman" w:hAnsi="Times New Roman" w:hint="eastAsia"/>
          <w:spacing w:val="-2"/>
          <w:szCs w:val="32"/>
        </w:rPr>
        <w:t>帳列基金餘額科目決算數，與基隆市政府</w:t>
      </w:r>
      <w:r w:rsidRPr="006A51BA">
        <w:rPr>
          <w:rFonts w:ascii="Times New Roman" w:hAnsi="Times New Roman"/>
          <w:spacing w:val="-2"/>
          <w:szCs w:val="32"/>
        </w:rPr>
        <w:t>101</w:t>
      </w:r>
      <w:r w:rsidRPr="006A51BA">
        <w:rPr>
          <w:rFonts w:ascii="Times New Roman" w:hAnsi="Times New Roman" w:hint="eastAsia"/>
          <w:spacing w:val="-2"/>
          <w:szCs w:val="32"/>
        </w:rPr>
        <w:t>至</w:t>
      </w:r>
      <w:r w:rsidRPr="006A51BA">
        <w:rPr>
          <w:rFonts w:ascii="Times New Roman" w:hAnsi="Times New Roman"/>
          <w:spacing w:val="-2"/>
          <w:szCs w:val="32"/>
        </w:rPr>
        <w:t>104</w:t>
      </w:r>
      <w:r w:rsidRPr="006A51BA">
        <w:rPr>
          <w:rFonts w:ascii="Times New Roman" w:hAnsi="Times New Roman" w:hint="eastAsia"/>
          <w:spacing w:val="-2"/>
          <w:szCs w:val="32"/>
        </w:rPr>
        <w:t>年度第</w:t>
      </w:r>
      <w:r w:rsidRPr="006A51BA">
        <w:rPr>
          <w:rFonts w:ascii="Times New Roman" w:hAnsi="Times New Roman"/>
          <w:spacing w:val="-2"/>
          <w:szCs w:val="32"/>
        </w:rPr>
        <w:t>4</w:t>
      </w:r>
      <w:r w:rsidRPr="006A51BA">
        <w:rPr>
          <w:rFonts w:ascii="Times New Roman" w:hAnsi="Times New Roman" w:hint="eastAsia"/>
          <w:spacing w:val="-2"/>
          <w:szCs w:val="32"/>
        </w:rPr>
        <w:t>季公益彩券盈餘分配辦理社會福利事業情形季報表所列之累計待運用數，均有差異</w:t>
      </w:r>
      <w:r w:rsidRPr="006A51BA">
        <w:rPr>
          <w:rFonts w:ascii="Times New Roman" w:hAnsi="Times New Roman"/>
          <w:spacing w:val="-2"/>
          <w:szCs w:val="32"/>
        </w:rPr>
        <w:t>(</w:t>
      </w:r>
      <w:r w:rsidRPr="006A51BA">
        <w:rPr>
          <w:rFonts w:ascii="Times New Roman" w:hAnsi="Times New Roman" w:hint="eastAsia"/>
          <w:spacing w:val="-2"/>
          <w:szCs w:val="32"/>
        </w:rPr>
        <w:t>詳見下表</w:t>
      </w:r>
      <w:r w:rsidR="00D163D7" w:rsidRPr="006A51BA">
        <w:rPr>
          <w:rFonts w:ascii="Times New Roman" w:hAnsi="Times New Roman" w:hint="eastAsia"/>
          <w:spacing w:val="-2"/>
          <w:szCs w:val="32"/>
        </w:rPr>
        <w:t>19</w:t>
      </w:r>
      <w:r w:rsidRPr="006A51BA">
        <w:rPr>
          <w:rFonts w:ascii="Times New Roman" w:hAnsi="Times New Roman"/>
          <w:spacing w:val="-2"/>
          <w:szCs w:val="32"/>
        </w:rPr>
        <w:t>)</w:t>
      </w:r>
      <w:r w:rsidRPr="006A51BA">
        <w:rPr>
          <w:rFonts w:ascii="Times New Roman" w:hAnsi="Times New Roman" w:hint="eastAsia"/>
          <w:spacing w:val="-2"/>
          <w:szCs w:val="32"/>
        </w:rPr>
        <w:t>。</w:t>
      </w:r>
    </w:p>
    <w:p w:rsidR="0040606A" w:rsidRDefault="0040606A" w:rsidP="0040606A">
      <w:pPr>
        <w:pStyle w:val="4"/>
        <w:numPr>
          <w:ilvl w:val="0"/>
          <w:numId w:val="0"/>
        </w:numPr>
        <w:topLinePunct/>
        <w:ind w:left="1701"/>
        <w:rPr>
          <w:rFonts w:ascii="Times New Roman" w:hAnsi="Times New Roman"/>
          <w:szCs w:val="32"/>
        </w:rPr>
      </w:pPr>
    </w:p>
    <w:p w:rsidR="00C52751" w:rsidRDefault="00C52751" w:rsidP="0040606A">
      <w:pPr>
        <w:pStyle w:val="4"/>
        <w:numPr>
          <w:ilvl w:val="0"/>
          <w:numId w:val="0"/>
        </w:numPr>
        <w:topLinePunct/>
        <w:ind w:left="1701"/>
        <w:rPr>
          <w:rFonts w:ascii="Times New Roman" w:hAnsi="Times New Roman"/>
          <w:szCs w:val="32"/>
        </w:rPr>
      </w:pPr>
    </w:p>
    <w:p w:rsidR="0040606A" w:rsidRDefault="0040606A" w:rsidP="0040606A">
      <w:pPr>
        <w:pStyle w:val="a3"/>
        <w:numPr>
          <w:ilvl w:val="0"/>
          <w:numId w:val="34"/>
        </w:numPr>
        <w:spacing w:before="120" w:after="0"/>
        <w:ind w:left="2842" w:rightChars="-5" w:right="-17" w:hanging="868"/>
        <w:textAlignment w:val="auto"/>
        <w:rPr>
          <w:rFonts w:hAnsi="標楷體"/>
          <w:color w:val="000000" w:themeColor="text1"/>
          <w:spacing w:val="-4"/>
          <w:sz w:val="16"/>
          <w:szCs w:val="16"/>
        </w:rPr>
      </w:pPr>
      <w:r>
        <w:rPr>
          <w:rFonts w:ascii="Times New Roman" w:hAnsi="Times New Roman"/>
          <w:b/>
          <w:spacing w:val="-4"/>
        </w:rPr>
        <w:t>101</w:t>
      </w:r>
      <w:r>
        <w:rPr>
          <w:rFonts w:ascii="Times New Roman" w:hAnsi="Times New Roman" w:hint="eastAsia"/>
          <w:b/>
          <w:spacing w:val="-4"/>
        </w:rPr>
        <w:t>年至</w:t>
      </w:r>
      <w:r>
        <w:rPr>
          <w:rFonts w:ascii="Times New Roman" w:hAnsi="Times New Roman"/>
          <w:b/>
          <w:spacing w:val="-4"/>
        </w:rPr>
        <w:t>104</w:t>
      </w:r>
      <w:r>
        <w:rPr>
          <w:rFonts w:ascii="Times New Roman" w:hAnsi="Times New Roman" w:hint="eastAsia"/>
          <w:b/>
          <w:spacing w:val="-4"/>
        </w:rPr>
        <w:t>年基隆市公益彩券盈餘分配基金待運用累計數與</w:t>
      </w:r>
      <w:r w:rsidR="006A51BA">
        <w:rPr>
          <w:rFonts w:ascii="Times New Roman" w:hAnsi="Times New Roman" w:hint="eastAsia"/>
          <w:b/>
          <w:spacing w:val="-4"/>
        </w:rPr>
        <w:t>該</w:t>
      </w:r>
      <w:r>
        <w:rPr>
          <w:rFonts w:ascii="Times New Roman" w:hAnsi="Times New Roman" w:hint="eastAsia"/>
          <w:b/>
          <w:spacing w:val="-4"/>
        </w:rPr>
        <w:t>基金帳戶餘額差異情形一覽表</w:t>
      </w:r>
      <w:r>
        <w:rPr>
          <w:rFonts w:ascii="Times New Roman" w:hAnsi="Times New Roman"/>
          <w:b/>
          <w:spacing w:val="-4"/>
        </w:rPr>
        <w:t xml:space="preserve"> </w:t>
      </w:r>
      <w:r>
        <w:rPr>
          <w:rFonts w:hAnsi="標楷體" w:hint="eastAsia"/>
          <w:color w:val="000000" w:themeColor="text1"/>
          <w:spacing w:val="-4"/>
          <w:sz w:val="16"/>
          <w:szCs w:val="16"/>
        </w:rPr>
        <w:t xml:space="preserve"> </w:t>
      </w:r>
    </w:p>
    <w:p w:rsidR="0040606A" w:rsidRDefault="0040606A" w:rsidP="0040606A">
      <w:pPr>
        <w:pStyle w:val="4"/>
        <w:numPr>
          <w:ilvl w:val="0"/>
          <w:numId w:val="0"/>
        </w:numPr>
        <w:kinsoku w:val="0"/>
        <w:topLinePunct/>
        <w:spacing w:line="320" w:lineRule="exact"/>
        <w:ind w:left="1701" w:firstLineChars="115" w:firstLine="299"/>
        <w:jc w:val="right"/>
        <w:rPr>
          <w:rFonts w:hAnsi="標楷體"/>
          <w:color w:val="000000" w:themeColor="text1"/>
          <w:sz w:val="24"/>
          <w:szCs w:val="24"/>
        </w:rPr>
      </w:pPr>
      <w:r>
        <w:rPr>
          <w:rFonts w:hAnsi="標楷體" w:hint="eastAsia"/>
          <w:color w:val="000000" w:themeColor="text1"/>
          <w:sz w:val="24"/>
          <w:szCs w:val="24"/>
        </w:rPr>
        <w:t>單位：元</w:t>
      </w:r>
    </w:p>
    <w:tbl>
      <w:tblPr>
        <w:tblW w:w="6864" w:type="dxa"/>
        <w:tblInd w:w="20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59"/>
        <w:gridCol w:w="1763"/>
        <w:gridCol w:w="1848"/>
        <w:gridCol w:w="1694"/>
      </w:tblGrid>
      <w:tr w:rsidR="0040606A" w:rsidTr="00C055EF">
        <w:trPr>
          <w:tblHeader/>
        </w:trPr>
        <w:tc>
          <w:tcPr>
            <w:tcW w:w="1559"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kinsoku w:val="0"/>
              <w:spacing w:line="360" w:lineRule="exact"/>
              <w:jc w:val="center"/>
              <w:rPr>
                <w:rFonts w:ascii="Times New Roman"/>
                <w:color w:val="000000" w:themeColor="text1"/>
                <w:kern w:val="0"/>
                <w:sz w:val="28"/>
                <w:szCs w:val="28"/>
              </w:rPr>
            </w:pPr>
            <w:r>
              <w:rPr>
                <w:rFonts w:ascii="Times New Roman" w:hint="eastAsia"/>
                <w:color w:val="000000" w:themeColor="text1"/>
                <w:kern w:val="0"/>
                <w:sz w:val="28"/>
                <w:szCs w:val="28"/>
              </w:rPr>
              <w:t>日期</w:t>
            </w:r>
          </w:p>
        </w:tc>
        <w:tc>
          <w:tcPr>
            <w:tcW w:w="1762"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40606A">
            <w:pPr>
              <w:widowControl/>
              <w:kinsoku w:val="0"/>
              <w:spacing w:line="360" w:lineRule="exact"/>
              <w:ind w:leftChars="-21" w:left="-68" w:rightChars="-33" w:right="-112" w:hangingChars="1" w:hanging="3"/>
              <w:jc w:val="center"/>
              <w:rPr>
                <w:rFonts w:ascii="Times New Roman"/>
                <w:color w:val="000000" w:themeColor="text1"/>
                <w:kern w:val="0"/>
                <w:sz w:val="28"/>
                <w:szCs w:val="28"/>
              </w:rPr>
            </w:pPr>
            <w:r>
              <w:rPr>
                <w:rFonts w:ascii="Times New Roman" w:hint="eastAsia"/>
                <w:color w:val="000000" w:themeColor="text1"/>
                <w:kern w:val="0"/>
                <w:sz w:val="28"/>
                <w:szCs w:val="28"/>
              </w:rPr>
              <w:t>基隆市政府陳報之累計待運用數</w:t>
            </w:r>
          </w:p>
        </w:tc>
        <w:tc>
          <w:tcPr>
            <w:tcW w:w="1847"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40606A">
            <w:pPr>
              <w:widowControl/>
              <w:kinsoku w:val="0"/>
              <w:spacing w:line="360" w:lineRule="exact"/>
              <w:ind w:leftChars="-21" w:left="-68" w:rightChars="-33" w:right="-112" w:hangingChars="1" w:hanging="3"/>
              <w:jc w:val="center"/>
              <w:rPr>
                <w:rFonts w:ascii="Times New Roman"/>
                <w:color w:val="000000" w:themeColor="text1"/>
                <w:kern w:val="0"/>
                <w:sz w:val="28"/>
                <w:szCs w:val="28"/>
              </w:rPr>
            </w:pPr>
            <w:r>
              <w:rPr>
                <w:rFonts w:ascii="Times New Roman" w:hint="eastAsia"/>
                <w:color w:val="000000" w:themeColor="text1"/>
                <w:kern w:val="0"/>
                <w:sz w:val="28"/>
                <w:szCs w:val="28"/>
              </w:rPr>
              <w:t>會計報告</w:t>
            </w:r>
          </w:p>
          <w:p w:rsidR="0040606A" w:rsidRDefault="0040606A" w:rsidP="0040606A">
            <w:pPr>
              <w:widowControl/>
              <w:kinsoku w:val="0"/>
              <w:spacing w:line="360" w:lineRule="exact"/>
              <w:ind w:leftChars="-21" w:left="-68" w:rightChars="-33" w:right="-112" w:hangingChars="1" w:hanging="3"/>
              <w:jc w:val="center"/>
              <w:rPr>
                <w:rFonts w:ascii="Times New Roman"/>
                <w:color w:val="000000" w:themeColor="text1"/>
                <w:kern w:val="0"/>
                <w:sz w:val="28"/>
                <w:szCs w:val="28"/>
              </w:rPr>
            </w:pPr>
            <w:r>
              <w:rPr>
                <w:rFonts w:ascii="Times New Roman" w:hint="eastAsia"/>
                <w:color w:val="000000" w:themeColor="text1"/>
                <w:kern w:val="0"/>
                <w:sz w:val="28"/>
                <w:szCs w:val="28"/>
              </w:rPr>
              <w:t>之基金餘額</w:t>
            </w:r>
          </w:p>
        </w:tc>
        <w:tc>
          <w:tcPr>
            <w:tcW w:w="1694"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40606A">
            <w:pPr>
              <w:widowControl/>
              <w:kinsoku w:val="0"/>
              <w:spacing w:line="360" w:lineRule="exact"/>
              <w:ind w:leftChars="-21" w:left="-68" w:rightChars="-33" w:right="-112" w:hangingChars="1" w:hanging="3"/>
              <w:jc w:val="center"/>
              <w:rPr>
                <w:rFonts w:ascii="Times New Roman"/>
                <w:color w:val="000000" w:themeColor="text1"/>
                <w:kern w:val="0"/>
                <w:sz w:val="28"/>
                <w:szCs w:val="28"/>
              </w:rPr>
            </w:pPr>
            <w:r>
              <w:rPr>
                <w:rFonts w:ascii="Times New Roman" w:hint="eastAsia"/>
                <w:color w:val="000000" w:themeColor="text1"/>
                <w:kern w:val="0"/>
                <w:sz w:val="28"/>
                <w:szCs w:val="28"/>
              </w:rPr>
              <w:t>差異金額</w:t>
            </w:r>
          </w:p>
        </w:tc>
      </w:tr>
      <w:tr w:rsidR="0040606A" w:rsidTr="00C055EF">
        <w:tc>
          <w:tcPr>
            <w:tcW w:w="1559"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spacing w:line="360" w:lineRule="exact"/>
              <w:jc w:val="center"/>
              <w:rPr>
                <w:rFonts w:ascii="Times New Roman"/>
                <w:color w:val="000000" w:themeColor="text1"/>
                <w:kern w:val="0"/>
                <w:sz w:val="28"/>
                <w:szCs w:val="28"/>
              </w:rPr>
            </w:pPr>
            <w:r>
              <w:rPr>
                <w:rFonts w:ascii="Times New Roman"/>
                <w:color w:val="000000" w:themeColor="text1"/>
                <w:kern w:val="0"/>
                <w:sz w:val="28"/>
                <w:szCs w:val="28"/>
              </w:rPr>
              <w:t>101.12.31</w:t>
            </w:r>
          </w:p>
        </w:tc>
        <w:tc>
          <w:tcPr>
            <w:tcW w:w="1762"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spacing w:line="360" w:lineRule="exact"/>
              <w:jc w:val="right"/>
              <w:rPr>
                <w:rFonts w:ascii="Times New Roman"/>
                <w:color w:val="000000" w:themeColor="text1"/>
                <w:kern w:val="0"/>
                <w:sz w:val="28"/>
                <w:szCs w:val="28"/>
              </w:rPr>
            </w:pPr>
            <w:r>
              <w:rPr>
                <w:rFonts w:ascii="Times New Roman"/>
                <w:color w:val="000000" w:themeColor="text1"/>
                <w:kern w:val="0"/>
                <w:sz w:val="28"/>
                <w:szCs w:val="28"/>
              </w:rPr>
              <w:t xml:space="preserve">608,623,976 </w:t>
            </w:r>
          </w:p>
        </w:tc>
        <w:tc>
          <w:tcPr>
            <w:tcW w:w="1847"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spacing w:line="360" w:lineRule="exact"/>
              <w:jc w:val="right"/>
              <w:rPr>
                <w:rFonts w:ascii="Times New Roman"/>
                <w:color w:val="000000" w:themeColor="text1"/>
                <w:kern w:val="0"/>
                <w:sz w:val="28"/>
                <w:szCs w:val="28"/>
              </w:rPr>
            </w:pPr>
            <w:r>
              <w:rPr>
                <w:rFonts w:ascii="Times New Roman"/>
                <w:color w:val="000000" w:themeColor="text1"/>
                <w:kern w:val="0"/>
                <w:sz w:val="28"/>
                <w:szCs w:val="28"/>
              </w:rPr>
              <w:t xml:space="preserve">599,931,885 </w:t>
            </w:r>
          </w:p>
        </w:tc>
        <w:tc>
          <w:tcPr>
            <w:tcW w:w="1694"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spacing w:line="360" w:lineRule="exact"/>
              <w:jc w:val="right"/>
              <w:rPr>
                <w:rFonts w:ascii="Times New Roman"/>
                <w:color w:val="000000" w:themeColor="text1"/>
                <w:kern w:val="0"/>
                <w:sz w:val="28"/>
                <w:szCs w:val="28"/>
              </w:rPr>
            </w:pPr>
            <w:r>
              <w:rPr>
                <w:rFonts w:ascii="Times New Roman"/>
                <w:color w:val="000000" w:themeColor="text1"/>
                <w:kern w:val="0"/>
                <w:sz w:val="28"/>
                <w:szCs w:val="28"/>
              </w:rPr>
              <w:t xml:space="preserve">8,692,091 </w:t>
            </w:r>
          </w:p>
        </w:tc>
      </w:tr>
      <w:tr w:rsidR="0040606A" w:rsidTr="00C055EF">
        <w:tc>
          <w:tcPr>
            <w:tcW w:w="1559"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spacing w:line="360" w:lineRule="exact"/>
              <w:jc w:val="center"/>
              <w:rPr>
                <w:rFonts w:ascii="Times New Roman"/>
                <w:color w:val="000000" w:themeColor="text1"/>
                <w:kern w:val="0"/>
                <w:sz w:val="28"/>
                <w:szCs w:val="28"/>
              </w:rPr>
            </w:pPr>
            <w:r>
              <w:rPr>
                <w:rFonts w:ascii="Times New Roman"/>
                <w:color w:val="000000" w:themeColor="text1"/>
                <w:kern w:val="0"/>
                <w:sz w:val="28"/>
                <w:szCs w:val="28"/>
              </w:rPr>
              <w:t>102.12.31</w:t>
            </w:r>
          </w:p>
        </w:tc>
        <w:tc>
          <w:tcPr>
            <w:tcW w:w="1762"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spacing w:line="360" w:lineRule="exact"/>
              <w:jc w:val="right"/>
              <w:rPr>
                <w:rFonts w:ascii="Times New Roman"/>
                <w:color w:val="000000" w:themeColor="text1"/>
                <w:kern w:val="0"/>
                <w:sz w:val="28"/>
                <w:szCs w:val="28"/>
              </w:rPr>
            </w:pPr>
            <w:r>
              <w:rPr>
                <w:rFonts w:ascii="Times New Roman"/>
                <w:color w:val="000000" w:themeColor="text1"/>
                <w:kern w:val="0"/>
                <w:sz w:val="28"/>
                <w:szCs w:val="28"/>
              </w:rPr>
              <w:t xml:space="preserve">638,526,508 </w:t>
            </w:r>
          </w:p>
        </w:tc>
        <w:tc>
          <w:tcPr>
            <w:tcW w:w="1847"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spacing w:line="360" w:lineRule="exact"/>
              <w:jc w:val="right"/>
              <w:rPr>
                <w:rFonts w:ascii="Times New Roman"/>
                <w:color w:val="000000" w:themeColor="text1"/>
                <w:kern w:val="0"/>
                <w:sz w:val="28"/>
                <w:szCs w:val="28"/>
              </w:rPr>
            </w:pPr>
            <w:r>
              <w:rPr>
                <w:rFonts w:ascii="Times New Roman"/>
                <w:color w:val="000000" w:themeColor="text1"/>
                <w:kern w:val="0"/>
                <w:sz w:val="28"/>
                <w:szCs w:val="28"/>
              </w:rPr>
              <w:t xml:space="preserve">631,959,206 </w:t>
            </w:r>
          </w:p>
        </w:tc>
        <w:tc>
          <w:tcPr>
            <w:tcW w:w="1694"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spacing w:line="360" w:lineRule="exact"/>
              <w:jc w:val="right"/>
              <w:rPr>
                <w:rFonts w:ascii="Times New Roman"/>
                <w:color w:val="000000" w:themeColor="text1"/>
                <w:kern w:val="0"/>
                <w:sz w:val="28"/>
                <w:szCs w:val="28"/>
              </w:rPr>
            </w:pPr>
            <w:r>
              <w:rPr>
                <w:rFonts w:ascii="Times New Roman"/>
                <w:color w:val="000000" w:themeColor="text1"/>
                <w:kern w:val="0"/>
                <w:sz w:val="28"/>
                <w:szCs w:val="28"/>
              </w:rPr>
              <w:t xml:space="preserve">6,567,302 </w:t>
            </w:r>
          </w:p>
        </w:tc>
      </w:tr>
      <w:tr w:rsidR="0040606A" w:rsidTr="00C055EF">
        <w:tc>
          <w:tcPr>
            <w:tcW w:w="1559"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spacing w:line="360" w:lineRule="exact"/>
              <w:jc w:val="center"/>
              <w:rPr>
                <w:rFonts w:ascii="Times New Roman"/>
                <w:color w:val="000000" w:themeColor="text1"/>
                <w:kern w:val="0"/>
                <w:sz w:val="28"/>
                <w:szCs w:val="28"/>
              </w:rPr>
            </w:pPr>
            <w:r>
              <w:rPr>
                <w:rFonts w:ascii="Times New Roman"/>
                <w:color w:val="000000" w:themeColor="text1"/>
                <w:kern w:val="0"/>
                <w:sz w:val="28"/>
                <w:szCs w:val="28"/>
              </w:rPr>
              <w:t>103.12.31</w:t>
            </w:r>
          </w:p>
        </w:tc>
        <w:tc>
          <w:tcPr>
            <w:tcW w:w="1762"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spacing w:line="360" w:lineRule="exact"/>
              <w:jc w:val="right"/>
              <w:rPr>
                <w:rFonts w:ascii="Times New Roman"/>
                <w:color w:val="000000" w:themeColor="text1"/>
                <w:kern w:val="0"/>
                <w:sz w:val="28"/>
                <w:szCs w:val="28"/>
              </w:rPr>
            </w:pPr>
            <w:r>
              <w:rPr>
                <w:rFonts w:ascii="Times New Roman"/>
                <w:color w:val="000000" w:themeColor="text1"/>
                <w:kern w:val="0"/>
                <w:sz w:val="28"/>
                <w:szCs w:val="28"/>
              </w:rPr>
              <w:t xml:space="preserve">632,868,424 </w:t>
            </w:r>
          </w:p>
        </w:tc>
        <w:tc>
          <w:tcPr>
            <w:tcW w:w="1847"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spacing w:line="360" w:lineRule="exact"/>
              <w:jc w:val="right"/>
              <w:rPr>
                <w:rFonts w:ascii="Times New Roman"/>
                <w:color w:val="000000" w:themeColor="text1"/>
                <w:kern w:val="0"/>
                <w:sz w:val="28"/>
                <w:szCs w:val="28"/>
              </w:rPr>
            </w:pPr>
            <w:r>
              <w:rPr>
                <w:rFonts w:ascii="Times New Roman"/>
                <w:color w:val="000000" w:themeColor="text1"/>
                <w:kern w:val="0"/>
                <w:sz w:val="28"/>
                <w:szCs w:val="28"/>
              </w:rPr>
              <w:t xml:space="preserve">628,128,481 </w:t>
            </w:r>
          </w:p>
        </w:tc>
        <w:tc>
          <w:tcPr>
            <w:tcW w:w="1694"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spacing w:line="360" w:lineRule="exact"/>
              <w:jc w:val="right"/>
              <w:rPr>
                <w:rFonts w:ascii="Times New Roman"/>
                <w:color w:val="000000" w:themeColor="text1"/>
                <w:kern w:val="0"/>
                <w:sz w:val="28"/>
                <w:szCs w:val="28"/>
              </w:rPr>
            </w:pPr>
            <w:r>
              <w:rPr>
                <w:rFonts w:ascii="Times New Roman"/>
                <w:color w:val="000000" w:themeColor="text1"/>
                <w:kern w:val="0"/>
                <w:sz w:val="28"/>
                <w:szCs w:val="28"/>
              </w:rPr>
              <w:t xml:space="preserve">4,739,943 </w:t>
            </w:r>
          </w:p>
        </w:tc>
      </w:tr>
      <w:tr w:rsidR="0040606A" w:rsidTr="00C055EF">
        <w:tc>
          <w:tcPr>
            <w:tcW w:w="1559"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spacing w:line="360" w:lineRule="exact"/>
              <w:jc w:val="center"/>
              <w:rPr>
                <w:rFonts w:ascii="Times New Roman"/>
                <w:color w:val="000000" w:themeColor="text1"/>
                <w:kern w:val="0"/>
                <w:sz w:val="28"/>
                <w:szCs w:val="28"/>
              </w:rPr>
            </w:pPr>
            <w:r>
              <w:rPr>
                <w:rFonts w:ascii="Times New Roman"/>
                <w:color w:val="000000" w:themeColor="text1"/>
                <w:kern w:val="0"/>
                <w:sz w:val="28"/>
                <w:szCs w:val="28"/>
              </w:rPr>
              <w:t>104.12.31</w:t>
            </w:r>
          </w:p>
        </w:tc>
        <w:tc>
          <w:tcPr>
            <w:tcW w:w="1762"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spacing w:line="360" w:lineRule="exact"/>
              <w:jc w:val="right"/>
              <w:rPr>
                <w:rFonts w:ascii="Times New Roman"/>
                <w:color w:val="000000" w:themeColor="text1"/>
                <w:kern w:val="0"/>
                <w:sz w:val="28"/>
                <w:szCs w:val="28"/>
              </w:rPr>
            </w:pPr>
            <w:r>
              <w:rPr>
                <w:rFonts w:ascii="Times New Roman"/>
                <w:color w:val="000000" w:themeColor="text1"/>
                <w:kern w:val="0"/>
                <w:sz w:val="28"/>
                <w:szCs w:val="28"/>
              </w:rPr>
              <w:t xml:space="preserve">490,500,028 </w:t>
            </w:r>
          </w:p>
        </w:tc>
        <w:tc>
          <w:tcPr>
            <w:tcW w:w="1847"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spacing w:line="360" w:lineRule="exact"/>
              <w:jc w:val="right"/>
              <w:rPr>
                <w:rFonts w:ascii="Times New Roman"/>
                <w:color w:val="000000" w:themeColor="text1"/>
                <w:kern w:val="0"/>
                <w:sz w:val="28"/>
                <w:szCs w:val="28"/>
              </w:rPr>
            </w:pPr>
            <w:r>
              <w:rPr>
                <w:rFonts w:ascii="Times New Roman"/>
                <w:color w:val="000000" w:themeColor="text1"/>
                <w:kern w:val="0"/>
                <w:sz w:val="28"/>
                <w:szCs w:val="28"/>
              </w:rPr>
              <w:t xml:space="preserve">485,760,085 </w:t>
            </w:r>
          </w:p>
        </w:tc>
        <w:tc>
          <w:tcPr>
            <w:tcW w:w="1694" w:type="dxa"/>
            <w:tcBorders>
              <w:top w:val="single" w:sz="6" w:space="0" w:color="auto"/>
              <w:left w:val="single" w:sz="6" w:space="0" w:color="auto"/>
              <w:bottom w:val="single" w:sz="6" w:space="0" w:color="auto"/>
              <w:right w:val="single" w:sz="6" w:space="0" w:color="auto"/>
            </w:tcBorders>
            <w:vAlign w:val="center"/>
            <w:hideMark/>
          </w:tcPr>
          <w:p w:rsidR="0040606A" w:rsidRDefault="0040606A" w:rsidP="00C055EF">
            <w:pPr>
              <w:widowControl/>
              <w:spacing w:line="360" w:lineRule="exact"/>
              <w:jc w:val="right"/>
              <w:rPr>
                <w:rFonts w:ascii="Times New Roman"/>
                <w:color w:val="000000" w:themeColor="text1"/>
                <w:kern w:val="0"/>
                <w:sz w:val="28"/>
                <w:szCs w:val="28"/>
              </w:rPr>
            </w:pPr>
            <w:r>
              <w:rPr>
                <w:rFonts w:ascii="Times New Roman"/>
                <w:color w:val="000000" w:themeColor="text1"/>
                <w:kern w:val="0"/>
                <w:sz w:val="28"/>
                <w:szCs w:val="28"/>
              </w:rPr>
              <w:t xml:space="preserve">4,739,943 </w:t>
            </w:r>
          </w:p>
        </w:tc>
      </w:tr>
    </w:tbl>
    <w:p w:rsidR="0040606A" w:rsidRDefault="0040606A" w:rsidP="0040606A">
      <w:pPr>
        <w:pStyle w:val="4"/>
        <w:numPr>
          <w:ilvl w:val="0"/>
          <w:numId w:val="0"/>
        </w:numPr>
        <w:kinsoku w:val="0"/>
        <w:spacing w:afterLines="25" w:after="114" w:line="320" w:lineRule="exact"/>
        <w:ind w:left="1701" w:firstLineChars="94" w:firstLine="245"/>
        <w:rPr>
          <w:rFonts w:ascii="Times New Roman" w:hAnsi="Times New Roman"/>
          <w:sz w:val="24"/>
          <w:szCs w:val="24"/>
        </w:rPr>
      </w:pPr>
      <w:r>
        <w:rPr>
          <w:rFonts w:ascii="Times New Roman" w:hAnsi="Times New Roman" w:hint="eastAsia"/>
          <w:sz w:val="24"/>
          <w:szCs w:val="24"/>
        </w:rPr>
        <w:t>資料來源：審計部基隆市審計室</w:t>
      </w:r>
    </w:p>
    <w:p w:rsidR="0040606A" w:rsidRDefault="0040606A" w:rsidP="0040606A">
      <w:pPr>
        <w:pStyle w:val="4"/>
        <w:numPr>
          <w:ilvl w:val="3"/>
          <w:numId w:val="9"/>
        </w:numPr>
        <w:kinsoku w:val="0"/>
        <w:rPr>
          <w:rFonts w:ascii="Times New Roman" w:hAnsi="Times New Roman"/>
          <w:szCs w:val="32"/>
        </w:rPr>
      </w:pPr>
      <w:r>
        <w:rPr>
          <w:rFonts w:ascii="Times New Roman" w:hAnsi="Times New Roman" w:hint="eastAsia"/>
          <w:szCs w:val="32"/>
        </w:rPr>
        <w:t>嗣據該府清查發現，</w:t>
      </w:r>
      <w:r>
        <w:rPr>
          <w:rFonts w:ascii="Times New Roman" w:hAnsi="Times New Roman"/>
          <w:szCs w:val="32"/>
        </w:rPr>
        <w:t>94</w:t>
      </w:r>
      <w:r>
        <w:rPr>
          <w:rFonts w:ascii="Times New Roman" w:hAnsi="Times New Roman" w:hint="eastAsia"/>
          <w:szCs w:val="32"/>
        </w:rPr>
        <w:t>年成立基金並開立專戶前，原以統收統支運用公益彩券盈餘分配款</w:t>
      </w:r>
      <w:r>
        <w:rPr>
          <w:rFonts w:ascii="Times New Roman" w:hAnsi="Times New Roman"/>
          <w:szCs w:val="32"/>
        </w:rPr>
        <w:t>(</w:t>
      </w:r>
      <w:r>
        <w:rPr>
          <w:rFonts w:ascii="Times New Roman" w:hAnsi="Times New Roman" w:hint="eastAsia"/>
          <w:szCs w:val="32"/>
        </w:rPr>
        <w:t>存放於市庫</w:t>
      </w:r>
      <w:r>
        <w:rPr>
          <w:rFonts w:ascii="Times New Roman" w:hAnsi="Times New Roman"/>
          <w:szCs w:val="32"/>
        </w:rPr>
        <w:t>)</w:t>
      </w:r>
      <w:r>
        <w:rPr>
          <w:rFonts w:ascii="Times New Roman" w:hAnsi="Times New Roman" w:hint="eastAsia"/>
          <w:szCs w:val="32"/>
        </w:rPr>
        <w:t>，惟於</w:t>
      </w:r>
      <w:r>
        <w:rPr>
          <w:rFonts w:ascii="Times New Roman" w:hAnsi="Times New Roman"/>
          <w:szCs w:val="32"/>
        </w:rPr>
        <w:t>94</w:t>
      </w:r>
      <w:r>
        <w:rPr>
          <w:rFonts w:ascii="Times New Roman" w:hAnsi="Times New Roman" w:hint="eastAsia"/>
          <w:szCs w:val="32"/>
        </w:rPr>
        <w:t>年成立基金後，並未全數轉入該基金專戶。該府雖稱之後已陸續撥還部分款項，惟經核算至</w:t>
      </w:r>
      <w:r>
        <w:rPr>
          <w:rFonts w:ascii="Times New Roman" w:hAnsi="Times New Roman"/>
          <w:szCs w:val="32"/>
        </w:rPr>
        <w:t>104</w:t>
      </w:r>
      <w:r>
        <w:rPr>
          <w:rFonts w:ascii="Times New Roman" w:hAnsi="Times New Roman" w:hint="eastAsia"/>
          <w:szCs w:val="32"/>
        </w:rPr>
        <w:t>年底仍有</w:t>
      </w:r>
      <w:r>
        <w:rPr>
          <w:rFonts w:ascii="Times New Roman" w:hAnsi="Times New Roman"/>
          <w:szCs w:val="32"/>
        </w:rPr>
        <w:t>1,609</w:t>
      </w:r>
      <w:r>
        <w:rPr>
          <w:rFonts w:ascii="Times New Roman" w:hAnsi="Times New Roman" w:hint="eastAsia"/>
          <w:szCs w:val="32"/>
        </w:rPr>
        <w:t>萬</w:t>
      </w:r>
      <w:r>
        <w:rPr>
          <w:rFonts w:ascii="Times New Roman" w:hAnsi="Times New Roman"/>
          <w:szCs w:val="32"/>
        </w:rPr>
        <w:t>6,689</w:t>
      </w:r>
      <w:r>
        <w:rPr>
          <w:rFonts w:ascii="Times New Roman" w:hAnsi="Times New Roman" w:hint="eastAsia"/>
          <w:szCs w:val="32"/>
        </w:rPr>
        <w:t>元留存於市庫，遠高於該府</w:t>
      </w:r>
      <w:r>
        <w:rPr>
          <w:rFonts w:ascii="Times New Roman" w:hAnsi="Times New Roman"/>
          <w:szCs w:val="32"/>
        </w:rPr>
        <w:t>105</w:t>
      </w:r>
      <w:r>
        <w:rPr>
          <w:rFonts w:ascii="Times New Roman" w:hAnsi="Times New Roman" w:hint="eastAsia"/>
          <w:szCs w:val="32"/>
        </w:rPr>
        <w:t>年度編列撥還基金預算</w:t>
      </w:r>
      <w:r>
        <w:rPr>
          <w:rFonts w:ascii="Times New Roman" w:hAnsi="Times New Roman"/>
          <w:szCs w:val="32"/>
        </w:rPr>
        <w:t>474</w:t>
      </w:r>
      <w:r>
        <w:rPr>
          <w:rFonts w:ascii="Times New Roman" w:hAnsi="Times New Roman" w:hint="eastAsia"/>
          <w:szCs w:val="32"/>
        </w:rPr>
        <w:t>萬元。該府考量財政安排，難於</w:t>
      </w:r>
      <w:r>
        <w:rPr>
          <w:rFonts w:ascii="Times New Roman" w:hAnsi="Times New Roman"/>
          <w:szCs w:val="32"/>
        </w:rPr>
        <w:t>1</w:t>
      </w:r>
      <w:r>
        <w:rPr>
          <w:rFonts w:ascii="Times New Roman" w:hAnsi="Times New Roman" w:hint="eastAsia"/>
          <w:szCs w:val="32"/>
        </w:rPr>
        <w:t>次攤還，將於</w:t>
      </w:r>
      <w:r>
        <w:rPr>
          <w:rFonts w:ascii="Times New Roman" w:hAnsi="Times New Roman"/>
          <w:szCs w:val="32"/>
        </w:rPr>
        <w:t>107</w:t>
      </w:r>
      <w:r>
        <w:rPr>
          <w:rFonts w:ascii="Times New Roman" w:hAnsi="Times New Roman" w:hint="eastAsia"/>
          <w:szCs w:val="32"/>
        </w:rPr>
        <w:t>年度分</w:t>
      </w:r>
      <w:r>
        <w:rPr>
          <w:rFonts w:ascii="Times New Roman" w:hAnsi="Times New Roman"/>
          <w:szCs w:val="32"/>
        </w:rPr>
        <w:t>10</w:t>
      </w:r>
      <w:r>
        <w:rPr>
          <w:rFonts w:ascii="Times New Roman" w:hAnsi="Times New Roman" w:hint="eastAsia"/>
          <w:szCs w:val="32"/>
        </w:rPr>
        <w:t>年逐年攤還彩券盈餘專戶，</w:t>
      </w:r>
      <w:r>
        <w:rPr>
          <w:rFonts w:ascii="Times New Roman" w:hAnsi="Times New Roman"/>
          <w:szCs w:val="32"/>
        </w:rPr>
        <w:t>107</w:t>
      </w:r>
      <w:r>
        <w:rPr>
          <w:rFonts w:ascii="Times New Roman" w:hAnsi="Times New Roman" w:hint="eastAsia"/>
          <w:szCs w:val="32"/>
        </w:rPr>
        <w:t>年度該府預算編列攤還數</w:t>
      </w:r>
      <w:r>
        <w:rPr>
          <w:rFonts w:ascii="Times New Roman" w:hAnsi="Times New Roman"/>
          <w:szCs w:val="32"/>
        </w:rPr>
        <w:t>235</w:t>
      </w:r>
      <w:r>
        <w:rPr>
          <w:rFonts w:ascii="Times New Roman" w:hAnsi="Times New Roman" w:hint="eastAsia"/>
          <w:szCs w:val="32"/>
        </w:rPr>
        <w:t>萬</w:t>
      </w:r>
      <w:r>
        <w:rPr>
          <w:rFonts w:ascii="Times New Roman" w:hAnsi="Times New Roman"/>
          <w:szCs w:val="32"/>
        </w:rPr>
        <w:t>6,746</w:t>
      </w:r>
      <w:r>
        <w:rPr>
          <w:rFonts w:ascii="Times New Roman" w:hAnsi="Times New Roman" w:hint="eastAsia"/>
          <w:szCs w:val="32"/>
        </w:rPr>
        <w:t>元，預計於</w:t>
      </w:r>
      <w:r>
        <w:rPr>
          <w:rFonts w:ascii="Times New Roman" w:hAnsi="Times New Roman"/>
          <w:szCs w:val="32"/>
        </w:rPr>
        <w:t>108</w:t>
      </w:r>
      <w:r>
        <w:rPr>
          <w:rFonts w:ascii="Times New Roman" w:hAnsi="Times New Roman" w:hint="eastAsia"/>
          <w:szCs w:val="32"/>
        </w:rPr>
        <w:t>年度至</w:t>
      </w:r>
      <w:r>
        <w:rPr>
          <w:rFonts w:ascii="Times New Roman" w:hAnsi="Times New Roman"/>
          <w:szCs w:val="32"/>
        </w:rPr>
        <w:t>116</w:t>
      </w:r>
      <w:r>
        <w:rPr>
          <w:rFonts w:ascii="Times New Roman" w:hAnsi="Times New Roman" w:hint="eastAsia"/>
          <w:szCs w:val="32"/>
        </w:rPr>
        <w:t>年度再各編列</w:t>
      </w:r>
      <w:r>
        <w:rPr>
          <w:rFonts w:ascii="Times New Roman" w:hAnsi="Times New Roman"/>
          <w:szCs w:val="32"/>
        </w:rPr>
        <w:t>100</w:t>
      </w:r>
      <w:r>
        <w:rPr>
          <w:rFonts w:ascii="Times New Roman" w:hAnsi="Times New Roman" w:hint="eastAsia"/>
          <w:szCs w:val="32"/>
        </w:rPr>
        <w:t>萬元攤還。</w:t>
      </w:r>
    </w:p>
    <w:p w:rsidR="0040606A" w:rsidRDefault="0040606A" w:rsidP="0040606A">
      <w:pPr>
        <w:pStyle w:val="3"/>
        <w:numPr>
          <w:ilvl w:val="2"/>
          <w:numId w:val="9"/>
        </w:numPr>
        <w:kinsoku w:val="0"/>
        <w:rPr>
          <w:rFonts w:ascii="Times New Roman" w:hAnsi="Times New Roman"/>
          <w:szCs w:val="32"/>
        </w:rPr>
      </w:pPr>
      <w:bookmarkStart w:id="1932" w:name="_Toc507484804"/>
      <w:bookmarkStart w:id="1933" w:name="_Toc507518653"/>
      <w:bookmarkStart w:id="1934" w:name="_Toc507491636"/>
      <w:bookmarkStart w:id="1935" w:name="_Toc507767750"/>
      <w:bookmarkStart w:id="1936" w:name="_Toc507768476"/>
      <w:bookmarkStart w:id="1937" w:name="_Toc511115472"/>
      <w:bookmarkStart w:id="1938" w:name="_Toc511308262"/>
      <w:bookmarkStart w:id="1939" w:name="_Toc511998706"/>
      <w:bookmarkStart w:id="1940" w:name="_Toc512421063"/>
      <w:r>
        <w:rPr>
          <w:rFonts w:ascii="Times New Roman" w:hAnsi="Times New Roman" w:hint="eastAsia"/>
          <w:szCs w:val="32"/>
        </w:rPr>
        <w:t>綜上，</w:t>
      </w:r>
      <w:bookmarkEnd w:id="1932"/>
      <w:r w:rsidR="006A51BA" w:rsidRPr="006A51BA">
        <w:rPr>
          <w:rFonts w:ascii="Times New Roman" w:hAnsi="Times New Roman" w:hint="eastAsia"/>
        </w:rPr>
        <w:t>金門縣政府將獲配之公益彩券盈餘納入該縣社會福利基金專戶中，惟該基金內尚有各界捐款及以前年度運用之剩餘款，該府對於該分配款之孳息卻未能落實專款專用</w:t>
      </w:r>
      <w:r w:rsidR="006A51BA">
        <w:rPr>
          <w:rFonts w:ascii="Times New Roman" w:hAnsi="Times New Roman" w:hint="eastAsia"/>
        </w:rPr>
        <w:t>。</w:t>
      </w:r>
      <w:r w:rsidR="006A51BA" w:rsidRPr="006A51BA">
        <w:rPr>
          <w:rFonts w:ascii="Times New Roman" w:hAnsi="Times New Roman" w:hint="eastAsia"/>
        </w:rPr>
        <w:t>又，基隆市政府原以統收統支方式管理運用公益彩券盈餘分配款，嗣於</w:t>
      </w:r>
      <w:r w:rsidR="006A51BA" w:rsidRPr="006A51BA">
        <w:rPr>
          <w:rFonts w:ascii="Times New Roman" w:hAnsi="Times New Roman"/>
        </w:rPr>
        <w:t>94</w:t>
      </w:r>
      <w:r w:rsidR="006A51BA" w:rsidRPr="006A51BA">
        <w:rPr>
          <w:rFonts w:ascii="Times New Roman" w:hAnsi="Times New Roman" w:hint="eastAsia"/>
        </w:rPr>
        <w:t>年成立公益彩券盈餘分配基金後，卻未將該盈餘分配款全數轉入該基金專戶，仍有</w:t>
      </w:r>
      <w:r w:rsidR="006A51BA" w:rsidRPr="006A51BA">
        <w:rPr>
          <w:rFonts w:ascii="Times New Roman" w:hAnsi="Times New Roman"/>
        </w:rPr>
        <w:t>1,609</w:t>
      </w:r>
      <w:r w:rsidR="006A51BA" w:rsidRPr="006A51BA">
        <w:rPr>
          <w:rFonts w:ascii="Times New Roman" w:hAnsi="Times New Roman" w:hint="eastAsia"/>
        </w:rPr>
        <w:t>萬</w:t>
      </w:r>
      <w:r w:rsidR="006A51BA" w:rsidRPr="006A51BA">
        <w:rPr>
          <w:rFonts w:ascii="Times New Roman" w:hAnsi="Times New Roman"/>
        </w:rPr>
        <w:t>6,689</w:t>
      </w:r>
      <w:r w:rsidR="006A51BA" w:rsidRPr="006A51BA">
        <w:rPr>
          <w:rFonts w:ascii="Times New Roman" w:hAnsi="Times New Roman" w:hint="eastAsia"/>
        </w:rPr>
        <w:t>元留存於市庫，財政部應予督促檢討改進</w:t>
      </w:r>
      <w:r w:rsidRPr="006A51BA">
        <w:rPr>
          <w:rFonts w:ascii="Times New Roman" w:hAnsi="Times New Roman" w:hint="eastAsia"/>
          <w:szCs w:val="32"/>
        </w:rPr>
        <w:t>。</w:t>
      </w:r>
      <w:bookmarkEnd w:id="1933"/>
      <w:bookmarkEnd w:id="1934"/>
      <w:bookmarkEnd w:id="1935"/>
      <w:bookmarkEnd w:id="1936"/>
      <w:bookmarkEnd w:id="1937"/>
      <w:bookmarkEnd w:id="1938"/>
      <w:bookmarkEnd w:id="1939"/>
      <w:bookmarkEnd w:id="1940"/>
    </w:p>
    <w:p w:rsidR="0040606A" w:rsidRDefault="0040606A" w:rsidP="0040606A">
      <w:pPr>
        <w:pStyle w:val="2"/>
        <w:numPr>
          <w:ilvl w:val="1"/>
          <w:numId w:val="9"/>
        </w:numPr>
        <w:kinsoku w:val="0"/>
        <w:ind w:left="1344" w:hanging="1004"/>
        <w:rPr>
          <w:b/>
          <w:spacing w:val="-4"/>
        </w:rPr>
      </w:pPr>
      <w:bookmarkStart w:id="1941" w:name="_Toc507518654"/>
      <w:bookmarkStart w:id="1942" w:name="_Toc507767751"/>
      <w:bookmarkStart w:id="1943" w:name="_Toc511115473"/>
      <w:bookmarkStart w:id="1944" w:name="_Toc512421064"/>
      <w:r>
        <w:rPr>
          <w:rFonts w:hint="eastAsia"/>
          <w:b/>
          <w:spacing w:val="-4"/>
        </w:rPr>
        <w:t>財政部僅就地方政府「有」或「無」增聘「專人專職辦理公益彩券盈餘管理業務」進行考核，惟各地方政府辦理</w:t>
      </w:r>
      <w:r>
        <w:rPr>
          <w:rFonts w:ascii="Times New Roman" w:hAnsi="Times New Roman" w:hint="eastAsia"/>
          <w:b/>
          <w:spacing w:val="-4"/>
        </w:rPr>
        <w:t>公益彩券盈餘分配</w:t>
      </w:r>
      <w:r w:rsidR="00FC2314">
        <w:rPr>
          <w:rFonts w:ascii="Times New Roman" w:hAnsi="Times New Roman" w:hint="eastAsia"/>
          <w:b/>
          <w:spacing w:val="-4"/>
        </w:rPr>
        <w:t>款</w:t>
      </w:r>
      <w:r>
        <w:rPr>
          <w:rFonts w:hint="eastAsia"/>
          <w:b/>
          <w:spacing w:val="-4"/>
        </w:rPr>
        <w:t>業務之專責人力配置差距頗大，該部允宜督導評估適宜人力數，俾使該</w:t>
      </w:r>
      <w:r w:rsidR="00FC2314">
        <w:rPr>
          <w:rFonts w:hint="eastAsia"/>
          <w:b/>
          <w:spacing w:val="-4"/>
        </w:rPr>
        <w:t>分配款</w:t>
      </w:r>
      <w:r>
        <w:rPr>
          <w:rFonts w:hint="eastAsia"/>
          <w:b/>
          <w:spacing w:val="-4"/>
        </w:rPr>
        <w:t>得以發揮用於社會福利相關事項最大之效益。</w:t>
      </w:r>
      <w:bookmarkEnd w:id="1941"/>
      <w:bookmarkEnd w:id="1942"/>
      <w:bookmarkEnd w:id="1943"/>
      <w:bookmarkEnd w:id="1944"/>
    </w:p>
    <w:p w:rsidR="0040606A" w:rsidRDefault="00F616B6" w:rsidP="0040606A">
      <w:pPr>
        <w:pStyle w:val="3"/>
        <w:numPr>
          <w:ilvl w:val="2"/>
          <w:numId w:val="9"/>
        </w:numPr>
        <w:kinsoku w:val="0"/>
        <w:ind w:left="1360" w:hanging="680"/>
        <w:rPr>
          <w:rFonts w:ascii="Times New Roman" w:hAnsi="Times New Roman"/>
        </w:rPr>
      </w:pPr>
      <w:bookmarkStart w:id="1945" w:name="_Toc507518655"/>
      <w:bookmarkStart w:id="1946" w:name="_Toc507491638"/>
      <w:bookmarkStart w:id="1947" w:name="_Toc507484806"/>
      <w:bookmarkStart w:id="1948" w:name="_Toc507403660"/>
      <w:bookmarkStart w:id="1949" w:name="_Toc507767752"/>
      <w:bookmarkStart w:id="1950" w:name="_Toc507768478"/>
      <w:bookmarkStart w:id="1951" w:name="_Toc511308264"/>
      <w:bookmarkStart w:id="1952" w:name="_Toc511998708"/>
      <w:bookmarkStart w:id="1953" w:name="_Toc512421065"/>
      <w:r>
        <w:rPr>
          <w:rFonts w:ascii="Times New Roman" w:hAnsi="Times New Roman" w:hint="eastAsia"/>
        </w:rPr>
        <w:t>依據</w:t>
      </w:r>
      <w:r w:rsidR="0040606A">
        <w:rPr>
          <w:rFonts w:ascii="Times New Roman" w:hAnsi="Times New Roman" w:hint="eastAsia"/>
        </w:rPr>
        <w:t>財政部國庫署</w:t>
      </w:r>
      <w:r w:rsidR="0040606A">
        <w:rPr>
          <w:rFonts w:ascii="Times New Roman" w:hAnsi="Times New Roman"/>
        </w:rPr>
        <w:t>101</w:t>
      </w:r>
      <w:r w:rsidR="0040606A">
        <w:rPr>
          <w:rFonts w:ascii="Times New Roman" w:hAnsi="Times New Roman" w:hint="eastAsia"/>
        </w:rPr>
        <w:t>年度委託完成</w:t>
      </w:r>
      <w:r>
        <w:rPr>
          <w:rFonts w:ascii="Times New Roman" w:hAnsi="Times New Roman" w:hint="eastAsia"/>
        </w:rPr>
        <w:t>之</w:t>
      </w:r>
      <w:r w:rsidR="0040606A">
        <w:rPr>
          <w:rFonts w:ascii="Times New Roman" w:hAnsi="Times New Roman" w:hint="eastAsia"/>
        </w:rPr>
        <w:t>「公益彩券盈餘運用監督機制及績效評估之檢討與改進」報告指出，基於公益彩券盈餘分配款之預算編列複雜性，以及業務承辦人熟稔公益彩券盈餘運用與管理相關規定，為管</w:t>
      </w:r>
      <w:r w:rsidR="0040606A">
        <w:rPr>
          <w:rFonts w:ascii="Times New Roman" w:hAnsi="Times New Roman"/>
        </w:rPr>
        <w:t>(</w:t>
      </w:r>
      <w:r w:rsidR="0040606A">
        <w:rPr>
          <w:rFonts w:ascii="Times New Roman" w:hAnsi="Times New Roman" w:hint="eastAsia"/>
        </w:rPr>
        <w:t>監</w:t>
      </w:r>
      <w:r w:rsidR="0040606A">
        <w:rPr>
          <w:rFonts w:ascii="Times New Roman" w:hAnsi="Times New Roman"/>
        </w:rPr>
        <w:t>)</w:t>
      </w:r>
      <w:r w:rsidR="0040606A">
        <w:rPr>
          <w:rFonts w:ascii="Times New Roman" w:hAnsi="Times New Roman" w:hint="eastAsia"/>
        </w:rPr>
        <w:t>理委員會能否發揮功能之重要關鍵，</w:t>
      </w:r>
      <w:r>
        <w:rPr>
          <w:rFonts w:ascii="Times New Roman" w:hAnsi="Times New Roman" w:hint="eastAsia"/>
        </w:rPr>
        <w:t>該研究</w:t>
      </w:r>
      <w:r w:rsidR="0040606A">
        <w:rPr>
          <w:rFonts w:ascii="Times New Roman" w:hAnsi="Times New Roman" w:hint="eastAsia"/>
        </w:rPr>
        <w:t>爰建議增聘「全職專責」人員。該項建議嗣經</w:t>
      </w:r>
      <w:r>
        <w:rPr>
          <w:rFonts w:ascii="Times New Roman" w:hAnsi="Times New Roman" w:hint="eastAsia"/>
        </w:rPr>
        <w:t>財政部</w:t>
      </w:r>
      <w:r w:rsidR="0040606A">
        <w:rPr>
          <w:rFonts w:ascii="Times New Roman" w:hAnsi="Times New Roman" w:hint="eastAsia"/>
        </w:rPr>
        <w:t>參採後，納入</w:t>
      </w:r>
      <w:r w:rsidR="0040606A">
        <w:rPr>
          <w:rFonts w:ascii="Times New Roman" w:hAnsi="Times New Roman"/>
        </w:rPr>
        <w:t>104</w:t>
      </w:r>
      <w:r w:rsidR="0040606A">
        <w:rPr>
          <w:rFonts w:ascii="Times New Roman" w:hAnsi="Times New Roman" w:hint="eastAsia"/>
        </w:rPr>
        <w:t>年度及</w:t>
      </w:r>
      <w:r w:rsidR="0040606A">
        <w:rPr>
          <w:rFonts w:ascii="Times New Roman" w:hAnsi="Times New Roman"/>
        </w:rPr>
        <w:t>105</w:t>
      </w:r>
      <w:r w:rsidR="0040606A">
        <w:rPr>
          <w:rFonts w:ascii="Times New Roman" w:hAnsi="Times New Roman" w:hint="eastAsia"/>
        </w:rPr>
        <w:t>年度公益彩券盈餘運用考核指標。</w:t>
      </w:r>
      <w:bookmarkEnd w:id="1945"/>
      <w:bookmarkEnd w:id="1946"/>
      <w:bookmarkEnd w:id="1947"/>
      <w:bookmarkEnd w:id="1948"/>
      <w:bookmarkEnd w:id="1949"/>
      <w:bookmarkEnd w:id="1950"/>
      <w:bookmarkEnd w:id="1951"/>
      <w:bookmarkEnd w:id="1952"/>
      <w:bookmarkEnd w:id="1953"/>
    </w:p>
    <w:p w:rsidR="0040606A" w:rsidRPr="00D163D7" w:rsidRDefault="0040606A" w:rsidP="0040606A">
      <w:pPr>
        <w:pStyle w:val="3"/>
        <w:numPr>
          <w:ilvl w:val="2"/>
          <w:numId w:val="9"/>
        </w:numPr>
        <w:kinsoku w:val="0"/>
        <w:ind w:left="1360" w:hanging="680"/>
        <w:rPr>
          <w:rFonts w:ascii="Times New Roman" w:hAnsi="Times New Roman"/>
        </w:rPr>
      </w:pPr>
      <w:bookmarkStart w:id="1954" w:name="_Toc507518656"/>
      <w:bookmarkStart w:id="1955" w:name="_Toc507491639"/>
      <w:bookmarkStart w:id="1956" w:name="_Toc507484807"/>
      <w:bookmarkStart w:id="1957" w:name="_Toc507403661"/>
      <w:bookmarkStart w:id="1958" w:name="_Toc507767753"/>
      <w:bookmarkStart w:id="1959" w:name="_Toc507768479"/>
      <w:bookmarkStart w:id="1960" w:name="_Toc511308265"/>
      <w:bookmarkStart w:id="1961" w:name="_Toc511998709"/>
      <w:bookmarkStart w:id="1962" w:name="_Toc512421066"/>
      <w:r>
        <w:rPr>
          <w:rFonts w:ascii="Times New Roman" w:hAnsi="Times New Roman" w:hint="eastAsia"/>
        </w:rPr>
        <w:t>惟查，</w:t>
      </w:r>
      <w:r>
        <w:rPr>
          <w:rFonts w:ascii="Times New Roman" w:hAnsi="Times New Roman"/>
        </w:rPr>
        <w:t>104</w:t>
      </w:r>
      <w:r>
        <w:rPr>
          <w:rFonts w:ascii="Times New Roman" w:hAnsi="Times New Roman" w:hint="eastAsia"/>
        </w:rPr>
        <w:t>年度及</w:t>
      </w:r>
      <w:r>
        <w:rPr>
          <w:rFonts w:ascii="Times New Roman" w:hAnsi="Times New Roman"/>
        </w:rPr>
        <w:t>105</w:t>
      </w:r>
      <w:r>
        <w:rPr>
          <w:rFonts w:ascii="Times New Roman" w:hAnsi="Times New Roman" w:hint="eastAsia"/>
        </w:rPr>
        <w:t>年度「公益彩券盈餘運用考核指標及評分標準表」，其中有關「專人專職辦理公益彩券盈餘管理業務」，僅就</w:t>
      </w:r>
      <w:r>
        <w:rPr>
          <w:rFonts w:ascii="Times New Roman" w:eastAsia="新細明體" w:hAnsi="Times New Roman" w:hint="eastAsia"/>
        </w:rPr>
        <w:t>「</w:t>
      </w:r>
      <w:r>
        <w:rPr>
          <w:rFonts w:ascii="Times New Roman" w:hAnsi="Times New Roman"/>
        </w:rPr>
        <w:t>1.</w:t>
      </w:r>
      <w:r>
        <w:rPr>
          <w:rFonts w:ascii="Times New Roman" w:hAnsi="Times New Roman" w:hint="eastAsia"/>
        </w:rPr>
        <w:t>專職人員負責本項業務：</w:t>
      </w:r>
      <w:r>
        <w:rPr>
          <w:rFonts w:ascii="Times New Roman" w:hAnsi="Times New Roman"/>
        </w:rPr>
        <w:t xml:space="preserve">5 </w:t>
      </w:r>
      <w:r>
        <w:rPr>
          <w:rFonts w:ascii="Times New Roman" w:hAnsi="Times New Roman" w:hint="eastAsia"/>
        </w:rPr>
        <w:t>分。</w:t>
      </w:r>
      <w:r>
        <w:rPr>
          <w:rFonts w:ascii="Times New Roman" w:hAnsi="Times New Roman"/>
        </w:rPr>
        <w:t>2.</w:t>
      </w:r>
      <w:r>
        <w:rPr>
          <w:rFonts w:ascii="Times New Roman" w:hAnsi="Times New Roman" w:hint="eastAsia"/>
        </w:rPr>
        <w:t>未設置專職人員：</w:t>
      </w:r>
      <w:r>
        <w:rPr>
          <w:rFonts w:ascii="Times New Roman" w:hAnsi="Times New Roman"/>
        </w:rPr>
        <w:t xml:space="preserve">0 </w:t>
      </w:r>
      <w:r>
        <w:rPr>
          <w:rFonts w:ascii="Times New Roman" w:hAnsi="Times New Roman" w:hint="eastAsia"/>
        </w:rPr>
        <w:t>分。」之考核標準進行考核，以致無論各縣市該基金規模大小、業務複雜性，凡</w:t>
      </w:r>
      <w:r w:rsidRPr="00D163D7">
        <w:rPr>
          <w:rFonts w:ascii="Times New Roman" w:hAnsi="Times New Roman" w:hint="eastAsia"/>
        </w:rPr>
        <w:t>有專職人力，即符合前述考核標準，使得該項考核指標形同虛設，未能就</w:t>
      </w:r>
      <w:r w:rsidR="00F616B6" w:rsidRPr="00D163D7">
        <w:rPr>
          <w:rFonts w:ascii="Times New Roman" w:hAnsi="Times New Roman" w:hint="eastAsia"/>
        </w:rPr>
        <w:t>地方政府</w:t>
      </w:r>
      <w:r w:rsidRPr="00D163D7">
        <w:rPr>
          <w:rFonts w:ascii="Times New Roman" w:hAnsi="Times New Roman" w:hint="eastAsia"/>
        </w:rPr>
        <w:t>所配置之專職人力數是否適宜加以考評，以引導地方政府配置適宜之人力數。</w:t>
      </w:r>
      <w:bookmarkEnd w:id="1954"/>
      <w:bookmarkEnd w:id="1955"/>
      <w:bookmarkEnd w:id="1956"/>
      <w:bookmarkEnd w:id="1957"/>
      <w:bookmarkEnd w:id="1958"/>
      <w:bookmarkEnd w:id="1959"/>
      <w:r w:rsidRPr="00D163D7">
        <w:rPr>
          <w:rFonts w:ascii="Times New Roman" w:hAnsi="Times New Roman" w:hint="eastAsia"/>
        </w:rPr>
        <w:t>且依財政部說明：該項指標於</w:t>
      </w:r>
      <w:r w:rsidRPr="00D163D7">
        <w:rPr>
          <w:rFonts w:ascii="Times New Roman" w:hAnsi="Times New Roman" w:hint="eastAsia"/>
        </w:rPr>
        <w:t>106</w:t>
      </w:r>
      <w:r w:rsidRPr="00D163D7">
        <w:rPr>
          <w:rFonts w:ascii="Times New Roman" w:hAnsi="Times New Roman" w:hint="eastAsia"/>
        </w:rPr>
        <w:t>年度考核指標檢討時，基於地方政府均能配合辦理，爰因應行政院簡化考核政策，已予以刪除。另依財政部說明，關於地方政府推動辦理社福業務專責人力配置等節，屬地方自治事項等語。</w:t>
      </w:r>
      <w:bookmarkEnd w:id="1960"/>
      <w:bookmarkEnd w:id="1961"/>
      <w:bookmarkEnd w:id="1962"/>
    </w:p>
    <w:p w:rsidR="0040606A" w:rsidRPr="00D163D7" w:rsidRDefault="0040606A" w:rsidP="0040606A">
      <w:pPr>
        <w:pStyle w:val="3"/>
        <w:numPr>
          <w:ilvl w:val="2"/>
          <w:numId w:val="9"/>
        </w:numPr>
        <w:rPr>
          <w:rFonts w:ascii="Times New Roman" w:hAnsi="Times New Roman"/>
          <w:b/>
          <w:spacing w:val="-2"/>
        </w:rPr>
      </w:pPr>
      <w:bookmarkStart w:id="1963" w:name="_Toc507518657"/>
      <w:bookmarkStart w:id="1964" w:name="_Toc507491640"/>
      <w:bookmarkStart w:id="1965" w:name="_Toc507484808"/>
      <w:bookmarkStart w:id="1966" w:name="_Toc507403662"/>
      <w:bookmarkStart w:id="1967" w:name="_Toc507767754"/>
      <w:bookmarkStart w:id="1968" w:name="_Toc507768480"/>
      <w:bookmarkStart w:id="1969" w:name="_Toc511308266"/>
      <w:bookmarkStart w:id="1970" w:name="_Toc511998710"/>
      <w:bookmarkStart w:id="1971" w:name="_Toc512421067"/>
      <w:r>
        <w:rPr>
          <w:rFonts w:ascii="Times New Roman" w:hAnsi="Times New Roman" w:hint="eastAsia"/>
          <w:spacing w:val="-2"/>
        </w:rPr>
        <w:t>再據財政部查復結果顯示，</w:t>
      </w:r>
      <w:r>
        <w:rPr>
          <w:rFonts w:ascii="Times New Roman" w:hAnsi="Times New Roman"/>
          <w:spacing w:val="-2"/>
        </w:rPr>
        <w:t>106</w:t>
      </w:r>
      <w:r>
        <w:rPr>
          <w:rFonts w:ascii="Times New Roman" w:hAnsi="Times New Roman" w:hint="eastAsia"/>
          <w:spacing w:val="-2"/>
        </w:rPr>
        <w:t>年各地方政府「專人專職辦理公益彩券盈餘管理業務」者，人力配置約在</w:t>
      </w:r>
      <w:r>
        <w:rPr>
          <w:rFonts w:ascii="Times New Roman" w:hAnsi="Times New Roman"/>
          <w:spacing w:val="-2"/>
        </w:rPr>
        <w:t>1</w:t>
      </w:r>
      <w:r>
        <w:rPr>
          <w:rFonts w:ascii="Times New Roman" w:hAnsi="Times New Roman" w:hint="eastAsia"/>
          <w:spacing w:val="-2"/>
        </w:rPr>
        <w:t>人至</w:t>
      </w:r>
      <w:r>
        <w:rPr>
          <w:rFonts w:ascii="Times New Roman" w:hAnsi="Times New Roman"/>
          <w:spacing w:val="-2"/>
        </w:rPr>
        <w:t>4</w:t>
      </w:r>
      <w:r>
        <w:rPr>
          <w:rFonts w:ascii="Times New Roman" w:hAnsi="Times New Roman" w:hint="eastAsia"/>
          <w:spacing w:val="-2"/>
        </w:rPr>
        <w:t>人間。又依該部說明，以新北市政府為例，該府正職公務員</w:t>
      </w:r>
      <w:r>
        <w:rPr>
          <w:rFonts w:ascii="Times New Roman" w:hAnsi="Times New Roman"/>
          <w:spacing w:val="-2"/>
        </w:rPr>
        <w:t>1</w:t>
      </w:r>
      <w:r>
        <w:rPr>
          <w:rFonts w:ascii="Times New Roman" w:hAnsi="Times New Roman" w:hint="eastAsia"/>
          <w:spacing w:val="-2"/>
        </w:rPr>
        <w:t>位統籌管理公彩業務，運用彩券盈餘經費聘用</w:t>
      </w:r>
      <w:r>
        <w:rPr>
          <w:rFonts w:ascii="Times New Roman" w:hAnsi="Times New Roman"/>
          <w:spacing w:val="-2"/>
        </w:rPr>
        <w:t>12</w:t>
      </w:r>
      <w:r>
        <w:rPr>
          <w:rFonts w:ascii="Times New Roman" w:hAnsi="Times New Roman" w:hint="eastAsia"/>
          <w:spacing w:val="-2"/>
        </w:rPr>
        <w:t>位臨時人員負責執行公彩相關計畫及彩券盈餘專戶帳務管理；公彩預算包含兒少、婦女、老人、</w:t>
      </w:r>
      <w:r w:rsidR="00F616B6">
        <w:rPr>
          <w:rFonts w:ascii="Times New Roman" w:hAnsi="Times New Roman" w:hint="eastAsia"/>
          <w:spacing w:val="-2"/>
        </w:rPr>
        <w:t>身心障礙者</w:t>
      </w:r>
      <w:r>
        <w:rPr>
          <w:rFonts w:ascii="Times New Roman" w:hAnsi="Times New Roman" w:hint="eastAsia"/>
          <w:spacing w:val="-2"/>
        </w:rPr>
        <w:t>、救助等多項社會福利計畫，係由各業務科室主辦，依該部查復地方政府</w:t>
      </w:r>
      <w:r>
        <w:rPr>
          <w:rFonts w:ascii="Times New Roman" w:hAnsi="Times New Roman"/>
          <w:spacing w:val="-2"/>
        </w:rPr>
        <w:t>106</w:t>
      </w:r>
      <w:r>
        <w:rPr>
          <w:rFonts w:ascii="Times New Roman" w:hAnsi="Times New Roman" w:hint="eastAsia"/>
          <w:spacing w:val="-2"/>
        </w:rPr>
        <w:t>年度以獲配</w:t>
      </w:r>
      <w:r w:rsidR="00F616B6">
        <w:rPr>
          <w:rFonts w:ascii="Times New Roman" w:hAnsi="Times New Roman" w:hint="eastAsia"/>
          <w:spacing w:val="-2"/>
        </w:rPr>
        <w:t>之公益</w:t>
      </w:r>
      <w:r>
        <w:rPr>
          <w:rFonts w:ascii="Times New Roman" w:hAnsi="Times New Roman" w:hint="eastAsia"/>
          <w:spacing w:val="-2"/>
        </w:rPr>
        <w:t>彩券盈餘進用人力</w:t>
      </w:r>
      <w:r>
        <w:rPr>
          <w:rStyle w:val="aff1"/>
          <w:rFonts w:ascii="Times New Roman" w:hAnsi="Times New Roman"/>
          <w:spacing w:val="-2"/>
        </w:rPr>
        <w:footnoteReference w:id="20"/>
      </w:r>
      <w:r>
        <w:rPr>
          <w:rFonts w:ascii="Times New Roman" w:hAnsi="Times New Roman" w:hint="eastAsia"/>
          <w:spacing w:val="-2"/>
        </w:rPr>
        <w:t>情形，最多之</w:t>
      </w:r>
      <w:r>
        <w:rPr>
          <w:rFonts w:ascii="Times New Roman" w:hAnsi="Times New Roman"/>
          <w:spacing w:val="-2"/>
        </w:rPr>
        <w:t>5</w:t>
      </w:r>
      <w:r>
        <w:rPr>
          <w:rFonts w:ascii="Times New Roman" w:hAnsi="Times New Roman" w:hint="eastAsia"/>
          <w:spacing w:val="-2"/>
        </w:rPr>
        <w:t>個縣市依序為基隆市</w:t>
      </w:r>
      <w:r>
        <w:rPr>
          <w:rFonts w:ascii="Times New Roman" w:hAnsi="Times New Roman"/>
          <w:spacing w:val="-2"/>
        </w:rPr>
        <w:t>49</w:t>
      </w:r>
      <w:r>
        <w:rPr>
          <w:rFonts w:ascii="Times New Roman" w:hAnsi="Times New Roman" w:hint="eastAsia"/>
          <w:spacing w:val="-2"/>
        </w:rPr>
        <w:t>人、臺北市</w:t>
      </w:r>
      <w:r>
        <w:rPr>
          <w:rFonts w:ascii="Times New Roman" w:hAnsi="Times New Roman"/>
          <w:spacing w:val="-2"/>
        </w:rPr>
        <w:t>39</w:t>
      </w:r>
      <w:r>
        <w:rPr>
          <w:rFonts w:ascii="Times New Roman" w:hAnsi="Times New Roman" w:hint="eastAsia"/>
          <w:spacing w:val="-2"/>
        </w:rPr>
        <w:t>人、南投縣</w:t>
      </w:r>
      <w:r>
        <w:rPr>
          <w:rFonts w:ascii="Times New Roman" w:hAnsi="Times New Roman"/>
          <w:spacing w:val="-2"/>
        </w:rPr>
        <w:t>35</w:t>
      </w:r>
      <w:r>
        <w:rPr>
          <w:rFonts w:ascii="Times New Roman" w:hAnsi="Times New Roman" w:hint="eastAsia"/>
          <w:spacing w:val="-2"/>
        </w:rPr>
        <w:t>人、桃園市</w:t>
      </w:r>
      <w:r>
        <w:rPr>
          <w:rFonts w:ascii="Times New Roman" w:hAnsi="Times New Roman"/>
          <w:spacing w:val="-2"/>
        </w:rPr>
        <w:t>20</w:t>
      </w:r>
      <w:r>
        <w:rPr>
          <w:rFonts w:ascii="Times New Roman" w:hAnsi="Times New Roman" w:hint="eastAsia"/>
          <w:spacing w:val="-2"/>
        </w:rPr>
        <w:t>人、臺東縣</w:t>
      </w:r>
      <w:r>
        <w:rPr>
          <w:rFonts w:ascii="Times New Roman" w:hAnsi="Times New Roman"/>
          <w:spacing w:val="-2"/>
        </w:rPr>
        <w:t>16</w:t>
      </w:r>
      <w:r>
        <w:rPr>
          <w:rFonts w:ascii="Times New Roman" w:hAnsi="Times New Roman" w:hint="eastAsia"/>
          <w:spacing w:val="-2"/>
        </w:rPr>
        <w:t>人；最少之</w:t>
      </w:r>
      <w:r>
        <w:rPr>
          <w:rFonts w:ascii="Times New Roman" w:hAnsi="Times New Roman"/>
          <w:spacing w:val="-2"/>
        </w:rPr>
        <w:t>7</w:t>
      </w:r>
      <w:r>
        <w:rPr>
          <w:rFonts w:ascii="Times New Roman" w:hAnsi="Times New Roman" w:hint="eastAsia"/>
          <w:spacing w:val="-2"/>
        </w:rPr>
        <w:t>個縣市，依序為宜蘭縣、新竹縣、雲林縣</w:t>
      </w:r>
      <w:r>
        <w:rPr>
          <w:rFonts w:ascii="Times New Roman" w:hAnsi="Times New Roman"/>
          <w:spacing w:val="-2"/>
        </w:rPr>
        <w:t>0</w:t>
      </w:r>
      <w:r>
        <w:rPr>
          <w:rFonts w:ascii="Times New Roman" w:hAnsi="Times New Roman" w:hint="eastAsia"/>
          <w:spacing w:val="-2"/>
        </w:rPr>
        <w:t>人及苗栗縣、嘉義縣、澎湖市、嘉義市</w:t>
      </w:r>
      <w:r>
        <w:rPr>
          <w:rFonts w:ascii="Times New Roman" w:hAnsi="Times New Roman"/>
          <w:spacing w:val="-2"/>
        </w:rPr>
        <w:t>1</w:t>
      </w:r>
      <w:r>
        <w:rPr>
          <w:rFonts w:ascii="Times New Roman" w:hAnsi="Times New Roman" w:hint="eastAsia"/>
          <w:spacing w:val="-2"/>
        </w:rPr>
        <w:t>人。就專責人力及以公益彩券盈餘分配款進用之人力兩者合計觀之，最多之縣市為基隆市</w:t>
      </w:r>
      <w:r>
        <w:rPr>
          <w:rFonts w:ascii="Times New Roman" w:hAnsi="Times New Roman"/>
          <w:spacing w:val="-2"/>
        </w:rPr>
        <w:t>48</w:t>
      </w:r>
      <w:r>
        <w:rPr>
          <w:rFonts w:ascii="Times New Roman" w:hAnsi="Times New Roman" w:hint="eastAsia"/>
          <w:spacing w:val="-2"/>
        </w:rPr>
        <w:t>人，其次為臺北市之</w:t>
      </w:r>
      <w:r>
        <w:rPr>
          <w:rFonts w:ascii="Times New Roman" w:hAnsi="Times New Roman"/>
          <w:spacing w:val="-2"/>
        </w:rPr>
        <w:t>43</w:t>
      </w:r>
      <w:r>
        <w:rPr>
          <w:rFonts w:ascii="Times New Roman" w:hAnsi="Times New Roman" w:hint="eastAsia"/>
          <w:spacing w:val="-2"/>
        </w:rPr>
        <w:t>人、南投縣之</w:t>
      </w:r>
      <w:r>
        <w:rPr>
          <w:rFonts w:ascii="Times New Roman" w:hAnsi="Times New Roman"/>
          <w:spacing w:val="-2"/>
        </w:rPr>
        <w:t>37</w:t>
      </w:r>
      <w:r>
        <w:rPr>
          <w:rFonts w:ascii="Times New Roman" w:hAnsi="Times New Roman" w:hint="eastAsia"/>
          <w:spacing w:val="-2"/>
        </w:rPr>
        <w:t>人、桃園市之</w:t>
      </w:r>
      <w:r>
        <w:rPr>
          <w:rFonts w:ascii="Times New Roman" w:hAnsi="Times New Roman"/>
          <w:spacing w:val="-2"/>
        </w:rPr>
        <w:t>22</w:t>
      </w:r>
      <w:r>
        <w:rPr>
          <w:rFonts w:ascii="Times New Roman" w:hAnsi="Times New Roman" w:hint="eastAsia"/>
          <w:spacing w:val="-2"/>
        </w:rPr>
        <w:t>人、臺東縣之</w:t>
      </w:r>
      <w:r>
        <w:rPr>
          <w:rFonts w:ascii="Times New Roman" w:hAnsi="Times New Roman"/>
          <w:spacing w:val="-2"/>
        </w:rPr>
        <w:t>17</w:t>
      </w:r>
      <w:r>
        <w:rPr>
          <w:rFonts w:ascii="Times New Roman" w:hAnsi="Times New Roman" w:hint="eastAsia"/>
          <w:spacing w:val="-2"/>
        </w:rPr>
        <w:t>人；最少之縣市為雲林</w:t>
      </w:r>
      <w:r w:rsidRPr="00D163D7">
        <w:rPr>
          <w:rFonts w:ascii="Times New Roman" w:hAnsi="Times New Roman" w:hint="eastAsia"/>
          <w:spacing w:val="-2"/>
        </w:rPr>
        <w:t>縣、新竹縣</w:t>
      </w:r>
      <w:r w:rsidRPr="00D163D7">
        <w:rPr>
          <w:rFonts w:ascii="Times New Roman" w:hAnsi="Times New Roman"/>
          <w:spacing w:val="-2"/>
        </w:rPr>
        <w:t>1</w:t>
      </w:r>
      <w:r w:rsidRPr="00D163D7">
        <w:rPr>
          <w:rFonts w:ascii="Times New Roman" w:hAnsi="Times New Roman" w:hint="eastAsia"/>
          <w:spacing w:val="-2"/>
        </w:rPr>
        <w:t>人及嘉義縣、澎湖縣、嘉義市</w:t>
      </w:r>
      <w:r w:rsidRPr="00D163D7">
        <w:rPr>
          <w:rFonts w:ascii="Times New Roman" w:hAnsi="Times New Roman"/>
          <w:spacing w:val="-2"/>
        </w:rPr>
        <w:t>2</w:t>
      </w:r>
      <w:r w:rsidRPr="00D163D7">
        <w:rPr>
          <w:rFonts w:ascii="Times New Roman" w:hAnsi="Times New Roman" w:hint="eastAsia"/>
          <w:spacing w:val="-2"/>
        </w:rPr>
        <w:t>人。再從</w:t>
      </w:r>
      <w:r w:rsidRPr="00D163D7">
        <w:rPr>
          <w:rFonts w:ascii="Times New Roman" w:hAnsi="Times New Roman"/>
          <w:spacing w:val="-2"/>
        </w:rPr>
        <w:t>10</w:t>
      </w:r>
      <w:r w:rsidRPr="00D163D7">
        <w:rPr>
          <w:rFonts w:ascii="Times New Roman" w:hAnsi="Times New Roman" w:hint="eastAsia"/>
          <w:spacing w:val="-2"/>
        </w:rPr>
        <w:t>6</w:t>
      </w:r>
      <w:r w:rsidRPr="00D163D7">
        <w:rPr>
          <w:rFonts w:ascii="Times New Roman" w:hAnsi="Times New Roman" w:hint="eastAsia"/>
          <w:spacing w:val="-2"/>
        </w:rPr>
        <w:t>年平均每位人力承辦該基金支出之金額以觀，以雲林縣</w:t>
      </w:r>
      <w:r w:rsidR="00F616B6">
        <w:rPr>
          <w:rFonts w:ascii="Times New Roman" w:hAnsi="Times New Roman" w:hint="eastAsia"/>
          <w:spacing w:val="-2"/>
        </w:rPr>
        <w:t>之</w:t>
      </w:r>
      <w:r w:rsidRPr="00D163D7">
        <w:rPr>
          <w:rFonts w:ascii="Times New Roman" w:hAnsi="Times New Roman"/>
          <w:spacing w:val="-2"/>
        </w:rPr>
        <w:t>5</w:t>
      </w:r>
      <w:r w:rsidRPr="00D163D7">
        <w:rPr>
          <w:rFonts w:ascii="Times New Roman" w:hAnsi="Times New Roman" w:hint="eastAsia"/>
          <w:spacing w:val="-2"/>
        </w:rPr>
        <w:t>億</w:t>
      </w:r>
      <w:r w:rsidRPr="00D163D7">
        <w:rPr>
          <w:rFonts w:ascii="Times New Roman" w:hAnsi="Times New Roman" w:hint="eastAsia"/>
          <w:spacing w:val="-2"/>
        </w:rPr>
        <w:t>7</w:t>
      </w:r>
      <w:r w:rsidRPr="00D163D7">
        <w:rPr>
          <w:rFonts w:ascii="Times New Roman" w:hAnsi="Times New Roman"/>
          <w:spacing w:val="-2"/>
        </w:rPr>
        <w:t>,4</w:t>
      </w:r>
      <w:r w:rsidRPr="00D163D7">
        <w:rPr>
          <w:rFonts w:ascii="Times New Roman" w:hAnsi="Times New Roman" w:hint="eastAsia"/>
          <w:spacing w:val="-2"/>
        </w:rPr>
        <w:t>76</w:t>
      </w:r>
      <w:r w:rsidRPr="00D163D7">
        <w:rPr>
          <w:rFonts w:ascii="Times New Roman" w:hAnsi="Times New Roman" w:hint="eastAsia"/>
          <w:spacing w:val="-2"/>
        </w:rPr>
        <w:t>萬餘元為最高，其次依序為新竹縣</w:t>
      </w:r>
      <w:r w:rsidR="00F616B6">
        <w:rPr>
          <w:rFonts w:ascii="Times New Roman" w:hAnsi="Times New Roman" w:hint="eastAsia"/>
          <w:spacing w:val="-2"/>
        </w:rPr>
        <w:t>之</w:t>
      </w:r>
      <w:r w:rsidRPr="00D163D7">
        <w:rPr>
          <w:rFonts w:ascii="Times New Roman" w:hAnsi="Times New Roman"/>
          <w:spacing w:val="-2"/>
        </w:rPr>
        <w:t>3</w:t>
      </w:r>
      <w:r w:rsidRPr="00D163D7">
        <w:rPr>
          <w:rFonts w:ascii="Times New Roman" w:hAnsi="Times New Roman" w:hint="eastAsia"/>
          <w:spacing w:val="-2"/>
        </w:rPr>
        <w:t>億</w:t>
      </w:r>
      <w:r w:rsidRPr="00D163D7">
        <w:rPr>
          <w:rFonts w:ascii="Times New Roman" w:hAnsi="Times New Roman" w:hint="eastAsia"/>
          <w:spacing w:val="-2"/>
        </w:rPr>
        <w:t>5</w:t>
      </w:r>
      <w:r w:rsidRPr="00D163D7">
        <w:rPr>
          <w:rFonts w:ascii="Times New Roman" w:hAnsi="Times New Roman"/>
          <w:spacing w:val="-2"/>
        </w:rPr>
        <w:t>,</w:t>
      </w:r>
      <w:r w:rsidRPr="00D163D7">
        <w:rPr>
          <w:rFonts w:ascii="Times New Roman" w:hAnsi="Times New Roman" w:hint="eastAsia"/>
          <w:spacing w:val="-2"/>
        </w:rPr>
        <w:t>470</w:t>
      </w:r>
      <w:r w:rsidRPr="00D163D7">
        <w:rPr>
          <w:rFonts w:ascii="Times New Roman" w:hAnsi="Times New Roman" w:hint="eastAsia"/>
          <w:spacing w:val="-2"/>
        </w:rPr>
        <w:t>萬餘元、高雄市</w:t>
      </w:r>
      <w:r w:rsidR="00F616B6">
        <w:rPr>
          <w:rFonts w:ascii="Times New Roman" w:hAnsi="Times New Roman" w:hint="eastAsia"/>
          <w:spacing w:val="-2"/>
        </w:rPr>
        <w:t>之</w:t>
      </w:r>
      <w:r w:rsidR="00BA47E7">
        <w:rPr>
          <w:rFonts w:ascii="Times New Roman" w:hAnsi="Times New Roman" w:hint="eastAsia"/>
          <w:spacing w:val="-2"/>
        </w:rPr>
        <w:t>2</w:t>
      </w:r>
      <w:r w:rsidRPr="00D163D7">
        <w:rPr>
          <w:rFonts w:ascii="Times New Roman" w:hAnsi="Times New Roman" w:hint="eastAsia"/>
          <w:spacing w:val="-2"/>
        </w:rPr>
        <w:t>億</w:t>
      </w:r>
      <w:r w:rsidRPr="00D163D7">
        <w:rPr>
          <w:rFonts w:ascii="Times New Roman" w:hAnsi="Times New Roman" w:hint="eastAsia"/>
          <w:spacing w:val="-2"/>
        </w:rPr>
        <w:t>9,711</w:t>
      </w:r>
      <w:r w:rsidRPr="00D163D7">
        <w:rPr>
          <w:rFonts w:ascii="Times New Roman" w:hAnsi="Times New Roman" w:hint="eastAsia"/>
          <w:spacing w:val="-2"/>
        </w:rPr>
        <w:t>萬餘元、屏東縣</w:t>
      </w:r>
      <w:r w:rsidR="00F616B6">
        <w:rPr>
          <w:rFonts w:ascii="Times New Roman" w:hAnsi="Times New Roman" w:hint="eastAsia"/>
          <w:spacing w:val="-2"/>
        </w:rPr>
        <w:t>之</w:t>
      </w:r>
      <w:r w:rsidRPr="00D163D7">
        <w:rPr>
          <w:rFonts w:ascii="Times New Roman" w:hAnsi="Times New Roman"/>
          <w:spacing w:val="-2"/>
        </w:rPr>
        <w:t>2</w:t>
      </w:r>
      <w:r w:rsidRPr="00D163D7">
        <w:rPr>
          <w:rFonts w:ascii="Times New Roman" w:hAnsi="Times New Roman" w:hint="eastAsia"/>
          <w:spacing w:val="-2"/>
        </w:rPr>
        <w:t>億零</w:t>
      </w:r>
      <w:r w:rsidRPr="00D163D7">
        <w:rPr>
          <w:rFonts w:ascii="Times New Roman" w:hAnsi="Times New Roman" w:hint="eastAsia"/>
          <w:spacing w:val="-2"/>
        </w:rPr>
        <w:t>864</w:t>
      </w:r>
      <w:r w:rsidRPr="00D163D7">
        <w:rPr>
          <w:rFonts w:ascii="Times New Roman" w:hAnsi="Times New Roman" w:hint="eastAsia"/>
          <w:spacing w:val="-2"/>
        </w:rPr>
        <w:t>萬餘元、臺中市</w:t>
      </w:r>
      <w:r w:rsidR="00F616B6">
        <w:rPr>
          <w:rFonts w:ascii="Times New Roman" w:hAnsi="Times New Roman" w:hint="eastAsia"/>
          <w:spacing w:val="-2"/>
        </w:rPr>
        <w:t>之</w:t>
      </w:r>
      <w:r w:rsidRPr="00D163D7">
        <w:rPr>
          <w:rFonts w:ascii="Times New Roman" w:hAnsi="Times New Roman"/>
          <w:spacing w:val="-2"/>
        </w:rPr>
        <w:t>2</w:t>
      </w:r>
      <w:r w:rsidRPr="00D163D7">
        <w:rPr>
          <w:rFonts w:ascii="Times New Roman" w:hAnsi="Times New Roman" w:hint="eastAsia"/>
          <w:spacing w:val="-2"/>
        </w:rPr>
        <w:t>億零</w:t>
      </w:r>
      <w:r w:rsidRPr="00D163D7">
        <w:rPr>
          <w:rFonts w:ascii="Times New Roman" w:hAnsi="Times New Roman" w:hint="eastAsia"/>
          <w:spacing w:val="-2"/>
        </w:rPr>
        <w:t>3</w:t>
      </w:r>
      <w:r w:rsidRPr="00D163D7">
        <w:rPr>
          <w:rFonts w:ascii="Times New Roman" w:hAnsi="Times New Roman" w:hint="eastAsia"/>
          <w:spacing w:val="-2"/>
        </w:rPr>
        <w:t>萬餘元、苗栗縣</w:t>
      </w:r>
      <w:r w:rsidR="00F616B6">
        <w:rPr>
          <w:rFonts w:ascii="Times New Roman" w:hAnsi="Times New Roman" w:hint="eastAsia"/>
          <w:spacing w:val="-2"/>
        </w:rPr>
        <w:t>之</w:t>
      </w:r>
      <w:r w:rsidRPr="00D163D7">
        <w:rPr>
          <w:rFonts w:ascii="Times New Roman" w:hAnsi="Times New Roman"/>
          <w:spacing w:val="-2"/>
        </w:rPr>
        <w:t>1</w:t>
      </w:r>
      <w:r w:rsidRPr="00D163D7">
        <w:rPr>
          <w:rFonts w:ascii="Times New Roman" w:hAnsi="Times New Roman" w:hint="eastAsia"/>
          <w:spacing w:val="-2"/>
        </w:rPr>
        <w:t>億</w:t>
      </w:r>
      <w:r w:rsidRPr="00D163D7">
        <w:rPr>
          <w:rFonts w:ascii="Times New Roman" w:hAnsi="Times New Roman" w:hint="eastAsia"/>
          <w:spacing w:val="-2"/>
        </w:rPr>
        <w:t>8</w:t>
      </w:r>
      <w:r w:rsidRPr="00D163D7">
        <w:rPr>
          <w:rFonts w:ascii="Times New Roman" w:hAnsi="Times New Roman"/>
          <w:spacing w:val="-2"/>
        </w:rPr>
        <w:t>,7</w:t>
      </w:r>
      <w:r w:rsidRPr="00D163D7">
        <w:rPr>
          <w:rFonts w:ascii="Times New Roman" w:hAnsi="Times New Roman" w:hint="eastAsia"/>
          <w:spacing w:val="-2"/>
        </w:rPr>
        <w:t>63</w:t>
      </w:r>
      <w:r w:rsidRPr="00D163D7">
        <w:rPr>
          <w:rFonts w:ascii="Times New Roman" w:hAnsi="Times New Roman" w:hint="eastAsia"/>
          <w:spacing w:val="-2"/>
        </w:rPr>
        <w:t>萬餘元。另承辦金額最少者依序為基隆市</w:t>
      </w:r>
      <w:r w:rsidR="00F616B6">
        <w:rPr>
          <w:rFonts w:ascii="Times New Roman" w:hAnsi="Times New Roman" w:hint="eastAsia"/>
          <w:spacing w:val="-2"/>
        </w:rPr>
        <w:t>之</w:t>
      </w:r>
      <w:r w:rsidRPr="00D163D7">
        <w:rPr>
          <w:rFonts w:ascii="Times New Roman" w:hAnsi="Times New Roman"/>
          <w:spacing w:val="-2"/>
        </w:rPr>
        <w:t>9</w:t>
      </w:r>
      <w:r w:rsidRPr="00D163D7">
        <w:rPr>
          <w:rFonts w:ascii="Times New Roman" w:hAnsi="Times New Roman" w:hint="eastAsia"/>
          <w:spacing w:val="-2"/>
        </w:rPr>
        <w:t>96</w:t>
      </w:r>
      <w:r w:rsidRPr="00D163D7">
        <w:rPr>
          <w:rFonts w:ascii="Times New Roman" w:hAnsi="Times New Roman" w:hint="eastAsia"/>
          <w:spacing w:val="-2"/>
        </w:rPr>
        <w:t>萬餘元、南投縣</w:t>
      </w:r>
      <w:r w:rsidR="00F616B6">
        <w:rPr>
          <w:rFonts w:ascii="Times New Roman" w:hAnsi="Times New Roman" w:hint="eastAsia"/>
          <w:spacing w:val="-2"/>
        </w:rPr>
        <w:t>之</w:t>
      </w:r>
      <w:r w:rsidRPr="00D163D7">
        <w:rPr>
          <w:rFonts w:ascii="Times New Roman" w:hAnsi="Times New Roman"/>
          <w:spacing w:val="-2"/>
        </w:rPr>
        <w:t>1,</w:t>
      </w:r>
      <w:r w:rsidRPr="00D163D7">
        <w:rPr>
          <w:rFonts w:ascii="Times New Roman" w:hAnsi="Times New Roman" w:hint="eastAsia"/>
          <w:spacing w:val="-2"/>
        </w:rPr>
        <w:t>319</w:t>
      </w:r>
      <w:r w:rsidRPr="00D163D7">
        <w:rPr>
          <w:rFonts w:ascii="Times New Roman" w:hAnsi="Times New Roman" w:hint="eastAsia"/>
          <w:spacing w:val="-2"/>
        </w:rPr>
        <w:t>萬餘元、連江縣</w:t>
      </w:r>
      <w:r w:rsidR="00F616B6">
        <w:rPr>
          <w:rFonts w:ascii="Times New Roman" w:hAnsi="Times New Roman" w:hint="eastAsia"/>
          <w:spacing w:val="-2"/>
        </w:rPr>
        <w:t>之</w:t>
      </w:r>
      <w:r w:rsidRPr="00D163D7">
        <w:rPr>
          <w:rFonts w:ascii="Times New Roman" w:hAnsi="Times New Roman"/>
          <w:spacing w:val="-2"/>
        </w:rPr>
        <w:t>1,</w:t>
      </w:r>
      <w:r w:rsidRPr="00D163D7">
        <w:rPr>
          <w:rFonts w:ascii="Times New Roman" w:hAnsi="Times New Roman" w:hint="eastAsia"/>
          <w:spacing w:val="-2"/>
        </w:rPr>
        <w:t>397</w:t>
      </w:r>
      <w:r w:rsidRPr="00D163D7">
        <w:rPr>
          <w:rFonts w:ascii="Times New Roman" w:hAnsi="Times New Roman" w:hint="eastAsia"/>
          <w:spacing w:val="-2"/>
        </w:rPr>
        <w:t>萬餘元、臺東縣</w:t>
      </w:r>
      <w:r w:rsidR="00F616B6">
        <w:rPr>
          <w:rFonts w:ascii="Times New Roman" w:hAnsi="Times New Roman" w:hint="eastAsia"/>
          <w:spacing w:val="-2"/>
        </w:rPr>
        <w:t>之</w:t>
      </w:r>
      <w:r w:rsidRPr="00D163D7">
        <w:rPr>
          <w:rFonts w:ascii="Times New Roman" w:hAnsi="Times New Roman"/>
          <w:spacing w:val="-2"/>
        </w:rPr>
        <w:t>1,</w:t>
      </w:r>
      <w:r w:rsidRPr="00D163D7">
        <w:rPr>
          <w:rFonts w:ascii="Times New Roman" w:hAnsi="Times New Roman" w:hint="eastAsia"/>
          <w:spacing w:val="-2"/>
        </w:rPr>
        <w:t>678</w:t>
      </w:r>
      <w:r w:rsidRPr="00D163D7">
        <w:rPr>
          <w:rFonts w:ascii="Times New Roman" w:hAnsi="Times New Roman" w:hint="eastAsia"/>
          <w:spacing w:val="-2"/>
        </w:rPr>
        <w:t>萬餘元、金門縣</w:t>
      </w:r>
      <w:r w:rsidR="00F616B6">
        <w:rPr>
          <w:rFonts w:ascii="Times New Roman" w:hAnsi="Times New Roman" w:hint="eastAsia"/>
          <w:spacing w:val="-2"/>
        </w:rPr>
        <w:t>之</w:t>
      </w:r>
      <w:r w:rsidRPr="00D163D7">
        <w:rPr>
          <w:rFonts w:ascii="Times New Roman" w:hAnsi="Times New Roman"/>
          <w:spacing w:val="-2"/>
        </w:rPr>
        <w:t>2,1</w:t>
      </w:r>
      <w:r w:rsidRPr="00D163D7">
        <w:rPr>
          <w:rFonts w:ascii="Times New Roman" w:hAnsi="Times New Roman" w:hint="eastAsia"/>
          <w:spacing w:val="-2"/>
        </w:rPr>
        <w:t>76</w:t>
      </w:r>
      <w:r w:rsidRPr="00D163D7">
        <w:rPr>
          <w:rFonts w:ascii="Times New Roman" w:hAnsi="Times New Roman" w:hint="eastAsia"/>
          <w:spacing w:val="-2"/>
        </w:rPr>
        <w:t>萬餘元</w:t>
      </w:r>
      <w:r w:rsidRPr="00D163D7">
        <w:rPr>
          <w:rFonts w:ascii="Times New Roman" w:hAnsi="Times New Roman"/>
          <w:spacing w:val="-2"/>
        </w:rPr>
        <w:t>(</w:t>
      </w:r>
      <w:r w:rsidRPr="00D163D7">
        <w:rPr>
          <w:rFonts w:ascii="Times New Roman" w:hAnsi="Times New Roman" w:hint="eastAsia"/>
          <w:spacing w:val="-2"/>
        </w:rPr>
        <w:t>詳見下表</w:t>
      </w:r>
      <w:r w:rsidR="00D163D7" w:rsidRPr="00D163D7">
        <w:rPr>
          <w:rFonts w:ascii="Times New Roman" w:hAnsi="Times New Roman" w:hint="eastAsia"/>
          <w:spacing w:val="-2"/>
        </w:rPr>
        <w:t>20</w:t>
      </w:r>
      <w:r w:rsidRPr="00D163D7">
        <w:rPr>
          <w:rFonts w:ascii="Times New Roman" w:hAnsi="Times New Roman"/>
          <w:spacing w:val="-2"/>
        </w:rPr>
        <w:t>)</w:t>
      </w:r>
      <w:r w:rsidR="00F616B6">
        <w:rPr>
          <w:rFonts w:ascii="Times New Roman" w:hAnsi="Times New Roman" w:hint="eastAsia"/>
          <w:spacing w:val="-2"/>
        </w:rPr>
        <w:t>，</w:t>
      </w:r>
      <w:r w:rsidRPr="00D163D7">
        <w:rPr>
          <w:rFonts w:ascii="Times New Roman" w:hAnsi="Times New Roman" w:hint="eastAsia"/>
          <w:spacing w:val="-2"/>
        </w:rPr>
        <w:t>顯見各地方政府間專責人力配置，差距頗大。</w:t>
      </w:r>
      <w:bookmarkEnd w:id="1963"/>
      <w:bookmarkEnd w:id="1964"/>
      <w:bookmarkEnd w:id="1965"/>
      <w:bookmarkEnd w:id="1966"/>
      <w:bookmarkEnd w:id="1967"/>
      <w:bookmarkEnd w:id="1968"/>
      <w:bookmarkEnd w:id="1969"/>
      <w:bookmarkEnd w:id="1970"/>
      <w:bookmarkEnd w:id="1971"/>
    </w:p>
    <w:p w:rsidR="0040606A" w:rsidRPr="00A23139" w:rsidRDefault="0040606A" w:rsidP="00F616B6">
      <w:pPr>
        <w:pStyle w:val="a3"/>
        <w:numPr>
          <w:ilvl w:val="0"/>
          <w:numId w:val="34"/>
        </w:numPr>
        <w:spacing w:before="60" w:after="0"/>
        <w:ind w:left="2239" w:rightChars="-5" w:right="-17" w:hanging="799"/>
        <w:textAlignment w:val="auto"/>
        <w:rPr>
          <w:b/>
        </w:rPr>
      </w:pPr>
      <w:r>
        <w:rPr>
          <w:rFonts w:ascii="Times New Roman" w:hAnsi="Times New Roman"/>
          <w:b/>
          <w:spacing w:val="0"/>
        </w:rPr>
        <w:t>106</w:t>
      </w:r>
      <w:r>
        <w:rPr>
          <w:rFonts w:ascii="Times New Roman" w:hAnsi="Times New Roman" w:hint="eastAsia"/>
          <w:b/>
          <w:spacing w:val="0"/>
        </w:rPr>
        <w:t>年各地方政府</w:t>
      </w:r>
      <w:r>
        <w:rPr>
          <w:rFonts w:ascii="Times New Roman" w:hint="eastAsia"/>
          <w:b/>
        </w:rPr>
        <w:t>辦理公益彩券盈餘業務</w:t>
      </w:r>
      <w:r>
        <w:rPr>
          <w:rFonts w:ascii="Times New Roman" w:hAnsi="Times New Roman" w:hint="eastAsia"/>
          <w:b/>
          <w:spacing w:val="0"/>
        </w:rPr>
        <w:t>之人力配置情形</w:t>
      </w:r>
    </w:p>
    <w:p w:rsidR="0040606A" w:rsidRPr="00A23139" w:rsidRDefault="0040606A" w:rsidP="00F616B6">
      <w:pPr>
        <w:widowControl/>
        <w:overflowPunct/>
        <w:autoSpaceDE/>
        <w:spacing w:line="320" w:lineRule="exact"/>
        <w:ind w:rightChars="-67" w:right="-228" w:firstLineChars="511" w:firstLine="1329"/>
        <w:jc w:val="right"/>
        <w:rPr>
          <w:b/>
          <w:sz w:val="24"/>
          <w:szCs w:val="24"/>
        </w:rPr>
      </w:pPr>
      <w:r w:rsidRPr="00A23139">
        <w:rPr>
          <w:rFonts w:ascii="Times New Roman" w:hint="eastAsia"/>
          <w:sz w:val="24"/>
          <w:szCs w:val="24"/>
        </w:rPr>
        <w:t>單位：元；人</w:t>
      </w:r>
    </w:p>
    <w:tbl>
      <w:tblPr>
        <w:tblStyle w:val="afb"/>
        <w:tblW w:w="7739" w:type="dxa"/>
        <w:tblInd w:w="13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69"/>
        <w:gridCol w:w="1800"/>
        <w:gridCol w:w="840"/>
        <w:gridCol w:w="1357"/>
        <w:gridCol w:w="1158"/>
        <w:gridCol w:w="1615"/>
      </w:tblGrid>
      <w:tr w:rsidR="00D163D7" w:rsidRPr="00D163D7" w:rsidTr="00F616B6">
        <w:trPr>
          <w:tblHeader/>
        </w:trPr>
        <w:tc>
          <w:tcPr>
            <w:tcW w:w="969" w:type="dxa"/>
            <w:vAlign w:val="center"/>
            <w:hideMark/>
          </w:tcPr>
          <w:p w:rsidR="0040606A" w:rsidRPr="00D163D7" w:rsidRDefault="0040606A" w:rsidP="00F616B6">
            <w:pPr>
              <w:pStyle w:val="3"/>
              <w:numPr>
                <w:ilvl w:val="0"/>
                <w:numId w:val="0"/>
              </w:numPr>
              <w:kinsoku w:val="0"/>
              <w:spacing w:line="320" w:lineRule="exact"/>
              <w:jc w:val="center"/>
              <w:rPr>
                <w:rFonts w:ascii="Times New Roman" w:hAnsi="Times New Roman"/>
                <w:spacing w:val="-20"/>
                <w:sz w:val="28"/>
                <w:szCs w:val="28"/>
              </w:rPr>
            </w:pPr>
            <w:bookmarkStart w:id="1972" w:name="_Toc507403663"/>
            <w:bookmarkStart w:id="1973" w:name="_Toc507484809"/>
            <w:bookmarkStart w:id="1974" w:name="_Toc507491641"/>
            <w:bookmarkStart w:id="1975" w:name="_Toc507518658"/>
            <w:bookmarkStart w:id="1976" w:name="_Toc507767755"/>
            <w:bookmarkStart w:id="1977" w:name="_Toc507768481"/>
            <w:bookmarkStart w:id="1978" w:name="_Toc511308267"/>
            <w:bookmarkStart w:id="1979" w:name="_Toc511998711"/>
            <w:bookmarkStart w:id="1980" w:name="_Toc512421068"/>
            <w:r w:rsidRPr="00D163D7">
              <w:rPr>
                <w:rFonts w:ascii="Times New Roman" w:hAnsi="Times New Roman" w:hint="eastAsia"/>
                <w:spacing w:val="-20"/>
                <w:sz w:val="28"/>
                <w:szCs w:val="28"/>
              </w:rPr>
              <w:t>縣市別</w:t>
            </w:r>
            <w:bookmarkEnd w:id="1972"/>
            <w:bookmarkEnd w:id="1973"/>
            <w:bookmarkEnd w:id="1974"/>
            <w:bookmarkEnd w:id="1975"/>
            <w:bookmarkEnd w:id="1976"/>
            <w:bookmarkEnd w:id="1977"/>
            <w:bookmarkEnd w:id="1978"/>
            <w:bookmarkEnd w:id="1979"/>
            <w:bookmarkEnd w:id="1980"/>
          </w:p>
        </w:tc>
        <w:tc>
          <w:tcPr>
            <w:tcW w:w="1800" w:type="dxa"/>
            <w:vAlign w:val="center"/>
            <w:hideMark/>
          </w:tcPr>
          <w:p w:rsidR="0040606A" w:rsidRPr="00D163D7" w:rsidRDefault="0040606A" w:rsidP="00F616B6">
            <w:pPr>
              <w:pStyle w:val="3"/>
              <w:numPr>
                <w:ilvl w:val="0"/>
                <w:numId w:val="0"/>
              </w:numPr>
              <w:kinsoku w:val="0"/>
              <w:spacing w:line="320" w:lineRule="exact"/>
              <w:jc w:val="center"/>
              <w:rPr>
                <w:rFonts w:ascii="Times New Roman" w:hAnsi="Times New Roman"/>
                <w:spacing w:val="-20"/>
                <w:sz w:val="28"/>
                <w:szCs w:val="28"/>
              </w:rPr>
            </w:pPr>
            <w:bookmarkStart w:id="1981" w:name="_Toc507403664"/>
            <w:bookmarkStart w:id="1982" w:name="_Toc507484810"/>
            <w:bookmarkStart w:id="1983" w:name="_Toc507491642"/>
            <w:bookmarkStart w:id="1984" w:name="_Toc507518659"/>
            <w:bookmarkStart w:id="1985" w:name="_Toc507767756"/>
            <w:bookmarkStart w:id="1986" w:name="_Toc507768482"/>
            <w:bookmarkStart w:id="1987" w:name="_Toc511308268"/>
            <w:bookmarkStart w:id="1988" w:name="_Toc511998712"/>
            <w:bookmarkStart w:id="1989" w:name="_Toc512421069"/>
            <w:r w:rsidRPr="00D163D7">
              <w:rPr>
                <w:rFonts w:ascii="Times New Roman" w:hAnsi="Times New Roman"/>
                <w:spacing w:val="-28"/>
                <w:sz w:val="28"/>
                <w:szCs w:val="28"/>
              </w:rPr>
              <w:t>10</w:t>
            </w:r>
            <w:r w:rsidRPr="00D163D7">
              <w:rPr>
                <w:rFonts w:ascii="Times New Roman" w:hAnsi="Times New Roman" w:hint="eastAsia"/>
                <w:spacing w:val="-28"/>
                <w:sz w:val="28"/>
                <w:szCs w:val="28"/>
              </w:rPr>
              <w:t>6</w:t>
            </w:r>
            <w:r w:rsidRPr="00D163D7">
              <w:rPr>
                <w:rFonts w:ascii="Times New Roman" w:hAnsi="Times New Roman" w:hint="eastAsia"/>
                <w:spacing w:val="-28"/>
                <w:sz w:val="28"/>
                <w:szCs w:val="28"/>
              </w:rPr>
              <w:t>年公彩盈餘分配基金執行數</w:t>
            </w:r>
            <w:r w:rsidRPr="00D163D7">
              <w:rPr>
                <w:rFonts w:ascii="Times New Roman" w:hAnsi="Times New Roman"/>
                <w:spacing w:val="-20"/>
                <w:sz w:val="28"/>
                <w:szCs w:val="28"/>
              </w:rPr>
              <w:t>(A)</w:t>
            </w:r>
            <w:bookmarkEnd w:id="1981"/>
            <w:bookmarkEnd w:id="1982"/>
            <w:bookmarkEnd w:id="1983"/>
            <w:bookmarkEnd w:id="1984"/>
            <w:bookmarkEnd w:id="1985"/>
            <w:bookmarkEnd w:id="1986"/>
            <w:bookmarkEnd w:id="1987"/>
            <w:bookmarkEnd w:id="1988"/>
            <w:bookmarkEnd w:id="1989"/>
          </w:p>
        </w:tc>
        <w:tc>
          <w:tcPr>
            <w:tcW w:w="840" w:type="dxa"/>
            <w:vAlign w:val="center"/>
            <w:hideMark/>
          </w:tcPr>
          <w:p w:rsidR="0040606A" w:rsidRPr="00D163D7" w:rsidRDefault="0040606A" w:rsidP="00F616B6">
            <w:pPr>
              <w:pStyle w:val="3"/>
              <w:numPr>
                <w:ilvl w:val="0"/>
                <w:numId w:val="0"/>
              </w:numPr>
              <w:kinsoku w:val="0"/>
              <w:spacing w:line="320" w:lineRule="exact"/>
              <w:jc w:val="center"/>
              <w:rPr>
                <w:rFonts w:ascii="Times New Roman" w:hAnsi="Times New Roman"/>
                <w:spacing w:val="-20"/>
                <w:sz w:val="28"/>
                <w:szCs w:val="28"/>
              </w:rPr>
            </w:pPr>
            <w:bookmarkStart w:id="1990" w:name="_Toc507403665"/>
            <w:bookmarkStart w:id="1991" w:name="_Toc507484811"/>
            <w:bookmarkStart w:id="1992" w:name="_Toc507491643"/>
            <w:bookmarkStart w:id="1993" w:name="_Toc507518660"/>
            <w:bookmarkStart w:id="1994" w:name="_Toc507767757"/>
            <w:bookmarkStart w:id="1995" w:name="_Toc507768483"/>
            <w:bookmarkStart w:id="1996" w:name="_Toc511308269"/>
            <w:bookmarkStart w:id="1997" w:name="_Toc511998713"/>
            <w:bookmarkStart w:id="1998" w:name="_Toc512421070"/>
            <w:r w:rsidRPr="00D163D7">
              <w:rPr>
                <w:rFonts w:ascii="Times New Roman" w:hAnsi="Times New Roman" w:hint="eastAsia"/>
                <w:spacing w:val="-20"/>
                <w:sz w:val="28"/>
                <w:szCs w:val="28"/>
              </w:rPr>
              <w:t>專職</w:t>
            </w:r>
            <w:bookmarkEnd w:id="1990"/>
            <w:bookmarkEnd w:id="1991"/>
            <w:bookmarkEnd w:id="1992"/>
            <w:bookmarkEnd w:id="1993"/>
            <w:bookmarkEnd w:id="1994"/>
            <w:bookmarkEnd w:id="1995"/>
            <w:bookmarkEnd w:id="1996"/>
            <w:bookmarkEnd w:id="1997"/>
            <w:bookmarkEnd w:id="1998"/>
          </w:p>
          <w:p w:rsidR="0040606A" w:rsidRPr="00D163D7" w:rsidRDefault="0040606A" w:rsidP="00F616B6">
            <w:pPr>
              <w:pStyle w:val="3"/>
              <w:numPr>
                <w:ilvl w:val="0"/>
                <w:numId w:val="0"/>
              </w:numPr>
              <w:kinsoku w:val="0"/>
              <w:spacing w:line="320" w:lineRule="exact"/>
              <w:jc w:val="center"/>
              <w:rPr>
                <w:rFonts w:ascii="Times New Roman" w:hAnsi="Times New Roman"/>
                <w:spacing w:val="-20"/>
                <w:sz w:val="28"/>
                <w:szCs w:val="28"/>
              </w:rPr>
            </w:pPr>
            <w:bookmarkStart w:id="1999" w:name="_Toc507403666"/>
            <w:bookmarkStart w:id="2000" w:name="_Toc507484812"/>
            <w:bookmarkStart w:id="2001" w:name="_Toc507491644"/>
            <w:bookmarkStart w:id="2002" w:name="_Toc507518661"/>
            <w:bookmarkStart w:id="2003" w:name="_Toc507767758"/>
            <w:bookmarkStart w:id="2004" w:name="_Toc507768484"/>
            <w:bookmarkStart w:id="2005" w:name="_Toc511308270"/>
            <w:bookmarkStart w:id="2006" w:name="_Toc511998714"/>
            <w:bookmarkStart w:id="2007" w:name="_Toc512421071"/>
            <w:r w:rsidRPr="00D163D7">
              <w:rPr>
                <w:rFonts w:ascii="Times New Roman" w:hAnsi="Times New Roman" w:hint="eastAsia"/>
                <w:spacing w:val="-20"/>
                <w:sz w:val="28"/>
                <w:szCs w:val="28"/>
              </w:rPr>
              <w:t>人員</w:t>
            </w:r>
            <w:bookmarkEnd w:id="1999"/>
            <w:bookmarkEnd w:id="2000"/>
            <w:bookmarkEnd w:id="2001"/>
            <w:bookmarkEnd w:id="2002"/>
            <w:bookmarkEnd w:id="2003"/>
            <w:bookmarkEnd w:id="2004"/>
            <w:bookmarkEnd w:id="2005"/>
            <w:bookmarkEnd w:id="2006"/>
            <w:bookmarkEnd w:id="2007"/>
          </w:p>
          <w:p w:rsidR="0040606A" w:rsidRPr="00D163D7" w:rsidRDefault="0040606A" w:rsidP="00F616B6">
            <w:pPr>
              <w:pStyle w:val="3"/>
              <w:numPr>
                <w:ilvl w:val="0"/>
                <w:numId w:val="0"/>
              </w:numPr>
              <w:kinsoku w:val="0"/>
              <w:spacing w:line="320" w:lineRule="exact"/>
              <w:jc w:val="center"/>
              <w:rPr>
                <w:rFonts w:ascii="Times New Roman" w:hAnsi="Times New Roman"/>
                <w:spacing w:val="-20"/>
                <w:sz w:val="28"/>
                <w:szCs w:val="28"/>
              </w:rPr>
            </w:pPr>
            <w:bookmarkStart w:id="2008" w:name="_Toc507403667"/>
            <w:bookmarkStart w:id="2009" w:name="_Toc507484813"/>
            <w:bookmarkStart w:id="2010" w:name="_Toc507491645"/>
            <w:bookmarkStart w:id="2011" w:name="_Toc507518662"/>
            <w:bookmarkStart w:id="2012" w:name="_Toc507767759"/>
            <w:bookmarkStart w:id="2013" w:name="_Toc507768485"/>
            <w:bookmarkStart w:id="2014" w:name="_Toc511308271"/>
            <w:bookmarkStart w:id="2015" w:name="_Toc511998715"/>
            <w:bookmarkStart w:id="2016" w:name="_Toc512421072"/>
            <w:r w:rsidRPr="00D163D7">
              <w:rPr>
                <w:rFonts w:ascii="Times New Roman" w:hAnsi="Times New Roman"/>
                <w:spacing w:val="-20"/>
                <w:sz w:val="28"/>
                <w:szCs w:val="28"/>
              </w:rPr>
              <w:t>(B)</w:t>
            </w:r>
            <w:bookmarkEnd w:id="2008"/>
            <w:bookmarkEnd w:id="2009"/>
            <w:bookmarkEnd w:id="2010"/>
            <w:bookmarkEnd w:id="2011"/>
            <w:bookmarkEnd w:id="2012"/>
            <w:bookmarkEnd w:id="2013"/>
            <w:bookmarkEnd w:id="2014"/>
            <w:bookmarkEnd w:id="2015"/>
            <w:bookmarkEnd w:id="2016"/>
          </w:p>
        </w:tc>
        <w:tc>
          <w:tcPr>
            <w:tcW w:w="1357" w:type="dxa"/>
            <w:vAlign w:val="center"/>
            <w:hideMark/>
          </w:tcPr>
          <w:p w:rsidR="0040606A" w:rsidRPr="00D163D7" w:rsidRDefault="0040606A" w:rsidP="00F616B6">
            <w:pPr>
              <w:pStyle w:val="3"/>
              <w:numPr>
                <w:ilvl w:val="0"/>
                <w:numId w:val="0"/>
              </w:numPr>
              <w:kinsoku w:val="0"/>
              <w:spacing w:line="320" w:lineRule="exact"/>
              <w:jc w:val="center"/>
              <w:rPr>
                <w:rFonts w:ascii="Times New Roman" w:hAnsi="Times New Roman"/>
                <w:spacing w:val="-20"/>
                <w:sz w:val="28"/>
                <w:szCs w:val="28"/>
              </w:rPr>
            </w:pPr>
            <w:bookmarkStart w:id="2017" w:name="_Toc507403668"/>
            <w:bookmarkStart w:id="2018" w:name="_Toc507484814"/>
            <w:bookmarkStart w:id="2019" w:name="_Toc507491646"/>
            <w:bookmarkStart w:id="2020" w:name="_Toc507518663"/>
            <w:bookmarkStart w:id="2021" w:name="_Toc507767760"/>
            <w:bookmarkStart w:id="2022" w:name="_Toc507768486"/>
            <w:bookmarkStart w:id="2023" w:name="_Toc511308272"/>
            <w:bookmarkStart w:id="2024" w:name="_Toc511998716"/>
            <w:bookmarkStart w:id="2025" w:name="_Toc512421073"/>
            <w:r w:rsidRPr="00D163D7">
              <w:rPr>
                <w:rFonts w:ascii="Times New Roman" w:hAnsi="Times New Roman" w:hint="eastAsia"/>
                <w:spacing w:val="-20"/>
                <w:sz w:val="28"/>
                <w:szCs w:val="28"/>
              </w:rPr>
              <w:t>以獲配公彩盈餘進用人力</w:t>
            </w:r>
            <w:r w:rsidR="00D163D7" w:rsidRPr="00D163D7">
              <w:rPr>
                <w:rFonts w:ascii="Times New Roman" w:hAnsi="Times New Roman" w:hint="eastAsia"/>
                <w:spacing w:val="-20"/>
                <w:sz w:val="28"/>
                <w:szCs w:val="28"/>
                <w:vertAlign w:val="superscript"/>
              </w:rPr>
              <w:t>備註</w:t>
            </w:r>
            <w:r w:rsidR="00D163D7" w:rsidRPr="00D163D7">
              <w:rPr>
                <w:rFonts w:ascii="Times New Roman" w:hAnsi="Times New Roman" w:hint="eastAsia"/>
                <w:spacing w:val="-20"/>
                <w:sz w:val="28"/>
                <w:szCs w:val="28"/>
                <w:vertAlign w:val="superscript"/>
              </w:rPr>
              <w:t>1</w:t>
            </w:r>
            <w:r w:rsidRPr="00D163D7">
              <w:rPr>
                <w:rFonts w:ascii="Times New Roman" w:hAnsi="Times New Roman"/>
                <w:spacing w:val="-20"/>
                <w:sz w:val="28"/>
                <w:szCs w:val="28"/>
                <w:vertAlign w:val="superscript"/>
              </w:rPr>
              <w:t>(</w:t>
            </w:r>
            <w:r w:rsidRPr="00D163D7">
              <w:rPr>
                <w:rFonts w:ascii="Times New Roman" w:hAnsi="Times New Roman"/>
                <w:spacing w:val="-20"/>
                <w:sz w:val="28"/>
                <w:szCs w:val="28"/>
              </w:rPr>
              <w:t>C)</w:t>
            </w:r>
            <w:bookmarkEnd w:id="2017"/>
            <w:bookmarkEnd w:id="2018"/>
            <w:bookmarkEnd w:id="2019"/>
            <w:bookmarkEnd w:id="2020"/>
            <w:bookmarkEnd w:id="2021"/>
            <w:bookmarkEnd w:id="2022"/>
            <w:bookmarkEnd w:id="2023"/>
            <w:bookmarkEnd w:id="2024"/>
            <w:bookmarkEnd w:id="2025"/>
          </w:p>
        </w:tc>
        <w:tc>
          <w:tcPr>
            <w:tcW w:w="1158" w:type="dxa"/>
            <w:vAlign w:val="center"/>
            <w:hideMark/>
          </w:tcPr>
          <w:p w:rsidR="0040606A" w:rsidRPr="00D163D7" w:rsidRDefault="0040606A" w:rsidP="00F616B6">
            <w:pPr>
              <w:pStyle w:val="3"/>
              <w:numPr>
                <w:ilvl w:val="0"/>
                <w:numId w:val="0"/>
              </w:numPr>
              <w:kinsoku w:val="0"/>
              <w:spacing w:line="320" w:lineRule="exact"/>
              <w:jc w:val="center"/>
              <w:rPr>
                <w:rFonts w:ascii="Times New Roman" w:hAnsi="Times New Roman"/>
                <w:spacing w:val="-20"/>
                <w:sz w:val="28"/>
                <w:szCs w:val="28"/>
              </w:rPr>
            </w:pPr>
            <w:bookmarkStart w:id="2026" w:name="_Toc507403669"/>
            <w:bookmarkStart w:id="2027" w:name="_Toc507484815"/>
            <w:bookmarkStart w:id="2028" w:name="_Toc507491647"/>
            <w:bookmarkStart w:id="2029" w:name="_Toc507518664"/>
            <w:bookmarkStart w:id="2030" w:name="_Toc507767761"/>
            <w:bookmarkStart w:id="2031" w:name="_Toc507768487"/>
            <w:bookmarkStart w:id="2032" w:name="_Toc511308273"/>
            <w:bookmarkStart w:id="2033" w:name="_Toc511998717"/>
            <w:bookmarkStart w:id="2034" w:name="_Toc512421074"/>
            <w:r w:rsidRPr="00D163D7">
              <w:rPr>
                <w:rFonts w:ascii="Times New Roman" w:hAnsi="Times New Roman" w:hint="eastAsia"/>
                <w:spacing w:val="-20"/>
                <w:sz w:val="28"/>
                <w:szCs w:val="28"/>
              </w:rPr>
              <w:t>合計</w:t>
            </w:r>
            <w:bookmarkEnd w:id="2026"/>
            <w:bookmarkEnd w:id="2027"/>
            <w:bookmarkEnd w:id="2028"/>
            <w:bookmarkEnd w:id="2029"/>
            <w:bookmarkEnd w:id="2030"/>
            <w:bookmarkEnd w:id="2031"/>
            <w:bookmarkEnd w:id="2032"/>
            <w:bookmarkEnd w:id="2033"/>
            <w:bookmarkEnd w:id="2034"/>
          </w:p>
          <w:p w:rsidR="0040606A" w:rsidRPr="00D163D7" w:rsidRDefault="0040606A" w:rsidP="00F616B6">
            <w:pPr>
              <w:pStyle w:val="3"/>
              <w:numPr>
                <w:ilvl w:val="0"/>
                <w:numId w:val="0"/>
              </w:numPr>
              <w:kinsoku w:val="0"/>
              <w:spacing w:line="320" w:lineRule="exact"/>
              <w:jc w:val="center"/>
              <w:rPr>
                <w:rFonts w:ascii="Times New Roman" w:hAnsi="Times New Roman"/>
                <w:spacing w:val="-20"/>
                <w:sz w:val="28"/>
                <w:szCs w:val="28"/>
              </w:rPr>
            </w:pPr>
            <w:bookmarkStart w:id="2035" w:name="_Toc507403670"/>
            <w:bookmarkStart w:id="2036" w:name="_Toc507484816"/>
            <w:bookmarkStart w:id="2037" w:name="_Toc507491648"/>
            <w:bookmarkStart w:id="2038" w:name="_Toc507518665"/>
            <w:bookmarkStart w:id="2039" w:name="_Toc507767762"/>
            <w:bookmarkStart w:id="2040" w:name="_Toc507768488"/>
            <w:bookmarkStart w:id="2041" w:name="_Toc511308274"/>
            <w:bookmarkStart w:id="2042" w:name="_Toc511998718"/>
            <w:bookmarkStart w:id="2043" w:name="_Toc512421075"/>
            <w:r w:rsidRPr="00D163D7">
              <w:rPr>
                <w:rFonts w:ascii="Times New Roman" w:hAnsi="Times New Roman"/>
                <w:spacing w:val="-20"/>
                <w:sz w:val="28"/>
                <w:szCs w:val="28"/>
              </w:rPr>
              <w:t>(D=B+C)</w:t>
            </w:r>
            <w:bookmarkEnd w:id="2035"/>
            <w:bookmarkEnd w:id="2036"/>
            <w:bookmarkEnd w:id="2037"/>
            <w:bookmarkEnd w:id="2038"/>
            <w:bookmarkEnd w:id="2039"/>
            <w:bookmarkEnd w:id="2040"/>
            <w:bookmarkEnd w:id="2041"/>
            <w:bookmarkEnd w:id="2042"/>
            <w:bookmarkEnd w:id="2043"/>
          </w:p>
        </w:tc>
        <w:tc>
          <w:tcPr>
            <w:tcW w:w="1615" w:type="dxa"/>
            <w:vAlign w:val="center"/>
            <w:hideMark/>
          </w:tcPr>
          <w:p w:rsidR="0040606A" w:rsidRPr="00D163D7" w:rsidRDefault="0040606A" w:rsidP="00F616B6">
            <w:pPr>
              <w:pStyle w:val="3"/>
              <w:numPr>
                <w:ilvl w:val="0"/>
                <w:numId w:val="0"/>
              </w:numPr>
              <w:kinsoku w:val="0"/>
              <w:spacing w:line="320" w:lineRule="exact"/>
              <w:jc w:val="center"/>
              <w:rPr>
                <w:rFonts w:ascii="Times New Roman" w:hAnsi="Times New Roman"/>
                <w:spacing w:val="28"/>
                <w:sz w:val="28"/>
                <w:szCs w:val="28"/>
              </w:rPr>
            </w:pPr>
            <w:bookmarkStart w:id="2044" w:name="_Toc507403671"/>
            <w:bookmarkStart w:id="2045" w:name="_Toc507484817"/>
            <w:bookmarkStart w:id="2046" w:name="_Toc507491649"/>
            <w:bookmarkStart w:id="2047" w:name="_Toc507518666"/>
            <w:bookmarkStart w:id="2048" w:name="_Toc507767763"/>
            <w:bookmarkStart w:id="2049" w:name="_Toc507768489"/>
            <w:bookmarkStart w:id="2050" w:name="_Toc511308275"/>
            <w:bookmarkStart w:id="2051" w:name="_Toc511998719"/>
            <w:bookmarkStart w:id="2052" w:name="_Toc512421076"/>
            <w:r w:rsidRPr="00D163D7">
              <w:rPr>
                <w:rFonts w:ascii="Times New Roman" w:hAnsi="Times New Roman" w:hint="eastAsia"/>
                <w:spacing w:val="-28"/>
                <w:sz w:val="28"/>
                <w:szCs w:val="28"/>
              </w:rPr>
              <w:t>平均每人承辦之支出金額</w:t>
            </w:r>
            <w:bookmarkEnd w:id="2044"/>
            <w:bookmarkEnd w:id="2045"/>
            <w:bookmarkEnd w:id="2046"/>
            <w:bookmarkEnd w:id="2047"/>
            <w:bookmarkEnd w:id="2048"/>
            <w:bookmarkEnd w:id="2049"/>
            <w:bookmarkEnd w:id="2050"/>
            <w:bookmarkEnd w:id="2051"/>
            <w:bookmarkEnd w:id="2052"/>
          </w:p>
          <w:p w:rsidR="0040606A" w:rsidRPr="00D163D7" w:rsidRDefault="0040606A" w:rsidP="00F616B6">
            <w:pPr>
              <w:pStyle w:val="3"/>
              <w:numPr>
                <w:ilvl w:val="0"/>
                <w:numId w:val="0"/>
              </w:numPr>
              <w:kinsoku w:val="0"/>
              <w:spacing w:line="320" w:lineRule="exact"/>
              <w:jc w:val="center"/>
              <w:rPr>
                <w:rFonts w:ascii="Times New Roman" w:hAnsi="Times New Roman"/>
                <w:spacing w:val="-20"/>
                <w:sz w:val="28"/>
                <w:szCs w:val="28"/>
              </w:rPr>
            </w:pPr>
            <w:bookmarkStart w:id="2053" w:name="_Toc507403672"/>
            <w:bookmarkStart w:id="2054" w:name="_Toc507484818"/>
            <w:bookmarkStart w:id="2055" w:name="_Toc507491650"/>
            <w:bookmarkStart w:id="2056" w:name="_Toc507518667"/>
            <w:bookmarkStart w:id="2057" w:name="_Toc507767764"/>
            <w:bookmarkStart w:id="2058" w:name="_Toc507768490"/>
            <w:bookmarkStart w:id="2059" w:name="_Toc511308276"/>
            <w:bookmarkStart w:id="2060" w:name="_Toc511998720"/>
            <w:bookmarkStart w:id="2061" w:name="_Toc512421077"/>
            <w:r w:rsidRPr="00D163D7">
              <w:rPr>
                <w:rFonts w:ascii="Times New Roman" w:hAnsi="Times New Roman"/>
                <w:spacing w:val="-20"/>
                <w:sz w:val="28"/>
                <w:szCs w:val="28"/>
              </w:rPr>
              <w:t>(A/D)</w:t>
            </w:r>
            <w:bookmarkEnd w:id="2053"/>
            <w:bookmarkEnd w:id="2054"/>
            <w:bookmarkEnd w:id="2055"/>
            <w:bookmarkEnd w:id="2056"/>
            <w:bookmarkEnd w:id="2057"/>
            <w:bookmarkEnd w:id="2058"/>
            <w:bookmarkEnd w:id="2059"/>
            <w:bookmarkEnd w:id="2060"/>
            <w:bookmarkEnd w:id="2061"/>
          </w:p>
        </w:tc>
      </w:tr>
      <w:tr w:rsidR="00D163D7" w:rsidRPr="00D163D7" w:rsidTr="00F616B6">
        <w:tc>
          <w:tcPr>
            <w:tcW w:w="969"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hint="eastAsia"/>
                <w:bCs/>
                <w:spacing w:val="-20"/>
                <w:kern w:val="32"/>
                <w:sz w:val="28"/>
                <w:szCs w:val="28"/>
              </w:rPr>
              <w:t>臺北市</w:t>
            </w:r>
          </w:p>
        </w:tc>
        <w:tc>
          <w:tcPr>
            <w:tcW w:w="1800"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2,863,659,003</w:t>
            </w:r>
          </w:p>
        </w:tc>
        <w:tc>
          <w:tcPr>
            <w:tcW w:w="840"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4</w:t>
            </w:r>
          </w:p>
        </w:tc>
        <w:tc>
          <w:tcPr>
            <w:tcW w:w="1357"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39</w:t>
            </w:r>
          </w:p>
        </w:tc>
        <w:tc>
          <w:tcPr>
            <w:tcW w:w="1158"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43</w:t>
            </w:r>
          </w:p>
        </w:tc>
        <w:tc>
          <w:tcPr>
            <w:tcW w:w="1615"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66,596,721</w:t>
            </w:r>
          </w:p>
        </w:tc>
      </w:tr>
      <w:tr w:rsidR="00D163D7" w:rsidRPr="00D163D7" w:rsidTr="00F616B6">
        <w:tc>
          <w:tcPr>
            <w:tcW w:w="969"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hint="eastAsia"/>
                <w:bCs/>
                <w:spacing w:val="-20"/>
                <w:kern w:val="32"/>
                <w:sz w:val="28"/>
                <w:szCs w:val="28"/>
              </w:rPr>
              <w:t>新北市</w:t>
            </w:r>
          </w:p>
        </w:tc>
        <w:tc>
          <w:tcPr>
            <w:tcW w:w="1800"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1,675,535,720</w:t>
            </w:r>
          </w:p>
        </w:tc>
        <w:tc>
          <w:tcPr>
            <w:tcW w:w="840"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1</w:t>
            </w:r>
          </w:p>
        </w:tc>
        <w:tc>
          <w:tcPr>
            <w:tcW w:w="1357"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12</w:t>
            </w:r>
          </w:p>
        </w:tc>
        <w:tc>
          <w:tcPr>
            <w:tcW w:w="1158"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13</w:t>
            </w:r>
          </w:p>
        </w:tc>
        <w:tc>
          <w:tcPr>
            <w:tcW w:w="1615"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128,887,363</w:t>
            </w:r>
          </w:p>
        </w:tc>
      </w:tr>
      <w:tr w:rsidR="00D163D7" w:rsidRPr="00D163D7" w:rsidTr="00F616B6">
        <w:tc>
          <w:tcPr>
            <w:tcW w:w="969"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hint="eastAsia"/>
                <w:bCs/>
                <w:spacing w:val="-20"/>
                <w:kern w:val="32"/>
                <w:sz w:val="28"/>
                <w:szCs w:val="28"/>
              </w:rPr>
              <w:t>臺中市</w:t>
            </w:r>
          </w:p>
        </w:tc>
        <w:tc>
          <w:tcPr>
            <w:tcW w:w="1800"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1,600,289,257</w:t>
            </w:r>
          </w:p>
        </w:tc>
        <w:tc>
          <w:tcPr>
            <w:tcW w:w="840"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4</w:t>
            </w:r>
          </w:p>
        </w:tc>
        <w:tc>
          <w:tcPr>
            <w:tcW w:w="1357"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4</w:t>
            </w:r>
          </w:p>
        </w:tc>
        <w:tc>
          <w:tcPr>
            <w:tcW w:w="1158"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8</w:t>
            </w:r>
          </w:p>
        </w:tc>
        <w:tc>
          <w:tcPr>
            <w:tcW w:w="1615"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200,036,157</w:t>
            </w:r>
          </w:p>
        </w:tc>
      </w:tr>
      <w:tr w:rsidR="00D163D7" w:rsidRPr="00D163D7" w:rsidTr="00F616B6">
        <w:tc>
          <w:tcPr>
            <w:tcW w:w="969"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hint="eastAsia"/>
                <w:bCs/>
                <w:spacing w:val="-20"/>
                <w:kern w:val="32"/>
                <w:sz w:val="28"/>
                <w:szCs w:val="28"/>
              </w:rPr>
              <w:t>臺南市</w:t>
            </w:r>
          </w:p>
        </w:tc>
        <w:tc>
          <w:tcPr>
            <w:tcW w:w="1800"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1,224,817,679</w:t>
            </w:r>
          </w:p>
        </w:tc>
        <w:tc>
          <w:tcPr>
            <w:tcW w:w="840"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4</w:t>
            </w:r>
          </w:p>
        </w:tc>
        <w:tc>
          <w:tcPr>
            <w:tcW w:w="1357"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4</w:t>
            </w:r>
          </w:p>
        </w:tc>
        <w:tc>
          <w:tcPr>
            <w:tcW w:w="1158"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8</w:t>
            </w:r>
          </w:p>
        </w:tc>
        <w:tc>
          <w:tcPr>
            <w:tcW w:w="1615"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153,102,210</w:t>
            </w:r>
          </w:p>
        </w:tc>
      </w:tr>
      <w:tr w:rsidR="00D163D7" w:rsidRPr="00D163D7" w:rsidTr="00F616B6">
        <w:tc>
          <w:tcPr>
            <w:tcW w:w="969"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hint="eastAsia"/>
                <w:bCs/>
                <w:spacing w:val="-20"/>
                <w:kern w:val="32"/>
                <w:sz w:val="28"/>
                <w:szCs w:val="28"/>
              </w:rPr>
              <w:t>高雄市</w:t>
            </w:r>
          </w:p>
        </w:tc>
        <w:tc>
          <w:tcPr>
            <w:tcW w:w="1800"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1,782,700,648</w:t>
            </w:r>
          </w:p>
        </w:tc>
        <w:tc>
          <w:tcPr>
            <w:tcW w:w="840"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3</w:t>
            </w:r>
          </w:p>
        </w:tc>
        <w:tc>
          <w:tcPr>
            <w:tcW w:w="1357"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3</w:t>
            </w:r>
          </w:p>
        </w:tc>
        <w:tc>
          <w:tcPr>
            <w:tcW w:w="1158"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6</w:t>
            </w:r>
          </w:p>
        </w:tc>
        <w:tc>
          <w:tcPr>
            <w:tcW w:w="1615"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297,116,775</w:t>
            </w:r>
          </w:p>
        </w:tc>
      </w:tr>
      <w:tr w:rsidR="00D163D7" w:rsidRPr="00D163D7" w:rsidTr="00F616B6">
        <w:tc>
          <w:tcPr>
            <w:tcW w:w="969"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hint="eastAsia"/>
                <w:bCs/>
                <w:spacing w:val="-20"/>
                <w:kern w:val="32"/>
                <w:sz w:val="28"/>
                <w:szCs w:val="28"/>
              </w:rPr>
              <w:t>桃園市</w:t>
            </w:r>
          </w:p>
        </w:tc>
        <w:tc>
          <w:tcPr>
            <w:tcW w:w="1800"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1,027,227,701</w:t>
            </w:r>
          </w:p>
        </w:tc>
        <w:tc>
          <w:tcPr>
            <w:tcW w:w="840"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2</w:t>
            </w:r>
          </w:p>
        </w:tc>
        <w:tc>
          <w:tcPr>
            <w:tcW w:w="1357"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20</w:t>
            </w:r>
          </w:p>
        </w:tc>
        <w:tc>
          <w:tcPr>
            <w:tcW w:w="1158"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22</w:t>
            </w:r>
          </w:p>
        </w:tc>
        <w:tc>
          <w:tcPr>
            <w:tcW w:w="1615"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46,692,168</w:t>
            </w:r>
          </w:p>
        </w:tc>
      </w:tr>
      <w:tr w:rsidR="00D163D7" w:rsidRPr="00D163D7" w:rsidTr="00F616B6">
        <w:tc>
          <w:tcPr>
            <w:tcW w:w="969"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hint="eastAsia"/>
                <w:bCs/>
                <w:spacing w:val="-20"/>
                <w:kern w:val="32"/>
                <w:sz w:val="28"/>
                <w:szCs w:val="28"/>
              </w:rPr>
              <w:t>宜蘭縣</w:t>
            </w:r>
          </w:p>
        </w:tc>
        <w:tc>
          <w:tcPr>
            <w:tcW w:w="1800"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355,866,117</w:t>
            </w:r>
          </w:p>
        </w:tc>
        <w:tc>
          <w:tcPr>
            <w:tcW w:w="840"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3</w:t>
            </w:r>
          </w:p>
        </w:tc>
        <w:tc>
          <w:tcPr>
            <w:tcW w:w="1357"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0</w:t>
            </w:r>
          </w:p>
        </w:tc>
        <w:tc>
          <w:tcPr>
            <w:tcW w:w="1158"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3</w:t>
            </w:r>
          </w:p>
        </w:tc>
        <w:tc>
          <w:tcPr>
            <w:tcW w:w="1615"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118,622,039</w:t>
            </w:r>
          </w:p>
        </w:tc>
      </w:tr>
      <w:tr w:rsidR="00D163D7" w:rsidRPr="00D163D7" w:rsidTr="00F616B6">
        <w:tc>
          <w:tcPr>
            <w:tcW w:w="969"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hint="eastAsia"/>
                <w:bCs/>
                <w:spacing w:val="-20"/>
                <w:kern w:val="32"/>
                <w:sz w:val="28"/>
                <w:szCs w:val="28"/>
              </w:rPr>
              <w:t>新竹縣</w:t>
            </w:r>
          </w:p>
        </w:tc>
        <w:tc>
          <w:tcPr>
            <w:tcW w:w="1800"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354,703,673</w:t>
            </w:r>
          </w:p>
        </w:tc>
        <w:tc>
          <w:tcPr>
            <w:tcW w:w="840"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1</w:t>
            </w:r>
          </w:p>
        </w:tc>
        <w:tc>
          <w:tcPr>
            <w:tcW w:w="1357"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0</w:t>
            </w:r>
          </w:p>
        </w:tc>
        <w:tc>
          <w:tcPr>
            <w:tcW w:w="1158"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1</w:t>
            </w:r>
          </w:p>
        </w:tc>
        <w:tc>
          <w:tcPr>
            <w:tcW w:w="1615"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354,703,673</w:t>
            </w:r>
          </w:p>
        </w:tc>
      </w:tr>
      <w:tr w:rsidR="00D163D7" w:rsidRPr="00D163D7" w:rsidTr="00F616B6">
        <w:tc>
          <w:tcPr>
            <w:tcW w:w="969"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hint="eastAsia"/>
                <w:bCs/>
                <w:spacing w:val="-20"/>
                <w:kern w:val="32"/>
                <w:sz w:val="28"/>
                <w:szCs w:val="28"/>
              </w:rPr>
              <w:t>苗栗縣</w:t>
            </w:r>
          </w:p>
        </w:tc>
        <w:tc>
          <w:tcPr>
            <w:tcW w:w="1800"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562,906,007</w:t>
            </w:r>
          </w:p>
        </w:tc>
        <w:tc>
          <w:tcPr>
            <w:tcW w:w="840"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2</w:t>
            </w:r>
          </w:p>
        </w:tc>
        <w:tc>
          <w:tcPr>
            <w:tcW w:w="1357"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1</w:t>
            </w:r>
          </w:p>
        </w:tc>
        <w:tc>
          <w:tcPr>
            <w:tcW w:w="1158"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3</w:t>
            </w:r>
          </w:p>
        </w:tc>
        <w:tc>
          <w:tcPr>
            <w:tcW w:w="1615"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187,635,336</w:t>
            </w:r>
          </w:p>
        </w:tc>
      </w:tr>
      <w:tr w:rsidR="00D163D7" w:rsidRPr="00D163D7" w:rsidTr="00F616B6">
        <w:tc>
          <w:tcPr>
            <w:tcW w:w="969"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hint="eastAsia"/>
                <w:bCs/>
                <w:spacing w:val="-20"/>
                <w:kern w:val="32"/>
                <w:sz w:val="28"/>
                <w:szCs w:val="28"/>
              </w:rPr>
              <w:t>彰化縣</w:t>
            </w:r>
          </w:p>
        </w:tc>
        <w:tc>
          <w:tcPr>
            <w:tcW w:w="1800"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699,883,760</w:t>
            </w:r>
          </w:p>
        </w:tc>
        <w:tc>
          <w:tcPr>
            <w:tcW w:w="840"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1</w:t>
            </w:r>
          </w:p>
        </w:tc>
        <w:tc>
          <w:tcPr>
            <w:tcW w:w="1357"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12</w:t>
            </w:r>
          </w:p>
        </w:tc>
        <w:tc>
          <w:tcPr>
            <w:tcW w:w="1158"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13</w:t>
            </w:r>
          </w:p>
        </w:tc>
        <w:tc>
          <w:tcPr>
            <w:tcW w:w="1615"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53,837,212</w:t>
            </w:r>
          </w:p>
        </w:tc>
      </w:tr>
      <w:tr w:rsidR="00D163D7" w:rsidRPr="00D163D7" w:rsidTr="00F616B6">
        <w:tc>
          <w:tcPr>
            <w:tcW w:w="969"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hint="eastAsia"/>
                <w:bCs/>
                <w:spacing w:val="-20"/>
                <w:kern w:val="32"/>
                <w:sz w:val="28"/>
                <w:szCs w:val="28"/>
              </w:rPr>
              <w:t>南投縣</w:t>
            </w:r>
          </w:p>
        </w:tc>
        <w:tc>
          <w:tcPr>
            <w:tcW w:w="1800"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488,364,241</w:t>
            </w:r>
          </w:p>
        </w:tc>
        <w:tc>
          <w:tcPr>
            <w:tcW w:w="840"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2</w:t>
            </w:r>
          </w:p>
        </w:tc>
        <w:tc>
          <w:tcPr>
            <w:tcW w:w="1357" w:type="dxa"/>
            <w:vAlign w:val="center"/>
            <w:hideMark/>
          </w:tcPr>
          <w:p w:rsidR="0040606A" w:rsidRPr="00D163D7" w:rsidRDefault="0040606A" w:rsidP="00F616B6">
            <w:pPr>
              <w:spacing w:line="320" w:lineRule="exact"/>
              <w:ind w:firstLineChars="204" w:firstLine="531"/>
              <w:jc w:val="left"/>
              <w:rPr>
                <w:rFonts w:ascii="Times New Roman"/>
                <w:bCs/>
                <w:spacing w:val="-20"/>
                <w:kern w:val="32"/>
                <w:sz w:val="28"/>
                <w:szCs w:val="28"/>
              </w:rPr>
            </w:pPr>
            <w:r w:rsidRPr="00D163D7">
              <w:rPr>
                <w:rFonts w:ascii="Times New Roman"/>
                <w:bCs/>
                <w:spacing w:val="-20"/>
                <w:kern w:val="32"/>
                <w:sz w:val="28"/>
                <w:szCs w:val="28"/>
              </w:rPr>
              <w:t>35</w:t>
            </w:r>
            <w:r w:rsidR="00D163D7" w:rsidRPr="00D163D7">
              <w:rPr>
                <w:rFonts w:ascii="Times New Roman" w:hint="eastAsia"/>
                <w:bCs/>
                <w:spacing w:val="-10"/>
                <w:kern w:val="32"/>
                <w:sz w:val="28"/>
                <w:szCs w:val="28"/>
                <w:vertAlign w:val="superscript"/>
              </w:rPr>
              <w:t>(</w:t>
            </w:r>
            <w:r w:rsidR="00D163D7" w:rsidRPr="00D163D7">
              <w:rPr>
                <w:rFonts w:ascii="Times New Roman" w:hint="eastAsia"/>
                <w:bCs/>
                <w:spacing w:val="-10"/>
                <w:kern w:val="32"/>
                <w:sz w:val="28"/>
                <w:szCs w:val="28"/>
                <w:vertAlign w:val="superscript"/>
              </w:rPr>
              <w:t>備註</w:t>
            </w:r>
            <w:r w:rsidR="00D163D7" w:rsidRPr="00D163D7">
              <w:rPr>
                <w:rFonts w:ascii="Times New Roman" w:hint="eastAsia"/>
                <w:bCs/>
                <w:spacing w:val="-10"/>
                <w:kern w:val="32"/>
                <w:sz w:val="28"/>
                <w:szCs w:val="28"/>
                <w:vertAlign w:val="superscript"/>
              </w:rPr>
              <w:t>2)</w:t>
            </w:r>
          </w:p>
        </w:tc>
        <w:tc>
          <w:tcPr>
            <w:tcW w:w="1158"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37</w:t>
            </w:r>
          </w:p>
        </w:tc>
        <w:tc>
          <w:tcPr>
            <w:tcW w:w="1615"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13,199,034</w:t>
            </w:r>
          </w:p>
        </w:tc>
      </w:tr>
      <w:tr w:rsidR="00D163D7" w:rsidRPr="00D163D7" w:rsidTr="00F616B6">
        <w:tc>
          <w:tcPr>
            <w:tcW w:w="969"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hint="eastAsia"/>
                <w:bCs/>
                <w:spacing w:val="-20"/>
                <w:kern w:val="32"/>
                <w:sz w:val="28"/>
                <w:szCs w:val="28"/>
              </w:rPr>
              <w:t>雲林縣</w:t>
            </w:r>
          </w:p>
        </w:tc>
        <w:tc>
          <w:tcPr>
            <w:tcW w:w="1800"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574,768,805</w:t>
            </w:r>
          </w:p>
        </w:tc>
        <w:tc>
          <w:tcPr>
            <w:tcW w:w="840"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1</w:t>
            </w:r>
          </w:p>
        </w:tc>
        <w:tc>
          <w:tcPr>
            <w:tcW w:w="1357"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0</w:t>
            </w:r>
          </w:p>
        </w:tc>
        <w:tc>
          <w:tcPr>
            <w:tcW w:w="1158"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1</w:t>
            </w:r>
          </w:p>
        </w:tc>
        <w:tc>
          <w:tcPr>
            <w:tcW w:w="1615"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574,768,805</w:t>
            </w:r>
          </w:p>
        </w:tc>
      </w:tr>
      <w:tr w:rsidR="00D163D7" w:rsidRPr="00D163D7" w:rsidTr="00F616B6">
        <w:tc>
          <w:tcPr>
            <w:tcW w:w="969"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hint="eastAsia"/>
                <w:bCs/>
                <w:spacing w:val="-20"/>
                <w:kern w:val="32"/>
                <w:sz w:val="28"/>
                <w:szCs w:val="28"/>
              </w:rPr>
              <w:t>嘉義縣</w:t>
            </w:r>
          </w:p>
        </w:tc>
        <w:tc>
          <w:tcPr>
            <w:tcW w:w="1800"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368,429,352</w:t>
            </w:r>
          </w:p>
        </w:tc>
        <w:tc>
          <w:tcPr>
            <w:tcW w:w="840"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1</w:t>
            </w:r>
          </w:p>
        </w:tc>
        <w:tc>
          <w:tcPr>
            <w:tcW w:w="1357"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1</w:t>
            </w:r>
          </w:p>
        </w:tc>
        <w:tc>
          <w:tcPr>
            <w:tcW w:w="1158"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2</w:t>
            </w:r>
          </w:p>
        </w:tc>
        <w:tc>
          <w:tcPr>
            <w:tcW w:w="1615"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184,214,676</w:t>
            </w:r>
          </w:p>
        </w:tc>
      </w:tr>
      <w:tr w:rsidR="00D163D7" w:rsidRPr="00D163D7" w:rsidTr="00F616B6">
        <w:tc>
          <w:tcPr>
            <w:tcW w:w="969"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hint="eastAsia"/>
                <w:bCs/>
                <w:spacing w:val="-20"/>
                <w:kern w:val="32"/>
                <w:sz w:val="28"/>
                <w:szCs w:val="28"/>
              </w:rPr>
              <w:t>屏東縣</w:t>
            </w:r>
          </w:p>
        </w:tc>
        <w:tc>
          <w:tcPr>
            <w:tcW w:w="1800"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625,946,852</w:t>
            </w:r>
          </w:p>
        </w:tc>
        <w:tc>
          <w:tcPr>
            <w:tcW w:w="840"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1</w:t>
            </w:r>
          </w:p>
        </w:tc>
        <w:tc>
          <w:tcPr>
            <w:tcW w:w="1357"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2</w:t>
            </w:r>
          </w:p>
        </w:tc>
        <w:tc>
          <w:tcPr>
            <w:tcW w:w="1158"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3</w:t>
            </w:r>
          </w:p>
        </w:tc>
        <w:tc>
          <w:tcPr>
            <w:tcW w:w="1615"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208,648,951</w:t>
            </w:r>
          </w:p>
        </w:tc>
      </w:tr>
      <w:tr w:rsidR="00D163D7" w:rsidRPr="00D163D7" w:rsidTr="00F616B6">
        <w:tc>
          <w:tcPr>
            <w:tcW w:w="969"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hint="eastAsia"/>
                <w:bCs/>
                <w:spacing w:val="-20"/>
                <w:kern w:val="32"/>
                <w:sz w:val="28"/>
                <w:szCs w:val="28"/>
              </w:rPr>
              <w:t>臺東縣</w:t>
            </w:r>
          </w:p>
        </w:tc>
        <w:tc>
          <w:tcPr>
            <w:tcW w:w="1800"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285,265,154</w:t>
            </w:r>
          </w:p>
        </w:tc>
        <w:tc>
          <w:tcPr>
            <w:tcW w:w="840"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1</w:t>
            </w:r>
          </w:p>
        </w:tc>
        <w:tc>
          <w:tcPr>
            <w:tcW w:w="1357"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16</w:t>
            </w:r>
          </w:p>
        </w:tc>
        <w:tc>
          <w:tcPr>
            <w:tcW w:w="1158"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17</w:t>
            </w:r>
          </w:p>
        </w:tc>
        <w:tc>
          <w:tcPr>
            <w:tcW w:w="1615"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16,780,303</w:t>
            </w:r>
          </w:p>
        </w:tc>
      </w:tr>
      <w:tr w:rsidR="00D163D7" w:rsidRPr="00D163D7" w:rsidTr="00F616B6">
        <w:tc>
          <w:tcPr>
            <w:tcW w:w="969"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hint="eastAsia"/>
                <w:bCs/>
                <w:spacing w:val="-20"/>
                <w:kern w:val="32"/>
                <w:sz w:val="28"/>
                <w:szCs w:val="28"/>
              </w:rPr>
              <w:t>花蓮縣</w:t>
            </w:r>
          </w:p>
        </w:tc>
        <w:tc>
          <w:tcPr>
            <w:tcW w:w="1800"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531,528,761</w:t>
            </w:r>
          </w:p>
        </w:tc>
        <w:tc>
          <w:tcPr>
            <w:tcW w:w="840"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1</w:t>
            </w:r>
          </w:p>
        </w:tc>
        <w:tc>
          <w:tcPr>
            <w:tcW w:w="1357"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11</w:t>
            </w:r>
          </w:p>
        </w:tc>
        <w:tc>
          <w:tcPr>
            <w:tcW w:w="1158"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12</w:t>
            </w:r>
          </w:p>
        </w:tc>
        <w:tc>
          <w:tcPr>
            <w:tcW w:w="1615"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44,294,063</w:t>
            </w:r>
          </w:p>
        </w:tc>
      </w:tr>
      <w:tr w:rsidR="00D163D7" w:rsidRPr="00D163D7" w:rsidTr="00F616B6">
        <w:tc>
          <w:tcPr>
            <w:tcW w:w="969"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hint="eastAsia"/>
                <w:bCs/>
                <w:spacing w:val="-20"/>
                <w:kern w:val="32"/>
                <w:sz w:val="28"/>
                <w:szCs w:val="28"/>
              </w:rPr>
              <w:t>澎湖縣</w:t>
            </w:r>
          </w:p>
        </w:tc>
        <w:tc>
          <w:tcPr>
            <w:tcW w:w="1800"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192,278,363</w:t>
            </w:r>
          </w:p>
        </w:tc>
        <w:tc>
          <w:tcPr>
            <w:tcW w:w="840"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1</w:t>
            </w:r>
          </w:p>
        </w:tc>
        <w:tc>
          <w:tcPr>
            <w:tcW w:w="1357"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1</w:t>
            </w:r>
          </w:p>
        </w:tc>
        <w:tc>
          <w:tcPr>
            <w:tcW w:w="1158"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2</w:t>
            </w:r>
          </w:p>
        </w:tc>
        <w:tc>
          <w:tcPr>
            <w:tcW w:w="1615"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96,139,182</w:t>
            </w:r>
          </w:p>
        </w:tc>
      </w:tr>
      <w:tr w:rsidR="00D163D7" w:rsidRPr="00D163D7" w:rsidTr="00F616B6">
        <w:tc>
          <w:tcPr>
            <w:tcW w:w="969"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hint="eastAsia"/>
                <w:bCs/>
                <w:spacing w:val="-20"/>
                <w:kern w:val="32"/>
                <w:sz w:val="28"/>
                <w:szCs w:val="28"/>
              </w:rPr>
              <w:t>基隆市</w:t>
            </w:r>
          </w:p>
        </w:tc>
        <w:tc>
          <w:tcPr>
            <w:tcW w:w="1800"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478,349,758</w:t>
            </w:r>
          </w:p>
        </w:tc>
        <w:tc>
          <w:tcPr>
            <w:tcW w:w="840"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2</w:t>
            </w:r>
          </w:p>
        </w:tc>
        <w:tc>
          <w:tcPr>
            <w:tcW w:w="1357" w:type="dxa"/>
            <w:vAlign w:val="center"/>
            <w:hideMark/>
          </w:tcPr>
          <w:p w:rsidR="0040606A" w:rsidRPr="00D163D7" w:rsidRDefault="0040606A" w:rsidP="00F616B6">
            <w:pPr>
              <w:spacing w:line="320" w:lineRule="exact"/>
              <w:ind w:firstLineChars="204" w:firstLine="531"/>
              <w:jc w:val="left"/>
              <w:rPr>
                <w:rFonts w:ascii="Times New Roman"/>
                <w:bCs/>
                <w:spacing w:val="-20"/>
                <w:kern w:val="32"/>
                <w:sz w:val="28"/>
                <w:szCs w:val="28"/>
              </w:rPr>
            </w:pPr>
            <w:r w:rsidRPr="00D163D7">
              <w:rPr>
                <w:rFonts w:ascii="Times New Roman"/>
                <w:bCs/>
                <w:spacing w:val="-20"/>
                <w:kern w:val="32"/>
                <w:sz w:val="28"/>
                <w:szCs w:val="28"/>
              </w:rPr>
              <w:t>46</w:t>
            </w:r>
            <w:r w:rsidR="00D163D7" w:rsidRPr="00D163D7">
              <w:rPr>
                <w:rFonts w:ascii="Times New Roman" w:hint="eastAsia"/>
                <w:bCs/>
                <w:spacing w:val="-10"/>
                <w:kern w:val="32"/>
                <w:sz w:val="28"/>
                <w:szCs w:val="28"/>
                <w:vertAlign w:val="superscript"/>
              </w:rPr>
              <w:t>(</w:t>
            </w:r>
            <w:r w:rsidR="00D163D7" w:rsidRPr="00D163D7">
              <w:rPr>
                <w:rFonts w:ascii="Times New Roman" w:hint="eastAsia"/>
                <w:bCs/>
                <w:spacing w:val="-10"/>
                <w:kern w:val="32"/>
                <w:sz w:val="28"/>
                <w:szCs w:val="28"/>
                <w:vertAlign w:val="superscript"/>
              </w:rPr>
              <w:t>備註</w:t>
            </w:r>
            <w:r w:rsidR="00D163D7" w:rsidRPr="00D163D7">
              <w:rPr>
                <w:rFonts w:ascii="Times New Roman" w:hint="eastAsia"/>
                <w:bCs/>
                <w:spacing w:val="-10"/>
                <w:kern w:val="32"/>
                <w:sz w:val="28"/>
                <w:szCs w:val="28"/>
                <w:vertAlign w:val="superscript"/>
              </w:rPr>
              <w:t>2)</w:t>
            </w:r>
          </w:p>
        </w:tc>
        <w:tc>
          <w:tcPr>
            <w:tcW w:w="1158"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48</w:t>
            </w:r>
          </w:p>
        </w:tc>
        <w:tc>
          <w:tcPr>
            <w:tcW w:w="1615"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9,965,620</w:t>
            </w:r>
          </w:p>
        </w:tc>
      </w:tr>
      <w:tr w:rsidR="00D163D7" w:rsidRPr="00D163D7" w:rsidTr="00F616B6">
        <w:tc>
          <w:tcPr>
            <w:tcW w:w="969"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hint="eastAsia"/>
                <w:bCs/>
                <w:spacing w:val="-20"/>
                <w:kern w:val="32"/>
                <w:sz w:val="28"/>
                <w:szCs w:val="28"/>
              </w:rPr>
              <w:t>新竹市</w:t>
            </w:r>
          </w:p>
        </w:tc>
        <w:tc>
          <w:tcPr>
            <w:tcW w:w="1800"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441,325,475</w:t>
            </w:r>
          </w:p>
        </w:tc>
        <w:tc>
          <w:tcPr>
            <w:tcW w:w="840"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2</w:t>
            </w:r>
          </w:p>
        </w:tc>
        <w:tc>
          <w:tcPr>
            <w:tcW w:w="1357"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8</w:t>
            </w:r>
          </w:p>
        </w:tc>
        <w:tc>
          <w:tcPr>
            <w:tcW w:w="1158"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10</w:t>
            </w:r>
          </w:p>
        </w:tc>
        <w:tc>
          <w:tcPr>
            <w:tcW w:w="1615"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44,132,548</w:t>
            </w:r>
          </w:p>
        </w:tc>
      </w:tr>
      <w:tr w:rsidR="00D163D7" w:rsidRPr="00D163D7" w:rsidTr="00F616B6">
        <w:tc>
          <w:tcPr>
            <w:tcW w:w="969"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hint="eastAsia"/>
                <w:bCs/>
                <w:spacing w:val="-20"/>
                <w:kern w:val="32"/>
                <w:sz w:val="28"/>
                <w:szCs w:val="28"/>
              </w:rPr>
              <w:t>嘉義市</w:t>
            </w:r>
          </w:p>
        </w:tc>
        <w:tc>
          <w:tcPr>
            <w:tcW w:w="1800"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248,898,680</w:t>
            </w:r>
          </w:p>
        </w:tc>
        <w:tc>
          <w:tcPr>
            <w:tcW w:w="840"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1</w:t>
            </w:r>
          </w:p>
        </w:tc>
        <w:tc>
          <w:tcPr>
            <w:tcW w:w="1357"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1</w:t>
            </w:r>
          </w:p>
        </w:tc>
        <w:tc>
          <w:tcPr>
            <w:tcW w:w="1158"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2</w:t>
            </w:r>
          </w:p>
        </w:tc>
        <w:tc>
          <w:tcPr>
            <w:tcW w:w="1615"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124,449,340</w:t>
            </w:r>
          </w:p>
        </w:tc>
      </w:tr>
      <w:tr w:rsidR="00D163D7" w:rsidRPr="00D163D7" w:rsidTr="00F616B6">
        <w:tc>
          <w:tcPr>
            <w:tcW w:w="969"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hint="eastAsia"/>
                <w:bCs/>
                <w:spacing w:val="-20"/>
                <w:kern w:val="32"/>
                <w:sz w:val="28"/>
                <w:szCs w:val="28"/>
              </w:rPr>
              <w:t>金門縣</w:t>
            </w:r>
          </w:p>
        </w:tc>
        <w:tc>
          <w:tcPr>
            <w:tcW w:w="1800"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195,853,338</w:t>
            </w:r>
          </w:p>
        </w:tc>
        <w:tc>
          <w:tcPr>
            <w:tcW w:w="840"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1</w:t>
            </w:r>
          </w:p>
        </w:tc>
        <w:tc>
          <w:tcPr>
            <w:tcW w:w="1357"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8</w:t>
            </w:r>
          </w:p>
        </w:tc>
        <w:tc>
          <w:tcPr>
            <w:tcW w:w="1158"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9</w:t>
            </w:r>
          </w:p>
        </w:tc>
        <w:tc>
          <w:tcPr>
            <w:tcW w:w="1615"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21,761,482</w:t>
            </w:r>
          </w:p>
        </w:tc>
      </w:tr>
      <w:tr w:rsidR="00D163D7" w:rsidRPr="00D163D7" w:rsidTr="00F616B6">
        <w:tc>
          <w:tcPr>
            <w:tcW w:w="969"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hint="eastAsia"/>
                <w:bCs/>
                <w:spacing w:val="-20"/>
                <w:kern w:val="32"/>
                <w:sz w:val="28"/>
                <w:szCs w:val="28"/>
              </w:rPr>
              <w:t>連江縣</w:t>
            </w:r>
          </w:p>
        </w:tc>
        <w:tc>
          <w:tcPr>
            <w:tcW w:w="1800"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139,760,425</w:t>
            </w:r>
          </w:p>
        </w:tc>
        <w:tc>
          <w:tcPr>
            <w:tcW w:w="840"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1</w:t>
            </w:r>
          </w:p>
        </w:tc>
        <w:tc>
          <w:tcPr>
            <w:tcW w:w="1357" w:type="dxa"/>
            <w:vAlign w:val="center"/>
            <w:hideMark/>
          </w:tcPr>
          <w:p w:rsidR="0040606A" w:rsidRPr="00D163D7" w:rsidRDefault="0040606A" w:rsidP="00F616B6">
            <w:pPr>
              <w:spacing w:line="320" w:lineRule="exact"/>
              <w:ind w:firstLineChars="226" w:firstLine="588"/>
              <w:jc w:val="left"/>
              <w:rPr>
                <w:rFonts w:ascii="Times New Roman"/>
                <w:bCs/>
                <w:spacing w:val="-20"/>
                <w:kern w:val="32"/>
                <w:sz w:val="28"/>
                <w:szCs w:val="28"/>
              </w:rPr>
            </w:pPr>
            <w:r w:rsidRPr="00D163D7">
              <w:rPr>
                <w:rFonts w:ascii="Times New Roman" w:hint="eastAsia"/>
                <w:bCs/>
                <w:spacing w:val="-20"/>
                <w:kern w:val="32"/>
                <w:sz w:val="28"/>
                <w:szCs w:val="28"/>
              </w:rPr>
              <w:t>9</w:t>
            </w:r>
            <w:r w:rsidR="00D163D7" w:rsidRPr="00D163D7">
              <w:rPr>
                <w:rFonts w:ascii="Times New Roman" w:hint="eastAsia"/>
                <w:bCs/>
                <w:spacing w:val="-10"/>
                <w:kern w:val="32"/>
                <w:sz w:val="28"/>
                <w:szCs w:val="28"/>
                <w:vertAlign w:val="superscript"/>
              </w:rPr>
              <w:t>(</w:t>
            </w:r>
            <w:r w:rsidR="00D163D7" w:rsidRPr="00D163D7">
              <w:rPr>
                <w:rFonts w:ascii="Times New Roman" w:hint="eastAsia"/>
                <w:bCs/>
                <w:spacing w:val="-10"/>
                <w:kern w:val="32"/>
                <w:sz w:val="28"/>
                <w:szCs w:val="28"/>
                <w:vertAlign w:val="superscript"/>
              </w:rPr>
              <w:t>備註</w:t>
            </w:r>
            <w:r w:rsidR="00D163D7" w:rsidRPr="00D163D7">
              <w:rPr>
                <w:rFonts w:ascii="Times New Roman" w:hint="eastAsia"/>
                <w:bCs/>
                <w:spacing w:val="-10"/>
                <w:kern w:val="32"/>
                <w:sz w:val="28"/>
                <w:szCs w:val="28"/>
                <w:vertAlign w:val="superscript"/>
              </w:rPr>
              <w:t>2)</w:t>
            </w:r>
          </w:p>
        </w:tc>
        <w:tc>
          <w:tcPr>
            <w:tcW w:w="1158" w:type="dxa"/>
            <w:vAlign w:val="center"/>
            <w:hideMark/>
          </w:tcPr>
          <w:p w:rsidR="0040606A" w:rsidRPr="00D163D7" w:rsidRDefault="0040606A" w:rsidP="00F616B6">
            <w:pPr>
              <w:spacing w:line="320" w:lineRule="exact"/>
              <w:jc w:val="center"/>
              <w:rPr>
                <w:rFonts w:ascii="Times New Roman"/>
                <w:bCs/>
                <w:spacing w:val="-20"/>
                <w:kern w:val="32"/>
                <w:sz w:val="28"/>
                <w:szCs w:val="28"/>
              </w:rPr>
            </w:pPr>
            <w:r w:rsidRPr="00D163D7">
              <w:rPr>
                <w:rFonts w:ascii="Times New Roman"/>
                <w:bCs/>
                <w:spacing w:val="-20"/>
                <w:kern w:val="32"/>
                <w:sz w:val="28"/>
                <w:szCs w:val="28"/>
              </w:rPr>
              <w:t>1</w:t>
            </w:r>
            <w:r w:rsidRPr="00D163D7">
              <w:rPr>
                <w:rFonts w:ascii="Times New Roman" w:hint="eastAsia"/>
                <w:bCs/>
                <w:spacing w:val="-20"/>
                <w:kern w:val="32"/>
                <w:sz w:val="28"/>
                <w:szCs w:val="28"/>
              </w:rPr>
              <w:t>0</w:t>
            </w:r>
          </w:p>
        </w:tc>
        <w:tc>
          <w:tcPr>
            <w:tcW w:w="1615" w:type="dxa"/>
            <w:vAlign w:val="center"/>
          </w:tcPr>
          <w:p w:rsidR="0040606A" w:rsidRPr="00D163D7" w:rsidRDefault="0040606A" w:rsidP="00F616B6">
            <w:pPr>
              <w:spacing w:line="320" w:lineRule="exact"/>
              <w:ind w:rightChars="20" w:right="68"/>
              <w:jc w:val="right"/>
              <w:rPr>
                <w:rFonts w:ascii="Times New Roman"/>
                <w:bCs/>
                <w:spacing w:val="-20"/>
                <w:kern w:val="32"/>
                <w:sz w:val="28"/>
                <w:szCs w:val="28"/>
              </w:rPr>
            </w:pPr>
            <w:r w:rsidRPr="00D163D7">
              <w:rPr>
                <w:rFonts w:ascii="Times New Roman" w:hint="eastAsia"/>
                <w:bCs/>
                <w:spacing w:val="-20"/>
                <w:kern w:val="32"/>
                <w:sz w:val="28"/>
                <w:szCs w:val="28"/>
              </w:rPr>
              <w:t>13,976,043</w:t>
            </w:r>
          </w:p>
        </w:tc>
      </w:tr>
    </w:tbl>
    <w:p w:rsidR="0040606A" w:rsidRPr="00D163D7" w:rsidRDefault="0040606A" w:rsidP="00D163D7">
      <w:pPr>
        <w:widowControl/>
        <w:overflowPunct/>
        <w:autoSpaceDE/>
        <w:spacing w:line="300" w:lineRule="exact"/>
        <w:ind w:leftChars="391" w:left="2087" w:hangingChars="291" w:hanging="757"/>
        <w:jc w:val="left"/>
        <w:rPr>
          <w:sz w:val="24"/>
          <w:szCs w:val="24"/>
        </w:rPr>
      </w:pPr>
      <w:r w:rsidRPr="00D163D7">
        <w:rPr>
          <w:rFonts w:hint="eastAsia"/>
          <w:sz w:val="24"/>
          <w:szCs w:val="24"/>
        </w:rPr>
        <w:t>備註：</w:t>
      </w:r>
    </w:p>
    <w:p w:rsidR="0040606A" w:rsidRPr="00D163D7" w:rsidRDefault="0040606A" w:rsidP="00D163D7">
      <w:pPr>
        <w:pStyle w:val="afc"/>
        <w:widowControl/>
        <w:numPr>
          <w:ilvl w:val="3"/>
          <w:numId w:val="33"/>
        </w:numPr>
        <w:overflowPunct/>
        <w:autoSpaceDE/>
        <w:spacing w:line="300" w:lineRule="exact"/>
        <w:ind w:leftChars="0" w:left="1806" w:rightChars="-54" w:right="-184" w:hanging="252"/>
        <w:rPr>
          <w:rFonts w:ascii="Times New Roman"/>
          <w:sz w:val="24"/>
          <w:szCs w:val="24"/>
        </w:rPr>
      </w:pPr>
      <w:r w:rsidRPr="00D163D7">
        <w:rPr>
          <w:rFonts w:ascii="Times New Roman"/>
          <w:sz w:val="24"/>
          <w:szCs w:val="24"/>
        </w:rPr>
        <w:t>本表「以獲配公彩盈餘進用人力」已扣除其中屬執行計畫型補助案之人力。</w:t>
      </w:r>
    </w:p>
    <w:p w:rsidR="0040606A" w:rsidRPr="00D163D7" w:rsidRDefault="0040606A" w:rsidP="00D163D7">
      <w:pPr>
        <w:pStyle w:val="afc"/>
        <w:widowControl/>
        <w:numPr>
          <w:ilvl w:val="3"/>
          <w:numId w:val="33"/>
        </w:numPr>
        <w:overflowPunct/>
        <w:autoSpaceDE/>
        <w:spacing w:line="300" w:lineRule="exact"/>
        <w:ind w:leftChars="0" w:left="1806" w:rightChars="-54" w:right="-184" w:hanging="252"/>
        <w:rPr>
          <w:rFonts w:ascii="Times New Roman"/>
          <w:sz w:val="24"/>
          <w:szCs w:val="24"/>
        </w:rPr>
      </w:pPr>
      <w:r w:rsidRPr="00D163D7">
        <w:rPr>
          <w:rFonts w:ascii="Times New Roman"/>
          <w:sz w:val="24"/>
          <w:szCs w:val="24"/>
        </w:rPr>
        <w:t>有關本表「合計」乙欄人力數較高之連江縣、基隆市及南投縣等</w:t>
      </w:r>
      <w:r w:rsidRPr="00D163D7">
        <w:rPr>
          <w:rFonts w:ascii="Times New Roman"/>
          <w:sz w:val="24"/>
          <w:szCs w:val="24"/>
        </w:rPr>
        <w:t>3</w:t>
      </w:r>
      <w:r w:rsidRPr="00D163D7">
        <w:rPr>
          <w:rFonts w:ascii="Times New Roman"/>
          <w:sz w:val="24"/>
          <w:szCs w:val="24"/>
        </w:rPr>
        <w:t>縣市，財政部及該等縣市</w:t>
      </w:r>
      <w:r w:rsidR="005B1C6C">
        <w:rPr>
          <w:rFonts w:ascii="Times New Roman" w:hint="eastAsia"/>
          <w:sz w:val="24"/>
          <w:szCs w:val="24"/>
        </w:rPr>
        <w:t>政府</w:t>
      </w:r>
      <w:r w:rsidRPr="00D163D7">
        <w:rPr>
          <w:rFonts w:ascii="Times New Roman"/>
          <w:sz w:val="24"/>
          <w:szCs w:val="24"/>
        </w:rPr>
        <w:t>說明如下：</w:t>
      </w:r>
    </w:p>
    <w:p w:rsidR="00D163D7" w:rsidRDefault="00D163D7" w:rsidP="00D163D7">
      <w:pPr>
        <w:pStyle w:val="afc"/>
        <w:widowControl/>
        <w:numPr>
          <w:ilvl w:val="0"/>
          <w:numId w:val="40"/>
        </w:numPr>
        <w:overflowPunct/>
        <w:autoSpaceDE/>
        <w:spacing w:line="300" w:lineRule="exact"/>
        <w:ind w:leftChars="0" w:left="2142" w:rightChars="-54" w:right="-184" w:hanging="364"/>
        <w:rPr>
          <w:rFonts w:ascii="Times New Roman"/>
          <w:sz w:val="24"/>
          <w:szCs w:val="24"/>
        </w:rPr>
      </w:pPr>
      <w:r w:rsidRPr="00D163D7">
        <w:rPr>
          <w:rFonts w:ascii="Times New Roman"/>
          <w:sz w:val="24"/>
          <w:szCs w:val="24"/>
        </w:rPr>
        <w:t>南投縣政府：以公益彩券盈餘進用人力共</w:t>
      </w:r>
      <w:r w:rsidRPr="00D163D7">
        <w:rPr>
          <w:rFonts w:ascii="Times New Roman"/>
          <w:sz w:val="24"/>
          <w:szCs w:val="24"/>
        </w:rPr>
        <w:t>84</w:t>
      </w:r>
      <w:r w:rsidRPr="00D163D7">
        <w:rPr>
          <w:rFonts w:ascii="Times New Roman"/>
          <w:sz w:val="24"/>
          <w:szCs w:val="24"/>
        </w:rPr>
        <w:t>名。屬該府以公彩基金進用人力者</w:t>
      </w:r>
      <w:r w:rsidRPr="00D163D7">
        <w:rPr>
          <w:rFonts w:ascii="Times New Roman"/>
          <w:sz w:val="24"/>
          <w:szCs w:val="24"/>
        </w:rPr>
        <w:t>(</w:t>
      </w:r>
      <w:r w:rsidRPr="00D163D7">
        <w:rPr>
          <w:rFonts w:ascii="Times New Roman"/>
          <w:sz w:val="24"/>
          <w:szCs w:val="24"/>
        </w:rPr>
        <w:t>該府自僱人力</w:t>
      </w:r>
      <w:r w:rsidRPr="00D163D7">
        <w:rPr>
          <w:rFonts w:ascii="Times New Roman"/>
          <w:sz w:val="24"/>
          <w:szCs w:val="24"/>
        </w:rPr>
        <w:t>)</w:t>
      </w:r>
      <w:r w:rsidRPr="00D163D7">
        <w:rPr>
          <w:rFonts w:ascii="Times New Roman"/>
          <w:sz w:val="24"/>
          <w:szCs w:val="24"/>
        </w:rPr>
        <w:t>，計</w:t>
      </w:r>
      <w:r w:rsidRPr="00D163D7">
        <w:rPr>
          <w:rFonts w:ascii="Times New Roman"/>
          <w:sz w:val="24"/>
          <w:szCs w:val="24"/>
        </w:rPr>
        <w:t>35</w:t>
      </w:r>
      <w:r w:rsidRPr="00D163D7">
        <w:rPr>
          <w:rFonts w:ascii="Times New Roman"/>
          <w:sz w:val="24"/>
          <w:szCs w:val="24"/>
        </w:rPr>
        <w:t>人，含約聘僱、社工員、臨時人員，主要辦理</w:t>
      </w:r>
      <w:r w:rsidRPr="00D163D7">
        <w:rPr>
          <w:rFonts w:ascii="Times New Roman" w:hint="eastAsia"/>
          <w:sz w:val="24"/>
          <w:szCs w:val="24"/>
        </w:rPr>
        <w:t>公益彩券盈餘分配基金</w:t>
      </w:r>
      <w:r w:rsidRPr="00D163D7">
        <w:rPr>
          <w:rFonts w:ascii="Times New Roman"/>
          <w:sz w:val="24"/>
          <w:szCs w:val="24"/>
        </w:rPr>
        <w:t>相關行政及會計工作、社會救助、老人及身心障者、兒童及婦女、家庭暴力暨性侵害、社會工作等</w:t>
      </w:r>
      <w:r w:rsidRPr="00D163D7">
        <w:rPr>
          <w:rFonts w:ascii="Times New Roman" w:hint="eastAsia"/>
          <w:sz w:val="24"/>
          <w:szCs w:val="24"/>
        </w:rPr>
        <w:t>6</w:t>
      </w:r>
      <w:r w:rsidRPr="00D163D7">
        <w:rPr>
          <w:rFonts w:ascii="Times New Roman"/>
          <w:sz w:val="24"/>
          <w:szCs w:val="24"/>
        </w:rPr>
        <w:t>大項公彩基金所編列之各項社會福利相關業務。而屬計畫型方案補助</w:t>
      </w:r>
      <w:r w:rsidRPr="00D163D7">
        <w:rPr>
          <w:rFonts w:ascii="Times New Roman"/>
          <w:sz w:val="24"/>
          <w:szCs w:val="24"/>
        </w:rPr>
        <w:t>(</w:t>
      </w:r>
      <w:r w:rsidRPr="00D163D7">
        <w:rPr>
          <w:rFonts w:ascii="Times New Roman"/>
          <w:sz w:val="24"/>
          <w:szCs w:val="24"/>
        </w:rPr>
        <w:t>含人力</w:t>
      </w:r>
      <w:r w:rsidRPr="00D163D7">
        <w:rPr>
          <w:rFonts w:ascii="Times New Roman"/>
          <w:sz w:val="24"/>
          <w:szCs w:val="24"/>
        </w:rPr>
        <w:t>)</w:t>
      </w:r>
      <w:r w:rsidRPr="00D163D7">
        <w:rPr>
          <w:rFonts w:ascii="Times New Roman"/>
          <w:sz w:val="24"/>
          <w:szCs w:val="24"/>
        </w:rPr>
        <w:t>者，計</w:t>
      </w:r>
      <w:r w:rsidRPr="00D163D7">
        <w:rPr>
          <w:rFonts w:ascii="Times New Roman"/>
          <w:sz w:val="24"/>
          <w:szCs w:val="24"/>
        </w:rPr>
        <w:t>49</w:t>
      </w:r>
      <w:r w:rsidRPr="00D163D7">
        <w:rPr>
          <w:rFonts w:ascii="Times New Roman"/>
          <w:sz w:val="24"/>
          <w:szCs w:val="24"/>
        </w:rPr>
        <w:t>人，係該府為委託各社福團體之方案費含</w:t>
      </w:r>
      <w:r w:rsidRPr="00D163D7">
        <w:rPr>
          <w:rFonts w:hAnsi="標楷體" w:hint="eastAsia"/>
          <w:sz w:val="24"/>
          <w:szCs w:val="24"/>
        </w:rPr>
        <w:t>「</w:t>
      </w:r>
      <w:r w:rsidRPr="00D163D7">
        <w:rPr>
          <w:rFonts w:ascii="Times New Roman"/>
          <w:sz w:val="24"/>
          <w:szCs w:val="24"/>
        </w:rPr>
        <w:t>專業服務費</w:t>
      </w:r>
      <w:r w:rsidRPr="00D163D7">
        <w:rPr>
          <w:rFonts w:hAnsi="標楷體" w:hint="eastAsia"/>
          <w:sz w:val="24"/>
          <w:szCs w:val="24"/>
        </w:rPr>
        <w:t>」</w:t>
      </w:r>
      <w:r w:rsidRPr="00D163D7">
        <w:rPr>
          <w:rFonts w:ascii="Times New Roman"/>
          <w:sz w:val="24"/>
          <w:szCs w:val="24"/>
        </w:rPr>
        <w:t>部分，非屬該府公彩基金直接進用之人力。</w:t>
      </w:r>
    </w:p>
    <w:p w:rsidR="0040606A" w:rsidRPr="00D163D7" w:rsidRDefault="0040606A" w:rsidP="00D163D7">
      <w:pPr>
        <w:pStyle w:val="afc"/>
        <w:widowControl/>
        <w:numPr>
          <w:ilvl w:val="0"/>
          <w:numId w:val="40"/>
        </w:numPr>
        <w:overflowPunct/>
        <w:autoSpaceDE/>
        <w:spacing w:line="300" w:lineRule="exact"/>
        <w:ind w:leftChars="0" w:left="2142" w:rightChars="-54" w:right="-184" w:hanging="364"/>
        <w:rPr>
          <w:rFonts w:ascii="Times New Roman"/>
          <w:sz w:val="24"/>
          <w:szCs w:val="24"/>
        </w:rPr>
      </w:pPr>
      <w:r w:rsidRPr="00D163D7">
        <w:rPr>
          <w:rFonts w:ascii="Times New Roman"/>
          <w:sz w:val="24"/>
          <w:szCs w:val="24"/>
        </w:rPr>
        <w:t>基隆市政府：以公益彩券盈餘進用人力共</w:t>
      </w:r>
      <w:r w:rsidRPr="00D163D7">
        <w:rPr>
          <w:rFonts w:ascii="Times New Roman"/>
          <w:sz w:val="24"/>
          <w:szCs w:val="24"/>
        </w:rPr>
        <w:t>54</w:t>
      </w:r>
      <w:r w:rsidRPr="00D163D7">
        <w:rPr>
          <w:rFonts w:ascii="Times New Roman"/>
          <w:sz w:val="24"/>
          <w:szCs w:val="24"/>
        </w:rPr>
        <w:t>名。運用公彩盈餘基金進用人力含社工員、管理員、司機、臨時人員等，係為辦理該市婦女、老人、身心障礙者及弱勢家庭民眾之救助等服務，計</w:t>
      </w:r>
      <w:r w:rsidRPr="00D163D7">
        <w:rPr>
          <w:rFonts w:ascii="Times New Roman"/>
          <w:sz w:val="24"/>
          <w:szCs w:val="24"/>
        </w:rPr>
        <w:t>46</w:t>
      </w:r>
      <w:r w:rsidRPr="00D163D7">
        <w:rPr>
          <w:rFonts w:ascii="Times New Roman"/>
          <w:sz w:val="24"/>
          <w:szCs w:val="24"/>
        </w:rPr>
        <w:t>人；該府運用公彩盈餘基金</w:t>
      </w:r>
      <w:r w:rsidRPr="00D163D7">
        <w:rPr>
          <w:rFonts w:ascii="Times New Roman"/>
          <w:sz w:val="24"/>
          <w:szCs w:val="24"/>
        </w:rPr>
        <w:t>(</w:t>
      </w:r>
      <w:r w:rsidRPr="00D163D7">
        <w:rPr>
          <w:rFonts w:ascii="Times New Roman"/>
          <w:sz w:val="24"/>
          <w:szCs w:val="24"/>
        </w:rPr>
        <w:t>補社工員薪資差額</w:t>
      </w:r>
      <w:r w:rsidRPr="00D163D7">
        <w:rPr>
          <w:rFonts w:ascii="Times New Roman"/>
          <w:sz w:val="24"/>
          <w:szCs w:val="24"/>
        </w:rPr>
        <w:t>)</w:t>
      </w:r>
      <w:r w:rsidRPr="00D163D7">
        <w:rPr>
          <w:rFonts w:ascii="Times New Roman"/>
          <w:sz w:val="24"/>
          <w:szCs w:val="24"/>
        </w:rPr>
        <w:t>辦理身心障礙生涯轉銜及家庭福利服務中心業務，計</w:t>
      </w:r>
      <w:r w:rsidRPr="00D163D7">
        <w:rPr>
          <w:rFonts w:ascii="Times New Roman"/>
          <w:sz w:val="24"/>
          <w:szCs w:val="24"/>
        </w:rPr>
        <w:t>8</w:t>
      </w:r>
      <w:r w:rsidRPr="00D163D7">
        <w:rPr>
          <w:rFonts w:ascii="Times New Roman"/>
          <w:sz w:val="24"/>
          <w:szCs w:val="24"/>
        </w:rPr>
        <w:t>人</w:t>
      </w:r>
      <w:r w:rsidRPr="00D163D7">
        <w:rPr>
          <w:rFonts w:ascii="Times New Roman"/>
          <w:sz w:val="24"/>
          <w:szCs w:val="24"/>
        </w:rPr>
        <w:t>(</w:t>
      </w:r>
      <w:r w:rsidRPr="00D163D7">
        <w:rPr>
          <w:rFonts w:ascii="Times New Roman"/>
          <w:sz w:val="24"/>
          <w:szCs w:val="24"/>
        </w:rPr>
        <w:t>前開人力進用係配合中央補助款，縣市應有部分自籌所需編列</w:t>
      </w:r>
      <w:r w:rsidRPr="00D163D7">
        <w:rPr>
          <w:rFonts w:ascii="Times New Roman"/>
          <w:sz w:val="24"/>
          <w:szCs w:val="24"/>
        </w:rPr>
        <w:t>)</w:t>
      </w:r>
      <w:r w:rsidRPr="00D163D7">
        <w:rPr>
          <w:rFonts w:ascii="Times New Roman"/>
          <w:sz w:val="24"/>
          <w:szCs w:val="24"/>
        </w:rPr>
        <w:t>。</w:t>
      </w:r>
    </w:p>
    <w:p w:rsidR="0040606A" w:rsidRPr="00D163D7" w:rsidRDefault="0040606A" w:rsidP="00D163D7">
      <w:pPr>
        <w:pStyle w:val="afc"/>
        <w:widowControl/>
        <w:numPr>
          <w:ilvl w:val="0"/>
          <w:numId w:val="40"/>
        </w:numPr>
        <w:overflowPunct/>
        <w:autoSpaceDE/>
        <w:spacing w:line="300" w:lineRule="exact"/>
        <w:ind w:leftChars="0" w:left="2142" w:rightChars="-54" w:right="-184" w:hanging="364"/>
        <w:rPr>
          <w:rFonts w:ascii="Times New Roman"/>
          <w:sz w:val="24"/>
          <w:szCs w:val="24"/>
        </w:rPr>
      </w:pPr>
      <w:r w:rsidRPr="00D163D7">
        <w:rPr>
          <w:rFonts w:ascii="Times New Roman"/>
          <w:sz w:val="24"/>
          <w:szCs w:val="24"/>
        </w:rPr>
        <w:t>連江縣政府：以公益彩券盈餘進用人力共</w:t>
      </w:r>
      <w:r w:rsidRPr="00D163D7">
        <w:rPr>
          <w:rFonts w:ascii="Times New Roman"/>
          <w:sz w:val="24"/>
          <w:szCs w:val="24"/>
        </w:rPr>
        <w:t>23</w:t>
      </w:r>
      <w:r w:rsidRPr="00D163D7">
        <w:rPr>
          <w:rFonts w:ascii="Times New Roman"/>
          <w:sz w:val="24"/>
          <w:szCs w:val="24"/>
        </w:rPr>
        <w:t>名。該府執行社會福利業務進用之人員計</w:t>
      </w:r>
      <w:r w:rsidRPr="00D163D7">
        <w:rPr>
          <w:rFonts w:ascii="Times New Roman"/>
          <w:sz w:val="24"/>
          <w:szCs w:val="24"/>
        </w:rPr>
        <w:t>9</w:t>
      </w:r>
      <w:r w:rsidRPr="00D163D7">
        <w:rPr>
          <w:rFonts w:ascii="Times New Roman"/>
          <w:sz w:val="24"/>
          <w:szCs w:val="24"/>
        </w:rPr>
        <w:t>人；非該府內辦理社會福利業務工作人員</w:t>
      </w:r>
      <w:r w:rsidRPr="00D163D7">
        <w:rPr>
          <w:rFonts w:ascii="Times New Roman"/>
          <w:sz w:val="24"/>
          <w:szCs w:val="24"/>
        </w:rPr>
        <w:t>14</w:t>
      </w:r>
      <w:r w:rsidRPr="00D163D7">
        <w:rPr>
          <w:rFonts w:ascii="Times New Roman"/>
          <w:sz w:val="24"/>
          <w:szCs w:val="24"/>
        </w:rPr>
        <w:t>人</w:t>
      </w:r>
      <w:r w:rsidRPr="00D163D7">
        <w:rPr>
          <w:rFonts w:ascii="Times New Roman"/>
          <w:sz w:val="24"/>
          <w:szCs w:val="24"/>
        </w:rPr>
        <w:t>(12</w:t>
      </w:r>
      <w:r w:rsidRPr="00D163D7">
        <w:rPr>
          <w:rFonts w:ascii="Times New Roman"/>
          <w:sz w:val="24"/>
          <w:szCs w:val="24"/>
        </w:rPr>
        <w:t>位為身心障礙者協助社區服務進用之臨時工，</w:t>
      </w:r>
      <w:r w:rsidRPr="00D163D7">
        <w:rPr>
          <w:rFonts w:ascii="Times New Roman"/>
          <w:sz w:val="24"/>
          <w:szCs w:val="24"/>
        </w:rPr>
        <w:t>2</w:t>
      </w:r>
      <w:r w:rsidRPr="00D163D7">
        <w:rPr>
          <w:rFonts w:ascii="Times New Roman"/>
          <w:sz w:val="24"/>
          <w:szCs w:val="24"/>
        </w:rPr>
        <w:t>位為計畫型人力</w:t>
      </w:r>
      <w:r w:rsidRPr="00D163D7">
        <w:rPr>
          <w:rFonts w:ascii="Times New Roman"/>
          <w:sz w:val="24"/>
          <w:szCs w:val="24"/>
        </w:rPr>
        <w:t>)</w:t>
      </w:r>
      <w:r w:rsidRPr="00D163D7">
        <w:rPr>
          <w:rFonts w:ascii="Times New Roman"/>
          <w:sz w:val="24"/>
          <w:szCs w:val="24"/>
        </w:rPr>
        <w:t>。</w:t>
      </w:r>
    </w:p>
    <w:p w:rsidR="0040606A" w:rsidRDefault="0040606A" w:rsidP="00D163D7">
      <w:pPr>
        <w:widowControl/>
        <w:overflowPunct/>
        <w:autoSpaceDE/>
        <w:spacing w:afterLines="25" w:after="114" w:line="300" w:lineRule="exact"/>
        <w:ind w:firstLineChars="511" w:firstLine="1329"/>
        <w:jc w:val="left"/>
        <w:rPr>
          <w:rFonts w:ascii="新細明體" w:eastAsia="新細明體" w:hAnsi="新細明體" w:cs="新細明體"/>
          <w:kern w:val="0"/>
          <w:sz w:val="24"/>
          <w:szCs w:val="24"/>
        </w:rPr>
      </w:pPr>
      <w:r>
        <w:rPr>
          <w:rFonts w:hint="eastAsia"/>
          <w:sz w:val="24"/>
          <w:szCs w:val="24"/>
        </w:rPr>
        <w:t>資料來源：財政部，本院整理</w:t>
      </w:r>
      <w:r w:rsidRPr="002D3E57">
        <w:rPr>
          <w:rFonts w:hint="eastAsia"/>
          <w:color w:val="FF0000"/>
          <w:sz w:val="24"/>
          <w:szCs w:val="24"/>
        </w:rPr>
        <w:t>。</w:t>
      </w:r>
    </w:p>
    <w:p w:rsidR="0040606A" w:rsidRPr="005B1C6C" w:rsidRDefault="0040606A" w:rsidP="0040606A">
      <w:pPr>
        <w:pStyle w:val="3"/>
        <w:numPr>
          <w:ilvl w:val="2"/>
          <w:numId w:val="9"/>
        </w:numPr>
        <w:rPr>
          <w:rFonts w:ascii="新細明體" w:eastAsia="新細明體" w:hAnsi="新細明體" w:cs="新細明體"/>
          <w:kern w:val="0"/>
          <w:sz w:val="24"/>
          <w:szCs w:val="24"/>
        </w:rPr>
      </w:pPr>
      <w:bookmarkStart w:id="2062" w:name="_Toc511308277"/>
      <w:bookmarkStart w:id="2063" w:name="_Toc511998721"/>
      <w:bookmarkStart w:id="2064" w:name="_Toc512421078"/>
      <w:r w:rsidRPr="005B1C6C">
        <w:rPr>
          <w:rFonts w:ascii="Times New Roman" w:hAnsi="Times New Roman" w:hint="eastAsia"/>
        </w:rPr>
        <w:t>綜上，全職專職人力係公益彩券盈餘分配款管理及運用能否效益之重要關鍵，惟</w:t>
      </w:r>
      <w:r w:rsidRPr="005B1C6C">
        <w:rPr>
          <w:rFonts w:hint="eastAsia"/>
        </w:rPr>
        <w:t>各地方政府辦理</w:t>
      </w:r>
      <w:r w:rsidR="00FC2314">
        <w:rPr>
          <w:rFonts w:ascii="Times New Roman" w:hAnsi="Times New Roman" w:hint="eastAsia"/>
        </w:rPr>
        <w:t>該</w:t>
      </w:r>
      <w:r w:rsidRPr="005B1C6C">
        <w:rPr>
          <w:rFonts w:ascii="Times New Roman" w:hAnsi="Times New Roman" w:hint="eastAsia"/>
        </w:rPr>
        <w:t>盈餘分配</w:t>
      </w:r>
      <w:r w:rsidR="00FC2314">
        <w:rPr>
          <w:rFonts w:ascii="Times New Roman" w:hAnsi="Times New Roman" w:hint="eastAsia"/>
        </w:rPr>
        <w:t>款</w:t>
      </w:r>
      <w:r w:rsidRPr="005B1C6C">
        <w:rPr>
          <w:rFonts w:hint="eastAsia"/>
        </w:rPr>
        <w:t>業務之專責人力配置差距頗大，財政部卻不論各縣市該基金規模及其適宜人力，僅就地方政府「有」或「無」增聘「專人專職辦理公益彩券盈餘管理業務」進行考核，</w:t>
      </w:r>
      <w:r w:rsidRPr="005B1C6C">
        <w:rPr>
          <w:rFonts w:ascii="Times New Roman" w:hAnsi="Times New Roman" w:hint="eastAsia"/>
        </w:rPr>
        <w:t>且財政部就該項指標於</w:t>
      </w:r>
      <w:r w:rsidRPr="005B1C6C">
        <w:rPr>
          <w:rFonts w:ascii="Times New Roman" w:hAnsi="Times New Roman" w:hint="eastAsia"/>
        </w:rPr>
        <w:t>106</w:t>
      </w:r>
      <w:r w:rsidRPr="005B1C6C">
        <w:rPr>
          <w:rFonts w:ascii="Times New Roman" w:hAnsi="Times New Roman" w:hint="eastAsia"/>
        </w:rPr>
        <w:t>年度考核指標檢討時已予刪除</w:t>
      </w:r>
      <w:r w:rsidRPr="005B1C6C">
        <w:rPr>
          <w:rFonts w:hint="eastAsia"/>
        </w:rPr>
        <w:t>，該部允宜督導評估適宜人力數，俾使該基金得以發揮用於社會福利相關事項最大之效益。</w:t>
      </w:r>
      <w:bookmarkEnd w:id="2062"/>
      <w:bookmarkEnd w:id="2063"/>
      <w:bookmarkEnd w:id="2064"/>
    </w:p>
    <w:p w:rsidR="0040606A" w:rsidRPr="005B1C6C" w:rsidRDefault="004600D5" w:rsidP="00950F94">
      <w:pPr>
        <w:pStyle w:val="2"/>
        <w:numPr>
          <w:ilvl w:val="1"/>
          <w:numId w:val="9"/>
        </w:numPr>
        <w:kinsoku w:val="0"/>
        <w:ind w:left="1344" w:hanging="1004"/>
        <w:rPr>
          <w:rFonts w:ascii="Times New Roman" w:hAnsi="Times New Roman"/>
          <w:b/>
        </w:rPr>
      </w:pPr>
      <w:bookmarkStart w:id="2065" w:name="_Toc511115488"/>
      <w:bookmarkStart w:id="2066" w:name="_Toc512421079"/>
      <w:bookmarkEnd w:id="1907"/>
      <w:r w:rsidRPr="005B1C6C">
        <w:rPr>
          <w:rFonts w:ascii="Times New Roman" w:hAnsi="Times New Roman" w:hint="eastAsia"/>
          <w:b/>
        </w:rPr>
        <w:t>截至</w:t>
      </w:r>
      <w:r w:rsidRPr="005B1C6C">
        <w:rPr>
          <w:rFonts w:ascii="Times New Roman" w:hAnsi="Times New Roman" w:hint="eastAsia"/>
          <w:b/>
        </w:rPr>
        <w:t>105</w:t>
      </w:r>
      <w:r w:rsidRPr="005B1C6C">
        <w:rPr>
          <w:rFonts w:ascii="Times New Roman" w:hAnsi="Times New Roman" w:hint="eastAsia"/>
          <w:b/>
        </w:rPr>
        <w:t>年底，</w:t>
      </w:r>
      <w:r w:rsidR="0040606A" w:rsidRPr="005B1C6C">
        <w:rPr>
          <w:rFonts w:ascii="Times New Roman" w:hAnsi="Times New Roman"/>
          <w:b/>
        </w:rPr>
        <w:t>公益彩券</w:t>
      </w:r>
      <w:r w:rsidRPr="005B1C6C">
        <w:rPr>
          <w:rFonts w:ascii="Times New Roman" w:hAnsi="Times New Roman" w:hint="eastAsia"/>
          <w:b/>
        </w:rPr>
        <w:t>盈餘</w:t>
      </w:r>
      <w:r w:rsidRPr="005B1C6C">
        <w:rPr>
          <w:rFonts w:ascii="Times New Roman" w:hAnsi="Times New Roman"/>
          <w:b/>
        </w:rPr>
        <w:t>挹注全國</w:t>
      </w:r>
      <w:r w:rsidRPr="005B1C6C">
        <w:rPr>
          <w:rFonts w:ascii="Times New Roman" w:hAnsi="Times New Roman" w:hint="eastAsia"/>
          <w:b/>
        </w:rPr>
        <w:t>22</w:t>
      </w:r>
      <w:r w:rsidRPr="005B1C6C">
        <w:rPr>
          <w:rFonts w:ascii="Times New Roman" w:hAnsi="Times New Roman" w:hint="eastAsia"/>
          <w:b/>
        </w:rPr>
        <w:t>個</w:t>
      </w:r>
      <w:r w:rsidRPr="005B1C6C">
        <w:rPr>
          <w:rFonts w:ascii="Times New Roman" w:hAnsi="Times New Roman"/>
          <w:b/>
        </w:rPr>
        <w:t>地方政府辦理社會福利</w:t>
      </w:r>
      <w:r w:rsidRPr="005B1C6C">
        <w:rPr>
          <w:rFonts w:ascii="Times New Roman" w:hAnsi="Times New Roman" w:hint="eastAsia"/>
          <w:b/>
        </w:rPr>
        <w:t>之金額累積已達</w:t>
      </w:r>
      <w:r w:rsidRPr="005B1C6C">
        <w:rPr>
          <w:rFonts w:ascii="Times New Roman" w:hAnsi="Times New Roman"/>
          <w:b/>
        </w:rPr>
        <w:t>1,</w:t>
      </w:r>
      <w:r w:rsidRPr="005B1C6C">
        <w:rPr>
          <w:rFonts w:ascii="Times New Roman" w:hAnsi="Times New Roman" w:hint="eastAsia"/>
          <w:b/>
        </w:rPr>
        <w:t>932</w:t>
      </w:r>
      <w:r w:rsidR="00950F94" w:rsidRPr="005B1C6C">
        <w:rPr>
          <w:rFonts w:ascii="Times New Roman" w:hAnsi="Times New Roman" w:hint="eastAsia"/>
          <w:b/>
        </w:rPr>
        <w:t>億</w:t>
      </w:r>
      <w:r w:rsidRPr="005B1C6C">
        <w:rPr>
          <w:rFonts w:ascii="Times New Roman" w:hAnsi="Times New Roman" w:hint="eastAsia"/>
          <w:b/>
        </w:rPr>
        <w:t>餘元</w:t>
      </w:r>
      <w:r w:rsidR="0040606A" w:rsidRPr="005B1C6C">
        <w:rPr>
          <w:rFonts w:ascii="Times New Roman" w:hAnsi="Times New Roman" w:hint="eastAsia"/>
          <w:b/>
        </w:rPr>
        <w:t>，已成為</w:t>
      </w:r>
      <w:r w:rsidR="00950F94" w:rsidRPr="005B1C6C">
        <w:rPr>
          <w:rFonts w:ascii="Times New Roman" w:hAnsi="Times New Roman" w:hint="eastAsia"/>
          <w:b/>
        </w:rPr>
        <w:t>地方推動社會</w:t>
      </w:r>
      <w:r w:rsidR="0040606A" w:rsidRPr="005B1C6C">
        <w:rPr>
          <w:rFonts w:ascii="Times New Roman" w:hAnsi="Times New Roman" w:hint="eastAsia"/>
          <w:b/>
        </w:rPr>
        <w:t>福利之重要財源；</w:t>
      </w:r>
      <w:r w:rsidRPr="005B1C6C">
        <w:rPr>
          <w:rFonts w:ascii="Times New Roman" w:hAnsi="Times New Roman"/>
          <w:b/>
        </w:rPr>
        <w:t>財政部</w:t>
      </w:r>
      <w:r w:rsidR="007C3949" w:rsidRPr="005B1C6C">
        <w:rPr>
          <w:rFonts w:ascii="Times New Roman" w:hAnsi="Times New Roman" w:hint="eastAsia"/>
          <w:b/>
        </w:rPr>
        <w:t>雖</w:t>
      </w:r>
      <w:r w:rsidRPr="005B1C6C">
        <w:rPr>
          <w:rFonts w:ascii="Times New Roman" w:hAnsi="Times New Roman"/>
          <w:b/>
        </w:rPr>
        <w:t>為主管機關，</w:t>
      </w:r>
      <w:r w:rsidR="007C3949" w:rsidRPr="005B1C6C">
        <w:rPr>
          <w:rFonts w:ascii="Times New Roman" w:hAnsi="Times New Roman" w:hint="eastAsia"/>
          <w:b/>
        </w:rPr>
        <w:t>惟</w:t>
      </w:r>
      <w:r w:rsidRPr="005B1C6C">
        <w:rPr>
          <w:rFonts w:ascii="Times New Roman" w:hAnsi="Times New Roman" w:hint="eastAsia"/>
          <w:b/>
        </w:rPr>
        <w:t>對公益彩券盈餘之分配及</w:t>
      </w:r>
      <w:r w:rsidR="00950F94" w:rsidRPr="005B1C6C">
        <w:rPr>
          <w:rFonts w:ascii="Times New Roman" w:hAnsi="Times New Roman" w:hint="eastAsia"/>
          <w:b/>
        </w:rPr>
        <w:t>管理</w:t>
      </w:r>
      <w:r w:rsidRPr="005B1C6C">
        <w:rPr>
          <w:rFonts w:ascii="Times New Roman" w:hAnsi="Times New Roman" w:hint="eastAsia"/>
          <w:b/>
        </w:rPr>
        <w:t>運用績效，僅賴該部國庫署</w:t>
      </w:r>
      <w:r w:rsidRPr="005B1C6C">
        <w:rPr>
          <w:rFonts w:ascii="Times New Roman" w:hAnsi="Times New Roman" w:hint="eastAsia"/>
          <w:b/>
        </w:rPr>
        <w:t>(</w:t>
      </w:r>
      <w:r w:rsidRPr="005B1C6C">
        <w:rPr>
          <w:rFonts w:ascii="Times New Roman" w:hAnsi="Times New Roman" w:hint="eastAsia"/>
          <w:b/>
        </w:rPr>
        <w:t>財務規劃組</w:t>
      </w:r>
      <w:r w:rsidRPr="005B1C6C">
        <w:rPr>
          <w:rFonts w:ascii="Times New Roman" w:hAnsi="Times New Roman" w:hint="eastAsia"/>
          <w:b/>
        </w:rPr>
        <w:t>)</w:t>
      </w:r>
      <w:r w:rsidRPr="005B1C6C">
        <w:rPr>
          <w:rFonts w:ascii="Times New Roman" w:hAnsi="Times New Roman" w:hint="eastAsia"/>
          <w:b/>
        </w:rPr>
        <w:t>之力負責幕僚作業，並搭配納入衛福部</w:t>
      </w:r>
      <w:r w:rsidRPr="005B1C6C">
        <w:rPr>
          <w:rFonts w:ascii="Times New Roman" w:hAnsi="Times New Roman"/>
          <w:b/>
        </w:rPr>
        <w:t>2</w:t>
      </w:r>
      <w:r w:rsidRPr="005B1C6C">
        <w:rPr>
          <w:rFonts w:ascii="Times New Roman" w:hAnsi="Times New Roman"/>
          <w:b/>
        </w:rPr>
        <w:t>年</w:t>
      </w:r>
      <w:r w:rsidRPr="005B1C6C">
        <w:rPr>
          <w:rFonts w:ascii="Times New Roman" w:hAnsi="Times New Roman"/>
          <w:b/>
        </w:rPr>
        <w:t>1</w:t>
      </w:r>
      <w:r w:rsidRPr="005B1C6C">
        <w:rPr>
          <w:rFonts w:ascii="Times New Roman" w:hAnsi="Times New Roman"/>
          <w:b/>
        </w:rPr>
        <w:t>次之社會福利績效考核</w:t>
      </w:r>
      <w:r w:rsidRPr="005B1C6C">
        <w:rPr>
          <w:rFonts w:ascii="Times New Roman" w:hAnsi="Times New Roman" w:hint="eastAsia"/>
          <w:b/>
        </w:rPr>
        <w:t>作業，該部不僅欠缺政策上之主導功能，監督角色與力道亦顯不足，應予檢討改進，俾有效使用</w:t>
      </w:r>
      <w:r w:rsidRPr="005B1C6C">
        <w:rPr>
          <w:rFonts w:ascii="Times New Roman" w:hAnsi="Times New Roman"/>
          <w:b/>
        </w:rPr>
        <w:t>社會福利</w:t>
      </w:r>
      <w:r w:rsidRPr="005B1C6C">
        <w:rPr>
          <w:rFonts w:ascii="Times New Roman" w:hAnsi="Times New Roman"/>
          <w:b/>
          <w:spacing w:val="-4"/>
        </w:rPr>
        <w:t>資源，達成公益彩券</w:t>
      </w:r>
      <w:r w:rsidR="00F8504F" w:rsidRPr="005B1C6C">
        <w:rPr>
          <w:rFonts w:ascii="Times New Roman" w:hAnsi="Times New Roman" w:hint="eastAsia"/>
          <w:b/>
          <w:spacing w:val="-4"/>
        </w:rPr>
        <w:t>係</w:t>
      </w:r>
      <w:r w:rsidR="007C3949" w:rsidRPr="005B1C6C">
        <w:rPr>
          <w:rFonts w:ascii="Times New Roman" w:hAnsi="Times New Roman" w:hint="eastAsia"/>
          <w:b/>
          <w:spacing w:val="-4"/>
        </w:rPr>
        <w:t>扶助</w:t>
      </w:r>
      <w:r w:rsidRPr="005B1C6C">
        <w:rPr>
          <w:rFonts w:ascii="Times New Roman" w:hAnsi="Times New Roman"/>
          <w:b/>
          <w:spacing w:val="-4"/>
        </w:rPr>
        <w:t>社會弱勢及</w:t>
      </w:r>
      <w:r w:rsidRPr="005B1C6C">
        <w:rPr>
          <w:rFonts w:ascii="Times New Roman" w:hAnsi="Times New Roman" w:hint="eastAsia"/>
          <w:b/>
          <w:spacing w:val="-4"/>
        </w:rPr>
        <w:t>增進</w:t>
      </w:r>
      <w:r w:rsidRPr="005B1C6C">
        <w:rPr>
          <w:rFonts w:ascii="Times New Roman" w:hAnsi="Times New Roman"/>
          <w:b/>
          <w:spacing w:val="-4"/>
        </w:rPr>
        <w:t>社會福利</w:t>
      </w:r>
      <w:r w:rsidRPr="005B1C6C">
        <w:rPr>
          <w:rFonts w:ascii="Times New Roman" w:hAnsi="Times New Roman"/>
          <w:b/>
        </w:rPr>
        <w:t>的</w:t>
      </w:r>
      <w:r w:rsidR="007C3949" w:rsidRPr="005B1C6C">
        <w:rPr>
          <w:rFonts w:ascii="Times New Roman" w:hAnsi="Times New Roman" w:hint="eastAsia"/>
          <w:b/>
        </w:rPr>
        <w:t>核心價值</w:t>
      </w:r>
      <w:r w:rsidR="0040606A" w:rsidRPr="005B1C6C">
        <w:rPr>
          <w:rFonts w:ascii="Times New Roman" w:hAnsi="Times New Roman" w:hint="eastAsia"/>
          <w:b/>
        </w:rPr>
        <w:t>。</w:t>
      </w:r>
      <w:bookmarkEnd w:id="2065"/>
      <w:bookmarkEnd w:id="2066"/>
    </w:p>
    <w:p w:rsidR="0040606A" w:rsidRPr="009817AB" w:rsidRDefault="0040606A" w:rsidP="0040606A">
      <w:pPr>
        <w:pStyle w:val="3"/>
        <w:numPr>
          <w:ilvl w:val="2"/>
          <w:numId w:val="9"/>
        </w:numPr>
        <w:kinsoku w:val="0"/>
        <w:ind w:left="1360" w:hanging="680"/>
        <w:rPr>
          <w:rFonts w:ascii="Times New Roman" w:hAnsi="Times New Roman"/>
        </w:rPr>
      </w:pPr>
      <w:bookmarkStart w:id="2067" w:name="_Toc511115489"/>
      <w:bookmarkStart w:id="2068" w:name="_Toc511308279"/>
      <w:bookmarkStart w:id="2069" w:name="_Toc511998723"/>
      <w:bookmarkStart w:id="2070" w:name="_Toc512421080"/>
      <w:r>
        <w:rPr>
          <w:rFonts w:ascii="Times New Roman" w:hAnsi="Times New Roman" w:hint="eastAsia"/>
        </w:rPr>
        <w:t>按</w:t>
      </w:r>
      <w:r w:rsidRPr="009817AB">
        <w:rPr>
          <w:rFonts w:ascii="Times New Roman" w:hAnsi="Times New Roman"/>
        </w:rPr>
        <w:t>公益彩券發行條例第</w:t>
      </w:r>
      <w:r w:rsidRPr="009817AB">
        <w:rPr>
          <w:rFonts w:ascii="Times New Roman" w:hAnsi="Times New Roman"/>
        </w:rPr>
        <w:t>1</w:t>
      </w:r>
      <w:r w:rsidRPr="009817AB">
        <w:rPr>
          <w:rFonts w:ascii="Times New Roman" w:hAnsi="Times New Roman"/>
        </w:rPr>
        <w:t>條</w:t>
      </w:r>
      <w:r w:rsidRPr="009817AB">
        <w:rPr>
          <w:rFonts w:ascii="Times New Roman" w:hAnsi="Times New Roman" w:hint="eastAsia"/>
        </w:rPr>
        <w:t>及第</w:t>
      </w:r>
      <w:r w:rsidRPr="009817AB">
        <w:rPr>
          <w:rFonts w:ascii="Times New Roman" w:hAnsi="Times New Roman" w:hint="eastAsia"/>
        </w:rPr>
        <w:t>2</w:t>
      </w:r>
      <w:r w:rsidRPr="009817AB">
        <w:rPr>
          <w:rFonts w:ascii="Times New Roman" w:hAnsi="Times New Roman" w:hint="eastAsia"/>
        </w:rPr>
        <w:t>條分別</w:t>
      </w:r>
      <w:r w:rsidRPr="009817AB">
        <w:rPr>
          <w:rFonts w:ascii="Times New Roman" w:hAnsi="Times New Roman"/>
        </w:rPr>
        <w:t>規定：為健全公益彩券發行、管理及盈餘運用之監督，以增進社會福利，特制定本條例</w:t>
      </w:r>
      <w:r w:rsidRPr="009817AB">
        <w:rPr>
          <w:rFonts w:ascii="Times New Roman" w:hAnsi="Times New Roman" w:hint="eastAsia"/>
        </w:rPr>
        <w:t>；</w:t>
      </w:r>
      <w:r w:rsidRPr="009817AB">
        <w:rPr>
          <w:rFonts w:ascii="Times New Roman" w:hAnsi="Times New Roman"/>
        </w:rPr>
        <w:t>本條例所稱主管機關為財政部。</w:t>
      </w:r>
      <w:bookmarkEnd w:id="2067"/>
      <w:r w:rsidRPr="009817AB">
        <w:rPr>
          <w:rFonts w:ascii="Times New Roman" w:hAnsi="Times New Roman" w:hint="eastAsia"/>
        </w:rPr>
        <w:t>又，有關公益彩券盈餘</w:t>
      </w:r>
      <w:r>
        <w:rPr>
          <w:rFonts w:ascii="Times New Roman" w:hAnsi="Times New Roman" w:hint="eastAsia"/>
        </w:rPr>
        <w:t>運用</w:t>
      </w:r>
      <w:r w:rsidRPr="009817AB">
        <w:rPr>
          <w:rFonts w:ascii="Times New Roman" w:hint="eastAsia"/>
        </w:rPr>
        <w:t>之監督考核相關規定如下：</w:t>
      </w:r>
      <w:bookmarkEnd w:id="2068"/>
      <w:bookmarkEnd w:id="2069"/>
      <w:bookmarkEnd w:id="2070"/>
    </w:p>
    <w:p w:rsidR="0040606A" w:rsidRPr="009817AB" w:rsidRDefault="0040606A" w:rsidP="0040606A">
      <w:pPr>
        <w:pStyle w:val="4"/>
        <w:numPr>
          <w:ilvl w:val="3"/>
          <w:numId w:val="9"/>
        </w:numPr>
        <w:kinsoku w:val="0"/>
        <w:rPr>
          <w:rFonts w:ascii="Times New Roman" w:hAnsi="Times New Roman"/>
          <w:spacing w:val="-4"/>
        </w:rPr>
      </w:pPr>
      <w:bookmarkStart w:id="2071" w:name="_Toc507484822"/>
      <w:bookmarkStart w:id="2072" w:name="_Toc507491653"/>
      <w:r>
        <w:rPr>
          <w:rFonts w:ascii="Times New Roman" w:hint="eastAsia"/>
          <w:spacing w:val="-4"/>
        </w:rPr>
        <w:t>依據</w:t>
      </w:r>
      <w:r w:rsidRPr="009817AB">
        <w:rPr>
          <w:rFonts w:ascii="Times New Roman" w:hint="eastAsia"/>
          <w:spacing w:val="-4"/>
        </w:rPr>
        <w:t>公益彩券發行條例第</w:t>
      </w:r>
      <w:r w:rsidRPr="009817AB">
        <w:rPr>
          <w:rFonts w:ascii="Times New Roman" w:hint="eastAsia"/>
          <w:spacing w:val="-4"/>
        </w:rPr>
        <w:t>6</w:t>
      </w:r>
      <w:r w:rsidRPr="009817AB">
        <w:rPr>
          <w:rFonts w:ascii="Times New Roman" w:hint="eastAsia"/>
          <w:spacing w:val="-4"/>
        </w:rPr>
        <w:t>條第</w:t>
      </w:r>
      <w:r w:rsidRPr="009817AB">
        <w:rPr>
          <w:rFonts w:ascii="Times New Roman" w:hint="eastAsia"/>
          <w:spacing w:val="-4"/>
        </w:rPr>
        <w:t>3</w:t>
      </w:r>
      <w:r w:rsidRPr="009817AB">
        <w:rPr>
          <w:rFonts w:ascii="Times New Roman" w:hint="eastAsia"/>
          <w:spacing w:val="-4"/>
        </w:rPr>
        <w:t>項規定：「為監理盈餘分配及運用事宜，主管機關</w:t>
      </w:r>
      <w:r w:rsidRPr="009817AB">
        <w:rPr>
          <w:rFonts w:ascii="Times New Roman" w:hint="eastAsia"/>
          <w:spacing w:val="-4"/>
        </w:rPr>
        <w:t>(</w:t>
      </w:r>
      <w:r w:rsidRPr="009817AB">
        <w:rPr>
          <w:rFonts w:ascii="Times New Roman" w:hint="eastAsia"/>
          <w:spacing w:val="-4"/>
        </w:rPr>
        <w:t>財政部</w:t>
      </w:r>
      <w:r w:rsidRPr="009817AB">
        <w:rPr>
          <w:rFonts w:ascii="Times New Roman" w:hint="eastAsia"/>
          <w:spacing w:val="-4"/>
        </w:rPr>
        <w:t>)</w:t>
      </w:r>
      <w:r w:rsidRPr="009817AB">
        <w:rPr>
          <w:rFonts w:ascii="Times New Roman" w:hint="eastAsia"/>
          <w:spacing w:val="-4"/>
        </w:rPr>
        <w:t>應設公益彩券監理委員會，由中央政府、直轄市政府及縣</w:t>
      </w:r>
      <w:r w:rsidRPr="009817AB">
        <w:rPr>
          <w:rFonts w:ascii="Times New Roman" w:hint="eastAsia"/>
          <w:spacing w:val="-4"/>
        </w:rPr>
        <w:t>(</w:t>
      </w:r>
      <w:r w:rsidRPr="009817AB">
        <w:rPr>
          <w:rFonts w:ascii="Times New Roman" w:hint="eastAsia"/>
          <w:spacing w:val="-4"/>
        </w:rPr>
        <w:t>市</w:t>
      </w:r>
      <w:r w:rsidRPr="009817AB">
        <w:rPr>
          <w:rFonts w:ascii="Times New Roman" w:hint="eastAsia"/>
          <w:spacing w:val="-4"/>
        </w:rPr>
        <w:t>)</w:t>
      </w:r>
      <w:r w:rsidRPr="009817AB">
        <w:rPr>
          <w:rFonts w:ascii="Times New Roman" w:hint="eastAsia"/>
          <w:spacing w:val="-4"/>
        </w:rPr>
        <w:t>政府、相關學者專家及社會福利團體代表組成之……。」同條例第</w:t>
      </w:r>
      <w:r w:rsidRPr="009817AB">
        <w:rPr>
          <w:rFonts w:ascii="Times New Roman" w:hint="eastAsia"/>
          <w:spacing w:val="-4"/>
        </w:rPr>
        <w:t>6</w:t>
      </w:r>
      <w:r w:rsidRPr="009817AB">
        <w:rPr>
          <w:rFonts w:ascii="Times New Roman" w:hint="eastAsia"/>
          <w:spacing w:val="-4"/>
        </w:rPr>
        <w:t>條之</w:t>
      </w:r>
      <w:r w:rsidRPr="009817AB">
        <w:rPr>
          <w:rFonts w:ascii="Times New Roman" w:hint="eastAsia"/>
          <w:spacing w:val="-4"/>
        </w:rPr>
        <w:t>1</w:t>
      </w:r>
      <w:r w:rsidRPr="009817AB">
        <w:rPr>
          <w:rFonts w:ascii="Times New Roman" w:hint="eastAsia"/>
          <w:spacing w:val="-4"/>
        </w:rPr>
        <w:t>並規定：「……監理委員會任務如下：……三、各受配機關盈餘運用情形之監督及考核。……盈餘運用考核之相關辦法，由主管機關會同社會福利主管機關訂定之。」</w:t>
      </w:r>
      <w:bookmarkEnd w:id="2071"/>
      <w:bookmarkEnd w:id="2072"/>
    </w:p>
    <w:p w:rsidR="0040606A" w:rsidRPr="007C3949" w:rsidRDefault="0040606A" w:rsidP="007C3949">
      <w:pPr>
        <w:pStyle w:val="4"/>
        <w:numPr>
          <w:ilvl w:val="3"/>
          <w:numId w:val="9"/>
        </w:numPr>
        <w:kinsoku w:val="0"/>
        <w:rPr>
          <w:rFonts w:ascii="Times New Roman"/>
          <w:spacing w:val="-4"/>
        </w:rPr>
      </w:pPr>
      <w:r w:rsidRPr="007C3949">
        <w:rPr>
          <w:rFonts w:ascii="Times New Roman" w:hAnsi="Times New Roman" w:hint="eastAsia"/>
          <w:spacing w:val="-4"/>
        </w:rPr>
        <w:t>再據</w:t>
      </w:r>
      <w:r w:rsidRPr="007C3949">
        <w:rPr>
          <w:rFonts w:ascii="Times New Roman" w:hint="eastAsia"/>
          <w:spacing w:val="-4"/>
        </w:rPr>
        <w:t>「公益彩券盈餘運用考核與追回款項保管及運用辦法」第</w:t>
      </w:r>
      <w:r w:rsidRPr="007C3949">
        <w:rPr>
          <w:rFonts w:ascii="Times New Roman" w:hint="eastAsia"/>
          <w:spacing w:val="-4"/>
        </w:rPr>
        <w:t>10</w:t>
      </w:r>
      <w:r w:rsidRPr="007C3949">
        <w:rPr>
          <w:rFonts w:ascii="Times New Roman" w:hint="eastAsia"/>
          <w:spacing w:val="-4"/>
        </w:rPr>
        <w:t>條規定：「主辦機關</w:t>
      </w:r>
      <w:r w:rsidRPr="007C3949">
        <w:rPr>
          <w:rFonts w:ascii="Times New Roman" w:hint="eastAsia"/>
          <w:spacing w:val="-4"/>
        </w:rPr>
        <w:t>(</w:t>
      </w:r>
      <w:r w:rsidRPr="007C3949">
        <w:rPr>
          <w:rFonts w:ascii="Times New Roman" w:hint="eastAsia"/>
          <w:spacing w:val="-4"/>
        </w:rPr>
        <w:t>即財政部公益彩券監理委員會</w:t>
      </w:r>
      <w:r w:rsidRPr="007C3949">
        <w:rPr>
          <w:rFonts w:ascii="Times New Roman" w:hint="eastAsia"/>
          <w:spacing w:val="-4"/>
        </w:rPr>
        <w:t>)</w:t>
      </w:r>
      <w:r w:rsidRPr="007C3949">
        <w:rPr>
          <w:rFonts w:ascii="Times New Roman" w:hint="eastAsia"/>
          <w:spacing w:val="-4"/>
        </w:rPr>
        <w:t>對直轄市政府、縣</w:t>
      </w:r>
      <w:r w:rsidRPr="007C3949">
        <w:rPr>
          <w:rFonts w:ascii="Times New Roman" w:hint="eastAsia"/>
          <w:spacing w:val="-4"/>
        </w:rPr>
        <w:t>(</w:t>
      </w:r>
      <w:r w:rsidRPr="007C3949">
        <w:rPr>
          <w:rFonts w:ascii="Times New Roman" w:hint="eastAsia"/>
          <w:spacing w:val="-4"/>
        </w:rPr>
        <w:t>市</w:t>
      </w:r>
      <w:r w:rsidRPr="007C3949">
        <w:rPr>
          <w:rFonts w:ascii="Times New Roman" w:hint="eastAsia"/>
          <w:spacing w:val="-4"/>
        </w:rPr>
        <w:t>)</w:t>
      </w:r>
      <w:r w:rsidRPr="007C3949">
        <w:rPr>
          <w:rFonts w:ascii="Times New Roman" w:hint="eastAsia"/>
          <w:spacing w:val="-4"/>
        </w:rPr>
        <w:t>政府之考核，以配合中央社會福利主管機關主辦之社會福利績效考核作業辦理為原則；必要時得自行辦理之；主辦機關辦理前項考核作業時，應遴派所屬委員並洽請中央相關機關派員組成考核小組。」</w:t>
      </w:r>
      <w:r w:rsidR="007C3949" w:rsidRPr="007C3949">
        <w:rPr>
          <w:rFonts w:ascii="Times New Roman" w:hint="eastAsia"/>
          <w:spacing w:val="-4"/>
        </w:rPr>
        <w:t>同辦法第</w:t>
      </w:r>
      <w:r w:rsidR="007C3949" w:rsidRPr="007C3949">
        <w:rPr>
          <w:rFonts w:ascii="Times New Roman" w:hint="eastAsia"/>
          <w:spacing w:val="-4"/>
        </w:rPr>
        <w:t>11</w:t>
      </w:r>
      <w:r w:rsidR="007C3949" w:rsidRPr="007C3949">
        <w:rPr>
          <w:rFonts w:ascii="Times New Roman" w:hint="eastAsia"/>
          <w:spacing w:val="-4"/>
        </w:rPr>
        <w:t>條並規定：「主辦機關對直轄市政府、縣</w:t>
      </w:r>
      <w:r w:rsidR="007C3949">
        <w:rPr>
          <w:rFonts w:ascii="Times New Roman" w:hint="eastAsia"/>
          <w:spacing w:val="-4"/>
        </w:rPr>
        <w:t>(</w:t>
      </w:r>
      <w:r w:rsidR="007C3949" w:rsidRPr="007C3949">
        <w:rPr>
          <w:rFonts w:ascii="Times New Roman" w:hint="eastAsia"/>
          <w:spacing w:val="-4"/>
        </w:rPr>
        <w:t>市</w:t>
      </w:r>
      <w:r w:rsidR="007C3949">
        <w:rPr>
          <w:rFonts w:ascii="Times New Roman" w:hint="eastAsia"/>
          <w:spacing w:val="-4"/>
        </w:rPr>
        <w:t>)</w:t>
      </w:r>
      <w:r w:rsidR="007C3949" w:rsidRPr="007C3949">
        <w:rPr>
          <w:rFonts w:ascii="Times New Roman" w:hint="eastAsia"/>
          <w:spacing w:val="-4"/>
        </w:rPr>
        <w:t>政府之考核項目包括：一、有無違反第四條所定支出項目及歸類原則與範圍。二、有無充抵第五條所定項目經費。三、是否依規定公開公益彩券盈餘運用情形。四、公益彩券盈餘歲入預算編製是否以前一會計年度六月份實際獲配盈餘之百分之九十為基數估算編製。五、公益彩券盈餘是否以基金或收支並列方式管理運用並設立專戶儲存。六、其他經主辦機關決議之項目。」</w:t>
      </w:r>
    </w:p>
    <w:p w:rsidR="0040606A" w:rsidRPr="009817AB" w:rsidRDefault="0040606A" w:rsidP="0040606A">
      <w:pPr>
        <w:pStyle w:val="3"/>
        <w:numPr>
          <w:ilvl w:val="2"/>
          <w:numId w:val="9"/>
        </w:numPr>
        <w:kinsoku w:val="0"/>
        <w:ind w:left="1360" w:hanging="680"/>
        <w:rPr>
          <w:rFonts w:ascii="Times New Roman" w:hAnsi="Times New Roman"/>
        </w:rPr>
      </w:pPr>
      <w:bookmarkStart w:id="2073" w:name="_Toc511308280"/>
      <w:bookmarkStart w:id="2074" w:name="_Toc511998724"/>
      <w:bookmarkStart w:id="2075" w:name="_Toc512421081"/>
      <w:r w:rsidRPr="009817AB">
        <w:rPr>
          <w:rFonts w:ascii="Times New Roman" w:hAnsi="Times New Roman"/>
        </w:rPr>
        <w:t>公益彩券</w:t>
      </w:r>
      <w:r w:rsidRPr="009817AB">
        <w:rPr>
          <w:rFonts w:ascii="Times New Roman" w:hAnsi="Times New Roman" w:hint="eastAsia"/>
        </w:rPr>
        <w:t>自</w:t>
      </w:r>
      <w:r w:rsidRPr="009817AB">
        <w:rPr>
          <w:rFonts w:ascii="Times New Roman" w:hAnsi="Times New Roman" w:hint="eastAsia"/>
        </w:rPr>
        <w:t>88</w:t>
      </w:r>
      <w:r w:rsidRPr="009817AB">
        <w:rPr>
          <w:rFonts w:ascii="Times New Roman" w:hAnsi="Times New Roman"/>
        </w:rPr>
        <w:t>年</w:t>
      </w:r>
      <w:r w:rsidRPr="009817AB">
        <w:rPr>
          <w:rFonts w:ascii="Times New Roman" w:hAnsi="Times New Roman" w:hint="eastAsia"/>
        </w:rPr>
        <w:t>12</w:t>
      </w:r>
      <w:r w:rsidRPr="009817AB">
        <w:rPr>
          <w:rFonts w:ascii="Times New Roman" w:hAnsi="Times New Roman" w:hint="eastAsia"/>
        </w:rPr>
        <w:t>月</w:t>
      </w:r>
      <w:r w:rsidRPr="009817AB">
        <w:rPr>
          <w:rFonts w:ascii="Times New Roman" w:hAnsi="Times New Roman"/>
        </w:rPr>
        <w:t>發行</w:t>
      </w:r>
      <w:r w:rsidRPr="009817AB">
        <w:rPr>
          <w:rFonts w:ascii="Times New Roman" w:hAnsi="Times New Roman" w:hint="eastAsia"/>
        </w:rPr>
        <w:t>迄今，對於</w:t>
      </w:r>
      <w:r w:rsidRPr="009817AB">
        <w:rPr>
          <w:rFonts w:ascii="Times New Roman" w:hAnsi="Times New Roman"/>
        </w:rPr>
        <w:t>促進弱勢就業</w:t>
      </w:r>
      <w:r w:rsidRPr="009817AB">
        <w:rPr>
          <w:rFonts w:ascii="Times New Roman" w:hAnsi="Times New Roman" w:hint="eastAsia"/>
        </w:rPr>
        <w:t>及增加我國</w:t>
      </w:r>
      <w:r w:rsidRPr="009817AB">
        <w:rPr>
          <w:rFonts w:ascii="Times New Roman" w:hAnsi="Times New Roman"/>
        </w:rPr>
        <w:t>社會福利</w:t>
      </w:r>
      <w:r w:rsidRPr="009817AB">
        <w:rPr>
          <w:rFonts w:ascii="Times New Roman" w:hAnsi="Times New Roman" w:hint="eastAsia"/>
        </w:rPr>
        <w:t>經費財源，已發揮相當之助益，分述如下：</w:t>
      </w:r>
      <w:bookmarkEnd w:id="2073"/>
      <w:bookmarkEnd w:id="2074"/>
      <w:bookmarkEnd w:id="2075"/>
    </w:p>
    <w:p w:rsidR="0040606A" w:rsidRPr="009817AB" w:rsidRDefault="0040606A" w:rsidP="0040606A">
      <w:pPr>
        <w:pStyle w:val="4"/>
        <w:numPr>
          <w:ilvl w:val="3"/>
          <w:numId w:val="9"/>
        </w:numPr>
        <w:kinsoku w:val="0"/>
        <w:rPr>
          <w:rFonts w:ascii="Times New Roman" w:hAnsi="Times New Roman"/>
        </w:rPr>
      </w:pPr>
      <w:bookmarkStart w:id="2076" w:name="_Toc508899176"/>
      <w:bookmarkStart w:id="2077" w:name="_Toc511115491"/>
      <w:r w:rsidRPr="009817AB">
        <w:rPr>
          <w:rFonts w:ascii="Times New Roman" w:hAnsi="Times New Roman"/>
        </w:rPr>
        <w:t>促進弱勢族群就業機會</w:t>
      </w:r>
      <w:r w:rsidRPr="009817AB">
        <w:rPr>
          <w:rFonts w:ascii="Times New Roman" w:hAnsi="Times New Roman" w:hint="eastAsia"/>
          <w:szCs w:val="32"/>
        </w:rPr>
        <w:t>方面</w:t>
      </w:r>
      <w:bookmarkEnd w:id="2076"/>
      <w:r w:rsidRPr="009817AB">
        <w:rPr>
          <w:rFonts w:ascii="Times New Roman" w:hAnsi="Times New Roman" w:hint="eastAsia"/>
          <w:szCs w:val="32"/>
        </w:rPr>
        <w:t>：</w:t>
      </w:r>
      <w:bookmarkEnd w:id="2077"/>
    </w:p>
    <w:p w:rsidR="0040606A" w:rsidRPr="009817AB" w:rsidRDefault="0040606A" w:rsidP="0040606A">
      <w:pPr>
        <w:pStyle w:val="5"/>
        <w:rPr>
          <w:rFonts w:ascii="Times New Roman" w:hAnsi="Times New Roman"/>
        </w:rPr>
      </w:pPr>
      <w:r w:rsidRPr="009817AB">
        <w:rPr>
          <w:rFonts w:ascii="Times New Roman" w:hAnsi="Times New Roman"/>
        </w:rPr>
        <w:t>在電腦型彩券部分，每年經銷商資格以「身心障礙者」為最多，所占比率均在</w:t>
      </w:r>
      <w:r w:rsidRPr="009817AB">
        <w:rPr>
          <w:rFonts w:ascii="Times New Roman" w:hAnsi="Times New Roman"/>
        </w:rPr>
        <w:t>8</w:t>
      </w:r>
      <w:r w:rsidRPr="009817AB">
        <w:rPr>
          <w:rFonts w:ascii="Times New Roman" w:hAnsi="Times New Roman"/>
        </w:rPr>
        <w:t>成以上；「原住民」占</w:t>
      </w:r>
      <w:r w:rsidRPr="009817AB">
        <w:rPr>
          <w:rFonts w:ascii="Times New Roman" w:hAnsi="Times New Roman"/>
        </w:rPr>
        <w:t>10</w:t>
      </w:r>
      <w:r w:rsidRPr="009817AB">
        <w:rPr>
          <w:rFonts w:ascii="Times New Roman" w:hAnsi="Times New Roman"/>
        </w:rPr>
        <w:t>％</w:t>
      </w:r>
      <w:r w:rsidRPr="009817AB">
        <w:rPr>
          <w:rFonts w:ascii="Times New Roman" w:hAnsi="Times New Roman"/>
        </w:rPr>
        <w:t>(101</w:t>
      </w:r>
      <w:r w:rsidRPr="009817AB">
        <w:rPr>
          <w:rFonts w:ascii="Times New Roman" w:hAnsi="Times New Roman"/>
        </w:rPr>
        <w:t>年及</w:t>
      </w:r>
      <w:r w:rsidRPr="009817AB">
        <w:rPr>
          <w:rFonts w:ascii="Times New Roman" w:hAnsi="Times New Roman"/>
        </w:rPr>
        <w:t>102</w:t>
      </w:r>
      <w:r w:rsidRPr="009817AB">
        <w:rPr>
          <w:rFonts w:ascii="Times New Roman" w:hAnsi="Times New Roman"/>
        </w:rPr>
        <w:t>年</w:t>
      </w:r>
      <w:r w:rsidRPr="009817AB">
        <w:rPr>
          <w:rFonts w:ascii="Times New Roman" w:hAnsi="Times New Roman"/>
        </w:rPr>
        <w:t>)</w:t>
      </w:r>
      <w:r w:rsidRPr="009817AB">
        <w:rPr>
          <w:rFonts w:ascii="Times New Roman" w:hAnsi="Times New Roman"/>
        </w:rPr>
        <w:t>及</w:t>
      </w:r>
      <w:r w:rsidRPr="009817AB">
        <w:rPr>
          <w:rFonts w:ascii="Times New Roman" w:hAnsi="Times New Roman"/>
        </w:rPr>
        <w:t>17</w:t>
      </w:r>
      <w:r w:rsidRPr="009817AB">
        <w:rPr>
          <w:rFonts w:ascii="Times New Roman" w:hAnsi="Times New Roman"/>
        </w:rPr>
        <w:t>％</w:t>
      </w:r>
      <w:r w:rsidRPr="009817AB">
        <w:rPr>
          <w:rFonts w:ascii="Times New Roman" w:hAnsi="Times New Roman"/>
        </w:rPr>
        <w:t>(103</w:t>
      </w:r>
      <w:r w:rsidRPr="009817AB">
        <w:rPr>
          <w:rFonts w:ascii="Times New Roman" w:hAnsi="Times New Roman"/>
        </w:rPr>
        <w:t>年至</w:t>
      </w:r>
      <w:r w:rsidRPr="009817AB">
        <w:rPr>
          <w:rFonts w:ascii="Times New Roman" w:hAnsi="Times New Roman"/>
        </w:rPr>
        <w:t>10</w:t>
      </w:r>
      <w:r w:rsidRPr="00DC5057">
        <w:rPr>
          <w:rFonts w:ascii="Times New Roman" w:hAnsi="Times New Roman"/>
        </w:rPr>
        <w:t>5</w:t>
      </w:r>
      <w:r w:rsidRPr="00DC5057">
        <w:rPr>
          <w:rFonts w:ascii="Times New Roman" w:hAnsi="Times New Roman"/>
        </w:rPr>
        <w:t>年</w:t>
      </w:r>
      <w:r w:rsidRPr="00DC5057">
        <w:rPr>
          <w:rFonts w:ascii="Times New Roman" w:hAnsi="Times New Roman"/>
        </w:rPr>
        <w:t>)</w:t>
      </w:r>
      <w:r w:rsidRPr="00DC5057">
        <w:rPr>
          <w:rFonts w:ascii="Times New Roman" w:hAnsi="Times New Roman"/>
        </w:rPr>
        <w:t>；「低收入戶</w:t>
      </w:r>
      <w:r w:rsidRPr="00DC5057">
        <w:rPr>
          <w:rFonts w:ascii="Times New Roman" w:hAnsi="Times New Roman" w:hint="eastAsia"/>
        </w:rPr>
        <w:t>、</w:t>
      </w:r>
      <w:r w:rsidRPr="00DC5057">
        <w:rPr>
          <w:rFonts w:ascii="Times New Roman" w:hAnsi="Times New Roman"/>
        </w:rPr>
        <w:t>單親家屬」則占</w:t>
      </w:r>
      <w:r w:rsidRPr="00DC5057">
        <w:rPr>
          <w:rFonts w:ascii="Times New Roman" w:hAnsi="Times New Roman"/>
        </w:rPr>
        <w:t>1</w:t>
      </w:r>
      <w:r w:rsidRPr="00DC5057">
        <w:rPr>
          <w:rFonts w:ascii="Times New Roman" w:hAnsi="Times New Roman"/>
        </w:rPr>
        <w:t>至</w:t>
      </w:r>
      <w:r w:rsidRPr="00DC5057">
        <w:rPr>
          <w:rFonts w:ascii="Times New Roman" w:hAnsi="Times New Roman"/>
        </w:rPr>
        <w:t>2</w:t>
      </w:r>
      <w:r w:rsidRPr="00DC5057">
        <w:rPr>
          <w:rFonts w:ascii="Times New Roman" w:hAnsi="Times New Roman"/>
        </w:rPr>
        <w:t>％</w:t>
      </w:r>
      <w:r w:rsidRPr="00DC5057">
        <w:rPr>
          <w:rFonts w:ascii="Times New Roman" w:hAnsi="Times New Roman" w:hint="eastAsia"/>
        </w:rPr>
        <w:t>(</w:t>
      </w:r>
      <w:r w:rsidRPr="00DC5057">
        <w:rPr>
          <w:rFonts w:ascii="Times New Roman" w:hAnsi="Times New Roman"/>
        </w:rPr>
        <w:t>詳見下表</w:t>
      </w:r>
      <w:r w:rsidR="005B1C6C" w:rsidRPr="00DC5057">
        <w:rPr>
          <w:rFonts w:ascii="Times New Roman" w:hAnsi="Times New Roman" w:hint="eastAsia"/>
        </w:rPr>
        <w:t>21</w:t>
      </w:r>
      <w:r w:rsidRPr="00DC5057">
        <w:rPr>
          <w:rFonts w:ascii="Times New Roman" w:hAnsi="Times New Roman" w:hint="eastAsia"/>
        </w:rPr>
        <w:t>)</w:t>
      </w:r>
      <w:r w:rsidRPr="009817AB">
        <w:rPr>
          <w:rFonts w:ascii="Times New Roman" w:hAnsi="Times New Roman"/>
        </w:rPr>
        <w:t>。</w:t>
      </w:r>
    </w:p>
    <w:p w:rsidR="0040606A" w:rsidRPr="001D3217" w:rsidRDefault="0040606A" w:rsidP="0040606A">
      <w:pPr>
        <w:pStyle w:val="5"/>
        <w:rPr>
          <w:rFonts w:ascii="Times New Roman" w:hAnsi="Times New Roman"/>
        </w:rPr>
      </w:pPr>
      <w:r w:rsidRPr="009817AB">
        <w:rPr>
          <w:rFonts w:ascii="Times New Roman" w:hAnsi="Times New Roman" w:hint="eastAsia"/>
        </w:rPr>
        <w:t>在立即型彩券部分，</w:t>
      </w:r>
      <w:r w:rsidRPr="009817AB">
        <w:rPr>
          <w:rFonts w:ascii="Times New Roman" w:hAnsi="Times New Roman"/>
        </w:rPr>
        <w:t>每年經銷商資格</w:t>
      </w:r>
      <w:r w:rsidRPr="009817AB">
        <w:rPr>
          <w:rFonts w:ascii="Times New Roman" w:hAnsi="Times New Roman" w:hint="eastAsia"/>
        </w:rPr>
        <w:t>亦皆</w:t>
      </w:r>
      <w:r w:rsidRPr="009817AB">
        <w:rPr>
          <w:rFonts w:ascii="Times New Roman" w:hAnsi="Times New Roman"/>
        </w:rPr>
        <w:t>以</w:t>
      </w:r>
      <w:r w:rsidRPr="009817AB">
        <w:rPr>
          <w:rFonts w:ascii="Times New Roman" w:hAnsi="Times New Roman" w:hint="eastAsia"/>
        </w:rPr>
        <w:t>「</w:t>
      </w:r>
      <w:r w:rsidRPr="009817AB">
        <w:rPr>
          <w:rFonts w:ascii="Times New Roman" w:hAnsi="Times New Roman"/>
        </w:rPr>
        <w:t>身心障礙者</w:t>
      </w:r>
      <w:r w:rsidRPr="009817AB">
        <w:rPr>
          <w:rFonts w:ascii="Times New Roman" w:hAnsi="Times New Roman" w:hint="eastAsia"/>
        </w:rPr>
        <w:t>」</w:t>
      </w:r>
      <w:r w:rsidRPr="009817AB">
        <w:rPr>
          <w:rFonts w:ascii="Times New Roman" w:hAnsi="Times New Roman"/>
        </w:rPr>
        <w:t>為最多，</w:t>
      </w:r>
      <w:r w:rsidRPr="009817AB">
        <w:rPr>
          <w:rFonts w:ascii="Times New Roman" w:hAnsi="Times New Roman" w:hint="eastAsia"/>
        </w:rPr>
        <w:t>惟比率有逐年下降之趨勢，從</w:t>
      </w:r>
      <w:r w:rsidRPr="009817AB">
        <w:rPr>
          <w:rFonts w:ascii="Times New Roman" w:hAnsi="Times New Roman" w:hint="eastAsia"/>
        </w:rPr>
        <w:t>101</w:t>
      </w:r>
      <w:r w:rsidRPr="009817AB">
        <w:rPr>
          <w:rFonts w:ascii="Times New Roman" w:hAnsi="Times New Roman" w:hint="eastAsia"/>
        </w:rPr>
        <w:t>年之</w:t>
      </w:r>
      <w:r w:rsidRPr="009817AB">
        <w:rPr>
          <w:rFonts w:ascii="Times New Roman" w:hAnsi="Times New Roman" w:hint="eastAsia"/>
        </w:rPr>
        <w:t>80</w:t>
      </w:r>
      <w:r w:rsidRPr="009817AB">
        <w:rPr>
          <w:rFonts w:ascii="Times New Roman" w:hAnsi="Times New Roman" w:hint="eastAsia"/>
        </w:rPr>
        <w:t>％，降至</w:t>
      </w:r>
      <w:r w:rsidRPr="009817AB">
        <w:rPr>
          <w:rFonts w:ascii="Times New Roman" w:hAnsi="Times New Roman" w:hint="eastAsia"/>
        </w:rPr>
        <w:t>105</w:t>
      </w:r>
      <w:r w:rsidRPr="009817AB">
        <w:rPr>
          <w:rFonts w:ascii="Times New Roman" w:hAnsi="Times New Roman" w:hint="eastAsia"/>
        </w:rPr>
        <w:t>年之</w:t>
      </w:r>
      <w:r w:rsidRPr="009817AB">
        <w:rPr>
          <w:rFonts w:ascii="Times New Roman" w:hAnsi="Times New Roman" w:hint="eastAsia"/>
        </w:rPr>
        <w:t>66</w:t>
      </w:r>
      <w:r w:rsidRPr="009817AB">
        <w:rPr>
          <w:rFonts w:ascii="Times New Roman" w:hAnsi="Times New Roman" w:hint="eastAsia"/>
        </w:rPr>
        <w:t>％；「</w:t>
      </w:r>
      <w:r w:rsidRPr="009817AB">
        <w:rPr>
          <w:rFonts w:ascii="Times New Roman" w:hAnsi="Times New Roman"/>
        </w:rPr>
        <w:t>原住民</w:t>
      </w:r>
      <w:r w:rsidRPr="009817AB">
        <w:rPr>
          <w:rFonts w:ascii="Times New Roman" w:hAnsi="Times New Roman" w:hint="eastAsia"/>
        </w:rPr>
        <w:t>」占比原為</w:t>
      </w:r>
      <w:r w:rsidRPr="009817AB">
        <w:rPr>
          <w:rFonts w:ascii="Times New Roman" w:hAnsi="Times New Roman" w:hint="eastAsia"/>
        </w:rPr>
        <w:t>19</w:t>
      </w:r>
      <w:r w:rsidRPr="009817AB">
        <w:rPr>
          <w:rFonts w:ascii="Times New Roman" w:hAnsi="Times New Roman"/>
        </w:rPr>
        <w:t>％</w:t>
      </w:r>
      <w:r w:rsidRPr="009817AB">
        <w:rPr>
          <w:rFonts w:ascii="Times New Roman" w:hAnsi="Times New Roman" w:hint="eastAsia"/>
        </w:rPr>
        <w:t>，自</w:t>
      </w:r>
      <w:r w:rsidRPr="009817AB">
        <w:rPr>
          <w:rFonts w:ascii="Times New Roman" w:hAnsi="Times New Roman" w:hint="eastAsia"/>
        </w:rPr>
        <w:t>102</w:t>
      </w:r>
      <w:r w:rsidRPr="009817AB">
        <w:rPr>
          <w:rFonts w:ascii="Times New Roman" w:hAnsi="Times New Roman" w:hint="eastAsia"/>
        </w:rPr>
        <w:t>年後提高至將近</w:t>
      </w:r>
      <w:r w:rsidRPr="009817AB">
        <w:rPr>
          <w:rFonts w:ascii="Times New Roman" w:hAnsi="Times New Roman" w:hint="eastAsia"/>
        </w:rPr>
        <w:t>3</w:t>
      </w:r>
      <w:r w:rsidRPr="009817AB">
        <w:rPr>
          <w:rFonts w:ascii="Times New Roman" w:hAnsi="Times New Roman" w:hint="eastAsia"/>
        </w:rPr>
        <w:t>成左右；</w:t>
      </w:r>
      <w:r w:rsidRPr="009817AB">
        <w:rPr>
          <w:rFonts w:ascii="Times New Roman" w:hAnsi="Times New Roman" w:hint="eastAsia"/>
        </w:rPr>
        <w:t>101</w:t>
      </w:r>
      <w:r w:rsidRPr="009817AB">
        <w:rPr>
          <w:rFonts w:ascii="Times New Roman" w:hAnsi="Times New Roman" w:hint="eastAsia"/>
        </w:rPr>
        <w:t>年至</w:t>
      </w:r>
      <w:r w:rsidRPr="009817AB">
        <w:rPr>
          <w:rFonts w:ascii="Times New Roman" w:hAnsi="Times New Roman" w:hint="eastAsia"/>
        </w:rPr>
        <w:t>104</w:t>
      </w:r>
      <w:r w:rsidRPr="009817AB">
        <w:rPr>
          <w:rFonts w:ascii="Times New Roman" w:hAnsi="Times New Roman" w:hint="eastAsia"/>
        </w:rPr>
        <w:t>年「</w:t>
      </w:r>
      <w:r w:rsidRPr="009817AB">
        <w:rPr>
          <w:rFonts w:ascii="Times New Roman" w:hAnsi="Times New Roman"/>
        </w:rPr>
        <w:t>低收入戶</w:t>
      </w:r>
      <w:r w:rsidRPr="009817AB">
        <w:rPr>
          <w:rFonts w:ascii="Times New Roman" w:hAnsi="Times New Roman" w:hint="eastAsia"/>
        </w:rPr>
        <w:t>、</w:t>
      </w:r>
      <w:r w:rsidRPr="009817AB">
        <w:rPr>
          <w:rFonts w:ascii="Times New Roman" w:hAnsi="Times New Roman"/>
        </w:rPr>
        <w:t>單親家屬</w:t>
      </w:r>
      <w:r w:rsidRPr="009817AB">
        <w:rPr>
          <w:rFonts w:ascii="Times New Roman" w:hAnsi="Times New Roman" w:hint="eastAsia"/>
        </w:rPr>
        <w:t>」所占比率皆</w:t>
      </w:r>
      <w:r w:rsidRPr="001D3217">
        <w:rPr>
          <w:rFonts w:ascii="Times New Roman" w:hAnsi="Times New Roman" w:hint="eastAsia"/>
        </w:rPr>
        <w:t>為</w:t>
      </w:r>
      <w:r w:rsidRPr="001D3217">
        <w:rPr>
          <w:rFonts w:ascii="Times New Roman" w:hAnsi="Times New Roman"/>
        </w:rPr>
        <w:t>1</w:t>
      </w:r>
      <w:r w:rsidRPr="001D3217">
        <w:rPr>
          <w:rFonts w:ascii="Times New Roman" w:hAnsi="Times New Roman"/>
        </w:rPr>
        <w:t>％</w:t>
      </w:r>
      <w:r w:rsidRPr="001D3217">
        <w:rPr>
          <w:rFonts w:ascii="Times New Roman" w:hAnsi="Times New Roman" w:hint="eastAsia"/>
        </w:rPr>
        <w:t>，</w:t>
      </w:r>
      <w:r w:rsidRPr="001D3217">
        <w:rPr>
          <w:rFonts w:ascii="Times New Roman" w:hAnsi="Times New Roman" w:hint="eastAsia"/>
        </w:rPr>
        <w:t>105</w:t>
      </w:r>
      <w:r w:rsidRPr="001D3217">
        <w:rPr>
          <w:rFonts w:ascii="Times New Roman" w:hAnsi="Times New Roman" w:hint="eastAsia"/>
        </w:rPr>
        <w:t>年時增加為</w:t>
      </w:r>
      <w:r w:rsidRPr="001D3217">
        <w:rPr>
          <w:rFonts w:ascii="Times New Roman" w:hAnsi="Times New Roman" w:hint="eastAsia"/>
        </w:rPr>
        <w:t>5</w:t>
      </w:r>
      <w:r w:rsidRPr="001D3217">
        <w:rPr>
          <w:rFonts w:ascii="Times New Roman" w:hAnsi="Times New Roman"/>
        </w:rPr>
        <w:t>％</w:t>
      </w:r>
      <w:r w:rsidRPr="001D3217">
        <w:rPr>
          <w:rFonts w:ascii="Times New Roman" w:hAnsi="Times New Roman" w:hint="eastAsia"/>
        </w:rPr>
        <w:t>(</w:t>
      </w:r>
      <w:r w:rsidRPr="001D3217">
        <w:rPr>
          <w:rFonts w:ascii="Times New Roman" w:hAnsi="Times New Roman"/>
        </w:rPr>
        <w:t>詳見下表</w:t>
      </w:r>
      <w:r w:rsidR="005B1C6C" w:rsidRPr="001D3217">
        <w:rPr>
          <w:rFonts w:ascii="Times New Roman" w:hAnsi="Times New Roman" w:hint="eastAsia"/>
        </w:rPr>
        <w:t>21</w:t>
      </w:r>
      <w:r w:rsidRPr="001D3217">
        <w:rPr>
          <w:rFonts w:ascii="Times New Roman" w:hAnsi="Times New Roman" w:hint="eastAsia"/>
        </w:rPr>
        <w:t>)</w:t>
      </w:r>
      <w:r w:rsidRPr="001D3217">
        <w:rPr>
          <w:rFonts w:ascii="Times New Roman" w:hAnsi="Times New Roman"/>
        </w:rPr>
        <w:t>。</w:t>
      </w:r>
    </w:p>
    <w:p w:rsidR="0040606A" w:rsidRPr="00CD627C" w:rsidRDefault="0040606A" w:rsidP="0040606A">
      <w:pPr>
        <w:pStyle w:val="a3"/>
        <w:spacing w:before="120" w:after="0"/>
        <w:ind w:left="2047" w:rightChars="-58" w:right="-197" w:hanging="115"/>
        <w:rPr>
          <w:rFonts w:ascii="Times New Roman" w:hAnsi="Times New Roman"/>
          <w:b/>
          <w:spacing w:val="-16"/>
          <w:sz w:val="24"/>
          <w:szCs w:val="24"/>
        </w:rPr>
      </w:pPr>
      <w:r w:rsidRPr="00CD627C">
        <w:rPr>
          <w:rFonts w:ascii="Times New Roman" w:hAnsi="Times New Roman"/>
          <w:b/>
          <w:spacing w:val="-16"/>
        </w:rPr>
        <w:t>101</w:t>
      </w:r>
      <w:r w:rsidRPr="00CD627C">
        <w:rPr>
          <w:rFonts w:ascii="Times New Roman" w:hAnsi="Times New Roman"/>
          <w:b/>
          <w:spacing w:val="-16"/>
        </w:rPr>
        <w:t>年至</w:t>
      </w:r>
      <w:r w:rsidRPr="00CD627C">
        <w:rPr>
          <w:rFonts w:ascii="Times New Roman" w:hAnsi="Times New Roman"/>
          <w:b/>
          <w:spacing w:val="-16"/>
        </w:rPr>
        <w:t>105</w:t>
      </w:r>
      <w:r w:rsidRPr="00CD627C">
        <w:rPr>
          <w:rFonts w:ascii="Times New Roman" w:hAnsi="Times New Roman"/>
          <w:b/>
          <w:spacing w:val="-16"/>
        </w:rPr>
        <w:t>年公益彩券經銷商資格態樣之人數及比率</w:t>
      </w:r>
    </w:p>
    <w:p w:rsidR="0040606A" w:rsidRPr="007030BC" w:rsidRDefault="0040606A" w:rsidP="0040606A">
      <w:pPr>
        <w:pStyle w:val="4"/>
        <w:numPr>
          <w:ilvl w:val="0"/>
          <w:numId w:val="0"/>
        </w:numPr>
        <w:kinsoku w:val="0"/>
        <w:spacing w:line="320" w:lineRule="exact"/>
        <w:ind w:firstLineChars="683" w:firstLine="2052"/>
        <w:jc w:val="right"/>
        <w:rPr>
          <w:rFonts w:ascii="Times New Roman" w:hAnsi="Times New Roman"/>
          <w:sz w:val="24"/>
          <w:szCs w:val="24"/>
        </w:rPr>
      </w:pPr>
      <w:r>
        <w:rPr>
          <w:rFonts w:ascii="Times New Roman" w:hAnsi="Times New Roman" w:hint="eastAsia"/>
          <w:b/>
          <w:sz w:val="28"/>
          <w:szCs w:val="28"/>
        </w:rPr>
        <w:t xml:space="preserve">    </w:t>
      </w:r>
      <w:r w:rsidRPr="007030BC">
        <w:rPr>
          <w:rFonts w:ascii="Times New Roman" w:hAnsi="Times New Roman" w:hint="eastAsia"/>
          <w:sz w:val="24"/>
          <w:szCs w:val="24"/>
        </w:rPr>
        <w:t>單位：人；</w:t>
      </w:r>
      <w:r w:rsidRPr="007030BC">
        <w:rPr>
          <w:rFonts w:hAnsi="標楷體" w:hint="eastAsia"/>
          <w:sz w:val="24"/>
          <w:szCs w:val="24"/>
        </w:rPr>
        <w:t>％</w:t>
      </w:r>
    </w:p>
    <w:tbl>
      <w:tblPr>
        <w:tblStyle w:val="afb"/>
        <w:tblW w:w="7096" w:type="dxa"/>
        <w:tblInd w:w="20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01"/>
        <w:gridCol w:w="825"/>
        <w:gridCol w:w="872"/>
        <w:gridCol w:w="535"/>
        <w:gridCol w:w="752"/>
        <w:gridCol w:w="535"/>
        <w:gridCol w:w="872"/>
        <w:gridCol w:w="535"/>
        <w:gridCol w:w="872"/>
        <w:gridCol w:w="597"/>
      </w:tblGrid>
      <w:tr w:rsidR="0040606A" w:rsidTr="00C055EF">
        <w:trPr>
          <w:tblHeader/>
        </w:trPr>
        <w:tc>
          <w:tcPr>
            <w:tcW w:w="701" w:type="dxa"/>
            <w:vMerge w:val="restart"/>
            <w:vAlign w:val="center"/>
          </w:tcPr>
          <w:p w:rsidR="0040606A" w:rsidRPr="005C18E5" w:rsidRDefault="0040606A" w:rsidP="004B6963">
            <w:pPr>
              <w:pStyle w:val="5"/>
              <w:numPr>
                <w:ilvl w:val="0"/>
                <w:numId w:val="0"/>
              </w:numPr>
              <w:spacing w:line="360" w:lineRule="exact"/>
              <w:ind w:leftChars="-15" w:left="-7" w:rightChars="-21" w:right="-71" w:hangingChars="17" w:hanging="44"/>
              <w:jc w:val="center"/>
              <w:rPr>
                <w:rFonts w:ascii="Times New Roman" w:hAnsi="Times New Roman"/>
                <w:sz w:val="24"/>
                <w:szCs w:val="24"/>
              </w:rPr>
            </w:pPr>
            <w:r w:rsidRPr="005C18E5">
              <w:rPr>
                <w:rFonts w:ascii="Times New Roman" w:hAnsi="Times New Roman" w:hint="eastAsia"/>
                <w:sz w:val="24"/>
                <w:szCs w:val="24"/>
              </w:rPr>
              <w:t>年別</w:t>
            </w:r>
          </w:p>
        </w:tc>
        <w:tc>
          <w:tcPr>
            <w:tcW w:w="825" w:type="dxa"/>
            <w:vMerge w:val="restart"/>
            <w:vAlign w:val="center"/>
          </w:tcPr>
          <w:p w:rsidR="0040606A" w:rsidRPr="005C18E5" w:rsidRDefault="0040606A" w:rsidP="004B6963">
            <w:pPr>
              <w:pStyle w:val="5"/>
              <w:numPr>
                <w:ilvl w:val="0"/>
                <w:numId w:val="0"/>
              </w:numPr>
              <w:spacing w:line="360" w:lineRule="exact"/>
              <w:jc w:val="center"/>
              <w:rPr>
                <w:rFonts w:ascii="Times New Roman" w:hAnsi="Times New Roman"/>
                <w:sz w:val="24"/>
                <w:szCs w:val="24"/>
              </w:rPr>
            </w:pPr>
            <w:r w:rsidRPr="005C18E5">
              <w:rPr>
                <w:rFonts w:ascii="Times New Roman" w:hAnsi="Times New Roman" w:hint="eastAsia"/>
                <w:sz w:val="24"/>
                <w:szCs w:val="24"/>
              </w:rPr>
              <w:t>彩券</w:t>
            </w:r>
          </w:p>
          <w:p w:rsidR="0040606A" w:rsidRPr="005C18E5" w:rsidRDefault="0040606A" w:rsidP="004B6963">
            <w:pPr>
              <w:pStyle w:val="5"/>
              <w:numPr>
                <w:ilvl w:val="0"/>
                <w:numId w:val="0"/>
              </w:numPr>
              <w:spacing w:line="360" w:lineRule="exact"/>
              <w:jc w:val="center"/>
              <w:rPr>
                <w:rFonts w:ascii="Times New Roman" w:hAnsi="Times New Roman"/>
                <w:sz w:val="24"/>
                <w:szCs w:val="24"/>
              </w:rPr>
            </w:pPr>
            <w:r w:rsidRPr="005C18E5">
              <w:rPr>
                <w:rFonts w:ascii="Times New Roman" w:hAnsi="Times New Roman" w:hint="eastAsia"/>
                <w:sz w:val="24"/>
                <w:szCs w:val="24"/>
              </w:rPr>
              <w:t>類型</w:t>
            </w:r>
          </w:p>
        </w:tc>
        <w:tc>
          <w:tcPr>
            <w:tcW w:w="1407" w:type="dxa"/>
            <w:gridSpan w:val="2"/>
            <w:vAlign w:val="center"/>
          </w:tcPr>
          <w:p w:rsidR="0040606A" w:rsidRPr="005C18E5" w:rsidRDefault="0040606A" w:rsidP="004B6963">
            <w:pPr>
              <w:pStyle w:val="5"/>
              <w:numPr>
                <w:ilvl w:val="0"/>
                <w:numId w:val="0"/>
              </w:numPr>
              <w:spacing w:line="360" w:lineRule="exact"/>
              <w:ind w:leftChars="-23" w:left="-13" w:rightChars="-13" w:right="-44" w:hangingChars="28" w:hanging="65"/>
              <w:jc w:val="center"/>
              <w:rPr>
                <w:rFonts w:ascii="Times New Roman" w:hAnsi="Times New Roman"/>
                <w:spacing w:val="-14"/>
                <w:sz w:val="24"/>
                <w:szCs w:val="24"/>
              </w:rPr>
            </w:pPr>
            <w:r w:rsidRPr="005C18E5">
              <w:rPr>
                <w:rFonts w:ascii="Times New Roman" w:hAnsi="Times New Roman"/>
                <w:spacing w:val="-14"/>
                <w:sz w:val="24"/>
                <w:szCs w:val="24"/>
              </w:rPr>
              <w:t>身心障礙者</w:t>
            </w:r>
          </w:p>
        </w:tc>
        <w:tc>
          <w:tcPr>
            <w:tcW w:w="1287" w:type="dxa"/>
            <w:gridSpan w:val="2"/>
            <w:vAlign w:val="center"/>
          </w:tcPr>
          <w:p w:rsidR="0040606A" w:rsidRPr="005C18E5" w:rsidRDefault="0040606A" w:rsidP="004B6963">
            <w:pPr>
              <w:pStyle w:val="5"/>
              <w:numPr>
                <w:ilvl w:val="0"/>
                <w:numId w:val="0"/>
              </w:numPr>
              <w:spacing w:line="360" w:lineRule="exact"/>
              <w:ind w:leftChars="-23" w:left="-13" w:rightChars="-13" w:right="-44" w:hangingChars="28" w:hanging="65"/>
              <w:jc w:val="center"/>
              <w:rPr>
                <w:rFonts w:ascii="Times New Roman" w:hAnsi="Times New Roman"/>
                <w:spacing w:val="-14"/>
                <w:sz w:val="24"/>
                <w:szCs w:val="24"/>
              </w:rPr>
            </w:pPr>
            <w:r w:rsidRPr="005C18E5">
              <w:rPr>
                <w:rFonts w:ascii="Times New Roman" w:hAnsi="Times New Roman"/>
                <w:spacing w:val="-14"/>
                <w:sz w:val="24"/>
                <w:szCs w:val="24"/>
              </w:rPr>
              <w:t>低收入戶</w:t>
            </w:r>
            <w:r w:rsidRPr="005C18E5">
              <w:rPr>
                <w:rFonts w:ascii="Times New Roman" w:hAnsi="Times New Roman" w:hint="eastAsia"/>
                <w:spacing w:val="-14"/>
                <w:sz w:val="24"/>
                <w:szCs w:val="24"/>
              </w:rPr>
              <w:t>、</w:t>
            </w:r>
          </w:p>
          <w:p w:rsidR="0040606A" w:rsidRPr="005C18E5" w:rsidRDefault="0040606A" w:rsidP="004B6963">
            <w:pPr>
              <w:pStyle w:val="5"/>
              <w:numPr>
                <w:ilvl w:val="0"/>
                <w:numId w:val="0"/>
              </w:numPr>
              <w:spacing w:line="360" w:lineRule="exact"/>
              <w:ind w:leftChars="-23" w:left="-13" w:rightChars="-13" w:right="-44" w:hangingChars="28" w:hanging="65"/>
              <w:jc w:val="center"/>
              <w:rPr>
                <w:rFonts w:ascii="Times New Roman" w:hAnsi="Times New Roman"/>
                <w:spacing w:val="-14"/>
                <w:sz w:val="24"/>
                <w:szCs w:val="24"/>
              </w:rPr>
            </w:pPr>
            <w:r w:rsidRPr="005C18E5">
              <w:rPr>
                <w:rFonts w:ascii="Times New Roman" w:hAnsi="Times New Roman"/>
                <w:spacing w:val="-14"/>
                <w:sz w:val="24"/>
                <w:szCs w:val="24"/>
              </w:rPr>
              <w:t>單親家屬</w:t>
            </w:r>
          </w:p>
        </w:tc>
        <w:tc>
          <w:tcPr>
            <w:tcW w:w="1407" w:type="dxa"/>
            <w:gridSpan w:val="2"/>
            <w:vAlign w:val="center"/>
          </w:tcPr>
          <w:p w:rsidR="0040606A" w:rsidRPr="005C18E5" w:rsidRDefault="0040606A" w:rsidP="004B6963">
            <w:pPr>
              <w:pStyle w:val="5"/>
              <w:numPr>
                <w:ilvl w:val="0"/>
                <w:numId w:val="0"/>
              </w:numPr>
              <w:spacing w:line="360" w:lineRule="exact"/>
              <w:jc w:val="center"/>
              <w:rPr>
                <w:rFonts w:ascii="Times New Roman" w:hAnsi="Times New Roman"/>
                <w:sz w:val="24"/>
                <w:szCs w:val="24"/>
              </w:rPr>
            </w:pPr>
            <w:r w:rsidRPr="005C18E5">
              <w:rPr>
                <w:rFonts w:ascii="Times New Roman" w:hAnsi="Times New Roman"/>
                <w:sz w:val="24"/>
                <w:szCs w:val="24"/>
              </w:rPr>
              <w:t>原住民</w:t>
            </w:r>
          </w:p>
        </w:tc>
        <w:tc>
          <w:tcPr>
            <w:tcW w:w="1469" w:type="dxa"/>
            <w:gridSpan w:val="2"/>
            <w:vAlign w:val="center"/>
          </w:tcPr>
          <w:p w:rsidR="0040606A" w:rsidRPr="005C18E5" w:rsidRDefault="0040606A" w:rsidP="004B6963">
            <w:pPr>
              <w:pStyle w:val="5"/>
              <w:numPr>
                <w:ilvl w:val="0"/>
                <w:numId w:val="0"/>
              </w:numPr>
              <w:spacing w:line="360" w:lineRule="exact"/>
              <w:jc w:val="center"/>
              <w:rPr>
                <w:rFonts w:ascii="Times New Roman" w:hAnsi="Times New Roman"/>
                <w:sz w:val="24"/>
                <w:szCs w:val="24"/>
              </w:rPr>
            </w:pPr>
            <w:r w:rsidRPr="005C18E5">
              <w:rPr>
                <w:rFonts w:ascii="Times New Roman" w:hAnsi="Times New Roman"/>
                <w:sz w:val="24"/>
                <w:szCs w:val="24"/>
              </w:rPr>
              <w:t>合計</w:t>
            </w:r>
          </w:p>
        </w:tc>
      </w:tr>
      <w:tr w:rsidR="0040606A" w:rsidTr="00C055EF">
        <w:trPr>
          <w:tblHeader/>
        </w:trPr>
        <w:tc>
          <w:tcPr>
            <w:tcW w:w="701" w:type="dxa"/>
            <w:vMerge/>
            <w:vAlign w:val="center"/>
          </w:tcPr>
          <w:p w:rsidR="0040606A" w:rsidRPr="005C18E5" w:rsidRDefault="0040606A" w:rsidP="004B6963">
            <w:pPr>
              <w:pStyle w:val="5"/>
              <w:numPr>
                <w:ilvl w:val="0"/>
                <w:numId w:val="0"/>
              </w:numPr>
              <w:spacing w:line="360" w:lineRule="exact"/>
              <w:jc w:val="center"/>
              <w:rPr>
                <w:rFonts w:ascii="Times New Roman" w:hAnsi="Times New Roman"/>
                <w:sz w:val="24"/>
                <w:szCs w:val="24"/>
              </w:rPr>
            </w:pPr>
          </w:p>
        </w:tc>
        <w:tc>
          <w:tcPr>
            <w:tcW w:w="825" w:type="dxa"/>
            <w:vMerge/>
            <w:vAlign w:val="center"/>
          </w:tcPr>
          <w:p w:rsidR="0040606A" w:rsidRPr="005C18E5" w:rsidRDefault="0040606A" w:rsidP="004B6963">
            <w:pPr>
              <w:pStyle w:val="5"/>
              <w:numPr>
                <w:ilvl w:val="0"/>
                <w:numId w:val="0"/>
              </w:numPr>
              <w:spacing w:line="360" w:lineRule="exact"/>
              <w:jc w:val="center"/>
              <w:rPr>
                <w:rFonts w:ascii="Times New Roman" w:hAnsi="Times New Roman"/>
                <w:sz w:val="24"/>
                <w:szCs w:val="24"/>
              </w:rPr>
            </w:pPr>
          </w:p>
        </w:tc>
        <w:tc>
          <w:tcPr>
            <w:tcW w:w="872" w:type="dxa"/>
            <w:vAlign w:val="center"/>
          </w:tcPr>
          <w:p w:rsidR="0040606A" w:rsidRPr="00553CEE" w:rsidRDefault="0040606A" w:rsidP="004B6963">
            <w:pPr>
              <w:pStyle w:val="5"/>
              <w:numPr>
                <w:ilvl w:val="0"/>
                <w:numId w:val="0"/>
              </w:numPr>
              <w:spacing w:line="360" w:lineRule="exact"/>
              <w:jc w:val="center"/>
              <w:rPr>
                <w:rFonts w:ascii="Times New Roman" w:hAnsi="Times New Roman"/>
                <w:sz w:val="22"/>
                <w:szCs w:val="22"/>
              </w:rPr>
            </w:pPr>
            <w:r w:rsidRPr="00553CEE">
              <w:rPr>
                <w:rFonts w:ascii="Times New Roman" w:hAnsi="Times New Roman" w:hint="eastAsia"/>
                <w:sz w:val="22"/>
                <w:szCs w:val="22"/>
              </w:rPr>
              <w:t>人數</w:t>
            </w:r>
          </w:p>
        </w:tc>
        <w:tc>
          <w:tcPr>
            <w:tcW w:w="535" w:type="dxa"/>
            <w:vAlign w:val="center"/>
          </w:tcPr>
          <w:p w:rsidR="0040606A" w:rsidRPr="00553CEE" w:rsidRDefault="0040606A" w:rsidP="004B6963">
            <w:pPr>
              <w:pStyle w:val="5"/>
              <w:numPr>
                <w:ilvl w:val="0"/>
                <w:numId w:val="0"/>
              </w:numPr>
              <w:spacing w:line="360" w:lineRule="exact"/>
              <w:ind w:leftChars="-24" w:left="2" w:rightChars="-33" w:right="-112" w:hangingChars="35" w:hanging="84"/>
              <w:jc w:val="center"/>
              <w:rPr>
                <w:rFonts w:ascii="Times New Roman" w:hAnsi="Times New Roman"/>
                <w:sz w:val="22"/>
                <w:szCs w:val="22"/>
              </w:rPr>
            </w:pPr>
            <w:r w:rsidRPr="00553CEE">
              <w:rPr>
                <w:rFonts w:ascii="Times New Roman" w:hAnsi="Times New Roman" w:hint="eastAsia"/>
                <w:sz w:val="22"/>
                <w:szCs w:val="22"/>
              </w:rPr>
              <w:t>比率</w:t>
            </w:r>
          </w:p>
        </w:tc>
        <w:tc>
          <w:tcPr>
            <w:tcW w:w="752" w:type="dxa"/>
            <w:vAlign w:val="center"/>
          </w:tcPr>
          <w:p w:rsidR="0040606A" w:rsidRPr="00553CEE" w:rsidRDefault="0040606A" w:rsidP="004B6963">
            <w:pPr>
              <w:pStyle w:val="5"/>
              <w:numPr>
                <w:ilvl w:val="0"/>
                <w:numId w:val="0"/>
              </w:numPr>
              <w:spacing w:line="360" w:lineRule="exact"/>
              <w:jc w:val="center"/>
              <w:rPr>
                <w:rFonts w:ascii="Times New Roman" w:hAnsi="Times New Roman"/>
                <w:sz w:val="22"/>
                <w:szCs w:val="22"/>
              </w:rPr>
            </w:pPr>
            <w:r w:rsidRPr="00553CEE">
              <w:rPr>
                <w:rFonts w:ascii="Times New Roman" w:hAnsi="Times New Roman" w:hint="eastAsia"/>
                <w:sz w:val="22"/>
                <w:szCs w:val="22"/>
              </w:rPr>
              <w:t>人數</w:t>
            </w:r>
          </w:p>
        </w:tc>
        <w:tc>
          <w:tcPr>
            <w:tcW w:w="535" w:type="dxa"/>
            <w:vAlign w:val="center"/>
          </w:tcPr>
          <w:p w:rsidR="0040606A" w:rsidRPr="00553CEE" w:rsidRDefault="0040606A" w:rsidP="004B6963">
            <w:pPr>
              <w:pStyle w:val="5"/>
              <w:numPr>
                <w:ilvl w:val="0"/>
                <w:numId w:val="0"/>
              </w:numPr>
              <w:spacing w:line="360" w:lineRule="exact"/>
              <w:ind w:leftChars="-24" w:left="2" w:rightChars="-33" w:right="-112" w:hangingChars="35" w:hanging="84"/>
              <w:jc w:val="center"/>
              <w:rPr>
                <w:rFonts w:ascii="Times New Roman" w:hAnsi="Times New Roman"/>
                <w:sz w:val="22"/>
                <w:szCs w:val="22"/>
              </w:rPr>
            </w:pPr>
            <w:r w:rsidRPr="00553CEE">
              <w:rPr>
                <w:rFonts w:ascii="Times New Roman" w:hAnsi="Times New Roman" w:hint="eastAsia"/>
                <w:sz w:val="22"/>
                <w:szCs w:val="22"/>
              </w:rPr>
              <w:t>比率</w:t>
            </w:r>
          </w:p>
        </w:tc>
        <w:tc>
          <w:tcPr>
            <w:tcW w:w="872" w:type="dxa"/>
            <w:vAlign w:val="center"/>
          </w:tcPr>
          <w:p w:rsidR="0040606A" w:rsidRPr="00553CEE" w:rsidRDefault="0040606A" w:rsidP="004B6963">
            <w:pPr>
              <w:pStyle w:val="5"/>
              <w:numPr>
                <w:ilvl w:val="0"/>
                <w:numId w:val="0"/>
              </w:numPr>
              <w:spacing w:line="360" w:lineRule="exact"/>
              <w:jc w:val="center"/>
              <w:rPr>
                <w:rFonts w:ascii="Times New Roman" w:hAnsi="Times New Roman"/>
                <w:sz w:val="22"/>
                <w:szCs w:val="22"/>
              </w:rPr>
            </w:pPr>
            <w:r w:rsidRPr="00553CEE">
              <w:rPr>
                <w:rFonts w:ascii="Times New Roman" w:hAnsi="Times New Roman" w:hint="eastAsia"/>
                <w:sz w:val="22"/>
                <w:szCs w:val="22"/>
              </w:rPr>
              <w:t>人數</w:t>
            </w:r>
          </w:p>
        </w:tc>
        <w:tc>
          <w:tcPr>
            <w:tcW w:w="535" w:type="dxa"/>
            <w:vAlign w:val="center"/>
          </w:tcPr>
          <w:p w:rsidR="0040606A" w:rsidRPr="00553CEE" w:rsidRDefault="0040606A" w:rsidP="004B6963">
            <w:pPr>
              <w:pStyle w:val="5"/>
              <w:numPr>
                <w:ilvl w:val="0"/>
                <w:numId w:val="0"/>
              </w:numPr>
              <w:spacing w:line="360" w:lineRule="exact"/>
              <w:ind w:leftChars="-24" w:left="2" w:rightChars="-33" w:right="-112" w:hangingChars="35" w:hanging="84"/>
              <w:jc w:val="center"/>
              <w:rPr>
                <w:rFonts w:ascii="Times New Roman" w:hAnsi="Times New Roman"/>
                <w:sz w:val="22"/>
                <w:szCs w:val="22"/>
              </w:rPr>
            </w:pPr>
            <w:r w:rsidRPr="00553CEE">
              <w:rPr>
                <w:rFonts w:ascii="Times New Roman" w:hAnsi="Times New Roman" w:hint="eastAsia"/>
                <w:sz w:val="22"/>
                <w:szCs w:val="22"/>
              </w:rPr>
              <w:t>比率</w:t>
            </w:r>
          </w:p>
        </w:tc>
        <w:tc>
          <w:tcPr>
            <w:tcW w:w="872" w:type="dxa"/>
            <w:vAlign w:val="center"/>
          </w:tcPr>
          <w:p w:rsidR="0040606A" w:rsidRPr="00553CEE" w:rsidRDefault="0040606A" w:rsidP="004B6963">
            <w:pPr>
              <w:pStyle w:val="5"/>
              <w:numPr>
                <w:ilvl w:val="0"/>
                <w:numId w:val="0"/>
              </w:numPr>
              <w:spacing w:line="360" w:lineRule="exact"/>
              <w:jc w:val="center"/>
              <w:rPr>
                <w:rFonts w:ascii="Times New Roman" w:hAnsi="Times New Roman"/>
                <w:sz w:val="22"/>
                <w:szCs w:val="22"/>
              </w:rPr>
            </w:pPr>
            <w:r w:rsidRPr="00553CEE">
              <w:rPr>
                <w:rFonts w:ascii="Times New Roman" w:hAnsi="Times New Roman" w:hint="eastAsia"/>
                <w:sz w:val="22"/>
                <w:szCs w:val="22"/>
              </w:rPr>
              <w:t>人數</w:t>
            </w:r>
          </w:p>
        </w:tc>
        <w:tc>
          <w:tcPr>
            <w:tcW w:w="597" w:type="dxa"/>
            <w:vAlign w:val="center"/>
          </w:tcPr>
          <w:p w:rsidR="0040606A" w:rsidRPr="00553CEE" w:rsidRDefault="0040606A" w:rsidP="004B6963">
            <w:pPr>
              <w:pStyle w:val="5"/>
              <w:numPr>
                <w:ilvl w:val="0"/>
                <w:numId w:val="0"/>
              </w:numPr>
              <w:spacing w:line="360" w:lineRule="exact"/>
              <w:ind w:leftChars="-24" w:left="2" w:rightChars="-33" w:right="-112" w:hangingChars="35" w:hanging="84"/>
              <w:jc w:val="center"/>
              <w:rPr>
                <w:rFonts w:ascii="Times New Roman" w:hAnsi="Times New Roman"/>
                <w:sz w:val="22"/>
                <w:szCs w:val="22"/>
              </w:rPr>
            </w:pPr>
            <w:r w:rsidRPr="00553CEE">
              <w:rPr>
                <w:rFonts w:ascii="Times New Roman" w:hAnsi="Times New Roman" w:hint="eastAsia"/>
                <w:sz w:val="22"/>
                <w:szCs w:val="22"/>
              </w:rPr>
              <w:t>比率</w:t>
            </w:r>
          </w:p>
        </w:tc>
      </w:tr>
      <w:tr w:rsidR="0040606A" w:rsidTr="00C055EF">
        <w:tc>
          <w:tcPr>
            <w:tcW w:w="701" w:type="dxa"/>
            <w:vMerge w:val="restart"/>
            <w:vAlign w:val="center"/>
          </w:tcPr>
          <w:p w:rsidR="0040606A" w:rsidRPr="005C18E5" w:rsidRDefault="0040606A" w:rsidP="004B6963">
            <w:pPr>
              <w:pStyle w:val="5"/>
              <w:numPr>
                <w:ilvl w:val="0"/>
                <w:numId w:val="0"/>
              </w:numPr>
              <w:spacing w:line="340" w:lineRule="exact"/>
              <w:jc w:val="center"/>
              <w:rPr>
                <w:rFonts w:ascii="Times New Roman" w:hAnsi="Times New Roman"/>
                <w:sz w:val="24"/>
                <w:szCs w:val="24"/>
              </w:rPr>
            </w:pPr>
            <w:r w:rsidRPr="005C18E5">
              <w:rPr>
                <w:rFonts w:ascii="Times New Roman" w:hAnsi="Times New Roman"/>
                <w:sz w:val="24"/>
                <w:szCs w:val="24"/>
              </w:rPr>
              <w:t>101</w:t>
            </w:r>
          </w:p>
        </w:tc>
        <w:tc>
          <w:tcPr>
            <w:tcW w:w="825" w:type="dxa"/>
            <w:vAlign w:val="center"/>
          </w:tcPr>
          <w:p w:rsidR="0040606A" w:rsidRPr="005C18E5" w:rsidRDefault="0040606A" w:rsidP="004B6963">
            <w:pPr>
              <w:pStyle w:val="5"/>
              <w:numPr>
                <w:ilvl w:val="0"/>
                <w:numId w:val="0"/>
              </w:numPr>
              <w:spacing w:line="340" w:lineRule="exact"/>
              <w:ind w:leftChars="-17" w:left="-3" w:rightChars="-17" w:right="-58" w:hangingChars="25" w:hanging="55"/>
              <w:jc w:val="center"/>
              <w:rPr>
                <w:rFonts w:ascii="Times New Roman" w:hAnsi="Times New Roman"/>
                <w:spacing w:val="-20"/>
                <w:sz w:val="24"/>
                <w:szCs w:val="24"/>
              </w:rPr>
            </w:pPr>
            <w:r w:rsidRPr="005C18E5">
              <w:rPr>
                <w:rFonts w:ascii="Times New Roman" w:hAnsi="Times New Roman"/>
                <w:spacing w:val="-20"/>
                <w:sz w:val="24"/>
                <w:szCs w:val="24"/>
              </w:rPr>
              <w:t>電腦型</w:t>
            </w:r>
          </w:p>
        </w:tc>
        <w:tc>
          <w:tcPr>
            <w:tcW w:w="872"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4,708</w:t>
            </w:r>
          </w:p>
        </w:tc>
        <w:tc>
          <w:tcPr>
            <w:tcW w:w="535"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89</w:t>
            </w:r>
          </w:p>
        </w:tc>
        <w:tc>
          <w:tcPr>
            <w:tcW w:w="752"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73</w:t>
            </w:r>
          </w:p>
        </w:tc>
        <w:tc>
          <w:tcPr>
            <w:tcW w:w="535"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1</w:t>
            </w:r>
          </w:p>
        </w:tc>
        <w:tc>
          <w:tcPr>
            <w:tcW w:w="872"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521</w:t>
            </w:r>
          </w:p>
        </w:tc>
        <w:tc>
          <w:tcPr>
            <w:tcW w:w="535"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10</w:t>
            </w:r>
          </w:p>
        </w:tc>
        <w:tc>
          <w:tcPr>
            <w:tcW w:w="872"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5,302</w:t>
            </w:r>
          </w:p>
        </w:tc>
        <w:tc>
          <w:tcPr>
            <w:tcW w:w="597"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100</w:t>
            </w:r>
          </w:p>
        </w:tc>
      </w:tr>
      <w:tr w:rsidR="0040606A" w:rsidTr="00C055EF">
        <w:tc>
          <w:tcPr>
            <w:tcW w:w="701" w:type="dxa"/>
            <w:vMerge/>
            <w:vAlign w:val="center"/>
          </w:tcPr>
          <w:p w:rsidR="0040606A" w:rsidRPr="005C18E5" w:rsidRDefault="0040606A" w:rsidP="004B6963">
            <w:pPr>
              <w:pStyle w:val="5"/>
              <w:numPr>
                <w:ilvl w:val="0"/>
                <w:numId w:val="0"/>
              </w:numPr>
              <w:spacing w:line="340" w:lineRule="exact"/>
              <w:jc w:val="center"/>
              <w:rPr>
                <w:rFonts w:ascii="Times New Roman" w:hAnsi="Times New Roman"/>
                <w:sz w:val="24"/>
                <w:szCs w:val="24"/>
              </w:rPr>
            </w:pPr>
          </w:p>
        </w:tc>
        <w:tc>
          <w:tcPr>
            <w:tcW w:w="825" w:type="dxa"/>
            <w:vAlign w:val="center"/>
          </w:tcPr>
          <w:p w:rsidR="0040606A" w:rsidRPr="005C18E5" w:rsidRDefault="0040606A" w:rsidP="004B6963">
            <w:pPr>
              <w:pStyle w:val="5"/>
              <w:numPr>
                <w:ilvl w:val="0"/>
                <w:numId w:val="0"/>
              </w:numPr>
              <w:spacing w:line="340" w:lineRule="exact"/>
              <w:ind w:leftChars="-17" w:left="-3" w:rightChars="-17" w:right="-58" w:hangingChars="25" w:hanging="55"/>
              <w:jc w:val="center"/>
              <w:rPr>
                <w:rFonts w:ascii="Times New Roman" w:hAnsi="Times New Roman"/>
                <w:spacing w:val="-20"/>
                <w:sz w:val="24"/>
                <w:szCs w:val="24"/>
              </w:rPr>
            </w:pPr>
            <w:r w:rsidRPr="005C18E5">
              <w:rPr>
                <w:rFonts w:ascii="Times New Roman" w:hAnsi="Times New Roman" w:hint="eastAsia"/>
                <w:spacing w:val="-20"/>
                <w:sz w:val="24"/>
                <w:szCs w:val="24"/>
              </w:rPr>
              <w:t>立即型</w:t>
            </w:r>
          </w:p>
        </w:tc>
        <w:tc>
          <w:tcPr>
            <w:tcW w:w="872"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21,063</w:t>
            </w:r>
          </w:p>
        </w:tc>
        <w:tc>
          <w:tcPr>
            <w:tcW w:w="535"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80</w:t>
            </w:r>
          </w:p>
        </w:tc>
        <w:tc>
          <w:tcPr>
            <w:tcW w:w="752"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324</w:t>
            </w:r>
          </w:p>
        </w:tc>
        <w:tc>
          <w:tcPr>
            <w:tcW w:w="535"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1</w:t>
            </w:r>
          </w:p>
        </w:tc>
        <w:tc>
          <w:tcPr>
            <w:tcW w:w="872"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4,890</w:t>
            </w:r>
          </w:p>
        </w:tc>
        <w:tc>
          <w:tcPr>
            <w:tcW w:w="535"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19</w:t>
            </w:r>
          </w:p>
        </w:tc>
        <w:tc>
          <w:tcPr>
            <w:tcW w:w="872"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26,277</w:t>
            </w:r>
          </w:p>
        </w:tc>
        <w:tc>
          <w:tcPr>
            <w:tcW w:w="597"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100</w:t>
            </w:r>
          </w:p>
        </w:tc>
      </w:tr>
      <w:tr w:rsidR="0040606A" w:rsidTr="00C055EF">
        <w:tc>
          <w:tcPr>
            <w:tcW w:w="701" w:type="dxa"/>
            <w:vMerge w:val="restart"/>
            <w:vAlign w:val="center"/>
          </w:tcPr>
          <w:p w:rsidR="0040606A" w:rsidRPr="005C18E5" w:rsidRDefault="0040606A" w:rsidP="004B6963">
            <w:pPr>
              <w:pStyle w:val="5"/>
              <w:numPr>
                <w:ilvl w:val="0"/>
                <w:numId w:val="0"/>
              </w:numPr>
              <w:spacing w:line="340" w:lineRule="exact"/>
              <w:jc w:val="center"/>
              <w:rPr>
                <w:rFonts w:ascii="Times New Roman" w:hAnsi="Times New Roman"/>
                <w:sz w:val="24"/>
                <w:szCs w:val="24"/>
              </w:rPr>
            </w:pPr>
            <w:r w:rsidRPr="005C18E5">
              <w:rPr>
                <w:rFonts w:ascii="Times New Roman" w:hAnsi="Times New Roman"/>
                <w:sz w:val="24"/>
                <w:szCs w:val="24"/>
              </w:rPr>
              <w:t>10</w:t>
            </w:r>
            <w:r w:rsidRPr="005C18E5">
              <w:rPr>
                <w:rFonts w:ascii="Times New Roman" w:hAnsi="Times New Roman" w:hint="eastAsia"/>
                <w:sz w:val="24"/>
                <w:szCs w:val="24"/>
              </w:rPr>
              <w:t>2</w:t>
            </w:r>
          </w:p>
        </w:tc>
        <w:tc>
          <w:tcPr>
            <w:tcW w:w="825" w:type="dxa"/>
            <w:vAlign w:val="center"/>
          </w:tcPr>
          <w:p w:rsidR="0040606A" w:rsidRPr="005C18E5" w:rsidRDefault="0040606A" w:rsidP="004B6963">
            <w:pPr>
              <w:pStyle w:val="5"/>
              <w:numPr>
                <w:ilvl w:val="0"/>
                <w:numId w:val="0"/>
              </w:numPr>
              <w:spacing w:line="340" w:lineRule="exact"/>
              <w:ind w:leftChars="-17" w:left="-3" w:rightChars="-17" w:right="-58" w:hangingChars="25" w:hanging="55"/>
              <w:jc w:val="center"/>
              <w:rPr>
                <w:rFonts w:ascii="Times New Roman" w:hAnsi="Times New Roman"/>
                <w:spacing w:val="-20"/>
                <w:sz w:val="24"/>
                <w:szCs w:val="24"/>
              </w:rPr>
            </w:pPr>
            <w:r w:rsidRPr="005C18E5">
              <w:rPr>
                <w:rFonts w:ascii="Times New Roman" w:hAnsi="Times New Roman"/>
                <w:spacing w:val="-20"/>
                <w:sz w:val="24"/>
                <w:szCs w:val="24"/>
              </w:rPr>
              <w:t>電腦型</w:t>
            </w:r>
          </w:p>
        </w:tc>
        <w:tc>
          <w:tcPr>
            <w:tcW w:w="872"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4,580</w:t>
            </w:r>
          </w:p>
        </w:tc>
        <w:tc>
          <w:tcPr>
            <w:tcW w:w="535"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89</w:t>
            </w:r>
          </w:p>
        </w:tc>
        <w:tc>
          <w:tcPr>
            <w:tcW w:w="752"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70</w:t>
            </w:r>
          </w:p>
        </w:tc>
        <w:tc>
          <w:tcPr>
            <w:tcW w:w="535"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1</w:t>
            </w:r>
          </w:p>
        </w:tc>
        <w:tc>
          <w:tcPr>
            <w:tcW w:w="872"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508</w:t>
            </w:r>
          </w:p>
        </w:tc>
        <w:tc>
          <w:tcPr>
            <w:tcW w:w="535"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10</w:t>
            </w:r>
          </w:p>
        </w:tc>
        <w:tc>
          <w:tcPr>
            <w:tcW w:w="872"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5,158</w:t>
            </w:r>
          </w:p>
        </w:tc>
        <w:tc>
          <w:tcPr>
            <w:tcW w:w="597"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100</w:t>
            </w:r>
          </w:p>
        </w:tc>
      </w:tr>
      <w:tr w:rsidR="0040606A" w:rsidTr="00C055EF">
        <w:tc>
          <w:tcPr>
            <w:tcW w:w="701" w:type="dxa"/>
            <w:vMerge/>
            <w:vAlign w:val="center"/>
          </w:tcPr>
          <w:p w:rsidR="0040606A" w:rsidRPr="005C18E5" w:rsidRDefault="0040606A" w:rsidP="004B6963">
            <w:pPr>
              <w:pStyle w:val="5"/>
              <w:numPr>
                <w:ilvl w:val="0"/>
                <w:numId w:val="0"/>
              </w:numPr>
              <w:spacing w:line="340" w:lineRule="exact"/>
              <w:jc w:val="center"/>
              <w:rPr>
                <w:rFonts w:ascii="Times New Roman" w:hAnsi="Times New Roman"/>
                <w:sz w:val="24"/>
                <w:szCs w:val="24"/>
              </w:rPr>
            </w:pPr>
          </w:p>
        </w:tc>
        <w:tc>
          <w:tcPr>
            <w:tcW w:w="825" w:type="dxa"/>
            <w:vAlign w:val="center"/>
          </w:tcPr>
          <w:p w:rsidR="0040606A" w:rsidRPr="005C18E5" w:rsidRDefault="0040606A" w:rsidP="004B6963">
            <w:pPr>
              <w:pStyle w:val="5"/>
              <w:numPr>
                <w:ilvl w:val="0"/>
                <w:numId w:val="0"/>
              </w:numPr>
              <w:spacing w:line="340" w:lineRule="exact"/>
              <w:ind w:leftChars="-17" w:left="-3" w:rightChars="-17" w:right="-58" w:hangingChars="25" w:hanging="55"/>
              <w:jc w:val="center"/>
              <w:rPr>
                <w:rFonts w:ascii="Times New Roman" w:hAnsi="Times New Roman"/>
                <w:spacing w:val="-20"/>
                <w:sz w:val="24"/>
                <w:szCs w:val="24"/>
              </w:rPr>
            </w:pPr>
            <w:r w:rsidRPr="005C18E5">
              <w:rPr>
                <w:rFonts w:ascii="Times New Roman" w:hAnsi="Times New Roman" w:hint="eastAsia"/>
                <w:spacing w:val="-20"/>
                <w:sz w:val="24"/>
                <w:szCs w:val="24"/>
              </w:rPr>
              <w:t>立即型</w:t>
            </w:r>
          </w:p>
        </w:tc>
        <w:tc>
          <w:tcPr>
            <w:tcW w:w="872"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25,817</w:t>
            </w:r>
          </w:p>
        </w:tc>
        <w:tc>
          <w:tcPr>
            <w:tcW w:w="535"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79</w:t>
            </w:r>
          </w:p>
        </w:tc>
        <w:tc>
          <w:tcPr>
            <w:tcW w:w="752"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411</w:t>
            </w:r>
          </w:p>
        </w:tc>
        <w:tc>
          <w:tcPr>
            <w:tcW w:w="535"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1</w:t>
            </w:r>
          </w:p>
        </w:tc>
        <w:tc>
          <w:tcPr>
            <w:tcW w:w="872"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6,348</w:t>
            </w:r>
          </w:p>
        </w:tc>
        <w:tc>
          <w:tcPr>
            <w:tcW w:w="535"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19</w:t>
            </w:r>
          </w:p>
        </w:tc>
        <w:tc>
          <w:tcPr>
            <w:tcW w:w="872"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32,576</w:t>
            </w:r>
          </w:p>
        </w:tc>
        <w:tc>
          <w:tcPr>
            <w:tcW w:w="597"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100</w:t>
            </w:r>
          </w:p>
        </w:tc>
      </w:tr>
      <w:tr w:rsidR="0040606A" w:rsidTr="00C055EF">
        <w:tc>
          <w:tcPr>
            <w:tcW w:w="701" w:type="dxa"/>
            <w:vMerge w:val="restart"/>
            <w:vAlign w:val="center"/>
          </w:tcPr>
          <w:p w:rsidR="0040606A" w:rsidRPr="005C18E5" w:rsidRDefault="0040606A" w:rsidP="004B6963">
            <w:pPr>
              <w:pStyle w:val="5"/>
              <w:numPr>
                <w:ilvl w:val="0"/>
                <w:numId w:val="0"/>
              </w:numPr>
              <w:spacing w:line="340" w:lineRule="exact"/>
              <w:jc w:val="center"/>
              <w:rPr>
                <w:rFonts w:ascii="Times New Roman" w:hAnsi="Times New Roman"/>
                <w:sz w:val="24"/>
                <w:szCs w:val="24"/>
              </w:rPr>
            </w:pPr>
            <w:r w:rsidRPr="005C18E5">
              <w:rPr>
                <w:rFonts w:ascii="Times New Roman" w:hAnsi="Times New Roman" w:hint="eastAsia"/>
                <w:sz w:val="24"/>
                <w:szCs w:val="24"/>
              </w:rPr>
              <w:t>103</w:t>
            </w:r>
          </w:p>
        </w:tc>
        <w:tc>
          <w:tcPr>
            <w:tcW w:w="825" w:type="dxa"/>
            <w:vAlign w:val="center"/>
          </w:tcPr>
          <w:p w:rsidR="0040606A" w:rsidRPr="005C18E5" w:rsidRDefault="0040606A" w:rsidP="004B6963">
            <w:pPr>
              <w:pStyle w:val="5"/>
              <w:numPr>
                <w:ilvl w:val="0"/>
                <w:numId w:val="0"/>
              </w:numPr>
              <w:spacing w:line="340" w:lineRule="exact"/>
              <w:ind w:leftChars="-17" w:left="-3" w:rightChars="-17" w:right="-58" w:hangingChars="25" w:hanging="55"/>
              <w:jc w:val="center"/>
              <w:rPr>
                <w:rFonts w:ascii="Times New Roman" w:hAnsi="Times New Roman"/>
                <w:spacing w:val="-20"/>
                <w:sz w:val="24"/>
                <w:szCs w:val="24"/>
              </w:rPr>
            </w:pPr>
            <w:r w:rsidRPr="005C18E5">
              <w:rPr>
                <w:rFonts w:ascii="Times New Roman" w:hAnsi="Times New Roman"/>
                <w:spacing w:val="-20"/>
                <w:sz w:val="24"/>
                <w:szCs w:val="24"/>
              </w:rPr>
              <w:t>電腦型</w:t>
            </w:r>
          </w:p>
        </w:tc>
        <w:tc>
          <w:tcPr>
            <w:tcW w:w="872"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4,644</w:t>
            </w:r>
          </w:p>
        </w:tc>
        <w:tc>
          <w:tcPr>
            <w:tcW w:w="535"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81</w:t>
            </w:r>
          </w:p>
        </w:tc>
        <w:tc>
          <w:tcPr>
            <w:tcW w:w="752"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122</w:t>
            </w:r>
          </w:p>
        </w:tc>
        <w:tc>
          <w:tcPr>
            <w:tcW w:w="535"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2</w:t>
            </w:r>
          </w:p>
        </w:tc>
        <w:tc>
          <w:tcPr>
            <w:tcW w:w="872"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993</w:t>
            </w:r>
          </w:p>
        </w:tc>
        <w:tc>
          <w:tcPr>
            <w:tcW w:w="535"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17</w:t>
            </w:r>
          </w:p>
        </w:tc>
        <w:tc>
          <w:tcPr>
            <w:tcW w:w="872"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5,759</w:t>
            </w:r>
          </w:p>
        </w:tc>
        <w:tc>
          <w:tcPr>
            <w:tcW w:w="597"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100</w:t>
            </w:r>
          </w:p>
        </w:tc>
      </w:tr>
      <w:tr w:rsidR="0040606A" w:rsidTr="00C055EF">
        <w:tc>
          <w:tcPr>
            <w:tcW w:w="701" w:type="dxa"/>
            <w:vMerge/>
            <w:vAlign w:val="center"/>
          </w:tcPr>
          <w:p w:rsidR="0040606A" w:rsidRPr="005C18E5" w:rsidRDefault="0040606A" w:rsidP="004B6963">
            <w:pPr>
              <w:pStyle w:val="5"/>
              <w:numPr>
                <w:ilvl w:val="0"/>
                <w:numId w:val="0"/>
              </w:numPr>
              <w:spacing w:line="340" w:lineRule="exact"/>
              <w:jc w:val="center"/>
              <w:rPr>
                <w:rFonts w:ascii="Times New Roman" w:hAnsi="Times New Roman"/>
                <w:sz w:val="24"/>
                <w:szCs w:val="24"/>
              </w:rPr>
            </w:pPr>
          </w:p>
        </w:tc>
        <w:tc>
          <w:tcPr>
            <w:tcW w:w="825" w:type="dxa"/>
            <w:vAlign w:val="center"/>
          </w:tcPr>
          <w:p w:rsidR="0040606A" w:rsidRPr="005C18E5" w:rsidRDefault="0040606A" w:rsidP="004B6963">
            <w:pPr>
              <w:pStyle w:val="5"/>
              <w:numPr>
                <w:ilvl w:val="0"/>
                <w:numId w:val="0"/>
              </w:numPr>
              <w:spacing w:line="340" w:lineRule="exact"/>
              <w:ind w:leftChars="-17" w:left="-3" w:rightChars="-17" w:right="-58" w:hangingChars="25" w:hanging="55"/>
              <w:jc w:val="center"/>
              <w:rPr>
                <w:rFonts w:ascii="Times New Roman" w:hAnsi="Times New Roman"/>
                <w:spacing w:val="-20"/>
                <w:sz w:val="24"/>
                <w:szCs w:val="24"/>
              </w:rPr>
            </w:pPr>
            <w:r w:rsidRPr="005C18E5">
              <w:rPr>
                <w:rFonts w:ascii="Times New Roman" w:hAnsi="Times New Roman" w:hint="eastAsia"/>
                <w:spacing w:val="-20"/>
                <w:sz w:val="24"/>
                <w:szCs w:val="24"/>
              </w:rPr>
              <w:t>立即型</w:t>
            </w:r>
          </w:p>
        </w:tc>
        <w:tc>
          <w:tcPr>
            <w:tcW w:w="872"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37,426</w:t>
            </w:r>
          </w:p>
        </w:tc>
        <w:tc>
          <w:tcPr>
            <w:tcW w:w="535"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69</w:t>
            </w:r>
          </w:p>
        </w:tc>
        <w:tc>
          <w:tcPr>
            <w:tcW w:w="752"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479</w:t>
            </w:r>
          </w:p>
        </w:tc>
        <w:tc>
          <w:tcPr>
            <w:tcW w:w="535"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1</w:t>
            </w:r>
          </w:p>
        </w:tc>
        <w:tc>
          <w:tcPr>
            <w:tcW w:w="872"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16,425</w:t>
            </w:r>
          </w:p>
        </w:tc>
        <w:tc>
          <w:tcPr>
            <w:tcW w:w="535"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30</w:t>
            </w:r>
          </w:p>
        </w:tc>
        <w:tc>
          <w:tcPr>
            <w:tcW w:w="872"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54,330</w:t>
            </w:r>
          </w:p>
        </w:tc>
        <w:tc>
          <w:tcPr>
            <w:tcW w:w="597"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100</w:t>
            </w:r>
          </w:p>
        </w:tc>
      </w:tr>
      <w:tr w:rsidR="0040606A" w:rsidTr="00C055EF">
        <w:tc>
          <w:tcPr>
            <w:tcW w:w="701" w:type="dxa"/>
            <w:vMerge w:val="restart"/>
            <w:vAlign w:val="center"/>
          </w:tcPr>
          <w:p w:rsidR="0040606A" w:rsidRPr="005C18E5" w:rsidRDefault="0040606A" w:rsidP="004B6963">
            <w:pPr>
              <w:pStyle w:val="5"/>
              <w:numPr>
                <w:ilvl w:val="0"/>
                <w:numId w:val="0"/>
              </w:numPr>
              <w:spacing w:line="340" w:lineRule="exact"/>
              <w:jc w:val="center"/>
              <w:rPr>
                <w:rFonts w:ascii="Times New Roman" w:hAnsi="Times New Roman"/>
                <w:sz w:val="24"/>
                <w:szCs w:val="24"/>
              </w:rPr>
            </w:pPr>
            <w:r w:rsidRPr="005C18E5">
              <w:rPr>
                <w:rFonts w:ascii="Times New Roman" w:hAnsi="Times New Roman" w:hint="eastAsia"/>
                <w:sz w:val="24"/>
                <w:szCs w:val="24"/>
              </w:rPr>
              <w:t>104</w:t>
            </w:r>
          </w:p>
        </w:tc>
        <w:tc>
          <w:tcPr>
            <w:tcW w:w="825" w:type="dxa"/>
            <w:vAlign w:val="center"/>
          </w:tcPr>
          <w:p w:rsidR="0040606A" w:rsidRPr="005C18E5" w:rsidRDefault="0040606A" w:rsidP="004B6963">
            <w:pPr>
              <w:pStyle w:val="5"/>
              <w:numPr>
                <w:ilvl w:val="0"/>
                <w:numId w:val="0"/>
              </w:numPr>
              <w:spacing w:line="340" w:lineRule="exact"/>
              <w:ind w:leftChars="-17" w:left="-3" w:rightChars="-17" w:right="-58" w:hangingChars="25" w:hanging="55"/>
              <w:jc w:val="center"/>
              <w:rPr>
                <w:rFonts w:ascii="Times New Roman" w:hAnsi="Times New Roman"/>
                <w:spacing w:val="-20"/>
                <w:sz w:val="24"/>
                <w:szCs w:val="24"/>
              </w:rPr>
            </w:pPr>
            <w:r w:rsidRPr="005C18E5">
              <w:rPr>
                <w:rFonts w:ascii="Times New Roman" w:hAnsi="Times New Roman"/>
                <w:spacing w:val="-20"/>
                <w:sz w:val="24"/>
                <w:szCs w:val="24"/>
              </w:rPr>
              <w:t>電腦型</w:t>
            </w:r>
          </w:p>
        </w:tc>
        <w:tc>
          <w:tcPr>
            <w:tcW w:w="872"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4,643</w:t>
            </w:r>
          </w:p>
        </w:tc>
        <w:tc>
          <w:tcPr>
            <w:tcW w:w="535"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81</w:t>
            </w:r>
          </w:p>
        </w:tc>
        <w:tc>
          <w:tcPr>
            <w:tcW w:w="752"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120</w:t>
            </w:r>
          </w:p>
        </w:tc>
        <w:tc>
          <w:tcPr>
            <w:tcW w:w="535"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2</w:t>
            </w:r>
          </w:p>
        </w:tc>
        <w:tc>
          <w:tcPr>
            <w:tcW w:w="872"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996</w:t>
            </w:r>
          </w:p>
        </w:tc>
        <w:tc>
          <w:tcPr>
            <w:tcW w:w="535"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17</w:t>
            </w:r>
          </w:p>
        </w:tc>
        <w:tc>
          <w:tcPr>
            <w:tcW w:w="872"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5,759</w:t>
            </w:r>
          </w:p>
        </w:tc>
        <w:tc>
          <w:tcPr>
            <w:tcW w:w="597"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100</w:t>
            </w:r>
          </w:p>
        </w:tc>
      </w:tr>
      <w:tr w:rsidR="0040606A" w:rsidTr="00C055EF">
        <w:tc>
          <w:tcPr>
            <w:tcW w:w="701" w:type="dxa"/>
            <w:vMerge/>
            <w:vAlign w:val="center"/>
          </w:tcPr>
          <w:p w:rsidR="0040606A" w:rsidRPr="005C18E5" w:rsidRDefault="0040606A" w:rsidP="004B6963">
            <w:pPr>
              <w:pStyle w:val="5"/>
              <w:numPr>
                <w:ilvl w:val="0"/>
                <w:numId w:val="0"/>
              </w:numPr>
              <w:spacing w:line="340" w:lineRule="exact"/>
              <w:jc w:val="center"/>
              <w:rPr>
                <w:rFonts w:ascii="Times New Roman" w:hAnsi="Times New Roman"/>
                <w:sz w:val="24"/>
                <w:szCs w:val="24"/>
              </w:rPr>
            </w:pPr>
          </w:p>
        </w:tc>
        <w:tc>
          <w:tcPr>
            <w:tcW w:w="825" w:type="dxa"/>
            <w:vAlign w:val="center"/>
          </w:tcPr>
          <w:p w:rsidR="0040606A" w:rsidRPr="005C18E5" w:rsidRDefault="0040606A" w:rsidP="004B6963">
            <w:pPr>
              <w:pStyle w:val="5"/>
              <w:numPr>
                <w:ilvl w:val="0"/>
                <w:numId w:val="0"/>
              </w:numPr>
              <w:spacing w:line="340" w:lineRule="exact"/>
              <w:ind w:leftChars="-17" w:left="-3" w:rightChars="-17" w:right="-58" w:hangingChars="25" w:hanging="55"/>
              <w:jc w:val="center"/>
              <w:rPr>
                <w:rFonts w:ascii="Times New Roman" w:hAnsi="Times New Roman"/>
                <w:spacing w:val="-20"/>
                <w:sz w:val="24"/>
                <w:szCs w:val="24"/>
              </w:rPr>
            </w:pPr>
            <w:r w:rsidRPr="005C18E5">
              <w:rPr>
                <w:rFonts w:ascii="Times New Roman" w:hAnsi="Times New Roman" w:hint="eastAsia"/>
                <w:spacing w:val="-20"/>
                <w:sz w:val="24"/>
                <w:szCs w:val="24"/>
              </w:rPr>
              <w:t>立即型</w:t>
            </w:r>
          </w:p>
        </w:tc>
        <w:tc>
          <w:tcPr>
            <w:tcW w:w="872"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34,282</w:t>
            </w:r>
          </w:p>
        </w:tc>
        <w:tc>
          <w:tcPr>
            <w:tcW w:w="535"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70</w:t>
            </w:r>
          </w:p>
        </w:tc>
        <w:tc>
          <w:tcPr>
            <w:tcW w:w="752"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421</w:t>
            </w:r>
          </w:p>
        </w:tc>
        <w:tc>
          <w:tcPr>
            <w:tcW w:w="535"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1</w:t>
            </w:r>
          </w:p>
        </w:tc>
        <w:tc>
          <w:tcPr>
            <w:tcW w:w="872"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14,217</w:t>
            </w:r>
          </w:p>
        </w:tc>
        <w:tc>
          <w:tcPr>
            <w:tcW w:w="535"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29</w:t>
            </w:r>
          </w:p>
        </w:tc>
        <w:tc>
          <w:tcPr>
            <w:tcW w:w="872"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48,920</w:t>
            </w:r>
          </w:p>
        </w:tc>
        <w:tc>
          <w:tcPr>
            <w:tcW w:w="597"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100</w:t>
            </w:r>
          </w:p>
        </w:tc>
      </w:tr>
      <w:tr w:rsidR="0040606A" w:rsidTr="00C055EF">
        <w:tc>
          <w:tcPr>
            <w:tcW w:w="701" w:type="dxa"/>
            <w:vMerge w:val="restart"/>
            <w:vAlign w:val="center"/>
          </w:tcPr>
          <w:p w:rsidR="0040606A" w:rsidRPr="005C18E5" w:rsidRDefault="0040606A" w:rsidP="004B6963">
            <w:pPr>
              <w:pStyle w:val="5"/>
              <w:numPr>
                <w:ilvl w:val="0"/>
                <w:numId w:val="0"/>
              </w:numPr>
              <w:spacing w:line="340" w:lineRule="exact"/>
              <w:jc w:val="center"/>
              <w:rPr>
                <w:rFonts w:ascii="Times New Roman" w:hAnsi="Times New Roman"/>
                <w:sz w:val="24"/>
                <w:szCs w:val="24"/>
              </w:rPr>
            </w:pPr>
            <w:r w:rsidRPr="005C18E5">
              <w:rPr>
                <w:rFonts w:ascii="Times New Roman" w:hAnsi="Times New Roman" w:hint="eastAsia"/>
                <w:sz w:val="24"/>
                <w:szCs w:val="24"/>
              </w:rPr>
              <w:t>105</w:t>
            </w:r>
          </w:p>
        </w:tc>
        <w:tc>
          <w:tcPr>
            <w:tcW w:w="825" w:type="dxa"/>
            <w:vAlign w:val="center"/>
          </w:tcPr>
          <w:p w:rsidR="0040606A" w:rsidRPr="005C18E5" w:rsidRDefault="0040606A" w:rsidP="004B6963">
            <w:pPr>
              <w:pStyle w:val="5"/>
              <w:numPr>
                <w:ilvl w:val="0"/>
                <w:numId w:val="0"/>
              </w:numPr>
              <w:spacing w:line="340" w:lineRule="exact"/>
              <w:ind w:leftChars="-17" w:left="-3" w:rightChars="-17" w:right="-58" w:hangingChars="25" w:hanging="55"/>
              <w:jc w:val="center"/>
              <w:rPr>
                <w:rFonts w:ascii="Times New Roman" w:hAnsi="Times New Roman"/>
                <w:spacing w:val="-20"/>
                <w:sz w:val="24"/>
                <w:szCs w:val="24"/>
              </w:rPr>
            </w:pPr>
            <w:r w:rsidRPr="005C18E5">
              <w:rPr>
                <w:rFonts w:ascii="Times New Roman" w:hAnsi="Times New Roman"/>
                <w:spacing w:val="-20"/>
                <w:sz w:val="24"/>
                <w:szCs w:val="24"/>
              </w:rPr>
              <w:t>電腦型</w:t>
            </w:r>
          </w:p>
        </w:tc>
        <w:tc>
          <w:tcPr>
            <w:tcW w:w="872"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4,627</w:t>
            </w:r>
          </w:p>
        </w:tc>
        <w:tc>
          <w:tcPr>
            <w:tcW w:w="535"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80</w:t>
            </w:r>
          </w:p>
        </w:tc>
        <w:tc>
          <w:tcPr>
            <w:tcW w:w="752"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123</w:t>
            </w:r>
          </w:p>
        </w:tc>
        <w:tc>
          <w:tcPr>
            <w:tcW w:w="535"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2</w:t>
            </w:r>
          </w:p>
        </w:tc>
        <w:tc>
          <w:tcPr>
            <w:tcW w:w="872"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1,003</w:t>
            </w:r>
          </w:p>
        </w:tc>
        <w:tc>
          <w:tcPr>
            <w:tcW w:w="535"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17</w:t>
            </w:r>
          </w:p>
        </w:tc>
        <w:tc>
          <w:tcPr>
            <w:tcW w:w="872"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5,753</w:t>
            </w:r>
          </w:p>
        </w:tc>
        <w:tc>
          <w:tcPr>
            <w:tcW w:w="597"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100</w:t>
            </w:r>
          </w:p>
        </w:tc>
      </w:tr>
      <w:tr w:rsidR="0040606A" w:rsidTr="00C055EF">
        <w:tc>
          <w:tcPr>
            <w:tcW w:w="701" w:type="dxa"/>
            <w:vMerge/>
          </w:tcPr>
          <w:p w:rsidR="0040606A" w:rsidRPr="005C18E5" w:rsidRDefault="0040606A" w:rsidP="004B6963">
            <w:pPr>
              <w:pStyle w:val="5"/>
              <w:numPr>
                <w:ilvl w:val="0"/>
                <w:numId w:val="0"/>
              </w:numPr>
              <w:spacing w:line="340" w:lineRule="exact"/>
              <w:rPr>
                <w:rFonts w:ascii="Times New Roman" w:hAnsi="Times New Roman"/>
                <w:sz w:val="24"/>
                <w:szCs w:val="24"/>
              </w:rPr>
            </w:pPr>
          </w:p>
        </w:tc>
        <w:tc>
          <w:tcPr>
            <w:tcW w:w="825" w:type="dxa"/>
            <w:vAlign w:val="center"/>
          </w:tcPr>
          <w:p w:rsidR="0040606A" w:rsidRPr="005C18E5" w:rsidRDefault="0040606A" w:rsidP="004B6963">
            <w:pPr>
              <w:pStyle w:val="5"/>
              <w:numPr>
                <w:ilvl w:val="0"/>
                <w:numId w:val="0"/>
              </w:numPr>
              <w:spacing w:line="340" w:lineRule="exact"/>
              <w:ind w:leftChars="-17" w:left="-3" w:rightChars="-17" w:right="-58" w:hangingChars="25" w:hanging="55"/>
              <w:jc w:val="center"/>
              <w:rPr>
                <w:rFonts w:ascii="Times New Roman" w:hAnsi="Times New Roman"/>
                <w:spacing w:val="-20"/>
                <w:sz w:val="24"/>
                <w:szCs w:val="24"/>
              </w:rPr>
            </w:pPr>
            <w:r w:rsidRPr="005C18E5">
              <w:rPr>
                <w:rFonts w:ascii="Times New Roman" w:hAnsi="Times New Roman" w:hint="eastAsia"/>
                <w:spacing w:val="-20"/>
                <w:sz w:val="24"/>
                <w:szCs w:val="24"/>
              </w:rPr>
              <w:t>立即型</w:t>
            </w:r>
          </w:p>
        </w:tc>
        <w:tc>
          <w:tcPr>
            <w:tcW w:w="872"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28,756</w:t>
            </w:r>
          </w:p>
        </w:tc>
        <w:tc>
          <w:tcPr>
            <w:tcW w:w="535"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66</w:t>
            </w:r>
          </w:p>
        </w:tc>
        <w:tc>
          <w:tcPr>
            <w:tcW w:w="752"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2,051</w:t>
            </w:r>
          </w:p>
        </w:tc>
        <w:tc>
          <w:tcPr>
            <w:tcW w:w="535"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5</w:t>
            </w:r>
          </w:p>
        </w:tc>
        <w:tc>
          <w:tcPr>
            <w:tcW w:w="872"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12,657</w:t>
            </w:r>
          </w:p>
        </w:tc>
        <w:tc>
          <w:tcPr>
            <w:tcW w:w="535"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29</w:t>
            </w:r>
          </w:p>
        </w:tc>
        <w:tc>
          <w:tcPr>
            <w:tcW w:w="872"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43,464</w:t>
            </w:r>
          </w:p>
        </w:tc>
        <w:tc>
          <w:tcPr>
            <w:tcW w:w="597" w:type="dxa"/>
            <w:vAlign w:val="center"/>
          </w:tcPr>
          <w:p w:rsidR="0040606A" w:rsidRPr="005C18E5" w:rsidRDefault="0040606A" w:rsidP="004B6963">
            <w:pPr>
              <w:spacing w:line="340" w:lineRule="exact"/>
              <w:jc w:val="right"/>
              <w:rPr>
                <w:rFonts w:ascii="Times New Roman" w:eastAsia="新細明體"/>
                <w:color w:val="000000"/>
                <w:spacing w:val="-20"/>
                <w:sz w:val="24"/>
                <w:szCs w:val="24"/>
              </w:rPr>
            </w:pPr>
            <w:r w:rsidRPr="005C18E5">
              <w:rPr>
                <w:rFonts w:ascii="Times New Roman"/>
                <w:color w:val="000000"/>
                <w:spacing w:val="-20"/>
                <w:sz w:val="24"/>
                <w:szCs w:val="24"/>
              </w:rPr>
              <w:t>100</w:t>
            </w:r>
          </w:p>
        </w:tc>
      </w:tr>
    </w:tbl>
    <w:p w:rsidR="0040606A" w:rsidRDefault="0040606A" w:rsidP="0061078A">
      <w:pPr>
        <w:pStyle w:val="4"/>
        <w:numPr>
          <w:ilvl w:val="0"/>
          <w:numId w:val="0"/>
        </w:numPr>
        <w:kinsoku w:val="0"/>
        <w:spacing w:afterLines="25" w:after="114" w:line="300" w:lineRule="exact"/>
        <w:ind w:firstLineChars="753" w:firstLine="1959"/>
        <w:rPr>
          <w:rFonts w:ascii="Times New Roman" w:hAnsi="Times New Roman"/>
        </w:rPr>
      </w:pPr>
      <w:r w:rsidRPr="000356F8">
        <w:rPr>
          <w:rFonts w:ascii="Times New Roman" w:hAnsi="Times New Roman" w:hint="eastAsia"/>
          <w:sz w:val="24"/>
          <w:szCs w:val="24"/>
        </w:rPr>
        <w:t>資料來源：台彩公司</w:t>
      </w:r>
      <w:r>
        <w:rPr>
          <w:rFonts w:ascii="Times New Roman" w:hAnsi="Times New Roman" w:hint="eastAsia"/>
          <w:sz w:val="24"/>
          <w:szCs w:val="24"/>
        </w:rPr>
        <w:t>。</w:t>
      </w:r>
    </w:p>
    <w:p w:rsidR="0040606A" w:rsidRDefault="0040606A" w:rsidP="0040606A">
      <w:pPr>
        <w:pStyle w:val="4"/>
        <w:numPr>
          <w:ilvl w:val="3"/>
          <w:numId w:val="9"/>
        </w:numPr>
        <w:kinsoku w:val="0"/>
        <w:rPr>
          <w:rFonts w:ascii="Times New Roman" w:hAnsi="Times New Roman"/>
        </w:rPr>
      </w:pPr>
      <w:r>
        <w:rPr>
          <w:rFonts w:ascii="Times New Roman" w:hAnsi="Times New Roman" w:hint="eastAsia"/>
        </w:rPr>
        <w:t>增裕</w:t>
      </w:r>
      <w:r w:rsidRPr="008F35E6">
        <w:rPr>
          <w:rFonts w:ascii="Times New Roman" w:hAnsi="Times New Roman"/>
        </w:rPr>
        <w:t>社會福利</w:t>
      </w:r>
      <w:r>
        <w:rPr>
          <w:rFonts w:ascii="Times New Roman" w:hAnsi="Times New Roman" w:hint="eastAsia"/>
        </w:rPr>
        <w:t>財源方面：</w:t>
      </w:r>
    </w:p>
    <w:p w:rsidR="0040606A" w:rsidRDefault="0040606A" w:rsidP="00DC5057">
      <w:pPr>
        <w:pStyle w:val="5"/>
        <w:numPr>
          <w:ilvl w:val="4"/>
          <w:numId w:val="9"/>
        </w:numPr>
        <w:topLinePunct/>
        <w:ind w:left="2042" w:hanging="851"/>
        <w:rPr>
          <w:rFonts w:ascii="Times New Roman" w:hAnsi="Times New Roman"/>
        </w:rPr>
      </w:pPr>
      <w:r w:rsidRPr="007C3949">
        <w:rPr>
          <w:rFonts w:ascii="Times New Roman" w:hAnsi="Times New Roman"/>
        </w:rPr>
        <w:t>從財政部統計資料顯示，公益彩券</w:t>
      </w:r>
      <w:r w:rsidRPr="007C3949">
        <w:rPr>
          <w:rFonts w:ascii="Times New Roman" w:hAnsi="Times New Roman" w:hint="eastAsia"/>
        </w:rPr>
        <w:t>自</w:t>
      </w:r>
      <w:r w:rsidRPr="007C3949">
        <w:rPr>
          <w:rFonts w:ascii="Times New Roman" w:hAnsi="Times New Roman" w:hint="eastAsia"/>
        </w:rPr>
        <w:t>88</w:t>
      </w:r>
      <w:r w:rsidRPr="007C3949">
        <w:rPr>
          <w:rFonts w:ascii="Times New Roman" w:hAnsi="Times New Roman"/>
        </w:rPr>
        <w:t>年</w:t>
      </w:r>
      <w:r w:rsidRPr="007C3949">
        <w:rPr>
          <w:rFonts w:ascii="Times New Roman" w:hAnsi="Times New Roman" w:hint="eastAsia"/>
        </w:rPr>
        <w:t>12</w:t>
      </w:r>
      <w:r w:rsidRPr="007C3949">
        <w:rPr>
          <w:rFonts w:ascii="Times New Roman" w:hAnsi="Times New Roman" w:hint="eastAsia"/>
        </w:rPr>
        <w:t>月</w:t>
      </w:r>
      <w:r w:rsidRPr="007C3949">
        <w:rPr>
          <w:rFonts w:ascii="Times New Roman" w:hAnsi="Times New Roman"/>
        </w:rPr>
        <w:t>發行</w:t>
      </w:r>
      <w:r w:rsidRPr="007C3949">
        <w:rPr>
          <w:rFonts w:ascii="Times New Roman" w:hAnsi="Times New Roman" w:hint="eastAsia"/>
        </w:rPr>
        <w:t>以來</w:t>
      </w:r>
      <w:r w:rsidRPr="007C3949">
        <w:rPr>
          <w:rFonts w:ascii="Times New Roman" w:hAnsi="Times New Roman"/>
        </w:rPr>
        <w:t>至</w:t>
      </w:r>
      <w:r w:rsidRPr="007C3949">
        <w:rPr>
          <w:rFonts w:ascii="Times New Roman" w:hAnsi="Times New Roman" w:hint="eastAsia"/>
        </w:rPr>
        <w:t>105</w:t>
      </w:r>
      <w:r w:rsidRPr="007C3949">
        <w:rPr>
          <w:rFonts w:ascii="Times New Roman" w:hAnsi="Times New Roman" w:hint="eastAsia"/>
        </w:rPr>
        <w:t>年</w:t>
      </w:r>
      <w:r w:rsidRPr="007C3949">
        <w:rPr>
          <w:rFonts w:ascii="Times New Roman" w:hAnsi="Times New Roman"/>
        </w:rPr>
        <w:t>底已累積達</w:t>
      </w:r>
      <w:r w:rsidRPr="007C3949">
        <w:rPr>
          <w:rFonts w:ascii="Times New Roman" w:hAnsi="Times New Roman" w:hint="eastAsia"/>
        </w:rPr>
        <w:t>3,849</w:t>
      </w:r>
      <w:r w:rsidRPr="007C3949">
        <w:rPr>
          <w:rFonts w:ascii="Times New Roman" w:hAnsi="Times New Roman" w:hint="eastAsia"/>
        </w:rPr>
        <w:t>億</w:t>
      </w:r>
      <w:r w:rsidRPr="007C3949">
        <w:rPr>
          <w:rFonts w:ascii="Times New Roman" w:hAnsi="Times New Roman" w:hint="eastAsia"/>
        </w:rPr>
        <w:t>469</w:t>
      </w:r>
      <w:r w:rsidRPr="007C3949">
        <w:rPr>
          <w:rFonts w:ascii="Times New Roman" w:hAnsi="Times New Roman" w:hint="eastAsia"/>
        </w:rPr>
        <w:t>萬餘元</w:t>
      </w:r>
      <w:r w:rsidRPr="007C3949">
        <w:rPr>
          <w:rFonts w:ascii="Times New Roman" w:hAnsi="Times New Roman"/>
        </w:rPr>
        <w:t>盈餘</w:t>
      </w:r>
      <w:r w:rsidRPr="007C3949">
        <w:rPr>
          <w:rFonts w:ascii="Times New Roman" w:hAnsi="Times New Roman" w:hint="eastAsia"/>
        </w:rPr>
        <w:t>，</w:t>
      </w:r>
      <w:r w:rsidRPr="007C3949">
        <w:rPr>
          <w:rFonts w:ascii="Times New Roman" w:hAnsi="Times New Roman"/>
        </w:rPr>
        <w:t>其中</w:t>
      </w:r>
      <w:r w:rsidRPr="007C3949">
        <w:rPr>
          <w:rFonts w:ascii="Times New Roman" w:hAnsi="Times New Roman"/>
        </w:rPr>
        <w:t>1,</w:t>
      </w:r>
      <w:r w:rsidRPr="007C3949">
        <w:rPr>
          <w:rFonts w:ascii="Times New Roman" w:hAnsi="Times New Roman" w:hint="eastAsia"/>
        </w:rPr>
        <w:t>932</w:t>
      </w:r>
      <w:r w:rsidRPr="007C3949">
        <w:rPr>
          <w:rFonts w:ascii="Times New Roman" w:hAnsi="Times New Roman"/>
        </w:rPr>
        <w:t>億</w:t>
      </w:r>
      <w:r w:rsidRPr="007C3949">
        <w:rPr>
          <w:rFonts w:ascii="Times New Roman" w:hAnsi="Times New Roman" w:hint="eastAsia"/>
        </w:rPr>
        <w:t>9,866</w:t>
      </w:r>
      <w:r w:rsidRPr="007C3949">
        <w:rPr>
          <w:rFonts w:ascii="Times New Roman" w:hAnsi="Times New Roman" w:hint="eastAsia"/>
        </w:rPr>
        <w:t>萬餘元</w:t>
      </w:r>
      <w:r w:rsidRPr="007C3949">
        <w:rPr>
          <w:rFonts w:ascii="Times New Roman" w:hAnsi="Times New Roman"/>
        </w:rPr>
        <w:t>挹注全國</w:t>
      </w:r>
      <w:r w:rsidRPr="007C3949">
        <w:rPr>
          <w:rFonts w:ascii="Times New Roman" w:hAnsi="Times New Roman" w:hint="eastAsia"/>
        </w:rPr>
        <w:t>22</w:t>
      </w:r>
      <w:r w:rsidRPr="007C3949">
        <w:rPr>
          <w:rFonts w:ascii="Times New Roman" w:hAnsi="Times New Roman" w:hint="eastAsia"/>
        </w:rPr>
        <w:t>個</w:t>
      </w:r>
      <w:r w:rsidRPr="007C3949">
        <w:rPr>
          <w:rFonts w:ascii="Times New Roman" w:hAnsi="Times New Roman"/>
        </w:rPr>
        <w:t>地方政府辦理社會福利，用來推動兒童及少年福利、婦女福利、老人福利、身心障礙</w:t>
      </w:r>
      <w:r w:rsidR="00DC5057">
        <w:rPr>
          <w:rFonts w:ascii="Times New Roman" w:hAnsi="Times New Roman" w:hint="eastAsia"/>
        </w:rPr>
        <w:t>者</w:t>
      </w:r>
      <w:r w:rsidRPr="007C3949">
        <w:rPr>
          <w:rFonts w:ascii="Times New Roman" w:hAnsi="Times New Roman"/>
        </w:rPr>
        <w:t>福利、社會救助及其他社會福利等事項；</w:t>
      </w:r>
      <w:r w:rsidRPr="007C3949">
        <w:rPr>
          <w:rFonts w:ascii="Times New Roman" w:hAnsi="Times New Roman" w:hint="eastAsia"/>
        </w:rPr>
        <w:t>1,723</w:t>
      </w:r>
      <w:r w:rsidRPr="007C3949">
        <w:rPr>
          <w:rFonts w:ascii="Times New Roman" w:hAnsi="Times New Roman" w:hint="eastAsia"/>
        </w:rPr>
        <w:t>億</w:t>
      </w:r>
      <w:r w:rsidRPr="007C3949">
        <w:rPr>
          <w:rFonts w:ascii="Times New Roman" w:hAnsi="Times New Roman" w:hint="eastAsia"/>
        </w:rPr>
        <w:t>6</w:t>
      </w:r>
      <w:r w:rsidR="007C3949" w:rsidRPr="007C3949">
        <w:rPr>
          <w:rFonts w:ascii="Times New Roman" w:hAnsi="Times New Roman" w:hint="eastAsia"/>
        </w:rPr>
        <w:t>,</w:t>
      </w:r>
      <w:r w:rsidRPr="007C3949">
        <w:rPr>
          <w:rFonts w:ascii="Times New Roman" w:hAnsi="Times New Roman" w:hint="eastAsia"/>
        </w:rPr>
        <w:t>079</w:t>
      </w:r>
      <w:r w:rsidRPr="007C3949">
        <w:rPr>
          <w:rFonts w:ascii="Times New Roman" w:hAnsi="Times New Roman" w:hint="eastAsia"/>
        </w:rPr>
        <w:t>萬餘元</w:t>
      </w:r>
      <w:r w:rsidRPr="007C3949">
        <w:rPr>
          <w:rFonts w:ascii="Times New Roman" w:hAnsi="Times New Roman"/>
        </w:rPr>
        <w:t>投入國民年金</w:t>
      </w:r>
      <w:r w:rsidRPr="007C3949">
        <w:rPr>
          <w:rFonts w:ascii="Times New Roman" w:hAnsi="Times New Roman" w:hint="eastAsia"/>
        </w:rPr>
        <w:t>之用，作為</w:t>
      </w:r>
      <w:r w:rsidRPr="007C3949">
        <w:rPr>
          <w:rFonts w:hint="eastAsia"/>
        </w:rPr>
        <w:t>中央主管機關依法應補助保險費及應負擔款項之財源</w:t>
      </w:r>
      <w:r w:rsidRPr="007C3949">
        <w:rPr>
          <w:rStyle w:val="aff1"/>
        </w:rPr>
        <w:footnoteReference w:id="21"/>
      </w:r>
      <w:r w:rsidRPr="007C3949">
        <w:rPr>
          <w:rFonts w:hint="eastAsia"/>
        </w:rPr>
        <w:t>，確保未能於相關社會保險獲得適足保障之國民及其遺屬生活之安定</w:t>
      </w:r>
      <w:r w:rsidRPr="007C3949">
        <w:rPr>
          <w:rFonts w:ascii="Times New Roman" w:hAnsi="Times New Roman" w:hint="eastAsia"/>
        </w:rPr>
        <w:t>；</w:t>
      </w:r>
      <w:r w:rsidRPr="007C3949">
        <w:rPr>
          <w:rFonts w:ascii="Times New Roman" w:hAnsi="Times New Roman" w:hint="eastAsia"/>
        </w:rPr>
        <w:t>192</w:t>
      </w:r>
      <w:r w:rsidRPr="007C3949">
        <w:rPr>
          <w:rFonts w:ascii="Times New Roman" w:hAnsi="Times New Roman"/>
        </w:rPr>
        <w:t>億</w:t>
      </w:r>
      <w:r w:rsidRPr="007C3949">
        <w:rPr>
          <w:rFonts w:ascii="Times New Roman" w:hAnsi="Times New Roman" w:hint="eastAsia"/>
        </w:rPr>
        <w:t>4,523</w:t>
      </w:r>
      <w:r w:rsidRPr="007C3949">
        <w:rPr>
          <w:rFonts w:ascii="Times New Roman" w:hAnsi="Times New Roman" w:hint="eastAsia"/>
        </w:rPr>
        <w:t>萬餘元則</w:t>
      </w:r>
      <w:r w:rsidRPr="007C3949">
        <w:rPr>
          <w:rFonts w:ascii="Times New Roman" w:hAnsi="Times New Roman"/>
        </w:rPr>
        <w:t>用</w:t>
      </w:r>
      <w:r w:rsidRPr="007C3949">
        <w:rPr>
          <w:rFonts w:ascii="Times New Roman" w:hAnsi="Times New Roman" w:hint="eastAsia"/>
        </w:rPr>
        <w:t>以</w:t>
      </w:r>
      <w:r w:rsidRPr="007C3949">
        <w:rPr>
          <w:rFonts w:ascii="Times New Roman" w:hAnsi="Times New Roman"/>
        </w:rPr>
        <w:t>補助全民</w:t>
      </w:r>
      <w:r w:rsidRPr="007C3949">
        <w:rPr>
          <w:rFonts w:ascii="Times New Roman" w:hAnsi="Times New Roman" w:hint="eastAsia"/>
        </w:rPr>
        <w:t>健康保險準備</w:t>
      </w:r>
      <w:r w:rsidRPr="007C3949">
        <w:rPr>
          <w:rFonts w:ascii="Times New Roman" w:hAnsi="Times New Roman"/>
        </w:rPr>
        <w:t>，照顧</w:t>
      </w:r>
      <w:r w:rsidRPr="007C3949">
        <w:rPr>
          <w:rFonts w:ascii="Times New Roman" w:hAnsi="Times New Roman" w:hint="eastAsia"/>
        </w:rPr>
        <w:t>國人</w:t>
      </w:r>
      <w:r w:rsidRPr="007C3949">
        <w:rPr>
          <w:rFonts w:ascii="Times New Roman" w:hAnsi="Times New Roman"/>
        </w:rPr>
        <w:t>健康</w:t>
      </w:r>
      <w:r w:rsidR="000970AB">
        <w:rPr>
          <w:rFonts w:ascii="Times New Roman" w:hAnsi="Times New Roman" w:hint="eastAsia"/>
        </w:rPr>
        <w:t>(</w:t>
      </w:r>
      <w:r w:rsidR="000970AB">
        <w:rPr>
          <w:rFonts w:ascii="Times New Roman" w:hAnsi="Times New Roman" w:hint="eastAsia"/>
        </w:rPr>
        <w:t>詳見下圖</w:t>
      </w:r>
      <w:r w:rsidR="000970AB">
        <w:rPr>
          <w:rFonts w:ascii="Times New Roman" w:hAnsi="Times New Roman" w:hint="eastAsia"/>
        </w:rPr>
        <w:t>7)</w:t>
      </w:r>
      <w:r w:rsidRPr="007C3949">
        <w:rPr>
          <w:rFonts w:ascii="Times New Roman" w:hAnsi="Times New Roman"/>
        </w:rPr>
        <w:t>。</w:t>
      </w:r>
      <w:bookmarkStart w:id="2078" w:name="_Toc511115490"/>
    </w:p>
    <w:p w:rsidR="007C3949" w:rsidRPr="007C3949" w:rsidRDefault="007C3949" w:rsidP="001A4384">
      <w:pPr>
        <w:pStyle w:val="5"/>
        <w:numPr>
          <w:ilvl w:val="0"/>
          <w:numId w:val="0"/>
        </w:numPr>
        <w:kinsoku w:val="0"/>
        <w:ind w:leftChars="-1" w:left="-3" w:firstLineChars="425" w:firstLine="1446"/>
        <w:rPr>
          <w:rFonts w:ascii="Times New Roman" w:hAnsi="Times New Roman"/>
        </w:rPr>
      </w:pPr>
      <w:r>
        <w:rPr>
          <w:noProof/>
        </w:rPr>
        <w:drawing>
          <wp:inline distT="0" distB="0" distL="0" distR="0" wp14:anchorId="377345CE" wp14:editId="5C49B930">
            <wp:extent cx="4868333" cy="3666066"/>
            <wp:effectExtent l="0" t="0" r="27940" b="10795"/>
            <wp:docPr id="17" name="圖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C3949" w:rsidRPr="001A4384" w:rsidRDefault="001A4384" w:rsidP="000970AB">
      <w:pPr>
        <w:pStyle w:val="a1"/>
        <w:numPr>
          <w:ilvl w:val="0"/>
          <w:numId w:val="33"/>
        </w:numPr>
        <w:spacing w:before="0" w:after="0"/>
        <w:ind w:left="518" w:rightChars="-157" w:right="-534" w:firstLine="952"/>
        <w:textAlignment w:val="auto"/>
        <w:rPr>
          <w:rFonts w:ascii="Times New Roman" w:hAnsi="Times New Roman"/>
          <w:b/>
          <w:spacing w:val="-6"/>
        </w:rPr>
      </w:pPr>
      <w:r w:rsidRPr="001A4384">
        <w:rPr>
          <w:rFonts w:ascii="Times New Roman" w:hAnsi="Times New Roman"/>
          <w:b/>
          <w:spacing w:val="-6"/>
        </w:rPr>
        <w:t>公益彩券</w:t>
      </w:r>
      <w:r w:rsidRPr="001A4384">
        <w:rPr>
          <w:rFonts w:ascii="Times New Roman" w:hAnsi="Times New Roman" w:hint="eastAsia"/>
          <w:b/>
          <w:spacing w:val="-6"/>
        </w:rPr>
        <w:t>自</w:t>
      </w:r>
      <w:r w:rsidRPr="001A4384">
        <w:rPr>
          <w:rFonts w:ascii="Times New Roman" w:hAnsi="Times New Roman" w:hint="eastAsia"/>
          <w:b/>
          <w:spacing w:val="-6"/>
        </w:rPr>
        <w:t>88</w:t>
      </w:r>
      <w:r w:rsidRPr="001A4384">
        <w:rPr>
          <w:rFonts w:ascii="Times New Roman" w:hAnsi="Times New Roman"/>
          <w:b/>
          <w:spacing w:val="-6"/>
        </w:rPr>
        <w:t>年</w:t>
      </w:r>
      <w:r w:rsidRPr="001A4384">
        <w:rPr>
          <w:rFonts w:ascii="Times New Roman" w:hAnsi="Times New Roman" w:hint="eastAsia"/>
          <w:b/>
          <w:spacing w:val="-6"/>
        </w:rPr>
        <w:t>12</w:t>
      </w:r>
      <w:r w:rsidRPr="001A4384">
        <w:rPr>
          <w:rFonts w:ascii="Times New Roman" w:hAnsi="Times New Roman" w:hint="eastAsia"/>
          <w:b/>
          <w:spacing w:val="-6"/>
        </w:rPr>
        <w:t>月</w:t>
      </w:r>
      <w:r w:rsidRPr="001A4384">
        <w:rPr>
          <w:rFonts w:ascii="Times New Roman" w:hAnsi="Times New Roman"/>
          <w:b/>
          <w:spacing w:val="-6"/>
        </w:rPr>
        <w:t>發行至</w:t>
      </w:r>
      <w:r w:rsidRPr="001A4384">
        <w:rPr>
          <w:rFonts w:ascii="Times New Roman" w:hAnsi="Times New Roman" w:hint="eastAsia"/>
          <w:b/>
          <w:spacing w:val="-6"/>
        </w:rPr>
        <w:t>105</w:t>
      </w:r>
      <w:r w:rsidRPr="001A4384">
        <w:rPr>
          <w:rFonts w:ascii="Times New Roman" w:hAnsi="Times New Roman" w:hint="eastAsia"/>
          <w:b/>
          <w:spacing w:val="-6"/>
        </w:rPr>
        <w:t>年</w:t>
      </w:r>
      <w:r w:rsidRPr="001A4384">
        <w:rPr>
          <w:rFonts w:ascii="Times New Roman" w:hAnsi="Times New Roman"/>
          <w:b/>
          <w:spacing w:val="-6"/>
        </w:rPr>
        <w:t>底</w:t>
      </w:r>
      <w:r w:rsidRPr="001A4384">
        <w:rPr>
          <w:rFonts w:ascii="Times New Roman" w:hAnsi="Times New Roman" w:hint="eastAsia"/>
          <w:b/>
          <w:spacing w:val="-6"/>
        </w:rPr>
        <w:t>盈餘分配累積數</w:t>
      </w:r>
    </w:p>
    <w:p w:rsidR="007C3949" w:rsidRPr="001A4384" w:rsidRDefault="001A4384" w:rsidP="000970AB">
      <w:pPr>
        <w:pStyle w:val="5"/>
        <w:numPr>
          <w:ilvl w:val="0"/>
          <w:numId w:val="0"/>
        </w:numPr>
        <w:kinsoku w:val="0"/>
        <w:spacing w:afterLines="25" w:after="114" w:line="320" w:lineRule="exact"/>
        <w:ind w:leftChars="411" w:left="2673" w:rightChars="-87" w:right="-296" w:hangingChars="490" w:hanging="1275"/>
        <w:rPr>
          <w:rFonts w:ascii="Times New Roman" w:hAnsi="Times New Roman"/>
          <w:sz w:val="24"/>
          <w:szCs w:val="24"/>
        </w:rPr>
      </w:pPr>
      <w:r w:rsidRPr="001A4384">
        <w:rPr>
          <w:rFonts w:ascii="Times New Roman" w:hAnsi="Times New Roman" w:hint="eastAsia"/>
          <w:sz w:val="24"/>
          <w:szCs w:val="24"/>
        </w:rPr>
        <w:t>資料來源：</w:t>
      </w:r>
      <w:r>
        <w:rPr>
          <w:rFonts w:ascii="Times New Roman" w:hAnsi="Times New Roman" w:hint="eastAsia"/>
          <w:sz w:val="24"/>
          <w:szCs w:val="24"/>
        </w:rPr>
        <w:t>本院</w:t>
      </w:r>
      <w:r w:rsidRPr="00210D7A">
        <w:rPr>
          <w:rFonts w:ascii="Times New Roman" w:hAnsi="Times New Roman" w:hint="eastAsia"/>
          <w:sz w:val="24"/>
          <w:szCs w:val="24"/>
        </w:rPr>
        <w:t>整理</w:t>
      </w:r>
      <w:r>
        <w:rPr>
          <w:rFonts w:ascii="Times New Roman" w:hAnsi="Times New Roman" w:hint="eastAsia"/>
          <w:sz w:val="24"/>
          <w:szCs w:val="24"/>
        </w:rPr>
        <w:t>自財政部</w:t>
      </w:r>
      <w:r w:rsidRPr="004C525D">
        <w:rPr>
          <w:rFonts w:ascii="Times New Roman" w:hint="eastAsia"/>
          <w:spacing w:val="-12"/>
          <w:sz w:val="24"/>
          <w:szCs w:val="24"/>
        </w:rPr>
        <w:t>104</w:t>
      </w:r>
      <w:r w:rsidRPr="004C525D">
        <w:rPr>
          <w:rFonts w:ascii="Times New Roman" w:hint="eastAsia"/>
          <w:spacing w:val="-12"/>
          <w:sz w:val="24"/>
          <w:szCs w:val="24"/>
        </w:rPr>
        <w:t>年</w:t>
      </w:r>
      <w:r w:rsidRPr="004C525D">
        <w:rPr>
          <w:rFonts w:ascii="Times New Roman" w:hint="eastAsia"/>
          <w:spacing w:val="-12"/>
          <w:sz w:val="24"/>
          <w:szCs w:val="24"/>
        </w:rPr>
        <w:t>9</w:t>
      </w:r>
      <w:r w:rsidRPr="004C525D">
        <w:rPr>
          <w:rFonts w:ascii="Times New Roman" w:hint="eastAsia"/>
          <w:spacing w:val="-12"/>
          <w:sz w:val="24"/>
          <w:szCs w:val="24"/>
        </w:rPr>
        <w:t>月</w:t>
      </w:r>
      <w:r w:rsidRPr="004C525D">
        <w:rPr>
          <w:rFonts w:ascii="Times New Roman" w:hint="eastAsia"/>
          <w:spacing w:val="-12"/>
          <w:sz w:val="24"/>
          <w:szCs w:val="24"/>
        </w:rPr>
        <w:t>25</w:t>
      </w:r>
      <w:r w:rsidRPr="004C525D">
        <w:rPr>
          <w:rFonts w:ascii="Times New Roman" w:hint="eastAsia"/>
          <w:spacing w:val="-12"/>
          <w:sz w:val="24"/>
          <w:szCs w:val="24"/>
        </w:rPr>
        <w:t>日台財庫字第</w:t>
      </w:r>
      <w:r w:rsidRPr="004C525D">
        <w:rPr>
          <w:rFonts w:ascii="Times New Roman" w:hint="eastAsia"/>
          <w:spacing w:val="-12"/>
          <w:sz w:val="24"/>
          <w:szCs w:val="24"/>
        </w:rPr>
        <w:t>10403748320</w:t>
      </w:r>
      <w:r w:rsidRPr="004C525D">
        <w:rPr>
          <w:rFonts w:ascii="Times New Roman" w:hint="eastAsia"/>
          <w:spacing w:val="-12"/>
          <w:sz w:val="24"/>
          <w:szCs w:val="24"/>
        </w:rPr>
        <w:t>號函</w:t>
      </w:r>
      <w:r>
        <w:rPr>
          <w:rFonts w:ascii="Times New Roman" w:hint="eastAsia"/>
          <w:spacing w:val="-12"/>
          <w:sz w:val="24"/>
          <w:szCs w:val="24"/>
        </w:rPr>
        <w:t>復</w:t>
      </w:r>
      <w:r w:rsidRPr="004C525D">
        <w:rPr>
          <w:rFonts w:ascii="Times New Roman" w:hint="eastAsia"/>
          <w:spacing w:val="-12"/>
          <w:sz w:val="24"/>
          <w:szCs w:val="24"/>
        </w:rPr>
        <w:t>及</w:t>
      </w:r>
      <w:r>
        <w:rPr>
          <w:rFonts w:ascii="Times New Roman" w:hint="eastAsia"/>
          <w:spacing w:val="-12"/>
          <w:sz w:val="24"/>
          <w:szCs w:val="24"/>
        </w:rPr>
        <w:t>該</w:t>
      </w:r>
      <w:r w:rsidRPr="004C525D">
        <w:rPr>
          <w:rFonts w:ascii="Times New Roman" w:hint="eastAsia"/>
          <w:spacing w:val="-12"/>
          <w:sz w:val="24"/>
          <w:szCs w:val="24"/>
        </w:rPr>
        <w:t>部國庫署網站</w:t>
      </w:r>
      <w:r>
        <w:rPr>
          <w:rFonts w:ascii="Times New Roman" w:hint="eastAsia"/>
          <w:spacing w:val="-12"/>
          <w:sz w:val="24"/>
          <w:szCs w:val="24"/>
        </w:rPr>
        <w:t>公布之資料。</w:t>
      </w:r>
    </w:p>
    <w:p w:rsidR="0040606A" w:rsidRPr="008F35E6" w:rsidRDefault="0040606A" w:rsidP="0040606A">
      <w:pPr>
        <w:pStyle w:val="5"/>
        <w:numPr>
          <w:ilvl w:val="4"/>
          <w:numId w:val="9"/>
        </w:numPr>
        <w:kinsoku w:val="0"/>
        <w:ind w:left="2042" w:hanging="851"/>
        <w:rPr>
          <w:rFonts w:ascii="Times New Roman" w:hAnsi="Times New Roman"/>
        </w:rPr>
      </w:pPr>
      <w:r w:rsidRPr="008F35E6">
        <w:rPr>
          <w:rFonts w:ascii="Times New Roman" w:hAnsi="Times New Roman" w:hint="eastAsia"/>
        </w:rPr>
        <w:t>又，</w:t>
      </w:r>
      <w:r w:rsidRPr="008F35E6">
        <w:rPr>
          <w:rFonts w:ascii="Times New Roman"/>
        </w:rPr>
        <w:t>22</w:t>
      </w:r>
      <w:r w:rsidRPr="008F35E6">
        <w:rPr>
          <w:rFonts w:ascii="Times New Roman" w:hint="eastAsia"/>
        </w:rPr>
        <w:t>個地方政府社會福利支出決算數</w:t>
      </w:r>
      <w:r w:rsidRPr="008F35E6">
        <w:rPr>
          <w:rFonts w:ascii="Times New Roman"/>
        </w:rPr>
        <w:t>(</w:t>
      </w:r>
      <w:r w:rsidRPr="008F35E6">
        <w:rPr>
          <w:rFonts w:ascii="Times New Roman" w:hint="eastAsia"/>
        </w:rPr>
        <w:t>含公益彩券盈餘分配款</w:t>
      </w:r>
      <w:r w:rsidRPr="008F35E6">
        <w:rPr>
          <w:rFonts w:ascii="Times New Roman"/>
        </w:rPr>
        <w:t>)</w:t>
      </w:r>
      <w:r w:rsidRPr="008F35E6">
        <w:rPr>
          <w:rFonts w:ascii="Times New Roman" w:hint="eastAsia"/>
        </w:rPr>
        <w:t>總計，從</w:t>
      </w:r>
      <w:r w:rsidRPr="008F35E6">
        <w:rPr>
          <w:rFonts w:ascii="Times New Roman"/>
        </w:rPr>
        <w:t>100</w:t>
      </w:r>
      <w:r w:rsidRPr="008F35E6">
        <w:rPr>
          <w:rFonts w:ascii="Times New Roman" w:hint="eastAsia"/>
        </w:rPr>
        <w:t>年之</w:t>
      </w:r>
      <w:r w:rsidRPr="008F35E6">
        <w:rPr>
          <w:rFonts w:ascii="Times New Roman"/>
        </w:rPr>
        <w:t>1,857</w:t>
      </w:r>
      <w:r w:rsidRPr="008F35E6">
        <w:rPr>
          <w:rFonts w:ascii="Times New Roman" w:hint="eastAsia"/>
        </w:rPr>
        <w:t>億</w:t>
      </w:r>
      <w:r w:rsidRPr="008F35E6">
        <w:rPr>
          <w:rFonts w:ascii="Times New Roman"/>
        </w:rPr>
        <w:t>6</w:t>
      </w:r>
      <w:r w:rsidRPr="008F35E6">
        <w:rPr>
          <w:rFonts w:ascii="Times New Roman" w:hint="eastAsia"/>
        </w:rPr>
        <w:t>千萬餘元，逐年減少至</w:t>
      </w:r>
      <w:r w:rsidRPr="008F35E6">
        <w:rPr>
          <w:rFonts w:ascii="Times New Roman"/>
        </w:rPr>
        <w:t>105</w:t>
      </w:r>
      <w:r w:rsidRPr="008F35E6">
        <w:rPr>
          <w:rFonts w:ascii="Times New Roman" w:hint="eastAsia"/>
        </w:rPr>
        <w:t>年之</w:t>
      </w:r>
      <w:r w:rsidRPr="008F35E6">
        <w:rPr>
          <w:rFonts w:ascii="Times New Roman"/>
        </w:rPr>
        <w:t>1,558</w:t>
      </w:r>
      <w:r w:rsidRPr="008F35E6">
        <w:rPr>
          <w:rFonts w:ascii="Times New Roman" w:hint="eastAsia"/>
        </w:rPr>
        <w:t>億</w:t>
      </w:r>
      <w:r w:rsidRPr="008F35E6">
        <w:rPr>
          <w:rFonts w:ascii="Times New Roman"/>
        </w:rPr>
        <w:t>5</w:t>
      </w:r>
      <w:r w:rsidRPr="008F35E6">
        <w:rPr>
          <w:rFonts w:ascii="Times New Roman" w:hint="eastAsia"/>
        </w:rPr>
        <w:t>百萬餘元；</w:t>
      </w:r>
      <w:r w:rsidR="00DC5057">
        <w:rPr>
          <w:rFonts w:ascii="Times New Roman" w:hint="eastAsia"/>
        </w:rPr>
        <w:t>惟</w:t>
      </w:r>
      <w:r w:rsidRPr="008F35E6">
        <w:rPr>
          <w:rFonts w:ascii="Times New Roman" w:hAnsi="Times New Roman" w:hint="eastAsia"/>
        </w:rPr>
        <w:t>其中</w:t>
      </w:r>
      <w:r w:rsidR="00DC5057">
        <w:rPr>
          <w:rFonts w:ascii="Times New Roman" w:hAnsi="Times New Roman" w:hint="eastAsia"/>
        </w:rPr>
        <w:t>係</w:t>
      </w:r>
      <w:r w:rsidRPr="008F35E6">
        <w:rPr>
          <w:rFonts w:ascii="Times New Roman" w:hAnsi="Times New Roman" w:hint="eastAsia"/>
        </w:rPr>
        <w:t>運用</w:t>
      </w:r>
      <w:r w:rsidRPr="008F35E6">
        <w:rPr>
          <w:rFonts w:ascii="Times New Roman" w:hint="eastAsia"/>
        </w:rPr>
        <w:t>公益彩券盈餘分配款</w:t>
      </w:r>
      <w:r>
        <w:rPr>
          <w:rFonts w:ascii="Times New Roman" w:hint="eastAsia"/>
        </w:rPr>
        <w:t>之占比</w:t>
      </w:r>
      <w:r w:rsidR="00DC5057">
        <w:rPr>
          <w:rFonts w:ascii="Times New Roman" w:hint="eastAsia"/>
        </w:rPr>
        <w:t>則</w:t>
      </w:r>
      <w:r>
        <w:rPr>
          <w:rFonts w:ascii="Times New Roman" w:hint="eastAsia"/>
        </w:rPr>
        <w:t>逐年增加，</w:t>
      </w:r>
      <w:r w:rsidRPr="008F35E6">
        <w:rPr>
          <w:rFonts w:ascii="Times New Roman" w:hAnsi="Times New Roman" w:hint="eastAsia"/>
        </w:rPr>
        <w:t>從</w:t>
      </w:r>
      <w:r w:rsidRPr="008F35E6">
        <w:rPr>
          <w:rFonts w:ascii="Times New Roman" w:hAnsi="Times New Roman"/>
        </w:rPr>
        <w:t>100</w:t>
      </w:r>
      <w:r w:rsidRPr="008F35E6">
        <w:rPr>
          <w:rFonts w:ascii="Times New Roman" w:hAnsi="Times New Roman" w:hint="eastAsia"/>
        </w:rPr>
        <w:t>年之</w:t>
      </w:r>
      <w:r w:rsidRPr="008F35E6">
        <w:rPr>
          <w:rFonts w:ascii="Times New Roman" w:hAnsi="Times New Roman"/>
        </w:rPr>
        <w:t>4.88</w:t>
      </w:r>
      <w:r w:rsidRPr="008F35E6">
        <w:rPr>
          <w:rFonts w:ascii="Times New Roman" w:hAnsi="Times New Roman" w:hint="eastAsia"/>
        </w:rPr>
        <w:t>％，逐年增加至</w:t>
      </w:r>
      <w:r w:rsidRPr="008F35E6">
        <w:rPr>
          <w:rFonts w:ascii="Times New Roman" w:hAnsi="Times New Roman"/>
        </w:rPr>
        <w:t>105</w:t>
      </w:r>
      <w:r w:rsidRPr="008F35E6">
        <w:rPr>
          <w:rFonts w:ascii="Times New Roman" w:hAnsi="Times New Roman" w:hint="eastAsia"/>
        </w:rPr>
        <w:t>年之</w:t>
      </w:r>
      <w:r w:rsidRPr="008F35E6">
        <w:rPr>
          <w:rFonts w:ascii="Times New Roman" w:hAnsi="Times New Roman"/>
        </w:rPr>
        <w:t>10.84</w:t>
      </w:r>
      <w:r w:rsidRPr="008F35E6">
        <w:rPr>
          <w:rFonts w:ascii="Times New Roman" w:hAnsi="Times New Roman" w:hint="eastAsia"/>
        </w:rPr>
        <w:t>％。</w:t>
      </w:r>
      <w:r>
        <w:rPr>
          <w:rFonts w:ascii="Times New Roman" w:hAnsi="Times New Roman" w:hint="eastAsia"/>
        </w:rPr>
        <w:t>顯見</w:t>
      </w:r>
      <w:r w:rsidRPr="008F35E6">
        <w:rPr>
          <w:rFonts w:ascii="Times New Roman" w:hAnsi="Times New Roman" w:hint="eastAsia"/>
        </w:rPr>
        <w:t>公益彩券盈餘分配款</w:t>
      </w:r>
      <w:r>
        <w:rPr>
          <w:rFonts w:ascii="Times New Roman" w:hAnsi="Times New Roman" w:hint="eastAsia"/>
        </w:rPr>
        <w:t>增裕</w:t>
      </w:r>
      <w:r w:rsidRPr="008F35E6">
        <w:rPr>
          <w:rFonts w:ascii="Times New Roman" w:hAnsi="Times New Roman" w:hint="eastAsia"/>
        </w:rPr>
        <w:t>地方</w:t>
      </w:r>
      <w:r>
        <w:rPr>
          <w:rFonts w:ascii="Times New Roman" w:hAnsi="Times New Roman" w:hint="eastAsia"/>
        </w:rPr>
        <w:t>政府</w:t>
      </w:r>
      <w:r w:rsidRPr="008F35E6">
        <w:rPr>
          <w:rFonts w:ascii="Times New Roman" w:hAnsi="Times New Roman" w:hint="eastAsia"/>
        </w:rPr>
        <w:t>社會福利財源之角色，漸趨重要。</w:t>
      </w:r>
      <w:bookmarkEnd w:id="2078"/>
    </w:p>
    <w:p w:rsidR="0040606A" w:rsidRPr="00531D6A" w:rsidRDefault="0040606A" w:rsidP="0040606A">
      <w:pPr>
        <w:pStyle w:val="3"/>
        <w:numPr>
          <w:ilvl w:val="2"/>
          <w:numId w:val="9"/>
        </w:numPr>
        <w:kinsoku w:val="0"/>
        <w:ind w:left="1360" w:hanging="680"/>
        <w:rPr>
          <w:rFonts w:ascii="Times New Roman"/>
          <w:bCs w:val="0"/>
          <w:spacing w:val="-4"/>
        </w:rPr>
      </w:pPr>
      <w:bookmarkStart w:id="2079" w:name="_Toc511308281"/>
      <w:bookmarkStart w:id="2080" w:name="_Toc511998725"/>
      <w:bookmarkStart w:id="2081" w:name="_Toc512421082"/>
      <w:bookmarkStart w:id="2082" w:name="_Toc511115493"/>
      <w:r w:rsidRPr="006F0DC2">
        <w:rPr>
          <w:rFonts w:ascii="Times New Roman" w:hAnsi="Times New Roman"/>
        </w:rPr>
        <w:t>由於公益彩券係經由民眾</w:t>
      </w:r>
      <w:r w:rsidR="000970AB">
        <w:rPr>
          <w:rFonts w:ascii="Times New Roman" w:hAnsi="Times New Roman" w:hint="eastAsia"/>
        </w:rPr>
        <w:t>的愛心</w:t>
      </w:r>
      <w:r w:rsidRPr="006F0DC2">
        <w:rPr>
          <w:rFonts w:ascii="Times New Roman" w:hAnsi="Times New Roman"/>
        </w:rPr>
        <w:t>，</w:t>
      </w:r>
      <w:r w:rsidR="000970AB">
        <w:rPr>
          <w:rFonts w:ascii="Times New Roman" w:hAnsi="Times New Roman" w:hint="eastAsia"/>
        </w:rPr>
        <w:t>作為拓展</w:t>
      </w:r>
      <w:r w:rsidRPr="006F0DC2">
        <w:rPr>
          <w:rFonts w:ascii="Times New Roman" w:hAnsi="Times New Roman"/>
        </w:rPr>
        <w:t>政府社會福利經費的開源方式之一</w:t>
      </w:r>
      <w:r w:rsidR="000970AB">
        <w:rPr>
          <w:rFonts w:ascii="Times New Roman" w:hAnsi="Times New Roman" w:hint="eastAsia"/>
        </w:rPr>
        <w:t>；</w:t>
      </w:r>
      <w:r w:rsidRPr="006F0DC2">
        <w:rPr>
          <w:rFonts w:ascii="Times New Roman" w:hAnsi="Times New Roman"/>
        </w:rPr>
        <w:t>加以地方政府獲配之公益彩券盈餘專供於社會福利</w:t>
      </w:r>
      <w:r w:rsidR="000970AB">
        <w:rPr>
          <w:rFonts w:ascii="Times New Roman" w:hAnsi="Times New Roman" w:hint="eastAsia"/>
        </w:rPr>
        <w:t>支出</w:t>
      </w:r>
      <w:r w:rsidRPr="006F0DC2">
        <w:rPr>
          <w:rFonts w:ascii="Times New Roman" w:hAnsi="Times New Roman"/>
        </w:rPr>
        <w:t>之用，</w:t>
      </w:r>
      <w:r w:rsidRPr="006F0DC2">
        <w:rPr>
          <w:rFonts w:ascii="Times New Roman" w:hAnsi="Times New Roman" w:hint="eastAsia"/>
        </w:rPr>
        <w:t>已</w:t>
      </w:r>
      <w:r w:rsidRPr="006F0DC2">
        <w:rPr>
          <w:rFonts w:ascii="Times New Roman" w:hAnsi="Times New Roman"/>
        </w:rPr>
        <w:t>對地方社會福利經費之充實，漸趨重要，尤其近年來地方財政困窘，該項財源</w:t>
      </w:r>
      <w:r w:rsidRPr="006F0DC2">
        <w:rPr>
          <w:rFonts w:ascii="Times New Roman" w:hAnsi="Times New Roman" w:hint="eastAsia"/>
        </w:rPr>
        <w:t>更顯重要</w:t>
      </w:r>
      <w:r w:rsidRPr="006F0DC2">
        <w:rPr>
          <w:rFonts w:ascii="Times New Roman" w:hAnsi="Times New Roman"/>
        </w:rPr>
        <w:t>，因此，</w:t>
      </w:r>
      <w:r w:rsidRPr="006F0DC2">
        <w:rPr>
          <w:rFonts w:ascii="Times New Roman" w:hAnsi="Times New Roman" w:hint="eastAsia"/>
        </w:rPr>
        <w:t>盈餘分配是否適切，以符應公益性及社會福利需求？</w:t>
      </w:r>
      <w:r w:rsidRPr="006F0DC2">
        <w:rPr>
          <w:rFonts w:ascii="Times New Roman" w:hAnsi="Times New Roman"/>
        </w:rPr>
        <w:t>地方政府</w:t>
      </w:r>
      <w:r w:rsidRPr="006F0DC2">
        <w:rPr>
          <w:rFonts w:ascii="Times New Roman" w:hAnsi="Times New Roman" w:hint="eastAsia"/>
        </w:rPr>
        <w:t>能否</w:t>
      </w:r>
      <w:r w:rsidRPr="006F0DC2">
        <w:rPr>
          <w:rFonts w:ascii="Times New Roman" w:hAnsi="Times New Roman"/>
        </w:rPr>
        <w:t>妥善運用獲配之公益彩券盈餘</w:t>
      </w:r>
      <w:r w:rsidRPr="006F0DC2">
        <w:rPr>
          <w:rFonts w:ascii="Times New Roman" w:hAnsi="Times New Roman" w:hint="eastAsia"/>
        </w:rPr>
        <w:t>？</w:t>
      </w:r>
      <w:r w:rsidRPr="006F0DC2">
        <w:rPr>
          <w:rFonts w:ascii="Times New Roman" w:hAnsi="Times New Roman"/>
        </w:rPr>
        <w:t>實際運用是否</w:t>
      </w:r>
      <w:r w:rsidRPr="006F0DC2">
        <w:rPr>
          <w:rFonts w:ascii="Times New Roman" w:hAnsi="Times New Roman" w:hint="eastAsia"/>
        </w:rPr>
        <w:t>偏重</w:t>
      </w:r>
      <w:r w:rsidRPr="006F0DC2">
        <w:rPr>
          <w:rFonts w:ascii="Times New Roman" w:hAnsi="Times New Roman"/>
        </w:rPr>
        <w:t>於消耗性及現金給付等支出</w:t>
      </w:r>
      <w:r w:rsidRPr="006F0DC2">
        <w:rPr>
          <w:rFonts w:ascii="Times New Roman" w:hAnsi="Times New Roman" w:hint="eastAsia"/>
        </w:rPr>
        <w:t>及</w:t>
      </w:r>
      <w:r w:rsidRPr="006F0DC2">
        <w:rPr>
          <w:rFonts w:ascii="Times New Roman" w:hAnsi="Times New Roman"/>
        </w:rPr>
        <w:t>淪為公務預算</w:t>
      </w:r>
      <w:r w:rsidRPr="006F0DC2">
        <w:rPr>
          <w:rFonts w:ascii="Times New Roman" w:hAnsi="Times New Roman" w:hint="eastAsia"/>
        </w:rPr>
        <w:t>的</w:t>
      </w:r>
      <w:r w:rsidRPr="006F0DC2">
        <w:rPr>
          <w:rFonts w:ascii="Times New Roman" w:hAnsi="Times New Roman"/>
        </w:rPr>
        <w:t>替代財源？有無落實各項社會福利服務措施？運用方式能否提升</w:t>
      </w:r>
      <w:r w:rsidRPr="006F0DC2">
        <w:rPr>
          <w:rFonts w:ascii="Times New Roman" w:hAnsi="Times New Roman" w:hint="eastAsia"/>
        </w:rPr>
        <w:t>社會福利</w:t>
      </w:r>
      <w:r w:rsidRPr="006F0DC2">
        <w:rPr>
          <w:rFonts w:ascii="Times New Roman" w:hAnsi="Times New Roman"/>
        </w:rPr>
        <w:t>效益？</w:t>
      </w:r>
      <w:r w:rsidRPr="006F0DC2">
        <w:rPr>
          <w:rFonts w:ascii="Times New Roman" w:hAnsi="Times New Roman" w:hint="eastAsia"/>
        </w:rPr>
        <w:t>公益彩券盈餘對於地方社會福利所產生之具體績效？</w:t>
      </w:r>
      <w:r w:rsidRPr="006F0DC2">
        <w:rPr>
          <w:rFonts w:ascii="Times New Roman" w:hAnsi="Times New Roman"/>
        </w:rPr>
        <w:t>等議題，</w:t>
      </w:r>
      <w:r w:rsidRPr="006F0DC2">
        <w:rPr>
          <w:rFonts w:ascii="Times New Roman" w:hint="eastAsia"/>
          <w:bCs w:val="0"/>
        </w:rPr>
        <w:t>攸關</w:t>
      </w:r>
      <w:r w:rsidRPr="006F0DC2">
        <w:rPr>
          <w:rFonts w:ascii="Times New Roman"/>
          <w:bCs w:val="0"/>
        </w:rPr>
        <w:t>公益彩券</w:t>
      </w:r>
      <w:r w:rsidRPr="006F0DC2">
        <w:rPr>
          <w:rFonts w:ascii="Times New Roman" w:hint="eastAsia"/>
          <w:bCs w:val="0"/>
        </w:rPr>
        <w:t>是否達成協助</w:t>
      </w:r>
      <w:r w:rsidRPr="006F0DC2">
        <w:rPr>
          <w:rFonts w:ascii="Times New Roman"/>
          <w:bCs w:val="0"/>
        </w:rPr>
        <w:t>社會弱勢</w:t>
      </w:r>
      <w:r w:rsidRPr="006F0DC2">
        <w:rPr>
          <w:rFonts w:ascii="Times New Roman" w:hint="eastAsia"/>
          <w:bCs w:val="0"/>
        </w:rPr>
        <w:t>、增進</w:t>
      </w:r>
      <w:r w:rsidRPr="006F0DC2">
        <w:rPr>
          <w:rFonts w:ascii="Times New Roman"/>
          <w:bCs w:val="0"/>
        </w:rPr>
        <w:t>社會福利的</w:t>
      </w:r>
      <w:r w:rsidRPr="006F0DC2">
        <w:rPr>
          <w:rFonts w:ascii="Times New Roman" w:hint="eastAsia"/>
          <w:bCs w:val="0"/>
        </w:rPr>
        <w:t>發行目的。</w:t>
      </w:r>
      <w:r w:rsidRPr="00531D6A">
        <w:rPr>
          <w:rFonts w:ascii="Times New Roman" w:hint="eastAsia"/>
          <w:bCs w:val="0"/>
          <w:spacing w:val="-4"/>
        </w:rPr>
        <w:t>惟查：</w:t>
      </w:r>
      <w:bookmarkEnd w:id="2079"/>
      <w:bookmarkEnd w:id="2080"/>
      <w:bookmarkEnd w:id="2081"/>
    </w:p>
    <w:p w:rsidR="0040606A" w:rsidRPr="008231E7" w:rsidRDefault="0040606A" w:rsidP="0040606A">
      <w:pPr>
        <w:pStyle w:val="4"/>
        <w:numPr>
          <w:ilvl w:val="3"/>
          <w:numId w:val="9"/>
        </w:numPr>
        <w:kinsoku w:val="0"/>
        <w:rPr>
          <w:rFonts w:ascii="Times New Roman" w:hAnsi="Times New Roman"/>
          <w:spacing w:val="-2"/>
        </w:rPr>
      </w:pPr>
      <w:r w:rsidRPr="008231E7">
        <w:rPr>
          <w:rFonts w:ascii="Times New Roman" w:hAnsi="Times New Roman" w:hint="eastAsia"/>
          <w:spacing w:val="-2"/>
        </w:rPr>
        <w:t>截至</w:t>
      </w:r>
      <w:r w:rsidRPr="008231E7">
        <w:rPr>
          <w:rFonts w:ascii="Times New Roman" w:hAnsi="Times New Roman" w:hint="eastAsia"/>
          <w:spacing w:val="-2"/>
        </w:rPr>
        <w:t>105</w:t>
      </w:r>
      <w:r w:rsidRPr="008231E7">
        <w:rPr>
          <w:rFonts w:ascii="Times New Roman" w:hAnsi="Times New Roman" w:hint="eastAsia"/>
          <w:spacing w:val="-2"/>
        </w:rPr>
        <w:t>年</w:t>
      </w:r>
      <w:r w:rsidRPr="008231E7">
        <w:rPr>
          <w:rFonts w:ascii="Times New Roman" w:hAnsi="Times New Roman"/>
          <w:spacing w:val="-2"/>
        </w:rPr>
        <w:t>底</w:t>
      </w:r>
      <w:r w:rsidRPr="008231E7">
        <w:rPr>
          <w:rFonts w:ascii="Times New Roman" w:hAnsi="Times New Roman" w:hint="eastAsia"/>
          <w:spacing w:val="-2"/>
        </w:rPr>
        <w:t>，</w:t>
      </w:r>
      <w:r w:rsidRPr="008231E7">
        <w:rPr>
          <w:rFonts w:ascii="Times New Roman" w:hAnsi="Times New Roman"/>
          <w:spacing w:val="-2"/>
        </w:rPr>
        <w:t>公益彩券</w:t>
      </w:r>
      <w:r w:rsidRPr="008231E7">
        <w:rPr>
          <w:rFonts w:ascii="Times New Roman" w:hAnsi="Times New Roman" w:hint="eastAsia"/>
          <w:spacing w:val="-2"/>
        </w:rPr>
        <w:t>盈餘專供</w:t>
      </w:r>
      <w:r w:rsidRPr="008231E7">
        <w:rPr>
          <w:rFonts w:ascii="Times New Roman" w:hAnsi="Times New Roman" w:hint="eastAsia"/>
          <w:spacing w:val="-2"/>
        </w:rPr>
        <w:t>22</w:t>
      </w:r>
      <w:r w:rsidRPr="008231E7">
        <w:rPr>
          <w:rFonts w:ascii="Times New Roman" w:hAnsi="Times New Roman" w:hint="eastAsia"/>
          <w:spacing w:val="-2"/>
        </w:rPr>
        <w:t>個</w:t>
      </w:r>
      <w:r w:rsidRPr="008231E7">
        <w:rPr>
          <w:rFonts w:ascii="Times New Roman" w:hAnsi="Times New Roman"/>
          <w:spacing w:val="-2"/>
        </w:rPr>
        <w:t>地方政府</w:t>
      </w:r>
      <w:r w:rsidRPr="008231E7">
        <w:rPr>
          <w:rFonts w:ascii="Times New Roman" w:hAnsi="Times New Roman" w:hint="eastAsia"/>
          <w:spacing w:val="-2"/>
        </w:rPr>
        <w:t>辦理社會福利支出之用</w:t>
      </w:r>
      <w:r w:rsidRPr="008231E7">
        <w:rPr>
          <w:rFonts w:ascii="Times New Roman" w:hAnsi="Times New Roman"/>
          <w:spacing w:val="-2"/>
        </w:rPr>
        <w:t>累積</w:t>
      </w:r>
      <w:r w:rsidRPr="008231E7">
        <w:rPr>
          <w:rFonts w:ascii="Times New Roman" w:hAnsi="Times New Roman" w:hint="eastAsia"/>
          <w:spacing w:val="-2"/>
        </w:rPr>
        <w:t>高</w:t>
      </w:r>
      <w:r w:rsidRPr="008231E7">
        <w:rPr>
          <w:rFonts w:ascii="Times New Roman" w:hAnsi="Times New Roman"/>
          <w:spacing w:val="-2"/>
        </w:rPr>
        <w:t>達</w:t>
      </w:r>
      <w:r w:rsidRPr="008231E7">
        <w:rPr>
          <w:rFonts w:ascii="Times New Roman" w:hAnsi="Times New Roman" w:hint="eastAsia"/>
          <w:spacing w:val="-2"/>
        </w:rPr>
        <w:t>1</w:t>
      </w:r>
      <w:r w:rsidRPr="008231E7">
        <w:rPr>
          <w:rFonts w:ascii="Times New Roman" w:hAnsi="Times New Roman"/>
          <w:spacing w:val="-2"/>
        </w:rPr>
        <w:t>,</w:t>
      </w:r>
      <w:r w:rsidRPr="008231E7">
        <w:rPr>
          <w:rFonts w:ascii="Times New Roman" w:hAnsi="Times New Roman" w:hint="eastAsia"/>
          <w:spacing w:val="-2"/>
        </w:rPr>
        <w:t>932</w:t>
      </w:r>
      <w:r w:rsidRPr="008231E7">
        <w:rPr>
          <w:rFonts w:ascii="Times New Roman" w:hAnsi="Times New Roman"/>
          <w:spacing w:val="-2"/>
        </w:rPr>
        <w:t>億</w:t>
      </w:r>
      <w:r w:rsidRPr="008231E7">
        <w:rPr>
          <w:rFonts w:ascii="Times New Roman" w:hAnsi="Times New Roman" w:hint="eastAsia"/>
          <w:spacing w:val="-2"/>
        </w:rPr>
        <w:t>餘元。而</w:t>
      </w:r>
      <w:r w:rsidRPr="008231E7">
        <w:rPr>
          <w:rFonts w:ascii="Times New Roman" w:hAnsi="Times New Roman"/>
          <w:spacing w:val="-2"/>
        </w:rPr>
        <w:t>公益彩券</w:t>
      </w:r>
      <w:r w:rsidRPr="008231E7">
        <w:rPr>
          <w:rFonts w:ascii="Times New Roman" w:hAnsi="Times New Roman" w:hint="eastAsia"/>
          <w:spacing w:val="-2"/>
        </w:rPr>
        <w:t>盈餘之分配，以及該盈餘</w:t>
      </w:r>
      <w:r w:rsidRPr="008231E7">
        <w:rPr>
          <w:rFonts w:ascii="Times New Roman" w:hAnsi="Times New Roman"/>
          <w:spacing w:val="-2"/>
        </w:rPr>
        <w:t>運用</w:t>
      </w:r>
      <w:r w:rsidRPr="008231E7">
        <w:rPr>
          <w:rFonts w:ascii="Times New Roman" w:hAnsi="Times New Roman" w:hint="eastAsia"/>
          <w:spacing w:val="-2"/>
        </w:rPr>
        <w:t>之</w:t>
      </w:r>
      <w:r w:rsidRPr="008231E7">
        <w:rPr>
          <w:rFonts w:ascii="Times New Roman" w:hAnsi="Times New Roman"/>
          <w:spacing w:val="-2"/>
        </w:rPr>
        <w:t>管理及監督</w:t>
      </w:r>
      <w:r w:rsidRPr="008231E7">
        <w:rPr>
          <w:rFonts w:ascii="Times New Roman" w:hAnsi="Times New Roman" w:hint="eastAsia"/>
          <w:spacing w:val="-2"/>
        </w:rPr>
        <w:t>事項，財政部雖為主管機關，惟僅賴該</w:t>
      </w:r>
      <w:r w:rsidRPr="008231E7">
        <w:rPr>
          <w:rFonts w:ascii="Times New Roman" w:hAnsi="Times New Roman"/>
          <w:spacing w:val="-2"/>
        </w:rPr>
        <w:t>部國庫署財務規劃組</w:t>
      </w:r>
      <w:r w:rsidRPr="008231E7">
        <w:rPr>
          <w:rFonts w:ascii="Times New Roman" w:hAnsi="Times New Roman" w:hint="eastAsia"/>
          <w:spacing w:val="-2"/>
        </w:rPr>
        <w:t>之力負責相關幕僚工作</w:t>
      </w:r>
      <w:r w:rsidRPr="008231E7">
        <w:rPr>
          <w:rFonts w:ascii="Times New Roman" w:hAnsi="Times New Roman" w:hint="eastAsia"/>
          <w:spacing w:val="-2"/>
          <w:sz w:val="28"/>
          <w:szCs w:val="28"/>
        </w:rPr>
        <w:t>(</w:t>
      </w:r>
      <w:r w:rsidRPr="008231E7">
        <w:rPr>
          <w:rFonts w:ascii="Times New Roman" w:hAnsi="Times New Roman" w:hint="eastAsia"/>
          <w:spacing w:val="-2"/>
          <w:sz w:val="28"/>
          <w:szCs w:val="28"/>
        </w:rPr>
        <w:t>該組</w:t>
      </w:r>
      <w:r>
        <w:rPr>
          <w:rFonts w:ascii="Times New Roman" w:hAnsi="Times New Roman" w:hint="eastAsia"/>
          <w:spacing w:val="-2"/>
          <w:sz w:val="28"/>
          <w:szCs w:val="28"/>
        </w:rPr>
        <w:t>尚須掌理</w:t>
      </w:r>
      <w:r w:rsidRPr="008231E7">
        <w:rPr>
          <w:rFonts w:ascii="Times New Roman" w:hAnsi="Times New Roman" w:hint="eastAsia"/>
          <w:spacing w:val="-2"/>
          <w:sz w:val="28"/>
          <w:szCs w:val="28"/>
        </w:rPr>
        <w:t>有關</w:t>
      </w:r>
      <w:r w:rsidRPr="008231E7">
        <w:rPr>
          <w:rFonts w:ascii="Times New Roman"/>
          <w:spacing w:val="-2"/>
          <w:sz w:val="28"/>
          <w:szCs w:val="28"/>
        </w:rPr>
        <w:t>政府重大經建、社會福利等財務規劃之核議</w:t>
      </w:r>
      <w:r w:rsidRPr="008231E7">
        <w:rPr>
          <w:rFonts w:ascii="Times New Roman" w:hint="eastAsia"/>
          <w:spacing w:val="-2"/>
          <w:sz w:val="28"/>
          <w:szCs w:val="28"/>
        </w:rPr>
        <w:t>，以及</w:t>
      </w:r>
      <w:r w:rsidRPr="008231E7">
        <w:rPr>
          <w:rFonts w:ascii="Times New Roman"/>
          <w:spacing w:val="-2"/>
          <w:sz w:val="28"/>
          <w:szCs w:val="28"/>
        </w:rPr>
        <w:t>地方財政之輔導</w:t>
      </w:r>
      <w:r>
        <w:rPr>
          <w:rFonts w:ascii="Times New Roman" w:hint="eastAsia"/>
          <w:spacing w:val="-2"/>
          <w:sz w:val="28"/>
          <w:szCs w:val="28"/>
        </w:rPr>
        <w:t>與</w:t>
      </w:r>
      <w:r w:rsidRPr="008231E7">
        <w:rPr>
          <w:rFonts w:ascii="Times New Roman"/>
          <w:spacing w:val="-2"/>
          <w:sz w:val="28"/>
          <w:szCs w:val="28"/>
        </w:rPr>
        <w:t>監督</w:t>
      </w:r>
      <w:r w:rsidRPr="008231E7">
        <w:rPr>
          <w:rFonts w:ascii="Times New Roman" w:hint="eastAsia"/>
          <w:spacing w:val="-2"/>
          <w:sz w:val="28"/>
          <w:szCs w:val="28"/>
        </w:rPr>
        <w:t>等</w:t>
      </w:r>
      <w:r>
        <w:rPr>
          <w:rFonts w:ascii="Times New Roman" w:hint="eastAsia"/>
          <w:spacing w:val="-2"/>
          <w:sz w:val="28"/>
          <w:szCs w:val="28"/>
        </w:rPr>
        <w:t>重要業務</w:t>
      </w:r>
      <w:r w:rsidRPr="008231E7">
        <w:rPr>
          <w:rFonts w:ascii="Times New Roman" w:hint="eastAsia"/>
          <w:spacing w:val="-2"/>
          <w:sz w:val="28"/>
          <w:szCs w:val="28"/>
        </w:rPr>
        <w:t>)</w:t>
      </w:r>
      <w:r w:rsidRPr="008231E7">
        <w:rPr>
          <w:rFonts w:ascii="Times New Roman" w:hint="eastAsia"/>
          <w:spacing w:val="-2"/>
        </w:rPr>
        <w:t>，</w:t>
      </w:r>
      <w:r w:rsidRPr="008231E7">
        <w:rPr>
          <w:rFonts w:ascii="Times New Roman" w:hAnsi="Times New Roman" w:hint="eastAsia"/>
          <w:spacing w:val="-2"/>
        </w:rPr>
        <w:t>能否通盤檢視公益彩券盈餘運用績效，並發揮政策上之主導功能，不無疑義。且如前所述，財政部對於該盈餘之分配指標及權重，於</w:t>
      </w:r>
      <w:r w:rsidRPr="008231E7">
        <w:rPr>
          <w:rFonts w:ascii="Times New Roman" w:hAnsi="Times New Roman"/>
          <w:spacing w:val="-2"/>
        </w:rPr>
        <w:t>102</w:t>
      </w:r>
      <w:r w:rsidRPr="008231E7">
        <w:rPr>
          <w:rFonts w:ascii="Times New Roman" w:hAnsi="Times New Roman" w:hint="eastAsia"/>
          <w:spacing w:val="-2"/>
        </w:rPr>
        <w:t>年間被動因應立法院財政委員會決議事項及委外研究報告相關建議，方啟動第</w:t>
      </w:r>
      <w:r w:rsidRPr="008231E7">
        <w:rPr>
          <w:rFonts w:ascii="Times New Roman" w:hAnsi="Times New Roman"/>
          <w:spacing w:val="-2"/>
        </w:rPr>
        <w:t>1</w:t>
      </w:r>
      <w:r w:rsidRPr="008231E7">
        <w:rPr>
          <w:rFonts w:ascii="Times New Roman" w:hAnsi="Times New Roman" w:hint="eastAsia"/>
          <w:spacing w:val="-2"/>
        </w:rPr>
        <w:t>次檢討，欠缺定期檢討評估機制，以致無從判斷並掌握盈餘分配之合理性及公益性。</w:t>
      </w:r>
    </w:p>
    <w:p w:rsidR="0040606A" w:rsidRPr="001D3217" w:rsidRDefault="0040606A" w:rsidP="0040606A">
      <w:pPr>
        <w:pStyle w:val="4"/>
        <w:numPr>
          <w:ilvl w:val="3"/>
          <w:numId w:val="9"/>
        </w:numPr>
        <w:kinsoku w:val="0"/>
        <w:rPr>
          <w:rFonts w:ascii="Times New Roman"/>
        </w:rPr>
      </w:pPr>
      <w:r w:rsidRPr="00621C0F">
        <w:rPr>
          <w:rFonts w:ascii="Times New Roman" w:hAnsi="Times New Roman" w:hint="eastAsia"/>
        </w:rPr>
        <w:t>再據財政部</w:t>
      </w:r>
      <w:r w:rsidRPr="00621C0F">
        <w:rPr>
          <w:rFonts w:ascii="Times New Roman" w:hAnsi="Times New Roman"/>
        </w:rPr>
        <w:t>函復說明</w:t>
      </w:r>
      <w:r w:rsidRPr="00621C0F">
        <w:rPr>
          <w:rFonts w:ascii="Times New Roman" w:hAnsi="Times New Roman" w:hint="eastAsia"/>
        </w:rPr>
        <w:t>略以</w:t>
      </w:r>
      <w:r w:rsidRPr="00621C0F">
        <w:rPr>
          <w:rFonts w:ascii="Times New Roman" w:hAnsi="Times New Roman"/>
        </w:rPr>
        <w:t>：</w:t>
      </w:r>
      <w:r w:rsidRPr="00621C0F">
        <w:rPr>
          <w:rFonts w:ascii="Times New Roman" w:hint="eastAsia"/>
        </w:rPr>
        <w:t>中央對於地方政府公益彩券盈餘運用之考核作業，依據公益彩券發行條例及「公益彩券盈餘運用考核與追回款項保管及運用辦法」等規定，係由該部公益彩券監理委員會辦理盈餘運用情形之監督及考核，並配合中央社會福利主管機關</w:t>
      </w:r>
      <w:r w:rsidRPr="00621C0F">
        <w:rPr>
          <w:rFonts w:ascii="Times New Roman" w:hint="eastAsia"/>
        </w:rPr>
        <w:t>(</w:t>
      </w:r>
      <w:r w:rsidRPr="00621C0F">
        <w:rPr>
          <w:rFonts w:ascii="Times New Roman" w:hint="eastAsia"/>
        </w:rPr>
        <w:t>衛福部</w:t>
      </w:r>
      <w:r w:rsidRPr="00621C0F">
        <w:rPr>
          <w:rFonts w:ascii="Times New Roman" w:hint="eastAsia"/>
        </w:rPr>
        <w:t>)</w:t>
      </w:r>
      <w:r w:rsidRPr="00621C0F">
        <w:rPr>
          <w:rFonts w:ascii="Times New Roman" w:hint="eastAsia"/>
        </w:rPr>
        <w:t>主辦之社會福利績效考核作業</w:t>
      </w:r>
      <w:r w:rsidR="000970AB">
        <w:rPr>
          <w:rFonts w:ascii="Times New Roman" w:hint="eastAsia"/>
        </w:rPr>
        <w:t>進行</w:t>
      </w:r>
      <w:r w:rsidRPr="00621C0F">
        <w:rPr>
          <w:rFonts w:ascii="Times New Roman" w:hint="eastAsia"/>
        </w:rPr>
        <w:t>考核；該</w:t>
      </w:r>
      <w:r w:rsidRPr="00621C0F">
        <w:rPr>
          <w:rFonts w:ascii="Times New Roman" w:hAnsi="Times New Roman"/>
          <w:szCs w:val="32"/>
        </w:rPr>
        <w:t>部為督導</w:t>
      </w:r>
      <w:r w:rsidR="000970AB">
        <w:rPr>
          <w:rFonts w:ascii="Times New Roman" w:hAnsi="Times New Roman" w:hint="eastAsia"/>
          <w:szCs w:val="32"/>
        </w:rPr>
        <w:t>各</w:t>
      </w:r>
      <w:r w:rsidRPr="00621C0F">
        <w:rPr>
          <w:rFonts w:ascii="Times New Roman" w:hAnsi="Times New Roman"/>
          <w:szCs w:val="32"/>
        </w:rPr>
        <w:t>地方政府落實公益彩券盈餘</w:t>
      </w:r>
      <w:r w:rsidR="000970AB">
        <w:rPr>
          <w:rFonts w:ascii="Times New Roman" w:hAnsi="Times New Roman" w:hint="eastAsia"/>
          <w:szCs w:val="32"/>
        </w:rPr>
        <w:t>之</w:t>
      </w:r>
      <w:r w:rsidRPr="00621C0F">
        <w:rPr>
          <w:rFonts w:ascii="Times New Roman" w:hAnsi="Times New Roman"/>
          <w:szCs w:val="32"/>
        </w:rPr>
        <w:t>運用，每年均</w:t>
      </w:r>
      <w:r w:rsidR="000970AB">
        <w:rPr>
          <w:rFonts w:ascii="Times New Roman" w:hAnsi="Times New Roman" w:hint="eastAsia"/>
          <w:szCs w:val="32"/>
        </w:rPr>
        <w:t>會同</w:t>
      </w:r>
      <w:r w:rsidRPr="00621C0F">
        <w:rPr>
          <w:rFonts w:ascii="Times New Roman" w:hAnsi="Times New Roman"/>
          <w:szCs w:val="32"/>
        </w:rPr>
        <w:t>衛福部檢討修正考核項目</w:t>
      </w:r>
      <w:r w:rsidRPr="00621C0F">
        <w:rPr>
          <w:rFonts w:ascii="Times New Roman" w:hAnsi="Times New Roman" w:hint="eastAsia"/>
          <w:szCs w:val="32"/>
        </w:rPr>
        <w:t>，並</w:t>
      </w:r>
      <w:r w:rsidRPr="00621C0F">
        <w:rPr>
          <w:rFonts w:ascii="Times New Roman" w:hAnsi="Times New Roman"/>
        </w:rPr>
        <w:t>配合</w:t>
      </w:r>
      <w:r w:rsidRPr="00621C0F">
        <w:rPr>
          <w:rFonts w:ascii="Times New Roman" w:hAnsi="Times New Roman"/>
          <w:szCs w:val="32"/>
        </w:rPr>
        <w:t>衛福部辦理之社會福利績效考核進行考核作業</w:t>
      </w:r>
      <w:r>
        <w:rPr>
          <w:rStyle w:val="aff1"/>
          <w:rFonts w:ascii="Times New Roman"/>
        </w:rPr>
        <w:footnoteReference w:id="22"/>
      </w:r>
      <w:r w:rsidRPr="00621C0F">
        <w:rPr>
          <w:rFonts w:ascii="Times New Roman" w:hAnsi="Times New Roman" w:hint="eastAsia"/>
          <w:szCs w:val="32"/>
        </w:rPr>
        <w:t>等語。</w:t>
      </w:r>
      <w:r w:rsidR="00DC5057">
        <w:rPr>
          <w:rFonts w:ascii="Times New Roman" w:hAnsi="Times New Roman" w:hint="eastAsia"/>
          <w:szCs w:val="32"/>
        </w:rPr>
        <w:t>惟從</w:t>
      </w:r>
      <w:r w:rsidRPr="00621C0F">
        <w:rPr>
          <w:rFonts w:ascii="Times New Roman" w:hAnsi="Times New Roman" w:hint="eastAsia"/>
          <w:szCs w:val="32"/>
        </w:rPr>
        <w:t>財政部</w:t>
      </w:r>
      <w:r w:rsidRPr="00621C0F">
        <w:rPr>
          <w:rFonts w:ascii="Times New Roman" w:hAnsi="Times New Roman" w:hint="eastAsia"/>
        </w:rPr>
        <w:t>與衛福部就考核分工情形觀</w:t>
      </w:r>
      <w:r w:rsidRPr="001D3217">
        <w:rPr>
          <w:rFonts w:ascii="Times New Roman" w:hAnsi="Times New Roman" w:hint="eastAsia"/>
        </w:rPr>
        <w:t>察</w:t>
      </w:r>
      <w:r w:rsidRPr="001D3217">
        <w:rPr>
          <w:rFonts w:ascii="Times New Roman" w:hAnsi="Times New Roman" w:hint="eastAsia"/>
        </w:rPr>
        <w:t>(</w:t>
      </w:r>
      <w:r w:rsidR="008A647B" w:rsidRPr="001D3217">
        <w:rPr>
          <w:rFonts w:ascii="Times New Roman" w:hAnsi="Times New Roman" w:hint="eastAsia"/>
        </w:rPr>
        <w:t>詳見</w:t>
      </w:r>
      <w:r w:rsidRPr="001D3217">
        <w:rPr>
          <w:rFonts w:ascii="Times New Roman" w:hAnsi="Times New Roman" w:hint="eastAsia"/>
        </w:rPr>
        <w:t>下表</w:t>
      </w:r>
      <w:r w:rsidR="008A647B" w:rsidRPr="001D3217">
        <w:rPr>
          <w:rFonts w:ascii="Times New Roman" w:hAnsi="Times New Roman" w:hint="eastAsia"/>
        </w:rPr>
        <w:t>22</w:t>
      </w:r>
      <w:r w:rsidRPr="001D3217">
        <w:rPr>
          <w:rFonts w:ascii="Times New Roman" w:hAnsi="Times New Roman" w:hint="eastAsia"/>
        </w:rPr>
        <w:t>)</w:t>
      </w:r>
      <w:r w:rsidRPr="001D3217">
        <w:rPr>
          <w:rFonts w:ascii="Times New Roman" w:hAnsi="Times New Roman" w:hint="eastAsia"/>
        </w:rPr>
        <w:t>，</w:t>
      </w:r>
      <w:r w:rsidRPr="001D3217">
        <w:rPr>
          <w:rFonts w:ascii="Times New Roman" w:hAnsi="Times New Roman" w:hint="eastAsia"/>
          <w:szCs w:val="32"/>
        </w:rPr>
        <w:t>財政部著重</w:t>
      </w:r>
      <w:r w:rsidRPr="001D3217">
        <w:rPr>
          <w:rFonts w:ascii="Times New Roman" w:hAnsi="Times New Roman" w:hint="eastAsia"/>
          <w:spacing w:val="-4"/>
          <w:szCs w:val="32"/>
        </w:rPr>
        <w:t>於預算編列與執行率、盈餘管理方式、管理委員會</w:t>
      </w:r>
      <w:r w:rsidRPr="001D3217">
        <w:rPr>
          <w:rFonts w:ascii="Times New Roman" w:hAnsi="Times New Roman" w:hint="eastAsia"/>
          <w:szCs w:val="32"/>
        </w:rPr>
        <w:t>運作、資訊公開及形象宣導等；</w:t>
      </w:r>
      <w:bookmarkEnd w:id="2082"/>
      <w:r w:rsidRPr="001D3217">
        <w:rPr>
          <w:rFonts w:ascii="Times New Roman" w:hint="eastAsia"/>
        </w:rPr>
        <w:t>至於各地方政府專款專用於社會福利業務及創新實驗項目等情形之最核心問題，則由衛福部負責進行考核，可見衛福部扮演較為吃重的角色，財政部監督力道與角色略顯不足。</w:t>
      </w:r>
    </w:p>
    <w:p w:rsidR="00E23131" w:rsidRPr="001D3217" w:rsidRDefault="00D905F0" w:rsidP="003357A0">
      <w:pPr>
        <w:pStyle w:val="a3"/>
        <w:spacing w:before="120" w:after="0"/>
        <w:ind w:left="2562" w:rightChars="11" w:right="37" w:hanging="882"/>
        <w:rPr>
          <w:rFonts w:ascii="Times New Roman"/>
          <w:b/>
          <w:spacing w:val="0"/>
        </w:rPr>
      </w:pPr>
      <w:r w:rsidRPr="001D3217">
        <w:rPr>
          <w:rFonts w:ascii="Times New Roman" w:hint="eastAsia"/>
          <w:b/>
          <w:spacing w:val="0"/>
        </w:rPr>
        <w:t>財政部衛福部</w:t>
      </w:r>
      <w:r w:rsidR="003357A0" w:rsidRPr="001D3217">
        <w:rPr>
          <w:rFonts w:ascii="Times New Roman" w:hint="eastAsia"/>
          <w:b/>
          <w:spacing w:val="0"/>
        </w:rPr>
        <w:t>對於地方政府公益彩券盈餘收支保管及運用</w:t>
      </w:r>
      <w:r w:rsidR="001D3217">
        <w:rPr>
          <w:rFonts w:ascii="Times New Roman" w:hint="eastAsia"/>
          <w:b/>
          <w:spacing w:val="0"/>
        </w:rPr>
        <w:t>情形之</w:t>
      </w:r>
      <w:r w:rsidR="003357A0" w:rsidRPr="001D3217">
        <w:rPr>
          <w:rFonts w:ascii="Times New Roman" w:hint="eastAsia"/>
          <w:b/>
          <w:spacing w:val="0"/>
        </w:rPr>
        <w:t>考核</w:t>
      </w:r>
      <w:r w:rsidRPr="001D3217">
        <w:rPr>
          <w:rFonts w:ascii="Times New Roman" w:hint="eastAsia"/>
          <w:b/>
          <w:spacing w:val="0"/>
        </w:rPr>
        <w:t>權責分工一覽表</w:t>
      </w:r>
    </w:p>
    <w:tbl>
      <w:tblPr>
        <w:tblStyle w:val="afb"/>
        <w:tblW w:w="7095" w:type="dxa"/>
        <w:tblInd w:w="18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47"/>
        <w:gridCol w:w="3548"/>
      </w:tblGrid>
      <w:tr w:rsidR="0040606A" w:rsidTr="00C055EF">
        <w:trPr>
          <w:tblHeader/>
        </w:trPr>
        <w:tc>
          <w:tcPr>
            <w:tcW w:w="3547" w:type="dxa"/>
          </w:tcPr>
          <w:p w:rsidR="0040606A" w:rsidRPr="00CD54FC" w:rsidRDefault="0040606A" w:rsidP="00271899">
            <w:pPr>
              <w:pStyle w:val="4"/>
              <w:numPr>
                <w:ilvl w:val="0"/>
                <w:numId w:val="0"/>
              </w:numPr>
              <w:spacing w:line="360" w:lineRule="exact"/>
              <w:jc w:val="center"/>
              <w:rPr>
                <w:rFonts w:ascii="Times New Roman" w:hAnsi="Times New Roman"/>
                <w:sz w:val="28"/>
                <w:szCs w:val="28"/>
              </w:rPr>
            </w:pPr>
            <w:r w:rsidRPr="00CD54FC">
              <w:rPr>
                <w:rFonts w:ascii="Times New Roman" w:hAnsi="Times New Roman" w:hint="eastAsia"/>
                <w:bCs/>
                <w:sz w:val="28"/>
                <w:szCs w:val="28"/>
              </w:rPr>
              <w:t>財政部權責</w:t>
            </w:r>
          </w:p>
        </w:tc>
        <w:tc>
          <w:tcPr>
            <w:tcW w:w="3548" w:type="dxa"/>
          </w:tcPr>
          <w:p w:rsidR="0040606A" w:rsidRPr="00CD54FC" w:rsidRDefault="0040606A" w:rsidP="00271899">
            <w:pPr>
              <w:pStyle w:val="4"/>
              <w:numPr>
                <w:ilvl w:val="0"/>
                <w:numId w:val="0"/>
              </w:numPr>
              <w:spacing w:line="360" w:lineRule="exact"/>
              <w:jc w:val="center"/>
              <w:rPr>
                <w:rFonts w:ascii="Times New Roman" w:hAnsi="Times New Roman"/>
                <w:sz w:val="28"/>
                <w:szCs w:val="28"/>
              </w:rPr>
            </w:pPr>
            <w:r w:rsidRPr="00CD54FC">
              <w:rPr>
                <w:rFonts w:ascii="Times New Roman" w:hAnsi="Times New Roman" w:hint="eastAsia"/>
                <w:bCs/>
                <w:sz w:val="28"/>
                <w:szCs w:val="28"/>
              </w:rPr>
              <w:t>衛福部權責</w:t>
            </w:r>
          </w:p>
        </w:tc>
      </w:tr>
      <w:tr w:rsidR="0040606A" w:rsidTr="00C055EF">
        <w:tc>
          <w:tcPr>
            <w:tcW w:w="3547" w:type="dxa"/>
          </w:tcPr>
          <w:p w:rsidR="0040606A" w:rsidRPr="00812B10" w:rsidRDefault="0040606A" w:rsidP="00271899">
            <w:pPr>
              <w:pStyle w:val="4"/>
              <w:numPr>
                <w:ilvl w:val="0"/>
                <w:numId w:val="38"/>
              </w:numPr>
              <w:spacing w:line="360" w:lineRule="exact"/>
              <w:ind w:left="187" w:rightChars="-19" w:right="-65" w:hanging="224"/>
              <w:rPr>
                <w:rFonts w:ascii="Times New Roman"/>
                <w:spacing w:val="-6"/>
                <w:sz w:val="28"/>
                <w:szCs w:val="28"/>
              </w:rPr>
            </w:pPr>
            <w:r w:rsidRPr="00812B10">
              <w:rPr>
                <w:rFonts w:ascii="Times New Roman" w:hint="eastAsia"/>
                <w:spacing w:val="-6"/>
                <w:sz w:val="28"/>
                <w:szCs w:val="28"/>
              </w:rPr>
              <w:t>歲入預算編列：增編累計待運用數比率。</w:t>
            </w:r>
          </w:p>
          <w:p w:rsidR="0040606A" w:rsidRPr="00812B10" w:rsidRDefault="0040606A" w:rsidP="00271899">
            <w:pPr>
              <w:pStyle w:val="4"/>
              <w:numPr>
                <w:ilvl w:val="0"/>
                <w:numId w:val="38"/>
              </w:numPr>
              <w:spacing w:line="360" w:lineRule="exact"/>
              <w:ind w:left="187" w:rightChars="-19" w:right="-65" w:hanging="252"/>
              <w:rPr>
                <w:rFonts w:ascii="Times New Roman"/>
                <w:spacing w:val="-6"/>
                <w:sz w:val="28"/>
                <w:szCs w:val="28"/>
              </w:rPr>
            </w:pPr>
            <w:r w:rsidRPr="00812B10">
              <w:rPr>
                <w:rFonts w:ascii="Times New Roman" w:hint="eastAsia"/>
                <w:spacing w:val="-6"/>
                <w:sz w:val="28"/>
                <w:szCs w:val="28"/>
              </w:rPr>
              <w:t>執行率</w:t>
            </w:r>
            <w:r>
              <w:rPr>
                <w:rFonts w:ascii="Times New Roman" w:hint="eastAsia"/>
                <w:spacing w:val="-6"/>
                <w:sz w:val="28"/>
                <w:szCs w:val="28"/>
              </w:rPr>
              <w:t>。</w:t>
            </w:r>
          </w:p>
          <w:p w:rsidR="0040606A" w:rsidRPr="00812B10" w:rsidRDefault="0040606A" w:rsidP="00271899">
            <w:pPr>
              <w:pStyle w:val="4"/>
              <w:numPr>
                <w:ilvl w:val="0"/>
                <w:numId w:val="38"/>
              </w:numPr>
              <w:spacing w:line="360" w:lineRule="exact"/>
              <w:ind w:left="187" w:rightChars="-19" w:right="-65" w:hanging="224"/>
              <w:rPr>
                <w:rFonts w:ascii="Times New Roman"/>
                <w:spacing w:val="-6"/>
                <w:sz w:val="28"/>
                <w:szCs w:val="28"/>
              </w:rPr>
            </w:pPr>
            <w:r w:rsidRPr="00812B10">
              <w:rPr>
                <w:rFonts w:ascii="Times New Roman" w:hint="eastAsia"/>
                <w:spacing w:val="-6"/>
                <w:sz w:val="28"/>
                <w:szCs w:val="28"/>
              </w:rPr>
              <w:t>盈餘管理方式：專戶設立、專戶餘額、預算書內容、資本性支出運用。</w:t>
            </w:r>
          </w:p>
          <w:p w:rsidR="0040606A" w:rsidRPr="00812B10" w:rsidRDefault="0040606A" w:rsidP="00271899">
            <w:pPr>
              <w:pStyle w:val="4"/>
              <w:numPr>
                <w:ilvl w:val="0"/>
                <w:numId w:val="38"/>
              </w:numPr>
              <w:spacing w:line="360" w:lineRule="exact"/>
              <w:ind w:left="187" w:rightChars="-19" w:right="-65" w:hanging="252"/>
              <w:rPr>
                <w:rFonts w:ascii="Times New Roman"/>
                <w:spacing w:val="-6"/>
                <w:sz w:val="28"/>
                <w:szCs w:val="28"/>
              </w:rPr>
            </w:pPr>
            <w:r w:rsidRPr="00812B10">
              <w:rPr>
                <w:rFonts w:ascii="Times New Roman" w:hint="eastAsia"/>
                <w:spacing w:val="-6"/>
                <w:sz w:val="28"/>
                <w:szCs w:val="28"/>
              </w:rPr>
              <w:t>盈餘管理委員會運作</w:t>
            </w:r>
            <w:r>
              <w:rPr>
                <w:rFonts w:ascii="Times New Roman" w:hint="eastAsia"/>
                <w:spacing w:val="-6"/>
                <w:sz w:val="28"/>
                <w:szCs w:val="28"/>
              </w:rPr>
              <w:t>。</w:t>
            </w:r>
          </w:p>
          <w:p w:rsidR="0040606A" w:rsidRPr="00812B10" w:rsidRDefault="0040606A" w:rsidP="00271899">
            <w:pPr>
              <w:pStyle w:val="4"/>
              <w:numPr>
                <w:ilvl w:val="0"/>
                <w:numId w:val="38"/>
              </w:numPr>
              <w:spacing w:line="360" w:lineRule="exact"/>
              <w:ind w:left="187" w:rightChars="-19" w:right="-65" w:hanging="252"/>
              <w:rPr>
                <w:rFonts w:ascii="Times New Roman"/>
                <w:spacing w:val="-14"/>
                <w:sz w:val="28"/>
                <w:szCs w:val="28"/>
              </w:rPr>
            </w:pPr>
            <w:r w:rsidRPr="00812B10">
              <w:rPr>
                <w:rFonts w:ascii="Times New Roman" w:hint="eastAsia"/>
                <w:spacing w:val="-14"/>
                <w:sz w:val="28"/>
                <w:szCs w:val="28"/>
              </w:rPr>
              <w:t>資訊公開：提供季報表之適切性、時效性與正確性、對社福團體舉辦盈餘運用說明會、網頁資訊公開。</w:t>
            </w:r>
          </w:p>
          <w:p w:rsidR="0040606A" w:rsidRPr="00812B10" w:rsidRDefault="0040606A" w:rsidP="00271899">
            <w:pPr>
              <w:pStyle w:val="4"/>
              <w:numPr>
                <w:ilvl w:val="0"/>
                <w:numId w:val="38"/>
              </w:numPr>
              <w:spacing w:line="360" w:lineRule="exact"/>
              <w:ind w:left="187" w:rightChars="-19" w:right="-65" w:hanging="252"/>
              <w:rPr>
                <w:rFonts w:ascii="Times New Roman"/>
                <w:spacing w:val="-6"/>
                <w:sz w:val="28"/>
                <w:szCs w:val="28"/>
              </w:rPr>
            </w:pPr>
            <w:r w:rsidRPr="00812B10">
              <w:rPr>
                <w:rFonts w:ascii="Times New Roman" w:hint="eastAsia"/>
                <w:spacing w:val="-6"/>
                <w:sz w:val="28"/>
                <w:szCs w:val="28"/>
              </w:rPr>
              <w:t>形象宣導</w:t>
            </w:r>
            <w:r>
              <w:rPr>
                <w:rFonts w:ascii="Times New Roman" w:hint="eastAsia"/>
                <w:spacing w:val="-6"/>
                <w:sz w:val="28"/>
                <w:szCs w:val="28"/>
              </w:rPr>
              <w:t>。</w:t>
            </w:r>
          </w:p>
        </w:tc>
        <w:tc>
          <w:tcPr>
            <w:tcW w:w="3548" w:type="dxa"/>
          </w:tcPr>
          <w:p w:rsidR="0040606A" w:rsidRPr="00FC77AF" w:rsidRDefault="0040606A" w:rsidP="00271899">
            <w:pPr>
              <w:pStyle w:val="4"/>
              <w:numPr>
                <w:ilvl w:val="0"/>
                <w:numId w:val="39"/>
              </w:numPr>
              <w:spacing w:line="360" w:lineRule="exact"/>
              <w:ind w:left="187" w:rightChars="-19" w:right="-65" w:hanging="252"/>
              <w:rPr>
                <w:rFonts w:ascii="Times New Roman"/>
                <w:sz w:val="28"/>
                <w:szCs w:val="28"/>
              </w:rPr>
            </w:pPr>
            <w:r w:rsidRPr="00FC77AF">
              <w:rPr>
                <w:rFonts w:ascii="Times New Roman" w:hint="eastAsia"/>
                <w:sz w:val="28"/>
                <w:szCs w:val="28"/>
              </w:rPr>
              <w:t>充抵財劃法已分配及補助之社會福利經費項目</w:t>
            </w:r>
            <w:r>
              <w:rPr>
                <w:rFonts w:ascii="Times New Roman" w:hint="eastAsia"/>
                <w:sz w:val="28"/>
                <w:szCs w:val="28"/>
              </w:rPr>
              <w:t>。</w:t>
            </w:r>
          </w:p>
          <w:p w:rsidR="0040606A" w:rsidRPr="00FC77AF" w:rsidRDefault="0040606A" w:rsidP="00271899">
            <w:pPr>
              <w:pStyle w:val="4"/>
              <w:numPr>
                <w:ilvl w:val="0"/>
                <w:numId w:val="39"/>
              </w:numPr>
              <w:spacing w:line="360" w:lineRule="exact"/>
              <w:ind w:left="187" w:rightChars="-19" w:right="-65" w:hanging="252"/>
              <w:rPr>
                <w:rFonts w:ascii="Times New Roman"/>
                <w:sz w:val="28"/>
                <w:szCs w:val="28"/>
              </w:rPr>
            </w:pPr>
            <w:r w:rsidRPr="00FC77AF">
              <w:rPr>
                <w:rFonts w:ascii="Times New Roman" w:hint="eastAsia"/>
                <w:sz w:val="28"/>
                <w:szCs w:val="28"/>
              </w:rPr>
              <w:t>專款專用情形</w:t>
            </w:r>
            <w:r>
              <w:rPr>
                <w:rFonts w:ascii="Times New Roman" w:hint="eastAsia"/>
                <w:sz w:val="28"/>
                <w:szCs w:val="28"/>
              </w:rPr>
              <w:t>：</w:t>
            </w:r>
            <w:r>
              <w:rPr>
                <w:rFonts w:ascii="Times New Roman" w:hint="eastAsia"/>
                <w:sz w:val="28"/>
                <w:szCs w:val="28"/>
              </w:rPr>
              <w:t>(1)</w:t>
            </w:r>
            <w:r w:rsidRPr="00FC77AF">
              <w:rPr>
                <w:rFonts w:ascii="Times New Roman" w:hint="eastAsia"/>
                <w:sz w:val="28"/>
                <w:szCs w:val="28"/>
              </w:rPr>
              <w:t>歲出預算編列是否符合政事別社會福利支出歸類原則與範圍</w:t>
            </w:r>
            <w:r>
              <w:rPr>
                <w:rFonts w:ascii="Times New Roman" w:hint="eastAsia"/>
                <w:sz w:val="28"/>
                <w:szCs w:val="28"/>
              </w:rPr>
              <w:t>；</w:t>
            </w:r>
            <w:r>
              <w:rPr>
                <w:rFonts w:ascii="Times New Roman" w:hint="eastAsia"/>
                <w:sz w:val="28"/>
                <w:szCs w:val="28"/>
              </w:rPr>
              <w:t>(2)</w:t>
            </w:r>
            <w:r w:rsidRPr="00FC77AF">
              <w:rPr>
                <w:rFonts w:ascii="Times New Roman" w:hint="eastAsia"/>
                <w:sz w:val="28"/>
                <w:szCs w:val="28"/>
              </w:rPr>
              <w:t>前一年度決算不符合社會福利支出政事別</w:t>
            </w:r>
            <w:r>
              <w:rPr>
                <w:rFonts w:ascii="Times New Roman" w:hint="eastAsia"/>
                <w:sz w:val="28"/>
                <w:szCs w:val="28"/>
              </w:rPr>
              <w:t>；</w:t>
            </w:r>
            <w:r>
              <w:rPr>
                <w:rFonts w:ascii="Times New Roman" w:hint="eastAsia"/>
                <w:sz w:val="28"/>
                <w:szCs w:val="28"/>
              </w:rPr>
              <w:t>(3)</w:t>
            </w:r>
            <w:r w:rsidRPr="00FC77AF">
              <w:rPr>
                <w:rFonts w:ascii="Times New Roman" w:hint="eastAsia"/>
                <w:sz w:val="28"/>
                <w:szCs w:val="28"/>
              </w:rPr>
              <w:t>支用非法定現金給付項目</w:t>
            </w:r>
            <w:r>
              <w:rPr>
                <w:rFonts w:ascii="Times New Roman" w:hint="eastAsia"/>
                <w:sz w:val="28"/>
                <w:szCs w:val="28"/>
              </w:rPr>
              <w:t>。</w:t>
            </w:r>
          </w:p>
          <w:p w:rsidR="0040606A" w:rsidRPr="00FC77AF" w:rsidRDefault="0040606A" w:rsidP="00271899">
            <w:pPr>
              <w:pStyle w:val="4"/>
              <w:numPr>
                <w:ilvl w:val="0"/>
                <w:numId w:val="39"/>
              </w:numPr>
              <w:spacing w:line="360" w:lineRule="exact"/>
              <w:ind w:left="187" w:rightChars="-19" w:right="-65" w:hanging="252"/>
              <w:rPr>
                <w:rFonts w:ascii="Times New Roman" w:hAnsi="Times New Roman"/>
                <w:sz w:val="28"/>
                <w:szCs w:val="28"/>
              </w:rPr>
            </w:pPr>
            <w:r w:rsidRPr="00FC77AF">
              <w:rPr>
                <w:rFonts w:ascii="Times New Roman" w:hint="eastAsia"/>
                <w:sz w:val="28"/>
                <w:szCs w:val="28"/>
              </w:rPr>
              <w:t>創新及實驗項目</w:t>
            </w:r>
          </w:p>
        </w:tc>
      </w:tr>
    </w:tbl>
    <w:p w:rsidR="00D905F0" w:rsidRPr="00D905F0" w:rsidRDefault="00D905F0" w:rsidP="00D905F0">
      <w:pPr>
        <w:pStyle w:val="4"/>
        <w:numPr>
          <w:ilvl w:val="0"/>
          <w:numId w:val="0"/>
        </w:numPr>
        <w:kinsoku w:val="0"/>
        <w:spacing w:afterLines="25" w:after="114" w:line="320" w:lineRule="exact"/>
        <w:ind w:left="1701"/>
        <w:rPr>
          <w:rFonts w:hAnsi="新細明體"/>
          <w:sz w:val="24"/>
          <w:szCs w:val="24"/>
        </w:rPr>
      </w:pPr>
      <w:r w:rsidRPr="00D905F0">
        <w:rPr>
          <w:rFonts w:hAnsi="新細明體" w:hint="eastAsia"/>
          <w:sz w:val="24"/>
          <w:szCs w:val="24"/>
        </w:rPr>
        <w:t>資料來源：財政部</w:t>
      </w:r>
    </w:p>
    <w:p w:rsidR="0040606A" w:rsidRPr="000970AB" w:rsidRDefault="0040606A" w:rsidP="0040606A">
      <w:pPr>
        <w:pStyle w:val="4"/>
        <w:numPr>
          <w:ilvl w:val="3"/>
          <w:numId w:val="9"/>
        </w:numPr>
        <w:kinsoku w:val="0"/>
        <w:spacing w:beforeLines="25" w:before="114"/>
        <w:rPr>
          <w:rFonts w:hAnsi="新細明體"/>
          <w:szCs w:val="24"/>
        </w:rPr>
      </w:pPr>
      <w:r>
        <w:rPr>
          <w:rFonts w:ascii="Times New Roman" w:hint="eastAsia"/>
        </w:rPr>
        <w:t>此外，</w:t>
      </w:r>
      <w:r w:rsidRPr="00530AD5">
        <w:rPr>
          <w:rFonts w:ascii="Times New Roman" w:hint="eastAsia"/>
        </w:rPr>
        <w:t>衛福部</w:t>
      </w:r>
      <w:r>
        <w:rPr>
          <w:rFonts w:ascii="Times New Roman" w:hint="eastAsia"/>
        </w:rPr>
        <w:t>即使</w:t>
      </w:r>
      <w:r w:rsidRPr="00530AD5">
        <w:rPr>
          <w:rFonts w:ascii="Times New Roman" w:hint="eastAsia"/>
        </w:rPr>
        <w:t>已就</w:t>
      </w:r>
      <w:r>
        <w:rPr>
          <w:rFonts w:ascii="Times New Roman" w:hint="eastAsia"/>
        </w:rPr>
        <w:t>各地方政府實際運用情形</w:t>
      </w:r>
      <w:r w:rsidRPr="00530AD5">
        <w:rPr>
          <w:rFonts w:ascii="Times New Roman" w:hint="eastAsia"/>
        </w:rPr>
        <w:t>進行考核，惟</w:t>
      </w:r>
      <w:r w:rsidR="000970AB">
        <w:rPr>
          <w:rFonts w:ascii="Times New Roman" w:hint="eastAsia"/>
        </w:rPr>
        <w:t>如</w:t>
      </w:r>
      <w:r w:rsidR="00DC5057">
        <w:rPr>
          <w:rFonts w:ascii="Times New Roman" w:hint="eastAsia"/>
        </w:rPr>
        <w:t>本案</w:t>
      </w:r>
      <w:r w:rsidR="000970AB">
        <w:rPr>
          <w:rFonts w:ascii="Times New Roman" w:hint="eastAsia"/>
        </w:rPr>
        <w:t>調查意見五</w:t>
      </w:r>
      <w:r w:rsidRPr="00530AD5">
        <w:rPr>
          <w:rFonts w:ascii="Times New Roman" w:hint="eastAsia"/>
        </w:rPr>
        <w:t>所述，相關</w:t>
      </w:r>
      <w:r w:rsidRPr="00530AD5">
        <w:rPr>
          <w:rFonts w:hAnsi="新細明體" w:hint="eastAsia"/>
          <w:szCs w:val="24"/>
        </w:rPr>
        <w:t>考核指標多僅能看出地方政府</w:t>
      </w:r>
      <w:r w:rsidR="0061078A">
        <w:rPr>
          <w:rFonts w:hAnsi="新細明體" w:hint="eastAsia"/>
          <w:szCs w:val="24"/>
        </w:rPr>
        <w:t>對於公益彩券盈餘</w:t>
      </w:r>
      <w:r w:rsidRPr="00530AD5">
        <w:rPr>
          <w:rFonts w:hAnsi="新細明體" w:hint="eastAsia"/>
          <w:szCs w:val="24"/>
        </w:rPr>
        <w:t>之運用</w:t>
      </w:r>
      <w:r>
        <w:rPr>
          <w:rFonts w:hAnsi="新細明體" w:hint="eastAsia"/>
          <w:szCs w:val="24"/>
        </w:rPr>
        <w:t>範圍</w:t>
      </w:r>
      <w:r w:rsidRPr="00530AD5">
        <w:rPr>
          <w:rFonts w:hAnsi="新細明體" w:hint="eastAsia"/>
          <w:szCs w:val="24"/>
        </w:rPr>
        <w:t>是否符合法令規範的形式要件，而就該盈餘對於社會福利</w:t>
      </w:r>
      <w:r>
        <w:rPr>
          <w:rFonts w:hAnsi="新細明體" w:hint="eastAsia"/>
          <w:szCs w:val="24"/>
        </w:rPr>
        <w:t>之</w:t>
      </w:r>
      <w:r w:rsidRPr="00530AD5">
        <w:rPr>
          <w:rFonts w:hAnsi="新細明體" w:hint="eastAsia"/>
          <w:szCs w:val="24"/>
        </w:rPr>
        <w:t>提升及產生</w:t>
      </w:r>
      <w:r>
        <w:rPr>
          <w:rFonts w:hAnsi="新細明體" w:hint="eastAsia"/>
          <w:szCs w:val="24"/>
        </w:rPr>
        <w:t>之</w:t>
      </w:r>
      <w:r w:rsidRPr="00530AD5">
        <w:rPr>
          <w:rFonts w:hAnsi="新細明體" w:hint="eastAsia"/>
          <w:szCs w:val="24"/>
        </w:rPr>
        <w:t>具體績效</w:t>
      </w:r>
      <w:r>
        <w:rPr>
          <w:rFonts w:hAnsi="新細明體" w:hint="eastAsia"/>
          <w:szCs w:val="24"/>
        </w:rPr>
        <w:t>等積極</w:t>
      </w:r>
      <w:r w:rsidR="00DC5057">
        <w:rPr>
          <w:rFonts w:hAnsi="新細明體" w:hint="eastAsia"/>
          <w:szCs w:val="24"/>
        </w:rPr>
        <w:t>、實質</w:t>
      </w:r>
      <w:r>
        <w:rPr>
          <w:rFonts w:hAnsi="新細明體" w:hint="eastAsia"/>
          <w:szCs w:val="24"/>
        </w:rPr>
        <w:t>面向</w:t>
      </w:r>
      <w:r w:rsidRPr="00530AD5">
        <w:rPr>
          <w:rFonts w:hAnsi="新細明體" w:hint="eastAsia"/>
          <w:szCs w:val="24"/>
        </w:rPr>
        <w:t>，仍欠缺相關考核指標，財政部及衛福部亦</w:t>
      </w:r>
      <w:r>
        <w:rPr>
          <w:rFonts w:hAnsi="新細明體" w:hint="eastAsia"/>
          <w:szCs w:val="24"/>
        </w:rPr>
        <w:t>缺</w:t>
      </w:r>
      <w:r w:rsidRPr="00530AD5">
        <w:rPr>
          <w:rFonts w:hAnsi="新細明體" w:hint="eastAsia"/>
          <w:szCs w:val="24"/>
        </w:rPr>
        <w:t>乏</w:t>
      </w:r>
      <w:r>
        <w:rPr>
          <w:rFonts w:hAnsi="新細明體" w:hint="eastAsia"/>
          <w:szCs w:val="24"/>
        </w:rPr>
        <w:t>評估與輔導</w:t>
      </w:r>
      <w:r w:rsidRPr="00530AD5">
        <w:rPr>
          <w:rFonts w:hAnsi="新細明體" w:hint="eastAsia"/>
          <w:szCs w:val="24"/>
        </w:rPr>
        <w:t>機制</w:t>
      </w:r>
      <w:r>
        <w:rPr>
          <w:rFonts w:hAnsi="新細明體" w:hint="eastAsia"/>
          <w:szCs w:val="24"/>
        </w:rPr>
        <w:t>，</w:t>
      </w:r>
      <w:r w:rsidR="000970AB">
        <w:rPr>
          <w:rFonts w:hAnsi="新細明體" w:hint="eastAsia"/>
          <w:szCs w:val="24"/>
        </w:rPr>
        <w:t>致使</w:t>
      </w:r>
      <w:r w:rsidRPr="000970AB">
        <w:rPr>
          <w:rFonts w:hAnsi="新細明體" w:hint="eastAsia"/>
          <w:szCs w:val="24"/>
        </w:rPr>
        <w:t>難以有效</w:t>
      </w:r>
      <w:r w:rsidR="000970AB" w:rsidRPr="000970AB">
        <w:rPr>
          <w:rFonts w:hAnsi="新細明體" w:hint="eastAsia"/>
          <w:szCs w:val="24"/>
        </w:rPr>
        <w:t>引導</w:t>
      </w:r>
      <w:r w:rsidRPr="000970AB">
        <w:rPr>
          <w:rFonts w:hAnsi="新細明體" w:hint="eastAsia"/>
          <w:szCs w:val="24"/>
        </w:rPr>
        <w:t>各地方政府</w:t>
      </w:r>
      <w:r w:rsidR="000970AB">
        <w:rPr>
          <w:rFonts w:hAnsi="新細明體" w:hint="eastAsia"/>
          <w:szCs w:val="24"/>
        </w:rPr>
        <w:t>善用該款項以</w:t>
      </w:r>
      <w:r w:rsidR="000970AB" w:rsidRPr="000970AB">
        <w:rPr>
          <w:rFonts w:hAnsi="新細明體" w:hint="eastAsia"/>
          <w:szCs w:val="24"/>
        </w:rPr>
        <w:t>提升運用績效</w:t>
      </w:r>
      <w:r w:rsidR="000970AB">
        <w:rPr>
          <w:rFonts w:hAnsi="新細明體" w:hint="eastAsia"/>
          <w:szCs w:val="24"/>
        </w:rPr>
        <w:t>，達成公益彩券增進</w:t>
      </w:r>
      <w:r w:rsidRPr="000970AB">
        <w:rPr>
          <w:rFonts w:hAnsi="新細明體" w:hint="eastAsia"/>
          <w:szCs w:val="24"/>
        </w:rPr>
        <w:t>社會福利</w:t>
      </w:r>
      <w:r w:rsidR="000970AB">
        <w:rPr>
          <w:rFonts w:hAnsi="新細明體" w:hint="eastAsia"/>
          <w:szCs w:val="24"/>
        </w:rPr>
        <w:t>之</w:t>
      </w:r>
      <w:r w:rsidR="0061078A">
        <w:rPr>
          <w:rFonts w:hAnsi="新細明體" w:hint="eastAsia"/>
          <w:szCs w:val="24"/>
        </w:rPr>
        <w:t>核心價值</w:t>
      </w:r>
      <w:r w:rsidRPr="00530AD5">
        <w:rPr>
          <w:rFonts w:hAnsi="新細明體" w:hint="eastAsia"/>
          <w:szCs w:val="24"/>
        </w:rPr>
        <w:t>。</w:t>
      </w:r>
    </w:p>
    <w:p w:rsidR="0040606A" w:rsidRPr="00271899" w:rsidRDefault="0040606A" w:rsidP="0061078A">
      <w:pPr>
        <w:pStyle w:val="3"/>
        <w:numPr>
          <w:ilvl w:val="2"/>
          <w:numId w:val="9"/>
        </w:numPr>
        <w:kinsoku w:val="0"/>
        <w:ind w:left="1360" w:hanging="680"/>
        <w:rPr>
          <w:spacing w:val="-4"/>
        </w:rPr>
      </w:pPr>
      <w:bookmarkStart w:id="2083" w:name="_Toc511115494"/>
      <w:bookmarkStart w:id="2084" w:name="_Toc511308282"/>
      <w:bookmarkStart w:id="2085" w:name="_Toc511998726"/>
      <w:bookmarkStart w:id="2086" w:name="_Toc512421083"/>
      <w:r w:rsidRPr="00271899">
        <w:rPr>
          <w:rFonts w:hint="eastAsia"/>
          <w:spacing w:val="-4"/>
        </w:rPr>
        <w:t>本院諮詢之專家學者亦指出：</w:t>
      </w:r>
      <w:r w:rsidRPr="00271899">
        <w:rPr>
          <w:rFonts w:ascii="Times New Roman" w:hAnsi="Times New Roman"/>
          <w:spacing w:val="-4"/>
        </w:rPr>
        <w:t>目前</w:t>
      </w:r>
      <w:r w:rsidR="0061078A" w:rsidRPr="00271899">
        <w:rPr>
          <w:rFonts w:ascii="Times New Roman" w:hAnsi="Times New Roman" w:hint="eastAsia"/>
          <w:spacing w:val="-4"/>
        </w:rPr>
        <w:t>政府並</w:t>
      </w:r>
      <w:r w:rsidRPr="00271899">
        <w:rPr>
          <w:rFonts w:ascii="Times New Roman" w:hAnsi="Times New Roman" w:hint="eastAsia"/>
          <w:spacing w:val="-4"/>
        </w:rPr>
        <w:t>無</w:t>
      </w:r>
      <w:r w:rsidRPr="00271899">
        <w:rPr>
          <w:rFonts w:ascii="Times New Roman" w:hAnsi="Times New Roman"/>
          <w:spacing w:val="-4"/>
        </w:rPr>
        <w:t>足夠人力檢視</w:t>
      </w:r>
      <w:r w:rsidR="0061078A" w:rsidRPr="00271899">
        <w:rPr>
          <w:rFonts w:ascii="Times New Roman" w:hAnsi="Times New Roman" w:hint="eastAsia"/>
          <w:spacing w:val="-4"/>
        </w:rPr>
        <w:t>公益彩券盈餘運用</w:t>
      </w:r>
      <w:r w:rsidRPr="00271899">
        <w:rPr>
          <w:rFonts w:ascii="Times New Roman" w:hAnsi="Times New Roman"/>
          <w:spacing w:val="-4"/>
        </w:rPr>
        <w:t>績效</w:t>
      </w:r>
      <w:r w:rsidRPr="00271899">
        <w:rPr>
          <w:rFonts w:ascii="Times New Roman" w:hAnsi="Times New Roman" w:hint="eastAsia"/>
          <w:spacing w:val="-4"/>
        </w:rPr>
        <w:t>，</w:t>
      </w:r>
      <w:r w:rsidRPr="00271899">
        <w:rPr>
          <w:rFonts w:ascii="Times New Roman" w:hAnsi="Times New Roman"/>
          <w:spacing w:val="-4"/>
        </w:rPr>
        <w:t>財政部</w:t>
      </w:r>
      <w:r w:rsidR="0061078A" w:rsidRPr="00271899">
        <w:rPr>
          <w:rFonts w:ascii="Times New Roman" w:hAnsi="Times New Roman" w:hint="eastAsia"/>
          <w:spacing w:val="-4"/>
        </w:rPr>
        <w:t>交由國庫署</w:t>
      </w:r>
      <w:r w:rsidRPr="00271899">
        <w:rPr>
          <w:rFonts w:ascii="Times New Roman" w:hAnsi="Times New Roman"/>
          <w:spacing w:val="-4"/>
        </w:rPr>
        <w:t>第</w:t>
      </w:r>
      <w:r w:rsidRPr="00271899">
        <w:rPr>
          <w:rFonts w:ascii="Times New Roman" w:hAnsi="Times New Roman"/>
          <w:spacing w:val="-4"/>
        </w:rPr>
        <w:t>4</w:t>
      </w:r>
      <w:r w:rsidRPr="00271899">
        <w:rPr>
          <w:rFonts w:ascii="Times New Roman" w:hAnsi="Times New Roman"/>
          <w:spacing w:val="-4"/>
        </w:rPr>
        <w:t>組</w:t>
      </w:r>
      <w:r w:rsidRPr="00271899">
        <w:rPr>
          <w:rFonts w:ascii="Times New Roman" w:hAnsi="Times New Roman" w:hint="eastAsia"/>
          <w:spacing w:val="-4"/>
        </w:rPr>
        <w:t>(</w:t>
      </w:r>
      <w:r w:rsidRPr="00271899">
        <w:rPr>
          <w:rFonts w:ascii="Times New Roman" w:hAnsi="Times New Roman" w:hint="eastAsia"/>
          <w:spacing w:val="-4"/>
        </w:rPr>
        <w:t>即財務規劃組</w:t>
      </w:r>
      <w:r w:rsidRPr="00271899">
        <w:rPr>
          <w:rFonts w:ascii="Times New Roman" w:hAnsi="Times New Roman" w:hint="eastAsia"/>
          <w:spacing w:val="-4"/>
        </w:rPr>
        <w:t>)</w:t>
      </w:r>
      <w:r w:rsidR="0061078A" w:rsidRPr="00271899">
        <w:rPr>
          <w:rFonts w:ascii="Times New Roman" w:hAnsi="Times New Roman" w:hint="eastAsia"/>
          <w:spacing w:val="-4"/>
        </w:rPr>
        <w:t>數</w:t>
      </w:r>
      <w:r w:rsidRPr="00271899">
        <w:rPr>
          <w:rFonts w:ascii="Times New Roman" w:hAnsi="Times New Roman"/>
          <w:spacing w:val="-4"/>
        </w:rPr>
        <w:t>人</w:t>
      </w:r>
      <w:r w:rsidR="0061078A" w:rsidRPr="00271899">
        <w:rPr>
          <w:rFonts w:ascii="Times New Roman" w:hAnsi="Times New Roman" w:hint="eastAsia"/>
          <w:spacing w:val="-4"/>
        </w:rPr>
        <w:t>及</w:t>
      </w:r>
      <w:r w:rsidRPr="00271899">
        <w:rPr>
          <w:rFonts w:ascii="Times New Roman" w:hAnsi="Times New Roman"/>
          <w:spacing w:val="-4"/>
        </w:rPr>
        <w:t>發行機構處理</w:t>
      </w:r>
      <w:r w:rsidRPr="00271899">
        <w:rPr>
          <w:rFonts w:ascii="Times New Roman" w:hAnsi="Times New Roman" w:hint="eastAsia"/>
          <w:spacing w:val="-4"/>
        </w:rPr>
        <w:t>；而</w:t>
      </w:r>
      <w:r w:rsidRPr="00271899">
        <w:rPr>
          <w:rFonts w:ascii="Times New Roman" w:hAnsi="Times New Roman"/>
          <w:spacing w:val="-4"/>
        </w:rPr>
        <w:t>韓國作法</w:t>
      </w:r>
      <w:r w:rsidRPr="00271899">
        <w:rPr>
          <w:rFonts w:ascii="Times New Roman" w:hAnsi="Times New Roman" w:hint="eastAsia"/>
          <w:spacing w:val="-4"/>
        </w:rPr>
        <w:t>係由</w:t>
      </w:r>
      <w:r w:rsidRPr="00271899">
        <w:rPr>
          <w:rFonts w:ascii="Times New Roman" w:hAnsi="Times New Roman"/>
          <w:spacing w:val="-4"/>
        </w:rPr>
        <w:t>財政部委託一批</w:t>
      </w:r>
      <w:r w:rsidRPr="00271899">
        <w:rPr>
          <w:rFonts w:ascii="Times New Roman" w:hAnsi="Times New Roman" w:hint="eastAsia"/>
          <w:spacing w:val="-4"/>
        </w:rPr>
        <w:t>數</w:t>
      </w:r>
      <w:r w:rsidRPr="00271899">
        <w:rPr>
          <w:rFonts w:ascii="Times New Roman" w:hAnsi="Times New Roman"/>
          <w:spacing w:val="-4"/>
        </w:rPr>
        <w:t>十位專家學者，針對盈餘</w:t>
      </w:r>
      <w:r w:rsidR="0061078A" w:rsidRPr="00271899">
        <w:rPr>
          <w:rFonts w:ascii="Times New Roman" w:hAnsi="Times New Roman" w:hint="eastAsia"/>
          <w:spacing w:val="-4"/>
        </w:rPr>
        <w:t>之</w:t>
      </w:r>
      <w:r w:rsidRPr="00271899">
        <w:rPr>
          <w:rFonts w:ascii="Times New Roman" w:hAnsi="Times New Roman"/>
          <w:spacing w:val="-4"/>
        </w:rPr>
        <w:t>分配</w:t>
      </w:r>
      <w:r w:rsidR="0061078A" w:rsidRPr="00271899">
        <w:rPr>
          <w:rFonts w:ascii="Times New Roman" w:hAnsi="Times New Roman" w:hint="eastAsia"/>
          <w:spacing w:val="-4"/>
        </w:rPr>
        <w:t>及</w:t>
      </w:r>
      <w:r w:rsidRPr="00271899">
        <w:rPr>
          <w:rFonts w:ascii="Times New Roman" w:hAnsi="Times New Roman"/>
          <w:spacing w:val="-4"/>
        </w:rPr>
        <w:t>運用進行績效考核</w:t>
      </w:r>
      <w:r w:rsidRPr="00271899">
        <w:rPr>
          <w:rFonts w:ascii="Times New Roman" w:hAnsi="Times New Roman" w:hint="eastAsia"/>
          <w:spacing w:val="-4"/>
        </w:rPr>
        <w:t>；</w:t>
      </w:r>
      <w:r w:rsidRPr="00271899">
        <w:rPr>
          <w:rFonts w:ascii="Times New Roman" w:hAnsi="Times New Roman"/>
          <w:spacing w:val="-4"/>
        </w:rPr>
        <w:t>澳洲針對彩券的發行管理、盈餘分配運用等所有事項</w:t>
      </w:r>
      <w:r w:rsidRPr="00271899">
        <w:rPr>
          <w:rFonts w:ascii="Times New Roman" w:hAnsi="Times New Roman" w:hint="eastAsia"/>
          <w:spacing w:val="-4"/>
        </w:rPr>
        <w:t>，</w:t>
      </w:r>
      <w:r w:rsidR="0061078A" w:rsidRPr="00271899">
        <w:rPr>
          <w:rFonts w:ascii="Times New Roman" w:hAnsi="Times New Roman" w:hint="eastAsia"/>
          <w:spacing w:val="-4"/>
        </w:rPr>
        <w:t>係</w:t>
      </w:r>
      <w:r w:rsidRPr="00271899">
        <w:rPr>
          <w:rFonts w:ascii="Times New Roman" w:hAnsi="Times New Roman"/>
          <w:spacing w:val="-4"/>
        </w:rPr>
        <w:t>成立</w:t>
      </w:r>
      <w:r w:rsidRPr="00271899">
        <w:rPr>
          <w:rFonts w:ascii="Times New Roman" w:hAnsi="Times New Roman" w:hint="eastAsia"/>
          <w:spacing w:val="-4"/>
        </w:rPr>
        <w:t>1</w:t>
      </w:r>
      <w:r w:rsidRPr="00271899">
        <w:rPr>
          <w:rFonts w:ascii="Times New Roman" w:hAnsi="Times New Roman" w:hint="eastAsia"/>
          <w:spacing w:val="-4"/>
        </w:rPr>
        <w:t>家</w:t>
      </w:r>
      <w:r w:rsidRPr="00271899">
        <w:rPr>
          <w:rFonts w:ascii="Times New Roman" w:hAnsi="Times New Roman"/>
          <w:spacing w:val="-4"/>
        </w:rPr>
        <w:t>國營公司</w:t>
      </w:r>
      <w:r w:rsidRPr="00271899">
        <w:rPr>
          <w:rFonts w:ascii="Times New Roman" w:hAnsi="Times New Roman" w:hint="eastAsia"/>
          <w:spacing w:val="-4"/>
        </w:rPr>
        <w:t>(</w:t>
      </w:r>
      <w:r w:rsidRPr="00271899">
        <w:rPr>
          <w:rFonts w:ascii="Times New Roman" w:hAnsi="Times New Roman" w:hint="eastAsia"/>
          <w:spacing w:val="-4"/>
        </w:rPr>
        <w:t>即</w:t>
      </w:r>
      <w:r w:rsidRPr="00271899">
        <w:rPr>
          <w:rFonts w:ascii="Times New Roman" w:hAnsi="Times New Roman"/>
          <w:spacing w:val="-4"/>
        </w:rPr>
        <w:t>彩券局</w:t>
      </w:r>
      <w:r w:rsidRPr="00271899">
        <w:rPr>
          <w:rFonts w:ascii="Times New Roman" w:hAnsi="Times New Roman" w:hint="eastAsia"/>
          <w:spacing w:val="-4"/>
        </w:rPr>
        <w:t>)</w:t>
      </w:r>
      <w:r w:rsidRPr="00271899">
        <w:rPr>
          <w:rFonts w:ascii="Times New Roman" w:hAnsi="Times New Roman" w:hint="eastAsia"/>
          <w:spacing w:val="-4"/>
        </w:rPr>
        <w:t>專責辦理</w:t>
      </w:r>
      <w:r w:rsidRPr="00271899">
        <w:rPr>
          <w:rFonts w:ascii="Times New Roman" w:hAnsi="Times New Roman"/>
          <w:spacing w:val="-4"/>
        </w:rPr>
        <w:t>，員工上百人，總經理的頭銜</w:t>
      </w:r>
      <w:r w:rsidRPr="00271899">
        <w:rPr>
          <w:rFonts w:ascii="Times New Roman" w:hAnsi="Times New Roman" w:hint="eastAsia"/>
          <w:spacing w:val="-4"/>
        </w:rPr>
        <w:t>為</w:t>
      </w:r>
      <w:r w:rsidRPr="00271899">
        <w:rPr>
          <w:rFonts w:ascii="Times New Roman" w:hAnsi="Times New Roman"/>
          <w:spacing w:val="-4"/>
        </w:rPr>
        <w:t>CEO</w:t>
      </w:r>
      <w:r w:rsidRPr="00271899">
        <w:rPr>
          <w:rFonts w:ascii="Times New Roman" w:hAnsi="Times New Roman"/>
          <w:spacing w:val="-4"/>
        </w:rPr>
        <w:t>，</w:t>
      </w:r>
      <w:r w:rsidRPr="00271899">
        <w:rPr>
          <w:rFonts w:ascii="Times New Roman" w:hAnsi="Times New Roman" w:hint="eastAsia"/>
          <w:spacing w:val="-4"/>
        </w:rPr>
        <w:t>非</w:t>
      </w:r>
      <w:r w:rsidRPr="00271899">
        <w:rPr>
          <w:rFonts w:ascii="Times New Roman" w:hAnsi="Times New Roman"/>
          <w:spacing w:val="-4"/>
        </w:rPr>
        <w:t>公務員，</w:t>
      </w:r>
      <w:r w:rsidRPr="00271899">
        <w:rPr>
          <w:rFonts w:ascii="Times New Roman" w:hAnsi="Times New Roman" w:hint="eastAsia"/>
          <w:spacing w:val="-4"/>
        </w:rPr>
        <w:t>且</w:t>
      </w:r>
      <w:r w:rsidR="0061078A" w:rsidRPr="00271899">
        <w:rPr>
          <w:rFonts w:ascii="Times New Roman" w:hAnsi="Times New Roman" w:hint="eastAsia"/>
          <w:spacing w:val="-4"/>
        </w:rPr>
        <w:t>該局考量彩券</w:t>
      </w:r>
      <w:r w:rsidRPr="00271899">
        <w:rPr>
          <w:rFonts w:ascii="Times New Roman" w:hAnsi="Times New Roman"/>
          <w:spacing w:val="-4"/>
        </w:rPr>
        <w:t>盈餘的分配管理</w:t>
      </w:r>
      <w:r w:rsidRPr="00271899">
        <w:rPr>
          <w:rFonts w:ascii="Times New Roman" w:hAnsi="Times New Roman" w:hint="eastAsia"/>
          <w:spacing w:val="-4"/>
        </w:rPr>
        <w:t>為重要事項，</w:t>
      </w:r>
      <w:r w:rsidR="0061078A" w:rsidRPr="00271899">
        <w:rPr>
          <w:rFonts w:ascii="Times New Roman" w:hAnsi="Times New Roman" w:hint="eastAsia"/>
          <w:spacing w:val="-4"/>
        </w:rPr>
        <w:t>爰配置</w:t>
      </w:r>
      <w:r w:rsidRPr="00271899">
        <w:rPr>
          <w:rFonts w:ascii="Times New Roman" w:hAnsi="Times New Roman" w:hint="eastAsia"/>
          <w:spacing w:val="-4"/>
        </w:rPr>
        <w:t>數</w:t>
      </w:r>
      <w:r w:rsidRPr="00271899">
        <w:rPr>
          <w:rFonts w:ascii="Times New Roman" w:hAnsi="Times New Roman"/>
          <w:spacing w:val="-4"/>
        </w:rPr>
        <w:t>十</w:t>
      </w:r>
      <w:r w:rsidRPr="00271899">
        <w:rPr>
          <w:rFonts w:ascii="Times New Roman" w:hAnsi="Times New Roman" w:hint="eastAsia"/>
          <w:spacing w:val="-4"/>
        </w:rPr>
        <w:t>位員工</w:t>
      </w:r>
      <w:r w:rsidRPr="00271899">
        <w:rPr>
          <w:rFonts w:ascii="Times New Roman" w:hAnsi="Times New Roman"/>
          <w:spacing w:val="-4"/>
        </w:rPr>
        <w:t>負責</w:t>
      </w:r>
      <w:r w:rsidRPr="00271899">
        <w:rPr>
          <w:rFonts w:ascii="Times New Roman" w:hAnsi="Times New Roman" w:hint="eastAsia"/>
          <w:spacing w:val="-4"/>
        </w:rPr>
        <w:t>該項業務</w:t>
      </w:r>
      <w:r w:rsidRPr="00271899">
        <w:rPr>
          <w:rFonts w:ascii="Times New Roman" w:hAnsi="Times New Roman"/>
          <w:spacing w:val="-4"/>
        </w:rPr>
        <w:t>，與韓國的</w:t>
      </w:r>
      <w:r w:rsidRPr="00271899">
        <w:rPr>
          <w:rFonts w:ascii="Times New Roman" w:hAnsi="Times New Roman" w:hint="eastAsia"/>
          <w:spacing w:val="-4"/>
        </w:rPr>
        <w:t>作法</w:t>
      </w:r>
      <w:r w:rsidRPr="00271899">
        <w:rPr>
          <w:rFonts w:ascii="Times New Roman" w:hAnsi="Times New Roman"/>
          <w:spacing w:val="-4"/>
        </w:rPr>
        <w:t>雷同</w:t>
      </w:r>
      <w:r w:rsidR="0061078A" w:rsidRPr="00271899">
        <w:rPr>
          <w:rFonts w:ascii="Times New Roman" w:hAnsi="Times New Roman" w:hint="eastAsia"/>
          <w:spacing w:val="-4"/>
        </w:rPr>
        <w:t>，</w:t>
      </w:r>
      <w:r w:rsidRPr="00271899">
        <w:rPr>
          <w:rFonts w:ascii="Times New Roman" w:hAnsi="Times New Roman"/>
          <w:spacing w:val="-4"/>
        </w:rPr>
        <w:t>新加坡</w:t>
      </w:r>
      <w:r w:rsidRPr="00271899">
        <w:rPr>
          <w:rFonts w:ascii="Times New Roman" w:hAnsi="Times New Roman" w:hint="eastAsia"/>
          <w:spacing w:val="-4"/>
        </w:rPr>
        <w:t>亦</w:t>
      </w:r>
      <w:r w:rsidRPr="00271899">
        <w:rPr>
          <w:rFonts w:ascii="Times New Roman" w:hAnsi="Times New Roman"/>
          <w:spacing w:val="-4"/>
        </w:rPr>
        <w:t>成立專責單位彩券局</w:t>
      </w:r>
      <w:r w:rsidRPr="00271899">
        <w:rPr>
          <w:rFonts w:ascii="Times New Roman" w:hAnsi="Times New Roman" w:hint="eastAsia"/>
          <w:spacing w:val="-4"/>
        </w:rPr>
        <w:t>，</w:t>
      </w:r>
      <w:r w:rsidRPr="00271899">
        <w:rPr>
          <w:rFonts w:ascii="Times New Roman" w:hAnsi="Times New Roman"/>
          <w:spacing w:val="-4"/>
        </w:rPr>
        <w:t>世界各國除日本之外，</w:t>
      </w:r>
      <w:r w:rsidRPr="00271899">
        <w:rPr>
          <w:rFonts w:ascii="Times New Roman" w:hAnsi="Times New Roman" w:hint="eastAsia"/>
          <w:spacing w:val="-4"/>
        </w:rPr>
        <w:t>皆</w:t>
      </w:r>
      <w:r w:rsidRPr="00271899">
        <w:rPr>
          <w:rFonts w:ascii="Times New Roman" w:hAnsi="Times New Roman"/>
          <w:spacing w:val="-4"/>
        </w:rPr>
        <w:t>設有彩券專責機構</w:t>
      </w:r>
      <w:r w:rsidRPr="00271899">
        <w:rPr>
          <w:rFonts w:ascii="Times New Roman" w:hAnsi="Times New Roman" w:hint="eastAsia"/>
          <w:spacing w:val="-4"/>
        </w:rPr>
        <w:t>；</w:t>
      </w:r>
      <w:r w:rsidRPr="00271899">
        <w:rPr>
          <w:rFonts w:ascii="Times New Roman" w:hAnsi="Times New Roman"/>
          <w:spacing w:val="-4"/>
        </w:rPr>
        <w:t>反觀我國</w:t>
      </w:r>
      <w:r w:rsidRPr="00271899">
        <w:rPr>
          <w:rFonts w:ascii="Times New Roman" w:hAnsi="Times New Roman" w:hint="eastAsia"/>
          <w:spacing w:val="-4"/>
        </w:rPr>
        <w:t>，並未設立</w:t>
      </w:r>
      <w:r w:rsidRPr="00271899">
        <w:rPr>
          <w:rFonts w:ascii="Times New Roman" w:hAnsi="Times New Roman"/>
          <w:spacing w:val="-4"/>
        </w:rPr>
        <w:t>專責機構，</w:t>
      </w:r>
      <w:r w:rsidRPr="00271899">
        <w:rPr>
          <w:rFonts w:ascii="Times New Roman" w:hAnsi="Times New Roman" w:hint="eastAsia"/>
          <w:spacing w:val="-4"/>
        </w:rPr>
        <w:t>係</w:t>
      </w:r>
      <w:r w:rsidRPr="00271899">
        <w:rPr>
          <w:rFonts w:ascii="Times New Roman" w:hAnsi="Times New Roman"/>
          <w:spacing w:val="-4"/>
        </w:rPr>
        <w:t>交</w:t>
      </w:r>
      <w:r w:rsidR="0061078A" w:rsidRPr="00271899">
        <w:rPr>
          <w:rFonts w:ascii="Times New Roman" w:hAnsi="Times New Roman" w:hint="eastAsia"/>
          <w:spacing w:val="-4"/>
        </w:rPr>
        <w:t>由</w:t>
      </w:r>
      <w:r w:rsidRPr="00271899">
        <w:rPr>
          <w:rFonts w:ascii="Times New Roman" w:hAnsi="Times New Roman"/>
          <w:spacing w:val="-4"/>
        </w:rPr>
        <w:t>財政部國庫署第</w:t>
      </w:r>
      <w:r w:rsidRPr="00271899">
        <w:rPr>
          <w:rFonts w:ascii="Times New Roman" w:hAnsi="Times New Roman"/>
          <w:spacing w:val="-4"/>
        </w:rPr>
        <w:t>4</w:t>
      </w:r>
      <w:r w:rsidRPr="00271899">
        <w:rPr>
          <w:rFonts w:ascii="Times New Roman" w:hAnsi="Times New Roman"/>
          <w:spacing w:val="-4"/>
        </w:rPr>
        <w:t>組</w:t>
      </w:r>
      <w:r w:rsidR="0061078A" w:rsidRPr="00271899">
        <w:rPr>
          <w:rFonts w:ascii="Times New Roman" w:hAnsi="Times New Roman" w:hint="eastAsia"/>
          <w:spacing w:val="-4"/>
        </w:rPr>
        <w:t>及</w:t>
      </w:r>
      <w:r w:rsidRPr="00271899">
        <w:rPr>
          <w:rFonts w:ascii="Times New Roman" w:hAnsi="Times New Roman"/>
          <w:spacing w:val="-4"/>
        </w:rPr>
        <w:t>發行機構；盈餘</w:t>
      </w:r>
      <w:r w:rsidRPr="00271899">
        <w:rPr>
          <w:rFonts w:ascii="Times New Roman" w:hAnsi="Times New Roman" w:hint="eastAsia"/>
          <w:spacing w:val="-4"/>
        </w:rPr>
        <w:t>之分配與</w:t>
      </w:r>
      <w:r w:rsidRPr="00271899">
        <w:rPr>
          <w:rFonts w:ascii="Times New Roman" w:hAnsi="Times New Roman"/>
          <w:spacing w:val="-4"/>
        </w:rPr>
        <w:t>運用，則交</w:t>
      </w:r>
      <w:r w:rsidRPr="00271899">
        <w:rPr>
          <w:rFonts w:ascii="Times New Roman" w:hAnsi="Times New Roman" w:hint="eastAsia"/>
          <w:spacing w:val="-4"/>
        </w:rPr>
        <w:t>由</w:t>
      </w:r>
      <w:r w:rsidRPr="00271899">
        <w:rPr>
          <w:rFonts w:ascii="Times New Roman" w:hAnsi="Times New Roman"/>
          <w:spacing w:val="-4"/>
        </w:rPr>
        <w:t>衛福部、</w:t>
      </w:r>
      <w:r w:rsidRPr="00271899">
        <w:rPr>
          <w:rFonts w:ascii="Times New Roman" w:hAnsi="Times New Roman" w:hint="eastAsia"/>
          <w:spacing w:val="-4"/>
        </w:rPr>
        <w:t>中央健康保險署</w:t>
      </w:r>
      <w:r w:rsidRPr="00271899">
        <w:rPr>
          <w:rFonts w:ascii="Times New Roman" w:hAnsi="Times New Roman"/>
          <w:spacing w:val="-4"/>
        </w:rPr>
        <w:t>、地方政府</w:t>
      </w:r>
      <w:r w:rsidR="0061078A" w:rsidRPr="00271899">
        <w:rPr>
          <w:rFonts w:ascii="Times New Roman" w:hAnsi="Times New Roman" w:hint="eastAsia"/>
          <w:spacing w:val="-4"/>
        </w:rPr>
        <w:t>；而</w:t>
      </w:r>
      <w:r w:rsidRPr="00271899">
        <w:rPr>
          <w:rFonts w:ascii="Times New Roman" w:hAnsi="Times New Roman" w:hint="eastAsia"/>
          <w:spacing w:val="-4"/>
        </w:rPr>
        <w:t>地方政府如何運用盈餘分配款，</w:t>
      </w:r>
      <w:r w:rsidR="0061078A" w:rsidRPr="00271899">
        <w:rPr>
          <w:rFonts w:ascii="Times New Roman" w:hAnsi="Times New Roman" w:hint="eastAsia"/>
          <w:spacing w:val="-4"/>
        </w:rPr>
        <w:t>則</w:t>
      </w:r>
      <w:r w:rsidRPr="00271899">
        <w:rPr>
          <w:rFonts w:ascii="Times New Roman" w:hAnsi="Times New Roman" w:hint="eastAsia"/>
          <w:spacing w:val="-4"/>
        </w:rPr>
        <w:t>由</w:t>
      </w:r>
      <w:r w:rsidRPr="00271899">
        <w:rPr>
          <w:rFonts w:ascii="Times New Roman" w:hAnsi="Times New Roman"/>
          <w:spacing w:val="-4"/>
        </w:rPr>
        <w:t>各縣市</w:t>
      </w:r>
      <w:r w:rsidRPr="00271899">
        <w:rPr>
          <w:rFonts w:ascii="Times New Roman" w:hAnsi="Times New Roman" w:hint="eastAsia"/>
          <w:spacing w:val="-4"/>
        </w:rPr>
        <w:t>管理</w:t>
      </w:r>
      <w:r w:rsidRPr="00271899">
        <w:rPr>
          <w:rFonts w:ascii="Times New Roman" w:hAnsi="Times New Roman"/>
          <w:spacing w:val="-4"/>
        </w:rPr>
        <w:t>委員會</w:t>
      </w:r>
      <w:r w:rsidRPr="00271899">
        <w:rPr>
          <w:rFonts w:ascii="Times New Roman" w:hAnsi="Times New Roman" w:hint="eastAsia"/>
          <w:spacing w:val="-4"/>
        </w:rPr>
        <w:t>召開會議</w:t>
      </w:r>
      <w:r w:rsidRPr="00271899">
        <w:rPr>
          <w:rFonts w:ascii="Times New Roman" w:hAnsi="Times New Roman"/>
          <w:spacing w:val="-4"/>
        </w:rPr>
        <w:t>討論</w:t>
      </w:r>
      <w:r w:rsidRPr="00271899">
        <w:rPr>
          <w:rFonts w:ascii="Times New Roman" w:hAnsi="Times New Roman" w:hint="eastAsia"/>
          <w:spacing w:val="-4"/>
        </w:rPr>
        <w:t>決定</w:t>
      </w:r>
      <w:r w:rsidRPr="00271899">
        <w:rPr>
          <w:rFonts w:ascii="Times New Roman" w:hAnsi="Times New Roman"/>
          <w:spacing w:val="-4"/>
        </w:rPr>
        <w:t>，</w:t>
      </w:r>
      <w:r w:rsidRPr="00271899">
        <w:rPr>
          <w:rFonts w:ascii="Times New Roman" w:hAnsi="Times New Roman" w:hint="eastAsia"/>
          <w:spacing w:val="-4"/>
        </w:rPr>
        <w:t>不僅難以</w:t>
      </w:r>
      <w:r w:rsidRPr="00271899">
        <w:rPr>
          <w:rFonts w:ascii="Times New Roman" w:hAnsi="Times New Roman"/>
          <w:spacing w:val="-4"/>
        </w:rPr>
        <w:t>調整，</w:t>
      </w:r>
      <w:r w:rsidRPr="00271899">
        <w:rPr>
          <w:rFonts w:ascii="Times New Roman" w:hAnsi="Times New Roman" w:hint="eastAsia"/>
          <w:spacing w:val="-4"/>
        </w:rPr>
        <w:t>也無法看出</w:t>
      </w:r>
      <w:r w:rsidRPr="00271899">
        <w:rPr>
          <w:rFonts w:ascii="Times New Roman" w:hAnsi="Times New Roman"/>
          <w:spacing w:val="-4"/>
        </w:rPr>
        <w:t>執行績效</w:t>
      </w:r>
      <w:r w:rsidRPr="00271899">
        <w:rPr>
          <w:rFonts w:ascii="Times New Roman" w:hAnsi="Times New Roman" w:hint="eastAsia"/>
          <w:spacing w:val="-4"/>
        </w:rPr>
        <w:t>之</w:t>
      </w:r>
      <w:r w:rsidRPr="00271899">
        <w:rPr>
          <w:rFonts w:ascii="Times New Roman" w:hAnsi="Times New Roman"/>
          <w:spacing w:val="-4"/>
        </w:rPr>
        <w:t>優劣</w:t>
      </w:r>
      <w:r w:rsidRPr="00271899">
        <w:rPr>
          <w:rFonts w:ascii="Times New Roman" w:hAnsi="Times New Roman" w:hint="eastAsia"/>
          <w:spacing w:val="-4"/>
        </w:rPr>
        <w:t>等語</w:t>
      </w:r>
      <w:r w:rsidRPr="00271899">
        <w:rPr>
          <w:rFonts w:ascii="Times New Roman" w:hAnsi="Times New Roman"/>
          <w:spacing w:val="-4"/>
        </w:rPr>
        <w:t>。</w:t>
      </w:r>
      <w:bookmarkEnd w:id="2083"/>
      <w:bookmarkEnd w:id="2084"/>
      <w:bookmarkEnd w:id="2085"/>
      <w:bookmarkEnd w:id="2086"/>
    </w:p>
    <w:p w:rsidR="0040606A" w:rsidRPr="00950F94" w:rsidRDefault="0040606A" w:rsidP="0040606A">
      <w:pPr>
        <w:pStyle w:val="3"/>
        <w:numPr>
          <w:ilvl w:val="2"/>
          <w:numId w:val="9"/>
        </w:numPr>
        <w:kinsoku w:val="0"/>
        <w:ind w:left="1360" w:hanging="680"/>
      </w:pPr>
      <w:bookmarkStart w:id="2087" w:name="_Toc511308283"/>
      <w:bookmarkStart w:id="2088" w:name="_Toc511998727"/>
      <w:bookmarkStart w:id="2089" w:name="_Toc512421084"/>
      <w:r w:rsidRPr="001613FA">
        <w:rPr>
          <w:rFonts w:ascii="Times New Roman" w:hAnsi="Times New Roman" w:hint="eastAsia"/>
        </w:rPr>
        <w:t>綜上</w:t>
      </w:r>
      <w:r w:rsidRPr="0061078A">
        <w:rPr>
          <w:rFonts w:ascii="Times New Roman" w:hAnsi="Times New Roman" w:hint="eastAsia"/>
        </w:rPr>
        <w:t>，</w:t>
      </w:r>
      <w:bookmarkEnd w:id="2087"/>
      <w:r w:rsidR="00950F94" w:rsidRPr="0061078A">
        <w:rPr>
          <w:rFonts w:ascii="Times New Roman" w:hAnsi="Times New Roman" w:hint="eastAsia"/>
        </w:rPr>
        <w:t>截至</w:t>
      </w:r>
      <w:r w:rsidR="00950F94" w:rsidRPr="0061078A">
        <w:rPr>
          <w:rFonts w:ascii="Times New Roman" w:hAnsi="Times New Roman" w:hint="eastAsia"/>
        </w:rPr>
        <w:t>105</w:t>
      </w:r>
      <w:r w:rsidR="00950F94" w:rsidRPr="0061078A">
        <w:rPr>
          <w:rFonts w:ascii="Times New Roman" w:hAnsi="Times New Roman" w:hint="eastAsia"/>
        </w:rPr>
        <w:t>年底，</w:t>
      </w:r>
      <w:r w:rsidR="00950F94" w:rsidRPr="0061078A">
        <w:rPr>
          <w:rFonts w:ascii="Times New Roman" w:hAnsi="Times New Roman"/>
        </w:rPr>
        <w:t>公益彩券</w:t>
      </w:r>
      <w:r w:rsidR="00950F94" w:rsidRPr="0061078A">
        <w:rPr>
          <w:rFonts w:ascii="Times New Roman" w:hAnsi="Times New Roman" w:hint="eastAsia"/>
        </w:rPr>
        <w:t>盈餘</w:t>
      </w:r>
      <w:r w:rsidR="00950F94" w:rsidRPr="0061078A">
        <w:rPr>
          <w:rFonts w:ascii="Times New Roman" w:hAnsi="Times New Roman"/>
        </w:rPr>
        <w:t>挹注全國</w:t>
      </w:r>
      <w:r w:rsidR="00950F94" w:rsidRPr="0061078A">
        <w:rPr>
          <w:rFonts w:ascii="Times New Roman" w:hAnsi="Times New Roman" w:hint="eastAsia"/>
        </w:rPr>
        <w:t>22</w:t>
      </w:r>
      <w:r w:rsidR="00950F94" w:rsidRPr="0061078A">
        <w:rPr>
          <w:rFonts w:ascii="Times New Roman" w:hAnsi="Times New Roman" w:hint="eastAsia"/>
        </w:rPr>
        <w:t>個</w:t>
      </w:r>
      <w:r w:rsidR="00950F94" w:rsidRPr="0061078A">
        <w:rPr>
          <w:rFonts w:ascii="Times New Roman" w:hAnsi="Times New Roman"/>
        </w:rPr>
        <w:t>地方政府辦理社會福利</w:t>
      </w:r>
      <w:r w:rsidR="00950F94" w:rsidRPr="0061078A">
        <w:rPr>
          <w:rFonts w:ascii="Times New Roman" w:hAnsi="Times New Roman" w:hint="eastAsia"/>
        </w:rPr>
        <w:t>之金額累積已達</w:t>
      </w:r>
      <w:r w:rsidR="00950F94" w:rsidRPr="0061078A">
        <w:rPr>
          <w:rFonts w:ascii="Times New Roman" w:hAnsi="Times New Roman"/>
        </w:rPr>
        <w:t>1,</w:t>
      </w:r>
      <w:r w:rsidR="00950F94" w:rsidRPr="0061078A">
        <w:rPr>
          <w:rFonts w:ascii="Times New Roman" w:hAnsi="Times New Roman" w:hint="eastAsia"/>
        </w:rPr>
        <w:t>932</w:t>
      </w:r>
      <w:r w:rsidR="00950F94" w:rsidRPr="0061078A">
        <w:rPr>
          <w:rFonts w:ascii="Times New Roman" w:hAnsi="Times New Roman" w:hint="eastAsia"/>
        </w:rPr>
        <w:t>億餘元，已成為地方推動社會福利之重要財源</w:t>
      </w:r>
      <w:r w:rsidR="007C3949" w:rsidRPr="0061078A">
        <w:rPr>
          <w:rFonts w:ascii="Times New Roman" w:hAnsi="Times New Roman" w:hint="eastAsia"/>
        </w:rPr>
        <w:t>。</w:t>
      </w:r>
      <w:r w:rsidR="00950F94" w:rsidRPr="0061078A">
        <w:rPr>
          <w:rFonts w:ascii="Times New Roman" w:hAnsi="Times New Roman"/>
        </w:rPr>
        <w:t>財政部</w:t>
      </w:r>
      <w:r w:rsidR="007C3949" w:rsidRPr="0061078A">
        <w:rPr>
          <w:rFonts w:ascii="Times New Roman" w:hAnsi="Times New Roman" w:hint="eastAsia"/>
        </w:rPr>
        <w:t>雖</w:t>
      </w:r>
      <w:r w:rsidR="00950F94" w:rsidRPr="0061078A">
        <w:rPr>
          <w:rFonts w:ascii="Times New Roman" w:hAnsi="Times New Roman"/>
        </w:rPr>
        <w:t>為主管機關，</w:t>
      </w:r>
      <w:r w:rsidR="007C3949" w:rsidRPr="0061078A">
        <w:rPr>
          <w:rFonts w:ascii="Times New Roman" w:hAnsi="Times New Roman" w:hint="eastAsia"/>
        </w:rPr>
        <w:t>惟</w:t>
      </w:r>
      <w:r w:rsidR="00950F94" w:rsidRPr="0061078A">
        <w:rPr>
          <w:rFonts w:ascii="Times New Roman" w:hAnsi="Times New Roman" w:hint="eastAsia"/>
        </w:rPr>
        <w:t>對於公益彩券盈餘之分配及管理運用績效，僅賴該部國庫署</w:t>
      </w:r>
      <w:r w:rsidR="00950F94" w:rsidRPr="0061078A">
        <w:rPr>
          <w:rFonts w:ascii="Times New Roman" w:hAnsi="Times New Roman" w:hint="eastAsia"/>
        </w:rPr>
        <w:t>(</w:t>
      </w:r>
      <w:r w:rsidR="00950F94" w:rsidRPr="0061078A">
        <w:rPr>
          <w:rFonts w:ascii="Times New Roman" w:hAnsi="Times New Roman" w:hint="eastAsia"/>
        </w:rPr>
        <w:t>財務規劃組</w:t>
      </w:r>
      <w:r w:rsidR="00950F94" w:rsidRPr="0061078A">
        <w:rPr>
          <w:rFonts w:ascii="Times New Roman" w:hAnsi="Times New Roman" w:hint="eastAsia"/>
        </w:rPr>
        <w:t>)</w:t>
      </w:r>
      <w:r w:rsidR="00950F94" w:rsidRPr="0061078A">
        <w:rPr>
          <w:rFonts w:ascii="Times New Roman" w:hAnsi="Times New Roman" w:hint="eastAsia"/>
        </w:rPr>
        <w:t>之力負責幕僚作業，並搭配納入衛福部</w:t>
      </w:r>
      <w:r w:rsidR="00950F94" w:rsidRPr="0061078A">
        <w:rPr>
          <w:rFonts w:ascii="Times New Roman" w:hAnsi="Times New Roman"/>
        </w:rPr>
        <w:t>2</w:t>
      </w:r>
      <w:r w:rsidR="00950F94" w:rsidRPr="0061078A">
        <w:rPr>
          <w:rFonts w:ascii="Times New Roman" w:hAnsi="Times New Roman"/>
        </w:rPr>
        <w:t>年</w:t>
      </w:r>
      <w:r w:rsidR="00950F94" w:rsidRPr="0061078A">
        <w:rPr>
          <w:rFonts w:ascii="Times New Roman" w:hAnsi="Times New Roman"/>
        </w:rPr>
        <w:t>1</w:t>
      </w:r>
      <w:r w:rsidR="00950F94" w:rsidRPr="0061078A">
        <w:rPr>
          <w:rFonts w:ascii="Times New Roman" w:hAnsi="Times New Roman"/>
        </w:rPr>
        <w:t>次之社會福利績效考核</w:t>
      </w:r>
      <w:r w:rsidR="00950F94" w:rsidRPr="0061078A">
        <w:rPr>
          <w:rFonts w:ascii="Times New Roman" w:hAnsi="Times New Roman" w:hint="eastAsia"/>
        </w:rPr>
        <w:t>作業，該部不僅欠缺政策上之主導功能，監督角色與力道亦顯不足，應予檢討改進，俾有效使用</w:t>
      </w:r>
      <w:r w:rsidR="00950F94" w:rsidRPr="0061078A">
        <w:rPr>
          <w:rFonts w:ascii="Times New Roman" w:hAnsi="Times New Roman"/>
        </w:rPr>
        <w:t>社會福利資源，達成公益彩券</w:t>
      </w:r>
      <w:r w:rsidR="00F8504F">
        <w:rPr>
          <w:rFonts w:ascii="Times New Roman" w:hAnsi="Times New Roman" w:hint="eastAsia"/>
        </w:rPr>
        <w:t>係</w:t>
      </w:r>
      <w:r w:rsidR="0061078A">
        <w:rPr>
          <w:rFonts w:ascii="Times New Roman" w:hAnsi="Times New Roman" w:hint="eastAsia"/>
        </w:rPr>
        <w:t>扶助</w:t>
      </w:r>
      <w:r w:rsidR="00950F94" w:rsidRPr="0061078A">
        <w:rPr>
          <w:rFonts w:ascii="Times New Roman" w:hAnsi="Times New Roman"/>
        </w:rPr>
        <w:t>社會弱勢及</w:t>
      </w:r>
      <w:r w:rsidR="00950F94" w:rsidRPr="0061078A">
        <w:rPr>
          <w:rFonts w:ascii="Times New Roman" w:hAnsi="Times New Roman" w:hint="eastAsia"/>
        </w:rPr>
        <w:t>增進</w:t>
      </w:r>
      <w:r w:rsidR="00950F94" w:rsidRPr="0061078A">
        <w:rPr>
          <w:rFonts w:ascii="Times New Roman" w:hAnsi="Times New Roman"/>
        </w:rPr>
        <w:t>社會福利的</w:t>
      </w:r>
      <w:r w:rsidR="0061078A">
        <w:rPr>
          <w:rFonts w:ascii="Times New Roman" w:hAnsi="Times New Roman" w:hint="eastAsia"/>
        </w:rPr>
        <w:t>核心價值</w:t>
      </w:r>
      <w:r w:rsidR="00950F94" w:rsidRPr="0061078A">
        <w:rPr>
          <w:rFonts w:ascii="Times New Roman" w:hAnsi="Times New Roman" w:hint="eastAsia"/>
        </w:rPr>
        <w:t>。</w:t>
      </w:r>
      <w:bookmarkEnd w:id="2088"/>
      <w:bookmarkEnd w:id="2089"/>
    </w:p>
    <w:p w:rsidR="0040606A" w:rsidRDefault="0040606A" w:rsidP="0040606A">
      <w:pPr>
        <w:pStyle w:val="1"/>
        <w:numPr>
          <w:ilvl w:val="0"/>
          <w:numId w:val="9"/>
        </w:numPr>
        <w:ind w:left="2380" w:hanging="2380"/>
      </w:pPr>
      <w:r>
        <w:rPr>
          <w:rFonts w:hint="eastAsia"/>
        </w:rPr>
        <w:br w:type="page"/>
      </w:r>
      <w:bookmarkStart w:id="2090" w:name="_Toc507518677"/>
      <w:bookmarkStart w:id="2091" w:name="_Toc507073005"/>
      <w:bookmarkStart w:id="2092" w:name="_Toc507767766"/>
      <w:bookmarkStart w:id="2093" w:name="_Toc511115495"/>
      <w:bookmarkStart w:id="2094" w:name="_Toc512421085"/>
      <w:r>
        <w:rPr>
          <w:rFonts w:hint="eastAsia"/>
        </w:rPr>
        <w:t>處理辦法：</w:t>
      </w:r>
      <w:bookmarkEnd w:id="2090"/>
      <w:bookmarkEnd w:id="2091"/>
      <w:bookmarkEnd w:id="2092"/>
      <w:bookmarkEnd w:id="2093"/>
      <w:bookmarkEnd w:id="2094"/>
    </w:p>
    <w:p w:rsidR="0040606A" w:rsidRDefault="0040606A" w:rsidP="0040606A">
      <w:pPr>
        <w:pStyle w:val="2"/>
        <w:numPr>
          <w:ilvl w:val="1"/>
          <w:numId w:val="9"/>
        </w:numPr>
      </w:pPr>
      <w:bookmarkStart w:id="2095" w:name="_Toc507518678"/>
      <w:bookmarkStart w:id="2096" w:name="_Toc507491661"/>
      <w:bookmarkStart w:id="2097" w:name="_Toc507484830"/>
      <w:bookmarkStart w:id="2098" w:name="_Toc507403679"/>
      <w:bookmarkStart w:id="2099" w:name="_Toc507359671"/>
      <w:bookmarkStart w:id="2100" w:name="_Toc507168705"/>
      <w:bookmarkStart w:id="2101" w:name="_Toc507163502"/>
      <w:bookmarkStart w:id="2102" w:name="_Toc507163250"/>
      <w:bookmarkStart w:id="2103" w:name="_Toc507073006"/>
      <w:bookmarkStart w:id="2104" w:name="_Toc507767767"/>
      <w:bookmarkStart w:id="2105" w:name="_Toc507768493"/>
      <w:bookmarkStart w:id="2106" w:name="_Toc511115496"/>
      <w:bookmarkStart w:id="2107" w:name="_Toc511308285"/>
      <w:bookmarkStart w:id="2108" w:name="_Toc511998729"/>
      <w:bookmarkStart w:id="2109" w:name="_Toc512421086"/>
      <w:r>
        <w:rPr>
          <w:rFonts w:hint="eastAsia"/>
        </w:rPr>
        <w:t>調查意見一，提案糾正財政部</w:t>
      </w:r>
      <w:bookmarkEnd w:id="2095"/>
      <w:bookmarkEnd w:id="2096"/>
      <w:bookmarkEnd w:id="2097"/>
      <w:bookmarkEnd w:id="2098"/>
      <w:bookmarkEnd w:id="2099"/>
      <w:bookmarkEnd w:id="2100"/>
      <w:bookmarkEnd w:id="2101"/>
      <w:bookmarkEnd w:id="2102"/>
      <w:bookmarkEnd w:id="2103"/>
      <w:r>
        <w:rPr>
          <w:rFonts w:hint="eastAsia"/>
        </w:rPr>
        <w:t>。</w:t>
      </w:r>
      <w:bookmarkEnd w:id="2104"/>
      <w:bookmarkEnd w:id="2105"/>
      <w:bookmarkEnd w:id="2106"/>
      <w:bookmarkEnd w:id="2107"/>
      <w:bookmarkEnd w:id="2108"/>
      <w:bookmarkEnd w:id="2109"/>
    </w:p>
    <w:p w:rsidR="0040606A" w:rsidRPr="00AD1A19" w:rsidRDefault="0040606A" w:rsidP="0040606A">
      <w:pPr>
        <w:pStyle w:val="2"/>
        <w:numPr>
          <w:ilvl w:val="1"/>
          <w:numId w:val="9"/>
        </w:numPr>
      </w:pPr>
      <w:bookmarkStart w:id="2110" w:name="_Toc507518679"/>
      <w:bookmarkStart w:id="2111" w:name="_Toc507491662"/>
      <w:bookmarkStart w:id="2112" w:name="_Toc507484831"/>
      <w:bookmarkStart w:id="2113" w:name="_Toc507403680"/>
      <w:bookmarkStart w:id="2114" w:name="_Toc507359672"/>
      <w:bookmarkStart w:id="2115" w:name="_Toc507168706"/>
      <w:bookmarkStart w:id="2116" w:name="_Toc507163503"/>
      <w:bookmarkStart w:id="2117" w:name="_Toc507163251"/>
      <w:bookmarkStart w:id="2118" w:name="_Toc507073007"/>
      <w:bookmarkStart w:id="2119" w:name="_Toc507767768"/>
      <w:bookmarkStart w:id="2120" w:name="_Toc507768494"/>
      <w:bookmarkStart w:id="2121" w:name="_Toc511115497"/>
      <w:bookmarkStart w:id="2122" w:name="_Toc511308286"/>
      <w:bookmarkStart w:id="2123" w:name="_Toc511998730"/>
      <w:bookmarkStart w:id="2124" w:name="_Toc512421087"/>
      <w:r w:rsidRPr="00AD1A19">
        <w:rPr>
          <w:rFonts w:hint="eastAsia"/>
        </w:rPr>
        <w:t>調查意見二至十</w:t>
      </w:r>
      <w:r w:rsidR="00553ECE">
        <w:rPr>
          <w:rFonts w:hint="eastAsia"/>
        </w:rPr>
        <w:t>三</w:t>
      </w:r>
      <w:r w:rsidRPr="00AD1A19">
        <w:rPr>
          <w:rFonts w:hint="eastAsia"/>
        </w:rPr>
        <w:t>，函請財政部</w:t>
      </w:r>
      <w:r w:rsidR="00875CAB">
        <w:rPr>
          <w:rFonts w:hint="eastAsia"/>
        </w:rPr>
        <w:t>確實檢討改進，並就調查意見五、六、八及九，會同</w:t>
      </w:r>
      <w:r w:rsidR="00AD1A19" w:rsidRPr="00AD1A19">
        <w:rPr>
          <w:rFonts w:hint="eastAsia"/>
        </w:rPr>
        <w:t>衛生福利部</w:t>
      </w:r>
      <w:r w:rsidRPr="00AD1A19">
        <w:rPr>
          <w:rFonts w:hint="eastAsia"/>
        </w:rPr>
        <w:t>確實檢討改進見復。</w:t>
      </w:r>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p>
    <w:p w:rsidR="0040606A" w:rsidRPr="008A647B" w:rsidRDefault="0040606A" w:rsidP="0040606A">
      <w:pPr>
        <w:pStyle w:val="2"/>
        <w:numPr>
          <w:ilvl w:val="1"/>
          <w:numId w:val="9"/>
        </w:numPr>
      </w:pPr>
      <w:bookmarkStart w:id="2125" w:name="_Toc511115498"/>
      <w:bookmarkStart w:id="2126" w:name="_Toc511308287"/>
      <w:bookmarkStart w:id="2127" w:name="_Toc511998731"/>
      <w:bookmarkStart w:id="2128" w:name="_Toc512421088"/>
      <w:r w:rsidRPr="008A647B">
        <w:rPr>
          <w:rFonts w:hint="eastAsia"/>
        </w:rPr>
        <w:t>調查意見一、四、六、七及十一，函請審計部就地方政府</w:t>
      </w:r>
      <w:r w:rsidR="003A230C" w:rsidRPr="008A647B">
        <w:rPr>
          <w:rFonts w:hint="eastAsia"/>
        </w:rPr>
        <w:t>有</w:t>
      </w:r>
      <w:r w:rsidRPr="008A647B">
        <w:rPr>
          <w:rFonts w:hint="eastAsia"/>
        </w:rPr>
        <w:t>待檢討改善之缺失事項，轉請所屬審計處室持續列管追蹤地方政府後續改進情形並依法核處見復</w:t>
      </w:r>
      <w:bookmarkEnd w:id="2125"/>
      <w:r w:rsidRPr="008A647B">
        <w:rPr>
          <w:rFonts w:hint="eastAsia"/>
        </w:rPr>
        <w:t>。</w:t>
      </w:r>
      <w:bookmarkEnd w:id="2126"/>
      <w:bookmarkEnd w:id="2127"/>
      <w:bookmarkEnd w:id="2128"/>
    </w:p>
    <w:p w:rsidR="0040606A" w:rsidRPr="00594004" w:rsidRDefault="0040606A" w:rsidP="0040606A">
      <w:pPr>
        <w:pStyle w:val="2"/>
        <w:numPr>
          <w:ilvl w:val="1"/>
          <w:numId w:val="9"/>
        </w:numPr>
      </w:pPr>
      <w:bookmarkStart w:id="2129" w:name="_Toc507518684"/>
      <w:bookmarkStart w:id="2130" w:name="_Toc507491667"/>
      <w:bookmarkStart w:id="2131" w:name="_Toc507484836"/>
      <w:bookmarkStart w:id="2132" w:name="_Toc507403685"/>
      <w:bookmarkStart w:id="2133" w:name="_Toc507359677"/>
      <w:bookmarkStart w:id="2134" w:name="_Toc507168711"/>
      <w:bookmarkStart w:id="2135" w:name="_Toc507163508"/>
      <w:bookmarkStart w:id="2136" w:name="_Toc507163256"/>
      <w:bookmarkStart w:id="2137" w:name="_Toc507073012"/>
      <w:bookmarkStart w:id="2138" w:name="_Toc507767769"/>
      <w:bookmarkStart w:id="2139" w:name="_Toc507768495"/>
      <w:bookmarkStart w:id="2140" w:name="_Toc511115499"/>
      <w:bookmarkStart w:id="2141" w:name="_Toc511308288"/>
      <w:bookmarkStart w:id="2142" w:name="_Toc511998732"/>
      <w:bookmarkStart w:id="2143" w:name="_Toc512421089"/>
      <w:r w:rsidRPr="006928C7">
        <w:rPr>
          <w:rFonts w:hint="eastAsia"/>
          <w:color w:val="000000"/>
          <w:spacing w:val="-4"/>
        </w:rPr>
        <w:t>檢附派查函及相關附件，送請財政及經濟委員會</w:t>
      </w:r>
      <w:r w:rsidR="007B4473" w:rsidRPr="006928C7">
        <w:rPr>
          <w:rFonts w:hint="eastAsia"/>
          <w:color w:val="000000"/>
          <w:spacing w:val="-4"/>
        </w:rPr>
        <w:t>、內政</w:t>
      </w:r>
      <w:r w:rsidR="007B4473">
        <w:rPr>
          <w:rFonts w:hint="eastAsia"/>
          <w:color w:val="000000"/>
        </w:rPr>
        <w:t>及少數民族委員會聯席會議</w:t>
      </w:r>
      <w:r>
        <w:rPr>
          <w:rFonts w:hint="eastAsia"/>
          <w:color w:val="000000"/>
        </w:rPr>
        <w:t>處理。</w:t>
      </w:r>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p>
    <w:p w:rsidR="00594004" w:rsidRDefault="00594004" w:rsidP="00594004">
      <w:pPr>
        <w:pStyle w:val="2"/>
        <w:numPr>
          <w:ilvl w:val="0"/>
          <w:numId w:val="0"/>
        </w:numPr>
        <w:ind w:left="1021"/>
        <w:jc w:val="center"/>
        <w:rPr>
          <w:color w:val="000000"/>
        </w:rPr>
      </w:pPr>
    </w:p>
    <w:p w:rsidR="00594004" w:rsidRDefault="00594004" w:rsidP="00594004">
      <w:pPr>
        <w:pStyle w:val="2"/>
        <w:numPr>
          <w:ilvl w:val="0"/>
          <w:numId w:val="0"/>
        </w:numPr>
        <w:ind w:left="1021"/>
        <w:jc w:val="center"/>
        <w:rPr>
          <w:color w:val="000000"/>
        </w:rPr>
      </w:pPr>
    </w:p>
    <w:p w:rsidR="00594004" w:rsidRDefault="00594004" w:rsidP="00594004">
      <w:pPr>
        <w:pStyle w:val="2"/>
        <w:numPr>
          <w:ilvl w:val="0"/>
          <w:numId w:val="0"/>
        </w:numPr>
        <w:ind w:left="1021"/>
        <w:jc w:val="center"/>
        <w:rPr>
          <w:color w:val="000000"/>
        </w:rPr>
      </w:pPr>
    </w:p>
    <w:p w:rsidR="00594004" w:rsidRDefault="00594004" w:rsidP="00594004">
      <w:pPr>
        <w:pStyle w:val="2"/>
        <w:numPr>
          <w:ilvl w:val="0"/>
          <w:numId w:val="0"/>
        </w:numPr>
        <w:ind w:left="1021"/>
        <w:jc w:val="center"/>
        <w:rPr>
          <w:rFonts w:hAnsi="標楷體"/>
          <w:spacing w:val="12"/>
          <w:kern w:val="0"/>
          <w:sz w:val="40"/>
        </w:rPr>
      </w:pPr>
      <w:r>
        <w:rPr>
          <w:rFonts w:hAnsi="標楷體" w:hint="eastAsia"/>
          <w:spacing w:val="12"/>
          <w:kern w:val="0"/>
          <w:sz w:val="40"/>
        </w:rPr>
        <w:t xml:space="preserve">              </w:t>
      </w:r>
      <w:r w:rsidRPr="006F23EE">
        <w:rPr>
          <w:rFonts w:hAnsi="標楷體" w:hint="eastAsia"/>
          <w:spacing w:val="12"/>
          <w:kern w:val="0"/>
          <w:sz w:val="40"/>
        </w:rPr>
        <w:t>調查委員：</w:t>
      </w:r>
      <w:r w:rsidRPr="00594004">
        <w:rPr>
          <w:rFonts w:hAnsi="標楷體" w:hint="eastAsia"/>
          <w:spacing w:val="12"/>
          <w:kern w:val="0"/>
          <w:sz w:val="40"/>
        </w:rPr>
        <w:t>江綺雯</w:t>
      </w:r>
    </w:p>
    <w:p w:rsidR="00594004" w:rsidRDefault="00594004" w:rsidP="00594004">
      <w:pPr>
        <w:pStyle w:val="2"/>
        <w:numPr>
          <w:ilvl w:val="0"/>
          <w:numId w:val="0"/>
        </w:numPr>
        <w:ind w:left="6521"/>
        <w:jc w:val="center"/>
        <w:rPr>
          <w:rFonts w:hint="eastAsia"/>
        </w:rPr>
      </w:pPr>
      <w:bookmarkStart w:id="2144" w:name="_GoBack"/>
      <w:bookmarkEnd w:id="2144"/>
      <w:r w:rsidRPr="00594004">
        <w:rPr>
          <w:rFonts w:hAnsi="標楷體" w:hint="eastAsia"/>
          <w:spacing w:val="12"/>
          <w:kern w:val="0"/>
          <w:sz w:val="40"/>
        </w:rPr>
        <w:t>孫大川</w:t>
      </w:r>
    </w:p>
    <w:p w:rsidR="00684138" w:rsidRDefault="00684138" w:rsidP="006D2C19">
      <w:pPr>
        <w:pStyle w:val="af3"/>
        <w:kinsoku/>
        <w:autoSpaceDE w:val="0"/>
        <w:spacing w:beforeLines="50" w:before="228"/>
        <w:ind w:leftChars="-17" w:left="809" w:hangingChars="255" w:hanging="867"/>
        <w:rPr>
          <w:bCs/>
          <w:kern w:val="32"/>
        </w:rPr>
        <w:sectPr w:rsidR="00684138">
          <w:pgSz w:w="11907" w:h="16840"/>
          <w:pgMar w:top="1701" w:right="1418" w:bottom="1418" w:left="1418" w:header="851" w:footer="851" w:gutter="227"/>
          <w:cols w:space="720"/>
          <w:docGrid w:type="linesAndChars" w:linePitch="457" w:charSpace="4127"/>
        </w:sectPr>
      </w:pPr>
    </w:p>
    <w:p w:rsidR="00CB6308" w:rsidRDefault="00CB6308" w:rsidP="005D159F">
      <w:pPr>
        <w:pStyle w:val="a0"/>
        <w:numPr>
          <w:ilvl w:val="0"/>
          <w:numId w:val="35"/>
        </w:numPr>
        <w:tabs>
          <w:tab w:val="left" w:pos="-350"/>
          <w:tab w:val="num" w:pos="1120"/>
        </w:tabs>
        <w:spacing w:line="360" w:lineRule="exact"/>
        <w:ind w:rightChars="-91" w:right="-310" w:hanging="975"/>
        <w:jc w:val="left"/>
        <w:rPr>
          <w:rFonts w:ascii="Times New Roman"/>
          <w:b/>
          <w:sz w:val="28"/>
          <w:szCs w:val="28"/>
        </w:rPr>
      </w:pPr>
      <w:bookmarkStart w:id="2145" w:name="_Toc507518685"/>
      <w:bookmarkStart w:id="2146" w:name="_Toc507073013"/>
      <w:bookmarkStart w:id="2147" w:name="_Toc507767770"/>
      <w:bookmarkStart w:id="2148" w:name="_Toc507768496"/>
      <w:bookmarkStart w:id="2149" w:name="_Toc512421090"/>
      <w:r>
        <w:rPr>
          <w:rFonts w:ascii="Times New Roman"/>
          <w:b/>
          <w:sz w:val="28"/>
          <w:szCs w:val="28"/>
        </w:rPr>
        <w:t>96</w:t>
      </w:r>
      <w:r>
        <w:rPr>
          <w:rFonts w:ascii="Times New Roman" w:hint="eastAsia"/>
          <w:b/>
          <w:sz w:val="28"/>
          <w:szCs w:val="28"/>
        </w:rPr>
        <w:t>年至</w:t>
      </w:r>
      <w:r>
        <w:rPr>
          <w:rFonts w:ascii="Times New Roman"/>
          <w:b/>
          <w:sz w:val="28"/>
          <w:szCs w:val="28"/>
        </w:rPr>
        <w:t>105</w:t>
      </w:r>
      <w:r>
        <w:rPr>
          <w:rFonts w:ascii="Times New Roman" w:hint="eastAsia"/>
          <w:b/>
          <w:sz w:val="28"/>
          <w:szCs w:val="28"/>
        </w:rPr>
        <w:t>年各地方政府獲配公益彩券盈餘</w:t>
      </w:r>
      <w:bookmarkEnd w:id="2145"/>
      <w:bookmarkEnd w:id="2146"/>
      <w:r>
        <w:rPr>
          <w:rFonts w:ascii="Times New Roman" w:hint="eastAsia"/>
          <w:b/>
          <w:sz w:val="28"/>
          <w:szCs w:val="28"/>
        </w:rPr>
        <w:t>金額</w:t>
      </w:r>
      <w:bookmarkEnd w:id="2147"/>
      <w:bookmarkEnd w:id="2148"/>
      <w:bookmarkEnd w:id="2149"/>
    </w:p>
    <w:p w:rsidR="00CB6308" w:rsidRDefault="00CB6308" w:rsidP="00CB6308">
      <w:pPr>
        <w:pStyle w:val="4"/>
        <w:numPr>
          <w:ilvl w:val="0"/>
          <w:numId w:val="0"/>
        </w:numPr>
        <w:kinsoku w:val="0"/>
        <w:spacing w:line="360" w:lineRule="exact"/>
        <w:ind w:leftChars="-271" w:left="3628" w:rightChars="-270" w:right="-918" w:hangingChars="1579" w:hanging="4550"/>
        <w:jc w:val="right"/>
        <w:rPr>
          <w:rFonts w:ascii="Times New Roman"/>
          <w:sz w:val="28"/>
          <w:szCs w:val="28"/>
        </w:rPr>
      </w:pPr>
      <w:r>
        <w:rPr>
          <w:rFonts w:ascii="Times New Roman"/>
          <w:spacing w:val="-6"/>
          <w:sz w:val="28"/>
          <w:szCs w:val="28"/>
        </w:rPr>
        <w:t xml:space="preserve">          </w:t>
      </w:r>
      <w:r>
        <w:rPr>
          <w:rFonts w:ascii="Times New Roman"/>
          <w:sz w:val="28"/>
          <w:szCs w:val="28"/>
        </w:rPr>
        <w:t xml:space="preserve">                                  </w:t>
      </w:r>
      <w:r>
        <w:rPr>
          <w:rFonts w:ascii="Times New Roman" w:hint="eastAsia"/>
          <w:sz w:val="24"/>
          <w:szCs w:val="24"/>
        </w:rPr>
        <w:t>單位：元</w:t>
      </w:r>
    </w:p>
    <w:tbl>
      <w:tblPr>
        <w:tblW w:w="15168" w:type="dxa"/>
        <w:tblInd w:w="-5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4A0" w:firstRow="1" w:lastRow="0" w:firstColumn="1" w:lastColumn="0" w:noHBand="0" w:noVBand="1"/>
      </w:tblPr>
      <w:tblGrid>
        <w:gridCol w:w="1023"/>
        <w:gridCol w:w="1414"/>
        <w:gridCol w:w="1415"/>
        <w:gridCol w:w="1414"/>
        <w:gridCol w:w="1415"/>
        <w:gridCol w:w="1414"/>
        <w:gridCol w:w="1415"/>
        <w:gridCol w:w="1414"/>
        <w:gridCol w:w="1415"/>
        <w:gridCol w:w="1414"/>
        <w:gridCol w:w="1415"/>
      </w:tblGrid>
      <w:tr w:rsidR="00CB6308" w:rsidTr="00CB6308">
        <w:trPr>
          <w:trHeight w:val="313"/>
          <w:tblHeader/>
        </w:trPr>
        <w:tc>
          <w:tcPr>
            <w:tcW w:w="1023" w:type="dxa"/>
            <w:tcBorders>
              <w:top w:val="single" w:sz="8" w:space="0" w:color="000000"/>
              <w:left w:val="single" w:sz="8" w:space="0" w:color="000000"/>
              <w:bottom w:val="single" w:sz="12" w:space="0" w:color="000000"/>
              <w:right w:val="single" w:sz="8" w:space="0" w:color="000000"/>
              <w:tl2br w:val="single" w:sz="8" w:space="0" w:color="000000"/>
            </w:tcBorders>
            <w:noWrap/>
            <w:vAlign w:val="center"/>
            <w:hideMark/>
          </w:tcPr>
          <w:p w:rsidR="00CB6308" w:rsidRDefault="00CB6308">
            <w:pPr>
              <w:widowControl/>
              <w:overflowPunct/>
              <w:autoSpaceDE/>
              <w:spacing w:line="320" w:lineRule="exact"/>
              <w:jc w:val="center"/>
              <w:rPr>
                <w:rFonts w:hAnsi="標楷體" w:cs="新細明體"/>
                <w:kern w:val="0"/>
                <w:sz w:val="26"/>
                <w:szCs w:val="26"/>
              </w:rPr>
            </w:pPr>
            <w:r>
              <w:rPr>
                <w:rFonts w:hAnsi="標楷體" w:cs="新細明體" w:hint="eastAsia"/>
                <w:kern w:val="0"/>
                <w:sz w:val="26"/>
                <w:szCs w:val="26"/>
              </w:rPr>
              <w:t xml:space="preserve">  年別</w:t>
            </w:r>
          </w:p>
          <w:p w:rsidR="00CB6308" w:rsidRDefault="00CB6308">
            <w:pPr>
              <w:widowControl/>
              <w:overflowPunct/>
              <w:autoSpaceDE/>
              <w:spacing w:line="320" w:lineRule="exact"/>
              <w:jc w:val="left"/>
              <w:rPr>
                <w:rFonts w:hAnsi="標楷體" w:cs="新細明體"/>
                <w:kern w:val="0"/>
                <w:sz w:val="26"/>
                <w:szCs w:val="26"/>
              </w:rPr>
            </w:pPr>
            <w:r>
              <w:rPr>
                <w:rFonts w:hAnsi="標楷體" w:cs="新細明體" w:hint="eastAsia"/>
                <w:kern w:val="0"/>
                <w:sz w:val="26"/>
                <w:szCs w:val="26"/>
              </w:rPr>
              <w:t>縣市別</w:t>
            </w:r>
          </w:p>
        </w:tc>
        <w:tc>
          <w:tcPr>
            <w:tcW w:w="1414" w:type="dxa"/>
            <w:tcBorders>
              <w:top w:val="single" w:sz="8" w:space="0" w:color="000000"/>
              <w:left w:val="single" w:sz="8" w:space="0" w:color="000000"/>
              <w:bottom w:val="single" w:sz="12" w:space="0" w:color="000000"/>
              <w:right w:val="single" w:sz="8" w:space="0" w:color="000000"/>
            </w:tcBorders>
            <w:vAlign w:val="center"/>
            <w:hideMark/>
          </w:tcPr>
          <w:p w:rsidR="00CB6308" w:rsidRDefault="00CB6308">
            <w:pPr>
              <w:widowControl/>
              <w:kinsoku w:val="0"/>
              <w:spacing w:line="320" w:lineRule="exact"/>
              <w:jc w:val="center"/>
              <w:rPr>
                <w:rFonts w:ascii="Times New Roman"/>
                <w:kern w:val="0"/>
                <w:sz w:val="26"/>
                <w:szCs w:val="26"/>
              </w:rPr>
            </w:pPr>
            <w:r>
              <w:rPr>
                <w:rFonts w:ascii="Times New Roman"/>
                <w:kern w:val="0"/>
                <w:sz w:val="26"/>
                <w:szCs w:val="26"/>
              </w:rPr>
              <w:t>96</w:t>
            </w:r>
          </w:p>
        </w:tc>
        <w:tc>
          <w:tcPr>
            <w:tcW w:w="1415" w:type="dxa"/>
            <w:tcBorders>
              <w:top w:val="single" w:sz="8" w:space="0" w:color="000000"/>
              <w:left w:val="single" w:sz="8" w:space="0" w:color="000000"/>
              <w:bottom w:val="single" w:sz="12" w:space="0" w:color="000000"/>
              <w:right w:val="single" w:sz="8" w:space="0" w:color="000000"/>
            </w:tcBorders>
            <w:vAlign w:val="center"/>
            <w:hideMark/>
          </w:tcPr>
          <w:p w:rsidR="00CB6308" w:rsidRDefault="00CB6308">
            <w:pPr>
              <w:widowControl/>
              <w:kinsoku w:val="0"/>
              <w:spacing w:line="320" w:lineRule="exact"/>
              <w:jc w:val="center"/>
              <w:rPr>
                <w:rFonts w:ascii="Times New Roman"/>
                <w:kern w:val="0"/>
                <w:sz w:val="26"/>
                <w:szCs w:val="26"/>
              </w:rPr>
            </w:pPr>
            <w:r>
              <w:rPr>
                <w:rFonts w:ascii="Times New Roman"/>
                <w:kern w:val="0"/>
                <w:sz w:val="26"/>
                <w:szCs w:val="26"/>
              </w:rPr>
              <w:t>97</w:t>
            </w:r>
          </w:p>
        </w:tc>
        <w:tc>
          <w:tcPr>
            <w:tcW w:w="1414" w:type="dxa"/>
            <w:tcBorders>
              <w:top w:val="single" w:sz="8" w:space="0" w:color="000000"/>
              <w:left w:val="single" w:sz="8" w:space="0" w:color="000000"/>
              <w:bottom w:val="single" w:sz="12" w:space="0" w:color="000000"/>
              <w:right w:val="single" w:sz="8" w:space="0" w:color="000000"/>
            </w:tcBorders>
            <w:vAlign w:val="center"/>
            <w:hideMark/>
          </w:tcPr>
          <w:p w:rsidR="00CB6308" w:rsidRDefault="00CB6308">
            <w:pPr>
              <w:widowControl/>
              <w:kinsoku w:val="0"/>
              <w:spacing w:line="320" w:lineRule="exact"/>
              <w:jc w:val="center"/>
              <w:rPr>
                <w:rFonts w:ascii="Times New Roman"/>
                <w:kern w:val="0"/>
                <w:sz w:val="26"/>
                <w:szCs w:val="26"/>
              </w:rPr>
            </w:pPr>
            <w:r>
              <w:rPr>
                <w:rFonts w:ascii="Times New Roman"/>
                <w:kern w:val="0"/>
                <w:sz w:val="26"/>
                <w:szCs w:val="26"/>
              </w:rPr>
              <w:t>98</w:t>
            </w:r>
          </w:p>
        </w:tc>
        <w:tc>
          <w:tcPr>
            <w:tcW w:w="1415" w:type="dxa"/>
            <w:tcBorders>
              <w:top w:val="single" w:sz="8" w:space="0" w:color="000000"/>
              <w:left w:val="single" w:sz="8" w:space="0" w:color="000000"/>
              <w:bottom w:val="single" w:sz="12" w:space="0" w:color="000000"/>
              <w:right w:val="single" w:sz="8" w:space="0" w:color="000000"/>
            </w:tcBorders>
            <w:vAlign w:val="center"/>
            <w:hideMark/>
          </w:tcPr>
          <w:p w:rsidR="00CB6308" w:rsidRDefault="00CB6308">
            <w:pPr>
              <w:widowControl/>
              <w:kinsoku w:val="0"/>
              <w:spacing w:line="320" w:lineRule="exact"/>
              <w:jc w:val="center"/>
              <w:rPr>
                <w:rFonts w:ascii="Times New Roman"/>
                <w:kern w:val="0"/>
                <w:sz w:val="26"/>
                <w:szCs w:val="26"/>
              </w:rPr>
            </w:pPr>
            <w:r>
              <w:rPr>
                <w:rFonts w:ascii="Times New Roman"/>
                <w:kern w:val="0"/>
                <w:sz w:val="26"/>
                <w:szCs w:val="26"/>
              </w:rPr>
              <w:t>99</w:t>
            </w:r>
          </w:p>
        </w:tc>
        <w:tc>
          <w:tcPr>
            <w:tcW w:w="1414" w:type="dxa"/>
            <w:tcBorders>
              <w:top w:val="single" w:sz="8" w:space="0" w:color="000000"/>
              <w:left w:val="single" w:sz="8" w:space="0" w:color="000000"/>
              <w:bottom w:val="single" w:sz="12" w:space="0" w:color="000000"/>
              <w:right w:val="single" w:sz="8" w:space="0" w:color="000000"/>
            </w:tcBorders>
            <w:vAlign w:val="center"/>
            <w:hideMark/>
          </w:tcPr>
          <w:p w:rsidR="00CB6308" w:rsidRDefault="00CB6308">
            <w:pPr>
              <w:widowControl/>
              <w:kinsoku w:val="0"/>
              <w:spacing w:line="320" w:lineRule="exact"/>
              <w:jc w:val="center"/>
              <w:rPr>
                <w:rFonts w:ascii="Times New Roman"/>
                <w:kern w:val="0"/>
                <w:sz w:val="26"/>
                <w:szCs w:val="26"/>
              </w:rPr>
            </w:pPr>
            <w:r>
              <w:rPr>
                <w:rFonts w:ascii="Times New Roman"/>
                <w:kern w:val="0"/>
                <w:sz w:val="26"/>
                <w:szCs w:val="26"/>
              </w:rPr>
              <w:t>100</w:t>
            </w:r>
          </w:p>
        </w:tc>
        <w:tc>
          <w:tcPr>
            <w:tcW w:w="1415" w:type="dxa"/>
            <w:tcBorders>
              <w:top w:val="single" w:sz="8" w:space="0" w:color="000000"/>
              <w:left w:val="single" w:sz="8" w:space="0" w:color="000000"/>
              <w:bottom w:val="single" w:sz="12" w:space="0" w:color="000000"/>
              <w:right w:val="single" w:sz="8" w:space="0" w:color="000000"/>
            </w:tcBorders>
            <w:noWrap/>
            <w:vAlign w:val="center"/>
            <w:hideMark/>
          </w:tcPr>
          <w:p w:rsidR="00CB6308" w:rsidRDefault="00CB6308">
            <w:pPr>
              <w:widowControl/>
              <w:kinsoku w:val="0"/>
              <w:spacing w:line="320" w:lineRule="exact"/>
              <w:jc w:val="center"/>
              <w:rPr>
                <w:rFonts w:ascii="Times New Roman"/>
                <w:kern w:val="0"/>
                <w:sz w:val="26"/>
                <w:szCs w:val="26"/>
              </w:rPr>
            </w:pPr>
            <w:r>
              <w:rPr>
                <w:rFonts w:ascii="Times New Roman"/>
                <w:kern w:val="0"/>
                <w:sz w:val="26"/>
                <w:szCs w:val="26"/>
              </w:rPr>
              <w:t>101</w:t>
            </w:r>
          </w:p>
        </w:tc>
        <w:tc>
          <w:tcPr>
            <w:tcW w:w="1414" w:type="dxa"/>
            <w:tcBorders>
              <w:top w:val="single" w:sz="8" w:space="0" w:color="000000"/>
              <w:left w:val="single" w:sz="8" w:space="0" w:color="000000"/>
              <w:bottom w:val="single" w:sz="12" w:space="0" w:color="000000"/>
              <w:right w:val="single" w:sz="8" w:space="0" w:color="000000"/>
            </w:tcBorders>
            <w:vAlign w:val="center"/>
            <w:hideMark/>
          </w:tcPr>
          <w:p w:rsidR="00CB6308" w:rsidRDefault="00CB6308">
            <w:pPr>
              <w:widowControl/>
              <w:kinsoku w:val="0"/>
              <w:spacing w:line="320" w:lineRule="exact"/>
              <w:jc w:val="center"/>
              <w:rPr>
                <w:rFonts w:ascii="Times New Roman"/>
                <w:kern w:val="0"/>
                <w:sz w:val="26"/>
                <w:szCs w:val="26"/>
              </w:rPr>
            </w:pPr>
            <w:r>
              <w:rPr>
                <w:rFonts w:ascii="Times New Roman"/>
                <w:kern w:val="0"/>
                <w:sz w:val="26"/>
                <w:szCs w:val="26"/>
              </w:rPr>
              <w:t>102</w:t>
            </w:r>
          </w:p>
        </w:tc>
        <w:tc>
          <w:tcPr>
            <w:tcW w:w="1415" w:type="dxa"/>
            <w:tcBorders>
              <w:top w:val="single" w:sz="8" w:space="0" w:color="000000"/>
              <w:left w:val="single" w:sz="8" w:space="0" w:color="000000"/>
              <w:bottom w:val="single" w:sz="12" w:space="0" w:color="000000"/>
              <w:right w:val="single" w:sz="8" w:space="0" w:color="000000"/>
            </w:tcBorders>
            <w:vAlign w:val="center"/>
            <w:hideMark/>
          </w:tcPr>
          <w:p w:rsidR="00CB6308" w:rsidRDefault="00CB6308">
            <w:pPr>
              <w:widowControl/>
              <w:kinsoku w:val="0"/>
              <w:spacing w:line="320" w:lineRule="exact"/>
              <w:jc w:val="center"/>
              <w:rPr>
                <w:rFonts w:ascii="Times New Roman"/>
                <w:kern w:val="0"/>
                <w:sz w:val="26"/>
                <w:szCs w:val="26"/>
              </w:rPr>
            </w:pPr>
            <w:r>
              <w:rPr>
                <w:rFonts w:ascii="Times New Roman"/>
                <w:kern w:val="0"/>
                <w:sz w:val="26"/>
                <w:szCs w:val="26"/>
              </w:rPr>
              <w:t>103</w:t>
            </w:r>
          </w:p>
        </w:tc>
        <w:tc>
          <w:tcPr>
            <w:tcW w:w="1414" w:type="dxa"/>
            <w:tcBorders>
              <w:top w:val="single" w:sz="8" w:space="0" w:color="000000"/>
              <w:left w:val="single" w:sz="8" w:space="0" w:color="000000"/>
              <w:bottom w:val="single" w:sz="12" w:space="0" w:color="000000"/>
              <w:right w:val="single" w:sz="8" w:space="0" w:color="000000"/>
            </w:tcBorders>
            <w:vAlign w:val="center"/>
            <w:hideMark/>
          </w:tcPr>
          <w:p w:rsidR="00CB6308" w:rsidRDefault="00CB6308">
            <w:pPr>
              <w:widowControl/>
              <w:kinsoku w:val="0"/>
              <w:spacing w:line="320" w:lineRule="exact"/>
              <w:jc w:val="center"/>
              <w:rPr>
                <w:rFonts w:ascii="Times New Roman"/>
                <w:kern w:val="0"/>
                <w:sz w:val="26"/>
                <w:szCs w:val="26"/>
              </w:rPr>
            </w:pPr>
            <w:r>
              <w:rPr>
                <w:rFonts w:ascii="Times New Roman"/>
                <w:kern w:val="0"/>
                <w:sz w:val="26"/>
                <w:szCs w:val="26"/>
              </w:rPr>
              <w:t>104</w:t>
            </w:r>
          </w:p>
        </w:tc>
        <w:tc>
          <w:tcPr>
            <w:tcW w:w="1415" w:type="dxa"/>
            <w:tcBorders>
              <w:top w:val="single" w:sz="8" w:space="0" w:color="000000"/>
              <w:left w:val="single" w:sz="8" w:space="0" w:color="000000"/>
              <w:bottom w:val="single" w:sz="12" w:space="0" w:color="000000"/>
              <w:right w:val="single" w:sz="8" w:space="0" w:color="000000"/>
            </w:tcBorders>
            <w:vAlign w:val="center"/>
            <w:hideMark/>
          </w:tcPr>
          <w:p w:rsidR="00CB6308" w:rsidRDefault="00CB6308">
            <w:pPr>
              <w:widowControl/>
              <w:kinsoku w:val="0"/>
              <w:spacing w:line="320" w:lineRule="exact"/>
              <w:jc w:val="center"/>
              <w:rPr>
                <w:rFonts w:ascii="Times New Roman"/>
                <w:kern w:val="0"/>
                <w:sz w:val="26"/>
                <w:szCs w:val="26"/>
              </w:rPr>
            </w:pPr>
            <w:r>
              <w:rPr>
                <w:rFonts w:ascii="Times New Roman"/>
                <w:kern w:val="0"/>
                <w:sz w:val="26"/>
                <w:szCs w:val="26"/>
              </w:rPr>
              <w:t>105</w:t>
            </w:r>
          </w:p>
        </w:tc>
      </w:tr>
      <w:tr w:rsidR="00CB6308" w:rsidTr="00CB6308">
        <w:trPr>
          <w:trHeight w:val="297"/>
        </w:trPr>
        <w:tc>
          <w:tcPr>
            <w:tcW w:w="1023" w:type="dxa"/>
            <w:tcBorders>
              <w:top w:val="single" w:sz="12" w:space="0" w:color="000000"/>
              <w:left w:val="single" w:sz="12" w:space="0" w:color="000000"/>
              <w:bottom w:val="single" w:sz="8" w:space="0" w:color="000000"/>
              <w:right w:val="single" w:sz="8" w:space="0" w:color="000000"/>
            </w:tcBorders>
            <w:shd w:val="clear" w:color="auto" w:fill="F2F2F2" w:themeFill="background1" w:themeFillShade="F2"/>
            <w:noWrap/>
            <w:vAlign w:val="center"/>
            <w:hideMark/>
          </w:tcPr>
          <w:p w:rsidR="00CB6308" w:rsidRDefault="00CB6308">
            <w:pPr>
              <w:widowControl/>
              <w:overflowPunct/>
              <w:autoSpaceDE/>
              <w:spacing w:line="260" w:lineRule="exact"/>
              <w:jc w:val="center"/>
              <w:rPr>
                <w:rFonts w:hAnsi="標楷體" w:cs="新細明體"/>
                <w:kern w:val="0"/>
                <w:sz w:val="26"/>
                <w:szCs w:val="26"/>
              </w:rPr>
            </w:pPr>
            <w:r>
              <w:rPr>
                <w:rFonts w:hAnsi="標楷體" w:cs="新細明體" w:hint="eastAsia"/>
                <w:kern w:val="0"/>
                <w:sz w:val="26"/>
                <w:szCs w:val="26"/>
              </w:rPr>
              <w:t>臺北市</w:t>
            </w:r>
          </w:p>
        </w:tc>
        <w:tc>
          <w:tcPr>
            <w:tcW w:w="1414" w:type="dxa"/>
            <w:tcBorders>
              <w:top w:val="single" w:sz="12"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1,044,375,482</w:t>
            </w:r>
          </w:p>
        </w:tc>
        <w:tc>
          <w:tcPr>
            <w:tcW w:w="1415" w:type="dxa"/>
            <w:tcBorders>
              <w:top w:val="single" w:sz="12"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1,387,112,006 </w:t>
            </w:r>
          </w:p>
        </w:tc>
        <w:tc>
          <w:tcPr>
            <w:tcW w:w="1414" w:type="dxa"/>
            <w:tcBorders>
              <w:top w:val="single" w:sz="12"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1,282,454,939</w:t>
            </w:r>
          </w:p>
        </w:tc>
        <w:tc>
          <w:tcPr>
            <w:tcW w:w="1415" w:type="dxa"/>
            <w:tcBorders>
              <w:top w:val="single" w:sz="12"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1,368,268,367</w:t>
            </w:r>
          </w:p>
        </w:tc>
        <w:tc>
          <w:tcPr>
            <w:tcW w:w="1414" w:type="dxa"/>
            <w:tcBorders>
              <w:top w:val="single" w:sz="12"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1,487,301,024 </w:t>
            </w:r>
          </w:p>
        </w:tc>
        <w:tc>
          <w:tcPr>
            <w:tcW w:w="1415" w:type="dxa"/>
            <w:tcBorders>
              <w:top w:val="single" w:sz="12" w:space="0" w:color="000000"/>
              <w:left w:val="single" w:sz="8" w:space="0" w:color="000000"/>
              <w:bottom w:val="single" w:sz="8" w:space="0" w:color="000000"/>
              <w:right w:val="single" w:sz="8" w:space="0" w:color="000000"/>
            </w:tcBorders>
            <w:shd w:val="clear" w:color="auto" w:fill="F2F2F2" w:themeFill="background1" w:themeFillShade="F2"/>
            <w:noWrap/>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1,730,160,750</w:t>
            </w:r>
          </w:p>
        </w:tc>
        <w:tc>
          <w:tcPr>
            <w:tcW w:w="1414" w:type="dxa"/>
            <w:tcBorders>
              <w:top w:val="single" w:sz="12"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2,180,864,281 </w:t>
            </w:r>
          </w:p>
        </w:tc>
        <w:tc>
          <w:tcPr>
            <w:tcW w:w="1415" w:type="dxa"/>
            <w:tcBorders>
              <w:top w:val="single" w:sz="12"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1,908,115,043 </w:t>
            </w:r>
          </w:p>
        </w:tc>
        <w:tc>
          <w:tcPr>
            <w:tcW w:w="1414" w:type="dxa"/>
            <w:tcBorders>
              <w:top w:val="single" w:sz="12" w:space="0" w:color="000000"/>
              <w:left w:val="single" w:sz="8" w:space="0" w:color="000000"/>
              <w:bottom w:val="single" w:sz="8" w:space="0" w:color="000000"/>
              <w:right w:val="single" w:sz="12"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2,255,861,196 </w:t>
            </w:r>
          </w:p>
        </w:tc>
        <w:tc>
          <w:tcPr>
            <w:tcW w:w="1415" w:type="dxa"/>
            <w:tcBorders>
              <w:top w:val="single" w:sz="12" w:space="0" w:color="000000"/>
              <w:left w:val="single" w:sz="8" w:space="0" w:color="000000"/>
              <w:bottom w:val="single" w:sz="8" w:space="0" w:color="000000"/>
              <w:right w:val="single" w:sz="12"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1,472,940,606 </w:t>
            </w:r>
          </w:p>
        </w:tc>
      </w:tr>
      <w:tr w:rsidR="00CB6308" w:rsidTr="00CB6308">
        <w:trPr>
          <w:trHeight w:val="297"/>
        </w:trPr>
        <w:tc>
          <w:tcPr>
            <w:tcW w:w="1023" w:type="dxa"/>
            <w:tcBorders>
              <w:top w:val="single" w:sz="8" w:space="0" w:color="000000"/>
              <w:left w:val="single" w:sz="12" w:space="0" w:color="000000"/>
              <w:bottom w:val="single" w:sz="8" w:space="0" w:color="000000"/>
              <w:right w:val="single" w:sz="8" w:space="0" w:color="000000"/>
            </w:tcBorders>
            <w:shd w:val="clear" w:color="auto" w:fill="F2F2F2" w:themeFill="background1" w:themeFillShade="F2"/>
            <w:noWrap/>
            <w:vAlign w:val="center"/>
            <w:hideMark/>
          </w:tcPr>
          <w:p w:rsidR="00CB6308" w:rsidRDefault="00CB6308">
            <w:pPr>
              <w:widowControl/>
              <w:overflowPunct/>
              <w:autoSpaceDE/>
              <w:spacing w:line="260" w:lineRule="exact"/>
              <w:jc w:val="center"/>
              <w:rPr>
                <w:rFonts w:hAnsi="標楷體" w:cs="新細明體"/>
                <w:kern w:val="0"/>
                <w:sz w:val="26"/>
                <w:szCs w:val="26"/>
              </w:rPr>
            </w:pPr>
            <w:r>
              <w:rPr>
                <w:rFonts w:hAnsi="標楷體" w:cs="新細明體" w:hint="eastAsia"/>
                <w:kern w:val="0"/>
                <w:sz w:val="26"/>
                <w:szCs w:val="26"/>
              </w:rPr>
              <w:t>新北市</w:t>
            </w:r>
          </w:p>
        </w:tc>
        <w:tc>
          <w:tcPr>
            <w:tcW w:w="141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1,209,632,963</w:t>
            </w:r>
          </w:p>
        </w:tc>
        <w:tc>
          <w:tcPr>
            <w:tcW w:w="141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1,635,213,285 </w:t>
            </w:r>
          </w:p>
        </w:tc>
        <w:tc>
          <w:tcPr>
            <w:tcW w:w="141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1,562,052,858</w:t>
            </w:r>
          </w:p>
        </w:tc>
        <w:tc>
          <w:tcPr>
            <w:tcW w:w="141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1,675,894,322</w:t>
            </w:r>
          </w:p>
        </w:tc>
        <w:tc>
          <w:tcPr>
            <w:tcW w:w="141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1,865,295,211 </w:t>
            </w:r>
          </w:p>
        </w:tc>
        <w:tc>
          <w:tcPr>
            <w:tcW w:w="141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noWrap/>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2,144,935,902</w:t>
            </w:r>
          </w:p>
        </w:tc>
        <w:tc>
          <w:tcPr>
            <w:tcW w:w="141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2,813,768,953 </w:t>
            </w:r>
          </w:p>
        </w:tc>
        <w:tc>
          <w:tcPr>
            <w:tcW w:w="141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1,751,759,019 </w:t>
            </w:r>
          </w:p>
        </w:tc>
        <w:tc>
          <w:tcPr>
            <w:tcW w:w="1414" w:type="dxa"/>
            <w:tcBorders>
              <w:top w:val="single" w:sz="8" w:space="0" w:color="000000"/>
              <w:left w:val="single" w:sz="8" w:space="0" w:color="000000"/>
              <w:bottom w:val="single" w:sz="8" w:space="0" w:color="000000"/>
              <w:right w:val="single" w:sz="12"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2,106,772,437</w:t>
            </w:r>
          </w:p>
        </w:tc>
        <w:tc>
          <w:tcPr>
            <w:tcW w:w="1415" w:type="dxa"/>
            <w:tcBorders>
              <w:top w:val="single" w:sz="8" w:space="0" w:color="000000"/>
              <w:left w:val="single" w:sz="8" w:space="0" w:color="000000"/>
              <w:bottom w:val="single" w:sz="8" w:space="0" w:color="000000"/>
              <w:right w:val="single" w:sz="12"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1,745,002,643 </w:t>
            </w:r>
          </w:p>
        </w:tc>
      </w:tr>
      <w:tr w:rsidR="00CB6308" w:rsidTr="00CB6308">
        <w:trPr>
          <w:trHeight w:val="297"/>
        </w:trPr>
        <w:tc>
          <w:tcPr>
            <w:tcW w:w="1023" w:type="dxa"/>
            <w:tcBorders>
              <w:top w:val="single" w:sz="8" w:space="0" w:color="000000"/>
              <w:left w:val="single" w:sz="12" w:space="0" w:color="000000"/>
              <w:bottom w:val="single" w:sz="8" w:space="0" w:color="000000"/>
              <w:right w:val="single" w:sz="8" w:space="0" w:color="000000"/>
            </w:tcBorders>
            <w:shd w:val="clear" w:color="auto" w:fill="F2F2F2" w:themeFill="background1" w:themeFillShade="F2"/>
            <w:noWrap/>
            <w:vAlign w:val="center"/>
            <w:hideMark/>
          </w:tcPr>
          <w:p w:rsidR="00CB6308" w:rsidRDefault="00CB6308">
            <w:pPr>
              <w:widowControl/>
              <w:overflowPunct/>
              <w:autoSpaceDE/>
              <w:spacing w:line="260" w:lineRule="exact"/>
              <w:jc w:val="center"/>
              <w:rPr>
                <w:rFonts w:hAnsi="標楷體" w:cs="新細明體"/>
                <w:kern w:val="0"/>
                <w:sz w:val="26"/>
                <w:szCs w:val="26"/>
              </w:rPr>
            </w:pPr>
            <w:r>
              <w:rPr>
                <w:rFonts w:hAnsi="標楷體" w:cs="新細明體" w:hint="eastAsia"/>
                <w:kern w:val="0"/>
                <w:sz w:val="26"/>
                <w:szCs w:val="26"/>
              </w:rPr>
              <w:t>臺中市</w:t>
            </w:r>
          </w:p>
        </w:tc>
        <w:tc>
          <w:tcPr>
            <w:tcW w:w="141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836,531,601 </w:t>
            </w:r>
          </w:p>
        </w:tc>
        <w:tc>
          <w:tcPr>
            <w:tcW w:w="141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1,144,272,995 </w:t>
            </w:r>
          </w:p>
        </w:tc>
        <w:tc>
          <w:tcPr>
            <w:tcW w:w="141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1,085,600,664</w:t>
            </w:r>
          </w:p>
        </w:tc>
        <w:tc>
          <w:tcPr>
            <w:tcW w:w="141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1,175,541,303</w:t>
            </w:r>
          </w:p>
        </w:tc>
        <w:tc>
          <w:tcPr>
            <w:tcW w:w="141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1,243,218,189 </w:t>
            </w:r>
          </w:p>
        </w:tc>
        <w:tc>
          <w:tcPr>
            <w:tcW w:w="141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noWrap/>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1,450,680,902</w:t>
            </w:r>
          </w:p>
        </w:tc>
        <w:tc>
          <w:tcPr>
            <w:tcW w:w="141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1,928,287,960 </w:t>
            </w:r>
          </w:p>
        </w:tc>
        <w:tc>
          <w:tcPr>
            <w:tcW w:w="141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1,359,817,202 </w:t>
            </w:r>
          </w:p>
        </w:tc>
        <w:tc>
          <w:tcPr>
            <w:tcW w:w="1414" w:type="dxa"/>
            <w:tcBorders>
              <w:top w:val="single" w:sz="8" w:space="0" w:color="000000"/>
              <w:left w:val="single" w:sz="8" w:space="0" w:color="000000"/>
              <w:bottom w:val="single" w:sz="8" w:space="0" w:color="000000"/>
              <w:right w:val="single" w:sz="12"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1,689,967,790</w:t>
            </w:r>
          </w:p>
        </w:tc>
        <w:tc>
          <w:tcPr>
            <w:tcW w:w="1415" w:type="dxa"/>
            <w:tcBorders>
              <w:top w:val="single" w:sz="8" w:space="0" w:color="000000"/>
              <w:left w:val="single" w:sz="8" w:space="0" w:color="000000"/>
              <w:bottom w:val="single" w:sz="8" w:space="0" w:color="000000"/>
              <w:right w:val="single" w:sz="12"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1,354,860,058 </w:t>
            </w:r>
          </w:p>
        </w:tc>
      </w:tr>
      <w:tr w:rsidR="00CB6308" w:rsidTr="00CB6308">
        <w:trPr>
          <w:trHeight w:val="297"/>
        </w:trPr>
        <w:tc>
          <w:tcPr>
            <w:tcW w:w="1023" w:type="dxa"/>
            <w:tcBorders>
              <w:top w:val="single" w:sz="8" w:space="0" w:color="000000"/>
              <w:left w:val="single" w:sz="12" w:space="0" w:color="000000"/>
              <w:bottom w:val="single" w:sz="8" w:space="0" w:color="000000"/>
              <w:right w:val="single" w:sz="8" w:space="0" w:color="000000"/>
            </w:tcBorders>
            <w:shd w:val="clear" w:color="auto" w:fill="F2F2F2" w:themeFill="background1" w:themeFillShade="F2"/>
            <w:noWrap/>
            <w:vAlign w:val="center"/>
            <w:hideMark/>
          </w:tcPr>
          <w:p w:rsidR="00CB6308" w:rsidRDefault="00CB6308">
            <w:pPr>
              <w:widowControl/>
              <w:overflowPunct/>
              <w:autoSpaceDE/>
              <w:spacing w:line="260" w:lineRule="exact"/>
              <w:jc w:val="center"/>
              <w:rPr>
                <w:rFonts w:hAnsi="標楷體" w:cs="新細明體"/>
                <w:kern w:val="0"/>
                <w:sz w:val="26"/>
                <w:szCs w:val="26"/>
              </w:rPr>
            </w:pPr>
            <w:r>
              <w:rPr>
                <w:rFonts w:hAnsi="標楷體" w:cs="新細明體" w:hint="eastAsia"/>
                <w:kern w:val="0"/>
                <w:sz w:val="26"/>
                <w:szCs w:val="26"/>
              </w:rPr>
              <w:t>臺南市</w:t>
            </w:r>
          </w:p>
        </w:tc>
        <w:tc>
          <w:tcPr>
            <w:tcW w:w="141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557,946,376 </w:t>
            </w:r>
          </w:p>
        </w:tc>
        <w:tc>
          <w:tcPr>
            <w:tcW w:w="141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740,723,091 </w:t>
            </w:r>
          </w:p>
        </w:tc>
        <w:tc>
          <w:tcPr>
            <w:tcW w:w="141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702,709,490</w:t>
            </w:r>
          </w:p>
        </w:tc>
        <w:tc>
          <w:tcPr>
            <w:tcW w:w="141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757,918,879</w:t>
            </w:r>
          </w:p>
        </w:tc>
        <w:tc>
          <w:tcPr>
            <w:tcW w:w="141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775,665,855 </w:t>
            </w:r>
          </w:p>
        </w:tc>
        <w:tc>
          <w:tcPr>
            <w:tcW w:w="141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noWrap/>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901,059,190</w:t>
            </w:r>
          </w:p>
        </w:tc>
        <w:tc>
          <w:tcPr>
            <w:tcW w:w="141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1,204,197,664 </w:t>
            </w:r>
          </w:p>
        </w:tc>
        <w:tc>
          <w:tcPr>
            <w:tcW w:w="141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941,492,119 </w:t>
            </w:r>
          </w:p>
        </w:tc>
        <w:tc>
          <w:tcPr>
            <w:tcW w:w="1414" w:type="dxa"/>
            <w:tcBorders>
              <w:top w:val="single" w:sz="8" w:space="0" w:color="000000"/>
              <w:left w:val="single" w:sz="8" w:space="0" w:color="000000"/>
              <w:bottom w:val="single" w:sz="8" w:space="0" w:color="000000"/>
              <w:right w:val="single" w:sz="12"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1,144,729,767 </w:t>
            </w:r>
          </w:p>
        </w:tc>
        <w:tc>
          <w:tcPr>
            <w:tcW w:w="1415" w:type="dxa"/>
            <w:tcBorders>
              <w:top w:val="single" w:sz="8" w:space="0" w:color="000000"/>
              <w:left w:val="single" w:sz="8" w:space="0" w:color="000000"/>
              <w:bottom w:val="single" w:sz="8" w:space="0" w:color="000000"/>
              <w:right w:val="single" w:sz="12"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917,754,581 </w:t>
            </w:r>
          </w:p>
        </w:tc>
      </w:tr>
      <w:tr w:rsidR="00CB6308" w:rsidTr="00CB6308">
        <w:trPr>
          <w:trHeight w:val="297"/>
        </w:trPr>
        <w:tc>
          <w:tcPr>
            <w:tcW w:w="1023" w:type="dxa"/>
            <w:tcBorders>
              <w:top w:val="single" w:sz="8" w:space="0" w:color="000000"/>
              <w:left w:val="single" w:sz="12" w:space="0" w:color="000000"/>
              <w:bottom w:val="single" w:sz="8" w:space="0" w:color="000000"/>
              <w:right w:val="single" w:sz="8" w:space="0" w:color="000000"/>
            </w:tcBorders>
            <w:shd w:val="clear" w:color="auto" w:fill="F2F2F2" w:themeFill="background1" w:themeFillShade="F2"/>
            <w:noWrap/>
            <w:vAlign w:val="center"/>
            <w:hideMark/>
          </w:tcPr>
          <w:p w:rsidR="00CB6308" w:rsidRDefault="00CB6308">
            <w:pPr>
              <w:widowControl/>
              <w:overflowPunct/>
              <w:autoSpaceDE/>
              <w:spacing w:line="260" w:lineRule="exact"/>
              <w:jc w:val="center"/>
              <w:rPr>
                <w:rFonts w:hAnsi="標楷體" w:cs="新細明體"/>
                <w:kern w:val="0"/>
                <w:sz w:val="26"/>
                <w:szCs w:val="26"/>
              </w:rPr>
            </w:pPr>
            <w:r>
              <w:rPr>
                <w:rFonts w:hAnsi="標楷體" w:cs="新細明體" w:hint="eastAsia"/>
                <w:kern w:val="0"/>
                <w:sz w:val="26"/>
                <w:szCs w:val="26"/>
              </w:rPr>
              <w:t>高雄市</w:t>
            </w:r>
          </w:p>
        </w:tc>
        <w:tc>
          <w:tcPr>
            <w:tcW w:w="141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852,078,722 </w:t>
            </w:r>
          </w:p>
        </w:tc>
        <w:tc>
          <w:tcPr>
            <w:tcW w:w="141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1,125,690,172 </w:t>
            </w:r>
          </w:p>
        </w:tc>
        <w:tc>
          <w:tcPr>
            <w:tcW w:w="141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1,062,896,703</w:t>
            </w:r>
          </w:p>
        </w:tc>
        <w:tc>
          <w:tcPr>
            <w:tcW w:w="141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1,146,812,094 </w:t>
            </w:r>
          </w:p>
        </w:tc>
        <w:tc>
          <w:tcPr>
            <w:tcW w:w="141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1,223,871,771 </w:t>
            </w:r>
          </w:p>
        </w:tc>
        <w:tc>
          <w:tcPr>
            <w:tcW w:w="141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noWrap/>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1,431,080,793</w:t>
            </w:r>
          </w:p>
        </w:tc>
        <w:tc>
          <w:tcPr>
            <w:tcW w:w="141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1,938,833,681 </w:t>
            </w:r>
          </w:p>
        </w:tc>
        <w:tc>
          <w:tcPr>
            <w:tcW w:w="141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1,635,412,887 </w:t>
            </w:r>
          </w:p>
        </w:tc>
        <w:tc>
          <w:tcPr>
            <w:tcW w:w="1414" w:type="dxa"/>
            <w:tcBorders>
              <w:top w:val="single" w:sz="8" w:space="0" w:color="000000"/>
              <w:left w:val="single" w:sz="8" w:space="0" w:color="000000"/>
              <w:bottom w:val="single" w:sz="8" w:space="0" w:color="000000"/>
              <w:right w:val="single" w:sz="12"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1,699,004,727 </w:t>
            </w:r>
          </w:p>
        </w:tc>
        <w:tc>
          <w:tcPr>
            <w:tcW w:w="1415" w:type="dxa"/>
            <w:tcBorders>
              <w:top w:val="single" w:sz="8" w:space="0" w:color="000000"/>
              <w:left w:val="single" w:sz="8" w:space="0" w:color="000000"/>
              <w:bottom w:val="single" w:sz="8" w:space="0" w:color="000000"/>
              <w:right w:val="single" w:sz="12"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1,340,398,479 </w:t>
            </w:r>
          </w:p>
        </w:tc>
      </w:tr>
      <w:tr w:rsidR="00CB6308" w:rsidTr="00CB6308">
        <w:trPr>
          <w:trHeight w:val="297"/>
        </w:trPr>
        <w:tc>
          <w:tcPr>
            <w:tcW w:w="1023" w:type="dxa"/>
            <w:tcBorders>
              <w:top w:val="single" w:sz="8" w:space="0" w:color="000000"/>
              <w:left w:val="single" w:sz="12" w:space="0" w:color="000000"/>
              <w:bottom w:val="single" w:sz="12" w:space="0" w:color="000000"/>
              <w:right w:val="single" w:sz="8" w:space="0" w:color="000000"/>
            </w:tcBorders>
            <w:shd w:val="clear" w:color="auto" w:fill="F2F2F2" w:themeFill="background1" w:themeFillShade="F2"/>
            <w:noWrap/>
            <w:vAlign w:val="center"/>
            <w:hideMark/>
          </w:tcPr>
          <w:p w:rsidR="00CB6308" w:rsidRDefault="00CB6308">
            <w:pPr>
              <w:widowControl/>
              <w:overflowPunct/>
              <w:autoSpaceDE/>
              <w:spacing w:line="260" w:lineRule="exact"/>
              <w:jc w:val="center"/>
              <w:rPr>
                <w:rFonts w:hAnsi="標楷體" w:cs="新細明體"/>
                <w:kern w:val="0"/>
                <w:sz w:val="26"/>
                <w:szCs w:val="26"/>
              </w:rPr>
            </w:pPr>
            <w:r>
              <w:rPr>
                <w:rFonts w:hAnsi="標楷體" w:cs="新細明體" w:hint="eastAsia"/>
                <w:kern w:val="0"/>
                <w:sz w:val="26"/>
                <w:szCs w:val="26"/>
              </w:rPr>
              <w:t>桃園市</w:t>
            </w:r>
          </w:p>
        </w:tc>
        <w:tc>
          <w:tcPr>
            <w:tcW w:w="1414" w:type="dxa"/>
            <w:tcBorders>
              <w:top w:val="single" w:sz="8" w:space="0" w:color="000000"/>
              <w:left w:val="single" w:sz="8" w:space="0" w:color="000000"/>
              <w:bottom w:val="single" w:sz="12" w:space="0" w:color="000000"/>
              <w:right w:val="single" w:sz="8"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665,650,540 </w:t>
            </w:r>
          </w:p>
        </w:tc>
        <w:tc>
          <w:tcPr>
            <w:tcW w:w="1415" w:type="dxa"/>
            <w:tcBorders>
              <w:top w:val="single" w:sz="8" w:space="0" w:color="000000"/>
              <w:left w:val="single" w:sz="8" w:space="0" w:color="000000"/>
              <w:bottom w:val="single" w:sz="12" w:space="0" w:color="000000"/>
              <w:right w:val="single" w:sz="8"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907,666,429 </w:t>
            </w:r>
          </w:p>
        </w:tc>
        <w:tc>
          <w:tcPr>
            <w:tcW w:w="1414" w:type="dxa"/>
            <w:tcBorders>
              <w:top w:val="single" w:sz="8" w:space="0" w:color="000000"/>
              <w:left w:val="single" w:sz="8" w:space="0" w:color="000000"/>
              <w:bottom w:val="single" w:sz="12" w:space="0" w:color="000000"/>
              <w:right w:val="single" w:sz="8"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858,804,590</w:t>
            </w:r>
          </w:p>
        </w:tc>
        <w:tc>
          <w:tcPr>
            <w:tcW w:w="1415" w:type="dxa"/>
            <w:tcBorders>
              <w:top w:val="single" w:sz="8" w:space="0" w:color="000000"/>
              <w:left w:val="single" w:sz="8" w:space="0" w:color="000000"/>
              <w:bottom w:val="single" w:sz="12" w:space="0" w:color="000000"/>
              <w:right w:val="single" w:sz="8"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927,876,648 </w:t>
            </w:r>
          </w:p>
        </w:tc>
        <w:tc>
          <w:tcPr>
            <w:tcW w:w="1414" w:type="dxa"/>
            <w:tcBorders>
              <w:top w:val="single" w:sz="8" w:space="0" w:color="000000"/>
              <w:left w:val="single" w:sz="8" w:space="0" w:color="000000"/>
              <w:bottom w:val="single" w:sz="12" w:space="0" w:color="000000"/>
              <w:right w:val="single" w:sz="8"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1,055,833,022 </w:t>
            </w:r>
          </w:p>
        </w:tc>
        <w:tc>
          <w:tcPr>
            <w:tcW w:w="1415" w:type="dxa"/>
            <w:tcBorders>
              <w:top w:val="single" w:sz="8" w:space="0" w:color="000000"/>
              <w:left w:val="single" w:sz="8" w:space="0" w:color="000000"/>
              <w:bottom w:val="single" w:sz="12" w:space="0" w:color="000000"/>
              <w:right w:val="single" w:sz="8" w:space="0" w:color="000000"/>
            </w:tcBorders>
            <w:shd w:val="clear" w:color="auto" w:fill="F2F2F2" w:themeFill="background1" w:themeFillShade="F2"/>
            <w:noWrap/>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1,224,794,609 </w:t>
            </w:r>
          </w:p>
        </w:tc>
        <w:tc>
          <w:tcPr>
            <w:tcW w:w="1414" w:type="dxa"/>
            <w:tcBorders>
              <w:top w:val="single" w:sz="8" w:space="0" w:color="000000"/>
              <w:left w:val="single" w:sz="8" w:space="0" w:color="000000"/>
              <w:bottom w:val="single" w:sz="12" w:space="0" w:color="000000"/>
              <w:right w:val="single" w:sz="8"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1,659,753,420 </w:t>
            </w:r>
          </w:p>
        </w:tc>
        <w:tc>
          <w:tcPr>
            <w:tcW w:w="1415" w:type="dxa"/>
            <w:tcBorders>
              <w:top w:val="single" w:sz="8" w:space="0" w:color="000000"/>
              <w:left w:val="single" w:sz="8" w:space="0" w:color="000000"/>
              <w:bottom w:val="single" w:sz="12" w:space="0" w:color="000000"/>
              <w:right w:val="single" w:sz="8"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1,099,459,746 </w:t>
            </w:r>
          </w:p>
        </w:tc>
        <w:tc>
          <w:tcPr>
            <w:tcW w:w="1414" w:type="dxa"/>
            <w:tcBorders>
              <w:top w:val="single" w:sz="8" w:space="0" w:color="000000"/>
              <w:left w:val="single" w:sz="8" w:space="0" w:color="000000"/>
              <w:bottom w:val="single" w:sz="12" w:space="0" w:color="000000"/>
              <w:right w:val="single" w:sz="12"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1,326,979,098 </w:t>
            </w:r>
          </w:p>
        </w:tc>
        <w:tc>
          <w:tcPr>
            <w:tcW w:w="1415" w:type="dxa"/>
            <w:tcBorders>
              <w:top w:val="single" w:sz="8" w:space="0" w:color="000000"/>
              <w:left w:val="single" w:sz="8" w:space="0" w:color="000000"/>
              <w:bottom w:val="single" w:sz="12" w:space="0" w:color="000000"/>
              <w:right w:val="single" w:sz="12" w:space="0" w:color="000000"/>
            </w:tcBorders>
            <w:shd w:val="clear" w:color="auto" w:fill="F2F2F2" w:themeFill="background1" w:themeFillShade="F2"/>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1,015,498,299 </w:t>
            </w:r>
          </w:p>
        </w:tc>
      </w:tr>
      <w:tr w:rsidR="00CB6308" w:rsidTr="00CB6308">
        <w:trPr>
          <w:trHeight w:val="297"/>
        </w:trPr>
        <w:tc>
          <w:tcPr>
            <w:tcW w:w="1023" w:type="dxa"/>
            <w:tcBorders>
              <w:top w:val="single" w:sz="12" w:space="0" w:color="000000"/>
              <w:left w:val="single" w:sz="8" w:space="0" w:color="000000"/>
              <w:bottom w:val="single" w:sz="8" w:space="0" w:color="000000"/>
              <w:right w:val="single" w:sz="8" w:space="0" w:color="000000"/>
            </w:tcBorders>
            <w:noWrap/>
            <w:vAlign w:val="center"/>
            <w:hideMark/>
          </w:tcPr>
          <w:p w:rsidR="00CB6308" w:rsidRDefault="00CB6308">
            <w:pPr>
              <w:widowControl/>
              <w:overflowPunct/>
              <w:autoSpaceDE/>
              <w:spacing w:line="260" w:lineRule="exact"/>
              <w:jc w:val="center"/>
              <w:rPr>
                <w:rFonts w:hAnsi="標楷體" w:cs="新細明體"/>
                <w:kern w:val="0"/>
                <w:sz w:val="26"/>
                <w:szCs w:val="26"/>
              </w:rPr>
            </w:pPr>
            <w:r>
              <w:rPr>
                <w:rFonts w:hAnsi="標楷體" w:cs="新細明體" w:hint="eastAsia"/>
                <w:kern w:val="0"/>
                <w:sz w:val="26"/>
                <w:szCs w:val="26"/>
              </w:rPr>
              <w:t>宜蘭縣</w:t>
            </w:r>
          </w:p>
        </w:tc>
        <w:tc>
          <w:tcPr>
            <w:tcW w:w="1414" w:type="dxa"/>
            <w:tcBorders>
              <w:top w:val="single" w:sz="12"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170,686,931 </w:t>
            </w:r>
          </w:p>
        </w:tc>
        <w:tc>
          <w:tcPr>
            <w:tcW w:w="1415" w:type="dxa"/>
            <w:tcBorders>
              <w:top w:val="single" w:sz="12"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224,720,424</w:t>
            </w:r>
          </w:p>
        </w:tc>
        <w:tc>
          <w:tcPr>
            <w:tcW w:w="1414" w:type="dxa"/>
            <w:tcBorders>
              <w:top w:val="single" w:sz="12"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217,385,986 </w:t>
            </w:r>
          </w:p>
        </w:tc>
        <w:tc>
          <w:tcPr>
            <w:tcW w:w="1415" w:type="dxa"/>
            <w:tcBorders>
              <w:top w:val="single" w:sz="12"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235,816,464 </w:t>
            </w:r>
          </w:p>
        </w:tc>
        <w:tc>
          <w:tcPr>
            <w:tcW w:w="1414" w:type="dxa"/>
            <w:tcBorders>
              <w:top w:val="single" w:sz="12"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263,266,472 </w:t>
            </w:r>
          </w:p>
        </w:tc>
        <w:tc>
          <w:tcPr>
            <w:tcW w:w="1415" w:type="dxa"/>
            <w:tcBorders>
              <w:top w:val="single" w:sz="12" w:space="0" w:color="000000"/>
              <w:left w:val="single" w:sz="8" w:space="0" w:color="000000"/>
              <w:bottom w:val="single" w:sz="8" w:space="0" w:color="000000"/>
              <w:right w:val="single" w:sz="8" w:space="0" w:color="000000"/>
            </w:tcBorders>
            <w:noWrap/>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303,941,223 </w:t>
            </w:r>
          </w:p>
        </w:tc>
        <w:tc>
          <w:tcPr>
            <w:tcW w:w="1414" w:type="dxa"/>
            <w:tcBorders>
              <w:top w:val="single" w:sz="12"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407,212,742 </w:t>
            </w:r>
          </w:p>
        </w:tc>
        <w:tc>
          <w:tcPr>
            <w:tcW w:w="1415" w:type="dxa"/>
            <w:tcBorders>
              <w:top w:val="single" w:sz="12"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382,201,049 </w:t>
            </w:r>
          </w:p>
        </w:tc>
        <w:tc>
          <w:tcPr>
            <w:tcW w:w="1414" w:type="dxa"/>
            <w:tcBorders>
              <w:top w:val="single" w:sz="12"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446,127,380 </w:t>
            </w:r>
          </w:p>
        </w:tc>
        <w:tc>
          <w:tcPr>
            <w:tcW w:w="1415" w:type="dxa"/>
            <w:tcBorders>
              <w:top w:val="single" w:sz="12"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390,490,768 </w:t>
            </w:r>
          </w:p>
        </w:tc>
      </w:tr>
      <w:tr w:rsidR="00CB6308" w:rsidTr="00CB6308">
        <w:trPr>
          <w:trHeight w:val="297"/>
        </w:trPr>
        <w:tc>
          <w:tcPr>
            <w:tcW w:w="1023"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widowControl/>
              <w:overflowPunct/>
              <w:autoSpaceDE/>
              <w:spacing w:line="260" w:lineRule="exact"/>
              <w:jc w:val="center"/>
              <w:rPr>
                <w:rFonts w:hAnsi="標楷體" w:cs="新細明體"/>
                <w:kern w:val="0"/>
                <w:sz w:val="26"/>
                <w:szCs w:val="26"/>
              </w:rPr>
            </w:pPr>
            <w:r>
              <w:rPr>
                <w:rFonts w:hAnsi="標楷體" w:cs="新細明體" w:hint="eastAsia"/>
                <w:kern w:val="0"/>
                <w:sz w:val="26"/>
                <w:szCs w:val="26"/>
              </w:rPr>
              <w:t>新竹縣</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185,776,684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251,724,733</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237,578,421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256,338,871</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296,195,595 </w:t>
            </w:r>
          </w:p>
        </w:tc>
        <w:tc>
          <w:tcPr>
            <w:tcW w:w="1415"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344,812,604 </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470,619,011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362,785,254 </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427,797,739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381,038,060 </w:t>
            </w:r>
          </w:p>
        </w:tc>
      </w:tr>
      <w:tr w:rsidR="00CB6308" w:rsidTr="00CB6308">
        <w:trPr>
          <w:trHeight w:val="297"/>
        </w:trPr>
        <w:tc>
          <w:tcPr>
            <w:tcW w:w="1023"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widowControl/>
              <w:overflowPunct/>
              <w:autoSpaceDE/>
              <w:spacing w:line="260" w:lineRule="exact"/>
              <w:jc w:val="center"/>
              <w:rPr>
                <w:rFonts w:hAnsi="標楷體" w:cs="新細明體"/>
                <w:kern w:val="0"/>
                <w:sz w:val="26"/>
                <w:szCs w:val="26"/>
              </w:rPr>
            </w:pPr>
            <w:r>
              <w:rPr>
                <w:rFonts w:hAnsi="標楷體" w:cs="新細明體" w:hint="eastAsia"/>
                <w:kern w:val="0"/>
                <w:sz w:val="26"/>
                <w:szCs w:val="26"/>
              </w:rPr>
              <w:t>苗栗縣</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192,403,421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256,897,157 </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241,900,506</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261,681,097 </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299,302,096</w:t>
            </w:r>
          </w:p>
        </w:tc>
        <w:tc>
          <w:tcPr>
            <w:tcW w:w="1415"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344,674,791</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468,602,098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423,543,577 </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520,440,658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436,168,601 </w:t>
            </w:r>
          </w:p>
        </w:tc>
      </w:tr>
      <w:tr w:rsidR="00CB6308" w:rsidTr="00CB6308">
        <w:trPr>
          <w:trHeight w:val="297"/>
        </w:trPr>
        <w:tc>
          <w:tcPr>
            <w:tcW w:w="1023"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widowControl/>
              <w:overflowPunct/>
              <w:autoSpaceDE/>
              <w:spacing w:line="260" w:lineRule="exact"/>
              <w:jc w:val="center"/>
              <w:rPr>
                <w:rFonts w:hAnsi="標楷體" w:cs="新細明體"/>
                <w:kern w:val="0"/>
                <w:sz w:val="26"/>
                <w:szCs w:val="26"/>
              </w:rPr>
            </w:pPr>
            <w:r>
              <w:rPr>
                <w:rFonts w:hAnsi="標楷體" w:cs="新細明體" w:hint="eastAsia"/>
                <w:kern w:val="0"/>
                <w:sz w:val="26"/>
                <w:szCs w:val="26"/>
              </w:rPr>
              <w:t>彰化縣</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353,390,496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478,644,141</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450,839,960</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492,604,521</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549,519,522</w:t>
            </w:r>
          </w:p>
        </w:tc>
        <w:tc>
          <w:tcPr>
            <w:tcW w:w="1415"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635,574,161</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841,809,663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643,279,916</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808,130,107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700,339,300 </w:t>
            </w:r>
          </w:p>
        </w:tc>
      </w:tr>
      <w:tr w:rsidR="00CB6308" w:rsidTr="00CB6308">
        <w:trPr>
          <w:trHeight w:val="297"/>
        </w:trPr>
        <w:tc>
          <w:tcPr>
            <w:tcW w:w="1023"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widowControl/>
              <w:overflowPunct/>
              <w:autoSpaceDE/>
              <w:spacing w:line="260" w:lineRule="exact"/>
              <w:jc w:val="center"/>
              <w:rPr>
                <w:rFonts w:hAnsi="標楷體" w:cs="新細明體"/>
                <w:kern w:val="0"/>
                <w:sz w:val="26"/>
                <w:szCs w:val="26"/>
              </w:rPr>
            </w:pPr>
            <w:r>
              <w:rPr>
                <w:rFonts w:hAnsi="標楷體" w:cs="新細明體" w:hint="eastAsia"/>
                <w:kern w:val="0"/>
                <w:sz w:val="26"/>
                <w:szCs w:val="26"/>
              </w:rPr>
              <w:t>南投縣</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179,600,972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243,471,847 </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227,944,624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248,062,825 </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286,692,465 </w:t>
            </w:r>
          </w:p>
        </w:tc>
        <w:tc>
          <w:tcPr>
            <w:tcW w:w="1415"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329,788,545</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442,609,057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412,648,237 </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486,644,153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415,590,087 </w:t>
            </w:r>
          </w:p>
        </w:tc>
      </w:tr>
      <w:tr w:rsidR="00CB6308" w:rsidTr="00CB6308">
        <w:trPr>
          <w:trHeight w:val="297"/>
        </w:trPr>
        <w:tc>
          <w:tcPr>
            <w:tcW w:w="1023"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widowControl/>
              <w:overflowPunct/>
              <w:autoSpaceDE/>
              <w:spacing w:line="260" w:lineRule="exact"/>
              <w:jc w:val="center"/>
              <w:rPr>
                <w:rFonts w:hAnsi="標楷體" w:cs="新細明體"/>
                <w:kern w:val="0"/>
                <w:sz w:val="26"/>
                <w:szCs w:val="26"/>
              </w:rPr>
            </w:pPr>
            <w:r>
              <w:rPr>
                <w:rFonts w:hAnsi="標楷體" w:cs="新細明體" w:hint="eastAsia"/>
                <w:kern w:val="0"/>
                <w:sz w:val="26"/>
                <w:szCs w:val="26"/>
              </w:rPr>
              <w:t>雲林縣</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203,438,166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274,367,174 </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260,812,154</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280,634,276</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319,290,401</w:t>
            </w:r>
          </w:p>
        </w:tc>
        <w:tc>
          <w:tcPr>
            <w:tcW w:w="1415"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371,132,723</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500,006,156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419,405,207 </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586,746,242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492,347,646 </w:t>
            </w:r>
          </w:p>
        </w:tc>
      </w:tr>
      <w:tr w:rsidR="00CB6308" w:rsidTr="00CB6308">
        <w:trPr>
          <w:trHeight w:val="297"/>
        </w:trPr>
        <w:tc>
          <w:tcPr>
            <w:tcW w:w="1023"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widowControl/>
              <w:overflowPunct/>
              <w:autoSpaceDE/>
              <w:spacing w:line="260" w:lineRule="exact"/>
              <w:jc w:val="center"/>
              <w:rPr>
                <w:rFonts w:hAnsi="標楷體" w:cs="新細明體"/>
                <w:kern w:val="0"/>
                <w:sz w:val="26"/>
                <w:szCs w:val="26"/>
              </w:rPr>
            </w:pPr>
            <w:r>
              <w:rPr>
                <w:rFonts w:hAnsi="標楷體" w:cs="新細明體" w:hint="eastAsia"/>
                <w:kern w:val="0"/>
                <w:sz w:val="26"/>
                <w:szCs w:val="26"/>
              </w:rPr>
              <w:t>嘉義縣</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157,304,488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207,891,726</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195,772,167</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212,250,117</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243,614,685</w:t>
            </w:r>
          </w:p>
        </w:tc>
        <w:tc>
          <w:tcPr>
            <w:tcW w:w="1415"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279,737,402</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370,882,609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344,871,343 </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392,408,031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333,995,375 </w:t>
            </w:r>
          </w:p>
        </w:tc>
      </w:tr>
      <w:tr w:rsidR="00CB6308" w:rsidTr="00CB6308">
        <w:trPr>
          <w:trHeight w:val="297"/>
        </w:trPr>
        <w:tc>
          <w:tcPr>
            <w:tcW w:w="1023"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widowControl/>
              <w:overflowPunct/>
              <w:autoSpaceDE/>
              <w:spacing w:line="260" w:lineRule="exact"/>
              <w:jc w:val="center"/>
              <w:rPr>
                <w:rFonts w:hAnsi="標楷體" w:cs="新細明體"/>
                <w:kern w:val="0"/>
                <w:sz w:val="26"/>
                <w:szCs w:val="26"/>
              </w:rPr>
            </w:pPr>
            <w:r>
              <w:rPr>
                <w:rFonts w:hAnsi="標楷體" w:cs="新細明體" w:hint="eastAsia"/>
                <w:kern w:val="0"/>
                <w:sz w:val="26"/>
                <w:szCs w:val="26"/>
              </w:rPr>
              <w:t>屏東縣</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250,792,677</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327,729,943 </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306,711,784</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333,646,306</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381,036,521</w:t>
            </w:r>
          </w:p>
        </w:tc>
        <w:tc>
          <w:tcPr>
            <w:tcW w:w="1415"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445,560,279</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584,037,458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612,630,314 </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677,060,237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566,810,522 </w:t>
            </w:r>
          </w:p>
        </w:tc>
      </w:tr>
      <w:tr w:rsidR="00CB6308" w:rsidTr="00CB6308">
        <w:trPr>
          <w:trHeight w:val="297"/>
        </w:trPr>
        <w:tc>
          <w:tcPr>
            <w:tcW w:w="1023"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widowControl/>
              <w:overflowPunct/>
              <w:autoSpaceDE/>
              <w:spacing w:line="260" w:lineRule="exact"/>
              <w:jc w:val="center"/>
              <w:rPr>
                <w:rFonts w:hAnsi="標楷體" w:cs="新細明體"/>
                <w:kern w:val="0"/>
                <w:sz w:val="26"/>
                <w:szCs w:val="26"/>
              </w:rPr>
            </w:pPr>
            <w:r>
              <w:rPr>
                <w:rFonts w:hAnsi="標楷體" w:cs="新細明體" w:hint="eastAsia"/>
                <w:kern w:val="0"/>
                <w:sz w:val="26"/>
                <w:szCs w:val="26"/>
              </w:rPr>
              <w:t>花蓮縣</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153,157,067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197,835,682 </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183,889,831</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199,737,722</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230,646,787</w:t>
            </w:r>
          </w:p>
        </w:tc>
        <w:tc>
          <w:tcPr>
            <w:tcW w:w="1415"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264,000,247</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351,032,952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298,433,691 </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357,584,448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315,971,979 </w:t>
            </w:r>
          </w:p>
        </w:tc>
      </w:tr>
      <w:tr w:rsidR="00CB6308" w:rsidTr="00CB6308">
        <w:trPr>
          <w:trHeight w:val="297"/>
        </w:trPr>
        <w:tc>
          <w:tcPr>
            <w:tcW w:w="1023"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widowControl/>
              <w:overflowPunct/>
              <w:autoSpaceDE/>
              <w:spacing w:line="260" w:lineRule="exact"/>
              <w:jc w:val="center"/>
              <w:rPr>
                <w:rFonts w:hAnsi="標楷體" w:cs="新細明體"/>
                <w:kern w:val="0"/>
                <w:sz w:val="26"/>
                <w:szCs w:val="26"/>
              </w:rPr>
            </w:pPr>
            <w:r>
              <w:rPr>
                <w:rFonts w:hAnsi="標楷體" w:cs="新細明體" w:hint="eastAsia"/>
                <w:kern w:val="0"/>
                <w:sz w:val="26"/>
                <w:szCs w:val="26"/>
              </w:rPr>
              <w:t>臺東縣</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106,383,063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140,565,863 </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131,391,350</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144,118,729 </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171,204,130 </w:t>
            </w:r>
          </w:p>
        </w:tc>
        <w:tc>
          <w:tcPr>
            <w:tcW w:w="1415"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197,044,941</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264,546,610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256,710,159 </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306,750,718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270,908,876 </w:t>
            </w:r>
          </w:p>
        </w:tc>
      </w:tr>
      <w:tr w:rsidR="00CB6308" w:rsidTr="00CB6308">
        <w:trPr>
          <w:trHeight w:val="297"/>
        </w:trPr>
        <w:tc>
          <w:tcPr>
            <w:tcW w:w="1023"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widowControl/>
              <w:overflowPunct/>
              <w:autoSpaceDE/>
              <w:spacing w:line="260" w:lineRule="exact"/>
              <w:jc w:val="center"/>
              <w:rPr>
                <w:rFonts w:hAnsi="標楷體" w:cs="新細明體"/>
                <w:kern w:val="0"/>
                <w:sz w:val="26"/>
                <w:szCs w:val="26"/>
              </w:rPr>
            </w:pPr>
            <w:r>
              <w:rPr>
                <w:rFonts w:hAnsi="標楷體" w:cs="新細明體" w:hint="eastAsia"/>
                <w:kern w:val="0"/>
                <w:sz w:val="26"/>
                <w:szCs w:val="26"/>
              </w:rPr>
              <w:t>澎湖縣</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68,636,743</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90,684,591 </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86,488,563</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94,524,671</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112,774,159</w:t>
            </w:r>
          </w:p>
        </w:tc>
        <w:tc>
          <w:tcPr>
            <w:tcW w:w="1415"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130,440,408</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171,980,876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184,518,731 </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238,383,482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189,454,506 </w:t>
            </w:r>
          </w:p>
        </w:tc>
      </w:tr>
      <w:tr w:rsidR="00CB6308" w:rsidTr="00CB6308">
        <w:trPr>
          <w:trHeight w:val="297"/>
        </w:trPr>
        <w:tc>
          <w:tcPr>
            <w:tcW w:w="1023"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widowControl/>
              <w:overflowPunct/>
              <w:autoSpaceDE/>
              <w:spacing w:line="260" w:lineRule="exact"/>
              <w:jc w:val="center"/>
              <w:rPr>
                <w:rFonts w:hAnsi="標楷體" w:cs="新細明體"/>
                <w:kern w:val="0"/>
                <w:sz w:val="26"/>
                <w:szCs w:val="26"/>
              </w:rPr>
            </w:pPr>
            <w:r>
              <w:rPr>
                <w:rFonts w:hAnsi="標楷體" w:cs="新細明體" w:hint="eastAsia"/>
                <w:kern w:val="0"/>
                <w:sz w:val="26"/>
                <w:szCs w:val="26"/>
              </w:rPr>
              <w:t>基隆市</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170,477,762</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221,242,359 </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207,585,068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219,221,022 </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249,534,341</w:t>
            </w:r>
          </w:p>
        </w:tc>
        <w:tc>
          <w:tcPr>
            <w:tcW w:w="1415"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286,950,908</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381,666,305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352,917,407 </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418,997,034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312,680,821 </w:t>
            </w:r>
          </w:p>
        </w:tc>
      </w:tr>
      <w:tr w:rsidR="00CB6308" w:rsidTr="00CB6308">
        <w:trPr>
          <w:trHeight w:val="297"/>
        </w:trPr>
        <w:tc>
          <w:tcPr>
            <w:tcW w:w="1023"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widowControl/>
              <w:overflowPunct/>
              <w:autoSpaceDE/>
              <w:spacing w:line="260" w:lineRule="exact"/>
              <w:jc w:val="center"/>
              <w:rPr>
                <w:rFonts w:hAnsi="標楷體" w:cs="新細明體"/>
                <w:kern w:val="0"/>
                <w:sz w:val="26"/>
                <w:szCs w:val="26"/>
              </w:rPr>
            </w:pPr>
            <w:r>
              <w:rPr>
                <w:rFonts w:hAnsi="標楷體" w:cs="新細明體" w:hint="eastAsia"/>
                <w:kern w:val="0"/>
                <w:sz w:val="26"/>
                <w:szCs w:val="26"/>
              </w:rPr>
              <w:t>新竹市</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166,311,674</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224,941,100 </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215,435,913</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240,167,641 </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275,205,547</w:t>
            </w:r>
          </w:p>
        </w:tc>
        <w:tc>
          <w:tcPr>
            <w:tcW w:w="1415"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326,108,256 </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437,963,965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352,958,846 </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405,321,216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289,713,825 </w:t>
            </w:r>
          </w:p>
        </w:tc>
      </w:tr>
      <w:tr w:rsidR="00CB6308" w:rsidTr="00CB6308">
        <w:trPr>
          <w:trHeight w:val="297"/>
        </w:trPr>
        <w:tc>
          <w:tcPr>
            <w:tcW w:w="1023"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widowControl/>
              <w:overflowPunct/>
              <w:autoSpaceDE/>
              <w:spacing w:line="260" w:lineRule="exact"/>
              <w:jc w:val="center"/>
              <w:rPr>
                <w:rFonts w:hAnsi="標楷體" w:cs="新細明體"/>
                <w:kern w:val="0"/>
                <w:sz w:val="26"/>
                <w:szCs w:val="26"/>
              </w:rPr>
            </w:pPr>
            <w:r>
              <w:rPr>
                <w:rFonts w:hAnsi="標楷體" w:cs="新細明體" w:hint="eastAsia"/>
                <w:kern w:val="0"/>
                <w:sz w:val="26"/>
                <w:szCs w:val="26"/>
              </w:rPr>
              <w:t>嘉義市</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126,355,656</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171,430,525 </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162,119,283</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174,460,683</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201,297,138</w:t>
            </w:r>
          </w:p>
        </w:tc>
        <w:tc>
          <w:tcPr>
            <w:tcW w:w="1415"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230,816,674 </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307,924,826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255,634,470 </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302,764,936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252,100,908 </w:t>
            </w:r>
          </w:p>
        </w:tc>
      </w:tr>
      <w:tr w:rsidR="00CB6308" w:rsidTr="00CB6308">
        <w:trPr>
          <w:trHeight w:val="297"/>
        </w:trPr>
        <w:tc>
          <w:tcPr>
            <w:tcW w:w="1023"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widowControl/>
              <w:overflowPunct/>
              <w:autoSpaceDE/>
              <w:spacing w:line="260" w:lineRule="exact"/>
              <w:jc w:val="center"/>
              <w:rPr>
                <w:rFonts w:hAnsi="標楷體" w:cs="新細明體"/>
                <w:kern w:val="0"/>
                <w:sz w:val="26"/>
                <w:szCs w:val="26"/>
              </w:rPr>
            </w:pPr>
            <w:r>
              <w:rPr>
                <w:rFonts w:hAnsi="標楷體" w:cs="新細明體" w:hint="eastAsia"/>
                <w:kern w:val="0"/>
                <w:sz w:val="26"/>
                <w:szCs w:val="26"/>
              </w:rPr>
              <w:t>金門縣</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67,148,035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88,886,393 </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85,208,924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93,911,750</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115,540,757</w:t>
            </w:r>
          </w:p>
        </w:tc>
        <w:tc>
          <w:tcPr>
            <w:tcW w:w="1415"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136,206,225 </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180,967,791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255,634,470 </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203,590,339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162,941,859 </w:t>
            </w:r>
          </w:p>
        </w:tc>
      </w:tr>
      <w:tr w:rsidR="00CB6308" w:rsidTr="00CB6308">
        <w:trPr>
          <w:trHeight w:val="297"/>
        </w:trPr>
        <w:tc>
          <w:tcPr>
            <w:tcW w:w="1023"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widowControl/>
              <w:overflowPunct/>
              <w:autoSpaceDE/>
              <w:spacing w:line="260" w:lineRule="exact"/>
              <w:jc w:val="center"/>
              <w:rPr>
                <w:rFonts w:hAnsi="標楷體" w:cs="新細明體"/>
                <w:kern w:val="0"/>
                <w:sz w:val="26"/>
                <w:szCs w:val="26"/>
              </w:rPr>
            </w:pPr>
            <w:r>
              <w:rPr>
                <w:rFonts w:hAnsi="標楷體" w:cs="新細明體" w:hint="eastAsia"/>
                <w:kern w:val="0"/>
                <w:sz w:val="26"/>
                <w:szCs w:val="26"/>
              </w:rPr>
              <w:t>連江縣</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48,715,075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65,252,017 </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61,513,051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spacing w:val="-10"/>
                <w:kern w:val="0"/>
                <w:sz w:val="22"/>
                <w:szCs w:val="22"/>
              </w:rPr>
            </w:pPr>
            <w:r>
              <w:rPr>
                <w:rFonts w:ascii="Times New Roman" w:eastAsia="新細明體"/>
                <w:spacing w:val="-10"/>
                <w:kern w:val="0"/>
                <w:sz w:val="22"/>
                <w:szCs w:val="22"/>
              </w:rPr>
              <w:t xml:space="preserve">   66,279,405</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82,839,766 </w:t>
            </w:r>
          </w:p>
        </w:tc>
        <w:tc>
          <w:tcPr>
            <w:tcW w:w="1415"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96,220,789 </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128,327,937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125,408,700 </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130,547,821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spacing w:val="-10"/>
                <w:kern w:val="0"/>
                <w:sz w:val="22"/>
                <w:szCs w:val="22"/>
              </w:rPr>
            </w:pPr>
            <w:r>
              <w:rPr>
                <w:rFonts w:ascii="Times New Roman" w:eastAsia="新細明體"/>
                <w:spacing w:val="-10"/>
                <w:kern w:val="0"/>
                <w:sz w:val="22"/>
                <w:szCs w:val="22"/>
              </w:rPr>
              <w:t xml:space="preserve">  98,724,602 </w:t>
            </w:r>
          </w:p>
        </w:tc>
      </w:tr>
      <w:tr w:rsidR="00CB6308" w:rsidTr="00CB6308">
        <w:trPr>
          <w:trHeight w:val="297"/>
        </w:trPr>
        <w:tc>
          <w:tcPr>
            <w:tcW w:w="1023"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widowControl/>
              <w:overflowPunct/>
              <w:autoSpaceDE/>
              <w:spacing w:line="260" w:lineRule="exact"/>
              <w:jc w:val="center"/>
              <w:rPr>
                <w:rFonts w:hAnsi="標楷體" w:cs="新細明體"/>
                <w:kern w:val="0"/>
                <w:sz w:val="26"/>
                <w:szCs w:val="26"/>
              </w:rPr>
            </w:pPr>
            <w:r>
              <w:rPr>
                <w:rFonts w:hAnsi="標楷體" w:cs="新細明體" w:hint="eastAsia"/>
                <w:kern w:val="0"/>
                <w:sz w:val="26"/>
                <w:szCs w:val="26"/>
              </w:rPr>
              <w:t>總  計</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b/>
                <w:spacing w:val="-10"/>
                <w:kern w:val="0"/>
                <w:sz w:val="22"/>
                <w:szCs w:val="22"/>
              </w:rPr>
            </w:pPr>
            <w:r>
              <w:rPr>
                <w:rFonts w:ascii="Times New Roman" w:eastAsia="新細明體"/>
                <w:b/>
                <w:spacing w:val="-10"/>
                <w:kern w:val="0"/>
                <w:sz w:val="22"/>
                <w:szCs w:val="22"/>
              </w:rPr>
              <w:t xml:space="preserve">7,766,794,594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b/>
                <w:spacing w:val="-10"/>
                <w:kern w:val="0"/>
                <w:sz w:val="22"/>
                <w:szCs w:val="22"/>
              </w:rPr>
            </w:pPr>
            <w:r>
              <w:rPr>
                <w:rFonts w:ascii="Times New Roman" w:eastAsia="新細明體"/>
                <w:b/>
                <w:spacing w:val="-10"/>
                <w:kern w:val="0"/>
                <w:sz w:val="22"/>
                <w:szCs w:val="22"/>
              </w:rPr>
              <w:t>10,406,963,653</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b/>
                <w:spacing w:val="-10"/>
                <w:kern w:val="0"/>
                <w:sz w:val="22"/>
                <w:szCs w:val="22"/>
              </w:rPr>
            </w:pPr>
            <w:r>
              <w:rPr>
                <w:rFonts w:ascii="Times New Roman" w:eastAsia="新細明體"/>
                <w:b/>
                <w:spacing w:val="-10"/>
                <w:kern w:val="0"/>
                <w:sz w:val="22"/>
                <w:szCs w:val="22"/>
              </w:rPr>
              <w:t xml:space="preserve"> 9,827,096,829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b/>
                <w:spacing w:val="-10"/>
                <w:kern w:val="0"/>
                <w:sz w:val="22"/>
                <w:szCs w:val="22"/>
              </w:rPr>
            </w:pPr>
            <w:r>
              <w:rPr>
                <w:rFonts w:ascii="Times New Roman" w:eastAsia="新細明體"/>
                <w:b/>
                <w:spacing w:val="-10"/>
                <w:kern w:val="0"/>
                <w:sz w:val="22"/>
                <w:szCs w:val="22"/>
              </w:rPr>
              <w:t xml:space="preserve">10,605,767,713 </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b/>
                <w:spacing w:val="-10"/>
                <w:kern w:val="0"/>
                <w:sz w:val="22"/>
                <w:szCs w:val="22"/>
              </w:rPr>
            </w:pPr>
            <w:r>
              <w:rPr>
                <w:rFonts w:ascii="Times New Roman" w:eastAsia="新細明體"/>
                <w:b/>
                <w:spacing w:val="-10"/>
                <w:kern w:val="0"/>
                <w:sz w:val="22"/>
                <w:szCs w:val="22"/>
              </w:rPr>
              <w:t xml:space="preserve">11,729,145,454 </w:t>
            </w:r>
          </w:p>
        </w:tc>
        <w:tc>
          <w:tcPr>
            <w:tcW w:w="1415"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b/>
                <w:spacing w:val="-10"/>
                <w:kern w:val="0"/>
                <w:sz w:val="22"/>
                <w:szCs w:val="22"/>
              </w:rPr>
            </w:pPr>
            <w:r>
              <w:rPr>
                <w:rFonts w:ascii="Times New Roman" w:eastAsia="新細明體"/>
                <w:b/>
                <w:spacing w:val="-10"/>
                <w:kern w:val="0"/>
                <w:sz w:val="22"/>
                <w:szCs w:val="22"/>
              </w:rPr>
              <w:t xml:space="preserve">13,605,722,322 </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b/>
                <w:spacing w:val="-10"/>
                <w:kern w:val="0"/>
                <w:sz w:val="22"/>
                <w:szCs w:val="22"/>
              </w:rPr>
            </w:pPr>
            <w:r>
              <w:rPr>
                <w:rFonts w:ascii="Times New Roman" w:eastAsia="新細明體"/>
                <w:b/>
                <w:spacing w:val="-10"/>
                <w:kern w:val="0"/>
                <w:sz w:val="22"/>
                <w:szCs w:val="22"/>
              </w:rPr>
              <w:t xml:space="preserve">18,035,896,015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b/>
                <w:spacing w:val="-10"/>
                <w:kern w:val="0"/>
                <w:sz w:val="22"/>
                <w:szCs w:val="22"/>
              </w:rPr>
            </w:pPr>
            <w:r>
              <w:rPr>
                <w:rFonts w:ascii="Times New Roman" w:eastAsia="新細明體"/>
                <w:b/>
                <w:spacing w:val="-10"/>
                <w:kern w:val="0"/>
                <w:sz w:val="22"/>
                <w:szCs w:val="22"/>
              </w:rPr>
              <w:t xml:space="preserve">14,295,705,172 </w:t>
            </w:r>
          </w:p>
        </w:tc>
        <w:tc>
          <w:tcPr>
            <w:tcW w:w="1414"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b/>
                <w:spacing w:val="-10"/>
                <w:kern w:val="0"/>
                <w:sz w:val="22"/>
                <w:szCs w:val="22"/>
              </w:rPr>
            </w:pPr>
            <w:r>
              <w:rPr>
                <w:rFonts w:ascii="Times New Roman" w:eastAsia="新細明體"/>
                <w:b/>
                <w:spacing w:val="-10"/>
                <w:kern w:val="0"/>
                <w:sz w:val="22"/>
                <w:szCs w:val="22"/>
              </w:rPr>
              <w:t xml:space="preserve">16,932,609,556 </w:t>
            </w:r>
          </w:p>
        </w:tc>
        <w:tc>
          <w:tcPr>
            <w:tcW w:w="1415"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0" w:hangingChars="22" w:hanging="48"/>
              <w:jc w:val="right"/>
              <w:rPr>
                <w:rFonts w:ascii="Times New Roman" w:eastAsia="新細明體"/>
                <w:b/>
                <w:spacing w:val="-10"/>
                <w:kern w:val="0"/>
                <w:sz w:val="22"/>
                <w:szCs w:val="22"/>
              </w:rPr>
            </w:pPr>
            <w:r>
              <w:rPr>
                <w:rFonts w:ascii="Times New Roman" w:eastAsia="新細明體"/>
                <w:b/>
                <w:spacing w:val="-10"/>
                <w:kern w:val="0"/>
                <w:sz w:val="22"/>
                <w:szCs w:val="22"/>
              </w:rPr>
              <w:t xml:space="preserve">13,455,732,401 </w:t>
            </w:r>
          </w:p>
        </w:tc>
      </w:tr>
    </w:tbl>
    <w:p w:rsidR="00CB6308" w:rsidRDefault="00CB6308" w:rsidP="00CB6308">
      <w:pPr>
        <w:widowControl/>
        <w:overflowPunct/>
        <w:autoSpaceDE/>
        <w:ind w:leftChars="-140" w:left="5" w:hangingChars="185" w:hanging="481"/>
        <w:jc w:val="left"/>
        <w:rPr>
          <w:rFonts w:ascii="Times New Roman"/>
          <w:b/>
          <w:color w:val="000000" w:themeColor="text1"/>
          <w:sz w:val="28"/>
          <w:szCs w:val="28"/>
        </w:rPr>
      </w:pPr>
      <w:r>
        <w:rPr>
          <w:rFonts w:ascii="Times New Roman" w:hint="eastAsia"/>
          <w:sz w:val="24"/>
          <w:szCs w:val="24"/>
        </w:rPr>
        <w:t>資料來源：財政部。</w:t>
      </w:r>
    </w:p>
    <w:p w:rsidR="00CB6308" w:rsidRDefault="00CB6308" w:rsidP="00CB6308">
      <w:pPr>
        <w:widowControl/>
        <w:overflowPunct/>
        <w:autoSpaceDE/>
        <w:autoSpaceDN/>
        <w:jc w:val="left"/>
        <w:rPr>
          <w:rFonts w:ascii="Times New Roman"/>
          <w:b/>
          <w:color w:val="000000" w:themeColor="text1"/>
          <w:sz w:val="28"/>
          <w:szCs w:val="28"/>
        </w:rPr>
        <w:sectPr w:rsidR="00CB6308" w:rsidSect="00684138">
          <w:footerReference w:type="default" r:id="rId17"/>
          <w:pgSz w:w="16840" w:h="11907" w:orient="landscape"/>
          <w:pgMar w:top="1146" w:right="1701" w:bottom="1418" w:left="1418" w:header="851" w:footer="851" w:gutter="227"/>
          <w:pgNumType w:start="264"/>
          <w:cols w:space="720"/>
          <w:docGrid w:type="linesAndChars" w:linePitch="457" w:charSpace="4127"/>
        </w:sectPr>
      </w:pPr>
    </w:p>
    <w:p w:rsidR="00CB6308" w:rsidRDefault="00CB6308" w:rsidP="005D159F">
      <w:pPr>
        <w:pStyle w:val="a0"/>
        <w:numPr>
          <w:ilvl w:val="0"/>
          <w:numId w:val="35"/>
        </w:numPr>
        <w:tabs>
          <w:tab w:val="num" w:pos="1134"/>
        </w:tabs>
        <w:spacing w:line="360" w:lineRule="exact"/>
        <w:ind w:left="2802" w:rightChars="-125" w:right="-425" w:hanging="2774"/>
        <w:rPr>
          <w:rFonts w:ascii="Times New Roman"/>
          <w:b/>
          <w:sz w:val="28"/>
          <w:szCs w:val="28"/>
        </w:rPr>
      </w:pPr>
      <w:bookmarkStart w:id="2150" w:name="_Toc507518686"/>
      <w:bookmarkStart w:id="2151" w:name="_Toc507073014"/>
      <w:bookmarkStart w:id="2152" w:name="_Toc507767771"/>
      <w:bookmarkStart w:id="2153" w:name="_Toc507768497"/>
      <w:bookmarkStart w:id="2154" w:name="_Toc512421091"/>
      <w:r>
        <w:rPr>
          <w:rFonts w:ascii="Times New Roman"/>
          <w:b/>
          <w:spacing w:val="-6"/>
          <w:sz w:val="28"/>
          <w:szCs w:val="28"/>
        </w:rPr>
        <w:t>96</w:t>
      </w:r>
      <w:r>
        <w:rPr>
          <w:rFonts w:ascii="Times New Roman" w:hint="eastAsia"/>
          <w:b/>
          <w:spacing w:val="-6"/>
          <w:sz w:val="28"/>
          <w:szCs w:val="28"/>
        </w:rPr>
        <w:t>年至</w:t>
      </w:r>
      <w:r>
        <w:rPr>
          <w:rFonts w:ascii="Times New Roman"/>
          <w:b/>
          <w:spacing w:val="-6"/>
          <w:sz w:val="28"/>
          <w:szCs w:val="28"/>
        </w:rPr>
        <w:t>105</w:t>
      </w:r>
      <w:r>
        <w:rPr>
          <w:rFonts w:ascii="Times New Roman" w:hint="eastAsia"/>
          <w:b/>
          <w:spacing w:val="-6"/>
          <w:sz w:val="28"/>
          <w:szCs w:val="28"/>
        </w:rPr>
        <w:t>年</w:t>
      </w:r>
      <w:r>
        <w:rPr>
          <w:rFonts w:ascii="Times New Roman" w:hint="eastAsia"/>
          <w:b/>
          <w:sz w:val="28"/>
          <w:szCs w:val="28"/>
        </w:rPr>
        <w:t>各地方政府</w:t>
      </w:r>
      <w:r>
        <w:rPr>
          <w:rFonts w:ascii="Times New Roman" w:hint="eastAsia"/>
          <w:b/>
          <w:spacing w:val="-6"/>
          <w:sz w:val="28"/>
          <w:szCs w:val="28"/>
        </w:rPr>
        <w:t>獲配公益彩券盈餘金額</w:t>
      </w:r>
      <w:bookmarkEnd w:id="2150"/>
      <w:bookmarkEnd w:id="2151"/>
      <w:bookmarkEnd w:id="2152"/>
      <w:bookmarkEnd w:id="2153"/>
      <w:r w:rsidR="00F07FD1">
        <w:rPr>
          <w:rFonts w:ascii="Times New Roman" w:hint="eastAsia"/>
          <w:b/>
          <w:spacing w:val="-6"/>
          <w:sz w:val="28"/>
          <w:szCs w:val="28"/>
        </w:rPr>
        <w:t>-</w:t>
      </w:r>
      <w:r w:rsidR="00F07FD1">
        <w:rPr>
          <w:rFonts w:ascii="Times New Roman" w:hint="eastAsia"/>
          <w:b/>
          <w:spacing w:val="-6"/>
          <w:sz w:val="28"/>
          <w:szCs w:val="28"/>
        </w:rPr>
        <w:t>按直轄市及非直轄市區分</w:t>
      </w:r>
      <w:bookmarkEnd w:id="2154"/>
    </w:p>
    <w:p w:rsidR="00CB6308" w:rsidRDefault="00CB6308" w:rsidP="00CB6308">
      <w:pPr>
        <w:pStyle w:val="4"/>
        <w:numPr>
          <w:ilvl w:val="0"/>
          <w:numId w:val="0"/>
        </w:numPr>
        <w:kinsoku w:val="0"/>
        <w:spacing w:line="320" w:lineRule="exact"/>
        <w:ind w:leftChars="-271" w:left="3186" w:rightChars="-270" w:right="-918" w:hangingChars="1579" w:hanging="4108"/>
        <w:jc w:val="right"/>
        <w:rPr>
          <w:rFonts w:ascii="Times New Roman"/>
          <w:sz w:val="28"/>
          <w:szCs w:val="28"/>
        </w:rPr>
      </w:pPr>
      <w:r>
        <w:rPr>
          <w:rFonts w:ascii="Times New Roman" w:hint="eastAsia"/>
          <w:sz w:val="24"/>
          <w:szCs w:val="24"/>
        </w:rPr>
        <w:t>單位：元；</w:t>
      </w:r>
      <w:r>
        <w:rPr>
          <w:rFonts w:hAnsi="標楷體" w:hint="eastAsia"/>
          <w:sz w:val="24"/>
          <w:szCs w:val="24"/>
        </w:rPr>
        <w:t>％</w:t>
      </w:r>
    </w:p>
    <w:tbl>
      <w:tblPr>
        <w:tblW w:w="15228" w:type="dxa"/>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4A0" w:firstRow="1" w:lastRow="0" w:firstColumn="1" w:lastColumn="0" w:noHBand="0" w:noVBand="1"/>
      </w:tblPr>
      <w:tblGrid>
        <w:gridCol w:w="1022"/>
        <w:gridCol w:w="698"/>
        <w:gridCol w:w="1349"/>
        <w:gridCol w:w="1351"/>
        <w:gridCol w:w="1351"/>
        <w:gridCol w:w="1351"/>
        <w:gridCol w:w="1351"/>
        <w:gridCol w:w="1351"/>
        <w:gridCol w:w="1351"/>
        <w:gridCol w:w="1351"/>
        <w:gridCol w:w="1351"/>
        <w:gridCol w:w="1351"/>
      </w:tblGrid>
      <w:tr w:rsidR="00CB6308" w:rsidTr="00CB6308">
        <w:trPr>
          <w:trHeight w:val="313"/>
          <w:tblHeader/>
        </w:trPr>
        <w:tc>
          <w:tcPr>
            <w:tcW w:w="1722" w:type="dxa"/>
            <w:gridSpan w:val="2"/>
            <w:tcBorders>
              <w:top w:val="single" w:sz="8" w:space="0" w:color="000000"/>
              <w:left w:val="single" w:sz="8" w:space="0" w:color="000000"/>
              <w:bottom w:val="single" w:sz="8" w:space="0" w:color="000000"/>
              <w:right w:val="single" w:sz="8" w:space="0" w:color="000000"/>
              <w:tl2br w:val="single" w:sz="8" w:space="0" w:color="000000"/>
            </w:tcBorders>
            <w:noWrap/>
            <w:vAlign w:val="center"/>
            <w:hideMark/>
          </w:tcPr>
          <w:p w:rsidR="00CB6308" w:rsidRDefault="00CB6308">
            <w:pPr>
              <w:widowControl/>
              <w:kinsoku w:val="0"/>
              <w:spacing w:line="360" w:lineRule="exact"/>
              <w:jc w:val="center"/>
              <w:rPr>
                <w:rFonts w:hAnsi="標楷體" w:cs="新細明體"/>
                <w:kern w:val="0"/>
                <w:sz w:val="26"/>
                <w:szCs w:val="26"/>
              </w:rPr>
            </w:pPr>
            <w:r>
              <w:rPr>
                <w:rFonts w:hAnsi="標楷體" w:cs="新細明體" w:hint="eastAsia"/>
                <w:kern w:val="0"/>
                <w:sz w:val="26"/>
                <w:szCs w:val="26"/>
              </w:rPr>
              <w:t xml:space="preserve">    年別</w:t>
            </w:r>
          </w:p>
          <w:p w:rsidR="00CB6308" w:rsidRDefault="00CB6308">
            <w:pPr>
              <w:widowControl/>
              <w:kinsoku w:val="0"/>
              <w:spacing w:line="360" w:lineRule="exact"/>
              <w:jc w:val="left"/>
              <w:rPr>
                <w:rFonts w:ascii="Times New Roman"/>
                <w:kern w:val="0"/>
                <w:sz w:val="26"/>
                <w:szCs w:val="26"/>
              </w:rPr>
            </w:pPr>
            <w:r>
              <w:rPr>
                <w:rFonts w:hAnsi="標楷體" w:cs="新細明體" w:hint="eastAsia"/>
                <w:kern w:val="0"/>
                <w:sz w:val="26"/>
                <w:szCs w:val="26"/>
              </w:rPr>
              <w:t>縣市</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kinsoku w:val="0"/>
              <w:spacing w:line="360" w:lineRule="exact"/>
              <w:jc w:val="center"/>
              <w:rPr>
                <w:rFonts w:ascii="Times New Roman"/>
                <w:kern w:val="0"/>
                <w:sz w:val="28"/>
                <w:szCs w:val="28"/>
              </w:rPr>
            </w:pPr>
            <w:r>
              <w:rPr>
                <w:rFonts w:ascii="Times New Roman"/>
                <w:kern w:val="0"/>
                <w:sz w:val="28"/>
                <w:szCs w:val="28"/>
              </w:rPr>
              <w:t>96</w:t>
            </w:r>
          </w:p>
        </w:tc>
        <w:tc>
          <w:tcPr>
            <w:tcW w:w="1351"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kinsoku w:val="0"/>
              <w:spacing w:line="360" w:lineRule="exact"/>
              <w:jc w:val="center"/>
              <w:rPr>
                <w:rFonts w:ascii="Times New Roman"/>
                <w:kern w:val="0"/>
                <w:sz w:val="28"/>
                <w:szCs w:val="28"/>
              </w:rPr>
            </w:pPr>
            <w:r>
              <w:rPr>
                <w:rFonts w:ascii="Times New Roman"/>
                <w:kern w:val="0"/>
                <w:sz w:val="28"/>
                <w:szCs w:val="28"/>
              </w:rPr>
              <w:t>97</w:t>
            </w:r>
          </w:p>
        </w:tc>
        <w:tc>
          <w:tcPr>
            <w:tcW w:w="1351"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kinsoku w:val="0"/>
              <w:spacing w:line="360" w:lineRule="exact"/>
              <w:jc w:val="center"/>
              <w:rPr>
                <w:rFonts w:ascii="Times New Roman"/>
                <w:kern w:val="0"/>
                <w:sz w:val="28"/>
                <w:szCs w:val="28"/>
              </w:rPr>
            </w:pPr>
            <w:r>
              <w:rPr>
                <w:rFonts w:ascii="Times New Roman"/>
                <w:kern w:val="0"/>
                <w:sz w:val="28"/>
                <w:szCs w:val="28"/>
              </w:rPr>
              <w:t>98</w:t>
            </w:r>
          </w:p>
        </w:tc>
        <w:tc>
          <w:tcPr>
            <w:tcW w:w="1351"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kinsoku w:val="0"/>
              <w:spacing w:line="360" w:lineRule="exact"/>
              <w:jc w:val="center"/>
              <w:rPr>
                <w:rFonts w:ascii="Times New Roman"/>
                <w:kern w:val="0"/>
                <w:sz w:val="28"/>
                <w:szCs w:val="28"/>
              </w:rPr>
            </w:pPr>
            <w:r>
              <w:rPr>
                <w:rFonts w:ascii="Times New Roman"/>
                <w:kern w:val="0"/>
                <w:sz w:val="28"/>
                <w:szCs w:val="28"/>
              </w:rPr>
              <w:t>99</w:t>
            </w:r>
          </w:p>
        </w:tc>
        <w:tc>
          <w:tcPr>
            <w:tcW w:w="1351"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kinsoku w:val="0"/>
              <w:spacing w:line="360" w:lineRule="exact"/>
              <w:jc w:val="center"/>
              <w:rPr>
                <w:rFonts w:ascii="Times New Roman"/>
                <w:kern w:val="0"/>
                <w:sz w:val="28"/>
                <w:szCs w:val="28"/>
              </w:rPr>
            </w:pPr>
            <w:r>
              <w:rPr>
                <w:rFonts w:ascii="Times New Roman"/>
                <w:kern w:val="0"/>
                <w:sz w:val="28"/>
                <w:szCs w:val="28"/>
              </w:rPr>
              <w:t>100</w:t>
            </w:r>
          </w:p>
        </w:tc>
        <w:tc>
          <w:tcPr>
            <w:tcW w:w="1351"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widowControl/>
              <w:kinsoku w:val="0"/>
              <w:spacing w:line="360" w:lineRule="exact"/>
              <w:jc w:val="center"/>
              <w:rPr>
                <w:rFonts w:ascii="Times New Roman"/>
                <w:kern w:val="0"/>
                <w:sz w:val="28"/>
                <w:szCs w:val="28"/>
              </w:rPr>
            </w:pPr>
            <w:r>
              <w:rPr>
                <w:rFonts w:ascii="Times New Roman"/>
                <w:kern w:val="0"/>
                <w:sz w:val="28"/>
                <w:szCs w:val="28"/>
              </w:rPr>
              <w:t>101</w:t>
            </w:r>
          </w:p>
        </w:tc>
        <w:tc>
          <w:tcPr>
            <w:tcW w:w="1351"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kinsoku w:val="0"/>
              <w:spacing w:line="360" w:lineRule="exact"/>
              <w:jc w:val="center"/>
              <w:rPr>
                <w:rFonts w:ascii="Times New Roman"/>
                <w:kern w:val="0"/>
                <w:sz w:val="28"/>
                <w:szCs w:val="28"/>
              </w:rPr>
            </w:pPr>
            <w:r>
              <w:rPr>
                <w:rFonts w:ascii="Times New Roman"/>
                <w:kern w:val="0"/>
                <w:sz w:val="28"/>
                <w:szCs w:val="28"/>
              </w:rPr>
              <w:t>102</w:t>
            </w:r>
          </w:p>
        </w:tc>
        <w:tc>
          <w:tcPr>
            <w:tcW w:w="1351"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kinsoku w:val="0"/>
              <w:spacing w:line="360" w:lineRule="exact"/>
              <w:jc w:val="center"/>
              <w:rPr>
                <w:rFonts w:ascii="Times New Roman"/>
                <w:kern w:val="0"/>
                <w:sz w:val="28"/>
                <w:szCs w:val="28"/>
              </w:rPr>
            </w:pPr>
            <w:r>
              <w:rPr>
                <w:rFonts w:ascii="Times New Roman"/>
                <w:kern w:val="0"/>
                <w:sz w:val="28"/>
                <w:szCs w:val="28"/>
              </w:rPr>
              <w:t>103</w:t>
            </w:r>
          </w:p>
        </w:tc>
        <w:tc>
          <w:tcPr>
            <w:tcW w:w="1351"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kinsoku w:val="0"/>
              <w:spacing w:line="360" w:lineRule="exact"/>
              <w:jc w:val="center"/>
              <w:rPr>
                <w:rFonts w:ascii="Times New Roman"/>
                <w:kern w:val="0"/>
                <w:sz w:val="28"/>
                <w:szCs w:val="28"/>
              </w:rPr>
            </w:pPr>
            <w:r>
              <w:rPr>
                <w:rFonts w:ascii="Times New Roman"/>
                <w:kern w:val="0"/>
                <w:sz w:val="28"/>
                <w:szCs w:val="28"/>
              </w:rPr>
              <w:t>104</w:t>
            </w:r>
          </w:p>
        </w:tc>
        <w:tc>
          <w:tcPr>
            <w:tcW w:w="1351"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kinsoku w:val="0"/>
              <w:spacing w:line="360" w:lineRule="exact"/>
              <w:jc w:val="center"/>
              <w:rPr>
                <w:rFonts w:ascii="Times New Roman"/>
                <w:kern w:val="0"/>
                <w:sz w:val="28"/>
                <w:szCs w:val="28"/>
              </w:rPr>
            </w:pPr>
            <w:r>
              <w:rPr>
                <w:rFonts w:ascii="Times New Roman"/>
                <w:kern w:val="0"/>
                <w:sz w:val="28"/>
                <w:szCs w:val="28"/>
              </w:rPr>
              <w:t>105</w:t>
            </w:r>
          </w:p>
        </w:tc>
      </w:tr>
      <w:tr w:rsidR="00CB6308" w:rsidTr="00CB6308">
        <w:trPr>
          <w:trHeight w:val="322"/>
        </w:trPr>
        <w:tc>
          <w:tcPr>
            <w:tcW w:w="1023" w:type="dxa"/>
            <w:vMerge w:val="restart"/>
            <w:tcBorders>
              <w:top w:val="single" w:sz="8" w:space="0" w:color="000000"/>
              <w:left w:val="single" w:sz="8" w:space="0" w:color="000000"/>
              <w:bottom w:val="single" w:sz="8" w:space="0" w:color="000000"/>
              <w:right w:val="single" w:sz="8" w:space="0" w:color="000000"/>
            </w:tcBorders>
            <w:shd w:val="clear" w:color="auto" w:fill="F2F2F2" w:themeFill="background1" w:themeFillShade="F2"/>
            <w:noWrap/>
            <w:vAlign w:val="center"/>
            <w:hideMark/>
          </w:tcPr>
          <w:p w:rsidR="00CB6308" w:rsidRDefault="00CB6308">
            <w:pPr>
              <w:widowControl/>
              <w:overflowPunct/>
              <w:autoSpaceDE/>
              <w:spacing w:line="340" w:lineRule="exact"/>
              <w:jc w:val="center"/>
              <w:rPr>
                <w:rFonts w:ascii="Times New Roman"/>
                <w:kern w:val="0"/>
                <w:sz w:val="26"/>
                <w:szCs w:val="26"/>
              </w:rPr>
            </w:pPr>
            <w:r>
              <w:rPr>
                <w:rFonts w:ascii="Times New Roman"/>
                <w:kern w:val="0"/>
                <w:sz w:val="26"/>
                <w:szCs w:val="26"/>
              </w:rPr>
              <w:t>6</w:t>
            </w:r>
            <w:r>
              <w:rPr>
                <w:rFonts w:ascii="Times New Roman" w:hint="eastAsia"/>
                <w:kern w:val="0"/>
                <w:sz w:val="26"/>
                <w:szCs w:val="26"/>
              </w:rPr>
              <w:t>個</w:t>
            </w:r>
          </w:p>
          <w:p w:rsidR="00CB6308" w:rsidRDefault="00CB6308">
            <w:pPr>
              <w:widowControl/>
              <w:overflowPunct/>
              <w:autoSpaceDE/>
              <w:spacing w:line="340" w:lineRule="exact"/>
              <w:jc w:val="center"/>
              <w:rPr>
                <w:rFonts w:ascii="Times New Roman"/>
                <w:kern w:val="0"/>
                <w:sz w:val="26"/>
                <w:szCs w:val="26"/>
              </w:rPr>
            </w:pPr>
            <w:r>
              <w:rPr>
                <w:rFonts w:ascii="Times New Roman" w:hint="eastAsia"/>
                <w:kern w:val="0"/>
                <w:sz w:val="26"/>
                <w:szCs w:val="26"/>
              </w:rPr>
              <w:t>直轄市</w:t>
            </w:r>
          </w:p>
        </w:tc>
        <w:tc>
          <w:tcPr>
            <w:tcW w:w="69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rsidR="00CB6308" w:rsidRDefault="00CB6308">
            <w:pPr>
              <w:widowControl/>
              <w:overflowPunct/>
              <w:autoSpaceDE/>
              <w:spacing w:line="340" w:lineRule="exact"/>
              <w:jc w:val="center"/>
              <w:rPr>
                <w:rFonts w:hAnsi="標楷體" w:cs="新細明體"/>
                <w:kern w:val="0"/>
                <w:sz w:val="26"/>
                <w:szCs w:val="26"/>
              </w:rPr>
            </w:pPr>
            <w:r>
              <w:rPr>
                <w:rFonts w:hAnsi="標楷體" w:cs="新細明體" w:hint="eastAsia"/>
                <w:kern w:val="0"/>
                <w:sz w:val="26"/>
                <w:szCs w:val="26"/>
              </w:rPr>
              <w:t>金額</w:t>
            </w:r>
          </w:p>
        </w:tc>
        <w:tc>
          <w:tcPr>
            <w:tcW w:w="135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jc w:val="right"/>
              <w:rPr>
                <w:rFonts w:ascii="Times New Roman" w:eastAsia="新細明體"/>
                <w:b/>
                <w:bCs/>
                <w:color w:val="000000"/>
                <w:spacing w:val="-16"/>
                <w:sz w:val="22"/>
                <w:szCs w:val="22"/>
              </w:rPr>
            </w:pPr>
            <w:r>
              <w:rPr>
                <w:rFonts w:ascii="Times New Roman"/>
                <w:b/>
                <w:bCs/>
                <w:color w:val="000000"/>
                <w:spacing w:val="-16"/>
                <w:sz w:val="22"/>
                <w:szCs w:val="22"/>
              </w:rPr>
              <w:t>5,166,215,684</w:t>
            </w:r>
          </w:p>
        </w:tc>
        <w:tc>
          <w:tcPr>
            <w:tcW w:w="135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jc w:val="right"/>
              <w:rPr>
                <w:rFonts w:ascii="Times New Roman" w:eastAsia="新細明體"/>
                <w:b/>
                <w:bCs/>
                <w:color w:val="000000"/>
                <w:spacing w:val="-16"/>
                <w:sz w:val="22"/>
                <w:szCs w:val="22"/>
              </w:rPr>
            </w:pPr>
            <w:r>
              <w:rPr>
                <w:rFonts w:ascii="Times New Roman"/>
                <w:b/>
                <w:bCs/>
                <w:color w:val="000000"/>
                <w:spacing w:val="-16"/>
                <w:sz w:val="22"/>
                <w:szCs w:val="22"/>
              </w:rPr>
              <w:t>6,940,677,978</w:t>
            </w:r>
          </w:p>
        </w:tc>
        <w:tc>
          <w:tcPr>
            <w:tcW w:w="135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jc w:val="right"/>
              <w:rPr>
                <w:rFonts w:ascii="Times New Roman" w:eastAsia="新細明體"/>
                <w:b/>
                <w:bCs/>
                <w:color w:val="000000"/>
                <w:spacing w:val="-16"/>
                <w:sz w:val="22"/>
                <w:szCs w:val="22"/>
              </w:rPr>
            </w:pPr>
            <w:r>
              <w:rPr>
                <w:rFonts w:ascii="Times New Roman"/>
                <w:b/>
                <w:bCs/>
                <w:color w:val="000000"/>
                <w:spacing w:val="-16"/>
                <w:sz w:val="22"/>
                <w:szCs w:val="22"/>
              </w:rPr>
              <w:t>6,554,519,244</w:t>
            </w:r>
          </w:p>
        </w:tc>
        <w:tc>
          <w:tcPr>
            <w:tcW w:w="135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jc w:val="right"/>
              <w:rPr>
                <w:rFonts w:ascii="Times New Roman" w:eastAsia="新細明體"/>
                <w:b/>
                <w:bCs/>
                <w:color w:val="000000"/>
                <w:spacing w:val="-16"/>
                <w:sz w:val="22"/>
                <w:szCs w:val="22"/>
              </w:rPr>
            </w:pPr>
            <w:r>
              <w:rPr>
                <w:rFonts w:ascii="Times New Roman"/>
                <w:b/>
                <w:bCs/>
                <w:color w:val="000000"/>
                <w:spacing w:val="-16"/>
                <w:sz w:val="22"/>
                <w:szCs w:val="22"/>
              </w:rPr>
              <w:t>7,052,311,613</w:t>
            </w:r>
          </w:p>
        </w:tc>
        <w:tc>
          <w:tcPr>
            <w:tcW w:w="135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jc w:val="right"/>
              <w:rPr>
                <w:rFonts w:ascii="Times New Roman" w:eastAsia="新細明體"/>
                <w:b/>
                <w:bCs/>
                <w:color w:val="000000"/>
                <w:spacing w:val="-16"/>
                <w:sz w:val="22"/>
                <w:szCs w:val="22"/>
              </w:rPr>
            </w:pPr>
            <w:r>
              <w:rPr>
                <w:rFonts w:ascii="Times New Roman"/>
                <w:b/>
                <w:bCs/>
                <w:color w:val="000000"/>
                <w:spacing w:val="-16"/>
                <w:sz w:val="22"/>
                <w:szCs w:val="22"/>
              </w:rPr>
              <w:t>7,651,185,072</w:t>
            </w:r>
          </w:p>
        </w:tc>
        <w:tc>
          <w:tcPr>
            <w:tcW w:w="135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noWrap/>
            <w:vAlign w:val="center"/>
            <w:hideMark/>
          </w:tcPr>
          <w:p w:rsidR="00CB6308" w:rsidRDefault="00CB6308">
            <w:pPr>
              <w:jc w:val="right"/>
              <w:rPr>
                <w:rFonts w:ascii="Times New Roman" w:eastAsia="新細明體"/>
                <w:b/>
                <w:bCs/>
                <w:color w:val="000000"/>
                <w:spacing w:val="-16"/>
                <w:sz w:val="22"/>
                <w:szCs w:val="22"/>
              </w:rPr>
            </w:pPr>
            <w:r>
              <w:rPr>
                <w:rFonts w:ascii="Times New Roman"/>
                <w:b/>
                <w:bCs/>
                <w:color w:val="000000"/>
                <w:spacing w:val="-16"/>
                <w:sz w:val="22"/>
                <w:szCs w:val="22"/>
              </w:rPr>
              <w:t>8,882,712,146</w:t>
            </w:r>
          </w:p>
        </w:tc>
        <w:tc>
          <w:tcPr>
            <w:tcW w:w="135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jc w:val="right"/>
              <w:rPr>
                <w:rFonts w:ascii="Times New Roman" w:eastAsia="新細明體"/>
                <w:b/>
                <w:bCs/>
                <w:color w:val="000000"/>
                <w:spacing w:val="-16"/>
                <w:sz w:val="22"/>
                <w:szCs w:val="22"/>
              </w:rPr>
            </w:pPr>
            <w:r>
              <w:rPr>
                <w:rFonts w:ascii="Times New Roman"/>
                <w:b/>
                <w:bCs/>
                <w:color w:val="000000"/>
                <w:spacing w:val="-16"/>
                <w:sz w:val="22"/>
                <w:szCs w:val="22"/>
              </w:rPr>
              <w:t>11,725,705,959</w:t>
            </w:r>
          </w:p>
        </w:tc>
        <w:tc>
          <w:tcPr>
            <w:tcW w:w="135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jc w:val="right"/>
              <w:rPr>
                <w:rFonts w:ascii="Times New Roman" w:eastAsia="新細明體"/>
                <w:b/>
                <w:bCs/>
                <w:color w:val="000000"/>
                <w:spacing w:val="-16"/>
                <w:sz w:val="22"/>
                <w:szCs w:val="22"/>
              </w:rPr>
            </w:pPr>
            <w:r>
              <w:rPr>
                <w:rFonts w:ascii="Times New Roman"/>
                <w:b/>
                <w:bCs/>
                <w:color w:val="000000"/>
                <w:spacing w:val="-16"/>
                <w:sz w:val="22"/>
                <w:szCs w:val="22"/>
              </w:rPr>
              <w:t>8,696,056,016</w:t>
            </w:r>
          </w:p>
        </w:tc>
        <w:tc>
          <w:tcPr>
            <w:tcW w:w="135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jc w:val="right"/>
              <w:rPr>
                <w:rFonts w:ascii="Times New Roman" w:eastAsia="新細明體"/>
                <w:b/>
                <w:bCs/>
                <w:color w:val="000000"/>
                <w:spacing w:val="-16"/>
                <w:sz w:val="22"/>
                <w:szCs w:val="22"/>
              </w:rPr>
            </w:pPr>
            <w:r>
              <w:rPr>
                <w:rFonts w:ascii="Times New Roman"/>
                <w:b/>
                <w:bCs/>
                <w:color w:val="000000"/>
                <w:spacing w:val="-16"/>
                <w:sz w:val="22"/>
                <w:szCs w:val="22"/>
              </w:rPr>
              <w:t>10,223,315,015</w:t>
            </w:r>
          </w:p>
        </w:tc>
        <w:tc>
          <w:tcPr>
            <w:tcW w:w="135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jc w:val="right"/>
              <w:rPr>
                <w:rFonts w:ascii="Times New Roman" w:eastAsia="新細明體"/>
                <w:b/>
                <w:bCs/>
                <w:color w:val="000000"/>
                <w:spacing w:val="-16"/>
                <w:sz w:val="22"/>
                <w:szCs w:val="22"/>
              </w:rPr>
            </w:pPr>
            <w:r>
              <w:rPr>
                <w:rFonts w:ascii="Times New Roman"/>
                <w:b/>
                <w:bCs/>
                <w:color w:val="000000"/>
                <w:spacing w:val="-16"/>
                <w:sz w:val="22"/>
                <w:szCs w:val="22"/>
              </w:rPr>
              <w:t>7,846,454,666</w:t>
            </w:r>
          </w:p>
        </w:tc>
      </w:tr>
      <w:tr w:rsidR="00CB6308" w:rsidTr="00CB6308">
        <w:trPr>
          <w:trHeight w:val="322"/>
        </w:trPr>
        <w:tc>
          <w:tcPr>
            <w:tcW w:w="1722" w:type="dxa"/>
            <w:vMerge/>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autoSpaceDN/>
              <w:jc w:val="left"/>
              <w:rPr>
                <w:rFonts w:ascii="Times New Roman"/>
                <w:kern w:val="0"/>
                <w:sz w:val="26"/>
                <w:szCs w:val="26"/>
              </w:rPr>
            </w:pPr>
          </w:p>
        </w:tc>
        <w:tc>
          <w:tcPr>
            <w:tcW w:w="69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rsidR="00CB6308" w:rsidRDefault="00CB6308">
            <w:pPr>
              <w:widowControl/>
              <w:overflowPunct/>
              <w:autoSpaceDE/>
              <w:spacing w:line="340" w:lineRule="exact"/>
              <w:ind w:rightChars="4" w:right="14"/>
              <w:jc w:val="center"/>
              <w:rPr>
                <w:rFonts w:hAnsi="標楷體" w:cs="新細明體"/>
                <w:kern w:val="0"/>
                <w:sz w:val="26"/>
                <w:szCs w:val="26"/>
              </w:rPr>
            </w:pPr>
            <w:r>
              <w:rPr>
                <w:rFonts w:hAnsi="標楷體" w:cs="新細明體" w:hint="eastAsia"/>
                <w:kern w:val="0"/>
                <w:sz w:val="26"/>
                <w:szCs w:val="26"/>
              </w:rPr>
              <w:t>比率</w:t>
            </w:r>
          </w:p>
        </w:tc>
        <w:tc>
          <w:tcPr>
            <w:tcW w:w="135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jc w:val="right"/>
              <w:rPr>
                <w:rFonts w:ascii="Times New Roman" w:eastAsia="新細明體"/>
                <w:b/>
                <w:bCs/>
                <w:color w:val="000000"/>
                <w:sz w:val="22"/>
                <w:szCs w:val="22"/>
              </w:rPr>
            </w:pPr>
            <w:r>
              <w:rPr>
                <w:rFonts w:ascii="Times New Roman"/>
                <w:b/>
                <w:bCs/>
                <w:color w:val="000000"/>
                <w:sz w:val="22"/>
                <w:szCs w:val="22"/>
              </w:rPr>
              <w:t>66.52</w:t>
            </w:r>
          </w:p>
        </w:tc>
        <w:tc>
          <w:tcPr>
            <w:tcW w:w="135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jc w:val="right"/>
              <w:rPr>
                <w:rFonts w:ascii="Times New Roman" w:eastAsia="新細明體"/>
                <w:b/>
                <w:bCs/>
                <w:color w:val="000000"/>
                <w:sz w:val="22"/>
                <w:szCs w:val="22"/>
              </w:rPr>
            </w:pPr>
            <w:r>
              <w:rPr>
                <w:rFonts w:ascii="Times New Roman"/>
                <w:b/>
                <w:bCs/>
                <w:color w:val="000000"/>
                <w:sz w:val="22"/>
                <w:szCs w:val="22"/>
              </w:rPr>
              <w:t>66.69</w:t>
            </w:r>
          </w:p>
        </w:tc>
        <w:tc>
          <w:tcPr>
            <w:tcW w:w="135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jc w:val="right"/>
              <w:rPr>
                <w:rFonts w:ascii="Times New Roman" w:eastAsia="新細明體"/>
                <w:b/>
                <w:bCs/>
                <w:color w:val="000000"/>
                <w:sz w:val="22"/>
                <w:szCs w:val="22"/>
              </w:rPr>
            </w:pPr>
            <w:r>
              <w:rPr>
                <w:rFonts w:ascii="Times New Roman"/>
                <w:b/>
                <w:bCs/>
                <w:color w:val="000000"/>
                <w:sz w:val="22"/>
                <w:szCs w:val="22"/>
              </w:rPr>
              <w:t>66.70</w:t>
            </w:r>
          </w:p>
        </w:tc>
        <w:tc>
          <w:tcPr>
            <w:tcW w:w="135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jc w:val="right"/>
              <w:rPr>
                <w:rFonts w:ascii="Times New Roman" w:eastAsia="新細明體"/>
                <w:b/>
                <w:bCs/>
                <w:color w:val="000000"/>
                <w:sz w:val="22"/>
                <w:szCs w:val="22"/>
              </w:rPr>
            </w:pPr>
            <w:r>
              <w:rPr>
                <w:rFonts w:ascii="Times New Roman"/>
                <w:b/>
                <w:bCs/>
                <w:color w:val="000000"/>
                <w:sz w:val="22"/>
                <w:szCs w:val="22"/>
              </w:rPr>
              <w:t>66.50</w:t>
            </w:r>
          </w:p>
        </w:tc>
        <w:tc>
          <w:tcPr>
            <w:tcW w:w="135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jc w:val="right"/>
              <w:rPr>
                <w:rFonts w:ascii="Times New Roman" w:eastAsia="新細明體"/>
                <w:b/>
                <w:bCs/>
                <w:color w:val="000000"/>
                <w:sz w:val="22"/>
                <w:szCs w:val="22"/>
              </w:rPr>
            </w:pPr>
            <w:r>
              <w:rPr>
                <w:rFonts w:ascii="Times New Roman"/>
                <w:b/>
                <w:bCs/>
                <w:color w:val="000000"/>
                <w:sz w:val="22"/>
                <w:szCs w:val="22"/>
              </w:rPr>
              <w:t>65.23</w:t>
            </w:r>
          </w:p>
        </w:tc>
        <w:tc>
          <w:tcPr>
            <w:tcW w:w="135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noWrap/>
            <w:vAlign w:val="center"/>
            <w:hideMark/>
          </w:tcPr>
          <w:p w:rsidR="00CB6308" w:rsidRDefault="00CB6308">
            <w:pPr>
              <w:jc w:val="right"/>
              <w:rPr>
                <w:rFonts w:ascii="Times New Roman" w:eastAsia="新細明體"/>
                <w:b/>
                <w:bCs/>
                <w:color w:val="000000"/>
                <w:sz w:val="22"/>
                <w:szCs w:val="22"/>
              </w:rPr>
            </w:pPr>
            <w:r>
              <w:rPr>
                <w:rFonts w:ascii="Times New Roman"/>
                <w:b/>
                <w:bCs/>
                <w:color w:val="000000"/>
                <w:sz w:val="22"/>
                <w:szCs w:val="22"/>
              </w:rPr>
              <w:t>65.29</w:t>
            </w:r>
          </w:p>
        </w:tc>
        <w:tc>
          <w:tcPr>
            <w:tcW w:w="135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jc w:val="right"/>
              <w:rPr>
                <w:rFonts w:ascii="Times New Roman" w:eastAsia="新細明體"/>
                <w:b/>
                <w:bCs/>
                <w:color w:val="000000"/>
                <w:sz w:val="22"/>
                <w:szCs w:val="22"/>
              </w:rPr>
            </w:pPr>
            <w:r>
              <w:rPr>
                <w:rFonts w:ascii="Times New Roman"/>
                <w:b/>
                <w:bCs/>
                <w:color w:val="000000"/>
                <w:sz w:val="22"/>
                <w:szCs w:val="22"/>
              </w:rPr>
              <w:t>65.01</w:t>
            </w:r>
          </w:p>
        </w:tc>
        <w:tc>
          <w:tcPr>
            <w:tcW w:w="135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jc w:val="right"/>
              <w:rPr>
                <w:rFonts w:ascii="Times New Roman" w:eastAsia="新細明體"/>
                <w:b/>
                <w:bCs/>
                <w:color w:val="000000"/>
                <w:sz w:val="22"/>
                <w:szCs w:val="22"/>
              </w:rPr>
            </w:pPr>
            <w:r>
              <w:rPr>
                <w:rFonts w:ascii="Times New Roman"/>
                <w:b/>
                <w:bCs/>
                <w:color w:val="000000"/>
                <w:sz w:val="22"/>
                <w:szCs w:val="22"/>
              </w:rPr>
              <w:t>60.83</w:t>
            </w:r>
          </w:p>
        </w:tc>
        <w:tc>
          <w:tcPr>
            <w:tcW w:w="135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jc w:val="right"/>
              <w:rPr>
                <w:rFonts w:ascii="Times New Roman" w:eastAsia="新細明體"/>
                <w:b/>
                <w:bCs/>
                <w:color w:val="000000"/>
                <w:sz w:val="22"/>
                <w:szCs w:val="22"/>
              </w:rPr>
            </w:pPr>
            <w:r>
              <w:rPr>
                <w:rFonts w:ascii="Times New Roman"/>
                <w:b/>
                <w:bCs/>
                <w:color w:val="000000"/>
                <w:sz w:val="22"/>
                <w:szCs w:val="22"/>
              </w:rPr>
              <w:t>60.38</w:t>
            </w:r>
          </w:p>
        </w:tc>
        <w:tc>
          <w:tcPr>
            <w:tcW w:w="135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pPr>
              <w:jc w:val="right"/>
              <w:rPr>
                <w:rFonts w:ascii="Times New Roman" w:eastAsia="新細明體"/>
                <w:b/>
                <w:bCs/>
                <w:color w:val="000000"/>
                <w:sz w:val="22"/>
                <w:szCs w:val="22"/>
              </w:rPr>
            </w:pPr>
            <w:r>
              <w:rPr>
                <w:rFonts w:ascii="Times New Roman"/>
                <w:b/>
                <w:bCs/>
                <w:color w:val="000000"/>
                <w:sz w:val="22"/>
                <w:szCs w:val="22"/>
              </w:rPr>
              <w:t>58.31</w:t>
            </w:r>
          </w:p>
        </w:tc>
      </w:tr>
      <w:tr w:rsidR="00CB6308" w:rsidTr="00CB6308">
        <w:trPr>
          <w:trHeight w:val="322"/>
        </w:trPr>
        <w:tc>
          <w:tcPr>
            <w:tcW w:w="1023" w:type="dxa"/>
            <w:vMerge w:val="restart"/>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widowControl/>
              <w:overflowPunct/>
              <w:autoSpaceDE/>
              <w:spacing w:line="340" w:lineRule="exact"/>
              <w:jc w:val="center"/>
              <w:rPr>
                <w:rFonts w:ascii="Times New Roman"/>
                <w:kern w:val="0"/>
                <w:sz w:val="26"/>
                <w:szCs w:val="26"/>
              </w:rPr>
            </w:pPr>
            <w:r>
              <w:rPr>
                <w:rFonts w:ascii="Times New Roman"/>
                <w:kern w:val="0"/>
                <w:sz w:val="26"/>
                <w:szCs w:val="26"/>
              </w:rPr>
              <w:t>16</w:t>
            </w:r>
            <w:r>
              <w:rPr>
                <w:rFonts w:ascii="Times New Roman" w:hint="eastAsia"/>
                <w:kern w:val="0"/>
                <w:sz w:val="26"/>
                <w:szCs w:val="26"/>
              </w:rPr>
              <w:t>個</w:t>
            </w:r>
          </w:p>
          <w:p w:rsidR="00CB6308" w:rsidRDefault="00CB6308">
            <w:pPr>
              <w:widowControl/>
              <w:overflowPunct/>
              <w:autoSpaceDE/>
              <w:spacing w:line="340" w:lineRule="exact"/>
              <w:jc w:val="center"/>
              <w:rPr>
                <w:rFonts w:ascii="Times New Roman"/>
                <w:kern w:val="0"/>
                <w:sz w:val="26"/>
                <w:szCs w:val="26"/>
              </w:rPr>
            </w:pPr>
            <w:r>
              <w:rPr>
                <w:rFonts w:ascii="Times New Roman" w:hint="eastAsia"/>
                <w:kern w:val="0"/>
                <w:sz w:val="26"/>
                <w:szCs w:val="26"/>
              </w:rPr>
              <w:t>縣市</w:t>
            </w:r>
          </w:p>
        </w:tc>
        <w:tc>
          <w:tcPr>
            <w:tcW w:w="699" w:type="dxa"/>
            <w:tcBorders>
              <w:top w:val="single" w:sz="8" w:space="0" w:color="000000"/>
              <w:left w:val="single" w:sz="8" w:space="0" w:color="000000"/>
              <w:bottom w:val="single" w:sz="8" w:space="0" w:color="000000"/>
              <w:right w:val="single" w:sz="8" w:space="0" w:color="000000"/>
            </w:tcBorders>
            <w:hideMark/>
          </w:tcPr>
          <w:p w:rsidR="00CB6308" w:rsidRDefault="00CB6308">
            <w:pPr>
              <w:widowControl/>
              <w:overflowPunct/>
              <w:autoSpaceDE/>
              <w:spacing w:line="340" w:lineRule="exact"/>
              <w:jc w:val="center"/>
              <w:rPr>
                <w:rFonts w:hAnsi="標楷體" w:cs="新細明體"/>
                <w:kern w:val="0"/>
                <w:sz w:val="26"/>
                <w:szCs w:val="26"/>
              </w:rPr>
            </w:pPr>
            <w:r>
              <w:rPr>
                <w:rFonts w:hAnsi="標楷體" w:cs="新細明體" w:hint="eastAsia"/>
                <w:kern w:val="0"/>
                <w:sz w:val="26"/>
                <w:szCs w:val="26"/>
              </w:rPr>
              <w:t>金額</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color w:val="000000"/>
                <w:spacing w:val="-18"/>
                <w:sz w:val="22"/>
                <w:szCs w:val="22"/>
              </w:rPr>
            </w:pPr>
            <w:r>
              <w:rPr>
                <w:rFonts w:ascii="Times New Roman"/>
                <w:color w:val="000000"/>
                <w:spacing w:val="-18"/>
                <w:sz w:val="22"/>
                <w:szCs w:val="22"/>
              </w:rPr>
              <w:t>2,600,578,910</w:t>
            </w:r>
          </w:p>
        </w:tc>
        <w:tc>
          <w:tcPr>
            <w:tcW w:w="1351"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color w:val="000000"/>
                <w:spacing w:val="-18"/>
                <w:sz w:val="22"/>
                <w:szCs w:val="22"/>
              </w:rPr>
            </w:pPr>
            <w:r>
              <w:rPr>
                <w:rFonts w:ascii="Times New Roman"/>
                <w:color w:val="000000"/>
                <w:spacing w:val="-18"/>
                <w:sz w:val="22"/>
                <w:szCs w:val="22"/>
              </w:rPr>
              <w:t>3,466,285,675</w:t>
            </w:r>
          </w:p>
        </w:tc>
        <w:tc>
          <w:tcPr>
            <w:tcW w:w="1351"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color w:val="000000"/>
                <w:spacing w:val="-18"/>
                <w:sz w:val="22"/>
                <w:szCs w:val="22"/>
              </w:rPr>
            </w:pPr>
            <w:r>
              <w:rPr>
                <w:rFonts w:ascii="Times New Roman"/>
                <w:color w:val="000000"/>
                <w:spacing w:val="-18"/>
                <w:sz w:val="22"/>
                <w:szCs w:val="22"/>
              </w:rPr>
              <w:t>3,272,577,585</w:t>
            </w:r>
          </w:p>
        </w:tc>
        <w:tc>
          <w:tcPr>
            <w:tcW w:w="1351"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color w:val="000000"/>
                <w:spacing w:val="-18"/>
                <w:sz w:val="22"/>
                <w:szCs w:val="22"/>
              </w:rPr>
            </w:pPr>
            <w:r>
              <w:rPr>
                <w:rFonts w:ascii="Times New Roman"/>
                <w:color w:val="000000"/>
                <w:spacing w:val="-18"/>
                <w:sz w:val="22"/>
                <w:szCs w:val="22"/>
              </w:rPr>
              <w:t>3,553,456,100</w:t>
            </w:r>
          </w:p>
        </w:tc>
        <w:tc>
          <w:tcPr>
            <w:tcW w:w="1351"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color w:val="000000"/>
                <w:spacing w:val="-18"/>
                <w:sz w:val="22"/>
                <w:szCs w:val="22"/>
              </w:rPr>
            </w:pPr>
            <w:r>
              <w:rPr>
                <w:rFonts w:ascii="Times New Roman"/>
                <w:color w:val="000000"/>
                <w:spacing w:val="-18"/>
                <w:sz w:val="22"/>
                <w:szCs w:val="22"/>
              </w:rPr>
              <w:t>4,077,960,382</w:t>
            </w:r>
          </w:p>
        </w:tc>
        <w:tc>
          <w:tcPr>
            <w:tcW w:w="1351"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jc w:val="right"/>
              <w:rPr>
                <w:rFonts w:ascii="Times New Roman" w:eastAsia="新細明體"/>
                <w:color w:val="000000"/>
                <w:spacing w:val="-18"/>
                <w:sz w:val="22"/>
                <w:szCs w:val="22"/>
              </w:rPr>
            </w:pPr>
            <w:r>
              <w:rPr>
                <w:rFonts w:ascii="Times New Roman"/>
                <w:color w:val="000000"/>
                <w:spacing w:val="-18"/>
                <w:sz w:val="22"/>
                <w:szCs w:val="22"/>
              </w:rPr>
              <w:t>4,723,010,176</w:t>
            </w:r>
          </w:p>
        </w:tc>
        <w:tc>
          <w:tcPr>
            <w:tcW w:w="1351"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color w:val="000000"/>
                <w:spacing w:val="-18"/>
                <w:sz w:val="22"/>
                <w:szCs w:val="22"/>
              </w:rPr>
            </w:pPr>
            <w:r>
              <w:rPr>
                <w:rFonts w:ascii="Times New Roman"/>
                <w:color w:val="000000"/>
                <w:spacing w:val="-18"/>
                <w:sz w:val="22"/>
                <w:szCs w:val="22"/>
              </w:rPr>
              <w:t>6,310,190,056</w:t>
            </w:r>
          </w:p>
        </w:tc>
        <w:tc>
          <w:tcPr>
            <w:tcW w:w="1351"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color w:val="000000"/>
                <w:spacing w:val="-18"/>
                <w:sz w:val="22"/>
                <w:szCs w:val="22"/>
              </w:rPr>
            </w:pPr>
            <w:r>
              <w:rPr>
                <w:rFonts w:ascii="Times New Roman"/>
                <w:color w:val="000000"/>
                <w:spacing w:val="-18"/>
                <w:sz w:val="22"/>
                <w:szCs w:val="22"/>
              </w:rPr>
              <w:t>5,683,581,371</w:t>
            </w:r>
          </w:p>
        </w:tc>
        <w:tc>
          <w:tcPr>
            <w:tcW w:w="1351"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color w:val="000000"/>
                <w:spacing w:val="-18"/>
                <w:sz w:val="22"/>
                <w:szCs w:val="22"/>
              </w:rPr>
            </w:pPr>
            <w:r>
              <w:rPr>
                <w:rFonts w:ascii="Times New Roman"/>
                <w:color w:val="000000"/>
                <w:spacing w:val="-18"/>
                <w:sz w:val="22"/>
                <w:szCs w:val="22"/>
              </w:rPr>
              <w:t>6,709,294,541</w:t>
            </w:r>
          </w:p>
        </w:tc>
        <w:tc>
          <w:tcPr>
            <w:tcW w:w="1351"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color w:val="000000"/>
                <w:spacing w:val="-18"/>
                <w:sz w:val="22"/>
                <w:szCs w:val="22"/>
              </w:rPr>
            </w:pPr>
            <w:r>
              <w:rPr>
                <w:rFonts w:ascii="Times New Roman"/>
                <w:color w:val="000000"/>
                <w:spacing w:val="-18"/>
                <w:sz w:val="22"/>
                <w:szCs w:val="22"/>
              </w:rPr>
              <w:t>5,609,277,735</w:t>
            </w:r>
          </w:p>
        </w:tc>
      </w:tr>
      <w:tr w:rsidR="00CB6308" w:rsidTr="00CB6308">
        <w:trPr>
          <w:trHeight w:val="322"/>
        </w:trPr>
        <w:tc>
          <w:tcPr>
            <w:tcW w:w="1722" w:type="dxa"/>
            <w:vMerge/>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autoSpaceDN/>
              <w:jc w:val="left"/>
              <w:rPr>
                <w:rFonts w:ascii="Times New Roman"/>
                <w:kern w:val="0"/>
                <w:sz w:val="26"/>
                <w:szCs w:val="26"/>
              </w:rPr>
            </w:pPr>
          </w:p>
        </w:tc>
        <w:tc>
          <w:tcPr>
            <w:tcW w:w="699" w:type="dxa"/>
            <w:tcBorders>
              <w:top w:val="single" w:sz="8" w:space="0" w:color="000000"/>
              <w:left w:val="single" w:sz="8" w:space="0" w:color="000000"/>
              <w:bottom w:val="single" w:sz="8" w:space="0" w:color="000000"/>
              <w:right w:val="single" w:sz="8" w:space="0" w:color="000000"/>
            </w:tcBorders>
            <w:hideMark/>
          </w:tcPr>
          <w:p w:rsidR="00CB6308" w:rsidRDefault="00CB6308">
            <w:pPr>
              <w:widowControl/>
              <w:overflowPunct/>
              <w:autoSpaceDE/>
              <w:spacing w:line="340" w:lineRule="exact"/>
              <w:jc w:val="center"/>
              <w:rPr>
                <w:rFonts w:hAnsi="標楷體" w:cs="新細明體"/>
                <w:kern w:val="0"/>
                <w:sz w:val="26"/>
                <w:szCs w:val="26"/>
              </w:rPr>
            </w:pPr>
            <w:r>
              <w:rPr>
                <w:rFonts w:hAnsi="標楷體" w:cs="新細明體" w:hint="eastAsia"/>
                <w:kern w:val="0"/>
                <w:sz w:val="26"/>
                <w:szCs w:val="26"/>
              </w:rPr>
              <w:t>比率</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color w:val="000000"/>
                <w:sz w:val="22"/>
                <w:szCs w:val="22"/>
              </w:rPr>
            </w:pPr>
            <w:r>
              <w:rPr>
                <w:rFonts w:ascii="Times New Roman"/>
                <w:color w:val="000000"/>
                <w:sz w:val="22"/>
                <w:szCs w:val="22"/>
              </w:rPr>
              <w:t>33.48</w:t>
            </w:r>
          </w:p>
        </w:tc>
        <w:tc>
          <w:tcPr>
            <w:tcW w:w="1351"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color w:val="000000"/>
                <w:sz w:val="22"/>
                <w:szCs w:val="22"/>
              </w:rPr>
            </w:pPr>
            <w:r>
              <w:rPr>
                <w:rFonts w:ascii="Times New Roman"/>
                <w:color w:val="000000"/>
                <w:sz w:val="22"/>
                <w:szCs w:val="22"/>
              </w:rPr>
              <w:t>33.31</w:t>
            </w:r>
          </w:p>
        </w:tc>
        <w:tc>
          <w:tcPr>
            <w:tcW w:w="1351"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color w:val="000000"/>
                <w:sz w:val="22"/>
                <w:szCs w:val="22"/>
              </w:rPr>
            </w:pPr>
            <w:r>
              <w:rPr>
                <w:rFonts w:ascii="Times New Roman"/>
                <w:color w:val="000000"/>
                <w:sz w:val="22"/>
                <w:szCs w:val="22"/>
              </w:rPr>
              <w:t>33.30</w:t>
            </w:r>
          </w:p>
        </w:tc>
        <w:tc>
          <w:tcPr>
            <w:tcW w:w="1351"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color w:val="000000"/>
                <w:sz w:val="22"/>
                <w:szCs w:val="22"/>
              </w:rPr>
            </w:pPr>
            <w:r>
              <w:rPr>
                <w:rFonts w:ascii="Times New Roman"/>
                <w:color w:val="000000"/>
                <w:sz w:val="22"/>
                <w:szCs w:val="22"/>
              </w:rPr>
              <w:t>33.50</w:t>
            </w:r>
          </w:p>
        </w:tc>
        <w:tc>
          <w:tcPr>
            <w:tcW w:w="1351"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color w:val="000000"/>
                <w:sz w:val="22"/>
                <w:szCs w:val="22"/>
              </w:rPr>
            </w:pPr>
            <w:r>
              <w:rPr>
                <w:rFonts w:ascii="Times New Roman"/>
                <w:color w:val="000000"/>
                <w:sz w:val="22"/>
                <w:szCs w:val="22"/>
              </w:rPr>
              <w:t>34.77</w:t>
            </w:r>
          </w:p>
        </w:tc>
        <w:tc>
          <w:tcPr>
            <w:tcW w:w="1351"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jc w:val="right"/>
              <w:rPr>
                <w:rFonts w:ascii="Times New Roman" w:eastAsia="新細明體"/>
                <w:color w:val="000000"/>
                <w:sz w:val="22"/>
                <w:szCs w:val="22"/>
              </w:rPr>
            </w:pPr>
            <w:r>
              <w:rPr>
                <w:rFonts w:ascii="Times New Roman"/>
                <w:color w:val="000000"/>
                <w:sz w:val="22"/>
                <w:szCs w:val="22"/>
              </w:rPr>
              <w:t>34.71</w:t>
            </w:r>
          </w:p>
        </w:tc>
        <w:tc>
          <w:tcPr>
            <w:tcW w:w="1351"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color w:val="000000"/>
                <w:sz w:val="22"/>
                <w:szCs w:val="22"/>
              </w:rPr>
            </w:pPr>
            <w:r>
              <w:rPr>
                <w:rFonts w:ascii="Times New Roman"/>
                <w:color w:val="000000"/>
                <w:sz w:val="22"/>
                <w:szCs w:val="22"/>
              </w:rPr>
              <w:t>34.99</w:t>
            </w:r>
          </w:p>
        </w:tc>
        <w:tc>
          <w:tcPr>
            <w:tcW w:w="1351"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5E3DFA">
            <w:pPr>
              <w:jc w:val="right"/>
              <w:rPr>
                <w:rFonts w:ascii="Times New Roman" w:eastAsia="新細明體"/>
                <w:color w:val="000000"/>
                <w:sz w:val="22"/>
                <w:szCs w:val="22"/>
              </w:rPr>
            </w:pPr>
            <w:r>
              <w:rPr>
                <w:rFonts w:ascii="Times New Roman"/>
                <w:color w:val="000000"/>
                <w:sz w:val="22"/>
                <w:szCs w:val="22"/>
              </w:rPr>
              <w:t>39.</w:t>
            </w:r>
            <w:r w:rsidR="005E3DFA">
              <w:rPr>
                <w:rFonts w:ascii="Times New Roman" w:hint="eastAsia"/>
                <w:color w:val="000000"/>
                <w:sz w:val="22"/>
                <w:szCs w:val="22"/>
              </w:rPr>
              <w:t>17</w:t>
            </w:r>
          </w:p>
        </w:tc>
        <w:tc>
          <w:tcPr>
            <w:tcW w:w="1351"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color w:val="000000"/>
                <w:sz w:val="22"/>
                <w:szCs w:val="22"/>
              </w:rPr>
            </w:pPr>
            <w:r>
              <w:rPr>
                <w:rFonts w:ascii="Times New Roman"/>
                <w:color w:val="000000"/>
                <w:sz w:val="22"/>
                <w:szCs w:val="22"/>
              </w:rPr>
              <w:t>39.62</w:t>
            </w:r>
          </w:p>
        </w:tc>
        <w:tc>
          <w:tcPr>
            <w:tcW w:w="1351"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jc w:val="right"/>
              <w:rPr>
                <w:rFonts w:ascii="Times New Roman" w:eastAsia="新細明體"/>
                <w:color w:val="000000"/>
                <w:sz w:val="22"/>
                <w:szCs w:val="22"/>
              </w:rPr>
            </w:pPr>
            <w:r>
              <w:rPr>
                <w:rFonts w:ascii="Times New Roman"/>
                <w:color w:val="000000"/>
                <w:sz w:val="22"/>
                <w:szCs w:val="22"/>
              </w:rPr>
              <w:t>41.69</w:t>
            </w:r>
          </w:p>
        </w:tc>
      </w:tr>
      <w:tr w:rsidR="00CB6308" w:rsidTr="00CB6308">
        <w:trPr>
          <w:trHeight w:val="322"/>
        </w:trPr>
        <w:tc>
          <w:tcPr>
            <w:tcW w:w="1722" w:type="dxa"/>
            <w:gridSpan w:val="2"/>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widowControl/>
              <w:overflowPunct/>
              <w:autoSpaceDE/>
              <w:spacing w:line="320" w:lineRule="exact"/>
              <w:jc w:val="center"/>
              <w:rPr>
                <w:rFonts w:ascii="Times New Roman" w:eastAsia="新細明體"/>
                <w:spacing w:val="-10"/>
                <w:kern w:val="0"/>
                <w:sz w:val="26"/>
                <w:szCs w:val="26"/>
              </w:rPr>
            </w:pPr>
            <w:r>
              <w:rPr>
                <w:rFonts w:hAnsi="標楷體" w:cs="新細明體" w:hint="eastAsia"/>
                <w:kern w:val="0"/>
                <w:sz w:val="26"/>
                <w:szCs w:val="26"/>
              </w:rPr>
              <w:t>總  計</w:t>
            </w:r>
          </w:p>
        </w:tc>
        <w:tc>
          <w:tcPr>
            <w:tcW w:w="1350"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2" w:hangingChars="22" w:hanging="46"/>
              <w:jc w:val="right"/>
              <w:rPr>
                <w:rFonts w:ascii="Times New Roman" w:eastAsia="新細明體"/>
                <w:b/>
                <w:spacing w:val="-16"/>
                <w:kern w:val="0"/>
                <w:sz w:val="22"/>
                <w:szCs w:val="22"/>
              </w:rPr>
            </w:pPr>
            <w:r>
              <w:rPr>
                <w:rFonts w:ascii="Times New Roman" w:eastAsia="新細明體"/>
                <w:b/>
                <w:spacing w:val="-16"/>
                <w:kern w:val="0"/>
                <w:sz w:val="22"/>
                <w:szCs w:val="22"/>
              </w:rPr>
              <w:t xml:space="preserve">7,766,794,594 </w:t>
            </w:r>
          </w:p>
        </w:tc>
        <w:tc>
          <w:tcPr>
            <w:tcW w:w="1351"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2" w:hangingChars="22" w:hanging="46"/>
              <w:jc w:val="right"/>
              <w:rPr>
                <w:rFonts w:ascii="Times New Roman" w:eastAsia="新細明體"/>
                <w:b/>
                <w:spacing w:val="-16"/>
                <w:kern w:val="0"/>
                <w:sz w:val="22"/>
                <w:szCs w:val="22"/>
              </w:rPr>
            </w:pPr>
            <w:r>
              <w:rPr>
                <w:rFonts w:ascii="Times New Roman" w:eastAsia="新細明體"/>
                <w:b/>
                <w:spacing w:val="-16"/>
                <w:kern w:val="0"/>
                <w:sz w:val="22"/>
                <w:szCs w:val="22"/>
              </w:rPr>
              <w:t>10,406,963,653</w:t>
            </w:r>
          </w:p>
        </w:tc>
        <w:tc>
          <w:tcPr>
            <w:tcW w:w="1351"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2" w:hangingChars="22" w:hanging="46"/>
              <w:jc w:val="right"/>
              <w:rPr>
                <w:rFonts w:ascii="Times New Roman" w:eastAsia="新細明體"/>
                <w:b/>
                <w:spacing w:val="-16"/>
                <w:kern w:val="0"/>
                <w:sz w:val="22"/>
                <w:szCs w:val="22"/>
              </w:rPr>
            </w:pPr>
            <w:r>
              <w:rPr>
                <w:rFonts w:ascii="Times New Roman" w:eastAsia="新細明體"/>
                <w:b/>
                <w:spacing w:val="-16"/>
                <w:kern w:val="0"/>
                <w:sz w:val="22"/>
                <w:szCs w:val="22"/>
              </w:rPr>
              <w:t xml:space="preserve">9,827,096,829 </w:t>
            </w:r>
          </w:p>
        </w:tc>
        <w:tc>
          <w:tcPr>
            <w:tcW w:w="1351"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2" w:hangingChars="22" w:hanging="46"/>
              <w:jc w:val="right"/>
              <w:rPr>
                <w:rFonts w:ascii="Times New Roman" w:eastAsia="新細明體"/>
                <w:b/>
                <w:spacing w:val="-16"/>
                <w:kern w:val="0"/>
                <w:sz w:val="22"/>
                <w:szCs w:val="22"/>
              </w:rPr>
            </w:pPr>
            <w:r>
              <w:rPr>
                <w:rFonts w:ascii="Times New Roman" w:eastAsia="新細明體"/>
                <w:b/>
                <w:spacing w:val="-16"/>
                <w:kern w:val="0"/>
                <w:sz w:val="22"/>
                <w:szCs w:val="22"/>
              </w:rPr>
              <w:t xml:space="preserve">10,605,767,713 </w:t>
            </w:r>
          </w:p>
        </w:tc>
        <w:tc>
          <w:tcPr>
            <w:tcW w:w="1351"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2" w:hangingChars="22" w:hanging="46"/>
              <w:jc w:val="right"/>
              <w:rPr>
                <w:rFonts w:ascii="Times New Roman" w:eastAsia="新細明體"/>
                <w:b/>
                <w:spacing w:val="-16"/>
                <w:kern w:val="0"/>
                <w:sz w:val="22"/>
                <w:szCs w:val="22"/>
              </w:rPr>
            </w:pPr>
            <w:r>
              <w:rPr>
                <w:rFonts w:ascii="Times New Roman" w:eastAsia="新細明體"/>
                <w:b/>
                <w:spacing w:val="-16"/>
                <w:kern w:val="0"/>
                <w:sz w:val="22"/>
                <w:szCs w:val="22"/>
              </w:rPr>
              <w:t xml:space="preserve">11,729,145,454 </w:t>
            </w:r>
          </w:p>
        </w:tc>
        <w:tc>
          <w:tcPr>
            <w:tcW w:w="1351"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widowControl/>
              <w:overflowPunct/>
              <w:autoSpaceDE/>
              <w:spacing w:line="260" w:lineRule="exact"/>
              <w:ind w:leftChars="-17" w:left="-12" w:hangingChars="22" w:hanging="46"/>
              <w:jc w:val="right"/>
              <w:rPr>
                <w:rFonts w:ascii="Times New Roman" w:eastAsia="新細明體"/>
                <w:b/>
                <w:spacing w:val="-16"/>
                <w:kern w:val="0"/>
                <w:sz w:val="22"/>
                <w:szCs w:val="22"/>
              </w:rPr>
            </w:pPr>
            <w:r>
              <w:rPr>
                <w:rFonts w:ascii="Times New Roman" w:eastAsia="新細明體"/>
                <w:b/>
                <w:spacing w:val="-16"/>
                <w:kern w:val="0"/>
                <w:sz w:val="22"/>
                <w:szCs w:val="22"/>
              </w:rPr>
              <w:t xml:space="preserve">13,605,722,322 </w:t>
            </w:r>
          </w:p>
        </w:tc>
        <w:tc>
          <w:tcPr>
            <w:tcW w:w="1351"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2" w:hangingChars="22" w:hanging="46"/>
              <w:jc w:val="right"/>
              <w:rPr>
                <w:rFonts w:ascii="Times New Roman" w:eastAsia="新細明體"/>
                <w:b/>
                <w:spacing w:val="-16"/>
                <w:kern w:val="0"/>
                <w:sz w:val="22"/>
                <w:szCs w:val="22"/>
              </w:rPr>
            </w:pPr>
            <w:r>
              <w:rPr>
                <w:rFonts w:ascii="Times New Roman" w:eastAsia="新細明體"/>
                <w:b/>
                <w:spacing w:val="-16"/>
                <w:kern w:val="0"/>
                <w:sz w:val="22"/>
                <w:szCs w:val="22"/>
              </w:rPr>
              <w:t xml:space="preserve">18,035,896,015 </w:t>
            </w:r>
          </w:p>
        </w:tc>
        <w:tc>
          <w:tcPr>
            <w:tcW w:w="1351"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2" w:hangingChars="22" w:hanging="46"/>
              <w:jc w:val="right"/>
              <w:rPr>
                <w:rFonts w:ascii="Times New Roman" w:eastAsia="新細明體"/>
                <w:b/>
                <w:spacing w:val="-16"/>
                <w:kern w:val="0"/>
                <w:sz w:val="22"/>
                <w:szCs w:val="22"/>
              </w:rPr>
            </w:pPr>
            <w:r>
              <w:rPr>
                <w:rFonts w:ascii="Times New Roman" w:eastAsia="新細明體"/>
                <w:b/>
                <w:spacing w:val="-16"/>
                <w:kern w:val="0"/>
                <w:sz w:val="22"/>
                <w:szCs w:val="22"/>
              </w:rPr>
              <w:t xml:space="preserve">14,295,705,172 </w:t>
            </w:r>
          </w:p>
        </w:tc>
        <w:tc>
          <w:tcPr>
            <w:tcW w:w="1351"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2" w:hangingChars="22" w:hanging="46"/>
              <w:jc w:val="right"/>
              <w:rPr>
                <w:rFonts w:ascii="Times New Roman" w:eastAsia="新細明體"/>
                <w:b/>
                <w:spacing w:val="-16"/>
                <w:kern w:val="0"/>
                <w:sz w:val="22"/>
                <w:szCs w:val="22"/>
              </w:rPr>
            </w:pPr>
            <w:r>
              <w:rPr>
                <w:rFonts w:ascii="Times New Roman" w:eastAsia="新細明體"/>
                <w:b/>
                <w:spacing w:val="-16"/>
                <w:kern w:val="0"/>
                <w:sz w:val="22"/>
                <w:szCs w:val="22"/>
              </w:rPr>
              <w:t xml:space="preserve">16,932,609,556 </w:t>
            </w:r>
          </w:p>
        </w:tc>
        <w:tc>
          <w:tcPr>
            <w:tcW w:w="1351"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ind w:leftChars="-17" w:left="-12" w:hangingChars="22" w:hanging="46"/>
              <w:jc w:val="right"/>
              <w:rPr>
                <w:rFonts w:ascii="Times New Roman" w:eastAsia="新細明體"/>
                <w:b/>
                <w:spacing w:val="-16"/>
                <w:kern w:val="0"/>
                <w:sz w:val="22"/>
                <w:szCs w:val="22"/>
              </w:rPr>
            </w:pPr>
            <w:r>
              <w:rPr>
                <w:rFonts w:ascii="Times New Roman" w:eastAsia="新細明體"/>
                <w:b/>
                <w:spacing w:val="-16"/>
                <w:kern w:val="0"/>
                <w:sz w:val="22"/>
                <w:szCs w:val="22"/>
              </w:rPr>
              <w:t xml:space="preserve">13,455,732,401 </w:t>
            </w:r>
          </w:p>
        </w:tc>
      </w:tr>
    </w:tbl>
    <w:p w:rsidR="00CB6308" w:rsidRDefault="00CB6308" w:rsidP="00CB6308">
      <w:pPr>
        <w:widowControl/>
        <w:overflowPunct/>
        <w:autoSpaceDE/>
        <w:ind w:leftChars="-140" w:left="5" w:hangingChars="185" w:hanging="481"/>
        <w:jc w:val="left"/>
        <w:rPr>
          <w:rFonts w:ascii="Times New Roman"/>
          <w:b/>
          <w:color w:val="000000" w:themeColor="text1"/>
          <w:sz w:val="28"/>
          <w:szCs w:val="28"/>
        </w:rPr>
      </w:pPr>
      <w:bookmarkStart w:id="2155" w:name="_Toc507073015"/>
      <w:r>
        <w:rPr>
          <w:rFonts w:ascii="Times New Roman" w:hint="eastAsia"/>
          <w:sz w:val="24"/>
          <w:szCs w:val="24"/>
        </w:rPr>
        <w:t>資料來源：依據前表彙整製作。</w:t>
      </w:r>
      <w:bookmarkEnd w:id="2155"/>
    </w:p>
    <w:p w:rsidR="00CB6308" w:rsidRDefault="00CB6308" w:rsidP="00CB6308">
      <w:pPr>
        <w:widowControl/>
        <w:overflowPunct/>
        <w:autoSpaceDE/>
        <w:autoSpaceDN/>
        <w:jc w:val="left"/>
        <w:rPr>
          <w:rFonts w:ascii="Times New Roman"/>
          <w:b/>
          <w:color w:val="000000" w:themeColor="text1"/>
          <w:sz w:val="28"/>
          <w:szCs w:val="28"/>
        </w:rPr>
        <w:sectPr w:rsidR="00CB6308">
          <w:pgSz w:w="16840" w:h="11907" w:orient="landscape"/>
          <w:pgMar w:top="1418" w:right="1701" w:bottom="1418" w:left="1418" w:header="851" w:footer="851" w:gutter="227"/>
          <w:cols w:space="720"/>
          <w:docGrid w:type="linesAndChars" w:linePitch="457" w:charSpace="4127"/>
        </w:sectPr>
      </w:pPr>
    </w:p>
    <w:p w:rsidR="00CB6308" w:rsidRDefault="00CB6308" w:rsidP="005D159F">
      <w:pPr>
        <w:pStyle w:val="a0"/>
        <w:numPr>
          <w:ilvl w:val="0"/>
          <w:numId w:val="35"/>
        </w:numPr>
        <w:tabs>
          <w:tab w:val="num" w:pos="1134"/>
        </w:tabs>
        <w:spacing w:line="360" w:lineRule="exact"/>
        <w:ind w:left="2802" w:rightChars="-125" w:right="-425" w:hanging="2774"/>
        <w:rPr>
          <w:rFonts w:ascii="Times New Roman"/>
        </w:rPr>
      </w:pPr>
      <w:bookmarkStart w:id="2156" w:name="_Toc507767772"/>
      <w:bookmarkStart w:id="2157" w:name="_Toc507768498"/>
      <w:bookmarkStart w:id="2158" w:name="_Toc512421092"/>
      <w:bookmarkStart w:id="2159" w:name="_Toc507518687"/>
      <w:bookmarkStart w:id="2160" w:name="_Toc484675233"/>
      <w:bookmarkStart w:id="2161" w:name="_Toc484590036"/>
      <w:bookmarkStart w:id="2162" w:name="_Toc484588858"/>
      <w:bookmarkStart w:id="2163" w:name="_Toc507073016"/>
      <w:r>
        <w:rPr>
          <w:rFonts w:ascii="Times New Roman"/>
          <w:b/>
          <w:sz w:val="28"/>
          <w:szCs w:val="28"/>
        </w:rPr>
        <w:t>96</w:t>
      </w:r>
      <w:r>
        <w:rPr>
          <w:rFonts w:ascii="Times New Roman" w:hint="eastAsia"/>
          <w:b/>
          <w:sz w:val="28"/>
          <w:szCs w:val="28"/>
        </w:rPr>
        <w:t>年至</w:t>
      </w:r>
      <w:r>
        <w:rPr>
          <w:rFonts w:ascii="Times New Roman"/>
          <w:b/>
          <w:sz w:val="28"/>
          <w:szCs w:val="28"/>
        </w:rPr>
        <w:t>105</w:t>
      </w:r>
      <w:r>
        <w:rPr>
          <w:rFonts w:ascii="Times New Roman" w:hint="eastAsia"/>
          <w:b/>
          <w:sz w:val="28"/>
          <w:szCs w:val="28"/>
        </w:rPr>
        <w:t>年各地方政府</w:t>
      </w:r>
      <w:r>
        <w:rPr>
          <w:rFonts w:ascii="Times New Roman" w:hint="eastAsia"/>
          <w:b/>
          <w:spacing w:val="-6"/>
          <w:sz w:val="28"/>
          <w:szCs w:val="28"/>
        </w:rPr>
        <w:t>社會福利</w:t>
      </w:r>
      <w:r>
        <w:rPr>
          <w:rFonts w:ascii="Times New Roman" w:hint="eastAsia"/>
          <w:b/>
          <w:sz w:val="28"/>
          <w:szCs w:val="28"/>
        </w:rPr>
        <w:t>支出</w:t>
      </w:r>
      <w:r>
        <w:rPr>
          <w:rFonts w:ascii="Times New Roman"/>
          <w:b/>
          <w:sz w:val="28"/>
          <w:szCs w:val="28"/>
        </w:rPr>
        <w:t>(</w:t>
      </w:r>
      <w:r>
        <w:rPr>
          <w:rFonts w:ascii="Times New Roman" w:hint="eastAsia"/>
          <w:b/>
          <w:sz w:val="28"/>
          <w:szCs w:val="28"/>
        </w:rPr>
        <w:t>含公益彩券盈餘分配款</w:t>
      </w:r>
      <w:r>
        <w:rPr>
          <w:rFonts w:ascii="Times New Roman"/>
          <w:b/>
          <w:sz w:val="28"/>
          <w:szCs w:val="28"/>
        </w:rPr>
        <w:t>)</w:t>
      </w:r>
      <w:r>
        <w:rPr>
          <w:rFonts w:ascii="Times New Roman" w:hint="eastAsia"/>
          <w:b/>
          <w:sz w:val="28"/>
          <w:szCs w:val="28"/>
        </w:rPr>
        <w:t>決算數</w:t>
      </w:r>
      <w:bookmarkEnd w:id="2156"/>
      <w:bookmarkEnd w:id="2157"/>
      <w:bookmarkEnd w:id="2158"/>
    </w:p>
    <w:p w:rsidR="00CB6308" w:rsidRDefault="00CB6308" w:rsidP="00CB6308">
      <w:pPr>
        <w:pStyle w:val="2"/>
        <w:numPr>
          <w:ilvl w:val="0"/>
          <w:numId w:val="0"/>
        </w:numPr>
        <w:wordWrap w:val="0"/>
        <w:spacing w:line="320" w:lineRule="exact"/>
        <w:ind w:leftChars="-66" w:left="-52" w:rightChars="-175" w:right="-595" w:hangingChars="66" w:hanging="172"/>
        <w:jc w:val="right"/>
        <w:rPr>
          <w:rFonts w:ascii="Times New Roman"/>
        </w:rPr>
      </w:pPr>
      <w:r>
        <w:rPr>
          <w:rFonts w:ascii="Times New Roman"/>
          <w:sz w:val="24"/>
          <w:szCs w:val="24"/>
        </w:rPr>
        <w:t xml:space="preserve">  </w:t>
      </w:r>
      <w:bookmarkStart w:id="2164" w:name="_Toc507767773"/>
      <w:bookmarkStart w:id="2165" w:name="_Toc507768499"/>
      <w:bookmarkStart w:id="2166" w:name="_Toc511308292"/>
      <w:bookmarkStart w:id="2167" w:name="_Toc511998736"/>
      <w:bookmarkStart w:id="2168" w:name="_Toc512421093"/>
      <w:r>
        <w:rPr>
          <w:rFonts w:ascii="Times New Roman" w:hint="eastAsia"/>
          <w:sz w:val="24"/>
          <w:szCs w:val="24"/>
        </w:rPr>
        <w:t>單位：千元</w:t>
      </w:r>
      <w:bookmarkEnd w:id="2159"/>
      <w:bookmarkEnd w:id="2160"/>
      <w:bookmarkEnd w:id="2161"/>
      <w:bookmarkEnd w:id="2162"/>
      <w:bookmarkEnd w:id="2164"/>
      <w:bookmarkEnd w:id="2165"/>
      <w:bookmarkEnd w:id="2166"/>
      <w:bookmarkEnd w:id="2167"/>
      <w:bookmarkEnd w:id="2168"/>
    </w:p>
    <w:tbl>
      <w:tblPr>
        <w:tblW w:w="14448" w:type="dxa"/>
        <w:tblInd w:w="-196" w:type="dxa"/>
        <w:tblLayout w:type="fixed"/>
        <w:tblCellMar>
          <w:left w:w="28" w:type="dxa"/>
          <w:right w:w="28" w:type="dxa"/>
        </w:tblCellMar>
        <w:tblLook w:val="04A0" w:firstRow="1" w:lastRow="0" w:firstColumn="1" w:lastColumn="0" w:noHBand="0" w:noVBand="1"/>
      </w:tblPr>
      <w:tblGrid>
        <w:gridCol w:w="1175"/>
        <w:gridCol w:w="1326"/>
        <w:gridCol w:w="1327"/>
        <w:gridCol w:w="1326"/>
        <w:gridCol w:w="1328"/>
        <w:gridCol w:w="1327"/>
        <w:gridCol w:w="1328"/>
        <w:gridCol w:w="1327"/>
        <w:gridCol w:w="1328"/>
        <w:gridCol w:w="1328"/>
        <w:gridCol w:w="1328"/>
      </w:tblGrid>
      <w:tr w:rsidR="00CB6308" w:rsidTr="00CB6308">
        <w:trPr>
          <w:trHeight w:val="394"/>
        </w:trPr>
        <w:tc>
          <w:tcPr>
            <w:tcW w:w="1176" w:type="dxa"/>
            <w:tcBorders>
              <w:top w:val="single" w:sz="8" w:space="0" w:color="auto"/>
              <w:left w:val="single" w:sz="8" w:space="0" w:color="auto"/>
              <w:bottom w:val="single" w:sz="8" w:space="0" w:color="auto"/>
              <w:right w:val="single" w:sz="8" w:space="0" w:color="auto"/>
              <w:tl2br w:val="single" w:sz="8" w:space="0" w:color="auto"/>
            </w:tcBorders>
            <w:vAlign w:val="center"/>
            <w:hideMark/>
          </w:tcPr>
          <w:p w:rsidR="00CB6308" w:rsidRDefault="00CB6308">
            <w:pPr>
              <w:widowControl/>
              <w:overflowPunct/>
              <w:autoSpaceDE/>
              <w:spacing w:line="360" w:lineRule="exact"/>
              <w:jc w:val="left"/>
              <w:rPr>
                <w:rFonts w:ascii="Times New Roman"/>
                <w:b/>
                <w:color w:val="000000"/>
                <w:kern w:val="0"/>
                <w:sz w:val="26"/>
                <w:szCs w:val="26"/>
              </w:rPr>
            </w:pPr>
            <w:r>
              <w:rPr>
                <w:rFonts w:ascii="Times New Roman"/>
                <w:b/>
                <w:color w:val="000000"/>
                <w:kern w:val="0"/>
                <w:sz w:val="26"/>
                <w:szCs w:val="26"/>
              </w:rPr>
              <w:t xml:space="preserve">   </w:t>
            </w:r>
            <w:r>
              <w:rPr>
                <w:rFonts w:ascii="Times New Roman" w:hint="eastAsia"/>
                <w:b/>
                <w:color w:val="000000"/>
                <w:kern w:val="0"/>
                <w:sz w:val="26"/>
                <w:szCs w:val="26"/>
              </w:rPr>
              <w:t>年度</w:t>
            </w:r>
          </w:p>
          <w:p w:rsidR="00CB6308" w:rsidRDefault="00CB6308">
            <w:pPr>
              <w:widowControl/>
              <w:overflowPunct/>
              <w:autoSpaceDE/>
              <w:spacing w:line="360" w:lineRule="exact"/>
              <w:jc w:val="left"/>
              <w:rPr>
                <w:rFonts w:ascii="Times New Roman"/>
                <w:b/>
                <w:color w:val="000000"/>
                <w:kern w:val="0"/>
                <w:sz w:val="26"/>
                <w:szCs w:val="26"/>
              </w:rPr>
            </w:pPr>
            <w:r>
              <w:rPr>
                <w:rFonts w:ascii="Times New Roman" w:hint="eastAsia"/>
                <w:b/>
                <w:color w:val="000000"/>
                <w:kern w:val="0"/>
                <w:sz w:val="26"/>
                <w:szCs w:val="26"/>
              </w:rPr>
              <w:t>縣市別</w:t>
            </w:r>
          </w:p>
        </w:tc>
        <w:tc>
          <w:tcPr>
            <w:tcW w:w="1326"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360" w:lineRule="exact"/>
              <w:jc w:val="center"/>
              <w:rPr>
                <w:rFonts w:ascii="Times New Roman"/>
                <w:b/>
                <w:color w:val="000000"/>
                <w:spacing w:val="-8"/>
                <w:kern w:val="0"/>
                <w:sz w:val="24"/>
                <w:szCs w:val="24"/>
              </w:rPr>
            </w:pPr>
            <w:r>
              <w:rPr>
                <w:rFonts w:ascii="Times New Roman"/>
                <w:b/>
                <w:color w:val="000000"/>
                <w:spacing w:val="-8"/>
                <w:kern w:val="0"/>
                <w:sz w:val="24"/>
                <w:szCs w:val="24"/>
              </w:rPr>
              <w:t>96</w:t>
            </w:r>
          </w:p>
        </w:tc>
        <w:tc>
          <w:tcPr>
            <w:tcW w:w="1327"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360" w:lineRule="exact"/>
              <w:jc w:val="center"/>
              <w:rPr>
                <w:rFonts w:ascii="Times New Roman"/>
                <w:b/>
                <w:color w:val="000000"/>
                <w:spacing w:val="-8"/>
                <w:kern w:val="0"/>
                <w:sz w:val="24"/>
                <w:szCs w:val="24"/>
              </w:rPr>
            </w:pPr>
            <w:r>
              <w:rPr>
                <w:rFonts w:ascii="Times New Roman"/>
                <w:b/>
                <w:color w:val="000000"/>
                <w:spacing w:val="-8"/>
                <w:kern w:val="0"/>
                <w:sz w:val="24"/>
                <w:szCs w:val="24"/>
              </w:rPr>
              <w:t>97</w:t>
            </w:r>
          </w:p>
        </w:tc>
        <w:tc>
          <w:tcPr>
            <w:tcW w:w="1326"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360" w:lineRule="exact"/>
              <w:jc w:val="center"/>
              <w:rPr>
                <w:rFonts w:ascii="Times New Roman"/>
                <w:b/>
                <w:color w:val="000000"/>
                <w:spacing w:val="-8"/>
                <w:kern w:val="0"/>
                <w:sz w:val="24"/>
                <w:szCs w:val="24"/>
              </w:rPr>
            </w:pPr>
            <w:r>
              <w:rPr>
                <w:rFonts w:ascii="Times New Roman"/>
                <w:b/>
                <w:color w:val="000000"/>
                <w:spacing w:val="-8"/>
                <w:kern w:val="0"/>
                <w:sz w:val="24"/>
                <w:szCs w:val="24"/>
              </w:rPr>
              <w:t>98</w:t>
            </w:r>
          </w:p>
        </w:tc>
        <w:tc>
          <w:tcPr>
            <w:tcW w:w="1327" w:type="dxa"/>
            <w:tcBorders>
              <w:top w:val="single" w:sz="8" w:space="0" w:color="auto"/>
              <w:left w:val="single" w:sz="8" w:space="0" w:color="auto"/>
              <w:bottom w:val="single" w:sz="8" w:space="0" w:color="auto"/>
              <w:right w:val="single" w:sz="12" w:space="0" w:color="auto"/>
            </w:tcBorders>
            <w:vAlign w:val="center"/>
            <w:hideMark/>
          </w:tcPr>
          <w:p w:rsidR="00CB6308" w:rsidRDefault="00CB6308">
            <w:pPr>
              <w:widowControl/>
              <w:overflowPunct/>
              <w:autoSpaceDE/>
              <w:spacing w:line="360" w:lineRule="exact"/>
              <w:jc w:val="center"/>
              <w:rPr>
                <w:rFonts w:ascii="Times New Roman"/>
                <w:b/>
                <w:color w:val="000000"/>
                <w:spacing w:val="-8"/>
                <w:kern w:val="0"/>
                <w:sz w:val="24"/>
                <w:szCs w:val="24"/>
              </w:rPr>
            </w:pPr>
            <w:r>
              <w:rPr>
                <w:rFonts w:ascii="Times New Roman"/>
                <w:b/>
                <w:color w:val="000000"/>
                <w:spacing w:val="-8"/>
                <w:kern w:val="0"/>
                <w:sz w:val="24"/>
                <w:szCs w:val="24"/>
              </w:rPr>
              <w:t>99</w:t>
            </w:r>
          </w:p>
        </w:tc>
        <w:tc>
          <w:tcPr>
            <w:tcW w:w="1326" w:type="dxa"/>
            <w:tcBorders>
              <w:top w:val="single" w:sz="12" w:space="0" w:color="auto"/>
              <w:left w:val="single" w:sz="12" w:space="0" w:color="auto"/>
              <w:bottom w:val="single" w:sz="8" w:space="0" w:color="auto"/>
              <w:right w:val="single" w:sz="8" w:space="0" w:color="auto"/>
            </w:tcBorders>
            <w:vAlign w:val="center"/>
            <w:hideMark/>
          </w:tcPr>
          <w:p w:rsidR="00CB6308" w:rsidRDefault="00CB6308">
            <w:pPr>
              <w:widowControl/>
              <w:overflowPunct/>
              <w:autoSpaceDE/>
              <w:spacing w:line="360" w:lineRule="exact"/>
              <w:jc w:val="center"/>
              <w:rPr>
                <w:rFonts w:ascii="Times New Roman"/>
                <w:b/>
                <w:color w:val="000000"/>
                <w:spacing w:val="-8"/>
                <w:kern w:val="0"/>
                <w:sz w:val="24"/>
                <w:szCs w:val="24"/>
              </w:rPr>
            </w:pPr>
            <w:r>
              <w:rPr>
                <w:rFonts w:ascii="Times New Roman"/>
                <w:b/>
                <w:color w:val="000000"/>
                <w:spacing w:val="-8"/>
                <w:kern w:val="0"/>
                <w:sz w:val="24"/>
                <w:szCs w:val="24"/>
              </w:rPr>
              <w:t>100</w:t>
            </w:r>
          </w:p>
        </w:tc>
        <w:tc>
          <w:tcPr>
            <w:tcW w:w="1327" w:type="dxa"/>
            <w:tcBorders>
              <w:top w:val="single" w:sz="12"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360" w:lineRule="exact"/>
              <w:jc w:val="center"/>
              <w:rPr>
                <w:rFonts w:ascii="Times New Roman"/>
                <w:b/>
                <w:color w:val="000000"/>
                <w:spacing w:val="-8"/>
                <w:kern w:val="0"/>
                <w:sz w:val="24"/>
                <w:szCs w:val="24"/>
              </w:rPr>
            </w:pPr>
            <w:r>
              <w:rPr>
                <w:rFonts w:ascii="Times New Roman"/>
                <w:b/>
                <w:color w:val="000000"/>
                <w:spacing w:val="-8"/>
                <w:kern w:val="0"/>
                <w:sz w:val="24"/>
                <w:szCs w:val="24"/>
              </w:rPr>
              <w:t>101</w:t>
            </w:r>
          </w:p>
        </w:tc>
        <w:tc>
          <w:tcPr>
            <w:tcW w:w="1326" w:type="dxa"/>
            <w:tcBorders>
              <w:top w:val="single" w:sz="12"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360" w:lineRule="exact"/>
              <w:jc w:val="center"/>
              <w:rPr>
                <w:rFonts w:ascii="Times New Roman"/>
                <w:b/>
                <w:color w:val="000000"/>
                <w:spacing w:val="-8"/>
                <w:kern w:val="0"/>
                <w:sz w:val="24"/>
                <w:szCs w:val="24"/>
              </w:rPr>
            </w:pPr>
            <w:r>
              <w:rPr>
                <w:rFonts w:ascii="Times New Roman"/>
                <w:b/>
                <w:color w:val="000000"/>
                <w:spacing w:val="-8"/>
                <w:kern w:val="0"/>
                <w:sz w:val="24"/>
                <w:szCs w:val="24"/>
              </w:rPr>
              <w:t>102</w:t>
            </w:r>
          </w:p>
        </w:tc>
        <w:tc>
          <w:tcPr>
            <w:tcW w:w="1327" w:type="dxa"/>
            <w:tcBorders>
              <w:top w:val="single" w:sz="12" w:space="0" w:color="auto"/>
              <w:left w:val="single" w:sz="8" w:space="0" w:color="auto"/>
              <w:bottom w:val="single" w:sz="8" w:space="0" w:color="auto"/>
              <w:right w:val="single" w:sz="12" w:space="0" w:color="auto"/>
            </w:tcBorders>
            <w:vAlign w:val="center"/>
            <w:hideMark/>
          </w:tcPr>
          <w:p w:rsidR="00CB6308" w:rsidRDefault="00CB6308">
            <w:pPr>
              <w:widowControl/>
              <w:overflowPunct/>
              <w:autoSpaceDE/>
              <w:spacing w:line="360" w:lineRule="exact"/>
              <w:jc w:val="center"/>
              <w:rPr>
                <w:rFonts w:ascii="Times New Roman"/>
                <w:b/>
                <w:color w:val="000000"/>
                <w:spacing w:val="-8"/>
                <w:kern w:val="0"/>
                <w:sz w:val="24"/>
                <w:szCs w:val="24"/>
              </w:rPr>
            </w:pPr>
            <w:r>
              <w:rPr>
                <w:rFonts w:ascii="Times New Roman"/>
                <w:b/>
                <w:color w:val="000000"/>
                <w:spacing w:val="-8"/>
                <w:kern w:val="0"/>
                <w:sz w:val="24"/>
                <w:szCs w:val="24"/>
              </w:rPr>
              <w:t>103</w:t>
            </w:r>
          </w:p>
        </w:tc>
        <w:tc>
          <w:tcPr>
            <w:tcW w:w="1327" w:type="dxa"/>
            <w:tcBorders>
              <w:top w:val="single" w:sz="12" w:space="0" w:color="auto"/>
              <w:left w:val="single" w:sz="8" w:space="0" w:color="auto"/>
              <w:bottom w:val="single" w:sz="8" w:space="0" w:color="auto"/>
              <w:right w:val="single" w:sz="12" w:space="0" w:color="auto"/>
            </w:tcBorders>
            <w:vAlign w:val="center"/>
            <w:hideMark/>
          </w:tcPr>
          <w:p w:rsidR="00CB6308" w:rsidRDefault="00CB6308">
            <w:pPr>
              <w:widowControl/>
              <w:overflowPunct/>
              <w:autoSpaceDE/>
              <w:spacing w:line="360" w:lineRule="exact"/>
              <w:jc w:val="center"/>
              <w:rPr>
                <w:rFonts w:ascii="Times New Roman"/>
                <w:b/>
                <w:color w:val="000000"/>
                <w:spacing w:val="-8"/>
                <w:kern w:val="0"/>
                <w:sz w:val="24"/>
                <w:szCs w:val="24"/>
              </w:rPr>
            </w:pPr>
            <w:r>
              <w:rPr>
                <w:rFonts w:ascii="Times New Roman"/>
                <w:b/>
                <w:color w:val="000000"/>
                <w:spacing w:val="-8"/>
                <w:kern w:val="0"/>
                <w:sz w:val="24"/>
                <w:szCs w:val="24"/>
              </w:rPr>
              <w:t>104</w:t>
            </w:r>
          </w:p>
        </w:tc>
        <w:tc>
          <w:tcPr>
            <w:tcW w:w="1327" w:type="dxa"/>
            <w:tcBorders>
              <w:top w:val="single" w:sz="12" w:space="0" w:color="auto"/>
              <w:left w:val="single" w:sz="8" w:space="0" w:color="auto"/>
              <w:bottom w:val="single" w:sz="8" w:space="0" w:color="auto"/>
              <w:right w:val="single" w:sz="12" w:space="0" w:color="auto"/>
            </w:tcBorders>
            <w:vAlign w:val="center"/>
            <w:hideMark/>
          </w:tcPr>
          <w:p w:rsidR="00CB6308" w:rsidRDefault="00CB6308">
            <w:pPr>
              <w:widowControl/>
              <w:overflowPunct/>
              <w:autoSpaceDE/>
              <w:spacing w:line="360" w:lineRule="exact"/>
              <w:jc w:val="center"/>
              <w:rPr>
                <w:rFonts w:ascii="Times New Roman"/>
                <w:b/>
                <w:color w:val="000000"/>
                <w:spacing w:val="-8"/>
                <w:kern w:val="0"/>
                <w:sz w:val="24"/>
                <w:szCs w:val="24"/>
              </w:rPr>
            </w:pPr>
            <w:r>
              <w:rPr>
                <w:rFonts w:ascii="Times New Roman"/>
                <w:b/>
                <w:color w:val="000000"/>
                <w:spacing w:val="-8"/>
                <w:kern w:val="0"/>
                <w:sz w:val="24"/>
                <w:szCs w:val="24"/>
              </w:rPr>
              <w:t>105</w:t>
            </w:r>
          </w:p>
        </w:tc>
      </w:tr>
      <w:tr w:rsidR="00CB6308" w:rsidTr="00CB6308">
        <w:trPr>
          <w:trHeight w:val="44"/>
        </w:trPr>
        <w:tc>
          <w:tcPr>
            <w:tcW w:w="117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kern w:val="0"/>
                <w:sz w:val="26"/>
                <w:szCs w:val="26"/>
              </w:rPr>
            </w:pPr>
            <w:r>
              <w:rPr>
                <w:rFonts w:ascii="Times New Roman" w:hint="eastAsia"/>
                <w:color w:val="000000"/>
                <w:kern w:val="0"/>
                <w:sz w:val="26"/>
                <w:szCs w:val="26"/>
              </w:rPr>
              <w:t>臺北市</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23,271,274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24,147,741 </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24,309,587 </w:t>
            </w:r>
          </w:p>
        </w:tc>
        <w:tc>
          <w:tcPr>
            <w:tcW w:w="1327" w:type="dxa"/>
            <w:tcBorders>
              <w:top w:val="single" w:sz="8" w:space="0" w:color="auto"/>
              <w:left w:val="single" w:sz="8" w:space="0" w:color="auto"/>
              <w:bottom w:val="single" w:sz="8" w:space="0" w:color="auto"/>
              <w:right w:val="single" w:sz="12"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34,369,555 </w:t>
            </w:r>
          </w:p>
        </w:tc>
        <w:tc>
          <w:tcPr>
            <w:tcW w:w="1326" w:type="dxa"/>
            <w:tcBorders>
              <w:top w:val="single" w:sz="8" w:space="0" w:color="auto"/>
              <w:left w:val="single" w:sz="12"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44,510,161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45,622,137 </w:t>
            </w:r>
          </w:p>
        </w:tc>
        <w:tc>
          <w:tcPr>
            <w:tcW w:w="1326"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 41,775,456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 41,814,928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28,460,102</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29,470,679</w:t>
            </w:r>
          </w:p>
        </w:tc>
      </w:tr>
      <w:tr w:rsidR="00CB6308" w:rsidTr="00CB6308">
        <w:trPr>
          <w:trHeight w:val="284"/>
        </w:trPr>
        <w:tc>
          <w:tcPr>
            <w:tcW w:w="117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kern w:val="0"/>
                <w:sz w:val="26"/>
                <w:szCs w:val="26"/>
              </w:rPr>
            </w:pPr>
            <w:r>
              <w:rPr>
                <w:rFonts w:ascii="Times New Roman" w:hint="eastAsia"/>
                <w:color w:val="000000"/>
                <w:kern w:val="0"/>
                <w:sz w:val="26"/>
                <w:szCs w:val="26"/>
              </w:rPr>
              <w:t>新北市</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7,385,748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8,467,734 </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11,763,539 </w:t>
            </w:r>
          </w:p>
        </w:tc>
        <w:tc>
          <w:tcPr>
            <w:tcW w:w="1327" w:type="dxa"/>
            <w:tcBorders>
              <w:top w:val="single" w:sz="8" w:space="0" w:color="auto"/>
              <w:left w:val="single" w:sz="8" w:space="0" w:color="auto"/>
              <w:bottom w:val="single" w:sz="8" w:space="0" w:color="auto"/>
              <w:right w:val="single" w:sz="12"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14,581,269 </w:t>
            </w:r>
          </w:p>
        </w:tc>
        <w:tc>
          <w:tcPr>
            <w:tcW w:w="1326" w:type="dxa"/>
            <w:tcBorders>
              <w:top w:val="single" w:sz="8" w:space="0" w:color="auto"/>
              <w:left w:val="single" w:sz="12"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31,395,335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30,333,410 </w:t>
            </w:r>
          </w:p>
        </w:tc>
        <w:tc>
          <w:tcPr>
            <w:tcW w:w="1326"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 20,147,828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 21,273,403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21,483,241</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18,918,473</w:t>
            </w:r>
          </w:p>
        </w:tc>
      </w:tr>
      <w:tr w:rsidR="00CB6308" w:rsidTr="00CB6308">
        <w:trPr>
          <w:trHeight w:val="284"/>
        </w:trPr>
        <w:tc>
          <w:tcPr>
            <w:tcW w:w="117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kern w:val="0"/>
                <w:sz w:val="26"/>
                <w:szCs w:val="26"/>
              </w:rPr>
            </w:pPr>
            <w:r>
              <w:rPr>
                <w:rFonts w:ascii="Times New Roman" w:hint="eastAsia"/>
                <w:color w:val="000000"/>
                <w:kern w:val="0"/>
                <w:sz w:val="26"/>
                <w:szCs w:val="26"/>
              </w:rPr>
              <w:t>桃園市</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4,311,385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4,706,197 </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5,338,850 </w:t>
            </w:r>
          </w:p>
        </w:tc>
        <w:tc>
          <w:tcPr>
            <w:tcW w:w="1327" w:type="dxa"/>
            <w:tcBorders>
              <w:top w:val="single" w:sz="8" w:space="0" w:color="auto"/>
              <w:left w:val="single" w:sz="8" w:space="0" w:color="auto"/>
              <w:bottom w:val="single" w:sz="8" w:space="0" w:color="auto"/>
              <w:right w:val="single" w:sz="12"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5,497,870 </w:t>
            </w:r>
          </w:p>
        </w:tc>
        <w:tc>
          <w:tcPr>
            <w:tcW w:w="1326" w:type="dxa"/>
            <w:tcBorders>
              <w:top w:val="single" w:sz="8" w:space="0" w:color="auto"/>
              <w:left w:val="single" w:sz="12"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11,872,568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10,973,283 </w:t>
            </w:r>
          </w:p>
        </w:tc>
        <w:tc>
          <w:tcPr>
            <w:tcW w:w="1326"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  7,939,962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  8,604,069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13,556,157</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14,486,983</w:t>
            </w:r>
          </w:p>
        </w:tc>
      </w:tr>
      <w:tr w:rsidR="00CB6308" w:rsidTr="00CB6308">
        <w:trPr>
          <w:trHeight w:val="284"/>
        </w:trPr>
        <w:tc>
          <w:tcPr>
            <w:tcW w:w="117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kern w:val="0"/>
                <w:sz w:val="26"/>
                <w:szCs w:val="26"/>
              </w:rPr>
            </w:pPr>
            <w:r>
              <w:rPr>
                <w:rFonts w:ascii="Times New Roman" w:hint="eastAsia"/>
                <w:color w:val="000000"/>
                <w:kern w:val="0"/>
                <w:sz w:val="26"/>
                <w:szCs w:val="26"/>
              </w:rPr>
              <w:t>臺中市</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7,429,841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7,451,797 </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8,214,290 </w:t>
            </w:r>
          </w:p>
        </w:tc>
        <w:tc>
          <w:tcPr>
            <w:tcW w:w="1327" w:type="dxa"/>
            <w:tcBorders>
              <w:top w:val="single" w:sz="8" w:space="0" w:color="auto"/>
              <w:left w:val="single" w:sz="8" w:space="0" w:color="auto"/>
              <w:bottom w:val="single" w:sz="8" w:space="0" w:color="auto"/>
              <w:right w:val="single" w:sz="12"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8,523,068 </w:t>
            </w:r>
          </w:p>
        </w:tc>
        <w:tc>
          <w:tcPr>
            <w:tcW w:w="1326" w:type="dxa"/>
            <w:tcBorders>
              <w:top w:val="single" w:sz="8" w:space="0" w:color="auto"/>
              <w:left w:val="single" w:sz="12"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18,137,848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15,856,840 </w:t>
            </w:r>
          </w:p>
        </w:tc>
        <w:tc>
          <w:tcPr>
            <w:tcW w:w="1326"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 13,374,313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 15,305,046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16,860,237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18,035,750</w:t>
            </w:r>
          </w:p>
        </w:tc>
      </w:tr>
      <w:tr w:rsidR="00CB6308" w:rsidTr="00CB6308">
        <w:trPr>
          <w:trHeight w:val="284"/>
        </w:trPr>
        <w:tc>
          <w:tcPr>
            <w:tcW w:w="117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kern w:val="0"/>
                <w:sz w:val="26"/>
                <w:szCs w:val="26"/>
              </w:rPr>
            </w:pPr>
            <w:r>
              <w:rPr>
                <w:rFonts w:ascii="Times New Roman" w:hint="eastAsia"/>
                <w:color w:val="000000"/>
                <w:kern w:val="0"/>
                <w:sz w:val="26"/>
                <w:szCs w:val="26"/>
              </w:rPr>
              <w:t>臺南市</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5,262,940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5,608,181 </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6,129,059 </w:t>
            </w:r>
          </w:p>
        </w:tc>
        <w:tc>
          <w:tcPr>
            <w:tcW w:w="1327" w:type="dxa"/>
            <w:tcBorders>
              <w:top w:val="single" w:sz="8" w:space="0" w:color="auto"/>
              <w:left w:val="single" w:sz="8" w:space="0" w:color="auto"/>
              <w:bottom w:val="single" w:sz="8" w:space="0" w:color="auto"/>
              <w:right w:val="single" w:sz="12"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6,954,143 </w:t>
            </w:r>
          </w:p>
        </w:tc>
        <w:tc>
          <w:tcPr>
            <w:tcW w:w="1326" w:type="dxa"/>
            <w:tcBorders>
              <w:top w:val="single" w:sz="8" w:space="0" w:color="auto"/>
              <w:left w:val="single" w:sz="12"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16,796,205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14,206,654 </w:t>
            </w:r>
          </w:p>
        </w:tc>
        <w:tc>
          <w:tcPr>
            <w:tcW w:w="1326"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10,407,350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 10,564,980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10,113,816</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11,071,882</w:t>
            </w:r>
          </w:p>
        </w:tc>
      </w:tr>
      <w:tr w:rsidR="00CB6308" w:rsidTr="00CB6308">
        <w:trPr>
          <w:trHeight w:val="284"/>
        </w:trPr>
        <w:tc>
          <w:tcPr>
            <w:tcW w:w="117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kern w:val="0"/>
                <w:sz w:val="26"/>
                <w:szCs w:val="26"/>
              </w:rPr>
            </w:pPr>
            <w:r>
              <w:rPr>
                <w:rFonts w:ascii="Times New Roman" w:hint="eastAsia"/>
                <w:color w:val="000000"/>
                <w:kern w:val="0"/>
                <w:sz w:val="26"/>
                <w:szCs w:val="26"/>
              </w:rPr>
              <w:t>高雄市</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14,065,420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15,019,602 </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16,671,360 </w:t>
            </w:r>
          </w:p>
        </w:tc>
        <w:tc>
          <w:tcPr>
            <w:tcW w:w="1327" w:type="dxa"/>
            <w:tcBorders>
              <w:top w:val="single" w:sz="8" w:space="0" w:color="auto"/>
              <w:left w:val="single" w:sz="8" w:space="0" w:color="auto"/>
              <w:bottom w:val="single" w:sz="8" w:space="0" w:color="auto"/>
              <w:right w:val="single" w:sz="12"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17,040,761 </w:t>
            </w:r>
          </w:p>
        </w:tc>
        <w:tc>
          <w:tcPr>
            <w:tcW w:w="1326" w:type="dxa"/>
            <w:tcBorders>
              <w:top w:val="single" w:sz="8" w:space="0" w:color="auto"/>
              <w:left w:val="single" w:sz="12"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25,690,056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26,148,930 </w:t>
            </w:r>
          </w:p>
        </w:tc>
        <w:tc>
          <w:tcPr>
            <w:tcW w:w="1326"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 27,274,345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 28,333,286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23,473,955</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19,410,334</w:t>
            </w:r>
          </w:p>
        </w:tc>
      </w:tr>
      <w:tr w:rsidR="00CB6308" w:rsidTr="00CB6308">
        <w:trPr>
          <w:trHeight w:val="284"/>
        </w:trPr>
        <w:tc>
          <w:tcPr>
            <w:tcW w:w="117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kern w:val="0"/>
                <w:sz w:val="26"/>
                <w:szCs w:val="26"/>
              </w:rPr>
            </w:pPr>
            <w:r>
              <w:rPr>
                <w:rFonts w:ascii="Times New Roman" w:hint="eastAsia"/>
                <w:color w:val="000000"/>
                <w:kern w:val="0"/>
                <w:sz w:val="26"/>
                <w:szCs w:val="26"/>
              </w:rPr>
              <w:t>基隆市</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2,175,454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2,198,315 </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2,218,596 </w:t>
            </w:r>
          </w:p>
        </w:tc>
        <w:tc>
          <w:tcPr>
            <w:tcW w:w="1327" w:type="dxa"/>
            <w:tcBorders>
              <w:top w:val="single" w:sz="8" w:space="0" w:color="auto"/>
              <w:left w:val="single" w:sz="8" w:space="0" w:color="auto"/>
              <w:bottom w:val="single" w:sz="8" w:space="0" w:color="auto"/>
              <w:right w:val="single" w:sz="12"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2,393,191 </w:t>
            </w:r>
          </w:p>
        </w:tc>
        <w:tc>
          <w:tcPr>
            <w:tcW w:w="1326" w:type="dxa"/>
            <w:tcBorders>
              <w:top w:val="single" w:sz="8" w:space="0" w:color="auto"/>
              <w:left w:val="single" w:sz="12"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2,228,988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2,397,544 </w:t>
            </w:r>
          </w:p>
        </w:tc>
        <w:tc>
          <w:tcPr>
            <w:tcW w:w="1326"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 2,376,627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  2,529,113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2,637,547</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2,744,543</w:t>
            </w:r>
          </w:p>
        </w:tc>
      </w:tr>
      <w:tr w:rsidR="00CB6308" w:rsidTr="00CB6308">
        <w:trPr>
          <w:trHeight w:val="284"/>
        </w:trPr>
        <w:tc>
          <w:tcPr>
            <w:tcW w:w="117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kern w:val="0"/>
                <w:sz w:val="26"/>
                <w:szCs w:val="26"/>
              </w:rPr>
            </w:pPr>
            <w:r>
              <w:rPr>
                <w:rFonts w:ascii="Times New Roman" w:hint="eastAsia"/>
                <w:color w:val="000000"/>
                <w:kern w:val="0"/>
                <w:sz w:val="26"/>
                <w:szCs w:val="26"/>
              </w:rPr>
              <w:t>宜蘭縣</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1,654,206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1,911,242 </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2,076,594 </w:t>
            </w:r>
          </w:p>
        </w:tc>
        <w:tc>
          <w:tcPr>
            <w:tcW w:w="1327" w:type="dxa"/>
            <w:tcBorders>
              <w:top w:val="single" w:sz="8" w:space="0" w:color="auto"/>
              <w:left w:val="single" w:sz="8" w:space="0" w:color="auto"/>
              <w:bottom w:val="single" w:sz="8" w:space="0" w:color="auto"/>
              <w:right w:val="single" w:sz="12"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2,147,522 </w:t>
            </w:r>
          </w:p>
        </w:tc>
        <w:tc>
          <w:tcPr>
            <w:tcW w:w="1326" w:type="dxa"/>
            <w:tcBorders>
              <w:top w:val="single" w:sz="8" w:space="0" w:color="auto"/>
              <w:left w:val="single" w:sz="12"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2,366,515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2,234,025 </w:t>
            </w:r>
          </w:p>
        </w:tc>
        <w:tc>
          <w:tcPr>
            <w:tcW w:w="1326"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  2,137,899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  2,296,163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2,223,200</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2,258,964</w:t>
            </w:r>
          </w:p>
        </w:tc>
      </w:tr>
      <w:tr w:rsidR="00CB6308" w:rsidTr="00CB6308">
        <w:trPr>
          <w:trHeight w:val="284"/>
        </w:trPr>
        <w:tc>
          <w:tcPr>
            <w:tcW w:w="117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kern w:val="0"/>
                <w:sz w:val="26"/>
                <w:szCs w:val="26"/>
              </w:rPr>
            </w:pPr>
            <w:r>
              <w:rPr>
                <w:rFonts w:ascii="Times New Roman" w:hint="eastAsia"/>
                <w:color w:val="000000"/>
                <w:kern w:val="0"/>
                <w:sz w:val="26"/>
                <w:szCs w:val="26"/>
              </w:rPr>
              <w:t>新竹縣</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6,574,801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6,860,509 </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7,059,314 </w:t>
            </w:r>
          </w:p>
        </w:tc>
        <w:tc>
          <w:tcPr>
            <w:tcW w:w="1327" w:type="dxa"/>
            <w:tcBorders>
              <w:top w:val="single" w:sz="8" w:space="0" w:color="auto"/>
              <w:left w:val="single" w:sz="8" w:space="0" w:color="auto"/>
              <w:bottom w:val="single" w:sz="8" w:space="0" w:color="auto"/>
              <w:right w:val="single" w:sz="12"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4,063,140 </w:t>
            </w:r>
          </w:p>
        </w:tc>
        <w:tc>
          <w:tcPr>
            <w:tcW w:w="1326" w:type="dxa"/>
            <w:tcBorders>
              <w:top w:val="single" w:sz="8" w:space="0" w:color="auto"/>
              <w:left w:val="single" w:sz="12"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2,386,794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2,764,989 </w:t>
            </w:r>
          </w:p>
        </w:tc>
        <w:tc>
          <w:tcPr>
            <w:tcW w:w="1326"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 2,890,305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  3,000,535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3,043,902</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3,126,976</w:t>
            </w:r>
          </w:p>
        </w:tc>
      </w:tr>
      <w:tr w:rsidR="00CB6308" w:rsidTr="00CB6308">
        <w:trPr>
          <w:trHeight w:val="284"/>
        </w:trPr>
        <w:tc>
          <w:tcPr>
            <w:tcW w:w="117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kern w:val="0"/>
                <w:sz w:val="26"/>
                <w:szCs w:val="26"/>
              </w:rPr>
            </w:pPr>
            <w:r>
              <w:rPr>
                <w:rFonts w:ascii="Times New Roman" w:hint="eastAsia"/>
                <w:color w:val="000000"/>
                <w:kern w:val="0"/>
                <w:sz w:val="26"/>
                <w:szCs w:val="26"/>
              </w:rPr>
              <w:t>新竹市</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1,844,172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1,924,416 </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2,042,297 </w:t>
            </w:r>
          </w:p>
        </w:tc>
        <w:tc>
          <w:tcPr>
            <w:tcW w:w="1327" w:type="dxa"/>
            <w:tcBorders>
              <w:top w:val="single" w:sz="8" w:space="0" w:color="auto"/>
              <w:left w:val="single" w:sz="8" w:space="0" w:color="auto"/>
              <w:bottom w:val="single" w:sz="8" w:space="0" w:color="auto"/>
              <w:right w:val="single" w:sz="12"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2,037,725 </w:t>
            </w:r>
          </w:p>
        </w:tc>
        <w:tc>
          <w:tcPr>
            <w:tcW w:w="1326" w:type="dxa"/>
            <w:tcBorders>
              <w:top w:val="single" w:sz="8" w:space="0" w:color="auto"/>
              <w:left w:val="single" w:sz="12"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1,639,872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1,947,135 </w:t>
            </w:r>
          </w:p>
        </w:tc>
        <w:tc>
          <w:tcPr>
            <w:tcW w:w="1326"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 2,306,511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  2,421,703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2,537,711</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2,645,976</w:t>
            </w:r>
          </w:p>
        </w:tc>
      </w:tr>
      <w:tr w:rsidR="00CB6308" w:rsidTr="00CB6308">
        <w:trPr>
          <w:trHeight w:val="284"/>
        </w:trPr>
        <w:tc>
          <w:tcPr>
            <w:tcW w:w="117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kern w:val="0"/>
                <w:sz w:val="26"/>
                <w:szCs w:val="26"/>
              </w:rPr>
            </w:pPr>
            <w:r>
              <w:rPr>
                <w:rFonts w:ascii="Times New Roman" w:hint="eastAsia"/>
                <w:color w:val="000000"/>
                <w:kern w:val="0"/>
                <w:sz w:val="26"/>
                <w:szCs w:val="26"/>
              </w:rPr>
              <w:t>苗栗縣</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2,056,229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2,287,212 </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2,470,759 </w:t>
            </w:r>
          </w:p>
        </w:tc>
        <w:tc>
          <w:tcPr>
            <w:tcW w:w="1327" w:type="dxa"/>
            <w:tcBorders>
              <w:top w:val="single" w:sz="8" w:space="0" w:color="auto"/>
              <w:left w:val="single" w:sz="8" w:space="0" w:color="auto"/>
              <w:bottom w:val="single" w:sz="8" w:space="0" w:color="auto"/>
              <w:right w:val="single" w:sz="12"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2,676,465 </w:t>
            </w:r>
          </w:p>
        </w:tc>
        <w:tc>
          <w:tcPr>
            <w:tcW w:w="1326" w:type="dxa"/>
            <w:tcBorders>
              <w:top w:val="single" w:sz="8" w:space="0" w:color="auto"/>
              <w:left w:val="single" w:sz="12"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2,733,013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2,612,526 </w:t>
            </w:r>
          </w:p>
        </w:tc>
        <w:tc>
          <w:tcPr>
            <w:tcW w:w="1326"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  3,087,209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  2,949,066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2,815,565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2,579,778</w:t>
            </w:r>
          </w:p>
        </w:tc>
      </w:tr>
      <w:tr w:rsidR="00CB6308" w:rsidTr="00CB6308">
        <w:trPr>
          <w:trHeight w:val="284"/>
        </w:trPr>
        <w:tc>
          <w:tcPr>
            <w:tcW w:w="117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kern w:val="0"/>
                <w:sz w:val="26"/>
                <w:szCs w:val="26"/>
              </w:rPr>
            </w:pPr>
            <w:r>
              <w:rPr>
                <w:rFonts w:ascii="Times New Roman" w:hint="eastAsia"/>
                <w:color w:val="000000"/>
                <w:kern w:val="0"/>
                <w:sz w:val="26"/>
                <w:szCs w:val="26"/>
              </w:rPr>
              <w:t>彰化縣</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3,197,686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3,714,660 </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4,640,472 </w:t>
            </w:r>
          </w:p>
        </w:tc>
        <w:tc>
          <w:tcPr>
            <w:tcW w:w="1327" w:type="dxa"/>
            <w:tcBorders>
              <w:top w:val="single" w:sz="8" w:space="0" w:color="auto"/>
              <w:left w:val="single" w:sz="8" w:space="0" w:color="auto"/>
              <w:bottom w:val="single" w:sz="8" w:space="0" w:color="auto"/>
              <w:right w:val="single" w:sz="12"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4,514,998 </w:t>
            </w:r>
          </w:p>
        </w:tc>
        <w:tc>
          <w:tcPr>
            <w:tcW w:w="1326" w:type="dxa"/>
            <w:tcBorders>
              <w:top w:val="single" w:sz="8" w:space="0" w:color="auto"/>
              <w:left w:val="single" w:sz="12"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4,761,169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5,007,875 </w:t>
            </w:r>
          </w:p>
        </w:tc>
        <w:tc>
          <w:tcPr>
            <w:tcW w:w="1326"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 4,847,649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  5,400,958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6,280,855</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7,124,927</w:t>
            </w:r>
          </w:p>
        </w:tc>
      </w:tr>
      <w:tr w:rsidR="00CB6308" w:rsidTr="00CB6308">
        <w:trPr>
          <w:trHeight w:val="284"/>
        </w:trPr>
        <w:tc>
          <w:tcPr>
            <w:tcW w:w="117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kern w:val="0"/>
                <w:sz w:val="26"/>
                <w:szCs w:val="26"/>
              </w:rPr>
            </w:pPr>
            <w:r>
              <w:rPr>
                <w:rFonts w:ascii="Times New Roman" w:hint="eastAsia"/>
                <w:color w:val="000000"/>
                <w:kern w:val="0"/>
                <w:sz w:val="26"/>
                <w:szCs w:val="26"/>
              </w:rPr>
              <w:t>南投縣</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2,178,745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2,321,617 </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2,602,468 </w:t>
            </w:r>
          </w:p>
        </w:tc>
        <w:tc>
          <w:tcPr>
            <w:tcW w:w="1327" w:type="dxa"/>
            <w:tcBorders>
              <w:top w:val="single" w:sz="8" w:space="0" w:color="auto"/>
              <w:left w:val="single" w:sz="8" w:space="0" w:color="auto"/>
              <w:bottom w:val="single" w:sz="8" w:space="0" w:color="auto"/>
              <w:right w:val="single" w:sz="12"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2,705,486 </w:t>
            </w:r>
          </w:p>
        </w:tc>
        <w:tc>
          <w:tcPr>
            <w:tcW w:w="1326" w:type="dxa"/>
            <w:tcBorders>
              <w:top w:val="single" w:sz="8" w:space="0" w:color="auto"/>
              <w:left w:val="single" w:sz="12"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2,672,643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2,777,004 </w:t>
            </w:r>
          </w:p>
        </w:tc>
        <w:tc>
          <w:tcPr>
            <w:tcW w:w="1326"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  2,793,027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  2,861,167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2,979,145</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3,061,116</w:t>
            </w:r>
          </w:p>
        </w:tc>
      </w:tr>
      <w:tr w:rsidR="00CB6308" w:rsidTr="00CB6308">
        <w:trPr>
          <w:trHeight w:val="284"/>
        </w:trPr>
        <w:tc>
          <w:tcPr>
            <w:tcW w:w="117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kern w:val="0"/>
                <w:sz w:val="26"/>
                <w:szCs w:val="26"/>
              </w:rPr>
            </w:pPr>
            <w:r>
              <w:rPr>
                <w:rFonts w:ascii="Times New Roman" w:hint="eastAsia"/>
                <w:color w:val="000000"/>
                <w:kern w:val="0"/>
                <w:sz w:val="26"/>
                <w:szCs w:val="26"/>
              </w:rPr>
              <w:t>雲林縣</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2,541,173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2,863,279 </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2,930,327 </w:t>
            </w:r>
          </w:p>
        </w:tc>
        <w:tc>
          <w:tcPr>
            <w:tcW w:w="1327" w:type="dxa"/>
            <w:tcBorders>
              <w:top w:val="single" w:sz="8" w:space="0" w:color="auto"/>
              <w:left w:val="single" w:sz="8" w:space="0" w:color="auto"/>
              <w:bottom w:val="single" w:sz="8" w:space="0" w:color="auto"/>
              <w:right w:val="single" w:sz="12"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3,567,474 </w:t>
            </w:r>
          </w:p>
        </w:tc>
        <w:tc>
          <w:tcPr>
            <w:tcW w:w="1326" w:type="dxa"/>
            <w:tcBorders>
              <w:top w:val="single" w:sz="8" w:space="0" w:color="auto"/>
              <w:left w:val="single" w:sz="12"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3,617,521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3,556,903 </w:t>
            </w:r>
          </w:p>
        </w:tc>
        <w:tc>
          <w:tcPr>
            <w:tcW w:w="1326"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  3,892,475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  3,810,753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3,817,284</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4,162,521</w:t>
            </w:r>
          </w:p>
        </w:tc>
      </w:tr>
      <w:tr w:rsidR="00CB6308" w:rsidTr="00CB6308">
        <w:trPr>
          <w:trHeight w:val="284"/>
        </w:trPr>
        <w:tc>
          <w:tcPr>
            <w:tcW w:w="117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kern w:val="0"/>
                <w:sz w:val="26"/>
                <w:szCs w:val="26"/>
              </w:rPr>
            </w:pPr>
            <w:r>
              <w:rPr>
                <w:rFonts w:ascii="Times New Roman" w:hint="eastAsia"/>
                <w:color w:val="000000"/>
                <w:kern w:val="0"/>
                <w:sz w:val="26"/>
                <w:szCs w:val="26"/>
              </w:rPr>
              <w:t>嘉義縣</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2,902,998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3,233,911 </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2,922,746 </w:t>
            </w:r>
          </w:p>
        </w:tc>
        <w:tc>
          <w:tcPr>
            <w:tcW w:w="1327" w:type="dxa"/>
            <w:tcBorders>
              <w:top w:val="single" w:sz="8" w:space="0" w:color="auto"/>
              <w:left w:val="single" w:sz="8" w:space="0" w:color="auto"/>
              <w:bottom w:val="single" w:sz="8" w:space="0" w:color="auto"/>
              <w:right w:val="single" w:sz="12"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2,929,000 </w:t>
            </w:r>
          </w:p>
        </w:tc>
        <w:tc>
          <w:tcPr>
            <w:tcW w:w="1326" w:type="dxa"/>
            <w:tcBorders>
              <w:top w:val="single" w:sz="8" w:space="0" w:color="auto"/>
              <w:left w:val="single" w:sz="12"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2,937,339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3,010,492 </w:t>
            </w:r>
          </w:p>
        </w:tc>
        <w:tc>
          <w:tcPr>
            <w:tcW w:w="1326"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 3,086,129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 3,077,410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3,142,323</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3,187,127</w:t>
            </w:r>
          </w:p>
        </w:tc>
      </w:tr>
      <w:tr w:rsidR="00CB6308" w:rsidTr="00CB6308">
        <w:trPr>
          <w:trHeight w:val="284"/>
        </w:trPr>
        <w:tc>
          <w:tcPr>
            <w:tcW w:w="117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kern w:val="0"/>
                <w:sz w:val="26"/>
                <w:szCs w:val="26"/>
              </w:rPr>
            </w:pPr>
            <w:r>
              <w:rPr>
                <w:rFonts w:ascii="Times New Roman" w:hint="eastAsia"/>
                <w:color w:val="000000"/>
                <w:kern w:val="0"/>
                <w:sz w:val="26"/>
                <w:szCs w:val="26"/>
              </w:rPr>
              <w:t>嘉義市</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994,154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982,969 </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1,157,840 </w:t>
            </w:r>
          </w:p>
        </w:tc>
        <w:tc>
          <w:tcPr>
            <w:tcW w:w="1327" w:type="dxa"/>
            <w:tcBorders>
              <w:top w:val="single" w:sz="8" w:space="0" w:color="auto"/>
              <w:left w:val="single" w:sz="8" w:space="0" w:color="auto"/>
              <w:bottom w:val="single" w:sz="8" w:space="0" w:color="auto"/>
              <w:right w:val="single" w:sz="12"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1,193,487 </w:t>
            </w:r>
          </w:p>
        </w:tc>
        <w:tc>
          <w:tcPr>
            <w:tcW w:w="1326" w:type="dxa"/>
            <w:tcBorders>
              <w:top w:val="single" w:sz="8" w:space="0" w:color="auto"/>
              <w:left w:val="single" w:sz="12"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1,172,091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1,243,111 </w:t>
            </w:r>
          </w:p>
        </w:tc>
        <w:tc>
          <w:tcPr>
            <w:tcW w:w="1326"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  1,366,805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  1,432,695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1,476,888</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1,529,438</w:t>
            </w:r>
          </w:p>
        </w:tc>
      </w:tr>
      <w:tr w:rsidR="00CB6308" w:rsidTr="00CB6308">
        <w:trPr>
          <w:trHeight w:val="284"/>
        </w:trPr>
        <w:tc>
          <w:tcPr>
            <w:tcW w:w="117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kern w:val="0"/>
                <w:sz w:val="26"/>
                <w:szCs w:val="26"/>
              </w:rPr>
            </w:pPr>
            <w:r>
              <w:rPr>
                <w:rFonts w:ascii="Times New Roman" w:hint="eastAsia"/>
                <w:color w:val="000000"/>
                <w:kern w:val="0"/>
                <w:sz w:val="26"/>
                <w:szCs w:val="26"/>
              </w:rPr>
              <w:t>屏東縣</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3,506,263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3,499,156 </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5,069,242 </w:t>
            </w:r>
          </w:p>
        </w:tc>
        <w:tc>
          <w:tcPr>
            <w:tcW w:w="1327" w:type="dxa"/>
            <w:tcBorders>
              <w:top w:val="single" w:sz="8" w:space="0" w:color="auto"/>
              <w:left w:val="single" w:sz="8" w:space="0" w:color="auto"/>
              <w:bottom w:val="single" w:sz="8" w:space="0" w:color="auto"/>
              <w:right w:val="single" w:sz="12"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4,225,099 </w:t>
            </w:r>
          </w:p>
        </w:tc>
        <w:tc>
          <w:tcPr>
            <w:tcW w:w="1326" w:type="dxa"/>
            <w:tcBorders>
              <w:top w:val="single" w:sz="8" w:space="0" w:color="auto"/>
              <w:left w:val="single" w:sz="12"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4,381,472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4,420,309 </w:t>
            </w:r>
          </w:p>
        </w:tc>
        <w:tc>
          <w:tcPr>
            <w:tcW w:w="1326"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 4,393,733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  4,366,428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4,530,787</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4,779,610</w:t>
            </w:r>
          </w:p>
        </w:tc>
      </w:tr>
      <w:tr w:rsidR="00CB6308" w:rsidTr="00CB6308">
        <w:trPr>
          <w:trHeight w:val="284"/>
        </w:trPr>
        <w:tc>
          <w:tcPr>
            <w:tcW w:w="117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kern w:val="0"/>
                <w:sz w:val="26"/>
                <w:szCs w:val="26"/>
              </w:rPr>
            </w:pPr>
            <w:r>
              <w:rPr>
                <w:rFonts w:ascii="Times New Roman" w:hint="eastAsia"/>
                <w:color w:val="000000"/>
                <w:kern w:val="0"/>
                <w:sz w:val="26"/>
                <w:szCs w:val="26"/>
              </w:rPr>
              <w:t>花蓮縣</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1,750,112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1,732,875 </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1,839,645 </w:t>
            </w:r>
          </w:p>
        </w:tc>
        <w:tc>
          <w:tcPr>
            <w:tcW w:w="1327" w:type="dxa"/>
            <w:tcBorders>
              <w:top w:val="single" w:sz="8" w:space="0" w:color="auto"/>
              <w:left w:val="single" w:sz="8" w:space="0" w:color="auto"/>
              <w:bottom w:val="single" w:sz="8" w:space="0" w:color="auto"/>
              <w:right w:val="single" w:sz="12"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1,941,476 </w:t>
            </w:r>
          </w:p>
        </w:tc>
        <w:tc>
          <w:tcPr>
            <w:tcW w:w="1326" w:type="dxa"/>
            <w:tcBorders>
              <w:top w:val="single" w:sz="8" w:space="0" w:color="auto"/>
              <w:left w:val="single" w:sz="12"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1,889,652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1,962,348 </w:t>
            </w:r>
          </w:p>
        </w:tc>
        <w:tc>
          <w:tcPr>
            <w:tcW w:w="1326"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  2,049,069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  2,030,505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2,272,156</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2,376,799</w:t>
            </w:r>
          </w:p>
        </w:tc>
      </w:tr>
      <w:tr w:rsidR="00CB6308" w:rsidTr="00CB6308">
        <w:trPr>
          <w:trHeight w:val="284"/>
        </w:trPr>
        <w:tc>
          <w:tcPr>
            <w:tcW w:w="117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kern w:val="0"/>
                <w:sz w:val="26"/>
                <w:szCs w:val="26"/>
              </w:rPr>
            </w:pPr>
            <w:r>
              <w:rPr>
                <w:rFonts w:ascii="Times New Roman" w:hint="eastAsia"/>
                <w:color w:val="000000"/>
                <w:kern w:val="0"/>
                <w:sz w:val="26"/>
                <w:szCs w:val="26"/>
              </w:rPr>
              <w:t>臺東縣</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1,654,687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1,692,470 </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1,705,290 </w:t>
            </w:r>
          </w:p>
        </w:tc>
        <w:tc>
          <w:tcPr>
            <w:tcW w:w="1327" w:type="dxa"/>
            <w:tcBorders>
              <w:top w:val="single" w:sz="8" w:space="0" w:color="auto"/>
              <w:left w:val="single" w:sz="8" w:space="0" w:color="auto"/>
              <w:bottom w:val="single" w:sz="8" w:space="0" w:color="auto"/>
              <w:right w:val="single" w:sz="12"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1,892,537 </w:t>
            </w:r>
          </w:p>
        </w:tc>
        <w:tc>
          <w:tcPr>
            <w:tcW w:w="1326" w:type="dxa"/>
            <w:tcBorders>
              <w:top w:val="single" w:sz="8" w:space="0" w:color="auto"/>
              <w:left w:val="single" w:sz="12"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1,873,937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1,993,765 </w:t>
            </w:r>
          </w:p>
        </w:tc>
        <w:tc>
          <w:tcPr>
            <w:tcW w:w="1326"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  2,040,403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  2,120,332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2,055,793</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2,060,452</w:t>
            </w:r>
          </w:p>
        </w:tc>
      </w:tr>
      <w:tr w:rsidR="00CB6308" w:rsidTr="00CB6308">
        <w:trPr>
          <w:trHeight w:val="284"/>
        </w:trPr>
        <w:tc>
          <w:tcPr>
            <w:tcW w:w="117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kern w:val="0"/>
                <w:sz w:val="26"/>
                <w:szCs w:val="26"/>
              </w:rPr>
            </w:pPr>
            <w:r>
              <w:rPr>
                <w:rFonts w:ascii="Times New Roman" w:hint="eastAsia"/>
                <w:color w:val="000000"/>
                <w:kern w:val="0"/>
                <w:sz w:val="26"/>
                <w:szCs w:val="26"/>
              </w:rPr>
              <w:t>澎湖縣</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959,678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927,770 </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1,025,363 </w:t>
            </w:r>
          </w:p>
        </w:tc>
        <w:tc>
          <w:tcPr>
            <w:tcW w:w="1327" w:type="dxa"/>
            <w:tcBorders>
              <w:top w:val="single" w:sz="8" w:space="0" w:color="auto"/>
              <w:left w:val="single" w:sz="8" w:space="0" w:color="auto"/>
              <w:bottom w:val="single" w:sz="8" w:space="0" w:color="auto"/>
              <w:right w:val="single" w:sz="12"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1,069,367 </w:t>
            </w:r>
          </w:p>
        </w:tc>
        <w:tc>
          <w:tcPr>
            <w:tcW w:w="1326" w:type="dxa"/>
            <w:tcBorders>
              <w:top w:val="single" w:sz="8" w:space="0" w:color="auto"/>
              <w:left w:val="single" w:sz="12"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1,086,800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1,052,160 </w:t>
            </w:r>
          </w:p>
        </w:tc>
        <w:tc>
          <w:tcPr>
            <w:tcW w:w="1326"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  1,043,572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  1,087,602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1,124,577</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1,145,860 </w:t>
            </w:r>
          </w:p>
        </w:tc>
      </w:tr>
      <w:tr w:rsidR="00CB6308" w:rsidTr="00CB6308">
        <w:trPr>
          <w:trHeight w:val="284"/>
        </w:trPr>
        <w:tc>
          <w:tcPr>
            <w:tcW w:w="117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kern w:val="0"/>
                <w:sz w:val="26"/>
                <w:szCs w:val="26"/>
              </w:rPr>
            </w:pPr>
            <w:r>
              <w:rPr>
                <w:rFonts w:ascii="Times New Roman" w:hint="eastAsia"/>
                <w:kern w:val="0"/>
                <w:sz w:val="26"/>
                <w:szCs w:val="26"/>
              </w:rPr>
              <w:t>金門縣</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1,058,655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1,159,300 </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1,361,932 </w:t>
            </w:r>
          </w:p>
        </w:tc>
        <w:tc>
          <w:tcPr>
            <w:tcW w:w="1327" w:type="dxa"/>
            <w:tcBorders>
              <w:top w:val="single" w:sz="8" w:space="0" w:color="auto"/>
              <w:left w:val="single" w:sz="8" w:space="0" w:color="auto"/>
              <w:bottom w:val="single" w:sz="8" w:space="0" w:color="auto"/>
              <w:right w:val="single" w:sz="12"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1,361,559 </w:t>
            </w:r>
          </w:p>
        </w:tc>
        <w:tc>
          <w:tcPr>
            <w:tcW w:w="1326" w:type="dxa"/>
            <w:tcBorders>
              <w:top w:val="single" w:sz="8" w:space="0" w:color="auto"/>
              <w:left w:val="single" w:sz="12"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1,381,544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1,426,689 </w:t>
            </w:r>
          </w:p>
        </w:tc>
        <w:tc>
          <w:tcPr>
            <w:tcW w:w="1326"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spacing w:val="-8"/>
                <w:kern w:val="0"/>
                <w:sz w:val="24"/>
                <w:szCs w:val="24"/>
              </w:rPr>
            </w:pPr>
            <w:r>
              <w:rPr>
                <w:rFonts w:ascii="Times New Roman"/>
                <w:spacing w:val="-8"/>
                <w:kern w:val="0"/>
                <w:sz w:val="24"/>
                <w:szCs w:val="24"/>
              </w:rPr>
              <w:t xml:space="preserve"> 1,564,922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spacing w:val="-8"/>
                <w:kern w:val="0"/>
                <w:sz w:val="24"/>
                <w:szCs w:val="24"/>
              </w:rPr>
            </w:pPr>
            <w:r>
              <w:rPr>
                <w:rFonts w:ascii="Times New Roman"/>
                <w:spacing w:val="-8"/>
                <w:kern w:val="0"/>
                <w:sz w:val="24"/>
                <w:szCs w:val="24"/>
              </w:rPr>
              <w:t xml:space="preserve">  1,685,502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1,697,979</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1,307,115</w:t>
            </w:r>
          </w:p>
        </w:tc>
      </w:tr>
      <w:tr w:rsidR="00CB6308" w:rsidTr="00CB6308">
        <w:trPr>
          <w:trHeight w:val="284"/>
        </w:trPr>
        <w:tc>
          <w:tcPr>
            <w:tcW w:w="117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kern w:val="0"/>
                <w:sz w:val="26"/>
                <w:szCs w:val="26"/>
              </w:rPr>
            </w:pPr>
            <w:r>
              <w:rPr>
                <w:rFonts w:ascii="Times New Roman" w:hint="eastAsia"/>
                <w:color w:val="000000"/>
                <w:kern w:val="0"/>
                <w:sz w:val="26"/>
                <w:szCs w:val="26"/>
              </w:rPr>
              <w:t>連江縣</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269,428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343,334 </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306,340 </w:t>
            </w:r>
          </w:p>
        </w:tc>
        <w:tc>
          <w:tcPr>
            <w:tcW w:w="1327" w:type="dxa"/>
            <w:tcBorders>
              <w:top w:val="single" w:sz="8" w:space="0" w:color="auto"/>
              <w:left w:val="single" w:sz="8" w:space="0" w:color="auto"/>
              <w:bottom w:val="single" w:sz="8" w:space="0" w:color="auto"/>
              <w:right w:val="single" w:sz="12"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315,810 </w:t>
            </w:r>
          </w:p>
        </w:tc>
        <w:tc>
          <w:tcPr>
            <w:tcW w:w="1326" w:type="dxa"/>
            <w:tcBorders>
              <w:top w:val="single" w:sz="8" w:space="0" w:color="auto"/>
              <w:left w:val="single" w:sz="12"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232,931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ind w:rightChars="19" w:right="65"/>
              <w:jc w:val="right"/>
              <w:rPr>
                <w:rFonts w:ascii="Times New Roman"/>
                <w:color w:val="000000"/>
                <w:spacing w:val="-8"/>
                <w:kern w:val="0"/>
                <w:sz w:val="24"/>
                <w:szCs w:val="24"/>
              </w:rPr>
            </w:pPr>
            <w:r>
              <w:rPr>
                <w:rFonts w:ascii="Times New Roman"/>
                <w:color w:val="000000"/>
                <w:spacing w:val="-8"/>
                <w:kern w:val="0"/>
                <w:sz w:val="24"/>
                <w:szCs w:val="24"/>
              </w:rPr>
              <w:t xml:space="preserve">   237,990 </w:t>
            </w:r>
          </w:p>
        </w:tc>
        <w:tc>
          <w:tcPr>
            <w:tcW w:w="1326"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CB6308" w:rsidRDefault="00CB6308">
            <w:pPr>
              <w:widowControl/>
              <w:overflowPunct/>
              <w:autoSpaceDE/>
              <w:spacing w:line="280" w:lineRule="exact"/>
              <w:jc w:val="left"/>
              <w:rPr>
                <w:rFonts w:ascii="Times New Roman"/>
                <w:color w:val="000000"/>
                <w:spacing w:val="-8"/>
                <w:kern w:val="0"/>
                <w:sz w:val="24"/>
                <w:szCs w:val="24"/>
              </w:rPr>
            </w:pPr>
            <w:r>
              <w:rPr>
                <w:rFonts w:ascii="Times New Roman"/>
                <w:color w:val="000000"/>
                <w:spacing w:val="-8"/>
                <w:kern w:val="0"/>
                <w:sz w:val="24"/>
                <w:szCs w:val="24"/>
              </w:rPr>
              <w:t xml:space="preserve">   250,538</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noWrap/>
            <w:vAlign w:val="center"/>
            <w:hideMark/>
          </w:tcPr>
          <w:p w:rsidR="00CB6308" w:rsidRDefault="00CB6308">
            <w:pPr>
              <w:widowControl/>
              <w:overflowPunct/>
              <w:autoSpaceDE/>
              <w:spacing w:line="280" w:lineRule="exact"/>
              <w:jc w:val="left"/>
              <w:rPr>
                <w:rFonts w:ascii="Times New Roman"/>
                <w:color w:val="000000"/>
                <w:spacing w:val="-8"/>
                <w:kern w:val="0"/>
                <w:sz w:val="24"/>
                <w:szCs w:val="24"/>
              </w:rPr>
            </w:pPr>
            <w:r>
              <w:rPr>
                <w:rFonts w:ascii="Times New Roman"/>
                <w:color w:val="000000"/>
                <w:spacing w:val="-8"/>
                <w:kern w:val="0"/>
                <w:sz w:val="24"/>
                <w:szCs w:val="24"/>
              </w:rPr>
              <w:t xml:space="preserve">    254,215 </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287,182</w:t>
            </w:r>
          </w:p>
        </w:tc>
        <w:tc>
          <w:tcPr>
            <w:tcW w:w="1327" w:type="dxa"/>
            <w:tcBorders>
              <w:top w:val="single" w:sz="8" w:space="0" w:color="auto"/>
              <w:left w:val="single" w:sz="8" w:space="0" w:color="auto"/>
              <w:bottom w:val="single" w:sz="8"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320,084</w:t>
            </w:r>
          </w:p>
        </w:tc>
      </w:tr>
      <w:tr w:rsidR="00CB6308" w:rsidTr="00CB6308">
        <w:trPr>
          <w:trHeight w:val="284"/>
        </w:trPr>
        <w:tc>
          <w:tcPr>
            <w:tcW w:w="117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kern w:val="0"/>
                <w:sz w:val="26"/>
                <w:szCs w:val="26"/>
              </w:rPr>
            </w:pPr>
            <w:r>
              <w:rPr>
                <w:rFonts w:ascii="Times New Roman" w:hint="eastAsia"/>
                <w:color w:val="000000"/>
                <w:kern w:val="0"/>
                <w:sz w:val="26"/>
                <w:szCs w:val="26"/>
              </w:rPr>
              <w:t>總計</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 97,045,049 </w:t>
            </w:r>
          </w:p>
        </w:tc>
        <w:tc>
          <w:tcPr>
            <w:tcW w:w="1327"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103,054,287 </w:t>
            </w:r>
          </w:p>
        </w:tc>
        <w:tc>
          <w:tcPr>
            <w:tcW w:w="1326"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113,855,910 </w:t>
            </w:r>
          </w:p>
        </w:tc>
        <w:tc>
          <w:tcPr>
            <w:tcW w:w="1327" w:type="dxa"/>
            <w:tcBorders>
              <w:top w:val="single" w:sz="8" w:space="0" w:color="auto"/>
              <w:left w:val="single" w:sz="8" w:space="0" w:color="auto"/>
              <w:bottom w:val="single" w:sz="8" w:space="0" w:color="auto"/>
              <w:right w:val="single" w:sz="12" w:space="0" w:color="auto"/>
            </w:tcBorders>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126,001,002 </w:t>
            </w:r>
          </w:p>
        </w:tc>
        <w:tc>
          <w:tcPr>
            <w:tcW w:w="1326" w:type="dxa"/>
            <w:tcBorders>
              <w:top w:val="single" w:sz="8" w:space="0" w:color="auto"/>
              <w:left w:val="single" w:sz="12" w:space="0" w:color="auto"/>
              <w:bottom w:val="single" w:sz="12" w:space="0" w:color="auto"/>
              <w:right w:val="single" w:sz="8" w:space="0" w:color="auto"/>
            </w:tcBorders>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185,764,454 </w:t>
            </w:r>
          </w:p>
        </w:tc>
        <w:tc>
          <w:tcPr>
            <w:tcW w:w="1327" w:type="dxa"/>
            <w:tcBorders>
              <w:top w:val="single" w:sz="8" w:space="0" w:color="auto"/>
              <w:left w:val="single" w:sz="8" w:space="0" w:color="auto"/>
              <w:bottom w:val="single" w:sz="12" w:space="0" w:color="auto"/>
              <w:right w:val="single" w:sz="8" w:space="0" w:color="auto"/>
            </w:tcBorders>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181,786,119 </w:t>
            </w:r>
          </w:p>
        </w:tc>
        <w:tc>
          <w:tcPr>
            <w:tcW w:w="1326" w:type="dxa"/>
            <w:tcBorders>
              <w:top w:val="single" w:sz="8" w:space="0" w:color="auto"/>
              <w:left w:val="single" w:sz="8" w:space="0" w:color="auto"/>
              <w:bottom w:val="single" w:sz="12" w:space="0" w:color="auto"/>
              <w:right w:val="single" w:sz="8"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161,046,127 </w:t>
            </w:r>
          </w:p>
        </w:tc>
        <w:tc>
          <w:tcPr>
            <w:tcW w:w="1327" w:type="dxa"/>
            <w:tcBorders>
              <w:top w:val="single" w:sz="8" w:space="0" w:color="auto"/>
              <w:left w:val="single" w:sz="8" w:space="0" w:color="auto"/>
              <w:bottom w:val="single" w:sz="12" w:space="0" w:color="auto"/>
              <w:right w:val="single" w:sz="12" w:space="0" w:color="auto"/>
            </w:tcBorders>
            <w:shd w:val="clear" w:color="auto" w:fill="FFFFFF" w:themeFill="background1"/>
            <w:noWrap/>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 xml:space="preserve">167,219,859 </w:t>
            </w:r>
          </w:p>
        </w:tc>
        <w:tc>
          <w:tcPr>
            <w:tcW w:w="1327" w:type="dxa"/>
            <w:tcBorders>
              <w:top w:val="single" w:sz="8" w:space="0" w:color="auto"/>
              <w:left w:val="single" w:sz="8" w:space="0" w:color="auto"/>
              <w:bottom w:val="single" w:sz="12" w:space="0" w:color="auto"/>
              <w:right w:val="single" w:sz="12" w:space="0" w:color="auto"/>
            </w:tcBorders>
            <w:shd w:val="clear" w:color="auto" w:fill="FFFFFF" w:themeFill="background1"/>
            <w:vAlign w:val="center"/>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156,870,404</w:t>
            </w:r>
          </w:p>
        </w:tc>
        <w:tc>
          <w:tcPr>
            <w:tcW w:w="1327" w:type="dxa"/>
            <w:tcBorders>
              <w:top w:val="single" w:sz="8" w:space="0" w:color="auto"/>
              <w:left w:val="single" w:sz="8" w:space="0" w:color="auto"/>
              <w:bottom w:val="single" w:sz="12" w:space="0" w:color="auto"/>
              <w:right w:val="single" w:sz="12" w:space="0" w:color="auto"/>
            </w:tcBorders>
            <w:shd w:val="clear" w:color="auto" w:fill="FFFFFF" w:themeFill="background1"/>
            <w:hideMark/>
          </w:tcPr>
          <w:p w:rsidR="00CB6308" w:rsidRDefault="00CB6308">
            <w:pPr>
              <w:widowControl/>
              <w:overflowPunct/>
              <w:autoSpaceDE/>
              <w:spacing w:line="280" w:lineRule="exact"/>
              <w:jc w:val="right"/>
              <w:rPr>
                <w:rFonts w:ascii="Times New Roman"/>
                <w:color w:val="000000"/>
                <w:spacing w:val="-8"/>
                <w:kern w:val="0"/>
                <w:sz w:val="24"/>
                <w:szCs w:val="24"/>
              </w:rPr>
            </w:pPr>
            <w:r>
              <w:rPr>
                <w:rFonts w:ascii="Times New Roman"/>
                <w:color w:val="000000"/>
                <w:spacing w:val="-8"/>
                <w:kern w:val="0"/>
                <w:sz w:val="24"/>
                <w:szCs w:val="24"/>
              </w:rPr>
              <w:t>155,805,388</w:t>
            </w:r>
          </w:p>
        </w:tc>
      </w:tr>
    </w:tbl>
    <w:p w:rsidR="00CB6308" w:rsidRDefault="00CB6308" w:rsidP="00CB6308">
      <w:pPr>
        <w:pStyle w:val="2"/>
        <w:numPr>
          <w:ilvl w:val="0"/>
          <w:numId w:val="0"/>
        </w:numPr>
        <w:spacing w:line="320" w:lineRule="exact"/>
        <w:ind w:leftChars="-66" w:left="-52" w:hangingChars="66" w:hanging="172"/>
        <w:rPr>
          <w:rFonts w:cs="新細明體"/>
          <w:sz w:val="24"/>
          <w:szCs w:val="24"/>
        </w:rPr>
      </w:pPr>
      <w:bookmarkStart w:id="2169" w:name="_Toc507518688"/>
      <w:bookmarkStart w:id="2170" w:name="_Toc507403689"/>
      <w:bookmarkStart w:id="2171" w:name="_Toc507168715"/>
      <w:bookmarkStart w:id="2172" w:name="_Toc507163512"/>
      <w:bookmarkStart w:id="2173" w:name="_Toc507163260"/>
      <w:bookmarkStart w:id="2174" w:name="_Toc506297457"/>
      <w:bookmarkStart w:id="2175" w:name="_Toc484675234"/>
      <w:bookmarkStart w:id="2176" w:name="_Toc484590037"/>
      <w:bookmarkStart w:id="2177" w:name="_Toc484588859"/>
      <w:bookmarkStart w:id="2178" w:name="_Toc507767774"/>
      <w:bookmarkStart w:id="2179" w:name="_Toc507768500"/>
      <w:bookmarkStart w:id="2180" w:name="_Toc511308293"/>
      <w:bookmarkStart w:id="2181" w:name="_Toc511998737"/>
      <w:bookmarkStart w:id="2182" w:name="_Toc512421094"/>
      <w:r>
        <w:rPr>
          <w:rFonts w:hint="eastAsia"/>
          <w:sz w:val="24"/>
          <w:szCs w:val="24"/>
        </w:rPr>
        <w:t>備註：本表有關政府社會福利支出決算數包含公益彩券盈餘分配基金之基金用途決算審定數。</w:t>
      </w:r>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p>
    <w:p w:rsidR="00CB6308" w:rsidRDefault="00CB6308" w:rsidP="00CB6308">
      <w:pPr>
        <w:pStyle w:val="2"/>
        <w:numPr>
          <w:ilvl w:val="0"/>
          <w:numId w:val="0"/>
        </w:numPr>
        <w:spacing w:line="320" w:lineRule="exact"/>
        <w:ind w:leftChars="-66" w:left="-52" w:hangingChars="66" w:hanging="172"/>
        <w:rPr>
          <w:rFonts w:ascii="Times New Roman"/>
          <w:b/>
          <w:spacing w:val="-6"/>
          <w:sz w:val="28"/>
          <w:szCs w:val="28"/>
        </w:rPr>
      </w:pPr>
      <w:bookmarkStart w:id="2183" w:name="_Toc507518689"/>
      <w:bookmarkStart w:id="2184" w:name="_Toc507403690"/>
      <w:bookmarkStart w:id="2185" w:name="_Toc507168716"/>
      <w:bookmarkStart w:id="2186" w:name="_Toc507163513"/>
      <w:bookmarkStart w:id="2187" w:name="_Toc507163261"/>
      <w:bookmarkStart w:id="2188" w:name="_Toc507767775"/>
      <w:bookmarkStart w:id="2189" w:name="_Toc507768501"/>
      <w:bookmarkStart w:id="2190" w:name="_Toc511308294"/>
      <w:bookmarkStart w:id="2191" w:name="_Toc511998738"/>
      <w:bookmarkStart w:id="2192" w:name="_Toc512421095"/>
      <w:r>
        <w:rPr>
          <w:rFonts w:hint="eastAsia"/>
          <w:sz w:val="24"/>
          <w:szCs w:val="24"/>
        </w:rPr>
        <w:t>資料來源：審計部。</w:t>
      </w:r>
      <w:bookmarkEnd w:id="2183"/>
      <w:bookmarkEnd w:id="2184"/>
      <w:bookmarkEnd w:id="2185"/>
      <w:bookmarkEnd w:id="2186"/>
      <w:bookmarkEnd w:id="2187"/>
      <w:bookmarkEnd w:id="2188"/>
      <w:bookmarkEnd w:id="2189"/>
      <w:bookmarkEnd w:id="2190"/>
      <w:bookmarkEnd w:id="2191"/>
      <w:bookmarkEnd w:id="2192"/>
    </w:p>
    <w:p w:rsidR="00CB6308" w:rsidRDefault="00CB6308" w:rsidP="00CB6308">
      <w:pPr>
        <w:widowControl/>
        <w:overflowPunct/>
        <w:autoSpaceDE/>
        <w:autoSpaceDN/>
        <w:jc w:val="left"/>
        <w:rPr>
          <w:rFonts w:ascii="Times New Roman" w:hAnsi="Arial"/>
          <w:b/>
          <w:bCs/>
          <w:spacing w:val="-6"/>
          <w:kern w:val="32"/>
          <w:sz w:val="28"/>
          <w:szCs w:val="28"/>
        </w:rPr>
        <w:sectPr w:rsidR="00CB6308">
          <w:pgSz w:w="16840" w:h="11907" w:orient="landscape"/>
          <w:pgMar w:top="993" w:right="1701" w:bottom="1418" w:left="1418" w:header="851" w:footer="851" w:gutter="227"/>
          <w:cols w:space="720"/>
          <w:docGrid w:type="linesAndChars" w:linePitch="457" w:charSpace="4127"/>
        </w:sectPr>
      </w:pPr>
    </w:p>
    <w:p w:rsidR="00CB6308" w:rsidRDefault="00CB6308" w:rsidP="005D159F">
      <w:pPr>
        <w:pStyle w:val="a0"/>
        <w:numPr>
          <w:ilvl w:val="0"/>
          <w:numId w:val="35"/>
        </w:numPr>
        <w:tabs>
          <w:tab w:val="num" w:pos="1134"/>
        </w:tabs>
        <w:spacing w:line="360" w:lineRule="exact"/>
        <w:ind w:left="2802" w:rightChars="-125" w:right="-425" w:hanging="2774"/>
        <w:rPr>
          <w:b/>
          <w:sz w:val="24"/>
          <w:szCs w:val="24"/>
        </w:rPr>
      </w:pPr>
      <w:bookmarkStart w:id="2193" w:name="_Toc507518690"/>
      <w:bookmarkStart w:id="2194" w:name="_Toc507767776"/>
      <w:bookmarkStart w:id="2195" w:name="_Toc507768502"/>
      <w:bookmarkStart w:id="2196" w:name="_Toc512421096"/>
      <w:r>
        <w:rPr>
          <w:rFonts w:ascii="Times New Roman"/>
          <w:b/>
          <w:spacing w:val="-6"/>
          <w:sz w:val="28"/>
          <w:szCs w:val="28"/>
        </w:rPr>
        <w:t>96</w:t>
      </w:r>
      <w:r>
        <w:rPr>
          <w:rFonts w:ascii="Times New Roman" w:hint="eastAsia"/>
          <w:b/>
          <w:spacing w:val="-6"/>
          <w:sz w:val="28"/>
          <w:szCs w:val="28"/>
        </w:rPr>
        <w:t>年至</w:t>
      </w:r>
      <w:r>
        <w:rPr>
          <w:rFonts w:ascii="Times New Roman"/>
          <w:b/>
          <w:spacing w:val="-6"/>
          <w:sz w:val="28"/>
          <w:szCs w:val="28"/>
        </w:rPr>
        <w:t>105</w:t>
      </w:r>
      <w:r>
        <w:rPr>
          <w:rFonts w:ascii="Times New Roman" w:hint="eastAsia"/>
          <w:b/>
          <w:spacing w:val="-6"/>
          <w:sz w:val="28"/>
          <w:szCs w:val="28"/>
        </w:rPr>
        <w:t>年</w:t>
      </w:r>
      <w:r>
        <w:rPr>
          <w:rFonts w:ascii="Times New Roman" w:hint="eastAsia"/>
          <w:b/>
          <w:sz w:val="28"/>
          <w:szCs w:val="28"/>
        </w:rPr>
        <w:t>各地方政府</w:t>
      </w:r>
      <w:r>
        <w:rPr>
          <w:rFonts w:ascii="Times New Roman" w:hint="eastAsia"/>
          <w:b/>
          <w:spacing w:val="-6"/>
          <w:sz w:val="28"/>
          <w:szCs w:val="28"/>
        </w:rPr>
        <w:t>公益彩券盈餘分配款執行數</w:t>
      </w:r>
      <w:bookmarkEnd w:id="2193"/>
      <w:bookmarkEnd w:id="2194"/>
      <w:bookmarkEnd w:id="2195"/>
      <w:bookmarkEnd w:id="2196"/>
    </w:p>
    <w:p w:rsidR="00CB6308" w:rsidRDefault="00CB6308" w:rsidP="00CB6308">
      <w:pPr>
        <w:widowControl/>
        <w:kinsoku w:val="0"/>
        <w:spacing w:line="320" w:lineRule="exact"/>
        <w:ind w:leftChars="-181" w:left="93" w:rightChars="-258" w:right="-878" w:hangingChars="246" w:hanging="709"/>
        <w:jc w:val="right"/>
        <w:rPr>
          <w:b/>
          <w:sz w:val="24"/>
          <w:szCs w:val="24"/>
        </w:rPr>
      </w:pPr>
      <w:r>
        <w:rPr>
          <w:rFonts w:ascii="Times New Roman"/>
          <w:spacing w:val="-6"/>
          <w:sz w:val="28"/>
          <w:szCs w:val="28"/>
        </w:rPr>
        <w:t xml:space="preserve">  </w:t>
      </w:r>
      <w:r>
        <w:rPr>
          <w:rFonts w:ascii="Times New Roman"/>
          <w:spacing w:val="-6"/>
        </w:rPr>
        <w:t xml:space="preserve">                             </w:t>
      </w:r>
      <w:r>
        <w:rPr>
          <w:rFonts w:ascii="Times New Roman"/>
        </w:rPr>
        <w:t xml:space="preserve">    </w:t>
      </w:r>
      <w:r>
        <w:rPr>
          <w:rFonts w:ascii="Times New Roman" w:hint="eastAsia"/>
          <w:sz w:val="24"/>
          <w:szCs w:val="24"/>
        </w:rPr>
        <w:t>單位：元</w:t>
      </w:r>
    </w:p>
    <w:tbl>
      <w:tblPr>
        <w:tblW w:w="15240" w:type="dxa"/>
        <w:tblInd w:w="-6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049"/>
        <w:gridCol w:w="1418"/>
        <w:gridCol w:w="1419"/>
        <w:gridCol w:w="1418"/>
        <w:gridCol w:w="1419"/>
        <w:gridCol w:w="1419"/>
        <w:gridCol w:w="1420"/>
        <w:gridCol w:w="1419"/>
        <w:gridCol w:w="1420"/>
        <w:gridCol w:w="1419"/>
        <w:gridCol w:w="1420"/>
      </w:tblGrid>
      <w:tr w:rsidR="00CB6308" w:rsidTr="00A41303">
        <w:trPr>
          <w:trHeight w:val="140"/>
          <w:tblHeader/>
        </w:trPr>
        <w:tc>
          <w:tcPr>
            <w:tcW w:w="1050" w:type="dxa"/>
            <w:tcBorders>
              <w:top w:val="single" w:sz="8" w:space="0" w:color="auto"/>
              <w:left w:val="single" w:sz="8" w:space="0" w:color="auto"/>
              <w:bottom w:val="single" w:sz="8" w:space="0" w:color="auto"/>
              <w:right w:val="single" w:sz="8" w:space="0" w:color="auto"/>
              <w:tl2br w:val="single" w:sz="8" w:space="0" w:color="auto"/>
            </w:tcBorders>
            <w:shd w:val="clear" w:color="auto" w:fill="FFFFFF"/>
            <w:noWrap/>
            <w:vAlign w:val="center"/>
            <w:hideMark/>
          </w:tcPr>
          <w:p w:rsidR="00CB6308" w:rsidRDefault="00CB6308">
            <w:pPr>
              <w:widowControl/>
              <w:overflowPunct/>
              <w:autoSpaceDE/>
              <w:spacing w:line="300" w:lineRule="exact"/>
              <w:jc w:val="center"/>
              <w:rPr>
                <w:rFonts w:ascii="Times New Roman"/>
                <w:spacing w:val="-12"/>
                <w:kern w:val="0"/>
                <w:sz w:val="25"/>
                <w:szCs w:val="25"/>
              </w:rPr>
            </w:pPr>
            <w:r>
              <w:rPr>
                <w:rFonts w:ascii="Times New Roman"/>
                <w:spacing w:val="-12"/>
                <w:kern w:val="0"/>
                <w:sz w:val="26"/>
                <w:szCs w:val="26"/>
              </w:rPr>
              <w:t xml:space="preserve">  </w:t>
            </w:r>
            <w:r>
              <w:rPr>
                <w:rFonts w:ascii="Times New Roman"/>
                <w:spacing w:val="-12"/>
                <w:kern w:val="0"/>
                <w:sz w:val="25"/>
                <w:szCs w:val="25"/>
              </w:rPr>
              <w:t xml:space="preserve">  </w:t>
            </w:r>
            <w:r>
              <w:rPr>
                <w:rFonts w:ascii="Times New Roman" w:hint="eastAsia"/>
                <w:spacing w:val="-12"/>
                <w:kern w:val="0"/>
                <w:sz w:val="25"/>
                <w:szCs w:val="25"/>
              </w:rPr>
              <w:t>年別</w:t>
            </w:r>
          </w:p>
          <w:p w:rsidR="00CB6308" w:rsidRDefault="00CB6308">
            <w:pPr>
              <w:widowControl/>
              <w:overflowPunct/>
              <w:autoSpaceDE/>
              <w:spacing w:line="300" w:lineRule="exact"/>
              <w:ind w:leftChars="-4" w:left="-2" w:hangingChars="5" w:hanging="12"/>
              <w:jc w:val="left"/>
              <w:rPr>
                <w:rFonts w:ascii="Times New Roman"/>
                <w:spacing w:val="-12"/>
                <w:kern w:val="0"/>
                <w:sz w:val="26"/>
                <w:szCs w:val="26"/>
              </w:rPr>
            </w:pPr>
            <w:r>
              <w:rPr>
                <w:rFonts w:ascii="Times New Roman" w:hint="eastAsia"/>
                <w:spacing w:val="-12"/>
                <w:kern w:val="0"/>
                <w:sz w:val="25"/>
                <w:szCs w:val="25"/>
              </w:rPr>
              <w:t>縣市別</w:t>
            </w:r>
          </w:p>
        </w:tc>
        <w:tc>
          <w:tcPr>
            <w:tcW w:w="1419"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CB6308" w:rsidRDefault="00CB6308">
            <w:pPr>
              <w:kinsoku w:val="0"/>
              <w:spacing w:line="300" w:lineRule="exact"/>
              <w:jc w:val="center"/>
              <w:rPr>
                <w:sz w:val="26"/>
                <w:szCs w:val="26"/>
              </w:rPr>
            </w:pPr>
            <w:r>
              <w:rPr>
                <w:rFonts w:ascii="Times New Roman"/>
                <w:kern w:val="0"/>
                <w:sz w:val="26"/>
                <w:szCs w:val="26"/>
              </w:rPr>
              <w:t>96</w:t>
            </w:r>
          </w:p>
        </w:tc>
        <w:tc>
          <w:tcPr>
            <w:tcW w:w="142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CB6308" w:rsidRDefault="00CB6308">
            <w:pPr>
              <w:kinsoku w:val="0"/>
              <w:spacing w:line="300" w:lineRule="exact"/>
              <w:jc w:val="center"/>
              <w:rPr>
                <w:sz w:val="26"/>
                <w:szCs w:val="26"/>
              </w:rPr>
            </w:pPr>
            <w:r>
              <w:rPr>
                <w:rFonts w:ascii="Times New Roman"/>
                <w:kern w:val="0"/>
                <w:sz w:val="26"/>
                <w:szCs w:val="26"/>
              </w:rPr>
              <w:t>97</w:t>
            </w:r>
          </w:p>
        </w:tc>
        <w:tc>
          <w:tcPr>
            <w:tcW w:w="1419"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CB6308" w:rsidRDefault="00CB6308">
            <w:pPr>
              <w:kinsoku w:val="0"/>
              <w:spacing w:line="300" w:lineRule="exact"/>
              <w:jc w:val="center"/>
              <w:rPr>
                <w:sz w:val="26"/>
                <w:szCs w:val="26"/>
              </w:rPr>
            </w:pPr>
            <w:r>
              <w:rPr>
                <w:rFonts w:ascii="Times New Roman"/>
                <w:kern w:val="0"/>
                <w:sz w:val="26"/>
                <w:szCs w:val="26"/>
              </w:rPr>
              <w:t>98</w:t>
            </w:r>
          </w:p>
        </w:tc>
        <w:tc>
          <w:tcPr>
            <w:tcW w:w="1420" w:type="dxa"/>
            <w:tcBorders>
              <w:top w:val="single" w:sz="8" w:space="0" w:color="auto"/>
              <w:left w:val="single" w:sz="8" w:space="0" w:color="auto"/>
              <w:bottom w:val="single" w:sz="8" w:space="0" w:color="auto"/>
              <w:right w:val="single" w:sz="12" w:space="0" w:color="auto"/>
            </w:tcBorders>
            <w:shd w:val="clear" w:color="auto" w:fill="FFFFFF"/>
            <w:vAlign w:val="center"/>
            <w:hideMark/>
          </w:tcPr>
          <w:p w:rsidR="00CB6308" w:rsidRDefault="00CB6308">
            <w:pPr>
              <w:kinsoku w:val="0"/>
              <w:spacing w:line="300" w:lineRule="exact"/>
              <w:jc w:val="center"/>
              <w:rPr>
                <w:sz w:val="26"/>
                <w:szCs w:val="26"/>
              </w:rPr>
            </w:pPr>
            <w:r>
              <w:rPr>
                <w:rFonts w:ascii="Times New Roman"/>
                <w:kern w:val="0"/>
                <w:sz w:val="26"/>
                <w:szCs w:val="26"/>
              </w:rPr>
              <w:t>99</w:t>
            </w:r>
          </w:p>
        </w:tc>
        <w:tc>
          <w:tcPr>
            <w:tcW w:w="1419" w:type="dxa"/>
            <w:tcBorders>
              <w:top w:val="single" w:sz="12" w:space="0" w:color="auto"/>
              <w:left w:val="single" w:sz="12" w:space="0" w:color="auto"/>
              <w:bottom w:val="single" w:sz="8" w:space="0" w:color="auto"/>
              <w:right w:val="single" w:sz="8" w:space="0" w:color="auto"/>
            </w:tcBorders>
            <w:shd w:val="clear" w:color="auto" w:fill="FFFFFF"/>
            <w:vAlign w:val="center"/>
            <w:hideMark/>
          </w:tcPr>
          <w:p w:rsidR="00CB6308" w:rsidRDefault="00CB6308">
            <w:pPr>
              <w:kinsoku w:val="0"/>
              <w:spacing w:line="300" w:lineRule="exact"/>
              <w:jc w:val="center"/>
              <w:rPr>
                <w:sz w:val="26"/>
                <w:szCs w:val="26"/>
              </w:rPr>
            </w:pPr>
            <w:r>
              <w:rPr>
                <w:rFonts w:ascii="Times New Roman"/>
                <w:kern w:val="0"/>
                <w:sz w:val="26"/>
                <w:szCs w:val="26"/>
              </w:rPr>
              <w:t>100</w:t>
            </w:r>
          </w:p>
        </w:tc>
        <w:tc>
          <w:tcPr>
            <w:tcW w:w="1420" w:type="dxa"/>
            <w:tcBorders>
              <w:top w:val="single" w:sz="12" w:space="0" w:color="auto"/>
              <w:left w:val="single" w:sz="8" w:space="0" w:color="auto"/>
              <w:bottom w:val="single" w:sz="8" w:space="0" w:color="auto"/>
              <w:right w:val="single" w:sz="8" w:space="0" w:color="auto"/>
            </w:tcBorders>
            <w:shd w:val="clear" w:color="auto" w:fill="FFFFFF"/>
            <w:vAlign w:val="center"/>
            <w:hideMark/>
          </w:tcPr>
          <w:p w:rsidR="00CB6308" w:rsidRDefault="00CB6308">
            <w:pPr>
              <w:kinsoku w:val="0"/>
              <w:spacing w:line="300" w:lineRule="exact"/>
              <w:jc w:val="center"/>
              <w:rPr>
                <w:sz w:val="26"/>
                <w:szCs w:val="26"/>
              </w:rPr>
            </w:pPr>
            <w:r>
              <w:rPr>
                <w:rFonts w:ascii="Times New Roman"/>
                <w:kern w:val="0"/>
                <w:sz w:val="26"/>
                <w:szCs w:val="26"/>
              </w:rPr>
              <w:t>101</w:t>
            </w:r>
          </w:p>
        </w:tc>
        <w:tc>
          <w:tcPr>
            <w:tcW w:w="1419" w:type="dxa"/>
            <w:tcBorders>
              <w:top w:val="single" w:sz="12" w:space="0" w:color="auto"/>
              <w:left w:val="single" w:sz="8" w:space="0" w:color="auto"/>
              <w:bottom w:val="single" w:sz="8" w:space="0" w:color="auto"/>
              <w:right w:val="single" w:sz="8" w:space="0" w:color="auto"/>
            </w:tcBorders>
            <w:shd w:val="clear" w:color="auto" w:fill="FFFFFF"/>
            <w:vAlign w:val="center"/>
            <w:hideMark/>
          </w:tcPr>
          <w:p w:rsidR="00CB6308" w:rsidRDefault="00CB6308">
            <w:pPr>
              <w:kinsoku w:val="0"/>
              <w:spacing w:line="300" w:lineRule="exact"/>
              <w:jc w:val="center"/>
              <w:rPr>
                <w:sz w:val="26"/>
                <w:szCs w:val="26"/>
              </w:rPr>
            </w:pPr>
            <w:r>
              <w:rPr>
                <w:rFonts w:ascii="Times New Roman"/>
                <w:kern w:val="0"/>
                <w:sz w:val="26"/>
                <w:szCs w:val="26"/>
              </w:rPr>
              <w:t>102</w:t>
            </w:r>
          </w:p>
        </w:tc>
        <w:tc>
          <w:tcPr>
            <w:tcW w:w="1420" w:type="dxa"/>
            <w:tcBorders>
              <w:top w:val="single" w:sz="12" w:space="0" w:color="auto"/>
              <w:left w:val="single" w:sz="8" w:space="0" w:color="auto"/>
              <w:bottom w:val="single" w:sz="8" w:space="0" w:color="auto"/>
              <w:right w:val="single" w:sz="8" w:space="0" w:color="auto"/>
            </w:tcBorders>
            <w:shd w:val="clear" w:color="auto" w:fill="FFFFFF"/>
            <w:vAlign w:val="center"/>
            <w:hideMark/>
          </w:tcPr>
          <w:p w:rsidR="00CB6308" w:rsidRDefault="00CB6308">
            <w:pPr>
              <w:kinsoku w:val="0"/>
              <w:spacing w:line="300" w:lineRule="exact"/>
              <w:jc w:val="center"/>
              <w:rPr>
                <w:sz w:val="26"/>
                <w:szCs w:val="26"/>
              </w:rPr>
            </w:pPr>
            <w:r>
              <w:rPr>
                <w:rFonts w:ascii="Times New Roman"/>
                <w:kern w:val="0"/>
                <w:sz w:val="26"/>
                <w:szCs w:val="26"/>
              </w:rPr>
              <w:t>103</w:t>
            </w:r>
          </w:p>
        </w:tc>
        <w:tc>
          <w:tcPr>
            <w:tcW w:w="1419" w:type="dxa"/>
            <w:tcBorders>
              <w:top w:val="single" w:sz="12" w:space="0" w:color="auto"/>
              <w:left w:val="single" w:sz="8" w:space="0" w:color="auto"/>
              <w:bottom w:val="single" w:sz="8" w:space="0" w:color="auto"/>
              <w:right w:val="single" w:sz="8" w:space="0" w:color="auto"/>
            </w:tcBorders>
            <w:shd w:val="clear" w:color="auto" w:fill="FFFFFF"/>
            <w:noWrap/>
            <w:vAlign w:val="center"/>
            <w:hideMark/>
          </w:tcPr>
          <w:p w:rsidR="00CB6308" w:rsidRDefault="00CB6308">
            <w:pPr>
              <w:widowControl/>
              <w:kinsoku w:val="0"/>
              <w:spacing w:line="300" w:lineRule="exact"/>
              <w:jc w:val="center"/>
              <w:rPr>
                <w:rFonts w:ascii="Times New Roman"/>
                <w:kern w:val="0"/>
                <w:sz w:val="26"/>
                <w:szCs w:val="26"/>
              </w:rPr>
            </w:pPr>
            <w:r>
              <w:rPr>
                <w:rFonts w:ascii="Times New Roman"/>
                <w:kern w:val="0"/>
                <w:sz w:val="26"/>
                <w:szCs w:val="26"/>
              </w:rPr>
              <w:t>104</w:t>
            </w:r>
          </w:p>
        </w:tc>
        <w:tc>
          <w:tcPr>
            <w:tcW w:w="1420" w:type="dxa"/>
            <w:tcBorders>
              <w:top w:val="single" w:sz="12" w:space="0" w:color="auto"/>
              <w:left w:val="single" w:sz="8" w:space="0" w:color="auto"/>
              <w:bottom w:val="single" w:sz="8" w:space="0" w:color="auto"/>
              <w:right w:val="single" w:sz="12" w:space="0" w:color="auto"/>
            </w:tcBorders>
            <w:shd w:val="clear" w:color="auto" w:fill="FFFFFF"/>
            <w:vAlign w:val="center"/>
            <w:hideMark/>
          </w:tcPr>
          <w:p w:rsidR="00CB6308" w:rsidRDefault="00CB6308">
            <w:pPr>
              <w:widowControl/>
              <w:kinsoku w:val="0"/>
              <w:spacing w:line="300" w:lineRule="exact"/>
              <w:jc w:val="center"/>
              <w:rPr>
                <w:rFonts w:ascii="Times New Roman"/>
                <w:kern w:val="0"/>
                <w:sz w:val="26"/>
                <w:szCs w:val="26"/>
              </w:rPr>
            </w:pPr>
            <w:r>
              <w:rPr>
                <w:rFonts w:ascii="Times New Roman"/>
                <w:kern w:val="0"/>
                <w:sz w:val="26"/>
                <w:szCs w:val="26"/>
              </w:rPr>
              <w:t>105</w:t>
            </w:r>
          </w:p>
        </w:tc>
      </w:tr>
      <w:tr w:rsidR="00CB6308" w:rsidTr="00A41303">
        <w:trPr>
          <w:trHeight w:val="53"/>
        </w:trPr>
        <w:tc>
          <w:tcPr>
            <w:tcW w:w="1050"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spacing w:val="-12"/>
                <w:kern w:val="0"/>
                <w:sz w:val="26"/>
                <w:szCs w:val="26"/>
              </w:rPr>
            </w:pPr>
            <w:r>
              <w:rPr>
                <w:rFonts w:ascii="Times New Roman" w:hint="eastAsia"/>
                <w:color w:val="000000"/>
                <w:spacing w:val="-12"/>
                <w:kern w:val="0"/>
                <w:sz w:val="26"/>
                <w:szCs w:val="26"/>
              </w:rPr>
              <w:t>臺北市</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1,588,152,028 </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1,442,146,152</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682,285,000</w:t>
            </w:r>
          </w:p>
        </w:tc>
        <w:tc>
          <w:tcPr>
            <w:tcW w:w="1420" w:type="dxa"/>
            <w:tcBorders>
              <w:top w:val="single" w:sz="8" w:space="0" w:color="auto"/>
              <w:left w:val="single" w:sz="8" w:space="0" w:color="auto"/>
              <w:bottom w:val="single" w:sz="8" w:space="0" w:color="auto"/>
              <w:right w:val="single" w:sz="12"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1,054,091,789</w:t>
            </w:r>
          </w:p>
        </w:tc>
        <w:tc>
          <w:tcPr>
            <w:tcW w:w="1419" w:type="dxa"/>
            <w:tcBorders>
              <w:top w:val="single" w:sz="8" w:space="0" w:color="auto"/>
              <w:left w:val="single" w:sz="12"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991,292,892 </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901,294,447</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1,656,316,255</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2,267,320,719</w:t>
            </w:r>
          </w:p>
        </w:tc>
        <w:tc>
          <w:tcPr>
            <w:tcW w:w="14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2,514,683,046 </w:t>
            </w:r>
          </w:p>
        </w:tc>
        <w:tc>
          <w:tcPr>
            <w:tcW w:w="1420"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2,544,419,449 </w:t>
            </w:r>
          </w:p>
        </w:tc>
      </w:tr>
      <w:tr w:rsidR="00CB6308" w:rsidTr="00A41303">
        <w:trPr>
          <w:trHeight w:val="53"/>
        </w:trPr>
        <w:tc>
          <w:tcPr>
            <w:tcW w:w="1050"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spacing w:val="-12"/>
                <w:kern w:val="0"/>
                <w:sz w:val="26"/>
                <w:szCs w:val="26"/>
              </w:rPr>
            </w:pPr>
            <w:r>
              <w:rPr>
                <w:rFonts w:ascii="Times New Roman" w:hint="eastAsia"/>
                <w:color w:val="000000"/>
                <w:spacing w:val="-12"/>
                <w:kern w:val="0"/>
                <w:sz w:val="26"/>
                <w:szCs w:val="26"/>
              </w:rPr>
              <w:t>新北市</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1,536,388,687</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672,811,678</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1,786,312,391</w:t>
            </w:r>
          </w:p>
        </w:tc>
        <w:tc>
          <w:tcPr>
            <w:tcW w:w="1420" w:type="dxa"/>
            <w:tcBorders>
              <w:top w:val="single" w:sz="8" w:space="0" w:color="auto"/>
              <w:left w:val="single" w:sz="8" w:space="0" w:color="auto"/>
              <w:bottom w:val="single" w:sz="8" w:space="0" w:color="auto"/>
              <w:right w:val="single" w:sz="12"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1,827,595,941</w:t>
            </w:r>
          </w:p>
        </w:tc>
        <w:tc>
          <w:tcPr>
            <w:tcW w:w="1419" w:type="dxa"/>
            <w:tcBorders>
              <w:top w:val="single" w:sz="8" w:space="0" w:color="auto"/>
              <w:left w:val="single" w:sz="12"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1,808,148,258</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1,961,377,309</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2,017,705,170</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2,410,155,352</w:t>
            </w:r>
          </w:p>
        </w:tc>
        <w:tc>
          <w:tcPr>
            <w:tcW w:w="14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2,255,622,806 </w:t>
            </w:r>
          </w:p>
        </w:tc>
        <w:tc>
          <w:tcPr>
            <w:tcW w:w="1420"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1,685,210,938 </w:t>
            </w:r>
          </w:p>
        </w:tc>
      </w:tr>
      <w:tr w:rsidR="00CB6308" w:rsidTr="00A41303">
        <w:trPr>
          <w:trHeight w:val="53"/>
        </w:trPr>
        <w:tc>
          <w:tcPr>
            <w:tcW w:w="1050"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spacing w:val="-12"/>
                <w:kern w:val="0"/>
                <w:sz w:val="26"/>
                <w:szCs w:val="26"/>
              </w:rPr>
            </w:pPr>
            <w:r>
              <w:rPr>
                <w:rFonts w:ascii="Times New Roman" w:hint="eastAsia"/>
                <w:color w:val="000000"/>
                <w:spacing w:val="-12"/>
                <w:kern w:val="0"/>
                <w:sz w:val="26"/>
                <w:szCs w:val="26"/>
              </w:rPr>
              <w:t>臺中市</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1,360,034,406</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799,020,356</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1,022,112,342</w:t>
            </w:r>
          </w:p>
        </w:tc>
        <w:tc>
          <w:tcPr>
            <w:tcW w:w="1420" w:type="dxa"/>
            <w:tcBorders>
              <w:top w:val="single" w:sz="8" w:space="0" w:color="auto"/>
              <w:left w:val="single" w:sz="8" w:space="0" w:color="auto"/>
              <w:bottom w:val="single" w:sz="8" w:space="0" w:color="auto"/>
              <w:right w:val="single" w:sz="12"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1,095,466,800</w:t>
            </w:r>
          </w:p>
        </w:tc>
        <w:tc>
          <w:tcPr>
            <w:tcW w:w="1419" w:type="dxa"/>
            <w:tcBorders>
              <w:top w:val="single" w:sz="8" w:space="0" w:color="auto"/>
              <w:left w:val="single" w:sz="12"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802,763,847</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1,027,395,441</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1,498,152,783</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1,984,679,680 </w:t>
            </w:r>
          </w:p>
        </w:tc>
        <w:tc>
          <w:tcPr>
            <w:tcW w:w="14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2,159,585,420 </w:t>
            </w:r>
          </w:p>
        </w:tc>
        <w:tc>
          <w:tcPr>
            <w:tcW w:w="1420"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1,787,344,305 </w:t>
            </w:r>
          </w:p>
        </w:tc>
      </w:tr>
      <w:tr w:rsidR="00CB6308" w:rsidTr="00A41303">
        <w:trPr>
          <w:trHeight w:val="53"/>
        </w:trPr>
        <w:tc>
          <w:tcPr>
            <w:tcW w:w="1050"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spacing w:val="-12"/>
                <w:kern w:val="0"/>
                <w:sz w:val="26"/>
                <w:szCs w:val="26"/>
              </w:rPr>
            </w:pPr>
            <w:r>
              <w:rPr>
                <w:rFonts w:ascii="Times New Roman" w:hint="eastAsia"/>
                <w:color w:val="000000"/>
                <w:spacing w:val="-12"/>
                <w:kern w:val="0"/>
                <w:sz w:val="26"/>
                <w:szCs w:val="26"/>
              </w:rPr>
              <w:t>臺南市</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jc w:val="right"/>
              <w:rPr>
                <w:rFonts w:ascii="Times New Roman" w:eastAsia="新細明體"/>
                <w:spacing w:val="-14"/>
                <w:kern w:val="0"/>
                <w:sz w:val="22"/>
                <w:szCs w:val="22"/>
              </w:rPr>
            </w:pPr>
            <w:r>
              <w:rPr>
                <w:rFonts w:ascii="Times New Roman" w:eastAsia="新細明體"/>
                <w:spacing w:val="-14"/>
                <w:kern w:val="0"/>
                <w:sz w:val="22"/>
                <w:szCs w:val="22"/>
              </w:rPr>
              <w:t>718,680,329</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751,812,606</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737,483,760</w:t>
            </w:r>
          </w:p>
        </w:tc>
        <w:tc>
          <w:tcPr>
            <w:tcW w:w="1420" w:type="dxa"/>
            <w:tcBorders>
              <w:top w:val="single" w:sz="8" w:space="0" w:color="auto"/>
              <w:left w:val="single" w:sz="8" w:space="0" w:color="auto"/>
              <w:bottom w:val="single" w:sz="8" w:space="0" w:color="auto"/>
              <w:right w:val="single" w:sz="12"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776,553,261</w:t>
            </w:r>
          </w:p>
        </w:tc>
        <w:tc>
          <w:tcPr>
            <w:tcW w:w="1419" w:type="dxa"/>
            <w:tcBorders>
              <w:top w:val="single" w:sz="8" w:space="0" w:color="auto"/>
              <w:left w:val="single" w:sz="12"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441,571,437</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569,524,296</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972,347,734</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1,058,459,361 </w:t>
            </w:r>
          </w:p>
        </w:tc>
        <w:tc>
          <w:tcPr>
            <w:tcW w:w="14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1,311,607,122 </w:t>
            </w:r>
          </w:p>
        </w:tc>
        <w:tc>
          <w:tcPr>
            <w:tcW w:w="1420"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1,225,397,573 </w:t>
            </w:r>
          </w:p>
        </w:tc>
      </w:tr>
      <w:tr w:rsidR="00CB6308" w:rsidTr="00A41303">
        <w:trPr>
          <w:trHeight w:val="53"/>
        </w:trPr>
        <w:tc>
          <w:tcPr>
            <w:tcW w:w="1050"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spacing w:val="-12"/>
                <w:kern w:val="0"/>
                <w:sz w:val="26"/>
                <w:szCs w:val="26"/>
              </w:rPr>
            </w:pPr>
            <w:r>
              <w:rPr>
                <w:rFonts w:ascii="Times New Roman" w:hint="eastAsia"/>
                <w:color w:val="000000"/>
                <w:spacing w:val="-12"/>
                <w:kern w:val="0"/>
                <w:sz w:val="26"/>
                <w:szCs w:val="26"/>
              </w:rPr>
              <w:t>高雄市</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1,032,189,578</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953,397,208</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1,068,962,619</w:t>
            </w:r>
          </w:p>
        </w:tc>
        <w:tc>
          <w:tcPr>
            <w:tcW w:w="1420" w:type="dxa"/>
            <w:tcBorders>
              <w:top w:val="single" w:sz="8" w:space="0" w:color="auto"/>
              <w:left w:val="single" w:sz="8" w:space="0" w:color="auto"/>
              <w:bottom w:val="single" w:sz="8" w:space="0" w:color="auto"/>
              <w:right w:val="single" w:sz="12"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1,111,045,032</w:t>
            </w:r>
          </w:p>
        </w:tc>
        <w:tc>
          <w:tcPr>
            <w:tcW w:w="1419" w:type="dxa"/>
            <w:tcBorders>
              <w:top w:val="single" w:sz="8" w:space="0" w:color="auto"/>
              <w:left w:val="single" w:sz="12"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850,571,105</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1,090,172,488</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1,333,846,583</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1,784,300,133 </w:t>
            </w:r>
          </w:p>
        </w:tc>
        <w:tc>
          <w:tcPr>
            <w:tcW w:w="14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1,815,385,419 </w:t>
            </w:r>
          </w:p>
        </w:tc>
        <w:tc>
          <w:tcPr>
            <w:tcW w:w="1420"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1,813,897,511 </w:t>
            </w:r>
          </w:p>
        </w:tc>
      </w:tr>
      <w:tr w:rsidR="00CB6308" w:rsidTr="00A41303">
        <w:trPr>
          <w:trHeight w:val="53"/>
        </w:trPr>
        <w:tc>
          <w:tcPr>
            <w:tcW w:w="1050"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spacing w:val="-12"/>
                <w:kern w:val="0"/>
                <w:sz w:val="26"/>
                <w:szCs w:val="26"/>
              </w:rPr>
            </w:pPr>
            <w:r>
              <w:rPr>
                <w:rFonts w:ascii="Times New Roman" w:hint="eastAsia"/>
                <w:color w:val="000000"/>
                <w:spacing w:val="-12"/>
                <w:kern w:val="0"/>
                <w:sz w:val="26"/>
                <w:szCs w:val="26"/>
              </w:rPr>
              <w:t>桃園市</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841,077,542</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351,292,752</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843,836,057</w:t>
            </w:r>
          </w:p>
        </w:tc>
        <w:tc>
          <w:tcPr>
            <w:tcW w:w="1420" w:type="dxa"/>
            <w:tcBorders>
              <w:top w:val="single" w:sz="8" w:space="0" w:color="auto"/>
              <w:left w:val="single" w:sz="8" w:space="0" w:color="auto"/>
              <w:bottom w:val="single" w:sz="8" w:space="0" w:color="auto"/>
              <w:right w:val="single" w:sz="12"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901,570,868</w:t>
            </w:r>
          </w:p>
        </w:tc>
        <w:tc>
          <w:tcPr>
            <w:tcW w:w="1419" w:type="dxa"/>
            <w:tcBorders>
              <w:top w:val="single" w:sz="8" w:space="0" w:color="auto"/>
              <w:left w:val="single" w:sz="12"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993,584,903</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1,269,168,682</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1,261,360,366</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1,337,220,428</w:t>
            </w:r>
          </w:p>
        </w:tc>
        <w:tc>
          <w:tcPr>
            <w:tcW w:w="14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1,485,902,938 </w:t>
            </w:r>
          </w:p>
        </w:tc>
        <w:tc>
          <w:tcPr>
            <w:tcW w:w="1420"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1,511,958,692 </w:t>
            </w:r>
          </w:p>
        </w:tc>
      </w:tr>
      <w:tr w:rsidR="00CB6308" w:rsidTr="00A41303">
        <w:trPr>
          <w:trHeight w:val="53"/>
        </w:trPr>
        <w:tc>
          <w:tcPr>
            <w:tcW w:w="1050"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spacing w:val="-12"/>
                <w:kern w:val="0"/>
                <w:sz w:val="26"/>
                <w:szCs w:val="26"/>
              </w:rPr>
            </w:pPr>
            <w:r>
              <w:rPr>
                <w:rFonts w:ascii="Times New Roman" w:hint="eastAsia"/>
                <w:color w:val="000000"/>
                <w:spacing w:val="-12"/>
                <w:kern w:val="0"/>
                <w:sz w:val="26"/>
                <w:szCs w:val="26"/>
              </w:rPr>
              <w:t>宜蘭縣</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201,876,219</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137,944,519</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220,543,291</w:t>
            </w:r>
          </w:p>
        </w:tc>
        <w:tc>
          <w:tcPr>
            <w:tcW w:w="1420" w:type="dxa"/>
            <w:tcBorders>
              <w:top w:val="single" w:sz="8" w:space="0" w:color="auto"/>
              <w:left w:val="single" w:sz="8" w:space="0" w:color="auto"/>
              <w:bottom w:val="single" w:sz="8" w:space="0" w:color="auto"/>
              <w:right w:val="single" w:sz="12"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188,228,720</w:t>
            </w:r>
          </w:p>
        </w:tc>
        <w:tc>
          <w:tcPr>
            <w:tcW w:w="1419" w:type="dxa"/>
            <w:tcBorders>
              <w:top w:val="single" w:sz="8" w:space="0" w:color="auto"/>
              <w:left w:val="single" w:sz="12"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304,169,990</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259,423,795</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263,653,286</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356,700,078</w:t>
            </w:r>
          </w:p>
        </w:tc>
        <w:tc>
          <w:tcPr>
            <w:tcW w:w="14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386,012,900 </w:t>
            </w:r>
          </w:p>
        </w:tc>
        <w:tc>
          <w:tcPr>
            <w:tcW w:w="1420"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326,203,067 </w:t>
            </w:r>
          </w:p>
        </w:tc>
      </w:tr>
      <w:tr w:rsidR="00CB6308" w:rsidTr="00A41303">
        <w:trPr>
          <w:trHeight w:val="53"/>
        </w:trPr>
        <w:tc>
          <w:tcPr>
            <w:tcW w:w="1050"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spacing w:val="-12"/>
                <w:kern w:val="0"/>
                <w:sz w:val="26"/>
                <w:szCs w:val="26"/>
              </w:rPr>
            </w:pPr>
            <w:r>
              <w:rPr>
                <w:rFonts w:ascii="Times New Roman" w:hint="eastAsia"/>
                <w:color w:val="000000"/>
                <w:spacing w:val="-12"/>
                <w:kern w:val="0"/>
                <w:sz w:val="26"/>
                <w:szCs w:val="26"/>
              </w:rPr>
              <w:t>新竹縣</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243,641,264</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149,936,070</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269,495,848</w:t>
            </w:r>
          </w:p>
        </w:tc>
        <w:tc>
          <w:tcPr>
            <w:tcW w:w="1420" w:type="dxa"/>
            <w:tcBorders>
              <w:top w:val="single" w:sz="8" w:space="0" w:color="auto"/>
              <w:left w:val="single" w:sz="8" w:space="0" w:color="auto"/>
              <w:bottom w:val="single" w:sz="8" w:space="0" w:color="auto"/>
              <w:right w:val="single" w:sz="12"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275,352,000</w:t>
            </w:r>
          </w:p>
        </w:tc>
        <w:tc>
          <w:tcPr>
            <w:tcW w:w="1419" w:type="dxa"/>
            <w:tcBorders>
              <w:top w:val="single" w:sz="8" w:space="0" w:color="auto"/>
              <w:left w:val="single" w:sz="12"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217,701,483</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209,161,954</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235,253,030</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321,702,397 </w:t>
            </w:r>
          </w:p>
        </w:tc>
        <w:tc>
          <w:tcPr>
            <w:tcW w:w="14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351,203,703 </w:t>
            </w:r>
          </w:p>
        </w:tc>
        <w:tc>
          <w:tcPr>
            <w:tcW w:w="1420"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363,281,126 </w:t>
            </w:r>
          </w:p>
        </w:tc>
      </w:tr>
      <w:tr w:rsidR="00CB6308" w:rsidTr="00A41303">
        <w:trPr>
          <w:trHeight w:val="53"/>
        </w:trPr>
        <w:tc>
          <w:tcPr>
            <w:tcW w:w="1050"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spacing w:val="-12"/>
                <w:kern w:val="0"/>
                <w:sz w:val="26"/>
                <w:szCs w:val="26"/>
              </w:rPr>
            </w:pPr>
            <w:r>
              <w:rPr>
                <w:rFonts w:ascii="Times New Roman" w:hint="eastAsia"/>
                <w:color w:val="000000"/>
                <w:spacing w:val="-12"/>
                <w:kern w:val="0"/>
                <w:sz w:val="26"/>
                <w:szCs w:val="26"/>
              </w:rPr>
              <w:t>苗栗縣</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341,217,909</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255,217,538</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281,529,651</w:t>
            </w:r>
          </w:p>
        </w:tc>
        <w:tc>
          <w:tcPr>
            <w:tcW w:w="1420" w:type="dxa"/>
            <w:tcBorders>
              <w:top w:val="single" w:sz="8" w:space="0" w:color="auto"/>
              <w:left w:val="single" w:sz="8" w:space="0" w:color="auto"/>
              <w:bottom w:val="single" w:sz="8" w:space="0" w:color="auto"/>
              <w:right w:val="single" w:sz="12"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155,522,536</w:t>
            </w:r>
          </w:p>
        </w:tc>
        <w:tc>
          <w:tcPr>
            <w:tcW w:w="1419" w:type="dxa"/>
            <w:tcBorders>
              <w:top w:val="single" w:sz="8" w:space="0" w:color="auto"/>
              <w:left w:val="single" w:sz="12"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156,413,322</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199,201,213</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342,392,419</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411,354,620 </w:t>
            </w:r>
          </w:p>
        </w:tc>
        <w:tc>
          <w:tcPr>
            <w:tcW w:w="14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411,377,228 </w:t>
            </w:r>
          </w:p>
        </w:tc>
        <w:tc>
          <w:tcPr>
            <w:tcW w:w="1420"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591,115,601 </w:t>
            </w:r>
          </w:p>
        </w:tc>
      </w:tr>
      <w:tr w:rsidR="00CB6308" w:rsidTr="00A41303">
        <w:trPr>
          <w:trHeight w:val="53"/>
        </w:trPr>
        <w:tc>
          <w:tcPr>
            <w:tcW w:w="1050"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spacing w:val="-12"/>
                <w:kern w:val="0"/>
                <w:sz w:val="26"/>
                <w:szCs w:val="26"/>
              </w:rPr>
            </w:pPr>
            <w:r>
              <w:rPr>
                <w:rFonts w:ascii="Times New Roman" w:hint="eastAsia"/>
                <w:color w:val="000000"/>
                <w:spacing w:val="-12"/>
                <w:kern w:val="0"/>
                <w:sz w:val="26"/>
                <w:szCs w:val="26"/>
              </w:rPr>
              <w:t>彰化縣</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323,392,935</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362,510,174</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508,207,417</w:t>
            </w:r>
          </w:p>
        </w:tc>
        <w:tc>
          <w:tcPr>
            <w:tcW w:w="1420" w:type="dxa"/>
            <w:tcBorders>
              <w:top w:val="single" w:sz="8" w:space="0" w:color="auto"/>
              <w:left w:val="single" w:sz="8" w:space="0" w:color="auto"/>
              <w:bottom w:val="single" w:sz="8" w:space="0" w:color="auto"/>
              <w:right w:val="single" w:sz="12"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561,780,400</w:t>
            </w:r>
          </w:p>
        </w:tc>
        <w:tc>
          <w:tcPr>
            <w:tcW w:w="1419" w:type="dxa"/>
            <w:tcBorders>
              <w:top w:val="single" w:sz="8" w:space="0" w:color="auto"/>
              <w:left w:val="single" w:sz="12"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502,097,304</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500,391,740</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652,539,278</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728,704,345 </w:t>
            </w:r>
          </w:p>
        </w:tc>
        <w:tc>
          <w:tcPr>
            <w:tcW w:w="14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548,283,530 </w:t>
            </w:r>
          </w:p>
        </w:tc>
        <w:tc>
          <w:tcPr>
            <w:tcW w:w="1420"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637,816,339 </w:t>
            </w:r>
          </w:p>
        </w:tc>
      </w:tr>
      <w:tr w:rsidR="00CB6308" w:rsidTr="00A41303">
        <w:trPr>
          <w:trHeight w:val="53"/>
        </w:trPr>
        <w:tc>
          <w:tcPr>
            <w:tcW w:w="1050"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spacing w:val="-12"/>
                <w:kern w:val="0"/>
                <w:sz w:val="26"/>
                <w:szCs w:val="26"/>
              </w:rPr>
            </w:pPr>
            <w:r>
              <w:rPr>
                <w:rFonts w:ascii="Times New Roman" w:hint="eastAsia"/>
                <w:color w:val="000000"/>
                <w:spacing w:val="-12"/>
                <w:kern w:val="0"/>
                <w:sz w:val="26"/>
                <w:szCs w:val="26"/>
              </w:rPr>
              <w:t>南投縣</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227,100,678</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155,861,456</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167,455,103 </w:t>
            </w:r>
          </w:p>
        </w:tc>
        <w:tc>
          <w:tcPr>
            <w:tcW w:w="1420" w:type="dxa"/>
            <w:tcBorders>
              <w:top w:val="single" w:sz="8" w:space="0" w:color="auto"/>
              <w:left w:val="single" w:sz="8" w:space="0" w:color="auto"/>
              <w:bottom w:val="single" w:sz="8" w:space="0" w:color="auto"/>
              <w:right w:val="single" w:sz="12"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206,384,860 </w:t>
            </w:r>
          </w:p>
        </w:tc>
        <w:tc>
          <w:tcPr>
            <w:tcW w:w="1419" w:type="dxa"/>
            <w:tcBorders>
              <w:top w:val="single" w:sz="8" w:space="0" w:color="auto"/>
              <w:left w:val="single" w:sz="12"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228,011,270</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260,096,399</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259,197,227</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288,299,638 </w:t>
            </w:r>
          </w:p>
        </w:tc>
        <w:tc>
          <w:tcPr>
            <w:tcW w:w="14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344,582,301 </w:t>
            </w:r>
          </w:p>
        </w:tc>
        <w:tc>
          <w:tcPr>
            <w:tcW w:w="1420"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429,446,658 </w:t>
            </w:r>
          </w:p>
        </w:tc>
      </w:tr>
      <w:tr w:rsidR="00CB6308" w:rsidTr="00A41303">
        <w:trPr>
          <w:trHeight w:val="313"/>
        </w:trPr>
        <w:tc>
          <w:tcPr>
            <w:tcW w:w="1050"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spacing w:val="-12"/>
                <w:kern w:val="0"/>
                <w:sz w:val="26"/>
                <w:szCs w:val="26"/>
              </w:rPr>
            </w:pPr>
            <w:r>
              <w:rPr>
                <w:rFonts w:ascii="Times New Roman" w:hint="eastAsia"/>
                <w:color w:val="000000"/>
                <w:spacing w:val="-12"/>
                <w:kern w:val="0"/>
                <w:sz w:val="26"/>
                <w:szCs w:val="26"/>
              </w:rPr>
              <w:t>雲林縣</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218,345,317 </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134,563,456 </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207,875,770 </w:t>
            </w:r>
          </w:p>
        </w:tc>
        <w:tc>
          <w:tcPr>
            <w:tcW w:w="1420" w:type="dxa"/>
            <w:tcBorders>
              <w:top w:val="single" w:sz="8" w:space="0" w:color="auto"/>
              <w:left w:val="single" w:sz="8" w:space="0" w:color="auto"/>
              <w:bottom w:val="single" w:sz="8" w:space="0" w:color="auto"/>
              <w:right w:val="single" w:sz="12"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210,132,061 </w:t>
            </w:r>
          </w:p>
        </w:tc>
        <w:tc>
          <w:tcPr>
            <w:tcW w:w="1419" w:type="dxa"/>
            <w:tcBorders>
              <w:top w:val="single" w:sz="8" w:space="0" w:color="auto"/>
              <w:left w:val="single" w:sz="12"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228,262,912 </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263,882,264 </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333,361,766 </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379,154,233 </w:t>
            </w:r>
          </w:p>
        </w:tc>
        <w:tc>
          <w:tcPr>
            <w:tcW w:w="14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505,821,762 </w:t>
            </w:r>
          </w:p>
        </w:tc>
        <w:tc>
          <w:tcPr>
            <w:tcW w:w="1420"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554,568,738 </w:t>
            </w:r>
          </w:p>
        </w:tc>
      </w:tr>
      <w:tr w:rsidR="00CB6308" w:rsidTr="00A41303">
        <w:trPr>
          <w:trHeight w:val="313"/>
        </w:trPr>
        <w:tc>
          <w:tcPr>
            <w:tcW w:w="1050"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spacing w:val="-12"/>
                <w:kern w:val="0"/>
                <w:sz w:val="26"/>
                <w:szCs w:val="26"/>
              </w:rPr>
            </w:pPr>
            <w:r>
              <w:rPr>
                <w:rFonts w:ascii="Times New Roman" w:hint="eastAsia"/>
                <w:color w:val="000000"/>
                <w:spacing w:val="-12"/>
                <w:kern w:val="0"/>
                <w:sz w:val="26"/>
                <w:szCs w:val="26"/>
              </w:rPr>
              <w:t>嘉義縣</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208,556,352 </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155,535,381 </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168,880,596 </w:t>
            </w:r>
          </w:p>
        </w:tc>
        <w:tc>
          <w:tcPr>
            <w:tcW w:w="1420" w:type="dxa"/>
            <w:tcBorders>
              <w:top w:val="single" w:sz="8" w:space="0" w:color="auto"/>
              <w:left w:val="single" w:sz="8" w:space="0" w:color="auto"/>
              <w:bottom w:val="single" w:sz="8" w:space="0" w:color="auto"/>
              <w:right w:val="single" w:sz="12"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262,879,088 </w:t>
            </w:r>
          </w:p>
        </w:tc>
        <w:tc>
          <w:tcPr>
            <w:tcW w:w="1419" w:type="dxa"/>
            <w:tcBorders>
              <w:top w:val="single" w:sz="8" w:space="0" w:color="auto"/>
              <w:left w:val="single" w:sz="12"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215,334,016 </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256,714,475 </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235,561,165 </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346,552,036 </w:t>
            </w:r>
          </w:p>
        </w:tc>
        <w:tc>
          <w:tcPr>
            <w:tcW w:w="14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377,997,757 </w:t>
            </w:r>
          </w:p>
        </w:tc>
        <w:tc>
          <w:tcPr>
            <w:tcW w:w="1420"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358,627,210 </w:t>
            </w:r>
          </w:p>
        </w:tc>
      </w:tr>
      <w:tr w:rsidR="00CB6308" w:rsidTr="00A41303">
        <w:trPr>
          <w:trHeight w:val="313"/>
        </w:trPr>
        <w:tc>
          <w:tcPr>
            <w:tcW w:w="1050"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spacing w:val="-12"/>
                <w:kern w:val="0"/>
                <w:sz w:val="26"/>
                <w:szCs w:val="26"/>
              </w:rPr>
            </w:pPr>
            <w:r>
              <w:rPr>
                <w:rFonts w:ascii="Times New Roman" w:hint="eastAsia"/>
                <w:color w:val="000000"/>
                <w:spacing w:val="-12"/>
                <w:kern w:val="0"/>
                <w:sz w:val="26"/>
                <w:szCs w:val="26"/>
              </w:rPr>
              <w:t>屏東縣</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302,293,342 </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322,369,319 </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282,902,754 </w:t>
            </w:r>
          </w:p>
        </w:tc>
        <w:tc>
          <w:tcPr>
            <w:tcW w:w="1420" w:type="dxa"/>
            <w:tcBorders>
              <w:top w:val="single" w:sz="8" w:space="0" w:color="auto"/>
              <w:left w:val="single" w:sz="8" w:space="0" w:color="auto"/>
              <w:bottom w:val="single" w:sz="8" w:space="0" w:color="auto"/>
              <w:right w:val="single" w:sz="12"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373,231,808 </w:t>
            </w:r>
          </w:p>
        </w:tc>
        <w:tc>
          <w:tcPr>
            <w:tcW w:w="1419" w:type="dxa"/>
            <w:tcBorders>
              <w:top w:val="single" w:sz="8" w:space="0" w:color="auto"/>
              <w:left w:val="single" w:sz="12"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370,701,592 </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340,026,494 </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361,018,248 </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408,555,231 </w:t>
            </w:r>
          </w:p>
        </w:tc>
        <w:tc>
          <w:tcPr>
            <w:tcW w:w="14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486,601,811 </w:t>
            </w:r>
          </w:p>
        </w:tc>
        <w:tc>
          <w:tcPr>
            <w:tcW w:w="1420"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628,838,632 </w:t>
            </w:r>
          </w:p>
        </w:tc>
      </w:tr>
      <w:tr w:rsidR="00CB6308" w:rsidTr="00A41303">
        <w:trPr>
          <w:trHeight w:val="313"/>
        </w:trPr>
        <w:tc>
          <w:tcPr>
            <w:tcW w:w="1050"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spacing w:val="-12"/>
                <w:kern w:val="0"/>
                <w:sz w:val="26"/>
                <w:szCs w:val="26"/>
              </w:rPr>
            </w:pPr>
            <w:r>
              <w:rPr>
                <w:rFonts w:ascii="Times New Roman" w:hint="eastAsia"/>
                <w:color w:val="000000"/>
                <w:spacing w:val="-12"/>
                <w:kern w:val="0"/>
                <w:sz w:val="26"/>
                <w:szCs w:val="26"/>
              </w:rPr>
              <w:t>臺東縣</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211,680,015 </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156,740,544 </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154,604,160 </w:t>
            </w:r>
          </w:p>
        </w:tc>
        <w:tc>
          <w:tcPr>
            <w:tcW w:w="1420" w:type="dxa"/>
            <w:tcBorders>
              <w:top w:val="single" w:sz="8" w:space="0" w:color="auto"/>
              <w:left w:val="single" w:sz="8" w:space="0" w:color="auto"/>
              <w:bottom w:val="single" w:sz="8" w:space="0" w:color="auto"/>
              <w:right w:val="single" w:sz="12"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183,167,915 </w:t>
            </w:r>
          </w:p>
        </w:tc>
        <w:tc>
          <w:tcPr>
            <w:tcW w:w="1419" w:type="dxa"/>
            <w:tcBorders>
              <w:top w:val="single" w:sz="8" w:space="0" w:color="auto"/>
              <w:left w:val="single" w:sz="12"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186,154,162 </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186,178,702 </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178,686,616 </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223,755,618 </w:t>
            </w:r>
          </w:p>
        </w:tc>
        <w:tc>
          <w:tcPr>
            <w:tcW w:w="14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229,858,418 </w:t>
            </w:r>
          </w:p>
        </w:tc>
        <w:tc>
          <w:tcPr>
            <w:tcW w:w="1420"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CB6308" w:rsidRDefault="00CB6308">
            <w:pPr>
              <w:spacing w:line="280" w:lineRule="exact"/>
              <w:jc w:val="right"/>
              <w:rPr>
                <w:rFonts w:ascii="Times New Roman" w:eastAsia="新細明體"/>
                <w:spacing w:val="-14"/>
                <w:kern w:val="0"/>
                <w:sz w:val="22"/>
                <w:szCs w:val="22"/>
              </w:rPr>
            </w:pPr>
            <w:r>
              <w:rPr>
                <w:rFonts w:ascii="Times New Roman" w:eastAsia="新細明體"/>
                <w:spacing w:val="-14"/>
                <w:kern w:val="0"/>
                <w:sz w:val="22"/>
                <w:szCs w:val="22"/>
              </w:rPr>
              <w:t xml:space="preserve">264,739,302 </w:t>
            </w:r>
          </w:p>
        </w:tc>
      </w:tr>
      <w:tr w:rsidR="00CB6308" w:rsidTr="00A41303">
        <w:trPr>
          <w:trHeight w:val="313"/>
        </w:trPr>
        <w:tc>
          <w:tcPr>
            <w:tcW w:w="1050"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spacing w:val="-12"/>
                <w:kern w:val="0"/>
                <w:sz w:val="26"/>
                <w:szCs w:val="26"/>
              </w:rPr>
            </w:pPr>
            <w:r>
              <w:rPr>
                <w:rFonts w:ascii="Times New Roman" w:hint="eastAsia"/>
                <w:color w:val="000000"/>
                <w:spacing w:val="-12"/>
                <w:kern w:val="0"/>
                <w:sz w:val="26"/>
                <w:szCs w:val="26"/>
              </w:rPr>
              <w:t>花蓮縣</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134,691,513 </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84,809,377 </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106,221,696 </w:t>
            </w:r>
          </w:p>
        </w:tc>
        <w:tc>
          <w:tcPr>
            <w:tcW w:w="1420" w:type="dxa"/>
            <w:tcBorders>
              <w:top w:val="single" w:sz="8" w:space="0" w:color="auto"/>
              <w:left w:val="single" w:sz="8" w:space="0" w:color="auto"/>
              <w:bottom w:val="single" w:sz="8" w:space="0" w:color="auto"/>
              <w:right w:val="single" w:sz="12"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105,989,819 </w:t>
            </w:r>
          </w:p>
        </w:tc>
        <w:tc>
          <w:tcPr>
            <w:tcW w:w="1419" w:type="dxa"/>
            <w:tcBorders>
              <w:top w:val="single" w:sz="8" w:space="0" w:color="auto"/>
              <w:left w:val="single" w:sz="12"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109,465,329 </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150,519,526 </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161,595,982 </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258,304,512 </w:t>
            </w:r>
          </w:p>
        </w:tc>
        <w:tc>
          <w:tcPr>
            <w:tcW w:w="14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282,837,500 </w:t>
            </w:r>
          </w:p>
        </w:tc>
        <w:tc>
          <w:tcPr>
            <w:tcW w:w="1420"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530,822,064</w:t>
            </w:r>
          </w:p>
        </w:tc>
      </w:tr>
      <w:tr w:rsidR="00CB6308" w:rsidTr="00A41303">
        <w:trPr>
          <w:trHeight w:val="313"/>
        </w:trPr>
        <w:tc>
          <w:tcPr>
            <w:tcW w:w="1050"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spacing w:val="-12"/>
                <w:kern w:val="0"/>
                <w:sz w:val="26"/>
                <w:szCs w:val="26"/>
              </w:rPr>
            </w:pPr>
            <w:r>
              <w:rPr>
                <w:rFonts w:ascii="Times New Roman" w:hint="eastAsia"/>
                <w:color w:val="000000"/>
                <w:spacing w:val="-12"/>
                <w:kern w:val="0"/>
                <w:sz w:val="26"/>
                <w:szCs w:val="26"/>
              </w:rPr>
              <w:t>澎湖縣</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121,995,440 </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51,952,522 </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71,064,822 </w:t>
            </w:r>
          </w:p>
        </w:tc>
        <w:tc>
          <w:tcPr>
            <w:tcW w:w="1420" w:type="dxa"/>
            <w:tcBorders>
              <w:top w:val="single" w:sz="8" w:space="0" w:color="auto"/>
              <w:left w:val="single" w:sz="8" w:space="0" w:color="auto"/>
              <w:bottom w:val="single" w:sz="8" w:space="0" w:color="auto"/>
              <w:right w:val="single" w:sz="12"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74,645,928 </w:t>
            </w:r>
          </w:p>
        </w:tc>
        <w:tc>
          <w:tcPr>
            <w:tcW w:w="1419" w:type="dxa"/>
            <w:tcBorders>
              <w:top w:val="single" w:sz="8" w:space="0" w:color="auto"/>
              <w:left w:val="single" w:sz="12"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90,239,235 </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109,370,734 </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59,521,105 </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106,941,116 </w:t>
            </w:r>
          </w:p>
        </w:tc>
        <w:tc>
          <w:tcPr>
            <w:tcW w:w="14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157,750,873 </w:t>
            </w:r>
          </w:p>
        </w:tc>
        <w:tc>
          <w:tcPr>
            <w:tcW w:w="1420"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194,734,014 </w:t>
            </w:r>
          </w:p>
        </w:tc>
      </w:tr>
      <w:tr w:rsidR="00CB6308" w:rsidTr="00A41303">
        <w:trPr>
          <w:trHeight w:val="313"/>
        </w:trPr>
        <w:tc>
          <w:tcPr>
            <w:tcW w:w="1050"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spacing w:val="-12"/>
                <w:kern w:val="0"/>
                <w:sz w:val="26"/>
                <w:szCs w:val="26"/>
              </w:rPr>
            </w:pPr>
            <w:r>
              <w:rPr>
                <w:rFonts w:ascii="Times New Roman" w:hint="eastAsia"/>
                <w:color w:val="000000"/>
                <w:spacing w:val="-12"/>
                <w:kern w:val="0"/>
                <w:sz w:val="26"/>
                <w:szCs w:val="26"/>
              </w:rPr>
              <w:t>基隆市</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251,906,505</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102,435,370</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129,710,093</w:t>
            </w:r>
          </w:p>
        </w:tc>
        <w:tc>
          <w:tcPr>
            <w:tcW w:w="1420" w:type="dxa"/>
            <w:tcBorders>
              <w:top w:val="single" w:sz="8" w:space="0" w:color="auto"/>
              <w:left w:val="single" w:sz="8" w:space="0" w:color="auto"/>
              <w:bottom w:val="single" w:sz="8" w:space="0" w:color="auto"/>
              <w:right w:val="single" w:sz="12"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124,876,197</w:t>
            </w:r>
          </w:p>
        </w:tc>
        <w:tc>
          <w:tcPr>
            <w:tcW w:w="1419" w:type="dxa"/>
            <w:tcBorders>
              <w:top w:val="single" w:sz="8" w:space="0" w:color="auto"/>
              <w:left w:val="single" w:sz="12"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138,833,401</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160,547,362</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297,019,029</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394,231,015 </w:t>
            </w:r>
          </w:p>
        </w:tc>
        <w:tc>
          <w:tcPr>
            <w:tcW w:w="14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468,141,394 </w:t>
            </w:r>
          </w:p>
        </w:tc>
        <w:tc>
          <w:tcPr>
            <w:tcW w:w="1420"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470,244,994 </w:t>
            </w:r>
          </w:p>
        </w:tc>
      </w:tr>
      <w:tr w:rsidR="00CB6308" w:rsidTr="00A41303">
        <w:trPr>
          <w:trHeight w:val="313"/>
        </w:trPr>
        <w:tc>
          <w:tcPr>
            <w:tcW w:w="1050"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spacing w:val="-12"/>
                <w:kern w:val="0"/>
                <w:sz w:val="26"/>
                <w:szCs w:val="26"/>
              </w:rPr>
            </w:pPr>
            <w:r>
              <w:rPr>
                <w:rFonts w:ascii="Times New Roman" w:hint="eastAsia"/>
                <w:color w:val="000000"/>
                <w:spacing w:val="-12"/>
                <w:kern w:val="0"/>
                <w:sz w:val="26"/>
                <w:szCs w:val="26"/>
              </w:rPr>
              <w:t>新竹市</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161,075,196</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164,081,119</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148,533,325</w:t>
            </w:r>
          </w:p>
        </w:tc>
        <w:tc>
          <w:tcPr>
            <w:tcW w:w="1420" w:type="dxa"/>
            <w:tcBorders>
              <w:top w:val="single" w:sz="8" w:space="0" w:color="auto"/>
              <w:left w:val="single" w:sz="8" w:space="0" w:color="auto"/>
              <w:bottom w:val="single" w:sz="8" w:space="0" w:color="auto"/>
              <w:right w:val="single" w:sz="12"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131,980,787</w:t>
            </w:r>
          </w:p>
        </w:tc>
        <w:tc>
          <w:tcPr>
            <w:tcW w:w="1419" w:type="dxa"/>
            <w:tcBorders>
              <w:top w:val="single" w:sz="8" w:space="0" w:color="auto"/>
              <w:left w:val="single" w:sz="12"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130,142,780</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200,854,874</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238,578,732</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353,682,694 </w:t>
            </w:r>
          </w:p>
        </w:tc>
        <w:tc>
          <w:tcPr>
            <w:tcW w:w="14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402,661,576 </w:t>
            </w:r>
          </w:p>
        </w:tc>
        <w:tc>
          <w:tcPr>
            <w:tcW w:w="1420"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440,873,154 </w:t>
            </w:r>
          </w:p>
        </w:tc>
      </w:tr>
      <w:tr w:rsidR="00CB6308" w:rsidTr="00A41303">
        <w:trPr>
          <w:trHeight w:val="313"/>
        </w:trPr>
        <w:tc>
          <w:tcPr>
            <w:tcW w:w="1050"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spacing w:val="-12"/>
                <w:kern w:val="0"/>
                <w:sz w:val="26"/>
                <w:szCs w:val="26"/>
              </w:rPr>
            </w:pPr>
            <w:r>
              <w:rPr>
                <w:rFonts w:ascii="Times New Roman" w:hint="eastAsia"/>
                <w:color w:val="000000"/>
                <w:spacing w:val="-12"/>
                <w:kern w:val="0"/>
                <w:sz w:val="26"/>
                <w:szCs w:val="26"/>
              </w:rPr>
              <w:t>嘉義市</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253,206,308</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215,259,799</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179,502,582</w:t>
            </w:r>
          </w:p>
        </w:tc>
        <w:tc>
          <w:tcPr>
            <w:tcW w:w="1420" w:type="dxa"/>
            <w:tcBorders>
              <w:top w:val="single" w:sz="8" w:space="0" w:color="auto"/>
              <w:left w:val="single" w:sz="8" w:space="0" w:color="auto"/>
              <w:bottom w:val="single" w:sz="8" w:space="0" w:color="auto"/>
              <w:right w:val="single" w:sz="12"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194,122,506</w:t>
            </w:r>
          </w:p>
        </w:tc>
        <w:tc>
          <w:tcPr>
            <w:tcW w:w="1419" w:type="dxa"/>
            <w:tcBorders>
              <w:top w:val="single" w:sz="8" w:space="0" w:color="auto"/>
              <w:left w:val="single" w:sz="12"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197,491,733</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178,566,115</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173,969,312</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237,300,471 </w:t>
            </w:r>
          </w:p>
        </w:tc>
        <w:tc>
          <w:tcPr>
            <w:tcW w:w="14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213,386,446 </w:t>
            </w:r>
          </w:p>
        </w:tc>
        <w:tc>
          <w:tcPr>
            <w:tcW w:w="1420"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237,809,741 </w:t>
            </w:r>
          </w:p>
        </w:tc>
      </w:tr>
      <w:tr w:rsidR="00CB6308" w:rsidTr="00A41303">
        <w:trPr>
          <w:trHeight w:val="313"/>
        </w:trPr>
        <w:tc>
          <w:tcPr>
            <w:tcW w:w="1050"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spacing w:val="-12"/>
                <w:kern w:val="0"/>
                <w:sz w:val="26"/>
                <w:szCs w:val="26"/>
              </w:rPr>
            </w:pPr>
            <w:r>
              <w:rPr>
                <w:rFonts w:ascii="Times New Roman" w:hint="eastAsia"/>
                <w:color w:val="000000"/>
                <w:spacing w:val="-12"/>
                <w:kern w:val="0"/>
                <w:sz w:val="26"/>
                <w:szCs w:val="26"/>
              </w:rPr>
              <w:t>金門縣</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106,118,848 </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82,374,911 </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88,990,558 </w:t>
            </w:r>
          </w:p>
        </w:tc>
        <w:tc>
          <w:tcPr>
            <w:tcW w:w="1420" w:type="dxa"/>
            <w:tcBorders>
              <w:top w:val="single" w:sz="8" w:space="0" w:color="auto"/>
              <w:left w:val="single" w:sz="8" w:space="0" w:color="auto"/>
              <w:bottom w:val="single" w:sz="8" w:space="0" w:color="auto"/>
              <w:right w:val="single" w:sz="12"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80,476,287 </w:t>
            </w:r>
          </w:p>
        </w:tc>
        <w:tc>
          <w:tcPr>
            <w:tcW w:w="1419" w:type="dxa"/>
            <w:tcBorders>
              <w:top w:val="single" w:sz="8" w:space="0" w:color="auto"/>
              <w:left w:val="single" w:sz="12"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93,841,228 </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148,662,371 </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151,693,152</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169,494,940 </w:t>
            </w:r>
          </w:p>
        </w:tc>
        <w:tc>
          <w:tcPr>
            <w:tcW w:w="14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119,772,232 </w:t>
            </w:r>
          </w:p>
        </w:tc>
        <w:tc>
          <w:tcPr>
            <w:tcW w:w="1420"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194,548,493 </w:t>
            </w:r>
          </w:p>
        </w:tc>
      </w:tr>
      <w:tr w:rsidR="00CB6308" w:rsidTr="00106847">
        <w:trPr>
          <w:trHeight w:val="313"/>
        </w:trPr>
        <w:tc>
          <w:tcPr>
            <w:tcW w:w="1050" w:type="dxa"/>
            <w:tcBorders>
              <w:top w:val="single" w:sz="8" w:space="0" w:color="auto"/>
              <w:left w:val="single" w:sz="8" w:space="0" w:color="auto"/>
              <w:bottom w:val="single" w:sz="8" w:space="0" w:color="auto"/>
              <w:right w:val="single" w:sz="8" w:space="0" w:color="auto"/>
            </w:tcBorders>
            <w:noWrap/>
            <w:vAlign w:val="center"/>
            <w:hideMark/>
          </w:tcPr>
          <w:p w:rsidR="00CB6308" w:rsidRDefault="00CB6308">
            <w:pPr>
              <w:widowControl/>
              <w:overflowPunct/>
              <w:autoSpaceDE/>
              <w:spacing w:line="280" w:lineRule="exact"/>
              <w:jc w:val="center"/>
              <w:rPr>
                <w:rFonts w:ascii="Times New Roman"/>
                <w:color w:val="000000"/>
                <w:spacing w:val="-12"/>
                <w:kern w:val="0"/>
                <w:sz w:val="26"/>
                <w:szCs w:val="26"/>
              </w:rPr>
            </w:pPr>
            <w:r>
              <w:rPr>
                <w:rFonts w:ascii="Times New Roman" w:hint="eastAsia"/>
                <w:color w:val="000000"/>
                <w:spacing w:val="-12"/>
                <w:kern w:val="0"/>
                <w:sz w:val="26"/>
                <w:szCs w:val="26"/>
              </w:rPr>
              <w:t>連江縣</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42,336,369 </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41,496,225 </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41,453,043 </w:t>
            </w:r>
          </w:p>
        </w:tc>
        <w:tc>
          <w:tcPr>
            <w:tcW w:w="1420" w:type="dxa"/>
            <w:tcBorders>
              <w:top w:val="single" w:sz="8" w:space="0" w:color="auto"/>
              <w:left w:val="single" w:sz="8" w:space="0" w:color="auto"/>
              <w:bottom w:val="single" w:sz="8" w:space="0" w:color="auto"/>
              <w:right w:val="single" w:sz="12"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49,460,695 </w:t>
            </w:r>
          </w:p>
        </w:tc>
        <w:tc>
          <w:tcPr>
            <w:tcW w:w="1419" w:type="dxa"/>
            <w:tcBorders>
              <w:top w:val="single" w:sz="8" w:space="0" w:color="auto"/>
              <w:left w:val="single" w:sz="12"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14,815,115 </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20,176,372 </w:t>
            </w:r>
          </w:p>
        </w:tc>
        <w:tc>
          <w:tcPr>
            <w:tcW w:w="1419"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30,497,990 </w:t>
            </w:r>
          </w:p>
        </w:tc>
        <w:tc>
          <w:tcPr>
            <w:tcW w:w="1420" w:type="dxa"/>
            <w:tcBorders>
              <w:top w:val="single" w:sz="8" w:space="0" w:color="auto"/>
              <w:left w:val="single" w:sz="8" w:space="0" w:color="auto"/>
              <w:bottom w:val="single" w:sz="8" w:space="0" w:color="auto"/>
              <w:right w:val="single" w:sz="8" w:space="0" w:color="auto"/>
            </w:tcBorders>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35,110,185 </w:t>
            </w:r>
          </w:p>
        </w:tc>
        <w:tc>
          <w:tcPr>
            <w:tcW w:w="1419"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73,720,783 </w:t>
            </w:r>
          </w:p>
        </w:tc>
        <w:tc>
          <w:tcPr>
            <w:tcW w:w="1420" w:type="dxa"/>
            <w:tcBorders>
              <w:top w:val="single" w:sz="8" w:space="0" w:color="auto"/>
              <w:left w:val="single" w:sz="8" w:space="0" w:color="auto"/>
              <w:bottom w:val="single" w:sz="8" w:space="0" w:color="auto"/>
              <w:right w:val="single" w:sz="12" w:space="0" w:color="auto"/>
            </w:tcBorders>
            <w:shd w:val="clear" w:color="auto" w:fill="FFFFFF"/>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102,388,394 </w:t>
            </w:r>
          </w:p>
        </w:tc>
      </w:tr>
      <w:tr w:rsidR="00CB6308" w:rsidTr="00106847">
        <w:trPr>
          <w:trHeight w:val="313"/>
        </w:trPr>
        <w:tc>
          <w:tcPr>
            <w:tcW w:w="1050"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CB6308" w:rsidRDefault="00CB6308">
            <w:pPr>
              <w:widowControl/>
              <w:overflowPunct/>
              <w:autoSpaceDE/>
              <w:spacing w:line="280" w:lineRule="exact"/>
              <w:jc w:val="center"/>
              <w:rPr>
                <w:rFonts w:ascii="Times New Roman"/>
                <w:spacing w:val="-12"/>
                <w:kern w:val="0"/>
                <w:sz w:val="26"/>
                <w:szCs w:val="26"/>
              </w:rPr>
            </w:pPr>
            <w:r>
              <w:rPr>
                <w:rFonts w:ascii="Times New Roman" w:hint="eastAsia"/>
                <w:spacing w:val="-12"/>
                <w:kern w:val="0"/>
                <w:sz w:val="26"/>
                <w:szCs w:val="26"/>
              </w:rPr>
              <w:t>總</w:t>
            </w:r>
            <w:r>
              <w:rPr>
                <w:rFonts w:ascii="Times New Roman"/>
                <w:spacing w:val="-12"/>
                <w:kern w:val="0"/>
                <w:sz w:val="26"/>
                <w:szCs w:val="26"/>
              </w:rPr>
              <w:t xml:space="preserve">  </w:t>
            </w:r>
            <w:r>
              <w:rPr>
                <w:rFonts w:ascii="Times New Roman" w:hint="eastAsia"/>
                <w:spacing w:val="-12"/>
                <w:kern w:val="0"/>
                <w:sz w:val="26"/>
                <w:szCs w:val="26"/>
              </w:rPr>
              <w:t>計</w:t>
            </w:r>
          </w:p>
        </w:tc>
        <w:tc>
          <w:tcPr>
            <w:tcW w:w="1419"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10,425,956,780 </w:t>
            </w:r>
          </w:p>
        </w:tc>
        <w:tc>
          <w:tcPr>
            <w:tcW w:w="142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7,543,568,532 </w:t>
            </w:r>
          </w:p>
        </w:tc>
        <w:tc>
          <w:tcPr>
            <w:tcW w:w="1419"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9,167,962,878 </w:t>
            </w:r>
          </w:p>
        </w:tc>
        <w:tc>
          <w:tcPr>
            <w:tcW w:w="1420" w:type="dxa"/>
            <w:tcBorders>
              <w:top w:val="single" w:sz="8" w:space="0" w:color="auto"/>
              <w:left w:val="single" w:sz="8" w:space="0" w:color="auto"/>
              <w:bottom w:val="single" w:sz="8" w:space="0" w:color="auto"/>
              <w:right w:val="single" w:sz="12" w:space="0" w:color="auto"/>
            </w:tcBorders>
            <w:shd w:val="clear" w:color="auto" w:fill="FFFFFF"/>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9,944,555,298 </w:t>
            </w:r>
          </w:p>
        </w:tc>
        <w:tc>
          <w:tcPr>
            <w:tcW w:w="1419" w:type="dxa"/>
            <w:tcBorders>
              <w:top w:val="single" w:sz="8" w:space="0" w:color="auto"/>
              <w:left w:val="single" w:sz="12" w:space="0" w:color="auto"/>
              <w:bottom w:val="single" w:sz="12" w:space="0" w:color="auto"/>
              <w:right w:val="single" w:sz="8" w:space="0" w:color="auto"/>
            </w:tcBorders>
            <w:shd w:val="clear" w:color="auto" w:fill="FFFFFF"/>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9,071,607,314 </w:t>
            </w:r>
          </w:p>
        </w:tc>
        <w:tc>
          <w:tcPr>
            <w:tcW w:w="1420" w:type="dxa"/>
            <w:tcBorders>
              <w:top w:val="single" w:sz="8" w:space="0" w:color="auto"/>
              <w:left w:val="single" w:sz="8" w:space="0" w:color="auto"/>
              <w:bottom w:val="single" w:sz="12" w:space="0" w:color="auto"/>
              <w:right w:val="single" w:sz="8" w:space="0" w:color="auto"/>
            </w:tcBorders>
            <w:shd w:val="clear" w:color="auto" w:fill="FFFFFF"/>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10,262,707,053 </w:t>
            </w:r>
          </w:p>
        </w:tc>
        <w:tc>
          <w:tcPr>
            <w:tcW w:w="1419" w:type="dxa"/>
            <w:tcBorders>
              <w:top w:val="single" w:sz="8" w:space="0" w:color="auto"/>
              <w:left w:val="single" w:sz="8" w:space="0" w:color="auto"/>
              <w:bottom w:val="single" w:sz="12" w:space="0" w:color="auto"/>
              <w:right w:val="single" w:sz="8" w:space="0" w:color="auto"/>
            </w:tcBorders>
            <w:shd w:val="clear" w:color="auto" w:fill="FFFFFF"/>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12,714,267,228 </w:t>
            </w:r>
          </w:p>
        </w:tc>
        <w:tc>
          <w:tcPr>
            <w:tcW w:w="1420" w:type="dxa"/>
            <w:tcBorders>
              <w:top w:val="single" w:sz="8" w:space="0" w:color="auto"/>
              <w:left w:val="single" w:sz="8" w:space="0" w:color="auto"/>
              <w:bottom w:val="single" w:sz="12" w:space="0" w:color="auto"/>
              <w:right w:val="single" w:sz="8" w:space="0" w:color="auto"/>
            </w:tcBorders>
            <w:shd w:val="clear" w:color="auto" w:fill="FFFFFF"/>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15,861,978,802 </w:t>
            </w:r>
          </w:p>
        </w:tc>
        <w:tc>
          <w:tcPr>
            <w:tcW w:w="1419" w:type="dxa"/>
            <w:tcBorders>
              <w:top w:val="single" w:sz="8" w:space="0" w:color="auto"/>
              <w:left w:val="single" w:sz="8" w:space="0" w:color="auto"/>
              <w:bottom w:val="single" w:sz="12" w:space="0" w:color="auto"/>
              <w:right w:val="single" w:sz="8" w:space="0" w:color="auto"/>
            </w:tcBorders>
            <w:shd w:val="clear" w:color="auto" w:fill="FFFFFF"/>
            <w:noWrap/>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16,902,796,965 </w:t>
            </w:r>
          </w:p>
        </w:tc>
        <w:tc>
          <w:tcPr>
            <w:tcW w:w="1420" w:type="dxa"/>
            <w:tcBorders>
              <w:top w:val="single" w:sz="8" w:space="0" w:color="auto"/>
              <w:left w:val="single" w:sz="8" w:space="0" w:color="auto"/>
              <w:bottom w:val="single" w:sz="12" w:space="0" w:color="auto"/>
              <w:right w:val="single" w:sz="12" w:space="0" w:color="auto"/>
            </w:tcBorders>
            <w:shd w:val="clear" w:color="auto" w:fill="FFFFFF"/>
            <w:vAlign w:val="center"/>
            <w:hideMark/>
          </w:tcPr>
          <w:p w:rsidR="00CB6308" w:rsidRDefault="00CB6308">
            <w:pPr>
              <w:widowControl/>
              <w:overflowPunct/>
              <w:autoSpaceDE/>
              <w:spacing w:line="280" w:lineRule="exact"/>
              <w:ind w:rightChars="10" w:right="34"/>
              <w:jc w:val="right"/>
              <w:rPr>
                <w:rFonts w:ascii="Times New Roman" w:eastAsia="新細明體"/>
                <w:spacing w:val="-14"/>
                <w:kern w:val="0"/>
                <w:sz w:val="22"/>
                <w:szCs w:val="22"/>
              </w:rPr>
            </w:pPr>
            <w:r>
              <w:rPr>
                <w:rFonts w:ascii="Times New Roman" w:eastAsia="新細明體"/>
                <w:spacing w:val="-14"/>
                <w:kern w:val="0"/>
                <w:sz w:val="22"/>
                <w:szCs w:val="22"/>
              </w:rPr>
              <w:t xml:space="preserve">16,894,285,995 </w:t>
            </w:r>
          </w:p>
        </w:tc>
      </w:tr>
    </w:tbl>
    <w:p w:rsidR="00CB6308" w:rsidRDefault="00CB6308" w:rsidP="00CB6308">
      <w:pPr>
        <w:widowControl/>
        <w:kinsoku w:val="0"/>
        <w:spacing w:line="320" w:lineRule="exact"/>
        <w:ind w:leftChars="-181" w:left="-55" w:hangingChars="246" w:hanging="561"/>
        <w:jc w:val="left"/>
        <w:rPr>
          <w:rFonts w:ascii="Times New Roman"/>
          <w:b/>
          <w:color w:val="000000" w:themeColor="text1"/>
          <w:sz w:val="28"/>
          <w:szCs w:val="28"/>
        </w:rPr>
      </w:pPr>
      <w:r>
        <w:rPr>
          <w:rFonts w:ascii="Times New Roman" w:hint="eastAsia"/>
          <w:spacing w:val="-16"/>
          <w:sz w:val="24"/>
          <w:szCs w:val="24"/>
        </w:rPr>
        <w:t>資料來源：財政部</w:t>
      </w:r>
      <w:r>
        <w:rPr>
          <w:rFonts w:ascii="Times New Roman"/>
          <w:spacing w:val="-16"/>
          <w:sz w:val="24"/>
          <w:szCs w:val="24"/>
        </w:rPr>
        <w:t>104</w:t>
      </w:r>
      <w:r>
        <w:rPr>
          <w:rFonts w:ascii="Times New Roman" w:hint="eastAsia"/>
          <w:spacing w:val="-16"/>
          <w:sz w:val="24"/>
          <w:szCs w:val="24"/>
        </w:rPr>
        <w:t>年</w:t>
      </w:r>
      <w:r>
        <w:rPr>
          <w:rFonts w:ascii="Times New Roman"/>
          <w:spacing w:val="-16"/>
          <w:sz w:val="24"/>
          <w:szCs w:val="24"/>
        </w:rPr>
        <w:t>9</w:t>
      </w:r>
      <w:r>
        <w:rPr>
          <w:rFonts w:ascii="Times New Roman" w:hint="eastAsia"/>
          <w:spacing w:val="-16"/>
          <w:sz w:val="24"/>
          <w:szCs w:val="24"/>
        </w:rPr>
        <w:t>月</w:t>
      </w:r>
      <w:r>
        <w:rPr>
          <w:rFonts w:ascii="Times New Roman"/>
          <w:spacing w:val="-16"/>
          <w:sz w:val="24"/>
          <w:szCs w:val="24"/>
        </w:rPr>
        <w:t>25</w:t>
      </w:r>
      <w:r>
        <w:rPr>
          <w:rFonts w:ascii="Times New Roman" w:hint="eastAsia"/>
          <w:spacing w:val="-16"/>
          <w:sz w:val="24"/>
          <w:szCs w:val="24"/>
        </w:rPr>
        <w:t>日台財庫字第</w:t>
      </w:r>
      <w:r>
        <w:rPr>
          <w:rFonts w:ascii="Times New Roman"/>
          <w:spacing w:val="-16"/>
          <w:sz w:val="24"/>
          <w:szCs w:val="24"/>
        </w:rPr>
        <w:t>10403748320</w:t>
      </w:r>
      <w:r>
        <w:rPr>
          <w:rFonts w:ascii="Times New Roman" w:hint="eastAsia"/>
          <w:spacing w:val="-16"/>
          <w:sz w:val="24"/>
          <w:szCs w:val="24"/>
        </w:rPr>
        <w:t>號函、該部國庫署部網站及審計部</w:t>
      </w:r>
      <w:r>
        <w:rPr>
          <w:rFonts w:ascii="Times New Roman"/>
          <w:spacing w:val="-16"/>
          <w:sz w:val="24"/>
          <w:szCs w:val="24"/>
        </w:rPr>
        <w:t>105</w:t>
      </w:r>
      <w:r>
        <w:rPr>
          <w:rFonts w:ascii="Times New Roman" w:hint="eastAsia"/>
          <w:spacing w:val="-16"/>
          <w:sz w:val="24"/>
          <w:szCs w:val="24"/>
        </w:rPr>
        <w:t>年</w:t>
      </w:r>
      <w:r>
        <w:rPr>
          <w:rFonts w:ascii="Times New Roman"/>
          <w:spacing w:val="-16"/>
          <w:sz w:val="24"/>
          <w:szCs w:val="24"/>
        </w:rPr>
        <w:t>6</w:t>
      </w:r>
      <w:r>
        <w:rPr>
          <w:rFonts w:ascii="Times New Roman" w:hint="eastAsia"/>
          <w:spacing w:val="-16"/>
          <w:sz w:val="24"/>
          <w:szCs w:val="24"/>
        </w:rPr>
        <w:t>月</w:t>
      </w:r>
      <w:r>
        <w:rPr>
          <w:rFonts w:ascii="Times New Roman"/>
          <w:spacing w:val="-16"/>
          <w:sz w:val="24"/>
          <w:szCs w:val="24"/>
        </w:rPr>
        <w:t>2</w:t>
      </w:r>
      <w:r>
        <w:rPr>
          <w:rFonts w:ascii="Times New Roman" w:hint="eastAsia"/>
          <w:spacing w:val="-16"/>
          <w:sz w:val="24"/>
          <w:szCs w:val="24"/>
        </w:rPr>
        <w:t>日台審部覆字第</w:t>
      </w:r>
      <w:r>
        <w:rPr>
          <w:rFonts w:ascii="Times New Roman"/>
          <w:spacing w:val="-16"/>
          <w:sz w:val="24"/>
          <w:szCs w:val="24"/>
        </w:rPr>
        <w:t>1057100972</w:t>
      </w:r>
      <w:r>
        <w:rPr>
          <w:rFonts w:ascii="Times New Roman" w:hint="eastAsia"/>
          <w:spacing w:val="-16"/>
          <w:sz w:val="24"/>
          <w:szCs w:val="24"/>
        </w:rPr>
        <w:t>號函。</w:t>
      </w:r>
    </w:p>
    <w:p w:rsidR="00CB6308" w:rsidRDefault="00CB6308" w:rsidP="00CB6308">
      <w:pPr>
        <w:widowControl/>
        <w:overflowPunct/>
        <w:autoSpaceDE/>
        <w:autoSpaceDN/>
        <w:jc w:val="left"/>
        <w:rPr>
          <w:rFonts w:ascii="Times New Roman"/>
          <w:b/>
          <w:color w:val="000000" w:themeColor="text1"/>
          <w:sz w:val="28"/>
          <w:szCs w:val="28"/>
        </w:rPr>
        <w:sectPr w:rsidR="00CB6308">
          <w:pgSz w:w="16840" w:h="11907" w:orient="landscape"/>
          <w:pgMar w:top="993" w:right="1701" w:bottom="1418" w:left="1418" w:header="851" w:footer="851" w:gutter="227"/>
          <w:cols w:space="720"/>
          <w:docGrid w:type="linesAndChars" w:linePitch="457" w:charSpace="4127"/>
        </w:sectPr>
      </w:pPr>
    </w:p>
    <w:p w:rsidR="00CB6308" w:rsidRDefault="00CB6308" w:rsidP="00476043">
      <w:pPr>
        <w:pStyle w:val="a0"/>
        <w:numPr>
          <w:ilvl w:val="0"/>
          <w:numId w:val="35"/>
        </w:numPr>
        <w:tabs>
          <w:tab w:val="num" w:pos="1134"/>
        </w:tabs>
        <w:spacing w:line="360" w:lineRule="exact"/>
        <w:ind w:left="2801" w:rightChars="-125" w:right="-425" w:hanging="2773"/>
      </w:pPr>
      <w:bookmarkStart w:id="2197" w:name="_Toc507518692"/>
      <w:bookmarkStart w:id="2198" w:name="_Toc507767777"/>
      <w:bookmarkStart w:id="2199" w:name="_Toc507768503"/>
      <w:bookmarkStart w:id="2200" w:name="_Toc512421097"/>
      <w:bookmarkStart w:id="2201" w:name="_Toc507073018"/>
      <w:bookmarkEnd w:id="2163"/>
      <w:r>
        <w:rPr>
          <w:rFonts w:ascii="Times New Roman"/>
          <w:b/>
          <w:spacing w:val="-6"/>
          <w:sz w:val="28"/>
          <w:szCs w:val="28"/>
        </w:rPr>
        <w:t>100</w:t>
      </w:r>
      <w:r>
        <w:rPr>
          <w:rFonts w:ascii="Times New Roman" w:hint="eastAsia"/>
          <w:b/>
          <w:spacing w:val="-6"/>
          <w:sz w:val="28"/>
          <w:szCs w:val="28"/>
        </w:rPr>
        <w:t>年至</w:t>
      </w:r>
      <w:r>
        <w:rPr>
          <w:rFonts w:ascii="Times New Roman"/>
          <w:b/>
          <w:color w:val="000000" w:themeColor="text1"/>
          <w:sz w:val="28"/>
          <w:szCs w:val="28"/>
        </w:rPr>
        <w:t>105</w:t>
      </w:r>
      <w:r>
        <w:rPr>
          <w:rFonts w:ascii="Times New Roman" w:hint="eastAsia"/>
          <w:b/>
          <w:spacing w:val="-6"/>
          <w:sz w:val="28"/>
          <w:szCs w:val="28"/>
        </w:rPr>
        <w:t>年各地方政府</w:t>
      </w:r>
      <w:r>
        <w:rPr>
          <w:rFonts w:ascii="Times New Roman" w:hint="eastAsia"/>
          <w:b/>
          <w:color w:val="000000" w:themeColor="text1"/>
          <w:sz w:val="28"/>
          <w:szCs w:val="28"/>
        </w:rPr>
        <w:t>公益彩券</w:t>
      </w:r>
      <w:r>
        <w:rPr>
          <w:rFonts w:ascii="Times New Roman" w:hint="eastAsia"/>
          <w:b/>
          <w:spacing w:val="-6"/>
          <w:sz w:val="28"/>
          <w:szCs w:val="28"/>
        </w:rPr>
        <w:t>盈餘分配款待運用數</w:t>
      </w:r>
      <w:bookmarkEnd w:id="2197"/>
      <w:bookmarkEnd w:id="2198"/>
      <w:bookmarkEnd w:id="2199"/>
      <w:bookmarkEnd w:id="2200"/>
    </w:p>
    <w:p w:rsidR="00CB6308" w:rsidRDefault="00CB6308" w:rsidP="00CB6308">
      <w:pPr>
        <w:widowControl/>
        <w:kinsoku w:val="0"/>
        <w:spacing w:line="320" w:lineRule="exact"/>
        <w:ind w:leftChars="-83" w:left="-35" w:hangingChars="95" w:hanging="247"/>
        <w:jc w:val="right"/>
      </w:pPr>
      <w:r>
        <w:rPr>
          <w:rFonts w:ascii="Times New Roman" w:hint="eastAsia"/>
          <w:sz w:val="24"/>
          <w:szCs w:val="24"/>
        </w:rPr>
        <w:t>單位：元</w:t>
      </w:r>
      <w:bookmarkEnd w:id="2201"/>
    </w:p>
    <w:tbl>
      <w:tblPr>
        <w:tblW w:w="14028"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4A0" w:firstRow="1" w:lastRow="0" w:firstColumn="1" w:lastColumn="0" w:noHBand="0" w:noVBand="1"/>
      </w:tblPr>
      <w:tblGrid>
        <w:gridCol w:w="1413"/>
        <w:gridCol w:w="2101"/>
        <w:gridCol w:w="2103"/>
        <w:gridCol w:w="2103"/>
        <w:gridCol w:w="2102"/>
        <w:gridCol w:w="2103"/>
        <w:gridCol w:w="2103"/>
      </w:tblGrid>
      <w:tr w:rsidR="00CB6308" w:rsidTr="00CB6308">
        <w:trPr>
          <w:trHeight w:val="231"/>
          <w:tblHeader/>
        </w:trPr>
        <w:tc>
          <w:tcPr>
            <w:tcW w:w="1414" w:type="dxa"/>
            <w:tcBorders>
              <w:top w:val="single" w:sz="8" w:space="0" w:color="000000"/>
              <w:left w:val="single" w:sz="8" w:space="0" w:color="000000"/>
              <w:bottom w:val="single" w:sz="12" w:space="0" w:color="000000"/>
              <w:right w:val="single" w:sz="8" w:space="0" w:color="000000"/>
              <w:tl2br w:val="single" w:sz="8" w:space="0" w:color="000000"/>
            </w:tcBorders>
            <w:noWrap/>
            <w:vAlign w:val="center"/>
            <w:hideMark/>
          </w:tcPr>
          <w:p w:rsidR="00CB6308" w:rsidRDefault="00CB6308">
            <w:pPr>
              <w:widowControl/>
              <w:overflowPunct/>
              <w:autoSpaceDE/>
              <w:spacing w:line="320" w:lineRule="exact"/>
              <w:jc w:val="center"/>
              <w:rPr>
                <w:rFonts w:hAnsi="標楷體" w:cs="新細明體"/>
                <w:spacing w:val="-10"/>
                <w:kern w:val="0"/>
                <w:sz w:val="24"/>
                <w:szCs w:val="24"/>
              </w:rPr>
            </w:pPr>
            <w:r>
              <w:rPr>
                <w:rFonts w:hAnsi="標楷體" w:cs="新細明體" w:hint="eastAsia"/>
                <w:spacing w:val="-10"/>
                <w:kern w:val="0"/>
                <w:sz w:val="26"/>
                <w:szCs w:val="26"/>
              </w:rPr>
              <w:t xml:space="preserve">    </w:t>
            </w:r>
            <w:r>
              <w:rPr>
                <w:rFonts w:hAnsi="標楷體" w:cs="新細明體" w:hint="eastAsia"/>
                <w:spacing w:val="-10"/>
                <w:kern w:val="0"/>
                <w:sz w:val="24"/>
                <w:szCs w:val="24"/>
              </w:rPr>
              <w:t>年別</w:t>
            </w:r>
          </w:p>
          <w:p w:rsidR="00CB6308" w:rsidRDefault="00CB6308">
            <w:pPr>
              <w:widowControl/>
              <w:overflowPunct/>
              <w:autoSpaceDE/>
              <w:spacing w:line="320" w:lineRule="exact"/>
              <w:jc w:val="left"/>
              <w:rPr>
                <w:rFonts w:hAnsi="標楷體" w:cs="新細明體"/>
                <w:spacing w:val="-10"/>
                <w:kern w:val="0"/>
                <w:sz w:val="26"/>
                <w:szCs w:val="26"/>
              </w:rPr>
            </w:pPr>
            <w:r>
              <w:rPr>
                <w:rFonts w:hAnsi="標楷體" w:cs="新細明體" w:hint="eastAsia"/>
                <w:spacing w:val="-10"/>
                <w:kern w:val="0"/>
                <w:sz w:val="24"/>
                <w:szCs w:val="24"/>
              </w:rPr>
              <w:t>縣市別</w:t>
            </w:r>
          </w:p>
        </w:tc>
        <w:tc>
          <w:tcPr>
            <w:tcW w:w="2102" w:type="dxa"/>
            <w:tcBorders>
              <w:top w:val="single" w:sz="8" w:space="0" w:color="000000"/>
              <w:left w:val="single" w:sz="8" w:space="0" w:color="000000"/>
              <w:bottom w:val="single" w:sz="12" w:space="0" w:color="000000"/>
              <w:right w:val="single" w:sz="8" w:space="0" w:color="000000"/>
            </w:tcBorders>
            <w:vAlign w:val="center"/>
            <w:hideMark/>
          </w:tcPr>
          <w:p w:rsidR="00CB6308" w:rsidRDefault="00CB6308">
            <w:pPr>
              <w:spacing w:line="320" w:lineRule="exact"/>
              <w:jc w:val="center"/>
              <w:rPr>
                <w:sz w:val="26"/>
                <w:szCs w:val="26"/>
              </w:rPr>
            </w:pPr>
            <w:r>
              <w:rPr>
                <w:rFonts w:ascii="Times New Roman"/>
                <w:kern w:val="0"/>
                <w:sz w:val="26"/>
                <w:szCs w:val="26"/>
              </w:rPr>
              <w:t>100</w:t>
            </w:r>
          </w:p>
        </w:tc>
        <w:tc>
          <w:tcPr>
            <w:tcW w:w="2103" w:type="dxa"/>
            <w:tcBorders>
              <w:top w:val="single" w:sz="8" w:space="0" w:color="000000"/>
              <w:left w:val="single" w:sz="8" w:space="0" w:color="000000"/>
              <w:bottom w:val="single" w:sz="12" w:space="0" w:color="000000"/>
              <w:right w:val="single" w:sz="8" w:space="0" w:color="000000"/>
            </w:tcBorders>
            <w:noWrap/>
            <w:vAlign w:val="center"/>
            <w:hideMark/>
          </w:tcPr>
          <w:p w:rsidR="00CB6308" w:rsidRDefault="00CB6308">
            <w:pPr>
              <w:widowControl/>
              <w:kinsoku w:val="0"/>
              <w:spacing w:line="320" w:lineRule="exact"/>
              <w:jc w:val="center"/>
              <w:rPr>
                <w:rFonts w:ascii="Times New Roman"/>
                <w:kern w:val="0"/>
                <w:sz w:val="26"/>
                <w:szCs w:val="26"/>
              </w:rPr>
            </w:pPr>
            <w:r>
              <w:rPr>
                <w:rFonts w:ascii="Times New Roman"/>
                <w:kern w:val="0"/>
                <w:sz w:val="26"/>
                <w:szCs w:val="26"/>
              </w:rPr>
              <w:t>101</w:t>
            </w:r>
          </w:p>
        </w:tc>
        <w:tc>
          <w:tcPr>
            <w:tcW w:w="2103" w:type="dxa"/>
            <w:tcBorders>
              <w:top w:val="single" w:sz="8" w:space="0" w:color="000000"/>
              <w:left w:val="single" w:sz="8" w:space="0" w:color="000000"/>
              <w:bottom w:val="single" w:sz="12" w:space="0" w:color="000000"/>
              <w:right w:val="single" w:sz="8" w:space="0" w:color="000000"/>
            </w:tcBorders>
            <w:vAlign w:val="center"/>
            <w:hideMark/>
          </w:tcPr>
          <w:p w:rsidR="00CB6308" w:rsidRDefault="00CB6308">
            <w:pPr>
              <w:widowControl/>
              <w:kinsoku w:val="0"/>
              <w:spacing w:line="320" w:lineRule="exact"/>
              <w:jc w:val="center"/>
              <w:rPr>
                <w:rFonts w:ascii="Times New Roman"/>
                <w:kern w:val="0"/>
                <w:sz w:val="26"/>
                <w:szCs w:val="26"/>
              </w:rPr>
            </w:pPr>
            <w:r>
              <w:rPr>
                <w:rFonts w:ascii="Times New Roman"/>
                <w:kern w:val="0"/>
                <w:sz w:val="26"/>
                <w:szCs w:val="26"/>
              </w:rPr>
              <w:t>102</w:t>
            </w:r>
          </w:p>
        </w:tc>
        <w:tc>
          <w:tcPr>
            <w:tcW w:w="2102" w:type="dxa"/>
            <w:tcBorders>
              <w:top w:val="single" w:sz="8" w:space="0" w:color="000000"/>
              <w:left w:val="single" w:sz="8" w:space="0" w:color="000000"/>
              <w:bottom w:val="single" w:sz="12" w:space="0" w:color="000000"/>
              <w:right w:val="single" w:sz="8" w:space="0" w:color="000000"/>
            </w:tcBorders>
            <w:vAlign w:val="center"/>
            <w:hideMark/>
          </w:tcPr>
          <w:p w:rsidR="00CB6308" w:rsidRDefault="00CB6308">
            <w:pPr>
              <w:widowControl/>
              <w:kinsoku w:val="0"/>
              <w:spacing w:line="320" w:lineRule="exact"/>
              <w:jc w:val="center"/>
              <w:rPr>
                <w:rFonts w:ascii="Times New Roman"/>
                <w:kern w:val="0"/>
                <w:sz w:val="26"/>
                <w:szCs w:val="26"/>
              </w:rPr>
            </w:pPr>
            <w:r>
              <w:rPr>
                <w:rFonts w:ascii="Times New Roman"/>
                <w:kern w:val="0"/>
                <w:sz w:val="26"/>
                <w:szCs w:val="26"/>
              </w:rPr>
              <w:t>103</w:t>
            </w:r>
          </w:p>
        </w:tc>
        <w:tc>
          <w:tcPr>
            <w:tcW w:w="2103" w:type="dxa"/>
            <w:tcBorders>
              <w:top w:val="single" w:sz="8" w:space="0" w:color="000000"/>
              <w:left w:val="single" w:sz="8" w:space="0" w:color="000000"/>
              <w:bottom w:val="single" w:sz="12" w:space="0" w:color="000000"/>
              <w:right w:val="single" w:sz="8" w:space="0" w:color="000000"/>
            </w:tcBorders>
            <w:vAlign w:val="center"/>
            <w:hideMark/>
          </w:tcPr>
          <w:p w:rsidR="00CB6308" w:rsidRDefault="00CB6308">
            <w:pPr>
              <w:widowControl/>
              <w:kinsoku w:val="0"/>
              <w:spacing w:line="320" w:lineRule="exact"/>
              <w:jc w:val="center"/>
              <w:rPr>
                <w:rFonts w:ascii="Times New Roman"/>
                <w:kern w:val="0"/>
                <w:sz w:val="26"/>
                <w:szCs w:val="26"/>
              </w:rPr>
            </w:pPr>
            <w:r>
              <w:rPr>
                <w:rFonts w:ascii="Times New Roman"/>
                <w:kern w:val="0"/>
                <w:sz w:val="26"/>
                <w:szCs w:val="26"/>
              </w:rPr>
              <w:t>104</w:t>
            </w:r>
          </w:p>
        </w:tc>
        <w:tc>
          <w:tcPr>
            <w:tcW w:w="2103" w:type="dxa"/>
            <w:tcBorders>
              <w:top w:val="single" w:sz="8" w:space="0" w:color="000000"/>
              <w:left w:val="single" w:sz="8" w:space="0" w:color="000000"/>
              <w:bottom w:val="single" w:sz="12" w:space="0" w:color="000000"/>
              <w:right w:val="single" w:sz="8" w:space="0" w:color="000000"/>
            </w:tcBorders>
            <w:vAlign w:val="center"/>
            <w:hideMark/>
          </w:tcPr>
          <w:p w:rsidR="00CB6308" w:rsidRDefault="00CB6308">
            <w:pPr>
              <w:widowControl/>
              <w:kinsoku w:val="0"/>
              <w:spacing w:line="320" w:lineRule="exact"/>
              <w:jc w:val="center"/>
              <w:rPr>
                <w:rFonts w:ascii="Times New Roman"/>
                <w:kern w:val="0"/>
                <w:sz w:val="26"/>
                <w:szCs w:val="26"/>
              </w:rPr>
            </w:pPr>
            <w:r>
              <w:rPr>
                <w:rFonts w:ascii="Times New Roman"/>
                <w:kern w:val="0"/>
                <w:sz w:val="26"/>
                <w:szCs w:val="26"/>
              </w:rPr>
              <w:t>105</w:t>
            </w:r>
          </w:p>
        </w:tc>
      </w:tr>
      <w:tr w:rsidR="00CB6308" w:rsidTr="00CB6308">
        <w:trPr>
          <w:trHeight w:val="307"/>
        </w:trPr>
        <w:tc>
          <w:tcPr>
            <w:tcW w:w="1414" w:type="dxa"/>
            <w:tcBorders>
              <w:top w:val="single" w:sz="12" w:space="0" w:color="000000"/>
              <w:left w:val="single" w:sz="12" w:space="0" w:color="000000"/>
              <w:bottom w:val="single" w:sz="8" w:space="0" w:color="000000"/>
              <w:right w:val="single" w:sz="8" w:space="0" w:color="000000"/>
            </w:tcBorders>
            <w:shd w:val="clear" w:color="auto" w:fill="F2F2F2" w:themeFill="background1" w:themeFillShade="F2"/>
            <w:noWrap/>
            <w:vAlign w:val="center"/>
            <w:hideMark/>
          </w:tcPr>
          <w:p w:rsidR="00CB6308" w:rsidRDefault="00CB6308">
            <w:pPr>
              <w:widowControl/>
              <w:overflowPunct/>
              <w:autoSpaceDE/>
              <w:spacing w:line="260" w:lineRule="exact"/>
              <w:jc w:val="center"/>
              <w:rPr>
                <w:rFonts w:hAnsi="標楷體" w:cs="新細明體"/>
                <w:spacing w:val="-10"/>
                <w:kern w:val="0"/>
                <w:sz w:val="26"/>
                <w:szCs w:val="26"/>
              </w:rPr>
            </w:pPr>
            <w:r>
              <w:rPr>
                <w:rFonts w:hAnsi="標楷體" w:cs="新細明體" w:hint="eastAsia"/>
                <w:spacing w:val="-10"/>
                <w:kern w:val="0"/>
                <w:sz w:val="26"/>
                <w:szCs w:val="26"/>
              </w:rPr>
              <w:t>臺北市</w:t>
            </w:r>
          </w:p>
        </w:tc>
        <w:tc>
          <w:tcPr>
            <w:tcW w:w="2102" w:type="dxa"/>
            <w:tcBorders>
              <w:top w:val="single" w:sz="12"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2,077,009,789</w:t>
            </w:r>
          </w:p>
        </w:tc>
        <w:tc>
          <w:tcPr>
            <w:tcW w:w="2103" w:type="dxa"/>
            <w:tcBorders>
              <w:top w:val="single" w:sz="12" w:space="0" w:color="000000"/>
              <w:left w:val="single" w:sz="8" w:space="0" w:color="000000"/>
              <w:bottom w:val="single" w:sz="8" w:space="0" w:color="000000"/>
              <w:right w:val="single" w:sz="8" w:space="0" w:color="000000"/>
            </w:tcBorders>
            <w:shd w:val="clear" w:color="auto" w:fill="F2F2F2" w:themeFill="background1" w:themeFillShade="F2"/>
            <w:noWrap/>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2,892,814,728</w:t>
            </w:r>
          </w:p>
        </w:tc>
        <w:tc>
          <w:tcPr>
            <w:tcW w:w="2103" w:type="dxa"/>
            <w:tcBorders>
              <w:top w:val="single" w:sz="12"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3,138,850,555</w:t>
            </w:r>
          </w:p>
        </w:tc>
        <w:tc>
          <w:tcPr>
            <w:tcW w:w="2102" w:type="dxa"/>
            <w:tcBorders>
              <w:top w:val="single" w:sz="12"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3,174,120,767</w:t>
            </w:r>
          </w:p>
        </w:tc>
        <w:tc>
          <w:tcPr>
            <w:tcW w:w="2103" w:type="dxa"/>
            <w:tcBorders>
              <w:top w:val="single" w:sz="12" w:space="0" w:color="000000"/>
              <w:left w:val="single" w:sz="8" w:space="0" w:color="000000"/>
              <w:bottom w:val="single" w:sz="8" w:space="0" w:color="000000"/>
              <w:right w:val="single" w:sz="12" w:space="0" w:color="000000"/>
            </w:tcBorders>
            <w:shd w:val="clear" w:color="auto" w:fill="F2F2F2" w:themeFill="background1" w:themeFillShade="F2"/>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b/>
                <w:kern w:val="0"/>
                <w:sz w:val="26"/>
                <w:szCs w:val="26"/>
              </w:rPr>
            </w:pPr>
            <w:r>
              <w:rPr>
                <w:rFonts w:ascii="Times New Roman" w:eastAsia="新細明體"/>
                <w:b/>
                <w:kern w:val="0"/>
                <w:sz w:val="26"/>
                <w:szCs w:val="26"/>
              </w:rPr>
              <w:t xml:space="preserve">2,399,277,036 </w:t>
            </w:r>
          </w:p>
        </w:tc>
        <w:tc>
          <w:tcPr>
            <w:tcW w:w="2103" w:type="dxa"/>
            <w:tcBorders>
              <w:top w:val="single" w:sz="12" w:space="0" w:color="000000"/>
              <w:left w:val="single" w:sz="8" w:space="0" w:color="000000"/>
              <w:bottom w:val="single" w:sz="8" w:space="0" w:color="000000"/>
              <w:right w:val="single" w:sz="12" w:space="0" w:color="000000"/>
            </w:tcBorders>
            <w:shd w:val="clear" w:color="auto" w:fill="F2F2F2" w:themeFill="background1" w:themeFillShade="F2"/>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2,026,200,016 </w:t>
            </w:r>
          </w:p>
        </w:tc>
      </w:tr>
      <w:tr w:rsidR="00CB6308" w:rsidTr="00CB6308">
        <w:trPr>
          <w:trHeight w:val="307"/>
        </w:trPr>
        <w:tc>
          <w:tcPr>
            <w:tcW w:w="1414" w:type="dxa"/>
            <w:tcBorders>
              <w:top w:val="single" w:sz="8" w:space="0" w:color="000000"/>
              <w:left w:val="single" w:sz="12" w:space="0" w:color="000000"/>
              <w:bottom w:val="single" w:sz="8" w:space="0" w:color="000000"/>
              <w:right w:val="single" w:sz="8" w:space="0" w:color="000000"/>
            </w:tcBorders>
            <w:shd w:val="clear" w:color="auto" w:fill="F2F2F2" w:themeFill="background1" w:themeFillShade="F2"/>
            <w:noWrap/>
            <w:vAlign w:val="center"/>
            <w:hideMark/>
          </w:tcPr>
          <w:p w:rsidR="00CB6308" w:rsidRDefault="00CB6308">
            <w:pPr>
              <w:widowControl/>
              <w:overflowPunct/>
              <w:autoSpaceDE/>
              <w:spacing w:line="260" w:lineRule="exact"/>
              <w:jc w:val="center"/>
              <w:rPr>
                <w:rFonts w:hAnsi="標楷體" w:cs="新細明體"/>
                <w:spacing w:val="-10"/>
                <w:kern w:val="0"/>
                <w:sz w:val="26"/>
                <w:szCs w:val="26"/>
              </w:rPr>
            </w:pPr>
            <w:r>
              <w:rPr>
                <w:rFonts w:hAnsi="標楷體" w:cs="新細明體" w:hint="eastAsia"/>
                <w:spacing w:val="-10"/>
                <w:kern w:val="0"/>
                <w:sz w:val="26"/>
                <w:szCs w:val="26"/>
              </w:rPr>
              <w:t>新北市</w:t>
            </w:r>
          </w:p>
        </w:tc>
        <w:tc>
          <w:tcPr>
            <w:tcW w:w="210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1,229,716,008</w:t>
            </w:r>
          </w:p>
        </w:tc>
        <w:tc>
          <w:tcPr>
            <w:tcW w:w="210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noWrap/>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1,403,248,095</w:t>
            </w:r>
          </w:p>
        </w:tc>
        <w:tc>
          <w:tcPr>
            <w:tcW w:w="210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1,824,409,234</w:t>
            </w:r>
          </w:p>
        </w:tc>
        <w:tc>
          <w:tcPr>
            <w:tcW w:w="210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1,771,442,636</w:t>
            </w:r>
          </w:p>
        </w:tc>
        <w:tc>
          <w:tcPr>
            <w:tcW w:w="2103" w:type="dxa"/>
            <w:tcBorders>
              <w:top w:val="single" w:sz="8" w:space="0" w:color="000000"/>
              <w:left w:val="single" w:sz="8" w:space="0" w:color="000000"/>
              <w:bottom w:val="single" w:sz="8" w:space="0" w:color="000000"/>
              <w:right w:val="single" w:sz="12" w:space="0" w:color="000000"/>
            </w:tcBorders>
            <w:shd w:val="clear" w:color="auto" w:fill="F2F2F2" w:themeFill="background1" w:themeFillShade="F2"/>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b/>
                <w:kern w:val="0"/>
                <w:sz w:val="26"/>
                <w:szCs w:val="26"/>
              </w:rPr>
            </w:pPr>
            <w:r>
              <w:rPr>
                <w:rFonts w:ascii="Times New Roman" w:eastAsia="新細明體"/>
                <w:b/>
                <w:kern w:val="0"/>
                <w:sz w:val="26"/>
                <w:szCs w:val="26"/>
              </w:rPr>
              <w:t xml:space="preserve">909,657,230 </w:t>
            </w:r>
          </w:p>
        </w:tc>
        <w:tc>
          <w:tcPr>
            <w:tcW w:w="2103" w:type="dxa"/>
            <w:tcBorders>
              <w:top w:val="single" w:sz="8" w:space="0" w:color="000000"/>
              <w:left w:val="single" w:sz="8" w:space="0" w:color="000000"/>
              <w:bottom w:val="single" w:sz="8" w:space="0" w:color="000000"/>
              <w:right w:val="single" w:sz="12" w:space="0" w:color="000000"/>
            </w:tcBorders>
            <w:shd w:val="clear" w:color="auto" w:fill="F2F2F2" w:themeFill="background1" w:themeFillShade="F2"/>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1,503,229,749 </w:t>
            </w:r>
          </w:p>
        </w:tc>
      </w:tr>
      <w:tr w:rsidR="00CB6308" w:rsidTr="00CB6308">
        <w:trPr>
          <w:trHeight w:val="307"/>
        </w:trPr>
        <w:tc>
          <w:tcPr>
            <w:tcW w:w="1414" w:type="dxa"/>
            <w:tcBorders>
              <w:top w:val="single" w:sz="8" w:space="0" w:color="000000"/>
              <w:left w:val="single" w:sz="12" w:space="0" w:color="000000"/>
              <w:bottom w:val="single" w:sz="8" w:space="0" w:color="000000"/>
              <w:right w:val="single" w:sz="8" w:space="0" w:color="000000"/>
            </w:tcBorders>
            <w:shd w:val="clear" w:color="auto" w:fill="F2F2F2" w:themeFill="background1" w:themeFillShade="F2"/>
            <w:noWrap/>
            <w:vAlign w:val="center"/>
            <w:hideMark/>
          </w:tcPr>
          <w:p w:rsidR="00CB6308" w:rsidRDefault="00CB6308">
            <w:pPr>
              <w:widowControl/>
              <w:overflowPunct/>
              <w:autoSpaceDE/>
              <w:spacing w:line="260" w:lineRule="exact"/>
              <w:jc w:val="center"/>
              <w:rPr>
                <w:rFonts w:hAnsi="標楷體" w:cs="新細明體"/>
                <w:spacing w:val="-10"/>
                <w:kern w:val="0"/>
                <w:sz w:val="26"/>
                <w:szCs w:val="26"/>
              </w:rPr>
            </w:pPr>
            <w:r>
              <w:rPr>
                <w:rFonts w:hAnsi="標楷體" w:cs="新細明體" w:hint="eastAsia"/>
                <w:spacing w:val="-10"/>
                <w:kern w:val="0"/>
                <w:sz w:val="26"/>
                <w:szCs w:val="26"/>
              </w:rPr>
              <w:t>臺中市</w:t>
            </w:r>
          </w:p>
        </w:tc>
        <w:tc>
          <w:tcPr>
            <w:tcW w:w="210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1,548,201,759</w:t>
            </w:r>
          </w:p>
        </w:tc>
        <w:tc>
          <w:tcPr>
            <w:tcW w:w="210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noWrap/>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1,960,288,695</w:t>
            </w:r>
          </w:p>
        </w:tc>
        <w:tc>
          <w:tcPr>
            <w:tcW w:w="210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2,123,052,468</w:t>
            </w:r>
          </w:p>
        </w:tc>
        <w:tc>
          <w:tcPr>
            <w:tcW w:w="210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1,887,858,511 </w:t>
            </w:r>
          </w:p>
        </w:tc>
        <w:tc>
          <w:tcPr>
            <w:tcW w:w="2103" w:type="dxa"/>
            <w:tcBorders>
              <w:top w:val="single" w:sz="8" w:space="0" w:color="000000"/>
              <w:left w:val="single" w:sz="8" w:space="0" w:color="000000"/>
              <w:bottom w:val="single" w:sz="8" w:space="0" w:color="000000"/>
              <w:right w:val="single" w:sz="12" w:space="0" w:color="000000"/>
            </w:tcBorders>
            <w:shd w:val="clear" w:color="auto" w:fill="F2F2F2" w:themeFill="background1" w:themeFillShade="F2"/>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b/>
                <w:kern w:val="0"/>
                <w:sz w:val="26"/>
                <w:szCs w:val="26"/>
              </w:rPr>
            </w:pPr>
            <w:r>
              <w:rPr>
                <w:rFonts w:ascii="Times New Roman" w:eastAsia="新細明體"/>
                <w:b/>
                <w:kern w:val="0"/>
                <w:sz w:val="26"/>
                <w:szCs w:val="26"/>
              </w:rPr>
              <w:t xml:space="preserve">973,941,581 </w:t>
            </w:r>
          </w:p>
        </w:tc>
        <w:tc>
          <w:tcPr>
            <w:tcW w:w="2103" w:type="dxa"/>
            <w:tcBorders>
              <w:top w:val="single" w:sz="8" w:space="0" w:color="000000"/>
              <w:left w:val="single" w:sz="8" w:space="0" w:color="000000"/>
              <w:bottom w:val="single" w:sz="8" w:space="0" w:color="000000"/>
              <w:right w:val="single" w:sz="12" w:space="0" w:color="000000"/>
            </w:tcBorders>
            <w:shd w:val="clear" w:color="auto" w:fill="F2F2F2" w:themeFill="background1" w:themeFillShade="F2"/>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990,103,799 </w:t>
            </w:r>
          </w:p>
        </w:tc>
      </w:tr>
      <w:tr w:rsidR="00CB6308" w:rsidTr="00CB6308">
        <w:trPr>
          <w:trHeight w:val="307"/>
        </w:trPr>
        <w:tc>
          <w:tcPr>
            <w:tcW w:w="1414" w:type="dxa"/>
            <w:tcBorders>
              <w:top w:val="single" w:sz="8" w:space="0" w:color="000000"/>
              <w:left w:val="single" w:sz="12" w:space="0" w:color="000000"/>
              <w:bottom w:val="single" w:sz="8" w:space="0" w:color="000000"/>
              <w:right w:val="single" w:sz="8" w:space="0" w:color="000000"/>
            </w:tcBorders>
            <w:shd w:val="clear" w:color="auto" w:fill="F2F2F2" w:themeFill="background1" w:themeFillShade="F2"/>
            <w:noWrap/>
            <w:vAlign w:val="center"/>
            <w:hideMark/>
          </w:tcPr>
          <w:p w:rsidR="00CB6308" w:rsidRDefault="00CB6308">
            <w:pPr>
              <w:widowControl/>
              <w:overflowPunct/>
              <w:autoSpaceDE/>
              <w:spacing w:line="260" w:lineRule="exact"/>
              <w:jc w:val="center"/>
              <w:rPr>
                <w:rFonts w:hAnsi="標楷體" w:cs="新細明體"/>
                <w:spacing w:val="-10"/>
                <w:kern w:val="0"/>
                <w:sz w:val="26"/>
                <w:szCs w:val="26"/>
              </w:rPr>
            </w:pPr>
            <w:r>
              <w:rPr>
                <w:rFonts w:hAnsi="標楷體" w:cs="新細明體" w:hint="eastAsia"/>
                <w:spacing w:val="-10"/>
                <w:kern w:val="0"/>
                <w:sz w:val="26"/>
                <w:szCs w:val="26"/>
              </w:rPr>
              <w:t>臺南市</w:t>
            </w:r>
          </w:p>
        </w:tc>
        <w:tc>
          <w:tcPr>
            <w:tcW w:w="210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664,980,588</w:t>
            </w:r>
          </w:p>
        </w:tc>
        <w:tc>
          <w:tcPr>
            <w:tcW w:w="210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noWrap/>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988,612,611</w:t>
            </w:r>
          </w:p>
        </w:tc>
        <w:tc>
          <w:tcPr>
            <w:tcW w:w="210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1,054,005,631</w:t>
            </w:r>
          </w:p>
        </w:tc>
        <w:tc>
          <w:tcPr>
            <w:tcW w:w="210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1,148,843,831 </w:t>
            </w:r>
          </w:p>
        </w:tc>
        <w:tc>
          <w:tcPr>
            <w:tcW w:w="2103" w:type="dxa"/>
            <w:tcBorders>
              <w:top w:val="single" w:sz="8" w:space="0" w:color="000000"/>
              <w:left w:val="single" w:sz="8" w:space="0" w:color="000000"/>
              <w:bottom w:val="single" w:sz="8" w:space="0" w:color="000000"/>
              <w:right w:val="single" w:sz="12" w:space="0" w:color="000000"/>
            </w:tcBorders>
            <w:shd w:val="clear" w:color="auto" w:fill="F2F2F2" w:themeFill="background1" w:themeFillShade="F2"/>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b/>
                <w:kern w:val="0"/>
                <w:sz w:val="26"/>
                <w:szCs w:val="26"/>
              </w:rPr>
            </w:pPr>
            <w:r>
              <w:rPr>
                <w:rFonts w:ascii="Times New Roman" w:eastAsia="新細明體"/>
                <w:b/>
                <w:kern w:val="0"/>
                <w:sz w:val="26"/>
                <w:szCs w:val="26"/>
              </w:rPr>
              <w:t xml:space="preserve">803,983,611 </w:t>
            </w:r>
          </w:p>
        </w:tc>
        <w:tc>
          <w:tcPr>
            <w:tcW w:w="2103" w:type="dxa"/>
            <w:tcBorders>
              <w:top w:val="single" w:sz="8" w:space="0" w:color="000000"/>
              <w:left w:val="single" w:sz="8" w:space="0" w:color="000000"/>
              <w:bottom w:val="single" w:sz="8" w:space="0" w:color="000000"/>
              <w:right w:val="single" w:sz="12" w:space="0" w:color="000000"/>
            </w:tcBorders>
            <w:shd w:val="clear" w:color="auto" w:fill="F2F2F2" w:themeFill="background1" w:themeFillShade="F2"/>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790,678,683 </w:t>
            </w:r>
          </w:p>
        </w:tc>
      </w:tr>
      <w:tr w:rsidR="00CB6308" w:rsidTr="00CB6308">
        <w:trPr>
          <w:trHeight w:val="307"/>
        </w:trPr>
        <w:tc>
          <w:tcPr>
            <w:tcW w:w="1414" w:type="dxa"/>
            <w:tcBorders>
              <w:top w:val="single" w:sz="8" w:space="0" w:color="000000"/>
              <w:left w:val="single" w:sz="12" w:space="0" w:color="000000"/>
              <w:bottom w:val="single" w:sz="8" w:space="0" w:color="000000"/>
              <w:right w:val="single" w:sz="8" w:space="0" w:color="000000"/>
            </w:tcBorders>
            <w:shd w:val="clear" w:color="auto" w:fill="F2F2F2" w:themeFill="background1" w:themeFillShade="F2"/>
            <w:noWrap/>
            <w:vAlign w:val="center"/>
            <w:hideMark/>
          </w:tcPr>
          <w:p w:rsidR="00CB6308" w:rsidRDefault="00CB6308">
            <w:pPr>
              <w:widowControl/>
              <w:overflowPunct/>
              <w:autoSpaceDE/>
              <w:spacing w:line="260" w:lineRule="exact"/>
              <w:jc w:val="center"/>
              <w:rPr>
                <w:rFonts w:hAnsi="標楷體" w:cs="新細明體"/>
                <w:spacing w:val="-10"/>
                <w:kern w:val="0"/>
                <w:sz w:val="26"/>
                <w:szCs w:val="26"/>
              </w:rPr>
            </w:pPr>
            <w:r>
              <w:rPr>
                <w:rFonts w:hAnsi="標楷體" w:cs="新細明體" w:hint="eastAsia"/>
                <w:spacing w:val="-10"/>
                <w:kern w:val="0"/>
                <w:sz w:val="26"/>
                <w:szCs w:val="26"/>
              </w:rPr>
              <w:t>高雄市</w:t>
            </w:r>
          </w:p>
        </w:tc>
        <w:tc>
          <w:tcPr>
            <w:tcW w:w="210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796,647,975</w:t>
            </w:r>
          </w:p>
        </w:tc>
        <w:tc>
          <w:tcPr>
            <w:tcW w:w="210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noWrap/>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1,125,969,947</w:t>
            </w:r>
          </w:p>
        </w:tc>
        <w:tc>
          <w:tcPr>
            <w:tcW w:w="210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1,456,498,058</w:t>
            </w:r>
          </w:p>
        </w:tc>
        <w:tc>
          <w:tcPr>
            <w:tcW w:w="210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1,683,260,101 </w:t>
            </w:r>
          </w:p>
        </w:tc>
        <w:tc>
          <w:tcPr>
            <w:tcW w:w="2103" w:type="dxa"/>
            <w:tcBorders>
              <w:top w:val="single" w:sz="8" w:space="0" w:color="000000"/>
              <w:left w:val="single" w:sz="8" w:space="0" w:color="000000"/>
              <w:bottom w:val="single" w:sz="8" w:space="0" w:color="000000"/>
              <w:right w:val="single" w:sz="12" w:space="0" w:color="000000"/>
            </w:tcBorders>
            <w:shd w:val="clear" w:color="auto" w:fill="F2F2F2" w:themeFill="background1" w:themeFillShade="F2"/>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b/>
                <w:kern w:val="0"/>
                <w:sz w:val="26"/>
                <w:szCs w:val="26"/>
              </w:rPr>
            </w:pPr>
            <w:r>
              <w:rPr>
                <w:rFonts w:ascii="Times New Roman" w:eastAsia="新細明體"/>
                <w:b/>
                <w:kern w:val="0"/>
                <w:sz w:val="26"/>
                <w:szCs w:val="26"/>
              </w:rPr>
              <w:t xml:space="preserve">1,041,122,767 </w:t>
            </w:r>
          </w:p>
        </w:tc>
        <w:tc>
          <w:tcPr>
            <w:tcW w:w="2103" w:type="dxa"/>
            <w:tcBorders>
              <w:top w:val="single" w:sz="8" w:space="0" w:color="000000"/>
              <w:left w:val="single" w:sz="8" w:space="0" w:color="000000"/>
              <w:bottom w:val="single" w:sz="8" w:space="0" w:color="000000"/>
              <w:right w:val="single" w:sz="12" w:space="0" w:color="000000"/>
            </w:tcBorders>
            <w:shd w:val="clear" w:color="auto" w:fill="F2F2F2" w:themeFill="background1" w:themeFillShade="F2"/>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1,011,491,983 </w:t>
            </w:r>
          </w:p>
        </w:tc>
      </w:tr>
      <w:tr w:rsidR="00CB6308" w:rsidTr="00CB6308">
        <w:trPr>
          <w:trHeight w:val="307"/>
        </w:trPr>
        <w:tc>
          <w:tcPr>
            <w:tcW w:w="1414" w:type="dxa"/>
            <w:tcBorders>
              <w:top w:val="single" w:sz="8" w:space="0" w:color="000000"/>
              <w:left w:val="single" w:sz="12" w:space="0" w:color="000000"/>
              <w:bottom w:val="single" w:sz="12" w:space="0" w:color="000000"/>
              <w:right w:val="single" w:sz="8" w:space="0" w:color="000000"/>
            </w:tcBorders>
            <w:shd w:val="clear" w:color="auto" w:fill="F2F2F2" w:themeFill="background1" w:themeFillShade="F2"/>
            <w:noWrap/>
            <w:vAlign w:val="center"/>
            <w:hideMark/>
          </w:tcPr>
          <w:p w:rsidR="00CB6308" w:rsidRDefault="00CB6308">
            <w:pPr>
              <w:widowControl/>
              <w:overflowPunct/>
              <w:autoSpaceDE/>
              <w:spacing w:line="260" w:lineRule="exact"/>
              <w:jc w:val="center"/>
              <w:rPr>
                <w:rFonts w:hAnsi="標楷體" w:cs="新細明體"/>
                <w:spacing w:val="-10"/>
                <w:kern w:val="0"/>
                <w:sz w:val="26"/>
                <w:szCs w:val="26"/>
              </w:rPr>
            </w:pPr>
            <w:r>
              <w:rPr>
                <w:rFonts w:hAnsi="標楷體" w:cs="新細明體" w:hint="eastAsia"/>
                <w:spacing w:val="-10"/>
                <w:kern w:val="0"/>
                <w:sz w:val="26"/>
                <w:szCs w:val="26"/>
              </w:rPr>
              <w:t>桃園市</w:t>
            </w:r>
          </w:p>
        </w:tc>
        <w:tc>
          <w:tcPr>
            <w:tcW w:w="2102" w:type="dxa"/>
            <w:tcBorders>
              <w:top w:val="single" w:sz="8" w:space="0" w:color="000000"/>
              <w:left w:val="single" w:sz="8" w:space="0" w:color="000000"/>
              <w:bottom w:val="single" w:sz="12" w:space="0" w:color="000000"/>
              <w:right w:val="single" w:sz="8" w:space="0" w:color="000000"/>
            </w:tcBorders>
            <w:shd w:val="clear" w:color="auto" w:fill="F2F2F2" w:themeFill="background1" w:themeFillShade="F2"/>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1,254,013,530</w:t>
            </w:r>
          </w:p>
        </w:tc>
        <w:tc>
          <w:tcPr>
            <w:tcW w:w="2103" w:type="dxa"/>
            <w:tcBorders>
              <w:top w:val="single" w:sz="8" w:space="0" w:color="000000"/>
              <w:left w:val="single" w:sz="8" w:space="0" w:color="000000"/>
              <w:bottom w:val="single" w:sz="12" w:space="0" w:color="000000"/>
              <w:right w:val="single" w:sz="8" w:space="0" w:color="000000"/>
            </w:tcBorders>
            <w:shd w:val="clear" w:color="auto" w:fill="F2F2F2" w:themeFill="background1" w:themeFillShade="F2"/>
            <w:noWrap/>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1,198,927,848</w:t>
            </w:r>
          </w:p>
        </w:tc>
        <w:tc>
          <w:tcPr>
            <w:tcW w:w="2103" w:type="dxa"/>
            <w:tcBorders>
              <w:top w:val="single" w:sz="8" w:space="0" w:color="000000"/>
              <w:left w:val="single" w:sz="8" w:space="0" w:color="000000"/>
              <w:bottom w:val="single" w:sz="12" w:space="0" w:color="000000"/>
              <w:right w:val="single" w:sz="8" w:space="0" w:color="000000"/>
            </w:tcBorders>
            <w:shd w:val="clear" w:color="auto" w:fill="F2F2F2" w:themeFill="background1" w:themeFillShade="F2"/>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1,360,133,835</w:t>
            </w:r>
          </w:p>
        </w:tc>
        <w:tc>
          <w:tcPr>
            <w:tcW w:w="2102" w:type="dxa"/>
            <w:tcBorders>
              <w:top w:val="single" w:sz="8" w:space="0" w:color="000000"/>
              <w:left w:val="single" w:sz="8" w:space="0" w:color="000000"/>
              <w:bottom w:val="single" w:sz="12" w:space="0" w:color="000000"/>
              <w:right w:val="single" w:sz="8" w:space="0" w:color="000000"/>
            </w:tcBorders>
            <w:shd w:val="clear" w:color="auto" w:fill="F2F2F2" w:themeFill="background1" w:themeFillShade="F2"/>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1,468,409,236</w:t>
            </w:r>
          </w:p>
        </w:tc>
        <w:tc>
          <w:tcPr>
            <w:tcW w:w="2103" w:type="dxa"/>
            <w:tcBorders>
              <w:top w:val="single" w:sz="8" w:space="0" w:color="000000"/>
              <w:left w:val="single" w:sz="8" w:space="0" w:color="000000"/>
              <w:bottom w:val="single" w:sz="12" w:space="0" w:color="000000"/>
              <w:right w:val="single" w:sz="12" w:space="0" w:color="000000"/>
            </w:tcBorders>
            <w:shd w:val="clear" w:color="auto" w:fill="F2F2F2" w:themeFill="background1" w:themeFillShade="F2"/>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b/>
                <w:kern w:val="0"/>
                <w:sz w:val="26"/>
                <w:szCs w:val="26"/>
              </w:rPr>
            </w:pPr>
            <w:r>
              <w:rPr>
                <w:rFonts w:ascii="Times New Roman" w:eastAsia="新細明體"/>
                <w:b/>
                <w:kern w:val="0"/>
                <w:sz w:val="26"/>
                <w:szCs w:val="26"/>
              </w:rPr>
              <w:t xml:space="preserve">970,796,796 </w:t>
            </w:r>
          </w:p>
        </w:tc>
        <w:tc>
          <w:tcPr>
            <w:tcW w:w="2103" w:type="dxa"/>
            <w:tcBorders>
              <w:top w:val="single" w:sz="8" w:space="0" w:color="000000"/>
              <w:left w:val="single" w:sz="8" w:space="0" w:color="000000"/>
              <w:bottom w:val="single" w:sz="12" w:space="0" w:color="000000"/>
              <w:right w:val="single" w:sz="12" w:space="0" w:color="000000"/>
            </w:tcBorders>
            <w:shd w:val="clear" w:color="auto" w:fill="F2F2F2" w:themeFill="background1" w:themeFillShade="F2"/>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819,797,361 </w:t>
            </w:r>
          </w:p>
        </w:tc>
      </w:tr>
      <w:tr w:rsidR="00CB6308" w:rsidTr="00CB6308">
        <w:trPr>
          <w:trHeight w:val="307"/>
        </w:trPr>
        <w:tc>
          <w:tcPr>
            <w:tcW w:w="1414" w:type="dxa"/>
            <w:tcBorders>
              <w:top w:val="single" w:sz="12" w:space="0" w:color="000000"/>
              <w:left w:val="single" w:sz="8" w:space="0" w:color="000000"/>
              <w:bottom w:val="single" w:sz="8" w:space="0" w:color="000000"/>
              <w:right w:val="single" w:sz="8" w:space="0" w:color="000000"/>
            </w:tcBorders>
            <w:noWrap/>
            <w:vAlign w:val="center"/>
            <w:hideMark/>
          </w:tcPr>
          <w:p w:rsidR="00CB6308" w:rsidRDefault="00CB6308">
            <w:pPr>
              <w:widowControl/>
              <w:overflowPunct/>
              <w:autoSpaceDE/>
              <w:spacing w:line="260" w:lineRule="exact"/>
              <w:jc w:val="center"/>
              <w:rPr>
                <w:rFonts w:hAnsi="標楷體" w:cs="新細明體"/>
                <w:spacing w:val="-10"/>
                <w:kern w:val="0"/>
                <w:sz w:val="26"/>
                <w:szCs w:val="26"/>
              </w:rPr>
            </w:pPr>
            <w:r>
              <w:rPr>
                <w:rFonts w:hAnsi="標楷體" w:cs="新細明體" w:hint="eastAsia"/>
                <w:spacing w:val="-10"/>
                <w:kern w:val="0"/>
                <w:sz w:val="26"/>
                <w:szCs w:val="26"/>
              </w:rPr>
              <w:t>宜蘭縣</w:t>
            </w:r>
          </w:p>
        </w:tc>
        <w:tc>
          <w:tcPr>
            <w:tcW w:w="2102" w:type="dxa"/>
            <w:tcBorders>
              <w:top w:val="single" w:sz="12"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139,022,170</w:t>
            </w:r>
          </w:p>
        </w:tc>
        <w:tc>
          <w:tcPr>
            <w:tcW w:w="2103" w:type="dxa"/>
            <w:tcBorders>
              <w:top w:val="single" w:sz="12" w:space="0" w:color="000000"/>
              <w:left w:val="single" w:sz="8" w:space="0" w:color="000000"/>
              <w:bottom w:val="single" w:sz="8" w:space="0" w:color="000000"/>
              <w:right w:val="single" w:sz="8" w:space="0" w:color="000000"/>
            </w:tcBorders>
            <w:noWrap/>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181,162,967</w:t>
            </w:r>
          </w:p>
        </w:tc>
        <w:tc>
          <w:tcPr>
            <w:tcW w:w="2103" w:type="dxa"/>
            <w:tcBorders>
              <w:top w:val="single" w:sz="12"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266,,728,604</w:t>
            </w:r>
          </w:p>
        </w:tc>
        <w:tc>
          <w:tcPr>
            <w:tcW w:w="2102" w:type="dxa"/>
            <w:tcBorders>
              <w:top w:val="single" w:sz="12"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325,253,346</w:t>
            </w:r>
          </w:p>
        </w:tc>
        <w:tc>
          <w:tcPr>
            <w:tcW w:w="2103" w:type="dxa"/>
            <w:tcBorders>
              <w:top w:val="single" w:sz="12"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300,000,492 </w:t>
            </w:r>
          </w:p>
        </w:tc>
        <w:tc>
          <w:tcPr>
            <w:tcW w:w="2103" w:type="dxa"/>
            <w:tcBorders>
              <w:top w:val="single" w:sz="12"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459,413,578 </w:t>
            </w:r>
          </w:p>
        </w:tc>
      </w:tr>
      <w:tr w:rsidR="00CB6308" w:rsidTr="00CB6308">
        <w:trPr>
          <w:trHeight w:val="307"/>
        </w:trPr>
        <w:tc>
          <w:tcPr>
            <w:tcW w:w="1414"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widowControl/>
              <w:overflowPunct/>
              <w:autoSpaceDE/>
              <w:spacing w:line="260" w:lineRule="exact"/>
              <w:jc w:val="center"/>
              <w:rPr>
                <w:rFonts w:hAnsi="標楷體" w:cs="新細明體"/>
                <w:spacing w:val="-10"/>
                <w:kern w:val="0"/>
                <w:sz w:val="26"/>
                <w:szCs w:val="26"/>
              </w:rPr>
            </w:pPr>
            <w:r>
              <w:rPr>
                <w:rFonts w:hAnsi="標楷體" w:cs="新細明體" w:hint="eastAsia"/>
                <w:spacing w:val="-10"/>
                <w:kern w:val="0"/>
                <w:sz w:val="26"/>
                <w:szCs w:val="26"/>
              </w:rPr>
              <w:t>新竹縣</w:t>
            </w:r>
          </w:p>
        </w:tc>
        <w:tc>
          <w:tcPr>
            <w:tcW w:w="2102"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157,763,730</w:t>
            </w:r>
          </w:p>
        </w:tc>
        <w:tc>
          <w:tcPr>
            <w:tcW w:w="2103"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290,409,078</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457,984,768</w:t>
            </w:r>
          </w:p>
        </w:tc>
        <w:tc>
          <w:tcPr>
            <w:tcW w:w="2102"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554,678,131 </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547,839,279 </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659,497,467 </w:t>
            </w:r>
          </w:p>
        </w:tc>
      </w:tr>
      <w:tr w:rsidR="00CB6308" w:rsidTr="00CB6308">
        <w:trPr>
          <w:trHeight w:val="307"/>
        </w:trPr>
        <w:tc>
          <w:tcPr>
            <w:tcW w:w="1414"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widowControl/>
              <w:overflowPunct/>
              <w:autoSpaceDE/>
              <w:spacing w:line="260" w:lineRule="exact"/>
              <w:jc w:val="center"/>
              <w:rPr>
                <w:rFonts w:hAnsi="標楷體" w:cs="新細明體"/>
                <w:spacing w:val="-10"/>
                <w:kern w:val="0"/>
                <w:sz w:val="26"/>
                <w:szCs w:val="26"/>
              </w:rPr>
            </w:pPr>
            <w:r>
              <w:rPr>
                <w:rFonts w:hAnsi="標楷體" w:cs="新細明體" w:hint="eastAsia"/>
                <w:spacing w:val="-10"/>
                <w:kern w:val="0"/>
                <w:sz w:val="26"/>
                <w:szCs w:val="26"/>
              </w:rPr>
              <w:t>苗栗縣</w:t>
            </w:r>
          </w:p>
        </w:tc>
        <w:tc>
          <w:tcPr>
            <w:tcW w:w="2102"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559,238,142</w:t>
            </w:r>
          </w:p>
        </w:tc>
        <w:tc>
          <w:tcPr>
            <w:tcW w:w="2103"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702,305,614</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761,980,801</w:t>
            </w:r>
          </w:p>
        </w:tc>
        <w:tc>
          <w:tcPr>
            <w:tcW w:w="2102"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829,748,108 </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808,877,663 </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775,091,098 </w:t>
            </w:r>
          </w:p>
        </w:tc>
      </w:tr>
      <w:tr w:rsidR="00CB6308" w:rsidTr="00CB6308">
        <w:trPr>
          <w:trHeight w:val="307"/>
        </w:trPr>
        <w:tc>
          <w:tcPr>
            <w:tcW w:w="1414"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widowControl/>
              <w:overflowPunct/>
              <w:autoSpaceDE/>
              <w:spacing w:line="260" w:lineRule="exact"/>
              <w:jc w:val="center"/>
              <w:rPr>
                <w:rFonts w:hAnsi="標楷體" w:cs="新細明體"/>
                <w:spacing w:val="-10"/>
                <w:kern w:val="0"/>
                <w:sz w:val="26"/>
                <w:szCs w:val="26"/>
              </w:rPr>
            </w:pPr>
            <w:r>
              <w:rPr>
                <w:rFonts w:hAnsi="標楷體" w:cs="新細明體" w:hint="eastAsia"/>
                <w:spacing w:val="-10"/>
                <w:kern w:val="0"/>
                <w:sz w:val="26"/>
                <w:szCs w:val="26"/>
              </w:rPr>
              <w:t>彰化縣</w:t>
            </w:r>
          </w:p>
        </w:tc>
        <w:tc>
          <w:tcPr>
            <w:tcW w:w="2102"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241,376,426 </w:t>
            </w:r>
          </w:p>
        </w:tc>
        <w:tc>
          <w:tcPr>
            <w:tcW w:w="2103"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371,687,116</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443,424,404</w:t>
            </w:r>
          </w:p>
        </w:tc>
        <w:tc>
          <w:tcPr>
            <w:tcW w:w="2102"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510,486,917 </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524,884,457 </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768,115,980 </w:t>
            </w:r>
          </w:p>
        </w:tc>
      </w:tr>
      <w:tr w:rsidR="00CB6308" w:rsidTr="00CB6308">
        <w:trPr>
          <w:trHeight w:val="307"/>
        </w:trPr>
        <w:tc>
          <w:tcPr>
            <w:tcW w:w="1414"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widowControl/>
              <w:overflowPunct/>
              <w:autoSpaceDE/>
              <w:spacing w:line="260" w:lineRule="exact"/>
              <w:jc w:val="center"/>
              <w:rPr>
                <w:rFonts w:hAnsi="標楷體" w:cs="新細明體"/>
                <w:spacing w:val="-10"/>
                <w:kern w:val="0"/>
                <w:sz w:val="26"/>
                <w:szCs w:val="26"/>
              </w:rPr>
            </w:pPr>
            <w:r>
              <w:rPr>
                <w:rFonts w:hAnsi="標楷體" w:cs="新細明體" w:hint="eastAsia"/>
                <w:spacing w:val="-10"/>
                <w:kern w:val="0"/>
                <w:sz w:val="26"/>
                <w:szCs w:val="26"/>
              </w:rPr>
              <w:t>南投縣</w:t>
            </w:r>
          </w:p>
        </w:tc>
        <w:tc>
          <w:tcPr>
            <w:tcW w:w="2102"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396,513,119 </w:t>
            </w:r>
          </w:p>
        </w:tc>
        <w:tc>
          <w:tcPr>
            <w:tcW w:w="2103"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463,233,785</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583,719,692</w:t>
            </w:r>
          </w:p>
        </w:tc>
        <w:tc>
          <w:tcPr>
            <w:tcW w:w="2102"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763,818,825 </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851,621,554 </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965,197,949 </w:t>
            </w:r>
          </w:p>
        </w:tc>
      </w:tr>
      <w:tr w:rsidR="00CB6308" w:rsidTr="00CB6308">
        <w:trPr>
          <w:trHeight w:val="307"/>
        </w:trPr>
        <w:tc>
          <w:tcPr>
            <w:tcW w:w="1414"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widowControl/>
              <w:overflowPunct/>
              <w:autoSpaceDE/>
              <w:spacing w:line="260" w:lineRule="exact"/>
              <w:jc w:val="center"/>
              <w:rPr>
                <w:rFonts w:hAnsi="標楷體" w:cs="新細明體"/>
                <w:spacing w:val="-10"/>
                <w:kern w:val="0"/>
                <w:sz w:val="26"/>
                <w:szCs w:val="26"/>
              </w:rPr>
            </w:pPr>
            <w:r>
              <w:rPr>
                <w:rFonts w:hAnsi="標楷體" w:cs="新細明體" w:hint="eastAsia"/>
                <w:spacing w:val="-10"/>
                <w:kern w:val="0"/>
                <w:sz w:val="26"/>
                <w:szCs w:val="26"/>
              </w:rPr>
              <w:t>雲林縣</w:t>
            </w:r>
          </w:p>
        </w:tc>
        <w:tc>
          <w:tcPr>
            <w:tcW w:w="2102"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453,828,502 </w:t>
            </w:r>
          </w:p>
        </w:tc>
        <w:tc>
          <w:tcPr>
            <w:tcW w:w="2103"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103,601,018</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653,991,185</w:t>
            </w:r>
          </w:p>
        </w:tc>
        <w:tc>
          <w:tcPr>
            <w:tcW w:w="2102"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779,664,982 </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676,545,018 </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752,559,631 </w:t>
            </w:r>
          </w:p>
        </w:tc>
      </w:tr>
      <w:tr w:rsidR="00CB6308" w:rsidTr="00CB6308">
        <w:trPr>
          <w:trHeight w:val="307"/>
        </w:trPr>
        <w:tc>
          <w:tcPr>
            <w:tcW w:w="1414"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widowControl/>
              <w:overflowPunct/>
              <w:autoSpaceDE/>
              <w:spacing w:line="260" w:lineRule="exact"/>
              <w:jc w:val="center"/>
              <w:rPr>
                <w:rFonts w:hAnsi="標楷體" w:cs="新細明體"/>
                <w:spacing w:val="-10"/>
                <w:kern w:val="0"/>
                <w:sz w:val="26"/>
                <w:szCs w:val="26"/>
              </w:rPr>
            </w:pPr>
            <w:r>
              <w:rPr>
                <w:rFonts w:hAnsi="標楷體" w:cs="新細明體" w:hint="eastAsia"/>
                <w:spacing w:val="-10"/>
                <w:kern w:val="0"/>
                <w:sz w:val="26"/>
                <w:szCs w:val="26"/>
              </w:rPr>
              <w:t>嘉義縣</w:t>
            </w:r>
          </w:p>
        </w:tc>
        <w:tc>
          <w:tcPr>
            <w:tcW w:w="2102"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82,549,129 </w:t>
            </w:r>
          </w:p>
        </w:tc>
        <w:tc>
          <w:tcPr>
            <w:tcW w:w="2103"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103,601,018</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188,638,940</w:t>
            </w:r>
          </w:p>
        </w:tc>
        <w:tc>
          <w:tcPr>
            <w:tcW w:w="2102"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215,915,349 </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151,791,509 </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213,229,461 </w:t>
            </w:r>
          </w:p>
        </w:tc>
      </w:tr>
      <w:tr w:rsidR="00CB6308" w:rsidTr="00CB6308">
        <w:trPr>
          <w:trHeight w:val="307"/>
        </w:trPr>
        <w:tc>
          <w:tcPr>
            <w:tcW w:w="1414"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widowControl/>
              <w:overflowPunct/>
              <w:autoSpaceDE/>
              <w:spacing w:line="260" w:lineRule="exact"/>
              <w:jc w:val="center"/>
              <w:rPr>
                <w:rFonts w:hAnsi="標楷體" w:cs="新細明體"/>
                <w:spacing w:val="-10"/>
                <w:kern w:val="0"/>
                <w:sz w:val="26"/>
                <w:szCs w:val="26"/>
              </w:rPr>
            </w:pPr>
            <w:r>
              <w:rPr>
                <w:rFonts w:hAnsi="標楷體" w:cs="新細明體" w:hint="eastAsia"/>
                <w:spacing w:val="-10"/>
                <w:kern w:val="0"/>
                <w:sz w:val="26"/>
                <w:szCs w:val="26"/>
              </w:rPr>
              <w:t>屏東縣</w:t>
            </w:r>
          </w:p>
        </w:tc>
        <w:tc>
          <w:tcPr>
            <w:tcW w:w="2102"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75,900,428 </w:t>
            </w:r>
          </w:p>
        </w:tc>
        <w:tc>
          <w:tcPr>
            <w:tcW w:w="2103"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177,650,498</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325,963,641</w:t>
            </w:r>
          </w:p>
        </w:tc>
        <w:tc>
          <w:tcPr>
            <w:tcW w:w="2102"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596,723,638 </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610,068,861 </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702,823,055 </w:t>
            </w:r>
          </w:p>
        </w:tc>
      </w:tr>
      <w:tr w:rsidR="00CB6308" w:rsidTr="00CB6308">
        <w:trPr>
          <w:trHeight w:val="307"/>
        </w:trPr>
        <w:tc>
          <w:tcPr>
            <w:tcW w:w="1414"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widowControl/>
              <w:overflowPunct/>
              <w:autoSpaceDE/>
              <w:spacing w:line="260" w:lineRule="exact"/>
              <w:jc w:val="center"/>
              <w:rPr>
                <w:rFonts w:hAnsi="標楷體" w:cs="新細明體"/>
                <w:spacing w:val="-10"/>
                <w:kern w:val="0"/>
                <w:sz w:val="26"/>
                <w:szCs w:val="26"/>
              </w:rPr>
            </w:pPr>
            <w:r>
              <w:rPr>
                <w:rFonts w:hAnsi="標楷體" w:cs="新細明體" w:hint="eastAsia"/>
                <w:spacing w:val="-10"/>
                <w:kern w:val="0"/>
                <w:sz w:val="26"/>
                <w:szCs w:val="26"/>
              </w:rPr>
              <w:t>臺東縣</w:t>
            </w:r>
          </w:p>
        </w:tc>
        <w:tc>
          <w:tcPr>
            <w:tcW w:w="2102"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243,835,892 </w:t>
            </w:r>
          </w:p>
        </w:tc>
        <w:tc>
          <w:tcPr>
            <w:tcW w:w="2103"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288,036,963</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357,358,209</w:t>
            </w:r>
          </w:p>
        </w:tc>
        <w:tc>
          <w:tcPr>
            <w:tcW w:w="2102"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390,494,285</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434,244,887</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500,795,338 </w:t>
            </w:r>
          </w:p>
        </w:tc>
      </w:tr>
      <w:tr w:rsidR="00CB6308" w:rsidTr="00CB6308">
        <w:trPr>
          <w:trHeight w:val="307"/>
        </w:trPr>
        <w:tc>
          <w:tcPr>
            <w:tcW w:w="1414"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widowControl/>
              <w:overflowPunct/>
              <w:autoSpaceDE/>
              <w:spacing w:line="260" w:lineRule="exact"/>
              <w:jc w:val="center"/>
              <w:rPr>
                <w:rFonts w:hAnsi="標楷體" w:cs="新細明體"/>
                <w:spacing w:val="-10"/>
                <w:kern w:val="0"/>
                <w:sz w:val="26"/>
                <w:szCs w:val="26"/>
              </w:rPr>
            </w:pPr>
            <w:r>
              <w:rPr>
                <w:rFonts w:hAnsi="標楷體" w:cs="新細明體" w:hint="eastAsia"/>
                <w:spacing w:val="-10"/>
                <w:kern w:val="0"/>
                <w:sz w:val="26"/>
                <w:szCs w:val="26"/>
              </w:rPr>
              <w:t>花蓮縣</w:t>
            </w:r>
          </w:p>
        </w:tc>
        <w:tc>
          <w:tcPr>
            <w:tcW w:w="2102"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257,376,103 </w:t>
            </w:r>
          </w:p>
        </w:tc>
        <w:tc>
          <w:tcPr>
            <w:tcW w:w="2103"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333,075,757</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457,404,072</w:t>
            </w:r>
          </w:p>
        </w:tc>
        <w:tc>
          <w:tcPr>
            <w:tcW w:w="2102"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535,352,271</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566,860,469 </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436,509,808 </w:t>
            </w:r>
          </w:p>
        </w:tc>
      </w:tr>
      <w:tr w:rsidR="00CB6308" w:rsidTr="00CB6308">
        <w:trPr>
          <w:trHeight w:val="307"/>
        </w:trPr>
        <w:tc>
          <w:tcPr>
            <w:tcW w:w="1414"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widowControl/>
              <w:overflowPunct/>
              <w:autoSpaceDE/>
              <w:spacing w:line="260" w:lineRule="exact"/>
              <w:jc w:val="center"/>
              <w:rPr>
                <w:rFonts w:hAnsi="標楷體" w:cs="新細明體"/>
                <w:spacing w:val="-10"/>
                <w:kern w:val="0"/>
                <w:sz w:val="26"/>
                <w:szCs w:val="26"/>
              </w:rPr>
            </w:pPr>
            <w:r>
              <w:rPr>
                <w:rFonts w:hAnsi="標楷體" w:cs="新細明體" w:hint="eastAsia"/>
                <w:spacing w:val="-10"/>
                <w:kern w:val="0"/>
                <w:sz w:val="26"/>
                <w:szCs w:val="26"/>
              </w:rPr>
              <w:t>澎湖縣</w:t>
            </w:r>
          </w:p>
        </w:tc>
        <w:tc>
          <w:tcPr>
            <w:tcW w:w="2102"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109,317,980 </w:t>
            </w:r>
          </w:p>
        </w:tc>
        <w:tc>
          <w:tcPr>
            <w:tcW w:w="2103"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129,342,792</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218,029,425</w:t>
            </w:r>
          </w:p>
        </w:tc>
        <w:tc>
          <w:tcPr>
            <w:tcW w:w="2102"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319,777,384 </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322,887,932 </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391,273,158 </w:t>
            </w:r>
          </w:p>
        </w:tc>
      </w:tr>
      <w:tr w:rsidR="00CB6308" w:rsidTr="00CB6308">
        <w:trPr>
          <w:trHeight w:val="307"/>
        </w:trPr>
        <w:tc>
          <w:tcPr>
            <w:tcW w:w="1414"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widowControl/>
              <w:overflowPunct/>
              <w:autoSpaceDE/>
              <w:spacing w:line="260" w:lineRule="exact"/>
              <w:jc w:val="center"/>
              <w:rPr>
                <w:rFonts w:hAnsi="標楷體" w:cs="新細明體"/>
                <w:spacing w:val="-10"/>
                <w:kern w:val="0"/>
                <w:sz w:val="26"/>
                <w:szCs w:val="26"/>
              </w:rPr>
            </w:pPr>
            <w:r>
              <w:rPr>
                <w:rFonts w:hAnsi="標楷體" w:cs="新細明體" w:hint="eastAsia"/>
                <w:spacing w:val="-10"/>
                <w:kern w:val="0"/>
                <w:sz w:val="26"/>
                <w:szCs w:val="26"/>
              </w:rPr>
              <w:t>基隆市</w:t>
            </w:r>
          </w:p>
        </w:tc>
        <w:tc>
          <w:tcPr>
            <w:tcW w:w="2102"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484,431,136</w:t>
            </w:r>
          </w:p>
        </w:tc>
        <w:tc>
          <w:tcPr>
            <w:tcW w:w="2103"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608,623,976</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638,526,508</w:t>
            </w:r>
          </w:p>
        </w:tc>
        <w:tc>
          <w:tcPr>
            <w:tcW w:w="2102"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632,868,424 </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488,819,182 </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444,465,827 </w:t>
            </w:r>
          </w:p>
        </w:tc>
      </w:tr>
      <w:tr w:rsidR="00CB6308" w:rsidTr="00CB6308">
        <w:trPr>
          <w:trHeight w:val="307"/>
        </w:trPr>
        <w:tc>
          <w:tcPr>
            <w:tcW w:w="1414"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widowControl/>
              <w:overflowPunct/>
              <w:autoSpaceDE/>
              <w:spacing w:line="260" w:lineRule="exact"/>
              <w:jc w:val="center"/>
              <w:rPr>
                <w:rFonts w:hAnsi="標楷體" w:cs="新細明體"/>
                <w:spacing w:val="-10"/>
                <w:kern w:val="0"/>
                <w:sz w:val="26"/>
                <w:szCs w:val="26"/>
              </w:rPr>
            </w:pPr>
            <w:r>
              <w:rPr>
                <w:rFonts w:hAnsi="標楷體" w:cs="新細明體" w:hint="eastAsia"/>
                <w:spacing w:val="-10"/>
                <w:kern w:val="0"/>
                <w:sz w:val="26"/>
                <w:szCs w:val="26"/>
              </w:rPr>
              <w:t>新竹市</w:t>
            </w:r>
          </w:p>
        </w:tc>
        <w:tc>
          <w:tcPr>
            <w:tcW w:w="2102"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596,279,239</w:t>
            </w:r>
          </w:p>
        </w:tc>
        <w:tc>
          <w:tcPr>
            <w:tcW w:w="2103"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721,192,016</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864,261,367</w:t>
            </w:r>
          </w:p>
        </w:tc>
        <w:tc>
          <w:tcPr>
            <w:tcW w:w="2102"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760,365,395 </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677,330,706 </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630,909,599 </w:t>
            </w:r>
          </w:p>
        </w:tc>
      </w:tr>
      <w:tr w:rsidR="00CB6308" w:rsidTr="00CB6308">
        <w:trPr>
          <w:trHeight w:val="307"/>
        </w:trPr>
        <w:tc>
          <w:tcPr>
            <w:tcW w:w="1414"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widowControl/>
              <w:overflowPunct/>
              <w:autoSpaceDE/>
              <w:spacing w:line="260" w:lineRule="exact"/>
              <w:jc w:val="center"/>
              <w:rPr>
                <w:rFonts w:hAnsi="標楷體" w:cs="新細明體"/>
                <w:spacing w:val="-10"/>
                <w:kern w:val="0"/>
                <w:sz w:val="26"/>
                <w:szCs w:val="26"/>
              </w:rPr>
            </w:pPr>
            <w:r>
              <w:rPr>
                <w:rFonts w:hAnsi="標楷體" w:cs="新細明體" w:hint="eastAsia"/>
                <w:spacing w:val="-10"/>
                <w:kern w:val="0"/>
                <w:sz w:val="26"/>
                <w:szCs w:val="26"/>
              </w:rPr>
              <w:t>嘉義市</w:t>
            </w:r>
          </w:p>
        </w:tc>
        <w:tc>
          <w:tcPr>
            <w:tcW w:w="2102"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91,583,820</w:t>
            </w:r>
          </w:p>
        </w:tc>
        <w:tc>
          <w:tcPr>
            <w:tcW w:w="2103"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142,277,926</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232,431,107</w:t>
            </w:r>
          </w:p>
        </w:tc>
        <w:tc>
          <w:tcPr>
            <w:tcW w:w="2102"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282,521,897 </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318,245,429 </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411,292,531 </w:t>
            </w:r>
          </w:p>
        </w:tc>
      </w:tr>
      <w:tr w:rsidR="00CB6308" w:rsidTr="00CB6308">
        <w:trPr>
          <w:trHeight w:val="307"/>
        </w:trPr>
        <w:tc>
          <w:tcPr>
            <w:tcW w:w="1414"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widowControl/>
              <w:overflowPunct/>
              <w:autoSpaceDE/>
              <w:spacing w:line="260" w:lineRule="exact"/>
              <w:jc w:val="center"/>
              <w:rPr>
                <w:rFonts w:hAnsi="標楷體" w:cs="新細明體"/>
                <w:spacing w:val="-10"/>
                <w:kern w:val="0"/>
                <w:sz w:val="26"/>
                <w:szCs w:val="26"/>
              </w:rPr>
            </w:pPr>
            <w:r>
              <w:rPr>
                <w:rFonts w:hAnsi="標楷體" w:cs="新細明體" w:hint="eastAsia"/>
                <w:spacing w:val="-10"/>
                <w:kern w:val="0"/>
                <w:sz w:val="26"/>
                <w:szCs w:val="26"/>
              </w:rPr>
              <w:t>金門縣</w:t>
            </w:r>
          </w:p>
        </w:tc>
        <w:tc>
          <w:tcPr>
            <w:tcW w:w="2102"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137,720,772 </w:t>
            </w:r>
          </w:p>
        </w:tc>
        <w:tc>
          <w:tcPr>
            <w:tcW w:w="2103"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123,891,393</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128,921,336</w:t>
            </w:r>
          </w:p>
        </w:tc>
        <w:tc>
          <w:tcPr>
            <w:tcW w:w="2102"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144,669,801 </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178,583,263 </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205,567,258 </w:t>
            </w:r>
          </w:p>
        </w:tc>
      </w:tr>
      <w:tr w:rsidR="00CB6308" w:rsidTr="00CB6308">
        <w:trPr>
          <w:trHeight w:val="307"/>
        </w:trPr>
        <w:tc>
          <w:tcPr>
            <w:tcW w:w="1414"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widowControl/>
              <w:overflowPunct/>
              <w:autoSpaceDE/>
              <w:spacing w:line="260" w:lineRule="exact"/>
              <w:jc w:val="center"/>
              <w:rPr>
                <w:rFonts w:hAnsi="標楷體" w:cs="新細明體"/>
                <w:spacing w:val="-10"/>
                <w:kern w:val="0"/>
                <w:sz w:val="26"/>
                <w:szCs w:val="26"/>
              </w:rPr>
            </w:pPr>
            <w:r>
              <w:rPr>
                <w:rFonts w:hAnsi="標楷體" w:cs="新細明體" w:hint="eastAsia"/>
                <w:spacing w:val="-10"/>
                <w:kern w:val="0"/>
                <w:sz w:val="26"/>
                <w:szCs w:val="26"/>
              </w:rPr>
              <w:t>連江縣</w:t>
            </w:r>
          </w:p>
        </w:tc>
        <w:tc>
          <w:tcPr>
            <w:tcW w:w="2102"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201,656,842 </w:t>
            </w:r>
          </w:p>
        </w:tc>
        <w:tc>
          <w:tcPr>
            <w:tcW w:w="2103"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276,864,866</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355,911,310</w:t>
            </w:r>
          </w:p>
        </w:tc>
        <w:tc>
          <w:tcPr>
            <w:tcW w:w="2102"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453,328,680 </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491,144,774 </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kern w:val="0"/>
                <w:sz w:val="26"/>
                <w:szCs w:val="26"/>
              </w:rPr>
            </w:pPr>
            <w:r>
              <w:rPr>
                <w:rFonts w:ascii="Times New Roman" w:eastAsia="新細明體"/>
                <w:kern w:val="0"/>
                <w:sz w:val="26"/>
                <w:szCs w:val="26"/>
              </w:rPr>
              <w:t xml:space="preserve">523,013,252 </w:t>
            </w:r>
          </w:p>
        </w:tc>
      </w:tr>
      <w:tr w:rsidR="00CB6308" w:rsidTr="00CB6308">
        <w:trPr>
          <w:trHeight w:val="307"/>
        </w:trPr>
        <w:tc>
          <w:tcPr>
            <w:tcW w:w="1414"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pPr>
              <w:widowControl/>
              <w:overflowPunct/>
              <w:autoSpaceDE/>
              <w:spacing w:line="260" w:lineRule="exact"/>
              <w:jc w:val="center"/>
              <w:rPr>
                <w:rFonts w:hAnsi="標楷體" w:cs="新細明體"/>
                <w:b/>
                <w:spacing w:val="-10"/>
                <w:kern w:val="0"/>
                <w:sz w:val="26"/>
                <w:szCs w:val="26"/>
              </w:rPr>
            </w:pPr>
            <w:r>
              <w:rPr>
                <w:rFonts w:hAnsi="標楷體" w:cs="新細明體" w:hint="eastAsia"/>
                <w:b/>
                <w:spacing w:val="-10"/>
                <w:kern w:val="0"/>
                <w:sz w:val="26"/>
                <w:szCs w:val="26"/>
              </w:rPr>
              <w:t>總  計</w:t>
            </w:r>
          </w:p>
        </w:tc>
        <w:tc>
          <w:tcPr>
            <w:tcW w:w="2102"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b/>
                <w:kern w:val="0"/>
                <w:sz w:val="26"/>
                <w:szCs w:val="26"/>
              </w:rPr>
            </w:pPr>
            <w:r>
              <w:rPr>
                <w:rFonts w:ascii="Times New Roman" w:eastAsia="新細明體"/>
                <w:b/>
                <w:kern w:val="0"/>
                <w:sz w:val="26"/>
                <w:szCs w:val="26"/>
              </w:rPr>
              <w:t xml:space="preserve">11,798,963,079 </w:t>
            </w:r>
          </w:p>
        </w:tc>
        <w:tc>
          <w:tcPr>
            <w:tcW w:w="2103" w:type="dxa"/>
            <w:tcBorders>
              <w:top w:val="single" w:sz="8" w:space="0" w:color="000000"/>
              <w:left w:val="single" w:sz="8" w:space="0" w:color="000000"/>
              <w:bottom w:val="single" w:sz="8" w:space="0" w:color="000000"/>
              <w:right w:val="single" w:sz="8" w:space="0" w:color="000000"/>
            </w:tcBorders>
            <w:noWrap/>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b/>
                <w:kern w:val="0"/>
                <w:sz w:val="26"/>
                <w:szCs w:val="26"/>
              </w:rPr>
            </w:pPr>
            <w:r>
              <w:rPr>
                <w:rFonts w:ascii="Times New Roman" w:eastAsia="新細明體"/>
                <w:b/>
                <w:kern w:val="0"/>
                <w:sz w:val="26"/>
                <w:szCs w:val="26"/>
              </w:rPr>
              <w:t>15,041,077,013</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pPr>
              <w:widowControl/>
              <w:overflowPunct/>
              <w:autoSpaceDE/>
              <w:spacing w:line="260" w:lineRule="exact"/>
              <w:jc w:val="right"/>
              <w:rPr>
                <w:rFonts w:ascii="Times New Roman" w:eastAsia="新細明體"/>
                <w:b/>
                <w:kern w:val="0"/>
                <w:sz w:val="26"/>
                <w:szCs w:val="26"/>
              </w:rPr>
            </w:pPr>
            <w:r>
              <w:rPr>
                <w:rFonts w:ascii="Times New Roman" w:eastAsia="新細明體"/>
                <w:b/>
                <w:kern w:val="0"/>
                <w:sz w:val="26"/>
                <w:szCs w:val="26"/>
              </w:rPr>
              <w:t>17,892,225,150</w:t>
            </w:r>
          </w:p>
        </w:tc>
        <w:tc>
          <w:tcPr>
            <w:tcW w:w="2102"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b/>
                <w:kern w:val="0"/>
                <w:sz w:val="26"/>
                <w:szCs w:val="26"/>
              </w:rPr>
            </w:pPr>
            <w:r>
              <w:rPr>
                <w:rFonts w:ascii="Times New Roman" w:eastAsia="新細明體"/>
                <w:b/>
                <w:kern w:val="0"/>
                <w:sz w:val="26"/>
                <w:szCs w:val="26"/>
              </w:rPr>
              <w:t>19,229,582,515</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b/>
                <w:kern w:val="0"/>
                <w:sz w:val="26"/>
                <w:szCs w:val="26"/>
              </w:rPr>
            </w:pPr>
            <w:r>
              <w:rPr>
                <w:rFonts w:ascii="Times New Roman" w:eastAsia="新細明體"/>
                <w:b/>
                <w:kern w:val="0"/>
                <w:sz w:val="26"/>
                <w:szCs w:val="26"/>
              </w:rPr>
              <w:t xml:space="preserve">15,048,524,496 </w:t>
            </w:r>
          </w:p>
        </w:tc>
        <w:tc>
          <w:tcPr>
            <w:tcW w:w="2103" w:type="dxa"/>
            <w:tcBorders>
              <w:top w:val="single" w:sz="8" w:space="0" w:color="000000"/>
              <w:left w:val="single" w:sz="8" w:space="0" w:color="000000"/>
              <w:bottom w:val="single" w:sz="8" w:space="0" w:color="000000"/>
              <w:right w:val="single" w:sz="8" w:space="0" w:color="000000"/>
            </w:tcBorders>
            <w:vAlign w:val="center"/>
            <w:hideMark/>
          </w:tcPr>
          <w:p w:rsidR="00CB6308" w:rsidRDefault="00CB6308" w:rsidP="00CB6308">
            <w:pPr>
              <w:widowControl/>
              <w:overflowPunct/>
              <w:autoSpaceDE/>
              <w:spacing w:line="260" w:lineRule="exact"/>
              <w:ind w:leftChars="-2" w:left="-1" w:rightChars="7" w:right="24" w:hangingChars="2" w:hanging="6"/>
              <w:jc w:val="right"/>
              <w:rPr>
                <w:rFonts w:ascii="Times New Roman" w:eastAsia="新細明體"/>
                <w:b/>
                <w:kern w:val="0"/>
                <w:sz w:val="26"/>
                <w:szCs w:val="26"/>
              </w:rPr>
            </w:pPr>
            <w:r>
              <w:rPr>
                <w:rFonts w:ascii="Times New Roman" w:eastAsia="新細明體"/>
                <w:b/>
                <w:kern w:val="0"/>
                <w:sz w:val="26"/>
                <w:szCs w:val="26"/>
              </w:rPr>
              <w:t xml:space="preserve">15,981,256,581 </w:t>
            </w:r>
          </w:p>
        </w:tc>
      </w:tr>
    </w:tbl>
    <w:p w:rsidR="00CB6308" w:rsidRPr="00CB6308" w:rsidRDefault="00CB6308" w:rsidP="00476043">
      <w:pPr>
        <w:widowControl/>
        <w:overflowPunct/>
        <w:autoSpaceDE/>
        <w:autoSpaceDN/>
        <w:jc w:val="left"/>
      </w:pPr>
      <w:r>
        <w:rPr>
          <w:rFonts w:ascii="Times New Roman" w:hint="eastAsia"/>
          <w:sz w:val="24"/>
          <w:szCs w:val="24"/>
        </w:rPr>
        <w:t>資料來源：財政部</w:t>
      </w:r>
      <w:r>
        <w:rPr>
          <w:rFonts w:ascii="Times New Roman"/>
          <w:sz w:val="24"/>
          <w:szCs w:val="24"/>
        </w:rPr>
        <w:t>104</w:t>
      </w:r>
      <w:r>
        <w:rPr>
          <w:rFonts w:ascii="Times New Roman" w:hint="eastAsia"/>
          <w:sz w:val="24"/>
          <w:szCs w:val="24"/>
        </w:rPr>
        <w:t>年</w:t>
      </w:r>
      <w:r>
        <w:rPr>
          <w:rFonts w:ascii="Times New Roman"/>
          <w:sz w:val="24"/>
          <w:szCs w:val="24"/>
        </w:rPr>
        <w:t>9</w:t>
      </w:r>
      <w:r>
        <w:rPr>
          <w:rFonts w:ascii="Times New Roman" w:hint="eastAsia"/>
          <w:sz w:val="24"/>
          <w:szCs w:val="24"/>
        </w:rPr>
        <w:t>月</w:t>
      </w:r>
      <w:r>
        <w:rPr>
          <w:rFonts w:ascii="Times New Roman"/>
          <w:sz w:val="24"/>
          <w:szCs w:val="24"/>
        </w:rPr>
        <w:t>25</w:t>
      </w:r>
      <w:r>
        <w:rPr>
          <w:rFonts w:ascii="Times New Roman" w:hint="eastAsia"/>
          <w:sz w:val="24"/>
          <w:szCs w:val="24"/>
        </w:rPr>
        <w:t>日台財庫字第</w:t>
      </w:r>
      <w:r>
        <w:rPr>
          <w:rFonts w:ascii="Times New Roman"/>
          <w:sz w:val="24"/>
          <w:szCs w:val="24"/>
        </w:rPr>
        <w:t>10403748320</w:t>
      </w:r>
      <w:r>
        <w:rPr>
          <w:rFonts w:ascii="Times New Roman" w:hint="eastAsia"/>
          <w:sz w:val="24"/>
          <w:szCs w:val="24"/>
        </w:rPr>
        <w:t>號函及該部國庫署網站。</w:t>
      </w:r>
      <w:bookmarkEnd w:id="29"/>
    </w:p>
    <w:sectPr w:rsidR="00CB6308" w:rsidRPr="00CB6308" w:rsidSect="00476043">
      <w:pgSz w:w="16840" w:h="11907" w:orient="landscape" w:code="9"/>
      <w:pgMar w:top="909" w:right="1701"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A01" w:rsidRDefault="00AA7A01">
      <w:r>
        <w:separator/>
      </w:r>
    </w:p>
  </w:endnote>
  <w:endnote w:type="continuationSeparator" w:id="0">
    <w:p w:rsidR="00AA7A01" w:rsidRDefault="00AA7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A01" w:rsidRDefault="00AA7A01">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594004">
      <w:rPr>
        <w:rStyle w:val="ae"/>
        <w:noProof/>
        <w:sz w:val="24"/>
      </w:rPr>
      <w:t>78</w:t>
    </w:r>
    <w:r>
      <w:rPr>
        <w:rStyle w:val="ae"/>
        <w:sz w:val="24"/>
      </w:rPr>
      <w:fldChar w:fldCharType="end"/>
    </w:r>
  </w:p>
  <w:p w:rsidR="00AA7A01" w:rsidRDefault="00AA7A01">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A01" w:rsidRDefault="00AA7A01">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594004">
      <w:rPr>
        <w:rStyle w:val="ae"/>
        <w:noProof/>
        <w:sz w:val="24"/>
      </w:rPr>
      <w:t>264</w:t>
    </w:r>
    <w:r>
      <w:rPr>
        <w:rStyle w:val="ae"/>
        <w:sz w:val="24"/>
      </w:rPr>
      <w:fldChar w:fldCharType="end"/>
    </w:r>
  </w:p>
  <w:p w:rsidR="00AA7A01" w:rsidRDefault="00AA7A0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A01" w:rsidRDefault="00AA7A01">
      <w:r>
        <w:separator/>
      </w:r>
    </w:p>
  </w:footnote>
  <w:footnote w:type="continuationSeparator" w:id="0">
    <w:p w:rsidR="00AA7A01" w:rsidRDefault="00AA7A01">
      <w:r>
        <w:continuationSeparator/>
      </w:r>
    </w:p>
  </w:footnote>
  <w:footnote w:id="1">
    <w:p w:rsidR="00AA7A01" w:rsidRDefault="00AA7A01" w:rsidP="00DC2341">
      <w:pPr>
        <w:pStyle w:val="aff"/>
        <w:kinsoku w:val="0"/>
        <w:ind w:left="264" w:hangingChars="120" w:hanging="264"/>
        <w:jc w:val="both"/>
      </w:pPr>
      <w:r>
        <w:rPr>
          <w:rStyle w:val="aff1"/>
        </w:rPr>
        <w:footnoteRef/>
      </w:r>
      <w:r>
        <w:rPr>
          <w:rFonts w:ascii="Times New Roman" w:hint="eastAsia"/>
          <w:spacing w:val="-4"/>
        </w:rPr>
        <w:t xml:space="preserve">  </w:t>
      </w:r>
      <w:r>
        <w:rPr>
          <w:rFonts w:ascii="Times New Roman" w:hint="eastAsia"/>
          <w:spacing w:val="-4"/>
        </w:rPr>
        <w:t>至於身心障礙者就業基金、建築物無障礙設備與設施改善基金所涉問題，</w:t>
      </w:r>
      <w:r>
        <w:rPr>
          <w:rFonts w:ascii="Times New Roman" w:hint="eastAsia"/>
          <w:color w:val="000000"/>
          <w:spacing w:val="-4"/>
          <w:szCs w:val="32"/>
        </w:rPr>
        <w:t>本院</w:t>
      </w:r>
      <w:r>
        <w:rPr>
          <w:rFonts w:ascii="Times New Roman" w:hint="eastAsia"/>
          <w:spacing w:val="-4"/>
        </w:rPr>
        <w:t>已完成調查並於</w:t>
      </w:r>
      <w:r>
        <w:rPr>
          <w:rFonts w:ascii="Times New Roman"/>
          <w:spacing w:val="-4"/>
        </w:rPr>
        <w:t>106</w:t>
      </w:r>
      <w:r>
        <w:rPr>
          <w:rFonts w:ascii="Times New Roman" w:hint="eastAsia"/>
          <w:spacing w:val="-4"/>
        </w:rPr>
        <w:t>年</w:t>
      </w:r>
      <w:r>
        <w:rPr>
          <w:rFonts w:ascii="Times New Roman"/>
          <w:spacing w:val="-4"/>
        </w:rPr>
        <w:t>2</w:t>
      </w:r>
      <w:r>
        <w:rPr>
          <w:rFonts w:ascii="Times New Roman" w:hint="eastAsia"/>
          <w:spacing w:val="-4"/>
        </w:rPr>
        <w:t>月</w:t>
      </w:r>
      <w:r>
        <w:rPr>
          <w:rFonts w:ascii="Times New Roman"/>
          <w:spacing w:val="-4"/>
        </w:rPr>
        <w:t>8</w:t>
      </w:r>
      <w:r>
        <w:rPr>
          <w:rFonts w:ascii="Times New Roman" w:hint="eastAsia"/>
          <w:spacing w:val="-4"/>
        </w:rPr>
        <w:t>日</w:t>
      </w:r>
      <w:r>
        <w:rPr>
          <w:rFonts w:hint="eastAsia"/>
          <w:spacing w:val="-4"/>
        </w:rPr>
        <w:t>通過</w:t>
      </w:r>
      <w:r w:rsidRPr="00B360FF">
        <w:rPr>
          <w:rFonts w:ascii="Times New Roman" w:hint="eastAsia"/>
        </w:rPr>
        <w:t>調查</w:t>
      </w:r>
      <w:r>
        <w:rPr>
          <w:rFonts w:hint="eastAsia"/>
          <w:spacing w:val="-4"/>
        </w:rPr>
        <w:t>報告</w:t>
      </w:r>
      <w:r>
        <w:rPr>
          <w:rFonts w:ascii="Times New Roman" w:hint="eastAsia"/>
          <w:spacing w:val="-4"/>
        </w:rPr>
        <w:t>，除提案糾正勞動部、內政部營建署外，並函請該</w:t>
      </w:r>
      <w:r>
        <w:rPr>
          <w:rFonts w:ascii="Times New Roman"/>
          <w:spacing w:val="-4"/>
        </w:rPr>
        <w:t>2</w:t>
      </w:r>
      <w:r>
        <w:rPr>
          <w:rFonts w:ascii="Times New Roman" w:hint="eastAsia"/>
          <w:spacing w:val="-4"/>
        </w:rPr>
        <w:t>機關檢討改進在案</w:t>
      </w:r>
      <w:r>
        <w:rPr>
          <w:rFonts w:ascii="Times New Roman" w:hint="eastAsia"/>
          <w:spacing w:val="-4"/>
        </w:rPr>
        <w:t>(</w:t>
      </w:r>
      <w:r w:rsidRPr="007E5728">
        <w:rPr>
          <w:rFonts w:ascii="Times New Roman" w:hint="eastAsia"/>
          <w:spacing w:val="-6"/>
        </w:rPr>
        <w:t>案號：</w:t>
      </w:r>
      <w:r w:rsidRPr="007E5728">
        <w:rPr>
          <w:rFonts w:ascii="Times New Roman"/>
          <w:spacing w:val="-6"/>
        </w:rPr>
        <w:t>106</w:t>
      </w:r>
      <w:r w:rsidRPr="007E5728">
        <w:rPr>
          <w:rFonts w:ascii="Times New Roman" w:hint="eastAsia"/>
          <w:spacing w:val="-6"/>
        </w:rPr>
        <w:t>財調</w:t>
      </w:r>
      <w:r w:rsidRPr="007E5728">
        <w:rPr>
          <w:rFonts w:ascii="Times New Roman"/>
          <w:spacing w:val="-6"/>
        </w:rPr>
        <w:t>0005</w:t>
      </w:r>
      <w:r w:rsidRPr="007E5728">
        <w:rPr>
          <w:rFonts w:ascii="Times New Roman" w:hint="eastAsia"/>
          <w:spacing w:val="-6"/>
        </w:rPr>
        <w:t>、</w:t>
      </w:r>
      <w:r w:rsidRPr="007E5728">
        <w:rPr>
          <w:rFonts w:ascii="Times New Roman"/>
          <w:spacing w:val="-6"/>
        </w:rPr>
        <w:t>106</w:t>
      </w:r>
      <w:r w:rsidRPr="007E5728">
        <w:rPr>
          <w:rFonts w:ascii="Times New Roman" w:hint="eastAsia"/>
          <w:spacing w:val="-6"/>
        </w:rPr>
        <w:t>財正</w:t>
      </w:r>
      <w:r w:rsidRPr="007E5728">
        <w:rPr>
          <w:rFonts w:ascii="Times New Roman"/>
          <w:spacing w:val="-6"/>
        </w:rPr>
        <w:t>0002</w:t>
      </w:r>
      <w:r w:rsidRPr="007E5728">
        <w:rPr>
          <w:rFonts w:ascii="Times New Roman" w:hint="eastAsia"/>
          <w:spacing w:val="-6"/>
        </w:rPr>
        <w:t>。</w:t>
      </w:r>
      <w:r>
        <w:rPr>
          <w:rFonts w:ascii="Times New Roman" w:hint="eastAsia"/>
          <w:spacing w:val="-4"/>
        </w:rPr>
        <w:t>)</w:t>
      </w:r>
    </w:p>
  </w:footnote>
  <w:footnote w:id="2">
    <w:p w:rsidR="00AA7A01" w:rsidRDefault="00AA7A01" w:rsidP="00DC2341">
      <w:pPr>
        <w:pStyle w:val="aff"/>
        <w:kinsoku w:val="0"/>
        <w:ind w:left="264" w:hangingChars="120" w:hanging="264"/>
        <w:jc w:val="both"/>
        <w:rPr>
          <w:rFonts w:ascii="Times New Roman"/>
        </w:rPr>
      </w:pPr>
      <w:r>
        <w:rPr>
          <w:rStyle w:val="aff1"/>
          <w:rFonts w:ascii="Times New Roman"/>
        </w:rPr>
        <w:footnoteRef/>
      </w:r>
      <w:r>
        <w:rPr>
          <w:rFonts w:ascii="Times New Roman"/>
        </w:rPr>
        <w:t xml:space="preserve"> </w:t>
      </w:r>
      <w:r>
        <w:rPr>
          <w:rFonts w:ascii="Times New Roman" w:hint="eastAsia"/>
          <w:spacing w:val="-6"/>
        </w:rPr>
        <w:t>台彩公司接受中國信託商業銀行股份有限公司委託辦理公益彩券之發行、銷售</w:t>
      </w:r>
      <w:r>
        <w:rPr>
          <w:rFonts w:ascii="Times New Roman" w:hint="eastAsia"/>
        </w:rPr>
        <w:t>、促銷、開兌獎作業及管理事宜。</w:t>
      </w:r>
    </w:p>
  </w:footnote>
  <w:footnote w:id="3">
    <w:p w:rsidR="00AA7A01" w:rsidRPr="00136B87" w:rsidRDefault="00AA7A01">
      <w:pPr>
        <w:pStyle w:val="aff"/>
        <w:rPr>
          <w:rFonts w:ascii="Times New Roman"/>
        </w:rPr>
      </w:pPr>
      <w:r>
        <w:rPr>
          <w:rStyle w:val="aff1"/>
        </w:rPr>
        <w:footnoteRef/>
      </w:r>
      <w:r>
        <w:t xml:space="preserve"> </w:t>
      </w:r>
      <w:r w:rsidRPr="00136B87">
        <w:rPr>
          <w:rFonts w:ascii="Times New Roman"/>
        </w:rPr>
        <w:t>劉教授於</w:t>
      </w:r>
      <w:r w:rsidRPr="00136B87">
        <w:rPr>
          <w:rFonts w:ascii="Times New Roman"/>
        </w:rPr>
        <w:t>107</w:t>
      </w:r>
      <w:r w:rsidRPr="00136B87">
        <w:rPr>
          <w:rFonts w:ascii="Times New Roman"/>
        </w:rPr>
        <w:t>年</w:t>
      </w:r>
      <w:r w:rsidRPr="00136B87">
        <w:rPr>
          <w:rFonts w:ascii="Times New Roman"/>
        </w:rPr>
        <w:t>2</w:t>
      </w:r>
      <w:r w:rsidRPr="00136B87">
        <w:rPr>
          <w:rFonts w:ascii="Times New Roman"/>
        </w:rPr>
        <w:t>月起任</w:t>
      </w:r>
      <w:r w:rsidRPr="00136B87">
        <w:rPr>
          <w:rFonts w:ascii="Times New Roman"/>
          <w:szCs w:val="32"/>
        </w:rPr>
        <w:t>國立台灣科技大學副校長。</w:t>
      </w:r>
    </w:p>
  </w:footnote>
  <w:footnote w:id="4">
    <w:p w:rsidR="00AA7A01" w:rsidRPr="005F57FC" w:rsidRDefault="00AA7A01" w:rsidP="00C7556F">
      <w:pPr>
        <w:pStyle w:val="aff"/>
        <w:jc w:val="both"/>
      </w:pPr>
      <w:r>
        <w:rPr>
          <w:rStyle w:val="aff1"/>
        </w:rPr>
        <w:footnoteRef/>
      </w:r>
      <w:r>
        <w:rPr>
          <w:rFonts w:ascii="Times New Roman" w:hint="eastAsia"/>
        </w:rPr>
        <w:t xml:space="preserve"> </w:t>
      </w:r>
      <w:r>
        <w:rPr>
          <w:rFonts w:ascii="Times New Roman" w:hint="eastAsia"/>
        </w:rPr>
        <w:t>公益彩券之發行，由主管機關指定銀行</w:t>
      </w:r>
      <w:r>
        <w:rPr>
          <w:rFonts w:ascii="Times New Roman"/>
        </w:rPr>
        <w:t>(</w:t>
      </w:r>
      <w:r>
        <w:rPr>
          <w:rFonts w:ascii="Times New Roman" w:hint="eastAsia"/>
        </w:rPr>
        <w:t>下稱發行機構</w:t>
      </w:r>
      <w:r>
        <w:rPr>
          <w:rFonts w:ascii="Times New Roman"/>
        </w:rPr>
        <w:t>)</w:t>
      </w:r>
      <w:r>
        <w:rPr>
          <w:rFonts w:ascii="Times New Roman" w:hint="eastAsia"/>
        </w:rPr>
        <w:t>辦理之。</w:t>
      </w:r>
    </w:p>
  </w:footnote>
  <w:footnote w:id="5">
    <w:p w:rsidR="00AA7A01" w:rsidRPr="001A1967" w:rsidRDefault="00AA7A01" w:rsidP="00C7556F">
      <w:pPr>
        <w:pStyle w:val="aff"/>
        <w:jc w:val="both"/>
        <w:rPr>
          <w:rFonts w:ascii="Times New Roman"/>
          <w:spacing w:val="-3"/>
        </w:rPr>
      </w:pPr>
      <w:r>
        <w:rPr>
          <w:rStyle w:val="aff1"/>
        </w:rPr>
        <w:footnoteRef/>
      </w:r>
      <w:r>
        <w:rPr>
          <w:rFonts w:ascii="Times New Roman" w:hint="eastAsia"/>
          <w:spacing w:val="-3"/>
        </w:rPr>
        <w:t xml:space="preserve"> </w:t>
      </w:r>
      <w:r w:rsidRPr="001A1967">
        <w:rPr>
          <w:rFonts w:ascii="Times New Roman" w:hint="eastAsia"/>
          <w:spacing w:val="-3"/>
        </w:rPr>
        <w:t>各地方政府歷年自財政部獲配公益彩券盈餘，為「盈餘分配累計」，由地方政府專款專用運用</w:t>
      </w:r>
      <w:r w:rsidRPr="001A1967">
        <w:rPr>
          <w:rFonts w:ascii="Times New Roman" w:hint="eastAsia"/>
          <w:spacing w:val="-3"/>
        </w:rPr>
        <w:t>(</w:t>
      </w:r>
      <w:r w:rsidRPr="001A1967">
        <w:rPr>
          <w:rFonts w:ascii="Times New Roman" w:hint="eastAsia"/>
          <w:spacing w:val="-3"/>
        </w:rPr>
        <w:t>編列預算執行</w:t>
      </w:r>
      <w:r w:rsidRPr="001A1967">
        <w:rPr>
          <w:rFonts w:ascii="Times New Roman" w:hint="eastAsia"/>
          <w:spacing w:val="-3"/>
        </w:rPr>
        <w:t>)</w:t>
      </w:r>
      <w:r w:rsidRPr="001A1967">
        <w:rPr>
          <w:rFonts w:ascii="Times New Roman" w:hint="eastAsia"/>
          <w:spacing w:val="-3"/>
        </w:rPr>
        <w:t>於社會福利者為</w:t>
      </w:r>
      <w:r w:rsidRPr="001A1967">
        <w:rPr>
          <w:rFonts w:hAnsi="標楷體" w:hint="eastAsia"/>
          <w:spacing w:val="-3"/>
        </w:rPr>
        <w:t>「</w:t>
      </w:r>
      <w:r w:rsidRPr="001A1967">
        <w:rPr>
          <w:rFonts w:ascii="Times New Roman" w:hint="eastAsia"/>
          <w:spacing w:val="-3"/>
        </w:rPr>
        <w:t>執行數累計</w:t>
      </w:r>
      <w:r w:rsidRPr="001A1967">
        <w:rPr>
          <w:rFonts w:hAnsi="標楷體" w:hint="eastAsia"/>
          <w:spacing w:val="-3"/>
        </w:rPr>
        <w:t>」</w:t>
      </w:r>
      <w:r w:rsidRPr="001A1967">
        <w:rPr>
          <w:rFonts w:ascii="Times New Roman" w:hint="eastAsia"/>
          <w:spacing w:val="-3"/>
        </w:rPr>
        <w:t>，盈餘分配數扣除執行數後所得之差額為</w:t>
      </w:r>
      <w:r w:rsidRPr="001A1967">
        <w:rPr>
          <w:rFonts w:hAnsi="標楷體" w:hint="eastAsia"/>
          <w:spacing w:val="-3"/>
        </w:rPr>
        <w:t>「待運用數累計」，其意義為地方政府已獲配公益彩券盈餘惟尚未運用(尚待編列預算並執行)之金額。</w:t>
      </w:r>
    </w:p>
  </w:footnote>
  <w:footnote w:id="6">
    <w:p w:rsidR="00AA7A01" w:rsidRPr="001A1967" w:rsidRDefault="00AA7A01" w:rsidP="00E65E91">
      <w:pPr>
        <w:pStyle w:val="aff"/>
        <w:kinsoku w:val="0"/>
        <w:ind w:left="264" w:hangingChars="120" w:hanging="264"/>
        <w:jc w:val="both"/>
        <w:rPr>
          <w:rFonts w:ascii="Times New Roman"/>
        </w:rPr>
      </w:pPr>
      <w:r w:rsidRPr="001A1967">
        <w:rPr>
          <w:rStyle w:val="aff1"/>
        </w:rPr>
        <w:footnoteRef/>
      </w:r>
      <w:r w:rsidRPr="001A1967">
        <w:rPr>
          <w:rFonts w:ascii="Times New Roman"/>
          <w:spacing w:val="-6"/>
        </w:rPr>
        <w:t xml:space="preserve"> </w:t>
      </w:r>
      <w:r w:rsidRPr="001A1967">
        <w:rPr>
          <w:rFonts w:ascii="Times New Roman" w:hint="eastAsia"/>
        </w:rPr>
        <w:t>截至</w:t>
      </w:r>
      <w:r w:rsidRPr="001A1967">
        <w:rPr>
          <w:rFonts w:ascii="Times New Roman"/>
        </w:rPr>
        <w:t>103</w:t>
      </w:r>
      <w:r w:rsidRPr="001A1967">
        <w:rPr>
          <w:rFonts w:ascii="Times New Roman" w:hint="eastAsia"/>
        </w:rPr>
        <w:t>年底調度餘額為</w:t>
      </w:r>
      <w:r w:rsidRPr="001A1967">
        <w:rPr>
          <w:rFonts w:ascii="Times New Roman"/>
        </w:rPr>
        <w:t>8</w:t>
      </w:r>
      <w:r w:rsidRPr="001A1967">
        <w:rPr>
          <w:rFonts w:ascii="Times New Roman" w:hint="eastAsia"/>
        </w:rPr>
        <w:t>億元，截至</w:t>
      </w:r>
      <w:r w:rsidRPr="001A1967">
        <w:rPr>
          <w:rFonts w:ascii="Times New Roman"/>
        </w:rPr>
        <w:t>104</w:t>
      </w:r>
      <w:r w:rsidRPr="001A1967">
        <w:rPr>
          <w:rFonts w:ascii="Times New Roman" w:hint="eastAsia"/>
        </w:rPr>
        <w:t>年底調度餘額為</w:t>
      </w:r>
      <w:r w:rsidRPr="001A1967">
        <w:rPr>
          <w:rFonts w:ascii="Times New Roman"/>
        </w:rPr>
        <w:t>7.5</w:t>
      </w:r>
      <w:r w:rsidRPr="001A1967">
        <w:rPr>
          <w:rFonts w:ascii="Times New Roman" w:hint="eastAsia"/>
        </w:rPr>
        <w:t>億元。</w:t>
      </w:r>
    </w:p>
  </w:footnote>
  <w:footnote w:id="7">
    <w:p w:rsidR="00AA7A01" w:rsidRPr="008A7013" w:rsidRDefault="00AA7A01" w:rsidP="00C7556F">
      <w:pPr>
        <w:pStyle w:val="aff"/>
      </w:pPr>
      <w:r>
        <w:rPr>
          <w:rStyle w:val="aff1"/>
        </w:rPr>
        <w:footnoteRef/>
      </w:r>
      <w:r>
        <w:rPr>
          <w:rFonts w:ascii="Times New Roman" w:hint="eastAsia"/>
        </w:rPr>
        <w:t xml:space="preserve"> </w:t>
      </w:r>
      <w:r w:rsidRPr="008A7013">
        <w:rPr>
          <w:rFonts w:ascii="Times New Roman" w:hint="eastAsia"/>
        </w:rPr>
        <w:t>截至</w:t>
      </w:r>
      <w:r w:rsidRPr="008A7013">
        <w:rPr>
          <w:rFonts w:ascii="Times New Roman"/>
        </w:rPr>
        <w:t>10</w:t>
      </w:r>
      <w:r w:rsidRPr="008A7013">
        <w:rPr>
          <w:rFonts w:ascii="Times New Roman" w:hint="eastAsia"/>
        </w:rPr>
        <w:t>1</w:t>
      </w:r>
      <w:r w:rsidRPr="008A7013">
        <w:rPr>
          <w:rFonts w:ascii="Times New Roman" w:hint="eastAsia"/>
        </w:rPr>
        <w:t>年底調度餘額為</w:t>
      </w:r>
      <w:r w:rsidRPr="008A7013">
        <w:rPr>
          <w:rFonts w:ascii="Times New Roman" w:hint="eastAsia"/>
        </w:rPr>
        <w:t>6.2</w:t>
      </w:r>
      <w:r w:rsidRPr="008A7013">
        <w:rPr>
          <w:rFonts w:ascii="Times New Roman" w:hint="eastAsia"/>
        </w:rPr>
        <w:t>億元。</w:t>
      </w:r>
    </w:p>
  </w:footnote>
  <w:footnote w:id="8">
    <w:p w:rsidR="00AA7A01" w:rsidRPr="008A7013" w:rsidRDefault="00AA7A01" w:rsidP="00C7556F">
      <w:pPr>
        <w:pStyle w:val="aff"/>
      </w:pPr>
      <w:r>
        <w:rPr>
          <w:rStyle w:val="aff1"/>
        </w:rPr>
        <w:footnoteRef/>
      </w:r>
      <w:r>
        <w:rPr>
          <w:rFonts w:ascii="Times New Roman" w:hint="eastAsia"/>
          <w:color w:val="FF0000"/>
        </w:rPr>
        <w:t xml:space="preserve"> </w:t>
      </w:r>
      <w:r w:rsidRPr="008A7013">
        <w:rPr>
          <w:rFonts w:ascii="Times New Roman" w:hint="eastAsia"/>
        </w:rPr>
        <w:t>截至</w:t>
      </w:r>
      <w:r w:rsidRPr="008A7013">
        <w:rPr>
          <w:rFonts w:ascii="Times New Roman"/>
        </w:rPr>
        <w:t>10</w:t>
      </w:r>
      <w:r w:rsidRPr="008A7013">
        <w:rPr>
          <w:rFonts w:ascii="Times New Roman" w:hint="eastAsia"/>
        </w:rPr>
        <w:t>4</w:t>
      </w:r>
      <w:r w:rsidRPr="008A7013">
        <w:rPr>
          <w:rFonts w:ascii="Times New Roman" w:hint="eastAsia"/>
        </w:rPr>
        <w:t>年底調度餘額為</w:t>
      </w:r>
      <w:r w:rsidRPr="008A7013">
        <w:rPr>
          <w:rFonts w:ascii="Times New Roman" w:hint="eastAsia"/>
        </w:rPr>
        <w:t>3.7</w:t>
      </w:r>
      <w:r w:rsidRPr="008A7013">
        <w:rPr>
          <w:rFonts w:ascii="Times New Roman" w:hint="eastAsia"/>
        </w:rPr>
        <w:t>億元。</w:t>
      </w:r>
    </w:p>
  </w:footnote>
  <w:footnote w:id="9">
    <w:p w:rsidR="00AA7A01" w:rsidRDefault="00AA7A01" w:rsidP="00DC2341">
      <w:pPr>
        <w:pStyle w:val="aff"/>
        <w:kinsoku w:val="0"/>
        <w:ind w:left="264" w:hangingChars="120" w:hanging="264"/>
        <w:jc w:val="both"/>
      </w:pPr>
      <w:r>
        <w:rPr>
          <w:rStyle w:val="aff1"/>
        </w:rPr>
        <w:footnoteRef/>
      </w:r>
      <w:r>
        <w:rPr>
          <w:rFonts w:hint="eastAsia"/>
        </w:rPr>
        <w:t xml:space="preserve"> 依據</w:t>
      </w:r>
      <w:r w:rsidRPr="00475924">
        <w:rPr>
          <w:rFonts w:ascii="Times New Roman" w:hint="eastAsia"/>
        </w:rPr>
        <w:t>財政部</w:t>
      </w:r>
      <w:r>
        <w:rPr>
          <w:rFonts w:hint="eastAsia"/>
        </w:rPr>
        <w:t>提供之資料顯示，僅少數地方政府於部分年度未按時</w:t>
      </w:r>
      <w:r>
        <w:rPr>
          <w:rFonts w:ascii="Times New Roman" w:hint="eastAsia"/>
        </w:rPr>
        <w:t>公告季報表</w:t>
      </w:r>
      <w:r>
        <w:rPr>
          <w:rFonts w:hint="eastAsia"/>
        </w:rPr>
        <w:t>。</w:t>
      </w:r>
    </w:p>
  </w:footnote>
  <w:footnote w:id="10">
    <w:p w:rsidR="00AA7A01" w:rsidRPr="003834F8" w:rsidRDefault="00AA7A01" w:rsidP="00DC2341">
      <w:pPr>
        <w:pStyle w:val="aff"/>
        <w:ind w:left="220" w:hangingChars="100" w:hanging="220"/>
        <w:jc w:val="both"/>
      </w:pPr>
      <w:r>
        <w:rPr>
          <w:rStyle w:val="aff1"/>
        </w:rPr>
        <w:footnoteRef/>
      </w:r>
      <w:r>
        <w:t xml:space="preserve"> </w:t>
      </w:r>
      <w:r w:rsidRPr="006A0024">
        <w:rPr>
          <w:rFonts w:ascii="Times New Roman"/>
          <w:color w:val="000000" w:themeColor="text1"/>
          <w:sz w:val="22"/>
          <w:szCs w:val="22"/>
        </w:rPr>
        <w:t>財政部完成</w:t>
      </w:r>
      <w:r w:rsidRPr="006A0024">
        <w:rPr>
          <w:rFonts w:ascii="Times New Roman"/>
          <w:color w:val="000000" w:themeColor="text1"/>
          <w:sz w:val="22"/>
          <w:szCs w:val="22"/>
        </w:rPr>
        <w:t>105</w:t>
      </w:r>
      <w:r w:rsidRPr="006A0024">
        <w:rPr>
          <w:rFonts w:ascii="Times New Roman"/>
          <w:color w:val="000000" w:themeColor="text1"/>
          <w:sz w:val="22"/>
          <w:szCs w:val="22"/>
        </w:rPr>
        <w:t>年度各級政府向所設基金調度周轉及納入集中支付之基金及專戶金額之統計作業，並於</w:t>
      </w:r>
      <w:r w:rsidRPr="006A0024">
        <w:rPr>
          <w:rFonts w:ascii="Times New Roman"/>
          <w:color w:val="000000" w:themeColor="text1"/>
          <w:sz w:val="22"/>
          <w:szCs w:val="22"/>
        </w:rPr>
        <w:t>106</w:t>
      </w:r>
      <w:r w:rsidRPr="006A0024">
        <w:rPr>
          <w:rFonts w:ascii="Times New Roman"/>
          <w:color w:val="000000" w:themeColor="text1"/>
          <w:sz w:val="22"/>
          <w:szCs w:val="22"/>
        </w:rPr>
        <w:t>年</w:t>
      </w:r>
      <w:r w:rsidRPr="006A0024">
        <w:rPr>
          <w:rFonts w:ascii="Times New Roman"/>
          <w:color w:val="000000" w:themeColor="text1"/>
          <w:sz w:val="22"/>
          <w:szCs w:val="22"/>
        </w:rPr>
        <w:t>10</w:t>
      </w:r>
      <w:r w:rsidRPr="006A0024">
        <w:rPr>
          <w:rFonts w:ascii="Times New Roman"/>
          <w:color w:val="000000" w:themeColor="text1"/>
          <w:sz w:val="22"/>
          <w:szCs w:val="22"/>
        </w:rPr>
        <w:t>月</w:t>
      </w:r>
      <w:r w:rsidRPr="006A0024">
        <w:rPr>
          <w:rFonts w:ascii="Times New Roman"/>
          <w:color w:val="000000" w:themeColor="text1"/>
          <w:sz w:val="22"/>
          <w:szCs w:val="22"/>
        </w:rPr>
        <w:t>19</w:t>
      </w:r>
      <w:r w:rsidRPr="006A0024">
        <w:rPr>
          <w:rFonts w:ascii="Times New Roman"/>
          <w:color w:val="000000" w:themeColor="text1"/>
          <w:sz w:val="22"/>
          <w:szCs w:val="22"/>
        </w:rPr>
        <w:t>日公告相關資訊於該部國庫署網站。</w:t>
      </w:r>
    </w:p>
  </w:footnote>
  <w:footnote w:id="11">
    <w:p w:rsidR="00AA7A01" w:rsidRPr="001A100D" w:rsidRDefault="00AA7A01" w:rsidP="00DC2341">
      <w:pPr>
        <w:pStyle w:val="aff"/>
        <w:ind w:left="220" w:hangingChars="100" w:hanging="220"/>
        <w:jc w:val="both"/>
      </w:pPr>
      <w:r>
        <w:rPr>
          <w:rStyle w:val="aff1"/>
        </w:rPr>
        <w:footnoteRef/>
      </w:r>
      <w:r>
        <w:rPr>
          <w:rFonts w:ascii="Times New Roman" w:hint="eastAsia"/>
          <w:color w:val="FF0000"/>
        </w:rPr>
        <w:t xml:space="preserve"> </w:t>
      </w:r>
      <w:r w:rsidRPr="001A100D">
        <w:rPr>
          <w:rFonts w:ascii="Times New Roman"/>
        </w:rPr>
        <w:t>桃園縣前經行政院核定許可，自</w:t>
      </w:r>
      <w:r w:rsidRPr="001A100D">
        <w:rPr>
          <w:rFonts w:ascii="Times New Roman"/>
        </w:rPr>
        <w:t>100</w:t>
      </w:r>
      <w:r w:rsidRPr="001A100D">
        <w:rPr>
          <w:rFonts w:ascii="Times New Roman"/>
        </w:rPr>
        <w:t>年</w:t>
      </w:r>
      <w:r w:rsidRPr="001A100D">
        <w:rPr>
          <w:rFonts w:ascii="Times New Roman"/>
        </w:rPr>
        <w:t>1</w:t>
      </w:r>
      <w:r w:rsidRPr="001A100D">
        <w:rPr>
          <w:rFonts w:ascii="Times New Roman"/>
        </w:rPr>
        <w:t>月</w:t>
      </w:r>
      <w:r w:rsidRPr="001A100D">
        <w:rPr>
          <w:rFonts w:ascii="Times New Roman"/>
        </w:rPr>
        <w:t>1</w:t>
      </w:r>
      <w:r w:rsidRPr="001A100D">
        <w:rPr>
          <w:rFonts w:ascii="Times New Roman"/>
        </w:rPr>
        <w:t>日起準用直轄市</w:t>
      </w:r>
      <w:r w:rsidRPr="001A100D">
        <w:rPr>
          <w:rFonts w:ascii="Times New Roman" w:hint="eastAsia"/>
        </w:rPr>
        <w:t>之部分規定</w:t>
      </w:r>
      <w:r w:rsidRPr="001A100D">
        <w:rPr>
          <w:rFonts w:ascii="Times New Roman"/>
        </w:rPr>
        <w:t>。</w:t>
      </w:r>
      <w:r w:rsidRPr="001A100D">
        <w:rPr>
          <w:rFonts w:ascii="Times New Roman" w:hint="eastAsia"/>
        </w:rPr>
        <w:t>101</w:t>
      </w:r>
      <w:r w:rsidRPr="001A100D">
        <w:rPr>
          <w:rFonts w:ascii="Times New Roman"/>
        </w:rPr>
        <w:t>年</w:t>
      </w:r>
      <w:r w:rsidRPr="001A100D">
        <w:rPr>
          <w:rFonts w:ascii="Times New Roman"/>
        </w:rPr>
        <w:t>7</w:t>
      </w:r>
      <w:r w:rsidRPr="001A100D">
        <w:rPr>
          <w:rFonts w:ascii="Times New Roman"/>
        </w:rPr>
        <w:t>月提出升格直轄市案</w:t>
      </w:r>
      <w:r w:rsidRPr="001A100D">
        <w:rPr>
          <w:rFonts w:ascii="Times New Roman" w:hint="eastAsia"/>
        </w:rPr>
        <w:t>，同年</w:t>
      </w:r>
      <w:r w:rsidRPr="001A100D">
        <w:rPr>
          <w:rFonts w:ascii="Times New Roman"/>
        </w:rPr>
        <w:t>11</w:t>
      </w:r>
      <w:r w:rsidRPr="001A100D">
        <w:rPr>
          <w:rFonts w:ascii="Times New Roman"/>
        </w:rPr>
        <w:t>月</w:t>
      </w:r>
      <w:r w:rsidRPr="001A100D">
        <w:rPr>
          <w:rFonts w:ascii="Times New Roman"/>
        </w:rPr>
        <w:t>23</w:t>
      </w:r>
      <w:r w:rsidRPr="001A100D">
        <w:rPr>
          <w:rFonts w:ascii="Times New Roman"/>
        </w:rPr>
        <w:t>日</w:t>
      </w:r>
      <w:r w:rsidRPr="001A100D">
        <w:rPr>
          <w:rFonts w:ascii="Times New Roman" w:hint="eastAsia"/>
        </w:rPr>
        <w:t>經</w:t>
      </w:r>
      <w:r w:rsidRPr="001A100D">
        <w:rPr>
          <w:rFonts w:ascii="Times New Roman"/>
        </w:rPr>
        <w:t>內政部審查通過，</w:t>
      </w:r>
      <w:r w:rsidRPr="001A100D">
        <w:rPr>
          <w:rFonts w:ascii="Times New Roman" w:hint="eastAsia"/>
        </w:rPr>
        <w:t>並於</w:t>
      </w:r>
      <w:r w:rsidRPr="001A100D">
        <w:rPr>
          <w:rFonts w:ascii="Times New Roman" w:hint="eastAsia"/>
        </w:rPr>
        <w:t>102</w:t>
      </w:r>
      <w:r w:rsidRPr="001A100D">
        <w:rPr>
          <w:rFonts w:ascii="Times New Roman"/>
        </w:rPr>
        <w:t>年</w:t>
      </w:r>
      <w:r w:rsidRPr="001A100D">
        <w:rPr>
          <w:rFonts w:ascii="Times New Roman"/>
        </w:rPr>
        <w:t>1</w:t>
      </w:r>
      <w:r w:rsidRPr="001A100D">
        <w:rPr>
          <w:rFonts w:ascii="Times New Roman"/>
        </w:rPr>
        <w:t>月</w:t>
      </w:r>
      <w:r w:rsidRPr="001A100D">
        <w:rPr>
          <w:rFonts w:ascii="Times New Roman"/>
        </w:rPr>
        <w:t>3</w:t>
      </w:r>
      <w:r w:rsidRPr="001A100D">
        <w:rPr>
          <w:rFonts w:ascii="Times New Roman"/>
        </w:rPr>
        <w:t>日行政院通過核定改制直轄市，於</w:t>
      </w:r>
      <w:r w:rsidRPr="001A100D">
        <w:rPr>
          <w:rFonts w:ascii="Times New Roman" w:hint="eastAsia"/>
        </w:rPr>
        <w:t>103</w:t>
      </w:r>
      <w:r w:rsidRPr="001A100D">
        <w:rPr>
          <w:rFonts w:ascii="Times New Roman"/>
        </w:rPr>
        <w:t>年</w:t>
      </w:r>
      <w:r w:rsidRPr="001A100D">
        <w:rPr>
          <w:rFonts w:ascii="Times New Roman"/>
        </w:rPr>
        <w:t>12</w:t>
      </w:r>
      <w:r w:rsidRPr="001A100D">
        <w:rPr>
          <w:rFonts w:ascii="Times New Roman"/>
        </w:rPr>
        <w:t>月</w:t>
      </w:r>
      <w:r w:rsidRPr="001A100D">
        <w:rPr>
          <w:rFonts w:ascii="Times New Roman"/>
        </w:rPr>
        <w:t>25</w:t>
      </w:r>
      <w:r w:rsidRPr="001A100D">
        <w:rPr>
          <w:rFonts w:ascii="Times New Roman"/>
        </w:rPr>
        <w:t>日升格直轄市桃園市</w:t>
      </w:r>
      <w:r w:rsidRPr="001A100D">
        <w:rPr>
          <w:rFonts w:ascii="Times New Roman" w:hint="eastAsia"/>
        </w:rPr>
        <w:t>，基上，本案將桃園市劃歸於直轄市範圍。</w:t>
      </w:r>
    </w:p>
  </w:footnote>
  <w:footnote w:id="12">
    <w:p w:rsidR="00AA7A01" w:rsidRDefault="00AA7A01" w:rsidP="00DC2341">
      <w:pPr>
        <w:pStyle w:val="aff"/>
        <w:kinsoku w:val="0"/>
        <w:ind w:left="264" w:hangingChars="120" w:hanging="264"/>
        <w:jc w:val="both"/>
        <w:rPr>
          <w:rFonts w:ascii="Times New Roman"/>
        </w:rPr>
      </w:pPr>
      <w:r>
        <w:rPr>
          <w:rStyle w:val="aff1"/>
        </w:rPr>
        <w:footnoteRef/>
      </w:r>
      <w:r>
        <w:rPr>
          <w:rFonts w:hint="eastAsia"/>
        </w:rPr>
        <w:t xml:space="preserve"> </w:t>
      </w:r>
      <w:r>
        <w:rPr>
          <w:rFonts w:ascii="Times New Roman" w:hint="eastAsia"/>
        </w:rPr>
        <w:t>財政部</w:t>
      </w:r>
      <w:r>
        <w:rPr>
          <w:rFonts w:ascii="Times New Roman"/>
        </w:rPr>
        <w:t>101</w:t>
      </w:r>
      <w:r>
        <w:rPr>
          <w:rFonts w:ascii="Times New Roman" w:hint="eastAsia"/>
        </w:rPr>
        <w:t>年委外研究「公益彩券盈餘運用監督及績效評估之檢討與改進」引述相關文獻資料指出，政府彩券盈餘分配存在「累退性」問題，即購買彩券以窮人居多，但盈餘分配卻流入富人較多的區域；該研究並指出當時分配計算公式除「地方政府均分」部分有重分配效果外，有關轄區人口數比值與轄區銷售額比值層面，確實傾向以「市場機制」作為分配的考量基礎，而較無公彩分配應基於「公益性」考量的意味，該研究爰建議</w:t>
      </w:r>
      <w:r w:rsidRPr="001A100D">
        <w:rPr>
          <w:rFonts w:ascii="Times New Roman" w:hint="eastAsia"/>
        </w:rPr>
        <w:t>財政部對於</w:t>
      </w:r>
      <w:r>
        <w:rPr>
          <w:rFonts w:ascii="Times New Roman" w:hint="eastAsia"/>
        </w:rPr>
        <w:t>分配計算公式未來應可增加一些「非市場性且能激勵地方政府積極辦理社會福利業務」的相關因素，若能重新調整分配計算公式是終極理想。</w:t>
      </w:r>
    </w:p>
  </w:footnote>
  <w:footnote w:id="13">
    <w:p w:rsidR="00AA7A01" w:rsidRDefault="00AA7A01" w:rsidP="00DC2341">
      <w:pPr>
        <w:pStyle w:val="aff"/>
        <w:kinsoku w:val="0"/>
        <w:ind w:left="264" w:hangingChars="120" w:hanging="264"/>
        <w:jc w:val="both"/>
        <w:rPr>
          <w:rFonts w:ascii="Times New Roman"/>
        </w:rPr>
      </w:pPr>
      <w:r>
        <w:rPr>
          <w:rStyle w:val="aff1"/>
        </w:rPr>
        <w:footnoteRef/>
      </w:r>
      <w:r>
        <w:rPr>
          <w:rFonts w:hint="eastAsia"/>
        </w:rPr>
        <w:t xml:space="preserve"> </w:t>
      </w:r>
      <w:r>
        <w:rPr>
          <w:rFonts w:ascii="Times New Roman" w:hint="eastAsia"/>
        </w:rPr>
        <w:t>財政部</w:t>
      </w:r>
      <w:r>
        <w:rPr>
          <w:rFonts w:ascii="Times New Roman"/>
        </w:rPr>
        <w:t>101</w:t>
      </w:r>
      <w:r>
        <w:rPr>
          <w:rFonts w:ascii="Times New Roman" w:hint="eastAsia"/>
        </w:rPr>
        <w:t>年「公益彩券盈餘運用監督機制及績效評估之檢討與改進」委託研究報告。</w:t>
      </w:r>
    </w:p>
  </w:footnote>
  <w:footnote w:id="14">
    <w:p w:rsidR="00AA7A01" w:rsidRDefault="00AA7A01" w:rsidP="00DC2341">
      <w:pPr>
        <w:pStyle w:val="aff"/>
        <w:kinsoku w:val="0"/>
        <w:ind w:left="264" w:hangingChars="120" w:hanging="264"/>
        <w:jc w:val="both"/>
      </w:pPr>
      <w:r>
        <w:rPr>
          <w:rStyle w:val="aff1"/>
        </w:rPr>
        <w:footnoteRef/>
      </w:r>
      <w:r>
        <w:rPr>
          <w:rFonts w:ascii="Times New Roman"/>
        </w:rPr>
        <w:t xml:space="preserve"> </w:t>
      </w:r>
      <w:r>
        <w:rPr>
          <w:rFonts w:ascii="Times New Roman" w:hint="eastAsia"/>
        </w:rPr>
        <w:t>案號：</w:t>
      </w:r>
      <w:r>
        <w:rPr>
          <w:rFonts w:ascii="Times New Roman"/>
        </w:rPr>
        <w:t>106</w:t>
      </w:r>
      <w:r>
        <w:rPr>
          <w:rFonts w:ascii="Times New Roman" w:hint="eastAsia"/>
        </w:rPr>
        <w:t>財調</w:t>
      </w:r>
      <w:r>
        <w:rPr>
          <w:rFonts w:ascii="Times New Roman"/>
        </w:rPr>
        <w:t>0005</w:t>
      </w:r>
      <w:r>
        <w:rPr>
          <w:rFonts w:ascii="Times New Roman" w:hint="eastAsia"/>
        </w:rPr>
        <w:t>、</w:t>
      </w:r>
      <w:r>
        <w:rPr>
          <w:rFonts w:ascii="Times New Roman"/>
        </w:rPr>
        <w:t>106</w:t>
      </w:r>
      <w:r>
        <w:rPr>
          <w:rFonts w:ascii="Times New Roman" w:hint="eastAsia"/>
        </w:rPr>
        <w:t>財正</w:t>
      </w:r>
      <w:r>
        <w:rPr>
          <w:rFonts w:ascii="Times New Roman"/>
        </w:rPr>
        <w:t>0002</w:t>
      </w:r>
      <w:r>
        <w:rPr>
          <w:rFonts w:ascii="Times New Roman" w:hint="eastAsia"/>
        </w:rPr>
        <w:t>。</w:t>
      </w:r>
    </w:p>
  </w:footnote>
  <w:footnote w:id="15">
    <w:p w:rsidR="00AA7A01" w:rsidRPr="0004469B" w:rsidRDefault="00AA7A01" w:rsidP="0040606A">
      <w:pPr>
        <w:pStyle w:val="Default"/>
        <w:kinsoku w:val="0"/>
        <w:overflowPunct w:val="0"/>
        <w:spacing w:line="280" w:lineRule="exact"/>
        <w:ind w:left="265" w:hangingChars="102" w:hanging="265"/>
        <w:jc w:val="both"/>
        <w:rPr>
          <w:rFonts w:ascii="Times New Roman" w:cs="Times New Roman"/>
          <w:color w:val="auto"/>
          <w:kern w:val="2"/>
          <w:sz w:val="20"/>
          <w:szCs w:val="20"/>
        </w:rPr>
      </w:pPr>
      <w:r>
        <w:rPr>
          <w:rStyle w:val="aff1"/>
        </w:rPr>
        <w:footnoteRef/>
      </w:r>
      <w:r>
        <w:t xml:space="preserve"> </w:t>
      </w:r>
      <w:r w:rsidRPr="00430AA2">
        <w:rPr>
          <w:rFonts w:ascii="Times New Roman" w:cs="Times New Roman"/>
          <w:color w:val="auto"/>
          <w:spacing w:val="-4"/>
          <w:kern w:val="2"/>
          <w:sz w:val="20"/>
          <w:szCs w:val="20"/>
        </w:rPr>
        <w:t>依據長期照顧服務法第</w:t>
      </w:r>
      <w:r w:rsidRPr="00430AA2">
        <w:rPr>
          <w:rFonts w:ascii="Times New Roman" w:cs="Times New Roman"/>
          <w:color w:val="auto"/>
          <w:spacing w:val="-4"/>
          <w:kern w:val="2"/>
          <w:sz w:val="20"/>
          <w:szCs w:val="20"/>
        </w:rPr>
        <w:t>15</w:t>
      </w:r>
      <w:r w:rsidRPr="00430AA2">
        <w:rPr>
          <w:rFonts w:ascii="Times New Roman" w:cs="Times New Roman"/>
          <w:color w:val="auto"/>
          <w:spacing w:val="-4"/>
          <w:kern w:val="2"/>
          <w:sz w:val="20"/>
          <w:szCs w:val="20"/>
        </w:rPr>
        <w:t>條第</w:t>
      </w:r>
      <w:r w:rsidRPr="00430AA2">
        <w:rPr>
          <w:rFonts w:ascii="Times New Roman" w:cs="Times New Roman"/>
          <w:color w:val="auto"/>
          <w:spacing w:val="-4"/>
          <w:kern w:val="2"/>
          <w:sz w:val="20"/>
          <w:szCs w:val="20"/>
        </w:rPr>
        <w:t>1</w:t>
      </w:r>
      <w:r w:rsidRPr="00430AA2">
        <w:rPr>
          <w:rFonts w:ascii="Times New Roman" w:cs="Times New Roman"/>
          <w:color w:val="auto"/>
          <w:spacing w:val="-4"/>
          <w:kern w:val="2"/>
          <w:sz w:val="20"/>
          <w:szCs w:val="20"/>
        </w:rPr>
        <w:t>項規定：</w:t>
      </w:r>
      <w:r w:rsidRPr="008D74C0">
        <w:rPr>
          <w:rFonts w:ascii="Times New Roman" w:cs="Times New Roman"/>
          <w:color w:val="auto"/>
          <w:spacing w:val="-4"/>
          <w:kern w:val="2"/>
          <w:sz w:val="20"/>
          <w:szCs w:val="20"/>
        </w:rPr>
        <w:t>中央主管機關為提供長照服務、擴增與普及長照服務量能、促進長照相關資源之發展、提升服務品質與效率、充實並均衡服務與人力資源及補助各項經費，應設置特種基金。基金之來源如下：一、遺產稅及贈與稅稅率由</w:t>
      </w:r>
      <w:r w:rsidRPr="00430AA2">
        <w:rPr>
          <w:rFonts w:ascii="Times New Roman" w:cs="Times New Roman" w:hint="eastAsia"/>
          <w:color w:val="auto"/>
          <w:spacing w:val="-4"/>
          <w:kern w:val="2"/>
          <w:sz w:val="20"/>
          <w:szCs w:val="20"/>
        </w:rPr>
        <w:t>10</w:t>
      </w:r>
      <w:r w:rsidRPr="00430AA2">
        <w:rPr>
          <w:rFonts w:hAnsi="標楷體" w:cs="Times New Roman" w:hint="eastAsia"/>
          <w:color w:val="auto"/>
          <w:spacing w:val="-4"/>
          <w:kern w:val="2"/>
          <w:sz w:val="20"/>
          <w:szCs w:val="20"/>
        </w:rPr>
        <w:t>％</w:t>
      </w:r>
      <w:r w:rsidRPr="008D74C0">
        <w:rPr>
          <w:rFonts w:ascii="Times New Roman" w:cs="Times New Roman"/>
          <w:color w:val="auto"/>
          <w:spacing w:val="-4"/>
          <w:kern w:val="2"/>
          <w:sz w:val="20"/>
          <w:szCs w:val="20"/>
        </w:rPr>
        <w:t>調增至</w:t>
      </w:r>
      <w:r w:rsidRPr="00430AA2">
        <w:rPr>
          <w:rFonts w:ascii="Times New Roman" w:cs="Times New Roman" w:hint="eastAsia"/>
          <w:color w:val="auto"/>
          <w:spacing w:val="-4"/>
          <w:kern w:val="2"/>
          <w:sz w:val="20"/>
          <w:szCs w:val="20"/>
        </w:rPr>
        <w:t>20</w:t>
      </w:r>
      <w:r w:rsidRPr="00430AA2">
        <w:rPr>
          <w:rFonts w:hAnsi="標楷體" w:cs="Times New Roman" w:hint="eastAsia"/>
          <w:color w:val="auto"/>
          <w:spacing w:val="-4"/>
          <w:kern w:val="2"/>
          <w:sz w:val="20"/>
          <w:szCs w:val="20"/>
        </w:rPr>
        <w:t>％</w:t>
      </w:r>
      <w:r w:rsidRPr="008D74C0">
        <w:rPr>
          <w:rFonts w:ascii="Times New Roman" w:cs="Times New Roman"/>
          <w:color w:val="auto"/>
          <w:spacing w:val="-4"/>
          <w:kern w:val="2"/>
          <w:sz w:val="20"/>
          <w:szCs w:val="20"/>
        </w:rPr>
        <w:t>以內所增加之稅課收入</w:t>
      </w:r>
      <w:r w:rsidRPr="00430AA2">
        <w:rPr>
          <w:rFonts w:ascii="Times New Roman" w:cs="Times New Roman" w:hint="eastAsia"/>
          <w:color w:val="auto"/>
          <w:spacing w:val="-4"/>
          <w:kern w:val="2"/>
          <w:sz w:val="20"/>
          <w:szCs w:val="20"/>
        </w:rPr>
        <w:t>；</w:t>
      </w:r>
      <w:r w:rsidRPr="008D74C0">
        <w:rPr>
          <w:rFonts w:ascii="Times New Roman" w:cs="Times New Roman"/>
          <w:color w:val="auto"/>
          <w:spacing w:val="-4"/>
          <w:kern w:val="2"/>
          <w:sz w:val="20"/>
          <w:szCs w:val="20"/>
        </w:rPr>
        <w:t>二、菸酒稅菸品應徵稅額由每千支</w:t>
      </w:r>
      <w:r w:rsidRPr="00430AA2">
        <w:rPr>
          <w:rFonts w:ascii="Times New Roman" w:cs="Times New Roman" w:hint="eastAsia"/>
          <w:color w:val="auto"/>
          <w:spacing w:val="-4"/>
          <w:kern w:val="2"/>
          <w:sz w:val="20"/>
          <w:szCs w:val="20"/>
        </w:rPr>
        <w:t>(</w:t>
      </w:r>
      <w:r w:rsidRPr="008D74C0">
        <w:rPr>
          <w:rFonts w:ascii="Times New Roman" w:cs="Times New Roman"/>
          <w:color w:val="auto"/>
          <w:spacing w:val="-4"/>
          <w:kern w:val="2"/>
          <w:sz w:val="20"/>
          <w:szCs w:val="20"/>
        </w:rPr>
        <w:t>每公斤</w:t>
      </w:r>
      <w:r w:rsidRPr="00430AA2">
        <w:rPr>
          <w:rFonts w:ascii="Times New Roman" w:cs="Times New Roman" w:hint="eastAsia"/>
          <w:color w:val="auto"/>
          <w:spacing w:val="-4"/>
          <w:kern w:val="2"/>
          <w:sz w:val="20"/>
          <w:szCs w:val="20"/>
        </w:rPr>
        <w:t>)</w:t>
      </w:r>
      <w:r w:rsidRPr="008D74C0">
        <w:rPr>
          <w:rFonts w:ascii="Times New Roman" w:cs="Times New Roman"/>
          <w:color w:val="auto"/>
          <w:spacing w:val="-4"/>
          <w:kern w:val="2"/>
          <w:sz w:val="20"/>
          <w:szCs w:val="20"/>
        </w:rPr>
        <w:t>徵收</w:t>
      </w:r>
      <w:r w:rsidRPr="00430AA2">
        <w:rPr>
          <w:rFonts w:ascii="Times New Roman" w:cs="Times New Roman" w:hint="eastAsia"/>
          <w:color w:val="auto"/>
          <w:spacing w:val="-4"/>
          <w:kern w:val="2"/>
          <w:sz w:val="20"/>
          <w:szCs w:val="20"/>
        </w:rPr>
        <w:t>590</w:t>
      </w:r>
      <w:r w:rsidRPr="008D74C0">
        <w:rPr>
          <w:rFonts w:ascii="Times New Roman" w:cs="Times New Roman"/>
          <w:color w:val="auto"/>
          <w:spacing w:val="-4"/>
          <w:kern w:val="2"/>
          <w:sz w:val="20"/>
          <w:szCs w:val="20"/>
        </w:rPr>
        <w:t>元調增至</w:t>
      </w:r>
      <w:r w:rsidRPr="00430AA2">
        <w:rPr>
          <w:rFonts w:ascii="Times New Roman" w:cs="Times New Roman" w:hint="eastAsia"/>
          <w:color w:val="auto"/>
          <w:spacing w:val="-4"/>
          <w:kern w:val="2"/>
          <w:sz w:val="20"/>
          <w:szCs w:val="20"/>
        </w:rPr>
        <w:t>1,590</w:t>
      </w:r>
      <w:r w:rsidRPr="008D74C0">
        <w:rPr>
          <w:rFonts w:ascii="Times New Roman" w:cs="Times New Roman"/>
          <w:color w:val="auto"/>
          <w:spacing w:val="-4"/>
          <w:kern w:val="2"/>
          <w:sz w:val="20"/>
          <w:szCs w:val="20"/>
        </w:rPr>
        <w:t>所增加之稅課收入</w:t>
      </w:r>
      <w:r w:rsidRPr="00430AA2">
        <w:rPr>
          <w:rFonts w:ascii="Times New Roman" w:cs="Times New Roman" w:hint="eastAsia"/>
          <w:color w:val="auto"/>
          <w:spacing w:val="-4"/>
          <w:kern w:val="2"/>
          <w:sz w:val="20"/>
          <w:szCs w:val="20"/>
        </w:rPr>
        <w:t>；</w:t>
      </w:r>
      <w:r w:rsidRPr="008D74C0">
        <w:rPr>
          <w:rFonts w:ascii="Times New Roman" w:cs="Times New Roman"/>
          <w:color w:val="auto"/>
          <w:spacing w:val="-4"/>
          <w:kern w:val="2"/>
          <w:sz w:val="20"/>
          <w:szCs w:val="20"/>
        </w:rPr>
        <w:t>三、政府預算撥充</w:t>
      </w:r>
      <w:r w:rsidRPr="00430AA2">
        <w:rPr>
          <w:rFonts w:ascii="Times New Roman" w:cs="Times New Roman" w:hint="eastAsia"/>
          <w:color w:val="auto"/>
          <w:spacing w:val="-4"/>
          <w:kern w:val="2"/>
          <w:sz w:val="20"/>
          <w:szCs w:val="20"/>
        </w:rPr>
        <w:t>；</w:t>
      </w:r>
      <w:r w:rsidRPr="008D74C0">
        <w:rPr>
          <w:rFonts w:ascii="Times New Roman" w:cs="Times New Roman"/>
          <w:color w:val="auto"/>
          <w:spacing w:val="-4"/>
          <w:kern w:val="2"/>
          <w:sz w:val="20"/>
          <w:szCs w:val="20"/>
        </w:rPr>
        <w:t>四、菸品健康福利捐</w:t>
      </w:r>
      <w:r w:rsidRPr="00430AA2">
        <w:rPr>
          <w:rFonts w:ascii="Times New Roman" w:cs="Times New Roman" w:hint="eastAsia"/>
          <w:color w:val="auto"/>
          <w:spacing w:val="-4"/>
          <w:kern w:val="2"/>
          <w:sz w:val="20"/>
          <w:szCs w:val="20"/>
        </w:rPr>
        <w:t>；</w:t>
      </w:r>
      <w:r w:rsidRPr="008D74C0">
        <w:rPr>
          <w:rFonts w:ascii="Times New Roman" w:cs="Times New Roman"/>
          <w:color w:val="auto"/>
          <w:spacing w:val="-4"/>
          <w:kern w:val="2"/>
          <w:sz w:val="20"/>
          <w:szCs w:val="20"/>
        </w:rPr>
        <w:t>五、捐贈收入</w:t>
      </w:r>
      <w:r w:rsidRPr="00430AA2">
        <w:rPr>
          <w:rFonts w:ascii="Times New Roman" w:cs="Times New Roman" w:hint="eastAsia"/>
          <w:color w:val="auto"/>
          <w:spacing w:val="-4"/>
          <w:kern w:val="2"/>
          <w:sz w:val="20"/>
          <w:szCs w:val="20"/>
        </w:rPr>
        <w:t>；</w:t>
      </w:r>
      <w:r w:rsidRPr="008D74C0">
        <w:rPr>
          <w:rFonts w:ascii="Times New Roman" w:cs="Times New Roman"/>
          <w:color w:val="auto"/>
          <w:spacing w:val="-4"/>
          <w:kern w:val="2"/>
          <w:sz w:val="20"/>
          <w:szCs w:val="20"/>
        </w:rPr>
        <w:t>六、基金孳息收入</w:t>
      </w:r>
      <w:r w:rsidRPr="00430AA2">
        <w:rPr>
          <w:rFonts w:ascii="Times New Roman" w:cs="Times New Roman" w:hint="eastAsia"/>
          <w:color w:val="auto"/>
          <w:spacing w:val="-4"/>
          <w:kern w:val="2"/>
          <w:sz w:val="20"/>
          <w:szCs w:val="20"/>
        </w:rPr>
        <w:t>；</w:t>
      </w:r>
      <w:r w:rsidRPr="008D74C0">
        <w:rPr>
          <w:rFonts w:ascii="Times New Roman" w:cs="Times New Roman"/>
          <w:color w:val="auto"/>
          <w:spacing w:val="-4"/>
          <w:kern w:val="2"/>
          <w:sz w:val="20"/>
          <w:szCs w:val="20"/>
        </w:rPr>
        <w:t>七、其他收入。</w:t>
      </w:r>
    </w:p>
  </w:footnote>
  <w:footnote w:id="16">
    <w:p w:rsidR="00AA7A01" w:rsidRPr="00430AA2" w:rsidRDefault="00AA7A01" w:rsidP="0040606A">
      <w:pPr>
        <w:pStyle w:val="Default"/>
        <w:kinsoku w:val="0"/>
        <w:overflowPunct w:val="0"/>
        <w:spacing w:line="280" w:lineRule="exact"/>
        <w:rPr>
          <w:rFonts w:ascii="Times New Roman" w:cs="Times New Roman"/>
          <w:spacing w:val="-8"/>
          <w:sz w:val="20"/>
          <w:szCs w:val="20"/>
        </w:rPr>
      </w:pPr>
      <w:r>
        <w:rPr>
          <w:rStyle w:val="aff1"/>
        </w:rPr>
        <w:footnoteRef/>
      </w:r>
      <w:r>
        <w:t xml:space="preserve"> </w:t>
      </w:r>
      <w:r w:rsidRPr="00430AA2">
        <w:rPr>
          <w:rFonts w:hint="eastAsia"/>
          <w:spacing w:val="-8"/>
          <w:sz w:val="20"/>
          <w:szCs w:val="20"/>
        </w:rPr>
        <w:t>資</w:t>
      </w:r>
      <w:r w:rsidRPr="00430AA2">
        <w:rPr>
          <w:rFonts w:ascii="Times New Roman" w:cs="Times New Roman"/>
          <w:spacing w:val="-8"/>
          <w:sz w:val="20"/>
          <w:szCs w:val="20"/>
        </w:rPr>
        <w:t>料來源：「長期照顧十年計畫</w:t>
      </w:r>
      <w:r w:rsidRPr="00430AA2">
        <w:rPr>
          <w:rFonts w:ascii="Times New Roman" w:cs="Times New Roman"/>
          <w:spacing w:val="-8"/>
          <w:sz w:val="20"/>
          <w:szCs w:val="20"/>
        </w:rPr>
        <w:t>2.0</w:t>
      </w:r>
      <w:r w:rsidRPr="00430AA2">
        <w:rPr>
          <w:rFonts w:ascii="Times New Roman" w:cs="Times New Roman"/>
          <w:spacing w:val="-8"/>
          <w:sz w:val="20"/>
          <w:szCs w:val="20"/>
        </w:rPr>
        <w:t>」</w:t>
      </w:r>
      <w:r w:rsidRPr="00430AA2">
        <w:rPr>
          <w:rFonts w:ascii="Times New Roman" w:cs="Times New Roman"/>
          <w:spacing w:val="-8"/>
          <w:sz w:val="20"/>
          <w:szCs w:val="20"/>
        </w:rPr>
        <w:t>(106~115</w:t>
      </w:r>
      <w:r w:rsidRPr="00430AA2">
        <w:rPr>
          <w:rFonts w:ascii="Times New Roman" w:cs="Times New Roman"/>
          <w:spacing w:val="-8"/>
          <w:sz w:val="20"/>
          <w:szCs w:val="20"/>
        </w:rPr>
        <w:t>年</w:t>
      </w:r>
      <w:r w:rsidRPr="00430AA2">
        <w:rPr>
          <w:rFonts w:ascii="Times New Roman" w:cs="Times New Roman"/>
          <w:spacing w:val="-8"/>
          <w:sz w:val="20"/>
          <w:szCs w:val="20"/>
        </w:rPr>
        <w:t>)</w:t>
      </w:r>
      <w:r w:rsidRPr="00430AA2">
        <w:rPr>
          <w:rFonts w:ascii="Times New Roman" w:cs="Times New Roman"/>
          <w:spacing w:val="-8"/>
          <w:sz w:val="20"/>
          <w:szCs w:val="20"/>
        </w:rPr>
        <w:t>核定本。</w:t>
      </w:r>
    </w:p>
  </w:footnote>
  <w:footnote w:id="17">
    <w:p w:rsidR="00AA7A01" w:rsidRDefault="00AA7A01" w:rsidP="00DC2341">
      <w:pPr>
        <w:pStyle w:val="aff"/>
        <w:kinsoku w:val="0"/>
        <w:ind w:left="264" w:hangingChars="120" w:hanging="264"/>
        <w:jc w:val="both"/>
      </w:pPr>
      <w:r>
        <w:rPr>
          <w:rStyle w:val="aff1"/>
        </w:rPr>
        <w:footnoteRef/>
      </w:r>
      <w:r>
        <w:rPr>
          <w:rFonts w:hint="eastAsia"/>
        </w:rPr>
        <w:t xml:space="preserve"> </w:t>
      </w:r>
      <w:r w:rsidRPr="00DC4C0D">
        <w:rPr>
          <w:rFonts w:ascii="Times New Roman"/>
          <w:spacing w:val="-4"/>
        </w:rPr>
        <w:t>106</w:t>
      </w:r>
      <w:r w:rsidRPr="00DC4C0D">
        <w:rPr>
          <w:rFonts w:ascii="Times New Roman" w:hint="eastAsia"/>
          <w:spacing w:val="-4"/>
        </w:rPr>
        <w:t>年度運用公益彩券盈餘於「身心障礙者生活補助費、輔助器具費用及日間照顧及住宿式照顧費用等</w:t>
      </w:r>
      <w:r w:rsidRPr="00DC4C0D">
        <w:rPr>
          <w:rFonts w:ascii="Times New Roman"/>
          <w:spacing w:val="-4"/>
        </w:rPr>
        <w:t>3</w:t>
      </w:r>
      <w:r w:rsidRPr="00DC4C0D">
        <w:rPr>
          <w:rFonts w:ascii="Times New Roman" w:hint="eastAsia"/>
          <w:spacing w:val="-4"/>
        </w:rPr>
        <w:t>項補助」、「低收入戶家庭及兒童生活補助」、「低收入戶就學生活補助」、「低收入戶以工代賑」等</w:t>
      </w:r>
      <w:r w:rsidRPr="00DC4C0D">
        <w:rPr>
          <w:rFonts w:ascii="Times New Roman"/>
          <w:spacing w:val="-4"/>
        </w:rPr>
        <w:t>6</w:t>
      </w:r>
      <w:r w:rsidRPr="00DC4C0D">
        <w:rPr>
          <w:rFonts w:ascii="Times New Roman" w:hint="eastAsia"/>
          <w:spacing w:val="-4"/>
        </w:rPr>
        <w:t>項計畫之年度經費編列總額，相較</w:t>
      </w:r>
      <w:r w:rsidRPr="00DC4C0D">
        <w:rPr>
          <w:rFonts w:ascii="Times New Roman"/>
          <w:spacing w:val="-4"/>
        </w:rPr>
        <w:t>105</w:t>
      </w:r>
      <w:r w:rsidRPr="00DC4C0D">
        <w:rPr>
          <w:rFonts w:ascii="Times New Roman" w:hint="eastAsia"/>
          <w:spacing w:val="-4"/>
        </w:rPr>
        <w:t>年度之減少比率：</w:t>
      </w:r>
      <w:r w:rsidRPr="00DC4C0D">
        <w:rPr>
          <w:rFonts w:ascii="Times New Roman"/>
          <w:spacing w:val="-4"/>
        </w:rPr>
        <w:t>(1)</w:t>
      </w:r>
      <w:r w:rsidRPr="00DC4C0D">
        <w:rPr>
          <w:rFonts w:ascii="Times New Roman" w:hint="eastAsia"/>
          <w:spacing w:val="-4"/>
        </w:rPr>
        <w:t>減少比率</w:t>
      </w:r>
      <w:r w:rsidRPr="00DC4C0D">
        <w:rPr>
          <w:rFonts w:ascii="Times New Roman"/>
          <w:spacing w:val="-4"/>
        </w:rPr>
        <w:t>&gt;4%</w:t>
      </w:r>
      <w:r w:rsidRPr="00DC4C0D">
        <w:rPr>
          <w:rFonts w:ascii="Times New Roman" w:hint="eastAsia"/>
          <w:spacing w:val="-4"/>
        </w:rPr>
        <w:t>或完全未編列：</w:t>
      </w:r>
      <w:r w:rsidRPr="00DC4C0D">
        <w:rPr>
          <w:rFonts w:ascii="Times New Roman"/>
          <w:spacing w:val="-4"/>
        </w:rPr>
        <w:t>5</w:t>
      </w:r>
      <w:r w:rsidRPr="00DC4C0D">
        <w:rPr>
          <w:rFonts w:ascii="Times New Roman" w:hint="eastAsia"/>
          <w:spacing w:val="-4"/>
        </w:rPr>
        <w:t>分。</w:t>
      </w:r>
      <w:r w:rsidRPr="00DC4C0D">
        <w:rPr>
          <w:rFonts w:ascii="Times New Roman"/>
          <w:spacing w:val="-4"/>
        </w:rPr>
        <w:t>(2)2%</w:t>
      </w:r>
      <w:r w:rsidRPr="00DC4C0D">
        <w:rPr>
          <w:rFonts w:ascii="Times New Roman" w:hint="eastAsia"/>
          <w:spacing w:val="-4"/>
        </w:rPr>
        <w:t>＜減少比率</w:t>
      </w:r>
      <w:r w:rsidRPr="00DC4C0D">
        <w:rPr>
          <w:rFonts w:ascii="新細明體" w:eastAsia="新細明體" w:hAnsi="新細明體" w:cs="新細明體" w:hint="eastAsia"/>
          <w:spacing w:val="-4"/>
        </w:rPr>
        <w:t>≦</w:t>
      </w:r>
      <w:r w:rsidRPr="00DC4C0D">
        <w:rPr>
          <w:rFonts w:ascii="Times New Roman"/>
          <w:spacing w:val="-4"/>
        </w:rPr>
        <w:t>4%</w:t>
      </w:r>
      <w:r w:rsidRPr="00DC4C0D">
        <w:rPr>
          <w:rFonts w:ascii="Times New Roman" w:hint="eastAsia"/>
          <w:spacing w:val="-4"/>
        </w:rPr>
        <w:t>：</w:t>
      </w:r>
      <w:r w:rsidRPr="00DC4C0D">
        <w:rPr>
          <w:rFonts w:ascii="Times New Roman"/>
          <w:spacing w:val="-4"/>
        </w:rPr>
        <w:t>4</w:t>
      </w:r>
      <w:r w:rsidRPr="00DC4C0D">
        <w:rPr>
          <w:rFonts w:ascii="Times New Roman" w:hint="eastAsia"/>
          <w:spacing w:val="-4"/>
        </w:rPr>
        <w:t>分。</w:t>
      </w:r>
      <w:r w:rsidRPr="00DC4C0D">
        <w:rPr>
          <w:rFonts w:ascii="Times New Roman"/>
          <w:spacing w:val="-4"/>
        </w:rPr>
        <w:t>(3)</w:t>
      </w:r>
      <w:r w:rsidRPr="00DC4C0D">
        <w:rPr>
          <w:rFonts w:ascii="Times New Roman" w:hint="eastAsia"/>
          <w:spacing w:val="-4"/>
        </w:rPr>
        <w:t>減少比率</w:t>
      </w:r>
      <w:r w:rsidRPr="00DC4C0D">
        <w:rPr>
          <w:rFonts w:ascii="新細明體" w:eastAsia="新細明體" w:hAnsi="新細明體" w:cs="新細明體" w:hint="eastAsia"/>
          <w:spacing w:val="-4"/>
        </w:rPr>
        <w:t>≦</w:t>
      </w:r>
      <w:r w:rsidRPr="00DC4C0D">
        <w:rPr>
          <w:rFonts w:ascii="Times New Roman"/>
          <w:spacing w:val="-4"/>
        </w:rPr>
        <w:t>2%</w:t>
      </w:r>
      <w:r w:rsidRPr="00DC4C0D">
        <w:rPr>
          <w:rFonts w:ascii="Times New Roman" w:hint="eastAsia"/>
          <w:spacing w:val="-4"/>
        </w:rPr>
        <w:t>：</w:t>
      </w:r>
      <w:r w:rsidRPr="00DC4C0D">
        <w:rPr>
          <w:rFonts w:ascii="Times New Roman"/>
          <w:spacing w:val="-4"/>
        </w:rPr>
        <w:t>3</w:t>
      </w:r>
      <w:r w:rsidRPr="00DC4C0D">
        <w:rPr>
          <w:rFonts w:ascii="Times New Roman" w:hint="eastAsia"/>
          <w:spacing w:val="-4"/>
        </w:rPr>
        <w:t>分。</w:t>
      </w:r>
      <w:r w:rsidRPr="00DC4C0D">
        <w:rPr>
          <w:rFonts w:ascii="Times New Roman"/>
          <w:spacing w:val="-4"/>
        </w:rPr>
        <w:t>(4)</w:t>
      </w:r>
      <w:r w:rsidRPr="00DC4C0D">
        <w:rPr>
          <w:rFonts w:ascii="Times New Roman"/>
          <w:spacing w:val="-4"/>
        </w:rPr>
        <w:tab/>
      </w:r>
      <w:r w:rsidRPr="00DC4C0D">
        <w:rPr>
          <w:rFonts w:ascii="Times New Roman" w:hint="eastAsia"/>
          <w:spacing w:val="-4"/>
        </w:rPr>
        <w:t>與</w:t>
      </w:r>
      <w:r w:rsidRPr="00DC4C0D">
        <w:rPr>
          <w:rFonts w:ascii="Times New Roman"/>
          <w:spacing w:val="-4"/>
        </w:rPr>
        <w:t>105</w:t>
      </w:r>
      <w:r w:rsidRPr="00DC4C0D">
        <w:rPr>
          <w:rFonts w:ascii="Times New Roman" w:hint="eastAsia"/>
          <w:spacing w:val="-4"/>
        </w:rPr>
        <w:t>年度編列總額相同：</w:t>
      </w:r>
      <w:r w:rsidRPr="00DC4C0D">
        <w:rPr>
          <w:rFonts w:ascii="Times New Roman"/>
          <w:spacing w:val="-4"/>
        </w:rPr>
        <w:t>2</w:t>
      </w:r>
      <w:r w:rsidRPr="00DC4C0D">
        <w:rPr>
          <w:rFonts w:ascii="Times New Roman" w:hint="eastAsia"/>
          <w:spacing w:val="-4"/>
        </w:rPr>
        <w:t>分。</w:t>
      </w:r>
      <w:r w:rsidRPr="00DC4C0D">
        <w:rPr>
          <w:rFonts w:ascii="Times New Roman"/>
          <w:spacing w:val="-4"/>
        </w:rPr>
        <w:t>(5)</w:t>
      </w:r>
      <w:r w:rsidRPr="00DC4C0D">
        <w:rPr>
          <w:rFonts w:ascii="Times New Roman" w:hint="eastAsia"/>
          <w:spacing w:val="-4"/>
        </w:rPr>
        <w:t>較</w:t>
      </w:r>
      <w:r w:rsidRPr="00DC4C0D">
        <w:rPr>
          <w:rFonts w:ascii="Times New Roman"/>
          <w:spacing w:val="-4"/>
        </w:rPr>
        <w:t>105</w:t>
      </w:r>
      <w:r w:rsidRPr="00DC4C0D">
        <w:rPr>
          <w:rFonts w:ascii="Times New Roman" w:hint="eastAsia"/>
          <w:spacing w:val="-4"/>
        </w:rPr>
        <w:t>年度編列總額增加：</w:t>
      </w:r>
      <w:r w:rsidRPr="00DC4C0D">
        <w:rPr>
          <w:rFonts w:ascii="Times New Roman"/>
          <w:spacing w:val="-4"/>
        </w:rPr>
        <w:t>0</w:t>
      </w:r>
      <w:r w:rsidRPr="00DC4C0D">
        <w:rPr>
          <w:rFonts w:ascii="Times New Roman" w:hint="eastAsia"/>
          <w:spacing w:val="-4"/>
        </w:rPr>
        <w:t>分。</w:t>
      </w:r>
    </w:p>
  </w:footnote>
  <w:footnote w:id="18">
    <w:p w:rsidR="00AA7A01" w:rsidRDefault="00AA7A01" w:rsidP="00DC2341">
      <w:pPr>
        <w:pStyle w:val="aff"/>
        <w:kinsoku w:val="0"/>
        <w:ind w:left="264" w:hangingChars="120" w:hanging="264"/>
        <w:jc w:val="both"/>
        <w:rPr>
          <w:rFonts w:ascii="Times New Roman"/>
        </w:rPr>
      </w:pPr>
      <w:r>
        <w:rPr>
          <w:rStyle w:val="aff1"/>
        </w:rPr>
        <w:footnoteRef/>
      </w:r>
      <w:r>
        <w:rPr>
          <w:rFonts w:hint="eastAsia"/>
        </w:rPr>
        <w:t xml:space="preserve"> </w:t>
      </w:r>
      <w:r>
        <w:rPr>
          <w:rFonts w:ascii="Times New Roman" w:hint="eastAsia"/>
        </w:rPr>
        <w:t>依據「</w:t>
      </w:r>
      <w:r>
        <w:rPr>
          <w:rFonts w:ascii="Times New Roman"/>
        </w:rPr>
        <w:t>106</w:t>
      </w:r>
      <w:r>
        <w:rPr>
          <w:rFonts w:ascii="Times New Roman" w:hint="eastAsia"/>
        </w:rPr>
        <w:t>年度公益彩券盈餘運用考核指標及評分標準表」顯示，該項考核指標為「歲出預算是否符合資本性支出規範」；給分標準：「</w:t>
      </w:r>
      <w:r>
        <w:rPr>
          <w:rFonts w:ascii="Times New Roman"/>
        </w:rPr>
        <w:t>(1)</w:t>
      </w:r>
      <w:r>
        <w:rPr>
          <w:rFonts w:ascii="Times New Roman" w:hint="eastAsia"/>
        </w:rPr>
        <w:t>符合：</w:t>
      </w:r>
      <w:r>
        <w:rPr>
          <w:rFonts w:ascii="Times New Roman"/>
        </w:rPr>
        <w:t>4</w:t>
      </w:r>
      <w:r>
        <w:rPr>
          <w:rFonts w:ascii="Times New Roman" w:hint="eastAsia"/>
        </w:rPr>
        <w:t>分；</w:t>
      </w:r>
      <w:r>
        <w:rPr>
          <w:rFonts w:ascii="Times New Roman"/>
        </w:rPr>
        <w:t>(2)</w:t>
      </w:r>
      <w:r>
        <w:rPr>
          <w:rFonts w:ascii="Times New Roman" w:hint="eastAsia"/>
        </w:rPr>
        <w:t>不符合：</w:t>
      </w:r>
      <w:r>
        <w:rPr>
          <w:rFonts w:ascii="Times New Roman"/>
        </w:rPr>
        <w:t>0</w:t>
      </w:r>
      <w:r>
        <w:rPr>
          <w:rFonts w:ascii="Times New Roman" w:hint="eastAsia"/>
        </w:rPr>
        <w:t>分。※資本性支出規範：請依據</w:t>
      </w:r>
      <w:r>
        <w:rPr>
          <w:rFonts w:ascii="Times New Roman"/>
        </w:rPr>
        <w:t>104</w:t>
      </w:r>
      <w:r>
        <w:rPr>
          <w:rFonts w:ascii="Times New Roman" w:hint="eastAsia"/>
        </w:rPr>
        <w:t>年</w:t>
      </w:r>
      <w:r>
        <w:rPr>
          <w:rFonts w:ascii="Times New Roman"/>
        </w:rPr>
        <w:t>6</w:t>
      </w:r>
      <w:r>
        <w:rPr>
          <w:rFonts w:ascii="Times New Roman" w:hint="eastAsia"/>
        </w:rPr>
        <w:t>月</w:t>
      </w:r>
      <w:r>
        <w:rPr>
          <w:rFonts w:ascii="Times New Roman"/>
        </w:rPr>
        <w:t>25</w:t>
      </w:r>
      <w:r>
        <w:rPr>
          <w:rFonts w:ascii="Times New Roman" w:hint="eastAsia"/>
        </w:rPr>
        <w:t>日財政部公益彩券監理委員會第</w:t>
      </w:r>
      <w:r>
        <w:rPr>
          <w:rFonts w:ascii="Times New Roman"/>
        </w:rPr>
        <w:t>63</w:t>
      </w:r>
      <w:r>
        <w:rPr>
          <w:rFonts w:ascii="Times New Roman" w:hint="eastAsia"/>
        </w:rPr>
        <w:t>次會議決議及財政部</w:t>
      </w:r>
      <w:r>
        <w:rPr>
          <w:rFonts w:ascii="Times New Roman"/>
        </w:rPr>
        <w:t>104</w:t>
      </w:r>
      <w:r>
        <w:rPr>
          <w:rFonts w:ascii="Times New Roman" w:hint="eastAsia"/>
        </w:rPr>
        <w:t>年</w:t>
      </w:r>
      <w:r>
        <w:rPr>
          <w:rFonts w:ascii="Times New Roman"/>
        </w:rPr>
        <w:t>7</w:t>
      </w:r>
      <w:r>
        <w:rPr>
          <w:rFonts w:ascii="Times New Roman" w:hint="eastAsia"/>
        </w:rPr>
        <w:t>月</w:t>
      </w:r>
      <w:r>
        <w:rPr>
          <w:rFonts w:ascii="Times New Roman"/>
        </w:rPr>
        <w:t>8</w:t>
      </w:r>
      <w:r>
        <w:rPr>
          <w:rFonts w:ascii="Times New Roman" w:hint="eastAsia"/>
        </w:rPr>
        <w:t>日台財庫字第</w:t>
      </w:r>
      <w:r>
        <w:rPr>
          <w:rFonts w:ascii="Times New Roman"/>
        </w:rPr>
        <w:t>10403702480</w:t>
      </w:r>
      <w:r>
        <w:rPr>
          <w:rFonts w:ascii="Times New Roman" w:hint="eastAsia"/>
        </w:rPr>
        <w:t>號函辦理。」</w:t>
      </w:r>
    </w:p>
  </w:footnote>
  <w:footnote w:id="19">
    <w:p w:rsidR="00AA7A01" w:rsidRDefault="00AA7A01" w:rsidP="00DC2341">
      <w:pPr>
        <w:pStyle w:val="aff"/>
        <w:kinsoku w:val="0"/>
        <w:ind w:left="264" w:hangingChars="120" w:hanging="264"/>
        <w:jc w:val="both"/>
      </w:pPr>
      <w:r>
        <w:rPr>
          <w:rStyle w:val="aff1"/>
        </w:rPr>
        <w:footnoteRef/>
      </w:r>
      <w:r>
        <w:rPr>
          <w:rFonts w:hint="eastAsia"/>
        </w:rPr>
        <w:t xml:space="preserve"> </w:t>
      </w:r>
      <w:r w:rsidRPr="0099109C">
        <w:rPr>
          <w:rFonts w:ascii="Times New Roman"/>
          <w:spacing w:val="-8"/>
        </w:rPr>
        <w:t>累計待運用數成長比率</w:t>
      </w:r>
      <w:r w:rsidRPr="0099109C">
        <w:rPr>
          <w:rFonts w:ascii="Times New Roman"/>
          <w:spacing w:val="-8"/>
        </w:rPr>
        <w:t>=(</w:t>
      </w:r>
      <w:r w:rsidRPr="0099109C">
        <w:rPr>
          <w:rFonts w:ascii="Times New Roman"/>
          <w:spacing w:val="-8"/>
          <w:szCs w:val="32"/>
        </w:rPr>
        <w:t>當年度累計待運用數</w:t>
      </w:r>
      <w:r w:rsidRPr="0099109C">
        <w:rPr>
          <w:rFonts w:ascii="Times New Roman"/>
          <w:spacing w:val="-8"/>
          <w:szCs w:val="32"/>
        </w:rPr>
        <w:t>-</w:t>
      </w:r>
      <w:r w:rsidRPr="0099109C">
        <w:rPr>
          <w:rFonts w:ascii="Times New Roman"/>
          <w:spacing w:val="-8"/>
          <w:szCs w:val="32"/>
        </w:rPr>
        <w:t>前一年度累計待</w:t>
      </w:r>
      <w:r w:rsidRPr="0099109C">
        <w:rPr>
          <w:rFonts w:ascii="Times New Roman"/>
          <w:spacing w:val="-8"/>
        </w:rPr>
        <w:t>運用</w:t>
      </w:r>
      <w:r w:rsidRPr="0099109C">
        <w:rPr>
          <w:rFonts w:ascii="Times New Roman"/>
          <w:spacing w:val="-8"/>
          <w:szCs w:val="32"/>
        </w:rPr>
        <w:t>數</w:t>
      </w:r>
      <w:r w:rsidRPr="0099109C">
        <w:rPr>
          <w:rFonts w:ascii="Times New Roman"/>
          <w:spacing w:val="-8"/>
          <w:szCs w:val="32"/>
        </w:rPr>
        <w:t>)÷</w:t>
      </w:r>
      <w:r w:rsidRPr="0099109C">
        <w:rPr>
          <w:rFonts w:ascii="Times New Roman"/>
          <w:spacing w:val="-8"/>
          <w:szCs w:val="32"/>
        </w:rPr>
        <w:t>前一年度累計待運用數。</w:t>
      </w:r>
    </w:p>
  </w:footnote>
  <w:footnote w:id="20">
    <w:p w:rsidR="00AA7A01" w:rsidRDefault="00AA7A01" w:rsidP="00DC2341">
      <w:pPr>
        <w:pStyle w:val="aff"/>
        <w:kinsoku w:val="0"/>
        <w:ind w:left="264" w:hangingChars="120" w:hanging="264"/>
        <w:jc w:val="both"/>
      </w:pPr>
      <w:r>
        <w:rPr>
          <w:rStyle w:val="aff1"/>
        </w:rPr>
        <w:footnoteRef/>
      </w:r>
      <w:r>
        <w:rPr>
          <w:rFonts w:hint="eastAsia"/>
        </w:rPr>
        <w:t xml:space="preserve"> 已扣除</w:t>
      </w:r>
      <w:r>
        <w:rPr>
          <w:rFonts w:ascii="Times New Roman" w:hint="eastAsia"/>
          <w:szCs w:val="32"/>
        </w:rPr>
        <w:t>其中屬執行計畫型</w:t>
      </w:r>
      <w:r w:rsidRPr="00E2558F">
        <w:rPr>
          <w:rFonts w:hAnsi="標楷體" w:hint="eastAsia"/>
          <w:szCs w:val="32"/>
        </w:rPr>
        <w:t>補助</w:t>
      </w:r>
      <w:r>
        <w:rPr>
          <w:rFonts w:ascii="Times New Roman" w:hint="eastAsia"/>
          <w:szCs w:val="32"/>
        </w:rPr>
        <w:t>案之人力。</w:t>
      </w:r>
    </w:p>
  </w:footnote>
  <w:footnote w:id="21">
    <w:p w:rsidR="00AA7A01" w:rsidRPr="000C0526" w:rsidRDefault="00AA7A01" w:rsidP="00DC2341">
      <w:pPr>
        <w:pStyle w:val="aff"/>
        <w:kinsoku w:val="0"/>
        <w:ind w:left="222" w:hangingChars="101" w:hanging="222"/>
        <w:jc w:val="both"/>
        <w:rPr>
          <w:rFonts w:ascii="Times New Roman"/>
        </w:rPr>
      </w:pPr>
      <w:r>
        <w:rPr>
          <w:rStyle w:val="aff1"/>
        </w:rPr>
        <w:footnoteRef/>
      </w:r>
      <w:r>
        <w:t xml:space="preserve"> </w:t>
      </w:r>
      <w:r w:rsidRPr="000C0526">
        <w:rPr>
          <w:rFonts w:ascii="Times New Roman"/>
        </w:rPr>
        <w:t>依據國民年金法第</w:t>
      </w:r>
      <w:r w:rsidRPr="000C0526">
        <w:rPr>
          <w:rFonts w:ascii="Times New Roman"/>
        </w:rPr>
        <w:t>47</w:t>
      </w:r>
      <w:r w:rsidRPr="000C0526">
        <w:rPr>
          <w:rFonts w:ascii="Times New Roman"/>
        </w:rPr>
        <w:t>條</w:t>
      </w:r>
      <w:r>
        <w:rPr>
          <w:rFonts w:ascii="Times New Roman" w:hint="eastAsia"/>
        </w:rPr>
        <w:t>第</w:t>
      </w:r>
      <w:r>
        <w:rPr>
          <w:rFonts w:ascii="Times New Roman" w:hint="eastAsia"/>
        </w:rPr>
        <w:t>1</w:t>
      </w:r>
      <w:r>
        <w:rPr>
          <w:rFonts w:ascii="Times New Roman" w:hint="eastAsia"/>
        </w:rPr>
        <w:t>項</w:t>
      </w:r>
      <w:r w:rsidRPr="000C0526">
        <w:rPr>
          <w:rFonts w:ascii="Times New Roman"/>
        </w:rPr>
        <w:t>規定：中央主管機關依本法規定應補助之保險費及應負擔之款項，除第</w:t>
      </w:r>
      <w:r>
        <w:rPr>
          <w:rFonts w:ascii="Times New Roman" w:hint="eastAsia"/>
        </w:rPr>
        <w:t>36</w:t>
      </w:r>
      <w:r w:rsidRPr="000C0526">
        <w:rPr>
          <w:rFonts w:ascii="Times New Roman"/>
        </w:rPr>
        <w:t>條規定之基本保證年金應由中央主管機關編列預算支應外，依序由下列來源籌措支應；其有結餘時，應作為以後年度中央政府責任準備：</w:t>
      </w:r>
      <w:r>
        <w:rPr>
          <w:rFonts w:ascii="Times New Roman" w:hint="eastAsia"/>
        </w:rPr>
        <w:t>1</w:t>
      </w:r>
      <w:r w:rsidRPr="000C0526">
        <w:rPr>
          <w:rFonts w:ascii="Times New Roman"/>
        </w:rPr>
        <w:t>、供國民年金之用之公益彩券盈餘</w:t>
      </w:r>
      <w:r>
        <w:rPr>
          <w:rFonts w:ascii="Times New Roman" w:hint="eastAsia"/>
        </w:rPr>
        <w:t>；</w:t>
      </w:r>
      <w:r>
        <w:rPr>
          <w:rFonts w:ascii="Times New Roman" w:hint="eastAsia"/>
        </w:rPr>
        <w:t>2</w:t>
      </w:r>
      <w:r w:rsidRPr="000C0526">
        <w:rPr>
          <w:rFonts w:ascii="Times New Roman"/>
        </w:rPr>
        <w:t>、調增營業稅徵收率百分之一；其實施範圍及期間，由行政院以命令定之。</w:t>
      </w:r>
    </w:p>
  </w:footnote>
  <w:footnote w:id="22">
    <w:p w:rsidR="00AA7A01" w:rsidRDefault="00AA7A01" w:rsidP="0040606A">
      <w:pPr>
        <w:pStyle w:val="aff"/>
      </w:pPr>
      <w:r>
        <w:rPr>
          <w:rStyle w:val="aff1"/>
        </w:rPr>
        <w:footnoteRef/>
      </w:r>
      <w:r>
        <w:rPr>
          <w:rFonts w:ascii="Times New Roman" w:hint="eastAsia"/>
        </w:rPr>
        <w:t xml:space="preserve"> </w:t>
      </w:r>
      <w:r w:rsidRPr="00E174B5">
        <w:rPr>
          <w:rFonts w:ascii="Times New Roman" w:hint="eastAsia"/>
        </w:rPr>
        <w:t>每</w:t>
      </w:r>
      <w:r w:rsidRPr="00E174B5">
        <w:rPr>
          <w:rFonts w:ascii="Times New Roman"/>
        </w:rPr>
        <w:t>2</w:t>
      </w:r>
      <w:r w:rsidRPr="00E174B5">
        <w:rPr>
          <w:rFonts w:ascii="Times New Roman" w:hint="eastAsia"/>
        </w:rPr>
        <w:t>年採行實地考核，未辦理實地考核之年度，則採行書面考核</w:t>
      </w:r>
      <w:r>
        <w:rPr>
          <w:rFonts w:ascii="Times New Roman"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1EB9"/>
    <w:multiLevelType w:val="hybridMultilevel"/>
    <w:tmpl w:val="01822C7E"/>
    <w:lvl w:ilvl="0" w:tplc="66FAEEBC">
      <w:start w:val="1"/>
      <w:numFmt w:val="decimal"/>
      <w:lvlText w:val="%1."/>
      <w:lvlJc w:val="left"/>
      <w:pPr>
        <w:ind w:left="466" w:hanging="480"/>
      </w:pPr>
      <w:rPr>
        <w:rFonts w:ascii="Times New Roman" w:hAnsi="Times New Roman" w:cs="Times New Roman" w:hint="default"/>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745D4A"/>
    <w:multiLevelType w:val="hybridMultilevel"/>
    <w:tmpl w:val="01822C7E"/>
    <w:lvl w:ilvl="0" w:tplc="66FAEEBC">
      <w:start w:val="1"/>
      <w:numFmt w:val="decimal"/>
      <w:lvlText w:val="%1."/>
      <w:lvlJc w:val="left"/>
      <w:pPr>
        <w:ind w:left="466" w:hanging="480"/>
      </w:pPr>
      <w:rPr>
        <w:rFonts w:ascii="Times New Roman" w:hAnsi="Times New Roman" w:cs="Times New Roman" w:hint="default"/>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3" w15:restartNumberingAfterBreak="0">
    <w:nsid w:val="0AE3502A"/>
    <w:multiLevelType w:val="hybridMultilevel"/>
    <w:tmpl w:val="01822C7E"/>
    <w:lvl w:ilvl="0" w:tplc="66FAEEBC">
      <w:start w:val="1"/>
      <w:numFmt w:val="decimal"/>
      <w:lvlText w:val="%1."/>
      <w:lvlJc w:val="left"/>
      <w:pPr>
        <w:ind w:left="466" w:hanging="480"/>
      </w:pPr>
      <w:rPr>
        <w:rFonts w:ascii="Times New Roman" w:hAnsi="Times New Roman" w:cs="Times New Roman" w:hint="default"/>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4" w15:restartNumberingAfterBreak="0">
    <w:nsid w:val="0B26633D"/>
    <w:multiLevelType w:val="hybridMultilevel"/>
    <w:tmpl w:val="65B42A72"/>
    <w:lvl w:ilvl="0" w:tplc="4B266FFA">
      <w:start w:val="1"/>
      <w:numFmt w:val="decimal"/>
      <w:lvlText w:val="%1、"/>
      <w:lvlJc w:val="left"/>
      <w:pPr>
        <w:ind w:left="2077" w:hanging="720"/>
      </w:pPr>
      <w:rPr>
        <w:rFonts w:hint="default"/>
      </w:rPr>
    </w:lvl>
    <w:lvl w:ilvl="1" w:tplc="04090019" w:tentative="1">
      <w:start w:val="1"/>
      <w:numFmt w:val="ideographTraditional"/>
      <w:lvlText w:val="%2、"/>
      <w:lvlJc w:val="left"/>
      <w:pPr>
        <w:ind w:left="2317" w:hanging="480"/>
      </w:pPr>
    </w:lvl>
    <w:lvl w:ilvl="2" w:tplc="0409001B" w:tentative="1">
      <w:start w:val="1"/>
      <w:numFmt w:val="lowerRoman"/>
      <w:lvlText w:val="%3."/>
      <w:lvlJc w:val="right"/>
      <w:pPr>
        <w:ind w:left="2797" w:hanging="480"/>
      </w:pPr>
    </w:lvl>
    <w:lvl w:ilvl="3" w:tplc="0409000F" w:tentative="1">
      <w:start w:val="1"/>
      <w:numFmt w:val="decimal"/>
      <w:lvlText w:val="%4."/>
      <w:lvlJc w:val="left"/>
      <w:pPr>
        <w:ind w:left="3277" w:hanging="480"/>
      </w:pPr>
    </w:lvl>
    <w:lvl w:ilvl="4" w:tplc="04090019" w:tentative="1">
      <w:start w:val="1"/>
      <w:numFmt w:val="ideographTraditional"/>
      <w:lvlText w:val="%5、"/>
      <w:lvlJc w:val="left"/>
      <w:pPr>
        <w:ind w:left="3757" w:hanging="480"/>
      </w:pPr>
    </w:lvl>
    <w:lvl w:ilvl="5" w:tplc="0409001B" w:tentative="1">
      <w:start w:val="1"/>
      <w:numFmt w:val="lowerRoman"/>
      <w:lvlText w:val="%6."/>
      <w:lvlJc w:val="right"/>
      <w:pPr>
        <w:ind w:left="4237" w:hanging="480"/>
      </w:pPr>
    </w:lvl>
    <w:lvl w:ilvl="6" w:tplc="0409000F" w:tentative="1">
      <w:start w:val="1"/>
      <w:numFmt w:val="decimal"/>
      <w:lvlText w:val="%7."/>
      <w:lvlJc w:val="left"/>
      <w:pPr>
        <w:ind w:left="4717" w:hanging="480"/>
      </w:pPr>
    </w:lvl>
    <w:lvl w:ilvl="7" w:tplc="04090019" w:tentative="1">
      <w:start w:val="1"/>
      <w:numFmt w:val="ideographTraditional"/>
      <w:lvlText w:val="%8、"/>
      <w:lvlJc w:val="left"/>
      <w:pPr>
        <w:ind w:left="5197" w:hanging="480"/>
      </w:pPr>
    </w:lvl>
    <w:lvl w:ilvl="8" w:tplc="0409001B" w:tentative="1">
      <w:start w:val="1"/>
      <w:numFmt w:val="lowerRoman"/>
      <w:lvlText w:val="%9."/>
      <w:lvlJc w:val="right"/>
      <w:pPr>
        <w:ind w:left="5677" w:hanging="480"/>
      </w:pPr>
    </w:lvl>
  </w:abstractNum>
  <w:abstractNum w:abstractNumId="5" w15:restartNumberingAfterBreak="0">
    <w:nsid w:val="0C3213EB"/>
    <w:multiLevelType w:val="hybridMultilevel"/>
    <w:tmpl w:val="9EA0E722"/>
    <w:lvl w:ilvl="0" w:tplc="CC208BC0">
      <w:start w:val="1"/>
      <w:numFmt w:val="decimal"/>
      <w:lvlText w:val="(%1)"/>
      <w:lvlJc w:val="right"/>
      <w:pPr>
        <w:ind w:left="2861" w:hanging="480"/>
      </w:pPr>
      <w:rPr>
        <w:rFonts w:hint="eastAsia"/>
      </w:rPr>
    </w:lvl>
    <w:lvl w:ilvl="1" w:tplc="04090019" w:tentative="1">
      <w:start w:val="1"/>
      <w:numFmt w:val="ideographTraditional"/>
      <w:lvlText w:val="%2、"/>
      <w:lvlJc w:val="left"/>
      <w:pPr>
        <w:ind w:left="3341" w:hanging="480"/>
      </w:pPr>
    </w:lvl>
    <w:lvl w:ilvl="2" w:tplc="0409001B" w:tentative="1">
      <w:start w:val="1"/>
      <w:numFmt w:val="lowerRoman"/>
      <w:lvlText w:val="%3."/>
      <w:lvlJc w:val="right"/>
      <w:pPr>
        <w:ind w:left="3821" w:hanging="480"/>
      </w:pPr>
    </w:lvl>
    <w:lvl w:ilvl="3" w:tplc="0409000F" w:tentative="1">
      <w:start w:val="1"/>
      <w:numFmt w:val="decimal"/>
      <w:lvlText w:val="%4."/>
      <w:lvlJc w:val="left"/>
      <w:pPr>
        <w:ind w:left="4301" w:hanging="480"/>
      </w:pPr>
    </w:lvl>
    <w:lvl w:ilvl="4" w:tplc="04090019" w:tentative="1">
      <w:start w:val="1"/>
      <w:numFmt w:val="ideographTraditional"/>
      <w:lvlText w:val="%5、"/>
      <w:lvlJc w:val="left"/>
      <w:pPr>
        <w:ind w:left="4781" w:hanging="480"/>
      </w:pPr>
    </w:lvl>
    <w:lvl w:ilvl="5" w:tplc="0409001B" w:tentative="1">
      <w:start w:val="1"/>
      <w:numFmt w:val="lowerRoman"/>
      <w:lvlText w:val="%6."/>
      <w:lvlJc w:val="right"/>
      <w:pPr>
        <w:ind w:left="5261" w:hanging="480"/>
      </w:pPr>
    </w:lvl>
    <w:lvl w:ilvl="6" w:tplc="0409000F" w:tentative="1">
      <w:start w:val="1"/>
      <w:numFmt w:val="decimal"/>
      <w:lvlText w:val="%7."/>
      <w:lvlJc w:val="left"/>
      <w:pPr>
        <w:ind w:left="5741" w:hanging="480"/>
      </w:pPr>
    </w:lvl>
    <w:lvl w:ilvl="7" w:tplc="04090019" w:tentative="1">
      <w:start w:val="1"/>
      <w:numFmt w:val="ideographTraditional"/>
      <w:lvlText w:val="%8、"/>
      <w:lvlJc w:val="left"/>
      <w:pPr>
        <w:ind w:left="6221" w:hanging="480"/>
      </w:pPr>
    </w:lvl>
    <w:lvl w:ilvl="8" w:tplc="0409001B" w:tentative="1">
      <w:start w:val="1"/>
      <w:numFmt w:val="lowerRoman"/>
      <w:lvlText w:val="%9."/>
      <w:lvlJc w:val="right"/>
      <w:pPr>
        <w:ind w:left="6701" w:hanging="480"/>
      </w:pPr>
    </w:lvl>
  </w:abstractNum>
  <w:abstractNum w:abstractNumId="6" w15:restartNumberingAfterBreak="0">
    <w:nsid w:val="11826B51"/>
    <w:multiLevelType w:val="hybridMultilevel"/>
    <w:tmpl w:val="01822C7E"/>
    <w:lvl w:ilvl="0" w:tplc="66FAEEBC">
      <w:start w:val="1"/>
      <w:numFmt w:val="decimal"/>
      <w:lvlText w:val="%1."/>
      <w:lvlJc w:val="left"/>
      <w:pPr>
        <w:ind w:left="466" w:hanging="480"/>
      </w:pPr>
      <w:rPr>
        <w:rFonts w:ascii="Times New Roman" w:hAnsi="Times New Roman" w:cs="Times New Roman" w:hint="default"/>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7" w15:restartNumberingAfterBreak="0">
    <w:nsid w:val="140E010C"/>
    <w:multiLevelType w:val="multilevel"/>
    <w:tmpl w:val="30EC228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color w:val="auto"/>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9532EFC"/>
    <w:multiLevelType w:val="hybridMultilevel"/>
    <w:tmpl w:val="E8E65E2A"/>
    <w:lvl w:ilvl="0" w:tplc="EBFE2FCE">
      <w:start w:val="1"/>
      <w:numFmt w:val="taiwaneseCountingThousand"/>
      <w:pStyle w:val="a0"/>
      <w:lvlText w:val="附表%1、"/>
      <w:lvlJc w:val="left"/>
      <w:pPr>
        <w:tabs>
          <w:tab w:val="num" w:pos="1440"/>
        </w:tabs>
        <w:ind w:left="695" w:hanging="695"/>
      </w:pPr>
      <w:rPr>
        <w:rFonts w:ascii="標楷體" w:eastAsia="標楷體" w:hint="eastAsia"/>
        <w:b/>
        <w:i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D811E5A"/>
    <w:multiLevelType w:val="hybridMultilevel"/>
    <w:tmpl w:val="189C9CEC"/>
    <w:lvl w:ilvl="0" w:tplc="752C9E3E">
      <w:start w:val="1"/>
      <w:numFmt w:val="bullet"/>
      <w:lvlText w:val=""/>
      <w:lvlJc w:val="left"/>
      <w:pPr>
        <w:tabs>
          <w:tab w:val="num" w:pos="720"/>
        </w:tabs>
        <w:ind w:left="720" w:hanging="360"/>
      </w:pPr>
      <w:rPr>
        <w:rFonts w:ascii="Wingdings" w:hAnsi="Wingdings" w:hint="default"/>
      </w:rPr>
    </w:lvl>
    <w:lvl w:ilvl="1" w:tplc="26D8A65A" w:tentative="1">
      <w:start w:val="1"/>
      <w:numFmt w:val="bullet"/>
      <w:lvlText w:val=""/>
      <w:lvlJc w:val="left"/>
      <w:pPr>
        <w:tabs>
          <w:tab w:val="num" w:pos="1440"/>
        </w:tabs>
        <w:ind w:left="1440" w:hanging="360"/>
      </w:pPr>
      <w:rPr>
        <w:rFonts w:ascii="Wingdings" w:hAnsi="Wingdings" w:hint="default"/>
      </w:rPr>
    </w:lvl>
    <w:lvl w:ilvl="2" w:tplc="764A5026" w:tentative="1">
      <w:start w:val="1"/>
      <w:numFmt w:val="bullet"/>
      <w:lvlText w:val=""/>
      <w:lvlJc w:val="left"/>
      <w:pPr>
        <w:tabs>
          <w:tab w:val="num" w:pos="2160"/>
        </w:tabs>
        <w:ind w:left="2160" w:hanging="360"/>
      </w:pPr>
      <w:rPr>
        <w:rFonts w:ascii="Wingdings" w:hAnsi="Wingdings" w:hint="default"/>
      </w:rPr>
    </w:lvl>
    <w:lvl w:ilvl="3" w:tplc="173A5CE8" w:tentative="1">
      <w:start w:val="1"/>
      <w:numFmt w:val="bullet"/>
      <w:lvlText w:val=""/>
      <w:lvlJc w:val="left"/>
      <w:pPr>
        <w:tabs>
          <w:tab w:val="num" w:pos="2880"/>
        </w:tabs>
        <w:ind w:left="2880" w:hanging="360"/>
      </w:pPr>
      <w:rPr>
        <w:rFonts w:ascii="Wingdings" w:hAnsi="Wingdings" w:hint="default"/>
      </w:rPr>
    </w:lvl>
    <w:lvl w:ilvl="4" w:tplc="BC64D0AA" w:tentative="1">
      <w:start w:val="1"/>
      <w:numFmt w:val="bullet"/>
      <w:lvlText w:val=""/>
      <w:lvlJc w:val="left"/>
      <w:pPr>
        <w:tabs>
          <w:tab w:val="num" w:pos="3600"/>
        </w:tabs>
        <w:ind w:left="3600" w:hanging="360"/>
      </w:pPr>
      <w:rPr>
        <w:rFonts w:ascii="Wingdings" w:hAnsi="Wingdings" w:hint="default"/>
      </w:rPr>
    </w:lvl>
    <w:lvl w:ilvl="5" w:tplc="BEDA54F2" w:tentative="1">
      <w:start w:val="1"/>
      <w:numFmt w:val="bullet"/>
      <w:lvlText w:val=""/>
      <w:lvlJc w:val="left"/>
      <w:pPr>
        <w:tabs>
          <w:tab w:val="num" w:pos="4320"/>
        </w:tabs>
        <w:ind w:left="4320" w:hanging="360"/>
      </w:pPr>
      <w:rPr>
        <w:rFonts w:ascii="Wingdings" w:hAnsi="Wingdings" w:hint="default"/>
      </w:rPr>
    </w:lvl>
    <w:lvl w:ilvl="6" w:tplc="5B68FAEC" w:tentative="1">
      <w:start w:val="1"/>
      <w:numFmt w:val="bullet"/>
      <w:lvlText w:val=""/>
      <w:lvlJc w:val="left"/>
      <w:pPr>
        <w:tabs>
          <w:tab w:val="num" w:pos="5040"/>
        </w:tabs>
        <w:ind w:left="5040" w:hanging="360"/>
      </w:pPr>
      <w:rPr>
        <w:rFonts w:ascii="Wingdings" w:hAnsi="Wingdings" w:hint="default"/>
      </w:rPr>
    </w:lvl>
    <w:lvl w:ilvl="7" w:tplc="C35AE608" w:tentative="1">
      <w:start w:val="1"/>
      <w:numFmt w:val="bullet"/>
      <w:lvlText w:val=""/>
      <w:lvlJc w:val="left"/>
      <w:pPr>
        <w:tabs>
          <w:tab w:val="num" w:pos="5760"/>
        </w:tabs>
        <w:ind w:left="5760" w:hanging="360"/>
      </w:pPr>
      <w:rPr>
        <w:rFonts w:ascii="Wingdings" w:hAnsi="Wingdings" w:hint="default"/>
      </w:rPr>
    </w:lvl>
    <w:lvl w:ilvl="8" w:tplc="43B24FC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CE157A"/>
    <w:multiLevelType w:val="hybridMultilevel"/>
    <w:tmpl w:val="01822C7E"/>
    <w:lvl w:ilvl="0" w:tplc="66FAEEBC">
      <w:start w:val="1"/>
      <w:numFmt w:val="decimal"/>
      <w:lvlText w:val="%1."/>
      <w:lvlJc w:val="left"/>
      <w:pPr>
        <w:ind w:left="466" w:hanging="480"/>
      </w:pPr>
      <w:rPr>
        <w:rFonts w:ascii="Times New Roman" w:hAnsi="Times New Roman" w:cs="Times New Roman" w:hint="default"/>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11" w15:restartNumberingAfterBreak="0">
    <w:nsid w:val="2E6521DB"/>
    <w:multiLevelType w:val="hybridMultilevel"/>
    <w:tmpl w:val="01822C7E"/>
    <w:lvl w:ilvl="0" w:tplc="66FAEEBC">
      <w:start w:val="1"/>
      <w:numFmt w:val="decimal"/>
      <w:lvlText w:val="%1."/>
      <w:lvlJc w:val="left"/>
      <w:pPr>
        <w:ind w:left="466" w:hanging="480"/>
      </w:pPr>
      <w:rPr>
        <w:rFonts w:ascii="Times New Roman" w:hAnsi="Times New Roman" w:cs="Times New Roman" w:hint="default"/>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12" w15:restartNumberingAfterBreak="0">
    <w:nsid w:val="307E1850"/>
    <w:multiLevelType w:val="hybridMultilevel"/>
    <w:tmpl w:val="CD04C340"/>
    <w:lvl w:ilvl="0" w:tplc="E54AFC38">
      <w:start w:val="1"/>
      <w:numFmt w:val="bullet"/>
      <w:lvlText w:val=""/>
      <w:lvlJc w:val="left"/>
      <w:pPr>
        <w:tabs>
          <w:tab w:val="num" w:pos="720"/>
        </w:tabs>
        <w:ind w:left="720" w:hanging="360"/>
      </w:pPr>
      <w:rPr>
        <w:rFonts w:ascii="Wingdings" w:hAnsi="Wingdings" w:hint="default"/>
      </w:rPr>
    </w:lvl>
    <w:lvl w:ilvl="1" w:tplc="809679B4" w:tentative="1">
      <w:start w:val="1"/>
      <w:numFmt w:val="bullet"/>
      <w:lvlText w:val=""/>
      <w:lvlJc w:val="left"/>
      <w:pPr>
        <w:tabs>
          <w:tab w:val="num" w:pos="1440"/>
        </w:tabs>
        <w:ind w:left="1440" w:hanging="360"/>
      </w:pPr>
      <w:rPr>
        <w:rFonts w:ascii="Wingdings" w:hAnsi="Wingdings" w:hint="default"/>
      </w:rPr>
    </w:lvl>
    <w:lvl w:ilvl="2" w:tplc="6C2EADF4" w:tentative="1">
      <w:start w:val="1"/>
      <w:numFmt w:val="bullet"/>
      <w:lvlText w:val=""/>
      <w:lvlJc w:val="left"/>
      <w:pPr>
        <w:tabs>
          <w:tab w:val="num" w:pos="2160"/>
        </w:tabs>
        <w:ind w:left="2160" w:hanging="360"/>
      </w:pPr>
      <w:rPr>
        <w:rFonts w:ascii="Wingdings" w:hAnsi="Wingdings" w:hint="default"/>
      </w:rPr>
    </w:lvl>
    <w:lvl w:ilvl="3" w:tplc="163A2DB8" w:tentative="1">
      <w:start w:val="1"/>
      <w:numFmt w:val="bullet"/>
      <w:lvlText w:val=""/>
      <w:lvlJc w:val="left"/>
      <w:pPr>
        <w:tabs>
          <w:tab w:val="num" w:pos="2880"/>
        </w:tabs>
        <w:ind w:left="2880" w:hanging="360"/>
      </w:pPr>
      <w:rPr>
        <w:rFonts w:ascii="Wingdings" w:hAnsi="Wingdings" w:hint="default"/>
      </w:rPr>
    </w:lvl>
    <w:lvl w:ilvl="4" w:tplc="67D26226" w:tentative="1">
      <w:start w:val="1"/>
      <w:numFmt w:val="bullet"/>
      <w:lvlText w:val=""/>
      <w:lvlJc w:val="left"/>
      <w:pPr>
        <w:tabs>
          <w:tab w:val="num" w:pos="3600"/>
        </w:tabs>
        <w:ind w:left="3600" w:hanging="360"/>
      </w:pPr>
      <w:rPr>
        <w:rFonts w:ascii="Wingdings" w:hAnsi="Wingdings" w:hint="default"/>
      </w:rPr>
    </w:lvl>
    <w:lvl w:ilvl="5" w:tplc="BF327A34" w:tentative="1">
      <w:start w:val="1"/>
      <w:numFmt w:val="bullet"/>
      <w:lvlText w:val=""/>
      <w:lvlJc w:val="left"/>
      <w:pPr>
        <w:tabs>
          <w:tab w:val="num" w:pos="4320"/>
        </w:tabs>
        <w:ind w:left="4320" w:hanging="360"/>
      </w:pPr>
      <w:rPr>
        <w:rFonts w:ascii="Wingdings" w:hAnsi="Wingdings" w:hint="default"/>
      </w:rPr>
    </w:lvl>
    <w:lvl w:ilvl="6" w:tplc="9294C836" w:tentative="1">
      <w:start w:val="1"/>
      <w:numFmt w:val="bullet"/>
      <w:lvlText w:val=""/>
      <w:lvlJc w:val="left"/>
      <w:pPr>
        <w:tabs>
          <w:tab w:val="num" w:pos="5040"/>
        </w:tabs>
        <w:ind w:left="5040" w:hanging="360"/>
      </w:pPr>
      <w:rPr>
        <w:rFonts w:ascii="Wingdings" w:hAnsi="Wingdings" w:hint="default"/>
      </w:rPr>
    </w:lvl>
    <w:lvl w:ilvl="7" w:tplc="5BB80A76" w:tentative="1">
      <w:start w:val="1"/>
      <w:numFmt w:val="bullet"/>
      <w:lvlText w:val=""/>
      <w:lvlJc w:val="left"/>
      <w:pPr>
        <w:tabs>
          <w:tab w:val="num" w:pos="5760"/>
        </w:tabs>
        <w:ind w:left="5760" w:hanging="360"/>
      </w:pPr>
      <w:rPr>
        <w:rFonts w:ascii="Wingdings" w:hAnsi="Wingdings" w:hint="default"/>
      </w:rPr>
    </w:lvl>
    <w:lvl w:ilvl="8" w:tplc="9AA6729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6C7AC0"/>
    <w:multiLevelType w:val="hybridMultilevel"/>
    <w:tmpl w:val="604EE468"/>
    <w:lvl w:ilvl="0" w:tplc="773EFE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CFE143F"/>
    <w:multiLevelType w:val="hybridMultilevel"/>
    <w:tmpl w:val="17CAF2C6"/>
    <w:lvl w:ilvl="0" w:tplc="277E543C">
      <w:start w:val="1"/>
      <w:numFmt w:val="decimal"/>
      <w:pStyle w:val="a1"/>
      <w:lvlText w:val="圖%1　"/>
      <w:lvlJc w:val="left"/>
      <w:pPr>
        <w:ind w:left="2891" w:hanging="480"/>
      </w:pPr>
      <w:rPr>
        <w:rFonts w:ascii="Times New Roman" w:eastAsia="標楷體" w:hAnsi="Times New Roman" w:cs="Times New Roman" w:hint="default"/>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DF23364"/>
    <w:multiLevelType w:val="hybridMultilevel"/>
    <w:tmpl w:val="01822C7E"/>
    <w:lvl w:ilvl="0" w:tplc="66FAEEBC">
      <w:start w:val="1"/>
      <w:numFmt w:val="decimal"/>
      <w:lvlText w:val="%1."/>
      <w:lvlJc w:val="left"/>
      <w:pPr>
        <w:ind w:left="466" w:hanging="480"/>
      </w:pPr>
      <w:rPr>
        <w:rFonts w:ascii="Times New Roman" w:hAnsi="Times New Roman" w:cs="Times New Roman" w:hint="default"/>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16" w15:restartNumberingAfterBreak="0">
    <w:nsid w:val="3E172ED6"/>
    <w:multiLevelType w:val="hybridMultilevel"/>
    <w:tmpl w:val="DE089B2E"/>
    <w:lvl w:ilvl="0" w:tplc="E1D4FE48">
      <w:start w:val="1"/>
      <w:numFmt w:val="decimal"/>
      <w:lvlText w:val="%1."/>
      <w:lvlJc w:val="left"/>
      <w:pPr>
        <w:ind w:left="89" w:hanging="480"/>
      </w:pPr>
      <w:rPr>
        <w:rFonts w:hint="eastAsia"/>
      </w:rPr>
    </w:lvl>
    <w:lvl w:ilvl="1" w:tplc="04090019" w:tentative="1">
      <w:start w:val="1"/>
      <w:numFmt w:val="ideographTraditional"/>
      <w:lvlText w:val="%2、"/>
      <w:lvlJc w:val="left"/>
      <w:pPr>
        <w:ind w:left="569" w:hanging="480"/>
      </w:pPr>
    </w:lvl>
    <w:lvl w:ilvl="2" w:tplc="0409001B" w:tentative="1">
      <w:start w:val="1"/>
      <w:numFmt w:val="lowerRoman"/>
      <w:lvlText w:val="%3."/>
      <w:lvlJc w:val="right"/>
      <w:pPr>
        <w:ind w:left="1049" w:hanging="480"/>
      </w:pPr>
    </w:lvl>
    <w:lvl w:ilvl="3" w:tplc="0409000F" w:tentative="1">
      <w:start w:val="1"/>
      <w:numFmt w:val="decimal"/>
      <w:lvlText w:val="%4."/>
      <w:lvlJc w:val="left"/>
      <w:pPr>
        <w:ind w:left="1529" w:hanging="480"/>
      </w:pPr>
    </w:lvl>
    <w:lvl w:ilvl="4" w:tplc="04090019" w:tentative="1">
      <w:start w:val="1"/>
      <w:numFmt w:val="ideographTraditional"/>
      <w:lvlText w:val="%5、"/>
      <w:lvlJc w:val="left"/>
      <w:pPr>
        <w:ind w:left="2009" w:hanging="480"/>
      </w:pPr>
    </w:lvl>
    <w:lvl w:ilvl="5" w:tplc="0409001B" w:tentative="1">
      <w:start w:val="1"/>
      <w:numFmt w:val="lowerRoman"/>
      <w:lvlText w:val="%6."/>
      <w:lvlJc w:val="right"/>
      <w:pPr>
        <w:ind w:left="2489" w:hanging="480"/>
      </w:pPr>
    </w:lvl>
    <w:lvl w:ilvl="6" w:tplc="0409000F" w:tentative="1">
      <w:start w:val="1"/>
      <w:numFmt w:val="decimal"/>
      <w:lvlText w:val="%7."/>
      <w:lvlJc w:val="left"/>
      <w:pPr>
        <w:ind w:left="2969" w:hanging="480"/>
      </w:pPr>
    </w:lvl>
    <w:lvl w:ilvl="7" w:tplc="04090019" w:tentative="1">
      <w:start w:val="1"/>
      <w:numFmt w:val="ideographTraditional"/>
      <w:lvlText w:val="%8、"/>
      <w:lvlJc w:val="left"/>
      <w:pPr>
        <w:ind w:left="3449" w:hanging="480"/>
      </w:pPr>
    </w:lvl>
    <w:lvl w:ilvl="8" w:tplc="0409001B" w:tentative="1">
      <w:start w:val="1"/>
      <w:numFmt w:val="lowerRoman"/>
      <w:lvlText w:val="%9."/>
      <w:lvlJc w:val="right"/>
      <w:pPr>
        <w:ind w:left="3929" w:hanging="480"/>
      </w:pPr>
    </w:lvl>
  </w:abstractNum>
  <w:abstractNum w:abstractNumId="17" w15:restartNumberingAfterBreak="0">
    <w:nsid w:val="3E492598"/>
    <w:multiLevelType w:val="hybridMultilevel"/>
    <w:tmpl w:val="D1567F04"/>
    <w:lvl w:ilvl="0" w:tplc="5DA4C11A">
      <w:start w:val="1"/>
      <w:numFmt w:val="bullet"/>
      <w:lvlText w:val=""/>
      <w:lvlJc w:val="left"/>
      <w:pPr>
        <w:tabs>
          <w:tab w:val="num" w:pos="720"/>
        </w:tabs>
        <w:ind w:left="720" w:hanging="360"/>
      </w:pPr>
      <w:rPr>
        <w:rFonts w:ascii="Wingdings" w:hAnsi="Wingdings" w:hint="default"/>
      </w:rPr>
    </w:lvl>
    <w:lvl w:ilvl="1" w:tplc="B358AF24" w:tentative="1">
      <w:start w:val="1"/>
      <w:numFmt w:val="bullet"/>
      <w:lvlText w:val=""/>
      <w:lvlJc w:val="left"/>
      <w:pPr>
        <w:tabs>
          <w:tab w:val="num" w:pos="1440"/>
        </w:tabs>
        <w:ind w:left="1440" w:hanging="360"/>
      </w:pPr>
      <w:rPr>
        <w:rFonts w:ascii="Wingdings" w:hAnsi="Wingdings" w:hint="default"/>
      </w:rPr>
    </w:lvl>
    <w:lvl w:ilvl="2" w:tplc="75B05B12" w:tentative="1">
      <w:start w:val="1"/>
      <w:numFmt w:val="bullet"/>
      <w:lvlText w:val=""/>
      <w:lvlJc w:val="left"/>
      <w:pPr>
        <w:tabs>
          <w:tab w:val="num" w:pos="2160"/>
        </w:tabs>
        <w:ind w:left="2160" w:hanging="360"/>
      </w:pPr>
      <w:rPr>
        <w:rFonts w:ascii="Wingdings" w:hAnsi="Wingdings" w:hint="default"/>
      </w:rPr>
    </w:lvl>
    <w:lvl w:ilvl="3" w:tplc="34CE2A66" w:tentative="1">
      <w:start w:val="1"/>
      <w:numFmt w:val="bullet"/>
      <w:lvlText w:val=""/>
      <w:lvlJc w:val="left"/>
      <w:pPr>
        <w:tabs>
          <w:tab w:val="num" w:pos="2880"/>
        </w:tabs>
        <w:ind w:left="2880" w:hanging="360"/>
      </w:pPr>
      <w:rPr>
        <w:rFonts w:ascii="Wingdings" w:hAnsi="Wingdings" w:hint="default"/>
      </w:rPr>
    </w:lvl>
    <w:lvl w:ilvl="4" w:tplc="CF2EA5BA" w:tentative="1">
      <w:start w:val="1"/>
      <w:numFmt w:val="bullet"/>
      <w:lvlText w:val=""/>
      <w:lvlJc w:val="left"/>
      <w:pPr>
        <w:tabs>
          <w:tab w:val="num" w:pos="3600"/>
        </w:tabs>
        <w:ind w:left="3600" w:hanging="360"/>
      </w:pPr>
      <w:rPr>
        <w:rFonts w:ascii="Wingdings" w:hAnsi="Wingdings" w:hint="default"/>
      </w:rPr>
    </w:lvl>
    <w:lvl w:ilvl="5" w:tplc="3E2ECFE6" w:tentative="1">
      <w:start w:val="1"/>
      <w:numFmt w:val="bullet"/>
      <w:lvlText w:val=""/>
      <w:lvlJc w:val="left"/>
      <w:pPr>
        <w:tabs>
          <w:tab w:val="num" w:pos="4320"/>
        </w:tabs>
        <w:ind w:left="4320" w:hanging="360"/>
      </w:pPr>
      <w:rPr>
        <w:rFonts w:ascii="Wingdings" w:hAnsi="Wingdings" w:hint="default"/>
      </w:rPr>
    </w:lvl>
    <w:lvl w:ilvl="6" w:tplc="48C03C96" w:tentative="1">
      <w:start w:val="1"/>
      <w:numFmt w:val="bullet"/>
      <w:lvlText w:val=""/>
      <w:lvlJc w:val="left"/>
      <w:pPr>
        <w:tabs>
          <w:tab w:val="num" w:pos="5040"/>
        </w:tabs>
        <w:ind w:left="5040" w:hanging="360"/>
      </w:pPr>
      <w:rPr>
        <w:rFonts w:ascii="Wingdings" w:hAnsi="Wingdings" w:hint="default"/>
      </w:rPr>
    </w:lvl>
    <w:lvl w:ilvl="7" w:tplc="AE0EEE96" w:tentative="1">
      <w:start w:val="1"/>
      <w:numFmt w:val="bullet"/>
      <w:lvlText w:val=""/>
      <w:lvlJc w:val="left"/>
      <w:pPr>
        <w:tabs>
          <w:tab w:val="num" w:pos="5760"/>
        </w:tabs>
        <w:ind w:left="5760" w:hanging="360"/>
      </w:pPr>
      <w:rPr>
        <w:rFonts w:ascii="Wingdings" w:hAnsi="Wingdings" w:hint="default"/>
      </w:rPr>
    </w:lvl>
    <w:lvl w:ilvl="8" w:tplc="9704E86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7BB1396"/>
    <w:multiLevelType w:val="hybridMultilevel"/>
    <w:tmpl w:val="01822C7E"/>
    <w:lvl w:ilvl="0" w:tplc="66FAEEBC">
      <w:start w:val="1"/>
      <w:numFmt w:val="decimal"/>
      <w:lvlText w:val="%1."/>
      <w:lvlJc w:val="left"/>
      <w:pPr>
        <w:ind w:left="466" w:hanging="480"/>
      </w:pPr>
      <w:rPr>
        <w:rFonts w:ascii="Times New Roman" w:hAnsi="Times New Roman" w:cs="Times New Roman" w:hint="default"/>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20" w15:restartNumberingAfterBreak="0">
    <w:nsid w:val="484A7B55"/>
    <w:multiLevelType w:val="hybridMultilevel"/>
    <w:tmpl w:val="ED880206"/>
    <w:lvl w:ilvl="0" w:tplc="13166F9A">
      <w:start w:val="1"/>
      <w:numFmt w:val="upperLetter"/>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5F5684"/>
    <w:multiLevelType w:val="hybridMultilevel"/>
    <w:tmpl w:val="C4A81454"/>
    <w:lvl w:ilvl="0" w:tplc="34028C8C">
      <w:start w:val="1"/>
      <w:numFmt w:val="decimal"/>
      <w:pStyle w:val="a3"/>
      <w:lvlText w:val="表%1　"/>
      <w:lvlJc w:val="left"/>
      <w:pPr>
        <w:ind w:left="2607" w:hanging="480"/>
      </w:pPr>
      <w:rPr>
        <w:rFonts w:ascii="Times New Roman" w:eastAsia="標楷體" w:hAnsi="Times New Roman" w:cs="Times New Roman" w:hint="default"/>
        <w:b/>
        <w:i w:val="0"/>
        <w:color w:val="auto"/>
        <w:sz w:val="28"/>
        <w:lang w:val="en-US"/>
      </w:rPr>
    </w:lvl>
    <w:lvl w:ilvl="1" w:tplc="04090019">
      <w:start w:val="1"/>
      <w:numFmt w:val="ideographTraditional"/>
      <w:lvlText w:val="%2、"/>
      <w:lvlJc w:val="left"/>
      <w:pPr>
        <w:tabs>
          <w:tab w:val="num" w:pos="2804"/>
        </w:tabs>
        <w:ind w:left="2804" w:hanging="480"/>
      </w:pPr>
    </w:lvl>
    <w:lvl w:ilvl="2" w:tplc="0409001B" w:tentative="1">
      <w:start w:val="1"/>
      <w:numFmt w:val="lowerRoman"/>
      <w:lvlText w:val="%3."/>
      <w:lvlJc w:val="right"/>
      <w:pPr>
        <w:tabs>
          <w:tab w:val="num" w:pos="3284"/>
        </w:tabs>
        <w:ind w:left="3284" w:hanging="480"/>
      </w:pPr>
    </w:lvl>
    <w:lvl w:ilvl="3" w:tplc="0409000F" w:tentative="1">
      <w:start w:val="1"/>
      <w:numFmt w:val="decimal"/>
      <w:lvlText w:val="%4."/>
      <w:lvlJc w:val="left"/>
      <w:pPr>
        <w:tabs>
          <w:tab w:val="num" w:pos="3764"/>
        </w:tabs>
        <w:ind w:left="3764" w:hanging="480"/>
      </w:pPr>
    </w:lvl>
    <w:lvl w:ilvl="4" w:tplc="04090019" w:tentative="1">
      <w:start w:val="1"/>
      <w:numFmt w:val="ideographTraditional"/>
      <w:lvlText w:val="%5、"/>
      <w:lvlJc w:val="left"/>
      <w:pPr>
        <w:tabs>
          <w:tab w:val="num" w:pos="4244"/>
        </w:tabs>
        <w:ind w:left="4244" w:hanging="480"/>
      </w:pPr>
    </w:lvl>
    <w:lvl w:ilvl="5" w:tplc="0409001B" w:tentative="1">
      <w:start w:val="1"/>
      <w:numFmt w:val="lowerRoman"/>
      <w:lvlText w:val="%6."/>
      <w:lvlJc w:val="right"/>
      <w:pPr>
        <w:tabs>
          <w:tab w:val="num" w:pos="4724"/>
        </w:tabs>
        <w:ind w:left="4724" w:hanging="480"/>
      </w:pPr>
    </w:lvl>
    <w:lvl w:ilvl="6" w:tplc="0409000F" w:tentative="1">
      <w:start w:val="1"/>
      <w:numFmt w:val="decimal"/>
      <w:lvlText w:val="%7."/>
      <w:lvlJc w:val="left"/>
      <w:pPr>
        <w:tabs>
          <w:tab w:val="num" w:pos="5204"/>
        </w:tabs>
        <w:ind w:left="5204" w:hanging="480"/>
      </w:pPr>
    </w:lvl>
    <w:lvl w:ilvl="7" w:tplc="04090019" w:tentative="1">
      <w:start w:val="1"/>
      <w:numFmt w:val="ideographTraditional"/>
      <w:lvlText w:val="%8、"/>
      <w:lvlJc w:val="left"/>
      <w:pPr>
        <w:tabs>
          <w:tab w:val="num" w:pos="5684"/>
        </w:tabs>
        <w:ind w:left="5684" w:hanging="480"/>
      </w:pPr>
    </w:lvl>
    <w:lvl w:ilvl="8" w:tplc="0409001B" w:tentative="1">
      <w:start w:val="1"/>
      <w:numFmt w:val="lowerRoman"/>
      <w:lvlText w:val="%9."/>
      <w:lvlJc w:val="right"/>
      <w:pPr>
        <w:tabs>
          <w:tab w:val="num" w:pos="6164"/>
        </w:tabs>
        <w:ind w:left="6164" w:hanging="480"/>
      </w:pPr>
    </w:lvl>
  </w:abstractNum>
  <w:abstractNum w:abstractNumId="22" w15:restartNumberingAfterBreak="0">
    <w:nsid w:val="52072DFE"/>
    <w:multiLevelType w:val="hybridMultilevel"/>
    <w:tmpl w:val="01822C7E"/>
    <w:lvl w:ilvl="0" w:tplc="66FAEEBC">
      <w:start w:val="1"/>
      <w:numFmt w:val="decimal"/>
      <w:lvlText w:val="%1."/>
      <w:lvlJc w:val="left"/>
      <w:pPr>
        <w:ind w:left="466" w:hanging="480"/>
      </w:pPr>
      <w:rPr>
        <w:rFonts w:ascii="Times New Roman" w:hAnsi="Times New Roman" w:cs="Times New Roman" w:hint="default"/>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2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43963B5"/>
    <w:multiLevelType w:val="hybridMultilevel"/>
    <w:tmpl w:val="01822C7E"/>
    <w:lvl w:ilvl="0" w:tplc="66FAEEBC">
      <w:start w:val="1"/>
      <w:numFmt w:val="decimal"/>
      <w:lvlText w:val="%1."/>
      <w:lvlJc w:val="left"/>
      <w:pPr>
        <w:ind w:left="466" w:hanging="480"/>
      </w:pPr>
      <w:rPr>
        <w:rFonts w:ascii="Times New Roman" w:hAnsi="Times New Roman" w:cs="Times New Roman" w:hint="default"/>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2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ED54B47"/>
    <w:multiLevelType w:val="hybridMultilevel"/>
    <w:tmpl w:val="01822C7E"/>
    <w:lvl w:ilvl="0" w:tplc="66FAEEBC">
      <w:start w:val="1"/>
      <w:numFmt w:val="decimal"/>
      <w:lvlText w:val="%1."/>
      <w:lvlJc w:val="left"/>
      <w:pPr>
        <w:ind w:left="466" w:hanging="480"/>
      </w:pPr>
      <w:rPr>
        <w:rFonts w:ascii="Times New Roman" w:hAnsi="Times New Roman" w:cs="Times New Roman" w:hint="default"/>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27" w15:restartNumberingAfterBreak="0">
    <w:nsid w:val="5F1166DD"/>
    <w:multiLevelType w:val="hybridMultilevel"/>
    <w:tmpl w:val="DE089B2E"/>
    <w:lvl w:ilvl="0" w:tplc="E1D4FE48">
      <w:start w:val="1"/>
      <w:numFmt w:val="decimal"/>
      <w:lvlText w:val="%1."/>
      <w:lvlJc w:val="left"/>
      <w:pPr>
        <w:ind w:left="89" w:hanging="480"/>
      </w:pPr>
      <w:rPr>
        <w:rFonts w:hint="eastAsia"/>
      </w:rPr>
    </w:lvl>
    <w:lvl w:ilvl="1" w:tplc="04090019" w:tentative="1">
      <w:start w:val="1"/>
      <w:numFmt w:val="ideographTraditional"/>
      <w:lvlText w:val="%2、"/>
      <w:lvlJc w:val="left"/>
      <w:pPr>
        <w:ind w:left="569" w:hanging="480"/>
      </w:pPr>
    </w:lvl>
    <w:lvl w:ilvl="2" w:tplc="0409001B" w:tentative="1">
      <w:start w:val="1"/>
      <w:numFmt w:val="lowerRoman"/>
      <w:lvlText w:val="%3."/>
      <w:lvlJc w:val="right"/>
      <w:pPr>
        <w:ind w:left="1049" w:hanging="480"/>
      </w:pPr>
    </w:lvl>
    <w:lvl w:ilvl="3" w:tplc="0409000F" w:tentative="1">
      <w:start w:val="1"/>
      <w:numFmt w:val="decimal"/>
      <w:lvlText w:val="%4."/>
      <w:lvlJc w:val="left"/>
      <w:pPr>
        <w:ind w:left="1529" w:hanging="480"/>
      </w:pPr>
    </w:lvl>
    <w:lvl w:ilvl="4" w:tplc="04090019" w:tentative="1">
      <w:start w:val="1"/>
      <w:numFmt w:val="ideographTraditional"/>
      <w:lvlText w:val="%5、"/>
      <w:lvlJc w:val="left"/>
      <w:pPr>
        <w:ind w:left="2009" w:hanging="480"/>
      </w:pPr>
    </w:lvl>
    <w:lvl w:ilvl="5" w:tplc="0409001B" w:tentative="1">
      <w:start w:val="1"/>
      <w:numFmt w:val="lowerRoman"/>
      <w:lvlText w:val="%6."/>
      <w:lvlJc w:val="right"/>
      <w:pPr>
        <w:ind w:left="2489" w:hanging="480"/>
      </w:pPr>
    </w:lvl>
    <w:lvl w:ilvl="6" w:tplc="0409000F" w:tentative="1">
      <w:start w:val="1"/>
      <w:numFmt w:val="decimal"/>
      <w:lvlText w:val="%7."/>
      <w:lvlJc w:val="left"/>
      <w:pPr>
        <w:ind w:left="2969" w:hanging="480"/>
      </w:pPr>
    </w:lvl>
    <w:lvl w:ilvl="7" w:tplc="04090019" w:tentative="1">
      <w:start w:val="1"/>
      <w:numFmt w:val="ideographTraditional"/>
      <w:lvlText w:val="%8、"/>
      <w:lvlJc w:val="left"/>
      <w:pPr>
        <w:ind w:left="3449" w:hanging="480"/>
      </w:pPr>
    </w:lvl>
    <w:lvl w:ilvl="8" w:tplc="0409001B" w:tentative="1">
      <w:start w:val="1"/>
      <w:numFmt w:val="lowerRoman"/>
      <w:lvlText w:val="%9."/>
      <w:lvlJc w:val="right"/>
      <w:pPr>
        <w:ind w:left="3929" w:hanging="480"/>
      </w:pPr>
    </w:lvl>
  </w:abstractNum>
  <w:abstractNum w:abstractNumId="28" w15:restartNumberingAfterBreak="0">
    <w:nsid w:val="64694DEF"/>
    <w:multiLevelType w:val="hybridMultilevel"/>
    <w:tmpl w:val="01822C7E"/>
    <w:lvl w:ilvl="0" w:tplc="66FAEEBC">
      <w:start w:val="1"/>
      <w:numFmt w:val="decimal"/>
      <w:lvlText w:val="%1."/>
      <w:lvlJc w:val="left"/>
      <w:pPr>
        <w:ind w:left="466" w:hanging="480"/>
      </w:pPr>
      <w:rPr>
        <w:rFonts w:ascii="Times New Roman" w:hAnsi="Times New Roman" w:cs="Times New Roman" w:hint="default"/>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29" w15:restartNumberingAfterBreak="0">
    <w:nsid w:val="66325521"/>
    <w:multiLevelType w:val="hybridMultilevel"/>
    <w:tmpl w:val="01822C7E"/>
    <w:lvl w:ilvl="0" w:tplc="66FAEEBC">
      <w:start w:val="1"/>
      <w:numFmt w:val="decimal"/>
      <w:lvlText w:val="%1."/>
      <w:lvlJc w:val="left"/>
      <w:pPr>
        <w:ind w:left="466" w:hanging="480"/>
      </w:pPr>
      <w:rPr>
        <w:rFonts w:ascii="Times New Roman" w:hAnsi="Times New Roman" w:cs="Times New Roman" w:hint="default"/>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30" w15:restartNumberingAfterBreak="0">
    <w:nsid w:val="66632F35"/>
    <w:multiLevelType w:val="hybridMultilevel"/>
    <w:tmpl w:val="421695EC"/>
    <w:lvl w:ilvl="0" w:tplc="255CAF20">
      <w:start w:val="1"/>
      <w:numFmt w:val="decimal"/>
      <w:lvlText w:val="(%1)"/>
      <w:lvlJc w:val="left"/>
      <w:pPr>
        <w:ind w:left="2330" w:hanging="480"/>
      </w:pPr>
      <w:rPr>
        <w:rFonts w:ascii="Times New Roman" w:hAnsi="Times New Roman" w:cs="Times New Roman" w:hint="default"/>
        <w:color w:val="auto"/>
      </w:rPr>
    </w:lvl>
    <w:lvl w:ilvl="1" w:tplc="04090019" w:tentative="1">
      <w:start w:val="1"/>
      <w:numFmt w:val="ideographTraditional"/>
      <w:lvlText w:val="%2、"/>
      <w:lvlJc w:val="left"/>
      <w:pPr>
        <w:ind w:left="2810" w:hanging="480"/>
      </w:pPr>
    </w:lvl>
    <w:lvl w:ilvl="2" w:tplc="0409001B" w:tentative="1">
      <w:start w:val="1"/>
      <w:numFmt w:val="lowerRoman"/>
      <w:lvlText w:val="%3."/>
      <w:lvlJc w:val="right"/>
      <w:pPr>
        <w:ind w:left="3290" w:hanging="480"/>
      </w:pPr>
    </w:lvl>
    <w:lvl w:ilvl="3" w:tplc="0409000F" w:tentative="1">
      <w:start w:val="1"/>
      <w:numFmt w:val="decimal"/>
      <w:lvlText w:val="%4."/>
      <w:lvlJc w:val="left"/>
      <w:pPr>
        <w:ind w:left="3770" w:hanging="480"/>
      </w:pPr>
    </w:lvl>
    <w:lvl w:ilvl="4" w:tplc="04090019" w:tentative="1">
      <w:start w:val="1"/>
      <w:numFmt w:val="ideographTraditional"/>
      <w:lvlText w:val="%5、"/>
      <w:lvlJc w:val="left"/>
      <w:pPr>
        <w:ind w:left="4250" w:hanging="480"/>
      </w:pPr>
    </w:lvl>
    <w:lvl w:ilvl="5" w:tplc="0409001B" w:tentative="1">
      <w:start w:val="1"/>
      <w:numFmt w:val="lowerRoman"/>
      <w:lvlText w:val="%6."/>
      <w:lvlJc w:val="right"/>
      <w:pPr>
        <w:ind w:left="4730" w:hanging="480"/>
      </w:pPr>
    </w:lvl>
    <w:lvl w:ilvl="6" w:tplc="0409000F" w:tentative="1">
      <w:start w:val="1"/>
      <w:numFmt w:val="decimal"/>
      <w:lvlText w:val="%7."/>
      <w:lvlJc w:val="left"/>
      <w:pPr>
        <w:ind w:left="5210" w:hanging="480"/>
      </w:pPr>
    </w:lvl>
    <w:lvl w:ilvl="7" w:tplc="04090019" w:tentative="1">
      <w:start w:val="1"/>
      <w:numFmt w:val="ideographTraditional"/>
      <w:lvlText w:val="%8、"/>
      <w:lvlJc w:val="left"/>
      <w:pPr>
        <w:ind w:left="5690" w:hanging="480"/>
      </w:pPr>
    </w:lvl>
    <w:lvl w:ilvl="8" w:tplc="0409001B" w:tentative="1">
      <w:start w:val="1"/>
      <w:numFmt w:val="lowerRoman"/>
      <w:lvlText w:val="%9."/>
      <w:lvlJc w:val="right"/>
      <w:pPr>
        <w:ind w:left="6170" w:hanging="480"/>
      </w:pPr>
    </w:lvl>
  </w:abstractNum>
  <w:abstractNum w:abstractNumId="31" w15:restartNumberingAfterBreak="0">
    <w:nsid w:val="6EF1632F"/>
    <w:multiLevelType w:val="hybridMultilevel"/>
    <w:tmpl w:val="9EA0E722"/>
    <w:lvl w:ilvl="0" w:tplc="CC208BC0">
      <w:start w:val="1"/>
      <w:numFmt w:val="decimal"/>
      <w:lvlText w:val="(%1)"/>
      <w:lvlJc w:val="right"/>
      <w:pPr>
        <w:ind w:left="2861" w:hanging="480"/>
      </w:pPr>
      <w:rPr>
        <w:rFonts w:hint="eastAsia"/>
      </w:rPr>
    </w:lvl>
    <w:lvl w:ilvl="1" w:tplc="04090019" w:tentative="1">
      <w:start w:val="1"/>
      <w:numFmt w:val="ideographTraditional"/>
      <w:lvlText w:val="%2、"/>
      <w:lvlJc w:val="left"/>
      <w:pPr>
        <w:ind w:left="3341" w:hanging="480"/>
      </w:pPr>
    </w:lvl>
    <w:lvl w:ilvl="2" w:tplc="0409001B" w:tentative="1">
      <w:start w:val="1"/>
      <w:numFmt w:val="lowerRoman"/>
      <w:lvlText w:val="%3."/>
      <w:lvlJc w:val="right"/>
      <w:pPr>
        <w:ind w:left="3821" w:hanging="480"/>
      </w:pPr>
    </w:lvl>
    <w:lvl w:ilvl="3" w:tplc="0409000F" w:tentative="1">
      <w:start w:val="1"/>
      <w:numFmt w:val="decimal"/>
      <w:lvlText w:val="%4."/>
      <w:lvlJc w:val="left"/>
      <w:pPr>
        <w:ind w:left="4301" w:hanging="480"/>
      </w:pPr>
    </w:lvl>
    <w:lvl w:ilvl="4" w:tplc="04090019" w:tentative="1">
      <w:start w:val="1"/>
      <w:numFmt w:val="ideographTraditional"/>
      <w:lvlText w:val="%5、"/>
      <w:lvlJc w:val="left"/>
      <w:pPr>
        <w:ind w:left="4781" w:hanging="480"/>
      </w:pPr>
    </w:lvl>
    <w:lvl w:ilvl="5" w:tplc="0409001B" w:tentative="1">
      <w:start w:val="1"/>
      <w:numFmt w:val="lowerRoman"/>
      <w:lvlText w:val="%6."/>
      <w:lvlJc w:val="right"/>
      <w:pPr>
        <w:ind w:left="5261" w:hanging="480"/>
      </w:pPr>
    </w:lvl>
    <w:lvl w:ilvl="6" w:tplc="0409000F" w:tentative="1">
      <w:start w:val="1"/>
      <w:numFmt w:val="decimal"/>
      <w:lvlText w:val="%7."/>
      <w:lvlJc w:val="left"/>
      <w:pPr>
        <w:ind w:left="5741" w:hanging="480"/>
      </w:pPr>
    </w:lvl>
    <w:lvl w:ilvl="7" w:tplc="04090019" w:tentative="1">
      <w:start w:val="1"/>
      <w:numFmt w:val="ideographTraditional"/>
      <w:lvlText w:val="%8、"/>
      <w:lvlJc w:val="left"/>
      <w:pPr>
        <w:ind w:left="6221" w:hanging="480"/>
      </w:pPr>
    </w:lvl>
    <w:lvl w:ilvl="8" w:tplc="0409001B" w:tentative="1">
      <w:start w:val="1"/>
      <w:numFmt w:val="lowerRoman"/>
      <w:lvlText w:val="%9."/>
      <w:lvlJc w:val="right"/>
      <w:pPr>
        <w:ind w:left="6701" w:hanging="480"/>
      </w:pPr>
    </w:lvl>
  </w:abstractNum>
  <w:abstractNum w:abstractNumId="32" w15:restartNumberingAfterBreak="0">
    <w:nsid w:val="700F4669"/>
    <w:multiLevelType w:val="hybridMultilevel"/>
    <w:tmpl w:val="01822C7E"/>
    <w:lvl w:ilvl="0" w:tplc="66FAEEBC">
      <w:start w:val="1"/>
      <w:numFmt w:val="decimal"/>
      <w:lvlText w:val="%1."/>
      <w:lvlJc w:val="left"/>
      <w:pPr>
        <w:ind w:left="466" w:hanging="480"/>
      </w:pPr>
      <w:rPr>
        <w:rFonts w:ascii="Times New Roman" w:hAnsi="Times New Roman" w:cs="Times New Roman" w:hint="default"/>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33" w15:restartNumberingAfterBreak="0">
    <w:nsid w:val="749A1B43"/>
    <w:multiLevelType w:val="hybridMultilevel"/>
    <w:tmpl w:val="FD880A84"/>
    <w:lvl w:ilvl="0" w:tplc="C9CE7746">
      <w:start w:val="1"/>
      <w:numFmt w:val="decimal"/>
      <w:lvlText w:val="%1、"/>
      <w:lvlJc w:val="left"/>
      <w:pPr>
        <w:ind w:left="1727" w:hanging="720"/>
      </w:pPr>
      <w:rPr>
        <w:rFonts w:hint="default"/>
        <w:b w:val="0"/>
        <w:sz w:val="24"/>
        <w:szCs w:val="24"/>
      </w:rPr>
    </w:lvl>
    <w:lvl w:ilvl="1" w:tplc="04090019" w:tentative="1">
      <w:start w:val="1"/>
      <w:numFmt w:val="ideographTraditional"/>
      <w:lvlText w:val="%2、"/>
      <w:lvlJc w:val="left"/>
      <w:pPr>
        <w:ind w:left="1967" w:hanging="480"/>
      </w:pPr>
    </w:lvl>
    <w:lvl w:ilvl="2" w:tplc="0409001B" w:tentative="1">
      <w:start w:val="1"/>
      <w:numFmt w:val="lowerRoman"/>
      <w:lvlText w:val="%3."/>
      <w:lvlJc w:val="right"/>
      <w:pPr>
        <w:ind w:left="2447" w:hanging="480"/>
      </w:pPr>
    </w:lvl>
    <w:lvl w:ilvl="3" w:tplc="0409000F" w:tentative="1">
      <w:start w:val="1"/>
      <w:numFmt w:val="decimal"/>
      <w:lvlText w:val="%4."/>
      <w:lvlJc w:val="left"/>
      <w:pPr>
        <w:ind w:left="2927" w:hanging="480"/>
      </w:pPr>
    </w:lvl>
    <w:lvl w:ilvl="4" w:tplc="04090019" w:tentative="1">
      <w:start w:val="1"/>
      <w:numFmt w:val="ideographTraditional"/>
      <w:lvlText w:val="%5、"/>
      <w:lvlJc w:val="left"/>
      <w:pPr>
        <w:ind w:left="3407" w:hanging="480"/>
      </w:pPr>
    </w:lvl>
    <w:lvl w:ilvl="5" w:tplc="0409001B" w:tentative="1">
      <w:start w:val="1"/>
      <w:numFmt w:val="lowerRoman"/>
      <w:lvlText w:val="%6."/>
      <w:lvlJc w:val="right"/>
      <w:pPr>
        <w:ind w:left="3887" w:hanging="480"/>
      </w:pPr>
    </w:lvl>
    <w:lvl w:ilvl="6" w:tplc="0409000F" w:tentative="1">
      <w:start w:val="1"/>
      <w:numFmt w:val="decimal"/>
      <w:lvlText w:val="%7."/>
      <w:lvlJc w:val="left"/>
      <w:pPr>
        <w:ind w:left="4367" w:hanging="480"/>
      </w:pPr>
    </w:lvl>
    <w:lvl w:ilvl="7" w:tplc="04090019" w:tentative="1">
      <w:start w:val="1"/>
      <w:numFmt w:val="ideographTraditional"/>
      <w:lvlText w:val="%8、"/>
      <w:lvlJc w:val="left"/>
      <w:pPr>
        <w:ind w:left="4847" w:hanging="480"/>
      </w:pPr>
    </w:lvl>
    <w:lvl w:ilvl="8" w:tplc="0409001B" w:tentative="1">
      <w:start w:val="1"/>
      <w:numFmt w:val="lowerRoman"/>
      <w:lvlText w:val="%9."/>
      <w:lvlJc w:val="right"/>
      <w:pPr>
        <w:ind w:left="5327" w:hanging="480"/>
      </w:pPr>
    </w:lvl>
  </w:abstractNum>
  <w:abstractNum w:abstractNumId="34" w15:restartNumberingAfterBreak="0">
    <w:nsid w:val="768C18AB"/>
    <w:multiLevelType w:val="hybridMultilevel"/>
    <w:tmpl w:val="ED3251A6"/>
    <w:lvl w:ilvl="0" w:tplc="B9FC9008">
      <w:start w:val="1"/>
      <w:numFmt w:val="upperLetter"/>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96742D3"/>
    <w:multiLevelType w:val="hybridMultilevel"/>
    <w:tmpl w:val="01822C7E"/>
    <w:lvl w:ilvl="0" w:tplc="66FAEEBC">
      <w:start w:val="1"/>
      <w:numFmt w:val="decimal"/>
      <w:lvlText w:val="%1."/>
      <w:lvlJc w:val="left"/>
      <w:pPr>
        <w:ind w:left="466" w:hanging="480"/>
      </w:pPr>
      <w:rPr>
        <w:rFonts w:ascii="Times New Roman" w:hAnsi="Times New Roman" w:cs="Times New Roman" w:hint="default"/>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36" w15:restartNumberingAfterBreak="0">
    <w:nsid w:val="7C3A1CE3"/>
    <w:multiLevelType w:val="hybridMultilevel"/>
    <w:tmpl w:val="01822C7E"/>
    <w:lvl w:ilvl="0" w:tplc="66FAEEBC">
      <w:start w:val="1"/>
      <w:numFmt w:val="decimal"/>
      <w:lvlText w:val="%1."/>
      <w:lvlJc w:val="left"/>
      <w:pPr>
        <w:ind w:left="466" w:hanging="480"/>
      </w:pPr>
      <w:rPr>
        <w:rFonts w:ascii="Times New Roman" w:hAnsi="Times New Roman" w:cs="Times New Roman" w:hint="default"/>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num w:numId="1">
    <w:abstractNumId w:val="8"/>
  </w:num>
  <w:num w:numId="2">
    <w:abstractNumId w:val="1"/>
  </w:num>
  <w:num w:numId="3">
    <w:abstractNumId w:val="21"/>
  </w:num>
  <w:num w:numId="4">
    <w:abstractNumId w:val="14"/>
  </w:num>
  <w:num w:numId="5">
    <w:abstractNumId w:val="23"/>
  </w:num>
  <w:num w:numId="6">
    <w:abstractNumId w:val="7"/>
  </w:num>
  <w:num w:numId="7">
    <w:abstractNumId w:val="25"/>
  </w:num>
  <w:num w:numId="8">
    <w:abstractNumId w:val="1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3"/>
  </w:num>
  <w:num w:numId="12">
    <w:abstractNumId w:val="11"/>
  </w:num>
  <w:num w:numId="13">
    <w:abstractNumId w:val="28"/>
  </w:num>
  <w:num w:numId="14">
    <w:abstractNumId w:val="29"/>
  </w:num>
  <w:num w:numId="15">
    <w:abstractNumId w:val="36"/>
  </w:num>
  <w:num w:numId="16">
    <w:abstractNumId w:val="6"/>
  </w:num>
  <w:num w:numId="17">
    <w:abstractNumId w:val="15"/>
  </w:num>
  <w:num w:numId="18">
    <w:abstractNumId w:val="10"/>
  </w:num>
  <w:num w:numId="19">
    <w:abstractNumId w:val="5"/>
  </w:num>
  <w:num w:numId="20">
    <w:abstractNumId w:val="19"/>
  </w:num>
  <w:num w:numId="21">
    <w:abstractNumId w:val="24"/>
  </w:num>
  <w:num w:numId="22">
    <w:abstractNumId w:val="22"/>
  </w:num>
  <w:num w:numId="23">
    <w:abstractNumId w:val="32"/>
  </w:num>
  <w:num w:numId="24">
    <w:abstractNumId w:val="2"/>
  </w:num>
  <w:num w:numId="25">
    <w:abstractNumId w:val="0"/>
  </w:num>
  <w:num w:numId="26">
    <w:abstractNumId w:val="26"/>
  </w:num>
  <w:num w:numId="27">
    <w:abstractNumId w:val="35"/>
  </w:num>
  <w:num w:numId="28">
    <w:abstractNumId w:val="31"/>
  </w:num>
  <w:num w:numId="29">
    <w:abstractNumId w:val="33"/>
  </w:num>
  <w:num w:numId="30">
    <w:abstractNumId w:val="12"/>
  </w:num>
  <w:num w:numId="31">
    <w:abstractNumId w:val="9"/>
  </w:num>
  <w:num w:numId="32">
    <w:abstractNumId w:val="17"/>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34"/>
  </w:num>
  <w:num w:numId="38">
    <w:abstractNumId w:val="27"/>
  </w:num>
  <w:num w:numId="39">
    <w:abstractNumId w:val="16"/>
  </w:num>
  <w:num w:numId="40">
    <w:abstractNumId w:val="30"/>
  </w:num>
  <w:num w:numId="41">
    <w:abstractNumId w:val="4"/>
  </w:num>
  <w:num w:numId="42">
    <w:abstractNumId w:val="7"/>
  </w:num>
  <w:num w:numId="43">
    <w:abstractNumId w:val="7"/>
  </w:num>
  <w:num w:numId="44">
    <w:abstractNumId w:val="21"/>
  </w:num>
  <w:num w:numId="45">
    <w:abstractNumId w:val="21"/>
  </w:num>
  <w:num w:numId="46">
    <w:abstractNumId w:val="14"/>
    <w:lvlOverride w:ilvl="0">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0E7"/>
    <w:rsid w:val="000003B6"/>
    <w:rsid w:val="00000A07"/>
    <w:rsid w:val="00000DC0"/>
    <w:rsid w:val="0000174F"/>
    <w:rsid w:val="00002C91"/>
    <w:rsid w:val="00003490"/>
    <w:rsid w:val="00004449"/>
    <w:rsid w:val="0000448C"/>
    <w:rsid w:val="0000618F"/>
    <w:rsid w:val="00006661"/>
    <w:rsid w:val="00006961"/>
    <w:rsid w:val="0000699F"/>
    <w:rsid w:val="00007453"/>
    <w:rsid w:val="000106A8"/>
    <w:rsid w:val="00010C86"/>
    <w:rsid w:val="00011171"/>
    <w:rsid w:val="000112BF"/>
    <w:rsid w:val="00011DCA"/>
    <w:rsid w:val="00012233"/>
    <w:rsid w:val="0001239C"/>
    <w:rsid w:val="0001350B"/>
    <w:rsid w:val="000137ED"/>
    <w:rsid w:val="000141A5"/>
    <w:rsid w:val="000146B3"/>
    <w:rsid w:val="00015A73"/>
    <w:rsid w:val="00016B23"/>
    <w:rsid w:val="00017318"/>
    <w:rsid w:val="00017706"/>
    <w:rsid w:val="00021BF3"/>
    <w:rsid w:val="00021EAF"/>
    <w:rsid w:val="000228E1"/>
    <w:rsid w:val="000240C2"/>
    <w:rsid w:val="000246F7"/>
    <w:rsid w:val="0002515A"/>
    <w:rsid w:val="000252FF"/>
    <w:rsid w:val="00025A32"/>
    <w:rsid w:val="00026F0D"/>
    <w:rsid w:val="000272D6"/>
    <w:rsid w:val="00030AB6"/>
    <w:rsid w:val="00030B7C"/>
    <w:rsid w:val="00031073"/>
    <w:rsid w:val="0003114D"/>
    <w:rsid w:val="0003171C"/>
    <w:rsid w:val="00034229"/>
    <w:rsid w:val="000356F8"/>
    <w:rsid w:val="00036D76"/>
    <w:rsid w:val="00037184"/>
    <w:rsid w:val="00040060"/>
    <w:rsid w:val="0004057B"/>
    <w:rsid w:val="0004233C"/>
    <w:rsid w:val="0004292D"/>
    <w:rsid w:val="00042EC8"/>
    <w:rsid w:val="00043DF1"/>
    <w:rsid w:val="000455AE"/>
    <w:rsid w:val="0004598D"/>
    <w:rsid w:val="000460E9"/>
    <w:rsid w:val="0004670B"/>
    <w:rsid w:val="00046CE2"/>
    <w:rsid w:val="00046CEC"/>
    <w:rsid w:val="00052CD1"/>
    <w:rsid w:val="00054472"/>
    <w:rsid w:val="00056FC9"/>
    <w:rsid w:val="000574CF"/>
    <w:rsid w:val="00057BD3"/>
    <w:rsid w:val="00057E5D"/>
    <w:rsid w:val="00057F32"/>
    <w:rsid w:val="000626B5"/>
    <w:rsid w:val="00062A25"/>
    <w:rsid w:val="000636E0"/>
    <w:rsid w:val="00063AA1"/>
    <w:rsid w:val="00063E4B"/>
    <w:rsid w:val="000640E7"/>
    <w:rsid w:val="000643B7"/>
    <w:rsid w:val="00064A96"/>
    <w:rsid w:val="00065503"/>
    <w:rsid w:val="0006630E"/>
    <w:rsid w:val="00066B55"/>
    <w:rsid w:val="00070981"/>
    <w:rsid w:val="00071883"/>
    <w:rsid w:val="000736D1"/>
    <w:rsid w:val="00073CB5"/>
    <w:rsid w:val="000740F5"/>
    <w:rsid w:val="0007425C"/>
    <w:rsid w:val="00074472"/>
    <w:rsid w:val="000751D8"/>
    <w:rsid w:val="00075262"/>
    <w:rsid w:val="00075676"/>
    <w:rsid w:val="0007708E"/>
    <w:rsid w:val="00077531"/>
    <w:rsid w:val="00077553"/>
    <w:rsid w:val="000803FD"/>
    <w:rsid w:val="00081061"/>
    <w:rsid w:val="000815AB"/>
    <w:rsid w:val="00081B34"/>
    <w:rsid w:val="000829D4"/>
    <w:rsid w:val="00082FFE"/>
    <w:rsid w:val="000850AB"/>
    <w:rsid w:val="000851A2"/>
    <w:rsid w:val="0008580D"/>
    <w:rsid w:val="00086A13"/>
    <w:rsid w:val="00086BFD"/>
    <w:rsid w:val="000904BD"/>
    <w:rsid w:val="0009131C"/>
    <w:rsid w:val="0009177F"/>
    <w:rsid w:val="00092560"/>
    <w:rsid w:val="00092B93"/>
    <w:rsid w:val="00092CB0"/>
    <w:rsid w:val="00092E8B"/>
    <w:rsid w:val="0009352E"/>
    <w:rsid w:val="00093859"/>
    <w:rsid w:val="00093EE2"/>
    <w:rsid w:val="00093FF7"/>
    <w:rsid w:val="00094CD9"/>
    <w:rsid w:val="00094E1A"/>
    <w:rsid w:val="00096B96"/>
    <w:rsid w:val="0009707A"/>
    <w:rsid w:val="000970AB"/>
    <w:rsid w:val="00097D59"/>
    <w:rsid w:val="000A06BC"/>
    <w:rsid w:val="000A0DF0"/>
    <w:rsid w:val="000A2F18"/>
    <w:rsid w:val="000A2F3F"/>
    <w:rsid w:val="000A38EE"/>
    <w:rsid w:val="000A5FAC"/>
    <w:rsid w:val="000A6042"/>
    <w:rsid w:val="000A6CED"/>
    <w:rsid w:val="000B0B4A"/>
    <w:rsid w:val="000B1021"/>
    <w:rsid w:val="000B24C0"/>
    <w:rsid w:val="000B279A"/>
    <w:rsid w:val="000B3413"/>
    <w:rsid w:val="000B34C6"/>
    <w:rsid w:val="000B3937"/>
    <w:rsid w:val="000B4A67"/>
    <w:rsid w:val="000B4CCD"/>
    <w:rsid w:val="000B5592"/>
    <w:rsid w:val="000B589D"/>
    <w:rsid w:val="000B61D2"/>
    <w:rsid w:val="000B6812"/>
    <w:rsid w:val="000B70A7"/>
    <w:rsid w:val="000B73DB"/>
    <w:rsid w:val="000B73DD"/>
    <w:rsid w:val="000B745E"/>
    <w:rsid w:val="000B7A3C"/>
    <w:rsid w:val="000B7B1C"/>
    <w:rsid w:val="000C0272"/>
    <w:rsid w:val="000C14FC"/>
    <w:rsid w:val="000C3D2D"/>
    <w:rsid w:val="000C495F"/>
    <w:rsid w:val="000C4EE4"/>
    <w:rsid w:val="000C5839"/>
    <w:rsid w:val="000C5FB3"/>
    <w:rsid w:val="000C7B8D"/>
    <w:rsid w:val="000C7BD8"/>
    <w:rsid w:val="000D00E3"/>
    <w:rsid w:val="000D0B6B"/>
    <w:rsid w:val="000D122F"/>
    <w:rsid w:val="000D2020"/>
    <w:rsid w:val="000D3EC6"/>
    <w:rsid w:val="000D4ACC"/>
    <w:rsid w:val="000E0B61"/>
    <w:rsid w:val="000E18CC"/>
    <w:rsid w:val="000E3A7B"/>
    <w:rsid w:val="000E3FB9"/>
    <w:rsid w:val="000E4BFC"/>
    <w:rsid w:val="000E5D6E"/>
    <w:rsid w:val="000E6431"/>
    <w:rsid w:val="000F0AA7"/>
    <w:rsid w:val="000F1C63"/>
    <w:rsid w:val="000F1D4D"/>
    <w:rsid w:val="000F21A5"/>
    <w:rsid w:val="000F3ABF"/>
    <w:rsid w:val="000F490F"/>
    <w:rsid w:val="000F5CE1"/>
    <w:rsid w:val="000F623D"/>
    <w:rsid w:val="000F62B6"/>
    <w:rsid w:val="000F7453"/>
    <w:rsid w:val="000F7884"/>
    <w:rsid w:val="000F7FC0"/>
    <w:rsid w:val="0010043D"/>
    <w:rsid w:val="00102B9F"/>
    <w:rsid w:val="0010320C"/>
    <w:rsid w:val="00103EA9"/>
    <w:rsid w:val="00104CE4"/>
    <w:rsid w:val="00106847"/>
    <w:rsid w:val="0010781F"/>
    <w:rsid w:val="00110CC5"/>
    <w:rsid w:val="0011173F"/>
    <w:rsid w:val="00111C3D"/>
    <w:rsid w:val="001120F9"/>
    <w:rsid w:val="00112637"/>
    <w:rsid w:val="00112ABC"/>
    <w:rsid w:val="00112EC6"/>
    <w:rsid w:val="001137D4"/>
    <w:rsid w:val="00114150"/>
    <w:rsid w:val="001141E9"/>
    <w:rsid w:val="00114223"/>
    <w:rsid w:val="00114265"/>
    <w:rsid w:val="00114D69"/>
    <w:rsid w:val="0012001E"/>
    <w:rsid w:val="001200E9"/>
    <w:rsid w:val="00120A02"/>
    <w:rsid w:val="00122405"/>
    <w:rsid w:val="001248AC"/>
    <w:rsid w:val="00126A55"/>
    <w:rsid w:val="001303BA"/>
    <w:rsid w:val="0013195A"/>
    <w:rsid w:val="00132527"/>
    <w:rsid w:val="00133F08"/>
    <w:rsid w:val="001340F5"/>
    <w:rsid w:val="001345E6"/>
    <w:rsid w:val="00134A4C"/>
    <w:rsid w:val="00135E5B"/>
    <w:rsid w:val="00135F5F"/>
    <w:rsid w:val="00136B87"/>
    <w:rsid w:val="001376F8"/>
    <w:rsid w:val="001378B0"/>
    <w:rsid w:val="00140279"/>
    <w:rsid w:val="00140C3F"/>
    <w:rsid w:val="0014184A"/>
    <w:rsid w:val="001419F6"/>
    <w:rsid w:val="00142D0E"/>
    <w:rsid w:val="00142E00"/>
    <w:rsid w:val="001432C3"/>
    <w:rsid w:val="00144E55"/>
    <w:rsid w:val="00146849"/>
    <w:rsid w:val="00147F01"/>
    <w:rsid w:val="0015081D"/>
    <w:rsid w:val="00150FF5"/>
    <w:rsid w:val="00151366"/>
    <w:rsid w:val="00152793"/>
    <w:rsid w:val="00153B7E"/>
    <w:rsid w:val="001545A9"/>
    <w:rsid w:val="00154B1D"/>
    <w:rsid w:val="00156C5C"/>
    <w:rsid w:val="00160ADE"/>
    <w:rsid w:val="00160DAB"/>
    <w:rsid w:val="001627BC"/>
    <w:rsid w:val="0016284F"/>
    <w:rsid w:val="001637C7"/>
    <w:rsid w:val="0016480E"/>
    <w:rsid w:val="00164BA6"/>
    <w:rsid w:val="00165B76"/>
    <w:rsid w:val="00165F70"/>
    <w:rsid w:val="00166CE7"/>
    <w:rsid w:val="001706F1"/>
    <w:rsid w:val="00172776"/>
    <w:rsid w:val="001729F5"/>
    <w:rsid w:val="00174297"/>
    <w:rsid w:val="001746B5"/>
    <w:rsid w:val="0017566D"/>
    <w:rsid w:val="00175D80"/>
    <w:rsid w:val="0017697E"/>
    <w:rsid w:val="0017754B"/>
    <w:rsid w:val="00177CBA"/>
    <w:rsid w:val="001801A9"/>
    <w:rsid w:val="001807BF"/>
    <w:rsid w:val="00180E06"/>
    <w:rsid w:val="001817B3"/>
    <w:rsid w:val="0018180B"/>
    <w:rsid w:val="001819E0"/>
    <w:rsid w:val="00182DA7"/>
    <w:rsid w:val="00183014"/>
    <w:rsid w:val="00183EA6"/>
    <w:rsid w:val="00183F4E"/>
    <w:rsid w:val="001840D0"/>
    <w:rsid w:val="00184B77"/>
    <w:rsid w:val="00184EB4"/>
    <w:rsid w:val="001855B3"/>
    <w:rsid w:val="0018566A"/>
    <w:rsid w:val="001876D7"/>
    <w:rsid w:val="00187763"/>
    <w:rsid w:val="00187BE8"/>
    <w:rsid w:val="00187D9D"/>
    <w:rsid w:val="001903B3"/>
    <w:rsid w:val="0019096D"/>
    <w:rsid w:val="00191BE1"/>
    <w:rsid w:val="00192340"/>
    <w:rsid w:val="0019294A"/>
    <w:rsid w:val="001929BB"/>
    <w:rsid w:val="00192A78"/>
    <w:rsid w:val="001938E6"/>
    <w:rsid w:val="00194841"/>
    <w:rsid w:val="001959C2"/>
    <w:rsid w:val="00196591"/>
    <w:rsid w:val="00196CA6"/>
    <w:rsid w:val="00196DCF"/>
    <w:rsid w:val="00197836"/>
    <w:rsid w:val="00197E12"/>
    <w:rsid w:val="001A0006"/>
    <w:rsid w:val="001A100D"/>
    <w:rsid w:val="001A1D95"/>
    <w:rsid w:val="001A22C8"/>
    <w:rsid w:val="001A3317"/>
    <w:rsid w:val="001A3D48"/>
    <w:rsid w:val="001A4384"/>
    <w:rsid w:val="001A4BD7"/>
    <w:rsid w:val="001A51E3"/>
    <w:rsid w:val="001A6688"/>
    <w:rsid w:val="001A70FE"/>
    <w:rsid w:val="001A77E4"/>
    <w:rsid w:val="001A7968"/>
    <w:rsid w:val="001B08BF"/>
    <w:rsid w:val="001B1569"/>
    <w:rsid w:val="001B2094"/>
    <w:rsid w:val="001B2E98"/>
    <w:rsid w:val="001B3483"/>
    <w:rsid w:val="001B3A24"/>
    <w:rsid w:val="001B3C1E"/>
    <w:rsid w:val="001B429F"/>
    <w:rsid w:val="001B4494"/>
    <w:rsid w:val="001B5E5F"/>
    <w:rsid w:val="001B6FEB"/>
    <w:rsid w:val="001B7A17"/>
    <w:rsid w:val="001B7D15"/>
    <w:rsid w:val="001B7EB8"/>
    <w:rsid w:val="001C0CF0"/>
    <w:rsid w:val="001C0D8B"/>
    <w:rsid w:val="001C0DA8"/>
    <w:rsid w:val="001C1C35"/>
    <w:rsid w:val="001C1F2E"/>
    <w:rsid w:val="001C2F31"/>
    <w:rsid w:val="001C356E"/>
    <w:rsid w:val="001C4645"/>
    <w:rsid w:val="001C52CE"/>
    <w:rsid w:val="001C56E2"/>
    <w:rsid w:val="001C592A"/>
    <w:rsid w:val="001C6484"/>
    <w:rsid w:val="001C6D63"/>
    <w:rsid w:val="001C70DB"/>
    <w:rsid w:val="001D0C5C"/>
    <w:rsid w:val="001D19E8"/>
    <w:rsid w:val="001D1B00"/>
    <w:rsid w:val="001D1EDE"/>
    <w:rsid w:val="001D21C2"/>
    <w:rsid w:val="001D25E0"/>
    <w:rsid w:val="001D26F8"/>
    <w:rsid w:val="001D30A3"/>
    <w:rsid w:val="001D3217"/>
    <w:rsid w:val="001D3375"/>
    <w:rsid w:val="001D4354"/>
    <w:rsid w:val="001D46D3"/>
    <w:rsid w:val="001D4AD7"/>
    <w:rsid w:val="001D4E7B"/>
    <w:rsid w:val="001D5622"/>
    <w:rsid w:val="001D76D2"/>
    <w:rsid w:val="001E0D8A"/>
    <w:rsid w:val="001E0F4C"/>
    <w:rsid w:val="001E103E"/>
    <w:rsid w:val="001E12EE"/>
    <w:rsid w:val="001E255D"/>
    <w:rsid w:val="001E2D4F"/>
    <w:rsid w:val="001E3DE8"/>
    <w:rsid w:val="001E511E"/>
    <w:rsid w:val="001E58A0"/>
    <w:rsid w:val="001E5EEF"/>
    <w:rsid w:val="001E602D"/>
    <w:rsid w:val="001E67BA"/>
    <w:rsid w:val="001E6889"/>
    <w:rsid w:val="001E74C2"/>
    <w:rsid w:val="001E7D7D"/>
    <w:rsid w:val="001F03A4"/>
    <w:rsid w:val="001F04D7"/>
    <w:rsid w:val="001F0C0D"/>
    <w:rsid w:val="001F116B"/>
    <w:rsid w:val="001F22E0"/>
    <w:rsid w:val="001F3CA6"/>
    <w:rsid w:val="001F3E5C"/>
    <w:rsid w:val="001F4069"/>
    <w:rsid w:val="001F48B3"/>
    <w:rsid w:val="001F52BF"/>
    <w:rsid w:val="001F5A48"/>
    <w:rsid w:val="001F6260"/>
    <w:rsid w:val="001F7752"/>
    <w:rsid w:val="001F7DCA"/>
    <w:rsid w:val="00200007"/>
    <w:rsid w:val="00202212"/>
    <w:rsid w:val="0020242B"/>
    <w:rsid w:val="00202FF1"/>
    <w:rsid w:val="002030A5"/>
    <w:rsid w:val="00203131"/>
    <w:rsid w:val="002035D6"/>
    <w:rsid w:val="002036FD"/>
    <w:rsid w:val="002046CF"/>
    <w:rsid w:val="00205A38"/>
    <w:rsid w:val="00205B77"/>
    <w:rsid w:val="00205E84"/>
    <w:rsid w:val="00206C51"/>
    <w:rsid w:val="00206C63"/>
    <w:rsid w:val="00206D0D"/>
    <w:rsid w:val="00210503"/>
    <w:rsid w:val="00211087"/>
    <w:rsid w:val="00211BE9"/>
    <w:rsid w:val="00211BEA"/>
    <w:rsid w:val="00211E3A"/>
    <w:rsid w:val="002123C4"/>
    <w:rsid w:val="00212770"/>
    <w:rsid w:val="00212E88"/>
    <w:rsid w:val="00213C9C"/>
    <w:rsid w:val="00217A4D"/>
    <w:rsid w:val="0022009E"/>
    <w:rsid w:val="00220432"/>
    <w:rsid w:val="00220833"/>
    <w:rsid w:val="002219D2"/>
    <w:rsid w:val="00221A70"/>
    <w:rsid w:val="00223241"/>
    <w:rsid w:val="0022425C"/>
    <w:rsid w:val="002246DE"/>
    <w:rsid w:val="00224A08"/>
    <w:rsid w:val="00224A48"/>
    <w:rsid w:val="00224B40"/>
    <w:rsid w:val="002251DC"/>
    <w:rsid w:val="00225255"/>
    <w:rsid w:val="00226313"/>
    <w:rsid w:val="00226717"/>
    <w:rsid w:val="00227044"/>
    <w:rsid w:val="0023007B"/>
    <w:rsid w:val="00230286"/>
    <w:rsid w:val="00232210"/>
    <w:rsid w:val="002322F9"/>
    <w:rsid w:val="0023418F"/>
    <w:rsid w:val="00234239"/>
    <w:rsid w:val="00235D54"/>
    <w:rsid w:val="00235EA8"/>
    <w:rsid w:val="00236683"/>
    <w:rsid w:val="002368E4"/>
    <w:rsid w:val="002407C9"/>
    <w:rsid w:val="00241C70"/>
    <w:rsid w:val="00241FDF"/>
    <w:rsid w:val="002420C3"/>
    <w:rsid w:val="002421C6"/>
    <w:rsid w:val="00242488"/>
    <w:rsid w:val="0024583C"/>
    <w:rsid w:val="00245B42"/>
    <w:rsid w:val="002461AD"/>
    <w:rsid w:val="00246EE7"/>
    <w:rsid w:val="00250E7C"/>
    <w:rsid w:val="00250EA1"/>
    <w:rsid w:val="0025137D"/>
    <w:rsid w:val="002526AA"/>
    <w:rsid w:val="00252BC4"/>
    <w:rsid w:val="0025386C"/>
    <w:rsid w:val="00253E58"/>
    <w:rsid w:val="00254014"/>
    <w:rsid w:val="0025401E"/>
    <w:rsid w:val="00254DDC"/>
    <w:rsid w:val="0025508F"/>
    <w:rsid w:val="0025666F"/>
    <w:rsid w:val="00257BEF"/>
    <w:rsid w:val="00257E00"/>
    <w:rsid w:val="00261BF8"/>
    <w:rsid w:val="0026286D"/>
    <w:rsid w:val="00262CBC"/>
    <w:rsid w:val="00262E9A"/>
    <w:rsid w:val="002631A0"/>
    <w:rsid w:val="002633B6"/>
    <w:rsid w:val="0026396D"/>
    <w:rsid w:val="00263DBC"/>
    <w:rsid w:val="00264CB7"/>
    <w:rsid w:val="0026504D"/>
    <w:rsid w:val="00266994"/>
    <w:rsid w:val="00270205"/>
    <w:rsid w:val="00270E55"/>
    <w:rsid w:val="00271899"/>
    <w:rsid w:val="00272A5E"/>
    <w:rsid w:val="002736DB"/>
    <w:rsid w:val="00273A2F"/>
    <w:rsid w:val="00274479"/>
    <w:rsid w:val="002768E5"/>
    <w:rsid w:val="00277CE8"/>
    <w:rsid w:val="00280986"/>
    <w:rsid w:val="00280AC3"/>
    <w:rsid w:val="002814FD"/>
    <w:rsid w:val="00281ECE"/>
    <w:rsid w:val="002831C7"/>
    <w:rsid w:val="00283CFF"/>
    <w:rsid w:val="002840C6"/>
    <w:rsid w:val="00284980"/>
    <w:rsid w:val="002854BF"/>
    <w:rsid w:val="00285615"/>
    <w:rsid w:val="002861D3"/>
    <w:rsid w:val="00286290"/>
    <w:rsid w:val="002868AF"/>
    <w:rsid w:val="00286CBC"/>
    <w:rsid w:val="00287EA2"/>
    <w:rsid w:val="002904DD"/>
    <w:rsid w:val="00292DD8"/>
    <w:rsid w:val="00293A80"/>
    <w:rsid w:val="00293E95"/>
    <w:rsid w:val="00294205"/>
    <w:rsid w:val="0029423A"/>
    <w:rsid w:val="00295174"/>
    <w:rsid w:val="0029520B"/>
    <w:rsid w:val="00295ADE"/>
    <w:rsid w:val="00295F6E"/>
    <w:rsid w:val="00296172"/>
    <w:rsid w:val="00296B92"/>
    <w:rsid w:val="00297255"/>
    <w:rsid w:val="00297FAF"/>
    <w:rsid w:val="002A10BC"/>
    <w:rsid w:val="002A19CE"/>
    <w:rsid w:val="002A1DA7"/>
    <w:rsid w:val="002A1F75"/>
    <w:rsid w:val="002A2C22"/>
    <w:rsid w:val="002A37FA"/>
    <w:rsid w:val="002A3A42"/>
    <w:rsid w:val="002A3CBE"/>
    <w:rsid w:val="002A4DB6"/>
    <w:rsid w:val="002A5B5D"/>
    <w:rsid w:val="002A68EE"/>
    <w:rsid w:val="002A6A42"/>
    <w:rsid w:val="002A71EA"/>
    <w:rsid w:val="002A7B5C"/>
    <w:rsid w:val="002B02EB"/>
    <w:rsid w:val="002B0DC9"/>
    <w:rsid w:val="002B325B"/>
    <w:rsid w:val="002B4209"/>
    <w:rsid w:val="002B45DC"/>
    <w:rsid w:val="002B479D"/>
    <w:rsid w:val="002B47A6"/>
    <w:rsid w:val="002B5EA0"/>
    <w:rsid w:val="002B7368"/>
    <w:rsid w:val="002C0602"/>
    <w:rsid w:val="002C137F"/>
    <w:rsid w:val="002C1918"/>
    <w:rsid w:val="002C1CC6"/>
    <w:rsid w:val="002C29F8"/>
    <w:rsid w:val="002C2DCB"/>
    <w:rsid w:val="002C3120"/>
    <w:rsid w:val="002C486C"/>
    <w:rsid w:val="002C4CC9"/>
    <w:rsid w:val="002C52CE"/>
    <w:rsid w:val="002C6069"/>
    <w:rsid w:val="002C635E"/>
    <w:rsid w:val="002C6697"/>
    <w:rsid w:val="002C6C73"/>
    <w:rsid w:val="002C7072"/>
    <w:rsid w:val="002C7219"/>
    <w:rsid w:val="002C73AF"/>
    <w:rsid w:val="002D0908"/>
    <w:rsid w:val="002D0CAC"/>
    <w:rsid w:val="002D1452"/>
    <w:rsid w:val="002D1632"/>
    <w:rsid w:val="002D2378"/>
    <w:rsid w:val="002D293C"/>
    <w:rsid w:val="002D3E57"/>
    <w:rsid w:val="002D3F26"/>
    <w:rsid w:val="002D4D44"/>
    <w:rsid w:val="002D4E8B"/>
    <w:rsid w:val="002D5974"/>
    <w:rsid w:val="002D5C16"/>
    <w:rsid w:val="002D6174"/>
    <w:rsid w:val="002D666A"/>
    <w:rsid w:val="002D6FFA"/>
    <w:rsid w:val="002D775E"/>
    <w:rsid w:val="002D7B49"/>
    <w:rsid w:val="002E0A52"/>
    <w:rsid w:val="002E1772"/>
    <w:rsid w:val="002E1A1D"/>
    <w:rsid w:val="002E3665"/>
    <w:rsid w:val="002E3FD8"/>
    <w:rsid w:val="002E49D2"/>
    <w:rsid w:val="002E6DBA"/>
    <w:rsid w:val="002E73DA"/>
    <w:rsid w:val="002E7BBB"/>
    <w:rsid w:val="002F03D5"/>
    <w:rsid w:val="002F049C"/>
    <w:rsid w:val="002F12AF"/>
    <w:rsid w:val="002F173A"/>
    <w:rsid w:val="002F3DFF"/>
    <w:rsid w:val="002F455E"/>
    <w:rsid w:val="002F468E"/>
    <w:rsid w:val="002F4702"/>
    <w:rsid w:val="002F4B10"/>
    <w:rsid w:val="002F4C08"/>
    <w:rsid w:val="002F55F6"/>
    <w:rsid w:val="002F5E05"/>
    <w:rsid w:val="002F5EB2"/>
    <w:rsid w:val="002F61BB"/>
    <w:rsid w:val="002F66E7"/>
    <w:rsid w:val="002F6E48"/>
    <w:rsid w:val="002F78D5"/>
    <w:rsid w:val="002F79D4"/>
    <w:rsid w:val="002F7C8E"/>
    <w:rsid w:val="00300A67"/>
    <w:rsid w:val="003026EF"/>
    <w:rsid w:val="0030313F"/>
    <w:rsid w:val="00303A85"/>
    <w:rsid w:val="003043B4"/>
    <w:rsid w:val="003066A5"/>
    <w:rsid w:val="00306972"/>
    <w:rsid w:val="003109FD"/>
    <w:rsid w:val="003122AB"/>
    <w:rsid w:val="0031279C"/>
    <w:rsid w:val="0031380C"/>
    <w:rsid w:val="00313DC5"/>
    <w:rsid w:val="0031416E"/>
    <w:rsid w:val="003149DE"/>
    <w:rsid w:val="00315A16"/>
    <w:rsid w:val="00315C7B"/>
    <w:rsid w:val="00317053"/>
    <w:rsid w:val="003170BB"/>
    <w:rsid w:val="003173DE"/>
    <w:rsid w:val="00320E09"/>
    <w:rsid w:val="0032109C"/>
    <w:rsid w:val="00322B45"/>
    <w:rsid w:val="00323809"/>
    <w:rsid w:val="00323D41"/>
    <w:rsid w:val="00325414"/>
    <w:rsid w:val="00325E96"/>
    <w:rsid w:val="00327282"/>
    <w:rsid w:val="00327E33"/>
    <w:rsid w:val="003302F1"/>
    <w:rsid w:val="00330D93"/>
    <w:rsid w:val="003316E0"/>
    <w:rsid w:val="00331D2D"/>
    <w:rsid w:val="0033205C"/>
    <w:rsid w:val="0033425A"/>
    <w:rsid w:val="00334A2E"/>
    <w:rsid w:val="00335666"/>
    <w:rsid w:val="003357A0"/>
    <w:rsid w:val="00335D24"/>
    <w:rsid w:val="00336A3E"/>
    <w:rsid w:val="003371E3"/>
    <w:rsid w:val="00341F72"/>
    <w:rsid w:val="00342E18"/>
    <w:rsid w:val="003438B0"/>
    <w:rsid w:val="003440D8"/>
    <w:rsid w:val="003446EA"/>
    <w:rsid w:val="0034470E"/>
    <w:rsid w:val="003447C7"/>
    <w:rsid w:val="00345A06"/>
    <w:rsid w:val="00346ACC"/>
    <w:rsid w:val="003509A1"/>
    <w:rsid w:val="00352190"/>
    <w:rsid w:val="00352DB0"/>
    <w:rsid w:val="003530BD"/>
    <w:rsid w:val="003539E4"/>
    <w:rsid w:val="00355A70"/>
    <w:rsid w:val="00355F17"/>
    <w:rsid w:val="003561B3"/>
    <w:rsid w:val="00357896"/>
    <w:rsid w:val="00357CA6"/>
    <w:rsid w:val="00357FE2"/>
    <w:rsid w:val="00360944"/>
    <w:rsid w:val="00360F71"/>
    <w:rsid w:val="00361063"/>
    <w:rsid w:val="003633CC"/>
    <w:rsid w:val="00364A8E"/>
    <w:rsid w:val="00365759"/>
    <w:rsid w:val="00366252"/>
    <w:rsid w:val="0036696B"/>
    <w:rsid w:val="00366D54"/>
    <w:rsid w:val="00366EE4"/>
    <w:rsid w:val="0036781D"/>
    <w:rsid w:val="003679B5"/>
    <w:rsid w:val="00367F55"/>
    <w:rsid w:val="0037094A"/>
    <w:rsid w:val="0037095B"/>
    <w:rsid w:val="00371765"/>
    <w:rsid w:val="00371C20"/>
    <w:rsid w:val="00371ED3"/>
    <w:rsid w:val="00372FFC"/>
    <w:rsid w:val="00373329"/>
    <w:rsid w:val="0037362C"/>
    <w:rsid w:val="003738DF"/>
    <w:rsid w:val="00375CD1"/>
    <w:rsid w:val="0037625F"/>
    <w:rsid w:val="003765C9"/>
    <w:rsid w:val="00376D22"/>
    <w:rsid w:val="00377262"/>
    <w:rsid w:val="0037728A"/>
    <w:rsid w:val="003777E4"/>
    <w:rsid w:val="00377C9E"/>
    <w:rsid w:val="00377CB7"/>
    <w:rsid w:val="00380B7D"/>
    <w:rsid w:val="00381208"/>
    <w:rsid w:val="00381A99"/>
    <w:rsid w:val="0038205F"/>
    <w:rsid w:val="0038216D"/>
    <w:rsid w:val="0038218B"/>
    <w:rsid w:val="003829C2"/>
    <w:rsid w:val="003830B2"/>
    <w:rsid w:val="003834F8"/>
    <w:rsid w:val="00383AD5"/>
    <w:rsid w:val="00384724"/>
    <w:rsid w:val="00385C47"/>
    <w:rsid w:val="003869BB"/>
    <w:rsid w:val="00386C05"/>
    <w:rsid w:val="00387164"/>
    <w:rsid w:val="0038751E"/>
    <w:rsid w:val="003919B7"/>
    <w:rsid w:val="00391D57"/>
    <w:rsid w:val="00391D82"/>
    <w:rsid w:val="00392292"/>
    <w:rsid w:val="00392413"/>
    <w:rsid w:val="00392E28"/>
    <w:rsid w:val="00393492"/>
    <w:rsid w:val="0039361F"/>
    <w:rsid w:val="0039365A"/>
    <w:rsid w:val="00394AED"/>
    <w:rsid w:val="00397CD3"/>
    <w:rsid w:val="003A0754"/>
    <w:rsid w:val="003A09E7"/>
    <w:rsid w:val="003A1319"/>
    <w:rsid w:val="003A1DC1"/>
    <w:rsid w:val="003A1E95"/>
    <w:rsid w:val="003A230C"/>
    <w:rsid w:val="003A2A39"/>
    <w:rsid w:val="003A32E8"/>
    <w:rsid w:val="003A34AA"/>
    <w:rsid w:val="003A38CC"/>
    <w:rsid w:val="003A484D"/>
    <w:rsid w:val="003A54D7"/>
    <w:rsid w:val="003A5927"/>
    <w:rsid w:val="003A65B0"/>
    <w:rsid w:val="003B1017"/>
    <w:rsid w:val="003B2267"/>
    <w:rsid w:val="003B3C07"/>
    <w:rsid w:val="003B3DDA"/>
    <w:rsid w:val="003B3DF5"/>
    <w:rsid w:val="003B518E"/>
    <w:rsid w:val="003B5334"/>
    <w:rsid w:val="003B55B1"/>
    <w:rsid w:val="003B57A8"/>
    <w:rsid w:val="003B5858"/>
    <w:rsid w:val="003B5CA9"/>
    <w:rsid w:val="003B6775"/>
    <w:rsid w:val="003B7F82"/>
    <w:rsid w:val="003C031D"/>
    <w:rsid w:val="003C12F4"/>
    <w:rsid w:val="003C14C3"/>
    <w:rsid w:val="003C1E3B"/>
    <w:rsid w:val="003C1FDB"/>
    <w:rsid w:val="003C2083"/>
    <w:rsid w:val="003C230A"/>
    <w:rsid w:val="003C5A13"/>
    <w:rsid w:val="003C5FE2"/>
    <w:rsid w:val="003C61A3"/>
    <w:rsid w:val="003C6622"/>
    <w:rsid w:val="003C6C0E"/>
    <w:rsid w:val="003C715E"/>
    <w:rsid w:val="003D05FB"/>
    <w:rsid w:val="003D113E"/>
    <w:rsid w:val="003D19FD"/>
    <w:rsid w:val="003D1B16"/>
    <w:rsid w:val="003D40A4"/>
    <w:rsid w:val="003D45BF"/>
    <w:rsid w:val="003D48A2"/>
    <w:rsid w:val="003D48AF"/>
    <w:rsid w:val="003D508A"/>
    <w:rsid w:val="003D537F"/>
    <w:rsid w:val="003D7B75"/>
    <w:rsid w:val="003E0208"/>
    <w:rsid w:val="003E15B7"/>
    <w:rsid w:val="003E2BED"/>
    <w:rsid w:val="003E3D16"/>
    <w:rsid w:val="003E4B57"/>
    <w:rsid w:val="003E54B0"/>
    <w:rsid w:val="003E5A33"/>
    <w:rsid w:val="003E5CDE"/>
    <w:rsid w:val="003E6035"/>
    <w:rsid w:val="003E6510"/>
    <w:rsid w:val="003E67F0"/>
    <w:rsid w:val="003E6FF9"/>
    <w:rsid w:val="003E70A8"/>
    <w:rsid w:val="003E7674"/>
    <w:rsid w:val="003F00F4"/>
    <w:rsid w:val="003F0725"/>
    <w:rsid w:val="003F0FC4"/>
    <w:rsid w:val="003F1FCF"/>
    <w:rsid w:val="003F27E1"/>
    <w:rsid w:val="003F410A"/>
    <w:rsid w:val="003F4248"/>
    <w:rsid w:val="003F437A"/>
    <w:rsid w:val="003F5C2B"/>
    <w:rsid w:val="003F687F"/>
    <w:rsid w:val="003F6CCD"/>
    <w:rsid w:val="003F7E3B"/>
    <w:rsid w:val="00400DB9"/>
    <w:rsid w:val="0040103C"/>
    <w:rsid w:val="004023E9"/>
    <w:rsid w:val="00402FB2"/>
    <w:rsid w:val="00403D5A"/>
    <w:rsid w:val="00404542"/>
    <w:rsid w:val="0040454A"/>
    <w:rsid w:val="00404E93"/>
    <w:rsid w:val="0040606A"/>
    <w:rsid w:val="004060DF"/>
    <w:rsid w:val="00406F1D"/>
    <w:rsid w:val="00406FC6"/>
    <w:rsid w:val="00407009"/>
    <w:rsid w:val="00407F70"/>
    <w:rsid w:val="00410F13"/>
    <w:rsid w:val="00411EFE"/>
    <w:rsid w:val="00412F49"/>
    <w:rsid w:val="00413F83"/>
    <w:rsid w:val="00414154"/>
    <w:rsid w:val="00414549"/>
    <w:rsid w:val="0041490C"/>
    <w:rsid w:val="00415702"/>
    <w:rsid w:val="0041572D"/>
    <w:rsid w:val="00416109"/>
    <w:rsid w:val="00416191"/>
    <w:rsid w:val="00416721"/>
    <w:rsid w:val="0041753B"/>
    <w:rsid w:val="00420289"/>
    <w:rsid w:val="00420884"/>
    <w:rsid w:val="0042191B"/>
    <w:rsid w:val="00421E3A"/>
    <w:rsid w:val="00421EF0"/>
    <w:rsid w:val="00421F72"/>
    <w:rsid w:val="004224FA"/>
    <w:rsid w:val="00422A6F"/>
    <w:rsid w:val="00423037"/>
    <w:rsid w:val="00423B1C"/>
    <w:rsid w:val="00423D07"/>
    <w:rsid w:val="00423F6E"/>
    <w:rsid w:val="004251FF"/>
    <w:rsid w:val="004261FC"/>
    <w:rsid w:val="00426B44"/>
    <w:rsid w:val="0043007E"/>
    <w:rsid w:val="004314EA"/>
    <w:rsid w:val="00431542"/>
    <w:rsid w:val="00431597"/>
    <w:rsid w:val="00431682"/>
    <w:rsid w:val="00431EBD"/>
    <w:rsid w:val="0043368E"/>
    <w:rsid w:val="00433A98"/>
    <w:rsid w:val="004342B2"/>
    <w:rsid w:val="00434E66"/>
    <w:rsid w:val="004356CC"/>
    <w:rsid w:val="004362B3"/>
    <w:rsid w:val="0043668D"/>
    <w:rsid w:val="00436BFF"/>
    <w:rsid w:val="0043779F"/>
    <w:rsid w:val="00437C89"/>
    <w:rsid w:val="00441814"/>
    <w:rsid w:val="00441C33"/>
    <w:rsid w:val="0044346F"/>
    <w:rsid w:val="00443D88"/>
    <w:rsid w:val="004448B6"/>
    <w:rsid w:val="004448CE"/>
    <w:rsid w:val="0044559C"/>
    <w:rsid w:val="00445FB9"/>
    <w:rsid w:val="00446548"/>
    <w:rsid w:val="004477A9"/>
    <w:rsid w:val="00447882"/>
    <w:rsid w:val="00450174"/>
    <w:rsid w:val="004520D2"/>
    <w:rsid w:val="0045212B"/>
    <w:rsid w:val="004529B1"/>
    <w:rsid w:val="004531EA"/>
    <w:rsid w:val="004533EF"/>
    <w:rsid w:val="00453F2B"/>
    <w:rsid w:val="00454130"/>
    <w:rsid w:val="00454562"/>
    <w:rsid w:val="00455DDF"/>
    <w:rsid w:val="00456C6F"/>
    <w:rsid w:val="00456D67"/>
    <w:rsid w:val="0045758C"/>
    <w:rsid w:val="004600D5"/>
    <w:rsid w:val="004603A8"/>
    <w:rsid w:val="004608F6"/>
    <w:rsid w:val="00460F3F"/>
    <w:rsid w:val="0046233E"/>
    <w:rsid w:val="00462C81"/>
    <w:rsid w:val="00463224"/>
    <w:rsid w:val="004632D0"/>
    <w:rsid w:val="004642E6"/>
    <w:rsid w:val="00464451"/>
    <w:rsid w:val="0046520A"/>
    <w:rsid w:val="00466241"/>
    <w:rsid w:val="004666C0"/>
    <w:rsid w:val="00466968"/>
    <w:rsid w:val="004672AB"/>
    <w:rsid w:val="00467606"/>
    <w:rsid w:val="0047037C"/>
    <w:rsid w:val="004714FE"/>
    <w:rsid w:val="0047434E"/>
    <w:rsid w:val="004745B3"/>
    <w:rsid w:val="00474E6D"/>
    <w:rsid w:val="004751FB"/>
    <w:rsid w:val="00475924"/>
    <w:rsid w:val="00476043"/>
    <w:rsid w:val="00476172"/>
    <w:rsid w:val="00476E7B"/>
    <w:rsid w:val="00477893"/>
    <w:rsid w:val="00477904"/>
    <w:rsid w:val="00477BAA"/>
    <w:rsid w:val="00477DA5"/>
    <w:rsid w:val="00480657"/>
    <w:rsid w:val="00480AD4"/>
    <w:rsid w:val="004830D9"/>
    <w:rsid w:val="00483B5A"/>
    <w:rsid w:val="004842A0"/>
    <w:rsid w:val="00486A96"/>
    <w:rsid w:val="00487033"/>
    <w:rsid w:val="004906D4"/>
    <w:rsid w:val="004915EC"/>
    <w:rsid w:val="00491665"/>
    <w:rsid w:val="00491CC8"/>
    <w:rsid w:val="004927C8"/>
    <w:rsid w:val="004931EE"/>
    <w:rsid w:val="00495053"/>
    <w:rsid w:val="00495A90"/>
    <w:rsid w:val="00496EE2"/>
    <w:rsid w:val="004A05CB"/>
    <w:rsid w:val="004A07D3"/>
    <w:rsid w:val="004A0F40"/>
    <w:rsid w:val="004A1C94"/>
    <w:rsid w:val="004A1E51"/>
    <w:rsid w:val="004A1F59"/>
    <w:rsid w:val="004A261E"/>
    <w:rsid w:val="004A29BE"/>
    <w:rsid w:val="004A3225"/>
    <w:rsid w:val="004A33EE"/>
    <w:rsid w:val="004A3AA8"/>
    <w:rsid w:val="004A3B70"/>
    <w:rsid w:val="004A444D"/>
    <w:rsid w:val="004A598C"/>
    <w:rsid w:val="004A6547"/>
    <w:rsid w:val="004A7015"/>
    <w:rsid w:val="004B13C7"/>
    <w:rsid w:val="004B290C"/>
    <w:rsid w:val="004B32D4"/>
    <w:rsid w:val="004B4AF4"/>
    <w:rsid w:val="004B55BC"/>
    <w:rsid w:val="004B68C4"/>
    <w:rsid w:val="004B6963"/>
    <w:rsid w:val="004B6ADC"/>
    <w:rsid w:val="004B6F76"/>
    <w:rsid w:val="004B74FC"/>
    <w:rsid w:val="004B7588"/>
    <w:rsid w:val="004B778F"/>
    <w:rsid w:val="004B7DCF"/>
    <w:rsid w:val="004C141A"/>
    <w:rsid w:val="004C1522"/>
    <w:rsid w:val="004C16DB"/>
    <w:rsid w:val="004C231F"/>
    <w:rsid w:val="004C244B"/>
    <w:rsid w:val="004C277A"/>
    <w:rsid w:val="004C36E5"/>
    <w:rsid w:val="004C392C"/>
    <w:rsid w:val="004C4ECD"/>
    <w:rsid w:val="004C525D"/>
    <w:rsid w:val="004C64AC"/>
    <w:rsid w:val="004D03E0"/>
    <w:rsid w:val="004D0C55"/>
    <w:rsid w:val="004D0CF7"/>
    <w:rsid w:val="004D0FAE"/>
    <w:rsid w:val="004D1082"/>
    <w:rsid w:val="004D141F"/>
    <w:rsid w:val="004D22B7"/>
    <w:rsid w:val="004D2335"/>
    <w:rsid w:val="004D2742"/>
    <w:rsid w:val="004D3063"/>
    <w:rsid w:val="004D3D76"/>
    <w:rsid w:val="004D44ED"/>
    <w:rsid w:val="004D5E5B"/>
    <w:rsid w:val="004D6310"/>
    <w:rsid w:val="004D660B"/>
    <w:rsid w:val="004E0062"/>
    <w:rsid w:val="004E007C"/>
    <w:rsid w:val="004E0498"/>
    <w:rsid w:val="004E05A1"/>
    <w:rsid w:val="004E0997"/>
    <w:rsid w:val="004E1C05"/>
    <w:rsid w:val="004E2DC5"/>
    <w:rsid w:val="004E400E"/>
    <w:rsid w:val="004E5AEA"/>
    <w:rsid w:val="004E5D24"/>
    <w:rsid w:val="004E6471"/>
    <w:rsid w:val="004E6A50"/>
    <w:rsid w:val="004E736E"/>
    <w:rsid w:val="004E75E1"/>
    <w:rsid w:val="004E7E58"/>
    <w:rsid w:val="004F05F1"/>
    <w:rsid w:val="004F19EA"/>
    <w:rsid w:val="004F2BF7"/>
    <w:rsid w:val="004F2D80"/>
    <w:rsid w:val="004F390A"/>
    <w:rsid w:val="004F3C22"/>
    <w:rsid w:val="004F4CB9"/>
    <w:rsid w:val="004F5E57"/>
    <w:rsid w:val="004F5FD2"/>
    <w:rsid w:val="004F6710"/>
    <w:rsid w:val="004F75D6"/>
    <w:rsid w:val="004F79F4"/>
    <w:rsid w:val="0050028D"/>
    <w:rsid w:val="005009EA"/>
    <w:rsid w:val="00500C3E"/>
    <w:rsid w:val="00501DD6"/>
    <w:rsid w:val="00502849"/>
    <w:rsid w:val="00503FFA"/>
    <w:rsid w:val="00504334"/>
    <w:rsid w:val="0050479E"/>
    <w:rsid w:val="0050498D"/>
    <w:rsid w:val="00505179"/>
    <w:rsid w:val="005057DB"/>
    <w:rsid w:val="00506407"/>
    <w:rsid w:val="00507CAD"/>
    <w:rsid w:val="00507F71"/>
    <w:rsid w:val="005104D7"/>
    <w:rsid w:val="00510B55"/>
    <w:rsid w:val="00510B9E"/>
    <w:rsid w:val="00511A8B"/>
    <w:rsid w:val="00511CBA"/>
    <w:rsid w:val="00512116"/>
    <w:rsid w:val="00512AA4"/>
    <w:rsid w:val="00512AEC"/>
    <w:rsid w:val="005144A0"/>
    <w:rsid w:val="005159E2"/>
    <w:rsid w:val="00515FF0"/>
    <w:rsid w:val="00516044"/>
    <w:rsid w:val="00516C3A"/>
    <w:rsid w:val="00516CD8"/>
    <w:rsid w:val="00516D67"/>
    <w:rsid w:val="005170B1"/>
    <w:rsid w:val="0051763F"/>
    <w:rsid w:val="00517FF6"/>
    <w:rsid w:val="00522017"/>
    <w:rsid w:val="005224E1"/>
    <w:rsid w:val="0052358C"/>
    <w:rsid w:val="005242B6"/>
    <w:rsid w:val="005246FF"/>
    <w:rsid w:val="00524E72"/>
    <w:rsid w:val="00525828"/>
    <w:rsid w:val="00525C15"/>
    <w:rsid w:val="005274A1"/>
    <w:rsid w:val="005274BD"/>
    <w:rsid w:val="00527525"/>
    <w:rsid w:val="00530006"/>
    <w:rsid w:val="00530C30"/>
    <w:rsid w:val="0053166A"/>
    <w:rsid w:val="00531B50"/>
    <w:rsid w:val="005321C4"/>
    <w:rsid w:val="00533A37"/>
    <w:rsid w:val="00534067"/>
    <w:rsid w:val="00534442"/>
    <w:rsid w:val="00536115"/>
    <w:rsid w:val="0053699C"/>
    <w:rsid w:val="00536BC2"/>
    <w:rsid w:val="0054029B"/>
    <w:rsid w:val="00541B06"/>
    <w:rsid w:val="00541C5B"/>
    <w:rsid w:val="005425E1"/>
    <w:rsid w:val="005427C5"/>
    <w:rsid w:val="00542CF6"/>
    <w:rsid w:val="00544003"/>
    <w:rsid w:val="0054488D"/>
    <w:rsid w:val="005461E1"/>
    <w:rsid w:val="0055030C"/>
    <w:rsid w:val="00551093"/>
    <w:rsid w:val="005516EE"/>
    <w:rsid w:val="00552718"/>
    <w:rsid w:val="00552BEC"/>
    <w:rsid w:val="00553C03"/>
    <w:rsid w:val="00553EAB"/>
    <w:rsid w:val="00553ECE"/>
    <w:rsid w:val="005552FF"/>
    <w:rsid w:val="00555872"/>
    <w:rsid w:val="00556D7F"/>
    <w:rsid w:val="00557C60"/>
    <w:rsid w:val="00557C92"/>
    <w:rsid w:val="00560EB8"/>
    <w:rsid w:val="00561793"/>
    <w:rsid w:val="005622AE"/>
    <w:rsid w:val="0056250C"/>
    <w:rsid w:val="00562888"/>
    <w:rsid w:val="00563692"/>
    <w:rsid w:val="00563906"/>
    <w:rsid w:val="0056552A"/>
    <w:rsid w:val="00565B23"/>
    <w:rsid w:val="00566468"/>
    <w:rsid w:val="00566AC0"/>
    <w:rsid w:val="00570017"/>
    <w:rsid w:val="005702A5"/>
    <w:rsid w:val="00570416"/>
    <w:rsid w:val="005714CF"/>
    <w:rsid w:val="00571679"/>
    <w:rsid w:val="00572864"/>
    <w:rsid w:val="00573F7F"/>
    <w:rsid w:val="00574C79"/>
    <w:rsid w:val="005762EB"/>
    <w:rsid w:val="00577367"/>
    <w:rsid w:val="0057769D"/>
    <w:rsid w:val="00577C36"/>
    <w:rsid w:val="0058040A"/>
    <w:rsid w:val="005807B9"/>
    <w:rsid w:val="005815B1"/>
    <w:rsid w:val="00581F6B"/>
    <w:rsid w:val="005824CD"/>
    <w:rsid w:val="00582649"/>
    <w:rsid w:val="005834C5"/>
    <w:rsid w:val="005844E7"/>
    <w:rsid w:val="00584788"/>
    <w:rsid w:val="00584A3D"/>
    <w:rsid w:val="005856EC"/>
    <w:rsid w:val="00586A83"/>
    <w:rsid w:val="00590394"/>
    <w:rsid w:val="005908B8"/>
    <w:rsid w:val="005916A2"/>
    <w:rsid w:val="005923C0"/>
    <w:rsid w:val="0059281C"/>
    <w:rsid w:val="005929B5"/>
    <w:rsid w:val="00592B49"/>
    <w:rsid w:val="00593473"/>
    <w:rsid w:val="00593614"/>
    <w:rsid w:val="00594004"/>
    <w:rsid w:val="00594A79"/>
    <w:rsid w:val="00594D37"/>
    <w:rsid w:val="00594EBE"/>
    <w:rsid w:val="00594F3B"/>
    <w:rsid w:val="0059512E"/>
    <w:rsid w:val="0059689B"/>
    <w:rsid w:val="0059782C"/>
    <w:rsid w:val="005A0C4B"/>
    <w:rsid w:val="005A1E46"/>
    <w:rsid w:val="005A38A0"/>
    <w:rsid w:val="005A4AF2"/>
    <w:rsid w:val="005A5B02"/>
    <w:rsid w:val="005A6509"/>
    <w:rsid w:val="005A6DD2"/>
    <w:rsid w:val="005A7FA6"/>
    <w:rsid w:val="005B0F6C"/>
    <w:rsid w:val="005B1C6C"/>
    <w:rsid w:val="005B3326"/>
    <w:rsid w:val="005B3C20"/>
    <w:rsid w:val="005B3C75"/>
    <w:rsid w:val="005B3FAD"/>
    <w:rsid w:val="005B4E95"/>
    <w:rsid w:val="005B5355"/>
    <w:rsid w:val="005B53C6"/>
    <w:rsid w:val="005B560E"/>
    <w:rsid w:val="005B5E24"/>
    <w:rsid w:val="005B65F4"/>
    <w:rsid w:val="005B66A6"/>
    <w:rsid w:val="005B6CAF"/>
    <w:rsid w:val="005B7426"/>
    <w:rsid w:val="005B77FF"/>
    <w:rsid w:val="005B799A"/>
    <w:rsid w:val="005C2664"/>
    <w:rsid w:val="005C385D"/>
    <w:rsid w:val="005C46FF"/>
    <w:rsid w:val="005C6484"/>
    <w:rsid w:val="005C652B"/>
    <w:rsid w:val="005C6781"/>
    <w:rsid w:val="005C728C"/>
    <w:rsid w:val="005C7356"/>
    <w:rsid w:val="005C7732"/>
    <w:rsid w:val="005C79C3"/>
    <w:rsid w:val="005D0129"/>
    <w:rsid w:val="005D159F"/>
    <w:rsid w:val="005D1619"/>
    <w:rsid w:val="005D1C0B"/>
    <w:rsid w:val="005D1FA6"/>
    <w:rsid w:val="005D3B20"/>
    <w:rsid w:val="005D43AB"/>
    <w:rsid w:val="005D590B"/>
    <w:rsid w:val="005D5D4F"/>
    <w:rsid w:val="005D6586"/>
    <w:rsid w:val="005D66C9"/>
    <w:rsid w:val="005D6A43"/>
    <w:rsid w:val="005D6DA0"/>
    <w:rsid w:val="005D79B1"/>
    <w:rsid w:val="005E005C"/>
    <w:rsid w:val="005E1BA7"/>
    <w:rsid w:val="005E1BB8"/>
    <w:rsid w:val="005E2C72"/>
    <w:rsid w:val="005E3AFE"/>
    <w:rsid w:val="005E3D74"/>
    <w:rsid w:val="005E3DFA"/>
    <w:rsid w:val="005E4759"/>
    <w:rsid w:val="005E4A81"/>
    <w:rsid w:val="005E4CBB"/>
    <w:rsid w:val="005E5C68"/>
    <w:rsid w:val="005E5C90"/>
    <w:rsid w:val="005E5D9F"/>
    <w:rsid w:val="005E630D"/>
    <w:rsid w:val="005E648B"/>
    <w:rsid w:val="005E65C0"/>
    <w:rsid w:val="005E66C4"/>
    <w:rsid w:val="005E73C0"/>
    <w:rsid w:val="005E7CCB"/>
    <w:rsid w:val="005F0390"/>
    <w:rsid w:val="005F1EC4"/>
    <w:rsid w:val="005F2E5B"/>
    <w:rsid w:val="005F387A"/>
    <w:rsid w:val="005F5440"/>
    <w:rsid w:val="005F5705"/>
    <w:rsid w:val="005F57FC"/>
    <w:rsid w:val="005F6073"/>
    <w:rsid w:val="005F60EF"/>
    <w:rsid w:val="005F670C"/>
    <w:rsid w:val="005F67A4"/>
    <w:rsid w:val="00600E33"/>
    <w:rsid w:val="00600F56"/>
    <w:rsid w:val="006012C7"/>
    <w:rsid w:val="00602F8C"/>
    <w:rsid w:val="0060388F"/>
    <w:rsid w:val="00604A2A"/>
    <w:rsid w:val="006050CA"/>
    <w:rsid w:val="0060588A"/>
    <w:rsid w:val="006072CD"/>
    <w:rsid w:val="006106BD"/>
    <w:rsid w:val="0061078A"/>
    <w:rsid w:val="00612023"/>
    <w:rsid w:val="006127B7"/>
    <w:rsid w:val="00613C27"/>
    <w:rsid w:val="00613F67"/>
    <w:rsid w:val="00614190"/>
    <w:rsid w:val="00614775"/>
    <w:rsid w:val="006156EE"/>
    <w:rsid w:val="00615767"/>
    <w:rsid w:val="00615E24"/>
    <w:rsid w:val="0061707C"/>
    <w:rsid w:val="006171DF"/>
    <w:rsid w:val="00617A6A"/>
    <w:rsid w:val="006205F9"/>
    <w:rsid w:val="00620EF0"/>
    <w:rsid w:val="00621601"/>
    <w:rsid w:val="006223CC"/>
    <w:rsid w:val="006224FE"/>
    <w:rsid w:val="00622A99"/>
    <w:rsid w:val="00622D19"/>
    <w:rsid w:val="00622E67"/>
    <w:rsid w:val="00624D44"/>
    <w:rsid w:val="006251F7"/>
    <w:rsid w:val="00625303"/>
    <w:rsid w:val="00625496"/>
    <w:rsid w:val="006254F1"/>
    <w:rsid w:val="00625D6F"/>
    <w:rsid w:val="00625DF8"/>
    <w:rsid w:val="00626EDC"/>
    <w:rsid w:val="00626F9C"/>
    <w:rsid w:val="00627988"/>
    <w:rsid w:val="006305A6"/>
    <w:rsid w:val="00630FBC"/>
    <w:rsid w:val="00631390"/>
    <w:rsid w:val="00631941"/>
    <w:rsid w:val="00631F8F"/>
    <w:rsid w:val="006324DC"/>
    <w:rsid w:val="0063398C"/>
    <w:rsid w:val="006344DA"/>
    <w:rsid w:val="00634B98"/>
    <w:rsid w:val="00635188"/>
    <w:rsid w:val="006356E8"/>
    <w:rsid w:val="006359C2"/>
    <w:rsid w:val="00636D19"/>
    <w:rsid w:val="00637420"/>
    <w:rsid w:val="00637A26"/>
    <w:rsid w:val="00637ED0"/>
    <w:rsid w:val="00640A82"/>
    <w:rsid w:val="00641054"/>
    <w:rsid w:val="0064124A"/>
    <w:rsid w:val="00641890"/>
    <w:rsid w:val="00642314"/>
    <w:rsid w:val="0064293A"/>
    <w:rsid w:val="00642D2E"/>
    <w:rsid w:val="00644A32"/>
    <w:rsid w:val="0064553B"/>
    <w:rsid w:val="00646C43"/>
    <w:rsid w:val="006470EC"/>
    <w:rsid w:val="006476BF"/>
    <w:rsid w:val="00647985"/>
    <w:rsid w:val="00647BF2"/>
    <w:rsid w:val="006504A7"/>
    <w:rsid w:val="006513DB"/>
    <w:rsid w:val="00651A12"/>
    <w:rsid w:val="00651EE5"/>
    <w:rsid w:val="00652C64"/>
    <w:rsid w:val="00652C6B"/>
    <w:rsid w:val="00652D47"/>
    <w:rsid w:val="00652FB2"/>
    <w:rsid w:val="00653AE1"/>
    <w:rsid w:val="006542D6"/>
    <w:rsid w:val="00654D31"/>
    <w:rsid w:val="0065598E"/>
    <w:rsid w:val="00655AF2"/>
    <w:rsid w:val="00655BC5"/>
    <w:rsid w:val="006568BE"/>
    <w:rsid w:val="0065743C"/>
    <w:rsid w:val="006575DE"/>
    <w:rsid w:val="00657C31"/>
    <w:rsid w:val="0066025D"/>
    <w:rsid w:val="006607D4"/>
    <w:rsid w:val="0066091A"/>
    <w:rsid w:val="00662122"/>
    <w:rsid w:val="00662412"/>
    <w:rsid w:val="0066273D"/>
    <w:rsid w:val="006632C2"/>
    <w:rsid w:val="0066349D"/>
    <w:rsid w:val="006640FA"/>
    <w:rsid w:val="006648A4"/>
    <w:rsid w:val="00666988"/>
    <w:rsid w:val="006670A5"/>
    <w:rsid w:val="006677B3"/>
    <w:rsid w:val="00667AB8"/>
    <w:rsid w:val="00667E8C"/>
    <w:rsid w:val="00671E7F"/>
    <w:rsid w:val="00673168"/>
    <w:rsid w:val="00673403"/>
    <w:rsid w:val="00673A61"/>
    <w:rsid w:val="0067436B"/>
    <w:rsid w:val="00676AD1"/>
    <w:rsid w:val="0067722F"/>
    <w:rsid w:val="006773EC"/>
    <w:rsid w:val="00680504"/>
    <w:rsid w:val="00681CC0"/>
    <w:rsid w:val="00681CD9"/>
    <w:rsid w:val="00683065"/>
    <w:rsid w:val="0068329A"/>
    <w:rsid w:val="00683630"/>
    <w:rsid w:val="006837CA"/>
    <w:rsid w:val="00683A7E"/>
    <w:rsid w:val="00683B03"/>
    <w:rsid w:val="00683E30"/>
    <w:rsid w:val="00684138"/>
    <w:rsid w:val="0068553D"/>
    <w:rsid w:val="006858B7"/>
    <w:rsid w:val="006859E7"/>
    <w:rsid w:val="006865B5"/>
    <w:rsid w:val="00687024"/>
    <w:rsid w:val="00687669"/>
    <w:rsid w:val="00691C25"/>
    <w:rsid w:val="0069206B"/>
    <w:rsid w:val="0069211C"/>
    <w:rsid w:val="0069225B"/>
    <w:rsid w:val="006928C7"/>
    <w:rsid w:val="0069292D"/>
    <w:rsid w:val="00692FA5"/>
    <w:rsid w:val="006946F1"/>
    <w:rsid w:val="00695A30"/>
    <w:rsid w:val="00695C32"/>
    <w:rsid w:val="00695E22"/>
    <w:rsid w:val="00697E84"/>
    <w:rsid w:val="006A0024"/>
    <w:rsid w:val="006A1D32"/>
    <w:rsid w:val="006A2D7B"/>
    <w:rsid w:val="006A305E"/>
    <w:rsid w:val="006A4D46"/>
    <w:rsid w:val="006A51BA"/>
    <w:rsid w:val="006A5A19"/>
    <w:rsid w:val="006A5AA4"/>
    <w:rsid w:val="006A5E5D"/>
    <w:rsid w:val="006A65B8"/>
    <w:rsid w:val="006A6858"/>
    <w:rsid w:val="006A7EE2"/>
    <w:rsid w:val="006B073A"/>
    <w:rsid w:val="006B0761"/>
    <w:rsid w:val="006B27CB"/>
    <w:rsid w:val="006B35EE"/>
    <w:rsid w:val="006B41A1"/>
    <w:rsid w:val="006B6B29"/>
    <w:rsid w:val="006B6F20"/>
    <w:rsid w:val="006B7093"/>
    <w:rsid w:val="006B7417"/>
    <w:rsid w:val="006C0D37"/>
    <w:rsid w:val="006C118E"/>
    <w:rsid w:val="006C1A0E"/>
    <w:rsid w:val="006C3042"/>
    <w:rsid w:val="006C34B2"/>
    <w:rsid w:val="006C5B3A"/>
    <w:rsid w:val="006C6951"/>
    <w:rsid w:val="006C6B36"/>
    <w:rsid w:val="006C6EE2"/>
    <w:rsid w:val="006C770C"/>
    <w:rsid w:val="006D02FC"/>
    <w:rsid w:val="006D0BBD"/>
    <w:rsid w:val="006D1953"/>
    <w:rsid w:val="006D1A2A"/>
    <w:rsid w:val="006D1A73"/>
    <w:rsid w:val="006D2C19"/>
    <w:rsid w:val="006D3691"/>
    <w:rsid w:val="006D3E77"/>
    <w:rsid w:val="006D54E6"/>
    <w:rsid w:val="006D631A"/>
    <w:rsid w:val="006D64D9"/>
    <w:rsid w:val="006D6B99"/>
    <w:rsid w:val="006D6CED"/>
    <w:rsid w:val="006E0447"/>
    <w:rsid w:val="006E35AF"/>
    <w:rsid w:val="006E38BC"/>
    <w:rsid w:val="006E423B"/>
    <w:rsid w:val="006E5C8A"/>
    <w:rsid w:val="006E5E80"/>
    <w:rsid w:val="006E5EF0"/>
    <w:rsid w:val="006E6497"/>
    <w:rsid w:val="006E6F2A"/>
    <w:rsid w:val="006E7F6B"/>
    <w:rsid w:val="006F07E0"/>
    <w:rsid w:val="006F10F9"/>
    <w:rsid w:val="006F1619"/>
    <w:rsid w:val="006F24BB"/>
    <w:rsid w:val="006F262B"/>
    <w:rsid w:val="006F3563"/>
    <w:rsid w:val="006F426E"/>
    <w:rsid w:val="006F42B9"/>
    <w:rsid w:val="006F43A0"/>
    <w:rsid w:val="006F4575"/>
    <w:rsid w:val="006F6103"/>
    <w:rsid w:val="006F74B2"/>
    <w:rsid w:val="006F74D3"/>
    <w:rsid w:val="0070063A"/>
    <w:rsid w:val="007007D7"/>
    <w:rsid w:val="00700D82"/>
    <w:rsid w:val="007010F3"/>
    <w:rsid w:val="007027F6"/>
    <w:rsid w:val="00702A1C"/>
    <w:rsid w:val="007030BC"/>
    <w:rsid w:val="0070326D"/>
    <w:rsid w:val="00704E00"/>
    <w:rsid w:val="007058AD"/>
    <w:rsid w:val="00705D3B"/>
    <w:rsid w:val="00707183"/>
    <w:rsid w:val="0070777B"/>
    <w:rsid w:val="007079F9"/>
    <w:rsid w:val="007118AB"/>
    <w:rsid w:val="00711E9B"/>
    <w:rsid w:val="00712089"/>
    <w:rsid w:val="00715DCD"/>
    <w:rsid w:val="0071778C"/>
    <w:rsid w:val="007203C8"/>
    <w:rsid w:val="00720566"/>
    <w:rsid w:val="007209E7"/>
    <w:rsid w:val="00721005"/>
    <w:rsid w:val="00721B7A"/>
    <w:rsid w:val="007241E0"/>
    <w:rsid w:val="00724ACB"/>
    <w:rsid w:val="00726182"/>
    <w:rsid w:val="00727124"/>
    <w:rsid w:val="00727200"/>
    <w:rsid w:val="0072741E"/>
    <w:rsid w:val="00727635"/>
    <w:rsid w:val="00727BCE"/>
    <w:rsid w:val="00730F03"/>
    <w:rsid w:val="00730F89"/>
    <w:rsid w:val="0073154F"/>
    <w:rsid w:val="00731CE1"/>
    <w:rsid w:val="00731F08"/>
    <w:rsid w:val="00732329"/>
    <w:rsid w:val="007337CA"/>
    <w:rsid w:val="007344DB"/>
    <w:rsid w:val="00734CE4"/>
    <w:rsid w:val="00735123"/>
    <w:rsid w:val="007355E1"/>
    <w:rsid w:val="007367F2"/>
    <w:rsid w:val="007376CA"/>
    <w:rsid w:val="007377EC"/>
    <w:rsid w:val="00737E89"/>
    <w:rsid w:val="00740FA1"/>
    <w:rsid w:val="00741837"/>
    <w:rsid w:val="00741A83"/>
    <w:rsid w:val="00741EE6"/>
    <w:rsid w:val="00742AC2"/>
    <w:rsid w:val="00742D3C"/>
    <w:rsid w:val="00743255"/>
    <w:rsid w:val="007432FD"/>
    <w:rsid w:val="00744546"/>
    <w:rsid w:val="00744C39"/>
    <w:rsid w:val="007450CC"/>
    <w:rsid w:val="007453E6"/>
    <w:rsid w:val="0074541A"/>
    <w:rsid w:val="00745AD8"/>
    <w:rsid w:val="00745ED2"/>
    <w:rsid w:val="00746748"/>
    <w:rsid w:val="00746DFF"/>
    <w:rsid w:val="007518F3"/>
    <w:rsid w:val="00752468"/>
    <w:rsid w:val="00753A55"/>
    <w:rsid w:val="00753D2D"/>
    <w:rsid w:val="00754197"/>
    <w:rsid w:val="00754B3B"/>
    <w:rsid w:val="007557B3"/>
    <w:rsid w:val="00755A4F"/>
    <w:rsid w:val="00755C1D"/>
    <w:rsid w:val="00756328"/>
    <w:rsid w:val="00756B41"/>
    <w:rsid w:val="007575F8"/>
    <w:rsid w:val="00760551"/>
    <w:rsid w:val="00760686"/>
    <w:rsid w:val="00760BE9"/>
    <w:rsid w:val="00760ECF"/>
    <w:rsid w:val="00761E58"/>
    <w:rsid w:val="00762BDE"/>
    <w:rsid w:val="007632BB"/>
    <w:rsid w:val="00764933"/>
    <w:rsid w:val="007662B4"/>
    <w:rsid w:val="007673CD"/>
    <w:rsid w:val="00767532"/>
    <w:rsid w:val="00767D8F"/>
    <w:rsid w:val="00770951"/>
    <w:rsid w:val="00770BBF"/>
    <w:rsid w:val="007714A4"/>
    <w:rsid w:val="007714FD"/>
    <w:rsid w:val="00771EFF"/>
    <w:rsid w:val="0077309D"/>
    <w:rsid w:val="007738B5"/>
    <w:rsid w:val="007743CC"/>
    <w:rsid w:val="007746E6"/>
    <w:rsid w:val="007774EE"/>
    <w:rsid w:val="00777C7E"/>
    <w:rsid w:val="00780480"/>
    <w:rsid w:val="00781822"/>
    <w:rsid w:val="0078191F"/>
    <w:rsid w:val="00781AEB"/>
    <w:rsid w:val="00783F21"/>
    <w:rsid w:val="007848CB"/>
    <w:rsid w:val="00785299"/>
    <w:rsid w:val="007856AE"/>
    <w:rsid w:val="007863DB"/>
    <w:rsid w:val="0078641C"/>
    <w:rsid w:val="00786BB6"/>
    <w:rsid w:val="00786EAF"/>
    <w:rsid w:val="00787159"/>
    <w:rsid w:val="007878E1"/>
    <w:rsid w:val="00787BF6"/>
    <w:rsid w:val="0079043A"/>
    <w:rsid w:val="00790A95"/>
    <w:rsid w:val="00791668"/>
    <w:rsid w:val="007918EC"/>
    <w:rsid w:val="00791AA1"/>
    <w:rsid w:val="00792DE2"/>
    <w:rsid w:val="007930E2"/>
    <w:rsid w:val="00793560"/>
    <w:rsid w:val="007935F9"/>
    <w:rsid w:val="00794091"/>
    <w:rsid w:val="00794AC3"/>
    <w:rsid w:val="00795DAB"/>
    <w:rsid w:val="007965D7"/>
    <w:rsid w:val="0079700F"/>
    <w:rsid w:val="0079716E"/>
    <w:rsid w:val="007A0D93"/>
    <w:rsid w:val="007A2076"/>
    <w:rsid w:val="007A2236"/>
    <w:rsid w:val="007A2B41"/>
    <w:rsid w:val="007A30C9"/>
    <w:rsid w:val="007A3793"/>
    <w:rsid w:val="007A38C1"/>
    <w:rsid w:val="007A489A"/>
    <w:rsid w:val="007A48ED"/>
    <w:rsid w:val="007A54C8"/>
    <w:rsid w:val="007A5545"/>
    <w:rsid w:val="007A59C7"/>
    <w:rsid w:val="007A7D96"/>
    <w:rsid w:val="007B0411"/>
    <w:rsid w:val="007B08EA"/>
    <w:rsid w:val="007B0DAB"/>
    <w:rsid w:val="007B1140"/>
    <w:rsid w:val="007B2312"/>
    <w:rsid w:val="007B2CD9"/>
    <w:rsid w:val="007B33F6"/>
    <w:rsid w:val="007B4473"/>
    <w:rsid w:val="007B5B29"/>
    <w:rsid w:val="007B5D23"/>
    <w:rsid w:val="007B5FF9"/>
    <w:rsid w:val="007B6A3C"/>
    <w:rsid w:val="007B6CCD"/>
    <w:rsid w:val="007C09E8"/>
    <w:rsid w:val="007C0FCF"/>
    <w:rsid w:val="007C182F"/>
    <w:rsid w:val="007C1871"/>
    <w:rsid w:val="007C1BA2"/>
    <w:rsid w:val="007C2772"/>
    <w:rsid w:val="007C2970"/>
    <w:rsid w:val="007C2B48"/>
    <w:rsid w:val="007C3147"/>
    <w:rsid w:val="007C3292"/>
    <w:rsid w:val="007C3949"/>
    <w:rsid w:val="007C455A"/>
    <w:rsid w:val="007C5D2E"/>
    <w:rsid w:val="007C63C5"/>
    <w:rsid w:val="007C6E0C"/>
    <w:rsid w:val="007D04B1"/>
    <w:rsid w:val="007D06B6"/>
    <w:rsid w:val="007D1517"/>
    <w:rsid w:val="007D1542"/>
    <w:rsid w:val="007D20E9"/>
    <w:rsid w:val="007D2147"/>
    <w:rsid w:val="007D2222"/>
    <w:rsid w:val="007D2B0A"/>
    <w:rsid w:val="007D3C49"/>
    <w:rsid w:val="007D4652"/>
    <w:rsid w:val="007D4DF4"/>
    <w:rsid w:val="007D5166"/>
    <w:rsid w:val="007D553C"/>
    <w:rsid w:val="007D6227"/>
    <w:rsid w:val="007D64FB"/>
    <w:rsid w:val="007D7881"/>
    <w:rsid w:val="007D7E3A"/>
    <w:rsid w:val="007E00AC"/>
    <w:rsid w:val="007E0869"/>
    <w:rsid w:val="007E09C7"/>
    <w:rsid w:val="007E0E10"/>
    <w:rsid w:val="007E0E1F"/>
    <w:rsid w:val="007E0E75"/>
    <w:rsid w:val="007E0EBC"/>
    <w:rsid w:val="007E1B4C"/>
    <w:rsid w:val="007E1EC4"/>
    <w:rsid w:val="007E1F44"/>
    <w:rsid w:val="007E21FB"/>
    <w:rsid w:val="007E417F"/>
    <w:rsid w:val="007E4768"/>
    <w:rsid w:val="007E4A46"/>
    <w:rsid w:val="007E5728"/>
    <w:rsid w:val="007E70E0"/>
    <w:rsid w:val="007E717C"/>
    <w:rsid w:val="007E777B"/>
    <w:rsid w:val="007F0129"/>
    <w:rsid w:val="007F0E5D"/>
    <w:rsid w:val="007F13E4"/>
    <w:rsid w:val="007F1755"/>
    <w:rsid w:val="007F17FF"/>
    <w:rsid w:val="007F1EA0"/>
    <w:rsid w:val="007F2070"/>
    <w:rsid w:val="007F22AA"/>
    <w:rsid w:val="007F23E0"/>
    <w:rsid w:val="007F39EF"/>
    <w:rsid w:val="007F580A"/>
    <w:rsid w:val="007F5812"/>
    <w:rsid w:val="007F594F"/>
    <w:rsid w:val="007F66F6"/>
    <w:rsid w:val="00800258"/>
    <w:rsid w:val="00800280"/>
    <w:rsid w:val="008002F0"/>
    <w:rsid w:val="00801589"/>
    <w:rsid w:val="00801DE8"/>
    <w:rsid w:val="008032F4"/>
    <w:rsid w:val="00804495"/>
    <w:rsid w:val="00804DAF"/>
    <w:rsid w:val="00804E7D"/>
    <w:rsid w:val="008053F5"/>
    <w:rsid w:val="008067D3"/>
    <w:rsid w:val="00807AF7"/>
    <w:rsid w:val="00807C8F"/>
    <w:rsid w:val="00810017"/>
    <w:rsid w:val="00810198"/>
    <w:rsid w:val="00810339"/>
    <w:rsid w:val="00810B98"/>
    <w:rsid w:val="0081103E"/>
    <w:rsid w:val="00811C6A"/>
    <w:rsid w:val="00811FE5"/>
    <w:rsid w:val="008125FD"/>
    <w:rsid w:val="00813523"/>
    <w:rsid w:val="00814595"/>
    <w:rsid w:val="00814C55"/>
    <w:rsid w:val="0081536C"/>
    <w:rsid w:val="00815DA8"/>
    <w:rsid w:val="00816212"/>
    <w:rsid w:val="00816D0D"/>
    <w:rsid w:val="008171C3"/>
    <w:rsid w:val="00817796"/>
    <w:rsid w:val="00820A61"/>
    <w:rsid w:val="00820BE9"/>
    <w:rsid w:val="0082168D"/>
    <w:rsid w:val="00821738"/>
    <w:rsid w:val="0082184E"/>
    <w:rsid w:val="0082194D"/>
    <w:rsid w:val="00821D0A"/>
    <w:rsid w:val="008221F9"/>
    <w:rsid w:val="0082282D"/>
    <w:rsid w:val="008239D2"/>
    <w:rsid w:val="0082445D"/>
    <w:rsid w:val="0082499C"/>
    <w:rsid w:val="0082553E"/>
    <w:rsid w:val="0082592D"/>
    <w:rsid w:val="008261E5"/>
    <w:rsid w:val="00826582"/>
    <w:rsid w:val="00826EF5"/>
    <w:rsid w:val="008273D3"/>
    <w:rsid w:val="008279E3"/>
    <w:rsid w:val="008302CF"/>
    <w:rsid w:val="00831335"/>
    <w:rsid w:val="00831693"/>
    <w:rsid w:val="00832824"/>
    <w:rsid w:val="00833034"/>
    <w:rsid w:val="00833E5F"/>
    <w:rsid w:val="00834598"/>
    <w:rsid w:val="008359A8"/>
    <w:rsid w:val="00836684"/>
    <w:rsid w:val="00836911"/>
    <w:rsid w:val="00840104"/>
    <w:rsid w:val="00840C1F"/>
    <w:rsid w:val="00841096"/>
    <w:rsid w:val="00841FC5"/>
    <w:rsid w:val="00842051"/>
    <w:rsid w:val="00842A96"/>
    <w:rsid w:val="00843A0A"/>
    <w:rsid w:val="00844388"/>
    <w:rsid w:val="00844AA4"/>
    <w:rsid w:val="00844B8E"/>
    <w:rsid w:val="00845709"/>
    <w:rsid w:val="008457A6"/>
    <w:rsid w:val="0084605F"/>
    <w:rsid w:val="00846370"/>
    <w:rsid w:val="0084725C"/>
    <w:rsid w:val="00847C69"/>
    <w:rsid w:val="0085016B"/>
    <w:rsid w:val="008505DE"/>
    <w:rsid w:val="008506F6"/>
    <w:rsid w:val="00850708"/>
    <w:rsid w:val="008517C0"/>
    <w:rsid w:val="008523D8"/>
    <w:rsid w:val="00852AAD"/>
    <w:rsid w:val="00852BA9"/>
    <w:rsid w:val="00852E6D"/>
    <w:rsid w:val="0085308D"/>
    <w:rsid w:val="00853767"/>
    <w:rsid w:val="008553C9"/>
    <w:rsid w:val="00855749"/>
    <w:rsid w:val="008576BD"/>
    <w:rsid w:val="00860463"/>
    <w:rsid w:val="0086050F"/>
    <w:rsid w:val="00860A5F"/>
    <w:rsid w:val="0086151F"/>
    <w:rsid w:val="00861BCC"/>
    <w:rsid w:val="00862D9C"/>
    <w:rsid w:val="00863FA8"/>
    <w:rsid w:val="00863FD3"/>
    <w:rsid w:val="00864B86"/>
    <w:rsid w:val="00866237"/>
    <w:rsid w:val="00866AAA"/>
    <w:rsid w:val="00867163"/>
    <w:rsid w:val="008702DB"/>
    <w:rsid w:val="00870456"/>
    <w:rsid w:val="00871364"/>
    <w:rsid w:val="008719BC"/>
    <w:rsid w:val="008720BB"/>
    <w:rsid w:val="008722AA"/>
    <w:rsid w:val="008722DB"/>
    <w:rsid w:val="008724D7"/>
    <w:rsid w:val="008733DA"/>
    <w:rsid w:val="00873B3C"/>
    <w:rsid w:val="00874F78"/>
    <w:rsid w:val="00875CAB"/>
    <w:rsid w:val="00876283"/>
    <w:rsid w:val="0087740E"/>
    <w:rsid w:val="008801B8"/>
    <w:rsid w:val="00880DED"/>
    <w:rsid w:val="00881941"/>
    <w:rsid w:val="00882D75"/>
    <w:rsid w:val="00883174"/>
    <w:rsid w:val="00883941"/>
    <w:rsid w:val="00883DFD"/>
    <w:rsid w:val="00884662"/>
    <w:rsid w:val="00884665"/>
    <w:rsid w:val="008850E4"/>
    <w:rsid w:val="00885C9D"/>
    <w:rsid w:val="00885FDA"/>
    <w:rsid w:val="0088670F"/>
    <w:rsid w:val="00886F91"/>
    <w:rsid w:val="00887DD7"/>
    <w:rsid w:val="00891771"/>
    <w:rsid w:val="00891ADA"/>
    <w:rsid w:val="008939AB"/>
    <w:rsid w:val="008939AF"/>
    <w:rsid w:val="0089565E"/>
    <w:rsid w:val="008963AD"/>
    <w:rsid w:val="00896578"/>
    <w:rsid w:val="00896DAA"/>
    <w:rsid w:val="00897091"/>
    <w:rsid w:val="008971EB"/>
    <w:rsid w:val="008979D6"/>
    <w:rsid w:val="00897B15"/>
    <w:rsid w:val="008A0061"/>
    <w:rsid w:val="008A0CC0"/>
    <w:rsid w:val="008A12F5"/>
    <w:rsid w:val="008A361C"/>
    <w:rsid w:val="008A39DD"/>
    <w:rsid w:val="008A51EA"/>
    <w:rsid w:val="008A58B5"/>
    <w:rsid w:val="008A5DAA"/>
    <w:rsid w:val="008A60EB"/>
    <w:rsid w:val="008A647B"/>
    <w:rsid w:val="008A7013"/>
    <w:rsid w:val="008A72CC"/>
    <w:rsid w:val="008B0366"/>
    <w:rsid w:val="008B04E5"/>
    <w:rsid w:val="008B0BA2"/>
    <w:rsid w:val="008B1587"/>
    <w:rsid w:val="008B1B01"/>
    <w:rsid w:val="008B25B8"/>
    <w:rsid w:val="008B2924"/>
    <w:rsid w:val="008B3B29"/>
    <w:rsid w:val="008B3BCD"/>
    <w:rsid w:val="008B5238"/>
    <w:rsid w:val="008B584F"/>
    <w:rsid w:val="008B5E56"/>
    <w:rsid w:val="008B5EC3"/>
    <w:rsid w:val="008B6DF8"/>
    <w:rsid w:val="008B77F7"/>
    <w:rsid w:val="008B7CA2"/>
    <w:rsid w:val="008C0EF4"/>
    <w:rsid w:val="008C106C"/>
    <w:rsid w:val="008C10F1"/>
    <w:rsid w:val="008C14DC"/>
    <w:rsid w:val="008C1926"/>
    <w:rsid w:val="008C1A41"/>
    <w:rsid w:val="008C1E99"/>
    <w:rsid w:val="008C2390"/>
    <w:rsid w:val="008C25FE"/>
    <w:rsid w:val="008C32CA"/>
    <w:rsid w:val="008C45CB"/>
    <w:rsid w:val="008C70EE"/>
    <w:rsid w:val="008C71B8"/>
    <w:rsid w:val="008C77CB"/>
    <w:rsid w:val="008C7AE6"/>
    <w:rsid w:val="008C7B54"/>
    <w:rsid w:val="008D0203"/>
    <w:rsid w:val="008D1964"/>
    <w:rsid w:val="008D2125"/>
    <w:rsid w:val="008D2BCF"/>
    <w:rsid w:val="008D3444"/>
    <w:rsid w:val="008D3596"/>
    <w:rsid w:val="008D48EC"/>
    <w:rsid w:val="008D7203"/>
    <w:rsid w:val="008E0085"/>
    <w:rsid w:val="008E0C95"/>
    <w:rsid w:val="008E16A1"/>
    <w:rsid w:val="008E28BF"/>
    <w:rsid w:val="008E2AA6"/>
    <w:rsid w:val="008E311B"/>
    <w:rsid w:val="008E3321"/>
    <w:rsid w:val="008E4E7F"/>
    <w:rsid w:val="008E5542"/>
    <w:rsid w:val="008E5C3C"/>
    <w:rsid w:val="008E6567"/>
    <w:rsid w:val="008E7EB4"/>
    <w:rsid w:val="008F0F22"/>
    <w:rsid w:val="008F2C05"/>
    <w:rsid w:val="008F3169"/>
    <w:rsid w:val="008F318E"/>
    <w:rsid w:val="008F413E"/>
    <w:rsid w:val="008F46E7"/>
    <w:rsid w:val="008F4742"/>
    <w:rsid w:val="008F4B61"/>
    <w:rsid w:val="008F5457"/>
    <w:rsid w:val="008F6D99"/>
    <w:rsid w:val="008F6F0B"/>
    <w:rsid w:val="008F7299"/>
    <w:rsid w:val="008F7791"/>
    <w:rsid w:val="009001D0"/>
    <w:rsid w:val="009008E1"/>
    <w:rsid w:val="00900A5B"/>
    <w:rsid w:val="00901D73"/>
    <w:rsid w:val="00904C3D"/>
    <w:rsid w:val="00904CD9"/>
    <w:rsid w:val="009056EE"/>
    <w:rsid w:val="00907829"/>
    <w:rsid w:val="00907BA7"/>
    <w:rsid w:val="00907C39"/>
    <w:rsid w:val="00907FF6"/>
    <w:rsid w:val="00910605"/>
    <w:rsid w:val="0091064E"/>
    <w:rsid w:val="009106D8"/>
    <w:rsid w:val="009106F7"/>
    <w:rsid w:val="009112AB"/>
    <w:rsid w:val="0091166F"/>
    <w:rsid w:val="00911FC5"/>
    <w:rsid w:val="00912BB2"/>
    <w:rsid w:val="00912C44"/>
    <w:rsid w:val="009135CD"/>
    <w:rsid w:val="0091398C"/>
    <w:rsid w:val="0091598D"/>
    <w:rsid w:val="0091772A"/>
    <w:rsid w:val="00921CEE"/>
    <w:rsid w:val="00923993"/>
    <w:rsid w:val="00924267"/>
    <w:rsid w:val="00924397"/>
    <w:rsid w:val="00924C8A"/>
    <w:rsid w:val="00924E91"/>
    <w:rsid w:val="00925B6E"/>
    <w:rsid w:val="009263DD"/>
    <w:rsid w:val="009267BC"/>
    <w:rsid w:val="00927EA1"/>
    <w:rsid w:val="0093007A"/>
    <w:rsid w:val="00931572"/>
    <w:rsid w:val="00931A10"/>
    <w:rsid w:val="00932B18"/>
    <w:rsid w:val="00932BA2"/>
    <w:rsid w:val="0093778B"/>
    <w:rsid w:val="009401DC"/>
    <w:rsid w:val="00941477"/>
    <w:rsid w:val="00942604"/>
    <w:rsid w:val="00942D51"/>
    <w:rsid w:val="0094378B"/>
    <w:rsid w:val="00943A15"/>
    <w:rsid w:val="00945558"/>
    <w:rsid w:val="00945A88"/>
    <w:rsid w:val="00946E61"/>
    <w:rsid w:val="0094790A"/>
    <w:rsid w:val="00947967"/>
    <w:rsid w:val="00947E2C"/>
    <w:rsid w:val="00950F94"/>
    <w:rsid w:val="009522DC"/>
    <w:rsid w:val="0095393F"/>
    <w:rsid w:val="00953BC8"/>
    <w:rsid w:val="00954198"/>
    <w:rsid w:val="009543A8"/>
    <w:rsid w:val="0095516F"/>
    <w:rsid w:val="00955201"/>
    <w:rsid w:val="009554C9"/>
    <w:rsid w:val="00955D18"/>
    <w:rsid w:val="009562FC"/>
    <w:rsid w:val="009566C1"/>
    <w:rsid w:val="00957AF0"/>
    <w:rsid w:val="009607ED"/>
    <w:rsid w:val="00961101"/>
    <w:rsid w:val="009614BD"/>
    <w:rsid w:val="009614D9"/>
    <w:rsid w:val="00961A0A"/>
    <w:rsid w:val="00961C53"/>
    <w:rsid w:val="00963336"/>
    <w:rsid w:val="00964362"/>
    <w:rsid w:val="0096483E"/>
    <w:rsid w:val="00964ACB"/>
    <w:rsid w:val="00965200"/>
    <w:rsid w:val="00965B42"/>
    <w:rsid w:val="009668B3"/>
    <w:rsid w:val="00966C65"/>
    <w:rsid w:val="00967C89"/>
    <w:rsid w:val="009704C8"/>
    <w:rsid w:val="0097095F"/>
    <w:rsid w:val="00971471"/>
    <w:rsid w:val="00971873"/>
    <w:rsid w:val="00971A69"/>
    <w:rsid w:val="009727B7"/>
    <w:rsid w:val="00973A29"/>
    <w:rsid w:val="00973D09"/>
    <w:rsid w:val="0097441E"/>
    <w:rsid w:val="00974A38"/>
    <w:rsid w:val="00974F4A"/>
    <w:rsid w:val="0097566B"/>
    <w:rsid w:val="009763EE"/>
    <w:rsid w:val="0097772F"/>
    <w:rsid w:val="0098023D"/>
    <w:rsid w:val="00980824"/>
    <w:rsid w:val="00980BA1"/>
    <w:rsid w:val="009811A8"/>
    <w:rsid w:val="00981B73"/>
    <w:rsid w:val="00981C26"/>
    <w:rsid w:val="00984818"/>
    <w:rsid w:val="0098484C"/>
    <w:rsid w:val="009849C2"/>
    <w:rsid w:val="00984D24"/>
    <w:rsid w:val="00985397"/>
    <w:rsid w:val="009858EB"/>
    <w:rsid w:val="009904AF"/>
    <w:rsid w:val="0099055F"/>
    <w:rsid w:val="00990CD2"/>
    <w:rsid w:val="0099109C"/>
    <w:rsid w:val="0099135A"/>
    <w:rsid w:val="00991F0B"/>
    <w:rsid w:val="00994598"/>
    <w:rsid w:val="00994B65"/>
    <w:rsid w:val="00994BB0"/>
    <w:rsid w:val="00995BF2"/>
    <w:rsid w:val="00997023"/>
    <w:rsid w:val="009A2A7B"/>
    <w:rsid w:val="009A3CDC"/>
    <w:rsid w:val="009A3F47"/>
    <w:rsid w:val="009A4567"/>
    <w:rsid w:val="009A52DE"/>
    <w:rsid w:val="009A54D9"/>
    <w:rsid w:val="009A678C"/>
    <w:rsid w:val="009B0046"/>
    <w:rsid w:val="009B209B"/>
    <w:rsid w:val="009B26DA"/>
    <w:rsid w:val="009B2BDC"/>
    <w:rsid w:val="009B4231"/>
    <w:rsid w:val="009B4852"/>
    <w:rsid w:val="009B6949"/>
    <w:rsid w:val="009B735D"/>
    <w:rsid w:val="009B782B"/>
    <w:rsid w:val="009C0C49"/>
    <w:rsid w:val="009C109E"/>
    <w:rsid w:val="009C1440"/>
    <w:rsid w:val="009C1B0A"/>
    <w:rsid w:val="009C2107"/>
    <w:rsid w:val="009C29BC"/>
    <w:rsid w:val="009C2A23"/>
    <w:rsid w:val="009C3032"/>
    <w:rsid w:val="009C3738"/>
    <w:rsid w:val="009C48ED"/>
    <w:rsid w:val="009C4D5C"/>
    <w:rsid w:val="009C4EC3"/>
    <w:rsid w:val="009C5083"/>
    <w:rsid w:val="009C5D9E"/>
    <w:rsid w:val="009C625F"/>
    <w:rsid w:val="009C715B"/>
    <w:rsid w:val="009C7445"/>
    <w:rsid w:val="009C7F0F"/>
    <w:rsid w:val="009D264D"/>
    <w:rsid w:val="009D2C3E"/>
    <w:rsid w:val="009D306F"/>
    <w:rsid w:val="009D3BAE"/>
    <w:rsid w:val="009D433B"/>
    <w:rsid w:val="009D5307"/>
    <w:rsid w:val="009D53D5"/>
    <w:rsid w:val="009D57E8"/>
    <w:rsid w:val="009D5CDE"/>
    <w:rsid w:val="009E02CD"/>
    <w:rsid w:val="009E0625"/>
    <w:rsid w:val="009E1624"/>
    <w:rsid w:val="009E20A7"/>
    <w:rsid w:val="009E3034"/>
    <w:rsid w:val="009E31ED"/>
    <w:rsid w:val="009E4BAB"/>
    <w:rsid w:val="009E549F"/>
    <w:rsid w:val="009E5DE6"/>
    <w:rsid w:val="009E6B85"/>
    <w:rsid w:val="009E7325"/>
    <w:rsid w:val="009F14F3"/>
    <w:rsid w:val="009F15D7"/>
    <w:rsid w:val="009F16AB"/>
    <w:rsid w:val="009F2207"/>
    <w:rsid w:val="009F2547"/>
    <w:rsid w:val="009F2555"/>
    <w:rsid w:val="009F28A8"/>
    <w:rsid w:val="009F473E"/>
    <w:rsid w:val="009F61A1"/>
    <w:rsid w:val="009F64BC"/>
    <w:rsid w:val="009F682A"/>
    <w:rsid w:val="009F769B"/>
    <w:rsid w:val="00A01B5E"/>
    <w:rsid w:val="00A021BB"/>
    <w:rsid w:val="00A022BE"/>
    <w:rsid w:val="00A024E8"/>
    <w:rsid w:val="00A029C3"/>
    <w:rsid w:val="00A03906"/>
    <w:rsid w:val="00A03AEE"/>
    <w:rsid w:val="00A03EC8"/>
    <w:rsid w:val="00A040C8"/>
    <w:rsid w:val="00A043E5"/>
    <w:rsid w:val="00A07110"/>
    <w:rsid w:val="00A07721"/>
    <w:rsid w:val="00A10471"/>
    <w:rsid w:val="00A166F1"/>
    <w:rsid w:val="00A17401"/>
    <w:rsid w:val="00A20491"/>
    <w:rsid w:val="00A20988"/>
    <w:rsid w:val="00A2105A"/>
    <w:rsid w:val="00A23139"/>
    <w:rsid w:val="00A23219"/>
    <w:rsid w:val="00A23763"/>
    <w:rsid w:val="00A23781"/>
    <w:rsid w:val="00A23C99"/>
    <w:rsid w:val="00A24C95"/>
    <w:rsid w:val="00A25252"/>
    <w:rsid w:val="00A2599A"/>
    <w:rsid w:val="00A25B2D"/>
    <w:rsid w:val="00A25BCA"/>
    <w:rsid w:val="00A25D65"/>
    <w:rsid w:val="00A26094"/>
    <w:rsid w:val="00A26216"/>
    <w:rsid w:val="00A277E6"/>
    <w:rsid w:val="00A301BF"/>
    <w:rsid w:val="00A302B2"/>
    <w:rsid w:val="00A30CD1"/>
    <w:rsid w:val="00A321CB"/>
    <w:rsid w:val="00A32CAA"/>
    <w:rsid w:val="00A331B4"/>
    <w:rsid w:val="00A33A59"/>
    <w:rsid w:val="00A3484E"/>
    <w:rsid w:val="00A356D3"/>
    <w:rsid w:val="00A3579C"/>
    <w:rsid w:val="00A363AF"/>
    <w:rsid w:val="00A36ADA"/>
    <w:rsid w:val="00A370C9"/>
    <w:rsid w:val="00A37AE3"/>
    <w:rsid w:val="00A40831"/>
    <w:rsid w:val="00A40D20"/>
    <w:rsid w:val="00A41183"/>
    <w:rsid w:val="00A41303"/>
    <w:rsid w:val="00A4180D"/>
    <w:rsid w:val="00A438D8"/>
    <w:rsid w:val="00A43ECF"/>
    <w:rsid w:val="00A44233"/>
    <w:rsid w:val="00A44B23"/>
    <w:rsid w:val="00A45642"/>
    <w:rsid w:val="00A45CCE"/>
    <w:rsid w:val="00A45F97"/>
    <w:rsid w:val="00A46291"/>
    <w:rsid w:val="00A46A6C"/>
    <w:rsid w:val="00A473F5"/>
    <w:rsid w:val="00A5057E"/>
    <w:rsid w:val="00A51388"/>
    <w:rsid w:val="00A515C4"/>
    <w:rsid w:val="00A51A1B"/>
    <w:rsid w:val="00A51F9D"/>
    <w:rsid w:val="00A525CF"/>
    <w:rsid w:val="00A529B4"/>
    <w:rsid w:val="00A52D5F"/>
    <w:rsid w:val="00A5416A"/>
    <w:rsid w:val="00A5495D"/>
    <w:rsid w:val="00A54F22"/>
    <w:rsid w:val="00A56802"/>
    <w:rsid w:val="00A57B8D"/>
    <w:rsid w:val="00A57F5E"/>
    <w:rsid w:val="00A60001"/>
    <w:rsid w:val="00A60190"/>
    <w:rsid w:val="00A60281"/>
    <w:rsid w:val="00A606BB"/>
    <w:rsid w:val="00A60DEE"/>
    <w:rsid w:val="00A6103F"/>
    <w:rsid w:val="00A61378"/>
    <w:rsid w:val="00A61689"/>
    <w:rsid w:val="00A619BA"/>
    <w:rsid w:val="00A627AA"/>
    <w:rsid w:val="00A634FF"/>
    <w:rsid w:val="00A639F4"/>
    <w:rsid w:val="00A63B17"/>
    <w:rsid w:val="00A63B4D"/>
    <w:rsid w:val="00A662B1"/>
    <w:rsid w:val="00A67E19"/>
    <w:rsid w:val="00A67E75"/>
    <w:rsid w:val="00A7104A"/>
    <w:rsid w:val="00A71300"/>
    <w:rsid w:val="00A7243B"/>
    <w:rsid w:val="00A73789"/>
    <w:rsid w:val="00A74D55"/>
    <w:rsid w:val="00A751D5"/>
    <w:rsid w:val="00A757D4"/>
    <w:rsid w:val="00A77AB1"/>
    <w:rsid w:val="00A8000F"/>
    <w:rsid w:val="00A804B0"/>
    <w:rsid w:val="00A81A32"/>
    <w:rsid w:val="00A81E05"/>
    <w:rsid w:val="00A834E8"/>
    <w:rsid w:val="00A835BD"/>
    <w:rsid w:val="00A83CF3"/>
    <w:rsid w:val="00A840E2"/>
    <w:rsid w:val="00A84582"/>
    <w:rsid w:val="00A86792"/>
    <w:rsid w:val="00A86C5A"/>
    <w:rsid w:val="00A87B5E"/>
    <w:rsid w:val="00A90081"/>
    <w:rsid w:val="00A92A81"/>
    <w:rsid w:val="00A930B4"/>
    <w:rsid w:val="00A941B4"/>
    <w:rsid w:val="00A95118"/>
    <w:rsid w:val="00A9561C"/>
    <w:rsid w:val="00A95846"/>
    <w:rsid w:val="00A96A54"/>
    <w:rsid w:val="00A97B15"/>
    <w:rsid w:val="00AA16DB"/>
    <w:rsid w:val="00AA18B3"/>
    <w:rsid w:val="00AA1BB6"/>
    <w:rsid w:val="00AA1C2C"/>
    <w:rsid w:val="00AA1D0A"/>
    <w:rsid w:val="00AA2484"/>
    <w:rsid w:val="00AA3B91"/>
    <w:rsid w:val="00AA3D64"/>
    <w:rsid w:val="00AA42D5"/>
    <w:rsid w:val="00AA4764"/>
    <w:rsid w:val="00AA5366"/>
    <w:rsid w:val="00AA58C0"/>
    <w:rsid w:val="00AA5BBD"/>
    <w:rsid w:val="00AA5F77"/>
    <w:rsid w:val="00AA60BD"/>
    <w:rsid w:val="00AA7A01"/>
    <w:rsid w:val="00AB0D2C"/>
    <w:rsid w:val="00AB1987"/>
    <w:rsid w:val="00AB1A41"/>
    <w:rsid w:val="00AB1BEA"/>
    <w:rsid w:val="00AB2FAB"/>
    <w:rsid w:val="00AB3A28"/>
    <w:rsid w:val="00AB3BCA"/>
    <w:rsid w:val="00AB4DC5"/>
    <w:rsid w:val="00AB5120"/>
    <w:rsid w:val="00AB53D7"/>
    <w:rsid w:val="00AB5AD4"/>
    <w:rsid w:val="00AB5AE6"/>
    <w:rsid w:val="00AB5C14"/>
    <w:rsid w:val="00AB780B"/>
    <w:rsid w:val="00AC0A60"/>
    <w:rsid w:val="00AC1EE7"/>
    <w:rsid w:val="00AC333F"/>
    <w:rsid w:val="00AC340C"/>
    <w:rsid w:val="00AC5279"/>
    <w:rsid w:val="00AC5403"/>
    <w:rsid w:val="00AC585C"/>
    <w:rsid w:val="00AC58CD"/>
    <w:rsid w:val="00AC58F8"/>
    <w:rsid w:val="00AC5E06"/>
    <w:rsid w:val="00AC7359"/>
    <w:rsid w:val="00AC784B"/>
    <w:rsid w:val="00AC7B5A"/>
    <w:rsid w:val="00AC7D66"/>
    <w:rsid w:val="00AD00EB"/>
    <w:rsid w:val="00AD0136"/>
    <w:rsid w:val="00AD0F68"/>
    <w:rsid w:val="00AD1167"/>
    <w:rsid w:val="00AD12E2"/>
    <w:rsid w:val="00AD16C8"/>
    <w:rsid w:val="00AD1925"/>
    <w:rsid w:val="00AD1A19"/>
    <w:rsid w:val="00AD47E4"/>
    <w:rsid w:val="00AD49FF"/>
    <w:rsid w:val="00AD4E15"/>
    <w:rsid w:val="00AD5452"/>
    <w:rsid w:val="00AD5F88"/>
    <w:rsid w:val="00AD6241"/>
    <w:rsid w:val="00AD7FC9"/>
    <w:rsid w:val="00AE00B7"/>
    <w:rsid w:val="00AE067D"/>
    <w:rsid w:val="00AE0817"/>
    <w:rsid w:val="00AE2247"/>
    <w:rsid w:val="00AE39D5"/>
    <w:rsid w:val="00AE3F1D"/>
    <w:rsid w:val="00AE5167"/>
    <w:rsid w:val="00AE5725"/>
    <w:rsid w:val="00AE5746"/>
    <w:rsid w:val="00AE61F7"/>
    <w:rsid w:val="00AE6344"/>
    <w:rsid w:val="00AE6AE2"/>
    <w:rsid w:val="00AE75B7"/>
    <w:rsid w:val="00AF0785"/>
    <w:rsid w:val="00AF1181"/>
    <w:rsid w:val="00AF1C6E"/>
    <w:rsid w:val="00AF2F79"/>
    <w:rsid w:val="00AF4653"/>
    <w:rsid w:val="00AF5872"/>
    <w:rsid w:val="00AF5972"/>
    <w:rsid w:val="00AF5A3A"/>
    <w:rsid w:val="00AF7DB7"/>
    <w:rsid w:val="00B002BA"/>
    <w:rsid w:val="00B008E7"/>
    <w:rsid w:val="00B0107D"/>
    <w:rsid w:val="00B0186F"/>
    <w:rsid w:val="00B018FC"/>
    <w:rsid w:val="00B021C6"/>
    <w:rsid w:val="00B02DE7"/>
    <w:rsid w:val="00B0339E"/>
    <w:rsid w:val="00B03546"/>
    <w:rsid w:val="00B045A3"/>
    <w:rsid w:val="00B04B57"/>
    <w:rsid w:val="00B050A7"/>
    <w:rsid w:val="00B0564F"/>
    <w:rsid w:val="00B05788"/>
    <w:rsid w:val="00B05DFA"/>
    <w:rsid w:val="00B060D8"/>
    <w:rsid w:val="00B06166"/>
    <w:rsid w:val="00B06808"/>
    <w:rsid w:val="00B06D49"/>
    <w:rsid w:val="00B079DE"/>
    <w:rsid w:val="00B07FDD"/>
    <w:rsid w:val="00B118A0"/>
    <w:rsid w:val="00B11D4B"/>
    <w:rsid w:val="00B11EA9"/>
    <w:rsid w:val="00B12BF6"/>
    <w:rsid w:val="00B130D2"/>
    <w:rsid w:val="00B13A72"/>
    <w:rsid w:val="00B141E1"/>
    <w:rsid w:val="00B169C7"/>
    <w:rsid w:val="00B16F75"/>
    <w:rsid w:val="00B172DF"/>
    <w:rsid w:val="00B17AA3"/>
    <w:rsid w:val="00B201E2"/>
    <w:rsid w:val="00B20E87"/>
    <w:rsid w:val="00B214F4"/>
    <w:rsid w:val="00B21797"/>
    <w:rsid w:val="00B21AC3"/>
    <w:rsid w:val="00B23DAB"/>
    <w:rsid w:val="00B24A67"/>
    <w:rsid w:val="00B26782"/>
    <w:rsid w:val="00B26E7D"/>
    <w:rsid w:val="00B27040"/>
    <w:rsid w:val="00B270E2"/>
    <w:rsid w:val="00B316C8"/>
    <w:rsid w:val="00B31A58"/>
    <w:rsid w:val="00B3427B"/>
    <w:rsid w:val="00B34CDA"/>
    <w:rsid w:val="00B360FF"/>
    <w:rsid w:val="00B362B6"/>
    <w:rsid w:val="00B365DC"/>
    <w:rsid w:val="00B36BC9"/>
    <w:rsid w:val="00B36E8B"/>
    <w:rsid w:val="00B374E1"/>
    <w:rsid w:val="00B37C0A"/>
    <w:rsid w:val="00B405F6"/>
    <w:rsid w:val="00B41C81"/>
    <w:rsid w:val="00B41CEC"/>
    <w:rsid w:val="00B41D39"/>
    <w:rsid w:val="00B443E4"/>
    <w:rsid w:val="00B447A7"/>
    <w:rsid w:val="00B452DB"/>
    <w:rsid w:val="00B45B20"/>
    <w:rsid w:val="00B47079"/>
    <w:rsid w:val="00B5029E"/>
    <w:rsid w:val="00B525DF"/>
    <w:rsid w:val="00B52B4E"/>
    <w:rsid w:val="00B534B9"/>
    <w:rsid w:val="00B5352D"/>
    <w:rsid w:val="00B53A44"/>
    <w:rsid w:val="00B5484D"/>
    <w:rsid w:val="00B55A7B"/>
    <w:rsid w:val="00B563EA"/>
    <w:rsid w:val="00B56CDF"/>
    <w:rsid w:val="00B56E67"/>
    <w:rsid w:val="00B575C7"/>
    <w:rsid w:val="00B60E51"/>
    <w:rsid w:val="00B60E62"/>
    <w:rsid w:val="00B60FE9"/>
    <w:rsid w:val="00B6113E"/>
    <w:rsid w:val="00B6147D"/>
    <w:rsid w:val="00B63898"/>
    <w:rsid w:val="00B63A54"/>
    <w:rsid w:val="00B63E77"/>
    <w:rsid w:val="00B63FB1"/>
    <w:rsid w:val="00B653C3"/>
    <w:rsid w:val="00B654CD"/>
    <w:rsid w:val="00B658D2"/>
    <w:rsid w:val="00B7032E"/>
    <w:rsid w:val="00B70648"/>
    <w:rsid w:val="00B715FB"/>
    <w:rsid w:val="00B734A2"/>
    <w:rsid w:val="00B73B61"/>
    <w:rsid w:val="00B743D1"/>
    <w:rsid w:val="00B74CEF"/>
    <w:rsid w:val="00B74F65"/>
    <w:rsid w:val="00B756EE"/>
    <w:rsid w:val="00B75BDE"/>
    <w:rsid w:val="00B75E78"/>
    <w:rsid w:val="00B77D18"/>
    <w:rsid w:val="00B80799"/>
    <w:rsid w:val="00B8123D"/>
    <w:rsid w:val="00B81D8A"/>
    <w:rsid w:val="00B830B1"/>
    <w:rsid w:val="00B8313A"/>
    <w:rsid w:val="00B83192"/>
    <w:rsid w:val="00B83A40"/>
    <w:rsid w:val="00B93503"/>
    <w:rsid w:val="00B9503F"/>
    <w:rsid w:val="00B96297"/>
    <w:rsid w:val="00B97D31"/>
    <w:rsid w:val="00B97FB9"/>
    <w:rsid w:val="00BA1544"/>
    <w:rsid w:val="00BA1B10"/>
    <w:rsid w:val="00BA2C2E"/>
    <w:rsid w:val="00BA30BE"/>
    <w:rsid w:val="00BA31E8"/>
    <w:rsid w:val="00BA4552"/>
    <w:rsid w:val="00BA4634"/>
    <w:rsid w:val="00BA47E7"/>
    <w:rsid w:val="00BA55E0"/>
    <w:rsid w:val="00BA674A"/>
    <w:rsid w:val="00BA6BD4"/>
    <w:rsid w:val="00BA6C7A"/>
    <w:rsid w:val="00BA7210"/>
    <w:rsid w:val="00BB0D54"/>
    <w:rsid w:val="00BB151F"/>
    <w:rsid w:val="00BB17D1"/>
    <w:rsid w:val="00BB1F31"/>
    <w:rsid w:val="00BB2927"/>
    <w:rsid w:val="00BB2C3A"/>
    <w:rsid w:val="00BB3752"/>
    <w:rsid w:val="00BB3E8A"/>
    <w:rsid w:val="00BB4149"/>
    <w:rsid w:val="00BB582D"/>
    <w:rsid w:val="00BB6688"/>
    <w:rsid w:val="00BB7070"/>
    <w:rsid w:val="00BB7454"/>
    <w:rsid w:val="00BB7F47"/>
    <w:rsid w:val="00BB7F9C"/>
    <w:rsid w:val="00BB7FB2"/>
    <w:rsid w:val="00BC0058"/>
    <w:rsid w:val="00BC0127"/>
    <w:rsid w:val="00BC26D4"/>
    <w:rsid w:val="00BC3B37"/>
    <w:rsid w:val="00BC3C39"/>
    <w:rsid w:val="00BC3C72"/>
    <w:rsid w:val="00BC4B9F"/>
    <w:rsid w:val="00BD055C"/>
    <w:rsid w:val="00BD0753"/>
    <w:rsid w:val="00BD0D90"/>
    <w:rsid w:val="00BD0F7F"/>
    <w:rsid w:val="00BD163B"/>
    <w:rsid w:val="00BD3A29"/>
    <w:rsid w:val="00BD44D9"/>
    <w:rsid w:val="00BD4903"/>
    <w:rsid w:val="00BD589B"/>
    <w:rsid w:val="00BD6B73"/>
    <w:rsid w:val="00BD75AD"/>
    <w:rsid w:val="00BD7C6D"/>
    <w:rsid w:val="00BD7F53"/>
    <w:rsid w:val="00BE0C80"/>
    <w:rsid w:val="00BE1695"/>
    <w:rsid w:val="00BE2129"/>
    <w:rsid w:val="00BE2280"/>
    <w:rsid w:val="00BE2754"/>
    <w:rsid w:val="00BE2EA1"/>
    <w:rsid w:val="00BE35E0"/>
    <w:rsid w:val="00BE579F"/>
    <w:rsid w:val="00BE6603"/>
    <w:rsid w:val="00BE6720"/>
    <w:rsid w:val="00BE6A59"/>
    <w:rsid w:val="00BE7AD3"/>
    <w:rsid w:val="00BE7CB0"/>
    <w:rsid w:val="00BF020F"/>
    <w:rsid w:val="00BF0706"/>
    <w:rsid w:val="00BF0E2C"/>
    <w:rsid w:val="00BF14F1"/>
    <w:rsid w:val="00BF1F25"/>
    <w:rsid w:val="00BF26D9"/>
    <w:rsid w:val="00BF2A42"/>
    <w:rsid w:val="00BF3943"/>
    <w:rsid w:val="00BF3963"/>
    <w:rsid w:val="00BF4A5B"/>
    <w:rsid w:val="00BF4BAD"/>
    <w:rsid w:val="00BF4D79"/>
    <w:rsid w:val="00BF5135"/>
    <w:rsid w:val="00BF563B"/>
    <w:rsid w:val="00BF6B09"/>
    <w:rsid w:val="00BF6BDF"/>
    <w:rsid w:val="00BF7DAB"/>
    <w:rsid w:val="00BF7FAB"/>
    <w:rsid w:val="00C01758"/>
    <w:rsid w:val="00C0309D"/>
    <w:rsid w:val="00C0390A"/>
    <w:rsid w:val="00C03D8C"/>
    <w:rsid w:val="00C055EC"/>
    <w:rsid w:val="00C055EF"/>
    <w:rsid w:val="00C06A6A"/>
    <w:rsid w:val="00C077F1"/>
    <w:rsid w:val="00C107B7"/>
    <w:rsid w:val="00C10DC9"/>
    <w:rsid w:val="00C11669"/>
    <w:rsid w:val="00C121DF"/>
    <w:rsid w:val="00C12C7C"/>
    <w:rsid w:val="00C12FB3"/>
    <w:rsid w:val="00C162FD"/>
    <w:rsid w:val="00C17341"/>
    <w:rsid w:val="00C1788A"/>
    <w:rsid w:val="00C17A93"/>
    <w:rsid w:val="00C17F99"/>
    <w:rsid w:val="00C2353A"/>
    <w:rsid w:val="00C2357C"/>
    <w:rsid w:val="00C24EEF"/>
    <w:rsid w:val="00C256B6"/>
    <w:rsid w:val="00C25715"/>
    <w:rsid w:val="00C25CF6"/>
    <w:rsid w:val="00C262E4"/>
    <w:rsid w:val="00C26C36"/>
    <w:rsid w:val="00C27CCC"/>
    <w:rsid w:val="00C30F8D"/>
    <w:rsid w:val="00C32445"/>
    <w:rsid w:val="00C32768"/>
    <w:rsid w:val="00C327CC"/>
    <w:rsid w:val="00C32F62"/>
    <w:rsid w:val="00C33E1E"/>
    <w:rsid w:val="00C3401F"/>
    <w:rsid w:val="00C37756"/>
    <w:rsid w:val="00C401F6"/>
    <w:rsid w:val="00C40225"/>
    <w:rsid w:val="00C41402"/>
    <w:rsid w:val="00C41703"/>
    <w:rsid w:val="00C422E5"/>
    <w:rsid w:val="00C42B50"/>
    <w:rsid w:val="00C4314B"/>
    <w:rsid w:val="00C431DF"/>
    <w:rsid w:val="00C43779"/>
    <w:rsid w:val="00C447DE"/>
    <w:rsid w:val="00C44989"/>
    <w:rsid w:val="00C449A4"/>
    <w:rsid w:val="00C44C11"/>
    <w:rsid w:val="00C456BD"/>
    <w:rsid w:val="00C5009B"/>
    <w:rsid w:val="00C507C7"/>
    <w:rsid w:val="00C5106F"/>
    <w:rsid w:val="00C51162"/>
    <w:rsid w:val="00C52110"/>
    <w:rsid w:val="00C52751"/>
    <w:rsid w:val="00C530DC"/>
    <w:rsid w:val="00C5350D"/>
    <w:rsid w:val="00C54BAE"/>
    <w:rsid w:val="00C54F42"/>
    <w:rsid w:val="00C55DFA"/>
    <w:rsid w:val="00C60C47"/>
    <w:rsid w:val="00C61148"/>
    <w:rsid w:val="00C6123C"/>
    <w:rsid w:val="00C6311A"/>
    <w:rsid w:val="00C644E7"/>
    <w:rsid w:val="00C6594D"/>
    <w:rsid w:val="00C65A7B"/>
    <w:rsid w:val="00C65B10"/>
    <w:rsid w:val="00C66AEB"/>
    <w:rsid w:val="00C66C32"/>
    <w:rsid w:val="00C67089"/>
    <w:rsid w:val="00C67598"/>
    <w:rsid w:val="00C7033E"/>
    <w:rsid w:val="00C703AE"/>
    <w:rsid w:val="00C7084D"/>
    <w:rsid w:val="00C7095D"/>
    <w:rsid w:val="00C719BA"/>
    <w:rsid w:val="00C71AB4"/>
    <w:rsid w:val="00C72EC6"/>
    <w:rsid w:val="00C73062"/>
    <w:rsid w:val="00C7315E"/>
    <w:rsid w:val="00C73169"/>
    <w:rsid w:val="00C73268"/>
    <w:rsid w:val="00C73C25"/>
    <w:rsid w:val="00C7556F"/>
    <w:rsid w:val="00C75895"/>
    <w:rsid w:val="00C75994"/>
    <w:rsid w:val="00C75BE5"/>
    <w:rsid w:val="00C75F20"/>
    <w:rsid w:val="00C77119"/>
    <w:rsid w:val="00C77245"/>
    <w:rsid w:val="00C77296"/>
    <w:rsid w:val="00C8142E"/>
    <w:rsid w:val="00C81C81"/>
    <w:rsid w:val="00C82B27"/>
    <w:rsid w:val="00C82E51"/>
    <w:rsid w:val="00C83C9F"/>
    <w:rsid w:val="00C85264"/>
    <w:rsid w:val="00C8593F"/>
    <w:rsid w:val="00C86859"/>
    <w:rsid w:val="00C8698C"/>
    <w:rsid w:val="00C86FD6"/>
    <w:rsid w:val="00C87B3F"/>
    <w:rsid w:val="00C902C6"/>
    <w:rsid w:val="00C91A3F"/>
    <w:rsid w:val="00C91CA8"/>
    <w:rsid w:val="00C920E1"/>
    <w:rsid w:val="00C9242E"/>
    <w:rsid w:val="00C938CF"/>
    <w:rsid w:val="00C94840"/>
    <w:rsid w:val="00CA2472"/>
    <w:rsid w:val="00CA2E68"/>
    <w:rsid w:val="00CA3277"/>
    <w:rsid w:val="00CA4886"/>
    <w:rsid w:val="00CA4EE3"/>
    <w:rsid w:val="00CB027F"/>
    <w:rsid w:val="00CB0A65"/>
    <w:rsid w:val="00CB12B8"/>
    <w:rsid w:val="00CB1444"/>
    <w:rsid w:val="00CB293E"/>
    <w:rsid w:val="00CB347F"/>
    <w:rsid w:val="00CB3978"/>
    <w:rsid w:val="00CB3A68"/>
    <w:rsid w:val="00CB404A"/>
    <w:rsid w:val="00CB6308"/>
    <w:rsid w:val="00CB7376"/>
    <w:rsid w:val="00CB7563"/>
    <w:rsid w:val="00CB7BB4"/>
    <w:rsid w:val="00CC0145"/>
    <w:rsid w:val="00CC05C4"/>
    <w:rsid w:val="00CC0EBB"/>
    <w:rsid w:val="00CC2D93"/>
    <w:rsid w:val="00CC3A34"/>
    <w:rsid w:val="00CC3C19"/>
    <w:rsid w:val="00CC3D91"/>
    <w:rsid w:val="00CC3E29"/>
    <w:rsid w:val="00CC54D2"/>
    <w:rsid w:val="00CC57B4"/>
    <w:rsid w:val="00CC57DC"/>
    <w:rsid w:val="00CC597A"/>
    <w:rsid w:val="00CC6297"/>
    <w:rsid w:val="00CC65B6"/>
    <w:rsid w:val="00CC6EDF"/>
    <w:rsid w:val="00CC7354"/>
    <w:rsid w:val="00CC7690"/>
    <w:rsid w:val="00CC7FAE"/>
    <w:rsid w:val="00CD0B13"/>
    <w:rsid w:val="00CD1201"/>
    <w:rsid w:val="00CD1986"/>
    <w:rsid w:val="00CD1B7C"/>
    <w:rsid w:val="00CD3D39"/>
    <w:rsid w:val="00CD4222"/>
    <w:rsid w:val="00CD45E7"/>
    <w:rsid w:val="00CD54BF"/>
    <w:rsid w:val="00CD5A9B"/>
    <w:rsid w:val="00CD627C"/>
    <w:rsid w:val="00CE077E"/>
    <w:rsid w:val="00CE0B34"/>
    <w:rsid w:val="00CE244C"/>
    <w:rsid w:val="00CE2725"/>
    <w:rsid w:val="00CE3D61"/>
    <w:rsid w:val="00CE4738"/>
    <w:rsid w:val="00CE4D5C"/>
    <w:rsid w:val="00CE63B5"/>
    <w:rsid w:val="00CE6828"/>
    <w:rsid w:val="00CE7504"/>
    <w:rsid w:val="00CE76A1"/>
    <w:rsid w:val="00CE7BE3"/>
    <w:rsid w:val="00CF05DA"/>
    <w:rsid w:val="00CF0EF9"/>
    <w:rsid w:val="00CF20B0"/>
    <w:rsid w:val="00CF211D"/>
    <w:rsid w:val="00CF46C1"/>
    <w:rsid w:val="00CF56E2"/>
    <w:rsid w:val="00CF58EB"/>
    <w:rsid w:val="00CF6FEC"/>
    <w:rsid w:val="00CF71D2"/>
    <w:rsid w:val="00CF7CE6"/>
    <w:rsid w:val="00D001F7"/>
    <w:rsid w:val="00D00D41"/>
    <w:rsid w:val="00D00EE5"/>
    <w:rsid w:val="00D00F63"/>
    <w:rsid w:val="00D0106E"/>
    <w:rsid w:val="00D02CB5"/>
    <w:rsid w:val="00D03FF5"/>
    <w:rsid w:val="00D04751"/>
    <w:rsid w:val="00D04AEA"/>
    <w:rsid w:val="00D04FA7"/>
    <w:rsid w:val="00D06383"/>
    <w:rsid w:val="00D06D82"/>
    <w:rsid w:val="00D074D0"/>
    <w:rsid w:val="00D11A67"/>
    <w:rsid w:val="00D1200B"/>
    <w:rsid w:val="00D1276E"/>
    <w:rsid w:val="00D13A9B"/>
    <w:rsid w:val="00D13CCA"/>
    <w:rsid w:val="00D1404D"/>
    <w:rsid w:val="00D1406C"/>
    <w:rsid w:val="00D1631D"/>
    <w:rsid w:val="00D163D7"/>
    <w:rsid w:val="00D1697B"/>
    <w:rsid w:val="00D17109"/>
    <w:rsid w:val="00D1762A"/>
    <w:rsid w:val="00D20672"/>
    <w:rsid w:val="00D20828"/>
    <w:rsid w:val="00D20E85"/>
    <w:rsid w:val="00D22770"/>
    <w:rsid w:val="00D228A2"/>
    <w:rsid w:val="00D22C43"/>
    <w:rsid w:val="00D24615"/>
    <w:rsid w:val="00D27B39"/>
    <w:rsid w:val="00D3043D"/>
    <w:rsid w:val="00D30505"/>
    <w:rsid w:val="00D306DA"/>
    <w:rsid w:val="00D31B95"/>
    <w:rsid w:val="00D32F9F"/>
    <w:rsid w:val="00D341C6"/>
    <w:rsid w:val="00D34296"/>
    <w:rsid w:val="00D34885"/>
    <w:rsid w:val="00D35CDF"/>
    <w:rsid w:val="00D361E4"/>
    <w:rsid w:val="00D37842"/>
    <w:rsid w:val="00D379DD"/>
    <w:rsid w:val="00D404E2"/>
    <w:rsid w:val="00D40DC8"/>
    <w:rsid w:val="00D42DC2"/>
    <w:rsid w:val="00D43B61"/>
    <w:rsid w:val="00D44B5D"/>
    <w:rsid w:val="00D460C3"/>
    <w:rsid w:val="00D47D13"/>
    <w:rsid w:val="00D51303"/>
    <w:rsid w:val="00D5130F"/>
    <w:rsid w:val="00D5186B"/>
    <w:rsid w:val="00D52158"/>
    <w:rsid w:val="00D537E1"/>
    <w:rsid w:val="00D53F9D"/>
    <w:rsid w:val="00D54492"/>
    <w:rsid w:val="00D5466E"/>
    <w:rsid w:val="00D55BB2"/>
    <w:rsid w:val="00D55F9F"/>
    <w:rsid w:val="00D577D3"/>
    <w:rsid w:val="00D57D15"/>
    <w:rsid w:val="00D57EF5"/>
    <w:rsid w:val="00D600EB"/>
    <w:rsid w:val="00D608B5"/>
    <w:rsid w:val="00D6091A"/>
    <w:rsid w:val="00D61B22"/>
    <w:rsid w:val="00D61F60"/>
    <w:rsid w:val="00D61FFE"/>
    <w:rsid w:val="00D62011"/>
    <w:rsid w:val="00D62909"/>
    <w:rsid w:val="00D632C2"/>
    <w:rsid w:val="00D63C38"/>
    <w:rsid w:val="00D64789"/>
    <w:rsid w:val="00D6605A"/>
    <w:rsid w:val="00D66149"/>
    <w:rsid w:val="00D664B9"/>
    <w:rsid w:val="00D6695F"/>
    <w:rsid w:val="00D674F0"/>
    <w:rsid w:val="00D67F12"/>
    <w:rsid w:val="00D70458"/>
    <w:rsid w:val="00D713B2"/>
    <w:rsid w:val="00D72761"/>
    <w:rsid w:val="00D7431B"/>
    <w:rsid w:val="00D75644"/>
    <w:rsid w:val="00D75CE9"/>
    <w:rsid w:val="00D760EB"/>
    <w:rsid w:val="00D761B1"/>
    <w:rsid w:val="00D767DB"/>
    <w:rsid w:val="00D7731F"/>
    <w:rsid w:val="00D7786A"/>
    <w:rsid w:val="00D80187"/>
    <w:rsid w:val="00D8116C"/>
    <w:rsid w:val="00D81656"/>
    <w:rsid w:val="00D81C12"/>
    <w:rsid w:val="00D81D91"/>
    <w:rsid w:val="00D82866"/>
    <w:rsid w:val="00D82915"/>
    <w:rsid w:val="00D83B1F"/>
    <w:rsid w:val="00D83D87"/>
    <w:rsid w:val="00D84A6D"/>
    <w:rsid w:val="00D84D5D"/>
    <w:rsid w:val="00D85226"/>
    <w:rsid w:val="00D86A30"/>
    <w:rsid w:val="00D86A76"/>
    <w:rsid w:val="00D905F0"/>
    <w:rsid w:val="00D9232A"/>
    <w:rsid w:val="00D92ACF"/>
    <w:rsid w:val="00D948B4"/>
    <w:rsid w:val="00D94FE7"/>
    <w:rsid w:val="00D95FD2"/>
    <w:rsid w:val="00D97897"/>
    <w:rsid w:val="00D97CB4"/>
    <w:rsid w:val="00D97DD4"/>
    <w:rsid w:val="00DA27AF"/>
    <w:rsid w:val="00DA27B4"/>
    <w:rsid w:val="00DA305E"/>
    <w:rsid w:val="00DA3144"/>
    <w:rsid w:val="00DA3D03"/>
    <w:rsid w:val="00DA4645"/>
    <w:rsid w:val="00DA4C86"/>
    <w:rsid w:val="00DA514D"/>
    <w:rsid w:val="00DA5A8A"/>
    <w:rsid w:val="00DA61DA"/>
    <w:rsid w:val="00DA6633"/>
    <w:rsid w:val="00DA66DB"/>
    <w:rsid w:val="00DA699F"/>
    <w:rsid w:val="00DA6E0D"/>
    <w:rsid w:val="00DB06F3"/>
    <w:rsid w:val="00DB22B9"/>
    <w:rsid w:val="00DB26CD"/>
    <w:rsid w:val="00DB3001"/>
    <w:rsid w:val="00DB3555"/>
    <w:rsid w:val="00DB3855"/>
    <w:rsid w:val="00DB3C46"/>
    <w:rsid w:val="00DB3CD1"/>
    <w:rsid w:val="00DB420D"/>
    <w:rsid w:val="00DB441C"/>
    <w:rsid w:val="00DB44AF"/>
    <w:rsid w:val="00DB640B"/>
    <w:rsid w:val="00DB711A"/>
    <w:rsid w:val="00DB7ACE"/>
    <w:rsid w:val="00DC1F58"/>
    <w:rsid w:val="00DC22C0"/>
    <w:rsid w:val="00DC2317"/>
    <w:rsid w:val="00DC2341"/>
    <w:rsid w:val="00DC2DC6"/>
    <w:rsid w:val="00DC339B"/>
    <w:rsid w:val="00DC374D"/>
    <w:rsid w:val="00DC449D"/>
    <w:rsid w:val="00DC490A"/>
    <w:rsid w:val="00DC4C0D"/>
    <w:rsid w:val="00DC5057"/>
    <w:rsid w:val="00DC5D40"/>
    <w:rsid w:val="00DC6544"/>
    <w:rsid w:val="00DC69A7"/>
    <w:rsid w:val="00DC6B52"/>
    <w:rsid w:val="00DC6CC1"/>
    <w:rsid w:val="00DC73AC"/>
    <w:rsid w:val="00DC7604"/>
    <w:rsid w:val="00DC77EA"/>
    <w:rsid w:val="00DD051A"/>
    <w:rsid w:val="00DD0931"/>
    <w:rsid w:val="00DD1031"/>
    <w:rsid w:val="00DD1B8F"/>
    <w:rsid w:val="00DD1F78"/>
    <w:rsid w:val="00DD2E6A"/>
    <w:rsid w:val="00DD2F7A"/>
    <w:rsid w:val="00DD3072"/>
    <w:rsid w:val="00DD30E9"/>
    <w:rsid w:val="00DD33E3"/>
    <w:rsid w:val="00DD3DA5"/>
    <w:rsid w:val="00DD439C"/>
    <w:rsid w:val="00DD4F47"/>
    <w:rsid w:val="00DD5D0E"/>
    <w:rsid w:val="00DD7FBB"/>
    <w:rsid w:val="00DE0B9F"/>
    <w:rsid w:val="00DE1667"/>
    <w:rsid w:val="00DE2A9E"/>
    <w:rsid w:val="00DE2C4B"/>
    <w:rsid w:val="00DE3018"/>
    <w:rsid w:val="00DE4238"/>
    <w:rsid w:val="00DE4296"/>
    <w:rsid w:val="00DE55F1"/>
    <w:rsid w:val="00DE63DC"/>
    <w:rsid w:val="00DE657F"/>
    <w:rsid w:val="00DE671F"/>
    <w:rsid w:val="00DE6956"/>
    <w:rsid w:val="00DE7FA1"/>
    <w:rsid w:val="00DF007D"/>
    <w:rsid w:val="00DF0C3D"/>
    <w:rsid w:val="00DF1218"/>
    <w:rsid w:val="00DF13CD"/>
    <w:rsid w:val="00DF1764"/>
    <w:rsid w:val="00DF1B16"/>
    <w:rsid w:val="00DF30A6"/>
    <w:rsid w:val="00DF3339"/>
    <w:rsid w:val="00DF35F5"/>
    <w:rsid w:val="00DF36BB"/>
    <w:rsid w:val="00DF497E"/>
    <w:rsid w:val="00DF5419"/>
    <w:rsid w:val="00DF60D0"/>
    <w:rsid w:val="00DF6106"/>
    <w:rsid w:val="00DF6120"/>
    <w:rsid w:val="00DF6462"/>
    <w:rsid w:val="00DF76E6"/>
    <w:rsid w:val="00E00655"/>
    <w:rsid w:val="00E009C3"/>
    <w:rsid w:val="00E01A62"/>
    <w:rsid w:val="00E02222"/>
    <w:rsid w:val="00E02B9D"/>
    <w:rsid w:val="00E02FA0"/>
    <w:rsid w:val="00E0309B"/>
    <w:rsid w:val="00E036DC"/>
    <w:rsid w:val="00E03A7E"/>
    <w:rsid w:val="00E042D6"/>
    <w:rsid w:val="00E04957"/>
    <w:rsid w:val="00E051EF"/>
    <w:rsid w:val="00E058FE"/>
    <w:rsid w:val="00E05F32"/>
    <w:rsid w:val="00E07FD1"/>
    <w:rsid w:val="00E10454"/>
    <w:rsid w:val="00E10594"/>
    <w:rsid w:val="00E111BB"/>
    <w:rsid w:val="00E112E5"/>
    <w:rsid w:val="00E114EE"/>
    <w:rsid w:val="00E12CC8"/>
    <w:rsid w:val="00E145EF"/>
    <w:rsid w:val="00E15352"/>
    <w:rsid w:val="00E169AA"/>
    <w:rsid w:val="00E16BBD"/>
    <w:rsid w:val="00E17527"/>
    <w:rsid w:val="00E176A9"/>
    <w:rsid w:val="00E17CAA"/>
    <w:rsid w:val="00E20B1E"/>
    <w:rsid w:val="00E21CC7"/>
    <w:rsid w:val="00E21D54"/>
    <w:rsid w:val="00E230E5"/>
    <w:rsid w:val="00E23131"/>
    <w:rsid w:val="00E23198"/>
    <w:rsid w:val="00E23DFF"/>
    <w:rsid w:val="00E24D9E"/>
    <w:rsid w:val="00E2558F"/>
    <w:rsid w:val="00E25612"/>
    <w:rsid w:val="00E257DB"/>
    <w:rsid w:val="00E25849"/>
    <w:rsid w:val="00E25CB8"/>
    <w:rsid w:val="00E271A0"/>
    <w:rsid w:val="00E27A68"/>
    <w:rsid w:val="00E27EF6"/>
    <w:rsid w:val="00E308A1"/>
    <w:rsid w:val="00E30C6D"/>
    <w:rsid w:val="00E30DFE"/>
    <w:rsid w:val="00E3197E"/>
    <w:rsid w:val="00E31EAD"/>
    <w:rsid w:val="00E32706"/>
    <w:rsid w:val="00E33432"/>
    <w:rsid w:val="00E334A7"/>
    <w:rsid w:val="00E342F8"/>
    <w:rsid w:val="00E34B52"/>
    <w:rsid w:val="00E351ED"/>
    <w:rsid w:val="00E36C01"/>
    <w:rsid w:val="00E36D06"/>
    <w:rsid w:val="00E36E9F"/>
    <w:rsid w:val="00E40297"/>
    <w:rsid w:val="00E40959"/>
    <w:rsid w:val="00E40C90"/>
    <w:rsid w:val="00E41FD4"/>
    <w:rsid w:val="00E42361"/>
    <w:rsid w:val="00E43269"/>
    <w:rsid w:val="00E44123"/>
    <w:rsid w:val="00E44DA9"/>
    <w:rsid w:val="00E46855"/>
    <w:rsid w:val="00E46BC2"/>
    <w:rsid w:val="00E46E3F"/>
    <w:rsid w:val="00E4704F"/>
    <w:rsid w:val="00E47101"/>
    <w:rsid w:val="00E50530"/>
    <w:rsid w:val="00E5075A"/>
    <w:rsid w:val="00E52263"/>
    <w:rsid w:val="00E52504"/>
    <w:rsid w:val="00E53CD0"/>
    <w:rsid w:val="00E544B7"/>
    <w:rsid w:val="00E56267"/>
    <w:rsid w:val="00E563FC"/>
    <w:rsid w:val="00E56FF4"/>
    <w:rsid w:val="00E5798E"/>
    <w:rsid w:val="00E6034B"/>
    <w:rsid w:val="00E61C95"/>
    <w:rsid w:val="00E62D35"/>
    <w:rsid w:val="00E6371E"/>
    <w:rsid w:val="00E6549E"/>
    <w:rsid w:val="00E6560A"/>
    <w:rsid w:val="00E65E91"/>
    <w:rsid w:val="00E65EDE"/>
    <w:rsid w:val="00E66392"/>
    <w:rsid w:val="00E66527"/>
    <w:rsid w:val="00E665DC"/>
    <w:rsid w:val="00E6738A"/>
    <w:rsid w:val="00E67ABF"/>
    <w:rsid w:val="00E70052"/>
    <w:rsid w:val="00E70099"/>
    <w:rsid w:val="00E70337"/>
    <w:rsid w:val="00E70F81"/>
    <w:rsid w:val="00E739DE"/>
    <w:rsid w:val="00E739EB"/>
    <w:rsid w:val="00E74237"/>
    <w:rsid w:val="00E75C0F"/>
    <w:rsid w:val="00E77055"/>
    <w:rsid w:val="00E7738E"/>
    <w:rsid w:val="00E77460"/>
    <w:rsid w:val="00E801FE"/>
    <w:rsid w:val="00E80390"/>
    <w:rsid w:val="00E806BF"/>
    <w:rsid w:val="00E80E52"/>
    <w:rsid w:val="00E80FE9"/>
    <w:rsid w:val="00E82040"/>
    <w:rsid w:val="00E825ED"/>
    <w:rsid w:val="00E82CDA"/>
    <w:rsid w:val="00E83382"/>
    <w:rsid w:val="00E83668"/>
    <w:rsid w:val="00E83ABC"/>
    <w:rsid w:val="00E8439F"/>
    <w:rsid w:val="00E843C3"/>
    <w:rsid w:val="00E844AE"/>
    <w:rsid w:val="00E844F2"/>
    <w:rsid w:val="00E870B7"/>
    <w:rsid w:val="00E8753B"/>
    <w:rsid w:val="00E8789B"/>
    <w:rsid w:val="00E87E57"/>
    <w:rsid w:val="00E90AD0"/>
    <w:rsid w:val="00E90B0E"/>
    <w:rsid w:val="00E91C67"/>
    <w:rsid w:val="00E92337"/>
    <w:rsid w:val="00E92374"/>
    <w:rsid w:val="00E92BEC"/>
    <w:rsid w:val="00E92FCB"/>
    <w:rsid w:val="00E9472D"/>
    <w:rsid w:val="00E94C38"/>
    <w:rsid w:val="00E95422"/>
    <w:rsid w:val="00E961E5"/>
    <w:rsid w:val="00EA131B"/>
    <w:rsid w:val="00EA147F"/>
    <w:rsid w:val="00EA1570"/>
    <w:rsid w:val="00EA2BED"/>
    <w:rsid w:val="00EA3407"/>
    <w:rsid w:val="00EA4A27"/>
    <w:rsid w:val="00EA4FA6"/>
    <w:rsid w:val="00EA59C3"/>
    <w:rsid w:val="00EA5FC6"/>
    <w:rsid w:val="00EA710B"/>
    <w:rsid w:val="00EA77D3"/>
    <w:rsid w:val="00EB137C"/>
    <w:rsid w:val="00EB1A25"/>
    <w:rsid w:val="00EB1EBD"/>
    <w:rsid w:val="00EB2074"/>
    <w:rsid w:val="00EB215E"/>
    <w:rsid w:val="00EB2C63"/>
    <w:rsid w:val="00EB3683"/>
    <w:rsid w:val="00EB444E"/>
    <w:rsid w:val="00EB459F"/>
    <w:rsid w:val="00EB4AB9"/>
    <w:rsid w:val="00EB50C1"/>
    <w:rsid w:val="00EB5411"/>
    <w:rsid w:val="00EB55B9"/>
    <w:rsid w:val="00EB5F25"/>
    <w:rsid w:val="00EB6B25"/>
    <w:rsid w:val="00EB6CD6"/>
    <w:rsid w:val="00EB6E11"/>
    <w:rsid w:val="00EB7FC9"/>
    <w:rsid w:val="00EC0D79"/>
    <w:rsid w:val="00EC2412"/>
    <w:rsid w:val="00EC35A6"/>
    <w:rsid w:val="00EC629C"/>
    <w:rsid w:val="00EC65F3"/>
    <w:rsid w:val="00EC66A0"/>
    <w:rsid w:val="00EC747E"/>
    <w:rsid w:val="00EC7C17"/>
    <w:rsid w:val="00ED03AB"/>
    <w:rsid w:val="00ED1024"/>
    <w:rsid w:val="00ED1B7D"/>
    <w:rsid w:val="00ED1CD4"/>
    <w:rsid w:val="00ED1D2B"/>
    <w:rsid w:val="00ED3859"/>
    <w:rsid w:val="00ED3ED2"/>
    <w:rsid w:val="00ED5363"/>
    <w:rsid w:val="00ED6244"/>
    <w:rsid w:val="00ED64B5"/>
    <w:rsid w:val="00ED7D73"/>
    <w:rsid w:val="00EE0468"/>
    <w:rsid w:val="00EE0531"/>
    <w:rsid w:val="00EE0B29"/>
    <w:rsid w:val="00EE2EAA"/>
    <w:rsid w:val="00EE308C"/>
    <w:rsid w:val="00EE3234"/>
    <w:rsid w:val="00EE3806"/>
    <w:rsid w:val="00EE4394"/>
    <w:rsid w:val="00EE591C"/>
    <w:rsid w:val="00EE5A48"/>
    <w:rsid w:val="00EE5C60"/>
    <w:rsid w:val="00EE7CCA"/>
    <w:rsid w:val="00EF08BB"/>
    <w:rsid w:val="00EF0D19"/>
    <w:rsid w:val="00EF1B60"/>
    <w:rsid w:val="00EF1DA1"/>
    <w:rsid w:val="00EF6727"/>
    <w:rsid w:val="00EF6E77"/>
    <w:rsid w:val="00EF7576"/>
    <w:rsid w:val="00EF7789"/>
    <w:rsid w:val="00EF7FB7"/>
    <w:rsid w:val="00F01E16"/>
    <w:rsid w:val="00F0247C"/>
    <w:rsid w:val="00F0272F"/>
    <w:rsid w:val="00F02AD9"/>
    <w:rsid w:val="00F0327C"/>
    <w:rsid w:val="00F033BA"/>
    <w:rsid w:val="00F0360D"/>
    <w:rsid w:val="00F03C5E"/>
    <w:rsid w:val="00F03D70"/>
    <w:rsid w:val="00F045CB"/>
    <w:rsid w:val="00F048F8"/>
    <w:rsid w:val="00F05E35"/>
    <w:rsid w:val="00F05E7E"/>
    <w:rsid w:val="00F064A3"/>
    <w:rsid w:val="00F06747"/>
    <w:rsid w:val="00F06F89"/>
    <w:rsid w:val="00F07EFF"/>
    <w:rsid w:val="00F07FCE"/>
    <w:rsid w:val="00F07FD1"/>
    <w:rsid w:val="00F10371"/>
    <w:rsid w:val="00F11D2F"/>
    <w:rsid w:val="00F12765"/>
    <w:rsid w:val="00F12F28"/>
    <w:rsid w:val="00F138E9"/>
    <w:rsid w:val="00F13B46"/>
    <w:rsid w:val="00F14165"/>
    <w:rsid w:val="00F15E42"/>
    <w:rsid w:val="00F1602F"/>
    <w:rsid w:val="00F16A14"/>
    <w:rsid w:val="00F16FB9"/>
    <w:rsid w:val="00F1753E"/>
    <w:rsid w:val="00F17C0D"/>
    <w:rsid w:val="00F2019B"/>
    <w:rsid w:val="00F20C21"/>
    <w:rsid w:val="00F21F35"/>
    <w:rsid w:val="00F22070"/>
    <w:rsid w:val="00F22DA8"/>
    <w:rsid w:val="00F24323"/>
    <w:rsid w:val="00F26283"/>
    <w:rsid w:val="00F26FB4"/>
    <w:rsid w:val="00F276DF"/>
    <w:rsid w:val="00F31807"/>
    <w:rsid w:val="00F32402"/>
    <w:rsid w:val="00F33311"/>
    <w:rsid w:val="00F33C9A"/>
    <w:rsid w:val="00F3441A"/>
    <w:rsid w:val="00F348B3"/>
    <w:rsid w:val="00F34A3A"/>
    <w:rsid w:val="00F34DE1"/>
    <w:rsid w:val="00F35034"/>
    <w:rsid w:val="00F35AB2"/>
    <w:rsid w:val="00F362D7"/>
    <w:rsid w:val="00F377F2"/>
    <w:rsid w:val="00F37CF8"/>
    <w:rsid w:val="00F37D7B"/>
    <w:rsid w:val="00F400F4"/>
    <w:rsid w:val="00F40818"/>
    <w:rsid w:val="00F40FBC"/>
    <w:rsid w:val="00F4118E"/>
    <w:rsid w:val="00F413F8"/>
    <w:rsid w:val="00F42589"/>
    <w:rsid w:val="00F43A2A"/>
    <w:rsid w:val="00F44212"/>
    <w:rsid w:val="00F4444A"/>
    <w:rsid w:val="00F44ADA"/>
    <w:rsid w:val="00F46E21"/>
    <w:rsid w:val="00F47731"/>
    <w:rsid w:val="00F477DF"/>
    <w:rsid w:val="00F47E1D"/>
    <w:rsid w:val="00F51155"/>
    <w:rsid w:val="00F51371"/>
    <w:rsid w:val="00F51975"/>
    <w:rsid w:val="00F527AB"/>
    <w:rsid w:val="00F52DAA"/>
    <w:rsid w:val="00F5314C"/>
    <w:rsid w:val="00F53552"/>
    <w:rsid w:val="00F539CB"/>
    <w:rsid w:val="00F53D38"/>
    <w:rsid w:val="00F54380"/>
    <w:rsid w:val="00F560C0"/>
    <w:rsid w:val="00F56528"/>
    <w:rsid w:val="00F565D4"/>
    <w:rsid w:val="00F5686C"/>
    <w:rsid w:val="00F5688C"/>
    <w:rsid w:val="00F56E62"/>
    <w:rsid w:val="00F57EF1"/>
    <w:rsid w:val="00F60048"/>
    <w:rsid w:val="00F6026F"/>
    <w:rsid w:val="00F61003"/>
    <w:rsid w:val="00F616B6"/>
    <w:rsid w:val="00F617A1"/>
    <w:rsid w:val="00F61DC5"/>
    <w:rsid w:val="00F624C7"/>
    <w:rsid w:val="00F6327D"/>
    <w:rsid w:val="00F635DD"/>
    <w:rsid w:val="00F64EBB"/>
    <w:rsid w:val="00F6627B"/>
    <w:rsid w:val="00F66E25"/>
    <w:rsid w:val="00F6729E"/>
    <w:rsid w:val="00F672C1"/>
    <w:rsid w:val="00F67D32"/>
    <w:rsid w:val="00F703DF"/>
    <w:rsid w:val="00F7062E"/>
    <w:rsid w:val="00F71160"/>
    <w:rsid w:val="00F71785"/>
    <w:rsid w:val="00F7298F"/>
    <w:rsid w:val="00F72BEA"/>
    <w:rsid w:val="00F730BA"/>
    <w:rsid w:val="00F7336E"/>
    <w:rsid w:val="00F734F2"/>
    <w:rsid w:val="00F75052"/>
    <w:rsid w:val="00F76DAF"/>
    <w:rsid w:val="00F7709A"/>
    <w:rsid w:val="00F77AE7"/>
    <w:rsid w:val="00F804D3"/>
    <w:rsid w:val="00F81CBA"/>
    <w:rsid w:val="00F81CD2"/>
    <w:rsid w:val="00F82568"/>
    <w:rsid w:val="00F82641"/>
    <w:rsid w:val="00F8283E"/>
    <w:rsid w:val="00F828B6"/>
    <w:rsid w:val="00F8504F"/>
    <w:rsid w:val="00F8551C"/>
    <w:rsid w:val="00F85B7A"/>
    <w:rsid w:val="00F86087"/>
    <w:rsid w:val="00F86851"/>
    <w:rsid w:val="00F8689C"/>
    <w:rsid w:val="00F90A9D"/>
    <w:rsid w:val="00F90C61"/>
    <w:rsid w:val="00F90F18"/>
    <w:rsid w:val="00F92240"/>
    <w:rsid w:val="00F937E4"/>
    <w:rsid w:val="00F95E15"/>
    <w:rsid w:val="00F95EE7"/>
    <w:rsid w:val="00F96272"/>
    <w:rsid w:val="00F97B00"/>
    <w:rsid w:val="00F97DA2"/>
    <w:rsid w:val="00F97FB3"/>
    <w:rsid w:val="00F97FDF"/>
    <w:rsid w:val="00FA01D2"/>
    <w:rsid w:val="00FA0683"/>
    <w:rsid w:val="00FA074E"/>
    <w:rsid w:val="00FA15D1"/>
    <w:rsid w:val="00FA17B4"/>
    <w:rsid w:val="00FA2703"/>
    <w:rsid w:val="00FA39E6"/>
    <w:rsid w:val="00FA3A8F"/>
    <w:rsid w:val="00FA530C"/>
    <w:rsid w:val="00FA628B"/>
    <w:rsid w:val="00FA7BC9"/>
    <w:rsid w:val="00FA7CB1"/>
    <w:rsid w:val="00FA7DFA"/>
    <w:rsid w:val="00FB0254"/>
    <w:rsid w:val="00FB02CE"/>
    <w:rsid w:val="00FB034B"/>
    <w:rsid w:val="00FB1E23"/>
    <w:rsid w:val="00FB244C"/>
    <w:rsid w:val="00FB378E"/>
    <w:rsid w:val="00FB37F1"/>
    <w:rsid w:val="00FB3E26"/>
    <w:rsid w:val="00FB4224"/>
    <w:rsid w:val="00FB47C0"/>
    <w:rsid w:val="00FB49AD"/>
    <w:rsid w:val="00FB4AFC"/>
    <w:rsid w:val="00FB4B20"/>
    <w:rsid w:val="00FB4B8D"/>
    <w:rsid w:val="00FB501B"/>
    <w:rsid w:val="00FB506A"/>
    <w:rsid w:val="00FB54DB"/>
    <w:rsid w:val="00FB5FB4"/>
    <w:rsid w:val="00FB608C"/>
    <w:rsid w:val="00FB671C"/>
    <w:rsid w:val="00FB7020"/>
    <w:rsid w:val="00FB7701"/>
    <w:rsid w:val="00FB7770"/>
    <w:rsid w:val="00FC05D7"/>
    <w:rsid w:val="00FC0C97"/>
    <w:rsid w:val="00FC1323"/>
    <w:rsid w:val="00FC2314"/>
    <w:rsid w:val="00FC2954"/>
    <w:rsid w:val="00FC29D4"/>
    <w:rsid w:val="00FC39EF"/>
    <w:rsid w:val="00FC3D26"/>
    <w:rsid w:val="00FC43A4"/>
    <w:rsid w:val="00FC5448"/>
    <w:rsid w:val="00FC7293"/>
    <w:rsid w:val="00FC77AF"/>
    <w:rsid w:val="00FD04A0"/>
    <w:rsid w:val="00FD059B"/>
    <w:rsid w:val="00FD16DD"/>
    <w:rsid w:val="00FD1829"/>
    <w:rsid w:val="00FD1BC3"/>
    <w:rsid w:val="00FD3B91"/>
    <w:rsid w:val="00FD4612"/>
    <w:rsid w:val="00FD4FEE"/>
    <w:rsid w:val="00FD576B"/>
    <w:rsid w:val="00FD579E"/>
    <w:rsid w:val="00FD61D6"/>
    <w:rsid w:val="00FD6845"/>
    <w:rsid w:val="00FD7DE2"/>
    <w:rsid w:val="00FE00E1"/>
    <w:rsid w:val="00FE2020"/>
    <w:rsid w:val="00FE4516"/>
    <w:rsid w:val="00FE4886"/>
    <w:rsid w:val="00FE4FC3"/>
    <w:rsid w:val="00FE64C8"/>
    <w:rsid w:val="00FE7397"/>
    <w:rsid w:val="00FE7537"/>
    <w:rsid w:val="00FE7C8D"/>
    <w:rsid w:val="00FF048B"/>
    <w:rsid w:val="00FF0667"/>
    <w:rsid w:val="00FF2096"/>
    <w:rsid w:val="00FF46D9"/>
    <w:rsid w:val="00FF4D96"/>
    <w:rsid w:val="00FF5288"/>
    <w:rsid w:val="00FF5401"/>
    <w:rsid w:val="00FF5807"/>
    <w:rsid w:val="00FF5B64"/>
    <w:rsid w:val="00FF5E9D"/>
    <w:rsid w:val="00FF65DE"/>
    <w:rsid w:val="00FF6739"/>
    <w:rsid w:val="00FF7E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B82B676-63DA-47CE-A20E-2A3B1794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6"/>
      </w:numPr>
      <w:outlineLvl w:val="0"/>
    </w:pPr>
    <w:rPr>
      <w:rFonts w:hAnsi="Arial"/>
      <w:bCs/>
      <w:kern w:val="32"/>
      <w:szCs w:val="52"/>
    </w:rPr>
  </w:style>
  <w:style w:type="paragraph" w:styleId="2">
    <w:name w:val="heading 2"/>
    <w:aliases w:val="標題110/111"/>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aliases w:val="表格"/>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50">
    <w:name w:val="標題 5 字元"/>
    <w:basedOn w:val="a7"/>
    <w:link w:val="5"/>
    <w:rsid w:val="008C77CB"/>
    <w:rPr>
      <w:rFonts w:ascii="標楷體" w:eastAsia="標楷體" w:hAnsi="Arial"/>
      <w:bCs/>
      <w:kern w:val="32"/>
      <w:sz w:val="32"/>
      <w:szCs w:val="36"/>
    </w:rPr>
  </w:style>
  <w:style w:type="character" w:customStyle="1" w:styleId="60">
    <w:name w:val="標題 6 字元"/>
    <w:basedOn w:val="a7"/>
    <w:link w:val="6"/>
    <w:rsid w:val="00873B3C"/>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link w:val="ab"/>
    <w:uiPriority w:val="99"/>
    <w:semiHidden/>
    <w:rsid w:val="004E0062"/>
    <w:pPr>
      <w:spacing w:before="720" w:after="720"/>
      <w:ind w:left="7371"/>
    </w:pPr>
    <w:rPr>
      <w:b/>
      <w:snapToGrid w:val="0"/>
      <w:spacing w:val="10"/>
      <w:sz w:val="36"/>
    </w:rPr>
  </w:style>
  <w:style w:type="paragraph" w:styleId="ac">
    <w:name w:val="endnote text"/>
    <w:basedOn w:val="a6"/>
    <w:link w:val="ad"/>
    <w:uiPriority w:val="99"/>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960"/>
      <w:jc w:val="left"/>
    </w:pPr>
    <w:rPr>
      <w:rFonts w:asciiTheme="minorHAnsi" w:hAnsiTheme="minorHAnsi"/>
      <w:sz w:val="20"/>
    </w:rPr>
  </w:style>
  <w:style w:type="character" w:styleId="ae">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1280"/>
      <w:jc w:val="left"/>
    </w:pPr>
    <w:rPr>
      <w:rFonts w:asciiTheme="minorHAnsi" w:hAnsiTheme="minorHAnsi"/>
      <w:sz w:val="20"/>
    </w:rPr>
  </w:style>
  <w:style w:type="paragraph" w:customStyle="1" w:styleId="11">
    <w:name w:val="段落樣式1"/>
    <w:basedOn w:val="a6"/>
    <w:uiPriority w:val="99"/>
    <w:qFormat/>
    <w:rsid w:val="004F5E57"/>
    <w:pPr>
      <w:tabs>
        <w:tab w:val="left" w:pos="567"/>
      </w:tabs>
      <w:ind w:leftChars="200" w:left="200" w:firstLineChars="200" w:firstLine="200"/>
    </w:pPr>
    <w:rPr>
      <w:kern w:val="32"/>
    </w:rPr>
  </w:style>
  <w:style w:type="paragraph" w:customStyle="1" w:styleId="21">
    <w:name w:val="段落樣式2"/>
    <w:basedOn w:val="a6"/>
    <w:uiPriority w:val="99"/>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F07FD1"/>
    <w:pPr>
      <w:tabs>
        <w:tab w:val="right" w:leader="hyphen" w:pos="8834"/>
      </w:tabs>
      <w:spacing w:before="120"/>
      <w:ind w:leftChars="21" w:left="1159" w:hangingChars="418" w:hanging="1088"/>
    </w:pPr>
    <w:rPr>
      <w:rFonts w:asciiTheme="majorHAnsi" w:hAnsiTheme="majorHAnsi"/>
      <w:b/>
      <w:bCs/>
      <w:caps/>
      <w:sz w:val="24"/>
      <w:szCs w:val="24"/>
    </w:rPr>
  </w:style>
  <w:style w:type="paragraph" w:styleId="22">
    <w:name w:val="toc 2"/>
    <w:basedOn w:val="a6"/>
    <w:next w:val="a6"/>
    <w:autoRedefine/>
    <w:uiPriority w:val="39"/>
    <w:rsid w:val="00030B7C"/>
    <w:pPr>
      <w:tabs>
        <w:tab w:val="right" w:leader="hyphen" w:pos="8834"/>
      </w:tabs>
      <w:spacing w:before="60"/>
      <w:ind w:leftChars="102" w:left="1048" w:hangingChars="206" w:hanging="701"/>
    </w:pPr>
    <w:rPr>
      <w:rFonts w:ascii="Times New Roman"/>
      <w:bCs/>
      <w:noProof/>
      <w:szCs w:val="32"/>
    </w:rPr>
  </w:style>
  <w:style w:type="paragraph" w:styleId="31">
    <w:name w:val="toc 3"/>
    <w:basedOn w:val="a6"/>
    <w:next w:val="a6"/>
    <w:autoRedefine/>
    <w:uiPriority w:val="39"/>
    <w:rsid w:val="00FE4886"/>
    <w:pPr>
      <w:tabs>
        <w:tab w:val="right" w:leader="hyphen" w:pos="8834"/>
      </w:tabs>
      <w:ind w:left="320" w:firstLineChars="140" w:firstLine="476"/>
    </w:pPr>
    <w:rPr>
      <w:rFonts w:asciiTheme="minorHAnsi" w:hAnsiTheme="minorHAnsi"/>
      <w:sz w:val="20"/>
    </w:rPr>
  </w:style>
  <w:style w:type="paragraph" w:styleId="41">
    <w:name w:val="toc 4"/>
    <w:basedOn w:val="a6"/>
    <w:next w:val="a6"/>
    <w:autoRedefine/>
    <w:uiPriority w:val="39"/>
    <w:rsid w:val="004E0062"/>
    <w:pPr>
      <w:ind w:left="640"/>
      <w:jc w:val="left"/>
    </w:pPr>
    <w:rPr>
      <w:rFonts w:asciiTheme="minorHAnsi" w:hAnsiTheme="minorHAnsi"/>
      <w:sz w:val="20"/>
    </w:rPr>
  </w:style>
  <w:style w:type="paragraph" w:styleId="71">
    <w:name w:val="toc 7"/>
    <w:basedOn w:val="a6"/>
    <w:next w:val="a6"/>
    <w:autoRedefine/>
    <w:uiPriority w:val="39"/>
    <w:rsid w:val="004E0062"/>
    <w:pPr>
      <w:ind w:left="1600"/>
      <w:jc w:val="left"/>
    </w:pPr>
    <w:rPr>
      <w:rFonts w:asciiTheme="minorHAnsi" w:hAnsiTheme="minorHAnsi"/>
      <w:sz w:val="20"/>
    </w:rPr>
  </w:style>
  <w:style w:type="paragraph" w:styleId="81">
    <w:name w:val="toc 8"/>
    <w:basedOn w:val="a6"/>
    <w:next w:val="a6"/>
    <w:autoRedefine/>
    <w:uiPriority w:val="39"/>
    <w:rsid w:val="004E0062"/>
    <w:pPr>
      <w:ind w:left="1920"/>
      <w:jc w:val="left"/>
    </w:pPr>
    <w:rPr>
      <w:rFonts w:asciiTheme="minorHAnsi" w:hAnsiTheme="minorHAnsi"/>
      <w:sz w:val="20"/>
    </w:rPr>
  </w:style>
  <w:style w:type="paragraph" w:styleId="91">
    <w:name w:val="toc 9"/>
    <w:basedOn w:val="a6"/>
    <w:next w:val="a6"/>
    <w:autoRedefine/>
    <w:uiPriority w:val="39"/>
    <w:rsid w:val="004E0062"/>
    <w:pPr>
      <w:ind w:left="2240"/>
      <w:jc w:val="left"/>
    </w:pPr>
    <w:rPr>
      <w:rFonts w:asciiTheme="minorHAnsi" w:hAnsiTheme="minorHAnsi"/>
      <w:sz w:val="20"/>
    </w:rPr>
  </w:style>
  <w:style w:type="paragraph" w:styleId="af">
    <w:name w:val="header"/>
    <w:basedOn w:val="a6"/>
    <w:link w:val="af0"/>
    <w:uiPriority w:val="99"/>
    <w:rsid w:val="004E0062"/>
    <w:pPr>
      <w:tabs>
        <w:tab w:val="center" w:pos="4153"/>
        <w:tab w:val="right" w:pos="8306"/>
      </w:tabs>
      <w:snapToGrid w:val="0"/>
    </w:pPr>
    <w:rPr>
      <w:sz w:val="20"/>
    </w:rPr>
  </w:style>
  <w:style w:type="character" w:customStyle="1" w:styleId="af0">
    <w:name w:val="頁首 字元"/>
    <w:link w:val="af"/>
    <w:uiPriority w:val="99"/>
    <w:rsid w:val="00AA1C2C"/>
    <w:rPr>
      <w:rFonts w:ascii="標楷體" w:eastAsia="標楷體"/>
      <w:kern w:val="2"/>
    </w:rPr>
  </w:style>
  <w:style w:type="paragraph" w:customStyle="1" w:styleId="32">
    <w:name w:val="段落樣式3"/>
    <w:basedOn w:val="21"/>
    <w:uiPriority w:val="99"/>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uiPriority w:val="99"/>
    <w:rsid w:val="004E0062"/>
    <w:pPr>
      <w:kinsoku w:val="0"/>
      <w:jc w:val="distribute"/>
    </w:pPr>
    <w:rPr>
      <w:kern w:val="0"/>
    </w:rPr>
  </w:style>
  <w:style w:type="paragraph" w:customStyle="1" w:styleId="0">
    <w:name w:val="段落樣式0"/>
    <w:basedOn w:val="21"/>
    <w:uiPriority w:val="99"/>
    <w:qFormat/>
    <w:rsid w:val="004F5E57"/>
    <w:pPr>
      <w:ind w:leftChars="200" w:left="200" w:firstLineChars="0" w:firstLine="0"/>
    </w:pPr>
  </w:style>
  <w:style w:type="paragraph" w:customStyle="1" w:styleId="af3">
    <w:name w:val="附件"/>
    <w:basedOn w:val="ac"/>
    <w:uiPriority w:val="99"/>
    <w:rsid w:val="004E0062"/>
    <w:pPr>
      <w:spacing w:before="0"/>
      <w:ind w:left="1047" w:hangingChars="300" w:hanging="1047"/>
    </w:pPr>
    <w:rPr>
      <w:snapToGrid/>
      <w:spacing w:val="0"/>
      <w:kern w:val="0"/>
    </w:rPr>
  </w:style>
  <w:style w:type="paragraph" w:customStyle="1" w:styleId="42">
    <w:name w:val="段落樣式4"/>
    <w:basedOn w:val="32"/>
    <w:uiPriority w:val="99"/>
    <w:qFormat/>
    <w:rsid w:val="004F5E57"/>
    <w:pPr>
      <w:ind w:leftChars="500" w:left="500"/>
    </w:pPr>
  </w:style>
  <w:style w:type="paragraph" w:customStyle="1" w:styleId="52">
    <w:name w:val="段落樣式5"/>
    <w:basedOn w:val="42"/>
    <w:uiPriority w:val="99"/>
    <w:qFormat/>
    <w:rsid w:val="004F5E57"/>
    <w:pPr>
      <w:ind w:leftChars="600" w:left="600"/>
    </w:pPr>
  </w:style>
  <w:style w:type="paragraph" w:customStyle="1" w:styleId="62">
    <w:name w:val="段落樣式6"/>
    <w:basedOn w:val="52"/>
    <w:uiPriority w:val="99"/>
    <w:qFormat/>
    <w:rsid w:val="004F5E57"/>
    <w:pPr>
      <w:ind w:leftChars="700" w:left="700"/>
    </w:pPr>
  </w:style>
  <w:style w:type="paragraph" w:customStyle="1" w:styleId="72">
    <w:name w:val="段落樣式7"/>
    <w:basedOn w:val="62"/>
    <w:uiPriority w:val="99"/>
    <w:qFormat/>
    <w:rsid w:val="004F5E57"/>
    <w:pPr>
      <w:ind w:leftChars="800" w:left="800"/>
    </w:pPr>
  </w:style>
  <w:style w:type="paragraph" w:customStyle="1" w:styleId="82">
    <w:name w:val="段落樣式8"/>
    <w:basedOn w:val="72"/>
    <w:uiPriority w:val="99"/>
    <w:qFormat/>
    <w:rsid w:val="004F5E57"/>
    <w:pPr>
      <w:ind w:leftChars="900" w:left="900"/>
    </w:pPr>
  </w:style>
  <w:style w:type="paragraph" w:customStyle="1" w:styleId="a0">
    <w:name w:val="附表樣式"/>
    <w:basedOn w:val="a6"/>
    <w:uiPriority w:val="99"/>
    <w:qFormat/>
    <w:rsid w:val="00B77D18"/>
    <w:pPr>
      <w:keepNext/>
      <w:numPr>
        <w:numId w:val="1"/>
      </w:numPr>
      <w:outlineLvl w:val="0"/>
    </w:pPr>
    <w:rPr>
      <w:kern w:val="32"/>
    </w:rPr>
  </w:style>
  <w:style w:type="paragraph" w:styleId="af4">
    <w:name w:val="Body Text Indent"/>
    <w:basedOn w:val="a6"/>
    <w:link w:val="af5"/>
    <w:uiPriority w:val="99"/>
    <w:semiHidden/>
    <w:rsid w:val="004E0062"/>
    <w:pPr>
      <w:ind w:left="698" w:hangingChars="200" w:hanging="698"/>
    </w:pPr>
  </w:style>
  <w:style w:type="paragraph" w:customStyle="1" w:styleId="af6">
    <w:name w:val="調查報告"/>
    <w:basedOn w:val="ac"/>
    <w:uiPriority w:val="99"/>
    <w:rsid w:val="00D75644"/>
    <w:pPr>
      <w:adjustRightInd w:val="0"/>
      <w:spacing w:before="0"/>
      <w:ind w:left="0" w:firstLine="0"/>
      <w:jc w:val="center"/>
    </w:pPr>
    <w:rPr>
      <w:b/>
      <w:snapToGrid/>
      <w:spacing w:val="200"/>
      <w:kern w:val="0"/>
      <w:sz w:val="40"/>
    </w:rPr>
  </w:style>
  <w:style w:type="paragraph" w:customStyle="1" w:styleId="14">
    <w:name w:val="表格14"/>
    <w:basedOn w:val="a6"/>
    <w:uiPriority w:val="99"/>
    <w:rsid w:val="006072CD"/>
    <w:pPr>
      <w:adjustRightInd w:val="0"/>
      <w:snapToGrid w:val="0"/>
      <w:spacing w:line="360" w:lineRule="exact"/>
    </w:pPr>
    <w:rPr>
      <w:snapToGrid w:val="0"/>
      <w:spacing w:val="-14"/>
      <w:kern w:val="0"/>
      <w:sz w:val="28"/>
    </w:rPr>
  </w:style>
  <w:style w:type="paragraph" w:customStyle="1" w:styleId="a">
    <w:name w:val="附圖樣式"/>
    <w:basedOn w:val="a6"/>
    <w:uiPriority w:val="99"/>
    <w:qFormat/>
    <w:rsid w:val="00B77D18"/>
    <w:pPr>
      <w:keepNext/>
      <w:numPr>
        <w:numId w:val="2"/>
      </w:numPr>
      <w:outlineLvl w:val="0"/>
    </w:pPr>
    <w:rPr>
      <w:kern w:val="32"/>
    </w:rPr>
  </w:style>
  <w:style w:type="paragraph" w:styleId="af7">
    <w:name w:val="footer"/>
    <w:basedOn w:val="a6"/>
    <w:link w:val="af8"/>
    <w:uiPriority w:val="99"/>
    <w:rsid w:val="004E0062"/>
    <w:pPr>
      <w:tabs>
        <w:tab w:val="center" w:pos="4153"/>
        <w:tab w:val="right" w:pos="8306"/>
      </w:tabs>
      <w:snapToGrid w:val="0"/>
    </w:pPr>
    <w:rPr>
      <w:sz w:val="20"/>
    </w:rPr>
  </w:style>
  <w:style w:type="character" w:customStyle="1" w:styleId="af8">
    <w:name w:val="頁尾 字元"/>
    <w:link w:val="af7"/>
    <w:uiPriority w:val="99"/>
    <w:rsid w:val="00AA1C2C"/>
    <w:rPr>
      <w:rFonts w:ascii="標楷體" w:eastAsia="標楷體"/>
      <w:kern w:val="2"/>
    </w:rPr>
  </w:style>
  <w:style w:type="paragraph" w:styleId="af9">
    <w:name w:val="table of figures"/>
    <w:basedOn w:val="a6"/>
    <w:next w:val="a6"/>
    <w:uiPriority w:val="99"/>
    <w:semiHidden/>
    <w:rsid w:val="004E0062"/>
    <w:pPr>
      <w:ind w:left="400" w:hangingChars="400" w:hanging="400"/>
    </w:pPr>
  </w:style>
  <w:style w:type="paragraph" w:customStyle="1" w:styleId="140">
    <w:name w:val="表格標題14"/>
    <w:basedOn w:val="a6"/>
    <w:uiPriority w:val="99"/>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uiPriority w:val="99"/>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uiPriority w:val="99"/>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uiPriority w:val="99"/>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uiPriority w:val="99"/>
    <w:rsid w:val="00E15352"/>
    <w:pPr>
      <w:spacing w:line="240" w:lineRule="exact"/>
    </w:pPr>
    <w:rPr>
      <w:sz w:val="24"/>
      <w:szCs w:val="24"/>
    </w:rPr>
  </w:style>
  <w:style w:type="paragraph" w:customStyle="1" w:styleId="121">
    <w:name w:val="表格12"/>
    <w:basedOn w:val="14"/>
    <w:uiPriority w:val="99"/>
    <w:rsid w:val="004224FA"/>
    <w:pPr>
      <w:spacing w:line="300" w:lineRule="exact"/>
    </w:pPr>
    <w:rPr>
      <w:sz w:val="24"/>
      <w:szCs w:val="24"/>
    </w:rPr>
  </w:style>
  <w:style w:type="paragraph" w:customStyle="1" w:styleId="a4">
    <w:name w:val="附錄"/>
    <w:basedOn w:val="a6"/>
    <w:uiPriority w:val="99"/>
    <w:qFormat/>
    <w:rsid w:val="00B77D18"/>
    <w:pPr>
      <w:keepNext/>
      <w:numPr>
        <w:numId w:val="5"/>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uiPriority w:val="99"/>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uiPriority w:val="99"/>
    <w:qFormat/>
    <w:rsid w:val="00B77D18"/>
    <w:pPr>
      <w:keepNext/>
      <w:numPr>
        <w:numId w:val="8"/>
      </w:numPr>
      <w:ind w:left="400" w:hangingChars="400" w:hanging="400"/>
      <w:outlineLvl w:val="0"/>
    </w:pPr>
    <w:rPr>
      <w:kern w:val="32"/>
    </w:rPr>
  </w:style>
  <w:style w:type="paragraph" w:customStyle="1" w:styleId="92">
    <w:name w:val="段落樣式9"/>
    <w:basedOn w:val="82"/>
    <w:uiPriority w:val="99"/>
    <w:qFormat/>
    <w:rsid w:val="00831693"/>
    <w:pPr>
      <w:ind w:leftChars="1000" w:left="1000"/>
    </w:pPr>
  </w:style>
  <w:style w:type="paragraph" w:styleId="aff">
    <w:name w:val="footnote text"/>
    <w:basedOn w:val="a6"/>
    <w:link w:val="aff0"/>
    <w:uiPriority w:val="99"/>
    <w:unhideWhenUsed/>
    <w:rsid w:val="00D1404D"/>
    <w:pPr>
      <w:snapToGrid w:val="0"/>
      <w:jc w:val="left"/>
    </w:pPr>
    <w:rPr>
      <w:sz w:val="20"/>
    </w:rPr>
  </w:style>
  <w:style w:type="character" w:customStyle="1" w:styleId="aff0">
    <w:name w:val="註腳文字 字元"/>
    <w:basedOn w:val="a7"/>
    <w:link w:val="aff"/>
    <w:uiPriority w:val="99"/>
    <w:rsid w:val="00D1404D"/>
    <w:rPr>
      <w:rFonts w:ascii="標楷體" w:eastAsia="標楷體"/>
      <w:kern w:val="2"/>
    </w:rPr>
  </w:style>
  <w:style w:type="character" w:styleId="aff1">
    <w:name w:val="footnote reference"/>
    <w:basedOn w:val="a7"/>
    <w:uiPriority w:val="99"/>
    <w:unhideWhenUsed/>
    <w:rsid w:val="00D1404D"/>
    <w:rPr>
      <w:vertAlign w:val="superscript"/>
    </w:rPr>
  </w:style>
  <w:style w:type="paragraph" w:styleId="HTML">
    <w:name w:val="HTML Preformatted"/>
    <w:basedOn w:val="a6"/>
    <w:link w:val="HTML0"/>
    <w:uiPriority w:val="99"/>
    <w:unhideWhenUsed/>
    <w:rsid w:val="008719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rsid w:val="008719BC"/>
    <w:rPr>
      <w:rFonts w:ascii="細明體" w:eastAsia="細明體" w:hAnsi="細明體" w:cs="細明體"/>
      <w:sz w:val="22"/>
      <w:szCs w:val="22"/>
    </w:rPr>
  </w:style>
  <w:style w:type="character" w:styleId="aff2">
    <w:name w:val="Strong"/>
    <w:basedOn w:val="a7"/>
    <w:qFormat/>
    <w:rsid w:val="004448CE"/>
    <w:rPr>
      <w:b/>
      <w:bCs/>
    </w:rPr>
  </w:style>
  <w:style w:type="paragraph" w:styleId="aff3">
    <w:name w:val="Note Heading"/>
    <w:basedOn w:val="a6"/>
    <w:next w:val="a6"/>
    <w:link w:val="aff4"/>
    <w:uiPriority w:val="99"/>
    <w:unhideWhenUsed/>
    <w:rsid w:val="002A1DA7"/>
    <w:pPr>
      <w:jc w:val="center"/>
    </w:pPr>
    <w:rPr>
      <w:rFonts w:hAnsi="標楷體"/>
    </w:rPr>
  </w:style>
  <w:style w:type="character" w:customStyle="1" w:styleId="aff4">
    <w:name w:val="註釋標題 字元"/>
    <w:basedOn w:val="a7"/>
    <w:link w:val="aff3"/>
    <w:uiPriority w:val="99"/>
    <w:rsid w:val="002A1DA7"/>
    <w:rPr>
      <w:rFonts w:ascii="標楷體" w:eastAsia="標楷體" w:hAnsi="標楷體"/>
      <w:kern w:val="2"/>
      <w:sz w:val="32"/>
    </w:rPr>
  </w:style>
  <w:style w:type="paragraph" w:styleId="aff5">
    <w:name w:val="Closing"/>
    <w:basedOn w:val="a6"/>
    <w:link w:val="aff6"/>
    <w:uiPriority w:val="99"/>
    <w:unhideWhenUsed/>
    <w:rsid w:val="002A1DA7"/>
    <w:pPr>
      <w:ind w:leftChars="1800" w:left="100"/>
    </w:pPr>
    <w:rPr>
      <w:rFonts w:hAnsi="標楷體"/>
    </w:rPr>
  </w:style>
  <w:style w:type="character" w:customStyle="1" w:styleId="aff6">
    <w:name w:val="結語 字元"/>
    <w:basedOn w:val="a7"/>
    <w:link w:val="aff5"/>
    <w:uiPriority w:val="99"/>
    <w:rsid w:val="002A1DA7"/>
    <w:rPr>
      <w:rFonts w:ascii="標楷體" w:eastAsia="標楷體" w:hAnsi="標楷體"/>
      <w:kern w:val="2"/>
      <w:sz w:val="32"/>
    </w:rPr>
  </w:style>
  <w:style w:type="character" w:styleId="aff7">
    <w:name w:val="endnote reference"/>
    <w:basedOn w:val="a7"/>
    <w:uiPriority w:val="99"/>
    <w:semiHidden/>
    <w:unhideWhenUsed/>
    <w:rsid w:val="008359A8"/>
    <w:rPr>
      <w:vertAlign w:val="superscript"/>
    </w:rPr>
  </w:style>
  <w:style w:type="paragraph" w:customStyle="1" w:styleId="Default">
    <w:name w:val="Default"/>
    <w:rsid w:val="00BE1695"/>
    <w:pPr>
      <w:widowControl w:val="0"/>
      <w:autoSpaceDE w:val="0"/>
      <w:autoSpaceDN w:val="0"/>
      <w:adjustRightInd w:val="0"/>
    </w:pPr>
    <w:rPr>
      <w:rFonts w:ascii="標楷體" w:eastAsia="標楷體" w:cs="標楷體"/>
      <w:color w:val="000000"/>
      <w:sz w:val="24"/>
      <w:szCs w:val="24"/>
    </w:rPr>
  </w:style>
  <w:style w:type="character" w:customStyle="1" w:styleId="highlight1">
    <w:name w:val="highlight1"/>
    <w:basedOn w:val="a7"/>
    <w:rsid w:val="00AD00EB"/>
    <w:rPr>
      <w:b/>
      <w:bCs/>
    </w:rPr>
  </w:style>
  <w:style w:type="paragraph" w:styleId="aff8">
    <w:name w:val="Body Text"/>
    <w:basedOn w:val="a6"/>
    <w:link w:val="aff9"/>
    <w:uiPriority w:val="99"/>
    <w:unhideWhenUsed/>
    <w:rsid w:val="003E70A8"/>
    <w:pPr>
      <w:spacing w:after="120"/>
    </w:pPr>
  </w:style>
  <w:style w:type="character" w:customStyle="1" w:styleId="aff9">
    <w:name w:val="本文 字元"/>
    <w:basedOn w:val="a7"/>
    <w:link w:val="aff8"/>
    <w:uiPriority w:val="99"/>
    <w:rsid w:val="003E70A8"/>
    <w:rPr>
      <w:rFonts w:ascii="標楷體" w:eastAsia="標楷體"/>
      <w:kern w:val="2"/>
      <w:sz w:val="32"/>
    </w:rPr>
  </w:style>
  <w:style w:type="table" w:customStyle="1" w:styleId="13">
    <w:name w:val="表格格線1"/>
    <w:basedOn w:val="a8"/>
    <w:next w:val="afb"/>
    <w:uiPriority w:val="59"/>
    <w:rsid w:val="003E70A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name w:val="分項段落"/>
    <w:basedOn w:val="a6"/>
    <w:uiPriority w:val="99"/>
    <w:rsid w:val="00507CAD"/>
    <w:pPr>
      <w:overflowPunct/>
      <w:autoSpaceDE/>
      <w:autoSpaceDN/>
      <w:jc w:val="left"/>
    </w:pPr>
    <w:rPr>
      <w:rFonts w:ascii="Times New Roman" w:eastAsia="新細明體"/>
      <w:sz w:val="24"/>
    </w:rPr>
  </w:style>
  <w:style w:type="character" w:styleId="affb">
    <w:name w:val="Placeholder Text"/>
    <w:basedOn w:val="a7"/>
    <w:uiPriority w:val="99"/>
    <w:semiHidden/>
    <w:rsid w:val="00E52263"/>
    <w:rPr>
      <w:color w:val="808080"/>
    </w:rPr>
  </w:style>
  <w:style w:type="character" w:customStyle="1" w:styleId="30">
    <w:name w:val="標題 3 字元"/>
    <w:link w:val="3"/>
    <w:rsid w:val="006251F7"/>
    <w:rPr>
      <w:rFonts w:ascii="標楷體" w:eastAsia="標楷體" w:hAnsi="Arial"/>
      <w:bCs/>
      <w:kern w:val="32"/>
      <w:sz w:val="32"/>
      <w:szCs w:val="36"/>
    </w:rPr>
  </w:style>
  <w:style w:type="paragraph" w:styleId="affc">
    <w:name w:val="Plain Text"/>
    <w:aliases w:val="內文壹,一般文字 字元,一般文字 字元 字元,一般文字 字元1 字元1,內文壹 字元 字元1,一般文字 字元 字元1 字元1,一般文字 字元 字元 字元1 字元1,一般文字 字元 字元 字元 字元 字元1,一般文字 字元1 字元 字元,一般文字 字元 字元 字元 字元 字元 字元 字元 字元 字元 字元 字元 字元 字元 字元 字元 字元 字元 字元 字元 字元 字元 字元 字元 字元 字元 字元,一般文字 字元 字元1 字元 字元,內文壹 字元 字元 字元,一般文字 字元1"/>
    <w:basedOn w:val="a6"/>
    <w:link w:val="affd"/>
    <w:rsid w:val="008C45CB"/>
    <w:pPr>
      <w:overflowPunct/>
      <w:autoSpaceDE/>
      <w:autoSpaceDN/>
      <w:jc w:val="left"/>
    </w:pPr>
    <w:rPr>
      <w:rFonts w:ascii="細明體" w:eastAsia="細明體" w:hAnsi="Courier New"/>
      <w:sz w:val="24"/>
    </w:rPr>
  </w:style>
  <w:style w:type="character" w:customStyle="1" w:styleId="affd">
    <w:name w:val="純文字 字元"/>
    <w:aliases w:val="內文壹 字元,一般文字 字元 字元1,一般文字 字元 字元 字元,一般文字 字元1 字元1 字元,內文壹 字元 字元1 字元,一般文字 字元 字元1 字元1 字元,一般文字 字元 字元 字元1 字元1 字元,一般文字 字元 字元 字元 字元 字元1 字元,一般文字 字元1 字元 字元 字元,一般文字 字元 字元 字元 字元 字元 字元 字元 字元 字元 字元 字元 字元 字元 字元 字元 字元 字元 字元 字元 字元 字元 字元 字元 字元 字元 字元 字元,一般文字 字元1 字元"/>
    <w:basedOn w:val="a7"/>
    <w:link w:val="affc"/>
    <w:rsid w:val="008C45CB"/>
    <w:rPr>
      <w:rFonts w:ascii="細明體" w:eastAsia="細明體" w:hAnsi="Courier New"/>
      <w:kern w:val="2"/>
      <w:sz w:val="24"/>
    </w:rPr>
  </w:style>
  <w:style w:type="character" w:customStyle="1" w:styleId="40">
    <w:name w:val="標題 4 字元"/>
    <w:aliases w:val="表格 字元"/>
    <w:basedOn w:val="a7"/>
    <w:link w:val="4"/>
    <w:rsid w:val="00DF3339"/>
    <w:rPr>
      <w:rFonts w:ascii="標楷體" w:eastAsia="標楷體" w:hAnsi="Arial"/>
      <w:kern w:val="32"/>
      <w:sz w:val="32"/>
      <w:szCs w:val="36"/>
    </w:rPr>
  </w:style>
  <w:style w:type="character" w:customStyle="1" w:styleId="20">
    <w:name w:val="標題 2 字元"/>
    <w:aliases w:val="標題110/111 字元"/>
    <w:basedOn w:val="a7"/>
    <w:link w:val="2"/>
    <w:rsid w:val="00C55DFA"/>
    <w:rPr>
      <w:rFonts w:ascii="標楷體" w:eastAsia="標楷體" w:hAnsi="Arial"/>
      <w:bCs/>
      <w:kern w:val="32"/>
      <w:sz w:val="32"/>
      <w:szCs w:val="48"/>
    </w:rPr>
  </w:style>
  <w:style w:type="paragraph" w:styleId="Web">
    <w:name w:val="Normal (Web)"/>
    <w:basedOn w:val="a6"/>
    <w:uiPriority w:val="99"/>
    <w:semiHidden/>
    <w:unhideWhenUsed/>
    <w:rsid w:val="0007567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10">
    <w:name w:val="標題 1 字元"/>
    <w:basedOn w:val="a7"/>
    <w:link w:val="1"/>
    <w:rsid w:val="0004670B"/>
    <w:rPr>
      <w:rFonts w:ascii="標楷體" w:eastAsia="標楷體" w:hAnsi="Arial"/>
      <w:bCs/>
      <w:kern w:val="32"/>
      <w:sz w:val="32"/>
      <w:szCs w:val="52"/>
    </w:rPr>
  </w:style>
  <w:style w:type="character" w:customStyle="1" w:styleId="70">
    <w:name w:val="標題 7 字元"/>
    <w:basedOn w:val="a7"/>
    <w:link w:val="7"/>
    <w:rsid w:val="0004670B"/>
    <w:rPr>
      <w:rFonts w:ascii="標楷體" w:eastAsia="標楷體" w:hAnsi="Arial"/>
      <w:bCs/>
      <w:kern w:val="32"/>
      <w:sz w:val="32"/>
      <w:szCs w:val="36"/>
    </w:rPr>
  </w:style>
  <w:style w:type="character" w:customStyle="1" w:styleId="80">
    <w:name w:val="標題 8 字元"/>
    <w:basedOn w:val="a7"/>
    <w:link w:val="8"/>
    <w:rsid w:val="0004670B"/>
    <w:rPr>
      <w:rFonts w:ascii="標楷體" w:eastAsia="標楷體" w:hAnsi="Arial"/>
      <w:kern w:val="32"/>
      <w:sz w:val="32"/>
      <w:szCs w:val="36"/>
    </w:rPr>
  </w:style>
  <w:style w:type="numbering" w:customStyle="1" w:styleId="15">
    <w:name w:val="無清單1"/>
    <w:next w:val="a9"/>
    <w:uiPriority w:val="99"/>
    <w:semiHidden/>
    <w:unhideWhenUsed/>
    <w:rsid w:val="0004670B"/>
  </w:style>
  <w:style w:type="character" w:customStyle="1" w:styleId="ab">
    <w:name w:val="簽名 字元"/>
    <w:basedOn w:val="a7"/>
    <w:link w:val="aa"/>
    <w:uiPriority w:val="99"/>
    <w:semiHidden/>
    <w:rsid w:val="0004670B"/>
    <w:rPr>
      <w:rFonts w:ascii="標楷體" w:eastAsia="標楷體"/>
      <w:b/>
      <w:snapToGrid w:val="0"/>
      <w:spacing w:val="10"/>
      <w:kern w:val="2"/>
      <w:sz w:val="36"/>
    </w:rPr>
  </w:style>
  <w:style w:type="character" w:customStyle="1" w:styleId="ad">
    <w:name w:val="章節附註文字 字元"/>
    <w:basedOn w:val="a7"/>
    <w:link w:val="ac"/>
    <w:uiPriority w:val="99"/>
    <w:semiHidden/>
    <w:rsid w:val="0004670B"/>
    <w:rPr>
      <w:rFonts w:ascii="標楷體" w:eastAsia="標楷體"/>
      <w:snapToGrid w:val="0"/>
      <w:spacing w:val="10"/>
      <w:kern w:val="2"/>
      <w:sz w:val="32"/>
    </w:rPr>
  </w:style>
  <w:style w:type="paragraph" w:customStyle="1" w:styleId="affe">
    <w:name w:val="表樣式"/>
    <w:basedOn w:val="a6"/>
    <w:next w:val="a6"/>
    <w:uiPriority w:val="99"/>
    <w:rsid w:val="0004670B"/>
    <w:pPr>
      <w:overflowPunct/>
      <w:autoSpaceDE/>
      <w:autoSpaceDN/>
      <w:ind w:left="400" w:hangingChars="400" w:hanging="400"/>
    </w:pPr>
    <w:rPr>
      <w:kern w:val="0"/>
    </w:rPr>
  </w:style>
  <w:style w:type="character" w:customStyle="1" w:styleId="af5">
    <w:name w:val="本文縮排 字元"/>
    <w:basedOn w:val="a7"/>
    <w:link w:val="af4"/>
    <w:uiPriority w:val="99"/>
    <w:semiHidden/>
    <w:rsid w:val="0004670B"/>
    <w:rPr>
      <w:rFonts w:ascii="標楷體" w:eastAsia="標楷體"/>
      <w:kern w:val="2"/>
      <w:sz w:val="32"/>
    </w:rPr>
  </w:style>
  <w:style w:type="paragraph" w:styleId="23">
    <w:name w:val="Body Text Indent 2"/>
    <w:basedOn w:val="a6"/>
    <w:link w:val="24"/>
    <w:uiPriority w:val="99"/>
    <w:semiHidden/>
    <w:rsid w:val="0004670B"/>
    <w:pPr>
      <w:tabs>
        <w:tab w:val="left" w:pos="567"/>
      </w:tabs>
      <w:overflowPunct/>
      <w:autoSpaceDE/>
      <w:autoSpaceDN/>
      <w:ind w:left="663" w:firstLine="663"/>
    </w:pPr>
    <w:rPr>
      <w:rFonts w:ascii="Times New Roman"/>
    </w:rPr>
  </w:style>
  <w:style w:type="character" w:customStyle="1" w:styleId="24">
    <w:name w:val="本文縮排 2 字元"/>
    <w:basedOn w:val="a7"/>
    <w:link w:val="23"/>
    <w:uiPriority w:val="99"/>
    <w:semiHidden/>
    <w:rsid w:val="0004670B"/>
    <w:rPr>
      <w:rFonts w:eastAsia="標楷體"/>
      <w:kern w:val="2"/>
      <w:sz w:val="32"/>
    </w:rPr>
  </w:style>
  <w:style w:type="paragraph" w:customStyle="1" w:styleId="afff">
    <w:name w:val="圖樣式"/>
    <w:basedOn w:val="a6"/>
    <w:next w:val="a6"/>
    <w:uiPriority w:val="99"/>
    <w:rsid w:val="0004670B"/>
    <w:pPr>
      <w:overflowPunct/>
      <w:autoSpaceDE/>
      <w:autoSpaceDN/>
      <w:ind w:left="400" w:hangingChars="400" w:hanging="400"/>
    </w:pPr>
  </w:style>
  <w:style w:type="paragraph" w:customStyle="1" w:styleId="afff0">
    <w:name w:val="主旨"/>
    <w:basedOn w:val="a6"/>
    <w:uiPriority w:val="99"/>
    <w:rsid w:val="0004670B"/>
    <w:pPr>
      <w:overflowPunct/>
      <w:autoSpaceDE/>
      <w:autoSpaceDN/>
      <w:snapToGrid w:val="0"/>
      <w:ind w:left="964" w:hanging="964"/>
      <w:jc w:val="left"/>
    </w:pPr>
    <w:rPr>
      <w:rFonts w:ascii="Times New Roman"/>
    </w:rPr>
  </w:style>
  <w:style w:type="character" w:styleId="afff1">
    <w:name w:val="FollowedHyperlink"/>
    <w:basedOn w:val="a7"/>
    <w:uiPriority w:val="99"/>
    <w:semiHidden/>
    <w:unhideWhenUsed/>
    <w:rsid w:val="0004670B"/>
    <w:rPr>
      <w:color w:val="800080"/>
      <w:u w:val="single"/>
    </w:rPr>
  </w:style>
  <w:style w:type="paragraph" w:customStyle="1" w:styleId="font5">
    <w:name w:val="font5"/>
    <w:basedOn w:val="a6"/>
    <w:uiPriority w:val="99"/>
    <w:rsid w:val="0004670B"/>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font6">
    <w:name w:val="font6"/>
    <w:basedOn w:val="a6"/>
    <w:uiPriority w:val="99"/>
    <w:rsid w:val="0004670B"/>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6">
    <w:name w:val="xl66"/>
    <w:basedOn w:val="a6"/>
    <w:uiPriority w:val="99"/>
    <w:rsid w:val="0004670B"/>
    <w:pPr>
      <w:widowControl/>
      <w:overflowPunct/>
      <w:autoSpaceDE/>
      <w:autoSpaceDN/>
      <w:spacing w:before="100" w:beforeAutospacing="1" w:after="100" w:afterAutospacing="1"/>
      <w:jc w:val="left"/>
    </w:pPr>
    <w:rPr>
      <w:rFonts w:ascii="新細明體" w:eastAsia="新細明體" w:hAnsi="新細明體" w:cs="新細明體"/>
      <w:kern w:val="0"/>
      <w:sz w:val="28"/>
      <w:szCs w:val="28"/>
    </w:rPr>
  </w:style>
  <w:style w:type="paragraph" w:customStyle="1" w:styleId="xl67">
    <w:name w:val="xl67"/>
    <w:basedOn w:val="a6"/>
    <w:uiPriority w:val="99"/>
    <w:rsid w:val="0004670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8">
    <w:name w:val="xl68"/>
    <w:basedOn w:val="a6"/>
    <w:uiPriority w:val="99"/>
    <w:rsid w:val="0004670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9">
    <w:name w:val="xl69"/>
    <w:basedOn w:val="a6"/>
    <w:uiPriority w:val="99"/>
    <w:rsid w:val="0004670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color w:val="FF0000"/>
      <w:kern w:val="0"/>
      <w:sz w:val="24"/>
      <w:szCs w:val="24"/>
    </w:rPr>
  </w:style>
  <w:style w:type="paragraph" w:customStyle="1" w:styleId="xl70">
    <w:name w:val="xl70"/>
    <w:basedOn w:val="a6"/>
    <w:uiPriority w:val="99"/>
    <w:rsid w:val="0004670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color w:val="FF0000"/>
      <w:kern w:val="0"/>
      <w:sz w:val="24"/>
      <w:szCs w:val="24"/>
    </w:rPr>
  </w:style>
  <w:style w:type="paragraph" w:customStyle="1" w:styleId="xl71">
    <w:name w:val="xl71"/>
    <w:basedOn w:val="a6"/>
    <w:uiPriority w:val="99"/>
    <w:rsid w:val="0004670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8"/>
      <w:szCs w:val="28"/>
    </w:rPr>
  </w:style>
  <w:style w:type="paragraph" w:customStyle="1" w:styleId="xl72">
    <w:name w:val="xl72"/>
    <w:basedOn w:val="a6"/>
    <w:uiPriority w:val="99"/>
    <w:rsid w:val="0004670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top"/>
    </w:pPr>
    <w:rPr>
      <w:rFonts w:ascii="新細明體" w:eastAsia="新細明體" w:hAnsi="新細明體" w:cs="新細明體"/>
      <w:kern w:val="0"/>
      <w:sz w:val="28"/>
      <w:szCs w:val="28"/>
    </w:rPr>
  </w:style>
  <w:style w:type="paragraph" w:customStyle="1" w:styleId="xl73">
    <w:name w:val="xl73"/>
    <w:basedOn w:val="a6"/>
    <w:uiPriority w:val="99"/>
    <w:rsid w:val="0004670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4">
    <w:name w:val="xl74"/>
    <w:basedOn w:val="a6"/>
    <w:uiPriority w:val="99"/>
    <w:rsid w:val="0004670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ascii="新細明體" w:eastAsia="新細明體" w:hAnsi="新細明體" w:cs="新細明體"/>
      <w:kern w:val="0"/>
      <w:sz w:val="18"/>
      <w:szCs w:val="18"/>
    </w:rPr>
  </w:style>
  <w:style w:type="paragraph" w:customStyle="1" w:styleId="xl75">
    <w:name w:val="xl75"/>
    <w:basedOn w:val="a6"/>
    <w:uiPriority w:val="99"/>
    <w:rsid w:val="0004670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ascii="新細明體" w:eastAsia="新細明體" w:hAnsi="新細明體" w:cs="新細明體"/>
      <w:kern w:val="0"/>
      <w:sz w:val="18"/>
      <w:szCs w:val="18"/>
    </w:rPr>
  </w:style>
  <w:style w:type="paragraph" w:customStyle="1" w:styleId="xl76">
    <w:name w:val="xl76"/>
    <w:basedOn w:val="a6"/>
    <w:uiPriority w:val="99"/>
    <w:rsid w:val="0004670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ascii="新細明體" w:eastAsia="新細明體" w:hAnsi="新細明體" w:cs="新細明體"/>
      <w:kern w:val="0"/>
      <w:sz w:val="18"/>
      <w:szCs w:val="18"/>
    </w:rPr>
  </w:style>
  <w:style w:type="paragraph" w:customStyle="1" w:styleId="xl77">
    <w:name w:val="xl77"/>
    <w:basedOn w:val="a6"/>
    <w:uiPriority w:val="99"/>
    <w:rsid w:val="0004670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ascii="新細明體" w:eastAsia="新細明體" w:hAnsi="新細明體" w:cs="新細明體"/>
      <w:kern w:val="0"/>
      <w:sz w:val="18"/>
      <w:szCs w:val="18"/>
    </w:rPr>
  </w:style>
  <w:style w:type="paragraph" w:customStyle="1" w:styleId="xl78">
    <w:name w:val="xl78"/>
    <w:basedOn w:val="a6"/>
    <w:uiPriority w:val="99"/>
    <w:rsid w:val="0004670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9">
    <w:name w:val="xl79"/>
    <w:basedOn w:val="a6"/>
    <w:uiPriority w:val="99"/>
    <w:rsid w:val="0004670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color w:val="FF0000"/>
      <w:kern w:val="0"/>
      <w:sz w:val="24"/>
      <w:szCs w:val="24"/>
    </w:rPr>
  </w:style>
  <w:style w:type="paragraph" w:customStyle="1" w:styleId="xl80">
    <w:name w:val="xl80"/>
    <w:basedOn w:val="a6"/>
    <w:uiPriority w:val="99"/>
    <w:rsid w:val="0004670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color w:val="FF0000"/>
      <w:kern w:val="0"/>
      <w:sz w:val="24"/>
      <w:szCs w:val="24"/>
    </w:rPr>
  </w:style>
  <w:style w:type="paragraph" w:customStyle="1" w:styleId="xl81">
    <w:name w:val="xl81"/>
    <w:basedOn w:val="a6"/>
    <w:uiPriority w:val="99"/>
    <w:rsid w:val="0004670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82">
    <w:name w:val="xl82"/>
    <w:basedOn w:val="a6"/>
    <w:uiPriority w:val="99"/>
    <w:rsid w:val="0004670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color w:val="FF0000"/>
      <w:kern w:val="0"/>
      <w:sz w:val="24"/>
      <w:szCs w:val="24"/>
    </w:rPr>
  </w:style>
  <w:style w:type="paragraph" w:customStyle="1" w:styleId="xl83">
    <w:name w:val="xl83"/>
    <w:basedOn w:val="a6"/>
    <w:uiPriority w:val="99"/>
    <w:rsid w:val="0004670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top"/>
    </w:pPr>
    <w:rPr>
      <w:rFonts w:ascii="新細明體" w:eastAsia="新細明體" w:hAnsi="新細明體" w:cs="新細明體"/>
      <w:color w:val="FF0000"/>
      <w:kern w:val="0"/>
      <w:sz w:val="24"/>
      <w:szCs w:val="24"/>
    </w:rPr>
  </w:style>
  <w:style w:type="paragraph" w:customStyle="1" w:styleId="xl84">
    <w:name w:val="xl84"/>
    <w:basedOn w:val="a6"/>
    <w:uiPriority w:val="99"/>
    <w:rsid w:val="0004670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color w:val="FF0000"/>
      <w:kern w:val="0"/>
      <w:sz w:val="24"/>
      <w:szCs w:val="24"/>
    </w:rPr>
  </w:style>
  <w:style w:type="paragraph" w:customStyle="1" w:styleId="xl85">
    <w:name w:val="xl85"/>
    <w:basedOn w:val="a6"/>
    <w:uiPriority w:val="99"/>
    <w:rsid w:val="0004670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86">
    <w:name w:val="xl86"/>
    <w:basedOn w:val="a6"/>
    <w:uiPriority w:val="99"/>
    <w:rsid w:val="0004670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color w:val="0000FF"/>
      <w:kern w:val="0"/>
      <w:sz w:val="24"/>
      <w:szCs w:val="24"/>
    </w:rPr>
  </w:style>
  <w:style w:type="paragraph" w:customStyle="1" w:styleId="xl87">
    <w:name w:val="xl87"/>
    <w:basedOn w:val="a6"/>
    <w:uiPriority w:val="99"/>
    <w:rsid w:val="0004670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color w:val="0000FF"/>
      <w:kern w:val="0"/>
      <w:sz w:val="24"/>
      <w:szCs w:val="24"/>
    </w:rPr>
  </w:style>
  <w:style w:type="paragraph" w:customStyle="1" w:styleId="xl88">
    <w:name w:val="xl88"/>
    <w:basedOn w:val="a6"/>
    <w:uiPriority w:val="99"/>
    <w:rsid w:val="0004670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pPr>
    <w:rPr>
      <w:rFonts w:ascii="新細明體" w:eastAsia="新細明體" w:hAnsi="新細明體" w:cs="新細明體"/>
      <w:kern w:val="0"/>
      <w:sz w:val="24"/>
      <w:szCs w:val="24"/>
    </w:rPr>
  </w:style>
  <w:style w:type="paragraph" w:customStyle="1" w:styleId="xl89">
    <w:name w:val="xl89"/>
    <w:basedOn w:val="a6"/>
    <w:uiPriority w:val="99"/>
    <w:rsid w:val="0004670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pPr>
    <w:rPr>
      <w:rFonts w:ascii="新細明體" w:eastAsia="新細明體" w:hAnsi="新細明體" w:cs="新細明體"/>
      <w:color w:val="0000FF"/>
      <w:kern w:val="0"/>
      <w:sz w:val="24"/>
      <w:szCs w:val="24"/>
    </w:rPr>
  </w:style>
  <w:style w:type="paragraph" w:customStyle="1" w:styleId="xl90">
    <w:name w:val="xl90"/>
    <w:basedOn w:val="a6"/>
    <w:uiPriority w:val="99"/>
    <w:rsid w:val="0004670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91">
    <w:name w:val="xl91"/>
    <w:basedOn w:val="a6"/>
    <w:uiPriority w:val="99"/>
    <w:rsid w:val="0004670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92">
    <w:name w:val="xl92"/>
    <w:basedOn w:val="a6"/>
    <w:uiPriority w:val="99"/>
    <w:rsid w:val="0004670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93">
    <w:name w:val="xl93"/>
    <w:basedOn w:val="a6"/>
    <w:uiPriority w:val="99"/>
    <w:rsid w:val="0004670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b/>
      <w:bCs/>
      <w:kern w:val="0"/>
      <w:sz w:val="24"/>
      <w:szCs w:val="24"/>
    </w:rPr>
  </w:style>
  <w:style w:type="paragraph" w:customStyle="1" w:styleId="xl94">
    <w:name w:val="xl94"/>
    <w:basedOn w:val="a6"/>
    <w:uiPriority w:val="99"/>
    <w:rsid w:val="0004670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b/>
      <w:bCs/>
      <w:kern w:val="0"/>
      <w:sz w:val="24"/>
      <w:szCs w:val="24"/>
    </w:rPr>
  </w:style>
  <w:style w:type="paragraph" w:customStyle="1" w:styleId="xl95">
    <w:name w:val="xl95"/>
    <w:basedOn w:val="a6"/>
    <w:uiPriority w:val="99"/>
    <w:rsid w:val="0004670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b/>
      <w:bCs/>
      <w:color w:val="FF0000"/>
      <w:kern w:val="0"/>
      <w:sz w:val="24"/>
      <w:szCs w:val="24"/>
    </w:rPr>
  </w:style>
  <w:style w:type="paragraph" w:customStyle="1" w:styleId="xl96">
    <w:name w:val="xl96"/>
    <w:basedOn w:val="a6"/>
    <w:uiPriority w:val="99"/>
    <w:rsid w:val="0004670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color w:val="FF0000"/>
      <w:kern w:val="0"/>
      <w:sz w:val="24"/>
      <w:szCs w:val="24"/>
    </w:rPr>
  </w:style>
  <w:style w:type="paragraph" w:customStyle="1" w:styleId="xl97">
    <w:name w:val="xl97"/>
    <w:basedOn w:val="a6"/>
    <w:uiPriority w:val="99"/>
    <w:rsid w:val="0004670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color w:val="FF0000"/>
      <w:kern w:val="0"/>
      <w:sz w:val="24"/>
      <w:szCs w:val="24"/>
    </w:rPr>
  </w:style>
  <w:style w:type="paragraph" w:customStyle="1" w:styleId="xl98">
    <w:name w:val="xl98"/>
    <w:basedOn w:val="a6"/>
    <w:uiPriority w:val="99"/>
    <w:rsid w:val="0004670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b/>
      <w:bCs/>
      <w:kern w:val="0"/>
      <w:sz w:val="24"/>
      <w:szCs w:val="24"/>
    </w:rPr>
  </w:style>
  <w:style w:type="paragraph" w:customStyle="1" w:styleId="xl99">
    <w:name w:val="xl99"/>
    <w:basedOn w:val="a6"/>
    <w:uiPriority w:val="99"/>
    <w:rsid w:val="0004670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210">
    <w:name w:val="標題 2 字元1"/>
    <w:aliases w:val="標題110/111 字元1"/>
    <w:basedOn w:val="a7"/>
    <w:semiHidden/>
    <w:rsid w:val="005714CF"/>
    <w:rPr>
      <w:rFonts w:asciiTheme="majorHAnsi" w:eastAsiaTheme="majorEastAsia" w:hAnsiTheme="majorHAnsi" w:cstheme="majorBidi" w:hint="default"/>
      <w:b/>
      <w:bCs/>
      <w:kern w:val="2"/>
      <w:sz w:val="48"/>
      <w:szCs w:val="48"/>
    </w:rPr>
  </w:style>
  <w:style w:type="character" w:customStyle="1" w:styleId="410">
    <w:name w:val="標題 4 字元1"/>
    <w:aliases w:val="表格 字元1"/>
    <w:basedOn w:val="a7"/>
    <w:semiHidden/>
    <w:rsid w:val="005714CF"/>
    <w:rPr>
      <w:rFonts w:asciiTheme="majorHAnsi" w:eastAsiaTheme="majorEastAsia" w:hAnsiTheme="majorHAnsi" w:cstheme="majorBidi" w:hint="default"/>
      <w:kern w:val="2"/>
      <w:sz w:val="36"/>
      <w:szCs w:val="36"/>
    </w:rPr>
  </w:style>
  <w:style w:type="character" w:customStyle="1" w:styleId="16">
    <w:name w:val="純文字 字元1"/>
    <w:aliases w:val="內文壹 字元1,一般文字 字元 字元2,一般文字 字元 字元 字元1,一般文字 字元1 字元1 字元1,內文壹 字元 字元1 字元1,一般文字 字元 字元1 字元1 字元1,一般文字 字元 字元 字元1 字元1 字元1,一般文字 字元 字元 字元 字元 字元1 字元1,一般文字 字元1 字元 字元 字元1,一般文字 字元 字元 字元 字元 字元 字元 字元 字元 字元 字元 字元 字元 字元 字元 字元 字元 字元 字元 字元 字元 字元 字元 字元 字元 字元 字元 字元1"/>
    <w:basedOn w:val="a7"/>
    <w:semiHidden/>
    <w:rsid w:val="005714CF"/>
    <w:rPr>
      <w:rFonts w:ascii="細明體" w:eastAsia="細明體" w:hAnsi="Courier New" w:cs="Courier New"/>
      <w:kern w:val="2"/>
      <w:sz w:val="24"/>
      <w:szCs w:val="24"/>
    </w:rPr>
  </w:style>
  <w:style w:type="paragraph" w:customStyle="1" w:styleId="afff2">
    <w:name w:val="字元 字元"/>
    <w:basedOn w:val="a6"/>
    <w:rsid w:val="00760ECF"/>
    <w:pPr>
      <w:widowControl/>
      <w:overflowPunct/>
      <w:autoSpaceDE/>
      <w:autoSpaceDN/>
      <w:spacing w:after="160" w:line="240" w:lineRule="exact"/>
      <w:jc w:val="left"/>
    </w:pPr>
    <w:rPr>
      <w:rFonts w:ascii="Verdana" w:eastAsia="新細明體" w:hAnsi="Verdan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278">
      <w:bodyDiv w:val="1"/>
      <w:marLeft w:val="0"/>
      <w:marRight w:val="0"/>
      <w:marTop w:val="0"/>
      <w:marBottom w:val="0"/>
      <w:divBdr>
        <w:top w:val="none" w:sz="0" w:space="0" w:color="auto"/>
        <w:left w:val="none" w:sz="0" w:space="0" w:color="auto"/>
        <w:bottom w:val="none" w:sz="0" w:space="0" w:color="auto"/>
        <w:right w:val="none" w:sz="0" w:space="0" w:color="auto"/>
      </w:divBdr>
    </w:div>
    <w:div w:id="7951092">
      <w:bodyDiv w:val="1"/>
      <w:marLeft w:val="0"/>
      <w:marRight w:val="0"/>
      <w:marTop w:val="0"/>
      <w:marBottom w:val="0"/>
      <w:divBdr>
        <w:top w:val="none" w:sz="0" w:space="0" w:color="auto"/>
        <w:left w:val="none" w:sz="0" w:space="0" w:color="auto"/>
        <w:bottom w:val="none" w:sz="0" w:space="0" w:color="auto"/>
        <w:right w:val="none" w:sz="0" w:space="0" w:color="auto"/>
      </w:divBdr>
    </w:div>
    <w:div w:id="11154820">
      <w:bodyDiv w:val="1"/>
      <w:marLeft w:val="0"/>
      <w:marRight w:val="0"/>
      <w:marTop w:val="0"/>
      <w:marBottom w:val="0"/>
      <w:divBdr>
        <w:top w:val="none" w:sz="0" w:space="0" w:color="auto"/>
        <w:left w:val="none" w:sz="0" w:space="0" w:color="auto"/>
        <w:bottom w:val="none" w:sz="0" w:space="0" w:color="auto"/>
        <w:right w:val="none" w:sz="0" w:space="0" w:color="auto"/>
      </w:divBdr>
    </w:div>
    <w:div w:id="18896239">
      <w:bodyDiv w:val="1"/>
      <w:marLeft w:val="0"/>
      <w:marRight w:val="0"/>
      <w:marTop w:val="0"/>
      <w:marBottom w:val="0"/>
      <w:divBdr>
        <w:top w:val="none" w:sz="0" w:space="0" w:color="auto"/>
        <w:left w:val="none" w:sz="0" w:space="0" w:color="auto"/>
        <w:bottom w:val="none" w:sz="0" w:space="0" w:color="auto"/>
        <w:right w:val="none" w:sz="0" w:space="0" w:color="auto"/>
      </w:divBdr>
    </w:div>
    <w:div w:id="23597829">
      <w:bodyDiv w:val="1"/>
      <w:marLeft w:val="0"/>
      <w:marRight w:val="0"/>
      <w:marTop w:val="0"/>
      <w:marBottom w:val="0"/>
      <w:divBdr>
        <w:top w:val="none" w:sz="0" w:space="0" w:color="auto"/>
        <w:left w:val="none" w:sz="0" w:space="0" w:color="auto"/>
        <w:bottom w:val="none" w:sz="0" w:space="0" w:color="auto"/>
        <w:right w:val="none" w:sz="0" w:space="0" w:color="auto"/>
      </w:divBdr>
    </w:div>
    <w:div w:id="24867757">
      <w:bodyDiv w:val="1"/>
      <w:marLeft w:val="0"/>
      <w:marRight w:val="0"/>
      <w:marTop w:val="0"/>
      <w:marBottom w:val="0"/>
      <w:divBdr>
        <w:top w:val="none" w:sz="0" w:space="0" w:color="auto"/>
        <w:left w:val="none" w:sz="0" w:space="0" w:color="auto"/>
        <w:bottom w:val="none" w:sz="0" w:space="0" w:color="auto"/>
        <w:right w:val="none" w:sz="0" w:space="0" w:color="auto"/>
      </w:divBdr>
    </w:div>
    <w:div w:id="25563068">
      <w:bodyDiv w:val="1"/>
      <w:marLeft w:val="0"/>
      <w:marRight w:val="0"/>
      <w:marTop w:val="0"/>
      <w:marBottom w:val="0"/>
      <w:divBdr>
        <w:top w:val="none" w:sz="0" w:space="0" w:color="auto"/>
        <w:left w:val="none" w:sz="0" w:space="0" w:color="auto"/>
        <w:bottom w:val="none" w:sz="0" w:space="0" w:color="auto"/>
        <w:right w:val="none" w:sz="0" w:space="0" w:color="auto"/>
      </w:divBdr>
    </w:div>
    <w:div w:id="26681354">
      <w:bodyDiv w:val="1"/>
      <w:marLeft w:val="0"/>
      <w:marRight w:val="0"/>
      <w:marTop w:val="0"/>
      <w:marBottom w:val="0"/>
      <w:divBdr>
        <w:top w:val="none" w:sz="0" w:space="0" w:color="auto"/>
        <w:left w:val="none" w:sz="0" w:space="0" w:color="auto"/>
        <w:bottom w:val="none" w:sz="0" w:space="0" w:color="auto"/>
        <w:right w:val="none" w:sz="0" w:space="0" w:color="auto"/>
      </w:divBdr>
    </w:div>
    <w:div w:id="27729984">
      <w:bodyDiv w:val="1"/>
      <w:marLeft w:val="0"/>
      <w:marRight w:val="0"/>
      <w:marTop w:val="0"/>
      <w:marBottom w:val="0"/>
      <w:divBdr>
        <w:top w:val="none" w:sz="0" w:space="0" w:color="auto"/>
        <w:left w:val="none" w:sz="0" w:space="0" w:color="auto"/>
        <w:bottom w:val="none" w:sz="0" w:space="0" w:color="auto"/>
        <w:right w:val="none" w:sz="0" w:space="0" w:color="auto"/>
      </w:divBdr>
    </w:div>
    <w:div w:id="33120570">
      <w:bodyDiv w:val="1"/>
      <w:marLeft w:val="0"/>
      <w:marRight w:val="0"/>
      <w:marTop w:val="0"/>
      <w:marBottom w:val="0"/>
      <w:divBdr>
        <w:top w:val="none" w:sz="0" w:space="0" w:color="auto"/>
        <w:left w:val="none" w:sz="0" w:space="0" w:color="auto"/>
        <w:bottom w:val="none" w:sz="0" w:space="0" w:color="auto"/>
        <w:right w:val="none" w:sz="0" w:space="0" w:color="auto"/>
      </w:divBdr>
    </w:div>
    <w:div w:id="36661240">
      <w:bodyDiv w:val="1"/>
      <w:marLeft w:val="0"/>
      <w:marRight w:val="0"/>
      <w:marTop w:val="0"/>
      <w:marBottom w:val="0"/>
      <w:divBdr>
        <w:top w:val="none" w:sz="0" w:space="0" w:color="auto"/>
        <w:left w:val="none" w:sz="0" w:space="0" w:color="auto"/>
        <w:bottom w:val="none" w:sz="0" w:space="0" w:color="auto"/>
        <w:right w:val="none" w:sz="0" w:space="0" w:color="auto"/>
      </w:divBdr>
    </w:div>
    <w:div w:id="44645557">
      <w:bodyDiv w:val="1"/>
      <w:marLeft w:val="0"/>
      <w:marRight w:val="0"/>
      <w:marTop w:val="0"/>
      <w:marBottom w:val="0"/>
      <w:divBdr>
        <w:top w:val="none" w:sz="0" w:space="0" w:color="auto"/>
        <w:left w:val="none" w:sz="0" w:space="0" w:color="auto"/>
        <w:bottom w:val="none" w:sz="0" w:space="0" w:color="auto"/>
        <w:right w:val="none" w:sz="0" w:space="0" w:color="auto"/>
      </w:divBdr>
    </w:div>
    <w:div w:id="45105563">
      <w:bodyDiv w:val="1"/>
      <w:marLeft w:val="0"/>
      <w:marRight w:val="0"/>
      <w:marTop w:val="0"/>
      <w:marBottom w:val="0"/>
      <w:divBdr>
        <w:top w:val="none" w:sz="0" w:space="0" w:color="auto"/>
        <w:left w:val="none" w:sz="0" w:space="0" w:color="auto"/>
        <w:bottom w:val="none" w:sz="0" w:space="0" w:color="auto"/>
        <w:right w:val="none" w:sz="0" w:space="0" w:color="auto"/>
      </w:divBdr>
    </w:div>
    <w:div w:id="51469993">
      <w:bodyDiv w:val="1"/>
      <w:marLeft w:val="0"/>
      <w:marRight w:val="0"/>
      <w:marTop w:val="0"/>
      <w:marBottom w:val="0"/>
      <w:divBdr>
        <w:top w:val="none" w:sz="0" w:space="0" w:color="auto"/>
        <w:left w:val="none" w:sz="0" w:space="0" w:color="auto"/>
        <w:bottom w:val="none" w:sz="0" w:space="0" w:color="auto"/>
        <w:right w:val="none" w:sz="0" w:space="0" w:color="auto"/>
      </w:divBdr>
    </w:div>
    <w:div w:id="52847995">
      <w:bodyDiv w:val="1"/>
      <w:marLeft w:val="0"/>
      <w:marRight w:val="0"/>
      <w:marTop w:val="0"/>
      <w:marBottom w:val="0"/>
      <w:divBdr>
        <w:top w:val="none" w:sz="0" w:space="0" w:color="auto"/>
        <w:left w:val="none" w:sz="0" w:space="0" w:color="auto"/>
        <w:bottom w:val="none" w:sz="0" w:space="0" w:color="auto"/>
        <w:right w:val="none" w:sz="0" w:space="0" w:color="auto"/>
      </w:divBdr>
    </w:div>
    <w:div w:id="54745343">
      <w:bodyDiv w:val="1"/>
      <w:marLeft w:val="0"/>
      <w:marRight w:val="0"/>
      <w:marTop w:val="0"/>
      <w:marBottom w:val="0"/>
      <w:divBdr>
        <w:top w:val="none" w:sz="0" w:space="0" w:color="auto"/>
        <w:left w:val="none" w:sz="0" w:space="0" w:color="auto"/>
        <w:bottom w:val="none" w:sz="0" w:space="0" w:color="auto"/>
        <w:right w:val="none" w:sz="0" w:space="0" w:color="auto"/>
      </w:divBdr>
    </w:div>
    <w:div w:id="56058501">
      <w:bodyDiv w:val="1"/>
      <w:marLeft w:val="0"/>
      <w:marRight w:val="0"/>
      <w:marTop w:val="0"/>
      <w:marBottom w:val="0"/>
      <w:divBdr>
        <w:top w:val="none" w:sz="0" w:space="0" w:color="auto"/>
        <w:left w:val="none" w:sz="0" w:space="0" w:color="auto"/>
        <w:bottom w:val="none" w:sz="0" w:space="0" w:color="auto"/>
        <w:right w:val="none" w:sz="0" w:space="0" w:color="auto"/>
      </w:divBdr>
    </w:div>
    <w:div w:id="56436237">
      <w:bodyDiv w:val="1"/>
      <w:marLeft w:val="0"/>
      <w:marRight w:val="0"/>
      <w:marTop w:val="0"/>
      <w:marBottom w:val="0"/>
      <w:divBdr>
        <w:top w:val="none" w:sz="0" w:space="0" w:color="auto"/>
        <w:left w:val="none" w:sz="0" w:space="0" w:color="auto"/>
        <w:bottom w:val="none" w:sz="0" w:space="0" w:color="auto"/>
        <w:right w:val="none" w:sz="0" w:space="0" w:color="auto"/>
      </w:divBdr>
    </w:div>
    <w:div w:id="67381953">
      <w:bodyDiv w:val="1"/>
      <w:marLeft w:val="0"/>
      <w:marRight w:val="0"/>
      <w:marTop w:val="0"/>
      <w:marBottom w:val="0"/>
      <w:divBdr>
        <w:top w:val="none" w:sz="0" w:space="0" w:color="auto"/>
        <w:left w:val="none" w:sz="0" w:space="0" w:color="auto"/>
        <w:bottom w:val="none" w:sz="0" w:space="0" w:color="auto"/>
        <w:right w:val="none" w:sz="0" w:space="0" w:color="auto"/>
      </w:divBdr>
    </w:div>
    <w:div w:id="71897864">
      <w:bodyDiv w:val="1"/>
      <w:marLeft w:val="0"/>
      <w:marRight w:val="0"/>
      <w:marTop w:val="0"/>
      <w:marBottom w:val="0"/>
      <w:divBdr>
        <w:top w:val="none" w:sz="0" w:space="0" w:color="auto"/>
        <w:left w:val="none" w:sz="0" w:space="0" w:color="auto"/>
        <w:bottom w:val="none" w:sz="0" w:space="0" w:color="auto"/>
        <w:right w:val="none" w:sz="0" w:space="0" w:color="auto"/>
      </w:divBdr>
    </w:div>
    <w:div w:id="81805115">
      <w:bodyDiv w:val="1"/>
      <w:marLeft w:val="0"/>
      <w:marRight w:val="0"/>
      <w:marTop w:val="0"/>
      <w:marBottom w:val="0"/>
      <w:divBdr>
        <w:top w:val="none" w:sz="0" w:space="0" w:color="auto"/>
        <w:left w:val="none" w:sz="0" w:space="0" w:color="auto"/>
        <w:bottom w:val="none" w:sz="0" w:space="0" w:color="auto"/>
        <w:right w:val="none" w:sz="0" w:space="0" w:color="auto"/>
      </w:divBdr>
    </w:div>
    <w:div w:id="85656291">
      <w:bodyDiv w:val="1"/>
      <w:marLeft w:val="0"/>
      <w:marRight w:val="0"/>
      <w:marTop w:val="0"/>
      <w:marBottom w:val="0"/>
      <w:divBdr>
        <w:top w:val="none" w:sz="0" w:space="0" w:color="auto"/>
        <w:left w:val="none" w:sz="0" w:space="0" w:color="auto"/>
        <w:bottom w:val="none" w:sz="0" w:space="0" w:color="auto"/>
        <w:right w:val="none" w:sz="0" w:space="0" w:color="auto"/>
      </w:divBdr>
    </w:div>
    <w:div w:id="86734607">
      <w:bodyDiv w:val="1"/>
      <w:marLeft w:val="0"/>
      <w:marRight w:val="0"/>
      <w:marTop w:val="0"/>
      <w:marBottom w:val="0"/>
      <w:divBdr>
        <w:top w:val="none" w:sz="0" w:space="0" w:color="auto"/>
        <w:left w:val="none" w:sz="0" w:space="0" w:color="auto"/>
        <w:bottom w:val="none" w:sz="0" w:space="0" w:color="auto"/>
        <w:right w:val="none" w:sz="0" w:space="0" w:color="auto"/>
      </w:divBdr>
    </w:div>
    <w:div w:id="87123601">
      <w:bodyDiv w:val="1"/>
      <w:marLeft w:val="0"/>
      <w:marRight w:val="0"/>
      <w:marTop w:val="0"/>
      <w:marBottom w:val="0"/>
      <w:divBdr>
        <w:top w:val="none" w:sz="0" w:space="0" w:color="auto"/>
        <w:left w:val="none" w:sz="0" w:space="0" w:color="auto"/>
        <w:bottom w:val="none" w:sz="0" w:space="0" w:color="auto"/>
        <w:right w:val="none" w:sz="0" w:space="0" w:color="auto"/>
      </w:divBdr>
    </w:div>
    <w:div w:id="87971601">
      <w:bodyDiv w:val="1"/>
      <w:marLeft w:val="0"/>
      <w:marRight w:val="0"/>
      <w:marTop w:val="0"/>
      <w:marBottom w:val="0"/>
      <w:divBdr>
        <w:top w:val="none" w:sz="0" w:space="0" w:color="auto"/>
        <w:left w:val="none" w:sz="0" w:space="0" w:color="auto"/>
        <w:bottom w:val="none" w:sz="0" w:space="0" w:color="auto"/>
        <w:right w:val="none" w:sz="0" w:space="0" w:color="auto"/>
      </w:divBdr>
    </w:div>
    <w:div w:id="89472134">
      <w:bodyDiv w:val="1"/>
      <w:marLeft w:val="0"/>
      <w:marRight w:val="0"/>
      <w:marTop w:val="0"/>
      <w:marBottom w:val="0"/>
      <w:divBdr>
        <w:top w:val="none" w:sz="0" w:space="0" w:color="auto"/>
        <w:left w:val="none" w:sz="0" w:space="0" w:color="auto"/>
        <w:bottom w:val="none" w:sz="0" w:space="0" w:color="auto"/>
        <w:right w:val="none" w:sz="0" w:space="0" w:color="auto"/>
      </w:divBdr>
    </w:div>
    <w:div w:id="95945401">
      <w:bodyDiv w:val="1"/>
      <w:marLeft w:val="0"/>
      <w:marRight w:val="0"/>
      <w:marTop w:val="0"/>
      <w:marBottom w:val="0"/>
      <w:divBdr>
        <w:top w:val="none" w:sz="0" w:space="0" w:color="auto"/>
        <w:left w:val="none" w:sz="0" w:space="0" w:color="auto"/>
        <w:bottom w:val="none" w:sz="0" w:space="0" w:color="auto"/>
        <w:right w:val="none" w:sz="0" w:space="0" w:color="auto"/>
      </w:divBdr>
    </w:div>
    <w:div w:id="97677606">
      <w:bodyDiv w:val="1"/>
      <w:marLeft w:val="0"/>
      <w:marRight w:val="0"/>
      <w:marTop w:val="0"/>
      <w:marBottom w:val="0"/>
      <w:divBdr>
        <w:top w:val="none" w:sz="0" w:space="0" w:color="auto"/>
        <w:left w:val="none" w:sz="0" w:space="0" w:color="auto"/>
        <w:bottom w:val="none" w:sz="0" w:space="0" w:color="auto"/>
        <w:right w:val="none" w:sz="0" w:space="0" w:color="auto"/>
      </w:divBdr>
    </w:div>
    <w:div w:id="99838397">
      <w:bodyDiv w:val="1"/>
      <w:marLeft w:val="0"/>
      <w:marRight w:val="0"/>
      <w:marTop w:val="0"/>
      <w:marBottom w:val="0"/>
      <w:divBdr>
        <w:top w:val="none" w:sz="0" w:space="0" w:color="auto"/>
        <w:left w:val="none" w:sz="0" w:space="0" w:color="auto"/>
        <w:bottom w:val="none" w:sz="0" w:space="0" w:color="auto"/>
        <w:right w:val="none" w:sz="0" w:space="0" w:color="auto"/>
      </w:divBdr>
    </w:div>
    <w:div w:id="105463815">
      <w:bodyDiv w:val="1"/>
      <w:marLeft w:val="0"/>
      <w:marRight w:val="0"/>
      <w:marTop w:val="0"/>
      <w:marBottom w:val="0"/>
      <w:divBdr>
        <w:top w:val="none" w:sz="0" w:space="0" w:color="auto"/>
        <w:left w:val="none" w:sz="0" w:space="0" w:color="auto"/>
        <w:bottom w:val="none" w:sz="0" w:space="0" w:color="auto"/>
        <w:right w:val="none" w:sz="0" w:space="0" w:color="auto"/>
      </w:divBdr>
    </w:div>
    <w:div w:id="105976991">
      <w:bodyDiv w:val="1"/>
      <w:marLeft w:val="0"/>
      <w:marRight w:val="0"/>
      <w:marTop w:val="0"/>
      <w:marBottom w:val="0"/>
      <w:divBdr>
        <w:top w:val="none" w:sz="0" w:space="0" w:color="auto"/>
        <w:left w:val="none" w:sz="0" w:space="0" w:color="auto"/>
        <w:bottom w:val="none" w:sz="0" w:space="0" w:color="auto"/>
        <w:right w:val="none" w:sz="0" w:space="0" w:color="auto"/>
      </w:divBdr>
    </w:div>
    <w:div w:id="108401448">
      <w:bodyDiv w:val="1"/>
      <w:marLeft w:val="0"/>
      <w:marRight w:val="0"/>
      <w:marTop w:val="0"/>
      <w:marBottom w:val="0"/>
      <w:divBdr>
        <w:top w:val="none" w:sz="0" w:space="0" w:color="auto"/>
        <w:left w:val="none" w:sz="0" w:space="0" w:color="auto"/>
        <w:bottom w:val="none" w:sz="0" w:space="0" w:color="auto"/>
        <w:right w:val="none" w:sz="0" w:space="0" w:color="auto"/>
      </w:divBdr>
    </w:div>
    <w:div w:id="112135485">
      <w:bodyDiv w:val="1"/>
      <w:marLeft w:val="0"/>
      <w:marRight w:val="0"/>
      <w:marTop w:val="0"/>
      <w:marBottom w:val="0"/>
      <w:divBdr>
        <w:top w:val="none" w:sz="0" w:space="0" w:color="auto"/>
        <w:left w:val="none" w:sz="0" w:space="0" w:color="auto"/>
        <w:bottom w:val="none" w:sz="0" w:space="0" w:color="auto"/>
        <w:right w:val="none" w:sz="0" w:space="0" w:color="auto"/>
      </w:divBdr>
      <w:divsChild>
        <w:div w:id="84616041">
          <w:marLeft w:val="0"/>
          <w:marRight w:val="0"/>
          <w:marTop w:val="0"/>
          <w:marBottom w:val="0"/>
          <w:divBdr>
            <w:top w:val="none" w:sz="0" w:space="0" w:color="auto"/>
            <w:left w:val="none" w:sz="0" w:space="0" w:color="auto"/>
            <w:bottom w:val="none" w:sz="0" w:space="0" w:color="auto"/>
            <w:right w:val="none" w:sz="0" w:space="0" w:color="auto"/>
          </w:divBdr>
          <w:divsChild>
            <w:div w:id="1951274249">
              <w:marLeft w:val="0"/>
              <w:marRight w:val="0"/>
              <w:marTop w:val="0"/>
              <w:marBottom w:val="0"/>
              <w:divBdr>
                <w:top w:val="none" w:sz="0" w:space="0" w:color="auto"/>
                <w:left w:val="none" w:sz="0" w:space="0" w:color="auto"/>
                <w:bottom w:val="none" w:sz="0" w:space="0" w:color="auto"/>
                <w:right w:val="none" w:sz="0" w:space="0" w:color="auto"/>
              </w:divBdr>
              <w:divsChild>
                <w:div w:id="102559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76319">
      <w:bodyDiv w:val="1"/>
      <w:marLeft w:val="0"/>
      <w:marRight w:val="0"/>
      <w:marTop w:val="0"/>
      <w:marBottom w:val="0"/>
      <w:divBdr>
        <w:top w:val="none" w:sz="0" w:space="0" w:color="auto"/>
        <w:left w:val="none" w:sz="0" w:space="0" w:color="auto"/>
        <w:bottom w:val="none" w:sz="0" w:space="0" w:color="auto"/>
        <w:right w:val="none" w:sz="0" w:space="0" w:color="auto"/>
      </w:divBdr>
    </w:div>
    <w:div w:id="121700475">
      <w:bodyDiv w:val="1"/>
      <w:marLeft w:val="0"/>
      <w:marRight w:val="0"/>
      <w:marTop w:val="0"/>
      <w:marBottom w:val="0"/>
      <w:divBdr>
        <w:top w:val="none" w:sz="0" w:space="0" w:color="auto"/>
        <w:left w:val="none" w:sz="0" w:space="0" w:color="auto"/>
        <w:bottom w:val="none" w:sz="0" w:space="0" w:color="auto"/>
        <w:right w:val="none" w:sz="0" w:space="0" w:color="auto"/>
      </w:divBdr>
    </w:div>
    <w:div w:id="134102316">
      <w:bodyDiv w:val="1"/>
      <w:marLeft w:val="0"/>
      <w:marRight w:val="0"/>
      <w:marTop w:val="0"/>
      <w:marBottom w:val="0"/>
      <w:divBdr>
        <w:top w:val="none" w:sz="0" w:space="0" w:color="auto"/>
        <w:left w:val="none" w:sz="0" w:space="0" w:color="auto"/>
        <w:bottom w:val="none" w:sz="0" w:space="0" w:color="auto"/>
        <w:right w:val="none" w:sz="0" w:space="0" w:color="auto"/>
      </w:divBdr>
    </w:div>
    <w:div w:id="134495604">
      <w:bodyDiv w:val="1"/>
      <w:marLeft w:val="0"/>
      <w:marRight w:val="0"/>
      <w:marTop w:val="0"/>
      <w:marBottom w:val="0"/>
      <w:divBdr>
        <w:top w:val="none" w:sz="0" w:space="0" w:color="auto"/>
        <w:left w:val="none" w:sz="0" w:space="0" w:color="auto"/>
        <w:bottom w:val="none" w:sz="0" w:space="0" w:color="auto"/>
        <w:right w:val="none" w:sz="0" w:space="0" w:color="auto"/>
      </w:divBdr>
    </w:div>
    <w:div w:id="140198076">
      <w:bodyDiv w:val="1"/>
      <w:marLeft w:val="0"/>
      <w:marRight w:val="0"/>
      <w:marTop w:val="0"/>
      <w:marBottom w:val="0"/>
      <w:divBdr>
        <w:top w:val="none" w:sz="0" w:space="0" w:color="auto"/>
        <w:left w:val="none" w:sz="0" w:space="0" w:color="auto"/>
        <w:bottom w:val="none" w:sz="0" w:space="0" w:color="auto"/>
        <w:right w:val="none" w:sz="0" w:space="0" w:color="auto"/>
      </w:divBdr>
    </w:div>
    <w:div w:id="145586556">
      <w:bodyDiv w:val="1"/>
      <w:marLeft w:val="0"/>
      <w:marRight w:val="0"/>
      <w:marTop w:val="0"/>
      <w:marBottom w:val="0"/>
      <w:divBdr>
        <w:top w:val="none" w:sz="0" w:space="0" w:color="auto"/>
        <w:left w:val="none" w:sz="0" w:space="0" w:color="auto"/>
        <w:bottom w:val="none" w:sz="0" w:space="0" w:color="auto"/>
        <w:right w:val="none" w:sz="0" w:space="0" w:color="auto"/>
      </w:divBdr>
    </w:div>
    <w:div w:id="154689921">
      <w:bodyDiv w:val="1"/>
      <w:marLeft w:val="0"/>
      <w:marRight w:val="0"/>
      <w:marTop w:val="0"/>
      <w:marBottom w:val="0"/>
      <w:divBdr>
        <w:top w:val="none" w:sz="0" w:space="0" w:color="auto"/>
        <w:left w:val="none" w:sz="0" w:space="0" w:color="auto"/>
        <w:bottom w:val="none" w:sz="0" w:space="0" w:color="auto"/>
        <w:right w:val="none" w:sz="0" w:space="0" w:color="auto"/>
      </w:divBdr>
    </w:div>
    <w:div w:id="156500693">
      <w:bodyDiv w:val="1"/>
      <w:marLeft w:val="0"/>
      <w:marRight w:val="0"/>
      <w:marTop w:val="0"/>
      <w:marBottom w:val="0"/>
      <w:divBdr>
        <w:top w:val="none" w:sz="0" w:space="0" w:color="auto"/>
        <w:left w:val="none" w:sz="0" w:space="0" w:color="auto"/>
        <w:bottom w:val="none" w:sz="0" w:space="0" w:color="auto"/>
        <w:right w:val="none" w:sz="0" w:space="0" w:color="auto"/>
      </w:divBdr>
    </w:div>
    <w:div w:id="161160555">
      <w:bodyDiv w:val="1"/>
      <w:marLeft w:val="0"/>
      <w:marRight w:val="0"/>
      <w:marTop w:val="0"/>
      <w:marBottom w:val="0"/>
      <w:divBdr>
        <w:top w:val="none" w:sz="0" w:space="0" w:color="auto"/>
        <w:left w:val="none" w:sz="0" w:space="0" w:color="auto"/>
        <w:bottom w:val="none" w:sz="0" w:space="0" w:color="auto"/>
        <w:right w:val="none" w:sz="0" w:space="0" w:color="auto"/>
      </w:divBdr>
    </w:div>
    <w:div w:id="162820304">
      <w:bodyDiv w:val="1"/>
      <w:marLeft w:val="0"/>
      <w:marRight w:val="0"/>
      <w:marTop w:val="0"/>
      <w:marBottom w:val="0"/>
      <w:divBdr>
        <w:top w:val="none" w:sz="0" w:space="0" w:color="auto"/>
        <w:left w:val="none" w:sz="0" w:space="0" w:color="auto"/>
        <w:bottom w:val="none" w:sz="0" w:space="0" w:color="auto"/>
        <w:right w:val="none" w:sz="0" w:space="0" w:color="auto"/>
      </w:divBdr>
    </w:div>
    <w:div w:id="166215160">
      <w:bodyDiv w:val="1"/>
      <w:marLeft w:val="0"/>
      <w:marRight w:val="0"/>
      <w:marTop w:val="0"/>
      <w:marBottom w:val="0"/>
      <w:divBdr>
        <w:top w:val="none" w:sz="0" w:space="0" w:color="auto"/>
        <w:left w:val="none" w:sz="0" w:space="0" w:color="auto"/>
        <w:bottom w:val="none" w:sz="0" w:space="0" w:color="auto"/>
        <w:right w:val="none" w:sz="0" w:space="0" w:color="auto"/>
      </w:divBdr>
    </w:div>
    <w:div w:id="174617422">
      <w:bodyDiv w:val="1"/>
      <w:marLeft w:val="0"/>
      <w:marRight w:val="0"/>
      <w:marTop w:val="0"/>
      <w:marBottom w:val="0"/>
      <w:divBdr>
        <w:top w:val="none" w:sz="0" w:space="0" w:color="auto"/>
        <w:left w:val="none" w:sz="0" w:space="0" w:color="auto"/>
        <w:bottom w:val="none" w:sz="0" w:space="0" w:color="auto"/>
        <w:right w:val="none" w:sz="0" w:space="0" w:color="auto"/>
      </w:divBdr>
    </w:div>
    <w:div w:id="176625922">
      <w:bodyDiv w:val="1"/>
      <w:marLeft w:val="0"/>
      <w:marRight w:val="0"/>
      <w:marTop w:val="0"/>
      <w:marBottom w:val="0"/>
      <w:divBdr>
        <w:top w:val="none" w:sz="0" w:space="0" w:color="auto"/>
        <w:left w:val="none" w:sz="0" w:space="0" w:color="auto"/>
        <w:bottom w:val="none" w:sz="0" w:space="0" w:color="auto"/>
        <w:right w:val="none" w:sz="0" w:space="0" w:color="auto"/>
      </w:divBdr>
    </w:div>
    <w:div w:id="178467007">
      <w:bodyDiv w:val="1"/>
      <w:marLeft w:val="0"/>
      <w:marRight w:val="0"/>
      <w:marTop w:val="0"/>
      <w:marBottom w:val="0"/>
      <w:divBdr>
        <w:top w:val="none" w:sz="0" w:space="0" w:color="auto"/>
        <w:left w:val="none" w:sz="0" w:space="0" w:color="auto"/>
        <w:bottom w:val="none" w:sz="0" w:space="0" w:color="auto"/>
        <w:right w:val="none" w:sz="0" w:space="0" w:color="auto"/>
      </w:divBdr>
    </w:div>
    <w:div w:id="190459257">
      <w:bodyDiv w:val="1"/>
      <w:marLeft w:val="0"/>
      <w:marRight w:val="0"/>
      <w:marTop w:val="0"/>
      <w:marBottom w:val="0"/>
      <w:divBdr>
        <w:top w:val="none" w:sz="0" w:space="0" w:color="auto"/>
        <w:left w:val="none" w:sz="0" w:space="0" w:color="auto"/>
        <w:bottom w:val="none" w:sz="0" w:space="0" w:color="auto"/>
        <w:right w:val="none" w:sz="0" w:space="0" w:color="auto"/>
      </w:divBdr>
    </w:div>
    <w:div w:id="190608272">
      <w:bodyDiv w:val="1"/>
      <w:marLeft w:val="0"/>
      <w:marRight w:val="0"/>
      <w:marTop w:val="0"/>
      <w:marBottom w:val="0"/>
      <w:divBdr>
        <w:top w:val="none" w:sz="0" w:space="0" w:color="auto"/>
        <w:left w:val="none" w:sz="0" w:space="0" w:color="auto"/>
        <w:bottom w:val="none" w:sz="0" w:space="0" w:color="auto"/>
        <w:right w:val="none" w:sz="0" w:space="0" w:color="auto"/>
      </w:divBdr>
    </w:div>
    <w:div w:id="192574107">
      <w:bodyDiv w:val="1"/>
      <w:marLeft w:val="0"/>
      <w:marRight w:val="0"/>
      <w:marTop w:val="0"/>
      <w:marBottom w:val="0"/>
      <w:divBdr>
        <w:top w:val="none" w:sz="0" w:space="0" w:color="auto"/>
        <w:left w:val="none" w:sz="0" w:space="0" w:color="auto"/>
        <w:bottom w:val="none" w:sz="0" w:space="0" w:color="auto"/>
        <w:right w:val="none" w:sz="0" w:space="0" w:color="auto"/>
      </w:divBdr>
    </w:div>
    <w:div w:id="195000925">
      <w:bodyDiv w:val="1"/>
      <w:marLeft w:val="0"/>
      <w:marRight w:val="0"/>
      <w:marTop w:val="0"/>
      <w:marBottom w:val="0"/>
      <w:divBdr>
        <w:top w:val="none" w:sz="0" w:space="0" w:color="auto"/>
        <w:left w:val="none" w:sz="0" w:space="0" w:color="auto"/>
        <w:bottom w:val="none" w:sz="0" w:space="0" w:color="auto"/>
        <w:right w:val="none" w:sz="0" w:space="0" w:color="auto"/>
      </w:divBdr>
    </w:div>
    <w:div w:id="203174641">
      <w:bodyDiv w:val="1"/>
      <w:marLeft w:val="0"/>
      <w:marRight w:val="0"/>
      <w:marTop w:val="0"/>
      <w:marBottom w:val="0"/>
      <w:divBdr>
        <w:top w:val="none" w:sz="0" w:space="0" w:color="auto"/>
        <w:left w:val="none" w:sz="0" w:space="0" w:color="auto"/>
        <w:bottom w:val="none" w:sz="0" w:space="0" w:color="auto"/>
        <w:right w:val="none" w:sz="0" w:space="0" w:color="auto"/>
      </w:divBdr>
    </w:div>
    <w:div w:id="211699418">
      <w:bodyDiv w:val="1"/>
      <w:marLeft w:val="0"/>
      <w:marRight w:val="0"/>
      <w:marTop w:val="0"/>
      <w:marBottom w:val="0"/>
      <w:divBdr>
        <w:top w:val="none" w:sz="0" w:space="0" w:color="auto"/>
        <w:left w:val="none" w:sz="0" w:space="0" w:color="auto"/>
        <w:bottom w:val="none" w:sz="0" w:space="0" w:color="auto"/>
        <w:right w:val="none" w:sz="0" w:space="0" w:color="auto"/>
      </w:divBdr>
    </w:div>
    <w:div w:id="222301442">
      <w:bodyDiv w:val="1"/>
      <w:marLeft w:val="0"/>
      <w:marRight w:val="0"/>
      <w:marTop w:val="0"/>
      <w:marBottom w:val="0"/>
      <w:divBdr>
        <w:top w:val="none" w:sz="0" w:space="0" w:color="auto"/>
        <w:left w:val="none" w:sz="0" w:space="0" w:color="auto"/>
        <w:bottom w:val="none" w:sz="0" w:space="0" w:color="auto"/>
        <w:right w:val="none" w:sz="0" w:space="0" w:color="auto"/>
      </w:divBdr>
    </w:div>
    <w:div w:id="228463616">
      <w:bodyDiv w:val="1"/>
      <w:marLeft w:val="0"/>
      <w:marRight w:val="0"/>
      <w:marTop w:val="0"/>
      <w:marBottom w:val="0"/>
      <w:divBdr>
        <w:top w:val="none" w:sz="0" w:space="0" w:color="auto"/>
        <w:left w:val="none" w:sz="0" w:space="0" w:color="auto"/>
        <w:bottom w:val="none" w:sz="0" w:space="0" w:color="auto"/>
        <w:right w:val="none" w:sz="0" w:space="0" w:color="auto"/>
      </w:divBdr>
    </w:div>
    <w:div w:id="233317265">
      <w:bodyDiv w:val="1"/>
      <w:marLeft w:val="0"/>
      <w:marRight w:val="0"/>
      <w:marTop w:val="0"/>
      <w:marBottom w:val="0"/>
      <w:divBdr>
        <w:top w:val="none" w:sz="0" w:space="0" w:color="auto"/>
        <w:left w:val="none" w:sz="0" w:space="0" w:color="auto"/>
        <w:bottom w:val="none" w:sz="0" w:space="0" w:color="auto"/>
        <w:right w:val="none" w:sz="0" w:space="0" w:color="auto"/>
      </w:divBdr>
    </w:div>
    <w:div w:id="238485574">
      <w:bodyDiv w:val="1"/>
      <w:marLeft w:val="0"/>
      <w:marRight w:val="0"/>
      <w:marTop w:val="0"/>
      <w:marBottom w:val="0"/>
      <w:divBdr>
        <w:top w:val="none" w:sz="0" w:space="0" w:color="auto"/>
        <w:left w:val="none" w:sz="0" w:space="0" w:color="auto"/>
        <w:bottom w:val="none" w:sz="0" w:space="0" w:color="auto"/>
        <w:right w:val="none" w:sz="0" w:space="0" w:color="auto"/>
      </w:divBdr>
    </w:div>
    <w:div w:id="246237168">
      <w:bodyDiv w:val="1"/>
      <w:marLeft w:val="0"/>
      <w:marRight w:val="0"/>
      <w:marTop w:val="0"/>
      <w:marBottom w:val="0"/>
      <w:divBdr>
        <w:top w:val="none" w:sz="0" w:space="0" w:color="auto"/>
        <w:left w:val="none" w:sz="0" w:space="0" w:color="auto"/>
        <w:bottom w:val="none" w:sz="0" w:space="0" w:color="auto"/>
        <w:right w:val="none" w:sz="0" w:space="0" w:color="auto"/>
      </w:divBdr>
    </w:div>
    <w:div w:id="253823709">
      <w:bodyDiv w:val="1"/>
      <w:marLeft w:val="0"/>
      <w:marRight w:val="0"/>
      <w:marTop w:val="0"/>
      <w:marBottom w:val="0"/>
      <w:divBdr>
        <w:top w:val="none" w:sz="0" w:space="0" w:color="auto"/>
        <w:left w:val="none" w:sz="0" w:space="0" w:color="auto"/>
        <w:bottom w:val="none" w:sz="0" w:space="0" w:color="auto"/>
        <w:right w:val="none" w:sz="0" w:space="0" w:color="auto"/>
      </w:divBdr>
    </w:div>
    <w:div w:id="254168126">
      <w:bodyDiv w:val="1"/>
      <w:marLeft w:val="0"/>
      <w:marRight w:val="0"/>
      <w:marTop w:val="0"/>
      <w:marBottom w:val="0"/>
      <w:divBdr>
        <w:top w:val="none" w:sz="0" w:space="0" w:color="auto"/>
        <w:left w:val="none" w:sz="0" w:space="0" w:color="auto"/>
        <w:bottom w:val="none" w:sz="0" w:space="0" w:color="auto"/>
        <w:right w:val="none" w:sz="0" w:space="0" w:color="auto"/>
      </w:divBdr>
    </w:div>
    <w:div w:id="255404488">
      <w:bodyDiv w:val="1"/>
      <w:marLeft w:val="0"/>
      <w:marRight w:val="0"/>
      <w:marTop w:val="0"/>
      <w:marBottom w:val="0"/>
      <w:divBdr>
        <w:top w:val="none" w:sz="0" w:space="0" w:color="auto"/>
        <w:left w:val="none" w:sz="0" w:space="0" w:color="auto"/>
        <w:bottom w:val="none" w:sz="0" w:space="0" w:color="auto"/>
        <w:right w:val="none" w:sz="0" w:space="0" w:color="auto"/>
      </w:divBdr>
    </w:div>
    <w:div w:id="259338953">
      <w:bodyDiv w:val="1"/>
      <w:marLeft w:val="0"/>
      <w:marRight w:val="0"/>
      <w:marTop w:val="0"/>
      <w:marBottom w:val="0"/>
      <w:divBdr>
        <w:top w:val="none" w:sz="0" w:space="0" w:color="auto"/>
        <w:left w:val="none" w:sz="0" w:space="0" w:color="auto"/>
        <w:bottom w:val="none" w:sz="0" w:space="0" w:color="auto"/>
        <w:right w:val="none" w:sz="0" w:space="0" w:color="auto"/>
      </w:divBdr>
    </w:div>
    <w:div w:id="260768199">
      <w:bodyDiv w:val="1"/>
      <w:marLeft w:val="0"/>
      <w:marRight w:val="0"/>
      <w:marTop w:val="0"/>
      <w:marBottom w:val="0"/>
      <w:divBdr>
        <w:top w:val="none" w:sz="0" w:space="0" w:color="auto"/>
        <w:left w:val="none" w:sz="0" w:space="0" w:color="auto"/>
        <w:bottom w:val="none" w:sz="0" w:space="0" w:color="auto"/>
        <w:right w:val="none" w:sz="0" w:space="0" w:color="auto"/>
      </w:divBdr>
    </w:div>
    <w:div w:id="267468352">
      <w:bodyDiv w:val="1"/>
      <w:marLeft w:val="0"/>
      <w:marRight w:val="0"/>
      <w:marTop w:val="0"/>
      <w:marBottom w:val="0"/>
      <w:divBdr>
        <w:top w:val="none" w:sz="0" w:space="0" w:color="auto"/>
        <w:left w:val="none" w:sz="0" w:space="0" w:color="auto"/>
        <w:bottom w:val="none" w:sz="0" w:space="0" w:color="auto"/>
        <w:right w:val="none" w:sz="0" w:space="0" w:color="auto"/>
      </w:divBdr>
    </w:div>
    <w:div w:id="270749518">
      <w:bodyDiv w:val="1"/>
      <w:marLeft w:val="0"/>
      <w:marRight w:val="0"/>
      <w:marTop w:val="0"/>
      <w:marBottom w:val="0"/>
      <w:divBdr>
        <w:top w:val="none" w:sz="0" w:space="0" w:color="auto"/>
        <w:left w:val="none" w:sz="0" w:space="0" w:color="auto"/>
        <w:bottom w:val="none" w:sz="0" w:space="0" w:color="auto"/>
        <w:right w:val="none" w:sz="0" w:space="0" w:color="auto"/>
      </w:divBdr>
    </w:div>
    <w:div w:id="272906480">
      <w:bodyDiv w:val="1"/>
      <w:marLeft w:val="0"/>
      <w:marRight w:val="0"/>
      <w:marTop w:val="0"/>
      <w:marBottom w:val="0"/>
      <w:divBdr>
        <w:top w:val="none" w:sz="0" w:space="0" w:color="auto"/>
        <w:left w:val="none" w:sz="0" w:space="0" w:color="auto"/>
        <w:bottom w:val="none" w:sz="0" w:space="0" w:color="auto"/>
        <w:right w:val="none" w:sz="0" w:space="0" w:color="auto"/>
      </w:divBdr>
    </w:div>
    <w:div w:id="276526164">
      <w:bodyDiv w:val="1"/>
      <w:marLeft w:val="0"/>
      <w:marRight w:val="0"/>
      <w:marTop w:val="0"/>
      <w:marBottom w:val="0"/>
      <w:divBdr>
        <w:top w:val="none" w:sz="0" w:space="0" w:color="auto"/>
        <w:left w:val="none" w:sz="0" w:space="0" w:color="auto"/>
        <w:bottom w:val="none" w:sz="0" w:space="0" w:color="auto"/>
        <w:right w:val="none" w:sz="0" w:space="0" w:color="auto"/>
      </w:divBdr>
    </w:div>
    <w:div w:id="278610731">
      <w:bodyDiv w:val="1"/>
      <w:marLeft w:val="0"/>
      <w:marRight w:val="0"/>
      <w:marTop w:val="0"/>
      <w:marBottom w:val="0"/>
      <w:divBdr>
        <w:top w:val="none" w:sz="0" w:space="0" w:color="auto"/>
        <w:left w:val="none" w:sz="0" w:space="0" w:color="auto"/>
        <w:bottom w:val="none" w:sz="0" w:space="0" w:color="auto"/>
        <w:right w:val="none" w:sz="0" w:space="0" w:color="auto"/>
      </w:divBdr>
    </w:div>
    <w:div w:id="280963919">
      <w:bodyDiv w:val="1"/>
      <w:marLeft w:val="0"/>
      <w:marRight w:val="0"/>
      <w:marTop w:val="0"/>
      <w:marBottom w:val="0"/>
      <w:divBdr>
        <w:top w:val="none" w:sz="0" w:space="0" w:color="auto"/>
        <w:left w:val="none" w:sz="0" w:space="0" w:color="auto"/>
        <w:bottom w:val="none" w:sz="0" w:space="0" w:color="auto"/>
        <w:right w:val="none" w:sz="0" w:space="0" w:color="auto"/>
      </w:divBdr>
    </w:div>
    <w:div w:id="281159469">
      <w:bodyDiv w:val="1"/>
      <w:marLeft w:val="0"/>
      <w:marRight w:val="0"/>
      <w:marTop w:val="0"/>
      <w:marBottom w:val="0"/>
      <w:divBdr>
        <w:top w:val="none" w:sz="0" w:space="0" w:color="auto"/>
        <w:left w:val="none" w:sz="0" w:space="0" w:color="auto"/>
        <w:bottom w:val="none" w:sz="0" w:space="0" w:color="auto"/>
        <w:right w:val="none" w:sz="0" w:space="0" w:color="auto"/>
      </w:divBdr>
    </w:div>
    <w:div w:id="284696204">
      <w:bodyDiv w:val="1"/>
      <w:marLeft w:val="0"/>
      <w:marRight w:val="0"/>
      <w:marTop w:val="0"/>
      <w:marBottom w:val="0"/>
      <w:divBdr>
        <w:top w:val="none" w:sz="0" w:space="0" w:color="auto"/>
        <w:left w:val="none" w:sz="0" w:space="0" w:color="auto"/>
        <w:bottom w:val="none" w:sz="0" w:space="0" w:color="auto"/>
        <w:right w:val="none" w:sz="0" w:space="0" w:color="auto"/>
      </w:divBdr>
    </w:div>
    <w:div w:id="287276274">
      <w:bodyDiv w:val="1"/>
      <w:marLeft w:val="0"/>
      <w:marRight w:val="0"/>
      <w:marTop w:val="0"/>
      <w:marBottom w:val="0"/>
      <w:divBdr>
        <w:top w:val="none" w:sz="0" w:space="0" w:color="auto"/>
        <w:left w:val="none" w:sz="0" w:space="0" w:color="auto"/>
        <w:bottom w:val="none" w:sz="0" w:space="0" w:color="auto"/>
        <w:right w:val="none" w:sz="0" w:space="0" w:color="auto"/>
      </w:divBdr>
    </w:div>
    <w:div w:id="288241447">
      <w:bodyDiv w:val="1"/>
      <w:marLeft w:val="0"/>
      <w:marRight w:val="0"/>
      <w:marTop w:val="0"/>
      <w:marBottom w:val="0"/>
      <w:divBdr>
        <w:top w:val="none" w:sz="0" w:space="0" w:color="auto"/>
        <w:left w:val="none" w:sz="0" w:space="0" w:color="auto"/>
        <w:bottom w:val="none" w:sz="0" w:space="0" w:color="auto"/>
        <w:right w:val="none" w:sz="0" w:space="0" w:color="auto"/>
      </w:divBdr>
    </w:div>
    <w:div w:id="288367677">
      <w:bodyDiv w:val="1"/>
      <w:marLeft w:val="0"/>
      <w:marRight w:val="0"/>
      <w:marTop w:val="0"/>
      <w:marBottom w:val="0"/>
      <w:divBdr>
        <w:top w:val="none" w:sz="0" w:space="0" w:color="auto"/>
        <w:left w:val="none" w:sz="0" w:space="0" w:color="auto"/>
        <w:bottom w:val="none" w:sz="0" w:space="0" w:color="auto"/>
        <w:right w:val="none" w:sz="0" w:space="0" w:color="auto"/>
      </w:divBdr>
    </w:div>
    <w:div w:id="288826414">
      <w:bodyDiv w:val="1"/>
      <w:marLeft w:val="0"/>
      <w:marRight w:val="0"/>
      <w:marTop w:val="0"/>
      <w:marBottom w:val="0"/>
      <w:divBdr>
        <w:top w:val="none" w:sz="0" w:space="0" w:color="auto"/>
        <w:left w:val="none" w:sz="0" w:space="0" w:color="auto"/>
        <w:bottom w:val="none" w:sz="0" w:space="0" w:color="auto"/>
        <w:right w:val="none" w:sz="0" w:space="0" w:color="auto"/>
      </w:divBdr>
    </w:div>
    <w:div w:id="300577173">
      <w:bodyDiv w:val="1"/>
      <w:marLeft w:val="0"/>
      <w:marRight w:val="0"/>
      <w:marTop w:val="0"/>
      <w:marBottom w:val="0"/>
      <w:divBdr>
        <w:top w:val="none" w:sz="0" w:space="0" w:color="auto"/>
        <w:left w:val="none" w:sz="0" w:space="0" w:color="auto"/>
        <w:bottom w:val="none" w:sz="0" w:space="0" w:color="auto"/>
        <w:right w:val="none" w:sz="0" w:space="0" w:color="auto"/>
      </w:divBdr>
    </w:div>
    <w:div w:id="300842127">
      <w:bodyDiv w:val="1"/>
      <w:marLeft w:val="0"/>
      <w:marRight w:val="0"/>
      <w:marTop w:val="0"/>
      <w:marBottom w:val="0"/>
      <w:divBdr>
        <w:top w:val="none" w:sz="0" w:space="0" w:color="auto"/>
        <w:left w:val="none" w:sz="0" w:space="0" w:color="auto"/>
        <w:bottom w:val="none" w:sz="0" w:space="0" w:color="auto"/>
        <w:right w:val="none" w:sz="0" w:space="0" w:color="auto"/>
      </w:divBdr>
    </w:div>
    <w:div w:id="303048540">
      <w:bodyDiv w:val="1"/>
      <w:marLeft w:val="0"/>
      <w:marRight w:val="0"/>
      <w:marTop w:val="0"/>
      <w:marBottom w:val="0"/>
      <w:divBdr>
        <w:top w:val="none" w:sz="0" w:space="0" w:color="auto"/>
        <w:left w:val="none" w:sz="0" w:space="0" w:color="auto"/>
        <w:bottom w:val="none" w:sz="0" w:space="0" w:color="auto"/>
        <w:right w:val="none" w:sz="0" w:space="0" w:color="auto"/>
      </w:divBdr>
    </w:div>
    <w:div w:id="306053346">
      <w:bodyDiv w:val="1"/>
      <w:marLeft w:val="0"/>
      <w:marRight w:val="0"/>
      <w:marTop w:val="0"/>
      <w:marBottom w:val="0"/>
      <w:divBdr>
        <w:top w:val="none" w:sz="0" w:space="0" w:color="auto"/>
        <w:left w:val="none" w:sz="0" w:space="0" w:color="auto"/>
        <w:bottom w:val="none" w:sz="0" w:space="0" w:color="auto"/>
        <w:right w:val="none" w:sz="0" w:space="0" w:color="auto"/>
      </w:divBdr>
    </w:div>
    <w:div w:id="307246411">
      <w:bodyDiv w:val="1"/>
      <w:marLeft w:val="0"/>
      <w:marRight w:val="0"/>
      <w:marTop w:val="0"/>
      <w:marBottom w:val="0"/>
      <w:divBdr>
        <w:top w:val="none" w:sz="0" w:space="0" w:color="auto"/>
        <w:left w:val="none" w:sz="0" w:space="0" w:color="auto"/>
        <w:bottom w:val="none" w:sz="0" w:space="0" w:color="auto"/>
        <w:right w:val="none" w:sz="0" w:space="0" w:color="auto"/>
      </w:divBdr>
    </w:div>
    <w:div w:id="309604379">
      <w:bodyDiv w:val="1"/>
      <w:marLeft w:val="0"/>
      <w:marRight w:val="0"/>
      <w:marTop w:val="0"/>
      <w:marBottom w:val="0"/>
      <w:divBdr>
        <w:top w:val="none" w:sz="0" w:space="0" w:color="auto"/>
        <w:left w:val="none" w:sz="0" w:space="0" w:color="auto"/>
        <w:bottom w:val="none" w:sz="0" w:space="0" w:color="auto"/>
        <w:right w:val="none" w:sz="0" w:space="0" w:color="auto"/>
      </w:divBdr>
    </w:div>
    <w:div w:id="312564744">
      <w:bodyDiv w:val="1"/>
      <w:marLeft w:val="0"/>
      <w:marRight w:val="0"/>
      <w:marTop w:val="0"/>
      <w:marBottom w:val="0"/>
      <w:divBdr>
        <w:top w:val="none" w:sz="0" w:space="0" w:color="auto"/>
        <w:left w:val="none" w:sz="0" w:space="0" w:color="auto"/>
        <w:bottom w:val="none" w:sz="0" w:space="0" w:color="auto"/>
        <w:right w:val="none" w:sz="0" w:space="0" w:color="auto"/>
      </w:divBdr>
    </w:div>
    <w:div w:id="312872771">
      <w:bodyDiv w:val="1"/>
      <w:marLeft w:val="0"/>
      <w:marRight w:val="0"/>
      <w:marTop w:val="0"/>
      <w:marBottom w:val="0"/>
      <w:divBdr>
        <w:top w:val="none" w:sz="0" w:space="0" w:color="auto"/>
        <w:left w:val="none" w:sz="0" w:space="0" w:color="auto"/>
        <w:bottom w:val="none" w:sz="0" w:space="0" w:color="auto"/>
        <w:right w:val="none" w:sz="0" w:space="0" w:color="auto"/>
      </w:divBdr>
    </w:div>
    <w:div w:id="313146016">
      <w:bodyDiv w:val="1"/>
      <w:marLeft w:val="0"/>
      <w:marRight w:val="0"/>
      <w:marTop w:val="0"/>
      <w:marBottom w:val="0"/>
      <w:divBdr>
        <w:top w:val="none" w:sz="0" w:space="0" w:color="auto"/>
        <w:left w:val="none" w:sz="0" w:space="0" w:color="auto"/>
        <w:bottom w:val="none" w:sz="0" w:space="0" w:color="auto"/>
        <w:right w:val="none" w:sz="0" w:space="0" w:color="auto"/>
      </w:divBdr>
    </w:div>
    <w:div w:id="320087553">
      <w:bodyDiv w:val="1"/>
      <w:marLeft w:val="0"/>
      <w:marRight w:val="0"/>
      <w:marTop w:val="0"/>
      <w:marBottom w:val="0"/>
      <w:divBdr>
        <w:top w:val="none" w:sz="0" w:space="0" w:color="auto"/>
        <w:left w:val="none" w:sz="0" w:space="0" w:color="auto"/>
        <w:bottom w:val="none" w:sz="0" w:space="0" w:color="auto"/>
        <w:right w:val="none" w:sz="0" w:space="0" w:color="auto"/>
      </w:divBdr>
    </w:div>
    <w:div w:id="320275602">
      <w:bodyDiv w:val="1"/>
      <w:marLeft w:val="0"/>
      <w:marRight w:val="0"/>
      <w:marTop w:val="0"/>
      <w:marBottom w:val="0"/>
      <w:divBdr>
        <w:top w:val="none" w:sz="0" w:space="0" w:color="auto"/>
        <w:left w:val="none" w:sz="0" w:space="0" w:color="auto"/>
        <w:bottom w:val="none" w:sz="0" w:space="0" w:color="auto"/>
        <w:right w:val="none" w:sz="0" w:space="0" w:color="auto"/>
      </w:divBdr>
    </w:div>
    <w:div w:id="326589734">
      <w:bodyDiv w:val="1"/>
      <w:marLeft w:val="0"/>
      <w:marRight w:val="0"/>
      <w:marTop w:val="0"/>
      <w:marBottom w:val="0"/>
      <w:divBdr>
        <w:top w:val="none" w:sz="0" w:space="0" w:color="auto"/>
        <w:left w:val="none" w:sz="0" w:space="0" w:color="auto"/>
        <w:bottom w:val="none" w:sz="0" w:space="0" w:color="auto"/>
        <w:right w:val="none" w:sz="0" w:space="0" w:color="auto"/>
      </w:divBdr>
    </w:div>
    <w:div w:id="331032756">
      <w:bodyDiv w:val="1"/>
      <w:marLeft w:val="0"/>
      <w:marRight w:val="0"/>
      <w:marTop w:val="0"/>
      <w:marBottom w:val="0"/>
      <w:divBdr>
        <w:top w:val="none" w:sz="0" w:space="0" w:color="auto"/>
        <w:left w:val="none" w:sz="0" w:space="0" w:color="auto"/>
        <w:bottom w:val="none" w:sz="0" w:space="0" w:color="auto"/>
        <w:right w:val="none" w:sz="0" w:space="0" w:color="auto"/>
      </w:divBdr>
    </w:div>
    <w:div w:id="334844975">
      <w:bodyDiv w:val="1"/>
      <w:marLeft w:val="0"/>
      <w:marRight w:val="0"/>
      <w:marTop w:val="0"/>
      <w:marBottom w:val="0"/>
      <w:divBdr>
        <w:top w:val="none" w:sz="0" w:space="0" w:color="auto"/>
        <w:left w:val="none" w:sz="0" w:space="0" w:color="auto"/>
        <w:bottom w:val="none" w:sz="0" w:space="0" w:color="auto"/>
        <w:right w:val="none" w:sz="0" w:space="0" w:color="auto"/>
      </w:divBdr>
    </w:div>
    <w:div w:id="336730146">
      <w:bodyDiv w:val="1"/>
      <w:marLeft w:val="0"/>
      <w:marRight w:val="0"/>
      <w:marTop w:val="0"/>
      <w:marBottom w:val="0"/>
      <w:divBdr>
        <w:top w:val="none" w:sz="0" w:space="0" w:color="auto"/>
        <w:left w:val="none" w:sz="0" w:space="0" w:color="auto"/>
        <w:bottom w:val="none" w:sz="0" w:space="0" w:color="auto"/>
        <w:right w:val="none" w:sz="0" w:space="0" w:color="auto"/>
      </w:divBdr>
    </w:div>
    <w:div w:id="337585655">
      <w:bodyDiv w:val="1"/>
      <w:marLeft w:val="0"/>
      <w:marRight w:val="0"/>
      <w:marTop w:val="0"/>
      <w:marBottom w:val="0"/>
      <w:divBdr>
        <w:top w:val="none" w:sz="0" w:space="0" w:color="auto"/>
        <w:left w:val="none" w:sz="0" w:space="0" w:color="auto"/>
        <w:bottom w:val="none" w:sz="0" w:space="0" w:color="auto"/>
        <w:right w:val="none" w:sz="0" w:space="0" w:color="auto"/>
      </w:divBdr>
    </w:div>
    <w:div w:id="337975007">
      <w:bodyDiv w:val="1"/>
      <w:marLeft w:val="0"/>
      <w:marRight w:val="0"/>
      <w:marTop w:val="0"/>
      <w:marBottom w:val="0"/>
      <w:divBdr>
        <w:top w:val="none" w:sz="0" w:space="0" w:color="auto"/>
        <w:left w:val="none" w:sz="0" w:space="0" w:color="auto"/>
        <w:bottom w:val="none" w:sz="0" w:space="0" w:color="auto"/>
        <w:right w:val="none" w:sz="0" w:space="0" w:color="auto"/>
      </w:divBdr>
    </w:div>
    <w:div w:id="338000924">
      <w:bodyDiv w:val="1"/>
      <w:marLeft w:val="0"/>
      <w:marRight w:val="0"/>
      <w:marTop w:val="0"/>
      <w:marBottom w:val="0"/>
      <w:divBdr>
        <w:top w:val="none" w:sz="0" w:space="0" w:color="auto"/>
        <w:left w:val="none" w:sz="0" w:space="0" w:color="auto"/>
        <w:bottom w:val="none" w:sz="0" w:space="0" w:color="auto"/>
        <w:right w:val="none" w:sz="0" w:space="0" w:color="auto"/>
      </w:divBdr>
    </w:div>
    <w:div w:id="348988272">
      <w:bodyDiv w:val="1"/>
      <w:marLeft w:val="0"/>
      <w:marRight w:val="0"/>
      <w:marTop w:val="0"/>
      <w:marBottom w:val="0"/>
      <w:divBdr>
        <w:top w:val="none" w:sz="0" w:space="0" w:color="auto"/>
        <w:left w:val="none" w:sz="0" w:space="0" w:color="auto"/>
        <w:bottom w:val="none" w:sz="0" w:space="0" w:color="auto"/>
        <w:right w:val="none" w:sz="0" w:space="0" w:color="auto"/>
      </w:divBdr>
    </w:div>
    <w:div w:id="352805849">
      <w:bodyDiv w:val="1"/>
      <w:marLeft w:val="0"/>
      <w:marRight w:val="0"/>
      <w:marTop w:val="0"/>
      <w:marBottom w:val="0"/>
      <w:divBdr>
        <w:top w:val="none" w:sz="0" w:space="0" w:color="auto"/>
        <w:left w:val="none" w:sz="0" w:space="0" w:color="auto"/>
        <w:bottom w:val="none" w:sz="0" w:space="0" w:color="auto"/>
        <w:right w:val="none" w:sz="0" w:space="0" w:color="auto"/>
      </w:divBdr>
    </w:div>
    <w:div w:id="357438418">
      <w:bodyDiv w:val="1"/>
      <w:marLeft w:val="0"/>
      <w:marRight w:val="0"/>
      <w:marTop w:val="0"/>
      <w:marBottom w:val="0"/>
      <w:divBdr>
        <w:top w:val="none" w:sz="0" w:space="0" w:color="auto"/>
        <w:left w:val="none" w:sz="0" w:space="0" w:color="auto"/>
        <w:bottom w:val="none" w:sz="0" w:space="0" w:color="auto"/>
        <w:right w:val="none" w:sz="0" w:space="0" w:color="auto"/>
      </w:divBdr>
    </w:div>
    <w:div w:id="357858755">
      <w:bodyDiv w:val="1"/>
      <w:marLeft w:val="0"/>
      <w:marRight w:val="0"/>
      <w:marTop w:val="0"/>
      <w:marBottom w:val="0"/>
      <w:divBdr>
        <w:top w:val="none" w:sz="0" w:space="0" w:color="auto"/>
        <w:left w:val="none" w:sz="0" w:space="0" w:color="auto"/>
        <w:bottom w:val="none" w:sz="0" w:space="0" w:color="auto"/>
        <w:right w:val="none" w:sz="0" w:space="0" w:color="auto"/>
      </w:divBdr>
    </w:div>
    <w:div w:id="360865681">
      <w:bodyDiv w:val="1"/>
      <w:marLeft w:val="0"/>
      <w:marRight w:val="0"/>
      <w:marTop w:val="0"/>
      <w:marBottom w:val="0"/>
      <w:divBdr>
        <w:top w:val="none" w:sz="0" w:space="0" w:color="auto"/>
        <w:left w:val="none" w:sz="0" w:space="0" w:color="auto"/>
        <w:bottom w:val="none" w:sz="0" w:space="0" w:color="auto"/>
        <w:right w:val="none" w:sz="0" w:space="0" w:color="auto"/>
      </w:divBdr>
    </w:div>
    <w:div w:id="365259486">
      <w:bodyDiv w:val="1"/>
      <w:marLeft w:val="0"/>
      <w:marRight w:val="0"/>
      <w:marTop w:val="0"/>
      <w:marBottom w:val="0"/>
      <w:divBdr>
        <w:top w:val="none" w:sz="0" w:space="0" w:color="auto"/>
        <w:left w:val="none" w:sz="0" w:space="0" w:color="auto"/>
        <w:bottom w:val="none" w:sz="0" w:space="0" w:color="auto"/>
        <w:right w:val="none" w:sz="0" w:space="0" w:color="auto"/>
      </w:divBdr>
    </w:div>
    <w:div w:id="377094219">
      <w:bodyDiv w:val="1"/>
      <w:marLeft w:val="0"/>
      <w:marRight w:val="0"/>
      <w:marTop w:val="0"/>
      <w:marBottom w:val="0"/>
      <w:divBdr>
        <w:top w:val="none" w:sz="0" w:space="0" w:color="auto"/>
        <w:left w:val="none" w:sz="0" w:space="0" w:color="auto"/>
        <w:bottom w:val="none" w:sz="0" w:space="0" w:color="auto"/>
        <w:right w:val="none" w:sz="0" w:space="0" w:color="auto"/>
      </w:divBdr>
    </w:div>
    <w:div w:id="382295332">
      <w:bodyDiv w:val="1"/>
      <w:marLeft w:val="0"/>
      <w:marRight w:val="0"/>
      <w:marTop w:val="0"/>
      <w:marBottom w:val="0"/>
      <w:divBdr>
        <w:top w:val="none" w:sz="0" w:space="0" w:color="auto"/>
        <w:left w:val="none" w:sz="0" w:space="0" w:color="auto"/>
        <w:bottom w:val="none" w:sz="0" w:space="0" w:color="auto"/>
        <w:right w:val="none" w:sz="0" w:space="0" w:color="auto"/>
      </w:divBdr>
    </w:div>
    <w:div w:id="383457100">
      <w:bodyDiv w:val="1"/>
      <w:marLeft w:val="0"/>
      <w:marRight w:val="0"/>
      <w:marTop w:val="0"/>
      <w:marBottom w:val="0"/>
      <w:divBdr>
        <w:top w:val="none" w:sz="0" w:space="0" w:color="auto"/>
        <w:left w:val="none" w:sz="0" w:space="0" w:color="auto"/>
        <w:bottom w:val="none" w:sz="0" w:space="0" w:color="auto"/>
        <w:right w:val="none" w:sz="0" w:space="0" w:color="auto"/>
      </w:divBdr>
    </w:div>
    <w:div w:id="390034494">
      <w:bodyDiv w:val="1"/>
      <w:marLeft w:val="0"/>
      <w:marRight w:val="0"/>
      <w:marTop w:val="0"/>
      <w:marBottom w:val="0"/>
      <w:divBdr>
        <w:top w:val="none" w:sz="0" w:space="0" w:color="auto"/>
        <w:left w:val="none" w:sz="0" w:space="0" w:color="auto"/>
        <w:bottom w:val="none" w:sz="0" w:space="0" w:color="auto"/>
        <w:right w:val="none" w:sz="0" w:space="0" w:color="auto"/>
      </w:divBdr>
    </w:div>
    <w:div w:id="390151701">
      <w:bodyDiv w:val="1"/>
      <w:marLeft w:val="0"/>
      <w:marRight w:val="0"/>
      <w:marTop w:val="0"/>
      <w:marBottom w:val="0"/>
      <w:divBdr>
        <w:top w:val="none" w:sz="0" w:space="0" w:color="auto"/>
        <w:left w:val="none" w:sz="0" w:space="0" w:color="auto"/>
        <w:bottom w:val="none" w:sz="0" w:space="0" w:color="auto"/>
        <w:right w:val="none" w:sz="0" w:space="0" w:color="auto"/>
      </w:divBdr>
    </w:div>
    <w:div w:id="391542491">
      <w:bodyDiv w:val="1"/>
      <w:marLeft w:val="0"/>
      <w:marRight w:val="0"/>
      <w:marTop w:val="0"/>
      <w:marBottom w:val="0"/>
      <w:divBdr>
        <w:top w:val="none" w:sz="0" w:space="0" w:color="auto"/>
        <w:left w:val="none" w:sz="0" w:space="0" w:color="auto"/>
        <w:bottom w:val="none" w:sz="0" w:space="0" w:color="auto"/>
        <w:right w:val="none" w:sz="0" w:space="0" w:color="auto"/>
      </w:divBdr>
    </w:div>
    <w:div w:id="392235690">
      <w:bodyDiv w:val="1"/>
      <w:marLeft w:val="0"/>
      <w:marRight w:val="0"/>
      <w:marTop w:val="0"/>
      <w:marBottom w:val="0"/>
      <w:divBdr>
        <w:top w:val="none" w:sz="0" w:space="0" w:color="auto"/>
        <w:left w:val="none" w:sz="0" w:space="0" w:color="auto"/>
        <w:bottom w:val="none" w:sz="0" w:space="0" w:color="auto"/>
        <w:right w:val="none" w:sz="0" w:space="0" w:color="auto"/>
      </w:divBdr>
    </w:div>
    <w:div w:id="396629362">
      <w:bodyDiv w:val="1"/>
      <w:marLeft w:val="0"/>
      <w:marRight w:val="0"/>
      <w:marTop w:val="0"/>
      <w:marBottom w:val="0"/>
      <w:divBdr>
        <w:top w:val="none" w:sz="0" w:space="0" w:color="auto"/>
        <w:left w:val="none" w:sz="0" w:space="0" w:color="auto"/>
        <w:bottom w:val="none" w:sz="0" w:space="0" w:color="auto"/>
        <w:right w:val="none" w:sz="0" w:space="0" w:color="auto"/>
      </w:divBdr>
    </w:div>
    <w:div w:id="404884971">
      <w:bodyDiv w:val="1"/>
      <w:marLeft w:val="0"/>
      <w:marRight w:val="0"/>
      <w:marTop w:val="0"/>
      <w:marBottom w:val="0"/>
      <w:divBdr>
        <w:top w:val="none" w:sz="0" w:space="0" w:color="auto"/>
        <w:left w:val="none" w:sz="0" w:space="0" w:color="auto"/>
        <w:bottom w:val="none" w:sz="0" w:space="0" w:color="auto"/>
        <w:right w:val="none" w:sz="0" w:space="0" w:color="auto"/>
      </w:divBdr>
    </w:div>
    <w:div w:id="415638102">
      <w:bodyDiv w:val="1"/>
      <w:marLeft w:val="0"/>
      <w:marRight w:val="0"/>
      <w:marTop w:val="0"/>
      <w:marBottom w:val="0"/>
      <w:divBdr>
        <w:top w:val="none" w:sz="0" w:space="0" w:color="auto"/>
        <w:left w:val="none" w:sz="0" w:space="0" w:color="auto"/>
        <w:bottom w:val="none" w:sz="0" w:space="0" w:color="auto"/>
        <w:right w:val="none" w:sz="0" w:space="0" w:color="auto"/>
      </w:divBdr>
    </w:div>
    <w:div w:id="420293244">
      <w:bodyDiv w:val="1"/>
      <w:marLeft w:val="0"/>
      <w:marRight w:val="0"/>
      <w:marTop w:val="0"/>
      <w:marBottom w:val="0"/>
      <w:divBdr>
        <w:top w:val="none" w:sz="0" w:space="0" w:color="auto"/>
        <w:left w:val="none" w:sz="0" w:space="0" w:color="auto"/>
        <w:bottom w:val="none" w:sz="0" w:space="0" w:color="auto"/>
        <w:right w:val="none" w:sz="0" w:space="0" w:color="auto"/>
      </w:divBdr>
    </w:div>
    <w:div w:id="421101319">
      <w:bodyDiv w:val="1"/>
      <w:marLeft w:val="0"/>
      <w:marRight w:val="0"/>
      <w:marTop w:val="0"/>
      <w:marBottom w:val="0"/>
      <w:divBdr>
        <w:top w:val="none" w:sz="0" w:space="0" w:color="auto"/>
        <w:left w:val="none" w:sz="0" w:space="0" w:color="auto"/>
        <w:bottom w:val="none" w:sz="0" w:space="0" w:color="auto"/>
        <w:right w:val="none" w:sz="0" w:space="0" w:color="auto"/>
      </w:divBdr>
    </w:div>
    <w:div w:id="422452553">
      <w:bodyDiv w:val="1"/>
      <w:marLeft w:val="0"/>
      <w:marRight w:val="0"/>
      <w:marTop w:val="0"/>
      <w:marBottom w:val="0"/>
      <w:divBdr>
        <w:top w:val="none" w:sz="0" w:space="0" w:color="auto"/>
        <w:left w:val="none" w:sz="0" w:space="0" w:color="auto"/>
        <w:bottom w:val="none" w:sz="0" w:space="0" w:color="auto"/>
        <w:right w:val="none" w:sz="0" w:space="0" w:color="auto"/>
      </w:divBdr>
    </w:div>
    <w:div w:id="436601154">
      <w:bodyDiv w:val="1"/>
      <w:marLeft w:val="0"/>
      <w:marRight w:val="0"/>
      <w:marTop w:val="0"/>
      <w:marBottom w:val="0"/>
      <w:divBdr>
        <w:top w:val="none" w:sz="0" w:space="0" w:color="auto"/>
        <w:left w:val="none" w:sz="0" w:space="0" w:color="auto"/>
        <w:bottom w:val="none" w:sz="0" w:space="0" w:color="auto"/>
        <w:right w:val="none" w:sz="0" w:space="0" w:color="auto"/>
      </w:divBdr>
    </w:div>
    <w:div w:id="439880739">
      <w:bodyDiv w:val="1"/>
      <w:marLeft w:val="0"/>
      <w:marRight w:val="0"/>
      <w:marTop w:val="0"/>
      <w:marBottom w:val="0"/>
      <w:divBdr>
        <w:top w:val="none" w:sz="0" w:space="0" w:color="auto"/>
        <w:left w:val="none" w:sz="0" w:space="0" w:color="auto"/>
        <w:bottom w:val="none" w:sz="0" w:space="0" w:color="auto"/>
        <w:right w:val="none" w:sz="0" w:space="0" w:color="auto"/>
      </w:divBdr>
    </w:div>
    <w:div w:id="440341271">
      <w:bodyDiv w:val="1"/>
      <w:marLeft w:val="0"/>
      <w:marRight w:val="0"/>
      <w:marTop w:val="0"/>
      <w:marBottom w:val="0"/>
      <w:divBdr>
        <w:top w:val="none" w:sz="0" w:space="0" w:color="auto"/>
        <w:left w:val="none" w:sz="0" w:space="0" w:color="auto"/>
        <w:bottom w:val="none" w:sz="0" w:space="0" w:color="auto"/>
        <w:right w:val="none" w:sz="0" w:space="0" w:color="auto"/>
      </w:divBdr>
    </w:div>
    <w:div w:id="442698934">
      <w:bodyDiv w:val="1"/>
      <w:marLeft w:val="0"/>
      <w:marRight w:val="0"/>
      <w:marTop w:val="0"/>
      <w:marBottom w:val="0"/>
      <w:divBdr>
        <w:top w:val="none" w:sz="0" w:space="0" w:color="auto"/>
        <w:left w:val="none" w:sz="0" w:space="0" w:color="auto"/>
        <w:bottom w:val="none" w:sz="0" w:space="0" w:color="auto"/>
        <w:right w:val="none" w:sz="0" w:space="0" w:color="auto"/>
      </w:divBdr>
    </w:div>
    <w:div w:id="444275246">
      <w:bodyDiv w:val="1"/>
      <w:marLeft w:val="0"/>
      <w:marRight w:val="0"/>
      <w:marTop w:val="0"/>
      <w:marBottom w:val="0"/>
      <w:divBdr>
        <w:top w:val="none" w:sz="0" w:space="0" w:color="auto"/>
        <w:left w:val="none" w:sz="0" w:space="0" w:color="auto"/>
        <w:bottom w:val="none" w:sz="0" w:space="0" w:color="auto"/>
        <w:right w:val="none" w:sz="0" w:space="0" w:color="auto"/>
      </w:divBdr>
    </w:div>
    <w:div w:id="444661863">
      <w:bodyDiv w:val="1"/>
      <w:marLeft w:val="0"/>
      <w:marRight w:val="0"/>
      <w:marTop w:val="0"/>
      <w:marBottom w:val="0"/>
      <w:divBdr>
        <w:top w:val="none" w:sz="0" w:space="0" w:color="auto"/>
        <w:left w:val="none" w:sz="0" w:space="0" w:color="auto"/>
        <w:bottom w:val="none" w:sz="0" w:space="0" w:color="auto"/>
        <w:right w:val="none" w:sz="0" w:space="0" w:color="auto"/>
      </w:divBdr>
    </w:div>
    <w:div w:id="448206945">
      <w:bodyDiv w:val="1"/>
      <w:marLeft w:val="0"/>
      <w:marRight w:val="0"/>
      <w:marTop w:val="0"/>
      <w:marBottom w:val="0"/>
      <w:divBdr>
        <w:top w:val="none" w:sz="0" w:space="0" w:color="auto"/>
        <w:left w:val="none" w:sz="0" w:space="0" w:color="auto"/>
        <w:bottom w:val="none" w:sz="0" w:space="0" w:color="auto"/>
        <w:right w:val="none" w:sz="0" w:space="0" w:color="auto"/>
      </w:divBdr>
    </w:div>
    <w:div w:id="455563156">
      <w:bodyDiv w:val="1"/>
      <w:marLeft w:val="0"/>
      <w:marRight w:val="0"/>
      <w:marTop w:val="0"/>
      <w:marBottom w:val="0"/>
      <w:divBdr>
        <w:top w:val="none" w:sz="0" w:space="0" w:color="auto"/>
        <w:left w:val="none" w:sz="0" w:space="0" w:color="auto"/>
        <w:bottom w:val="none" w:sz="0" w:space="0" w:color="auto"/>
        <w:right w:val="none" w:sz="0" w:space="0" w:color="auto"/>
      </w:divBdr>
    </w:div>
    <w:div w:id="457260103">
      <w:bodyDiv w:val="1"/>
      <w:marLeft w:val="0"/>
      <w:marRight w:val="0"/>
      <w:marTop w:val="0"/>
      <w:marBottom w:val="0"/>
      <w:divBdr>
        <w:top w:val="none" w:sz="0" w:space="0" w:color="auto"/>
        <w:left w:val="none" w:sz="0" w:space="0" w:color="auto"/>
        <w:bottom w:val="none" w:sz="0" w:space="0" w:color="auto"/>
        <w:right w:val="none" w:sz="0" w:space="0" w:color="auto"/>
      </w:divBdr>
    </w:div>
    <w:div w:id="472215282">
      <w:bodyDiv w:val="1"/>
      <w:marLeft w:val="0"/>
      <w:marRight w:val="0"/>
      <w:marTop w:val="0"/>
      <w:marBottom w:val="0"/>
      <w:divBdr>
        <w:top w:val="none" w:sz="0" w:space="0" w:color="auto"/>
        <w:left w:val="none" w:sz="0" w:space="0" w:color="auto"/>
        <w:bottom w:val="none" w:sz="0" w:space="0" w:color="auto"/>
        <w:right w:val="none" w:sz="0" w:space="0" w:color="auto"/>
      </w:divBdr>
    </w:div>
    <w:div w:id="473571098">
      <w:bodyDiv w:val="1"/>
      <w:marLeft w:val="0"/>
      <w:marRight w:val="0"/>
      <w:marTop w:val="0"/>
      <w:marBottom w:val="0"/>
      <w:divBdr>
        <w:top w:val="none" w:sz="0" w:space="0" w:color="auto"/>
        <w:left w:val="none" w:sz="0" w:space="0" w:color="auto"/>
        <w:bottom w:val="none" w:sz="0" w:space="0" w:color="auto"/>
        <w:right w:val="none" w:sz="0" w:space="0" w:color="auto"/>
      </w:divBdr>
    </w:div>
    <w:div w:id="474418747">
      <w:bodyDiv w:val="1"/>
      <w:marLeft w:val="0"/>
      <w:marRight w:val="0"/>
      <w:marTop w:val="0"/>
      <w:marBottom w:val="0"/>
      <w:divBdr>
        <w:top w:val="none" w:sz="0" w:space="0" w:color="auto"/>
        <w:left w:val="none" w:sz="0" w:space="0" w:color="auto"/>
        <w:bottom w:val="none" w:sz="0" w:space="0" w:color="auto"/>
        <w:right w:val="none" w:sz="0" w:space="0" w:color="auto"/>
      </w:divBdr>
    </w:div>
    <w:div w:id="476537772">
      <w:bodyDiv w:val="1"/>
      <w:marLeft w:val="0"/>
      <w:marRight w:val="0"/>
      <w:marTop w:val="0"/>
      <w:marBottom w:val="0"/>
      <w:divBdr>
        <w:top w:val="none" w:sz="0" w:space="0" w:color="auto"/>
        <w:left w:val="none" w:sz="0" w:space="0" w:color="auto"/>
        <w:bottom w:val="none" w:sz="0" w:space="0" w:color="auto"/>
        <w:right w:val="none" w:sz="0" w:space="0" w:color="auto"/>
      </w:divBdr>
    </w:div>
    <w:div w:id="477453038">
      <w:bodyDiv w:val="1"/>
      <w:marLeft w:val="0"/>
      <w:marRight w:val="0"/>
      <w:marTop w:val="0"/>
      <w:marBottom w:val="0"/>
      <w:divBdr>
        <w:top w:val="none" w:sz="0" w:space="0" w:color="auto"/>
        <w:left w:val="none" w:sz="0" w:space="0" w:color="auto"/>
        <w:bottom w:val="none" w:sz="0" w:space="0" w:color="auto"/>
        <w:right w:val="none" w:sz="0" w:space="0" w:color="auto"/>
      </w:divBdr>
    </w:div>
    <w:div w:id="483007257">
      <w:bodyDiv w:val="1"/>
      <w:marLeft w:val="0"/>
      <w:marRight w:val="0"/>
      <w:marTop w:val="0"/>
      <w:marBottom w:val="0"/>
      <w:divBdr>
        <w:top w:val="none" w:sz="0" w:space="0" w:color="auto"/>
        <w:left w:val="none" w:sz="0" w:space="0" w:color="auto"/>
        <w:bottom w:val="none" w:sz="0" w:space="0" w:color="auto"/>
        <w:right w:val="none" w:sz="0" w:space="0" w:color="auto"/>
      </w:divBdr>
    </w:div>
    <w:div w:id="493567246">
      <w:bodyDiv w:val="1"/>
      <w:marLeft w:val="0"/>
      <w:marRight w:val="0"/>
      <w:marTop w:val="0"/>
      <w:marBottom w:val="0"/>
      <w:divBdr>
        <w:top w:val="none" w:sz="0" w:space="0" w:color="auto"/>
        <w:left w:val="none" w:sz="0" w:space="0" w:color="auto"/>
        <w:bottom w:val="none" w:sz="0" w:space="0" w:color="auto"/>
        <w:right w:val="none" w:sz="0" w:space="0" w:color="auto"/>
      </w:divBdr>
    </w:div>
    <w:div w:id="500048259">
      <w:bodyDiv w:val="1"/>
      <w:marLeft w:val="0"/>
      <w:marRight w:val="0"/>
      <w:marTop w:val="0"/>
      <w:marBottom w:val="0"/>
      <w:divBdr>
        <w:top w:val="none" w:sz="0" w:space="0" w:color="auto"/>
        <w:left w:val="none" w:sz="0" w:space="0" w:color="auto"/>
        <w:bottom w:val="none" w:sz="0" w:space="0" w:color="auto"/>
        <w:right w:val="none" w:sz="0" w:space="0" w:color="auto"/>
      </w:divBdr>
    </w:div>
    <w:div w:id="504058554">
      <w:bodyDiv w:val="1"/>
      <w:marLeft w:val="0"/>
      <w:marRight w:val="0"/>
      <w:marTop w:val="0"/>
      <w:marBottom w:val="0"/>
      <w:divBdr>
        <w:top w:val="none" w:sz="0" w:space="0" w:color="auto"/>
        <w:left w:val="none" w:sz="0" w:space="0" w:color="auto"/>
        <w:bottom w:val="none" w:sz="0" w:space="0" w:color="auto"/>
        <w:right w:val="none" w:sz="0" w:space="0" w:color="auto"/>
      </w:divBdr>
    </w:div>
    <w:div w:id="520826785">
      <w:bodyDiv w:val="1"/>
      <w:marLeft w:val="0"/>
      <w:marRight w:val="0"/>
      <w:marTop w:val="0"/>
      <w:marBottom w:val="0"/>
      <w:divBdr>
        <w:top w:val="none" w:sz="0" w:space="0" w:color="auto"/>
        <w:left w:val="none" w:sz="0" w:space="0" w:color="auto"/>
        <w:bottom w:val="none" w:sz="0" w:space="0" w:color="auto"/>
        <w:right w:val="none" w:sz="0" w:space="0" w:color="auto"/>
      </w:divBdr>
    </w:div>
    <w:div w:id="524900394">
      <w:bodyDiv w:val="1"/>
      <w:marLeft w:val="0"/>
      <w:marRight w:val="0"/>
      <w:marTop w:val="0"/>
      <w:marBottom w:val="0"/>
      <w:divBdr>
        <w:top w:val="none" w:sz="0" w:space="0" w:color="auto"/>
        <w:left w:val="none" w:sz="0" w:space="0" w:color="auto"/>
        <w:bottom w:val="none" w:sz="0" w:space="0" w:color="auto"/>
        <w:right w:val="none" w:sz="0" w:space="0" w:color="auto"/>
      </w:divBdr>
    </w:div>
    <w:div w:id="530609715">
      <w:bodyDiv w:val="1"/>
      <w:marLeft w:val="0"/>
      <w:marRight w:val="0"/>
      <w:marTop w:val="0"/>
      <w:marBottom w:val="0"/>
      <w:divBdr>
        <w:top w:val="none" w:sz="0" w:space="0" w:color="auto"/>
        <w:left w:val="none" w:sz="0" w:space="0" w:color="auto"/>
        <w:bottom w:val="none" w:sz="0" w:space="0" w:color="auto"/>
        <w:right w:val="none" w:sz="0" w:space="0" w:color="auto"/>
      </w:divBdr>
    </w:div>
    <w:div w:id="537357398">
      <w:bodyDiv w:val="1"/>
      <w:marLeft w:val="0"/>
      <w:marRight w:val="0"/>
      <w:marTop w:val="0"/>
      <w:marBottom w:val="0"/>
      <w:divBdr>
        <w:top w:val="none" w:sz="0" w:space="0" w:color="auto"/>
        <w:left w:val="none" w:sz="0" w:space="0" w:color="auto"/>
        <w:bottom w:val="none" w:sz="0" w:space="0" w:color="auto"/>
        <w:right w:val="none" w:sz="0" w:space="0" w:color="auto"/>
      </w:divBdr>
    </w:div>
    <w:div w:id="538317657">
      <w:bodyDiv w:val="1"/>
      <w:marLeft w:val="0"/>
      <w:marRight w:val="0"/>
      <w:marTop w:val="0"/>
      <w:marBottom w:val="0"/>
      <w:divBdr>
        <w:top w:val="none" w:sz="0" w:space="0" w:color="auto"/>
        <w:left w:val="none" w:sz="0" w:space="0" w:color="auto"/>
        <w:bottom w:val="none" w:sz="0" w:space="0" w:color="auto"/>
        <w:right w:val="none" w:sz="0" w:space="0" w:color="auto"/>
      </w:divBdr>
    </w:div>
    <w:div w:id="542641084">
      <w:bodyDiv w:val="1"/>
      <w:marLeft w:val="0"/>
      <w:marRight w:val="0"/>
      <w:marTop w:val="0"/>
      <w:marBottom w:val="0"/>
      <w:divBdr>
        <w:top w:val="none" w:sz="0" w:space="0" w:color="auto"/>
        <w:left w:val="none" w:sz="0" w:space="0" w:color="auto"/>
        <w:bottom w:val="none" w:sz="0" w:space="0" w:color="auto"/>
        <w:right w:val="none" w:sz="0" w:space="0" w:color="auto"/>
      </w:divBdr>
    </w:div>
    <w:div w:id="543491672">
      <w:bodyDiv w:val="1"/>
      <w:marLeft w:val="0"/>
      <w:marRight w:val="0"/>
      <w:marTop w:val="0"/>
      <w:marBottom w:val="0"/>
      <w:divBdr>
        <w:top w:val="none" w:sz="0" w:space="0" w:color="auto"/>
        <w:left w:val="none" w:sz="0" w:space="0" w:color="auto"/>
        <w:bottom w:val="none" w:sz="0" w:space="0" w:color="auto"/>
        <w:right w:val="none" w:sz="0" w:space="0" w:color="auto"/>
      </w:divBdr>
    </w:div>
    <w:div w:id="543830760">
      <w:bodyDiv w:val="1"/>
      <w:marLeft w:val="0"/>
      <w:marRight w:val="0"/>
      <w:marTop w:val="0"/>
      <w:marBottom w:val="0"/>
      <w:divBdr>
        <w:top w:val="none" w:sz="0" w:space="0" w:color="auto"/>
        <w:left w:val="none" w:sz="0" w:space="0" w:color="auto"/>
        <w:bottom w:val="none" w:sz="0" w:space="0" w:color="auto"/>
        <w:right w:val="none" w:sz="0" w:space="0" w:color="auto"/>
      </w:divBdr>
    </w:div>
    <w:div w:id="545070017">
      <w:bodyDiv w:val="1"/>
      <w:marLeft w:val="0"/>
      <w:marRight w:val="0"/>
      <w:marTop w:val="0"/>
      <w:marBottom w:val="0"/>
      <w:divBdr>
        <w:top w:val="none" w:sz="0" w:space="0" w:color="auto"/>
        <w:left w:val="none" w:sz="0" w:space="0" w:color="auto"/>
        <w:bottom w:val="none" w:sz="0" w:space="0" w:color="auto"/>
        <w:right w:val="none" w:sz="0" w:space="0" w:color="auto"/>
      </w:divBdr>
    </w:div>
    <w:div w:id="545414472">
      <w:bodyDiv w:val="1"/>
      <w:marLeft w:val="0"/>
      <w:marRight w:val="0"/>
      <w:marTop w:val="0"/>
      <w:marBottom w:val="0"/>
      <w:divBdr>
        <w:top w:val="none" w:sz="0" w:space="0" w:color="auto"/>
        <w:left w:val="none" w:sz="0" w:space="0" w:color="auto"/>
        <w:bottom w:val="none" w:sz="0" w:space="0" w:color="auto"/>
        <w:right w:val="none" w:sz="0" w:space="0" w:color="auto"/>
      </w:divBdr>
    </w:div>
    <w:div w:id="546184195">
      <w:bodyDiv w:val="1"/>
      <w:marLeft w:val="0"/>
      <w:marRight w:val="0"/>
      <w:marTop w:val="0"/>
      <w:marBottom w:val="0"/>
      <w:divBdr>
        <w:top w:val="none" w:sz="0" w:space="0" w:color="auto"/>
        <w:left w:val="none" w:sz="0" w:space="0" w:color="auto"/>
        <w:bottom w:val="none" w:sz="0" w:space="0" w:color="auto"/>
        <w:right w:val="none" w:sz="0" w:space="0" w:color="auto"/>
      </w:divBdr>
    </w:div>
    <w:div w:id="558903057">
      <w:bodyDiv w:val="1"/>
      <w:marLeft w:val="0"/>
      <w:marRight w:val="0"/>
      <w:marTop w:val="0"/>
      <w:marBottom w:val="0"/>
      <w:divBdr>
        <w:top w:val="none" w:sz="0" w:space="0" w:color="auto"/>
        <w:left w:val="none" w:sz="0" w:space="0" w:color="auto"/>
        <w:bottom w:val="none" w:sz="0" w:space="0" w:color="auto"/>
        <w:right w:val="none" w:sz="0" w:space="0" w:color="auto"/>
      </w:divBdr>
    </w:div>
    <w:div w:id="587808732">
      <w:bodyDiv w:val="1"/>
      <w:marLeft w:val="0"/>
      <w:marRight w:val="0"/>
      <w:marTop w:val="0"/>
      <w:marBottom w:val="0"/>
      <w:divBdr>
        <w:top w:val="none" w:sz="0" w:space="0" w:color="auto"/>
        <w:left w:val="none" w:sz="0" w:space="0" w:color="auto"/>
        <w:bottom w:val="none" w:sz="0" w:space="0" w:color="auto"/>
        <w:right w:val="none" w:sz="0" w:space="0" w:color="auto"/>
      </w:divBdr>
    </w:div>
    <w:div w:id="598567453">
      <w:bodyDiv w:val="1"/>
      <w:marLeft w:val="0"/>
      <w:marRight w:val="0"/>
      <w:marTop w:val="0"/>
      <w:marBottom w:val="0"/>
      <w:divBdr>
        <w:top w:val="none" w:sz="0" w:space="0" w:color="auto"/>
        <w:left w:val="none" w:sz="0" w:space="0" w:color="auto"/>
        <w:bottom w:val="none" w:sz="0" w:space="0" w:color="auto"/>
        <w:right w:val="none" w:sz="0" w:space="0" w:color="auto"/>
      </w:divBdr>
    </w:div>
    <w:div w:id="605574547">
      <w:bodyDiv w:val="1"/>
      <w:marLeft w:val="0"/>
      <w:marRight w:val="0"/>
      <w:marTop w:val="0"/>
      <w:marBottom w:val="0"/>
      <w:divBdr>
        <w:top w:val="none" w:sz="0" w:space="0" w:color="auto"/>
        <w:left w:val="none" w:sz="0" w:space="0" w:color="auto"/>
        <w:bottom w:val="none" w:sz="0" w:space="0" w:color="auto"/>
        <w:right w:val="none" w:sz="0" w:space="0" w:color="auto"/>
      </w:divBdr>
    </w:div>
    <w:div w:id="617613980">
      <w:bodyDiv w:val="1"/>
      <w:marLeft w:val="0"/>
      <w:marRight w:val="0"/>
      <w:marTop w:val="0"/>
      <w:marBottom w:val="0"/>
      <w:divBdr>
        <w:top w:val="none" w:sz="0" w:space="0" w:color="auto"/>
        <w:left w:val="none" w:sz="0" w:space="0" w:color="auto"/>
        <w:bottom w:val="none" w:sz="0" w:space="0" w:color="auto"/>
        <w:right w:val="none" w:sz="0" w:space="0" w:color="auto"/>
      </w:divBdr>
    </w:div>
    <w:div w:id="619187150">
      <w:bodyDiv w:val="1"/>
      <w:marLeft w:val="0"/>
      <w:marRight w:val="0"/>
      <w:marTop w:val="0"/>
      <w:marBottom w:val="0"/>
      <w:divBdr>
        <w:top w:val="none" w:sz="0" w:space="0" w:color="auto"/>
        <w:left w:val="none" w:sz="0" w:space="0" w:color="auto"/>
        <w:bottom w:val="none" w:sz="0" w:space="0" w:color="auto"/>
        <w:right w:val="none" w:sz="0" w:space="0" w:color="auto"/>
      </w:divBdr>
    </w:div>
    <w:div w:id="620649356">
      <w:bodyDiv w:val="1"/>
      <w:marLeft w:val="0"/>
      <w:marRight w:val="0"/>
      <w:marTop w:val="0"/>
      <w:marBottom w:val="0"/>
      <w:divBdr>
        <w:top w:val="none" w:sz="0" w:space="0" w:color="auto"/>
        <w:left w:val="none" w:sz="0" w:space="0" w:color="auto"/>
        <w:bottom w:val="none" w:sz="0" w:space="0" w:color="auto"/>
        <w:right w:val="none" w:sz="0" w:space="0" w:color="auto"/>
      </w:divBdr>
    </w:div>
    <w:div w:id="624116707">
      <w:bodyDiv w:val="1"/>
      <w:marLeft w:val="0"/>
      <w:marRight w:val="0"/>
      <w:marTop w:val="0"/>
      <w:marBottom w:val="0"/>
      <w:divBdr>
        <w:top w:val="none" w:sz="0" w:space="0" w:color="auto"/>
        <w:left w:val="none" w:sz="0" w:space="0" w:color="auto"/>
        <w:bottom w:val="none" w:sz="0" w:space="0" w:color="auto"/>
        <w:right w:val="none" w:sz="0" w:space="0" w:color="auto"/>
      </w:divBdr>
    </w:div>
    <w:div w:id="627393377">
      <w:bodyDiv w:val="1"/>
      <w:marLeft w:val="0"/>
      <w:marRight w:val="0"/>
      <w:marTop w:val="0"/>
      <w:marBottom w:val="0"/>
      <w:divBdr>
        <w:top w:val="none" w:sz="0" w:space="0" w:color="auto"/>
        <w:left w:val="none" w:sz="0" w:space="0" w:color="auto"/>
        <w:bottom w:val="none" w:sz="0" w:space="0" w:color="auto"/>
        <w:right w:val="none" w:sz="0" w:space="0" w:color="auto"/>
      </w:divBdr>
    </w:div>
    <w:div w:id="631667328">
      <w:bodyDiv w:val="1"/>
      <w:marLeft w:val="0"/>
      <w:marRight w:val="0"/>
      <w:marTop w:val="0"/>
      <w:marBottom w:val="0"/>
      <w:divBdr>
        <w:top w:val="none" w:sz="0" w:space="0" w:color="auto"/>
        <w:left w:val="none" w:sz="0" w:space="0" w:color="auto"/>
        <w:bottom w:val="none" w:sz="0" w:space="0" w:color="auto"/>
        <w:right w:val="none" w:sz="0" w:space="0" w:color="auto"/>
      </w:divBdr>
    </w:div>
    <w:div w:id="638917894">
      <w:bodyDiv w:val="1"/>
      <w:marLeft w:val="0"/>
      <w:marRight w:val="0"/>
      <w:marTop w:val="0"/>
      <w:marBottom w:val="0"/>
      <w:divBdr>
        <w:top w:val="none" w:sz="0" w:space="0" w:color="auto"/>
        <w:left w:val="none" w:sz="0" w:space="0" w:color="auto"/>
        <w:bottom w:val="none" w:sz="0" w:space="0" w:color="auto"/>
        <w:right w:val="none" w:sz="0" w:space="0" w:color="auto"/>
      </w:divBdr>
    </w:div>
    <w:div w:id="639305016">
      <w:bodyDiv w:val="1"/>
      <w:marLeft w:val="0"/>
      <w:marRight w:val="0"/>
      <w:marTop w:val="0"/>
      <w:marBottom w:val="0"/>
      <w:divBdr>
        <w:top w:val="none" w:sz="0" w:space="0" w:color="auto"/>
        <w:left w:val="none" w:sz="0" w:space="0" w:color="auto"/>
        <w:bottom w:val="none" w:sz="0" w:space="0" w:color="auto"/>
        <w:right w:val="none" w:sz="0" w:space="0" w:color="auto"/>
      </w:divBdr>
    </w:div>
    <w:div w:id="646593635">
      <w:bodyDiv w:val="1"/>
      <w:marLeft w:val="0"/>
      <w:marRight w:val="0"/>
      <w:marTop w:val="0"/>
      <w:marBottom w:val="0"/>
      <w:divBdr>
        <w:top w:val="none" w:sz="0" w:space="0" w:color="auto"/>
        <w:left w:val="none" w:sz="0" w:space="0" w:color="auto"/>
        <w:bottom w:val="none" w:sz="0" w:space="0" w:color="auto"/>
        <w:right w:val="none" w:sz="0" w:space="0" w:color="auto"/>
      </w:divBdr>
    </w:div>
    <w:div w:id="656808990">
      <w:bodyDiv w:val="1"/>
      <w:marLeft w:val="0"/>
      <w:marRight w:val="0"/>
      <w:marTop w:val="0"/>
      <w:marBottom w:val="0"/>
      <w:divBdr>
        <w:top w:val="none" w:sz="0" w:space="0" w:color="auto"/>
        <w:left w:val="none" w:sz="0" w:space="0" w:color="auto"/>
        <w:bottom w:val="none" w:sz="0" w:space="0" w:color="auto"/>
        <w:right w:val="none" w:sz="0" w:space="0" w:color="auto"/>
      </w:divBdr>
    </w:div>
    <w:div w:id="663364463">
      <w:bodyDiv w:val="1"/>
      <w:marLeft w:val="0"/>
      <w:marRight w:val="0"/>
      <w:marTop w:val="0"/>
      <w:marBottom w:val="0"/>
      <w:divBdr>
        <w:top w:val="none" w:sz="0" w:space="0" w:color="auto"/>
        <w:left w:val="none" w:sz="0" w:space="0" w:color="auto"/>
        <w:bottom w:val="none" w:sz="0" w:space="0" w:color="auto"/>
        <w:right w:val="none" w:sz="0" w:space="0" w:color="auto"/>
      </w:divBdr>
    </w:div>
    <w:div w:id="671377088">
      <w:bodyDiv w:val="1"/>
      <w:marLeft w:val="0"/>
      <w:marRight w:val="0"/>
      <w:marTop w:val="0"/>
      <w:marBottom w:val="0"/>
      <w:divBdr>
        <w:top w:val="none" w:sz="0" w:space="0" w:color="auto"/>
        <w:left w:val="none" w:sz="0" w:space="0" w:color="auto"/>
        <w:bottom w:val="none" w:sz="0" w:space="0" w:color="auto"/>
        <w:right w:val="none" w:sz="0" w:space="0" w:color="auto"/>
      </w:divBdr>
    </w:div>
    <w:div w:id="674264118">
      <w:bodyDiv w:val="1"/>
      <w:marLeft w:val="0"/>
      <w:marRight w:val="0"/>
      <w:marTop w:val="0"/>
      <w:marBottom w:val="0"/>
      <w:divBdr>
        <w:top w:val="none" w:sz="0" w:space="0" w:color="auto"/>
        <w:left w:val="none" w:sz="0" w:space="0" w:color="auto"/>
        <w:bottom w:val="none" w:sz="0" w:space="0" w:color="auto"/>
        <w:right w:val="none" w:sz="0" w:space="0" w:color="auto"/>
      </w:divBdr>
    </w:div>
    <w:div w:id="677274564">
      <w:bodyDiv w:val="1"/>
      <w:marLeft w:val="0"/>
      <w:marRight w:val="0"/>
      <w:marTop w:val="0"/>
      <w:marBottom w:val="0"/>
      <w:divBdr>
        <w:top w:val="none" w:sz="0" w:space="0" w:color="auto"/>
        <w:left w:val="none" w:sz="0" w:space="0" w:color="auto"/>
        <w:bottom w:val="none" w:sz="0" w:space="0" w:color="auto"/>
        <w:right w:val="none" w:sz="0" w:space="0" w:color="auto"/>
      </w:divBdr>
    </w:div>
    <w:div w:id="684751468">
      <w:bodyDiv w:val="1"/>
      <w:marLeft w:val="0"/>
      <w:marRight w:val="0"/>
      <w:marTop w:val="0"/>
      <w:marBottom w:val="0"/>
      <w:divBdr>
        <w:top w:val="none" w:sz="0" w:space="0" w:color="auto"/>
        <w:left w:val="none" w:sz="0" w:space="0" w:color="auto"/>
        <w:bottom w:val="none" w:sz="0" w:space="0" w:color="auto"/>
        <w:right w:val="none" w:sz="0" w:space="0" w:color="auto"/>
      </w:divBdr>
    </w:div>
    <w:div w:id="688264574">
      <w:bodyDiv w:val="1"/>
      <w:marLeft w:val="0"/>
      <w:marRight w:val="0"/>
      <w:marTop w:val="0"/>
      <w:marBottom w:val="0"/>
      <w:divBdr>
        <w:top w:val="none" w:sz="0" w:space="0" w:color="auto"/>
        <w:left w:val="none" w:sz="0" w:space="0" w:color="auto"/>
        <w:bottom w:val="none" w:sz="0" w:space="0" w:color="auto"/>
        <w:right w:val="none" w:sz="0" w:space="0" w:color="auto"/>
      </w:divBdr>
    </w:div>
    <w:div w:id="690881178">
      <w:bodyDiv w:val="1"/>
      <w:marLeft w:val="0"/>
      <w:marRight w:val="0"/>
      <w:marTop w:val="0"/>
      <w:marBottom w:val="0"/>
      <w:divBdr>
        <w:top w:val="none" w:sz="0" w:space="0" w:color="auto"/>
        <w:left w:val="none" w:sz="0" w:space="0" w:color="auto"/>
        <w:bottom w:val="none" w:sz="0" w:space="0" w:color="auto"/>
        <w:right w:val="none" w:sz="0" w:space="0" w:color="auto"/>
      </w:divBdr>
    </w:div>
    <w:div w:id="693305475">
      <w:bodyDiv w:val="1"/>
      <w:marLeft w:val="0"/>
      <w:marRight w:val="0"/>
      <w:marTop w:val="0"/>
      <w:marBottom w:val="0"/>
      <w:divBdr>
        <w:top w:val="none" w:sz="0" w:space="0" w:color="auto"/>
        <w:left w:val="none" w:sz="0" w:space="0" w:color="auto"/>
        <w:bottom w:val="none" w:sz="0" w:space="0" w:color="auto"/>
        <w:right w:val="none" w:sz="0" w:space="0" w:color="auto"/>
      </w:divBdr>
    </w:div>
    <w:div w:id="694043363">
      <w:bodyDiv w:val="1"/>
      <w:marLeft w:val="0"/>
      <w:marRight w:val="0"/>
      <w:marTop w:val="0"/>
      <w:marBottom w:val="0"/>
      <w:divBdr>
        <w:top w:val="none" w:sz="0" w:space="0" w:color="auto"/>
        <w:left w:val="none" w:sz="0" w:space="0" w:color="auto"/>
        <w:bottom w:val="none" w:sz="0" w:space="0" w:color="auto"/>
        <w:right w:val="none" w:sz="0" w:space="0" w:color="auto"/>
      </w:divBdr>
    </w:div>
    <w:div w:id="696735877">
      <w:bodyDiv w:val="1"/>
      <w:marLeft w:val="0"/>
      <w:marRight w:val="0"/>
      <w:marTop w:val="0"/>
      <w:marBottom w:val="0"/>
      <w:divBdr>
        <w:top w:val="none" w:sz="0" w:space="0" w:color="auto"/>
        <w:left w:val="none" w:sz="0" w:space="0" w:color="auto"/>
        <w:bottom w:val="none" w:sz="0" w:space="0" w:color="auto"/>
        <w:right w:val="none" w:sz="0" w:space="0" w:color="auto"/>
      </w:divBdr>
    </w:div>
    <w:div w:id="697655966">
      <w:bodyDiv w:val="1"/>
      <w:marLeft w:val="0"/>
      <w:marRight w:val="0"/>
      <w:marTop w:val="0"/>
      <w:marBottom w:val="0"/>
      <w:divBdr>
        <w:top w:val="none" w:sz="0" w:space="0" w:color="auto"/>
        <w:left w:val="none" w:sz="0" w:space="0" w:color="auto"/>
        <w:bottom w:val="none" w:sz="0" w:space="0" w:color="auto"/>
        <w:right w:val="none" w:sz="0" w:space="0" w:color="auto"/>
      </w:divBdr>
    </w:div>
    <w:div w:id="699547279">
      <w:bodyDiv w:val="1"/>
      <w:marLeft w:val="0"/>
      <w:marRight w:val="0"/>
      <w:marTop w:val="0"/>
      <w:marBottom w:val="0"/>
      <w:divBdr>
        <w:top w:val="none" w:sz="0" w:space="0" w:color="auto"/>
        <w:left w:val="none" w:sz="0" w:space="0" w:color="auto"/>
        <w:bottom w:val="none" w:sz="0" w:space="0" w:color="auto"/>
        <w:right w:val="none" w:sz="0" w:space="0" w:color="auto"/>
      </w:divBdr>
    </w:div>
    <w:div w:id="704330085">
      <w:bodyDiv w:val="1"/>
      <w:marLeft w:val="0"/>
      <w:marRight w:val="0"/>
      <w:marTop w:val="0"/>
      <w:marBottom w:val="0"/>
      <w:divBdr>
        <w:top w:val="none" w:sz="0" w:space="0" w:color="auto"/>
        <w:left w:val="none" w:sz="0" w:space="0" w:color="auto"/>
        <w:bottom w:val="none" w:sz="0" w:space="0" w:color="auto"/>
        <w:right w:val="none" w:sz="0" w:space="0" w:color="auto"/>
      </w:divBdr>
    </w:div>
    <w:div w:id="704987233">
      <w:bodyDiv w:val="1"/>
      <w:marLeft w:val="0"/>
      <w:marRight w:val="0"/>
      <w:marTop w:val="0"/>
      <w:marBottom w:val="0"/>
      <w:divBdr>
        <w:top w:val="none" w:sz="0" w:space="0" w:color="auto"/>
        <w:left w:val="none" w:sz="0" w:space="0" w:color="auto"/>
        <w:bottom w:val="none" w:sz="0" w:space="0" w:color="auto"/>
        <w:right w:val="none" w:sz="0" w:space="0" w:color="auto"/>
      </w:divBdr>
    </w:div>
    <w:div w:id="705760046">
      <w:bodyDiv w:val="1"/>
      <w:marLeft w:val="0"/>
      <w:marRight w:val="0"/>
      <w:marTop w:val="0"/>
      <w:marBottom w:val="0"/>
      <w:divBdr>
        <w:top w:val="none" w:sz="0" w:space="0" w:color="auto"/>
        <w:left w:val="none" w:sz="0" w:space="0" w:color="auto"/>
        <w:bottom w:val="none" w:sz="0" w:space="0" w:color="auto"/>
        <w:right w:val="none" w:sz="0" w:space="0" w:color="auto"/>
      </w:divBdr>
    </w:div>
    <w:div w:id="707610680">
      <w:bodyDiv w:val="1"/>
      <w:marLeft w:val="0"/>
      <w:marRight w:val="0"/>
      <w:marTop w:val="0"/>
      <w:marBottom w:val="0"/>
      <w:divBdr>
        <w:top w:val="none" w:sz="0" w:space="0" w:color="auto"/>
        <w:left w:val="none" w:sz="0" w:space="0" w:color="auto"/>
        <w:bottom w:val="none" w:sz="0" w:space="0" w:color="auto"/>
        <w:right w:val="none" w:sz="0" w:space="0" w:color="auto"/>
      </w:divBdr>
    </w:div>
    <w:div w:id="709110426">
      <w:bodyDiv w:val="1"/>
      <w:marLeft w:val="0"/>
      <w:marRight w:val="0"/>
      <w:marTop w:val="0"/>
      <w:marBottom w:val="0"/>
      <w:divBdr>
        <w:top w:val="none" w:sz="0" w:space="0" w:color="auto"/>
        <w:left w:val="none" w:sz="0" w:space="0" w:color="auto"/>
        <w:bottom w:val="none" w:sz="0" w:space="0" w:color="auto"/>
        <w:right w:val="none" w:sz="0" w:space="0" w:color="auto"/>
      </w:divBdr>
    </w:div>
    <w:div w:id="710110320">
      <w:bodyDiv w:val="1"/>
      <w:marLeft w:val="0"/>
      <w:marRight w:val="0"/>
      <w:marTop w:val="0"/>
      <w:marBottom w:val="0"/>
      <w:divBdr>
        <w:top w:val="none" w:sz="0" w:space="0" w:color="auto"/>
        <w:left w:val="none" w:sz="0" w:space="0" w:color="auto"/>
        <w:bottom w:val="none" w:sz="0" w:space="0" w:color="auto"/>
        <w:right w:val="none" w:sz="0" w:space="0" w:color="auto"/>
      </w:divBdr>
    </w:div>
    <w:div w:id="722287987">
      <w:bodyDiv w:val="1"/>
      <w:marLeft w:val="0"/>
      <w:marRight w:val="0"/>
      <w:marTop w:val="0"/>
      <w:marBottom w:val="0"/>
      <w:divBdr>
        <w:top w:val="none" w:sz="0" w:space="0" w:color="auto"/>
        <w:left w:val="none" w:sz="0" w:space="0" w:color="auto"/>
        <w:bottom w:val="none" w:sz="0" w:space="0" w:color="auto"/>
        <w:right w:val="none" w:sz="0" w:space="0" w:color="auto"/>
      </w:divBdr>
    </w:div>
    <w:div w:id="726532639">
      <w:bodyDiv w:val="1"/>
      <w:marLeft w:val="0"/>
      <w:marRight w:val="0"/>
      <w:marTop w:val="0"/>
      <w:marBottom w:val="0"/>
      <w:divBdr>
        <w:top w:val="none" w:sz="0" w:space="0" w:color="auto"/>
        <w:left w:val="none" w:sz="0" w:space="0" w:color="auto"/>
        <w:bottom w:val="none" w:sz="0" w:space="0" w:color="auto"/>
        <w:right w:val="none" w:sz="0" w:space="0" w:color="auto"/>
      </w:divBdr>
    </w:div>
    <w:div w:id="730663582">
      <w:bodyDiv w:val="1"/>
      <w:marLeft w:val="0"/>
      <w:marRight w:val="0"/>
      <w:marTop w:val="0"/>
      <w:marBottom w:val="0"/>
      <w:divBdr>
        <w:top w:val="none" w:sz="0" w:space="0" w:color="auto"/>
        <w:left w:val="none" w:sz="0" w:space="0" w:color="auto"/>
        <w:bottom w:val="none" w:sz="0" w:space="0" w:color="auto"/>
        <w:right w:val="none" w:sz="0" w:space="0" w:color="auto"/>
      </w:divBdr>
    </w:div>
    <w:div w:id="731344702">
      <w:bodyDiv w:val="1"/>
      <w:marLeft w:val="0"/>
      <w:marRight w:val="0"/>
      <w:marTop w:val="0"/>
      <w:marBottom w:val="0"/>
      <w:divBdr>
        <w:top w:val="none" w:sz="0" w:space="0" w:color="auto"/>
        <w:left w:val="none" w:sz="0" w:space="0" w:color="auto"/>
        <w:bottom w:val="none" w:sz="0" w:space="0" w:color="auto"/>
        <w:right w:val="none" w:sz="0" w:space="0" w:color="auto"/>
      </w:divBdr>
    </w:div>
    <w:div w:id="734202644">
      <w:bodyDiv w:val="1"/>
      <w:marLeft w:val="0"/>
      <w:marRight w:val="0"/>
      <w:marTop w:val="0"/>
      <w:marBottom w:val="0"/>
      <w:divBdr>
        <w:top w:val="none" w:sz="0" w:space="0" w:color="auto"/>
        <w:left w:val="none" w:sz="0" w:space="0" w:color="auto"/>
        <w:bottom w:val="none" w:sz="0" w:space="0" w:color="auto"/>
        <w:right w:val="none" w:sz="0" w:space="0" w:color="auto"/>
      </w:divBdr>
    </w:div>
    <w:div w:id="734859590">
      <w:bodyDiv w:val="1"/>
      <w:marLeft w:val="0"/>
      <w:marRight w:val="0"/>
      <w:marTop w:val="0"/>
      <w:marBottom w:val="0"/>
      <w:divBdr>
        <w:top w:val="none" w:sz="0" w:space="0" w:color="auto"/>
        <w:left w:val="none" w:sz="0" w:space="0" w:color="auto"/>
        <w:bottom w:val="none" w:sz="0" w:space="0" w:color="auto"/>
        <w:right w:val="none" w:sz="0" w:space="0" w:color="auto"/>
      </w:divBdr>
    </w:div>
    <w:div w:id="739056565">
      <w:bodyDiv w:val="1"/>
      <w:marLeft w:val="0"/>
      <w:marRight w:val="0"/>
      <w:marTop w:val="0"/>
      <w:marBottom w:val="0"/>
      <w:divBdr>
        <w:top w:val="none" w:sz="0" w:space="0" w:color="auto"/>
        <w:left w:val="none" w:sz="0" w:space="0" w:color="auto"/>
        <w:bottom w:val="none" w:sz="0" w:space="0" w:color="auto"/>
        <w:right w:val="none" w:sz="0" w:space="0" w:color="auto"/>
      </w:divBdr>
    </w:div>
    <w:div w:id="741413925">
      <w:bodyDiv w:val="1"/>
      <w:marLeft w:val="0"/>
      <w:marRight w:val="0"/>
      <w:marTop w:val="0"/>
      <w:marBottom w:val="0"/>
      <w:divBdr>
        <w:top w:val="none" w:sz="0" w:space="0" w:color="auto"/>
        <w:left w:val="none" w:sz="0" w:space="0" w:color="auto"/>
        <w:bottom w:val="none" w:sz="0" w:space="0" w:color="auto"/>
        <w:right w:val="none" w:sz="0" w:space="0" w:color="auto"/>
      </w:divBdr>
    </w:div>
    <w:div w:id="742146891">
      <w:bodyDiv w:val="1"/>
      <w:marLeft w:val="0"/>
      <w:marRight w:val="0"/>
      <w:marTop w:val="0"/>
      <w:marBottom w:val="0"/>
      <w:divBdr>
        <w:top w:val="none" w:sz="0" w:space="0" w:color="auto"/>
        <w:left w:val="none" w:sz="0" w:space="0" w:color="auto"/>
        <w:bottom w:val="none" w:sz="0" w:space="0" w:color="auto"/>
        <w:right w:val="none" w:sz="0" w:space="0" w:color="auto"/>
      </w:divBdr>
    </w:div>
    <w:div w:id="748356121">
      <w:bodyDiv w:val="1"/>
      <w:marLeft w:val="0"/>
      <w:marRight w:val="0"/>
      <w:marTop w:val="0"/>
      <w:marBottom w:val="0"/>
      <w:divBdr>
        <w:top w:val="none" w:sz="0" w:space="0" w:color="auto"/>
        <w:left w:val="none" w:sz="0" w:space="0" w:color="auto"/>
        <w:bottom w:val="none" w:sz="0" w:space="0" w:color="auto"/>
        <w:right w:val="none" w:sz="0" w:space="0" w:color="auto"/>
      </w:divBdr>
    </w:div>
    <w:div w:id="750278972">
      <w:bodyDiv w:val="1"/>
      <w:marLeft w:val="0"/>
      <w:marRight w:val="0"/>
      <w:marTop w:val="0"/>
      <w:marBottom w:val="0"/>
      <w:divBdr>
        <w:top w:val="none" w:sz="0" w:space="0" w:color="auto"/>
        <w:left w:val="none" w:sz="0" w:space="0" w:color="auto"/>
        <w:bottom w:val="none" w:sz="0" w:space="0" w:color="auto"/>
        <w:right w:val="none" w:sz="0" w:space="0" w:color="auto"/>
      </w:divBdr>
    </w:div>
    <w:div w:id="753169053">
      <w:bodyDiv w:val="1"/>
      <w:marLeft w:val="0"/>
      <w:marRight w:val="0"/>
      <w:marTop w:val="0"/>
      <w:marBottom w:val="0"/>
      <w:divBdr>
        <w:top w:val="none" w:sz="0" w:space="0" w:color="auto"/>
        <w:left w:val="none" w:sz="0" w:space="0" w:color="auto"/>
        <w:bottom w:val="none" w:sz="0" w:space="0" w:color="auto"/>
        <w:right w:val="none" w:sz="0" w:space="0" w:color="auto"/>
      </w:divBdr>
    </w:div>
    <w:div w:id="768238222">
      <w:bodyDiv w:val="1"/>
      <w:marLeft w:val="0"/>
      <w:marRight w:val="0"/>
      <w:marTop w:val="0"/>
      <w:marBottom w:val="0"/>
      <w:divBdr>
        <w:top w:val="none" w:sz="0" w:space="0" w:color="auto"/>
        <w:left w:val="none" w:sz="0" w:space="0" w:color="auto"/>
        <w:bottom w:val="none" w:sz="0" w:space="0" w:color="auto"/>
        <w:right w:val="none" w:sz="0" w:space="0" w:color="auto"/>
      </w:divBdr>
    </w:div>
    <w:div w:id="773407134">
      <w:bodyDiv w:val="1"/>
      <w:marLeft w:val="0"/>
      <w:marRight w:val="0"/>
      <w:marTop w:val="0"/>
      <w:marBottom w:val="0"/>
      <w:divBdr>
        <w:top w:val="none" w:sz="0" w:space="0" w:color="auto"/>
        <w:left w:val="none" w:sz="0" w:space="0" w:color="auto"/>
        <w:bottom w:val="none" w:sz="0" w:space="0" w:color="auto"/>
        <w:right w:val="none" w:sz="0" w:space="0" w:color="auto"/>
      </w:divBdr>
    </w:div>
    <w:div w:id="776680303">
      <w:bodyDiv w:val="1"/>
      <w:marLeft w:val="0"/>
      <w:marRight w:val="0"/>
      <w:marTop w:val="0"/>
      <w:marBottom w:val="0"/>
      <w:divBdr>
        <w:top w:val="none" w:sz="0" w:space="0" w:color="auto"/>
        <w:left w:val="none" w:sz="0" w:space="0" w:color="auto"/>
        <w:bottom w:val="none" w:sz="0" w:space="0" w:color="auto"/>
        <w:right w:val="none" w:sz="0" w:space="0" w:color="auto"/>
      </w:divBdr>
    </w:div>
    <w:div w:id="777724237">
      <w:bodyDiv w:val="1"/>
      <w:marLeft w:val="0"/>
      <w:marRight w:val="0"/>
      <w:marTop w:val="0"/>
      <w:marBottom w:val="0"/>
      <w:divBdr>
        <w:top w:val="none" w:sz="0" w:space="0" w:color="auto"/>
        <w:left w:val="none" w:sz="0" w:space="0" w:color="auto"/>
        <w:bottom w:val="none" w:sz="0" w:space="0" w:color="auto"/>
        <w:right w:val="none" w:sz="0" w:space="0" w:color="auto"/>
      </w:divBdr>
    </w:div>
    <w:div w:id="780882494">
      <w:bodyDiv w:val="1"/>
      <w:marLeft w:val="0"/>
      <w:marRight w:val="0"/>
      <w:marTop w:val="0"/>
      <w:marBottom w:val="0"/>
      <w:divBdr>
        <w:top w:val="none" w:sz="0" w:space="0" w:color="auto"/>
        <w:left w:val="none" w:sz="0" w:space="0" w:color="auto"/>
        <w:bottom w:val="none" w:sz="0" w:space="0" w:color="auto"/>
        <w:right w:val="none" w:sz="0" w:space="0" w:color="auto"/>
      </w:divBdr>
    </w:div>
    <w:div w:id="785197291">
      <w:bodyDiv w:val="1"/>
      <w:marLeft w:val="0"/>
      <w:marRight w:val="0"/>
      <w:marTop w:val="0"/>
      <w:marBottom w:val="0"/>
      <w:divBdr>
        <w:top w:val="none" w:sz="0" w:space="0" w:color="auto"/>
        <w:left w:val="none" w:sz="0" w:space="0" w:color="auto"/>
        <w:bottom w:val="none" w:sz="0" w:space="0" w:color="auto"/>
        <w:right w:val="none" w:sz="0" w:space="0" w:color="auto"/>
      </w:divBdr>
    </w:div>
    <w:div w:id="791098193">
      <w:bodyDiv w:val="1"/>
      <w:marLeft w:val="0"/>
      <w:marRight w:val="0"/>
      <w:marTop w:val="0"/>
      <w:marBottom w:val="0"/>
      <w:divBdr>
        <w:top w:val="none" w:sz="0" w:space="0" w:color="auto"/>
        <w:left w:val="none" w:sz="0" w:space="0" w:color="auto"/>
        <w:bottom w:val="none" w:sz="0" w:space="0" w:color="auto"/>
        <w:right w:val="none" w:sz="0" w:space="0" w:color="auto"/>
      </w:divBdr>
    </w:div>
    <w:div w:id="792404489">
      <w:bodyDiv w:val="1"/>
      <w:marLeft w:val="0"/>
      <w:marRight w:val="0"/>
      <w:marTop w:val="0"/>
      <w:marBottom w:val="0"/>
      <w:divBdr>
        <w:top w:val="none" w:sz="0" w:space="0" w:color="auto"/>
        <w:left w:val="none" w:sz="0" w:space="0" w:color="auto"/>
        <w:bottom w:val="none" w:sz="0" w:space="0" w:color="auto"/>
        <w:right w:val="none" w:sz="0" w:space="0" w:color="auto"/>
      </w:divBdr>
    </w:div>
    <w:div w:id="792527283">
      <w:bodyDiv w:val="1"/>
      <w:marLeft w:val="0"/>
      <w:marRight w:val="0"/>
      <w:marTop w:val="0"/>
      <w:marBottom w:val="0"/>
      <w:divBdr>
        <w:top w:val="none" w:sz="0" w:space="0" w:color="auto"/>
        <w:left w:val="none" w:sz="0" w:space="0" w:color="auto"/>
        <w:bottom w:val="none" w:sz="0" w:space="0" w:color="auto"/>
        <w:right w:val="none" w:sz="0" w:space="0" w:color="auto"/>
      </w:divBdr>
    </w:div>
    <w:div w:id="795415565">
      <w:bodyDiv w:val="1"/>
      <w:marLeft w:val="0"/>
      <w:marRight w:val="0"/>
      <w:marTop w:val="0"/>
      <w:marBottom w:val="0"/>
      <w:divBdr>
        <w:top w:val="none" w:sz="0" w:space="0" w:color="auto"/>
        <w:left w:val="none" w:sz="0" w:space="0" w:color="auto"/>
        <w:bottom w:val="none" w:sz="0" w:space="0" w:color="auto"/>
        <w:right w:val="none" w:sz="0" w:space="0" w:color="auto"/>
      </w:divBdr>
    </w:div>
    <w:div w:id="802040207">
      <w:bodyDiv w:val="1"/>
      <w:marLeft w:val="0"/>
      <w:marRight w:val="0"/>
      <w:marTop w:val="0"/>
      <w:marBottom w:val="0"/>
      <w:divBdr>
        <w:top w:val="none" w:sz="0" w:space="0" w:color="auto"/>
        <w:left w:val="none" w:sz="0" w:space="0" w:color="auto"/>
        <w:bottom w:val="none" w:sz="0" w:space="0" w:color="auto"/>
        <w:right w:val="none" w:sz="0" w:space="0" w:color="auto"/>
      </w:divBdr>
    </w:div>
    <w:div w:id="803502734">
      <w:bodyDiv w:val="1"/>
      <w:marLeft w:val="0"/>
      <w:marRight w:val="0"/>
      <w:marTop w:val="0"/>
      <w:marBottom w:val="0"/>
      <w:divBdr>
        <w:top w:val="none" w:sz="0" w:space="0" w:color="auto"/>
        <w:left w:val="none" w:sz="0" w:space="0" w:color="auto"/>
        <w:bottom w:val="none" w:sz="0" w:space="0" w:color="auto"/>
        <w:right w:val="none" w:sz="0" w:space="0" w:color="auto"/>
      </w:divBdr>
    </w:div>
    <w:div w:id="812672932">
      <w:bodyDiv w:val="1"/>
      <w:marLeft w:val="0"/>
      <w:marRight w:val="0"/>
      <w:marTop w:val="0"/>
      <w:marBottom w:val="0"/>
      <w:divBdr>
        <w:top w:val="none" w:sz="0" w:space="0" w:color="auto"/>
        <w:left w:val="none" w:sz="0" w:space="0" w:color="auto"/>
        <w:bottom w:val="none" w:sz="0" w:space="0" w:color="auto"/>
        <w:right w:val="none" w:sz="0" w:space="0" w:color="auto"/>
      </w:divBdr>
    </w:div>
    <w:div w:id="816410446">
      <w:bodyDiv w:val="1"/>
      <w:marLeft w:val="0"/>
      <w:marRight w:val="0"/>
      <w:marTop w:val="0"/>
      <w:marBottom w:val="0"/>
      <w:divBdr>
        <w:top w:val="none" w:sz="0" w:space="0" w:color="auto"/>
        <w:left w:val="none" w:sz="0" w:space="0" w:color="auto"/>
        <w:bottom w:val="none" w:sz="0" w:space="0" w:color="auto"/>
        <w:right w:val="none" w:sz="0" w:space="0" w:color="auto"/>
      </w:divBdr>
    </w:div>
    <w:div w:id="819884750">
      <w:bodyDiv w:val="1"/>
      <w:marLeft w:val="0"/>
      <w:marRight w:val="0"/>
      <w:marTop w:val="0"/>
      <w:marBottom w:val="0"/>
      <w:divBdr>
        <w:top w:val="none" w:sz="0" w:space="0" w:color="auto"/>
        <w:left w:val="none" w:sz="0" w:space="0" w:color="auto"/>
        <w:bottom w:val="none" w:sz="0" w:space="0" w:color="auto"/>
        <w:right w:val="none" w:sz="0" w:space="0" w:color="auto"/>
      </w:divBdr>
    </w:div>
    <w:div w:id="826364171">
      <w:bodyDiv w:val="1"/>
      <w:marLeft w:val="0"/>
      <w:marRight w:val="0"/>
      <w:marTop w:val="0"/>
      <w:marBottom w:val="0"/>
      <w:divBdr>
        <w:top w:val="none" w:sz="0" w:space="0" w:color="auto"/>
        <w:left w:val="none" w:sz="0" w:space="0" w:color="auto"/>
        <w:bottom w:val="none" w:sz="0" w:space="0" w:color="auto"/>
        <w:right w:val="none" w:sz="0" w:space="0" w:color="auto"/>
      </w:divBdr>
    </w:div>
    <w:div w:id="837229443">
      <w:bodyDiv w:val="1"/>
      <w:marLeft w:val="0"/>
      <w:marRight w:val="0"/>
      <w:marTop w:val="0"/>
      <w:marBottom w:val="0"/>
      <w:divBdr>
        <w:top w:val="none" w:sz="0" w:space="0" w:color="auto"/>
        <w:left w:val="none" w:sz="0" w:space="0" w:color="auto"/>
        <w:bottom w:val="none" w:sz="0" w:space="0" w:color="auto"/>
        <w:right w:val="none" w:sz="0" w:space="0" w:color="auto"/>
      </w:divBdr>
    </w:div>
    <w:div w:id="840045449">
      <w:bodyDiv w:val="1"/>
      <w:marLeft w:val="0"/>
      <w:marRight w:val="0"/>
      <w:marTop w:val="0"/>
      <w:marBottom w:val="0"/>
      <w:divBdr>
        <w:top w:val="none" w:sz="0" w:space="0" w:color="auto"/>
        <w:left w:val="none" w:sz="0" w:space="0" w:color="auto"/>
        <w:bottom w:val="none" w:sz="0" w:space="0" w:color="auto"/>
        <w:right w:val="none" w:sz="0" w:space="0" w:color="auto"/>
      </w:divBdr>
    </w:div>
    <w:div w:id="840704864">
      <w:bodyDiv w:val="1"/>
      <w:marLeft w:val="0"/>
      <w:marRight w:val="0"/>
      <w:marTop w:val="0"/>
      <w:marBottom w:val="0"/>
      <w:divBdr>
        <w:top w:val="none" w:sz="0" w:space="0" w:color="auto"/>
        <w:left w:val="none" w:sz="0" w:space="0" w:color="auto"/>
        <w:bottom w:val="none" w:sz="0" w:space="0" w:color="auto"/>
        <w:right w:val="none" w:sz="0" w:space="0" w:color="auto"/>
      </w:divBdr>
    </w:div>
    <w:div w:id="841971572">
      <w:bodyDiv w:val="1"/>
      <w:marLeft w:val="0"/>
      <w:marRight w:val="0"/>
      <w:marTop w:val="0"/>
      <w:marBottom w:val="0"/>
      <w:divBdr>
        <w:top w:val="none" w:sz="0" w:space="0" w:color="auto"/>
        <w:left w:val="none" w:sz="0" w:space="0" w:color="auto"/>
        <w:bottom w:val="none" w:sz="0" w:space="0" w:color="auto"/>
        <w:right w:val="none" w:sz="0" w:space="0" w:color="auto"/>
      </w:divBdr>
    </w:div>
    <w:div w:id="846869539">
      <w:bodyDiv w:val="1"/>
      <w:marLeft w:val="0"/>
      <w:marRight w:val="0"/>
      <w:marTop w:val="0"/>
      <w:marBottom w:val="0"/>
      <w:divBdr>
        <w:top w:val="none" w:sz="0" w:space="0" w:color="auto"/>
        <w:left w:val="none" w:sz="0" w:space="0" w:color="auto"/>
        <w:bottom w:val="none" w:sz="0" w:space="0" w:color="auto"/>
        <w:right w:val="none" w:sz="0" w:space="0" w:color="auto"/>
      </w:divBdr>
    </w:div>
    <w:div w:id="852501738">
      <w:bodyDiv w:val="1"/>
      <w:marLeft w:val="0"/>
      <w:marRight w:val="0"/>
      <w:marTop w:val="0"/>
      <w:marBottom w:val="0"/>
      <w:divBdr>
        <w:top w:val="none" w:sz="0" w:space="0" w:color="auto"/>
        <w:left w:val="none" w:sz="0" w:space="0" w:color="auto"/>
        <w:bottom w:val="none" w:sz="0" w:space="0" w:color="auto"/>
        <w:right w:val="none" w:sz="0" w:space="0" w:color="auto"/>
      </w:divBdr>
    </w:div>
    <w:div w:id="861212305">
      <w:bodyDiv w:val="1"/>
      <w:marLeft w:val="0"/>
      <w:marRight w:val="0"/>
      <w:marTop w:val="0"/>
      <w:marBottom w:val="0"/>
      <w:divBdr>
        <w:top w:val="none" w:sz="0" w:space="0" w:color="auto"/>
        <w:left w:val="none" w:sz="0" w:space="0" w:color="auto"/>
        <w:bottom w:val="none" w:sz="0" w:space="0" w:color="auto"/>
        <w:right w:val="none" w:sz="0" w:space="0" w:color="auto"/>
      </w:divBdr>
    </w:div>
    <w:div w:id="865294598">
      <w:bodyDiv w:val="1"/>
      <w:marLeft w:val="0"/>
      <w:marRight w:val="0"/>
      <w:marTop w:val="0"/>
      <w:marBottom w:val="0"/>
      <w:divBdr>
        <w:top w:val="none" w:sz="0" w:space="0" w:color="auto"/>
        <w:left w:val="none" w:sz="0" w:space="0" w:color="auto"/>
        <w:bottom w:val="none" w:sz="0" w:space="0" w:color="auto"/>
        <w:right w:val="none" w:sz="0" w:space="0" w:color="auto"/>
      </w:divBdr>
    </w:div>
    <w:div w:id="866060836">
      <w:bodyDiv w:val="1"/>
      <w:marLeft w:val="0"/>
      <w:marRight w:val="0"/>
      <w:marTop w:val="0"/>
      <w:marBottom w:val="0"/>
      <w:divBdr>
        <w:top w:val="none" w:sz="0" w:space="0" w:color="auto"/>
        <w:left w:val="none" w:sz="0" w:space="0" w:color="auto"/>
        <w:bottom w:val="none" w:sz="0" w:space="0" w:color="auto"/>
        <w:right w:val="none" w:sz="0" w:space="0" w:color="auto"/>
      </w:divBdr>
    </w:div>
    <w:div w:id="870268390">
      <w:bodyDiv w:val="1"/>
      <w:marLeft w:val="0"/>
      <w:marRight w:val="0"/>
      <w:marTop w:val="0"/>
      <w:marBottom w:val="0"/>
      <w:divBdr>
        <w:top w:val="none" w:sz="0" w:space="0" w:color="auto"/>
        <w:left w:val="none" w:sz="0" w:space="0" w:color="auto"/>
        <w:bottom w:val="none" w:sz="0" w:space="0" w:color="auto"/>
        <w:right w:val="none" w:sz="0" w:space="0" w:color="auto"/>
      </w:divBdr>
    </w:div>
    <w:div w:id="871654822">
      <w:bodyDiv w:val="1"/>
      <w:marLeft w:val="0"/>
      <w:marRight w:val="0"/>
      <w:marTop w:val="0"/>
      <w:marBottom w:val="0"/>
      <w:divBdr>
        <w:top w:val="none" w:sz="0" w:space="0" w:color="auto"/>
        <w:left w:val="none" w:sz="0" w:space="0" w:color="auto"/>
        <w:bottom w:val="none" w:sz="0" w:space="0" w:color="auto"/>
        <w:right w:val="none" w:sz="0" w:space="0" w:color="auto"/>
      </w:divBdr>
    </w:div>
    <w:div w:id="873735088">
      <w:bodyDiv w:val="1"/>
      <w:marLeft w:val="0"/>
      <w:marRight w:val="0"/>
      <w:marTop w:val="0"/>
      <w:marBottom w:val="0"/>
      <w:divBdr>
        <w:top w:val="none" w:sz="0" w:space="0" w:color="auto"/>
        <w:left w:val="none" w:sz="0" w:space="0" w:color="auto"/>
        <w:bottom w:val="none" w:sz="0" w:space="0" w:color="auto"/>
        <w:right w:val="none" w:sz="0" w:space="0" w:color="auto"/>
      </w:divBdr>
    </w:div>
    <w:div w:id="874122549">
      <w:bodyDiv w:val="1"/>
      <w:marLeft w:val="0"/>
      <w:marRight w:val="0"/>
      <w:marTop w:val="0"/>
      <w:marBottom w:val="0"/>
      <w:divBdr>
        <w:top w:val="none" w:sz="0" w:space="0" w:color="auto"/>
        <w:left w:val="none" w:sz="0" w:space="0" w:color="auto"/>
        <w:bottom w:val="none" w:sz="0" w:space="0" w:color="auto"/>
        <w:right w:val="none" w:sz="0" w:space="0" w:color="auto"/>
      </w:divBdr>
    </w:div>
    <w:div w:id="877353576">
      <w:bodyDiv w:val="1"/>
      <w:marLeft w:val="0"/>
      <w:marRight w:val="0"/>
      <w:marTop w:val="0"/>
      <w:marBottom w:val="0"/>
      <w:divBdr>
        <w:top w:val="none" w:sz="0" w:space="0" w:color="auto"/>
        <w:left w:val="none" w:sz="0" w:space="0" w:color="auto"/>
        <w:bottom w:val="none" w:sz="0" w:space="0" w:color="auto"/>
        <w:right w:val="none" w:sz="0" w:space="0" w:color="auto"/>
      </w:divBdr>
    </w:div>
    <w:div w:id="881790867">
      <w:bodyDiv w:val="1"/>
      <w:marLeft w:val="0"/>
      <w:marRight w:val="0"/>
      <w:marTop w:val="0"/>
      <w:marBottom w:val="0"/>
      <w:divBdr>
        <w:top w:val="none" w:sz="0" w:space="0" w:color="auto"/>
        <w:left w:val="none" w:sz="0" w:space="0" w:color="auto"/>
        <w:bottom w:val="none" w:sz="0" w:space="0" w:color="auto"/>
        <w:right w:val="none" w:sz="0" w:space="0" w:color="auto"/>
      </w:divBdr>
    </w:div>
    <w:div w:id="883448599">
      <w:bodyDiv w:val="1"/>
      <w:marLeft w:val="0"/>
      <w:marRight w:val="0"/>
      <w:marTop w:val="0"/>
      <w:marBottom w:val="0"/>
      <w:divBdr>
        <w:top w:val="none" w:sz="0" w:space="0" w:color="auto"/>
        <w:left w:val="none" w:sz="0" w:space="0" w:color="auto"/>
        <w:bottom w:val="none" w:sz="0" w:space="0" w:color="auto"/>
        <w:right w:val="none" w:sz="0" w:space="0" w:color="auto"/>
      </w:divBdr>
    </w:div>
    <w:div w:id="895700014">
      <w:bodyDiv w:val="1"/>
      <w:marLeft w:val="0"/>
      <w:marRight w:val="0"/>
      <w:marTop w:val="0"/>
      <w:marBottom w:val="0"/>
      <w:divBdr>
        <w:top w:val="none" w:sz="0" w:space="0" w:color="auto"/>
        <w:left w:val="none" w:sz="0" w:space="0" w:color="auto"/>
        <w:bottom w:val="none" w:sz="0" w:space="0" w:color="auto"/>
        <w:right w:val="none" w:sz="0" w:space="0" w:color="auto"/>
      </w:divBdr>
    </w:div>
    <w:div w:id="895704494">
      <w:bodyDiv w:val="1"/>
      <w:marLeft w:val="0"/>
      <w:marRight w:val="0"/>
      <w:marTop w:val="0"/>
      <w:marBottom w:val="0"/>
      <w:divBdr>
        <w:top w:val="none" w:sz="0" w:space="0" w:color="auto"/>
        <w:left w:val="none" w:sz="0" w:space="0" w:color="auto"/>
        <w:bottom w:val="none" w:sz="0" w:space="0" w:color="auto"/>
        <w:right w:val="none" w:sz="0" w:space="0" w:color="auto"/>
      </w:divBdr>
    </w:div>
    <w:div w:id="899557665">
      <w:bodyDiv w:val="1"/>
      <w:marLeft w:val="0"/>
      <w:marRight w:val="0"/>
      <w:marTop w:val="0"/>
      <w:marBottom w:val="0"/>
      <w:divBdr>
        <w:top w:val="none" w:sz="0" w:space="0" w:color="auto"/>
        <w:left w:val="none" w:sz="0" w:space="0" w:color="auto"/>
        <w:bottom w:val="none" w:sz="0" w:space="0" w:color="auto"/>
        <w:right w:val="none" w:sz="0" w:space="0" w:color="auto"/>
      </w:divBdr>
    </w:div>
    <w:div w:id="906913246">
      <w:bodyDiv w:val="1"/>
      <w:marLeft w:val="0"/>
      <w:marRight w:val="0"/>
      <w:marTop w:val="0"/>
      <w:marBottom w:val="0"/>
      <w:divBdr>
        <w:top w:val="none" w:sz="0" w:space="0" w:color="auto"/>
        <w:left w:val="none" w:sz="0" w:space="0" w:color="auto"/>
        <w:bottom w:val="none" w:sz="0" w:space="0" w:color="auto"/>
        <w:right w:val="none" w:sz="0" w:space="0" w:color="auto"/>
      </w:divBdr>
    </w:div>
    <w:div w:id="909269691">
      <w:bodyDiv w:val="1"/>
      <w:marLeft w:val="0"/>
      <w:marRight w:val="0"/>
      <w:marTop w:val="0"/>
      <w:marBottom w:val="0"/>
      <w:divBdr>
        <w:top w:val="none" w:sz="0" w:space="0" w:color="auto"/>
        <w:left w:val="none" w:sz="0" w:space="0" w:color="auto"/>
        <w:bottom w:val="none" w:sz="0" w:space="0" w:color="auto"/>
        <w:right w:val="none" w:sz="0" w:space="0" w:color="auto"/>
      </w:divBdr>
    </w:div>
    <w:div w:id="910232584">
      <w:bodyDiv w:val="1"/>
      <w:marLeft w:val="0"/>
      <w:marRight w:val="0"/>
      <w:marTop w:val="0"/>
      <w:marBottom w:val="0"/>
      <w:divBdr>
        <w:top w:val="none" w:sz="0" w:space="0" w:color="auto"/>
        <w:left w:val="none" w:sz="0" w:space="0" w:color="auto"/>
        <w:bottom w:val="none" w:sz="0" w:space="0" w:color="auto"/>
        <w:right w:val="none" w:sz="0" w:space="0" w:color="auto"/>
      </w:divBdr>
    </w:div>
    <w:div w:id="911816622">
      <w:bodyDiv w:val="1"/>
      <w:marLeft w:val="0"/>
      <w:marRight w:val="0"/>
      <w:marTop w:val="0"/>
      <w:marBottom w:val="0"/>
      <w:divBdr>
        <w:top w:val="none" w:sz="0" w:space="0" w:color="auto"/>
        <w:left w:val="none" w:sz="0" w:space="0" w:color="auto"/>
        <w:bottom w:val="none" w:sz="0" w:space="0" w:color="auto"/>
        <w:right w:val="none" w:sz="0" w:space="0" w:color="auto"/>
      </w:divBdr>
    </w:div>
    <w:div w:id="918558777">
      <w:bodyDiv w:val="1"/>
      <w:marLeft w:val="0"/>
      <w:marRight w:val="0"/>
      <w:marTop w:val="0"/>
      <w:marBottom w:val="0"/>
      <w:divBdr>
        <w:top w:val="none" w:sz="0" w:space="0" w:color="auto"/>
        <w:left w:val="none" w:sz="0" w:space="0" w:color="auto"/>
        <w:bottom w:val="none" w:sz="0" w:space="0" w:color="auto"/>
        <w:right w:val="none" w:sz="0" w:space="0" w:color="auto"/>
      </w:divBdr>
    </w:div>
    <w:div w:id="925380679">
      <w:bodyDiv w:val="1"/>
      <w:marLeft w:val="0"/>
      <w:marRight w:val="0"/>
      <w:marTop w:val="0"/>
      <w:marBottom w:val="0"/>
      <w:divBdr>
        <w:top w:val="none" w:sz="0" w:space="0" w:color="auto"/>
        <w:left w:val="none" w:sz="0" w:space="0" w:color="auto"/>
        <w:bottom w:val="none" w:sz="0" w:space="0" w:color="auto"/>
        <w:right w:val="none" w:sz="0" w:space="0" w:color="auto"/>
      </w:divBdr>
    </w:div>
    <w:div w:id="926230009">
      <w:bodyDiv w:val="1"/>
      <w:marLeft w:val="0"/>
      <w:marRight w:val="0"/>
      <w:marTop w:val="0"/>
      <w:marBottom w:val="0"/>
      <w:divBdr>
        <w:top w:val="none" w:sz="0" w:space="0" w:color="auto"/>
        <w:left w:val="none" w:sz="0" w:space="0" w:color="auto"/>
        <w:bottom w:val="none" w:sz="0" w:space="0" w:color="auto"/>
        <w:right w:val="none" w:sz="0" w:space="0" w:color="auto"/>
      </w:divBdr>
    </w:div>
    <w:div w:id="932207024">
      <w:bodyDiv w:val="1"/>
      <w:marLeft w:val="0"/>
      <w:marRight w:val="0"/>
      <w:marTop w:val="0"/>
      <w:marBottom w:val="0"/>
      <w:divBdr>
        <w:top w:val="none" w:sz="0" w:space="0" w:color="auto"/>
        <w:left w:val="none" w:sz="0" w:space="0" w:color="auto"/>
        <w:bottom w:val="none" w:sz="0" w:space="0" w:color="auto"/>
        <w:right w:val="none" w:sz="0" w:space="0" w:color="auto"/>
      </w:divBdr>
    </w:div>
    <w:div w:id="937906584">
      <w:bodyDiv w:val="1"/>
      <w:marLeft w:val="0"/>
      <w:marRight w:val="0"/>
      <w:marTop w:val="0"/>
      <w:marBottom w:val="0"/>
      <w:divBdr>
        <w:top w:val="none" w:sz="0" w:space="0" w:color="auto"/>
        <w:left w:val="none" w:sz="0" w:space="0" w:color="auto"/>
        <w:bottom w:val="none" w:sz="0" w:space="0" w:color="auto"/>
        <w:right w:val="none" w:sz="0" w:space="0" w:color="auto"/>
      </w:divBdr>
    </w:div>
    <w:div w:id="941956276">
      <w:bodyDiv w:val="1"/>
      <w:marLeft w:val="0"/>
      <w:marRight w:val="0"/>
      <w:marTop w:val="0"/>
      <w:marBottom w:val="0"/>
      <w:divBdr>
        <w:top w:val="none" w:sz="0" w:space="0" w:color="auto"/>
        <w:left w:val="none" w:sz="0" w:space="0" w:color="auto"/>
        <w:bottom w:val="none" w:sz="0" w:space="0" w:color="auto"/>
        <w:right w:val="none" w:sz="0" w:space="0" w:color="auto"/>
      </w:divBdr>
    </w:div>
    <w:div w:id="946542359">
      <w:bodyDiv w:val="1"/>
      <w:marLeft w:val="0"/>
      <w:marRight w:val="0"/>
      <w:marTop w:val="0"/>
      <w:marBottom w:val="0"/>
      <w:divBdr>
        <w:top w:val="none" w:sz="0" w:space="0" w:color="auto"/>
        <w:left w:val="none" w:sz="0" w:space="0" w:color="auto"/>
        <w:bottom w:val="none" w:sz="0" w:space="0" w:color="auto"/>
        <w:right w:val="none" w:sz="0" w:space="0" w:color="auto"/>
      </w:divBdr>
    </w:div>
    <w:div w:id="947545404">
      <w:bodyDiv w:val="1"/>
      <w:marLeft w:val="0"/>
      <w:marRight w:val="0"/>
      <w:marTop w:val="0"/>
      <w:marBottom w:val="0"/>
      <w:divBdr>
        <w:top w:val="none" w:sz="0" w:space="0" w:color="auto"/>
        <w:left w:val="none" w:sz="0" w:space="0" w:color="auto"/>
        <w:bottom w:val="none" w:sz="0" w:space="0" w:color="auto"/>
        <w:right w:val="none" w:sz="0" w:space="0" w:color="auto"/>
      </w:divBdr>
    </w:div>
    <w:div w:id="947665264">
      <w:bodyDiv w:val="1"/>
      <w:marLeft w:val="0"/>
      <w:marRight w:val="0"/>
      <w:marTop w:val="0"/>
      <w:marBottom w:val="0"/>
      <w:divBdr>
        <w:top w:val="none" w:sz="0" w:space="0" w:color="auto"/>
        <w:left w:val="none" w:sz="0" w:space="0" w:color="auto"/>
        <w:bottom w:val="none" w:sz="0" w:space="0" w:color="auto"/>
        <w:right w:val="none" w:sz="0" w:space="0" w:color="auto"/>
      </w:divBdr>
    </w:div>
    <w:div w:id="950624682">
      <w:bodyDiv w:val="1"/>
      <w:marLeft w:val="0"/>
      <w:marRight w:val="0"/>
      <w:marTop w:val="0"/>
      <w:marBottom w:val="0"/>
      <w:divBdr>
        <w:top w:val="none" w:sz="0" w:space="0" w:color="auto"/>
        <w:left w:val="none" w:sz="0" w:space="0" w:color="auto"/>
        <w:bottom w:val="none" w:sz="0" w:space="0" w:color="auto"/>
        <w:right w:val="none" w:sz="0" w:space="0" w:color="auto"/>
      </w:divBdr>
    </w:div>
    <w:div w:id="951202217">
      <w:bodyDiv w:val="1"/>
      <w:marLeft w:val="0"/>
      <w:marRight w:val="0"/>
      <w:marTop w:val="0"/>
      <w:marBottom w:val="0"/>
      <w:divBdr>
        <w:top w:val="none" w:sz="0" w:space="0" w:color="auto"/>
        <w:left w:val="none" w:sz="0" w:space="0" w:color="auto"/>
        <w:bottom w:val="none" w:sz="0" w:space="0" w:color="auto"/>
        <w:right w:val="none" w:sz="0" w:space="0" w:color="auto"/>
      </w:divBdr>
    </w:div>
    <w:div w:id="952249857">
      <w:bodyDiv w:val="1"/>
      <w:marLeft w:val="0"/>
      <w:marRight w:val="0"/>
      <w:marTop w:val="0"/>
      <w:marBottom w:val="0"/>
      <w:divBdr>
        <w:top w:val="none" w:sz="0" w:space="0" w:color="auto"/>
        <w:left w:val="none" w:sz="0" w:space="0" w:color="auto"/>
        <w:bottom w:val="none" w:sz="0" w:space="0" w:color="auto"/>
        <w:right w:val="none" w:sz="0" w:space="0" w:color="auto"/>
      </w:divBdr>
    </w:div>
    <w:div w:id="953823832">
      <w:bodyDiv w:val="1"/>
      <w:marLeft w:val="0"/>
      <w:marRight w:val="0"/>
      <w:marTop w:val="0"/>
      <w:marBottom w:val="0"/>
      <w:divBdr>
        <w:top w:val="none" w:sz="0" w:space="0" w:color="auto"/>
        <w:left w:val="none" w:sz="0" w:space="0" w:color="auto"/>
        <w:bottom w:val="none" w:sz="0" w:space="0" w:color="auto"/>
        <w:right w:val="none" w:sz="0" w:space="0" w:color="auto"/>
      </w:divBdr>
    </w:div>
    <w:div w:id="954094767">
      <w:bodyDiv w:val="1"/>
      <w:marLeft w:val="0"/>
      <w:marRight w:val="0"/>
      <w:marTop w:val="0"/>
      <w:marBottom w:val="0"/>
      <w:divBdr>
        <w:top w:val="none" w:sz="0" w:space="0" w:color="auto"/>
        <w:left w:val="none" w:sz="0" w:space="0" w:color="auto"/>
        <w:bottom w:val="none" w:sz="0" w:space="0" w:color="auto"/>
        <w:right w:val="none" w:sz="0" w:space="0" w:color="auto"/>
      </w:divBdr>
    </w:div>
    <w:div w:id="954678218">
      <w:bodyDiv w:val="1"/>
      <w:marLeft w:val="0"/>
      <w:marRight w:val="0"/>
      <w:marTop w:val="0"/>
      <w:marBottom w:val="0"/>
      <w:divBdr>
        <w:top w:val="none" w:sz="0" w:space="0" w:color="auto"/>
        <w:left w:val="none" w:sz="0" w:space="0" w:color="auto"/>
        <w:bottom w:val="none" w:sz="0" w:space="0" w:color="auto"/>
        <w:right w:val="none" w:sz="0" w:space="0" w:color="auto"/>
      </w:divBdr>
    </w:div>
    <w:div w:id="956524783">
      <w:bodyDiv w:val="1"/>
      <w:marLeft w:val="0"/>
      <w:marRight w:val="0"/>
      <w:marTop w:val="0"/>
      <w:marBottom w:val="0"/>
      <w:divBdr>
        <w:top w:val="none" w:sz="0" w:space="0" w:color="auto"/>
        <w:left w:val="none" w:sz="0" w:space="0" w:color="auto"/>
        <w:bottom w:val="none" w:sz="0" w:space="0" w:color="auto"/>
        <w:right w:val="none" w:sz="0" w:space="0" w:color="auto"/>
      </w:divBdr>
    </w:div>
    <w:div w:id="957104536">
      <w:bodyDiv w:val="1"/>
      <w:marLeft w:val="0"/>
      <w:marRight w:val="0"/>
      <w:marTop w:val="0"/>
      <w:marBottom w:val="0"/>
      <w:divBdr>
        <w:top w:val="none" w:sz="0" w:space="0" w:color="auto"/>
        <w:left w:val="none" w:sz="0" w:space="0" w:color="auto"/>
        <w:bottom w:val="none" w:sz="0" w:space="0" w:color="auto"/>
        <w:right w:val="none" w:sz="0" w:space="0" w:color="auto"/>
      </w:divBdr>
    </w:div>
    <w:div w:id="958535604">
      <w:bodyDiv w:val="1"/>
      <w:marLeft w:val="0"/>
      <w:marRight w:val="0"/>
      <w:marTop w:val="0"/>
      <w:marBottom w:val="0"/>
      <w:divBdr>
        <w:top w:val="none" w:sz="0" w:space="0" w:color="auto"/>
        <w:left w:val="none" w:sz="0" w:space="0" w:color="auto"/>
        <w:bottom w:val="none" w:sz="0" w:space="0" w:color="auto"/>
        <w:right w:val="none" w:sz="0" w:space="0" w:color="auto"/>
      </w:divBdr>
    </w:div>
    <w:div w:id="961040468">
      <w:bodyDiv w:val="1"/>
      <w:marLeft w:val="0"/>
      <w:marRight w:val="0"/>
      <w:marTop w:val="0"/>
      <w:marBottom w:val="0"/>
      <w:divBdr>
        <w:top w:val="none" w:sz="0" w:space="0" w:color="auto"/>
        <w:left w:val="none" w:sz="0" w:space="0" w:color="auto"/>
        <w:bottom w:val="none" w:sz="0" w:space="0" w:color="auto"/>
        <w:right w:val="none" w:sz="0" w:space="0" w:color="auto"/>
      </w:divBdr>
    </w:div>
    <w:div w:id="963729491">
      <w:bodyDiv w:val="1"/>
      <w:marLeft w:val="0"/>
      <w:marRight w:val="0"/>
      <w:marTop w:val="0"/>
      <w:marBottom w:val="0"/>
      <w:divBdr>
        <w:top w:val="none" w:sz="0" w:space="0" w:color="auto"/>
        <w:left w:val="none" w:sz="0" w:space="0" w:color="auto"/>
        <w:bottom w:val="none" w:sz="0" w:space="0" w:color="auto"/>
        <w:right w:val="none" w:sz="0" w:space="0" w:color="auto"/>
      </w:divBdr>
    </w:div>
    <w:div w:id="963852100">
      <w:bodyDiv w:val="1"/>
      <w:marLeft w:val="0"/>
      <w:marRight w:val="0"/>
      <w:marTop w:val="0"/>
      <w:marBottom w:val="0"/>
      <w:divBdr>
        <w:top w:val="none" w:sz="0" w:space="0" w:color="auto"/>
        <w:left w:val="none" w:sz="0" w:space="0" w:color="auto"/>
        <w:bottom w:val="none" w:sz="0" w:space="0" w:color="auto"/>
        <w:right w:val="none" w:sz="0" w:space="0" w:color="auto"/>
      </w:divBdr>
    </w:div>
    <w:div w:id="967510192">
      <w:bodyDiv w:val="1"/>
      <w:marLeft w:val="0"/>
      <w:marRight w:val="0"/>
      <w:marTop w:val="0"/>
      <w:marBottom w:val="0"/>
      <w:divBdr>
        <w:top w:val="none" w:sz="0" w:space="0" w:color="auto"/>
        <w:left w:val="none" w:sz="0" w:space="0" w:color="auto"/>
        <w:bottom w:val="none" w:sz="0" w:space="0" w:color="auto"/>
        <w:right w:val="none" w:sz="0" w:space="0" w:color="auto"/>
      </w:divBdr>
    </w:div>
    <w:div w:id="971638156">
      <w:bodyDiv w:val="1"/>
      <w:marLeft w:val="0"/>
      <w:marRight w:val="0"/>
      <w:marTop w:val="0"/>
      <w:marBottom w:val="0"/>
      <w:divBdr>
        <w:top w:val="none" w:sz="0" w:space="0" w:color="auto"/>
        <w:left w:val="none" w:sz="0" w:space="0" w:color="auto"/>
        <w:bottom w:val="none" w:sz="0" w:space="0" w:color="auto"/>
        <w:right w:val="none" w:sz="0" w:space="0" w:color="auto"/>
      </w:divBdr>
    </w:div>
    <w:div w:id="977421491">
      <w:bodyDiv w:val="1"/>
      <w:marLeft w:val="0"/>
      <w:marRight w:val="0"/>
      <w:marTop w:val="0"/>
      <w:marBottom w:val="0"/>
      <w:divBdr>
        <w:top w:val="none" w:sz="0" w:space="0" w:color="auto"/>
        <w:left w:val="none" w:sz="0" w:space="0" w:color="auto"/>
        <w:bottom w:val="none" w:sz="0" w:space="0" w:color="auto"/>
        <w:right w:val="none" w:sz="0" w:space="0" w:color="auto"/>
      </w:divBdr>
    </w:div>
    <w:div w:id="980113757">
      <w:bodyDiv w:val="1"/>
      <w:marLeft w:val="0"/>
      <w:marRight w:val="0"/>
      <w:marTop w:val="0"/>
      <w:marBottom w:val="0"/>
      <w:divBdr>
        <w:top w:val="none" w:sz="0" w:space="0" w:color="auto"/>
        <w:left w:val="none" w:sz="0" w:space="0" w:color="auto"/>
        <w:bottom w:val="none" w:sz="0" w:space="0" w:color="auto"/>
        <w:right w:val="none" w:sz="0" w:space="0" w:color="auto"/>
      </w:divBdr>
    </w:div>
    <w:div w:id="980770424">
      <w:bodyDiv w:val="1"/>
      <w:marLeft w:val="0"/>
      <w:marRight w:val="0"/>
      <w:marTop w:val="0"/>
      <w:marBottom w:val="0"/>
      <w:divBdr>
        <w:top w:val="none" w:sz="0" w:space="0" w:color="auto"/>
        <w:left w:val="none" w:sz="0" w:space="0" w:color="auto"/>
        <w:bottom w:val="none" w:sz="0" w:space="0" w:color="auto"/>
        <w:right w:val="none" w:sz="0" w:space="0" w:color="auto"/>
      </w:divBdr>
    </w:div>
    <w:div w:id="981009507">
      <w:bodyDiv w:val="1"/>
      <w:marLeft w:val="0"/>
      <w:marRight w:val="0"/>
      <w:marTop w:val="0"/>
      <w:marBottom w:val="0"/>
      <w:divBdr>
        <w:top w:val="none" w:sz="0" w:space="0" w:color="auto"/>
        <w:left w:val="none" w:sz="0" w:space="0" w:color="auto"/>
        <w:bottom w:val="none" w:sz="0" w:space="0" w:color="auto"/>
        <w:right w:val="none" w:sz="0" w:space="0" w:color="auto"/>
      </w:divBdr>
    </w:div>
    <w:div w:id="983393522">
      <w:bodyDiv w:val="1"/>
      <w:marLeft w:val="0"/>
      <w:marRight w:val="0"/>
      <w:marTop w:val="0"/>
      <w:marBottom w:val="0"/>
      <w:divBdr>
        <w:top w:val="none" w:sz="0" w:space="0" w:color="auto"/>
        <w:left w:val="none" w:sz="0" w:space="0" w:color="auto"/>
        <w:bottom w:val="none" w:sz="0" w:space="0" w:color="auto"/>
        <w:right w:val="none" w:sz="0" w:space="0" w:color="auto"/>
      </w:divBdr>
    </w:div>
    <w:div w:id="985203612">
      <w:bodyDiv w:val="1"/>
      <w:marLeft w:val="0"/>
      <w:marRight w:val="0"/>
      <w:marTop w:val="0"/>
      <w:marBottom w:val="0"/>
      <w:divBdr>
        <w:top w:val="none" w:sz="0" w:space="0" w:color="auto"/>
        <w:left w:val="none" w:sz="0" w:space="0" w:color="auto"/>
        <w:bottom w:val="none" w:sz="0" w:space="0" w:color="auto"/>
        <w:right w:val="none" w:sz="0" w:space="0" w:color="auto"/>
      </w:divBdr>
    </w:div>
    <w:div w:id="989405667">
      <w:bodyDiv w:val="1"/>
      <w:marLeft w:val="0"/>
      <w:marRight w:val="0"/>
      <w:marTop w:val="0"/>
      <w:marBottom w:val="0"/>
      <w:divBdr>
        <w:top w:val="none" w:sz="0" w:space="0" w:color="auto"/>
        <w:left w:val="none" w:sz="0" w:space="0" w:color="auto"/>
        <w:bottom w:val="none" w:sz="0" w:space="0" w:color="auto"/>
        <w:right w:val="none" w:sz="0" w:space="0" w:color="auto"/>
      </w:divBdr>
    </w:div>
    <w:div w:id="1001741824">
      <w:bodyDiv w:val="1"/>
      <w:marLeft w:val="0"/>
      <w:marRight w:val="0"/>
      <w:marTop w:val="0"/>
      <w:marBottom w:val="0"/>
      <w:divBdr>
        <w:top w:val="none" w:sz="0" w:space="0" w:color="auto"/>
        <w:left w:val="none" w:sz="0" w:space="0" w:color="auto"/>
        <w:bottom w:val="none" w:sz="0" w:space="0" w:color="auto"/>
        <w:right w:val="none" w:sz="0" w:space="0" w:color="auto"/>
      </w:divBdr>
    </w:div>
    <w:div w:id="1003045298">
      <w:bodyDiv w:val="1"/>
      <w:marLeft w:val="0"/>
      <w:marRight w:val="0"/>
      <w:marTop w:val="0"/>
      <w:marBottom w:val="0"/>
      <w:divBdr>
        <w:top w:val="none" w:sz="0" w:space="0" w:color="auto"/>
        <w:left w:val="none" w:sz="0" w:space="0" w:color="auto"/>
        <w:bottom w:val="none" w:sz="0" w:space="0" w:color="auto"/>
        <w:right w:val="none" w:sz="0" w:space="0" w:color="auto"/>
      </w:divBdr>
    </w:div>
    <w:div w:id="1008404425">
      <w:bodyDiv w:val="1"/>
      <w:marLeft w:val="0"/>
      <w:marRight w:val="0"/>
      <w:marTop w:val="0"/>
      <w:marBottom w:val="0"/>
      <w:divBdr>
        <w:top w:val="none" w:sz="0" w:space="0" w:color="auto"/>
        <w:left w:val="none" w:sz="0" w:space="0" w:color="auto"/>
        <w:bottom w:val="none" w:sz="0" w:space="0" w:color="auto"/>
        <w:right w:val="none" w:sz="0" w:space="0" w:color="auto"/>
      </w:divBdr>
    </w:div>
    <w:div w:id="1009407226">
      <w:bodyDiv w:val="1"/>
      <w:marLeft w:val="0"/>
      <w:marRight w:val="0"/>
      <w:marTop w:val="0"/>
      <w:marBottom w:val="0"/>
      <w:divBdr>
        <w:top w:val="none" w:sz="0" w:space="0" w:color="auto"/>
        <w:left w:val="none" w:sz="0" w:space="0" w:color="auto"/>
        <w:bottom w:val="none" w:sz="0" w:space="0" w:color="auto"/>
        <w:right w:val="none" w:sz="0" w:space="0" w:color="auto"/>
      </w:divBdr>
    </w:div>
    <w:div w:id="1011177462">
      <w:bodyDiv w:val="1"/>
      <w:marLeft w:val="0"/>
      <w:marRight w:val="0"/>
      <w:marTop w:val="0"/>
      <w:marBottom w:val="0"/>
      <w:divBdr>
        <w:top w:val="none" w:sz="0" w:space="0" w:color="auto"/>
        <w:left w:val="none" w:sz="0" w:space="0" w:color="auto"/>
        <w:bottom w:val="none" w:sz="0" w:space="0" w:color="auto"/>
        <w:right w:val="none" w:sz="0" w:space="0" w:color="auto"/>
      </w:divBdr>
    </w:div>
    <w:div w:id="1015039153">
      <w:bodyDiv w:val="1"/>
      <w:marLeft w:val="0"/>
      <w:marRight w:val="0"/>
      <w:marTop w:val="0"/>
      <w:marBottom w:val="0"/>
      <w:divBdr>
        <w:top w:val="none" w:sz="0" w:space="0" w:color="auto"/>
        <w:left w:val="none" w:sz="0" w:space="0" w:color="auto"/>
        <w:bottom w:val="none" w:sz="0" w:space="0" w:color="auto"/>
        <w:right w:val="none" w:sz="0" w:space="0" w:color="auto"/>
      </w:divBdr>
    </w:div>
    <w:div w:id="1017928606">
      <w:bodyDiv w:val="1"/>
      <w:marLeft w:val="0"/>
      <w:marRight w:val="0"/>
      <w:marTop w:val="0"/>
      <w:marBottom w:val="0"/>
      <w:divBdr>
        <w:top w:val="none" w:sz="0" w:space="0" w:color="auto"/>
        <w:left w:val="none" w:sz="0" w:space="0" w:color="auto"/>
        <w:bottom w:val="none" w:sz="0" w:space="0" w:color="auto"/>
        <w:right w:val="none" w:sz="0" w:space="0" w:color="auto"/>
      </w:divBdr>
    </w:div>
    <w:div w:id="1018194353">
      <w:bodyDiv w:val="1"/>
      <w:marLeft w:val="0"/>
      <w:marRight w:val="0"/>
      <w:marTop w:val="0"/>
      <w:marBottom w:val="0"/>
      <w:divBdr>
        <w:top w:val="none" w:sz="0" w:space="0" w:color="auto"/>
        <w:left w:val="none" w:sz="0" w:space="0" w:color="auto"/>
        <w:bottom w:val="none" w:sz="0" w:space="0" w:color="auto"/>
        <w:right w:val="none" w:sz="0" w:space="0" w:color="auto"/>
      </w:divBdr>
    </w:div>
    <w:div w:id="1022780340">
      <w:bodyDiv w:val="1"/>
      <w:marLeft w:val="0"/>
      <w:marRight w:val="0"/>
      <w:marTop w:val="0"/>
      <w:marBottom w:val="0"/>
      <w:divBdr>
        <w:top w:val="none" w:sz="0" w:space="0" w:color="auto"/>
        <w:left w:val="none" w:sz="0" w:space="0" w:color="auto"/>
        <w:bottom w:val="none" w:sz="0" w:space="0" w:color="auto"/>
        <w:right w:val="none" w:sz="0" w:space="0" w:color="auto"/>
      </w:divBdr>
    </w:div>
    <w:div w:id="1024404310">
      <w:bodyDiv w:val="1"/>
      <w:marLeft w:val="0"/>
      <w:marRight w:val="0"/>
      <w:marTop w:val="0"/>
      <w:marBottom w:val="0"/>
      <w:divBdr>
        <w:top w:val="none" w:sz="0" w:space="0" w:color="auto"/>
        <w:left w:val="none" w:sz="0" w:space="0" w:color="auto"/>
        <w:bottom w:val="none" w:sz="0" w:space="0" w:color="auto"/>
        <w:right w:val="none" w:sz="0" w:space="0" w:color="auto"/>
      </w:divBdr>
    </w:div>
    <w:div w:id="1026521788">
      <w:bodyDiv w:val="1"/>
      <w:marLeft w:val="0"/>
      <w:marRight w:val="0"/>
      <w:marTop w:val="0"/>
      <w:marBottom w:val="0"/>
      <w:divBdr>
        <w:top w:val="none" w:sz="0" w:space="0" w:color="auto"/>
        <w:left w:val="none" w:sz="0" w:space="0" w:color="auto"/>
        <w:bottom w:val="none" w:sz="0" w:space="0" w:color="auto"/>
        <w:right w:val="none" w:sz="0" w:space="0" w:color="auto"/>
      </w:divBdr>
    </w:div>
    <w:div w:id="1038051030">
      <w:bodyDiv w:val="1"/>
      <w:marLeft w:val="0"/>
      <w:marRight w:val="0"/>
      <w:marTop w:val="0"/>
      <w:marBottom w:val="0"/>
      <w:divBdr>
        <w:top w:val="none" w:sz="0" w:space="0" w:color="auto"/>
        <w:left w:val="none" w:sz="0" w:space="0" w:color="auto"/>
        <w:bottom w:val="none" w:sz="0" w:space="0" w:color="auto"/>
        <w:right w:val="none" w:sz="0" w:space="0" w:color="auto"/>
      </w:divBdr>
    </w:div>
    <w:div w:id="1039939811">
      <w:bodyDiv w:val="1"/>
      <w:marLeft w:val="0"/>
      <w:marRight w:val="0"/>
      <w:marTop w:val="0"/>
      <w:marBottom w:val="0"/>
      <w:divBdr>
        <w:top w:val="none" w:sz="0" w:space="0" w:color="auto"/>
        <w:left w:val="none" w:sz="0" w:space="0" w:color="auto"/>
        <w:bottom w:val="none" w:sz="0" w:space="0" w:color="auto"/>
        <w:right w:val="none" w:sz="0" w:space="0" w:color="auto"/>
      </w:divBdr>
    </w:div>
    <w:div w:id="1043142665">
      <w:bodyDiv w:val="1"/>
      <w:marLeft w:val="0"/>
      <w:marRight w:val="0"/>
      <w:marTop w:val="0"/>
      <w:marBottom w:val="0"/>
      <w:divBdr>
        <w:top w:val="none" w:sz="0" w:space="0" w:color="auto"/>
        <w:left w:val="none" w:sz="0" w:space="0" w:color="auto"/>
        <w:bottom w:val="none" w:sz="0" w:space="0" w:color="auto"/>
        <w:right w:val="none" w:sz="0" w:space="0" w:color="auto"/>
      </w:divBdr>
    </w:div>
    <w:div w:id="1043411389">
      <w:bodyDiv w:val="1"/>
      <w:marLeft w:val="0"/>
      <w:marRight w:val="0"/>
      <w:marTop w:val="0"/>
      <w:marBottom w:val="0"/>
      <w:divBdr>
        <w:top w:val="none" w:sz="0" w:space="0" w:color="auto"/>
        <w:left w:val="none" w:sz="0" w:space="0" w:color="auto"/>
        <w:bottom w:val="none" w:sz="0" w:space="0" w:color="auto"/>
        <w:right w:val="none" w:sz="0" w:space="0" w:color="auto"/>
      </w:divBdr>
    </w:div>
    <w:div w:id="1045064446">
      <w:bodyDiv w:val="1"/>
      <w:marLeft w:val="0"/>
      <w:marRight w:val="0"/>
      <w:marTop w:val="0"/>
      <w:marBottom w:val="0"/>
      <w:divBdr>
        <w:top w:val="none" w:sz="0" w:space="0" w:color="auto"/>
        <w:left w:val="none" w:sz="0" w:space="0" w:color="auto"/>
        <w:bottom w:val="none" w:sz="0" w:space="0" w:color="auto"/>
        <w:right w:val="none" w:sz="0" w:space="0" w:color="auto"/>
      </w:divBdr>
    </w:div>
    <w:div w:id="1050305066">
      <w:bodyDiv w:val="1"/>
      <w:marLeft w:val="0"/>
      <w:marRight w:val="0"/>
      <w:marTop w:val="0"/>
      <w:marBottom w:val="0"/>
      <w:divBdr>
        <w:top w:val="none" w:sz="0" w:space="0" w:color="auto"/>
        <w:left w:val="none" w:sz="0" w:space="0" w:color="auto"/>
        <w:bottom w:val="none" w:sz="0" w:space="0" w:color="auto"/>
        <w:right w:val="none" w:sz="0" w:space="0" w:color="auto"/>
      </w:divBdr>
    </w:div>
    <w:div w:id="1051616178">
      <w:bodyDiv w:val="1"/>
      <w:marLeft w:val="0"/>
      <w:marRight w:val="0"/>
      <w:marTop w:val="0"/>
      <w:marBottom w:val="0"/>
      <w:divBdr>
        <w:top w:val="none" w:sz="0" w:space="0" w:color="auto"/>
        <w:left w:val="none" w:sz="0" w:space="0" w:color="auto"/>
        <w:bottom w:val="none" w:sz="0" w:space="0" w:color="auto"/>
        <w:right w:val="none" w:sz="0" w:space="0" w:color="auto"/>
      </w:divBdr>
    </w:div>
    <w:div w:id="1051727936">
      <w:bodyDiv w:val="1"/>
      <w:marLeft w:val="0"/>
      <w:marRight w:val="0"/>
      <w:marTop w:val="0"/>
      <w:marBottom w:val="0"/>
      <w:divBdr>
        <w:top w:val="none" w:sz="0" w:space="0" w:color="auto"/>
        <w:left w:val="none" w:sz="0" w:space="0" w:color="auto"/>
        <w:bottom w:val="none" w:sz="0" w:space="0" w:color="auto"/>
        <w:right w:val="none" w:sz="0" w:space="0" w:color="auto"/>
      </w:divBdr>
    </w:div>
    <w:div w:id="1061446314">
      <w:bodyDiv w:val="1"/>
      <w:marLeft w:val="0"/>
      <w:marRight w:val="0"/>
      <w:marTop w:val="0"/>
      <w:marBottom w:val="0"/>
      <w:divBdr>
        <w:top w:val="none" w:sz="0" w:space="0" w:color="auto"/>
        <w:left w:val="none" w:sz="0" w:space="0" w:color="auto"/>
        <w:bottom w:val="none" w:sz="0" w:space="0" w:color="auto"/>
        <w:right w:val="none" w:sz="0" w:space="0" w:color="auto"/>
      </w:divBdr>
    </w:div>
    <w:div w:id="1072236545">
      <w:bodyDiv w:val="1"/>
      <w:marLeft w:val="0"/>
      <w:marRight w:val="0"/>
      <w:marTop w:val="0"/>
      <w:marBottom w:val="0"/>
      <w:divBdr>
        <w:top w:val="none" w:sz="0" w:space="0" w:color="auto"/>
        <w:left w:val="none" w:sz="0" w:space="0" w:color="auto"/>
        <w:bottom w:val="none" w:sz="0" w:space="0" w:color="auto"/>
        <w:right w:val="none" w:sz="0" w:space="0" w:color="auto"/>
      </w:divBdr>
    </w:div>
    <w:div w:id="1075974870">
      <w:bodyDiv w:val="1"/>
      <w:marLeft w:val="0"/>
      <w:marRight w:val="0"/>
      <w:marTop w:val="0"/>
      <w:marBottom w:val="0"/>
      <w:divBdr>
        <w:top w:val="none" w:sz="0" w:space="0" w:color="auto"/>
        <w:left w:val="none" w:sz="0" w:space="0" w:color="auto"/>
        <w:bottom w:val="none" w:sz="0" w:space="0" w:color="auto"/>
        <w:right w:val="none" w:sz="0" w:space="0" w:color="auto"/>
      </w:divBdr>
    </w:div>
    <w:div w:id="1084574086">
      <w:bodyDiv w:val="1"/>
      <w:marLeft w:val="0"/>
      <w:marRight w:val="0"/>
      <w:marTop w:val="0"/>
      <w:marBottom w:val="0"/>
      <w:divBdr>
        <w:top w:val="none" w:sz="0" w:space="0" w:color="auto"/>
        <w:left w:val="none" w:sz="0" w:space="0" w:color="auto"/>
        <w:bottom w:val="none" w:sz="0" w:space="0" w:color="auto"/>
        <w:right w:val="none" w:sz="0" w:space="0" w:color="auto"/>
      </w:divBdr>
    </w:div>
    <w:div w:id="1094400090">
      <w:bodyDiv w:val="1"/>
      <w:marLeft w:val="0"/>
      <w:marRight w:val="0"/>
      <w:marTop w:val="0"/>
      <w:marBottom w:val="0"/>
      <w:divBdr>
        <w:top w:val="none" w:sz="0" w:space="0" w:color="auto"/>
        <w:left w:val="none" w:sz="0" w:space="0" w:color="auto"/>
        <w:bottom w:val="none" w:sz="0" w:space="0" w:color="auto"/>
        <w:right w:val="none" w:sz="0" w:space="0" w:color="auto"/>
      </w:divBdr>
    </w:div>
    <w:div w:id="1102142107">
      <w:bodyDiv w:val="1"/>
      <w:marLeft w:val="0"/>
      <w:marRight w:val="0"/>
      <w:marTop w:val="0"/>
      <w:marBottom w:val="0"/>
      <w:divBdr>
        <w:top w:val="none" w:sz="0" w:space="0" w:color="auto"/>
        <w:left w:val="none" w:sz="0" w:space="0" w:color="auto"/>
        <w:bottom w:val="none" w:sz="0" w:space="0" w:color="auto"/>
        <w:right w:val="none" w:sz="0" w:space="0" w:color="auto"/>
      </w:divBdr>
    </w:div>
    <w:div w:id="1102646732">
      <w:bodyDiv w:val="1"/>
      <w:marLeft w:val="0"/>
      <w:marRight w:val="0"/>
      <w:marTop w:val="0"/>
      <w:marBottom w:val="0"/>
      <w:divBdr>
        <w:top w:val="none" w:sz="0" w:space="0" w:color="auto"/>
        <w:left w:val="none" w:sz="0" w:space="0" w:color="auto"/>
        <w:bottom w:val="none" w:sz="0" w:space="0" w:color="auto"/>
        <w:right w:val="none" w:sz="0" w:space="0" w:color="auto"/>
      </w:divBdr>
    </w:div>
    <w:div w:id="1103037264">
      <w:bodyDiv w:val="1"/>
      <w:marLeft w:val="0"/>
      <w:marRight w:val="0"/>
      <w:marTop w:val="0"/>
      <w:marBottom w:val="0"/>
      <w:divBdr>
        <w:top w:val="none" w:sz="0" w:space="0" w:color="auto"/>
        <w:left w:val="none" w:sz="0" w:space="0" w:color="auto"/>
        <w:bottom w:val="none" w:sz="0" w:space="0" w:color="auto"/>
        <w:right w:val="none" w:sz="0" w:space="0" w:color="auto"/>
      </w:divBdr>
    </w:div>
    <w:div w:id="1106314933">
      <w:bodyDiv w:val="1"/>
      <w:marLeft w:val="0"/>
      <w:marRight w:val="0"/>
      <w:marTop w:val="0"/>
      <w:marBottom w:val="0"/>
      <w:divBdr>
        <w:top w:val="none" w:sz="0" w:space="0" w:color="auto"/>
        <w:left w:val="none" w:sz="0" w:space="0" w:color="auto"/>
        <w:bottom w:val="none" w:sz="0" w:space="0" w:color="auto"/>
        <w:right w:val="none" w:sz="0" w:space="0" w:color="auto"/>
      </w:divBdr>
    </w:div>
    <w:div w:id="1114401766">
      <w:bodyDiv w:val="1"/>
      <w:marLeft w:val="0"/>
      <w:marRight w:val="0"/>
      <w:marTop w:val="0"/>
      <w:marBottom w:val="0"/>
      <w:divBdr>
        <w:top w:val="none" w:sz="0" w:space="0" w:color="auto"/>
        <w:left w:val="none" w:sz="0" w:space="0" w:color="auto"/>
        <w:bottom w:val="none" w:sz="0" w:space="0" w:color="auto"/>
        <w:right w:val="none" w:sz="0" w:space="0" w:color="auto"/>
      </w:divBdr>
    </w:div>
    <w:div w:id="1115103159">
      <w:bodyDiv w:val="1"/>
      <w:marLeft w:val="0"/>
      <w:marRight w:val="0"/>
      <w:marTop w:val="0"/>
      <w:marBottom w:val="0"/>
      <w:divBdr>
        <w:top w:val="none" w:sz="0" w:space="0" w:color="auto"/>
        <w:left w:val="none" w:sz="0" w:space="0" w:color="auto"/>
        <w:bottom w:val="none" w:sz="0" w:space="0" w:color="auto"/>
        <w:right w:val="none" w:sz="0" w:space="0" w:color="auto"/>
      </w:divBdr>
    </w:div>
    <w:div w:id="1116752679">
      <w:bodyDiv w:val="1"/>
      <w:marLeft w:val="0"/>
      <w:marRight w:val="0"/>
      <w:marTop w:val="0"/>
      <w:marBottom w:val="0"/>
      <w:divBdr>
        <w:top w:val="none" w:sz="0" w:space="0" w:color="auto"/>
        <w:left w:val="none" w:sz="0" w:space="0" w:color="auto"/>
        <w:bottom w:val="none" w:sz="0" w:space="0" w:color="auto"/>
        <w:right w:val="none" w:sz="0" w:space="0" w:color="auto"/>
      </w:divBdr>
    </w:div>
    <w:div w:id="1119303348">
      <w:bodyDiv w:val="1"/>
      <w:marLeft w:val="0"/>
      <w:marRight w:val="0"/>
      <w:marTop w:val="0"/>
      <w:marBottom w:val="0"/>
      <w:divBdr>
        <w:top w:val="none" w:sz="0" w:space="0" w:color="auto"/>
        <w:left w:val="none" w:sz="0" w:space="0" w:color="auto"/>
        <w:bottom w:val="none" w:sz="0" w:space="0" w:color="auto"/>
        <w:right w:val="none" w:sz="0" w:space="0" w:color="auto"/>
      </w:divBdr>
    </w:div>
    <w:div w:id="1125611914">
      <w:bodyDiv w:val="1"/>
      <w:marLeft w:val="0"/>
      <w:marRight w:val="0"/>
      <w:marTop w:val="0"/>
      <w:marBottom w:val="0"/>
      <w:divBdr>
        <w:top w:val="none" w:sz="0" w:space="0" w:color="auto"/>
        <w:left w:val="none" w:sz="0" w:space="0" w:color="auto"/>
        <w:bottom w:val="none" w:sz="0" w:space="0" w:color="auto"/>
        <w:right w:val="none" w:sz="0" w:space="0" w:color="auto"/>
      </w:divBdr>
    </w:div>
    <w:div w:id="1127092526">
      <w:bodyDiv w:val="1"/>
      <w:marLeft w:val="0"/>
      <w:marRight w:val="0"/>
      <w:marTop w:val="0"/>
      <w:marBottom w:val="0"/>
      <w:divBdr>
        <w:top w:val="none" w:sz="0" w:space="0" w:color="auto"/>
        <w:left w:val="none" w:sz="0" w:space="0" w:color="auto"/>
        <w:bottom w:val="none" w:sz="0" w:space="0" w:color="auto"/>
        <w:right w:val="none" w:sz="0" w:space="0" w:color="auto"/>
      </w:divBdr>
    </w:div>
    <w:div w:id="1129666615">
      <w:bodyDiv w:val="1"/>
      <w:marLeft w:val="0"/>
      <w:marRight w:val="0"/>
      <w:marTop w:val="0"/>
      <w:marBottom w:val="0"/>
      <w:divBdr>
        <w:top w:val="none" w:sz="0" w:space="0" w:color="auto"/>
        <w:left w:val="none" w:sz="0" w:space="0" w:color="auto"/>
        <w:bottom w:val="none" w:sz="0" w:space="0" w:color="auto"/>
        <w:right w:val="none" w:sz="0" w:space="0" w:color="auto"/>
      </w:divBdr>
    </w:div>
    <w:div w:id="1129670564">
      <w:bodyDiv w:val="1"/>
      <w:marLeft w:val="0"/>
      <w:marRight w:val="0"/>
      <w:marTop w:val="0"/>
      <w:marBottom w:val="0"/>
      <w:divBdr>
        <w:top w:val="none" w:sz="0" w:space="0" w:color="auto"/>
        <w:left w:val="none" w:sz="0" w:space="0" w:color="auto"/>
        <w:bottom w:val="none" w:sz="0" w:space="0" w:color="auto"/>
        <w:right w:val="none" w:sz="0" w:space="0" w:color="auto"/>
      </w:divBdr>
    </w:div>
    <w:div w:id="1130974338">
      <w:bodyDiv w:val="1"/>
      <w:marLeft w:val="0"/>
      <w:marRight w:val="0"/>
      <w:marTop w:val="0"/>
      <w:marBottom w:val="0"/>
      <w:divBdr>
        <w:top w:val="none" w:sz="0" w:space="0" w:color="auto"/>
        <w:left w:val="none" w:sz="0" w:space="0" w:color="auto"/>
        <w:bottom w:val="none" w:sz="0" w:space="0" w:color="auto"/>
        <w:right w:val="none" w:sz="0" w:space="0" w:color="auto"/>
      </w:divBdr>
    </w:div>
    <w:div w:id="1132748992">
      <w:bodyDiv w:val="1"/>
      <w:marLeft w:val="0"/>
      <w:marRight w:val="0"/>
      <w:marTop w:val="0"/>
      <w:marBottom w:val="0"/>
      <w:divBdr>
        <w:top w:val="none" w:sz="0" w:space="0" w:color="auto"/>
        <w:left w:val="none" w:sz="0" w:space="0" w:color="auto"/>
        <w:bottom w:val="none" w:sz="0" w:space="0" w:color="auto"/>
        <w:right w:val="none" w:sz="0" w:space="0" w:color="auto"/>
      </w:divBdr>
    </w:div>
    <w:div w:id="1133913169">
      <w:bodyDiv w:val="1"/>
      <w:marLeft w:val="0"/>
      <w:marRight w:val="0"/>
      <w:marTop w:val="0"/>
      <w:marBottom w:val="0"/>
      <w:divBdr>
        <w:top w:val="none" w:sz="0" w:space="0" w:color="auto"/>
        <w:left w:val="none" w:sz="0" w:space="0" w:color="auto"/>
        <w:bottom w:val="none" w:sz="0" w:space="0" w:color="auto"/>
        <w:right w:val="none" w:sz="0" w:space="0" w:color="auto"/>
      </w:divBdr>
    </w:div>
    <w:div w:id="1134525376">
      <w:bodyDiv w:val="1"/>
      <w:marLeft w:val="0"/>
      <w:marRight w:val="0"/>
      <w:marTop w:val="0"/>
      <w:marBottom w:val="0"/>
      <w:divBdr>
        <w:top w:val="none" w:sz="0" w:space="0" w:color="auto"/>
        <w:left w:val="none" w:sz="0" w:space="0" w:color="auto"/>
        <w:bottom w:val="none" w:sz="0" w:space="0" w:color="auto"/>
        <w:right w:val="none" w:sz="0" w:space="0" w:color="auto"/>
      </w:divBdr>
    </w:div>
    <w:div w:id="1135175628">
      <w:bodyDiv w:val="1"/>
      <w:marLeft w:val="0"/>
      <w:marRight w:val="0"/>
      <w:marTop w:val="0"/>
      <w:marBottom w:val="0"/>
      <w:divBdr>
        <w:top w:val="none" w:sz="0" w:space="0" w:color="auto"/>
        <w:left w:val="none" w:sz="0" w:space="0" w:color="auto"/>
        <w:bottom w:val="none" w:sz="0" w:space="0" w:color="auto"/>
        <w:right w:val="none" w:sz="0" w:space="0" w:color="auto"/>
      </w:divBdr>
    </w:div>
    <w:div w:id="1141536975">
      <w:bodyDiv w:val="1"/>
      <w:marLeft w:val="0"/>
      <w:marRight w:val="0"/>
      <w:marTop w:val="0"/>
      <w:marBottom w:val="0"/>
      <w:divBdr>
        <w:top w:val="none" w:sz="0" w:space="0" w:color="auto"/>
        <w:left w:val="none" w:sz="0" w:space="0" w:color="auto"/>
        <w:bottom w:val="none" w:sz="0" w:space="0" w:color="auto"/>
        <w:right w:val="none" w:sz="0" w:space="0" w:color="auto"/>
      </w:divBdr>
    </w:div>
    <w:div w:id="1146433504">
      <w:bodyDiv w:val="1"/>
      <w:marLeft w:val="0"/>
      <w:marRight w:val="0"/>
      <w:marTop w:val="0"/>
      <w:marBottom w:val="0"/>
      <w:divBdr>
        <w:top w:val="none" w:sz="0" w:space="0" w:color="auto"/>
        <w:left w:val="none" w:sz="0" w:space="0" w:color="auto"/>
        <w:bottom w:val="none" w:sz="0" w:space="0" w:color="auto"/>
        <w:right w:val="none" w:sz="0" w:space="0" w:color="auto"/>
      </w:divBdr>
    </w:div>
    <w:div w:id="1153136358">
      <w:bodyDiv w:val="1"/>
      <w:marLeft w:val="0"/>
      <w:marRight w:val="0"/>
      <w:marTop w:val="0"/>
      <w:marBottom w:val="0"/>
      <w:divBdr>
        <w:top w:val="none" w:sz="0" w:space="0" w:color="auto"/>
        <w:left w:val="none" w:sz="0" w:space="0" w:color="auto"/>
        <w:bottom w:val="none" w:sz="0" w:space="0" w:color="auto"/>
        <w:right w:val="none" w:sz="0" w:space="0" w:color="auto"/>
      </w:divBdr>
    </w:div>
    <w:div w:id="1153178519">
      <w:bodyDiv w:val="1"/>
      <w:marLeft w:val="0"/>
      <w:marRight w:val="0"/>
      <w:marTop w:val="0"/>
      <w:marBottom w:val="0"/>
      <w:divBdr>
        <w:top w:val="none" w:sz="0" w:space="0" w:color="auto"/>
        <w:left w:val="none" w:sz="0" w:space="0" w:color="auto"/>
        <w:bottom w:val="none" w:sz="0" w:space="0" w:color="auto"/>
        <w:right w:val="none" w:sz="0" w:space="0" w:color="auto"/>
      </w:divBdr>
    </w:div>
    <w:div w:id="1163275041">
      <w:bodyDiv w:val="1"/>
      <w:marLeft w:val="0"/>
      <w:marRight w:val="0"/>
      <w:marTop w:val="0"/>
      <w:marBottom w:val="0"/>
      <w:divBdr>
        <w:top w:val="none" w:sz="0" w:space="0" w:color="auto"/>
        <w:left w:val="none" w:sz="0" w:space="0" w:color="auto"/>
        <w:bottom w:val="none" w:sz="0" w:space="0" w:color="auto"/>
        <w:right w:val="none" w:sz="0" w:space="0" w:color="auto"/>
      </w:divBdr>
    </w:div>
    <w:div w:id="1176925745">
      <w:bodyDiv w:val="1"/>
      <w:marLeft w:val="0"/>
      <w:marRight w:val="0"/>
      <w:marTop w:val="0"/>
      <w:marBottom w:val="0"/>
      <w:divBdr>
        <w:top w:val="none" w:sz="0" w:space="0" w:color="auto"/>
        <w:left w:val="none" w:sz="0" w:space="0" w:color="auto"/>
        <w:bottom w:val="none" w:sz="0" w:space="0" w:color="auto"/>
        <w:right w:val="none" w:sz="0" w:space="0" w:color="auto"/>
      </w:divBdr>
    </w:div>
    <w:div w:id="1177426196">
      <w:bodyDiv w:val="1"/>
      <w:marLeft w:val="0"/>
      <w:marRight w:val="0"/>
      <w:marTop w:val="0"/>
      <w:marBottom w:val="0"/>
      <w:divBdr>
        <w:top w:val="none" w:sz="0" w:space="0" w:color="auto"/>
        <w:left w:val="none" w:sz="0" w:space="0" w:color="auto"/>
        <w:bottom w:val="none" w:sz="0" w:space="0" w:color="auto"/>
        <w:right w:val="none" w:sz="0" w:space="0" w:color="auto"/>
      </w:divBdr>
    </w:div>
    <w:div w:id="1178152380">
      <w:bodyDiv w:val="1"/>
      <w:marLeft w:val="0"/>
      <w:marRight w:val="0"/>
      <w:marTop w:val="0"/>
      <w:marBottom w:val="0"/>
      <w:divBdr>
        <w:top w:val="none" w:sz="0" w:space="0" w:color="auto"/>
        <w:left w:val="none" w:sz="0" w:space="0" w:color="auto"/>
        <w:bottom w:val="none" w:sz="0" w:space="0" w:color="auto"/>
        <w:right w:val="none" w:sz="0" w:space="0" w:color="auto"/>
      </w:divBdr>
    </w:div>
    <w:div w:id="1181161922">
      <w:bodyDiv w:val="1"/>
      <w:marLeft w:val="0"/>
      <w:marRight w:val="0"/>
      <w:marTop w:val="0"/>
      <w:marBottom w:val="0"/>
      <w:divBdr>
        <w:top w:val="none" w:sz="0" w:space="0" w:color="auto"/>
        <w:left w:val="none" w:sz="0" w:space="0" w:color="auto"/>
        <w:bottom w:val="none" w:sz="0" w:space="0" w:color="auto"/>
        <w:right w:val="none" w:sz="0" w:space="0" w:color="auto"/>
      </w:divBdr>
    </w:div>
    <w:div w:id="1182547215">
      <w:bodyDiv w:val="1"/>
      <w:marLeft w:val="0"/>
      <w:marRight w:val="0"/>
      <w:marTop w:val="0"/>
      <w:marBottom w:val="0"/>
      <w:divBdr>
        <w:top w:val="none" w:sz="0" w:space="0" w:color="auto"/>
        <w:left w:val="none" w:sz="0" w:space="0" w:color="auto"/>
        <w:bottom w:val="none" w:sz="0" w:space="0" w:color="auto"/>
        <w:right w:val="none" w:sz="0" w:space="0" w:color="auto"/>
      </w:divBdr>
    </w:div>
    <w:div w:id="1182864273">
      <w:bodyDiv w:val="1"/>
      <w:marLeft w:val="0"/>
      <w:marRight w:val="0"/>
      <w:marTop w:val="0"/>
      <w:marBottom w:val="0"/>
      <w:divBdr>
        <w:top w:val="none" w:sz="0" w:space="0" w:color="auto"/>
        <w:left w:val="none" w:sz="0" w:space="0" w:color="auto"/>
        <w:bottom w:val="none" w:sz="0" w:space="0" w:color="auto"/>
        <w:right w:val="none" w:sz="0" w:space="0" w:color="auto"/>
      </w:divBdr>
    </w:div>
    <w:div w:id="1183518049">
      <w:bodyDiv w:val="1"/>
      <w:marLeft w:val="0"/>
      <w:marRight w:val="0"/>
      <w:marTop w:val="0"/>
      <w:marBottom w:val="0"/>
      <w:divBdr>
        <w:top w:val="none" w:sz="0" w:space="0" w:color="auto"/>
        <w:left w:val="none" w:sz="0" w:space="0" w:color="auto"/>
        <w:bottom w:val="none" w:sz="0" w:space="0" w:color="auto"/>
        <w:right w:val="none" w:sz="0" w:space="0" w:color="auto"/>
      </w:divBdr>
    </w:div>
    <w:div w:id="1195584279">
      <w:bodyDiv w:val="1"/>
      <w:marLeft w:val="0"/>
      <w:marRight w:val="0"/>
      <w:marTop w:val="0"/>
      <w:marBottom w:val="0"/>
      <w:divBdr>
        <w:top w:val="none" w:sz="0" w:space="0" w:color="auto"/>
        <w:left w:val="none" w:sz="0" w:space="0" w:color="auto"/>
        <w:bottom w:val="none" w:sz="0" w:space="0" w:color="auto"/>
        <w:right w:val="none" w:sz="0" w:space="0" w:color="auto"/>
      </w:divBdr>
    </w:div>
    <w:div w:id="1195656636">
      <w:bodyDiv w:val="1"/>
      <w:marLeft w:val="0"/>
      <w:marRight w:val="0"/>
      <w:marTop w:val="0"/>
      <w:marBottom w:val="0"/>
      <w:divBdr>
        <w:top w:val="none" w:sz="0" w:space="0" w:color="auto"/>
        <w:left w:val="none" w:sz="0" w:space="0" w:color="auto"/>
        <w:bottom w:val="none" w:sz="0" w:space="0" w:color="auto"/>
        <w:right w:val="none" w:sz="0" w:space="0" w:color="auto"/>
      </w:divBdr>
    </w:div>
    <w:div w:id="1204562884">
      <w:bodyDiv w:val="1"/>
      <w:marLeft w:val="0"/>
      <w:marRight w:val="0"/>
      <w:marTop w:val="0"/>
      <w:marBottom w:val="0"/>
      <w:divBdr>
        <w:top w:val="none" w:sz="0" w:space="0" w:color="auto"/>
        <w:left w:val="none" w:sz="0" w:space="0" w:color="auto"/>
        <w:bottom w:val="none" w:sz="0" w:space="0" w:color="auto"/>
        <w:right w:val="none" w:sz="0" w:space="0" w:color="auto"/>
      </w:divBdr>
    </w:div>
    <w:div w:id="1208830814">
      <w:bodyDiv w:val="1"/>
      <w:marLeft w:val="0"/>
      <w:marRight w:val="0"/>
      <w:marTop w:val="0"/>
      <w:marBottom w:val="0"/>
      <w:divBdr>
        <w:top w:val="none" w:sz="0" w:space="0" w:color="auto"/>
        <w:left w:val="none" w:sz="0" w:space="0" w:color="auto"/>
        <w:bottom w:val="none" w:sz="0" w:space="0" w:color="auto"/>
        <w:right w:val="none" w:sz="0" w:space="0" w:color="auto"/>
      </w:divBdr>
    </w:div>
    <w:div w:id="1212888629">
      <w:bodyDiv w:val="1"/>
      <w:marLeft w:val="0"/>
      <w:marRight w:val="0"/>
      <w:marTop w:val="0"/>
      <w:marBottom w:val="0"/>
      <w:divBdr>
        <w:top w:val="none" w:sz="0" w:space="0" w:color="auto"/>
        <w:left w:val="none" w:sz="0" w:space="0" w:color="auto"/>
        <w:bottom w:val="none" w:sz="0" w:space="0" w:color="auto"/>
        <w:right w:val="none" w:sz="0" w:space="0" w:color="auto"/>
      </w:divBdr>
    </w:div>
    <w:div w:id="1214003774">
      <w:bodyDiv w:val="1"/>
      <w:marLeft w:val="0"/>
      <w:marRight w:val="0"/>
      <w:marTop w:val="0"/>
      <w:marBottom w:val="0"/>
      <w:divBdr>
        <w:top w:val="none" w:sz="0" w:space="0" w:color="auto"/>
        <w:left w:val="none" w:sz="0" w:space="0" w:color="auto"/>
        <w:bottom w:val="none" w:sz="0" w:space="0" w:color="auto"/>
        <w:right w:val="none" w:sz="0" w:space="0" w:color="auto"/>
      </w:divBdr>
    </w:div>
    <w:div w:id="1214077786">
      <w:bodyDiv w:val="1"/>
      <w:marLeft w:val="0"/>
      <w:marRight w:val="0"/>
      <w:marTop w:val="0"/>
      <w:marBottom w:val="0"/>
      <w:divBdr>
        <w:top w:val="none" w:sz="0" w:space="0" w:color="auto"/>
        <w:left w:val="none" w:sz="0" w:space="0" w:color="auto"/>
        <w:bottom w:val="none" w:sz="0" w:space="0" w:color="auto"/>
        <w:right w:val="none" w:sz="0" w:space="0" w:color="auto"/>
      </w:divBdr>
    </w:div>
    <w:div w:id="1217887108">
      <w:bodyDiv w:val="1"/>
      <w:marLeft w:val="0"/>
      <w:marRight w:val="0"/>
      <w:marTop w:val="0"/>
      <w:marBottom w:val="0"/>
      <w:divBdr>
        <w:top w:val="none" w:sz="0" w:space="0" w:color="auto"/>
        <w:left w:val="none" w:sz="0" w:space="0" w:color="auto"/>
        <w:bottom w:val="none" w:sz="0" w:space="0" w:color="auto"/>
        <w:right w:val="none" w:sz="0" w:space="0" w:color="auto"/>
      </w:divBdr>
    </w:div>
    <w:div w:id="1222668811">
      <w:bodyDiv w:val="1"/>
      <w:marLeft w:val="0"/>
      <w:marRight w:val="0"/>
      <w:marTop w:val="0"/>
      <w:marBottom w:val="0"/>
      <w:divBdr>
        <w:top w:val="none" w:sz="0" w:space="0" w:color="auto"/>
        <w:left w:val="none" w:sz="0" w:space="0" w:color="auto"/>
        <w:bottom w:val="none" w:sz="0" w:space="0" w:color="auto"/>
        <w:right w:val="none" w:sz="0" w:space="0" w:color="auto"/>
      </w:divBdr>
      <w:divsChild>
        <w:div w:id="2069457423">
          <w:marLeft w:val="562"/>
          <w:marRight w:val="0"/>
          <w:marTop w:val="0"/>
          <w:marBottom w:val="0"/>
          <w:divBdr>
            <w:top w:val="none" w:sz="0" w:space="0" w:color="auto"/>
            <w:left w:val="none" w:sz="0" w:space="0" w:color="auto"/>
            <w:bottom w:val="none" w:sz="0" w:space="0" w:color="auto"/>
            <w:right w:val="none" w:sz="0" w:space="0" w:color="auto"/>
          </w:divBdr>
        </w:div>
        <w:div w:id="1992755079">
          <w:marLeft w:val="562"/>
          <w:marRight w:val="0"/>
          <w:marTop w:val="0"/>
          <w:marBottom w:val="0"/>
          <w:divBdr>
            <w:top w:val="none" w:sz="0" w:space="0" w:color="auto"/>
            <w:left w:val="none" w:sz="0" w:space="0" w:color="auto"/>
            <w:bottom w:val="none" w:sz="0" w:space="0" w:color="auto"/>
            <w:right w:val="none" w:sz="0" w:space="0" w:color="auto"/>
          </w:divBdr>
        </w:div>
        <w:div w:id="240792557">
          <w:marLeft w:val="562"/>
          <w:marRight w:val="0"/>
          <w:marTop w:val="0"/>
          <w:marBottom w:val="0"/>
          <w:divBdr>
            <w:top w:val="none" w:sz="0" w:space="0" w:color="auto"/>
            <w:left w:val="none" w:sz="0" w:space="0" w:color="auto"/>
            <w:bottom w:val="none" w:sz="0" w:space="0" w:color="auto"/>
            <w:right w:val="none" w:sz="0" w:space="0" w:color="auto"/>
          </w:divBdr>
        </w:div>
        <w:div w:id="433868640">
          <w:marLeft w:val="562"/>
          <w:marRight w:val="0"/>
          <w:marTop w:val="0"/>
          <w:marBottom w:val="0"/>
          <w:divBdr>
            <w:top w:val="none" w:sz="0" w:space="0" w:color="auto"/>
            <w:left w:val="none" w:sz="0" w:space="0" w:color="auto"/>
            <w:bottom w:val="none" w:sz="0" w:space="0" w:color="auto"/>
            <w:right w:val="none" w:sz="0" w:space="0" w:color="auto"/>
          </w:divBdr>
        </w:div>
        <w:div w:id="1077166749">
          <w:marLeft w:val="850"/>
          <w:marRight w:val="0"/>
          <w:marTop w:val="0"/>
          <w:marBottom w:val="0"/>
          <w:divBdr>
            <w:top w:val="none" w:sz="0" w:space="0" w:color="auto"/>
            <w:left w:val="none" w:sz="0" w:space="0" w:color="auto"/>
            <w:bottom w:val="none" w:sz="0" w:space="0" w:color="auto"/>
            <w:right w:val="none" w:sz="0" w:space="0" w:color="auto"/>
          </w:divBdr>
        </w:div>
        <w:div w:id="237519534">
          <w:marLeft w:val="562"/>
          <w:marRight w:val="0"/>
          <w:marTop w:val="0"/>
          <w:marBottom w:val="0"/>
          <w:divBdr>
            <w:top w:val="none" w:sz="0" w:space="0" w:color="auto"/>
            <w:left w:val="none" w:sz="0" w:space="0" w:color="auto"/>
            <w:bottom w:val="none" w:sz="0" w:space="0" w:color="auto"/>
            <w:right w:val="none" w:sz="0" w:space="0" w:color="auto"/>
          </w:divBdr>
        </w:div>
        <w:div w:id="1362245367">
          <w:marLeft w:val="562"/>
          <w:marRight w:val="0"/>
          <w:marTop w:val="0"/>
          <w:marBottom w:val="0"/>
          <w:divBdr>
            <w:top w:val="none" w:sz="0" w:space="0" w:color="auto"/>
            <w:left w:val="none" w:sz="0" w:space="0" w:color="auto"/>
            <w:bottom w:val="none" w:sz="0" w:space="0" w:color="auto"/>
            <w:right w:val="none" w:sz="0" w:space="0" w:color="auto"/>
          </w:divBdr>
        </w:div>
      </w:divsChild>
    </w:div>
    <w:div w:id="1235122228">
      <w:bodyDiv w:val="1"/>
      <w:marLeft w:val="0"/>
      <w:marRight w:val="0"/>
      <w:marTop w:val="0"/>
      <w:marBottom w:val="0"/>
      <w:divBdr>
        <w:top w:val="none" w:sz="0" w:space="0" w:color="auto"/>
        <w:left w:val="none" w:sz="0" w:space="0" w:color="auto"/>
        <w:bottom w:val="none" w:sz="0" w:space="0" w:color="auto"/>
        <w:right w:val="none" w:sz="0" w:space="0" w:color="auto"/>
      </w:divBdr>
    </w:div>
    <w:div w:id="1253591275">
      <w:bodyDiv w:val="1"/>
      <w:marLeft w:val="0"/>
      <w:marRight w:val="0"/>
      <w:marTop w:val="0"/>
      <w:marBottom w:val="0"/>
      <w:divBdr>
        <w:top w:val="none" w:sz="0" w:space="0" w:color="auto"/>
        <w:left w:val="none" w:sz="0" w:space="0" w:color="auto"/>
        <w:bottom w:val="none" w:sz="0" w:space="0" w:color="auto"/>
        <w:right w:val="none" w:sz="0" w:space="0" w:color="auto"/>
      </w:divBdr>
    </w:div>
    <w:div w:id="1261720481">
      <w:bodyDiv w:val="1"/>
      <w:marLeft w:val="0"/>
      <w:marRight w:val="0"/>
      <w:marTop w:val="0"/>
      <w:marBottom w:val="0"/>
      <w:divBdr>
        <w:top w:val="none" w:sz="0" w:space="0" w:color="auto"/>
        <w:left w:val="none" w:sz="0" w:space="0" w:color="auto"/>
        <w:bottom w:val="none" w:sz="0" w:space="0" w:color="auto"/>
        <w:right w:val="none" w:sz="0" w:space="0" w:color="auto"/>
      </w:divBdr>
    </w:div>
    <w:div w:id="1263607096">
      <w:bodyDiv w:val="1"/>
      <w:marLeft w:val="0"/>
      <w:marRight w:val="0"/>
      <w:marTop w:val="0"/>
      <w:marBottom w:val="0"/>
      <w:divBdr>
        <w:top w:val="none" w:sz="0" w:space="0" w:color="auto"/>
        <w:left w:val="none" w:sz="0" w:space="0" w:color="auto"/>
        <w:bottom w:val="none" w:sz="0" w:space="0" w:color="auto"/>
        <w:right w:val="none" w:sz="0" w:space="0" w:color="auto"/>
      </w:divBdr>
    </w:div>
    <w:div w:id="1268196118">
      <w:bodyDiv w:val="1"/>
      <w:marLeft w:val="0"/>
      <w:marRight w:val="0"/>
      <w:marTop w:val="0"/>
      <w:marBottom w:val="0"/>
      <w:divBdr>
        <w:top w:val="none" w:sz="0" w:space="0" w:color="auto"/>
        <w:left w:val="none" w:sz="0" w:space="0" w:color="auto"/>
        <w:bottom w:val="none" w:sz="0" w:space="0" w:color="auto"/>
        <w:right w:val="none" w:sz="0" w:space="0" w:color="auto"/>
      </w:divBdr>
    </w:div>
    <w:div w:id="1268974402">
      <w:bodyDiv w:val="1"/>
      <w:marLeft w:val="0"/>
      <w:marRight w:val="0"/>
      <w:marTop w:val="0"/>
      <w:marBottom w:val="0"/>
      <w:divBdr>
        <w:top w:val="none" w:sz="0" w:space="0" w:color="auto"/>
        <w:left w:val="none" w:sz="0" w:space="0" w:color="auto"/>
        <w:bottom w:val="none" w:sz="0" w:space="0" w:color="auto"/>
        <w:right w:val="none" w:sz="0" w:space="0" w:color="auto"/>
      </w:divBdr>
    </w:div>
    <w:div w:id="1270622230">
      <w:bodyDiv w:val="1"/>
      <w:marLeft w:val="0"/>
      <w:marRight w:val="0"/>
      <w:marTop w:val="0"/>
      <w:marBottom w:val="0"/>
      <w:divBdr>
        <w:top w:val="none" w:sz="0" w:space="0" w:color="auto"/>
        <w:left w:val="none" w:sz="0" w:space="0" w:color="auto"/>
        <w:bottom w:val="none" w:sz="0" w:space="0" w:color="auto"/>
        <w:right w:val="none" w:sz="0" w:space="0" w:color="auto"/>
      </w:divBdr>
    </w:div>
    <w:div w:id="1273318099">
      <w:bodyDiv w:val="1"/>
      <w:marLeft w:val="0"/>
      <w:marRight w:val="0"/>
      <w:marTop w:val="0"/>
      <w:marBottom w:val="0"/>
      <w:divBdr>
        <w:top w:val="none" w:sz="0" w:space="0" w:color="auto"/>
        <w:left w:val="none" w:sz="0" w:space="0" w:color="auto"/>
        <w:bottom w:val="none" w:sz="0" w:space="0" w:color="auto"/>
        <w:right w:val="none" w:sz="0" w:space="0" w:color="auto"/>
      </w:divBdr>
    </w:div>
    <w:div w:id="1276208629">
      <w:bodyDiv w:val="1"/>
      <w:marLeft w:val="0"/>
      <w:marRight w:val="0"/>
      <w:marTop w:val="0"/>
      <w:marBottom w:val="0"/>
      <w:divBdr>
        <w:top w:val="none" w:sz="0" w:space="0" w:color="auto"/>
        <w:left w:val="none" w:sz="0" w:space="0" w:color="auto"/>
        <w:bottom w:val="none" w:sz="0" w:space="0" w:color="auto"/>
        <w:right w:val="none" w:sz="0" w:space="0" w:color="auto"/>
      </w:divBdr>
    </w:div>
    <w:div w:id="1276520323">
      <w:bodyDiv w:val="1"/>
      <w:marLeft w:val="0"/>
      <w:marRight w:val="0"/>
      <w:marTop w:val="0"/>
      <w:marBottom w:val="0"/>
      <w:divBdr>
        <w:top w:val="none" w:sz="0" w:space="0" w:color="auto"/>
        <w:left w:val="none" w:sz="0" w:space="0" w:color="auto"/>
        <w:bottom w:val="none" w:sz="0" w:space="0" w:color="auto"/>
        <w:right w:val="none" w:sz="0" w:space="0" w:color="auto"/>
      </w:divBdr>
    </w:div>
    <w:div w:id="1279412846">
      <w:bodyDiv w:val="1"/>
      <w:marLeft w:val="0"/>
      <w:marRight w:val="0"/>
      <w:marTop w:val="0"/>
      <w:marBottom w:val="0"/>
      <w:divBdr>
        <w:top w:val="none" w:sz="0" w:space="0" w:color="auto"/>
        <w:left w:val="none" w:sz="0" w:space="0" w:color="auto"/>
        <w:bottom w:val="none" w:sz="0" w:space="0" w:color="auto"/>
        <w:right w:val="none" w:sz="0" w:space="0" w:color="auto"/>
      </w:divBdr>
    </w:div>
    <w:div w:id="1282300029">
      <w:bodyDiv w:val="1"/>
      <w:marLeft w:val="0"/>
      <w:marRight w:val="0"/>
      <w:marTop w:val="0"/>
      <w:marBottom w:val="0"/>
      <w:divBdr>
        <w:top w:val="none" w:sz="0" w:space="0" w:color="auto"/>
        <w:left w:val="none" w:sz="0" w:space="0" w:color="auto"/>
        <w:bottom w:val="none" w:sz="0" w:space="0" w:color="auto"/>
        <w:right w:val="none" w:sz="0" w:space="0" w:color="auto"/>
      </w:divBdr>
    </w:div>
    <w:div w:id="1284387273">
      <w:bodyDiv w:val="1"/>
      <w:marLeft w:val="0"/>
      <w:marRight w:val="0"/>
      <w:marTop w:val="0"/>
      <w:marBottom w:val="0"/>
      <w:divBdr>
        <w:top w:val="none" w:sz="0" w:space="0" w:color="auto"/>
        <w:left w:val="none" w:sz="0" w:space="0" w:color="auto"/>
        <w:bottom w:val="none" w:sz="0" w:space="0" w:color="auto"/>
        <w:right w:val="none" w:sz="0" w:space="0" w:color="auto"/>
      </w:divBdr>
    </w:div>
    <w:div w:id="1291980281">
      <w:bodyDiv w:val="1"/>
      <w:marLeft w:val="0"/>
      <w:marRight w:val="0"/>
      <w:marTop w:val="0"/>
      <w:marBottom w:val="0"/>
      <w:divBdr>
        <w:top w:val="none" w:sz="0" w:space="0" w:color="auto"/>
        <w:left w:val="none" w:sz="0" w:space="0" w:color="auto"/>
        <w:bottom w:val="none" w:sz="0" w:space="0" w:color="auto"/>
        <w:right w:val="none" w:sz="0" w:space="0" w:color="auto"/>
      </w:divBdr>
    </w:div>
    <w:div w:id="1309628577">
      <w:bodyDiv w:val="1"/>
      <w:marLeft w:val="0"/>
      <w:marRight w:val="0"/>
      <w:marTop w:val="0"/>
      <w:marBottom w:val="0"/>
      <w:divBdr>
        <w:top w:val="none" w:sz="0" w:space="0" w:color="auto"/>
        <w:left w:val="none" w:sz="0" w:space="0" w:color="auto"/>
        <w:bottom w:val="none" w:sz="0" w:space="0" w:color="auto"/>
        <w:right w:val="none" w:sz="0" w:space="0" w:color="auto"/>
      </w:divBdr>
    </w:div>
    <w:div w:id="1311519892">
      <w:bodyDiv w:val="1"/>
      <w:marLeft w:val="0"/>
      <w:marRight w:val="0"/>
      <w:marTop w:val="0"/>
      <w:marBottom w:val="0"/>
      <w:divBdr>
        <w:top w:val="none" w:sz="0" w:space="0" w:color="auto"/>
        <w:left w:val="none" w:sz="0" w:space="0" w:color="auto"/>
        <w:bottom w:val="none" w:sz="0" w:space="0" w:color="auto"/>
        <w:right w:val="none" w:sz="0" w:space="0" w:color="auto"/>
      </w:divBdr>
    </w:div>
    <w:div w:id="1316645834">
      <w:bodyDiv w:val="1"/>
      <w:marLeft w:val="0"/>
      <w:marRight w:val="0"/>
      <w:marTop w:val="0"/>
      <w:marBottom w:val="0"/>
      <w:divBdr>
        <w:top w:val="none" w:sz="0" w:space="0" w:color="auto"/>
        <w:left w:val="none" w:sz="0" w:space="0" w:color="auto"/>
        <w:bottom w:val="none" w:sz="0" w:space="0" w:color="auto"/>
        <w:right w:val="none" w:sz="0" w:space="0" w:color="auto"/>
      </w:divBdr>
    </w:div>
    <w:div w:id="1316764380">
      <w:bodyDiv w:val="1"/>
      <w:marLeft w:val="0"/>
      <w:marRight w:val="0"/>
      <w:marTop w:val="0"/>
      <w:marBottom w:val="0"/>
      <w:divBdr>
        <w:top w:val="none" w:sz="0" w:space="0" w:color="auto"/>
        <w:left w:val="none" w:sz="0" w:space="0" w:color="auto"/>
        <w:bottom w:val="none" w:sz="0" w:space="0" w:color="auto"/>
        <w:right w:val="none" w:sz="0" w:space="0" w:color="auto"/>
      </w:divBdr>
    </w:div>
    <w:div w:id="1318149008">
      <w:bodyDiv w:val="1"/>
      <w:marLeft w:val="0"/>
      <w:marRight w:val="0"/>
      <w:marTop w:val="0"/>
      <w:marBottom w:val="0"/>
      <w:divBdr>
        <w:top w:val="none" w:sz="0" w:space="0" w:color="auto"/>
        <w:left w:val="none" w:sz="0" w:space="0" w:color="auto"/>
        <w:bottom w:val="none" w:sz="0" w:space="0" w:color="auto"/>
        <w:right w:val="none" w:sz="0" w:space="0" w:color="auto"/>
      </w:divBdr>
    </w:div>
    <w:div w:id="1328096841">
      <w:bodyDiv w:val="1"/>
      <w:marLeft w:val="0"/>
      <w:marRight w:val="0"/>
      <w:marTop w:val="0"/>
      <w:marBottom w:val="0"/>
      <w:divBdr>
        <w:top w:val="none" w:sz="0" w:space="0" w:color="auto"/>
        <w:left w:val="none" w:sz="0" w:space="0" w:color="auto"/>
        <w:bottom w:val="none" w:sz="0" w:space="0" w:color="auto"/>
        <w:right w:val="none" w:sz="0" w:space="0" w:color="auto"/>
      </w:divBdr>
    </w:div>
    <w:div w:id="1330257826">
      <w:bodyDiv w:val="1"/>
      <w:marLeft w:val="0"/>
      <w:marRight w:val="0"/>
      <w:marTop w:val="0"/>
      <w:marBottom w:val="0"/>
      <w:divBdr>
        <w:top w:val="none" w:sz="0" w:space="0" w:color="auto"/>
        <w:left w:val="none" w:sz="0" w:space="0" w:color="auto"/>
        <w:bottom w:val="none" w:sz="0" w:space="0" w:color="auto"/>
        <w:right w:val="none" w:sz="0" w:space="0" w:color="auto"/>
      </w:divBdr>
    </w:div>
    <w:div w:id="1331592351">
      <w:bodyDiv w:val="1"/>
      <w:marLeft w:val="0"/>
      <w:marRight w:val="0"/>
      <w:marTop w:val="0"/>
      <w:marBottom w:val="0"/>
      <w:divBdr>
        <w:top w:val="none" w:sz="0" w:space="0" w:color="auto"/>
        <w:left w:val="none" w:sz="0" w:space="0" w:color="auto"/>
        <w:bottom w:val="none" w:sz="0" w:space="0" w:color="auto"/>
        <w:right w:val="none" w:sz="0" w:space="0" w:color="auto"/>
      </w:divBdr>
    </w:div>
    <w:div w:id="1331634792">
      <w:bodyDiv w:val="1"/>
      <w:marLeft w:val="0"/>
      <w:marRight w:val="0"/>
      <w:marTop w:val="0"/>
      <w:marBottom w:val="0"/>
      <w:divBdr>
        <w:top w:val="none" w:sz="0" w:space="0" w:color="auto"/>
        <w:left w:val="none" w:sz="0" w:space="0" w:color="auto"/>
        <w:bottom w:val="none" w:sz="0" w:space="0" w:color="auto"/>
        <w:right w:val="none" w:sz="0" w:space="0" w:color="auto"/>
      </w:divBdr>
    </w:div>
    <w:div w:id="1340044694">
      <w:bodyDiv w:val="1"/>
      <w:marLeft w:val="0"/>
      <w:marRight w:val="0"/>
      <w:marTop w:val="0"/>
      <w:marBottom w:val="0"/>
      <w:divBdr>
        <w:top w:val="none" w:sz="0" w:space="0" w:color="auto"/>
        <w:left w:val="none" w:sz="0" w:space="0" w:color="auto"/>
        <w:bottom w:val="none" w:sz="0" w:space="0" w:color="auto"/>
        <w:right w:val="none" w:sz="0" w:space="0" w:color="auto"/>
      </w:divBdr>
    </w:div>
    <w:div w:id="1340810018">
      <w:bodyDiv w:val="1"/>
      <w:marLeft w:val="0"/>
      <w:marRight w:val="0"/>
      <w:marTop w:val="0"/>
      <w:marBottom w:val="0"/>
      <w:divBdr>
        <w:top w:val="none" w:sz="0" w:space="0" w:color="auto"/>
        <w:left w:val="none" w:sz="0" w:space="0" w:color="auto"/>
        <w:bottom w:val="none" w:sz="0" w:space="0" w:color="auto"/>
        <w:right w:val="none" w:sz="0" w:space="0" w:color="auto"/>
      </w:divBdr>
    </w:div>
    <w:div w:id="1347515594">
      <w:bodyDiv w:val="1"/>
      <w:marLeft w:val="0"/>
      <w:marRight w:val="0"/>
      <w:marTop w:val="0"/>
      <w:marBottom w:val="0"/>
      <w:divBdr>
        <w:top w:val="none" w:sz="0" w:space="0" w:color="auto"/>
        <w:left w:val="none" w:sz="0" w:space="0" w:color="auto"/>
        <w:bottom w:val="none" w:sz="0" w:space="0" w:color="auto"/>
        <w:right w:val="none" w:sz="0" w:space="0" w:color="auto"/>
      </w:divBdr>
    </w:div>
    <w:div w:id="1352954938">
      <w:bodyDiv w:val="1"/>
      <w:marLeft w:val="0"/>
      <w:marRight w:val="0"/>
      <w:marTop w:val="0"/>
      <w:marBottom w:val="0"/>
      <w:divBdr>
        <w:top w:val="none" w:sz="0" w:space="0" w:color="auto"/>
        <w:left w:val="none" w:sz="0" w:space="0" w:color="auto"/>
        <w:bottom w:val="none" w:sz="0" w:space="0" w:color="auto"/>
        <w:right w:val="none" w:sz="0" w:space="0" w:color="auto"/>
      </w:divBdr>
    </w:div>
    <w:div w:id="1360156911">
      <w:bodyDiv w:val="1"/>
      <w:marLeft w:val="0"/>
      <w:marRight w:val="0"/>
      <w:marTop w:val="0"/>
      <w:marBottom w:val="0"/>
      <w:divBdr>
        <w:top w:val="none" w:sz="0" w:space="0" w:color="auto"/>
        <w:left w:val="none" w:sz="0" w:space="0" w:color="auto"/>
        <w:bottom w:val="none" w:sz="0" w:space="0" w:color="auto"/>
        <w:right w:val="none" w:sz="0" w:space="0" w:color="auto"/>
      </w:divBdr>
    </w:div>
    <w:div w:id="1363702303">
      <w:bodyDiv w:val="1"/>
      <w:marLeft w:val="0"/>
      <w:marRight w:val="0"/>
      <w:marTop w:val="0"/>
      <w:marBottom w:val="0"/>
      <w:divBdr>
        <w:top w:val="none" w:sz="0" w:space="0" w:color="auto"/>
        <w:left w:val="none" w:sz="0" w:space="0" w:color="auto"/>
        <w:bottom w:val="none" w:sz="0" w:space="0" w:color="auto"/>
        <w:right w:val="none" w:sz="0" w:space="0" w:color="auto"/>
      </w:divBdr>
    </w:div>
    <w:div w:id="1366255442">
      <w:bodyDiv w:val="1"/>
      <w:marLeft w:val="0"/>
      <w:marRight w:val="0"/>
      <w:marTop w:val="0"/>
      <w:marBottom w:val="0"/>
      <w:divBdr>
        <w:top w:val="none" w:sz="0" w:space="0" w:color="auto"/>
        <w:left w:val="none" w:sz="0" w:space="0" w:color="auto"/>
        <w:bottom w:val="none" w:sz="0" w:space="0" w:color="auto"/>
        <w:right w:val="none" w:sz="0" w:space="0" w:color="auto"/>
      </w:divBdr>
    </w:div>
    <w:div w:id="1368527961">
      <w:bodyDiv w:val="1"/>
      <w:marLeft w:val="0"/>
      <w:marRight w:val="0"/>
      <w:marTop w:val="0"/>
      <w:marBottom w:val="0"/>
      <w:divBdr>
        <w:top w:val="none" w:sz="0" w:space="0" w:color="auto"/>
        <w:left w:val="none" w:sz="0" w:space="0" w:color="auto"/>
        <w:bottom w:val="none" w:sz="0" w:space="0" w:color="auto"/>
        <w:right w:val="none" w:sz="0" w:space="0" w:color="auto"/>
      </w:divBdr>
    </w:div>
    <w:div w:id="1372149990">
      <w:bodyDiv w:val="1"/>
      <w:marLeft w:val="0"/>
      <w:marRight w:val="0"/>
      <w:marTop w:val="0"/>
      <w:marBottom w:val="0"/>
      <w:divBdr>
        <w:top w:val="none" w:sz="0" w:space="0" w:color="auto"/>
        <w:left w:val="none" w:sz="0" w:space="0" w:color="auto"/>
        <w:bottom w:val="none" w:sz="0" w:space="0" w:color="auto"/>
        <w:right w:val="none" w:sz="0" w:space="0" w:color="auto"/>
      </w:divBdr>
    </w:div>
    <w:div w:id="1373114981">
      <w:bodyDiv w:val="1"/>
      <w:marLeft w:val="0"/>
      <w:marRight w:val="0"/>
      <w:marTop w:val="0"/>
      <w:marBottom w:val="0"/>
      <w:divBdr>
        <w:top w:val="none" w:sz="0" w:space="0" w:color="auto"/>
        <w:left w:val="none" w:sz="0" w:space="0" w:color="auto"/>
        <w:bottom w:val="none" w:sz="0" w:space="0" w:color="auto"/>
        <w:right w:val="none" w:sz="0" w:space="0" w:color="auto"/>
      </w:divBdr>
    </w:div>
    <w:div w:id="1376850477">
      <w:bodyDiv w:val="1"/>
      <w:marLeft w:val="0"/>
      <w:marRight w:val="0"/>
      <w:marTop w:val="0"/>
      <w:marBottom w:val="0"/>
      <w:divBdr>
        <w:top w:val="none" w:sz="0" w:space="0" w:color="auto"/>
        <w:left w:val="none" w:sz="0" w:space="0" w:color="auto"/>
        <w:bottom w:val="none" w:sz="0" w:space="0" w:color="auto"/>
        <w:right w:val="none" w:sz="0" w:space="0" w:color="auto"/>
      </w:divBdr>
    </w:div>
    <w:div w:id="1380126807">
      <w:bodyDiv w:val="1"/>
      <w:marLeft w:val="0"/>
      <w:marRight w:val="0"/>
      <w:marTop w:val="0"/>
      <w:marBottom w:val="0"/>
      <w:divBdr>
        <w:top w:val="none" w:sz="0" w:space="0" w:color="auto"/>
        <w:left w:val="none" w:sz="0" w:space="0" w:color="auto"/>
        <w:bottom w:val="none" w:sz="0" w:space="0" w:color="auto"/>
        <w:right w:val="none" w:sz="0" w:space="0" w:color="auto"/>
      </w:divBdr>
    </w:div>
    <w:div w:id="1393772811">
      <w:bodyDiv w:val="1"/>
      <w:marLeft w:val="0"/>
      <w:marRight w:val="0"/>
      <w:marTop w:val="0"/>
      <w:marBottom w:val="0"/>
      <w:divBdr>
        <w:top w:val="none" w:sz="0" w:space="0" w:color="auto"/>
        <w:left w:val="none" w:sz="0" w:space="0" w:color="auto"/>
        <w:bottom w:val="none" w:sz="0" w:space="0" w:color="auto"/>
        <w:right w:val="none" w:sz="0" w:space="0" w:color="auto"/>
      </w:divBdr>
    </w:div>
    <w:div w:id="1395205388">
      <w:bodyDiv w:val="1"/>
      <w:marLeft w:val="0"/>
      <w:marRight w:val="0"/>
      <w:marTop w:val="0"/>
      <w:marBottom w:val="0"/>
      <w:divBdr>
        <w:top w:val="none" w:sz="0" w:space="0" w:color="auto"/>
        <w:left w:val="none" w:sz="0" w:space="0" w:color="auto"/>
        <w:bottom w:val="none" w:sz="0" w:space="0" w:color="auto"/>
        <w:right w:val="none" w:sz="0" w:space="0" w:color="auto"/>
      </w:divBdr>
    </w:div>
    <w:div w:id="1399015808">
      <w:bodyDiv w:val="1"/>
      <w:marLeft w:val="0"/>
      <w:marRight w:val="0"/>
      <w:marTop w:val="0"/>
      <w:marBottom w:val="0"/>
      <w:divBdr>
        <w:top w:val="none" w:sz="0" w:space="0" w:color="auto"/>
        <w:left w:val="none" w:sz="0" w:space="0" w:color="auto"/>
        <w:bottom w:val="none" w:sz="0" w:space="0" w:color="auto"/>
        <w:right w:val="none" w:sz="0" w:space="0" w:color="auto"/>
      </w:divBdr>
    </w:div>
    <w:div w:id="1402294936">
      <w:bodyDiv w:val="1"/>
      <w:marLeft w:val="0"/>
      <w:marRight w:val="0"/>
      <w:marTop w:val="0"/>
      <w:marBottom w:val="0"/>
      <w:divBdr>
        <w:top w:val="none" w:sz="0" w:space="0" w:color="auto"/>
        <w:left w:val="none" w:sz="0" w:space="0" w:color="auto"/>
        <w:bottom w:val="none" w:sz="0" w:space="0" w:color="auto"/>
        <w:right w:val="none" w:sz="0" w:space="0" w:color="auto"/>
      </w:divBdr>
    </w:div>
    <w:div w:id="1402823664">
      <w:bodyDiv w:val="1"/>
      <w:marLeft w:val="0"/>
      <w:marRight w:val="0"/>
      <w:marTop w:val="0"/>
      <w:marBottom w:val="0"/>
      <w:divBdr>
        <w:top w:val="none" w:sz="0" w:space="0" w:color="auto"/>
        <w:left w:val="none" w:sz="0" w:space="0" w:color="auto"/>
        <w:bottom w:val="none" w:sz="0" w:space="0" w:color="auto"/>
        <w:right w:val="none" w:sz="0" w:space="0" w:color="auto"/>
      </w:divBdr>
    </w:div>
    <w:div w:id="1414934697">
      <w:bodyDiv w:val="1"/>
      <w:marLeft w:val="0"/>
      <w:marRight w:val="0"/>
      <w:marTop w:val="0"/>
      <w:marBottom w:val="0"/>
      <w:divBdr>
        <w:top w:val="none" w:sz="0" w:space="0" w:color="auto"/>
        <w:left w:val="none" w:sz="0" w:space="0" w:color="auto"/>
        <w:bottom w:val="none" w:sz="0" w:space="0" w:color="auto"/>
        <w:right w:val="none" w:sz="0" w:space="0" w:color="auto"/>
      </w:divBdr>
    </w:div>
    <w:div w:id="1421178414">
      <w:bodyDiv w:val="1"/>
      <w:marLeft w:val="0"/>
      <w:marRight w:val="0"/>
      <w:marTop w:val="0"/>
      <w:marBottom w:val="0"/>
      <w:divBdr>
        <w:top w:val="none" w:sz="0" w:space="0" w:color="auto"/>
        <w:left w:val="none" w:sz="0" w:space="0" w:color="auto"/>
        <w:bottom w:val="none" w:sz="0" w:space="0" w:color="auto"/>
        <w:right w:val="none" w:sz="0" w:space="0" w:color="auto"/>
      </w:divBdr>
    </w:div>
    <w:div w:id="1425882958">
      <w:bodyDiv w:val="1"/>
      <w:marLeft w:val="0"/>
      <w:marRight w:val="0"/>
      <w:marTop w:val="0"/>
      <w:marBottom w:val="0"/>
      <w:divBdr>
        <w:top w:val="none" w:sz="0" w:space="0" w:color="auto"/>
        <w:left w:val="none" w:sz="0" w:space="0" w:color="auto"/>
        <w:bottom w:val="none" w:sz="0" w:space="0" w:color="auto"/>
        <w:right w:val="none" w:sz="0" w:space="0" w:color="auto"/>
      </w:divBdr>
    </w:div>
    <w:div w:id="1426993080">
      <w:bodyDiv w:val="1"/>
      <w:marLeft w:val="0"/>
      <w:marRight w:val="0"/>
      <w:marTop w:val="0"/>
      <w:marBottom w:val="0"/>
      <w:divBdr>
        <w:top w:val="none" w:sz="0" w:space="0" w:color="auto"/>
        <w:left w:val="none" w:sz="0" w:space="0" w:color="auto"/>
        <w:bottom w:val="none" w:sz="0" w:space="0" w:color="auto"/>
        <w:right w:val="none" w:sz="0" w:space="0" w:color="auto"/>
      </w:divBdr>
    </w:div>
    <w:div w:id="1427379609">
      <w:bodyDiv w:val="1"/>
      <w:marLeft w:val="0"/>
      <w:marRight w:val="0"/>
      <w:marTop w:val="0"/>
      <w:marBottom w:val="0"/>
      <w:divBdr>
        <w:top w:val="none" w:sz="0" w:space="0" w:color="auto"/>
        <w:left w:val="none" w:sz="0" w:space="0" w:color="auto"/>
        <w:bottom w:val="none" w:sz="0" w:space="0" w:color="auto"/>
        <w:right w:val="none" w:sz="0" w:space="0" w:color="auto"/>
      </w:divBdr>
    </w:div>
    <w:div w:id="1427387931">
      <w:bodyDiv w:val="1"/>
      <w:marLeft w:val="0"/>
      <w:marRight w:val="0"/>
      <w:marTop w:val="0"/>
      <w:marBottom w:val="0"/>
      <w:divBdr>
        <w:top w:val="none" w:sz="0" w:space="0" w:color="auto"/>
        <w:left w:val="none" w:sz="0" w:space="0" w:color="auto"/>
        <w:bottom w:val="none" w:sz="0" w:space="0" w:color="auto"/>
        <w:right w:val="none" w:sz="0" w:space="0" w:color="auto"/>
      </w:divBdr>
    </w:div>
    <w:div w:id="1428961280">
      <w:bodyDiv w:val="1"/>
      <w:marLeft w:val="0"/>
      <w:marRight w:val="0"/>
      <w:marTop w:val="0"/>
      <w:marBottom w:val="0"/>
      <w:divBdr>
        <w:top w:val="none" w:sz="0" w:space="0" w:color="auto"/>
        <w:left w:val="none" w:sz="0" w:space="0" w:color="auto"/>
        <w:bottom w:val="none" w:sz="0" w:space="0" w:color="auto"/>
        <w:right w:val="none" w:sz="0" w:space="0" w:color="auto"/>
      </w:divBdr>
    </w:div>
    <w:div w:id="1430808079">
      <w:bodyDiv w:val="1"/>
      <w:marLeft w:val="0"/>
      <w:marRight w:val="0"/>
      <w:marTop w:val="0"/>
      <w:marBottom w:val="0"/>
      <w:divBdr>
        <w:top w:val="none" w:sz="0" w:space="0" w:color="auto"/>
        <w:left w:val="none" w:sz="0" w:space="0" w:color="auto"/>
        <w:bottom w:val="none" w:sz="0" w:space="0" w:color="auto"/>
        <w:right w:val="none" w:sz="0" w:space="0" w:color="auto"/>
      </w:divBdr>
    </w:div>
    <w:div w:id="1442071603">
      <w:bodyDiv w:val="1"/>
      <w:marLeft w:val="0"/>
      <w:marRight w:val="0"/>
      <w:marTop w:val="0"/>
      <w:marBottom w:val="0"/>
      <w:divBdr>
        <w:top w:val="none" w:sz="0" w:space="0" w:color="auto"/>
        <w:left w:val="none" w:sz="0" w:space="0" w:color="auto"/>
        <w:bottom w:val="none" w:sz="0" w:space="0" w:color="auto"/>
        <w:right w:val="none" w:sz="0" w:space="0" w:color="auto"/>
      </w:divBdr>
    </w:div>
    <w:div w:id="1449348632">
      <w:bodyDiv w:val="1"/>
      <w:marLeft w:val="0"/>
      <w:marRight w:val="0"/>
      <w:marTop w:val="0"/>
      <w:marBottom w:val="0"/>
      <w:divBdr>
        <w:top w:val="none" w:sz="0" w:space="0" w:color="auto"/>
        <w:left w:val="none" w:sz="0" w:space="0" w:color="auto"/>
        <w:bottom w:val="none" w:sz="0" w:space="0" w:color="auto"/>
        <w:right w:val="none" w:sz="0" w:space="0" w:color="auto"/>
      </w:divBdr>
    </w:div>
    <w:div w:id="1452242983">
      <w:bodyDiv w:val="1"/>
      <w:marLeft w:val="0"/>
      <w:marRight w:val="0"/>
      <w:marTop w:val="0"/>
      <w:marBottom w:val="0"/>
      <w:divBdr>
        <w:top w:val="none" w:sz="0" w:space="0" w:color="auto"/>
        <w:left w:val="none" w:sz="0" w:space="0" w:color="auto"/>
        <w:bottom w:val="none" w:sz="0" w:space="0" w:color="auto"/>
        <w:right w:val="none" w:sz="0" w:space="0" w:color="auto"/>
      </w:divBdr>
    </w:div>
    <w:div w:id="1455903839">
      <w:bodyDiv w:val="1"/>
      <w:marLeft w:val="0"/>
      <w:marRight w:val="0"/>
      <w:marTop w:val="0"/>
      <w:marBottom w:val="0"/>
      <w:divBdr>
        <w:top w:val="none" w:sz="0" w:space="0" w:color="auto"/>
        <w:left w:val="none" w:sz="0" w:space="0" w:color="auto"/>
        <w:bottom w:val="none" w:sz="0" w:space="0" w:color="auto"/>
        <w:right w:val="none" w:sz="0" w:space="0" w:color="auto"/>
      </w:divBdr>
    </w:div>
    <w:div w:id="1457525229">
      <w:bodyDiv w:val="1"/>
      <w:marLeft w:val="0"/>
      <w:marRight w:val="0"/>
      <w:marTop w:val="0"/>
      <w:marBottom w:val="0"/>
      <w:divBdr>
        <w:top w:val="none" w:sz="0" w:space="0" w:color="auto"/>
        <w:left w:val="none" w:sz="0" w:space="0" w:color="auto"/>
        <w:bottom w:val="none" w:sz="0" w:space="0" w:color="auto"/>
        <w:right w:val="none" w:sz="0" w:space="0" w:color="auto"/>
      </w:divBdr>
    </w:div>
    <w:div w:id="1459567879">
      <w:bodyDiv w:val="1"/>
      <w:marLeft w:val="0"/>
      <w:marRight w:val="0"/>
      <w:marTop w:val="0"/>
      <w:marBottom w:val="0"/>
      <w:divBdr>
        <w:top w:val="none" w:sz="0" w:space="0" w:color="auto"/>
        <w:left w:val="none" w:sz="0" w:space="0" w:color="auto"/>
        <w:bottom w:val="none" w:sz="0" w:space="0" w:color="auto"/>
        <w:right w:val="none" w:sz="0" w:space="0" w:color="auto"/>
      </w:divBdr>
    </w:div>
    <w:div w:id="1459835094">
      <w:bodyDiv w:val="1"/>
      <w:marLeft w:val="0"/>
      <w:marRight w:val="0"/>
      <w:marTop w:val="0"/>
      <w:marBottom w:val="0"/>
      <w:divBdr>
        <w:top w:val="none" w:sz="0" w:space="0" w:color="auto"/>
        <w:left w:val="none" w:sz="0" w:space="0" w:color="auto"/>
        <w:bottom w:val="none" w:sz="0" w:space="0" w:color="auto"/>
        <w:right w:val="none" w:sz="0" w:space="0" w:color="auto"/>
      </w:divBdr>
    </w:div>
    <w:div w:id="1475832923">
      <w:bodyDiv w:val="1"/>
      <w:marLeft w:val="0"/>
      <w:marRight w:val="0"/>
      <w:marTop w:val="0"/>
      <w:marBottom w:val="0"/>
      <w:divBdr>
        <w:top w:val="none" w:sz="0" w:space="0" w:color="auto"/>
        <w:left w:val="none" w:sz="0" w:space="0" w:color="auto"/>
        <w:bottom w:val="none" w:sz="0" w:space="0" w:color="auto"/>
        <w:right w:val="none" w:sz="0" w:space="0" w:color="auto"/>
      </w:divBdr>
    </w:div>
    <w:div w:id="1476219333">
      <w:bodyDiv w:val="1"/>
      <w:marLeft w:val="0"/>
      <w:marRight w:val="0"/>
      <w:marTop w:val="0"/>
      <w:marBottom w:val="0"/>
      <w:divBdr>
        <w:top w:val="none" w:sz="0" w:space="0" w:color="auto"/>
        <w:left w:val="none" w:sz="0" w:space="0" w:color="auto"/>
        <w:bottom w:val="none" w:sz="0" w:space="0" w:color="auto"/>
        <w:right w:val="none" w:sz="0" w:space="0" w:color="auto"/>
      </w:divBdr>
    </w:div>
    <w:div w:id="1480339883">
      <w:bodyDiv w:val="1"/>
      <w:marLeft w:val="0"/>
      <w:marRight w:val="0"/>
      <w:marTop w:val="0"/>
      <w:marBottom w:val="0"/>
      <w:divBdr>
        <w:top w:val="none" w:sz="0" w:space="0" w:color="auto"/>
        <w:left w:val="none" w:sz="0" w:space="0" w:color="auto"/>
        <w:bottom w:val="none" w:sz="0" w:space="0" w:color="auto"/>
        <w:right w:val="none" w:sz="0" w:space="0" w:color="auto"/>
      </w:divBdr>
    </w:div>
    <w:div w:id="1484464362">
      <w:bodyDiv w:val="1"/>
      <w:marLeft w:val="0"/>
      <w:marRight w:val="0"/>
      <w:marTop w:val="0"/>
      <w:marBottom w:val="0"/>
      <w:divBdr>
        <w:top w:val="none" w:sz="0" w:space="0" w:color="auto"/>
        <w:left w:val="none" w:sz="0" w:space="0" w:color="auto"/>
        <w:bottom w:val="none" w:sz="0" w:space="0" w:color="auto"/>
        <w:right w:val="none" w:sz="0" w:space="0" w:color="auto"/>
      </w:divBdr>
    </w:div>
    <w:div w:id="1488980534">
      <w:bodyDiv w:val="1"/>
      <w:marLeft w:val="0"/>
      <w:marRight w:val="0"/>
      <w:marTop w:val="0"/>
      <w:marBottom w:val="0"/>
      <w:divBdr>
        <w:top w:val="none" w:sz="0" w:space="0" w:color="auto"/>
        <w:left w:val="none" w:sz="0" w:space="0" w:color="auto"/>
        <w:bottom w:val="none" w:sz="0" w:space="0" w:color="auto"/>
        <w:right w:val="none" w:sz="0" w:space="0" w:color="auto"/>
      </w:divBdr>
    </w:div>
    <w:div w:id="1490291919">
      <w:bodyDiv w:val="1"/>
      <w:marLeft w:val="0"/>
      <w:marRight w:val="0"/>
      <w:marTop w:val="0"/>
      <w:marBottom w:val="0"/>
      <w:divBdr>
        <w:top w:val="none" w:sz="0" w:space="0" w:color="auto"/>
        <w:left w:val="none" w:sz="0" w:space="0" w:color="auto"/>
        <w:bottom w:val="none" w:sz="0" w:space="0" w:color="auto"/>
        <w:right w:val="none" w:sz="0" w:space="0" w:color="auto"/>
      </w:divBdr>
    </w:div>
    <w:div w:id="1492403011">
      <w:bodyDiv w:val="1"/>
      <w:marLeft w:val="0"/>
      <w:marRight w:val="0"/>
      <w:marTop w:val="0"/>
      <w:marBottom w:val="0"/>
      <w:divBdr>
        <w:top w:val="none" w:sz="0" w:space="0" w:color="auto"/>
        <w:left w:val="none" w:sz="0" w:space="0" w:color="auto"/>
        <w:bottom w:val="none" w:sz="0" w:space="0" w:color="auto"/>
        <w:right w:val="none" w:sz="0" w:space="0" w:color="auto"/>
      </w:divBdr>
    </w:div>
    <w:div w:id="1492526742">
      <w:bodyDiv w:val="1"/>
      <w:marLeft w:val="0"/>
      <w:marRight w:val="0"/>
      <w:marTop w:val="0"/>
      <w:marBottom w:val="0"/>
      <w:divBdr>
        <w:top w:val="none" w:sz="0" w:space="0" w:color="auto"/>
        <w:left w:val="none" w:sz="0" w:space="0" w:color="auto"/>
        <w:bottom w:val="none" w:sz="0" w:space="0" w:color="auto"/>
        <w:right w:val="none" w:sz="0" w:space="0" w:color="auto"/>
      </w:divBdr>
    </w:div>
    <w:div w:id="1496803825">
      <w:bodyDiv w:val="1"/>
      <w:marLeft w:val="0"/>
      <w:marRight w:val="0"/>
      <w:marTop w:val="0"/>
      <w:marBottom w:val="0"/>
      <w:divBdr>
        <w:top w:val="none" w:sz="0" w:space="0" w:color="auto"/>
        <w:left w:val="none" w:sz="0" w:space="0" w:color="auto"/>
        <w:bottom w:val="none" w:sz="0" w:space="0" w:color="auto"/>
        <w:right w:val="none" w:sz="0" w:space="0" w:color="auto"/>
      </w:divBdr>
    </w:div>
    <w:div w:id="1499729078">
      <w:bodyDiv w:val="1"/>
      <w:marLeft w:val="0"/>
      <w:marRight w:val="0"/>
      <w:marTop w:val="0"/>
      <w:marBottom w:val="0"/>
      <w:divBdr>
        <w:top w:val="none" w:sz="0" w:space="0" w:color="auto"/>
        <w:left w:val="none" w:sz="0" w:space="0" w:color="auto"/>
        <w:bottom w:val="none" w:sz="0" w:space="0" w:color="auto"/>
        <w:right w:val="none" w:sz="0" w:space="0" w:color="auto"/>
      </w:divBdr>
    </w:div>
    <w:div w:id="1502232993">
      <w:bodyDiv w:val="1"/>
      <w:marLeft w:val="0"/>
      <w:marRight w:val="0"/>
      <w:marTop w:val="0"/>
      <w:marBottom w:val="0"/>
      <w:divBdr>
        <w:top w:val="none" w:sz="0" w:space="0" w:color="auto"/>
        <w:left w:val="none" w:sz="0" w:space="0" w:color="auto"/>
        <w:bottom w:val="none" w:sz="0" w:space="0" w:color="auto"/>
        <w:right w:val="none" w:sz="0" w:space="0" w:color="auto"/>
      </w:divBdr>
    </w:div>
    <w:div w:id="1503815569">
      <w:bodyDiv w:val="1"/>
      <w:marLeft w:val="0"/>
      <w:marRight w:val="0"/>
      <w:marTop w:val="0"/>
      <w:marBottom w:val="0"/>
      <w:divBdr>
        <w:top w:val="none" w:sz="0" w:space="0" w:color="auto"/>
        <w:left w:val="none" w:sz="0" w:space="0" w:color="auto"/>
        <w:bottom w:val="none" w:sz="0" w:space="0" w:color="auto"/>
        <w:right w:val="none" w:sz="0" w:space="0" w:color="auto"/>
      </w:divBdr>
    </w:div>
    <w:div w:id="1519195757">
      <w:bodyDiv w:val="1"/>
      <w:marLeft w:val="0"/>
      <w:marRight w:val="0"/>
      <w:marTop w:val="0"/>
      <w:marBottom w:val="0"/>
      <w:divBdr>
        <w:top w:val="none" w:sz="0" w:space="0" w:color="auto"/>
        <w:left w:val="none" w:sz="0" w:space="0" w:color="auto"/>
        <w:bottom w:val="none" w:sz="0" w:space="0" w:color="auto"/>
        <w:right w:val="none" w:sz="0" w:space="0" w:color="auto"/>
      </w:divBdr>
    </w:div>
    <w:div w:id="1519271832">
      <w:bodyDiv w:val="1"/>
      <w:marLeft w:val="0"/>
      <w:marRight w:val="0"/>
      <w:marTop w:val="0"/>
      <w:marBottom w:val="0"/>
      <w:divBdr>
        <w:top w:val="none" w:sz="0" w:space="0" w:color="auto"/>
        <w:left w:val="none" w:sz="0" w:space="0" w:color="auto"/>
        <w:bottom w:val="none" w:sz="0" w:space="0" w:color="auto"/>
        <w:right w:val="none" w:sz="0" w:space="0" w:color="auto"/>
      </w:divBdr>
    </w:div>
    <w:div w:id="1529030197">
      <w:bodyDiv w:val="1"/>
      <w:marLeft w:val="0"/>
      <w:marRight w:val="0"/>
      <w:marTop w:val="0"/>
      <w:marBottom w:val="0"/>
      <w:divBdr>
        <w:top w:val="none" w:sz="0" w:space="0" w:color="auto"/>
        <w:left w:val="none" w:sz="0" w:space="0" w:color="auto"/>
        <w:bottom w:val="none" w:sz="0" w:space="0" w:color="auto"/>
        <w:right w:val="none" w:sz="0" w:space="0" w:color="auto"/>
      </w:divBdr>
    </w:div>
    <w:div w:id="1532760528">
      <w:bodyDiv w:val="1"/>
      <w:marLeft w:val="0"/>
      <w:marRight w:val="0"/>
      <w:marTop w:val="0"/>
      <w:marBottom w:val="0"/>
      <w:divBdr>
        <w:top w:val="none" w:sz="0" w:space="0" w:color="auto"/>
        <w:left w:val="none" w:sz="0" w:space="0" w:color="auto"/>
        <w:bottom w:val="none" w:sz="0" w:space="0" w:color="auto"/>
        <w:right w:val="none" w:sz="0" w:space="0" w:color="auto"/>
      </w:divBdr>
    </w:div>
    <w:div w:id="1535073833">
      <w:bodyDiv w:val="1"/>
      <w:marLeft w:val="0"/>
      <w:marRight w:val="0"/>
      <w:marTop w:val="0"/>
      <w:marBottom w:val="0"/>
      <w:divBdr>
        <w:top w:val="none" w:sz="0" w:space="0" w:color="auto"/>
        <w:left w:val="none" w:sz="0" w:space="0" w:color="auto"/>
        <w:bottom w:val="none" w:sz="0" w:space="0" w:color="auto"/>
        <w:right w:val="none" w:sz="0" w:space="0" w:color="auto"/>
      </w:divBdr>
    </w:div>
    <w:div w:id="1535118526">
      <w:bodyDiv w:val="1"/>
      <w:marLeft w:val="0"/>
      <w:marRight w:val="0"/>
      <w:marTop w:val="0"/>
      <w:marBottom w:val="0"/>
      <w:divBdr>
        <w:top w:val="none" w:sz="0" w:space="0" w:color="auto"/>
        <w:left w:val="none" w:sz="0" w:space="0" w:color="auto"/>
        <w:bottom w:val="none" w:sz="0" w:space="0" w:color="auto"/>
        <w:right w:val="none" w:sz="0" w:space="0" w:color="auto"/>
      </w:divBdr>
    </w:div>
    <w:div w:id="1535268359">
      <w:bodyDiv w:val="1"/>
      <w:marLeft w:val="0"/>
      <w:marRight w:val="0"/>
      <w:marTop w:val="0"/>
      <w:marBottom w:val="0"/>
      <w:divBdr>
        <w:top w:val="none" w:sz="0" w:space="0" w:color="auto"/>
        <w:left w:val="none" w:sz="0" w:space="0" w:color="auto"/>
        <w:bottom w:val="none" w:sz="0" w:space="0" w:color="auto"/>
        <w:right w:val="none" w:sz="0" w:space="0" w:color="auto"/>
      </w:divBdr>
    </w:div>
    <w:div w:id="1538201973">
      <w:bodyDiv w:val="1"/>
      <w:marLeft w:val="0"/>
      <w:marRight w:val="0"/>
      <w:marTop w:val="0"/>
      <w:marBottom w:val="0"/>
      <w:divBdr>
        <w:top w:val="none" w:sz="0" w:space="0" w:color="auto"/>
        <w:left w:val="none" w:sz="0" w:space="0" w:color="auto"/>
        <w:bottom w:val="none" w:sz="0" w:space="0" w:color="auto"/>
        <w:right w:val="none" w:sz="0" w:space="0" w:color="auto"/>
      </w:divBdr>
    </w:div>
    <w:div w:id="1544096191">
      <w:bodyDiv w:val="1"/>
      <w:marLeft w:val="0"/>
      <w:marRight w:val="0"/>
      <w:marTop w:val="0"/>
      <w:marBottom w:val="0"/>
      <w:divBdr>
        <w:top w:val="none" w:sz="0" w:space="0" w:color="auto"/>
        <w:left w:val="none" w:sz="0" w:space="0" w:color="auto"/>
        <w:bottom w:val="none" w:sz="0" w:space="0" w:color="auto"/>
        <w:right w:val="none" w:sz="0" w:space="0" w:color="auto"/>
      </w:divBdr>
    </w:div>
    <w:div w:id="1545553942">
      <w:bodyDiv w:val="1"/>
      <w:marLeft w:val="0"/>
      <w:marRight w:val="0"/>
      <w:marTop w:val="0"/>
      <w:marBottom w:val="0"/>
      <w:divBdr>
        <w:top w:val="none" w:sz="0" w:space="0" w:color="auto"/>
        <w:left w:val="none" w:sz="0" w:space="0" w:color="auto"/>
        <w:bottom w:val="none" w:sz="0" w:space="0" w:color="auto"/>
        <w:right w:val="none" w:sz="0" w:space="0" w:color="auto"/>
      </w:divBdr>
    </w:div>
    <w:div w:id="1551725087">
      <w:bodyDiv w:val="1"/>
      <w:marLeft w:val="0"/>
      <w:marRight w:val="0"/>
      <w:marTop w:val="0"/>
      <w:marBottom w:val="0"/>
      <w:divBdr>
        <w:top w:val="none" w:sz="0" w:space="0" w:color="auto"/>
        <w:left w:val="none" w:sz="0" w:space="0" w:color="auto"/>
        <w:bottom w:val="none" w:sz="0" w:space="0" w:color="auto"/>
        <w:right w:val="none" w:sz="0" w:space="0" w:color="auto"/>
      </w:divBdr>
    </w:div>
    <w:div w:id="1553081093">
      <w:bodyDiv w:val="1"/>
      <w:marLeft w:val="0"/>
      <w:marRight w:val="0"/>
      <w:marTop w:val="0"/>
      <w:marBottom w:val="0"/>
      <w:divBdr>
        <w:top w:val="none" w:sz="0" w:space="0" w:color="auto"/>
        <w:left w:val="none" w:sz="0" w:space="0" w:color="auto"/>
        <w:bottom w:val="none" w:sz="0" w:space="0" w:color="auto"/>
        <w:right w:val="none" w:sz="0" w:space="0" w:color="auto"/>
      </w:divBdr>
    </w:div>
    <w:div w:id="1561788719">
      <w:bodyDiv w:val="1"/>
      <w:marLeft w:val="0"/>
      <w:marRight w:val="0"/>
      <w:marTop w:val="0"/>
      <w:marBottom w:val="0"/>
      <w:divBdr>
        <w:top w:val="none" w:sz="0" w:space="0" w:color="auto"/>
        <w:left w:val="none" w:sz="0" w:space="0" w:color="auto"/>
        <w:bottom w:val="none" w:sz="0" w:space="0" w:color="auto"/>
        <w:right w:val="none" w:sz="0" w:space="0" w:color="auto"/>
      </w:divBdr>
    </w:div>
    <w:div w:id="1571422663">
      <w:bodyDiv w:val="1"/>
      <w:marLeft w:val="0"/>
      <w:marRight w:val="0"/>
      <w:marTop w:val="0"/>
      <w:marBottom w:val="0"/>
      <w:divBdr>
        <w:top w:val="none" w:sz="0" w:space="0" w:color="auto"/>
        <w:left w:val="none" w:sz="0" w:space="0" w:color="auto"/>
        <w:bottom w:val="none" w:sz="0" w:space="0" w:color="auto"/>
        <w:right w:val="none" w:sz="0" w:space="0" w:color="auto"/>
      </w:divBdr>
    </w:div>
    <w:div w:id="1579166361">
      <w:bodyDiv w:val="1"/>
      <w:marLeft w:val="0"/>
      <w:marRight w:val="0"/>
      <w:marTop w:val="0"/>
      <w:marBottom w:val="0"/>
      <w:divBdr>
        <w:top w:val="none" w:sz="0" w:space="0" w:color="auto"/>
        <w:left w:val="none" w:sz="0" w:space="0" w:color="auto"/>
        <w:bottom w:val="none" w:sz="0" w:space="0" w:color="auto"/>
        <w:right w:val="none" w:sz="0" w:space="0" w:color="auto"/>
      </w:divBdr>
    </w:div>
    <w:div w:id="1601831700">
      <w:bodyDiv w:val="1"/>
      <w:marLeft w:val="0"/>
      <w:marRight w:val="0"/>
      <w:marTop w:val="0"/>
      <w:marBottom w:val="0"/>
      <w:divBdr>
        <w:top w:val="none" w:sz="0" w:space="0" w:color="auto"/>
        <w:left w:val="none" w:sz="0" w:space="0" w:color="auto"/>
        <w:bottom w:val="none" w:sz="0" w:space="0" w:color="auto"/>
        <w:right w:val="none" w:sz="0" w:space="0" w:color="auto"/>
      </w:divBdr>
    </w:div>
    <w:div w:id="1603687248">
      <w:bodyDiv w:val="1"/>
      <w:marLeft w:val="0"/>
      <w:marRight w:val="0"/>
      <w:marTop w:val="0"/>
      <w:marBottom w:val="0"/>
      <w:divBdr>
        <w:top w:val="none" w:sz="0" w:space="0" w:color="auto"/>
        <w:left w:val="none" w:sz="0" w:space="0" w:color="auto"/>
        <w:bottom w:val="none" w:sz="0" w:space="0" w:color="auto"/>
        <w:right w:val="none" w:sz="0" w:space="0" w:color="auto"/>
      </w:divBdr>
    </w:div>
    <w:div w:id="1604725190">
      <w:bodyDiv w:val="1"/>
      <w:marLeft w:val="0"/>
      <w:marRight w:val="0"/>
      <w:marTop w:val="0"/>
      <w:marBottom w:val="0"/>
      <w:divBdr>
        <w:top w:val="none" w:sz="0" w:space="0" w:color="auto"/>
        <w:left w:val="none" w:sz="0" w:space="0" w:color="auto"/>
        <w:bottom w:val="none" w:sz="0" w:space="0" w:color="auto"/>
        <w:right w:val="none" w:sz="0" w:space="0" w:color="auto"/>
      </w:divBdr>
    </w:div>
    <w:div w:id="1608196541">
      <w:bodyDiv w:val="1"/>
      <w:marLeft w:val="0"/>
      <w:marRight w:val="0"/>
      <w:marTop w:val="0"/>
      <w:marBottom w:val="0"/>
      <w:divBdr>
        <w:top w:val="none" w:sz="0" w:space="0" w:color="auto"/>
        <w:left w:val="none" w:sz="0" w:space="0" w:color="auto"/>
        <w:bottom w:val="none" w:sz="0" w:space="0" w:color="auto"/>
        <w:right w:val="none" w:sz="0" w:space="0" w:color="auto"/>
      </w:divBdr>
    </w:div>
    <w:div w:id="1608852603">
      <w:bodyDiv w:val="1"/>
      <w:marLeft w:val="0"/>
      <w:marRight w:val="0"/>
      <w:marTop w:val="0"/>
      <w:marBottom w:val="0"/>
      <w:divBdr>
        <w:top w:val="none" w:sz="0" w:space="0" w:color="auto"/>
        <w:left w:val="none" w:sz="0" w:space="0" w:color="auto"/>
        <w:bottom w:val="none" w:sz="0" w:space="0" w:color="auto"/>
        <w:right w:val="none" w:sz="0" w:space="0" w:color="auto"/>
      </w:divBdr>
    </w:div>
    <w:div w:id="1609922726">
      <w:bodyDiv w:val="1"/>
      <w:marLeft w:val="0"/>
      <w:marRight w:val="0"/>
      <w:marTop w:val="0"/>
      <w:marBottom w:val="0"/>
      <w:divBdr>
        <w:top w:val="none" w:sz="0" w:space="0" w:color="auto"/>
        <w:left w:val="none" w:sz="0" w:space="0" w:color="auto"/>
        <w:bottom w:val="none" w:sz="0" w:space="0" w:color="auto"/>
        <w:right w:val="none" w:sz="0" w:space="0" w:color="auto"/>
      </w:divBdr>
    </w:div>
    <w:div w:id="1610896906">
      <w:bodyDiv w:val="1"/>
      <w:marLeft w:val="0"/>
      <w:marRight w:val="0"/>
      <w:marTop w:val="0"/>
      <w:marBottom w:val="0"/>
      <w:divBdr>
        <w:top w:val="none" w:sz="0" w:space="0" w:color="auto"/>
        <w:left w:val="none" w:sz="0" w:space="0" w:color="auto"/>
        <w:bottom w:val="none" w:sz="0" w:space="0" w:color="auto"/>
        <w:right w:val="none" w:sz="0" w:space="0" w:color="auto"/>
      </w:divBdr>
    </w:div>
    <w:div w:id="1613324088">
      <w:bodyDiv w:val="1"/>
      <w:marLeft w:val="0"/>
      <w:marRight w:val="0"/>
      <w:marTop w:val="0"/>
      <w:marBottom w:val="0"/>
      <w:divBdr>
        <w:top w:val="none" w:sz="0" w:space="0" w:color="auto"/>
        <w:left w:val="none" w:sz="0" w:space="0" w:color="auto"/>
        <w:bottom w:val="none" w:sz="0" w:space="0" w:color="auto"/>
        <w:right w:val="none" w:sz="0" w:space="0" w:color="auto"/>
      </w:divBdr>
    </w:div>
    <w:div w:id="1617057230">
      <w:bodyDiv w:val="1"/>
      <w:marLeft w:val="0"/>
      <w:marRight w:val="0"/>
      <w:marTop w:val="0"/>
      <w:marBottom w:val="0"/>
      <w:divBdr>
        <w:top w:val="none" w:sz="0" w:space="0" w:color="auto"/>
        <w:left w:val="none" w:sz="0" w:space="0" w:color="auto"/>
        <w:bottom w:val="none" w:sz="0" w:space="0" w:color="auto"/>
        <w:right w:val="none" w:sz="0" w:space="0" w:color="auto"/>
      </w:divBdr>
    </w:div>
    <w:div w:id="1617178004">
      <w:bodyDiv w:val="1"/>
      <w:marLeft w:val="0"/>
      <w:marRight w:val="0"/>
      <w:marTop w:val="0"/>
      <w:marBottom w:val="0"/>
      <w:divBdr>
        <w:top w:val="none" w:sz="0" w:space="0" w:color="auto"/>
        <w:left w:val="none" w:sz="0" w:space="0" w:color="auto"/>
        <w:bottom w:val="none" w:sz="0" w:space="0" w:color="auto"/>
        <w:right w:val="none" w:sz="0" w:space="0" w:color="auto"/>
      </w:divBdr>
    </w:div>
    <w:div w:id="1618633571">
      <w:bodyDiv w:val="1"/>
      <w:marLeft w:val="0"/>
      <w:marRight w:val="0"/>
      <w:marTop w:val="0"/>
      <w:marBottom w:val="0"/>
      <w:divBdr>
        <w:top w:val="none" w:sz="0" w:space="0" w:color="auto"/>
        <w:left w:val="none" w:sz="0" w:space="0" w:color="auto"/>
        <w:bottom w:val="none" w:sz="0" w:space="0" w:color="auto"/>
        <w:right w:val="none" w:sz="0" w:space="0" w:color="auto"/>
      </w:divBdr>
    </w:div>
    <w:div w:id="1619601902">
      <w:bodyDiv w:val="1"/>
      <w:marLeft w:val="0"/>
      <w:marRight w:val="0"/>
      <w:marTop w:val="0"/>
      <w:marBottom w:val="0"/>
      <w:divBdr>
        <w:top w:val="none" w:sz="0" w:space="0" w:color="auto"/>
        <w:left w:val="none" w:sz="0" w:space="0" w:color="auto"/>
        <w:bottom w:val="none" w:sz="0" w:space="0" w:color="auto"/>
        <w:right w:val="none" w:sz="0" w:space="0" w:color="auto"/>
      </w:divBdr>
    </w:div>
    <w:div w:id="1620839645">
      <w:bodyDiv w:val="1"/>
      <w:marLeft w:val="0"/>
      <w:marRight w:val="0"/>
      <w:marTop w:val="0"/>
      <w:marBottom w:val="0"/>
      <w:divBdr>
        <w:top w:val="none" w:sz="0" w:space="0" w:color="auto"/>
        <w:left w:val="none" w:sz="0" w:space="0" w:color="auto"/>
        <w:bottom w:val="none" w:sz="0" w:space="0" w:color="auto"/>
        <w:right w:val="none" w:sz="0" w:space="0" w:color="auto"/>
      </w:divBdr>
    </w:div>
    <w:div w:id="1620994154">
      <w:bodyDiv w:val="1"/>
      <w:marLeft w:val="0"/>
      <w:marRight w:val="0"/>
      <w:marTop w:val="0"/>
      <w:marBottom w:val="0"/>
      <w:divBdr>
        <w:top w:val="none" w:sz="0" w:space="0" w:color="auto"/>
        <w:left w:val="none" w:sz="0" w:space="0" w:color="auto"/>
        <w:bottom w:val="none" w:sz="0" w:space="0" w:color="auto"/>
        <w:right w:val="none" w:sz="0" w:space="0" w:color="auto"/>
      </w:divBdr>
    </w:div>
    <w:div w:id="1625883426">
      <w:bodyDiv w:val="1"/>
      <w:marLeft w:val="0"/>
      <w:marRight w:val="0"/>
      <w:marTop w:val="0"/>
      <w:marBottom w:val="0"/>
      <w:divBdr>
        <w:top w:val="none" w:sz="0" w:space="0" w:color="auto"/>
        <w:left w:val="none" w:sz="0" w:space="0" w:color="auto"/>
        <w:bottom w:val="none" w:sz="0" w:space="0" w:color="auto"/>
        <w:right w:val="none" w:sz="0" w:space="0" w:color="auto"/>
      </w:divBdr>
    </w:div>
    <w:div w:id="1626276005">
      <w:bodyDiv w:val="1"/>
      <w:marLeft w:val="0"/>
      <w:marRight w:val="0"/>
      <w:marTop w:val="0"/>
      <w:marBottom w:val="0"/>
      <w:divBdr>
        <w:top w:val="none" w:sz="0" w:space="0" w:color="auto"/>
        <w:left w:val="none" w:sz="0" w:space="0" w:color="auto"/>
        <w:bottom w:val="none" w:sz="0" w:space="0" w:color="auto"/>
        <w:right w:val="none" w:sz="0" w:space="0" w:color="auto"/>
      </w:divBdr>
    </w:div>
    <w:div w:id="1630430256">
      <w:bodyDiv w:val="1"/>
      <w:marLeft w:val="0"/>
      <w:marRight w:val="0"/>
      <w:marTop w:val="0"/>
      <w:marBottom w:val="0"/>
      <w:divBdr>
        <w:top w:val="none" w:sz="0" w:space="0" w:color="auto"/>
        <w:left w:val="none" w:sz="0" w:space="0" w:color="auto"/>
        <w:bottom w:val="none" w:sz="0" w:space="0" w:color="auto"/>
        <w:right w:val="none" w:sz="0" w:space="0" w:color="auto"/>
      </w:divBdr>
    </w:div>
    <w:div w:id="1669745840">
      <w:bodyDiv w:val="1"/>
      <w:marLeft w:val="0"/>
      <w:marRight w:val="0"/>
      <w:marTop w:val="0"/>
      <w:marBottom w:val="0"/>
      <w:divBdr>
        <w:top w:val="none" w:sz="0" w:space="0" w:color="auto"/>
        <w:left w:val="none" w:sz="0" w:space="0" w:color="auto"/>
        <w:bottom w:val="none" w:sz="0" w:space="0" w:color="auto"/>
        <w:right w:val="none" w:sz="0" w:space="0" w:color="auto"/>
      </w:divBdr>
    </w:div>
    <w:div w:id="1672677313">
      <w:bodyDiv w:val="1"/>
      <w:marLeft w:val="0"/>
      <w:marRight w:val="0"/>
      <w:marTop w:val="0"/>
      <w:marBottom w:val="0"/>
      <w:divBdr>
        <w:top w:val="none" w:sz="0" w:space="0" w:color="auto"/>
        <w:left w:val="none" w:sz="0" w:space="0" w:color="auto"/>
        <w:bottom w:val="none" w:sz="0" w:space="0" w:color="auto"/>
        <w:right w:val="none" w:sz="0" w:space="0" w:color="auto"/>
      </w:divBdr>
    </w:div>
    <w:div w:id="1674189723">
      <w:bodyDiv w:val="1"/>
      <w:marLeft w:val="0"/>
      <w:marRight w:val="0"/>
      <w:marTop w:val="0"/>
      <w:marBottom w:val="0"/>
      <w:divBdr>
        <w:top w:val="none" w:sz="0" w:space="0" w:color="auto"/>
        <w:left w:val="none" w:sz="0" w:space="0" w:color="auto"/>
        <w:bottom w:val="none" w:sz="0" w:space="0" w:color="auto"/>
        <w:right w:val="none" w:sz="0" w:space="0" w:color="auto"/>
      </w:divBdr>
    </w:div>
    <w:div w:id="1678728233">
      <w:bodyDiv w:val="1"/>
      <w:marLeft w:val="0"/>
      <w:marRight w:val="0"/>
      <w:marTop w:val="0"/>
      <w:marBottom w:val="0"/>
      <w:divBdr>
        <w:top w:val="none" w:sz="0" w:space="0" w:color="auto"/>
        <w:left w:val="none" w:sz="0" w:space="0" w:color="auto"/>
        <w:bottom w:val="none" w:sz="0" w:space="0" w:color="auto"/>
        <w:right w:val="none" w:sz="0" w:space="0" w:color="auto"/>
      </w:divBdr>
    </w:div>
    <w:div w:id="1689064945">
      <w:bodyDiv w:val="1"/>
      <w:marLeft w:val="0"/>
      <w:marRight w:val="0"/>
      <w:marTop w:val="0"/>
      <w:marBottom w:val="0"/>
      <w:divBdr>
        <w:top w:val="none" w:sz="0" w:space="0" w:color="auto"/>
        <w:left w:val="none" w:sz="0" w:space="0" w:color="auto"/>
        <w:bottom w:val="none" w:sz="0" w:space="0" w:color="auto"/>
        <w:right w:val="none" w:sz="0" w:space="0" w:color="auto"/>
      </w:divBdr>
    </w:div>
    <w:div w:id="1699815160">
      <w:bodyDiv w:val="1"/>
      <w:marLeft w:val="0"/>
      <w:marRight w:val="0"/>
      <w:marTop w:val="0"/>
      <w:marBottom w:val="0"/>
      <w:divBdr>
        <w:top w:val="none" w:sz="0" w:space="0" w:color="auto"/>
        <w:left w:val="none" w:sz="0" w:space="0" w:color="auto"/>
        <w:bottom w:val="none" w:sz="0" w:space="0" w:color="auto"/>
        <w:right w:val="none" w:sz="0" w:space="0" w:color="auto"/>
      </w:divBdr>
    </w:div>
    <w:div w:id="1703898163">
      <w:bodyDiv w:val="1"/>
      <w:marLeft w:val="0"/>
      <w:marRight w:val="0"/>
      <w:marTop w:val="0"/>
      <w:marBottom w:val="0"/>
      <w:divBdr>
        <w:top w:val="none" w:sz="0" w:space="0" w:color="auto"/>
        <w:left w:val="none" w:sz="0" w:space="0" w:color="auto"/>
        <w:bottom w:val="none" w:sz="0" w:space="0" w:color="auto"/>
        <w:right w:val="none" w:sz="0" w:space="0" w:color="auto"/>
      </w:divBdr>
    </w:div>
    <w:div w:id="1705864361">
      <w:bodyDiv w:val="1"/>
      <w:marLeft w:val="0"/>
      <w:marRight w:val="0"/>
      <w:marTop w:val="0"/>
      <w:marBottom w:val="0"/>
      <w:divBdr>
        <w:top w:val="none" w:sz="0" w:space="0" w:color="auto"/>
        <w:left w:val="none" w:sz="0" w:space="0" w:color="auto"/>
        <w:bottom w:val="none" w:sz="0" w:space="0" w:color="auto"/>
        <w:right w:val="none" w:sz="0" w:space="0" w:color="auto"/>
      </w:divBdr>
    </w:div>
    <w:div w:id="1710375450">
      <w:bodyDiv w:val="1"/>
      <w:marLeft w:val="0"/>
      <w:marRight w:val="0"/>
      <w:marTop w:val="0"/>
      <w:marBottom w:val="0"/>
      <w:divBdr>
        <w:top w:val="none" w:sz="0" w:space="0" w:color="auto"/>
        <w:left w:val="none" w:sz="0" w:space="0" w:color="auto"/>
        <w:bottom w:val="none" w:sz="0" w:space="0" w:color="auto"/>
        <w:right w:val="none" w:sz="0" w:space="0" w:color="auto"/>
      </w:divBdr>
    </w:div>
    <w:div w:id="1710760871">
      <w:bodyDiv w:val="1"/>
      <w:marLeft w:val="0"/>
      <w:marRight w:val="0"/>
      <w:marTop w:val="0"/>
      <w:marBottom w:val="0"/>
      <w:divBdr>
        <w:top w:val="none" w:sz="0" w:space="0" w:color="auto"/>
        <w:left w:val="none" w:sz="0" w:space="0" w:color="auto"/>
        <w:bottom w:val="none" w:sz="0" w:space="0" w:color="auto"/>
        <w:right w:val="none" w:sz="0" w:space="0" w:color="auto"/>
      </w:divBdr>
    </w:div>
    <w:div w:id="1720518612">
      <w:bodyDiv w:val="1"/>
      <w:marLeft w:val="0"/>
      <w:marRight w:val="0"/>
      <w:marTop w:val="0"/>
      <w:marBottom w:val="0"/>
      <w:divBdr>
        <w:top w:val="none" w:sz="0" w:space="0" w:color="auto"/>
        <w:left w:val="none" w:sz="0" w:space="0" w:color="auto"/>
        <w:bottom w:val="none" w:sz="0" w:space="0" w:color="auto"/>
        <w:right w:val="none" w:sz="0" w:space="0" w:color="auto"/>
      </w:divBdr>
    </w:div>
    <w:div w:id="1721319813">
      <w:bodyDiv w:val="1"/>
      <w:marLeft w:val="0"/>
      <w:marRight w:val="0"/>
      <w:marTop w:val="0"/>
      <w:marBottom w:val="0"/>
      <w:divBdr>
        <w:top w:val="none" w:sz="0" w:space="0" w:color="auto"/>
        <w:left w:val="none" w:sz="0" w:space="0" w:color="auto"/>
        <w:bottom w:val="none" w:sz="0" w:space="0" w:color="auto"/>
        <w:right w:val="none" w:sz="0" w:space="0" w:color="auto"/>
      </w:divBdr>
    </w:div>
    <w:div w:id="1725254116">
      <w:bodyDiv w:val="1"/>
      <w:marLeft w:val="0"/>
      <w:marRight w:val="0"/>
      <w:marTop w:val="0"/>
      <w:marBottom w:val="0"/>
      <w:divBdr>
        <w:top w:val="none" w:sz="0" w:space="0" w:color="auto"/>
        <w:left w:val="none" w:sz="0" w:space="0" w:color="auto"/>
        <w:bottom w:val="none" w:sz="0" w:space="0" w:color="auto"/>
        <w:right w:val="none" w:sz="0" w:space="0" w:color="auto"/>
      </w:divBdr>
    </w:div>
    <w:div w:id="1730179529">
      <w:bodyDiv w:val="1"/>
      <w:marLeft w:val="0"/>
      <w:marRight w:val="0"/>
      <w:marTop w:val="0"/>
      <w:marBottom w:val="0"/>
      <w:divBdr>
        <w:top w:val="none" w:sz="0" w:space="0" w:color="auto"/>
        <w:left w:val="none" w:sz="0" w:space="0" w:color="auto"/>
        <w:bottom w:val="none" w:sz="0" w:space="0" w:color="auto"/>
        <w:right w:val="none" w:sz="0" w:space="0" w:color="auto"/>
      </w:divBdr>
    </w:div>
    <w:div w:id="1730614834">
      <w:bodyDiv w:val="1"/>
      <w:marLeft w:val="0"/>
      <w:marRight w:val="0"/>
      <w:marTop w:val="0"/>
      <w:marBottom w:val="0"/>
      <w:divBdr>
        <w:top w:val="none" w:sz="0" w:space="0" w:color="auto"/>
        <w:left w:val="none" w:sz="0" w:space="0" w:color="auto"/>
        <w:bottom w:val="none" w:sz="0" w:space="0" w:color="auto"/>
        <w:right w:val="none" w:sz="0" w:space="0" w:color="auto"/>
      </w:divBdr>
    </w:div>
    <w:div w:id="1735545983">
      <w:bodyDiv w:val="1"/>
      <w:marLeft w:val="0"/>
      <w:marRight w:val="0"/>
      <w:marTop w:val="0"/>
      <w:marBottom w:val="0"/>
      <w:divBdr>
        <w:top w:val="none" w:sz="0" w:space="0" w:color="auto"/>
        <w:left w:val="none" w:sz="0" w:space="0" w:color="auto"/>
        <w:bottom w:val="none" w:sz="0" w:space="0" w:color="auto"/>
        <w:right w:val="none" w:sz="0" w:space="0" w:color="auto"/>
      </w:divBdr>
    </w:div>
    <w:div w:id="1742555936">
      <w:bodyDiv w:val="1"/>
      <w:marLeft w:val="0"/>
      <w:marRight w:val="0"/>
      <w:marTop w:val="0"/>
      <w:marBottom w:val="0"/>
      <w:divBdr>
        <w:top w:val="none" w:sz="0" w:space="0" w:color="auto"/>
        <w:left w:val="none" w:sz="0" w:space="0" w:color="auto"/>
        <w:bottom w:val="none" w:sz="0" w:space="0" w:color="auto"/>
        <w:right w:val="none" w:sz="0" w:space="0" w:color="auto"/>
      </w:divBdr>
    </w:div>
    <w:div w:id="1742869037">
      <w:bodyDiv w:val="1"/>
      <w:marLeft w:val="0"/>
      <w:marRight w:val="0"/>
      <w:marTop w:val="0"/>
      <w:marBottom w:val="0"/>
      <w:divBdr>
        <w:top w:val="none" w:sz="0" w:space="0" w:color="auto"/>
        <w:left w:val="none" w:sz="0" w:space="0" w:color="auto"/>
        <w:bottom w:val="none" w:sz="0" w:space="0" w:color="auto"/>
        <w:right w:val="none" w:sz="0" w:space="0" w:color="auto"/>
      </w:divBdr>
    </w:div>
    <w:div w:id="1747418011">
      <w:bodyDiv w:val="1"/>
      <w:marLeft w:val="0"/>
      <w:marRight w:val="0"/>
      <w:marTop w:val="0"/>
      <w:marBottom w:val="0"/>
      <w:divBdr>
        <w:top w:val="none" w:sz="0" w:space="0" w:color="auto"/>
        <w:left w:val="none" w:sz="0" w:space="0" w:color="auto"/>
        <w:bottom w:val="none" w:sz="0" w:space="0" w:color="auto"/>
        <w:right w:val="none" w:sz="0" w:space="0" w:color="auto"/>
      </w:divBdr>
    </w:div>
    <w:div w:id="1747721717">
      <w:bodyDiv w:val="1"/>
      <w:marLeft w:val="0"/>
      <w:marRight w:val="0"/>
      <w:marTop w:val="0"/>
      <w:marBottom w:val="0"/>
      <w:divBdr>
        <w:top w:val="none" w:sz="0" w:space="0" w:color="auto"/>
        <w:left w:val="none" w:sz="0" w:space="0" w:color="auto"/>
        <w:bottom w:val="none" w:sz="0" w:space="0" w:color="auto"/>
        <w:right w:val="none" w:sz="0" w:space="0" w:color="auto"/>
      </w:divBdr>
    </w:div>
    <w:div w:id="1748460483">
      <w:bodyDiv w:val="1"/>
      <w:marLeft w:val="0"/>
      <w:marRight w:val="0"/>
      <w:marTop w:val="0"/>
      <w:marBottom w:val="0"/>
      <w:divBdr>
        <w:top w:val="none" w:sz="0" w:space="0" w:color="auto"/>
        <w:left w:val="none" w:sz="0" w:space="0" w:color="auto"/>
        <w:bottom w:val="none" w:sz="0" w:space="0" w:color="auto"/>
        <w:right w:val="none" w:sz="0" w:space="0" w:color="auto"/>
      </w:divBdr>
    </w:div>
    <w:div w:id="1766924806">
      <w:bodyDiv w:val="1"/>
      <w:marLeft w:val="0"/>
      <w:marRight w:val="0"/>
      <w:marTop w:val="0"/>
      <w:marBottom w:val="0"/>
      <w:divBdr>
        <w:top w:val="none" w:sz="0" w:space="0" w:color="auto"/>
        <w:left w:val="none" w:sz="0" w:space="0" w:color="auto"/>
        <w:bottom w:val="none" w:sz="0" w:space="0" w:color="auto"/>
        <w:right w:val="none" w:sz="0" w:space="0" w:color="auto"/>
      </w:divBdr>
    </w:div>
    <w:div w:id="1770853129">
      <w:bodyDiv w:val="1"/>
      <w:marLeft w:val="0"/>
      <w:marRight w:val="0"/>
      <w:marTop w:val="0"/>
      <w:marBottom w:val="0"/>
      <w:divBdr>
        <w:top w:val="none" w:sz="0" w:space="0" w:color="auto"/>
        <w:left w:val="none" w:sz="0" w:space="0" w:color="auto"/>
        <w:bottom w:val="none" w:sz="0" w:space="0" w:color="auto"/>
        <w:right w:val="none" w:sz="0" w:space="0" w:color="auto"/>
      </w:divBdr>
    </w:div>
    <w:div w:id="1775902566">
      <w:bodyDiv w:val="1"/>
      <w:marLeft w:val="0"/>
      <w:marRight w:val="0"/>
      <w:marTop w:val="0"/>
      <w:marBottom w:val="0"/>
      <w:divBdr>
        <w:top w:val="none" w:sz="0" w:space="0" w:color="auto"/>
        <w:left w:val="none" w:sz="0" w:space="0" w:color="auto"/>
        <w:bottom w:val="none" w:sz="0" w:space="0" w:color="auto"/>
        <w:right w:val="none" w:sz="0" w:space="0" w:color="auto"/>
      </w:divBdr>
    </w:div>
    <w:div w:id="1786970483">
      <w:bodyDiv w:val="1"/>
      <w:marLeft w:val="0"/>
      <w:marRight w:val="0"/>
      <w:marTop w:val="0"/>
      <w:marBottom w:val="0"/>
      <w:divBdr>
        <w:top w:val="none" w:sz="0" w:space="0" w:color="auto"/>
        <w:left w:val="none" w:sz="0" w:space="0" w:color="auto"/>
        <w:bottom w:val="none" w:sz="0" w:space="0" w:color="auto"/>
        <w:right w:val="none" w:sz="0" w:space="0" w:color="auto"/>
      </w:divBdr>
    </w:div>
    <w:div w:id="1807160596">
      <w:bodyDiv w:val="1"/>
      <w:marLeft w:val="0"/>
      <w:marRight w:val="0"/>
      <w:marTop w:val="0"/>
      <w:marBottom w:val="0"/>
      <w:divBdr>
        <w:top w:val="none" w:sz="0" w:space="0" w:color="auto"/>
        <w:left w:val="none" w:sz="0" w:space="0" w:color="auto"/>
        <w:bottom w:val="none" w:sz="0" w:space="0" w:color="auto"/>
        <w:right w:val="none" w:sz="0" w:space="0" w:color="auto"/>
      </w:divBdr>
    </w:div>
    <w:div w:id="1812482730">
      <w:bodyDiv w:val="1"/>
      <w:marLeft w:val="0"/>
      <w:marRight w:val="0"/>
      <w:marTop w:val="0"/>
      <w:marBottom w:val="0"/>
      <w:divBdr>
        <w:top w:val="none" w:sz="0" w:space="0" w:color="auto"/>
        <w:left w:val="none" w:sz="0" w:space="0" w:color="auto"/>
        <w:bottom w:val="none" w:sz="0" w:space="0" w:color="auto"/>
        <w:right w:val="none" w:sz="0" w:space="0" w:color="auto"/>
      </w:divBdr>
    </w:div>
    <w:div w:id="1817214069">
      <w:bodyDiv w:val="1"/>
      <w:marLeft w:val="0"/>
      <w:marRight w:val="0"/>
      <w:marTop w:val="0"/>
      <w:marBottom w:val="0"/>
      <w:divBdr>
        <w:top w:val="none" w:sz="0" w:space="0" w:color="auto"/>
        <w:left w:val="none" w:sz="0" w:space="0" w:color="auto"/>
        <w:bottom w:val="none" w:sz="0" w:space="0" w:color="auto"/>
        <w:right w:val="none" w:sz="0" w:space="0" w:color="auto"/>
      </w:divBdr>
    </w:div>
    <w:div w:id="1819766997">
      <w:bodyDiv w:val="1"/>
      <w:marLeft w:val="0"/>
      <w:marRight w:val="0"/>
      <w:marTop w:val="0"/>
      <w:marBottom w:val="0"/>
      <w:divBdr>
        <w:top w:val="none" w:sz="0" w:space="0" w:color="auto"/>
        <w:left w:val="none" w:sz="0" w:space="0" w:color="auto"/>
        <w:bottom w:val="none" w:sz="0" w:space="0" w:color="auto"/>
        <w:right w:val="none" w:sz="0" w:space="0" w:color="auto"/>
      </w:divBdr>
    </w:div>
    <w:div w:id="1821264293">
      <w:bodyDiv w:val="1"/>
      <w:marLeft w:val="0"/>
      <w:marRight w:val="0"/>
      <w:marTop w:val="0"/>
      <w:marBottom w:val="0"/>
      <w:divBdr>
        <w:top w:val="none" w:sz="0" w:space="0" w:color="auto"/>
        <w:left w:val="none" w:sz="0" w:space="0" w:color="auto"/>
        <w:bottom w:val="none" w:sz="0" w:space="0" w:color="auto"/>
        <w:right w:val="none" w:sz="0" w:space="0" w:color="auto"/>
      </w:divBdr>
    </w:div>
    <w:div w:id="1827084662">
      <w:bodyDiv w:val="1"/>
      <w:marLeft w:val="0"/>
      <w:marRight w:val="0"/>
      <w:marTop w:val="0"/>
      <w:marBottom w:val="0"/>
      <w:divBdr>
        <w:top w:val="none" w:sz="0" w:space="0" w:color="auto"/>
        <w:left w:val="none" w:sz="0" w:space="0" w:color="auto"/>
        <w:bottom w:val="none" w:sz="0" w:space="0" w:color="auto"/>
        <w:right w:val="none" w:sz="0" w:space="0" w:color="auto"/>
      </w:divBdr>
    </w:div>
    <w:div w:id="1827550044">
      <w:bodyDiv w:val="1"/>
      <w:marLeft w:val="0"/>
      <w:marRight w:val="0"/>
      <w:marTop w:val="0"/>
      <w:marBottom w:val="0"/>
      <w:divBdr>
        <w:top w:val="none" w:sz="0" w:space="0" w:color="auto"/>
        <w:left w:val="none" w:sz="0" w:space="0" w:color="auto"/>
        <w:bottom w:val="none" w:sz="0" w:space="0" w:color="auto"/>
        <w:right w:val="none" w:sz="0" w:space="0" w:color="auto"/>
      </w:divBdr>
    </w:div>
    <w:div w:id="1836603646">
      <w:bodyDiv w:val="1"/>
      <w:marLeft w:val="0"/>
      <w:marRight w:val="0"/>
      <w:marTop w:val="0"/>
      <w:marBottom w:val="0"/>
      <w:divBdr>
        <w:top w:val="none" w:sz="0" w:space="0" w:color="auto"/>
        <w:left w:val="none" w:sz="0" w:space="0" w:color="auto"/>
        <w:bottom w:val="none" w:sz="0" w:space="0" w:color="auto"/>
        <w:right w:val="none" w:sz="0" w:space="0" w:color="auto"/>
      </w:divBdr>
    </w:div>
    <w:div w:id="1838224663">
      <w:bodyDiv w:val="1"/>
      <w:marLeft w:val="0"/>
      <w:marRight w:val="0"/>
      <w:marTop w:val="0"/>
      <w:marBottom w:val="0"/>
      <w:divBdr>
        <w:top w:val="none" w:sz="0" w:space="0" w:color="auto"/>
        <w:left w:val="none" w:sz="0" w:space="0" w:color="auto"/>
        <w:bottom w:val="none" w:sz="0" w:space="0" w:color="auto"/>
        <w:right w:val="none" w:sz="0" w:space="0" w:color="auto"/>
      </w:divBdr>
    </w:div>
    <w:div w:id="1840845609">
      <w:bodyDiv w:val="1"/>
      <w:marLeft w:val="0"/>
      <w:marRight w:val="0"/>
      <w:marTop w:val="0"/>
      <w:marBottom w:val="0"/>
      <w:divBdr>
        <w:top w:val="none" w:sz="0" w:space="0" w:color="auto"/>
        <w:left w:val="none" w:sz="0" w:space="0" w:color="auto"/>
        <w:bottom w:val="none" w:sz="0" w:space="0" w:color="auto"/>
        <w:right w:val="none" w:sz="0" w:space="0" w:color="auto"/>
      </w:divBdr>
    </w:div>
    <w:div w:id="1843087865">
      <w:bodyDiv w:val="1"/>
      <w:marLeft w:val="0"/>
      <w:marRight w:val="0"/>
      <w:marTop w:val="0"/>
      <w:marBottom w:val="0"/>
      <w:divBdr>
        <w:top w:val="none" w:sz="0" w:space="0" w:color="auto"/>
        <w:left w:val="none" w:sz="0" w:space="0" w:color="auto"/>
        <w:bottom w:val="none" w:sz="0" w:space="0" w:color="auto"/>
        <w:right w:val="none" w:sz="0" w:space="0" w:color="auto"/>
      </w:divBdr>
    </w:div>
    <w:div w:id="1847481415">
      <w:bodyDiv w:val="1"/>
      <w:marLeft w:val="0"/>
      <w:marRight w:val="0"/>
      <w:marTop w:val="0"/>
      <w:marBottom w:val="0"/>
      <w:divBdr>
        <w:top w:val="none" w:sz="0" w:space="0" w:color="auto"/>
        <w:left w:val="none" w:sz="0" w:space="0" w:color="auto"/>
        <w:bottom w:val="none" w:sz="0" w:space="0" w:color="auto"/>
        <w:right w:val="none" w:sz="0" w:space="0" w:color="auto"/>
      </w:divBdr>
    </w:div>
    <w:div w:id="1849053284">
      <w:bodyDiv w:val="1"/>
      <w:marLeft w:val="0"/>
      <w:marRight w:val="0"/>
      <w:marTop w:val="0"/>
      <w:marBottom w:val="0"/>
      <w:divBdr>
        <w:top w:val="none" w:sz="0" w:space="0" w:color="auto"/>
        <w:left w:val="none" w:sz="0" w:space="0" w:color="auto"/>
        <w:bottom w:val="none" w:sz="0" w:space="0" w:color="auto"/>
        <w:right w:val="none" w:sz="0" w:space="0" w:color="auto"/>
      </w:divBdr>
    </w:div>
    <w:div w:id="1849174719">
      <w:bodyDiv w:val="1"/>
      <w:marLeft w:val="0"/>
      <w:marRight w:val="0"/>
      <w:marTop w:val="0"/>
      <w:marBottom w:val="0"/>
      <w:divBdr>
        <w:top w:val="none" w:sz="0" w:space="0" w:color="auto"/>
        <w:left w:val="none" w:sz="0" w:space="0" w:color="auto"/>
        <w:bottom w:val="none" w:sz="0" w:space="0" w:color="auto"/>
        <w:right w:val="none" w:sz="0" w:space="0" w:color="auto"/>
      </w:divBdr>
    </w:div>
    <w:div w:id="1853103403">
      <w:bodyDiv w:val="1"/>
      <w:marLeft w:val="0"/>
      <w:marRight w:val="0"/>
      <w:marTop w:val="0"/>
      <w:marBottom w:val="0"/>
      <w:divBdr>
        <w:top w:val="none" w:sz="0" w:space="0" w:color="auto"/>
        <w:left w:val="none" w:sz="0" w:space="0" w:color="auto"/>
        <w:bottom w:val="none" w:sz="0" w:space="0" w:color="auto"/>
        <w:right w:val="none" w:sz="0" w:space="0" w:color="auto"/>
      </w:divBdr>
    </w:div>
    <w:div w:id="1854952662">
      <w:bodyDiv w:val="1"/>
      <w:marLeft w:val="0"/>
      <w:marRight w:val="0"/>
      <w:marTop w:val="0"/>
      <w:marBottom w:val="0"/>
      <w:divBdr>
        <w:top w:val="none" w:sz="0" w:space="0" w:color="auto"/>
        <w:left w:val="none" w:sz="0" w:space="0" w:color="auto"/>
        <w:bottom w:val="none" w:sz="0" w:space="0" w:color="auto"/>
        <w:right w:val="none" w:sz="0" w:space="0" w:color="auto"/>
      </w:divBdr>
    </w:div>
    <w:div w:id="1855414721">
      <w:bodyDiv w:val="1"/>
      <w:marLeft w:val="0"/>
      <w:marRight w:val="0"/>
      <w:marTop w:val="0"/>
      <w:marBottom w:val="0"/>
      <w:divBdr>
        <w:top w:val="none" w:sz="0" w:space="0" w:color="auto"/>
        <w:left w:val="none" w:sz="0" w:space="0" w:color="auto"/>
        <w:bottom w:val="none" w:sz="0" w:space="0" w:color="auto"/>
        <w:right w:val="none" w:sz="0" w:space="0" w:color="auto"/>
      </w:divBdr>
    </w:div>
    <w:div w:id="1864633966">
      <w:bodyDiv w:val="1"/>
      <w:marLeft w:val="0"/>
      <w:marRight w:val="0"/>
      <w:marTop w:val="0"/>
      <w:marBottom w:val="0"/>
      <w:divBdr>
        <w:top w:val="none" w:sz="0" w:space="0" w:color="auto"/>
        <w:left w:val="none" w:sz="0" w:space="0" w:color="auto"/>
        <w:bottom w:val="none" w:sz="0" w:space="0" w:color="auto"/>
        <w:right w:val="none" w:sz="0" w:space="0" w:color="auto"/>
      </w:divBdr>
    </w:div>
    <w:div w:id="1872985715">
      <w:bodyDiv w:val="1"/>
      <w:marLeft w:val="0"/>
      <w:marRight w:val="0"/>
      <w:marTop w:val="0"/>
      <w:marBottom w:val="0"/>
      <w:divBdr>
        <w:top w:val="none" w:sz="0" w:space="0" w:color="auto"/>
        <w:left w:val="none" w:sz="0" w:space="0" w:color="auto"/>
        <w:bottom w:val="none" w:sz="0" w:space="0" w:color="auto"/>
        <w:right w:val="none" w:sz="0" w:space="0" w:color="auto"/>
      </w:divBdr>
    </w:div>
    <w:div w:id="1880433968">
      <w:bodyDiv w:val="1"/>
      <w:marLeft w:val="0"/>
      <w:marRight w:val="0"/>
      <w:marTop w:val="0"/>
      <w:marBottom w:val="0"/>
      <w:divBdr>
        <w:top w:val="none" w:sz="0" w:space="0" w:color="auto"/>
        <w:left w:val="none" w:sz="0" w:space="0" w:color="auto"/>
        <w:bottom w:val="none" w:sz="0" w:space="0" w:color="auto"/>
        <w:right w:val="none" w:sz="0" w:space="0" w:color="auto"/>
      </w:divBdr>
    </w:div>
    <w:div w:id="1881942329">
      <w:bodyDiv w:val="1"/>
      <w:marLeft w:val="0"/>
      <w:marRight w:val="0"/>
      <w:marTop w:val="0"/>
      <w:marBottom w:val="0"/>
      <w:divBdr>
        <w:top w:val="none" w:sz="0" w:space="0" w:color="auto"/>
        <w:left w:val="none" w:sz="0" w:space="0" w:color="auto"/>
        <w:bottom w:val="none" w:sz="0" w:space="0" w:color="auto"/>
        <w:right w:val="none" w:sz="0" w:space="0" w:color="auto"/>
      </w:divBdr>
    </w:div>
    <w:div w:id="1884054688">
      <w:bodyDiv w:val="1"/>
      <w:marLeft w:val="0"/>
      <w:marRight w:val="0"/>
      <w:marTop w:val="0"/>
      <w:marBottom w:val="0"/>
      <w:divBdr>
        <w:top w:val="none" w:sz="0" w:space="0" w:color="auto"/>
        <w:left w:val="none" w:sz="0" w:space="0" w:color="auto"/>
        <w:bottom w:val="none" w:sz="0" w:space="0" w:color="auto"/>
        <w:right w:val="none" w:sz="0" w:space="0" w:color="auto"/>
      </w:divBdr>
    </w:div>
    <w:div w:id="1884441631">
      <w:bodyDiv w:val="1"/>
      <w:marLeft w:val="0"/>
      <w:marRight w:val="0"/>
      <w:marTop w:val="0"/>
      <w:marBottom w:val="0"/>
      <w:divBdr>
        <w:top w:val="none" w:sz="0" w:space="0" w:color="auto"/>
        <w:left w:val="none" w:sz="0" w:space="0" w:color="auto"/>
        <w:bottom w:val="none" w:sz="0" w:space="0" w:color="auto"/>
        <w:right w:val="none" w:sz="0" w:space="0" w:color="auto"/>
      </w:divBdr>
    </w:div>
    <w:div w:id="1888832402">
      <w:bodyDiv w:val="1"/>
      <w:marLeft w:val="0"/>
      <w:marRight w:val="0"/>
      <w:marTop w:val="0"/>
      <w:marBottom w:val="0"/>
      <w:divBdr>
        <w:top w:val="none" w:sz="0" w:space="0" w:color="auto"/>
        <w:left w:val="none" w:sz="0" w:space="0" w:color="auto"/>
        <w:bottom w:val="none" w:sz="0" w:space="0" w:color="auto"/>
        <w:right w:val="none" w:sz="0" w:space="0" w:color="auto"/>
      </w:divBdr>
    </w:div>
    <w:div w:id="1895726996">
      <w:bodyDiv w:val="1"/>
      <w:marLeft w:val="0"/>
      <w:marRight w:val="0"/>
      <w:marTop w:val="0"/>
      <w:marBottom w:val="0"/>
      <w:divBdr>
        <w:top w:val="none" w:sz="0" w:space="0" w:color="auto"/>
        <w:left w:val="none" w:sz="0" w:space="0" w:color="auto"/>
        <w:bottom w:val="none" w:sz="0" w:space="0" w:color="auto"/>
        <w:right w:val="none" w:sz="0" w:space="0" w:color="auto"/>
      </w:divBdr>
    </w:div>
    <w:div w:id="1899828252">
      <w:bodyDiv w:val="1"/>
      <w:marLeft w:val="0"/>
      <w:marRight w:val="0"/>
      <w:marTop w:val="0"/>
      <w:marBottom w:val="0"/>
      <w:divBdr>
        <w:top w:val="none" w:sz="0" w:space="0" w:color="auto"/>
        <w:left w:val="none" w:sz="0" w:space="0" w:color="auto"/>
        <w:bottom w:val="none" w:sz="0" w:space="0" w:color="auto"/>
        <w:right w:val="none" w:sz="0" w:space="0" w:color="auto"/>
      </w:divBdr>
    </w:div>
    <w:div w:id="1902055245">
      <w:bodyDiv w:val="1"/>
      <w:marLeft w:val="0"/>
      <w:marRight w:val="0"/>
      <w:marTop w:val="0"/>
      <w:marBottom w:val="0"/>
      <w:divBdr>
        <w:top w:val="none" w:sz="0" w:space="0" w:color="auto"/>
        <w:left w:val="none" w:sz="0" w:space="0" w:color="auto"/>
        <w:bottom w:val="none" w:sz="0" w:space="0" w:color="auto"/>
        <w:right w:val="none" w:sz="0" w:space="0" w:color="auto"/>
      </w:divBdr>
    </w:div>
    <w:div w:id="1909994411">
      <w:bodyDiv w:val="1"/>
      <w:marLeft w:val="0"/>
      <w:marRight w:val="0"/>
      <w:marTop w:val="0"/>
      <w:marBottom w:val="0"/>
      <w:divBdr>
        <w:top w:val="none" w:sz="0" w:space="0" w:color="auto"/>
        <w:left w:val="none" w:sz="0" w:space="0" w:color="auto"/>
        <w:bottom w:val="none" w:sz="0" w:space="0" w:color="auto"/>
        <w:right w:val="none" w:sz="0" w:space="0" w:color="auto"/>
      </w:divBdr>
    </w:div>
    <w:div w:id="1912539304">
      <w:bodyDiv w:val="1"/>
      <w:marLeft w:val="0"/>
      <w:marRight w:val="0"/>
      <w:marTop w:val="0"/>
      <w:marBottom w:val="0"/>
      <w:divBdr>
        <w:top w:val="none" w:sz="0" w:space="0" w:color="auto"/>
        <w:left w:val="none" w:sz="0" w:space="0" w:color="auto"/>
        <w:bottom w:val="none" w:sz="0" w:space="0" w:color="auto"/>
        <w:right w:val="none" w:sz="0" w:space="0" w:color="auto"/>
      </w:divBdr>
    </w:div>
    <w:div w:id="1916546659">
      <w:bodyDiv w:val="1"/>
      <w:marLeft w:val="0"/>
      <w:marRight w:val="0"/>
      <w:marTop w:val="0"/>
      <w:marBottom w:val="0"/>
      <w:divBdr>
        <w:top w:val="none" w:sz="0" w:space="0" w:color="auto"/>
        <w:left w:val="none" w:sz="0" w:space="0" w:color="auto"/>
        <w:bottom w:val="none" w:sz="0" w:space="0" w:color="auto"/>
        <w:right w:val="none" w:sz="0" w:space="0" w:color="auto"/>
      </w:divBdr>
    </w:div>
    <w:div w:id="1917739783">
      <w:bodyDiv w:val="1"/>
      <w:marLeft w:val="0"/>
      <w:marRight w:val="0"/>
      <w:marTop w:val="0"/>
      <w:marBottom w:val="0"/>
      <w:divBdr>
        <w:top w:val="none" w:sz="0" w:space="0" w:color="auto"/>
        <w:left w:val="none" w:sz="0" w:space="0" w:color="auto"/>
        <w:bottom w:val="none" w:sz="0" w:space="0" w:color="auto"/>
        <w:right w:val="none" w:sz="0" w:space="0" w:color="auto"/>
      </w:divBdr>
    </w:div>
    <w:div w:id="1923103274">
      <w:bodyDiv w:val="1"/>
      <w:marLeft w:val="0"/>
      <w:marRight w:val="0"/>
      <w:marTop w:val="0"/>
      <w:marBottom w:val="0"/>
      <w:divBdr>
        <w:top w:val="none" w:sz="0" w:space="0" w:color="auto"/>
        <w:left w:val="none" w:sz="0" w:space="0" w:color="auto"/>
        <w:bottom w:val="none" w:sz="0" w:space="0" w:color="auto"/>
        <w:right w:val="none" w:sz="0" w:space="0" w:color="auto"/>
      </w:divBdr>
    </w:div>
    <w:div w:id="1926836461">
      <w:bodyDiv w:val="1"/>
      <w:marLeft w:val="0"/>
      <w:marRight w:val="0"/>
      <w:marTop w:val="0"/>
      <w:marBottom w:val="0"/>
      <w:divBdr>
        <w:top w:val="none" w:sz="0" w:space="0" w:color="auto"/>
        <w:left w:val="none" w:sz="0" w:space="0" w:color="auto"/>
        <w:bottom w:val="none" w:sz="0" w:space="0" w:color="auto"/>
        <w:right w:val="none" w:sz="0" w:space="0" w:color="auto"/>
      </w:divBdr>
    </w:div>
    <w:div w:id="1932426517">
      <w:bodyDiv w:val="1"/>
      <w:marLeft w:val="0"/>
      <w:marRight w:val="0"/>
      <w:marTop w:val="0"/>
      <w:marBottom w:val="0"/>
      <w:divBdr>
        <w:top w:val="none" w:sz="0" w:space="0" w:color="auto"/>
        <w:left w:val="none" w:sz="0" w:space="0" w:color="auto"/>
        <w:bottom w:val="none" w:sz="0" w:space="0" w:color="auto"/>
        <w:right w:val="none" w:sz="0" w:space="0" w:color="auto"/>
      </w:divBdr>
    </w:div>
    <w:div w:id="1941061719">
      <w:bodyDiv w:val="1"/>
      <w:marLeft w:val="0"/>
      <w:marRight w:val="0"/>
      <w:marTop w:val="0"/>
      <w:marBottom w:val="0"/>
      <w:divBdr>
        <w:top w:val="none" w:sz="0" w:space="0" w:color="auto"/>
        <w:left w:val="none" w:sz="0" w:space="0" w:color="auto"/>
        <w:bottom w:val="none" w:sz="0" w:space="0" w:color="auto"/>
        <w:right w:val="none" w:sz="0" w:space="0" w:color="auto"/>
      </w:divBdr>
    </w:div>
    <w:div w:id="1943224185">
      <w:bodyDiv w:val="1"/>
      <w:marLeft w:val="0"/>
      <w:marRight w:val="0"/>
      <w:marTop w:val="0"/>
      <w:marBottom w:val="0"/>
      <w:divBdr>
        <w:top w:val="none" w:sz="0" w:space="0" w:color="auto"/>
        <w:left w:val="none" w:sz="0" w:space="0" w:color="auto"/>
        <w:bottom w:val="none" w:sz="0" w:space="0" w:color="auto"/>
        <w:right w:val="none" w:sz="0" w:space="0" w:color="auto"/>
      </w:divBdr>
    </w:div>
    <w:div w:id="1945532772">
      <w:bodyDiv w:val="1"/>
      <w:marLeft w:val="0"/>
      <w:marRight w:val="0"/>
      <w:marTop w:val="0"/>
      <w:marBottom w:val="0"/>
      <w:divBdr>
        <w:top w:val="none" w:sz="0" w:space="0" w:color="auto"/>
        <w:left w:val="none" w:sz="0" w:space="0" w:color="auto"/>
        <w:bottom w:val="none" w:sz="0" w:space="0" w:color="auto"/>
        <w:right w:val="none" w:sz="0" w:space="0" w:color="auto"/>
      </w:divBdr>
    </w:div>
    <w:div w:id="1949510617">
      <w:bodyDiv w:val="1"/>
      <w:marLeft w:val="0"/>
      <w:marRight w:val="0"/>
      <w:marTop w:val="0"/>
      <w:marBottom w:val="0"/>
      <w:divBdr>
        <w:top w:val="none" w:sz="0" w:space="0" w:color="auto"/>
        <w:left w:val="none" w:sz="0" w:space="0" w:color="auto"/>
        <w:bottom w:val="none" w:sz="0" w:space="0" w:color="auto"/>
        <w:right w:val="none" w:sz="0" w:space="0" w:color="auto"/>
      </w:divBdr>
    </w:div>
    <w:div w:id="1950355334">
      <w:bodyDiv w:val="1"/>
      <w:marLeft w:val="0"/>
      <w:marRight w:val="0"/>
      <w:marTop w:val="0"/>
      <w:marBottom w:val="0"/>
      <w:divBdr>
        <w:top w:val="none" w:sz="0" w:space="0" w:color="auto"/>
        <w:left w:val="none" w:sz="0" w:space="0" w:color="auto"/>
        <w:bottom w:val="none" w:sz="0" w:space="0" w:color="auto"/>
        <w:right w:val="none" w:sz="0" w:space="0" w:color="auto"/>
      </w:divBdr>
    </w:div>
    <w:div w:id="1957254121">
      <w:bodyDiv w:val="1"/>
      <w:marLeft w:val="0"/>
      <w:marRight w:val="0"/>
      <w:marTop w:val="0"/>
      <w:marBottom w:val="0"/>
      <w:divBdr>
        <w:top w:val="none" w:sz="0" w:space="0" w:color="auto"/>
        <w:left w:val="none" w:sz="0" w:space="0" w:color="auto"/>
        <w:bottom w:val="none" w:sz="0" w:space="0" w:color="auto"/>
        <w:right w:val="none" w:sz="0" w:space="0" w:color="auto"/>
      </w:divBdr>
    </w:div>
    <w:div w:id="1958561400">
      <w:bodyDiv w:val="1"/>
      <w:marLeft w:val="0"/>
      <w:marRight w:val="0"/>
      <w:marTop w:val="0"/>
      <w:marBottom w:val="0"/>
      <w:divBdr>
        <w:top w:val="none" w:sz="0" w:space="0" w:color="auto"/>
        <w:left w:val="none" w:sz="0" w:space="0" w:color="auto"/>
        <w:bottom w:val="none" w:sz="0" w:space="0" w:color="auto"/>
        <w:right w:val="none" w:sz="0" w:space="0" w:color="auto"/>
      </w:divBdr>
    </w:div>
    <w:div w:id="1976711252">
      <w:bodyDiv w:val="1"/>
      <w:marLeft w:val="0"/>
      <w:marRight w:val="0"/>
      <w:marTop w:val="0"/>
      <w:marBottom w:val="0"/>
      <w:divBdr>
        <w:top w:val="none" w:sz="0" w:space="0" w:color="auto"/>
        <w:left w:val="none" w:sz="0" w:space="0" w:color="auto"/>
        <w:bottom w:val="none" w:sz="0" w:space="0" w:color="auto"/>
        <w:right w:val="none" w:sz="0" w:space="0" w:color="auto"/>
      </w:divBdr>
    </w:div>
    <w:div w:id="1985888474">
      <w:bodyDiv w:val="1"/>
      <w:marLeft w:val="0"/>
      <w:marRight w:val="0"/>
      <w:marTop w:val="0"/>
      <w:marBottom w:val="0"/>
      <w:divBdr>
        <w:top w:val="none" w:sz="0" w:space="0" w:color="auto"/>
        <w:left w:val="none" w:sz="0" w:space="0" w:color="auto"/>
        <w:bottom w:val="none" w:sz="0" w:space="0" w:color="auto"/>
        <w:right w:val="none" w:sz="0" w:space="0" w:color="auto"/>
      </w:divBdr>
    </w:div>
    <w:div w:id="1986618134">
      <w:bodyDiv w:val="1"/>
      <w:marLeft w:val="0"/>
      <w:marRight w:val="0"/>
      <w:marTop w:val="0"/>
      <w:marBottom w:val="0"/>
      <w:divBdr>
        <w:top w:val="none" w:sz="0" w:space="0" w:color="auto"/>
        <w:left w:val="none" w:sz="0" w:space="0" w:color="auto"/>
        <w:bottom w:val="none" w:sz="0" w:space="0" w:color="auto"/>
        <w:right w:val="none" w:sz="0" w:space="0" w:color="auto"/>
      </w:divBdr>
    </w:div>
    <w:div w:id="1991975950">
      <w:bodyDiv w:val="1"/>
      <w:marLeft w:val="0"/>
      <w:marRight w:val="0"/>
      <w:marTop w:val="0"/>
      <w:marBottom w:val="0"/>
      <w:divBdr>
        <w:top w:val="none" w:sz="0" w:space="0" w:color="auto"/>
        <w:left w:val="none" w:sz="0" w:space="0" w:color="auto"/>
        <w:bottom w:val="none" w:sz="0" w:space="0" w:color="auto"/>
        <w:right w:val="none" w:sz="0" w:space="0" w:color="auto"/>
      </w:divBdr>
    </w:div>
    <w:div w:id="1995451081">
      <w:bodyDiv w:val="1"/>
      <w:marLeft w:val="0"/>
      <w:marRight w:val="0"/>
      <w:marTop w:val="0"/>
      <w:marBottom w:val="0"/>
      <w:divBdr>
        <w:top w:val="none" w:sz="0" w:space="0" w:color="auto"/>
        <w:left w:val="none" w:sz="0" w:space="0" w:color="auto"/>
        <w:bottom w:val="none" w:sz="0" w:space="0" w:color="auto"/>
        <w:right w:val="none" w:sz="0" w:space="0" w:color="auto"/>
      </w:divBdr>
    </w:div>
    <w:div w:id="1996184922">
      <w:bodyDiv w:val="1"/>
      <w:marLeft w:val="0"/>
      <w:marRight w:val="0"/>
      <w:marTop w:val="0"/>
      <w:marBottom w:val="0"/>
      <w:divBdr>
        <w:top w:val="none" w:sz="0" w:space="0" w:color="auto"/>
        <w:left w:val="none" w:sz="0" w:space="0" w:color="auto"/>
        <w:bottom w:val="none" w:sz="0" w:space="0" w:color="auto"/>
        <w:right w:val="none" w:sz="0" w:space="0" w:color="auto"/>
      </w:divBdr>
    </w:div>
    <w:div w:id="1999534136">
      <w:bodyDiv w:val="1"/>
      <w:marLeft w:val="0"/>
      <w:marRight w:val="0"/>
      <w:marTop w:val="0"/>
      <w:marBottom w:val="0"/>
      <w:divBdr>
        <w:top w:val="none" w:sz="0" w:space="0" w:color="auto"/>
        <w:left w:val="none" w:sz="0" w:space="0" w:color="auto"/>
        <w:bottom w:val="none" w:sz="0" w:space="0" w:color="auto"/>
        <w:right w:val="none" w:sz="0" w:space="0" w:color="auto"/>
      </w:divBdr>
    </w:div>
    <w:div w:id="2013144741">
      <w:bodyDiv w:val="1"/>
      <w:marLeft w:val="0"/>
      <w:marRight w:val="0"/>
      <w:marTop w:val="0"/>
      <w:marBottom w:val="0"/>
      <w:divBdr>
        <w:top w:val="none" w:sz="0" w:space="0" w:color="auto"/>
        <w:left w:val="none" w:sz="0" w:space="0" w:color="auto"/>
        <w:bottom w:val="none" w:sz="0" w:space="0" w:color="auto"/>
        <w:right w:val="none" w:sz="0" w:space="0" w:color="auto"/>
      </w:divBdr>
    </w:div>
    <w:div w:id="2017222026">
      <w:bodyDiv w:val="1"/>
      <w:marLeft w:val="0"/>
      <w:marRight w:val="0"/>
      <w:marTop w:val="0"/>
      <w:marBottom w:val="0"/>
      <w:divBdr>
        <w:top w:val="none" w:sz="0" w:space="0" w:color="auto"/>
        <w:left w:val="none" w:sz="0" w:space="0" w:color="auto"/>
        <w:bottom w:val="none" w:sz="0" w:space="0" w:color="auto"/>
        <w:right w:val="none" w:sz="0" w:space="0" w:color="auto"/>
      </w:divBdr>
    </w:div>
    <w:div w:id="2019917188">
      <w:bodyDiv w:val="1"/>
      <w:marLeft w:val="0"/>
      <w:marRight w:val="0"/>
      <w:marTop w:val="0"/>
      <w:marBottom w:val="0"/>
      <w:divBdr>
        <w:top w:val="none" w:sz="0" w:space="0" w:color="auto"/>
        <w:left w:val="none" w:sz="0" w:space="0" w:color="auto"/>
        <w:bottom w:val="none" w:sz="0" w:space="0" w:color="auto"/>
        <w:right w:val="none" w:sz="0" w:space="0" w:color="auto"/>
      </w:divBdr>
    </w:div>
    <w:div w:id="2020689920">
      <w:bodyDiv w:val="1"/>
      <w:marLeft w:val="0"/>
      <w:marRight w:val="0"/>
      <w:marTop w:val="0"/>
      <w:marBottom w:val="0"/>
      <w:divBdr>
        <w:top w:val="none" w:sz="0" w:space="0" w:color="auto"/>
        <w:left w:val="none" w:sz="0" w:space="0" w:color="auto"/>
        <w:bottom w:val="none" w:sz="0" w:space="0" w:color="auto"/>
        <w:right w:val="none" w:sz="0" w:space="0" w:color="auto"/>
      </w:divBdr>
    </w:div>
    <w:div w:id="2026325132">
      <w:bodyDiv w:val="1"/>
      <w:marLeft w:val="0"/>
      <w:marRight w:val="0"/>
      <w:marTop w:val="0"/>
      <w:marBottom w:val="0"/>
      <w:divBdr>
        <w:top w:val="none" w:sz="0" w:space="0" w:color="auto"/>
        <w:left w:val="none" w:sz="0" w:space="0" w:color="auto"/>
        <w:bottom w:val="none" w:sz="0" w:space="0" w:color="auto"/>
        <w:right w:val="none" w:sz="0" w:space="0" w:color="auto"/>
      </w:divBdr>
    </w:div>
    <w:div w:id="2027830326">
      <w:bodyDiv w:val="1"/>
      <w:marLeft w:val="0"/>
      <w:marRight w:val="0"/>
      <w:marTop w:val="0"/>
      <w:marBottom w:val="0"/>
      <w:divBdr>
        <w:top w:val="none" w:sz="0" w:space="0" w:color="auto"/>
        <w:left w:val="none" w:sz="0" w:space="0" w:color="auto"/>
        <w:bottom w:val="none" w:sz="0" w:space="0" w:color="auto"/>
        <w:right w:val="none" w:sz="0" w:space="0" w:color="auto"/>
      </w:divBdr>
    </w:div>
    <w:div w:id="2030599737">
      <w:bodyDiv w:val="1"/>
      <w:marLeft w:val="0"/>
      <w:marRight w:val="0"/>
      <w:marTop w:val="0"/>
      <w:marBottom w:val="0"/>
      <w:divBdr>
        <w:top w:val="none" w:sz="0" w:space="0" w:color="auto"/>
        <w:left w:val="none" w:sz="0" w:space="0" w:color="auto"/>
        <w:bottom w:val="none" w:sz="0" w:space="0" w:color="auto"/>
        <w:right w:val="none" w:sz="0" w:space="0" w:color="auto"/>
      </w:divBdr>
    </w:div>
    <w:div w:id="2040232365">
      <w:bodyDiv w:val="1"/>
      <w:marLeft w:val="0"/>
      <w:marRight w:val="0"/>
      <w:marTop w:val="0"/>
      <w:marBottom w:val="0"/>
      <w:divBdr>
        <w:top w:val="none" w:sz="0" w:space="0" w:color="auto"/>
        <w:left w:val="none" w:sz="0" w:space="0" w:color="auto"/>
        <w:bottom w:val="none" w:sz="0" w:space="0" w:color="auto"/>
        <w:right w:val="none" w:sz="0" w:space="0" w:color="auto"/>
      </w:divBdr>
    </w:div>
    <w:div w:id="2041736201">
      <w:bodyDiv w:val="1"/>
      <w:marLeft w:val="0"/>
      <w:marRight w:val="0"/>
      <w:marTop w:val="0"/>
      <w:marBottom w:val="0"/>
      <w:divBdr>
        <w:top w:val="none" w:sz="0" w:space="0" w:color="auto"/>
        <w:left w:val="none" w:sz="0" w:space="0" w:color="auto"/>
        <w:bottom w:val="none" w:sz="0" w:space="0" w:color="auto"/>
        <w:right w:val="none" w:sz="0" w:space="0" w:color="auto"/>
      </w:divBdr>
    </w:div>
    <w:div w:id="2043479564">
      <w:bodyDiv w:val="1"/>
      <w:marLeft w:val="0"/>
      <w:marRight w:val="0"/>
      <w:marTop w:val="0"/>
      <w:marBottom w:val="0"/>
      <w:divBdr>
        <w:top w:val="none" w:sz="0" w:space="0" w:color="auto"/>
        <w:left w:val="none" w:sz="0" w:space="0" w:color="auto"/>
        <w:bottom w:val="none" w:sz="0" w:space="0" w:color="auto"/>
        <w:right w:val="none" w:sz="0" w:space="0" w:color="auto"/>
      </w:divBdr>
    </w:div>
    <w:div w:id="2045471873">
      <w:bodyDiv w:val="1"/>
      <w:marLeft w:val="0"/>
      <w:marRight w:val="0"/>
      <w:marTop w:val="0"/>
      <w:marBottom w:val="0"/>
      <w:divBdr>
        <w:top w:val="none" w:sz="0" w:space="0" w:color="auto"/>
        <w:left w:val="none" w:sz="0" w:space="0" w:color="auto"/>
        <w:bottom w:val="none" w:sz="0" w:space="0" w:color="auto"/>
        <w:right w:val="none" w:sz="0" w:space="0" w:color="auto"/>
      </w:divBdr>
    </w:div>
    <w:div w:id="2050832500">
      <w:bodyDiv w:val="1"/>
      <w:marLeft w:val="0"/>
      <w:marRight w:val="0"/>
      <w:marTop w:val="0"/>
      <w:marBottom w:val="0"/>
      <w:divBdr>
        <w:top w:val="none" w:sz="0" w:space="0" w:color="auto"/>
        <w:left w:val="none" w:sz="0" w:space="0" w:color="auto"/>
        <w:bottom w:val="none" w:sz="0" w:space="0" w:color="auto"/>
        <w:right w:val="none" w:sz="0" w:space="0" w:color="auto"/>
      </w:divBdr>
    </w:div>
    <w:div w:id="2058116075">
      <w:bodyDiv w:val="1"/>
      <w:marLeft w:val="0"/>
      <w:marRight w:val="0"/>
      <w:marTop w:val="0"/>
      <w:marBottom w:val="0"/>
      <w:divBdr>
        <w:top w:val="none" w:sz="0" w:space="0" w:color="auto"/>
        <w:left w:val="none" w:sz="0" w:space="0" w:color="auto"/>
        <w:bottom w:val="none" w:sz="0" w:space="0" w:color="auto"/>
        <w:right w:val="none" w:sz="0" w:space="0" w:color="auto"/>
      </w:divBdr>
    </w:div>
    <w:div w:id="2073307197">
      <w:bodyDiv w:val="1"/>
      <w:marLeft w:val="0"/>
      <w:marRight w:val="0"/>
      <w:marTop w:val="0"/>
      <w:marBottom w:val="0"/>
      <w:divBdr>
        <w:top w:val="none" w:sz="0" w:space="0" w:color="auto"/>
        <w:left w:val="none" w:sz="0" w:space="0" w:color="auto"/>
        <w:bottom w:val="none" w:sz="0" w:space="0" w:color="auto"/>
        <w:right w:val="none" w:sz="0" w:space="0" w:color="auto"/>
      </w:divBdr>
    </w:div>
    <w:div w:id="2075159797">
      <w:bodyDiv w:val="1"/>
      <w:marLeft w:val="0"/>
      <w:marRight w:val="0"/>
      <w:marTop w:val="0"/>
      <w:marBottom w:val="0"/>
      <w:divBdr>
        <w:top w:val="none" w:sz="0" w:space="0" w:color="auto"/>
        <w:left w:val="none" w:sz="0" w:space="0" w:color="auto"/>
        <w:bottom w:val="none" w:sz="0" w:space="0" w:color="auto"/>
        <w:right w:val="none" w:sz="0" w:space="0" w:color="auto"/>
      </w:divBdr>
    </w:div>
    <w:div w:id="2081563462">
      <w:bodyDiv w:val="1"/>
      <w:marLeft w:val="0"/>
      <w:marRight w:val="0"/>
      <w:marTop w:val="0"/>
      <w:marBottom w:val="0"/>
      <w:divBdr>
        <w:top w:val="none" w:sz="0" w:space="0" w:color="auto"/>
        <w:left w:val="none" w:sz="0" w:space="0" w:color="auto"/>
        <w:bottom w:val="none" w:sz="0" w:space="0" w:color="auto"/>
        <w:right w:val="none" w:sz="0" w:space="0" w:color="auto"/>
      </w:divBdr>
      <w:divsChild>
        <w:div w:id="887689900">
          <w:marLeft w:val="850"/>
          <w:marRight w:val="0"/>
          <w:marTop w:val="0"/>
          <w:marBottom w:val="0"/>
          <w:divBdr>
            <w:top w:val="none" w:sz="0" w:space="0" w:color="auto"/>
            <w:left w:val="none" w:sz="0" w:space="0" w:color="auto"/>
            <w:bottom w:val="none" w:sz="0" w:space="0" w:color="auto"/>
            <w:right w:val="none" w:sz="0" w:space="0" w:color="auto"/>
          </w:divBdr>
        </w:div>
        <w:div w:id="417795256">
          <w:marLeft w:val="850"/>
          <w:marRight w:val="0"/>
          <w:marTop w:val="0"/>
          <w:marBottom w:val="0"/>
          <w:divBdr>
            <w:top w:val="none" w:sz="0" w:space="0" w:color="auto"/>
            <w:left w:val="none" w:sz="0" w:space="0" w:color="auto"/>
            <w:bottom w:val="none" w:sz="0" w:space="0" w:color="auto"/>
            <w:right w:val="none" w:sz="0" w:space="0" w:color="auto"/>
          </w:divBdr>
        </w:div>
        <w:div w:id="1997875786">
          <w:marLeft w:val="850"/>
          <w:marRight w:val="0"/>
          <w:marTop w:val="0"/>
          <w:marBottom w:val="0"/>
          <w:divBdr>
            <w:top w:val="none" w:sz="0" w:space="0" w:color="auto"/>
            <w:left w:val="none" w:sz="0" w:space="0" w:color="auto"/>
            <w:bottom w:val="none" w:sz="0" w:space="0" w:color="auto"/>
            <w:right w:val="none" w:sz="0" w:space="0" w:color="auto"/>
          </w:divBdr>
        </w:div>
      </w:divsChild>
    </w:div>
    <w:div w:id="2082366699">
      <w:bodyDiv w:val="1"/>
      <w:marLeft w:val="0"/>
      <w:marRight w:val="0"/>
      <w:marTop w:val="0"/>
      <w:marBottom w:val="0"/>
      <w:divBdr>
        <w:top w:val="none" w:sz="0" w:space="0" w:color="auto"/>
        <w:left w:val="none" w:sz="0" w:space="0" w:color="auto"/>
        <w:bottom w:val="none" w:sz="0" w:space="0" w:color="auto"/>
        <w:right w:val="none" w:sz="0" w:space="0" w:color="auto"/>
      </w:divBdr>
    </w:div>
    <w:div w:id="2086611759">
      <w:bodyDiv w:val="1"/>
      <w:marLeft w:val="0"/>
      <w:marRight w:val="0"/>
      <w:marTop w:val="0"/>
      <w:marBottom w:val="0"/>
      <w:divBdr>
        <w:top w:val="none" w:sz="0" w:space="0" w:color="auto"/>
        <w:left w:val="none" w:sz="0" w:space="0" w:color="auto"/>
        <w:bottom w:val="none" w:sz="0" w:space="0" w:color="auto"/>
        <w:right w:val="none" w:sz="0" w:space="0" w:color="auto"/>
      </w:divBdr>
    </w:div>
    <w:div w:id="2087456397">
      <w:bodyDiv w:val="1"/>
      <w:marLeft w:val="0"/>
      <w:marRight w:val="0"/>
      <w:marTop w:val="0"/>
      <w:marBottom w:val="0"/>
      <w:divBdr>
        <w:top w:val="none" w:sz="0" w:space="0" w:color="auto"/>
        <w:left w:val="none" w:sz="0" w:space="0" w:color="auto"/>
        <w:bottom w:val="none" w:sz="0" w:space="0" w:color="auto"/>
        <w:right w:val="none" w:sz="0" w:space="0" w:color="auto"/>
      </w:divBdr>
    </w:div>
    <w:div w:id="2089228597">
      <w:bodyDiv w:val="1"/>
      <w:marLeft w:val="0"/>
      <w:marRight w:val="0"/>
      <w:marTop w:val="0"/>
      <w:marBottom w:val="0"/>
      <w:divBdr>
        <w:top w:val="none" w:sz="0" w:space="0" w:color="auto"/>
        <w:left w:val="none" w:sz="0" w:space="0" w:color="auto"/>
        <w:bottom w:val="none" w:sz="0" w:space="0" w:color="auto"/>
        <w:right w:val="none" w:sz="0" w:space="0" w:color="auto"/>
      </w:divBdr>
    </w:div>
    <w:div w:id="2089645495">
      <w:bodyDiv w:val="1"/>
      <w:marLeft w:val="0"/>
      <w:marRight w:val="0"/>
      <w:marTop w:val="0"/>
      <w:marBottom w:val="0"/>
      <w:divBdr>
        <w:top w:val="none" w:sz="0" w:space="0" w:color="auto"/>
        <w:left w:val="none" w:sz="0" w:space="0" w:color="auto"/>
        <w:bottom w:val="none" w:sz="0" w:space="0" w:color="auto"/>
        <w:right w:val="none" w:sz="0" w:space="0" w:color="auto"/>
      </w:divBdr>
    </w:div>
    <w:div w:id="2091460587">
      <w:bodyDiv w:val="1"/>
      <w:marLeft w:val="0"/>
      <w:marRight w:val="0"/>
      <w:marTop w:val="0"/>
      <w:marBottom w:val="0"/>
      <w:divBdr>
        <w:top w:val="none" w:sz="0" w:space="0" w:color="auto"/>
        <w:left w:val="none" w:sz="0" w:space="0" w:color="auto"/>
        <w:bottom w:val="none" w:sz="0" w:space="0" w:color="auto"/>
        <w:right w:val="none" w:sz="0" w:space="0" w:color="auto"/>
      </w:divBdr>
    </w:div>
    <w:div w:id="2096123557">
      <w:bodyDiv w:val="1"/>
      <w:marLeft w:val="0"/>
      <w:marRight w:val="0"/>
      <w:marTop w:val="0"/>
      <w:marBottom w:val="0"/>
      <w:divBdr>
        <w:top w:val="none" w:sz="0" w:space="0" w:color="auto"/>
        <w:left w:val="none" w:sz="0" w:space="0" w:color="auto"/>
        <w:bottom w:val="none" w:sz="0" w:space="0" w:color="auto"/>
        <w:right w:val="none" w:sz="0" w:space="0" w:color="auto"/>
      </w:divBdr>
    </w:div>
    <w:div w:id="2097439821">
      <w:bodyDiv w:val="1"/>
      <w:marLeft w:val="0"/>
      <w:marRight w:val="0"/>
      <w:marTop w:val="0"/>
      <w:marBottom w:val="0"/>
      <w:divBdr>
        <w:top w:val="none" w:sz="0" w:space="0" w:color="auto"/>
        <w:left w:val="none" w:sz="0" w:space="0" w:color="auto"/>
        <w:bottom w:val="none" w:sz="0" w:space="0" w:color="auto"/>
        <w:right w:val="none" w:sz="0" w:space="0" w:color="auto"/>
      </w:divBdr>
    </w:div>
    <w:div w:id="2098135618">
      <w:bodyDiv w:val="1"/>
      <w:marLeft w:val="0"/>
      <w:marRight w:val="0"/>
      <w:marTop w:val="0"/>
      <w:marBottom w:val="0"/>
      <w:divBdr>
        <w:top w:val="none" w:sz="0" w:space="0" w:color="auto"/>
        <w:left w:val="none" w:sz="0" w:space="0" w:color="auto"/>
        <w:bottom w:val="none" w:sz="0" w:space="0" w:color="auto"/>
        <w:right w:val="none" w:sz="0" w:space="0" w:color="auto"/>
      </w:divBdr>
    </w:div>
    <w:div w:id="2098668113">
      <w:bodyDiv w:val="1"/>
      <w:marLeft w:val="0"/>
      <w:marRight w:val="0"/>
      <w:marTop w:val="0"/>
      <w:marBottom w:val="0"/>
      <w:divBdr>
        <w:top w:val="none" w:sz="0" w:space="0" w:color="auto"/>
        <w:left w:val="none" w:sz="0" w:space="0" w:color="auto"/>
        <w:bottom w:val="none" w:sz="0" w:space="0" w:color="auto"/>
        <w:right w:val="none" w:sz="0" w:space="0" w:color="auto"/>
      </w:divBdr>
    </w:div>
    <w:div w:id="2100978175">
      <w:bodyDiv w:val="1"/>
      <w:marLeft w:val="0"/>
      <w:marRight w:val="0"/>
      <w:marTop w:val="0"/>
      <w:marBottom w:val="0"/>
      <w:divBdr>
        <w:top w:val="none" w:sz="0" w:space="0" w:color="auto"/>
        <w:left w:val="none" w:sz="0" w:space="0" w:color="auto"/>
        <w:bottom w:val="none" w:sz="0" w:space="0" w:color="auto"/>
        <w:right w:val="none" w:sz="0" w:space="0" w:color="auto"/>
      </w:divBdr>
    </w:div>
    <w:div w:id="2103648599">
      <w:bodyDiv w:val="1"/>
      <w:marLeft w:val="0"/>
      <w:marRight w:val="0"/>
      <w:marTop w:val="0"/>
      <w:marBottom w:val="0"/>
      <w:divBdr>
        <w:top w:val="none" w:sz="0" w:space="0" w:color="auto"/>
        <w:left w:val="none" w:sz="0" w:space="0" w:color="auto"/>
        <w:bottom w:val="none" w:sz="0" w:space="0" w:color="auto"/>
        <w:right w:val="none" w:sz="0" w:space="0" w:color="auto"/>
      </w:divBdr>
    </w:div>
    <w:div w:id="2116053524">
      <w:bodyDiv w:val="1"/>
      <w:marLeft w:val="0"/>
      <w:marRight w:val="0"/>
      <w:marTop w:val="0"/>
      <w:marBottom w:val="0"/>
      <w:divBdr>
        <w:top w:val="none" w:sz="0" w:space="0" w:color="auto"/>
        <w:left w:val="none" w:sz="0" w:space="0" w:color="auto"/>
        <w:bottom w:val="none" w:sz="0" w:space="0" w:color="auto"/>
        <w:right w:val="none" w:sz="0" w:space="0" w:color="auto"/>
      </w:divBdr>
    </w:div>
    <w:div w:id="2121483667">
      <w:bodyDiv w:val="1"/>
      <w:marLeft w:val="0"/>
      <w:marRight w:val="0"/>
      <w:marTop w:val="0"/>
      <w:marBottom w:val="0"/>
      <w:divBdr>
        <w:top w:val="none" w:sz="0" w:space="0" w:color="auto"/>
        <w:left w:val="none" w:sz="0" w:space="0" w:color="auto"/>
        <w:bottom w:val="none" w:sz="0" w:space="0" w:color="auto"/>
        <w:right w:val="none" w:sz="0" w:space="0" w:color="auto"/>
      </w:divBdr>
    </w:div>
    <w:div w:id="2123373722">
      <w:bodyDiv w:val="1"/>
      <w:marLeft w:val="0"/>
      <w:marRight w:val="0"/>
      <w:marTop w:val="0"/>
      <w:marBottom w:val="0"/>
      <w:divBdr>
        <w:top w:val="none" w:sz="0" w:space="0" w:color="auto"/>
        <w:left w:val="none" w:sz="0" w:space="0" w:color="auto"/>
        <w:bottom w:val="none" w:sz="0" w:space="0" w:color="auto"/>
        <w:right w:val="none" w:sz="0" w:space="0" w:color="auto"/>
      </w:divBdr>
    </w:div>
    <w:div w:id="2129933346">
      <w:bodyDiv w:val="1"/>
      <w:marLeft w:val="0"/>
      <w:marRight w:val="0"/>
      <w:marTop w:val="0"/>
      <w:marBottom w:val="0"/>
      <w:divBdr>
        <w:top w:val="none" w:sz="0" w:space="0" w:color="auto"/>
        <w:left w:val="none" w:sz="0" w:space="0" w:color="auto"/>
        <w:bottom w:val="none" w:sz="0" w:space="0" w:color="auto"/>
        <w:right w:val="none" w:sz="0" w:space="0" w:color="auto"/>
      </w:divBdr>
    </w:div>
    <w:div w:id="2131245313">
      <w:bodyDiv w:val="1"/>
      <w:marLeft w:val="0"/>
      <w:marRight w:val="0"/>
      <w:marTop w:val="0"/>
      <w:marBottom w:val="0"/>
      <w:divBdr>
        <w:top w:val="none" w:sz="0" w:space="0" w:color="auto"/>
        <w:left w:val="none" w:sz="0" w:space="0" w:color="auto"/>
        <w:bottom w:val="none" w:sz="0" w:space="0" w:color="auto"/>
        <w:right w:val="none" w:sz="0" w:space="0" w:color="auto"/>
      </w:divBdr>
    </w:div>
    <w:div w:id="2132160579">
      <w:bodyDiv w:val="1"/>
      <w:marLeft w:val="0"/>
      <w:marRight w:val="0"/>
      <w:marTop w:val="0"/>
      <w:marBottom w:val="0"/>
      <w:divBdr>
        <w:top w:val="none" w:sz="0" w:space="0" w:color="auto"/>
        <w:left w:val="none" w:sz="0" w:space="0" w:color="auto"/>
        <w:bottom w:val="none" w:sz="0" w:space="0" w:color="auto"/>
        <w:right w:val="none" w:sz="0" w:space="0" w:color="auto"/>
      </w:divBdr>
    </w:div>
    <w:div w:id="2134248143">
      <w:bodyDiv w:val="1"/>
      <w:marLeft w:val="0"/>
      <w:marRight w:val="0"/>
      <w:marTop w:val="0"/>
      <w:marBottom w:val="0"/>
      <w:divBdr>
        <w:top w:val="none" w:sz="0" w:space="0" w:color="auto"/>
        <w:left w:val="none" w:sz="0" w:space="0" w:color="auto"/>
        <w:bottom w:val="none" w:sz="0" w:space="0" w:color="auto"/>
        <w:right w:val="none" w:sz="0" w:space="0" w:color="auto"/>
      </w:divBdr>
    </w:div>
    <w:div w:id="2135368549">
      <w:bodyDiv w:val="1"/>
      <w:marLeft w:val="0"/>
      <w:marRight w:val="0"/>
      <w:marTop w:val="0"/>
      <w:marBottom w:val="0"/>
      <w:divBdr>
        <w:top w:val="none" w:sz="0" w:space="0" w:color="auto"/>
        <w:left w:val="none" w:sz="0" w:space="0" w:color="auto"/>
        <w:bottom w:val="none" w:sz="0" w:space="0" w:color="auto"/>
        <w:right w:val="none" w:sz="0" w:space="0" w:color="auto"/>
      </w:divBdr>
    </w:div>
    <w:div w:id="214670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chart" Target="charts/chart7.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5.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29579;&#24800;&#20803;\125&#20844;&#30410;&#24425;&#21048;&#30408;&#39192;&#20998;&#37197;&#22522;&#37329;\&#35519;&#26597;&#22577;&#21578;\&#30456;&#38364;&#22294;&#34920;.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29579;&#24800;&#20803;\125&#20844;&#30410;&#24425;&#21048;&#30408;&#39192;&#20998;&#37197;&#22522;&#37329;\&#35519;&#26597;&#22577;&#21578;\&#30456;&#38364;&#22294;&#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9579;&#24800;&#20803;\125&#20844;&#30410;&#24425;&#21048;&#30408;&#39192;&#20998;&#37197;&#22522;&#37329;\&#35519;&#26597;&#22577;&#21578;\&#30456;&#38364;&#22294;&#34920;.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29579;&#24800;&#20803;\125&#20844;&#30410;&#24425;&#21048;&#30408;&#39192;&#20998;&#37197;&#22522;&#37329;\&#32004;&#35426;\&#27231;&#38364;&#38651;&#23376;&#27284;\&#36001;&#25919;&#37096;\&#36817;&#21313;&#24180;&#21508;&#32291;&#24066;&#30408;&#39192;&#29554;&#37197;&#25976;&#32113;&#35336;-1.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29579;&#24800;&#20803;\125&#20844;&#30410;&#24425;&#21048;&#30408;&#39192;&#20998;&#37197;&#22522;&#37329;\&#35519;&#26597;&#22577;&#21578;\&#30456;&#38364;&#22294;&#34920;.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29579;&#24800;&#20803;\125&#20844;&#30410;&#24425;&#21048;&#30408;&#39192;&#20998;&#37197;&#22522;&#37329;\&#32004;&#35426;\&#27231;&#38364;&#38651;&#23376;&#27284;\&#36001;&#25919;&#37096;\&#36817;&#21313;&#24180;&#21508;&#32291;&#24066;&#30408;&#39192;&#29554;&#37197;&#25976;&#32113;&#35336;-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29579;&#24800;&#20803;\125&#20844;&#30410;&#24425;&#21048;&#30408;&#39192;&#20998;&#37197;&#22522;&#37329;\&#35519;&#26597;&#22577;&#21578;\&#30456;&#38364;&#22294;&#349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664630651738481"/>
          <c:y val="4.4843049327354258E-2"/>
          <c:w val="0.81626577765862174"/>
          <c:h val="0.73533195733329915"/>
        </c:manualLayout>
      </c:layout>
      <c:bar3DChart>
        <c:barDir val="col"/>
        <c:grouping val="stacked"/>
        <c:varyColors val="0"/>
        <c:ser>
          <c:idx val="0"/>
          <c:order val="0"/>
          <c:tx>
            <c:strRef>
              <c:f>工作表2!$A$2</c:f>
              <c:strCache>
                <c:ptCount val="1"/>
                <c:pt idx="0">
                  <c:v>6個直轄市</c:v>
                </c:pt>
              </c:strCache>
            </c:strRef>
          </c:tx>
          <c:invertIfNegative val="0"/>
          <c:cat>
            <c:strRef>
              <c:f>工作表2!$B$1:$K$1</c:f>
              <c:strCache>
                <c:ptCount val="10"/>
                <c:pt idx="0">
                  <c:v>96年</c:v>
                </c:pt>
                <c:pt idx="1">
                  <c:v>97年</c:v>
                </c:pt>
                <c:pt idx="2">
                  <c:v>98年</c:v>
                </c:pt>
                <c:pt idx="3">
                  <c:v>99年</c:v>
                </c:pt>
                <c:pt idx="4">
                  <c:v>100年</c:v>
                </c:pt>
                <c:pt idx="5">
                  <c:v>101年</c:v>
                </c:pt>
                <c:pt idx="6">
                  <c:v>102年</c:v>
                </c:pt>
                <c:pt idx="7">
                  <c:v>103年</c:v>
                </c:pt>
                <c:pt idx="8">
                  <c:v>104年</c:v>
                </c:pt>
                <c:pt idx="9">
                  <c:v>105年</c:v>
                </c:pt>
              </c:strCache>
            </c:strRef>
          </c:cat>
          <c:val>
            <c:numRef>
              <c:f>工作表2!$B$2:$K$2</c:f>
              <c:numCache>
                <c:formatCode>0.00%</c:formatCode>
                <c:ptCount val="10"/>
                <c:pt idx="0">
                  <c:v>0.66520000000000001</c:v>
                </c:pt>
                <c:pt idx="1">
                  <c:v>0.66690000000000005</c:v>
                </c:pt>
                <c:pt idx="2">
                  <c:v>0.66700000000000004</c:v>
                </c:pt>
                <c:pt idx="3">
                  <c:v>0.66500000000000004</c:v>
                </c:pt>
                <c:pt idx="4">
                  <c:v>0.65229999999999999</c:v>
                </c:pt>
                <c:pt idx="5">
                  <c:v>0.65290000000000004</c:v>
                </c:pt>
                <c:pt idx="6">
                  <c:v>0.65010000000000001</c:v>
                </c:pt>
                <c:pt idx="7">
                  <c:v>0.60829999999999995</c:v>
                </c:pt>
                <c:pt idx="8">
                  <c:v>0.6038</c:v>
                </c:pt>
                <c:pt idx="9">
                  <c:v>0.58309999999999995</c:v>
                </c:pt>
              </c:numCache>
            </c:numRef>
          </c:val>
        </c:ser>
        <c:ser>
          <c:idx val="1"/>
          <c:order val="1"/>
          <c:tx>
            <c:strRef>
              <c:f>工作表2!$A$3</c:f>
              <c:strCache>
                <c:ptCount val="1"/>
                <c:pt idx="0">
                  <c:v>16個縣市</c:v>
                </c:pt>
              </c:strCache>
            </c:strRef>
          </c:tx>
          <c:invertIfNegative val="0"/>
          <c:cat>
            <c:strRef>
              <c:f>工作表2!$B$1:$K$1</c:f>
              <c:strCache>
                <c:ptCount val="10"/>
                <c:pt idx="0">
                  <c:v>96年</c:v>
                </c:pt>
                <c:pt idx="1">
                  <c:v>97年</c:v>
                </c:pt>
                <c:pt idx="2">
                  <c:v>98年</c:v>
                </c:pt>
                <c:pt idx="3">
                  <c:v>99年</c:v>
                </c:pt>
                <c:pt idx="4">
                  <c:v>100年</c:v>
                </c:pt>
                <c:pt idx="5">
                  <c:v>101年</c:v>
                </c:pt>
                <c:pt idx="6">
                  <c:v>102年</c:v>
                </c:pt>
                <c:pt idx="7">
                  <c:v>103年</c:v>
                </c:pt>
                <c:pt idx="8">
                  <c:v>104年</c:v>
                </c:pt>
                <c:pt idx="9">
                  <c:v>105年</c:v>
                </c:pt>
              </c:strCache>
            </c:strRef>
          </c:cat>
          <c:val>
            <c:numRef>
              <c:f>工作表2!$B$3:$K$3</c:f>
              <c:numCache>
                <c:formatCode>0.00%</c:formatCode>
                <c:ptCount val="10"/>
                <c:pt idx="0">
                  <c:v>0.33479999999999999</c:v>
                </c:pt>
                <c:pt idx="1">
                  <c:v>0.33310000000000001</c:v>
                </c:pt>
                <c:pt idx="2">
                  <c:v>0.33300000000000002</c:v>
                </c:pt>
                <c:pt idx="3">
                  <c:v>0.33500000000000002</c:v>
                </c:pt>
                <c:pt idx="4">
                  <c:v>0.34770000000000001</c:v>
                </c:pt>
                <c:pt idx="5">
                  <c:v>0.34710000000000002</c:v>
                </c:pt>
                <c:pt idx="6">
                  <c:v>0.34989999999999999</c:v>
                </c:pt>
                <c:pt idx="7">
                  <c:v>0.39760000000000001</c:v>
                </c:pt>
                <c:pt idx="8">
                  <c:v>0.3962</c:v>
                </c:pt>
                <c:pt idx="9">
                  <c:v>0.41689999999999999</c:v>
                </c:pt>
              </c:numCache>
            </c:numRef>
          </c:val>
        </c:ser>
        <c:dLbls>
          <c:showLegendKey val="0"/>
          <c:showVal val="0"/>
          <c:showCatName val="0"/>
          <c:showSerName val="0"/>
          <c:showPercent val="0"/>
          <c:showBubbleSize val="0"/>
        </c:dLbls>
        <c:gapWidth val="95"/>
        <c:gapDepth val="95"/>
        <c:shape val="box"/>
        <c:axId val="797664824"/>
        <c:axId val="797666392"/>
        <c:axId val="0"/>
      </c:bar3DChart>
      <c:catAx>
        <c:axId val="797664824"/>
        <c:scaling>
          <c:orientation val="minMax"/>
        </c:scaling>
        <c:delete val="0"/>
        <c:axPos val="b"/>
        <c:numFmt formatCode="General" sourceLinked="0"/>
        <c:majorTickMark val="none"/>
        <c:minorTickMark val="none"/>
        <c:tickLblPos val="nextTo"/>
        <c:crossAx val="797666392"/>
        <c:crosses val="autoZero"/>
        <c:auto val="1"/>
        <c:lblAlgn val="ctr"/>
        <c:lblOffset val="100"/>
        <c:noMultiLvlLbl val="0"/>
      </c:catAx>
      <c:valAx>
        <c:axId val="797666392"/>
        <c:scaling>
          <c:orientation val="minMax"/>
        </c:scaling>
        <c:delete val="0"/>
        <c:axPos val="l"/>
        <c:majorGridlines/>
        <c:numFmt formatCode="0.0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797664824"/>
        <c:crosses val="autoZero"/>
        <c:crossBetween val="between"/>
      </c:valAx>
      <c:dTable>
        <c:showHorzBorder val="1"/>
        <c:showVertBorder val="1"/>
        <c:showOutline val="1"/>
        <c:showKeys val="1"/>
        <c:txPr>
          <a:bodyPr/>
          <a:lstStyle/>
          <a:p>
            <a:pPr rtl="0">
              <a:defRPr b="1" spc="-50" baseline="0">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6668744531933508"/>
          <c:y val="5.5555555555555552E-2"/>
          <c:w val="0.80275699912510934"/>
          <c:h val="0.83129629629629631"/>
        </c:manualLayout>
      </c:layout>
      <c:lineChart>
        <c:grouping val="standard"/>
        <c:varyColors val="0"/>
        <c:ser>
          <c:idx val="0"/>
          <c:order val="0"/>
          <c:tx>
            <c:strRef>
              <c:f>工作表3!$A$2</c:f>
              <c:strCache>
                <c:ptCount val="1"/>
                <c:pt idx="0">
                  <c:v>總  計</c:v>
                </c:pt>
              </c:strCache>
            </c:strRef>
          </c:tx>
          <c:cat>
            <c:strRef>
              <c:f>工作表3!$B$1:$K$1</c:f>
              <c:strCache>
                <c:ptCount val="10"/>
                <c:pt idx="0">
                  <c:v>96年</c:v>
                </c:pt>
                <c:pt idx="1">
                  <c:v>97年</c:v>
                </c:pt>
                <c:pt idx="2">
                  <c:v>98年</c:v>
                </c:pt>
                <c:pt idx="3">
                  <c:v>99年</c:v>
                </c:pt>
                <c:pt idx="4">
                  <c:v>100年</c:v>
                </c:pt>
                <c:pt idx="5">
                  <c:v>101年</c:v>
                </c:pt>
                <c:pt idx="6">
                  <c:v>102年</c:v>
                </c:pt>
                <c:pt idx="7">
                  <c:v>103年</c:v>
                </c:pt>
                <c:pt idx="8">
                  <c:v>104年</c:v>
                </c:pt>
                <c:pt idx="9">
                  <c:v>105年</c:v>
                </c:pt>
              </c:strCache>
            </c:strRef>
          </c:cat>
          <c:val>
            <c:numRef>
              <c:f>工作表3!$B$2:$K$2</c:f>
              <c:numCache>
                <c:formatCode>#,##0</c:formatCode>
                <c:ptCount val="10"/>
                <c:pt idx="0">
                  <c:v>7766794.5939999996</c:v>
                </c:pt>
                <c:pt idx="1">
                  <c:v>10406963.653000001</c:v>
                </c:pt>
                <c:pt idx="2">
                  <c:v>9827096.8289999999</c:v>
                </c:pt>
                <c:pt idx="3">
                  <c:v>10605767.713</c:v>
                </c:pt>
                <c:pt idx="4">
                  <c:v>11729145.454</c:v>
                </c:pt>
                <c:pt idx="5">
                  <c:v>13605722.322000001</c:v>
                </c:pt>
                <c:pt idx="6">
                  <c:v>18035896.015000001</c:v>
                </c:pt>
                <c:pt idx="7">
                  <c:v>14295705.172</c:v>
                </c:pt>
                <c:pt idx="8">
                  <c:v>16932609.556000002</c:v>
                </c:pt>
                <c:pt idx="9">
                  <c:v>13455732.401000001</c:v>
                </c:pt>
              </c:numCache>
            </c:numRef>
          </c:val>
          <c:smooth val="0"/>
        </c:ser>
        <c:dLbls>
          <c:showLegendKey val="0"/>
          <c:showVal val="0"/>
          <c:showCatName val="0"/>
          <c:showSerName val="0"/>
          <c:showPercent val="0"/>
          <c:showBubbleSize val="0"/>
        </c:dLbls>
        <c:marker val="1"/>
        <c:smooth val="0"/>
        <c:axId val="797663256"/>
        <c:axId val="797664040"/>
      </c:lineChart>
      <c:catAx>
        <c:axId val="797663256"/>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ea typeface="標楷體" panose="03000509000000000000" pitchFamily="65" charset="-120"/>
                <a:cs typeface="Times New Roman" panose="02020603050405020304" pitchFamily="18" charset="0"/>
              </a:defRPr>
            </a:pPr>
            <a:endParaRPr lang="zh-TW"/>
          </a:p>
        </c:txPr>
        <c:crossAx val="797664040"/>
        <c:crosses val="autoZero"/>
        <c:auto val="1"/>
        <c:lblAlgn val="ctr"/>
        <c:lblOffset val="100"/>
        <c:noMultiLvlLbl val="0"/>
      </c:catAx>
      <c:valAx>
        <c:axId val="797664040"/>
        <c:scaling>
          <c:orientation val="minMax"/>
        </c:scaling>
        <c:delete val="0"/>
        <c:axPos val="l"/>
        <c:majorGridlines/>
        <c:numFmt formatCode="#,##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797663256"/>
        <c:crosses val="autoZero"/>
        <c:crossBetween val="between"/>
      </c:valAx>
    </c:plotArea>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649097690539878"/>
          <c:y val="4.4804357082483336E-2"/>
          <c:w val="0.61983885227148761"/>
          <c:h val="0.8508509529529148"/>
        </c:manualLayout>
      </c:layout>
      <c:lineChart>
        <c:grouping val="standard"/>
        <c:varyColors val="0"/>
        <c:ser>
          <c:idx val="0"/>
          <c:order val="0"/>
          <c:tx>
            <c:strRef>
              <c:f>工作表1!$A$2</c:f>
              <c:strCache>
                <c:ptCount val="1"/>
                <c:pt idx="0">
                  <c:v>社會福利支出</c:v>
                </c:pt>
              </c:strCache>
            </c:strRef>
          </c:tx>
          <c:cat>
            <c:strRef>
              <c:f>工作表1!$B$1:$G$1</c:f>
              <c:strCache>
                <c:ptCount val="6"/>
                <c:pt idx="0">
                  <c:v>100年</c:v>
                </c:pt>
                <c:pt idx="1">
                  <c:v>101年</c:v>
                </c:pt>
                <c:pt idx="2">
                  <c:v>102年</c:v>
                </c:pt>
                <c:pt idx="3">
                  <c:v>103年</c:v>
                </c:pt>
                <c:pt idx="4">
                  <c:v>104年</c:v>
                </c:pt>
                <c:pt idx="5">
                  <c:v>105年</c:v>
                </c:pt>
              </c:strCache>
            </c:strRef>
          </c:cat>
          <c:val>
            <c:numRef>
              <c:f>工作表1!$B$2:$G$2</c:f>
              <c:numCache>
                <c:formatCode>#,##0</c:formatCode>
                <c:ptCount val="6"/>
                <c:pt idx="0">
                  <c:v>185764454</c:v>
                </c:pt>
                <c:pt idx="1">
                  <c:v>181786119</c:v>
                </c:pt>
                <c:pt idx="2">
                  <c:v>161046127</c:v>
                </c:pt>
                <c:pt idx="3">
                  <c:v>167219859</c:v>
                </c:pt>
                <c:pt idx="4">
                  <c:v>156870404</c:v>
                </c:pt>
                <c:pt idx="5">
                  <c:v>155805388</c:v>
                </c:pt>
              </c:numCache>
            </c:numRef>
          </c:val>
          <c:smooth val="0"/>
        </c:ser>
        <c:ser>
          <c:idx val="1"/>
          <c:order val="1"/>
          <c:tx>
            <c:strRef>
              <c:f>工作表1!$A$3</c:f>
              <c:strCache>
                <c:ptCount val="1"/>
                <c:pt idx="0">
                  <c:v>公益彩券執行數</c:v>
                </c:pt>
              </c:strCache>
            </c:strRef>
          </c:tx>
          <c:cat>
            <c:strRef>
              <c:f>工作表1!$B$1:$G$1</c:f>
              <c:strCache>
                <c:ptCount val="6"/>
                <c:pt idx="0">
                  <c:v>100年</c:v>
                </c:pt>
                <c:pt idx="1">
                  <c:v>101年</c:v>
                </c:pt>
                <c:pt idx="2">
                  <c:v>102年</c:v>
                </c:pt>
                <c:pt idx="3">
                  <c:v>103年</c:v>
                </c:pt>
                <c:pt idx="4">
                  <c:v>104年</c:v>
                </c:pt>
                <c:pt idx="5">
                  <c:v>105年</c:v>
                </c:pt>
              </c:strCache>
            </c:strRef>
          </c:cat>
          <c:val>
            <c:numRef>
              <c:f>工作表1!$B$3:$G$3</c:f>
              <c:numCache>
                <c:formatCode>#,##0</c:formatCode>
                <c:ptCount val="6"/>
                <c:pt idx="0">
                  <c:v>9071607.3139999993</c:v>
                </c:pt>
                <c:pt idx="1">
                  <c:v>10262707.052999999</c:v>
                </c:pt>
                <c:pt idx="2">
                  <c:v>12714267.228</c:v>
                </c:pt>
                <c:pt idx="3">
                  <c:v>15861978.801999999</c:v>
                </c:pt>
                <c:pt idx="4">
                  <c:v>16902796.965</c:v>
                </c:pt>
                <c:pt idx="5">
                  <c:v>16894285.995000001</c:v>
                </c:pt>
              </c:numCache>
            </c:numRef>
          </c:val>
          <c:smooth val="0"/>
        </c:ser>
        <c:dLbls>
          <c:showLegendKey val="0"/>
          <c:showVal val="0"/>
          <c:showCatName val="0"/>
          <c:showSerName val="0"/>
          <c:showPercent val="0"/>
          <c:showBubbleSize val="0"/>
        </c:dLbls>
        <c:marker val="1"/>
        <c:smooth val="0"/>
        <c:axId val="582333840"/>
        <c:axId val="582335408"/>
      </c:lineChart>
      <c:catAx>
        <c:axId val="582333840"/>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ea typeface="標楷體" panose="03000509000000000000" pitchFamily="65" charset="-120"/>
                <a:cs typeface="Times New Roman" panose="02020603050405020304" pitchFamily="18" charset="0"/>
              </a:defRPr>
            </a:pPr>
            <a:endParaRPr lang="zh-TW"/>
          </a:p>
        </c:txPr>
        <c:crossAx val="582335408"/>
        <c:crosses val="autoZero"/>
        <c:auto val="1"/>
        <c:lblAlgn val="ctr"/>
        <c:lblOffset val="100"/>
        <c:noMultiLvlLbl val="0"/>
      </c:catAx>
      <c:valAx>
        <c:axId val="582335408"/>
        <c:scaling>
          <c:orientation val="minMax"/>
        </c:scaling>
        <c:delete val="0"/>
        <c:axPos val="l"/>
        <c:majorGridlines/>
        <c:numFmt formatCode="#,##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582333840"/>
        <c:crosses val="autoZero"/>
        <c:crossBetween val="between"/>
      </c:valAx>
    </c:plotArea>
    <c:legend>
      <c:legendPos val="r"/>
      <c:layout>
        <c:manualLayout>
          <c:xMode val="edge"/>
          <c:yMode val="edge"/>
          <c:x val="0.79551667814702842"/>
          <c:y val="0.27367670142927047"/>
          <c:w val="0.18853441839937635"/>
          <c:h val="0.53626395249565995"/>
        </c:manualLayout>
      </c:layout>
      <c:overlay val="0"/>
      <c:txPr>
        <a:bodyPr/>
        <a:lstStyle/>
        <a:p>
          <a:pPr>
            <a:defRPr sz="1100" baseline="0">
              <a:latin typeface="標楷體" panose="03000509000000000000" pitchFamily="65" charset="-120"/>
              <a:ea typeface="標楷體" panose="03000509000000000000" pitchFamily="65" charset="-120"/>
            </a:defRPr>
          </a:pPr>
          <a:endParaRPr lang="zh-TW"/>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6.3866431066195453E-2"/>
          <c:y val="2.8423772609819122E-2"/>
          <c:w val="0.88306724946783222"/>
          <c:h val="0.9026626552997874"/>
        </c:manualLayout>
      </c:layout>
      <c:bar3DChart>
        <c:barDir val="col"/>
        <c:grouping val="clustered"/>
        <c:varyColors val="0"/>
        <c:ser>
          <c:idx val="0"/>
          <c:order val="0"/>
          <c:tx>
            <c:strRef>
              <c:f>工作表5!$B$1:$B$2</c:f>
              <c:strCache>
                <c:ptCount val="1"/>
                <c:pt idx="0">
                  <c:v>100年</c:v>
                </c:pt>
              </c:strCache>
            </c:strRef>
          </c:tx>
          <c:invertIfNegative val="0"/>
          <c:cat>
            <c:strRef>
              <c:f>工作表5!$A$3:$A$24</c:f>
              <c:strCache>
                <c:ptCount val="22"/>
                <c:pt idx="0">
                  <c:v>臺北市</c:v>
                </c:pt>
                <c:pt idx="1">
                  <c:v>新北市</c:v>
                </c:pt>
                <c:pt idx="2">
                  <c:v>臺中市</c:v>
                </c:pt>
                <c:pt idx="3">
                  <c:v>臺南市</c:v>
                </c:pt>
                <c:pt idx="4">
                  <c:v>高雄市</c:v>
                </c:pt>
                <c:pt idx="5">
                  <c:v>桃園市</c:v>
                </c:pt>
                <c:pt idx="6">
                  <c:v>宜蘭縣</c:v>
                </c:pt>
                <c:pt idx="7">
                  <c:v>新竹縣</c:v>
                </c:pt>
                <c:pt idx="8">
                  <c:v>苗栗縣</c:v>
                </c:pt>
                <c:pt idx="9">
                  <c:v>彰化縣</c:v>
                </c:pt>
                <c:pt idx="10">
                  <c:v>南投縣</c:v>
                </c:pt>
                <c:pt idx="11">
                  <c:v>雲林縣</c:v>
                </c:pt>
                <c:pt idx="12">
                  <c:v>嘉義縣</c:v>
                </c:pt>
                <c:pt idx="13">
                  <c:v>屏東縣</c:v>
                </c:pt>
                <c:pt idx="14">
                  <c:v>臺東縣</c:v>
                </c:pt>
                <c:pt idx="15">
                  <c:v>花蓮縣</c:v>
                </c:pt>
                <c:pt idx="16">
                  <c:v>澎湖縣</c:v>
                </c:pt>
                <c:pt idx="17">
                  <c:v>基隆市</c:v>
                </c:pt>
                <c:pt idx="18">
                  <c:v>新竹市</c:v>
                </c:pt>
                <c:pt idx="19">
                  <c:v>嘉義市</c:v>
                </c:pt>
                <c:pt idx="20">
                  <c:v>金門縣</c:v>
                </c:pt>
                <c:pt idx="21">
                  <c:v>連江縣</c:v>
                </c:pt>
              </c:strCache>
            </c:strRef>
          </c:cat>
          <c:val>
            <c:numRef>
              <c:f>工作表5!$B$3:$B$24</c:f>
              <c:numCache>
                <c:formatCode>General</c:formatCode>
                <c:ptCount val="22"/>
                <c:pt idx="0">
                  <c:v>2.23</c:v>
                </c:pt>
                <c:pt idx="1">
                  <c:v>5.76</c:v>
                </c:pt>
                <c:pt idx="2">
                  <c:v>4.43</c:v>
                </c:pt>
                <c:pt idx="3">
                  <c:v>2.63</c:v>
                </c:pt>
                <c:pt idx="4">
                  <c:v>3.31</c:v>
                </c:pt>
                <c:pt idx="5">
                  <c:v>8.3699999999999992</c:v>
                </c:pt>
                <c:pt idx="6">
                  <c:v>12.85</c:v>
                </c:pt>
                <c:pt idx="7">
                  <c:v>9.1199999999999992</c:v>
                </c:pt>
                <c:pt idx="8">
                  <c:v>5.72</c:v>
                </c:pt>
                <c:pt idx="9">
                  <c:v>10.55</c:v>
                </c:pt>
                <c:pt idx="10">
                  <c:v>8.5299999999999994</c:v>
                </c:pt>
                <c:pt idx="11">
                  <c:v>6.31</c:v>
                </c:pt>
                <c:pt idx="12">
                  <c:v>7.33</c:v>
                </c:pt>
                <c:pt idx="13">
                  <c:v>8.4600000000000009</c:v>
                </c:pt>
                <c:pt idx="14">
                  <c:v>9.93</c:v>
                </c:pt>
                <c:pt idx="15">
                  <c:v>5.79</c:v>
                </c:pt>
                <c:pt idx="16">
                  <c:v>8.3000000000000007</c:v>
                </c:pt>
                <c:pt idx="17">
                  <c:v>6.23</c:v>
                </c:pt>
                <c:pt idx="18">
                  <c:v>7.94</c:v>
                </c:pt>
                <c:pt idx="19">
                  <c:v>16.850000000000001</c:v>
                </c:pt>
                <c:pt idx="20">
                  <c:v>6.79</c:v>
                </c:pt>
                <c:pt idx="21">
                  <c:v>6.36</c:v>
                </c:pt>
              </c:numCache>
            </c:numRef>
          </c:val>
        </c:ser>
        <c:ser>
          <c:idx val="1"/>
          <c:order val="1"/>
          <c:tx>
            <c:strRef>
              <c:f>工作表5!$C$1:$C$2</c:f>
              <c:strCache>
                <c:ptCount val="1"/>
                <c:pt idx="0">
                  <c:v>101年</c:v>
                </c:pt>
              </c:strCache>
            </c:strRef>
          </c:tx>
          <c:invertIfNegative val="0"/>
          <c:cat>
            <c:strRef>
              <c:f>工作表5!$A$3:$A$24</c:f>
              <c:strCache>
                <c:ptCount val="22"/>
                <c:pt idx="0">
                  <c:v>臺北市</c:v>
                </c:pt>
                <c:pt idx="1">
                  <c:v>新北市</c:v>
                </c:pt>
                <c:pt idx="2">
                  <c:v>臺中市</c:v>
                </c:pt>
                <c:pt idx="3">
                  <c:v>臺南市</c:v>
                </c:pt>
                <c:pt idx="4">
                  <c:v>高雄市</c:v>
                </c:pt>
                <c:pt idx="5">
                  <c:v>桃園市</c:v>
                </c:pt>
                <c:pt idx="6">
                  <c:v>宜蘭縣</c:v>
                </c:pt>
                <c:pt idx="7">
                  <c:v>新竹縣</c:v>
                </c:pt>
                <c:pt idx="8">
                  <c:v>苗栗縣</c:v>
                </c:pt>
                <c:pt idx="9">
                  <c:v>彰化縣</c:v>
                </c:pt>
                <c:pt idx="10">
                  <c:v>南投縣</c:v>
                </c:pt>
                <c:pt idx="11">
                  <c:v>雲林縣</c:v>
                </c:pt>
                <c:pt idx="12">
                  <c:v>嘉義縣</c:v>
                </c:pt>
                <c:pt idx="13">
                  <c:v>屏東縣</c:v>
                </c:pt>
                <c:pt idx="14">
                  <c:v>臺東縣</c:v>
                </c:pt>
                <c:pt idx="15">
                  <c:v>花蓮縣</c:v>
                </c:pt>
                <c:pt idx="16">
                  <c:v>澎湖縣</c:v>
                </c:pt>
                <c:pt idx="17">
                  <c:v>基隆市</c:v>
                </c:pt>
                <c:pt idx="18">
                  <c:v>新竹市</c:v>
                </c:pt>
                <c:pt idx="19">
                  <c:v>嘉義市</c:v>
                </c:pt>
                <c:pt idx="20">
                  <c:v>金門縣</c:v>
                </c:pt>
                <c:pt idx="21">
                  <c:v>連江縣</c:v>
                </c:pt>
              </c:strCache>
            </c:strRef>
          </c:cat>
          <c:val>
            <c:numRef>
              <c:f>工作表5!$C$3:$C$24</c:f>
              <c:numCache>
                <c:formatCode>General</c:formatCode>
                <c:ptCount val="22"/>
                <c:pt idx="0">
                  <c:v>1.98</c:v>
                </c:pt>
                <c:pt idx="1">
                  <c:v>6.47</c:v>
                </c:pt>
                <c:pt idx="2">
                  <c:v>6.48</c:v>
                </c:pt>
                <c:pt idx="3">
                  <c:v>4.01</c:v>
                </c:pt>
                <c:pt idx="4">
                  <c:v>4.17</c:v>
                </c:pt>
                <c:pt idx="5">
                  <c:v>11.57</c:v>
                </c:pt>
                <c:pt idx="6">
                  <c:v>11.61</c:v>
                </c:pt>
                <c:pt idx="7">
                  <c:v>7.56</c:v>
                </c:pt>
                <c:pt idx="8">
                  <c:v>7.62</c:v>
                </c:pt>
                <c:pt idx="9">
                  <c:v>9.99</c:v>
                </c:pt>
                <c:pt idx="10">
                  <c:v>9.3699999999999992</c:v>
                </c:pt>
                <c:pt idx="11">
                  <c:v>7.42</c:v>
                </c:pt>
                <c:pt idx="12">
                  <c:v>8.5299999999999994</c:v>
                </c:pt>
                <c:pt idx="13">
                  <c:v>7.69</c:v>
                </c:pt>
                <c:pt idx="14">
                  <c:v>9.34</c:v>
                </c:pt>
                <c:pt idx="15">
                  <c:v>7.67</c:v>
                </c:pt>
                <c:pt idx="16">
                  <c:v>10.39</c:v>
                </c:pt>
                <c:pt idx="17">
                  <c:v>6.7</c:v>
                </c:pt>
                <c:pt idx="18">
                  <c:v>10.32</c:v>
                </c:pt>
                <c:pt idx="19">
                  <c:v>14.36</c:v>
                </c:pt>
                <c:pt idx="20">
                  <c:v>10.42</c:v>
                </c:pt>
                <c:pt idx="21">
                  <c:v>8.48</c:v>
                </c:pt>
              </c:numCache>
            </c:numRef>
          </c:val>
        </c:ser>
        <c:ser>
          <c:idx val="2"/>
          <c:order val="2"/>
          <c:tx>
            <c:strRef>
              <c:f>工作表5!$D$1:$D$2</c:f>
              <c:strCache>
                <c:ptCount val="1"/>
                <c:pt idx="0">
                  <c:v>102年</c:v>
                </c:pt>
              </c:strCache>
            </c:strRef>
          </c:tx>
          <c:invertIfNegative val="0"/>
          <c:cat>
            <c:strRef>
              <c:f>工作表5!$A$3:$A$24</c:f>
              <c:strCache>
                <c:ptCount val="22"/>
                <c:pt idx="0">
                  <c:v>臺北市</c:v>
                </c:pt>
                <c:pt idx="1">
                  <c:v>新北市</c:v>
                </c:pt>
                <c:pt idx="2">
                  <c:v>臺中市</c:v>
                </c:pt>
                <c:pt idx="3">
                  <c:v>臺南市</c:v>
                </c:pt>
                <c:pt idx="4">
                  <c:v>高雄市</c:v>
                </c:pt>
                <c:pt idx="5">
                  <c:v>桃園市</c:v>
                </c:pt>
                <c:pt idx="6">
                  <c:v>宜蘭縣</c:v>
                </c:pt>
                <c:pt idx="7">
                  <c:v>新竹縣</c:v>
                </c:pt>
                <c:pt idx="8">
                  <c:v>苗栗縣</c:v>
                </c:pt>
                <c:pt idx="9">
                  <c:v>彰化縣</c:v>
                </c:pt>
                <c:pt idx="10">
                  <c:v>南投縣</c:v>
                </c:pt>
                <c:pt idx="11">
                  <c:v>雲林縣</c:v>
                </c:pt>
                <c:pt idx="12">
                  <c:v>嘉義縣</c:v>
                </c:pt>
                <c:pt idx="13">
                  <c:v>屏東縣</c:v>
                </c:pt>
                <c:pt idx="14">
                  <c:v>臺東縣</c:v>
                </c:pt>
                <c:pt idx="15">
                  <c:v>花蓮縣</c:v>
                </c:pt>
                <c:pt idx="16">
                  <c:v>澎湖縣</c:v>
                </c:pt>
                <c:pt idx="17">
                  <c:v>基隆市</c:v>
                </c:pt>
                <c:pt idx="18">
                  <c:v>新竹市</c:v>
                </c:pt>
                <c:pt idx="19">
                  <c:v>嘉義市</c:v>
                </c:pt>
                <c:pt idx="20">
                  <c:v>金門縣</c:v>
                </c:pt>
                <c:pt idx="21">
                  <c:v>連江縣</c:v>
                </c:pt>
              </c:strCache>
            </c:strRef>
          </c:cat>
          <c:val>
            <c:numRef>
              <c:f>工作表5!$D$3:$D$24</c:f>
              <c:numCache>
                <c:formatCode>General</c:formatCode>
                <c:ptCount val="22"/>
                <c:pt idx="0">
                  <c:v>3.96</c:v>
                </c:pt>
                <c:pt idx="1">
                  <c:v>10.01</c:v>
                </c:pt>
                <c:pt idx="2">
                  <c:v>11.2</c:v>
                </c:pt>
                <c:pt idx="3">
                  <c:v>9.34</c:v>
                </c:pt>
                <c:pt idx="4">
                  <c:v>4.8899999999999997</c:v>
                </c:pt>
                <c:pt idx="5">
                  <c:v>15.89</c:v>
                </c:pt>
                <c:pt idx="6">
                  <c:v>12.33</c:v>
                </c:pt>
                <c:pt idx="7">
                  <c:v>8.14</c:v>
                </c:pt>
                <c:pt idx="8">
                  <c:v>11.09</c:v>
                </c:pt>
                <c:pt idx="9">
                  <c:v>13.46</c:v>
                </c:pt>
                <c:pt idx="10">
                  <c:v>9.2799999999999994</c:v>
                </c:pt>
                <c:pt idx="11">
                  <c:v>8.56</c:v>
                </c:pt>
                <c:pt idx="12">
                  <c:v>7.63</c:v>
                </c:pt>
                <c:pt idx="13">
                  <c:v>8.2200000000000006</c:v>
                </c:pt>
                <c:pt idx="14">
                  <c:v>8.76</c:v>
                </c:pt>
                <c:pt idx="15">
                  <c:v>7.89</c:v>
                </c:pt>
                <c:pt idx="16">
                  <c:v>5.7</c:v>
                </c:pt>
                <c:pt idx="17">
                  <c:v>12.5</c:v>
                </c:pt>
                <c:pt idx="18">
                  <c:v>10.34</c:v>
                </c:pt>
                <c:pt idx="19">
                  <c:v>12.73</c:v>
                </c:pt>
                <c:pt idx="20">
                  <c:v>9.69</c:v>
                </c:pt>
                <c:pt idx="21">
                  <c:v>12.17</c:v>
                </c:pt>
              </c:numCache>
            </c:numRef>
          </c:val>
        </c:ser>
        <c:ser>
          <c:idx val="3"/>
          <c:order val="3"/>
          <c:tx>
            <c:strRef>
              <c:f>工作表5!$E$1:$E$2</c:f>
              <c:strCache>
                <c:ptCount val="1"/>
                <c:pt idx="0">
                  <c:v>103年</c:v>
                </c:pt>
              </c:strCache>
            </c:strRef>
          </c:tx>
          <c:invertIfNegative val="0"/>
          <c:cat>
            <c:strRef>
              <c:f>工作表5!$A$3:$A$24</c:f>
              <c:strCache>
                <c:ptCount val="22"/>
                <c:pt idx="0">
                  <c:v>臺北市</c:v>
                </c:pt>
                <c:pt idx="1">
                  <c:v>新北市</c:v>
                </c:pt>
                <c:pt idx="2">
                  <c:v>臺中市</c:v>
                </c:pt>
                <c:pt idx="3">
                  <c:v>臺南市</c:v>
                </c:pt>
                <c:pt idx="4">
                  <c:v>高雄市</c:v>
                </c:pt>
                <c:pt idx="5">
                  <c:v>桃園市</c:v>
                </c:pt>
                <c:pt idx="6">
                  <c:v>宜蘭縣</c:v>
                </c:pt>
                <c:pt idx="7">
                  <c:v>新竹縣</c:v>
                </c:pt>
                <c:pt idx="8">
                  <c:v>苗栗縣</c:v>
                </c:pt>
                <c:pt idx="9">
                  <c:v>彰化縣</c:v>
                </c:pt>
                <c:pt idx="10">
                  <c:v>南投縣</c:v>
                </c:pt>
                <c:pt idx="11">
                  <c:v>雲林縣</c:v>
                </c:pt>
                <c:pt idx="12">
                  <c:v>嘉義縣</c:v>
                </c:pt>
                <c:pt idx="13">
                  <c:v>屏東縣</c:v>
                </c:pt>
                <c:pt idx="14">
                  <c:v>臺東縣</c:v>
                </c:pt>
                <c:pt idx="15">
                  <c:v>花蓮縣</c:v>
                </c:pt>
                <c:pt idx="16">
                  <c:v>澎湖縣</c:v>
                </c:pt>
                <c:pt idx="17">
                  <c:v>基隆市</c:v>
                </c:pt>
                <c:pt idx="18">
                  <c:v>新竹市</c:v>
                </c:pt>
                <c:pt idx="19">
                  <c:v>嘉義市</c:v>
                </c:pt>
                <c:pt idx="20">
                  <c:v>金門縣</c:v>
                </c:pt>
                <c:pt idx="21">
                  <c:v>連江縣</c:v>
                </c:pt>
              </c:strCache>
            </c:strRef>
          </c:cat>
          <c:val>
            <c:numRef>
              <c:f>工作表5!$E$3:$E$24</c:f>
              <c:numCache>
                <c:formatCode>General</c:formatCode>
                <c:ptCount val="22"/>
                <c:pt idx="0">
                  <c:v>5.42</c:v>
                </c:pt>
                <c:pt idx="1">
                  <c:v>11.33</c:v>
                </c:pt>
                <c:pt idx="2">
                  <c:v>12.97</c:v>
                </c:pt>
                <c:pt idx="3">
                  <c:v>10.02</c:v>
                </c:pt>
                <c:pt idx="4">
                  <c:v>6.3</c:v>
                </c:pt>
                <c:pt idx="5">
                  <c:v>15.54</c:v>
                </c:pt>
                <c:pt idx="6">
                  <c:v>15.53</c:v>
                </c:pt>
                <c:pt idx="7">
                  <c:v>10.72</c:v>
                </c:pt>
                <c:pt idx="8">
                  <c:v>13.95</c:v>
                </c:pt>
                <c:pt idx="9">
                  <c:v>13.49</c:v>
                </c:pt>
                <c:pt idx="10">
                  <c:v>10.08</c:v>
                </c:pt>
                <c:pt idx="11">
                  <c:v>9.9499999999999993</c:v>
                </c:pt>
                <c:pt idx="12">
                  <c:v>11.26</c:v>
                </c:pt>
                <c:pt idx="13">
                  <c:v>9.36</c:v>
                </c:pt>
                <c:pt idx="14">
                  <c:v>10.55</c:v>
                </c:pt>
                <c:pt idx="15">
                  <c:v>12.72</c:v>
                </c:pt>
                <c:pt idx="16">
                  <c:v>9.83</c:v>
                </c:pt>
                <c:pt idx="17">
                  <c:v>15.59</c:v>
                </c:pt>
                <c:pt idx="18">
                  <c:v>14.6</c:v>
                </c:pt>
                <c:pt idx="19">
                  <c:v>16.559999999999999</c:v>
                </c:pt>
                <c:pt idx="20">
                  <c:v>10.06</c:v>
                </c:pt>
                <c:pt idx="21">
                  <c:v>13.81</c:v>
                </c:pt>
              </c:numCache>
            </c:numRef>
          </c:val>
        </c:ser>
        <c:ser>
          <c:idx val="4"/>
          <c:order val="4"/>
          <c:tx>
            <c:strRef>
              <c:f>工作表5!$F$1:$F$2</c:f>
              <c:strCache>
                <c:ptCount val="1"/>
                <c:pt idx="0">
                  <c:v>104年</c:v>
                </c:pt>
              </c:strCache>
            </c:strRef>
          </c:tx>
          <c:invertIfNegative val="0"/>
          <c:cat>
            <c:strRef>
              <c:f>工作表5!$A$3:$A$24</c:f>
              <c:strCache>
                <c:ptCount val="22"/>
                <c:pt idx="0">
                  <c:v>臺北市</c:v>
                </c:pt>
                <c:pt idx="1">
                  <c:v>新北市</c:v>
                </c:pt>
                <c:pt idx="2">
                  <c:v>臺中市</c:v>
                </c:pt>
                <c:pt idx="3">
                  <c:v>臺南市</c:v>
                </c:pt>
                <c:pt idx="4">
                  <c:v>高雄市</c:v>
                </c:pt>
                <c:pt idx="5">
                  <c:v>桃園市</c:v>
                </c:pt>
                <c:pt idx="6">
                  <c:v>宜蘭縣</c:v>
                </c:pt>
                <c:pt idx="7">
                  <c:v>新竹縣</c:v>
                </c:pt>
                <c:pt idx="8">
                  <c:v>苗栗縣</c:v>
                </c:pt>
                <c:pt idx="9">
                  <c:v>彰化縣</c:v>
                </c:pt>
                <c:pt idx="10">
                  <c:v>南投縣</c:v>
                </c:pt>
                <c:pt idx="11">
                  <c:v>雲林縣</c:v>
                </c:pt>
                <c:pt idx="12">
                  <c:v>嘉義縣</c:v>
                </c:pt>
                <c:pt idx="13">
                  <c:v>屏東縣</c:v>
                </c:pt>
                <c:pt idx="14">
                  <c:v>臺東縣</c:v>
                </c:pt>
                <c:pt idx="15">
                  <c:v>花蓮縣</c:v>
                </c:pt>
                <c:pt idx="16">
                  <c:v>澎湖縣</c:v>
                </c:pt>
                <c:pt idx="17">
                  <c:v>基隆市</c:v>
                </c:pt>
                <c:pt idx="18">
                  <c:v>新竹市</c:v>
                </c:pt>
                <c:pt idx="19">
                  <c:v>嘉義市</c:v>
                </c:pt>
                <c:pt idx="20">
                  <c:v>金門縣</c:v>
                </c:pt>
                <c:pt idx="21">
                  <c:v>連江縣</c:v>
                </c:pt>
              </c:strCache>
            </c:strRef>
          </c:cat>
          <c:val>
            <c:numRef>
              <c:f>工作表5!$F$3:$F$24</c:f>
              <c:numCache>
                <c:formatCode>General</c:formatCode>
                <c:ptCount val="22"/>
                <c:pt idx="0">
                  <c:v>8.84</c:v>
                </c:pt>
                <c:pt idx="1">
                  <c:v>10.5</c:v>
                </c:pt>
                <c:pt idx="2">
                  <c:v>12.81</c:v>
                </c:pt>
                <c:pt idx="3">
                  <c:v>12.97</c:v>
                </c:pt>
                <c:pt idx="4">
                  <c:v>7.73</c:v>
                </c:pt>
                <c:pt idx="5">
                  <c:v>10.96</c:v>
                </c:pt>
                <c:pt idx="6">
                  <c:v>17.36</c:v>
                </c:pt>
                <c:pt idx="7">
                  <c:v>11.54</c:v>
                </c:pt>
                <c:pt idx="8">
                  <c:v>14.61</c:v>
                </c:pt>
                <c:pt idx="9">
                  <c:v>8.73</c:v>
                </c:pt>
                <c:pt idx="10">
                  <c:v>11.57</c:v>
                </c:pt>
                <c:pt idx="11">
                  <c:v>13.25</c:v>
                </c:pt>
                <c:pt idx="12">
                  <c:v>12.03</c:v>
                </c:pt>
                <c:pt idx="13">
                  <c:v>10.74</c:v>
                </c:pt>
                <c:pt idx="14">
                  <c:v>11.18</c:v>
                </c:pt>
                <c:pt idx="15">
                  <c:v>12.45</c:v>
                </c:pt>
                <c:pt idx="16">
                  <c:v>14.03</c:v>
                </c:pt>
                <c:pt idx="17">
                  <c:v>17.75</c:v>
                </c:pt>
                <c:pt idx="18">
                  <c:v>15.87</c:v>
                </c:pt>
                <c:pt idx="19">
                  <c:v>14.45</c:v>
                </c:pt>
                <c:pt idx="20">
                  <c:v>7.05</c:v>
                </c:pt>
                <c:pt idx="21">
                  <c:v>25.67</c:v>
                </c:pt>
              </c:numCache>
            </c:numRef>
          </c:val>
        </c:ser>
        <c:ser>
          <c:idx val="5"/>
          <c:order val="5"/>
          <c:tx>
            <c:strRef>
              <c:f>工作表5!$G$1:$G$2</c:f>
              <c:strCache>
                <c:ptCount val="1"/>
                <c:pt idx="0">
                  <c:v>105年</c:v>
                </c:pt>
              </c:strCache>
            </c:strRef>
          </c:tx>
          <c:invertIfNegative val="0"/>
          <c:cat>
            <c:strRef>
              <c:f>工作表5!$A$3:$A$24</c:f>
              <c:strCache>
                <c:ptCount val="22"/>
                <c:pt idx="0">
                  <c:v>臺北市</c:v>
                </c:pt>
                <c:pt idx="1">
                  <c:v>新北市</c:v>
                </c:pt>
                <c:pt idx="2">
                  <c:v>臺中市</c:v>
                </c:pt>
                <c:pt idx="3">
                  <c:v>臺南市</c:v>
                </c:pt>
                <c:pt idx="4">
                  <c:v>高雄市</c:v>
                </c:pt>
                <c:pt idx="5">
                  <c:v>桃園市</c:v>
                </c:pt>
                <c:pt idx="6">
                  <c:v>宜蘭縣</c:v>
                </c:pt>
                <c:pt idx="7">
                  <c:v>新竹縣</c:v>
                </c:pt>
                <c:pt idx="8">
                  <c:v>苗栗縣</c:v>
                </c:pt>
                <c:pt idx="9">
                  <c:v>彰化縣</c:v>
                </c:pt>
                <c:pt idx="10">
                  <c:v>南投縣</c:v>
                </c:pt>
                <c:pt idx="11">
                  <c:v>雲林縣</c:v>
                </c:pt>
                <c:pt idx="12">
                  <c:v>嘉義縣</c:v>
                </c:pt>
                <c:pt idx="13">
                  <c:v>屏東縣</c:v>
                </c:pt>
                <c:pt idx="14">
                  <c:v>臺東縣</c:v>
                </c:pt>
                <c:pt idx="15">
                  <c:v>花蓮縣</c:v>
                </c:pt>
                <c:pt idx="16">
                  <c:v>澎湖縣</c:v>
                </c:pt>
                <c:pt idx="17">
                  <c:v>基隆市</c:v>
                </c:pt>
                <c:pt idx="18">
                  <c:v>新竹市</c:v>
                </c:pt>
                <c:pt idx="19">
                  <c:v>嘉義市</c:v>
                </c:pt>
                <c:pt idx="20">
                  <c:v>金門縣</c:v>
                </c:pt>
                <c:pt idx="21">
                  <c:v>連江縣</c:v>
                </c:pt>
              </c:strCache>
            </c:strRef>
          </c:cat>
          <c:val>
            <c:numRef>
              <c:f>工作表5!$G$3:$G$24</c:f>
              <c:numCache>
                <c:formatCode>General</c:formatCode>
                <c:ptCount val="22"/>
                <c:pt idx="0">
                  <c:v>8.6300000000000008</c:v>
                </c:pt>
                <c:pt idx="1">
                  <c:v>8.91</c:v>
                </c:pt>
                <c:pt idx="2">
                  <c:v>9.91</c:v>
                </c:pt>
                <c:pt idx="3">
                  <c:v>11.07</c:v>
                </c:pt>
                <c:pt idx="4">
                  <c:v>9.35</c:v>
                </c:pt>
                <c:pt idx="5">
                  <c:v>10.44</c:v>
                </c:pt>
                <c:pt idx="6">
                  <c:v>14.44</c:v>
                </c:pt>
                <c:pt idx="7">
                  <c:v>11.62</c:v>
                </c:pt>
                <c:pt idx="8">
                  <c:v>22.91</c:v>
                </c:pt>
                <c:pt idx="9">
                  <c:v>8.9499999999999993</c:v>
                </c:pt>
                <c:pt idx="10">
                  <c:v>14.03</c:v>
                </c:pt>
                <c:pt idx="11">
                  <c:v>13.32</c:v>
                </c:pt>
                <c:pt idx="12">
                  <c:v>11.25</c:v>
                </c:pt>
                <c:pt idx="13">
                  <c:v>13.16</c:v>
                </c:pt>
                <c:pt idx="14">
                  <c:v>12.85</c:v>
                </c:pt>
                <c:pt idx="15">
                  <c:v>22.33</c:v>
                </c:pt>
                <c:pt idx="16">
                  <c:v>16.989999999999998</c:v>
                </c:pt>
                <c:pt idx="17">
                  <c:v>17.13</c:v>
                </c:pt>
                <c:pt idx="18">
                  <c:v>16.66</c:v>
                </c:pt>
                <c:pt idx="19">
                  <c:v>15.55</c:v>
                </c:pt>
                <c:pt idx="20">
                  <c:v>14.88</c:v>
                </c:pt>
                <c:pt idx="21">
                  <c:v>31.99</c:v>
                </c:pt>
              </c:numCache>
            </c:numRef>
          </c:val>
        </c:ser>
        <c:dLbls>
          <c:showLegendKey val="0"/>
          <c:showVal val="0"/>
          <c:showCatName val="0"/>
          <c:showSerName val="0"/>
          <c:showPercent val="0"/>
          <c:showBubbleSize val="0"/>
        </c:dLbls>
        <c:gapWidth val="150"/>
        <c:shape val="box"/>
        <c:axId val="579119944"/>
        <c:axId val="579119160"/>
        <c:axId val="0"/>
      </c:bar3DChart>
      <c:catAx>
        <c:axId val="579119944"/>
        <c:scaling>
          <c:orientation val="minMax"/>
        </c:scaling>
        <c:delete val="0"/>
        <c:axPos val="b"/>
        <c:numFmt formatCode="General" sourceLinked="0"/>
        <c:majorTickMark val="out"/>
        <c:minorTickMark val="none"/>
        <c:tickLblPos val="nextTo"/>
        <c:txPr>
          <a:bodyPr/>
          <a:lstStyle/>
          <a:p>
            <a:pPr>
              <a:defRPr sz="850" spc="-60" baseline="0">
                <a:latin typeface="標楷體" panose="03000509000000000000" pitchFamily="65" charset="-120"/>
                <a:ea typeface="標楷體" panose="03000509000000000000" pitchFamily="65" charset="-120"/>
              </a:defRPr>
            </a:pPr>
            <a:endParaRPr lang="zh-TW"/>
          </a:p>
        </c:txPr>
        <c:crossAx val="579119160"/>
        <c:crosses val="autoZero"/>
        <c:auto val="1"/>
        <c:lblAlgn val="ctr"/>
        <c:lblOffset val="100"/>
        <c:noMultiLvlLbl val="0"/>
      </c:catAx>
      <c:valAx>
        <c:axId val="579119160"/>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579119944"/>
        <c:crosses val="autoZero"/>
        <c:crossBetween val="between"/>
      </c:valAx>
    </c:plotArea>
    <c:legend>
      <c:legendPos val="r"/>
      <c:layout>
        <c:manualLayout>
          <c:xMode val="edge"/>
          <c:yMode val="edge"/>
          <c:x val="0.94492030463405186"/>
          <c:y val="0.36860784207298319"/>
          <c:w val="4.7201417736168809E-2"/>
          <c:h val="0.26278411256617784"/>
        </c:manualLayout>
      </c:layout>
      <c:overlay val="0"/>
      <c:txPr>
        <a:bodyPr/>
        <a:lstStyle/>
        <a:p>
          <a:pPr>
            <a:defRPr spc="-50" baseline="0">
              <a:latin typeface="Times New Roman" panose="02020603050405020304" pitchFamily="18" charset="0"/>
              <a:ea typeface="標楷體" panose="03000509000000000000" pitchFamily="65" charset="-120"/>
              <a:cs typeface="Times New Roman" panose="02020603050405020304" pitchFamily="18" charset="0"/>
            </a:defRPr>
          </a:pPr>
          <a:endParaRPr lang="zh-TW"/>
        </a:p>
      </c:txPr>
    </c:legend>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工作表4!$B$9</c:f>
              <c:strCache>
                <c:ptCount val="1"/>
                <c:pt idx="0">
                  <c:v>101年</c:v>
                </c:pt>
              </c:strCache>
            </c:strRef>
          </c:tx>
          <c:invertIfNegative val="0"/>
          <c:cat>
            <c:strRef>
              <c:f>工作表4!$A$10:$A$15</c:f>
              <c:strCache>
                <c:ptCount val="6"/>
                <c:pt idx="0">
                  <c:v>兒少福利</c:v>
                </c:pt>
                <c:pt idx="1">
                  <c:v>福女福利</c:v>
                </c:pt>
                <c:pt idx="2">
                  <c:v>老人福利</c:v>
                </c:pt>
                <c:pt idx="3">
                  <c:v>身心障礙者福利</c:v>
                </c:pt>
                <c:pt idx="4">
                  <c:v>社會救助</c:v>
                </c:pt>
                <c:pt idx="5">
                  <c:v>其他福利</c:v>
                </c:pt>
              </c:strCache>
            </c:strRef>
          </c:cat>
          <c:val>
            <c:numRef>
              <c:f>工作表4!$B$10:$B$15</c:f>
              <c:numCache>
                <c:formatCode>0.00_);\(0.00\)</c:formatCode>
                <c:ptCount val="6"/>
                <c:pt idx="0">
                  <c:v>15.14</c:v>
                </c:pt>
                <c:pt idx="1">
                  <c:v>2.8</c:v>
                </c:pt>
                <c:pt idx="2">
                  <c:v>22.8</c:v>
                </c:pt>
                <c:pt idx="3">
                  <c:v>33.81</c:v>
                </c:pt>
                <c:pt idx="4">
                  <c:v>16.96</c:v>
                </c:pt>
                <c:pt idx="5">
                  <c:v>8.49</c:v>
                </c:pt>
              </c:numCache>
            </c:numRef>
          </c:val>
        </c:ser>
        <c:ser>
          <c:idx val="1"/>
          <c:order val="1"/>
          <c:tx>
            <c:strRef>
              <c:f>工作表4!$C$9</c:f>
              <c:strCache>
                <c:ptCount val="1"/>
                <c:pt idx="0">
                  <c:v>102年</c:v>
                </c:pt>
              </c:strCache>
            </c:strRef>
          </c:tx>
          <c:invertIfNegative val="0"/>
          <c:cat>
            <c:strRef>
              <c:f>工作表4!$A$10:$A$15</c:f>
              <c:strCache>
                <c:ptCount val="6"/>
                <c:pt idx="0">
                  <c:v>兒少福利</c:v>
                </c:pt>
                <c:pt idx="1">
                  <c:v>福女福利</c:v>
                </c:pt>
                <c:pt idx="2">
                  <c:v>老人福利</c:v>
                </c:pt>
                <c:pt idx="3">
                  <c:v>身心障礙者福利</c:v>
                </c:pt>
                <c:pt idx="4">
                  <c:v>社會救助</c:v>
                </c:pt>
                <c:pt idx="5">
                  <c:v>其他福利</c:v>
                </c:pt>
              </c:strCache>
            </c:strRef>
          </c:cat>
          <c:val>
            <c:numRef>
              <c:f>工作表4!$C$10:$C$15</c:f>
              <c:numCache>
                <c:formatCode>0.00_);\(0.00\)</c:formatCode>
                <c:ptCount val="6"/>
                <c:pt idx="0">
                  <c:v>19.920000000000002</c:v>
                </c:pt>
                <c:pt idx="1">
                  <c:v>2.1</c:v>
                </c:pt>
                <c:pt idx="2">
                  <c:v>17.940000000000001</c:v>
                </c:pt>
                <c:pt idx="3">
                  <c:v>32.82</c:v>
                </c:pt>
                <c:pt idx="4">
                  <c:v>19.18</c:v>
                </c:pt>
                <c:pt idx="5">
                  <c:v>8.0399999999999991</c:v>
                </c:pt>
              </c:numCache>
            </c:numRef>
          </c:val>
        </c:ser>
        <c:ser>
          <c:idx val="2"/>
          <c:order val="2"/>
          <c:tx>
            <c:strRef>
              <c:f>工作表4!$D$9</c:f>
              <c:strCache>
                <c:ptCount val="1"/>
                <c:pt idx="0">
                  <c:v>103年</c:v>
                </c:pt>
              </c:strCache>
            </c:strRef>
          </c:tx>
          <c:invertIfNegative val="0"/>
          <c:cat>
            <c:strRef>
              <c:f>工作表4!$A$10:$A$15</c:f>
              <c:strCache>
                <c:ptCount val="6"/>
                <c:pt idx="0">
                  <c:v>兒少福利</c:v>
                </c:pt>
                <c:pt idx="1">
                  <c:v>福女福利</c:v>
                </c:pt>
                <c:pt idx="2">
                  <c:v>老人福利</c:v>
                </c:pt>
                <c:pt idx="3">
                  <c:v>身心障礙者福利</c:v>
                </c:pt>
                <c:pt idx="4">
                  <c:v>社會救助</c:v>
                </c:pt>
                <c:pt idx="5">
                  <c:v>其他福利</c:v>
                </c:pt>
              </c:strCache>
            </c:strRef>
          </c:cat>
          <c:val>
            <c:numRef>
              <c:f>工作表4!$D$10:$D$15</c:f>
              <c:numCache>
                <c:formatCode>0.00_);\(0.00\)</c:formatCode>
                <c:ptCount val="6"/>
                <c:pt idx="0">
                  <c:v>14.01</c:v>
                </c:pt>
                <c:pt idx="1">
                  <c:v>2.16</c:v>
                </c:pt>
                <c:pt idx="2">
                  <c:v>17.54</c:v>
                </c:pt>
                <c:pt idx="3">
                  <c:v>44.23</c:v>
                </c:pt>
                <c:pt idx="4">
                  <c:v>14.71</c:v>
                </c:pt>
                <c:pt idx="5">
                  <c:v>7.34</c:v>
                </c:pt>
              </c:numCache>
            </c:numRef>
          </c:val>
        </c:ser>
        <c:ser>
          <c:idx val="3"/>
          <c:order val="3"/>
          <c:tx>
            <c:strRef>
              <c:f>工作表4!$E$9</c:f>
              <c:strCache>
                <c:ptCount val="1"/>
                <c:pt idx="0">
                  <c:v>104年</c:v>
                </c:pt>
              </c:strCache>
            </c:strRef>
          </c:tx>
          <c:invertIfNegative val="0"/>
          <c:cat>
            <c:strRef>
              <c:f>工作表4!$A$10:$A$15</c:f>
              <c:strCache>
                <c:ptCount val="6"/>
                <c:pt idx="0">
                  <c:v>兒少福利</c:v>
                </c:pt>
                <c:pt idx="1">
                  <c:v>福女福利</c:v>
                </c:pt>
                <c:pt idx="2">
                  <c:v>老人福利</c:v>
                </c:pt>
                <c:pt idx="3">
                  <c:v>身心障礙者福利</c:v>
                </c:pt>
                <c:pt idx="4">
                  <c:v>社會救助</c:v>
                </c:pt>
                <c:pt idx="5">
                  <c:v>其他福利</c:v>
                </c:pt>
              </c:strCache>
            </c:strRef>
          </c:cat>
          <c:val>
            <c:numRef>
              <c:f>工作表4!$E$10:$E$15</c:f>
              <c:numCache>
                <c:formatCode>0.00_);\(0.00\)</c:formatCode>
                <c:ptCount val="6"/>
                <c:pt idx="0">
                  <c:v>12.73</c:v>
                </c:pt>
                <c:pt idx="1">
                  <c:v>1.95</c:v>
                </c:pt>
                <c:pt idx="2">
                  <c:v>19.53</c:v>
                </c:pt>
                <c:pt idx="3">
                  <c:v>44.23</c:v>
                </c:pt>
                <c:pt idx="4">
                  <c:v>14.62</c:v>
                </c:pt>
                <c:pt idx="5">
                  <c:v>6.94</c:v>
                </c:pt>
              </c:numCache>
            </c:numRef>
          </c:val>
        </c:ser>
        <c:ser>
          <c:idx val="4"/>
          <c:order val="4"/>
          <c:tx>
            <c:strRef>
              <c:f>工作表4!$F$9</c:f>
              <c:strCache>
                <c:ptCount val="1"/>
                <c:pt idx="0">
                  <c:v>105年</c:v>
                </c:pt>
              </c:strCache>
            </c:strRef>
          </c:tx>
          <c:invertIfNegative val="0"/>
          <c:cat>
            <c:strRef>
              <c:f>工作表4!$A$10:$A$15</c:f>
              <c:strCache>
                <c:ptCount val="6"/>
                <c:pt idx="0">
                  <c:v>兒少福利</c:v>
                </c:pt>
                <c:pt idx="1">
                  <c:v>福女福利</c:v>
                </c:pt>
                <c:pt idx="2">
                  <c:v>老人福利</c:v>
                </c:pt>
                <c:pt idx="3">
                  <c:v>身心障礙者福利</c:v>
                </c:pt>
                <c:pt idx="4">
                  <c:v>社會救助</c:v>
                </c:pt>
                <c:pt idx="5">
                  <c:v>其他福利</c:v>
                </c:pt>
              </c:strCache>
            </c:strRef>
          </c:cat>
          <c:val>
            <c:numRef>
              <c:f>工作表4!$F$10:$F$15</c:f>
              <c:numCache>
                <c:formatCode>0.00_);\(0.00\)</c:formatCode>
                <c:ptCount val="6"/>
                <c:pt idx="0">
                  <c:v>13.67</c:v>
                </c:pt>
                <c:pt idx="1">
                  <c:v>2.16</c:v>
                </c:pt>
                <c:pt idx="2">
                  <c:v>20.66</c:v>
                </c:pt>
                <c:pt idx="3">
                  <c:v>42.83</c:v>
                </c:pt>
                <c:pt idx="4">
                  <c:v>13.7</c:v>
                </c:pt>
                <c:pt idx="5">
                  <c:v>6.98</c:v>
                </c:pt>
              </c:numCache>
            </c:numRef>
          </c:val>
        </c:ser>
        <c:dLbls>
          <c:showLegendKey val="0"/>
          <c:showVal val="0"/>
          <c:showCatName val="0"/>
          <c:showSerName val="0"/>
          <c:showPercent val="0"/>
          <c:showBubbleSize val="0"/>
        </c:dLbls>
        <c:gapWidth val="150"/>
        <c:shape val="box"/>
        <c:axId val="579503840"/>
        <c:axId val="579504232"/>
        <c:axId val="0"/>
      </c:bar3DChart>
      <c:catAx>
        <c:axId val="579503840"/>
        <c:scaling>
          <c:orientation val="minMax"/>
        </c:scaling>
        <c:delete val="0"/>
        <c:axPos val="b"/>
        <c:numFmt formatCode="General" sourceLinked="0"/>
        <c:majorTickMark val="none"/>
        <c:minorTickMark val="none"/>
        <c:tickLblPos val="nextTo"/>
        <c:crossAx val="579504232"/>
        <c:crosses val="autoZero"/>
        <c:auto val="1"/>
        <c:lblAlgn val="ctr"/>
        <c:lblOffset val="100"/>
        <c:noMultiLvlLbl val="0"/>
      </c:catAx>
      <c:valAx>
        <c:axId val="579504232"/>
        <c:scaling>
          <c:orientation val="minMax"/>
        </c:scaling>
        <c:delete val="0"/>
        <c:axPos val="l"/>
        <c:majorGridlines/>
        <c:numFmt formatCode="0.00_);\(0.0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579503840"/>
        <c:crosses val="autoZero"/>
        <c:crossBetween val="between"/>
      </c:valAx>
      <c:dTable>
        <c:showHorzBorder val="1"/>
        <c:showVertBorder val="1"/>
        <c:showOutline val="1"/>
        <c:showKeys val="1"/>
        <c:txPr>
          <a:bodyPr/>
          <a:lstStyle/>
          <a:p>
            <a:pPr rtl="0">
              <a:lnSpc>
                <a:spcPts val="1000"/>
              </a:lnSpc>
              <a:defRPr>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plotArea>
    <c:plotVisOnly val="1"/>
    <c:dispBlanksAs val="gap"/>
    <c:showDLblsOverMax val="0"/>
  </c:chart>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1306061359709214E-2"/>
          <c:y val="3.7119758224805649E-2"/>
          <c:w val="0.89197335323099425"/>
          <c:h val="0.88995336378075751"/>
        </c:manualLayout>
      </c:layout>
      <c:bar3DChart>
        <c:barDir val="col"/>
        <c:grouping val="clustered"/>
        <c:varyColors val="0"/>
        <c:ser>
          <c:idx val="0"/>
          <c:order val="0"/>
          <c:tx>
            <c:strRef>
              <c:f>工作表7!$B$1</c:f>
              <c:strCache>
                <c:ptCount val="1"/>
                <c:pt idx="0">
                  <c:v>101年</c:v>
                </c:pt>
              </c:strCache>
            </c:strRef>
          </c:tx>
          <c:invertIfNegative val="0"/>
          <c:cat>
            <c:strRef>
              <c:f>工作表7!$A$2:$A$23</c:f>
              <c:strCache>
                <c:ptCount val="22"/>
                <c:pt idx="0">
                  <c:v>臺北市</c:v>
                </c:pt>
                <c:pt idx="1">
                  <c:v>新北市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花蓮縣</c:v>
                </c:pt>
                <c:pt idx="15">
                  <c:v>臺東縣</c:v>
                </c:pt>
                <c:pt idx="16">
                  <c:v>澎湖縣</c:v>
                </c:pt>
                <c:pt idx="17">
                  <c:v>基隆市</c:v>
                </c:pt>
                <c:pt idx="18">
                  <c:v>新竹市</c:v>
                </c:pt>
                <c:pt idx="19">
                  <c:v>嘉義市</c:v>
                </c:pt>
                <c:pt idx="20">
                  <c:v>金門縣</c:v>
                </c:pt>
                <c:pt idx="21">
                  <c:v>連江縣</c:v>
                </c:pt>
              </c:strCache>
            </c:strRef>
          </c:cat>
          <c:val>
            <c:numRef>
              <c:f>工作表7!$B$2:$B$23</c:f>
              <c:numCache>
                <c:formatCode>#,##0.00_);\(#,##0.00\)</c:formatCode>
                <c:ptCount val="22"/>
                <c:pt idx="0">
                  <c:v>0</c:v>
                </c:pt>
                <c:pt idx="1">
                  <c:v>44.47</c:v>
                </c:pt>
                <c:pt idx="2">
                  <c:v>43.65</c:v>
                </c:pt>
                <c:pt idx="3">
                  <c:v>0</c:v>
                </c:pt>
                <c:pt idx="4">
                  <c:v>89.73</c:v>
                </c:pt>
                <c:pt idx="5">
                  <c:v>13.09</c:v>
                </c:pt>
                <c:pt idx="6">
                  <c:v>50.88</c:v>
                </c:pt>
                <c:pt idx="7">
                  <c:v>12</c:v>
                </c:pt>
                <c:pt idx="8">
                  <c:v>0</c:v>
                </c:pt>
                <c:pt idx="9">
                  <c:v>6.5</c:v>
                </c:pt>
                <c:pt idx="10">
                  <c:v>3</c:v>
                </c:pt>
                <c:pt idx="11">
                  <c:v>74.5</c:v>
                </c:pt>
                <c:pt idx="12">
                  <c:v>69</c:v>
                </c:pt>
                <c:pt idx="13">
                  <c:v>32</c:v>
                </c:pt>
                <c:pt idx="14">
                  <c:v>15.44</c:v>
                </c:pt>
                <c:pt idx="15">
                  <c:v>10.57</c:v>
                </c:pt>
                <c:pt idx="16">
                  <c:v>0</c:v>
                </c:pt>
                <c:pt idx="17">
                  <c:v>0</c:v>
                </c:pt>
                <c:pt idx="18">
                  <c:v>5.84</c:v>
                </c:pt>
                <c:pt idx="19">
                  <c:v>58.64</c:v>
                </c:pt>
                <c:pt idx="20">
                  <c:v>0</c:v>
                </c:pt>
                <c:pt idx="21">
                  <c:v>0</c:v>
                </c:pt>
              </c:numCache>
            </c:numRef>
          </c:val>
        </c:ser>
        <c:ser>
          <c:idx val="1"/>
          <c:order val="1"/>
          <c:tx>
            <c:strRef>
              <c:f>工作表7!$C$1</c:f>
              <c:strCache>
                <c:ptCount val="1"/>
                <c:pt idx="0">
                  <c:v>102年</c:v>
                </c:pt>
              </c:strCache>
            </c:strRef>
          </c:tx>
          <c:invertIfNegative val="0"/>
          <c:cat>
            <c:strRef>
              <c:f>工作表7!$A$2:$A$23</c:f>
              <c:strCache>
                <c:ptCount val="22"/>
                <c:pt idx="0">
                  <c:v>臺北市</c:v>
                </c:pt>
                <c:pt idx="1">
                  <c:v>新北市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花蓮縣</c:v>
                </c:pt>
                <c:pt idx="15">
                  <c:v>臺東縣</c:v>
                </c:pt>
                <c:pt idx="16">
                  <c:v>澎湖縣</c:v>
                </c:pt>
                <c:pt idx="17">
                  <c:v>基隆市</c:v>
                </c:pt>
                <c:pt idx="18">
                  <c:v>新竹市</c:v>
                </c:pt>
                <c:pt idx="19">
                  <c:v>嘉義市</c:v>
                </c:pt>
                <c:pt idx="20">
                  <c:v>金門縣</c:v>
                </c:pt>
                <c:pt idx="21">
                  <c:v>連江縣</c:v>
                </c:pt>
              </c:strCache>
            </c:strRef>
          </c:cat>
          <c:val>
            <c:numRef>
              <c:f>工作表7!$C$2:$C$23</c:f>
              <c:numCache>
                <c:formatCode>#,##0.00_);\(#,##0.00\)</c:formatCode>
                <c:ptCount val="22"/>
                <c:pt idx="0">
                  <c:v>0</c:v>
                </c:pt>
                <c:pt idx="1">
                  <c:v>63.36</c:v>
                </c:pt>
                <c:pt idx="2">
                  <c:v>42.49</c:v>
                </c:pt>
                <c:pt idx="3">
                  <c:v>7.64</c:v>
                </c:pt>
                <c:pt idx="4">
                  <c:v>0</c:v>
                </c:pt>
                <c:pt idx="5">
                  <c:v>16.43</c:v>
                </c:pt>
                <c:pt idx="6">
                  <c:v>46</c:v>
                </c:pt>
                <c:pt idx="7">
                  <c:v>16.12</c:v>
                </c:pt>
                <c:pt idx="8">
                  <c:v>29</c:v>
                </c:pt>
                <c:pt idx="9">
                  <c:v>8.93</c:v>
                </c:pt>
                <c:pt idx="10">
                  <c:v>3.77</c:v>
                </c:pt>
                <c:pt idx="11">
                  <c:v>80.5</c:v>
                </c:pt>
                <c:pt idx="12">
                  <c:v>65</c:v>
                </c:pt>
                <c:pt idx="13">
                  <c:v>16.739999999999998</c:v>
                </c:pt>
                <c:pt idx="14">
                  <c:v>16</c:v>
                </c:pt>
                <c:pt idx="15">
                  <c:v>10.72</c:v>
                </c:pt>
                <c:pt idx="16">
                  <c:v>0</c:v>
                </c:pt>
                <c:pt idx="17">
                  <c:v>0</c:v>
                </c:pt>
                <c:pt idx="18">
                  <c:v>9.69</c:v>
                </c:pt>
                <c:pt idx="19">
                  <c:v>52.43</c:v>
                </c:pt>
                <c:pt idx="20">
                  <c:v>0</c:v>
                </c:pt>
                <c:pt idx="21">
                  <c:v>2.8</c:v>
                </c:pt>
              </c:numCache>
            </c:numRef>
          </c:val>
        </c:ser>
        <c:ser>
          <c:idx val="2"/>
          <c:order val="2"/>
          <c:tx>
            <c:strRef>
              <c:f>工作表7!$D$1</c:f>
              <c:strCache>
                <c:ptCount val="1"/>
                <c:pt idx="0">
                  <c:v>103年</c:v>
                </c:pt>
              </c:strCache>
            </c:strRef>
          </c:tx>
          <c:invertIfNegative val="0"/>
          <c:cat>
            <c:strRef>
              <c:f>工作表7!$A$2:$A$23</c:f>
              <c:strCache>
                <c:ptCount val="22"/>
                <c:pt idx="0">
                  <c:v>臺北市</c:v>
                </c:pt>
                <c:pt idx="1">
                  <c:v>新北市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花蓮縣</c:v>
                </c:pt>
                <c:pt idx="15">
                  <c:v>臺東縣</c:v>
                </c:pt>
                <c:pt idx="16">
                  <c:v>澎湖縣</c:v>
                </c:pt>
                <c:pt idx="17">
                  <c:v>基隆市</c:v>
                </c:pt>
                <c:pt idx="18">
                  <c:v>新竹市</c:v>
                </c:pt>
                <c:pt idx="19">
                  <c:v>嘉義市</c:v>
                </c:pt>
                <c:pt idx="20">
                  <c:v>金門縣</c:v>
                </c:pt>
                <c:pt idx="21">
                  <c:v>連江縣</c:v>
                </c:pt>
              </c:strCache>
            </c:strRef>
          </c:cat>
          <c:val>
            <c:numRef>
              <c:f>工作表7!$D$2:$D$23</c:f>
              <c:numCache>
                <c:formatCode>#,##0.00_);\(#,##0.00\)</c:formatCode>
                <c:ptCount val="22"/>
                <c:pt idx="0">
                  <c:v>31.88</c:v>
                </c:pt>
                <c:pt idx="1">
                  <c:v>65.319999999999993</c:v>
                </c:pt>
                <c:pt idx="2">
                  <c:v>0</c:v>
                </c:pt>
                <c:pt idx="3">
                  <c:v>30.49</c:v>
                </c:pt>
                <c:pt idx="4">
                  <c:v>62.11</c:v>
                </c:pt>
                <c:pt idx="5">
                  <c:v>86.68</c:v>
                </c:pt>
                <c:pt idx="6">
                  <c:v>48.92</c:v>
                </c:pt>
                <c:pt idx="7">
                  <c:v>27.24</c:v>
                </c:pt>
                <c:pt idx="8">
                  <c:v>49.34</c:v>
                </c:pt>
                <c:pt idx="9">
                  <c:v>16.670000000000002</c:v>
                </c:pt>
                <c:pt idx="10">
                  <c:v>24.45</c:v>
                </c:pt>
                <c:pt idx="11">
                  <c:v>81.34</c:v>
                </c:pt>
                <c:pt idx="12">
                  <c:v>30.98</c:v>
                </c:pt>
                <c:pt idx="13">
                  <c:v>14.89</c:v>
                </c:pt>
                <c:pt idx="14">
                  <c:v>17.05</c:v>
                </c:pt>
                <c:pt idx="15">
                  <c:v>19.53</c:v>
                </c:pt>
                <c:pt idx="16">
                  <c:v>40.270000000000003</c:v>
                </c:pt>
                <c:pt idx="17">
                  <c:v>40.44</c:v>
                </c:pt>
                <c:pt idx="18">
                  <c:v>39.06</c:v>
                </c:pt>
                <c:pt idx="19">
                  <c:v>41.53</c:v>
                </c:pt>
                <c:pt idx="20">
                  <c:v>0</c:v>
                </c:pt>
                <c:pt idx="21">
                  <c:v>2.0299999999999998</c:v>
                </c:pt>
              </c:numCache>
            </c:numRef>
          </c:val>
        </c:ser>
        <c:ser>
          <c:idx val="3"/>
          <c:order val="3"/>
          <c:tx>
            <c:strRef>
              <c:f>工作表7!$E$1</c:f>
              <c:strCache>
                <c:ptCount val="1"/>
                <c:pt idx="0">
                  <c:v>104年</c:v>
                </c:pt>
              </c:strCache>
            </c:strRef>
          </c:tx>
          <c:invertIfNegative val="0"/>
          <c:cat>
            <c:strRef>
              <c:f>工作表7!$A$2:$A$23</c:f>
              <c:strCache>
                <c:ptCount val="22"/>
                <c:pt idx="0">
                  <c:v>臺北市</c:v>
                </c:pt>
                <c:pt idx="1">
                  <c:v>新北市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花蓮縣</c:v>
                </c:pt>
                <c:pt idx="15">
                  <c:v>臺東縣</c:v>
                </c:pt>
                <c:pt idx="16">
                  <c:v>澎湖縣</c:v>
                </c:pt>
                <c:pt idx="17">
                  <c:v>基隆市</c:v>
                </c:pt>
                <c:pt idx="18">
                  <c:v>新竹市</c:v>
                </c:pt>
                <c:pt idx="19">
                  <c:v>嘉義市</c:v>
                </c:pt>
                <c:pt idx="20">
                  <c:v>金門縣</c:v>
                </c:pt>
                <c:pt idx="21">
                  <c:v>連江縣</c:v>
                </c:pt>
              </c:strCache>
            </c:strRef>
          </c:cat>
          <c:val>
            <c:numRef>
              <c:f>工作表7!$E$2:$E$23</c:f>
              <c:numCache>
                <c:formatCode>#,##0.00_);\(#,##0.00\)</c:formatCode>
                <c:ptCount val="22"/>
                <c:pt idx="0">
                  <c:v>26.68</c:v>
                </c:pt>
                <c:pt idx="1">
                  <c:v>66.23</c:v>
                </c:pt>
                <c:pt idx="2">
                  <c:v>38.97</c:v>
                </c:pt>
                <c:pt idx="3">
                  <c:v>28.61</c:v>
                </c:pt>
                <c:pt idx="4">
                  <c:v>52.18</c:v>
                </c:pt>
                <c:pt idx="5">
                  <c:v>29.98</c:v>
                </c:pt>
                <c:pt idx="6">
                  <c:v>52.69</c:v>
                </c:pt>
                <c:pt idx="7">
                  <c:v>39</c:v>
                </c:pt>
                <c:pt idx="8">
                  <c:v>47.21</c:v>
                </c:pt>
                <c:pt idx="9">
                  <c:v>2.65</c:v>
                </c:pt>
                <c:pt idx="10">
                  <c:v>17.920000000000002</c:v>
                </c:pt>
                <c:pt idx="11">
                  <c:v>81.400000000000006</c:v>
                </c:pt>
                <c:pt idx="12">
                  <c:v>51.81</c:v>
                </c:pt>
                <c:pt idx="13">
                  <c:v>24.69</c:v>
                </c:pt>
                <c:pt idx="14">
                  <c:v>17.5</c:v>
                </c:pt>
                <c:pt idx="15">
                  <c:v>25.66</c:v>
                </c:pt>
                <c:pt idx="16">
                  <c:v>51.31</c:v>
                </c:pt>
                <c:pt idx="17">
                  <c:v>39.659999999999997</c:v>
                </c:pt>
                <c:pt idx="18">
                  <c:v>37.47</c:v>
                </c:pt>
                <c:pt idx="19">
                  <c:v>42.27</c:v>
                </c:pt>
                <c:pt idx="20">
                  <c:v>0</c:v>
                </c:pt>
                <c:pt idx="21">
                  <c:v>11.68</c:v>
                </c:pt>
              </c:numCache>
            </c:numRef>
          </c:val>
        </c:ser>
        <c:ser>
          <c:idx val="4"/>
          <c:order val="4"/>
          <c:tx>
            <c:strRef>
              <c:f>工作表7!$F$1</c:f>
              <c:strCache>
                <c:ptCount val="1"/>
                <c:pt idx="0">
                  <c:v>105年</c:v>
                </c:pt>
              </c:strCache>
            </c:strRef>
          </c:tx>
          <c:invertIfNegative val="0"/>
          <c:cat>
            <c:strRef>
              <c:f>工作表7!$A$2:$A$23</c:f>
              <c:strCache>
                <c:ptCount val="22"/>
                <c:pt idx="0">
                  <c:v>臺北市</c:v>
                </c:pt>
                <c:pt idx="1">
                  <c:v>新北市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花蓮縣</c:v>
                </c:pt>
                <c:pt idx="15">
                  <c:v>臺東縣</c:v>
                </c:pt>
                <c:pt idx="16">
                  <c:v>澎湖縣</c:v>
                </c:pt>
                <c:pt idx="17">
                  <c:v>基隆市</c:v>
                </c:pt>
                <c:pt idx="18">
                  <c:v>新竹市</c:v>
                </c:pt>
                <c:pt idx="19">
                  <c:v>嘉義市</c:v>
                </c:pt>
                <c:pt idx="20">
                  <c:v>金門縣</c:v>
                </c:pt>
                <c:pt idx="21">
                  <c:v>連江縣</c:v>
                </c:pt>
              </c:strCache>
            </c:strRef>
          </c:cat>
          <c:val>
            <c:numRef>
              <c:f>工作表7!$F$2:$F$23</c:f>
              <c:numCache>
                <c:formatCode>#,##0.00_);\(#,##0.00\)</c:formatCode>
                <c:ptCount val="22"/>
                <c:pt idx="0">
                  <c:v>27.54</c:v>
                </c:pt>
                <c:pt idx="1">
                  <c:v>58.73</c:v>
                </c:pt>
                <c:pt idx="2">
                  <c:v>37.24</c:v>
                </c:pt>
                <c:pt idx="3">
                  <c:v>9.2200000000000006</c:v>
                </c:pt>
                <c:pt idx="4">
                  <c:v>21.49</c:v>
                </c:pt>
                <c:pt idx="5">
                  <c:v>29.26</c:v>
                </c:pt>
                <c:pt idx="6">
                  <c:v>57.14</c:v>
                </c:pt>
                <c:pt idx="7">
                  <c:v>28.95</c:v>
                </c:pt>
                <c:pt idx="8">
                  <c:v>64.98</c:v>
                </c:pt>
                <c:pt idx="9">
                  <c:v>13.84</c:v>
                </c:pt>
                <c:pt idx="10">
                  <c:v>20.49</c:v>
                </c:pt>
                <c:pt idx="11">
                  <c:v>85.11</c:v>
                </c:pt>
                <c:pt idx="12">
                  <c:v>72.28</c:v>
                </c:pt>
                <c:pt idx="13">
                  <c:v>34.72</c:v>
                </c:pt>
                <c:pt idx="14">
                  <c:v>61.28</c:v>
                </c:pt>
                <c:pt idx="15">
                  <c:v>26.59</c:v>
                </c:pt>
                <c:pt idx="16">
                  <c:v>47.6</c:v>
                </c:pt>
                <c:pt idx="17">
                  <c:v>38.520000000000003</c:v>
                </c:pt>
                <c:pt idx="18">
                  <c:v>38.43</c:v>
                </c:pt>
                <c:pt idx="19">
                  <c:v>46.29</c:v>
                </c:pt>
                <c:pt idx="20">
                  <c:v>19.97</c:v>
                </c:pt>
                <c:pt idx="21">
                  <c:v>6.07</c:v>
                </c:pt>
              </c:numCache>
            </c:numRef>
          </c:val>
        </c:ser>
        <c:ser>
          <c:idx val="5"/>
          <c:order val="5"/>
          <c:tx>
            <c:strRef>
              <c:f>工作表7!$G$1</c:f>
              <c:strCache>
                <c:ptCount val="1"/>
                <c:pt idx="0">
                  <c:v>106年</c:v>
                </c:pt>
              </c:strCache>
            </c:strRef>
          </c:tx>
          <c:invertIfNegative val="0"/>
          <c:cat>
            <c:strRef>
              <c:f>工作表7!$A$2:$A$23</c:f>
              <c:strCache>
                <c:ptCount val="22"/>
                <c:pt idx="0">
                  <c:v>臺北市</c:v>
                </c:pt>
                <c:pt idx="1">
                  <c:v>新北市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花蓮縣</c:v>
                </c:pt>
                <c:pt idx="15">
                  <c:v>臺東縣</c:v>
                </c:pt>
                <c:pt idx="16">
                  <c:v>澎湖縣</c:v>
                </c:pt>
                <c:pt idx="17">
                  <c:v>基隆市</c:v>
                </c:pt>
                <c:pt idx="18">
                  <c:v>新竹市</c:v>
                </c:pt>
                <c:pt idx="19">
                  <c:v>嘉義市</c:v>
                </c:pt>
                <c:pt idx="20">
                  <c:v>金門縣</c:v>
                </c:pt>
                <c:pt idx="21">
                  <c:v>連江縣</c:v>
                </c:pt>
              </c:strCache>
            </c:strRef>
          </c:cat>
          <c:val>
            <c:numRef>
              <c:f>工作表7!$G$2:$G$23</c:f>
              <c:numCache>
                <c:formatCode>#,##0.00_);\(#,##0.00\)</c:formatCode>
                <c:ptCount val="22"/>
                <c:pt idx="0">
                  <c:v>24.22</c:v>
                </c:pt>
                <c:pt idx="1">
                  <c:v>58</c:v>
                </c:pt>
                <c:pt idx="2">
                  <c:v>28.72</c:v>
                </c:pt>
                <c:pt idx="3">
                  <c:v>6.26</c:v>
                </c:pt>
                <c:pt idx="4">
                  <c:v>18.239999999999998</c:v>
                </c:pt>
                <c:pt idx="5">
                  <c:v>20.28</c:v>
                </c:pt>
                <c:pt idx="6">
                  <c:v>47.66</c:v>
                </c:pt>
                <c:pt idx="7">
                  <c:v>49.68</c:v>
                </c:pt>
                <c:pt idx="8">
                  <c:v>62.58</c:v>
                </c:pt>
                <c:pt idx="9">
                  <c:v>11.38</c:v>
                </c:pt>
                <c:pt idx="10">
                  <c:v>13.94</c:v>
                </c:pt>
                <c:pt idx="11">
                  <c:v>85.55</c:v>
                </c:pt>
                <c:pt idx="12">
                  <c:v>70.77</c:v>
                </c:pt>
                <c:pt idx="13">
                  <c:v>34.9</c:v>
                </c:pt>
                <c:pt idx="14">
                  <c:v>58.22</c:v>
                </c:pt>
                <c:pt idx="15">
                  <c:v>22.85</c:v>
                </c:pt>
                <c:pt idx="16">
                  <c:v>52.16</c:v>
                </c:pt>
                <c:pt idx="17">
                  <c:v>28.53</c:v>
                </c:pt>
                <c:pt idx="18">
                  <c:v>31.8</c:v>
                </c:pt>
                <c:pt idx="19">
                  <c:v>47.77</c:v>
                </c:pt>
                <c:pt idx="20">
                  <c:v>25.1</c:v>
                </c:pt>
                <c:pt idx="21">
                  <c:v>6.07</c:v>
                </c:pt>
              </c:numCache>
            </c:numRef>
          </c:val>
        </c:ser>
        <c:dLbls>
          <c:showLegendKey val="0"/>
          <c:showVal val="0"/>
          <c:showCatName val="0"/>
          <c:showSerName val="0"/>
          <c:showPercent val="0"/>
          <c:showBubbleSize val="0"/>
        </c:dLbls>
        <c:gapWidth val="150"/>
        <c:shape val="cylinder"/>
        <c:axId val="785651224"/>
        <c:axId val="785652792"/>
        <c:axId val="0"/>
      </c:bar3DChart>
      <c:catAx>
        <c:axId val="785651224"/>
        <c:scaling>
          <c:orientation val="minMax"/>
        </c:scaling>
        <c:delete val="0"/>
        <c:axPos val="b"/>
        <c:numFmt formatCode="General" sourceLinked="0"/>
        <c:majorTickMark val="out"/>
        <c:minorTickMark val="none"/>
        <c:tickLblPos val="nextTo"/>
        <c:txPr>
          <a:bodyPr/>
          <a:lstStyle/>
          <a:p>
            <a:pPr>
              <a:defRPr sz="900" spc="-100" baseline="0">
                <a:latin typeface="標楷體" panose="03000509000000000000" pitchFamily="65" charset="-120"/>
                <a:ea typeface="標楷體" panose="03000509000000000000" pitchFamily="65" charset="-120"/>
              </a:defRPr>
            </a:pPr>
            <a:endParaRPr lang="zh-TW"/>
          </a:p>
        </c:txPr>
        <c:crossAx val="785652792"/>
        <c:crosses val="autoZero"/>
        <c:auto val="1"/>
        <c:lblAlgn val="ctr"/>
        <c:lblOffset val="100"/>
        <c:noMultiLvlLbl val="0"/>
      </c:catAx>
      <c:valAx>
        <c:axId val="785652792"/>
        <c:scaling>
          <c:orientation val="minMax"/>
        </c:scaling>
        <c:delete val="0"/>
        <c:axPos val="l"/>
        <c:majorGridlines/>
        <c:numFmt formatCode="#,##0.00_);\(#,##0.00\)"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zh-TW"/>
          </a:p>
        </c:txPr>
        <c:crossAx val="785651224"/>
        <c:crosses val="autoZero"/>
        <c:crossBetween val="between"/>
      </c:valAx>
    </c:plotArea>
    <c:legend>
      <c:legendPos val="r"/>
      <c:layout>
        <c:manualLayout>
          <c:xMode val="edge"/>
          <c:yMode val="edge"/>
          <c:x val="0.93875034713739547"/>
          <c:y val="0.36540767604976737"/>
          <c:w val="5.5946019874007394E-2"/>
          <c:h val="0.27948861492777083"/>
        </c:manualLayout>
      </c:layout>
      <c:overlay val="0"/>
      <c:txPr>
        <a:bodyPr/>
        <a:lstStyle/>
        <a:p>
          <a:pPr>
            <a:defRPr>
              <a:latin typeface="Times New Roman" panose="02020603050405020304" pitchFamily="18" charset="0"/>
              <a:ea typeface="標楷體" panose="03000509000000000000" pitchFamily="65" charset="-120"/>
              <a:cs typeface="Times New Roman" panose="02020603050405020304" pitchFamily="18" charset="0"/>
            </a:defRPr>
          </a:pPr>
          <a:endParaRPr lang="zh-TW"/>
        </a:p>
      </c:txPr>
    </c:legend>
    <c:plotVisOnly val="1"/>
    <c:dispBlanksAs val="gap"/>
    <c:showDLblsOverMax val="0"/>
  </c:chart>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23020328320545963"/>
          <c:y val="6.6882648705056447E-2"/>
          <c:w val="0.75344221446723758"/>
          <c:h val="0.70895084502796757"/>
        </c:manualLayout>
      </c:layout>
      <c:bar3DChart>
        <c:barDir val="col"/>
        <c:grouping val="clustered"/>
        <c:varyColors val="0"/>
        <c:ser>
          <c:idx val="0"/>
          <c:order val="0"/>
          <c:tx>
            <c:strRef>
              <c:f>工作表1!$A$2</c:f>
              <c:strCache>
                <c:ptCount val="1"/>
                <c:pt idx="0">
                  <c:v>分配金額(元)</c:v>
                </c:pt>
              </c:strCache>
            </c:strRef>
          </c:tx>
          <c:invertIfNegative val="0"/>
          <c:cat>
            <c:strRef>
              <c:f>工作表1!$B$1:$D$1</c:f>
              <c:strCache>
                <c:ptCount val="3"/>
                <c:pt idx="0">
                  <c:v>供地方政府
辦理社會
福利之用</c:v>
                </c:pt>
                <c:pt idx="1">
                  <c:v>供國民年金</c:v>
                </c:pt>
                <c:pt idx="2">
                  <c:v>供全民健康
保險準備</c:v>
                </c:pt>
              </c:strCache>
            </c:strRef>
          </c:cat>
          <c:val>
            <c:numRef>
              <c:f>工作表1!$B$2:$D$2</c:f>
              <c:numCache>
                <c:formatCode>#,##0</c:formatCode>
                <c:ptCount val="3"/>
                <c:pt idx="0">
                  <c:v>193298665408</c:v>
                </c:pt>
                <c:pt idx="1">
                  <c:v>172360799359</c:v>
                </c:pt>
                <c:pt idx="2">
                  <c:v>19245234997</c:v>
                </c:pt>
              </c:numCache>
            </c:numRef>
          </c:val>
        </c:ser>
        <c:dLbls>
          <c:showLegendKey val="0"/>
          <c:showVal val="0"/>
          <c:showCatName val="0"/>
          <c:showSerName val="0"/>
          <c:showPercent val="0"/>
          <c:showBubbleSize val="0"/>
        </c:dLbls>
        <c:gapWidth val="150"/>
        <c:shape val="box"/>
        <c:axId val="785650048"/>
        <c:axId val="785652400"/>
        <c:axId val="0"/>
      </c:bar3DChart>
      <c:catAx>
        <c:axId val="785650048"/>
        <c:scaling>
          <c:orientation val="minMax"/>
        </c:scaling>
        <c:delete val="0"/>
        <c:axPos val="b"/>
        <c:numFmt formatCode="General" sourceLinked="0"/>
        <c:majorTickMark val="none"/>
        <c:minorTickMark val="none"/>
        <c:tickLblPos val="nextTo"/>
        <c:crossAx val="785652400"/>
        <c:crosses val="autoZero"/>
        <c:auto val="1"/>
        <c:lblAlgn val="ctr"/>
        <c:lblOffset val="100"/>
        <c:noMultiLvlLbl val="0"/>
      </c:catAx>
      <c:valAx>
        <c:axId val="785652400"/>
        <c:scaling>
          <c:orientation val="minMax"/>
        </c:scaling>
        <c:delete val="0"/>
        <c:axPos val="l"/>
        <c:majorGridlines/>
        <c:numFmt formatCode="#,##0" sourceLinked="1"/>
        <c:majorTickMark val="none"/>
        <c:minorTickMark val="none"/>
        <c:tickLblPos val="nextTo"/>
        <c:crossAx val="785650048"/>
        <c:crosses val="autoZero"/>
        <c:crossBetween val="between"/>
      </c:valAx>
      <c:dTable>
        <c:showHorzBorder val="1"/>
        <c:showVertBorder val="1"/>
        <c:showOutline val="1"/>
        <c:showKeys val="1"/>
        <c:txPr>
          <a:bodyPr/>
          <a:lstStyle/>
          <a:p>
            <a:pPr rtl="0">
              <a:defRPr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0.01342</cdr:x>
      <cdr:y>0.90163</cdr:y>
    </cdr:from>
    <cdr:to>
      <cdr:x>0.17554</cdr:x>
      <cdr:y>0.97233</cdr:y>
    </cdr:to>
    <cdr:sp macro="" textlink="">
      <cdr:nvSpPr>
        <cdr:cNvPr id="2" name="矩形 1"/>
        <cdr:cNvSpPr/>
      </cdr:nvSpPr>
      <cdr:spPr>
        <a:xfrm xmlns:a="http://schemas.openxmlformats.org/drawingml/2006/main">
          <a:off x="63653" y="2585554"/>
          <a:ext cx="769220" cy="202764"/>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TW" sz="800" spc="-100" baseline="0">
              <a:solidFill>
                <a:sysClr val="windowText" lastClr="000000"/>
              </a:solidFill>
              <a:latin typeface="標楷體" panose="03000509000000000000" pitchFamily="65" charset="-120"/>
              <a:ea typeface="標楷體" panose="03000509000000000000" pitchFamily="65" charset="-120"/>
            </a:rPr>
            <a:t>(</a:t>
          </a:r>
          <a:r>
            <a:rPr lang="zh-TW" altLang="en-US" sz="800" spc="-100" baseline="0">
              <a:solidFill>
                <a:sysClr val="windowText" lastClr="000000"/>
              </a:solidFill>
              <a:latin typeface="標楷體" panose="03000509000000000000" pitchFamily="65" charset="-120"/>
              <a:ea typeface="標楷體" panose="03000509000000000000" pitchFamily="65" charset="-120"/>
            </a:rPr>
            <a:t>單位：千元</a:t>
          </a:r>
          <a:r>
            <a:rPr lang="en-US" altLang="zh-TW" sz="800" spc="-100" baseline="0">
              <a:solidFill>
                <a:sysClr val="windowText" lastClr="000000"/>
              </a:solidFill>
              <a:latin typeface="標楷體" panose="03000509000000000000" pitchFamily="65" charset="-120"/>
              <a:ea typeface="標楷體" panose="03000509000000000000" pitchFamily="65" charset="-120"/>
            </a:rPr>
            <a:t>)</a:t>
          </a:r>
          <a:endParaRPr lang="zh-TW" sz="800" spc="-100" baseline="0">
            <a:solidFill>
              <a:sysClr val="windowText" lastClr="000000"/>
            </a:solidFill>
            <a:latin typeface="標楷體" panose="03000509000000000000" pitchFamily="65" charset="-120"/>
            <a:ea typeface="標楷體" panose="03000509000000000000" pitchFamily="65" charset="-12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0.01654</cdr:x>
      <cdr:y>0.93568</cdr:y>
    </cdr:from>
    <cdr:to>
      <cdr:x>0.07717</cdr:x>
      <cdr:y>0.98622</cdr:y>
    </cdr:to>
    <cdr:sp macro="" textlink="">
      <cdr:nvSpPr>
        <cdr:cNvPr id="2" name="矩形 1"/>
        <cdr:cNvSpPr/>
      </cdr:nvSpPr>
      <cdr:spPr>
        <a:xfrm xmlns:a="http://schemas.openxmlformats.org/drawingml/2006/main">
          <a:off x="160020" y="4655820"/>
          <a:ext cx="586740" cy="25146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zh-TW" altLang="en-US" sz="800" spc="-100" baseline="0">
              <a:solidFill>
                <a:sysClr val="windowText" lastClr="000000"/>
              </a:solidFill>
              <a:latin typeface="標楷體" panose="03000509000000000000" pitchFamily="65" charset="-120"/>
              <a:ea typeface="標楷體" panose="03000509000000000000" pitchFamily="65" charset="-120"/>
            </a:rPr>
            <a:t>單位：％</a:t>
          </a:r>
          <a:endParaRPr lang="zh-TW" sz="800" spc="-100" baseline="0">
            <a:solidFill>
              <a:sysClr val="windowText" lastClr="000000"/>
            </a:solidFill>
            <a:latin typeface="標楷體" panose="03000509000000000000" pitchFamily="65" charset="-120"/>
            <a:ea typeface="標楷體" panose="03000509000000000000" pitchFamily="65" charset="-12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0.02599</cdr:x>
      <cdr:y>0.6182</cdr:y>
    </cdr:from>
    <cdr:to>
      <cdr:x>0.15186</cdr:x>
      <cdr:y>0.68886</cdr:y>
    </cdr:to>
    <cdr:sp macro="" textlink="">
      <cdr:nvSpPr>
        <cdr:cNvPr id="2" name="矩形 1"/>
        <cdr:cNvSpPr/>
      </cdr:nvSpPr>
      <cdr:spPr>
        <a:xfrm xmlns:a="http://schemas.openxmlformats.org/drawingml/2006/main">
          <a:off x="131618" y="1939635"/>
          <a:ext cx="637310" cy="22167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TW" sz="800" spc="-5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a:t>
          </a:r>
          <a:r>
            <a:rPr lang="zh-TW" altLang="en-US" sz="800" spc="-5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單位：</a:t>
          </a:r>
          <a:r>
            <a:rPr lang="zh-TW" altLang="en-US" sz="800" spc="-50" baseline="0">
              <a:solidFill>
                <a:schemeClr val="tx1"/>
              </a:solidFill>
              <a:latin typeface="標楷體"/>
              <a:ea typeface="標楷體"/>
              <a:cs typeface="Times New Roman" panose="02020603050405020304" pitchFamily="18" charset="0"/>
            </a:rPr>
            <a:t>％</a:t>
          </a:r>
          <a:r>
            <a:rPr lang="en-US" altLang="zh-TW" sz="800" spc="-5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a:t>
          </a:r>
          <a:endParaRPr lang="zh-TW" sz="800" spc="-5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0.05952</cdr:x>
      <cdr:y>0.43105</cdr:y>
    </cdr:from>
    <cdr:to>
      <cdr:x>0.9408</cdr:x>
      <cdr:y>0.43105</cdr:y>
    </cdr:to>
    <cdr:cxnSp macro="">
      <cdr:nvCxnSpPr>
        <cdr:cNvPr id="2" name="直線接點 1"/>
        <cdr:cNvCxnSpPr/>
      </cdr:nvCxnSpPr>
      <cdr:spPr>
        <a:xfrm xmlns:a="http://schemas.openxmlformats.org/drawingml/2006/main">
          <a:off x="586740" y="2125980"/>
          <a:ext cx="8686800" cy="1"/>
        </a:xfrm>
        <a:prstGeom xmlns:a="http://schemas.openxmlformats.org/drawingml/2006/main" prst="line">
          <a:avLst/>
        </a:prstGeom>
        <a:ln xmlns:a="http://schemas.openxmlformats.org/drawingml/2006/main" w="19050">
          <a:solidFill>
            <a:schemeClr val="bg2">
              <a:lumMod val="10000"/>
            </a:schemeClr>
          </a:solidFill>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D6AFA-9B86-475F-93FD-3B6127F48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84</Pages>
  <Words>41816</Words>
  <Characters>23268</Characters>
  <Application>Microsoft Office Word</Application>
  <DocSecurity>0</DocSecurity>
  <Lines>193</Lines>
  <Paragraphs>129</Paragraphs>
  <ScaleCrop>false</ScaleCrop>
  <Company>cy</Company>
  <LinksUpToDate>false</LinksUpToDate>
  <CharactersWithSpaces>64955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王惠元</dc:creator>
  <cp:lastModifiedBy>廖春媛</cp:lastModifiedBy>
  <cp:revision>3</cp:revision>
  <cp:lastPrinted>2018-05-16T02:29:00Z</cp:lastPrinted>
  <dcterms:created xsi:type="dcterms:W3CDTF">2019-04-10T08:32:00Z</dcterms:created>
  <dcterms:modified xsi:type="dcterms:W3CDTF">2019-04-10T08:34:00Z</dcterms:modified>
</cp:coreProperties>
</file>