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32160" w:rsidRDefault="00D75644" w:rsidP="00B32160">
      <w:pPr>
        <w:pStyle w:val="af3"/>
      </w:pPr>
      <w:r w:rsidRPr="004D141F">
        <w:rPr>
          <w:rFonts w:hint="eastAsia"/>
        </w:rPr>
        <w:t>調查報告</w:t>
      </w:r>
    </w:p>
    <w:p w:rsidR="004715DD"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7E02" w:rsidRPr="00717E02">
        <w:rPr>
          <w:rFonts w:hint="eastAsia"/>
        </w:rPr>
        <w:t>文化部辦理文化創意產業發展計畫開發五大文化創意產業園區，惟其營運屢遭質疑過於商業化及文創業者進駐偏低，且所設置之諮詢暨審議會未能適時運作</w:t>
      </w:r>
      <w:proofErr w:type="gramStart"/>
      <w:r w:rsidR="00717E02" w:rsidRPr="00717E02">
        <w:rPr>
          <w:rFonts w:hint="eastAsia"/>
        </w:rPr>
        <w:t>等情案</w:t>
      </w:r>
      <w:proofErr w:type="gramEnd"/>
      <w:r w:rsidR="00717E02" w:rsidRPr="00717E02">
        <w:rPr>
          <w:rFonts w:hint="eastAsia"/>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Default="00E25849" w:rsidP="004E05A1">
      <w:pPr>
        <w:pStyle w:val="1"/>
        <w:ind w:left="2380" w:hanging="2380"/>
      </w:pPr>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B774E" w:rsidRPr="00321E43" w:rsidRDefault="003B774E" w:rsidP="00321E43">
      <w:pPr>
        <w:pStyle w:val="2"/>
        <w:rPr>
          <w:b/>
        </w:rPr>
      </w:pPr>
      <w:bookmarkStart w:id="49" w:name="_Toc524902730"/>
      <w:r w:rsidRPr="00864D98">
        <w:rPr>
          <w:rFonts w:hint="eastAsia"/>
          <w:b/>
        </w:rPr>
        <w:t>文化創意產業園區諮詢暨審議會</w:t>
      </w:r>
      <w:r w:rsidR="00321E43" w:rsidRPr="00864D98">
        <w:rPr>
          <w:rFonts w:hint="eastAsia"/>
          <w:b/>
        </w:rPr>
        <w:t>自103年3月設置成立以來，</w:t>
      </w:r>
      <w:proofErr w:type="gramStart"/>
      <w:r w:rsidR="00321E43" w:rsidRPr="00864D98">
        <w:rPr>
          <w:rFonts w:hint="eastAsia"/>
          <w:b/>
        </w:rPr>
        <w:t>文化部以無</w:t>
      </w:r>
      <w:proofErr w:type="gramEnd"/>
      <w:r w:rsidR="00321E43" w:rsidRPr="00864D98">
        <w:rPr>
          <w:rFonts w:hint="eastAsia"/>
          <w:b/>
        </w:rPr>
        <w:t>跨園區之政策規劃與諮詢需求為由，未曾召開相關會議；該諮詢暨審議會</w:t>
      </w:r>
      <w:r w:rsidRPr="00864D98">
        <w:rPr>
          <w:rFonts w:hint="eastAsia"/>
          <w:b/>
        </w:rPr>
        <w:t>目前</w:t>
      </w:r>
      <w:r w:rsidR="00321E43" w:rsidRPr="00864D98">
        <w:rPr>
          <w:rFonts w:hint="eastAsia"/>
          <w:b/>
        </w:rPr>
        <w:t>雖</w:t>
      </w:r>
      <w:r w:rsidRPr="00864D98">
        <w:rPr>
          <w:rFonts w:hint="eastAsia"/>
          <w:b/>
        </w:rPr>
        <w:t>以彈性作法發揮諮詢功能，不再侷限每半年召開會議一次，文化</w:t>
      </w:r>
      <w:proofErr w:type="gramStart"/>
      <w:r w:rsidRPr="00864D98">
        <w:rPr>
          <w:rFonts w:hint="eastAsia"/>
          <w:b/>
        </w:rPr>
        <w:t>部允宜研</w:t>
      </w:r>
      <w:proofErr w:type="gramEnd"/>
      <w:r w:rsidRPr="00864D98">
        <w:rPr>
          <w:rFonts w:hint="eastAsia"/>
          <w:b/>
        </w:rPr>
        <w:t>修「文化部所屬文化創意產業園區諮詢暨審議會設置要點」規定</w:t>
      </w:r>
      <w:r w:rsidR="00DF1F93" w:rsidRPr="00864D98">
        <w:rPr>
          <w:rFonts w:hint="eastAsia"/>
          <w:b/>
        </w:rPr>
        <w:t>，</w:t>
      </w:r>
      <w:proofErr w:type="gramStart"/>
      <w:r w:rsidR="008079AC" w:rsidRPr="00864D98">
        <w:rPr>
          <w:rFonts w:hint="eastAsia"/>
          <w:b/>
        </w:rPr>
        <w:t>俾</w:t>
      </w:r>
      <w:proofErr w:type="gramEnd"/>
      <w:r w:rsidR="00DF1F93" w:rsidRPr="00864D98">
        <w:rPr>
          <w:rFonts w:hint="eastAsia"/>
          <w:b/>
        </w:rPr>
        <w:t>落實諮詢暨審議功能</w:t>
      </w:r>
      <w:r w:rsidRPr="008079AC">
        <w:rPr>
          <w:rFonts w:hint="eastAsia"/>
          <w:b/>
        </w:rPr>
        <w:t>，以符實需</w:t>
      </w:r>
      <w:r w:rsidR="00DF1F93" w:rsidRPr="008079AC">
        <w:rPr>
          <w:rFonts w:hint="eastAsia"/>
          <w:b/>
        </w:rPr>
        <w:t>。</w:t>
      </w:r>
      <w:r w:rsidRPr="00321E43">
        <w:rPr>
          <w:rFonts w:hint="eastAsia"/>
          <w:b/>
        </w:rPr>
        <w:t>另花蓮園區已於105年4月全區開放營運，惟該園區第14及28棟建築物迄未取得使用執照，除與建築法規定未合，並衍生安全疑慮，應儘速改進。</w:t>
      </w:r>
    </w:p>
    <w:p w:rsidR="003B774E" w:rsidRDefault="003B774E" w:rsidP="00D4381A">
      <w:pPr>
        <w:pStyle w:val="3"/>
      </w:pPr>
      <w:r>
        <w:rPr>
          <w:rFonts w:hint="eastAsia"/>
        </w:rPr>
        <w:t>查「文化部所屬文化創意產業園區諮詢暨審議會設置要點」第2點規定：「本會任務如下：(</w:t>
      </w:r>
      <w:proofErr w:type="gramStart"/>
      <w:r>
        <w:rPr>
          <w:rFonts w:hint="eastAsia"/>
        </w:rPr>
        <w:t>一</w:t>
      </w:r>
      <w:proofErr w:type="gramEnd"/>
      <w:r>
        <w:rPr>
          <w:rFonts w:hint="eastAsia"/>
        </w:rPr>
        <w:t>)有關文化創意產業園區政策規劃諮詢。(二)有關文化創意產業園區計畫推動之整合與協調諮詢。(三)有關文化創意產業園區委外經管案相關計畫書審查事項。(四)有關文化創意產業園區委外經管案經營績效評估事項。(五)其他促進文化創意產業園區發展之建議與諮詢。」第4點規定：「本會原則每半年召開</w:t>
      </w:r>
      <w:r w:rsidRPr="00864D98">
        <w:rPr>
          <w:rFonts w:hint="eastAsia"/>
        </w:rPr>
        <w:t>會議一次；必要時，得召開臨時會議…</w:t>
      </w:r>
      <w:proofErr w:type="gramStart"/>
      <w:r w:rsidRPr="00864D98">
        <w:rPr>
          <w:rFonts w:hint="eastAsia"/>
        </w:rPr>
        <w:t>…</w:t>
      </w:r>
      <w:proofErr w:type="gramEnd"/>
      <w:r w:rsidRPr="00864D98">
        <w:rPr>
          <w:rFonts w:hint="eastAsia"/>
        </w:rPr>
        <w:t>」惟</w:t>
      </w:r>
      <w:r w:rsidR="00D4381A" w:rsidRPr="00864D98">
        <w:rPr>
          <w:rFonts w:hint="eastAsia"/>
        </w:rPr>
        <w:t>據審計部查核發現，該諮詢暨審議會自成立以來</w:t>
      </w:r>
      <w:r w:rsidR="00452A94" w:rsidRPr="00864D98">
        <w:rPr>
          <w:rFonts w:hint="eastAsia"/>
        </w:rPr>
        <w:t>，</w:t>
      </w:r>
      <w:proofErr w:type="gramStart"/>
      <w:r w:rsidR="00D4381A" w:rsidRPr="00864D98">
        <w:rPr>
          <w:rFonts w:hint="eastAsia"/>
        </w:rPr>
        <w:t>文化部以無</w:t>
      </w:r>
      <w:proofErr w:type="gramEnd"/>
      <w:r w:rsidR="00D4381A" w:rsidRPr="00864D98">
        <w:rPr>
          <w:rFonts w:hint="eastAsia"/>
        </w:rPr>
        <w:t>跨園區之政策規劃與諮詢需求為由，未曾召開相關會議</w:t>
      </w:r>
      <w:r w:rsidR="00A275DB" w:rsidRPr="00864D98">
        <w:rPr>
          <w:rFonts w:hint="eastAsia"/>
        </w:rPr>
        <w:t>。</w:t>
      </w:r>
      <w:r w:rsidRPr="00864D98">
        <w:rPr>
          <w:rFonts w:hint="eastAsia"/>
        </w:rPr>
        <w:t>針對「諮詢暨審議會是否每半年召開</w:t>
      </w:r>
      <w:r>
        <w:rPr>
          <w:rFonts w:hint="eastAsia"/>
        </w:rPr>
        <w:t>諮詢會議，以作為政策規劃或推動參考？」部分，據文化部約</w:t>
      </w:r>
      <w:proofErr w:type="gramStart"/>
      <w:r>
        <w:rPr>
          <w:rFonts w:hint="eastAsia"/>
        </w:rPr>
        <w:t>詢</w:t>
      </w:r>
      <w:proofErr w:type="gramEnd"/>
      <w:r>
        <w:rPr>
          <w:rFonts w:hint="eastAsia"/>
        </w:rPr>
        <w:t>書面說明略</w:t>
      </w:r>
      <w:proofErr w:type="gramStart"/>
      <w:r>
        <w:rPr>
          <w:rFonts w:hint="eastAsia"/>
        </w:rPr>
        <w:t>以</w:t>
      </w:r>
      <w:proofErr w:type="gramEnd"/>
      <w:r>
        <w:rPr>
          <w:rFonts w:hint="eastAsia"/>
        </w:rPr>
        <w:t>：「</w:t>
      </w:r>
      <w:proofErr w:type="gramStart"/>
      <w:r>
        <w:rPr>
          <w:rFonts w:hint="eastAsia"/>
        </w:rPr>
        <w:t>文化部於103年3月</w:t>
      </w:r>
      <w:proofErr w:type="gramEnd"/>
      <w:r>
        <w:rPr>
          <w:rFonts w:hint="eastAsia"/>
        </w:rPr>
        <w:lastRenderedPageBreak/>
        <w:t>設置諮詢暨審議會後，原定下半年召開會議，惟因各委員行程因素及首長人事異動，始終無法排定開會時間；</w:t>
      </w:r>
      <w:proofErr w:type="gramStart"/>
      <w:r>
        <w:rPr>
          <w:rFonts w:hint="eastAsia"/>
        </w:rPr>
        <w:t>嗣</w:t>
      </w:r>
      <w:proofErr w:type="gramEnd"/>
      <w:r>
        <w:rPr>
          <w:rFonts w:hint="eastAsia"/>
        </w:rPr>
        <w:t>於104年立法院教育及文化委員會及相關委員要求文化</w:t>
      </w:r>
      <w:proofErr w:type="gramStart"/>
      <w:r>
        <w:rPr>
          <w:rFonts w:hint="eastAsia"/>
        </w:rPr>
        <w:t>部就五大文創</w:t>
      </w:r>
      <w:proofErr w:type="gramEnd"/>
      <w:r>
        <w:rPr>
          <w:rFonts w:hint="eastAsia"/>
        </w:rPr>
        <w:t>產業園區歷史發展、國外案例、社會各界</w:t>
      </w:r>
      <w:proofErr w:type="gramStart"/>
      <w:r>
        <w:rPr>
          <w:rFonts w:hint="eastAsia"/>
        </w:rPr>
        <w:t>對文創園區</w:t>
      </w:r>
      <w:proofErr w:type="gramEnd"/>
      <w:r>
        <w:rPr>
          <w:rFonts w:hint="eastAsia"/>
        </w:rPr>
        <w:t>角色及功能定位等輿論，重新進行檢討，文化部</w:t>
      </w:r>
      <w:proofErr w:type="gramStart"/>
      <w:r>
        <w:rPr>
          <w:rFonts w:hint="eastAsia"/>
        </w:rPr>
        <w:t>爰</w:t>
      </w:r>
      <w:proofErr w:type="gramEnd"/>
      <w:r>
        <w:rPr>
          <w:rFonts w:hint="eastAsia"/>
        </w:rPr>
        <w:t>分別洽請諮詢暨審議會委員提供意見，並將諮詢結果與建議納入『文化部主管文化創意產業園區檢討報告』中，於104年7月2日函送立法院教育及文化委員會及相關委員參考。嗣後，為利委員瞭解園區實際營運管理，進而提供實質輔導建議，</w:t>
      </w:r>
      <w:proofErr w:type="gramStart"/>
      <w:r>
        <w:rPr>
          <w:rFonts w:hint="eastAsia"/>
        </w:rPr>
        <w:t>文化部於104年12月30日</w:t>
      </w:r>
      <w:proofErr w:type="gramEnd"/>
      <w:r>
        <w:rPr>
          <w:rFonts w:hint="eastAsia"/>
        </w:rPr>
        <w:t>修正該審議會設置要點，擴充諮詢暨審議會功能，將各園區委外經營案相關之年度計畫審查、績效評估及營運發展建議等事項，均納入諮詢暨審議會任務，各園區諮詢委員可透過書面、會議、現場會</w:t>
      </w:r>
      <w:proofErr w:type="gramStart"/>
      <w:r>
        <w:rPr>
          <w:rFonts w:hint="eastAsia"/>
        </w:rPr>
        <w:t>勘</w:t>
      </w:r>
      <w:proofErr w:type="gramEnd"/>
      <w:r>
        <w:rPr>
          <w:rFonts w:hint="eastAsia"/>
        </w:rPr>
        <w:t>或電話諮詢，針對園區提出之年度目標、</w:t>
      </w:r>
      <w:proofErr w:type="gramStart"/>
      <w:r>
        <w:rPr>
          <w:rFonts w:hint="eastAsia"/>
        </w:rPr>
        <w:t>文創產業</w:t>
      </w:r>
      <w:proofErr w:type="gramEnd"/>
      <w:r>
        <w:rPr>
          <w:rFonts w:hint="eastAsia"/>
        </w:rPr>
        <w:t>效益、</w:t>
      </w:r>
      <w:proofErr w:type="gramStart"/>
      <w:r>
        <w:rPr>
          <w:rFonts w:hint="eastAsia"/>
        </w:rPr>
        <w:t>文創育</w:t>
      </w:r>
      <w:proofErr w:type="gramEnd"/>
      <w:r>
        <w:rPr>
          <w:rFonts w:hint="eastAsia"/>
        </w:rPr>
        <w:t>成扶植、財務計畫、營運問題等提供專業意見，不再侷限於每半年開會，亦更彈性發揮委員會諮詢功能。105年3月至106年1月間，華山、花蓮、嘉義、</w:t>
      </w:r>
      <w:proofErr w:type="gramStart"/>
      <w:r>
        <w:rPr>
          <w:rFonts w:hint="eastAsia"/>
        </w:rPr>
        <w:t>臺</w:t>
      </w:r>
      <w:proofErr w:type="gramEnd"/>
      <w:r>
        <w:rPr>
          <w:rFonts w:hint="eastAsia"/>
        </w:rPr>
        <w:t>南園區曾辦理年度績效評估及營運事業計畫審查會議共計9次。」另文化</w:t>
      </w:r>
      <w:proofErr w:type="gramStart"/>
      <w:r>
        <w:rPr>
          <w:rFonts w:hint="eastAsia"/>
        </w:rPr>
        <w:t>部文創</w:t>
      </w:r>
      <w:proofErr w:type="gramEnd"/>
      <w:r>
        <w:rPr>
          <w:rFonts w:hint="eastAsia"/>
        </w:rPr>
        <w:t>發展司陳悅宜司長於本院詢問時陳稱，文化部目前係以彈性作法發揮諮詢功能，不再侷限每半年召開諮詢暨審議會，未來將修正上開要點規定。</w:t>
      </w:r>
    </w:p>
    <w:p w:rsidR="003B774E" w:rsidRDefault="003B774E" w:rsidP="003B774E">
      <w:pPr>
        <w:pStyle w:val="3"/>
      </w:pPr>
      <w:r>
        <w:rPr>
          <w:rFonts w:hint="eastAsia"/>
        </w:rPr>
        <w:t>另查，建築法第28條第3款規定：「建築</w:t>
      </w:r>
      <w:proofErr w:type="gramStart"/>
      <w:r>
        <w:rPr>
          <w:rFonts w:hint="eastAsia"/>
        </w:rPr>
        <w:t>執照分左列</w:t>
      </w:r>
      <w:proofErr w:type="gramEnd"/>
      <w:r>
        <w:rPr>
          <w:rFonts w:hint="eastAsia"/>
        </w:rPr>
        <w:t>四種：…</w:t>
      </w:r>
      <w:proofErr w:type="gramStart"/>
      <w:r>
        <w:rPr>
          <w:rFonts w:hint="eastAsia"/>
        </w:rPr>
        <w:t>…</w:t>
      </w:r>
      <w:proofErr w:type="gramEnd"/>
      <w:r>
        <w:rPr>
          <w:rFonts w:hint="eastAsia"/>
        </w:rPr>
        <w:t>三、使用執照：建築物建造完成後之使用或變更使用，應請領使用執照。」第70條規定：「建築工程完竣後，應由起造人會同承造人及監造人申請使用執照…</w:t>
      </w:r>
      <w:proofErr w:type="gramStart"/>
      <w:r>
        <w:rPr>
          <w:rFonts w:hint="eastAsia"/>
        </w:rPr>
        <w:t>…</w:t>
      </w:r>
      <w:proofErr w:type="gramEnd"/>
      <w:r>
        <w:rPr>
          <w:rFonts w:hint="eastAsia"/>
        </w:rPr>
        <w:t>」第72條規定：「供公眾使用之建築物，依第70條之規定申請使用執照時，直轄</w:t>
      </w:r>
      <w:r>
        <w:rPr>
          <w:rFonts w:hint="eastAsia"/>
        </w:rPr>
        <w:lastRenderedPageBreak/>
        <w:t>市、縣(市)(局)主管建築機關應會同消防主管機關檢查其消防設備，合格後方得發給使用執照。」花蓮園區ROT案已於100年9月22日與新開股份有限公司簽約，101年10月展開最小規模營運，並於105年4月全區開放營運，惟該園區第14及28棟建築物迄未取得使用執照，核與前揭規定未合。針對「花蓮園區第14及28棟建築物迄未取得使用執照，文化部歷來督導作為？」部分，據文化部約</w:t>
      </w:r>
      <w:proofErr w:type="gramStart"/>
      <w:r>
        <w:rPr>
          <w:rFonts w:hint="eastAsia"/>
        </w:rPr>
        <w:t>詢</w:t>
      </w:r>
      <w:proofErr w:type="gramEnd"/>
      <w:r>
        <w:rPr>
          <w:rFonts w:hint="eastAsia"/>
        </w:rPr>
        <w:t>書面說明略</w:t>
      </w:r>
      <w:proofErr w:type="gramStart"/>
      <w:r>
        <w:rPr>
          <w:rFonts w:hint="eastAsia"/>
        </w:rPr>
        <w:t>以</w:t>
      </w:r>
      <w:proofErr w:type="gramEnd"/>
      <w:r>
        <w:rPr>
          <w:rFonts w:hint="eastAsia"/>
        </w:rPr>
        <w:t>：「(1)依據ROT契約第3.2.3.5條規定，乙方執行本案而須向相關機關申請證照或許可時，甲方在法規許可及權責範圍內，應協助乙方與相關機關進行協調。但乙方應自行負責</w:t>
      </w:r>
      <w:proofErr w:type="gramStart"/>
      <w:r>
        <w:rPr>
          <w:rFonts w:hint="eastAsia"/>
        </w:rPr>
        <w:t>時程掌控</w:t>
      </w:r>
      <w:proofErr w:type="gramEnd"/>
      <w:r>
        <w:rPr>
          <w:rFonts w:hint="eastAsia"/>
        </w:rPr>
        <w:t>及證照或許可之取得。(2)民間機構104年10月23日曾向花蓮縣政府申請第14、28棟使用執照謄本，惟該府函復，因年代歷久或受災、遷動更迭之故，查無申請資料，故不克提供所需資料。</w:t>
      </w:r>
      <w:proofErr w:type="gramStart"/>
      <w:r>
        <w:rPr>
          <w:rFonts w:hint="eastAsia"/>
        </w:rPr>
        <w:t>文化部於105年</w:t>
      </w:r>
      <w:proofErr w:type="gramEnd"/>
      <w:r>
        <w:rPr>
          <w:rFonts w:hint="eastAsia"/>
        </w:rPr>
        <w:t>主動向花蓮市公所申請核發『花蓮市實施都市計畫前建物完成證明書』，並於105年6月23日</w:t>
      </w:r>
      <w:proofErr w:type="gramStart"/>
      <w:r>
        <w:rPr>
          <w:rFonts w:hint="eastAsia"/>
        </w:rPr>
        <w:t>函轉該證明書</w:t>
      </w:r>
      <w:proofErr w:type="gramEnd"/>
      <w:r>
        <w:rPr>
          <w:rFonts w:hint="eastAsia"/>
        </w:rPr>
        <w:t>，請民間機構依『花蓮縣建築管理自治條例』第35條規定，補請領第28棟建物使用執照，並應依契約規定辦理第14棟建物建造執照、使用執照請領。(3)惟民間機構仍認應由文化部交付第14、28棟使用執照，並於105年9月向仲裁協會聲請仲裁，仲裁庭分別於106年8月9日、10月11日、11月21日召開</w:t>
      </w:r>
      <w:proofErr w:type="gramStart"/>
      <w:r>
        <w:rPr>
          <w:rFonts w:hint="eastAsia"/>
        </w:rPr>
        <w:t>詢</w:t>
      </w:r>
      <w:proofErr w:type="gramEnd"/>
      <w:r>
        <w:rPr>
          <w:rFonts w:hint="eastAsia"/>
        </w:rPr>
        <w:t>答會議，然過程中民間機構又將該請求</w:t>
      </w:r>
      <w:r>
        <w:t>(</w:t>
      </w:r>
      <w:r>
        <w:rPr>
          <w:rFonts w:hint="eastAsia"/>
        </w:rPr>
        <w:t>即由文化部取得第14、28棟使用執照之訴訟</w:t>
      </w:r>
      <w:r>
        <w:t>)</w:t>
      </w:r>
      <w:r>
        <w:rPr>
          <w:rFonts w:hint="eastAsia"/>
        </w:rPr>
        <w:t>聲請撤銷。(4)文化</w:t>
      </w:r>
      <w:proofErr w:type="gramStart"/>
      <w:r>
        <w:rPr>
          <w:rFonts w:hint="eastAsia"/>
        </w:rPr>
        <w:t>部現依</w:t>
      </w:r>
      <w:proofErr w:type="gramEnd"/>
      <w:r>
        <w:rPr>
          <w:rFonts w:hint="eastAsia"/>
        </w:rPr>
        <w:t>ROT契約規定，持續督促民間機構辦理取得第14、28棟使用執照，並納入追蹤控管。」由</w:t>
      </w:r>
      <w:proofErr w:type="gramStart"/>
      <w:r>
        <w:rPr>
          <w:rFonts w:hint="eastAsia"/>
        </w:rPr>
        <w:t>上顯見</w:t>
      </w:r>
      <w:proofErr w:type="gramEnd"/>
      <w:r>
        <w:rPr>
          <w:rFonts w:hint="eastAsia"/>
        </w:rPr>
        <w:t>，花蓮園區第14及28棟建築物相關消防設備，尚未獲地方主管建築機關會同消防主管機關檢查合格</w:t>
      </w:r>
      <w:r>
        <w:rPr>
          <w:rFonts w:hint="eastAsia"/>
        </w:rPr>
        <w:lastRenderedPageBreak/>
        <w:t>，仍有安全之虞。</w:t>
      </w:r>
    </w:p>
    <w:p w:rsidR="003B774E" w:rsidRDefault="003B774E" w:rsidP="00864678">
      <w:pPr>
        <w:pStyle w:val="3"/>
      </w:pPr>
      <w:r w:rsidRPr="00864D98">
        <w:rPr>
          <w:rFonts w:hint="eastAsia"/>
        </w:rPr>
        <w:t>綜上，</w:t>
      </w:r>
      <w:r w:rsidR="00864678" w:rsidRPr="00864D98">
        <w:rPr>
          <w:rFonts w:hint="eastAsia"/>
        </w:rPr>
        <w:t>文化創意產業園區諮詢暨審議會自103年3月設置成立以來，</w:t>
      </w:r>
      <w:proofErr w:type="gramStart"/>
      <w:r w:rsidR="00864678" w:rsidRPr="00864D98">
        <w:rPr>
          <w:rFonts w:hint="eastAsia"/>
        </w:rPr>
        <w:t>文化部以無</w:t>
      </w:r>
      <w:proofErr w:type="gramEnd"/>
      <w:r w:rsidR="00864678" w:rsidRPr="00864D98">
        <w:rPr>
          <w:rFonts w:hint="eastAsia"/>
        </w:rPr>
        <w:t>跨園區之政策規劃與諮詢需求為由，未曾召開相關會議；該諮詢暨審議會目前雖以彈性作法發揮諮詢功能，不再侷限每半年召開會議一次，文化</w:t>
      </w:r>
      <w:proofErr w:type="gramStart"/>
      <w:r w:rsidR="00864678" w:rsidRPr="00864D98">
        <w:rPr>
          <w:rFonts w:hint="eastAsia"/>
        </w:rPr>
        <w:t>部允宜研</w:t>
      </w:r>
      <w:proofErr w:type="gramEnd"/>
      <w:r w:rsidR="00864678" w:rsidRPr="00864D98">
        <w:rPr>
          <w:rFonts w:hint="eastAsia"/>
        </w:rPr>
        <w:t>修「文化部所屬文化創意產業園區諮詢暨審議會設置要點」規定，</w:t>
      </w:r>
      <w:proofErr w:type="gramStart"/>
      <w:r w:rsidR="00864678" w:rsidRPr="00864D98">
        <w:rPr>
          <w:rFonts w:hint="eastAsia"/>
        </w:rPr>
        <w:t>俾</w:t>
      </w:r>
      <w:proofErr w:type="gramEnd"/>
      <w:r w:rsidR="00864678" w:rsidRPr="00864D98">
        <w:rPr>
          <w:rFonts w:hint="eastAsia"/>
        </w:rPr>
        <w:t>落實諮詢暨審議功能</w:t>
      </w:r>
      <w:r w:rsidRPr="00864D98">
        <w:rPr>
          <w:rFonts w:hint="eastAsia"/>
        </w:rPr>
        <w:t>，以符實需；另花蓮園區已於105</w:t>
      </w:r>
      <w:r>
        <w:rPr>
          <w:rFonts w:hint="eastAsia"/>
        </w:rPr>
        <w:t>年4月全區開放營運，惟該園區第14及28棟建築物迄未取得使用執照，除與建築法規定未合，並衍生安全疑慮，應儘速改進。</w:t>
      </w:r>
    </w:p>
    <w:p w:rsidR="001B53A1" w:rsidRPr="007528E2" w:rsidRDefault="002818CF" w:rsidP="003B774E">
      <w:pPr>
        <w:pStyle w:val="2"/>
        <w:rPr>
          <w:b/>
        </w:rPr>
      </w:pPr>
      <w:proofErr w:type="gramStart"/>
      <w:r w:rsidRPr="007528E2">
        <w:rPr>
          <w:rFonts w:hint="eastAsia"/>
          <w:b/>
        </w:rPr>
        <w:t>文化部未</w:t>
      </w:r>
      <w:r w:rsidR="005F14F5" w:rsidRPr="007528E2">
        <w:rPr>
          <w:rFonts w:hint="eastAsia"/>
          <w:b/>
        </w:rPr>
        <w:t>確實</w:t>
      </w:r>
      <w:proofErr w:type="gramEnd"/>
      <w:r w:rsidR="00CB5AE8" w:rsidRPr="007528E2">
        <w:rPr>
          <w:rFonts w:hint="eastAsia"/>
          <w:b/>
        </w:rPr>
        <w:t>開發</w:t>
      </w:r>
      <w:r w:rsidR="001B53A1" w:rsidRPr="007528E2">
        <w:rPr>
          <w:rFonts w:hint="eastAsia"/>
          <w:b/>
        </w:rPr>
        <w:t>五大文</w:t>
      </w:r>
      <w:r w:rsidRPr="007528E2">
        <w:rPr>
          <w:rFonts w:hint="eastAsia"/>
          <w:b/>
        </w:rPr>
        <w:t>化</w:t>
      </w:r>
      <w:r w:rsidR="001B53A1" w:rsidRPr="007528E2">
        <w:rPr>
          <w:rFonts w:hint="eastAsia"/>
          <w:b/>
        </w:rPr>
        <w:t>創</w:t>
      </w:r>
      <w:r w:rsidRPr="007528E2">
        <w:rPr>
          <w:rFonts w:hint="eastAsia"/>
          <w:b/>
        </w:rPr>
        <w:t>意</w:t>
      </w:r>
      <w:r w:rsidR="001B53A1" w:rsidRPr="007528E2">
        <w:rPr>
          <w:rFonts w:hint="eastAsia"/>
          <w:b/>
        </w:rPr>
        <w:t>產業園區文化</w:t>
      </w:r>
      <w:r w:rsidR="00D145BC" w:rsidRPr="007528E2">
        <w:rPr>
          <w:rFonts w:hint="eastAsia"/>
          <w:b/>
        </w:rPr>
        <w:t>底蘊</w:t>
      </w:r>
      <w:r w:rsidR="001B53A1" w:rsidRPr="007528E2">
        <w:rPr>
          <w:rFonts w:hint="eastAsia"/>
          <w:b/>
        </w:rPr>
        <w:t>，加值應用地方</w:t>
      </w:r>
      <w:r w:rsidR="00D145BC" w:rsidRPr="007528E2">
        <w:rPr>
          <w:rFonts w:hint="eastAsia"/>
          <w:b/>
        </w:rPr>
        <w:t>文化</w:t>
      </w:r>
      <w:r w:rsidR="001B53A1" w:rsidRPr="007528E2">
        <w:rPr>
          <w:rFonts w:hint="eastAsia"/>
          <w:b/>
        </w:rPr>
        <w:t>元素，致各園區發展欠缺特色，</w:t>
      </w:r>
      <w:proofErr w:type="gramStart"/>
      <w:r w:rsidR="001B53A1" w:rsidRPr="007528E2">
        <w:rPr>
          <w:rFonts w:hint="eastAsia"/>
          <w:b/>
        </w:rPr>
        <w:t>自明性</w:t>
      </w:r>
      <w:proofErr w:type="gramEnd"/>
      <w:r w:rsidR="001B53A1" w:rsidRPr="007528E2">
        <w:rPr>
          <w:rFonts w:hint="eastAsia"/>
          <w:b/>
        </w:rPr>
        <w:t>、辨識度不佳，</w:t>
      </w:r>
      <w:r w:rsidR="00CB5AE8" w:rsidRPr="007528E2">
        <w:rPr>
          <w:rFonts w:hint="eastAsia"/>
          <w:b/>
        </w:rPr>
        <w:t>且產值下滑，難以符合文化創意產業園區設置意旨</w:t>
      </w:r>
      <w:r w:rsidR="001B53A1" w:rsidRPr="007528E2">
        <w:rPr>
          <w:rFonts w:hint="eastAsia"/>
          <w:b/>
        </w:rPr>
        <w:t>。</w:t>
      </w:r>
    </w:p>
    <w:p w:rsidR="00183983" w:rsidRDefault="001B53A1" w:rsidP="00FF4212">
      <w:pPr>
        <w:pStyle w:val="3"/>
      </w:pPr>
      <w:r>
        <w:rPr>
          <w:rFonts w:hint="eastAsia"/>
        </w:rPr>
        <w:t>據</w:t>
      </w:r>
      <w:r w:rsidR="005935DB" w:rsidRPr="00E03EED">
        <w:rPr>
          <w:rFonts w:hAnsi="標楷體" w:hint="eastAsia"/>
        </w:rPr>
        <w:t>《</w:t>
      </w:r>
      <w:r w:rsidR="005935DB" w:rsidRPr="00083ECA">
        <w:rPr>
          <w:rFonts w:hint="eastAsia"/>
        </w:rPr>
        <w:t>文化創意產業發展法</w:t>
      </w:r>
      <w:r w:rsidR="005935DB" w:rsidRPr="00083ECA">
        <w:rPr>
          <w:rFonts w:hAnsi="標楷體" w:hint="eastAsia"/>
        </w:rPr>
        <w:t>》</w:t>
      </w:r>
      <w:r w:rsidR="009343B3">
        <w:rPr>
          <w:rFonts w:hAnsi="標楷體" w:hint="eastAsia"/>
        </w:rPr>
        <w:t>(下稱</w:t>
      </w:r>
      <w:proofErr w:type="gramStart"/>
      <w:r w:rsidR="009343B3">
        <w:rPr>
          <w:rFonts w:hAnsi="標楷體" w:hint="eastAsia"/>
        </w:rPr>
        <w:t>文創法</w:t>
      </w:r>
      <w:proofErr w:type="gramEnd"/>
      <w:r w:rsidR="009343B3">
        <w:rPr>
          <w:rFonts w:hAnsi="標楷體" w:hint="eastAsia"/>
        </w:rPr>
        <w:t>)</w:t>
      </w:r>
      <w:r w:rsidR="00183983">
        <w:rPr>
          <w:rFonts w:hint="eastAsia"/>
        </w:rPr>
        <w:t>第2條</w:t>
      </w:r>
      <w:r>
        <w:rPr>
          <w:rFonts w:hint="eastAsia"/>
        </w:rPr>
        <w:t>規定</w:t>
      </w:r>
      <w:r w:rsidR="00183983" w:rsidRPr="00E03EED">
        <w:rPr>
          <w:rFonts w:hAnsi="標楷體" w:hint="eastAsia"/>
        </w:rPr>
        <w:t>：</w:t>
      </w:r>
      <w:r w:rsidR="00183983">
        <w:rPr>
          <w:rFonts w:hint="eastAsia"/>
        </w:rPr>
        <w:t>「政府為推動文化創意產業，應加</w:t>
      </w:r>
      <w:r w:rsidR="00183983" w:rsidRPr="00D22AAA">
        <w:rPr>
          <w:rFonts w:hint="eastAsia"/>
        </w:rPr>
        <w:t>強藝術創作及文化保存、文化與科技結合，注重城鄉及區域均衡發展，並重視地方特色，提升國民文化素養及促進文化藝術</w:t>
      </w:r>
      <w:proofErr w:type="gramStart"/>
      <w:r w:rsidR="00183983" w:rsidRPr="00D22AAA">
        <w:rPr>
          <w:rFonts w:hint="eastAsia"/>
        </w:rPr>
        <w:t>普及，</w:t>
      </w:r>
      <w:proofErr w:type="gramEnd"/>
      <w:r w:rsidR="00183983" w:rsidRPr="00D22AAA">
        <w:rPr>
          <w:rFonts w:hint="eastAsia"/>
        </w:rPr>
        <w:t>以符合國際潮流。」第3條規定</w:t>
      </w:r>
      <w:r w:rsidR="00183983" w:rsidRPr="00D22AAA">
        <w:rPr>
          <w:rFonts w:hAnsi="標楷體" w:hint="eastAsia"/>
        </w:rPr>
        <w:t>：</w:t>
      </w:r>
      <w:r w:rsidR="00183983" w:rsidRPr="00D22AAA">
        <w:rPr>
          <w:rFonts w:hint="eastAsia"/>
        </w:rPr>
        <w:t>「(第1項)本法所稱文化創意產業，指源自創意或文化積累，透過智慧財產之形成及運用，具有創造財富與就業機會之潛力，並促進全民美學素養</w:t>
      </w:r>
      <w:r w:rsidR="00183983">
        <w:rPr>
          <w:rFonts w:hint="eastAsia"/>
        </w:rPr>
        <w:t>，使國民生活環境提升之下列產業：一、視覺藝術產業。二、音樂及表演藝術產業。三、文化資產應用及展演設施產業。四、工藝產業。五、電影產業。六、廣播電視產業。七、出版產業。八、廣告產業。九、產品設計產業。十、視覺傳達設計產業。十一、設計品牌時尚產業。十二、建築設計產業。十三、數位內容產業。十四、創意生活產業。十五、流行</w:t>
      </w:r>
      <w:r w:rsidR="00183983">
        <w:rPr>
          <w:rFonts w:hint="eastAsia"/>
        </w:rPr>
        <w:lastRenderedPageBreak/>
        <w:t>音樂及文化內容產業。十六、其他經中央主管機關指定之產業。(第2項)前項各款產業內容及範圍，由中央主管機關會商中央目的事業主管機關定之。」</w:t>
      </w:r>
      <w:r w:rsidR="00FF4212" w:rsidRPr="00FF4212">
        <w:rPr>
          <w:rFonts w:hint="eastAsia"/>
        </w:rPr>
        <w:t>其中</w:t>
      </w:r>
      <w:r w:rsidR="00FF4212" w:rsidRPr="00D22AAA">
        <w:rPr>
          <w:rFonts w:hint="eastAsia"/>
        </w:rPr>
        <w:t>文化部主管</w:t>
      </w:r>
      <w:r w:rsidR="00E03EED" w:rsidRPr="00D22AAA">
        <w:rPr>
          <w:rFonts w:hint="eastAsia"/>
        </w:rPr>
        <w:t>視覺藝術產業、音樂及表演藝術產業、文化資產應用及展演設施產業、工藝產業、電影產業、廣播電視產業、出版產業、流行音樂及文化內容產業等8個次產業；內政部主管建築設計產業；經濟部</w:t>
      </w:r>
      <w:r w:rsidR="00E03EED" w:rsidRPr="00FF4212">
        <w:rPr>
          <w:rFonts w:hint="eastAsia"/>
        </w:rPr>
        <w:t>主管</w:t>
      </w:r>
      <w:r w:rsidR="00E03EED">
        <w:rPr>
          <w:rFonts w:hint="eastAsia"/>
        </w:rPr>
        <w:t>廣告產業、產品設計產業、視覺傳達設計產業、設計品牌時尚產業、</w:t>
      </w:r>
      <w:r w:rsidR="003E7F60">
        <w:rPr>
          <w:rFonts w:hint="eastAsia"/>
        </w:rPr>
        <w:t>數位內容產業、</w:t>
      </w:r>
      <w:r w:rsidR="00E03EED">
        <w:rPr>
          <w:rFonts w:hint="eastAsia"/>
        </w:rPr>
        <w:t>創意生活產業</w:t>
      </w:r>
      <w:r w:rsidR="00E03EED" w:rsidRPr="00FF4212">
        <w:rPr>
          <w:rFonts w:hint="eastAsia"/>
        </w:rPr>
        <w:t>等6個次產業。</w:t>
      </w:r>
    </w:p>
    <w:p w:rsidR="00C7600B" w:rsidRDefault="00C7600B" w:rsidP="007F293F">
      <w:pPr>
        <w:pStyle w:val="3"/>
      </w:pPr>
      <w:r w:rsidRPr="00AB5739">
        <w:rPr>
          <w:rFonts w:hAnsi="標楷體" w:hint="eastAsia"/>
        </w:rPr>
        <w:t>行政院於91年間核定「挑戰2008：國家發展重點計畫」，</w:t>
      </w:r>
      <w:proofErr w:type="gramStart"/>
      <w:r w:rsidRPr="00AB5739">
        <w:rPr>
          <w:rFonts w:hAnsi="標楷體" w:hint="eastAsia"/>
        </w:rPr>
        <w:t>將</w:t>
      </w:r>
      <w:r w:rsidRPr="00D22AAA">
        <w:rPr>
          <w:rFonts w:hAnsi="標楷體" w:hint="eastAsia"/>
        </w:rPr>
        <w:t>文創產業</w:t>
      </w:r>
      <w:proofErr w:type="gramEnd"/>
      <w:r w:rsidRPr="00AB5739">
        <w:rPr>
          <w:rFonts w:hAnsi="標楷體" w:hint="eastAsia"/>
        </w:rPr>
        <w:t>列為主要發展計畫之</w:t>
      </w:r>
      <w:proofErr w:type="gramStart"/>
      <w:r w:rsidRPr="00AB5739">
        <w:rPr>
          <w:rFonts w:hAnsi="標楷體" w:hint="eastAsia"/>
        </w:rPr>
        <w:t>一</w:t>
      </w:r>
      <w:proofErr w:type="gramEnd"/>
      <w:r w:rsidR="00486746">
        <w:rPr>
          <w:rFonts w:hAnsi="標楷體" w:hint="eastAsia"/>
        </w:rPr>
        <w:t>。</w:t>
      </w:r>
      <w:proofErr w:type="gramStart"/>
      <w:r w:rsidRPr="00305A44">
        <w:rPr>
          <w:rFonts w:hAnsi="標楷體" w:hint="eastAsia"/>
        </w:rPr>
        <w:t>文化部</w:t>
      </w:r>
      <w:r w:rsidRPr="00AB5739">
        <w:rPr>
          <w:rFonts w:hAnsi="標楷體" w:hint="eastAsia"/>
        </w:rPr>
        <w:t>即針對</w:t>
      </w:r>
      <w:proofErr w:type="gramEnd"/>
      <w:r w:rsidRPr="00AB5739">
        <w:rPr>
          <w:rFonts w:hAnsi="標楷體" w:hint="eastAsia"/>
        </w:rPr>
        <w:t>主管之「音樂及表演藝術產業」、「視覺藝術產業」、「工藝產業」及「文化展演設施產業」</w:t>
      </w:r>
      <w:r>
        <w:rPr>
          <w:rFonts w:hAnsi="標楷體" w:hint="eastAsia"/>
        </w:rPr>
        <w:t>等4</w:t>
      </w:r>
      <w:r w:rsidRPr="00AB5739">
        <w:rPr>
          <w:rFonts w:hAnsi="標楷體" w:hint="eastAsia"/>
        </w:rPr>
        <w:t>項藝文產業，以產業鏈之概念，就「人才培育」、「環境整備」、「</w:t>
      </w:r>
      <w:proofErr w:type="gramStart"/>
      <w:r w:rsidRPr="00AB5739">
        <w:rPr>
          <w:rFonts w:hAnsi="標楷體" w:hint="eastAsia"/>
        </w:rPr>
        <w:t>文創產業</w:t>
      </w:r>
      <w:proofErr w:type="gramEnd"/>
      <w:r w:rsidRPr="00AB5739">
        <w:rPr>
          <w:rFonts w:hAnsi="標楷體" w:hint="eastAsia"/>
        </w:rPr>
        <w:t>扶植」</w:t>
      </w:r>
      <w:r>
        <w:rPr>
          <w:rFonts w:hAnsi="標楷體" w:hint="eastAsia"/>
        </w:rPr>
        <w:t>等3</w:t>
      </w:r>
      <w:r w:rsidRPr="00AB5739">
        <w:rPr>
          <w:rFonts w:hAnsi="標楷體" w:hint="eastAsia"/>
        </w:rPr>
        <w:t>面向，</w:t>
      </w:r>
      <w:proofErr w:type="gramStart"/>
      <w:r w:rsidRPr="00AB5739">
        <w:rPr>
          <w:rFonts w:hAnsi="標楷體" w:hint="eastAsia"/>
        </w:rPr>
        <w:t>提出文創產業</w:t>
      </w:r>
      <w:proofErr w:type="gramEnd"/>
      <w:r w:rsidRPr="00AB5739">
        <w:rPr>
          <w:rFonts w:hAnsi="標楷體" w:hint="eastAsia"/>
        </w:rPr>
        <w:t>發展第1期計畫(92~96年)</w:t>
      </w:r>
      <w:r>
        <w:rPr>
          <w:rFonts w:hAnsi="標楷體" w:hint="eastAsia"/>
        </w:rPr>
        <w:t>；</w:t>
      </w:r>
      <w:r w:rsidRPr="00AB5739">
        <w:rPr>
          <w:rFonts w:hAnsi="標楷體" w:hint="eastAsia"/>
        </w:rPr>
        <w:t>適逢</w:t>
      </w:r>
      <w:r w:rsidRPr="00477280">
        <w:rPr>
          <w:rFonts w:hAnsi="標楷體" w:hint="eastAsia"/>
        </w:rPr>
        <w:t>臺灣</w:t>
      </w:r>
      <w:r w:rsidR="00206398" w:rsidRPr="00477280">
        <w:rPr>
          <w:rFonts w:hAnsi="標楷體" w:hint="eastAsia"/>
        </w:rPr>
        <w:t>省</w:t>
      </w:r>
      <w:r w:rsidRPr="00477280">
        <w:rPr>
          <w:rFonts w:hAnsi="標楷體" w:hint="eastAsia"/>
        </w:rPr>
        <w:t>菸酒公賣局</w:t>
      </w:r>
      <w:r w:rsidR="0060097C" w:rsidRPr="00477280">
        <w:rPr>
          <w:rStyle w:val="afe"/>
          <w:rFonts w:hAnsi="標楷體"/>
        </w:rPr>
        <w:footnoteReference w:id="1"/>
      </w:r>
      <w:r w:rsidRPr="00AB5739">
        <w:rPr>
          <w:rFonts w:hAnsi="標楷體" w:hint="eastAsia"/>
        </w:rPr>
        <w:t>繳回</w:t>
      </w:r>
      <w:proofErr w:type="gramStart"/>
      <w:r w:rsidRPr="00AB5739">
        <w:rPr>
          <w:rFonts w:hAnsi="標楷體" w:hint="eastAsia"/>
        </w:rPr>
        <w:t>臺</w:t>
      </w:r>
      <w:proofErr w:type="gramEnd"/>
      <w:r w:rsidRPr="00AB5739">
        <w:rPr>
          <w:rFonts w:hAnsi="標楷體" w:hint="eastAsia"/>
        </w:rPr>
        <w:t>北、花蓮、</w:t>
      </w:r>
      <w:proofErr w:type="gramStart"/>
      <w:r w:rsidRPr="00AB5739">
        <w:rPr>
          <w:rFonts w:hAnsi="標楷體" w:hint="eastAsia"/>
        </w:rPr>
        <w:t>臺</w:t>
      </w:r>
      <w:proofErr w:type="gramEnd"/>
      <w:r w:rsidRPr="00AB5739">
        <w:rPr>
          <w:rFonts w:hAnsi="標楷體" w:hint="eastAsia"/>
        </w:rPr>
        <w:t>中、嘉義</w:t>
      </w:r>
      <w:r>
        <w:rPr>
          <w:rFonts w:hAnsi="標楷體" w:hint="eastAsia"/>
        </w:rPr>
        <w:t>4</w:t>
      </w:r>
      <w:r w:rsidRPr="00AB5739">
        <w:rPr>
          <w:rFonts w:hAnsi="標楷體" w:hint="eastAsia"/>
        </w:rPr>
        <w:t>個舊酒廠及</w:t>
      </w:r>
      <w:proofErr w:type="gramStart"/>
      <w:r w:rsidRPr="00AB5739">
        <w:rPr>
          <w:rFonts w:hAnsi="標楷體" w:hint="eastAsia"/>
        </w:rPr>
        <w:t>臺</w:t>
      </w:r>
      <w:proofErr w:type="gramEnd"/>
      <w:r w:rsidRPr="00AB5739">
        <w:rPr>
          <w:rFonts w:hAnsi="標楷體" w:hint="eastAsia"/>
        </w:rPr>
        <w:t>南倉庫群，基於</w:t>
      </w:r>
      <w:r w:rsidRPr="00357C07">
        <w:rPr>
          <w:rFonts w:hAnsi="標楷體" w:hint="eastAsia"/>
        </w:rPr>
        <w:t>工業遺址再利用及</w:t>
      </w:r>
      <w:r w:rsidRPr="004864D0">
        <w:rPr>
          <w:rFonts w:hAnsi="標楷體" w:hint="eastAsia"/>
        </w:rPr>
        <w:t>文化資產</w:t>
      </w:r>
      <w:r w:rsidR="00960319" w:rsidRPr="004864D0">
        <w:rPr>
          <w:rFonts w:hAnsi="標楷體" w:hint="eastAsia"/>
        </w:rPr>
        <w:t>(下稱文資)</w:t>
      </w:r>
      <w:r w:rsidRPr="00357C07">
        <w:rPr>
          <w:rFonts w:hAnsi="標楷體" w:hint="eastAsia"/>
        </w:rPr>
        <w:t>保存等概念，提出「五大創意文化園區</w:t>
      </w:r>
      <w:r w:rsidRPr="00357C07">
        <w:rPr>
          <w:rStyle w:val="afe"/>
          <w:rFonts w:hAnsi="標楷體"/>
        </w:rPr>
        <w:footnoteReference w:id="2"/>
      </w:r>
      <w:r w:rsidRPr="00357C07">
        <w:rPr>
          <w:rFonts w:hAnsi="標楷體" w:hint="eastAsia"/>
        </w:rPr>
        <w:t>設置計畫」，作為</w:t>
      </w:r>
      <w:proofErr w:type="gramStart"/>
      <w:r w:rsidRPr="00357C07">
        <w:rPr>
          <w:rFonts w:hAnsi="標楷體" w:hint="eastAsia"/>
        </w:rPr>
        <w:t>推動文創產業</w:t>
      </w:r>
      <w:proofErr w:type="gramEnd"/>
      <w:r w:rsidRPr="00357C07">
        <w:rPr>
          <w:rFonts w:hAnsi="標楷體" w:hint="eastAsia"/>
        </w:rPr>
        <w:t>發展的基地與資訊交流</w:t>
      </w:r>
      <w:r w:rsidRPr="00E64654">
        <w:rPr>
          <w:rFonts w:hAnsi="標楷體" w:hint="eastAsia"/>
        </w:rPr>
        <w:t>平</w:t>
      </w:r>
      <w:proofErr w:type="gramStart"/>
      <w:r w:rsidRPr="00E64654">
        <w:rPr>
          <w:rFonts w:hAnsi="標楷體" w:hint="eastAsia"/>
        </w:rPr>
        <w:t>臺</w:t>
      </w:r>
      <w:proofErr w:type="gramEnd"/>
      <w:r w:rsidRPr="00E64654">
        <w:rPr>
          <w:rFonts w:hAnsi="標楷體" w:hint="eastAsia"/>
        </w:rPr>
        <w:t>。</w:t>
      </w:r>
      <w:r w:rsidR="000610E6" w:rsidRPr="00E64654">
        <w:rPr>
          <w:rFonts w:hAnsi="標楷體" w:hint="eastAsia"/>
        </w:rPr>
        <w:t>文化</w:t>
      </w:r>
      <w:proofErr w:type="gramStart"/>
      <w:r w:rsidR="00994BB4" w:rsidRPr="00E64654">
        <w:rPr>
          <w:rFonts w:hAnsi="標楷體" w:hint="eastAsia"/>
        </w:rPr>
        <w:t>部</w:t>
      </w:r>
      <w:r w:rsidR="00F73422" w:rsidRPr="00E64654">
        <w:rPr>
          <w:rFonts w:hAnsi="標楷體" w:hint="eastAsia"/>
        </w:rPr>
        <w:t>再</w:t>
      </w:r>
      <w:r w:rsidR="00994BB4" w:rsidRPr="00E64654">
        <w:rPr>
          <w:rFonts w:hAnsi="標楷體" w:hint="eastAsia"/>
        </w:rPr>
        <w:t>於</w:t>
      </w:r>
      <w:r w:rsidR="00994BB4" w:rsidRPr="00E64654">
        <w:rPr>
          <w:rFonts w:hint="eastAsia"/>
        </w:rPr>
        <w:t>文創</w:t>
      </w:r>
      <w:proofErr w:type="gramEnd"/>
      <w:r w:rsidR="00994BB4" w:rsidRPr="00E64654">
        <w:rPr>
          <w:rFonts w:hint="eastAsia"/>
        </w:rPr>
        <w:t>產業發展第2期計畫</w:t>
      </w:r>
      <w:r w:rsidR="00994BB4" w:rsidRPr="00E64654">
        <w:t>(97~100</w:t>
      </w:r>
      <w:r w:rsidR="00994BB4" w:rsidRPr="00357C07">
        <w:rPr>
          <w:rFonts w:hint="eastAsia"/>
        </w:rPr>
        <w:t>年</w:t>
      </w:r>
      <w:r w:rsidR="00994BB4" w:rsidRPr="00357C07">
        <w:t>)</w:t>
      </w:r>
      <w:r w:rsidR="00994BB4" w:rsidRPr="00357C07">
        <w:rPr>
          <w:rFonts w:hint="eastAsia"/>
        </w:rPr>
        <w:t>中，提出各園區之定位</w:t>
      </w:r>
      <w:r w:rsidR="0052541C" w:rsidRPr="00EC7902">
        <w:rPr>
          <w:rFonts w:hint="eastAsia"/>
        </w:rPr>
        <w:t>及目標</w:t>
      </w:r>
      <w:r w:rsidR="0052541C" w:rsidRPr="00031C90">
        <w:rPr>
          <w:rFonts w:hAnsi="標楷體" w:hint="eastAsia"/>
        </w:rPr>
        <w:t>：</w:t>
      </w:r>
      <w:r w:rsidR="0052541C">
        <w:rPr>
          <w:rFonts w:hint="eastAsia"/>
        </w:rPr>
        <w:t>1.</w:t>
      </w:r>
      <w:r w:rsidR="0052541C" w:rsidRPr="006443DE">
        <w:rPr>
          <w:rFonts w:hint="eastAsia"/>
        </w:rPr>
        <w:t>華山園區</w:t>
      </w:r>
      <w:r w:rsidR="0052541C">
        <w:rPr>
          <w:rFonts w:hint="eastAsia"/>
        </w:rPr>
        <w:t>-</w:t>
      </w:r>
      <w:r w:rsidR="0052541C" w:rsidRPr="006443DE">
        <w:rPr>
          <w:rFonts w:hint="eastAsia"/>
        </w:rPr>
        <w:t>「</w:t>
      </w:r>
      <w:proofErr w:type="gramStart"/>
      <w:r w:rsidR="0052541C" w:rsidRPr="006443DE">
        <w:rPr>
          <w:rFonts w:hint="eastAsia"/>
        </w:rPr>
        <w:t>文創</w:t>
      </w:r>
      <w:r w:rsidR="0052541C">
        <w:rPr>
          <w:rFonts w:hint="eastAsia"/>
        </w:rPr>
        <w:t>產業</w:t>
      </w:r>
      <w:proofErr w:type="gramEnd"/>
      <w:r w:rsidR="0052541C" w:rsidRPr="006443DE">
        <w:rPr>
          <w:rFonts w:hint="eastAsia"/>
        </w:rPr>
        <w:t>、跨界藝術</w:t>
      </w:r>
      <w:r w:rsidR="0052541C">
        <w:rPr>
          <w:rFonts w:hint="eastAsia"/>
        </w:rPr>
        <w:t>與</w:t>
      </w:r>
      <w:r w:rsidR="0052541C" w:rsidRPr="006443DE">
        <w:rPr>
          <w:rFonts w:hint="eastAsia"/>
        </w:rPr>
        <w:t>生活美學</w:t>
      </w:r>
      <w:r w:rsidR="0052541C">
        <w:rPr>
          <w:rFonts w:hint="eastAsia"/>
        </w:rPr>
        <w:t>風格塑造</w:t>
      </w:r>
      <w:r w:rsidR="0052541C" w:rsidRPr="006443DE">
        <w:rPr>
          <w:rFonts w:hint="eastAsia"/>
        </w:rPr>
        <w:t>」-</w:t>
      </w:r>
      <w:r w:rsidR="0052541C">
        <w:rPr>
          <w:rFonts w:hint="eastAsia"/>
        </w:rPr>
        <w:t>發展成</w:t>
      </w:r>
      <w:r w:rsidR="0052541C" w:rsidRPr="006443DE">
        <w:rPr>
          <w:rFonts w:hint="eastAsia"/>
        </w:rPr>
        <w:t>文創產業人才培育中心；</w:t>
      </w:r>
      <w:r w:rsidR="0052541C">
        <w:rPr>
          <w:rFonts w:hint="eastAsia"/>
        </w:rPr>
        <w:t>2.</w:t>
      </w:r>
      <w:r w:rsidR="0052541C" w:rsidRPr="006443DE">
        <w:rPr>
          <w:rFonts w:hint="eastAsia"/>
        </w:rPr>
        <w:t>花蓮園區</w:t>
      </w:r>
      <w:r w:rsidR="0052541C">
        <w:rPr>
          <w:rFonts w:hint="eastAsia"/>
        </w:rPr>
        <w:t>-</w:t>
      </w:r>
      <w:r w:rsidR="0052541C" w:rsidRPr="006443DE">
        <w:rPr>
          <w:rFonts w:hint="eastAsia"/>
        </w:rPr>
        <w:t>「文</w:t>
      </w:r>
      <w:r w:rsidR="0052541C">
        <w:rPr>
          <w:rFonts w:hint="eastAsia"/>
        </w:rPr>
        <w:t>化</w:t>
      </w:r>
      <w:r w:rsidR="0052541C" w:rsidRPr="006443DE">
        <w:rPr>
          <w:rFonts w:hint="eastAsia"/>
        </w:rPr>
        <w:t>藝</w:t>
      </w:r>
      <w:r w:rsidR="0052541C">
        <w:rPr>
          <w:rFonts w:hint="eastAsia"/>
        </w:rPr>
        <w:lastRenderedPageBreak/>
        <w:t>術</w:t>
      </w:r>
      <w:r w:rsidR="0052541C" w:rsidRPr="006443DE">
        <w:rPr>
          <w:rFonts w:hint="eastAsia"/>
        </w:rPr>
        <w:t>產業</w:t>
      </w:r>
      <w:r w:rsidR="0052541C">
        <w:rPr>
          <w:rFonts w:hint="eastAsia"/>
        </w:rPr>
        <w:t>與</w:t>
      </w:r>
      <w:r w:rsidR="0052541C" w:rsidRPr="006443DE">
        <w:rPr>
          <w:rFonts w:hint="eastAsia"/>
        </w:rPr>
        <w:t>觀光結合</w:t>
      </w:r>
      <w:r w:rsidR="0052541C">
        <w:rPr>
          <w:rFonts w:hint="eastAsia"/>
        </w:rPr>
        <w:t>的</w:t>
      </w:r>
      <w:r w:rsidR="0052541C" w:rsidRPr="006443DE">
        <w:rPr>
          <w:rFonts w:hint="eastAsia"/>
        </w:rPr>
        <w:t>實驗場域」-達成活化舊市區，再造花蓮</w:t>
      </w:r>
      <w:proofErr w:type="gramStart"/>
      <w:r w:rsidR="0052541C" w:rsidRPr="00585B1C">
        <w:t>洄瀾</w:t>
      </w:r>
      <w:proofErr w:type="gramEnd"/>
      <w:r w:rsidR="0052541C" w:rsidRPr="00585B1C">
        <w:t>夢土</w:t>
      </w:r>
      <w:r w:rsidR="0052541C" w:rsidRPr="006443DE">
        <w:rPr>
          <w:rFonts w:hint="eastAsia"/>
        </w:rPr>
        <w:t>之願景；</w:t>
      </w:r>
      <w:r w:rsidR="0052541C">
        <w:rPr>
          <w:rFonts w:hint="eastAsia"/>
        </w:rPr>
        <w:t>3.</w:t>
      </w:r>
      <w:proofErr w:type="gramStart"/>
      <w:r w:rsidR="0052541C" w:rsidRPr="006443DE">
        <w:rPr>
          <w:rFonts w:hint="eastAsia"/>
        </w:rPr>
        <w:t>臺</w:t>
      </w:r>
      <w:proofErr w:type="gramEnd"/>
      <w:r w:rsidR="0052541C" w:rsidRPr="006443DE">
        <w:rPr>
          <w:rFonts w:hint="eastAsia"/>
        </w:rPr>
        <w:t>中園區</w:t>
      </w:r>
      <w:r w:rsidR="0052541C">
        <w:rPr>
          <w:rFonts w:hint="eastAsia"/>
        </w:rPr>
        <w:t>-</w:t>
      </w:r>
      <w:r w:rsidR="0052541C" w:rsidRPr="006443DE">
        <w:rPr>
          <w:rFonts w:hint="eastAsia"/>
        </w:rPr>
        <w:t>「</w:t>
      </w:r>
      <w:r w:rsidR="0052541C" w:rsidRPr="00585B1C">
        <w:rPr>
          <w:rFonts w:hint="eastAsia"/>
        </w:rPr>
        <w:t>建築</w:t>
      </w:r>
      <w:r w:rsidR="0052541C">
        <w:rPr>
          <w:rFonts w:hint="eastAsia"/>
        </w:rPr>
        <w:t>、</w:t>
      </w:r>
      <w:r w:rsidR="0052541C" w:rsidRPr="00585B1C">
        <w:rPr>
          <w:rFonts w:hint="eastAsia"/>
        </w:rPr>
        <w:t>設計與藝術展演中心</w:t>
      </w:r>
      <w:r w:rsidR="0052541C" w:rsidRPr="006443DE">
        <w:rPr>
          <w:rFonts w:hint="eastAsia"/>
        </w:rPr>
        <w:t>」-</w:t>
      </w:r>
      <w:r w:rsidR="0052541C" w:rsidRPr="006E26F0">
        <w:rPr>
          <w:rFonts w:hint="eastAsia"/>
        </w:rPr>
        <w:t>促成臺灣與世界建築設計產業接軌，成為文資與</w:t>
      </w:r>
      <w:proofErr w:type="gramStart"/>
      <w:r w:rsidR="0052541C" w:rsidRPr="006E26F0">
        <w:rPr>
          <w:rFonts w:hint="eastAsia"/>
        </w:rPr>
        <w:t>文創共</w:t>
      </w:r>
      <w:proofErr w:type="gramEnd"/>
      <w:r w:rsidR="0052541C" w:rsidRPr="006E26F0">
        <w:rPr>
          <w:rFonts w:hint="eastAsia"/>
        </w:rPr>
        <w:t>構的園區</w:t>
      </w:r>
      <w:r w:rsidR="0052541C" w:rsidRPr="006443DE">
        <w:rPr>
          <w:rFonts w:hint="eastAsia"/>
        </w:rPr>
        <w:t>；</w:t>
      </w:r>
      <w:r w:rsidR="0052541C">
        <w:rPr>
          <w:rFonts w:hint="eastAsia"/>
        </w:rPr>
        <w:t>4.</w:t>
      </w:r>
      <w:r w:rsidR="0052541C" w:rsidRPr="006443DE">
        <w:rPr>
          <w:rFonts w:hint="eastAsia"/>
        </w:rPr>
        <w:t>嘉義園區</w:t>
      </w:r>
      <w:r w:rsidR="0052541C">
        <w:rPr>
          <w:rFonts w:hint="eastAsia"/>
        </w:rPr>
        <w:t>-</w:t>
      </w:r>
      <w:r w:rsidR="0052541C" w:rsidRPr="006443DE">
        <w:rPr>
          <w:rFonts w:hint="eastAsia"/>
        </w:rPr>
        <w:t>「傳統藝術創新</w:t>
      </w:r>
      <w:r w:rsidR="0052541C">
        <w:rPr>
          <w:rFonts w:hint="eastAsia"/>
        </w:rPr>
        <w:t>中心</w:t>
      </w:r>
      <w:r w:rsidR="0052541C" w:rsidRPr="006443DE">
        <w:rPr>
          <w:rFonts w:hint="eastAsia"/>
        </w:rPr>
        <w:t>」-</w:t>
      </w:r>
      <w:r w:rsidR="0052541C" w:rsidRPr="004C732A">
        <w:rPr>
          <w:rFonts w:hint="eastAsia"/>
        </w:rPr>
        <w:t>發展酒文化及傳統藝術創新</w:t>
      </w:r>
      <w:r w:rsidR="0052541C" w:rsidRPr="006443DE">
        <w:rPr>
          <w:rFonts w:hint="eastAsia"/>
        </w:rPr>
        <w:t>；</w:t>
      </w:r>
      <w:r w:rsidR="0052541C">
        <w:rPr>
          <w:rFonts w:hint="eastAsia"/>
        </w:rPr>
        <w:t>5.</w:t>
      </w:r>
      <w:proofErr w:type="gramStart"/>
      <w:r w:rsidR="0052541C" w:rsidRPr="006443DE">
        <w:rPr>
          <w:rFonts w:hint="eastAsia"/>
        </w:rPr>
        <w:t>臺</w:t>
      </w:r>
      <w:proofErr w:type="gramEnd"/>
      <w:r w:rsidR="0052541C" w:rsidRPr="006443DE">
        <w:rPr>
          <w:rFonts w:hint="eastAsia"/>
        </w:rPr>
        <w:t>南園區</w:t>
      </w:r>
      <w:r w:rsidR="0052541C">
        <w:rPr>
          <w:rFonts w:hint="eastAsia"/>
        </w:rPr>
        <w:t>-</w:t>
      </w:r>
      <w:r w:rsidR="0052541C" w:rsidRPr="006443DE">
        <w:rPr>
          <w:rFonts w:hint="eastAsia"/>
        </w:rPr>
        <w:t>「創意生活</w:t>
      </w:r>
      <w:r w:rsidR="0052541C">
        <w:rPr>
          <w:rFonts w:hint="eastAsia"/>
        </w:rPr>
        <w:t>發展與體驗</w:t>
      </w:r>
      <w:r w:rsidR="0052541C" w:rsidRPr="006443DE">
        <w:rPr>
          <w:rFonts w:hint="eastAsia"/>
        </w:rPr>
        <w:t>」-</w:t>
      </w:r>
      <w:r w:rsidR="0052541C" w:rsidRPr="004C732A">
        <w:t>打造園區為</w:t>
      </w:r>
      <w:r w:rsidR="0052541C" w:rsidRPr="00810DF1">
        <w:t>南部</w:t>
      </w:r>
      <w:proofErr w:type="gramStart"/>
      <w:r w:rsidR="0052541C" w:rsidRPr="00810DF1">
        <w:t>地區文創產業</w:t>
      </w:r>
      <w:proofErr w:type="gramEnd"/>
      <w:r w:rsidR="0052541C" w:rsidRPr="00810DF1">
        <w:t>整合發展平</w:t>
      </w:r>
      <w:proofErr w:type="gramStart"/>
      <w:r w:rsidR="0052541C" w:rsidRPr="00810DF1">
        <w:t>臺</w:t>
      </w:r>
      <w:proofErr w:type="gramEnd"/>
      <w:r w:rsidR="0052541C" w:rsidRPr="006443DE">
        <w:rPr>
          <w:rFonts w:hint="eastAsia"/>
        </w:rPr>
        <w:t>。</w:t>
      </w:r>
      <w:r w:rsidR="00994BB4">
        <w:rPr>
          <w:rFonts w:hint="eastAsia"/>
        </w:rPr>
        <w:t>擬</w:t>
      </w:r>
      <w:r w:rsidR="00994BB4" w:rsidRPr="00D22AAA">
        <w:t>從文化角度切入產業，運用城市中具有特色之建築物，扎根於在地文化的基礎上，以群聚</w:t>
      </w:r>
      <w:r w:rsidR="00994BB4">
        <w:t>的概念和在地文化交流，建構出文化、產業及地方的三向關係</w:t>
      </w:r>
      <w:r w:rsidR="00994BB4">
        <w:rPr>
          <w:rFonts w:hint="eastAsia"/>
        </w:rPr>
        <w:t>，並</w:t>
      </w:r>
      <w:r w:rsidR="00994BB4">
        <w:t>以</w:t>
      </w:r>
      <w:proofErr w:type="gramStart"/>
      <w:r w:rsidR="00994BB4">
        <w:t>文創產業軸帶</w:t>
      </w:r>
      <w:proofErr w:type="gramEnd"/>
      <w:r w:rsidR="00994BB4">
        <w:t>概念，進行產業串連</w:t>
      </w:r>
      <w:r w:rsidR="00994BB4">
        <w:rPr>
          <w:rFonts w:hint="eastAsia"/>
        </w:rPr>
        <w:t>、</w:t>
      </w:r>
      <w:r w:rsidR="00994BB4">
        <w:t>促使產業產生群聚效應，進而</w:t>
      </w:r>
      <w:proofErr w:type="gramStart"/>
      <w:r w:rsidR="00994BB4">
        <w:t>達成文創產業</w:t>
      </w:r>
      <w:proofErr w:type="gramEnd"/>
      <w:r w:rsidR="00994BB4">
        <w:t>整體區位之發展，提昇產業競爭優勢。</w:t>
      </w:r>
    </w:p>
    <w:p w:rsidR="00B62E3E" w:rsidRDefault="005D1FBA" w:rsidP="0008098C">
      <w:pPr>
        <w:pStyle w:val="3"/>
      </w:pPr>
      <w:proofErr w:type="gramStart"/>
      <w:r>
        <w:rPr>
          <w:rFonts w:hint="eastAsia"/>
        </w:rPr>
        <w:t>文創產業</w:t>
      </w:r>
      <w:proofErr w:type="gramEnd"/>
      <w:r>
        <w:rPr>
          <w:rFonts w:hint="eastAsia"/>
        </w:rPr>
        <w:t>園區係採用促參</w:t>
      </w:r>
      <w:r w:rsidR="004E1901">
        <w:rPr>
          <w:rStyle w:val="afe"/>
        </w:rPr>
        <w:footnoteReference w:id="3"/>
      </w:r>
      <w:r>
        <w:rPr>
          <w:rFonts w:hint="eastAsia"/>
        </w:rPr>
        <w:t>方式將各園區委託民間機構營運，</w:t>
      </w:r>
      <w:proofErr w:type="gramStart"/>
      <w:r w:rsidR="003533C1">
        <w:rPr>
          <w:rFonts w:hint="eastAsia"/>
        </w:rPr>
        <w:t>文化部因</w:t>
      </w:r>
      <w:r>
        <w:rPr>
          <w:rFonts w:hint="eastAsia"/>
        </w:rPr>
        <w:t>未能</w:t>
      </w:r>
      <w:proofErr w:type="gramEnd"/>
      <w:r>
        <w:rPr>
          <w:rFonts w:hint="eastAsia"/>
        </w:rPr>
        <w:t>預知民間機構將如何規劃園區，</w:t>
      </w:r>
      <w:r w:rsidR="00111F33">
        <w:rPr>
          <w:rFonts w:hint="eastAsia"/>
        </w:rPr>
        <w:t>故僅就</w:t>
      </w:r>
      <w:r w:rsidR="000E6629">
        <w:rPr>
          <w:rFonts w:hint="eastAsia"/>
        </w:rPr>
        <w:t>各</w:t>
      </w:r>
      <w:r>
        <w:rPr>
          <w:rFonts w:hint="eastAsia"/>
        </w:rPr>
        <w:t>園區既有建築物結構及基礎使用進行基本整建，而民間機構</w:t>
      </w:r>
      <w:r w:rsidR="000B2A9D">
        <w:rPr>
          <w:rFonts w:hint="eastAsia"/>
        </w:rPr>
        <w:t>因</w:t>
      </w:r>
      <w:r>
        <w:rPr>
          <w:rFonts w:hint="eastAsia"/>
        </w:rPr>
        <w:t>需負擔營運及整建經費，基於財務需求及營運考量，</w:t>
      </w:r>
      <w:r w:rsidR="000B2A9D">
        <w:rPr>
          <w:rFonts w:hint="eastAsia"/>
        </w:rPr>
        <w:t>多</w:t>
      </w:r>
      <w:r>
        <w:rPr>
          <w:rFonts w:hint="eastAsia"/>
        </w:rPr>
        <w:t>以獲利為優先考量</w:t>
      </w:r>
      <w:r w:rsidR="00B62E3E">
        <w:rPr>
          <w:rFonts w:hint="eastAsia"/>
        </w:rPr>
        <w:t>，</w:t>
      </w:r>
      <w:r w:rsidR="000B2A9D">
        <w:rPr>
          <w:rFonts w:hint="eastAsia"/>
        </w:rPr>
        <w:t>致</w:t>
      </w:r>
      <w:proofErr w:type="gramStart"/>
      <w:r w:rsidR="00F14890">
        <w:rPr>
          <w:rFonts w:hint="eastAsia"/>
        </w:rPr>
        <w:t>五大文創產業</w:t>
      </w:r>
      <w:proofErr w:type="gramEnd"/>
      <w:r w:rsidR="00F14890">
        <w:rPr>
          <w:rFonts w:hint="eastAsia"/>
        </w:rPr>
        <w:t>園區發展未如預期</w:t>
      </w:r>
      <w:r w:rsidR="003D5A27">
        <w:rPr>
          <w:rFonts w:hint="eastAsia"/>
        </w:rPr>
        <w:t>，</w:t>
      </w:r>
      <w:r w:rsidR="003D5A27" w:rsidRPr="003D5A27">
        <w:rPr>
          <w:rFonts w:hint="eastAsia"/>
        </w:rPr>
        <w:t>近年來外界</w:t>
      </w:r>
      <w:proofErr w:type="gramStart"/>
      <w:r w:rsidR="003D5A27" w:rsidRPr="003D5A27">
        <w:rPr>
          <w:rFonts w:hint="eastAsia"/>
        </w:rPr>
        <w:t>對文創產業</w:t>
      </w:r>
      <w:proofErr w:type="gramEnd"/>
      <w:r w:rsidR="003D5A27" w:rsidRPr="003D5A27">
        <w:rPr>
          <w:rFonts w:hint="eastAsia"/>
        </w:rPr>
        <w:t>園區之經營成效屢有質疑</w:t>
      </w:r>
      <w:r w:rsidR="003D5A27">
        <w:rPr>
          <w:rFonts w:hint="eastAsia"/>
        </w:rPr>
        <w:t>，例如</w:t>
      </w:r>
      <w:r w:rsidR="003D5A27" w:rsidRPr="003D5A27">
        <w:rPr>
          <w:rFonts w:hint="eastAsia"/>
        </w:rPr>
        <w:t>「</w:t>
      </w:r>
      <w:proofErr w:type="gramStart"/>
      <w:r w:rsidR="003D5A27" w:rsidRPr="003D5A27">
        <w:rPr>
          <w:rFonts w:hint="eastAsia"/>
        </w:rPr>
        <w:t>文創產業</w:t>
      </w:r>
      <w:proofErr w:type="gramEnd"/>
      <w:r w:rsidR="003D5A27" w:rsidRPr="003D5A27">
        <w:rPr>
          <w:rFonts w:hint="eastAsia"/>
        </w:rPr>
        <w:t>園區大多只是掛著文藝形象的複合式商場，產業聚落搞成大賣場，不僅徒有其名，也排擠原先提供展演創作空間之初衷」</w:t>
      </w:r>
      <w:r w:rsidR="003D5A27">
        <w:rPr>
          <w:rFonts w:hint="eastAsia"/>
        </w:rPr>
        <w:t>等</w:t>
      </w:r>
      <w:r w:rsidR="00F74064">
        <w:rPr>
          <w:rFonts w:hint="eastAsia"/>
        </w:rPr>
        <w:t>。</w:t>
      </w:r>
      <w:r w:rsidR="009E52C2">
        <w:rPr>
          <w:rFonts w:hint="eastAsia"/>
        </w:rPr>
        <w:t>立法院</w:t>
      </w:r>
      <w:proofErr w:type="gramStart"/>
      <w:r w:rsidR="009E52C2">
        <w:rPr>
          <w:rFonts w:hint="eastAsia"/>
        </w:rPr>
        <w:t>107</w:t>
      </w:r>
      <w:proofErr w:type="gramEnd"/>
      <w:r w:rsidR="009E52C2">
        <w:rPr>
          <w:rFonts w:hint="eastAsia"/>
        </w:rPr>
        <w:t>年度中央政府總預算案整體評估報告「貳、施政計畫」提及「</w:t>
      </w:r>
      <w:r w:rsidR="009E52C2" w:rsidRPr="001E455B">
        <w:rPr>
          <w:rFonts w:hint="eastAsia"/>
        </w:rPr>
        <w:t>我國文創產業發展速度落後整體經濟發展，且表現遜於全球及鄰近國家，</w:t>
      </w:r>
      <w:proofErr w:type="gramStart"/>
      <w:r w:rsidR="009E52C2" w:rsidRPr="001E455B">
        <w:rPr>
          <w:rFonts w:hint="eastAsia"/>
        </w:rPr>
        <w:t>允宜精進</w:t>
      </w:r>
      <w:proofErr w:type="gramEnd"/>
      <w:r w:rsidR="009E52C2" w:rsidRPr="001E455B">
        <w:rPr>
          <w:rFonts w:hint="eastAsia"/>
        </w:rPr>
        <w:t>我國文化產品之內容品質及國際競爭力</w:t>
      </w:r>
      <w:r w:rsidR="009E52C2">
        <w:rPr>
          <w:rFonts w:hint="eastAsia"/>
        </w:rPr>
        <w:t>」；</w:t>
      </w:r>
      <w:r w:rsidR="00C530E8">
        <w:rPr>
          <w:rFonts w:hint="eastAsia"/>
        </w:rPr>
        <w:t>亦有媒體於</w:t>
      </w:r>
      <w:proofErr w:type="gramStart"/>
      <w:r w:rsidR="00F14890">
        <w:rPr>
          <w:rFonts w:hint="eastAsia"/>
        </w:rPr>
        <w:t>106年8月間</w:t>
      </w:r>
      <w:r w:rsidR="00C530E8">
        <w:rPr>
          <w:rFonts w:hint="eastAsia"/>
        </w:rPr>
        <w:lastRenderedPageBreak/>
        <w:t>以</w:t>
      </w:r>
      <w:r w:rsidR="00CA630D">
        <w:rPr>
          <w:rFonts w:hint="eastAsia"/>
        </w:rPr>
        <w:t>一系列</w:t>
      </w:r>
      <w:proofErr w:type="gramEnd"/>
      <w:r w:rsidR="00CA630D">
        <w:rPr>
          <w:rFonts w:hint="eastAsia"/>
        </w:rPr>
        <w:t>報導</w:t>
      </w:r>
      <w:r w:rsidR="00C015CF">
        <w:rPr>
          <w:rStyle w:val="afe"/>
        </w:rPr>
        <w:footnoteReference w:id="4"/>
      </w:r>
      <w:r w:rsidR="00CA630D">
        <w:rPr>
          <w:rFonts w:hint="eastAsia"/>
        </w:rPr>
        <w:t>指出，</w:t>
      </w:r>
      <w:r w:rsidR="00F46F41">
        <w:rPr>
          <w:rFonts w:hint="eastAsia"/>
        </w:rPr>
        <w:t>「</w:t>
      </w:r>
      <w:proofErr w:type="gramStart"/>
      <w:r w:rsidR="00F46F41">
        <w:rPr>
          <w:rFonts w:hint="eastAsia"/>
        </w:rPr>
        <w:t>文創園區</w:t>
      </w:r>
      <w:proofErr w:type="gramEnd"/>
      <w:r w:rsidR="00F46F41">
        <w:rPr>
          <w:rFonts w:hint="eastAsia"/>
        </w:rPr>
        <w:t>，藝術家實際進駐使用率低，沒有一個超過15%」、</w:t>
      </w:r>
      <w:r w:rsidR="004C4D77">
        <w:rPr>
          <w:rFonts w:hint="eastAsia"/>
        </w:rPr>
        <w:t>「部分文創園區逾</w:t>
      </w:r>
      <w:proofErr w:type="gramStart"/>
      <w:r w:rsidR="004C4D77">
        <w:rPr>
          <w:rFonts w:hint="eastAsia"/>
        </w:rPr>
        <w:t>5成</w:t>
      </w:r>
      <w:proofErr w:type="gramEnd"/>
      <w:r w:rsidR="004C4D77">
        <w:rPr>
          <w:rFonts w:hint="eastAsia"/>
        </w:rPr>
        <w:t>空間用於經營餐飲、開設商店等，不符園區設置的初衷」、「</w:t>
      </w:r>
      <w:proofErr w:type="gramStart"/>
      <w:r w:rsidR="00E21A89">
        <w:rPr>
          <w:rFonts w:hint="eastAsia"/>
        </w:rPr>
        <w:t>文創從</w:t>
      </w:r>
      <w:proofErr w:type="gramEnd"/>
      <w:r w:rsidR="00E21A89">
        <w:rPr>
          <w:rFonts w:hint="eastAsia"/>
        </w:rPr>
        <w:t>2002年就被政府視為臺灣產業轉型、刺激經濟的新興產業，但各項數據顯示發展不如預期</w:t>
      </w:r>
      <w:r w:rsidR="004C4D77">
        <w:rPr>
          <w:rFonts w:hint="eastAsia"/>
        </w:rPr>
        <w:t>」</w:t>
      </w:r>
      <w:r w:rsidR="00B66A6D">
        <w:rPr>
          <w:rFonts w:hint="eastAsia"/>
        </w:rPr>
        <w:t>、「</w:t>
      </w:r>
      <w:r w:rsidR="00EC3407" w:rsidRPr="00EC3407">
        <w:rPr>
          <w:rFonts w:hint="eastAsia"/>
        </w:rPr>
        <w:t>我國</w:t>
      </w:r>
      <w:proofErr w:type="gramStart"/>
      <w:r w:rsidR="00EC3407" w:rsidRPr="00EC3407">
        <w:rPr>
          <w:rFonts w:hint="eastAsia"/>
        </w:rPr>
        <w:t>的文創產業</w:t>
      </w:r>
      <w:proofErr w:type="gramEnd"/>
      <w:r w:rsidR="00EC3407" w:rsidRPr="00EC3407">
        <w:rPr>
          <w:rFonts w:hint="eastAsia"/>
        </w:rPr>
        <w:t>外銷收入自2011年創下</w:t>
      </w:r>
      <w:r w:rsidR="003A549A">
        <w:rPr>
          <w:rFonts w:hint="eastAsia"/>
        </w:rPr>
        <w:t>新臺幣(下同)</w:t>
      </w:r>
      <w:r w:rsidR="00EC3407" w:rsidRPr="00EC3407">
        <w:rPr>
          <w:rFonts w:hint="eastAsia"/>
        </w:rPr>
        <w:t>1,252億元高峰後，旋即呈現衰退趨勢，其中2012至2013年衰退9.28%</w:t>
      </w:r>
      <w:r w:rsidR="00EC3407">
        <w:rPr>
          <w:rFonts w:hint="eastAsia"/>
        </w:rPr>
        <w:t>…</w:t>
      </w:r>
      <w:proofErr w:type="gramStart"/>
      <w:r w:rsidR="00EC3407">
        <w:rPr>
          <w:rFonts w:hint="eastAsia"/>
        </w:rPr>
        <w:t>…</w:t>
      </w:r>
      <w:proofErr w:type="gramEnd"/>
      <w:r w:rsidR="0008098C">
        <w:rPr>
          <w:rFonts w:hint="eastAsia"/>
        </w:rPr>
        <w:t>；</w:t>
      </w:r>
      <w:proofErr w:type="gramStart"/>
      <w:r w:rsidR="00B30EAB">
        <w:rPr>
          <w:rFonts w:hint="eastAsia"/>
        </w:rPr>
        <w:t>臺灣文創外銷</w:t>
      </w:r>
      <w:proofErr w:type="gramEnd"/>
      <w:r w:rsidR="00B30EAB">
        <w:rPr>
          <w:rFonts w:hint="eastAsia"/>
        </w:rPr>
        <w:t>收入比重也從2011年的15.34%掉至2015年的10.68%</w:t>
      </w:r>
      <w:r w:rsidR="0008098C">
        <w:rPr>
          <w:rFonts w:hint="eastAsia"/>
        </w:rPr>
        <w:t>…</w:t>
      </w:r>
      <w:proofErr w:type="gramStart"/>
      <w:r w:rsidR="0008098C">
        <w:rPr>
          <w:rFonts w:hint="eastAsia"/>
        </w:rPr>
        <w:t>…</w:t>
      </w:r>
      <w:proofErr w:type="gramEnd"/>
      <w:r w:rsidR="0008098C">
        <w:rPr>
          <w:rFonts w:hint="eastAsia"/>
        </w:rPr>
        <w:t>；</w:t>
      </w:r>
      <w:proofErr w:type="gramStart"/>
      <w:r w:rsidR="0008098C" w:rsidRPr="0008098C">
        <w:rPr>
          <w:rFonts w:hint="eastAsia"/>
        </w:rPr>
        <w:t>文創產業</w:t>
      </w:r>
      <w:proofErr w:type="gramEnd"/>
      <w:r w:rsidR="0008098C" w:rsidRPr="0008098C">
        <w:rPr>
          <w:rFonts w:hint="eastAsia"/>
        </w:rPr>
        <w:t>營業額占全國GDP比重，</w:t>
      </w:r>
      <w:r w:rsidR="0008098C">
        <w:rPr>
          <w:rFonts w:hint="eastAsia"/>
        </w:rPr>
        <w:t>…</w:t>
      </w:r>
      <w:proofErr w:type="gramStart"/>
      <w:r w:rsidR="0008098C">
        <w:rPr>
          <w:rFonts w:hint="eastAsia"/>
        </w:rPr>
        <w:t>…</w:t>
      </w:r>
      <w:proofErr w:type="gramEnd"/>
      <w:r w:rsidR="0008098C">
        <w:rPr>
          <w:rFonts w:hint="eastAsia"/>
        </w:rPr>
        <w:t>也</w:t>
      </w:r>
      <w:r w:rsidR="0008098C" w:rsidRPr="0008098C">
        <w:rPr>
          <w:rFonts w:hint="eastAsia"/>
        </w:rPr>
        <w:t>從2010年的5.62%下滑至2015年的5%</w:t>
      </w:r>
      <w:r w:rsidR="00AD18E3">
        <w:rPr>
          <w:rFonts w:hint="eastAsia"/>
        </w:rPr>
        <w:t>」</w:t>
      </w:r>
      <w:r w:rsidR="00B66A6D">
        <w:rPr>
          <w:rFonts w:hint="eastAsia"/>
        </w:rPr>
        <w:t>、</w:t>
      </w:r>
      <w:r w:rsidR="00E21A89">
        <w:rPr>
          <w:rFonts w:hint="eastAsia"/>
        </w:rPr>
        <w:t>「</w:t>
      </w:r>
      <w:r w:rsidR="00C670BF">
        <w:rPr>
          <w:rFonts w:hint="eastAsia"/>
        </w:rPr>
        <w:t>走</w:t>
      </w:r>
      <w:proofErr w:type="gramStart"/>
      <w:r w:rsidR="00C670BF">
        <w:rPr>
          <w:rFonts w:hint="eastAsia"/>
        </w:rPr>
        <w:t>一趟文創園區</w:t>
      </w:r>
      <w:proofErr w:type="gramEnd"/>
      <w:r w:rsidR="00C670BF">
        <w:rPr>
          <w:rFonts w:hint="eastAsia"/>
        </w:rPr>
        <w:t>，商品跟百貨公司都差不多，一成不變的樣態當然產值不會太高，缺少原創性也難走向世界</w:t>
      </w:r>
      <w:r w:rsidR="00E21A89">
        <w:rPr>
          <w:rFonts w:hint="eastAsia"/>
        </w:rPr>
        <w:t>」</w:t>
      </w:r>
      <w:r w:rsidR="00C530E8">
        <w:rPr>
          <w:rFonts w:hint="eastAsia"/>
        </w:rPr>
        <w:t>等情。</w:t>
      </w:r>
    </w:p>
    <w:p w:rsidR="001B6B93" w:rsidRDefault="00F456FF" w:rsidP="0048655F">
      <w:pPr>
        <w:pStyle w:val="3"/>
      </w:pPr>
      <w:r>
        <w:rPr>
          <w:rFonts w:hint="eastAsia"/>
        </w:rPr>
        <w:t>台灣文化創意協會陳啟雄教授曾指出</w:t>
      </w:r>
      <w:r>
        <w:rPr>
          <w:rStyle w:val="afe"/>
        </w:rPr>
        <w:footnoteReference w:id="5"/>
      </w:r>
      <w:r>
        <w:rPr>
          <w:rFonts w:hint="eastAsia"/>
        </w:rPr>
        <w:t>，</w:t>
      </w:r>
      <w:r w:rsidR="00795309">
        <w:rPr>
          <w:rFonts w:hint="eastAsia"/>
        </w:rPr>
        <w:t>「</w:t>
      </w:r>
      <w:proofErr w:type="gramStart"/>
      <w:r w:rsidR="00795309">
        <w:rPr>
          <w:rFonts w:hint="eastAsia"/>
        </w:rPr>
        <w:t>文創產業</w:t>
      </w:r>
      <w:proofErr w:type="gramEnd"/>
      <w:r w:rsidR="00795309">
        <w:rPr>
          <w:rFonts w:hint="eastAsia"/>
        </w:rPr>
        <w:t>必須是</w:t>
      </w:r>
      <w:r w:rsidR="00795309" w:rsidRPr="00742CC7">
        <w:rPr>
          <w:rFonts w:hint="eastAsia"/>
        </w:rPr>
        <w:t>以文化為內涵、創意為其表現形式，並由產業型態提高產值的方式進行」、「文化商品與一般商品具有相當大的差異性，除了必須擁有相當豐厚的歷史意義、人文特徵及文化情感外，還要能將文化相關的符號元素、故事轉化為有形的文化資產，然後傳達給消費者」。</w:t>
      </w:r>
      <w:r w:rsidR="00E15370" w:rsidRPr="00742CC7">
        <w:rPr>
          <w:rFonts w:hint="eastAsia"/>
        </w:rPr>
        <w:t>本院諮詢</w:t>
      </w:r>
      <w:r w:rsidR="009F5EAB" w:rsidRPr="00742CC7">
        <w:rPr>
          <w:rFonts w:hint="eastAsia"/>
        </w:rPr>
        <w:t>委員亦指出，</w:t>
      </w:r>
      <w:r w:rsidR="00AB4347" w:rsidRPr="00742CC7">
        <w:rPr>
          <w:rFonts w:hint="eastAsia"/>
        </w:rPr>
        <w:t>「</w:t>
      </w:r>
      <w:proofErr w:type="gramStart"/>
      <w:r w:rsidR="00AB4347" w:rsidRPr="00742CC7">
        <w:rPr>
          <w:rFonts w:hint="eastAsia"/>
        </w:rPr>
        <w:t>文化部應擬定</w:t>
      </w:r>
      <w:proofErr w:type="gramEnd"/>
      <w:r w:rsidR="00AB4347" w:rsidRPr="00742CC7">
        <w:rPr>
          <w:rFonts w:hint="eastAsia"/>
        </w:rPr>
        <w:t>策略，讓</w:t>
      </w:r>
      <w:r w:rsidR="000A79ED" w:rsidRPr="00742CC7">
        <w:rPr>
          <w:rFonts w:hint="eastAsia"/>
        </w:rPr>
        <w:t>文化</w:t>
      </w:r>
      <w:r w:rsidR="00AB4347" w:rsidRPr="00742CC7">
        <w:rPr>
          <w:rFonts w:hint="eastAsia"/>
        </w:rPr>
        <w:t>底蘊</w:t>
      </w:r>
      <w:r w:rsidR="00AB4347" w:rsidRPr="00AB4347">
        <w:rPr>
          <w:rFonts w:hint="eastAsia"/>
        </w:rPr>
        <w:t>浮現出來，加入創意，變成有加值的東西，企業家才會願意投資</w:t>
      </w:r>
      <w:r w:rsidR="00795309">
        <w:rPr>
          <w:rFonts w:hint="eastAsia"/>
        </w:rPr>
        <w:t>…</w:t>
      </w:r>
      <w:proofErr w:type="gramStart"/>
      <w:r w:rsidR="00795309">
        <w:rPr>
          <w:rFonts w:hint="eastAsia"/>
        </w:rPr>
        <w:t>…</w:t>
      </w:r>
      <w:proofErr w:type="gramEnd"/>
      <w:r w:rsidR="00AB4347" w:rsidRPr="00AB4347">
        <w:rPr>
          <w:rFonts w:hint="eastAsia"/>
        </w:rPr>
        <w:t>才會</w:t>
      </w:r>
      <w:proofErr w:type="gramStart"/>
      <w:r w:rsidR="00AB4347" w:rsidRPr="00AB4347">
        <w:rPr>
          <w:rFonts w:hint="eastAsia"/>
        </w:rPr>
        <w:t>有文創產值</w:t>
      </w:r>
      <w:proofErr w:type="gramEnd"/>
      <w:r w:rsidR="00AB4347">
        <w:rPr>
          <w:rFonts w:hint="eastAsia"/>
        </w:rPr>
        <w:t>」</w:t>
      </w:r>
      <w:r w:rsidR="00795309">
        <w:rPr>
          <w:rFonts w:hint="eastAsia"/>
        </w:rPr>
        <w:t>、「</w:t>
      </w:r>
      <w:r w:rsidR="00795309" w:rsidRPr="00AB4347">
        <w:rPr>
          <w:rFonts w:hint="eastAsia"/>
        </w:rPr>
        <w:t>產業經營一定是B to B to C，不是B to C</w:t>
      </w:r>
      <w:r w:rsidR="00795309">
        <w:rPr>
          <w:rStyle w:val="afe"/>
        </w:rPr>
        <w:footnoteReference w:id="6"/>
      </w:r>
      <w:r w:rsidR="00795309" w:rsidRPr="00AB4347">
        <w:rPr>
          <w:rFonts w:hint="eastAsia"/>
        </w:rPr>
        <w:t>，但是現在都把它當成B to C，就</w:t>
      </w:r>
      <w:r w:rsidR="00795309" w:rsidRPr="001B6B93">
        <w:rPr>
          <w:rFonts w:hint="eastAsia"/>
        </w:rPr>
        <w:t>只是攤位</w:t>
      </w:r>
      <w:r w:rsidR="00795309">
        <w:rPr>
          <w:rFonts w:hint="eastAsia"/>
        </w:rPr>
        <w:t>」等語。</w:t>
      </w:r>
      <w:r w:rsidR="001B6B93">
        <w:rPr>
          <w:rFonts w:hint="eastAsia"/>
        </w:rPr>
        <w:t>復經本院履</w:t>
      </w:r>
      <w:proofErr w:type="gramStart"/>
      <w:r w:rsidR="001B6B93">
        <w:rPr>
          <w:rFonts w:hint="eastAsia"/>
        </w:rPr>
        <w:t>勘臺</w:t>
      </w:r>
      <w:proofErr w:type="gramEnd"/>
      <w:r w:rsidR="001B6B93">
        <w:rPr>
          <w:rFonts w:hint="eastAsia"/>
        </w:rPr>
        <w:t>中、嘉義、</w:t>
      </w:r>
      <w:proofErr w:type="gramStart"/>
      <w:r w:rsidR="001B6B93">
        <w:rPr>
          <w:rFonts w:hint="eastAsia"/>
        </w:rPr>
        <w:t>臺</w:t>
      </w:r>
      <w:proofErr w:type="gramEnd"/>
      <w:r w:rsidR="001B6B93">
        <w:rPr>
          <w:rFonts w:hint="eastAsia"/>
        </w:rPr>
        <w:t>南、花蓮等園</w:t>
      </w:r>
      <w:r w:rsidR="001B6B93">
        <w:rPr>
          <w:rFonts w:hint="eastAsia"/>
        </w:rPr>
        <w:lastRenderedPageBreak/>
        <w:t>區，發現各園區主要空間不外乎展場(</w:t>
      </w:r>
      <w:proofErr w:type="gramStart"/>
      <w:r w:rsidR="001B6B93">
        <w:rPr>
          <w:rFonts w:hint="eastAsia"/>
        </w:rPr>
        <w:t>展演區</w:t>
      </w:r>
      <w:proofErr w:type="gramEnd"/>
      <w:r w:rsidR="001B6B93">
        <w:rPr>
          <w:rFonts w:hint="eastAsia"/>
        </w:rPr>
        <w:t>)、賣場(商業機能區)、工藝體驗(DIY)等，不僅功能重複性高，亦欠缺</w:t>
      </w:r>
      <w:r w:rsidR="001B6B93" w:rsidRPr="001B6B93">
        <w:rPr>
          <w:rFonts w:hint="eastAsia"/>
        </w:rPr>
        <w:t>地方文化特色元素</w:t>
      </w:r>
      <w:r w:rsidR="001B6B93">
        <w:rPr>
          <w:rFonts w:hint="eastAsia"/>
        </w:rPr>
        <w:t>，均未能顯現出「運用</w:t>
      </w:r>
      <w:r w:rsidR="001B6B93" w:rsidRPr="00E56707">
        <w:rPr>
          <w:rFonts w:hAnsi="標楷體" w:hint="eastAsia"/>
        </w:rPr>
        <w:t>在地</w:t>
      </w:r>
      <w:r w:rsidR="001B6B93" w:rsidRPr="007E6311">
        <w:rPr>
          <w:rFonts w:hint="eastAsia"/>
        </w:rPr>
        <w:t>文化</w:t>
      </w:r>
      <w:r w:rsidR="001B6B93" w:rsidRPr="00E56707">
        <w:rPr>
          <w:rFonts w:hAnsi="標楷體" w:hint="eastAsia"/>
        </w:rPr>
        <w:t>素材</w:t>
      </w:r>
      <w:r w:rsidR="001B6B93">
        <w:rPr>
          <w:rFonts w:hint="eastAsia"/>
        </w:rPr>
        <w:t>加值應用」之成果。</w:t>
      </w:r>
    </w:p>
    <w:p w:rsidR="0048655F" w:rsidRPr="00E64654" w:rsidRDefault="00CB465D" w:rsidP="00C761CB">
      <w:pPr>
        <w:pStyle w:val="3"/>
      </w:pPr>
      <w:r>
        <w:rPr>
          <w:rFonts w:hint="eastAsia"/>
        </w:rPr>
        <w:t>有關</w:t>
      </w:r>
      <w:proofErr w:type="gramStart"/>
      <w:r w:rsidR="002543B2" w:rsidRPr="007F293F">
        <w:rPr>
          <w:rFonts w:hint="eastAsia"/>
        </w:rPr>
        <w:t>推動文創產業</w:t>
      </w:r>
      <w:proofErr w:type="gramEnd"/>
      <w:r w:rsidR="002543B2" w:rsidRPr="007F293F">
        <w:rPr>
          <w:rFonts w:hint="eastAsia"/>
        </w:rPr>
        <w:t>發展</w:t>
      </w:r>
      <w:r w:rsidR="002543B2">
        <w:rPr>
          <w:rFonts w:hint="eastAsia"/>
        </w:rPr>
        <w:t>之</w:t>
      </w:r>
      <w:r w:rsidR="002543B2" w:rsidRPr="007F293F">
        <w:rPr>
          <w:rFonts w:hint="eastAsia"/>
        </w:rPr>
        <w:t>相關對策與作為</w:t>
      </w:r>
      <w:r w:rsidR="002543B2">
        <w:rPr>
          <w:rFonts w:hint="eastAsia"/>
        </w:rPr>
        <w:t>，</w:t>
      </w:r>
      <w:r w:rsidR="002543B2" w:rsidRPr="007F293F">
        <w:rPr>
          <w:rFonts w:hint="eastAsia"/>
        </w:rPr>
        <w:t>經濟部</w:t>
      </w:r>
      <w:r w:rsidR="002543B2">
        <w:rPr>
          <w:rFonts w:hint="eastAsia"/>
        </w:rPr>
        <w:t>對於</w:t>
      </w:r>
      <w:r w:rsidR="002543B2" w:rsidRPr="007F293F">
        <w:rPr>
          <w:rFonts w:hint="eastAsia"/>
        </w:rPr>
        <w:t>「協助地方特色產業發展」，</w:t>
      </w:r>
      <w:r>
        <w:rPr>
          <w:rFonts w:hint="eastAsia"/>
        </w:rPr>
        <w:t>係</w:t>
      </w:r>
      <w:r w:rsidR="002543B2" w:rsidRPr="007F293F">
        <w:rPr>
          <w:rFonts w:hint="eastAsia"/>
        </w:rPr>
        <w:t>提出「以設計探索</w:t>
      </w:r>
      <w:r w:rsidR="002543B2" w:rsidRPr="008A0C8C">
        <w:rPr>
          <w:rFonts w:hint="eastAsia"/>
        </w:rPr>
        <w:t>地方特色元素，發展衍生商品或服務，帶動地方觀光價值、產業升級，發展創新聚落及協助創意產業創新創業」；</w:t>
      </w:r>
      <w:proofErr w:type="gramStart"/>
      <w:r w:rsidR="002376C8" w:rsidRPr="008A0C8C">
        <w:rPr>
          <w:rFonts w:hint="eastAsia"/>
        </w:rPr>
        <w:t>文化部</w:t>
      </w:r>
      <w:r w:rsidRPr="008A0C8C">
        <w:rPr>
          <w:rFonts w:hint="eastAsia"/>
        </w:rPr>
        <w:t>則</w:t>
      </w:r>
      <w:r w:rsidR="002376C8" w:rsidRPr="008A0C8C">
        <w:rPr>
          <w:rFonts w:hint="eastAsia"/>
        </w:rPr>
        <w:t>稱</w:t>
      </w:r>
      <w:proofErr w:type="gramEnd"/>
      <w:r w:rsidR="002376C8" w:rsidRPr="008A0C8C">
        <w:rPr>
          <w:rFonts w:hint="eastAsia"/>
        </w:rPr>
        <w:t>，「著重於盤點在地文化素材…</w:t>
      </w:r>
      <w:proofErr w:type="gramStart"/>
      <w:r w:rsidR="002376C8" w:rsidRPr="008A0C8C">
        <w:rPr>
          <w:rFonts w:hint="eastAsia"/>
        </w:rPr>
        <w:t>…</w:t>
      </w:r>
      <w:proofErr w:type="gramEnd"/>
      <w:r w:rsidR="002376C8" w:rsidRPr="008A0C8C">
        <w:rPr>
          <w:rFonts w:hint="eastAsia"/>
        </w:rPr>
        <w:t>，從中找出文化價值高且發展程度高的文化元素，優先加值應用…</w:t>
      </w:r>
      <w:proofErr w:type="gramStart"/>
      <w:r w:rsidR="002376C8" w:rsidRPr="008A0C8C">
        <w:rPr>
          <w:rFonts w:hint="eastAsia"/>
        </w:rPr>
        <w:t>…</w:t>
      </w:r>
      <w:proofErr w:type="gramEnd"/>
      <w:r w:rsidR="002376C8" w:rsidRPr="008A0C8C">
        <w:rPr>
          <w:rFonts w:hint="eastAsia"/>
        </w:rPr>
        <w:t>」</w:t>
      </w:r>
      <w:r w:rsidR="0089433C" w:rsidRPr="008A0C8C">
        <w:rPr>
          <w:rFonts w:hint="eastAsia"/>
        </w:rPr>
        <w:t>，</w:t>
      </w:r>
      <w:r w:rsidR="003B1158" w:rsidRPr="008A0C8C">
        <w:rPr>
          <w:rFonts w:hint="eastAsia"/>
        </w:rPr>
        <w:t>更見「地方特色元素」、「在地文化素材」</w:t>
      </w:r>
      <w:proofErr w:type="gramStart"/>
      <w:r w:rsidR="00841773" w:rsidRPr="008A0C8C">
        <w:rPr>
          <w:rFonts w:hint="eastAsia"/>
        </w:rPr>
        <w:t>對</w:t>
      </w:r>
      <w:r w:rsidR="00A338EA" w:rsidRPr="008A0C8C">
        <w:rPr>
          <w:rFonts w:hint="eastAsia"/>
        </w:rPr>
        <w:t>於文創產業</w:t>
      </w:r>
      <w:proofErr w:type="gramEnd"/>
      <w:r w:rsidR="00A338EA" w:rsidRPr="008A0C8C">
        <w:rPr>
          <w:rFonts w:hint="eastAsia"/>
        </w:rPr>
        <w:t>發展之重要</w:t>
      </w:r>
      <w:r w:rsidR="00A338EA" w:rsidRPr="00E64654">
        <w:rPr>
          <w:rFonts w:hint="eastAsia"/>
        </w:rPr>
        <w:t>性</w:t>
      </w:r>
      <w:r w:rsidR="002376C8" w:rsidRPr="00E64654">
        <w:rPr>
          <w:rFonts w:hint="eastAsia"/>
        </w:rPr>
        <w:t>。</w:t>
      </w:r>
      <w:proofErr w:type="gramStart"/>
      <w:r w:rsidR="00C761CB" w:rsidRPr="00E64654">
        <w:rPr>
          <w:rFonts w:hint="eastAsia"/>
        </w:rPr>
        <w:t>文化部允應</w:t>
      </w:r>
      <w:proofErr w:type="gramEnd"/>
      <w:r w:rsidR="00C761CB" w:rsidRPr="00E64654">
        <w:rPr>
          <w:rFonts w:hint="eastAsia"/>
        </w:rPr>
        <w:t>確實</w:t>
      </w:r>
      <w:r w:rsidR="00D9014C" w:rsidRPr="00E64654">
        <w:rPr>
          <w:rFonts w:hint="eastAsia"/>
        </w:rPr>
        <w:t>開發</w:t>
      </w:r>
      <w:proofErr w:type="gramStart"/>
      <w:r w:rsidR="00C761CB" w:rsidRPr="00E64654">
        <w:rPr>
          <w:rFonts w:hint="eastAsia"/>
        </w:rPr>
        <w:t>五大文創產業</w:t>
      </w:r>
      <w:proofErr w:type="gramEnd"/>
      <w:r w:rsidR="00C761CB" w:rsidRPr="00E64654">
        <w:rPr>
          <w:rFonts w:hint="eastAsia"/>
        </w:rPr>
        <w:t>園區</w:t>
      </w:r>
      <w:r w:rsidR="00824B41" w:rsidRPr="00E64654">
        <w:rPr>
          <w:rFonts w:hint="eastAsia"/>
        </w:rPr>
        <w:t>之</w:t>
      </w:r>
      <w:r w:rsidR="00C761CB" w:rsidRPr="00E64654">
        <w:rPr>
          <w:rFonts w:hint="eastAsia"/>
        </w:rPr>
        <w:t>文化底蘊</w:t>
      </w:r>
      <w:r w:rsidR="00824B41" w:rsidRPr="00E64654">
        <w:rPr>
          <w:rFonts w:hint="eastAsia"/>
        </w:rPr>
        <w:t>、</w:t>
      </w:r>
      <w:r w:rsidR="00C761CB" w:rsidRPr="00E64654">
        <w:rPr>
          <w:rFonts w:hint="eastAsia"/>
        </w:rPr>
        <w:t>連結在地文化，</w:t>
      </w:r>
      <w:r w:rsidR="00824B41" w:rsidRPr="00E64654">
        <w:rPr>
          <w:rFonts w:hint="eastAsia"/>
        </w:rPr>
        <w:t>以</w:t>
      </w:r>
      <w:r w:rsidR="00C761CB" w:rsidRPr="00E64654">
        <w:rPr>
          <w:rFonts w:hint="eastAsia"/>
        </w:rPr>
        <w:t>加值應用地方文化元素，並藉助經濟部輔導產業相關經驗，</w:t>
      </w:r>
      <w:r w:rsidR="00824B41" w:rsidRPr="00E64654">
        <w:rPr>
          <w:rFonts w:hint="eastAsia"/>
        </w:rPr>
        <w:t>發掘</w:t>
      </w:r>
      <w:r w:rsidR="00C761CB" w:rsidRPr="00E64654">
        <w:rPr>
          <w:rFonts w:hint="eastAsia"/>
        </w:rPr>
        <w:t>各園區發展特色，創造園區價值，</w:t>
      </w:r>
      <w:r w:rsidR="00B216EE" w:rsidRPr="00E64654">
        <w:rPr>
          <w:rFonts w:hint="eastAsia"/>
        </w:rPr>
        <w:t>藉以</w:t>
      </w:r>
      <w:r w:rsidR="00C761CB" w:rsidRPr="00E64654">
        <w:rPr>
          <w:rFonts w:hint="eastAsia"/>
        </w:rPr>
        <w:t>提</w:t>
      </w:r>
      <w:r w:rsidR="00260469" w:rsidRPr="00E64654">
        <w:rPr>
          <w:rFonts w:hint="eastAsia"/>
        </w:rPr>
        <w:t>高</w:t>
      </w:r>
      <w:r w:rsidR="00B216EE" w:rsidRPr="00E64654">
        <w:rPr>
          <w:rFonts w:hint="eastAsia"/>
        </w:rPr>
        <w:t>各園區</w:t>
      </w:r>
      <w:r w:rsidR="00260469" w:rsidRPr="00E64654">
        <w:rPr>
          <w:rFonts w:hint="eastAsia"/>
        </w:rPr>
        <w:t>之</w:t>
      </w:r>
      <w:proofErr w:type="gramStart"/>
      <w:r w:rsidR="00260469" w:rsidRPr="00E64654">
        <w:rPr>
          <w:rFonts w:hint="eastAsia"/>
        </w:rPr>
        <w:t>自明性及</w:t>
      </w:r>
      <w:proofErr w:type="gramEnd"/>
      <w:r w:rsidR="00260469" w:rsidRPr="00E64654">
        <w:rPr>
          <w:rFonts w:hint="eastAsia"/>
        </w:rPr>
        <w:t>辨識度，</w:t>
      </w:r>
      <w:r w:rsidR="0070770E" w:rsidRPr="00E64654">
        <w:rPr>
          <w:rFonts w:hint="eastAsia"/>
        </w:rPr>
        <w:t>方</w:t>
      </w:r>
      <w:r w:rsidR="0087076F" w:rsidRPr="00E64654">
        <w:rPr>
          <w:rFonts w:hint="eastAsia"/>
        </w:rPr>
        <w:t>符合文化創意產業園區</w:t>
      </w:r>
      <w:r w:rsidR="0070770E" w:rsidRPr="00E64654">
        <w:rPr>
          <w:rFonts w:hint="eastAsia"/>
        </w:rPr>
        <w:t>之</w:t>
      </w:r>
      <w:r w:rsidR="0087076F" w:rsidRPr="00E64654">
        <w:rPr>
          <w:rFonts w:hint="eastAsia"/>
        </w:rPr>
        <w:t>設置意旨</w:t>
      </w:r>
      <w:r w:rsidR="00C761CB" w:rsidRPr="00E64654">
        <w:rPr>
          <w:rFonts w:hint="eastAsia"/>
        </w:rPr>
        <w:t>。</w:t>
      </w:r>
    </w:p>
    <w:p w:rsidR="002E7176" w:rsidRPr="00E64654" w:rsidRDefault="00967602" w:rsidP="001A2C0E">
      <w:pPr>
        <w:pStyle w:val="2"/>
        <w:rPr>
          <w:b/>
        </w:rPr>
      </w:pPr>
      <w:r w:rsidRPr="00E64654">
        <w:rPr>
          <w:rFonts w:hint="eastAsia"/>
          <w:b/>
        </w:rPr>
        <w:t>五大文</w:t>
      </w:r>
      <w:r w:rsidR="00F17CEC" w:rsidRPr="00E64654">
        <w:rPr>
          <w:rFonts w:hint="eastAsia"/>
          <w:b/>
        </w:rPr>
        <w:t>化</w:t>
      </w:r>
      <w:r w:rsidRPr="00E64654">
        <w:rPr>
          <w:rFonts w:hint="eastAsia"/>
          <w:b/>
        </w:rPr>
        <w:t>創</w:t>
      </w:r>
      <w:r w:rsidR="00F17CEC" w:rsidRPr="00E64654">
        <w:rPr>
          <w:rFonts w:hint="eastAsia"/>
          <w:b/>
        </w:rPr>
        <w:t>意</w:t>
      </w:r>
      <w:r w:rsidRPr="00E64654">
        <w:rPr>
          <w:rFonts w:hint="eastAsia"/>
          <w:b/>
        </w:rPr>
        <w:t>產業園</w:t>
      </w:r>
      <w:r w:rsidR="00F17CEC" w:rsidRPr="00E64654">
        <w:rPr>
          <w:rFonts w:hint="eastAsia"/>
          <w:b/>
        </w:rPr>
        <w:t>區</w:t>
      </w:r>
      <w:r w:rsidRPr="00E64654">
        <w:rPr>
          <w:rFonts w:hint="eastAsia"/>
          <w:b/>
        </w:rPr>
        <w:t>係利用臺灣菸酒</w:t>
      </w:r>
      <w:r w:rsidR="00F17CEC" w:rsidRPr="00E64654">
        <w:rPr>
          <w:rFonts w:hint="eastAsia"/>
          <w:b/>
        </w:rPr>
        <w:t>公賣局舊</w:t>
      </w:r>
      <w:r w:rsidRPr="00E64654">
        <w:rPr>
          <w:rFonts w:hint="eastAsia"/>
          <w:b/>
        </w:rPr>
        <w:t>酒廠及倉庫群等閒置空間規劃而成，本為工業遺址</w:t>
      </w:r>
      <w:r w:rsidR="00CF3777" w:rsidRPr="00E64654">
        <w:rPr>
          <w:rFonts w:hint="eastAsia"/>
          <w:b/>
        </w:rPr>
        <w:t>修復</w:t>
      </w:r>
      <w:r w:rsidRPr="00E64654">
        <w:rPr>
          <w:rFonts w:hint="eastAsia"/>
          <w:b/>
        </w:rPr>
        <w:t>再利用，卻未能發揮古蹟、歷史建築</w:t>
      </w:r>
      <w:r w:rsidR="00F17CEC" w:rsidRPr="00E64654">
        <w:rPr>
          <w:rFonts w:hint="eastAsia"/>
          <w:b/>
        </w:rPr>
        <w:t>之</w:t>
      </w:r>
      <w:r w:rsidRPr="00E64654">
        <w:rPr>
          <w:rFonts w:hint="eastAsia"/>
          <w:b/>
        </w:rPr>
        <w:t>場域特色，型塑</w:t>
      </w:r>
      <w:r w:rsidR="00CF3777" w:rsidRPr="00E64654">
        <w:rPr>
          <w:rFonts w:hint="eastAsia"/>
          <w:b/>
        </w:rPr>
        <w:t>文化地景、營造建築美學，</w:t>
      </w:r>
      <w:r w:rsidR="0036203F" w:rsidRPr="00E64654">
        <w:rPr>
          <w:rFonts w:hint="eastAsia"/>
          <w:b/>
        </w:rPr>
        <w:t>促</w:t>
      </w:r>
      <w:r w:rsidR="00CF3777" w:rsidRPr="00E64654">
        <w:rPr>
          <w:rFonts w:hint="eastAsia"/>
          <w:b/>
        </w:rPr>
        <w:t>使文化美學</w:t>
      </w:r>
      <w:r w:rsidR="00986C11" w:rsidRPr="00E64654">
        <w:rPr>
          <w:rFonts w:hint="eastAsia"/>
          <w:b/>
        </w:rPr>
        <w:t>向下</w:t>
      </w:r>
      <w:r w:rsidR="00281035" w:rsidRPr="00E64654">
        <w:rPr>
          <w:rFonts w:hint="eastAsia"/>
          <w:b/>
        </w:rPr>
        <w:t>扎</w:t>
      </w:r>
      <w:r w:rsidR="008A7612" w:rsidRPr="00E64654">
        <w:rPr>
          <w:rFonts w:hint="eastAsia"/>
          <w:b/>
        </w:rPr>
        <w:t>根</w:t>
      </w:r>
      <w:r w:rsidR="00914AEF" w:rsidRPr="00E64654">
        <w:rPr>
          <w:rFonts w:hint="eastAsia"/>
          <w:b/>
        </w:rPr>
        <w:t>，</w:t>
      </w:r>
      <w:r w:rsidR="00E45C5D" w:rsidRPr="00E64654">
        <w:rPr>
          <w:rFonts w:hint="eastAsia"/>
          <w:b/>
        </w:rPr>
        <w:t>進而帶動文化創意產業發展，</w:t>
      </w:r>
      <w:r w:rsidR="0036203F" w:rsidRPr="00E64654">
        <w:rPr>
          <w:rFonts w:hint="eastAsia"/>
          <w:b/>
        </w:rPr>
        <w:t>實有改善之必要</w:t>
      </w:r>
      <w:r w:rsidR="00CF3777" w:rsidRPr="00E64654">
        <w:rPr>
          <w:rFonts w:hint="eastAsia"/>
          <w:b/>
        </w:rPr>
        <w:t>。</w:t>
      </w:r>
    </w:p>
    <w:p w:rsidR="002164F0" w:rsidRDefault="00DA21C2" w:rsidP="00361617">
      <w:pPr>
        <w:pStyle w:val="3"/>
      </w:pPr>
      <w:r>
        <w:rPr>
          <w:rFonts w:hint="eastAsia"/>
        </w:rPr>
        <w:t>據</w:t>
      </w:r>
      <w:r w:rsidRPr="009D149F">
        <w:rPr>
          <w:rFonts w:hAnsi="標楷體" w:hint="eastAsia"/>
        </w:rPr>
        <w:t>《</w:t>
      </w:r>
      <w:r>
        <w:rPr>
          <w:rFonts w:hint="eastAsia"/>
        </w:rPr>
        <w:t>文化資產保存法</w:t>
      </w:r>
      <w:r w:rsidRPr="009D149F">
        <w:rPr>
          <w:rFonts w:hAnsi="標楷體" w:hint="eastAsia"/>
        </w:rPr>
        <w:t>》</w:t>
      </w:r>
      <w:r>
        <w:rPr>
          <w:rFonts w:hint="eastAsia"/>
        </w:rPr>
        <w:t>第3條規定</w:t>
      </w:r>
      <w:r w:rsidRPr="009D149F">
        <w:rPr>
          <w:rFonts w:hAnsi="標楷體" w:hint="eastAsia"/>
        </w:rPr>
        <w:t>：</w:t>
      </w:r>
      <w:r>
        <w:rPr>
          <w:rFonts w:hint="eastAsia"/>
        </w:rPr>
        <w:t>「本法所稱</w:t>
      </w:r>
      <w:r w:rsidRPr="008D00B8">
        <w:rPr>
          <w:rFonts w:hint="eastAsia"/>
        </w:rPr>
        <w:t>文化資產，指具有歷史、藝術、科學等文化價值，並經指定或登錄之下列有形及無形文化資產：一、有形文化資產：(</w:t>
      </w:r>
      <w:proofErr w:type="gramStart"/>
      <w:r w:rsidRPr="008D00B8">
        <w:rPr>
          <w:rFonts w:hint="eastAsia"/>
        </w:rPr>
        <w:t>一</w:t>
      </w:r>
      <w:proofErr w:type="gramEnd"/>
      <w:r w:rsidRPr="008D00B8">
        <w:rPr>
          <w:rFonts w:hint="eastAsia"/>
        </w:rPr>
        <w:t>)古蹟：指人類為生活需要所營建之具有歷史、文化、藝術價值之建造物及附屬設施。(二)歷史建築：指歷史事件所</w:t>
      </w:r>
      <w:proofErr w:type="gramStart"/>
      <w:r w:rsidRPr="008D00B8">
        <w:rPr>
          <w:rFonts w:hint="eastAsia"/>
        </w:rPr>
        <w:t>定著</w:t>
      </w:r>
      <w:proofErr w:type="gramEnd"/>
      <w:r w:rsidRPr="008D00B8">
        <w:rPr>
          <w:rFonts w:hint="eastAsia"/>
        </w:rPr>
        <w:t>或具有歷史性、地方性、特殊性之文化、藝術價值，應予保存之建造物及附屬設施。(三)紀念建築：指與歷史、文化</w:t>
      </w:r>
      <w:r w:rsidRPr="008D00B8">
        <w:rPr>
          <w:rFonts w:hint="eastAsia"/>
        </w:rPr>
        <w:lastRenderedPageBreak/>
        <w:t>、藝術等具有重要貢獻之人物相關而應予保存之建造物及附屬設施。(四)聚落建築群</w:t>
      </w:r>
      <w:r>
        <w:rPr>
          <w:rFonts w:hint="eastAsia"/>
        </w:rPr>
        <w:t>：指建築式樣、風格特殊或與景觀協調，而具有歷史、藝術或科學價值之建造物群或街區。…</w:t>
      </w:r>
      <w:proofErr w:type="gramStart"/>
      <w:r>
        <w:rPr>
          <w:rFonts w:hint="eastAsia"/>
        </w:rPr>
        <w:t>…</w:t>
      </w:r>
      <w:proofErr w:type="gramEnd"/>
      <w:r>
        <w:rPr>
          <w:rFonts w:hint="eastAsia"/>
        </w:rPr>
        <w:t>(七)</w:t>
      </w:r>
      <w:r w:rsidRPr="008D00B8">
        <w:rPr>
          <w:rFonts w:hint="eastAsia"/>
        </w:rPr>
        <w:t>文化景觀：指人類與自然環境經長時間相互影響所形成具有歷史、美學、民族學或人類學價值之場域。…</w:t>
      </w:r>
      <w:proofErr w:type="gramStart"/>
      <w:r w:rsidRPr="008D00B8">
        <w:rPr>
          <w:rFonts w:hint="eastAsia"/>
        </w:rPr>
        <w:t>…</w:t>
      </w:r>
      <w:proofErr w:type="gramEnd"/>
      <w:r w:rsidRPr="008D00B8">
        <w:rPr>
          <w:rFonts w:hint="eastAsia"/>
        </w:rPr>
        <w:t>。二、無形文化資產：(</w:t>
      </w:r>
      <w:proofErr w:type="gramStart"/>
      <w:r w:rsidRPr="008D00B8">
        <w:rPr>
          <w:rFonts w:hint="eastAsia"/>
        </w:rPr>
        <w:t>一</w:t>
      </w:r>
      <w:proofErr w:type="gramEnd"/>
      <w:r w:rsidRPr="008D00B8">
        <w:rPr>
          <w:rFonts w:hint="eastAsia"/>
        </w:rPr>
        <w:t>)傳統表演藝術：指流傳於各族群與地方之傳統表演藝能。(二)傳統工藝：指流傳於各族群與地方以手工製作為主之傳統技藝。(三)口述傳統</w:t>
      </w:r>
      <w:r>
        <w:rPr>
          <w:rFonts w:hint="eastAsia"/>
        </w:rPr>
        <w:t>：指透過口語、吟唱傳承，世代相傳之文化表現形式。(四)</w:t>
      </w:r>
      <w:r w:rsidRPr="008D00B8">
        <w:rPr>
          <w:rFonts w:hint="eastAsia"/>
        </w:rPr>
        <w:t>民俗：指與國民生活有關之傳統並有特殊文化意義之風俗、儀式、祭典及節慶。(五)傳統知識與實踐</w:t>
      </w:r>
      <w:r>
        <w:rPr>
          <w:rFonts w:hint="eastAsia"/>
        </w:rPr>
        <w:t>：指各族群或社群，為因應自然環境而生存、適應與管理，長年累積、發展出之知識、技術及相關實踐。」</w:t>
      </w:r>
      <w:r w:rsidR="009D149F">
        <w:rPr>
          <w:rFonts w:hint="eastAsia"/>
        </w:rPr>
        <w:t>中央主管機關</w:t>
      </w:r>
      <w:proofErr w:type="gramStart"/>
      <w:r w:rsidR="009D149F">
        <w:rPr>
          <w:rFonts w:hint="eastAsia"/>
        </w:rPr>
        <w:t>文化部並依</w:t>
      </w:r>
      <w:proofErr w:type="gramEnd"/>
      <w:r w:rsidR="009D149F">
        <w:rPr>
          <w:rFonts w:hint="eastAsia"/>
        </w:rPr>
        <w:t>該法</w:t>
      </w:r>
      <w:r w:rsidR="009D149F" w:rsidRPr="009D149F">
        <w:rPr>
          <w:rFonts w:hint="eastAsia"/>
        </w:rPr>
        <w:t>第</w:t>
      </w:r>
      <w:r w:rsidR="009D149F">
        <w:rPr>
          <w:rFonts w:hint="eastAsia"/>
        </w:rPr>
        <w:t>24</w:t>
      </w:r>
      <w:r w:rsidR="009D149F" w:rsidRPr="009D149F">
        <w:rPr>
          <w:rFonts w:hint="eastAsia"/>
        </w:rPr>
        <w:t>條第</w:t>
      </w:r>
      <w:r w:rsidR="009D149F">
        <w:rPr>
          <w:rFonts w:hint="eastAsia"/>
        </w:rPr>
        <w:t>6</w:t>
      </w:r>
      <w:r w:rsidR="009D149F" w:rsidRPr="009D149F">
        <w:rPr>
          <w:rFonts w:hint="eastAsia"/>
        </w:rPr>
        <w:t>項</w:t>
      </w:r>
      <w:r w:rsidR="009D149F">
        <w:rPr>
          <w:rFonts w:hint="eastAsia"/>
        </w:rPr>
        <w:t>，訂定</w:t>
      </w:r>
      <w:r w:rsidR="009D149F">
        <w:rPr>
          <w:rFonts w:hAnsi="標楷體" w:hint="eastAsia"/>
        </w:rPr>
        <w:t>《</w:t>
      </w:r>
      <w:r w:rsidR="009D149F" w:rsidRPr="009D149F">
        <w:rPr>
          <w:rFonts w:hAnsi="標楷體" w:hint="eastAsia"/>
        </w:rPr>
        <w:t>古蹟修復及再利用辦法</w:t>
      </w:r>
      <w:r w:rsidR="009D149F">
        <w:rPr>
          <w:rFonts w:hAnsi="標楷體" w:hint="eastAsia"/>
        </w:rPr>
        <w:t>》明定</w:t>
      </w:r>
      <w:r w:rsidR="009D149F">
        <w:rPr>
          <w:rFonts w:hint="eastAsia"/>
        </w:rPr>
        <w:t>古蹟修復及再利用辦理事項、方式、程序、相關人員資格及其他應遵行事項。</w:t>
      </w:r>
    </w:p>
    <w:p w:rsidR="009D149F" w:rsidRDefault="001A4442" w:rsidP="00361617">
      <w:pPr>
        <w:pStyle w:val="3"/>
      </w:pPr>
      <w:r>
        <w:rPr>
          <w:rFonts w:hint="eastAsia"/>
        </w:rPr>
        <w:t>依</w:t>
      </w:r>
      <w:r w:rsidR="00ED1CDA">
        <w:rPr>
          <w:rFonts w:hAnsi="標楷體" w:hint="eastAsia"/>
        </w:rPr>
        <w:t>《</w:t>
      </w:r>
      <w:r w:rsidR="00C00CB9" w:rsidRPr="00ED1CDA">
        <w:rPr>
          <w:rFonts w:hint="eastAsia"/>
        </w:rPr>
        <w:t>國際文化觀光憲章</w:t>
      </w:r>
      <w:r w:rsidR="00C00CB9" w:rsidRPr="00C00CB9">
        <w:rPr>
          <w:rFonts w:hint="eastAsia"/>
        </w:rPr>
        <w:t>(1999年)</w:t>
      </w:r>
      <w:r w:rsidR="00ED1CDA">
        <w:rPr>
          <w:rFonts w:hAnsi="標楷體" w:hint="eastAsia"/>
        </w:rPr>
        <w:t>》</w:t>
      </w:r>
      <w:r w:rsidR="00AC3475">
        <w:rPr>
          <w:rFonts w:hint="eastAsia"/>
        </w:rPr>
        <w:t>「</w:t>
      </w:r>
      <w:r w:rsidR="00C00CB9" w:rsidRPr="00C00CB9">
        <w:rPr>
          <w:rFonts w:hint="eastAsia"/>
        </w:rPr>
        <w:t>原則1</w:t>
      </w:r>
      <w:r w:rsidR="00AC3475">
        <w:rPr>
          <w:rFonts w:hint="eastAsia"/>
        </w:rPr>
        <w:t>.</w:t>
      </w:r>
      <w:r w:rsidR="00C00CB9" w:rsidRPr="00C00CB9">
        <w:rPr>
          <w:rFonts w:hint="eastAsia"/>
        </w:rPr>
        <w:t>因為國內與國際觀光是</w:t>
      </w:r>
      <w:r w:rsidR="00C00CB9" w:rsidRPr="009B0F74">
        <w:rPr>
          <w:rFonts w:hint="eastAsia"/>
        </w:rPr>
        <w:t>文化交流最重要的工具之一，維護應該為所在地社區成員與訪客提供有責任與經營管理良好之體驗機會，並直接了解社區遺產與文化。</w:t>
      </w:r>
      <w:r w:rsidR="00716AB7" w:rsidRPr="009B0F74">
        <w:rPr>
          <w:rFonts w:hint="eastAsia"/>
        </w:rPr>
        <w:t>1.1 自然與文化遺產是一種物質與精神之資源，提供了歷史發展之一種敘事。其在現代生活中有重要的角色，並且要在實質上、心智上及/或感情上，對於一般公眾是可及的。保護與維護實質特色、無形特點、當代文化表現與廣泛涵構之計畫，應該促使所在地社區與訪客更加容易地，用一種公平而且可以勝任的方式了解與欣賞遺產之重大意義</w:t>
      </w:r>
      <w:r w:rsidR="00AC3475" w:rsidRPr="009B0F74">
        <w:rPr>
          <w:rFonts w:hint="eastAsia"/>
        </w:rPr>
        <w:t>…</w:t>
      </w:r>
      <w:proofErr w:type="gramStart"/>
      <w:r w:rsidR="00AC3475" w:rsidRPr="009B0F74">
        <w:rPr>
          <w:rFonts w:hint="eastAsia"/>
        </w:rPr>
        <w:t>…</w:t>
      </w:r>
      <w:proofErr w:type="gramEnd"/>
      <w:r w:rsidR="001F380F" w:rsidRPr="009B0F74">
        <w:rPr>
          <w:rFonts w:hint="eastAsia"/>
        </w:rPr>
        <w:t>。</w:t>
      </w:r>
      <w:r w:rsidR="00716AB7" w:rsidRPr="009B0F74">
        <w:rPr>
          <w:rFonts w:hint="eastAsia"/>
        </w:rPr>
        <w:t>」</w:t>
      </w:r>
      <w:r w:rsidR="00AC3475" w:rsidRPr="009B0F74">
        <w:rPr>
          <w:rFonts w:hint="eastAsia"/>
        </w:rPr>
        <w:t>「原則2.遺產地方與觀光之關係是動態的，並</w:t>
      </w:r>
      <w:r w:rsidR="00AC3475" w:rsidRPr="009B0F74">
        <w:rPr>
          <w:rFonts w:hint="eastAsia"/>
        </w:rPr>
        <w:lastRenderedPageBreak/>
        <w:t>且可能含有衝突的價值，因此應為現在與將來的世代，以一種永續的方式來加以經營管理。2.1 具有重大遺產意義</w:t>
      </w:r>
      <w:r w:rsidR="00AC3475">
        <w:rPr>
          <w:rFonts w:hint="eastAsia"/>
        </w:rPr>
        <w:t>之地方對於所有人來說，有著特殊的價值，並作為</w:t>
      </w:r>
      <w:r w:rsidR="00AC3475" w:rsidRPr="009B0F74">
        <w:rPr>
          <w:rFonts w:hint="eastAsia"/>
        </w:rPr>
        <w:t>文化多樣性與社會發展一項重要的基礎。對於生活文化、遺產地方、收藏品、它們實質與生態的整體性與它們之環境涵構之遠程保護與維護，應該是社會、經濟、政治、立法、文化與觀光發展政策一項基本構成。</w:t>
      </w:r>
      <w:r w:rsidR="00361617" w:rsidRPr="009B0F74">
        <w:rPr>
          <w:rFonts w:hint="eastAsia"/>
        </w:rPr>
        <w:t>…</w:t>
      </w:r>
      <w:proofErr w:type="gramStart"/>
      <w:r w:rsidR="00361617" w:rsidRPr="009B0F74">
        <w:rPr>
          <w:rFonts w:hint="eastAsia"/>
        </w:rPr>
        <w:t>…</w:t>
      </w:r>
      <w:proofErr w:type="gramEnd"/>
      <w:r w:rsidR="00361617" w:rsidRPr="009B0F74">
        <w:rPr>
          <w:rFonts w:hint="eastAsia"/>
        </w:rPr>
        <w:t>2.4 保留遺產地方與收藏品之真實性是重要的事。</w:t>
      </w:r>
      <w:r w:rsidR="00F116D1" w:rsidRPr="009B0F74">
        <w:rPr>
          <w:rFonts w:hint="eastAsia"/>
        </w:rPr>
        <w:t>尤</w:t>
      </w:r>
      <w:r w:rsidR="00361617" w:rsidRPr="009B0F74">
        <w:rPr>
          <w:rFonts w:hint="eastAsia"/>
        </w:rPr>
        <w:t>其是它們重要文化意義之基本元素，是表現於從過去留下來之實質材料、集體記憶與無形傳統</w:t>
      </w:r>
      <w:r w:rsidR="00361617" w:rsidRPr="00361617">
        <w:rPr>
          <w:rFonts w:hint="eastAsia"/>
        </w:rPr>
        <w:t>。計畫應該呈現與詮釋地方真實性與文化經驗，以提昇對於文化遺產之了解與重視。2.5 觀光發展與基礎設施計畫應該將</w:t>
      </w:r>
      <w:r w:rsidR="00361617" w:rsidRPr="009B0F74">
        <w:rPr>
          <w:rFonts w:hint="eastAsia"/>
        </w:rPr>
        <w:t>美學、社會及文化面向、自然與文化景觀、生物多樣性與遺產地方</w:t>
      </w:r>
      <w:r w:rsidR="00361617" w:rsidRPr="00361617">
        <w:rPr>
          <w:rFonts w:hint="eastAsia"/>
        </w:rPr>
        <w:t>更廣泛的視覺涵構納入考量。使用當地材料並考量當地建築式樣或風土傳統應被視為優先之事。</w:t>
      </w:r>
      <w:r w:rsidR="00AC3475">
        <w:rPr>
          <w:rFonts w:hint="eastAsia"/>
        </w:rPr>
        <w:t>」</w:t>
      </w:r>
    </w:p>
    <w:p w:rsidR="00A71542" w:rsidRDefault="00FE3DA7" w:rsidP="00A71542">
      <w:pPr>
        <w:pStyle w:val="3"/>
      </w:pPr>
      <w:proofErr w:type="gramStart"/>
      <w:r>
        <w:rPr>
          <w:rFonts w:hint="eastAsia"/>
        </w:rPr>
        <w:t>文化部前於</w:t>
      </w:r>
      <w:proofErr w:type="gramEnd"/>
      <w:r>
        <w:rPr>
          <w:rFonts w:hint="eastAsia"/>
        </w:rPr>
        <w:t>104年7月2日函送立法院之「文化部主管文化創意產業園區檢討報告(文化部，</w:t>
      </w:r>
      <w:r>
        <w:t>104</w:t>
      </w:r>
      <w:r>
        <w:rPr>
          <w:rFonts w:hint="eastAsia"/>
        </w:rPr>
        <w:t>年</w:t>
      </w:r>
      <w:r>
        <w:t>6</w:t>
      </w:r>
      <w:r>
        <w:rPr>
          <w:rFonts w:hint="eastAsia"/>
        </w:rPr>
        <w:t>月</w:t>
      </w:r>
      <w:r>
        <w:t>25</w:t>
      </w:r>
      <w:r>
        <w:rPr>
          <w:rFonts w:hint="eastAsia"/>
        </w:rPr>
        <w:t>日)」，其「</w:t>
      </w:r>
      <w:r w:rsidRPr="00A71542">
        <w:rPr>
          <w:rFonts w:hint="eastAsia"/>
        </w:rPr>
        <w:t>壹、整體說明</w:t>
      </w:r>
      <w:r>
        <w:rPr>
          <w:rFonts w:hint="eastAsia"/>
        </w:rPr>
        <w:t>」之「</w:t>
      </w:r>
      <w:r w:rsidRPr="00A71542">
        <w:rPr>
          <w:rFonts w:hint="eastAsia"/>
        </w:rPr>
        <w:t>二、國外經驗發現</w:t>
      </w:r>
      <w:r>
        <w:rPr>
          <w:rFonts w:hint="eastAsia"/>
        </w:rPr>
        <w:t>」</w:t>
      </w:r>
      <w:r w:rsidR="004C3654">
        <w:rPr>
          <w:rFonts w:hint="eastAsia"/>
        </w:rPr>
        <w:t>，</w:t>
      </w:r>
      <w:r w:rsidR="004B410D">
        <w:rPr>
          <w:rFonts w:hint="eastAsia"/>
        </w:rPr>
        <w:t>摘要</w:t>
      </w:r>
      <w:r>
        <w:rPr>
          <w:rFonts w:hint="eastAsia"/>
        </w:rPr>
        <w:t>略</w:t>
      </w:r>
      <w:proofErr w:type="gramStart"/>
      <w:r>
        <w:rPr>
          <w:rFonts w:hint="eastAsia"/>
        </w:rPr>
        <w:t>以</w:t>
      </w:r>
      <w:proofErr w:type="gramEnd"/>
      <w:r w:rsidRPr="00484667">
        <w:rPr>
          <w:rFonts w:hAnsi="標楷體" w:hint="eastAsia"/>
        </w:rPr>
        <w:t>：</w:t>
      </w:r>
      <w:r w:rsidR="008120F3">
        <w:rPr>
          <w:rFonts w:hAnsi="標楷體" w:hint="eastAsia"/>
        </w:rPr>
        <w:t>「</w:t>
      </w:r>
      <w:r w:rsidR="004179C7">
        <w:rPr>
          <w:rFonts w:hint="eastAsia"/>
        </w:rPr>
        <w:t>…</w:t>
      </w:r>
      <w:proofErr w:type="gramStart"/>
      <w:r w:rsidR="004179C7">
        <w:rPr>
          <w:rFonts w:hint="eastAsia"/>
        </w:rPr>
        <w:t>…</w:t>
      </w:r>
      <w:proofErr w:type="gramEnd"/>
      <w:r w:rsidR="00A71542">
        <w:rPr>
          <w:rFonts w:hint="eastAsia"/>
        </w:rPr>
        <w:t>諸如愛爾蘭都柏林的Temple Bar、阿姆斯特丹的</w:t>
      </w:r>
      <w:proofErr w:type="spellStart"/>
      <w:r w:rsidR="00A71542">
        <w:rPr>
          <w:rFonts w:hint="eastAsia"/>
        </w:rPr>
        <w:t>Westergasfabriek</w:t>
      </w:r>
      <w:proofErr w:type="spellEnd"/>
      <w:r w:rsidR="00A71542">
        <w:rPr>
          <w:rFonts w:hint="eastAsia"/>
        </w:rPr>
        <w:t>、倫敦的South Bank區、英國雪菲爾CIQ、伯明罕珠寶特區、利物浦藍</w:t>
      </w:r>
      <w:proofErr w:type="gramStart"/>
      <w:r w:rsidR="00A71542">
        <w:rPr>
          <w:rFonts w:hint="eastAsia"/>
        </w:rPr>
        <w:t>外套文創園區</w:t>
      </w:r>
      <w:proofErr w:type="gramEnd"/>
      <w:r w:rsidR="00A71542">
        <w:rPr>
          <w:rFonts w:hint="eastAsia"/>
        </w:rPr>
        <w:t>等幾個成功</w:t>
      </w:r>
      <w:proofErr w:type="gramStart"/>
      <w:r w:rsidR="00A71542">
        <w:rPr>
          <w:rFonts w:hint="eastAsia"/>
        </w:rPr>
        <w:t>的文創園區</w:t>
      </w:r>
      <w:proofErr w:type="gramEnd"/>
      <w:r w:rsidR="00A71542">
        <w:rPr>
          <w:rFonts w:hint="eastAsia"/>
        </w:rPr>
        <w:t>案例，都是在城市由工業轉型後現代社會以後，重</w:t>
      </w:r>
      <w:r w:rsidR="00A71542" w:rsidRPr="004C11E5">
        <w:rPr>
          <w:rFonts w:hint="eastAsia"/>
        </w:rPr>
        <w:t>新利用原有的工業基地，作為一般工商業</w:t>
      </w:r>
      <w:proofErr w:type="gramStart"/>
      <w:r w:rsidR="00A71542" w:rsidRPr="004C11E5">
        <w:rPr>
          <w:rFonts w:hint="eastAsia"/>
        </w:rPr>
        <w:t>以外，</w:t>
      </w:r>
      <w:proofErr w:type="gramEnd"/>
      <w:r w:rsidR="00A71542" w:rsidRPr="004C11E5">
        <w:rPr>
          <w:rFonts w:hint="eastAsia"/>
        </w:rPr>
        <w:t>另類的空間使用。以英國伯明罕珠寶特區為例，</w:t>
      </w:r>
      <w:r w:rsidRPr="004C11E5">
        <w:rPr>
          <w:rFonts w:hint="eastAsia"/>
        </w:rPr>
        <w:t>…</w:t>
      </w:r>
      <w:proofErr w:type="gramStart"/>
      <w:r w:rsidRPr="004C11E5">
        <w:rPr>
          <w:rFonts w:hint="eastAsia"/>
        </w:rPr>
        <w:t>…</w:t>
      </w:r>
      <w:proofErr w:type="gramEnd"/>
      <w:r w:rsidR="00A71542" w:rsidRPr="004C11E5">
        <w:rPr>
          <w:rFonts w:hint="eastAsia"/>
        </w:rPr>
        <w:t>被計劃成包含文化、歷史、休閒、教育和觀光的園區，藉由其豐富歷史背景及具特殊性的產業，逐漸發展為數一數二</w:t>
      </w:r>
      <w:proofErr w:type="gramStart"/>
      <w:r w:rsidR="00A71542" w:rsidRPr="004C11E5">
        <w:rPr>
          <w:rFonts w:hint="eastAsia"/>
        </w:rPr>
        <w:t>的文創聚落</w:t>
      </w:r>
      <w:proofErr w:type="gramEnd"/>
      <w:r w:rsidR="00A71542" w:rsidRPr="004C11E5">
        <w:rPr>
          <w:rFonts w:hint="eastAsia"/>
        </w:rPr>
        <w:t>。又如英國利物浦藍</w:t>
      </w:r>
      <w:proofErr w:type="gramStart"/>
      <w:r w:rsidR="00A71542" w:rsidRPr="004C11E5">
        <w:rPr>
          <w:rFonts w:hint="eastAsia"/>
        </w:rPr>
        <w:t>外套文創園</w:t>
      </w:r>
      <w:r w:rsidR="00A71542" w:rsidRPr="004C11E5">
        <w:rPr>
          <w:rFonts w:hint="eastAsia"/>
        </w:rPr>
        <w:lastRenderedPageBreak/>
        <w:t>區</w:t>
      </w:r>
      <w:proofErr w:type="gramEnd"/>
      <w:r w:rsidR="00A71542" w:rsidRPr="004C11E5">
        <w:rPr>
          <w:rFonts w:hint="eastAsia"/>
        </w:rPr>
        <w:t>，它原是一個依工廠屬性而發展出來的街區</w:t>
      </w:r>
      <w:r>
        <w:rPr>
          <w:rFonts w:hint="eastAsia"/>
        </w:rPr>
        <w:t>…</w:t>
      </w:r>
      <w:proofErr w:type="gramStart"/>
      <w:r>
        <w:rPr>
          <w:rFonts w:hint="eastAsia"/>
        </w:rPr>
        <w:t>…</w:t>
      </w:r>
      <w:proofErr w:type="gramEnd"/>
      <w:r w:rsidR="00A71542">
        <w:rPr>
          <w:rFonts w:hint="eastAsia"/>
        </w:rPr>
        <w:t xml:space="preserve">。荷蘭特洛斯布拉邦持續發展中心執行長暨歐盟文化園區與創意產業研究計劃主持人Hans </w:t>
      </w:r>
      <w:proofErr w:type="spellStart"/>
      <w:r w:rsidR="00A71542">
        <w:rPr>
          <w:rFonts w:hint="eastAsia"/>
        </w:rPr>
        <w:t>Mommaas</w:t>
      </w:r>
      <w:proofErr w:type="spellEnd"/>
      <w:r>
        <w:rPr>
          <w:rFonts w:hint="eastAsia"/>
        </w:rPr>
        <w:t>…</w:t>
      </w:r>
      <w:proofErr w:type="gramStart"/>
      <w:r>
        <w:rPr>
          <w:rFonts w:hint="eastAsia"/>
        </w:rPr>
        <w:t>…</w:t>
      </w:r>
      <w:proofErr w:type="gramEnd"/>
      <w:r w:rsidR="00A71542">
        <w:rPr>
          <w:rFonts w:hint="eastAsia"/>
        </w:rPr>
        <w:t>認為，</w:t>
      </w:r>
      <w:proofErr w:type="gramStart"/>
      <w:r w:rsidR="00A71542">
        <w:rPr>
          <w:rFonts w:hint="eastAsia"/>
        </w:rPr>
        <w:t>文創園區</w:t>
      </w:r>
      <w:proofErr w:type="gramEnd"/>
      <w:r w:rsidR="00A71542">
        <w:rPr>
          <w:rFonts w:hint="eastAsia"/>
        </w:rPr>
        <w:t>應先了解園區所在之</w:t>
      </w:r>
      <w:r w:rsidR="00A71542" w:rsidRPr="004C11E5">
        <w:rPr>
          <w:rFonts w:hint="eastAsia"/>
        </w:rPr>
        <w:t>地方優勢、園區定位和地方文化特殊性，藉以創造特色，強化園區乃至於城市的吸引力，進而確立市場定位。</w:t>
      </w:r>
      <w:r w:rsidR="00893EAA" w:rsidRPr="004C11E5">
        <w:rPr>
          <w:rFonts w:hint="eastAsia"/>
        </w:rPr>
        <w:t>…</w:t>
      </w:r>
      <w:proofErr w:type="gramStart"/>
      <w:r w:rsidR="00893EAA" w:rsidRPr="004C11E5">
        <w:rPr>
          <w:rFonts w:hint="eastAsia"/>
        </w:rPr>
        <w:t>…</w:t>
      </w:r>
      <w:proofErr w:type="gramEnd"/>
      <w:r w:rsidR="00A71542" w:rsidRPr="004C11E5">
        <w:rPr>
          <w:rFonts w:hint="eastAsia"/>
        </w:rPr>
        <w:t>歷史遺跡可重現城市的文化與產業記憶，藉由閒置空間再利用的活化過程中，將可帶動在地產業轉型，讓產業加入更多的文化及觀光元素，並吸引、帶動</w:t>
      </w:r>
      <w:r w:rsidR="002528E1" w:rsidRPr="004C11E5">
        <w:rPr>
          <w:rFonts w:hint="eastAsia"/>
        </w:rPr>
        <w:t>周</w:t>
      </w:r>
      <w:r w:rsidR="00A71542" w:rsidRPr="004C11E5">
        <w:rPr>
          <w:rFonts w:hint="eastAsia"/>
        </w:rPr>
        <w:t>邊文化觀光相關產業的發展。由各國經驗窺知，要使閒置空間再利用和現代社會脈絡有所連結，就不能只是將空間內部作另外的使用</w:t>
      </w:r>
      <w:r w:rsidR="00A71542">
        <w:rPr>
          <w:rFonts w:hint="eastAsia"/>
        </w:rPr>
        <w:t>，而是從意義的傳達和所象徵的內涵上有整體的設計，</w:t>
      </w:r>
      <w:r w:rsidR="00A71542" w:rsidRPr="004C11E5">
        <w:rPr>
          <w:rFonts w:hint="eastAsia"/>
        </w:rPr>
        <w:t>使得空間背景和創意使用能夠同時被消費</w:t>
      </w:r>
      <w:r w:rsidR="00A71542">
        <w:rPr>
          <w:rFonts w:hint="eastAsia"/>
        </w:rPr>
        <w:t>。</w:t>
      </w:r>
      <w:r w:rsidR="008120F3">
        <w:rPr>
          <w:rFonts w:hint="eastAsia"/>
        </w:rPr>
        <w:t>」</w:t>
      </w:r>
    </w:p>
    <w:p w:rsidR="002164F0" w:rsidRDefault="008B430B" w:rsidP="001016C7">
      <w:pPr>
        <w:pStyle w:val="3"/>
      </w:pPr>
      <w:r>
        <w:rPr>
          <w:rFonts w:hint="eastAsia"/>
        </w:rPr>
        <w:t>經查，</w:t>
      </w:r>
      <w:proofErr w:type="gramStart"/>
      <w:r w:rsidR="008120F3">
        <w:rPr>
          <w:rFonts w:hint="eastAsia"/>
        </w:rPr>
        <w:t>五大文創產業</w:t>
      </w:r>
      <w:proofErr w:type="gramEnd"/>
      <w:r w:rsidR="008120F3">
        <w:rPr>
          <w:rFonts w:hint="eastAsia"/>
        </w:rPr>
        <w:t>園區</w:t>
      </w:r>
      <w:r w:rsidR="004227DC">
        <w:rPr>
          <w:rFonts w:hint="eastAsia"/>
        </w:rPr>
        <w:t>之既有建築物，華山園區計有</w:t>
      </w:r>
      <w:r w:rsidR="004227DC" w:rsidRPr="004227DC">
        <w:rPr>
          <w:rFonts w:hint="eastAsia"/>
        </w:rPr>
        <w:t>古蹟2棟、古蹟煙囪1處，歷史建築2棟、紅磚區歷史建築1區，其他10棟</w:t>
      </w:r>
      <w:r w:rsidR="004227DC">
        <w:rPr>
          <w:rFonts w:hint="eastAsia"/>
        </w:rPr>
        <w:t>；花蓮園區計有</w:t>
      </w:r>
      <w:r w:rsidR="00196529" w:rsidRPr="00196529">
        <w:rPr>
          <w:rFonts w:hint="eastAsia"/>
        </w:rPr>
        <w:t>歷史建築22棟、其他4棟</w:t>
      </w:r>
      <w:r w:rsidR="00196529">
        <w:rPr>
          <w:rFonts w:hint="eastAsia"/>
        </w:rPr>
        <w:t>；</w:t>
      </w:r>
      <w:proofErr w:type="gramStart"/>
      <w:r w:rsidR="00196529">
        <w:rPr>
          <w:rFonts w:hint="eastAsia"/>
        </w:rPr>
        <w:t>臺</w:t>
      </w:r>
      <w:proofErr w:type="gramEnd"/>
      <w:r w:rsidR="00196529">
        <w:rPr>
          <w:rFonts w:hint="eastAsia"/>
        </w:rPr>
        <w:t>中園區計有</w:t>
      </w:r>
      <w:r w:rsidR="00196529" w:rsidRPr="00196529">
        <w:rPr>
          <w:rFonts w:hint="eastAsia"/>
        </w:rPr>
        <w:t>歷史建築16棟、其他12棟</w:t>
      </w:r>
      <w:r w:rsidR="00196529">
        <w:rPr>
          <w:rFonts w:hint="eastAsia"/>
        </w:rPr>
        <w:t>；嘉義園區歷史建築9棟、其他12棟；</w:t>
      </w:r>
      <w:proofErr w:type="gramStart"/>
      <w:r w:rsidR="00196529">
        <w:rPr>
          <w:rFonts w:hint="eastAsia"/>
        </w:rPr>
        <w:t>臺</w:t>
      </w:r>
      <w:proofErr w:type="gramEnd"/>
      <w:r w:rsidR="00196529">
        <w:rPr>
          <w:rFonts w:hint="eastAsia"/>
        </w:rPr>
        <w:t>南園區計有古蹟1棟、其他2棟。</w:t>
      </w:r>
      <w:r w:rsidR="00E8575C">
        <w:rPr>
          <w:rFonts w:hint="eastAsia"/>
        </w:rPr>
        <w:t>惟</w:t>
      </w:r>
      <w:r w:rsidR="002164F0">
        <w:rPr>
          <w:rFonts w:hint="eastAsia"/>
        </w:rPr>
        <w:t>本院履</w:t>
      </w:r>
      <w:proofErr w:type="gramStart"/>
      <w:r w:rsidR="002164F0">
        <w:rPr>
          <w:rFonts w:hint="eastAsia"/>
        </w:rPr>
        <w:t>勘</w:t>
      </w:r>
      <w:proofErr w:type="gramEnd"/>
      <w:r w:rsidR="002164F0">
        <w:rPr>
          <w:rFonts w:hint="eastAsia"/>
        </w:rPr>
        <w:t>發現</w:t>
      </w:r>
      <w:r w:rsidR="001C22CE">
        <w:rPr>
          <w:rFonts w:hint="eastAsia"/>
        </w:rPr>
        <w:t>，</w:t>
      </w:r>
      <w:r w:rsidR="00141391">
        <w:rPr>
          <w:rFonts w:hint="eastAsia"/>
        </w:rPr>
        <w:t>除</w:t>
      </w:r>
      <w:proofErr w:type="gramStart"/>
      <w:r w:rsidR="0031474D">
        <w:rPr>
          <w:rFonts w:hint="eastAsia"/>
        </w:rPr>
        <w:t>臺</w:t>
      </w:r>
      <w:proofErr w:type="gramEnd"/>
      <w:r w:rsidR="0031474D">
        <w:rPr>
          <w:rFonts w:hint="eastAsia"/>
        </w:rPr>
        <w:t>南園區</w:t>
      </w:r>
      <w:r w:rsidR="00141391">
        <w:rPr>
          <w:rFonts w:hint="eastAsia"/>
        </w:rPr>
        <w:t>因</w:t>
      </w:r>
      <w:r w:rsidR="0031474D">
        <w:rPr>
          <w:rFonts w:hint="eastAsia"/>
        </w:rPr>
        <w:t>僅有1棟古蹟</w:t>
      </w:r>
      <w:r w:rsidR="00141391">
        <w:rPr>
          <w:rFonts w:hint="eastAsia"/>
        </w:rPr>
        <w:t>且園區面積(僅</w:t>
      </w:r>
      <w:r w:rsidR="00141391" w:rsidRPr="006D756E">
        <w:rPr>
          <w:rFonts w:hint="eastAsia"/>
          <w:color w:val="FF0000"/>
        </w:rPr>
        <w:t>0.</w:t>
      </w:r>
      <w:r w:rsidR="00AB7C39" w:rsidRPr="006D756E">
        <w:rPr>
          <w:rFonts w:hint="eastAsia"/>
          <w:color w:val="FF0000"/>
        </w:rPr>
        <w:t>56</w:t>
      </w:r>
      <w:r w:rsidR="00141391">
        <w:rPr>
          <w:rFonts w:hint="eastAsia"/>
        </w:rPr>
        <w:t>公頃)較小外</w:t>
      </w:r>
      <w:r w:rsidR="0031474D">
        <w:rPr>
          <w:rFonts w:hint="eastAsia"/>
        </w:rPr>
        <w:t>，</w:t>
      </w:r>
      <w:r w:rsidR="00141391">
        <w:rPr>
          <w:rFonts w:hint="eastAsia"/>
        </w:rPr>
        <w:t>其他</w:t>
      </w:r>
      <w:r w:rsidR="001C22CE">
        <w:rPr>
          <w:rFonts w:hint="eastAsia"/>
        </w:rPr>
        <w:t>各園區均未能</w:t>
      </w:r>
      <w:r w:rsidR="00141391">
        <w:rPr>
          <w:rFonts w:hint="eastAsia"/>
        </w:rPr>
        <w:t>善</w:t>
      </w:r>
      <w:r w:rsidR="001C22CE">
        <w:rPr>
          <w:rFonts w:hint="eastAsia"/>
        </w:rPr>
        <w:t>用</w:t>
      </w:r>
      <w:r w:rsidR="002164F0" w:rsidRPr="009D643D">
        <w:rPr>
          <w:rFonts w:hint="eastAsia"/>
        </w:rPr>
        <w:t>古蹟</w:t>
      </w:r>
      <w:r w:rsidR="00F615BE">
        <w:rPr>
          <w:rFonts w:hint="eastAsia"/>
        </w:rPr>
        <w:t>或</w:t>
      </w:r>
      <w:r w:rsidR="002164F0" w:rsidRPr="009D643D">
        <w:rPr>
          <w:rFonts w:hint="eastAsia"/>
        </w:rPr>
        <w:t>歷史建築</w:t>
      </w:r>
      <w:r w:rsidR="00F615BE">
        <w:rPr>
          <w:rFonts w:hint="eastAsia"/>
        </w:rPr>
        <w:t>，</w:t>
      </w:r>
      <w:r w:rsidR="007510AB">
        <w:rPr>
          <w:rFonts w:hint="eastAsia"/>
        </w:rPr>
        <w:t>營造</w:t>
      </w:r>
      <w:r w:rsidR="00F615BE">
        <w:rPr>
          <w:rFonts w:hint="eastAsia"/>
        </w:rPr>
        <w:t>出</w:t>
      </w:r>
      <w:r w:rsidR="007510AB">
        <w:rPr>
          <w:rFonts w:hint="eastAsia"/>
        </w:rPr>
        <w:t>園區特色</w:t>
      </w:r>
      <w:r w:rsidR="002164F0">
        <w:rPr>
          <w:rFonts w:hint="eastAsia"/>
        </w:rPr>
        <w:t>，</w:t>
      </w:r>
      <w:r w:rsidR="00A42301">
        <w:rPr>
          <w:rFonts w:hint="eastAsia"/>
        </w:rPr>
        <w:t>甚</w:t>
      </w:r>
      <w:r w:rsidR="002154CC">
        <w:rPr>
          <w:rFonts w:hint="eastAsia"/>
        </w:rPr>
        <w:t>至</w:t>
      </w:r>
      <w:r w:rsidR="002164F0">
        <w:rPr>
          <w:rFonts w:hint="eastAsia"/>
        </w:rPr>
        <w:t>部分空間利用</w:t>
      </w:r>
      <w:r w:rsidR="002154CC">
        <w:rPr>
          <w:rFonts w:hint="eastAsia"/>
        </w:rPr>
        <w:t>竟</w:t>
      </w:r>
      <w:proofErr w:type="gramStart"/>
      <w:r w:rsidR="002164F0">
        <w:rPr>
          <w:rFonts w:hint="eastAsia"/>
        </w:rPr>
        <w:t>有違和</w:t>
      </w:r>
      <w:proofErr w:type="gramEnd"/>
      <w:r w:rsidR="002164F0">
        <w:rPr>
          <w:rFonts w:hint="eastAsia"/>
        </w:rPr>
        <w:t>、突兀感(</w:t>
      </w:r>
      <w:r w:rsidR="00152117">
        <w:rPr>
          <w:rFonts w:hint="eastAsia"/>
        </w:rPr>
        <w:t>例</w:t>
      </w:r>
      <w:r w:rsidR="002164F0">
        <w:rPr>
          <w:rFonts w:hint="eastAsia"/>
        </w:rPr>
        <w:t>如宣傳布條懸掛於酒廠舊有設施上)</w:t>
      </w:r>
      <w:r w:rsidR="002D36D8">
        <w:rPr>
          <w:rFonts w:hint="eastAsia"/>
        </w:rPr>
        <w:t>。</w:t>
      </w:r>
      <w:r w:rsidR="001016C7">
        <w:rPr>
          <w:rFonts w:hint="eastAsia"/>
        </w:rPr>
        <w:t>本院諮詢委員亦指出，「</w:t>
      </w:r>
      <w:r w:rsidR="001016C7" w:rsidRPr="001016C7">
        <w:rPr>
          <w:rFonts w:hint="eastAsia"/>
        </w:rPr>
        <w:t>華山</w:t>
      </w:r>
      <w:r w:rsidR="001016C7">
        <w:rPr>
          <w:rFonts w:hint="eastAsia"/>
        </w:rPr>
        <w:t>(園區)</w:t>
      </w:r>
      <w:r w:rsidR="001016C7" w:rsidRPr="001016C7">
        <w:rPr>
          <w:rFonts w:hint="eastAsia"/>
        </w:rPr>
        <w:t>當時是為了保存歷史建築，不要拆掉改建，卻無法由影視產業帶領觀光旅遊。</w:t>
      </w:r>
      <w:r w:rsidR="001016C7">
        <w:rPr>
          <w:rFonts w:hint="eastAsia"/>
        </w:rPr>
        <w:t>」顯見</w:t>
      </w:r>
      <w:r w:rsidR="002D36D8">
        <w:rPr>
          <w:rFonts w:hint="eastAsia"/>
        </w:rPr>
        <w:t>各園區並未能</w:t>
      </w:r>
      <w:r w:rsidR="002D36D8" w:rsidRPr="00A42301">
        <w:rPr>
          <w:rFonts w:hint="eastAsia"/>
        </w:rPr>
        <w:t>使</w:t>
      </w:r>
      <w:r w:rsidR="002D36D8">
        <w:rPr>
          <w:rFonts w:hint="eastAsia"/>
        </w:rPr>
        <w:t>建築物、園區</w:t>
      </w:r>
      <w:r w:rsidR="002D36D8" w:rsidRPr="00A42301">
        <w:rPr>
          <w:rFonts w:hint="eastAsia"/>
        </w:rPr>
        <w:t>空間和</w:t>
      </w:r>
      <w:r w:rsidR="002D36D8">
        <w:rPr>
          <w:rFonts w:hint="eastAsia"/>
        </w:rPr>
        <w:t>文</w:t>
      </w:r>
      <w:r w:rsidR="002D36D8" w:rsidRPr="00A42301">
        <w:rPr>
          <w:rFonts w:hint="eastAsia"/>
        </w:rPr>
        <w:t>創</w:t>
      </w:r>
      <w:r w:rsidR="002D36D8">
        <w:rPr>
          <w:rFonts w:hint="eastAsia"/>
        </w:rPr>
        <w:t>元素</w:t>
      </w:r>
      <w:r w:rsidR="002D36D8" w:rsidRPr="00A42301">
        <w:rPr>
          <w:rFonts w:hint="eastAsia"/>
        </w:rPr>
        <w:t>能夠同時被消費</w:t>
      </w:r>
      <w:r w:rsidR="002D36D8">
        <w:rPr>
          <w:rFonts w:hint="eastAsia"/>
        </w:rPr>
        <w:t>，</w:t>
      </w:r>
      <w:r w:rsidR="002D36D8" w:rsidRPr="002154CC">
        <w:rPr>
          <w:rFonts w:hint="eastAsia"/>
        </w:rPr>
        <w:t>只是將空間內部作另外的使用</w:t>
      </w:r>
      <w:r w:rsidR="00B136D0">
        <w:rPr>
          <w:rFonts w:hint="eastAsia"/>
        </w:rPr>
        <w:t>而已</w:t>
      </w:r>
      <w:r w:rsidR="002D36D8">
        <w:rPr>
          <w:rFonts w:hint="eastAsia"/>
        </w:rPr>
        <w:t>。</w:t>
      </w:r>
    </w:p>
    <w:p w:rsidR="00967602" w:rsidRPr="00E64654" w:rsidRDefault="0070113D" w:rsidP="00601DC2">
      <w:pPr>
        <w:pStyle w:val="3"/>
      </w:pPr>
      <w:r>
        <w:rPr>
          <w:rFonts w:hint="eastAsia"/>
        </w:rPr>
        <w:t>綜上，</w:t>
      </w:r>
      <w:proofErr w:type="gramStart"/>
      <w:r w:rsidR="00601DC2" w:rsidRPr="00601DC2">
        <w:rPr>
          <w:rFonts w:hint="eastAsia"/>
        </w:rPr>
        <w:t>五大文創產業</w:t>
      </w:r>
      <w:proofErr w:type="gramEnd"/>
      <w:r w:rsidR="00601DC2" w:rsidRPr="00601DC2">
        <w:rPr>
          <w:rFonts w:hint="eastAsia"/>
        </w:rPr>
        <w:t>園區係利用臺灣菸酒公賣局舊</w:t>
      </w:r>
      <w:r w:rsidR="00601DC2" w:rsidRPr="00601DC2">
        <w:rPr>
          <w:rFonts w:hint="eastAsia"/>
        </w:rPr>
        <w:lastRenderedPageBreak/>
        <w:t>酒廠及倉庫群等閒置空間規劃而成，本為工業遺址修復再利用，</w:t>
      </w:r>
      <w:r w:rsidR="00986C11">
        <w:rPr>
          <w:rFonts w:hint="eastAsia"/>
        </w:rPr>
        <w:t>自應</w:t>
      </w:r>
      <w:r w:rsidR="00245667" w:rsidRPr="00245667">
        <w:rPr>
          <w:rFonts w:hint="eastAsia"/>
        </w:rPr>
        <w:t>將美學、社會及文化面向、自然與文化景觀</w:t>
      </w:r>
      <w:r w:rsidR="00986C11">
        <w:rPr>
          <w:rFonts w:hint="eastAsia"/>
        </w:rPr>
        <w:t>等</w:t>
      </w:r>
      <w:r w:rsidR="00245667" w:rsidRPr="00245667">
        <w:rPr>
          <w:rFonts w:hint="eastAsia"/>
        </w:rPr>
        <w:t>更廣泛的視覺涵構納入考量</w:t>
      </w:r>
      <w:r w:rsidR="00245667">
        <w:rPr>
          <w:rFonts w:hint="eastAsia"/>
        </w:rPr>
        <w:t>，且</w:t>
      </w:r>
      <w:proofErr w:type="gramStart"/>
      <w:r w:rsidR="00473E32" w:rsidRPr="00034C73">
        <w:rPr>
          <w:rFonts w:hint="eastAsia"/>
        </w:rPr>
        <w:t>文化部前於</w:t>
      </w:r>
      <w:proofErr w:type="gramEnd"/>
      <w:r w:rsidR="00473E32" w:rsidRPr="00034C73">
        <w:rPr>
          <w:rFonts w:hint="eastAsia"/>
        </w:rPr>
        <w:t>104年6月25日之檢討報告</w:t>
      </w:r>
      <w:proofErr w:type="gramStart"/>
      <w:r w:rsidR="00473E32">
        <w:rPr>
          <w:rFonts w:hint="eastAsia"/>
        </w:rPr>
        <w:t>已詳參</w:t>
      </w:r>
      <w:r w:rsidR="00473E32" w:rsidRPr="00A71542">
        <w:rPr>
          <w:rFonts w:hint="eastAsia"/>
        </w:rPr>
        <w:t>國外</w:t>
      </w:r>
      <w:proofErr w:type="gramEnd"/>
      <w:r w:rsidR="00473E32" w:rsidRPr="00A71542">
        <w:rPr>
          <w:rFonts w:hint="eastAsia"/>
        </w:rPr>
        <w:t>經驗</w:t>
      </w:r>
      <w:r w:rsidR="00473E32">
        <w:rPr>
          <w:rFonts w:hint="eastAsia"/>
        </w:rPr>
        <w:t>，卻未能督促營運廠商強化利用園區</w:t>
      </w:r>
      <w:r w:rsidR="00473E32" w:rsidRPr="00601DC2">
        <w:rPr>
          <w:rFonts w:hint="eastAsia"/>
        </w:rPr>
        <w:t>古蹟</w:t>
      </w:r>
      <w:r w:rsidR="00473E32">
        <w:rPr>
          <w:rFonts w:hint="eastAsia"/>
        </w:rPr>
        <w:t>及</w:t>
      </w:r>
      <w:r w:rsidR="00473E32" w:rsidRPr="00601DC2">
        <w:rPr>
          <w:rFonts w:hint="eastAsia"/>
        </w:rPr>
        <w:t>歷史建</w:t>
      </w:r>
      <w:r w:rsidR="00473E32" w:rsidRPr="00E64654">
        <w:rPr>
          <w:rFonts w:hint="eastAsia"/>
        </w:rPr>
        <w:t>築之場域特色，以</w:t>
      </w:r>
      <w:r w:rsidR="00601DC2" w:rsidRPr="00E64654">
        <w:rPr>
          <w:rFonts w:hint="eastAsia"/>
        </w:rPr>
        <w:t>型塑文化地景、營造建築美學，</w:t>
      </w:r>
      <w:r w:rsidR="00986C11" w:rsidRPr="00E64654">
        <w:rPr>
          <w:rFonts w:hint="eastAsia"/>
        </w:rPr>
        <w:t>促</w:t>
      </w:r>
      <w:r w:rsidR="00601DC2" w:rsidRPr="00E64654">
        <w:rPr>
          <w:rFonts w:hint="eastAsia"/>
        </w:rPr>
        <w:t>使文化美學</w:t>
      </w:r>
      <w:r w:rsidR="00986C11" w:rsidRPr="00E64654">
        <w:rPr>
          <w:rFonts w:hint="eastAsia"/>
        </w:rPr>
        <w:t>向下</w:t>
      </w:r>
      <w:r w:rsidR="00A961B3" w:rsidRPr="00E64654">
        <w:rPr>
          <w:rFonts w:hint="eastAsia"/>
        </w:rPr>
        <w:t>扎</w:t>
      </w:r>
      <w:r w:rsidR="00601DC2" w:rsidRPr="00E64654">
        <w:rPr>
          <w:rFonts w:hint="eastAsia"/>
        </w:rPr>
        <w:t>根</w:t>
      </w:r>
      <w:r w:rsidR="00986C11" w:rsidRPr="00E64654">
        <w:rPr>
          <w:rFonts w:hint="eastAsia"/>
        </w:rPr>
        <w:t>，</w:t>
      </w:r>
      <w:r w:rsidR="00473E32" w:rsidRPr="00E64654">
        <w:rPr>
          <w:rFonts w:hint="eastAsia"/>
        </w:rPr>
        <w:t>甚至</w:t>
      </w:r>
      <w:r w:rsidR="00967602" w:rsidRPr="00E64654">
        <w:rPr>
          <w:rFonts w:hint="eastAsia"/>
        </w:rPr>
        <w:t>吸引相關影視產業取景，</w:t>
      </w:r>
      <w:r w:rsidR="00D4271C" w:rsidRPr="00E64654">
        <w:rPr>
          <w:rFonts w:hint="eastAsia"/>
        </w:rPr>
        <w:t>進而</w:t>
      </w:r>
      <w:proofErr w:type="gramStart"/>
      <w:r w:rsidR="00967602" w:rsidRPr="00E64654">
        <w:rPr>
          <w:rFonts w:hint="eastAsia"/>
        </w:rPr>
        <w:t>帶動文創產業</w:t>
      </w:r>
      <w:proofErr w:type="gramEnd"/>
      <w:r w:rsidR="00967602" w:rsidRPr="00E64654">
        <w:rPr>
          <w:rFonts w:hint="eastAsia"/>
        </w:rPr>
        <w:t>發展</w:t>
      </w:r>
      <w:r w:rsidR="00473E32" w:rsidRPr="00E64654">
        <w:rPr>
          <w:rFonts w:hint="eastAsia"/>
        </w:rPr>
        <w:t>，</w:t>
      </w:r>
      <w:r w:rsidR="00D4271C" w:rsidRPr="00E64654">
        <w:rPr>
          <w:rFonts w:hint="eastAsia"/>
        </w:rPr>
        <w:t>實有改善之必要</w:t>
      </w:r>
      <w:r w:rsidR="00473E32" w:rsidRPr="00E64654">
        <w:rPr>
          <w:rFonts w:hint="eastAsia"/>
        </w:rPr>
        <w:t>。</w:t>
      </w:r>
    </w:p>
    <w:p w:rsidR="00125090" w:rsidRPr="00E64654" w:rsidRDefault="00125090" w:rsidP="00125090">
      <w:pPr>
        <w:pStyle w:val="2"/>
        <w:rPr>
          <w:b/>
        </w:rPr>
      </w:pPr>
      <w:r w:rsidRPr="00E64654">
        <w:rPr>
          <w:rFonts w:hint="eastAsia"/>
          <w:b/>
        </w:rPr>
        <w:t>五大文化創意產業</w:t>
      </w:r>
      <w:proofErr w:type="gramStart"/>
      <w:r w:rsidRPr="00E64654">
        <w:rPr>
          <w:rFonts w:hint="eastAsia"/>
          <w:b/>
        </w:rPr>
        <w:t>園區均位處</w:t>
      </w:r>
      <w:proofErr w:type="gramEnd"/>
      <w:r w:rsidRPr="00E64654">
        <w:rPr>
          <w:rFonts w:hint="eastAsia"/>
          <w:b/>
        </w:rPr>
        <w:t>精華區，卻未能善用地理位置優勢，</w:t>
      </w:r>
      <w:r w:rsidR="00DB5C85" w:rsidRPr="00E64654">
        <w:rPr>
          <w:rFonts w:hint="eastAsia"/>
          <w:b/>
        </w:rPr>
        <w:t>創造文</w:t>
      </w:r>
      <w:r w:rsidR="003703D6">
        <w:rPr>
          <w:rFonts w:hint="eastAsia"/>
          <w:b/>
        </w:rPr>
        <w:t>化</w:t>
      </w:r>
      <w:r w:rsidR="00DB5C85" w:rsidRPr="00E64654">
        <w:rPr>
          <w:rFonts w:hint="eastAsia"/>
          <w:b/>
        </w:rPr>
        <w:t>創</w:t>
      </w:r>
      <w:r w:rsidR="003703D6">
        <w:rPr>
          <w:rFonts w:hint="eastAsia"/>
          <w:b/>
        </w:rPr>
        <w:t>意</w:t>
      </w:r>
      <w:r w:rsidR="00DB5C85" w:rsidRPr="00E64654">
        <w:rPr>
          <w:rFonts w:hint="eastAsia"/>
          <w:b/>
        </w:rPr>
        <w:t>產業聚集效應</w:t>
      </w:r>
      <w:r w:rsidR="00D81B62" w:rsidRPr="00E64654">
        <w:rPr>
          <w:rFonts w:hint="eastAsia"/>
          <w:b/>
        </w:rPr>
        <w:t>，</w:t>
      </w:r>
      <w:r w:rsidRPr="00E64654">
        <w:rPr>
          <w:rFonts w:hint="eastAsia"/>
          <w:b/>
        </w:rPr>
        <w:t>執行</w:t>
      </w:r>
      <w:r w:rsidR="00F13580" w:rsidRPr="00E64654">
        <w:rPr>
          <w:rFonts w:hint="eastAsia"/>
          <w:b/>
        </w:rPr>
        <w:t>成效不佳</w:t>
      </w:r>
      <w:r w:rsidR="00DB5C85" w:rsidRPr="00E64654">
        <w:rPr>
          <w:rFonts w:hint="eastAsia"/>
          <w:b/>
        </w:rPr>
        <w:t>；且</w:t>
      </w:r>
      <w:r w:rsidR="006A08ED" w:rsidRPr="00E64654">
        <w:rPr>
          <w:rFonts w:hint="eastAsia"/>
          <w:b/>
        </w:rPr>
        <w:t>對於</w:t>
      </w:r>
      <w:proofErr w:type="gramStart"/>
      <w:r w:rsidR="00DB5C85" w:rsidRPr="00E64654">
        <w:rPr>
          <w:rFonts w:hint="eastAsia"/>
          <w:b/>
        </w:rPr>
        <w:t>培育</w:t>
      </w:r>
      <w:r w:rsidR="006A08ED" w:rsidRPr="00E64654">
        <w:rPr>
          <w:rFonts w:hint="eastAsia"/>
          <w:b/>
        </w:rPr>
        <w:t>文創人才</w:t>
      </w:r>
      <w:proofErr w:type="gramEnd"/>
      <w:r w:rsidR="00DB5C85" w:rsidRPr="00E64654">
        <w:rPr>
          <w:rFonts w:hint="eastAsia"/>
          <w:b/>
        </w:rPr>
        <w:t>欠缺規劃引導，亦</w:t>
      </w:r>
      <w:r w:rsidRPr="00E64654">
        <w:rPr>
          <w:rFonts w:hint="eastAsia"/>
          <w:b/>
        </w:rPr>
        <w:t>未</w:t>
      </w:r>
      <w:r w:rsidR="006A08ED" w:rsidRPr="00E64654">
        <w:rPr>
          <w:rFonts w:hint="eastAsia"/>
          <w:b/>
        </w:rPr>
        <w:t>能</w:t>
      </w:r>
      <w:r w:rsidRPr="00E64654">
        <w:rPr>
          <w:rFonts w:hint="eastAsia"/>
          <w:b/>
        </w:rPr>
        <w:t>達到扶植文</w:t>
      </w:r>
      <w:r w:rsidR="003703D6">
        <w:rPr>
          <w:rFonts w:hint="eastAsia"/>
          <w:b/>
        </w:rPr>
        <w:t>化</w:t>
      </w:r>
      <w:r w:rsidRPr="00E64654">
        <w:rPr>
          <w:rFonts w:hint="eastAsia"/>
          <w:b/>
        </w:rPr>
        <w:t>創</w:t>
      </w:r>
      <w:r w:rsidR="003703D6">
        <w:rPr>
          <w:rFonts w:hint="eastAsia"/>
          <w:b/>
        </w:rPr>
        <w:t>意</w:t>
      </w:r>
      <w:r w:rsidRPr="00E64654">
        <w:rPr>
          <w:rFonts w:hint="eastAsia"/>
          <w:b/>
        </w:rPr>
        <w:t>產業之</w:t>
      </w:r>
      <w:r w:rsidR="00DB5C85" w:rsidRPr="00E64654">
        <w:rPr>
          <w:rFonts w:hint="eastAsia"/>
          <w:b/>
        </w:rPr>
        <w:t>功能</w:t>
      </w:r>
      <w:r w:rsidRPr="00E64654">
        <w:rPr>
          <w:rFonts w:hint="eastAsia"/>
          <w:b/>
        </w:rPr>
        <w:t>。</w:t>
      </w:r>
    </w:p>
    <w:p w:rsidR="00200C04" w:rsidRDefault="00200C04" w:rsidP="00EC79E8">
      <w:pPr>
        <w:pStyle w:val="3"/>
      </w:pPr>
      <w:proofErr w:type="gramStart"/>
      <w:r>
        <w:rPr>
          <w:rFonts w:hint="eastAsia"/>
        </w:rPr>
        <w:t>五大文創產業</w:t>
      </w:r>
      <w:proofErr w:type="gramEnd"/>
      <w:r>
        <w:rPr>
          <w:rFonts w:hint="eastAsia"/>
        </w:rPr>
        <w:t>園區</w:t>
      </w:r>
      <w:r w:rsidR="0082632A">
        <w:rPr>
          <w:rFonts w:hint="eastAsia"/>
        </w:rPr>
        <w:t>中，華山園區鄰近</w:t>
      </w:r>
      <w:proofErr w:type="gramStart"/>
      <w:r w:rsidR="0082632A">
        <w:rPr>
          <w:rFonts w:hint="eastAsia"/>
        </w:rPr>
        <w:t>臺</w:t>
      </w:r>
      <w:proofErr w:type="gramEnd"/>
      <w:r w:rsidR="0082632A">
        <w:rPr>
          <w:rFonts w:hint="eastAsia"/>
        </w:rPr>
        <w:t>北車站</w:t>
      </w:r>
      <w:r w:rsidR="00E54B7A">
        <w:rPr>
          <w:rFonts w:hint="eastAsia"/>
        </w:rPr>
        <w:t>(約5分鐘車程)</w:t>
      </w:r>
      <w:r w:rsidR="0082632A">
        <w:rPr>
          <w:rFonts w:hint="eastAsia"/>
        </w:rPr>
        <w:t>、</w:t>
      </w:r>
      <w:proofErr w:type="gramStart"/>
      <w:r w:rsidR="00A745E8">
        <w:rPr>
          <w:rFonts w:hint="eastAsia"/>
        </w:rPr>
        <w:t>臺</w:t>
      </w:r>
      <w:proofErr w:type="gramEnd"/>
      <w:r w:rsidR="00A745E8">
        <w:rPr>
          <w:rFonts w:hint="eastAsia"/>
        </w:rPr>
        <w:t>中園區鄰近</w:t>
      </w:r>
      <w:proofErr w:type="gramStart"/>
      <w:r w:rsidR="00A745E8">
        <w:rPr>
          <w:rFonts w:hint="eastAsia"/>
        </w:rPr>
        <w:t>臺</w:t>
      </w:r>
      <w:proofErr w:type="gramEnd"/>
      <w:r w:rsidR="00A745E8">
        <w:rPr>
          <w:rFonts w:hint="eastAsia"/>
        </w:rPr>
        <w:t>中車站(約5分鐘車程)、嘉義園區鄰近嘉義車站(約3分鐘車程)、</w:t>
      </w:r>
      <w:proofErr w:type="gramStart"/>
      <w:r w:rsidR="00A745E8">
        <w:rPr>
          <w:rFonts w:hint="eastAsia"/>
        </w:rPr>
        <w:t>臺</w:t>
      </w:r>
      <w:proofErr w:type="gramEnd"/>
      <w:r w:rsidR="00A745E8">
        <w:rPr>
          <w:rFonts w:hint="eastAsia"/>
        </w:rPr>
        <w:t>南園區鄰近</w:t>
      </w:r>
      <w:proofErr w:type="gramStart"/>
      <w:r w:rsidR="00A745E8">
        <w:rPr>
          <w:rFonts w:hint="eastAsia"/>
        </w:rPr>
        <w:t>臺</w:t>
      </w:r>
      <w:proofErr w:type="gramEnd"/>
      <w:r w:rsidR="00A745E8">
        <w:rPr>
          <w:rFonts w:hint="eastAsia"/>
        </w:rPr>
        <w:t>南車站(約1分鐘車程)、</w:t>
      </w:r>
      <w:r w:rsidR="0090245B">
        <w:rPr>
          <w:rFonts w:hint="eastAsia"/>
        </w:rPr>
        <w:t>花蓮園區</w:t>
      </w:r>
      <w:r w:rsidR="00E54B7A">
        <w:rPr>
          <w:rFonts w:hint="eastAsia"/>
        </w:rPr>
        <w:t>鄰近花蓮車站(約10分鐘車程)</w:t>
      </w:r>
      <w:r w:rsidR="0090245B">
        <w:rPr>
          <w:rFonts w:hint="eastAsia"/>
        </w:rPr>
        <w:t>，</w:t>
      </w:r>
      <w:proofErr w:type="gramStart"/>
      <w:r>
        <w:rPr>
          <w:rFonts w:hint="eastAsia"/>
        </w:rPr>
        <w:t>均</w:t>
      </w:r>
      <w:r w:rsidR="00E54B7A">
        <w:rPr>
          <w:rFonts w:hint="eastAsia"/>
        </w:rPr>
        <w:t>係</w:t>
      </w:r>
      <w:r>
        <w:rPr>
          <w:rFonts w:hint="eastAsia"/>
        </w:rPr>
        <w:t>位</w:t>
      </w:r>
      <w:proofErr w:type="gramEnd"/>
      <w:r>
        <w:rPr>
          <w:rFonts w:hint="eastAsia"/>
        </w:rPr>
        <w:t>處車站</w:t>
      </w:r>
      <w:r w:rsidR="002528E1">
        <w:rPr>
          <w:rFonts w:hint="eastAsia"/>
        </w:rPr>
        <w:t>周</w:t>
      </w:r>
      <w:r>
        <w:rPr>
          <w:rFonts w:hint="eastAsia"/>
        </w:rPr>
        <w:t>邊</w:t>
      </w:r>
      <w:r w:rsidR="00B37D86">
        <w:rPr>
          <w:rFonts w:hint="eastAsia"/>
        </w:rPr>
        <w:t>精華區</w:t>
      </w:r>
      <w:r>
        <w:rPr>
          <w:rFonts w:hint="eastAsia"/>
        </w:rPr>
        <w:t>，</w:t>
      </w:r>
      <w:r w:rsidR="008E04E6">
        <w:rPr>
          <w:rFonts w:hint="eastAsia"/>
        </w:rPr>
        <w:t>交通便利</w:t>
      </w:r>
      <w:r w:rsidR="00D67E3E">
        <w:rPr>
          <w:rFonts w:hint="eastAsia"/>
        </w:rPr>
        <w:t>、可及性高</w:t>
      </w:r>
      <w:r w:rsidR="008E04E6">
        <w:rPr>
          <w:rFonts w:hint="eastAsia"/>
        </w:rPr>
        <w:t>，</w:t>
      </w:r>
      <w:r w:rsidR="006F163E">
        <w:rPr>
          <w:rFonts w:hint="eastAsia"/>
        </w:rPr>
        <w:t>地理位置實具優勢</w:t>
      </w:r>
      <w:r w:rsidR="00D67E3E">
        <w:rPr>
          <w:rFonts w:hint="eastAsia"/>
        </w:rPr>
        <w:t>。</w:t>
      </w:r>
      <w:r w:rsidR="001C22A3">
        <w:rPr>
          <w:rFonts w:hint="eastAsia"/>
        </w:rPr>
        <w:t>文化部於本院約</w:t>
      </w:r>
      <w:proofErr w:type="gramStart"/>
      <w:r w:rsidR="001C22A3">
        <w:rPr>
          <w:rFonts w:hint="eastAsia"/>
        </w:rPr>
        <w:t>詢</w:t>
      </w:r>
      <w:proofErr w:type="gramEnd"/>
      <w:r w:rsidR="001C22A3">
        <w:rPr>
          <w:rFonts w:hint="eastAsia"/>
        </w:rPr>
        <w:t>時雖稱</w:t>
      </w:r>
      <w:r w:rsidR="001C22A3">
        <w:rPr>
          <w:rFonts w:hAnsi="標楷體" w:hint="eastAsia"/>
        </w:rPr>
        <w:t>：</w:t>
      </w:r>
      <w:r w:rsidR="001C22A3">
        <w:rPr>
          <w:rFonts w:hint="eastAsia"/>
        </w:rPr>
        <w:t>「</w:t>
      </w:r>
      <w:r w:rsidR="001C22A3" w:rsidRPr="001C22A3">
        <w:rPr>
          <w:rFonts w:hint="eastAsia"/>
        </w:rPr>
        <w:t>嘉義園區條件其實沒有想像中好，</w:t>
      </w:r>
      <w:proofErr w:type="gramStart"/>
      <w:r w:rsidR="001C22A3">
        <w:rPr>
          <w:rFonts w:hint="eastAsia"/>
        </w:rPr>
        <w:t>臺</w:t>
      </w:r>
      <w:proofErr w:type="gramEnd"/>
      <w:r w:rsidR="001C22A3" w:rsidRPr="001C22A3">
        <w:rPr>
          <w:rFonts w:hint="eastAsia"/>
        </w:rPr>
        <w:t>南也是，吸引人潮的條件並不足夠；花蓮區位不錯，但縣市政府沒有體察觀光型態改變，人潮沒有留在市區，都面臨經營的困境</w:t>
      </w:r>
      <w:r w:rsidR="001C22A3">
        <w:rPr>
          <w:rFonts w:hint="eastAsia"/>
        </w:rPr>
        <w:t>」等語，惟該等園區本</w:t>
      </w:r>
      <w:r w:rsidR="006C20EA">
        <w:rPr>
          <w:rFonts w:hint="eastAsia"/>
        </w:rPr>
        <w:t>係</w:t>
      </w:r>
      <w:r w:rsidR="001C22A3">
        <w:rPr>
          <w:rFonts w:hint="eastAsia"/>
        </w:rPr>
        <w:t>閒置</w:t>
      </w:r>
      <w:r w:rsidR="006C20EA">
        <w:rPr>
          <w:rFonts w:hint="eastAsia"/>
        </w:rPr>
        <w:t>基地，</w:t>
      </w:r>
      <w:proofErr w:type="gramStart"/>
      <w:r w:rsidR="00A76A8D">
        <w:rPr>
          <w:rFonts w:hint="eastAsia"/>
        </w:rPr>
        <w:t>原非人潮</w:t>
      </w:r>
      <w:proofErr w:type="gramEnd"/>
      <w:r w:rsidR="00A76A8D">
        <w:rPr>
          <w:rFonts w:hint="eastAsia"/>
        </w:rPr>
        <w:t>聚集地，</w:t>
      </w:r>
      <w:r w:rsidR="00EC79E8">
        <w:rPr>
          <w:rFonts w:hint="eastAsia"/>
        </w:rPr>
        <w:t>且如前</w:t>
      </w:r>
      <w:r w:rsidR="00EC79E8" w:rsidRPr="00E64654">
        <w:rPr>
          <w:rFonts w:hint="eastAsia"/>
        </w:rPr>
        <w:t>所述，</w:t>
      </w:r>
      <w:proofErr w:type="gramStart"/>
      <w:r w:rsidR="00CD23C9" w:rsidRPr="00E64654">
        <w:rPr>
          <w:rFonts w:hint="eastAsia"/>
        </w:rPr>
        <w:t>五大文創產業</w:t>
      </w:r>
      <w:proofErr w:type="gramEnd"/>
      <w:r w:rsidR="00EC79E8" w:rsidRPr="00E64654">
        <w:rPr>
          <w:rFonts w:hint="eastAsia"/>
        </w:rPr>
        <w:t>園區若能善用古蹟、歷史建築</w:t>
      </w:r>
      <w:r w:rsidR="00EC79E8" w:rsidRPr="00EC79E8">
        <w:rPr>
          <w:rFonts w:hint="eastAsia"/>
        </w:rPr>
        <w:t>之場域特色，型塑文化地景、營造建築美學</w:t>
      </w:r>
      <w:r w:rsidR="00EC79E8">
        <w:rPr>
          <w:rFonts w:hint="eastAsia"/>
        </w:rPr>
        <w:t>，</w:t>
      </w:r>
      <w:r w:rsidR="00F43AD1">
        <w:rPr>
          <w:rFonts w:hint="eastAsia"/>
        </w:rPr>
        <w:t>自可創造觀光價值，藉以吸引人潮彙聚，文化局所稱，實不足</w:t>
      </w:r>
      <w:proofErr w:type="gramStart"/>
      <w:r w:rsidR="00F43AD1">
        <w:rPr>
          <w:rFonts w:hint="eastAsia"/>
        </w:rPr>
        <w:t>採</w:t>
      </w:r>
      <w:proofErr w:type="gramEnd"/>
      <w:r w:rsidR="00F43AD1">
        <w:rPr>
          <w:rFonts w:hint="eastAsia"/>
        </w:rPr>
        <w:t>。</w:t>
      </w:r>
    </w:p>
    <w:p w:rsidR="00B26389" w:rsidRPr="00E64654" w:rsidRDefault="00812FB5" w:rsidP="00365681">
      <w:pPr>
        <w:pStyle w:val="3"/>
      </w:pPr>
      <w:r w:rsidRPr="00E64654">
        <w:rPr>
          <w:rFonts w:hint="eastAsia"/>
        </w:rPr>
        <w:t>按「方以類聚，物以群分」</w:t>
      </w:r>
      <w:r w:rsidRPr="00E64654">
        <w:rPr>
          <w:rStyle w:val="afe"/>
        </w:rPr>
        <w:footnoteReference w:id="7"/>
      </w:r>
      <w:r w:rsidRPr="00E64654">
        <w:rPr>
          <w:rFonts w:hint="eastAsia"/>
        </w:rPr>
        <w:t>，產業本有群聚效應。</w:t>
      </w:r>
      <w:r w:rsidRPr="00E64654">
        <w:rPr>
          <w:rFonts w:hint="eastAsia"/>
        </w:rPr>
        <w:lastRenderedPageBreak/>
        <w:t>惟</w:t>
      </w:r>
      <w:r w:rsidR="00613A98" w:rsidRPr="00E64654">
        <w:rPr>
          <w:rFonts w:hint="eastAsia"/>
        </w:rPr>
        <w:t>據媒體報導</w:t>
      </w:r>
      <w:r w:rsidR="009E16C2" w:rsidRPr="00E64654">
        <w:rPr>
          <w:rStyle w:val="afe"/>
        </w:rPr>
        <w:footnoteReference w:id="8"/>
      </w:r>
      <w:r w:rsidR="00613A98" w:rsidRPr="00E64654">
        <w:rPr>
          <w:rFonts w:hint="eastAsia"/>
        </w:rPr>
        <w:t>，</w:t>
      </w:r>
      <w:r w:rsidR="00A372C8" w:rsidRPr="00E64654">
        <w:rPr>
          <w:rFonts w:hint="eastAsia"/>
        </w:rPr>
        <w:t>「</w:t>
      </w:r>
      <w:proofErr w:type="gramStart"/>
      <w:r w:rsidR="00A372C8" w:rsidRPr="00E64654">
        <w:rPr>
          <w:rFonts w:hint="eastAsia"/>
        </w:rPr>
        <w:t>文化部轄下</w:t>
      </w:r>
      <w:proofErr w:type="gramEnd"/>
      <w:r w:rsidR="00A372C8" w:rsidRPr="00E64654">
        <w:rPr>
          <w:rFonts w:hint="eastAsia"/>
        </w:rPr>
        <w:t>設有</w:t>
      </w:r>
      <w:proofErr w:type="gramStart"/>
      <w:r w:rsidR="00A372C8" w:rsidRPr="00E64654">
        <w:rPr>
          <w:rFonts w:hint="eastAsia"/>
        </w:rPr>
        <w:t>臺</w:t>
      </w:r>
      <w:proofErr w:type="gramEnd"/>
      <w:r w:rsidR="00A372C8" w:rsidRPr="00E64654">
        <w:rPr>
          <w:rFonts w:hint="eastAsia"/>
        </w:rPr>
        <w:t>北華山、花蓮、</w:t>
      </w:r>
      <w:proofErr w:type="gramStart"/>
      <w:r w:rsidR="00A372C8" w:rsidRPr="00E64654">
        <w:rPr>
          <w:rFonts w:hint="eastAsia"/>
        </w:rPr>
        <w:t>臺</w:t>
      </w:r>
      <w:proofErr w:type="gramEnd"/>
      <w:r w:rsidR="00A372C8" w:rsidRPr="00E64654">
        <w:rPr>
          <w:rFonts w:hint="eastAsia"/>
        </w:rPr>
        <w:t>中、嘉義、</w:t>
      </w:r>
      <w:proofErr w:type="gramStart"/>
      <w:r w:rsidR="00A372C8" w:rsidRPr="00E64654">
        <w:rPr>
          <w:rFonts w:hint="eastAsia"/>
        </w:rPr>
        <w:t>臺</w:t>
      </w:r>
      <w:proofErr w:type="gramEnd"/>
      <w:r w:rsidR="00A372C8" w:rsidRPr="00E64654">
        <w:rPr>
          <w:rFonts w:hint="eastAsia"/>
        </w:rPr>
        <w:t>南等五大園區，設立目的是為串</w:t>
      </w:r>
      <w:r w:rsidR="00A372C8">
        <w:rPr>
          <w:rFonts w:hint="eastAsia"/>
        </w:rPr>
        <w:t>連區域產業、帶動價值鏈整合等。但預算中心報告指出，除了嘉義園區尚未正式營運外，其餘園區的空間配置及運用情形頗具檢討空間，不僅</w:t>
      </w:r>
      <w:r w:rsidR="00A372C8" w:rsidRPr="006A482F">
        <w:rPr>
          <w:rFonts w:hint="eastAsia"/>
        </w:rPr>
        <w:t>逾半空間被規劃為餐飲商場，園區內的</w:t>
      </w:r>
      <w:r w:rsidR="00A372C8" w:rsidRPr="006A482F">
        <w:rPr>
          <w:rFonts w:hAnsi="標楷體" w:hint="eastAsia"/>
        </w:rPr>
        <w:t>『</w:t>
      </w:r>
      <w:proofErr w:type="gramStart"/>
      <w:r w:rsidR="00A372C8" w:rsidRPr="006A482F">
        <w:rPr>
          <w:rFonts w:hint="eastAsia"/>
        </w:rPr>
        <w:t>文創育</w:t>
      </w:r>
      <w:proofErr w:type="gramEnd"/>
      <w:r w:rsidR="00A372C8" w:rsidRPr="006A482F">
        <w:rPr>
          <w:rFonts w:hint="eastAsia"/>
        </w:rPr>
        <w:t>成中心</w:t>
      </w:r>
      <w:r w:rsidR="00A372C8" w:rsidRPr="006A482F">
        <w:rPr>
          <w:rFonts w:hAnsi="標楷體" w:hint="eastAsia"/>
        </w:rPr>
        <w:t>』</w:t>
      </w:r>
      <w:r w:rsidR="00A372C8" w:rsidRPr="006A482F">
        <w:rPr>
          <w:rFonts w:hint="eastAsia"/>
        </w:rPr>
        <w:t>產值也明顯衰退」、</w:t>
      </w:r>
      <w:r w:rsidR="00613A98" w:rsidRPr="006A482F">
        <w:rPr>
          <w:rFonts w:hint="eastAsia"/>
        </w:rPr>
        <w:t>「立法院預算中心針對近10年重大文化施政計畫提出最新檢討報告，列出5大問題，</w:t>
      </w:r>
      <w:proofErr w:type="gramStart"/>
      <w:r w:rsidR="00613A98" w:rsidRPr="006A482F">
        <w:rPr>
          <w:rFonts w:hint="eastAsia"/>
        </w:rPr>
        <w:t>包括文創廠商</w:t>
      </w:r>
      <w:proofErr w:type="gramEnd"/>
      <w:r w:rsidR="00613A98" w:rsidRPr="006A482F">
        <w:rPr>
          <w:rFonts w:hint="eastAsia"/>
        </w:rPr>
        <w:t>雖增加，每家年營業額卻下降，且外銷成績遠遜於鄰國；</w:t>
      </w:r>
      <w:proofErr w:type="gramStart"/>
      <w:r w:rsidR="00613A98" w:rsidRPr="006A482F">
        <w:rPr>
          <w:rFonts w:hint="eastAsia"/>
        </w:rPr>
        <w:t>多個文創園區</w:t>
      </w:r>
      <w:proofErr w:type="gramEnd"/>
      <w:r w:rsidR="00613A98" w:rsidRPr="006A482F">
        <w:rPr>
          <w:rFonts w:hint="eastAsia"/>
        </w:rPr>
        <w:t>有逾半空間用於開餐廳、商店，藝術家進駐不及15%，明顯</w:t>
      </w:r>
      <w:proofErr w:type="gramStart"/>
      <w:r w:rsidR="00613A98" w:rsidRPr="006A482F">
        <w:rPr>
          <w:rFonts w:hint="eastAsia"/>
        </w:rPr>
        <w:t>主客錯置</w:t>
      </w:r>
      <w:proofErr w:type="gramEnd"/>
      <w:r w:rsidR="00613A98" w:rsidRPr="006A482F">
        <w:rPr>
          <w:rFonts w:hint="eastAsia"/>
        </w:rPr>
        <w:t>；影視音產業發展旗艦計畫成效遠低於預估，且多以政府補助推動，去年文創業、創投</w:t>
      </w:r>
      <w:proofErr w:type="gramStart"/>
      <w:r w:rsidR="00613A98" w:rsidRPr="006A482F">
        <w:rPr>
          <w:rFonts w:hint="eastAsia"/>
        </w:rPr>
        <w:t>資金者媒合</w:t>
      </w:r>
      <w:proofErr w:type="gramEnd"/>
      <w:r w:rsidR="00613A98" w:rsidRPr="006A482F">
        <w:rPr>
          <w:rFonts w:hint="eastAsia"/>
        </w:rPr>
        <w:t>成功案件甚至</w:t>
      </w:r>
      <w:proofErr w:type="gramStart"/>
      <w:r w:rsidR="00613A98" w:rsidRPr="006A482F">
        <w:rPr>
          <w:rFonts w:hint="eastAsia"/>
        </w:rPr>
        <w:t>掛零</w:t>
      </w:r>
      <w:r w:rsidR="00613A98">
        <w:rPr>
          <w:rFonts w:hint="eastAsia"/>
        </w:rPr>
        <w:t>」</w:t>
      </w:r>
      <w:proofErr w:type="gramEnd"/>
      <w:r w:rsidR="0025492D">
        <w:rPr>
          <w:rFonts w:hint="eastAsia"/>
        </w:rPr>
        <w:t>、「</w:t>
      </w:r>
      <w:r w:rsidR="0025492D" w:rsidRPr="0025492D">
        <w:rPr>
          <w:rFonts w:hint="eastAsia"/>
        </w:rPr>
        <w:t>一晃眼十年過去，</w:t>
      </w:r>
      <w:proofErr w:type="gramStart"/>
      <w:r w:rsidR="0025492D" w:rsidRPr="0025492D">
        <w:rPr>
          <w:rFonts w:hint="eastAsia"/>
        </w:rPr>
        <w:t>這些文創</w:t>
      </w:r>
      <w:r w:rsidR="0025492D" w:rsidRPr="00E64654">
        <w:rPr>
          <w:rFonts w:hint="eastAsia"/>
        </w:rPr>
        <w:t>園區</w:t>
      </w:r>
      <w:proofErr w:type="gramEnd"/>
      <w:r w:rsidR="0025492D" w:rsidRPr="00E64654">
        <w:rPr>
          <w:rFonts w:hint="eastAsia"/>
        </w:rPr>
        <w:t>終究沒有成為倫敦南岸，也無法與</w:t>
      </w:r>
      <w:proofErr w:type="gramStart"/>
      <w:r w:rsidR="0025492D" w:rsidRPr="00E64654">
        <w:rPr>
          <w:rFonts w:hint="eastAsia"/>
        </w:rPr>
        <w:t>最</w:t>
      </w:r>
      <w:proofErr w:type="gramEnd"/>
      <w:r w:rsidR="0025492D" w:rsidRPr="00E64654">
        <w:rPr>
          <w:rFonts w:hint="eastAsia"/>
        </w:rPr>
        <w:t>風光時期的北京798相比」</w:t>
      </w:r>
      <w:r w:rsidR="0092271B" w:rsidRPr="00E64654">
        <w:rPr>
          <w:rFonts w:hint="eastAsia"/>
        </w:rPr>
        <w:t>等情。且</w:t>
      </w:r>
      <w:r w:rsidR="00A030AE" w:rsidRPr="00E64654">
        <w:rPr>
          <w:rFonts w:hint="eastAsia"/>
        </w:rPr>
        <w:t>由</w:t>
      </w:r>
      <w:r w:rsidR="005901FE" w:rsidRPr="00E64654">
        <w:rPr>
          <w:rFonts w:hint="eastAsia"/>
        </w:rPr>
        <w:t>2017臺灣文化創意產業發展年報「</w:t>
      </w:r>
      <w:r w:rsidR="00E10905" w:rsidRPr="00E64654">
        <w:rPr>
          <w:rFonts w:hint="eastAsia"/>
        </w:rPr>
        <w:t xml:space="preserve">表1-21 </w:t>
      </w:r>
      <w:r w:rsidR="005901FE" w:rsidRPr="00E64654">
        <w:rPr>
          <w:rFonts w:hint="eastAsia"/>
        </w:rPr>
        <w:t>2011~2015年臺灣文化創意產業外銷金額及成長率-次產業別」</w:t>
      </w:r>
      <w:r w:rsidR="005F3569" w:rsidRPr="00E64654">
        <w:rPr>
          <w:rStyle w:val="afe"/>
        </w:rPr>
        <w:footnoteReference w:id="9"/>
      </w:r>
      <w:r w:rsidR="00A030AE" w:rsidRPr="00E64654">
        <w:rPr>
          <w:rFonts w:hint="eastAsia"/>
        </w:rPr>
        <w:t>可見，</w:t>
      </w:r>
      <w:r w:rsidR="0090661D" w:rsidRPr="00E64654">
        <w:rPr>
          <w:rFonts w:hint="eastAsia"/>
        </w:rPr>
        <w:t>我國</w:t>
      </w:r>
      <w:proofErr w:type="gramStart"/>
      <w:r w:rsidR="0090661D" w:rsidRPr="00E64654">
        <w:rPr>
          <w:rFonts w:hint="eastAsia"/>
        </w:rPr>
        <w:t>的文創產業</w:t>
      </w:r>
      <w:proofErr w:type="gramEnd"/>
      <w:r w:rsidR="0090661D" w:rsidRPr="00E64654">
        <w:rPr>
          <w:rFonts w:hint="eastAsia"/>
        </w:rPr>
        <w:t>外銷收入自2011年創下1,2</w:t>
      </w:r>
      <w:r w:rsidR="00A030AE" w:rsidRPr="00E64654">
        <w:rPr>
          <w:rFonts w:hint="eastAsia"/>
        </w:rPr>
        <w:t>48</w:t>
      </w:r>
      <w:r w:rsidR="0090661D" w:rsidRPr="00E64654">
        <w:rPr>
          <w:rFonts w:hint="eastAsia"/>
        </w:rPr>
        <w:t>億</w:t>
      </w:r>
      <w:r w:rsidR="00A030AE" w:rsidRPr="00E64654">
        <w:rPr>
          <w:rFonts w:hint="eastAsia"/>
        </w:rPr>
        <w:t>餘</w:t>
      </w:r>
      <w:r w:rsidR="0090661D" w:rsidRPr="00E64654">
        <w:rPr>
          <w:rFonts w:hint="eastAsia"/>
        </w:rPr>
        <w:t>元高峰後，旋即呈現衰退趨勢，</w:t>
      </w:r>
      <w:r w:rsidR="00365681" w:rsidRPr="00E64654">
        <w:rPr>
          <w:rFonts w:hint="eastAsia"/>
        </w:rPr>
        <w:t>該年報亦指出「我國外銷金額表現方面，2011至2015年年複合成長率為-8.23%…</w:t>
      </w:r>
      <w:proofErr w:type="gramStart"/>
      <w:r w:rsidR="00365681" w:rsidRPr="00E64654">
        <w:rPr>
          <w:rFonts w:hint="eastAsia"/>
        </w:rPr>
        <w:t>…</w:t>
      </w:r>
      <w:proofErr w:type="gramEnd"/>
      <w:r w:rsidR="00365681" w:rsidRPr="00E64654">
        <w:rPr>
          <w:rFonts w:hint="eastAsia"/>
        </w:rPr>
        <w:t>。整體來看，我國文創產業外銷表現上不如英國、韓國強勢」</w:t>
      </w:r>
      <w:r w:rsidR="00024DCA" w:rsidRPr="00E64654">
        <w:rPr>
          <w:rFonts w:hint="eastAsia"/>
        </w:rPr>
        <w:t>等語</w:t>
      </w:r>
      <w:r w:rsidR="0060097D" w:rsidRPr="00E64654">
        <w:rPr>
          <w:rFonts w:hint="eastAsia"/>
        </w:rPr>
        <w:t>。</w:t>
      </w:r>
      <w:r w:rsidR="00C2483B" w:rsidRPr="00E64654">
        <w:rPr>
          <w:rFonts w:hint="eastAsia"/>
        </w:rPr>
        <w:t>另</w:t>
      </w:r>
      <w:r w:rsidR="009055D2" w:rsidRPr="00E64654">
        <w:rPr>
          <w:rFonts w:hint="eastAsia"/>
        </w:rPr>
        <w:t>據</w:t>
      </w:r>
      <w:r w:rsidR="006F3618" w:rsidRPr="00E64654">
        <w:rPr>
          <w:rFonts w:hint="eastAsia"/>
        </w:rPr>
        <w:t>文化部表示，花東地區擁有獨特地理環境、豐富的人文歷史及觀光資源，</w:t>
      </w:r>
      <w:r w:rsidR="006F3618" w:rsidRPr="006F3618">
        <w:rPr>
          <w:rFonts w:hint="eastAsia"/>
        </w:rPr>
        <w:t>其中也蘊藏極具特色及創意的藝術家、創作家、藝文工作坊、文創業者等</w:t>
      </w:r>
      <w:r w:rsidR="006F3618">
        <w:rPr>
          <w:rFonts w:hint="eastAsia"/>
        </w:rPr>
        <w:t>，</w:t>
      </w:r>
      <w:r w:rsidR="006F3618" w:rsidRPr="006F3618">
        <w:rPr>
          <w:rFonts w:hint="eastAsia"/>
        </w:rPr>
        <w:t>而</w:t>
      </w:r>
      <w:proofErr w:type="gramStart"/>
      <w:r w:rsidR="006F3618" w:rsidRPr="006F3618">
        <w:rPr>
          <w:rFonts w:hint="eastAsia"/>
        </w:rPr>
        <w:t>花蓮文創產業</w:t>
      </w:r>
      <w:proofErr w:type="gramEnd"/>
      <w:r w:rsidR="006F3618" w:rsidRPr="006F3618">
        <w:rPr>
          <w:rFonts w:hint="eastAsia"/>
        </w:rPr>
        <w:t>園區位處於花蓮市中心，可集聚在地資源做為藝術創作、育成、展示、行銷推廣等觀光及</w:t>
      </w:r>
      <w:proofErr w:type="gramStart"/>
      <w:r w:rsidR="006F3618" w:rsidRPr="006F3618">
        <w:rPr>
          <w:rFonts w:hint="eastAsia"/>
        </w:rPr>
        <w:t>文創平</w:t>
      </w:r>
      <w:r w:rsidR="006F3618">
        <w:rPr>
          <w:rFonts w:hint="eastAsia"/>
        </w:rPr>
        <w:t>臺</w:t>
      </w:r>
      <w:proofErr w:type="gramEnd"/>
      <w:r w:rsidR="006F3618" w:rsidRPr="006F3618">
        <w:rPr>
          <w:rFonts w:hint="eastAsia"/>
        </w:rPr>
        <w:t>，供大眾分</w:t>
      </w:r>
      <w:r w:rsidR="006F3618" w:rsidRPr="006F3618">
        <w:rPr>
          <w:rFonts w:hint="eastAsia"/>
        </w:rPr>
        <w:lastRenderedPageBreak/>
        <w:t>享及交流</w:t>
      </w:r>
      <w:r w:rsidR="006F3618">
        <w:rPr>
          <w:rFonts w:hint="eastAsia"/>
        </w:rPr>
        <w:t>；惟</w:t>
      </w:r>
      <w:r w:rsidR="00227142" w:rsidRPr="00E76CB0">
        <w:rPr>
          <w:rFonts w:hint="eastAsia"/>
        </w:rPr>
        <w:t>原民會</w:t>
      </w:r>
      <w:r w:rsidR="006F3618">
        <w:rPr>
          <w:rFonts w:hint="eastAsia"/>
        </w:rPr>
        <w:t>卻</w:t>
      </w:r>
      <w:r w:rsidR="00227142">
        <w:rPr>
          <w:rFonts w:hint="eastAsia"/>
        </w:rPr>
        <w:t>表示，</w:t>
      </w:r>
      <w:r w:rsidR="000E3C55" w:rsidRPr="00E76CB0">
        <w:rPr>
          <w:rFonts w:hint="eastAsia"/>
        </w:rPr>
        <w:t>「為推動原住民族文化創意產業，透過行政院核定花蓮縣第二期(105-</w:t>
      </w:r>
      <w:r w:rsidR="003A6FD5">
        <w:rPr>
          <w:rFonts w:hint="eastAsia"/>
        </w:rPr>
        <w:t xml:space="preserve"> </w:t>
      </w:r>
      <w:r w:rsidR="000E3C55" w:rsidRPr="00E76CB0">
        <w:rPr>
          <w:rFonts w:hint="eastAsia"/>
        </w:rPr>
        <w:t>108年)綜合發展實施方案，…</w:t>
      </w:r>
      <w:proofErr w:type="gramStart"/>
      <w:r w:rsidR="000E3C55" w:rsidRPr="00E76CB0">
        <w:rPr>
          <w:rFonts w:hint="eastAsia"/>
        </w:rPr>
        <w:t>…</w:t>
      </w:r>
      <w:proofErr w:type="gramEnd"/>
      <w:r w:rsidR="000E3C55" w:rsidRPr="00E76CB0">
        <w:rPr>
          <w:rFonts w:hint="eastAsia"/>
        </w:rPr>
        <w:t>由花蓮縣政府執行為期4年之</w:t>
      </w:r>
      <w:r w:rsidR="0041703C" w:rsidRPr="007C2B8A">
        <w:rPr>
          <w:rFonts w:hAnsi="標楷體" w:hint="eastAsia"/>
        </w:rPr>
        <w:t>『</w:t>
      </w:r>
      <w:proofErr w:type="gramStart"/>
      <w:r w:rsidR="000E3C55" w:rsidRPr="00E76CB0">
        <w:rPr>
          <w:rFonts w:hint="eastAsia"/>
        </w:rPr>
        <w:t>原住民文創產業</w:t>
      </w:r>
      <w:proofErr w:type="gramEnd"/>
      <w:r w:rsidR="000E3C55" w:rsidRPr="00E76CB0">
        <w:rPr>
          <w:rFonts w:hint="eastAsia"/>
        </w:rPr>
        <w:t>行銷發展計畫</w:t>
      </w:r>
      <w:r w:rsidR="0041703C" w:rsidRPr="007C2B8A">
        <w:rPr>
          <w:rFonts w:hAnsi="標楷體" w:hint="eastAsia"/>
        </w:rPr>
        <w:t>』</w:t>
      </w:r>
      <w:r w:rsidR="000E3C55" w:rsidRPr="00E76CB0">
        <w:rPr>
          <w:rFonts w:hint="eastAsia"/>
        </w:rPr>
        <w:t>，原預定基地位置即為花蓮園區，</w:t>
      </w:r>
      <w:proofErr w:type="gramStart"/>
      <w:r w:rsidR="000E3C55" w:rsidRPr="00E76CB0">
        <w:rPr>
          <w:rFonts w:hint="eastAsia"/>
        </w:rPr>
        <w:t>嗣</w:t>
      </w:r>
      <w:proofErr w:type="gramEnd"/>
      <w:r w:rsidR="000E3C55" w:rsidRPr="00E76CB0">
        <w:rPr>
          <w:rFonts w:hint="eastAsia"/>
        </w:rPr>
        <w:t>因</w:t>
      </w:r>
      <w:r w:rsidR="000E3C55" w:rsidRPr="006A482F">
        <w:rPr>
          <w:rFonts w:hint="eastAsia"/>
        </w:rPr>
        <w:t>場地租金因素，</w:t>
      </w:r>
      <w:proofErr w:type="gramStart"/>
      <w:r w:rsidR="000E3C55" w:rsidRPr="006A482F">
        <w:rPr>
          <w:rFonts w:hint="eastAsia"/>
        </w:rPr>
        <w:t>變更文創產業</w:t>
      </w:r>
      <w:proofErr w:type="gramEnd"/>
      <w:r w:rsidR="000E3C55" w:rsidRPr="006A482F">
        <w:rPr>
          <w:rFonts w:hint="eastAsia"/>
        </w:rPr>
        <w:t>聚落設置地點為陽光電城</w:t>
      </w:r>
      <w:r w:rsidR="0041703C" w:rsidRPr="006A482F">
        <w:rPr>
          <w:rFonts w:hint="eastAsia"/>
        </w:rPr>
        <w:t>」</w:t>
      </w:r>
      <w:r w:rsidR="00E24325" w:rsidRPr="006A482F">
        <w:rPr>
          <w:rFonts w:hint="eastAsia"/>
        </w:rPr>
        <w:t>等情</w:t>
      </w:r>
      <w:r w:rsidR="000E3C55" w:rsidRPr="006A482F">
        <w:rPr>
          <w:rFonts w:hint="eastAsia"/>
        </w:rPr>
        <w:t>。</w:t>
      </w:r>
      <w:r w:rsidR="00D677E6" w:rsidRPr="006A482F">
        <w:rPr>
          <w:rFonts w:hint="eastAsia"/>
        </w:rPr>
        <w:t>可</w:t>
      </w:r>
      <w:r w:rsidR="00E71257" w:rsidRPr="006A482F">
        <w:rPr>
          <w:rFonts w:hint="eastAsia"/>
        </w:rPr>
        <w:t>見</w:t>
      </w:r>
      <w:proofErr w:type="gramStart"/>
      <w:r w:rsidR="00E71257" w:rsidRPr="006A482F">
        <w:rPr>
          <w:rFonts w:hint="eastAsia"/>
        </w:rPr>
        <w:t>五大文創產業</w:t>
      </w:r>
      <w:proofErr w:type="gramEnd"/>
      <w:r w:rsidR="00E71257" w:rsidRPr="006A482F">
        <w:rPr>
          <w:rFonts w:hint="eastAsia"/>
        </w:rPr>
        <w:t>園區</w:t>
      </w:r>
      <w:r w:rsidR="007C2B8A" w:rsidRPr="006A482F">
        <w:rPr>
          <w:rFonts w:hint="eastAsia"/>
        </w:rPr>
        <w:t>雖具備高可及性之地理位置優勢，卻因園區空間配置及運用情形有欠妥當或租金</w:t>
      </w:r>
      <w:r w:rsidR="007C2B8A" w:rsidRPr="00E64654">
        <w:rPr>
          <w:rFonts w:hint="eastAsia"/>
        </w:rPr>
        <w:t>過高等因素</w:t>
      </w:r>
      <w:r w:rsidR="00E71257" w:rsidRPr="00E64654">
        <w:rPr>
          <w:rFonts w:hint="eastAsia"/>
        </w:rPr>
        <w:t>，</w:t>
      </w:r>
      <w:r w:rsidR="007C2B8A" w:rsidRPr="00E64654">
        <w:rPr>
          <w:rFonts w:hint="eastAsia"/>
        </w:rPr>
        <w:t>多年來</w:t>
      </w:r>
      <w:r w:rsidR="004647E1" w:rsidRPr="00E64654">
        <w:rPr>
          <w:rFonts w:hint="eastAsia"/>
        </w:rPr>
        <w:t>不僅</w:t>
      </w:r>
      <w:r w:rsidR="007C2B8A" w:rsidRPr="00E64654">
        <w:rPr>
          <w:rFonts w:hint="eastAsia"/>
        </w:rPr>
        <w:t>未能帶動</w:t>
      </w:r>
      <w:r w:rsidR="00AB3363" w:rsidRPr="00E64654">
        <w:rPr>
          <w:rFonts w:hint="eastAsia"/>
        </w:rPr>
        <w:t>周</w:t>
      </w:r>
      <w:r w:rsidR="007C2B8A" w:rsidRPr="00E64654">
        <w:rPr>
          <w:rFonts w:hint="eastAsia"/>
        </w:rPr>
        <w:t>邊產業，</w:t>
      </w:r>
      <w:proofErr w:type="gramStart"/>
      <w:r w:rsidR="004A5B95" w:rsidRPr="00E64654">
        <w:rPr>
          <w:rFonts w:hint="eastAsia"/>
        </w:rPr>
        <w:t>形成</w:t>
      </w:r>
      <w:r w:rsidR="007C2B8A" w:rsidRPr="00E64654">
        <w:rPr>
          <w:rFonts w:hint="eastAsia"/>
        </w:rPr>
        <w:t>文創</w:t>
      </w:r>
      <w:r w:rsidR="004A5B95" w:rsidRPr="00E64654">
        <w:rPr>
          <w:rFonts w:hint="eastAsia"/>
        </w:rPr>
        <w:t>產業</w:t>
      </w:r>
      <w:proofErr w:type="gramEnd"/>
      <w:r w:rsidR="004A5B95" w:rsidRPr="00E64654">
        <w:rPr>
          <w:rFonts w:hint="eastAsia"/>
        </w:rPr>
        <w:t>聚落</w:t>
      </w:r>
      <w:r w:rsidR="004647E1" w:rsidRPr="00E64654">
        <w:rPr>
          <w:rFonts w:hint="eastAsia"/>
        </w:rPr>
        <w:t>，且執行結果落差甚大，</w:t>
      </w:r>
      <w:r w:rsidR="004708AB" w:rsidRPr="00E64654">
        <w:rPr>
          <w:rFonts w:hint="eastAsia"/>
        </w:rPr>
        <w:t>外銷產值亦呈現衰退趨勢</w:t>
      </w:r>
      <w:r w:rsidR="00FC78E7" w:rsidRPr="00E64654">
        <w:rPr>
          <w:rFonts w:hint="eastAsia"/>
        </w:rPr>
        <w:t>。</w:t>
      </w:r>
    </w:p>
    <w:p w:rsidR="003D29BF" w:rsidRPr="00E64654" w:rsidRDefault="00B25180" w:rsidP="00D2048D">
      <w:pPr>
        <w:pStyle w:val="3"/>
      </w:pPr>
      <w:r w:rsidRPr="006A482F">
        <w:rPr>
          <w:rFonts w:hint="eastAsia"/>
        </w:rPr>
        <w:t>文化部</w:t>
      </w:r>
      <w:proofErr w:type="gramStart"/>
      <w:r w:rsidR="00584433" w:rsidRPr="006A482F">
        <w:rPr>
          <w:rFonts w:hint="eastAsia"/>
        </w:rPr>
        <w:t>對於文創人才</w:t>
      </w:r>
      <w:proofErr w:type="gramEnd"/>
      <w:r w:rsidR="00584433" w:rsidRPr="006A482F">
        <w:rPr>
          <w:rFonts w:hint="eastAsia"/>
        </w:rPr>
        <w:t>培育</w:t>
      </w:r>
      <w:r w:rsidR="00541B2B" w:rsidRPr="006A482F">
        <w:rPr>
          <w:rFonts w:hint="eastAsia"/>
        </w:rPr>
        <w:t>之政策推動重點</w:t>
      </w:r>
      <w:r w:rsidR="00584433" w:rsidRPr="006A482F">
        <w:rPr>
          <w:rFonts w:hint="eastAsia"/>
        </w:rPr>
        <w:t>，提出「</w:t>
      </w:r>
      <w:r w:rsidR="00584433" w:rsidRPr="006A482F">
        <w:rPr>
          <w:rFonts w:hint="eastAsia"/>
        </w:rPr>
        <w:tab/>
        <w:t>以市場庇護概念支持新銳新創：持續辦理圓夢計畫，透過獎勵創業者</w:t>
      </w:r>
      <w:proofErr w:type="gramStart"/>
      <w:r w:rsidR="00584433" w:rsidRPr="006A482F">
        <w:rPr>
          <w:rFonts w:hint="eastAsia"/>
        </w:rPr>
        <w:t>第一桶金</w:t>
      </w:r>
      <w:proofErr w:type="gramEnd"/>
      <w:r w:rsidR="00584433" w:rsidRPr="006A482F">
        <w:rPr>
          <w:rFonts w:hint="eastAsia"/>
        </w:rPr>
        <w:t>、提供實務輔導與業師諮詢</w:t>
      </w:r>
      <w:r w:rsidR="00584433" w:rsidRPr="00584433">
        <w:rPr>
          <w:rFonts w:hint="eastAsia"/>
        </w:rPr>
        <w:t>服務，</w:t>
      </w:r>
      <w:proofErr w:type="gramStart"/>
      <w:r w:rsidR="00584433" w:rsidRPr="00584433">
        <w:rPr>
          <w:rFonts w:hint="eastAsia"/>
        </w:rPr>
        <w:t>協助文創事業</w:t>
      </w:r>
      <w:proofErr w:type="gramEnd"/>
      <w:r w:rsidR="00584433" w:rsidRPr="00584433">
        <w:rPr>
          <w:rFonts w:hint="eastAsia"/>
        </w:rPr>
        <w:t>檢視產品構想及後續市場發展的可行性；</w:t>
      </w:r>
      <w:proofErr w:type="gramStart"/>
      <w:r w:rsidR="00584433" w:rsidRPr="00584433">
        <w:rPr>
          <w:rFonts w:hint="eastAsia"/>
        </w:rPr>
        <w:t>輔導文創產業</w:t>
      </w:r>
      <w:proofErr w:type="gramEnd"/>
      <w:r w:rsidR="00584433" w:rsidRPr="00584433">
        <w:rPr>
          <w:rFonts w:hint="eastAsia"/>
        </w:rPr>
        <w:t>創新育成，協助創作者得以進駐育成中心專心創作，提供發展歷程中所需的創新研發、創業諮詢輔導、營運管理、政府資源輔導、品牌行銷、市場通路及跨界</w:t>
      </w:r>
      <w:proofErr w:type="gramStart"/>
      <w:r w:rsidR="00584433" w:rsidRPr="00584433">
        <w:rPr>
          <w:rFonts w:hint="eastAsia"/>
        </w:rPr>
        <w:t>跨業媒合</w:t>
      </w:r>
      <w:proofErr w:type="gramEnd"/>
      <w:r w:rsidR="00584433" w:rsidRPr="00584433">
        <w:rPr>
          <w:rFonts w:hint="eastAsia"/>
        </w:rPr>
        <w:t>，及強化在地陪伴機制的輔導網絡，期望新銳新創縮短創業成長學習曲線</w:t>
      </w:r>
      <w:r w:rsidR="00584433">
        <w:rPr>
          <w:rFonts w:hint="eastAsia"/>
        </w:rPr>
        <w:t>」</w:t>
      </w:r>
      <w:r w:rsidR="00306EA0">
        <w:rPr>
          <w:rFonts w:hint="eastAsia"/>
        </w:rPr>
        <w:t>；</w:t>
      </w:r>
      <w:r w:rsidR="00F11A2D">
        <w:rPr>
          <w:rFonts w:hint="eastAsia"/>
        </w:rPr>
        <w:t>而</w:t>
      </w:r>
      <w:r w:rsidR="003A475C" w:rsidRPr="00626D1D">
        <w:rPr>
          <w:rFonts w:hint="eastAsia"/>
        </w:rPr>
        <w:t>經濟部有關「數位內容產業」人才培育之作法係「結合</w:t>
      </w:r>
      <w:r w:rsidR="003A475C" w:rsidRPr="006A482F">
        <w:rPr>
          <w:rFonts w:hint="eastAsia"/>
        </w:rPr>
        <w:t>學校和企業資源，推動產學合作，培育符合產業需求之實務技術人才，以改善學用落差與實務技術人才斷層之現象」</w:t>
      </w:r>
      <w:r w:rsidR="00045C69" w:rsidRPr="006A482F">
        <w:rPr>
          <w:rFonts w:hint="eastAsia"/>
        </w:rPr>
        <w:t>；</w:t>
      </w:r>
      <w:r w:rsidR="003A475C" w:rsidRPr="006A482F">
        <w:rPr>
          <w:rFonts w:hint="eastAsia"/>
        </w:rPr>
        <w:t>教育部</w:t>
      </w:r>
      <w:r w:rsidR="00306EA0" w:rsidRPr="006A482F">
        <w:rPr>
          <w:rFonts w:hint="eastAsia"/>
        </w:rPr>
        <w:t>則是</w:t>
      </w:r>
      <w:r w:rsidR="003A475C" w:rsidRPr="006A482F">
        <w:rPr>
          <w:rFonts w:hint="eastAsia"/>
        </w:rPr>
        <w:t>「鼓勵學校藝術與設計相關系所，至相關場域進行實習、合作與交流</w:t>
      </w:r>
      <w:r w:rsidR="003A475C" w:rsidRPr="00626D1D">
        <w:rPr>
          <w:rFonts w:hint="eastAsia"/>
        </w:rPr>
        <w:t>，以提升學生實用之專業技能」。</w:t>
      </w:r>
      <w:proofErr w:type="gramStart"/>
      <w:r w:rsidR="00EE4CF8">
        <w:rPr>
          <w:rFonts w:hint="eastAsia"/>
        </w:rPr>
        <w:t>爰文化部</w:t>
      </w:r>
      <w:r w:rsidR="00890CB8">
        <w:rPr>
          <w:rFonts w:hint="eastAsia"/>
        </w:rPr>
        <w:t>允應</w:t>
      </w:r>
      <w:proofErr w:type="gramEnd"/>
      <w:r w:rsidR="00890CB8" w:rsidRPr="00D2048D">
        <w:rPr>
          <w:rFonts w:hint="eastAsia"/>
        </w:rPr>
        <w:t>以育成中心的概念，打開園區藩籬，</w:t>
      </w:r>
      <w:r w:rsidR="00890CB8">
        <w:rPr>
          <w:rFonts w:hint="eastAsia"/>
        </w:rPr>
        <w:t>參酌經濟部、教育部作法，</w:t>
      </w:r>
      <w:r w:rsidR="00890CB8" w:rsidRPr="00D2048D">
        <w:rPr>
          <w:rFonts w:hint="eastAsia"/>
        </w:rPr>
        <w:t>結合地方文化人士，透過學校產學合作</w:t>
      </w:r>
      <w:r w:rsidR="00890CB8" w:rsidRPr="003B1F10">
        <w:rPr>
          <w:rFonts w:hint="eastAsia"/>
        </w:rPr>
        <w:t>或實習、交流</w:t>
      </w:r>
      <w:r w:rsidR="00890CB8" w:rsidRPr="00D2048D">
        <w:rPr>
          <w:rFonts w:hint="eastAsia"/>
        </w:rPr>
        <w:t>，進而</w:t>
      </w:r>
      <w:proofErr w:type="gramStart"/>
      <w:r w:rsidR="00890CB8" w:rsidRPr="00D2048D">
        <w:rPr>
          <w:rFonts w:hint="eastAsia"/>
        </w:rPr>
        <w:t>成</w:t>
      </w:r>
      <w:r w:rsidR="00890CB8" w:rsidRPr="00E64654">
        <w:rPr>
          <w:rFonts w:hint="eastAsia"/>
        </w:rPr>
        <w:t>為文創產業</w:t>
      </w:r>
      <w:proofErr w:type="gramEnd"/>
      <w:r w:rsidR="00890CB8" w:rsidRPr="00E64654">
        <w:rPr>
          <w:rFonts w:hint="eastAsia"/>
        </w:rPr>
        <w:t>之輔導平</w:t>
      </w:r>
      <w:proofErr w:type="gramStart"/>
      <w:r w:rsidR="00890CB8" w:rsidRPr="00E64654">
        <w:rPr>
          <w:rFonts w:hint="eastAsia"/>
        </w:rPr>
        <w:t>臺</w:t>
      </w:r>
      <w:proofErr w:type="gramEnd"/>
      <w:r w:rsidR="00D2048D" w:rsidRPr="00E64654">
        <w:rPr>
          <w:rFonts w:hint="eastAsia"/>
        </w:rPr>
        <w:t>，</w:t>
      </w:r>
      <w:r w:rsidR="003B1F10" w:rsidRPr="00E64654">
        <w:rPr>
          <w:rFonts w:hint="eastAsia"/>
        </w:rPr>
        <w:t>以達到人才培育目的</w:t>
      </w:r>
      <w:r w:rsidR="00D2048D" w:rsidRPr="00E64654">
        <w:rPr>
          <w:rFonts w:hint="eastAsia"/>
        </w:rPr>
        <w:t>。</w:t>
      </w:r>
    </w:p>
    <w:p w:rsidR="003A475C" w:rsidRPr="00E64654" w:rsidRDefault="00FA34EB" w:rsidP="0040105B">
      <w:pPr>
        <w:pStyle w:val="3"/>
      </w:pPr>
      <w:r w:rsidRPr="00E64654">
        <w:rPr>
          <w:rFonts w:hint="eastAsia"/>
        </w:rPr>
        <w:lastRenderedPageBreak/>
        <w:t>綜上，</w:t>
      </w:r>
      <w:proofErr w:type="gramStart"/>
      <w:r w:rsidR="0040105B" w:rsidRPr="00E64654">
        <w:rPr>
          <w:rFonts w:hint="eastAsia"/>
        </w:rPr>
        <w:t>五大文創產業園區均位處</w:t>
      </w:r>
      <w:proofErr w:type="gramEnd"/>
      <w:r w:rsidR="0040105B" w:rsidRPr="00E64654">
        <w:rPr>
          <w:rFonts w:hint="eastAsia"/>
        </w:rPr>
        <w:t>精華區，卻未能善用地理位置優勢，</w:t>
      </w:r>
      <w:proofErr w:type="gramStart"/>
      <w:r w:rsidR="0040105B" w:rsidRPr="00E64654">
        <w:rPr>
          <w:rFonts w:hint="eastAsia"/>
        </w:rPr>
        <w:t>創造文創產業</w:t>
      </w:r>
      <w:proofErr w:type="gramEnd"/>
      <w:r w:rsidR="0040105B" w:rsidRPr="00E64654">
        <w:rPr>
          <w:rFonts w:hint="eastAsia"/>
        </w:rPr>
        <w:t>聚集效應，執行成效不佳；且對於</w:t>
      </w:r>
      <w:proofErr w:type="gramStart"/>
      <w:r w:rsidR="0040105B" w:rsidRPr="00E64654">
        <w:rPr>
          <w:rFonts w:hint="eastAsia"/>
        </w:rPr>
        <w:t>培育文創人才</w:t>
      </w:r>
      <w:proofErr w:type="gramEnd"/>
      <w:r w:rsidR="0040105B" w:rsidRPr="00E64654">
        <w:rPr>
          <w:rFonts w:hint="eastAsia"/>
        </w:rPr>
        <w:t>欠缺規劃引導，亦未能達到</w:t>
      </w:r>
      <w:proofErr w:type="gramStart"/>
      <w:r w:rsidR="0040105B" w:rsidRPr="00E64654">
        <w:rPr>
          <w:rFonts w:hint="eastAsia"/>
        </w:rPr>
        <w:t>扶植文創產業</w:t>
      </w:r>
      <w:proofErr w:type="gramEnd"/>
      <w:r w:rsidR="0040105B" w:rsidRPr="00E64654">
        <w:rPr>
          <w:rFonts w:hint="eastAsia"/>
        </w:rPr>
        <w:t>之功能。</w:t>
      </w:r>
    </w:p>
    <w:p w:rsidR="001A2C0E" w:rsidRPr="00E64654" w:rsidRDefault="009C6E64" w:rsidP="009C6E64">
      <w:pPr>
        <w:pStyle w:val="2"/>
      </w:pPr>
      <w:r w:rsidRPr="00E64654">
        <w:rPr>
          <w:rFonts w:hint="eastAsia"/>
          <w:b/>
        </w:rPr>
        <w:t>行政院雖將文化創意產業列為「挑戰2008：國家發展重點計畫」主要發展計畫之一，惟並</w:t>
      </w:r>
      <w:r w:rsidR="00AC3DDE" w:rsidRPr="00E64654">
        <w:rPr>
          <w:rFonts w:hint="eastAsia"/>
          <w:b/>
        </w:rPr>
        <w:t>未</w:t>
      </w:r>
      <w:r w:rsidR="001315FF" w:rsidRPr="00E64654">
        <w:rPr>
          <w:rFonts w:hint="eastAsia"/>
          <w:b/>
        </w:rPr>
        <w:t>建立</w:t>
      </w:r>
      <w:r w:rsidR="00C61B27" w:rsidRPr="00E64654">
        <w:rPr>
          <w:rFonts w:hint="eastAsia"/>
          <w:b/>
        </w:rPr>
        <w:t>統</w:t>
      </w:r>
      <w:r w:rsidR="001A2C0E" w:rsidRPr="00E64654">
        <w:rPr>
          <w:rFonts w:hint="eastAsia"/>
          <w:b/>
        </w:rPr>
        <w:t>合機制</w:t>
      </w:r>
      <w:r w:rsidR="00AC3DDE" w:rsidRPr="00E64654">
        <w:rPr>
          <w:rFonts w:hint="eastAsia"/>
          <w:b/>
        </w:rPr>
        <w:t>，</w:t>
      </w:r>
      <w:r w:rsidR="00DF7CAE" w:rsidRPr="00E64654">
        <w:rPr>
          <w:rFonts w:hint="eastAsia"/>
          <w:b/>
        </w:rPr>
        <w:t>各相關部會資源未能</w:t>
      </w:r>
      <w:r w:rsidR="00C61B27" w:rsidRPr="00E64654">
        <w:rPr>
          <w:rFonts w:hint="eastAsia"/>
          <w:b/>
        </w:rPr>
        <w:t>相互支援運</w:t>
      </w:r>
      <w:r w:rsidR="00DF7CAE" w:rsidRPr="00E64654">
        <w:rPr>
          <w:rFonts w:hint="eastAsia"/>
          <w:b/>
        </w:rPr>
        <w:t>用，</w:t>
      </w:r>
      <w:r w:rsidRPr="00E64654">
        <w:rPr>
          <w:rFonts w:hint="eastAsia"/>
          <w:b/>
        </w:rPr>
        <w:t>恐難達到以</w:t>
      </w:r>
      <w:r w:rsidR="00E435EC" w:rsidRPr="00E64654">
        <w:rPr>
          <w:rFonts w:hint="eastAsia"/>
          <w:b/>
        </w:rPr>
        <w:t>國家團隊力量推動協助文</w:t>
      </w:r>
      <w:r w:rsidR="009F6FDE">
        <w:rPr>
          <w:rFonts w:hint="eastAsia"/>
          <w:b/>
        </w:rPr>
        <w:t>化</w:t>
      </w:r>
      <w:r w:rsidR="00E435EC" w:rsidRPr="00E64654">
        <w:rPr>
          <w:rFonts w:hint="eastAsia"/>
          <w:b/>
        </w:rPr>
        <w:t>創</w:t>
      </w:r>
      <w:r w:rsidR="009F6FDE">
        <w:rPr>
          <w:rFonts w:hint="eastAsia"/>
          <w:b/>
        </w:rPr>
        <w:t>意</w:t>
      </w:r>
      <w:r w:rsidR="00E435EC" w:rsidRPr="00E64654">
        <w:rPr>
          <w:rFonts w:hint="eastAsia"/>
          <w:b/>
        </w:rPr>
        <w:t>產業發展</w:t>
      </w:r>
      <w:r w:rsidRPr="00E64654">
        <w:rPr>
          <w:rFonts w:hint="eastAsia"/>
          <w:b/>
        </w:rPr>
        <w:t>之政策目標</w:t>
      </w:r>
      <w:r w:rsidR="001315FF" w:rsidRPr="00E64654">
        <w:rPr>
          <w:rFonts w:hint="eastAsia"/>
          <w:b/>
        </w:rPr>
        <w:t>。</w:t>
      </w:r>
    </w:p>
    <w:p w:rsidR="009B0284" w:rsidRPr="00710761" w:rsidRDefault="00D75B51" w:rsidP="009B0284">
      <w:pPr>
        <w:pStyle w:val="3"/>
      </w:pPr>
      <w:r w:rsidRPr="009B0284">
        <w:rPr>
          <w:rFonts w:hAnsi="標楷體" w:hint="eastAsia"/>
        </w:rPr>
        <w:t>行政院</w:t>
      </w:r>
      <w:proofErr w:type="gramStart"/>
      <w:r w:rsidRPr="009B0284">
        <w:rPr>
          <w:rFonts w:hAnsi="標楷體" w:hint="eastAsia"/>
        </w:rPr>
        <w:t>將</w:t>
      </w:r>
      <w:r w:rsidRPr="00150D75">
        <w:rPr>
          <w:rFonts w:hAnsi="標楷體" w:hint="eastAsia"/>
        </w:rPr>
        <w:t>文創產業</w:t>
      </w:r>
      <w:proofErr w:type="gramEnd"/>
      <w:r w:rsidRPr="009B0284">
        <w:rPr>
          <w:rFonts w:hAnsi="標楷體" w:hint="eastAsia"/>
        </w:rPr>
        <w:t>列為「挑戰2008：國家發展重點計畫」主要發展計畫之一</w:t>
      </w:r>
      <w:r w:rsidR="00EE20CC" w:rsidRPr="009B0284">
        <w:rPr>
          <w:rFonts w:hAnsi="標楷體" w:hint="eastAsia"/>
          <w:szCs w:val="32"/>
        </w:rPr>
        <w:t>，責由文化部統籌規劃及執行環境整備及旗艦計畫等主軸計畫事項，推動</w:t>
      </w:r>
      <w:proofErr w:type="gramStart"/>
      <w:r w:rsidR="00EE20CC" w:rsidRPr="009B0284">
        <w:rPr>
          <w:rFonts w:hAnsi="標楷體" w:hint="eastAsia"/>
          <w:szCs w:val="32"/>
        </w:rPr>
        <w:t>文創法</w:t>
      </w:r>
      <w:proofErr w:type="gramEnd"/>
      <w:r w:rsidR="00EE20CC" w:rsidRPr="009B0284">
        <w:rPr>
          <w:rFonts w:hAnsi="標楷體" w:hint="eastAsia"/>
          <w:szCs w:val="32"/>
        </w:rPr>
        <w:t>規範之</w:t>
      </w:r>
      <w:r w:rsidR="001736E4" w:rsidRPr="009B0284">
        <w:rPr>
          <w:rFonts w:hAnsi="標楷體" w:hint="eastAsia"/>
          <w:szCs w:val="32"/>
        </w:rPr>
        <w:t>「</w:t>
      </w:r>
      <w:r w:rsidR="00EE20CC" w:rsidRPr="009B0284">
        <w:rPr>
          <w:rFonts w:hAnsi="標楷體" w:hint="eastAsia"/>
          <w:szCs w:val="32"/>
        </w:rPr>
        <w:t>視覺藝術產業</w:t>
      </w:r>
      <w:r w:rsidR="001736E4" w:rsidRPr="009B0284">
        <w:rPr>
          <w:rFonts w:hAnsi="標楷體" w:hint="eastAsia"/>
          <w:szCs w:val="32"/>
        </w:rPr>
        <w:t>」</w:t>
      </w:r>
      <w:r w:rsidR="00EE20CC" w:rsidRPr="009B0284">
        <w:rPr>
          <w:rFonts w:hAnsi="標楷體" w:hint="eastAsia"/>
          <w:szCs w:val="32"/>
        </w:rPr>
        <w:t>等</w:t>
      </w:r>
      <w:proofErr w:type="gramStart"/>
      <w:r w:rsidR="00EE20CC" w:rsidRPr="009B0284">
        <w:rPr>
          <w:rFonts w:hAnsi="標楷體" w:hint="eastAsia"/>
          <w:szCs w:val="32"/>
        </w:rPr>
        <w:t>16類</w:t>
      </w:r>
      <w:r w:rsidR="00EE76EF" w:rsidRPr="009B0284">
        <w:rPr>
          <w:rFonts w:hAnsi="標楷體" w:hint="eastAsia"/>
          <w:szCs w:val="32"/>
        </w:rPr>
        <w:t>文創產業</w:t>
      </w:r>
      <w:proofErr w:type="gramEnd"/>
      <w:r w:rsidR="00EE20CC" w:rsidRPr="009B0284">
        <w:rPr>
          <w:rFonts w:hAnsi="標楷體" w:hint="eastAsia"/>
          <w:szCs w:val="32"/>
        </w:rPr>
        <w:t>，並由文化部、經濟部、內政部等3機關為主要推動機關</w:t>
      </w:r>
      <w:r w:rsidR="00EE20CC" w:rsidRPr="00EE20CC">
        <w:rPr>
          <w:rFonts w:hint="eastAsia"/>
        </w:rPr>
        <w:t>。</w:t>
      </w:r>
      <w:r w:rsidR="00EE76EF">
        <w:rPr>
          <w:rFonts w:hint="eastAsia"/>
        </w:rPr>
        <w:t>而</w:t>
      </w:r>
      <w:r w:rsidR="007E2175">
        <w:rPr>
          <w:rFonts w:hint="eastAsia"/>
        </w:rPr>
        <w:t>「</w:t>
      </w:r>
      <w:r w:rsidR="007E2175" w:rsidRPr="00A01AFD">
        <w:rPr>
          <w:rFonts w:hint="eastAsia"/>
        </w:rPr>
        <w:tab/>
        <w:t>打造國家隊，行銷臺灣文化品牌</w:t>
      </w:r>
      <w:r w:rsidR="007E2175">
        <w:rPr>
          <w:rFonts w:hint="eastAsia"/>
        </w:rPr>
        <w:t>」係文化部之</w:t>
      </w:r>
      <w:r w:rsidR="00A01AFD" w:rsidRPr="00A01AFD">
        <w:rPr>
          <w:rFonts w:hint="eastAsia"/>
        </w:rPr>
        <w:t>政策推動重點</w:t>
      </w:r>
      <w:r w:rsidR="00A01AFD">
        <w:rPr>
          <w:rFonts w:hint="eastAsia"/>
        </w:rPr>
        <w:t>，</w:t>
      </w:r>
      <w:r w:rsidR="007E2175">
        <w:rPr>
          <w:rFonts w:hint="eastAsia"/>
        </w:rPr>
        <w:t>據</w:t>
      </w:r>
      <w:r w:rsidR="00F43A09">
        <w:rPr>
          <w:rFonts w:hint="eastAsia"/>
        </w:rPr>
        <w:t>文化</w:t>
      </w:r>
      <w:r w:rsidR="007E2175">
        <w:rPr>
          <w:rFonts w:hint="eastAsia"/>
        </w:rPr>
        <w:t>部說明，</w:t>
      </w:r>
      <w:r w:rsidR="00A01AFD">
        <w:rPr>
          <w:rFonts w:hint="eastAsia"/>
        </w:rPr>
        <w:t>「</w:t>
      </w:r>
      <w:r w:rsidR="00A01AFD" w:rsidRPr="00A01AFD">
        <w:rPr>
          <w:rFonts w:hint="eastAsia"/>
        </w:rPr>
        <w:t>過去單打獨鬥的產業政策必須透過加值和整合，以主要產業帶動後勤支援產業、以政府政策帶動產業鏈發展，才有可能在國際市場競爭中，建立以品牌價值外溢產值效益的發展模式。故</w:t>
      </w:r>
      <w:r w:rsidR="00F43A09">
        <w:rPr>
          <w:rFonts w:hint="eastAsia"/>
        </w:rPr>
        <w:t>文化</w:t>
      </w:r>
      <w:r w:rsidR="00A01AFD" w:rsidRPr="00A01AFD">
        <w:rPr>
          <w:rFonts w:hint="eastAsia"/>
        </w:rPr>
        <w:t>部推動打造國家隊，共同行銷臺灣文化品牌，統合資源、集結文化能量，以</w:t>
      </w:r>
      <w:r w:rsidR="00A2076C" w:rsidRPr="009B0284">
        <w:rPr>
          <w:rFonts w:hAnsi="標楷體" w:hint="eastAsia"/>
        </w:rPr>
        <w:t>『</w:t>
      </w:r>
      <w:r w:rsidR="00A01AFD" w:rsidRPr="00A01AFD">
        <w:rPr>
          <w:rFonts w:hint="eastAsia"/>
        </w:rPr>
        <w:t>臺灣國家隊</w:t>
      </w:r>
      <w:r w:rsidR="00A2076C" w:rsidRPr="009B0284">
        <w:rPr>
          <w:rFonts w:hAnsi="標楷體" w:hint="eastAsia"/>
        </w:rPr>
        <w:t>』</w:t>
      </w:r>
      <w:r w:rsidR="00A01AFD" w:rsidRPr="00A01AFD">
        <w:rPr>
          <w:rFonts w:hint="eastAsia"/>
        </w:rPr>
        <w:t>思維組成</w:t>
      </w:r>
      <w:r w:rsidR="00A2076C" w:rsidRPr="009B0284">
        <w:rPr>
          <w:rFonts w:hAnsi="標楷體" w:hint="eastAsia"/>
        </w:rPr>
        <w:t>『</w:t>
      </w:r>
      <w:r w:rsidR="00A01AFD" w:rsidRPr="00A01AFD">
        <w:rPr>
          <w:rFonts w:hint="eastAsia"/>
        </w:rPr>
        <w:t>Fresh Taiwan</w:t>
      </w:r>
      <w:r w:rsidR="00A2076C" w:rsidRPr="009B0284">
        <w:rPr>
          <w:rFonts w:hAnsi="標楷體" w:hint="eastAsia"/>
        </w:rPr>
        <w:t>』</w:t>
      </w:r>
      <w:r w:rsidR="00A01AFD" w:rsidRPr="00A01AFD">
        <w:rPr>
          <w:rFonts w:hint="eastAsia"/>
        </w:rPr>
        <w:t>國家館參加國際展會，以在地文化支援臺灣品牌拓展，幫助團隊佈局國際市場。</w:t>
      </w:r>
      <w:r w:rsidR="00A01AFD">
        <w:rPr>
          <w:rFonts w:hint="eastAsia"/>
        </w:rPr>
        <w:t>」</w:t>
      </w:r>
      <w:proofErr w:type="gramStart"/>
      <w:r w:rsidR="009B0284">
        <w:rPr>
          <w:rFonts w:hint="eastAsia"/>
        </w:rPr>
        <w:t>另</w:t>
      </w:r>
      <w:proofErr w:type="gramEnd"/>
      <w:r w:rsidR="009B0284">
        <w:rPr>
          <w:rFonts w:hint="eastAsia"/>
        </w:rPr>
        <w:t>，文化部對於花蓮園區</w:t>
      </w:r>
      <w:r w:rsidR="009B0284" w:rsidRPr="00AC7EB3">
        <w:rPr>
          <w:rFonts w:hint="eastAsia"/>
        </w:rPr>
        <w:t>營運管理情形</w:t>
      </w:r>
      <w:r w:rsidR="009B0284">
        <w:rPr>
          <w:rFonts w:hint="eastAsia"/>
        </w:rPr>
        <w:t>，有關「</w:t>
      </w:r>
      <w:proofErr w:type="gramStart"/>
      <w:r w:rsidR="009B0284" w:rsidRPr="00AC7EB3">
        <w:rPr>
          <w:rFonts w:hint="eastAsia"/>
        </w:rPr>
        <w:t>文創資源</w:t>
      </w:r>
      <w:proofErr w:type="gramEnd"/>
      <w:r w:rsidR="009B0284" w:rsidRPr="00AC7EB3">
        <w:rPr>
          <w:rFonts w:hint="eastAsia"/>
        </w:rPr>
        <w:t>整合</w:t>
      </w:r>
      <w:r w:rsidR="009B0284">
        <w:rPr>
          <w:rFonts w:hint="eastAsia"/>
        </w:rPr>
        <w:t>」亦提及</w:t>
      </w:r>
      <w:r w:rsidR="009B0284" w:rsidRPr="00AC7EB3">
        <w:rPr>
          <w:rFonts w:hint="eastAsia"/>
        </w:rPr>
        <w:t>：</w:t>
      </w:r>
      <w:r w:rsidR="009B0284">
        <w:rPr>
          <w:rFonts w:hint="eastAsia"/>
        </w:rPr>
        <w:t>「</w:t>
      </w:r>
      <w:r w:rsidR="009B0284" w:rsidRPr="00AC7EB3">
        <w:rPr>
          <w:rFonts w:hint="eastAsia"/>
        </w:rPr>
        <w:t>串聯與整合交通部觀光局、花蓮縣政府、行政院農業委員會等公部門與觀光旅遊業者等資源，強化東部</w:t>
      </w:r>
      <w:proofErr w:type="gramStart"/>
      <w:r w:rsidR="009B0284" w:rsidRPr="00AC7EB3">
        <w:rPr>
          <w:rFonts w:hint="eastAsia"/>
        </w:rPr>
        <w:t>地區文創產業</w:t>
      </w:r>
      <w:proofErr w:type="gramEnd"/>
      <w:r w:rsidR="009B0284" w:rsidRPr="00AC7EB3">
        <w:rPr>
          <w:rFonts w:hint="eastAsia"/>
        </w:rPr>
        <w:t>、文化觀光、文化體驗、地方特色產業之發展，以提升花蓮</w:t>
      </w:r>
      <w:proofErr w:type="gramStart"/>
      <w:r w:rsidR="009B0284" w:rsidRPr="00AC7EB3">
        <w:rPr>
          <w:rFonts w:hint="eastAsia"/>
        </w:rPr>
        <w:t>園區文創產業</w:t>
      </w:r>
      <w:proofErr w:type="gramEnd"/>
      <w:r w:rsidR="009B0284" w:rsidRPr="00AC7EB3">
        <w:rPr>
          <w:rFonts w:hint="eastAsia"/>
        </w:rPr>
        <w:t>能量，行銷東部地區</w:t>
      </w:r>
      <w:proofErr w:type="gramStart"/>
      <w:r w:rsidR="009B0284" w:rsidRPr="00AC7EB3">
        <w:rPr>
          <w:rFonts w:hint="eastAsia"/>
        </w:rPr>
        <w:t>整體文創產業</w:t>
      </w:r>
      <w:proofErr w:type="gramEnd"/>
      <w:r w:rsidR="009B0284" w:rsidRPr="00AC7EB3">
        <w:rPr>
          <w:rFonts w:hint="eastAsia"/>
        </w:rPr>
        <w:t>形象，並帶動地方文化經濟發展</w:t>
      </w:r>
      <w:r w:rsidR="009B0284">
        <w:rPr>
          <w:rFonts w:hint="eastAsia"/>
        </w:rPr>
        <w:t>」等等。</w:t>
      </w:r>
    </w:p>
    <w:p w:rsidR="00E435EC" w:rsidRDefault="000B6679" w:rsidP="001A2C0E">
      <w:pPr>
        <w:pStyle w:val="3"/>
      </w:pPr>
      <w:r>
        <w:rPr>
          <w:rFonts w:hint="eastAsia"/>
        </w:rPr>
        <w:lastRenderedPageBreak/>
        <w:t>經查，</w:t>
      </w:r>
      <w:r w:rsidR="00BB3AB0">
        <w:rPr>
          <w:rFonts w:hint="eastAsia"/>
        </w:rPr>
        <w:t>上述</w:t>
      </w:r>
      <w:proofErr w:type="gramStart"/>
      <w:r w:rsidR="00BB5771" w:rsidRPr="00BB3AB0">
        <w:rPr>
          <w:rFonts w:hAnsi="標楷體" w:hint="eastAsia"/>
          <w:szCs w:val="32"/>
        </w:rPr>
        <w:t>文創法</w:t>
      </w:r>
      <w:proofErr w:type="gramEnd"/>
      <w:r w:rsidR="00BB5771" w:rsidRPr="00BB3AB0">
        <w:rPr>
          <w:rFonts w:hAnsi="標楷體" w:hint="eastAsia"/>
          <w:szCs w:val="32"/>
        </w:rPr>
        <w:t>規範之</w:t>
      </w:r>
      <w:proofErr w:type="gramStart"/>
      <w:r w:rsidR="00BB5771" w:rsidRPr="00BB3AB0">
        <w:rPr>
          <w:rFonts w:hAnsi="標楷體" w:hint="eastAsia"/>
          <w:szCs w:val="32"/>
        </w:rPr>
        <w:t>16類文創產業</w:t>
      </w:r>
      <w:proofErr w:type="gramEnd"/>
      <w:r w:rsidR="00BB5771" w:rsidRPr="00BB3AB0">
        <w:rPr>
          <w:rFonts w:hAnsi="標楷體" w:hint="eastAsia"/>
          <w:szCs w:val="32"/>
        </w:rPr>
        <w:t>中，</w:t>
      </w:r>
      <w:r w:rsidR="00DC5865" w:rsidRPr="00BB3AB0">
        <w:rPr>
          <w:rFonts w:hAnsi="標楷體" w:hint="eastAsia"/>
          <w:szCs w:val="32"/>
        </w:rPr>
        <w:t>文化部主管</w:t>
      </w:r>
      <w:r w:rsidR="00DC5865">
        <w:rPr>
          <w:rFonts w:hint="eastAsia"/>
        </w:rPr>
        <w:t>視覺藝術產業等</w:t>
      </w:r>
      <w:r w:rsidR="00DC5865" w:rsidRPr="00FF4212">
        <w:rPr>
          <w:rFonts w:hint="eastAsia"/>
        </w:rPr>
        <w:t>8個次產業</w:t>
      </w:r>
      <w:r w:rsidR="00DC5865">
        <w:rPr>
          <w:rFonts w:hint="eastAsia"/>
        </w:rPr>
        <w:t>；</w:t>
      </w:r>
      <w:r w:rsidR="00DC5865" w:rsidRPr="00DC5865">
        <w:rPr>
          <w:rFonts w:hint="eastAsia"/>
        </w:rPr>
        <w:t>內政部</w:t>
      </w:r>
      <w:r w:rsidR="00DC5865">
        <w:rPr>
          <w:rFonts w:hint="eastAsia"/>
        </w:rPr>
        <w:t>主管建築設計產業；</w:t>
      </w:r>
      <w:r w:rsidR="00DC5865" w:rsidRPr="00DC5865">
        <w:rPr>
          <w:rFonts w:hint="eastAsia"/>
        </w:rPr>
        <w:t>經濟部</w:t>
      </w:r>
      <w:r w:rsidR="00DC5865" w:rsidRPr="00FF4212">
        <w:rPr>
          <w:rFonts w:hint="eastAsia"/>
        </w:rPr>
        <w:t>主管</w:t>
      </w:r>
      <w:r w:rsidR="00DC5865">
        <w:rPr>
          <w:rFonts w:hint="eastAsia"/>
        </w:rPr>
        <w:t>廣告產業</w:t>
      </w:r>
      <w:r w:rsidR="00DC5865" w:rsidRPr="00FF4212">
        <w:rPr>
          <w:rFonts w:hint="eastAsia"/>
        </w:rPr>
        <w:t>等6個次產業</w:t>
      </w:r>
      <w:r w:rsidR="00DC5865">
        <w:rPr>
          <w:rFonts w:hint="eastAsia"/>
        </w:rPr>
        <w:t>(第16類為「其他經中央主管機關指定之產業」)</w:t>
      </w:r>
      <w:r w:rsidR="00DC5865" w:rsidRPr="00FF4212">
        <w:rPr>
          <w:rFonts w:hint="eastAsia"/>
        </w:rPr>
        <w:t>。</w:t>
      </w:r>
      <w:r w:rsidR="003F1F8E">
        <w:rPr>
          <w:rFonts w:hint="eastAsia"/>
        </w:rPr>
        <w:t>對於</w:t>
      </w:r>
      <w:r>
        <w:rPr>
          <w:rFonts w:hint="eastAsia"/>
        </w:rPr>
        <w:t>跨部會聯繫整合機制，</w:t>
      </w:r>
      <w:r w:rsidR="003F1F8E">
        <w:rPr>
          <w:rFonts w:hint="eastAsia"/>
        </w:rPr>
        <w:t>相關部會</w:t>
      </w:r>
      <w:r w:rsidR="00804483">
        <w:rPr>
          <w:rFonts w:hint="eastAsia"/>
        </w:rPr>
        <w:t>分別</w:t>
      </w:r>
      <w:r w:rsidR="003F1F8E">
        <w:rPr>
          <w:rFonts w:hint="eastAsia"/>
        </w:rPr>
        <w:t>說明</w:t>
      </w:r>
      <w:r w:rsidR="007B14C2">
        <w:rPr>
          <w:rFonts w:hint="eastAsia"/>
        </w:rPr>
        <w:t>如下</w:t>
      </w:r>
      <w:r w:rsidR="007B14C2" w:rsidRPr="00BB3AB0">
        <w:rPr>
          <w:rFonts w:hAnsi="標楷體" w:hint="eastAsia"/>
        </w:rPr>
        <w:t>：</w:t>
      </w:r>
    </w:p>
    <w:p w:rsidR="00F879B1" w:rsidRPr="00626D1D" w:rsidRDefault="001A2C0E" w:rsidP="00F879B1">
      <w:pPr>
        <w:pStyle w:val="4"/>
      </w:pPr>
      <w:r w:rsidRPr="001A2C0E">
        <w:rPr>
          <w:rFonts w:hint="eastAsia"/>
        </w:rPr>
        <w:t>文化</w:t>
      </w:r>
      <w:proofErr w:type="gramStart"/>
      <w:r w:rsidRPr="001A2C0E">
        <w:rPr>
          <w:rFonts w:hint="eastAsia"/>
        </w:rPr>
        <w:t>部在「文創</w:t>
      </w:r>
      <w:proofErr w:type="gramEnd"/>
      <w:r w:rsidRPr="001A2C0E">
        <w:rPr>
          <w:rFonts w:hint="eastAsia"/>
        </w:rPr>
        <w:t>產業發展計畫」中，</w:t>
      </w:r>
      <w:proofErr w:type="gramStart"/>
      <w:r w:rsidRPr="001A2C0E">
        <w:rPr>
          <w:rFonts w:hint="eastAsia"/>
        </w:rPr>
        <w:t>扮演文創產業</w:t>
      </w:r>
      <w:proofErr w:type="gramEnd"/>
      <w:r w:rsidRPr="001A2C0E">
        <w:rPr>
          <w:rFonts w:hint="eastAsia"/>
        </w:rPr>
        <w:t>總體政策整合及協調的角色</w:t>
      </w:r>
      <w:r w:rsidR="00F879B1">
        <w:rPr>
          <w:rFonts w:hint="eastAsia"/>
        </w:rPr>
        <w:t>，並以</w:t>
      </w:r>
      <w:proofErr w:type="gramStart"/>
      <w:r w:rsidR="00F879B1">
        <w:rPr>
          <w:rFonts w:hint="eastAsia"/>
        </w:rPr>
        <w:t>五大文創</w:t>
      </w:r>
      <w:r w:rsidR="00FE627C">
        <w:rPr>
          <w:rFonts w:hint="eastAsia"/>
        </w:rPr>
        <w:t>產業</w:t>
      </w:r>
      <w:proofErr w:type="gramEnd"/>
      <w:r w:rsidR="00F879B1">
        <w:rPr>
          <w:rFonts w:hint="eastAsia"/>
        </w:rPr>
        <w:t>園區作為「資訊交流平</w:t>
      </w:r>
      <w:proofErr w:type="gramStart"/>
      <w:r w:rsidR="00F879B1">
        <w:rPr>
          <w:rFonts w:hint="eastAsia"/>
        </w:rPr>
        <w:t>臺</w:t>
      </w:r>
      <w:proofErr w:type="gramEnd"/>
      <w:r w:rsidR="00F879B1">
        <w:rPr>
          <w:rFonts w:hint="eastAsia"/>
        </w:rPr>
        <w:t>」，加值和</w:t>
      </w:r>
      <w:proofErr w:type="gramStart"/>
      <w:r w:rsidR="00F879B1">
        <w:rPr>
          <w:rFonts w:hint="eastAsia"/>
        </w:rPr>
        <w:t>整合文創產業</w:t>
      </w:r>
      <w:proofErr w:type="gramEnd"/>
      <w:r w:rsidR="00F879B1">
        <w:rPr>
          <w:rFonts w:hint="eastAsia"/>
        </w:rPr>
        <w:t>，以政府政策帶動產業鏈發展</w:t>
      </w:r>
      <w:r w:rsidR="00FE627C">
        <w:rPr>
          <w:rFonts w:hint="eastAsia"/>
        </w:rPr>
        <w:t>。</w:t>
      </w:r>
    </w:p>
    <w:p w:rsidR="001A2C0E" w:rsidRDefault="001A2C0E" w:rsidP="00E435EC">
      <w:pPr>
        <w:pStyle w:val="4"/>
      </w:pPr>
      <w:r w:rsidRPr="001A2C0E">
        <w:rPr>
          <w:rFonts w:hint="eastAsia"/>
        </w:rPr>
        <w:t>經濟部</w:t>
      </w:r>
      <w:proofErr w:type="gramStart"/>
      <w:r w:rsidRPr="001A2C0E">
        <w:rPr>
          <w:rFonts w:hint="eastAsia"/>
        </w:rPr>
        <w:t>為使跨部會</w:t>
      </w:r>
      <w:proofErr w:type="gramEnd"/>
      <w:r w:rsidRPr="001A2C0E">
        <w:rPr>
          <w:rFonts w:hint="eastAsia"/>
        </w:rPr>
        <w:t>資源有效整合運用</w:t>
      </w:r>
      <w:r w:rsidR="00617B04">
        <w:rPr>
          <w:rFonts w:hint="eastAsia"/>
        </w:rPr>
        <w:t>，</w:t>
      </w:r>
      <w:r w:rsidRPr="001A2C0E">
        <w:rPr>
          <w:rFonts w:hint="eastAsia"/>
        </w:rPr>
        <w:t>運用行政院</w:t>
      </w:r>
      <w:r w:rsidR="00562AC9">
        <w:rPr>
          <w:rFonts w:hint="eastAsia"/>
        </w:rPr>
        <w:t>「</w:t>
      </w:r>
      <w:r w:rsidR="00562AC9" w:rsidRPr="001A2C0E">
        <w:rPr>
          <w:rFonts w:hint="eastAsia"/>
        </w:rPr>
        <w:t>文化會報</w:t>
      </w:r>
      <w:r w:rsidR="00562AC9">
        <w:rPr>
          <w:rFonts w:hint="eastAsia"/>
        </w:rPr>
        <w:t>」</w:t>
      </w:r>
      <w:r w:rsidRPr="001A2C0E">
        <w:rPr>
          <w:rFonts w:hint="eastAsia"/>
        </w:rPr>
        <w:t>之平</w:t>
      </w:r>
      <w:proofErr w:type="gramStart"/>
      <w:r w:rsidR="00617B04">
        <w:rPr>
          <w:rFonts w:hint="eastAsia"/>
        </w:rPr>
        <w:t>臺</w:t>
      </w:r>
      <w:proofErr w:type="gramEnd"/>
      <w:r w:rsidRPr="001A2C0E">
        <w:rPr>
          <w:rFonts w:hint="eastAsia"/>
        </w:rPr>
        <w:t>，加強與文化部合作，期</w:t>
      </w:r>
      <w:proofErr w:type="gramStart"/>
      <w:r w:rsidRPr="001A2C0E">
        <w:rPr>
          <w:rFonts w:hint="eastAsia"/>
        </w:rPr>
        <w:t>使文創產業</w:t>
      </w:r>
      <w:proofErr w:type="gramEnd"/>
      <w:r w:rsidRPr="001A2C0E">
        <w:rPr>
          <w:rFonts w:hint="eastAsia"/>
        </w:rPr>
        <w:t>健全發展</w:t>
      </w:r>
      <w:r w:rsidR="00617B04">
        <w:rPr>
          <w:rFonts w:hint="eastAsia"/>
        </w:rPr>
        <w:t>。</w:t>
      </w:r>
    </w:p>
    <w:p w:rsidR="004E3248" w:rsidRDefault="00F5540B" w:rsidP="00F5540B">
      <w:pPr>
        <w:pStyle w:val="4"/>
      </w:pPr>
      <w:r>
        <w:rPr>
          <w:rFonts w:hint="eastAsia"/>
        </w:rPr>
        <w:t>內政</w:t>
      </w:r>
      <w:r w:rsidRPr="00F5540B">
        <w:rPr>
          <w:rFonts w:hint="eastAsia"/>
        </w:rPr>
        <w:t>部未來將配合文化部</w:t>
      </w:r>
      <w:proofErr w:type="gramStart"/>
      <w:r w:rsidRPr="00F5540B">
        <w:rPr>
          <w:rFonts w:hint="eastAsia"/>
        </w:rPr>
        <w:t>推動文創產業</w:t>
      </w:r>
      <w:proofErr w:type="gramEnd"/>
      <w:r w:rsidRPr="00F5540B">
        <w:rPr>
          <w:rFonts w:hint="eastAsia"/>
        </w:rPr>
        <w:t>園區營運定位，辦理建築、設計</w:t>
      </w:r>
      <w:proofErr w:type="gramStart"/>
      <w:r w:rsidRPr="00F5540B">
        <w:rPr>
          <w:rFonts w:hint="eastAsia"/>
        </w:rPr>
        <w:t>等文創相關</w:t>
      </w:r>
      <w:proofErr w:type="gramEnd"/>
      <w:r w:rsidRPr="00F5540B">
        <w:rPr>
          <w:rFonts w:hint="eastAsia"/>
        </w:rPr>
        <w:t>活動。</w:t>
      </w:r>
    </w:p>
    <w:p w:rsidR="005D5178" w:rsidRDefault="001A2C0E" w:rsidP="00E435EC">
      <w:pPr>
        <w:pStyle w:val="4"/>
      </w:pPr>
      <w:r w:rsidRPr="001A2C0E">
        <w:rPr>
          <w:rFonts w:hint="eastAsia"/>
        </w:rPr>
        <w:t>教育部</w:t>
      </w:r>
      <w:r w:rsidR="00617B04">
        <w:rPr>
          <w:rFonts w:hint="eastAsia"/>
        </w:rPr>
        <w:t>則</w:t>
      </w:r>
      <w:r w:rsidRPr="001A2C0E">
        <w:rPr>
          <w:rFonts w:hint="eastAsia"/>
        </w:rPr>
        <w:t>稱「可透過美感教育跨部會平</w:t>
      </w:r>
      <w:proofErr w:type="gramStart"/>
      <w:r w:rsidRPr="001A2C0E">
        <w:rPr>
          <w:rFonts w:hint="eastAsia"/>
        </w:rPr>
        <w:t>臺</w:t>
      </w:r>
      <w:proofErr w:type="gramEnd"/>
      <w:r w:rsidRPr="001A2C0E">
        <w:rPr>
          <w:rFonts w:hint="eastAsia"/>
        </w:rPr>
        <w:t>合作機制之推動，鼓勵各級學校運用</w:t>
      </w:r>
      <w:proofErr w:type="gramStart"/>
      <w:r w:rsidRPr="001A2C0E">
        <w:rPr>
          <w:rFonts w:hint="eastAsia"/>
        </w:rPr>
        <w:t>五大文創</w:t>
      </w:r>
      <w:r w:rsidR="00617B04">
        <w:rPr>
          <w:rFonts w:hint="eastAsia"/>
        </w:rPr>
        <w:t>產業</w:t>
      </w:r>
      <w:proofErr w:type="gramEnd"/>
      <w:r w:rsidRPr="001A2C0E">
        <w:rPr>
          <w:rFonts w:hint="eastAsia"/>
        </w:rPr>
        <w:t>園區的場域，以有效推動藝術及美感教育，以強化與縣市合作機制」及「未來…</w:t>
      </w:r>
      <w:proofErr w:type="gramStart"/>
      <w:r w:rsidRPr="001A2C0E">
        <w:rPr>
          <w:rFonts w:hint="eastAsia"/>
        </w:rPr>
        <w:t>…</w:t>
      </w:r>
      <w:proofErr w:type="gramEnd"/>
      <w:r w:rsidRPr="001A2C0E">
        <w:rPr>
          <w:rFonts w:hint="eastAsia"/>
        </w:rPr>
        <w:t>將通過跨部會的合作，並強化與地方教育主管機關合作機制，督導各級學校落實人才培育政策，</w:t>
      </w:r>
      <w:proofErr w:type="gramStart"/>
      <w:r w:rsidRPr="001A2C0E">
        <w:rPr>
          <w:rFonts w:hint="eastAsia"/>
        </w:rPr>
        <w:t>促成文創產業</w:t>
      </w:r>
      <w:proofErr w:type="gramEnd"/>
      <w:r w:rsidRPr="001A2C0E">
        <w:rPr>
          <w:rFonts w:hint="eastAsia"/>
        </w:rPr>
        <w:t>發展的優質環境」。</w:t>
      </w:r>
    </w:p>
    <w:p w:rsidR="00C86411" w:rsidRDefault="005F06CE" w:rsidP="00612B79">
      <w:pPr>
        <w:pStyle w:val="3"/>
      </w:pPr>
      <w:r>
        <w:rPr>
          <w:rFonts w:hint="eastAsia"/>
        </w:rPr>
        <w:t>按</w:t>
      </w:r>
      <w:r w:rsidR="009150FD">
        <w:rPr>
          <w:rFonts w:hint="eastAsia"/>
        </w:rPr>
        <w:t>天下雜誌634期</w:t>
      </w:r>
      <w:r w:rsidR="00D26473">
        <w:rPr>
          <w:rFonts w:hint="eastAsia"/>
        </w:rPr>
        <w:t>對於「</w:t>
      </w:r>
      <w:proofErr w:type="gramStart"/>
      <w:r w:rsidR="00D26473">
        <w:rPr>
          <w:rFonts w:hint="eastAsia"/>
        </w:rPr>
        <w:t>泰流</w:t>
      </w:r>
      <w:proofErr w:type="gramEnd"/>
      <w:r w:rsidR="00D26473">
        <w:rPr>
          <w:rFonts w:hint="eastAsia"/>
        </w:rPr>
        <w:t>」</w:t>
      </w:r>
      <w:r>
        <w:rPr>
          <w:rFonts w:hint="eastAsia"/>
        </w:rPr>
        <w:t>之</w:t>
      </w:r>
      <w:r w:rsidR="00773D47">
        <w:rPr>
          <w:rFonts w:hint="eastAsia"/>
        </w:rPr>
        <w:t>系列報導</w:t>
      </w:r>
      <w:r w:rsidR="00E326ED">
        <w:rPr>
          <w:rStyle w:val="afe"/>
        </w:rPr>
        <w:footnoteReference w:id="10"/>
      </w:r>
      <w:r w:rsidR="00773D47" w:rsidRPr="00F51853">
        <w:rPr>
          <w:rFonts w:hint="eastAsia"/>
        </w:rPr>
        <w:t>：</w:t>
      </w:r>
      <w:r w:rsidR="00F51853" w:rsidRPr="00F51853">
        <w:rPr>
          <w:rFonts w:hint="eastAsia"/>
        </w:rPr>
        <w:t>「為保護本土影視工業，泰國於七０年代曾經採取閉鎖政策，效果適得其反。</w:t>
      </w:r>
      <w:r w:rsidR="00F51853">
        <w:rPr>
          <w:rFonts w:hint="eastAsia"/>
        </w:rPr>
        <w:t>…</w:t>
      </w:r>
      <w:proofErr w:type="gramStart"/>
      <w:r w:rsidR="00F51853">
        <w:rPr>
          <w:rFonts w:hint="eastAsia"/>
        </w:rPr>
        <w:t>…</w:t>
      </w:r>
      <w:proofErr w:type="gramEnd"/>
      <w:r w:rsidR="00F51853" w:rsidRPr="007E2A03">
        <w:rPr>
          <w:rFonts w:hAnsi="標楷體" w:hint="eastAsia"/>
        </w:rPr>
        <w:t>泰國政府於九０年代初期痛定思痛，敞開大門，養兵多日的前、後製能量，在市場機制的刺激下開始迸發，加上網路和社群媒體興起，</w:t>
      </w:r>
      <w:r w:rsidR="006824D0" w:rsidRPr="006824D0">
        <w:rPr>
          <w:rFonts w:hint="eastAsia"/>
        </w:rPr>
        <w:t>不同於</w:t>
      </w:r>
      <w:r w:rsidR="006824D0">
        <w:rPr>
          <w:rFonts w:hint="eastAsia"/>
        </w:rPr>
        <w:t>韓國大財團的造星機制，泰國</w:t>
      </w:r>
      <w:r w:rsidR="006824D0" w:rsidRPr="00423528">
        <w:rPr>
          <w:rFonts w:hint="eastAsia"/>
        </w:rPr>
        <w:t>產業鏈完整</w:t>
      </w:r>
      <w:r w:rsidR="006824D0">
        <w:rPr>
          <w:rFonts w:hint="eastAsia"/>
        </w:rPr>
        <w:t>的影視產品結合時尚產業，創意十足的題</w:t>
      </w:r>
      <w:r w:rsidR="006824D0">
        <w:rPr>
          <w:rFonts w:hint="eastAsia"/>
        </w:rPr>
        <w:lastRenderedPageBreak/>
        <w:t>材、氣質清新的演員和相對不高的製作成本，加上通路的多元化，讓泰國影視節目呈現百花齊放的局面」</w:t>
      </w:r>
      <w:r w:rsidR="002A776D">
        <w:rPr>
          <w:rFonts w:hint="eastAsia"/>
        </w:rPr>
        <w:t>、「泰國的</w:t>
      </w:r>
      <w:r w:rsidR="002A776D" w:rsidRPr="00423528">
        <w:rPr>
          <w:rFonts w:hint="eastAsia"/>
        </w:rPr>
        <w:t>生活美感，非刻意創造，而是日常</w:t>
      </w:r>
      <w:r w:rsidR="006D37CD" w:rsidRPr="00423528">
        <w:rPr>
          <w:rFonts w:hint="eastAsia"/>
        </w:rPr>
        <w:t>…</w:t>
      </w:r>
      <w:proofErr w:type="gramStart"/>
      <w:r w:rsidR="006D37CD" w:rsidRPr="00423528">
        <w:rPr>
          <w:rFonts w:hint="eastAsia"/>
        </w:rPr>
        <w:t>…</w:t>
      </w:r>
      <w:proofErr w:type="gramEnd"/>
      <w:r w:rsidR="006D37CD" w:rsidRPr="00423528">
        <w:rPr>
          <w:rFonts w:hint="eastAsia"/>
        </w:rPr>
        <w:t>。這種美學的底蘊，創造出很高的設計能量…</w:t>
      </w:r>
      <w:proofErr w:type="gramStart"/>
      <w:r w:rsidR="006D37CD" w:rsidRPr="00423528">
        <w:rPr>
          <w:rFonts w:hint="eastAsia"/>
        </w:rPr>
        <w:t>…</w:t>
      </w:r>
      <w:proofErr w:type="gramEnd"/>
      <w:r w:rsidR="006D37CD" w:rsidRPr="00423528">
        <w:rPr>
          <w:rFonts w:hint="eastAsia"/>
        </w:rPr>
        <w:t>。深厚的文化根基</w:t>
      </w:r>
      <w:r w:rsidR="006D37CD">
        <w:rPr>
          <w:rFonts w:hint="eastAsia"/>
        </w:rPr>
        <w:t>，遇見視野廣闊的新一代設計師，泰國的自創品牌，正在發光。</w:t>
      </w:r>
      <w:r w:rsidR="002A776D">
        <w:rPr>
          <w:rFonts w:hint="eastAsia"/>
        </w:rPr>
        <w:t>」</w:t>
      </w:r>
      <w:r w:rsidR="006C5DAE">
        <w:rPr>
          <w:rFonts w:hint="eastAsia"/>
        </w:rPr>
        <w:t>可見「</w:t>
      </w:r>
      <w:proofErr w:type="gramStart"/>
      <w:r w:rsidR="006C5DAE">
        <w:rPr>
          <w:rFonts w:hint="eastAsia"/>
        </w:rPr>
        <w:t>泰流</w:t>
      </w:r>
      <w:proofErr w:type="gramEnd"/>
      <w:r w:rsidR="006C5DAE">
        <w:rPr>
          <w:rFonts w:hint="eastAsia"/>
        </w:rPr>
        <w:t>」崛起</w:t>
      </w:r>
      <w:r w:rsidR="00A56C42">
        <w:rPr>
          <w:rFonts w:hint="eastAsia"/>
        </w:rPr>
        <w:t>，實非單一部會、</w:t>
      </w:r>
      <w:proofErr w:type="gramStart"/>
      <w:r w:rsidR="00A56C42">
        <w:rPr>
          <w:rFonts w:hint="eastAsia"/>
        </w:rPr>
        <w:t>短期間內可一</w:t>
      </w:r>
      <w:r w:rsidR="00A6597E">
        <w:rPr>
          <w:rFonts w:hint="eastAsia"/>
        </w:rPr>
        <w:t>蹴</w:t>
      </w:r>
      <w:proofErr w:type="gramEnd"/>
      <w:r w:rsidR="00A56C42">
        <w:rPr>
          <w:rFonts w:hint="eastAsia"/>
        </w:rPr>
        <w:t>而成的。</w:t>
      </w:r>
      <w:r w:rsidR="00266310">
        <w:rPr>
          <w:rFonts w:hint="eastAsia"/>
        </w:rPr>
        <w:t>誠如</w:t>
      </w:r>
      <w:r w:rsidR="00EA1126">
        <w:rPr>
          <w:rFonts w:hint="eastAsia"/>
        </w:rPr>
        <w:t>本</w:t>
      </w:r>
      <w:r w:rsidR="007B757F">
        <w:rPr>
          <w:rFonts w:hint="eastAsia"/>
        </w:rPr>
        <w:t>院</w:t>
      </w:r>
      <w:r w:rsidR="00C86411">
        <w:rPr>
          <w:rFonts w:hint="eastAsia"/>
        </w:rPr>
        <w:t>諮詢</w:t>
      </w:r>
      <w:r w:rsidR="00EA1126">
        <w:rPr>
          <w:rFonts w:hint="eastAsia"/>
        </w:rPr>
        <w:t>委員</w:t>
      </w:r>
      <w:r w:rsidR="007B757F">
        <w:rPr>
          <w:rFonts w:hint="eastAsia"/>
        </w:rPr>
        <w:t>指</w:t>
      </w:r>
      <w:r w:rsidR="00EA1126">
        <w:rPr>
          <w:rFonts w:hint="eastAsia"/>
        </w:rPr>
        <w:t>出</w:t>
      </w:r>
      <w:r w:rsidR="00EA1126" w:rsidRPr="007E2A03">
        <w:rPr>
          <w:rFonts w:hAnsi="標楷體" w:hint="eastAsia"/>
        </w:rPr>
        <w:t>：</w:t>
      </w:r>
      <w:r w:rsidR="00266310">
        <w:rPr>
          <w:rFonts w:hint="eastAsia"/>
        </w:rPr>
        <w:t>「</w:t>
      </w:r>
      <w:r w:rsidR="00266310" w:rsidRPr="00612B79">
        <w:rPr>
          <w:rFonts w:hint="eastAsia"/>
        </w:rPr>
        <w:t>整合的問題是比較麻煩，</w:t>
      </w:r>
      <w:r w:rsidR="00266310">
        <w:rPr>
          <w:rFonts w:hint="eastAsia"/>
        </w:rPr>
        <w:t>…</w:t>
      </w:r>
      <w:proofErr w:type="gramStart"/>
      <w:r w:rsidR="00266310">
        <w:rPr>
          <w:rFonts w:hint="eastAsia"/>
        </w:rPr>
        <w:t>…</w:t>
      </w:r>
      <w:proofErr w:type="gramEnd"/>
      <w:r w:rsidR="00266310">
        <w:rPr>
          <w:rFonts w:hint="eastAsia"/>
        </w:rPr>
        <w:t>臺</w:t>
      </w:r>
      <w:r w:rsidR="00266310" w:rsidRPr="00612B79">
        <w:rPr>
          <w:rFonts w:hint="eastAsia"/>
        </w:rPr>
        <w:t>灣不及泰國，</w:t>
      </w:r>
      <w:proofErr w:type="gramStart"/>
      <w:r w:rsidR="00266310" w:rsidRPr="00612B79">
        <w:rPr>
          <w:rFonts w:hint="eastAsia"/>
        </w:rPr>
        <w:t>台創中心</w:t>
      </w:r>
      <w:proofErr w:type="gramEnd"/>
      <w:r w:rsidR="00266310">
        <w:rPr>
          <w:rStyle w:val="afe"/>
        </w:rPr>
        <w:footnoteReference w:id="11"/>
      </w:r>
      <w:r w:rsidR="00266310" w:rsidRPr="00612B79">
        <w:rPr>
          <w:rFonts w:hint="eastAsia"/>
        </w:rPr>
        <w:t>的定位非常低，是經濟部工業局底下的單位，泰國國家設計中心定位是很高的</w:t>
      </w:r>
      <w:r w:rsidR="00266310">
        <w:rPr>
          <w:rFonts w:hint="eastAsia"/>
        </w:rPr>
        <w:t>」</w:t>
      </w:r>
      <w:r w:rsidR="00C863D3">
        <w:rPr>
          <w:rFonts w:hint="eastAsia"/>
        </w:rPr>
        <w:t>、「</w:t>
      </w:r>
      <w:r w:rsidR="00C863D3" w:rsidRPr="00612B79">
        <w:rPr>
          <w:rFonts w:hint="eastAsia"/>
        </w:rPr>
        <w:t>不同產業隸屬不同部門，觀光局在交通部，預算比</w:t>
      </w:r>
      <w:proofErr w:type="gramStart"/>
      <w:r w:rsidR="00C863D3" w:rsidRPr="00612B79">
        <w:rPr>
          <w:rFonts w:hint="eastAsia"/>
        </w:rPr>
        <w:t>文化部還多</w:t>
      </w:r>
      <w:proofErr w:type="gramEnd"/>
      <w:r w:rsidR="00C863D3" w:rsidRPr="00612B79">
        <w:rPr>
          <w:rFonts w:hint="eastAsia"/>
        </w:rPr>
        <w:t>，文化部預算只有總預算的0.89</w:t>
      </w:r>
      <w:r w:rsidR="00FA4734">
        <w:rPr>
          <w:rFonts w:hint="eastAsia"/>
        </w:rPr>
        <w:t>%</w:t>
      </w:r>
      <w:r w:rsidR="00C863D3" w:rsidRPr="00612B79">
        <w:rPr>
          <w:rFonts w:hint="eastAsia"/>
        </w:rPr>
        <w:t>，這是很大的結構性問題</w:t>
      </w:r>
      <w:r w:rsidR="00C863D3">
        <w:rPr>
          <w:rFonts w:hint="eastAsia"/>
        </w:rPr>
        <w:t>」</w:t>
      </w:r>
      <w:r w:rsidR="007E2A03">
        <w:rPr>
          <w:rFonts w:hint="eastAsia"/>
        </w:rPr>
        <w:t>、</w:t>
      </w:r>
      <w:r w:rsidR="007E2A03" w:rsidRPr="007E2A03">
        <w:rPr>
          <w:rFonts w:hAnsi="標楷體" w:hint="eastAsia"/>
        </w:rPr>
        <w:t>「體質上，整個命令系統下不去，錢無法</w:t>
      </w:r>
      <w:proofErr w:type="gramStart"/>
      <w:r w:rsidR="007E2A03" w:rsidRPr="007E2A03">
        <w:rPr>
          <w:rFonts w:hAnsi="標楷體" w:hint="eastAsia"/>
        </w:rPr>
        <w:t>一</w:t>
      </w:r>
      <w:proofErr w:type="gramEnd"/>
      <w:r w:rsidR="007E2A03" w:rsidRPr="007E2A03">
        <w:rPr>
          <w:rFonts w:hAnsi="標楷體" w:hint="eastAsia"/>
        </w:rPr>
        <w:t>起用，所以效果不大。這是基本的結構問題」、</w:t>
      </w:r>
      <w:r w:rsidR="00C86411">
        <w:rPr>
          <w:rFonts w:hint="eastAsia"/>
        </w:rPr>
        <w:t>「</w:t>
      </w:r>
      <w:r w:rsidR="00C86411" w:rsidRPr="00F95AC3">
        <w:rPr>
          <w:rFonts w:hint="eastAsia"/>
        </w:rPr>
        <w:t>經濟部中小企業處與</w:t>
      </w:r>
      <w:proofErr w:type="gramStart"/>
      <w:r w:rsidR="00C86411" w:rsidRPr="00F95AC3">
        <w:rPr>
          <w:rFonts w:hint="eastAsia"/>
        </w:rPr>
        <w:t>文化部的模式</w:t>
      </w:r>
      <w:proofErr w:type="gramEnd"/>
      <w:r w:rsidR="00C86411" w:rsidRPr="00F95AC3">
        <w:rPr>
          <w:rFonts w:hint="eastAsia"/>
        </w:rPr>
        <w:t>完全不同，有派專人輔導，辦了很多經營的課程。如果</w:t>
      </w:r>
      <w:proofErr w:type="gramStart"/>
      <w:r w:rsidR="00C86411" w:rsidRPr="00F95AC3">
        <w:rPr>
          <w:rFonts w:hint="eastAsia"/>
        </w:rPr>
        <w:t>文化部在輔導</w:t>
      </w:r>
      <w:proofErr w:type="gramEnd"/>
      <w:r w:rsidR="00C86411" w:rsidRPr="00F95AC3">
        <w:rPr>
          <w:rFonts w:hint="eastAsia"/>
        </w:rPr>
        <w:t>產業的部分若能跟經濟部合作，因為各有各的專業</w:t>
      </w:r>
      <w:r w:rsidR="007E2A03">
        <w:rPr>
          <w:rFonts w:hint="eastAsia"/>
        </w:rPr>
        <w:t>…</w:t>
      </w:r>
      <w:proofErr w:type="gramStart"/>
      <w:r w:rsidR="007E2A03">
        <w:rPr>
          <w:rFonts w:hint="eastAsia"/>
        </w:rPr>
        <w:t>…</w:t>
      </w:r>
      <w:proofErr w:type="gramEnd"/>
      <w:r w:rsidR="00C86411">
        <w:rPr>
          <w:rFonts w:hint="eastAsia"/>
        </w:rPr>
        <w:t>」</w:t>
      </w:r>
      <w:r w:rsidR="00BF67C4">
        <w:rPr>
          <w:rFonts w:hint="eastAsia"/>
        </w:rPr>
        <w:t>、「</w:t>
      </w:r>
      <w:r w:rsidR="00BF67C4" w:rsidRPr="00BF67C4">
        <w:rPr>
          <w:rFonts w:hint="eastAsia"/>
        </w:rPr>
        <w:t>更重要的是微型公司的育成，還有宣導</w:t>
      </w:r>
      <w:proofErr w:type="gramStart"/>
      <w:r w:rsidR="00BF67C4" w:rsidRPr="00BF67C4">
        <w:rPr>
          <w:rFonts w:hint="eastAsia"/>
        </w:rPr>
        <w:t>設計文創</w:t>
      </w:r>
      <w:proofErr w:type="gramEnd"/>
      <w:r w:rsidR="00BF67C4" w:rsidRPr="00BF67C4">
        <w:rPr>
          <w:rFonts w:hint="eastAsia"/>
        </w:rPr>
        <w:t>，教育部是可以配搭的</w:t>
      </w:r>
      <w:r w:rsidR="00BF67C4">
        <w:rPr>
          <w:rFonts w:hint="eastAsia"/>
        </w:rPr>
        <w:t>」</w:t>
      </w:r>
      <w:r w:rsidR="00094F32">
        <w:rPr>
          <w:rFonts w:hint="eastAsia"/>
        </w:rPr>
        <w:t>，</w:t>
      </w:r>
      <w:r w:rsidR="004C1A1D">
        <w:rPr>
          <w:rFonts w:hint="eastAsia"/>
        </w:rPr>
        <w:t>更可</w:t>
      </w:r>
      <w:r w:rsidR="00094F32">
        <w:rPr>
          <w:rFonts w:hint="eastAsia"/>
        </w:rPr>
        <w:t>見</w:t>
      </w:r>
      <w:r w:rsidR="004C1A1D">
        <w:rPr>
          <w:rFonts w:hint="eastAsia"/>
        </w:rPr>
        <w:t>我國文創產業</w:t>
      </w:r>
      <w:r w:rsidR="00BB5DDC">
        <w:rPr>
          <w:rFonts w:hint="eastAsia"/>
        </w:rPr>
        <w:t>之</w:t>
      </w:r>
      <w:r w:rsidR="004C1A1D">
        <w:rPr>
          <w:rFonts w:hint="eastAsia"/>
        </w:rPr>
        <w:t>推動</w:t>
      </w:r>
      <w:r w:rsidR="00BB5DDC">
        <w:rPr>
          <w:rFonts w:hint="eastAsia"/>
        </w:rPr>
        <w:t>確實</w:t>
      </w:r>
      <w:r w:rsidR="004C1A1D">
        <w:rPr>
          <w:rFonts w:hint="eastAsia"/>
        </w:rPr>
        <w:t>欠缺整合機制</w:t>
      </w:r>
      <w:r w:rsidR="0074515F">
        <w:rPr>
          <w:rFonts w:hint="eastAsia"/>
        </w:rPr>
        <w:t>，難以發揮效能</w:t>
      </w:r>
      <w:r w:rsidR="00D6370A">
        <w:rPr>
          <w:rFonts w:hint="eastAsia"/>
        </w:rPr>
        <w:t>。</w:t>
      </w:r>
    </w:p>
    <w:p w:rsidR="004715DD" w:rsidRDefault="00E44D4B" w:rsidP="004715DD">
      <w:pPr>
        <w:pStyle w:val="3"/>
      </w:pPr>
      <w:r>
        <w:rPr>
          <w:rFonts w:hint="eastAsia"/>
        </w:rPr>
        <w:t>綜上，</w:t>
      </w:r>
      <w:r w:rsidR="00335CF6" w:rsidRPr="00335CF6">
        <w:rPr>
          <w:rFonts w:hint="eastAsia"/>
        </w:rPr>
        <w:t>行政院雖將文化創意產業列為「挑戰2008：國家發展重點計畫」主要發展計畫之一，惟並未建立</w:t>
      </w:r>
      <w:r w:rsidR="00356A33">
        <w:rPr>
          <w:rFonts w:hint="eastAsia"/>
        </w:rPr>
        <w:t>統合</w:t>
      </w:r>
      <w:r w:rsidR="00335CF6" w:rsidRPr="00335CF6">
        <w:rPr>
          <w:rFonts w:hint="eastAsia"/>
        </w:rPr>
        <w:t>機制，各相關部會資源未能</w:t>
      </w:r>
      <w:r w:rsidR="00356A33">
        <w:rPr>
          <w:rFonts w:hint="eastAsia"/>
        </w:rPr>
        <w:t>相互支援運</w:t>
      </w:r>
      <w:r w:rsidR="00335CF6" w:rsidRPr="00335CF6">
        <w:rPr>
          <w:rFonts w:hint="eastAsia"/>
        </w:rPr>
        <w:t>用，恐難達到以國家團隊力量推動</w:t>
      </w:r>
      <w:proofErr w:type="gramStart"/>
      <w:r w:rsidR="00335CF6" w:rsidRPr="00335CF6">
        <w:rPr>
          <w:rFonts w:hint="eastAsia"/>
        </w:rPr>
        <w:t>協助文創產業</w:t>
      </w:r>
      <w:proofErr w:type="gramEnd"/>
      <w:r w:rsidR="00335CF6" w:rsidRPr="00335CF6">
        <w:rPr>
          <w:rFonts w:hint="eastAsia"/>
        </w:rPr>
        <w:t>發展之政策目標</w:t>
      </w:r>
      <w:r w:rsidR="00626D1D">
        <w:rPr>
          <w:rFonts w:hint="eastAsia"/>
        </w:rPr>
        <w:t>，</w:t>
      </w:r>
      <w:r w:rsidR="00F97F76">
        <w:rPr>
          <w:rFonts w:hint="eastAsia"/>
        </w:rPr>
        <w:t>更</w:t>
      </w:r>
      <w:r w:rsidR="00335CF6">
        <w:rPr>
          <w:rFonts w:hint="eastAsia"/>
        </w:rPr>
        <w:t>遑論</w:t>
      </w:r>
      <w:r w:rsidR="00974609">
        <w:rPr>
          <w:rFonts w:hint="eastAsia"/>
        </w:rPr>
        <w:t>欲</w:t>
      </w:r>
      <w:r w:rsidR="0038691C">
        <w:rPr>
          <w:rFonts w:hint="eastAsia"/>
        </w:rPr>
        <w:t>達到</w:t>
      </w:r>
      <w:proofErr w:type="gramStart"/>
      <w:r w:rsidR="001A2C0E">
        <w:rPr>
          <w:rFonts w:hint="eastAsia"/>
        </w:rPr>
        <w:t>類似韓</w:t>
      </w:r>
      <w:proofErr w:type="gramEnd"/>
      <w:r w:rsidR="001A2C0E">
        <w:rPr>
          <w:rFonts w:hint="eastAsia"/>
        </w:rPr>
        <w:t>流、</w:t>
      </w:r>
      <w:proofErr w:type="gramStart"/>
      <w:r w:rsidR="001A2C0E">
        <w:rPr>
          <w:rFonts w:hint="eastAsia"/>
        </w:rPr>
        <w:t>泰流效應</w:t>
      </w: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proofErr w:type="gramEnd"/>
      <w:r w:rsidR="004715DD">
        <w:rPr>
          <w:rFonts w:hint="eastAsia"/>
        </w:rPr>
        <w:t>。</w:t>
      </w:r>
    </w:p>
    <w:p w:rsidR="00E25849" w:rsidRDefault="004715DD" w:rsidP="004715DD">
      <w:pPr>
        <w:pStyle w:val="1"/>
        <w:ind w:left="2380" w:hanging="2380"/>
      </w:pPr>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調查意見，函請</w:t>
      </w:r>
      <w:r w:rsidR="00022387">
        <w:rPr>
          <w:rFonts w:hint="eastAsia"/>
        </w:rPr>
        <w:t>文化部</w:t>
      </w:r>
      <w:r>
        <w:rPr>
          <w:rFonts w:hint="eastAsia"/>
        </w:rPr>
        <w:t>確實檢討改進。</w:t>
      </w:r>
      <w:bookmarkEnd w:id="77"/>
      <w:bookmarkEnd w:id="78"/>
      <w:bookmarkEnd w:id="79"/>
      <w:bookmarkEnd w:id="80"/>
      <w:bookmarkEnd w:id="81"/>
      <w:bookmarkEnd w:id="82"/>
      <w:bookmarkEnd w:id="83"/>
      <w:bookmarkEnd w:id="84"/>
      <w:bookmarkEnd w:id="85"/>
      <w:bookmarkEnd w:id="86"/>
      <w:bookmarkEnd w:id="87"/>
      <w:bookmarkEnd w:id="88"/>
      <w:bookmarkEnd w:id="89"/>
    </w:p>
    <w:p w:rsidR="004715DD" w:rsidRDefault="00FB7770" w:rsidP="004715DD">
      <w:pPr>
        <w:pStyle w:val="2"/>
        <w:rPr>
          <w:rFonts w:hint="eastAsia"/>
        </w:rPr>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bookmarkStart w:id="110" w:name="_Toc69556899"/>
      <w:bookmarkStart w:id="111" w:name="_Toc69556948"/>
      <w:bookmarkStart w:id="112" w:name="_Toc69609822"/>
      <w:r>
        <w:rPr>
          <w:rFonts w:hint="eastAsia"/>
        </w:rPr>
        <w:t>調查意見，函</w:t>
      </w:r>
      <w:r w:rsidR="000B41F0">
        <w:rPr>
          <w:rFonts w:hint="eastAsia"/>
        </w:rPr>
        <w:t>復</w:t>
      </w:r>
      <w:r>
        <w:rPr>
          <w:rFonts w:hint="eastAsia"/>
        </w:rPr>
        <w:t>審計部。</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364D34" w:rsidRPr="00A13B71" w:rsidRDefault="00364D34" w:rsidP="00364D34">
      <w:pPr>
        <w:pStyle w:val="2"/>
        <w:numPr>
          <w:ilvl w:val="0"/>
          <w:numId w:val="0"/>
        </w:numPr>
        <w:ind w:left="1021"/>
      </w:pPr>
    </w:p>
    <w:p w:rsidR="00364D34" w:rsidRDefault="00364D34" w:rsidP="00364D34">
      <w:pPr>
        <w:pStyle w:val="aa"/>
        <w:spacing w:before="0" w:after="0" w:line="640" w:lineRule="exact"/>
        <w:ind w:leftChars="1100" w:left="3742"/>
        <w:rPr>
          <w:b w:val="0"/>
          <w:bCs/>
          <w:spacing w:val="12"/>
          <w:kern w:val="0"/>
          <w:sz w:val="40"/>
          <w:szCs w:val="40"/>
        </w:rPr>
      </w:pPr>
      <w:r>
        <w:rPr>
          <w:rFonts w:hint="eastAsia"/>
          <w:b w:val="0"/>
          <w:bCs/>
          <w:spacing w:val="12"/>
          <w:kern w:val="0"/>
          <w:sz w:val="40"/>
          <w:szCs w:val="40"/>
        </w:rPr>
        <w:t>調查委員：王美玉</w:t>
      </w:r>
    </w:p>
    <w:p w:rsidR="00364D34" w:rsidRDefault="00364D34" w:rsidP="00364D34">
      <w:pPr>
        <w:pStyle w:val="aa"/>
        <w:spacing w:before="0" w:after="0" w:line="640" w:lineRule="exact"/>
        <w:ind w:leftChars="1100" w:left="3742" w:firstLineChars="500" w:firstLine="2221"/>
        <w:rPr>
          <w:rFonts w:hint="eastAsia"/>
          <w:b w:val="0"/>
          <w:bCs/>
          <w:spacing w:val="12"/>
          <w:kern w:val="0"/>
          <w:sz w:val="40"/>
          <w:szCs w:val="40"/>
        </w:rPr>
      </w:pPr>
      <w:r>
        <w:rPr>
          <w:rFonts w:hint="eastAsia"/>
          <w:b w:val="0"/>
          <w:bCs/>
          <w:spacing w:val="12"/>
          <w:kern w:val="0"/>
          <w:sz w:val="40"/>
          <w:szCs w:val="40"/>
        </w:rPr>
        <w:t>蔡培村</w:t>
      </w:r>
    </w:p>
    <w:p w:rsidR="00364D34" w:rsidRDefault="00364D34" w:rsidP="00364D34">
      <w:pPr>
        <w:pStyle w:val="aa"/>
        <w:spacing w:before="0" w:after="0"/>
        <w:ind w:leftChars="1100" w:left="3742" w:firstLineChars="500" w:firstLine="2021"/>
        <w:rPr>
          <w:rFonts w:hint="eastAsia"/>
          <w:b w:val="0"/>
          <w:bCs/>
          <w:spacing w:val="12"/>
          <w:kern w:val="0"/>
        </w:rPr>
      </w:pPr>
      <w:bookmarkStart w:id="113" w:name="_GoBack"/>
      <w:bookmarkEnd w:id="113"/>
    </w:p>
    <w:p w:rsidR="00364D34" w:rsidRDefault="00364D34" w:rsidP="00364D34">
      <w:pPr>
        <w:pStyle w:val="af0"/>
        <w:ind w:left="2041" w:right="680" w:hanging="680"/>
        <w:rPr>
          <w:rFonts w:hAnsi="標楷體" w:hint="eastAsia"/>
          <w:bCs/>
        </w:rPr>
      </w:pPr>
      <w:r>
        <w:rPr>
          <w:rFonts w:hAnsi="標楷體" w:hint="eastAsia"/>
          <w:bCs/>
        </w:rPr>
        <w:t xml:space="preserve">中  華  民  國　</w:t>
      </w:r>
      <w:r>
        <w:rPr>
          <w:rFonts w:hAnsi="標楷體" w:hint="eastAsia"/>
          <w:bCs/>
        </w:rPr>
        <w:t>107</w:t>
      </w:r>
      <w:r>
        <w:rPr>
          <w:rFonts w:hAnsi="標楷體" w:hint="eastAsia"/>
          <w:bCs/>
        </w:rPr>
        <w:t xml:space="preserve"> 年</w:t>
      </w:r>
      <w:r>
        <w:rPr>
          <w:rFonts w:hAnsi="標楷體" w:hint="eastAsia"/>
          <w:bCs/>
        </w:rPr>
        <w:t xml:space="preserve"> 05</w:t>
      </w:r>
      <w:r>
        <w:rPr>
          <w:rFonts w:hAnsi="標楷體" w:hint="eastAsia"/>
          <w:bCs/>
        </w:rPr>
        <w:t xml:space="preserve"> 月</w:t>
      </w:r>
      <w:r>
        <w:rPr>
          <w:rFonts w:hAnsi="標楷體" w:hint="eastAsia"/>
          <w:bCs/>
        </w:rPr>
        <w:t xml:space="preserve"> 10</w:t>
      </w:r>
      <w:r>
        <w:rPr>
          <w:rFonts w:hAnsi="標楷體" w:hint="eastAsia"/>
          <w:bCs/>
        </w:rPr>
        <w:t xml:space="preserve"> 日</w:t>
      </w:r>
    </w:p>
    <w:p w:rsidR="00106931" w:rsidRPr="00364D34" w:rsidRDefault="00106931" w:rsidP="00A13B71">
      <w:pPr>
        <w:pStyle w:val="af6"/>
      </w:pPr>
    </w:p>
    <w:p w:rsidR="006E5E40" w:rsidRDefault="006E5E40">
      <w:pPr>
        <w:widowControl/>
        <w:kinsoku/>
        <w:overflowPunct/>
        <w:autoSpaceDE/>
        <w:autoSpaceDN/>
        <w:jc w:val="left"/>
        <w:rPr>
          <w:spacing w:val="-10"/>
          <w:kern w:val="0"/>
          <w:sz w:val="24"/>
          <w:szCs w:val="22"/>
        </w:rPr>
      </w:pPr>
      <w:r>
        <w:br w:type="page"/>
      </w:r>
    </w:p>
    <w:p w:rsidR="006E5E40" w:rsidRDefault="006E5E40" w:rsidP="006E5E40">
      <w:pPr>
        <w:pStyle w:val="a0"/>
      </w:pPr>
      <w:r w:rsidRPr="00106931">
        <w:lastRenderedPageBreak/>
        <w:t>2011</w:t>
      </w:r>
      <w:r>
        <w:rPr>
          <w:rFonts w:hint="eastAsia"/>
        </w:rPr>
        <w:t>~</w:t>
      </w:r>
      <w:r w:rsidRPr="00106931">
        <w:t>2015</w:t>
      </w:r>
      <w:r w:rsidRPr="00106931">
        <w:rPr>
          <w:rFonts w:hint="eastAsia"/>
        </w:rPr>
        <w:t>年臺灣文化創意產業外銷金額及成長率</w:t>
      </w:r>
      <w:r>
        <w:rPr>
          <w:rFonts w:hint="eastAsia"/>
        </w:rPr>
        <w:t>-</w:t>
      </w:r>
      <w:r w:rsidRPr="00106931">
        <w:rPr>
          <w:rFonts w:hint="eastAsia"/>
        </w:rPr>
        <w:t>次產業別</w:t>
      </w:r>
      <w:r w:rsidRPr="0077233F">
        <w:rPr>
          <w:rFonts w:hint="eastAsia"/>
          <w:spacing w:val="-10"/>
          <w:sz w:val="28"/>
          <w:szCs w:val="28"/>
        </w:rPr>
        <w:t>（</w:t>
      </w:r>
      <w:r>
        <w:rPr>
          <w:rFonts w:hint="eastAsia"/>
          <w:spacing w:val="-10"/>
          <w:sz w:val="28"/>
          <w:szCs w:val="28"/>
        </w:rPr>
        <w:t>摘自</w:t>
      </w:r>
      <w:r w:rsidRPr="0077233F">
        <w:rPr>
          <w:rFonts w:hint="eastAsia"/>
          <w:spacing w:val="-10"/>
          <w:sz w:val="28"/>
          <w:szCs w:val="28"/>
        </w:rPr>
        <w:t>2017臺灣文化創意產業發展年報，表1-21）</w:t>
      </w:r>
    </w:p>
    <w:p w:rsidR="006E5E40" w:rsidRPr="00106931" w:rsidRDefault="006E5E40" w:rsidP="006E5E40">
      <w:pPr>
        <w:pStyle w:val="120"/>
        <w:jc w:val="right"/>
        <w:rPr>
          <w:sz w:val="22"/>
          <w:szCs w:val="22"/>
        </w:rPr>
      </w:pPr>
      <w:r w:rsidRPr="00106931">
        <w:rPr>
          <w:rFonts w:hint="eastAsia"/>
          <w:sz w:val="22"/>
          <w:szCs w:val="22"/>
        </w:rPr>
        <w:t>單位：千元、</w:t>
      </w:r>
      <w:r>
        <w:rPr>
          <w:rFonts w:hint="eastAsia"/>
          <w:sz w:val="22"/>
          <w:szCs w:val="22"/>
        </w:rPr>
        <w:t>%</w:t>
      </w:r>
    </w:p>
    <w:tbl>
      <w:tblPr>
        <w:tblStyle w:val="af7"/>
        <w:tblW w:w="8842" w:type="dxa"/>
        <w:tblInd w:w="57" w:type="dxa"/>
        <w:tblLayout w:type="fixed"/>
        <w:tblCellMar>
          <w:top w:w="28" w:type="dxa"/>
          <w:left w:w="57" w:type="dxa"/>
          <w:bottom w:w="28" w:type="dxa"/>
          <w:right w:w="57" w:type="dxa"/>
        </w:tblCellMar>
        <w:tblLook w:val="04A0" w:firstRow="1" w:lastRow="0" w:firstColumn="1" w:lastColumn="0" w:noHBand="0" w:noVBand="1"/>
      </w:tblPr>
      <w:tblGrid>
        <w:gridCol w:w="850"/>
        <w:gridCol w:w="850"/>
        <w:gridCol w:w="1134"/>
        <w:gridCol w:w="1077"/>
        <w:gridCol w:w="1077"/>
        <w:gridCol w:w="1077"/>
        <w:gridCol w:w="1077"/>
        <w:gridCol w:w="850"/>
        <w:gridCol w:w="850"/>
      </w:tblGrid>
      <w:tr w:rsidR="006E5E40" w:rsidRPr="008B71DF" w:rsidTr="00DF3777">
        <w:trPr>
          <w:tblHeader/>
        </w:trPr>
        <w:tc>
          <w:tcPr>
            <w:tcW w:w="850" w:type="dxa"/>
            <w:vAlign w:val="center"/>
          </w:tcPr>
          <w:p w:rsidR="006E5E40" w:rsidRPr="008B71DF" w:rsidRDefault="006E5E40" w:rsidP="00DF3777">
            <w:pPr>
              <w:pStyle w:val="120"/>
              <w:rPr>
                <w:sz w:val="21"/>
                <w:szCs w:val="21"/>
              </w:rPr>
            </w:pPr>
            <w:r w:rsidRPr="008B71DF">
              <w:rPr>
                <w:rFonts w:hint="eastAsia"/>
                <w:sz w:val="21"/>
                <w:szCs w:val="21"/>
              </w:rPr>
              <w:t>產業</w:t>
            </w:r>
          </w:p>
        </w:tc>
        <w:tc>
          <w:tcPr>
            <w:tcW w:w="850" w:type="dxa"/>
            <w:vAlign w:val="center"/>
          </w:tcPr>
          <w:p w:rsidR="006E5E40" w:rsidRPr="008B71DF" w:rsidRDefault="006E5E40" w:rsidP="00DF3777">
            <w:pPr>
              <w:pStyle w:val="120"/>
              <w:rPr>
                <w:sz w:val="21"/>
                <w:szCs w:val="21"/>
              </w:rPr>
            </w:pPr>
            <w:r w:rsidRPr="008B71DF">
              <w:rPr>
                <w:rFonts w:hint="eastAsia"/>
                <w:sz w:val="21"/>
                <w:szCs w:val="21"/>
              </w:rPr>
              <w:t>項目</w:t>
            </w:r>
          </w:p>
        </w:tc>
        <w:tc>
          <w:tcPr>
            <w:tcW w:w="1134" w:type="dxa"/>
            <w:vAlign w:val="center"/>
          </w:tcPr>
          <w:p w:rsidR="006E5E40" w:rsidRPr="00C90E5C" w:rsidRDefault="006E5E40" w:rsidP="00DF3777">
            <w:pPr>
              <w:pStyle w:val="120"/>
              <w:rPr>
                <w:sz w:val="21"/>
                <w:szCs w:val="21"/>
              </w:rPr>
            </w:pPr>
            <w:r w:rsidRPr="00C90E5C">
              <w:rPr>
                <w:sz w:val="21"/>
                <w:szCs w:val="21"/>
              </w:rPr>
              <w:t>2011</w:t>
            </w:r>
            <w:r w:rsidRPr="00C90E5C">
              <w:rPr>
                <w:rFonts w:hint="eastAsia"/>
                <w:sz w:val="21"/>
                <w:szCs w:val="21"/>
              </w:rPr>
              <w:t>年</w:t>
            </w:r>
          </w:p>
        </w:tc>
        <w:tc>
          <w:tcPr>
            <w:tcW w:w="1077" w:type="dxa"/>
            <w:vAlign w:val="center"/>
          </w:tcPr>
          <w:p w:rsidR="006E5E40" w:rsidRPr="00C90E5C" w:rsidRDefault="006E5E40" w:rsidP="00DF3777">
            <w:pPr>
              <w:pStyle w:val="120"/>
              <w:rPr>
                <w:sz w:val="21"/>
                <w:szCs w:val="21"/>
              </w:rPr>
            </w:pPr>
            <w:r w:rsidRPr="00C90E5C">
              <w:rPr>
                <w:sz w:val="21"/>
                <w:szCs w:val="21"/>
              </w:rPr>
              <w:t>2012</w:t>
            </w:r>
            <w:r w:rsidRPr="00C90E5C">
              <w:rPr>
                <w:rFonts w:hint="eastAsia"/>
                <w:sz w:val="21"/>
                <w:szCs w:val="21"/>
              </w:rPr>
              <w:t>年</w:t>
            </w:r>
          </w:p>
        </w:tc>
        <w:tc>
          <w:tcPr>
            <w:tcW w:w="1077" w:type="dxa"/>
            <w:vAlign w:val="center"/>
          </w:tcPr>
          <w:p w:rsidR="006E5E40" w:rsidRPr="00C90E5C" w:rsidRDefault="006E5E40" w:rsidP="00DF3777">
            <w:pPr>
              <w:pStyle w:val="120"/>
              <w:rPr>
                <w:sz w:val="21"/>
                <w:szCs w:val="21"/>
              </w:rPr>
            </w:pPr>
            <w:r w:rsidRPr="00C90E5C">
              <w:rPr>
                <w:sz w:val="21"/>
                <w:szCs w:val="21"/>
              </w:rPr>
              <w:t>2013</w:t>
            </w:r>
            <w:r w:rsidRPr="00C90E5C">
              <w:rPr>
                <w:rFonts w:hint="eastAsia"/>
                <w:sz w:val="21"/>
                <w:szCs w:val="21"/>
              </w:rPr>
              <w:t>年</w:t>
            </w:r>
          </w:p>
        </w:tc>
        <w:tc>
          <w:tcPr>
            <w:tcW w:w="1077" w:type="dxa"/>
            <w:vAlign w:val="center"/>
          </w:tcPr>
          <w:p w:rsidR="006E5E40" w:rsidRPr="00C90E5C" w:rsidRDefault="006E5E40" w:rsidP="00DF3777">
            <w:pPr>
              <w:pStyle w:val="120"/>
              <w:rPr>
                <w:sz w:val="21"/>
                <w:szCs w:val="21"/>
              </w:rPr>
            </w:pPr>
            <w:r w:rsidRPr="00C90E5C">
              <w:rPr>
                <w:sz w:val="21"/>
                <w:szCs w:val="21"/>
              </w:rPr>
              <w:t>2014</w:t>
            </w:r>
            <w:r w:rsidRPr="00C90E5C">
              <w:rPr>
                <w:rFonts w:hint="eastAsia"/>
                <w:sz w:val="21"/>
                <w:szCs w:val="21"/>
              </w:rPr>
              <w:t>年</w:t>
            </w:r>
          </w:p>
        </w:tc>
        <w:tc>
          <w:tcPr>
            <w:tcW w:w="1077" w:type="dxa"/>
            <w:vAlign w:val="center"/>
          </w:tcPr>
          <w:p w:rsidR="006E5E40" w:rsidRPr="008B71DF" w:rsidRDefault="006E5E40" w:rsidP="00DF3777">
            <w:pPr>
              <w:pStyle w:val="120"/>
              <w:rPr>
                <w:sz w:val="21"/>
                <w:szCs w:val="21"/>
              </w:rPr>
            </w:pPr>
            <w:r w:rsidRPr="008B71DF">
              <w:rPr>
                <w:sz w:val="21"/>
                <w:szCs w:val="21"/>
              </w:rPr>
              <w:t>201</w:t>
            </w:r>
            <w:r>
              <w:rPr>
                <w:rFonts w:hint="eastAsia"/>
                <w:sz w:val="21"/>
                <w:szCs w:val="21"/>
              </w:rPr>
              <w:t>5</w:t>
            </w:r>
            <w:r w:rsidRPr="008B71DF">
              <w:rPr>
                <w:rFonts w:hint="eastAsia"/>
                <w:sz w:val="21"/>
                <w:szCs w:val="21"/>
              </w:rPr>
              <w:t>年</w:t>
            </w:r>
          </w:p>
        </w:tc>
        <w:tc>
          <w:tcPr>
            <w:tcW w:w="850" w:type="dxa"/>
            <w:vAlign w:val="center"/>
          </w:tcPr>
          <w:p w:rsidR="006E5E40" w:rsidRPr="008B71DF" w:rsidRDefault="006E5E40" w:rsidP="00DF3777">
            <w:pPr>
              <w:pStyle w:val="120"/>
              <w:spacing w:before="0" w:after="0" w:line="220" w:lineRule="exact"/>
              <w:rPr>
                <w:sz w:val="21"/>
                <w:szCs w:val="21"/>
              </w:rPr>
            </w:pPr>
            <w:r w:rsidRPr="008B71DF">
              <w:rPr>
                <w:sz w:val="21"/>
                <w:szCs w:val="21"/>
              </w:rPr>
              <w:t>201</w:t>
            </w:r>
            <w:r>
              <w:rPr>
                <w:rFonts w:hint="eastAsia"/>
                <w:sz w:val="21"/>
                <w:szCs w:val="21"/>
              </w:rPr>
              <w:t>5</w:t>
            </w:r>
            <w:r w:rsidRPr="008B71DF">
              <w:rPr>
                <w:rFonts w:hint="eastAsia"/>
                <w:sz w:val="21"/>
                <w:szCs w:val="21"/>
              </w:rPr>
              <w:t>年占比</w:t>
            </w:r>
          </w:p>
        </w:tc>
        <w:tc>
          <w:tcPr>
            <w:tcW w:w="850" w:type="dxa"/>
            <w:vAlign w:val="center"/>
          </w:tcPr>
          <w:p w:rsidR="006E5E40" w:rsidRPr="008B71DF" w:rsidRDefault="006E5E40" w:rsidP="00DF3777">
            <w:pPr>
              <w:pStyle w:val="120"/>
              <w:rPr>
                <w:sz w:val="21"/>
                <w:szCs w:val="21"/>
              </w:rPr>
            </w:pPr>
            <w:r w:rsidRPr="008B71DF">
              <w:rPr>
                <w:sz w:val="21"/>
                <w:szCs w:val="21"/>
              </w:rPr>
              <w:t>CAGR</w:t>
            </w: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視覺藝術</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141,723</w:t>
            </w:r>
          </w:p>
        </w:tc>
        <w:tc>
          <w:tcPr>
            <w:tcW w:w="1077" w:type="dxa"/>
          </w:tcPr>
          <w:p w:rsidR="006E5E40" w:rsidRPr="00C90E5C" w:rsidRDefault="006E5E40" w:rsidP="00DF3777">
            <w:pPr>
              <w:pStyle w:val="121"/>
              <w:jc w:val="right"/>
              <w:rPr>
                <w:sz w:val="21"/>
                <w:szCs w:val="21"/>
              </w:rPr>
            </w:pPr>
            <w:r w:rsidRPr="00C90E5C">
              <w:rPr>
                <w:sz w:val="21"/>
                <w:szCs w:val="21"/>
              </w:rPr>
              <w:t>145,736</w:t>
            </w:r>
          </w:p>
        </w:tc>
        <w:tc>
          <w:tcPr>
            <w:tcW w:w="1077" w:type="dxa"/>
          </w:tcPr>
          <w:p w:rsidR="006E5E40" w:rsidRPr="00C90E5C" w:rsidRDefault="006E5E40" w:rsidP="00DF3777">
            <w:pPr>
              <w:pStyle w:val="121"/>
              <w:jc w:val="right"/>
              <w:rPr>
                <w:sz w:val="21"/>
                <w:szCs w:val="21"/>
              </w:rPr>
            </w:pPr>
            <w:r w:rsidRPr="00C90E5C">
              <w:rPr>
                <w:sz w:val="21"/>
                <w:szCs w:val="21"/>
              </w:rPr>
              <w:t>123,586</w:t>
            </w:r>
          </w:p>
        </w:tc>
        <w:tc>
          <w:tcPr>
            <w:tcW w:w="1077" w:type="dxa"/>
          </w:tcPr>
          <w:p w:rsidR="006E5E40" w:rsidRPr="00C90E5C" w:rsidRDefault="006E5E40" w:rsidP="00DF3777">
            <w:pPr>
              <w:pStyle w:val="121"/>
              <w:jc w:val="right"/>
              <w:rPr>
                <w:sz w:val="21"/>
                <w:szCs w:val="21"/>
              </w:rPr>
            </w:pPr>
            <w:r w:rsidRPr="00C90E5C">
              <w:rPr>
                <w:sz w:val="21"/>
                <w:szCs w:val="21"/>
              </w:rPr>
              <w:t>153,356</w:t>
            </w:r>
          </w:p>
        </w:tc>
        <w:tc>
          <w:tcPr>
            <w:tcW w:w="1077" w:type="dxa"/>
          </w:tcPr>
          <w:p w:rsidR="006E5E40" w:rsidRPr="00AD512F" w:rsidRDefault="006E5E40" w:rsidP="00DF3777">
            <w:pPr>
              <w:pStyle w:val="121"/>
              <w:jc w:val="right"/>
              <w:rPr>
                <w:sz w:val="21"/>
                <w:szCs w:val="21"/>
              </w:rPr>
            </w:pPr>
            <w:r w:rsidRPr="00AD512F">
              <w:rPr>
                <w:sz w:val="21"/>
                <w:szCs w:val="21"/>
              </w:rPr>
              <w:t>205,866</w:t>
            </w:r>
          </w:p>
        </w:tc>
        <w:tc>
          <w:tcPr>
            <w:tcW w:w="850" w:type="dxa"/>
            <w:vMerge w:val="restart"/>
            <w:vAlign w:val="center"/>
          </w:tcPr>
          <w:p w:rsidR="006E5E40" w:rsidRPr="00FC66B2" w:rsidRDefault="006E5E40" w:rsidP="00DF3777">
            <w:pPr>
              <w:pStyle w:val="121"/>
              <w:jc w:val="right"/>
              <w:rPr>
                <w:sz w:val="21"/>
                <w:szCs w:val="21"/>
              </w:rPr>
            </w:pPr>
            <w:r w:rsidRPr="00FC66B2">
              <w:rPr>
                <w:sz w:val="21"/>
                <w:szCs w:val="21"/>
              </w:rPr>
              <w:t xml:space="preserve">0.23% </w:t>
            </w:r>
          </w:p>
        </w:tc>
        <w:tc>
          <w:tcPr>
            <w:tcW w:w="850" w:type="dxa"/>
            <w:vMerge w:val="restart"/>
            <w:vAlign w:val="center"/>
          </w:tcPr>
          <w:p w:rsidR="006E5E40" w:rsidRPr="00FC66B2" w:rsidRDefault="006E5E40" w:rsidP="00DF3777">
            <w:pPr>
              <w:pStyle w:val="121"/>
              <w:jc w:val="right"/>
              <w:rPr>
                <w:sz w:val="21"/>
                <w:szCs w:val="21"/>
              </w:rPr>
            </w:pPr>
            <w:r w:rsidRPr="00FC66B2">
              <w:rPr>
                <w:sz w:val="21"/>
                <w:szCs w:val="21"/>
              </w:rPr>
              <w:t>9.78%</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2.83%</w:t>
            </w:r>
          </w:p>
        </w:tc>
        <w:tc>
          <w:tcPr>
            <w:tcW w:w="1077" w:type="dxa"/>
          </w:tcPr>
          <w:p w:rsidR="006E5E40" w:rsidRPr="00C90E5C" w:rsidRDefault="006E5E40" w:rsidP="00DF3777">
            <w:pPr>
              <w:pStyle w:val="121"/>
              <w:jc w:val="right"/>
              <w:rPr>
                <w:sz w:val="21"/>
                <w:szCs w:val="21"/>
              </w:rPr>
            </w:pPr>
            <w:r w:rsidRPr="00C90E5C">
              <w:rPr>
                <w:sz w:val="21"/>
                <w:szCs w:val="21"/>
              </w:rPr>
              <w:t>-15.20%</w:t>
            </w:r>
          </w:p>
        </w:tc>
        <w:tc>
          <w:tcPr>
            <w:tcW w:w="1077" w:type="dxa"/>
          </w:tcPr>
          <w:p w:rsidR="006E5E40" w:rsidRPr="00C90E5C" w:rsidRDefault="006E5E40" w:rsidP="00DF3777">
            <w:pPr>
              <w:pStyle w:val="121"/>
              <w:jc w:val="right"/>
              <w:rPr>
                <w:sz w:val="21"/>
                <w:szCs w:val="21"/>
              </w:rPr>
            </w:pPr>
            <w:r w:rsidRPr="00C90E5C">
              <w:rPr>
                <w:sz w:val="21"/>
                <w:szCs w:val="21"/>
              </w:rPr>
              <w:t>24.09%</w:t>
            </w:r>
          </w:p>
        </w:tc>
        <w:tc>
          <w:tcPr>
            <w:tcW w:w="1077" w:type="dxa"/>
          </w:tcPr>
          <w:p w:rsidR="006E5E40" w:rsidRPr="00AD512F" w:rsidRDefault="006E5E40" w:rsidP="00DF3777">
            <w:pPr>
              <w:pStyle w:val="121"/>
              <w:jc w:val="right"/>
              <w:rPr>
                <w:sz w:val="21"/>
                <w:szCs w:val="21"/>
              </w:rPr>
            </w:pPr>
            <w:r w:rsidRPr="00AD512F">
              <w:rPr>
                <w:sz w:val="21"/>
                <w:szCs w:val="21"/>
              </w:rPr>
              <w:t>34.24%</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音樂及表演藝術</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135,696</w:t>
            </w:r>
          </w:p>
        </w:tc>
        <w:tc>
          <w:tcPr>
            <w:tcW w:w="1077" w:type="dxa"/>
          </w:tcPr>
          <w:p w:rsidR="006E5E40" w:rsidRPr="00C90E5C" w:rsidRDefault="006E5E40" w:rsidP="00DF3777">
            <w:pPr>
              <w:pStyle w:val="121"/>
              <w:jc w:val="right"/>
              <w:rPr>
                <w:sz w:val="21"/>
                <w:szCs w:val="21"/>
              </w:rPr>
            </w:pPr>
            <w:r w:rsidRPr="00C90E5C">
              <w:rPr>
                <w:sz w:val="21"/>
                <w:szCs w:val="21"/>
              </w:rPr>
              <w:t>248,633</w:t>
            </w:r>
          </w:p>
        </w:tc>
        <w:tc>
          <w:tcPr>
            <w:tcW w:w="1077" w:type="dxa"/>
          </w:tcPr>
          <w:p w:rsidR="006E5E40" w:rsidRPr="00C90E5C" w:rsidRDefault="006E5E40" w:rsidP="00DF3777">
            <w:pPr>
              <w:pStyle w:val="121"/>
              <w:jc w:val="right"/>
              <w:rPr>
                <w:sz w:val="21"/>
                <w:szCs w:val="21"/>
              </w:rPr>
            </w:pPr>
            <w:r w:rsidRPr="00C90E5C">
              <w:rPr>
                <w:sz w:val="21"/>
                <w:szCs w:val="21"/>
              </w:rPr>
              <w:t>256,141</w:t>
            </w:r>
          </w:p>
        </w:tc>
        <w:tc>
          <w:tcPr>
            <w:tcW w:w="1077" w:type="dxa"/>
          </w:tcPr>
          <w:p w:rsidR="006E5E40" w:rsidRPr="00C90E5C" w:rsidRDefault="006E5E40" w:rsidP="00DF3777">
            <w:pPr>
              <w:pStyle w:val="121"/>
              <w:jc w:val="right"/>
              <w:rPr>
                <w:sz w:val="21"/>
                <w:szCs w:val="21"/>
              </w:rPr>
            </w:pPr>
            <w:r w:rsidRPr="00C90E5C">
              <w:rPr>
                <w:sz w:val="21"/>
                <w:szCs w:val="21"/>
              </w:rPr>
              <w:t>346,917</w:t>
            </w:r>
          </w:p>
        </w:tc>
        <w:tc>
          <w:tcPr>
            <w:tcW w:w="1077" w:type="dxa"/>
          </w:tcPr>
          <w:p w:rsidR="006E5E40" w:rsidRPr="00AD512F" w:rsidRDefault="006E5E40" w:rsidP="00DF3777">
            <w:pPr>
              <w:pStyle w:val="121"/>
              <w:jc w:val="right"/>
              <w:rPr>
                <w:sz w:val="21"/>
                <w:szCs w:val="21"/>
              </w:rPr>
            </w:pPr>
            <w:r w:rsidRPr="00AD512F">
              <w:rPr>
                <w:sz w:val="21"/>
                <w:szCs w:val="21"/>
              </w:rPr>
              <w:t>472,679</w:t>
            </w:r>
          </w:p>
        </w:tc>
        <w:tc>
          <w:tcPr>
            <w:tcW w:w="850" w:type="dxa"/>
            <w:vMerge w:val="restart"/>
            <w:vAlign w:val="center"/>
          </w:tcPr>
          <w:p w:rsidR="006E5E40" w:rsidRPr="008B71DF" w:rsidRDefault="006E5E40" w:rsidP="00DF3777">
            <w:pPr>
              <w:pStyle w:val="121"/>
              <w:jc w:val="right"/>
              <w:rPr>
                <w:sz w:val="21"/>
                <w:szCs w:val="21"/>
              </w:rPr>
            </w:pPr>
            <w:r w:rsidRPr="00FC66B2">
              <w:rPr>
                <w:sz w:val="21"/>
                <w:szCs w:val="21"/>
              </w:rPr>
              <w:t>0.53%</w:t>
            </w:r>
          </w:p>
        </w:tc>
        <w:tc>
          <w:tcPr>
            <w:tcW w:w="850" w:type="dxa"/>
            <w:vMerge w:val="restart"/>
            <w:vAlign w:val="center"/>
          </w:tcPr>
          <w:p w:rsidR="006E5E40" w:rsidRPr="008B71DF" w:rsidRDefault="006E5E40" w:rsidP="00DF3777">
            <w:pPr>
              <w:pStyle w:val="121"/>
              <w:jc w:val="right"/>
              <w:rPr>
                <w:sz w:val="21"/>
                <w:szCs w:val="21"/>
              </w:rPr>
            </w:pPr>
            <w:r w:rsidRPr="00FC66B2">
              <w:rPr>
                <w:sz w:val="21"/>
                <w:szCs w:val="21"/>
              </w:rPr>
              <w:t>36.62%</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83.23%</w:t>
            </w:r>
          </w:p>
        </w:tc>
        <w:tc>
          <w:tcPr>
            <w:tcW w:w="1077" w:type="dxa"/>
          </w:tcPr>
          <w:p w:rsidR="006E5E40" w:rsidRPr="00C90E5C" w:rsidRDefault="006E5E40" w:rsidP="00DF3777">
            <w:pPr>
              <w:pStyle w:val="121"/>
              <w:jc w:val="right"/>
              <w:rPr>
                <w:sz w:val="21"/>
                <w:szCs w:val="21"/>
              </w:rPr>
            </w:pPr>
            <w:r w:rsidRPr="00C90E5C">
              <w:rPr>
                <w:sz w:val="21"/>
                <w:szCs w:val="21"/>
              </w:rPr>
              <w:t>3.02%</w:t>
            </w:r>
          </w:p>
        </w:tc>
        <w:tc>
          <w:tcPr>
            <w:tcW w:w="1077" w:type="dxa"/>
          </w:tcPr>
          <w:p w:rsidR="006E5E40" w:rsidRPr="00C90E5C" w:rsidRDefault="006E5E40" w:rsidP="00DF3777">
            <w:pPr>
              <w:pStyle w:val="121"/>
              <w:jc w:val="right"/>
              <w:rPr>
                <w:sz w:val="21"/>
                <w:szCs w:val="21"/>
              </w:rPr>
            </w:pPr>
            <w:r w:rsidRPr="00C90E5C">
              <w:rPr>
                <w:sz w:val="21"/>
                <w:szCs w:val="21"/>
              </w:rPr>
              <w:t>35.44%</w:t>
            </w:r>
          </w:p>
        </w:tc>
        <w:tc>
          <w:tcPr>
            <w:tcW w:w="1077" w:type="dxa"/>
          </w:tcPr>
          <w:p w:rsidR="006E5E40" w:rsidRPr="00AD512F" w:rsidRDefault="006E5E40" w:rsidP="00DF3777">
            <w:pPr>
              <w:pStyle w:val="121"/>
              <w:jc w:val="right"/>
              <w:rPr>
                <w:sz w:val="21"/>
                <w:szCs w:val="21"/>
              </w:rPr>
            </w:pPr>
            <w:r w:rsidRPr="00AD512F">
              <w:rPr>
                <w:sz w:val="21"/>
                <w:szCs w:val="21"/>
              </w:rPr>
              <w:t>36.25%</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spacing w:line="220" w:lineRule="exact"/>
              <w:rPr>
                <w:sz w:val="21"/>
                <w:szCs w:val="21"/>
              </w:rPr>
            </w:pPr>
            <w:r w:rsidRPr="008B71DF">
              <w:rPr>
                <w:rFonts w:hint="eastAsia"/>
                <w:sz w:val="21"/>
                <w:szCs w:val="21"/>
              </w:rPr>
              <w:t>文化資產應用及展演設施</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349</w:t>
            </w:r>
          </w:p>
        </w:tc>
        <w:tc>
          <w:tcPr>
            <w:tcW w:w="1077" w:type="dxa"/>
          </w:tcPr>
          <w:p w:rsidR="006E5E40" w:rsidRPr="00C90E5C" w:rsidRDefault="006E5E40" w:rsidP="00DF3777">
            <w:pPr>
              <w:pStyle w:val="121"/>
              <w:jc w:val="right"/>
              <w:rPr>
                <w:sz w:val="21"/>
                <w:szCs w:val="21"/>
              </w:rPr>
            </w:pPr>
            <w:r w:rsidRPr="00C90E5C">
              <w:rPr>
                <w:sz w:val="21"/>
                <w:szCs w:val="21"/>
              </w:rPr>
              <w:t>6,498</w:t>
            </w:r>
          </w:p>
        </w:tc>
        <w:tc>
          <w:tcPr>
            <w:tcW w:w="1077" w:type="dxa"/>
          </w:tcPr>
          <w:p w:rsidR="006E5E40" w:rsidRPr="00C90E5C" w:rsidRDefault="006E5E40" w:rsidP="00DF3777">
            <w:pPr>
              <w:pStyle w:val="121"/>
              <w:jc w:val="right"/>
              <w:rPr>
                <w:sz w:val="21"/>
                <w:szCs w:val="21"/>
              </w:rPr>
            </w:pPr>
            <w:r w:rsidRPr="00C90E5C">
              <w:rPr>
                <w:rFonts w:hint="eastAsia"/>
                <w:sz w:val="21"/>
                <w:szCs w:val="21"/>
              </w:rPr>
              <w:t>0</w:t>
            </w:r>
          </w:p>
        </w:tc>
        <w:tc>
          <w:tcPr>
            <w:tcW w:w="1077" w:type="dxa"/>
          </w:tcPr>
          <w:p w:rsidR="006E5E40" w:rsidRPr="00C90E5C" w:rsidRDefault="006E5E40" w:rsidP="00DF3777">
            <w:pPr>
              <w:pStyle w:val="121"/>
              <w:jc w:val="right"/>
              <w:rPr>
                <w:sz w:val="21"/>
                <w:szCs w:val="21"/>
              </w:rPr>
            </w:pPr>
            <w:r w:rsidRPr="00C90E5C">
              <w:rPr>
                <w:sz w:val="21"/>
                <w:szCs w:val="21"/>
              </w:rPr>
              <w:t>4,001</w:t>
            </w:r>
          </w:p>
        </w:tc>
        <w:tc>
          <w:tcPr>
            <w:tcW w:w="1077" w:type="dxa"/>
          </w:tcPr>
          <w:p w:rsidR="006E5E40" w:rsidRPr="008B71DF" w:rsidRDefault="006E5E40" w:rsidP="00DF3777">
            <w:pPr>
              <w:pStyle w:val="121"/>
              <w:jc w:val="right"/>
              <w:rPr>
                <w:sz w:val="21"/>
                <w:szCs w:val="21"/>
              </w:rPr>
            </w:pPr>
            <w:r w:rsidRPr="00AD512F">
              <w:rPr>
                <w:sz w:val="21"/>
                <w:szCs w:val="21"/>
              </w:rPr>
              <w:t>3,232</w:t>
            </w:r>
          </w:p>
        </w:tc>
        <w:tc>
          <w:tcPr>
            <w:tcW w:w="850" w:type="dxa"/>
            <w:vMerge w:val="restart"/>
            <w:vAlign w:val="center"/>
          </w:tcPr>
          <w:p w:rsidR="006E5E40" w:rsidRPr="008B71DF" w:rsidRDefault="006E5E40" w:rsidP="00DF3777">
            <w:pPr>
              <w:pStyle w:val="121"/>
              <w:jc w:val="right"/>
              <w:rPr>
                <w:sz w:val="21"/>
                <w:szCs w:val="21"/>
              </w:rPr>
            </w:pPr>
            <w:r w:rsidRPr="00AD512F">
              <w:rPr>
                <w:sz w:val="21"/>
                <w:szCs w:val="21"/>
              </w:rPr>
              <w:t>0.00%</w:t>
            </w:r>
          </w:p>
        </w:tc>
        <w:tc>
          <w:tcPr>
            <w:tcW w:w="850" w:type="dxa"/>
            <w:vMerge w:val="restart"/>
            <w:vAlign w:val="center"/>
          </w:tcPr>
          <w:p w:rsidR="006E5E40" w:rsidRPr="008B71DF" w:rsidRDefault="006E5E40" w:rsidP="00DF3777">
            <w:pPr>
              <w:pStyle w:val="121"/>
              <w:jc w:val="right"/>
              <w:rPr>
                <w:sz w:val="21"/>
                <w:szCs w:val="21"/>
              </w:rPr>
            </w:pPr>
            <w:r w:rsidRPr="00AD512F">
              <w:rPr>
                <w:sz w:val="21"/>
                <w:szCs w:val="21"/>
              </w:rPr>
              <w:t>74.49%</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1763.99%</w:t>
            </w:r>
          </w:p>
        </w:tc>
        <w:tc>
          <w:tcPr>
            <w:tcW w:w="1077" w:type="dxa"/>
          </w:tcPr>
          <w:p w:rsidR="006E5E40" w:rsidRPr="00C90E5C" w:rsidRDefault="006E5E40" w:rsidP="00DF3777">
            <w:pPr>
              <w:pStyle w:val="121"/>
              <w:jc w:val="right"/>
              <w:rPr>
                <w:sz w:val="21"/>
                <w:szCs w:val="21"/>
              </w:rPr>
            </w:pPr>
            <w:r w:rsidRPr="00C90E5C">
              <w:rPr>
                <w:sz w:val="21"/>
                <w:szCs w:val="21"/>
              </w:rPr>
              <w:t>-100.00%</w:t>
            </w:r>
          </w:p>
        </w:tc>
        <w:tc>
          <w:tcPr>
            <w:tcW w:w="1077" w:type="dxa"/>
          </w:tcPr>
          <w:p w:rsidR="006E5E40" w:rsidRPr="00C90E5C" w:rsidRDefault="006E5E40" w:rsidP="00DF3777">
            <w:pPr>
              <w:pStyle w:val="121"/>
              <w:jc w:val="right"/>
              <w:rPr>
                <w:sz w:val="21"/>
                <w:szCs w:val="21"/>
              </w:rPr>
            </w:pPr>
            <w:r w:rsidRPr="00C90E5C">
              <w:rPr>
                <w:sz w:val="21"/>
                <w:szCs w:val="21"/>
              </w:rPr>
              <w:t>-</w:t>
            </w:r>
          </w:p>
        </w:tc>
        <w:tc>
          <w:tcPr>
            <w:tcW w:w="1077" w:type="dxa"/>
          </w:tcPr>
          <w:p w:rsidR="006E5E40" w:rsidRPr="008B71DF" w:rsidRDefault="006E5E40" w:rsidP="00DF3777">
            <w:pPr>
              <w:pStyle w:val="121"/>
              <w:jc w:val="right"/>
              <w:rPr>
                <w:sz w:val="21"/>
                <w:szCs w:val="21"/>
              </w:rPr>
            </w:pPr>
            <w:r w:rsidRPr="00AD512F">
              <w:rPr>
                <w:sz w:val="21"/>
                <w:szCs w:val="21"/>
              </w:rPr>
              <w:t>-19.24%</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工藝</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62,051,296</w:t>
            </w:r>
          </w:p>
        </w:tc>
        <w:tc>
          <w:tcPr>
            <w:tcW w:w="1077" w:type="dxa"/>
          </w:tcPr>
          <w:p w:rsidR="006E5E40" w:rsidRPr="00C90E5C" w:rsidRDefault="006E5E40" w:rsidP="00DF3777">
            <w:pPr>
              <w:pStyle w:val="121"/>
              <w:jc w:val="right"/>
              <w:rPr>
                <w:sz w:val="21"/>
                <w:szCs w:val="21"/>
              </w:rPr>
            </w:pPr>
            <w:r w:rsidRPr="00C90E5C">
              <w:rPr>
                <w:sz w:val="21"/>
                <w:szCs w:val="21"/>
              </w:rPr>
              <w:t>27,988,869</w:t>
            </w:r>
          </w:p>
        </w:tc>
        <w:tc>
          <w:tcPr>
            <w:tcW w:w="1077" w:type="dxa"/>
          </w:tcPr>
          <w:p w:rsidR="006E5E40" w:rsidRPr="00C90E5C" w:rsidRDefault="006E5E40" w:rsidP="00DF3777">
            <w:pPr>
              <w:pStyle w:val="121"/>
              <w:jc w:val="right"/>
              <w:rPr>
                <w:sz w:val="21"/>
                <w:szCs w:val="21"/>
              </w:rPr>
            </w:pPr>
            <w:r w:rsidRPr="00C90E5C">
              <w:rPr>
                <w:sz w:val="21"/>
                <w:szCs w:val="21"/>
              </w:rPr>
              <w:t>14,078,848</w:t>
            </w:r>
          </w:p>
        </w:tc>
        <w:tc>
          <w:tcPr>
            <w:tcW w:w="1077" w:type="dxa"/>
          </w:tcPr>
          <w:p w:rsidR="006E5E40" w:rsidRPr="00C90E5C" w:rsidRDefault="006E5E40" w:rsidP="00DF3777">
            <w:pPr>
              <w:pStyle w:val="121"/>
              <w:jc w:val="right"/>
              <w:rPr>
                <w:sz w:val="21"/>
                <w:szCs w:val="21"/>
              </w:rPr>
            </w:pPr>
            <w:r w:rsidRPr="00C90E5C">
              <w:rPr>
                <w:sz w:val="21"/>
                <w:szCs w:val="21"/>
              </w:rPr>
              <w:t>14,505,989</w:t>
            </w:r>
          </w:p>
        </w:tc>
        <w:tc>
          <w:tcPr>
            <w:tcW w:w="1077" w:type="dxa"/>
          </w:tcPr>
          <w:p w:rsidR="006E5E40" w:rsidRPr="008B71DF" w:rsidRDefault="006E5E40" w:rsidP="00DF3777">
            <w:pPr>
              <w:pStyle w:val="121"/>
              <w:jc w:val="right"/>
              <w:rPr>
                <w:sz w:val="21"/>
                <w:szCs w:val="21"/>
              </w:rPr>
            </w:pPr>
            <w:r w:rsidRPr="001D3248">
              <w:rPr>
                <w:sz w:val="21"/>
                <w:szCs w:val="21"/>
              </w:rPr>
              <w:t>12,961,706</w:t>
            </w:r>
          </w:p>
        </w:tc>
        <w:tc>
          <w:tcPr>
            <w:tcW w:w="850" w:type="dxa"/>
            <w:vMerge w:val="restart"/>
            <w:vAlign w:val="center"/>
          </w:tcPr>
          <w:p w:rsidR="006E5E40" w:rsidRPr="008B71DF" w:rsidRDefault="006E5E40" w:rsidP="00DF3777">
            <w:pPr>
              <w:pStyle w:val="121"/>
              <w:jc w:val="right"/>
              <w:rPr>
                <w:sz w:val="21"/>
                <w:szCs w:val="21"/>
              </w:rPr>
            </w:pPr>
            <w:r w:rsidRPr="001D3248">
              <w:rPr>
                <w:sz w:val="21"/>
                <w:szCs w:val="21"/>
              </w:rPr>
              <w:t>14.63%</w:t>
            </w:r>
          </w:p>
        </w:tc>
        <w:tc>
          <w:tcPr>
            <w:tcW w:w="850" w:type="dxa"/>
            <w:vMerge w:val="restart"/>
            <w:vAlign w:val="center"/>
          </w:tcPr>
          <w:p w:rsidR="006E5E40" w:rsidRPr="008B71DF" w:rsidRDefault="006E5E40" w:rsidP="00DF3777">
            <w:pPr>
              <w:pStyle w:val="121"/>
              <w:jc w:val="right"/>
              <w:rPr>
                <w:sz w:val="21"/>
                <w:szCs w:val="21"/>
              </w:rPr>
            </w:pPr>
            <w:r w:rsidRPr="001D3248">
              <w:rPr>
                <w:sz w:val="21"/>
                <w:szCs w:val="21"/>
              </w:rPr>
              <w:t>-32.40%</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-54.89%</w:t>
            </w:r>
          </w:p>
        </w:tc>
        <w:tc>
          <w:tcPr>
            <w:tcW w:w="1077" w:type="dxa"/>
          </w:tcPr>
          <w:p w:rsidR="006E5E40" w:rsidRPr="00C90E5C" w:rsidRDefault="006E5E40" w:rsidP="00DF3777">
            <w:pPr>
              <w:pStyle w:val="121"/>
              <w:jc w:val="right"/>
              <w:rPr>
                <w:sz w:val="21"/>
                <w:szCs w:val="21"/>
              </w:rPr>
            </w:pPr>
            <w:r w:rsidRPr="00C90E5C">
              <w:rPr>
                <w:sz w:val="21"/>
                <w:szCs w:val="21"/>
              </w:rPr>
              <w:t>-49.70%</w:t>
            </w:r>
          </w:p>
        </w:tc>
        <w:tc>
          <w:tcPr>
            <w:tcW w:w="1077" w:type="dxa"/>
          </w:tcPr>
          <w:p w:rsidR="006E5E40" w:rsidRPr="00C90E5C" w:rsidRDefault="006E5E40" w:rsidP="00DF3777">
            <w:pPr>
              <w:pStyle w:val="121"/>
              <w:jc w:val="right"/>
              <w:rPr>
                <w:sz w:val="21"/>
                <w:szCs w:val="21"/>
              </w:rPr>
            </w:pPr>
            <w:r w:rsidRPr="00C90E5C">
              <w:rPr>
                <w:sz w:val="21"/>
                <w:szCs w:val="21"/>
              </w:rPr>
              <w:t>3.03%</w:t>
            </w:r>
          </w:p>
        </w:tc>
        <w:tc>
          <w:tcPr>
            <w:tcW w:w="1077" w:type="dxa"/>
          </w:tcPr>
          <w:p w:rsidR="006E5E40" w:rsidRPr="008B71DF" w:rsidRDefault="006E5E40" w:rsidP="00DF3777">
            <w:pPr>
              <w:pStyle w:val="121"/>
              <w:jc w:val="right"/>
              <w:rPr>
                <w:sz w:val="21"/>
                <w:szCs w:val="21"/>
              </w:rPr>
            </w:pPr>
            <w:r w:rsidRPr="001D3248">
              <w:rPr>
                <w:sz w:val="21"/>
                <w:szCs w:val="21"/>
              </w:rPr>
              <w:t>-10.65%</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電影</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1,481,917</w:t>
            </w:r>
          </w:p>
        </w:tc>
        <w:tc>
          <w:tcPr>
            <w:tcW w:w="1077" w:type="dxa"/>
          </w:tcPr>
          <w:p w:rsidR="006E5E40" w:rsidRPr="00C90E5C" w:rsidRDefault="006E5E40" w:rsidP="00DF3777">
            <w:pPr>
              <w:pStyle w:val="121"/>
              <w:jc w:val="right"/>
              <w:rPr>
                <w:sz w:val="21"/>
                <w:szCs w:val="21"/>
              </w:rPr>
            </w:pPr>
            <w:r w:rsidRPr="00C90E5C">
              <w:rPr>
                <w:sz w:val="21"/>
                <w:szCs w:val="21"/>
              </w:rPr>
              <w:t>1,370,031</w:t>
            </w:r>
          </w:p>
        </w:tc>
        <w:tc>
          <w:tcPr>
            <w:tcW w:w="1077" w:type="dxa"/>
          </w:tcPr>
          <w:p w:rsidR="006E5E40" w:rsidRPr="00C90E5C" w:rsidRDefault="006E5E40" w:rsidP="00DF3777">
            <w:pPr>
              <w:pStyle w:val="121"/>
              <w:jc w:val="right"/>
              <w:rPr>
                <w:sz w:val="21"/>
                <w:szCs w:val="21"/>
              </w:rPr>
            </w:pPr>
            <w:r w:rsidRPr="00C90E5C">
              <w:rPr>
                <w:sz w:val="21"/>
                <w:szCs w:val="21"/>
              </w:rPr>
              <w:t>1,273,250</w:t>
            </w:r>
          </w:p>
        </w:tc>
        <w:tc>
          <w:tcPr>
            <w:tcW w:w="1077" w:type="dxa"/>
          </w:tcPr>
          <w:p w:rsidR="006E5E40" w:rsidRPr="00C90E5C" w:rsidRDefault="006E5E40" w:rsidP="00DF3777">
            <w:pPr>
              <w:pStyle w:val="121"/>
              <w:jc w:val="right"/>
              <w:rPr>
                <w:sz w:val="21"/>
                <w:szCs w:val="21"/>
              </w:rPr>
            </w:pPr>
            <w:r w:rsidRPr="00C90E5C">
              <w:rPr>
                <w:sz w:val="21"/>
                <w:szCs w:val="21"/>
              </w:rPr>
              <w:t>1,511,337</w:t>
            </w:r>
          </w:p>
        </w:tc>
        <w:tc>
          <w:tcPr>
            <w:tcW w:w="1077" w:type="dxa"/>
          </w:tcPr>
          <w:p w:rsidR="006E5E40" w:rsidRPr="008B71DF" w:rsidRDefault="006E5E40" w:rsidP="00DF3777">
            <w:pPr>
              <w:pStyle w:val="121"/>
              <w:jc w:val="right"/>
              <w:rPr>
                <w:sz w:val="21"/>
                <w:szCs w:val="21"/>
              </w:rPr>
            </w:pPr>
            <w:r w:rsidRPr="00BA0F8E">
              <w:rPr>
                <w:sz w:val="21"/>
                <w:szCs w:val="21"/>
              </w:rPr>
              <w:t>1,046,636</w:t>
            </w:r>
          </w:p>
        </w:tc>
        <w:tc>
          <w:tcPr>
            <w:tcW w:w="850" w:type="dxa"/>
            <w:vMerge w:val="restart"/>
            <w:vAlign w:val="center"/>
          </w:tcPr>
          <w:p w:rsidR="006E5E40" w:rsidRPr="008B71DF" w:rsidRDefault="006E5E40" w:rsidP="00DF3777">
            <w:pPr>
              <w:pStyle w:val="121"/>
              <w:jc w:val="right"/>
              <w:rPr>
                <w:sz w:val="21"/>
                <w:szCs w:val="21"/>
              </w:rPr>
            </w:pPr>
            <w:r w:rsidRPr="00BA0F8E">
              <w:rPr>
                <w:sz w:val="21"/>
                <w:szCs w:val="21"/>
              </w:rPr>
              <w:t>1.18%</w:t>
            </w:r>
          </w:p>
        </w:tc>
        <w:tc>
          <w:tcPr>
            <w:tcW w:w="850" w:type="dxa"/>
            <w:vMerge w:val="restart"/>
            <w:vAlign w:val="center"/>
          </w:tcPr>
          <w:p w:rsidR="006E5E40" w:rsidRPr="008B71DF" w:rsidRDefault="006E5E40" w:rsidP="00DF3777">
            <w:pPr>
              <w:pStyle w:val="121"/>
              <w:jc w:val="right"/>
              <w:rPr>
                <w:sz w:val="21"/>
                <w:szCs w:val="21"/>
              </w:rPr>
            </w:pPr>
            <w:r w:rsidRPr="00BA0F8E">
              <w:rPr>
                <w:sz w:val="21"/>
                <w:szCs w:val="21"/>
              </w:rPr>
              <w:t>-8.33%</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-7.55%</w:t>
            </w:r>
          </w:p>
        </w:tc>
        <w:tc>
          <w:tcPr>
            <w:tcW w:w="1077" w:type="dxa"/>
          </w:tcPr>
          <w:p w:rsidR="006E5E40" w:rsidRPr="00C90E5C" w:rsidRDefault="006E5E40" w:rsidP="00DF3777">
            <w:pPr>
              <w:pStyle w:val="121"/>
              <w:jc w:val="right"/>
              <w:rPr>
                <w:sz w:val="21"/>
                <w:szCs w:val="21"/>
              </w:rPr>
            </w:pPr>
            <w:r w:rsidRPr="00C90E5C">
              <w:rPr>
                <w:sz w:val="21"/>
                <w:szCs w:val="21"/>
              </w:rPr>
              <w:t>-7.06%</w:t>
            </w:r>
          </w:p>
        </w:tc>
        <w:tc>
          <w:tcPr>
            <w:tcW w:w="1077" w:type="dxa"/>
          </w:tcPr>
          <w:p w:rsidR="006E5E40" w:rsidRPr="00C90E5C" w:rsidRDefault="006E5E40" w:rsidP="00DF3777">
            <w:pPr>
              <w:pStyle w:val="121"/>
              <w:jc w:val="right"/>
              <w:rPr>
                <w:sz w:val="21"/>
                <w:szCs w:val="21"/>
              </w:rPr>
            </w:pPr>
            <w:r w:rsidRPr="00C90E5C">
              <w:rPr>
                <w:sz w:val="21"/>
                <w:szCs w:val="21"/>
              </w:rPr>
              <w:t>18.70%</w:t>
            </w:r>
          </w:p>
        </w:tc>
        <w:tc>
          <w:tcPr>
            <w:tcW w:w="1077" w:type="dxa"/>
          </w:tcPr>
          <w:p w:rsidR="006E5E40" w:rsidRPr="008B71DF" w:rsidRDefault="006E5E40" w:rsidP="00DF3777">
            <w:pPr>
              <w:pStyle w:val="121"/>
              <w:jc w:val="right"/>
              <w:rPr>
                <w:sz w:val="21"/>
                <w:szCs w:val="21"/>
              </w:rPr>
            </w:pPr>
            <w:r w:rsidRPr="00BA0F8E">
              <w:rPr>
                <w:sz w:val="21"/>
                <w:szCs w:val="21"/>
              </w:rPr>
              <w:t>-30.75%</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廣播</w:t>
            </w:r>
            <w:r>
              <w:rPr>
                <w:rFonts w:hint="eastAsia"/>
                <w:sz w:val="21"/>
                <w:szCs w:val="21"/>
              </w:rPr>
              <w:t>與</w:t>
            </w:r>
            <w:r w:rsidRPr="008B71DF">
              <w:rPr>
                <w:rFonts w:hint="eastAsia"/>
                <w:sz w:val="21"/>
                <w:szCs w:val="21"/>
              </w:rPr>
              <w:t>電視</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1,756,270</w:t>
            </w:r>
          </w:p>
        </w:tc>
        <w:tc>
          <w:tcPr>
            <w:tcW w:w="1077" w:type="dxa"/>
          </w:tcPr>
          <w:p w:rsidR="006E5E40" w:rsidRPr="00C90E5C" w:rsidRDefault="006E5E40" w:rsidP="00DF3777">
            <w:pPr>
              <w:pStyle w:val="121"/>
              <w:jc w:val="right"/>
              <w:rPr>
                <w:sz w:val="21"/>
                <w:szCs w:val="21"/>
              </w:rPr>
            </w:pPr>
            <w:r w:rsidRPr="00C90E5C">
              <w:rPr>
                <w:sz w:val="21"/>
                <w:szCs w:val="21"/>
              </w:rPr>
              <w:t>1,520,861</w:t>
            </w:r>
          </w:p>
        </w:tc>
        <w:tc>
          <w:tcPr>
            <w:tcW w:w="1077" w:type="dxa"/>
          </w:tcPr>
          <w:p w:rsidR="006E5E40" w:rsidRPr="00C90E5C" w:rsidRDefault="006E5E40" w:rsidP="00DF3777">
            <w:pPr>
              <w:pStyle w:val="121"/>
              <w:jc w:val="right"/>
              <w:rPr>
                <w:sz w:val="21"/>
                <w:szCs w:val="21"/>
              </w:rPr>
            </w:pPr>
            <w:r w:rsidRPr="00C90E5C">
              <w:rPr>
                <w:sz w:val="21"/>
                <w:szCs w:val="21"/>
              </w:rPr>
              <w:t>1,759,954</w:t>
            </w:r>
          </w:p>
        </w:tc>
        <w:tc>
          <w:tcPr>
            <w:tcW w:w="1077" w:type="dxa"/>
          </w:tcPr>
          <w:p w:rsidR="006E5E40" w:rsidRPr="00C90E5C" w:rsidRDefault="006E5E40" w:rsidP="00DF3777">
            <w:pPr>
              <w:pStyle w:val="121"/>
              <w:jc w:val="right"/>
              <w:rPr>
                <w:sz w:val="21"/>
                <w:szCs w:val="21"/>
              </w:rPr>
            </w:pPr>
            <w:r w:rsidRPr="00C90E5C">
              <w:rPr>
                <w:sz w:val="21"/>
                <w:szCs w:val="21"/>
              </w:rPr>
              <w:t>2,331,972</w:t>
            </w:r>
          </w:p>
        </w:tc>
        <w:tc>
          <w:tcPr>
            <w:tcW w:w="1077" w:type="dxa"/>
          </w:tcPr>
          <w:p w:rsidR="006E5E40" w:rsidRPr="008B71DF" w:rsidRDefault="006E5E40" w:rsidP="00DF3777">
            <w:pPr>
              <w:pStyle w:val="121"/>
              <w:jc w:val="right"/>
              <w:rPr>
                <w:sz w:val="21"/>
                <w:szCs w:val="21"/>
              </w:rPr>
            </w:pPr>
            <w:r w:rsidRPr="00535335">
              <w:rPr>
                <w:sz w:val="21"/>
                <w:szCs w:val="21"/>
              </w:rPr>
              <w:t>2,464,614</w:t>
            </w:r>
          </w:p>
        </w:tc>
        <w:tc>
          <w:tcPr>
            <w:tcW w:w="850" w:type="dxa"/>
            <w:vMerge w:val="restart"/>
            <w:vAlign w:val="center"/>
          </w:tcPr>
          <w:p w:rsidR="006E5E40" w:rsidRPr="008B71DF" w:rsidRDefault="006E5E40" w:rsidP="00DF3777">
            <w:pPr>
              <w:pStyle w:val="121"/>
              <w:jc w:val="right"/>
              <w:rPr>
                <w:sz w:val="21"/>
                <w:szCs w:val="21"/>
              </w:rPr>
            </w:pPr>
            <w:r w:rsidRPr="00535335">
              <w:rPr>
                <w:sz w:val="21"/>
                <w:szCs w:val="21"/>
              </w:rPr>
              <w:t>2.78%</w:t>
            </w:r>
          </w:p>
        </w:tc>
        <w:tc>
          <w:tcPr>
            <w:tcW w:w="850" w:type="dxa"/>
            <w:vMerge w:val="restart"/>
            <w:vAlign w:val="center"/>
          </w:tcPr>
          <w:p w:rsidR="006E5E40" w:rsidRPr="008B71DF" w:rsidRDefault="006E5E40" w:rsidP="00DF3777">
            <w:pPr>
              <w:pStyle w:val="121"/>
              <w:jc w:val="right"/>
              <w:rPr>
                <w:sz w:val="21"/>
                <w:szCs w:val="21"/>
              </w:rPr>
            </w:pPr>
            <w:r w:rsidRPr="00535335">
              <w:rPr>
                <w:sz w:val="21"/>
                <w:szCs w:val="21"/>
              </w:rPr>
              <w:t>8.84%</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-13.40%</w:t>
            </w:r>
          </w:p>
        </w:tc>
        <w:tc>
          <w:tcPr>
            <w:tcW w:w="1077" w:type="dxa"/>
          </w:tcPr>
          <w:p w:rsidR="006E5E40" w:rsidRPr="00C90E5C" w:rsidRDefault="006E5E40" w:rsidP="00DF3777">
            <w:pPr>
              <w:pStyle w:val="121"/>
              <w:jc w:val="right"/>
              <w:rPr>
                <w:sz w:val="21"/>
                <w:szCs w:val="21"/>
              </w:rPr>
            </w:pPr>
            <w:r w:rsidRPr="00C90E5C">
              <w:rPr>
                <w:sz w:val="21"/>
                <w:szCs w:val="21"/>
              </w:rPr>
              <w:t>15.72%</w:t>
            </w:r>
          </w:p>
        </w:tc>
        <w:tc>
          <w:tcPr>
            <w:tcW w:w="1077" w:type="dxa"/>
          </w:tcPr>
          <w:p w:rsidR="006E5E40" w:rsidRPr="00C90E5C" w:rsidRDefault="006E5E40" w:rsidP="00DF3777">
            <w:pPr>
              <w:pStyle w:val="121"/>
              <w:jc w:val="right"/>
              <w:rPr>
                <w:sz w:val="21"/>
                <w:szCs w:val="21"/>
              </w:rPr>
            </w:pPr>
            <w:r w:rsidRPr="00C90E5C">
              <w:rPr>
                <w:sz w:val="21"/>
                <w:szCs w:val="21"/>
              </w:rPr>
              <w:t>32.50%</w:t>
            </w:r>
          </w:p>
        </w:tc>
        <w:tc>
          <w:tcPr>
            <w:tcW w:w="1077" w:type="dxa"/>
          </w:tcPr>
          <w:p w:rsidR="006E5E40" w:rsidRPr="008B71DF" w:rsidRDefault="006E5E40" w:rsidP="00DF3777">
            <w:pPr>
              <w:pStyle w:val="121"/>
              <w:jc w:val="right"/>
              <w:rPr>
                <w:sz w:val="21"/>
                <w:szCs w:val="21"/>
              </w:rPr>
            </w:pPr>
            <w:r w:rsidRPr="00535335">
              <w:rPr>
                <w:sz w:val="21"/>
                <w:szCs w:val="21"/>
              </w:rPr>
              <w:t>5.69%</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出版</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2,580,056</w:t>
            </w:r>
          </w:p>
        </w:tc>
        <w:tc>
          <w:tcPr>
            <w:tcW w:w="1077" w:type="dxa"/>
          </w:tcPr>
          <w:p w:rsidR="006E5E40" w:rsidRPr="00C90E5C" w:rsidRDefault="006E5E40" w:rsidP="00DF3777">
            <w:pPr>
              <w:pStyle w:val="121"/>
              <w:jc w:val="right"/>
              <w:rPr>
                <w:sz w:val="21"/>
                <w:szCs w:val="21"/>
              </w:rPr>
            </w:pPr>
            <w:r w:rsidRPr="00C90E5C">
              <w:rPr>
                <w:sz w:val="21"/>
                <w:szCs w:val="21"/>
              </w:rPr>
              <w:t>2,672,223</w:t>
            </w:r>
          </w:p>
        </w:tc>
        <w:tc>
          <w:tcPr>
            <w:tcW w:w="1077" w:type="dxa"/>
          </w:tcPr>
          <w:p w:rsidR="006E5E40" w:rsidRPr="00C90E5C" w:rsidRDefault="006E5E40" w:rsidP="00DF3777">
            <w:pPr>
              <w:pStyle w:val="121"/>
              <w:jc w:val="right"/>
              <w:rPr>
                <w:sz w:val="21"/>
                <w:szCs w:val="21"/>
              </w:rPr>
            </w:pPr>
            <w:r w:rsidRPr="00C90E5C">
              <w:rPr>
                <w:sz w:val="21"/>
                <w:szCs w:val="21"/>
              </w:rPr>
              <w:t>2,535,738</w:t>
            </w:r>
          </w:p>
        </w:tc>
        <w:tc>
          <w:tcPr>
            <w:tcW w:w="1077" w:type="dxa"/>
          </w:tcPr>
          <w:p w:rsidR="006E5E40" w:rsidRPr="00C90E5C" w:rsidRDefault="006E5E40" w:rsidP="00DF3777">
            <w:pPr>
              <w:pStyle w:val="121"/>
              <w:jc w:val="right"/>
              <w:rPr>
                <w:sz w:val="21"/>
                <w:szCs w:val="21"/>
              </w:rPr>
            </w:pPr>
            <w:r w:rsidRPr="00C90E5C">
              <w:rPr>
                <w:sz w:val="21"/>
                <w:szCs w:val="21"/>
              </w:rPr>
              <w:t>2,802,939</w:t>
            </w:r>
          </w:p>
        </w:tc>
        <w:tc>
          <w:tcPr>
            <w:tcW w:w="1077" w:type="dxa"/>
          </w:tcPr>
          <w:p w:rsidR="006E5E40" w:rsidRPr="008B71DF" w:rsidRDefault="006E5E40" w:rsidP="00DF3777">
            <w:pPr>
              <w:pStyle w:val="121"/>
              <w:jc w:val="right"/>
              <w:rPr>
                <w:sz w:val="21"/>
                <w:szCs w:val="21"/>
              </w:rPr>
            </w:pPr>
            <w:r w:rsidRPr="00535335">
              <w:rPr>
                <w:sz w:val="21"/>
                <w:szCs w:val="21"/>
              </w:rPr>
              <w:t>3,241,659</w:t>
            </w:r>
          </w:p>
        </w:tc>
        <w:tc>
          <w:tcPr>
            <w:tcW w:w="850" w:type="dxa"/>
            <w:vMerge w:val="restart"/>
            <w:vAlign w:val="center"/>
          </w:tcPr>
          <w:p w:rsidR="006E5E40" w:rsidRPr="008B71DF" w:rsidRDefault="006E5E40" w:rsidP="00DF3777">
            <w:pPr>
              <w:pStyle w:val="121"/>
              <w:jc w:val="right"/>
              <w:rPr>
                <w:sz w:val="21"/>
                <w:szCs w:val="21"/>
              </w:rPr>
            </w:pPr>
            <w:r w:rsidRPr="00535335">
              <w:rPr>
                <w:sz w:val="21"/>
                <w:szCs w:val="21"/>
              </w:rPr>
              <w:t>3.66%</w:t>
            </w:r>
          </w:p>
        </w:tc>
        <w:tc>
          <w:tcPr>
            <w:tcW w:w="850" w:type="dxa"/>
            <w:vMerge w:val="restart"/>
            <w:vAlign w:val="center"/>
          </w:tcPr>
          <w:p w:rsidR="006E5E40" w:rsidRPr="008B71DF" w:rsidRDefault="006E5E40" w:rsidP="00DF3777">
            <w:pPr>
              <w:pStyle w:val="121"/>
              <w:jc w:val="right"/>
              <w:rPr>
                <w:sz w:val="21"/>
                <w:szCs w:val="21"/>
              </w:rPr>
            </w:pPr>
            <w:r w:rsidRPr="00535335">
              <w:rPr>
                <w:sz w:val="21"/>
                <w:szCs w:val="21"/>
              </w:rPr>
              <w:t>5.87%</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3.57%</w:t>
            </w:r>
          </w:p>
        </w:tc>
        <w:tc>
          <w:tcPr>
            <w:tcW w:w="1077" w:type="dxa"/>
          </w:tcPr>
          <w:p w:rsidR="006E5E40" w:rsidRPr="00C90E5C" w:rsidRDefault="006E5E40" w:rsidP="00DF3777">
            <w:pPr>
              <w:pStyle w:val="121"/>
              <w:jc w:val="right"/>
              <w:rPr>
                <w:sz w:val="21"/>
                <w:szCs w:val="21"/>
              </w:rPr>
            </w:pPr>
            <w:r w:rsidRPr="00C90E5C">
              <w:rPr>
                <w:sz w:val="21"/>
                <w:szCs w:val="21"/>
              </w:rPr>
              <w:t>-5.11%</w:t>
            </w:r>
          </w:p>
        </w:tc>
        <w:tc>
          <w:tcPr>
            <w:tcW w:w="1077" w:type="dxa"/>
          </w:tcPr>
          <w:p w:rsidR="006E5E40" w:rsidRPr="00C90E5C" w:rsidRDefault="006E5E40" w:rsidP="00DF3777">
            <w:pPr>
              <w:pStyle w:val="121"/>
              <w:jc w:val="right"/>
              <w:rPr>
                <w:sz w:val="21"/>
                <w:szCs w:val="21"/>
              </w:rPr>
            </w:pPr>
            <w:r w:rsidRPr="00C90E5C">
              <w:rPr>
                <w:sz w:val="21"/>
                <w:szCs w:val="21"/>
              </w:rPr>
              <w:t>10.54%</w:t>
            </w:r>
          </w:p>
        </w:tc>
        <w:tc>
          <w:tcPr>
            <w:tcW w:w="1077" w:type="dxa"/>
          </w:tcPr>
          <w:p w:rsidR="006E5E40" w:rsidRPr="008B71DF" w:rsidRDefault="006E5E40" w:rsidP="00DF3777">
            <w:pPr>
              <w:pStyle w:val="121"/>
              <w:jc w:val="right"/>
              <w:rPr>
                <w:sz w:val="21"/>
                <w:szCs w:val="21"/>
              </w:rPr>
            </w:pPr>
            <w:r w:rsidRPr="00535335">
              <w:rPr>
                <w:sz w:val="21"/>
                <w:szCs w:val="21"/>
              </w:rPr>
              <w:t>15.65%</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spacing w:line="220" w:lineRule="exact"/>
              <w:rPr>
                <w:sz w:val="21"/>
                <w:szCs w:val="21"/>
              </w:rPr>
            </w:pPr>
            <w:r w:rsidRPr="008B71DF">
              <w:rPr>
                <w:rFonts w:hint="eastAsia"/>
                <w:sz w:val="21"/>
                <w:szCs w:val="21"/>
              </w:rPr>
              <w:t>流行音樂及文化內容</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1,132,608</w:t>
            </w:r>
          </w:p>
        </w:tc>
        <w:tc>
          <w:tcPr>
            <w:tcW w:w="1077" w:type="dxa"/>
          </w:tcPr>
          <w:p w:rsidR="006E5E40" w:rsidRPr="00C90E5C" w:rsidRDefault="006E5E40" w:rsidP="00DF3777">
            <w:pPr>
              <w:pStyle w:val="121"/>
              <w:jc w:val="right"/>
              <w:rPr>
                <w:sz w:val="21"/>
                <w:szCs w:val="21"/>
              </w:rPr>
            </w:pPr>
            <w:r w:rsidRPr="00C90E5C">
              <w:rPr>
                <w:sz w:val="21"/>
                <w:szCs w:val="21"/>
              </w:rPr>
              <w:t>1,383,168</w:t>
            </w:r>
          </w:p>
        </w:tc>
        <w:tc>
          <w:tcPr>
            <w:tcW w:w="1077" w:type="dxa"/>
          </w:tcPr>
          <w:p w:rsidR="006E5E40" w:rsidRPr="00C90E5C" w:rsidRDefault="006E5E40" w:rsidP="00DF3777">
            <w:pPr>
              <w:pStyle w:val="121"/>
              <w:jc w:val="right"/>
              <w:rPr>
                <w:sz w:val="21"/>
                <w:szCs w:val="21"/>
              </w:rPr>
            </w:pPr>
            <w:r w:rsidRPr="00C90E5C">
              <w:rPr>
                <w:sz w:val="21"/>
                <w:szCs w:val="21"/>
              </w:rPr>
              <w:t>1,772,289</w:t>
            </w:r>
          </w:p>
        </w:tc>
        <w:tc>
          <w:tcPr>
            <w:tcW w:w="1077" w:type="dxa"/>
          </w:tcPr>
          <w:p w:rsidR="006E5E40" w:rsidRPr="00C90E5C" w:rsidRDefault="006E5E40" w:rsidP="00DF3777">
            <w:pPr>
              <w:pStyle w:val="121"/>
              <w:jc w:val="right"/>
              <w:rPr>
                <w:sz w:val="21"/>
                <w:szCs w:val="21"/>
              </w:rPr>
            </w:pPr>
            <w:r w:rsidRPr="00C90E5C">
              <w:rPr>
                <w:sz w:val="21"/>
                <w:szCs w:val="21"/>
              </w:rPr>
              <w:t>1,478,707</w:t>
            </w:r>
          </w:p>
        </w:tc>
        <w:tc>
          <w:tcPr>
            <w:tcW w:w="1077" w:type="dxa"/>
          </w:tcPr>
          <w:p w:rsidR="006E5E40" w:rsidRPr="008B71DF" w:rsidRDefault="006E5E40" w:rsidP="00DF3777">
            <w:pPr>
              <w:pStyle w:val="121"/>
              <w:jc w:val="right"/>
              <w:rPr>
                <w:sz w:val="21"/>
                <w:szCs w:val="21"/>
              </w:rPr>
            </w:pPr>
            <w:r w:rsidRPr="00535335">
              <w:rPr>
                <w:sz w:val="21"/>
                <w:szCs w:val="21"/>
              </w:rPr>
              <w:t>1,561,691</w:t>
            </w:r>
          </w:p>
        </w:tc>
        <w:tc>
          <w:tcPr>
            <w:tcW w:w="850" w:type="dxa"/>
            <w:vMerge w:val="restart"/>
            <w:vAlign w:val="center"/>
          </w:tcPr>
          <w:p w:rsidR="006E5E40" w:rsidRPr="008B71DF" w:rsidRDefault="006E5E40" w:rsidP="00DF3777">
            <w:pPr>
              <w:pStyle w:val="121"/>
              <w:jc w:val="right"/>
              <w:rPr>
                <w:sz w:val="21"/>
                <w:szCs w:val="21"/>
              </w:rPr>
            </w:pPr>
            <w:r w:rsidRPr="00535335">
              <w:rPr>
                <w:sz w:val="21"/>
                <w:szCs w:val="21"/>
              </w:rPr>
              <w:t>1.76%</w:t>
            </w:r>
          </w:p>
        </w:tc>
        <w:tc>
          <w:tcPr>
            <w:tcW w:w="850" w:type="dxa"/>
            <w:vMerge w:val="restart"/>
            <w:vAlign w:val="center"/>
          </w:tcPr>
          <w:p w:rsidR="006E5E40" w:rsidRPr="008B71DF" w:rsidRDefault="006E5E40" w:rsidP="00DF3777">
            <w:pPr>
              <w:pStyle w:val="121"/>
              <w:jc w:val="right"/>
              <w:rPr>
                <w:sz w:val="21"/>
                <w:szCs w:val="21"/>
              </w:rPr>
            </w:pPr>
            <w:r w:rsidRPr="00535335">
              <w:rPr>
                <w:sz w:val="21"/>
                <w:szCs w:val="21"/>
              </w:rPr>
              <w:t>8.36%</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22.12%</w:t>
            </w:r>
          </w:p>
        </w:tc>
        <w:tc>
          <w:tcPr>
            <w:tcW w:w="1077" w:type="dxa"/>
          </w:tcPr>
          <w:p w:rsidR="006E5E40" w:rsidRPr="00C90E5C" w:rsidRDefault="006E5E40" w:rsidP="00DF3777">
            <w:pPr>
              <w:pStyle w:val="121"/>
              <w:jc w:val="right"/>
              <w:rPr>
                <w:sz w:val="21"/>
                <w:szCs w:val="21"/>
              </w:rPr>
            </w:pPr>
            <w:r w:rsidRPr="00C90E5C">
              <w:rPr>
                <w:sz w:val="21"/>
                <w:szCs w:val="21"/>
              </w:rPr>
              <w:t>28.13%</w:t>
            </w:r>
          </w:p>
        </w:tc>
        <w:tc>
          <w:tcPr>
            <w:tcW w:w="1077" w:type="dxa"/>
          </w:tcPr>
          <w:p w:rsidR="006E5E40" w:rsidRPr="00C90E5C" w:rsidRDefault="006E5E40" w:rsidP="00DF3777">
            <w:pPr>
              <w:pStyle w:val="121"/>
              <w:jc w:val="right"/>
              <w:rPr>
                <w:sz w:val="21"/>
                <w:szCs w:val="21"/>
              </w:rPr>
            </w:pPr>
            <w:r w:rsidRPr="00C90E5C">
              <w:rPr>
                <w:sz w:val="21"/>
                <w:szCs w:val="21"/>
              </w:rPr>
              <w:t>-16.57%</w:t>
            </w:r>
          </w:p>
        </w:tc>
        <w:tc>
          <w:tcPr>
            <w:tcW w:w="1077" w:type="dxa"/>
          </w:tcPr>
          <w:p w:rsidR="006E5E40" w:rsidRPr="008B71DF" w:rsidRDefault="006E5E40" w:rsidP="00DF3777">
            <w:pPr>
              <w:pStyle w:val="121"/>
              <w:jc w:val="right"/>
              <w:rPr>
                <w:sz w:val="21"/>
                <w:szCs w:val="21"/>
              </w:rPr>
            </w:pPr>
            <w:r w:rsidRPr="00535335">
              <w:rPr>
                <w:sz w:val="21"/>
                <w:szCs w:val="21"/>
              </w:rPr>
              <w:t>5.61%</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廣告</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1,182,007</w:t>
            </w:r>
          </w:p>
        </w:tc>
        <w:tc>
          <w:tcPr>
            <w:tcW w:w="1077" w:type="dxa"/>
          </w:tcPr>
          <w:p w:rsidR="006E5E40" w:rsidRPr="00C90E5C" w:rsidRDefault="006E5E40" w:rsidP="00DF3777">
            <w:pPr>
              <w:pStyle w:val="121"/>
              <w:jc w:val="right"/>
              <w:rPr>
                <w:sz w:val="21"/>
                <w:szCs w:val="21"/>
              </w:rPr>
            </w:pPr>
            <w:r w:rsidRPr="00C90E5C">
              <w:rPr>
                <w:sz w:val="21"/>
                <w:szCs w:val="21"/>
              </w:rPr>
              <w:t>1,285,599</w:t>
            </w:r>
          </w:p>
        </w:tc>
        <w:tc>
          <w:tcPr>
            <w:tcW w:w="1077" w:type="dxa"/>
          </w:tcPr>
          <w:p w:rsidR="006E5E40" w:rsidRPr="00C90E5C" w:rsidRDefault="006E5E40" w:rsidP="00DF3777">
            <w:pPr>
              <w:pStyle w:val="121"/>
              <w:jc w:val="right"/>
              <w:rPr>
                <w:sz w:val="21"/>
                <w:szCs w:val="21"/>
              </w:rPr>
            </w:pPr>
            <w:r w:rsidRPr="00C90E5C">
              <w:rPr>
                <w:sz w:val="21"/>
                <w:szCs w:val="21"/>
              </w:rPr>
              <w:t>1,371,980</w:t>
            </w:r>
          </w:p>
        </w:tc>
        <w:tc>
          <w:tcPr>
            <w:tcW w:w="1077" w:type="dxa"/>
          </w:tcPr>
          <w:p w:rsidR="006E5E40" w:rsidRPr="00C90E5C" w:rsidRDefault="006E5E40" w:rsidP="00DF3777">
            <w:pPr>
              <w:pStyle w:val="121"/>
              <w:jc w:val="right"/>
              <w:rPr>
                <w:sz w:val="21"/>
                <w:szCs w:val="21"/>
              </w:rPr>
            </w:pPr>
            <w:r w:rsidRPr="00C90E5C">
              <w:rPr>
                <w:sz w:val="21"/>
                <w:szCs w:val="21"/>
              </w:rPr>
              <w:t>1,535,912</w:t>
            </w:r>
          </w:p>
        </w:tc>
        <w:tc>
          <w:tcPr>
            <w:tcW w:w="1077" w:type="dxa"/>
          </w:tcPr>
          <w:p w:rsidR="006E5E40" w:rsidRPr="008B71DF" w:rsidRDefault="006E5E40" w:rsidP="00DF3777">
            <w:pPr>
              <w:pStyle w:val="121"/>
              <w:jc w:val="right"/>
              <w:rPr>
                <w:sz w:val="21"/>
                <w:szCs w:val="21"/>
              </w:rPr>
            </w:pPr>
            <w:r w:rsidRPr="00212F33">
              <w:rPr>
                <w:sz w:val="21"/>
                <w:szCs w:val="21"/>
              </w:rPr>
              <w:t>1,683,670</w:t>
            </w:r>
          </w:p>
        </w:tc>
        <w:tc>
          <w:tcPr>
            <w:tcW w:w="850" w:type="dxa"/>
            <w:vMerge w:val="restart"/>
            <w:vAlign w:val="center"/>
          </w:tcPr>
          <w:p w:rsidR="006E5E40" w:rsidRPr="008B71DF" w:rsidRDefault="006E5E40" w:rsidP="00DF3777">
            <w:pPr>
              <w:pStyle w:val="121"/>
              <w:jc w:val="right"/>
              <w:rPr>
                <w:sz w:val="21"/>
                <w:szCs w:val="21"/>
              </w:rPr>
            </w:pPr>
            <w:r w:rsidRPr="00212F33">
              <w:rPr>
                <w:sz w:val="21"/>
                <w:szCs w:val="21"/>
              </w:rPr>
              <w:t>1.90%</w:t>
            </w:r>
          </w:p>
        </w:tc>
        <w:tc>
          <w:tcPr>
            <w:tcW w:w="850" w:type="dxa"/>
            <w:vMerge w:val="restart"/>
            <w:vAlign w:val="center"/>
          </w:tcPr>
          <w:p w:rsidR="006E5E40" w:rsidRPr="008B71DF" w:rsidRDefault="006E5E40" w:rsidP="00DF3777">
            <w:pPr>
              <w:pStyle w:val="121"/>
              <w:jc w:val="right"/>
              <w:rPr>
                <w:sz w:val="21"/>
                <w:szCs w:val="21"/>
              </w:rPr>
            </w:pPr>
            <w:r w:rsidRPr="00212F33">
              <w:rPr>
                <w:sz w:val="21"/>
                <w:szCs w:val="21"/>
              </w:rPr>
              <w:t>9.25%</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8.76%</w:t>
            </w:r>
          </w:p>
        </w:tc>
        <w:tc>
          <w:tcPr>
            <w:tcW w:w="1077" w:type="dxa"/>
          </w:tcPr>
          <w:p w:rsidR="006E5E40" w:rsidRPr="00C90E5C" w:rsidRDefault="006E5E40" w:rsidP="00DF3777">
            <w:pPr>
              <w:pStyle w:val="121"/>
              <w:jc w:val="right"/>
              <w:rPr>
                <w:sz w:val="21"/>
                <w:szCs w:val="21"/>
              </w:rPr>
            </w:pPr>
            <w:r w:rsidRPr="00C90E5C">
              <w:rPr>
                <w:sz w:val="21"/>
                <w:szCs w:val="21"/>
              </w:rPr>
              <w:t>6.72%</w:t>
            </w:r>
          </w:p>
        </w:tc>
        <w:tc>
          <w:tcPr>
            <w:tcW w:w="1077" w:type="dxa"/>
          </w:tcPr>
          <w:p w:rsidR="006E5E40" w:rsidRPr="00C90E5C" w:rsidRDefault="006E5E40" w:rsidP="00DF3777">
            <w:pPr>
              <w:pStyle w:val="121"/>
              <w:jc w:val="right"/>
              <w:rPr>
                <w:sz w:val="21"/>
                <w:szCs w:val="21"/>
              </w:rPr>
            </w:pPr>
            <w:r w:rsidRPr="00C90E5C">
              <w:rPr>
                <w:sz w:val="21"/>
                <w:szCs w:val="21"/>
              </w:rPr>
              <w:t>11.95%</w:t>
            </w:r>
          </w:p>
        </w:tc>
        <w:tc>
          <w:tcPr>
            <w:tcW w:w="1077" w:type="dxa"/>
          </w:tcPr>
          <w:p w:rsidR="006E5E40" w:rsidRPr="008B71DF" w:rsidRDefault="006E5E40" w:rsidP="00DF3777">
            <w:pPr>
              <w:pStyle w:val="121"/>
              <w:jc w:val="right"/>
              <w:rPr>
                <w:sz w:val="21"/>
                <w:szCs w:val="21"/>
              </w:rPr>
            </w:pPr>
            <w:r w:rsidRPr="00212F33">
              <w:rPr>
                <w:sz w:val="21"/>
                <w:szCs w:val="21"/>
              </w:rPr>
              <w:t>9.62%</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產品設計</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30,324,614</w:t>
            </w:r>
          </w:p>
        </w:tc>
        <w:tc>
          <w:tcPr>
            <w:tcW w:w="1077" w:type="dxa"/>
          </w:tcPr>
          <w:p w:rsidR="006E5E40" w:rsidRPr="00C90E5C" w:rsidRDefault="006E5E40" w:rsidP="00DF3777">
            <w:pPr>
              <w:pStyle w:val="121"/>
              <w:jc w:val="right"/>
              <w:rPr>
                <w:sz w:val="21"/>
                <w:szCs w:val="21"/>
              </w:rPr>
            </w:pPr>
            <w:r w:rsidRPr="00C90E5C">
              <w:rPr>
                <w:sz w:val="21"/>
                <w:szCs w:val="21"/>
              </w:rPr>
              <w:t>30,199,460</w:t>
            </w:r>
          </w:p>
        </w:tc>
        <w:tc>
          <w:tcPr>
            <w:tcW w:w="1077" w:type="dxa"/>
          </w:tcPr>
          <w:p w:rsidR="006E5E40" w:rsidRPr="00C90E5C" w:rsidRDefault="006E5E40" w:rsidP="00DF3777">
            <w:pPr>
              <w:pStyle w:val="121"/>
              <w:jc w:val="right"/>
              <w:rPr>
                <w:sz w:val="21"/>
                <w:szCs w:val="21"/>
              </w:rPr>
            </w:pPr>
            <w:r w:rsidRPr="00C90E5C">
              <w:rPr>
                <w:sz w:val="21"/>
                <w:szCs w:val="21"/>
              </w:rPr>
              <w:t>34,338,091</w:t>
            </w:r>
          </w:p>
        </w:tc>
        <w:tc>
          <w:tcPr>
            <w:tcW w:w="1077" w:type="dxa"/>
          </w:tcPr>
          <w:p w:rsidR="006E5E40" w:rsidRPr="00C90E5C" w:rsidRDefault="006E5E40" w:rsidP="00DF3777">
            <w:pPr>
              <w:pStyle w:val="121"/>
              <w:jc w:val="right"/>
              <w:rPr>
                <w:sz w:val="21"/>
                <w:szCs w:val="21"/>
              </w:rPr>
            </w:pPr>
            <w:r w:rsidRPr="00C90E5C">
              <w:rPr>
                <w:sz w:val="21"/>
                <w:szCs w:val="21"/>
              </w:rPr>
              <w:t>34,867,392</w:t>
            </w:r>
          </w:p>
        </w:tc>
        <w:tc>
          <w:tcPr>
            <w:tcW w:w="1077" w:type="dxa"/>
          </w:tcPr>
          <w:p w:rsidR="006E5E40" w:rsidRPr="008B71DF" w:rsidRDefault="006E5E40" w:rsidP="00DF3777">
            <w:pPr>
              <w:pStyle w:val="121"/>
              <w:jc w:val="right"/>
              <w:rPr>
                <w:sz w:val="21"/>
                <w:szCs w:val="21"/>
              </w:rPr>
            </w:pPr>
            <w:r w:rsidRPr="00212F33">
              <w:rPr>
                <w:sz w:val="21"/>
                <w:szCs w:val="21"/>
              </w:rPr>
              <w:t>35,138,060</w:t>
            </w:r>
          </w:p>
        </w:tc>
        <w:tc>
          <w:tcPr>
            <w:tcW w:w="850" w:type="dxa"/>
            <w:vMerge w:val="restart"/>
            <w:vAlign w:val="center"/>
          </w:tcPr>
          <w:p w:rsidR="006E5E40" w:rsidRPr="008B71DF" w:rsidRDefault="006E5E40" w:rsidP="00DF3777">
            <w:pPr>
              <w:pStyle w:val="121"/>
              <w:jc w:val="right"/>
              <w:rPr>
                <w:sz w:val="21"/>
                <w:szCs w:val="21"/>
              </w:rPr>
            </w:pPr>
            <w:r w:rsidRPr="00212F33">
              <w:rPr>
                <w:sz w:val="21"/>
                <w:szCs w:val="21"/>
              </w:rPr>
              <w:t>39.67%</w:t>
            </w:r>
          </w:p>
        </w:tc>
        <w:tc>
          <w:tcPr>
            <w:tcW w:w="850" w:type="dxa"/>
            <w:vMerge w:val="restart"/>
            <w:vAlign w:val="center"/>
          </w:tcPr>
          <w:p w:rsidR="006E5E40" w:rsidRPr="008B71DF" w:rsidRDefault="006E5E40" w:rsidP="00DF3777">
            <w:pPr>
              <w:pStyle w:val="121"/>
              <w:jc w:val="right"/>
              <w:rPr>
                <w:sz w:val="21"/>
                <w:szCs w:val="21"/>
              </w:rPr>
            </w:pPr>
            <w:r w:rsidRPr="00212F33">
              <w:rPr>
                <w:sz w:val="21"/>
                <w:szCs w:val="21"/>
              </w:rPr>
              <w:t>3.75%</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-0.41%</w:t>
            </w:r>
          </w:p>
        </w:tc>
        <w:tc>
          <w:tcPr>
            <w:tcW w:w="1077" w:type="dxa"/>
          </w:tcPr>
          <w:p w:rsidR="006E5E40" w:rsidRPr="00C90E5C" w:rsidRDefault="006E5E40" w:rsidP="00DF3777">
            <w:pPr>
              <w:pStyle w:val="121"/>
              <w:jc w:val="right"/>
              <w:rPr>
                <w:sz w:val="21"/>
                <w:szCs w:val="21"/>
              </w:rPr>
            </w:pPr>
            <w:r w:rsidRPr="00C90E5C">
              <w:rPr>
                <w:sz w:val="21"/>
                <w:szCs w:val="21"/>
              </w:rPr>
              <w:t>13.70%</w:t>
            </w:r>
          </w:p>
        </w:tc>
        <w:tc>
          <w:tcPr>
            <w:tcW w:w="1077" w:type="dxa"/>
          </w:tcPr>
          <w:p w:rsidR="006E5E40" w:rsidRPr="00C90E5C" w:rsidRDefault="006E5E40" w:rsidP="00DF3777">
            <w:pPr>
              <w:pStyle w:val="121"/>
              <w:jc w:val="right"/>
              <w:rPr>
                <w:sz w:val="21"/>
                <w:szCs w:val="21"/>
              </w:rPr>
            </w:pPr>
            <w:r w:rsidRPr="00C90E5C">
              <w:rPr>
                <w:sz w:val="21"/>
                <w:szCs w:val="21"/>
              </w:rPr>
              <w:t>1.54%</w:t>
            </w:r>
          </w:p>
        </w:tc>
        <w:tc>
          <w:tcPr>
            <w:tcW w:w="1077" w:type="dxa"/>
          </w:tcPr>
          <w:p w:rsidR="006E5E40" w:rsidRPr="008B71DF" w:rsidRDefault="006E5E40" w:rsidP="00DF3777">
            <w:pPr>
              <w:pStyle w:val="121"/>
              <w:jc w:val="right"/>
              <w:rPr>
                <w:sz w:val="21"/>
                <w:szCs w:val="21"/>
              </w:rPr>
            </w:pPr>
            <w:r w:rsidRPr="00212F33">
              <w:rPr>
                <w:sz w:val="21"/>
                <w:szCs w:val="21"/>
              </w:rPr>
              <w:t>0.78%</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視覺傳達設計</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1,120,977</w:t>
            </w:r>
          </w:p>
        </w:tc>
        <w:tc>
          <w:tcPr>
            <w:tcW w:w="1077" w:type="dxa"/>
          </w:tcPr>
          <w:p w:rsidR="006E5E40" w:rsidRPr="00C90E5C" w:rsidRDefault="006E5E40" w:rsidP="00DF3777">
            <w:pPr>
              <w:pStyle w:val="121"/>
              <w:jc w:val="right"/>
              <w:rPr>
                <w:sz w:val="21"/>
                <w:szCs w:val="21"/>
              </w:rPr>
            </w:pPr>
            <w:r w:rsidRPr="00C90E5C">
              <w:rPr>
                <w:sz w:val="21"/>
                <w:szCs w:val="21"/>
              </w:rPr>
              <w:t>199,993</w:t>
            </w:r>
          </w:p>
        </w:tc>
        <w:tc>
          <w:tcPr>
            <w:tcW w:w="1077" w:type="dxa"/>
          </w:tcPr>
          <w:p w:rsidR="006E5E40" w:rsidRPr="00C90E5C" w:rsidRDefault="006E5E40" w:rsidP="00DF3777">
            <w:pPr>
              <w:pStyle w:val="121"/>
              <w:jc w:val="right"/>
              <w:rPr>
                <w:sz w:val="21"/>
                <w:szCs w:val="21"/>
              </w:rPr>
            </w:pPr>
            <w:r w:rsidRPr="00C90E5C">
              <w:rPr>
                <w:sz w:val="21"/>
                <w:szCs w:val="21"/>
              </w:rPr>
              <w:t>48</w:t>
            </w:r>
            <w:r w:rsidRPr="00C90E5C">
              <w:rPr>
                <w:rFonts w:hint="eastAsia"/>
                <w:sz w:val="21"/>
                <w:szCs w:val="21"/>
              </w:rPr>
              <w:t>,</w:t>
            </w:r>
            <w:r w:rsidRPr="00C90E5C">
              <w:rPr>
                <w:sz w:val="21"/>
                <w:szCs w:val="21"/>
              </w:rPr>
              <w:t>249</w:t>
            </w:r>
          </w:p>
        </w:tc>
        <w:tc>
          <w:tcPr>
            <w:tcW w:w="1077" w:type="dxa"/>
          </w:tcPr>
          <w:p w:rsidR="006E5E40" w:rsidRPr="00C90E5C" w:rsidRDefault="006E5E40" w:rsidP="00DF3777">
            <w:pPr>
              <w:pStyle w:val="121"/>
              <w:jc w:val="right"/>
              <w:rPr>
                <w:sz w:val="21"/>
                <w:szCs w:val="21"/>
              </w:rPr>
            </w:pPr>
            <w:r w:rsidRPr="00C90E5C">
              <w:rPr>
                <w:sz w:val="21"/>
                <w:szCs w:val="21"/>
              </w:rPr>
              <w:t>78,883</w:t>
            </w:r>
          </w:p>
        </w:tc>
        <w:tc>
          <w:tcPr>
            <w:tcW w:w="1077" w:type="dxa"/>
          </w:tcPr>
          <w:p w:rsidR="006E5E40" w:rsidRPr="008B71DF" w:rsidRDefault="006E5E40" w:rsidP="00DF3777">
            <w:pPr>
              <w:pStyle w:val="121"/>
              <w:jc w:val="right"/>
              <w:rPr>
                <w:sz w:val="21"/>
                <w:szCs w:val="21"/>
              </w:rPr>
            </w:pPr>
            <w:r w:rsidRPr="00212F33">
              <w:rPr>
                <w:sz w:val="21"/>
                <w:szCs w:val="21"/>
              </w:rPr>
              <w:t>144,192</w:t>
            </w:r>
          </w:p>
        </w:tc>
        <w:tc>
          <w:tcPr>
            <w:tcW w:w="850" w:type="dxa"/>
            <w:vMerge w:val="restart"/>
            <w:vAlign w:val="center"/>
          </w:tcPr>
          <w:p w:rsidR="006E5E40" w:rsidRPr="008B71DF" w:rsidRDefault="006E5E40" w:rsidP="00DF3777">
            <w:pPr>
              <w:pStyle w:val="121"/>
              <w:jc w:val="right"/>
              <w:rPr>
                <w:sz w:val="21"/>
                <w:szCs w:val="21"/>
              </w:rPr>
            </w:pPr>
            <w:r w:rsidRPr="00212F33">
              <w:rPr>
                <w:sz w:val="21"/>
                <w:szCs w:val="21"/>
              </w:rPr>
              <w:t>0.16%</w:t>
            </w:r>
          </w:p>
        </w:tc>
        <w:tc>
          <w:tcPr>
            <w:tcW w:w="850" w:type="dxa"/>
            <w:vMerge w:val="restart"/>
            <w:vAlign w:val="center"/>
          </w:tcPr>
          <w:p w:rsidR="006E5E40" w:rsidRPr="008B71DF" w:rsidRDefault="006E5E40" w:rsidP="00DF3777">
            <w:pPr>
              <w:pStyle w:val="121"/>
              <w:jc w:val="right"/>
              <w:rPr>
                <w:sz w:val="21"/>
                <w:szCs w:val="21"/>
              </w:rPr>
            </w:pPr>
            <w:r w:rsidRPr="00212F33">
              <w:rPr>
                <w:sz w:val="21"/>
                <w:szCs w:val="21"/>
              </w:rPr>
              <w:t>-40.11%</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-82.16%</w:t>
            </w:r>
          </w:p>
        </w:tc>
        <w:tc>
          <w:tcPr>
            <w:tcW w:w="1077" w:type="dxa"/>
          </w:tcPr>
          <w:p w:rsidR="006E5E40" w:rsidRPr="00C90E5C" w:rsidRDefault="006E5E40" w:rsidP="00DF3777">
            <w:pPr>
              <w:pStyle w:val="121"/>
              <w:jc w:val="right"/>
              <w:rPr>
                <w:sz w:val="21"/>
                <w:szCs w:val="21"/>
              </w:rPr>
            </w:pPr>
            <w:r w:rsidRPr="00C90E5C">
              <w:rPr>
                <w:sz w:val="21"/>
                <w:szCs w:val="21"/>
              </w:rPr>
              <w:t>-75.87%</w:t>
            </w:r>
          </w:p>
        </w:tc>
        <w:tc>
          <w:tcPr>
            <w:tcW w:w="1077" w:type="dxa"/>
          </w:tcPr>
          <w:p w:rsidR="006E5E40" w:rsidRPr="00C90E5C" w:rsidRDefault="006E5E40" w:rsidP="00DF3777">
            <w:pPr>
              <w:pStyle w:val="121"/>
              <w:jc w:val="right"/>
              <w:rPr>
                <w:sz w:val="21"/>
                <w:szCs w:val="21"/>
              </w:rPr>
            </w:pPr>
            <w:r w:rsidRPr="00C90E5C">
              <w:rPr>
                <w:sz w:val="21"/>
                <w:szCs w:val="21"/>
              </w:rPr>
              <w:t>63.49%</w:t>
            </w:r>
          </w:p>
        </w:tc>
        <w:tc>
          <w:tcPr>
            <w:tcW w:w="1077" w:type="dxa"/>
          </w:tcPr>
          <w:p w:rsidR="006E5E40" w:rsidRPr="008B71DF" w:rsidRDefault="006E5E40" w:rsidP="00DF3777">
            <w:pPr>
              <w:pStyle w:val="121"/>
              <w:jc w:val="right"/>
              <w:rPr>
                <w:sz w:val="21"/>
                <w:szCs w:val="21"/>
              </w:rPr>
            </w:pPr>
            <w:r w:rsidRPr="00212F33">
              <w:rPr>
                <w:sz w:val="21"/>
                <w:szCs w:val="21"/>
              </w:rPr>
              <w:t>82.79%</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設計品牌時尚</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733</w:t>
            </w:r>
          </w:p>
        </w:tc>
        <w:tc>
          <w:tcPr>
            <w:tcW w:w="1077" w:type="dxa"/>
          </w:tcPr>
          <w:p w:rsidR="006E5E40" w:rsidRPr="00C90E5C" w:rsidRDefault="006E5E40" w:rsidP="00DF3777">
            <w:pPr>
              <w:pStyle w:val="121"/>
              <w:jc w:val="right"/>
              <w:rPr>
                <w:sz w:val="21"/>
                <w:szCs w:val="21"/>
              </w:rPr>
            </w:pPr>
            <w:r w:rsidRPr="00C90E5C">
              <w:rPr>
                <w:sz w:val="21"/>
                <w:szCs w:val="21"/>
              </w:rPr>
              <w:t>368</w:t>
            </w:r>
          </w:p>
        </w:tc>
        <w:tc>
          <w:tcPr>
            <w:tcW w:w="1077" w:type="dxa"/>
          </w:tcPr>
          <w:p w:rsidR="006E5E40" w:rsidRPr="00C90E5C" w:rsidRDefault="006E5E40" w:rsidP="00DF3777">
            <w:pPr>
              <w:pStyle w:val="121"/>
              <w:jc w:val="right"/>
              <w:rPr>
                <w:sz w:val="21"/>
                <w:szCs w:val="21"/>
              </w:rPr>
            </w:pPr>
            <w:r w:rsidRPr="00C90E5C">
              <w:rPr>
                <w:sz w:val="21"/>
                <w:szCs w:val="21"/>
              </w:rPr>
              <w:t>2,676</w:t>
            </w:r>
          </w:p>
        </w:tc>
        <w:tc>
          <w:tcPr>
            <w:tcW w:w="1077" w:type="dxa"/>
          </w:tcPr>
          <w:p w:rsidR="006E5E40" w:rsidRPr="00C90E5C" w:rsidRDefault="006E5E40" w:rsidP="00DF3777">
            <w:pPr>
              <w:pStyle w:val="121"/>
              <w:jc w:val="right"/>
              <w:rPr>
                <w:sz w:val="21"/>
                <w:szCs w:val="21"/>
              </w:rPr>
            </w:pPr>
            <w:r w:rsidRPr="00C90E5C">
              <w:rPr>
                <w:sz w:val="21"/>
                <w:szCs w:val="21"/>
              </w:rPr>
              <w:t>11,232</w:t>
            </w:r>
          </w:p>
        </w:tc>
        <w:tc>
          <w:tcPr>
            <w:tcW w:w="1077" w:type="dxa"/>
          </w:tcPr>
          <w:p w:rsidR="006E5E40" w:rsidRPr="008B71DF" w:rsidRDefault="006E5E40" w:rsidP="00DF3777">
            <w:pPr>
              <w:pStyle w:val="121"/>
              <w:jc w:val="right"/>
              <w:rPr>
                <w:sz w:val="21"/>
                <w:szCs w:val="21"/>
              </w:rPr>
            </w:pPr>
            <w:r w:rsidRPr="00DA7A8E">
              <w:rPr>
                <w:sz w:val="21"/>
                <w:szCs w:val="21"/>
              </w:rPr>
              <w:t>12,038</w:t>
            </w:r>
          </w:p>
        </w:tc>
        <w:tc>
          <w:tcPr>
            <w:tcW w:w="850" w:type="dxa"/>
            <w:vMerge w:val="restart"/>
            <w:vAlign w:val="center"/>
          </w:tcPr>
          <w:p w:rsidR="006E5E40" w:rsidRPr="008B71DF" w:rsidRDefault="006E5E40" w:rsidP="00DF3777">
            <w:pPr>
              <w:pStyle w:val="121"/>
              <w:jc w:val="right"/>
              <w:rPr>
                <w:sz w:val="21"/>
                <w:szCs w:val="21"/>
              </w:rPr>
            </w:pPr>
            <w:r w:rsidRPr="00DA7A8E">
              <w:rPr>
                <w:sz w:val="21"/>
                <w:szCs w:val="21"/>
              </w:rPr>
              <w:t>0.01%</w:t>
            </w:r>
          </w:p>
        </w:tc>
        <w:tc>
          <w:tcPr>
            <w:tcW w:w="850" w:type="dxa"/>
            <w:vMerge w:val="restart"/>
            <w:vAlign w:val="center"/>
          </w:tcPr>
          <w:p w:rsidR="006E5E40" w:rsidRPr="008B71DF" w:rsidRDefault="006E5E40" w:rsidP="00DF3777">
            <w:pPr>
              <w:pStyle w:val="121"/>
              <w:jc w:val="right"/>
              <w:rPr>
                <w:sz w:val="21"/>
                <w:szCs w:val="21"/>
              </w:rPr>
            </w:pPr>
            <w:r w:rsidRPr="00DA7A8E">
              <w:rPr>
                <w:sz w:val="21"/>
                <w:szCs w:val="21"/>
              </w:rPr>
              <w:t>101.29%</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-49.82%</w:t>
            </w:r>
          </w:p>
        </w:tc>
        <w:tc>
          <w:tcPr>
            <w:tcW w:w="1077" w:type="dxa"/>
          </w:tcPr>
          <w:p w:rsidR="006E5E40" w:rsidRPr="00C90E5C" w:rsidRDefault="006E5E40" w:rsidP="00DF3777">
            <w:pPr>
              <w:pStyle w:val="121"/>
              <w:jc w:val="right"/>
              <w:rPr>
                <w:sz w:val="21"/>
                <w:szCs w:val="21"/>
              </w:rPr>
            </w:pPr>
            <w:r w:rsidRPr="00C90E5C">
              <w:rPr>
                <w:sz w:val="21"/>
                <w:szCs w:val="21"/>
              </w:rPr>
              <w:t>627.31%</w:t>
            </w:r>
          </w:p>
        </w:tc>
        <w:tc>
          <w:tcPr>
            <w:tcW w:w="1077" w:type="dxa"/>
          </w:tcPr>
          <w:p w:rsidR="006E5E40" w:rsidRPr="00C90E5C" w:rsidRDefault="006E5E40" w:rsidP="00DF3777">
            <w:pPr>
              <w:pStyle w:val="121"/>
              <w:jc w:val="right"/>
              <w:rPr>
                <w:sz w:val="21"/>
                <w:szCs w:val="21"/>
              </w:rPr>
            </w:pPr>
            <w:r w:rsidRPr="00C90E5C">
              <w:rPr>
                <w:sz w:val="21"/>
                <w:szCs w:val="21"/>
              </w:rPr>
              <w:t>319.67%</w:t>
            </w:r>
          </w:p>
        </w:tc>
        <w:tc>
          <w:tcPr>
            <w:tcW w:w="1077" w:type="dxa"/>
          </w:tcPr>
          <w:p w:rsidR="006E5E40" w:rsidRPr="008B71DF" w:rsidRDefault="006E5E40" w:rsidP="00DF3777">
            <w:pPr>
              <w:pStyle w:val="121"/>
              <w:jc w:val="right"/>
              <w:rPr>
                <w:sz w:val="21"/>
                <w:szCs w:val="21"/>
              </w:rPr>
            </w:pPr>
            <w:r w:rsidRPr="00DA7A8E">
              <w:rPr>
                <w:sz w:val="21"/>
                <w:szCs w:val="21"/>
              </w:rPr>
              <w:t>7.18%</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建築設計</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326,893</w:t>
            </w:r>
          </w:p>
        </w:tc>
        <w:tc>
          <w:tcPr>
            <w:tcW w:w="1077" w:type="dxa"/>
          </w:tcPr>
          <w:p w:rsidR="006E5E40" w:rsidRPr="00C90E5C" w:rsidRDefault="006E5E40" w:rsidP="00DF3777">
            <w:pPr>
              <w:pStyle w:val="121"/>
              <w:jc w:val="right"/>
              <w:rPr>
                <w:sz w:val="21"/>
                <w:szCs w:val="21"/>
              </w:rPr>
            </w:pPr>
            <w:r w:rsidRPr="00C90E5C">
              <w:rPr>
                <w:sz w:val="21"/>
                <w:szCs w:val="21"/>
              </w:rPr>
              <w:t>347,238</w:t>
            </w:r>
          </w:p>
        </w:tc>
        <w:tc>
          <w:tcPr>
            <w:tcW w:w="1077" w:type="dxa"/>
          </w:tcPr>
          <w:p w:rsidR="006E5E40" w:rsidRPr="00C90E5C" w:rsidRDefault="006E5E40" w:rsidP="00DF3777">
            <w:pPr>
              <w:pStyle w:val="121"/>
              <w:jc w:val="right"/>
              <w:rPr>
                <w:sz w:val="21"/>
                <w:szCs w:val="21"/>
              </w:rPr>
            </w:pPr>
            <w:r w:rsidRPr="00C90E5C">
              <w:rPr>
                <w:sz w:val="21"/>
                <w:szCs w:val="21"/>
              </w:rPr>
              <w:t>342,389</w:t>
            </w:r>
          </w:p>
        </w:tc>
        <w:tc>
          <w:tcPr>
            <w:tcW w:w="1077" w:type="dxa"/>
          </w:tcPr>
          <w:p w:rsidR="006E5E40" w:rsidRPr="00C90E5C" w:rsidRDefault="006E5E40" w:rsidP="00DF3777">
            <w:pPr>
              <w:pStyle w:val="121"/>
              <w:jc w:val="right"/>
              <w:rPr>
                <w:sz w:val="21"/>
                <w:szCs w:val="21"/>
              </w:rPr>
            </w:pPr>
            <w:r w:rsidRPr="00C90E5C">
              <w:rPr>
                <w:sz w:val="21"/>
                <w:szCs w:val="21"/>
              </w:rPr>
              <w:t>581,887</w:t>
            </w:r>
          </w:p>
        </w:tc>
        <w:tc>
          <w:tcPr>
            <w:tcW w:w="1077" w:type="dxa"/>
          </w:tcPr>
          <w:p w:rsidR="006E5E40" w:rsidRPr="00DA7A8E" w:rsidRDefault="006E5E40" w:rsidP="00DF3777">
            <w:pPr>
              <w:pStyle w:val="121"/>
              <w:jc w:val="right"/>
              <w:rPr>
                <w:sz w:val="21"/>
                <w:szCs w:val="21"/>
              </w:rPr>
            </w:pPr>
            <w:r w:rsidRPr="00DA7A8E">
              <w:rPr>
                <w:sz w:val="21"/>
                <w:szCs w:val="21"/>
              </w:rPr>
              <w:t>397,267</w:t>
            </w:r>
          </w:p>
        </w:tc>
        <w:tc>
          <w:tcPr>
            <w:tcW w:w="850" w:type="dxa"/>
            <w:vMerge w:val="restart"/>
            <w:vAlign w:val="center"/>
          </w:tcPr>
          <w:p w:rsidR="006E5E40" w:rsidRPr="008B71DF" w:rsidRDefault="006E5E40" w:rsidP="00DF3777">
            <w:pPr>
              <w:pStyle w:val="121"/>
              <w:jc w:val="right"/>
              <w:rPr>
                <w:sz w:val="21"/>
                <w:szCs w:val="21"/>
              </w:rPr>
            </w:pPr>
            <w:r w:rsidRPr="00DA7A8E">
              <w:rPr>
                <w:sz w:val="21"/>
                <w:szCs w:val="21"/>
              </w:rPr>
              <w:t>0.45%</w:t>
            </w:r>
          </w:p>
        </w:tc>
        <w:tc>
          <w:tcPr>
            <w:tcW w:w="850" w:type="dxa"/>
            <w:vMerge w:val="restart"/>
            <w:vAlign w:val="center"/>
          </w:tcPr>
          <w:p w:rsidR="006E5E40" w:rsidRPr="008B71DF" w:rsidRDefault="006E5E40" w:rsidP="00DF3777">
            <w:pPr>
              <w:pStyle w:val="121"/>
              <w:jc w:val="right"/>
              <w:rPr>
                <w:sz w:val="21"/>
                <w:szCs w:val="21"/>
              </w:rPr>
            </w:pPr>
            <w:r w:rsidRPr="00DA7A8E">
              <w:rPr>
                <w:sz w:val="21"/>
                <w:szCs w:val="21"/>
              </w:rPr>
              <w:t>5.00%</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6.22%</w:t>
            </w:r>
          </w:p>
        </w:tc>
        <w:tc>
          <w:tcPr>
            <w:tcW w:w="1077" w:type="dxa"/>
          </w:tcPr>
          <w:p w:rsidR="006E5E40" w:rsidRPr="00C90E5C" w:rsidRDefault="006E5E40" w:rsidP="00DF3777">
            <w:pPr>
              <w:pStyle w:val="121"/>
              <w:jc w:val="right"/>
              <w:rPr>
                <w:sz w:val="21"/>
                <w:szCs w:val="21"/>
              </w:rPr>
            </w:pPr>
            <w:r w:rsidRPr="00C90E5C">
              <w:rPr>
                <w:sz w:val="21"/>
                <w:szCs w:val="21"/>
              </w:rPr>
              <w:t>-1.40%</w:t>
            </w:r>
          </w:p>
        </w:tc>
        <w:tc>
          <w:tcPr>
            <w:tcW w:w="1077" w:type="dxa"/>
          </w:tcPr>
          <w:p w:rsidR="006E5E40" w:rsidRPr="00C90E5C" w:rsidRDefault="006E5E40" w:rsidP="00DF3777">
            <w:pPr>
              <w:pStyle w:val="121"/>
              <w:jc w:val="right"/>
              <w:rPr>
                <w:sz w:val="21"/>
                <w:szCs w:val="21"/>
              </w:rPr>
            </w:pPr>
            <w:r w:rsidRPr="00C90E5C">
              <w:rPr>
                <w:sz w:val="21"/>
                <w:szCs w:val="21"/>
              </w:rPr>
              <w:t>69.95%</w:t>
            </w:r>
          </w:p>
        </w:tc>
        <w:tc>
          <w:tcPr>
            <w:tcW w:w="1077" w:type="dxa"/>
          </w:tcPr>
          <w:p w:rsidR="006E5E40" w:rsidRPr="00DA7A8E" w:rsidRDefault="006E5E40" w:rsidP="00DF3777">
            <w:pPr>
              <w:pStyle w:val="121"/>
              <w:jc w:val="right"/>
              <w:rPr>
                <w:sz w:val="21"/>
                <w:szCs w:val="21"/>
              </w:rPr>
            </w:pPr>
            <w:r w:rsidRPr="00DA7A8E">
              <w:rPr>
                <w:sz w:val="21"/>
                <w:szCs w:val="21"/>
              </w:rPr>
              <w:t>-31.73%</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數位內容</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12,188,629</w:t>
            </w:r>
          </w:p>
        </w:tc>
        <w:tc>
          <w:tcPr>
            <w:tcW w:w="1077" w:type="dxa"/>
          </w:tcPr>
          <w:p w:rsidR="006E5E40" w:rsidRPr="00C90E5C" w:rsidRDefault="006E5E40" w:rsidP="00DF3777">
            <w:pPr>
              <w:pStyle w:val="121"/>
              <w:jc w:val="right"/>
              <w:rPr>
                <w:sz w:val="21"/>
                <w:szCs w:val="21"/>
              </w:rPr>
            </w:pPr>
            <w:r w:rsidRPr="00C90E5C">
              <w:rPr>
                <w:sz w:val="21"/>
                <w:szCs w:val="21"/>
              </w:rPr>
              <w:t>13,117,282</w:t>
            </w:r>
          </w:p>
        </w:tc>
        <w:tc>
          <w:tcPr>
            <w:tcW w:w="1077" w:type="dxa"/>
          </w:tcPr>
          <w:p w:rsidR="006E5E40" w:rsidRPr="00C90E5C" w:rsidRDefault="006E5E40" w:rsidP="00DF3777">
            <w:pPr>
              <w:pStyle w:val="121"/>
              <w:jc w:val="right"/>
              <w:rPr>
                <w:sz w:val="21"/>
                <w:szCs w:val="21"/>
              </w:rPr>
            </w:pPr>
            <w:r w:rsidRPr="00C90E5C">
              <w:rPr>
                <w:sz w:val="21"/>
                <w:szCs w:val="21"/>
              </w:rPr>
              <w:t>15,697,550</w:t>
            </w:r>
          </w:p>
        </w:tc>
        <w:tc>
          <w:tcPr>
            <w:tcW w:w="1077" w:type="dxa"/>
          </w:tcPr>
          <w:p w:rsidR="006E5E40" w:rsidRPr="00C90E5C" w:rsidRDefault="006E5E40" w:rsidP="00DF3777">
            <w:pPr>
              <w:pStyle w:val="121"/>
              <w:jc w:val="right"/>
              <w:rPr>
                <w:sz w:val="21"/>
                <w:szCs w:val="21"/>
              </w:rPr>
            </w:pPr>
            <w:r w:rsidRPr="00C90E5C">
              <w:rPr>
                <w:sz w:val="21"/>
                <w:szCs w:val="21"/>
              </w:rPr>
              <w:t>17,099,359</w:t>
            </w:r>
          </w:p>
        </w:tc>
        <w:tc>
          <w:tcPr>
            <w:tcW w:w="1077" w:type="dxa"/>
          </w:tcPr>
          <w:p w:rsidR="006E5E40" w:rsidRPr="008B71DF" w:rsidRDefault="006E5E40" w:rsidP="00DF3777">
            <w:pPr>
              <w:pStyle w:val="121"/>
              <w:jc w:val="right"/>
              <w:rPr>
                <w:sz w:val="21"/>
                <w:szCs w:val="21"/>
              </w:rPr>
            </w:pPr>
            <w:r w:rsidRPr="00E22BA5">
              <w:rPr>
                <w:sz w:val="21"/>
                <w:szCs w:val="21"/>
              </w:rPr>
              <w:t>18,993,709</w:t>
            </w:r>
          </w:p>
        </w:tc>
        <w:tc>
          <w:tcPr>
            <w:tcW w:w="850" w:type="dxa"/>
            <w:vMerge w:val="restart"/>
            <w:vAlign w:val="center"/>
          </w:tcPr>
          <w:p w:rsidR="006E5E40" w:rsidRPr="008B71DF" w:rsidRDefault="006E5E40" w:rsidP="00DF3777">
            <w:pPr>
              <w:pStyle w:val="121"/>
              <w:jc w:val="right"/>
              <w:rPr>
                <w:sz w:val="21"/>
                <w:szCs w:val="21"/>
              </w:rPr>
            </w:pPr>
            <w:r w:rsidRPr="00E22BA5">
              <w:rPr>
                <w:sz w:val="21"/>
                <w:szCs w:val="21"/>
              </w:rPr>
              <w:t>21.44%</w:t>
            </w:r>
          </w:p>
        </w:tc>
        <w:tc>
          <w:tcPr>
            <w:tcW w:w="850" w:type="dxa"/>
            <w:vMerge w:val="restart"/>
            <w:vAlign w:val="center"/>
          </w:tcPr>
          <w:p w:rsidR="006E5E40" w:rsidRPr="008B71DF" w:rsidRDefault="006E5E40" w:rsidP="00DF3777">
            <w:pPr>
              <w:pStyle w:val="121"/>
              <w:jc w:val="right"/>
              <w:rPr>
                <w:sz w:val="21"/>
                <w:szCs w:val="21"/>
              </w:rPr>
            </w:pPr>
            <w:r w:rsidRPr="00E22BA5">
              <w:rPr>
                <w:sz w:val="21"/>
                <w:szCs w:val="21"/>
              </w:rPr>
              <w:t>11.73%</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7.62%</w:t>
            </w:r>
          </w:p>
        </w:tc>
        <w:tc>
          <w:tcPr>
            <w:tcW w:w="1077" w:type="dxa"/>
          </w:tcPr>
          <w:p w:rsidR="006E5E40" w:rsidRPr="00C90E5C" w:rsidRDefault="006E5E40" w:rsidP="00DF3777">
            <w:pPr>
              <w:pStyle w:val="121"/>
              <w:jc w:val="right"/>
              <w:rPr>
                <w:sz w:val="21"/>
                <w:szCs w:val="21"/>
              </w:rPr>
            </w:pPr>
            <w:r w:rsidRPr="00C90E5C">
              <w:rPr>
                <w:sz w:val="21"/>
                <w:szCs w:val="21"/>
              </w:rPr>
              <w:t>19.67%</w:t>
            </w:r>
          </w:p>
        </w:tc>
        <w:tc>
          <w:tcPr>
            <w:tcW w:w="1077" w:type="dxa"/>
          </w:tcPr>
          <w:p w:rsidR="006E5E40" w:rsidRPr="00C90E5C" w:rsidRDefault="006E5E40" w:rsidP="00DF3777">
            <w:pPr>
              <w:pStyle w:val="121"/>
              <w:jc w:val="right"/>
              <w:rPr>
                <w:sz w:val="21"/>
                <w:szCs w:val="21"/>
              </w:rPr>
            </w:pPr>
            <w:r w:rsidRPr="00C90E5C">
              <w:rPr>
                <w:sz w:val="21"/>
                <w:szCs w:val="21"/>
              </w:rPr>
              <w:t>8.93%</w:t>
            </w:r>
          </w:p>
        </w:tc>
        <w:tc>
          <w:tcPr>
            <w:tcW w:w="1077" w:type="dxa"/>
          </w:tcPr>
          <w:p w:rsidR="006E5E40" w:rsidRPr="008B71DF" w:rsidRDefault="006E5E40" w:rsidP="00DF3777">
            <w:pPr>
              <w:pStyle w:val="121"/>
              <w:jc w:val="right"/>
              <w:rPr>
                <w:sz w:val="21"/>
                <w:szCs w:val="21"/>
              </w:rPr>
            </w:pPr>
            <w:r w:rsidRPr="00E22BA5">
              <w:rPr>
                <w:sz w:val="21"/>
                <w:szCs w:val="21"/>
              </w:rPr>
              <w:t>11.08%</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創意生活</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10,451,321</w:t>
            </w:r>
          </w:p>
        </w:tc>
        <w:tc>
          <w:tcPr>
            <w:tcW w:w="1077" w:type="dxa"/>
          </w:tcPr>
          <w:p w:rsidR="006E5E40" w:rsidRPr="00C90E5C" w:rsidRDefault="006E5E40" w:rsidP="00DF3777">
            <w:pPr>
              <w:pStyle w:val="121"/>
              <w:jc w:val="right"/>
              <w:rPr>
                <w:sz w:val="21"/>
                <w:szCs w:val="21"/>
              </w:rPr>
            </w:pPr>
            <w:r w:rsidRPr="00C90E5C">
              <w:rPr>
                <w:sz w:val="21"/>
                <w:szCs w:val="21"/>
              </w:rPr>
              <w:t>11,967,565</w:t>
            </w:r>
          </w:p>
        </w:tc>
        <w:tc>
          <w:tcPr>
            <w:tcW w:w="1077" w:type="dxa"/>
          </w:tcPr>
          <w:p w:rsidR="006E5E40" w:rsidRPr="00C90E5C" w:rsidRDefault="006E5E40" w:rsidP="00DF3777">
            <w:pPr>
              <w:pStyle w:val="121"/>
              <w:jc w:val="right"/>
              <w:rPr>
                <w:sz w:val="21"/>
                <w:szCs w:val="21"/>
              </w:rPr>
            </w:pPr>
            <w:r w:rsidRPr="00C90E5C">
              <w:rPr>
                <w:sz w:val="21"/>
                <w:szCs w:val="21"/>
              </w:rPr>
              <w:t>10,911,734</w:t>
            </w:r>
          </w:p>
        </w:tc>
        <w:tc>
          <w:tcPr>
            <w:tcW w:w="1077" w:type="dxa"/>
          </w:tcPr>
          <w:p w:rsidR="006E5E40" w:rsidRPr="00C90E5C" w:rsidRDefault="006E5E40" w:rsidP="00DF3777">
            <w:pPr>
              <w:pStyle w:val="121"/>
              <w:jc w:val="right"/>
              <w:rPr>
                <w:sz w:val="21"/>
                <w:szCs w:val="21"/>
              </w:rPr>
            </w:pPr>
            <w:r w:rsidRPr="00C90E5C">
              <w:rPr>
                <w:sz w:val="21"/>
                <w:szCs w:val="21"/>
              </w:rPr>
              <w:t>11,709,334</w:t>
            </w:r>
          </w:p>
        </w:tc>
        <w:tc>
          <w:tcPr>
            <w:tcW w:w="1077" w:type="dxa"/>
          </w:tcPr>
          <w:p w:rsidR="006E5E40" w:rsidRPr="00E22BA5" w:rsidRDefault="006E5E40" w:rsidP="00DF3777">
            <w:pPr>
              <w:pStyle w:val="121"/>
              <w:jc w:val="right"/>
              <w:rPr>
                <w:sz w:val="21"/>
                <w:szCs w:val="21"/>
              </w:rPr>
            </w:pPr>
            <w:r w:rsidRPr="00E22BA5">
              <w:rPr>
                <w:sz w:val="21"/>
                <w:szCs w:val="21"/>
              </w:rPr>
              <w:t>10,244,373</w:t>
            </w:r>
          </w:p>
        </w:tc>
        <w:tc>
          <w:tcPr>
            <w:tcW w:w="850" w:type="dxa"/>
            <w:vMerge w:val="restart"/>
            <w:vAlign w:val="center"/>
          </w:tcPr>
          <w:p w:rsidR="006E5E40" w:rsidRPr="008B71DF" w:rsidRDefault="006E5E40" w:rsidP="00DF3777">
            <w:pPr>
              <w:pStyle w:val="121"/>
              <w:jc w:val="right"/>
              <w:rPr>
                <w:sz w:val="21"/>
                <w:szCs w:val="21"/>
              </w:rPr>
            </w:pPr>
            <w:r w:rsidRPr="00E22BA5">
              <w:rPr>
                <w:sz w:val="21"/>
                <w:szCs w:val="21"/>
              </w:rPr>
              <w:t>11.57%</w:t>
            </w:r>
          </w:p>
        </w:tc>
        <w:tc>
          <w:tcPr>
            <w:tcW w:w="850" w:type="dxa"/>
            <w:vMerge w:val="restart"/>
            <w:vAlign w:val="center"/>
          </w:tcPr>
          <w:p w:rsidR="006E5E40" w:rsidRPr="008B71DF" w:rsidRDefault="006E5E40" w:rsidP="00DF3777">
            <w:pPr>
              <w:pStyle w:val="121"/>
              <w:jc w:val="right"/>
              <w:rPr>
                <w:sz w:val="21"/>
                <w:szCs w:val="21"/>
              </w:rPr>
            </w:pPr>
            <w:r w:rsidRPr="00E22BA5">
              <w:rPr>
                <w:sz w:val="21"/>
                <w:szCs w:val="21"/>
              </w:rPr>
              <w:t>-0.50%</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14.51%</w:t>
            </w:r>
          </w:p>
        </w:tc>
        <w:tc>
          <w:tcPr>
            <w:tcW w:w="1077" w:type="dxa"/>
          </w:tcPr>
          <w:p w:rsidR="006E5E40" w:rsidRPr="00C90E5C" w:rsidRDefault="006E5E40" w:rsidP="00DF3777">
            <w:pPr>
              <w:pStyle w:val="121"/>
              <w:jc w:val="right"/>
              <w:rPr>
                <w:sz w:val="21"/>
                <w:szCs w:val="21"/>
              </w:rPr>
            </w:pPr>
            <w:r w:rsidRPr="00C90E5C">
              <w:rPr>
                <w:sz w:val="21"/>
                <w:szCs w:val="21"/>
              </w:rPr>
              <w:t>-8.82%</w:t>
            </w:r>
          </w:p>
        </w:tc>
        <w:tc>
          <w:tcPr>
            <w:tcW w:w="1077" w:type="dxa"/>
          </w:tcPr>
          <w:p w:rsidR="006E5E40" w:rsidRPr="00C90E5C" w:rsidRDefault="006E5E40" w:rsidP="00DF3777">
            <w:pPr>
              <w:pStyle w:val="121"/>
              <w:jc w:val="right"/>
              <w:rPr>
                <w:sz w:val="21"/>
                <w:szCs w:val="21"/>
              </w:rPr>
            </w:pPr>
            <w:r w:rsidRPr="00C90E5C">
              <w:rPr>
                <w:sz w:val="21"/>
                <w:szCs w:val="21"/>
              </w:rPr>
              <w:t>7.31%</w:t>
            </w:r>
          </w:p>
        </w:tc>
        <w:tc>
          <w:tcPr>
            <w:tcW w:w="1077" w:type="dxa"/>
          </w:tcPr>
          <w:p w:rsidR="006E5E40" w:rsidRPr="00E22BA5" w:rsidRDefault="006E5E40" w:rsidP="00DF3777">
            <w:pPr>
              <w:pStyle w:val="121"/>
              <w:jc w:val="right"/>
              <w:rPr>
                <w:sz w:val="21"/>
                <w:szCs w:val="21"/>
              </w:rPr>
            </w:pPr>
            <w:r w:rsidRPr="00E22BA5">
              <w:rPr>
                <w:sz w:val="21"/>
                <w:szCs w:val="21"/>
              </w:rPr>
              <w:t>-12.51%</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r w:rsidR="006E5E40" w:rsidRPr="008B71DF" w:rsidTr="00DF3777">
        <w:tc>
          <w:tcPr>
            <w:tcW w:w="850" w:type="dxa"/>
            <w:vMerge w:val="restart"/>
            <w:vAlign w:val="center"/>
          </w:tcPr>
          <w:p w:rsidR="006E5E40" w:rsidRPr="008B71DF" w:rsidRDefault="006E5E40" w:rsidP="00DF3777">
            <w:pPr>
              <w:pStyle w:val="121"/>
              <w:rPr>
                <w:sz w:val="21"/>
                <w:szCs w:val="21"/>
              </w:rPr>
            </w:pPr>
            <w:r w:rsidRPr="008B71DF">
              <w:rPr>
                <w:rFonts w:hint="eastAsia"/>
                <w:sz w:val="21"/>
                <w:szCs w:val="21"/>
              </w:rPr>
              <w:t>整體</w:t>
            </w:r>
          </w:p>
        </w:tc>
        <w:tc>
          <w:tcPr>
            <w:tcW w:w="850" w:type="dxa"/>
          </w:tcPr>
          <w:p w:rsidR="006E5E40" w:rsidRPr="008B71DF" w:rsidRDefault="006E5E40" w:rsidP="00DF3777">
            <w:pPr>
              <w:pStyle w:val="121"/>
              <w:rPr>
                <w:sz w:val="21"/>
                <w:szCs w:val="21"/>
              </w:rPr>
            </w:pPr>
            <w:r w:rsidRPr="008B71DF">
              <w:rPr>
                <w:rFonts w:hint="eastAsia"/>
                <w:sz w:val="21"/>
                <w:szCs w:val="21"/>
              </w:rPr>
              <w:t>外銷金額</w:t>
            </w:r>
          </w:p>
        </w:tc>
        <w:tc>
          <w:tcPr>
            <w:tcW w:w="1134" w:type="dxa"/>
          </w:tcPr>
          <w:p w:rsidR="006E5E40" w:rsidRPr="00C90E5C" w:rsidRDefault="006E5E40" w:rsidP="00DF3777">
            <w:pPr>
              <w:pStyle w:val="121"/>
              <w:jc w:val="right"/>
              <w:rPr>
                <w:sz w:val="21"/>
                <w:szCs w:val="21"/>
              </w:rPr>
            </w:pPr>
            <w:r w:rsidRPr="00C90E5C">
              <w:rPr>
                <w:sz w:val="21"/>
                <w:szCs w:val="21"/>
              </w:rPr>
              <w:t>124,875,088</w:t>
            </w:r>
          </w:p>
        </w:tc>
        <w:tc>
          <w:tcPr>
            <w:tcW w:w="1077" w:type="dxa"/>
          </w:tcPr>
          <w:p w:rsidR="006E5E40" w:rsidRPr="00C90E5C" w:rsidRDefault="006E5E40" w:rsidP="00DF3777">
            <w:pPr>
              <w:pStyle w:val="121"/>
              <w:jc w:val="right"/>
              <w:rPr>
                <w:sz w:val="21"/>
                <w:szCs w:val="21"/>
              </w:rPr>
            </w:pPr>
            <w:r w:rsidRPr="00C90E5C">
              <w:rPr>
                <w:sz w:val="21"/>
                <w:szCs w:val="21"/>
              </w:rPr>
              <w:t>92,453,522</w:t>
            </w:r>
          </w:p>
        </w:tc>
        <w:tc>
          <w:tcPr>
            <w:tcW w:w="1077" w:type="dxa"/>
          </w:tcPr>
          <w:p w:rsidR="006E5E40" w:rsidRPr="00C90E5C" w:rsidRDefault="006E5E40" w:rsidP="00DF3777">
            <w:pPr>
              <w:pStyle w:val="121"/>
              <w:jc w:val="right"/>
              <w:rPr>
                <w:sz w:val="21"/>
                <w:szCs w:val="21"/>
              </w:rPr>
            </w:pPr>
            <w:r w:rsidRPr="00C90E5C">
              <w:rPr>
                <w:sz w:val="21"/>
                <w:szCs w:val="21"/>
              </w:rPr>
              <w:t>84,512,477</w:t>
            </w:r>
          </w:p>
        </w:tc>
        <w:tc>
          <w:tcPr>
            <w:tcW w:w="1077" w:type="dxa"/>
          </w:tcPr>
          <w:p w:rsidR="006E5E40" w:rsidRPr="00C90E5C" w:rsidRDefault="006E5E40" w:rsidP="00DF3777">
            <w:pPr>
              <w:pStyle w:val="121"/>
              <w:jc w:val="right"/>
              <w:rPr>
                <w:sz w:val="21"/>
                <w:szCs w:val="21"/>
              </w:rPr>
            </w:pPr>
            <w:r w:rsidRPr="00C90E5C">
              <w:rPr>
                <w:sz w:val="21"/>
                <w:szCs w:val="21"/>
              </w:rPr>
              <w:t>89,019,216</w:t>
            </w:r>
          </w:p>
        </w:tc>
        <w:tc>
          <w:tcPr>
            <w:tcW w:w="1077" w:type="dxa"/>
          </w:tcPr>
          <w:p w:rsidR="006E5E40" w:rsidRPr="00E22BA5" w:rsidRDefault="006E5E40" w:rsidP="00DF3777">
            <w:pPr>
              <w:pStyle w:val="121"/>
              <w:jc w:val="right"/>
              <w:rPr>
                <w:sz w:val="21"/>
                <w:szCs w:val="21"/>
              </w:rPr>
            </w:pPr>
            <w:r w:rsidRPr="00E22BA5">
              <w:rPr>
                <w:sz w:val="21"/>
                <w:szCs w:val="21"/>
              </w:rPr>
              <w:t>88,571,392</w:t>
            </w:r>
          </w:p>
        </w:tc>
        <w:tc>
          <w:tcPr>
            <w:tcW w:w="850" w:type="dxa"/>
            <w:vMerge w:val="restart"/>
            <w:vAlign w:val="center"/>
          </w:tcPr>
          <w:p w:rsidR="006E5E40" w:rsidRPr="008B71DF" w:rsidRDefault="006E5E40" w:rsidP="00DF3777">
            <w:pPr>
              <w:pStyle w:val="121"/>
              <w:jc w:val="right"/>
              <w:rPr>
                <w:sz w:val="21"/>
                <w:szCs w:val="21"/>
              </w:rPr>
            </w:pPr>
            <w:r w:rsidRPr="008B71DF">
              <w:rPr>
                <w:sz w:val="21"/>
                <w:szCs w:val="21"/>
              </w:rPr>
              <w:t>100.00%</w:t>
            </w:r>
          </w:p>
        </w:tc>
        <w:tc>
          <w:tcPr>
            <w:tcW w:w="850" w:type="dxa"/>
            <w:vMerge w:val="restart"/>
            <w:vAlign w:val="center"/>
          </w:tcPr>
          <w:p w:rsidR="006E5E40" w:rsidRPr="008B71DF" w:rsidRDefault="006E5E40" w:rsidP="00DF3777">
            <w:pPr>
              <w:pStyle w:val="121"/>
              <w:jc w:val="right"/>
              <w:rPr>
                <w:sz w:val="21"/>
                <w:szCs w:val="21"/>
              </w:rPr>
            </w:pPr>
            <w:r w:rsidRPr="00E22BA5">
              <w:rPr>
                <w:sz w:val="21"/>
                <w:szCs w:val="21"/>
              </w:rPr>
              <w:t>-8.23%</w:t>
            </w:r>
          </w:p>
        </w:tc>
      </w:tr>
      <w:tr w:rsidR="006E5E40" w:rsidRPr="008B71DF" w:rsidTr="00DF3777">
        <w:tc>
          <w:tcPr>
            <w:tcW w:w="850" w:type="dxa"/>
            <w:vMerge/>
            <w:vAlign w:val="center"/>
          </w:tcPr>
          <w:p w:rsidR="006E5E40" w:rsidRPr="008B71DF" w:rsidRDefault="006E5E40" w:rsidP="00DF3777">
            <w:pPr>
              <w:pStyle w:val="121"/>
              <w:rPr>
                <w:sz w:val="21"/>
                <w:szCs w:val="21"/>
              </w:rPr>
            </w:pPr>
          </w:p>
        </w:tc>
        <w:tc>
          <w:tcPr>
            <w:tcW w:w="850" w:type="dxa"/>
          </w:tcPr>
          <w:p w:rsidR="006E5E40" w:rsidRPr="008B71DF" w:rsidRDefault="006E5E40" w:rsidP="00DF3777">
            <w:pPr>
              <w:pStyle w:val="121"/>
              <w:rPr>
                <w:sz w:val="21"/>
                <w:szCs w:val="21"/>
              </w:rPr>
            </w:pPr>
            <w:r w:rsidRPr="008B71DF">
              <w:rPr>
                <w:rFonts w:hint="eastAsia"/>
                <w:sz w:val="21"/>
                <w:szCs w:val="21"/>
              </w:rPr>
              <w:t>成長率</w:t>
            </w:r>
          </w:p>
        </w:tc>
        <w:tc>
          <w:tcPr>
            <w:tcW w:w="1134" w:type="dxa"/>
          </w:tcPr>
          <w:p w:rsidR="006E5E40" w:rsidRPr="00C90E5C" w:rsidRDefault="006E5E40" w:rsidP="00DF3777">
            <w:pPr>
              <w:pStyle w:val="121"/>
              <w:jc w:val="right"/>
              <w:rPr>
                <w:sz w:val="21"/>
                <w:szCs w:val="21"/>
              </w:rPr>
            </w:pPr>
          </w:p>
        </w:tc>
        <w:tc>
          <w:tcPr>
            <w:tcW w:w="1077" w:type="dxa"/>
          </w:tcPr>
          <w:p w:rsidR="006E5E40" w:rsidRPr="00C90E5C" w:rsidRDefault="006E5E40" w:rsidP="00DF3777">
            <w:pPr>
              <w:pStyle w:val="121"/>
              <w:jc w:val="right"/>
              <w:rPr>
                <w:sz w:val="21"/>
                <w:szCs w:val="21"/>
              </w:rPr>
            </w:pPr>
            <w:r w:rsidRPr="00C90E5C">
              <w:rPr>
                <w:sz w:val="21"/>
                <w:szCs w:val="21"/>
              </w:rPr>
              <w:t>-25.96%</w:t>
            </w:r>
          </w:p>
        </w:tc>
        <w:tc>
          <w:tcPr>
            <w:tcW w:w="1077" w:type="dxa"/>
          </w:tcPr>
          <w:p w:rsidR="006E5E40" w:rsidRPr="00C90E5C" w:rsidRDefault="006E5E40" w:rsidP="00DF3777">
            <w:pPr>
              <w:pStyle w:val="121"/>
              <w:jc w:val="right"/>
              <w:rPr>
                <w:sz w:val="21"/>
                <w:szCs w:val="21"/>
              </w:rPr>
            </w:pPr>
            <w:r w:rsidRPr="00C90E5C">
              <w:rPr>
                <w:sz w:val="21"/>
                <w:szCs w:val="21"/>
              </w:rPr>
              <w:t>-8.59%</w:t>
            </w:r>
          </w:p>
        </w:tc>
        <w:tc>
          <w:tcPr>
            <w:tcW w:w="1077" w:type="dxa"/>
          </w:tcPr>
          <w:p w:rsidR="006E5E40" w:rsidRPr="00C90E5C" w:rsidRDefault="006E5E40" w:rsidP="00DF3777">
            <w:pPr>
              <w:pStyle w:val="121"/>
              <w:jc w:val="right"/>
              <w:rPr>
                <w:sz w:val="21"/>
                <w:szCs w:val="21"/>
              </w:rPr>
            </w:pPr>
            <w:r w:rsidRPr="00C90E5C">
              <w:rPr>
                <w:sz w:val="21"/>
                <w:szCs w:val="21"/>
              </w:rPr>
              <w:t>5.33%</w:t>
            </w:r>
          </w:p>
        </w:tc>
        <w:tc>
          <w:tcPr>
            <w:tcW w:w="1077" w:type="dxa"/>
          </w:tcPr>
          <w:p w:rsidR="006E5E40" w:rsidRPr="00E22BA5" w:rsidRDefault="006E5E40" w:rsidP="00DF3777">
            <w:pPr>
              <w:pStyle w:val="121"/>
              <w:jc w:val="right"/>
              <w:rPr>
                <w:sz w:val="21"/>
                <w:szCs w:val="21"/>
              </w:rPr>
            </w:pPr>
            <w:r w:rsidRPr="00E22BA5">
              <w:rPr>
                <w:sz w:val="21"/>
                <w:szCs w:val="21"/>
              </w:rPr>
              <w:t>-0.50%</w:t>
            </w:r>
          </w:p>
        </w:tc>
        <w:tc>
          <w:tcPr>
            <w:tcW w:w="850" w:type="dxa"/>
            <w:vMerge/>
            <w:vAlign w:val="center"/>
          </w:tcPr>
          <w:p w:rsidR="006E5E40" w:rsidRPr="008B71DF" w:rsidRDefault="006E5E40" w:rsidP="00DF3777">
            <w:pPr>
              <w:pStyle w:val="121"/>
              <w:jc w:val="right"/>
              <w:rPr>
                <w:sz w:val="21"/>
                <w:szCs w:val="21"/>
              </w:rPr>
            </w:pPr>
          </w:p>
        </w:tc>
        <w:tc>
          <w:tcPr>
            <w:tcW w:w="850" w:type="dxa"/>
            <w:vMerge/>
            <w:vAlign w:val="center"/>
          </w:tcPr>
          <w:p w:rsidR="006E5E40" w:rsidRPr="008B71DF" w:rsidRDefault="006E5E40" w:rsidP="00DF3777">
            <w:pPr>
              <w:pStyle w:val="121"/>
              <w:jc w:val="right"/>
              <w:rPr>
                <w:sz w:val="21"/>
                <w:szCs w:val="21"/>
              </w:rPr>
            </w:pPr>
          </w:p>
        </w:tc>
      </w:tr>
    </w:tbl>
    <w:p w:rsidR="006E5E40" w:rsidRPr="00A13B71" w:rsidRDefault="006E5E40" w:rsidP="006E5E40">
      <w:pPr>
        <w:pStyle w:val="121"/>
        <w:ind w:left="608" w:hangingChars="262" w:hanging="608"/>
      </w:pPr>
      <w:proofErr w:type="gramStart"/>
      <w:r w:rsidRPr="00A13B71">
        <w:rPr>
          <w:rFonts w:hint="eastAsia"/>
        </w:rPr>
        <w:lastRenderedPageBreak/>
        <w:t>註</w:t>
      </w:r>
      <w:proofErr w:type="gramEnd"/>
      <w:r w:rsidRPr="00A13B71">
        <w:rPr>
          <w:rFonts w:hint="eastAsia"/>
        </w:rPr>
        <w:t>：</w:t>
      </w:r>
      <w:r w:rsidRPr="00A13B71">
        <w:t>1.</w:t>
      </w:r>
      <w:r w:rsidRPr="00A13B71">
        <w:rPr>
          <w:rFonts w:hint="eastAsia"/>
        </w:rPr>
        <w:t>年複合成長率</w:t>
      </w:r>
      <w:r w:rsidRPr="00A13B71">
        <w:t>(Compound Annual Growth Rate</w:t>
      </w:r>
      <w:r w:rsidRPr="00A13B71">
        <w:rPr>
          <w:rFonts w:hint="eastAsia"/>
        </w:rPr>
        <w:t>，</w:t>
      </w:r>
      <w:r w:rsidRPr="00A13B71">
        <w:t>CAGR)</w:t>
      </w:r>
      <w:r w:rsidRPr="00A13B71">
        <w:rPr>
          <w:rFonts w:hint="eastAsia"/>
        </w:rPr>
        <w:t>，統計年度為</w:t>
      </w:r>
      <w:r w:rsidRPr="00A13B71">
        <w:t>2011</w:t>
      </w:r>
      <w:r w:rsidRPr="00A13B71">
        <w:rPr>
          <w:rFonts w:hint="eastAsia"/>
        </w:rPr>
        <w:t>年至</w:t>
      </w:r>
      <w:r w:rsidRPr="00A13B71">
        <w:t>2015</w:t>
      </w:r>
      <w:r w:rsidRPr="00A13B71">
        <w:rPr>
          <w:rFonts w:hint="eastAsia"/>
        </w:rPr>
        <w:t>年。</w:t>
      </w:r>
    </w:p>
    <w:p w:rsidR="006E5E40" w:rsidRPr="00A13B71" w:rsidRDefault="006E5E40" w:rsidP="006E5E40">
      <w:pPr>
        <w:pStyle w:val="121"/>
        <w:ind w:leftChars="125" w:left="639" w:hangingChars="92" w:hanging="214"/>
      </w:pPr>
      <w:r w:rsidRPr="00A13B71">
        <w:t>2.</w:t>
      </w:r>
      <w:r w:rsidRPr="00A13B71">
        <w:rPr>
          <w:rFonts w:hint="eastAsia"/>
        </w:rPr>
        <w:t>我國統計數據計算至</w:t>
      </w:r>
      <w:r w:rsidRPr="00A13B71">
        <w:t>2016</w:t>
      </w:r>
      <w:r w:rsidRPr="00A13B71">
        <w:rPr>
          <w:rFonts w:hint="eastAsia"/>
        </w:rPr>
        <w:t>年，但為與韓國、英國比較基準相同，因此僅摘錄</w:t>
      </w:r>
      <w:r w:rsidRPr="00A13B71">
        <w:t>2011</w:t>
      </w:r>
      <w:r w:rsidRPr="00A13B71">
        <w:rPr>
          <w:rFonts w:hint="eastAsia"/>
        </w:rPr>
        <w:t>年至</w:t>
      </w:r>
      <w:r w:rsidRPr="00A13B71">
        <w:t>2015</w:t>
      </w:r>
      <w:r w:rsidRPr="00A13B71">
        <w:rPr>
          <w:rFonts w:hint="eastAsia"/>
        </w:rPr>
        <w:t>年資料。</w:t>
      </w:r>
    </w:p>
    <w:p w:rsidR="006E5E40" w:rsidRPr="00106931" w:rsidRDefault="006E5E40" w:rsidP="006E5E40">
      <w:pPr>
        <w:pStyle w:val="af6"/>
      </w:pPr>
      <w:r w:rsidRPr="00A13B71">
        <w:rPr>
          <w:rFonts w:hint="eastAsia"/>
        </w:rPr>
        <w:t>資料來源：財政部財政資料中心，本年報整理，</w:t>
      </w:r>
      <w:r w:rsidRPr="00A13B71">
        <w:t>2017</w:t>
      </w:r>
      <w:r w:rsidRPr="00A13B71">
        <w:rPr>
          <w:rFonts w:hint="eastAsia"/>
        </w:rPr>
        <w:t>年</w:t>
      </w:r>
      <w:r w:rsidRPr="00A13B71">
        <w:t>8</w:t>
      </w:r>
      <w:r w:rsidRPr="00A13B71">
        <w:rPr>
          <w:rFonts w:hint="eastAsia"/>
        </w:rPr>
        <w:t>月。</w:t>
      </w:r>
    </w:p>
    <w:p w:rsidR="006E5E40" w:rsidRPr="006E5E40" w:rsidRDefault="006E5E40" w:rsidP="00A13B71">
      <w:pPr>
        <w:pStyle w:val="af6"/>
      </w:pPr>
    </w:p>
    <w:sectPr w:rsidR="006E5E40" w:rsidRPr="006E5E40" w:rsidSect="00847458">
      <w:footerReference w:type="default" r:id="rId10"/>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36" w:rsidRDefault="007D5E36">
      <w:r>
        <w:separator/>
      </w:r>
    </w:p>
  </w:endnote>
  <w:endnote w:type="continuationSeparator" w:id="0">
    <w:p w:rsidR="007D5E36" w:rsidRDefault="007D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74E" w:rsidRDefault="003B774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64D34">
      <w:rPr>
        <w:rStyle w:val="ad"/>
        <w:noProof/>
        <w:sz w:val="24"/>
      </w:rPr>
      <w:t>18</w:t>
    </w:r>
    <w:r>
      <w:rPr>
        <w:rStyle w:val="ad"/>
        <w:sz w:val="24"/>
      </w:rPr>
      <w:fldChar w:fldCharType="end"/>
    </w:r>
  </w:p>
  <w:p w:rsidR="003B774E" w:rsidRDefault="003B774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36" w:rsidRDefault="007D5E36">
      <w:r>
        <w:separator/>
      </w:r>
    </w:p>
  </w:footnote>
  <w:footnote w:type="continuationSeparator" w:id="0">
    <w:p w:rsidR="007D5E36" w:rsidRDefault="007D5E36">
      <w:r>
        <w:continuationSeparator/>
      </w:r>
    </w:p>
  </w:footnote>
  <w:footnote w:id="1">
    <w:p w:rsidR="003B774E" w:rsidRPr="0060097C" w:rsidRDefault="003B774E" w:rsidP="00EA5ED6">
      <w:pPr>
        <w:pStyle w:val="afc"/>
        <w:ind w:left="187" w:hangingChars="85" w:hanging="187"/>
      </w:pPr>
      <w:r>
        <w:rPr>
          <w:rStyle w:val="afe"/>
        </w:rPr>
        <w:footnoteRef/>
      </w:r>
      <w:r>
        <w:t xml:space="preserve"> </w:t>
      </w:r>
      <w:r w:rsidRPr="00414425">
        <w:rPr>
          <w:rFonts w:hint="eastAsia"/>
        </w:rPr>
        <w:t>臺灣省菸酒公賣局</w:t>
      </w:r>
      <w:r>
        <w:rPr>
          <w:rFonts w:ascii="新細明體" w:hAnsi="新細明體" w:hint="eastAsia"/>
        </w:rPr>
        <w:t>：</w:t>
      </w:r>
      <w:r w:rsidRPr="004C1719">
        <w:rPr>
          <w:rFonts w:hint="eastAsia"/>
        </w:rPr>
        <w:t>源於日治時代</w:t>
      </w:r>
      <w:r>
        <w:rPr>
          <w:rFonts w:hint="eastAsia"/>
        </w:rPr>
        <w:t>，</w:t>
      </w:r>
      <w:r w:rsidRPr="004C1719">
        <w:rPr>
          <w:rFonts w:hint="eastAsia"/>
        </w:rPr>
        <w:t>民國前</w:t>
      </w:r>
      <w:r w:rsidRPr="004C1719">
        <w:rPr>
          <w:rFonts w:hint="eastAsia"/>
        </w:rPr>
        <w:t>11</w:t>
      </w:r>
      <w:r w:rsidRPr="004C1719">
        <w:rPr>
          <w:rFonts w:hint="eastAsia"/>
        </w:rPr>
        <w:t>年</w:t>
      </w:r>
      <w:r w:rsidRPr="004C1719">
        <w:rPr>
          <w:rFonts w:hint="eastAsia"/>
        </w:rPr>
        <w:t>1</w:t>
      </w:r>
      <w:r w:rsidRPr="004C1719">
        <w:rPr>
          <w:rFonts w:hint="eastAsia"/>
        </w:rPr>
        <w:t>月合併原有之臺灣製藥所、臺灣鹽</w:t>
      </w:r>
      <w:proofErr w:type="gramStart"/>
      <w:r w:rsidRPr="004C1719">
        <w:rPr>
          <w:rFonts w:hint="eastAsia"/>
        </w:rPr>
        <w:t>務</w:t>
      </w:r>
      <w:proofErr w:type="gramEnd"/>
      <w:r w:rsidRPr="004C1719">
        <w:rPr>
          <w:rFonts w:hint="eastAsia"/>
        </w:rPr>
        <w:t>局及臺灣樟腦局，成立「臺灣總督府專賣局」。民國</w:t>
      </w:r>
      <w:r w:rsidRPr="004C1719">
        <w:rPr>
          <w:rFonts w:hint="eastAsia"/>
        </w:rPr>
        <w:t>34</w:t>
      </w:r>
      <w:r w:rsidRPr="004C1719">
        <w:rPr>
          <w:rFonts w:hint="eastAsia"/>
        </w:rPr>
        <w:t>年臺灣光復後，改組為「臺灣省專賣局」</w:t>
      </w:r>
      <w:r>
        <w:rPr>
          <w:rFonts w:hint="eastAsia"/>
        </w:rPr>
        <w:t>。</w:t>
      </w:r>
      <w:r w:rsidRPr="004C1719">
        <w:rPr>
          <w:rFonts w:hint="eastAsia"/>
        </w:rPr>
        <w:t>36</w:t>
      </w:r>
      <w:r w:rsidRPr="004C1719">
        <w:rPr>
          <w:rFonts w:hint="eastAsia"/>
        </w:rPr>
        <w:t>年再改組為「臺灣省菸酒公賣局」，直接隸屬臺灣省政府</w:t>
      </w:r>
      <w:r>
        <w:rPr>
          <w:rFonts w:hint="eastAsia"/>
        </w:rPr>
        <w:t>，</w:t>
      </w:r>
      <w:r w:rsidRPr="004C1719">
        <w:rPr>
          <w:rFonts w:hint="eastAsia"/>
        </w:rPr>
        <w:t>40</w:t>
      </w:r>
      <w:r w:rsidRPr="004C1719">
        <w:rPr>
          <w:rFonts w:hint="eastAsia"/>
        </w:rPr>
        <w:t>年修正組織規程，改隸臺灣省政府財政廳</w:t>
      </w:r>
      <w:r>
        <w:rPr>
          <w:rFonts w:hint="eastAsia"/>
        </w:rPr>
        <w:t>，精省後，於</w:t>
      </w:r>
      <w:r w:rsidRPr="00414425">
        <w:rPr>
          <w:rFonts w:hint="eastAsia"/>
        </w:rPr>
        <w:t>88</w:t>
      </w:r>
      <w:r w:rsidRPr="00414425">
        <w:rPr>
          <w:rFonts w:hint="eastAsia"/>
        </w:rPr>
        <w:t>年</w:t>
      </w:r>
      <w:r w:rsidRPr="00414425">
        <w:rPr>
          <w:rFonts w:hint="eastAsia"/>
        </w:rPr>
        <w:t>7</w:t>
      </w:r>
      <w:r w:rsidRPr="00414425">
        <w:rPr>
          <w:rFonts w:hint="eastAsia"/>
        </w:rPr>
        <w:t>月</w:t>
      </w:r>
      <w:r w:rsidRPr="00414425">
        <w:rPr>
          <w:rFonts w:hint="eastAsia"/>
        </w:rPr>
        <w:t>1</w:t>
      </w:r>
      <w:r w:rsidRPr="00414425">
        <w:rPr>
          <w:rFonts w:hint="eastAsia"/>
        </w:rPr>
        <w:t>日</w:t>
      </w:r>
      <w:r>
        <w:rPr>
          <w:rFonts w:hint="eastAsia"/>
        </w:rPr>
        <w:t>再改</w:t>
      </w:r>
      <w:r w:rsidRPr="00414425">
        <w:rPr>
          <w:rFonts w:hint="eastAsia"/>
        </w:rPr>
        <w:t>隸財政部</w:t>
      </w:r>
      <w:r>
        <w:rPr>
          <w:rFonts w:hint="eastAsia"/>
        </w:rPr>
        <w:t>。</w:t>
      </w:r>
      <w:r w:rsidRPr="000550E0">
        <w:rPr>
          <w:rFonts w:hint="eastAsia"/>
        </w:rPr>
        <w:t>91</w:t>
      </w:r>
      <w:r w:rsidRPr="000550E0">
        <w:rPr>
          <w:rFonts w:hint="eastAsia"/>
        </w:rPr>
        <w:t>年</w:t>
      </w:r>
      <w:r w:rsidRPr="000550E0">
        <w:rPr>
          <w:rFonts w:hint="eastAsia"/>
        </w:rPr>
        <w:t>1</w:t>
      </w:r>
      <w:r w:rsidRPr="000550E0">
        <w:rPr>
          <w:rFonts w:hint="eastAsia"/>
        </w:rPr>
        <w:t>月</w:t>
      </w:r>
      <w:r w:rsidRPr="000550E0">
        <w:rPr>
          <w:rFonts w:hint="eastAsia"/>
        </w:rPr>
        <w:t>1</w:t>
      </w:r>
      <w:r w:rsidRPr="000550E0">
        <w:rPr>
          <w:rFonts w:hint="eastAsia"/>
        </w:rPr>
        <w:t>日廢止專賣制度</w:t>
      </w:r>
      <w:r>
        <w:rPr>
          <w:rFonts w:hint="eastAsia"/>
        </w:rPr>
        <w:t>，同</w:t>
      </w:r>
      <w:r w:rsidRPr="000550E0">
        <w:rPr>
          <w:rFonts w:hint="eastAsia"/>
        </w:rPr>
        <w:t>年</w:t>
      </w:r>
      <w:r w:rsidRPr="000550E0">
        <w:rPr>
          <w:rFonts w:hint="eastAsia"/>
        </w:rPr>
        <w:t>7</w:t>
      </w:r>
      <w:r w:rsidRPr="000550E0">
        <w:rPr>
          <w:rFonts w:hint="eastAsia"/>
        </w:rPr>
        <w:t>月</w:t>
      </w:r>
      <w:r w:rsidRPr="000550E0">
        <w:rPr>
          <w:rFonts w:hint="eastAsia"/>
        </w:rPr>
        <w:t>1</w:t>
      </w:r>
      <w:r w:rsidRPr="000550E0">
        <w:rPr>
          <w:rFonts w:hint="eastAsia"/>
        </w:rPr>
        <w:t>日改制為「臺灣菸酒股份有限公司」。</w:t>
      </w:r>
    </w:p>
  </w:footnote>
  <w:footnote w:id="2">
    <w:p w:rsidR="003B774E" w:rsidRDefault="003B774E" w:rsidP="00C7600B">
      <w:pPr>
        <w:pStyle w:val="afc"/>
      </w:pPr>
      <w:r>
        <w:rPr>
          <w:rStyle w:val="afe"/>
        </w:rPr>
        <w:footnoteRef/>
      </w:r>
      <w:r>
        <w:t xml:space="preserve"> </w:t>
      </w:r>
      <w:r w:rsidRPr="00EE760E">
        <w:rPr>
          <w:rFonts w:hint="eastAsia"/>
        </w:rPr>
        <w:t>100</w:t>
      </w:r>
      <w:r w:rsidRPr="00EE760E">
        <w:rPr>
          <w:rFonts w:hint="eastAsia"/>
        </w:rPr>
        <w:t>年</w:t>
      </w:r>
      <w:r w:rsidRPr="00EE760E">
        <w:rPr>
          <w:rFonts w:hint="eastAsia"/>
        </w:rPr>
        <w:t>1</w:t>
      </w:r>
      <w:r w:rsidRPr="00EE760E">
        <w:rPr>
          <w:rFonts w:hint="eastAsia"/>
        </w:rPr>
        <w:t>月</w:t>
      </w:r>
      <w:r w:rsidRPr="00EE760E">
        <w:rPr>
          <w:rFonts w:hint="eastAsia"/>
        </w:rPr>
        <w:t>31</w:t>
      </w:r>
      <w:r w:rsidRPr="00EE760E">
        <w:rPr>
          <w:rFonts w:hint="eastAsia"/>
        </w:rPr>
        <w:t>日更名為文化創意產業園區。</w:t>
      </w:r>
    </w:p>
  </w:footnote>
  <w:footnote w:id="3">
    <w:p w:rsidR="003B774E" w:rsidRPr="009E012E" w:rsidRDefault="003B774E" w:rsidP="004E1901">
      <w:pPr>
        <w:pStyle w:val="afc"/>
      </w:pPr>
      <w:r>
        <w:rPr>
          <w:rStyle w:val="afe"/>
        </w:rPr>
        <w:footnoteRef/>
      </w:r>
      <w:r>
        <w:t xml:space="preserve"> </w:t>
      </w:r>
      <w:r>
        <w:rPr>
          <w:rFonts w:hint="eastAsia"/>
        </w:rPr>
        <w:t>即</w:t>
      </w:r>
      <w:r>
        <w:rPr>
          <w:rFonts w:ascii="新細明體" w:hAnsi="新細明體" w:hint="eastAsia"/>
        </w:rPr>
        <w:t>《</w:t>
      </w:r>
      <w:r>
        <w:rPr>
          <w:rFonts w:hint="eastAsia"/>
        </w:rPr>
        <w:t>促進民間參與公共建設法</w:t>
      </w:r>
      <w:r>
        <w:rPr>
          <w:rFonts w:ascii="新細明體" w:hAnsi="新細明體" w:hint="eastAsia"/>
        </w:rPr>
        <w:t>》。</w:t>
      </w:r>
    </w:p>
  </w:footnote>
  <w:footnote w:id="4">
    <w:p w:rsidR="003B774E" w:rsidRPr="00C015CF" w:rsidRDefault="003B774E" w:rsidP="00AD18E3">
      <w:pPr>
        <w:pStyle w:val="afc"/>
        <w:ind w:left="187" w:hangingChars="85" w:hanging="187"/>
      </w:pPr>
      <w:r>
        <w:rPr>
          <w:rStyle w:val="afe"/>
        </w:rPr>
        <w:footnoteRef/>
      </w:r>
      <w:r>
        <w:t xml:space="preserve"> </w:t>
      </w:r>
      <w:r>
        <w:rPr>
          <w:rFonts w:hint="eastAsia"/>
        </w:rPr>
        <w:t>中國時報，</w:t>
      </w:r>
      <w:r>
        <w:rPr>
          <w:rFonts w:hint="eastAsia"/>
        </w:rPr>
        <w:t>106</w:t>
      </w:r>
      <w:r>
        <w:rPr>
          <w:rFonts w:hint="eastAsia"/>
        </w:rPr>
        <w:t>年</w:t>
      </w:r>
      <w:r>
        <w:rPr>
          <w:rFonts w:hint="eastAsia"/>
        </w:rPr>
        <w:t>8</w:t>
      </w:r>
      <w:r>
        <w:rPr>
          <w:rFonts w:hint="eastAsia"/>
        </w:rPr>
        <w:t>月</w:t>
      </w:r>
      <w:r>
        <w:rPr>
          <w:rFonts w:hint="eastAsia"/>
        </w:rPr>
        <w:t>15</w:t>
      </w:r>
      <w:r>
        <w:rPr>
          <w:rFonts w:hint="eastAsia"/>
        </w:rPr>
        <w:t>日，郭建伸</w:t>
      </w:r>
      <w:r>
        <w:rPr>
          <w:rFonts w:hint="eastAsia"/>
        </w:rPr>
        <w:t>/</w:t>
      </w:r>
      <w:r>
        <w:rPr>
          <w:rFonts w:hint="eastAsia"/>
        </w:rPr>
        <w:t>台北報導。</w:t>
      </w:r>
    </w:p>
  </w:footnote>
  <w:footnote w:id="5">
    <w:p w:rsidR="003B774E" w:rsidRPr="00981C5F" w:rsidRDefault="003B774E" w:rsidP="00F456FF">
      <w:pPr>
        <w:pStyle w:val="afc"/>
      </w:pPr>
      <w:r>
        <w:rPr>
          <w:rStyle w:val="afe"/>
        </w:rPr>
        <w:footnoteRef/>
      </w:r>
      <w:r>
        <w:t xml:space="preserve"> </w:t>
      </w:r>
      <w:r>
        <w:rPr>
          <w:rFonts w:hint="eastAsia"/>
        </w:rPr>
        <w:t>擷取自「</w:t>
      </w:r>
      <w:proofErr w:type="gramStart"/>
      <w:r>
        <w:rPr>
          <w:rFonts w:hint="eastAsia"/>
        </w:rPr>
        <w:t>文創生活</w:t>
      </w:r>
      <w:proofErr w:type="gramEnd"/>
      <w:r>
        <w:rPr>
          <w:rFonts w:hint="eastAsia"/>
        </w:rPr>
        <w:t>」，台灣文化創意協會，</w:t>
      </w:r>
      <w:r>
        <w:rPr>
          <w:rFonts w:hint="eastAsia"/>
        </w:rPr>
        <w:t>JAN.2013</w:t>
      </w:r>
      <w:r>
        <w:rPr>
          <w:rFonts w:hint="eastAsia"/>
        </w:rPr>
        <w:t>，</w:t>
      </w:r>
      <w:r>
        <w:rPr>
          <w:rFonts w:hint="eastAsia"/>
        </w:rPr>
        <w:t>NO.001</w:t>
      </w:r>
      <w:r>
        <w:rPr>
          <w:rFonts w:hint="eastAsia"/>
        </w:rPr>
        <w:t>，陳啟雄。</w:t>
      </w:r>
    </w:p>
  </w:footnote>
  <w:footnote w:id="6">
    <w:p w:rsidR="003B774E" w:rsidRDefault="003B774E" w:rsidP="00EA5ED6">
      <w:pPr>
        <w:pStyle w:val="afc"/>
        <w:ind w:left="183" w:hangingChars="83" w:hanging="183"/>
      </w:pPr>
      <w:r>
        <w:rPr>
          <w:rStyle w:val="afe"/>
        </w:rPr>
        <w:footnoteRef/>
      </w:r>
      <w:r>
        <w:t xml:space="preserve"> </w:t>
      </w:r>
      <w:r>
        <w:rPr>
          <w:rFonts w:hint="eastAsia"/>
        </w:rPr>
        <w:t>企業經營模式</w:t>
      </w:r>
      <w:r>
        <w:rPr>
          <w:rFonts w:ascii="新細明體" w:hAnsi="新細明體" w:hint="eastAsia"/>
        </w:rPr>
        <w:t>：</w:t>
      </w:r>
      <w:r w:rsidRPr="00327F04">
        <w:rPr>
          <w:rFonts w:hint="eastAsia"/>
        </w:rPr>
        <w:t>B to B</w:t>
      </w:r>
      <w:r>
        <w:rPr>
          <w:rFonts w:hint="eastAsia"/>
        </w:rPr>
        <w:t xml:space="preserve"> </w:t>
      </w:r>
      <w:r w:rsidRPr="00327F04">
        <w:rPr>
          <w:rFonts w:hint="eastAsia"/>
        </w:rPr>
        <w:t>(Business to Business)</w:t>
      </w:r>
      <w:r>
        <w:rPr>
          <w:rFonts w:hint="eastAsia"/>
        </w:rPr>
        <w:t xml:space="preserve"> </w:t>
      </w:r>
      <w:r>
        <w:rPr>
          <w:rFonts w:hint="eastAsia"/>
        </w:rPr>
        <w:t>指</w:t>
      </w:r>
      <w:r w:rsidRPr="00327F04">
        <w:rPr>
          <w:rFonts w:hint="eastAsia"/>
        </w:rPr>
        <w:t>企業對企業</w:t>
      </w:r>
      <w:r>
        <w:rPr>
          <w:rFonts w:hint="eastAsia"/>
        </w:rPr>
        <w:t>之</w:t>
      </w:r>
      <w:r w:rsidRPr="00327F04">
        <w:rPr>
          <w:rFonts w:hint="eastAsia"/>
        </w:rPr>
        <w:t>交易關係</w:t>
      </w:r>
      <w:r>
        <w:rPr>
          <w:rFonts w:hint="eastAsia"/>
        </w:rPr>
        <w:t>；</w:t>
      </w:r>
      <w:r w:rsidRPr="00327F04">
        <w:rPr>
          <w:rFonts w:hint="eastAsia"/>
        </w:rPr>
        <w:t>B to C</w:t>
      </w:r>
      <w:r>
        <w:rPr>
          <w:rFonts w:hint="eastAsia"/>
        </w:rPr>
        <w:t xml:space="preserve"> </w:t>
      </w:r>
      <w:r w:rsidRPr="00327F04">
        <w:rPr>
          <w:rFonts w:hint="eastAsia"/>
        </w:rPr>
        <w:t>(Business to Consumer)</w:t>
      </w:r>
      <w:r>
        <w:rPr>
          <w:rFonts w:hint="eastAsia"/>
        </w:rPr>
        <w:t xml:space="preserve"> </w:t>
      </w:r>
      <w:r>
        <w:rPr>
          <w:rFonts w:hint="eastAsia"/>
        </w:rPr>
        <w:t>指</w:t>
      </w:r>
      <w:r w:rsidRPr="00327F04">
        <w:rPr>
          <w:rFonts w:hint="eastAsia"/>
        </w:rPr>
        <w:t>企業對消費者</w:t>
      </w:r>
      <w:r>
        <w:rPr>
          <w:rFonts w:hint="eastAsia"/>
        </w:rPr>
        <w:t>之交</w:t>
      </w:r>
      <w:r w:rsidRPr="00327F04">
        <w:rPr>
          <w:rFonts w:hint="eastAsia"/>
        </w:rPr>
        <w:t>易關係</w:t>
      </w:r>
      <w:r>
        <w:rPr>
          <w:rFonts w:hint="eastAsia"/>
        </w:rPr>
        <w:t>；</w:t>
      </w:r>
      <w:r w:rsidRPr="00AB4347">
        <w:rPr>
          <w:rFonts w:hint="eastAsia"/>
        </w:rPr>
        <w:t>B to B to C</w:t>
      </w:r>
      <w:r>
        <w:rPr>
          <w:rFonts w:hint="eastAsia"/>
        </w:rPr>
        <w:t xml:space="preserve"> </w:t>
      </w:r>
      <w:r w:rsidRPr="00327F04">
        <w:rPr>
          <w:rFonts w:hint="eastAsia"/>
        </w:rPr>
        <w:t>(Business to Business to Consumer)</w:t>
      </w:r>
      <w:r>
        <w:rPr>
          <w:rFonts w:hint="eastAsia"/>
        </w:rPr>
        <w:t xml:space="preserve"> </w:t>
      </w:r>
      <w:r>
        <w:rPr>
          <w:rFonts w:hint="eastAsia"/>
        </w:rPr>
        <w:t>指企業</w:t>
      </w:r>
      <w:r>
        <w:rPr>
          <w:rFonts w:hint="eastAsia"/>
        </w:rPr>
        <w:t>(</w:t>
      </w:r>
      <w:r w:rsidRPr="004B0642">
        <w:rPr>
          <w:rFonts w:hint="eastAsia"/>
        </w:rPr>
        <w:t>供應商</w:t>
      </w:r>
      <w:r>
        <w:rPr>
          <w:rFonts w:hint="eastAsia"/>
        </w:rPr>
        <w:t>)</w:t>
      </w:r>
      <w:r>
        <w:rPr>
          <w:rFonts w:hint="eastAsia"/>
        </w:rPr>
        <w:t>透過</w:t>
      </w:r>
      <w:r>
        <w:rPr>
          <w:rFonts w:hint="eastAsia"/>
        </w:rPr>
        <w:t>(</w:t>
      </w:r>
      <w:r w:rsidRPr="004B0642">
        <w:rPr>
          <w:rFonts w:hint="eastAsia"/>
        </w:rPr>
        <w:t>電子</w:t>
      </w:r>
      <w:r>
        <w:rPr>
          <w:rFonts w:hint="eastAsia"/>
        </w:rPr>
        <w:t>)</w:t>
      </w:r>
      <w:r w:rsidRPr="004B0642">
        <w:rPr>
          <w:rFonts w:hint="eastAsia"/>
        </w:rPr>
        <w:t>商務平台</w:t>
      </w:r>
      <w:r>
        <w:rPr>
          <w:rFonts w:hint="eastAsia"/>
        </w:rPr>
        <w:t>到</w:t>
      </w:r>
      <w:r w:rsidRPr="004B0642">
        <w:rPr>
          <w:rFonts w:hint="eastAsia"/>
        </w:rPr>
        <w:t>消費者</w:t>
      </w:r>
      <w:r>
        <w:rPr>
          <w:rFonts w:hint="eastAsia"/>
        </w:rPr>
        <w:t>之交易關係</w:t>
      </w:r>
      <w:r w:rsidRPr="00327F04">
        <w:rPr>
          <w:rFonts w:hint="eastAsia"/>
        </w:rPr>
        <w:t>。</w:t>
      </w:r>
    </w:p>
  </w:footnote>
  <w:footnote w:id="7">
    <w:p w:rsidR="003B774E" w:rsidRPr="002B1D9E" w:rsidRDefault="003B774E" w:rsidP="00812FB5">
      <w:pPr>
        <w:pStyle w:val="afc"/>
        <w:wordWrap w:val="0"/>
        <w:ind w:left="183" w:hangingChars="83" w:hanging="183"/>
      </w:pPr>
      <w:r>
        <w:rPr>
          <w:rStyle w:val="afe"/>
        </w:rPr>
        <w:footnoteRef/>
      </w:r>
      <w:r>
        <w:t xml:space="preserve"> </w:t>
      </w:r>
      <w:r w:rsidRPr="00C91465">
        <w:rPr>
          <w:rFonts w:hint="eastAsia"/>
        </w:rPr>
        <w:t>周易</w:t>
      </w:r>
      <w:r>
        <w:rPr>
          <w:rFonts w:hint="eastAsia"/>
        </w:rPr>
        <w:t>．</w:t>
      </w:r>
      <w:r w:rsidRPr="00C91465">
        <w:rPr>
          <w:rFonts w:hint="eastAsia"/>
        </w:rPr>
        <w:t>繫辭上</w:t>
      </w:r>
      <w:r>
        <w:rPr>
          <w:rFonts w:hint="eastAsia"/>
        </w:rPr>
        <w:t>。</w:t>
      </w:r>
    </w:p>
  </w:footnote>
  <w:footnote w:id="8">
    <w:p w:rsidR="003B774E" w:rsidRPr="009E16C2" w:rsidRDefault="003B774E">
      <w:pPr>
        <w:pStyle w:val="afc"/>
      </w:pPr>
      <w:r>
        <w:rPr>
          <w:rStyle w:val="afe"/>
        </w:rPr>
        <w:footnoteRef/>
      </w:r>
      <w:r>
        <w:t xml:space="preserve"> </w:t>
      </w:r>
      <w:r w:rsidRPr="009E16C2">
        <w:rPr>
          <w:rFonts w:hint="eastAsia"/>
        </w:rPr>
        <w:t>中國時報，</w:t>
      </w:r>
      <w:r w:rsidRPr="009E16C2">
        <w:rPr>
          <w:rFonts w:hint="eastAsia"/>
        </w:rPr>
        <w:t>106</w:t>
      </w:r>
      <w:r w:rsidRPr="009E16C2">
        <w:rPr>
          <w:rFonts w:hint="eastAsia"/>
        </w:rPr>
        <w:t>年</w:t>
      </w:r>
      <w:r w:rsidRPr="009E16C2">
        <w:rPr>
          <w:rFonts w:hint="eastAsia"/>
        </w:rPr>
        <w:t>8</w:t>
      </w:r>
      <w:r w:rsidRPr="009E16C2">
        <w:rPr>
          <w:rFonts w:hint="eastAsia"/>
        </w:rPr>
        <w:t>月</w:t>
      </w:r>
      <w:r w:rsidRPr="009E16C2">
        <w:rPr>
          <w:rFonts w:hint="eastAsia"/>
        </w:rPr>
        <w:t>15</w:t>
      </w:r>
      <w:r w:rsidRPr="009E16C2">
        <w:rPr>
          <w:rFonts w:hint="eastAsia"/>
        </w:rPr>
        <w:t>日，郭建伸</w:t>
      </w:r>
      <w:r w:rsidRPr="009E16C2">
        <w:rPr>
          <w:rFonts w:hint="eastAsia"/>
        </w:rPr>
        <w:t>/</w:t>
      </w:r>
      <w:r w:rsidRPr="009E16C2">
        <w:rPr>
          <w:rFonts w:hint="eastAsia"/>
        </w:rPr>
        <w:t>台北報導</w:t>
      </w:r>
      <w:r>
        <w:rPr>
          <w:rFonts w:hint="eastAsia"/>
        </w:rPr>
        <w:t>；</w:t>
      </w:r>
      <w:r w:rsidRPr="009A64A9">
        <w:rPr>
          <w:rFonts w:hint="eastAsia"/>
        </w:rPr>
        <w:t>工商時報，</w:t>
      </w:r>
      <w:r w:rsidRPr="009A64A9">
        <w:rPr>
          <w:rFonts w:hint="eastAsia"/>
        </w:rPr>
        <w:t>106</w:t>
      </w:r>
      <w:r w:rsidRPr="009A64A9">
        <w:rPr>
          <w:rFonts w:hint="eastAsia"/>
        </w:rPr>
        <w:t>年</w:t>
      </w:r>
      <w:r w:rsidRPr="009A64A9">
        <w:rPr>
          <w:rFonts w:hint="eastAsia"/>
        </w:rPr>
        <w:t>8</w:t>
      </w:r>
      <w:r w:rsidRPr="009A64A9">
        <w:rPr>
          <w:rFonts w:hint="eastAsia"/>
        </w:rPr>
        <w:t>月</w:t>
      </w:r>
      <w:r w:rsidRPr="009A64A9">
        <w:rPr>
          <w:rFonts w:hint="eastAsia"/>
        </w:rPr>
        <w:t>15</w:t>
      </w:r>
      <w:r w:rsidRPr="009A64A9">
        <w:rPr>
          <w:rFonts w:hint="eastAsia"/>
        </w:rPr>
        <w:t>日，邱莉玲</w:t>
      </w:r>
      <w:r w:rsidRPr="009A64A9">
        <w:rPr>
          <w:rFonts w:hint="eastAsia"/>
        </w:rPr>
        <w:t>/</w:t>
      </w:r>
      <w:r w:rsidRPr="009A64A9">
        <w:rPr>
          <w:rFonts w:hint="eastAsia"/>
        </w:rPr>
        <w:t>台北報導</w:t>
      </w:r>
    </w:p>
  </w:footnote>
  <w:footnote w:id="9">
    <w:p w:rsidR="003B774E" w:rsidRPr="00E64654" w:rsidRDefault="003B774E">
      <w:pPr>
        <w:pStyle w:val="afc"/>
      </w:pPr>
      <w:r w:rsidRPr="00E64654">
        <w:rPr>
          <w:rStyle w:val="afe"/>
        </w:rPr>
        <w:footnoteRef/>
      </w:r>
      <w:r w:rsidRPr="00E64654">
        <w:t xml:space="preserve"> </w:t>
      </w:r>
      <w:proofErr w:type="gramStart"/>
      <w:r w:rsidRPr="00E64654">
        <w:rPr>
          <w:rFonts w:hint="eastAsia"/>
        </w:rPr>
        <w:t>詳</w:t>
      </w:r>
      <w:proofErr w:type="gramEnd"/>
      <w:r w:rsidRPr="00E64654">
        <w:rPr>
          <w:rFonts w:hint="eastAsia"/>
        </w:rPr>
        <w:t>附表六。</w:t>
      </w:r>
    </w:p>
  </w:footnote>
  <w:footnote w:id="10">
    <w:p w:rsidR="003B774E" w:rsidRDefault="003B774E" w:rsidP="008730EF">
      <w:pPr>
        <w:pStyle w:val="afc"/>
        <w:wordWrap w:val="0"/>
        <w:ind w:left="271" w:hangingChars="123" w:hanging="271"/>
      </w:pPr>
      <w:r>
        <w:rPr>
          <w:rStyle w:val="afe"/>
        </w:rPr>
        <w:footnoteRef/>
      </w:r>
      <w:r>
        <w:t xml:space="preserve"> </w:t>
      </w:r>
      <w:r>
        <w:rPr>
          <w:rFonts w:hint="eastAsia"/>
        </w:rPr>
        <w:t>天下雜誌</w:t>
      </w:r>
      <w:r>
        <w:rPr>
          <w:rFonts w:hint="eastAsia"/>
        </w:rPr>
        <w:t>634</w:t>
      </w:r>
      <w:r>
        <w:rPr>
          <w:rFonts w:hint="eastAsia"/>
        </w:rPr>
        <w:t>期（</w:t>
      </w:r>
      <w:r>
        <w:rPr>
          <w:rFonts w:hint="eastAsia"/>
        </w:rPr>
        <w:t>2017/10/25</w:t>
      </w:r>
      <w:r>
        <w:rPr>
          <w:rFonts w:hint="eastAsia"/>
        </w:rPr>
        <w:t>），「繼日、韓之後</w:t>
      </w:r>
      <w:r>
        <w:rPr>
          <w:rFonts w:hint="eastAsia"/>
        </w:rPr>
        <w:t xml:space="preserve"> </w:t>
      </w:r>
      <w:r>
        <w:rPr>
          <w:rFonts w:hint="eastAsia"/>
        </w:rPr>
        <w:t>亞洲文化新浪潮</w:t>
      </w:r>
      <w:r>
        <w:rPr>
          <w:rFonts w:hint="eastAsia"/>
        </w:rPr>
        <w:t xml:space="preserve"> </w:t>
      </w:r>
      <w:proofErr w:type="gramStart"/>
      <w:r>
        <w:rPr>
          <w:rFonts w:hint="eastAsia"/>
        </w:rPr>
        <w:t>泰流</w:t>
      </w:r>
      <w:proofErr w:type="gramEnd"/>
      <w:r>
        <w:rPr>
          <w:rFonts w:hint="eastAsia"/>
        </w:rPr>
        <w:t>」、「</w:t>
      </w:r>
      <w:r w:rsidRPr="00746C71">
        <w:rPr>
          <w:rFonts w:hint="eastAsia"/>
        </w:rPr>
        <w:t>泰國時尚</w:t>
      </w:r>
      <w:r w:rsidRPr="00746C71">
        <w:rPr>
          <w:rFonts w:hint="eastAsia"/>
        </w:rPr>
        <w:t xml:space="preserve"> </w:t>
      </w:r>
      <w:r w:rsidRPr="00746C71">
        <w:rPr>
          <w:rFonts w:hint="eastAsia"/>
        </w:rPr>
        <w:t>亞洲明星的新歡</w:t>
      </w:r>
      <w:r>
        <w:rPr>
          <w:rFonts w:hint="eastAsia"/>
        </w:rPr>
        <w:t>」，</w:t>
      </w:r>
      <w:r>
        <w:rPr>
          <w:rFonts w:hint="eastAsia"/>
        </w:rPr>
        <w:t>P.134-P.140</w:t>
      </w:r>
      <w:r>
        <w:rPr>
          <w:rFonts w:hint="eastAsia"/>
        </w:rPr>
        <w:t>，賀桂芬。</w:t>
      </w:r>
    </w:p>
  </w:footnote>
  <w:footnote w:id="11">
    <w:p w:rsidR="003B774E" w:rsidRPr="00E64654" w:rsidRDefault="003B774E" w:rsidP="008730EF">
      <w:pPr>
        <w:pStyle w:val="afc"/>
        <w:wordWrap w:val="0"/>
        <w:ind w:left="271" w:hangingChars="123" w:hanging="271"/>
      </w:pPr>
      <w:r>
        <w:rPr>
          <w:rStyle w:val="afe"/>
        </w:rPr>
        <w:footnoteRef/>
      </w:r>
      <w:r>
        <w:t xml:space="preserve"> </w:t>
      </w:r>
      <w:r w:rsidRPr="00266310">
        <w:rPr>
          <w:rFonts w:hint="eastAsia"/>
        </w:rPr>
        <w:t>政府為推動文化創意產業發展，於</w:t>
      </w:r>
      <w:r w:rsidRPr="00266310">
        <w:rPr>
          <w:rFonts w:hint="eastAsia"/>
        </w:rPr>
        <w:t>2003</w:t>
      </w:r>
      <w:r w:rsidRPr="00266310">
        <w:rPr>
          <w:rFonts w:hint="eastAsia"/>
        </w:rPr>
        <w:t>年成立國家級設計中心「財團法人台灣創意設計中心」（</w:t>
      </w:r>
      <w:r w:rsidRPr="00266310">
        <w:rPr>
          <w:rFonts w:hint="eastAsia"/>
        </w:rPr>
        <w:t>Taiwan Design Center, TDC</w:t>
      </w:r>
      <w:r w:rsidRPr="00266310">
        <w:rPr>
          <w:rFonts w:hint="eastAsia"/>
        </w:rPr>
        <w:t>），並於</w:t>
      </w:r>
      <w:r w:rsidRPr="00266310">
        <w:rPr>
          <w:rFonts w:hint="eastAsia"/>
        </w:rPr>
        <w:t>2004</w:t>
      </w:r>
      <w:r w:rsidRPr="00266310">
        <w:rPr>
          <w:rFonts w:hint="eastAsia"/>
        </w:rPr>
        <w:t>年正式啟動營運。</w:t>
      </w:r>
      <w:r w:rsidRPr="00266310">
        <w:rPr>
          <w:rFonts w:hint="eastAsia"/>
        </w:rPr>
        <w:t>TDC</w:t>
      </w:r>
      <w:r>
        <w:rPr>
          <w:rFonts w:hint="eastAsia"/>
        </w:rPr>
        <w:t>之</w:t>
      </w:r>
      <w:r w:rsidRPr="002749D2">
        <w:rPr>
          <w:rFonts w:hint="eastAsia"/>
        </w:rPr>
        <w:t>定位為整合服務創價平台，致力以創意設計驅動創新、推動產業與經濟發展，讓台灣原生的設計能量在各社會及文化領域發揮影響力。</w:t>
      </w:r>
      <w:r>
        <w:rPr>
          <w:rFonts w:hint="eastAsia"/>
        </w:rPr>
        <w:t>擷取</w:t>
      </w:r>
      <w:proofErr w:type="gramStart"/>
      <w:r>
        <w:rPr>
          <w:rFonts w:hint="eastAsia"/>
        </w:rPr>
        <w:t>自台創中心</w:t>
      </w:r>
      <w:proofErr w:type="gramEnd"/>
      <w:r>
        <w:rPr>
          <w:rFonts w:hint="eastAsia"/>
        </w:rPr>
        <w:t>網頁</w:t>
      </w:r>
      <w:r w:rsidRPr="00E64654">
        <w:rPr>
          <w:rFonts w:hint="eastAsia"/>
        </w:rPr>
        <w:t>，</w:t>
      </w:r>
      <w:hyperlink r:id="rId1" w:history="1">
        <w:r w:rsidRPr="00E64654">
          <w:rPr>
            <w:rStyle w:val="af"/>
            <w:color w:val="auto"/>
          </w:rPr>
          <w:t>http://www.tdc.org.tw/about_tdc</w:t>
        </w:r>
      </w:hyperlink>
      <w:r w:rsidRPr="00E64654">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BDC84D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A1D026F4"/>
    <w:lvl w:ilvl="0" w:tplc="539AA5DE">
      <w:start w:val="6"/>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09D"/>
    <w:rsid w:val="00004656"/>
    <w:rsid w:val="00005183"/>
    <w:rsid w:val="00005447"/>
    <w:rsid w:val="000056E5"/>
    <w:rsid w:val="00005CF8"/>
    <w:rsid w:val="00006961"/>
    <w:rsid w:val="00006D51"/>
    <w:rsid w:val="000079B1"/>
    <w:rsid w:val="00007B7A"/>
    <w:rsid w:val="000112BF"/>
    <w:rsid w:val="0001190E"/>
    <w:rsid w:val="0001203F"/>
    <w:rsid w:val="00012233"/>
    <w:rsid w:val="000124AE"/>
    <w:rsid w:val="000136A1"/>
    <w:rsid w:val="00013B17"/>
    <w:rsid w:val="00013C07"/>
    <w:rsid w:val="00014D0C"/>
    <w:rsid w:val="00015E53"/>
    <w:rsid w:val="00016112"/>
    <w:rsid w:val="00017318"/>
    <w:rsid w:val="00022387"/>
    <w:rsid w:val="00023FA6"/>
    <w:rsid w:val="000246F7"/>
    <w:rsid w:val="00024DCA"/>
    <w:rsid w:val="0002523D"/>
    <w:rsid w:val="0003114D"/>
    <w:rsid w:val="00031C90"/>
    <w:rsid w:val="00033249"/>
    <w:rsid w:val="00034C73"/>
    <w:rsid w:val="000350C6"/>
    <w:rsid w:val="000351E4"/>
    <w:rsid w:val="00035AFE"/>
    <w:rsid w:val="000366F6"/>
    <w:rsid w:val="00036D76"/>
    <w:rsid w:val="00041BA3"/>
    <w:rsid w:val="00042180"/>
    <w:rsid w:val="00044D3C"/>
    <w:rsid w:val="000453FB"/>
    <w:rsid w:val="00045C69"/>
    <w:rsid w:val="00045CFD"/>
    <w:rsid w:val="00046084"/>
    <w:rsid w:val="000460C7"/>
    <w:rsid w:val="00046D7E"/>
    <w:rsid w:val="00047253"/>
    <w:rsid w:val="00047976"/>
    <w:rsid w:val="00047C00"/>
    <w:rsid w:val="00051EFB"/>
    <w:rsid w:val="00054397"/>
    <w:rsid w:val="000550E0"/>
    <w:rsid w:val="00057F32"/>
    <w:rsid w:val="00060C5A"/>
    <w:rsid w:val="000610E6"/>
    <w:rsid w:val="00061BD4"/>
    <w:rsid w:val="00062A25"/>
    <w:rsid w:val="0006526C"/>
    <w:rsid w:val="000653A0"/>
    <w:rsid w:val="00066E95"/>
    <w:rsid w:val="0007351C"/>
    <w:rsid w:val="00073BAD"/>
    <w:rsid w:val="00073CB5"/>
    <w:rsid w:val="0007421E"/>
    <w:rsid w:val="0007425C"/>
    <w:rsid w:val="00076BC4"/>
    <w:rsid w:val="00077553"/>
    <w:rsid w:val="00077AB4"/>
    <w:rsid w:val="00077CDD"/>
    <w:rsid w:val="000807AA"/>
    <w:rsid w:val="0008098C"/>
    <w:rsid w:val="00083ECA"/>
    <w:rsid w:val="00084D74"/>
    <w:rsid w:val="000850B2"/>
    <w:rsid w:val="0008517A"/>
    <w:rsid w:val="000851A2"/>
    <w:rsid w:val="00085E97"/>
    <w:rsid w:val="00086112"/>
    <w:rsid w:val="00086EB9"/>
    <w:rsid w:val="00087CBD"/>
    <w:rsid w:val="000903DF"/>
    <w:rsid w:val="00092A89"/>
    <w:rsid w:val="00092C7A"/>
    <w:rsid w:val="0009352E"/>
    <w:rsid w:val="0009385F"/>
    <w:rsid w:val="00093CE2"/>
    <w:rsid w:val="000942DF"/>
    <w:rsid w:val="0009473A"/>
    <w:rsid w:val="00094F32"/>
    <w:rsid w:val="000953A5"/>
    <w:rsid w:val="000969A3"/>
    <w:rsid w:val="00096B96"/>
    <w:rsid w:val="00096D1D"/>
    <w:rsid w:val="000A2F3F"/>
    <w:rsid w:val="000A31F4"/>
    <w:rsid w:val="000A4048"/>
    <w:rsid w:val="000A5468"/>
    <w:rsid w:val="000A5601"/>
    <w:rsid w:val="000A5DCF"/>
    <w:rsid w:val="000A79ED"/>
    <w:rsid w:val="000B0B4A"/>
    <w:rsid w:val="000B0D7F"/>
    <w:rsid w:val="000B1BE3"/>
    <w:rsid w:val="000B279A"/>
    <w:rsid w:val="000B2A9D"/>
    <w:rsid w:val="000B32AF"/>
    <w:rsid w:val="000B3788"/>
    <w:rsid w:val="000B39AB"/>
    <w:rsid w:val="000B41F0"/>
    <w:rsid w:val="000B4433"/>
    <w:rsid w:val="000B55F0"/>
    <w:rsid w:val="000B61D2"/>
    <w:rsid w:val="000B6679"/>
    <w:rsid w:val="000B70A7"/>
    <w:rsid w:val="000C0190"/>
    <w:rsid w:val="000C39DA"/>
    <w:rsid w:val="000C495F"/>
    <w:rsid w:val="000C532C"/>
    <w:rsid w:val="000C5E33"/>
    <w:rsid w:val="000C69EE"/>
    <w:rsid w:val="000D0ACD"/>
    <w:rsid w:val="000D1B6D"/>
    <w:rsid w:val="000D5946"/>
    <w:rsid w:val="000D5AED"/>
    <w:rsid w:val="000D64E4"/>
    <w:rsid w:val="000D6B5F"/>
    <w:rsid w:val="000E049D"/>
    <w:rsid w:val="000E12FF"/>
    <w:rsid w:val="000E1504"/>
    <w:rsid w:val="000E1693"/>
    <w:rsid w:val="000E3C55"/>
    <w:rsid w:val="000E4FDD"/>
    <w:rsid w:val="000E6431"/>
    <w:rsid w:val="000E6629"/>
    <w:rsid w:val="000E70DD"/>
    <w:rsid w:val="000F0D4E"/>
    <w:rsid w:val="000F1EA9"/>
    <w:rsid w:val="000F21A5"/>
    <w:rsid w:val="000F24AB"/>
    <w:rsid w:val="000F5032"/>
    <w:rsid w:val="00100451"/>
    <w:rsid w:val="001016C7"/>
    <w:rsid w:val="00102B9F"/>
    <w:rsid w:val="001033F0"/>
    <w:rsid w:val="0010417C"/>
    <w:rsid w:val="00104BA5"/>
    <w:rsid w:val="00106931"/>
    <w:rsid w:val="00107F2F"/>
    <w:rsid w:val="00110C43"/>
    <w:rsid w:val="00111F33"/>
    <w:rsid w:val="00112637"/>
    <w:rsid w:val="00112ABC"/>
    <w:rsid w:val="00112C86"/>
    <w:rsid w:val="00116481"/>
    <w:rsid w:val="0011654F"/>
    <w:rsid w:val="00116593"/>
    <w:rsid w:val="001171A3"/>
    <w:rsid w:val="0012001E"/>
    <w:rsid w:val="0012185D"/>
    <w:rsid w:val="00122958"/>
    <w:rsid w:val="0012357E"/>
    <w:rsid w:val="00123869"/>
    <w:rsid w:val="00124E22"/>
    <w:rsid w:val="00125090"/>
    <w:rsid w:val="0012578F"/>
    <w:rsid w:val="00125901"/>
    <w:rsid w:val="00126A55"/>
    <w:rsid w:val="0012703F"/>
    <w:rsid w:val="00130B0F"/>
    <w:rsid w:val="0013148D"/>
    <w:rsid w:val="001315FF"/>
    <w:rsid w:val="00133712"/>
    <w:rsid w:val="00133F08"/>
    <w:rsid w:val="00133FB5"/>
    <w:rsid w:val="001345E6"/>
    <w:rsid w:val="001373D7"/>
    <w:rsid w:val="001378B0"/>
    <w:rsid w:val="00137A65"/>
    <w:rsid w:val="0014010E"/>
    <w:rsid w:val="00141391"/>
    <w:rsid w:val="00142E00"/>
    <w:rsid w:val="00142F04"/>
    <w:rsid w:val="001437D3"/>
    <w:rsid w:val="001458F9"/>
    <w:rsid w:val="0014617E"/>
    <w:rsid w:val="00150975"/>
    <w:rsid w:val="00150D75"/>
    <w:rsid w:val="001518FC"/>
    <w:rsid w:val="00152117"/>
    <w:rsid w:val="00152793"/>
    <w:rsid w:val="00152BA9"/>
    <w:rsid w:val="00153069"/>
    <w:rsid w:val="00153B7E"/>
    <w:rsid w:val="001545A9"/>
    <w:rsid w:val="00155875"/>
    <w:rsid w:val="00156B5A"/>
    <w:rsid w:val="001573ED"/>
    <w:rsid w:val="001622F7"/>
    <w:rsid w:val="0016336B"/>
    <w:rsid w:val="001637C7"/>
    <w:rsid w:val="0016480E"/>
    <w:rsid w:val="0016543E"/>
    <w:rsid w:val="00165AC6"/>
    <w:rsid w:val="001660C3"/>
    <w:rsid w:val="001735FE"/>
    <w:rsid w:val="001736E4"/>
    <w:rsid w:val="001739EB"/>
    <w:rsid w:val="00174297"/>
    <w:rsid w:val="00174593"/>
    <w:rsid w:val="00176718"/>
    <w:rsid w:val="00177F40"/>
    <w:rsid w:val="00180E06"/>
    <w:rsid w:val="00180FE9"/>
    <w:rsid w:val="001817B3"/>
    <w:rsid w:val="00183014"/>
    <w:rsid w:val="00183983"/>
    <w:rsid w:val="00183EB5"/>
    <w:rsid w:val="001938D9"/>
    <w:rsid w:val="001959C2"/>
    <w:rsid w:val="00196529"/>
    <w:rsid w:val="00196BA2"/>
    <w:rsid w:val="001A0D31"/>
    <w:rsid w:val="001A2AEB"/>
    <w:rsid w:val="001A2C0E"/>
    <w:rsid w:val="001A2D1A"/>
    <w:rsid w:val="001A39E5"/>
    <w:rsid w:val="001A4442"/>
    <w:rsid w:val="001A4973"/>
    <w:rsid w:val="001A51E3"/>
    <w:rsid w:val="001A76E5"/>
    <w:rsid w:val="001A7968"/>
    <w:rsid w:val="001B2E98"/>
    <w:rsid w:val="001B3483"/>
    <w:rsid w:val="001B3C1E"/>
    <w:rsid w:val="001B4494"/>
    <w:rsid w:val="001B53A1"/>
    <w:rsid w:val="001B608E"/>
    <w:rsid w:val="001B628A"/>
    <w:rsid w:val="001B6B93"/>
    <w:rsid w:val="001C05BD"/>
    <w:rsid w:val="001C0D8B"/>
    <w:rsid w:val="001C0DA8"/>
    <w:rsid w:val="001C1BB8"/>
    <w:rsid w:val="001C22A3"/>
    <w:rsid w:val="001C22CE"/>
    <w:rsid w:val="001C55B3"/>
    <w:rsid w:val="001D0C8F"/>
    <w:rsid w:val="001D3248"/>
    <w:rsid w:val="001D4AD7"/>
    <w:rsid w:val="001D66EA"/>
    <w:rsid w:val="001D7C78"/>
    <w:rsid w:val="001E0D8A"/>
    <w:rsid w:val="001E0EC6"/>
    <w:rsid w:val="001E1272"/>
    <w:rsid w:val="001E455B"/>
    <w:rsid w:val="001E67BA"/>
    <w:rsid w:val="001E74C2"/>
    <w:rsid w:val="001E7D83"/>
    <w:rsid w:val="001F2DA7"/>
    <w:rsid w:val="001F35BF"/>
    <w:rsid w:val="001F380F"/>
    <w:rsid w:val="001F44B6"/>
    <w:rsid w:val="001F5A48"/>
    <w:rsid w:val="001F6260"/>
    <w:rsid w:val="001F67AD"/>
    <w:rsid w:val="001F6CED"/>
    <w:rsid w:val="001F76F0"/>
    <w:rsid w:val="00200007"/>
    <w:rsid w:val="00200BAA"/>
    <w:rsid w:val="00200C04"/>
    <w:rsid w:val="00201528"/>
    <w:rsid w:val="002030A5"/>
    <w:rsid w:val="00203131"/>
    <w:rsid w:val="002031AB"/>
    <w:rsid w:val="00203A22"/>
    <w:rsid w:val="00205F11"/>
    <w:rsid w:val="00206398"/>
    <w:rsid w:val="002070DE"/>
    <w:rsid w:val="00207F55"/>
    <w:rsid w:val="0021092C"/>
    <w:rsid w:val="00211BDA"/>
    <w:rsid w:val="002126ED"/>
    <w:rsid w:val="00212E88"/>
    <w:rsid w:val="00212F33"/>
    <w:rsid w:val="00213C9C"/>
    <w:rsid w:val="0021490D"/>
    <w:rsid w:val="002154CC"/>
    <w:rsid w:val="00216191"/>
    <w:rsid w:val="002164F0"/>
    <w:rsid w:val="0022009E"/>
    <w:rsid w:val="002218C9"/>
    <w:rsid w:val="00223241"/>
    <w:rsid w:val="0022387B"/>
    <w:rsid w:val="0022425C"/>
    <w:rsid w:val="002246DE"/>
    <w:rsid w:val="00227142"/>
    <w:rsid w:val="002306C0"/>
    <w:rsid w:val="00230CCF"/>
    <w:rsid w:val="002331CC"/>
    <w:rsid w:val="002333BF"/>
    <w:rsid w:val="002339AA"/>
    <w:rsid w:val="00236E0B"/>
    <w:rsid w:val="002373F4"/>
    <w:rsid w:val="002376C8"/>
    <w:rsid w:val="00240221"/>
    <w:rsid w:val="002426A8"/>
    <w:rsid w:val="002435E6"/>
    <w:rsid w:val="0024504F"/>
    <w:rsid w:val="0024512D"/>
    <w:rsid w:val="00245283"/>
    <w:rsid w:val="002453F5"/>
    <w:rsid w:val="00245667"/>
    <w:rsid w:val="00247617"/>
    <w:rsid w:val="002528E1"/>
    <w:rsid w:val="00252BC4"/>
    <w:rsid w:val="00254014"/>
    <w:rsid w:val="002543B2"/>
    <w:rsid w:val="002546D2"/>
    <w:rsid w:val="00254879"/>
    <w:rsid w:val="0025492D"/>
    <w:rsid w:val="00255DC1"/>
    <w:rsid w:val="00260469"/>
    <w:rsid w:val="00260844"/>
    <w:rsid w:val="0026356E"/>
    <w:rsid w:val="0026504D"/>
    <w:rsid w:val="002659C1"/>
    <w:rsid w:val="00265BB8"/>
    <w:rsid w:val="002662F0"/>
    <w:rsid w:val="00266310"/>
    <w:rsid w:val="00266D82"/>
    <w:rsid w:val="00267983"/>
    <w:rsid w:val="00267EA4"/>
    <w:rsid w:val="00271DF9"/>
    <w:rsid w:val="0027318C"/>
    <w:rsid w:val="00273A2F"/>
    <w:rsid w:val="002749D2"/>
    <w:rsid w:val="00275466"/>
    <w:rsid w:val="002755ED"/>
    <w:rsid w:val="00280324"/>
    <w:rsid w:val="00280986"/>
    <w:rsid w:val="00281035"/>
    <w:rsid w:val="002818CF"/>
    <w:rsid w:val="00281ECE"/>
    <w:rsid w:val="00282863"/>
    <w:rsid w:val="002831C7"/>
    <w:rsid w:val="00283810"/>
    <w:rsid w:val="002840C6"/>
    <w:rsid w:val="002856A3"/>
    <w:rsid w:val="00287F41"/>
    <w:rsid w:val="00287F57"/>
    <w:rsid w:val="00290784"/>
    <w:rsid w:val="00295174"/>
    <w:rsid w:val="002953E9"/>
    <w:rsid w:val="00296172"/>
    <w:rsid w:val="00296B92"/>
    <w:rsid w:val="002A1F9D"/>
    <w:rsid w:val="002A2C22"/>
    <w:rsid w:val="002A6160"/>
    <w:rsid w:val="002A6C54"/>
    <w:rsid w:val="002A75C4"/>
    <w:rsid w:val="002A776D"/>
    <w:rsid w:val="002B02EB"/>
    <w:rsid w:val="002B0CE5"/>
    <w:rsid w:val="002B1D9E"/>
    <w:rsid w:val="002B3D36"/>
    <w:rsid w:val="002B3E51"/>
    <w:rsid w:val="002B5ADE"/>
    <w:rsid w:val="002C0602"/>
    <w:rsid w:val="002C0C67"/>
    <w:rsid w:val="002C4B58"/>
    <w:rsid w:val="002C648E"/>
    <w:rsid w:val="002C66D9"/>
    <w:rsid w:val="002C7017"/>
    <w:rsid w:val="002D0ACB"/>
    <w:rsid w:val="002D13B5"/>
    <w:rsid w:val="002D36D8"/>
    <w:rsid w:val="002D4A74"/>
    <w:rsid w:val="002D54AF"/>
    <w:rsid w:val="002D5C16"/>
    <w:rsid w:val="002D699A"/>
    <w:rsid w:val="002D6AE6"/>
    <w:rsid w:val="002E0DE3"/>
    <w:rsid w:val="002E1FFA"/>
    <w:rsid w:val="002E2E97"/>
    <w:rsid w:val="002E5036"/>
    <w:rsid w:val="002E6AD6"/>
    <w:rsid w:val="002E6EE4"/>
    <w:rsid w:val="002E7176"/>
    <w:rsid w:val="002F0306"/>
    <w:rsid w:val="002F2A1F"/>
    <w:rsid w:val="002F3CE7"/>
    <w:rsid w:val="002F3DFF"/>
    <w:rsid w:val="002F4163"/>
    <w:rsid w:val="002F44E8"/>
    <w:rsid w:val="002F5E05"/>
    <w:rsid w:val="002F748F"/>
    <w:rsid w:val="002F779C"/>
    <w:rsid w:val="003025A4"/>
    <w:rsid w:val="003059DA"/>
    <w:rsid w:val="00305A44"/>
    <w:rsid w:val="00306DFB"/>
    <w:rsid w:val="00306EA0"/>
    <w:rsid w:val="00307F2F"/>
    <w:rsid w:val="00311C5C"/>
    <w:rsid w:val="00313E44"/>
    <w:rsid w:val="00314063"/>
    <w:rsid w:val="0031474D"/>
    <w:rsid w:val="00314F3B"/>
    <w:rsid w:val="00315A16"/>
    <w:rsid w:val="00317053"/>
    <w:rsid w:val="00320143"/>
    <w:rsid w:val="0032109C"/>
    <w:rsid w:val="00321E43"/>
    <w:rsid w:val="00322371"/>
    <w:rsid w:val="00322B45"/>
    <w:rsid w:val="00323809"/>
    <w:rsid w:val="00323D41"/>
    <w:rsid w:val="00324ACE"/>
    <w:rsid w:val="00325414"/>
    <w:rsid w:val="0032573F"/>
    <w:rsid w:val="00325A50"/>
    <w:rsid w:val="003269B3"/>
    <w:rsid w:val="00327219"/>
    <w:rsid w:val="00327F04"/>
    <w:rsid w:val="003302F1"/>
    <w:rsid w:val="0033367A"/>
    <w:rsid w:val="003344C0"/>
    <w:rsid w:val="00334A63"/>
    <w:rsid w:val="00335B31"/>
    <w:rsid w:val="00335CF6"/>
    <w:rsid w:val="0034165C"/>
    <w:rsid w:val="003430BC"/>
    <w:rsid w:val="003436A2"/>
    <w:rsid w:val="0034470E"/>
    <w:rsid w:val="00347CED"/>
    <w:rsid w:val="00350A4E"/>
    <w:rsid w:val="00351390"/>
    <w:rsid w:val="00352599"/>
    <w:rsid w:val="00352DB0"/>
    <w:rsid w:val="003532E9"/>
    <w:rsid w:val="003533C1"/>
    <w:rsid w:val="0035347C"/>
    <w:rsid w:val="00356A33"/>
    <w:rsid w:val="00356A54"/>
    <w:rsid w:val="00356A6E"/>
    <w:rsid w:val="00357C07"/>
    <w:rsid w:val="00361063"/>
    <w:rsid w:val="00361617"/>
    <w:rsid w:val="0036203F"/>
    <w:rsid w:val="00362437"/>
    <w:rsid w:val="00362C51"/>
    <w:rsid w:val="00364D34"/>
    <w:rsid w:val="00365681"/>
    <w:rsid w:val="00365B33"/>
    <w:rsid w:val="00366771"/>
    <w:rsid w:val="00366BFD"/>
    <w:rsid w:val="003703D6"/>
    <w:rsid w:val="0037094A"/>
    <w:rsid w:val="00371ED3"/>
    <w:rsid w:val="00372FFC"/>
    <w:rsid w:val="0037456E"/>
    <w:rsid w:val="003762CF"/>
    <w:rsid w:val="00376898"/>
    <w:rsid w:val="0037728A"/>
    <w:rsid w:val="00377C00"/>
    <w:rsid w:val="003803A6"/>
    <w:rsid w:val="00380B7D"/>
    <w:rsid w:val="00381A99"/>
    <w:rsid w:val="003829C2"/>
    <w:rsid w:val="003830B2"/>
    <w:rsid w:val="00383E60"/>
    <w:rsid w:val="00384724"/>
    <w:rsid w:val="00385DAB"/>
    <w:rsid w:val="0038691C"/>
    <w:rsid w:val="0038704F"/>
    <w:rsid w:val="003919B7"/>
    <w:rsid w:val="003919FB"/>
    <w:rsid w:val="00391D57"/>
    <w:rsid w:val="00392207"/>
    <w:rsid w:val="00392292"/>
    <w:rsid w:val="00392731"/>
    <w:rsid w:val="00397470"/>
    <w:rsid w:val="003A0FBD"/>
    <w:rsid w:val="003A2B92"/>
    <w:rsid w:val="003A3DCA"/>
    <w:rsid w:val="003A475C"/>
    <w:rsid w:val="003A549A"/>
    <w:rsid w:val="003A6AB6"/>
    <w:rsid w:val="003A6FD5"/>
    <w:rsid w:val="003A7DDD"/>
    <w:rsid w:val="003B1017"/>
    <w:rsid w:val="003B1158"/>
    <w:rsid w:val="003B1F10"/>
    <w:rsid w:val="003B3C07"/>
    <w:rsid w:val="003B40E9"/>
    <w:rsid w:val="003B4783"/>
    <w:rsid w:val="003B4B7B"/>
    <w:rsid w:val="003B53D4"/>
    <w:rsid w:val="003B5A16"/>
    <w:rsid w:val="003B6370"/>
    <w:rsid w:val="003B6775"/>
    <w:rsid w:val="003B7529"/>
    <w:rsid w:val="003B774E"/>
    <w:rsid w:val="003B7823"/>
    <w:rsid w:val="003C2088"/>
    <w:rsid w:val="003C22E3"/>
    <w:rsid w:val="003C2A35"/>
    <w:rsid w:val="003C41F7"/>
    <w:rsid w:val="003C5FE2"/>
    <w:rsid w:val="003D05FB"/>
    <w:rsid w:val="003D1B16"/>
    <w:rsid w:val="003D29BF"/>
    <w:rsid w:val="003D2DB5"/>
    <w:rsid w:val="003D389A"/>
    <w:rsid w:val="003D45BF"/>
    <w:rsid w:val="003D490A"/>
    <w:rsid w:val="003D4C49"/>
    <w:rsid w:val="003D508A"/>
    <w:rsid w:val="003D537F"/>
    <w:rsid w:val="003D5A27"/>
    <w:rsid w:val="003D6530"/>
    <w:rsid w:val="003D7B75"/>
    <w:rsid w:val="003D7BFE"/>
    <w:rsid w:val="003D7E69"/>
    <w:rsid w:val="003E0208"/>
    <w:rsid w:val="003E1AB8"/>
    <w:rsid w:val="003E4B57"/>
    <w:rsid w:val="003E4B71"/>
    <w:rsid w:val="003E60A3"/>
    <w:rsid w:val="003E7F60"/>
    <w:rsid w:val="003F1F8E"/>
    <w:rsid w:val="003F27E1"/>
    <w:rsid w:val="003F437A"/>
    <w:rsid w:val="003F53C7"/>
    <w:rsid w:val="003F5C2B"/>
    <w:rsid w:val="003F628B"/>
    <w:rsid w:val="003F712D"/>
    <w:rsid w:val="003F7B99"/>
    <w:rsid w:val="003F7BAE"/>
    <w:rsid w:val="0040105B"/>
    <w:rsid w:val="004019DB"/>
    <w:rsid w:val="004023E9"/>
    <w:rsid w:val="00402DED"/>
    <w:rsid w:val="0040300B"/>
    <w:rsid w:val="00403B1E"/>
    <w:rsid w:val="0040454A"/>
    <w:rsid w:val="004051B5"/>
    <w:rsid w:val="00406FBC"/>
    <w:rsid w:val="00407E59"/>
    <w:rsid w:val="00411B2C"/>
    <w:rsid w:val="00413A04"/>
    <w:rsid w:val="00413F83"/>
    <w:rsid w:val="00414425"/>
    <w:rsid w:val="0041490C"/>
    <w:rsid w:val="00415B32"/>
    <w:rsid w:val="00415DE8"/>
    <w:rsid w:val="00416191"/>
    <w:rsid w:val="00416721"/>
    <w:rsid w:val="0041703C"/>
    <w:rsid w:val="004179C7"/>
    <w:rsid w:val="00417A77"/>
    <w:rsid w:val="00421EF0"/>
    <w:rsid w:val="004224FA"/>
    <w:rsid w:val="004227DC"/>
    <w:rsid w:val="004230F1"/>
    <w:rsid w:val="00423528"/>
    <w:rsid w:val="00423D07"/>
    <w:rsid w:val="00423D1A"/>
    <w:rsid w:val="00424340"/>
    <w:rsid w:val="00426298"/>
    <w:rsid w:val="00426F1B"/>
    <w:rsid w:val="00426F35"/>
    <w:rsid w:val="0043035B"/>
    <w:rsid w:val="004312DB"/>
    <w:rsid w:val="00431855"/>
    <w:rsid w:val="00432E1E"/>
    <w:rsid w:val="0043466A"/>
    <w:rsid w:val="00436D5B"/>
    <w:rsid w:val="004407E8"/>
    <w:rsid w:val="0044206B"/>
    <w:rsid w:val="00442B5F"/>
    <w:rsid w:val="0044346F"/>
    <w:rsid w:val="004438BB"/>
    <w:rsid w:val="0044487B"/>
    <w:rsid w:val="00444C3A"/>
    <w:rsid w:val="0045107F"/>
    <w:rsid w:val="00452A94"/>
    <w:rsid w:val="004535DC"/>
    <w:rsid w:val="004539FB"/>
    <w:rsid w:val="00454A45"/>
    <w:rsid w:val="004551E2"/>
    <w:rsid w:val="00455CC7"/>
    <w:rsid w:val="00456A4D"/>
    <w:rsid w:val="004576AB"/>
    <w:rsid w:val="00460FDF"/>
    <w:rsid w:val="00463109"/>
    <w:rsid w:val="00464379"/>
    <w:rsid w:val="004647E1"/>
    <w:rsid w:val="0046520A"/>
    <w:rsid w:val="004652EC"/>
    <w:rsid w:val="00465A21"/>
    <w:rsid w:val="004672AB"/>
    <w:rsid w:val="004708AB"/>
    <w:rsid w:val="004714FE"/>
    <w:rsid w:val="004715DD"/>
    <w:rsid w:val="00473E32"/>
    <w:rsid w:val="00474722"/>
    <w:rsid w:val="00474DB3"/>
    <w:rsid w:val="004750E3"/>
    <w:rsid w:val="00477280"/>
    <w:rsid w:val="00477BAA"/>
    <w:rsid w:val="0048141D"/>
    <w:rsid w:val="00484667"/>
    <w:rsid w:val="00484C4B"/>
    <w:rsid w:val="00485C16"/>
    <w:rsid w:val="004862F3"/>
    <w:rsid w:val="004864D0"/>
    <w:rsid w:val="0048655F"/>
    <w:rsid w:val="00486746"/>
    <w:rsid w:val="004872A3"/>
    <w:rsid w:val="00487A65"/>
    <w:rsid w:val="004908E4"/>
    <w:rsid w:val="00490CB4"/>
    <w:rsid w:val="00494BB1"/>
    <w:rsid w:val="00495053"/>
    <w:rsid w:val="004A06D6"/>
    <w:rsid w:val="004A0717"/>
    <w:rsid w:val="004A1F59"/>
    <w:rsid w:val="004A2454"/>
    <w:rsid w:val="004A29BE"/>
    <w:rsid w:val="004A3225"/>
    <w:rsid w:val="004A33EE"/>
    <w:rsid w:val="004A3AA8"/>
    <w:rsid w:val="004A3B51"/>
    <w:rsid w:val="004A5503"/>
    <w:rsid w:val="004A5B95"/>
    <w:rsid w:val="004B0642"/>
    <w:rsid w:val="004B072E"/>
    <w:rsid w:val="004B13C7"/>
    <w:rsid w:val="004B1CC3"/>
    <w:rsid w:val="004B410D"/>
    <w:rsid w:val="004B4551"/>
    <w:rsid w:val="004B5DA8"/>
    <w:rsid w:val="004B63C9"/>
    <w:rsid w:val="004B6AF3"/>
    <w:rsid w:val="004B778F"/>
    <w:rsid w:val="004C012A"/>
    <w:rsid w:val="004C11E5"/>
    <w:rsid w:val="004C1719"/>
    <w:rsid w:val="004C1A1D"/>
    <w:rsid w:val="004C3654"/>
    <w:rsid w:val="004C47C7"/>
    <w:rsid w:val="004C4D77"/>
    <w:rsid w:val="004C732A"/>
    <w:rsid w:val="004C73C3"/>
    <w:rsid w:val="004C7A3B"/>
    <w:rsid w:val="004D093C"/>
    <w:rsid w:val="004D141F"/>
    <w:rsid w:val="004D2742"/>
    <w:rsid w:val="004D6310"/>
    <w:rsid w:val="004D67D5"/>
    <w:rsid w:val="004D67F4"/>
    <w:rsid w:val="004D7B5F"/>
    <w:rsid w:val="004E0062"/>
    <w:rsid w:val="004E05A1"/>
    <w:rsid w:val="004E1406"/>
    <w:rsid w:val="004E1901"/>
    <w:rsid w:val="004E2668"/>
    <w:rsid w:val="004E3248"/>
    <w:rsid w:val="004E442E"/>
    <w:rsid w:val="004E458E"/>
    <w:rsid w:val="004E5AB7"/>
    <w:rsid w:val="004E6E5E"/>
    <w:rsid w:val="004E72FE"/>
    <w:rsid w:val="004F034F"/>
    <w:rsid w:val="004F0A41"/>
    <w:rsid w:val="004F1B76"/>
    <w:rsid w:val="004F1D09"/>
    <w:rsid w:val="004F3516"/>
    <w:rsid w:val="004F4BF3"/>
    <w:rsid w:val="004F5E57"/>
    <w:rsid w:val="004F6710"/>
    <w:rsid w:val="004F6788"/>
    <w:rsid w:val="004F6E53"/>
    <w:rsid w:val="004F75C7"/>
    <w:rsid w:val="00500C3E"/>
    <w:rsid w:val="005012ED"/>
    <w:rsid w:val="00502849"/>
    <w:rsid w:val="00504334"/>
    <w:rsid w:val="0050498D"/>
    <w:rsid w:val="00506609"/>
    <w:rsid w:val="00506902"/>
    <w:rsid w:val="00507C8B"/>
    <w:rsid w:val="005104D7"/>
    <w:rsid w:val="005109AC"/>
    <w:rsid w:val="00510B2F"/>
    <w:rsid w:val="00510B9E"/>
    <w:rsid w:val="00510C7B"/>
    <w:rsid w:val="00511248"/>
    <w:rsid w:val="00511DE1"/>
    <w:rsid w:val="0051248E"/>
    <w:rsid w:val="00513659"/>
    <w:rsid w:val="00515749"/>
    <w:rsid w:val="0051614B"/>
    <w:rsid w:val="00522C23"/>
    <w:rsid w:val="0052308C"/>
    <w:rsid w:val="0052541C"/>
    <w:rsid w:val="00527D12"/>
    <w:rsid w:val="00531235"/>
    <w:rsid w:val="00531E60"/>
    <w:rsid w:val="00534CAC"/>
    <w:rsid w:val="00535335"/>
    <w:rsid w:val="00536BC2"/>
    <w:rsid w:val="0054024F"/>
    <w:rsid w:val="00541B2B"/>
    <w:rsid w:val="005425E1"/>
    <w:rsid w:val="0054278B"/>
    <w:rsid w:val="005427C5"/>
    <w:rsid w:val="005429AD"/>
    <w:rsid w:val="00542CF6"/>
    <w:rsid w:val="00543E77"/>
    <w:rsid w:val="00543F20"/>
    <w:rsid w:val="0054410B"/>
    <w:rsid w:val="00544D3C"/>
    <w:rsid w:val="00544E6D"/>
    <w:rsid w:val="0054594C"/>
    <w:rsid w:val="00547ABA"/>
    <w:rsid w:val="00553C03"/>
    <w:rsid w:val="00554BCF"/>
    <w:rsid w:val="005551AD"/>
    <w:rsid w:val="00556B5D"/>
    <w:rsid w:val="005570DF"/>
    <w:rsid w:val="00562AC9"/>
    <w:rsid w:val="00563692"/>
    <w:rsid w:val="00563C11"/>
    <w:rsid w:val="00566C86"/>
    <w:rsid w:val="005700A7"/>
    <w:rsid w:val="00571679"/>
    <w:rsid w:val="0057195F"/>
    <w:rsid w:val="00571A82"/>
    <w:rsid w:val="005727B5"/>
    <w:rsid w:val="00572826"/>
    <w:rsid w:val="0057310F"/>
    <w:rsid w:val="0057394E"/>
    <w:rsid w:val="005772DF"/>
    <w:rsid w:val="005778F3"/>
    <w:rsid w:val="005818F2"/>
    <w:rsid w:val="00581C51"/>
    <w:rsid w:val="00583427"/>
    <w:rsid w:val="00583F6C"/>
    <w:rsid w:val="00584433"/>
    <w:rsid w:val="005844E7"/>
    <w:rsid w:val="00585B1C"/>
    <w:rsid w:val="00587C2F"/>
    <w:rsid w:val="005901FE"/>
    <w:rsid w:val="0059034D"/>
    <w:rsid w:val="005908B8"/>
    <w:rsid w:val="00590A07"/>
    <w:rsid w:val="005930D4"/>
    <w:rsid w:val="005935DB"/>
    <w:rsid w:val="00594BE5"/>
    <w:rsid w:val="0059512E"/>
    <w:rsid w:val="005962A4"/>
    <w:rsid w:val="0059716D"/>
    <w:rsid w:val="005A0434"/>
    <w:rsid w:val="005A1685"/>
    <w:rsid w:val="005A1BB7"/>
    <w:rsid w:val="005A344B"/>
    <w:rsid w:val="005A39A7"/>
    <w:rsid w:val="005A39DD"/>
    <w:rsid w:val="005A64FD"/>
    <w:rsid w:val="005A6DD2"/>
    <w:rsid w:val="005A7C40"/>
    <w:rsid w:val="005B1D9C"/>
    <w:rsid w:val="005B205B"/>
    <w:rsid w:val="005B259B"/>
    <w:rsid w:val="005B26D1"/>
    <w:rsid w:val="005B5851"/>
    <w:rsid w:val="005C0548"/>
    <w:rsid w:val="005C385D"/>
    <w:rsid w:val="005C38C6"/>
    <w:rsid w:val="005C4FD8"/>
    <w:rsid w:val="005C7756"/>
    <w:rsid w:val="005D0B87"/>
    <w:rsid w:val="005D1FBA"/>
    <w:rsid w:val="005D3A5B"/>
    <w:rsid w:val="005D3B20"/>
    <w:rsid w:val="005D5178"/>
    <w:rsid w:val="005D65D8"/>
    <w:rsid w:val="005E1F66"/>
    <w:rsid w:val="005E340B"/>
    <w:rsid w:val="005E4759"/>
    <w:rsid w:val="005E4CB0"/>
    <w:rsid w:val="005E5694"/>
    <w:rsid w:val="005E5987"/>
    <w:rsid w:val="005E5C68"/>
    <w:rsid w:val="005E63CA"/>
    <w:rsid w:val="005E65C0"/>
    <w:rsid w:val="005E665D"/>
    <w:rsid w:val="005E666F"/>
    <w:rsid w:val="005E70AF"/>
    <w:rsid w:val="005E76AE"/>
    <w:rsid w:val="005F0345"/>
    <w:rsid w:val="005F0390"/>
    <w:rsid w:val="005F049E"/>
    <w:rsid w:val="005F06CE"/>
    <w:rsid w:val="005F14F5"/>
    <w:rsid w:val="005F30FC"/>
    <w:rsid w:val="005F3569"/>
    <w:rsid w:val="005F747B"/>
    <w:rsid w:val="005F7A87"/>
    <w:rsid w:val="0060097C"/>
    <w:rsid w:val="0060097D"/>
    <w:rsid w:val="00601DC2"/>
    <w:rsid w:val="006052DE"/>
    <w:rsid w:val="00606B66"/>
    <w:rsid w:val="006072CD"/>
    <w:rsid w:val="006078DD"/>
    <w:rsid w:val="0061020F"/>
    <w:rsid w:val="00612023"/>
    <w:rsid w:val="00612A06"/>
    <w:rsid w:val="00612B79"/>
    <w:rsid w:val="00613640"/>
    <w:rsid w:val="00613A98"/>
    <w:rsid w:val="00613F5C"/>
    <w:rsid w:val="00614190"/>
    <w:rsid w:val="00615956"/>
    <w:rsid w:val="00615E07"/>
    <w:rsid w:val="00616004"/>
    <w:rsid w:val="00616E82"/>
    <w:rsid w:val="0061724A"/>
    <w:rsid w:val="00617B04"/>
    <w:rsid w:val="00617B26"/>
    <w:rsid w:val="00622A99"/>
    <w:rsid w:val="00622E67"/>
    <w:rsid w:val="00623C7C"/>
    <w:rsid w:val="00623C93"/>
    <w:rsid w:val="00625775"/>
    <w:rsid w:val="00626645"/>
    <w:rsid w:val="00626D1D"/>
    <w:rsid w:val="00626EDC"/>
    <w:rsid w:val="00630E51"/>
    <w:rsid w:val="006327C2"/>
    <w:rsid w:val="0063370D"/>
    <w:rsid w:val="006345E6"/>
    <w:rsid w:val="006353AF"/>
    <w:rsid w:val="006356F4"/>
    <w:rsid w:val="00635D13"/>
    <w:rsid w:val="006401B2"/>
    <w:rsid w:val="006435C6"/>
    <w:rsid w:val="00643B02"/>
    <w:rsid w:val="00644878"/>
    <w:rsid w:val="006451EA"/>
    <w:rsid w:val="006463F7"/>
    <w:rsid w:val="006470EC"/>
    <w:rsid w:val="006542D6"/>
    <w:rsid w:val="00654620"/>
    <w:rsid w:val="0065598E"/>
    <w:rsid w:val="00655AF2"/>
    <w:rsid w:val="00655BC5"/>
    <w:rsid w:val="006568BE"/>
    <w:rsid w:val="0066025D"/>
    <w:rsid w:val="0066091A"/>
    <w:rsid w:val="006625F3"/>
    <w:rsid w:val="00662BF5"/>
    <w:rsid w:val="00663B97"/>
    <w:rsid w:val="006673F2"/>
    <w:rsid w:val="006735E9"/>
    <w:rsid w:val="00674C53"/>
    <w:rsid w:val="00674C7E"/>
    <w:rsid w:val="00675EE4"/>
    <w:rsid w:val="0067709C"/>
    <w:rsid w:val="006773EC"/>
    <w:rsid w:val="00680504"/>
    <w:rsid w:val="00681CD9"/>
    <w:rsid w:val="00681F7B"/>
    <w:rsid w:val="006824D0"/>
    <w:rsid w:val="00683E30"/>
    <w:rsid w:val="00684F4D"/>
    <w:rsid w:val="006855F3"/>
    <w:rsid w:val="006857C9"/>
    <w:rsid w:val="00687024"/>
    <w:rsid w:val="00690BB2"/>
    <w:rsid w:val="00693427"/>
    <w:rsid w:val="00694FDF"/>
    <w:rsid w:val="00695E22"/>
    <w:rsid w:val="0069616E"/>
    <w:rsid w:val="006A03FF"/>
    <w:rsid w:val="006A08ED"/>
    <w:rsid w:val="006A41AE"/>
    <w:rsid w:val="006A43EE"/>
    <w:rsid w:val="006A44A6"/>
    <w:rsid w:val="006A482F"/>
    <w:rsid w:val="006B146C"/>
    <w:rsid w:val="006B35A7"/>
    <w:rsid w:val="006B69B6"/>
    <w:rsid w:val="006B69C7"/>
    <w:rsid w:val="006B7093"/>
    <w:rsid w:val="006B7417"/>
    <w:rsid w:val="006C0E6D"/>
    <w:rsid w:val="006C20EA"/>
    <w:rsid w:val="006C3E31"/>
    <w:rsid w:val="006C4820"/>
    <w:rsid w:val="006C5DAE"/>
    <w:rsid w:val="006C7005"/>
    <w:rsid w:val="006C715B"/>
    <w:rsid w:val="006C72D8"/>
    <w:rsid w:val="006C7F81"/>
    <w:rsid w:val="006D0163"/>
    <w:rsid w:val="006D04DE"/>
    <w:rsid w:val="006D186E"/>
    <w:rsid w:val="006D2C7C"/>
    <w:rsid w:val="006D3098"/>
    <w:rsid w:val="006D3691"/>
    <w:rsid w:val="006D37CD"/>
    <w:rsid w:val="006D5BE2"/>
    <w:rsid w:val="006D67F5"/>
    <w:rsid w:val="006D756E"/>
    <w:rsid w:val="006D76AE"/>
    <w:rsid w:val="006E061D"/>
    <w:rsid w:val="006E088E"/>
    <w:rsid w:val="006E26F0"/>
    <w:rsid w:val="006E2ADB"/>
    <w:rsid w:val="006E2F27"/>
    <w:rsid w:val="006E3A4E"/>
    <w:rsid w:val="006E420A"/>
    <w:rsid w:val="006E5E40"/>
    <w:rsid w:val="006E5EF0"/>
    <w:rsid w:val="006F0F57"/>
    <w:rsid w:val="006F163E"/>
    <w:rsid w:val="006F3563"/>
    <w:rsid w:val="006F3618"/>
    <w:rsid w:val="006F3F2B"/>
    <w:rsid w:val="006F42B9"/>
    <w:rsid w:val="006F43D8"/>
    <w:rsid w:val="006F4703"/>
    <w:rsid w:val="006F5EDB"/>
    <w:rsid w:val="006F6103"/>
    <w:rsid w:val="006F7EBF"/>
    <w:rsid w:val="0070113D"/>
    <w:rsid w:val="00701D2D"/>
    <w:rsid w:val="00703243"/>
    <w:rsid w:val="00703556"/>
    <w:rsid w:val="00704E00"/>
    <w:rsid w:val="00704F41"/>
    <w:rsid w:val="00707092"/>
    <w:rsid w:val="0070770E"/>
    <w:rsid w:val="00710761"/>
    <w:rsid w:val="00711079"/>
    <w:rsid w:val="00711C1F"/>
    <w:rsid w:val="00713665"/>
    <w:rsid w:val="00713C42"/>
    <w:rsid w:val="0071609F"/>
    <w:rsid w:val="0071671A"/>
    <w:rsid w:val="00716AB7"/>
    <w:rsid w:val="00717BA8"/>
    <w:rsid w:val="00717E02"/>
    <w:rsid w:val="007209E7"/>
    <w:rsid w:val="00722867"/>
    <w:rsid w:val="00723B22"/>
    <w:rsid w:val="00725EC3"/>
    <w:rsid w:val="00726182"/>
    <w:rsid w:val="007266D9"/>
    <w:rsid w:val="007268D1"/>
    <w:rsid w:val="007270E2"/>
    <w:rsid w:val="00727635"/>
    <w:rsid w:val="00730525"/>
    <w:rsid w:val="00731AB8"/>
    <w:rsid w:val="00732329"/>
    <w:rsid w:val="007337CA"/>
    <w:rsid w:val="00734834"/>
    <w:rsid w:val="00734CE4"/>
    <w:rsid w:val="00735123"/>
    <w:rsid w:val="007356E1"/>
    <w:rsid w:val="00740350"/>
    <w:rsid w:val="00740F0A"/>
    <w:rsid w:val="00741837"/>
    <w:rsid w:val="0074284C"/>
    <w:rsid w:val="00742CC7"/>
    <w:rsid w:val="0074515F"/>
    <w:rsid w:val="007453E6"/>
    <w:rsid w:val="007458CE"/>
    <w:rsid w:val="007461E3"/>
    <w:rsid w:val="00746C71"/>
    <w:rsid w:val="0074776B"/>
    <w:rsid w:val="0074792D"/>
    <w:rsid w:val="007510AB"/>
    <w:rsid w:val="0075231E"/>
    <w:rsid w:val="007528E2"/>
    <w:rsid w:val="00752C17"/>
    <w:rsid w:val="00752E3C"/>
    <w:rsid w:val="00753AB7"/>
    <w:rsid w:val="00756105"/>
    <w:rsid w:val="00756FA3"/>
    <w:rsid w:val="00760E15"/>
    <w:rsid w:val="00761E11"/>
    <w:rsid w:val="00762003"/>
    <w:rsid w:val="00762412"/>
    <w:rsid w:val="007641F5"/>
    <w:rsid w:val="007679F3"/>
    <w:rsid w:val="0077001A"/>
    <w:rsid w:val="0077111A"/>
    <w:rsid w:val="00771675"/>
    <w:rsid w:val="00771972"/>
    <w:rsid w:val="00771AED"/>
    <w:rsid w:val="0077233F"/>
    <w:rsid w:val="0077309D"/>
    <w:rsid w:val="00773D47"/>
    <w:rsid w:val="00775A35"/>
    <w:rsid w:val="007774EE"/>
    <w:rsid w:val="00780595"/>
    <w:rsid w:val="00781356"/>
    <w:rsid w:val="007816C6"/>
    <w:rsid w:val="00781822"/>
    <w:rsid w:val="007831CA"/>
    <w:rsid w:val="00783C6E"/>
    <w:rsid w:val="00783F21"/>
    <w:rsid w:val="00787159"/>
    <w:rsid w:val="0079043A"/>
    <w:rsid w:val="0079110A"/>
    <w:rsid w:val="00791668"/>
    <w:rsid w:val="00791AA1"/>
    <w:rsid w:val="00791C23"/>
    <w:rsid w:val="00792CBC"/>
    <w:rsid w:val="00793BA2"/>
    <w:rsid w:val="00795309"/>
    <w:rsid w:val="007A1FA2"/>
    <w:rsid w:val="007A2717"/>
    <w:rsid w:val="007A3793"/>
    <w:rsid w:val="007A495A"/>
    <w:rsid w:val="007A522E"/>
    <w:rsid w:val="007A6A90"/>
    <w:rsid w:val="007A6C3A"/>
    <w:rsid w:val="007B14C2"/>
    <w:rsid w:val="007B2631"/>
    <w:rsid w:val="007B4A4B"/>
    <w:rsid w:val="007B523C"/>
    <w:rsid w:val="007B65D7"/>
    <w:rsid w:val="007B757F"/>
    <w:rsid w:val="007B7ABC"/>
    <w:rsid w:val="007C1BA2"/>
    <w:rsid w:val="007C2B48"/>
    <w:rsid w:val="007C2B8A"/>
    <w:rsid w:val="007C466F"/>
    <w:rsid w:val="007C6B7D"/>
    <w:rsid w:val="007C7C11"/>
    <w:rsid w:val="007D038D"/>
    <w:rsid w:val="007D1FEE"/>
    <w:rsid w:val="007D20E9"/>
    <w:rsid w:val="007D5C4E"/>
    <w:rsid w:val="007D5E36"/>
    <w:rsid w:val="007D7881"/>
    <w:rsid w:val="007D7E3A"/>
    <w:rsid w:val="007E0E10"/>
    <w:rsid w:val="007E2175"/>
    <w:rsid w:val="007E2A03"/>
    <w:rsid w:val="007E38B2"/>
    <w:rsid w:val="007E4768"/>
    <w:rsid w:val="007E555D"/>
    <w:rsid w:val="007E633F"/>
    <w:rsid w:val="007E777B"/>
    <w:rsid w:val="007E7A67"/>
    <w:rsid w:val="007F2070"/>
    <w:rsid w:val="007F293F"/>
    <w:rsid w:val="007F389C"/>
    <w:rsid w:val="007F4EA4"/>
    <w:rsid w:val="007F67C8"/>
    <w:rsid w:val="0080048D"/>
    <w:rsid w:val="00802EFF"/>
    <w:rsid w:val="00804483"/>
    <w:rsid w:val="008053F5"/>
    <w:rsid w:val="008058EF"/>
    <w:rsid w:val="00805DE9"/>
    <w:rsid w:val="008079AC"/>
    <w:rsid w:val="00807AF7"/>
    <w:rsid w:val="00810198"/>
    <w:rsid w:val="008109E4"/>
    <w:rsid w:val="00810DF1"/>
    <w:rsid w:val="008116D6"/>
    <w:rsid w:val="00811BD4"/>
    <w:rsid w:val="008120F3"/>
    <w:rsid w:val="008126BC"/>
    <w:rsid w:val="00812FB5"/>
    <w:rsid w:val="0081431D"/>
    <w:rsid w:val="00815DA8"/>
    <w:rsid w:val="00815F7B"/>
    <w:rsid w:val="00817CDB"/>
    <w:rsid w:val="00817FE0"/>
    <w:rsid w:val="00820D39"/>
    <w:rsid w:val="00821470"/>
    <w:rsid w:val="00821902"/>
    <w:rsid w:val="0082194D"/>
    <w:rsid w:val="00822467"/>
    <w:rsid w:val="00823D45"/>
    <w:rsid w:val="00824444"/>
    <w:rsid w:val="00824B41"/>
    <w:rsid w:val="00825DE7"/>
    <w:rsid w:val="0082632A"/>
    <w:rsid w:val="00826EF5"/>
    <w:rsid w:val="00826F9C"/>
    <w:rsid w:val="00830284"/>
    <w:rsid w:val="00830BE1"/>
    <w:rsid w:val="00831693"/>
    <w:rsid w:val="008316A6"/>
    <w:rsid w:val="00833183"/>
    <w:rsid w:val="008333BA"/>
    <w:rsid w:val="00833E33"/>
    <w:rsid w:val="0083403A"/>
    <w:rsid w:val="008343C6"/>
    <w:rsid w:val="008350B8"/>
    <w:rsid w:val="00837D19"/>
    <w:rsid w:val="00840104"/>
    <w:rsid w:val="00840211"/>
    <w:rsid w:val="00840C1F"/>
    <w:rsid w:val="00841773"/>
    <w:rsid w:val="00841FC5"/>
    <w:rsid w:val="0084235C"/>
    <w:rsid w:val="00842ACF"/>
    <w:rsid w:val="00843CBD"/>
    <w:rsid w:val="00845709"/>
    <w:rsid w:val="00845AD7"/>
    <w:rsid w:val="00846E93"/>
    <w:rsid w:val="00847458"/>
    <w:rsid w:val="008501B4"/>
    <w:rsid w:val="00850A1F"/>
    <w:rsid w:val="00852D14"/>
    <w:rsid w:val="00857647"/>
    <w:rsid w:val="008576BD"/>
    <w:rsid w:val="00860463"/>
    <w:rsid w:val="00860753"/>
    <w:rsid w:val="0086109E"/>
    <w:rsid w:val="008619C2"/>
    <w:rsid w:val="00862131"/>
    <w:rsid w:val="008635B3"/>
    <w:rsid w:val="00864678"/>
    <w:rsid w:val="00864D98"/>
    <w:rsid w:val="00864F94"/>
    <w:rsid w:val="00870581"/>
    <w:rsid w:val="0087076F"/>
    <w:rsid w:val="00873047"/>
    <w:rsid w:val="008730EF"/>
    <w:rsid w:val="008733DA"/>
    <w:rsid w:val="0087429B"/>
    <w:rsid w:val="00874652"/>
    <w:rsid w:val="00874763"/>
    <w:rsid w:val="00875693"/>
    <w:rsid w:val="00876E5F"/>
    <w:rsid w:val="00877362"/>
    <w:rsid w:val="0087750D"/>
    <w:rsid w:val="00882022"/>
    <w:rsid w:val="00883809"/>
    <w:rsid w:val="00883AB1"/>
    <w:rsid w:val="008850E4"/>
    <w:rsid w:val="008867C0"/>
    <w:rsid w:val="008907D2"/>
    <w:rsid w:val="00890CB8"/>
    <w:rsid w:val="00891274"/>
    <w:rsid w:val="00892947"/>
    <w:rsid w:val="008939AB"/>
    <w:rsid w:val="00893EAA"/>
    <w:rsid w:val="0089433C"/>
    <w:rsid w:val="00895B02"/>
    <w:rsid w:val="00895BE7"/>
    <w:rsid w:val="008A0B14"/>
    <w:rsid w:val="008A0C8C"/>
    <w:rsid w:val="008A12F5"/>
    <w:rsid w:val="008A17AF"/>
    <w:rsid w:val="008A3420"/>
    <w:rsid w:val="008A3A2E"/>
    <w:rsid w:val="008A6EA0"/>
    <w:rsid w:val="008A7612"/>
    <w:rsid w:val="008B1113"/>
    <w:rsid w:val="008B1587"/>
    <w:rsid w:val="008B1B01"/>
    <w:rsid w:val="008B2668"/>
    <w:rsid w:val="008B3729"/>
    <w:rsid w:val="008B3BCD"/>
    <w:rsid w:val="008B430B"/>
    <w:rsid w:val="008B507D"/>
    <w:rsid w:val="008B6DF8"/>
    <w:rsid w:val="008B6E77"/>
    <w:rsid w:val="008B71DF"/>
    <w:rsid w:val="008B7B14"/>
    <w:rsid w:val="008C106C"/>
    <w:rsid w:val="008C10F1"/>
    <w:rsid w:val="008C1926"/>
    <w:rsid w:val="008C1E99"/>
    <w:rsid w:val="008C1F81"/>
    <w:rsid w:val="008C2E78"/>
    <w:rsid w:val="008C3216"/>
    <w:rsid w:val="008C3FB8"/>
    <w:rsid w:val="008C4A79"/>
    <w:rsid w:val="008C6E63"/>
    <w:rsid w:val="008D00B8"/>
    <w:rsid w:val="008D30E7"/>
    <w:rsid w:val="008D542D"/>
    <w:rsid w:val="008D5FF5"/>
    <w:rsid w:val="008E0085"/>
    <w:rsid w:val="008E04E6"/>
    <w:rsid w:val="008E082C"/>
    <w:rsid w:val="008E0DD7"/>
    <w:rsid w:val="008E13E6"/>
    <w:rsid w:val="008E224B"/>
    <w:rsid w:val="008E25B9"/>
    <w:rsid w:val="008E2AA6"/>
    <w:rsid w:val="008E311B"/>
    <w:rsid w:val="008E330C"/>
    <w:rsid w:val="008E69CF"/>
    <w:rsid w:val="008E7A8A"/>
    <w:rsid w:val="008F41B3"/>
    <w:rsid w:val="008F44F3"/>
    <w:rsid w:val="008F46E7"/>
    <w:rsid w:val="008F691E"/>
    <w:rsid w:val="008F6F0B"/>
    <w:rsid w:val="008F7B53"/>
    <w:rsid w:val="00901587"/>
    <w:rsid w:val="00901D8B"/>
    <w:rsid w:val="0090245B"/>
    <w:rsid w:val="00903B5F"/>
    <w:rsid w:val="009055D2"/>
    <w:rsid w:val="0090661D"/>
    <w:rsid w:val="00907505"/>
    <w:rsid w:val="00907BA7"/>
    <w:rsid w:val="0091064E"/>
    <w:rsid w:val="00911A99"/>
    <w:rsid w:val="00911E60"/>
    <w:rsid w:val="00911FC5"/>
    <w:rsid w:val="00913EE3"/>
    <w:rsid w:val="00913F30"/>
    <w:rsid w:val="00914AEF"/>
    <w:rsid w:val="009150FD"/>
    <w:rsid w:val="0092188C"/>
    <w:rsid w:val="00922440"/>
    <w:rsid w:val="0092271B"/>
    <w:rsid w:val="00922941"/>
    <w:rsid w:val="00922B57"/>
    <w:rsid w:val="0092537B"/>
    <w:rsid w:val="0092620B"/>
    <w:rsid w:val="0093067A"/>
    <w:rsid w:val="009315D8"/>
    <w:rsid w:val="00931A10"/>
    <w:rsid w:val="009343B3"/>
    <w:rsid w:val="00935021"/>
    <w:rsid w:val="00936309"/>
    <w:rsid w:val="00936D36"/>
    <w:rsid w:val="00936F4E"/>
    <w:rsid w:val="009401E2"/>
    <w:rsid w:val="00940856"/>
    <w:rsid w:val="009408A7"/>
    <w:rsid w:val="00943E44"/>
    <w:rsid w:val="009463C4"/>
    <w:rsid w:val="00946657"/>
    <w:rsid w:val="00947078"/>
    <w:rsid w:val="00947967"/>
    <w:rsid w:val="00952E3A"/>
    <w:rsid w:val="00954721"/>
    <w:rsid w:val="00954ADB"/>
    <w:rsid w:val="00955201"/>
    <w:rsid w:val="009574C8"/>
    <w:rsid w:val="00957C2C"/>
    <w:rsid w:val="00957CBC"/>
    <w:rsid w:val="00960319"/>
    <w:rsid w:val="009617E7"/>
    <w:rsid w:val="00963234"/>
    <w:rsid w:val="00965200"/>
    <w:rsid w:val="009668B3"/>
    <w:rsid w:val="009674B7"/>
    <w:rsid w:val="00967602"/>
    <w:rsid w:val="00967CAD"/>
    <w:rsid w:val="0097110F"/>
    <w:rsid w:val="00971471"/>
    <w:rsid w:val="00974609"/>
    <w:rsid w:val="0097483B"/>
    <w:rsid w:val="009766CA"/>
    <w:rsid w:val="00976AC4"/>
    <w:rsid w:val="00977F32"/>
    <w:rsid w:val="00981C5F"/>
    <w:rsid w:val="0098279A"/>
    <w:rsid w:val="0098281C"/>
    <w:rsid w:val="009844ED"/>
    <w:rsid w:val="00984588"/>
    <w:rsid w:val="009849C2"/>
    <w:rsid w:val="00984BD9"/>
    <w:rsid w:val="00984D24"/>
    <w:rsid w:val="009858EB"/>
    <w:rsid w:val="00986C11"/>
    <w:rsid w:val="00987E76"/>
    <w:rsid w:val="00994BB4"/>
    <w:rsid w:val="00995F1B"/>
    <w:rsid w:val="009A0572"/>
    <w:rsid w:val="009A067A"/>
    <w:rsid w:val="009A0D1D"/>
    <w:rsid w:val="009A2118"/>
    <w:rsid w:val="009A44FA"/>
    <w:rsid w:val="009A50BF"/>
    <w:rsid w:val="009A524F"/>
    <w:rsid w:val="009A64A9"/>
    <w:rsid w:val="009A687A"/>
    <w:rsid w:val="009A6C7A"/>
    <w:rsid w:val="009A7DE0"/>
    <w:rsid w:val="009B0046"/>
    <w:rsid w:val="009B0284"/>
    <w:rsid w:val="009B02AD"/>
    <w:rsid w:val="009B0AF0"/>
    <w:rsid w:val="009B0F74"/>
    <w:rsid w:val="009B0FB6"/>
    <w:rsid w:val="009B337E"/>
    <w:rsid w:val="009B3D44"/>
    <w:rsid w:val="009B508A"/>
    <w:rsid w:val="009B524C"/>
    <w:rsid w:val="009B64FF"/>
    <w:rsid w:val="009C09FE"/>
    <w:rsid w:val="009C1440"/>
    <w:rsid w:val="009C1FD8"/>
    <w:rsid w:val="009C2107"/>
    <w:rsid w:val="009C2A8F"/>
    <w:rsid w:val="009C4349"/>
    <w:rsid w:val="009C4EA9"/>
    <w:rsid w:val="009C4FCC"/>
    <w:rsid w:val="009C5D9E"/>
    <w:rsid w:val="009C671B"/>
    <w:rsid w:val="009C698C"/>
    <w:rsid w:val="009C6E64"/>
    <w:rsid w:val="009D059C"/>
    <w:rsid w:val="009D08E0"/>
    <w:rsid w:val="009D0BA1"/>
    <w:rsid w:val="009D149F"/>
    <w:rsid w:val="009D1D22"/>
    <w:rsid w:val="009D2C3E"/>
    <w:rsid w:val="009D3B29"/>
    <w:rsid w:val="009D5096"/>
    <w:rsid w:val="009D5D66"/>
    <w:rsid w:val="009D6127"/>
    <w:rsid w:val="009D643D"/>
    <w:rsid w:val="009D6CF7"/>
    <w:rsid w:val="009E012E"/>
    <w:rsid w:val="009E0625"/>
    <w:rsid w:val="009E08D9"/>
    <w:rsid w:val="009E16C2"/>
    <w:rsid w:val="009E1BB6"/>
    <w:rsid w:val="009E268C"/>
    <w:rsid w:val="009E3034"/>
    <w:rsid w:val="009E3514"/>
    <w:rsid w:val="009E36A1"/>
    <w:rsid w:val="009E36D1"/>
    <w:rsid w:val="009E52C2"/>
    <w:rsid w:val="009E549F"/>
    <w:rsid w:val="009F1A6A"/>
    <w:rsid w:val="009F2296"/>
    <w:rsid w:val="009F28A8"/>
    <w:rsid w:val="009F473E"/>
    <w:rsid w:val="009F5EAB"/>
    <w:rsid w:val="009F682A"/>
    <w:rsid w:val="009F6FDE"/>
    <w:rsid w:val="00A01AFD"/>
    <w:rsid w:val="00A022BE"/>
    <w:rsid w:val="00A02FE9"/>
    <w:rsid w:val="00A030AE"/>
    <w:rsid w:val="00A03345"/>
    <w:rsid w:val="00A03937"/>
    <w:rsid w:val="00A049D4"/>
    <w:rsid w:val="00A061E2"/>
    <w:rsid w:val="00A0713F"/>
    <w:rsid w:val="00A10516"/>
    <w:rsid w:val="00A11408"/>
    <w:rsid w:val="00A1196B"/>
    <w:rsid w:val="00A12923"/>
    <w:rsid w:val="00A13B71"/>
    <w:rsid w:val="00A15490"/>
    <w:rsid w:val="00A15D43"/>
    <w:rsid w:val="00A17F99"/>
    <w:rsid w:val="00A2076C"/>
    <w:rsid w:val="00A2092C"/>
    <w:rsid w:val="00A22D00"/>
    <w:rsid w:val="00A24C95"/>
    <w:rsid w:val="00A2599A"/>
    <w:rsid w:val="00A26094"/>
    <w:rsid w:val="00A275DB"/>
    <w:rsid w:val="00A300FC"/>
    <w:rsid w:val="00A301BF"/>
    <w:rsid w:val="00A302B2"/>
    <w:rsid w:val="00A331B4"/>
    <w:rsid w:val="00A338EA"/>
    <w:rsid w:val="00A33D1A"/>
    <w:rsid w:val="00A346AA"/>
    <w:rsid w:val="00A3484E"/>
    <w:rsid w:val="00A356D3"/>
    <w:rsid w:val="00A35DBA"/>
    <w:rsid w:val="00A362C2"/>
    <w:rsid w:val="00A3688C"/>
    <w:rsid w:val="00A36ADA"/>
    <w:rsid w:val="00A372C8"/>
    <w:rsid w:val="00A40F80"/>
    <w:rsid w:val="00A4226D"/>
    <w:rsid w:val="00A42301"/>
    <w:rsid w:val="00A423BD"/>
    <w:rsid w:val="00A42E7E"/>
    <w:rsid w:val="00A4372F"/>
    <w:rsid w:val="00A438D8"/>
    <w:rsid w:val="00A44EB3"/>
    <w:rsid w:val="00A47034"/>
    <w:rsid w:val="00A47191"/>
    <w:rsid w:val="00A473F5"/>
    <w:rsid w:val="00A47854"/>
    <w:rsid w:val="00A51F9D"/>
    <w:rsid w:val="00A521F6"/>
    <w:rsid w:val="00A532B2"/>
    <w:rsid w:val="00A539AA"/>
    <w:rsid w:val="00A5416A"/>
    <w:rsid w:val="00A54253"/>
    <w:rsid w:val="00A54670"/>
    <w:rsid w:val="00A56C42"/>
    <w:rsid w:val="00A56FBF"/>
    <w:rsid w:val="00A570A8"/>
    <w:rsid w:val="00A6155C"/>
    <w:rsid w:val="00A61601"/>
    <w:rsid w:val="00A61E52"/>
    <w:rsid w:val="00A622BC"/>
    <w:rsid w:val="00A639F4"/>
    <w:rsid w:val="00A6597E"/>
    <w:rsid w:val="00A67041"/>
    <w:rsid w:val="00A67455"/>
    <w:rsid w:val="00A67AC6"/>
    <w:rsid w:val="00A70012"/>
    <w:rsid w:val="00A71542"/>
    <w:rsid w:val="00A7159D"/>
    <w:rsid w:val="00A745E8"/>
    <w:rsid w:val="00A74C0D"/>
    <w:rsid w:val="00A74C53"/>
    <w:rsid w:val="00A769AC"/>
    <w:rsid w:val="00A76A8D"/>
    <w:rsid w:val="00A802A4"/>
    <w:rsid w:val="00A81A32"/>
    <w:rsid w:val="00A835BD"/>
    <w:rsid w:val="00A83E9B"/>
    <w:rsid w:val="00A83F61"/>
    <w:rsid w:val="00A85028"/>
    <w:rsid w:val="00A8563A"/>
    <w:rsid w:val="00A86EA8"/>
    <w:rsid w:val="00A90416"/>
    <w:rsid w:val="00A91BDD"/>
    <w:rsid w:val="00A91E0D"/>
    <w:rsid w:val="00A925D7"/>
    <w:rsid w:val="00A92658"/>
    <w:rsid w:val="00A93A94"/>
    <w:rsid w:val="00A941C9"/>
    <w:rsid w:val="00A95CF1"/>
    <w:rsid w:val="00A95D4C"/>
    <w:rsid w:val="00A961B3"/>
    <w:rsid w:val="00A9677E"/>
    <w:rsid w:val="00A97B15"/>
    <w:rsid w:val="00AA010D"/>
    <w:rsid w:val="00AA0471"/>
    <w:rsid w:val="00AA36D9"/>
    <w:rsid w:val="00AA42D5"/>
    <w:rsid w:val="00AA5906"/>
    <w:rsid w:val="00AA5E3A"/>
    <w:rsid w:val="00AB1818"/>
    <w:rsid w:val="00AB2366"/>
    <w:rsid w:val="00AB282A"/>
    <w:rsid w:val="00AB2FAB"/>
    <w:rsid w:val="00AB3096"/>
    <w:rsid w:val="00AB3363"/>
    <w:rsid w:val="00AB4347"/>
    <w:rsid w:val="00AB5739"/>
    <w:rsid w:val="00AB5C14"/>
    <w:rsid w:val="00AB7BCE"/>
    <w:rsid w:val="00AB7C39"/>
    <w:rsid w:val="00AC0387"/>
    <w:rsid w:val="00AC1EE7"/>
    <w:rsid w:val="00AC28BA"/>
    <w:rsid w:val="00AC2A21"/>
    <w:rsid w:val="00AC333F"/>
    <w:rsid w:val="00AC3475"/>
    <w:rsid w:val="00AC3DDE"/>
    <w:rsid w:val="00AC585C"/>
    <w:rsid w:val="00AC5F8E"/>
    <w:rsid w:val="00AC7EB3"/>
    <w:rsid w:val="00AD18E3"/>
    <w:rsid w:val="00AD1925"/>
    <w:rsid w:val="00AD512F"/>
    <w:rsid w:val="00AD5614"/>
    <w:rsid w:val="00AD6B12"/>
    <w:rsid w:val="00AD6D1E"/>
    <w:rsid w:val="00AE067D"/>
    <w:rsid w:val="00AE5FE7"/>
    <w:rsid w:val="00AE68F5"/>
    <w:rsid w:val="00AF0A4A"/>
    <w:rsid w:val="00AF1181"/>
    <w:rsid w:val="00AF2391"/>
    <w:rsid w:val="00AF260E"/>
    <w:rsid w:val="00AF2DB4"/>
    <w:rsid w:val="00AF2F79"/>
    <w:rsid w:val="00AF3884"/>
    <w:rsid w:val="00AF4653"/>
    <w:rsid w:val="00AF4919"/>
    <w:rsid w:val="00AF6702"/>
    <w:rsid w:val="00AF671F"/>
    <w:rsid w:val="00AF6BAB"/>
    <w:rsid w:val="00AF77C5"/>
    <w:rsid w:val="00AF7DB7"/>
    <w:rsid w:val="00B04EBE"/>
    <w:rsid w:val="00B04F02"/>
    <w:rsid w:val="00B05070"/>
    <w:rsid w:val="00B0553A"/>
    <w:rsid w:val="00B06ADB"/>
    <w:rsid w:val="00B075E3"/>
    <w:rsid w:val="00B07BA1"/>
    <w:rsid w:val="00B104C0"/>
    <w:rsid w:val="00B11083"/>
    <w:rsid w:val="00B1233B"/>
    <w:rsid w:val="00B136D0"/>
    <w:rsid w:val="00B14F49"/>
    <w:rsid w:val="00B201E2"/>
    <w:rsid w:val="00B216EE"/>
    <w:rsid w:val="00B21832"/>
    <w:rsid w:val="00B21E82"/>
    <w:rsid w:val="00B2417E"/>
    <w:rsid w:val="00B25180"/>
    <w:rsid w:val="00B25E5E"/>
    <w:rsid w:val="00B26389"/>
    <w:rsid w:val="00B26C06"/>
    <w:rsid w:val="00B30458"/>
    <w:rsid w:val="00B30EAB"/>
    <w:rsid w:val="00B310CA"/>
    <w:rsid w:val="00B32160"/>
    <w:rsid w:val="00B3327B"/>
    <w:rsid w:val="00B334D6"/>
    <w:rsid w:val="00B34AB8"/>
    <w:rsid w:val="00B37ACE"/>
    <w:rsid w:val="00B37D86"/>
    <w:rsid w:val="00B414C7"/>
    <w:rsid w:val="00B42965"/>
    <w:rsid w:val="00B443E4"/>
    <w:rsid w:val="00B45AA7"/>
    <w:rsid w:val="00B46AFC"/>
    <w:rsid w:val="00B47601"/>
    <w:rsid w:val="00B52AD7"/>
    <w:rsid w:val="00B553E4"/>
    <w:rsid w:val="00B563EA"/>
    <w:rsid w:val="00B5725D"/>
    <w:rsid w:val="00B576BE"/>
    <w:rsid w:val="00B60BD0"/>
    <w:rsid w:val="00B60E51"/>
    <w:rsid w:val="00B61423"/>
    <w:rsid w:val="00B61649"/>
    <w:rsid w:val="00B61E82"/>
    <w:rsid w:val="00B62849"/>
    <w:rsid w:val="00B62E3E"/>
    <w:rsid w:val="00B62FB7"/>
    <w:rsid w:val="00B63A54"/>
    <w:rsid w:val="00B654D5"/>
    <w:rsid w:val="00B661C1"/>
    <w:rsid w:val="00B66A6D"/>
    <w:rsid w:val="00B676C6"/>
    <w:rsid w:val="00B77D18"/>
    <w:rsid w:val="00B817EA"/>
    <w:rsid w:val="00B81A5C"/>
    <w:rsid w:val="00B8313A"/>
    <w:rsid w:val="00B837A8"/>
    <w:rsid w:val="00B84306"/>
    <w:rsid w:val="00B86D78"/>
    <w:rsid w:val="00B87CE0"/>
    <w:rsid w:val="00B91460"/>
    <w:rsid w:val="00B928E3"/>
    <w:rsid w:val="00B93167"/>
    <w:rsid w:val="00B93503"/>
    <w:rsid w:val="00B97D56"/>
    <w:rsid w:val="00BA078D"/>
    <w:rsid w:val="00BA08C6"/>
    <w:rsid w:val="00BA0CFC"/>
    <w:rsid w:val="00BA0F8E"/>
    <w:rsid w:val="00BA127D"/>
    <w:rsid w:val="00BA22D2"/>
    <w:rsid w:val="00BA31E8"/>
    <w:rsid w:val="00BA4989"/>
    <w:rsid w:val="00BA55E0"/>
    <w:rsid w:val="00BA6BD4"/>
    <w:rsid w:val="00BA6C7A"/>
    <w:rsid w:val="00BA7B01"/>
    <w:rsid w:val="00BA7C6D"/>
    <w:rsid w:val="00BB17E4"/>
    <w:rsid w:val="00BB3552"/>
    <w:rsid w:val="00BB3752"/>
    <w:rsid w:val="00BB3AB0"/>
    <w:rsid w:val="00BB5771"/>
    <w:rsid w:val="00BB5DDC"/>
    <w:rsid w:val="00BB6688"/>
    <w:rsid w:val="00BB6689"/>
    <w:rsid w:val="00BC26D4"/>
    <w:rsid w:val="00BC2B25"/>
    <w:rsid w:val="00BC3253"/>
    <w:rsid w:val="00BC63BC"/>
    <w:rsid w:val="00BC75BA"/>
    <w:rsid w:val="00BC7736"/>
    <w:rsid w:val="00BD08E7"/>
    <w:rsid w:val="00BD21BC"/>
    <w:rsid w:val="00BD249B"/>
    <w:rsid w:val="00BD4DD4"/>
    <w:rsid w:val="00BD5AAD"/>
    <w:rsid w:val="00BD60A7"/>
    <w:rsid w:val="00BD78C1"/>
    <w:rsid w:val="00BE0C80"/>
    <w:rsid w:val="00BE2091"/>
    <w:rsid w:val="00BE2934"/>
    <w:rsid w:val="00BE5914"/>
    <w:rsid w:val="00BE6F3E"/>
    <w:rsid w:val="00BE7530"/>
    <w:rsid w:val="00BE783E"/>
    <w:rsid w:val="00BF19B6"/>
    <w:rsid w:val="00BF1D79"/>
    <w:rsid w:val="00BF2A42"/>
    <w:rsid w:val="00BF2C97"/>
    <w:rsid w:val="00BF67C4"/>
    <w:rsid w:val="00BF6E9E"/>
    <w:rsid w:val="00BF75AF"/>
    <w:rsid w:val="00C00CB9"/>
    <w:rsid w:val="00C00D83"/>
    <w:rsid w:val="00C015CF"/>
    <w:rsid w:val="00C01F6E"/>
    <w:rsid w:val="00C034DA"/>
    <w:rsid w:val="00C03D8C"/>
    <w:rsid w:val="00C04A90"/>
    <w:rsid w:val="00C055EC"/>
    <w:rsid w:val="00C07993"/>
    <w:rsid w:val="00C07B8D"/>
    <w:rsid w:val="00C10DC9"/>
    <w:rsid w:val="00C1225E"/>
    <w:rsid w:val="00C12FB3"/>
    <w:rsid w:val="00C13818"/>
    <w:rsid w:val="00C14E2C"/>
    <w:rsid w:val="00C17341"/>
    <w:rsid w:val="00C178D9"/>
    <w:rsid w:val="00C22884"/>
    <w:rsid w:val="00C2318F"/>
    <w:rsid w:val="00C236B4"/>
    <w:rsid w:val="00C24642"/>
    <w:rsid w:val="00C2483B"/>
    <w:rsid w:val="00C24EEF"/>
    <w:rsid w:val="00C25CF6"/>
    <w:rsid w:val="00C26C36"/>
    <w:rsid w:val="00C27BD7"/>
    <w:rsid w:val="00C325E1"/>
    <w:rsid w:val="00C32768"/>
    <w:rsid w:val="00C33CA8"/>
    <w:rsid w:val="00C37662"/>
    <w:rsid w:val="00C431DF"/>
    <w:rsid w:val="00C456BD"/>
    <w:rsid w:val="00C463DF"/>
    <w:rsid w:val="00C476CC"/>
    <w:rsid w:val="00C504C8"/>
    <w:rsid w:val="00C51457"/>
    <w:rsid w:val="00C52615"/>
    <w:rsid w:val="00C530DC"/>
    <w:rsid w:val="00C530E8"/>
    <w:rsid w:val="00C5350D"/>
    <w:rsid w:val="00C551CA"/>
    <w:rsid w:val="00C55F46"/>
    <w:rsid w:val="00C568D8"/>
    <w:rsid w:val="00C6123C"/>
    <w:rsid w:val="00C61B27"/>
    <w:rsid w:val="00C62207"/>
    <w:rsid w:val="00C6311A"/>
    <w:rsid w:val="00C646DC"/>
    <w:rsid w:val="00C660A0"/>
    <w:rsid w:val="00C670BF"/>
    <w:rsid w:val="00C676B6"/>
    <w:rsid w:val="00C7084D"/>
    <w:rsid w:val="00C7250D"/>
    <w:rsid w:val="00C72F02"/>
    <w:rsid w:val="00C7315E"/>
    <w:rsid w:val="00C73D02"/>
    <w:rsid w:val="00C75653"/>
    <w:rsid w:val="00C75895"/>
    <w:rsid w:val="00C758C5"/>
    <w:rsid w:val="00C7600B"/>
    <w:rsid w:val="00C761CB"/>
    <w:rsid w:val="00C76AF4"/>
    <w:rsid w:val="00C81F21"/>
    <w:rsid w:val="00C83C9F"/>
    <w:rsid w:val="00C863D3"/>
    <w:rsid w:val="00C86411"/>
    <w:rsid w:val="00C86CD9"/>
    <w:rsid w:val="00C87236"/>
    <w:rsid w:val="00C90E5C"/>
    <w:rsid w:val="00C91465"/>
    <w:rsid w:val="00C9239F"/>
    <w:rsid w:val="00C94840"/>
    <w:rsid w:val="00C95279"/>
    <w:rsid w:val="00C96350"/>
    <w:rsid w:val="00CA2747"/>
    <w:rsid w:val="00CA2B9F"/>
    <w:rsid w:val="00CA2E33"/>
    <w:rsid w:val="00CA4CCC"/>
    <w:rsid w:val="00CA4EE3"/>
    <w:rsid w:val="00CA4F79"/>
    <w:rsid w:val="00CA630D"/>
    <w:rsid w:val="00CA6A30"/>
    <w:rsid w:val="00CA73F1"/>
    <w:rsid w:val="00CA7A94"/>
    <w:rsid w:val="00CB027F"/>
    <w:rsid w:val="00CB036E"/>
    <w:rsid w:val="00CB0807"/>
    <w:rsid w:val="00CB2B2A"/>
    <w:rsid w:val="00CB4328"/>
    <w:rsid w:val="00CB465D"/>
    <w:rsid w:val="00CB5AE8"/>
    <w:rsid w:val="00CC0766"/>
    <w:rsid w:val="00CC0EBB"/>
    <w:rsid w:val="00CC1601"/>
    <w:rsid w:val="00CC53A4"/>
    <w:rsid w:val="00CC6297"/>
    <w:rsid w:val="00CC7690"/>
    <w:rsid w:val="00CD1986"/>
    <w:rsid w:val="00CD23C9"/>
    <w:rsid w:val="00CD54BF"/>
    <w:rsid w:val="00CD7285"/>
    <w:rsid w:val="00CE04F7"/>
    <w:rsid w:val="00CE3340"/>
    <w:rsid w:val="00CE4D5C"/>
    <w:rsid w:val="00CE59DF"/>
    <w:rsid w:val="00CE6EEC"/>
    <w:rsid w:val="00CF05DA"/>
    <w:rsid w:val="00CF1832"/>
    <w:rsid w:val="00CF30F5"/>
    <w:rsid w:val="00CF3777"/>
    <w:rsid w:val="00CF3850"/>
    <w:rsid w:val="00CF58B3"/>
    <w:rsid w:val="00CF58EB"/>
    <w:rsid w:val="00CF6FEC"/>
    <w:rsid w:val="00D001E1"/>
    <w:rsid w:val="00D00F6D"/>
    <w:rsid w:val="00D0106E"/>
    <w:rsid w:val="00D01E50"/>
    <w:rsid w:val="00D02849"/>
    <w:rsid w:val="00D034CC"/>
    <w:rsid w:val="00D04ABE"/>
    <w:rsid w:val="00D04BDB"/>
    <w:rsid w:val="00D06383"/>
    <w:rsid w:val="00D07C7F"/>
    <w:rsid w:val="00D10305"/>
    <w:rsid w:val="00D10D56"/>
    <w:rsid w:val="00D12A69"/>
    <w:rsid w:val="00D145BC"/>
    <w:rsid w:val="00D2048D"/>
    <w:rsid w:val="00D20E85"/>
    <w:rsid w:val="00D2142D"/>
    <w:rsid w:val="00D22AAA"/>
    <w:rsid w:val="00D23C06"/>
    <w:rsid w:val="00D24615"/>
    <w:rsid w:val="00D26473"/>
    <w:rsid w:val="00D26EF5"/>
    <w:rsid w:val="00D30BF3"/>
    <w:rsid w:val="00D30EAD"/>
    <w:rsid w:val="00D31945"/>
    <w:rsid w:val="00D32C97"/>
    <w:rsid w:val="00D3398F"/>
    <w:rsid w:val="00D37842"/>
    <w:rsid w:val="00D40A11"/>
    <w:rsid w:val="00D4271C"/>
    <w:rsid w:val="00D42DC2"/>
    <w:rsid w:val="00D4381A"/>
    <w:rsid w:val="00D438DB"/>
    <w:rsid w:val="00D43F7E"/>
    <w:rsid w:val="00D441A2"/>
    <w:rsid w:val="00D451CD"/>
    <w:rsid w:val="00D45318"/>
    <w:rsid w:val="00D47818"/>
    <w:rsid w:val="00D47E09"/>
    <w:rsid w:val="00D5199C"/>
    <w:rsid w:val="00D51C3D"/>
    <w:rsid w:val="00D537E1"/>
    <w:rsid w:val="00D54570"/>
    <w:rsid w:val="00D55164"/>
    <w:rsid w:val="00D55BB2"/>
    <w:rsid w:val="00D570CA"/>
    <w:rsid w:val="00D605DA"/>
    <w:rsid w:val="00D6091A"/>
    <w:rsid w:val="00D61A43"/>
    <w:rsid w:val="00D62235"/>
    <w:rsid w:val="00D6241F"/>
    <w:rsid w:val="00D6370A"/>
    <w:rsid w:val="00D64426"/>
    <w:rsid w:val="00D6605A"/>
    <w:rsid w:val="00D668C9"/>
    <w:rsid w:val="00D6695F"/>
    <w:rsid w:val="00D669BC"/>
    <w:rsid w:val="00D677E6"/>
    <w:rsid w:val="00D67E3E"/>
    <w:rsid w:val="00D73463"/>
    <w:rsid w:val="00D73D53"/>
    <w:rsid w:val="00D74825"/>
    <w:rsid w:val="00D75644"/>
    <w:rsid w:val="00D756A9"/>
    <w:rsid w:val="00D75B51"/>
    <w:rsid w:val="00D76029"/>
    <w:rsid w:val="00D77378"/>
    <w:rsid w:val="00D804BA"/>
    <w:rsid w:val="00D81656"/>
    <w:rsid w:val="00D81B62"/>
    <w:rsid w:val="00D82BDF"/>
    <w:rsid w:val="00D836BD"/>
    <w:rsid w:val="00D83D87"/>
    <w:rsid w:val="00D84A6D"/>
    <w:rsid w:val="00D86A30"/>
    <w:rsid w:val="00D9014C"/>
    <w:rsid w:val="00D97805"/>
    <w:rsid w:val="00D97CB4"/>
    <w:rsid w:val="00D97DD4"/>
    <w:rsid w:val="00D97EB5"/>
    <w:rsid w:val="00DA0455"/>
    <w:rsid w:val="00DA21C2"/>
    <w:rsid w:val="00DA27F2"/>
    <w:rsid w:val="00DA3EB5"/>
    <w:rsid w:val="00DA453C"/>
    <w:rsid w:val="00DA50B0"/>
    <w:rsid w:val="00DA55D0"/>
    <w:rsid w:val="00DA5894"/>
    <w:rsid w:val="00DA5A8A"/>
    <w:rsid w:val="00DA7A8E"/>
    <w:rsid w:val="00DB10CF"/>
    <w:rsid w:val="00DB1F54"/>
    <w:rsid w:val="00DB26CD"/>
    <w:rsid w:val="00DB3877"/>
    <w:rsid w:val="00DB441C"/>
    <w:rsid w:val="00DB44AF"/>
    <w:rsid w:val="00DB5C85"/>
    <w:rsid w:val="00DB5F44"/>
    <w:rsid w:val="00DB6B2A"/>
    <w:rsid w:val="00DC1F58"/>
    <w:rsid w:val="00DC339B"/>
    <w:rsid w:val="00DC38BC"/>
    <w:rsid w:val="00DC3FCD"/>
    <w:rsid w:val="00DC417C"/>
    <w:rsid w:val="00DC5865"/>
    <w:rsid w:val="00DC5D40"/>
    <w:rsid w:val="00DC69A7"/>
    <w:rsid w:val="00DD2F98"/>
    <w:rsid w:val="00DD30E9"/>
    <w:rsid w:val="00DD4F47"/>
    <w:rsid w:val="00DD5582"/>
    <w:rsid w:val="00DD6235"/>
    <w:rsid w:val="00DD6D50"/>
    <w:rsid w:val="00DD7FBB"/>
    <w:rsid w:val="00DE0B9F"/>
    <w:rsid w:val="00DE3304"/>
    <w:rsid w:val="00DE4238"/>
    <w:rsid w:val="00DE657F"/>
    <w:rsid w:val="00DF1218"/>
    <w:rsid w:val="00DF1E1A"/>
    <w:rsid w:val="00DF1F93"/>
    <w:rsid w:val="00DF36CF"/>
    <w:rsid w:val="00DF5A2A"/>
    <w:rsid w:val="00DF5E9C"/>
    <w:rsid w:val="00DF6462"/>
    <w:rsid w:val="00DF6481"/>
    <w:rsid w:val="00DF6EEB"/>
    <w:rsid w:val="00DF7CAE"/>
    <w:rsid w:val="00E01735"/>
    <w:rsid w:val="00E01C73"/>
    <w:rsid w:val="00E02967"/>
    <w:rsid w:val="00E02FA0"/>
    <w:rsid w:val="00E03544"/>
    <w:rsid w:val="00E036DC"/>
    <w:rsid w:val="00E03EED"/>
    <w:rsid w:val="00E05B69"/>
    <w:rsid w:val="00E06DF8"/>
    <w:rsid w:val="00E10454"/>
    <w:rsid w:val="00E10905"/>
    <w:rsid w:val="00E112E5"/>
    <w:rsid w:val="00E11975"/>
    <w:rsid w:val="00E11FEE"/>
    <w:rsid w:val="00E12CC8"/>
    <w:rsid w:val="00E14E21"/>
    <w:rsid w:val="00E15352"/>
    <w:rsid w:val="00E15370"/>
    <w:rsid w:val="00E15642"/>
    <w:rsid w:val="00E15B5D"/>
    <w:rsid w:val="00E206FA"/>
    <w:rsid w:val="00E21A89"/>
    <w:rsid w:val="00E21CC7"/>
    <w:rsid w:val="00E228F4"/>
    <w:rsid w:val="00E22BA5"/>
    <w:rsid w:val="00E23181"/>
    <w:rsid w:val="00E24325"/>
    <w:rsid w:val="00E243F4"/>
    <w:rsid w:val="00E24D9E"/>
    <w:rsid w:val="00E25849"/>
    <w:rsid w:val="00E26833"/>
    <w:rsid w:val="00E26932"/>
    <w:rsid w:val="00E27840"/>
    <w:rsid w:val="00E30E12"/>
    <w:rsid w:val="00E3197E"/>
    <w:rsid w:val="00E31E43"/>
    <w:rsid w:val="00E326ED"/>
    <w:rsid w:val="00E33AD0"/>
    <w:rsid w:val="00E342F8"/>
    <w:rsid w:val="00E34502"/>
    <w:rsid w:val="00E351ED"/>
    <w:rsid w:val="00E35470"/>
    <w:rsid w:val="00E36104"/>
    <w:rsid w:val="00E36ACC"/>
    <w:rsid w:val="00E435EC"/>
    <w:rsid w:val="00E44D4B"/>
    <w:rsid w:val="00E45C5D"/>
    <w:rsid w:val="00E46A59"/>
    <w:rsid w:val="00E5162E"/>
    <w:rsid w:val="00E53AC7"/>
    <w:rsid w:val="00E54B7A"/>
    <w:rsid w:val="00E551A7"/>
    <w:rsid w:val="00E55C1B"/>
    <w:rsid w:val="00E55C3E"/>
    <w:rsid w:val="00E56707"/>
    <w:rsid w:val="00E56D38"/>
    <w:rsid w:val="00E6034B"/>
    <w:rsid w:val="00E621F7"/>
    <w:rsid w:val="00E64654"/>
    <w:rsid w:val="00E64F06"/>
    <w:rsid w:val="00E6549E"/>
    <w:rsid w:val="00E65EDE"/>
    <w:rsid w:val="00E66823"/>
    <w:rsid w:val="00E66BA4"/>
    <w:rsid w:val="00E7083E"/>
    <w:rsid w:val="00E70F81"/>
    <w:rsid w:val="00E71257"/>
    <w:rsid w:val="00E75DED"/>
    <w:rsid w:val="00E76CB0"/>
    <w:rsid w:val="00E77055"/>
    <w:rsid w:val="00E77460"/>
    <w:rsid w:val="00E80AC0"/>
    <w:rsid w:val="00E80B32"/>
    <w:rsid w:val="00E81B1C"/>
    <w:rsid w:val="00E82AA8"/>
    <w:rsid w:val="00E82B03"/>
    <w:rsid w:val="00E82E08"/>
    <w:rsid w:val="00E82FB8"/>
    <w:rsid w:val="00E83ABC"/>
    <w:rsid w:val="00E844F2"/>
    <w:rsid w:val="00E854BA"/>
    <w:rsid w:val="00E8575C"/>
    <w:rsid w:val="00E90AD0"/>
    <w:rsid w:val="00E92FCB"/>
    <w:rsid w:val="00E937A3"/>
    <w:rsid w:val="00E94169"/>
    <w:rsid w:val="00E9623F"/>
    <w:rsid w:val="00E96E22"/>
    <w:rsid w:val="00EA1126"/>
    <w:rsid w:val="00EA147F"/>
    <w:rsid w:val="00EA26CD"/>
    <w:rsid w:val="00EA4219"/>
    <w:rsid w:val="00EA4A27"/>
    <w:rsid w:val="00EA4FA6"/>
    <w:rsid w:val="00EA5ED6"/>
    <w:rsid w:val="00EA7856"/>
    <w:rsid w:val="00EB1A25"/>
    <w:rsid w:val="00EB7C82"/>
    <w:rsid w:val="00EC082B"/>
    <w:rsid w:val="00EC0C15"/>
    <w:rsid w:val="00EC127E"/>
    <w:rsid w:val="00EC1805"/>
    <w:rsid w:val="00EC2599"/>
    <w:rsid w:val="00EC2685"/>
    <w:rsid w:val="00EC2B43"/>
    <w:rsid w:val="00EC3407"/>
    <w:rsid w:val="00EC3CE3"/>
    <w:rsid w:val="00EC516D"/>
    <w:rsid w:val="00EC6E69"/>
    <w:rsid w:val="00EC7902"/>
    <w:rsid w:val="00EC79E8"/>
    <w:rsid w:val="00ED02B1"/>
    <w:rsid w:val="00ED03AB"/>
    <w:rsid w:val="00ED1CD4"/>
    <w:rsid w:val="00ED1CDA"/>
    <w:rsid w:val="00ED1D2B"/>
    <w:rsid w:val="00ED27A7"/>
    <w:rsid w:val="00ED2C5E"/>
    <w:rsid w:val="00ED31CE"/>
    <w:rsid w:val="00ED327F"/>
    <w:rsid w:val="00ED3899"/>
    <w:rsid w:val="00ED577B"/>
    <w:rsid w:val="00ED64B5"/>
    <w:rsid w:val="00EE0A33"/>
    <w:rsid w:val="00EE0B9D"/>
    <w:rsid w:val="00EE0F24"/>
    <w:rsid w:val="00EE20CC"/>
    <w:rsid w:val="00EE4CF8"/>
    <w:rsid w:val="00EE53D7"/>
    <w:rsid w:val="00EE76EF"/>
    <w:rsid w:val="00EE7A2C"/>
    <w:rsid w:val="00EE7CCA"/>
    <w:rsid w:val="00EE7F8D"/>
    <w:rsid w:val="00EF2530"/>
    <w:rsid w:val="00EF4ED4"/>
    <w:rsid w:val="00EF6083"/>
    <w:rsid w:val="00EF69D9"/>
    <w:rsid w:val="00EF6F15"/>
    <w:rsid w:val="00F016C7"/>
    <w:rsid w:val="00F0191C"/>
    <w:rsid w:val="00F02752"/>
    <w:rsid w:val="00F04BC8"/>
    <w:rsid w:val="00F057DD"/>
    <w:rsid w:val="00F05820"/>
    <w:rsid w:val="00F05CFB"/>
    <w:rsid w:val="00F05FF4"/>
    <w:rsid w:val="00F06BED"/>
    <w:rsid w:val="00F10DB1"/>
    <w:rsid w:val="00F116D1"/>
    <w:rsid w:val="00F11A2D"/>
    <w:rsid w:val="00F13075"/>
    <w:rsid w:val="00F13580"/>
    <w:rsid w:val="00F14890"/>
    <w:rsid w:val="00F156E3"/>
    <w:rsid w:val="00F160B5"/>
    <w:rsid w:val="00F16A14"/>
    <w:rsid w:val="00F16B1E"/>
    <w:rsid w:val="00F17444"/>
    <w:rsid w:val="00F175DF"/>
    <w:rsid w:val="00F17CEC"/>
    <w:rsid w:val="00F17F0D"/>
    <w:rsid w:val="00F20EED"/>
    <w:rsid w:val="00F222E0"/>
    <w:rsid w:val="00F24036"/>
    <w:rsid w:val="00F2459E"/>
    <w:rsid w:val="00F262A5"/>
    <w:rsid w:val="00F268DE"/>
    <w:rsid w:val="00F26C02"/>
    <w:rsid w:val="00F27096"/>
    <w:rsid w:val="00F276B6"/>
    <w:rsid w:val="00F31944"/>
    <w:rsid w:val="00F34689"/>
    <w:rsid w:val="00F362D7"/>
    <w:rsid w:val="00F37470"/>
    <w:rsid w:val="00F377DB"/>
    <w:rsid w:val="00F37D7B"/>
    <w:rsid w:val="00F4220D"/>
    <w:rsid w:val="00F42B52"/>
    <w:rsid w:val="00F43A09"/>
    <w:rsid w:val="00F43AD1"/>
    <w:rsid w:val="00F452CF"/>
    <w:rsid w:val="00F456FF"/>
    <w:rsid w:val="00F45C7B"/>
    <w:rsid w:val="00F46F41"/>
    <w:rsid w:val="00F50409"/>
    <w:rsid w:val="00F5098B"/>
    <w:rsid w:val="00F51853"/>
    <w:rsid w:val="00F5314C"/>
    <w:rsid w:val="00F5540B"/>
    <w:rsid w:val="00F56435"/>
    <w:rsid w:val="00F5688C"/>
    <w:rsid w:val="00F60D2D"/>
    <w:rsid w:val="00F615BE"/>
    <w:rsid w:val="00F6187C"/>
    <w:rsid w:val="00F635DD"/>
    <w:rsid w:val="00F638FD"/>
    <w:rsid w:val="00F645C7"/>
    <w:rsid w:val="00F64A47"/>
    <w:rsid w:val="00F64DA5"/>
    <w:rsid w:val="00F6627B"/>
    <w:rsid w:val="00F6630D"/>
    <w:rsid w:val="00F67AE9"/>
    <w:rsid w:val="00F71B5D"/>
    <w:rsid w:val="00F7336E"/>
    <w:rsid w:val="00F73422"/>
    <w:rsid w:val="00F734F2"/>
    <w:rsid w:val="00F74064"/>
    <w:rsid w:val="00F75052"/>
    <w:rsid w:val="00F77AF7"/>
    <w:rsid w:val="00F804D3"/>
    <w:rsid w:val="00F808C4"/>
    <w:rsid w:val="00F80D80"/>
    <w:rsid w:val="00F81CD2"/>
    <w:rsid w:val="00F81D6D"/>
    <w:rsid w:val="00F82641"/>
    <w:rsid w:val="00F838DD"/>
    <w:rsid w:val="00F84E9B"/>
    <w:rsid w:val="00F879B1"/>
    <w:rsid w:val="00F90F18"/>
    <w:rsid w:val="00F912C1"/>
    <w:rsid w:val="00F937E4"/>
    <w:rsid w:val="00F95AC3"/>
    <w:rsid w:val="00F95EE7"/>
    <w:rsid w:val="00F96F3F"/>
    <w:rsid w:val="00F96FD6"/>
    <w:rsid w:val="00F97F76"/>
    <w:rsid w:val="00FA2858"/>
    <w:rsid w:val="00FA3478"/>
    <w:rsid w:val="00FA34EB"/>
    <w:rsid w:val="00FA39E6"/>
    <w:rsid w:val="00FA4585"/>
    <w:rsid w:val="00FA4734"/>
    <w:rsid w:val="00FA5E80"/>
    <w:rsid w:val="00FA6C05"/>
    <w:rsid w:val="00FA7BC9"/>
    <w:rsid w:val="00FA7C13"/>
    <w:rsid w:val="00FB378E"/>
    <w:rsid w:val="00FB37F1"/>
    <w:rsid w:val="00FB47C0"/>
    <w:rsid w:val="00FB4AA1"/>
    <w:rsid w:val="00FB5018"/>
    <w:rsid w:val="00FB501B"/>
    <w:rsid w:val="00FB5246"/>
    <w:rsid w:val="00FB56A3"/>
    <w:rsid w:val="00FB741E"/>
    <w:rsid w:val="00FB74A5"/>
    <w:rsid w:val="00FB7770"/>
    <w:rsid w:val="00FC2AE1"/>
    <w:rsid w:val="00FC2F78"/>
    <w:rsid w:val="00FC3AF2"/>
    <w:rsid w:val="00FC3D70"/>
    <w:rsid w:val="00FC66B2"/>
    <w:rsid w:val="00FC6FDB"/>
    <w:rsid w:val="00FC7447"/>
    <w:rsid w:val="00FC78E7"/>
    <w:rsid w:val="00FD1308"/>
    <w:rsid w:val="00FD1A86"/>
    <w:rsid w:val="00FD3B91"/>
    <w:rsid w:val="00FD541F"/>
    <w:rsid w:val="00FD5687"/>
    <w:rsid w:val="00FD576B"/>
    <w:rsid w:val="00FD579E"/>
    <w:rsid w:val="00FD6845"/>
    <w:rsid w:val="00FD77E9"/>
    <w:rsid w:val="00FE3DA7"/>
    <w:rsid w:val="00FE4516"/>
    <w:rsid w:val="00FE5337"/>
    <w:rsid w:val="00FE627C"/>
    <w:rsid w:val="00FE64C8"/>
    <w:rsid w:val="00FE6BC4"/>
    <w:rsid w:val="00FE7988"/>
    <w:rsid w:val="00FE7BCF"/>
    <w:rsid w:val="00FF2259"/>
    <w:rsid w:val="00FF22FA"/>
    <w:rsid w:val="00FF3CE8"/>
    <w:rsid w:val="00FF4212"/>
    <w:rsid w:val="00FF4783"/>
    <w:rsid w:val="00FF61EC"/>
    <w:rsid w:val="00FF678C"/>
    <w:rsid w:val="00FF6909"/>
    <w:rsid w:val="00FF7890"/>
    <w:rsid w:val="00FF79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96D1D"/>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3"/>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5A39DD"/>
    <w:pPr>
      <w:adjustRightInd w:val="0"/>
      <w:snapToGrid w:val="0"/>
      <w:spacing w:before="40" w:after="240" w:line="30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aliases w:val="(二),標題一,清單段落1,List Paragraph1,Recommendation,Footnote Sam,List Paragraph (numbered (a)),Text,Noise heading,RUS List,Rec para,Dot pt,F5 List Paragraph,No Spacing1,List Paragraph Char Char Char,Indicator Text,Numbered Para 1,Colorful List - Accent 11"/>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10">
    <w:name w:val="標題 1 字元"/>
    <w:basedOn w:val="a7"/>
    <w:link w:val="1"/>
    <w:rsid w:val="00352599"/>
    <w:rPr>
      <w:rFonts w:ascii="標楷體" w:eastAsia="標楷體" w:hAnsi="Arial"/>
      <w:bCs/>
      <w:kern w:val="32"/>
      <w:sz w:val="32"/>
      <w:szCs w:val="52"/>
    </w:rPr>
  </w:style>
  <w:style w:type="paragraph" w:styleId="afc">
    <w:name w:val="footnote text"/>
    <w:aliases w:val="字元"/>
    <w:basedOn w:val="a6"/>
    <w:link w:val="afd"/>
    <w:rsid w:val="00952E3A"/>
    <w:pPr>
      <w:snapToGrid w:val="0"/>
      <w:jc w:val="left"/>
    </w:pPr>
    <w:rPr>
      <w:rFonts w:ascii="Times New Roman" w:eastAsia="新細明體"/>
      <w:sz w:val="20"/>
    </w:rPr>
  </w:style>
  <w:style w:type="character" w:customStyle="1" w:styleId="afd">
    <w:name w:val="註腳文字 字元"/>
    <w:aliases w:val="字元 字元"/>
    <w:basedOn w:val="a7"/>
    <w:link w:val="afc"/>
    <w:rsid w:val="00952E3A"/>
    <w:rPr>
      <w:kern w:val="2"/>
    </w:rPr>
  </w:style>
  <w:style w:type="character" w:styleId="afe">
    <w:name w:val="footnote reference"/>
    <w:uiPriority w:val="99"/>
    <w:rsid w:val="00352599"/>
    <w:rPr>
      <w:vertAlign w:val="superscript"/>
    </w:rPr>
  </w:style>
  <w:style w:type="paragraph" w:customStyle="1" w:styleId="Default">
    <w:name w:val="Default"/>
    <w:rsid w:val="00FC6FDB"/>
    <w:pPr>
      <w:widowControl w:val="0"/>
      <w:autoSpaceDE w:val="0"/>
      <w:autoSpaceDN w:val="0"/>
      <w:adjustRightInd w:val="0"/>
    </w:pPr>
    <w:rPr>
      <w:rFonts w:ascii="標楷體" w:hAnsi="標楷體" w:cs="標楷體"/>
      <w:color w:val="000000"/>
      <w:sz w:val="24"/>
      <w:szCs w:val="24"/>
    </w:rPr>
  </w:style>
  <w:style w:type="character" w:customStyle="1" w:styleId="40">
    <w:name w:val="標題 4 字元"/>
    <w:aliases w:val="表格 字元,一 字元"/>
    <w:link w:val="4"/>
    <w:rsid w:val="00CA7A94"/>
    <w:rPr>
      <w:rFonts w:ascii="標楷體" w:eastAsia="標楷體" w:hAnsi="Arial"/>
      <w:kern w:val="32"/>
      <w:sz w:val="32"/>
      <w:szCs w:val="36"/>
    </w:rPr>
  </w:style>
  <w:style w:type="paragraph" w:styleId="Web">
    <w:name w:val="Normal (Web)"/>
    <w:basedOn w:val="a6"/>
    <w:uiPriority w:val="99"/>
    <w:unhideWhenUsed/>
    <w:rsid w:val="00D10305"/>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9">
    <w:name w:val="清單段落 字元"/>
    <w:aliases w:val="(二) 字元,標題一 字元,清單段落1 字元,List Paragraph1 字元,Recommendation 字元,Footnote Sam 字元,List Paragraph (numbered (a)) 字元,Text 字元,Noise heading 字元,RUS List 字元,Rec para 字元,Dot pt 字元,F5 List Paragraph 字元,No Spacing1 字元,List Paragraph Char Char Char 字元"/>
    <w:link w:val="af8"/>
    <w:uiPriority w:val="34"/>
    <w:locked/>
    <w:rsid w:val="00347CED"/>
    <w:rPr>
      <w:rFonts w:ascii="標楷體" w:eastAsia="標楷體"/>
      <w:kern w:val="2"/>
      <w:sz w:val="32"/>
    </w:rPr>
  </w:style>
  <w:style w:type="character" w:customStyle="1" w:styleId="ab">
    <w:name w:val="簽名 字元"/>
    <w:basedOn w:val="a7"/>
    <w:link w:val="aa"/>
    <w:semiHidden/>
    <w:rsid w:val="00364D34"/>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96D1D"/>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3"/>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5A39DD"/>
    <w:pPr>
      <w:adjustRightInd w:val="0"/>
      <w:snapToGrid w:val="0"/>
      <w:spacing w:before="40" w:after="240" w:line="30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aliases w:val="(二),標題一,清單段落1,List Paragraph1,Recommendation,Footnote Sam,List Paragraph (numbered (a)),Text,Noise heading,RUS List,Rec para,Dot pt,F5 List Paragraph,No Spacing1,List Paragraph Char Char Char,Indicator Text,Numbered Para 1,Colorful List - Accent 11"/>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10">
    <w:name w:val="標題 1 字元"/>
    <w:basedOn w:val="a7"/>
    <w:link w:val="1"/>
    <w:rsid w:val="00352599"/>
    <w:rPr>
      <w:rFonts w:ascii="標楷體" w:eastAsia="標楷體" w:hAnsi="Arial"/>
      <w:bCs/>
      <w:kern w:val="32"/>
      <w:sz w:val="32"/>
      <w:szCs w:val="52"/>
    </w:rPr>
  </w:style>
  <w:style w:type="paragraph" w:styleId="afc">
    <w:name w:val="footnote text"/>
    <w:aliases w:val="字元"/>
    <w:basedOn w:val="a6"/>
    <w:link w:val="afd"/>
    <w:rsid w:val="00952E3A"/>
    <w:pPr>
      <w:snapToGrid w:val="0"/>
      <w:jc w:val="left"/>
    </w:pPr>
    <w:rPr>
      <w:rFonts w:ascii="Times New Roman" w:eastAsia="新細明體"/>
      <w:sz w:val="20"/>
    </w:rPr>
  </w:style>
  <w:style w:type="character" w:customStyle="1" w:styleId="afd">
    <w:name w:val="註腳文字 字元"/>
    <w:aliases w:val="字元 字元"/>
    <w:basedOn w:val="a7"/>
    <w:link w:val="afc"/>
    <w:rsid w:val="00952E3A"/>
    <w:rPr>
      <w:kern w:val="2"/>
    </w:rPr>
  </w:style>
  <w:style w:type="character" w:styleId="afe">
    <w:name w:val="footnote reference"/>
    <w:uiPriority w:val="99"/>
    <w:rsid w:val="00352599"/>
    <w:rPr>
      <w:vertAlign w:val="superscript"/>
    </w:rPr>
  </w:style>
  <w:style w:type="paragraph" w:customStyle="1" w:styleId="Default">
    <w:name w:val="Default"/>
    <w:rsid w:val="00FC6FDB"/>
    <w:pPr>
      <w:widowControl w:val="0"/>
      <w:autoSpaceDE w:val="0"/>
      <w:autoSpaceDN w:val="0"/>
      <w:adjustRightInd w:val="0"/>
    </w:pPr>
    <w:rPr>
      <w:rFonts w:ascii="標楷體" w:hAnsi="標楷體" w:cs="標楷體"/>
      <w:color w:val="000000"/>
      <w:sz w:val="24"/>
      <w:szCs w:val="24"/>
    </w:rPr>
  </w:style>
  <w:style w:type="character" w:customStyle="1" w:styleId="40">
    <w:name w:val="標題 4 字元"/>
    <w:aliases w:val="表格 字元,一 字元"/>
    <w:link w:val="4"/>
    <w:rsid w:val="00CA7A94"/>
    <w:rPr>
      <w:rFonts w:ascii="標楷體" w:eastAsia="標楷體" w:hAnsi="Arial"/>
      <w:kern w:val="32"/>
      <w:sz w:val="32"/>
      <w:szCs w:val="36"/>
    </w:rPr>
  </w:style>
  <w:style w:type="paragraph" w:styleId="Web">
    <w:name w:val="Normal (Web)"/>
    <w:basedOn w:val="a6"/>
    <w:uiPriority w:val="99"/>
    <w:unhideWhenUsed/>
    <w:rsid w:val="00D10305"/>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9">
    <w:name w:val="清單段落 字元"/>
    <w:aliases w:val="(二) 字元,標題一 字元,清單段落1 字元,List Paragraph1 字元,Recommendation 字元,Footnote Sam 字元,List Paragraph (numbered (a)) 字元,Text 字元,Noise heading 字元,RUS List 字元,Rec para 字元,Dot pt 字元,F5 List Paragraph 字元,No Spacing1 字元,List Paragraph Char Char Char 字元"/>
    <w:link w:val="af8"/>
    <w:uiPriority w:val="34"/>
    <w:locked/>
    <w:rsid w:val="00347CED"/>
    <w:rPr>
      <w:rFonts w:ascii="標楷體" w:eastAsia="標楷體"/>
      <w:kern w:val="2"/>
      <w:sz w:val="32"/>
    </w:rPr>
  </w:style>
  <w:style w:type="character" w:customStyle="1" w:styleId="ab">
    <w:name w:val="簽名 字元"/>
    <w:basedOn w:val="a7"/>
    <w:link w:val="aa"/>
    <w:semiHidden/>
    <w:rsid w:val="00364D34"/>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33717">
      <w:bodyDiv w:val="1"/>
      <w:marLeft w:val="0"/>
      <w:marRight w:val="0"/>
      <w:marTop w:val="0"/>
      <w:marBottom w:val="0"/>
      <w:divBdr>
        <w:top w:val="none" w:sz="0" w:space="0" w:color="auto"/>
        <w:left w:val="none" w:sz="0" w:space="0" w:color="auto"/>
        <w:bottom w:val="none" w:sz="0" w:space="0" w:color="auto"/>
        <w:right w:val="none" w:sz="0" w:space="0" w:color="auto"/>
      </w:divBdr>
    </w:div>
    <w:div w:id="1028409028">
      <w:bodyDiv w:val="1"/>
      <w:marLeft w:val="0"/>
      <w:marRight w:val="0"/>
      <w:marTop w:val="0"/>
      <w:marBottom w:val="0"/>
      <w:divBdr>
        <w:top w:val="none" w:sz="0" w:space="0" w:color="auto"/>
        <w:left w:val="none" w:sz="0" w:space="0" w:color="auto"/>
        <w:bottom w:val="none" w:sz="0" w:space="0" w:color="auto"/>
        <w:right w:val="none" w:sz="0" w:space="0" w:color="auto"/>
      </w:divBdr>
      <w:divsChild>
        <w:div w:id="1159806371">
          <w:marLeft w:val="547"/>
          <w:marRight w:val="0"/>
          <w:marTop w:val="0"/>
          <w:marBottom w:val="0"/>
          <w:divBdr>
            <w:top w:val="none" w:sz="0" w:space="0" w:color="auto"/>
            <w:left w:val="none" w:sz="0" w:space="0" w:color="auto"/>
            <w:bottom w:val="none" w:sz="0" w:space="0" w:color="auto"/>
            <w:right w:val="none" w:sz="0" w:space="0" w:color="auto"/>
          </w:divBdr>
        </w:div>
        <w:div w:id="384836483">
          <w:marLeft w:val="1166"/>
          <w:marRight w:val="0"/>
          <w:marTop w:val="0"/>
          <w:marBottom w:val="0"/>
          <w:divBdr>
            <w:top w:val="none" w:sz="0" w:space="0" w:color="auto"/>
            <w:left w:val="none" w:sz="0" w:space="0" w:color="auto"/>
            <w:bottom w:val="none" w:sz="0" w:space="0" w:color="auto"/>
            <w:right w:val="none" w:sz="0" w:space="0" w:color="auto"/>
          </w:divBdr>
        </w:div>
        <w:div w:id="534319216">
          <w:marLeft w:val="1166"/>
          <w:marRight w:val="0"/>
          <w:marTop w:val="0"/>
          <w:marBottom w:val="0"/>
          <w:divBdr>
            <w:top w:val="none" w:sz="0" w:space="0" w:color="auto"/>
            <w:left w:val="none" w:sz="0" w:space="0" w:color="auto"/>
            <w:bottom w:val="none" w:sz="0" w:space="0" w:color="auto"/>
            <w:right w:val="none" w:sz="0" w:space="0" w:color="auto"/>
          </w:divBdr>
        </w:div>
        <w:div w:id="858549001">
          <w:marLeft w:val="547"/>
          <w:marRight w:val="0"/>
          <w:marTop w:val="0"/>
          <w:marBottom w:val="0"/>
          <w:divBdr>
            <w:top w:val="none" w:sz="0" w:space="0" w:color="auto"/>
            <w:left w:val="none" w:sz="0" w:space="0" w:color="auto"/>
            <w:bottom w:val="none" w:sz="0" w:space="0" w:color="auto"/>
            <w:right w:val="none" w:sz="0" w:space="0" w:color="auto"/>
          </w:divBdr>
        </w:div>
        <w:div w:id="470175193">
          <w:marLeft w:val="1166"/>
          <w:marRight w:val="0"/>
          <w:marTop w:val="0"/>
          <w:marBottom w:val="0"/>
          <w:divBdr>
            <w:top w:val="none" w:sz="0" w:space="0" w:color="auto"/>
            <w:left w:val="none" w:sz="0" w:space="0" w:color="auto"/>
            <w:bottom w:val="none" w:sz="0" w:space="0" w:color="auto"/>
            <w:right w:val="none" w:sz="0" w:space="0" w:color="auto"/>
          </w:divBdr>
        </w:div>
        <w:div w:id="15933168">
          <w:marLeft w:val="547"/>
          <w:marRight w:val="0"/>
          <w:marTop w:val="0"/>
          <w:marBottom w:val="0"/>
          <w:divBdr>
            <w:top w:val="none" w:sz="0" w:space="0" w:color="auto"/>
            <w:left w:val="none" w:sz="0" w:space="0" w:color="auto"/>
            <w:bottom w:val="none" w:sz="0" w:space="0" w:color="auto"/>
            <w:right w:val="none" w:sz="0" w:space="0" w:color="auto"/>
          </w:divBdr>
        </w:div>
        <w:div w:id="888079518">
          <w:marLeft w:val="1166"/>
          <w:marRight w:val="0"/>
          <w:marTop w:val="0"/>
          <w:marBottom w:val="0"/>
          <w:divBdr>
            <w:top w:val="none" w:sz="0" w:space="0" w:color="auto"/>
            <w:left w:val="none" w:sz="0" w:space="0" w:color="auto"/>
            <w:bottom w:val="none" w:sz="0" w:space="0" w:color="auto"/>
            <w:right w:val="none" w:sz="0" w:space="0" w:color="auto"/>
          </w:divBdr>
        </w:div>
      </w:divsChild>
    </w:div>
    <w:div w:id="1038165751">
      <w:bodyDiv w:val="1"/>
      <w:marLeft w:val="0"/>
      <w:marRight w:val="0"/>
      <w:marTop w:val="0"/>
      <w:marBottom w:val="0"/>
      <w:divBdr>
        <w:top w:val="none" w:sz="0" w:space="0" w:color="auto"/>
        <w:left w:val="none" w:sz="0" w:space="0" w:color="auto"/>
        <w:bottom w:val="none" w:sz="0" w:space="0" w:color="auto"/>
        <w:right w:val="none" w:sz="0" w:space="0" w:color="auto"/>
      </w:divBdr>
    </w:div>
    <w:div w:id="1418943851">
      <w:bodyDiv w:val="1"/>
      <w:marLeft w:val="0"/>
      <w:marRight w:val="0"/>
      <w:marTop w:val="0"/>
      <w:marBottom w:val="0"/>
      <w:divBdr>
        <w:top w:val="none" w:sz="0" w:space="0" w:color="auto"/>
        <w:left w:val="none" w:sz="0" w:space="0" w:color="auto"/>
        <w:bottom w:val="none" w:sz="0" w:space="0" w:color="auto"/>
        <w:right w:val="none" w:sz="0" w:space="0" w:color="auto"/>
      </w:divBdr>
    </w:div>
    <w:div w:id="1447694521">
      <w:bodyDiv w:val="1"/>
      <w:marLeft w:val="0"/>
      <w:marRight w:val="0"/>
      <w:marTop w:val="0"/>
      <w:marBottom w:val="0"/>
      <w:divBdr>
        <w:top w:val="none" w:sz="0" w:space="0" w:color="auto"/>
        <w:left w:val="none" w:sz="0" w:space="0" w:color="auto"/>
        <w:bottom w:val="none" w:sz="0" w:space="0" w:color="auto"/>
        <w:right w:val="none" w:sz="0" w:space="0" w:color="auto"/>
      </w:divBdr>
    </w:div>
    <w:div w:id="1510410689">
      <w:bodyDiv w:val="1"/>
      <w:marLeft w:val="0"/>
      <w:marRight w:val="0"/>
      <w:marTop w:val="0"/>
      <w:marBottom w:val="0"/>
      <w:divBdr>
        <w:top w:val="none" w:sz="0" w:space="0" w:color="auto"/>
        <w:left w:val="none" w:sz="0" w:space="0" w:color="auto"/>
        <w:bottom w:val="none" w:sz="0" w:space="0" w:color="auto"/>
        <w:right w:val="none" w:sz="0" w:space="0" w:color="auto"/>
      </w:divBdr>
    </w:div>
    <w:div w:id="1597783099">
      <w:bodyDiv w:val="1"/>
      <w:marLeft w:val="0"/>
      <w:marRight w:val="0"/>
      <w:marTop w:val="0"/>
      <w:marBottom w:val="0"/>
      <w:divBdr>
        <w:top w:val="none" w:sz="0" w:space="0" w:color="auto"/>
        <w:left w:val="none" w:sz="0" w:space="0" w:color="auto"/>
        <w:bottom w:val="none" w:sz="0" w:space="0" w:color="auto"/>
        <w:right w:val="none" w:sz="0" w:space="0" w:color="auto"/>
      </w:divBdr>
    </w:div>
    <w:div w:id="1604533912">
      <w:bodyDiv w:val="1"/>
      <w:marLeft w:val="0"/>
      <w:marRight w:val="0"/>
      <w:marTop w:val="0"/>
      <w:marBottom w:val="0"/>
      <w:divBdr>
        <w:top w:val="none" w:sz="0" w:space="0" w:color="auto"/>
        <w:left w:val="none" w:sz="0" w:space="0" w:color="auto"/>
        <w:bottom w:val="none" w:sz="0" w:space="0" w:color="auto"/>
        <w:right w:val="none" w:sz="0" w:space="0" w:color="auto"/>
      </w:divBdr>
    </w:div>
    <w:div w:id="2047675837">
      <w:bodyDiv w:val="1"/>
      <w:marLeft w:val="0"/>
      <w:marRight w:val="0"/>
      <w:marTop w:val="0"/>
      <w:marBottom w:val="0"/>
      <w:divBdr>
        <w:top w:val="none" w:sz="0" w:space="0" w:color="auto"/>
        <w:left w:val="none" w:sz="0" w:space="0" w:color="auto"/>
        <w:bottom w:val="none" w:sz="0" w:space="0" w:color="auto"/>
        <w:right w:val="none" w:sz="0" w:space="0" w:color="auto"/>
      </w:divBdr>
    </w:div>
    <w:div w:id="2054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tdc.org.tw/about_td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5DE0D-24EA-4367-8A30-E6961D24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20</Pages>
  <Words>1917</Words>
  <Characters>10932</Characters>
  <Application>Microsoft Office Word</Application>
  <DocSecurity>0</DocSecurity>
  <Lines>91</Lines>
  <Paragraphs>25</Paragraphs>
  <ScaleCrop>false</ScaleCrop>
  <Company>cy</Company>
  <LinksUpToDate>false</LinksUpToDate>
  <CharactersWithSpaces>12824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3</cp:revision>
  <cp:lastPrinted>2018-04-19T03:38:00Z</cp:lastPrinted>
  <dcterms:created xsi:type="dcterms:W3CDTF">2019-04-02T08:55:00Z</dcterms:created>
  <dcterms:modified xsi:type="dcterms:W3CDTF">2019-04-02T08:57:00Z</dcterms:modified>
</cp:coreProperties>
</file>