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75644" w:rsidRPr="0060634B" w:rsidRDefault="007853BF" w:rsidP="00F37D7B">
      <w:pPr>
        <w:pStyle w:val="af2"/>
      </w:pPr>
      <w:r w:rsidRPr="0060634B">
        <w:rPr>
          <w:rFonts w:hint="eastAsia"/>
        </w:rPr>
        <w:t>調查</w:t>
      </w:r>
      <w:r w:rsidR="00D75644" w:rsidRPr="0060634B">
        <w:rPr>
          <w:rFonts w:hint="eastAsia"/>
        </w:rPr>
        <w:t>報告</w:t>
      </w:r>
    </w:p>
    <w:p w:rsidR="00E25849" w:rsidRPr="0060634B" w:rsidRDefault="00E25849" w:rsidP="004E05A1">
      <w:pPr>
        <w:pStyle w:val="1"/>
        <w:ind w:left="2380" w:hanging="2380"/>
      </w:pPr>
      <w:bookmarkStart w:id="0" w:name="_Toc524892368"/>
      <w:bookmarkStart w:id="1" w:name="_Toc524895638"/>
      <w:bookmarkStart w:id="2" w:name="_Toc524896184"/>
      <w:bookmarkStart w:id="3" w:name="_Toc524896214"/>
      <w:bookmarkStart w:id="4" w:name="_Toc524902720"/>
      <w:bookmarkStart w:id="5" w:name="_Toc525066139"/>
      <w:bookmarkStart w:id="6" w:name="_Toc525070829"/>
      <w:bookmarkStart w:id="7" w:name="_Toc525938369"/>
      <w:bookmarkStart w:id="8" w:name="_Toc525939217"/>
      <w:bookmarkStart w:id="9" w:name="_Toc525939722"/>
      <w:bookmarkStart w:id="10" w:name="_Toc421794865"/>
      <w:bookmarkStart w:id="11" w:name="_Toc422834150"/>
      <w:bookmarkStart w:id="12" w:name="_Toc529218256"/>
      <w:bookmarkStart w:id="13" w:name="_Toc529222679"/>
      <w:bookmarkStart w:id="14" w:name="_Toc529223101"/>
      <w:bookmarkStart w:id="15" w:name="_Toc529223852"/>
      <w:bookmarkStart w:id="16" w:name="_Toc529228248"/>
      <w:bookmarkStart w:id="17" w:name="_Toc2400384"/>
      <w:bookmarkStart w:id="18" w:name="_Toc4316179"/>
      <w:bookmarkStart w:id="19" w:name="_Toc4473320"/>
      <w:bookmarkStart w:id="20" w:name="_Toc69556887"/>
      <w:bookmarkStart w:id="21" w:name="_Toc69556936"/>
      <w:bookmarkStart w:id="22" w:name="_Toc69609810"/>
      <w:bookmarkStart w:id="23" w:name="_Toc70241806"/>
      <w:bookmarkStart w:id="24" w:name="_Toc70242195"/>
      <w:r w:rsidRPr="0060634B">
        <w:rPr>
          <w:rFonts w:hint="eastAsia"/>
        </w:rPr>
        <w:t>案　　由：</w:t>
      </w:r>
      <w:bookmarkEnd w:id="0"/>
      <w:bookmarkEnd w:id="1"/>
      <w:bookmarkEnd w:id="2"/>
      <w:bookmarkEnd w:id="3"/>
      <w:bookmarkEnd w:id="4"/>
      <w:bookmarkEnd w:id="5"/>
      <w:bookmarkEnd w:id="6"/>
      <w:bookmarkEnd w:id="7"/>
      <w:bookmarkEnd w:id="8"/>
      <w:bookmarkEnd w:id="9"/>
      <w:r w:rsidR="001C0DA8" w:rsidRPr="0060634B">
        <w:fldChar w:fldCharType="begin"/>
      </w:r>
      <w:r w:rsidRPr="0060634B">
        <w:instrText xml:space="preserve"> MERGEFIELD </w:instrText>
      </w:r>
      <w:r w:rsidRPr="0060634B">
        <w:rPr>
          <w:rFonts w:hint="eastAsia"/>
        </w:rPr>
        <w:instrText>案由</w:instrText>
      </w:r>
      <w:r w:rsidRPr="0060634B">
        <w:instrText xml:space="preserve"> </w:instrText>
      </w:r>
      <w:r w:rsidR="001C0DA8" w:rsidRPr="0060634B">
        <w:fldChar w:fldCharType="separate"/>
      </w:r>
      <w:bookmarkEnd w:id="10"/>
      <w:bookmarkEnd w:id="11"/>
      <w:r w:rsidR="00FE1148" w:rsidRPr="0060634B">
        <w:rPr>
          <w:rFonts w:hint="eastAsia"/>
          <w:noProof/>
        </w:rPr>
        <w:t>交通違規檢舉開罰件數已超過150萬件，民眾檢舉交通違規不斷增加，警方對於檢舉案件照單全收，造成訴訟爭議不斷，引發新民怨，故對於此類罰單警方是否有怠於審查之疏失?又裁罰機關有無發揮審查功能？有民眾因他人每2小時檢舉1次，以致5天收到34張罰單，諸如此類連續開罰的情形有無開罰之標準或裁量之基準？均有詳加了解之必要案。</w:t>
      </w:r>
      <w:r w:rsidR="001C0DA8" w:rsidRPr="0060634B">
        <w:fldChar w:fldCharType="end"/>
      </w:r>
      <w:bookmarkEnd w:id="12"/>
      <w:bookmarkEnd w:id="13"/>
      <w:bookmarkEnd w:id="14"/>
      <w:bookmarkEnd w:id="15"/>
      <w:bookmarkEnd w:id="16"/>
      <w:bookmarkEnd w:id="17"/>
      <w:bookmarkEnd w:id="18"/>
      <w:bookmarkEnd w:id="19"/>
      <w:bookmarkEnd w:id="20"/>
      <w:bookmarkEnd w:id="21"/>
      <w:bookmarkEnd w:id="22"/>
      <w:bookmarkEnd w:id="23"/>
      <w:bookmarkEnd w:id="24"/>
    </w:p>
    <w:p w:rsidR="00E25849" w:rsidRPr="0060634B" w:rsidRDefault="00E25849" w:rsidP="004E05A1">
      <w:pPr>
        <w:pStyle w:val="1"/>
        <w:ind w:left="2380" w:hanging="2380"/>
      </w:pPr>
      <w:bookmarkStart w:id="25" w:name="_Toc524895646"/>
      <w:bookmarkStart w:id="26" w:name="_Toc524896192"/>
      <w:bookmarkStart w:id="27" w:name="_Toc524896222"/>
      <w:bookmarkStart w:id="28" w:name="_Toc524902729"/>
      <w:bookmarkStart w:id="29" w:name="_Toc525066145"/>
      <w:bookmarkStart w:id="30" w:name="_Toc525070836"/>
      <w:bookmarkStart w:id="31" w:name="_Toc525938376"/>
      <w:bookmarkStart w:id="32" w:name="_Toc525939224"/>
      <w:bookmarkStart w:id="33" w:name="_Toc525939729"/>
      <w:bookmarkStart w:id="34" w:name="_Toc529218269"/>
      <w:bookmarkStart w:id="35" w:name="_Toc529222686"/>
      <w:bookmarkStart w:id="36" w:name="_Toc529223108"/>
      <w:bookmarkStart w:id="37" w:name="_Toc529223859"/>
      <w:bookmarkStart w:id="38" w:name="_Toc529228262"/>
      <w:bookmarkStart w:id="39" w:name="_Toc2400392"/>
      <w:bookmarkStart w:id="40" w:name="_Toc4316186"/>
      <w:bookmarkStart w:id="41" w:name="_Toc4473327"/>
      <w:bookmarkStart w:id="42" w:name="_Toc69556894"/>
      <w:bookmarkStart w:id="43" w:name="_Toc69556943"/>
      <w:bookmarkStart w:id="44" w:name="_Toc69609817"/>
      <w:bookmarkStart w:id="45" w:name="_Toc70241813"/>
      <w:bookmarkStart w:id="46" w:name="_Toc70242202"/>
      <w:bookmarkStart w:id="47" w:name="_Toc421794872"/>
      <w:bookmarkStart w:id="48" w:name="_Toc422834157"/>
      <w:r w:rsidRPr="0060634B">
        <w:rPr>
          <w:rFonts w:hint="eastAsia"/>
        </w:rPr>
        <w:t>調查意見：</w:t>
      </w:r>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p>
    <w:p w:rsidR="004F6710" w:rsidRPr="0060634B" w:rsidRDefault="002201E5" w:rsidP="00A639F4">
      <w:pPr>
        <w:pStyle w:val="10"/>
        <w:ind w:left="680" w:firstLine="680"/>
      </w:pPr>
      <w:bookmarkStart w:id="49" w:name="_Toc524902730"/>
      <w:r w:rsidRPr="0060634B">
        <w:rPr>
          <w:rFonts w:hint="eastAsia"/>
        </w:rPr>
        <w:t>本案係據報載，民國(下同)106年1至8月民眾檢舉交通違規檢舉</w:t>
      </w:r>
      <w:proofErr w:type="gramStart"/>
      <w:r w:rsidRPr="0060634B">
        <w:rPr>
          <w:rFonts w:hint="eastAsia"/>
        </w:rPr>
        <w:t>開罰件</w:t>
      </w:r>
      <w:proofErr w:type="gramEnd"/>
      <w:r w:rsidRPr="0060634B">
        <w:rPr>
          <w:rFonts w:hint="eastAsia"/>
        </w:rPr>
        <w:t>數已超過150萬件，警方對於檢舉案件照單全收，造成訴訟爭議不斷，引發新民怨，故對於此類罰單警方是否有</w:t>
      </w:r>
      <w:proofErr w:type="gramStart"/>
      <w:r w:rsidRPr="0060634B">
        <w:rPr>
          <w:rFonts w:hint="eastAsia"/>
        </w:rPr>
        <w:t>怠</w:t>
      </w:r>
      <w:proofErr w:type="gramEnd"/>
      <w:r w:rsidRPr="0060634B">
        <w:rPr>
          <w:rFonts w:hint="eastAsia"/>
        </w:rPr>
        <w:t>於審查之疏失?</w:t>
      </w:r>
      <w:proofErr w:type="gramStart"/>
      <w:r w:rsidRPr="0060634B">
        <w:rPr>
          <w:rFonts w:hint="eastAsia"/>
        </w:rPr>
        <w:t>又裁罰</w:t>
      </w:r>
      <w:proofErr w:type="gramEnd"/>
      <w:r w:rsidRPr="0060634B">
        <w:rPr>
          <w:rFonts w:hint="eastAsia"/>
        </w:rPr>
        <w:t>機關有無發揮審查功能？有民眾因他人每2小時檢舉1次，以致5天收到34張罰單，諸如此類</w:t>
      </w:r>
      <w:proofErr w:type="gramStart"/>
      <w:r w:rsidRPr="0060634B">
        <w:rPr>
          <w:rFonts w:hint="eastAsia"/>
        </w:rPr>
        <w:t>連續開罰的</w:t>
      </w:r>
      <w:proofErr w:type="gramEnd"/>
      <w:r w:rsidRPr="0060634B">
        <w:rPr>
          <w:rFonts w:hint="eastAsia"/>
        </w:rPr>
        <w:t>情形有</w:t>
      </w:r>
      <w:proofErr w:type="gramStart"/>
      <w:r w:rsidRPr="0060634B">
        <w:rPr>
          <w:rFonts w:hint="eastAsia"/>
        </w:rPr>
        <w:t>無開罰之</w:t>
      </w:r>
      <w:proofErr w:type="gramEnd"/>
      <w:r w:rsidRPr="0060634B">
        <w:rPr>
          <w:rFonts w:hint="eastAsia"/>
        </w:rPr>
        <w:t>標準或裁量之基準等情。本案由委員提起自動調查，經本院調閱交通部暨所屬公路總局（下稱公路總局）、內政部警政署（下稱警政署）、臺北市政府交通局、新北市政府交通局、桃園市政府交通局、</w:t>
      </w:r>
      <w:proofErr w:type="gramStart"/>
      <w:r w:rsidRPr="0060634B">
        <w:rPr>
          <w:rFonts w:hint="eastAsia"/>
        </w:rPr>
        <w:t>臺</w:t>
      </w:r>
      <w:proofErr w:type="gramEnd"/>
      <w:r w:rsidRPr="0060634B">
        <w:rPr>
          <w:rFonts w:hint="eastAsia"/>
        </w:rPr>
        <w:t>南市政府交通局、</w:t>
      </w:r>
      <w:proofErr w:type="gramStart"/>
      <w:r w:rsidRPr="0060634B">
        <w:rPr>
          <w:rFonts w:hint="eastAsia"/>
        </w:rPr>
        <w:t>臺</w:t>
      </w:r>
      <w:proofErr w:type="gramEnd"/>
      <w:r w:rsidRPr="0060634B">
        <w:rPr>
          <w:rFonts w:hint="eastAsia"/>
        </w:rPr>
        <w:t>中市政府交通局、高雄市政府交通局等機關提供</w:t>
      </w:r>
      <w:r w:rsidR="00681FBD" w:rsidRPr="0060634B">
        <w:rPr>
          <w:rFonts w:hint="eastAsia"/>
        </w:rPr>
        <w:t>近3年</w:t>
      </w:r>
      <w:r w:rsidR="00681FBD">
        <w:rPr>
          <w:rFonts w:hint="eastAsia"/>
        </w:rPr>
        <w:t>（</w:t>
      </w:r>
      <w:r w:rsidRPr="0060634B">
        <w:rPr>
          <w:rFonts w:hint="eastAsia"/>
        </w:rPr>
        <w:t>104、105及106年</w:t>
      </w:r>
      <w:r w:rsidR="00681FBD">
        <w:rPr>
          <w:rFonts w:hint="eastAsia"/>
        </w:rPr>
        <w:t>1</w:t>
      </w:r>
      <w:r w:rsidRPr="0060634B">
        <w:rPr>
          <w:rFonts w:hint="eastAsia"/>
        </w:rPr>
        <w:t>至8月，下同）相關交通罰單資料佐證說明，並於107年1月24日詢問上開機關相關主管人員，已</w:t>
      </w:r>
      <w:proofErr w:type="gramStart"/>
      <w:r w:rsidRPr="0060634B">
        <w:rPr>
          <w:rFonts w:hint="eastAsia"/>
        </w:rPr>
        <w:t>調查竣事</w:t>
      </w:r>
      <w:proofErr w:type="gramEnd"/>
      <w:r w:rsidRPr="0060634B">
        <w:rPr>
          <w:rFonts w:hint="eastAsia"/>
        </w:rPr>
        <w:t>，茲</w:t>
      </w:r>
      <w:proofErr w:type="gramStart"/>
      <w:r w:rsidRPr="0060634B">
        <w:rPr>
          <w:rFonts w:hint="eastAsia"/>
        </w:rPr>
        <w:t>臚</w:t>
      </w:r>
      <w:proofErr w:type="gramEnd"/>
      <w:r w:rsidRPr="0060634B">
        <w:rPr>
          <w:rFonts w:hint="eastAsia"/>
        </w:rPr>
        <w:t>列調查意見如下：</w:t>
      </w:r>
    </w:p>
    <w:p w:rsidR="002201E5" w:rsidRPr="0060634B" w:rsidRDefault="002201E5" w:rsidP="002201E5">
      <w:pPr>
        <w:pStyle w:val="2"/>
        <w:kinsoku w:val="0"/>
        <w:overflowPunct/>
        <w:autoSpaceDE/>
        <w:autoSpaceDN/>
        <w:ind w:left="1134" w:hanging="697"/>
        <w:rPr>
          <w:b/>
        </w:rPr>
      </w:pPr>
      <w:bookmarkStart w:id="50" w:name="_Toc524895648"/>
      <w:bookmarkStart w:id="51" w:name="_Toc524896194"/>
      <w:bookmarkStart w:id="52" w:name="_Toc524896224"/>
      <w:bookmarkStart w:id="53" w:name="_Toc524902734"/>
      <w:bookmarkStart w:id="54" w:name="_Toc525066148"/>
      <w:bookmarkStart w:id="55" w:name="_Toc525070839"/>
      <w:bookmarkStart w:id="56" w:name="_Toc525938379"/>
      <w:bookmarkStart w:id="57" w:name="_Toc525939227"/>
      <w:bookmarkStart w:id="58" w:name="_Toc525939732"/>
      <w:bookmarkStart w:id="59" w:name="_Toc529218272"/>
      <w:bookmarkEnd w:id="49"/>
      <w:r w:rsidRPr="0060634B">
        <w:rPr>
          <w:rFonts w:hint="eastAsia"/>
          <w:b/>
        </w:rPr>
        <w:t>內政部警政署依法受理民眾檢舉交通違規事件，最近3年經查證後舉發比率分別為74.72%、81.73%及74.27%，雖無媒體所稱警察機關全盤接受民眾檢舉之情事，惟對於該署自訂「警察機關處理檢舉交通違規案件品質督考計畫規定」，僅有處理時效之控管，而</w:t>
      </w:r>
      <w:r w:rsidRPr="0060634B">
        <w:rPr>
          <w:rFonts w:hint="eastAsia"/>
          <w:b/>
        </w:rPr>
        <w:lastRenderedPageBreak/>
        <w:t>無對查證品質之考核，</w:t>
      </w:r>
      <w:r w:rsidR="00C07B1F">
        <w:rPr>
          <w:rFonts w:hint="eastAsia"/>
          <w:b/>
        </w:rPr>
        <w:t>且查證內容未涉及違規行為等核心項目，僅有形式審查，</w:t>
      </w:r>
      <w:r w:rsidRPr="0060634B">
        <w:rPr>
          <w:rFonts w:hint="eastAsia"/>
          <w:b/>
        </w:rPr>
        <w:t>致違規人陳述後仍有</w:t>
      </w:r>
      <w:r w:rsidR="00E320EF">
        <w:rPr>
          <w:rFonts w:hint="eastAsia"/>
          <w:b/>
        </w:rPr>
        <w:t>20.91%（25,053件）、19.77%（27,110件）及18.64%（19,067件）</w:t>
      </w:r>
      <w:r w:rsidRPr="0060634B">
        <w:rPr>
          <w:rFonts w:hint="eastAsia"/>
          <w:b/>
        </w:rPr>
        <w:t>經申訴後免罰，不僅易生民怨，恐遭民眾非議執法品質，允應檢討改善。</w:t>
      </w:r>
    </w:p>
    <w:p w:rsidR="002201E5" w:rsidRPr="0060634B" w:rsidRDefault="002201E5" w:rsidP="00241A7F">
      <w:pPr>
        <w:pStyle w:val="3"/>
        <w:numPr>
          <w:ilvl w:val="0"/>
          <w:numId w:val="10"/>
        </w:numPr>
        <w:kinsoku w:val="0"/>
        <w:overflowPunct/>
        <w:autoSpaceDE/>
        <w:autoSpaceDN/>
        <w:ind w:left="1498" w:hanging="689"/>
      </w:pPr>
      <w:r w:rsidRPr="0060634B">
        <w:rPr>
          <w:rFonts w:hint="eastAsia"/>
        </w:rPr>
        <w:t>依道路交通管理處罰條例（下稱本處罰條例）第7條之1規定略</w:t>
      </w:r>
      <w:proofErr w:type="gramStart"/>
      <w:r w:rsidRPr="0060634B">
        <w:rPr>
          <w:rFonts w:hint="eastAsia"/>
        </w:rPr>
        <w:t>以</w:t>
      </w:r>
      <w:proofErr w:type="gramEnd"/>
      <w:r w:rsidRPr="0060634B">
        <w:rPr>
          <w:rFonts w:hint="eastAsia"/>
        </w:rPr>
        <w:t>，對於違反本條例之行為者，</w:t>
      </w:r>
      <w:proofErr w:type="gramStart"/>
      <w:r w:rsidRPr="0060634B">
        <w:rPr>
          <w:rFonts w:hint="eastAsia"/>
        </w:rPr>
        <w:t>民眾得敘明</w:t>
      </w:r>
      <w:proofErr w:type="gramEnd"/>
      <w:r w:rsidRPr="0060634B">
        <w:rPr>
          <w:rFonts w:hint="eastAsia"/>
        </w:rPr>
        <w:t>違規事實或檢具違規證據資料，向公路主管或警察機關檢舉，經查證屬實者，應即舉發…</w:t>
      </w:r>
      <w:proofErr w:type="gramStart"/>
      <w:r w:rsidRPr="0060634B">
        <w:rPr>
          <w:rFonts w:hint="eastAsia"/>
        </w:rPr>
        <w:t>…</w:t>
      </w:r>
      <w:proofErr w:type="gramEnd"/>
      <w:r w:rsidRPr="0060634B">
        <w:rPr>
          <w:rFonts w:hint="eastAsia"/>
        </w:rPr>
        <w:t>。同條例第8條規定略</w:t>
      </w:r>
      <w:proofErr w:type="gramStart"/>
      <w:r w:rsidRPr="0060634B">
        <w:rPr>
          <w:rFonts w:hint="eastAsia"/>
        </w:rPr>
        <w:t>以</w:t>
      </w:r>
      <w:proofErr w:type="gramEnd"/>
      <w:r w:rsidRPr="0060634B">
        <w:rPr>
          <w:rFonts w:hint="eastAsia"/>
        </w:rPr>
        <w:t>，違反本條例之行為…</w:t>
      </w:r>
      <w:proofErr w:type="gramStart"/>
      <w:r w:rsidRPr="0060634B">
        <w:rPr>
          <w:rFonts w:hint="eastAsia"/>
        </w:rPr>
        <w:t>…</w:t>
      </w:r>
      <w:proofErr w:type="gramEnd"/>
      <w:r w:rsidRPr="0060634B">
        <w:rPr>
          <w:rFonts w:hint="eastAsia"/>
        </w:rPr>
        <w:t>前項處罰於裁決前，應給予違規行為人陳述之機會…</w:t>
      </w:r>
      <w:proofErr w:type="gramStart"/>
      <w:r w:rsidRPr="0060634B">
        <w:rPr>
          <w:rFonts w:hint="eastAsia"/>
        </w:rPr>
        <w:t>…</w:t>
      </w:r>
      <w:proofErr w:type="gramEnd"/>
      <w:r w:rsidRPr="0060634B">
        <w:rPr>
          <w:rFonts w:hint="eastAsia"/>
        </w:rPr>
        <w:t>。據違反道路交通管理事件統一裁罰基準及處理細則（下稱</w:t>
      </w:r>
      <w:r w:rsidR="00067086">
        <w:rPr>
          <w:rFonts w:hint="eastAsia"/>
        </w:rPr>
        <w:t>本處理細則</w:t>
      </w:r>
      <w:r w:rsidRPr="0060634B">
        <w:rPr>
          <w:rFonts w:hint="eastAsia"/>
        </w:rPr>
        <w:t>）第10條規定略</w:t>
      </w:r>
      <w:proofErr w:type="gramStart"/>
      <w:r w:rsidRPr="0060634B">
        <w:rPr>
          <w:rFonts w:hint="eastAsia"/>
        </w:rPr>
        <w:t>以</w:t>
      </w:r>
      <w:proofErr w:type="gramEnd"/>
      <w:r w:rsidRPr="0060634B">
        <w:rPr>
          <w:rFonts w:hint="eastAsia"/>
        </w:rPr>
        <w:t>，…</w:t>
      </w:r>
      <w:proofErr w:type="gramStart"/>
      <w:r w:rsidRPr="0060634B">
        <w:rPr>
          <w:rFonts w:hint="eastAsia"/>
        </w:rPr>
        <w:t>…</w:t>
      </w:r>
      <w:proofErr w:type="gramEnd"/>
      <w:r w:rsidRPr="0060634B">
        <w:rPr>
          <w:rFonts w:hint="eastAsia"/>
        </w:rPr>
        <w:t>查獲違反道路交通管理事件之舉發方式如下…</w:t>
      </w:r>
      <w:proofErr w:type="gramStart"/>
      <w:r w:rsidRPr="0060634B">
        <w:rPr>
          <w:rFonts w:hint="eastAsia"/>
        </w:rPr>
        <w:t>…</w:t>
      </w:r>
      <w:proofErr w:type="gramEnd"/>
      <w:r w:rsidRPr="0060634B">
        <w:rPr>
          <w:rFonts w:hint="eastAsia"/>
        </w:rPr>
        <w:t>五、民眾檢舉舉發：就民眾依本條例第7條之1規定檢舉違反本條例之行為，經查證屬實之舉發。</w:t>
      </w:r>
      <w:r w:rsidR="00067086">
        <w:rPr>
          <w:rFonts w:hint="eastAsia"/>
        </w:rPr>
        <w:t>本處理細則</w:t>
      </w:r>
      <w:r w:rsidRPr="0060634B">
        <w:rPr>
          <w:rFonts w:hint="eastAsia"/>
        </w:rPr>
        <w:t>第20條規定略</w:t>
      </w:r>
      <w:proofErr w:type="gramStart"/>
      <w:r w:rsidRPr="0060634B">
        <w:rPr>
          <w:rFonts w:hint="eastAsia"/>
        </w:rPr>
        <w:t>以</w:t>
      </w:r>
      <w:proofErr w:type="gramEnd"/>
      <w:r w:rsidRPr="0060634B">
        <w:rPr>
          <w:rFonts w:hint="eastAsia"/>
        </w:rPr>
        <w:t>，違反本條例之行為，民眾得以言詞或其他方式，向公路主管或警察機關敘明下列事項，檢舉違反道路交通管理事件：一、檢舉人姓名、住址及電話號碼或其他連絡方法。二、違規行為發生地點、日期、時間及違規事實內容。</w:t>
      </w:r>
      <w:r w:rsidR="00067086">
        <w:rPr>
          <w:rFonts w:hint="eastAsia"/>
        </w:rPr>
        <w:t>本處理細則</w:t>
      </w:r>
      <w:r w:rsidRPr="0060634B">
        <w:rPr>
          <w:rFonts w:hint="eastAsia"/>
        </w:rPr>
        <w:t>第22條規定略</w:t>
      </w:r>
      <w:proofErr w:type="gramStart"/>
      <w:r w:rsidRPr="0060634B">
        <w:rPr>
          <w:rFonts w:hint="eastAsia"/>
        </w:rPr>
        <w:t>以</w:t>
      </w:r>
      <w:proofErr w:type="gramEnd"/>
      <w:r w:rsidRPr="0060634B">
        <w:rPr>
          <w:rFonts w:hint="eastAsia"/>
        </w:rPr>
        <w:t>，公路主管或警察機關受理民眾檢舉違反道路交通管理事件，應即派員查證，經查證屬實者，應即舉發，並將處理情形回復檢舉人…</w:t>
      </w:r>
      <w:proofErr w:type="gramStart"/>
      <w:r w:rsidRPr="0060634B">
        <w:rPr>
          <w:rFonts w:hint="eastAsia"/>
        </w:rPr>
        <w:t>…</w:t>
      </w:r>
      <w:proofErr w:type="gramEnd"/>
      <w:r w:rsidRPr="0060634B">
        <w:rPr>
          <w:rFonts w:hint="eastAsia"/>
        </w:rPr>
        <w:t>公路主管或警察機關為查證民眾檢舉違反道路交通管理事件，必要時得通知被檢舉人到案說明</w:t>
      </w:r>
      <w:r w:rsidR="00C07B1F" w:rsidRPr="00C07B1F">
        <w:rPr>
          <w:rFonts w:hint="eastAsia"/>
        </w:rPr>
        <w:t>。本處理細則第2</w:t>
      </w:r>
      <w:r w:rsidR="00C07B1F">
        <w:rPr>
          <w:rFonts w:hint="eastAsia"/>
        </w:rPr>
        <w:t>4</w:t>
      </w:r>
      <w:r w:rsidR="00C07B1F" w:rsidRPr="00C07B1F">
        <w:rPr>
          <w:rFonts w:hint="eastAsia"/>
        </w:rPr>
        <w:t>條規定，</w:t>
      </w:r>
      <w:r w:rsidR="00241A7F" w:rsidRPr="00241A7F">
        <w:rPr>
          <w:rFonts w:hint="eastAsia"/>
        </w:rPr>
        <w:t>公路主管或警察機關受理民眾檢舉違反道路交通管理事件，不得洩漏檢舉人個人資料。</w:t>
      </w:r>
      <w:r w:rsidR="00067086">
        <w:rPr>
          <w:rFonts w:hint="eastAsia"/>
        </w:rPr>
        <w:t>本處理細則</w:t>
      </w:r>
      <w:r w:rsidRPr="0060634B">
        <w:rPr>
          <w:rFonts w:hint="eastAsia"/>
        </w:rPr>
        <w:t>第40條規定略</w:t>
      </w:r>
      <w:proofErr w:type="gramStart"/>
      <w:r w:rsidRPr="0060634B">
        <w:rPr>
          <w:rFonts w:hint="eastAsia"/>
        </w:rPr>
        <w:t>以</w:t>
      </w:r>
      <w:proofErr w:type="gramEnd"/>
      <w:r w:rsidRPr="0060634B">
        <w:rPr>
          <w:rFonts w:hint="eastAsia"/>
        </w:rPr>
        <w:t>，違反本條例行為之處罰，處罰機關於裁決</w:t>
      </w:r>
      <w:r w:rsidRPr="0060634B">
        <w:rPr>
          <w:rFonts w:hint="eastAsia"/>
        </w:rPr>
        <w:lastRenderedPageBreak/>
        <w:t>前，應給予違規行為人陳述之機會…</w:t>
      </w:r>
      <w:proofErr w:type="gramStart"/>
      <w:r w:rsidRPr="0060634B">
        <w:rPr>
          <w:rFonts w:hint="eastAsia"/>
        </w:rPr>
        <w:t>…</w:t>
      </w:r>
      <w:proofErr w:type="gramEnd"/>
      <w:r w:rsidRPr="0060634B">
        <w:rPr>
          <w:rFonts w:hint="eastAsia"/>
        </w:rPr>
        <w:t>。故由上開法令規定可知，警政署依法受理民眾檢舉交通違規事件，需經查證屬實者，應即舉發，且處罰機關於裁決前，應給予違規行為人陳述之機會。</w:t>
      </w:r>
    </w:p>
    <w:p w:rsidR="002201E5" w:rsidRDefault="002201E5" w:rsidP="00241A7F">
      <w:pPr>
        <w:pStyle w:val="3"/>
        <w:numPr>
          <w:ilvl w:val="0"/>
          <w:numId w:val="10"/>
        </w:numPr>
        <w:kinsoku w:val="0"/>
        <w:overflowPunct/>
        <w:autoSpaceDE/>
        <w:autoSpaceDN/>
        <w:ind w:left="1498" w:hanging="689"/>
      </w:pPr>
      <w:proofErr w:type="gramStart"/>
      <w:r w:rsidRPr="0060634B">
        <w:rPr>
          <w:rFonts w:hint="eastAsia"/>
        </w:rPr>
        <w:t>查近3年</w:t>
      </w:r>
      <w:proofErr w:type="gramEnd"/>
      <w:r w:rsidRPr="0060634B">
        <w:rPr>
          <w:rFonts w:hint="eastAsia"/>
        </w:rPr>
        <w:t>各年度交通罰單總件數、民眾檢舉數及警察機關舉發民眾檢舉件數(比率)如下：</w:t>
      </w:r>
      <w:proofErr w:type="gramStart"/>
      <w:r w:rsidRPr="0060634B">
        <w:rPr>
          <w:rFonts w:hint="eastAsia"/>
        </w:rPr>
        <w:t>104</w:t>
      </w:r>
      <w:proofErr w:type="gramEnd"/>
      <w:r w:rsidRPr="0060634B">
        <w:rPr>
          <w:rFonts w:hint="eastAsia"/>
        </w:rPr>
        <w:t>年度舉發總件數</w:t>
      </w:r>
      <w:r w:rsidR="00BD04FB">
        <w:rPr>
          <w:rFonts w:hint="eastAsia"/>
        </w:rPr>
        <w:t>927</w:t>
      </w:r>
      <w:r w:rsidRPr="0060634B">
        <w:rPr>
          <w:rFonts w:hint="eastAsia"/>
        </w:rPr>
        <w:t>萬9,769件，受理民眾檢舉件數為93萬4,171件，舉發民眾檢舉件數69萬8,031件(舉發率74.72%)；</w:t>
      </w:r>
      <w:proofErr w:type="gramStart"/>
      <w:r w:rsidRPr="0060634B">
        <w:rPr>
          <w:rFonts w:hint="eastAsia"/>
        </w:rPr>
        <w:t>105</w:t>
      </w:r>
      <w:proofErr w:type="gramEnd"/>
      <w:r w:rsidRPr="0060634B">
        <w:rPr>
          <w:rFonts w:hint="eastAsia"/>
        </w:rPr>
        <w:t>年度舉發總件數1,011萬1,591件，受理民眾檢舉件數166萬9,422件，舉發民眾檢舉件數136萬4,419件(舉發率81.73%)；</w:t>
      </w:r>
      <w:proofErr w:type="gramStart"/>
      <w:r w:rsidRPr="0060634B">
        <w:rPr>
          <w:rFonts w:hint="eastAsia"/>
        </w:rPr>
        <w:t>106</w:t>
      </w:r>
      <w:proofErr w:type="gramEnd"/>
      <w:r w:rsidRPr="0060634B">
        <w:rPr>
          <w:rFonts w:hint="eastAsia"/>
        </w:rPr>
        <w:t>年度舉發總件數714萬7,656件，受理檢舉件數154萬2,976件，舉發民眾檢舉件數114萬5,942件(舉發率74.27%)。</w:t>
      </w:r>
      <w:proofErr w:type="gramStart"/>
      <w:r w:rsidRPr="0060634B">
        <w:rPr>
          <w:rFonts w:hint="eastAsia"/>
        </w:rPr>
        <w:t>另近3年</w:t>
      </w:r>
      <w:proofErr w:type="gramEnd"/>
      <w:r w:rsidRPr="0060634B">
        <w:rPr>
          <w:rFonts w:hint="eastAsia"/>
        </w:rPr>
        <w:t>交通違規案件經違規人員陳訴後</w:t>
      </w:r>
      <w:r w:rsidRPr="0060634B">
        <w:rPr>
          <w:rStyle w:val="afc"/>
        </w:rPr>
        <w:footnoteReference w:id="1"/>
      </w:r>
      <w:r w:rsidR="00E320EF">
        <w:rPr>
          <w:rFonts w:hint="eastAsia"/>
        </w:rPr>
        <w:t>，</w:t>
      </w:r>
      <w:proofErr w:type="gramStart"/>
      <w:r w:rsidR="00E320EF">
        <w:rPr>
          <w:rFonts w:hint="eastAsia"/>
        </w:rPr>
        <w:t>不含本處罰</w:t>
      </w:r>
      <w:proofErr w:type="gramEnd"/>
      <w:r w:rsidR="00E320EF">
        <w:rPr>
          <w:rFonts w:hint="eastAsia"/>
        </w:rPr>
        <w:t>條例第27條及第56條第3項之通行費及停車費未繳之</w:t>
      </w:r>
      <w:proofErr w:type="gramStart"/>
      <w:r w:rsidR="00E320EF">
        <w:rPr>
          <w:rFonts w:hint="eastAsia"/>
        </w:rPr>
        <w:t>裁罰外</w:t>
      </w:r>
      <w:proofErr w:type="gramEnd"/>
      <w:r w:rsidRPr="0060634B">
        <w:rPr>
          <w:rFonts w:hint="eastAsia"/>
        </w:rPr>
        <w:t>，</w:t>
      </w:r>
      <w:r w:rsidR="00954DB1">
        <w:rPr>
          <w:rFonts w:hint="eastAsia"/>
        </w:rPr>
        <w:t>仍有</w:t>
      </w:r>
      <w:r w:rsidR="00E320EF" w:rsidRPr="009E20F7">
        <w:rPr>
          <w:rFonts w:hint="eastAsia"/>
        </w:rPr>
        <w:t>20.91%（25,053件）、19.77%（27,110件）及18.64%（19,067件）</w:t>
      </w:r>
      <w:r w:rsidRPr="0060634B">
        <w:rPr>
          <w:rFonts w:hint="eastAsia"/>
        </w:rPr>
        <w:t>經申訴後，由裁決機關裁決免罰</w:t>
      </w:r>
      <w:r w:rsidR="00EA0D09">
        <w:rPr>
          <w:rFonts w:hint="eastAsia"/>
        </w:rPr>
        <w:t>，詳如下表所示</w:t>
      </w:r>
      <w:r w:rsidR="00A11956">
        <w:rPr>
          <w:rFonts w:hint="eastAsia"/>
        </w:rPr>
        <w:t>。</w:t>
      </w:r>
      <w:r w:rsidRPr="0060634B">
        <w:rPr>
          <w:rFonts w:hint="eastAsia"/>
        </w:rPr>
        <w:t>顯見</w:t>
      </w:r>
      <w:r w:rsidR="00A11956" w:rsidRPr="0060634B">
        <w:rPr>
          <w:rFonts w:hint="eastAsia"/>
        </w:rPr>
        <w:t>民眾檢舉數及警察機關舉發民眾檢舉件數及比率可知，尚無媒體所稱警察機關全盤接受民眾檢舉之情事</w:t>
      </w:r>
      <w:r w:rsidR="00A11956">
        <w:rPr>
          <w:rFonts w:hint="eastAsia"/>
        </w:rPr>
        <w:t>，惟</w:t>
      </w:r>
      <w:r w:rsidRPr="0060634B">
        <w:rPr>
          <w:rFonts w:hint="eastAsia"/>
        </w:rPr>
        <w:t>執法品質仍有待提升改善。</w:t>
      </w:r>
    </w:p>
    <w:p w:rsidR="00E90E98" w:rsidRPr="0060634B" w:rsidRDefault="00454819" w:rsidP="00707527">
      <w:pPr>
        <w:pStyle w:val="20"/>
        <w:ind w:leftChars="176" w:left="1007" w:hangingChars="120" w:hanging="408"/>
        <w:jc w:val="left"/>
      </w:pPr>
      <w:r>
        <w:rPr>
          <w:rFonts w:hint="eastAsia"/>
        </w:rPr>
        <w:t xml:space="preserve"> </w:t>
      </w:r>
      <w:r w:rsidR="00C97559">
        <w:rPr>
          <w:rFonts w:hint="eastAsia"/>
        </w:rPr>
        <w:t>罰單總件數、</w:t>
      </w:r>
      <w:r w:rsidR="00E90E98" w:rsidRPr="0060634B">
        <w:rPr>
          <w:rFonts w:hint="eastAsia"/>
        </w:rPr>
        <w:t>陳述</w:t>
      </w:r>
      <w:r w:rsidR="00C97559" w:rsidRPr="0060634B">
        <w:rPr>
          <w:rFonts w:hint="eastAsia"/>
        </w:rPr>
        <w:t>件數</w:t>
      </w:r>
      <w:r w:rsidR="00E90E98" w:rsidRPr="0060634B">
        <w:rPr>
          <w:rFonts w:hint="eastAsia"/>
        </w:rPr>
        <w:t>及</w:t>
      </w:r>
      <w:r w:rsidR="00C97559" w:rsidRPr="00C97559">
        <w:rPr>
          <w:rFonts w:hint="eastAsia"/>
        </w:rPr>
        <w:t>申訴</w:t>
      </w:r>
      <w:r w:rsidR="00E320EF">
        <w:rPr>
          <w:rFonts w:hint="eastAsia"/>
        </w:rPr>
        <w:t>後</w:t>
      </w:r>
      <w:r w:rsidR="00C97559" w:rsidRPr="00C97559">
        <w:rPr>
          <w:rFonts w:hint="eastAsia"/>
        </w:rPr>
        <w:t>免罰比率</w:t>
      </w:r>
      <w:r w:rsidR="00E90E98" w:rsidRPr="0060634B">
        <w:rPr>
          <w:rFonts w:hint="eastAsia"/>
        </w:rPr>
        <w:t>統計表</w:t>
      </w:r>
    </w:p>
    <w:tbl>
      <w:tblPr>
        <w:tblW w:w="4539" w:type="pct"/>
        <w:jc w:val="center"/>
        <w:tblInd w:w="4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029"/>
        <w:gridCol w:w="1485"/>
        <w:gridCol w:w="1598"/>
        <w:gridCol w:w="1372"/>
        <w:gridCol w:w="1482"/>
        <w:gridCol w:w="1113"/>
      </w:tblGrid>
      <w:tr w:rsidR="00891E3F" w:rsidRPr="00891E3F" w:rsidTr="00A47A6F">
        <w:trPr>
          <w:trHeight w:val="984"/>
          <w:jc w:val="center"/>
        </w:trPr>
        <w:tc>
          <w:tcPr>
            <w:tcW w:w="637" w:type="pct"/>
            <w:shd w:val="clear" w:color="auto" w:fill="auto"/>
            <w:noWrap/>
            <w:vAlign w:val="center"/>
            <w:hideMark/>
          </w:tcPr>
          <w:p w:rsidR="00891E3F" w:rsidRPr="00891E3F" w:rsidRDefault="00891E3F" w:rsidP="00891E3F">
            <w:pPr>
              <w:widowControl/>
              <w:overflowPunct/>
              <w:autoSpaceDE/>
              <w:autoSpaceDN/>
              <w:spacing w:line="360" w:lineRule="exact"/>
              <w:jc w:val="center"/>
              <w:rPr>
                <w:rFonts w:ascii="新細明體" w:eastAsia="新細明體" w:hAnsi="新細明體" w:cs="新細明體"/>
                <w:spacing w:val="-20"/>
                <w:kern w:val="0"/>
                <w:sz w:val="24"/>
                <w:szCs w:val="24"/>
              </w:rPr>
            </w:pPr>
            <w:r w:rsidRPr="00891E3F">
              <w:rPr>
                <w:rFonts w:hAnsi="標楷體" w:cs="新細明體" w:hint="eastAsia"/>
                <w:spacing w:val="-20"/>
                <w:kern w:val="0"/>
                <w:sz w:val="28"/>
                <w:szCs w:val="28"/>
              </w:rPr>
              <w:t>年度</w:t>
            </w:r>
          </w:p>
        </w:tc>
        <w:tc>
          <w:tcPr>
            <w:tcW w:w="919" w:type="pct"/>
            <w:vAlign w:val="center"/>
          </w:tcPr>
          <w:p w:rsidR="00891E3F" w:rsidRPr="00891E3F" w:rsidRDefault="00891E3F" w:rsidP="00891E3F">
            <w:pPr>
              <w:widowControl/>
              <w:overflowPunct/>
              <w:autoSpaceDE/>
              <w:autoSpaceDN/>
              <w:spacing w:line="360" w:lineRule="exact"/>
              <w:jc w:val="center"/>
              <w:rPr>
                <w:rFonts w:hAnsi="標楷體" w:cs="新細明體"/>
                <w:spacing w:val="-20"/>
                <w:kern w:val="0"/>
                <w:sz w:val="28"/>
                <w:szCs w:val="28"/>
              </w:rPr>
            </w:pPr>
            <w:r w:rsidRPr="00891E3F">
              <w:rPr>
                <w:rFonts w:hAnsi="標楷體" w:cs="新細明體" w:hint="eastAsia"/>
                <w:spacing w:val="-20"/>
                <w:kern w:val="0"/>
                <w:sz w:val="28"/>
                <w:szCs w:val="28"/>
              </w:rPr>
              <w:t>罰單總件數</w:t>
            </w:r>
          </w:p>
        </w:tc>
        <w:tc>
          <w:tcPr>
            <w:tcW w:w="989" w:type="pct"/>
            <w:vAlign w:val="center"/>
          </w:tcPr>
          <w:p w:rsidR="00891E3F" w:rsidRPr="00891E3F" w:rsidRDefault="00891E3F" w:rsidP="00891E3F">
            <w:pPr>
              <w:widowControl/>
              <w:overflowPunct/>
              <w:autoSpaceDE/>
              <w:autoSpaceDN/>
              <w:spacing w:line="360" w:lineRule="exact"/>
              <w:jc w:val="center"/>
              <w:rPr>
                <w:rFonts w:hAnsi="標楷體" w:cs="新細明體"/>
                <w:spacing w:val="-24"/>
                <w:kern w:val="0"/>
                <w:sz w:val="28"/>
                <w:szCs w:val="28"/>
              </w:rPr>
            </w:pPr>
            <w:r w:rsidRPr="00891E3F">
              <w:rPr>
                <w:rFonts w:hAnsi="標楷體" w:cs="新細明體" w:hint="eastAsia"/>
                <w:spacing w:val="-24"/>
                <w:kern w:val="0"/>
                <w:sz w:val="28"/>
                <w:szCs w:val="28"/>
              </w:rPr>
              <w:t>舉發民眾檢舉件數（比率）</w:t>
            </w:r>
          </w:p>
        </w:tc>
        <w:tc>
          <w:tcPr>
            <w:tcW w:w="849" w:type="pct"/>
            <w:vAlign w:val="center"/>
          </w:tcPr>
          <w:p w:rsidR="00891E3F" w:rsidRPr="00891E3F" w:rsidRDefault="00891E3F" w:rsidP="00891E3F">
            <w:pPr>
              <w:widowControl/>
              <w:overflowPunct/>
              <w:autoSpaceDE/>
              <w:autoSpaceDN/>
              <w:spacing w:line="360" w:lineRule="exact"/>
              <w:jc w:val="center"/>
              <w:rPr>
                <w:rFonts w:hAnsi="標楷體" w:cs="新細明體"/>
                <w:spacing w:val="-20"/>
                <w:kern w:val="0"/>
                <w:sz w:val="28"/>
                <w:szCs w:val="28"/>
              </w:rPr>
            </w:pPr>
            <w:r w:rsidRPr="00891E3F">
              <w:rPr>
                <w:rFonts w:hAnsi="標楷體" w:cs="新細明體" w:hint="eastAsia"/>
                <w:spacing w:val="-20"/>
                <w:kern w:val="0"/>
                <w:sz w:val="28"/>
                <w:szCs w:val="28"/>
              </w:rPr>
              <w:t>提出陳述案件數</w:t>
            </w:r>
          </w:p>
        </w:tc>
        <w:tc>
          <w:tcPr>
            <w:tcW w:w="917" w:type="pct"/>
            <w:shd w:val="clear" w:color="auto" w:fill="auto"/>
            <w:vAlign w:val="center"/>
            <w:hideMark/>
          </w:tcPr>
          <w:p w:rsidR="00891E3F" w:rsidRPr="00891E3F" w:rsidRDefault="00891E3F" w:rsidP="00891E3F">
            <w:pPr>
              <w:widowControl/>
              <w:overflowPunct/>
              <w:autoSpaceDE/>
              <w:autoSpaceDN/>
              <w:spacing w:line="360" w:lineRule="exact"/>
              <w:jc w:val="center"/>
              <w:rPr>
                <w:rFonts w:hAnsi="標楷體" w:cs="新細明體"/>
                <w:spacing w:val="-20"/>
                <w:kern w:val="0"/>
                <w:sz w:val="28"/>
                <w:szCs w:val="28"/>
              </w:rPr>
            </w:pPr>
            <w:r w:rsidRPr="00891E3F">
              <w:rPr>
                <w:rFonts w:hAnsi="標楷體" w:cs="新細明體" w:hint="eastAsia"/>
                <w:spacing w:val="-20"/>
                <w:kern w:val="0"/>
                <w:sz w:val="28"/>
                <w:szCs w:val="28"/>
              </w:rPr>
              <w:t>經申訴免罰案件數</w:t>
            </w:r>
          </w:p>
        </w:tc>
        <w:tc>
          <w:tcPr>
            <w:tcW w:w="689" w:type="pct"/>
            <w:shd w:val="clear" w:color="auto" w:fill="auto"/>
            <w:vAlign w:val="center"/>
            <w:hideMark/>
          </w:tcPr>
          <w:p w:rsidR="00891E3F" w:rsidRPr="00891E3F" w:rsidRDefault="00891E3F" w:rsidP="00891E3F">
            <w:pPr>
              <w:widowControl/>
              <w:overflowPunct/>
              <w:autoSpaceDE/>
              <w:autoSpaceDN/>
              <w:spacing w:line="360" w:lineRule="exact"/>
              <w:jc w:val="center"/>
              <w:rPr>
                <w:rFonts w:hAnsi="標楷體" w:cs="新細明體"/>
                <w:spacing w:val="-20"/>
                <w:kern w:val="0"/>
                <w:sz w:val="28"/>
                <w:szCs w:val="28"/>
              </w:rPr>
            </w:pPr>
            <w:r w:rsidRPr="00891E3F">
              <w:rPr>
                <w:rFonts w:hAnsi="標楷體" w:cs="新細明體" w:hint="eastAsia"/>
                <w:spacing w:val="-20"/>
                <w:kern w:val="0"/>
                <w:sz w:val="28"/>
                <w:szCs w:val="28"/>
              </w:rPr>
              <w:t>申訴免罰比率%</w:t>
            </w:r>
          </w:p>
        </w:tc>
      </w:tr>
      <w:tr w:rsidR="00891E3F" w:rsidRPr="00A633EB" w:rsidTr="00A47A6F">
        <w:trPr>
          <w:trHeight w:val="648"/>
          <w:jc w:val="center"/>
        </w:trPr>
        <w:tc>
          <w:tcPr>
            <w:tcW w:w="637" w:type="pct"/>
            <w:shd w:val="clear" w:color="auto" w:fill="auto"/>
            <w:vAlign w:val="center"/>
            <w:hideMark/>
          </w:tcPr>
          <w:p w:rsidR="00891E3F" w:rsidRPr="00891E3F" w:rsidRDefault="00891E3F" w:rsidP="00891E3F">
            <w:pPr>
              <w:widowControl/>
              <w:overflowPunct/>
              <w:autoSpaceDE/>
              <w:autoSpaceDN/>
              <w:spacing w:line="360" w:lineRule="exact"/>
              <w:jc w:val="center"/>
              <w:rPr>
                <w:rFonts w:hAnsi="標楷體" w:cs="新細明體"/>
                <w:spacing w:val="-20"/>
                <w:kern w:val="0"/>
                <w:sz w:val="28"/>
                <w:szCs w:val="28"/>
              </w:rPr>
            </w:pPr>
            <w:r w:rsidRPr="00891E3F">
              <w:rPr>
                <w:rFonts w:hAnsi="標楷體" w:cs="新細明體" w:hint="eastAsia"/>
                <w:spacing w:val="-20"/>
                <w:kern w:val="0"/>
                <w:sz w:val="28"/>
                <w:szCs w:val="28"/>
              </w:rPr>
              <w:t>104年</w:t>
            </w:r>
          </w:p>
        </w:tc>
        <w:tc>
          <w:tcPr>
            <w:tcW w:w="919" w:type="pct"/>
            <w:vAlign w:val="center"/>
          </w:tcPr>
          <w:p w:rsidR="00891E3F" w:rsidRPr="00891E3F" w:rsidRDefault="00891E3F" w:rsidP="00891E3F">
            <w:pPr>
              <w:spacing w:line="360" w:lineRule="exact"/>
              <w:jc w:val="right"/>
              <w:rPr>
                <w:rFonts w:hAnsi="標楷體" w:cs="新細明體"/>
                <w:spacing w:val="-20"/>
                <w:kern w:val="0"/>
                <w:sz w:val="28"/>
                <w:szCs w:val="28"/>
              </w:rPr>
            </w:pPr>
            <w:r w:rsidRPr="00891E3F">
              <w:rPr>
                <w:rFonts w:hAnsi="標楷體" w:cs="新細明體" w:hint="eastAsia"/>
                <w:spacing w:val="-20"/>
                <w:kern w:val="0"/>
                <w:sz w:val="28"/>
                <w:szCs w:val="28"/>
              </w:rPr>
              <w:t xml:space="preserve">9,279,769 </w:t>
            </w:r>
          </w:p>
        </w:tc>
        <w:tc>
          <w:tcPr>
            <w:tcW w:w="989" w:type="pct"/>
            <w:vAlign w:val="center"/>
          </w:tcPr>
          <w:p w:rsidR="00EB6A6E" w:rsidRDefault="00EB6A6E" w:rsidP="00EB6A6E">
            <w:pPr>
              <w:spacing w:line="360" w:lineRule="exact"/>
              <w:jc w:val="center"/>
              <w:rPr>
                <w:rFonts w:hAnsi="標楷體" w:cs="新細明體"/>
                <w:spacing w:val="-20"/>
                <w:kern w:val="0"/>
                <w:sz w:val="28"/>
                <w:szCs w:val="28"/>
              </w:rPr>
            </w:pPr>
            <w:r w:rsidRPr="00EB6A6E">
              <w:rPr>
                <w:rFonts w:hAnsi="標楷體" w:cs="新細明體" w:hint="eastAsia"/>
                <w:spacing w:val="-20"/>
                <w:kern w:val="0"/>
                <w:sz w:val="28"/>
                <w:szCs w:val="28"/>
              </w:rPr>
              <w:t>698,031</w:t>
            </w:r>
          </w:p>
          <w:p w:rsidR="00891E3F" w:rsidRPr="00891E3F" w:rsidRDefault="00EB6A6E" w:rsidP="00EB6A6E">
            <w:pPr>
              <w:spacing w:line="360" w:lineRule="exact"/>
              <w:jc w:val="center"/>
              <w:rPr>
                <w:rFonts w:hAnsi="標楷體" w:cs="新細明體"/>
                <w:spacing w:val="-20"/>
                <w:kern w:val="0"/>
                <w:sz w:val="28"/>
                <w:szCs w:val="28"/>
              </w:rPr>
            </w:pPr>
            <w:r w:rsidRPr="00EB6A6E">
              <w:rPr>
                <w:rFonts w:hAnsi="標楷體" w:cs="新細明體" w:hint="eastAsia"/>
                <w:spacing w:val="-20"/>
                <w:kern w:val="0"/>
                <w:sz w:val="28"/>
                <w:szCs w:val="28"/>
              </w:rPr>
              <w:t>(74.72%)</w:t>
            </w:r>
          </w:p>
        </w:tc>
        <w:tc>
          <w:tcPr>
            <w:tcW w:w="849" w:type="pct"/>
            <w:vAlign w:val="center"/>
          </w:tcPr>
          <w:p w:rsidR="00891E3F" w:rsidRPr="00891E3F" w:rsidRDefault="00891E3F" w:rsidP="00A20ABE">
            <w:pPr>
              <w:spacing w:line="360" w:lineRule="exact"/>
              <w:ind w:rightChars="20" w:right="68"/>
              <w:jc w:val="right"/>
              <w:rPr>
                <w:rFonts w:hAnsi="標楷體" w:cs="新細明體"/>
                <w:spacing w:val="-20"/>
                <w:kern w:val="0"/>
                <w:sz w:val="28"/>
                <w:szCs w:val="28"/>
              </w:rPr>
            </w:pPr>
            <w:r w:rsidRPr="00891E3F">
              <w:rPr>
                <w:rFonts w:hAnsi="標楷體" w:cs="新細明體" w:hint="eastAsia"/>
                <w:spacing w:val="-20"/>
                <w:kern w:val="0"/>
                <w:sz w:val="28"/>
                <w:szCs w:val="28"/>
              </w:rPr>
              <w:t xml:space="preserve">   119,793 </w:t>
            </w:r>
          </w:p>
        </w:tc>
        <w:tc>
          <w:tcPr>
            <w:tcW w:w="917" w:type="pct"/>
            <w:shd w:val="clear" w:color="auto" w:fill="auto"/>
            <w:vAlign w:val="center"/>
            <w:hideMark/>
          </w:tcPr>
          <w:p w:rsidR="00891E3F" w:rsidRPr="00891E3F" w:rsidRDefault="00891E3F" w:rsidP="00A20ABE">
            <w:pPr>
              <w:spacing w:line="360" w:lineRule="exact"/>
              <w:ind w:rightChars="20" w:right="68"/>
              <w:jc w:val="right"/>
              <w:rPr>
                <w:rFonts w:hAnsi="標楷體" w:cs="新細明體"/>
                <w:spacing w:val="-20"/>
                <w:kern w:val="0"/>
                <w:sz w:val="28"/>
                <w:szCs w:val="28"/>
              </w:rPr>
            </w:pPr>
            <w:r w:rsidRPr="00891E3F">
              <w:rPr>
                <w:rFonts w:hAnsi="標楷體" w:cs="新細明體" w:hint="eastAsia"/>
                <w:spacing w:val="-20"/>
                <w:kern w:val="0"/>
                <w:sz w:val="28"/>
                <w:szCs w:val="28"/>
              </w:rPr>
              <w:t xml:space="preserve">    25,053 </w:t>
            </w:r>
          </w:p>
        </w:tc>
        <w:tc>
          <w:tcPr>
            <w:tcW w:w="689" w:type="pct"/>
            <w:shd w:val="clear" w:color="auto" w:fill="auto"/>
            <w:vAlign w:val="center"/>
            <w:hideMark/>
          </w:tcPr>
          <w:p w:rsidR="00891E3F" w:rsidRPr="00891E3F" w:rsidRDefault="00891E3F" w:rsidP="00A20ABE">
            <w:pPr>
              <w:spacing w:line="360" w:lineRule="exact"/>
              <w:ind w:rightChars="20" w:right="68"/>
              <w:jc w:val="right"/>
              <w:rPr>
                <w:rFonts w:hAnsi="標楷體" w:cs="新細明體"/>
                <w:spacing w:val="-20"/>
                <w:kern w:val="0"/>
                <w:sz w:val="28"/>
                <w:szCs w:val="28"/>
              </w:rPr>
            </w:pPr>
            <w:r w:rsidRPr="00891E3F">
              <w:rPr>
                <w:rFonts w:hAnsi="標楷體" w:cs="新細明體" w:hint="eastAsia"/>
                <w:spacing w:val="-20"/>
                <w:kern w:val="0"/>
                <w:sz w:val="28"/>
                <w:szCs w:val="28"/>
              </w:rPr>
              <w:t>20.91</w:t>
            </w:r>
          </w:p>
        </w:tc>
      </w:tr>
      <w:tr w:rsidR="00891E3F" w:rsidRPr="00A633EB" w:rsidTr="00A47A6F">
        <w:trPr>
          <w:trHeight w:val="648"/>
          <w:jc w:val="center"/>
        </w:trPr>
        <w:tc>
          <w:tcPr>
            <w:tcW w:w="637" w:type="pct"/>
            <w:shd w:val="clear" w:color="auto" w:fill="auto"/>
            <w:vAlign w:val="center"/>
            <w:hideMark/>
          </w:tcPr>
          <w:p w:rsidR="00891E3F" w:rsidRPr="00891E3F" w:rsidRDefault="00891E3F" w:rsidP="00891E3F">
            <w:pPr>
              <w:widowControl/>
              <w:overflowPunct/>
              <w:autoSpaceDE/>
              <w:autoSpaceDN/>
              <w:spacing w:line="360" w:lineRule="exact"/>
              <w:jc w:val="center"/>
              <w:rPr>
                <w:rFonts w:hAnsi="標楷體" w:cs="新細明體"/>
                <w:spacing w:val="-20"/>
                <w:kern w:val="0"/>
                <w:sz w:val="28"/>
                <w:szCs w:val="28"/>
              </w:rPr>
            </w:pPr>
            <w:r w:rsidRPr="00891E3F">
              <w:rPr>
                <w:rFonts w:hAnsi="標楷體" w:cs="新細明體" w:hint="eastAsia"/>
                <w:spacing w:val="-20"/>
                <w:kern w:val="0"/>
                <w:sz w:val="28"/>
                <w:szCs w:val="28"/>
              </w:rPr>
              <w:lastRenderedPageBreak/>
              <w:t>105年</w:t>
            </w:r>
          </w:p>
        </w:tc>
        <w:tc>
          <w:tcPr>
            <w:tcW w:w="919" w:type="pct"/>
            <w:vAlign w:val="center"/>
          </w:tcPr>
          <w:p w:rsidR="00891E3F" w:rsidRPr="00891E3F" w:rsidRDefault="00891E3F" w:rsidP="00891E3F">
            <w:pPr>
              <w:spacing w:line="360" w:lineRule="exact"/>
              <w:jc w:val="right"/>
              <w:rPr>
                <w:rFonts w:hAnsi="標楷體" w:cs="新細明體"/>
                <w:spacing w:val="-20"/>
                <w:kern w:val="0"/>
                <w:sz w:val="28"/>
                <w:szCs w:val="28"/>
              </w:rPr>
            </w:pPr>
            <w:r w:rsidRPr="00891E3F">
              <w:rPr>
                <w:rFonts w:hAnsi="標楷體" w:cs="新細明體" w:hint="eastAsia"/>
                <w:spacing w:val="-20"/>
                <w:kern w:val="0"/>
                <w:sz w:val="28"/>
                <w:szCs w:val="28"/>
              </w:rPr>
              <w:t xml:space="preserve">10,111,591 </w:t>
            </w:r>
          </w:p>
        </w:tc>
        <w:tc>
          <w:tcPr>
            <w:tcW w:w="989" w:type="pct"/>
            <w:vAlign w:val="center"/>
          </w:tcPr>
          <w:p w:rsidR="00EB6A6E" w:rsidRDefault="00EB6A6E" w:rsidP="00FC6972">
            <w:pPr>
              <w:spacing w:line="360" w:lineRule="exact"/>
              <w:jc w:val="center"/>
              <w:rPr>
                <w:rFonts w:hAnsi="標楷體" w:cs="新細明體"/>
                <w:spacing w:val="-20"/>
                <w:kern w:val="0"/>
                <w:sz w:val="28"/>
                <w:szCs w:val="28"/>
              </w:rPr>
            </w:pPr>
            <w:r w:rsidRPr="00EB6A6E">
              <w:rPr>
                <w:rFonts w:hAnsi="標楷體" w:cs="新細明體" w:hint="eastAsia"/>
                <w:spacing w:val="-20"/>
                <w:kern w:val="0"/>
                <w:sz w:val="28"/>
                <w:szCs w:val="28"/>
              </w:rPr>
              <w:t>1</w:t>
            </w:r>
            <w:r w:rsidR="00FC6972">
              <w:rPr>
                <w:rFonts w:hAnsi="標楷體" w:cs="新細明體" w:hint="eastAsia"/>
                <w:spacing w:val="-20"/>
                <w:kern w:val="0"/>
                <w:sz w:val="28"/>
                <w:szCs w:val="28"/>
              </w:rPr>
              <w:t>,</w:t>
            </w:r>
            <w:r w:rsidRPr="00EB6A6E">
              <w:rPr>
                <w:rFonts w:hAnsi="標楷體" w:cs="新細明體" w:hint="eastAsia"/>
                <w:spacing w:val="-20"/>
                <w:kern w:val="0"/>
                <w:sz w:val="28"/>
                <w:szCs w:val="28"/>
              </w:rPr>
              <w:t>364,419</w:t>
            </w:r>
          </w:p>
          <w:p w:rsidR="00891E3F" w:rsidRPr="00891E3F" w:rsidRDefault="00EB6A6E" w:rsidP="00FC6972">
            <w:pPr>
              <w:spacing w:line="360" w:lineRule="exact"/>
              <w:jc w:val="center"/>
              <w:rPr>
                <w:rFonts w:hAnsi="標楷體" w:cs="新細明體"/>
                <w:spacing w:val="-20"/>
                <w:kern w:val="0"/>
                <w:sz w:val="28"/>
                <w:szCs w:val="28"/>
              </w:rPr>
            </w:pPr>
            <w:r w:rsidRPr="00EB6A6E">
              <w:rPr>
                <w:rFonts w:hAnsi="標楷體" w:cs="新細明體" w:hint="eastAsia"/>
                <w:spacing w:val="-20"/>
                <w:kern w:val="0"/>
                <w:sz w:val="28"/>
                <w:szCs w:val="28"/>
              </w:rPr>
              <w:t>(81.73%)</w:t>
            </w:r>
          </w:p>
        </w:tc>
        <w:tc>
          <w:tcPr>
            <w:tcW w:w="849" w:type="pct"/>
            <w:vAlign w:val="center"/>
          </w:tcPr>
          <w:p w:rsidR="00891E3F" w:rsidRPr="00891E3F" w:rsidRDefault="00891E3F" w:rsidP="00A20ABE">
            <w:pPr>
              <w:spacing w:line="360" w:lineRule="exact"/>
              <w:ind w:rightChars="20" w:right="68"/>
              <w:jc w:val="right"/>
              <w:rPr>
                <w:rFonts w:hAnsi="標楷體" w:cs="新細明體"/>
                <w:spacing w:val="-20"/>
                <w:kern w:val="0"/>
                <w:sz w:val="28"/>
                <w:szCs w:val="28"/>
              </w:rPr>
            </w:pPr>
            <w:r w:rsidRPr="00891E3F">
              <w:rPr>
                <w:rFonts w:hAnsi="標楷體" w:cs="新細明體" w:hint="eastAsia"/>
                <w:spacing w:val="-20"/>
                <w:kern w:val="0"/>
                <w:sz w:val="28"/>
                <w:szCs w:val="28"/>
              </w:rPr>
              <w:t xml:space="preserve">   137,138 </w:t>
            </w:r>
          </w:p>
        </w:tc>
        <w:tc>
          <w:tcPr>
            <w:tcW w:w="917" w:type="pct"/>
            <w:shd w:val="clear" w:color="auto" w:fill="auto"/>
            <w:vAlign w:val="center"/>
            <w:hideMark/>
          </w:tcPr>
          <w:p w:rsidR="00891E3F" w:rsidRPr="00891E3F" w:rsidRDefault="00891E3F" w:rsidP="00A20ABE">
            <w:pPr>
              <w:spacing w:line="360" w:lineRule="exact"/>
              <w:ind w:rightChars="20" w:right="68"/>
              <w:jc w:val="right"/>
              <w:rPr>
                <w:rFonts w:hAnsi="標楷體" w:cs="新細明體"/>
                <w:spacing w:val="-20"/>
                <w:kern w:val="0"/>
                <w:sz w:val="28"/>
                <w:szCs w:val="28"/>
              </w:rPr>
            </w:pPr>
            <w:r w:rsidRPr="00891E3F">
              <w:rPr>
                <w:rFonts w:hAnsi="標楷體" w:cs="新細明體" w:hint="eastAsia"/>
                <w:spacing w:val="-20"/>
                <w:kern w:val="0"/>
                <w:sz w:val="28"/>
                <w:szCs w:val="28"/>
              </w:rPr>
              <w:t xml:space="preserve">    27,110 </w:t>
            </w:r>
          </w:p>
        </w:tc>
        <w:tc>
          <w:tcPr>
            <w:tcW w:w="689" w:type="pct"/>
            <w:shd w:val="clear" w:color="auto" w:fill="auto"/>
            <w:vAlign w:val="center"/>
            <w:hideMark/>
          </w:tcPr>
          <w:p w:rsidR="00891E3F" w:rsidRPr="00891E3F" w:rsidRDefault="00891E3F" w:rsidP="00A20ABE">
            <w:pPr>
              <w:spacing w:line="360" w:lineRule="exact"/>
              <w:ind w:rightChars="20" w:right="68"/>
              <w:jc w:val="right"/>
              <w:rPr>
                <w:rFonts w:hAnsi="標楷體" w:cs="新細明體"/>
                <w:spacing w:val="-20"/>
                <w:kern w:val="0"/>
                <w:sz w:val="28"/>
                <w:szCs w:val="28"/>
              </w:rPr>
            </w:pPr>
            <w:r w:rsidRPr="00891E3F">
              <w:rPr>
                <w:rFonts w:hAnsi="標楷體" w:cs="新細明體" w:hint="eastAsia"/>
                <w:spacing w:val="-20"/>
                <w:kern w:val="0"/>
                <w:sz w:val="28"/>
                <w:szCs w:val="28"/>
              </w:rPr>
              <w:t>19.77</w:t>
            </w:r>
          </w:p>
        </w:tc>
      </w:tr>
      <w:tr w:rsidR="00891E3F" w:rsidRPr="00A633EB" w:rsidTr="00A47A6F">
        <w:trPr>
          <w:trHeight w:val="648"/>
          <w:jc w:val="center"/>
        </w:trPr>
        <w:tc>
          <w:tcPr>
            <w:tcW w:w="637" w:type="pct"/>
            <w:shd w:val="clear" w:color="auto" w:fill="auto"/>
            <w:vAlign w:val="center"/>
            <w:hideMark/>
          </w:tcPr>
          <w:p w:rsidR="00891E3F" w:rsidRPr="00891E3F" w:rsidRDefault="00891E3F" w:rsidP="00891E3F">
            <w:pPr>
              <w:widowControl/>
              <w:overflowPunct/>
              <w:autoSpaceDE/>
              <w:autoSpaceDN/>
              <w:spacing w:line="360" w:lineRule="exact"/>
              <w:jc w:val="center"/>
              <w:rPr>
                <w:rFonts w:hAnsi="標楷體" w:cs="新細明體"/>
                <w:spacing w:val="-20"/>
                <w:kern w:val="0"/>
                <w:sz w:val="28"/>
                <w:szCs w:val="28"/>
              </w:rPr>
            </w:pPr>
            <w:r w:rsidRPr="00891E3F">
              <w:rPr>
                <w:rFonts w:hAnsi="標楷體" w:cs="新細明體" w:hint="eastAsia"/>
                <w:spacing w:val="-20"/>
                <w:kern w:val="0"/>
                <w:sz w:val="28"/>
                <w:szCs w:val="28"/>
              </w:rPr>
              <w:t>106年</w:t>
            </w:r>
          </w:p>
        </w:tc>
        <w:tc>
          <w:tcPr>
            <w:tcW w:w="919" w:type="pct"/>
            <w:vAlign w:val="center"/>
          </w:tcPr>
          <w:p w:rsidR="00891E3F" w:rsidRPr="00891E3F" w:rsidRDefault="00891E3F" w:rsidP="00891E3F">
            <w:pPr>
              <w:spacing w:line="360" w:lineRule="exact"/>
              <w:jc w:val="right"/>
              <w:rPr>
                <w:rFonts w:hAnsi="標楷體" w:cs="新細明體"/>
                <w:spacing w:val="-20"/>
                <w:kern w:val="0"/>
                <w:sz w:val="28"/>
                <w:szCs w:val="28"/>
              </w:rPr>
            </w:pPr>
            <w:r w:rsidRPr="00891E3F">
              <w:rPr>
                <w:rFonts w:hAnsi="標楷體" w:cs="新細明體" w:hint="eastAsia"/>
                <w:spacing w:val="-20"/>
                <w:kern w:val="0"/>
                <w:sz w:val="28"/>
                <w:szCs w:val="28"/>
              </w:rPr>
              <w:t xml:space="preserve"> 7,147,656 </w:t>
            </w:r>
          </w:p>
        </w:tc>
        <w:tc>
          <w:tcPr>
            <w:tcW w:w="989" w:type="pct"/>
            <w:vAlign w:val="center"/>
          </w:tcPr>
          <w:p w:rsidR="00FC6972" w:rsidRDefault="00EB6A6E" w:rsidP="00FC6972">
            <w:pPr>
              <w:spacing w:line="360" w:lineRule="exact"/>
              <w:jc w:val="center"/>
              <w:rPr>
                <w:rFonts w:hAnsi="標楷體" w:cs="新細明體"/>
                <w:spacing w:val="-20"/>
                <w:kern w:val="0"/>
                <w:sz w:val="28"/>
                <w:szCs w:val="28"/>
              </w:rPr>
            </w:pPr>
            <w:r w:rsidRPr="00EB6A6E">
              <w:rPr>
                <w:rFonts w:hAnsi="標楷體" w:cs="新細明體" w:hint="eastAsia"/>
                <w:spacing w:val="-20"/>
                <w:kern w:val="0"/>
                <w:sz w:val="28"/>
                <w:szCs w:val="28"/>
              </w:rPr>
              <w:t>1</w:t>
            </w:r>
            <w:r w:rsidR="00FC6972">
              <w:rPr>
                <w:rFonts w:hAnsi="標楷體" w:cs="新細明體" w:hint="eastAsia"/>
                <w:spacing w:val="-20"/>
                <w:kern w:val="0"/>
                <w:sz w:val="28"/>
                <w:szCs w:val="28"/>
              </w:rPr>
              <w:t>,</w:t>
            </w:r>
            <w:r w:rsidRPr="00EB6A6E">
              <w:rPr>
                <w:rFonts w:hAnsi="標楷體" w:cs="新細明體" w:hint="eastAsia"/>
                <w:spacing w:val="-20"/>
                <w:kern w:val="0"/>
                <w:sz w:val="28"/>
                <w:szCs w:val="28"/>
              </w:rPr>
              <w:t>14 5,942</w:t>
            </w:r>
          </w:p>
          <w:p w:rsidR="00891E3F" w:rsidRPr="00891E3F" w:rsidRDefault="00EB6A6E" w:rsidP="00FC6972">
            <w:pPr>
              <w:spacing w:line="360" w:lineRule="exact"/>
              <w:jc w:val="center"/>
              <w:rPr>
                <w:rFonts w:hAnsi="標楷體" w:cs="新細明體"/>
                <w:spacing w:val="-20"/>
                <w:kern w:val="0"/>
                <w:sz w:val="28"/>
                <w:szCs w:val="28"/>
              </w:rPr>
            </w:pPr>
            <w:r w:rsidRPr="00EB6A6E">
              <w:rPr>
                <w:rFonts w:hAnsi="標楷體" w:cs="新細明體" w:hint="eastAsia"/>
                <w:spacing w:val="-20"/>
                <w:kern w:val="0"/>
                <w:sz w:val="28"/>
                <w:szCs w:val="28"/>
              </w:rPr>
              <w:t>(74.27%)</w:t>
            </w:r>
          </w:p>
        </w:tc>
        <w:tc>
          <w:tcPr>
            <w:tcW w:w="849" w:type="pct"/>
            <w:vAlign w:val="center"/>
          </w:tcPr>
          <w:p w:rsidR="00891E3F" w:rsidRPr="00891E3F" w:rsidRDefault="00891E3F" w:rsidP="00A20ABE">
            <w:pPr>
              <w:spacing w:line="360" w:lineRule="exact"/>
              <w:ind w:rightChars="20" w:right="68"/>
              <w:jc w:val="right"/>
              <w:rPr>
                <w:rFonts w:hAnsi="標楷體" w:cs="新細明體"/>
                <w:spacing w:val="-20"/>
                <w:kern w:val="0"/>
                <w:sz w:val="28"/>
                <w:szCs w:val="28"/>
              </w:rPr>
            </w:pPr>
            <w:r w:rsidRPr="00891E3F">
              <w:rPr>
                <w:rFonts w:hAnsi="標楷體" w:cs="新細明體" w:hint="eastAsia"/>
                <w:spacing w:val="-20"/>
                <w:kern w:val="0"/>
                <w:sz w:val="28"/>
                <w:szCs w:val="28"/>
              </w:rPr>
              <w:t xml:space="preserve">   102,277 </w:t>
            </w:r>
          </w:p>
        </w:tc>
        <w:tc>
          <w:tcPr>
            <w:tcW w:w="917" w:type="pct"/>
            <w:shd w:val="clear" w:color="auto" w:fill="auto"/>
            <w:vAlign w:val="center"/>
            <w:hideMark/>
          </w:tcPr>
          <w:p w:rsidR="00891E3F" w:rsidRPr="00891E3F" w:rsidRDefault="00891E3F" w:rsidP="00A20ABE">
            <w:pPr>
              <w:spacing w:line="360" w:lineRule="exact"/>
              <w:ind w:rightChars="20" w:right="68"/>
              <w:jc w:val="right"/>
              <w:rPr>
                <w:rFonts w:hAnsi="標楷體" w:cs="新細明體"/>
                <w:spacing w:val="-20"/>
                <w:kern w:val="0"/>
                <w:sz w:val="28"/>
                <w:szCs w:val="28"/>
              </w:rPr>
            </w:pPr>
            <w:r w:rsidRPr="00891E3F">
              <w:rPr>
                <w:rFonts w:hAnsi="標楷體" w:cs="新細明體" w:hint="eastAsia"/>
                <w:spacing w:val="-20"/>
                <w:kern w:val="0"/>
                <w:sz w:val="28"/>
                <w:szCs w:val="28"/>
              </w:rPr>
              <w:t xml:space="preserve">    19,067 </w:t>
            </w:r>
          </w:p>
        </w:tc>
        <w:tc>
          <w:tcPr>
            <w:tcW w:w="689" w:type="pct"/>
            <w:shd w:val="clear" w:color="auto" w:fill="auto"/>
            <w:vAlign w:val="center"/>
            <w:hideMark/>
          </w:tcPr>
          <w:p w:rsidR="00891E3F" w:rsidRPr="00891E3F" w:rsidRDefault="00891E3F" w:rsidP="00A20ABE">
            <w:pPr>
              <w:spacing w:line="360" w:lineRule="exact"/>
              <w:ind w:rightChars="20" w:right="68"/>
              <w:jc w:val="right"/>
              <w:rPr>
                <w:rFonts w:hAnsi="標楷體" w:cs="新細明體"/>
                <w:spacing w:val="-20"/>
                <w:kern w:val="0"/>
                <w:sz w:val="28"/>
                <w:szCs w:val="28"/>
              </w:rPr>
            </w:pPr>
            <w:r w:rsidRPr="00891E3F">
              <w:rPr>
                <w:rFonts w:hAnsi="標楷體" w:cs="新細明體" w:hint="eastAsia"/>
                <w:spacing w:val="-20"/>
                <w:kern w:val="0"/>
                <w:sz w:val="28"/>
                <w:szCs w:val="28"/>
              </w:rPr>
              <w:t>18.64</w:t>
            </w:r>
          </w:p>
        </w:tc>
      </w:tr>
    </w:tbl>
    <w:p w:rsidR="00E90E98" w:rsidRPr="0060634B" w:rsidRDefault="00E90E98" w:rsidP="009E20F7">
      <w:pPr>
        <w:pStyle w:val="20"/>
        <w:ind w:leftChars="126" w:left="780" w:hangingChars="135" w:hanging="351"/>
        <w:rPr>
          <w:sz w:val="24"/>
          <w:szCs w:val="24"/>
        </w:rPr>
      </w:pPr>
      <w:r w:rsidRPr="0060634B">
        <w:rPr>
          <w:rFonts w:hint="eastAsia"/>
          <w:sz w:val="24"/>
          <w:szCs w:val="24"/>
        </w:rPr>
        <w:t>資料來源：</w:t>
      </w:r>
      <w:r w:rsidR="00722381">
        <w:rPr>
          <w:rFonts w:hint="eastAsia"/>
          <w:sz w:val="24"/>
          <w:szCs w:val="24"/>
        </w:rPr>
        <w:t>警政署</w:t>
      </w:r>
      <w:r w:rsidRPr="0060634B">
        <w:rPr>
          <w:rFonts w:hint="eastAsia"/>
          <w:sz w:val="24"/>
          <w:szCs w:val="24"/>
        </w:rPr>
        <w:t>提供</w:t>
      </w:r>
      <w:r w:rsidR="00722381">
        <w:rPr>
          <w:rFonts w:hint="eastAsia"/>
          <w:sz w:val="24"/>
          <w:szCs w:val="24"/>
        </w:rPr>
        <w:t>（</w:t>
      </w:r>
      <w:r w:rsidR="00722381" w:rsidRPr="00722381">
        <w:rPr>
          <w:rFonts w:hint="eastAsia"/>
          <w:sz w:val="24"/>
          <w:szCs w:val="24"/>
        </w:rPr>
        <w:t>不含本處罰條例第27條及第56條第3項</w:t>
      </w:r>
      <w:r w:rsidR="00722381">
        <w:rPr>
          <w:rFonts w:hint="eastAsia"/>
          <w:sz w:val="24"/>
          <w:szCs w:val="24"/>
        </w:rPr>
        <w:t>）</w:t>
      </w:r>
    </w:p>
    <w:p w:rsidR="002201E5" w:rsidRPr="0060634B" w:rsidRDefault="002201E5" w:rsidP="00241A7F">
      <w:pPr>
        <w:pStyle w:val="3"/>
        <w:numPr>
          <w:ilvl w:val="0"/>
          <w:numId w:val="10"/>
        </w:numPr>
        <w:kinsoku w:val="0"/>
        <w:overflowPunct/>
        <w:autoSpaceDE/>
        <w:autoSpaceDN/>
        <w:ind w:left="1498" w:hanging="689"/>
      </w:pPr>
      <w:r w:rsidRPr="0060634B">
        <w:rPr>
          <w:rFonts w:hint="eastAsia"/>
        </w:rPr>
        <w:t>有關</w:t>
      </w:r>
      <w:r w:rsidRPr="0060634B">
        <w:rPr>
          <w:rFonts w:hint="eastAsia"/>
        </w:rPr>
        <w:tab/>
        <w:t>民眾檢舉交通違規之查證作為，據警政</w:t>
      </w:r>
      <w:proofErr w:type="gramStart"/>
      <w:r w:rsidRPr="0060634B">
        <w:rPr>
          <w:rFonts w:hint="eastAsia"/>
        </w:rPr>
        <w:t>署函復稱</w:t>
      </w:r>
      <w:proofErr w:type="gramEnd"/>
      <w:r w:rsidRPr="0060634B">
        <w:rPr>
          <w:rFonts w:hint="eastAsia"/>
        </w:rPr>
        <w:t>，係依該署訂頒「警察機關處理檢舉交通違規案件品質督考計畫規定」辦理，其中載明各警察機關處理檢舉交通違規規定略</w:t>
      </w:r>
      <w:proofErr w:type="gramStart"/>
      <w:r w:rsidRPr="0060634B">
        <w:rPr>
          <w:rFonts w:hint="eastAsia"/>
        </w:rPr>
        <w:t>以</w:t>
      </w:r>
      <w:proofErr w:type="gramEnd"/>
      <w:r w:rsidRPr="0060634B">
        <w:rPr>
          <w:rFonts w:hint="eastAsia"/>
        </w:rPr>
        <w:t>：…</w:t>
      </w:r>
      <w:proofErr w:type="gramStart"/>
      <w:r w:rsidRPr="0060634B">
        <w:rPr>
          <w:rFonts w:hint="eastAsia"/>
        </w:rPr>
        <w:t>…</w:t>
      </w:r>
      <w:proofErr w:type="gramEnd"/>
      <w:r w:rsidRPr="0060634B">
        <w:rPr>
          <w:rFonts w:hint="eastAsia"/>
        </w:rPr>
        <w:t>（二）承辦及審核民眾檢舉交通違規應於分派案件後，自民眾檢舉日之翌日起14個工作日內經單位主管審核後回復檢舉人予以結案(除天然災害致宣布停止上班之日數扣除外，其餘不得扣除)。上開規定並訂有相關獎懲，惟檢視其獎懲事由，僅有效率之懲處，並無對查證品質之考核。</w:t>
      </w:r>
      <w:proofErr w:type="gramStart"/>
      <w:r w:rsidRPr="0060634B">
        <w:rPr>
          <w:rFonts w:hint="eastAsia"/>
        </w:rPr>
        <w:t>另</w:t>
      </w:r>
      <w:proofErr w:type="gramEnd"/>
      <w:r w:rsidRPr="0060634B">
        <w:rPr>
          <w:rFonts w:hint="eastAsia"/>
        </w:rPr>
        <w:t>，警政署對於民眾提出檢舉之案件，該署陳稱並未特別另訂標準作業程序規範審核流程或決行層級，因絕大多數民眾檢舉交通違規案件多有檢附證據資料供警察機關查證，其審核認定違規作法與員警依本處罰條例第7條之2第1項第7款「經以科學儀器取得證據資料證明其行為違規」逕行舉發之作法幾近相同。故由員警就民眾檢舉違規項目，檢視其所提出違規證據資料是否足資認定違規行為，查證之重點即為舉發違反道路交通管理事件通知單上各欄位內容是否均清楚明確，其決行層級則依各警察機關分層負責明細表之規定辦理，且該</w:t>
      </w:r>
      <w:proofErr w:type="gramStart"/>
      <w:r w:rsidRPr="0060634B">
        <w:rPr>
          <w:rFonts w:hint="eastAsia"/>
        </w:rPr>
        <w:t>署稱</w:t>
      </w:r>
      <w:proofErr w:type="gramEnd"/>
      <w:r w:rsidRPr="0060634B">
        <w:rPr>
          <w:rFonts w:hint="eastAsia"/>
        </w:rPr>
        <w:t>訂有「警察機關舉發及處理違反道路交通管理事件考核獎懲規定」供各警察機關遵循，依其情節對舉發員警、單位主管、分局業務承辦人、業務主管及分局長</w:t>
      </w:r>
      <w:proofErr w:type="gramStart"/>
      <w:r w:rsidRPr="0060634B">
        <w:rPr>
          <w:rFonts w:hint="eastAsia"/>
        </w:rPr>
        <w:t>等均訂有</w:t>
      </w:r>
      <w:proofErr w:type="gramEnd"/>
      <w:r w:rsidRPr="0060634B">
        <w:rPr>
          <w:rFonts w:hint="eastAsia"/>
        </w:rPr>
        <w:t>獎懲規範。</w:t>
      </w:r>
      <w:proofErr w:type="gramStart"/>
      <w:r w:rsidRPr="0060634B">
        <w:rPr>
          <w:rFonts w:hint="eastAsia"/>
        </w:rPr>
        <w:t>惟查該</w:t>
      </w:r>
      <w:proofErr w:type="gramEnd"/>
      <w:r w:rsidRPr="0060634B">
        <w:rPr>
          <w:rFonts w:hint="eastAsia"/>
        </w:rPr>
        <w:t>規定僅訂有：「民眾檢舉案件：有下列情形之</w:t>
      </w:r>
      <w:proofErr w:type="gramStart"/>
      <w:r w:rsidRPr="0060634B">
        <w:rPr>
          <w:rFonts w:hint="eastAsia"/>
        </w:rPr>
        <w:t>一</w:t>
      </w:r>
      <w:proofErr w:type="gramEnd"/>
      <w:r w:rsidRPr="0060634B">
        <w:rPr>
          <w:rFonts w:hint="eastAsia"/>
        </w:rPr>
        <w:lastRenderedPageBreak/>
        <w:t>者，每件劣</w:t>
      </w:r>
      <w:proofErr w:type="gramStart"/>
      <w:r w:rsidRPr="0060634B">
        <w:rPr>
          <w:rFonts w:hint="eastAsia"/>
        </w:rPr>
        <w:t>蹟</w:t>
      </w:r>
      <w:proofErr w:type="gramEnd"/>
      <w:r w:rsidRPr="0060634B">
        <w:rPr>
          <w:rFonts w:hint="eastAsia"/>
        </w:rPr>
        <w:t>1次：（一）受理民眾檢舉交通違規案件，未確實依『</w:t>
      </w:r>
      <w:r w:rsidR="000E7E65">
        <w:rPr>
          <w:rFonts w:hint="eastAsia"/>
        </w:rPr>
        <w:t>違反道路交通管理事件統一裁罰基準及處理細則</w:t>
      </w:r>
      <w:r w:rsidRPr="0060634B">
        <w:rPr>
          <w:rFonts w:hint="eastAsia"/>
        </w:rPr>
        <w:t>』第22條及第24條規定之查證、舉發程序或洩漏檢舉人個人資料，致衍生執法疑義者。」由上開說明可知，有關民眾檢舉交通違規案件之警方查證作為，僅有處理時效之控管，而無對查證品質之考核，其查證內容亦就檢舉及行為時間、舉發內容等資料及舉發違反道路交通管理事件通知單上各欄位內容是否均清楚明確等進行形式審查，而未能依法進行「查證屬實」，</w:t>
      </w:r>
      <w:r w:rsidR="006E2501">
        <w:rPr>
          <w:rFonts w:hint="eastAsia"/>
        </w:rPr>
        <w:t>可</w:t>
      </w:r>
      <w:r w:rsidR="00043F48">
        <w:rPr>
          <w:rFonts w:hint="eastAsia"/>
        </w:rPr>
        <w:t>由上開</w:t>
      </w:r>
      <w:r w:rsidR="00043F48" w:rsidRPr="00043F48">
        <w:rPr>
          <w:rFonts w:hint="eastAsia"/>
        </w:rPr>
        <w:t>考核獎懲規定</w:t>
      </w:r>
      <w:r w:rsidR="00043F48">
        <w:rPr>
          <w:rFonts w:hint="eastAsia"/>
        </w:rPr>
        <w:t>亦僅就</w:t>
      </w:r>
      <w:r w:rsidR="00043F48" w:rsidRPr="00043F48">
        <w:rPr>
          <w:rFonts w:hint="eastAsia"/>
        </w:rPr>
        <w:t>舉發程序或洩漏檢舉人個人資料</w:t>
      </w:r>
      <w:r w:rsidR="00043F48">
        <w:rPr>
          <w:rFonts w:hint="eastAsia"/>
        </w:rPr>
        <w:t>有所律定</w:t>
      </w:r>
      <w:r w:rsidR="006E2501">
        <w:rPr>
          <w:rFonts w:hint="eastAsia"/>
        </w:rPr>
        <w:t>可見一般</w:t>
      </w:r>
      <w:r w:rsidR="00043F48" w:rsidRPr="00043F48">
        <w:rPr>
          <w:rFonts w:hint="eastAsia"/>
        </w:rPr>
        <w:t>，</w:t>
      </w:r>
      <w:r w:rsidR="00043F48">
        <w:rPr>
          <w:rFonts w:hint="eastAsia"/>
        </w:rPr>
        <w:t>其</w:t>
      </w:r>
      <w:r w:rsidR="00C011C9" w:rsidRPr="00BF0F7F">
        <w:rPr>
          <w:rFonts w:hint="eastAsia"/>
        </w:rPr>
        <w:t>查證內容未涉及違規行為等核心項目，</w:t>
      </w:r>
      <w:r w:rsidRPr="0060634B">
        <w:rPr>
          <w:rFonts w:hint="eastAsia"/>
        </w:rPr>
        <w:t>且對於檢舉人個人資料（如假借他人或不實身分）及檢附證據資料（是否有變造情形）亦疏於查證，而遭媒體報導，檢舉交通違規案件，需被檢舉人自行舉證無違規事實之譏。</w:t>
      </w:r>
    </w:p>
    <w:p w:rsidR="002201E5" w:rsidRPr="0060634B" w:rsidRDefault="002201E5" w:rsidP="00241A7F">
      <w:pPr>
        <w:pStyle w:val="3"/>
        <w:numPr>
          <w:ilvl w:val="0"/>
          <w:numId w:val="10"/>
        </w:numPr>
        <w:kinsoku w:val="0"/>
        <w:overflowPunct/>
        <w:autoSpaceDE/>
        <w:autoSpaceDN/>
        <w:ind w:left="1498" w:hanging="689"/>
      </w:pPr>
      <w:r w:rsidRPr="0060634B">
        <w:rPr>
          <w:rFonts w:hint="eastAsia"/>
        </w:rPr>
        <w:t>綜上，警政署依法受理民眾檢舉交通違規事件，最近3年經查證後舉發比率分別為74.72%、81.73%及74.27%，雖無媒體所稱警察機關全盤接受民眾檢舉之情事，惟對於該署自訂「警察機關處理檢舉交通違規案件品質督考計畫規定」，僅有處理時效之控管，而無對查證品質之考核，其查證內容亦就檢舉及行為時間、舉發資料及舉發違反道路交通管理事件通知單上各欄位內容是否均清楚明確等進行形式審查，而未依法進行「查證屬實」，</w:t>
      </w:r>
      <w:r w:rsidR="006E2501" w:rsidRPr="006E2501">
        <w:rPr>
          <w:rFonts w:hint="eastAsia"/>
        </w:rPr>
        <w:t>可由</w:t>
      </w:r>
      <w:r w:rsidR="006E2501">
        <w:rPr>
          <w:rFonts w:hint="eastAsia"/>
        </w:rPr>
        <w:t>相關</w:t>
      </w:r>
      <w:r w:rsidR="006E2501" w:rsidRPr="006E2501">
        <w:rPr>
          <w:rFonts w:hint="eastAsia"/>
        </w:rPr>
        <w:t>考核獎懲規定亦僅就舉發程序或洩漏檢舉人個人資料有所律定可見一般，其查證內容未涉及違規行為等核心項目，</w:t>
      </w:r>
      <w:r w:rsidRPr="0060634B">
        <w:rPr>
          <w:rFonts w:hint="eastAsia"/>
        </w:rPr>
        <w:t>且對於檢舉人個人資料（如假借他人或不實身分）及檢附證據資料（是否有變造情形）亦疏於查證，致違規人陳述後仍有</w:t>
      </w:r>
      <w:r w:rsidR="00E320EF">
        <w:rPr>
          <w:rFonts w:hint="eastAsia"/>
        </w:rPr>
        <w:t>20.91%（</w:t>
      </w:r>
      <w:r w:rsidR="00E320EF">
        <w:rPr>
          <w:rFonts w:hint="eastAsia"/>
        </w:rPr>
        <w:lastRenderedPageBreak/>
        <w:t>25,053件）、19.77%（27,110件）及18.64%（19,067件）</w:t>
      </w:r>
      <w:r w:rsidRPr="0060634B">
        <w:rPr>
          <w:rFonts w:hint="eastAsia"/>
        </w:rPr>
        <w:t>經申訴後免罰，不僅易生民怨，恐遭民眾非議執法品質，允應檢討改善。</w:t>
      </w:r>
    </w:p>
    <w:p w:rsidR="002201E5" w:rsidRPr="0060634B" w:rsidRDefault="002201E5" w:rsidP="002201E5">
      <w:pPr>
        <w:pStyle w:val="2"/>
        <w:kinsoku w:val="0"/>
        <w:overflowPunct/>
        <w:autoSpaceDE/>
        <w:autoSpaceDN/>
        <w:ind w:left="1134" w:hanging="697"/>
      </w:pPr>
      <w:r w:rsidRPr="0060634B">
        <w:rPr>
          <w:rFonts w:hint="eastAsia"/>
          <w:b/>
        </w:rPr>
        <w:t>內政部警政署執行本</w:t>
      </w:r>
      <w:r w:rsidR="00DE7115">
        <w:rPr>
          <w:rFonts w:hint="eastAsia"/>
          <w:b/>
        </w:rPr>
        <w:t>處罰條例第85條之1第2項</w:t>
      </w:r>
      <w:r w:rsidRPr="0060634B">
        <w:rPr>
          <w:rFonts w:hint="eastAsia"/>
          <w:b/>
        </w:rPr>
        <w:t>同一違規事實連續舉發之適用，依該條文</w:t>
      </w:r>
      <w:proofErr w:type="gramStart"/>
      <w:r w:rsidRPr="0060634B">
        <w:rPr>
          <w:rFonts w:hint="eastAsia"/>
          <w:b/>
        </w:rPr>
        <w:t>載明係指</w:t>
      </w:r>
      <w:proofErr w:type="gramEnd"/>
      <w:r w:rsidRPr="0060634B">
        <w:rPr>
          <w:rFonts w:hint="eastAsia"/>
          <w:b/>
        </w:rPr>
        <w:t>第7條之2之逕行舉發案件情形，得連續舉發，惟對民眾依本處罰條例第7條之1對於同一違規事實提出連續檢舉，經警察機關</w:t>
      </w:r>
      <w:r w:rsidR="001E6EFF">
        <w:rPr>
          <w:rFonts w:hint="eastAsia"/>
          <w:b/>
        </w:rPr>
        <w:t>據之為</w:t>
      </w:r>
      <w:r w:rsidRPr="0060634B">
        <w:rPr>
          <w:rFonts w:hint="eastAsia"/>
          <w:b/>
        </w:rPr>
        <w:t>逕行連續舉發，除存有法規適用之疑義外，亦因民眾連續檢舉同一行為事實，遭警察機關連續舉發，已累積多張罰單，然違規行為人卻無從知悉，顯有失交通管理</w:t>
      </w:r>
      <w:proofErr w:type="gramStart"/>
      <w:r w:rsidRPr="0060634B">
        <w:rPr>
          <w:rFonts w:hint="eastAsia"/>
          <w:b/>
        </w:rPr>
        <w:t>措</w:t>
      </w:r>
      <w:proofErr w:type="gramEnd"/>
      <w:r w:rsidRPr="0060634B">
        <w:rPr>
          <w:rFonts w:hint="eastAsia"/>
          <w:b/>
        </w:rPr>
        <w:t>施中之教育宣導原則，允應檢討改善。</w:t>
      </w:r>
    </w:p>
    <w:p w:rsidR="002201E5" w:rsidRPr="0060634B" w:rsidRDefault="002201E5" w:rsidP="002201E5">
      <w:pPr>
        <w:pStyle w:val="3"/>
        <w:kinsoku w:val="0"/>
        <w:overflowPunct/>
        <w:autoSpaceDE/>
        <w:autoSpaceDN/>
        <w:ind w:left="1484" w:hanging="697"/>
      </w:pPr>
      <w:r w:rsidRPr="0060634B">
        <w:rPr>
          <w:rFonts w:hint="eastAsia"/>
        </w:rPr>
        <w:t>依本處罰條例第85條之1規定略</w:t>
      </w:r>
      <w:proofErr w:type="gramStart"/>
      <w:r w:rsidRPr="0060634B">
        <w:rPr>
          <w:rFonts w:hint="eastAsia"/>
        </w:rPr>
        <w:t>以</w:t>
      </w:r>
      <w:proofErr w:type="gramEnd"/>
      <w:r w:rsidRPr="0060634B">
        <w:rPr>
          <w:rFonts w:hint="eastAsia"/>
        </w:rPr>
        <w:t>，汽車駕駛人、汽車所有人、汽車買賣業或汽車修理業違反第56條第1項或第57條規定，經舉發後，不遵守交通勤務警察或依法令執行交通稽查任務人員責令改正者，得連續舉發之。第7條之2之逕行舉發案件有下列情形之</w:t>
      </w:r>
      <w:proofErr w:type="gramStart"/>
      <w:r w:rsidRPr="0060634B">
        <w:rPr>
          <w:rFonts w:hint="eastAsia"/>
        </w:rPr>
        <w:t>一</w:t>
      </w:r>
      <w:proofErr w:type="gramEnd"/>
      <w:r w:rsidRPr="0060634B">
        <w:rPr>
          <w:rFonts w:hint="eastAsia"/>
        </w:rPr>
        <w:t>者，得連續舉發…</w:t>
      </w:r>
      <w:proofErr w:type="gramStart"/>
      <w:r w:rsidRPr="0060634B">
        <w:rPr>
          <w:rFonts w:hint="eastAsia"/>
        </w:rPr>
        <w:t>…</w:t>
      </w:r>
      <w:proofErr w:type="gramEnd"/>
      <w:r w:rsidRPr="0060634B">
        <w:rPr>
          <w:rFonts w:hint="eastAsia"/>
        </w:rPr>
        <w:t>二、逕行舉發汽車有第56條第1項或第57條規定之情形，而駕駛人、汽車所有人、汽車買賣業、汽車修理業不在場或未能將汽車</w:t>
      </w:r>
      <w:proofErr w:type="gramStart"/>
      <w:r w:rsidRPr="0060634B">
        <w:rPr>
          <w:rFonts w:hint="eastAsia"/>
        </w:rPr>
        <w:t>移置每逾</w:t>
      </w:r>
      <w:proofErr w:type="gramEnd"/>
      <w:r w:rsidRPr="0060634B">
        <w:rPr>
          <w:rFonts w:hint="eastAsia"/>
        </w:rPr>
        <w:t>2小時。由上開法令可知，用路人違反本處罰條例第56條第1項或第57條規定，經舉發後，不遵守交通勤務警察或依法令執行交通稽查任務人員責令改正者，得連續舉發之，且若依本處罰條例第7條之2之逕行舉發案件，係指警察當場不能或不宜攔截製單舉發者，而非由民眾檢舉後由警察逕行舉發案件。</w:t>
      </w:r>
    </w:p>
    <w:p w:rsidR="002201E5" w:rsidRPr="0060634B" w:rsidRDefault="002201E5" w:rsidP="002201E5">
      <w:pPr>
        <w:pStyle w:val="3"/>
        <w:kinsoku w:val="0"/>
        <w:overflowPunct/>
        <w:autoSpaceDE/>
        <w:autoSpaceDN/>
        <w:ind w:left="1484" w:hanging="697"/>
      </w:pPr>
      <w:proofErr w:type="gramStart"/>
      <w:r w:rsidRPr="0060634B">
        <w:rPr>
          <w:rFonts w:hint="eastAsia"/>
        </w:rPr>
        <w:t>嗣</w:t>
      </w:r>
      <w:proofErr w:type="gramEnd"/>
      <w:r w:rsidRPr="0060634B">
        <w:rPr>
          <w:rFonts w:hint="eastAsia"/>
        </w:rPr>
        <w:t>依警政署106年9月18日新聞稿略</w:t>
      </w:r>
      <w:proofErr w:type="gramStart"/>
      <w:r w:rsidRPr="0060634B">
        <w:rPr>
          <w:rFonts w:hint="eastAsia"/>
        </w:rPr>
        <w:t>以</w:t>
      </w:r>
      <w:proofErr w:type="gramEnd"/>
      <w:r w:rsidRPr="0060634B">
        <w:rPr>
          <w:rFonts w:hint="eastAsia"/>
        </w:rPr>
        <w:t>，民眾依本處罰條例第7條之1對於同一違規事實提出檢舉，是否有同條例第85條之1第2項同一違規事實</w:t>
      </w:r>
      <w:r w:rsidRPr="0060634B">
        <w:rPr>
          <w:rFonts w:hint="eastAsia"/>
        </w:rPr>
        <w:lastRenderedPageBreak/>
        <w:t>連續舉發之適用，尚有法規適用疑義，該署將速洽法規主管機關交通部予以</w:t>
      </w:r>
      <w:proofErr w:type="gramStart"/>
      <w:r w:rsidRPr="0060634B">
        <w:rPr>
          <w:rFonts w:hint="eastAsia"/>
        </w:rPr>
        <w:t>釐</w:t>
      </w:r>
      <w:proofErr w:type="gramEnd"/>
      <w:r w:rsidRPr="0060634B">
        <w:rPr>
          <w:rFonts w:hint="eastAsia"/>
        </w:rPr>
        <w:t>清。相關法規修正前，為減少爭議，已函請各警察機關統一執法標準。故警政署於同年月19日以警署</w:t>
      </w:r>
      <w:proofErr w:type="gramStart"/>
      <w:r w:rsidRPr="0060634B">
        <w:rPr>
          <w:rFonts w:hint="eastAsia"/>
        </w:rPr>
        <w:t>交字第1060142713號函發</w:t>
      </w:r>
      <w:proofErr w:type="gramEnd"/>
      <w:r w:rsidRPr="0060634B">
        <w:rPr>
          <w:rFonts w:hint="eastAsia"/>
        </w:rPr>
        <w:t>各警察機關，有關民眾檢舉交通違規案件連續舉發統一執法標準如下：「…</w:t>
      </w:r>
      <w:proofErr w:type="gramStart"/>
      <w:r w:rsidRPr="0060634B">
        <w:rPr>
          <w:rFonts w:hint="eastAsia"/>
        </w:rPr>
        <w:t>…</w:t>
      </w:r>
      <w:proofErr w:type="gramEnd"/>
      <w:r w:rsidRPr="0060634B">
        <w:rPr>
          <w:rFonts w:hint="eastAsia"/>
        </w:rPr>
        <w:t>(二)民眾檢舉道路交通管理處罰條例第56條第1項案件，除能明確查證認定非屬同一違規行為者外，僅得舉發1次，其餘部分則依…</w:t>
      </w:r>
      <w:proofErr w:type="gramStart"/>
      <w:r w:rsidRPr="0060634B">
        <w:rPr>
          <w:rFonts w:hint="eastAsia"/>
        </w:rPr>
        <w:t>…</w:t>
      </w:r>
      <w:proofErr w:type="gramEnd"/>
      <w:r w:rsidRPr="0060634B">
        <w:rPr>
          <w:rFonts w:hint="eastAsia"/>
        </w:rPr>
        <w:t>『同一違規行為再重複檢舉者』不予舉發，以求周延。」故由上開說明可知，警政署因尚有法規適用疑義，為免執行上之爭議，對同一違規行為再重複檢舉，不予舉發，以求周延。</w:t>
      </w:r>
    </w:p>
    <w:p w:rsidR="002201E5" w:rsidRPr="0060634B" w:rsidRDefault="002201E5" w:rsidP="002201E5">
      <w:pPr>
        <w:pStyle w:val="3"/>
        <w:kinsoku w:val="0"/>
        <w:overflowPunct/>
        <w:autoSpaceDE/>
        <w:autoSpaceDN/>
        <w:ind w:left="1484" w:hanging="697"/>
      </w:pPr>
      <w:proofErr w:type="gramStart"/>
      <w:r w:rsidRPr="0060634B">
        <w:rPr>
          <w:rFonts w:hint="eastAsia"/>
        </w:rPr>
        <w:t>嗣</w:t>
      </w:r>
      <w:proofErr w:type="gramEnd"/>
      <w:r w:rsidRPr="0060634B">
        <w:rPr>
          <w:rFonts w:hint="eastAsia"/>
        </w:rPr>
        <w:t>據地方公路主管機關</w:t>
      </w:r>
      <w:proofErr w:type="gramStart"/>
      <w:r w:rsidRPr="0060634B">
        <w:rPr>
          <w:rFonts w:hint="eastAsia"/>
        </w:rPr>
        <w:t>函復稱</w:t>
      </w:r>
      <w:proofErr w:type="gramEnd"/>
      <w:r w:rsidRPr="0060634B">
        <w:rPr>
          <w:rFonts w:hint="eastAsia"/>
        </w:rPr>
        <w:t>，本處罰條例第85條之1第2項規定：「</w:t>
      </w:r>
      <w:r w:rsidR="00AF7000">
        <w:rPr>
          <w:rFonts w:hint="eastAsia"/>
        </w:rPr>
        <w:t>第7條之2</w:t>
      </w:r>
      <w:r w:rsidRPr="0060634B">
        <w:rPr>
          <w:rFonts w:hint="eastAsia"/>
        </w:rPr>
        <w:t>之逕行舉發案件有下列情形之</w:t>
      </w:r>
      <w:proofErr w:type="gramStart"/>
      <w:r w:rsidRPr="0060634B">
        <w:rPr>
          <w:rFonts w:hint="eastAsia"/>
        </w:rPr>
        <w:t>一</w:t>
      </w:r>
      <w:proofErr w:type="gramEnd"/>
      <w:r w:rsidRPr="0060634B">
        <w:rPr>
          <w:rFonts w:hint="eastAsia"/>
        </w:rPr>
        <w:t>者，得連續舉發…</w:t>
      </w:r>
      <w:proofErr w:type="gramStart"/>
      <w:r w:rsidRPr="0060634B">
        <w:rPr>
          <w:rFonts w:hint="eastAsia"/>
        </w:rPr>
        <w:t>…</w:t>
      </w:r>
      <w:proofErr w:type="gramEnd"/>
      <w:r w:rsidRPr="0060634B">
        <w:rPr>
          <w:rFonts w:hint="eastAsia"/>
        </w:rPr>
        <w:t>」，又其中「</w:t>
      </w:r>
      <w:r w:rsidR="00AF7000">
        <w:rPr>
          <w:rFonts w:hint="eastAsia"/>
        </w:rPr>
        <w:t>第7條之2</w:t>
      </w:r>
      <w:r w:rsidRPr="0060634B">
        <w:rPr>
          <w:rFonts w:hint="eastAsia"/>
        </w:rPr>
        <w:t>」僅係條例中對於「逕行舉發」案件之規範，並不包含條例第7條之1民眾檢舉案件。又參照司法院94年10月21日院台大二字第0940023057號令大法官釋字第604號解釋：「…</w:t>
      </w:r>
      <w:proofErr w:type="gramStart"/>
      <w:r w:rsidRPr="0060634B">
        <w:rPr>
          <w:rFonts w:hint="eastAsia"/>
        </w:rPr>
        <w:t>…</w:t>
      </w:r>
      <w:proofErr w:type="gramEnd"/>
      <w:r w:rsidRPr="0060634B">
        <w:rPr>
          <w:rFonts w:hint="eastAsia"/>
        </w:rPr>
        <w:t>道路交通管理處罰條例</w:t>
      </w:r>
      <w:r w:rsidR="00AF7000">
        <w:rPr>
          <w:rFonts w:hint="eastAsia"/>
        </w:rPr>
        <w:t>第85條之1</w:t>
      </w:r>
      <w:r w:rsidRPr="0060634B">
        <w:rPr>
          <w:rFonts w:hint="eastAsia"/>
        </w:rPr>
        <w:t>得為連續舉發之規定，就連續舉發時應依何種標準為之，並無原則性規定。雖主管機關依道路交通管理處罰條例</w:t>
      </w:r>
      <w:r w:rsidR="00AF7000">
        <w:rPr>
          <w:rFonts w:hint="eastAsia"/>
        </w:rPr>
        <w:t>第92條</w:t>
      </w:r>
      <w:r w:rsidRPr="0060634B">
        <w:rPr>
          <w:rFonts w:hint="eastAsia"/>
        </w:rPr>
        <w:t>之授權，於</w:t>
      </w:r>
      <w:r w:rsidR="00AF7000">
        <w:rPr>
          <w:rFonts w:hint="eastAsia"/>
        </w:rPr>
        <w:t>90年5月30日</w:t>
      </w:r>
      <w:r w:rsidRPr="0060634B">
        <w:rPr>
          <w:rFonts w:hint="eastAsia"/>
        </w:rPr>
        <w:t>修正發布『違反道路交通管理事件統一裁罰標準及處理細則』，其</w:t>
      </w:r>
      <w:r w:rsidR="00572BBA">
        <w:rPr>
          <w:rFonts w:hint="eastAsia"/>
        </w:rPr>
        <w:t>第12條第4項</w:t>
      </w:r>
      <w:r w:rsidRPr="0060634B">
        <w:rPr>
          <w:rFonts w:hint="eastAsia"/>
        </w:rPr>
        <w:t>規定，以『每逾</w:t>
      </w:r>
      <w:r w:rsidR="00AF7000">
        <w:rPr>
          <w:rFonts w:hint="eastAsia"/>
        </w:rPr>
        <w:t>2小時</w:t>
      </w:r>
      <w:r w:rsidRPr="0060634B">
        <w:rPr>
          <w:rFonts w:hint="eastAsia"/>
        </w:rPr>
        <w:t>』為連續舉發之標準，衡諸人民可能因而受處罰之次數及可能因此負擔累計罰鍰之金額，相對於維護交通秩序、確保交通安全之重大公益而言，尚未逾越必要之程度。</w:t>
      </w:r>
      <w:proofErr w:type="gramStart"/>
      <w:r w:rsidRPr="0060634B">
        <w:rPr>
          <w:rFonts w:hint="eastAsia"/>
        </w:rPr>
        <w:t>惟</w:t>
      </w:r>
      <w:proofErr w:type="gramEnd"/>
      <w:r w:rsidRPr="0060634B">
        <w:rPr>
          <w:rFonts w:hint="eastAsia"/>
        </w:rPr>
        <w:t>有關連續舉發之授權，其目的與範圍仍以法律明定為宜。…</w:t>
      </w:r>
      <w:proofErr w:type="gramStart"/>
      <w:r w:rsidRPr="0060634B">
        <w:rPr>
          <w:rFonts w:hint="eastAsia"/>
        </w:rPr>
        <w:t>…</w:t>
      </w:r>
      <w:proofErr w:type="gramEnd"/>
      <w:r w:rsidRPr="0060634B">
        <w:rPr>
          <w:rFonts w:hint="eastAsia"/>
        </w:rPr>
        <w:t>」，故民眾依本處罰條例第7條</w:t>
      </w:r>
      <w:r w:rsidRPr="0060634B">
        <w:rPr>
          <w:rFonts w:hint="eastAsia"/>
        </w:rPr>
        <w:lastRenderedPageBreak/>
        <w:t>之1對於同一違規事實提出檢舉，既無法律明文規定，應無本處罰條例第85條之1第2項同一違規事實連續舉發之適用，且據本院詢問當日臺北市政府、新北市政府及桃園市政府等裁決機關首長亦有相同之表示。</w:t>
      </w:r>
    </w:p>
    <w:p w:rsidR="002201E5" w:rsidRPr="0060634B" w:rsidRDefault="002201E5" w:rsidP="002201E5">
      <w:pPr>
        <w:pStyle w:val="3"/>
        <w:kinsoku w:val="0"/>
        <w:overflowPunct/>
        <w:autoSpaceDE/>
        <w:autoSpaceDN/>
        <w:ind w:left="1484" w:hanging="697"/>
      </w:pPr>
      <w:r w:rsidRPr="0060634B">
        <w:rPr>
          <w:rFonts w:hint="eastAsia"/>
        </w:rPr>
        <w:t>惟</w:t>
      </w:r>
      <w:r w:rsidRPr="0060634B">
        <w:rPr>
          <w:rFonts w:hAnsi="Times New Roman" w:hint="eastAsia"/>
          <w:bCs w:val="0"/>
          <w:kern w:val="2"/>
          <w:szCs w:val="20"/>
        </w:rPr>
        <w:t>據</w:t>
      </w:r>
      <w:proofErr w:type="gramStart"/>
      <w:r w:rsidRPr="0060634B">
        <w:rPr>
          <w:rFonts w:hAnsi="Times New Roman" w:hint="eastAsia"/>
          <w:bCs w:val="0"/>
          <w:kern w:val="2"/>
          <w:szCs w:val="20"/>
        </w:rPr>
        <w:t>臺</w:t>
      </w:r>
      <w:proofErr w:type="gramEnd"/>
      <w:r w:rsidRPr="0060634B">
        <w:rPr>
          <w:rFonts w:hAnsi="Times New Roman" w:hint="eastAsia"/>
          <w:bCs w:val="0"/>
          <w:kern w:val="2"/>
          <w:szCs w:val="20"/>
        </w:rPr>
        <w:t>南市政府交通局</w:t>
      </w:r>
      <w:proofErr w:type="gramStart"/>
      <w:r w:rsidRPr="0060634B">
        <w:rPr>
          <w:rFonts w:hAnsi="Times New Roman" w:hint="eastAsia"/>
          <w:bCs w:val="0"/>
          <w:kern w:val="2"/>
          <w:szCs w:val="20"/>
        </w:rPr>
        <w:t>函復稱</w:t>
      </w:r>
      <w:proofErr w:type="gramEnd"/>
      <w:r w:rsidRPr="0060634B">
        <w:rPr>
          <w:rFonts w:hAnsi="Times New Roman" w:hint="eastAsia"/>
          <w:bCs w:val="0"/>
          <w:kern w:val="2"/>
          <w:szCs w:val="20"/>
        </w:rPr>
        <w:t>：「…</w:t>
      </w:r>
      <w:proofErr w:type="gramStart"/>
      <w:r w:rsidRPr="0060634B">
        <w:rPr>
          <w:rFonts w:hAnsi="Times New Roman" w:hint="eastAsia"/>
          <w:bCs w:val="0"/>
          <w:kern w:val="2"/>
          <w:szCs w:val="20"/>
        </w:rPr>
        <w:t>…</w:t>
      </w:r>
      <w:proofErr w:type="gramEnd"/>
      <w:r w:rsidRPr="0060634B">
        <w:rPr>
          <w:rFonts w:hAnsi="Times New Roman" w:hint="eastAsia"/>
          <w:bCs w:val="0"/>
          <w:kern w:val="2"/>
          <w:szCs w:val="20"/>
        </w:rPr>
        <w:t>交通勤務警察或依法令執行交通稽查任務人員因當場不能或不宜攔截製單舉發，固得直接適用上開規定，逕行連續舉發，要無疑義；其受理道路交通管理處罰條例第7條之1規定之民眾檢舉舉發案件，因亦具有當場不能製單舉發之情形，仍得援用上開規定之違反義務次數判斷標準，以評價檢舉之違規行為次數，並就數個違規行為，分別製單舉發，民眾檢舉舉發應類推適用本處罰條例第85條之1第2項之規定。」由上開該府之說明，顯與其他公路主管機關有不同之見解，亦難做出一致之裁決。</w:t>
      </w:r>
    </w:p>
    <w:p w:rsidR="002201E5" w:rsidRPr="0060634B" w:rsidRDefault="002201E5" w:rsidP="002201E5">
      <w:pPr>
        <w:pStyle w:val="3"/>
        <w:kinsoku w:val="0"/>
        <w:overflowPunct/>
        <w:autoSpaceDE/>
        <w:autoSpaceDN/>
        <w:ind w:left="1484" w:hanging="697"/>
      </w:pPr>
      <w:r w:rsidRPr="0060634B">
        <w:rPr>
          <w:rFonts w:hint="eastAsia"/>
        </w:rPr>
        <w:t>交通管理必須透過三E手段來達成，分別是交通工程（Engineering）、教育宣導（Education）及落實執法（Enforcement）。首先經由交通工程改善，建立周延設施降低交通衝突；藉由教育宣導加強，灌輸正確交通知識提升交通道德；透過落實執法加以貫徹，</w:t>
      </w:r>
      <w:proofErr w:type="gramStart"/>
      <w:r w:rsidRPr="0060634B">
        <w:rPr>
          <w:rFonts w:hint="eastAsia"/>
        </w:rPr>
        <w:t>採負向補強</w:t>
      </w:r>
      <w:proofErr w:type="gramEnd"/>
      <w:r w:rsidRPr="0060634B">
        <w:rPr>
          <w:rFonts w:hint="eastAsia"/>
        </w:rPr>
        <w:t>模式彌補教育宣導之不足，促使民眾為規避處罰削弱違規行為重覆發生的可能性，但處罰只是手段，最終目的仍在導正錯誤交通認知，維護交通秩序，確保交通安全。故由上開說明可知，本處罰條例並非以處罰為目的，其目的仍在導正錯誤交通認知，故民眾連續檢舉同一行為事實，遭警察機關連續舉發，已累積多張罰單，然違規行為人卻無從知悉，已有失交通管理</w:t>
      </w:r>
      <w:proofErr w:type="gramStart"/>
      <w:r w:rsidRPr="0060634B">
        <w:rPr>
          <w:rFonts w:hint="eastAsia"/>
        </w:rPr>
        <w:t>措</w:t>
      </w:r>
      <w:proofErr w:type="gramEnd"/>
      <w:r w:rsidRPr="0060634B">
        <w:rPr>
          <w:rFonts w:hint="eastAsia"/>
        </w:rPr>
        <w:t>施中之教育宣導原則。</w:t>
      </w:r>
    </w:p>
    <w:p w:rsidR="002201E5" w:rsidRPr="0060634B" w:rsidRDefault="002201E5" w:rsidP="002201E5">
      <w:pPr>
        <w:pStyle w:val="3"/>
        <w:kinsoku w:val="0"/>
        <w:overflowPunct/>
        <w:autoSpaceDE/>
        <w:autoSpaceDN/>
        <w:ind w:left="1484" w:hanging="697"/>
      </w:pPr>
      <w:r w:rsidRPr="0060634B">
        <w:rPr>
          <w:rFonts w:hint="eastAsia"/>
        </w:rPr>
        <w:lastRenderedPageBreak/>
        <w:t>據交通部陳稱，警政署前於105年4月15日及同年9月30日來函，請該部針對民眾依本處罰條例第7條之1檢舉交通違規，員警舉發時是否有第85條之1第2項規定之適用。針對該署提出之疑義，交通部分別於105年5月25日及同年12月19日</w:t>
      </w:r>
      <w:proofErr w:type="gramStart"/>
      <w:r w:rsidRPr="0060634B">
        <w:rPr>
          <w:rFonts w:hint="eastAsia"/>
        </w:rPr>
        <w:t>函復該署</w:t>
      </w:r>
      <w:proofErr w:type="gramEnd"/>
      <w:r w:rsidRPr="0060634B">
        <w:rPr>
          <w:rFonts w:hint="eastAsia"/>
        </w:rPr>
        <w:t>說明依行政罰法第25條規定，行為人如有數</w:t>
      </w:r>
      <w:proofErr w:type="gramStart"/>
      <w:r w:rsidRPr="0060634B">
        <w:rPr>
          <w:rFonts w:hint="eastAsia"/>
        </w:rPr>
        <w:t>個</w:t>
      </w:r>
      <w:proofErr w:type="gramEnd"/>
      <w:r w:rsidRPr="0060634B">
        <w:rPr>
          <w:rFonts w:hint="eastAsia"/>
        </w:rPr>
        <w:t>違規行為應分別處罰，無關乎其違規行為係由警察機關稽查或民眾檢舉，</w:t>
      </w:r>
      <w:proofErr w:type="gramStart"/>
      <w:r w:rsidRPr="0060634B">
        <w:rPr>
          <w:rFonts w:hint="eastAsia"/>
        </w:rPr>
        <w:t>均應適用</w:t>
      </w:r>
      <w:proofErr w:type="gramEnd"/>
      <w:r w:rsidRPr="0060634B">
        <w:rPr>
          <w:rFonts w:hint="eastAsia"/>
        </w:rPr>
        <w:t>，且處罰條例第7條之1並未排除行政罰法適用，亦未賦予民眾多次檢舉同一行為即可多次處罰之效果，故無分民眾檢舉次數之多寡，行為人僅有1違規行為自應課予1處罰，反之有數違規行為者即應</w:t>
      </w:r>
      <w:proofErr w:type="gramStart"/>
      <w:r w:rsidRPr="0060634B">
        <w:rPr>
          <w:rFonts w:hint="eastAsia"/>
        </w:rPr>
        <w:t>課予數處罰</w:t>
      </w:r>
      <w:proofErr w:type="gramEnd"/>
      <w:r w:rsidRPr="0060634B">
        <w:rPr>
          <w:rFonts w:hint="eastAsia"/>
        </w:rPr>
        <w:t>。</w:t>
      </w:r>
      <w:proofErr w:type="gramStart"/>
      <w:r w:rsidRPr="0060634B">
        <w:rPr>
          <w:rFonts w:hint="eastAsia"/>
        </w:rPr>
        <w:t>惟</w:t>
      </w:r>
      <w:proofErr w:type="gramEnd"/>
      <w:r w:rsidRPr="0060634B">
        <w:rPr>
          <w:rFonts w:hint="eastAsia"/>
        </w:rPr>
        <w:t>警政署認為此仍無法解決法規適用疑義，</w:t>
      </w:r>
      <w:proofErr w:type="gramStart"/>
      <w:r w:rsidRPr="0060634B">
        <w:rPr>
          <w:rFonts w:hint="eastAsia"/>
        </w:rPr>
        <w:t>爰</w:t>
      </w:r>
      <w:proofErr w:type="gramEnd"/>
      <w:r w:rsidRPr="0060634B">
        <w:rPr>
          <w:rFonts w:hint="eastAsia"/>
        </w:rPr>
        <w:t>再次於106年1月11日函請交通部召開會議</w:t>
      </w:r>
      <w:proofErr w:type="gramStart"/>
      <w:r w:rsidRPr="0060634B">
        <w:rPr>
          <w:rFonts w:hint="eastAsia"/>
        </w:rPr>
        <w:t>研</w:t>
      </w:r>
      <w:proofErr w:type="gramEnd"/>
      <w:r w:rsidRPr="0060634B">
        <w:rPr>
          <w:rFonts w:hint="eastAsia"/>
        </w:rPr>
        <w:t>商，</w:t>
      </w:r>
      <w:proofErr w:type="gramStart"/>
      <w:r w:rsidRPr="0060634B">
        <w:rPr>
          <w:rFonts w:hint="eastAsia"/>
        </w:rPr>
        <w:t>該部並於</w:t>
      </w:r>
      <w:proofErr w:type="gramEnd"/>
      <w:r w:rsidRPr="0060634B">
        <w:rPr>
          <w:rFonts w:hint="eastAsia"/>
        </w:rPr>
        <w:t>同年4月10日召開「</w:t>
      </w:r>
      <w:proofErr w:type="gramStart"/>
      <w:r w:rsidRPr="0060634B">
        <w:rPr>
          <w:rFonts w:hint="eastAsia"/>
        </w:rPr>
        <w:t>研</w:t>
      </w:r>
      <w:proofErr w:type="gramEnd"/>
      <w:r w:rsidRPr="0060634B">
        <w:rPr>
          <w:rFonts w:hint="eastAsia"/>
        </w:rPr>
        <w:t>商道路交通管理處罰條例第85條之1適用民眾檢舉交通違規案件事宜」會議</w:t>
      </w:r>
      <w:r w:rsidRPr="0060634B">
        <w:rPr>
          <w:rFonts w:hint="eastAsia"/>
          <w:lang w:bidi="en-US"/>
        </w:rPr>
        <w:t>，惟並未有共識。交通部</w:t>
      </w:r>
      <w:proofErr w:type="gramStart"/>
      <w:r w:rsidRPr="0060634B">
        <w:rPr>
          <w:rFonts w:hint="eastAsia"/>
          <w:lang w:bidi="en-US"/>
        </w:rPr>
        <w:t>嗣</w:t>
      </w:r>
      <w:proofErr w:type="gramEnd"/>
      <w:r w:rsidRPr="0060634B">
        <w:rPr>
          <w:rFonts w:hint="eastAsia"/>
          <w:lang w:bidi="en-US"/>
        </w:rPr>
        <w:t>於同年</w:t>
      </w:r>
      <w:proofErr w:type="gramStart"/>
      <w:r w:rsidRPr="0060634B">
        <w:rPr>
          <w:rFonts w:hint="eastAsia"/>
          <w:lang w:bidi="en-US"/>
        </w:rPr>
        <w:t>5月22日函發會議</w:t>
      </w:r>
      <w:proofErr w:type="gramEnd"/>
      <w:r w:rsidRPr="0060634B">
        <w:rPr>
          <w:rFonts w:hint="eastAsia"/>
          <w:lang w:bidi="en-US"/>
        </w:rPr>
        <w:t>紀錄，請警政署參考與會單會意見提出相關修法建議條文，以利後續邀會</w:t>
      </w:r>
      <w:proofErr w:type="gramStart"/>
      <w:r w:rsidRPr="0060634B">
        <w:rPr>
          <w:rFonts w:hint="eastAsia"/>
          <w:lang w:bidi="en-US"/>
        </w:rPr>
        <w:t>研</w:t>
      </w:r>
      <w:proofErr w:type="gramEnd"/>
      <w:r w:rsidRPr="0060634B">
        <w:rPr>
          <w:rFonts w:hint="eastAsia"/>
          <w:lang w:bidi="en-US"/>
        </w:rPr>
        <w:t>商</w:t>
      </w:r>
      <w:r w:rsidRPr="0060634B">
        <w:rPr>
          <w:rFonts w:hint="eastAsia"/>
        </w:rPr>
        <w:t>。</w:t>
      </w:r>
    </w:p>
    <w:p w:rsidR="002201E5" w:rsidRPr="0060634B" w:rsidRDefault="002201E5" w:rsidP="002201E5">
      <w:pPr>
        <w:pStyle w:val="3"/>
        <w:kinsoku w:val="0"/>
        <w:overflowPunct/>
        <w:autoSpaceDE/>
        <w:autoSpaceDN/>
        <w:ind w:left="1484" w:hanging="697"/>
      </w:pPr>
      <w:r w:rsidRPr="0060634B">
        <w:rPr>
          <w:rFonts w:hint="eastAsia"/>
        </w:rPr>
        <w:t>綜上，警政署執行本</w:t>
      </w:r>
      <w:r w:rsidR="00DE7115">
        <w:rPr>
          <w:rFonts w:hint="eastAsia"/>
        </w:rPr>
        <w:t>處罰條例第85條之1第2項</w:t>
      </w:r>
      <w:r w:rsidRPr="0060634B">
        <w:rPr>
          <w:rFonts w:hint="eastAsia"/>
        </w:rPr>
        <w:t>同一違規事實連續舉發之適用，依該條文</w:t>
      </w:r>
      <w:proofErr w:type="gramStart"/>
      <w:r w:rsidRPr="0060634B">
        <w:rPr>
          <w:rFonts w:hint="eastAsia"/>
        </w:rPr>
        <w:t>載明係指</w:t>
      </w:r>
      <w:proofErr w:type="gramEnd"/>
      <w:r w:rsidRPr="0060634B">
        <w:rPr>
          <w:rFonts w:hint="eastAsia"/>
        </w:rPr>
        <w:t>第7條之2之逕行舉發案件情形，得連續舉發，惟對民眾依本處罰條例第7條之1對於同一違規事實提出連續檢舉，經警察機關</w:t>
      </w:r>
      <w:r w:rsidR="001E6EFF" w:rsidRPr="001F762A">
        <w:rPr>
          <w:rFonts w:hint="eastAsia"/>
        </w:rPr>
        <w:t>據之為</w:t>
      </w:r>
      <w:r w:rsidRPr="0060634B">
        <w:rPr>
          <w:rFonts w:hint="eastAsia"/>
        </w:rPr>
        <w:t>逕行連續舉發，除存有法規適用之疑義外，於各公路主管機關於裁決時亦有不同之認定標準，另由交通部與該署召開「</w:t>
      </w:r>
      <w:proofErr w:type="gramStart"/>
      <w:r w:rsidRPr="0060634B">
        <w:rPr>
          <w:rFonts w:hint="eastAsia"/>
        </w:rPr>
        <w:t>研</w:t>
      </w:r>
      <w:proofErr w:type="gramEnd"/>
      <w:r w:rsidRPr="0060634B">
        <w:rPr>
          <w:rFonts w:hint="eastAsia"/>
        </w:rPr>
        <w:t>商道路交通管理處罰條例第85條之1適用民眾檢舉交通違規案件事宜」會議仍未有共識，尚待後續邀會</w:t>
      </w:r>
      <w:proofErr w:type="gramStart"/>
      <w:r w:rsidRPr="0060634B">
        <w:rPr>
          <w:rFonts w:hint="eastAsia"/>
        </w:rPr>
        <w:t>研</w:t>
      </w:r>
      <w:proofErr w:type="gramEnd"/>
      <w:r w:rsidRPr="0060634B">
        <w:rPr>
          <w:rFonts w:hint="eastAsia"/>
        </w:rPr>
        <w:t>商，且本處罰條例並非以處罰為目的，其目的仍在導正錯誤交通認知，惟因民眾連續檢舉</w:t>
      </w:r>
      <w:r w:rsidRPr="0060634B">
        <w:rPr>
          <w:rFonts w:hint="eastAsia"/>
        </w:rPr>
        <w:lastRenderedPageBreak/>
        <w:t>同一行為事實，遭警察機關連續舉發，已累積多張罰單，然違規行為人卻無從知悉，顯有失交通管理</w:t>
      </w:r>
      <w:proofErr w:type="gramStart"/>
      <w:r w:rsidRPr="0060634B">
        <w:rPr>
          <w:rFonts w:hint="eastAsia"/>
        </w:rPr>
        <w:t>措</w:t>
      </w:r>
      <w:proofErr w:type="gramEnd"/>
      <w:r w:rsidRPr="0060634B">
        <w:rPr>
          <w:rFonts w:hint="eastAsia"/>
        </w:rPr>
        <w:t>施中之教育宣導原則，允應檢討改善。</w:t>
      </w:r>
    </w:p>
    <w:p w:rsidR="002201E5" w:rsidRPr="0060634B" w:rsidRDefault="002201E5" w:rsidP="002201E5">
      <w:pPr>
        <w:pStyle w:val="2"/>
        <w:kinsoku w:val="0"/>
        <w:overflowPunct/>
        <w:autoSpaceDE/>
        <w:autoSpaceDN/>
        <w:ind w:left="1134" w:hanging="697"/>
      </w:pPr>
      <w:r w:rsidRPr="0060634B">
        <w:rPr>
          <w:rFonts w:hint="eastAsia"/>
          <w:b/>
        </w:rPr>
        <w:t>交通部暨公路主管機關對於民眾陳述後經裁決之交通違規事件，近3年仍有5,108件、4,426件及1,636件提起行政訴訟案，顯見</w:t>
      </w:r>
      <w:r w:rsidR="000D3F20">
        <w:rPr>
          <w:rFonts w:hint="eastAsia"/>
          <w:b/>
        </w:rPr>
        <w:t>所給予</w:t>
      </w:r>
      <w:r w:rsidRPr="0060634B">
        <w:rPr>
          <w:rFonts w:hint="eastAsia"/>
          <w:b/>
        </w:rPr>
        <w:t>當事人</w:t>
      </w:r>
      <w:r w:rsidR="00CC164D">
        <w:rPr>
          <w:rFonts w:hint="eastAsia"/>
          <w:b/>
        </w:rPr>
        <w:t>之</w:t>
      </w:r>
      <w:r w:rsidRPr="0060634B">
        <w:rPr>
          <w:rFonts w:hint="eastAsia"/>
          <w:b/>
        </w:rPr>
        <w:t>折服率仍有提升改善空間，</w:t>
      </w:r>
      <w:proofErr w:type="gramStart"/>
      <w:r w:rsidRPr="0060634B">
        <w:rPr>
          <w:rFonts w:hint="eastAsia"/>
          <w:b/>
        </w:rPr>
        <w:t>嗣</w:t>
      </w:r>
      <w:proofErr w:type="gramEnd"/>
      <w:r w:rsidRPr="0060634B">
        <w:rPr>
          <w:rFonts w:hint="eastAsia"/>
          <w:b/>
        </w:rPr>
        <w:t>經行政法院判決有22.28%、7.48%及2.44%判決原處分撤銷(</w:t>
      </w:r>
      <w:proofErr w:type="gramStart"/>
      <w:r w:rsidRPr="0060634B">
        <w:rPr>
          <w:rFonts w:hint="eastAsia"/>
          <w:b/>
        </w:rPr>
        <w:t>含另為</w:t>
      </w:r>
      <w:proofErr w:type="gramEnd"/>
      <w:r w:rsidRPr="0060634B">
        <w:rPr>
          <w:rFonts w:hint="eastAsia"/>
          <w:b/>
        </w:rPr>
        <w:t>處分)，雖已有逐年降低之趨勢，惟已造成民眾及機關之困擾，且對於行政法院之判決結果亦無做成案例宣導，致人民與機關間之爭</w:t>
      </w:r>
      <w:proofErr w:type="gramStart"/>
      <w:r w:rsidRPr="0060634B">
        <w:rPr>
          <w:rFonts w:hint="eastAsia"/>
          <w:b/>
        </w:rPr>
        <w:t>訟</w:t>
      </w:r>
      <w:proofErr w:type="gramEnd"/>
      <w:r w:rsidRPr="0060634B">
        <w:rPr>
          <w:rFonts w:hint="eastAsia"/>
          <w:b/>
        </w:rPr>
        <w:t>一再發生，浪費行政資源，允應檢討改善。</w:t>
      </w:r>
    </w:p>
    <w:p w:rsidR="002201E5" w:rsidRPr="0060634B" w:rsidRDefault="002201E5" w:rsidP="002201E5">
      <w:pPr>
        <w:pStyle w:val="3"/>
        <w:kinsoku w:val="0"/>
        <w:overflowPunct/>
        <w:autoSpaceDE/>
        <w:autoSpaceDN/>
        <w:ind w:left="1498" w:hanging="697"/>
      </w:pPr>
      <w:r w:rsidRPr="0060634B">
        <w:rPr>
          <w:rFonts w:hint="eastAsia"/>
        </w:rPr>
        <w:t>依本處罰條例第87條規定略</w:t>
      </w:r>
      <w:proofErr w:type="gramStart"/>
      <w:r w:rsidRPr="0060634B">
        <w:rPr>
          <w:rFonts w:hint="eastAsia"/>
        </w:rPr>
        <w:t>以</w:t>
      </w:r>
      <w:proofErr w:type="gramEnd"/>
      <w:r w:rsidRPr="0060634B">
        <w:rPr>
          <w:rFonts w:hint="eastAsia"/>
        </w:rPr>
        <w:t>，受處分人不服第8條或第37條第5項處罰之裁決者，應以原處分機關為被告，</w:t>
      </w:r>
      <w:proofErr w:type="gramStart"/>
      <w:r w:rsidRPr="0060634B">
        <w:rPr>
          <w:rFonts w:hint="eastAsia"/>
        </w:rPr>
        <w:t>逕</w:t>
      </w:r>
      <w:proofErr w:type="gramEnd"/>
      <w:r w:rsidRPr="0060634B">
        <w:rPr>
          <w:rFonts w:hint="eastAsia"/>
        </w:rPr>
        <w:t>向管轄之地方法院行政訴訟庭提起訴訟…</w:t>
      </w:r>
      <w:proofErr w:type="gramStart"/>
      <w:r w:rsidRPr="0060634B">
        <w:rPr>
          <w:rFonts w:hint="eastAsia"/>
        </w:rPr>
        <w:t>…</w:t>
      </w:r>
      <w:proofErr w:type="gramEnd"/>
      <w:r w:rsidRPr="0060634B">
        <w:rPr>
          <w:rFonts w:hint="eastAsia"/>
        </w:rPr>
        <w:t>。據</w:t>
      </w:r>
      <w:r w:rsidR="00067086">
        <w:rPr>
          <w:rFonts w:hint="eastAsia"/>
        </w:rPr>
        <w:t>本處理細則</w:t>
      </w:r>
      <w:r w:rsidRPr="0060634B">
        <w:rPr>
          <w:rFonts w:hint="eastAsia"/>
        </w:rPr>
        <w:t>第65條規定略</w:t>
      </w:r>
      <w:proofErr w:type="gramStart"/>
      <w:r w:rsidRPr="0060634B">
        <w:rPr>
          <w:rFonts w:hint="eastAsia"/>
        </w:rPr>
        <w:t>以</w:t>
      </w:r>
      <w:proofErr w:type="gramEnd"/>
      <w:r w:rsidRPr="0060634B">
        <w:rPr>
          <w:rFonts w:hint="eastAsia"/>
        </w:rPr>
        <w:t>，違反道路交通管理事件，受處分人不服處罰，依法提起行政訴訟者，處罰機關應於收受法院送達之起訴狀</w:t>
      </w:r>
      <w:proofErr w:type="gramStart"/>
      <w:r w:rsidRPr="0060634B">
        <w:rPr>
          <w:rFonts w:hint="eastAsia"/>
        </w:rPr>
        <w:t>繕</w:t>
      </w:r>
      <w:proofErr w:type="gramEnd"/>
      <w:r w:rsidRPr="0060634B">
        <w:rPr>
          <w:rFonts w:hint="eastAsia"/>
        </w:rPr>
        <w:t>本後20日內，由承辦人會同法制單位或專責人員就原裁決是否合法妥當重新審查…</w:t>
      </w:r>
      <w:proofErr w:type="gramStart"/>
      <w:r w:rsidRPr="0060634B">
        <w:rPr>
          <w:rFonts w:hint="eastAsia"/>
        </w:rPr>
        <w:t>…</w:t>
      </w:r>
      <w:proofErr w:type="gramEnd"/>
      <w:r w:rsidRPr="0060634B">
        <w:rPr>
          <w:rFonts w:hint="eastAsia"/>
        </w:rPr>
        <w:t>。</w:t>
      </w:r>
      <w:proofErr w:type="gramStart"/>
      <w:r w:rsidRPr="0060634B">
        <w:rPr>
          <w:rFonts w:hint="eastAsia"/>
        </w:rPr>
        <w:t>查受處分</w:t>
      </w:r>
      <w:proofErr w:type="gramEnd"/>
      <w:r w:rsidRPr="0060634B">
        <w:rPr>
          <w:rFonts w:hint="eastAsia"/>
        </w:rPr>
        <w:t>人提起行政訴訟前，若以民眾檢舉案件為例，需依本處罰條例第7條之1及</w:t>
      </w:r>
      <w:r w:rsidR="00067086">
        <w:rPr>
          <w:rFonts w:hAnsi="Times New Roman" w:hint="eastAsia"/>
          <w:bCs w:val="0"/>
          <w:kern w:val="2"/>
          <w:szCs w:val="20"/>
        </w:rPr>
        <w:t>本處理細則</w:t>
      </w:r>
      <w:r w:rsidRPr="0060634B">
        <w:rPr>
          <w:rFonts w:hAnsi="Times New Roman" w:hint="eastAsia"/>
          <w:bCs w:val="0"/>
          <w:kern w:val="2"/>
          <w:szCs w:val="20"/>
        </w:rPr>
        <w:t>第22條</w:t>
      </w:r>
      <w:r w:rsidRPr="0060634B">
        <w:rPr>
          <w:rFonts w:hint="eastAsia"/>
        </w:rPr>
        <w:t>規定，先經警察查證屬實才可舉發，</w:t>
      </w:r>
      <w:proofErr w:type="gramStart"/>
      <w:r w:rsidRPr="0060634B">
        <w:rPr>
          <w:rFonts w:hint="eastAsia"/>
        </w:rPr>
        <w:t>嗣</w:t>
      </w:r>
      <w:proofErr w:type="gramEnd"/>
      <w:r w:rsidRPr="0060634B">
        <w:rPr>
          <w:rFonts w:hint="eastAsia"/>
        </w:rPr>
        <w:t>依</w:t>
      </w:r>
      <w:r w:rsidRPr="0060634B">
        <w:rPr>
          <w:rFonts w:hAnsi="Times New Roman" w:hint="eastAsia"/>
          <w:bCs w:val="0"/>
          <w:kern w:val="2"/>
          <w:szCs w:val="20"/>
        </w:rPr>
        <w:t>本處罰條例第8條規定，違反本條例之行為於裁決前，應給予違規行為人陳述之機會。</w:t>
      </w:r>
      <w:r w:rsidR="00067086">
        <w:rPr>
          <w:rFonts w:hAnsi="Times New Roman" w:hint="eastAsia"/>
          <w:bCs w:val="0"/>
          <w:kern w:val="2"/>
          <w:szCs w:val="20"/>
        </w:rPr>
        <w:t>本處理細則</w:t>
      </w:r>
      <w:r w:rsidRPr="0060634B">
        <w:rPr>
          <w:rFonts w:hAnsi="Times New Roman" w:hint="eastAsia"/>
          <w:bCs w:val="0"/>
          <w:kern w:val="2"/>
          <w:szCs w:val="20"/>
        </w:rPr>
        <w:t>第43條規定，違反道路交通管理事件之裁決，應參酌舉發違規事實、違反情節、稽查人員處理意見及受處分人陳述，依基準表裁處，不得枉縱或偏頗。由上開說明可知，受處分人提起行政訴訟前，需先經警察查證、受處分人陳述及公路管理機關裁處確定後，取得裁決書，若受處分人仍不服始進入行政訴訟階段。</w:t>
      </w:r>
    </w:p>
    <w:p w:rsidR="002201E5" w:rsidRPr="0060634B" w:rsidRDefault="002201E5" w:rsidP="002201E5">
      <w:pPr>
        <w:pStyle w:val="3"/>
        <w:kinsoku w:val="0"/>
        <w:overflowPunct/>
        <w:autoSpaceDE/>
        <w:autoSpaceDN/>
        <w:ind w:left="1498" w:hanging="697"/>
        <w:rPr>
          <w:rFonts w:hAnsi="Times New Roman"/>
          <w:bCs w:val="0"/>
          <w:kern w:val="2"/>
          <w:szCs w:val="20"/>
        </w:rPr>
      </w:pPr>
      <w:r w:rsidRPr="0060634B">
        <w:rPr>
          <w:rFonts w:hint="eastAsia"/>
        </w:rPr>
        <w:lastRenderedPageBreak/>
        <w:t>經</w:t>
      </w:r>
      <w:r w:rsidRPr="0060634B">
        <w:rPr>
          <w:rFonts w:hAnsi="Times New Roman" w:hint="eastAsia"/>
          <w:bCs w:val="0"/>
          <w:kern w:val="2"/>
          <w:szCs w:val="20"/>
        </w:rPr>
        <w:t>查，</w:t>
      </w:r>
      <w:r w:rsidRPr="0060634B">
        <w:rPr>
          <w:rFonts w:hAnsi="Times New Roman"/>
          <w:bCs w:val="0"/>
          <w:kern w:val="2"/>
          <w:szCs w:val="20"/>
        </w:rPr>
        <w:tab/>
      </w:r>
      <w:r w:rsidRPr="0060634B">
        <w:rPr>
          <w:rFonts w:hAnsi="Times New Roman" w:hint="eastAsia"/>
          <w:bCs w:val="0"/>
          <w:kern w:val="2"/>
          <w:szCs w:val="20"/>
        </w:rPr>
        <w:t>交通部暨公路主管機關對於民眾陳述後經裁決之交通違規事件，近3年仍有5,108件、4,426件及1,636件提起行政訴訟案，顯見警察之查證、機關之裁決，仍無法令受處分人信服，</w:t>
      </w:r>
      <w:r w:rsidR="00205128">
        <w:rPr>
          <w:rFonts w:hAnsi="Times New Roman" w:hint="eastAsia"/>
          <w:bCs w:val="0"/>
          <w:kern w:val="2"/>
          <w:szCs w:val="20"/>
        </w:rPr>
        <w:t>亦即所予</w:t>
      </w:r>
      <w:r w:rsidRPr="0060634B">
        <w:rPr>
          <w:rFonts w:hAnsi="Times New Roman" w:hint="eastAsia"/>
          <w:bCs w:val="0"/>
          <w:kern w:val="2"/>
          <w:szCs w:val="20"/>
        </w:rPr>
        <w:t>當事人折服率仍有提升空間，</w:t>
      </w:r>
      <w:proofErr w:type="gramStart"/>
      <w:r w:rsidRPr="0060634B">
        <w:rPr>
          <w:rFonts w:hAnsi="Times New Roman" w:hint="eastAsia"/>
          <w:bCs w:val="0"/>
          <w:kern w:val="2"/>
          <w:szCs w:val="20"/>
        </w:rPr>
        <w:t>嗣</w:t>
      </w:r>
      <w:proofErr w:type="gramEnd"/>
      <w:r w:rsidRPr="0060634B">
        <w:rPr>
          <w:rFonts w:hAnsi="Times New Roman" w:hint="eastAsia"/>
          <w:bCs w:val="0"/>
          <w:kern w:val="2"/>
          <w:szCs w:val="20"/>
        </w:rPr>
        <w:t>經行政法院判決有22.28%、7.48%及2.44%判決原處分撤銷(</w:t>
      </w:r>
      <w:proofErr w:type="gramStart"/>
      <w:r w:rsidRPr="0060634B">
        <w:rPr>
          <w:rFonts w:hAnsi="Times New Roman" w:hint="eastAsia"/>
          <w:bCs w:val="0"/>
          <w:kern w:val="2"/>
          <w:szCs w:val="20"/>
        </w:rPr>
        <w:t>含另為</w:t>
      </w:r>
      <w:proofErr w:type="gramEnd"/>
      <w:r w:rsidRPr="0060634B">
        <w:rPr>
          <w:rFonts w:hAnsi="Times New Roman" w:hint="eastAsia"/>
          <w:bCs w:val="0"/>
          <w:kern w:val="2"/>
          <w:szCs w:val="20"/>
        </w:rPr>
        <w:t>處分)，雖已有逐年降低之趨勢，惟</w:t>
      </w:r>
      <w:r w:rsidR="009D259C">
        <w:rPr>
          <w:rFonts w:hAnsi="Times New Roman" w:hint="eastAsia"/>
          <w:bCs w:val="0"/>
          <w:kern w:val="2"/>
          <w:szCs w:val="20"/>
        </w:rPr>
        <w:t>多少已</w:t>
      </w:r>
      <w:r w:rsidRPr="0060634B">
        <w:rPr>
          <w:rFonts w:hAnsi="Times New Roman" w:hint="eastAsia"/>
          <w:bCs w:val="0"/>
          <w:kern w:val="2"/>
          <w:szCs w:val="20"/>
        </w:rPr>
        <w:t>造成民</w:t>
      </w:r>
      <w:r w:rsidR="009D259C">
        <w:rPr>
          <w:rFonts w:hAnsi="Times New Roman" w:hint="eastAsia"/>
          <w:bCs w:val="0"/>
          <w:kern w:val="2"/>
          <w:szCs w:val="20"/>
        </w:rPr>
        <w:t>怨</w:t>
      </w:r>
      <w:r w:rsidRPr="0060634B">
        <w:rPr>
          <w:rFonts w:hAnsi="Times New Roman" w:hint="eastAsia"/>
          <w:bCs w:val="0"/>
          <w:kern w:val="2"/>
          <w:szCs w:val="20"/>
        </w:rPr>
        <w:t>及行政法院之</w:t>
      </w:r>
      <w:r w:rsidR="009D259C">
        <w:rPr>
          <w:rFonts w:hAnsi="Times New Roman" w:hint="eastAsia"/>
          <w:bCs w:val="0"/>
          <w:kern w:val="2"/>
          <w:szCs w:val="20"/>
        </w:rPr>
        <w:t>負擔與</w:t>
      </w:r>
      <w:r w:rsidRPr="0060634B">
        <w:rPr>
          <w:rFonts w:hAnsi="Times New Roman" w:hint="eastAsia"/>
          <w:bCs w:val="0"/>
          <w:kern w:val="2"/>
          <w:szCs w:val="20"/>
        </w:rPr>
        <w:t>困擾</w:t>
      </w:r>
      <w:r w:rsidR="00CC164D">
        <w:rPr>
          <w:rStyle w:val="afc"/>
        </w:rPr>
        <w:footnoteReference w:id="2"/>
      </w:r>
      <w:r w:rsidR="009D259C">
        <w:rPr>
          <w:rFonts w:hAnsi="Times New Roman" w:hint="eastAsia"/>
          <w:bCs w:val="0"/>
          <w:kern w:val="2"/>
          <w:szCs w:val="20"/>
        </w:rPr>
        <w:t>，對此</w:t>
      </w:r>
      <w:r w:rsidR="009D259C" w:rsidRPr="009D259C">
        <w:rPr>
          <w:rFonts w:hAnsi="Times New Roman" w:hint="eastAsia"/>
          <w:bCs w:val="0"/>
          <w:kern w:val="2"/>
          <w:szCs w:val="20"/>
        </w:rPr>
        <w:t>所予當事人折服率提升</w:t>
      </w:r>
      <w:r w:rsidR="009D259C">
        <w:rPr>
          <w:rFonts w:hAnsi="Times New Roman" w:hint="eastAsia"/>
          <w:bCs w:val="0"/>
          <w:kern w:val="2"/>
          <w:szCs w:val="20"/>
        </w:rPr>
        <w:t>部分，允宜持續加強對裁決人員</w:t>
      </w:r>
      <w:proofErr w:type="gramStart"/>
      <w:r w:rsidR="009D259C">
        <w:rPr>
          <w:rFonts w:hAnsi="Times New Roman" w:hint="eastAsia"/>
          <w:bCs w:val="0"/>
          <w:kern w:val="2"/>
          <w:szCs w:val="20"/>
        </w:rPr>
        <w:t>適法妥切</w:t>
      </w:r>
      <w:proofErr w:type="gramEnd"/>
      <w:r w:rsidR="009D259C">
        <w:rPr>
          <w:rFonts w:hAnsi="Times New Roman" w:hint="eastAsia"/>
          <w:bCs w:val="0"/>
          <w:kern w:val="2"/>
          <w:szCs w:val="20"/>
        </w:rPr>
        <w:t>之要求</w:t>
      </w:r>
      <w:r w:rsidRPr="0060634B">
        <w:rPr>
          <w:rFonts w:hAnsi="Times New Roman" w:hint="eastAsia"/>
          <w:bCs w:val="0"/>
          <w:kern w:val="2"/>
          <w:szCs w:val="20"/>
        </w:rPr>
        <w:t>。</w:t>
      </w:r>
    </w:p>
    <w:p w:rsidR="002201E5" w:rsidRPr="0060634B" w:rsidRDefault="002201E5" w:rsidP="002201E5">
      <w:pPr>
        <w:pStyle w:val="3"/>
        <w:kinsoku w:val="0"/>
        <w:overflowPunct/>
        <w:autoSpaceDE/>
        <w:autoSpaceDN/>
        <w:ind w:left="1498" w:hanging="697"/>
      </w:pPr>
      <w:r w:rsidRPr="0060634B">
        <w:rPr>
          <w:rFonts w:hint="eastAsia"/>
        </w:rPr>
        <w:t>據交通部陳稱，遭司法機關撤銷處分案件所持法律見解僅具有個案拘束力，尚無法據以作為其他案件判決之依據，且各法庭見解不一，該部公路總局所屬各區監理所及各直轄市處罰機關現有定期召開交通違規業務工作圈會議等相關會議之機制，共同</w:t>
      </w:r>
      <w:proofErr w:type="gramStart"/>
      <w:r w:rsidRPr="0060634B">
        <w:rPr>
          <w:rFonts w:hint="eastAsia"/>
        </w:rPr>
        <w:t>研</w:t>
      </w:r>
      <w:proofErr w:type="gramEnd"/>
      <w:r w:rsidRPr="0060634B">
        <w:rPr>
          <w:rFonts w:hint="eastAsia"/>
        </w:rPr>
        <w:t>商相關法令爭議、實務作業方式等，對於法院如有判決錯誤情形，並建請管轄機關應依法提起上訴等情；且有關個案判決事實認定，往往涉各法院自由心證及個別個案事實難以完全一致，並非均具有全國一致性之性質或可歸納遵從之準則，恐尚不宜做成案例宣導。若遭司法機關撤銷處分案件如具有全國一致性之性質，經該部公路總局所屬各區監理所及各直轄市處罰機關定期召開交通違規業務工作圈會議等相關會議</w:t>
      </w:r>
      <w:proofErr w:type="gramStart"/>
      <w:r w:rsidRPr="0060634B">
        <w:rPr>
          <w:rFonts w:hint="eastAsia"/>
        </w:rPr>
        <w:t>研</w:t>
      </w:r>
      <w:proofErr w:type="gramEnd"/>
      <w:r w:rsidRPr="0060634B">
        <w:rPr>
          <w:rFonts w:hint="eastAsia"/>
        </w:rPr>
        <w:t>商獲致共識者，該部公路總</w:t>
      </w:r>
      <w:r w:rsidRPr="0060634B">
        <w:rPr>
          <w:rFonts w:hint="eastAsia"/>
        </w:rPr>
        <w:lastRenderedPageBreak/>
        <w:t>局將依其性質報請該部統一解釋，或建議修正相關法令，或修正相關電腦作業系統，或由各機關依會議結論辦理相關作業。由上開說明可知，交通部雖稱，遭司法機關撤銷處分案件所持法律見解僅具有個案拘束力，尚無法據以作為其他案件判決之依據，且各法庭見解不一，故對判決結果並無做成案例宣導，惟</w:t>
      </w:r>
      <w:r w:rsidR="00D86F66">
        <w:rPr>
          <w:rFonts w:hint="eastAsia"/>
        </w:rPr>
        <w:t>對</w:t>
      </w:r>
      <w:r w:rsidR="00D86F66" w:rsidRPr="00D86F66">
        <w:rPr>
          <w:rFonts w:hint="eastAsia"/>
        </w:rPr>
        <w:t>法院</w:t>
      </w:r>
      <w:r w:rsidR="00D86F66">
        <w:rPr>
          <w:rFonts w:hint="eastAsia"/>
        </w:rPr>
        <w:t>判決已有</w:t>
      </w:r>
      <w:r w:rsidR="00D86F66" w:rsidRPr="00D86F66">
        <w:rPr>
          <w:rFonts w:hint="eastAsia"/>
        </w:rPr>
        <w:t>全國一致之性質或可歸納遵從之準則</w:t>
      </w:r>
      <w:r w:rsidR="00D86F66">
        <w:rPr>
          <w:rFonts w:hint="eastAsia"/>
        </w:rPr>
        <w:t>，或經</w:t>
      </w:r>
      <w:r w:rsidR="00D86F66" w:rsidRPr="00D86F66">
        <w:rPr>
          <w:rFonts w:hint="eastAsia"/>
        </w:rPr>
        <w:t>工作圈會議</w:t>
      </w:r>
      <w:proofErr w:type="gramStart"/>
      <w:r w:rsidR="00D86F66" w:rsidRPr="00D86F66">
        <w:rPr>
          <w:rFonts w:hint="eastAsia"/>
        </w:rPr>
        <w:t>研</w:t>
      </w:r>
      <w:proofErr w:type="gramEnd"/>
      <w:r w:rsidR="00D86F66" w:rsidRPr="00D86F66">
        <w:rPr>
          <w:rFonts w:hint="eastAsia"/>
        </w:rPr>
        <w:t>商獲致共識者，</w:t>
      </w:r>
      <w:proofErr w:type="gramStart"/>
      <w:r w:rsidRPr="0060634B">
        <w:rPr>
          <w:rFonts w:hint="eastAsia"/>
        </w:rPr>
        <w:t>該部並無</w:t>
      </w:r>
      <w:proofErr w:type="gramEnd"/>
      <w:r w:rsidRPr="0060634B">
        <w:rPr>
          <w:rFonts w:hint="eastAsia"/>
        </w:rPr>
        <w:t>相對應之</w:t>
      </w:r>
      <w:r w:rsidR="00D86F66">
        <w:rPr>
          <w:rFonts w:hint="eastAsia"/>
        </w:rPr>
        <w:t>宣導作為</w:t>
      </w:r>
      <w:r w:rsidRPr="0060634B">
        <w:rPr>
          <w:rFonts w:hint="eastAsia"/>
        </w:rPr>
        <w:t>，致人民與機關間之爭</w:t>
      </w:r>
      <w:proofErr w:type="gramStart"/>
      <w:r w:rsidRPr="0060634B">
        <w:rPr>
          <w:rFonts w:hint="eastAsia"/>
        </w:rPr>
        <w:t>訟</w:t>
      </w:r>
      <w:proofErr w:type="gramEnd"/>
      <w:r w:rsidRPr="0060634B">
        <w:rPr>
          <w:rFonts w:hint="eastAsia"/>
        </w:rPr>
        <w:t>一再發生。</w:t>
      </w:r>
    </w:p>
    <w:p w:rsidR="002201E5" w:rsidRPr="0060634B" w:rsidRDefault="002201E5" w:rsidP="002201E5">
      <w:pPr>
        <w:pStyle w:val="3"/>
        <w:kinsoku w:val="0"/>
        <w:overflowPunct/>
        <w:autoSpaceDE/>
        <w:autoSpaceDN/>
        <w:ind w:left="1498" w:hanging="697"/>
      </w:pPr>
      <w:r w:rsidRPr="0060634B">
        <w:rPr>
          <w:rFonts w:hint="eastAsia"/>
        </w:rPr>
        <w:t>綜上，交通部暨公路主管機關對於民眾陳述後經裁決之交通違規事件，以民眾檢舉案為例，受處分人提起行政訴訟前，需先經警察查證及公路管理機關裁處確定等程序，</w:t>
      </w:r>
      <w:proofErr w:type="gramStart"/>
      <w:r w:rsidRPr="0060634B">
        <w:rPr>
          <w:rFonts w:hint="eastAsia"/>
        </w:rPr>
        <w:t>然查近</w:t>
      </w:r>
      <w:proofErr w:type="gramEnd"/>
      <w:r w:rsidRPr="0060634B">
        <w:rPr>
          <w:rFonts w:hint="eastAsia"/>
        </w:rPr>
        <w:t>3年仍有5,108件、4,426件及1,636件提起行政訴訟案，顯見警察之查證及機關之裁決，仍無法令受處分人信服，而提起行政訴訟，故針對</w:t>
      </w:r>
      <w:r w:rsidR="000D3F20" w:rsidRPr="000D3F20">
        <w:rPr>
          <w:rFonts w:hint="eastAsia"/>
        </w:rPr>
        <w:t>所給予</w:t>
      </w:r>
      <w:r w:rsidRPr="0060634B">
        <w:rPr>
          <w:rFonts w:hint="eastAsia"/>
        </w:rPr>
        <w:t>當事人折服率仍有提升之必要，又經行政法院判決有22.28%、7.48%及2.44%判決原處分撤銷(</w:t>
      </w:r>
      <w:proofErr w:type="gramStart"/>
      <w:r w:rsidRPr="0060634B">
        <w:rPr>
          <w:rFonts w:hint="eastAsia"/>
        </w:rPr>
        <w:t>含另為</w:t>
      </w:r>
      <w:proofErr w:type="gramEnd"/>
      <w:r w:rsidRPr="0060634B">
        <w:rPr>
          <w:rFonts w:hint="eastAsia"/>
        </w:rPr>
        <w:t>處分)，雖已有逐年降低之趨勢，</w:t>
      </w:r>
      <w:r w:rsidR="0082141A" w:rsidRPr="0082141A">
        <w:rPr>
          <w:rFonts w:hint="eastAsia"/>
        </w:rPr>
        <w:t>惟多少已造成民怨及行政法院之負擔與困擾，對此所予當事人折服率提升部分，允宜持續加強對裁決人員</w:t>
      </w:r>
      <w:proofErr w:type="gramStart"/>
      <w:r w:rsidR="0082141A" w:rsidRPr="0082141A">
        <w:rPr>
          <w:rFonts w:hint="eastAsia"/>
        </w:rPr>
        <w:t>適法妥切</w:t>
      </w:r>
      <w:proofErr w:type="gramEnd"/>
      <w:r w:rsidR="0082141A" w:rsidRPr="0082141A">
        <w:rPr>
          <w:rFonts w:hint="eastAsia"/>
        </w:rPr>
        <w:t>之要求</w:t>
      </w:r>
      <w:r w:rsidRPr="0060634B">
        <w:rPr>
          <w:rFonts w:hint="eastAsia"/>
        </w:rPr>
        <w:t>，</w:t>
      </w:r>
      <w:r w:rsidR="0082141A">
        <w:rPr>
          <w:rFonts w:hint="eastAsia"/>
        </w:rPr>
        <w:t>又</w:t>
      </w:r>
      <w:r w:rsidRPr="0060634B">
        <w:rPr>
          <w:rFonts w:hint="eastAsia"/>
        </w:rPr>
        <w:t>交通部稱，遭司法機關撤銷處分案件所持法律見解僅具有個案拘束力，尚無法據以作為其他案件判決之依據，故對判決結果並無做成案例宣導，</w:t>
      </w:r>
      <w:r w:rsidR="0082141A" w:rsidRPr="0082141A">
        <w:rPr>
          <w:rFonts w:hint="eastAsia"/>
        </w:rPr>
        <w:t>惟對法院判決已有全國一致之性質或可歸納遵從之準則，或經工作圈會議</w:t>
      </w:r>
      <w:proofErr w:type="gramStart"/>
      <w:r w:rsidR="0082141A" w:rsidRPr="0082141A">
        <w:rPr>
          <w:rFonts w:hint="eastAsia"/>
        </w:rPr>
        <w:t>研</w:t>
      </w:r>
      <w:proofErr w:type="gramEnd"/>
      <w:r w:rsidR="0082141A" w:rsidRPr="0082141A">
        <w:rPr>
          <w:rFonts w:hint="eastAsia"/>
        </w:rPr>
        <w:t>商獲致共識者，</w:t>
      </w:r>
      <w:proofErr w:type="gramStart"/>
      <w:r w:rsidR="0082141A" w:rsidRPr="0082141A">
        <w:rPr>
          <w:rFonts w:hint="eastAsia"/>
        </w:rPr>
        <w:t>該部並無</w:t>
      </w:r>
      <w:proofErr w:type="gramEnd"/>
      <w:r w:rsidR="0082141A" w:rsidRPr="0082141A">
        <w:rPr>
          <w:rFonts w:hint="eastAsia"/>
        </w:rPr>
        <w:t>相對應之宣導作為，</w:t>
      </w:r>
      <w:r w:rsidRPr="0060634B">
        <w:rPr>
          <w:rFonts w:hint="eastAsia"/>
        </w:rPr>
        <w:t>致人民與機關間之爭</w:t>
      </w:r>
      <w:proofErr w:type="gramStart"/>
      <w:r w:rsidRPr="0060634B">
        <w:rPr>
          <w:rFonts w:hint="eastAsia"/>
        </w:rPr>
        <w:t>訟</w:t>
      </w:r>
      <w:proofErr w:type="gramEnd"/>
      <w:r w:rsidRPr="0060634B">
        <w:rPr>
          <w:rFonts w:hint="eastAsia"/>
        </w:rPr>
        <w:t>一再發生，相關機關允應</w:t>
      </w:r>
      <w:proofErr w:type="gramStart"/>
      <w:r w:rsidRPr="0060634B">
        <w:rPr>
          <w:rFonts w:hint="eastAsia"/>
        </w:rPr>
        <w:t>研</w:t>
      </w:r>
      <w:proofErr w:type="gramEnd"/>
      <w:r w:rsidRPr="0060634B">
        <w:rPr>
          <w:rFonts w:hint="eastAsia"/>
        </w:rPr>
        <w:t>擬降低民眾提起行政訴訟件數之改善作為，以避免浪費行政資源，允應檢討改善。</w:t>
      </w:r>
    </w:p>
    <w:p w:rsidR="002201E5" w:rsidRPr="0060634B" w:rsidRDefault="002201E5" w:rsidP="002201E5">
      <w:pPr>
        <w:pStyle w:val="2"/>
        <w:kinsoku w:val="0"/>
        <w:overflowPunct/>
        <w:autoSpaceDE/>
        <w:autoSpaceDN/>
        <w:ind w:left="1134" w:hanging="697"/>
      </w:pPr>
      <w:r w:rsidRPr="0060634B">
        <w:rPr>
          <w:rFonts w:hint="eastAsia"/>
          <w:b/>
        </w:rPr>
        <w:lastRenderedPageBreak/>
        <w:t>交通部暨公路主管機關係以加強道路交通管理，維護交通秩序，確保交通安全為主要職掌，然對於停車供需失衡之迫切性，由民眾檢舉交通違規態樣，係以「違規停車」為</w:t>
      </w:r>
      <w:proofErr w:type="gramStart"/>
      <w:r w:rsidRPr="0060634B">
        <w:rPr>
          <w:rFonts w:hint="eastAsia"/>
          <w:b/>
        </w:rPr>
        <w:t>大宗，</w:t>
      </w:r>
      <w:proofErr w:type="gramEnd"/>
      <w:r w:rsidRPr="0060634B">
        <w:rPr>
          <w:rFonts w:hint="eastAsia"/>
          <w:b/>
        </w:rPr>
        <w:t>近3年高達319,817件（45.82%）、713,538件（52.30%）及686,284件（59.89%），已嚴重影響民眾生活，且有逐年增加趨勢，顯見都會區之停車問題日益嚴重，對此停車問題應予正視及妥善因應，以善盡主管機關之職責。</w:t>
      </w:r>
    </w:p>
    <w:p w:rsidR="002201E5" w:rsidRPr="005C092F" w:rsidRDefault="002201E5" w:rsidP="002201E5">
      <w:pPr>
        <w:pStyle w:val="3"/>
        <w:kinsoku w:val="0"/>
        <w:overflowPunct/>
        <w:autoSpaceDE/>
        <w:autoSpaceDN/>
        <w:ind w:left="1498" w:hanging="697"/>
      </w:pPr>
      <w:r w:rsidRPr="0060634B">
        <w:rPr>
          <w:rFonts w:hint="eastAsia"/>
        </w:rPr>
        <w:t>由民眾檢舉交通違規態樣，係以「違規停車」為</w:t>
      </w:r>
      <w:proofErr w:type="gramStart"/>
      <w:r w:rsidRPr="0060634B">
        <w:rPr>
          <w:rFonts w:hint="eastAsia"/>
        </w:rPr>
        <w:t>大宗，</w:t>
      </w:r>
      <w:proofErr w:type="gramEnd"/>
      <w:r w:rsidRPr="0060634B">
        <w:rPr>
          <w:rFonts w:hint="eastAsia"/>
        </w:rPr>
        <w:t>近3年高達319,817件（占45.82%）、713,538件（占52.30%）及686,284件（占59.89%），已嚴重影響民眾生活、破壞彼此情誼，且有逐年增加之趨勢，另依交通部最新公布之公路類重要參考指標統計表顯示，我國近3年（104、105及106年）機動車輛登記數(按車種分)小客車分別為6,574、6,666及6,763千輛，小貨車分別為904、912及919千輛，且機動車輛新增掛牌數(按車種分)小客車分別為379.0、393.8及396.2千輛，小貨車分別為29.4、34.4及36.3千輛，</w:t>
      </w:r>
      <w:proofErr w:type="gramStart"/>
      <w:r w:rsidRPr="0060634B">
        <w:rPr>
          <w:rFonts w:hint="eastAsia"/>
        </w:rPr>
        <w:t>然近3年</w:t>
      </w:r>
      <w:proofErr w:type="gramEnd"/>
      <w:r w:rsidRPr="0060634B">
        <w:rPr>
          <w:rFonts w:hint="eastAsia"/>
        </w:rPr>
        <w:t>統計全國汽車停車位僅460、479及494萬個停車位，停車之供需比約僅61.5%、63.3%及64.3%，</w:t>
      </w:r>
      <w:proofErr w:type="gramStart"/>
      <w:r w:rsidRPr="0060634B">
        <w:rPr>
          <w:rFonts w:hint="eastAsia"/>
        </w:rPr>
        <w:t>已有顯不足</w:t>
      </w:r>
      <w:proofErr w:type="gramEnd"/>
      <w:r w:rsidRPr="0060634B">
        <w:rPr>
          <w:rFonts w:hint="eastAsia"/>
        </w:rPr>
        <w:t>。另以臺北市為例</w:t>
      </w:r>
      <w:r w:rsidR="00C85FA7">
        <w:rPr>
          <w:rFonts w:hint="eastAsia"/>
        </w:rPr>
        <w:t>，</w:t>
      </w:r>
      <w:r w:rsidRPr="0060634B">
        <w:rPr>
          <w:rFonts w:hint="eastAsia"/>
        </w:rPr>
        <w:t>停車供需比約僅八成，故當車潮離峰時段，停車需求增加，顯見都會區之停車問題日益嚴重，另由最新公布之公路類重要參考指標統計及近日媒體報報導可知</w:t>
      </w:r>
      <w:r w:rsidR="00B40613">
        <w:rPr>
          <w:rStyle w:val="afc"/>
        </w:rPr>
        <w:footnoteReference w:id="3"/>
      </w:r>
      <w:r w:rsidRPr="005C092F">
        <w:rPr>
          <w:rFonts w:hint="eastAsia"/>
        </w:rPr>
        <w:t>，去年民眾新購車輛掛牌數創歷年新高，對此車輛數增加，</w:t>
      </w:r>
      <w:r w:rsidR="001412D5" w:rsidRPr="00307B05">
        <w:rPr>
          <w:rFonts w:hint="eastAsia"/>
        </w:rPr>
        <w:t>相對於停車</w:t>
      </w:r>
      <w:r w:rsidR="001412D5" w:rsidRPr="00307B05">
        <w:rPr>
          <w:rFonts w:hint="eastAsia"/>
        </w:rPr>
        <w:lastRenderedPageBreak/>
        <w:t>需求提升</w:t>
      </w:r>
      <w:r w:rsidRPr="00307B05">
        <w:rPr>
          <w:rFonts w:hint="eastAsia"/>
        </w:rPr>
        <w:t>，致民眾檢舉違規停車件數逐年攀升，</w:t>
      </w:r>
      <w:r w:rsidR="001412D5" w:rsidRPr="00307B05">
        <w:rPr>
          <w:rFonts w:hint="eastAsia"/>
        </w:rPr>
        <w:t>公路主管機關應予重視</w:t>
      </w:r>
      <w:r w:rsidRPr="00307B05">
        <w:rPr>
          <w:rFonts w:hint="eastAsia"/>
        </w:rPr>
        <w:t>都會區之停車問題日益嚴重</w:t>
      </w:r>
      <w:r w:rsidR="001412D5" w:rsidRPr="00307B05">
        <w:rPr>
          <w:rFonts w:hint="eastAsia"/>
        </w:rPr>
        <w:t>之議題</w:t>
      </w:r>
      <w:r w:rsidRPr="00307B05">
        <w:rPr>
          <w:rFonts w:hint="eastAsia"/>
        </w:rPr>
        <w:t>。</w:t>
      </w:r>
    </w:p>
    <w:p w:rsidR="002201E5" w:rsidRPr="0060634B" w:rsidRDefault="002201E5" w:rsidP="002201E5">
      <w:pPr>
        <w:pStyle w:val="3"/>
        <w:kinsoku w:val="0"/>
        <w:overflowPunct/>
        <w:autoSpaceDE/>
        <w:autoSpaceDN/>
        <w:ind w:left="1498" w:hanging="697"/>
      </w:pPr>
      <w:r w:rsidRPr="0060634B">
        <w:rPr>
          <w:rFonts w:hint="eastAsia"/>
        </w:rPr>
        <w:t>據警政署10</w:t>
      </w:r>
      <w:r w:rsidRPr="0060634B">
        <w:t>6</w:t>
      </w:r>
      <w:r w:rsidRPr="0060634B">
        <w:rPr>
          <w:rFonts w:hint="eastAsia"/>
        </w:rPr>
        <w:t>年9月18日新聞稿指稱：「…</w:t>
      </w:r>
      <w:proofErr w:type="gramStart"/>
      <w:r w:rsidRPr="0060634B">
        <w:rPr>
          <w:rFonts w:hint="eastAsia"/>
        </w:rPr>
        <w:t>…</w:t>
      </w:r>
      <w:proofErr w:type="gramEnd"/>
      <w:r w:rsidRPr="0060634B">
        <w:rPr>
          <w:rFonts w:hint="eastAsia"/>
        </w:rPr>
        <w:t>停車空間供需失調所導致，憑交通執法取締並無法解決問題，徒增工作負荷及警民紛爭。內政部警政署將持續要求各警察機關主動協調停車主管機關、消防、工務機關就違規停車熱點重新會</w:t>
      </w:r>
      <w:proofErr w:type="gramStart"/>
      <w:r w:rsidRPr="0060634B">
        <w:rPr>
          <w:rFonts w:hint="eastAsia"/>
        </w:rPr>
        <w:t>勘</w:t>
      </w:r>
      <w:proofErr w:type="gramEnd"/>
      <w:r w:rsidRPr="0060634B">
        <w:rPr>
          <w:rFonts w:hint="eastAsia"/>
        </w:rPr>
        <w:t>，於不影響交通、公共安全之情形下，考量當地民眾停車需求，檢討相關標誌、標線設置之必要性，妥善規劃停車空間，以</w:t>
      </w:r>
      <w:r w:rsidR="00CF15A0">
        <w:rPr>
          <w:rFonts w:hint="eastAsia"/>
        </w:rPr>
        <w:t>舒緩</w:t>
      </w:r>
      <w:r w:rsidRPr="0060634B">
        <w:rPr>
          <w:rFonts w:hint="eastAsia"/>
        </w:rPr>
        <w:t>違規停車問題。」</w:t>
      </w:r>
      <w:r w:rsidRPr="0060634B">
        <w:rPr>
          <w:rFonts w:hint="eastAsia"/>
          <w:lang w:bidi="en-US"/>
        </w:rPr>
        <w:t>由該署新聞稿可知，民眾檢舉交通違規熱點多為「違規停車」嚴重路段，究其原因應為都會區部分路段停車空間供需嚴重失調所致，並非以加強執法或提高巡邏密度能夠解決，</w:t>
      </w:r>
      <w:proofErr w:type="gramStart"/>
      <w:r w:rsidRPr="0060634B">
        <w:rPr>
          <w:rFonts w:hint="eastAsia"/>
          <w:lang w:bidi="en-US"/>
        </w:rPr>
        <w:t>僅徒增</w:t>
      </w:r>
      <w:proofErr w:type="gramEnd"/>
      <w:r w:rsidRPr="0060634B">
        <w:rPr>
          <w:rFonts w:hint="eastAsia"/>
          <w:lang w:bidi="en-US"/>
        </w:rPr>
        <w:t>警務負荷及警民紛爭。</w:t>
      </w:r>
    </w:p>
    <w:p w:rsidR="002201E5" w:rsidRPr="0060634B" w:rsidRDefault="002201E5" w:rsidP="002201E5">
      <w:pPr>
        <w:pStyle w:val="3"/>
        <w:kinsoku w:val="0"/>
        <w:overflowPunct/>
        <w:autoSpaceDE/>
        <w:autoSpaceDN/>
        <w:ind w:left="1498" w:hanging="697"/>
      </w:pPr>
      <w:r w:rsidRPr="0060634B">
        <w:rPr>
          <w:rFonts w:hint="eastAsia"/>
        </w:rPr>
        <w:t>據交通部函復，依據地方制度法第18條、第19條規定，直轄市、縣(市)交通之規劃及管理，為直轄市、縣(市)自治事項，故有關各地區停車空間</w:t>
      </w:r>
      <w:proofErr w:type="gramStart"/>
      <w:r w:rsidRPr="0060634B">
        <w:rPr>
          <w:rFonts w:hint="eastAsia"/>
        </w:rPr>
        <w:t>規劃係涉當地</w:t>
      </w:r>
      <w:proofErr w:type="gramEnd"/>
      <w:r w:rsidRPr="0060634B">
        <w:rPr>
          <w:rFonts w:hint="eastAsia"/>
        </w:rPr>
        <w:t>地方政府整體交通規劃。</w:t>
      </w:r>
      <w:proofErr w:type="gramStart"/>
      <w:r w:rsidRPr="0060634B">
        <w:rPr>
          <w:rFonts w:hint="eastAsia"/>
        </w:rPr>
        <w:t>惟</w:t>
      </w:r>
      <w:proofErr w:type="gramEnd"/>
      <w:r w:rsidRPr="0060634B">
        <w:rPr>
          <w:rFonts w:hint="eastAsia"/>
        </w:rPr>
        <w:t>對於具體違規案件民眾如有反應停車空間不足情形，交通部除轉請當地地方政府及警察機關參酌，對於違規人經常反應停車空間不足之熱點，該部公路總局將責成所屬監理機關經由當地道路交通安全會報建議當地地方政府整體評估、檢討停車空間規劃設置及疏導、執法計畫。由上開說明可知，交通部暨所屬公路主管機關係以加強道路交通管理，維護交通秩序，確保交通安全為主要職掌，故應予正視停車供需失衡之迫切性。</w:t>
      </w:r>
    </w:p>
    <w:p w:rsidR="002201E5" w:rsidRPr="0060634B" w:rsidRDefault="002201E5" w:rsidP="002201E5">
      <w:pPr>
        <w:pStyle w:val="3"/>
        <w:kinsoku w:val="0"/>
        <w:overflowPunct/>
        <w:autoSpaceDE/>
        <w:autoSpaceDN/>
        <w:ind w:left="1498" w:hanging="697"/>
      </w:pPr>
      <w:r w:rsidRPr="0060634B">
        <w:rPr>
          <w:rFonts w:hint="eastAsia"/>
        </w:rPr>
        <w:t>綜上，交通部暨公路主管機關係以加強道路交通管理，維護交通秩序，確保交通安全為主要職掌，</w:t>
      </w:r>
      <w:proofErr w:type="gramStart"/>
      <w:r w:rsidRPr="0060634B">
        <w:rPr>
          <w:rFonts w:hint="eastAsia"/>
        </w:rPr>
        <w:t>然</w:t>
      </w:r>
      <w:r w:rsidRPr="0060634B">
        <w:rPr>
          <w:rFonts w:hint="eastAsia"/>
        </w:rPr>
        <w:lastRenderedPageBreak/>
        <w:t>近3年</w:t>
      </w:r>
      <w:proofErr w:type="gramEnd"/>
      <w:r w:rsidRPr="0060634B">
        <w:rPr>
          <w:rFonts w:hint="eastAsia"/>
        </w:rPr>
        <w:t>統計全國停車之供需比約僅61.5%、63.3%及64.3%，且由最新公布之公路類重要參考指標統計及近日媒體報報導可知，民眾新購車輛掛牌數創歷年新高，對此車輛數增加，相對應之停車供給卻不足，致民眾檢舉違規停車件數逐年攀升，已嚴重影響民眾生活，並傷害彼此情誼，對於停車供需失衡之迫切性，</w:t>
      </w:r>
      <w:proofErr w:type="gramStart"/>
      <w:r w:rsidRPr="0060634B">
        <w:rPr>
          <w:rFonts w:hint="eastAsia"/>
        </w:rPr>
        <w:t>凸</w:t>
      </w:r>
      <w:proofErr w:type="gramEnd"/>
      <w:r w:rsidRPr="0060634B">
        <w:rPr>
          <w:rFonts w:hint="eastAsia"/>
        </w:rPr>
        <w:t>顯都會區之停車問題日益嚴重，對此停車問題應予正視及妥善因應，以善盡主管機關之職責。</w:t>
      </w:r>
    </w:p>
    <w:p w:rsidR="00E25849" w:rsidRPr="0060634B" w:rsidRDefault="00E25849" w:rsidP="004E05A1">
      <w:pPr>
        <w:pStyle w:val="1"/>
        <w:ind w:left="2380" w:hanging="2380"/>
      </w:pPr>
      <w:r w:rsidRPr="0060634B">
        <w:br w:type="page"/>
      </w:r>
      <w:bookmarkStart w:id="60" w:name="_Toc529222689"/>
      <w:bookmarkStart w:id="61" w:name="_Toc529223111"/>
      <w:bookmarkStart w:id="62" w:name="_Toc529223862"/>
      <w:bookmarkStart w:id="63" w:name="_Toc529228265"/>
      <w:bookmarkStart w:id="64" w:name="_Toc2400395"/>
      <w:bookmarkStart w:id="65" w:name="_Toc4316189"/>
      <w:bookmarkStart w:id="66" w:name="_Toc4473330"/>
      <w:bookmarkStart w:id="67" w:name="_Toc69556897"/>
      <w:bookmarkStart w:id="68" w:name="_Toc69556946"/>
      <w:bookmarkStart w:id="69" w:name="_Toc69609820"/>
      <w:bookmarkStart w:id="70" w:name="_Toc70241816"/>
      <w:bookmarkStart w:id="71" w:name="_Toc70242205"/>
      <w:bookmarkStart w:id="72" w:name="_Toc421794875"/>
      <w:bookmarkStart w:id="73" w:name="_Toc422834160"/>
      <w:r w:rsidRPr="0060634B">
        <w:rPr>
          <w:rFonts w:hint="eastAsia"/>
        </w:rPr>
        <w:lastRenderedPageBreak/>
        <w:t>處理辦法：</w:t>
      </w:r>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p>
    <w:p w:rsidR="00E25849" w:rsidRPr="0060634B" w:rsidRDefault="00E25849">
      <w:pPr>
        <w:pStyle w:val="2"/>
      </w:pPr>
      <w:bookmarkStart w:id="74" w:name="_Toc524895649"/>
      <w:bookmarkStart w:id="75" w:name="_Toc524896195"/>
      <w:bookmarkStart w:id="76" w:name="_Toc524896225"/>
      <w:bookmarkStart w:id="77" w:name="_Toc2400396"/>
      <w:bookmarkStart w:id="78" w:name="_Toc4316190"/>
      <w:bookmarkStart w:id="79" w:name="_Toc4473331"/>
      <w:bookmarkStart w:id="80" w:name="_Toc69556898"/>
      <w:bookmarkStart w:id="81" w:name="_Toc69556947"/>
      <w:bookmarkStart w:id="82" w:name="_Toc69609821"/>
      <w:bookmarkStart w:id="83" w:name="_Toc70241817"/>
      <w:bookmarkStart w:id="84" w:name="_Toc70242206"/>
      <w:bookmarkStart w:id="85" w:name="_Toc421794877"/>
      <w:bookmarkStart w:id="86" w:name="_Toc421795443"/>
      <w:bookmarkStart w:id="87" w:name="_Toc421796024"/>
      <w:bookmarkStart w:id="88" w:name="_Toc422728959"/>
      <w:bookmarkStart w:id="89" w:name="_Toc422834162"/>
      <w:bookmarkStart w:id="90" w:name="_Toc524902735"/>
      <w:bookmarkStart w:id="91" w:name="_Toc525066149"/>
      <w:bookmarkStart w:id="92" w:name="_Toc525070840"/>
      <w:bookmarkStart w:id="93" w:name="_Toc525938380"/>
      <w:bookmarkStart w:id="94" w:name="_Toc525939228"/>
      <w:bookmarkStart w:id="95" w:name="_Toc525939733"/>
      <w:bookmarkStart w:id="96" w:name="_Toc529218273"/>
      <w:bookmarkStart w:id="97" w:name="_Toc529222690"/>
      <w:bookmarkStart w:id="98" w:name="_Toc529223112"/>
      <w:bookmarkStart w:id="99" w:name="_Toc529223863"/>
      <w:bookmarkStart w:id="100" w:name="_Toc529228266"/>
      <w:bookmarkEnd w:id="74"/>
      <w:bookmarkEnd w:id="75"/>
      <w:bookmarkEnd w:id="76"/>
      <w:r w:rsidRPr="0060634B">
        <w:rPr>
          <w:rFonts w:hint="eastAsia"/>
        </w:rPr>
        <w:t>調查意見</w:t>
      </w:r>
      <w:r w:rsidR="002201E5" w:rsidRPr="0060634B">
        <w:rPr>
          <w:rFonts w:hint="eastAsia"/>
        </w:rPr>
        <w:t>一</w:t>
      </w:r>
      <w:r w:rsidRPr="0060634B">
        <w:rPr>
          <w:rFonts w:hint="eastAsia"/>
        </w:rPr>
        <w:t>至</w:t>
      </w:r>
      <w:r w:rsidR="002201E5" w:rsidRPr="0060634B">
        <w:rPr>
          <w:rFonts w:hint="eastAsia"/>
        </w:rPr>
        <w:t>二</w:t>
      </w:r>
      <w:r w:rsidRPr="0060634B">
        <w:rPr>
          <w:rFonts w:hint="eastAsia"/>
        </w:rPr>
        <w:t>，函請</w:t>
      </w:r>
      <w:r w:rsidR="002201E5" w:rsidRPr="0060634B">
        <w:rPr>
          <w:rFonts w:hint="eastAsia"/>
        </w:rPr>
        <w:t>內政部警政署</w:t>
      </w:r>
      <w:r w:rsidRPr="0060634B">
        <w:rPr>
          <w:rFonts w:hint="eastAsia"/>
        </w:rPr>
        <w:t>確實檢討改進</w:t>
      </w:r>
      <w:proofErr w:type="gramStart"/>
      <w:r w:rsidRPr="0060634B">
        <w:rPr>
          <w:rFonts w:hint="eastAsia"/>
        </w:rPr>
        <w:t>見復。</w:t>
      </w:r>
      <w:bookmarkEnd w:id="77"/>
      <w:bookmarkEnd w:id="78"/>
      <w:bookmarkEnd w:id="79"/>
      <w:bookmarkEnd w:id="80"/>
      <w:bookmarkEnd w:id="81"/>
      <w:bookmarkEnd w:id="82"/>
      <w:bookmarkEnd w:id="83"/>
      <w:bookmarkEnd w:id="84"/>
      <w:bookmarkEnd w:id="85"/>
      <w:bookmarkEnd w:id="86"/>
      <w:bookmarkEnd w:id="87"/>
      <w:bookmarkEnd w:id="88"/>
      <w:bookmarkEnd w:id="89"/>
      <w:proofErr w:type="gramEnd"/>
    </w:p>
    <w:p w:rsidR="002201E5" w:rsidRPr="0060634B" w:rsidRDefault="002201E5" w:rsidP="002201E5">
      <w:pPr>
        <w:pStyle w:val="2"/>
      </w:pPr>
      <w:bookmarkStart w:id="101" w:name="_Toc2400397"/>
      <w:bookmarkStart w:id="102" w:name="_Toc4316191"/>
      <w:bookmarkStart w:id="103" w:name="_Toc4473332"/>
      <w:bookmarkStart w:id="104" w:name="_Toc69556901"/>
      <w:bookmarkStart w:id="105" w:name="_Toc69556950"/>
      <w:bookmarkStart w:id="106" w:name="_Toc69609824"/>
      <w:bookmarkStart w:id="107" w:name="_Toc70241822"/>
      <w:bookmarkStart w:id="108" w:name="_Toc70242211"/>
      <w:bookmarkStart w:id="109" w:name="_Toc421794881"/>
      <w:bookmarkStart w:id="110" w:name="_Toc421795447"/>
      <w:bookmarkStart w:id="111" w:name="_Toc421796028"/>
      <w:bookmarkStart w:id="112" w:name="_Toc422728963"/>
      <w:bookmarkStart w:id="113" w:name="_Toc422834166"/>
      <w:bookmarkEnd w:id="90"/>
      <w:bookmarkEnd w:id="91"/>
      <w:bookmarkEnd w:id="92"/>
      <w:bookmarkEnd w:id="93"/>
      <w:bookmarkEnd w:id="94"/>
      <w:bookmarkEnd w:id="95"/>
      <w:bookmarkEnd w:id="96"/>
      <w:bookmarkEnd w:id="97"/>
      <w:bookmarkEnd w:id="98"/>
      <w:bookmarkEnd w:id="99"/>
      <w:bookmarkEnd w:id="100"/>
      <w:r w:rsidRPr="0060634B">
        <w:rPr>
          <w:rFonts w:hint="eastAsia"/>
        </w:rPr>
        <w:t>調查意見三至四，函請交通部確實檢討改進</w:t>
      </w:r>
      <w:proofErr w:type="gramStart"/>
      <w:r w:rsidRPr="0060634B">
        <w:rPr>
          <w:rFonts w:hint="eastAsia"/>
        </w:rPr>
        <w:t>見復。</w:t>
      </w:r>
      <w:proofErr w:type="gramEnd"/>
    </w:p>
    <w:p w:rsidR="00E25849" w:rsidRPr="0060634B" w:rsidRDefault="00E25849">
      <w:pPr>
        <w:pStyle w:val="2"/>
      </w:pPr>
      <w:r w:rsidRPr="0060634B">
        <w:rPr>
          <w:rFonts w:hint="eastAsia"/>
        </w:rPr>
        <w:t>檢</w:t>
      </w:r>
      <w:proofErr w:type="gramStart"/>
      <w:r w:rsidRPr="0060634B">
        <w:rPr>
          <w:rFonts w:hint="eastAsia"/>
        </w:rPr>
        <w:t>附派查函</w:t>
      </w:r>
      <w:proofErr w:type="gramEnd"/>
      <w:r w:rsidRPr="0060634B">
        <w:rPr>
          <w:rFonts w:hint="eastAsia"/>
        </w:rPr>
        <w:t>及相關附件，送請</w:t>
      </w:r>
      <w:r w:rsidR="002201E5" w:rsidRPr="0060634B">
        <w:rPr>
          <w:rFonts w:hint="eastAsia"/>
        </w:rPr>
        <w:t>交通</w:t>
      </w:r>
      <w:r w:rsidRPr="0060634B">
        <w:rPr>
          <w:rFonts w:hint="eastAsia"/>
        </w:rPr>
        <w:t>及</w:t>
      </w:r>
      <w:r w:rsidR="002201E5" w:rsidRPr="0060634B">
        <w:rPr>
          <w:rFonts w:hint="eastAsia"/>
        </w:rPr>
        <w:t>採購</w:t>
      </w:r>
      <w:r w:rsidRPr="0060634B">
        <w:rPr>
          <w:rFonts w:hint="eastAsia"/>
        </w:rPr>
        <w:t>、</w:t>
      </w:r>
      <w:r w:rsidR="002201E5" w:rsidRPr="0060634B">
        <w:rPr>
          <w:rFonts w:hint="eastAsia"/>
        </w:rPr>
        <w:t>內政</w:t>
      </w:r>
      <w:r w:rsidRPr="0060634B">
        <w:rPr>
          <w:rFonts w:hint="eastAsia"/>
        </w:rPr>
        <w:t>及</w:t>
      </w:r>
      <w:r w:rsidR="002201E5" w:rsidRPr="0060634B">
        <w:rPr>
          <w:rFonts w:hint="eastAsia"/>
        </w:rPr>
        <w:t>少數民族</w:t>
      </w:r>
      <w:r w:rsidRPr="0060634B">
        <w:rPr>
          <w:rFonts w:hint="eastAsia"/>
        </w:rPr>
        <w:t>委員會</w:t>
      </w:r>
      <w:r w:rsidRPr="0060634B">
        <w:rPr>
          <w:rFonts w:hAnsi="標楷體" w:hint="eastAsia"/>
        </w:rPr>
        <w:t>聯席會議</w:t>
      </w:r>
      <w:r w:rsidRPr="0060634B">
        <w:rPr>
          <w:rFonts w:hint="eastAsia"/>
        </w:rPr>
        <w:t>處理。</w:t>
      </w:r>
      <w:bookmarkEnd w:id="101"/>
      <w:bookmarkEnd w:id="102"/>
      <w:bookmarkEnd w:id="103"/>
      <w:bookmarkEnd w:id="104"/>
      <w:bookmarkEnd w:id="105"/>
      <w:bookmarkEnd w:id="106"/>
      <w:bookmarkEnd w:id="107"/>
      <w:bookmarkEnd w:id="108"/>
      <w:bookmarkEnd w:id="109"/>
      <w:bookmarkEnd w:id="110"/>
      <w:bookmarkEnd w:id="111"/>
      <w:bookmarkEnd w:id="112"/>
      <w:bookmarkEnd w:id="113"/>
    </w:p>
    <w:p w:rsidR="00E25849" w:rsidRPr="0060634B" w:rsidRDefault="00E25849" w:rsidP="00AE067D">
      <w:pPr>
        <w:pStyle w:val="aa"/>
        <w:spacing w:beforeLines="50" w:before="228" w:after="0"/>
        <w:ind w:leftChars="1100" w:left="3742"/>
        <w:rPr>
          <w:rFonts w:ascii="Times New Roman"/>
          <w:b w:val="0"/>
          <w:bCs/>
          <w:snapToGrid/>
          <w:spacing w:val="0"/>
          <w:kern w:val="0"/>
          <w:sz w:val="40"/>
        </w:rPr>
      </w:pPr>
    </w:p>
    <w:p w:rsidR="00F62885" w:rsidRDefault="00F62885" w:rsidP="00F62885">
      <w:pPr>
        <w:pStyle w:val="af"/>
        <w:ind w:leftChars="1095" w:left="3725" w:firstLine="888"/>
        <w:jc w:val="left"/>
        <w:rPr>
          <w:bCs/>
          <w:spacing w:val="12"/>
          <w:sz w:val="40"/>
        </w:rPr>
      </w:pPr>
      <w:r>
        <w:rPr>
          <w:rFonts w:hint="eastAsia"/>
          <w:bCs/>
          <w:spacing w:val="12"/>
          <w:sz w:val="40"/>
        </w:rPr>
        <w:t>調查委員：</w:t>
      </w:r>
      <w:r>
        <w:rPr>
          <w:rFonts w:hint="eastAsia"/>
          <w:bCs/>
          <w:spacing w:val="12"/>
          <w:sz w:val="40"/>
        </w:rPr>
        <w:t>楊美鈴</w:t>
      </w:r>
    </w:p>
    <w:p w:rsidR="00F62885" w:rsidRDefault="00F62885" w:rsidP="00F62885">
      <w:pPr>
        <w:pStyle w:val="af"/>
        <w:ind w:leftChars="1729" w:left="5881" w:firstLine="888"/>
        <w:jc w:val="left"/>
        <w:rPr>
          <w:rFonts w:hint="eastAsia"/>
          <w:bCs/>
          <w:spacing w:val="12"/>
          <w:sz w:val="40"/>
        </w:rPr>
      </w:pPr>
    </w:p>
    <w:p w:rsidR="00F62885" w:rsidRDefault="00F62885" w:rsidP="00F62885">
      <w:pPr>
        <w:pStyle w:val="af"/>
        <w:ind w:leftChars="1720" w:left="5851" w:firstLine="888"/>
        <w:jc w:val="left"/>
        <w:rPr>
          <w:rFonts w:hint="eastAsia"/>
          <w:bCs/>
        </w:rPr>
      </w:pPr>
      <w:bookmarkStart w:id="114" w:name="_GoBack"/>
      <w:bookmarkEnd w:id="114"/>
    </w:p>
    <w:p w:rsidR="00E25849" w:rsidRPr="0060634B" w:rsidRDefault="00E25849">
      <w:pPr>
        <w:pStyle w:val="aa"/>
        <w:spacing w:before="0" w:after="0"/>
        <w:ind w:leftChars="1100" w:left="3742" w:firstLineChars="500" w:firstLine="2021"/>
        <w:rPr>
          <w:b w:val="0"/>
          <w:bCs/>
          <w:snapToGrid/>
          <w:spacing w:val="12"/>
          <w:kern w:val="0"/>
        </w:rPr>
      </w:pPr>
    </w:p>
    <w:p w:rsidR="00E25849" w:rsidRPr="0060634B" w:rsidRDefault="00E25849">
      <w:pPr>
        <w:pStyle w:val="aa"/>
        <w:spacing w:before="0" w:after="0"/>
        <w:ind w:leftChars="1100" w:left="3742" w:firstLineChars="500" w:firstLine="2021"/>
        <w:rPr>
          <w:b w:val="0"/>
          <w:bCs/>
          <w:snapToGrid/>
          <w:spacing w:val="12"/>
          <w:kern w:val="0"/>
        </w:rPr>
      </w:pPr>
    </w:p>
    <w:p w:rsidR="00E25849" w:rsidRPr="0060634B" w:rsidRDefault="00E25849">
      <w:pPr>
        <w:pStyle w:val="aa"/>
        <w:spacing w:before="0" w:after="0"/>
        <w:ind w:leftChars="1100" w:left="3742" w:firstLineChars="500" w:firstLine="2021"/>
        <w:rPr>
          <w:b w:val="0"/>
          <w:bCs/>
          <w:snapToGrid/>
          <w:spacing w:val="12"/>
          <w:kern w:val="0"/>
        </w:rPr>
      </w:pPr>
    </w:p>
    <w:p w:rsidR="00416721" w:rsidRPr="0060634B" w:rsidRDefault="00416721" w:rsidP="00F82641">
      <w:pPr>
        <w:pStyle w:val="af0"/>
        <w:kinsoku/>
        <w:autoSpaceDE w:val="0"/>
        <w:ind w:left="1020" w:hanging="1020"/>
        <w:rPr>
          <w:bCs/>
        </w:rPr>
      </w:pPr>
    </w:p>
    <w:p w:rsidR="00416721" w:rsidRPr="0060634B" w:rsidRDefault="00416721">
      <w:pPr>
        <w:widowControl/>
        <w:overflowPunct/>
        <w:autoSpaceDE/>
        <w:autoSpaceDN/>
        <w:jc w:val="left"/>
        <w:rPr>
          <w:bCs/>
          <w:kern w:val="0"/>
        </w:rPr>
      </w:pPr>
    </w:p>
    <w:sectPr w:rsidR="00416721" w:rsidRPr="0060634B" w:rsidSect="00931A10">
      <w:footerReference w:type="default" r:id="rId9"/>
      <w:pgSz w:w="11907" w:h="16840" w:code="9"/>
      <w:pgMar w:top="1701" w:right="1418" w:bottom="1418" w:left="1418" w:header="851" w:footer="851" w:gutter="227"/>
      <w:pgNumType w:start="1"/>
      <w:cols w:space="425"/>
      <w:docGrid w:type="linesAndChars" w:linePitch="457" w:charSpace="4127"/>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6315B" w:rsidRDefault="0076315B">
      <w:r>
        <w:separator/>
      </w:r>
    </w:p>
  </w:endnote>
  <w:endnote w:type="continuationSeparator" w:id="0">
    <w:p w:rsidR="0076315B" w:rsidRDefault="007631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 w:name="華康楷書體W5(P)">
    <w:altName w:val="新細明體"/>
    <w:charset w:val="88"/>
    <w:family w:val="auto"/>
    <w:pitch w:val="variable"/>
    <w:sig w:usb0="80000001" w:usb1="28091800" w:usb2="00000016" w:usb3="00000000" w:csb0="00100000" w:csb1="00000000"/>
  </w:font>
  <w:font w:name="Courier New">
    <w:panose1 w:val="020703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40C1F" w:rsidRDefault="00840C1F">
    <w:pPr>
      <w:pStyle w:val="af3"/>
      <w:framePr w:wrap="around" w:vAnchor="text" w:hAnchor="margin" w:xAlign="center" w:y="1"/>
      <w:rPr>
        <w:rStyle w:val="ac"/>
        <w:sz w:val="24"/>
      </w:rPr>
    </w:pPr>
    <w:r>
      <w:rPr>
        <w:rStyle w:val="ac"/>
        <w:sz w:val="24"/>
      </w:rPr>
      <w:fldChar w:fldCharType="begin"/>
    </w:r>
    <w:r>
      <w:rPr>
        <w:rStyle w:val="ac"/>
        <w:sz w:val="24"/>
      </w:rPr>
      <w:instrText xml:space="preserve">PAGE  </w:instrText>
    </w:r>
    <w:r>
      <w:rPr>
        <w:rStyle w:val="ac"/>
        <w:sz w:val="24"/>
      </w:rPr>
      <w:fldChar w:fldCharType="separate"/>
    </w:r>
    <w:r w:rsidR="00F62885">
      <w:rPr>
        <w:rStyle w:val="ac"/>
        <w:noProof/>
        <w:sz w:val="24"/>
      </w:rPr>
      <w:t>16</w:t>
    </w:r>
    <w:r>
      <w:rPr>
        <w:rStyle w:val="ac"/>
        <w:sz w:val="24"/>
      </w:rPr>
      <w:fldChar w:fldCharType="end"/>
    </w:r>
  </w:p>
  <w:p w:rsidR="00840C1F" w:rsidRDefault="00840C1F">
    <w:pPr>
      <w:framePr w:wrap="auto" w:hAnchor="text" w:y="-955"/>
      <w:ind w:left="640" w:right="360" w:firstLine="448"/>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6315B" w:rsidRDefault="0076315B">
      <w:r>
        <w:separator/>
      </w:r>
    </w:p>
  </w:footnote>
  <w:footnote w:type="continuationSeparator" w:id="0">
    <w:p w:rsidR="0076315B" w:rsidRDefault="0076315B">
      <w:r>
        <w:continuationSeparator/>
      </w:r>
    </w:p>
  </w:footnote>
  <w:footnote w:id="1">
    <w:p w:rsidR="002201E5" w:rsidRDefault="002201E5" w:rsidP="002201E5">
      <w:pPr>
        <w:pStyle w:val="afa"/>
      </w:pPr>
      <w:r>
        <w:rPr>
          <w:rStyle w:val="afc"/>
        </w:rPr>
        <w:footnoteRef/>
      </w:r>
      <w:r w:rsidRPr="00ED105D">
        <w:rPr>
          <w:rFonts w:hint="eastAsia"/>
        </w:rPr>
        <w:t>現行「公路監理資訊系統」</w:t>
      </w:r>
      <w:r w:rsidRPr="00163057">
        <w:rPr>
          <w:rFonts w:hint="eastAsia"/>
        </w:rPr>
        <w:t>並未針對民眾檢舉案件進行特殊註記，且現行實務上舉發機關亦未將逕行舉發案件之違規通知單移送聯送交裁決所，致未能對於交通違規案件是否係民眾檢舉進行分類及統計</w:t>
      </w:r>
      <w:r w:rsidRPr="00ED105D">
        <w:rPr>
          <w:rFonts w:hint="eastAsia"/>
        </w:rPr>
        <w:t>。</w:t>
      </w:r>
    </w:p>
  </w:footnote>
  <w:footnote w:id="2">
    <w:p w:rsidR="00CC164D" w:rsidRDefault="00CC164D" w:rsidP="00CF145E">
      <w:pPr>
        <w:pStyle w:val="afa"/>
        <w:spacing w:line="200" w:lineRule="exact"/>
        <w:ind w:left="97" w:hangingChars="44" w:hanging="97"/>
      </w:pPr>
      <w:r>
        <w:rPr>
          <w:rStyle w:val="afc"/>
        </w:rPr>
        <w:footnoteRef/>
      </w:r>
      <w:r>
        <w:rPr>
          <w:rFonts w:hAnsi="標楷體" w:hint="eastAsia"/>
        </w:rPr>
        <w:t>據</w:t>
      </w:r>
      <w:r>
        <w:rPr>
          <w:rFonts w:hAnsi="標楷體" w:hint="eastAsia"/>
        </w:rPr>
        <w:t>106</w:t>
      </w:r>
      <w:r>
        <w:rPr>
          <w:rFonts w:hAnsi="標楷體" w:hint="eastAsia"/>
        </w:rPr>
        <w:t>年</w:t>
      </w:r>
      <w:r>
        <w:rPr>
          <w:rFonts w:hAnsi="標楷體" w:hint="eastAsia"/>
        </w:rPr>
        <w:t>9</w:t>
      </w:r>
      <w:r>
        <w:rPr>
          <w:rFonts w:hAnsi="標楷體" w:hint="eastAsia"/>
        </w:rPr>
        <w:t>月</w:t>
      </w:r>
      <w:r>
        <w:rPr>
          <w:rFonts w:hAnsi="標楷體" w:hint="eastAsia"/>
        </w:rPr>
        <w:t>18</w:t>
      </w:r>
      <w:r>
        <w:rPr>
          <w:rFonts w:hAnsi="標楷體" w:hint="eastAsia"/>
        </w:rPr>
        <w:t>日</w:t>
      </w:r>
      <w:r w:rsidRPr="00DD597B">
        <w:rPr>
          <w:rFonts w:hAnsi="標楷體" w:hint="eastAsia"/>
        </w:rPr>
        <w:t>聯合報</w:t>
      </w:r>
      <w:r>
        <w:rPr>
          <w:rFonts w:hAnsi="標楷體" w:hint="eastAsia"/>
        </w:rPr>
        <w:t>報導，</w:t>
      </w:r>
      <w:r w:rsidRPr="00F92EF4">
        <w:rPr>
          <w:rFonts w:hAnsi="標楷體" w:hint="eastAsia"/>
        </w:rPr>
        <w:t>新北地院行政法庭法官表示，警方處理交通違規不是受理刑案，不能有人檢舉就開罰單；警察與裁決機關都應加強自我審查功能，依職權盡調查義務，不能以人手不足做藉口，丟問題給民眾自己去打官司討公道。許多交通違規案件裁決機關所謂調查，就是發函警方，</w:t>
      </w:r>
      <w:proofErr w:type="gramStart"/>
      <w:r w:rsidRPr="00F92EF4">
        <w:rPr>
          <w:rFonts w:hAnsi="標楷體" w:hint="eastAsia"/>
        </w:rPr>
        <w:t>警方說沒問題</w:t>
      </w:r>
      <w:proofErr w:type="gramEnd"/>
      <w:r w:rsidRPr="00F92EF4">
        <w:rPr>
          <w:rFonts w:hAnsi="標楷體" w:hint="eastAsia"/>
        </w:rPr>
        <w:t>就沒問題，申訴當然駁回；這是行政機關</w:t>
      </w:r>
      <w:proofErr w:type="gramStart"/>
      <w:r w:rsidRPr="00F92EF4">
        <w:rPr>
          <w:rFonts w:hAnsi="標楷體" w:hint="eastAsia"/>
        </w:rPr>
        <w:t>怠</w:t>
      </w:r>
      <w:proofErr w:type="gramEnd"/>
      <w:r w:rsidRPr="00F92EF4">
        <w:rPr>
          <w:rFonts w:hAnsi="標楷體" w:hint="eastAsia"/>
        </w:rPr>
        <w:t>於職權調查義務，恣意對人民裁罰，澄清責任轉由人民自力救濟負擔，根本未貫徹依法行政、保障當事人權益。並指出，行政機關不能只顧著開罰單，卻將舉證責任丟給被開單的民眾，這種作法嚴重違反憲法為保障人民基本權利，苦心設置的諸多法制程序，勢必導致民怨沸騰。另外指出，有陳訴人的罰單拖</w:t>
      </w:r>
      <w:r w:rsidRPr="00F92EF4">
        <w:rPr>
          <w:rFonts w:hAnsi="標楷體" w:hint="eastAsia"/>
        </w:rPr>
        <w:t>1</w:t>
      </w:r>
      <w:r w:rsidRPr="00F92EF4">
        <w:rPr>
          <w:rFonts w:hAnsi="標楷體" w:hint="eastAsia"/>
        </w:rPr>
        <w:t>年半才被撤銷，其他案例民眾討公道也都花上半年、數個月；最後雖勝訴撤銷罰單，也不高興，因為已耗費心力、時間、交通支出，甚至薪資；認為這種行政怠惰應懲處，民眾也可提損害賠償，</w:t>
      </w:r>
      <w:r w:rsidRPr="00C2698B">
        <w:rPr>
          <w:rFonts w:hAnsi="標楷體" w:hint="eastAsia"/>
        </w:rPr>
        <w:t>維護自己權益。</w:t>
      </w:r>
    </w:p>
  </w:footnote>
  <w:footnote w:id="3">
    <w:p w:rsidR="00B40613" w:rsidRDefault="00B40613" w:rsidP="00B40613">
      <w:pPr>
        <w:pStyle w:val="afa"/>
        <w:ind w:left="97" w:hangingChars="44" w:hanging="97"/>
      </w:pPr>
      <w:r>
        <w:rPr>
          <w:rStyle w:val="afc"/>
        </w:rPr>
        <w:footnoteRef/>
      </w:r>
      <w:r>
        <w:rPr>
          <w:rFonts w:hint="eastAsia"/>
        </w:rPr>
        <w:t>106</w:t>
      </w:r>
      <w:r>
        <w:rPr>
          <w:rFonts w:hint="eastAsia"/>
        </w:rPr>
        <w:t>年</w:t>
      </w:r>
      <w:r>
        <w:rPr>
          <w:rFonts w:hint="eastAsia"/>
        </w:rPr>
        <w:t>7</w:t>
      </w:r>
      <w:r>
        <w:rPr>
          <w:rFonts w:hint="eastAsia"/>
        </w:rPr>
        <w:t>月</w:t>
      </w:r>
      <w:r>
        <w:rPr>
          <w:rFonts w:hint="eastAsia"/>
        </w:rPr>
        <w:t>5</w:t>
      </w:r>
      <w:r>
        <w:rPr>
          <w:rFonts w:hint="eastAsia"/>
        </w:rPr>
        <w:t>日報導，</w:t>
      </w:r>
      <w:r w:rsidRPr="00830FA7">
        <w:t>經濟部今</w:t>
      </w:r>
      <w:r w:rsidRPr="00830FA7">
        <w:t>(5)</w:t>
      </w:r>
      <w:r w:rsidRPr="00830FA7">
        <w:t>日發布統計指出，受惠於政府自去年</w:t>
      </w:r>
      <w:r w:rsidRPr="00830FA7">
        <w:t>1</w:t>
      </w:r>
      <w:r w:rsidRPr="00830FA7">
        <w:t>月起推動連續</w:t>
      </w:r>
      <w:r w:rsidRPr="00830FA7">
        <w:t>5</w:t>
      </w:r>
      <w:r w:rsidRPr="00830FA7">
        <w:t>年的汽車報廢或出口享</w:t>
      </w:r>
      <w:proofErr w:type="gramStart"/>
      <w:r w:rsidRPr="00830FA7">
        <w:t>貨物稅減徵</w:t>
      </w:r>
      <w:proofErr w:type="gramEnd"/>
      <w:r w:rsidRPr="00830FA7">
        <w:t>優惠政策，加上車商促銷方案激勵，去</w:t>
      </w:r>
      <w:r w:rsidRPr="00830FA7">
        <w:t>(105)</w:t>
      </w:r>
      <w:r w:rsidRPr="00830FA7">
        <w:t>年國內</w:t>
      </w:r>
      <w:proofErr w:type="gramStart"/>
      <w:r w:rsidRPr="00830FA7">
        <w:t>新車總掛牌</w:t>
      </w:r>
      <w:proofErr w:type="gramEnd"/>
      <w:r w:rsidRPr="00830FA7">
        <w:t>數</w:t>
      </w:r>
      <w:r w:rsidRPr="00830FA7">
        <w:t>44</w:t>
      </w:r>
      <w:r w:rsidRPr="00830FA7">
        <w:t>萬輛，創近</w:t>
      </w:r>
      <w:r w:rsidRPr="00830FA7">
        <w:t>11</w:t>
      </w:r>
      <w:r w:rsidRPr="00830FA7">
        <w:t>年新高，較上年成長</w:t>
      </w:r>
      <w:r w:rsidRPr="00830FA7">
        <w:t>4.5%</w:t>
      </w:r>
      <w:r w:rsidRPr="00830FA7">
        <w:t>。其中國產汽車掛牌</w:t>
      </w:r>
      <w:r w:rsidRPr="00830FA7">
        <w:t>26.5</w:t>
      </w:r>
      <w:r w:rsidRPr="00830FA7">
        <w:t>萬輛，年增</w:t>
      </w:r>
      <w:r w:rsidRPr="00830FA7">
        <w:t>1.4%</w:t>
      </w:r>
      <w:r w:rsidRPr="00830FA7">
        <w:t>，進口車為</w:t>
      </w:r>
      <w:r w:rsidRPr="00830FA7">
        <w:t>17.4</w:t>
      </w:r>
      <w:r w:rsidRPr="00830FA7">
        <w:t>萬輛，年增</w:t>
      </w:r>
      <w:r w:rsidRPr="00830FA7">
        <w:t>9.6%</w:t>
      </w:r>
      <w:r w:rsidRPr="00830FA7">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1F43FE"/>
    <w:multiLevelType w:val="hybridMultilevel"/>
    <w:tmpl w:val="58C275BC"/>
    <w:lvl w:ilvl="0" w:tplc="74685D60">
      <w:start w:val="1"/>
      <w:numFmt w:val="taiwaneseCountingThousand"/>
      <w:pStyle w:val="a"/>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nsid w:val="0B5D1576"/>
    <w:multiLevelType w:val="hybridMultilevel"/>
    <w:tmpl w:val="143ED97A"/>
    <w:lvl w:ilvl="0" w:tplc="9E88550A">
      <w:start w:val="1"/>
      <w:numFmt w:val="taiwaneseCountingThousand"/>
      <w:lvlText w:val="(%1)"/>
      <w:lvlJc w:val="left"/>
      <w:pPr>
        <w:ind w:left="1331" w:hanging="480"/>
      </w:pPr>
      <w:rPr>
        <w:rFonts w:hint="default"/>
      </w:rPr>
    </w:lvl>
    <w:lvl w:ilvl="1" w:tplc="04090019" w:tentative="1">
      <w:start w:val="1"/>
      <w:numFmt w:val="ideographTraditional"/>
      <w:lvlText w:val="%2、"/>
      <w:lvlJc w:val="left"/>
      <w:pPr>
        <w:ind w:left="1811" w:hanging="480"/>
      </w:pPr>
    </w:lvl>
    <w:lvl w:ilvl="2" w:tplc="0409001B" w:tentative="1">
      <w:start w:val="1"/>
      <w:numFmt w:val="lowerRoman"/>
      <w:lvlText w:val="%3."/>
      <w:lvlJc w:val="right"/>
      <w:pPr>
        <w:ind w:left="2291" w:hanging="480"/>
      </w:pPr>
    </w:lvl>
    <w:lvl w:ilvl="3" w:tplc="0409000F" w:tentative="1">
      <w:start w:val="1"/>
      <w:numFmt w:val="decimal"/>
      <w:lvlText w:val="%4."/>
      <w:lvlJc w:val="left"/>
      <w:pPr>
        <w:ind w:left="2771" w:hanging="480"/>
      </w:pPr>
    </w:lvl>
    <w:lvl w:ilvl="4" w:tplc="04090019" w:tentative="1">
      <w:start w:val="1"/>
      <w:numFmt w:val="ideographTraditional"/>
      <w:lvlText w:val="%5、"/>
      <w:lvlJc w:val="left"/>
      <w:pPr>
        <w:ind w:left="3251" w:hanging="480"/>
      </w:pPr>
    </w:lvl>
    <w:lvl w:ilvl="5" w:tplc="0409001B" w:tentative="1">
      <w:start w:val="1"/>
      <w:numFmt w:val="lowerRoman"/>
      <w:lvlText w:val="%6."/>
      <w:lvlJc w:val="right"/>
      <w:pPr>
        <w:ind w:left="3731" w:hanging="480"/>
      </w:pPr>
    </w:lvl>
    <w:lvl w:ilvl="6" w:tplc="0409000F" w:tentative="1">
      <w:start w:val="1"/>
      <w:numFmt w:val="decimal"/>
      <w:lvlText w:val="%7."/>
      <w:lvlJc w:val="left"/>
      <w:pPr>
        <w:ind w:left="4211" w:hanging="480"/>
      </w:pPr>
    </w:lvl>
    <w:lvl w:ilvl="7" w:tplc="04090019" w:tentative="1">
      <w:start w:val="1"/>
      <w:numFmt w:val="ideographTraditional"/>
      <w:lvlText w:val="%8、"/>
      <w:lvlJc w:val="left"/>
      <w:pPr>
        <w:ind w:left="4691" w:hanging="480"/>
      </w:pPr>
    </w:lvl>
    <w:lvl w:ilvl="8" w:tplc="0409001B" w:tentative="1">
      <w:start w:val="1"/>
      <w:numFmt w:val="lowerRoman"/>
      <w:lvlText w:val="%9."/>
      <w:lvlJc w:val="right"/>
      <w:pPr>
        <w:ind w:left="5171" w:hanging="480"/>
      </w:pPr>
    </w:lvl>
  </w:abstractNum>
  <w:abstractNum w:abstractNumId="2">
    <w:nsid w:val="140E010C"/>
    <w:multiLevelType w:val="multilevel"/>
    <w:tmpl w:val="8DE056F0"/>
    <w:lvl w:ilvl="0">
      <w:start w:val="1"/>
      <w:numFmt w:val="ideographLegalTraditional"/>
      <w:pStyle w:val="1"/>
      <w:suff w:val="nothing"/>
      <w:lvlText w:val="%1、"/>
      <w:lvlJc w:val="left"/>
      <w:pPr>
        <w:ind w:left="2381" w:hanging="2381"/>
      </w:pPr>
      <w:rPr>
        <w:rFonts w:ascii="標楷體" w:eastAsia="標楷體" w:hint="eastAsia"/>
        <w:b w:val="0"/>
        <w:i w:val="0"/>
        <w:snapToGrid/>
        <w:spacing w:val="0"/>
        <w:w w:val="100"/>
        <w:kern w:val="32"/>
        <w:position w:val="0"/>
        <w:sz w:val="32"/>
      </w:rPr>
    </w:lvl>
    <w:lvl w:ilvl="1">
      <w:start w:val="1"/>
      <w:numFmt w:val="taiwaneseCountingThousand"/>
      <w:pStyle w:val="2"/>
      <w:suff w:val="nothing"/>
      <w:lvlText w:val="%2、"/>
      <w:lvlJc w:val="left"/>
      <w:pPr>
        <w:ind w:left="1021" w:hanging="681"/>
      </w:pPr>
      <w:rPr>
        <w:rFonts w:ascii="標楷體" w:eastAsia="標楷體" w:hint="eastAsia"/>
        <w:b w:val="0"/>
        <w:i w:val="0"/>
        <w:snapToGrid/>
        <w:spacing w:val="0"/>
        <w:w w:val="100"/>
        <w:kern w:val="32"/>
        <w:position w:val="0"/>
        <w:sz w:val="32"/>
        <w:em w:val="none"/>
        <w:lang w:val="en-US"/>
      </w:rPr>
    </w:lvl>
    <w:lvl w:ilvl="2">
      <w:start w:val="1"/>
      <w:numFmt w:val="taiwaneseCountingThousand"/>
      <w:pStyle w:val="3"/>
      <w:suff w:val="nothing"/>
      <w:lvlText w:val="(%3)"/>
      <w:lvlJc w:val="left"/>
      <w:pPr>
        <w:ind w:left="1361" w:hanging="681"/>
      </w:pPr>
      <w:rPr>
        <w:rFonts w:ascii="標楷體" w:eastAsia="標楷體" w:hint="eastAsia"/>
        <w:b w:val="0"/>
        <w:i w:val="0"/>
        <w:snapToGrid/>
        <w:spacing w:val="0"/>
        <w:w w:val="100"/>
        <w:kern w:val="32"/>
        <w:position w:val="0"/>
        <w:sz w:val="32"/>
      </w:rPr>
    </w:lvl>
    <w:lvl w:ilvl="3">
      <w:start w:val="1"/>
      <w:numFmt w:val="decimal"/>
      <w:pStyle w:val="4"/>
      <w:suff w:val="nothing"/>
      <w:lvlText w:val="%4、"/>
      <w:lvlJc w:val="left"/>
      <w:pPr>
        <w:ind w:left="1701" w:hanging="510"/>
      </w:pPr>
      <w:rPr>
        <w:rFonts w:ascii="標楷體" w:eastAsia="標楷體" w:hint="eastAsia"/>
        <w:b w:val="0"/>
        <w:i w:val="0"/>
        <w:snapToGrid/>
        <w:spacing w:val="0"/>
        <w:w w:val="100"/>
        <w:kern w:val="32"/>
        <w:position w:val="0"/>
        <w:sz w:val="32"/>
      </w:rPr>
    </w:lvl>
    <w:lvl w:ilvl="4">
      <w:start w:val="1"/>
      <w:numFmt w:val="decimal"/>
      <w:pStyle w:val="5"/>
      <w:suff w:val="nothing"/>
      <w:lvlText w:val="（%5）"/>
      <w:lvlJc w:val="left"/>
      <w:pPr>
        <w:ind w:left="2041" w:hanging="850"/>
      </w:pPr>
      <w:rPr>
        <w:rFonts w:ascii="標楷體" w:eastAsia="標楷體" w:hint="eastAsia"/>
        <w:b w:val="0"/>
        <w:i w:val="0"/>
        <w:snapToGrid/>
        <w:spacing w:val="0"/>
        <w:w w:val="100"/>
        <w:kern w:val="32"/>
        <w:position w:val="0"/>
        <w:sz w:val="32"/>
      </w:rPr>
    </w:lvl>
    <w:lvl w:ilvl="5">
      <w:start w:val="1"/>
      <w:numFmt w:val="decimal"/>
      <w:pStyle w:val="6"/>
      <w:suff w:val="nothing"/>
      <w:lvlText w:val="〈%6〉"/>
      <w:lvlJc w:val="left"/>
      <w:pPr>
        <w:ind w:left="2381" w:hanging="850"/>
      </w:pPr>
      <w:rPr>
        <w:rFonts w:ascii="標楷體" w:eastAsia="標楷體" w:hint="eastAsia"/>
        <w:b w:val="0"/>
        <w:i w:val="0"/>
        <w:snapToGrid/>
        <w:spacing w:val="0"/>
        <w:w w:val="100"/>
        <w:kern w:val="32"/>
        <w:position w:val="0"/>
        <w:sz w:val="32"/>
      </w:rPr>
    </w:lvl>
    <w:lvl w:ilvl="6">
      <w:start w:val="1"/>
      <w:numFmt w:val="decimal"/>
      <w:pStyle w:val="7"/>
      <w:suff w:val="nothing"/>
      <w:lvlText w:val="《%7》"/>
      <w:lvlJc w:val="left"/>
      <w:pPr>
        <w:ind w:left="2722" w:hanging="851"/>
      </w:pPr>
      <w:rPr>
        <w:rFonts w:ascii="標楷體" w:eastAsia="標楷體" w:hint="eastAsia"/>
        <w:b w:val="0"/>
        <w:i w:val="0"/>
        <w:snapToGrid/>
        <w:spacing w:val="0"/>
        <w:w w:val="100"/>
        <w:kern w:val="32"/>
        <w:position w:val="0"/>
        <w:sz w:val="32"/>
      </w:rPr>
    </w:lvl>
    <w:lvl w:ilvl="7">
      <w:start w:val="1"/>
      <w:numFmt w:val="decimal"/>
      <w:pStyle w:val="8"/>
      <w:suff w:val="nothing"/>
      <w:lvlText w:val="〔%8〕"/>
      <w:lvlJc w:val="left"/>
      <w:pPr>
        <w:ind w:left="3062" w:hanging="851"/>
      </w:pPr>
      <w:rPr>
        <w:rFonts w:ascii="標楷體" w:eastAsia="標楷體" w:hint="eastAsia"/>
        <w:b w:val="0"/>
        <w:i w:val="0"/>
        <w:snapToGrid/>
        <w:spacing w:val="0"/>
        <w:w w:val="100"/>
        <w:kern w:val="32"/>
        <w:position w:val="0"/>
        <w:sz w:val="32"/>
      </w:rPr>
    </w:lvl>
    <w:lvl w:ilvl="8">
      <w:start w:val="1"/>
      <w:numFmt w:val="decimal"/>
      <w:pStyle w:val="9"/>
      <w:suff w:val="nothing"/>
      <w:lvlText w:val="｛%9｝"/>
      <w:lvlJc w:val="left"/>
      <w:pPr>
        <w:ind w:left="3402" w:hanging="85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
    <w:nsid w:val="19532EFC"/>
    <w:multiLevelType w:val="hybridMultilevel"/>
    <w:tmpl w:val="7CBA69F8"/>
    <w:lvl w:ilvl="0" w:tplc="178A5CEA">
      <w:start w:val="1"/>
      <w:numFmt w:val="taiwaneseCountingThousand"/>
      <w:pStyle w:val="a0"/>
      <w:lvlText w:val="附表%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
    <w:nsid w:val="3CFE143F"/>
    <w:multiLevelType w:val="hybridMultilevel"/>
    <w:tmpl w:val="59847926"/>
    <w:lvl w:ilvl="0" w:tplc="A1A269AC">
      <w:start w:val="1"/>
      <w:numFmt w:val="decimal"/>
      <w:pStyle w:val="a1"/>
      <w:lvlText w:val="圖%1　"/>
      <w:lvlJc w:val="left"/>
      <w:pPr>
        <w:ind w:left="480" w:hanging="480"/>
      </w:pPr>
      <w:rPr>
        <w:rFonts w:ascii="標楷體" w:eastAsia="標楷體" w:hint="eastAsia"/>
        <w:b w:val="0"/>
        <w:i w:val="0"/>
        <w:sz w:val="28"/>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nsid w:val="441523EB"/>
    <w:multiLevelType w:val="hybridMultilevel"/>
    <w:tmpl w:val="05AE3BB2"/>
    <w:lvl w:ilvl="0" w:tplc="6DE67236">
      <w:start w:val="1"/>
      <w:numFmt w:val="taiwaneseCountingThousand"/>
      <w:pStyle w:val="a2"/>
      <w:lvlText w:val="附件%1、"/>
      <w:lvlJc w:val="left"/>
      <w:pPr>
        <w:ind w:left="480" w:hanging="48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nsid w:val="4A5F5684"/>
    <w:multiLevelType w:val="hybridMultilevel"/>
    <w:tmpl w:val="15E8C1C8"/>
    <w:lvl w:ilvl="0" w:tplc="93F24858">
      <w:start w:val="1"/>
      <w:numFmt w:val="decimal"/>
      <w:pStyle w:val="a3"/>
      <w:lvlText w:val="表%1　"/>
      <w:lvlJc w:val="left"/>
      <w:pPr>
        <w:ind w:left="480" w:hanging="480"/>
      </w:pPr>
      <w:rPr>
        <w:rFonts w:ascii="標楷體" w:eastAsia="標楷體" w:hint="eastAsia"/>
        <w:b w:val="0"/>
        <w:i w:val="0"/>
        <w:sz w:val="28"/>
        <w:lang w:val="en-US"/>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7">
    <w:nsid w:val="52BA770F"/>
    <w:multiLevelType w:val="hybridMultilevel"/>
    <w:tmpl w:val="F8F090FE"/>
    <w:lvl w:ilvl="0" w:tplc="E0A0E0C8">
      <w:start w:val="1"/>
      <w:numFmt w:val="upperLetter"/>
      <w:pStyle w:val="a4"/>
      <w:lvlText w:val="附錄%1、"/>
      <w:lvlJc w:val="left"/>
      <w:pPr>
        <w:ind w:left="480" w:hanging="480"/>
      </w:pPr>
      <w:rPr>
        <w:rFonts w:ascii="標楷體" w:eastAsia="標楷體" w:hint="eastAsia"/>
        <w:b w:val="0"/>
        <w:i w:val="0"/>
        <w:caps w:val="0"/>
        <w:strike w:val="0"/>
        <w:dstrike w:val="0"/>
        <w:snapToGrid/>
        <w:vanish w:val="0"/>
        <w:color w:val="000000"/>
        <w:spacing w:val="0"/>
        <w:w w:val="100"/>
        <w:kern w:val="32"/>
        <w:position w:val="0"/>
        <w:sz w:val="3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nsid w:val="537864A2"/>
    <w:multiLevelType w:val="hybridMultilevel"/>
    <w:tmpl w:val="143ED97A"/>
    <w:lvl w:ilvl="0" w:tplc="9E88550A">
      <w:start w:val="1"/>
      <w:numFmt w:val="taiwaneseCountingThousand"/>
      <w:lvlText w:val="(%1)"/>
      <w:lvlJc w:val="left"/>
      <w:pPr>
        <w:ind w:left="1331" w:hanging="480"/>
      </w:pPr>
      <w:rPr>
        <w:rFonts w:hint="default"/>
      </w:rPr>
    </w:lvl>
    <w:lvl w:ilvl="1" w:tplc="04090019" w:tentative="1">
      <w:start w:val="1"/>
      <w:numFmt w:val="ideographTraditional"/>
      <w:lvlText w:val="%2、"/>
      <w:lvlJc w:val="left"/>
      <w:pPr>
        <w:ind w:left="1811" w:hanging="480"/>
      </w:pPr>
    </w:lvl>
    <w:lvl w:ilvl="2" w:tplc="0409001B" w:tentative="1">
      <w:start w:val="1"/>
      <w:numFmt w:val="lowerRoman"/>
      <w:lvlText w:val="%3."/>
      <w:lvlJc w:val="right"/>
      <w:pPr>
        <w:ind w:left="2291" w:hanging="480"/>
      </w:pPr>
    </w:lvl>
    <w:lvl w:ilvl="3" w:tplc="0409000F" w:tentative="1">
      <w:start w:val="1"/>
      <w:numFmt w:val="decimal"/>
      <w:lvlText w:val="%4."/>
      <w:lvlJc w:val="left"/>
      <w:pPr>
        <w:ind w:left="2771" w:hanging="480"/>
      </w:pPr>
    </w:lvl>
    <w:lvl w:ilvl="4" w:tplc="04090019" w:tentative="1">
      <w:start w:val="1"/>
      <w:numFmt w:val="ideographTraditional"/>
      <w:lvlText w:val="%5、"/>
      <w:lvlJc w:val="left"/>
      <w:pPr>
        <w:ind w:left="3251" w:hanging="480"/>
      </w:pPr>
    </w:lvl>
    <w:lvl w:ilvl="5" w:tplc="0409001B" w:tentative="1">
      <w:start w:val="1"/>
      <w:numFmt w:val="lowerRoman"/>
      <w:lvlText w:val="%6."/>
      <w:lvlJc w:val="right"/>
      <w:pPr>
        <w:ind w:left="3731" w:hanging="480"/>
      </w:pPr>
    </w:lvl>
    <w:lvl w:ilvl="6" w:tplc="0409000F" w:tentative="1">
      <w:start w:val="1"/>
      <w:numFmt w:val="decimal"/>
      <w:lvlText w:val="%7."/>
      <w:lvlJc w:val="left"/>
      <w:pPr>
        <w:ind w:left="4211" w:hanging="480"/>
      </w:pPr>
    </w:lvl>
    <w:lvl w:ilvl="7" w:tplc="04090019" w:tentative="1">
      <w:start w:val="1"/>
      <w:numFmt w:val="ideographTraditional"/>
      <w:lvlText w:val="%8、"/>
      <w:lvlJc w:val="left"/>
      <w:pPr>
        <w:ind w:left="4691" w:hanging="480"/>
      </w:pPr>
    </w:lvl>
    <w:lvl w:ilvl="8" w:tplc="0409001B" w:tentative="1">
      <w:start w:val="1"/>
      <w:numFmt w:val="lowerRoman"/>
      <w:lvlText w:val="%9."/>
      <w:lvlJc w:val="right"/>
      <w:pPr>
        <w:ind w:left="5171" w:hanging="480"/>
      </w:pPr>
    </w:lvl>
  </w:abstractNum>
  <w:abstractNum w:abstractNumId="9">
    <w:nsid w:val="56E54857"/>
    <w:multiLevelType w:val="hybridMultilevel"/>
    <w:tmpl w:val="DD243272"/>
    <w:lvl w:ilvl="0" w:tplc="9D2669BE">
      <w:start w:val="1"/>
      <w:numFmt w:val="decimal"/>
      <w:pStyle w:val="a5"/>
      <w:lvlText w:val="照片%1　"/>
      <w:lvlJc w:val="left"/>
      <w:pPr>
        <w:ind w:left="480" w:hanging="480"/>
      </w:pPr>
      <w:rPr>
        <w:rFonts w:ascii="標楷體" w:eastAsia="標楷體" w:hint="eastAsia"/>
        <w:b w:val="0"/>
        <w:i w:val="0"/>
        <w:snapToGrid w:val="0"/>
        <w:spacing w:val="-10"/>
        <w:w w:val="100"/>
        <w:kern w:val="28"/>
        <w:position w:val="0"/>
        <w:sz w:val="28"/>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3"/>
  </w:num>
  <w:num w:numId="2">
    <w:abstractNumId w:val="0"/>
  </w:num>
  <w:num w:numId="3">
    <w:abstractNumId w:val="6"/>
  </w:num>
  <w:num w:numId="4">
    <w:abstractNumId w:val="4"/>
  </w:num>
  <w:num w:numId="5">
    <w:abstractNumId w:val="7"/>
  </w:num>
  <w:num w:numId="6">
    <w:abstractNumId w:val="2"/>
  </w:num>
  <w:num w:numId="7">
    <w:abstractNumId w:val="9"/>
  </w:num>
  <w:num w:numId="8">
    <w:abstractNumId w:val="5"/>
  </w:num>
  <w:num w:numId="9">
    <w:abstractNumId w:val="1"/>
  </w:num>
  <w:num w:numId="10">
    <w:abstractNumId w:val="8"/>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displayBackgroundShape/>
  <w:mirrorMargins/>
  <w:bordersDoNotSurroundHeader/>
  <w:bordersDoNotSurroundFooter/>
  <w:proofState w:spelling="clean" w:grammar="clean"/>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0"/>
  <w:drawingGridHorizontalSpacing w:val="170"/>
  <w:drawingGridVerticalSpacing w:val="457"/>
  <w:displayHorizontalDrawingGridEvery w:val="0"/>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94288"/>
    <w:rsid w:val="00001387"/>
    <w:rsid w:val="00006073"/>
    <w:rsid w:val="00006961"/>
    <w:rsid w:val="000112BF"/>
    <w:rsid w:val="00012233"/>
    <w:rsid w:val="00015D22"/>
    <w:rsid w:val="00017318"/>
    <w:rsid w:val="000246F7"/>
    <w:rsid w:val="0002510C"/>
    <w:rsid w:val="0003114D"/>
    <w:rsid w:val="0003210B"/>
    <w:rsid w:val="00033E6C"/>
    <w:rsid w:val="0003405C"/>
    <w:rsid w:val="00036D76"/>
    <w:rsid w:val="00043332"/>
    <w:rsid w:val="00043F48"/>
    <w:rsid w:val="00057F32"/>
    <w:rsid w:val="000619A5"/>
    <w:rsid w:val="00062A25"/>
    <w:rsid w:val="00067086"/>
    <w:rsid w:val="00070322"/>
    <w:rsid w:val="00073CB5"/>
    <w:rsid w:val="0007425C"/>
    <w:rsid w:val="00077553"/>
    <w:rsid w:val="000851A2"/>
    <w:rsid w:val="00085C18"/>
    <w:rsid w:val="00085FDF"/>
    <w:rsid w:val="0009352E"/>
    <w:rsid w:val="000942D4"/>
    <w:rsid w:val="00096B96"/>
    <w:rsid w:val="000A2F3F"/>
    <w:rsid w:val="000B0B4A"/>
    <w:rsid w:val="000B279A"/>
    <w:rsid w:val="000B49A0"/>
    <w:rsid w:val="000B61D2"/>
    <w:rsid w:val="000B62D1"/>
    <w:rsid w:val="000B70A7"/>
    <w:rsid w:val="000C495F"/>
    <w:rsid w:val="000C6D5D"/>
    <w:rsid w:val="000D3F20"/>
    <w:rsid w:val="000E1E1A"/>
    <w:rsid w:val="000E3C30"/>
    <w:rsid w:val="000E62D3"/>
    <w:rsid w:val="000E6431"/>
    <w:rsid w:val="000E7E65"/>
    <w:rsid w:val="000F21A5"/>
    <w:rsid w:val="000F3BEB"/>
    <w:rsid w:val="00102B9F"/>
    <w:rsid w:val="001049FF"/>
    <w:rsid w:val="00105CCB"/>
    <w:rsid w:val="00112637"/>
    <w:rsid w:val="00112ABC"/>
    <w:rsid w:val="00114085"/>
    <w:rsid w:val="00117DDA"/>
    <w:rsid w:val="0012001E"/>
    <w:rsid w:val="001215B9"/>
    <w:rsid w:val="0012161A"/>
    <w:rsid w:val="00124DF7"/>
    <w:rsid w:val="00126A55"/>
    <w:rsid w:val="00133F08"/>
    <w:rsid w:val="00134395"/>
    <w:rsid w:val="001345E6"/>
    <w:rsid w:val="001378B0"/>
    <w:rsid w:val="001412D5"/>
    <w:rsid w:val="00141A8E"/>
    <w:rsid w:val="00142E00"/>
    <w:rsid w:val="00152793"/>
    <w:rsid w:val="00153B7E"/>
    <w:rsid w:val="001545A9"/>
    <w:rsid w:val="00163057"/>
    <w:rsid w:val="001637C7"/>
    <w:rsid w:val="0016480E"/>
    <w:rsid w:val="0017336A"/>
    <w:rsid w:val="00173DCC"/>
    <w:rsid w:val="00174297"/>
    <w:rsid w:val="00180E06"/>
    <w:rsid w:val="001817B3"/>
    <w:rsid w:val="00182885"/>
    <w:rsid w:val="00183014"/>
    <w:rsid w:val="00187557"/>
    <w:rsid w:val="00194288"/>
    <w:rsid w:val="001957EA"/>
    <w:rsid w:val="001959C2"/>
    <w:rsid w:val="001A51E3"/>
    <w:rsid w:val="001A7968"/>
    <w:rsid w:val="001B1F84"/>
    <w:rsid w:val="001B2E98"/>
    <w:rsid w:val="001B3483"/>
    <w:rsid w:val="001B3C1E"/>
    <w:rsid w:val="001B4494"/>
    <w:rsid w:val="001C0D8B"/>
    <w:rsid w:val="001C0DA8"/>
    <w:rsid w:val="001D4AD7"/>
    <w:rsid w:val="001E0D8A"/>
    <w:rsid w:val="001E67BA"/>
    <w:rsid w:val="001E6EFF"/>
    <w:rsid w:val="001E74C2"/>
    <w:rsid w:val="001F5A48"/>
    <w:rsid w:val="001F6260"/>
    <w:rsid w:val="001F762A"/>
    <w:rsid w:val="00200007"/>
    <w:rsid w:val="00200788"/>
    <w:rsid w:val="002030A5"/>
    <w:rsid w:val="00203131"/>
    <w:rsid w:val="00205128"/>
    <w:rsid w:val="00211AC0"/>
    <w:rsid w:val="00212E88"/>
    <w:rsid w:val="0021325E"/>
    <w:rsid w:val="00213C9C"/>
    <w:rsid w:val="0022009E"/>
    <w:rsid w:val="002201E5"/>
    <w:rsid w:val="00223241"/>
    <w:rsid w:val="00223503"/>
    <w:rsid w:val="0022425C"/>
    <w:rsid w:val="002246DE"/>
    <w:rsid w:val="002260C6"/>
    <w:rsid w:val="002318CB"/>
    <w:rsid w:val="00241A7F"/>
    <w:rsid w:val="00252BC4"/>
    <w:rsid w:val="00254014"/>
    <w:rsid w:val="00255E3F"/>
    <w:rsid w:val="00256839"/>
    <w:rsid w:val="00257EC9"/>
    <w:rsid w:val="0026504D"/>
    <w:rsid w:val="002718AF"/>
    <w:rsid w:val="00273A2F"/>
    <w:rsid w:val="00274D20"/>
    <w:rsid w:val="00277CD5"/>
    <w:rsid w:val="00280986"/>
    <w:rsid w:val="00281ECE"/>
    <w:rsid w:val="002831C7"/>
    <w:rsid w:val="002840C6"/>
    <w:rsid w:val="00295174"/>
    <w:rsid w:val="00296172"/>
    <w:rsid w:val="00296B92"/>
    <w:rsid w:val="002A2C22"/>
    <w:rsid w:val="002A3943"/>
    <w:rsid w:val="002A5427"/>
    <w:rsid w:val="002A767E"/>
    <w:rsid w:val="002B02EB"/>
    <w:rsid w:val="002C0602"/>
    <w:rsid w:val="002C546F"/>
    <w:rsid w:val="002D5C16"/>
    <w:rsid w:val="002D61D6"/>
    <w:rsid w:val="002D7ADA"/>
    <w:rsid w:val="002E1368"/>
    <w:rsid w:val="002F1121"/>
    <w:rsid w:val="002F2071"/>
    <w:rsid w:val="002F3DFF"/>
    <w:rsid w:val="002F5E05"/>
    <w:rsid w:val="00302736"/>
    <w:rsid w:val="00307B05"/>
    <w:rsid w:val="00315A16"/>
    <w:rsid w:val="00317053"/>
    <w:rsid w:val="0032109C"/>
    <w:rsid w:val="003213B0"/>
    <w:rsid w:val="00322B45"/>
    <w:rsid w:val="00323809"/>
    <w:rsid w:val="00323D41"/>
    <w:rsid w:val="00325414"/>
    <w:rsid w:val="003302F1"/>
    <w:rsid w:val="0034470E"/>
    <w:rsid w:val="00352DB0"/>
    <w:rsid w:val="00361063"/>
    <w:rsid w:val="003632C3"/>
    <w:rsid w:val="0037094A"/>
    <w:rsid w:val="003710F1"/>
    <w:rsid w:val="00371ED3"/>
    <w:rsid w:val="00372FFC"/>
    <w:rsid w:val="003735CB"/>
    <w:rsid w:val="0037728A"/>
    <w:rsid w:val="00380B7D"/>
    <w:rsid w:val="00381A99"/>
    <w:rsid w:val="003829C2"/>
    <w:rsid w:val="003830B2"/>
    <w:rsid w:val="00384724"/>
    <w:rsid w:val="003917DF"/>
    <w:rsid w:val="003919B7"/>
    <w:rsid w:val="00391D57"/>
    <w:rsid w:val="00392292"/>
    <w:rsid w:val="00394B16"/>
    <w:rsid w:val="003B1017"/>
    <w:rsid w:val="003B3C07"/>
    <w:rsid w:val="003B4753"/>
    <w:rsid w:val="003B6775"/>
    <w:rsid w:val="003C5FE2"/>
    <w:rsid w:val="003D05FB"/>
    <w:rsid w:val="003D1B16"/>
    <w:rsid w:val="003D45BF"/>
    <w:rsid w:val="003D508A"/>
    <w:rsid w:val="003D537F"/>
    <w:rsid w:val="003D7B75"/>
    <w:rsid w:val="003E0208"/>
    <w:rsid w:val="003E4B57"/>
    <w:rsid w:val="003E6B2E"/>
    <w:rsid w:val="003F27E1"/>
    <w:rsid w:val="003F437A"/>
    <w:rsid w:val="003F5C2B"/>
    <w:rsid w:val="004023E9"/>
    <w:rsid w:val="0040454A"/>
    <w:rsid w:val="00413F83"/>
    <w:rsid w:val="0041490C"/>
    <w:rsid w:val="00416191"/>
    <w:rsid w:val="00416721"/>
    <w:rsid w:val="00421EF0"/>
    <w:rsid w:val="004224FA"/>
    <w:rsid w:val="00423D07"/>
    <w:rsid w:val="00427770"/>
    <w:rsid w:val="004424D1"/>
    <w:rsid w:val="0044346F"/>
    <w:rsid w:val="004459CF"/>
    <w:rsid w:val="00454819"/>
    <w:rsid w:val="004619D8"/>
    <w:rsid w:val="0046520A"/>
    <w:rsid w:val="004672AB"/>
    <w:rsid w:val="004714FE"/>
    <w:rsid w:val="00477BAA"/>
    <w:rsid w:val="00495053"/>
    <w:rsid w:val="00496B65"/>
    <w:rsid w:val="004A1F59"/>
    <w:rsid w:val="004A29BE"/>
    <w:rsid w:val="004A3225"/>
    <w:rsid w:val="004A33EE"/>
    <w:rsid w:val="004A3AA8"/>
    <w:rsid w:val="004B13C7"/>
    <w:rsid w:val="004B3870"/>
    <w:rsid w:val="004B778F"/>
    <w:rsid w:val="004C4F0E"/>
    <w:rsid w:val="004D141F"/>
    <w:rsid w:val="004D2742"/>
    <w:rsid w:val="004D6310"/>
    <w:rsid w:val="004E0062"/>
    <w:rsid w:val="004E05A1"/>
    <w:rsid w:val="004F081E"/>
    <w:rsid w:val="004F5B7A"/>
    <w:rsid w:val="004F5E57"/>
    <w:rsid w:val="004F6710"/>
    <w:rsid w:val="00500C3E"/>
    <w:rsid w:val="00502849"/>
    <w:rsid w:val="00504334"/>
    <w:rsid w:val="0050498D"/>
    <w:rsid w:val="005104D7"/>
    <w:rsid w:val="00510B9E"/>
    <w:rsid w:val="00514BCD"/>
    <w:rsid w:val="00515F16"/>
    <w:rsid w:val="00536BC2"/>
    <w:rsid w:val="005425E1"/>
    <w:rsid w:val="005427C5"/>
    <w:rsid w:val="00542CF6"/>
    <w:rsid w:val="00553C03"/>
    <w:rsid w:val="00563521"/>
    <w:rsid w:val="00563692"/>
    <w:rsid w:val="00563FD3"/>
    <w:rsid w:val="00571679"/>
    <w:rsid w:val="00572BBA"/>
    <w:rsid w:val="00584031"/>
    <w:rsid w:val="005844E7"/>
    <w:rsid w:val="005908B8"/>
    <w:rsid w:val="005930D7"/>
    <w:rsid w:val="0059512E"/>
    <w:rsid w:val="005A6DD2"/>
    <w:rsid w:val="005B2CE0"/>
    <w:rsid w:val="005C092F"/>
    <w:rsid w:val="005C385D"/>
    <w:rsid w:val="005D3B20"/>
    <w:rsid w:val="005D3D7E"/>
    <w:rsid w:val="005E4759"/>
    <w:rsid w:val="005E5C68"/>
    <w:rsid w:val="005E65C0"/>
    <w:rsid w:val="005F0390"/>
    <w:rsid w:val="005F5350"/>
    <w:rsid w:val="005F6F90"/>
    <w:rsid w:val="005F7703"/>
    <w:rsid w:val="0060634B"/>
    <w:rsid w:val="006072CD"/>
    <w:rsid w:val="00612023"/>
    <w:rsid w:val="00614190"/>
    <w:rsid w:val="00614FC0"/>
    <w:rsid w:val="00617BDA"/>
    <w:rsid w:val="006219A4"/>
    <w:rsid w:val="00622A99"/>
    <w:rsid w:val="00622E67"/>
    <w:rsid w:val="00626EDC"/>
    <w:rsid w:val="006352A2"/>
    <w:rsid w:val="006432C9"/>
    <w:rsid w:val="006470AA"/>
    <w:rsid w:val="006470EC"/>
    <w:rsid w:val="006534B0"/>
    <w:rsid w:val="006542D6"/>
    <w:rsid w:val="0065598E"/>
    <w:rsid w:val="00655AF2"/>
    <w:rsid w:val="00655BC5"/>
    <w:rsid w:val="006568BE"/>
    <w:rsid w:val="00656EB6"/>
    <w:rsid w:val="0066025D"/>
    <w:rsid w:val="0066091A"/>
    <w:rsid w:val="00665189"/>
    <w:rsid w:val="006773EC"/>
    <w:rsid w:val="00680504"/>
    <w:rsid w:val="00681CD9"/>
    <w:rsid w:val="00681FBD"/>
    <w:rsid w:val="00683E30"/>
    <w:rsid w:val="00687024"/>
    <w:rsid w:val="00695E22"/>
    <w:rsid w:val="006B7093"/>
    <w:rsid w:val="006B7417"/>
    <w:rsid w:val="006C0945"/>
    <w:rsid w:val="006D3691"/>
    <w:rsid w:val="006D50CB"/>
    <w:rsid w:val="006E07A4"/>
    <w:rsid w:val="006E2501"/>
    <w:rsid w:val="006E5EF0"/>
    <w:rsid w:val="006F2CE4"/>
    <w:rsid w:val="006F3563"/>
    <w:rsid w:val="006F42B9"/>
    <w:rsid w:val="006F4327"/>
    <w:rsid w:val="006F6103"/>
    <w:rsid w:val="00704E00"/>
    <w:rsid w:val="00707527"/>
    <w:rsid w:val="0071464E"/>
    <w:rsid w:val="007170D4"/>
    <w:rsid w:val="007209E7"/>
    <w:rsid w:val="00720D94"/>
    <w:rsid w:val="00722381"/>
    <w:rsid w:val="00726182"/>
    <w:rsid w:val="007272A0"/>
    <w:rsid w:val="00727635"/>
    <w:rsid w:val="00732329"/>
    <w:rsid w:val="007337CA"/>
    <w:rsid w:val="00734CE4"/>
    <w:rsid w:val="00735123"/>
    <w:rsid w:val="00736B0C"/>
    <w:rsid w:val="00741837"/>
    <w:rsid w:val="007453E6"/>
    <w:rsid w:val="00751276"/>
    <w:rsid w:val="0076315B"/>
    <w:rsid w:val="00771224"/>
    <w:rsid w:val="0077309D"/>
    <w:rsid w:val="00777329"/>
    <w:rsid w:val="007774EE"/>
    <w:rsid w:val="007802D2"/>
    <w:rsid w:val="00781822"/>
    <w:rsid w:val="00783F21"/>
    <w:rsid w:val="007853BF"/>
    <w:rsid w:val="00787159"/>
    <w:rsid w:val="0079043A"/>
    <w:rsid w:val="00791668"/>
    <w:rsid w:val="00791AA1"/>
    <w:rsid w:val="00792AAC"/>
    <w:rsid w:val="00794F5F"/>
    <w:rsid w:val="007A3793"/>
    <w:rsid w:val="007C1BA2"/>
    <w:rsid w:val="007C2B48"/>
    <w:rsid w:val="007D189D"/>
    <w:rsid w:val="007D20E9"/>
    <w:rsid w:val="007D2BDC"/>
    <w:rsid w:val="007D7881"/>
    <w:rsid w:val="007D7E3A"/>
    <w:rsid w:val="007E0E10"/>
    <w:rsid w:val="007E4768"/>
    <w:rsid w:val="007E777B"/>
    <w:rsid w:val="007E7C41"/>
    <w:rsid w:val="007E7CDC"/>
    <w:rsid w:val="007F2070"/>
    <w:rsid w:val="008053F5"/>
    <w:rsid w:val="00807AF7"/>
    <w:rsid w:val="00810198"/>
    <w:rsid w:val="00811449"/>
    <w:rsid w:val="00815DA8"/>
    <w:rsid w:val="0082025A"/>
    <w:rsid w:val="0082141A"/>
    <w:rsid w:val="0082194D"/>
    <w:rsid w:val="00823DC7"/>
    <w:rsid w:val="00826EF5"/>
    <w:rsid w:val="00830FA7"/>
    <w:rsid w:val="00831568"/>
    <w:rsid w:val="00831693"/>
    <w:rsid w:val="00837E42"/>
    <w:rsid w:val="00840104"/>
    <w:rsid w:val="00840C1F"/>
    <w:rsid w:val="00841FC5"/>
    <w:rsid w:val="00842BA7"/>
    <w:rsid w:val="00845709"/>
    <w:rsid w:val="00851894"/>
    <w:rsid w:val="008576BD"/>
    <w:rsid w:val="00860463"/>
    <w:rsid w:val="008733DA"/>
    <w:rsid w:val="00874008"/>
    <w:rsid w:val="008850E4"/>
    <w:rsid w:val="008908E0"/>
    <w:rsid w:val="00891E3F"/>
    <w:rsid w:val="008937A8"/>
    <w:rsid w:val="008939AB"/>
    <w:rsid w:val="00897EF2"/>
    <w:rsid w:val="008A12F5"/>
    <w:rsid w:val="008A786D"/>
    <w:rsid w:val="008B07FD"/>
    <w:rsid w:val="008B1587"/>
    <w:rsid w:val="008B1B01"/>
    <w:rsid w:val="008B3BCD"/>
    <w:rsid w:val="008B6DF8"/>
    <w:rsid w:val="008C106C"/>
    <w:rsid w:val="008C10F1"/>
    <w:rsid w:val="008C1926"/>
    <w:rsid w:val="008C1E99"/>
    <w:rsid w:val="008C75E7"/>
    <w:rsid w:val="008D18A2"/>
    <w:rsid w:val="008D2E07"/>
    <w:rsid w:val="008E0085"/>
    <w:rsid w:val="008E2AA6"/>
    <w:rsid w:val="008E311B"/>
    <w:rsid w:val="008F46E7"/>
    <w:rsid w:val="008F6F0B"/>
    <w:rsid w:val="00907BA7"/>
    <w:rsid w:val="00910265"/>
    <w:rsid w:val="0091064E"/>
    <w:rsid w:val="00911FC5"/>
    <w:rsid w:val="00915E32"/>
    <w:rsid w:val="00922FBB"/>
    <w:rsid w:val="009272AF"/>
    <w:rsid w:val="00931A10"/>
    <w:rsid w:val="00946383"/>
    <w:rsid w:val="00947967"/>
    <w:rsid w:val="00952F4F"/>
    <w:rsid w:val="009537E2"/>
    <w:rsid w:val="00954DB1"/>
    <w:rsid w:val="00955201"/>
    <w:rsid w:val="0095710A"/>
    <w:rsid w:val="009603F1"/>
    <w:rsid w:val="00965200"/>
    <w:rsid w:val="009668B3"/>
    <w:rsid w:val="00971471"/>
    <w:rsid w:val="00972039"/>
    <w:rsid w:val="00974459"/>
    <w:rsid w:val="009849C2"/>
    <w:rsid w:val="00984D24"/>
    <w:rsid w:val="009858EB"/>
    <w:rsid w:val="00986687"/>
    <w:rsid w:val="009B0046"/>
    <w:rsid w:val="009B730A"/>
    <w:rsid w:val="009C1440"/>
    <w:rsid w:val="009C2107"/>
    <w:rsid w:val="009C5D9E"/>
    <w:rsid w:val="009C63A3"/>
    <w:rsid w:val="009D259C"/>
    <w:rsid w:val="009D2C3E"/>
    <w:rsid w:val="009D6149"/>
    <w:rsid w:val="009E0625"/>
    <w:rsid w:val="009E0E1E"/>
    <w:rsid w:val="009E20F7"/>
    <w:rsid w:val="009E3034"/>
    <w:rsid w:val="009E549F"/>
    <w:rsid w:val="009F1F27"/>
    <w:rsid w:val="009F28A8"/>
    <w:rsid w:val="009F2DF3"/>
    <w:rsid w:val="009F473E"/>
    <w:rsid w:val="009F682A"/>
    <w:rsid w:val="00A022BE"/>
    <w:rsid w:val="00A07AB5"/>
    <w:rsid w:val="00A07BB9"/>
    <w:rsid w:val="00A11956"/>
    <w:rsid w:val="00A1740D"/>
    <w:rsid w:val="00A20ABE"/>
    <w:rsid w:val="00A22170"/>
    <w:rsid w:val="00A24C95"/>
    <w:rsid w:val="00A2599A"/>
    <w:rsid w:val="00A26094"/>
    <w:rsid w:val="00A301BF"/>
    <w:rsid w:val="00A302B2"/>
    <w:rsid w:val="00A331B4"/>
    <w:rsid w:val="00A3484E"/>
    <w:rsid w:val="00A356D3"/>
    <w:rsid w:val="00A36ADA"/>
    <w:rsid w:val="00A438D8"/>
    <w:rsid w:val="00A44448"/>
    <w:rsid w:val="00A44EB4"/>
    <w:rsid w:val="00A45123"/>
    <w:rsid w:val="00A473F5"/>
    <w:rsid w:val="00A47A6F"/>
    <w:rsid w:val="00A50B63"/>
    <w:rsid w:val="00A51185"/>
    <w:rsid w:val="00A51F9D"/>
    <w:rsid w:val="00A5416A"/>
    <w:rsid w:val="00A5708C"/>
    <w:rsid w:val="00A633EB"/>
    <w:rsid w:val="00A639F4"/>
    <w:rsid w:val="00A713B4"/>
    <w:rsid w:val="00A81A32"/>
    <w:rsid w:val="00A835BD"/>
    <w:rsid w:val="00A97B15"/>
    <w:rsid w:val="00AA42D5"/>
    <w:rsid w:val="00AB2FAB"/>
    <w:rsid w:val="00AB51E1"/>
    <w:rsid w:val="00AB5C14"/>
    <w:rsid w:val="00AB7DB9"/>
    <w:rsid w:val="00AC1482"/>
    <w:rsid w:val="00AC1EE7"/>
    <w:rsid w:val="00AC333F"/>
    <w:rsid w:val="00AC41F7"/>
    <w:rsid w:val="00AC585C"/>
    <w:rsid w:val="00AC75D8"/>
    <w:rsid w:val="00AD1925"/>
    <w:rsid w:val="00AE04D5"/>
    <w:rsid w:val="00AE067D"/>
    <w:rsid w:val="00AE32CC"/>
    <w:rsid w:val="00AF1181"/>
    <w:rsid w:val="00AF2F79"/>
    <w:rsid w:val="00AF4653"/>
    <w:rsid w:val="00AF7000"/>
    <w:rsid w:val="00AF7DB7"/>
    <w:rsid w:val="00B201E2"/>
    <w:rsid w:val="00B3293F"/>
    <w:rsid w:val="00B40613"/>
    <w:rsid w:val="00B443E4"/>
    <w:rsid w:val="00B478BC"/>
    <w:rsid w:val="00B563EA"/>
    <w:rsid w:val="00B56797"/>
    <w:rsid w:val="00B575AA"/>
    <w:rsid w:val="00B60E51"/>
    <w:rsid w:val="00B62667"/>
    <w:rsid w:val="00B63A54"/>
    <w:rsid w:val="00B64C3B"/>
    <w:rsid w:val="00B6506C"/>
    <w:rsid w:val="00B70006"/>
    <w:rsid w:val="00B77D18"/>
    <w:rsid w:val="00B8313A"/>
    <w:rsid w:val="00B90035"/>
    <w:rsid w:val="00B93503"/>
    <w:rsid w:val="00B97DDB"/>
    <w:rsid w:val="00BA31E8"/>
    <w:rsid w:val="00BA4232"/>
    <w:rsid w:val="00BA4FE4"/>
    <w:rsid w:val="00BA55E0"/>
    <w:rsid w:val="00BA6BD4"/>
    <w:rsid w:val="00BA6C7A"/>
    <w:rsid w:val="00BB370E"/>
    <w:rsid w:val="00BB3752"/>
    <w:rsid w:val="00BB61E4"/>
    <w:rsid w:val="00BB6688"/>
    <w:rsid w:val="00BC26D4"/>
    <w:rsid w:val="00BC4D92"/>
    <w:rsid w:val="00BD04FB"/>
    <w:rsid w:val="00BE0C80"/>
    <w:rsid w:val="00BF0F7F"/>
    <w:rsid w:val="00BF27F7"/>
    <w:rsid w:val="00BF2A42"/>
    <w:rsid w:val="00C011C9"/>
    <w:rsid w:val="00C01749"/>
    <w:rsid w:val="00C03D8C"/>
    <w:rsid w:val="00C055EC"/>
    <w:rsid w:val="00C07B1F"/>
    <w:rsid w:val="00C10DC9"/>
    <w:rsid w:val="00C12FB3"/>
    <w:rsid w:val="00C170B5"/>
    <w:rsid w:val="00C17341"/>
    <w:rsid w:val="00C20CE6"/>
    <w:rsid w:val="00C24EEF"/>
    <w:rsid w:val="00C25CF6"/>
    <w:rsid w:val="00C26C36"/>
    <w:rsid w:val="00C32624"/>
    <w:rsid w:val="00C32768"/>
    <w:rsid w:val="00C342C9"/>
    <w:rsid w:val="00C431DF"/>
    <w:rsid w:val="00C439BA"/>
    <w:rsid w:val="00C45378"/>
    <w:rsid w:val="00C456BD"/>
    <w:rsid w:val="00C45D70"/>
    <w:rsid w:val="00C46435"/>
    <w:rsid w:val="00C530DC"/>
    <w:rsid w:val="00C5350D"/>
    <w:rsid w:val="00C6123C"/>
    <w:rsid w:val="00C62D05"/>
    <w:rsid w:val="00C6311A"/>
    <w:rsid w:val="00C6492B"/>
    <w:rsid w:val="00C7084D"/>
    <w:rsid w:val="00C7315E"/>
    <w:rsid w:val="00C75895"/>
    <w:rsid w:val="00C83C9F"/>
    <w:rsid w:val="00C85FA7"/>
    <w:rsid w:val="00C86BA0"/>
    <w:rsid w:val="00C94840"/>
    <w:rsid w:val="00C97559"/>
    <w:rsid w:val="00CA4EE3"/>
    <w:rsid w:val="00CB027F"/>
    <w:rsid w:val="00CC0EBB"/>
    <w:rsid w:val="00CC0EF7"/>
    <w:rsid w:val="00CC164D"/>
    <w:rsid w:val="00CC6297"/>
    <w:rsid w:val="00CC7690"/>
    <w:rsid w:val="00CD1986"/>
    <w:rsid w:val="00CD54BF"/>
    <w:rsid w:val="00CE4D5C"/>
    <w:rsid w:val="00CF05DA"/>
    <w:rsid w:val="00CF145E"/>
    <w:rsid w:val="00CF15A0"/>
    <w:rsid w:val="00CF58EB"/>
    <w:rsid w:val="00CF6FEC"/>
    <w:rsid w:val="00D0106E"/>
    <w:rsid w:val="00D028B6"/>
    <w:rsid w:val="00D06383"/>
    <w:rsid w:val="00D110EB"/>
    <w:rsid w:val="00D20E85"/>
    <w:rsid w:val="00D24615"/>
    <w:rsid w:val="00D332E2"/>
    <w:rsid w:val="00D34ADD"/>
    <w:rsid w:val="00D37842"/>
    <w:rsid w:val="00D42DC2"/>
    <w:rsid w:val="00D5008D"/>
    <w:rsid w:val="00D537E1"/>
    <w:rsid w:val="00D55BB2"/>
    <w:rsid w:val="00D6091A"/>
    <w:rsid w:val="00D6605A"/>
    <w:rsid w:val="00D6695F"/>
    <w:rsid w:val="00D74BF7"/>
    <w:rsid w:val="00D75644"/>
    <w:rsid w:val="00D81656"/>
    <w:rsid w:val="00D83D87"/>
    <w:rsid w:val="00D84A6D"/>
    <w:rsid w:val="00D86A30"/>
    <w:rsid w:val="00D86F66"/>
    <w:rsid w:val="00D87B86"/>
    <w:rsid w:val="00D9486A"/>
    <w:rsid w:val="00D97CB4"/>
    <w:rsid w:val="00D97DD4"/>
    <w:rsid w:val="00DA503C"/>
    <w:rsid w:val="00DA5A8A"/>
    <w:rsid w:val="00DB26CD"/>
    <w:rsid w:val="00DB441C"/>
    <w:rsid w:val="00DB44AF"/>
    <w:rsid w:val="00DC1F58"/>
    <w:rsid w:val="00DC339B"/>
    <w:rsid w:val="00DC5D40"/>
    <w:rsid w:val="00DC69A7"/>
    <w:rsid w:val="00DD30E9"/>
    <w:rsid w:val="00DD4F47"/>
    <w:rsid w:val="00DD7FBB"/>
    <w:rsid w:val="00DE0B9F"/>
    <w:rsid w:val="00DE4238"/>
    <w:rsid w:val="00DE657F"/>
    <w:rsid w:val="00DE7115"/>
    <w:rsid w:val="00DF1218"/>
    <w:rsid w:val="00DF237F"/>
    <w:rsid w:val="00DF6462"/>
    <w:rsid w:val="00E02FA0"/>
    <w:rsid w:val="00E036DC"/>
    <w:rsid w:val="00E10454"/>
    <w:rsid w:val="00E112E5"/>
    <w:rsid w:val="00E12CC8"/>
    <w:rsid w:val="00E15352"/>
    <w:rsid w:val="00E21CC7"/>
    <w:rsid w:val="00E24D9E"/>
    <w:rsid w:val="00E25849"/>
    <w:rsid w:val="00E3197E"/>
    <w:rsid w:val="00E320EF"/>
    <w:rsid w:val="00E33736"/>
    <w:rsid w:val="00E342F8"/>
    <w:rsid w:val="00E351ED"/>
    <w:rsid w:val="00E5122E"/>
    <w:rsid w:val="00E6034B"/>
    <w:rsid w:val="00E64F95"/>
    <w:rsid w:val="00E6549E"/>
    <w:rsid w:val="00E65EDE"/>
    <w:rsid w:val="00E70F81"/>
    <w:rsid w:val="00E750FF"/>
    <w:rsid w:val="00E7653C"/>
    <w:rsid w:val="00E765F5"/>
    <w:rsid w:val="00E77055"/>
    <w:rsid w:val="00E77460"/>
    <w:rsid w:val="00E83ABC"/>
    <w:rsid w:val="00E844F2"/>
    <w:rsid w:val="00E845C9"/>
    <w:rsid w:val="00E8797E"/>
    <w:rsid w:val="00E90AD0"/>
    <w:rsid w:val="00E90E98"/>
    <w:rsid w:val="00E92FCB"/>
    <w:rsid w:val="00E9430F"/>
    <w:rsid w:val="00EA0D09"/>
    <w:rsid w:val="00EA147F"/>
    <w:rsid w:val="00EA4A27"/>
    <w:rsid w:val="00EA4FA6"/>
    <w:rsid w:val="00EB1A25"/>
    <w:rsid w:val="00EB218C"/>
    <w:rsid w:val="00EB6A6E"/>
    <w:rsid w:val="00EC27BA"/>
    <w:rsid w:val="00ED0239"/>
    <w:rsid w:val="00ED03AB"/>
    <w:rsid w:val="00ED1CD4"/>
    <w:rsid w:val="00ED1D2B"/>
    <w:rsid w:val="00ED64B5"/>
    <w:rsid w:val="00EE7CCA"/>
    <w:rsid w:val="00EF0A3F"/>
    <w:rsid w:val="00F01777"/>
    <w:rsid w:val="00F06669"/>
    <w:rsid w:val="00F07A29"/>
    <w:rsid w:val="00F16A14"/>
    <w:rsid w:val="00F27351"/>
    <w:rsid w:val="00F3351F"/>
    <w:rsid w:val="00F35B1B"/>
    <w:rsid w:val="00F362D7"/>
    <w:rsid w:val="00F37D7B"/>
    <w:rsid w:val="00F4218F"/>
    <w:rsid w:val="00F51B64"/>
    <w:rsid w:val="00F530E0"/>
    <w:rsid w:val="00F5314C"/>
    <w:rsid w:val="00F5688C"/>
    <w:rsid w:val="00F60F87"/>
    <w:rsid w:val="00F62885"/>
    <w:rsid w:val="00F635DD"/>
    <w:rsid w:val="00F6627B"/>
    <w:rsid w:val="00F7336E"/>
    <w:rsid w:val="00F734F2"/>
    <w:rsid w:val="00F75052"/>
    <w:rsid w:val="00F804D3"/>
    <w:rsid w:val="00F81CD2"/>
    <w:rsid w:val="00F82641"/>
    <w:rsid w:val="00F90F18"/>
    <w:rsid w:val="00F924FD"/>
    <w:rsid w:val="00F92EF4"/>
    <w:rsid w:val="00F937E4"/>
    <w:rsid w:val="00F94A0E"/>
    <w:rsid w:val="00F95EE7"/>
    <w:rsid w:val="00FA39E6"/>
    <w:rsid w:val="00FA5792"/>
    <w:rsid w:val="00FA67AE"/>
    <w:rsid w:val="00FA7BC9"/>
    <w:rsid w:val="00FB378E"/>
    <w:rsid w:val="00FB37F1"/>
    <w:rsid w:val="00FB47C0"/>
    <w:rsid w:val="00FB501B"/>
    <w:rsid w:val="00FB7770"/>
    <w:rsid w:val="00FC6641"/>
    <w:rsid w:val="00FC6972"/>
    <w:rsid w:val="00FD0F21"/>
    <w:rsid w:val="00FD32CC"/>
    <w:rsid w:val="00FD3B91"/>
    <w:rsid w:val="00FD576B"/>
    <w:rsid w:val="00FD579E"/>
    <w:rsid w:val="00FD6845"/>
    <w:rsid w:val="00FE1148"/>
    <w:rsid w:val="00FE4516"/>
    <w:rsid w:val="00FE64C8"/>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新細明體" w:hAnsi="Times New Roman" w:cs="Times New Roman"/>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endnote text"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6">
    <w:name w:val="Normal"/>
    <w:qFormat/>
    <w:rsid w:val="00E90E98"/>
    <w:pPr>
      <w:widowControl w:val="0"/>
      <w:overflowPunct w:val="0"/>
      <w:autoSpaceDE w:val="0"/>
      <w:autoSpaceDN w:val="0"/>
      <w:jc w:val="both"/>
    </w:pPr>
    <w:rPr>
      <w:rFonts w:ascii="標楷體" w:eastAsia="標楷體"/>
      <w:kern w:val="2"/>
      <w:sz w:val="32"/>
    </w:rPr>
  </w:style>
  <w:style w:type="paragraph" w:styleId="1">
    <w:name w:val="heading 1"/>
    <w:basedOn w:val="a6"/>
    <w:qFormat/>
    <w:rsid w:val="004F5E57"/>
    <w:pPr>
      <w:numPr>
        <w:numId w:val="6"/>
      </w:numPr>
      <w:outlineLvl w:val="0"/>
    </w:pPr>
    <w:rPr>
      <w:rFonts w:hAnsi="Arial"/>
      <w:bCs/>
      <w:kern w:val="32"/>
      <w:szCs w:val="52"/>
    </w:rPr>
  </w:style>
  <w:style w:type="paragraph" w:styleId="2">
    <w:name w:val="heading 2"/>
    <w:basedOn w:val="a6"/>
    <w:qFormat/>
    <w:rsid w:val="004F5E57"/>
    <w:pPr>
      <w:numPr>
        <w:ilvl w:val="1"/>
        <w:numId w:val="6"/>
      </w:numPr>
      <w:outlineLvl w:val="1"/>
    </w:pPr>
    <w:rPr>
      <w:rFonts w:hAnsi="Arial"/>
      <w:bCs/>
      <w:kern w:val="32"/>
      <w:szCs w:val="48"/>
    </w:rPr>
  </w:style>
  <w:style w:type="paragraph" w:styleId="3">
    <w:name w:val="heading 3"/>
    <w:basedOn w:val="a6"/>
    <w:qFormat/>
    <w:rsid w:val="004F5E57"/>
    <w:pPr>
      <w:numPr>
        <w:ilvl w:val="2"/>
        <w:numId w:val="6"/>
      </w:numPr>
      <w:outlineLvl w:val="2"/>
    </w:pPr>
    <w:rPr>
      <w:rFonts w:hAnsi="Arial"/>
      <w:bCs/>
      <w:kern w:val="32"/>
      <w:szCs w:val="36"/>
    </w:rPr>
  </w:style>
  <w:style w:type="paragraph" w:styleId="4">
    <w:name w:val="heading 4"/>
    <w:basedOn w:val="a6"/>
    <w:qFormat/>
    <w:rsid w:val="004F5E57"/>
    <w:pPr>
      <w:numPr>
        <w:ilvl w:val="3"/>
        <w:numId w:val="6"/>
      </w:numPr>
      <w:outlineLvl w:val="3"/>
    </w:pPr>
    <w:rPr>
      <w:rFonts w:hAnsi="Arial"/>
      <w:kern w:val="32"/>
      <w:szCs w:val="36"/>
    </w:rPr>
  </w:style>
  <w:style w:type="paragraph" w:styleId="5">
    <w:name w:val="heading 5"/>
    <w:basedOn w:val="a6"/>
    <w:qFormat/>
    <w:rsid w:val="004F5E57"/>
    <w:pPr>
      <w:numPr>
        <w:ilvl w:val="4"/>
        <w:numId w:val="6"/>
      </w:numPr>
      <w:outlineLvl w:val="4"/>
    </w:pPr>
    <w:rPr>
      <w:rFonts w:hAnsi="Arial"/>
      <w:bCs/>
      <w:kern w:val="32"/>
      <w:szCs w:val="36"/>
    </w:rPr>
  </w:style>
  <w:style w:type="paragraph" w:styleId="6">
    <w:name w:val="heading 6"/>
    <w:basedOn w:val="a6"/>
    <w:qFormat/>
    <w:rsid w:val="004F5E57"/>
    <w:pPr>
      <w:numPr>
        <w:ilvl w:val="5"/>
        <w:numId w:val="6"/>
      </w:numPr>
      <w:tabs>
        <w:tab w:val="left" w:pos="2094"/>
      </w:tabs>
      <w:outlineLvl w:val="5"/>
    </w:pPr>
    <w:rPr>
      <w:rFonts w:hAnsi="Arial"/>
      <w:kern w:val="32"/>
      <w:szCs w:val="36"/>
    </w:rPr>
  </w:style>
  <w:style w:type="paragraph" w:styleId="7">
    <w:name w:val="heading 7"/>
    <w:basedOn w:val="a6"/>
    <w:qFormat/>
    <w:rsid w:val="004F5E57"/>
    <w:pPr>
      <w:numPr>
        <w:ilvl w:val="6"/>
        <w:numId w:val="6"/>
      </w:numPr>
      <w:outlineLvl w:val="6"/>
    </w:pPr>
    <w:rPr>
      <w:rFonts w:hAnsi="Arial"/>
      <w:bCs/>
      <w:kern w:val="32"/>
      <w:szCs w:val="36"/>
    </w:rPr>
  </w:style>
  <w:style w:type="paragraph" w:styleId="8">
    <w:name w:val="heading 8"/>
    <w:basedOn w:val="a6"/>
    <w:qFormat/>
    <w:rsid w:val="004F5E57"/>
    <w:pPr>
      <w:numPr>
        <w:ilvl w:val="7"/>
        <w:numId w:val="6"/>
      </w:numPr>
      <w:outlineLvl w:val="7"/>
    </w:pPr>
    <w:rPr>
      <w:rFonts w:hAnsi="Arial"/>
      <w:kern w:val="32"/>
      <w:szCs w:val="36"/>
    </w:rPr>
  </w:style>
  <w:style w:type="paragraph" w:styleId="9">
    <w:name w:val="heading 9"/>
    <w:basedOn w:val="a6"/>
    <w:link w:val="90"/>
    <w:uiPriority w:val="9"/>
    <w:unhideWhenUsed/>
    <w:qFormat/>
    <w:rsid w:val="00C055EC"/>
    <w:pPr>
      <w:numPr>
        <w:ilvl w:val="8"/>
        <w:numId w:val="6"/>
      </w:numPr>
      <w:outlineLvl w:val="8"/>
    </w:pPr>
    <w:rPr>
      <w:rFonts w:hAnsiTheme="majorHAnsi" w:cstheme="majorBidi"/>
      <w:kern w:val="32"/>
      <w:szCs w:val="36"/>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paragraph" w:styleId="aa">
    <w:name w:val="Signature"/>
    <w:basedOn w:val="a6"/>
    <w:semiHidden/>
    <w:rsid w:val="004E0062"/>
    <w:pPr>
      <w:spacing w:before="720" w:after="720"/>
      <w:ind w:left="7371"/>
    </w:pPr>
    <w:rPr>
      <w:b/>
      <w:snapToGrid w:val="0"/>
      <w:spacing w:val="10"/>
      <w:sz w:val="36"/>
    </w:rPr>
  </w:style>
  <w:style w:type="paragraph" w:styleId="ab">
    <w:name w:val="endnote text"/>
    <w:basedOn w:val="a6"/>
    <w:semiHidden/>
    <w:rsid w:val="004E0062"/>
    <w:pPr>
      <w:kinsoku w:val="0"/>
      <w:autoSpaceDE/>
      <w:spacing w:before="240"/>
      <w:ind w:left="1021" w:hanging="1021"/>
    </w:pPr>
    <w:rPr>
      <w:snapToGrid w:val="0"/>
      <w:spacing w:val="10"/>
    </w:rPr>
  </w:style>
  <w:style w:type="paragraph" w:styleId="50">
    <w:name w:val="toc 5"/>
    <w:basedOn w:val="a6"/>
    <w:next w:val="a6"/>
    <w:autoRedefine/>
    <w:semiHidden/>
    <w:rsid w:val="004E0062"/>
    <w:pPr>
      <w:ind w:leftChars="400" w:left="600" w:rightChars="200" w:right="200" w:hangingChars="200" w:hanging="200"/>
    </w:pPr>
  </w:style>
  <w:style w:type="character" w:styleId="ac">
    <w:name w:val="page number"/>
    <w:basedOn w:val="a7"/>
    <w:semiHidden/>
    <w:rsid w:val="004E0062"/>
    <w:rPr>
      <w:rFonts w:ascii="標楷體" w:eastAsia="標楷體"/>
      <w:sz w:val="20"/>
    </w:rPr>
  </w:style>
  <w:style w:type="paragraph" w:styleId="60">
    <w:name w:val="toc 6"/>
    <w:basedOn w:val="a6"/>
    <w:next w:val="a6"/>
    <w:autoRedefine/>
    <w:semiHidden/>
    <w:rsid w:val="004E0062"/>
    <w:pPr>
      <w:ind w:leftChars="500" w:left="500"/>
    </w:pPr>
  </w:style>
  <w:style w:type="paragraph" w:customStyle="1" w:styleId="10">
    <w:name w:val="段落樣式1"/>
    <w:basedOn w:val="a6"/>
    <w:qFormat/>
    <w:rsid w:val="004F5E57"/>
    <w:pPr>
      <w:tabs>
        <w:tab w:val="left" w:pos="567"/>
      </w:tabs>
      <w:ind w:leftChars="200" w:left="200" w:firstLineChars="200" w:firstLine="200"/>
    </w:pPr>
    <w:rPr>
      <w:kern w:val="32"/>
    </w:rPr>
  </w:style>
  <w:style w:type="paragraph" w:customStyle="1" w:styleId="20">
    <w:name w:val="段落樣式2"/>
    <w:basedOn w:val="a6"/>
    <w:qFormat/>
    <w:rsid w:val="004F5E57"/>
    <w:pPr>
      <w:tabs>
        <w:tab w:val="left" w:pos="567"/>
      </w:tabs>
      <w:ind w:leftChars="300" w:left="300" w:firstLineChars="200" w:firstLine="200"/>
    </w:pPr>
    <w:rPr>
      <w:kern w:val="32"/>
    </w:rPr>
  </w:style>
  <w:style w:type="paragraph" w:styleId="11">
    <w:name w:val="toc 1"/>
    <w:basedOn w:val="a6"/>
    <w:next w:val="a6"/>
    <w:autoRedefine/>
    <w:uiPriority w:val="39"/>
    <w:rsid w:val="00CC7690"/>
    <w:pPr>
      <w:tabs>
        <w:tab w:val="right" w:leader="hyphen" w:pos="8834"/>
      </w:tabs>
      <w:kinsoku w:val="0"/>
      <w:ind w:left="400" w:rightChars="100" w:right="100" w:hangingChars="400" w:hanging="400"/>
    </w:pPr>
    <w:rPr>
      <w:noProof/>
      <w:szCs w:val="32"/>
    </w:rPr>
  </w:style>
  <w:style w:type="paragraph" w:styleId="21">
    <w:name w:val="toc 2"/>
    <w:basedOn w:val="a6"/>
    <w:next w:val="a6"/>
    <w:autoRedefine/>
    <w:uiPriority w:val="39"/>
    <w:rsid w:val="00807AF7"/>
    <w:pPr>
      <w:tabs>
        <w:tab w:val="right" w:leader="hyphen" w:pos="8834"/>
      </w:tabs>
      <w:kinsoku w:val="0"/>
      <w:ind w:leftChars="100" w:left="1020" w:rightChars="100" w:right="340" w:hangingChars="200" w:hanging="680"/>
    </w:pPr>
    <w:rPr>
      <w:noProof/>
    </w:rPr>
  </w:style>
  <w:style w:type="paragraph" w:styleId="30">
    <w:name w:val="toc 3"/>
    <w:basedOn w:val="a6"/>
    <w:next w:val="a6"/>
    <w:autoRedefine/>
    <w:uiPriority w:val="39"/>
    <w:rsid w:val="00CC7690"/>
    <w:pPr>
      <w:tabs>
        <w:tab w:val="right" w:leader="hyphen" w:pos="8834"/>
      </w:tabs>
      <w:kinsoku w:val="0"/>
      <w:ind w:leftChars="200" w:left="1360" w:rightChars="100" w:right="340" w:hangingChars="200" w:hanging="680"/>
    </w:pPr>
    <w:rPr>
      <w:noProof/>
    </w:rPr>
  </w:style>
  <w:style w:type="paragraph" w:styleId="40">
    <w:name w:val="toc 4"/>
    <w:basedOn w:val="a6"/>
    <w:next w:val="a6"/>
    <w:autoRedefine/>
    <w:semiHidden/>
    <w:rsid w:val="004E0062"/>
    <w:pPr>
      <w:kinsoku w:val="0"/>
      <w:ind w:leftChars="300" w:left="500" w:rightChars="200" w:right="200" w:hangingChars="200" w:hanging="200"/>
    </w:pPr>
  </w:style>
  <w:style w:type="paragraph" w:styleId="70">
    <w:name w:val="toc 7"/>
    <w:basedOn w:val="a6"/>
    <w:next w:val="a6"/>
    <w:autoRedefine/>
    <w:semiHidden/>
    <w:rsid w:val="004E0062"/>
    <w:pPr>
      <w:ind w:leftChars="600" w:left="800" w:hangingChars="200" w:hanging="200"/>
    </w:pPr>
  </w:style>
  <w:style w:type="paragraph" w:styleId="80">
    <w:name w:val="toc 8"/>
    <w:basedOn w:val="a6"/>
    <w:next w:val="a6"/>
    <w:autoRedefine/>
    <w:semiHidden/>
    <w:rsid w:val="004E0062"/>
    <w:pPr>
      <w:ind w:leftChars="700" w:left="900" w:hangingChars="200" w:hanging="200"/>
    </w:pPr>
  </w:style>
  <w:style w:type="paragraph" w:styleId="91">
    <w:name w:val="toc 9"/>
    <w:basedOn w:val="a6"/>
    <w:next w:val="a6"/>
    <w:autoRedefine/>
    <w:semiHidden/>
    <w:rsid w:val="004E0062"/>
    <w:pPr>
      <w:ind w:leftChars="1600" w:left="3840"/>
    </w:pPr>
  </w:style>
  <w:style w:type="paragraph" w:styleId="ad">
    <w:name w:val="header"/>
    <w:basedOn w:val="a6"/>
    <w:semiHidden/>
    <w:rsid w:val="004E0062"/>
    <w:pPr>
      <w:tabs>
        <w:tab w:val="center" w:pos="4153"/>
        <w:tab w:val="right" w:pos="8306"/>
      </w:tabs>
      <w:snapToGrid w:val="0"/>
    </w:pPr>
    <w:rPr>
      <w:sz w:val="20"/>
    </w:rPr>
  </w:style>
  <w:style w:type="paragraph" w:customStyle="1" w:styleId="31">
    <w:name w:val="段落樣式3"/>
    <w:basedOn w:val="20"/>
    <w:qFormat/>
    <w:rsid w:val="004F5E57"/>
    <w:pPr>
      <w:ind w:leftChars="400" w:left="400"/>
    </w:pPr>
  </w:style>
  <w:style w:type="character" w:styleId="ae">
    <w:name w:val="Hyperlink"/>
    <w:basedOn w:val="a7"/>
    <w:uiPriority w:val="99"/>
    <w:rsid w:val="004E0062"/>
    <w:rPr>
      <w:color w:val="0000FF"/>
      <w:u w:val="single"/>
    </w:rPr>
  </w:style>
  <w:style w:type="paragraph" w:customStyle="1" w:styleId="af">
    <w:name w:val="簽名日期"/>
    <w:basedOn w:val="a6"/>
    <w:rsid w:val="004E0062"/>
    <w:pPr>
      <w:kinsoku w:val="0"/>
      <w:jc w:val="distribute"/>
    </w:pPr>
    <w:rPr>
      <w:kern w:val="0"/>
    </w:rPr>
  </w:style>
  <w:style w:type="paragraph" w:customStyle="1" w:styleId="0">
    <w:name w:val="段落樣式0"/>
    <w:basedOn w:val="20"/>
    <w:qFormat/>
    <w:rsid w:val="004F5E57"/>
    <w:pPr>
      <w:ind w:leftChars="200" w:left="200" w:firstLineChars="0" w:firstLine="0"/>
    </w:pPr>
  </w:style>
  <w:style w:type="paragraph" w:customStyle="1" w:styleId="af0">
    <w:name w:val="附件"/>
    <w:basedOn w:val="ab"/>
    <w:rsid w:val="004E0062"/>
    <w:pPr>
      <w:spacing w:before="0"/>
      <w:ind w:left="1047" w:hangingChars="300" w:hanging="1047"/>
    </w:pPr>
    <w:rPr>
      <w:snapToGrid/>
      <w:spacing w:val="0"/>
      <w:kern w:val="0"/>
    </w:rPr>
  </w:style>
  <w:style w:type="paragraph" w:customStyle="1" w:styleId="41">
    <w:name w:val="段落樣式4"/>
    <w:basedOn w:val="31"/>
    <w:qFormat/>
    <w:rsid w:val="004F5E57"/>
    <w:pPr>
      <w:ind w:leftChars="500" w:left="500"/>
    </w:pPr>
  </w:style>
  <w:style w:type="paragraph" w:customStyle="1" w:styleId="51">
    <w:name w:val="段落樣式5"/>
    <w:basedOn w:val="41"/>
    <w:qFormat/>
    <w:rsid w:val="004F5E57"/>
    <w:pPr>
      <w:ind w:leftChars="600" w:left="600"/>
    </w:pPr>
  </w:style>
  <w:style w:type="paragraph" w:customStyle="1" w:styleId="61">
    <w:name w:val="段落樣式6"/>
    <w:basedOn w:val="51"/>
    <w:qFormat/>
    <w:rsid w:val="004F5E57"/>
    <w:pPr>
      <w:ind w:leftChars="700" w:left="700"/>
    </w:pPr>
  </w:style>
  <w:style w:type="paragraph" w:customStyle="1" w:styleId="71">
    <w:name w:val="段落樣式7"/>
    <w:basedOn w:val="61"/>
    <w:qFormat/>
    <w:rsid w:val="004F5E57"/>
    <w:pPr>
      <w:ind w:leftChars="800" w:left="800"/>
    </w:pPr>
  </w:style>
  <w:style w:type="paragraph" w:customStyle="1" w:styleId="81">
    <w:name w:val="段落樣式8"/>
    <w:basedOn w:val="71"/>
    <w:qFormat/>
    <w:rsid w:val="004F5E57"/>
    <w:pPr>
      <w:ind w:leftChars="900" w:left="900"/>
    </w:pPr>
  </w:style>
  <w:style w:type="paragraph" w:customStyle="1" w:styleId="a0">
    <w:name w:val="附表樣式"/>
    <w:basedOn w:val="a6"/>
    <w:qFormat/>
    <w:rsid w:val="00B77D18"/>
    <w:pPr>
      <w:keepNext/>
      <w:numPr>
        <w:numId w:val="1"/>
      </w:numPr>
      <w:tabs>
        <w:tab w:val="clear" w:pos="1440"/>
      </w:tabs>
      <w:ind w:left="400" w:hangingChars="400" w:hanging="400"/>
      <w:outlineLvl w:val="0"/>
    </w:pPr>
    <w:rPr>
      <w:kern w:val="32"/>
    </w:rPr>
  </w:style>
  <w:style w:type="paragraph" w:styleId="af1">
    <w:name w:val="Body Text Indent"/>
    <w:basedOn w:val="a6"/>
    <w:semiHidden/>
    <w:rsid w:val="004E0062"/>
    <w:pPr>
      <w:ind w:left="698" w:hangingChars="200" w:hanging="698"/>
    </w:pPr>
  </w:style>
  <w:style w:type="paragraph" w:customStyle="1" w:styleId="af2">
    <w:name w:val="調查報告"/>
    <w:basedOn w:val="ab"/>
    <w:rsid w:val="00D75644"/>
    <w:pPr>
      <w:adjustRightInd w:val="0"/>
      <w:spacing w:before="0"/>
      <w:ind w:left="0" w:firstLine="0"/>
      <w:jc w:val="center"/>
    </w:pPr>
    <w:rPr>
      <w:b/>
      <w:snapToGrid/>
      <w:spacing w:val="200"/>
      <w:kern w:val="0"/>
      <w:sz w:val="40"/>
    </w:rPr>
  </w:style>
  <w:style w:type="paragraph" w:customStyle="1" w:styleId="14">
    <w:name w:val="表格14"/>
    <w:basedOn w:val="a6"/>
    <w:rsid w:val="006072CD"/>
    <w:pPr>
      <w:adjustRightInd w:val="0"/>
      <w:snapToGrid w:val="0"/>
      <w:spacing w:line="360" w:lineRule="exact"/>
    </w:pPr>
    <w:rPr>
      <w:snapToGrid w:val="0"/>
      <w:spacing w:val="-14"/>
      <w:kern w:val="0"/>
      <w:sz w:val="28"/>
    </w:rPr>
  </w:style>
  <w:style w:type="paragraph" w:customStyle="1" w:styleId="a">
    <w:name w:val="附圖樣式"/>
    <w:basedOn w:val="a6"/>
    <w:qFormat/>
    <w:rsid w:val="00B77D18"/>
    <w:pPr>
      <w:keepNext/>
      <w:numPr>
        <w:numId w:val="2"/>
      </w:numPr>
      <w:tabs>
        <w:tab w:val="clear" w:pos="1440"/>
      </w:tabs>
      <w:ind w:left="400" w:hangingChars="400" w:hanging="400"/>
      <w:outlineLvl w:val="0"/>
    </w:pPr>
    <w:rPr>
      <w:kern w:val="32"/>
    </w:rPr>
  </w:style>
  <w:style w:type="paragraph" w:styleId="af3">
    <w:name w:val="footer"/>
    <w:basedOn w:val="a6"/>
    <w:semiHidden/>
    <w:rsid w:val="004E0062"/>
    <w:pPr>
      <w:tabs>
        <w:tab w:val="center" w:pos="4153"/>
        <w:tab w:val="right" w:pos="8306"/>
      </w:tabs>
      <w:snapToGrid w:val="0"/>
    </w:pPr>
    <w:rPr>
      <w:sz w:val="20"/>
    </w:rPr>
  </w:style>
  <w:style w:type="paragraph" w:styleId="af4">
    <w:name w:val="table of figures"/>
    <w:basedOn w:val="a6"/>
    <w:next w:val="a6"/>
    <w:semiHidden/>
    <w:rsid w:val="004E0062"/>
    <w:pPr>
      <w:ind w:left="400" w:hangingChars="400" w:hanging="400"/>
    </w:pPr>
  </w:style>
  <w:style w:type="paragraph" w:customStyle="1" w:styleId="140">
    <w:name w:val="表格標題14"/>
    <w:basedOn w:val="a6"/>
    <w:rsid w:val="00E15352"/>
    <w:pPr>
      <w:keepNext/>
      <w:adjustRightInd w:val="0"/>
      <w:snapToGrid w:val="0"/>
      <w:spacing w:before="40" w:after="40" w:line="320" w:lineRule="exact"/>
      <w:jc w:val="center"/>
    </w:pPr>
    <w:rPr>
      <w:snapToGrid w:val="0"/>
      <w:spacing w:val="-10"/>
      <w:kern w:val="0"/>
      <w:sz w:val="28"/>
    </w:rPr>
  </w:style>
  <w:style w:type="paragraph" w:customStyle="1" w:styleId="a3">
    <w:name w:val="表標題"/>
    <w:qFormat/>
    <w:rsid w:val="00860463"/>
    <w:pPr>
      <w:keepNext/>
      <w:widowControl w:val="0"/>
      <w:numPr>
        <w:numId w:val="3"/>
      </w:numPr>
      <w:kinsoku w:val="0"/>
      <w:overflowPunct w:val="0"/>
      <w:autoSpaceDE w:val="0"/>
      <w:autoSpaceDN w:val="0"/>
      <w:adjustRightInd w:val="0"/>
      <w:snapToGrid w:val="0"/>
      <w:spacing w:before="240" w:after="40" w:line="360" w:lineRule="exact"/>
      <w:ind w:left="697" w:hanging="697"/>
      <w:jc w:val="both"/>
      <w:textAlignment w:val="baseline"/>
    </w:pPr>
    <w:rPr>
      <w:rFonts w:ascii="標楷體" w:eastAsia="標楷體" w:hAnsi="華康楷書體W5(P)"/>
      <w:bCs/>
      <w:spacing w:val="-10"/>
      <w:kern w:val="28"/>
      <w:sz w:val="28"/>
      <w:szCs w:val="28"/>
    </w:rPr>
  </w:style>
  <w:style w:type="paragraph" w:customStyle="1" w:styleId="af5">
    <w:name w:val="資料來源"/>
    <w:basedOn w:val="a6"/>
    <w:rsid w:val="00F16A14"/>
    <w:pPr>
      <w:kinsoku w:val="0"/>
      <w:adjustRightInd w:val="0"/>
      <w:snapToGrid w:val="0"/>
      <w:spacing w:before="40" w:after="240" w:line="360" w:lineRule="exact"/>
    </w:pPr>
    <w:rPr>
      <w:spacing w:val="-10"/>
      <w:kern w:val="0"/>
      <w:sz w:val="28"/>
      <w:szCs w:val="22"/>
    </w:rPr>
  </w:style>
  <w:style w:type="paragraph" w:customStyle="1" w:styleId="a1">
    <w:name w:val="圖標題"/>
    <w:basedOn w:val="a6"/>
    <w:qFormat/>
    <w:rsid w:val="00860463"/>
    <w:pPr>
      <w:numPr>
        <w:numId w:val="4"/>
      </w:numPr>
      <w:adjustRightInd w:val="0"/>
      <w:snapToGrid w:val="0"/>
      <w:spacing w:before="40" w:after="240" w:line="360" w:lineRule="exact"/>
      <w:ind w:left="697" w:hanging="697"/>
      <w:jc w:val="center"/>
      <w:textAlignment w:val="baseline"/>
    </w:pPr>
    <w:rPr>
      <w:rFonts w:hAnsi="華康楷書體W5(P)"/>
      <w:bCs/>
      <w:spacing w:val="-10"/>
      <w:kern w:val="28"/>
      <w:sz w:val="28"/>
      <w:szCs w:val="28"/>
    </w:rPr>
  </w:style>
  <w:style w:type="table" w:styleId="af6">
    <w:name w:val="Table Grid"/>
    <w:basedOn w:val="a8"/>
    <w:uiPriority w:val="59"/>
    <w:rsid w:val="004224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表格標題12"/>
    <w:basedOn w:val="140"/>
    <w:rsid w:val="00E15352"/>
    <w:pPr>
      <w:spacing w:line="240" w:lineRule="exact"/>
    </w:pPr>
    <w:rPr>
      <w:sz w:val="24"/>
      <w:szCs w:val="24"/>
    </w:rPr>
  </w:style>
  <w:style w:type="paragraph" w:customStyle="1" w:styleId="120">
    <w:name w:val="表格12"/>
    <w:basedOn w:val="14"/>
    <w:rsid w:val="004224FA"/>
    <w:pPr>
      <w:spacing w:line="300" w:lineRule="exact"/>
    </w:pPr>
    <w:rPr>
      <w:sz w:val="24"/>
      <w:szCs w:val="24"/>
    </w:rPr>
  </w:style>
  <w:style w:type="paragraph" w:customStyle="1" w:styleId="a4">
    <w:name w:val="附錄"/>
    <w:basedOn w:val="a6"/>
    <w:qFormat/>
    <w:rsid w:val="00B77D18"/>
    <w:pPr>
      <w:keepNext/>
      <w:numPr>
        <w:numId w:val="5"/>
      </w:numPr>
      <w:ind w:left="350" w:hangingChars="350" w:hanging="350"/>
      <w:outlineLvl w:val="0"/>
    </w:pPr>
    <w:rPr>
      <w:kern w:val="32"/>
    </w:rPr>
  </w:style>
  <w:style w:type="paragraph" w:styleId="af7">
    <w:name w:val="List Paragraph"/>
    <w:basedOn w:val="a6"/>
    <w:uiPriority w:val="34"/>
    <w:qFormat/>
    <w:rsid w:val="00687024"/>
    <w:pPr>
      <w:ind w:leftChars="200" w:left="480"/>
    </w:pPr>
  </w:style>
  <w:style w:type="paragraph" w:styleId="af8">
    <w:name w:val="Balloon Text"/>
    <w:basedOn w:val="a6"/>
    <w:link w:val="af9"/>
    <w:uiPriority w:val="99"/>
    <w:semiHidden/>
    <w:unhideWhenUsed/>
    <w:rsid w:val="00C530DC"/>
    <w:rPr>
      <w:rFonts w:asciiTheme="majorHAnsi" w:eastAsiaTheme="majorEastAsia" w:hAnsiTheme="majorHAnsi" w:cstheme="majorBidi"/>
      <w:sz w:val="18"/>
      <w:szCs w:val="18"/>
    </w:rPr>
  </w:style>
  <w:style w:type="character" w:customStyle="1" w:styleId="af9">
    <w:name w:val="註解方塊文字 字元"/>
    <w:basedOn w:val="a7"/>
    <w:link w:val="af8"/>
    <w:uiPriority w:val="99"/>
    <w:semiHidden/>
    <w:rsid w:val="00C530DC"/>
    <w:rPr>
      <w:rFonts w:asciiTheme="majorHAnsi" w:eastAsiaTheme="majorEastAsia" w:hAnsiTheme="majorHAnsi" w:cstheme="majorBidi"/>
      <w:kern w:val="2"/>
      <w:sz w:val="18"/>
      <w:szCs w:val="18"/>
    </w:rPr>
  </w:style>
  <w:style w:type="paragraph" w:customStyle="1" w:styleId="a5">
    <w:name w:val="照片標題"/>
    <w:qFormat/>
    <w:rsid w:val="00AF7DB7"/>
    <w:pPr>
      <w:numPr>
        <w:numId w:val="7"/>
      </w:numPr>
      <w:adjustRightInd w:val="0"/>
      <w:snapToGrid w:val="0"/>
      <w:spacing w:before="40" w:after="240"/>
      <w:ind w:left="482" w:hanging="482"/>
      <w:jc w:val="both"/>
    </w:pPr>
    <w:rPr>
      <w:rFonts w:ascii="標楷體" w:eastAsia="標楷體" w:hAnsi="華康楷書體W5(P)"/>
      <w:bCs/>
      <w:spacing w:val="-10"/>
      <w:kern w:val="28"/>
      <w:sz w:val="28"/>
      <w:szCs w:val="28"/>
    </w:rPr>
  </w:style>
  <w:style w:type="paragraph" w:customStyle="1" w:styleId="a2">
    <w:name w:val="附件樣式"/>
    <w:basedOn w:val="a6"/>
    <w:qFormat/>
    <w:rsid w:val="00B77D18"/>
    <w:pPr>
      <w:keepNext/>
      <w:numPr>
        <w:numId w:val="8"/>
      </w:numPr>
      <w:ind w:left="400" w:hangingChars="400" w:hanging="400"/>
      <w:outlineLvl w:val="0"/>
    </w:pPr>
    <w:rPr>
      <w:kern w:val="32"/>
    </w:rPr>
  </w:style>
  <w:style w:type="character" w:customStyle="1" w:styleId="90">
    <w:name w:val="標題 9 字元"/>
    <w:basedOn w:val="a7"/>
    <w:link w:val="9"/>
    <w:uiPriority w:val="9"/>
    <w:rsid w:val="00C055EC"/>
    <w:rPr>
      <w:rFonts w:ascii="標楷體" w:eastAsia="標楷體" w:hAnsiTheme="majorHAnsi" w:cstheme="majorBidi"/>
      <w:kern w:val="32"/>
      <w:sz w:val="32"/>
      <w:szCs w:val="36"/>
    </w:rPr>
  </w:style>
  <w:style w:type="paragraph" w:customStyle="1" w:styleId="92">
    <w:name w:val="段落樣式9"/>
    <w:basedOn w:val="81"/>
    <w:qFormat/>
    <w:rsid w:val="00831693"/>
    <w:pPr>
      <w:ind w:leftChars="1000" w:left="1000"/>
    </w:pPr>
  </w:style>
  <w:style w:type="paragraph" w:styleId="afa">
    <w:name w:val="footnote text"/>
    <w:basedOn w:val="a6"/>
    <w:link w:val="afb"/>
    <w:uiPriority w:val="99"/>
    <w:unhideWhenUsed/>
    <w:rsid w:val="002201E5"/>
    <w:pPr>
      <w:overflowPunct/>
      <w:autoSpaceDE/>
      <w:autoSpaceDN/>
      <w:snapToGrid w:val="0"/>
      <w:jc w:val="left"/>
    </w:pPr>
    <w:rPr>
      <w:rFonts w:ascii="Times New Roman"/>
      <w:sz w:val="20"/>
    </w:rPr>
  </w:style>
  <w:style w:type="character" w:customStyle="1" w:styleId="afb">
    <w:name w:val="註腳文字 字元"/>
    <w:basedOn w:val="a7"/>
    <w:link w:val="afa"/>
    <w:uiPriority w:val="99"/>
    <w:rsid w:val="002201E5"/>
    <w:rPr>
      <w:rFonts w:eastAsia="標楷體"/>
      <w:kern w:val="2"/>
    </w:rPr>
  </w:style>
  <w:style w:type="character" w:styleId="afc">
    <w:name w:val="footnote reference"/>
    <w:basedOn w:val="a7"/>
    <w:uiPriority w:val="99"/>
    <w:semiHidden/>
    <w:unhideWhenUsed/>
    <w:rsid w:val="002201E5"/>
    <w:rPr>
      <w:vertAlign w:val="superscript"/>
    </w:rPr>
  </w:style>
  <w:style w:type="paragraph" w:styleId="HTML">
    <w:name w:val="HTML Preformatted"/>
    <w:basedOn w:val="a6"/>
    <w:link w:val="HTML0"/>
    <w:uiPriority w:val="99"/>
    <w:semiHidden/>
    <w:unhideWhenUsed/>
    <w:rsid w:val="00E8797E"/>
    <w:rPr>
      <w:rFonts w:ascii="Courier New" w:hAnsi="Courier New" w:cs="Courier New"/>
      <w:sz w:val="20"/>
    </w:rPr>
  </w:style>
  <w:style w:type="character" w:customStyle="1" w:styleId="HTML0">
    <w:name w:val="HTML 預設格式 字元"/>
    <w:basedOn w:val="a7"/>
    <w:link w:val="HTML"/>
    <w:uiPriority w:val="99"/>
    <w:semiHidden/>
    <w:rsid w:val="00E8797E"/>
    <w:rPr>
      <w:rFonts w:ascii="Courier New" w:eastAsia="標楷體" w:hAnsi="Courier New" w:cs="Courier New"/>
      <w:kern w:val="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新細明體" w:hAnsi="Times New Roman" w:cs="Times New Roman"/>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endnote text"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6">
    <w:name w:val="Normal"/>
    <w:qFormat/>
    <w:rsid w:val="00E90E98"/>
    <w:pPr>
      <w:widowControl w:val="0"/>
      <w:overflowPunct w:val="0"/>
      <w:autoSpaceDE w:val="0"/>
      <w:autoSpaceDN w:val="0"/>
      <w:jc w:val="both"/>
    </w:pPr>
    <w:rPr>
      <w:rFonts w:ascii="標楷體" w:eastAsia="標楷體"/>
      <w:kern w:val="2"/>
      <w:sz w:val="32"/>
    </w:rPr>
  </w:style>
  <w:style w:type="paragraph" w:styleId="1">
    <w:name w:val="heading 1"/>
    <w:basedOn w:val="a6"/>
    <w:qFormat/>
    <w:rsid w:val="004F5E57"/>
    <w:pPr>
      <w:numPr>
        <w:numId w:val="6"/>
      </w:numPr>
      <w:outlineLvl w:val="0"/>
    </w:pPr>
    <w:rPr>
      <w:rFonts w:hAnsi="Arial"/>
      <w:bCs/>
      <w:kern w:val="32"/>
      <w:szCs w:val="52"/>
    </w:rPr>
  </w:style>
  <w:style w:type="paragraph" w:styleId="2">
    <w:name w:val="heading 2"/>
    <w:basedOn w:val="a6"/>
    <w:qFormat/>
    <w:rsid w:val="004F5E57"/>
    <w:pPr>
      <w:numPr>
        <w:ilvl w:val="1"/>
        <w:numId w:val="6"/>
      </w:numPr>
      <w:outlineLvl w:val="1"/>
    </w:pPr>
    <w:rPr>
      <w:rFonts w:hAnsi="Arial"/>
      <w:bCs/>
      <w:kern w:val="32"/>
      <w:szCs w:val="48"/>
    </w:rPr>
  </w:style>
  <w:style w:type="paragraph" w:styleId="3">
    <w:name w:val="heading 3"/>
    <w:basedOn w:val="a6"/>
    <w:qFormat/>
    <w:rsid w:val="004F5E57"/>
    <w:pPr>
      <w:numPr>
        <w:ilvl w:val="2"/>
        <w:numId w:val="6"/>
      </w:numPr>
      <w:outlineLvl w:val="2"/>
    </w:pPr>
    <w:rPr>
      <w:rFonts w:hAnsi="Arial"/>
      <w:bCs/>
      <w:kern w:val="32"/>
      <w:szCs w:val="36"/>
    </w:rPr>
  </w:style>
  <w:style w:type="paragraph" w:styleId="4">
    <w:name w:val="heading 4"/>
    <w:basedOn w:val="a6"/>
    <w:qFormat/>
    <w:rsid w:val="004F5E57"/>
    <w:pPr>
      <w:numPr>
        <w:ilvl w:val="3"/>
        <w:numId w:val="6"/>
      </w:numPr>
      <w:outlineLvl w:val="3"/>
    </w:pPr>
    <w:rPr>
      <w:rFonts w:hAnsi="Arial"/>
      <w:kern w:val="32"/>
      <w:szCs w:val="36"/>
    </w:rPr>
  </w:style>
  <w:style w:type="paragraph" w:styleId="5">
    <w:name w:val="heading 5"/>
    <w:basedOn w:val="a6"/>
    <w:qFormat/>
    <w:rsid w:val="004F5E57"/>
    <w:pPr>
      <w:numPr>
        <w:ilvl w:val="4"/>
        <w:numId w:val="6"/>
      </w:numPr>
      <w:outlineLvl w:val="4"/>
    </w:pPr>
    <w:rPr>
      <w:rFonts w:hAnsi="Arial"/>
      <w:bCs/>
      <w:kern w:val="32"/>
      <w:szCs w:val="36"/>
    </w:rPr>
  </w:style>
  <w:style w:type="paragraph" w:styleId="6">
    <w:name w:val="heading 6"/>
    <w:basedOn w:val="a6"/>
    <w:qFormat/>
    <w:rsid w:val="004F5E57"/>
    <w:pPr>
      <w:numPr>
        <w:ilvl w:val="5"/>
        <w:numId w:val="6"/>
      </w:numPr>
      <w:tabs>
        <w:tab w:val="left" w:pos="2094"/>
      </w:tabs>
      <w:outlineLvl w:val="5"/>
    </w:pPr>
    <w:rPr>
      <w:rFonts w:hAnsi="Arial"/>
      <w:kern w:val="32"/>
      <w:szCs w:val="36"/>
    </w:rPr>
  </w:style>
  <w:style w:type="paragraph" w:styleId="7">
    <w:name w:val="heading 7"/>
    <w:basedOn w:val="a6"/>
    <w:qFormat/>
    <w:rsid w:val="004F5E57"/>
    <w:pPr>
      <w:numPr>
        <w:ilvl w:val="6"/>
        <w:numId w:val="6"/>
      </w:numPr>
      <w:outlineLvl w:val="6"/>
    </w:pPr>
    <w:rPr>
      <w:rFonts w:hAnsi="Arial"/>
      <w:bCs/>
      <w:kern w:val="32"/>
      <w:szCs w:val="36"/>
    </w:rPr>
  </w:style>
  <w:style w:type="paragraph" w:styleId="8">
    <w:name w:val="heading 8"/>
    <w:basedOn w:val="a6"/>
    <w:qFormat/>
    <w:rsid w:val="004F5E57"/>
    <w:pPr>
      <w:numPr>
        <w:ilvl w:val="7"/>
        <w:numId w:val="6"/>
      </w:numPr>
      <w:outlineLvl w:val="7"/>
    </w:pPr>
    <w:rPr>
      <w:rFonts w:hAnsi="Arial"/>
      <w:kern w:val="32"/>
      <w:szCs w:val="36"/>
    </w:rPr>
  </w:style>
  <w:style w:type="paragraph" w:styleId="9">
    <w:name w:val="heading 9"/>
    <w:basedOn w:val="a6"/>
    <w:link w:val="90"/>
    <w:uiPriority w:val="9"/>
    <w:unhideWhenUsed/>
    <w:qFormat/>
    <w:rsid w:val="00C055EC"/>
    <w:pPr>
      <w:numPr>
        <w:ilvl w:val="8"/>
        <w:numId w:val="6"/>
      </w:numPr>
      <w:outlineLvl w:val="8"/>
    </w:pPr>
    <w:rPr>
      <w:rFonts w:hAnsiTheme="majorHAnsi" w:cstheme="majorBidi"/>
      <w:kern w:val="32"/>
      <w:szCs w:val="36"/>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paragraph" w:styleId="aa">
    <w:name w:val="Signature"/>
    <w:basedOn w:val="a6"/>
    <w:semiHidden/>
    <w:rsid w:val="004E0062"/>
    <w:pPr>
      <w:spacing w:before="720" w:after="720"/>
      <w:ind w:left="7371"/>
    </w:pPr>
    <w:rPr>
      <w:b/>
      <w:snapToGrid w:val="0"/>
      <w:spacing w:val="10"/>
      <w:sz w:val="36"/>
    </w:rPr>
  </w:style>
  <w:style w:type="paragraph" w:styleId="ab">
    <w:name w:val="endnote text"/>
    <w:basedOn w:val="a6"/>
    <w:semiHidden/>
    <w:rsid w:val="004E0062"/>
    <w:pPr>
      <w:kinsoku w:val="0"/>
      <w:autoSpaceDE/>
      <w:spacing w:before="240"/>
      <w:ind w:left="1021" w:hanging="1021"/>
    </w:pPr>
    <w:rPr>
      <w:snapToGrid w:val="0"/>
      <w:spacing w:val="10"/>
    </w:rPr>
  </w:style>
  <w:style w:type="paragraph" w:styleId="50">
    <w:name w:val="toc 5"/>
    <w:basedOn w:val="a6"/>
    <w:next w:val="a6"/>
    <w:autoRedefine/>
    <w:semiHidden/>
    <w:rsid w:val="004E0062"/>
    <w:pPr>
      <w:ind w:leftChars="400" w:left="600" w:rightChars="200" w:right="200" w:hangingChars="200" w:hanging="200"/>
    </w:pPr>
  </w:style>
  <w:style w:type="character" w:styleId="ac">
    <w:name w:val="page number"/>
    <w:basedOn w:val="a7"/>
    <w:semiHidden/>
    <w:rsid w:val="004E0062"/>
    <w:rPr>
      <w:rFonts w:ascii="標楷體" w:eastAsia="標楷體"/>
      <w:sz w:val="20"/>
    </w:rPr>
  </w:style>
  <w:style w:type="paragraph" w:styleId="60">
    <w:name w:val="toc 6"/>
    <w:basedOn w:val="a6"/>
    <w:next w:val="a6"/>
    <w:autoRedefine/>
    <w:semiHidden/>
    <w:rsid w:val="004E0062"/>
    <w:pPr>
      <w:ind w:leftChars="500" w:left="500"/>
    </w:pPr>
  </w:style>
  <w:style w:type="paragraph" w:customStyle="1" w:styleId="10">
    <w:name w:val="段落樣式1"/>
    <w:basedOn w:val="a6"/>
    <w:qFormat/>
    <w:rsid w:val="004F5E57"/>
    <w:pPr>
      <w:tabs>
        <w:tab w:val="left" w:pos="567"/>
      </w:tabs>
      <w:ind w:leftChars="200" w:left="200" w:firstLineChars="200" w:firstLine="200"/>
    </w:pPr>
    <w:rPr>
      <w:kern w:val="32"/>
    </w:rPr>
  </w:style>
  <w:style w:type="paragraph" w:customStyle="1" w:styleId="20">
    <w:name w:val="段落樣式2"/>
    <w:basedOn w:val="a6"/>
    <w:qFormat/>
    <w:rsid w:val="004F5E57"/>
    <w:pPr>
      <w:tabs>
        <w:tab w:val="left" w:pos="567"/>
      </w:tabs>
      <w:ind w:leftChars="300" w:left="300" w:firstLineChars="200" w:firstLine="200"/>
    </w:pPr>
    <w:rPr>
      <w:kern w:val="32"/>
    </w:rPr>
  </w:style>
  <w:style w:type="paragraph" w:styleId="11">
    <w:name w:val="toc 1"/>
    <w:basedOn w:val="a6"/>
    <w:next w:val="a6"/>
    <w:autoRedefine/>
    <w:uiPriority w:val="39"/>
    <w:rsid w:val="00CC7690"/>
    <w:pPr>
      <w:tabs>
        <w:tab w:val="right" w:leader="hyphen" w:pos="8834"/>
      </w:tabs>
      <w:kinsoku w:val="0"/>
      <w:ind w:left="400" w:rightChars="100" w:right="100" w:hangingChars="400" w:hanging="400"/>
    </w:pPr>
    <w:rPr>
      <w:noProof/>
      <w:szCs w:val="32"/>
    </w:rPr>
  </w:style>
  <w:style w:type="paragraph" w:styleId="21">
    <w:name w:val="toc 2"/>
    <w:basedOn w:val="a6"/>
    <w:next w:val="a6"/>
    <w:autoRedefine/>
    <w:uiPriority w:val="39"/>
    <w:rsid w:val="00807AF7"/>
    <w:pPr>
      <w:tabs>
        <w:tab w:val="right" w:leader="hyphen" w:pos="8834"/>
      </w:tabs>
      <w:kinsoku w:val="0"/>
      <w:ind w:leftChars="100" w:left="1020" w:rightChars="100" w:right="340" w:hangingChars="200" w:hanging="680"/>
    </w:pPr>
    <w:rPr>
      <w:noProof/>
    </w:rPr>
  </w:style>
  <w:style w:type="paragraph" w:styleId="30">
    <w:name w:val="toc 3"/>
    <w:basedOn w:val="a6"/>
    <w:next w:val="a6"/>
    <w:autoRedefine/>
    <w:uiPriority w:val="39"/>
    <w:rsid w:val="00CC7690"/>
    <w:pPr>
      <w:tabs>
        <w:tab w:val="right" w:leader="hyphen" w:pos="8834"/>
      </w:tabs>
      <w:kinsoku w:val="0"/>
      <w:ind w:leftChars="200" w:left="1360" w:rightChars="100" w:right="340" w:hangingChars="200" w:hanging="680"/>
    </w:pPr>
    <w:rPr>
      <w:noProof/>
    </w:rPr>
  </w:style>
  <w:style w:type="paragraph" w:styleId="40">
    <w:name w:val="toc 4"/>
    <w:basedOn w:val="a6"/>
    <w:next w:val="a6"/>
    <w:autoRedefine/>
    <w:semiHidden/>
    <w:rsid w:val="004E0062"/>
    <w:pPr>
      <w:kinsoku w:val="0"/>
      <w:ind w:leftChars="300" w:left="500" w:rightChars="200" w:right="200" w:hangingChars="200" w:hanging="200"/>
    </w:pPr>
  </w:style>
  <w:style w:type="paragraph" w:styleId="70">
    <w:name w:val="toc 7"/>
    <w:basedOn w:val="a6"/>
    <w:next w:val="a6"/>
    <w:autoRedefine/>
    <w:semiHidden/>
    <w:rsid w:val="004E0062"/>
    <w:pPr>
      <w:ind w:leftChars="600" w:left="800" w:hangingChars="200" w:hanging="200"/>
    </w:pPr>
  </w:style>
  <w:style w:type="paragraph" w:styleId="80">
    <w:name w:val="toc 8"/>
    <w:basedOn w:val="a6"/>
    <w:next w:val="a6"/>
    <w:autoRedefine/>
    <w:semiHidden/>
    <w:rsid w:val="004E0062"/>
    <w:pPr>
      <w:ind w:leftChars="700" w:left="900" w:hangingChars="200" w:hanging="200"/>
    </w:pPr>
  </w:style>
  <w:style w:type="paragraph" w:styleId="91">
    <w:name w:val="toc 9"/>
    <w:basedOn w:val="a6"/>
    <w:next w:val="a6"/>
    <w:autoRedefine/>
    <w:semiHidden/>
    <w:rsid w:val="004E0062"/>
    <w:pPr>
      <w:ind w:leftChars="1600" w:left="3840"/>
    </w:pPr>
  </w:style>
  <w:style w:type="paragraph" w:styleId="ad">
    <w:name w:val="header"/>
    <w:basedOn w:val="a6"/>
    <w:semiHidden/>
    <w:rsid w:val="004E0062"/>
    <w:pPr>
      <w:tabs>
        <w:tab w:val="center" w:pos="4153"/>
        <w:tab w:val="right" w:pos="8306"/>
      </w:tabs>
      <w:snapToGrid w:val="0"/>
    </w:pPr>
    <w:rPr>
      <w:sz w:val="20"/>
    </w:rPr>
  </w:style>
  <w:style w:type="paragraph" w:customStyle="1" w:styleId="31">
    <w:name w:val="段落樣式3"/>
    <w:basedOn w:val="20"/>
    <w:qFormat/>
    <w:rsid w:val="004F5E57"/>
    <w:pPr>
      <w:ind w:leftChars="400" w:left="400"/>
    </w:pPr>
  </w:style>
  <w:style w:type="character" w:styleId="ae">
    <w:name w:val="Hyperlink"/>
    <w:basedOn w:val="a7"/>
    <w:uiPriority w:val="99"/>
    <w:rsid w:val="004E0062"/>
    <w:rPr>
      <w:color w:val="0000FF"/>
      <w:u w:val="single"/>
    </w:rPr>
  </w:style>
  <w:style w:type="paragraph" w:customStyle="1" w:styleId="af">
    <w:name w:val="簽名日期"/>
    <w:basedOn w:val="a6"/>
    <w:rsid w:val="004E0062"/>
    <w:pPr>
      <w:kinsoku w:val="0"/>
      <w:jc w:val="distribute"/>
    </w:pPr>
    <w:rPr>
      <w:kern w:val="0"/>
    </w:rPr>
  </w:style>
  <w:style w:type="paragraph" w:customStyle="1" w:styleId="0">
    <w:name w:val="段落樣式0"/>
    <w:basedOn w:val="20"/>
    <w:qFormat/>
    <w:rsid w:val="004F5E57"/>
    <w:pPr>
      <w:ind w:leftChars="200" w:left="200" w:firstLineChars="0" w:firstLine="0"/>
    </w:pPr>
  </w:style>
  <w:style w:type="paragraph" w:customStyle="1" w:styleId="af0">
    <w:name w:val="附件"/>
    <w:basedOn w:val="ab"/>
    <w:rsid w:val="004E0062"/>
    <w:pPr>
      <w:spacing w:before="0"/>
      <w:ind w:left="1047" w:hangingChars="300" w:hanging="1047"/>
    </w:pPr>
    <w:rPr>
      <w:snapToGrid/>
      <w:spacing w:val="0"/>
      <w:kern w:val="0"/>
    </w:rPr>
  </w:style>
  <w:style w:type="paragraph" w:customStyle="1" w:styleId="41">
    <w:name w:val="段落樣式4"/>
    <w:basedOn w:val="31"/>
    <w:qFormat/>
    <w:rsid w:val="004F5E57"/>
    <w:pPr>
      <w:ind w:leftChars="500" w:left="500"/>
    </w:pPr>
  </w:style>
  <w:style w:type="paragraph" w:customStyle="1" w:styleId="51">
    <w:name w:val="段落樣式5"/>
    <w:basedOn w:val="41"/>
    <w:qFormat/>
    <w:rsid w:val="004F5E57"/>
    <w:pPr>
      <w:ind w:leftChars="600" w:left="600"/>
    </w:pPr>
  </w:style>
  <w:style w:type="paragraph" w:customStyle="1" w:styleId="61">
    <w:name w:val="段落樣式6"/>
    <w:basedOn w:val="51"/>
    <w:qFormat/>
    <w:rsid w:val="004F5E57"/>
    <w:pPr>
      <w:ind w:leftChars="700" w:left="700"/>
    </w:pPr>
  </w:style>
  <w:style w:type="paragraph" w:customStyle="1" w:styleId="71">
    <w:name w:val="段落樣式7"/>
    <w:basedOn w:val="61"/>
    <w:qFormat/>
    <w:rsid w:val="004F5E57"/>
    <w:pPr>
      <w:ind w:leftChars="800" w:left="800"/>
    </w:pPr>
  </w:style>
  <w:style w:type="paragraph" w:customStyle="1" w:styleId="81">
    <w:name w:val="段落樣式8"/>
    <w:basedOn w:val="71"/>
    <w:qFormat/>
    <w:rsid w:val="004F5E57"/>
    <w:pPr>
      <w:ind w:leftChars="900" w:left="900"/>
    </w:pPr>
  </w:style>
  <w:style w:type="paragraph" w:customStyle="1" w:styleId="a0">
    <w:name w:val="附表樣式"/>
    <w:basedOn w:val="a6"/>
    <w:qFormat/>
    <w:rsid w:val="00B77D18"/>
    <w:pPr>
      <w:keepNext/>
      <w:numPr>
        <w:numId w:val="1"/>
      </w:numPr>
      <w:tabs>
        <w:tab w:val="clear" w:pos="1440"/>
      </w:tabs>
      <w:ind w:left="400" w:hangingChars="400" w:hanging="400"/>
      <w:outlineLvl w:val="0"/>
    </w:pPr>
    <w:rPr>
      <w:kern w:val="32"/>
    </w:rPr>
  </w:style>
  <w:style w:type="paragraph" w:styleId="af1">
    <w:name w:val="Body Text Indent"/>
    <w:basedOn w:val="a6"/>
    <w:semiHidden/>
    <w:rsid w:val="004E0062"/>
    <w:pPr>
      <w:ind w:left="698" w:hangingChars="200" w:hanging="698"/>
    </w:pPr>
  </w:style>
  <w:style w:type="paragraph" w:customStyle="1" w:styleId="af2">
    <w:name w:val="調查報告"/>
    <w:basedOn w:val="ab"/>
    <w:rsid w:val="00D75644"/>
    <w:pPr>
      <w:adjustRightInd w:val="0"/>
      <w:spacing w:before="0"/>
      <w:ind w:left="0" w:firstLine="0"/>
      <w:jc w:val="center"/>
    </w:pPr>
    <w:rPr>
      <w:b/>
      <w:snapToGrid/>
      <w:spacing w:val="200"/>
      <w:kern w:val="0"/>
      <w:sz w:val="40"/>
    </w:rPr>
  </w:style>
  <w:style w:type="paragraph" w:customStyle="1" w:styleId="14">
    <w:name w:val="表格14"/>
    <w:basedOn w:val="a6"/>
    <w:rsid w:val="006072CD"/>
    <w:pPr>
      <w:adjustRightInd w:val="0"/>
      <w:snapToGrid w:val="0"/>
      <w:spacing w:line="360" w:lineRule="exact"/>
    </w:pPr>
    <w:rPr>
      <w:snapToGrid w:val="0"/>
      <w:spacing w:val="-14"/>
      <w:kern w:val="0"/>
      <w:sz w:val="28"/>
    </w:rPr>
  </w:style>
  <w:style w:type="paragraph" w:customStyle="1" w:styleId="a">
    <w:name w:val="附圖樣式"/>
    <w:basedOn w:val="a6"/>
    <w:qFormat/>
    <w:rsid w:val="00B77D18"/>
    <w:pPr>
      <w:keepNext/>
      <w:numPr>
        <w:numId w:val="2"/>
      </w:numPr>
      <w:tabs>
        <w:tab w:val="clear" w:pos="1440"/>
      </w:tabs>
      <w:ind w:left="400" w:hangingChars="400" w:hanging="400"/>
      <w:outlineLvl w:val="0"/>
    </w:pPr>
    <w:rPr>
      <w:kern w:val="32"/>
    </w:rPr>
  </w:style>
  <w:style w:type="paragraph" w:styleId="af3">
    <w:name w:val="footer"/>
    <w:basedOn w:val="a6"/>
    <w:semiHidden/>
    <w:rsid w:val="004E0062"/>
    <w:pPr>
      <w:tabs>
        <w:tab w:val="center" w:pos="4153"/>
        <w:tab w:val="right" w:pos="8306"/>
      </w:tabs>
      <w:snapToGrid w:val="0"/>
    </w:pPr>
    <w:rPr>
      <w:sz w:val="20"/>
    </w:rPr>
  </w:style>
  <w:style w:type="paragraph" w:styleId="af4">
    <w:name w:val="table of figures"/>
    <w:basedOn w:val="a6"/>
    <w:next w:val="a6"/>
    <w:semiHidden/>
    <w:rsid w:val="004E0062"/>
    <w:pPr>
      <w:ind w:left="400" w:hangingChars="400" w:hanging="400"/>
    </w:pPr>
  </w:style>
  <w:style w:type="paragraph" w:customStyle="1" w:styleId="140">
    <w:name w:val="表格標題14"/>
    <w:basedOn w:val="a6"/>
    <w:rsid w:val="00E15352"/>
    <w:pPr>
      <w:keepNext/>
      <w:adjustRightInd w:val="0"/>
      <w:snapToGrid w:val="0"/>
      <w:spacing w:before="40" w:after="40" w:line="320" w:lineRule="exact"/>
      <w:jc w:val="center"/>
    </w:pPr>
    <w:rPr>
      <w:snapToGrid w:val="0"/>
      <w:spacing w:val="-10"/>
      <w:kern w:val="0"/>
      <w:sz w:val="28"/>
    </w:rPr>
  </w:style>
  <w:style w:type="paragraph" w:customStyle="1" w:styleId="a3">
    <w:name w:val="表標題"/>
    <w:qFormat/>
    <w:rsid w:val="00860463"/>
    <w:pPr>
      <w:keepNext/>
      <w:widowControl w:val="0"/>
      <w:numPr>
        <w:numId w:val="3"/>
      </w:numPr>
      <w:kinsoku w:val="0"/>
      <w:overflowPunct w:val="0"/>
      <w:autoSpaceDE w:val="0"/>
      <w:autoSpaceDN w:val="0"/>
      <w:adjustRightInd w:val="0"/>
      <w:snapToGrid w:val="0"/>
      <w:spacing w:before="240" w:after="40" w:line="360" w:lineRule="exact"/>
      <w:ind w:left="697" w:hanging="697"/>
      <w:jc w:val="both"/>
      <w:textAlignment w:val="baseline"/>
    </w:pPr>
    <w:rPr>
      <w:rFonts w:ascii="標楷體" w:eastAsia="標楷體" w:hAnsi="華康楷書體W5(P)"/>
      <w:bCs/>
      <w:spacing w:val="-10"/>
      <w:kern w:val="28"/>
      <w:sz w:val="28"/>
      <w:szCs w:val="28"/>
    </w:rPr>
  </w:style>
  <w:style w:type="paragraph" w:customStyle="1" w:styleId="af5">
    <w:name w:val="資料來源"/>
    <w:basedOn w:val="a6"/>
    <w:rsid w:val="00F16A14"/>
    <w:pPr>
      <w:kinsoku w:val="0"/>
      <w:adjustRightInd w:val="0"/>
      <w:snapToGrid w:val="0"/>
      <w:spacing w:before="40" w:after="240" w:line="360" w:lineRule="exact"/>
    </w:pPr>
    <w:rPr>
      <w:spacing w:val="-10"/>
      <w:kern w:val="0"/>
      <w:sz w:val="28"/>
      <w:szCs w:val="22"/>
    </w:rPr>
  </w:style>
  <w:style w:type="paragraph" w:customStyle="1" w:styleId="a1">
    <w:name w:val="圖標題"/>
    <w:basedOn w:val="a6"/>
    <w:qFormat/>
    <w:rsid w:val="00860463"/>
    <w:pPr>
      <w:numPr>
        <w:numId w:val="4"/>
      </w:numPr>
      <w:adjustRightInd w:val="0"/>
      <w:snapToGrid w:val="0"/>
      <w:spacing w:before="40" w:after="240" w:line="360" w:lineRule="exact"/>
      <w:ind w:left="697" w:hanging="697"/>
      <w:jc w:val="center"/>
      <w:textAlignment w:val="baseline"/>
    </w:pPr>
    <w:rPr>
      <w:rFonts w:hAnsi="華康楷書體W5(P)"/>
      <w:bCs/>
      <w:spacing w:val="-10"/>
      <w:kern w:val="28"/>
      <w:sz w:val="28"/>
      <w:szCs w:val="28"/>
    </w:rPr>
  </w:style>
  <w:style w:type="table" w:styleId="af6">
    <w:name w:val="Table Grid"/>
    <w:basedOn w:val="a8"/>
    <w:uiPriority w:val="59"/>
    <w:rsid w:val="004224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表格標題12"/>
    <w:basedOn w:val="140"/>
    <w:rsid w:val="00E15352"/>
    <w:pPr>
      <w:spacing w:line="240" w:lineRule="exact"/>
    </w:pPr>
    <w:rPr>
      <w:sz w:val="24"/>
      <w:szCs w:val="24"/>
    </w:rPr>
  </w:style>
  <w:style w:type="paragraph" w:customStyle="1" w:styleId="120">
    <w:name w:val="表格12"/>
    <w:basedOn w:val="14"/>
    <w:rsid w:val="004224FA"/>
    <w:pPr>
      <w:spacing w:line="300" w:lineRule="exact"/>
    </w:pPr>
    <w:rPr>
      <w:sz w:val="24"/>
      <w:szCs w:val="24"/>
    </w:rPr>
  </w:style>
  <w:style w:type="paragraph" w:customStyle="1" w:styleId="a4">
    <w:name w:val="附錄"/>
    <w:basedOn w:val="a6"/>
    <w:qFormat/>
    <w:rsid w:val="00B77D18"/>
    <w:pPr>
      <w:keepNext/>
      <w:numPr>
        <w:numId w:val="5"/>
      </w:numPr>
      <w:ind w:left="350" w:hangingChars="350" w:hanging="350"/>
      <w:outlineLvl w:val="0"/>
    </w:pPr>
    <w:rPr>
      <w:kern w:val="32"/>
    </w:rPr>
  </w:style>
  <w:style w:type="paragraph" w:styleId="af7">
    <w:name w:val="List Paragraph"/>
    <w:basedOn w:val="a6"/>
    <w:uiPriority w:val="34"/>
    <w:qFormat/>
    <w:rsid w:val="00687024"/>
    <w:pPr>
      <w:ind w:leftChars="200" w:left="480"/>
    </w:pPr>
  </w:style>
  <w:style w:type="paragraph" w:styleId="af8">
    <w:name w:val="Balloon Text"/>
    <w:basedOn w:val="a6"/>
    <w:link w:val="af9"/>
    <w:uiPriority w:val="99"/>
    <w:semiHidden/>
    <w:unhideWhenUsed/>
    <w:rsid w:val="00C530DC"/>
    <w:rPr>
      <w:rFonts w:asciiTheme="majorHAnsi" w:eastAsiaTheme="majorEastAsia" w:hAnsiTheme="majorHAnsi" w:cstheme="majorBidi"/>
      <w:sz w:val="18"/>
      <w:szCs w:val="18"/>
    </w:rPr>
  </w:style>
  <w:style w:type="character" w:customStyle="1" w:styleId="af9">
    <w:name w:val="註解方塊文字 字元"/>
    <w:basedOn w:val="a7"/>
    <w:link w:val="af8"/>
    <w:uiPriority w:val="99"/>
    <w:semiHidden/>
    <w:rsid w:val="00C530DC"/>
    <w:rPr>
      <w:rFonts w:asciiTheme="majorHAnsi" w:eastAsiaTheme="majorEastAsia" w:hAnsiTheme="majorHAnsi" w:cstheme="majorBidi"/>
      <w:kern w:val="2"/>
      <w:sz w:val="18"/>
      <w:szCs w:val="18"/>
    </w:rPr>
  </w:style>
  <w:style w:type="paragraph" w:customStyle="1" w:styleId="a5">
    <w:name w:val="照片標題"/>
    <w:qFormat/>
    <w:rsid w:val="00AF7DB7"/>
    <w:pPr>
      <w:numPr>
        <w:numId w:val="7"/>
      </w:numPr>
      <w:adjustRightInd w:val="0"/>
      <w:snapToGrid w:val="0"/>
      <w:spacing w:before="40" w:after="240"/>
      <w:ind w:left="482" w:hanging="482"/>
      <w:jc w:val="both"/>
    </w:pPr>
    <w:rPr>
      <w:rFonts w:ascii="標楷體" w:eastAsia="標楷體" w:hAnsi="華康楷書體W5(P)"/>
      <w:bCs/>
      <w:spacing w:val="-10"/>
      <w:kern w:val="28"/>
      <w:sz w:val="28"/>
      <w:szCs w:val="28"/>
    </w:rPr>
  </w:style>
  <w:style w:type="paragraph" w:customStyle="1" w:styleId="a2">
    <w:name w:val="附件樣式"/>
    <w:basedOn w:val="a6"/>
    <w:qFormat/>
    <w:rsid w:val="00B77D18"/>
    <w:pPr>
      <w:keepNext/>
      <w:numPr>
        <w:numId w:val="8"/>
      </w:numPr>
      <w:ind w:left="400" w:hangingChars="400" w:hanging="400"/>
      <w:outlineLvl w:val="0"/>
    </w:pPr>
    <w:rPr>
      <w:kern w:val="32"/>
    </w:rPr>
  </w:style>
  <w:style w:type="character" w:customStyle="1" w:styleId="90">
    <w:name w:val="標題 9 字元"/>
    <w:basedOn w:val="a7"/>
    <w:link w:val="9"/>
    <w:uiPriority w:val="9"/>
    <w:rsid w:val="00C055EC"/>
    <w:rPr>
      <w:rFonts w:ascii="標楷體" w:eastAsia="標楷體" w:hAnsiTheme="majorHAnsi" w:cstheme="majorBidi"/>
      <w:kern w:val="32"/>
      <w:sz w:val="32"/>
      <w:szCs w:val="36"/>
    </w:rPr>
  </w:style>
  <w:style w:type="paragraph" w:customStyle="1" w:styleId="92">
    <w:name w:val="段落樣式9"/>
    <w:basedOn w:val="81"/>
    <w:qFormat/>
    <w:rsid w:val="00831693"/>
    <w:pPr>
      <w:ind w:leftChars="1000" w:left="1000"/>
    </w:pPr>
  </w:style>
  <w:style w:type="paragraph" w:styleId="afa">
    <w:name w:val="footnote text"/>
    <w:basedOn w:val="a6"/>
    <w:link w:val="afb"/>
    <w:uiPriority w:val="99"/>
    <w:unhideWhenUsed/>
    <w:rsid w:val="002201E5"/>
    <w:pPr>
      <w:overflowPunct/>
      <w:autoSpaceDE/>
      <w:autoSpaceDN/>
      <w:snapToGrid w:val="0"/>
      <w:jc w:val="left"/>
    </w:pPr>
    <w:rPr>
      <w:rFonts w:ascii="Times New Roman"/>
      <w:sz w:val="20"/>
    </w:rPr>
  </w:style>
  <w:style w:type="character" w:customStyle="1" w:styleId="afb">
    <w:name w:val="註腳文字 字元"/>
    <w:basedOn w:val="a7"/>
    <w:link w:val="afa"/>
    <w:uiPriority w:val="99"/>
    <w:rsid w:val="002201E5"/>
    <w:rPr>
      <w:rFonts w:eastAsia="標楷體"/>
      <w:kern w:val="2"/>
    </w:rPr>
  </w:style>
  <w:style w:type="character" w:styleId="afc">
    <w:name w:val="footnote reference"/>
    <w:basedOn w:val="a7"/>
    <w:uiPriority w:val="99"/>
    <w:semiHidden/>
    <w:unhideWhenUsed/>
    <w:rsid w:val="002201E5"/>
    <w:rPr>
      <w:vertAlign w:val="superscript"/>
    </w:rPr>
  </w:style>
  <w:style w:type="paragraph" w:styleId="HTML">
    <w:name w:val="HTML Preformatted"/>
    <w:basedOn w:val="a6"/>
    <w:link w:val="HTML0"/>
    <w:uiPriority w:val="99"/>
    <w:semiHidden/>
    <w:unhideWhenUsed/>
    <w:rsid w:val="00E8797E"/>
    <w:rPr>
      <w:rFonts w:ascii="Courier New" w:hAnsi="Courier New" w:cs="Courier New"/>
      <w:sz w:val="20"/>
    </w:rPr>
  </w:style>
  <w:style w:type="character" w:customStyle="1" w:styleId="HTML0">
    <w:name w:val="HTML 預設格式 字元"/>
    <w:basedOn w:val="a7"/>
    <w:link w:val="HTML"/>
    <w:uiPriority w:val="99"/>
    <w:semiHidden/>
    <w:rsid w:val="00E8797E"/>
    <w:rPr>
      <w:rFonts w:ascii="Courier New" w:eastAsia="標楷體" w:hAnsi="Courier New" w:cs="Courier New"/>
      <w:kern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30280961">
      <w:bodyDiv w:val="1"/>
      <w:marLeft w:val="0"/>
      <w:marRight w:val="0"/>
      <w:marTop w:val="0"/>
      <w:marBottom w:val="0"/>
      <w:divBdr>
        <w:top w:val="none" w:sz="0" w:space="0" w:color="auto"/>
        <w:left w:val="none" w:sz="0" w:space="0" w:color="auto"/>
        <w:bottom w:val="none" w:sz="0" w:space="0" w:color="auto"/>
        <w:right w:val="none" w:sz="0" w:space="0" w:color="auto"/>
      </w:divBdr>
    </w:div>
    <w:div w:id="1777552709">
      <w:bodyDiv w:val="1"/>
      <w:marLeft w:val="0"/>
      <w:marRight w:val="0"/>
      <w:marTop w:val="0"/>
      <w:marBottom w:val="0"/>
      <w:divBdr>
        <w:top w:val="none" w:sz="0" w:space="0" w:color="auto"/>
        <w:left w:val="none" w:sz="0" w:space="0" w:color="auto"/>
        <w:bottom w:val="none" w:sz="0" w:space="0" w:color="auto"/>
        <w:right w:val="none" w:sz="0" w:space="0" w:color="auto"/>
      </w:divBdr>
    </w:div>
    <w:div w:id="18342509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elin\AppData\Roaming\Microsoft\Templates\&#35519;&#26597;&#34920;&#21934;\003&#35519;&#26597;&#22577;&#21578;_104.dotx"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13FC4E8-2B64-44EA-923C-EFFCB9701A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003調查報告_104</Template>
  <TotalTime>11</TotalTime>
  <Pages>16</Pages>
  <Words>8699</Words>
  <Characters>720</Characters>
  <Application>Microsoft Office Word</Application>
  <DocSecurity>0</DocSecurity>
  <Lines>6</Lines>
  <Paragraphs>18</Paragraphs>
  <ScaleCrop>false</ScaleCrop>
  <Company>cy</Company>
  <LinksUpToDate>false</LinksUpToDate>
  <CharactersWithSpaces>9401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調查報告</dc:title>
  <dc:creator>stud01</dc:creator>
  <cp:lastModifiedBy>余文誌</cp:lastModifiedBy>
  <cp:revision>6</cp:revision>
  <cp:lastPrinted>2018-04-17T07:16:00Z</cp:lastPrinted>
  <dcterms:created xsi:type="dcterms:W3CDTF">2018-04-19T06:36:00Z</dcterms:created>
  <dcterms:modified xsi:type="dcterms:W3CDTF">2019-04-08T04:08:00Z</dcterms:modified>
</cp:coreProperties>
</file>