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CF6CB5" w:rsidRDefault="00D75644" w:rsidP="00F37D7B">
      <w:pPr>
        <w:pStyle w:val="af2"/>
      </w:pPr>
      <w:r w:rsidRPr="00CF6CB5">
        <w:rPr>
          <w:rFonts w:hint="eastAsia"/>
        </w:rPr>
        <w:t>調查報告</w:t>
      </w:r>
    </w:p>
    <w:p w:rsidR="00E25849" w:rsidRPr="00CF6CB5" w:rsidRDefault="00E25849" w:rsidP="008C714B">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511126812"/>
      <w:r w:rsidRPr="00CF6CB5">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8C714B" w:rsidRPr="00CF6CB5">
        <w:rPr>
          <w:rFonts w:hint="eastAsia"/>
        </w:rPr>
        <w:t>據審計部</w:t>
      </w:r>
      <w:proofErr w:type="gramStart"/>
      <w:r w:rsidR="008C714B" w:rsidRPr="00CF6CB5">
        <w:rPr>
          <w:rFonts w:hint="eastAsia"/>
        </w:rPr>
        <w:t>104</w:t>
      </w:r>
      <w:proofErr w:type="gramEnd"/>
      <w:r w:rsidR="008C714B" w:rsidRPr="00CF6CB5">
        <w:rPr>
          <w:rFonts w:hint="eastAsia"/>
        </w:rPr>
        <w:t>年度中央政府總決算審核報告，軍公教法定給與以外其他給與項目，部分欠缺明確法律依據；又常設性任務編組之主管人員現行所支領主管職務加給亦同，致中央或地方政府以各項名義核發法定給與以外之加給，衍生公平性及適法性疑義；又公務人員俸給法所定地域加給已實施多年，因我國交通建設已非昔日規模，公務員選擇服務地區的心態似有轉變，相關加給制度應否通盤檢討？</w:t>
      </w:r>
      <w:proofErr w:type="gramStart"/>
      <w:r w:rsidR="008C714B" w:rsidRPr="00CF6CB5">
        <w:rPr>
          <w:rFonts w:hint="eastAsia"/>
        </w:rPr>
        <w:t>洵</w:t>
      </w:r>
      <w:proofErr w:type="gramEnd"/>
      <w:r w:rsidR="008C714B" w:rsidRPr="00CF6CB5">
        <w:rPr>
          <w:rFonts w:hint="eastAsia"/>
        </w:rPr>
        <w:t>有深入瞭解之必要案。</w:t>
      </w:r>
      <w:bookmarkEnd w:id="24"/>
    </w:p>
    <w:p w:rsidR="00294D6C" w:rsidRPr="00CF6CB5" w:rsidRDefault="00294D6C" w:rsidP="00294D6C">
      <w:pPr>
        <w:pStyle w:val="1"/>
        <w:kinsoku w:val="0"/>
        <w:overflowPunct/>
        <w:autoSpaceDE/>
        <w:autoSpaceDN/>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511126945"/>
      <w:bookmarkStart w:id="48" w:name="_Toc525070834"/>
      <w:bookmarkStart w:id="49" w:name="_Toc525938374"/>
      <w:bookmarkStart w:id="50" w:name="_Toc525939222"/>
      <w:bookmarkStart w:id="51" w:name="_Toc525939727"/>
      <w:bookmarkStart w:id="52" w:name="_Toc525066144"/>
      <w:bookmarkStart w:id="53" w:name="_Toc524892372"/>
      <w:r w:rsidRPr="00CF6CB5">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294D6C" w:rsidRPr="00CF6CB5" w:rsidRDefault="00294D6C" w:rsidP="00294D6C">
      <w:pPr>
        <w:pStyle w:val="10"/>
        <w:ind w:left="680" w:firstLine="680"/>
      </w:pPr>
      <w:bookmarkStart w:id="54" w:name="_Toc524902730"/>
      <w:r w:rsidRPr="00CF6CB5">
        <w:rPr>
          <w:rFonts w:hint="eastAsia"/>
        </w:rPr>
        <w:t>公務人員與國家之法律關係屬公法上之職務關係，其因執行職務而獲取之金錢給付，不同於</w:t>
      </w:r>
      <w:proofErr w:type="gramStart"/>
      <w:r w:rsidRPr="00CF6CB5">
        <w:rPr>
          <w:rFonts w:hint="eastAsia"/>
        </w:rPr>
        <w:t>對價性之</w:t>
      </w:r>
      <w:proofErr w:type="gramEnd"/>
      <w:r w:rsidRPr="00CF6CB5">
        <w:rPr>
          <w:rFonts w:hint="eastAsia"/>
        </w:rPr>
        <w:t>勞務報酬，尚具有生計照顧及保持身分品位等理論依據</w:t>
      </w:r>
      <w:r w:rsidRPr="00CF6CB5">
        <w:rPr>
          <w:rStyle w:val="aff1"/>
        </w:rPr>
        <w:footnoteReference w:id="1"/>
      </w:r>
      <w:r w:rsidRPr="00CF6CB5">
        <w:rPr>
          <w:rFonts w:hint="eastAsia"/>
        </w:rPr>
        <w:t>。從法律角度分析，公務人員之給與除福利性質之費用及生活津貼外，主要可區分為具有金錢請求權之「俸給權」及按工作績效支給之「獎金」</w:t>
      </w:r>
      <w:r w:rsidR="00221EC7" w:rsidRPr="00CF6CB5">
        <w:rPr>
          <w:rFonts w:hint="eastAsia"/>
        </w:rPr>
        <w:t>。</w:t>
      </w:r>
      <w:r w:rsidRPr="00CF6CB5">
        <w:rPr>
          <w:rFonts w:hint="eastAsia"/>
        </w:rPr>
        <w:t>前者</w:t>
      </w:r>
      <w:r w:rsidR="00221EC7" w:rsidRPr="00CF6CB5">
        <w:rPr>
          <w:rFonts w:hint="eastAsia"/>
        </w:rPr>
        <w:t>「</w:t>
      </w:r>
      <w:r w:rsidRPr="00CF6CB5">
        <w:rPr>
          <w:rFonts w:hint="eastAsia"/>
        </w:rPr>
        <w:t>俸給權</w:t>
      </w:r>
      <w:r w:rsidR="00221EC7" w:rsidRPr="00CF6CB5">
        <w:rPr>
          <w:rFonts w:hint="eastAsia"/>
        </w:rPr>
        <w:t>」</w:t>
      </w:r>
      <w:r w:rsidRPr="00CF6CB5">
        <w:rPr>
          <w:rFonts w:hint="eastAsia"/>
        </w:rPr>
        <w:t>之內涵應依公務人員俸給法（下稱俸給法）及該法授權訂定之法規命令，並視公務人員從事</w:t>
      </w:r>
      <w:proofErr w:type="gramStart"/>
      <w:r w:rsidRPr="00CF6CB5">
        <w:rPr>
          <w:rFonts w:hint="eastAsia"/>
        </w:rPr>
        <w:t>職務之繁簡</w:t>
      </w:r>
      <w:proofErr w:type="gramEnd"/>
      <w:r w:rsidRPr="00CF6CB5">
        <w:rPr>
          <w:rFonts w:hint="eastAsia"/>
        </w:rPr>
        <w:t>、責任之大小、及生活所需之程度而定俸給之多寡；至於涉及工作績效之</w:t>
      </w:r>
      <w:r w:rsidR="00221EC7" w:rsidRPr="00CF6CB5">
        <w:rPr>
          <w:rFonts w:hint="eastAsia"/>
        </w:rPr>
        <w:t>「</w:t>
      </w:r>
      <w:r w:rsidRPr="00CF6CB5">
        <w:rPr>
          <w:rFonts w:hint="eastAsia"/>
        </w:rPr>
        <w:t>獎金</w:t>
      </w:r>
      <w:r w:rsidR="00221EC7" w:rsidRPr="00CF6CB5">
        <w:rPr>
          <w:rFonts w:hint="eastAsia"/>
        </w:rPr>
        <w:t>」</w:t>
      </w:r>
      <w:r w:rsidRPr="00CF6CB5">
        <w:rPr>
          <w:rFonts w:hint="eastAsia"/>
        </w:rPr>
        <w:t>，應以促進行政效能及組織的健全發展之觀點，保留行政機關人事管理之必要彈性，其規範密度容或較低，但考量所涉及人數龐大及對國家整體財政</w:t>
      </w:r>
      <w:proofErr w:type="gramStart"/>
      <w:r w:rsidRPr="00CF6CB5">
        <w:rPr>
          <w:rFonts w:hint="eastAsia"/>
        </w:rPr>
        <w:t>規</w:t>
      </w:r>
      <w:proofErr w:type="gramEnd"/>
      <w:r w:rsidRPr="00CF6CB5">
        <w:rPr>
          <w:rFonts w:hint="eastAsia"/>
        </w:rPr>
        <w:t>畫之影響，仍有法律保留原則之適用。另從人力資源管理之角度觀之，國家支給公務人員待遇之方式應與待遇種類、</w:t>
      </w:r>
      <w:r w:rsidRPr="00CF6CB5">
        <w:rPr>
          <w:rFonts w:hint="eastAsia"/>
        </w:rPr>
        <w:lastRenderedPageBreak/>
        <w:t>支給目的相結合，支給方式應符合正當、確定、具差異性、競爭力及變動性等原則</w:t>
      </w:r>
      <w:r w:rsidRPr="00CF6CB5">
        <w:rPr>
          <w:rStyle w:val="aff1"/>
        </w:rPr>
        <w:footnoteReference w:id="2"/>
      </w:r>
      <w:r w:rsidRPr="00CF6CB5">
        <w:rPr>
          <w:rFonts w:hint="eastAsia"/>
        </w:rPr>
        <w:t>，以建立合理之薪資水準且符合人性的待遇種類。凡此均有待建立完善之公務人員待遇法制。</w:t>
      </w:r>
      <w:proofErr w:type="gramStart"/>
      <w:r w:rsidRPr="00CF6CB5">
        <w:rPr>
          <w:rFonts w:hint="eastAsia"/>
        </w:rPr>
        <w:t>惟</w:t>
      </w:r>
      <w:proofErr w:type="gramEnd"/>
      <w:r w:rsidRPr="00CF6CB5">
        <w:rPr>
          <w:rFonts w:hint="eastAsia"/>
        </w:rPr>
        <w:t>我國公務人員薪俸結構涉及人事制度之變革，不但支給種類紛亂，且基於早年國家處遇特殊等歷史因素，導致公務人員給與之項目</w:t>
      </w:r>
      <w:proofErr w:type="gramStart"/>
      <w:r w:rsidRPr="00CF6CB5">
        <w:rPr>
          <w:rFonts w:hint="eastAsia"/>
        </w:rPr>
        <w:t>迄</w:t>
      </w:r>
      <w:proofErr w:type="gramEnd"/>
      <w:r w:rsidRPr="00CF6CB5">
        <w:rPr>
          <w:rFonts w:hint="eastAsia"/>
        </w:rPr>
        <w:t>未能完全法制化，與學理之要求亦存在若干差距。目前公務人員之給與項目除本（年功）</w:t>
      </w:r>
      <w:proofErr w:type="gramStart"/>
      <w:r w:rsidRPr="00CF6CB5">
        <w:rPr>
          <w:rFonts w:hint="eastAsia"/>
        </w:rPr>
        <w:t>俸</w:t>
      </w:r>
      <w:proofErr w:type="gramEnd"/>
      <w:r w:rsidRPr="00CF6CB5">
        <w:rPr>
          <w:rFonts w:hint="eastAsia"/>
        </w:rPr>
        <w:t>及加給外</w:t>
      </w:r>
      <w:r w:rsidRPr="00CF6CB5">
        <w:rPr>
          <w:rStyle w:val="aff1"/>
        </w:rPr>
        <w:footnoteReference w:id="3"/>
      </w:r>
      <w:r w:rsidRPr="00CF6CB5">
        <w:rPr>
          <w:rFonts w:hint="eastAsia"/>
        </w:rPr>
        <w:t>，各項獎金、費用、生活津貼之性質、功能各異，多數給與項目之法源依據為「全國軍公教員工待遇支給要點」(下稱待遇支給要點)第7點及行政院核准之函文，實有違法律保留之基本原則，且個別性之獎金因未建立完整之績效評估及檢討機制，其合理性、必要性及公平性備受各界質疑。</w:t>
      </w:r>
      <w:proofErr w:type="gramStart"/>
      <w:r w:rsidRPr="00CF6CB5">
        <w:rPr>
          <w:rFonts w:hint="eastAsia"/>
        </w:rPr>
        <w:t>又縱屬</w:t>
      </w:r>
      <w:proofErr w:type="gramEnd"/>
      <w:r w:rsidRPr="00CF6CB5">
        <w:rPr>
          <w:rFonts w:hint="eastAsia"/>
        </w:rPr>
        <w:t>俸給法明定之「加給」項目，亦因考試院及行政院兩院權限分工不明確</w:t>
      </w:r>
      <w:r w:rsidR="00993EC7" w:rsidRPr="00CF6CB5">
        <w:rPr>
          <w:rFonts w:hint="eastAsia"/>
        </w:rPr>
        <w:t>之故</w:t>
      </w:r>
      <w:r w:rsidRPr="00CF6CB5">
        <w:rPr>
          <w:rFonts w:hint="eastAsia"/>
        </w:rPr>
        <w:t>，行政院</w:t>
      </w:r>
      <w:proofErr w:type="gramStart"/>
      <w:r w:rsidRPr="00CF6CB5">
        <w:rPr>
          <w:rFonts w:hint="eastAsia"/>
        </w:rPr>
        <w:t>逕</w:t>
      </w:r>
      <w:proofErr w:type="gramEnd"/>
      <w:r w:rsidRPr="00CF6CB5">
        <w:rPr>
          <w:rFonts w:hint="eastAsia"/>
        </w:rPr>
        <w:t>以「待遇支給要點」</w:t>
      </w:r>
      <w:proofErr w:type="gramStart"/>
      <w:r w:rsidRPr="00CF6CB5">
        <w:rPr>
          <w:rFonts w:hint="eastAsia"/>
        </w:rPr>
        <w:t>及函頒之</w:t>
      </w:r>
      <w:proofErr w:type="gramEnd"/>
      <w:r w:rsidRPr="00CF6CB5">
        <w:rPr>
          <w:rFonts w:hint="eastAsia"/>
        </w:rPr>
        <w:t>加給表辦理各種加給之訂定及調整，而衍生諸多疑義，例如近年來如常設性任務編組之主管加給、地域加給、都會警勤加給及消防危險加給加成等事項，均存在檢討之空間。考量生活津貼多屬「福利性」給與項目，各項費用之性質則屬「工作性報酬」，</w:t>
      </w:r>
      <w:proofErr w:type="gramStart"/>
      <w:r w:rsidRPr="00CF6CB5">
        <w:rPr>
          <w:rFonts w:hint="eastAsia"/>
        </w:rPr>
        <w:t>爰</w:t>
      </w:r>
      <w:proofErr w:type="gramEnd"/>
      <w:r w:rsidRPr="00CF6CB5">
        <w:rPr>
          <w:rFonts w:hint="eastAsia"/>
        </w:rPr>
        <w:t>將法定給與以外之其他給與調查範圍限於各類獎金</w:t>
      </w:r>
      <w:r w:rsidR="00993EC7" w:rsidRPr="00CF6CB5">
        <w:rPr>
          <w:rFonts w:hint="eastAsia"/>
        </w:rPr>
        <w:t>，然各類</w:t>
      </w:r>
      <w:proofErr w:type="gramStart"/>
      <w:r w:rsidR="00993EC7" w:rsidRPr="00CF6CB5">
        <w:rPr>
          <w:rFonts w:hint="eastAsia"/>
        </w:rPr>
        <w:t>獎金均有其</w:t>
      </w:r>
      <w:proofErr w:type="gramEnd"/>
      <w:r w:rsidR="00993EC7" w:rsidRPr="00CF6CB5">
        <w:rPr>
          <w:rFonts w:hint="eastAsia"/>
        </w:rPr>
        <w:t>存在之歷史因素及實際需求，本案無法對之逐一深入</w:t>
      </w:r>
      <w:r w:rsidR="00E76804" w:rsidRPr="00CF6CB5">
        <w:rPr>
          <w:rFonts w:hint="eastAsia"/>
        </w:rPr>
        <w:t>探究</w:t>
      </w:r>
      <w:r w:rsidR="00993EC7" w:rsidRPr="00CF6CB5">
        <w:rPr>
          <w:rFonts w:hint="eastAsia"/>
        </w:rPr>
        <w:t>，僅能朝確立給與項目</w:t>
      </w:r>
      <w:r w:rsidR="00E76804" w:rsidRPr="00CF6CB5">
        <w:rPr>
          <w:rFonts w:hint="eastAsia"/>
        </w:rPr>
        <w:t>適當</w:t>
      </w:r>
      <w:r w:rsidR="00993EC7" w:rsidRPr="00CF6CB5">
        <w:rPr>
          <w:rFonts w:hint="eastAsia"/>
        </w:rPr>
        <w:t>之法制化探討</w:t>
      </w:r>
      <w:r w:rsidRPr="00CF6CB5">
        <w:rPr>
          <w:rFonts w:hint="eastAsia"/>
        </w:rPr>
        <w:t>，</w:t>
      </w:r>
      <w:proofErr w:type="gramStart"/>
      <w:r w:rsidRPr="00CF6CB5">
        <w:rPr>
          <w:rFonts w:hint="eastAsia"/>
        </w:rPr>
        <w:t>合先敘</w:t>
      </w:r>
      <w:proofErr w:type="gramEnd"/>
      <w:r w:rsidRPr="00CF6CB5">
        <w:rPr>
          <w:rFonts w:hint="eastAsia"/>
        </w:rPr>
        <w:t>明。</w:t>
      </w:r>
      <w:r w:rsidR="00E76804" w:rsidRPr="00CF6CB5">
        <w:rPr>
          <w:rFonts w:hint="eastAsia"/>
        </w:rPr>
        <w:t>另</w:t>
      </w:r>
      <w:proofErr w:type="gramStart"/>
      <w:r w:rsidR="00E76804" w:rsidRPr="00CF6CB5">
        <w:rPr>
          <w:rFonts w:hint="eastAsia"/>
        </w:rPr>
        <w:lastRenderedPageBreak/>
        <w:t>據法稅改革</w:t>
      </w:r>
      <w:proofErr w:type="gramEnd"/>
      <w:r w:rsidR="00E76804" w:rsidRPr="00CF6CB5">
        <w:rPr>
          <w:rFonts w:hint="eastAsia"/>
        </w:rPr>
        <w:t>聯盟於</w:t>
      </w:r>
      <w:proofErr w:type="gramStart"/>
      <w:r w:rsidR="00E76804" w:rsidRPr="00CF6CB5">
        <w:rPr>
          <w:rFonts w:hint="eastAsia"/>
        </w:rPr>
        <w:t>107年1月間數度</w:t>
      </w:r>
      <w:proofErr w:type="gramEnd"/>
      <w:r w:rsidR="00E76804" w:rsidRPr="00CF6CB5">
        <w:rPr>
          <w:rFonts w:hint="eastAsia"/>
        </w:rPr>
        <w:t>到本院向本案調查委員陳訴，主張廢除稅務獎勵金乙節，因與本案性質相近，</w:t>
      </w:r>
      <w:proofErr w:type="gramStart"/>
      <w:r w:rsidR="00E76804" w:rsidRPr="00CF6CB5">
        <w:rPr>
          <w:rFonts w:hint="eastAsia"/>
        </w:rPr>
        <w:t>爰併</w:t>
      </w:r>
      <w:proofErr w:type="gramEnd"/>
      <w:r w:rsidR="00E76804" w:rsidRPr="00CF6CB5">
        <w:rPr>
          <w:rFonts w:hint="eastAsia"/>
        </w:rPr>
        <w:t>本案調查。</w:t>
      </w:r>
      <w:r w:rsidRPr="00CF6CB5">
        <w:rPr>
          <w:rFonts w:hint="eastAsia"/>
        </w:rPr>
        <w:t>經向銓敘部、行政院人事行政總處（下稱人事</w:t>
      </w:r>
      <w:r w:rsidR="00013F27" w:rsidRPr="00CF6CB5">
        <w:rPr>
          <w:rFonts w:hint="eastAsia"/>
        </w:rPr>
        <w:t>行政</w:t>
      </w:r>
      <w:r w:rsidR="00A41709" w:rsidRPr="00CF6CB5">
        <w:rPr>
          <w:rFonts w:hint="eastAsia"/>
        </w:rPr>
        <w:t>總處）、主計總處、內政部、法務部、財政部等機關調閱相關卷證資料，並於</w:t>
      </w:r>
      <w:r w:rsidR="00A41709" w:rsidRPr="00CF6CB5">
        <w:rPr>
          <w:rFonts w:hAnsi="標楷體" w:hint="eastAsia"/>
        </w:rPr>
        <w:t>民國</w:t>
      </w:r>
      <w:r w:rsidR="00A41709" w:rsidRPr="00CF6CB5">
        <w:rPr>
          <w:rFonts w:hAnsi="標楷體"/>
        </w:rPr>
        <w:t>(</w:t>
      </w:r>
      <w:r w:rsidR="00A41709" w:rsidRPr="00CF6CB5">
        <w:rPr>
          <w:rFonts w:hAnsi="標楷體" w:hint="eastAsia"/>
        </w:rPr>
        <w:t>下同</w:t>
      </w:r>
      <w:r w:rsidR="00A41709" w:rsidRPr="00CF6CB5">
        <w:rPr>
          <w:rFonts w:hAnsi="標楷體"/>
        </w:rPr>
        <w:t>)106</w:t>
      </w:r>
      <w:r w:rsidR="00A41709" w:rsidRPr="00CF6CB5">
        <w:rPr>
          <w:rFonts w:hAnsi="標楷體" w:hint="eastAsia"/>
        </w:rPr>
        <w:t>年</w:t>
      </w:r>
      <w:r w:rsidR="00A41709" w:rsidRPr="00CF6CB5">
        <w:rPr>
          <w:rFonts w:hAnsi="標楷體"/>
        </w:rPr>
        <w:t>4</w:t>
      </w:r>
      <w:r w:rsidR="00A41709" w:rsidRPr="00CF6CB5">
        <w:rPr>
          <w:rFonts w:hAnsi="標楷體" w:hint="eastAsia"/>
        </w:rPr>
        <w:t>月</w:t>
      </w:r>
      <w:r w:rsidR="00A41709" w:rsidRPr="00CF6CB5">
        <w:rPr>
          <w:rFonts w:hAnsi="標楷體"/>
        </w:rPr>
        <w:t>24</w:t>
      </w:r>
      <w:r w:rsidR="0086287E" w:rsidRPr="00CF6CB5">
        <w:rPr>
          <w:rFonts w:hAnsi="標楷體" w:hint="eastAsia"/>
        </w:rPr>
        <w:t>日</w:t>
      </w:r>
      <w:r w:rsidRPr="00CF6CB5">
        <w:rPr>
          <w:rFonts w:hint="eastAsia"/>
        </w:rPr>
        <w:t>諮詢前考試委員歐育誠、</w:t>
      </w:r>
      <w:r w:rsidR="00A41709" w:rsidRPr="00CF6CB5">
        <w:rPr>
          <w:rFonts w:hAnsi="標楷體" w:hint="eastAsia"/>
        </w:rPr>
        <w:t>國立</w:t>
      </w:r>
      <w:proofErr w:type="gramStart"/>
      <w:r w:rsidR="00A41709" w:rsidRPr="00CF6CB5">
        <w:rPr>
          <w:rFonts w:hAnsi="標楷體" w:hint="eastAsia"/>
        </w:rPr>
        <w:t>臺</w:t>
      </w:r>
      <w:proofErr w:type="gramEnd"/>
      <w:r w:rsidRPr="00CF6CB5">
        <w:rPr>
          <w:rFonts w:hint="eastAsia"/>
        </w:rPr>
        <w:t>北大學公共行政暨政策學系副教授林文燦、淡江大學公共行政學系副教授黃一峯、前人事</w:t>
      </w:r>
      <w:r w:rsidR="00013F27" w:rsidRPr="00CF6CB5">
        <w:rPr>
          <w:rFonts w:hint="eastAsia"/>
        </w:rPr>
        <w:t>行政</w:t>
      </w:r>
      <w:r w:rsidRPr="00CF6CB5">
        <w:rPr>
          <w:rFonts w:hint="eastAsia"/>
        </w:rPr>
        <w:t>總處副人事長張念中、約請</w:t>
      </w:r>
      <w:r w:rsidR="001E0928" w:rsidRPr="00CF6CB5">
        <w:rPr>
          <w:rFonts w:hint="eastAsia"/>
        </w:rPr>
        <w:t>行政院主計總處</w:t>
      </w:r>
      <w:r w:rsidR="001E0928" w:rsidRPr="00CF6CB5">
        <w:rPr>
          <w:rFonts w:hAnsi="標楷體" w:hint="eastAsia"/>
        </w:rPr>
        <w:t>（下稱主計總處）</w:t>
      </w:r>
      <w:r w:rsidR="001E0928" w:rsidRPr="00CF6CB5">
        <w:rPr>
          <w:rFonts w:hint="eastAsia"/>
        </w:rPr>
        <w:t>人事</w:t>
      </w:r>
      <w:r w:rsidR="001E0928" w:rsidRPr="00CF6CB5">
        <w:rPr>
          <w:rFonts w:hAnsi="標楷體" w:hint="eastAsia"/>
        </w:rPr>
        <w:t>行政</w:t>
      </w:r>
      <w:r w:rsidR="001E0928" w:rsidRPr="00CF6CB5">
        <w:rPr>
          <w:rFonts w:hint="eastAsia"/>
        </w:rPr>
        <w:t>總處、內政部、法務部、財政部、銓敘部</w:t>
      </w:r>
      <w:r w:rsidRPr="00CF6CB5">
        <w:rPr>
          <w:rFonts w:hint="eastAsia"/>
        </w:rPr>
        <w:t>等機關代表到院說明，調查意見如下：</w:t>
      </w:r>
    </w:p>
    <w:p w:rsidR="00294D6C" w:rsidRPr="00CF6CB5" w:rsidRDefault="00294D6C" w:rsidP="00294D6C">
      <w:pPr>
        <w:pStyle w:val="2"/>
        <w:kinsoku w:val="0"/>
        <w:overflowPunct/>
        <w:autoSpaceDE/>
        <w:autoSpaceDN/>
        <w:ind w:left="1045" w:hanging="697"/>
        <w:rPr>
          <w:b/>
        </w:rPr>
      </w:pPr>
      <w:bookmarkStart w:id="55" w:name="_Toc511126946"/>
      <w:r w:rsidRPr="00CF6CB5">
        <w:rPr>
          <w:rFonts w:hint="eastAsia"/>
          <w:b/>
        </w:rPr>
        <w:t>我國公務人員待遇法制因受傳統「特別權力關係」理論之影響，而與法律保留原則未盡相符，有其歷史因素。但立法院早自96年起，即多次決議要求行政院檢討各項獎金制度及待遇支給內容，並應儘速推動法制化。</w:t>
      </w:r>
      <w:r w:rsidR="00013F27" w:rsidRPr="00CF6CB5">
        <w:rPr>
          <w:rFonts w:hint="eastAsia"/>
          <w:b/>
        </w:rPr>
        <w:t>行政院</w:t>
      </w:r>
      <w:r w:rsidRPr="00CF6CB5">
        <w:rPr>
          <w:rFonts w:hint="eastAsia"/>
          <w:b/>
        </w:rPr>
        <w:t>人事</w:t>
      </w:r>
      <w:r w:rsidR="00013F27" w:rsidRPr="00CF6CB5">
        <w:rPr>
          <w:rFonts w:hint="eastAsia"/>
          <w:b/>
        </w:rPr>
        <w:t>行政</w:t>
      </w:r>
      <w:r w:rsidRPr="00CF6CB5">
        <w:rPr>
          <w:rFonts w:hint="eastAsia"/>
          <w:b/>
        </w:rPr>
        <w:t>總處原擬於公務人員基準法草案中，增定概括授權條款，然該法所涉範圍過廣</w:t>
      </w:r>
      <w:r w:rsidR="00F66B98" w:rsidRPr="00CF6CB5">
        <w:rPr>
          <w:rFonts w:hint="eastAsia"/>
          <w:b/>
        </w:rPr>
        <w:t>，立法</w:t>
      </w:r>
      <w:r w:rsidRPr="00CF6CB5">
        <w:rPr>
          <w:rFonts w:hint="eastAsia"/>
          <w:b/>
        </w:rPr>
        <w:t>工程浩大，推動難度極高；</w:t>
      </w:r>
      <w:proofErr w:type="gramStart"/>
      <w:r w:rsidRPr="00CF6CB5">
        <w:rPr>
          <w:rFonts w:hint="eastAsia"/>
          <w:b/>
        </w:rPr>
        <w:t>嗣</w:t>
      </w:r>
      <w:proofErr w:type="gramEnd"/>
      <w:r w:rsidRPr="00CF6CB5">
        <w:rPr>
          <w:rFonts w:hint="eastAsia"/>
          <w:b/>
        </w:rPr>
        <w:t>該總處表示擬將</w:t>
      </w:r>
      <w:r w:rsidR="00CB175F" w:rsidRPr="00CF6CB5">
        <w:rPr>
          <w:rFonts w:hint="eastAsia"/>
          <w:b/>
        </w:rPr>
        <w:t>「待遇支給要點」</w:t>
      </w:r>
      <w:r w:rsidRPr="00CF6CB5">
        <w:rPr>
          <w:rFonts w:hint="eastAsia"/>
          <w:b/>
        </w:rPr>
        <w:t>提升至法律位階，制定軍公教待遇專法，迄今仍在初步規劃階段，相關法制</w:t>
      </w:r>
      <w:r w:rsidR="00DD7D48" w:rsidRPr="00CF6CB5">
        <w:rPr>
          <w:rFonts w:hint="eastAsia"/>
          <w:b/>
        </w:rPr>
        <w:t>化</w:t>
      </w:r>
      <w:r w:rsidRPr="00CF6CB5">
        <w:rPr>
          <w:rFonts w:hint="eastAsia"/>
          <w:b/>
        </w:rPr>
        <w:t>作業顯然遷延過久，有欠積極。</w:t>
      </w:r>
      <w:bookmarkEnd w:id="55"/>
    </w:p>
    <w:p w:rsidR="00294D6C" w:rsidRPr="00CF6CB5" w:rsidRDefault="00294D6C" w:rsidP="00294D6C">
      <w:pPr>
        <w:pStyle w:val="3"/>
        <w:kinsoku w:val="0"/>
        <w:overflowPunct/>
        <w:autoSpaceDE/>
        <w:autoSpaceDN/>
        <w:ind w:left="1393" w:hanging="697"/>
        <w:rPr>
          <w:b/>
        </w:rPr>
      </w:pPr>
      <w:bookmarkStart w:id="56" w:name="_Toc510456609"/>
      <w:bookmarkStart w:id="57" w:name="_Toc510534681"/>
      <w:bookmarkStart w:id="58" w:name="_Toc511053601"/>
      <w:bookmarkStart w:id="59" w:name="_Toc511126947"/>
      <w:r w:rsidRPr="00CF6CB5">
        <w:rPr>
          <w:rFonts w:hint="eastAsia"/>
          <w:b/>
        </w:rPr>
        <w:t>現行</w:t>
      </w:r>
      <w:r w:rsidR="000A29B5" w:rsidRPr="00CF6CB5">
        <w:rPr>
          <w:rFonts w:hint="eastAsia"/>
          <w:b/>
        </w:rPr>
        <w:t>公務</w:t>
      </w:r>
      <w:r w:rsidRPr="00CF6CB5">
        <w:rPr>
          <w:rFonts w:hint="eastAsia"/>
          <w:b/>
        </w:rPr>
        <w:t>人員法定給與以外其他給與項目性質、功能各異，多數之法源依據為行政規則或行政院函令，有違法律保留及俸給法定之基本原則</w:t>
      </w:r>
      <w:r w:rsidRPr="00CF6CB5">
        <w:rPr>
          <w:rFonts w:hint="eastAsia"/>
        </w:rPr>
        <w:t>：</w:t>
      </w:r>
      <w:bookmarkEnd w:id="56"/>
      <w:bookmarkEnd w:id="57"/>
      <w:bookmarkEnd w:id="58"/>
      <w:bookmarkEnd w:id="59"/>
    </w:p>
    <w:p w:rsidR="00294D6C" w:rsidRPr="00CF6CB5" w:rsidRDefault="00294D6C" w:rsidP="000A29B5">
      <w:pPr>
        <w:pStyle w:val="4"/>
      </w:pPr>
      <w:r w:rsidRPr="00CF6CB5">
        <w:rPr>
          <w:rFonts w:hint="eastAsia"/>
        </w:rPr>
        <w:t>現代國家對於公務員與行政主體間之關係，早已揚棄傳統的「特別權力關係」理論，而</w:t>
      </w:r>
      <w:proofErr w:type="gramStart"/>
      <w:r w:rsidRPr="00CF6CB5">
        <w:rPr>
          <w:rFonts w:hint="eastAsia"/>
        </w:rPr>
        <w:t>採</w:t>
      </w:r>
      <w:proofErr w:type="gramEnd"/>
      <w:r w:rsidRPr="00CF6CB5">
        <w:rPr>
          <w:rFonts w:hint="eastAsia"/>
        </w:rPr>
        <w:t>「公法上之職務關係」或「特別法律關係」理論，認為凡</w:t>
      </w:r>
      <w:proofErr w:type="gramStart"/>
      <w:r w:rsidRPr="00CF6CB5">
        <w:rPr>
          <w:rFonts w:hint="eastAsia"/>
        </w:rPr>
        <w:t>攸</w:t>
      </w:r>
      <w:proofErr w:type="gramEnd"/>
      <w:r w:rsidRPr="00CF6CB5">
        <w:rPr>
          <w:rFonts w:hint="eastAsia"/>
        </w:rPr>
        <w:t>關相對人之基本權利者，皆不應排除「法律</w:t>
      </w:r>
      <w:r w:rsidRPr="00CF6CB5">
        <w:rPr>
          <w:rFonts w:hint="eastAsia"/>
        </w:rPr>
        <w:lastRenderedPageBreak/>
        <w:t>保留原則」之適用</w:t>
      </w:r>
      <w:r w:rsidRPr="00CF6CB5">
        <w:rPr>
          <w:rStyle w:val="aff1"/>
        </w:rPr>
        <w:footnoteReference w:id="4"/>
      </w:r>
      <w:r w:rsidRPr="00CF6CB5">
        <w:rPr>
          <w:rFonts w:hint="eastAsia"/>
        </w:rPr>
        <w:t>。又依司法院釋字第443號解釋建立之層級化保留體系，給付行政措施涉及公共利益之重大事項，應由法律直接規範或由法律明確授權之行政命令加以規定；但執行法律之細節性、技術性次要事項，得由主管機關發布命令為必要之規範。換言之，凡涉及公共利益之重大事項，皆應由法律直接規範或由法律明確授權之行政命令加以規定，此乃「法律保留原則」之重要內涵。而公務人員給與領域，並有所謂「俸給法定原則」，認為國家對公務員任何薪俸之給付，皆應有法律或其授權之法規命令為依據。其意義在於：一、基於民主國原則，公務員之薪俸屬國家重要事物，應經由代表人民之國會決定，始具有正當合理性；二、基於法治國原則，公務員薪俸之內涵應有立法或立法授權，始能防止行政權之恣意；三、可使公務員或欲擔任公職者，能預自身未來薪俸之可能性</w:t>
      </w:r>
      <w:r w:rsidRPr="00CF6CB5">
        <w:rPr>
          <w:rStyle w:val="aff1"/>
        </w:rPr>
        <w:footnoteReference w:id="5"/>
      </w:r>
      <w:r w:rsidRPr="00CF6CB5">
        <w:rPr>
          <w:rFonts w:hint="eastAsia"/>
        </w:rPr>
        <w:t>。</w:t>
      </w:r>
    </w:p>
    <w:p w:rsidR="00294D6C" w:rsidRPr="00CF6CB5" w:rsidRDefault="00294D6C" w:rsidP="001E0928">
      <w:pPr>
        <w:pStyle w:val="4"/>
      </w:pPr>
      <w:r w:rsidRPr="00CF6CB5">
        <w:rPr>
          <w:rFonts w:hint="eastAsia"/>
        </w:rPr>
        <w:t>然我國因受傳統公務員與</w:t>
      </w:r>
      <w:proofErr w:type="gramStart"/>
      <w:r w:rsidRPr="00CF6CB5">
        <w:rPr>
          <w:rFonts w:hint="eastAsia"/>
        </w:rPr>
        <w:t>國家間屬</w:t>
      </w:r>
      <w:proofErr w:type="gramEnd"/>
      <w:r w:rsidRPr="00CF6CB5">
        <w:rPr>
          <w:rFonts w:hint="eastAsia"/>
        </w:rPr>
        <w:t>「特別權力關係」理論之影響極為深遠，公務人員待遇法制之領域亦復如此。學者亦認為特別權力關係因積習久遠，為兼顧行政秩序及行政目的，除另有其他實質違憲之情事外，如僅欠缺法律授權，似可在過渡期間內暫時容忍其繼續適用</w:t>
      </w:r>
      <w:r w:rsidRPr="00CF6CB5">
        <w:rPr>
          <w:rStyle w:val="aff1"/>
        </w:rPr>
        <w:footnoteReference w:id="6"/>
      </w:r>
      <w:r w:rsidRPr="00CF6CB5">
        <w:rPr>
          <w:rFonts w:hint="eastAsia"/>
        </w:rPr>
        <w:t>。</w:t>
      </w:r>
      <w:proofErr w:type="gramStart"/>
      <w:r w:rsidRPr="00CF6CB5">
        <w:rPr>
          <w:rFonts w:hint="eastAsia"/>
        </w:rPr>
        <w:t>故審酌</w:t>
      </w:r>
      <w:proofErr w:type="gramEnd"/>
      <w:r w:rsidRPr="00CF6CB5">
        <w:rPr>
          <w:rFonts w:hint="eastAsia"/>
        </w:rPr>
        <w:t>現行公務人員待遇法制，自不能忽視各項給與項目的歷史因素。目前我國公務人員法定給與以外其他給與項目，包括各類獎金（含年終工作獎金、考績</w:t>
      </w:r>
      <w:r w:rsidRPr="00CF6CB5">
        <w:rPr>
          <w:rFonts w:hint="eastAsia"/>
        </w:rPr>
        <w:lastRenderedPageBreak/>
        <w:t>獎金及各種個別性獎金，容後詳述）、生活津貼（含婚喪生育及子女教育補助、旅遊補助、健康檢查等）及費用（含兼職費、鐘點費等），非屬</w:t>
      </w:r>
      <w:r w:rsidR="004867B1" w:rsidRPr="00CF6CB5">
        <w:rPr>
          <w:rFonts w:hint="eastAsia"/>
        </w:rPr>
        <w:t>俸給法</w:t>
      </w:r>
      <w:r w:rsidRPr="00CF6CB5">
        <w:rPr>
          <w:rFonts w:hint="eastAsia"/>
        </w:rPr>
        <w:t>、軍人待遇條例及教師待遇條例所定</w:t>
      </w:r>
      <w:proofErr w:type="gramStart"/>
      <w:r w:rsidRPr="00CF6CB5">
        <w:rPr>
          <w:rFonts w:hint="eastAsia"/>
        </w:rPr>
        <w:t>俸</w:t>
      </w:r>
      <w:proofErr w:type="gramEnd"/>
      <w:r w:rsidRPr="00CF6CB5">
        <w:rPr>
          <w:rFonts w:hint="eastAsia"/>
        </w:rPr>
        <w:t>(薪)額及加給範疇，而係由各機關依「待遇支給要點」第7點規定，報經行政院核定後實施，或以組織法或非待遇法制之作用法規定待遇支給依據。因項目繁多，金額龐大，每年中央及地方政府編列之「人事費-獎金」項下，扣除年終工作獎金及考績獎金，仍高達</w:t>
      </w:r>
      <w:r w:rsidR="006511B2" w:rsidRPr="00CF6CB5">
        <w:rPr>
          <w:rFonts w:hint="eastAsia"/>
        </w:rPr>
        <w:t>新台幣(下同)</w:t>
      </w:r>
      <w:r w:rsidRPr="00CF6CB5">
        <w:rPr>
          <w:rFonts w:hint="eastAsia"/>
        </w:rPr>
        <w:t>2百億元以上。該等法定給與外之其他給與項目數量達191項</w:t>
      </w:r>
      <w:r w:rsidRPr="00CF6CB5">
        <w:rPr>
          <w:rStyle w:val="aff1"/>
        </w:rPr>
        <w:footnoteReference w:id="7"/>
      </w:r>
      <w:r w:rsidRPr="00CF6CB5">
        <w:rPr>
          <w:rFonts w:hint="eastAsia"/>
        </w:rPr>
        <w:t>之多，欠缺法律授權依據，形成政府財政沈重負擔，長期以來社會觀感不佳，</w:t>
      </w:r>
      <w:proofErr w:type="gramStart"/>
      <w:r w:rsidRPr="00CF6CB5">
        <w:rPr>
          <w:rFonts w:hint="eastAsia"/>
        </w:rPr>
        <w:t>倍</w:t>
      </w:r>
      <w:proofErr w:type="gramEnd"/>
      <w:r w:rsidRPr="00CF6CB5">
        <w:rPr>
          <w:rFonts w:hint="eastAsia"/>
        </w:rPr>
        <w:t>受各界質疑，實有儘速法制化之必要。</w:t>
      </w:r>
    </w:p>
    <w:p w:rsidR="00294D6C" w:rsidRPr="00CF6CB5" w:rsidRDefault="00294D6C" w:rsidP="00DD7D48">
      <w:pPr>
        <w:pStyle w:val="3"/>
        <w:rPr>
          <w:b/>
        </w:rPr>
      </w:pPr>
      <w:bookmarkStart w:id="60" w:name="_Toc510456610"/>
      <w:bookmarkStart w:id="61" w:name="_Toc510534682"/>
      <w:bookmarkStart w:id="62" w:name="_Toc511053602"/>
      <w:bookmarkStart w:id="63" w:name="_Toc511126948"/>
      <w:r w:rsidRPr="00CF6CB5">
        <w:rPr>
          <w:rFonts w:hint="eastAsia"/>
          <w:b/>
        </w:rPr>
        <w:t>立法院自96年起</w:t>
      </w:r>
      <w:r w:rsidR="00DD7D48" w:rsidRPr="00CF6CB5">
        <w:rPr>
          <w:rFonts w:hint="eastAsia"/>
          <w:b/>
        </w:rPr>
        <w:t>，</w:t>
      </w:r>
      <w:r w:rsidRPr="00CF6CB5">
        <w:rPr>
          <w:rFonts w:hint="eastAsia"/>
          <w:b/>
        </w:rPr>
        <w:t>多次於審查中央政府總預算案決議</w:t>
      </w:r>
      <w:r w:rsidR="00DD7D48" w:rsidRPr="00CF6CB5">
        <w:rPr>
          <w:rFonts w:hint="eastAsia"/>
          <w:b/>
        </w:rPr>
        <w:t>，要求行政院檢討各項獎金制度及待遇支給內容，並應儘速推動法制化，</w:t>
      </w:r>
      <w:r w:rsidRPr="00CF6CB5">
        <w:rPr>
          <w:rFonts w:hint="eastAsia"/>
          <w:b/>
        </w:rPr>
        <w:t>惟相關法制</w:t>
      </w:r>
      <w:r w:rsidR="00DD7D48" w:rsidRPr="00CF6CB5">
        <w:rPr>
          <w:rFonts w:hint="eastAsia"/>
          <w:b/>
        </w:rPr>
        <w:t>化</w:t>
      </w:r>
      <w:r w:rsidRPr="00CF6CB5">
        <w:rPr>
          <w:rFonts w:hint="eastAsia"/>
          <w:b/>
        </w:rPr>
        <w:t>作業</w:t>
      </w:r>
      <w:r w:rsidR="00DD7D48" w:rsidRPr="00CF6CB5">
        <w:rPr>
          <w:rFonts w:hint="eastAsia"/>
          <w:b/>
        </w:rPr>
        <w:t>迄今</w:t>
      </w:r>
      <w:r w:rsidRPr="00CF6CB5">
        <w:rPr>
          <w:rFonts w:hint="eastAsia"/>
          <w:b/>
        </w:rPr>
        <w:t>仍毫無進展：</w:t>
      </w:r>
      <w:bookmarkEnd w:id="60"/>
      <w:bookmarkEnd w:id="61"/>
      <w:bookmarkEnd w:id="62"/>
      <w:bookmarkEnd w:id="63"/>
    </w:p>
    <w:p w:rsidR="00294D6C" w:rsidRPr="00CF6CB5" w:rsidRDefault="00294D6C" w:rsidP="00294D6C">
      <w:pPr>
        <w:pStyle w:val="4"/>
        <w:overflowPunct/>
        <w:autoSpaceDE/>
        <w:autoSpaceDN/>
        <w:ind w:left="1700" w:hanging="680"/>
      </w:pPr>
      <w:r w:rsidRPr="00CF6CB5">
        <w:rPr>
          <w:rFonts w:hint="eastAsia"/>
        </w:rPr>
        <w:t>有</w:t>
      </w:r>
      <w:proofErr w:type="gramStart"/>
      <w:r w:rsidRPr="00CF6CB5">
        <w:rPr>
          <w:rFonts w:hint="eastAsia"/>
        </w:rPr>
        <w:t>鑑</w:t>
      </w:r>
      <w:proofErr w:type="gramEnd"/>
      <w:r w:rsidRPr="00CF6CB5">
        <w:rPr>
          <w:rFonts w:hint="eastAsia"/>
        </w:rPr>
        <w:t>於法定給與外其他給與項目欠缺法源依據，立法院於審查96年度、98年度、</w:t>
      </w:r>
      <w:proofErr w:type="gramStart"/>
      <w:r w:rsidRPr="00CF6CB5">
        <w:rPr>
          <w:rFonts w:hint="eastAsia"/>
        </w:rPr>
        <w:t>102</w:t>
      </w:r>
      <w:proofErr w:type="gramEnd"/>
      <w:r w:rsidRPr="00CF6CB5">
        <w:rPr>
          <w:rFonts w:hint="eastAsia"/>
        </w:rPr>
        <w:t>年度中央政府總預算案，一再決議要求行政院及</w:t>
      </w:r>
      <w:r w:rsidR="00013F27" w:rsidRPr="00CF6CB5">
        <w:rPr>
          <w:rFonts w:hint="eastAsia"/>
        </w:rPr>
        <w:t>人事行政總處</w:t>
      </w:r>
      <w:r w:rsidRPr="00CF6CB5">
        <w:rPr>
          <w:rFonts w:hint="eastAsia"/>
        </w:rPr>
        <w:t>檢討各項獎金制度及待遇支給內容，並應儘速推動法制化之改革方案，決議情形如下：</w:t>
      </w:r>
    </w:p>
    <w:p w:rsidR="00294D6C" w:rsidRPr="00CF6CB5" w:rsidRDefault="00294D6C" w:rsidP="001E0928">
      <w:pPr>
        <w:pStyle w:val="5"/>
      </w:pPr>
      <w:r w:rsidRPr="00CF6CB5">
        <w:rPr>
          <w:rFonts w:hint="eastAsia"/>
        </w:rPr>
        <w:t>立法院審查96年度中央政府總預算案決議：「憲法規定所有涉及人民之權利或義務都應以法律定之，對於與國家有契約之公務人員更應該保障其權利及義務，因此，對於其薪俸加給及獎金都應該以法律定之。然而預算科目項下</w:t>
      </w:r>
      <w:r w:rsidRPr="00CF6CB5">
        <w:rPr>
          <w:rFonts w:hint="eastAsia"/>
        </w:rPr>
        <w:lastRenderedPageBreak/>
        <w:t>編列之獎金，除考績獎金是有法源依據得以編列外，其餘獎金項目僅用行政命令之方式發放，讓人質疑其領取之公正性，</w:t>
      </w:r>
      <w:proofErr w:type="gramStart"/>
      <w:r w:rsidRPr="00CF6CB5">
        <w:rPr>
          <w:rFonts w:hint="eastAsia"/>
        </w:rPr>
        <w:t>顯陷公務人員</w:t>
      </w:r>
      <w:proofErr w:type="gramEnd"/>
      <w:r w:rsidRPr="00CF6CB5">
        <w:rPr>
          <w:rFonts w:hint="eastAsia"/>
        </w:rPr>
        <w:t>於不義。</w:t>
      </w:r>
      <w:proofErr w:type="gramStart"/>
      <w:r w:rsidRPr="00CF6CB5">
        <w:rPr>
          <w:rFonts w:hint="eastAsia"/>
        </w:rPr>
        <w:t>爰</w:t>
      </w:r>
      <w:proofErr w:type="gramEnd"/>
      <w:r w:rsidRPr="00CF6CB5">
        <w:rPr>
          <w:rFonts w:hint="eastAsia"/>
        </w:rPr>
        <w:t>此，要求</w:t>
      </w:r>
      <w:r w:rsidR="00A41709" w:rsidRPr="00CF6CB5">
        <w:rPr>
          <w:rFonts w:hint="eastAsia"/>
        </w:rPr>
        <w:t>原行政院</w:t>
      </w:r>
      <w:r w:rsidRPr="00CF6CB5">
        <w:rPr>
          <w:rFonts w:hint="eastAsia"/>
        </w:rPr>
        <w:t>人事行政局</w:t>
      </w:r>
      <w:r w:rsidR="00A41709" w:rsidRPr="00CF6CB5">
        <w:rPr>
          <w:rFonts w:hAnsi="標楷體" w:hint="eastAsia"/>
        </w:rPr>
        <w:t>（下稱</w:t>
      </w:r>
      <w:r w:rsidR="00A41709" w:rsidRPr="00CF6CB5">
        <w:rPr>
          <w:rFonts w:hint="eastAsia"/>
        </w:rPr>
        <w:t>原人事行政局</w:t>
      </w:r>
      <w:r w:rsidR="00A41709" w:rsidRPr="00CF6CB5">
        <w:rPr>
          <w:rFonts w:hAnsi="標楷體" w:hint="eastAsia"/>
        </w:rPr>
        <w:t>）</w:t>
      </w:r>
      <w:r w:rsidRPr="00CF6CB5">
        <w:rPr>
          <w:rFonts w:hint="eastAsia"/>
        </w:rPr>
        <w:t>應於95年12月18日起6個月內，提出『獎金制度』法制化版本。」</w:t>
      </w:r>
    </w:p>
    <w:p w:rsidR="00294D6C" w:rsidRPr="00CF6CB5" w:rsidRDefault="00294D6C" w:rsidP="001E0928">
      <w:pPr>
        <w:pStyle w:val="5"/>
      </w:pPr>
      <w:r w:rsidRPr="00CF6CB5">
        <w:rPr>
          <w:rFonts w:hint="eastAsia"/>
        </w:rPr>
        <w:t>立法院審查98年度中央政府總預算案決議：「公務人員之待遇中除公務人員考績獎金外，還編有各種名目之獎金，但由於該等獎金並無法源依據，</w:t>
      </w:r>
      <w:proofErr w:type="gramStart"/>
      <w:r w:rsidRPr="00CF6CB5">
        <w:rPr>
          <w:rFonts w:hint="eastAsia"/>
        </w:rPr>
        <w:t>爰</w:t>
      </w:r>
      <w:proofErr w:type="gramEnd"/>
      <w:r w:rsidRPr="00CF6CB5">
        <w:rPr>
          <w:rFonts w:hint="eastAsia"/>
        </w:rPr>
        <w:t>要求行政院應檢討各項獎金制度及待遇支給內容，並建請將檢討報告及改進方案送立法院。」</w:t>
      </w:r>
    </w:p>
    <w:p w:rsidR="00294D6C" w:rsidRPr="00CF6CB5" w:rsidRDefault="00294D6C" w:rsidP="001E0928">
      <w:pPr>
        <w:pStyle w:val="5"/>
      </w:pPr>
      <w:r w:rsidRPr="00CF6CB5">
        <w:rPr>
          <w:rFonts w:hint="eastAsia"/>
        </w:rPr>
        <w:t>立法院審查102年中央政府總預算案決議略</w:t>
      </w:r>
      <w:proofErr w:type="gramStart"/>
      <w:r w:rsidRPr="00CF6CB5">
        <w:rPr>
          <w:rFonts w:hint="eastAsia"/>
        </w:rPr>
        <w:t>以</w:t>
      </w:r>
      <w:proofErr w:type="gramEnd"/>
      <w:r w:rsidRPr="00CF6CB5">
        <w:rPr>
          <w:rFonts w:hint="eastAsia"/>
        </w:rPr>
        <w:t>，</w:t>
      </w:r>
      <w:r w:rsidR="00013F27" w:rsidRPr="00CF6CB5">
        <w:rPr>
          <w:rFonts w:hint="eastAsia"/>
        </w:rPr>
        <w:t>人事行政總處</w:t>
      </w:r>
      <w:r w:rsidRPr="00CF6CB5">
        <w:rPr>
          <w:rFonts w:hint="eastAsia"/>
        </w:rPr>
        <w:t>對於中央政府各機關未法制化的預算項目，應秉於職權嚴加督促相關機關檢討，</w:t>
      </w:r>
      <w:proofErr w:type="gramStart"/>
      <w:r w:rsidRPr="00CF6CB5">
        <w:rPr>
          <w:rFonts w:hint="eastAsia"/>
        </w:rPr>
        <w:t>一</w:t>
      </w:r>
      <w:proofErr w:type="gramEnd"/>
      <w:r w:rsidRPr="00CF6CB5">
        <w:rPr>
          <w:rFonts w:hint="eastAsia"/>
        </w:rPr>
        <w:t>年內提出相關改革方案。</w:t>
      </w:r>
    </w:p>
    <w:p w:rsidR="00294D6C" w:rsidRPr="00CF6CB5" w:rsidRDefault="00294D6C" w:rsidP="00294D6C">
      <w:pPr>
        <w:pStyle w:val="4"/>
        <w:overflowPunct/>
        <w:autoSpaceDE/>
        <w:autoSpaceDN/>
        <w:ind w:left="1700" w:hanging="680"/>
      </w:pPr>
      <w:r w:rsidRPr="00CF6CB5">
        <w:rPr>
          <w:rFonts w:hint="eastAsia"/>
        </w:rPr>
        <w:t>有關行政院之辦理情形，</w:t>
      </w:r>
      <w:proofErr w:type="gramStart"/>
      <w:r w:rsidRPr="00CF6CB5">
        <w:rPr>
          <w:rFonts w:hint="eastAsia"/>
        </w:rPr>
        <w:t>詢</w:t>
      </w:r>
      <w:proofErr w:type="gramEnd"/>
      <w:r w:rsidRPr="00CF6CB5">
        <w:rPr>
          <w:rFonts w:hint="eastAsia"/>
        </w:rPr>
        <w:t>據</w:t>
      </w:r>
      <w:r w:rsidR="00013F27" w:rsidRPr="00CF6CB5">
        <w:rPr>
          <w:rFonts w:hint="eastAsia"/>
        </w:rPr>
        <w:t>人事行政總處</w:t>
      </w:r>
      <w:r w:rsidRPr="00CF6CB5">
        <w:rPr>
          <w:rFonts w:hint="eastAsia"/>
        </w:rPr>
        <w:t>稱：</w:t>
      </w:r>
    </w:p>
    <w:p w:rsidR="00294D6C" w:rsidRPr="00CF6CB5" w:rsidRDefault="00294D6C" w:rsidP="001E0928">
      <w:pPr>
        <w:pStyle w:val="5"/>
      </w:pPr>
      <w:r w:rsidRPr="00CF6CB5">
        <w:rPr>
          <w:rFonts w:hint="eastAsia"/>
        </w:rPr>
        <w:t>軍公教員工各項獎金及其他給與，</w:t>
      </w:r>
      <w:proofErr w:type="gramStart"/>
      <w:r w:rsidRPr="00CF6CB5">
        <w:rPr>
          <w:rFonts w:hint="eastAsia"/>
        </w:rPr>
        <w:t>向係由</w:t>
      </w:r>
      <w:proofErr w:type="gramEnd"/>
      <w:r w:rsidRPr="00CF6CB5">
        <w:rPr>
          <w:rFonts w:hint="eastAsia"/>
        </w:rPr>
        <w:t>行政院審酌各類人員工作狀況及整體資源配置情形核定支給規範，透過預算案之提出，經立法機關審議通過，依司法院釋字第391號解釋及第520號解釋，屬措施性法律，符合法制。</w:t>
      </w:r>
    </w:p>
    <w:p w:rsidR="00294D6C" w:rsidRPr="00CF6CB5" w:rsidRDefault="00294D6C" w:rsidP="001E0928">
      <w:pPr>
        <w:pStyle w:val="5"/>
      </w:pPr>
      <w:r w:rsidRPr="00CF6CB5">
        <w:rPr>
          <w:rFonts w:hint="eastAsia"/>
        </w:rPr>
        <w:t>惟應立法機關審查意見，該總處自96年起積極</w:t>
      </w:r>
      <w:proofErr w:type="gramStart"/>
      <w:r w:rsidRPr="00CF6CB5">
        <w:rPr>
          <w:rFonts w:hint="eastAsia"/>
        </w:rPr>
        <w:t>研</w:t>
      </w:r>
      <w:proofErr w:type="gramEnd"/>
      <w:r w:rsidRPr="00CF6CB5">
        <w:rPr>
          <w:rFonts w:hint="eastAsia"/>
        </w:rPr>
        <w:t>議，經函請有關機關表示意見、邀請學者專家召開座談會、會商並經主管機關銓敘部同意，擬於「公務人員基準法」草案第56條授權行政院訂定法規命令，作為獎金發給之法源依據。</w:t>
      </w:r>
    </w:p>
    <w:p w:rsidR="00294D6C" w:rsidRPr="00CF6CB5" w:rsidRDefault="00294D6C" w:rsidP="001E0928">
      <w:pPr>
        <w:pStyle w:val="5"/>
      </w:pPr>
      <w:r w:rsidRPr="00CF6CB5">
        <w:rPr>
          <w:rFonts w:hint="eastAsia"/>
        </w:rPr>
        <w:t>該總處為預為因應配套措施，自97年起</w:t>
      </w:r>
      <w:proofErr w:type="gramStart"/>
      <w:r w:rsidRPr="00CF6CB5">
        <w:rPr>
          <w:rFonts w:hint="eastAsia"/>
        </w:rPr>
        <w:t>研</w:t>
      </w:r>
      <w:proofErr w:type="gramEnd"/>
      <w:r w:rsidRPr="00CF6CB5">
        <w:rPr>
          <w:rFonts w:hint="eastAsia"/>
        </w:rPr>
        <w:t>商訂定「公務人員獎金支給辦法」草案，惟因公務人員基準法草案未能於立法院第8屆委員任期</w:t>
      </w:r>
      <w:r w:rsidRPr="00CF6CB5">
        <w:rPr>
          <w:rFonts w:hint="eastAsia"/>
        </w:rPr>
        <w:lastRenderedPageBreak/>
        <w:t>屆滿前（105年1月31日）完成立法，故該總處刻正</w:t>
      </w:r>
      <w:proofErr w:type="gramStart"/>
      <w:r w:rsidRPr="00CF6CB5">
        <w:rPr>
          <w:rFonts w:hint="eastAsia"/>
        </w:rPr>
        <w:t>研</w:t>
      </w:r>
      <w:proofErr w:type="gramEnd"/>
      <w:r w:rsidRPr="00CF6CB5">
        <w:rPr>
          <w:rFonts w:hint="eastAsia"/>
        </w:rPr>
        <w:t>議訂定各機關學校人員給與共同適用之管理法律，評估將公務人員獎金法制化納入，以提升其法制化位階等語。</w:t>
      </w:r>
    </w:p>
    <w:p w:rsidR="00294D6C" w:rsidRPr="00CF6CB5" w:rsidRDefault="00013F27" w:rsidP="00294D6C">
      <w:pPr>
        <w:pStyle w:val="3"/>
        <w:kinsoku w:val="0"/>
        <w:overflowPunct/>
        <w:autoSpaceDE/>
        <w:autoSpaceDN/>
        <w:ind w:left="1393" w:hanging="697"/>
      </w:pPr>
      <w:bookmarkStart w:id="64" w:name="_Toc510456611"/>
      <w:bookmarkStart w:id="65" w:name="_Toc510534683"/>
      <w:bookmarkStart w:id="66" w:name="_Toc511053603"/>
      <w:bookmarkStart w:id="67" w:name="_Toc511126949"/>
      <w:r w:rsidRPr="00CF6CB5">
        <w:rPr>
          <w:rFonts w:hint="eastAsia"/>
        </w:rPr>
        <w:t>人事行政總處</w:t>
      </w:r>
      <w:r w:rsidR="00294D6C" w:rsidRPr="00CF6CB5">
        <w:rPr>
          <w:rFonts w:hint="eastAsia"/>
        </w:rPr>
        <w:t>所持之各項理由，本院審酌如下：</w:t>
      </w:r>
      <w:bookmarkEnd w:id="64"/>
      <w:bookmarkEnd w:id="65"/>
      <w:bookmarkEnd w:id="66"/>
      <w:bookmarkEnd w:id="67"/>
    </w:p>
    <w:p w:rsidR="00294D6C" w:rsidRPr="00CF6CB5" w:rsidRDefault="00294D6C" w:rsidP="001E0928">
      <w:pPr>
        <w:pStyle w:val="4"/>
      </w:pPr>
      <w:r w:rsidRPr="00CF6CB5">
        <w:rPr>
          <w:rFonts w:hint="eastAsia"/>
          <w:b/>
        </w:rPr>
        <w:t>預算（措施性法律）不足以作為各類獎金之法律依據</w:t>
      </w:r>
      <w:r w:rsidRPr="00CF6CB5">
        <w:rPr>
          <w:rFonts w:hint="eastAsia"/>
        </w:rPr>
        <w:t>：</w:t>
      </w:r>
    </w:p>
    <w:p w:rsidR="00294D6C" w:rsidRPr="00CF6CB5" w:rsidRDefault="00013F27" w:rsidP="00294D6C">
      <w:pPr>
        <w:pStyle w:val="42"/>
        <w:ind w:left="1701" w:firstLine="680"/>
      </w:pPr>
      <w:r w:rsidRPr="00CF6CB5">
        <w:rPr>
          <w:rFonts w:hint="eastAsia"/>
        </w:rPr>
        <w:t>人事行政</w:t>
      </w:r>
      <w:proofErr w:type="gramStart"/>
      <w:r w:rsidRPr="00CF6CB5">
        <w:rPr>
          <w:rFonts w:hint="eastAsia"/>
        </w:rPr>
        <w:t>總處</w:t>
      </w:r>
      <w:r w:rsidR="00294D6C" w:rsidRPr="00CF6CB5">
        <w:rPr>
          <w:rFonts w:hint="eastAsia"/>
        </w:rPr>
        <w:t>固表示</w:t>
      </w:r>
      <w:proofErr w:type="gramEnd"/>
      <w:r w:rsidR="00294D6C" w:rsidRPr="00CF6CB5">
        <w:rPr>
          <w:rFonts w:hint="eastAsia"/>
        </w:rPr>
        <w:t>，公務人員各項獎金及其他給與均依法編有預算云云。</w:t>
      </w:r>
      <w:proofErr w:type="gramStart"/>
      <w:r w:rsidR="00294D6C" w:rsidRPr="00CF6CB5">
        <w:rPr>
          <w:rFonts w:hint="eastAsia"/>
        </w:rPr>
        <w:t>惟</w:t>
      </w:r>
      <w:proofErr w:type="gramEnd"/>
      <w:r w:rsidR="00294D6C" w:rsidRPr="00CF6CB5">
        <w:rPr>
          <w:rFonts w:hint="eastAsia"/>
        </w:rPr>
        <w:t>預算案僅具有「法律之形式」，無</w:t>
      </w:r>
      <w:proofErr w:type="gramStart"/>
      <w:r w:rsidR="00294D6C" w:rsidRPr="00CF6CB5">
        <w:rPr>
          <w:rFonts w:hint="eastAsia"/>
        </w:rPr>
        <w:t>規</w:t>
      </w:r>
      <w:proofErr w:type="gramEnd"/>
      <w:r w:rsidR="00294D6C" w:rsidRPr="00CF6CB5">
        <w:rPr>
          <w:rFonts w:hint="eastAsia"/>
        </w:rPr>
        <w:t>制人民權利義務之「法規範內容」，故僅為「形式之法律」，非「實質之法律」。各年度之預算法案，係國家內部之法律，而非規範國家與人民關係，具有外部效力之外部法，應不符法律保留原則。以預算法之高度抽象，如何滿足以法律拘束行政之目的，亦非無疑問</w:t>
      </w:r>
      <w:r w:rsidR="00294D6C" w:rsidRPr="00CF6CB5">
        <w:rPr>
          <w:rStyle w:val="aff1"/>
        </w:rPr>
        <w:footnoteReference w:id="8"/>
      </w:r>
      <w:r w:rsidR="00294D6C" w:rsidRPr="00CF6CB5">
        <w:rPr>
          <w:rFonts w:hint="eastAsia"/>
        </w:rPr>
        <w:t>。故司法院釋字第391號解釋特別闡明：「預算案實質上為行政行為之一種，但基於民主憲政之原理，預算案又必須由立法機關審議通過而具有法律之形式，故有稱為措施行法律者，以有別於通常意義之法律」，即在說明預算案與法律之不同。又依行政院訂頒「軍公教人員法定給與以外其他給與項目法制化推動計畫」</w:t>
      </w:r>
      <w:r w:rsidR="0094458B" w:rsidRPr="00CF6CB5">
        <w:rPr>
          <w:rFonts w:hAnsi="標楷體" w:hint="eastAsia"/>
        </w:rPr>
        <w:t>（</w:t>
      </w:r>
      <w:r w:rsidR="0094458B" w:rsidRPr="00CF6CB5">
        <w:rPr>
          <w:rFonts w:hint="eastAsia"/>
        </w:rPr>
        <w:t>下稱法制化推動計畫</w:t>
      </w:r>
      <w:r w:rsidR="0094458B" w:rsidRPr="00CF6CB5">
        <w:rPr>
          <w:rFonts w:hAnsi="標楷體" w:hint="eastAsia"/>
        </w:rPr>
        <w:t>）</w:t>
      </w:r>
      <w:r w:rsidR="0094458B" w:rsidRPr="00CF6CB5">
        <w:rPr>
          <w:rStyle w:val="aff1"/>
          <w:rFonts w:hAnsi="標楷體"/>
        </w:rPr>
        <w:footnoteReference w:id="9"/>
      </w:r>
      <w:r w:rsidR="00294D6C" w:rsidRPr="00CF6CB5">
        <w:rPr>
          <w:rFonts w:hint="eastAsia"/>
        </w:rPr>
        <w:t>法制位階判斷基準及審查小組審查結果，均認為「獎金型態之給付」原則上應有法律或法律授權為依據</w:t>
      </w:r>
      <w:r w:rsidR="00294D6C" w:rsidRPr="00CF6CB5">
        <w:rPr>
          <w:rStyle w:val="aff1"/>
        </w:rPr>
        <w:footnoteReference w:id="10"/>
      </w:r>
      <w:r w:rsidR="00294D6C" w:rsidRPr="00CF6CB5">
        <w:rPr>
          <w:rFonts w:hint="eastAsia"/>
        </w:rPr>
        <w:t>，僅「與本職無涉之工作給付」、「未涉生活維繫，具補充性質之給付」及「具有期限性之</w:t>
      </w:r>
      <w:r w:rsidR="00294D6C" w:rsidRPr="00CF6CB5">
        <w:rPr>
          <w:rFonts w:hint="eastAsia"/>
        </w:rPr>
        <w:lastRenderedPageBreak/>
        <w:t>給付」3類給與項目，在不致造成政府重大財政負擔的前提下，得以行政規則規範。亦即各類獎金雖有編列年度預算案，並經由立法院審議通過而具有法律之形式，但不足以作為法律保留所要求之法律依據。</w:t>
      </w:r>
    </w:p>
    <w:p w:rsidR="00294D6C" w:rsidRPr="00CF6CB5" w:rsidRDefault="00294D6C" w:rsidP="001E0928">
      <w:pPr>
        <w:pStyle w:val="4"/>
        <w:rPr>
          <w:b/>
        </w:rPr>
      </w:pPr>
      <w:r w:rsidRPr="00CF6CB5">
        <w:rPr>
          <w:rFonts w:hint="eastAsia"/>
          <w:b/>
        </w:rPr>
        <w:t>公務人員基準法草案規範內容極廣，立法推動不易：</w:t>
      </w:r>
    </w:p>
    <w:p w:rsidR="00294D6C" w:rsidRPr="00CF6CB5" w:rsidRDefault="00013F27" w:rsidP="00294D6C">
      <w:pPr>
        <w:pStyle w:val="42"/>
        <w:ind w:left="1701" w:firstLine="680"/>
      </w:pPr>
      <w:r w:rsidRPr="00CF6CB5">
        <w:rPr>
          <w:rFonts w:hint="eastAsia"/>
        </w:rPr>
        <w:t>人事行政總處</w:t>
      </w:r>
      <w:r w:rsidR="00294D6C" w:rsidRPr="00CF6CB5">
        <w:rPr>
          <w:rFonts w:hint="eastAsia"/>
        </w:rPr>
        <w:t>稱，為因應立法機關審查意見，擬於公務人員基準法草案第56條授權行政院訂定法規命令云云。經查，100年5月18日考試院、行政院會銜送請立法院審議之「公務人員基準法」草案，其規範對象涵蓋政務人員、常務人員及法官與檢察官，其規範內容包括公務人員義務與服勤、考試、任用、</w:t>
      </w:r>
      <w:proofErr w:type="gramStart"/>
      <w:r w:rsidR="00294D6C" w:rsidRPr="00CF6CB5">
        <w:rPr>
          <w:rFonts w:hint="eastAsia"/>
        </w:rPr>
        <w:t>陞</w:t>
      </w:r>
      <w:proofErr w:type="gramEnd"/>
      <w:r w:rsidR="00294D6C" w:rsidRPr="00CF6CB5">
        <w:rPr>
          <w:rFonts w:hint="eastAsia"/>
        </w:rPr>
        <w:t>遷、俸給、獎金、福利、考績、退休、撫</w:t>
      </w:r>
      <w:proofErr w:type="gramStart"/>
      <w:r w:rsidR="00294D6C" w:rsidRPr="00CF6CB5">
        <w:rPr>
          <w:rFonts w:hint="eastAsia"/>
        </w:rPr>
        <w:t>卹</w:t>
      </w:r>
      <w:proofErr w:type="gramEnd"/>
      <w:r w:rsidR="00294D6C" w:rsidRPr="00CF6CB5">
        <w:rPr>
          <w:rFonts w:hint="eastAsia"/>
        </w:rPr>
        <w:t>、保險、保障與培訓等事項，現行公務員服務法、公務員懲戒法、公務人員任用法、公務人員考試法、公務人員考績法、公務人員保障法、公務人員行政中立法、</w:t>
      </w:r>
      <w:r w:rsidR="004867B1" w:rsidRPr="00CF6CB5">
        <w:rPr>
          <w:rFonts w:hint="eastAsia"/>
        </w:rPr>
        <w:t>俸給法</w:t>
      </w:r>
      <w:r w:rsidR="00294D6C" w:rsidRPr="00CF6CB5">
        <w:rPr>
          <w:rFonts w:hint="eastAsia"/>
        </w:rPr>
        <w:t>、公務人員退休法、公務人員</w:t>
      </w:r>
      <w:proofErr w:type="gramStart"/>
      <w:r w:rsidR="00294D6C" w:rsidRPr="00CF6CB5">
        <w:rPr>
          <w:rFonts w:hint="eastAsia"/>
        </w:rPr>
        <w:t>陞</w:t>
      </w:r>
      <w:proofErr w:type="gramEnd"/>
      <w:r w:rsidR="00294D6C" w:rsidRPr="00CF6CB5">
        <w:rPr>
          <w:rFonts w:hint="eastAsia"/>
        </w:rPr>
        <w:t>遷法、公務人員撫</w:t>
      </w:r>
      <w:proofErr w:type="gramStart"/>
      <w:r w:rsidR="00294D6C" w:rsidRPr="00CF6CB5">
        <w:rPr>
          <w:rFonts w:hint="eastAsia"/>
        </w:rPr>
        <w:t>卹</w:t>
      </w:r>
      <w:proofErr w:type="gramEnd"/>
      <w:r w:rsidR="00294D6C" w:rsidRPr="00CF6CB5">
        <w:rPr>
          <w:rFonts w:hint="eastAsia"/>
        </w:rPr>
        <w:t>法及相關子</w:t>
      </w:r>
      <w:proofErr w:type="gramStart"/>
      <w:r w:rsidR="00294D6C" w:rsidRPr="00CF6CB5">
        <w:rPr>
          <w:rFonts w:hint="eastAsia"/>
        </w:rPr>
        <w:t>法均需配合</w:t>
      </w:r>
      <w:proofErr w:type="gramEnd"/>
      <w:r w:rsidR="00294D6C" w:rsidRPr="00CF6CB5">
        <w:rPr>
          <w:rFonts w:hint="eastAsia"/>
        </w:rPr>
        <w:t>檢討修正，工程相當浩大。且考試院自74年3月28</w:t>
      </w:r>
      <w:r w:rsidR="00474560" w:rsidRPr="00CF6CB5">
        <w:rPr>
          <w:rFonts w:hint="eastAsia"/>
        </w:rPr>
        <w:t>日通過施政綱領，決定</w:t>
      </w:r>
      <w:proofErr w:type="gramStart"/>
      <w:r w:rsidR="00474560" w:rsidRPr="00CF6CB5">
        <w:rPr>
          <w:rFonts w:hint="eastAsia"/>
        </w:rPr>
        <w:t>研</w:t>
      </w:r>
      <w:proofErr w:type="gramEnd"/>
      <w:r w:rsidR="00474560" w:rsidRPr="00CF6CB5">
        <w:rPr>
          <w:rFonts w:hint="eastAsia"/>
        </w:rPr>
        <w:t>訂公務人員基準法</w:t>
      </w:r>
      <w:r w:rsidR="00294D6C" w:rsidRPr="00CF6CB5">
        <w:rPr>
          <w:rFonts w:hint="eastAsia"/>
        </w:rPr>
        <w:t>以來，5度函請行政院同意會銜；89年4月起考試院與行政院3度會銜送立法院審議，皆未能通過立法。</w:t>
      </w:r>
      <w:proofErr w:type="gramStart"/>
      <w:r w:rsidR="00294D6C" w:rsidRPr="00CF6CB5">
        <w:rPr>
          <w:rFonts w:hint="eastAsia"/>
        </w:rPr>
        <w:t>迄</w:t>
      </w:r>
      <w:proofErr w:type="gramEnd"/>
      <w:r w:rsidR="00294D6C" w:rsidRPr="00CF6CB5">
        <w:rPr>
          <w:rFonts w:hint="eastAsia"/>
        </w:rPr>
        <w:t>97年11月起銓敘部重新</w:t>
      </w:r>
      <w:proofErr w:type="gramStart"/>
      <w:r w:rsidR="00294D6C" w:rsidRPr="00CF6CB5">
        <w:rPr>
          <w:rFonts w:hint="eastAsia"/>
        </w:rPr>
        <w:t>研</w:t>
      </w:r>
      <w:proofErr w:type="gramEnd"/>
      <w:r w:rsidR="00294D6C" w:rsidRPr="00CF6CB5">
        <w:rPr>
          <w:rFonts w:hint="eastAsia"/>
        </w:rPr>
        <w:t>擬草案，100年經考試院院會審議通過，同年5月18日與行政院第4次</w:t>
      </w:r>
      <w:proofErr w:type="gramStart"/>
      <w:r w:rsidR="00294D6C" w:rsidRPr="00CF6CB5">
        <w:rPr>
          <w:rFonts w:hint="eastAsia"/>
        </w:rPr>
        <w:t>會銜函送</w:t>
      </w:r>
      <w:proofErr w:type="gramEnd"/>
      <w:r w:rsidR="00294D6C" w:rsidRPr="00CF6CB5">
        <w:rPr>
          <w:rFonts w:hint="eastAsia"/>
        </w:rPr>
        <w:t>立法院審議，仍未審查通過</w:t>
      </w:r>
      <w:r w:rsidR="00294D6C" w:rsidRPr="00CF6CB5">
        <w:rPr>
          <w:rStyle w:val="aff1"/>
        </w:rPr>
        <w:footnoteReference w:id="11"/>
      </w:r>
      <w:r w:rsidR="00294D6C" w:rsidRPr="00CF6CB5">
        <w:rPr>
          <w:rFonts w:hint="eastAsia"/>
        </w:rPr>
        <w:t>。可見該法所涉之爭議過廣，推動難度極高。</w:t>
      </w:r>
    </w:p>
    <w:p w:rsidR="00294D6C" w:rsidRPr="00CF6CB5" w:rsidRDefault="00294D6C" w:rsidP="001E0928">
      <w:pPr>
        <w:pStyle w:val="4"/>
        <w:rPr>
          <w:b/>
        </w:rPr>
      </w:pPr>
      <w:r w:rsidRPr="00CF6CB5">
        <w:rPr>
          <w:rFonts w:hint="eastAsia"/>
          <w:b/>
        </w:rPr>
        <w:lastRenderedPageBreak/>
        <w:t>原草案內容未規定獎金支給之基本原則，學者認為有授權過於空泛之虞：</w:t>
      </w:r>
    </w:p>
    <w:p w:rsidR="00294D6C" w:rsidRPr="00CF6CB5" w:rsidRDefault="00294D6C" w:rsidP="00294D6C">
      <w:pPr>
        <w:pStyle w:val="42"/>
        <w:ind w:left="1701" w:firstLine="680"/>
      </w:pPr>
      <w:r w:rsidRPr="00CF6CB5">
        <w:rPr>
          <w:rFonts w:hint="eastAsia"/>
        </w:rPr>
        <w:t>按法律保留或俸給法定原則，並非指公務人員待遇僅得以法律直接規定，基於法律授權之法規命令亦得為之。然法律授權訂定法規命令時，「授權之內容、目的及範圍應於法律中加以規定」，始符合授權明確性原則，尚不得以空白條款方式授權</w:t>
      </w:r>
      <w:r w:rsidRPr="00CF6CB5">
        <w:rPr>
          <w:rStyle w:val="aff1"/>
        </w:rPr>
        <w:footnoteReference w:id="12"/>
      </w:r>
      <w:r w:rsidRPr="00CF6CB5">
        <w:rPr>
          <w:rFonts w:hint="eastAsia"/>
        </w:rPr>
        <w:t>。經查，公務人員基準法草案第56條規定：「（第</w:t>
      </w:r>
      <w:r w:rsidR="001E0928" w:rsidRPr="00CF6CB5">
        <w:rPr>
          <w:rFonts w:hint="eastAsia"/>
        </w:rPr>
        <w:t>1</w:t>
      </w:r>
      <w:r w:rsidRPr="00CF6CB5">
        <w:rPr>
          <w:rFonts w:hint="eastAsia"/>
        </w:rPr>
        <w:t>項）為激勵公務人員士氣、獎勵特殊工作績效，以達成施政目標，提升行政效能，政府得視財政狀況發給獎金。（第</w:t>
      </w:r>
      <w:r w:rsidR="001E0928" w:rsidRPr="00CF6CB5">
        <w:rPr>
          <w:rFonts w:hint="eastAsia"/>
        </w:rPr>
        <w:t>2</w:t>
      </w:r>
      <w:r w:rsidRPr="00CF6CB5">
        <w:rPr>
          <w:rFonts w:hint="eastAsia"/>
        </w:rPr>
        <w:t>項）前項獎金之適用對象、類別、條件、程序及其他應遵行事項之辦法，由行政院定之。」對此，考試委</w:t>
      </w:r>
      <w:r w:rsidR="001A380D" w:rsidRPr="00CF6CB5">
        <w:rPr>
          <w:rFonts w:hint="eastAsia"/>
        </w:rPr>
        <w:t>員黃錦堂</w:t>
      </w:r>
      <w:r w:rsidRPr="00CF6CB5">
        <w:rPr>
          <w:rFonts w:hint="eastAsia"/>
        </w:rPr>
        <w:t>表示：「必須批評公務人員基準法草案的空洞性，不管是獎金或加給部分，太多的空白構成要件，高度抽象的不確定法律概念與授權」</w:t>
      </w:r>
      <w:r w:rsidR="00462870" w:rsidRPr="00CF6CB5">
        <w:rPr>
          <w:rStyle w:val="aff1"/>
        </w:rPr>
        <w:footnoteReference w:id="13"/>
      </w:r>
      <w:r w:rsidRPr="00CF6CB5">
        <w:rPr>
          <w:rFonts w:hint="eastAsia"/>
        </w:rPr>
        <w:t>等語，均質疑原草案內容授權過於空泛。固然授權明確與否，仍應就法律整體表現之關聯意義為判斷，然公務人員基準法草案第56條僅說明發給獎金之目的，並未區分各類型獎金明定其基本原則，即授權行政院訂定「公務人員獎金支給辦法」做為各項法定給與以外其他給與之法源依據，學者有關授權過於空泛之質疑，並非無據。</w:t>
      </w:r>
    </w:p>
    <w:p w:rsidR="00294D6C" w:rsidRPr="00CF6CB5" w:rsidRDefault="00294D6C" w:rsidP="00462870">
      <w:pPr>
        <w:pStyle w:val="4"/>
        <w:rPr>
          <w:b/>
        </w:rPr>
      </w:pPr>
      <w:r w:rsidRPr="00CF6CB5">
        <w:rPr>
          <w:rFonts w:hint="eastAsia"/>
          <w:b/>
        </w:rPr>
        <w:t>原草案難以合理限制各機關以組織法或非待遇法制之作用法，突破行政院統籌核定待遇之現況：</w:t>
      </w:r>
    </w:p>
    <w:p w:rsidR="00294D6C" w:rsidRPr="00CF6CB5" w:rsidRDefault="00294D6C" w:rsidP="00294D6C">
      <w:pPr>
        <w:pStyle w:val="42"/>
        <w:ind w:left="1701" w:firstLine="680"/>
      </w:pPr>
      <w:r w:rsidRPr="00CF6CB5">
        <w:rPr>
          <w:rFonts w:hint="eastAsia"/>
        </w:rPr>
        <w:t>因行政院獎金法制化作業迄無成效，目前各</w:t>
      </w:r>
      <w:r w:rsidRPr="00CF6CB5">
        <w:rPr>
          <w:rFonts w:hint="eastAsia"/>
        </w:rPr>
        <w:lastRenderedPageBreak/>
        <w:t>機關常見以組織法或非待遇法制之作用法規定待遇支給依據，突破須由行政院統籌核定待遇原則。例如：金融監督管理委員會組織法明定該會人員得領取特別津貼、國家通訊傳播委員會組織法與公平交易委員會法明定所屬人員得領取調查研究費、法官法明定全國公務人員各種加給年度通案調整時，以具法官身分者為限，其各種加給應按各該加給通案調幅調整、國家情報工作法明定相關情報人員之待遇項目及支給標準由主管機關會商各情報機關定之規定。依</w:t>
      </w:r>
      <w:r w:rsidR="00013F27" w:rsidRPr="00CF6CB5">
        <w:rPr>
          <w:rFonts w:hint="eastAsia"/>
        </w:rPr>
        <w:t>人事行政總處</w:t>
      </w:r>
      <w:r w:rsidRPr="00CF6CB5">
        <w:rPr>
          <w:rFonts w:hint="eastAsia"/>
        </w:rPr>
        <w:t>於102年委託</w:t>
      </w:r>
      <w:proofErr w:type="gramStart"/>
      <w:r w:rsidRPr="00CF6CB5">
        <w:rPr>
          <w:rFonts w:hint="eastAsia"/>
        </w:rPr>
        <w:t>臺</w:t>
      </w:r>
      <w:proofErr w:type="gramEnd"/>
      <w:r w:rsidRPr="00CF6CB5">
        <w:rPr>
          <w:rFonts w:hint="eastAsia"/>
        </w:rPr>
        <w:t>北大學陳愛娥教授進行之「軍公教人員俸給以外其他給與法制化型態之研究」指出「個別作用法授權訂定之法規命令作為獎金、費用支給之法源，</w:t>
      </w:r>
      <w:proofErr w:type="gramStart"/>
      <w:r w:rsidRPr="00CF6CB5">
        <w:rPr>
          <w:rFonts w:hint="eastAsia"/>
        </w:rPr>
        <w:t>未盡妥適</w:t>
      </w:r>
      <w:proofErr w:type="gramEnd"/>
      <w:r w:rsidRPr="00CF6CB5">
        <w:rPr>
          <w:rFonts w:hint="eastAsia"/>
        </w:rPr>
        <w:t>，因其個別性、隨機性的考量，不易確保獎金、費用制度的公平性」</w:t>
      </w:r>
      <w:r w:rsidRPr="00CF6CB5">
        <w:rPr>
          <w:rStyle w:val="aff1"/>
        </w:rPr>
        <w:footnoteReference w:id="14"/>
      </w:r>
      <w:r w:rsidRPr="00CF6CB5">
        <w:rPr>
          <w:rFonts w:hint="eastAsia"/>
        </w:rPr>
        <w:t>。對此，本案調查</w:t>
      </w:r>
      <w:proofErr w:type="gramStart"/>
      <w:r w:rsidRPr="00CF6CB5">
        <w:rPr>
          <w:rFonts w:hint="eastAsia"/>
        </w:rPr>
        <w:t>期間，</w:t>
      </w:r>
      <w:proofErr w:type="gramEnd"/>
      <w:r w:rsidRPr="00CF6CB5">
        <w:rPr>
          <w:rFonts w:hint="eastAsia"/>
        </w:rPr>
        <w:t>本院建議</w:t>
      </w:r>
      <w:r w:rsidR="00013F27" w:rsidRPr="00CF6CB5">
        <w:rPr>
          <w:rFonts w:hint="eastAsia"/>
        </w:rPr>
        <w:t>人事行政總處</w:t>
      </w:r>
      <w:r w:rsidRPr="00CF6CB5">
        <w:rPr>
          <w:rFonts w:hint="eastAsia"/>
        </w:rPr>
        <w:t>應力求公務人員待遇管理之整體衡平，宜參酌中央行政機關組織基準法第5條第3項之規定，禁止以作用法或其他法規規定公務人員之待遇。</w:t>
      </w:r>
      <w:proofErr w:type="gramStart"/>
      <w:r w:rsidRPr="00CF6CB5">
        <w:rPr>
          <w:rFonts w:hint="eastAsia"/>
        </w:rPr>
        <w:t>惟觀諸</w:t>
      </w:r>
      <w:proofErr w:type="gramEnd"/>
      <w:r w:rsidR="00013F27" w:rsidRPr="00CF6CB5">
        <w:rPr>
          <w:rFonts w:hint="eastAsia"/>
        </w:rPr>
        <w:t>人事行政總處</w:t>
      </w:r>
      <w:r w:rsidRPr="00CF6CB5">
        <w:rPr>
          <w:rFonts w:hint="eastAsia"/>
        </w:rPr>
        <w:t>推動獎金法制化之方案，僅於「公務人員基準法」草案中規定概括授權條款，作為「公務人員獎金支給辦法」之法源依據。實難以想像如何以獎金支給辦法，限制前開金融監督管理委員會組織法、公平交易委員會法、法官法、國家情報工作法等法律位階之待遇支給規定。</w:t>
      </w:r>
    </w:p>
    <w:p w:rsidR="00294D6C" w:rsidRPr="00CF6CB5" w:rsidRDefault="00013F27" w:rsidP="00462870">
      <w:pPr>
        <w:pStyle w:val="4"/>
        <w:rPr>
          <w:b/>
        </w:rPr>
      </w:pPr>
      <w:r w:rsidRPr="00CF6CB5">
        <w:rPr>
          <w:rFonts w:hint="eastAsia"/>
          <w:b/>
        </w:rPr>
        <w:t>人事行政總處</w:t>
      </w:r>
      <w:r w:rsidR="00294D6C" w:rsidRPr="00CF6CB5">
        <w:rPr>
          <w:rFonts w:hint="eastAsia"/>
          <w:b/>
        </w:rPr>
        <w:t>推動公務人員獎金之後續修法作</w:t>
      </w:r>
      <w:r w:rsidR="00294D6C" w:rsidRPr="00CF6CB5">
        <w:rPr>
          <w:rFonts w:hint="eastAsia"/>
          <w:b/>
        </w:rPr>
        <w:lastRenderedPageBreak/>
        <w:t>為亦嫌消極：</w:t>
      </w:r>
    </w:p>
    <w:p w:rsidR="00294D6C" w:rsidRPr="00CF6CB5" w:rsidRDefault="00294D6C" w:rsidP="00462870">
      <w:pPr>
        <w:pStyle w:val="42"/>
        <w:ind w:left="1701" w:firstLine="680"/>
      </w:pPr>
      <w:r w:rsidRPr="00CF6CB5">
        <w:rPr>
          <w:rFonts w:hint="eastAsia"/>
        </w:rPr>
        <w:t>據行政院105年4月完成之「法制化推動計畫</w:t>
      </w:r>
      <w:r w:rsidR="0094458B" w:rsidRPr="00CF6CB5">
        <w:rPr>
          <w:rFonts w:hint="eastAsia"/>
        </w:rPr>
        <w:t>」</w:t>
      </w:r>
      <w:r w:rsidRPr="00CF6CB5">
        <w:rPr>
          <w:rFonts w:hint="eastAsia"/>
        </w:rPr>
        <w:t>審查結果報告</w:t>
      </w:r>
      <w:r w:rsidR="0094458B" w:rsidRPr="00CF6CB5">
        <w:rPr>
          <w:rFonts w:hAnsi="標楷體" w:hint="eastAsia"/>
        </w:rPr>
        <w:t>（下稱審查結果報告）</w:t>
      </w:r>
      <w:r w:rsidRPr="00CF6CB5">
        <w:rPr>
          <w:rFonts w:hint="eastAsia"/>
        </w:rPr>
        <w:t>表示：</w:t>
      </w:r>
      <w:r w:rsidR="00013F27" w:rsidRPr="00CF6CB5">
        <w:rPr>
          <w:rFonts w:hint="eastAsia"/>
        </w:rPr>
        <w:t>人事行政總處</w:t>
      </w:r>
      <w:proofErr w:type="gramStart"/>
      <w:r w:rsidRPr="00CF6CB5">
        <w:rPr>
          <w:rFonts w:hint="eastAsia"/>
        </w:rPr>
        <w:t>研</w:t>
      </w:r>
      <w:proofErr w:type="gramEnd"/>
      <w:r w:rsidRPr="00CF6CB5">
        <w:rPr>
          <w:rFonts w:hint="eastAsia"/>
        </w:rPr>
        <w:t>議將現行「待遇支給要點」提升至法律位階，並將公務人員獎金、本職工作衍生的給付等給與項目之支給依據納入該法規範，因涉及層面較廣，刻正由該總處</w:t>
      </w:r>
      <w:proofErr w:type="gramStart"/>
      <w:r w:rsidRPr="00CF6CB5">
        <w:rPr>
          <w:rFonts w:hint="eastAsia"/>
        </w:rPr>
        <w:t>研</w:t>
      </w:r>
      <w:proofErr w:type="gramEnd"/>
      <w:r w:rsidRPr="00CF6CB5">
        <w:rPr>
          <w:rFonts w:hint="eastAsia"/>
        </w:rPr>
        <w:t>議中等語。</w:t>
      </w:r>
      <w:proofErr w:type="gramStart"/>
      <w:r w:rsidRPr="00CF6CB5">
        <w:rPr>
          <w:rFonts w:hint="eastAsia"/>
        </w:rPr>
        <w:t>然本院</w:t>
      </w:r>
      <w:proofErr w:type="gramEnd"/>
      <w:r w:rsidRPr="00CF6CB5">
        <w:rPr>
          <w:rFonts w:hint="eastAsia"/>
        </w:rPr>
        <w:t>向</w:t>
      </w:r>
      <w:r w:rsidR="00013F27" w:rsidRPr="00CF6CB5">
        <w:rPr>
          <w:rFonts w:hint="eastAsia"/>
        </w:rPr>
        <w:t>人事行政總處</w:t>
      </w:r>
      <w:proofErr w:type="gramStart"/>
      <w:r w:rsidRPr="00CF6CB5">
        <w:rPr>
          <w:rFonts w:hint="eastAsia"/>
        </w:rPr>
        <w:t>調閱軍公教人員</w:t>
      </w:r>
      <w:proofErr w:type="gramEnd"/>
      <w:r w:rsidRPr="00CF6CB5">
        <w:rPr>
          <w:rFonts w:hint="eastAsia"/>
        </w:rPr>
        <w:t>待遇專法草案及相關資料，該總</w:t>
      </w:r>
      <w:proofErr w:type="gramStart"/>
      <w:r w:rsidRPr="00CF6CB5">
        <w:rPr>
          <w:rFonts w:hint="eastAsia"/>
        </w:rPr>
        <w:t>處均未提供</w:t>
      </w:r>
      <w:proofErr w:type="gramEnd"/>
      <w:r w:rsidRPr="00CF6CB5">
        <w:rPr>
          <w:rFonts w:hint="eastAsia"/>
        </w:rPr>
        <w:t>，僅表示因待遇專法涵蓋軍人待遇條例、</w:t>
      </w:r>
      <w:r w:rsidR="004867B1" w:rsidRPr="00CF6CB5">
        <w:rPr>
          <w:rFonts w:hint="eastAsia"/>
        </w:rPr>
        <w:t>俸給法</w:t>
      </w:r>
      <w:r w:rsidRPr="00CF6CB5">
        <w:rPr>
          <w:rFonts w:hint="eastAsia"/>
        </w:rPr>
        <w:t>、教師待遇條例等人事相關法制之規範範疇，涉及考試院、國防部、教育部等機關主管權責，該總處初步規劃包括規範待遇規劃及管理之基本原則、核定程序及權責劃分等事項，現階段刻正</w:t>
      </w:r>
      <w:proofErr w:type="gramStart"/>
      <w:r w:rsidRPr="00CF6CB5">
        <w:rPr>
          <w:rFonts w:hint="eastAsia"/>
        </w:rPr>
        <w:t>研</w:t>
      </w:r>
      <w:proofErr w:type="gramEnd"/>
      <w:r w:rsidRPr="00CF6CB5">
        <w:rPr>
          <w:rFonts w:hint="eastAsia"/>
        </w:rPr>
        <w:t>擬草案條文中云云。足見行政院雖自105年4月宣示將「待遇支給要點」提升至法律位階，然迄今已逾1年，</w:t>
      </w:r>
      <w:r w:rsidR="00013F27" w:rsidRPr="00CF6CB5">
        <w:rPr>
          <w:rFonts w:hint="eastAsia"/>
        </w:rPr>
        <w:t>人事行政總處</w:t>
      </w:r>
      <w:r w:rsidRPr="00CF6CB5">
        <w:rPr>
          <w:rFonts w:hint="eastAsia"/>
        </w:rPr>
        <w:t>尚在初步規劃階段，其立法推動作業之期程顯然過於遲滯。</w:t>
      </w:r>
    </w:p>
    <w:p w:rsidR="00294D6C" w:rsidRPr="00CF6CB5" w:rsidRDefault="00294D6C" w:rsidP="00462870">
      <w:pPr>
        <w:pStyle w:val="4"/>
        <w:rPr>
          <w:b/>
        </w:rPr>
      </w:pPr>
      <w:r w:rsidRPr="00CF6CB5">
        <w:rPr>
          <w:rFonts w:hint="eastAsia"/>
          <w:b/>
        </w:rPr>
        <w:t>國防部推動於兵役法中增定有關軍人獎金等事項，並已立法完成，相關立法作業足供</w:t>
      </w:r>
      <w:r w:rsidR="00013F27" w:rsidRPr="00CF6CB5">
        <w:rPr>
          <w:rFonts w:hint="eastAsia"/>
          <w:b/>
        </w:rPr>
        <w:t>人事行政總處</w:t>
      </w:r>
      <w:r w:rsidRPr="00CF6CB5">
        <w:rPr>
          <w:rFonts w:hint="eastAsia"/>
          <w:b/>
        </w:rPr>
        <w:t>參考：</w:t>
      </w:r>
    </w:p>
    <w:p w:rsidR="00294D6C" w:rsidRPr="00CF6CB5" w:rsidRDefault="00294D6C" w:rsidP="00462870">
      <w:pPr>
        <w:pStyle w:val="42"/>
        <w:ind w:left="1701" w:firstLine="680"/>
      </w:pPr>
      <w:r w:rsidRPr="00CF6CB5">
        <w:rPr>
          <w:rFonts w:hint="eastAsia"/>
        </w:rPr>
        <w:t>兵役法第44條第1項第7款雖明定軍人傷亡慰問、保險等權利，但未規定現役軍人得支給獎金、津貼。經國防部推動修法，兵役法第44之1條業於106年6月14日增訂現役軍人享有傷亡慰問金、團體意外保險、獎金及津貼等權利之法律授權依據</w:t>
      </w:r>
      <w:r w:rsidRPr="00CF6CB5">
        <w:rPr>
          <w:rStyle w:val="aff1"/>
        </w:rPr>
        <w:footnoteReference w:id="15"/>
      </w:r>
      <w:r w:rsidRPr="00CF6CB5">
        <w:rPr>
          <w:rFonts w:hint="eastAsia"/>
        </w:rPr>
        <w:t>。</w:t>
      </w:r>
      <w:proofErr w:type="gramStart"/>
      <w:r w:rsidRPr="00CF6CB5">
        <w:rPr>
          <w:rFonts w:hint="eastAsia"/>
        </w:rPr>
        <w:t>爰</w:t>
      </w:r>
      <w:proofErr w:type="gramEnd"/>
      <w:r w:rsidRPr="00CF6CB5">
        <w:rPr>
          <w:rFonts w:hint="eastAsia"/>
        </w:rPr>
        <w:t>軍人獎金、</w:t>
      </w:r>
      <w:proofErr w:type="gramStart"/>
      <w:r w:rsidRPr="00CF6CB5">
        <w:rPr>
          <w:rFonts w:hint="eastAsia"/>
        </w:rPr>
        <w:t>因戰公</w:t>
      </w:r>
      <w:proofErr w:type="gramEnd"/>
      <w:r w:rsidRPr="00CF6CB5">
        <w:rPr>
          <w:rFonts w:hint="eastAsia"/>
        </w:rPr>
        <w:t>傷殘死亡慰問金及團體意</w:t>
      </w:r>
      <w:r w:rsidRPr="00CF6CB5">
        <w:rPr>
          <w:rFonts w:hint="eastAsia"/>
        </w:rPr>
        <w:lastRenderedPageBreak/>
        <w:t>外保險</w:t>
      </w:r>
      <w:proofErr w:type="gramStart"/>
      <w:r w:rsidRPr="00CF6CB5">
        <w:rPr>
          <w:rFonts w:hint="eastAsia"/>
        </w:rPr>
        <w:t>等均業以</w:t>
      </w:r>
      <w:proofErr w:type="gramEnd"/>
      <w:r w:rsidRPr="00CF6CB5">
        <w:rPr>
          <w:rFonts w:hint="eastAsia"/>
        </w:rPr>
        <w:t>兵役法為法源依據。相關修法作業，足供</w:t>
      </w:r>
      <w:r w:rsidR="00013F27" w:rsidRPr="00CF6CB5">
        <w:rPr>
          <w:rFonts w:hint="eastAsia"/>
        </w:rPr>
        <w:t>人事行政總處</w:t>
      </w:r>
      <w:r w:rsidRPr="00CF6CB5">
        <w:rPr>
          <w:rFonts w:hint="eastAsia"/>
        </w:rPr>
        <w:t>參考。</w:t>
      </w:r>
    </w:p>
    <w:p w:rsidR="00294D6C" w:rsidRPr="00CF6CB5" w:rsidRDefault="00294D6C" w:rsidP="00294D6C">
      <w:pPr>
        <w:pStyle w:val="3"/>
        <w:kinsoku w:val="0"/>
        <w:overflowPunct/>
        <w:autoSpaceDE/>
        <w:autoSpaceDN/>
        <w:ind w:left="1393" w:hanging="697"/>
        <w:rPr>
          <w:b/>
        </w:rPr>
      </w:pPr>
      <w:bookmarkStart w:id="68" w:name="_Toc510456612"/>
      <w:bookmarkStart w:id="69" w:name="_Toc510534684"/>
      <w:bookmarkStart w:id="70" w:name="_Toc511053604"/>
      <w:bookmarkStart w:id="71" w:name="_Toc511126950"/>
      <w:r w:rsidRPr="00CF6CB5">
        <w:rPr>
          <w:rFonts w:hint="eastAsia"/>
          <w:b/>
        </w:rPr>
        <w:t>小結</w:t>
      </w:r>
      <w:bookmarkEnd w:id="68"/>
      <w:bookmarkEnd w:id="69"/>
      <w:bookmarkEnd w:id="70"/>
      <w:bookmarkEnd w:id="71"/>
    </w:p>
    <w:p w:rsidR="00294D6C" w:rsidRPr="00CF6CB5" w:rsidRDefault="004320F0" w:rsidP="00294D6C">
      <w:pPr>
        <w:pStyle w:val="32"/>
        <w:ind w:left="1361" w:firstLine="680"/>
      </w:pPr>
      <w:r w:rsidRPr="00CF6CB5">
        <w:rPr>
          <w:rFonts w:hint="eastAsia"/>
        </w:rPr>
        <w:t>綜上，現行公務人員待遇法制，雖不能忽視各項給與項目的歷史因素，但不宜以相關支給已列入預算，經立法院審議通過為由，認為符合法制。立法院自96年起，已多次決議公務人員各類獎金應有法律依據，</w:t>
      </w:r>
      <w:r w:rsidR="00013F27" w:rsidRPr="00CF6CB5">
        <w:rPr>
          <w:rFonts w:hint="eastAsia"/>
        </w:rPr>
        <w:t>人事行政總處</w:t>
      </w:r>
      <w:r w:rsidRPr="00CF6CB5">
        <w:rPr>
          <w:rFonts w:hint="eastAsia"/>
        </w:rPr>
        <w:t>雖擬於公務人員基準法草案</w:t>
      </w:r>
      <w:r w:rsidR="00462870" w:rsidRPr="00CF6CB5">
        <w:rPr>
          <w:rFonts w:hint="eastAsia"/>
        </w:rPr>
        <w:t>就獎金法制化方式予以規範</w:t>
      </w:r>
      <w:r w:rsidRPr="00CF6CB5">
        <w:rPr>
          <w:rFonts w:hint="eastAsia"/>
        </w:rPr>
        <w:t>，復</w:t>
      </w:r>
      <w:proofErr w:type="gramStart"/>
      <w:r w:rsidRPr="00CF6CB5">
        <w:rPr>
          <w:rFonts w:hint="eastAsia"/>
        </w:rPr>
        <w:t>鑑</w:t>
      </w:r>
      <w:proofErr w:type="gramEnd"/>
      <w:r w:rsidRPr="00CF6CB5">
        <w:rPr>
          <w:rFonts w:hint="eastAsia"/>
        </w:rPr>
        <w:t>於該草案推動不易之情形，表示擬將現行「待遇支給要點」提升至法律位階，制定軍公教待遇專法，然無論公務人員基準法草案第56條，其內容僅概括授權行政院訂定「公務人員獎金支給辦法」，與法律保留原則要求法律授權應符合具體明確之要求，尚</w:t>
      </w:r>
      <w:proofErr w:type="gramStart"/>
      <w:r w:rsidRPr="00CF6CB5">
        <w:rPr>
          <w:rFonts w:hint="eastAsia"/>
        </w:rPr>
        <w:t>有未洽</w:t>
      </w:r>
      <w:proofErr w:type="gramEnd"/>
      <w:r w:rsidRPr="00CF6CB5">
        <w:rPr>
          <w:rFonts w:hint="eastAsia"/>
        </w:rPr>
        <w:t>。該總處未思考在</w:t>
      </w:r>
      <w:r w:rsidR="004867B1" w:rsidRPr="00CF6CB5">
        <w:rPr>
          <w:rFonts w:hint="eastAsia"/>
        </w:rPr>
        <w:t>俸給法</w:t>
      </w:r>
      <w:r w:rsidRPr="00CF6CB5">
        <w:rPr>
          <w:rFonts w:hint="eastAsia"/>
        </w:rPr>
        <w:t>等已完成立法之待遇法律中以增定條文之方式行之，以減少推動之困難，任由公務人員獎金等重要事項，長期法制不備，法制作業一再</w:t>
      </w:r>
      <w:r w:rsidR="00462870" w:rsidRPr="00CF6CB5">
        <w:rPr>
          <w:rFonts w:hint="eastAsia"/>
        </w:rPr>
        <w:t>遲</w:t>
      </w:r>
      <w:r w:rsidRPr="00CF6CB5">
        <w:rPr>
          <w:rFonts w:hint="eastAsia"/>
        </w:rPr>
        <w:t>延，導致各界質疑及誤解，嚴重傷害公務人員形象，足認其作為</w:t>
      </w:r>
      <w:r w:rsidR="00462870" w:rsidRPr="00CF6CB5">
        <w:rPr>
          <w:rFonts w:hint="eastAsia"/>
        </w:rPr>
        <w:t>實屬</w:t>
      </w:r>
      <w:r w:rsidRPr="00CF6CB5">
        <w:rPr>
          <w:rFonts w:hint="eastAsia"/>
        </w:rPr>
        <w:t>消極。</w:t>
      </w:r>
    </w:p>
    <w:p w:rsidR="00294D6C" w:rsidRPr="00CF6CB5" w:rsidRDefault="00294D6C" w:rsidP="00A62F29">
      <w:pPr>
        <w:pStyle w:val="2"/>
        <w:rPr>
          <w:b/>
        </w:rPr>
      </w:pPr>
      <w:bookmarkStart w:id="72" w:name="_Toc511126951"/>
      <w:r w:rsidRPr="00CF6CB5">
        <w:rPr>
          <w:rFonts w:hint="eastAsia"/>
          <w:b/>
        </w:rPr>
        <w:t>獎金屬法定給與以外其他給與之最主要項目，旨在配合施政</w:t>
      </w:r>
      <w:r w:rsidR="00214C80" w:rsidRPr="00CF6CB5">
        <w:rPr>
          <w:rFonts w:hint="eastAsia"/>
          <w:b/>
        </w:rPr>
        <w:t>目標，視政府財政狀況，</w:t>
      </w:r>
      <w:r w:rsidR="00F222D8" w:rsidRPr="00CF6CB5">
        <w:rPr>
          <w:rFonts w:hint="eastAsia"/>
          <w:b/>
        </w:rPr>
        <w:t>激勵士氣並</w:t>
      </w:r>
      <w:r w:rsidR="00214C80" w:rsidRPr="00CF6CB5">
        <w:rPr>
          <w:rFonts w:hint="eastAsia"/>
          <w:b/>
        </w:rPr>
        <w:t>獎勵特殊工作績效</w:t>
      </w:r>
      <w:r w:rsidR="00255941" w:rsidRPr="00CF6CB5">
        <w:rPr>
          <w:rFonts w:hint="eastAsia"/>
          <w:b/>
        </w:rPr>
        <w:t>。故</w:t>
      </w:r>
      <w:r w:rsidRPr="00CF6CB5">
        <w:rPr>
          <w:rFonts w:hint="eastAsia"/>
          <w:b/>
        </w:rPr>
        <w:t>經由法制化過程，建立符合績效待遇之獎金制度，為提升政府效能及競爭力之重要環節。行政院除未積極推動公務人員獎金之法制化外，迄未建立完整合理的績效待遇制度，現行考績獎金及年終獎金等</w:t>
      </w:r>
      <w:r w:rsidR="002F3D1F" w:rsidRPr="00CF6CB5">
        <w:rPr>
          <w:rFonts w:hint="eastAsia"/>
          <w:b/>
        </w:rPr>
        <w:t>「</w:t>
      </w:r>
      <w:r w:rsidRPr="00CF6CB5">
        <w:rPr>
          <w:rFonts w:hint="eastAsia"/>
          <w:b/>
        </w:rPr>
        <w:t>普遍性獎金</w:t>
      </w:r>
      <w:r w:rsidR="002F3D1F" w:rsidRPr="00CF6CB5">
        <w:rPr>
          <w:rFonts w:hint="eastAsia"/>
          <w:b/>
        </w:rPr>
        <w:t>」</w:t>
      </w:r>
      <w:r w:rsidRPr="00CF6CB5">
        <w:rPr>
          <w:rFonts w:hint="eastAsia"/>
          <w:b/>
        </w:rPr>
        <w:t>作為績效管理之功能有限</w:t>
      </w:r>
      <w:r w:rsidR="00A62F29" w:rsidRPr="00CF6CB5">
        <w:rPr>
          <w:rFonts w:hint="eastAsia"/>
          <w:b/>
        </w:rPr>
        <w:t>，個別性獎金支出占比亦未有總額管控</w:t>
      </w:r>
      <w:r w:rsidR="00A604C4" w:rsidRPr="00CF6CB5">
        <w:rPr>
          <w:rFonts w:hint="eastAsia"/>
          <w:b/>
        </w:rPr>
        <w:t>，行政院允宜貫徹</w:t>
      </w:r>
      <w:r w:rsidRPr="00CF6CB5">
        <w:rPr>
          <w:rFonts w:hint="eastAsia"/>
          <w:b/>
        </w:rPr>
        <w:t>預</w:t>
      </w:r>
      <w:r w:rsidRPr="00CF6CB5">
        <w:rPr>
          <w:rFonts w:hint="eastAsia"/>
          <w:b/>
        </w:rPr>
        <w:lastRenderedPageBreak/>
        <w:t>算編列之零基精神，採取宏觀調控及通盤衡酌之積極作為，建立績效導向之獎金薪酬制度。</w:t>
      </w:r>
      <w:bookmarkEnd w:id="72"/>
    </w:p>
    <w:p w:rsidR="00214C80" w:rsidRPr="00CF6CB5" w:rsidRDefault="00214C80" w:rsidP="00863D17">
      <w:pPr>
        <w:pStyle w:val="21"/>
        <w:ind w:left="1020" w:firstLine="680"/>
      </w:pPr>
      <w:r w:rsidRPr="00CF6CB5">
        <w:rPr>
          <w:rFonts w:hint="eastAsia"/>
        </w:rPr>
        <w:t>「公務</w:t>
      </w:r>
      <w:r w:rsidR="00E76804" w:rsidRPr="00CF6CB5">
        <w:rPr>
          <w:rFonts w:hint="eastAsia"/>
        </w:rPr>
        <w:t>人</w:t>
      </w:r>
      <w:r w:rsidRPr="00CF6CB5">
        <w:rPr>
          <w:rFonts w:hint="eastAsia"/>
        </w:rPr>
        <w:t>員基準法」草案第56條第1項規定：「為激勵公務人員士氣、獎勵特殊工作績效，以達成施政目標，提升行政效能，政府得視財政狀況發給獎金。」。換言之，國家支給公務人員俸給、福利等給與外，另給予部分人員「獎金」，除了激勵士氣之外</w:t>
      </w:r>
      <w:r w:rsidR="00F222D8" w:rsidRPr="00CF6CB5">
        <w:rPr>
          <w:rFonts w:hint="eastAsia"/>
        </w:rPr>
        <w:t>，目的在於配合政府財政狀況，獎勵特殊工作績效，以達成施政目標。因此，檢討現行公務人員獎金制度，自不能忽略績效制度及</w:t>
      </w:r>
      <w:r w:rsidRPr="00CF6CB5">
        <w:rPr>
          <w:rFonts w:hint="eastAsia"/>
        </w:rPr>
        <w:t>政府財政狀況</w:t>
      </w:r>
      <w:r w:rsidR="00F222D8" w:rsidRPr="00CF6CB5">
        <w:rPr>
          <w:rFonts w:hint="eastAsia"/>
        </w:rPr>
        <w:t>等面向。</w:t>
      </w:r>
      <w:r w:rsidR="00F222D8" w:rsidRPr="00CF6CB5">
        <w:rPr>
          <w:rFonts w:hAnsi="標楷體" w:hint="eastAsia"/>
        </w:rPr>
        <w:t>分析我國獎金之法源及種類，可</w:t>
      </w:r>
      <w:r w:rsidR="00F222D8" w:rsidRPr="00CF6CB5">
        <w:rPr>
          <w:rFonts w:hint="eastAsia"/>
        </w:rPr>
        <w:t>大分為普遍性獎金（年終工作獎金、考績獎金、特殊功勳獎賞）及個別性獎金（包含警消人員、關稅務人員、工程人員、法務人員、國軍海巡人員、交通運輸人員、醫療人員、環保清潔人員、其他等9類）。</w:t>
      </w:r>
      <w:r w:rsidR="00392644" w:rsidRPr="00CF6CB5">
        <w:rPr>
          <w:rFonts w:hint="eastAsia"/>
        </w:rPr>
        <w:t>茲分述如下：</w:t>
      </w:r>
    </w:p>
    <w:p w:rsidR="00294D6C" w:rsidRPr="00CF6CB5" w:rsidRDefault="00294D6C" w:rsidP="00294D6C">
      <w:pPr>
        <w:pStyle w:val="3"/>
        <w:kinsoku w:val="0"/>
        <w:overflowPunct/>
        <w:autoSpaceDE/>
        <w:autoSpaceDN/>
        <w:ind w:left="1393" w:hanging="697"/>
      </w:pPr>
      <w:bookmarkStart w:id="73" w:name="_Toc510456614"/>
      <w:bookmarkStart w:id="74" w:name="_Toc510534686"/>
      <w:bookmarkStart w:id="75" w:name="_Toc511053606"/>
      <w:bookmarkStart w:id="76" w:name="_Toc511126952"/>
      <w:r w:rsidRPr="00CF6CB5">
        <w:rPr>
          <w:rFonts w:hint="eastAsia"/>
          <w:b/>
        </w:rPr>
        <w:t>績效待遇制度為公務人事之改革潮流，行政院應積極興革績效待遇制度及檢討獎金法制化，將個別性獎金制度與績效待遇結合</w:t>
      </w:r>
      <w:r w:rsidR="00392644" w:rsidRPr="00CF6CB5">
        <w:rPr>
          <w:rFonts w:hint="eastAsia"/>
        </w:rPr>
        <w:t>。</w:t>
      </w:r>
      <w:bookmarkEnd w:id="73"/>
      <w:bookmarkEnd w:id="74"/>
      <w:bookmarkEnd w:id="75"/>
      <w:bookmarkEnd w:id="76"/>
    </w:p>
    <w:p w:rsidR="00294D6C" w:rsidRPr="00CF6CB5" w:rsidRDefault="00294D6C" w:rsidP="00294D6C">
      <w:pPr>
        <w:pStyle w:val="4"/>
        <w:overflowPunct/>
        <w:autoSpaceDE/>
        <w:autoSpaceDN/>
        <w:ind w:hanging="681"/>
      </w:pPr>
      <w:r w:rsidRPr="00CF6CB5">
        <w:rPr>
          <w:rFonts w:hint="eastAsia"/>
          <w:b/>
        </w:rPr>
        <w:t>我國亟待建立績效待遇之公務人事制度</w:t>
      </w:r>
      <w:r w:rsidRPr="00CF6CB5">
        <w:rPr>
          <w:rFonts w:hint="eastAsia"/>
        </w:rPr>
        <w:t>：</w:t>
      </w:r>
    </w:p>
    <w:p w:rsidR="00294D6C" w:rsidRPr="00CF6CB5" w:rsidRDefault="00294D6C" w:rsidP="00474560">
      <w:pPr>
        <w:pStyle w:val="42"/>
        <w:ind w:left="1701" w:firstLine="680"/>
      </w:pPr>
      <w:r w:rsidRPr="00CF6CB5">
        <w:rPr>
          <w:rFonts w:hint="eastAsia"/>
        </w:rPr>
        <w:t>自</w:t>
      </w:r>
      <w:proofErr w:type="gramStart"/>
      <w:r w:rsidRPr="00CF6CB5">
        <w:rPr>
          <w:rFonts w:hint="eastAsia"/>
        </w:rPr>
        <w:t>1980</w:t>
      </w:r>
      <w:proofErr w:type="gramEnd"/>
      <w:r w:rsidRPr="00CF6CB5">
        <w:rPr>
          <w:rFonts w:hint="eastAsia"/>
        </w:rPr>
        <w:t>年代以來，建立績效待遇制度為世界各國公務人事制度的改革重點，如新加坡公務人員待遇結構即區分</w:t>
      </w:r>
      <w:proofErr w:type="gramStart"/>
      <w:r w:rsidRPr="00CF6CB5">
        <w:rPr>
          <w:rFonts w:hint="eastAsia"/>
        </w:rPr>
        <w:t>固定薪</w:t>
      </w:r>
      <w:proofErr w:type="gramEnd"/>
      <w:r w:rsidRPr="00CF6CB5">
        <w:rPr>
          <w:rFonts w:hint="eastAsia"/>
        </w:rPr>
        <w:t>及變動</w:t>
      </w:r>
      <w:proofErr w:type="gramStart"/>
      <w:r w:rsidRPr="00CF6CB5">
        <w:rPr>
          <w:rFonts w:hint="eastAsia"/>
        </w:rPr>
        <w:t>薪</w:t>
      </w:r>
      <w:proofErr w:type="gramEnd"/>
      <w:r w:rsidRPr="00CF6CB5">
        <w:rPr>
          <w:rFonts w:hint="eastAsia"/>
        </w:rPr>
        <w:t>2大類，其中變動薪</w:t>
      </w:r>
      <w:proofErr w:type="gramStart"/>
      <w:r w:rsidRPr="00CF6CB5">
        <w:rPr>
          <w:rFonts w:hint="eastAsia"/>
        </w:rPr>
        <w:t>佔</w:t>
      </w:r>
      <w:proofErr w:type="gramEnd"/>
      <w:r w:rsidRPr="00CF6CB5">
        <w:rPr>
          <w:rFonts w:hint="eastAsia"/>
        </w:rPr>
        <w:t>全薪之30-40％，及</w:t>
      </w:r>
      <w:proofErr w:type="gramStart"/>
      <w:r w:rsidRPr="00CF6CB5">
        <w:rPr>
          <w:rFonts w:hint="eastAsia"/>
        </w:rPr>
        <w:t>寬幅制的</w:t>
      </w:r>
      <w:proofErr w:type="gramEnd"/>
      <w:r w:rsidRPr="00CF6CB5">
        <w:rPr>
          <w:rFonts w:hint="eastAsia"/>
        </w:rPr>
        <w:t>彈性薪資，即按個人貢獻及特殊條件，在一定</w:t>
      </w:r>
      <w:proofErr w:type="gramStart"/>
      <w:r w:rsidRPr="00CF6CB5">
        <w:rPr>
          <w:rFonts w:hint="eastAsia"/>
        </w:rPr>
        <w:t>的薪幅</w:t>
      </w:r>
      <w:proofErr w:type="gramEnd"/>
      <w:r w:rsidRPr="00CF6CB5">
        <w:rPr>
          <w:rFonts w:hint="eastAsia"/>
        </w:rPr>
        <w:t>（range）內給予不同薪資水準。我國公務人員待遇結構中，本</w:t>
      </w:r>
      <w:proofErr w:type="gramStart"/>
      <w:r w:rsidRPr="00CF6CB5">
        <w:rPr>
          <w:rFonts w:hint="eastAsia"/>
        </w:rPr>
        <w:t>俸</w:t>
      </w:r>
      <w:proofErr w:type="gramEnd"/>
      <w:r w:rsidRPr="00CF6CB5">
        <w:rPr>
          <w:rFonts w:hint="eastAsia"/>
        </w:rPr>
        <w:t>（年功</w:t>
      </w:r>
      <w:proofErr w:type="gramStart"/>
      <w:r w:rsidRPr="00CF6CB5">
        <w:rPr>
          <w:rFonts w:hint="eastAsia"/>
        </w:rPr>
        <w:t>俸</w:t>
      </w:r>
      <w:proofErr w:type="gramEnd"/>
      <w:r w:rsidRPr="00CF6CB5">
        <w:rPr>
          <w:rFonts w:hint="eastAsia"/>
        </w:rPr>
        <w:t>）為身分性給與；各種加給屬工作性給與，</w:t>
      </w:r>
      <w:proofErr w:type="gramStart"/>
      <w:r w:rsidRPr="00CF6CB5">
        <w:rPr>
          <w:rFonts w:hint="eastAsia"/>
        </w:rPr>
        <w:t>均按其</w:t>
      </w:r>
      <w:proofErr w:type="gramEnd"/>
      <w:r w:rsidRPr="00CF6CB5">
        <w:rPr>
          <w:rFonts w:hint="eastAsia"/>
        </w:rPr>
        <w:t>本職銓敘審定之</w:t>
      </w:r>
      <w:proofErr w:type="gramStart"/>
      <w:r w:rsidRPr="00CF6CB5">
        <w:rPr>
          <w:rFonts w:hint="eastAsia"/>
        </w:rPr>
        <w:t>俸</w:t>
      </w:r>
      <w:proofErr w:type="gramEnd"/>
      <w:r w:rsidRPr="00CF6CB5">
        <w:rPr>
          <w:rFonts w:hint="eastAsia"/>
        </w:rPr>
        <w:t>級及</w:t>
      </w:r>
      <w:proofErr w:type="gramStart"/>
      <w:r w:rsidRPr="00CF6CB5">
        <w:rPr>
          <w:rFonts w:hint="eastAsia"/>
        </w:rPr>
        <w:t>職系職等</w:t>
      </w:r>
      <w:proofErr w:type="gramEnd"/>
      <w:r w:rsidRPr="00CF6CB5">
        <w:rPr>
          <w:rFonts w:hint="eastAsia"/>
        </w:rPr>
        <w:t>支給，性質屬</w:t>
      </w:r>
      <w:proofErr w:type="gramStart"/>
      <w:r w:rsidRPr="00CF6CB5">
        <w:rPr>
          <w:rFonts w:hint="eastAsia"/>
        </w:rPr>
        <w:t>固定薪</w:t>
      </w:r>
      <w:proofErr w:type="gramEnd"/>
      <w:r w:rsidRPr="00CF6CB5">
        <w:rPr>
          <w:rFonts w:hint="eastAsia"/>
        </w:rPr>
        <w:t>。行政院為推動績效給薪，對於大學校院編制內教師薪資已賦予彈性化權限，並放寬學術研究費分級制度等措</w:t>
      </w:r>
      <w:r w:rsidRPr="00CF6CB5">
        <w:rPr>
          <w:rFonts w:hint="eastAsia"/>
        </w:rPr>
        <w:lastRenderedPageBreak/>
        <w:t>施；然中央及地方各級行政</w:t>
      </w:r>
      <w:proofErr w:type="gramStart"/>
      <w:r w:rsidRPr="00CF6CB5">
        <w:rPr>
          <w:rFonts w:hint="eastAsia"/>
        </w:rPr>
        <w:t>機關因迄未</w:t>
      </w:r>
      <w:proofErr w:type="gramEnd"/>
      <w:r w:rsidRPr="00CF6CB5">
        <w:rPr>
          <w:rFonts w:hint="eastAsia"/>
        </w:rPr>
        <w:t>建立客觀具公信力之績效評估機制，加以現行考績制度獎優</w:t>
      </w:r>
      <w:proofErr w:type="gramStart"/>
      <w:r w:rsidRPr="00CF6CB5">
        <w:rPr>
          <w:rFonts w:hint="eastAsia"/>
        </w:rPr>
        <w:t>汰</w:t>
      </w:r>
      <w:proofErr w:type="gramEnd"/>
      <w:r w:rsidRPr="00CF6CB5">
        <w:rPr>
          <w:rFonts w:hint="eastAsia"/>
        </w:rPr>
        <w:t>劣功能</w:t>
      </w:r>
      <w:proofErr w:type="gramStart"/>
      <w:r w:rsidRPr="00CF6CB5">
        <w:rPr>
          <w:rFonts w:hint="eastAsia"/>
        </w:rPr>
        <w:t>不</w:t>
      </w:r>
      <w:proofErr w:type="gramEnd"/>
      <w:r w:rsidRPr="00CF6CB5">
        <w:rPr>
          <w:rFonts w:hint="eastAsia"/>
        </w:rPr>
        <w:t>彰，未能建立績效薪酬制度。而原人事行政局雖於90年擬具「行政院暨所屬各級行政機關績效獎金實施計畫」，自91年起規劃試辦績效獎金與績效管理制度，然績效獎金因受限於人事費逐年刪減等因素，已於96年取消</w:t>
      </w:r>
      <w:r w:rsidRPr="00CF6CB5">
        <w:rPr>
          <w:rStyle w:val="aff1"/>
        </w:rPr>
        <w:footnoteReference w:id="16"/>
      </w:r>
      <w:r w:rsidRPr="00CF6CB5">
        <w:rPr>
          <w:rFonts w:hint="eastAsia"/>
        </w:rPr>
        <w:t>。</w:t>
      </w:r>
      <w:r w:rsidR="00013F27" w:rsidRPr="00CF6CB5">
        <w:rPr>
          <w:rFonts w:hint="eastAsia"/>
        </w:rPr>
        <w:t>人事行政總處</w:t>
      </w:r>
      <w:r w:rsidRPr="00CF6CB5">
        <w:rPr>
          <w:rFonts w:hint="eastAsia"/>
        </w:rPr>
        <w:t>對於目前公務人員待遇不符合績效管理之理念，提出通盤檢文官考績法制及獎金法制化作為改革方向。而獎金法制化之改進重點，除前述於「公務人員基準法」草案中增訂獎金條款及</w:t>
      </w:r>
      <w:proofErr w:type="gramStart"/>
      <w:r w:rsidRPr="00CF6CB5">
        <w:rPr>
          <w:rFonts w:hint="eastAsia"/>
        </w:rPr>
        <w:t>研</w:t>
      </w:r>
      <w:proofErr w:type="gramEnd"/>
      <w:r w:rsidRPr="00CF6CB5">
        <w:rPr>
          <w:rFonts w:hint="eastAsia"/>
        </w:rPr>
        <w:t>訂「公務人員獎金支給辦法」草案，其重點在於「獎金給與注入績效待遇之精神」</w:t>
      </w:r>
      <w:r w:rsidRPr="00CF6CB5">
        <w:rPr>
          <w:rStyle w:val="aff1"/>
        </w:rPr>
        <w:footnoteReference w:id="17"/>
      </w:r>
      <w:r w:rsidRPr="00CF6CB5">
        <w:rPr>
          <w:rFonts w:hint="eastAsia"/>
        </w:rPr>
        <w:t>，並將「待遇管理的</w:t>
      </w:r>
      <w:proofErr w:type="gramStart"/>
      <w:r w:rsidRPr="00CF6CB5">
        <w:rPr>
          <w:rFonts w:hint="eastAsia"/>
        </w:rPr>
        <w:t>當責化</w:t>
      </w:r>
      <w:proofErr w:type="gramEnd"/>
      <w:r w:rsidRPr="00CF6CB5">
        <w:rPr>
          <w:rFonts w:hint="eastAsia"/>
        </w:rPr>
        <w:t>策略」作為政府人力資源管理策略重點</w:t>
      </w:r>
      <w:r w:rsidRPr="00CF6CB5">
        <w:rPr>
          <w:rStyle w:val="aff1"/>
        </w:rPr>
        <w:footnoteReference w:id="18"/>
      </w:r>
      <w:r w:rsidRPr="00CF6CB5">
        <w:rPr>
          <w:rFonts w:hint="eastAsia"/>
        </w:rPr>
        <w:t>。</w:t>
      </w:r>
    </w:p>
    <w:p w:rsidR="00294D6C" w:rsidRPr="00CF6CB5" w:rsidRDefault="00294D6C" w:rsidP="00474560">
      <w:pPr>
        <w:pStyle w:val="4"/>
        <w:rPr>
          <w:b/>
        </w:rPr>
      </w:pPr>
      <w:r w:rsidRPr="00CF6CB5">
        <w:rPr>
          <w:rFonts w:hint="eastAsia"/>
          <w:b/>
        </w:rPr>
        <w:t>現行考績獎金及年終獎金等普遍性獎金作為績效管理之功能有限，個別性獎金制度</w:t>
      </w:r>
      <w:r w:rsidR="00392644" w:rsidRPr="00CF6CB5">
        <w:rPr>
          <w:rFonts w:hint="eastAsia"/>
          <w:b/>
        </w:rPr>
        <w:t>，</w:t>
      </w:r>
      <w:r w:rsidR="00EE1222" w:rsidRPr="00CF6CB5">
        <w:rPr>
          <w:rFonts w:hint="eastAsia"/>
          <w:b/>
        </w:rPr>
        <w:t>除</w:t>
      </w:r>
      <w:r w:rsidR="001A380D" w:rsidRPr="00CF6CB5">
        <w:rPr>
          <w:rFonts w:hint="eastAsia"/>
          <w:b/>
        </w:rPr>
        <w:t>補償本職工作薪</w:t>
      </w:r>
      <w:r w:rsidR="00392644" w:rsidRPr="00CF6CB5">
        <w:rPr>
          <w:rFonts w:hint="eastAsia"/>
          <w:b/>
        </w:rPr>
        <w:t>俸不足</w:t>
      </w:r>
      <w:r w:rsidR="00EE1222" w:rsidRPr="00CF6CB5">
        <w:rPr>
          <w:rFonts w:hint="eastAsia"/>
          <w:b/>
        </w:rPr>
        <w:t>者，宜回歸法定俸給之</w:t>
      </w:r>
      <w:r w:rsidR="00392644" w:rsidRPr="00CF6CB5">
        <w:rPr>
          <w:rFonts w:hint="eastAsia"/>
          <w:b/>
        </w:rPr>
        <w:t>外，</w:t>
      </w:r>
      <w:r w:rsidRPr="00CF6CB5">
        <w:rPr>
          <w:rFonts w:hint="eastAsia"/>
          <w:b/>
        </w:rPr>
        <w:t>宜與績效待遇結合</w:t>
      </w:r>
      <w:r w:rsidR="00392644" w:rsidRPr="00CF6CB5">
        <w:rPr>
          <w:rFonts w:hint="eastAsia"/>
          <w:b/>
        </w:rPr>
        <w:t>，並提升其法規位階</w:t>
      </w:r>
      <w:r w:rsidRPr="00CF6CB5">
        <w:rPr>
          <w:rFonts w:hint="eastAsia"/>
          <w:b/>
        </w:rPr>
        <w:t>：</w:t>
      </w:r>
    </w:p>
    <w:p w:rsidR="00294D6C" w:rsidRPr="00CF6CB5" w:rsidRDefault="00294D6C" w:rsidP="00294D6C">
      <w:pPr>
        <w:pStyle w:val="42"/>
        <w:ind w:left="1701" w:firstLine="680"/>
      </w:pPr>
      <w:r w:rsidRPr="00CF6CB5">
        <w:rPr>
          <w:rFonts w:hint="eastAsia"/>
        </w:rPr>
        <w:t>普遍性獎金</w:t>
      </w:r>
      <w:r w:rsidR="00F222D8" w:rsidRPr="00CF6CB5">
        <w:rPr>
          <w:rFonts w:hint="eastAsia"/>
        </w:rPr>
        <w:t>包括</w:t>
      </w:r>
      <w:r w:rsidRPr="00CF6CB5">
        <w:rPr>
          <w:rFonts w:hint="eastAsia"/>
        </w:rPr>
        <w:t>年終工作獎金、考績獎金</w:t>
      </w:r>
      <w:r w:rsidR="00F222D8" w:rsidRPr="00CF6CB5">
        <w:rPr>
          <w:rFonts w:hint="eastAsia"/>
        </w:rPr>
        <w:t>及</w:t>
      </w:r>
      <w:r w:rsidRPr="00CF6CB5">
        <w:rPr>
          <w:rFonts w:hint="eastAsia"/>
        </w:rPr>
        <w:t>特殊功勳獎賞。其中年終工作獎金之法源為「軍公教人員年終工作獎金發給注意事項」、考績獎金之法源為「公務人員考績法」、特殊功勳獎賞之法源為「公務人員品德修養及工作績效激勵辦</w:t>
      </w:r>
      <w:r w:rsidRPr="00CF6CB5">
        <w:rPr>
          <w:rFonts w:hint="eastAsia"/>
        </w:rPr>
        <w:lastRenderedPageBreak/>
        <w:t>法」、「公務人員領有勳章獎章榮譽紀念章發給獎勵金實施要點」等，除考績獎金之法源依據為公務人員考績法外，其他普遍性獎金不但有待法制化，且</w:t>
      </w:r>
      <w:r w:rsidR="00EE1222" w:rsidRPr="00CF6CB5">
        <w:rPr>
          <w:rFonts w:hint="eastAsia"/>
        </w:rPr>
        <w:t>作為績效管理之功能有限。此一部分因所涉層面極大，本案不擬討論</w:t>
      </w:r>
      <w:r w:rsidRPr="00CF6CB5">
        <w:rPr>
          <w:rFonts w:hint="eastAsia"/>
        </w:rPr>
        <w:t>。</w:t>
      </w:r>
      <w:r w:rsidR="009657E2" w:rsidRPr="00CF6CB5">
        <w:rPr>
          <w:rFonts w:hint="eastAsia"/>
        </w:rPr>
        <w:t>至於</w:t>
      </w:r>
      <w:r w:rsidRPr="00CF6CB5">
        <w:rPr>
          <w:rFonts w:hint="eastAsia"/>
        </w:rPr>
        <w:t>理論上屬激勵性及績效性質之「個別性獎金」，依編列之科目名稱概分為公務預算、營業基金預算及非營業基金預算。其中公務預算支給之各項獎金，包括稅務及關務獎勵金等（其妥適性容後詳述）；營業基金預算部分，包括各國營事業等之績效獎金、考核獎金、激勵獎金及其他獎金；非營業基金預算部分，包括醫院之績效獎金、飛安獎金及其他獎金</w:t>
      </w:r>
      <w:r w:rsidR="00EE1222" w:rsidRPr="00CF6CB5">
        <w:rPr>
          <w:rFonts w:hint="eastAsia"/>
        </w:rPr>
        <w:t>，其性質</w:t>
      </w:r>
      <w:proofErr w:type="gramStart"/>
      <w:r w:rsidR="00EE1222" w:rsidRPr="00CF6CB5">
        <w:rPr>
          <w:rFonts w:hint="eastAsia"/>
        </w:rPr>
        <w:t>及態樣亦</w:t>
      </w:r>
      <w:proofErr w:type="gramEnd"/>
      <w:r w:rsidR="00EE1222" w:rsidRPr="00CF6CB5">
        <w:rPr>
          <w:rFonts w:hint="eastAsia"/>
        </w:rPr>
        <w:t>屬複雜</w:t>
      </w:r>
      <w:r w:rsidR="00E764C4" w:rsidRPr="00CF6CB5">
        <w:rPr>
          <w:rFonts w:hint="eastAsia"/>
        </w:rPr>
        <w:t>。</w:t>
      </w:r>
      <w:r w:rsidRPr="00CF6CB5">
        <w:rPr>
          <w:rFonts w:hint="eastAsia"/>
        </w:rPr>
        <w:t>學者依各項奬金是否具有生活保障費用之實質內涵加以區分，認為除了因本職工作薪俸不足之補償費用（如醫師不開業獎金等），應回歸俸給法辦理外，其他屬於生活保障以外，因本職工作內容衍生之績效性獎金或激勵費用，屬典型之變動薪性質，該等給與理論上應由行政機關配合實施成效，隨時刪除或增加。如立法政策上表示應以法律授權，或認為屬於重要事項，須提升其法規位階，並縮減行政部門之裁量權</w:t>
      </w:r>
      <w:r w:rsidR="009657E2" w:rsidRPr="00CF6CB5">
        <w:rPr>
          <w:rFonts w:hint="eastAsia"/>
        </w:rPr>
        <w:t>等見解</w:t>
      </w:r>
      <w:r w:rsidRPr="00CF6CB5">
        <w:rPr>
          <w:rStyle w:val="aff1"/>
        </w:rPr>
        <w:footnoteReference w:id="19"/>
      </w:r>
      <w:r w:rsidR="009657E2" w:rsidRPr="00CF6CB5">
        <w:rPr>
          <w:rFonts w:hint="eastAsia"/>
        </w:rPr>
        <w:t>，應值得行政院參酌</w:t>
      </w:r>
      <w:r w:rsidRPr="00CF6CB5">
        <w:rPr>
          <w:rFonts w:hint="eastAsia"/>
        </w:rPr>
        <w:t>。</w:t>
      </w:r>
      <w:r w:rsidR="009657E2" w:rsidRPr="00CF6CB5">
        <w:rPr>
          <w:rFonts w:hint="eastAsia"/>
        </w:rPr>
        <w:t>質言之，部分公務人員領取俸給外之個別性獎金，其</w:t>
      </w:r>
      <w:proofErr w:type="gramStart"/>
      <w:r w:rsidR="009657E2" w:rsidRPr="00CF6CB5">
        <w:rPr>
          <w:rFonts w:hint="eastAsia"/>
        </w:rPr>
        <w:t>正當性須建立</w:t>
      </w:r>
      <w:proofErr w:type="gramEnd"/>
      <w:r w:rsidR="009657E2" w:rsidRPr="00CF6CB5">
        <w:rPr>
          <w:rFonts w:hint="eastAsia"/>
        </w:rPr>
        <w:t>在完整的績效制度</w:t>
      </w:r>
      <w:r w:rsidR="00F9798B" w:rsidRPr="00CF6CB5">
        <w:rPr>
          <w:rFonts w:hint="eastAsia"/>
        </w:rPr>
        <w:t>、考量國家財政狀況</w:t>
      </w:r>
      <w:r w:rsidR="009657E2" w:rsidRPr="00CF6CB5">
        <w:rPr>
          <w:rFonts w:hint="eastAsia"/>
        </w:rPr>
        <w:t>，</w:t>
      </w:r>
      <w:r w:rsidR="00F9798B" w:rsidRPr="00CF6CB5">
        <w:rPr>
          <w:rFonts w:hint="eastAsia"/>
        </w:rPr>
        <w:t>並</w:t>
      </w:r>
      <w:r w:rsidR="009657E2" w:rsidRPr="00CF6CB5">
        <w:rPr>
          <w:rFonts w:hint="eastAsia"/>
        </w:rPr>
        <w:t>接受民意的檢視。</w:t>
      </w:r>
    </w:p>
    <w:p w:rsidR="00294D6C" w:rsidRPr="00CF6CB5" w:rsidRDefault="00294D6C" w:rsidP="00294D6C">
      <w:pPr>
        <w:pStyle w:val="3"/>
        <w:kinsoku w:val="0"/>
        <w:overflowPunct/>
        <w:autoSpaceDE/>
        <w:autoSpaceDN/>
        <w:ind w:left="1393" w:hanging="697"/>
        <w:rPr>
          <w:b/>
        </w:rPr>
      </w:pPr>
      <w:bookmarkStart w:id="77" w:name="_Toc510456615"/>
      <w:bookmarkStart w:id="78" w:name="_Toc510534687"/>
      <w:bookmarkStart w:id="79" w:name="_Toc511053607"/>
      <w:bookmarkStart w:id="80" w:name="_Toc511126953"/>
      <w:r w:rsidRPr="00CF6CB5">
        <w:rPr>
          <w:rFonts w:hint="eastAsia"/>
          <w:b/>
        </w:rPr>
        <w:t>近年來中央及地方政府公務人員獎金之支出金額逐年升高，主要因素</w:t>
      </w:r>
      <w:r w:rsidR="00EE1222" w:rsidRPr="00CF6CB5">
        <w:rPr>
          <w:rFonts w:hint="eastAsia"/>
          <w:b/>
        </w:rPr>
        <w:t>固然</w:t>
      </w:r>
      <w:r w:rsidRPr="00CF6CB5">
        <w:rPr>
          <w:rFonts w:hint="eastAsia"/>
          <w:b/>
        </w:rPr>
        <w:t>係公立醫院作業基金配合業務成長所致，惟行政院未本諸整體資源及財政狀</w:t>
      </w:r>
      <w:r w:rsidRPr="00CF6CB5">
        <w:rPr>
          <w:rFonts w:hint="eastAsia"/>
          <w:b/>
        </w:rPr>
        <w:lastRenderedPageBreak/>
        <w:t>況，就獎金支出之分配及占比納入政策目標，容</w:t>
      </w:r>
      <w:proofErr w:type="gramStart"/>
      <w:r w:rsidRPr="00CF6CB5">
        <w:rPr>
          <w:rFonts w:hint="eastAsia"/>
          <w:b/>
        </w:rPr>
        <w:t>有未洽</w:t>
      </w:r>
      <w:proofErr w:type="gramEnd"/>
      <w:r w:rsidRPr="00CF6CB5">
        <w:rPr>
          <w:rFonts w:hint="eastAsia"/>
          <w:b/>
        </w:rPr>
        <w:t>。</w:t>
      </w:r>
      <w:bookmarkEnd w:id="77"/>
      <w:bookmarkEnd w:id="78"/>
      <w:bookmarkEnd w:id="79"/>
      <w:bookmarkEnd w:id="80"/>
    </w:p>
    <w:p w:rsidR="00294D6C" w:rsidRPr="00CF6CB5" w:rsidRDefault="00294D6C" w:rsidP="00474560">
      <w:pPr>
        <w:pStyle w:val="4"/>
      </w:pPr>
      <w:r w:rsidRPr="00CF6CB5">
        <w:rPr>
          <w:rFonts w:hint="eastAsia"/>
        </w:rPr>
        <w:t>立法院審查96年度中央政府總預算主決議，要求</w:t>
      </w:r>
      <w:r w:rsidR="00013F27" w:rsidRPr="00CF6CB5">
        <w:rPr>
          <w:rFonts w:hint="eastAsia"/>
        </w:rPr>
        <w:t>人事行政總處</w:t>
      </w:r>
      <w:r w:rsidRPr="00CF6CB5">
        <w:rPr>
          <w:rFonts w:hint="eastAsia"/>
        </w:rPr>
        <w:t>就預算科目項下編列之獎金，應提出獎金制度之法制化版本。且外界有認為近年政府人事費占總預算比率高居不下，政府除須落實組織改造外，針對每年逾200億元之個別性獎金，因僅以行政規則為其法源依據，不符俸給法定原則，宜先檢討其支出合理性。經查，中央及地方政府「人事費-獎金」（扣除年終工作獎金及考績獎金</w:t>
      </w:r>
      <w:r w:rsidRPr="00CF6CB5">
        <w:rPr>
          <w:rFonts w:hAnsi="Times New Roman"/>
          <w:kern w:val="28"/>
          <w:sz w:val="28"/>
          <w:szCs w:val="24"/>
          <w:vertAlign w:val="superscript"/>
        </w:rPr>
        <w:footnoteReference w:id="20"/>
      </w:r>
      <w:r w:rsidRPr="00CF6CB5">
        <w:rPr>
          <w:rFonts w:hint="eastAsia"/>
        </w:rPr>
        <w:t>）支出金額，102年為241億1,810餘萬元、103年增至247億5,300餘萬元、104年再增至272億100餘萬元，占人事費之比率由102年2.06％、103年增至2.10％、104年再增至2.26％，確有</w:t>
      </w:r>
      <w:r w:rsidR="00474560" w:rsidRPr="00CF6CB5">
        <w:rPr>
          <w:rFonts w:hint="eastAsia"/>
        </w:rPr>
        <w:t>逐</w:t>
      </w:r>
      <w:r w:rsidRPr="00CF6CB5">
        <w:rPr>
          <w:rFonts w:hint="eastAsia"/>
        </w:rPr>
        <w:t>年增加之情形。又據主計總處分析，獎金總額增加之主要原因係公立醫院作業基金配合醫療業務成長，相關績效獎金增加（</w:t>
      </w:r>
      <w:proofErr w:type="gramStart"/>
      <w:r w:rsidRPr="00CF6CB5">
        <w:rPr>
          <w:rFonts w:hint="eastAsia"/>
        </w:rPr>
        <w:t>106</w:t>
      </w:r>
      <w:proofErr w:type="gramEnd"/>
      <w:r w:rsidRPr="00CF6CB5">
        <w:rPr>
          <w:rFonts w:hint="eastAsia"/>
        </w:rPr>
        <w:t>年度績效獎金133.4億元，較</w:t>
      </w:r>
      <w:proofErr w:type="gramStart"/>
      <w:r w:rsidRPr="00CF6CB5">
        <w:rPr>
          <w:rFonts w:hint="eastAsia"/>
        </w:rPr>
        <w:t>105</w:t>
      </w:r>
      <w:proofErr w:type="gramEnd"/>
      <w:r w:rsidRPr="00CF6CB5">
        <w:rPr>
          <w:rFonts w:hint="eastAsia"/>
        </w:rPr>
        <w:t>年度123.9億元增加9.5億元）所致。</w:t>
      </w:r>
    </w:p>
    <w:p w:rsidR="00294D6C" w:rsidRPr="00CF6CB5" w:rsidRDefault="00294D6C" w:rsidP="00474560">
      <w:pPr>
        <w:pStyle w:val="4"/>
      </w:pPr>
      <w:r w:rsidRPr="00CF6CB5">
        <w:rPr>
          <w:rFonts w:hint="eastAsia"/>
        </w:rPr>
        <w:t>對此，</w:t>
      </w:r>
      <w:r w:rsidR="00013F27" w:rsidRPr="00CF6CB5">
        <w:rPr>
          <w:rFonts w:hint="eastAsia"/>
        </w:rPr>
        <w:t>人事行政總處</w:t>
      </w:r>
      <w:r w:rsidRPr="00CF6CB5">
        <w:rPr>
          <w:rFonts w:hint="eastAsia"/>
        </w:rPr>
        <w:t>及主計總處表示：行政院於103年2月推動「財政健全方案」，全面檢討支出結構與秉持零基預算精神妥適配置資源，並檢討各項業務獎金發放之合理性</w:t>
      </w:r>
      <w:proofErr w:type="gramStart"/>
      <w:r w:rsidRPr="00CF6CB5">
        <w:rPr>
          <w:rFonts w:hint="eastAsia"/>
        </w:rPr>
        <w:t>及其支給</w:t>
      </w:r>
      <w:proofErr w:type="gramEnd"/>
      <w:r w:rsidRPr="00CF6CB5">
        <w:rPr>
          <w:rFonts w:hint="eastAsia"/>
        </w:rPr>
        <w:t>對象、標準，</w:t>
      </w:r>
      <w:proofErr w:type="gramStart"/>
      <w:r w:rsidRPr="00CF6CB5">
        <w:rPr>
          <w:rFonts w:hint="eastAsia"/>
        </w:rPr>
        <w:t>嗣</w:t>
      </w:r>
      <w:proofErr w:type="gramEnd"/>
      <w:r w:rsidRPr="00CF6CB5">
        <w:rPr>
          <w:rFonts w:hint="eastAsia"/>
        </w:rPr>
        <w:t>行政院於103年4月至105年5月訂定「法制化推動計畫」，就行政院核定屬金錢給付性質之給與項目予以評估，</w:t>
      </w:r>
      <w:r w:rsidR="00474560" w:rsidRPr="00CF6CB5">
        <w:rPr>
          <w:rFonts w:hint="eastAsia"/>
        </w:rPr>
        <w:t>逐</w:t>
      </w:r>
      <w:r w:rsidRPr="00CF6CB5">
        <w:rPr>
          <w:rFonts w:hint="eastAsia"/>
        </w:rPr>
        <w:t>一檢討軍公教人員法定給與以外其他給與項目之適當性、合理性，並妥適處理</w:t>
      </w:r>
      <w:r w:rsidRPr="00CF6CB5">
        <w:rPr>
          <w:rFonts w:hint="eastAsia"/>
        </w:rPr>
        <w:lastRenderedPageBreak/>
        <w:t>法制化型態等語。</w:t>
      </w:r>
    </w:p>
    <w:p w:rsidR="00294D6C" w:rsidRPr="00CF6CB5" w:rsidRDefault="00294D6C" w:rsidP="00474560">
      <w:pPr>
        <w:pStyle w:val="4"/>
      </w:pPr>
      <w:proofErr w:type="gramStart"/>
      <w:r w:rsidRPr="00CF6CB5">
        <w:rPr>
          <w:rFonts w:hint="eastAsia"/>
        </w:rPr>
        <w:t>惟查</w:t>
      </w:r>
      <w:proofErr w:type="gramEnd"/>
      <w:r w:rsidRPr="00CF6CB5">
        <w:rPr>
          <w:rFonts w:hint="eastAsia"/>
        </w:rPr>
        <w:t>，上開方案及計畫實施前後，公務預算支出之個別性獎金（人事費-獎金項下之其他業務獎金）之編列數額（21.3億元至24.6億元間，各年增減情形不一）仍按往例編列支給</w:t>
      </w:r>
      <w:r w:rsidR="00795B09" w:rsidRPr="00CF6CB5">
        <w:rPr>
          <w:rFonts w:hint="eastAsia"/>
        </w:rPr>
        <w:t>，</w:t>
      </w:r>
      <w:proofErr w:type="gramStart"/>
      <w:r w:rsidR="00795B09" w:rsidRPr="00CF6CB5">
        <w:rPr>
          <w:rFonts w:hint="eastAsia"/>
        </w:rPr>
        <w:t>未</w:t>
      </w:r>
      <w:r w:rsidRPr="00CF6CB5">
        <w:rPr>
          <w:rFonts w:hint="eastAsia"/>
        </w:rPr>
        <w:t>匡定</w:t>
      </w:r>
      <w:r w:rsidR="00795B09" w:rsidRPr="00CF6CB5">
        <w:rPr>
          <w:rFonts w:hint="eastAsia"/>
        </w:rPr>
        <w:t>其</w:t>
      </w:r>
      <w:proofErr w:type="gramEnd"/>
      <w:r w:rsidRPr="00CF6CB5">
        <w:rPr>
          <w:rFonts w:hint="eastAsia"/>
        </w:rPr>
        <w:t>支出總額上限</w:t>
      </w:r>
      <w:r w:rsidR="00F9798B" w:rsidRPr="00CF6CB5">
        <w:rPr>
          <w:rFonts w:hint="eastAsia"/>
        </w:rPr>
        <w:t>或擬定合理的目標</w:t>
      </w:r>
      <w:r w:rsidR="00A64383" w:rsidRPr="00CF6CB5">
        <w:rPr>
          <w:rFonts w:hint="eastAsia"/>
        </w:rPr>
        <w:t>。對此，</w:t>
      </w:r>
      <w:proofErr w:type="gramStart"/>
      <w:r w:rsidRPr="00CF6CB5">
        <w:rPr>
          <w:rFonts w:hint="eastAsia"/>
        </w:rPr>
        <w:t>詢</w:t>
      </w:r>
      <w:proofErr w:type="gramEnd"/>
      <w:r w:rsidRPr="00CF6CB5">
        <w:rPr>
          <w:rFonts w:hint="eastAsia"/>
        </w:rPr>
        <w:t>據</w:t>
      </w:r>
      <w:r w:rsidR="00013F27" w:rsidRPr="00CF6CB5">
        <w:rPr>
          <w:rFonts w:hint="eastAsia"/>
        </w:rPr>
        <w:t>人事行政總處</w:t>
      </w:r>
      <w:r w:rsidRPr="00CF6CB5">
        <w:rPr>
          <w:rFonts w:hint="eastAsia"/>
        </w:rPr>
        <w:t>稱：部分獎金之支給數額，與事業收支、預算執行率或盈餘達成率相關，非</w:t>
      </w:r>
      <w:proofErr w:type="gramStart"/>
      <w:r w:rsidRPr="00CF6CB5">
        <w:rPr>
          <w:rFonts w:hint="eastAsia"/>
        </w:rPr>
        <w:t>採</w:t>
      </w:r>
      <w:proofErr w:type="gramEnd"/>
      <w:r w:rsidRPr="00CF6CB5">
        <w:rPr>
          <w:rFonts w:hint="eastAsia"/>
        </w:rPr>
        <w:t>定額支給，實務上較難預知其最終支給數額，</w:t>
      </w:r>
      <w:r w:rsidR="00A64383" w:rsidRPr="00CF6CB5">
        <w:rPr>
          <w:rFonts w:hint="eastAsia"/>
        </w:rPr>
        <w:t>又</w:t>
      </w:r>
      <w:r w:rsidRPr="00CF6CB5">
        <w:rPr>
          <w:rFonts w:hint="eastAsia"/>
        </w:rPr>
        <w:t>政府支出之分配及占比尚涉主計總處權責，因此並未納入該總處政策目標等語；主計總處則表示：非經行政院核定有案之員工待遇、福利、獎金或其他給與事項，不得列入概算，已督導各機關人事費依相關規定核實編列，並於執行時由相關權責單位嚴格審核，</w:t>
      </w:r>
      <w:proofErr w:type="gramStart"/>
      <w:r w:rsidRPr="00CF6CB5">
        <w:rPr>
          <w:rFonts w:hint="eastAsia"/>
        </w:rPr>
        <w:t>俾</w:t>
      </w:r>
      <w:proofErr w:type="gramEnd"/>
      <w:r w:rsidRPr="00CF6CB5">
        <w:rPr>
          <w:rFonts w:hint="eastAsia"/>
        </w:rPr>
        <w:t>利該等經費之控管，未來將會同</w:t>
      </w:r>
      <w:r w:rsidR="00013F27" w:rsidRPr="00CF6CB5">
        <w:rPr>
          <w:rFonts w:hint="eastAsia"/>
        </w:rPr>
        <w:t>人事行政總處</w:t>
      </w:r>
      <w:r w:rsidRPr="00CF6CB5">
        <w:rPr>
          <w:rFonts w:hint="eastAsia"/>
        </w:rPr>
        <w:t>就獎金給與事項</w:t>
      </w:r>
      <w:proofErr w:type="gramStart"/>
      <w:r w:rsidRPr="00CF6CB5">
        <w:rPr>
          <w:rFonts w:hint="eastAsia"/>
        </w:rPr>
        <w:t>賡</w:t>
      </w:r>
      <w:proofErr w:type="gramEnd"/>
      <w:r w:rsidRPr="00CF6CB5">
        <w:rPr>
          <w:rFonts w:hint="eastAsia"/>
        </w:rPr>
        <w:t>續檢討等語。</w:t>
      </w:r>
      <w:proofErr w:type="gramStart"/>
      <w:r w:rsidR="00795B09" w:rsidRPr="00CF6CB5">
        <w:rPr>
          <w:rFonts w:hint="eastAsia"/>
        </w:rPr>
        <w:t>所述</w:t>
      </w:r>
      <w:r w:rsidR="00A64383" w:rsidRPr="00CF6CB5">
        <w:rPr>
          <w:rFonts w:hint="eastAsia"/>
        </w:rPr>
        <w:t>固</w:t>
      </w:r>
      <w:r w:rsidR="00795B09" w:rsidRPr="00CF6CB5">
        <w:rPr>
          <w:rFonts w:hint="eastAsia"/>
        </w:rPr>
        <w:t>屬</w:t>
      </w:r>
      <w:proofErr w:type="gramEnd"/>
      <w:r w:rsidR="00795B09" w:rsidRPr="00CF6CB5">
        <w:rPr>
          <w:rFonts w:hint="eastAsia"/>
        </w:rPr>
        <w:t>實情</w:t>
      </w:r>
      <w:r w:rsidR="00A64383" w:rsidRPr="00CF6CB5">
        <w:rPr>
          <w:rFonts w:hint="eastAsia"/>
        </w:rPr>
        <w:t>，</w:t>
      </w:r>
      <w:r w:rsidR="00795B09" w:rsidRPr="00CF6CB5">
        <w:rPr>
          <w:rFonts w:hint="eastAsia"/>
        </w:rPr>
        <w:t>但</w:t>
      </w:r>
      <w:r w:rsidRPr="00CF6CB5">
        <w:rPr>
          <w:rFonts w:hint="eastAsia"/>
        </w:rPr>
        <w:t>有</w:t>
      </w:r>
      <w:proofErr w:type="gramStart"/>
      <w:r w:rsidRPr="00CF6CB5">
        <w:rPr>
          <w:rFonts w:hint="eastAsia"/>
        </w:rPr>
        <w:t>鑑</w:t>
      </w:r>
      <w:proofErr w:type="gramEnd"/>
      <w:r w:rsidRPr="00CF6CB5">
        <w:rPr>
          <w:rFonts w:hint="eastAsia"/>
        </w:rPr>
        <w:t>於營業基金及非營業基金預算編列</w:t>
      </w:r>
      <w:r w:rsidR="00A64383" w:rsidRPr="00CF6CB5">
        <w:rPr>
          <w:rFonts w:hint="eastAsia"/>
        </w:rPr>
        <w:t>之</w:t>
      </w:r>
      <w:r w:rsidRPr="00CF6CB5">
        <w:rPr>
          <w:rFonts w:hint="eastAsia"/>
        </w:rPr>
        <w:t>獎金</w:t>
      </w:r>
      <w:r w:rsidR="00A64383" w:rsidRPr="00CF6CB5">
        <w:rPr>
          <w:rFonts w:hint="eastAsia"/>
        </w:rPr>
        <w:t>，</w:t>
      </w:r>
      <w:r w:rsidR="00795B09" w:rsidRPr="00CF6CB5">
        <w:rPr>
          <w:rFonts w:hint="eastAsia"/>
        </w:rPr>
        <w:t>長期</w:t>
      </w:r>
      <w:r w:rsidRPr="00CF6CB5">
        <w:rPr>
          <w:rFonts w:hint="eastAsia"/>
        </w:rPr>
        <w:t>備受外界批評</w:t>
      </w:r>
      <w:r w:rsidR="00795B09" w:rsidRPr="00CF6CB5">
        <w:rPr>
          <w:rFonts w:hint="eastAsia"/>
        </w:rPr>
        <w:t>；</w:t>
      </w:r>
      <w:r w:rsidRPr="00CF6CB5">
        <w:rPr>
          <w:rFonts w:hint="eastAsia"/>
        </w:rPr>
        <w:t>公務預算編列之</w:t>
      </w:r>
      <w:r w:rsidR="00795B09" w:rsidRPr="00CF6CB5">
        <w:rPr>
          <w:rFonts w:hint="eastAsia"/>
        </w:rPr>
        <w:t>個別性</w:t>
      </w:r>
      <w:r w:rsidRPr="00CF6CB5">
        <w:rPr>
          <w:rFonts w:hint="eastAsia"/>
        </w:rPr>
        <w:t>獎金未確實結合績效待遇制度及整體資源統籌檢討，有淪為固定性給與之虞</w:t>
      </w:r>
      <w:r w:rsidR="00795B09" w:rsidRPr="00CF6CB5">
        <w:rPr>
          <w:rFonts w:hint="eastAsia"/>
        </w:rPr>
        <w:t>；</w:t>
      </w:r>
      <w:r w:rsidRPr="00CF6CB5">
        <w:rPr>
          <w:rFonts w:hint="eastAsia"/>
        </w:rPr>
        <w:t>且據審計部歷年來查核發現，</w:t>
      </w:r>
      <w:r w:rsidR="00795B09" w:rsidRPr="00CF6CB5">
        <w:rPr>
          <w:rFonts w:hint="eastAsia"/>
        </w:rPr>
        <w:t>該等獎金</w:t>
      </w:r>
      <w:r w:rsidRPr="00CF6CB5">
        <w:rPr>
          <w:rFonts w:hint="eastAsia"/>
        </w:rPr>
        <w:t>涉有支給上限規定標準不一，存在各機關自行解讀空間，</w:t>
      </w:r>
      <w:r w:rsidR="00F9798B" w:rsidRPr="00CF6CB5">
        <w:rPr>
          <w:rFonts w:hint="eastAsia"/>
        </w:rPr>
        <w:t>欠缺合理的法源位階、法制基礎及審查機制未</w:t>
      </w:r>
      <w:proofErr w:type="gramStart"/>
      <w:r w:rsidR="00F9798B" w:rsidRPr="00CF6CB5">
        <w:rPr>
          <w:rFonts w:hint="eastAsia"/>
        </w:rPr>
        <w:t>臻</w:t>
      </w:r>
      <w:proofErr w:type="gramEnd"/>
      <w:r w:rsidR="00F9798B" w:rsidRPr="00CF6CB5">
        <w:rPr>
          <w:rFonts w:hint="eastAsia"/>
        </w:rPr>
        <w:t>健全等疑義，行政院宜掌握獎金制度的基本原則，督導所屬</w:t>
      </w:r>
      <w:r w:rsidRPr="00CF6CB5">
        <w:rPr>
          <w:rFonts w:hint="eastAsia"/>
        </w:rPr>
        <w:t>積極興革績效待遇制度</w:t>
      </w:r>
      <w:r w:rsidR="00F9798B" w:rsidRPr="00CF6CB5">
        <w:rPr>
          <w:rFonts w:hint="eastAsia"/>
        </w:rPr>
        <w:t>並</w:t>
      </w:r>
      <w:r w:rsidRPr="00CF6CB5">
        <w:rPr>
          <w:rFonts w:hint="eastAsia"/>
        </w:rPr>
        <w:t>推動獎金法制化。</w:t>
      </w:r>
    </w:p>
    <w:p w:rsidR="00C01ACC" w:rsidRPr="00CF6CB5" w:rsidRDefault="00C01ACC" w:rsidP="00C01ACC">
      <w:pPr>
        <w:pStyle w:val="3"/>
        <w:rPr>
          <w:b/>
        </w:rPr>
      </w:pPr>
      <w:bookmarkStart w:id="81" w:name="_Toc510456616"/>
      <w:bookmarkStart w:id="82" w:name="_Toc510534688"/>
      <w:bookmarkStart w:id="83" w:name="_Toc511053608"/>
      <w:bookmarkStart w:id="84" w:name="_Toc511126954"/>
      <w:r w:rsidRPr="00CF6CB5">
        <w:rPr>
          <w:rFonts w:hint="eastAsia"/>
          <w:b/>
        </w:rPr>
        <w:t>小結</w:t>
      </w:r>
      <w:bookmarkEnd w:id="81"/>
      <w:bookmarkEnd w:id="82"/>
      <w:bookmarkEnd w:id="83"/>
      <w:bookmarkEnd w:id="84"/>
    </w:p>
    <w:p w:rsidR="00C01ACC" w:rsidRPr="00CF6CB5" w:rsidRDefault="00C01ACC" w:rsidP="00C01ACC">
      <w:pPr>
        <w:pStyle w:val="32"/>
        <w:ind w:left="1361" w:firstLine="680"/>
      </w:pPr>
      <w:r w:rsidRPr="00CF6CB5">
        <w:rPr>
          <w:rFonts w:hint="eastAsia"/>
        </w:rPr>
        <w:t>綜上，待遇支給之</w:t>
      </w:r>
      <w:proofErr w:type="gramStart"/>
      <w:r w:rsidRPr="00CF6CB5">
        <w:rPr>
          <w:rFonts w:hint="eastAsia"/>
        </w:rPr>
        <w:t>規</w:t>
      </w:r>
      <w:proofErr w:type="gramEnd"/>
      <w:r w:rsidRPr="00CF6CB5">
        <w:rPr>
          <w:rFonts w:hint="eastAsia"/>
        </w:rPr>
        <w:t>畫涉及全國總資源分配狀況及政府預算支應能力之評估，需基於整體</w:t>
      </w:r>
      <w:proofErr w:type="gramStart"/>
      <w:r w:rsidRPr="00CF6CB5">
        <w:rPr>
          <w:rFonts w:hint="eastAsia"/>
        </w:rPr>
        <w:t>衡平性通盤</w:t>
      </w:r>
      <w:proofErr w:type="gramEnd"/>
      <w:r w:rsidRPr="00CF6CB5">
        <w:rPr>
          <w:rFonts w:hint="eastAsia"/>
        </w:rPr>
        <w:t>審酌。依</w:t>
      </w:r>
      <w:proofErr w:type="gramStart"/>
      <w:r w:rsidRPr="00CF6CB5">
        <w:rPr>
          <w:rFonts w:hint="eastAsia"/>
        </w:rPr>
        <w:t>審計部及主計</w:t>
      </w:r>
      <w:proofErr w:type="gramEnd"/>
      <w:r w:rsidRPr="00CF6CB5">
        <w:rPr>
          <w:rFonts w:hint="eastAsia"/>
        </w:rPr>
        <w:t>總處資料，中央及地方政府支出之個別性獎金，扣除年終工作獎金及考績</w:t>
      </w:r>
      <w:r w:rsidRPr="00CF6CB5">
        <w:rPr>
          <w:rFonts w:hint="eastAsia"/>
        </w:rPr>
        <w:lastRenderedPageBreak/>
        <w:t>獎金，每年逾200億元，且102年至104年</w:t>
      </w:r>
      <w:r w:rsidR="00474560" w:rsidRPr="00CF6CB5">
        <w:rPr>
          <w:rFonts w:hint="eastAsia"/>
        </w:rPr>
        <w:t>逐</w:t>
      </w:r>
      <w:r w:rsidRPr="00CF6CB5">
        <w:rPr>
          <w:rFonts w:hint="eastAsia"/>
        </w:rPr>
        <w:t>年增加，</w:t>
      </w:r>
      <w:r w:rsidR="00795B09" w:rsidRPr="00CF6CB5">
        <w:rPr>
          <w:rFonts w:hint="eastAsia"/>
        </w:rPr>
        <w:t>致</w:t>
      </w:r>
      <w:r w:rsidRPr="00CF6CB5">
        <w:rPr>
          <w:rFonts w:hint="eastAsia"/>
        </w:rPr>
        <w:t>外界抨擊</w:t>
      </w:r>
      <w:r w:rsidR="00795B09" w:rsidRPr="00CF6CB5">
        <w:rPr>
          <w:rFonts w:hint="eastAsia"/>
        </w:rPr>
        <w:t>之</w:t>
      </w:r>
      <w:r w:rsidRPr="00CF6CB5">
        <w:rPr>
          <w:rFonts w:hint="eastAsia"/>
        </w:rPr>
        <w:t>聲浪不斷，</w:t>
      </w:r>
      <w:r w:rsidR="00795B09" w:rsidRPr="00CF6CB5">
        <w:rPr>
          <w:rFonts w:hint="eastAsia"/>
        </w:rPr>
        <w:t>並</w:t>
      </w:r>
      <w:r w:rsidRPr="00CF6CB5">
        <w:rPr>
          <w:rFonts w:hint="eastAsia"/>
        </w:rPr>
        <w:t>非</w:t>
      </w:r>
      <w:r w:rsidR="00795B09" w:rsidRPr="00CF6CB5">
        <w:rPr>
          <w:rFonts w:hint="eastAsia"/>
        </w:rPr>
        <w:t>毫</w:t>
      </w:r>
      <w:r w:rsidRPr="00CF6CB5">
        <w:rPr>
          <w:rFonts w:hint="eastAsia"/>
        </w:rPr>
        <w:t>無檢討的必要。行政院允宜貫</w:t>
      </w:r>
      <w:r w:rsidR="00A604C4" w:rsidRPr="00CF6CB5">
        <w:rPr>
          <w:rFonts w:hint="eastAsia"/>
        </w:rPr>
        <w:t>徹</w:t>
      </w:r>
      <w:r w:rsidRPr="00CF6CB5">
        <w:rPr>
          <w:rFonts w:hint="eastAsia"/>
        </w:rPr>
        <w:t>預算編列之零基精神，採取宏觀調控及通盤衡酌之積極作為，</w:t>
      </w:r>
      <w:r w:rsidR="00795B09" w:rsidRPr="00CF6CB5">
        <w:rPr>
          <w:rFonts w:hint="eastAsia"/>
        </w:rPr>
        <w:t>並</w:t>
      </w:r>
      <w:r w:rsidRPr="00CF6CB5">
        <w:rPr>
          <w:rFonts w:hint="eastAsia"/>
        </w:rPr>
        <w:t>建立</w:t>
      </w:r>
      <w:r w:rsidR="00795B09" w:rsidRPr="00CF6CB5">
        <w:rPr>
          <w:rFonts w:hint="eastAsia"/>
        </w:rPr>
        <w:t>以</w:t>
      </w:r>
      <w:r w:rsidRPr="00CF6CB5">
        <w:rPr>
          <w:rFonts w:hint="eastAsia"/>
        </w:rPr>
        <w:t>績效導向之獎金薪酬制度。</w:t>
      </w:r>
    </w:p>
    <w:p w:rsidR="00A669D6" w:rsidRPr="00CF6CB5" w:rsidRDefault="00C01ACC" w:rsidP="00C01ACC">
      <w:pPr>
        <w:pStyle w:val="2"/>
        <w:rPr>
          <w:b/>
        </w:rPr>
      </w:pPr>
      <w:bookmarkStart w:id="85" w:name="_Toc511126955"/>
      <w:r w:rsidRPr="00CF6CB5">
        <w:rPr>
          <w:rFonts w:hint="eastAsia"/>
          <w:b/>
        </w:rPr>
        <w:t>中央政府每年於公務預算之人事費項下，編列支給逾20億元之「個別性獎金」，</w:t>
      </w:r>
      <w:r w:rsidR="00A669D6" w:rsidRPr="00CF6CB5">
        <w:rPr>
          <w:rFonts w:hint="eastAsia"/>
          <w:b/>
        </w:rPr>
        <w:t>項目繁多，性質各異，部分獎金之合理性及妥適性</w:t>
      </w:r>
      <w:r w:rsidR="00DC7BCC" w:rsidRPr="00CF6CB5">
        <w:rPr>
          <w:rFonts w:hint="eastAsia"/>
          <w:b/>
        </w:rPr>
        <w:t>存有重大</w:t>
      </w:r>
      <w:r w:rsidR="00A669D6" w:rsidRPr="00CF6CB5">
        <w:rPr>
          <w:rFonts w:hint="eastAsia"/>
          <w:b/>
        </w:rPr>
        <w:t>疑義</w:t>
      </w:r>
      <w:r w:rsidR="00396017" w:rsidRPr="00CF6CB5">
        <w:rPr>
          <w:rFonts w:hint="eastAsia"/>
          <w:b/>
        </w:rPr>
        <w:t>，</w:t>
      </w:r>
      <w:r w:rsidR="00DC7BCC" w:rsidRPr="00CF6CB5">
        <w:rPr>
          <w:rFonts w:hint="eastAsia"/>
          <w:b/>
        </w:rPr>
        <w:t>不但</w:t>
      </w:r>
      <w:r w:rsidR="00396017" w:rsidRPr="00CF6CB5">
        <w:rPr>
          <w:rFonts w:hint="eastAsia"/>
          <w:b/>
        </w:rPr>
        <w:t>立法院及審計部要求改善</w:t>
      </w:r>
      <w:r w:rsidR="00DC7BCC" w:rsidRPr="00CF6CB5">
        <w:rPr>
          <w:rFonts w:hint="eastAsia"/>
          <w:b/>
        </w:rPr>
        <w:t>，各界亦有檢討之聲浪。</w:t>
      </w:r>
      <w:r w:rsidR="00A669D6" w:rsidRPr="00CF6CB5">
        <w:rPr>
          <w:rFonts w:hint="eastAsia"/>
          <w:b/>
        </w:rPr>
        <w:t>然行政院於103年至105年辦理之「法制化推動計畫」，</w:t>
      </w:r>
      <w:r w:rsidR="00DC7BCC" w:rsidRPr="00CF6CB5">
        <w:rPr>
          <w:rFonts w:hint="eastAsia"/>
          <w:b/>
        </w:rPr>
        <w:t>僅</w:t>
      </w:r>
      <w:r w:rsidR="00A669D6" w:rsidRPr="00CF6CB5">
        <w:rPr>
          <w:rFonts w:hint="eastAsia"/>
          <w:b/>
        </w:rPr>
        <w:t>由各機關自行檢討後報核，而未探究</w:t>
      </w:r>
      <w:r w:rsidR="0070109D" w:rsidRPr="00CF6CB5">
        <w:rPr>
          <w:rFonts w:hint="eastAsia"/>
          <w:b/>
        </w:rPr>
        <w:t>個</w:t>
      </w:r>
      <w:r w:rsidR="00A669D6" w:rsidRPr="00CF6CB5">
        <w:rPr>
          <w:rFonts w:hint="eastAsia"/>
          <w:b/>
        </w:rPr>
        <w:t>別給與項目之實質內涵，</w:t>
      </w:r>
      <w:r w:rsidR="00DC7BCC" w:rsidRPr="00CF6CB5">
        <w:rPr>
          <w:rFonts w:hint="eastAsia"/>
          <w:b/>
        </w:rPr>
        <w:t>其實施成果僅刪減少數支給目的及對象已不存在之獎金及進行整</w:t>
      </w:r>
      <w:proofErr w:type="gramStart"/>
      <w:r w:rsidR="00DC7BCC" w:rsidRPr="00CF6CB5">
        <w:rPr>
          <w:rFonts w:hint="eastAsia"/>
          <w:b/>
        </w:rPr>
        <w:t>併</w:t>
      </w:r>
      <w:proofErr w:type="gramEnd"/>
      <w:r w:rsidR="00DC7BCC" w:rsidRPr="00CF6CB5">
        <w:rPr>
          <w:rFonts w:hint="eastAsia"/>
          <w:b/>
        </w:rPr>
        <w:t>或簡化，</w:t>
      </w:r>
      <w:r w:rsidR="00A669D6" w:rsidRPr="00CF6CB5">
        <w:rPr>
          <w:rFonts w:hint="eastAsia"/>
          <w:b/>
        </w:rPr>
        <w:t>致難以澈底解決相關問題。質言之，獎金如</w:t>
      </w:r>
      <w:r w:rsidR="00961526" w:rsidRPr="00CF6CB5">
        <w:rPr>
          <w:rFonts w:hint="eastAsia"/>
          <w:b/>
        </w:rPr>
        <w:t>屬</w:t>
      </w:r>
      <w:r w:rsidR="00A669D6" w:rsidRPr="00CF6CB5">
        <w:rPr>
          <w:rFonts w:hint="eastAsia"/>
          <w:b/>
        </w:rPr>
        <w:t>薪俸不足之補償，應回歸俸給法辦理，</w:t>
      </w:r>
      <w:r w:rsidR="00DC7BCC" w:rsidRPr="00CF6CB5">
        <w:rPr>
          <w:rFonts w:hint="eastAsia"/>
          <w:b/>
        </w:rPr>
        <w:t>藉由合理調整其加給標準，</w:t>
      </w:r>
      <w:r w:rsidR="00A669D6" w:rsidRPr="00CF6CB5">
        <w:rPr>
          <w:rFonts w:hint="eastAsia"/>
          <w:b/>
        </w:rPr>
        <w:t>力求薪俸與工作</w:t>
      </w:r>
      <w:proofErr w:type="gramStart"/>
      <w:r w:rsidR="00A669D6" w:rsidRPr="00CF6CB5">
        <w:rPr>
          <w:rFonts w:hint="eastAsia"/>
          <w:b/>
        </w:rPr>
        <w:t>質量之衡平</w:t>
      </w:r>
      <w:proofErr w:type="gramEnd"/>
      <w:r w:rsidR="00A669D6" w:rsidRPr="00CF6CB5">
        <w:rPr>
          <w:rFonts w:hint="eastAsia"/>
          <w:b/>
        </w:rPr>
        <w:t>；如屬本職工作</w:t>
      </w:r>
      <w:r w:rsidR="00961526" w:rsidRPr="00CF6CB5">
        <w:rPr>
          <w:rFonts w:hint="eastAsia"/>
          <w:b/>
        </w:rPr>
        <w:t>衍生</w:t>
      </w:r>
      <w:r w:rsidR="00A669D6" w:rsidRPr="00CF6CB5">
        <w:rPr>
          <w:rFonts w:hint="eastAsia"/>
          <w:b/>
        </w:rPr>
        <w:t>之績效性獎金或激勵費用，則應配合績效制度及政策目標，視國家財政狀況隨時刪除或增加，且不能排除民意的檢視</w:t>
      </w:r>
      <w:r w:rsidR="00D965A8" w:rsidRPr="00CF6CB5">
        <w:rPr>
          <w:rFonts w:hint="eastAsia"/>
          <w:b/>
        </w:rPr>
        <w:t>。</w:t>
      </w:r>
      <w:r w:rsidR="00DC7BCC" w:rsidRPr="00CF6CB5">
        <w:rPr>
          <w:rFonts w:hint="eastAsia"/>
          <w:b/>
        </w:rPr>
        <w:t>目前「個別性獎金」因欠缺檢討機制，有成為固定性給與之虞，行政院</w:t>
      </w:r>
      <w:r w:rsidR="0081549F" w:rsidRPr="00CF6CB5">
        <w:rPr>
          <w:rFonts w:hint="eastAsia"/>
          <w:b/>
        </w:rPr>
        <w:t>允</w:t>
      </w:r>
      <w:r w:rsidR="00DC7BCC" w:rsidRPr="00CF6CB5">
        <w:rPr>
          <w:rFonts w:hint="eastAsia"/>
          <w:b/>
        </w:rPr>
        <w:t>應持續檢討。</w:t>
      </w:r>
      <w:bookmarkEnd w:id="85"/>
    </w:p>
    <w:p w:rsidR="00E764C4" w:rsidRPr="00CF6CB5" w:rsidRDefault="00E764C4" w:rsidP="00DC7BCC">
      <w:pPr>
        <w:pStyle w:val="3"/>
        <w:kinsoku w:val="0"/>
        <w:overflowPunct/>
        <w:autoSpaceDE/>
        <w:autoSpaceDN/>
        <w:ind w:left="1393" w:hanging="697"/>
      </w:pPr>
      <w:bookmarkStart w:id="86" w:name="_Toc510456618"/>
      <w:bookmarkStart w:id="87" w:name="_Toc510534690"/>
      <w:bookmarkStart w:id="88" w:name="_Toc511053610"/>
      <w:bookmarkStart w:id="89" w:name="_Toc511126956"/>
      <w:r w:rsidRPr="00CF6CB5">
        <w:rPr>
          <w:rFonts w:hint="eastAsia"/>
        </w:rPr>
        <w:t>按</w:t>
      </w:r>
      <w:r w:rsidR="00376978" w:rsidRPr="00CF6CB5">
        <w:rPr>
          <w:rFonts w:hint="eastAsia"/>
        </w:rPr>
        <w:t>「</w:t>
      </w:r>
      <w:r w:rsidRPr="00CF6CB5">
        <w:rPr>
          <w:rFonts w:hint="eastAsia"/>
        </w:rPr>
        <w:t>個別性獎金</w:t>
      </w:r>
      <w:r w:rsidR="00376978" w:rsidRPr="00CF6CB5">
        <w:rPr>
          <w:rFonts w:hint="eastAsia"/>
        </w:rPr>
        <w:t>」</w:t>
      </w:r>
      <w:r w:rsidR="00E86D84" w:rsidRPr="00CF6CB5">
        <w:rPr>
          <w:rFonts w:hint="eastAsia"/>
        </w:rPr>
        <w:t>之項目繁</w:t>
      </w:r>
      <w:r w:rsidR="0081549F" w:rsidRPr="00CF6CB5">
        <w:rPr>
          <w:rFonts w:hint="eastAsia"/>
        </w:rPr>
        <w:t>雜</w:t>
      </w:r>
      <w:r w:rsidR="00E86D84" w:rsidRPr="00CF6CB5">
        <w:rPr>
          <w:rFonts w:hint="eastAsia"/>
        </w:rPr>
        <w:t>，性質各異，欠缺法源依據，已如前述。然各項</w:t>
      </w:r>
      <w:proofErr w:type="gramStart"/>
      <w:r w:rsidR="00E86D84" w:rsidRPr="00CF6CB5">
        <w:rPr>
          <w:rFonts w:hint="eastAsia"/>
        </w:rPr>
        <w:t>獎金均有</w:t>
      </w:r>
      <w:r w:rsidRPr="00CF6CB5">
        <w:rPr>
          <w:rFonts w:hint="eastAsia"/>
        </w:rPr>
        <w:t>其</w:t>
      </w:r>
      <w:proofErr w:type="gramEnd"/>
      <w:r w:rsidRPr="00CF6CB5">
        <w:rPr>
          <w:rFonts w:hint="eastAsia"/>
        </w:rPr>
        <w:t>存在的歷史因素及實際需求，對其逐一深入檢討，甚至決定其合理性或存廢，殊</w:t>
      </w:r>
      <w:proofErr w:type="gramStart"/>
      <w:r w:rsidRPr="00CF6CB5">
        <w:rPr>
          <w:rFonts w:hint="eastAsia"/>
        </w:rPr>
        <w:t>非易事</w:t>
      </w:r>
      <w:proofErr w:type="gramEnd"/>
      <w:r w:rsidR="00E86D84" w:rsidRPr="00CF6CB5">
        <w:rPr>
          <w:rFonts w:hint="eastAsia"/>
        </w:rPr>
        <w:t>。</w:t>
      </w:r>
      <w:proofErr w:type="gramStart"/>
      <w:r w:rsidR="00E86D84" w:rsidRPr="00CF6CB5">
        <w:rPr>
          <w:rFonts w:hint="eastAsia"/>
        </w:rPr>
        <w:t>爰</w:t>
      </w:r>
      <w:proofErr w:type="gramEnd"/>
      <w:r w:rsidR="00E86D84" w:rsidRPr="00CF6CB5">
        <w:rPr>
          <w:rFonts w:hint="eastAsia"/>
        </w:rPr>
        <w:t>此，除人民陳訴之「稅務獎勵金」外，本案不擬全面檢視</w:t>
      </w:r>
      <w:r w:rsidR="0081549F" w:rsidRPr="00CF6CB5">
        <w:rPr>
          <w:rFonts w:hint="eastAsia"/>
        </w:rPr>
        <w:t>個</w:t>
      </w:r>
      <w:r w:rsidR="00E86D84" w:rsidRPr="00CF6CB5">
        <w:rPr>
          <w:rFonts w:hint="eastAsia"/>
        </w:rPr>
        <w:t>別獎金之</w:t>
      </w:r>
      <w:r w:rsidRPr="00CF6CB5">
        <w:rPr>
          <w:rFonts w:hint="eastAsia"/>
        </w:rPr>
        <w:t>合理性</w:t>
      </w:r>
      <w:r w:rsidR="00E86D84" w:rsidRPr="00CF6CB5">
        <w:rPr>
          <w:rFonts w:hint="eastAsia"/>
        </w:rPr>
        <w:t>及妥適性，</w:t>
      </w:r>
      <w:proofErr w:type="gramStart"/>
      <w:r w:rsidR="00E86D84" w:rsidRPr="00CF6CB5">
        <w:rPr>
          <w:rFonts w:hint="eastAsia"/>
        </w:rPr>
        <w:t>合先敘</w:t>
      </w:r>
      <w:proofErr w:type="gramEnd"/>
      <w:r w:rsidR="00E86D84" w:rsidRPr="00CF6CB5">
        <w:rPr>
          <w:rFonts w:hint="eastAsia"/>
        </w:rPr>
        <w:t>明。</w:t>
      </w:r>
      <w:bookmarkEnd w:id="86"/>
      <w:bookmarkEnd w:id="87"/>
      <w:bookmarkEnd w:id="88"/>
      <w:bookmarkEnd w:id="89"/>
    </w:p>
    <w:p w:rsidR="00294D6C" w:rsidRPr="00CF6CB5" w:rsidRDefault="00294D6C" w:rsidP="00DC7BCC">
      <w:pPr>
        <w:pStyle w:val="3"/>
      </w:pPr>
      <w:bookmarkStart w:id="90" w:name="_Toc510456619"/>
      <w:bookmarkStart w:id="91" w:name="_Toc510534691"/>
      <w:bookmarkStart w:id="92" w:name="_Toc511053611"/>
      <w:bookmarkStart w:id="93" w:name="_Toc511126957"/>
      <w:r w:rsidRPr="00CF6CB5">
        <w:rPr>
          <w:rFonts w:hint="eastAsia"/>
        </w:rPr>
        <w:t>公務預算支給之個別性獎金係基於國家政策需要及施政重點所設，不同於營業及非營業基金獎金設有事業收支、盈餘達成率等指標。</w:t>
      </w:r>
      <w:r w:rsidR="00013F27" w:rsidRPr="00CF6CB5">
        <w:rPr>
          <w:rFonts w:hint="eastAsia"/>
        </w:rPr>
        <w:t>人事行政總處</w:t>
      </w:r>
      <w:r w:rsidRPr="00CF6CB5">
        <w:rPr>
          <w:rFonts w:hint="eastAsia"/>
        </w:rPr>
        <w:t>於102年委託</w:t>
      </w:r>
      <w:proofErr w:type="gramStart"/>
      <w:r w:rsidRPr="00CF6CB5">
        <w:rPr>
          <w:rFonts w:hint="eastAsia"/>
        </w:rPr>
        <w:t>臺</w:t>
      </w:r>
      <w:proofErr w:type="gramEnd"/>
      <w:r w:rsidRPr="00CF6CB5">
        <w:rPr>
          <w:rFonts w:hint="eastAsia"/>
        </w:rPr>
        <w:t>北大學陳愛娥教授進行之「軍公教人員俸</w:t>
      </w:r>
      <w:r w:rsidRPr="00CF6CB5">
        <w:rPr>
          <w:rFonts w:hint="eastAsia"/>
        </w:rPr>
        <w:lastRenderedPageBreak/>
        <w:t>給以外其他給與法制化型態之研究」指出，現行個別性獎金制度存在多項疑義，包括：法源依據主要為行政規則，其經費來源主要為編列之預算，部分獎金與法定加給難以清楚區分、部分獎金疊床架屋、不具激勵績效之目的而係基於其他考量，具有激勵績效意義之獎金，績效評核之規範不足…</w:t>
      </w:r>
      <w:proofErr w:type="gramStart"/>
      <w:r w:rsidRPr="00CF6CB5">
        <w:rPr>
          <w:rFonts w:hint="eastAsia"/>
        </w:rPr>
        <w:t>…</w:t>
      </w:r>
      <w:proofErr w:type="gramEnd"/>
      <w:r w:rsidRPr="00CF6CB5">
        <w:rPr>
          <w:rFonts w:hint="eastAsia"/>
        </w:rPr>
        <w:t>等制度上之缺失。又100年至105年立法院刪減預算或決議要求檢討，及審計部審核認為有待檢討改善之項目如下：</w:t>
      </w:r>
      <w:bookmarkEnd w:id="90"/>
      <w:bookmarkEnd w:id="91"/>
      <w:bookmarkEnd w:id="92"/>
      <w:bookmarkEnd w:id="93"/>
    </w:p>
    <w:p w:rsidR="00294D6C" w:rsidRPr="00CF6CB5" w:rsidRDefault="00294D6C" w:rsidP="00474560">
      <w:pPr>
        <w:pStyle w:val="4"/>
      </w:pPr>
      <w:r w:rsidRPr="00CF6CB5">
        <w:rPr>
          <w:rFonts w:hint="eastAsia"/>
        </w:rPr>
        <w:t>適當性部分：「臺灣鐵路管理局營運獎金」(多項獎金功能類似)、「海軍潛水津貼」(</w:t>
      </w:r>
      <w:proofErr w:type="gramStart"/>
      <w:r w:rsidRPr="00CF6CB5">
        <w:rPr>
          <w:rFonts w:hint="eastAsia"/>
        </w:rPr>
        <w:t>與海勤加給</w:t>
      </w:r>
      <w:proofErr w:type="gramEnd"/>
      <w:r w:rsidRPr="00CF6CB5">
        <w:rPr>
          <w:rFonts w:hint="eastAsia"/>
        </w:rPr>
        <w:t>有重複支給之虞)、「國軍副食實物補助費」(應檢討</w:t>
      </w:r>
      <w:proofErr w:type="gramStart"/>
      <w:r w:rsidRPr="00CF6CB5">
        <w:rPr>
          <w:rFonts w:hint="eastAsia"/>
        </w:rPr>
        <w:t>併</w:t>
      </w:r>
      <w:proofErr w:type="gramEnd"/>
      <w:r w:rsidRPr="00CF6CB5">
        <w:rPr>
          <w:rFonts w:hint="eastAsia"/>
        </w:rPr>
        <w:t>銷入適當給與項目)。</w:t>
      </w:r>
    </w:p>
    <w:p w:rsidR="00294D6C" w:rsidRPr="00CF6CB5" w:rsidRDefault="00294D6C" w:rsidP="00DC7BCC">
      <w:pPr>
        <w:pStyle w:val="4"/>
      </w:pPr>
      <w:r w:rsidRPr="00CF6CB5">
        <w:rPr>
          <w:rFonts w:hint="eastAsia"/>
        </w:rPr>
        <w:t>支給合理性部分：</w:t>
      </w:r>
    </w:p>
    <w:p w:rsidR="00294D6C" w:rsidRPr="00CF6CB5" w:rsidRDefault="00294D6C" w:rsidP="00DC7BCC">
      <w:pPr>
        <w:pStyle w:val="5"/>
      </w:pPr>
      <w:r w:rsidRPr="00CF6CB5">
        <w:rPr>
          <w:rFonts w:hint="eastAsia"/>
        </w:rPr>
        <w:t>支給對象：「關務獎勵金」(應全面檢討標準及對象)、「內政部移民署工作獎勵金」(未以直接人員為限)、「中央工程機關工程獎金」(應排除正副首長) 、「國防部軍醫局</w:t>
      </w:r>
      <w:proofErr w:type="gramStart"/>
      <w:r w:rsidRPr="00CF6CB5">
        <w:rPr>
          <w:rFonts w:hint="eastAsia"/>
        </w:rPr>
        <w:t>醫勤獎</w:t>
      </w:r>
      <w:proofErr w:type="gramEnd"/>
      <w:r w:rsidRPr="00CF6CB5">
        <w:rPr>
          <w:rFonts w:hint="eastAsia"/>
        </w:rPr>
        <w:t>助金」(不得發給非國軍醫療體系人員)。</w:t>
      </w:r>
    </w:p>
    <w:p w:rsidR="00294D6C" w:rsidRPr="00CF6CB5" w:rsidRDefault="00294D6C" w:rsidP="00DC7BCC">
      <w:pPr>
        <w:pStyle w:val="5"/>
      </w:pPr>
      <w:r w:rsidRPr="00CF6CB5">
        <w:rPr>
          <w:rFonts w:hint="eastAsia"/>
        </w:rPr>
        <w:t>支給標準：「法務部行政執行署及各分署執行績效獎勵金」(支給標準缺乏挑戰性)、「臺灣區國道高速公路局員工工作獎金」(質疑核發情形)、「稅務獎勵金」(應檢討分配方式)、「水利署工程獎金」(應提高績效化程度)、「考選部各項考試工作酬勞費用」(調降支給標準)。</w:t>
      </w:r>
    </w:p>
    <w:p w:rsidR="00294D6C" w:rsidRPr="00CF6CB5" w:rsidRDefault="00294D6C" w:rsidP="00DC7BCC">
      <w:pPr>
        <w:pStyle w:val="4"/>
      </w:pPr>
      <w:r w:rsidRPr="00CF6CB5">
        <w:rPr>
          <w:rFonts w:hint="eastAsia"/>
        </w:rPr>
        <w:t>法制化部分：「法務部行政執行署及各分署執行績效獎勵金」(缺乏法源依據)、「海巡人員工作獎勵金」(應提升法制化位階)。</w:t>
      </w:r>
    </w:p>
    <w:p w:rsidR="00294D6C" w:rsidRPr="00CF6CB5" w:rsidRDefault="00294D6C" w:rsidP="00DC7BCC">
      <w:pPr>
        <w:pStyle w:val="4"/>
      </w:pPr>
      <w:r w:rsidRPr="00CF6CB5">
        <w:rPr>
          <w:rFonts w:hint="eastAsia"/>
        </w:rPr>
        <w:t>執行面部分：「殯葬業務提成獎金」(支給超過規定上限)、「警察人員工作獎勵金」(未即時發放)。</w:t>
      </w:r>
    </w:p>
    <w:p w:rsidR="00294D6C" w:rsidRPr="00CF6CB5" w:rsidRDefault="00294D6C" w:rsidP="00DC7BCC">
      <w:pPr>
        <w:pStyle w:val="4"/>
      </w:pPr>
      <w:r w:rsidRPr="00CF6CB5">
        <w:rPr>
          <w:rFonts w:hint="eastAsia"/>
        </w:rPr>
        <w:lastRenderedPageBreak/>
        <w:t>刪減預算：「民用航空局飛航管制人員飛航安全獎金」、「關務獎勵金」、「修車技術員工績效獎金」、「檢察及司法警察機關偵辦第六屆立法委員選舉賄選案件獎金」。</w:t>
      </w:r>
    </w:p>
    <w:p w:rsidR="00294D6C" w:rsidRPr="00CF6CB5" w:rsidRDefault="00294D6C" w:rsidP="00DC7BCC">
      <w:pPr>
        <w:pStyle w:val="3"/>
      </w:pPr>
      <w:bookmarkStart w:id="94" w:name="_Toc510456620"/>
      <w:bookmarkStart w:id="95" w:name="_Toc510534692"/>
      <w:bookmarkStart w:id="96" w:name="_Toc511053612"/>
      <w:bookmarkStart w:id="97" w:name="_Toc511126958"/>
      <w:r w:rsidRPr="00CF6CB5">
        <w:rPr>
          <w:rFonts w:hint="eastAsia"/>
        </w:rPr>
        <w:t>經查，</w:t>
      </w:r>
      <w:proofErr w:type="gramStart"/>
      <w:r w:rsidRPr="00CF6CB5">
        <w:rPr>
          <w:rFonts w:hint="eastAsia"/>
        </w:rPr>
        <w:t>106</w:t>
      </w:r>
      <w:proofErr w:type="gramEnd"/>
      <w:r w:rsidRPr="00CF6CB5">
        <w:rPr>
          <w:rFonts w:hint="eastAsia"/>
        </w:rPr>
        <w:t>年度中央各部會編列之個別性獎金共計23億4,171萬餘元，相關資源集中於國防部（14億6</w:t>
      </w:r>
      <w:r w:rsidR="00474560" w:rsidRPr="00CF6CB5">
        <w:rPr>
          <w:rFonts w:hint="eastAsia"/>
        </w:rPr>
        <w:t>,</w:t>
      </w:r>
      <w:r w:rsidRPr="00CF6CB5">
        <w:rPr>
          <w:rFonts w:hint="eastAsia"/>
        </w:rPr>
        <w:t>362萬餘元）、內政部（2億7</w:t>
      </w:r>
      <w:r w:rsidR="00474560" w:rsidRPr="00CF6CB5">
        <w:rPr>
          <w:rFonts w:hint="eastAsia"/>
        </w:rPr>
        <w:t>,</w:t>
      </w:r>
      <w:r w:rsidRPr="00CF6CB5">
        <w:rPr>
          <w:rFonts w:hint="eastAsia"/>
        </w:rPr>
        <w:t>856萬餘元）、中央研究院（2億1</w:t>
      </w:r>
      <w:r w:rsidR="00474560" w:rsidRPr="00CF6CB5">
        <w:rPr>
          <w:rFonts w:hint="eastAsia"/>
        </w:rPr>
        <w:t>,</w:t>
      </w:r>
      <w:r w:rsidRPr="00CF6CB5">
        <w:rPr>
          <w:rFonts w:hint="eastAsia"/>
        </w:rPr>
        <w:t>995萬餘元）、財政部（1億5</w:t>
      </w:r>
      <w:r w:rsidR="00474560" w:rsidRPr="00CF6CB5">
        <w:rPr>
          <w:rFonts w:hint="eastAsia"/>
        </w:rPr>
        <w:t>,</w:t>
      </w:r>
      <w:r w:rsidRPr="00CF6CB5">
        <w:rPr>
          <w:rFonts w:hint="eastAsia"/>
        </w:rPr>
        <w:t>906萬餘元）、法務部（1億1</w:t>
      </w:r>
      <w:r w:rsidR="00474560" w:rsidRPr="00CF6CB5">
        <w:rPr>
          <w:rFonts w:hint="eastAsia"/>
        </w:rPr>
        <w:t>,</w:t>
      </w:r>
      <w:r w:rsidRPr="00CF6CB5">
        <w:rPr>
          <w:rFonts w:hint="eastAsia"/>
        </w:rPr>
        <w:t>067萬餘元）</w:t>
      </w:r>
      <w:r w:rsidR="0081549F" w:rsidRPr="00CF6CB5">
        <w:rPr>
          <w:rFonts w:hint="eastAsia"/>
        </w:rPr>
        <w:t>等</w:t>
      </w:r>
      <w:r w:rsidRPr="00CF6CB5">
        <w:rPr>
          <w:rFonts w:hint="eastAsia"/>
        </w:rPr>
        <w:t>，其他機關多未編列相關經費，恐有使獎勵資源集中於特定部會機關，及成為該等機關之固定</w:t>
      </w:r>
      <w:r w:rsidR="00234872" w:rsidRPr="00CF6CB5">
        <w:rPr>
          <w:rFonts w:hint="eastAsia"/>
        </w:rPr>
        <w:t>性給</w:t>
      </w:r>
      <w:r w:rsidRPr="00CF6CB5">
        <w:rPr>
          <w:rFonts w:hint="eastAsia"/>
        </w:rPr>
        <w:t>與之虞</w:t>
      </w:r>
      <w:r w:rsidRPr="00CF6CB5">
        <w:rPr>
          <w:rStyle w:val="aff1"/>
        </w:rPr>
        <w:footnoteReference w:id="21"/>
      </w:r>
      <w:r w:rsidRPr="00CF6CB5">
        <w:rPr>
          <w:rFonts w:hint="eastAsia"/>
        </w:rPr>
        <w:t>。</w:t>
      </w:r>
      <w:bookmarkEnd w:id="94"/>
      <w:bookmarkEnd w:id="95"/>
      <w:bookmarkEnd w:id="96"/>
      <w:bookmarkEnd w:id="97"/>
    </w:p>
    <w:p w:rsidR="00294D6C" w:rsidRPr="00CF6CB5" w:rsidRDefault="00013F27" w:rsidP="00234872">
      <w:pPr>
        <w:pStyle w:val="3"/>
      </w:pPr>
      <w:bookmarkStart w:id="98" w:name="_Toc510456621"/>
      <w:bookmarkStart w:id="99" w:name="_Toc510534693"/>
      <w:bookmarkStart w:id="100" w:name="_Toc511053613"/>
      <w:bookmarkStart w:id="101" w:name="_Toc511126959"/>
      <w:r w:rsidRPr="00CF6CB5">
        <w:rPr>
          <w:rFonts w:hint="eastAsia"/>
        </w:rPr>
        <w:t>人事行政總處</w:t>
      </w:r>
      <w:r w:rsidR="00294D6C" w:rsidRPr="00CF6CB5">
        <w:rPr>
          <w:rFonts w:hint="eastAsia"/>
        </w:rPr>
        <w:t>為通盤檢討法定給與以外其他給與項目，簽奉行政院於103年4月1日實施法制化推動計畫。105年4月完成之審查結果報告，該總處計完成191項給與適當性及合理性評估審查，審查結果調整為法定給與、停止適用、整</w:t>
      </w:r>
      <w:proofErr w:type="gramStart"/>
      <w:r w:rsidR="00294D6C" w:rsidRPr="00CF6CB5">
        <w:rPr>
          <w:rFonts w:hint="eastAsia"/>
        </w:rPr>
        <w:t>併</w:t>
      </w:r>
      <w:proofErr w:type="gramEnd"/>
      <w:r w:rsidR="00294D6C" w:rsidRPr="00CF6CB5">
        <w:rPr>
          <w:rFonts w:hint="eastAsia"/>
        </w:rPr>
        <w:t>、更名或檢討處理情形計36項，其中8項停止適用、5項調整為法定給與項目、餘178項完成法制化型態審查作業。又依該計畫規定，各主辦機關應就立法院及</w:t>
      </w:r>
      <w:proofErr w:type="gramStart"/>
      <w:r w:rsidR="00294D6C" w:rsidRPr="00CF6CB5">
        <w:rPr>
          <w:rFonts w:hint="eastAsia"/>
        </w:rPr>
        <w:t>審計部近5年來</w:t>
      </w:r>
      <w:proofErr w:type="gramEnd"/>
      <w:r w:rsidR="00294D6C" w:rsidRPr="00CF6CB5">
        <w:rPr>
          <w:rFonts w:hint="eastAsia"/>
        </w:rPr>
        <w:t>要求檢討改善之支給項目，</w:t>
      </w:r>
      <w:proofErr w:type="gramStart"/>
      <w:r w:rsidR="00294D6C" w:rsidRPr="00CF6CB5">
        <w:rPr>
          <w:rFonts w:hint="eastAsia"/>
        </w:rPr>
        <w:t>以內控</w:t>
      </w:r>
      <w:proofErr w:type="gramEnd"/>
      <w:r w:rsidR="00294D6C" w:rsidRPr="00CF6CB5">
        <w:rPr>
          <w:rFonts w:hint="eastAsia"/>
        </w:rPr>
        <w:t>或評估會自行檢討報核，再由該總處召集審查小組審議。相關決議業由</w:t>
      </w:r>
      <w:r w:rsidRPr="00CF6CB5">
        <w:rPr>
          <w:rFonts w:hint="eastAsia"/>
        </w:rPr>
        <w:t>人事行政總處</w:t>
      </w:r>
      <w:r w:rsidR="00294D6C" w:rsidRPr="00CF6CB5">
        <w:rPr>
          <w:rFonts w:hint="eastAsia"/>
        </w:rPr>
        <w:t>於104年8月7日函請各主管機關依審查結果辦理</w:t>
      </w:r>
      <w:r w:rsidR="00294D6C" w:rsidRPr="00CF6CB5">
        <w:rPr>
          <w:rStyle w:val="aff1"/>
        </w:rPr>
        <w:footnoteReference w:id="22"/>
      </w:r>
      <w:r w:rsidR="00294D6C" w:rsidRPr="00CF6CB5">
        <w:rPr>
          <w:rFonts w:hint="eastAsia"/>
        </w:rPr>
        <w:t>，並各機關自行注意辦理或應再就給與項目存續及支給之正當性加強論述，配合立法及審計機關要求檢討改善。</w:t>
      </w:r>
      <w:bookmarkEnd w:id="98"/>
      <w:bookmarkEnd w:id="99"/>
      <w:bookmarkEnd w:id="100"/>
      <w:bookmarkEnd w:id="101"/>
    </w:p>
    <w:p w:rsidR="00D608E2" w:rsidRPr="00CF6CB5" w:rsidRDefault="00294D6C" w:rsidP="00DC7BCC">
      <w:pPr>
        <w:pStyle w:val="3"/>
      </w:pPr>
      <w:bookmarkStart w:id="102" w:name="_Toc510456622"/>
      <w:bookmarkStart w:id="103" w:name="_Toc510534694"/>
      <w:bookmarkStart w:id="104" w:name="_Toc511053614"/>
      <w:bookmarkStart w:id="105" w:name="_Toc511126960"/>
      <w:r w:rsidRPr="00CF6CB5">
        <w:rPr>
          <w:rFonts w:hint="eastAsia"/>
        </w:rPr>
        <w:t>惟依</w:t>
      </w:r>
      <w:r w:rsidR="00013F27" w:rsidRPr="00CF6CB5">
        <w:rPr>
          <w:rFonts w:hint="eastAsia"/>
        </w:rPr>
        <w:t>人事行政總處</w:t>
      </w:r>
      <w:r w:rsidRPr="00CF6CB5">
        <w:rPr>
          <w:rFonts w:hint="eastAsia"/>
        </w:rPr>
        <w:t>於105年4月提出之審查結果報</w:t>
      </w:r>
      <w:r w:rsidRPr="00CF6CB5">
        <w:rPr>
          <w:rFonts w:hint="eastAsia"/>
        </w:rPr>
        <w:lastRenderedPageBreak/>
        <w:t>告，僅停止適用「支給目的及對象已不存在」、「已訂有全國統一規範」、「已有新規定取代」、「調整為法定加給」等4類支給項目。其他支給項目採取整</w:t>
      </w:r>
      <w:proofErr w:type="gramStart"/>
      <w:r w:rsidRPr="00CF6CB5">
        <w:rPr>
          <w:rFonts w:hint="eastAsia"/>
        </w:rPr>
        <w:t>併</w:t>
      </w:r>
      <w:proofErr w:type="gramEnd"/>
      <w:r w:rsidRPr="00CF6CB5">
        <w:rPr>
          <w:rFonts w:hint="eastAsia"/>
        </w:rPr>
        <w:t>、更名等方式處理。至於實質面之合理性及妥適性部分，除要求內政部警政署檢討保安警察第六總隊之「特勤津貼」外。其他經立法院以正式決議及審計部審核認為有待檢討改善之項目，僅要求主辦機關應檢討改善，並就</w:t>
      </w:r>
      <w:r w:rsidR="0070109D" w:rsidRPr="00CF6CB5">
        <w:rPr>
          <w:rFonts w:hint="eastAsia"/>
        </w:rPr>
        <w:t>法定給與以外其他</w:t>
      </w:r>
      <w:r w:rsidRPr="00CF6CB5">
        <w:rPr>
          <w:rFonts w:hint="eastAsia"/>
        </w:rPr>
        <w:t>給與項目存續及支給之正當性加強論述，而未有任何刪減或停止適用之決議。有關整體檢討結果有無刪除或裁減預算金額乙節，</w:t>
      </w:r>
      <w:proofErr w:type="gramStart"/>
      <w:r w:rsidRPr="00CF6CB5">
        <w:rPr>
          <w:rFonts w:hint="eastAsia"/>
        </w:rPr>
        <w:t>詢</w:t>
      </w:r>
      <w:proofErr w:type="gramEnd"/>
      <w:r w:rsidRPr="00CF6CB5">
        <w:rPr>
          <w:rFonts w:hint="eastAsia"/>
        </w:rPr>
        <w:t>據</w:t>
      </w:r>
      <w:r w:rsidR="00013F27" w:rsidRPr="00CF6CB5">
        <w:rPr>
          <w:rFonts w:hint="eastAsia"/>
        </w:rPr>
        <w:t>人事行政總處</w:t>
      </w:r>
      <w:r w:rsidRPr="00CF6CB5">
        <w:rPr>
          <w:rFonts w:hint="eastAsia"/>
        </w:rPr>
        <w:t>表示：法制化推動計畫的推動，係在完成給與項目支給目的、對象、數額及方式等相關事項之適當性、合理性評估，並確立給與項目適當之法制化型態，非以</w:t>
      </w:r>
      <w:proofErr w:type="gramStart"/>
      <w:r w:rsidRPr="00CF6CB5">
        <w:rPr>
          <w:rFonts w:hint="eastAsia"/>
        </w:rPr>
        <w:t>撙</w:t>
      </w:r>
      <w:proofErr w:type="gramEnd"/>
      <w:r w:rsidRPr="00CF6CB5">
        <w:rPr>
          <w:rFonts w:hint="eastAsia"/>
        </w:rPr>
        <w:t>節給與項目或項目支出數額為預設目標</w:t>
      </w:r>
      <w:r w:rsidR="00722FC9" w:rsidRPr="00CF6CB5">
        <w:rPr>
          <w:rFonts w:hint="eastAsia"/>
        </w:rPr>
        <w:t>。又，該總處於103至105年進行通盤檢視，檢討獎金正當性、合理性及法律位階，該計畫實施完畢後，考慮</w:t>
      </w:r>
      <w:proofErr w:type="gramStart"/>
      <w:r w:rsidR="00722FC9" w:rsidRPr="00CF6CB5">
        <w:rPr>
          <w:rFonts w:hint="eastAsia"/>
        </w:rPr>
        <w:t>研議專</w:t>
      </w:r>
      <w:proofErr w:type="gramEnd"/>
      <w:r w:rsidR="00722FC9" w:rsidRPr="00CF6CB5">
        <w:rPr>
          <w:rFonts w:hint="eastAsia"/>
        </w:rPr>
        <w:t>法。個別性獎金因部分屬慰勉性質較不適合，但對於適合提高績效化之獎金，已於106年針對高雄修車廠獎金及警察獎勵金等2項獎金，完成提高其績效化程度之檢討等語。</w:t>
      </w:r>
      <w:bookmarkEnd w:id="102"/>
      <w:bookmarkEnd w:id="103"/>
      <w:bookmarkEnd w:id="104"/>
      <w:bookmarkEnd w:id="105"/>
    </w:p>
    <w:p w:rsidR="00294D6C" w:rsidRPr="00CF6CB5" w:rsidRDefault="00D608E2" w:rsidP="00D608E2">
      <w:pPr>
        <w:pStyle w:val="3"/>
      </w:pPr>
      <w:bookmarkStart w:id="106" w:name="_Toc510456623"/>
      <w:bookmarkStart w:id="107" w:name="_Toc510534695"/>
      <w:bookmarkStart w:id="108" w:name="_Toc511053615"/>
      <w:bookmarkStart w:id="109" w:name="_Toc511126961"/>
      <w:r w:rsidRPr="00CF6CB5">
        <w:rPr>
          <w:rFonts w:hint="eastAsia"/>
        </w:rPr>
        <w:t>綜上，以公務預算支出之個別性獎金，皆有其實質需求及歷史因素，且皆經行政院核定。但部分獎金之公平性及</w:t>
      </w:r>
      <w:proofErr w:type="gramStart"/>
      <w:r w:rsidRPr="00CF6CB5">
        <w:rPr>
          <w:rFonts w:hint="eastAsia"/>
        </w:rPr>
        <w:t>合理性非無</w:t>
      </w:r>
      <w:proofErr w:type="gramEnd"/>
      <w:r w:rsidRPr="00CF6CB5">
        <w:rPr>
          <w:rFonts w:hint="eastAsia"/>
        </w:rPr>
        <w:t>疑義，與績效管理亦欠缺合理之</w:t>
      </w:r>
      <w:r w:rsidR="0081549F" w:rsidRPr="00CF6CB5">
        <w:rPr>
          <w:rFonts w:hint="eastAsia"/>
        </w:rPr>
        <w:t>關聯</w:t>
      </w:r>
      <w:r w:rsidRPr="00CF6CB5">
        <w:rPr>
          <w:rFonts w:hint="eastAsia"/>
        </w:rPr>
        <w:t>。行政院自103年至105年就各項給與之適當性、合理性及法制化型態進行檢討，</w:t>
      </w:r>
      <w:proofErr w:type="gramStart"/>
      <w:r w:rsidRPr="00CF6CB5">
        <w:rPr>
          <w:rFonts w:hint="eastAsia"/>
        </w:rPr>
        <w:t>然除刪減</w:t>
      </w:r>
      <w:proofErr w:type="gramEnd"/>
      <w:r w:rsidRPr="00CF6CB5">
        <w:rPr>
          <w:rFonts w:hint="eastAsia"/>
        </w:rPr>
        <w:t>少數支給目的及對象已不存在之個別性獎金外，多數僅進行整</w:t>
      </w:r>
      <w:proofErr w:type="gramStart"/>
      <w:r w:rsidRPr="00CF6CB5">
        <w:rPr>
          <w:rFonts w:hint="eastAsia"/>
        </w:rPr>
        <w:t>併</w:t>
      </w:r>
      <w:proofErr w:type="gramEnd"/>
      <w:r w:rsidRPr="00CF6CB5">
        <w:rPr>
          <w:rFonts w:hint="eastAsia"/>
        </w:rPr>
        <w:t>或簡化。從結果觀之，絕大多數仍按</w:t>
      </w:r>
      <w:proofErr w:type="gramStart"/>
      <w:r w:rsidRPr="00CF6CB5">
        <w:rPr>
          <w:rFonts w:hint="eastAsia"/>
        </w:rPr>
        <w:t>往例支給</w:t>
      </w:r>
      <w:proofErr w:type="gramEnd"/>
      <w:r w:rsidRPr="00CF6CB5">
        <w:rPr>
          <w:rFonts w:hint="eastAsia"/>
        </w:rPr>
        <w:t>，難謂符合預算編列之零基精神。</w:t>
      </w:r>
      <w:r w:rsidR="00722FC9" w:rsidRPr="00CF6CB5">
        <w:rPr>
          <w:rFonts w:hint="eastAsia"/>
        </w:rPr>
        <w:t>未來</w:t>
      </w:r>
      <w:r w:rsidR="00376978" w:rsidRPr="00CF6CB5">
        <w:rPr>
          <w:rFonts w:hint="eastAsia"/>
        </w:rPr>
        <w:t>行政院</w:t>
      </w:r>
      <w:r w:rsidR="00722FC9" w:rsidRPr="00CF6CB5">
        <w:rPr>
          <w:rFonts w:hint="eastAsia"/>
        </w:rPr>
        <w:t>仍應</w:t>
      </w:r>
      <w:r w:rsidR="00294D6C" w:rsidRPr="00CF6CB5">
        <w:rPr>
          <w:rFonts w:hint="eastAsia"/>
        </w:rPr>
        <w:t>本</w:t>
      </w:r>
      <w:proofErr w:type="gramStart"/>
      <w:r w:rsidR="00294D6C" w:rsidRPr="00CF6CB5">
        <w:rPr>
          <w:rFonts w:hint="eastAsia"/>
        </w:rPr>
        <w:t>諸通籌</w:t>
      </w:r>
      <w:proofErr w:type="gramEnd"/>
      <w:r w:rsidR="00294D6C" w:rsidRPr="00CF6CB5">
        <w:rPr>
          <w:rFonts w:hint="eastAsia"/>
        </w:rPr>
        <w:t>資源分配之立場，結合政策需要，</w:t>
      </w:r>
      <w:r w:rsidR="00294D6C" w:rsidRPr="00CF6CB5">
        <w:rPr>
          <w:rFonts w:hint="eastAsia"/>
        </w:rPr>
        <w:lastRenderedPageBreak/>
        <w:t>切實衡酌各項支給項目對於增進施政效能或提升員工工作績效等實質功能，建立完整有效之績效待遇機制。</w:t>
      </w:r>
      <w:bookmarkEnd w:id="106"/>
      <w:bookmarkEnd w:id="107"/>
      <w:bookmarkEnd w:id="108"/>
      <w:bookmarkEnd w:id="109"/>
    </w:p>
    <w:p w:rsidR="00B97593" w:rsidRPr="00CF6CB5" w:rsidRDefault="00E33253" w:rsidP="0013025B">
      <w:pPr>
        <w:pStyle w:val="2"/>
        <w:rPr>
          <w:b/>
        </w:rPr>
      </w:pPr>
      <w:bookmarkStart w:id="110" w:name="_Toc511126962"/>
      <w:r w:rsidRPr="00CF6CB5">
        <w:rPr>
          <w:rFonts w:hint="eastAsia"/>
          <w:b/>
        </w:rPr>
        <w:t>「</w:t>
      </w:r>
      <w:r w:rsidR="00961526" w:rsidRPr="00CF6CB5">
        <w:rPr>
          <w:rFonts w:hint="eastAsia"/>
          <w:b/>
        </w:rPr>
        <w:t>稅務獎勵金</w:t>
      </w:r>
      <w:r w:rsidRPr="00CF6CB5">
        <w:rPr>
          <w:rFonts w:hint="eastAsia"/>
          <w:b/>
        </w:rPr>
        <w:t>」</w:t>
      </w:r>
      <w:r w:rsidR="00961526" w:rsidRPr="00CF6CB5">
        <w:rPr>
          <w:rFonts w:hint="eastAsia"/>
          <w:b/>
        </w:rPr>
        <w:t>係</w:t>
      </w:r>
      <w:r w:rsidR="00D965A8" w:rsidRPr="00CF6CB5">
        <w:rPr>
          <w:rFonts w:hint="eastAsia"/>
          <w:b/>
        </w:rPr>
        <w:t>財政部考量稅務人員事</w:t>
      </w:r>
      <w:proofErr w:type="gramStart"/>
      <w:r w:rsidR="00D965A8" w:rsidRPr="00CF6CB5">
        <w:rPr>
          <w:rFonts w:hint="eastAsia"/>
          <w:b/>
        </w:rPr>
        <w:t>繁責重</w:t>
      </w:r>
      <w:proofErr w:type="gramEnd"/>
      <w:r w:rsidR="00961526" w:rsidRPr="00CF6CB5">
        <w:rPr>
          <w:rFonts w:hint="eastAsia"/>
          <w:b/>
        </w:rPr>
        <w:t>，為衡平</w:t>
      </w:r>
      <w:r w:rsidR="00D965A8" w:rsidRPr="00CF6CB5">
        <w:rPr>
          <w:rFonts w:hint="eastAsia"/>
          <w:b/>
        </w:rPr>
        <w:t>稅務人</w:t>
      </w:r>
      <w:r w:rsidR="00961526" w:rsidRPr="00CF6CB5">
        <w:rPr>
          <w:rFonts w:hint="eastAsia"/>
          <w:b/>
        </w:rPr>
        <w:t>員工作質量與</w:t>
      </w:r>
      <w:r w:rsidR="0088743E" w:rsidRPr="00CF6CB5">
        <w:rPr>
          <w:rFonts w:hint="eastAsia"/>
          <w:b/>
        </w:rPr>
        <w:t>提高</w:t>
      </w:r>
      <w:r w:rsidR="00961526" w:rsidRPr="00CF6CB5">
        <w:rPr>
          <w:rFonts w:hint="eastAsia"/>
          <w:b/>
        </w:rPr>
        <w:t>薪資待遇所設，</w:t>
      </w:r>
      <w:r w:rsidRPr="00CF6CB5">
        <w:rPr>
          <w:rFonts w:hint="eastAsia"/>
          <w:b/>
        </w:rPr>
        <w:t>其性質</w:t>
      </w:r>
      <w:r w:rsidR="0088743E" w:rsidRPr="00CF6CB5">
        <w:rPr>
          <w:rFonts w:hint="eastAsia"/>
          <w:b/>
        </w:rPr>
        <w:t>本</w:t>
      </w:r>
      <w:r w:rsidR="00961526" w:rsidRPr="00CF6CB5">
        <w:rPr>
          <w:rFonts w:hint="eastAsia"/>
          <w:b/>
        </w:rPr>
        <w:t>偏向</w:t>
      </w:r>
      <w:r w:rsidRPr="00CF6CB5">
        <w:rPr>
          <w:rFonts w:hint="eastAsia"/>
          <w:b/>
        </w:rPr>
        <w:t>於</w:t>
      </w:r>
      <w:r w:rsidR="0088743E" w:rsidRPr="00CF6CB5">
        <w:rPr>
          <w:rFonts w:hint="eastAsia"/>
          <w:b/>
        </w:rPr>
        <w:t>稅務人員</w:t>
      </w:r>
      <w:r w:rsidR="00961526" w:rsidRPr="00CF6CB5">
        <w:rPr>
          <w:rFonts w:hint="eastAsia"/>
          <w:b/>
        </w:rPr>
        <w:t>薪俸不足之補償</w:t>
      </w:r>
      <w:r w:rsidRPr="00CF6CB5">
        <w:rPr>
          <w:rFonts w:hint="eastAsia"/>
          <w:b/>
        </w:rPr>
        <w:t>，</w:t>
      </w:r>
      <w:r w:rsidR="007F2DBE" w:rsidRPr="00CF6CB5">
        <w:rPr>
          <w:rFonts w:hint="eastAsia"/>
          <w:b/>
        </w:rPr>
        <w:t>對於</w:t>
      </w:r>
      <w:r w:rsidR="008C58EF" w:rsidRPr="00CF6CB5">
        <w:rPr>
          <w:rFonts w:hint="eastAsia"/>
          <w:b/>
        </w:rPr>
        <w:t>鼓勵</w:t>
      </w:r>
      <w:r w:rsidR="007F2DBE" w:rsidRPr="00CF6CB5">
        <w:rPr>
          <w:rFonts w:hint="eastAsia"/>
          <w:b/>
        </w:rPr>
        <w:t>人員留任</w:t>
      </w:r>
      <w:r w:rsidR="008C58EF" w:rsidRPr="00CF6CB5">
        <w:rPr>
          <w:rFonts w:hint="eastAsia"/>
          <w:b/>
        </w:rPr>
        <w:t>及激勵工作績效</w:t>
      </w:r>
      <w:r w:rsidR="00D608E2" w:rsidRPr="00CF6CB5">
        <w:rPr>
          <w:rFonts w:hint="eastAsia"/>
          <w:b/>
        </w:rPr>
        <w:t>，容</w:t>
      </w:r>
      <w:r w:rsidR="007F2DBE" w:rsidRPr="00CF6CB5">
        <w:rPr>
          <w:rFonts w:hint="eastAsia"/>
          <w:b/>
        </w:rPr>
        <w:t>有正面功能。</w:t>
      </w:r>
      <w:proofErr w:type="gramStart"/>
      <w:r w:rsidRPr="00CF6CB5">
        <w:rPr>
          <w:rFonts w:hint="eastAsia"/>
          <w:b/>
        </w:rPr>
        <w:t>惟</w:t>
      </w:r>
      <w:proofErr w:type="gramEnd"/>
      <w:r w:rsidR="00D608E2" w:rsidRPr="00CF6CB5">
        <w:rPr>
          <w:rFonts w:hint="eastAsia"/>
          <w:b/>
        </w:rPr>
        <w:t>多年來</w:t>
      </w:r>
      <w:r w:rsidR="006C2B97" w:rsidRPr="00CF6CB5">
        <w:rPr>
          <w:rFonts w:hint="eastAsia"/>
          <w:b/>
        </w:rPr>
        <w:t>行政院</w:t>
      </w:r>
      <w:r w:rsidR="0088743E" w:rsidRPr="00CF6CB5">
        <w:rPr>
          <w:rFonts w:hint="eastAsia"/>
          <w:b/>
        </w:rPr>
        <w:t>未</w:t>
      </w:r>
      <w:r w:rsidR="00D608E2" w:rsidRPr="00CF6CB5">
        <w:rPr>
          <w:rFonts w:hint="eastAsia"/>
          <w:b/>
        </w:rPr>
        <w:t>依立法院</w:t>
      </w:r>
      <w:r w:rsidR="0081549F" w:rsidRPr="00CF6CB5">
        <w:rPr>
          <w:rFonts w:hint="eastAsia"/>
          <w:b/>
        </w:rPr>
        <w:t>之</w:t>
      </w:r>
      <w:r w:rsidR="00D608E2" w:rsidRPr="00CF6CB5">
        <w:rPr>
          <w:rFonts w:hint="eastAsia"/>
          <w:b/>
        </w:rPr>
        <w:t>決議及財政部</w:t>
      </w:r>
      <w:r w:rsidR="0081549F" w:rsidRPr="00CF6CB5">
        <w:rPr>
          <w:rFonts w:hint="eastAsia"/>
          <w:b/>
        </w:rPr>
        <w:t>之</w:t>
      </w:r>
      <w:r w:rsidR="00D608E2" w:rsidRPr="00CF6CB5">
        <w:rPr>
          <w:rFonts w:hint="eastAsia"/>
          <w:b/>
        </w:rPr>
        <w:t>請求，</w:t>
      </w:r>
      <w:r w:rsidR="0013025B" w:rsidRPr="00CF6CB5">
        <w:rPr>
          <w:rFonts w:hint="eastAsia"/>
          <w:b/>
        </w:rPr>
        <w:t>對於稅務人員薪資待遇，推動相關法制作業</w:t>
      </w:r>
      <w:r w:rsidR="00D608E2" w:rsidRPr="00CF6CB5">
        <w:rPr>
          <w:rFonts w:hint="eastAsia"/>
          <w:b/>
        </w:rPr>
        <w:t>，仍因循舊制，</w:t>
      </w:r>
      <w:r w:rsidRPr="00CF6CB5">
        <w:rPr>
          <w:rFonts w:hint="eastAsia"/>
          <w:b/>
        </w:rPr>
        <w:t>以「獎金」形式行之，不但</w:t>
      </w:r>
      <w:r w:rsidR="007F2DBE" w:rsidRPr="00CF6CB5">
        <w:rPr>
          <w:rFonts w:hint="eastAsia"/>
          <w:b/>
        </w:rPr>
        <w:t>法源依據不足，</w:t>
      </w:r>
      <w:r w:rsidR="0088743E" w:rsidRPr="00CF6CB5">
        <w:rPr>
          <w:rFonts w:hint="eastAsia"/>
          <w:b/>
        </w:rPr>
        <w:t>實施以來</w:t>
      </w:r>
      <w:r w:rsidR="008C58EF" w:rsidRPr="00CF6CB5">
        <w:rPr>
          <w:rFonts w:hint="eastAsia"/>
          <w:b/>
        </w:rPr>
        <w:t>主管人員領取</w:t>
      </w:r>
      <w:r w:rsidR="0088743E" w:rsidRPr="00CF6CB5">
        <w:rPr>
          <w:rFonts w:hint="eastAsia"/>
          <w:b/>
        </w:rPr>
        <w:t>之</w:t>
      </w:r>
      <w:r w:rsidR="008C58EF" w:rsidRPr="00CF6CB5">
        <w:rPr>
          <w:rFonts w:hint="eastAsia"/>
          <w:b/>
        </w:rPr>
        <w:t>金額</w:t>
      </w:r>
      <w:r w:rsidR="00D608E2" w:rsidRPr="00CF6CB5">
        <w:rPr>
          <w:rFonts w:hint="eastAsia"/>
          <w:b/>
        </w:rPr>
        <w:t>偏</w:t>
      </w:r>
      <w:r w:rsidR="008C58EF" w:rsidRPr="00CF6CB5">
        <w:rPr>
          <w:rFonts w:hint="eastAsia"/>
          <w:b/>
        </w:rPr>
        <w:t>高</w:t>
      </w:r>
      <w:r w:rsidR="007F2DBE" w:rsidRPr="00CF6CB5">
        <w:rPr>
          <w:rFonts w:hint="eastAsia"/>
          <w:b/>
        </w:rPr>
        <w:t>，</w:t>
      </w:r>
      <w:r w:rsidR="0088743E" w:rsidRPr="00CF6CB5">
        <w:rPr>
          <w:rFonts w:hint="eastAsia"/>
          <w:b/>
        </w:rPr>
        <w:t>且</w:t>
      </w:r>
      <w:r w:rsidR="00B106C4" w:rsidRPr="00CF6CB5">
        <w:rPr>
          <w:rFonts w:hint="eastAsia"/>
          <w:b/>
        </w:rPr>
        <w:t>迄未刪除</w:t>
      </w:r>
      <w:r w:rsidR="007565DF" w:rsidRPr="00CF6CB5">
        <w:rPr>
          <w:rFonts w:hint="eastAsia"/>
          <w:b/>
        </w:rPr>
        <w:t>財稅機關正副</w:t>
      </w:r>
      <w:r w:rsidR="0088743E" w:rsidRPr="00CF6CB5">
        <w:rPr>
          <w:rFonts w:hint="eastAsia"/>
          <w:b/>
        </w:rPr>
        <w:t>首長之</w:t>
      </w:r>
      <w:r w:rsidR="00B106C4" w:rsidRPr="00CF6CB5">
        <w:rPr>
          <w:rFonts w:hint="eastAsia"/>
          <w:b/>
        </w:rPr>
        <w:t>個人獎金，</w:t>
      </w:r>
      <w:proofErr w:type="gramStart"/>
      <w:r w:rsidR="0088743E" w:rsidRPr="00CF6CB5">
        <w:rPr>
          <w:rFonts w:hint="eastAsia"/>
          <w:b/>
        </w:rPr>
        <w:t>致</w:t>
      </w:r>
      <w:r w:rsidR="007F2DBE" w:rsidRPr="00CF6CB5">
        <w:rPr>
          <w:rFonts w:hint="eastAsia"/>
          <w:b/>
        </w:rPr>
        <w:t>屢</w:t>
      </w:r>
      <w:r w:rsidRPr="00CF6CB5">
        <w:rPr>
          <w:rFonts w:hint="eastAsia"/>
          <w:b/>
        </w:rPr>
        <w:t>生</w:t>
      </w:r>
      <w:proofErr w:type="gramEnd"/>
      <w:r w:rsidRPr="00CF6CB5">
        <w:rPr>
          <w:rFonts w:hint="eastAsia"/>
          <w:b/>
        </w:rPr>
        <w:t>分配不公</w:t>
      </w:r>
      <w:r w:rsidR="008C58EF" w:rsidRPr="00CF6CB5">
        <w:rPr>
          <w:rFonts w:hint="eastAsia"/>
          <w:b/>
        </w:rPr>
        <w:t>及獎由上起</w:t>
      </w:r>
      <w:r w:rsidRPr="00CF6CB5">
        <w:rPr>
          <w:rFonts w:hint="eastAsia"/>
          <w:b/>
        </w:rPr>
        <w:t>等爭議</w:t>
      </w:r>
      <w:r w:rsidR="0088743E" w:rsidRPr="00CF6CB5">
        <w:rPr>
          <w:rFonts w:hint="eastAsia"/>
          <w:b/>
        </w:rPr>
        <w:t>；</w:t>
      </w:r>
      <w:r w:rsidR="00B106C4" w:rsidRPr="00CF6CB5">
        <w:rPr>
          <w:rFonts w:hint="eastAsia"/>
          <w:b/>
        </w:rPr>
        <w:t>而</w:t>
      </w:r>
      <w:r w:rsidR="007F2DBE" w:rsidRPr="00CF6CB5">
        <w:rPr>
          <w:rFonts w:hint="eastAsia"/>
          <w:b/>
        </w:rPr>
        <w:t>「財務罰鍰處理暫行條例」</w:t>
      </w:r>
      <w:r w:rsidR="00B106C4" w:rsidRPr="00CF6CB5">
        <w:rPr>
          <w:rFonts w:hint="eastAsia"/>
          <w:b/>
        </w:rPr>
        <w:t>於93年</w:t>
      </w:r>
      <w:r w:rsidR="007F2DBE" w:rsidRPr="00CF6CB5">
        <w:rPr>
          <w:rFonts w:hint="eastAsia"/>
          <w:b/>
        </w:rPr>
        <w:t>廢除查稅獎金後</w:t>
      </w:r>
      <w:r w:rsidR="008C58EF" w:rsidRPr="00CF6CB5">
        <w:rPr>
          <w:rFonts w:hint="eastAsia"/>
          <w:b/>
        </w:rPr>
        <w:t>，</w:t>
      </w:r>
      <w:r w:rsidR="00FE5CE7" w:rsidRPr="00CF6CB5">
        <w:rPr>
          <w:rFonts w:hint="eastAsia"/>
          <w:b/>
        </w:rPr>
        <w:t>其後連續數年</w:t>
      </w:r>
      <w:r w:rsidR="00B106C4" w:rsidRPr="00CF6CB5">
        <w:rPr>
          <w:rFonts w:hint="eastAsia"/>
          <w:b/>
        </w:rPr>
        <w:t>簡任人員領取之</w:t>
      </w:r>
      <w:r w:rsidR="008C58EF" w:rsidRPr="00CF6CB5">
        <w:rPr>
          <w:rFonts w:hint="eastAsia"/>
          <w:b/>
        </w:rPr>
        <w:t>「稅務獎勵金」</w:t>
      </w:r>
      <w:r w:rsidR="00B106C4" w:rsidRPr="00CF6CB5">
        <w:rPr>
          <w:rFonts w:hint="eastAsia"/>
          <w:b/>
        </w:rPr>
        <w:t>金額暴增，</w:t>
      </w:r>
      <w:r w:rsidR="0088743E" w:rsidRPr="00CF6CB5">
        <w:rPr>
          <w:rFonts w:hint="eastAsia"/>
          <w:b/>
        </w:rPr>
        <w:t>難杜</w:t>
      </w:r>
      <w:r w:rsidR="00B106C4" w:rsidRPr="00CF6CB5">
        <w:rPr>
          <w:rFonts w:hint="eastAsia"/>
          <w:b/>
        </w:rPr>
        <w:t>各界</w:t>
      </w:r>
      <w:r w:rsidR="0081549F" w:rsidRPr="00CF6CB5">
        <w:rPr>
          <w:rFonts w:hint="eastAsia"/>
          <w:b/>
        </w:rPr>
        <w:t>質疑</w:t>
      </w:r>
      <w:r w:rsidR="00B106C4" w:rsidRPr="00CF6CB5">
        <w:rPr>
          <w:rFonts w:hint="eastAsia"/>
          <w:b/>
        </w:rPr>
        <w:t>兩者關</w:t>
      </w:r>
      <w:r w:rsidR="0081549F" w:rsidRPr="00CF6CB5">
        <w:rPr>
          <w:rFonts w:hint="eastAsia"/>
          <w:b/>
        </w:rPr>
        <w:t>聯</w:t>
      </w:r>
      <w:r w:rsidR="00B106C4" w:rsidRPr="00CF6CB5">
        <w:rPr>
          <w:rFonts w:hint="eastAsia"/>
          <w:b/>
        </w:rPr>
        <w:t>性</w:t>
      </w:r>
      <w:r w:rsidR="007F2DBE" w:rsidRPr="00CF6CB5">
        <w:rPr>
          <w:rFonts w:hint="eastAsia"/>
          <w:b/>
        </w:rPr>
        <w:t>，</w:t>
      </w:r>
      <w:r w:rsidR="007565DF" w:rsidRPr="00CF6CB5">
        <w:rPr>
          <w:rFonts w:hint="eastAsia"/>
          <w:b/>
        </w:rPr>
        <w:t>及</w:t>
      </w:r>
      <w:r w:rsidR="0088743E" w:rsidRPr="00CF6CB5">
        <w:rPr>
          <w:rFonts w:hint="eastAsia"/>
          <w:b/>
        </w:rPr>
        <w:t>民</w:t>
      </w:r>
      <w:r w:rsidR="00C11DDA" w:rsidRPr="00CF6CB5">
        <w:rPr>
          <w:rFonts w:hint="eastAsia"/>
          <w:b/>
        </w:rPr>
        <w:t>眾</w:t>
      </w:r>
      <w:r w:rsidR="008C58EF" w:rsidRPr="00CF6CB5">
        <w:rPr>
          <w:rFonts w:hint="eastAsia"/>
          <w:b/>
        </w:rPr>
        <w:t>抨擊</w:t>
      </w:r>
      <w:r w:rsidR="0088743E" w:rsidRPr="00CF6CB5">
        <w:rPr>
          <w:rFonts w:hint="eastAsia"/>
          <w:b/>
        </w:rPr>
        <w:t>稅務人員為</w:t>
      </w:r>
      <w:proofErr w:type="gramStart"/>
      <w:r w:rsidR="0088743E" w:rsidRPr="00CF6CB5">
        <w:rPr>
          <w:rFonts w:hint="eastAsia"/>
          <w:b/>
        </w:rPr>
        <w:t>獎金而</w:t>
      </w:r>
      <w:r w:rsidR="00D516FE" w:rsidRPr="00CF6CB5">
        <w:rPr>
          <w:rFonts w:hint="eastAsia"/>
          <w:b/>
        </w:rPr>
        <w:t>濫開</w:t>
      </w:r>
      <w:proofErr w:type="gramEnd"/>
      <w:r w:rsidR="00D516FE" w:rsidRPr="00CF6CB5">
        <w:rPr>
          <w:rFonts w:hint="eastAsia"/>
          <w:b/>
        </w:rPr>
        <w:t>稅單</w:t>
      </w:r>
      <w:r w:rsidR="0013025B" w:rsidRPr="00CF6CB5">
        <w:rPr>
          <w:rFonts w:hint="eastAsia"/>
          <w:b/>
        </w:rPr>
        <w:t>之</w:t>
      </w:r>
      <w:r w:rsidR="0081549F" w:rsidRPr="00CF6CB5">
        <w:rPr>
          <w:rFonts w:hint="eastAsia"/>
          <w:b/>
        </w:rPr>
        <w:t>輿論</w:t>
      </w:r>
      <w:r w:rsidR="006C2B97" w:rsidRPr="00CF6CB5">
        <w:rPr>
          <w:rFonts w:hint="eastAsia"/>
          <w:b/>
        </w:rPr>
        <w:t>。</w:t>
      </w:r>
      <w:proofErr w:type="gramStart"/>
      <w:r w:rsidR="006C2B97" w:rsidRPr="00CF6CB5">
        <w:rPr>
          <w:rFonts w:hint="eastAsia"/>
          <w:b/>
        </w:rPr>
        <w:t>鑑</w:t>
      </w:r>
      <w:proofErr w:type="gramEnd"/>
      <w:r w:rsidR="006C2B97" w:rsidRPr="00CF6CB5">
        <w:rPr>
          <w:rFonts w:hint="eastAsia"/>
          <w:b/>
        </w:rPr>
        <w:t>於</w:t>
      </w:r>
      <w:r w:rsidR="00FE5CE7" w:rsidRPr="00CF6CB5">
        <w:rPr>
          <w:rFonts w:hint="eastAsia"/>
          <w:b/>
        </w:rPr>
        <w:t>該項給與</w:t>
      </w:r>
      <w:r w:rsidR="006C2B97" w:rsidRPr="00CF6CB5">
        <w:rPr>
          <w:rFonts w:hint="eastAsia"/>
          <w:b/>
        </w:rPr>
        <w:t>造成</w:t>
      </w:r>
      <w:r w:rsidR="00D608E2" w:rsidRPr="00CF6CB5">
        <w:rPr>
          <w:rFonts w:hint="eastAsia"/>
          <w:b/>
        </w:rPr>
        <w:t>外界</w:t>
      </w:r>
      <w:r w:rsidR="006C2B97" w:rsidRPr="00CF6CB5">
        <w:rPr>
          <w:rFonts w:hint="eastAsia"/>
          <w:b/>
        </w:rPr>
        <w:t>不必要的誤解，並</w:t>
      </w:r>
      <w:r w:rsidR="0088743E" w:rsidRPr="00CF6CB5">
        <w:rPr>
          <w:rFonts w:hint="eastAsia"/>
          <w:b/>
        </w:rPr>
        <w:t>傷害稅務人員尊嚴及政府形象</w:t>
      </w:r>
      <w:r w:rsidRPr="00CF6CB5">
        <w:rPr>
          <w:rFonts w:hint="eastAsia"/>
          <w:b/>
        </w:rPr>
        <w:t>，</w:t>
      </w:r>
      <w:r w:rsidR="00B106C4" w:rsidRPr="00CF6CB5">
        <w:rPr>
          <w:rFonts w:hint="eastAsia"/>
          <w:b/>
        </w:rPr>
        <w:t>行政院及財政部</w:t>
      </w:r>
      <w:r w:rsidR="0081549F" w:rsidRPr="00CF6CB5">
        <w:rPr>
          <w:rFonts w:hint="eastAsia"/>
          <w:b/>
        </w:rPr>
        <w:t>必須</w:t>
      </w:r>
      <w:r w:rsidR="0088743E" w:rsidRPr="00CF6CB5">
        <w:rPr>
          <w:rFonts w:hint="eastAsia"/>
          <w:b/>
        </w:rPr>
        <w:t>檢討改善。</w:t>
      </w:r>
      <w:bookmarkEnd w:id="110"/>
    </w:p>
    <w:p w:rsidR="009B1421" w:rsidRPr="00CF6CB5" w:rsidRDefault="00164947" w:rsidP="00961526">
      <w:pPr>
        <w:pStyle w:val="3"/>
      </w:pPr>
      <w:bookmarkStart w:id="111" w:name="_Toc510456625"/>
      <w:bookmarkStart w:id="112" w:name="_Toc510534697"/>
      <w:bookmarkStart w:id="113" w:name="_Toc511053617"/>
      <w:bookmarkStart w:id="114" w:name="_Toc511126963"/>
      <w:proofErr w:type="gramStart"/>
      <w:r w:rsidRPr="00CF6CB5">
        <w:rPr>
          <w:rFonts w:hint="eastAsia"/>
        </w:rPr>
        <w:t>法稅改革</w:t>
      </w:r>
      <w:proofErr w:type="gramEnd"/>
      <w:r w:rsidRPr="00CF6CB5">
        <w:rPr>
          <w:rFonts w:hint="eastAsia"/>
        </w:rPr>
        <w:t>聯盟代表於107年1月23日到院陳訴</w:t>
      </w:r>
      <w:r w:rsidR="00B22AB1" w:rsidRPr="00CF6CB5">
        <w:rPr>
          <w:rFonts w:hint="eastAsia"/>
        </w:rPr>
        <w:t>提出五大訴求，其中有關</w:t>
      </w:r>
      <w:r w:rsidR="009B1421" w:rsidRPr="00CF6CB5">
        <w:rPr>
          <w:rFonts w:hint="eastAsia"/>
        </w:rPr>
        <w:t>廢除稅務獎勵金</w:t>
      </w:r>
      <w:r w:rsidR="00B22AB1" w:rsidRPr="00CF6CB5">
        <w:rPr>
          <w:rFonts w:hint="eastAsia"/>
        </w:rPr>
        <w:t>之主張，屬</w:t>
      </w:r>
      <w:r w:rsidR="009B1421" w:rsidRPr="00CF6CB5">
        <w:rPr>
          <w:rFonts w:hint="eastAsia"/>
        </w:rPr>
        <w:t>本案調查</w:t>
      </w:r>
      <w:r w:rsidR="00B22AB1" w:rsidRPr="00CF6CB5">
        <w:rPr>
          <w:rFonts w:hint="eastAsia"/>
        </w:rPr>
        <w:t>範疇</w:t>
      </w:r>
      <w:r w:rsidR="009B1421" w:rsidRPr="00CF6CB5">
        <w:rPr>
          <w:rFonts w:hint="eastAsia"/>
        </w:rPr>
        <w:t>，據以</w:t>
      </w:r>
      <w:proofErr w:type="gramStart"/>
      <w:r w:rsidR="009B1421" w:rsidRPr="00CF6CB5">
        <w:rPr>
          <w:rFonts w:hint="eastAsia"/>
        </w:rPr>
        <w:t>併</w:t>
      </w:r>
      <w:proofErr w:type="gramEnd"/>
      <w:r w:rsidR="009B1421" w:rsidRPr="00CF6CB5">
        <w:rPr>
          <w:rFonts w:hint="eastAsia"/>
        </w:rPr>
        <w:t>案調查。</w:t>
      </w:r>
      <w:r w:rsidR="00376978" w:rsidRPr="00CF6CB5">
        <w:rPr>
          <w:rFonts w:hint="eastAsia"/>
        </w:rPr>
        <w:t>另</w:t>
      </w:r>
      <w:r w:rsidR="009B1421" w:rsidRPr="00CF6CB5">
        <w:rPr>
          <w:rFonts w:hint="eastAsia"/>
        </w:rPr>
        <w:t>民眾於106年12月19日在公共政策網路參與平</w:t>
      </w:r>
      <w:proofErr w:type="gramStart"/>
      <w:r w:rsidR="009B1421" w:rsidRPr="00CF6CB5">
        <w:rPr>
          <w:rFonts w:hint="eastAsia"/>
        </w:rPr>
        <w:t>臺</w:t>
      </w:r>
      <w:proofErr w:type="gramEnd"/>
      <w:r w:rsidR="009B1421" w:rsidRPr="00CF6CB5">
        <w:rPr>
          <w:rFonts w:hint="eastAsia"/>
        </w:rPr>
        <w:t>為相同之提議，</w:t>
      </w:r>
      <w:r w:rsidR="00FE5CE7" w:rsidRPr="00CF6CB5">
        <w:rPr>
          <w:rFonts w:hint="eastAsia"/>
        </w:rPr>
        <w:t>迅速</w:t>
      </w:r>
      <w:r w:rsidR="0030016F" w:rsidRPr="00CF6CB5">
        <w:rPr>
          <w:rFonts w:hint="eastAsia"/>
        </w:rPr>
        <w:t>於</w:t>
      </w:r>
      <w:r w:rsidR="009B1421" w:rsidRPr="00CF6CB5">
        <w:rPr>
          <w:rFonts w:hint="eastAsia"/>
        </w:rPr>
        <w:t>同月23日附議通過</w:t>
      </w:r>
      <w:r w:rsidR="00FE5CE7" w:rsidRPr="00CF6CB5">
        <w:rPr>
          <w:rFonts w:hint="eastAsia"/>
        </w:rPr>
        <w:t>，足見民意對於此一</w:t>
      </w:r>
      <w:r w:rsidR="007565DF" w:rsidRPr="00CF6CB5">
        <w:rPr>
          <w:rFonts w:hint="eastAsia"/>
        </w:rPr>
        <w:t>議</w:t>
      </w:r>
      <w:r w:rsidR="00FE5CE7" w:rsidRPr="00CF6CB5">
        <w:rPr>
          <w:rFonts w:hint="eastAsia"/>
        </w:rPr>
        <w:t>題的重視</w:t>
      </w:r>
      <w:r w:rsidR="009B1421" w:rsidRPr="00CF6CB5">
        <w:rPr>
          <w:rFonts w:hint="eastAsia"/>
        </w:rPr>
        <w:t>。</w:t>
      </w:r>
      <w:proofErr w:type="gramStart"/>
      <w:r w:rsidR="0030016F" w:rsidRPr="00CF6CB5">
        <w:rPr>
          <w:rFonts w:hint="eastAsia"/>
        </w:rPr>
        <w:t>綜據民眾</w:t>
      </w:r>
      <w:proofErr w:type="gramEnd"/>
      <w:r w:rsidR="009B1421" w:rsidRPr="00CF6CB5">
        <w:rPr>
          <w:rFonts w:hint="eastAsia"/>
        </w:rPr>
        <w:t>陳訴</w:t>
      </w:r>
      <w:r w:rsidR="0030016F" w:rsidRPr="00CF6CB5">
        <w:rPr>
          <w:rFonts w:hint="eastAsia"/>
        </w:rPr>
        <w:t>之</w:t>
      </w:r>
      <w:r w:rsidR="009B1421" w:rsidRPr="00CF6CB5">
        <w:rPr>
          <w:rFonts w:hint="eastAsia"/>
        </w:rPr>
        <w:t>理由略</w:t>
      </w:r>
      <w:proofErr w:type="gramStart"/>
      <w:r w:rsidR="009B1421" w:rsidRPr="00CF6CB5">
        <w:rPr>
          <w:rFonts w:hint="eastAsia"/>
        </w:rPr>
        <w:t>以</w:t>
      </w:r>
      <w:proofErr w:type="gramEnd"/>
      <w:r w:rsidR="009B1421" w:rsidRPr="00CF6CB5">
        <w:rPr>
          <w:rFonts w:hint="eastAsia"/>
        </w:rPr>
        <w:t>：</w:t>
      </w:r>
      <w:bookmarkEnd w:id="111"/>
      <w:bookmarkEnd w:id="112"/>
      <w:bookmarkEnd w:id="113"/>
      <w:bookmarkEnd w:id="114"/>
    </w:p>
    <w:p w:rsidR="00053C85" w:rsidRPr="00CF6CB5" w:rsidRDefault="009B1421" w:rsidP="00961526">
      <w:pPr>
        <w:pStyle w:val="4"/>
      </w:pPr>
      <w:r w:rsidRPr="00CF6CB5">
        <w:rPr>
          <w:rFonts w:hint="eastAsia"/>
        </w:rPr>
        <w:t>查稅獎金自93年立法院修法廢除後，財稅機關巧立名目，利用「財政部核發稅務獎勵金作業要點」</w:t>
      </w:r>
      <w:r w:rsidR="00BF0D41" w:rsidRPr="00CF6CB5">
        <w:rPr>
          <w:rFonts w:hAnsi="標楷體" w:hint="eastAsia"/>
        </w:rPr>
        <w:t>（下稱</w:t>
      </w:r>
      <w:r w:rsidR="00BF0D41" w:rsidRPr="00CF6CB5">
        <w:rPr>
          <w:rFonts w:hint="eastAsia"/>
        </w:rPr>
        <w:t>獎勵金作業要點</w:t>
      </w:r>
      <w:r w:rsidR="00BF0D41" w:rsidRPr="00CF6CB5">
        <w:rPr>
          <w:rFonts w:hAnsi="標楷體" w:hint="eastAsia"/>
        </w:rPr>
        <w:t>）</w:t>
      </w:r>
      <w:r w:rsidRPr="00CF6CB5">
        <w:rPr>
          <w:rFonts w:hint="eastAsia"/>
        </w:rPr>
        <w:t>編列預算發放稅務獎勵金</w:t>
      </w:r>
      <w:r w:rsidR="00B22AB1" w:rsidRPr="00CF6CB5">
        <w:rPr>
          <w:rFonts w:hint="eastAsia"/>
        </w:rPr>
        <w:t>，涉有違失。</w:t>
      </w:r>
    </w:p>
    <w:p w:rsidR="00B22AB1" w:rsidRPr="00CF6CB5" w:rsidRDefault="00B22AB1" w:rsidP="00961526">
      <w:pPr>
        <w:pStyle w:val="4"/>
      </w:pPr>
      <w:r w:rsidRPr="00CF6CB5">
        <w:rPr>
          <w:rFonts w:hint="eastAsia"/>
        </w:rPr>
        <w:t>稅務獎金欠缺法源依據，每年以公務預算編列上億元，不但職等越</w:t>
      </w:r>
      <w:proofErr w:type="gramStart"/>
      <w:r w:rsidRPr="00CF6CB5">
        <w:rPr>
          <w:rFonts w:hint="eastAsia"/>
        </w:rPr>
        <w:t>高領越多</w:t>
      </w:r>
      <w:proofErr w:type="gramEnd"/>
      <w:r w:rsidRPr="00CF6CB5">
        <w:rPr>
          <w:rFonts w:hint="eastAsia"/>
        </w:rPr>
        <w:t>，甚至與查稅無關的</w:t>
      </w:r>
      <w:r w:rsidRPr="00CF6CB5">
        <w:rPr>
          <w:rFonts w:hint="eastAsia"/>
        </w:rPr>
        <w:lastRenderedPageBreak/>
        <w:t>作為皆可領獎，顯有浮濫。</w:t>
      </w:r>
    </w:p>
    <w:p w:rsidR="00B22AB1" w:rsidRPr="00CF6CB5" w:rsidRDefault="00B22AB1" w:rsidP="00961526">
      <w:pPr>
        <w:pStyle w:val="4"/>
      </w:pPr>
      <w:r w:rsidRPr="00CF6CB5">
        <w:rPr>
          <w:rFonts w:hint="eastAsia"/>
        </w:rPr>
        <w:t>查稅課稅本是稅務人員工作職責，然獎勵金作業要點中列明核定補徵或追繳鉅額稅款並徵起，即可核發個人稅務獎勵金。無異鼓勵稅務人員濫開稅單。</w:t>
      </w:r>
    </w:p>
    <w:p w:rsidR="00FE5CE7" w:rsidRPr="00CF6CB5" w:rsidRDefault="00FE5CE7" w:rsidP="00961526">
      <w:pPr>
        <w:pStyle w:val="3"/>
      </w:pPr>
      <w:bookmarkStart w:id="115" w:name="_Toc510456626"/>
      <w:bookmarkStart w:id="116" w:name="_Toc510534698"/>
      <w:bookmarkStart w:id="117" w:name="_Toc511053618"/>
      <w:bookmarkStart w:id="118" w:name="_Toc511126964"/>
      <w:r w:rsidRPr="00CF6CB5">
        <w:rPr>
          <w:rFonts w:hint="eastAsia"/>
          <w:b/>
        </w:rPr>
        <w:t>「稅務獎勵金」係財政部考量稅務人員事</w:t>
      </w:r>
      <w:proofErr w:type="gramStart"/>
      <w:r w:rsidRPr="00CF6CB5">
        <w:rPr>
          <w:rFonts w:hint="eastAsia"/>
          <w:b/>
        </w:rPr>
        <w:t>繁責重</w:t>
      </w:r>
      <w:proofErr w:type="gramEnd"/>
      <w:r w:rsidRPr="00CF6CB5">
        <w:rPr>
          <w:rFonts w:hint="eastAsia"/>
          <w:b/>
        </w:rPr>
        <w:t>，為衡平稅務人員工作質量與提高薪資待遇所設，其性質偏向於稅務人員薪俸不足之補償，對於鼓勵人員留任及激勵工作績效</w:t>
      </w:r>
      <w:r w:rsidR="00211105" w:rsidRPr="00CF6CB5">
        <w:rPr>
          <w:rFonts w:hint="eastAsia"/>
          <w:b/>
        </w:rPr>
        <w:t>容</w:t>
      </w:r>
      <w:r w:rsidRPr="00CF6CB5">
        <w:rPr>
          <w:rFonts w:hint="eastAsia"/>
          <w:b/>
        </w:rPr>
        <w:t>有正面</w:t>
      </w:r>
      <w:r w:rsidR="0081549F" w:rsidRPr="00CF6CB5">
        <w:rPr>
          <w:rFonts w:hint="eastAsia"/>
          <w:b/>
        </w:rPr>
        <w:t>積極</w:t>
      </w:r>
      <w:r w:rsidR="00211105" w:rsidRPr="00CF6CB5">
        <w:rPr>
          <w:rFonts w:hint="eastAsia"/>
          <w:b/>
        </w:rPr>
        <w:t>之</w:t>
      </w:r>
      <w:r w:rsidRPr="00CF6CB5">
        <w:rPr>
          <w:rFonts w:hint="eastAsia"/>
          <w:b/>
        </w:rPr>
        <w:t>功能。惟該項補償性</w:t>
      </w:r>
      <w:r w:rsidR="00C11DDA" w:rsidRPr="00CF6CB5">
        <w:rPr>
          <w:rFonts w:hint="eastAsia"/>
          <w:b/>
        </w:rPr>
        <w:t>質之</w:t>
      </w:r>
      <w:r w:rsidRPr="00CF6CB5">
        <w:rPr>
          <w:rFonts w:hint="eastAsia"/>
          <w:b/>
        </w:rPr>
        <w:t>給與未回歸俸給法檢討，卻</w:t>
      </w:r>
      <w:proofErr w:type="gramStart"/>
      <w:r w:rsidRPr="00CF6CB5">
        <w:rPr>
          <w:rFonts w:hint="eastAsia"/>
          <w:b/>
        </w:rPr>
        <w:t>逕</w:t>
      </w:r>
      <w:proofErr w:type="gramEnd"/>
      <w:r w:rsidRPr="00CF6CB5">
        <w:rPr>
          <w:rFonts w:hint="eastAsia"/>
          <w:b/>
        </w:rPr>
        <w:t>以「獎金」形式行之</w:t>
      </w:r>
      <w:r w:rsidR="00581AEC" w:rsidRPr="00CF6CB5">
        <w:rPr>
          <w:rFonts w:hint="eastAsia"/>
          <w:b/>
        </w:rPr>
        <w:t>，衍生分配爭議及民眾誤解</w:t>
      </w:r>
      <w:r w:rsidR="00C11DDA" w:rsidRPr="00CF6CB5">
        <w:rPr>
          <w:rFonts w:hint="eastAsia"/>
          <w:b/>
        </w:rPr>
        <w:t>，容有欠妥</w:t>
      </w:r>
      <w:r w:rsidRPr="00CF6CB5">
        <w:rPr>
          <w:rFonts w:hint="eastAsia"/>
          <w:b/>
        </w:rPr>
        <w:t>。</w:t>
      </w:r>
      <w:bookmarkEnd w:id="115"/>
      <w:bookmarkEnd w:id="116"/>
      <w:bookmarkEnd w:id="117"/>
      <w:bookmarkEnd w:id="118"/>
    </w:p>
    <w:p w:rsidR="00581AEC" w:rsidRPr="00CF6CB5" w:rsidRDefault="00E33253" w:rsidP="00456924">
      <w:pPr>
        <w:pStyle w:val="4"/>
      </w:pPr>
      <w:r w:rsidRPr="00CF6CB5">
        <w:rPr>
          <w:rFonts w:hint="eastAsia"/>
        </w:rPr>
        <w:t>財政部表示，</w:t>
      </w:r>
      <w:r w:rsidR="00801B60" w:rsidRPr="00CF6CB5">
        <w:rPr>
          <w:rFonts w:hint="eastAsia"/>
        </w:rPr>
        <w:t>「獎勵金作業要點」係</w:t>
      </w:r>
      <w:proofErr w:type="gramStart"/>
      <w:r w:rsidR="00801B60" w:rsidRPr="00CF6CB5">
        <w:rPr>
          <w:rFonts w:hint="eastAsia"/>
        </w:rPr>
        <w:t>該部於78年</w:t>
      </w:r>
      <w:proofErr w:type="gramEnd"/>
      <w:r w:rsidR="00801B60" w:rsidRPr="00CF6CB5">
        <w:rPr>
          <w:rFonts w:hint="eastAsia"/>
        </w:rPr>
        <w:t>簽奉行政院核定，該項獎金乃考量</w:t>
      </w:r>
      <w:r w:rsidRPr="00CF6CB5">
        <w:rPr>
          <w:rFonts w:hint="eastAsia"/>
        </w:rPr>
        <w:t>稅務人員之薪資待遇，長期以來與工作之質量不相當，全國從事稅務工作之公務人員事</w:t>
      </w:r>
      <w:proofErr w:type="gramStart"/>
      <w:r w:rsidRPr="00CF6CB5">
        <w:rPr>
          <w:rFonts w:hint="eastAsia"/>
        </w:rPr>
        <w:t>繁責重</w:t>
      </w:r>
      <w:proofErr w:type="gramEnd"/>
      <w:r w:rsidRPr="00CF6CB5">
        <w:rPr>
          <w:rFonts w:hint="eastAsia"/>
        </w:rPr>
        <w:t>，肩負政府籌措施政財源之重責大任。隨經濟發展、社會環境變遷及交易型態日新月異，稅捐</w:t>
      </w:r>
      <w:proofErr w:type="gramStart"/>
      <w:r w:rsidRPr="00CF6CB5">
        <w:rPr>
          <w:rFonts w:hint="eastAsia"/>
        </w:rPr>
        <w:t>稽</w:t>
      </w:r>
      <w:proofErr w:type="gramEnd"/>
      <w:r w:rsidRPr="00CF6CB5">
        <w:rPr>
          <w:rFonts w:hint="eastAsia"/>
        </w:rPr>
        <w:t>徵工作之專業性與繁重度與日俱增，致優秀稅務人員或為民間企業高薪網羅，或轉任其他機關，對</w:t>
      </w:r>
      <w:proofErr w:type="gramStart"/>
      <w:r w:rsidRPr="00CF6CB5">
        <w:rPr>
          <w:rFonts w:hint="eastAsia"/>
        </w:rPr>
        <w:t>稽</w:t>
      </w:r>
      <w:proofErr w:type="gramEnd"/>
      <w:r w:rsidRPr="00CF6CB5">
        <w:rPr>
          <w:rFonts w:hint="eastAsia"/>
        </w:rPr>
        <w:t>徵業務之推展，納稅服務品質之提升影響頗</w:t>
      </w:r>
      <w:proofErr w:type="gramStart"/>
      <w:r w:rsidRPr="00CF6CB5">
        <w:rPr>
          <w:rFonts w:hint="eastAsia"/>
        </w:rPr>
        <w:t>鉅</w:t>
      </w:r>
      <w:proofErr w:type="gramEnd"/>
      <w:r w:rsidR="00581AEC" w:rsidRPr="00CF6CB5">
        <w:rPr>
          <w:rFonts w:hint="eastAsia"/>
        </w:rPr>
        <w:t>等語</w:t>
      </w:r>
      <w:r w:rsidRPr="00CF6CB5">
        <w:rPr>
          <w:rFonts w:hint="eastAsia"/>
        </w:rPr>
        <w:t>。</w:t>
      </w:r>
      <w:r w:rsidR="009D4562" w:rsidRPr="00CF6CB5">
        <w:rPr>
          <w:rFonts w:hint="eastAsia"/>
        </w:rPr>
        <w:t>有關稅務人員與一般行政機關公務人員工作質量與待遇之比較，據財政部提</w:t>
      </w:r>
      <w:r w:rsidR="000007B4" w:rsidRPr="00CF6CB5">
        <w:rPr>
          <w:rFonts w:hint="eastAsia"/>
        </w:rPr>
        <w:t>供</w:t>
      </w:r>
      <w:r w:rsidR="009D4562" w:rsidRPr="00CF6CB5">
        <w:rPr>
          <w:rFonts w:hint="eastAsia"/>
        </w:rPr>
        <w:t>之資料顯示，60年稅務人員</w:t>
      </w:r>
      <w:proofErr w:type="gramStart"/>
      <w:r w:rsidR="009D4562" w:rsidRPr="00CF6CB5">
        <w:rPr>
          <w:rFonts w:hint="eastAsia"/>
        </w:rPr>
        <w:t>稽</w:t>
      </w:r>
      <w:proofErr w:type="gramEnd"/>
      <w:r w:rsidR="009D4562" w:rsidRPr="00CF6CB5">
        <w:rPr>
          <w:rFonts w:hint="eastAsia"/>
        </w:rPr>
        <w:t>徵津貼為一般行政人員工作補助費8.75倍，其差距逐年縮減，78年降為1.6倍，86年降至1.26倍，目前稅務人員專業加給僅為一般公務人員專業加給1.22倍</w:t>
      </w:r>
      <w:proofErr w:type="gramStart"/>
      <w:r w:rsidR="009D4562" w:rsidRPr="00CF6CB5">
        <w:rPr>
          <w:rFonts w:hint="eastAsia"/>
        </w:rPr>
        <w:t>（</w:t>
      </w:r>
      <w:proofErr w:type="gramEnd"/>
      <w:r w:rsidR="009D4562" w:rsidRPr="00CF6CB5">
        <w:rPr>
          <w:rFonts w:hint="eastAsia"/>
        </w:rPr>
        <w:t>計算式：23,755元</w:t>
      </w:r>
      <w:proofErr w:type="gramStart"/>
      <w:r w:rsidR="009D4562" w:rsidRPr="00CF6CB5">
        <w:rPr>
          <w:rFonts w:hint="eastAsia"/>
        </w:rPr>
        <w:t>∕</w:t>
      </w:r>
      <w:proofErr w:type="gramEnd"/>
      <w:r w:rsidR="009D4562" w:rsidRPr="00CF6CB5">
        <w:rPr>
          <w:rFonts w:hint="eastAsia"/>
        </w:rPr>
        <w:t>19,480元=1.22</w:t>
      </w:r>
      <w:proofErr w:type="gramStart"/>
      <w:r w:rsidR="009D4562" w:rsidRPr="00CF6CB5">
        <w:rPr>
          <w:rFonts w:hint="eastAsia"/>
        </w:rPr>
        <w:t>）</w:t>
      </w:r>
      <w:proofErr w:type="gramEnd"/>
      <w:r w:rsidR="009D4562" w:rsidRPr="00CF6CB5">
        <w:rPr>
          <w:rFonts w:hint="eastAsia"/>
        </w:rPr>
        <w:t>。</w:t>
      </w:r>
      <w:r w:rsidR="00F24F68" w:rsidRPr="00CF6CB5">
        <w:rPr>
          <w:rFonts w:hint="eastAsia"/>
        </w:rPr>
        <w:t>財政部並表示，</w:t>
      </w:r>
      <w:r w:rsidR="009D4562" w:rsidRPr="00CF6CB5">
        <w:rPr>
          <w:rFonts w:hint="eastAsia"/>
        </w:rPr>
        <w:t>稅務人員升遷不易且工作繁重，與企業界相當職務薪</w:t>
      </w:r>
      <w:proofErr w:type="gramStart"/>
      <w:r w:rsidR="009D4562" w:rsidRPr="00CF6CB5">
        <w:rPr>
          <w:rFonts w:hint="eastAsia"/>
        </w:rPr>
        <w:t>酬</w:t>
      </w:r>
      <w:r w:rsidR="000007B4" w:rsidRPr="00CF6CB5">
        <w:rPr>
          <w:rFonts w:hint="eastAsia"/>
        </w:rPr>
        <w:t>相</w:t>
      </w:r>
      <w:r w:rsidR="009D4562" w:rsidRPr="00CF6CB5">
        <w:rPr>
          <w:rFonts w:hint="eastAsia"/>
        </w:rPr>
        <w:t>較</w:t>
      </w:r>
      <w:r w:rsidR="000007B4" w:rsidRPr="00CF6CB5">
        <w:rPr>
          <w:rFonts w:hint="eastAsia"/>
        </w:rPr>
        <w:t>實</w:t>
      </w:r>
      <w:proofErr w:type="gramEnd"/>
      <w:r w:rsidR="000007B4" w:rsidRPr="00CF6CB5">
        <w:rPr>
          <w:rFonts w:hint="eastAsia"/>
        </w:rPr>
        <w:t>屬</w:t>
      </w:r>
      <w:r w:rsidR="00456924" w:rsidRPr="00CF6CB5">
        <w:rPr>
          <w:rFonts w:hint="eastAsia"/>
        </w:rPr>
        <w:t>偏低</w:t>
      </w:r>
      <w:r w:rsidR="009D4562" w:rsidRPr="00CF6CB5">
        <w:rPr>
          <w:rFonts w:hint="eastAsia"/>
        </w:rPr>
        <w:t>。加以近年來財政部持續增修各項稅法（102年迄</w:t>
      </w:r>
      <w:r w:rsidR="009D4562" w:rsidRPr="00CF6CB5">
        <w:rPr>
          <w:rFonts w:hint="eastAsia"/>
        </w:rPr>
        <w:lastRenderedPageBreak/>
        <w:t>今已推動修正42項法案），稅</w:t>
      </w:r>
      <w:r w:rsidR="00456924" w:rsidRPr="00CF6CB5">
        <w:rPr>
          <w:rFonts w:hint="eastAsia"/>
        </w:rPr>
        <w:t>捐</w:t>
      </w:r>
      <w:proofErr w:type="gramStart"/>
      <w:r w:rsidR="00456924" w:rsidRPr="00CF6CB5">
        <w:rPr>
          <w:rFonts w:hint="eastAsia"/>
        </w:rPr>
        <w:t>稽</w:t>
      </w:r>
      <w:proofErr w:type="gramEnd"/>
      <w:r w:rsidR="00456924" w:rsidRPr="00CF6CB5">
        <w:rPr>
          <w:rFonts w:hint="eastAsia"/>
        </w:rPr>
        <w:t>徵業務無論「質之複雜化」及「量之成長」均不斷擴增，復受限於員額編制及行政院精簡人力之政策，導</w:t>
      </w:r>
      <w:r w:rsidR="0013025B" w:rsidRPr="00CF6CB5">
        <w:rPr>
          <w:rFonts w:hint="eastAsia"/>
        </w:rPr>
        <w:t>致</w:t>
      </w:r>
      <w:r w:rsidR="00456924" w:rsidRPr="00CF6CB5">
        <w:rPr>
          <w:rFonts w:hint="eastAsia"/>
        </w:rPr>
        <w:t>稅務人員負擔加重，</w:t>
      </w:r>
      <w:proofErr w:type="gramStart"/>
      <w:r w:rsidR="00456924" w:rsidRPr="00CF6CB5">
        <w:rPr>
          <w:rFonts w:hint="eastAsia"/>
        </w:rPr>
        <w:t>離退率偏</w:t>
      </w:r>
      <w:proofErr w:type="gramEnd"/>
      <w:r w:rsidR="00456924" w:rsidRPr="00CF6CB5">
        <w:rPr>
          <w:rFonts w:hint="eastAsia"/>
        </w:rPr>
        <w:t>高等情，</w:t>
      </w:r>
      <w:proofErr w:type="gramStart"/>
      <w:r w:rsidR="00F24F68" w:rsidRPr="00CF6CB5">
        <w:rPr>
          <w:rFonts w:hint="eastAsia"/>
        </w:rPr>
        <w:t>所述俱屬</w:t>
      </w:r>
      <w:proofErr w:type="gramEnd"/>
      <w:r w:rsidR="00F24F68" w:rsidRPr="00CF6CB5">
        <w:rPr>
          <w:rFonts w:hint="eastAsia"/>
        </w:rPr>
        <w:t>實情。</w:t>
      </w:r>
      <w:r w:rsidR="00456924" w:rsidRPr="00CF6CB5">
        <w:rPr>
          <w:rFonts w:hint="eastAsia"/>
        </w:rPr>
        <w:t>換言之，「稅務獎勵金」係財政部考量稅務人員事</w:t>
      </w:r>
      <w:proofErr w:type="gramStart"/>
      <w:r w:rsidR="00456924" w:rsidRPr="00CF6CB5">
        <w:rPr>
          <w:rFonts w:hint="eastAsia"/>
        </w:rPr>
        <w:t>繁責重</w:t>
      </w:r>
      <w:proofErr w:type="gramEnd"/>
      <w:r w:rsidR="00456924" w:rsidRPr="00CF6CB5">
        <w:rPr>
          <w:rFonts w:hint="eastAsia"/>
        </w:rPr>
        <w:t>所設，</w:t>
      </w:r>
      <w:proofErr w:type="gramStart"/>
      <w:r w:rsidR="00456924" w:rsidRPr="00CF6CB5">
        <w:rPr>
          <w:rFonts w:hint="eastAsia"/>
        </w:rPr>
        <w:t>以衡平</w:t>
      </w:r>
      <w:proofErr w:type="gramEnd"/>
      <w:r w:rsidR="00456924" w:rsidRPr="00CF6CB5">
        <w:rPr>
          <w:rFonts w:hint="eastAsia"/>
        </w:rPr>
        <w:t>稅務人員工作質量與提高薪資待遇所設，故其性質偏向於稅務人員薪俸不足之補償。</w:t>
      </w:r>
    </w:p>
    <w:p w:rsidR="00456924" w:rsidRPr="00CF6CB5" w:rsidRDefault="00456924" w:rsidP="00A02422">
      <w:pPr>
        <w:pStyle w:val="4"/>
      </w:pPr>
      <w:r w:rsidRPr="00CF6CB5">
        <w:rPr>
          <w:rFonts w:hint="eastAsia"/>
        </w:rPr>
        <w:t>立法院財政委員會審查財政部102年稅務獎勵金預算，作成「應請行政院完成薪資待遇合理化法制作業」</w:t>
      </w:r>
      <w:r w:rsidR="00D04FD9" w:rsidRPr="00CF6CB5">
        <w:rPr>
          <w:rFonts w:hint="eastAsia"/>
        </w:rPr>
        <w:t>之</w:t>
      </w:r>
      <w:r w:rsidRPr="00CF6CB5">
        <w:rPr>
          <w:rFonts w:hint="eastAsia"/>
        </w:rPr>
        <w:t>決議。財政部</w:t>
      </w:r>
      <w:r w:rsidR="00F24F68" w:rsidRPr="00CF6CB5">
        <w:rPr>
          <w:rFonts w:hint="eastAsia"/>
        </w:rPr>
        <w:t>雖</w:t>
      </w:r>
      <w:r w:rsidRPr="00CF6CB5">
        <w:rPr>
          <w:rFonts w:hint="eastAsia"/>
        </w:rPr>
        <w:t>於102年3月21日</w:t>
      </w:r>
      <w:proofErr w:type="gramStart"/>
      <w:r w:rsidRPr="00CF6CB5">
        <w:rPr>
          <w:rFonts w:hint="eastAsia"/>
        </w:rPr>
        <w:t>研</w:t>
      </w:r>
      <w:proofErr w:type="gramEnd"/>
      <w:r w:rsidRPr="00CF6CB5">
        <w:rPr>
          <w:rFonts w:hint="eastAsia"/>
        </w:rPr>
        <w:t>擬「調整</w:t>
      </w:r>
      <w:proofErr w:type="gramStart"/>
      <w:r w:rsidRPr="00CF6CB5">
        <w:rPr>
          <w:rFonts w:hint="eastAsia"/>
        </w:rPr>
        <w:t>務</w:t>
      </w:r>
      <w:proofErr w:type="gramEnd"/>
      <w:r w:rsidRPr="00CF6CB5">
        <w:rPr>
          <w:rFonts w:hint="eastAsia"/>
        </w:rPr>
        <w:t>人員專業加給」及「於稅捐</w:t>
      </w:r>
      <w:proofErr w:type="gramStart"/>
      <w:r w:rsidRPr="00CF6CB5">
        <w:rPr>
          <w:rFonts w:hint="eastAsia"/>
        </w:rPr>
        <w:t>稽</w:t>
      </w:r>
      <w:proofErr w:type="gramEnd"/>
      <w:r w:rsidRPr="00CF6CB5">
        <w:rPr>
          <w:rFonts w:hint="eastAsia"/>
        </w:rPr>
        <w:t>徵法增訂相關條文」2項方案函報行政院，</w:t>
      </w:r>
      <w:r w:rsidR="00F24F68" w:rsidRPr="00CF6CB5">
        <w:rPr>
          <w:rFonts w:hint="eastAsia"/>
        </w:rPr>
        <w:t>惟</w:t>
      </w:r>
      <w:r w:rsidR="00013F27" w:rsidRPr="00CF6CB5">
        <w:rPr>
          <w:rFonts w:hint="eastAsia"/>
        </w:rPr>
        <w:t>人事行政總處</w:t>
      </w:r>
      <w:r w:rsidR="007565DF" w:rsidRPr="00CF6CB5">
        <w:rPr>
          <w:rFonts w:hint="eastAsia"/>
        </w:rPr>
        <w:t>表示，</w:t>
      </w:r>
      <w:r w:rsidR="00F24F68" w:rsidRPr="00CF6CB5">
        <w:rPr>
          <w:rFonts w:hint="eastAsia"/>
        </w:rPr>
        <w:t>稅務人員法定待遇較一般公務人員為高，業就其加給之支給予以合理化</w:t>
      </w:r>
      <w:r w:rsidR="007565DF" w:rsidRPr="00CF6CB5">
        <w:rPr>
          <w:rFonts w:hint="eastAsia"/>
        </w:rPr>
        <w:t>進行</w:t>
      </w:r>
      <w:r w:rsidR="00F24F68" w:rsidRPr="00CF6CB5">
        <w:rPr>
          <w:rFonts w:hint="eastAsia"/>
        </w:rPr>
        <w:t>規</w:t>
      </w:r>
      <w:r w:rsidR="007565DF" w:rsidRPr="00CF6CB5">
        <w:rPr>
          <w:rFonts w:hint="eastAsia"/>
        </w:rPr>
        <w:t>劃</w:t>
      </w:r>
      <w:r w:rsidR="00F24F68" w:rsidRPr="00CF6CB5">
        <w:rPr>
          <w:rFonts w:hint="eastAsia"/>
        </w:rPr>
        <w:t>等語，仍維持以「獎金」作為稅務人員薪俸不足之補償。</w:t>
      </w:r>
      <w:r w:rsidR="0013025B" w:rsidRPr="00CF6CB5">
        <w:rPr>
          <w:rFonts w:hint="eastAsia"/>
        </w:rPr>
        <w:t>質</w:t>
      </w:r>
      <w:r w:rsidR="00A02422" w:rsidRPr="00CF6CB5">
        <w:rPr>
          <w:rFonts w:hint="eastAsia"/>
        </w:rPr>
        <w:t>言之，稅務人員實質薪資待遇不足及工作量較其他公職人員顯不相當等</w:t>
      </w:r>
      <w:r w:rsidR="0013025B" w:rsidRPr="00CF6CB5">
        <w:rPr>
          <w:rFonts w:hint="eastAsia"/>
        </w:rPr>
        <w:t>議</w:t>
      </w:r>
      <w:r w:rsidR="00A02422" w:rsidRPr="00CF6CB5">
        <w:rPr>
          <w:rFonts w:hint="eastAsia"/>
        </w:rPr>
        <w:t>題，本應回歸</w:t>
      </w:r>
      <w:r w:rsidR="0013025B" w:rsidRPr="00CF6CB5">
        <w:rPr>
          <w:rFonts w:hint="eastAsia"/>
        </w:rPr>
        <w:t>法定</w:t>
      </w:r>
      <w:r w:rsidR="00A02422" w:rsidRPr="00CF6CB5">
        <w:rPr>
          <w:rFonts w:hint="eastAsia"/>
        </w:rPr>
        <w:t>俸給法</w:t>
      </w:r>
      <w:r w:rsidR="0013025B" w:rsidRPr="00CF6CB5">
        <w:rPr>
          <w:rFonts w:hint="eastAsia"/>
        </w:rPr>
        <w:t>辦理</w:t>
      </w:r>
      <w:r w:rsidR="00A02422" w:rsidRPr="00CF6CB5">
        <w:rPr>
          <w:rFonts w:hint="eastAsia"/>
        </w:rPr>
        <w:t>，</w:t>
      </w:r>
      <w:r w:rsidR="00013F27" w:rsidRPr="00CF6CB5">
        <w:rPr>
          <w:rFonts w:hint="eastAsia"/>
        </w:rPr>
        <w:t>人事行政總處</w:t>
      </w:r>
      <w:proofErr w:type="gramStart"/>
      <w:r w:rsidR="00A02422" w:rsidRPr="00CF6CB5">
        <w:rPr>
          <w:rFonts w:hint="eastAsia"/>
        </w:rPr>
        <w:t>捨</w:t>
      </w:r>
      <w:proofErr w:type="gramEnd"/>
      <w:r w:rsidR="00A02422" w:rsidRPr="00CF6CB5">
        <w:rPr>
          <w:rFonts w:hint="eastAsia"/>
        </w:rPr>
        <w:t>之不由，仍</w:t>
      </w:r>
      <w:r w:rsidR="0013025B" w:rsidRPr="00CF6CB5">
        <w:rPr>
          <w:rFonts w:hint="eastAsia"/>
        </w:rPr>
        <w:t>因</w:t>
      </w:r>
      <w:r w:rsidR="00A02422" w:rsidRPr="00CF6CB5">
        <w:rPr>
          <w:rFonts w:hint="eastAsia"/>
        </w:rPr>
        <w:t>循舊制，維持「獎金」之形式，致後續分配爭議不斷，並衍生民眾誤解，自有澈底檢討之必要。</w:t>
      </w:r>
    </w:p>
    <w:p w:rsidR="00FE5CE7" w:rsidRPr="00CF6CB5" w:rsidRDefault="00FE5CE7" w:rsidP="00961526">
      <w:pPr>
        <w:pStyle w:val="3"/>
      </w:pPr>
      <w:bookmarkStart w:id="119" w:name="_Toc510456627"/>
      <w:bookmarkStart w:id="120" w:name="_Toc510534699"/>
      <w:bookmarkStart w:id="121" w:name="_Toc511053619"/>
      <w:bookmarkStart w:id="122" w:name="_Toc511126965"/>
      <w:r w:rsidRPr="00CF6CB5">
        <w:rPr>
          <w:rFonts w:hint="eastAsia"/>
          <w:b/>
        </w:rPr>
        <w:t>稅務獎勵金不但法源依據不足，屢生分配不公及獎由上起等爭議</w:t>
      </w:r>
      <w:r w:rsidR="00DB476C" w:rsidRPr="00CF6CB5">
        <w:rPr>
          <w:rFonts w:hint="eastAsia"/>
          <w:b/>
        </w:rPr>
        <w:t>，財政部</w:t>
      </w:r>
      <w:r w:rsidR="00581AEC" w:rsidRPr="00CF6CB5">
        <w:rPr>
          <w:rFonts w:hint="eastAsia"/>
          <w:b/>
        </w:rPr>
        <w:t>對於外界質疑，</w:t>
      </w:r>
      <w:r w:rsidR="009D4562" w:rsidRPr="00CF6CB5">
        <w:rPr>
          <w:rFonts w:hint="eastAsia"/>
          <w:b/>
        </w:rPr>
        <w:t>已</w:t>
      </w:r>
      <w:r w:rsidR="00DB476C" w:rsidRPr="00CF6CB5">
        <w:rPr>
          <w:rFonts w:hint="eastAsia"/>
          <w:b/>
        </w:rPr>
        <w:t>刪除</w:t>
      </w:r>
      <w:r w:rsidR="00581AEC" w:rsidRPr="00CF6CB5">
        <w:rPr>
          <w:rFonts w:hint="eastAsia"/>
          <w:b/>
        </w:rPr>
        <w:t>一般稅務人員</w:t>
      </w:r>
      <w:r w:rsidR="00DB476C" w:rsidRPr="00CF6CB5">
        <w:rPr>
          <w:rFonts w:hint="eastAsia"/>
          <w:b/>
        </w:rPr>
        <w:t>支領個人獎金</w:t>
      </w:r>
      <w:r w:rsidR="00581AEC" w:rsidRPr="00CF6CB5">
        <w:rPr>
          <w:rFonts w:hint="eastAsia"/>
          <w:b/>
        </w:rPr>
        <w:t>之規定，並訂定核發基準及</w:t>
      </w:r>
      <w:r w:rsidR="009D4562" w:rsidRPr="00CF6CB5">
        <w:rPr>
          <w:rFonts w:hint="eastAsia"/>
          <w:b/>
        </w:rPr>
        <w:t>落實</w:t>
      </w:r>
      <w:r w:rsidR="00581AEC" w:rsidRPr="00CF6CB5">
        <w:rPr>
          <w:rFonts w:hint="eastAsia"/>
          <w:b/>
        </w:rPr>
        <w:t>績效評比</w:t>
      </w:r>
      <w:r w:rsidR="009D4562" w:rsidRPr="00CF6CB5">
        <w:rPr>
          <w:rFonts w:hint="eastAsia"/>
          <w:b/>
        </w:rPr>
        <w:t>，有積極之作為。</w:t>
      </w:r>
      <w:r w:rsidR="00DB476C" w:rsidRPr="00CF6CB5">
        <w:rPr>
          <w:rFonts w:hint="eastAsia"/>
          <w:b/>
        </w:rPr>
        <w:t>但迄未刪除甲表（財政部審議部分）</w:t>
      </w:r>
      <w:r w:rsidR="00A02422" w:rsidRPr="00CF6CB5">
        <w:rPr>
          <w:rFonts w:hint="eastAsia"/>
          <w:b/>
        </w:rPr>
        <w:t>有</w:t>
      </w:r>
      <w:r w:rsidR="00DB476C" w:rsidRPr="00CF6CB5">
        <w:rPr>
          <w:rFonts w:hint="eastAsia"/>
          <w:b/>
        </w:rPr>
        <w:t>關首長之個人獎</w:t>
      </w:r>
      <w:r w:rsidR="007F355D" w:rsidRPr="00CF6CB5">
        <w:rPr>
          <w:rFonts w:hint="eastAsia"/>
          <w:b/>
        </w:rPr>
        <w:t>勵</w:t>
      </w:r>
      <w:r w:rsidR="00DB476C" w:rsidRPr="00CF6CB5">
        <w:rPr>
          <w:rFonts w:hint="eastAsia"/>
          <w:b/>
        </w:rPr>
        <w:t>金，財稅機關首長</w:t>
      </w:r>
      <w:r w:rsidR="00A02422" w:rsidRPr="00CF6CB5">
        <w:rPr>
          <w:rFonts w:hint="eastAsia"/>
          <w:b/>
        </w:rPr>
        <w:t>在支領法定俸給之外，復</w:t>
      </w:r>
      <w:r w:rsidR="00DB476C" w:rsidRPr="00CF6CB5">
        <w:rPr>
          <w:rFonts w:hint="eastAsia"/>
          <w:b/>
        </w:rPr>
        <w:t>領取高額之獎</w:t>
      </w:r>
      <w:r w:rsidR="007F355D" w:rsidRPr="00CF6CB5">
        <w:rPr>
          <w:rFonts w:hint="eastAsia"/>
          <w:b/>
        </w:rPr>
        <w:t>勵</w:t>
      </w:r>
      <w:r w:rsidR="00DB476C" w:rsidRPr="00CF6CB5">
        <w:rPr>
          <w:rFonts w:hint="eastAsia"/>
          <w:b/>
        </w:rPr>
        <w:t>金，實難杜外界</w:t>
      </w:r>
      <w:proofErr w:type="gramStart"/>
      <w:r w:rsidR="000007B4" w:rsidRPr="00CF6CB5">
        <w:rPr>
          <w:rFonts w:hint="eastAsia"/>
          <w:b/>
        </w:rPr>
        <w:t>悠悠</w:t>
      </w:r>
      <w:r w:rsidR="00DB476C" w:rsidRPr="00CF6CB5">
        <w:rPr>
          <w:rFonts w:hint="eastAsia"/>
          <w:b/>
        </w:rPr>
        <w:t>之</w:t>
      </w:r>
      <w:proofErr w:type="gramEnd"/>
      <w:r w:rsidR="00DB476C" w:rsidRPr="00CF6CB5">
        <w:rPr>
          <w:rFonts w:hint="eastAsia"/>
          <w:b/>
        </w:rPr>
        <w:t>口</w:t>
      </w:r>
      <w:r w:rsidRPr="00CF6CB5">
        <w:rPr>
          <w:rFonts w:hint="eastAsia"/>
          <w:b/>
        </w:rPr>
        <w:t>。</w:t>
      </w:r>
      <w:bookmarkEnd w:id="119"/>
      <w:bookmarkEnd w:id="120"/>
      <w:bookmarkEnd w:id="121"/>
      <w:bookmarkEnd w:id="122"/>
    </w:p>
    <w:p w:rsidR="00581AEC" w:rsidRPr="00CF6CB5" w:rsidRDefault="00581AEC" w:rsidP="007E1B09">
      <w:pPr>
        <w:pStyle w:val="4"/>
      </w:pPr>
      <w:proofErr w:type="gramStart"/>
      <w:r w:rsidRPr="00CF6CB5">
        <w:rPr>
          <w:rFonts w:hint="eastAsia"/>
        </w:rPr>
        <w:t>據法稅改</w:t>
      </w:r>
      <w:proofErr w:type="gramEnd"/>
      <w:r w:rsidRPr="00CF6CB5">
        <w:rPr>
          <w:rFonts w:hint="eastAsia"/>
        </w:rPr>
        <w:t>聯盟指稱，稅務獎勵金無法源依據，稅務人員為領取獎勵</w:t>
      </w:r>
      <w:proofErr w:type="gramStart"/>
      <w:r w:rsidRPr="00CF6CB5">
        <w:rPr>
          <w:rFonts w:hint="eastAsia"/>
        </w:rPr>
        <w:t>金而濫行</w:t>
      </w:r>
      <w:proofErr w:type="gramEnd"/>
      <w:r w:rsidRPr="00CF6CB5">
        <w:rPr>
          <w:rFonts w:hint="eastAsia"/>
        </w:rPr>
        <w:t>查稅，及獎金發給浮</w:t>
      </w:r>
      <w:r w:rsidRPr="00CF6CB5">
        <w:rPr>
          <w:rFonts w:hint="eastAsia"/>
        </w:rPr>
        <w:lastRenderedPageBreak/>
        <w:t>濫，人人有獎等情。</w:t>
      </w:r>
    </w:p>
    <w:p w:rsidR="00D04FD9" w:rsidRPr="00CF6CB5" w:rsidRDefault="00D04FD9" w:rsidP="00AA6043">
      <w:pPr>
        <w:pStyle w:val="4"/>
      </w:pPr>
      <w:r w:rsidRPr="00CF6CB5">
        <w:rPr>
          <w:rFonts w:hint="eastAsia"/>
        </w:rPr>
        <w:t>按稅務獎勵金係獎金型態之給付，應有法律或法律明確授權依據，但</w:t>
      </w:r>
      <w:r w:rsidR="000C6976" w:rsidRPr="00CF6CB5">
        <w:rPr>
          <w:rFonts w:hint="eastAsia"/>
        </w:rPr>
        <w:t>此一法制問題，涉及全國每年逾20億元「個別性獎金」之支給依據</w:t>
      </w:r>
      <w:r w:rsidR="00A02422" w:rsidRPr="00CF6CB5">
        <w:rPr>
          <w:rFonts w:hint="eastAsia"/>
        </w:rPr>
        <w:t>，並非稅務獎勵金所獨有</w:t>
      </w:r>
      <w:r w:rsidR="000C6976" w:rsidRPr="00CF6CB5">
        <w:rPr>
          <w:rFonts w:hint="eastAsia"/>
        </w:rPr>
        <w:t>，</w:t>
      </w:r>
      <w:r w:rsidRPr="00CF6CB5">
        <w:rPr>
          <w:rFonts w:hint="eastAsia"/>
        </w:rPr>
        <w:t>行政院</w:t>
      </w:r>
      <w:r w:rsidR="000C6976" w:rsidRPr="00CF6CB5">
        <w:rPr>
          <w:rFonts w:hint="eastAsia"/>
        </w:rPr>
        <w:t>推動</w:t>
      </w:r>
      <w:r w:rsidR="00AA6043" w:rsidRPr="00CF6CB5">
        <w:rPr>
          <w:rFonts w:hint="eastAsia"/>
        </w:rPr>
        <w:t>該等獎金法制化之作業</w:t>
      </w:r>
      <w:r w:rsidR="000C6976" w:rsidRPr="00CF6CB5">
        <w:rPr>
          <w:rFonts w:hint="eastAsia"/>
        </w:rPr>
        <w:t>有欠</w:t>
      </w:r>
      <w:r w:rsidR="00AA6043" w:rsidRPr="00CF6CB5">
        <w:rPr>
          <w:rFonts w:hint="eastAsia"/>
        </w:rPr>
        <w:t>積</w:t>
      </w:r>
      <w:r w:rsidR="000C6976" w:rsidRPr="00CF6CB5">
        <w:rPr>
          <w:rFonts w:hint="eastAsia"/>
        </w:rPr>
        <w:t>極，</w:t>
      </w:r>
      <w:r w:rsidR="00AA6043" w:rsidRPr="00CF6CB5">
        <w:rPr>
          <w:rFonts w:hint="eastAsia"/>
        </w:rPr>
        <w:t>已</w:t>
      </w:r>
      <w:r w:rsidR="000C6976" w:rsidRPr="00CF6CB5">
        <w:rPr>
          <w:rFonts w:hint="eastAsia"/>
        </w:rPr>
        <w:t>如前述</w:t>
      </w:r>
      <w:r w:rsidR="00406B9A" w:rsidRPr="00CF6CB5">
        <w:rPr>
          <w:rFonts w:hint="eastAsia"/>
        </w:rPr>
        <w:t>。</w:t>
      </w:r>
      <w:r w:rsidR="00A02422" w:rsidRPr="00CF6CB5">
        <w:rPr>
          <w:rFonts w:hint="eastAsia"/>
        </w:rPr>
        <w:t>又，財政部核發「稅務獎勵金」係</w:t>
      </w:r>
      <w:r w:rsidR="00AA6043" w:rsidRPr="00CF6CB5">
        <w:rPr>
          <w:rFonts w:hint="eastAsia"/>
        </w:rPr>
        <w:t>依據「待遇支給要點」第7點，</w:t>
      </w:r>
      <w:r w:rsidR="00A02422" w:rsidRPr="00CF6CB5">
        <w:rPr>
          <w:rFonts w:hint="eastAsia"/>
        </w:rPr>
        <w:t>於78年擬具「獎勵金作業要點」，報奉行政院核定</w:t>
      </w:r>
      <w:r w:rsidR="00A02422" w:rsidRPr="00CF6CB5">
        <w:rPr>
          <w:rStyle w:val="aff1"/>
        </w:rPr>
        <w:footnoteReference w:id="23"/>
      </w:r>
      <w:r w:rsidR="00A02422" w:rsidRPr="00CF6CB5">
        <w:rPr>
          <w:rFonts w:hint="eastAsia"/>
        </w:rPr>
        <w:t>自79年度起由賦稅署編列預算，</w:t>
      </w:r>
      <w:r w:rsidR="00AA6043" w:rsidRPr="00CF6CB5">
        <w:rPr>
          <w:rFonts w:hint="eastAsia"/>
        </w:rPr>
        <w:t>並訂定</w:t>
      </w:r>
      <w:r w:rsidR="00A02422" w:rsidRPr="00CF6CB5">
        <w:rPr>
          <w:rFonts w:hint="eastAsia"/>
        </w:rPr>
        <w:t>「財政部核發稅務獎勵金標準表」(下稱獎勵金標準表)以專案獎勵金之方式辦理。</w:t>
      </w:r>
      <w:r w:rsidR="00AA6043" w:rsidRPr="00CF6CB5">
        <w:rPr>
          <w:rFonts w:hint="eastAsia"/>
        </w:rPr>
        <w:t>另</w:t>
      </w:r>
      <w:r w:rsidR="00A02422" w:rsidRPr="00CF6CB5">
        <w:rPr>
          <w:rFonts w:hint="eastAsia"/>
        </w:rPr>
        <w:t>據財政部說明，該項獎勵金對激勵士氣發揮整體工作績效，及吸引優秀稅務人才，產生積極、正面之作用等語。又</w:t>
      </w:r>
      <w:r w:rsidR="00406B9A" w:rsidRPr="00CF6CB5">
        <w:rPr>
          <w:rFonts w:hint="eastAsia"/>
        </w:rPr>
        <w:t>財政部</w:t>
      </w:r>
      <w:r w:rsidR="00C11DDA" w:rsidRPr="00CF6CB5">
        <w:rPr>
          <w:rFonts w:hint="eastAsia"/>
        </w:rPr>
        <w:t>為避免外界質疑稅務人員為求獎金濫行開單，</w:t>
      </w:r>
      <w:r w:rsidR="00406B9A" w:rsidRPr="00CF6CB5">
        <w:rPr>
          <w:rFonts w:hint="eastAsia"/>
        </w:rPr>
        <w:t>亦</w:t>
      </w:r>
      <w:r w:rsidR="00C11DDA" w:rsidRPr="00CF6CB5">
        <w:rPr>
          <w:rFonts w:hint="eastAsia"/>
        </w:rPr>
        <w:t>於105年底修正獎勵金標準表，</w:t>
      </w:r>
      <w:proofErr w:type="gramStart"/>
      <w:r w:rsidR="00C11DDA" w:rsidRPr="00CF6CB5">
        <w:rPr>
          <w:rFonts w:hint="eastAsia"/>
        </w:rPr>
        <w:t>刪除乙表</w:t>
      </w:r>
      <w:proofErr w:type="gramEnd"/>
      <w:r w:rsidR="00C11DDA" w:rsidRPr="00CF6CB5">
        <w:rPr>
          <w:rFonts w:hint="eastAsia"/>
        </w:rPr>
        <w:t>（適用各地區國稅局審議部分）個人獎勵金全部請獎事蹟。</w:t>
      </w:r>
      <w:r w:rsidR="007E1B09" w:rsidRPr="00CF6CB5">
        <w:rPr>
          <w:rFonts w:hint="eastAsia"/>
        </w:rPr>
        <w:t>另針對分配不公之質疑，參考賦稅署及各地區國稅局員額編制，於獎勵金作業要點第11點明訂限額比率</w:t>
      </w:r>
      <w:r w:rsidRPr="00CF6CB5">
        <w:rPr>
          <w:rFonts w:hint="eastAsia"/>
        </w:rPr>
        <w:t>，並訂定核發基準及落實績效評比，</w:t>
      </w:r>
      <w:r w:rsidR="00A02422" w:rsidRPr="00CF6CB5">
        <w:rPr>
          <w:rFonts w:hint="eastAsia"/>
        </w:rPr>
        <w:t>由此觀之，財政部就稅務獎勵金之核發及各界質疑事項，</w:t>
      </w:r>
      <w:r w:rsidRPr="00CF6CB5">
        <w:rPr>
          <w:rFonts w:hint="eastAsia"/>
        </w:rPr>
        <w:t>非無積極</w:t>
      </w:r>
      <w:r w:rsidR="00A02422" w:rsidRPr="00CF6CB5">
        <w:rPr>
          <w:rFonts w:hint="eastAsia"/>
        </w:rPr>
        <w:t>回應</w:t>
      </w:r>
      <w:r w:rsidRPr="00CF6CB5">
        <w:rPr>
          <w:rFonts w:hint="eastAsia"/>
        </w:rPr>
        <w:t>之作為。</w:t>
      </w:r>
    </w:p>
    <w:p w:rsidR="00FE5CE7" w:rsidRPr="00CF6CB5" w:rsidRDefault="00211105" w:rsidP="00211105">
      <w:pPr>
        <w:pStyle w:val="4"/>
      </w:pPr>
      <w:proofErr w:type="gramStart"/>
      <w:r w:rsidRPr="00CF6CB5">
        <w:rPr>
          <w:rFonts w:hint="eastAsia"/>
        </w:rPr>
        <w:t>惟查</w:t>
      </w:r>
      <w:proofErr w:type="gramEnd"/>
      <w:r w:rsidRPr="00CF6CB5">
        <w:rPr>
          <w:rFonts w:hint="eastAsia"/>
        </w:rPr>
        <w:t>，</w:t>
      </w:r>
      <w:r w:rsidR="00D04FD9" w:rsidRPr="00CF6CB5">
        <w:rPr>
          <w:rFonts w:hint="eastAsia"/>
        </w:rPr>
        <w:t>財政部</w:t>
      </w:r>
      <w:r w:rsidR="00406B9A" w:rsidRPr="00CF6CB5">
        <w:rPr>
          <w:rFonts w:hint="eastAsia"/>
        </w:rPr>
        <w:t>雖於106年6月修正</w:t>
      </w:r>
      <w:r w:rsidR="00BF0D41" w:rsidRPr="00CF6CB5">
        <w:rPr>
          <w:rFonts w:hint="eastAsia"/>
        </w:rPr>
        <w:t>獎勵金</w:t>
      </w:r>
      <w:r w:rsidR="00406B9A" w:rsidRPr="00CF6CB5">
        <w:rPr>
          <w:rFonts w:hint="eastAsia"/>
        </w:rPr>
        <w:t>作業要點，</w:t>
      </w:r>
      <w:r w:rsidR="007E1B09" w:rsidRPr="00CF6CB5">
        <w:rPr>
          <w:rFonts w:hint="eastAsia"/>
        </w:rPr>
        <w:t>第9職等以上主管每人每年領取獎勵金最高限額比率</w:t>
      </w:r>
      <w:r w:rsidR="000007B4" w:rsidRPr="00CF6CB5">
        <w:rPr>
          <w:rFonts w:hint="eastAsia"/>
        </w:rPr>
        <w:t>已</w:t>
      </w:r>
      <w:r w:rsidR="00406B9A" w:rsidRPr="00CF6CB5">
        <w:rPr>
          <w:rFonts w:hint="eastAsia"/>
        </w:rPr>
        <w:t>由</w:t>
      </w:r>
      <w:r w:rsidR="000007B4" w:rsidRPr="00CF6CB5">
        <w:rPr>
          <w:rFonts w:hint="eastAsia"/>
        </w:rPr>
        <w:t>先前</w:t>
      </w:r>
      <w:r w:rsidR="00406B9A" w:rsidRPr="00CF6CB5">
        <w:rPr>
          <w:rFonts w:hint="eastAsia"/>
        </w:rPr>
        <w:t>30％</w:t>
      </w:r>
      <w:r w:rsidR="000007B4" w:rsidRPr="00CF6CB5">
        <w:rPr>
          <w:rFonts w:hint="eastAsia"/>
        </w:rPr>
        <w:t>逐步</w:t>
      </w:r>
      <w:r w:rsidR="007E1B09" w:rsidRPr="00CF6CB5">
        <w:rPr>
          <w:rFonts w:hint="eastAsia"/>
        </w:rPr>
        <w:t>調降</w:t>
      </w:r>
      <w:r w:rsidR="000007B4" w:rsidRPr="00CF6CB5">
        <w:rPr>
          <w:rFonts w:hint="eastAsia"/>
        </w:rPr>
        <w:t>至</w:t>
      </w:r>
      <w:r w:rsidR="007E1B09" w:rsidRPr="00CF6CB5">
        <w:rPr>
          <w:rFonts w:hint="eastAsia"/>
        </w:rPr>
        <w:t>16%，</w:t>
      </w:r>
      <w:r w:rsidRPr="00CF6CB5">
        <w:rPr>
          <w:rFonts w:hint="eastAsia"/>
        </w:rPr>
        <w:t>但</w:t>
      </w:r>
      <w:r w:rsidR="007E1B09" w:rsidRPr="00CF6CB5">
        <w:rPr>
          <w:rFonts w:hint="eastAsia"/>
        </w:rPr>
        <w:t>高階主管人員之實際支領數額仍高出</w:t>
      </w:r>
      <w:r w:rsidR="00406B9A" w:rsidRPr="00CF6CB5">
        <w:rPr>
          <w:rFonts w:hint="eastAsia"/>
        </w:rPr>
        <w:t>基層人員</w:t>
      </w:r>
      <w:r w:rsidR="007E1B09" w:rsidRPr="00CF6CB5">
        <w:rPr>
          <w:rFonts w:hint="eastAsia"/>
        </w:rPr>
        <w:t>甚多，如</w:t>
      </w:r>
      <w:proofErr w:type="gramStart"/>
      <w:r w:rsidR="007E1B09" w:rsidRPr="00CF6CB5">
        <w:rPr>
          <w:rFonts w:hint="eastAsia"/>
        </w:rPr>
        <w:t>106</w:t>
      </w:r>
      <w:proofErr w:type="gramEnd"/>
      <w:r w:rsidR="007E1B09" w:rsidRPr="00CF6CB5">
        <w:rPr>
          <w:rFonts w:hint="eastAsia"/>
        </w:rPr>
        <w:t>年度薦任第9職等主管以上人員每人平均領取64,265元，第6至9職等非主管人員每人平均領取14,021元（詳如下表）</w:t>
      </w:r>
      <w:r w:rsidR="000007B4" w:rsidRPr="00CF6CB5">
        <w:rPr>
          <w:rFonts w:hint="eastAsia"/>
        </w:rPr>
        <w:t>。</w:t>
      </w:r>
    </w:p>
    <w:p w:rsidR="0013025B" w:rsidRPr="00CF6CB5" w:rsidRDefault="0013025B" w:rsidP="0013025B">
      <w:pPr>
        <w:pStyle w:val="a3"/>
        <w:ind w:left="697" w:hanging="697"/>
      </w:pPr>
      <w:proofErr w:type="gramStart"/>
      <w:r w:rsidRPr="00CF6CB5">
        <w:rPr>
          <w:rFonts w:hint="eastAsia"/>
        </w:rPr>
        <w:lastRenderedPageBreak/>
        <w:t>106</w:t>
      </w:r>
      <w:proofErr w:type="gramEnd"/>
      <w:r w:rsidRPr="00CF6CB5">
        <w:rPr>
          <w:rFonts w:hint="eastAsia"/>
        </w:rPr>
        <w:t>年度及</w:t>
      </w:r>
      <w:proofErr w:type="gramStart"/>
      <w:r w:rsidRPr="00CF6CB5">
        <w:rPr>
          <w:rFonts w:hint="eastAsia"/>
        </w:rPr>
        <w:t>105</w:t>
      </w:r>
      <w:proofErr w:type="gramEnd"/>
      <w:r w:rsidRPr="00CF6CB5">
        <w:rPr>
          <w:rFonts w:hint="eastAsia"/>
        </w:rPr>
        <w:t>年度各官等領取稅務獎勵金之增減比率</w:t>
      </w:r>
    </w:p>
    <w:p w:rsidR="0013025B" w:rsidRPr="00CF6CB5" w:rsidRDefault="0013025B" w:rsidP="0013025B">
      <w:pPr>
        <w:jc w:val="right"/>
        <w:rPr>
          <w:sz w:val="24"/>
        </w:rPr>
      </w:pPr>
      <w:r w:rsidRPr="00CF6CB5">
        <w:rPr>
          <w:rFonts w:hint="eastAsia"/>
          <w:sz w:val="24"/>
        </w:rPr>
        <w:t>單位：元、%</w:t>
      </w:r>
    </w:p>
    <w:tbl>
      <w:tblPr>
        <w:tblStyle w:val="af9"/>
        <w:tblW w:w="8844" w:type="dxa"/>
        <w:tblLook w:val="04A0" w:firstRow="1" w:lastRow="0" w:firstColumn="1" w:lastColumn="0" w:noHBand="0" w:noVBand="1"/>
      </w:tblPr>
      <w:tblGrid>
        <w:gridCol w:w="3652"/>
        <w:gridCol w:w="1564"/>
        <w:gridCol w:w="1814"/>
        <w:gridCol w:w="1814"/>
      </w:tblGrid>
      <w:tr w:rsidR="00CF6CB5" w:rsidRPr="00CF6CB5" w:rsidTr="0013025B">
        <w:trPr>
          <w:trHeight w:val="454"/>
        </w:trPr>
        <w:tc>
          <w:tcPr>
            <w:tcW w:w="3652" w:type="dxa"/>
            <w:vMerge w:val="restart"/>
            <w:tcBorders>
              <w:tl2br w:val="single" w:sz="4" w:space="0" w:color="auto"/>
            </w:tcBorders>
            <w:vAlign w:val="center"/>
          </w:tcPr>
          <w:p w:rsidR="0013025B" w:rsidRPr="00CF6CB5" w:rsidRDefault="0013025B" w:rsidP="00DF1352">
            <w:pPr>
              <w:jc w:val="right"/>
              <w:rPr>
                <w:rFonts w:hAnsi="標楷體"/>
                <w:sz w:val="28"/>
              </w:rPr>
            </w:pPr>
            <w:r w:rsidRPr="00CF6CB5">
              <w:rPr>
                <w:rFonts w:hAnsi="標楷體" w:hint="eastAsia"/>
                <w:sz w:val="28"/>
              </w:rPr>
              <w:t>年度</w:t>
            </w:r>
          </w:p>
          <w:p w:rsidR="0013025B" w:rsidRPr="00CF6CB5" w:rsidRDefault="0013025B" w:rsidP="00DF1352">
            <w:pPr>
              <w:rPr>
                <w:rFonts w:hAnsi="標楷體"/>
                <w:sz w:val="28"/>
              </w:rPr>
            </w:pPr>
            <w:r w:rsidRPr="00CF6CB5">
              <w:rPr>
                <w:rFonts w:hAnsi="標楷體" w:hint="eastAsia"/>
                <w:sz w:val="28"/>
              </w:rPr>
              <w:t>官等</w:t>
            </w:r>
          </w:p>
        </w:tc>
        <w:tc>
          <w:tcPr>
            <w:tcW w:w="5192" w:type="dxa"/>
            <w:gridSpan w:val="3"/>
            <w:vAlign w:val="center"/>
          </w:tcPr>
          <w:p w:rsidR="0013025B" w:rsidRPr="00CF6CB5" w:rsidRDefault="0013025B" w:rsidP="00DF1352">
            <w:pPr>
              <w:jc w:val="center"/>
              <w:rPr>
                <w:rFonts w:hAnsi="標楷體"/>
                <w:sz w:val="28"/>
              </w:rPr>
            </w:pPr>
            <w:r w:rsidRPr="00CF6CB5">
              <w:rPr>
                <w:rFonts w:hAnsi="標楷體" w:hint="eastAsia"/>
                <w:sz w:val="28"/>
              </w:rPr>
              <w:t>每人平均領取金額</w:t>
            </w:r>
          </w:p>
        </w:tc>
      </w:tr>
      <w:tr w:rsidR="00CF6CB5" w:rsidRPr="00CF6CB5" w:rsidTr="0013025B">
        <w:trPr>
          <w:trHeight w:val="454"/>
        </w:trPr>
        <w:tc>
          <w:tcPr>
            <w:tcW w:w="3652" w:type="dxa"/>
            <w:vMerge/>
            <w:tcBorders>
              <w:tl2br w:val="single" w:sz="4" w:space="0" w:color="auto"/>
            </w:tcBorders>
          </w:tcPr>
          <w:p w:rsidR="0013025B" w:rsidRPr="00CF6CB5" w:rsidRDefault="0013025B" w:rsidP="00DF1352">
            <w:pPr>
              <w:rPr>
                <w:rFonts w:hAnsi="標楷體"/>
                <w:sz w:val="28"/>
              </w:rPr>
            </w:pPr>
          </w:p>
        </w:tc>
        <w:tc>
          <w:tcPr>
            <w:tcW w:w="1564" w:type="dxa"/>
            <w:vAlign w:val="center"/>
          </w:tcPr>
          <w:p w:rsidR="0013025B" w:rsidRPr="00CF6CB5" w:rsidRDefault="0013025B" w:rsidP="00DF1352">
            <w:pPr>
              <w:jc w:val="center"/>
              <w:rPr>
                <w:rFonts w:hAnsi="標楷體"/>
                <w:sz w:val="28"/>
              </w:rPr>
            </w:pPr>
            <w:proofErr w:type="gramStart"/>
            <w:r w:rsidRPr="00CF6CB5">
              <w:rPr>
                <w:rFonts w:hAnsi="標楷體" w:hint="eastAsia"/>
                <w:sz w:val="28"/>
              </w:rPr>
              <w:t>105</w:t>
            </w:r>
            <w:proofErr w:type="gramEnd"/>
            <w:r w:rsidRPr="00CF6CB5">
              <w:rPr>
                <w:rFonts w:hAnsi="標楷體" w:hint="eastAsia"/>
                <w:sz w:val="28"/>
              </w:rPr>
              <w:t>年度</w:t>
            </w:r>
          </w:p>
        </w:tc>
        <w:tc>
          <w:tcPr>
            <w:tcW w:w="1814" w:type="dxa"/>
            <w:vAlign w:val="center"/>
          </w:tcPr>
          <w:p w:rsidR="0013025B" w:rsidRPr="00CF6CB5" w:rsidRDefault="0013025B" w:rsidP="00DF1352">
            <w:pPr>
              <w:jc w:val="center"/>
              <w:rPr>
                <w:rFonts w:hAnsi="標楷體"/>
                <w:sz w:val="28"/>
              </w:rPr>
            </w:pPr>
            <w:proofErr w:type="gramStart"/>
            <w:r w:rsidRPr="00CF6CB5">
              <w:rPr>
                <w:rFonts w:hAnsi="標楷體" w:hint="eastAsia"/>
                <w:sz w:val="28"/>
              </w:rPr>
              <w:t>106</w:t>
            </w:r>
            <w:proofErr w:type="gramEnd"/>
            <w:r w:rsidRPr="00CF6CB5">
              <w:rPr>
                <w:rFonts w:hAnsi="標楷體" w:hint="eastAsia"/>
                <w:sz w:val="28"/>
              </w:rPr>
              <w:t>年度</w:t>
            </w:r>
          </w:p>
        </w:tc>
        <w:tc>
          <w:tcPr>
            <w:tcW w:w="1814" w:type="dxa"/>
            <w:vAlign w:val="center"/>
          </w:tcPr>
          <w:p w:rsidR="0013025B" w:rsidRPr="00CF6CB5" w:rsidRDefault="0013025B" w:rsidP="00DF1352">
            <w:pPr>
              <w:jc w:val="center"/>
              <w:rPr>
                <w:rFonts w:hAnsi="標楷體"/>
                <w:sz w:val="28"/>
              </w:rPr>
            </w:pPr>
            <w:r w:rsidRPr="00CF6CB5">
              <w:rPr>
                <w:rFonts w:hAnsi="標楷體" w:hint="eastAsia"/>
                <w:sz w:val="28"/>
              </w:rPr>
              <w:t>增減比率</w:t>
            </w:r>
          </w:p>
        </w:tc>
      </w:tr>
      <w:tr w:rsidR="00CF6CB5" w:rsidRPr="00CF6CB5" w:rsidTr="0013025B">
        <w:trPr>
          <w:trHeight w:val="907"/>
        </w:trPr>
        <w:tc>
          <w:tcPr>
            <w:tcW w:w="3652" w:type="dxa"/>
            <w:vAlign w:val="center"/>
          </w:tcPr>
          <w:p w:rsidR="0013025B" w:rsidRPr="00CF6CB5" w:rsidRDefault="0013025B" w:rsidP="00DF1352">
            <w:pPr>
              <w:rPr>
                <w:rFonts w:hAnsi="標楷體"/>
                <w:sz w:val="28"/>
              </w:rPr>
            </w:pPr>
            <w:r w:rsidRPr="00CF6CB5">
              <w:rPr>
                <w:rFonts w:hAnsi="標楷體" w:hint="eastAsia"/>
                <w:sz w:val="28"/>
              </w:rPr>
              <w:t>薦任第9職等主管以上人員</w:t>
            </w:r>
          </w:p>
        </w:tc>
        <w:tc>
          <w:tcPr>
            <w:tcW w:w="1564" w:type="dxa"/>
            <w:vAlign w:val="center"/>
          </w:tcPr>
          <w:p w:rsidR="0013025B" w:rsidRPr="00CF6CB5" w:rsidRDefault="0013025B" w:rsidP="0013025B">
            <w:pPr>
              <w:ind w:rightChars="100" w:right="340"/>
              <w:jc w:val="right"/>
              <w:rPr>
                <w:rFonts w:hAnsi="標楷體"/>
                <w:sz w:val="28"/>
              </w:rPr>
            </w:pPr>
            <w:r w:rsidRPr="00CF6CB5">
              <w:rPr>
                <w:rFonts w:hAnsi="標楷體" w:hint="eastAsia"/>
                <w:sz w:val="28"/>
              </w:rPr>
              <w:t>76,485</w:t>
            </w:r>
          </w:p>
        </w:tc>
        <w:tc>
          <w:tcPr>
            <w:tcW w:w="1814" w:type="dxa"/>
            <w:vAlign w:val="center"/>
          </w:tcPr>
          <w:p w:rsidR="0013025B" w:rsidRPr="00CF6CB5" w:rsidRDefault="0013025B" w:rsidP="0013025B">
            <w:pPr>
              <w:ind w:rightChars="100" w:right="340"/>
              <w:jc w:val="right"/>
              <w:rPr>
                <w:rFonts w:hAnsi="標楷體"/>
                <w:sz w:val="28"/>
              </w:rPr>
            </w:pPr>
            <w:r w:rsidRPr="00CF6CB5">
              <w:rPr>
                <w:rFonts w:hAnsi="標楷體" w:hint="eastAsia"/>
                <w:sz w:val="28"/>
              </w:rPr>
              <w:t>64,265</w:t>
            </w:r>
          </w:p>
        </w:tc>
        <w:tc>
          <w:tcPr>
            <w:tcW w:w="1814" w:type="dxa"/>
            <w:vAlign w:val="center"/>
          </w:tcPr>
          <w:p w:rsidR="0013025B" w:rsidRPr="00CF6CB5" w:rsidRDefault="0013025B" w:rsidP="0013025B">
            <w:pPr>
              <w:ind w:rightChars="100" w:right="340"/>
              <w:jc w:val="right"/>
              <w:rPr>
                <w:rFonts w:hAnsi="標楷體"/>
                <w:sz w:val="28"/>
              </w:rPr>
            </w:pPr>
            <w:r w:rsidRPr="00CF6CB5">
              <w:rPr>
                <w:rFonts w:hAnsi="標楷體" w:hint="eastAsia"/>
                <w:sz w:val="28"/>
              </w:rPr>
              <w:t>-15.98%</w:t>
            </w:r>
          </w:p>
        </w:tc>
      </w:tr>
      <w:tr w:rsidR="00CF6CB5" w:rsidRPr="00CF6CB5" w:rsidTr="0013025B">
        <w:trPr>
          <w:trHeight w:val="907"/>
        </w:trPr>
        <w:tc>
          <w:tcPr>
            <w:tcW w:w="3652" w:type="dxa"/>
            <w:vAlign w:val="center"/>
          </w:tcPr>
          <w:p w:rsidR="0013025B" w:rsidRPr="00CF6CB5" w:rsidRDefault="0013025B" w:rsidP="00DF1352">
            <w:pPr>
              <w:rPr>
                <w:rFonts w:hAnsi="標楷體"/>
                <w:sz w:val="28"/>
              </w:rPr>
            </w:pPr>
            <w:r w:rsidRPr="00CF6CB5">
              <w:rPr>
                <w:rFonts w:hAnsi="標楷體" w:hint="eastAsia"/>
                <w:sz w:val="28"/>
              </w:rPr>
              <w:t>薦任第6職等至第9職等非主管人員</w:t>
            </w:r>
          </w:p>
        </w:tc>
        <w:tc>
          <w:tcPr>
            <w:tcW w:w="1564" w:type="dxa"/>
            <w:vAlign w:val="center"/>
          </w:tcPr>
          <w:p w:rsidR="0013025B" w:rsidRPr="00CF6CB5" w:rsidRDefault="0013025B" w:rsidP="0013025B">
            <w:pPr>
              <w:ind w:rightChars="100" w:right="340"/>
              <w:jc w:val="right"/>
              <w:rPr>
                <w:rFonts w:hAnsi="標楷體"/>
                <w:sz w:val="28"/>
              </w:rPr>
            </w:pPr>
            <w:r w:rsidRPr="00CF6CB5">
              <w:rPr>
                <w:rFonts w:hAnsi="標楷體" w:hint="eastAsia"/>
                <w:sz w:val="28"/>
              </w:rPr>
              <w:t>11,454</w:t>
            </w:r>
          </w:p>
        </w:tc>
        <w:tc>
          <w:tcPr>
            <w:tcW w:w="1814" w:type="dxa"/>
            <w:vAlign w:val="center"/>
          </w:tcPr>
          <w:p w:rsidR="0013025B" w:rsidRPr="00CF6CB5" w:rsidRDefault="0013025B" w:rsidP="0013025B">
            <w:pPr>
              <w:ind w:rightChars="100" w:right="340"/>
              <w:jc w:val="right"/>
              <w:rPr>
                <w:rFonts w:hAnsi="標楷體"/>
                <w:sz w:val="28"/>
              </w:rPr>
            </w:pPr>
            <w:r w:rsidRPr="00CF6CB5">
              <w:rPr>
                <w:rFonts w:hAnsi="標楷體" w:hint="eastAsia"/>
                <w:sz w:val="28"/>
              </w:rPr>
              <w:t>14,021</w:t>
            </w:r>
          </w:p>
        </w:tc>
        <w:tc>
          <w:tcPr>
            <w:tcW w:w="1814" w:type="dxa"/>
            <w:vAlign w:val="center"/>
          </w:tcPr>
          <w:p w:rsidR="0013025B" w:rsidRPr="00CF6CB5" w:rsidRDefault="0013025B" w:rsidP="0013025B">
            <w:pPr>
              <w:ind w:rightChars="100" w:right="340"/>
              <w:jc w:val="right"/>
              <w:rPr>
                <w:rFonts w:hAnsi="標楷體"/>
                <w:sz w:val="28"/>
              </w:rPr>
            </w:pPr>
            <w:r w:rsidRPr="00CF6CB5">
              <w:rPr>
                <w:rFonts w:hAnsi="標楷體" w:hint="eastAsia"/>
                <w:sz w:val="28"/>
              </w:rPr>
              <w:t>22.41%</w:t>
            </w:r>
          </w:p>
        </w:tc>
      </w:tr>
      <w:tr w:rsidR="00CF6CB5" w:rsidRPr="00CF6CB5" w:rsidTr="0013025B">
        <w:trPr>
          <w:trHeight w:val="907"/>
        </w:trPr>
        <w:tc>
          <w:tcPr>
            <w:tcW w:w="3652" w:type="dxa"/>
            <w:vAlign w:val="center"/>
          </w:tcPr>
          <w:p w:rsidR="0013025B" w:rsidRPr="00CF6CB5" w:rsidRDefault="0013025B" w:rsidP="00DF1352">
            <w:pPr>
              <w:rPr>
                <w:rFonts w:hAnsi="標楷體"/>
                <w:sz w:val="28"/>
              </w:rPr>
            </w:pPr>
            <w:r w:rsidRPr="00CF6CB5">
              <w:rPr>
                <w:rFonts w:hAnsi="標楷體" w:hint="eastAsia"/>
                <w:sz w:val="28"/>
              </w:rPr>
              <w:t>委任以下人員</w:t>
            </w:r>
          </w:p>
        </w:tc>
        <w:tc>
          <w:tcPr>
            <w:tcW w:w="1564" w:type="dxa"/>
            <w:vAlign w:val="center"/>
          </w:tcPr>
          <w:p w:rsidR="0013025B" w:rsidRPr="00CF6CB5" w:rsidRDefault="0013025B" w:rsidP="0013025B">
            <w:pPr>
              <w:ind w:rightChars="100" w:right="340"/>
              <w:jc w:val="right"/>
              <w:rPr>
                <w:rFonts w:hAnsi="標楷體"/>
                <w:sz w:val="28"/>
              </w:rPr>
            </w:pPr>
            <w:r w:rsidRPr="00CF6CB5">
              <w:rPr>
                <w:rFonts w:hAnsi="標楷體" w:hint="eastAsia"/>
                <w:sz w:val="28"/>
              </w:rPr>
              <w:t>8,555</w:t>
            </w:r>
          </w:p>
        </w:tc>
        <w:tc>
          <w:tcPr>
            <w:tcW w:w="1814" w:type="dxa"/>
            <w:vAlign w:val="center"/>
          </w:tcPr>
          <w:p w:rsidR="0013025B" w:rsidRPr="00CF6CB5" w:rsidRDefault="0013025B" w:rsidP="0013025B">
            <w:pPr>
              <w:ind w:rightChars="100" w:right="340"/>
              <w:jc w:val="right"/>
              <w:rPr>
                <w:rFonts w:hAnsi="標楷體"/>
                <w:sz w:val="28"/>
              </w:rPr>
            </w:pPr>
            <w:r w:rsidRPr="00CF6CB5">
              <w:rPr>
                <w:rFonts w:hAnsi="標楷體" w:hint="eastAsia"/>
                <w:sz w:val="28"/>
              </w:rPr>
              <w:t>8,245</w:t>
            </w:r>
          </w:p>
        </w:tc>
        <w:tc>
          <w:tcPr>
            <w:tcW w:w="1814" w:type="dxa"/>
            <w:vAlign w:val="center"/>
          </w:tcPr>
          <w:p w:rsidR="0013025B" w:rsidRPr="00CF6CB5" w:rsidRDefault="0013025B" w:rsidP="0013025B">
            <w:pPr>
              <w:ind w:rightChars="100" w:right="340"/>
              <w:jc w:val="right"/>
              <w:rPr>
                <w:rFonts w:hAnsi="標楷體"/>
                <w:sz w:val="28"/>
              </w:rPr>
            </w:pPr>
            <w:r w:rsidRPr="00CF6CB5">
              <w:rPr>
                <w:rFonts w:hAnsi="標楷體" w:hint="eastAsia"/>
                <w:sz w:val="28"/>
              </w:rPr>
              <w:t>-1.52%</w:t>
            </w:r>
          </w:p>
        </w:tc>
      </w:tr>
    </w:tbl>
    <w:p w:rsidR="0013025B" w:rsidRPr="00CF6CB5" w:rsidRDefault="0013025B" w:rsidP="0013025B">
      <w:pPr>
        <w:pStyle w:val="af7"/>
      </w:pPr>
      <w:r w:rsidRPr="00CF6CB5">
        <w:rPr>
          <w:rFonts w:hint="eastAsia"/>
        </w:rPr>
        <w:t>資料來源：財政部。</w:t>
      </w:r>
    </w:p>
    <w:p w:rsidR="00A02422" w:rsidRPr="00CF6CB5" w:rsidRDefault="00A02422" w:rsidP="00A02422">
      <w:pPr>
        <w:pStyle w:val="42"/>
        <w:ind w:left="1701" w:firstLine="680"/>
      </w:pPr>
      <w:r w:rsidRPr="00CF6CB5">
        <w:rPr>
          <w:rFonts w:hint="eastAsia"/>
        </w:rPr>
        <w:t>依據上開稅務獎勵金</w:t>
      </w:r>
      <w:proofErr w:type="gramStart"/>
      <w:r w:rsidRPr="00CF6CB5">
        <w:rPr>
          <w:rFonts w:hint="eastAsia"/>
        </w:rPr>
        <w:t>106</w:t>
      </w:r>
      <w:proofErr w:type="gramEnd"/>
      <w:r w:rsidRPr="00CF6CB5">
        <w:rPr>
          <w:rFonts w:hint="eastAsia"/>
        </w:rPr>
        <w:t>年度發放情形，以同一官等不同年度相較，薦任第9職等主管以上人員領取金額確有下降，</w:t>
      </w:r>
      <w:proofErr w:type="gramStart"/>
      <w:r w:rsidRPr="00CF6CB5">
        <w:rPr>
          <w:rFonts w:hint="eastAsia"/>
        </w:rPr>
        <w:t>而薦任</w:t>
      </w:r>
      <w:proofErr w:type="gramEnd"/>
      <w:r w:rsidRPr="00CF6CB5">
        <w:rPr>
          <w:rFonts w:hint="eastAsia"/>
        </w:rPr>
        <w:t>第6職等至第9職等非主管人員領取金額確有提升，惟若以同一年度不同官等觀之，</w:t>
      </w:r>
      <w:proofErr w:type="gramStart"/>
      <w:r w:rsidRPr="00CF6CB5">
        <w:rPr>
          <w:rFonts w:hint="eastAsia"/>
        </w:rPr>
        <w:t>105</w:t>
      </w:r>
      <w:proofErr w:type="gramEnd"/>
      <w:r w:rsidRPr="00CF6CB5">
        <w:rPr>
          <w:rFonts w:hint="eastAsia"/>
        </w:rPr>
        <w:t>年度薦任第9職等主管以上人員平均每人領取金額</w:t>
      </w:r>
      <w:proofErr w:type="gramStart"/>
      <w:r w:rsidRPr="00CF6CB5">
        <w:rPr>
          <w:rFonts w:hint="eastAsia"/>
        </w:rPr>
        <w:t>約為薦任</w:t>
      </w:r>
      <w:proofErr w:type="gramEnd"/>
      <w:r w:rsidRPr="00CF6CB5">
        <w:rPr>
          <w:rFonts w:hint="eastAsia"/>
        </w:rPr>
        <w:t>第6職等至第9職等非主管人員之6.7倍，而</w:t>
      </w:r>
      <w:proofErr w:type="gramStart"/>
      <w:r w:rsidRPr="00CF6CB5">
        <w:rPr>
          <w:rFonts w:hint="eastAsia"/>
        </w:rPr>
        <w:t>106</w:t>
      </w:r>
      <w:proofErr w:type="gramEnd"/>
      <w:r w:rsidRPr="00CF6CB5">
        <w:rPr>
          <w:rFonts w:hint="eastAsia"/>
        </w:rPr>
        <w:t>年度倍數則降至4.6倍。是</w:t>
      </w:r>
      <w:proofErr w:type="gramStart"/>
      <w:r w:rsidRPr="00CF6CB5">
        <w:rPr>
          <w:rFonts w:hint="eastAsia"/>
        </w:rPr>
        <w:t>以</w:t>
      </w:r>
      <w:proofErr w:type="gramEnd"/>
      <w:r w:rsidRPr="00CF6CB5">
        <w:rPr>
          <w:rFonts w:hint="eastAsia"/>
        </w:rPr>
        <w:t>，財政部雖於106年修正獎勵金作業要點，</w:t>
      </w:r>
      <w:proofErr w:type="gramStart"/>
      <w:r w:rsidRPr="00CF6CB5">
        <w:rPr>
          <w:rFonts w:hint="eastAsia"/>
        </w:rPr>
        <w:t>將薦任</w:t>
      </w:r>
      <w:proofErr w:type="gramEnd"/>
      <w:r w:rsidRPr="00CF6CB5">
        <w:rPr>
          <w:rFonts w:hint="eastAsia"/>
        </w:rPr>
        <w:t>第9職等主管以上人員，每人每年領取稅務獎勵金之金額，最高不得超過月俸額、專業加給及主管職務加給合計數之20%調降至16%，惟</w:t>
      </w:r>
      <w:r w:rsidR="007F355D" w:rsidRPr="00CF6CB5">
        <w:rPr>
          <w:rFonts w:hint="eastAsia"/>
        </w:rPr>
        <w:t>稅務</w:t>
      </w:r>
      <w:r w:rsidRPr="00CF6CB5">
        <w:rPr>
          <w:rFonts w:hint="eastAsia"/>
        </w:rPr>
        <w:t>獎勵金核發對象仍偏重主管人員，恐難達到激勵基層出力人員之目標。</w:t>
      </w:r>
    </w:p>
    <w:p w:rsidR="00C11DDA" w:rsidRPr="00CF6CB5" w:rsidRDefault="007E1B09" w:rsidP="00FE5CE7">
      <w:pPr>
        <w:pStyle w:val="4"/>
      </w:pPr>
      <w:r w:rsidRPr="00CF6CB5">
        <w:rPr>
          <w:rFonts w:hint="eastAsia"/>
        </w:rPr>
        <w:t>又，</w:t>
      </w:r>
      <w:r w:rsidR="00406B9A" w:rsidRPr="00CF6CB5">
        <w:rPr>
          <w:rFonts w:hint="eastAsia"/>
        </w:rPr>
        <w:t>財政部雖於105年底修正獎勵金標準表，</w:t>
      </w:r>
      <w:proofErr w:type="gramStart"/>
      <w:r w:rsidR="00406B9A" w:rsidRPr="00CF6CB5">
        <w:rPr>
          <w:rFonts w:hint="eastAsia"/>
        </w:rPr>
        <w:t>刪除乙表</w:t>
      </w:r>
      <w:proofErr w:type="gramEnd"/>
      <w:r w:rsidR="00406B9A" w:rsidRPr="00CF6CB5">
        <w:rPr>
          <w:rFonts w:hint="eastAsia"/>
        </w:rPr>
        <w:t>（適用各地區國稅局審議部分）個人獎勵金全部請獎事蹟，以避免外界誤解稅務人員為領取獎勵金而查稅。</w:t>
      </w:r>
      <w:proofErr w:type="gramStart"/>
      <w:r w:rsidR="00406B9A" w:rsidRPr="00CF6CB5">
        <w:rPr>
          <w:rFonts w:hint="eastAsia"/>
        </w:rPr>
        <w:t>惟</w:t>
      </w:r>
      <w:proofErr w:type="gramEnd"/>
      <w:r w:rsidR="00406B9A" w:rsidRPr="00CF6CB5">
        <w:rPr>
          <w:rFonts w:hint="eastAsia"/>
        </w:rPr>
        <w:t>現行獎勵金作業要點第3點，仍維持個人獎勵金之規定。</w:t>
      </w:r>
      <w:r w:rsidR="00C11DDA" w:rsidRPr="00CF6CB5">
        <w:rPr>
          <w:rFonts w:hint="eastAsia"/>
        </w:rPr>
        <w:t>對此，財政部稱：甲表</w:t>
      </w:r>
      <w:r w:rsidR="00211105" w:rsidRPr="00CF6CB5">
        <w:rPr>
          <w:rFonts w:hint="eastAsia"/>
        </w:rPr>
        <w:lastRenderedPageBreak/>
        <w:t>仍維持</w:t>
      </w:r>
      <w:proofErr w:type="gramStart"/>
      <w:r w:rsidR="00C11DDA" w:rsidRPr="00CF6CB5">
        <w:rPr>
          <w:rFonts w:hint="eastAsia"/>
        </w:rPr>
        <w:t>稽</w:t>
      </w:r>
      <w:proofErr w:type="gramEnd"/>
      <w:r w:rsidR="00C11DDA" w:rsidRPr="00CF6CB5">
        <w:rPr>
          <w:rFonts w:hint="eastAsia"/>
        </w:rPr>
        <w:t>徵業務、稅務行政之指揮、監督、規劃、督導或考核作業成效優異等個人請獎事蹟等語。</w:t>
      </w:r>
      <w:r w:rsidR="00406B9A" w:rsidRPr="00CF6CB5">
        <w:rPr>
          <w:rFonts w:hint="eastAsia"/>
        </w:rPr>
        <w:t>又查，財政部、該部賦稅署、財政資訊中心、各地區國稅局及各地方稅捐</w:t>
      </w:r>
      <w:proofErr w:type="gramStart"/>
      <w:r w:rsidR="00406B9A" w:rsidRPr="00CF6CB5">
        <w:rPr>
          <w:rFonts w:hint="eastAsia"/>
        </w:rPr>
        <w:t>稽</w:t>
      </w:r>
      <w:proofErr w:type="gramEnd"/>
      <w:r w:rsidR="00406B9A" w:rsidRPr="00CF6CB5">
        <w:rPr>
          <w:rFonts w:hint="eastAsia"/>
        </w:rPr>
        <w:t>徵機關</w:t>
      </w:r>
      <w:r w:rsidR="00211105" w:rsidRPr="00CF6CB5">
        <w:rPr>
          <w:rFonts w:hint="eastAsia"/>
        </w:rPr>
        <w:t>正副</w:t>
      </w:r>
      <w:r w:rsidR="00406B9A" w:rsidRPr="00CF6CB5">
        <w:rPr>
          <w:rFonts w:hint="eastAsia"/>
        </w:rPr>
        <w:t>首長</w:t>
      </w:r>
      <w:proofErr w:type="gramStart"/>
      <w:r w:rsidR="00406B9A" w:rsidRPr="00CF6CB5">
        <w:rPr>
          <w:rFonts w:hint="eastAsia"/>
        </w:rPr>
        <w:t>106</w:t>
      </w:r>
      <w:proofErr w:type="gramEnd"/>
      <w:r w:rsidR="00406B9A" w:rsidRPr="00CF6CB5">
        <w:rPr>
          <w:rFonts w:hint="eastAsia"/>
        </w:rPr>
        <w:t>年度支領</w:t>
      </w:r>
      <w:r w:rsidR="00211105" w:rsidRPr="00CF6CB5">
        <w:rPr>
          <w:rFonts w:hint="eastAsia"/>
        </w:rPr>
        <w:t>之</w:t>
      </w:r>
      <w:r w:rsidR="00406B9A" w:rsidRPr="00CF6CB5">
        <w:rPr>
          <w:rFonts w:hint="eastAsia"/>
        </w:rPr>
        <w:t>金額</w:t>
      </w:r>
      <w:r w:rsidR="00211105" w:rsidRPr="00CF6CB5">
        <w:rPr>
          <w:rFonts w:hint="eastAsia"/>
        </w:rPr>
        <w:t>達</w:t>
      </w:r>
      <w:r w:rsidR="00406B9A" w:rsidRPr="00CF6CB5">
        <w:rPr>
          <w:rFonts w:hint="eastAsia"/>
        </w:rPr>
        <w:t>588.8萬元</w:t>
      </w:r>
      <w:r w:rsidR="00211105" w:rsidRPr="00CF6CB5">
        <w:rPr>
          <w:rFonts w:hint="eastAsia"/>
        </w:rPr>
        <w:t>。陳訴人指稱，財政部前部長張盛和於97年6月在立法院稱：「在查稅獎金取消之前，每</w:t>
      </w:r>
      <w:proofErr w:type="gramStart"/>
      <w:r w:rsidR="00211105" w:rsidRPr="00CF6CB5">
        <w:rPr>
          <w:rFonts w:hint="eastAsia"/>
        </w:rPr>
        <w:t>個</w:t>
      </w:r>
      <w:proofErr w:type="gramEnd"/>
      <w:r w:rsidR="00211105" w:rsidRPr="00CF6CB5">
        <w:rPr>
          <w:rFonts w:hint="eastAsia"/>
        </w:rPr>
        <w:t>國稅局局長都可領到100萬元，現在大概是70幾萬元」</w:t>
      </w:r>
      <w:r w:rsidR="003E0FC3" w:rsidRPr="00CF6CB5">
        <w:rPr>
          <w:rFonts w:hint="eastAsia"/>
        </w:rPr>
        <w:t>等語。本院雖就實際支領狀況函</w:t>
      </w:r>
      <w:proofErr w:type="gramStart"/>
      <w:r w:rsidR="003E0FC3" w:rsidRPr="00CF6CB5">
        <w:rPr>
          <w:rFonts w:hint="eastAsia"/>
        </w:rPr>
        <w:t>詢</w:t>
      </w:r>
      <w:proofErr w:type="gramEnd"/>
      <w:r w:rsidR="003E0FC3" w:rsidRPr="00CF6CB5">
        <w:rPr>
          <w:rFonts w:hint="eastAsia"/>
        </w:rPr>
        <w:t>財政部，然</w:t>
      </w:r>
      <w:proofErr w:type="gramStart"/>
      <w:r w:rsidR="003E0FC3" w:rsidRPr="00CF6CB5">
        <w:rPr>
          <w:rFonts w:hint="eastAsia"/>
        </w:rPr>
        <w:t>該</w:t>
      </w:r>
      <w:r w:rsidR="003E24C9" w:rsidRPr="00CF6CB5">
        <w:rPr>
          <w:rFonts w:hint="eastAsia"/>
        </w:rPr>
        <w:t>部</w:t>
      </w:r>
      <w:r w:rsidR="00211105" w:rsidRPr="00CF6CB5">
        <w:rPr>
          <w:rFonts w:hint="eastAsia"/>
        </w:rPr>
        <w:t>未有</w:t>
      </w:r>
      <w:proofErr w:type="gramEnd"/>
      <w:r w:rsidR="00211105" w:rsidRPr="00CF6CB5">
        <w:rPr>
          <w:rFonts w:hint="eastAsia"/>
        </w:rPr>
        <w:t>正</w:t>
      </w:r>
      <w:r w:rsidR="003E24C9" w:rsidRPr="00CF6CB5">
        <w:rPr>
          <w:rFonts w:hint="eastAsia"/>
        </w:rPr>
        <w:t>面</w:t>
      </w:r>
      <w:r w:rsidR="00211105" w:rsidRPr="00CF6CB5">
        <w:rPr>
          <w:rFonts w:hint="eastAsia"/>
        </w:rPr>
        <w:t>回</w:t>
      </w:r>
      <w:r w:rsidR="003E24C9" w:rsidRPr="00CF6CB5">
        <w:rPr>
          <w:rFonts w:hint="eastAsia"/>
        </w:rPr>
        <w:t>答</w:t>
      </w:r>
      <w:r w:rsidR="00211105" w:rsidRPr="00CF6CB5">
        <w:rPr>
          <w:rFonts w:hint="eastAsia"/>
        </w:rPr>
        <w:t>，僅</w:t>
      </w:r>
      <w:r w:rsidR="003E24C9" w:rsidRPr="00CF6CB5">
        <w:rPr>
          <w:rFonts w:hint="eastAsia"/>
        </w:rPr>
        <w:t>獲財政部回應</w:t>
      </w:r>
      <w:r w:rsidR="00211105" w:rsidRPr="00CF6CB5">
        <w:rPr>
          <w:rFonts w:hint="eastAsia"/>
        </w:rPr>
        <w:t>部分經費資料已逾保存年限銷毀等語</w:t>
      </w:r>
      <w:r w:rsidR="003E0FC3" w:rsidRPr="00CF6CB5">
        <w:rPr>
          <w:rFonts w:hint="eastAsia"/>
        </w:rPr>
        <w:t>。</w:t>
      </w:r>
      <w:r w:rsidR="00211105" w:rsidRPr="00CF6CB5">
        <w:rPr>
          <w:rFonts w:hint="eastAsia"/>
        </w:rPr>
        <w:t>而財政部於本院約</w:t>
      </w:r>
      <w:proofErr w:type="gramStart"/>
      <w:r w:rsidR="00211105" w:rsidRPr="00CF6CB5">
        <w:rPr>
          <w:rFonts w:hint="eastAsia"/>
        </w:rPr>
        <w:t>詢</w:t>
      </w:r>
      <w:proofErr w:type="gramEnd"/>
      <w:r w:rsidR="00211105" w:rsidRPr="00CF6CB5">
        <w:rPr>
          <w:rFonts w:hint="eastAsia"/>
        </w:rPr>
        <w:t>時，</w:t>
      </w:r>
      <w:r w:rsidR="003E0FC3" w:rsidRPr="00CF6CB5">
        <w:rPr>
          <w:rFonts w:hint="eastAsia"/>
        </w:rPr>
        <w:t>則</w:t>
      </w:r>
      <w:r w:rsidR="00211105" w:rsidRPr="00CF6CB5">
        <w:rPr>
          <w:rFonts w:hint="eastAsia"/>
        </w:rPr>
        <w:t>坦承各國稅局局長每年領取之稅務獎勵金約24萬元</w:t>
      </w:r>
      <w:r w:rsidR="003E0FC3" w:rsidRPr="00CF6CB5">
        <w:rPr>
          <w:rFonts w:hint="eastAsia"/>
        </w:rPr>
        <w:t>等語，堪信外界質疑財稅高級官員領取稅務獎勵金，並非無據</w:t>
      </w:r>
      <w:r w:rsidR="00211105" w:rsidRPr="00CF6CB5">
        <w:rPr>
          <w:rFonts w:hint="eastAsia"/>
        </w:rPr>
        <w:t>。</w:t>
      </w:r>
      <w:proofErr w:type="gramStart"/>
      <w:r w:rsidR="00406B9A" w:rsidRPr="00CF6CB5">
        <w:rPr>
          <w:rFonts w:hint="eastAsia"/>
        </w:rPr>
        <w:t>鑑</w:t>
      </w:r>
      <w:proofErr w:type="gramEnd"/>
      <w:r w:rsidR="00406B9A" w:rsidRPr="00CF6CB5">
        <w:rPr>
          <w:rFonts w:hint="eastAsia"/>
        </w:rPr>
        <w:t>於各機關正副首長</w:t>
      </w:r>
      <w:proofErr w:type="gramStart"/>
      <w:r w:rsidR="00211105" w:rsidRPr="00CF6CB5">
        <w:rPr>
          <w:rFonts w:hint="eastAsia"/>
        </w:rPr>
        <w:t>雖負有綜</w:t>
      </w:r>
      <w:proofErr w:type="gramEnd"/>
      <w:r w:rsidR="00211105" w:rsidRPr="00CF6CB5">
        <w:rPr>
          <w:rFonts w:hint="eastAsia"/>
        </w:rPr>
        <w:t>理各該機關業務之責，但已反映至其薪資</w:t>
      </w:r>
      <w:r w:rsidR="003E0FC3" w:rsidRPr="00CF6CB5">
        <w:rPr>
          <w:rFonts w:hint="eastAsia"/>
        </w:rPr>
        <w:t>及相關費用</w:t>
      </w:r>
      <w:r w:rsidR="00211105" w:rsidRPr="00CF6CB5">
        <w:rPr>
          <w:rFonts w:hint="eastAsia"/>
        </w:rPr>
        <w:t>，如再</w:t>
      </w:r>
      <w:r w:rsidR="003E0FC3" w:rsidRPr="00CF6CB5">
        <w:rPr>
          <w:rFonts w:hint="eastAsia"/>
        </w:rPr>
        <w:t>以職責繁重為由，</w:t>
      </w:r>
      <w:r w:rsidR="00211105" w:rsidRPr="00CF6CB5">
        <w:rPr>
          <w:rFonts w:hint="eastAsia"/>
        </w:rPr>
        <w:t>支領高</w:t>
      </w:r>
      <w:r w:rsidR="000007B4" w:rsidRPr="00CF6CB5">
        <w:rPr>
          <w:rFonts w:hint="eastAsia"/>
        </w:rPr>
        <w:t>額的稅務獎勵金，實難杜外界</w:t>
      </w:r>
      <w:proofErr w:type="gramStart"/>
      <w:r w:rsidR="000007B4" w:rsidRPr="00CF6CB5">
        <w:rPr>
          <w:rFonts w:hint="eastAsia"/>
        </w:rPr>
        <w:t>悠悠</w:t>
      </w:r>
      <w:r w:rsidR="00211105" w:rsidRPr="00CF6CB5">
        <w:rPr>
          <w:rFonts w:hint="eastAsia"/>
        </w:rPr>
        <w:t>之</w:t>
      </w:r>
      <w:proofErr w:type="gramEnd"/>
      <w:r w:rsidR="00211105" w:rsidRPr="00CF6CB5">
        <w:rPr>
          <w:rFonts w:hint="eastAsia"/>
        </w:rPr>
        <w:t>口</w:t>
      </w:r>
      <w:r w:rsidR="003E0FC3" w:rsidRPr="00CF6CB5">
        <w:rPr>
          <w:rFonts w:hint="eastAsia"/>
        </w:rPr>
        <w:t>，個人獎</w:t>
      </w:r>
      <w:r w:rsidR="003E24C9" w:rsidRPr="00CF6CB5">
        <w:rPr>
          <w:rFonts w:hint="eastAsia"/>
        </w:rPr>
        <w:t>勵</w:t>
      </w:r>
      <w:r w:rsidR="003E0FC3" w:rsidRPr="00CF6CB5">
        <w:rPr>
          <w:rFonts w:hint="eastAsia"/>
        </w:rPr>
        <w:t>金之合理性自有檢討之空間</w:t>
      </w:r>
      <w:r w:rsidR="00406B9A" w:rsidRPr="00CF6CB5">
        <w:rPr>
          <w:rFonts w:hint="eastAsia"/>
        </w:rPr>
        <w:t>。</w:t>
      </w:r>
    </w:p>
    <w:p w:rsidR="00FE5CE7" w:rsidRPr="00CF6CB5" w:rsidRDefault="00801B60" w:rsidP="003E0FC3">
      <w:pPr>
        <w:pStyle w:val="3"/>
      </w:pPr>
      <w:bookmarkStart w:id="123" w:name="_Toc510456628"/>
      <w:bookmarkStart w:id="124" w:name="_Toc510534700"/>
      <w:bookmarkStart w:id="125" w:name="_Toc511053620"/>
      <w:bookmarkStart w:id="126" w:name="_Toc511126966"/>
      <w:r w:rsidRPr="00CF6CB5">
        <w:rPr>
          <w:rFonts w:hint="eastAsia"/>
          <w:b/>
        </w:rPr>
        <w:t>財政部雖表示稅務獎勵金與查稅獎金毫無</w:t>
      </w:r>
      <w:r w:rsidR="0081549F" w:rsidRPr="00CF6CB5">
        <w:rPr>
          <w:rFonts w:hint="eastAsia"/>
          <w:b/>
        </w:rPr>
        <w:t>關聯</w:t>
      </w:r>
      <w:r w:rsidRPr="00CF6CB5">
        <w:rPr>
          <w:rFonts w:hint="eastAsia"/>
          <w:b/>
        </w:rPr>
        <w:t>，惟</w:t>
      </w:r>
      <w:r w:rsidR="00FE5CE7" w:rsidRPr="00CF6CB5">
        <w:rPr>
          <w:rFonts w:hint="eastAsia"/>
          <w:b/>
        </w:rPr>
        <w:t>「財務罰鍰處理暫行條例」於93年廢除查稅獎金後，其後連續數年</w:t>
      </w:r>
      <w:r w:rsidR="003E24C9" w:rsidRPr="00CF6CB5">
        <w:rPr>
          <w:rFonts w:hint="eastAsia"/>
          <w:b/>
        </w:rPr>
        <w:t>稅務</w:t>
      </w:r>
      <w:r w:rsidR="00FE5CE7" w:rsidRPr="00CF6CB5">
        <w:rPr>
          <w:rFonts w:hint="eastAsia"/>
          <w:b/>
        </w:rPr>
        <w:t>人員領取之「稅務獎勵金」之金額暴增，</w:t>
      </w:r>
      <w:r w:rsidRPr="00CF6CB5">
        <w:rPr>
          <w:rFonts w:hint="eastAsia"/>
          <w:b/>
        </w:rPr>
        <w:t>實</w:t>
      </w:r>
      <w:r w:rsidR="00FE5CE7" w:rsidRPr="00CF6CB5">
        <w:rPr>
          <w:rFonts w:hint="eastAsia"/>
          <w:b/>
        </w:rPr>
        <w:t>難杜各界</w:t>
      </w:r>
      <w:r w:rsidR="003E24C9" w:rsidRPr="00CF6CB5">
        <w:rPr>
          <w:rFonts w:hint="eastAsia"/>
          <w:b/>
        </w:rPr>
        <w:t>質疑查稅獎金廢除後改以稅務獎勵金之名目發放，認為稅務獎勵金與查稅有所</w:t>
      </w:r>
      <w:r w:rsidR="0081549F" w:rsidRPr="00CF6CB5">
        <w:rPr>
          <w:rFonts w:hint="eastAsia"/>
          <w:b/>
        </w:rPr>
        <w:t>關聯</w:t>
      </w:r>
      <w:r w:rsidR="00FE5CE7" w:rsidRPr="00CF6CB5">
        <w:rPr>
          <w:rFonts w:hint="eastAsia"/>
          <w:b/>
        </w:rPr>
        <w:t>。</w:t>
      </w:r>
      <w:r w:rsidR="00B2649E" w:rsidRPr="00CF6CB5">
        <w:rPr>
          <w:rFonts w:hint="eastAsia"/>
          <w:b/>
        </w:rPr>
        <w:t>而</w:t>
      </w:r>
      <w:r w:rsidR="003E0FC3" w:rsidRPr="00CF6CB5">
        <w:rPr>
          <w:rFonts w:hint="eastAsia"/>
          <w:b/>
        </w:rPr>
        <w:t>近年來</w:t>
      </w:r>
      <w:r w:rsidR="003E24C9" w:rsidRPr="00CF6CB5">
        <w:rPr>
          <w:rFonts w:hint="eastAsia"/>
          <w:b/>
        </w:rPr>
        <w:t>稅務獎勵金</w:t>
      </w:r>
      <w:r w:rsidR="003E0FC3" w:rsidRPr="00CF6CB5">
        <w:rPr>
          <w:rFonts w:hint="eastAsia"/>
          <w:b/>
        </w:rPr>
        <w:t>之支領數額已大幅降低，財政部允應適時說明澄清。</w:t>
      </w:r>
      <w:bookmarkEnd w:id="123"/>
      <w:bookmarkEnd w:id="124"/>
      <w:bookmarkEnd w:id="125"/>
      <w:bookmarkEnd w:id="126"/>
    </w:p>
    <w:p w:rsidR="00FE5CE7" w:rsidRPr="00CF6CB5" w:rsidRDefault="00FE5CE7" w:rsidP="00FE5CE7">
      <w:pPr>
        <w:pStyle w:val="4"/>
      </w:pPr>
      <w:r w:rsidRPr="00CF6CB5">
        <w:rPr>
          <w:rFonts w:hint="eastAsia"/>
        </w:rPr>
        <w:t>有關查稅獎金之沿革，經查其法源為43年公布施行的「財務罰鍰處理暫行條例」</w:t>
      </w:r>
      <w:r w:rsidR="00801B60" w:rsidRPr="00CF6CB5">
        <w:rPr>
          <w:rStyle w:val="aff1"/>
        </w:rPr>
        <w:footnoteReference w:id="24"/>
      </w:r>
      <w:r w:rsidRPr="00CF6CB5">
        <w:rPr>
          <w:rFonts w:hint="eastAsia"/>
        </w:rPr>
        <w:t>（70年及84年修</w:t>
      </w:r>
      <w:r w:rsidRPr="00CF6CB5">
        <w:rPr>
          <w:rFonts w:hint="eastAsia"/>
        </w:rPr>
        <w:lastRenderedPageBreak/>
        <w:t>正），行政院依該條例授權訂定：「財務罰鍰給獎分配辦法」，再由財政部依分配辦法訂定：「財政部主管財務</w:t>
      </w:r>
      <w:proofErr w:type="gramStart"/>
      <w:r w:rsidRPr="00CF6CB5">
        <w:rPr>
          <w:rFonts w:hint="eastAsia"/>
        </w:rPr>
        <w:t>罰鍰提獎查緝</w:t>
      </w:r>
      <w:proofErr w:type="gramEnd"/>
      <w:r w:rsidRPr="00CF6CB5">
        <w:rPr>
          <w:rFonts w:hint="eastAsia"/>
        </w:rPr>
        <w:t>機關分配要點」，實施迄93年長達50年。</w:t>
      </w:r>
      <w:r w:rsidR="00801B60" w:rsidRPr="00CF6CB5">
        <w:rPr>
          <w:rFonts w:hint="eastAsia"/>
        </w:rPr>
        <w:t>93年間</w:t>
      </w:r>
      <w:r w:rsidRPr="00CF6CB5">
        <w:rPr>
          <w:rFonts w:hint="eastAsia"/>
        </w:rPr>
        <w:t>立法院</w:t>
      </w:r>
      <w:r w:rsidR="00AA6043" w:rsidRPr="00CF6CB5">
        <w:rPr>
          <w:rFonts w:hint="eastAsia"/>
        </w:rPr>
        <w:t>以</w:t>
      </w:r>
      <w:r w:rsidRPr="00CF6CB5">
        <w:rPr>
          <w:rFonts w:hint="eastAsia"/>
        </w:rPr>
        <w:t>「查稅及查緝人員本有薪水，獎金制度恐有助長關務、稅務人員濫行查稅之嫌」，修正該條例第3條及第4條，明定為除檢舉人外，相關公務人員不再發給獎金。</w:t>
      </w:r>
    </w:p>
    <w:p w:rsidR="00D516FE" w:rsidRPr="00CF6CB5" w:rsidRDefault="00D516FE" w:rsidP="00FE5CE7">
      <w:pPr>
        <w:pStyle w:val="4"/>
      </w:pPr>
      <w:r w:rsidRPr="00CF6CB5">
        <w:rPr>
          <w:rFonts w:hint="eastAsia"/>
        </w:rPr>
        <w:t>有關</w:t>
      </w:r>
      <w:r w:rsidR="00801B60" w:rsidRPr="00CF6CB5">
        <w:rPr>
          <w:rFonts w:hint="eastAsia"/>
        </w:rPr>
        <w:t>民眾質疑財政部於查稅獎金廢除後，以「稅務獎勵金」巧立名目乙節，</w:t>
      </w:r>
      <w:proofErr w:type="gramStart"/>
      <w:r w:rsidR="00801B60" w:rsidRPr="00CF6CB5">
        <w:rPr>
          <w:rFonts w:hint="eastAsia"/>
        </w:rPr>
        <w:t>詢</w:t>
      </w:r>
      <w:proofErr w:type="gramEnd"/>
      <w:r w:rsidR="00801B60" w:rsidRPr="00CF6CB5">
        <w:rPr>
          <w:rFonts w:hint="eastAsia"/>
        </w:rPr>
        <w:t>據財政部表示：</w:t>
      </w:r>
      <w:r w:rsidR="00AA6043" w:rsidRPr="00CF6CB5">
        <w:rPr>
          <w:rFonts w:hint="eastAsia"/>
        </w:rPr>
        <w:t>稅務獎勵金早於78年報奉行政院核定，自79年起核發</w:t>
      </w:r>
      <w:r w:rsidR="00801B60" w:rsidRPr="00CF6CB5">
        <w:rPr>
          <w:rFonts w:hint="eastAsia"/>
        </w:rPr>
        <w:t>，而「財務罰鍰處理暫行條例」於93年刪除主、協辦查緝機關就財務罰鍰</w:t>
      </w:r>
      <w:proofErr w:type="gramStart"/>
      <w:r w:rsidR="00801B60" w:rsidRPr="00CF6CB5">
        <w:rPr>
          <w:rFonts w:hint="eastAsia"/>
        </w:rPr>
        <w:t>提撥</w:t>
      </w:r>
      <w:proofErr w:type="gramEnd"/>
      <w:r w:rsidR="00801B60" w:rsidRPr="00CF6CB5">
        <w:rPr>
          <w:rFonts w:hint="eastAsia"/>
        </w:rPr>
        <w:t>獎金之相關規定後，</w:t>
      </w:r>
      <w:r w:rsidR="00AA6043" w:rsidRPr="00CF6CB5">
        <w:rPr>
          <w:rFonts w:hint="eastAsia"/>
        </w:rPr>
        <w:t>除93年修</w:t>
      </w:r>
      <w:proofErr w:type="gramStart"/>
      <w:r w:rsidR="00AA6043" w:rsidRPr="00CF6CB5">
        <w:rPr>
          <w:rFonts w:hint="eastAsia"/>
        </w:rPr>
        <w:t>法前裁罰確定且徵起</w:t>
      </w:r>
      <w:proofErr w:type="gramEnd"/>
      <w:r w:rsidR="00AA6043" w:rsidRPr="00CF6CB5">
        <w:rPr>
          <w:rFonts w:hint="eastAsia"/>
        </w:rPr>
        <w:t>之案件得依修正前</w:t>
      </w:r>
      <w:proofErr w:type="gramStart"/>
      <w:r w:rsidR="00AA6043" w:rsidRPr="00CF6CB5">
        <w:rPr>
          <w:rFonts w:hint="eastAsia"/>
        </w:rPr>
        <w:t>條文提獎外</w:t>
      </w:r>
      <w:proofErr w:type="gramEnd"/>
      <w:r w:rsidR="00AA6043" w:rsidRPr="00CF6CB5">
        <w:rPr>
          <w:rFonts w:hint="eastAsia"/>
        </w:rPr>
        <w:t>，</w:t>
      </w:r>
      <w:r w:rsidR="00801B60" w:rsidRPr="00CF6CB5">
        <w:rPr>
          <w:rFonts w:hint="eastAsia"/>
        </w:rPr>
        <w:t>已無依該條例</w:t>
      </w:r>
      <w:proofErr w:type="gramStart"/>
      <w:r w:rsidR="00801B60" w:rsidRPr="00CF6CB5">
        <w:rPr>
          <w:rFonts w:hint="eastAsia"/>
        </w:rPr>
        <w:t>提撥</w:t>
      </w:r>
      <w:proofErr w:type="gramEnd"/>
      <w:r w:rsidR="00801B60" w:rsidRPr="00CF6CB5">
        <w:rPr>
          <w:rFonts w:hint="eastAsia"/>
        </w:rPr>
        <w:t>獎金</w:t>
      </w:r>
      <w:r w:rsidR="00AD67E0" w:rsidRPr="00CF6CB5">
        <w:t xml:space="preserve"> (</w:t>
      </w:r>
      <w:r w:rsidR="00AD67E0" w:rsidRPr="00CF6CB5">
        <w:rPr>
          <w:rFonts w:hint="eastAsia"/>
        </w:rPr>
        <w:t>即查稅獎金</w:t>
      </w:r>
      <w:r w:rsidR="00AD67E0" w:rsidRPr="00CF6CB5">
        <w:t>)</w:t>
      </w:r>
      <w:r w:rsidR="00801B60" w:rsidRPr="00CF6CB5">
        <w:rPr>
          <w:rFonts w:hint="eastAsia"/>
        </w:rPr>
        <w:t>或編列其他預算支給獎金</w:t>
      </w:r>
      <w:r w:rsidRPr="00CF6CB5">
        <w:rPr>
          <w:rFonts w:hint="eastAsia"/>
        </w:rPr>
        <w:t>等語</w:t>
      </w:r>
      <w:r w:rsidR="00AA6043" w:rsidRPr="00CF6CB5">
        <w:rPr>
          <w:rFonts w:hint="eastAsia"/>
        </w:rPr>
        <w:t>，與卷內資料相符</w:t>
      </w:r>
      <w:r w:rsidRPr="00CF6CB5">
        <w:rPr>
          <w:rFonts w:hint="eastAsia"/>
        </w:rPr>
        <w:t>，</w:t>
      </w:r>
      <w:proofErr w:type="gramStart"/>
      <w:r w:rsidRPr="00CF6CB5">
        <w:rPr>
          <w:rFonts w:hint="eastAsia"/>
        </w:rPr>
        <w:t>核屬實情</w:t>
      </w:r>
      <w:proofErr w:type="gramEnd"/>
      <w:r w:rsidR="00801B60" w:rsidRPr="00CF6CB5">
        <w:rPr>
          <w:rFonts w:hint="eastAsia"/>
        </w:rPr>
        <w:t>。</w:t>
      </w:r>
      <w:proofErr w:type="gramStart"/>
      <w:r w:rsidRPr="00CF6CB5">
        <w:rPr>
          <w:rFonts w:hint="eastAsia"/>
        </w:rPr>
        <w:t>惟</w:t>
      </w:r>
      <w:proofErr w:type="gramEnd"/>
      <w:r w:rsidRPr="00CF6CB5">
        <w:rPr>
          <w:rFonts w:hint="eastAsia"/>
        </w:rPr>
        <w:t>93年修法後，95年起財政部及各地區國稅局</w:t>
      </w:r>
      <w:r w:rsidR="003E24C9" w:rsidRPr="00CF6CB5">
        <w:rPr>
          <w:rFonts w:hint="eastAsia"/>
        </w:rPr>
        <w:t>以</w:t>
      </w:r>
      <w:r w:rsidRPr="00CF6CB5">
        <w:rPr>
          <w:rFonts w:hint="eastAsia"/>
        </w:rPr>
        <w:t>簡任稅務人員</w:t>
      </w:r>
      <w:r w:rsidR="003E24C9" w:rsidRPr="00CF6CB5">
        <w:rPr>
          <w:rFonts w:hint="eastAsia"/>
        </w:rPr>
        <w:t>為例，</w:t>
      </w:r>
      <w:r w:rsidRPr="00CF6CB5">
        <w:rPr>
          <w:rFonts w:hint="eastAsia"/>
        </w:rPr>
        <w:t>每人每年平均領取金額卻有大幅增加情形，</w:t>
      </w:r>
      <w:r w:rsidR="00AA6043" w:rsidRPr="00CF6CB5">
        <w:rPr>
          <w:rFonts w:hint="eastAsia"/>
        </w:rPr>
        <w:t>例如</w:t>
      </w:r>
      <w:r w:rsidRPr="00CF6CB5">
        <w:rPr>
          <w:rFonts w:hint="eastAsia"/>
        </w:rPr>
        <w:t>94年每人每年平均7萬6千餘元，95年增加至每人每年平均26萬8千餘元</w:t>
      </w:r>
      <w:r w:rsidR="00AA6043" w:rsidRPr="00CF6CB5">
        <w:rPr>
          <w:rFonts w:hint="eastAsia"/>
        </w:rPr>
        <w:t>，詳如下表：</w:t>
      </w:r>
    </w:p>
    <w:p w:rsidR="0013025B" w:rsidRPr="00CF6CB5" w:rsidRDefault="0013025B" w:rsidP="0013025B">
      <w:pPr>
        <w:pStyle w:val="a3"/>
      </w:pPr>
      <w:r w:rsidRPr="00CF6CB5">
        <w:rPr>
          <w:rFonts w:hint="eastAsia"/>
        </w:rPr>
        <w:t>財政部各地區國稅局94年度至</w:t>
      </w:r>
      <w:proofErr w:type="gramStart"/>
      <w:r w:rsidRPr="00CF6CB5">
        <w:rPr>
          <w:rFonts w:hint="eastAsia"/>
        </w:rPr>
        <w:t>106</w:t>
      </w:r>
      <w:proofErr w:type="gramEnd"/>
      <w:r w:rsidRPr="00CF6CB5">
        <w:rPr>
          <w:rFonts w:hint="eastAsia"/>
        </w:rPr>
        <w:t>年度稅務獎勵金核發情形表</w:t>
      </w:r>
    </w:p>
    <w:p w:rsidR="0013025B" w:rsidRPr="00CF6CB5" w:rsidRDefault="0013025B" w:rsidP="0013025B">
      <w:pPr>
        <w:wordWrap w:val="0"/>
        <w:jc w:val="right"/>
        <w:rPr>
          <w:sz w:val="22"/>
        </w:rPr>
      </w:pPr>
      <w:r w:rsidRPr="00CF6CB5">
        <w:rPr>
          <w:rFonts w:hint="eastAsia"/>
          <w:sz w:val="22"/>
        </w:rPr>
        <w:t>單位：元</w:t>
      </w:r>
    </w:p>
    <w:tbl>
      <w:tblPr>
        <w:tblStyle w:val="af9"/>
        <w:tblW w:w="0" w:type="auto"/>
        <w:tblLook w:val="04A0" w:firstRow="1" w:lastRow="0" w:firstColumn="1" w:lastColumn="0" w:noHBand="0" w:noVBand="1"/>
      </w:tblPr>
      <w:tblGrid>
        <w:gridCol w:w="1390"/>
        <w:gridCol w:w="2485"/>
        <w:gridCol w:w="2479"/>
        <w:gridCol w:w="2480"/>
      </w:tblGrid>
      <w:tr w:rsidR="00CF6CB5" w:rsidRPr="00CF6CB5" w:rsidTr="00DF1352">
        <w:trPr>
          <w:trHeight w:val="340"/>
        </w:trPr>
        <w:tc>
          <w:tcPr>
            <w:tcW w:w="1417" w:type="dxa"/>
            <w:vMerge w:val="restart"/>
            <w:tcBorders>
              <w:tl2br w:val="single" w:sz="4" w:space="0" w:color="auto"/>
            </w:tcBorders>
            <w:vAlign w:val="center"/>
          </w:tcPr>
          <w:p w:rsidR="0013025B" w:rsidRPr="00CF6CB5" w:rsidRDefault="0013025B" w:rsidP="00DF1352">
            <w:pPr>
              <w:jc w:val="right"/>
              <w:rPr>
                <w:rFonts w:hAnsi="標楷體"/>
                <w:sz w:val="28"/>
                <w:szCs w:val="28"/>
              </w:rPr>
            </w:pPr>
            <w:r w:rsidRPr="00CF6CB5">
              <w:rPr>
                <w:rFonts w:hAnsi="標楷體" w:hint="eastAsia"/>
                <w:sz w:val="28"/>
                <w:szCs w:val="28"/>
              </w:rPr>
              <w:t>官等</w:t>
            </w:r>
          </w:p>
          <w:p w:rsidR="0013025B" w:rsidRPr="00CF6CB5" w:rsidRDefault="0013025B" w:rsidP="00DF1352">
            <w:pPr>
              <w:rPr>
                <w:rFonts w:hAnsi="標楷體"/>
                <w:sz w:val="28"/>
                <w:szCs w:val="28"/>
              </w:rPr>
            </w:pPr>
            <w:r w:rsidRPr="00CF6CB5">
              <w:rPr>
                <w:rFonts w:hAnsi="標楷體" w:hint="eastAsia"/>
                <w:sz w:val="28"/>
                <w:szCs w:val="28"/>
              </w:rPr>
              <w:t>年度</w:t>
            </w:r>
          </w:p>
        </w:tc>
        <w:tc>
          <w:tcPr>
            <w:tcW w:w="7516" w:type="dxa"/>
            <w:gridSpan w:val="3"/>
            <w:vAlign w:val="center"/>
          </w:tcPr>
          <w:p w:rsidR="0013025B" w:rsidRPr="00CF6CB5" w:rsidRDefault="0013025B" w:rsidP="00DF1352">
            <w:pPr>
              <w:jc w:val="center"/>
              <w:rPr>
                <w:rFonts w:hAnsi="標楷體"/>
                <w:sz w:val="28"/>
                <w:szCs w:val="28"/>
              </w:rPr>
            </w:pPr>
            <w:r w:rsidRPr="00CF6CB5">
              <w:rPr>
                <w:rFonts w:hAnsi="標楷體" w:hint="eastAsia"/>
                <w:sz w:val="28"/>
                <w:szCs w:val="28"/>
              </w:rPr>
              <w:t>每人每年平均領取金額</w:t>
            </w:r>
          </w:p>
        </w:tc>
      </w:tr>
      <w:tr w:rsidR="00CF6CB5" w:rsidRPr="00CF6CB5" w:rsidTr="00DF1352">
        <w:trPr>
          <w:trHeight w:val="340"/>
        </w:trPr>
        <w:tc>
          <w:tcPr>
            <w:tcW w:w="1417" w:type="dxa"/>
            <w:vMerge/>
            <w:tcBorders>
              <w:tl2br w:val="single" w:sz="4" w:space="0" w:color="auto"/>
            </w:tcBorders>
            <w:vAlign w:val="center"/>
          </w:tcPr>
          <w:p w:rsidR="0013025B" w:rsidRPr="00CF6CB5" w:rsidRDefault="0013025B" w:rsidP="00DF1352">
            <w:pPr>
              <w:jc w:val="center"/>
              <w:rPr>
                <w:rFonts w:hAnsi="標楷體"/>
                <w:sz w:val="28"/>
                <w:szCs w:val="28"/>
              </w:rPr>
            </w:pPr>
          </w:p>
        </w:tc>
        <w:tc>
          <w:tcPr>
            <w:tcW w:w="2505" w:type="dxa"/>
            <w:vAlign w:val="center"/>
          </w:tcPr>
          <w:p w:rsidR="0013025B" w:rsidRPr="00CF6CB5" w:rsidRDefault="0013025B" w:rsidP="00DF1352">
            <w:pPr>
              <w:jc w:val="center"/>
              <w:rPr>
                <w:rFonts w:hAnsi="標楷體"/>
                <w:sz w:val="28"/>
                <w:szCs w:val="28"/>
              </w:rPr>
            </w:pPr>
            <w:r w:rsidRPr="00CF6CB5">
              <w:rPr>
                <w:rFonts w:hAnsi="標楷體" w:hint="eastAsia"/>
                <w:sz w:val="28"/>
                <w:szCs w:val="28"/>
              </w:rPr>
              <w:t>簡任</w:t>
            </w:r>
          </w:p>
        </w:tc>
        <w:tc>
          <w:tcPr>
            <w:tcW w:w="2505" w:type="dxa"/>
            <w:vAlign w:val="center"/>
          </w:tcPr>
          <w:p w:rsidR="0013025B" w:rsidRPr="00CF6CB5" w:rsidRDefault="0013025B" w:rsidP="00DF1352">
            <w:pPr>
              <w:jc w:val="center"/>
              <w:rPr>
                <w:rFonts w:hAnsi="標楷體"/>
                <w:sz w:val="28"/>
                <w:szCs w:val="28"/>
              </w:rPr>
            </w:pPr>
            <w:r w:rsidRPr="00CF6CB5">
              <w:rPr>
                <w:rFonts w:hAnsi="標楷體" w:hint="eastAsia"/>
                <w:sz w:val="28"/>
                <w:szCs w:val="28"/>
              </w:rPr>
              <w:t>薦任</w:t>
            </w:r>
          </w:p>
        </w:tc>
        <w:tc>
          <w:tcPr>
            <w:tcW w:w="2506" w:type="dxa"/>
            <w:vAlign w:val="center"/>
          </w:tcPr>
          <w:p w:rsidR="0013025B" w:rsidRPr="00CF6CB5" w:rsidRDefault="0013025B" w:rsidP="00DF1352">
            <w:pPr>
              <w:jc w:val="center"/>
              <w:rPr>
                <w:rFonts w:hAnsi="標楷體"/>
                <w:sz w:val="28"/>
                <w:szCs w:val="28"/>
              </w:rPr>
            </w:pPr>
            <w:r w:rsidRPr="00CF6CB5">
              <w:rPr>
                <w:rFonts w:hAnsi="標楷體" w:hint="eastAsia"/>
                <w:sz w:val="28"/>
                <w:szCs w:val="28"/>
              </w:rPr>
              <w:t>委任</w:t>
            </w:r>
          </w:p>
        </w:tc>
      </w:tr>
      <w:tr w:rsidR="00CF6CB5" w:rsidRPr="00CF6CB5" w:rsidTr="00DF1352">
        <w:trPr>
          <w:trHeight w:val="340"/>
        </w:trPr>
        <w:tc>
          <w:tcPr>
            <w:tcW w:w="1417" w:type="dxa"/>
            <w:vAlign w:val="center"/>
          </w:tcPr>
          <w:p w:rsidR="0013025B" w:rsidRPr="00CF6CB5" w:rsidRDefault="0013025B" w:rsidP="00DF1352">
            <w:pPr>
              <w:jc w:val="center"/>
              <w:rPr>
                <w:rFonts w:hAnsi="標楷體"/>
                <w:sz w:val="28"/>
                <w:szCs w:val="28"/>
              </w:rPr>
            </w:pPr>
            <w:r w:rsidRPr="00CF6CB5">
              <w:rPr>
                <w:rFonts w:hAnsi="標楷體" w:hint="eastAsia"/>
                <w:sz w:val="28"/>
                <w:szCs w:val="28"/>
              </w:rPr>
              <w:t>106</w:t>
            </w:r>
          </w:p>
        </w:tc>
        <w:tc>
          <w:tcPr>
            <w:tcW w:w="2505"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80,127</w:t>
            </w:r>
          </w:p>
        </w:tc>
        <w:tc>
          <w:tcPr>
            <w:tcW w:w="2505"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14,826</w:t>
            </w:r>
          </w:p>
        </w:tc>
        <w:tc>
          <w:tcPr>
            <w:tcW w:w="2506"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8,245</w:t>
            </w:r>
          </w:p>
        </w:tc>
      </w:tr>
      <w:tr w:rsidR="00CF6CB5" w:rsidRPr="00CF6CB5" w:rsidTr="00DF1352">
        <w:trPr>
          <w:trHeight w:val="340"/>
        </w:trPr>
        <w:tc>
          <w:tcPr>
            <w:tcW w:w="1417" w:type="dxa"/>
            <w:vAlign w:val="center"/>
          </w:tcPr>
          <w:p w:rsidR="0013025B" w:rsidRPr="00CF6CB5" w:rsidRDefault="0013025B" w:rsidP="00DF1352">
            <w:pPr>
              <w:jc w:val="center"/>
              <w:rPr>
                <w:rFonts w:hAnsi="標楷體"/>
                <w:sz w:val="28"/>
                <w:szCs w:val="28"/>
              </w:rPr>
            </w:pPr>
            <w:r w:rsidRPr="00CF6CB5">
              <w:rPr>
                <w:rFonts w:hAnsi="標楷體" w:hint="eastAsia"/>
                <w:sz w:val="28"/>
                <w:szCs w:val="28"/>
              </w:rPr>
              <w:t>105</w:t>
            </w:r>
          </w:p>
        </w:tc>
        <w:tc>
          <w:tcPr>
            <w:tcW w:w="2505"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98,093</w:t>
            </w:r>
          </w:p>
        </w:tc>
        <w:tc>
          <w:tcPr>
            <w:tcW w:w="2505"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12,419</w:t>
            </w:r>
          </w:p>
        </w:tc>
        <w:tc>
          <w:tcPr>
            <w:tcW w:w="2506"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8,555</w:t>
            </w:r>
          </w:p>
        </w:tc>
      </w:tr>
      <w:tr w:rsidR="00CF6CB5" w:rsidRPr="00CF6CB5" w:rsidTr="00DF1352">
        <w:trPr>
          <w:trHeight w:val="340"/>
        </w:trPr>
        <w:tc>
          <w:tcPr>
            <w:tcW w:w="1417" w:type="dxa"/>
            <w:vAlign w:val="center"/>
          </w:tcPr>
          <w:p w:rsidR="0013025B" w:rsidRPr="00CF6CB5" w:rsidRDefault="0013025B" w:rsidP="00DF1352">
            <w:pPr>
              <w:jc w:val="center"/>
              <w:rPr>
                <w:rFonts w:hAnsi="標楷體"/>
                <w:sz w:val="28"/>
                <w:szCs w:val="28"/>
              </w:rPr>
            </w:pPr>
            <w:r w:rsidRPr="00CF6CB5">
              <w:rPr>
                <w:rFonts w:hAnsi="標楷體" w:hint="eastAsia"/>
                <w:sz w:val="28"/>
                <w:szCs w:val="28"/>
              </w:rPr>
              <w:t>104</w:t>
            </w:r>
          </w:p>
        </w:tc>
        <w:tc>
          <w:tcPr>
            <w:tcW w:w="2505"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96,947</w:t>
            </w:r>
          </w:p>
        </w:tc>
        <w:tc>
          <w:tcPr>
            <w:tcW w:w="2505"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12,653</w:t>
            </w:r>
          </w:p>
        </w:tc>
        <w:tc>
          <w:tcPr>
            <w:tcW w:w="2506"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8,537</w:t>
            </w:r>
          </w:p>
        </w:tc>
      </w:tr>
      <w:tr w:rsidR="00CF6CB5" w:rsidRPr="00CF6CB5" w:rsidTr="00DF1352">
        <w:trPr>
          <w:trHeight w:val="340"/>
        </w:trPr>
        <w:tc>
          <w:tcPr>
            <w:tcW w:w="1417" w:type="dxa"/>
            <w:vAlign w:val="center"/>
          </w:tcPr>
          <w:p w:rsidR="0013025B" w:rsidRPr="00CF6CB5" w:rsidRDefault="0013025B" w:rsidP="00DF1352">
            <w:pPr>
              <w:jc w:val="center"/>
              <w:rPr>
                <w:rFonts w:hAnsi="標楷體"/>
                <w:sz w:val="28"/>
                <w:szCs w:val="28"/>
              </w:rPr>
            </w:pPr>
            <w:r w:rsidRPr="00CF6CB5">
              <w:rPr>
                <w:rFonts w:hAnsi="標楷體" w:hint="eastAsia"/>
                <w:sz w:val="28"/>
                <w:szCs w:val="28"/>
              </w:rPr>
              <w:lastRenderedPageBreak/>
              <w:t>103</w:t>
            </w:r>
          </w:p>
        </w:tc>
        <w:tc>
          <w:tcPr>
            <w:tcW w:w="2505"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101,277</w:t>
            </w:r>
          </w:p>
        </w:tc>
        <w:tc>
          <w:tcPr>
            <w:tcW w:w="2505"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12,767</w:t>
            </w:r>
          </w:p>
        </w:tc>
        <w:tc>
          <w:tcPr>
            <w:tcW w:w="2506"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8,562</w:t>
            </w:r>
          </w:p>
        </w:tc>
      </w:tr>
      <w:tr w:rsidR="00CF6CB5" w:rsidRPr="00CF6CB5" w:rsidTr="00DF1352">
        <w:trPr>
          <w:trHeight w:val="340"/>
        </w:trPr>
        <w:tc>
          <w:tcPr>
            <w:tcW w:w="1417" w:type="dxa"/>
            <w:vAlign w:val="center"/>
          </w:tcPr>
          <w:p w:rsidR="0013025B" w:rsidRPr="00CF6CB5" w:rsidRDefault="0013025B" w:rsidP="00DF1352">
            <w:pPr>
              <w:jc w:val="center"/>
              <w:rPr>
                <w:rFonts w:hAnsi="標楷體"/>
                <w:sz w:val="28"/>
                <w:szCs w:val="28"/>
              </w:rPr>
            </w:pPr>
            <w:r w:rsidRPr="00CF6CB5">
              <w:rPr>
                <w:rFonts w:hAnsi="標楷體" w:hint="eastAsia"/>
                <w:sz w:val="28"/>
                <w:szCs w:val="28"/>
              </w:rPr>
              <w:t>102</w:t>
            </w:r>
          </w:p>
        </w:tc>
        <w:tc>
          <w:tcPr>
            <w:tcW w:w="2505"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101,342</w:t>
            </w:r>
          </w:p>
        </w:tc>
        <w:tc>
          <w:tcPr>
            <w:tcW w:w="2505"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13,129</w:t>
            </w:r>
          </w:p>
        </w:tc>
        <w:tc>
          <w:tcPr>
            <w:tcW w:w="2506"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8,262</w:t>
            </w:r>
          </w:p>
        </w:tc>
      </w:tr>
      <w:tr w:rsidR="00CF6CB5" w:rsidRPr="00CF6CB5" w:rsidTr="00DF1352">
        <w:trPr>
          <w:trHeight w:val="340"/>
        </w:trPr>
        <w:tc>
          <w:tcPr>
            <w:tcW w:w="1417" w:type="dxa"/>
            <w:vAlign w:val="center"/>
          </w:tcPr>
          <w:p w:rsidR="0013025B" w:rsidRPr="00CF6CB5" w:rsidRDefault="0013025B" w:rsidP="00DF1352">
            <w:pPr>
              <w:jc w:val="center"/>
              <w:rPr>
                <w:rFonts w:hAnsi="標楷體"/>
                <w:sz w:val="28"/>
                <w:szCs w:val="28"/>
              </w:rPr>
            </w:pPr>
            <w:r w:rsidRPr="00CF6CB5">
              <w:rPr>
                <w:rFonts w:hAnsi="標楷體" w:hint="eastAsia"/>
                <w:sz w:val="28"/>
                <w:szCs w:val="28"/>
              </w:rPr>
              <w:t>101</w:t>
            </w:r>
          </w:p>
        </w:tc>
        <w:tc>
          <w:tcPr>
            <w:tcW w:w="2505"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140,171</w:t>
            </w:r>
          </w:p>
        </w:tc>
        <w:tc>
          <w:tcPr>
            <w:tcW w:w="2505"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12,773</w:t>
            </w:r>
          </w:p>
        </w:tc>
        <w:tc>
          <w:tcPr>
            <w:tcW w:w="2506"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7,978</w:t>
            </w:r>
          </w:p>
        </w:tc>
      </w:tr>
      <w:tr w:rsidR="00CF6CB5" w:rsidRPr="00CF6CB5" w:rsidTr="00DF1352">
        <w:trPr>
          <w:trHeight w:val="340"/>
        </w:trPr>
        <w:tc>
          <w:tcPr>
            <w:tcW w:w="1417" w:type="dxa"/>
            <w:vAlign w:val="center"/>
          </w:tcPr>
          <w:p w:rsidR="0013025B" w:rsidRPr="00CF6CB5" w:rsidRDefault="0013025B" w:rsidP="00DF1352">
            <w:pPr>
              <w:jc w:val="center"/>
              <w:rPr>
                <w:rFonts w:hAnsi="標楷體"/>
                <w:sz w:val="28"/>
                <w:szCs w:val="28"/>
              </w:rPr>
            </w:pPr>
            <w:r w:rsidRPr="00CF6CB5">
              <w:rPr>
                <w:rFonts w:hAnsi="標楷體" w:hint="eastAsia"/>
                <w:sz w:val="28"/>
                <w:szCs w:val="28"/>
              </w:rPr>
              <w:t>100</w:t>
            </w:r>
          </w:p>
        </w:tc>
        <w:tc>
          <w:tcPr>
            <w:tcW w:w="2505"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113,589</w:t>
            </w:r>
          </w:p>
        </w:tc>
        <w:tc>
          <w:tcPr>
            <w:tcW w:w="2505"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12,229</w:t>
            </w:r>
          </w:p>
        </w:tc>
        <w:tc>
          <w:tcPr>
            <w:tcW w:w="2506"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7,688</w:t>
            </w:r>
          </w:p>
        </w:tc>
      </w:tr>
      <w:tr w:rsidR="00CF6CB5" w:rsidRPr="00CF6CB5" w:rsidTr="00DF1352">
        <w:trPr>
          <w:trHeight w:val="340"/>
        </w:trPr>
        <w:tc>
          <w:tcPr>
            <w:tcW w:w="1417" w:type="dxa"/>
            <w:vAlign w:val="center"/>
          </w:tcPr>
          <w:p w:rsidR="0013025B" w:rsidRPr="00CF6CB5" w:rsidRDefault="0013025B" w:rsidP="00DF1352">
            <w:pPr>
              <w:jc w:val="center"/>
              <w:rPr>
                <w:rFonts w:hAnsi="標楷體"/>
                <w:sz w:val="28"/>
                <w:szCs w:val="28"/>
              </w:rPr>
            </w:pPr>
            <w:r w:rsidRPr="00CF6CB5">
              <w:rPr>
                <w:rFonts w:hAnsi="標楷體" w:hint="eastAsia"/>
                <w:sz w:val="28"/>
                <w:szCs w:val="28"/>
              </w:rPr>
              <w:t>99</w:t>
            </w:r>
          </w:p>
        </w:tc>
        <w:tc>
          <w:tcPr>
            <w:tcW w:w="2505"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111,820</w:t>
            </w:r>
          </w:p>
        </w:tc>
        <w:tc>
          <w:tcPr>
            <w:tcW w:w="2505"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12,091</w:t>
            </w:r>
          </w:p>
        </w:tc>
        <w:tc>
          <w:tcPr>
            <w:tcW w:w="2506"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8,010</w:t>
            </w:r>
          </w:p>
        </w:tc>
      </w:tr>
      <w:tr w:rsidR="00CF6CB5" w:rsidRPr="00CF6CB5" w:rsidTr="00DF1352">
        <w:trPr>
          <w:trHeight w:val="340"/>
        </w:trPr>
        <w:tc>
          <w:tcPr>
            <w:tcW w:w="1417" w:type="dxa"/>
            <w:vAlign w:val="center"/>
          </w:tcPr>
          <w:p w:rsidR="0013025B" w:rsidRPr="00CF6CB5" w:rsidRDefault="0013025B" w:rsidP="00DF1352">
            <w:pPr>
              <w:jc w:val="center"/>
              <w:rPr>
                <w:rFonts w:hAnsi="標楷體"/>
                <w:sz w:val="28"/>
                <w:szCs w:val="28"/>
              </w:rPr>
            </w:pPr>
            <w:r w:rsidRPr="00CF6CB5">
              <w:rPr>
                <w:rFonts w:hAnsi="標楷體" w:hint="eastAsia"/>
                <w:sz w:val="28"/>
                <w:szCs w:val="28"/>
              </w:rPr>
              <w:t>98</w:t>
            </w:r>
          </w:p>
        </w:tc>
        <w:tc>
          <w:tcPr>
            <w:tcW w:w="2505"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154,590</w:t>
            </w:r>
          </w:p>
        </w:tc>
        <w:tc>
          <w:tcPr>
            <w:tcW w:w="2505"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13,498</w:t>
            </w:r>
          </w:p>
        </w:tc>
        <w:tc>
          <w:tcPr>
            <w:tcW w:w="2506"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8,298</w:t>
            </w:r>
          </w:p>
        </w:tc>
      </w:tr>
      <w:tr w:rsidR="00CF6CB5" w:rsidRPr="00CF6CB5" w:rsidTr="00DF1352">
        <w:trPr>
          <w:trHeight w:val="340"/>
        </w:trPr>
        <w:tc>
          <w:tcPr>
            <w:tcW w:w="1417" w:type="dxa"/>
            <w:vAlign w:val="center"/>
          </w:tcPr>
          <w:p w:rsidR="0013025B" w:rsidRPr="00CF6CB5" w:rsidRDefault="0013025B" w:rsidP="00DF1352">
            <w:pPr>
              <w:jc w:val="center"/>
              <w:rPr>
                <w:rFonts w:hAnsi="標楷體"/>
                <w:sz w:val="28"/>
                <w:szCs w:val="28"/>
              </w:rPr>
            </w:pPr>
            <w:r w:rsidRPr="00CF6CB5">
              <w:rPr>
                <w:rFonts w:hAnsi="標楷體" w:hint="eastAsia"/>
                <w:sz w:val="28"/>
                <w:szCs w:val="28"/>
              </w:rPr>
              <w:t>97</w:t>
            </w:r>
          </w:p>
        </w:tc>
        <w:tc>
          <w:tcPr>
            <w:tcW w:w="2505"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179,167</w:t>
            </w:r>
          </w:p>
        </w:tc>
        <w:tc>
          <w:tcPr>
            <w:tcW w:w="2505"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13,421</w:t>
            </w:r>
          </w:p>
        </w:tc>
        <w:tc>
          <w:tcPr>
            <w:tcW w:w="2506"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8,494</w:t>
            </w:r>
          </w:p>
        </w:tc>
      </w:tr>
      <w:tr w:rsidR="00CF6CB5" w:rsidRPr="00CF6CB5" w:rsidTr="00DF1352">
        <w:trPr>
          <w:trHeight w:val="340"/>
        </w:trPr>
        <w:tc>
          <w:tcPr>
            <w:tcW w:w="1417" w:type="dxa"/>
            <w:vAlign w:val="center"/>
          </w:tcPr>
          <w:p w:rsidR="0013025B" w:rsidRPr="00CF6CB5" w:rsidRDefault="0013025B" w:rsidP="00DF1352">
            <w:pPr>
              <w:jc w:val="center"/>
              <w:rPr>
                <w:rFonts w:hAnsi="標楷體"/>
                <w:sz w:val="28"/>
                <w:szCs w:val="28"/>
              </w:rPr>
            </w:pPr>
            <w:r w:rsidRPr="00CF6CB5">
              <w:rPr>
                <w:rFonts w:hAnsi="標楷體" w:hint="eastAsia"/>
                <w:sz w:val="28"/>
                <w:szCs w:val="28"/>
              </w:rPr>
              <w:t>96</w:t>
            </w:r>
          </w:p>
        </w:tc>
        <w:tc>
          <w:tcPr>
            <w:tcW w:w="2505"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244,598</w:t>
            </w:r>
          </w:p>
        </w:tc>
        <w:tc>
          <w:tcPr>
            <w:tcW w:w="2505"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25,963</w:t>
            </w:r>
          </w:p>
        </w:tc>
        <w:tc>
          <w:tcPr>
            <w:tcW w:w="2506"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14,248</w:t>
            </w:r>
          </w:p>
        </w:tc>
      </w:tr>
      <w:tr w:rsidR="00CF6CB5" w:rsidRPr="00CF6CB5" w:rsidTr="00DF1352">
        <w:trPr>
          <w:trHeight w:val="340"/>
        </w:trPr>
        <w:tc>
          <w:tcPr>
            <w:tcW w:w="1417" w:type="dxa"/>
            <w:vAlign w:val="center"/>
          </w:tcPr>
          <w:p w:rsidR="0013025B" w:rsidRPr="00CF6CB5" w:rsidRDefault="0013025B" w:rsidP="00DF1352">
            <w:pPr>
              <w:jc w:val="center"/>
              <w:rPr>
                <w:rFonts w:hAnsi="標楷體"/>
                <w:sz w:val="28"/>
                <w:szCs w:val="28"/>
              </w:rPr>
            </w:pPr>
            <w:r w:rsidRPr="00CF6CB5">
              <w:rPr>
                <w:rFonts w:hAnsi="標楷體" w:hint="eastAsia"/>
                <w:sz w:val="28"/>
                <w:szCs w:val="28"/>
              </w:rPr>
              <w:t>95</w:t>
            </w:r>
          </w:p>
        </w:tc>
        <w:tc>
          <w:tcPr>
            <w:tcW w:w="2505"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268,545</w:t>
            </w:r>
          </w:p>
        </w:tc>
        <w:tc>
          <w:tcPr>
            <w:tcW w:w="2505"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33,813</w:t>
            </w:r>
          </w:p>
        </w:tc>
        <w:tc>
          <w:tcPr>
            <w:tcW w:w="2506"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18,319</w:t>
            </w:r>
          </w:p>
        </w:tc>
      </w:tr>
      <w:tr w:rsidR="00CF6CB5" w:rsidRPr="00CF6CB5" w:rsidTr="00DF1352">
        <w:trPr>
          <w:trHeight w:val="340"/>
        </w:trPr>
        <w:tc>
          <w:tcPr>
            <w:tcW w:w="1417" w:type="dxa"/>
            <w:vAlign w:val="center"/>
          </w:tcPr>
          <w:p w:rsidR="0013025B" w:rsidRPr="00CF6CB5" w:rsidRDefault="0013025B" w:rsidP="00DF1352">
            <w:pPr>
              <w:jc w:val="center"/>
              <w:rPr>
                <w:rFonts w:hAnsi="標楷體"/>
                <w:sz w:val="28"/>
                <w:szCs w:val="28"/>
              </w:rPr>
            </w:pPr>
            <w:r w:rsidRPr="00CF6CB5">
              <w:rPr>
                <w:rFonts w:hAnsi="標楷體" w:hint="eastAsia"/>
                <w:sz w:val="28"/>
                <w:szCs w:val="28"/>
              </w:rPr>
              <w:t>94</w:t>
            </w:r>
          </w:p>
        </w:tc>
        <w:tc>
          <w:tcPr>
            <w:tcW w:w="2505"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76,404</w:t>
            </w:r>
          </w:p>
        </w:tc>
        <w:tc>
          <w:tcPr>
            <w:tcW w:w="2505"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7,795</w:t>
            </w:r>
          </w:p>
        </w:tc>
        <w:tc>
          <w:tcPr>
            <w:tcW w:w="2506" w:type="dxa"/>
            <w:vAlign w:val="center"/>
          </w:tcPr>
          <w:p w:rsidR="0013025B" w:rsidRPr="00CF6CB5" w:rsidRDefault="0013025B" w:rsidP="0013025B">
            <w:pPr>
              <w:ind w:rightChars="200" w:right="680"/>
              <w:jc w:val="right"/>
              <w:rPr>
                <w:rFonts w:hAnsi="標楷體"/>
                <w:sz w:val="28"/>
                <w:szCs w:val="28"/>
              </w:rPr>
            </w:pPr>
            <w:r w:rsidRPr="00CF6CB5">
              <w:rPr>
                <w:rFonts w:hAnsi="標楷體" w:hint="eastAsia"/>
                <w:sz w:val="28"/>
                <w:szCs w:val="28"/>
              </w:rPr>
              <w:t>5,643</w:t>
            </w:r>
          </w:p>
        </w:tc>
      </w:tr>
    </w:tbl>
    <w:p w:rsidR="0013025B" w:rsidRPr="00CF6CB5" w:rsidRDefault="0013025B" w:rsidP="0013025B">
      <w:pPr>
        <w:pStyle w:val="af7"/>
        <w:spacing w:after="0" w:line="320" w:lineRule="exact"/>
      </w:pPr>
      <w:proofErr w:type="gramStart"/>
      <w:r w:rsidRPr="00CF6CB5">
        <w:rPr>
          <w:rFonts w:hint="eastAsia"/>
        </w:rPr>
        <w:t>註</w:t>
      </w:r>
      <w:proofErr w:type="gramEnd"/>
      <w:r w:rsidRPr="00CF6CB5">
        <w:rPr>
          <w:rFonts w:hint="eastAsia"/>
        </w:rPr>
        <w:t>：90年度至93年度稅務獎勵金核發統計資料因原始憑證屆滿保存年限，經審計部同意銷毀，無法提供。</w:t>
      </w:r>
    </w:p>
    <w:p w:rsidR="0013025B" w:rsidRPr="00CF6CB5" w:rsidRDefault="0013025B" w:rsidP="0013025B">
      <w:pPr>
        <w:pStyle w:val="af7"/>
      </w:pPr>
      <w:r w:rsidRPr="00CF6CB5">
        <w:rPr>
          <w:rFonts w:hint="eastAsia"/>
        </w:rPr>
        <w:t>資料來源：財政部。</w:t>
      </w:r>
    </w:p>
    <w:p w:rsidR="00801B60" w:rsidRPr="00CF6CB5" w:rsidRDefault="003E0FC3" w:rsidP="003E0FC3">
      <w:pPr>
        <w:pStyle w:val="42"/>
        <w:ind w:left="1701" w:firstLine="680"/>
      </w:pPr>
      <w:r w:rsidRPr="00CF6CB5">
        <w:rPr>
          <w:rFonts w:hint="eastAsia"/>
        </w:rPr>
        <w:t>由上表可知，95年後</w:t>
      </w:r>
      <w:r w:rsidR="00B2649E" w:rsidRPr="00CF6CB5">
        <w:rPr>
          <w:rFonts w:hint="eastAsia"/>
        </w:rPr>
        <w:t>稅務</w:t>
      </w:r>
      <w:r w:rsidRPr="00CF6CB5">
        <w:rPr>
          <w:rFonts w:hint="eastAsia"/>
        </w:rPr>
        <w:t>人員領取之「稅務獎勵金」雖有大幅增加之情事，但近年來支領數額已大幅降低</w:t>
      </w:r>
      <w:r w:rsidR="00D608E2" w:rsidRPr="00CF6CB5">
        <w:rPr>
          <w:rFonts w:hint="eastAsia"/>
        </w:rPr>
        <w:t>，如認為其與查稅獎金類似，恐有失公允</w:t>
      </w:r>
      <w:r w:rsidRPr="00CF6CB5">
        <w:rPr>
          <w:rFonts w:hint="eastAsia"/>
        </w:rPr>
        <w:t>。</w:t>
      </w:r>
      <w:proofErr w:type="gramStart"/>
      <w:r w:rsidR="00B2649E" w:rsidRPr="00CF6CB5">
        <w:rPr>
          <w:rFonts w:hint="eastAsia"/>
        </w:rPr>
        <w:t>惟外界迭有誤解</w:t>
      </w:r>
      <w:proofErr w:type="gramEnd"/>
      <w:r w:rsidR="00B2649E" w:rsidRPr="00CF6CB5">
        <w:rPr>
          <w:rFonts w:hint="eastAsia"/>
        </w:rPr>
        <w:t>，如去年曾有立法委員質疑，</w:t>
      </w:r>
      <w:r w:rsidR="004D11CE" w:rsidRPr="00CF6CB5">
        <w:rPr>
          <w:rFonts w:hint="eastAsia"/>
        </w:rPr>
        <w:t>辦理路跑、</w:t>
      </w:r>
      <w:r w:rsidR="00B2649E" w:rsidRPr="00CF6CB5">
        <w:rPr>
          <w:rFonts w:hint="eastAsia"/>
        </w:rPr>
        <w:t>發新聞稿等與查稅無關的行為都可領取</w:t>
      </w:r>
      <w:r w:rsidR="00D608E2" w:rsidRPr="00CF6CB5">
        <w:rPr>
          <w:rFonts w:hint="eastAsia"/>
        </w:rPr>
        <w:t>稅務獎勵金</w:t>
      </w:r>
      <w:r w:rsidR="00B2649E" w:rsidRPr="00CF6CB5">
        <w:rPr>
          <w:rFonts w:hint="eastAsia"/>
        </w:rPr>
        <w:t>，</w:t>
      </w:r>
      <w:r w:rsidR="004D11CE" w:rsidRPr="00CF6CB5">
        <w:rPr>
          <w:rFonts w:hint="eastAsia"/>
        </w:rPr>
        <w:t>部分</w:t>
      </w:r>
      <w:r w:rsidR="00D608E2" w:rsidRPr="00CF6CB5">
        <w:rPr>
          <w:rFonts w:hint="eastAsia"/>
        </w:rPr>
        <w:t>發放事蹟與稅務工作</w:t>
      </w:r>
      <w:r w:rsidR="00B2649E" w:rsidRPr="00CF6CB5">
        <w:rPr>
          <w:rFonts w:hint="eastAsia"/>
        </w:rPr>
        <w:t>並</w:t>
      </w:r>
      <w:r w:rsidR="00D608E2" w:rsidRPr="00CF6CB5">
        <w:rPr>
          <w:rFonts w:hint="eastAsia"/>
        </w:rPr>
        <w:t>無直接關聯等</w:t>
      </w:r>
      <w:r w:rsidR="00B2649E" w:rsidRPr="00CF6CB5">
        <w:rPr>
          <w:rFonts w:hint="eastAsia"/>
        </w:rPr>
        <w:t>情</w:t>
      </w:r>
      <w:r w:rsidR="00B2649E" w:rsidRPr="00CF6CB5">
        <w:rPr>
          <w:rStyle w:val="aff1"/>
        </w:rPr>
        <w:footnoteReference w:id="25"/>
      </w:r>
      <w:r w:rsidR="00D608E2" w:rsidRPr="00CF6CB5">
        <w:rPr>
          <w:rFonts w:hint="eastAsia"/>
        </w:rPr>
        <w:t>，</w:t>
      </w:r>
      <w:r w:rsidR="00801B60" w:rsidRPr="00CF6CB5">
        <w:rPr>
          <w:rFonts w:hint="eastAsia"/>
        </w:rPr>
        <w:t>財政部除對於稅務獎勵金之核發事蹟應謹慎審查外，對於外界之質疑意見，亦應適時說明澄清。</w:t>
      </w:r>
    </w:p>
    <w:p w:rsidR="00C01ACC" w:rsidRPr="00CF6CB5" w:rsidRDefault="00B97593" w:rsidP="00B97593">
      <w:pPr>
        <w:pStyle w:val="3"/>
        <w:rPr>
          <w:b/>
        </w:rPr>
      </w:pPr>
      <w:bookmarkStart w:id="127" w:name="_Toc510456629"/>
      <w:bookmarkStart w:id="128" w:name="_Toc510534701"/>
      <w:bookmarkStart w:id="129" w:name="_Toc511053621"/>
      <w:bookmarkStart w:id="130" w:name="_Toc511126967"/>
      <w:r w:rsidRPr="00CF6CB5">
        <w:rPr>
          <w:rFonts w:hint="eastAsia"/>
          <w:b/>
        </w:rPr>
        <w:t>小結</w:t>
      </w:r>
      <w:bookmarkEnd w:id="127"/>
      <w:bookmarkEnd w:id="128"/>
      <w:bookmarkEnd w:id="129"/>
      <w:bookmarkEnd w:id="130"/>
    </w:p>
    <w:p w:rsidR="00801B60" w:rsidRPr="00CF6CB5" w:rsidRDefault="00801B60" w:rsidP="007565DF">
      <w:pPr>
        <w:pStyle w:val="32"/>
        <w:ind w:left="1361" w:firstLine="680"/>
      </w:pPr>
      <w:r w:rsidRPr="00CF6CB5">
        <w:rPr>
          <w:rFonts w:hint="eastAsia"/>
        </w:rPr>
        <w:t>財政部</w:t>
      </w:r>
      <w:r w:rsidR="00D04FD9" w:rsidRPr="00CF6CB5">
        <w:rPr>
          <w:rFonts w:hint="eastAsia"/>
        </w:rPr>
        <w:t>核發稅務獎勵金，乃緣於稅務人員之薪資待遇，長期以來與工作之質與量不相當，各稅捐</w:t>
      </w:r>
      <w:proofErr w:type="gramStart"/>
      <w:r w:rsidR="00D04FD9" w:rsidRPr="00CF6CB5">
        <w:rPr>
          <w:rFonts w:hint="eastAsia"/>
        </w:rPr>
        <w:t>稽</w:t>
      </w:r>
      <w:proofErr w:type="gramEnd"/>
      <w:r w:rsidR="00D04FD9" w:rsidRPr="00CF6CB5">
        <w:rPr>
          <w:rFonts w:hint="eastAsia"/>
        </w:rPr>
        <w:t>徵機關無法提供實質有效之誘因，吸引或留住優秀人才投入稅務工作。財政部雖於75年及77年向行政院爭取調整稅務人員待遇，因經費及對整體軍公教人員待遇之通盤考量而擱置。始於78年間由行政院核定獎勵金作業要點，79年度起由該部賦稅署編</w:t>
      </w:r>
      <w:r w:rsidR="00D04FD9" w:rsidRPr="00CF6CB5">
        <w:rPr>
          <w:rFonts w:hint="eastAsia"/>
        </w:rPr>
        <w:lastRenderedPageBreak/>
        <w:t>列預算執行。實施以來，</w:t>
      </w:r>
      <w:r w:rsidR="00D608E2" w:rsidRPr="00CF6CB5">
        <w:rPr>
          <w:rFonts w:hint="eastAsia"/>
        </w:rPr>
        <w:t>容</w:t>
      </w:r>
      <w:r w:rsidR="00D04FD9" w:rsidRPr="00CF6CB5">
        <w:rPr>
          <w:rFonts w:hint="eastAsia"/>
        </w:rPr>
        <w:t>具有正當效益，但審計部多次指出稅務獎勵金之發放對象及標準有欠合理，各界亦質疑該獎金未能照顧第一線</w:t>
      </w:r>
      <w:r w:rsidR="004D11CE" w:rsidRPr="00CF6CB5">
        <w:rPr>
          <w:rFonts w:hint="eastAsia"/>
        </w:rPr>
        <w:t>基層</w:t>
      </w:r>
      <w:r w:rsidR="00D04FD9" w:rsidRPr="00CF6CB5">
        <w:rPr>
          <w:rFonts w:hint="eastAsia"/>
        </w:rPr>
        <w:t>稅務同仁。</w:t>
      </w:r>
      <w:r w:rsidR="007565DF" w:rsidRPr="00CF6CB5">
        <w:rPr>
          <w:rFonts w:hint="eastAsia"/>
        </w:rPr>
        <w:t>立法院決議及財政部亦要求將該項補償性給與回歸俸給法制辦理，行政院仍因循舊制，仍以「獎金」形式行之，不但法源依據不足，實施以來主管人員領取之金額偏高，財稅機關正副首長領取高額之</w:t>
      </w:r>
      <w:r w:rsidR="000007B4" w:rsidRPr="00CF6CB5">
        <w:rPr>
          <w:rFonts w:hint="eastAsia"/>
        </w:rPr>
        <w:t>個人獎金，屢生分配不公及獎由上起等爭議，實難杜</w:t>
      </w:r>
      <w:proofErr w:type="gramStart"/>
      <w:r w:rsidR="000007B4" w:rsidRPr="00CF6CB5">
        <w:rPr>
          <w:rFonts w:hint="eastAsia"/>
        </w:rPr>
        <w:t>悠悠</w:t>
      </w:r>
      <w:r w:rsidR="007565DF" w:rsidRPr="00CF6CB5">
        <w:rPr>
          <w:rFonts w:hint="eastAsia"/>
        </w:rPr>
        <w:t>之</w:t>
      </w:r>
      <w:proofErr w:type="gramEnd"/>
      <w:r w:rsidR="007565DF" w:rsidRPr="00CF6CB5">
        <w:rPr>
          <w:rFonts w:hint="eastAsia"/>
        </w:rPr>
        <w:t>口；而「財務罰鍰處理暫行條例」於93年廢除查稅獎金後，其後連續數年</w:t>
      </w:r>
      <w:r w:rsidR="004D11CE" w:rsidRPr="00CF6CB5">
        <w:rPr>
          <w:rFonts w:hint="eastAsia"/>
        </w:rPr>
        <w:t>稅務</w:t>
      </w:r>
      <w:r w:rsidR="007565DF" w:rsidRPr="00CF6CB5">
        <w:rPr>
          <w:rFonts w:hint="eastAsia"/>
        </w:rPr>
        <w:t>人員領取之「稅務獎勵金」金額暴增，</w:t>
      </w:r>
      <w:r w:rsidR="004D11CE" w:rsidRPr="00CF6CB5">
        <w:rPr>
          <w:rFonts w:hint="eastAsia"/>
        </w:rPr>
        <w:t>導致</w:t>
      </w:r>
      <w:r w:rsidR="007565DF" w:rsidRPr="00CF6CB5">
        <w:rPr>
          <w:rFonts w:hint="eastAsia"/>
        </w:rPr>
        <w:t>民眾抨擊稅務人員為</w:t>
      </w:r>
      <w:proofErr w:type="gramStart"/>
      <w:r w:rsidR="007565DF" w:rsidRPr="00CF6CB5">
        <w:rPr>
          <w:rFonts w:hint="eastAsia"/>
        </w:rPr>
        <w:t>獎金而濫開</w:t>
      </w:r>
      <w:proofErr w:type="gramEnd"/>
      <w:r w:rsidR="007565DF" w:rsidRPr="00CF6CB5">
        <w:rPr>
          <w:rFonts w:hint="eastAsia"/>
        </w:rPr>
        <w:t>稅單，並非空穴來風。</w:t>
      </w:r>
      <w:proofErr w:type="gramStart"/>
      <w:r w:rsidR="007565DF" w:rsidRPr="00CF6CB5">
        <w:rPr>
          <w:rFonts w:hint="eastAsia"/>
        </w:rPr>
        <w:t>鑑</w:t>
      </w:r>
      <w:proofErr w:type="gramEnd"/>
      <w:r w:rsidR="007565DF" w:rsidRPr="00CF6CB5">
        <w:rPr>
          <w:rFonts w:hint="eastAsia"/>
        </w:rPr>
        <w:t>於該項給與造成外界不必要的誤解，並傷害稅務人員尊嚴及政府形象，行政院及財政部允宜澈底檢討改善。</w:t>
      </w:r>
    </w:p>
    <w:p w:rsidR="00294D6C" w:rsidRPr="00CF6CB5" w:rsidRDefault="00294D6C" w:rsidP="00294D6C">
      <w:pPr>
        <w:pStyle w:val="2"/>
        <w:kinsoku w:val="0"/>
        <w:overflowPunct/>
        <w:autoSpaceDE/>
        <w:autoSpaceDN/>
        <w:ind w:left="1045" w:hanging="697"/>
        <w:rPr>
          <w:b/>
        </w:rPr>
      </w:pPr>
      <w:bookmarkStart w:id="131" w:name="_Toc511126968"/>
      <w:r w:rsidRPr="00CF6CB5">
        <w:rPr>
          <w:rFonts w:hint="eastAsia"/>
          <w:b/>
        </w:rPr>
        <w:t>公務人員加給屬俸給法所定之給與項目，俸給法雖明定加給之給與類別、適用對象、支給數額等事項，應由考試院會同行政院訂定「公務人員加給給與辦法」辦理，惟</w:t>
      </w:r>
      <w:r w:rsidR="007F355D" w:rsidRPr="00CF6CB5">
        <w:rPr>
          <w:rFonts w:hint="eastAsia"/>
          <w:b/>
        </w:rPr>
        <w:t>該</w:t>
      </w:r>
      <w:r w:rsidRPr="00CF6CB5">
        <w:rPr>
          <w:rFonts w:hint="eastAsia"/>
          <w:b/>
        </w:rPr>
        <w:t>加給給與辦法遷就實務作業現況，規定上開事項依原</w:t>
      </w:r>
      <w:r w:rsidR="00A41709" w:rsidRPr="00CF6CB5">
        <w:rPr>
          <w:rFonts w:hint="eastAsia"/>
          <w:b/>
        </w:rPr>
        <w:t>行政院</w:t>
      </w:r>
      <w:r w:rsidRPr="00CF6CB5">
        <w:rPr>
          <w:rFonts w:hint="eastAsia"/>
          <w:b/>
        </w:rPr>
        <w:t>人事行政局訂定之各種加給</w:t>
      </w:r>
      <w:proofErr w:type="gramStart"/>
      <w:r w:rsidRPr="00CF6CB5">
        <w:rPr>
          <w:rFonts w:hint="eastAsia"/>
          <w:b/>
        </w:rPr>
        <w:t>支給表辦理</w:t>
      </w:r>
      <w:proofErr w:type="gramEnd"/>
      <w:r w:rsidR="007565DF" w:rsidRPr="00CF6CB5">
        <w:rPr>
          <w:rFonts w:hint="eastAsia"/>
          <w:b/>
        </w:rPr>
        <w:t>（實則回歸</w:t>
      </w:r>
      <w:r w:rsidR="005A5C4E" w:rsidRPr="00CF6CB5">
        <w:rPr>
          <w:rFonts w:hint="eastAsia"/>
          <w:b/>
        </w:rPr>
        <w:t>「</w:t>
      </w:r>
      <w:r w:rsidR="007F355D" w:rsidRPr="00CF6CB5">
        <w:rPr>
          <w:rFonts w:hint="eastAsia"/>
          <w:b/>
        </w:rPr>
        <w:t>待遇支給要點</w:t>
      </w:r>
      <w:r w:rsidR="005A5C4E" w:rsidRPr="00CF6CB5">
        <w:rPr>
          <w:rFonts w:hint="eastAsia"/>
          <w:b/>
        </w:rPr>
        <w:t>」</w:t>
      </w:r>
      <w:r w:rsidR="007565DF" w:rsidRPr="00CF6CB5">
        <w:rPr>
          <w:rFonts w:hint="eastAsia"/>
          <w:b/>
        </w:rPr>
        <w:t>）</w:t>
      </w:r>
      <w:r w:rsidRPr="00CF6CB5">
        <w:rPr>
          <w:rFonts w:hint="eastAsia"/>
          <w:b/>
        </w:rPr>
        <w:t>。加以現行公務人員專業加給表</w:t>
      </w:r>
      <w:r w:rsidR="00A92EA7" w:rsidRPr="00CF6CB5">
        <w:rPr>
          <w:rFonts w:hint="eastAsia"/>
          <w:b/>
        </w:rPr>
        <w:t>之</w:t>
      </w:r>
      <w:r w:rsidRPr="00CF6CB5">
        <w:rPr>
          <w:rFonts w:hint="eastAsia"/>
          <w:b/>
        </w:rPr>
        <w:t>種類過多，支給數額之實質標準衡酌不易，調整作業欠缺透明，復未</w:t>
      </w:r>
      <w:proofErr w:type="gramStart"/>
      <w:r w:rsidRPr="00CF6CB5">
        <w:rPr>
          <w:rFonts w:hint="eastAsia"/>
          <w:b/>
        </w:rPr>
        <w:t>踐行</w:t>
      </w:r>
      <w:proofErr w:type="gramEnd"/>
      <w:r w:rsidRPr="00CF6CB5">
        <w:rPr>
          <w:rFonts w:hint="eastAsia"/>
          <w:b/>
        </w:rPr>
        <w:t>法規命令之修正程序，</w:t>
      </w:r>
      <w:r w:rsidR="00705E33" w:rsidRPr="00CF6CB5">
        <w:rPr>
          <w:rFonts w:hint="eastAsia"/>
          <w:b/>
        </w:rPr>
        <w:t>易</w:t>
      </w:r>
      <w:r w:rsidRPr="00CF6CB5">
        <w:rPr>
          <w:rFonts w:hint="eastAsia"/>
          <w:b/>
        </w:rPr>
        <w:t>形成不公平現象，行政院允應注意改善。</w:t>
      </w:r>
      <w:bookmarkEnd w:id="131"/>
    </w:p>
    <w:p w:rsidR="00294D6C" w:rsidRPr="00CF6CB5" w:rsidRDefault="00294D6C" w:rsidP="00294D6C">
      <w:pPr>
        <w:pStyle w:val="21"/>
        <w:ind w:left="1020" w:firstLine="680"/>
      </w:pPr>
      <w:r w:rsidRPr="00CF6CB5">
        <w:rPr>
          <w:rFonts w:hint="eastAsia"/>
        </w:rPr>
        <w:t>加給屬俸給法所定之給與項目，依俸給法第2條、第3條規定，指本</w:t>
      </w:r>
      <w:proofErr w:type="gramStart"/>
      <w:r w:rsidRPr="00CF6CB5">
        <w:rPr>
          <w:rFonts w:hint="eastAsia"/>
        </w:rPr>
        <w:t>俸</w:t>
      </w:r>
      <w:proofErr w:type="gramEnd"/>
      <w:r w:rsidRPr="00CF6CB5">
        <w:rPr>
          <w:rFonts w:hint="eastAsia"/>
        </w:rPr>
        <w:t>（年功</w:t>
      </w:r>
      <w:proofErr w:type="gramStart"/>
      <w:r w:rsidRPr="00CF6CB5">
        <w:rPr>
          <w:rFonts w:hint="eastAsia"/>
        </w:rPr>
        <w:t>俸</w:t>
      </w:r>
      <w:proofErr w:type="gramEnd"/>
      <w:r w:rsidRPr="00CF6CB5">
        <w:rPr>
          <w:rFonts w:hint="eastAsia"/>
        </w:rPr>
        <w:t>）</w:t>
      </w:r>
      <w:proofErr w:type="gramStart"/>
      <w:r w:rsidRPr="00CF6CB5">
        <w:rPr>
          <w:rFonts w:hint="eastAsia"/>
        </w:rPr>
        <w:t>以外，</w:t>
      </w:r>
      <w:proofErr w:type="gramEnd"/>
      <w:r w:rsidRPr="00CF6CB5">
        <w:rPr>
          <w:rFonts w:hint="eastAsia"/>
        </w:rPr>
        <w:t>按職務、職等及所任職務種類、性質與服務地區之不同另加之給與，屬在職公務人員之法定所得。同法第5條、第18條將加給分為「職務加給」、「技術或專業加給」、「地域加給」</w:t>
      </w:r>
      <w:r w:rsidRPr="00CF6CB5">
        <w:rPr>
          <w:rStyle w:val="aff1"/>
        </w:rPr>
        <w:lastRenderedPageBreak/>
        <w:footnoteReference w:id="26"/>
      </w:r>
      <w:r w:rsidRPr="00CF6CB5">
        <w:rPr>
          <w:rFonts w:hint="eastAsia"/>
        </w:rPr>
        <w:t>。又俸給法雖就官職等、</w:t>
      </w:r>
      <w:proofErr w:type="gramStart"/>
      <w:r w:rsidRPr="00CF6CB5">
        <w:rPr>
          <w:rFonts w:hint="eastAsia"/>
        </w:rPr>
        <w:t>俸</w:t>
      </w:r>
      <w:proofErr w:type="gramEnd"/>
      <w:r w:rsidRPr="00CF6CB5">
        <w:rPr>
          <w:rFonts w:hint="eastAsia"/>
        </w:rPr>
        <w:t>級、</w:t>
      </w:r>
      <w:proofErr w:type="gramStart"/>
      <w:r w:rsidRPr="00CF6CB5">
        <w:rPr>
          <w:rFonts w:hint="eastAsia"/>
        </w:rPr>
        <w:t>俸</w:t>
      </w:r>
      <w:proofErr w:type="gramEnd"/>
      <w:r w:rsidRPr="00CF6CB5">
        <w:rPr>
          <w:rFonts w:hint="eastAsia"/>
        </w:rPr>
        <w:t>點建立規範，惟實際俸給之金額，係由「</w:t>
      </w:r>
      <w:r w:rsidR="00BF0D41" w:rsidRPr="00CF6CB5">
        <w:rPr>
          <w:rFonts w:hint="eastAsia"/>
        </w:rPr>
        <w:t>加給給與辦法</w:t>
      </w:r>
      <w:r w:rsidRPr="00CF6CB5">
        <w:rPr>
          <w:rFonts w:hint="eastAsia"/>
        </w:rPr>
        <w:t>」定訂</w:t>
      </w:r>
      <w:proofErr w:type="gramStart"/>
      <w:r w:rsidRPr="00CF6CB5">
        <w:rPr>
          <w:rFonts w:hint="eastAsia"/>
        </w:rPr>
        <w:t>俸</w:t>
      </w:r>
      <w:proofErr w:type="gramEnd"/>
      <w:r w:rsidRPr="00CF6CB5">
        <w:rPr>
          <w:rFonts w:hint="eastAsia"/>
        </w:rPr>
        <w:t>點折算</w:t>
      </w:r>
      <w:proofErr w:type="gramStart"/>
      <w:r w:rsidRPr="00CF6CB5">
        <w:rPr>
          <w:rFonts w:hint="eastAsia"/>
        </w:rPr>
        <w:t>俸</w:t>
      </w:r>
      <w:proofErr w:type="gramEnd"/>
      <w:r w:rsidRPr="00CF6CB5">
        <w:rPr>
          <w:rFonts w:hint="eastAsia"/>
        </w:rPr>
        <w:t>額及各種加給付標準，而影響整體俸給多寡最多之各項專業加給表，其訂定及</w:t>
      </w:r>
      <w:proofErr w:type="gramStart"/>
      <w:r w:rsidRPr="00CF6CB5">
        <w:rPr>
          <w:rFonts w:hint="eastAsia"/>
        </w:rPr>
        <w:t>調整均由行政院</w:t>
      </w:r>
      <w:proofErr w:type="gramEnd"/>
      <w:r w:rsidR="005A5C4E" w:rsidRPr="00CF6CB5">
        <w:rPr>
          <w:rFonts w:hint="eastAsia"/>
        </w:rPr>
        <w:t>依據「待遇支給要點」</w:t>
      </w:r>
      <w:r w:rsidRPr="00CF6CB5">
        <w:rPr>
          <w:rFonts w:hint="eastAsia"/>
        </w:rPr>
        <w:t>辦理，致各機關各類人員每每強調其工作重要、職責繁重等理由，要求調高其專業加給，亦間接鼓勵族群團結，要求藉由調整加給或加成計算其數額，以調高其待遇。使得不同職務之公務人員，易形成待遇不公之現象。茲分述如下：</w:t>
      </w:r>
    </w:p>
    <w:p w:rsidR="00294D6C" w:rsidRPr="00CF6CB5" w:rsidRDefault="00294D6C" w:rsidP="00294D6C">
      <w:pPr>
        <w:pStyle w:val="3"/>
        <w:kinsoku w:val="0"/>
        <w:overflowPunct/>
        <w:autoSpaceDE/>
        <w:autoSpaceDN/>
        <w:ind w:left="1393" w:hanging="697"/>
        <w:rPr>
          <w:b/>
        </w:rPr>
      </w:pPr>
      <w:bookmarkStart w:id="132" w:name="_Toc510456631"/>
      <w:bookmarkStart w:id="133" w:name="_Toc510534703"/>
      <w:bookmarkStart w:id="134" w:name="_Toc511053623"/>
      <w:bookmarkStart w:id="135" w:name="_Toc511126969"/>
      <w:r w:rsidRPr="00CF6CB5">
        <w:rPr>
          <w:rFonts w:hint="eastAsia"/>
          <w:b/>
        </w:rPr>
        <w:t>俸給法第18條第1項雖明定各種加給之給與條件、類別、適用對象、支給數額等事項，應由考試院會同行政院訂定</w:t>
      </w:r>
      <w:r w:rsidR="00825B6B" w:rsidRPr="00CF6CB5">
        <w:rPr>
          <w:rFonts w:hint="eastAsia"/>
          <w:b/>
        </w:rPr>
        <w:t>加給</w:t>
      </w:r>
      <w:r w:rsidRPr="00CF6CB5">
        <w:rPr>
          <w:rFonts w:hint="eastAsia"/>
          <w:b/>
        </w:rPr>
        <w:t>給與辦法辦理之，但</w:t>
      </w:r>
      <w:r w:rsidR="00825B6B" w:rsidRPr="00CF6CB5">
        <w:rPr>
          <w:rFonts w:hint="eastAsia"/>
          <w:b/>
        </w:rPr>
        <w:t>加給</w:t>
      </w:r>
      <w:r w:rsidRPr="00CF6CB5">
        <w:rPr>
          <w:rFonts w:hint="eastAsia"/>
          <w:b/>
        </w:rPr>
        <w:t>給與辦法規定依原人事行政局所訂之各種加給表辦理，相關作法容或基於歷史因素及遷就實務運作現狀等考量，但與我國憲法增修條文第6條、俸給法之立法意旨尚</w:t>
      </w:r>
      <w:proofErr w:type="gramStart"/>
      <w:r w:rsidRPr="00CF6CB5">
        <w:rPr>
          <w:rFonts w:hint="eastAsia"/>
          <w:b/>
        </w:rPr>
        <w:t>有未洽</w:t>
      </w:r>
      <w:proofErr w:type="gramEnd"/>
      <w:r w:rsidRPr="00CF6CB5">
        <w:rPr>
          <w:rFonts w:hint="eastAsia"/>
          <w:b/>
        </w:rPr>
        <w:t>。</w:t>
      </w:r>
      <w:bookmarkEnd w:id="132"/>
      <w:bookmarkEnd w:id="133"/>
      <w:bookmarkEnd w:id="134"/>
      <w:bookmarkEnd w:id="135"/>
    </w:p>
    <w:p w:rsidR="00294D6C" w:rsidRPr="00CF6CB5" w:rsidRDefault="00294D6C" w:rsidP="00540BE2">
      <w:pPr>
        <w:pStyle w:val="4"/>
      </w:pPr>
      <w:r w:rsidRPr="00CF6CB5">
        <w:rPr>
          <w:rFonts w:hint="eastAsia"/>
        </w:rPr>
        <w:t>憲法增修條文第6條規定，級</w:t>
      </w:r>
      <w:proofErr w:type="gramStart"/>
      <w:r w:rsidRPr="00CF6CB5">
        <w:rPr>
          <w:rFonts w:hint="eastAsia"/>
        </w:rPr>
        <w:t>俸</w:t>
      </w:r>
      <w:proofErr w:type="gramEnd"/>
      <w:r w:rsidRPr="00CF6CB5">
        <w:rPr>
          <w:rFonts w:hint="eastAsia"/>
        </w:rPr>
        <w:t>等法制屬</w:t>
      </w:r>
      <w:proofErr w:type="gramStart"/>
      <w:r w:rsidRPr="00CF6CB5">
        <w:rPr>
          <w:rFonts w:hint="eastAsia"/>
        </w:rPr>
        <w:t>考試院掌理事</w:t>
      </w:r>
      <w:proofErr w:type="gramEnd"/>
      <w:r w:rsidRPr="00CF6CB5">
        <w:rPr>
          <w:rFonts w:hint="eastAsia"/>
        </w:rPr>
        <w:t>項。所謂「法制事項」，依修憲資料說明係指法規與政策事項，所排除者係執行事項</w:t>
      </w:r>
      <w:r w:rsidRPr="00CF6CB5">
        <w:rPr>
          <w:rStyle w:val="aff1"/>
        </w:rPr>
        <w:footnoteReference w:id="27"/>
      </w:r>
      <w:r w:rsidRPr="00CF6CB5">
        <w:rPr>
          <w:rFonts w:hint="eastAsia"/>
        </w:rPr>
        <w:t>。學者認為，該項修正係將制度建構之靜態職權保留考試院，而將人事執行之動態性具體職權，劃交行政院</w:t>
      </w:r>
      <w:r w:rsidRPr="00CF6CB5">
        <w:rPr>
          <w:rStyle w:val="aff1"/>
        </w:rPr>
        <w:footnoteReference w:id="28"/>
      </w:r>
      <w:r w:rsidRPr="00CF6CB5">
        <w:rPr>
          <w:rFonts w:hint="eastAsia"/>
        </w:rPr>
        <w:t>。而公務人員加給係俸給之部份，屬憲法所定考試院級</w:t>
      </w:r>
      <w:proofErr w:type="gramStart"/>
      <w:r w:rsidRPr="00CF6CB5">
        <w:rPr>
          <w:rFonts w:hint="eastAsia"/>
        </w:rPr>
        <w:t>俸</w:t>
      </w:r>
      <w:proofErr w:type="gramEnd"/>
      <w:r w:rsidRPr="00CF6CB5">
        <w:rPr>
          <w:rFonts w:hint="eastAsia"/>
        </w:rPr>
        <w:t>職掌</w:t>
      </w:r>
      <w:r w:rsidRPr="00CF6CB5">
        <w:rPr>
          <w:rStyle w:val="aff1"/>
        </w:rPr>
        <w:footnoteReference w:id="29"/>
      </w:r>
      <w:r w:rsidRPr="00CF6CB5">
        <w:rPr>
          <w:rFonts w:hint="eastAsia"/>
        </w:rPr>
        <w:t>。為落實憲法規定，76年公布施行之俸給法第18條第1項規定：「本法各種加給之給與條件、類別、適用對象、支給數額及其他</w:t>
      </w:r>
      <w:r w:rsidRPr="00CF6CB5">
        <w:rPr>
          <w:rFonts w:hint="eastAsia"/>
        </w:rPr>
        <w:lastRenderedPageBreak/>
        <w:t>事項，由考試院會同行政院訂定加給給與辦法辦理之。」</w:t>
      </w:r>
    </w:p>
    <w:p w:rsidR="00294D6C" w:rsidRPr="00CF6CB5" w:rsidRDefault="00294D6C" w:rsidP="00540BE2">
      <w:pPr>
        <w:pStyle w:val="4"/>
      </w:pPr>
      <w:proofErr w:type="gramStart"/>
      <w:r w:rsidRPr="00CF6CB5">
        <w:rPr>
          <w:rFonts w:hint="eastAsia"/>
        </w:rPr>
        <w:t>惟</w:t>
      </w:r>
      <w:proofErr w:type="gramEnd"/>
      <w:r w:rsidRPr="00CF6CB5">
        <w:rPr>
          <w:rFonts w:hint="eastAsia"/>
        </w:rPr>
        <w:t>90年3月31日考試院與行政院會同訂定發布之「加給給與辦法」第13條規定：「本辦法各種加給之給與條件、類別、適用對象、支給數額，依行政院所訂各種加給表辦理。」而行政院84年7月1日訂頒之「待遇支給要點」第4點(二)「加給部分」，規定各種加給之給與條件、類別、適用對象、支給數額；專業加給部分，依該要點第4點(二)</w:t>
      </w:r>
      <w:r w:rsidR="004D11CE" w:rsidRPr="00CF6CB5">
        <w:rPr>
          <w:rFonts w:hint="eastAsia"/>
        </w:rPr>
        <w:t>、</w:t>
      </w:r>
      <w:r w:rsidRPr="00CF6CB5">
        <w:rPr>
          <w:rFonts w:hint="eastAsia"/>
        </w:rPr>
        <w:t>3規定：「一般公務人員專業加給，照附表六所訂數額支給。其他人員專業或技術加給照核定之數額支給。」又現行29種專業加給表，僅專業加給表(一)列於該要點之附表中，其他專業加給表（即專業加給表(二)至表(二十九)），另由</w:t>
      </w:r>
      <w:r w:rsidR="00013F27" w:rsidRPr="00CF6CB5">
        <w:rPr>
          <w:rFonts w:hint="eastAsia"/>
        </w:rPr>
        <w:t>人事行政總處</w:t>
      </w:r>
      <w:r w:rsidRPr="00CF6CB5">
        <w:rPr>
          <w:rFonts w:hint="eastAsia"/>
        </w:rPr>
        <w:t>以函令修正發布。</w:t>
      </w:r>
    </w:p>
    <w:p w:rsidR="00294D6C" w:rsidRPr="00CF6CB5" w:rsidRDefault="00294D6C" w:rsidP="00540BE2">
      <w:pPr>
        <w:pStyle w:val="4"/>
      </w:pPr>
      <w:r w:rsidRPr="00CF6CB5">
        <w:rPr>
          <w:rFonts w:hint="eastAsia"/>
        </w:rPr>
        <w:t>有關行政院以「待遇支給要點」及</w:t>
      </w:r>
      <w:proofErr w:type="gramStart"/>
      <w:r w:rsidRPr="00CF6CB5">
        <w:rPr>
          <w:rFonts w:hint="eastAsia"/>
        </w:rPr>
        <w:t>逕</w:t>
      </w:r>
      <w:proofErr w:type="gramEnd"/>
      <w:r w:rsidRPr="00CF6CB5">
        <w:rPr>
          <w:rFonts w:hint="eastAsia"/>
        </w:rPr>
        <w:t>以函令發布之各種公務人員專業加給表，有無逾越俸給法授權之範圍，及「加給給與辦法」第13條有無違反司法院釋字第524號解釋「再授權禁止原則」</w:t>
      </w:r>
      <w:r w:rsidRPr="00CF6CB5">
        <w:rPr>
          <w:rStyle w:val="aff1"/>
        </w:rPr>
        <w:footnoteReference w:id="30"/>
      </w:r>
      <w:r w:rsidRPr="00CF6CB5">
        <w:rPr>
          <w:rFonts w:hint="eastAsia"/>
        </w:rPr>
        <w:t>等節：</w:t>
      </w:r>
    </w:p>
    <w:p w:rsidR="00294D6C" w:rsidRPr="00CF6CB5" w:rsidRDefault="00294D6C" w:rsidP="00545DAA">
      <w:pPr>
        <w:pStyle w:val="5"/>
      </w:pPr>
      <w:r w:rsidRPr="00CF6CB5">
        <w:rPr>
          <w:rFonts w:hint="eastAsia"/>
        </w:rPr>
        <w:t>銓敘部表示略</w:t>
      </w:r>
      <w:proofErr w:type="gramStart"/>
      <w:r w:rsidRPr="00CF6CB5">
        <w:rPr>
          <w:rFonts w:hint="eastAsia"/>
        </w:rPr>
        <w:t>以</w:t>
      </w:r>
      <w:proofErr w:type="gramEnd"/>
      <w:r w:rsidRPr="00CF6CB5">
        <w:rPr>
          <w:rFonts w:hint="eastAsia"/>
        </w:rPr>
        <w:t>：俸給之支給，「</w:t>
      </w:r>
      <w:proofErr w:type="gramStart"/>
      <w:r w:rsidRPr="00CF6CB5">
        <w:rPr>
          <w:rFonts w:hint="eastAsia"/>
        </w:rPr>
        <w:t>俸</w:t>
      </w:r>
      <w:proofErr w:type="gramEnd"/>
      <w:r w:rsidRPr="00CF6CB5">
        <w:rPr>
          <w:rFonts w:hint="eastAsia"/>
        </w:rPr>
        <w:t>」屬身分性給與，「給」屬職務性給與，由考試院主管；較注重實務層面，涉及預算編列等整體財政資源分配事宜，向由</w:t>
      </w:r>
      <w:r w:rsidR="00013F27" w:rsidRPr="00CF6CB5">
        <w:rPr>
          <w:rFonts w:hint="eastAsia"/>
        </w:rPr>
        <w:t>人事行政總處</w:t>
      </w:r>
      <w:r w:rsidRPr="00CF6CB5">
        <w:rPr>
          <w:rFonts w:hint="eastAsia"/>
        </w:rPr>
        <w:t>統籌</w:t>
      </w:r>
      <w:proofErr w:type="gramStart"/>
      <w:r w:rsidRPr="00CF6CB5">
        <w:rPr>
          <w:rFonts w:hint="eastAsia"/>
        </w:rPr>
        <w:t>研</w:t>
      </w:r>
      <w:proofErr w:type="gramEnd"/>
      <w:r w:rsidRPr="00CF6CB5">
        <w:rPr>
          <w:rFonts w:hint="eastAsia"/>
        </w:rPr>
        <w:t>議，且因過去加給未法制化，長久</w:t>
      </w:r>
      <w:proofErr w:type="gramStart"/>
      <w:r w:rsidRPr="00CF6CB5">
        <w:rPr>
          <w:rFonts w:hint="eastAsia"/>
        </w:rPr>
        <w:t>以來其支給標準均依行政院</w:t>
      </w:r>
      <w:proofErr w:type="gramEnd"/>
      <w:r w:rsidRPr="00CF6CB5">
        <w:rPr>
          <w:rFonts w:hint="eastAsia"/>
        </w:rPr>
        <w:t>訂定之「待遇支給要點」及行政院專案</w:t>
      </w:r>
      <w:r w:rsidRPr="00CF6CB5">
        <w:rPr>
          <w:rFonts w:hint="eastAsia"/>
        </w:rPr>
        <w:lastRenderedPageBreak/>
        <w:t>核准之規定辦理。又90年3月30日兩院會同訂定「加給給與辦法」時，經充分討論後取得共識，在法制部分由銓敘部負責，</w:t>
      </w:r>
      <w:proofErr w:type="gramStart"/>
      <w:r w:rsidRPr="00CF6CB5">
        <w:rPr>
          <w:rFonts w:hint="eastAsia"/>
        </w:rPr>
        <w:t>至支給</w:t>
      </w:r>
      <w:proofErr w:type="gramEnd"/>
      <w:r w:rsidRPr="00CF6CB5">
        <w:rPr>
          <w:rFonts w:hint="eastAsia"/>
        </w:rPr>
        <w:t>數額等實務處理部分，由行政院處理，符合法制等語。換言之，</w:t>
      </w:r>
      <w:proofErr w:type="gramStart"/>
      <w:r w:rsidRPr="00CF6CB5">
        <w:rPr>
          <w:rFonts w:hint="eastAsia"/>
        </w:rPr>
        <w:t>現制係基於</w:t>
      </w:r>
      <w:proofErr w:type="gramEnd"/>
      <w:r w:rsidRPr="00CF6CB5">
        <w:rPr>
          <w:rFonts w:hint="eastAsia"/>
        </w:rPr>
        <w:t>實務運作現狀，經兩院會商所決定。</w:t>
      </w:r>
    </w:p>
    <w:p w:rsidR="00294D6C" w:rsidRPr="00CF6CB5" w:rsidRDefault="00013F27" w:rsidP="00540BE2">
      <w:pPr>
        <w:pStyle w:val="5"/>
      </w:pPr>
      <w:r w:rsidRPr="00CF6CB5">
        <w:rPr>
          <w:rFonts w:hint="eastAsia"/>
        </w:rPr>
        <w:t>人事行政總處</w:t>
      </w:r>
      <w:r w:rsidR="00294D6C" w:rsidRPr="00CF6CB5">
        <w:rPr>
          <w:rFonts w:hint="eastAsia"/>
        </w:rPr>
        <w:t>表示略</w:t>
      </w:r>
      <w:proofErr w:type="gramStart"/>
      <w:r w:rsidR="00294D6C" w:rsidRPr="00CF6CB5">
        <w:rPr>
          <w:rFonts w:hint="eastAsia"/>
        </w:rPr>
        <w:t>以</w:t>
      </w:r>
      <w:proofErr w:type="gramEnd"/>
      <w:r w:rsidR="00294D6C" w:rsidRPr="00CF6CB5">
        <w:rPr>
          <w:rFonts w:hint="eastAsia"/>
        </w:rPr>
        <w:t>：學理上就轉委任容許性之見解，有認為應就授權法之規範旨趣，展開具體解釋論，以判斷其容許性</w:t>
      </w:r>
      <w:r w:rsidR="00294D6C" w:rsidRPr="00CF6CB5">
        <w:rPr>
          <w:rStyle w:val="aff1"/>
        </w:rPr>
        <w:footnoteReference w:id="31"/>
      </w:r>
      <w:r w:rsidR="00294D6C" w:rsidRPr="00CF6CB5">
        <w:rPr>
          <w:rFonts w:hint="eastAsia"/>
        </w:rPr>
        <w:t>。參酌司法院釋字第538號、第394號、第367號解釋意旨，法律為概括授權時，應就該項法律整體所表現之關聯意義為判斷，而非拘泥於特定法條之文字。俸給法第2條及第5條已就加給之定義、種類、支給對象之範圍為規範，並於第18條授權於</w:t>
      </w:r>
      <w:r w:rsidR="00BF0D41" w:rsidRPr="00CF6CB5">
        <w:rPr>
          <w:rFonts w:hint="eastAsia"/>
        </w:rPr>
        <w:t>加給給與辦法</w:t>
      </w:r>
      <w:r w:rsidR="00294D6C" w:rsidRPr="00CF6CB5">
        <w:rPr>
          <w:rFonts w:hint="eastAsia"/>
        </w:rPr>
        <w:t>就加給之給與條件、類別、適用對象、支給數額及其他事項為規定。就法律整體解釋推知，俸給法授權行政院依其國家財政資源分配及待遇管理之專業考量，就各項加給之細節性及技術性事項另訂加給表等語。亦即認為加給之給與條件等事項均細節性、技術性事項，本得由行政院自行訂定相關規範執行之。</w:t>
      </w:r>
    </w:p>
    <w:p w:rsidR="00294D6C" w:rsidRPr="00CF6CB5" w:rsidRDefault="00294D6C" w:rsidP="00540BE2">
      <w:pPr>
        <w:pStyle w:val="4"/>
      </w:pPr>
      <w:r w:rsidRPr="00CF6CB5">
        <w:rPr>
          <w:rFonts w:hint="eastAsia"/>
        </w:rPr>
        <w:t>經查：</w:t>
      </w:r>
    </w:p>
    <w:p w:rsidR="00294D6C" w:rsidRPr="00CF6CB5" w:rsidRDefault="00294D6C" w:rsidP="00540BE2">
      <w:pPr>
        <w:pStyle w:val="5"/>
      </w:pPr>
      <w:r w:rsidRPr="00CF6CB5">
        <w:rPr>
          <w:rFonts w:hint="eastAsia"/>
        </w:rPr>
        <w:t>76年以前公務人員待遇包括統一薪俸、生活補助費及職務加給(嗣後又變更為薪俸額、工作補助費及專業補助費等)</w:t>
      </w:r>
      <w:proofErr w:type="gramStart"/>
      <w:r w:rsidRPr="00CF6CB5">
        <w:rPr>
          <w:rFonts w:hint="eastAsia"/>
        </w:rPr>
        <w:t>均係以</w:t>
      </w:r>
      <w:proofErr w:type="gramEnd"/>
      <w:r w:rsidRPr="00CF6CB5">
        <w:rPr>
          <w:rFonts w:hint="eastAsia"/>
        </w:rPr>
        <w:t>行政院發布之相關辦法作為支給依據。行政院於62年6月15日訂定「待遇支給辦法」（嗣後名稱改為待遇支給要點），其中工作津貼包括主管特支費、工作補助</w:t>
      </w:r>
      <w:r w:rsidRPr="00CF6CB5">
        <w:rPr>
          <w:rFonts w:hint="eastAsia"/>
        </w:rPr>
        <w:lastRenderedPageBreak/>
        <w:t>費、專業補助費、津貼、學術研究費及工作獎金等，即相當於今日加給的內涵</w:t>
      </w:r>
      <w:r w:rsidRPr="00CF6CB5">
        <w:rPr>
          <w:rStyle w:val="aff1"/>
        </w:rPr>
        <w:footnoteReference w:id="32"/>
      </w:r>
      <w:r w:rsidRPr="00CF6CB5">
        <w:rPr>
          <w:rFonts w:hint="eastAsia"/>
        </w:rPr>
        <w:t>。俸給法於76年1月16日施行後，公務人員之加給仍依行政院訂頒之「待遇支給要點」規定支給。</w:t>
      </w:r>
      <w:proofErr w:type="gramStart"/>
      <w:r w:rsidRPr="00CF6CB5">
        <w:rPr>
          <w:rFonts w:hint="eastAsia"/>
        </w:rPr>
        <w:t>迄</w:t>
      </w:r>
      <w:proofErr w:type="gramEnd"/>
      <w:r w:rsidRPr="00CF6CB5">
        <w:rPr>
          <w:rFonts w:hint="eastAsia"/>
        </w:rPr>
        <w:t>90年3月30日</w:t>
      </w:r>
      <w:proofErr w:type="gramStart"/>
      <w:r w:rsidRPr="00CF6CB5">
        <w:rPr>
          <w:rFonts w:hint="eastAsia"/>
        </w:rPr>
        <w:t>考試院始會同</w:t>
      </w:r>
      <w:proofErr w:type="gramEnd"/>
      <w:r w:rsidRPr="00CF6CB5">
        <w:rPr>
          <w:rFonts w:hint="eastAsia"/>
        </w:rPr>
        <w:t>行政院訂定發布「加給給與辦法」，依該辦法第13條立法說明略</w:t>
      </w:r>
      <w:proofErr w:type="gramStart"/>
      <w:r w:rsidRPr="00CF6CB5">
        <w:rPr>
          <w:rFonts w:hint="eastAsia"/>
        </w:rPr>
        <w:t>以</w:t>
      </w:r>
      <w:proofErr w:type="gramEnd"/>
      <w:r w:rsidRPr="00CF6CB5">
        <w:rPr>
          <w:rFonts w:hint="eastAsia"/>
        </w:rPr>
        <w:t>：「現行各種加給之類別、適用對象、支給數額於原人事行政局訂定並經行政院核定之各種類加給</w:t>
      </w:r>
      <w:proofErr w:type="gramStart"/>
      <w:r w:rsidRPr="00CF6CB5">
        <w:rPr>
          <w:rFonts w:hint="eastAsia"/>
        </w:rPr>
        <w:t>支給表有所</w:t>
      </w:r>
      <w:proofErr w:type="gramEnd"/>
      <w:r w:rsidRPr="00CF6CB5">
        <w:rPr>
          <w:rFonts w:hint="eastAsia"/>
        </w:rPr>
        <w:t>規範，並據此辦理加給支給之實務作業」。足見該辦法第13條規定公務人員加給依行政院所訂之各種加給表辦理，係為兼顧實務長久以來運作之現況，</w:t>
      </w:r>
      <w:proofErr w:type="gramStart"/>
      <w:r w:rsidRPr="00CF6CB5">
        <w:rPr>
          <w:rFonts w:hint="eastAsia"/>
        </w:rPr>
        <w:t>銓敘部及</w:t>
      </w:r>
      <w:r w:rsidR="00013F27" w:rsidRPr="00CF6CB5">
        <w:rPr>
          <w:rFonts w:hint="eastAsia"/>
        </w:rPr>
        <w:t>人事</w:t>
      </w:r>
      <w:proofErr w:type="gramEnd"/>
      <w:r w:rsidR="00013F27" w:rsidRPr="00CF6CB5">
        <w:rPr>
          <w:rFonts w:hint="eastAsia"/>
        </w:rPr>
        <w:t>行政總處</w:t>
      </w:r>
      <w:r w:rsidRPr="00CF6CB5">
        <w:rPr>
          <w:rFonts w:hint="eastAsia"/>
        </w:rPr>
        <w:t>前開理由，並非無據。</w:t>
      </w:r>
    </w:p>
    <w:p w:rsidR="00294D6C" w:rsidRPr="00CF6CB5" w:rsidRDefault="00294D6C" w:rsidP="00540BE2">
      <w:pPr>
        <w:pStyle w:val="5"/>
      </w:pPr>
      <w:r w:rsidRPr="00CF6CB5">
        <w:rPr>
          <w:rFonts w:hint="eastAsia"/>
        </w:rPr>
        <w:t>最高行政法院對於「加給給與辦法」涉有違反「再授權禁止原則」之質疑，認為考試院及行政院依憲法規定各司其職權，並無上下隸屬關係，因而此條規定依其文義，應解釋為由行政院訂定各種加給表後，兩院同意依該表辦理，並非考試院轉授權行政院訂定各種加給表。且法律授權考試院及行政院會同訂定辦理，故無違反法律保留原則之問題，與司法院釋字第524號解釋意旨尚無</w:t>
      </w:r>
      <w:proofErr w:type="gramStart"/>
      <w:r w:rsidRPr="00CF6CB5">
        <w:rPr>
          <w:rFonts w:hint="eastAsia"/>
        </w:rPr>
        <w:t>扞</w:t>
      </w:r>
      <w:proofErr w:type="gramEnd"/>
      <w:r w:rsidRPr="00CF6CB5">
        <w:rPr>
          <w:rFonts w:hint="eastAsia"/>
        </w:rPr>
        <w:t>格（參見最高行政法院</w:t>
      </w:r>
      <w:proofErr w:type="gramStart"/>
      <w:r w:rsidRPr="00CF6CB5">
        <w:rPr>
          <w:rFonts w:hint="eastAsia"/>
        </w:rPr>
        <w:t>104</w:t>
      </w:r>
      <w:proofErr w:type="gramEnd"/>
      <w:r w:rsidRPr="00CF6CB5">
        <w:rPr>
          <w:rFonts w:hint="eastAsia"/>
        </w:rPr>
        <w:t>年度判字第309號判決）。上開見解自行政院與考試院地位平等，且依「加給給與辦法」第14規定，各種加給之支給數額應先由</w:t>
      </w:r>
      <w:r w:rsidR="00013F27" w:rsidRPr="00CF6CB5">
        <w:rPr>
          <w:rFonts w:hint="eastAsia"/>
        </w:rPr>
        <w:t>人事行政總處</w:t>
      </w:r>
      <w:r w:rsidRPr="00CF6CB5">
        <w:rPr>
          <w:rFonts w:hint="eastAsia"/>
        </w:rPr>
        <w:t>會商銓敘部擬訂方案後送軍公教員工待遇審議</w:t>
      </w:r>
      <w:r w:rsidRPr="00CF6CB5">
        <w:rPr>
          <w:rFonts w:hint="eastAsia"/>
        </w:rPr>
        <w:lastRenderedPageBreak/>
        <w:t>委員會審議後，報請行政院核定實施，考試院尚保有若干參與權及建議權等節，似可贊同。</w:t>
      </w:r>
    </w:p>
    <w:p w:rsidR="00294D6C" w:rsidRPr="00CF6CB5" w:rsidRDefault="00294D6C" w:rsidP="00540BE2">
      <w:pPr>
        <w:pStyle w:val="5"/>
      </w:pPr>
      <w:r w:rsidRPr="00CF6CB5">
        <w:rPr>
          <w:rFonts w:hint="eastAsia"/>
        </w:rPr>
        <w:t>參考俸給法之立法資料，76年俸給法第14條原規定「各種加給之給與辦法及</w:t>
      </w:r>
      <w:proofErr w:type="gramStart"/>
      <w:r w:rsidRPr="00CF6CB5">
        <w:rPr>
          <w:rFonts w:hint="eastAsia"/>
        </w:rPr>
        <w:t>俸</w:t>
      </w:r>
      <w:proofErr w:type="gramEnd"/>
      <w:r w:rsidRPr="00CF6CB5">
        <w:rPr>
          <w:rFonts w:hint="eastAsia"/>
        </w:rPr>
        <w:t>點折算</w:t>
      </w:r>
      <w:proofErr w:type="gramStart"/>
      <w:r w:rsidRPr="00CF6CB5">
        <w:rPr>
          <w:rFonts w:hint="eastAsia"/>
        </w:rPr>
        <w:t>俸</w:t>
      </w:r>
      <w:proofErr w:type="gramEnd"/>
      <w:r w:rsidRPr="00CF6CB5">
        <w:rPr>
          <w:rFonts w:hint="eastAsia"/>
        </w:rPr>
        <w:t>額之標準，由考試院會同行政院定之。」其立法目的在於「授權考試院會同行政院訂定各種加給之給與辦法」及「加強管制各種加給之支給」</w:t>
      </w:r>
      <w:r w:rsidRPr="00CF6CB5">
        <w:rPr>
          <w:rStyle w:val="aff1"/>
        </w:rPr>
        <w:footnoteReference w:id="33"/>
      </w:r>
      <w:r w:rsidRPr="00CF6CB5">
        <w:rPr>
          <w:rFonts w:hint="eastAsia"/>
        </w:rPr>
        <w:t>。該條文於91年改列第18條第1項，修正為：「本法各種加給之給與條件、類別、適用對象、支給數額及其他事項，由考試院會同行政院訂定加給給與辦法辦理之。」立法說明指出：「加給為重要權利之事項，參照行政程序法第150條規定，增訂其授權訂定辦法之內容、目的及範圍等事項</w:t>
      </w:r>
      <w:r w:rsidRPr="00CF6CB5">
        <w:rPr>
          <w:rStyle w:val="aff1"/>
        </w:rPr>
        <w:footnoteReference w:id="34"/>
      </w:r>
      <w:r w:rsidRPr="00CF6CB5">
        <w:rPr>
          <w:rFonts w:hint="eastAsia"/>
        </w:rPr>
        <w:t>」。是</w:t>
      </w:r>
      <w:proofErr w:type="gramStart"/>
      <w:r w:rsidRPr="00CF6CB5">
        <w:rPr>
          <w:rFonts w:hint="eastAsia"/>
        </w:rPr>
        <w:t>以</w:t>
      </w:r>
      <w:proofErr w:type="gramEnd"/>
      <w:r w:rsidRPr="00CF6CB5">
        <w:rPr>
          <w:rFonts w:hint="eastAsia"/>
        </w:rPr>
        <w:t>，俸給法既已明定「各種加給之給與條件、類別、適用對象、支給數額及其他事項」應由「考試院會同行政院」以訂定「加給給與辦法」之法規命令辦理，並無概括授權或授權範圍不明確之情形。現行「加給給與辦法」第13條將該等事項規定依「行政院所訂之各種加給表辦理」，是否符合俸給法第18條之立法意旨？又俸給法第18條立法理由既指出「加給為重要權利之事項」，如將之解釋為「可推知授權行政院就各項加給之細節性及技術性事項另訂加給表」，是否妥適？又相關加給之修改，</w:t>
      </w:r>
      <w:r w:rsidR="00EB5F39" w:rsidRPr="00CF6CB5">
        <w:rPr>
          <w:rFonts w:hint="eastAsia"/>
        </w:rPr>
        <w:t>如</w:t>
      </w:r>
      <w:r w:rsidRPr="00CF6CB5">
        <w:rPr>
          <w:rFonts w:hint="eastAsia"/>
        </w:rPr>
        <w:t>涉及法制面重要原則及「公共利益之重大事項」（容後詳述），能否</w:t>
      </w:r>
      <w:proofErr w:type="gramStart"/>
      <w:r w:rsidRPr="00CF6CB5">
        <w:rPr>
          <w:rFonts w:hint="eastAsia"/>
        </w:rPr>
        <w:t>逕</w:t>
      </w:r>
      <w:proofErr w:type="gramEnd"/>
      <w:r w:rsidRPr="00CF6CB5">
        <w:rPr>
          <w:rFonts w:hint="eastAsia"/>
        </w:rPr>
        <w:t>以修正加給表之方式行之？其效力如何？行政院訂定之各種加</w:t>
      </w:r>
      <w:r w:rsidRPr="00CF6CB5">
        <w:rPr>
          <w:rFonts w:hint="eastAsia"/>
        </w:rPr>
        <w:lastRenderedPageBreak/>
        <w:t>給表，</w:t>
      </w:r>
      <w:r w:rsidR="00EB5F39" w:rsidRPr="00CF6CB5">
        <w:rPr>
          <w:rFonts w:hint="eastAsia"/>
        </w:rPr>
        <w:t>若</w:t>
      </w:r>
      <w:r w:rsidRPr="00CF6CB5">
        <w:rPr>
          <w:rFonts w:hint="eastAsia"/>
        </w:rPr>
        <w:t>屬</w:t>
      </w:r>
      <w:r w:rsidR="00EB5F39" w:rsidRPr="00CF6CB5">
        <w:rPr>
          <w:rFonts w:hint="eastAsia"/>
        </w:rPr>
        <w:t>於</w:t>
      </w:r>
      <w:r w:rsidRPr="00CF6CB5">
        <w:rPr>
          <w:rFonts w:hint="eastAsia"/>
        </w:rPr>
        <w:t>「加給給與辦法」之一部？現行修正程序是否符合行政程序法之相關規定（容後詳述）？…</w:t>
      </w:r>
      <w:proofErr w:type="gramStart"/>
      <w:r w:rsidRPr="00CF6CB5">
        <w:rPr>
          <w:rFonts w:hint="eastAsia"/>
        </w:rPr>
        <w:t>…</w:t>
      </w:r>
      <w:proofErr w:type="gramEnd"/>
      <w:r w:rsidRPr="00CF6CB5">
        <w:rPr>
          <w:rFonts w:hint="eastAsia"/>
        </w:rPr>
        <w:t>均不無疑義。</w:t>
      </w:r>
    </w:p>
    <w:p w:rsidR="00294D6C" w:rsidRPr="00CF6CB5" w:rsidRDefault="00294D6C" w:rsidP="00540BE2">
      <w:pPr>
        <w:pStyle w:val="4"/>
      </w:pPr>
      <w:r w:rsidRPr="00CF6CB5">
        <w:rPr>
          <w:rFonts w:hint="eastAsia"/>
        </w:rPr>
        <w:t>綜上，俸給法第18條第1項規定公務人員各種加給之給與條件、類別、適用對象、支給數額等事項，由考試院會同行政院訂定</w:t>
      </w:r>
      <w:r w:rsidR="00E86A2A" w:rsidRPr="00CF6CB5">
        <w:rPr>
          <w:rFonts w:hint="eastAsia"/>
        </w:rPr>
        <w:t>加給</w:t>
      </w:r>
      <w:r w:rsidRPr="00CF6CB5">
        <w:rPr>
          <w:rFonts w:hint="eastAsia"/>
        </w:rPr>
        <w:t>給與辦法辦理之，符合授權明確性原則。</w:t>
      </w:r>
      <w:proofErr w:type="gramStart"/>
      <w:r w:rsidRPr="00CF6CB5">
        <w:rPr>
          <w:rFonts w:hint="eastAsia"/>
        </w:rPr>
        <w:t>惟</w:t>
      </w:r>
      <w:proofErr w:type="gramEnd"/>
      <w:r w:rsidRPr="00CF6CB5">
        <w:rPr>
          <w:rFonts w:hint="eastAsia"/>
        </w:rPr>
        <w:t>俸給法於76年施行迄90年間，兩院並未訂定相關辦法，仍由行政院依「待遇支給要點」之行政命令辦理，此種法律雖明文授權訂定辦法，主管機關卻以職權命令或行政釋示代替，係過去我國法制不完備常見之現象，</w:t>
      </w:r>
      <w:proofErr w:type="gramStart"/>
      <w:r w:rsidRPr="00CF6CB5">
        <w:rPr>
          <w:rFonts w:hint="eastAsia"/>
        </w:rPr>
        <w:t>迭經86年</w:t>
      </w:r>
      <w:proofErr w:type="gramEnd"/>
      <w:r w:rsidRPr="00CF6CB5">
        <w:rPr>
          <w:rFonts w:hint="eastAsia"/>
        </w:rPr>
        <w:t>及87年司法院釋字第454號及455號解釋宣示違憲</w:t>
      </w:r>
      <w:r w:rsidRPr="00CF6CB5">
        <w:rPr>
          <w:rStyle w:val="aff1"/>
        </w:rPr>
        <w:footnoteReference w:id="35"/>
      </w:r>
      <w:r w:rsidRPr="00CF6CB5">
        <w:rPr>
          <w:rFonts w:hint="eastAsia"/>
        </w:rPr>
        <w:t>。</w:t>
      </w:r>
      <w:proofErr w:type="gramStart"/>
      <w:r w:rsidRPr="00CF6CB5">
        <w:rPr>
          <w:rFonts w:hint="eastAsia"/>
        </w:rPr>
        <w:t>迨</w:t>
      </w:r>
      <w:proofErr w:type="gramEnd"/>
      <w:r w:rsidRPr="00CF6CB5">
        <w:rPr>
          <w:rFonts w:hint="eastAsia"/>
        </w:rPr>
        <w:t>90年考試院雖與行政院訂定「加給給與辦法」，將俸給法明確授權之事項，規定依行政院所訂之各種加給表辦理，相關作法容或基於歷史因素及延續實務運作現狀等考量，而該辦法另行賦予考試院之參與權及建議權，亦與前開大法官宣告違憲之案例不同，但依憲法增修條文第6條所定考試院職掌「級</w:t>
      </w:r>
      <w:proofErr w:type="gramStart"/>
      <w:r w:rsidRPr="00CF6CB5">
        <w:rPr>
          <w:rFonts w:hint="eastAsia"/>
        </w:rPr>
        <w:t>俸</w:t>
      </w:r>
      <w:proofErr w:type="gramEnd"/>
      <w:r w:rsidRPr="00CF6CB5">
        <w:rPr>
          <w:rFonts w:hint="eastAsia"/>
        </w:rPr>
        <w:t>之法制事項」觀之，公務人員俸給法制之</w:t>
      </w:r>
      <w:proofErr w:type="gramStart"/>
      <w:r w:rsidRPr="00CF6CB5">
        <w:rPr>
          <w:rFonts w:hint="eastAsia"/>
        </w:rPr>
        <w:t>研</w:t>
      </w:r>
      <w:proofErr w:type="gramEnd"/>
      <w:r w:rsidRPr="00CF6CB5">
        <w:rPr>
          <w:rFonts w:hint="eastAsia"/>
        </w:rPr>
        <w:t>擬及監督，本屬考試院權限。現行做法之妥適性如何？實有待行政、考試兩院</w:t>
      </w:r>
      <w:proofErr w:type="gramStart"/>
      <w:r w:rsidRPr="00CF6CB5">
        <w:rPr>
          <w:rFonts w:hint="eastAsia"/>
        </w:rPr>
        <w:t>釐</w:t>
      </w:r>
      <w:proofErr w:type="gramEnd"/>
      <w:r w:rsidRPr="00CF6CB5">
        <w:rPr>
          <w:rFonts w:hint="eastAsia"/>
        </w:rPr>
        <w:t>清。</w:t>
      </w:r>
    </w:p>
    <w:p w:rsidR="00294D6C" w:rsidRPr="00CF6CB5" w:rsidRDefault="00294D6C" w:rsidP="00294D6C">
      <w:pPr>
        <w:pStyle w:val="3"/>
        <w:kinsoku w:val="0"/>
        <w:overflowPunct/>
        <w:autoSpaceDE/>
        <w:autoSpaceDN/>
        <w:ind w:left="1393" w:hanging="697"/>
        <w:rPr>
          <w:b/>
        </w:rPr>
      </w:pPr>
      <w:bookmarkStart w:id="136" w:name="_Toc510456632"/>
      <w:bookmarkStart w:id="137" w:name="_Toc510534704"/>
      <w:bookmarkStart w:id="138" w:name="_Toc511053624"/>
      <w:bookmarkStart w:id="139" w:name="_Toc511126970"/>
      <w:r w:rsidRPr="00CF6CB5">
        <w:rPr>
          <w:rFonts w:hint="eastAsia"/>
          <w:b/>
        </w:rPr>
        <w:t>專業加給之支給涉全國資源分配及公務人員整體待遇衡平政策考量，行政院</w:t>
      </w:r>
      <w:r w:rsidR="004D11CE" w:rsidRPr="00CF6CB5">
        <w:rPr>
          <w:rFonts w:hint="eastAsia"/>
          <w:b/>
        </w:rPr>
        <w:t>表示</w:t>
      </w:r>
      <w:proofErr w:type="gramStart"/>
      <w:r w:rsidRPr="00CF6CB5">
        <w:rPr>
          <w:rFonts w:hint="eastAsia"/>
          <w:b/>
        </w:rPr>
        <w:t>歷來均由該</w:t>
      </w:r>
      <w:proofErr w:type="gramEnd"/>
      <w:r w:rsidRPr="00CF6CB5">
        <w:rPr>
          <w:rFonts w:hint="eastAsia"/>
          <w:b/>
        </w:rPr>
        <w:t>院通盤</w:t>
      </w:r>
      <w:proofErr w:type="gramStart"/>
      <w:r w:rsidRPr="00CF6CB5">
        <w:rPr>
          <w:rFonts w:hint="eastAsia"/>
          <w:b/>
        </w:rPr>
        <w:t>研</w:t>
      </w:r>
      <w:proofErr w:type="gramEnd"/>
      <w:r w:rsidRPr="00CF6CB5">
        <w:rPr>
          <w:rFonts w:hint="eastAsia"/>
          <w:b/>
        </w:rPr>
        <w:t>議，以因應社會變遷及人力資源彈性運用。然就實務運作觀之，現行公務人員專業加給表種類多達25種，支給數額之實質標準衡酌不易，其調整及核定常流於</w:t>
      </w:r>
      <w:proofErr w:type="gramStart"/>
      <w:r w:rsidRPr="00CF6CB5">
        <w:rPr>
          <w:rFonts w:hint="eastAsia"/>
          <w:b/>
        </w:rPr>
        <w:t>主觀</w:t>
      </w:r>
      <w:r w:rsidR="004D11CE" w:rsidRPr="00CF6CB5">
        <w:rPr>
          <w:rFonts w:hint="eastAsia"/>
          <w:b/>
        </w:rPr>
        <w:t>，</w:t>
      </w:r>
      <w:proofErr w:type="gramEnd"/>
      <w:r w:rsidR="004D11CE" w:rsidRPr="00CF6CB5">
        <w:rPr>
          <w:rFonts w:hint="eastAsia"/>
          <w:b/>
        </w:rPr>
        <w:t>致爭議不斷</w:t>
      </w:r>
      <w:r w:rsidRPr="00CF6CB5">
        <w:rPr>
          <w:rFonts w:hint="eastAsia"/>
          <w:b/>
        </w:rPr>
        <w:t>：</w:t>
      </w:r>
      <w:bookmarkEnd w:id="136"/>
      <w:bookmarkEnd w:id="137"/>
      <w:bookmarkEnd w:id="138"/>
      <w:bookmarkEnd w:id="139"/>
    </w:p>
    <w:p w:rsidR="00294D6C" w:rsidRPr="00CF6CB5" w:rsidRDefault="00294D6C" w:rsidP="000A29B5">
      <w:pPr>
        <w:pStyle w:val="4"/>
      </w:pPr>
      <w:r w:rsidRPr="00CF6CB5">
        <w:rPr>
          <w:rFonts w:hint="eastAsia"/>
        </w:rPr>
        <w:lastRenderedPageBreak/>
        <w:t>依俸給法第18條規定，「加給」分為「職務加給」、「技術或專業加給」、「地域加給」三種。</w:t>
      </w:r>
      <w:r w:rsidR="00BD5B0E" w:rsidRPr="00CF6CB5">
        <w:rPr>
          <w:rFonts w:hint="eastAsia"/>
        </w:rPr>
        <w:t>而</w:t>
      </w:r>
      <w:r w:rsidRPr="00CF6CB5">
        <w:rPr>
          <w:rFonts w:hint="eastAsia"/>
        </w:rPr>
        <w:t>本</w:t>
      </w:r>
      <w:proofErr w:type="gramStart"/>
      <w:r w:rsidRPr="00CF6CB5">
        <w:rPr>
          <w:rFonts w:hint="eastAsia"/>
        </w:rPr>
        <w:t>俸</w:t>
      </w:r>
      <w:proofErr w:type="gramEnd"/>
      <w:r w:rsidRPr="00CF6CB5">
        <w:rPr>
          <w:rFonts w:hint="eastAsia"/>
        </w:rPr>
        <w:t>或年功</w:t>
      </w:r>
      <w:proofErr w:type="gramStart"/>
      <w:r w:rsidRPr="00CF6CB5">
        <w:rPr>
          <w:rFonts w:hint="eastAsia"/>
        </w:rPr>
        <w:t>俸</w:t>
      </w:r>
      <w:proofErr w:type="gramEnd"/>
      <w:r w:rsidRPr="00CF6CB5">
        <w:rPr>
          <w:rFonts w:hint="eastAsia"/>
        </w:rPr>
        <w:t>部分，行政機關所有各類公務人員</w:t>
      </w:r>
      <w:proofErr w:type="gramStart"/>
      <w:r w:rsidRPr="00CF6CB5">
        <w:rPr>
          <w:rFonts w:hint="eastAsia"/>
        </w:rPr>
        <w:t>均依同一俸表支</w:t>
      </w:r>
      <w:proofErr w:type="gramEnd"/>
      <w:r w:rsidRPr="00CF6CB5">
        <w:rPr>
          <w:rFonts w:hint="eastAsia"/>
        </w:rPr>
        <w:t>給，故毫無爭議。職務加給與地域加給之發給，較為明確客觀，爭議亦少。造成各類公務人員實領待遇差異者，最主要為技術或專業加給。然公務人員各種專業加給表多達25種</w:t>
      </w:r>
      <w:r w:rsidRPr="00CF6CB5">
        <w:rPr>
          <w:rStyle w:val="aff1"/>
        </w:rPr>
        <w:footnoteReference w:id="36"/>
      </w:r>
      <w:r w:rsidRPr="00CF6CB5">
        <w:rPr>
          <w:rFonts w:hint="eastAsia"/>
        </w:rPr>
        <w:t>，種類繁雜。</w:t>
      </w:r>
      <w:r w:rsidR="00E86A2A" w:rsidRPr="00CF6CB5">
        <w:rPr>
          <w:rFonts w:hint="eastAsia"/>
        </w:rPr>
        <w:t>加給</w:t>
      </w:r>
      <w:r w:rsidRPr="00CF6CB5">
        <w:rPr>
          <w:rFonts w:hint="eastAsia"/>
        </w:rPr>
        <w:t>給與辦法第4條第2款雖規定專業</w:t>
      </w:r>
      <w:proofErr w:type="gramStart"/>
      <w:r w:rsidRPr="00CF6CB5">
        <w:rPr>
          <w:rFonts w:hint="eastAsia"/>
        </w:rPr>
        <w:t>加給應衡酌</w:t>
      </w:r>
      <w:proofErr w:type="gramEnd"/>
      <w:r w:rsidRPr="00CF6CB5">
        <w:rPr>
          <w:rFonts w:hint="eastAsia"/>
        </w:rPr>
        <w:t>「職務之技術或專業程度、繁簡難易、所需資格條件及人力市場供需狀況」等因素訂定，然該等因素皆屬不確定之法律概念，難有可供操作之客觀標準。而各種考量因素應</w:t>
      </w:r>
      <w:proofErr w:type="gramStart"/>
      <w:r w:rsidRPr="00CF6CB5">
        <w:rPr>
          <w:rFonts w:hint="eastAsia"/>
        </w:rPr>
        <w:t>如何衡</w:t>
      </w:r>
      <w:proofErr w:type="gramEnd"/>
      <w:r w:rsidRPr="00CF6CB5">
        <w:rPr>
          <w:rFonts w:hint="eastAsia"/>
        </w:rPr>
        <w:t>酌、參考指標為何，亦無具體之法令或原則可供遵循。又依「加給給與辦法」第14條訂定之「軍公教員工待遇審議委員會設置要點」規定</w:t>
      </w:r>
      <w:r w:rsidRPr="00CF6CB5">
        <w:rPr>
          <w:rStyle w:val="aff1"/>
        </w:rPr>
        <w:footnoteReference w:id="37"/>
      </w:r>
      <w:r w:rsidRPr="00CF6CB5">
        <w:rPr>
          <w:rFonts w:hint="eastAsia"/>
        </w:rPr>
        <w:t>，該委員會之組成並無公務人員代表，學者專家比例亦嫌偏低，實難以期待實質審議公務人員俸給調整。</w:t>
      </w:r>
    </w:p>
    <w:p w:rsidR="00294D6C" w:rsidRPr="00CF6CB5" w:rsidRDefault="00294D6C" w:rsidP="0002256A">
      <w:pPr>
        <w:pStyle w:val="4"/>
      </w:pPr>
      <w:r w:rsidRPr="00CF6CB5">
        <w:rPr>
          <w:rFonts w:hint="eastAsia"/>
        </w:rPr>
        <w:t>公務人員專業加給之決定及調整，淪為各類公務</w:t>
      </w:r>
      <w:r w:rsidR="00BD5B0E" w:rsidRPr="00CF6CB5">
        <w:rPr>
          <w:rFonts w:hint="eastAsia"/>
        </w:rPr>
        <w:t>人</w:t>
      </w:r>
      <w:r w:rsidRPr="00CF6CB5">
        <w:rPr>
          <w:rFonts w:hint="eastAsia"/>
        </w:rPr>
        <w:t>員各自角力較勁而流於主觀且欠缺公平等情，為各界一再</w:t>
      </w:r>
      <w:r w:rsidR="00BD5B0E" w:rsidRPr="00CF6CB5">
        <w:rPr>
          <w:rFonts w:ascii="Arial" w:cs="Arial"/>
          <w:shd w:val="clear" w:color="auto" w:fill="FFFFFF"/>
        </w:rPr>
        <w:t>訾議</w:t>
      </w:r>
      <w:r w:rsidRPr="00CF6CB5">
        <w:rPr>
          <w:rFonts w:hint="eastAsia"/>
        </w:rPr>
        <w:t>，行政院雖於90年及94年二度檢討並辦理簡</w:t>
      </w:r>
      <w:proofErr w:type="gramStart"/>
      <w:r w:rsidRPr="00CF6CB5">
        <w:rPr>
          <w:rFonts w:hint="eastAsia"/>
        </w:rPr>
        <w:t>併</w:t>
      </w:r>
      <w:proofErr w:type="gramEnd"/>
      <w:r w:rsidRPr="00CF6CB5">
        <w:rPr>
          <w:rFonts w:hint="eastAsia"/>
        </w:rPr>
        <w:t>作業，然仍存在「種類偏多」及「不</w:t>
      </w:r>
      <w:r w:rsidRPr="00CF6CB5">
        <w:rPr>
          <w:rFonts w:hint="eastAsia"/>
        </w:rPr>
        <w:lastRenderedPageBreak/>
        <w:t>符同工同酬」等問題</w:t>
      </w:r>
      <w:r w:rsidRPr="00CF6CB5">
        <w:rPr>
          <w:rStyle w:val="aff1"/>
        </w:rPr>
        <w:footnoteReference w:id="38"/>
      </w:r>
      <w:r w:rsidRPr="00CF6CB5">
        <w:rPr>
          <w:rFonts w:hint="eastAsia"/>
        </w:rPr>
        <w:t>，立法院審查</w:t>
      </w:r>
      <w:proofErr w:type="gramStart"/>
      <w:r w:rsidRPr="00CF6CB5">
        <w:rPr>
          <w:rFonts w:hint="eastAsia"/>
        </w:rPr>
        <w:t>102</w:t>
      </w:r>
      <w:proofErr w:type="gramEnd"/>
      <w:r w:rsidRPr="00CF6CB5">
        <w:rPr>
          <w:rFonts w:hint="eastAsia"/>
        </w:rPr>
        <w:t>年度及</w:t>
      </w:r>
      <w:proofErr w:type="gramStart"/>
      <w:r w:rsidRPr="00CF6CB5">
        <w:rPr>
          <w:rFonts w:hint="eastAsia"/>
        </w:rPr>
        <w:t>104</w:t>
      </w:r>
      <w:proofErr w:type="gramEnd"/>
      <w:r w:rsidRPr="00CF6CB5">
        <w:rPr>
          <w:rFonts w:hint="eastAsia"/>
        </w:rPr>
        <w:t>年度中央政府總預算案時，亦決議要求</w:t>
      </w:r>
      <w:r w:rsidR="00013F27" w:rsidRPr="00CF6CB5">
        <w:rPr>
          <w:rFonts w:hint="eastAsia"/>
        </w:rPr>
        <w:t>人事行政總處</w:t>
      </w:r>
      <w:r w:rsidRPr="00CF6CB5">
        <w:rPr>
          <w:rFonts w:hint="eastAsia"/>
        </w:rPr>
        <w:t>檢討簡</w:t>
      </w:r>
      <w:proofErr w:type="gramStart"/>
      <w:r w:rsidRPr="00CF6CB5">
        <w:rPr>
          <w:rFonts w:hint="eastAsia"/>
        </w:rPr>
        <w:t>併</w:t>
      </w:r>
      <w:proofErr w:type="gramEnd"/>
      <w:r w:rsidRPr="00CF6CB5">
        <w:rPr>
          <w:rFonts w:hint="eastAsia"/>
        </w:rPr>
        <w:t>各類人員專業加給。究其實際執行情形，原人事行政局前局長吳泰成指出：「…</w:t>
      </w:r>
      <w:proofErr w:type="gramStart"/>
      <w:r w:rsidRPr="00CF6CB5">
        <w:rPr>
          <w:rFonts w:hint="eastAsia"/>
        </w:rPr>
        <w:t>…</w:t>
      </w:r>
      <w:proofErr w:type="gramEnd"/>
      <w:r w:rsidRPr="00CF6CB5">
        <w:rPr>
          <w:rFonts w:hint="eastAsia"/>
        </w:rPr>
        <w:t>全國公務人員之加給，除</w:t>
      </w:r>
      <w:r w:rsidR="00A41709" w:rsidRPr="00CF6CB5">
        <w:rPr>
          <w:rFonts w:hint="eastAsia"/>
        </w:rPr>
        <w:t>人事行政局</w:t>
      </w:r>
      <w:r w:rsidRPr="00CF6CB5">
        <w:rPr>
          <w:rFonts w:hint="eastAsia"/>
        </w:rPr>
        <w:t>給與處主事人員外，無人得窺全貌，而且幾十年來某一類加給之調升，</w:t>
      </w:r>
      <w:proofErr w:type="gramStart"/>
      <w:r w:rsidRPr="00CF6CB5">
        <w:rPr>
          <w:rFonts w:hint="eastAsia"/>
        </w:rPr>
        <w:t>每因是</w:t>
      </w:r>
      <w:proofErr w:type="gramEnd"/>
      <w:r w:rsidRPr="00CF6CB5">
        <w:rPr>
          <w:rFonts w:hint="eastAsia"/>
        </w:rPr>
        <w:t>類人員之有力長官大力爭取或是類人員公開抗爭，乃獲致或多或少之回應，使公務人員覺得整個加給制度是黑箱作業，而且會吵的小孩才有糖吃。</w:t>
      </w:r>
      <w:r w:rsidRPr="00CF6CB5">
        <w:rPr>
          <w:rStyle w:val="aff1"/>
        </w:rPr>
        <w:footnoteReference w:id="39"/>
      </w:r>
      <w:r w:rsidRPr="00CF6CB5">
        <w:rPr>
          <w:rFonts w:hint="eastAsia"/>
        </w:rPr>
        <w:t>」按專業加給在不同類別人員間存有差距並非不妥，例如法官之專業加給雖高出一般公務人員269.2％，但因其工作性質特殊，</w:t>
      </w:r>
      <w:proofErr w:type="gramStart"/>
      <w:r w:rsidRPr="00CF6CB5">
        <w:rPr>
          <w:rFonts w:hint="eastAsia"/>
        </w:rPr>
        <w:t>各界均能接受</w:t>
      </w:r>
      <w:proofErr w:type="gramEnd"/>
      <w:r w:rsidRPr="00CF6CB5">
        <w:rPr>
          <w:rFonts w:hint="eastAsia"/>
        </w:rPr>
        <w:t>，但其中亦不乏普遍認為不合理者。前考試</w:t>
      </w:r>
      <w:r w:rsidR="00545DAA" w:rsidRPr="00CF6CB5">
        <w:rPr>
          <w:rFonts w:hint="eastAsia"/>
        </w:rPr>
        <w:t>委員</w:t>
      </w:r>
      <w:r w:rsidRPr="00CF6CB5">
        <w:rPr>
          <w:rFonts w:hint="eastAsia"/>
        </w:rPr>
        <w:t>許濱松即指出：例如法務調查局人員之專業加給較一般公務人員竟高出171.28％，造成近年來司法官與紀錄書記官抗議，要求合理調高其專業加給之主因等語</w:t>
      </w:r>
      <w:r w:rsidRPr="00CF6CB5">
        <w:rPr>
          <w:rStyle w:val="aff1"/>
        </w:rPr>
        <w:footnoteReference w:id="40"/>
      </w:r>
      <w:r w:rsidRPr="00CF6CB5">
        <w:rPr>
          <w:rFonts w:hint="eastAsia"/>
        </w:rPr>
        <w:t>。可見現行各類加給之調整機制，未必如</w:t>
      </w:r>
      <w:r w:rsidR="00013F27" w:rsidRPr="00CF6CB5">
        <w:rPr>
          <w:rFonts w:hint="eastAsia"/>
        </w:rPr>
        <w:t>人事行政總處</w:t>
      </w:r>
      <w:r w:rsidRPr="00CF6CB5">
        <w:rPr>
          <w:rFonts w:hint="eastAsia"/>
        </w:rPr>
        <w:t>所稱，能達成整體考量資源分配及待遇衡平，亦未必能真正反映各類公務人員職務之專業、辛勞程度。</w:t>
      </w:r>
      <w:r w:rsidR="00BD5B0E" w:rsidRPr="00CF6CB5">
        <w:rPr>
          <w:rFonts w:hint="eastAsia"/>
        </w:rPr>
        <w:t>前考試委員</w:t>
      </w:r>
      <w:r w:rsidRPr="00CF6CB5">
        <w:rPr>
          <w:rFonts w:hint="eastAsia"/>
        </w:rPr>
        <w:t>許濱松分析上開現象，指出原因有二：一為各類專業加給支給標準之相關係數迄未建立，各項專業加給支給標準流於主觀認定，</w:t>
      </w:r>
      <w:proofErr w:type="gramStart"/>
      <w:r w:rsidRPr="00CF6CB5">
        <w:rPr>
          <w:rFonts w:hint="eastAsia"/>
        </w:rPr>
        <w:t>或淪於</w:t>
      </w:r>
      <w:proofErr w:type="gramEnd"/>
      <w:r w:rsidRPr="00CF6CB5">
        <w:rPr>
          <w:rFonts w:hint="eastAsia"/>
        </w:rPr>
        <w:t>討價還價境地，若遇強勢機關首長帶頭提出要求，或團結以有組織之方式抗爭，並遊說民意</w:t>
      </w:r>
      <w:r w:rsidRPr="00CF6CB5">
        <w:rPr>
          <w:rFonts w:hint="eastAsia"/>
        </w:rPr>
        <w:lastRenderedPageBreak/>
        <w:t>代表支持，使專業加給之調整欠缺客觀合理，加深不公平之現象；二為未能嚴格規範各類專業加給支給標準之適用對象，借調或調任從事他種性質工作，卻支領較為優厚之原專業加給，或從事同一性質工作，卻因調任專業加給支給標準較高之機關服務，而比照支領較高之專業加給等情</w:t>
      </w:r>
      <w:r w:rsidRPr="00CF6CB5">
        <w:rPr>
          <w:rStyle w:val="aff1"/>
        </w:rPr>
        <w:footnoteReference w:id="41"/>
      </w:r>
      <w:r w:rsidRPr="00CF6CB5">
        <w:rPr>
          <w:rFonts w:hint="eastAsia"/>
        </w:rPr>
        <w:t>。</w:t>
      </w:r>
    </w:p>
    <w:p w:rsidR="00294D6C" w:rsidRPr="00CF6CB5" w:rsidRDefault="00294D6C" w:rsidP="0002256A">
      <w:pPr>
        <w:pStyle w:val="4"/>
      </w:pPr>
      <w:r w:rsidRPr="00CF6CB5">
        <w:rPr>
          <w:rFonts w:hint="eastAsia"/>
        </w:rPr>
        <w:t>對於上開現象，學者專家提出不同的解決之道，有認為主管機關應就實質面進行工作分析與工作評價、進行人力市場薪給率之調查，建立客觀合理的專業加給支給標準</w:t>
      </w:r>
      <w:r w:rsidRPr="00CF6CB5">
        <w:rPr>
          <w:rStyle w:val="aff1"/>
        </w:rPr>
        <w:footnoteReference w:id="42"/>
      </w:r>
      <w:r w:rsidRPr="00CF6CB5">
        <w:rPr>
          <w:rFonts w:hint="eastAsia"/>
        </w:rPr>
        <w:t>；有認為應由行政院會同考試院結合各界及機關代表，組成超然之委員會，依各類人員之性質及人力供需等因素，建立客觀合理的比值，公諸社會以受公評</w:t>
      </w:r>
      <w:r w:rsidRPr="00CF6CB5">
        <w:rPr>
          <w:rStyle w:val="aff1"/>
        </w:rPr>
        <w:footnoteReference w:id="43"/>
      </w:r>
      <w:r w:rsidRPr="00CF6CB5">
        <w:rPr>
          <w:rFonts w:hint="eastAsia"/>
        </w:rPr>
        <w:t>；有認為應參考民間薪資水準，及藉由與公務人員團體的參與及協商，促使待遇調整趨於合理化與透</w:t>
      </w:r>
      <w:proofErr w:type="gramStart"/>
      <w:r w:rsidRPr="00CF6CB5">
        <w:rPr>
          <w:rFonts w:hint="eastAsia"/>
        </w:rPr>
        <w:t>明化</w:t>
      </w:r>
      <w:proofErr w:type="gramEnd"/>
      <w:r w:rsidRPr="00CF6CB5">
        <w:rPr>
          <w:rStyle w:val="aff1"/>
        </w:rPr>
        <w:footnoteReference w:id="44"/>
      </w:r>
      <w:r w:rsidRPr="00CF6CB5">
        <w:rPr>
          <w:rFonts w:hint="eastAsia"/>
        </w:rPr>
        <w:t>。上開建議值得行政院及考試院參酌，共謀改善之道。</w:t>
      </w:r>
    </w:p>
    <w:p w:rsidR="00294D6C" w:rsidRPr="00CF6CB5" w:rsidRDefault="00294D6C" w:rsidP="00294D6C">
      <w:pPr>
        <w:pStyle w:val="3"/>
        <w:kinsoku w:val="0"/>
        <w:overflowPunct/>
        <w:autoSpaceDE/>
        <w:autoSpaceDN/>
        <w:ind w:left="1393" w:hanging="697"/>
        <w:rPr>
          <w:b/>
        </w:rPr>
      </w:pPr>
      <w:bookmarkStart w:id="140" w:name="_Toc510456633"/>
      <w:bookmarkStart w:id="141" w:name="_Toc510534705"/>
      <w:bookmarkStart w:id="142" w:name="_Toc511053625"/>
      <w:bookmarkStart w:id="143" w:name="_Toc511126971"/>
      <w:bookmarkStart w:id="144" w:name="_Toc525066147"/>
      <w:bookmarkStart w:id="145" w:name="_Toc525070838"/>
      <w:bookmarkStart w:id="146" w:name="_Toc525938378"/>
      <w:bookmarkStart w:id="147" w:name="_Toc525939226"/>
      <w:bookmarkStart w:id="148" w:name="_Toc525939731"/>
      <w:bookmarkStart w:id="149" w:name="_Toc529218271"/>
      <w:bookmarkStart w:id="150" w:name="_Toc529222688"/>
      <w:bookmarkStart w:id="151" w:name="_Toc529223110"/>
      <w:bookmarkStart w:id="152" w:name="_Toc529223861"/>
      <w:bookmarkStart w:id="153" w:name="_Toc529228264"/>
      <w:r w:rsidRPr="00CF6CB5">
        <w:rPr>
          <w:rFonts w:hint="eastAsia"/>
          <w:b/>
        </w:rPr>
        <w:t>分析現行各種專業加給過多、不符公平原則等現象，</w:t>
      </w:r>
      <w:r w:rsidR="001A403D" w:rsidRPr="00CF6CB5">
        <w:rPr>
          <w:rFonts w:hint="eastAsia"/>
          <w:b/>
        </w:rPr>
        <w:t>不能忽視相關</w:t>
      </w:r>
      <w:r w:rsidRPr="00CF6CB5">
        <w:rPr>
          <w:rFonts w:hint="eastAsia"/>
          <w:b/>
        </w:rPr>
        <w:t>決定及調整之程序欠缺公開透明，亦未</w:t>
      </w:r>
      <w:proofErr w:type="gramStart"/>
      <w:r w:rsidRPr="00CF6CB5">
        <w:rPr>
          <w:rFonts w:hint="eastAsia"/>
          <w:b/>
        </w:rPr>
        <w:t>踐行</w:t>
      </w:r>
      <w:proofErr w:type="gramEnd"/>
      <w:r w:rsidRPr="00CF6CB5">
        <w:rPr>
          <w:rFonts w:hint="eastAsia"/>
          <w:b/>
        </w:rPr>
        <w:t>法規命令修正之程序，致外界有黑箱作業之誤解，實有待檢討。</w:t>
      </w:r>
      <w:bookmarkEnd w:id="140"/>
      <w:bookmarkEnd w:id="141"/>
      <w:bookmarkEnd w:id="142"/>
      <w:bookmarkEnd w:id="143"/>
    </w:p>
    <w:p w:rsidR="00294D6C" w:rsidRPr="00CF6CB5" w:rsidRDefault="00294D6C" w:rsidP="0002256A">
      <w:pPr>
        <w:pStyle w:val="4"/>
      </w:pPr>
      <w:r w:rsidRPr="00CF6CB5">
        <w:rPr>
          <w:rFonts w:hint="eastAsia"/>
        </w:rPr>
        <w:t>上開公務人員專業加給有欠公平合理之種種現象，雖有其複雜之原因，但主要涉及其決定及調整之程序是否符合公平正義。現行各種加給之修正調整程序，依「加給給與辦法」第14</w:t>
      </w:r>
      <w:r w:rsidR="00A41709" w:rsidRPr="00CF6CB5">
        <w:rPr>
          <w:rFonts w:hint="eastAsia"/>
        </w:rPr>
        <w:t>條規定：「公務人員各種加給之支給數額，由原</w:t>
      </w:r>
      <w:r w:rsidRPr="00CF6CB5">
        <w:rPr>
          <w:rFonts w:hint="eastAsia"/>
        </w:rPr>
        <w:t>人事行政</w:t>
      </w:r>
      <w:r w:rsidRPr="00CF6CB5">
        <w:rPr>
          <w:rFonts w:hint="eastAsia"/>
        </w:rPr>
        <w:lastRenderedPageBreak/>
        <w:t>局會商銓敘部擬訂方案，送軍公教員工待遇審議委員會審議後，報請行政院核定實施。」亦即實質之掌控權及最後決定權均在行政院，考試院僅有參與權及建議權。其實際運作，依</w:t>
      </w:r>
      <w:proofErr w:type="gramStart"/>
      <w:r w:rsidRPr="00CF6CB5">
        <w:rPr>
          <w:rFonts w:hint="eastAsia"/>
        </w:rPr>
        <w:t>銓敘部前次長</w:t>
      </w:r>
      <w:proofErr w:type="gramEnd"/>
      <w:r w:rsidRPr="00CF6CB5">
        <w:rPr>
          <w:rFonts w:hint="eastAsia"/>
        </w:rPr>
        <w:t>徐有守指出：「多年以來，對於是否調整加給金額，</w:t>
      </w:r>
      <w:proofErr w:type="gramStart"/>
      <w:r w:rsidRPr="00CF6CB5">
        <w:rPr>
          <w:rFonts w:hint="eastAsia"/>
        </w:rPr>
        <w:t>均由行政院</w:t>
      </w:r>
      <w:proofErr w:type="gramEnd"/>
      <w:r w:rsidRPr="00CF6CB5">
        <w:rPr>
          <w:rFonts w:hint="eastAsia"/>
        </w:rPr>
        <w:t>臨時決定後告知考試院，其</w:t>
      </w:r>
      <w:proofErr w:type="gramStart"/>
      <w:r w:rsidRPr="00CF6CB5">
        <w:rPr>
          <w:rFonts w:hint="eastAsia"/>
        </w:rPr>
        <w:t>託詞謂因涉及</w:t>
      </w:r>
      <w:proofErr w:type="gramEnd"/>
      <w:r w:rsidRPr="00CF6CB5">
        <w:rPr>
          <w:rFonts w:hint="eastAsia"/>
        </w:rPr>
        <w:t>國家每年財務狀況之不同，應保持彈性</w:t>
      </w:r>
      <w:proofErr w:type="gramStart"/>
      <w:r w:rsidRPr="00CF6CB5">
        <w:rPr>
          <w:rFonts w:hint="eastAsia"/>
        </w:rPr>
        <w:t>云</w:t>
      </w:r>
      <w:proofErr w:type="gramEnd"/>
      <w:r w:rsidRPr="00CF6CB5">
        <w:rPr>
          <w:rFonts w:hint="eastAsia"/>
        </w:rPr>
        <w:t>，但事關人民權利義務，依法原應以法律明確具體規定，縱然為求保持彈性，至少亦應訂定各類別人員間俸給之共同原則、明確之授權範圍及不得違反之事項</w:t>
      </w:r>
      <w:r w:rsidRPr="00CF6CB5">
        <w:rPr>
          <w:rStyle w:val="aff1"/>
        </w:rPr>
        <w:footnoteReference w:id="45"/>
      </w:r>
      <w:r w:rsidRPr="00CF6CB5">
        <w:rPr>
          <w:rFonts w:hint="eastAsia"/>
        </w:rPr>
        <w:t>」。</w:t>
      </w:r>
    </w:p>
    <w:p w:rsidR="00294D6C" w:rsidRPr="00CF6CB5" w:rsidRDefault="00294D6C" w:rsidP="0002256A">
      <w:pPr>
        <w:pStyle w:val="4"/>
      </w:pPr>
      <w:r w:rsidRPr="00CF6CB5">
        <w:rPr>
          <w:rFonts w:hint="eastAsia"/>
        </w:rPr>
        <w:t>最高行院法院判決（最高行政法院</w:t>
      </w:r>
      <w:proofErr w:type="gramStart"/>
      <w:r w:rsidRPr="00CF6CB5">
        <w:rPr>
          <w:rFonts w:hint="eastAsia"/>
        </w:rPr>
        <w:t>104</w:t>
      </w:r>
      <w:proofErr w:type="gramEnd"/>
      <w:r w:rsidRPr="00CF6CB5">
        <w:rPr>
          <w:rFonts w:hint="eastAsia"/>
        </w:rPr>
        <w:t>年度判字第309號判決）指出公務人員加給事項應符合二項合法要件：(1)授權主管機關以命令定之者，應限於涉及</w:t>
      </w:r>
      <w:proofErr w:type="gramStart"/>
      <w:r w:rsidRPr="00CF6CB5">
        <w:rPr>
          <w:rFonts w:hint="eastAsia"/>
        </w:rPr>
        <w:t>極</w:t>
      </w:r>
      <w:proofErr w:type="gramEnd"/>
      <w:r w:rsidRPr="00CF6CB5">
        <w:rPr>
          <w:rFonts w:hint="eastAsia"/>
        </w:rPr>
        <w:t>細節性、技術性之事項者，無法</w:t>
      </w:r>
      <w:proofErr w:type="gramStart"/>
      <w:r w:rsidRPr="00CF6CB5">
        <w:rPr>
          <w:rFonts w:hint="eastAsia"/>
        </w:rPr>
        <w:t>鉅</w:t>
      </w:r>
      <w:proofErr w:type="gramEnd"/>
      <w:r w:rsidRPr="00CF6CB5">
        <w:rPr>
          <w:rFonts w:hint="eastAsia"/>
        </w:rPr>
        <w:t>細</w:t>
      </w:r>
      <w:proofErr w:type="gramStart"/>
      <w:r w:rsidRPr="00CF6CB5">
        <w:rPr>
          <w:rFonts w:hint="eastAsia"/>
        </w:rPr>
        <w:t>靡</w:t>
      </w:r>
      <w:proofErr w:type="gramEnd"/>
      <w:r w:rsidRPr="00CF6CB5">
        <w:rPr>
          <w:rFonts w:hint="eastAsia"/>
        </w:rPr>
        <w:t>遺於法律訂定之事項</w:t>
      </w:r>
      <w:r w:rsidRPr="00CF6CB5">
        <w:rPr>
          <w:rStyle w:val="aff1"/>
        </w:rPr>
        <w:footnoteReference w:id="46"/>
      </w:r>
      <w:r w:rsidRPr="00CF6CB5">
        <w:rPr>
          <w:rFonts w:hint="eastAsia"/>
        </w:rPr>
        <w:t>。（2）行政院訂定之各種加給表，亦屬加給給與辦法之一部分，適用於全國公務人員。換言之，如依最高行政法院見解，公務人員加給之修正涉及人數</w:t>
      </w:r>
      <w:proofErr w:type="gramStart"/>
      <w:r w:rsidRPr="00CF6CB5">
        <w:rPr>
          <w:rFonts w:hint="eastAsia"/>
        </w:rPr>
        <w:t>眾多、</w:t>
      </w:r>
      <w:proofErr w:type="gramEnd"/>
      <w:r w:rsidRPr="00CF6CB5">
        <w:rPr>
          <w:rFonts w:hint="eastAsia"/>
        </w:rPr>
        <w:t>金額龐大時，因非細節性、技術性事項，即不得援引「加給給與辦法」第13條，</w:t>
      </w:r>
      <w:proofErr w:type="gramStart"/>
      <w:r w:rsidRPr="00CF6CB5">
        <w:rPr>
          <w:rFonts w:hint="eastAsia"/>
        </w:rPr>
        <w:t>逕</w:t>
      </w:r>
      <w:proofErr w:type="gramEnd"/>
      <w:r w:rsidRPr="00CF6CB5">
        <w:rPr>
          <w:rFonts w:hint="eastAsia"/>
        </w:rPr>
        <w:t>依行政院訂頒之加給表行之，而應有法律或法律授權之法規命令之依據。如認為行政院修訂各項加給表有俸給法授權之依據，因該加給表已成為加給給與辦法之一部分，其修正應循行政程序法相關規定行之。</w:t>
      </w:r>
    </w:p>
    <w:p w:rsidR="00294D6C" w:rsidRPr="00CF6CB5" w:rsidRDefault="00294D6C" w:rsidP="0002256A">
      <w:pPr>
        <w:pStyle w:val="4"/>
      </w:pPr>
      <w:r w:rsidRPr="00CF6CB5">
        <w:rPr>
          <w:rFonts w:hint="eastAsia"/>
        </w:rPr>
        <w:t>中央法規標準法第7條規定：「各機關依其法定職</w:t>
      </w:r>
      <w:r w:rsidRPr="00CF6CB5">
        <w:rPr>
          <w:rFonts w:hint="eastAsia"/>
        </w:rPr>
        <w:lastRenderedPageBreak/>
        <w:t>權或基於法律授權訂定之命令，應視其性質分別下達或發布，並即送立法院。」立法院職權行使法第60條至第63條規定，各機關訂定之命令送達立法院，應提報立法院會議。各委員會審查行政命令未於院會交付審查後3個月內完成者，視為已經審查，經審查後發現有違反、變更或牴觸法律者，或應以法律規定事項而以命令定之者，應提報院會，經議決後，通知原訂頒之機關更正或廢止之；行政程序法第150條規定：「（第1項）本法所稱法規命令，係指行政機關基於法律授權，對多數不特定人民就一般事項所作抽象之對外發生法律效果之規定。（第2項）法規命令之內容應明列其法律授權之依據，並不得逾越法律授權之範圍與立法精神。」同法第151條規定：「（第1項）行政機關訂定法規命令，除關於軍事、外交或其他重大事項而涉及國家機密或安全者外，應依本法所定程序為之。但法律另有規定者，從其規定。（第2項）法規命令之修正、廢止、停止或恢復適用，</w:t>
      </w:r>
      <w:proofErr w:type="gramStart"/>
      <w:r w:rsidRPr="00CF6CB5">
        <w:rPr>
          <w:rFonts w:hint="eastAsia"/>
        </w:rPr>
        <w:t>準</w:t>
      </w:r>
      <w:proofErr w:type="gramEnd"/>
      <w:r w:rsidRPr="00CF6CB5">
        <w:rPr>
          <w:rFonts w:hint="eastAsia"/>
        </w:rPr>
        <w:t>用訂定程序之規定。」第157條第3項規定：「法規命令之發布，應刊登政府公報或新聞紙。」</w:t>
      </w:r>
    </w:p>
    <w:p w:rsidR="00294D6C" w:rsidRPr="00CF6CB5" w:rsidRDefault="00294D6C" w:rsidP="0002256A">
      <w:pPr>
        <w:pStyle w:val="4"/>
      </w:pPr>
      <w:r w:rsidRPr="00CF6CB5">
        <w:rPr>
          <w:rFonts w:hint="eastAsia"/>
        </w:rPr>
        <w:t>行政院辦理104年1月「修正警察人員警勤加給表」，因授權地方政府得以自有財源支給公務人員加給之加成，及授權地方政府得</w:t>
      </w:r>
      <w:proofErr w:type="gramStart"/>
      <w:r w:rsidRPr="00CF6CB5">
        <w:rPr>
          <w:rFonts w:hint="eastAsia"/>
        </w:rPr>
        <w:t>自行依勤業務</w:t>
      </w:r>
      <w:proofErr w:type="gramEnd"/>
      <w:r w:rsidRPr="00CF6CB5">
        <w:rPr>
          <w:rFonts w:hint="eastAsia"/>
        </w:rPr>
        <w:t>繁重程度訂定加給支給標準等法制變革，且每年支出金額達20億元，影響人數達2萬3千餘人，已非單純之數額調整（容後詳述）。經本院向</w:t>
      </w:r>
      <w:r w:rsidR="00013F27" w:rsidRPr="00CF6CB5">
        <w:rPr>
          <w:rFonts w:hint="eastAsia"/>
        </w:rPr>
        <w:t>人事行政總處</w:t>
      </w:r>
      <w:proofErr w:type="gramStart"/>
      <w:r w:rsidRPr="00CF6CB5">
        <w:rPr>
          <w:rFonts w:hint="eastAsia"/>
        </w:rPr>
        <w:t>調閱其公告</w:t>
      </w:r>
      <w:proofErr w:type="gramEnd"/>
      <w:r w:rsidRPr="00CF6CB5">
        <w:rPr>
          <w:rFonts w:hint="eastAsia"/>
        </w:rPr>
        <w:t>、發布等相關文件，該總處僅說明相關事項僅屬執行法律之細節性、技術性次要事項，無需以法律為直接規範，行政院於</w:t>
      </w:r>
      <w:proofErr w:type="gramStart"/>
      <w:r w:rsidRPr="00CF6CB5">
        <w:rPr>
          <w:rFonts w:hint="eastAsia"/>
        </w:rPr>
        <w:t>研</w:t>
      </w:r>
      <w:proofErr w:type="gramEnd"/>
      <w:r w:rsidRPr="00CF6CB5">
        <w:rPr>
          <w:rFonts w:hint="eastAsia"/>
        </w:rPr>
        <w:t>議</w:t>
      </w:r>
      <w:r w:rsidRPr="00CF6CB5">
        <w:rPr>
          <w:rFonts w:hint="eastAsia"/>
        </w:rPr>
        <w:lastRenderedPageBreak/>
        <w:t>過程均</w:t>
      </w:r>
      <w:proofErr w:type="gramStart"/>
      <w:r w:rsidRPr="00CF6CB5">
        <w:rPr>
          <w:rFonts w:hint="eastAsia"/>
        </w:rPr>
        <w:t>踐行</w:t>
      </w:r>
      <w:proofErr w:type="gramEnd"/>
      <w:r w:rsidRPr="00CF6CB5">
        <w:rPr>
          <w:rFonts w:hint="eastAsia"/>
        </w:rPr>
        <w:t>訂定程序之規範等語，而未提供相關文件。又查詢政府公報資訊網，亦查無事先公告及發布之記載。足見現行各種加給之修正調整程序，不符行政程序法有關法規命令之相關規定，</w:t>
      </w:r>
      <w:proofErr w:type="gramStart"/>
      <w:r w:rsidRPr="00CF6CB5">
        <w:rPr>
          <w:rFonts w:hint="eastAsia"/>
        </w:rPr>
        <w:t>洵</w:t>
      </w:r>
      <w:proofErr w:type="gramEnd"/>
      <w:r w:rsidRPr="00CF6CB5">
        <w:rPr>
          <w:rFonts w:hint="eastAsia"/>
        </w:rPr>
        <w:t>有待檢討。</w:t>
      </w:r>
    </w:p>
    <w:p w:rsidR="00294D6C" w:rsidRPr="00CF6CB5" w:rsidRDefault="00294D6C" w:rsidP="00294D6C">
      <w:pPr>
        <w:pStyle w:val="3"/>
        <w:kinsoku w:val="0"/>
        <w:overflowPunct/>
        <w:autoSpaceDE/>
        <w:autoSpaceDN/>
        <w:ind w:left="1393" w:hanging="697"/>
        <w:rPr>
          <w:b/>
        </w:rPr>
      </w:pPr>
      <w:bookmarkStart w:id="154" w:name="_Toc510456634"/>
      <w:bookmarkStart w:id="155" w:name="_Toc510534706"/>
      <w:bookmarkStart w:id="156" w:name="_Toc511053626"/>
      <w:bookmarkStart w:id="157" w:name="_Toc511126972"/>
      <w:r w:rsidRPr="00CF6CB5">
        <w:rPr>
          <w:rFonts w:hint="eastAsia"/>
          <w:b/>
        </w:rPr>
        <w:t>小結</w:t>
      </w:r>
      <w:bookmarkEnd w:id="154"/>
      <w:bookmarkEnd w:id="155"/>
      <w:bookmarkEnd w:id="156"/>
      <w:bookmarkEnd w:id="157"/>
    </w:p>
    <w:p w:rsidR="00294D6C" w:rsidRPr="00CF6CB5" w:rsidRDefault="00294D6C" w:rsidP="00294D6C">
      <w:pPr>
        <w:pStyle w:val="32"/>
        <w:ind w:left="1361" w:firstLine="680"/>
      </w:pPr>
      <w:r w:rsidRPr="00CF6CB5">
        <w:rPr>
          <w:rFonts w:hint="eastAsia"/>
        </w:rPr>
        <w:t>綜上，行政院依「待遇支給要點」</w:t>
      </w:r>
      <w:proofErr w:type="gramStart"/>
      <w:r w:rsidRPr="00CF6CB5">
        <w:rPr>
          <w:rFonts w:hint="eastAsia"/>
        </w:rPr>
        <w:t>及函頒之</w:t>
      </w:r>
      <w:proofErr w:type="gramEnd"/>
      <w:r w:rsidRPr="00CF6CB5">
        <w:rPr>
          <w:rFonts w:hint="eastAsia"/>
        </w:rPr>
        <w:t>加給表辦理各種加給之訂定及調整，固然係考量長期以來實務運作之現況。然無論從憲法增修條文第6條、俸給法第18條規定，或所涉之人數及預算金額觀之，公務人員加給之給與條件及支給數額等事項，當屬司法院釋字第443號解釋所稱之「公共利益之重大事項」，應有法律或法律授權之法規命令為依據。立法院預算中心指出：「公務人員加給轉委任由待遇支給要點規範，與大法官解釋意旨未合，且以行政規則發布，亦有規避立法院監督之嫌」</w:t>
      </w:r>
      <w:r w:rsidRPr="00CF6CB5">
        <w:rPr>
          <w:rStyle w:val="aff1"/>
        </w:rPr>
        <w:footnoteReference w:id="47"/>
      </w:r>
      <w:r w:rsidRPr="00CF6CB5">
        <w:rPr>
          <w:rFonts w:hint="eastAsia"/>
        </w:rPr>
        <w:t>。</w:t>
      </w:r>
      <w:proofErr w:type="gramStart"/>
      <w:r w:rsidRPr="00CF6CB5">
        <w:rPr>
          <w:rFonts w:hint="eastAsia"/>
        </w:rPr>
        <w:t>縱</w:t>
      </w:r>
      <w:proofErr w:type="gramEnd"/>
      <w:r w:rsidRPr="00CF6CB5">
        <w:rPr>
          <w:rFonts w:hint="eastAsia"/>
        </w:rPr>
        <w:t>認為「加給給與辦法」屬俸給法第18條授權之法規命令，該辦法發布時已送立法院審查，而立法院並未質疑該辦法第13條之規定。學者認為或可勉強將「待遇支給要點」及相關函文視為「法制不備前之權宜措施」，主張現行公務人員各種</w:t>
      </w:r>
      <w:proofErr w:type="gramStart"/>
      <w:r w:rsidRPr="00CF6CB5">
        <w:rPr>
          <w:rFonts w:hint="eastAsia"/>
        </w:rPr>
        <w:t>加給表宜改</w:t>
      </w:r>
      <w:proofErr w:type="gramEnd"/>
      <w:r w:rsidR="00EB5F39" w:rsidRPr="00CF6CB5">
        <w:rPr>
          <w:rFonts w:hint="eastAsia"/>
        </w:rPr>
        <w:t>列</w:t>
      </w:r>
      <w:r w:rsidRPr="00CF6CB5">
        <w:rPr>
          <w:rFonts w:hint="eastAsia"/>
        </w:rPr>
        <w:t>「加給給與辦法」自行規定</w:t>
      </w:r>
      <w:r w:rsidR="00EB5F39" w:rsidRPr="00CF6CB5">
        <w:rPr>
          <w:rFonts w:hint="eastAsia"/>
        </w:rPr>
        <w:t>（列為該辦法之附表）</w:t>
      </w:r>
      <w:r w:rsidRPr="00CF6CB5">
        <w:rPr>
          <w:rFonts w:hint="eastAsia"/>
        </w:rPr>
        <w:t>，或修改俸給法第18條之授權條款，明確授權行政院以法規命令定之</w:t>
      </w:r>
      <w:r w:rsidRPr="00CF6CB5">
        <w:rPr>
          <w:rStyle w:val="aff1"/>
        </w:rPr>
        <w:footnoteReference w:id="48"/>
      </w:r>
      <w:r w:rsidRPr="00CF6CB5">
        <w:rPr>
          <w:rFonts w:hint="eastAsia"/>
        </w:rPr>
        <w:t>，並非無據，行政院容有參考之必要。又</w:t>
      </w:r>
      <w:r w:rsidR="00013F27" w:rsidRPr="00CF6CB5">
        <w:rPr>
          <w:rFonts w:hint="eastAsia"/>
        </w:rPr>
        <w:t>人事行政總處</w:t>
      </w:r>
      <w:r w:rsidRPr="00CF6CB5">
        <w:rPr>
          <w:rFonts w:hint="eastAsia"/>
        </w:rPr>
        <w:t>雖表示：加給之支給，因涉全國資源分配及軍公教人員整體待遇衡平政策考量，</w:t>
      </w:r>
      <w:proofErr w:type="gramStart"/>
      <w:r w:rsidRPr="00CF6CB5">
        <w:rPr>
          <w:rFonts w:hint="eastAsia"/>
        </w:rPr>
        <w:t>歷來均由行政院</w:t>
      </w:r>
      <w:proofErr w:type="gramEnd"/>
      <w:r w:rsidRPr="00CF6CB5">
        <w:rPr>
          <w:rFonts w:hint="eastAsia"/>
        </w:rPr>
        <w:t>通盤</w:t>
      </w:r>
      <w:proofErr w:type="gramStart"/>
      <w:r w:rsidRPr="00CF6CB5">
        <w:rPr>
          <w:rFonts w:hint="eastAsia"/>
        </w:rPr>
        <w:t>研</w:t>
      </w:r>
      <w:proofErr w:type="gramEnd"/>
      <w:r w:rsidRPr="00CF6CB5">
        <w:rPr>
          <w:rFonts w:hint="eastAsia"/>
        </w:rPr>
        <w:t>議將規定具體化，</w:t>
      </w:r>
      <w:proofErr w:type="gramStart"/>
      <w:r w:rsidRPr="00CF6CB5">
        <w:rPr>
          <w:rFonts w:hint="eastAsia"/>
        </w:rPr>
        <w:t>俾</w:t>
      </w:r>
      <w:proofErr w:type="gramEnd"/>
      <w:r w:rsidRPr="00CF6CB5">
        <w:rPr>
          <w:rFonts w:hint="eastAsia"/>
        </w:rPr>
        <w:t>利機關</w:t>
      </w:r>
      <w:r w:rsidRPr="00CF6CB5">
        <w:rPr>
          <w:rFonts w:hint="eastAsia"/>
        </w:rPr>
        <w:lastRenderedPageBreak/>
        <w:t>據以執行，以因應社會變遷及人力資源彈性運用等語，認為公務人員待遇之決定屬行政院之權職。而公務人員基準法草案第</w:t>
      </w:r>
      <w:r w:rsidRPr="00CF6CB5">
        <w:t>55</w:t>
      </w:r>
      <w:r w:rsidRPr="00CF6CB5">
        <w:rPr>
          <w:rFonts w:hint="eastAsia"/>
        </w:rPr>
        <w:t>條授權行政院會商考試院訂定及調整公務人員</w:t>
      </w:r>
      <w:proofErr w:type="gramStart"/>
      <w:r w:rsidRPr="00CF6CB5">
        <w:rPr>
          <w:rFonts w:hint="eastAsia"/>
        </w:rPr>
        <w:t>俸</w:t>
      </w:r>
      <w:proofErr w:type="gramEnd"/>
      <w:r w:rsidRPr="00CF6CB5">
        <w:rPr>
          <w:rFonts w:hint="eastAsia"/>
        </w:rPr>
        <w:t>（薪）給數額，但行政院仍以相關事項涉及全國總資源分配狀況、政府預算支應能力等理由，建議刪除「會商考試院」之規定，主張應完全授權行政院依職權辦理</w:t>
      </w:r>
      <w:r w:rsidRPr="00CF6CB5">
        <w:rPr>
          <w:rStyle w:val="aff1"/>
        </w:rPr>
        <w:footnoteReference w:id="49"/>
      </w:r>
      <w:r w:rsidRPr="00CF6CB5">
        <w:rPr>
          <w:rFonts w:hint="eastAsia"/>
        </w:rPr>
        <w:t>。此一態度，在各界指責公務人員加給之調整機制欠缺透明及不符實質公平之情形下，恐不符合人民對政府之期待。誠如考試委員黃錦堂指出：「未來，在法政策學上，應該如何討論，尤其當財政更加困窘，公務員薪水已經提高，各類加給已經浮濫，人民對於公部門的觀感等前提下，是否應該在形式法上，有更高的規範密度要求。…</w:t>
      </w:r>
      <w:proofErr w:type="gramStart"/>
      <w:r w:rsidRPr="00CF6CB5">
        <w:rPr>
          <w:rFonts w:hint="eastAsia"/>
        </w:rPr>
        <w:t>…</w:t>
      </w:r>
      <w:proofErr w:type="gramEnd"/>
      <w:r w:rsidRPr="00CF6CB5">
        <w:rPr>
          <w:rFonts w:hint="eastAsia"/>
        </w:rPr>
        <w:t>建議研究單位可參考各先進國家的分類為何，不論是管理學的分類，或其各自的形式法走向，以及實質上的作法為何」</w:t>
      </w:r>
      <w:r w:rsidRPr="00CF6CB5">
        <w:rPr>
          <w:rStyle w:val="aff1"/>
        </w:rPr>
        <w:footnoteReference w:id="50"/>
      </w:r>
      <w:r w:rsidRPr="00CF6CB5">
        <w:rPr>
          <w:rFonts w:hint="eastAsia"/>
        </w:rPr>
        <w:t>，確屬的論，行政院允應注意</w:t>
      </w:r>
      <w:r w:rsidR="00EB5F39" w:rsidRPr="00CF6CB5">
        <w:rPr>
          <w:rFonts w:hint="eastAsia"/>
        </w:rPr>
        <w:t>並謀求改善</w:t>
      </w:r>
      <w:r w:rsidRPr="00CF6CB5">
        <w:rPr>
          <w:rFonts w:hint="eastAsia"/>
        </w:rPr>
        <w:t>。</w:t>
      </w:r>
    </w:p>
    <w:p w:rsidR="00294D6C" w:rsidRPr="00CF6CB5" w:rsidRDefault="00294D6C" w:rsidP="00373F4B">
      <w:pPr>
        <w:pStyle w:val="2"/>
        <w:rPr>
          <w:b/>
        </w:rPr>
      </w:pPr>
      <w:bookmarkStart w:id="158" w:name="_Toc511126973"/>
      <w:r w:rsidRPr="00CF6CB5">
        <w:rPr>
          <w:rFonts w:hint="eastAsia"/>
          <w:b/>
        </w:rPr>
        <w:t>行政院為解決北部都會基層警力外流嚴重，實施警勤加給繁重加成制度，其合理性及</w:t>
      </w:r>
      <w:r w:rsidR="00373F4B" w:rsidRPr="00CF6CB5">
        <w:rPr>
          <w:rFonts w:hint="eastAsia"/>
          <w:b/>
        </w:rPr>
        <w:t>正當</w:t>
      </w:r>
      <w:r w:rsidRPr="00CF6CB5">
        <w:rPr>
          <w:rFonts w:hint="eastAsia"/>
          <w:b/>
        </w:rPr>
        <w:t>性並無疑義，實施結果確能提高員警留任意願。惟其最初之構想，乃臺北市政府基於首都地區之物價及生活費用偏高，社會問題及犯罪手法多樣化，員警之勤務重、壓力大，留任意願低落，不利於治安維護，而建議行政院於「地域加給」中增列警消人員「</w:t>
      </w:r>
      <w:r w:rsidR="002F3D1F" w:rsidRPr="00CF6CB5">
        <w:rPr>
          <w:rFonts w:hint="eastAsia"/>
          <w:b/>
        </w:rPr>
        <w:t>首都勤務</w:t>
      </w:r>
      <w:r w:rsidRPr="00CF6CB5">
        <w:rPr>
          <w:rFonts w:hint="eastAsia"/>
          <w:b/>
        </w:rPr>
        <w:t>加給」，尚非單純以勤務</w:t>
      </w:r>
      <w:r w:rsidR="00DF4758" w:rsidRPr="00CF6CB5">
        <w:rPr>
          <w:rFonts w:hint="eastAsia"/>
          <w:b/>
        </w:rPr>
        <w:t>量</w:t>
      </w:r>
      <w:r w:rsidRPr="00CF6CB5">
        <w:rPr>
          <w:rFonts w:hint="eastAsia"/>
          <w:b/>
        </w:rPr>
        <w:t>作為增加警勤加給支給數額之唯一考量標</w:t>
      </w:r>
      <w:r w:rsidRPr="00CF6CB5">
        <w:rPr>
          <w:rFonts w:hint="eastAsia"/>
          <w:b/>
        </w:rPr>
        <w:lastRenderedPageBreak/>
        <w:t>準。現行警勤加給繁重加成制度之試辦及實施經過，決策過程轉折極大，實施對象由北部都會</w:t>
      </w:r>
      <w:r w:rsidR="0064608B" w:rsidRPr="00CF6CB5">
        <w:rPr>
          <w:rFonts w:hint="eastAsia"/>
          <w:b/>
        </w:rPr>
        <w:t>地</w:t>
      </w:r>
      <w:r w:rsidRPr="00CF6CB5">
        <w:rPr>
          <w:rFonts w:hint="eastAsia"/>
          <w:b/>
        </w:rPr>
        <w:t>區轉變為六都全面實施</w:t>
      </w:r>
      <w:r w:rsidR="00DF4758" w:rsidRPr="00CF6CB5">
        <w:rPr>
          <w:rFonts w:hint="eastAsia"/>
          <w:b/>
        </w:rPr>
        <w:t>，摒</w:t>
      </w:r>
      <w:r w:rsidR="00373F4B" w:rsidRPr="00CF6CB5">
        <w:rPr>
          <w:rFonts w:hint="eastAsia"/>
          <w:b/>
        </w:rPr>
        <w:t>棄「實質薪資」之加給基本觀念</w:t>
      </w:r>
      <w:r w:rsidRPr="00CF6CB5">
        <w:rPr>
          <w:rFonts w:hint="eastAsia"/>
          <w:b/>
        </w:rPr>
        <w:t>，以勤務</w:t>
      </w:r>
      <w:r w:rsidR="00DF4758" w:rsidRPr="00CF6CB5">
        <w:rPr>
          <w:rFonts w:hint="eastAsia"/>
          <w:b/>
        </w:rPr>
        <w:t>量</w:t>
      </w:r>
      <w:r w:rsidRPr="00CF6CB5">
        <w:rPr>
          <w:rFonts w:hint="eastAsia"/>
          <w:b/>
        </w:rPr>
        <w:t>為唯一衡量標準。實施以來，未能確實反映政策目標，且因各地方政府</w:t>
      </w:r>
      <w:r w:rsidR="00373F4B" w:rsidRPr="00CF6CB5">
        <w:rPr>
          <w:rFonts w:hint="eastAsia"/>
          <w:b/>
        </w:rPr>
        <w:t>需</w:t>
      </w:r>
      <w:r w:rsidRPr="00CF6CB5">
        <w:rPr>
          <w:rFonts w:hint="eastAsia"/>
          <w:b/>
        </w:rPr>
        <w:t>自籌財源，實施情形不一，行政院允應從國家整體發展之長遠角度深入思考。而該項涉及俸給法制重大變革及國家龐大經費支出之事項，未適度尊重立法院及考試院之職權，自行於警勤加給表增訂備註說明，</w:t>
      </w:r>
      <w:proofErr w:type="gramStart"/>
      <w:r w:rsidRPr="00CF6CB5">
        <w:rPr>
          <w:rFonts w:hint="eastAsia"/>
          <w:b/>
        </w:rPr>
        <w:t>以函頒之</w:t>
      </w:r>
      <w:proofErr w:type="gramEnd"/>
      <w:r w:rsidRPr="00CF6CB5">
        <w:rPr>
          <w:rFonts w:hint="eastAsia"/>
          <w:b/>
        </w:rPr>
        <w:t>方式行之，</w:t>
      </w:r>
      <w:proofErr w:type="gramStart"/>
      <w:r w:rsidRPr="00CF6CB5">
        <w:rPr>
          <w:rFonts w:hint="eastAsia"/>
          <w:b/>
        </w:rPr>
        <w:t>洵有未洽</w:t>
      </w:r>
      <w:proofErr w:type="gramEnd"/>
      <w:r w:rsidRPr="00CF6CB5">
        <w:rPr>
          <w:rFonts w:hint="eastAsia"/>
          <w:b/>
        </w:rPr>
        <w:t>，允應從法制面通盤檢討。</w:t>
      </w:r>
      <w:bookmarkEnd w:id="158"/>
    </w:p>
    <w:p w:rsidR="00294D6C" w:rsidRPr="00CF6CB5" w:rsidRDefault="00294D6C" w:rsidP="00294D6C">
      <w:pPr>
        <w:pStyle w:val="3"/>
        <w:kinsoku w:val="0"/>
        <w:overflowPunct/>
        <w:autoSpaceDE/>
        <w:autoSpaceDN/>
        <w:ind w:left="1393" w:hanging="697"/>
      </w:pPr>
      <w:bookmarkStart w:id="159" w:name="_Toc510456636"/>
      <w:bookmarkStart w:id="160" w:name="_Toc510534708"/>
      <w:bookmarkStart w:id="161" w:name="_Toc511053628"/>
      <w:bookmarkStart w:id="162" w:name="_Toc511126974"/>
      <w:r w:rsidRPr="00CF6CB5">
        <w:rPr>
          <w:rFonts w:hint="eastAsia"/>
          <w:b/>
        </w:rPr>
        <w:t>警勤加給繁重加成制度之試辦及實施經過，決策過程轉折極大：</w:t>
      </w:r>
      <w:bookmarkEnd w:id="159"/>
      <w:bookmarkEnd w:id="160"/>
      <w:bookmarkEnd w:id="161"/>
      <w:bookmarkEnd w:id="162"/>
    </w:p>
    <w:p w:rsidR="00294D6C" w:rsidRPr="00CF6CB5" w:rsidRDefault="00294D6C" w:rsidP="00294D6C">
      <w:pPr>
        <w:pStyle w:val="4"/>
        <w:overflowPunct/>
        <w:autoSpaceDE/>
        <w:autoSpaceDN/>
        <w:ind w:left="1741" w:hanging="698"/>
        <w:rPr>
          <w:sz w:val="28"/>
          <w:szCs w:val="28"/>
        </w:rPr>
      </w:pPr>
      <w:r w:rsidRPr="00CF6CB5">
        <w:rPr>
          <w:rFonts w:hint="eastAsia"/>
        </w:rPr>
        <w:t>警勤加給繁重加成制度之試辦及實施經過略</w:t>
      </w:r>
      <w:proofErr w:type="gramStart"/>
      <w:r w:rsidRPr="00CF6CB5">
        <w:rPr>
          <w:rFonts w:hint="eastAsia"/>
        </w:rPr>
        <w:t>以</w:t>
      </w:r>
      <w:proofErr w:type="gramEnd"/>
      <w:r w:rsidRPr="00CF6CB5">
        <w:rPr>
          <w:rFonts w:hint="eastAsia"/>
        </w:rPr>
        <w:t>：</w:t>
      </w:r>
    </w:p>
    <w:p w:rsidR="00294D6C" w:rsidRPr="00CF6CB5" w:rsidRDefault="00294D6C" w:rsidP="0002256A">
      <w:pPr>
        <w:pStyle w:val="5"/>
        <w:rPr>
          <w:sz w:val="28"/>
          <w:szCs w:val="28"/>
        </w:rPr>
      </w:pPr>
      <w:r w:rsidRPr="00CF6CB5">
        <w:rPr>
          <w:rFonts w:hint="eastAsia"/>
        </w:rPr>
        <w:t>內政部為降低北部都會警察大舉南調對勤務之衝擊，報請行政院自103年起試辦勤務繁重加成，經</w:t>
      </w:r>
      <w:r w:rsidR="00013F27" w:rsidRPr="00CF6CB5">
        <w:rPr>
          <w:rFonts w:hint="eastAsia"/>
        </w:rPr>
        <w:t>人事行政總處</w:t>
      </w:r>
      <w:r w:rsidRPr="00CF6CB5">
        <w:rPr>
          <w:rFonts w:hint="eastAsia"/>
        </w:rPr>
        <w:t>於103年4月25日召開「</w:t>
      </w:r>
      <w:proofErr w:type="gramStart"/>
      <w:r w:rsidRPr="00CF6CB5">
        <w:rPr>
          <w:rFonts w:hint="eastAsia"/>
        </w:rPr>
        <w:t>研</w:t>
      </w:r>
      <w:proofErr w:type="gramEnd"/>
      <w:r w:rsidRPr="00CF6CB5">
        <w:rPr>
          <w:rFonts w:hint="eastAsia"/>
        </w:rPr>
        <w:t>商『警察人員警勤加給表』增訂勤務繁重加成」會議，並依會議結論簽報行政院修正警勤加給表</w:t>
      </w:r>
      <w:r w:rsidRPr="00CF6CB5">
        <w:rPr>
          <w:rStyle w:val="aff1"/>
        </w:rPr>
        <w:footnoteReference w:id="51"/>
      </w:r>
      <w:r w:rsidRPr="00CF6CB5">
        <w:rPr>
          <w:rFonts w:hint="eastAsia"/>
        </w:rPr>
        <w:t xml:space="preserve">，溯自同年1月1日生效。並請內政部制訂適用各地方政府警察機關勤務繁重指標及其衡量基準，經內政部於103年5月22 </w:t>
      </w:r>
      <w:proofErr w:type="gramStart"/>
      <w:r w:rsidRPr="00CF6CB5">
        <w:rPr>
          <w:rFonts w:hint="eastAsia"/>
        </w:rPr>
        <w:t>日函發</w:t>
      </w:r>
      <w:proofErr w:type="gramEnd"/>
      <w:r w:rsidRPr="00CF6CB5">
        <w:rPr>
          <w:rFonts w:hint="eastAsia"/>
        </w:rPr>
        <w:t>「警察人員警勤加給勤務繁重</w:t>
      </w:r>
      <w:proofErr w:type="gramStart"/>
      <w:r w:rsidRPr="00CF6CB5">
        <w:rPr>
          <w:rFonts w:hint="eastAsia"/>
        </w:rPr>
        <w:t>加成支給</w:t>
      </w:r>
      <w:proofErr w:type="gramEnd"/>
      <w:r w:rsidRPr="00CF6CB5">
        <w:rPr>
          <w:rFonts w:hint="eastAsia"/>
        </w:rPr>
        <w:t>審核標準」，同意臺北市及新北市政府先行試辦。經檢討試辦結果認為，該</w:t>
      </w:r>
      <w:proofErr w:type="gramStart"/>
      <w:r w:rsidRPr="00CF6CB5">
        <w:rPr>
          <w:rFonts w:hint="eastAsia"/>
        </w:rPr>
        <w:t>項支給雖</w:t>
      </w:r>
      <w:proofErr w:type="gramEnd"/>
      <w:r w:rsidRPr="00CF6CB5">
        <w:rPr>
          <w:rFonts w:hint="eastAsia"/>
        </w:rPr>
        <w:t>有助提升工作績效及激勵員警士氣，惟衍生財政分配、要求援比等議題，為免擴大爭議，內政部決定自104年起停止試辦。</w:t>
      </w:r>
    </w:p>
    <w:p w:rsidR="00294D6C" w:rsidRPr="00CF6CB5" w:rsidRDefault="00294D6C" w:rsidP="0002256A">
      <w:pPr>
        <w:pStyle w:val="5"/>
      </w:pPr>
      <w:r w:rsidRPr="00CF6CB5">
        <w:rPr>
          <w:rFonts w:hint="eastAsia"/>
        </w:rPr>
        <w:lastRenderedPageBreak/>
        <w:t>臺北市政府104年1月7日函內政部</w:t>
      </w:r>
      <w:proofErr w:type="gramStart"/>
      <w:r w:rsidRPr="00CF6CB5">
        <w:rPr>
          <w:rFonts w:hint="eastAsia"/>
        </w:rPr>
        <w:t>申復略以</w:t>
      </w:r>
      <w:proofErr w:type="gramEnd"/>
      <w:r w:rsidRPr="00CF6CB5">
        <w:rPr>
          <w:rStyle w:val="aff1"/>
        </w:rPr>
        <w:footnoteReference w:id="52"/>
      </w:r>
      <w:r w:rsidRPr="00CF6CB5">
        <w:rPr>
          <w:rFonts w:hint="eastAsia"/>
        </w:rPr>
        <w:t>：臺北市勤務繁重程度遠非其他縣市警察局可比，現職員警紛紛請調返鄉，缺額比例居高不下，該案試辦結果，確有助於提昇工作績效及激勵員警士氣，達留任、延攬人才之目的，建議繼續試辦6個月。</w:t>
      </w:r>
    </w:p>
    <w:p w:rsidR="00294D6C" w:rsidRPr="00CF6CB5" w:rsidRDefault="00294D6C" w:rsidP="0002256A">
      <w:pPr>
        <w:pStyle w:val="5"/>
      </w:pPr>
      <w:r w:rsidRPr="00CF6CB5">
        <w:rPr>
          <w:rFonts w:hint="eastAsia"/>
        </w:rPr>
        <w:t>內政部於104年1月14日邀集相關機關協商，決議在「依勤務繁重程度區分、落實不同工不同酬、財源經費自籌」之前提下，修正警勤加給表備註第6點規定，擴大正式實施。經行政院於104年1月21日在該表備註(六)增訂：「各直轄市政府得視治安、交通、警察勤務狀況繁重程度，以自籌經費…</w:t>
      </w:r>
      <w:proofErr w:type="gramStart"/>
      <w:r w:rsidRPr="00CF6CB5">
        <w:rPr>
          <w:rFonts w:hint="eastAsia"/>
        </w:rPr>
        <w:t>…</w:t>
      </w:r>
      <w:proofErr w:type="gramEnd"/>
      <w:r w:rsidRPr="00CF6CB5">
        <w:rPr>
          <w:rFonts w:hint="eastAsia"/>
        </w:rPr>
        <w:t>就</w:t>
      </w:r>
      <w:proofErr w:type="gramStart"/>
      <w:r w:rsidRPr="00CF6CB5">
        <w:rPr>
          <w:rFonts w:hint="eastAsia"/>
        </w:rPr>
        <w:t>本表支給</w:t>
      </w:r>
      <w:proofErr w:type="gramEnd"/>
      <w:r w:rsidRPr="00CF6CB5">
        <w:rPr>
          <w:rFonts w:hint="eastAsia"/>
        </w:rPr>
        <w:t>對象</w:t>
      </w:r>
      <w:proofErr w:type="gramStart"/>
      <w:r w:rsidRPr="00CF6CB5">
        <w:rPr>
          <w:rFonts w:hint="eastAsia"/>
        </w:rPr>
        <w:t>加成支給</w:t>
      </w:r>
      <w:proofErr w:type="gramEnd"/>
      <w:r w:rsidRPr="00CF6CB5">
        <w:rPr>
          <w:rFonts w:hint="eastAsia"/>
        </w:rPr>
        <w:t>：1、臺北市、新北市政府警察局及其所屬機關(單位)</w:t>
      </w:r>
      <w:proofErr w:type="gramStart"/>
      <w:r w:rsidRPr="00CF6CB5">
        <w:rPr>
          <w:rFonts w:hint="eastAsia"/>
        </w:rPr>
        <w:t>按原支等級</w:t>
      </w:r>
      <w:proofErr w:type="gramEnd"/>
      <w:r w:rsidRPr="00CF6CB5">
        <w:rPr>
          <w:rFonts w:hint="eastAsia"/>
        </w:rPr>
        <w:t>數額最高加一倍支給。2、桃園市、</w:t>
      </w:r>
      <w:proofErr w:type="gramStart"/>
      <w:r w:rsidRPr="00CF6CB5">
        <w:rPr>
          <w:rFonts w:hint="eastAsia"/>
        </w:rPr>
        <w:t>臺</w:t>
      </w:r>
      <w:proofErr w:type="gramEnd"/>
      <w:r w:rsidRPr="00CF6CB5">
        <w:rPr>
          <w:rFonts w:hint="eastAsia"/>
        </w:rPr>
        <w:t>中市、</w:t>
      </w:r>
      <w:proofErr w:type="gramStart"/>
      <w:r w:rsidRPr="00CF6CB5">
        <w:rPr>
          <w:rFonts w:hint="eastAsia"/>
        </w:rPr>
        <w:t>臺</w:t>
      </w:r>
      <w:proofErr w:type="gramEnd"/>
      <w:r w:rsidRPr="00CF6CB5">
        <w:rPr>
          <w:rFonts w:hint="eastAsia"/>
        </w:rPr>
        <w:t xml:space="preserve">南市、高雄市政府警察局及其所屬機關(單位) </w:t>
      </w:r>
      <w:proofErr w:type="gramStart"/>
      <w:r w:rsidRPr="00CF6CB5">
        <w:rPr>
          <w:rFonts w:hint="eastAsia"/>
        </w:rPr>
        <w:t>按原支等級</w:t>
      </w:r>
      <w:proofErr w:type="gramEnd"/>
      <w:r w:rsidRPr="00CF6CB5">
        <w:rPr>
          <w:rFonts w:hint="eastAsia"/>
        </w:rPr>
        <w:t>數額最高加七成支給。3、各直轄市政府應依所屬警察機關(單位)勤務繁重狀況區分三級，在規定最高成數範圍內，訂定基準分級支給。4、支領地域加給者，不得支給勤務繁重加成。」</w:t>
      </w:r>
      <w:r w:rsidRPr="00CF6CB5">
        <w:rPr>
          <w:rStyle w:val="aff1"/>
        </w:rPr>
        <w:footnoteReference w:id="53"/>
      </w:r>
      <w:r w:rsidRPr="00CF6CB5">
        <w:rPr>
          <w:rFonts w:hint="eastAsia"/>
        </w:rPr>
        <w:t>溯自104年1月1日生效。</w:t>
      </w:r>
    </w:p>
    <w:p w:rsidR="00294D6C" w:rsidRPr="00CF6CB5" w:rsidRDefault="00294D6C" w:rsidP="0002256A">
      <w:pPr>
        <w:pStyle w:val="4"/>
      </w:pPr>
      <w:r w:rsidRPr="00CF6CB5">
        <w:rPr>
          <w:rFonts w:hint="eastAsia"/>
        </w:rPr>
        <w:t>上開政策轉變之原因，</w:t>
      </w:r>
      <w:proofErr w:type="gramStart"/>
      <w:r w:rsidRPr="00CF6CB5">
        <w:rPr>
          <w:rFonts w:hint="eastAsia"/>
        </w:rPr>
        <w:t>詢</w:t>
      </w:r>
      <w:proofErr w:type="gramEnd"/>
      <w:r w:rsidRPr="00CF6CB5">
        <w:rPr>
          <w:rFonts w:hint="eastAsia"/>
        </w:rPr>
        <w:t>據內政部表示：係</w:t>
      </w:r>
      <w:proofErr w:type="gramStart"/>
      <w:r w:rsidRPr="00CF6CB5">
        <w:rPr>
          <w:rFonts w:hint="eastAsia"/>
        </w:rPr>
        <w:t>該部於104年1月14日</w:t>
      </w:r>
      <w:proofErr w:type="gramEnd"/>
      <w:r w:rsidRPr="00CF6CB5">
        <w:rPr>
          <w:rFonts w:hint="eastAsia"/>
        </w:rPr>
        <w:t>邀請各直轄市政府、主計總處、</w:t>
      </w:r>
      <w:r w:rsidR="00013F27" w:rsidRPr="00CF6CB5">
        <w:rPr>
          <w:rFonts w:hint="eastAsia"/>
        </w:rPr>
        <w:t>人事行政總處</w:t>
      </w:r>
      <w:r w:rsidRPr="00CF6CB5">
        <w:rPr>
          <w:rFonts w:hint="eastAsia"/>
        </w:rPr>
        <w:t>會</w:t>
      </w:r>
      <w:proofErr w:type="gramStart"/>
      <w:r w:rsidRPr="00CF6CB5">
        <w:rPr>
          <w:rFonts w:hint="eastAsia"/>
        </w:rPr>
        <w:t>研</w:t>
      </w:r>
      <w:proofErr w:type="gramEnd"/>
      <w:r w:rsidRPr="00CF6CB5">
        <w:rPr>
          <w:rFonts w:hint="eastAsia"/>
        </w:rPr>
        <w:t>商決議等語。另調閱內政部函報行政院核定之</w:t>
      </w:r>
      <w:proofErr w:type="gramStart"/>
      <w:r w:rsidRPr="00CF6CB5">
        <w:rPr>
          <w:rFonts w:hint="eastAsia"/>
        </w:rPr>
        <w:t>函文略以</w:t>
      </w:r>
      <w:proofErr w:type="gramEnd"/>
      <w:r w:rsidRPr="00CF6CB5">
        <w:rPr>
          <w:rStyle w:val="aff1"/>
        </w:rPr>
        <w:footnoteReference w:id="54"/>
      </w:r>
      <w:r w:rsidRPr="00CF6CB5">
        <w:rPr>
          <w:rFonts w:hint="eastAsia"/>
        </w:rPr>
        <w:t>：中央及各級地方政府向來極為重視警察人員之辛勞，因各地方治</w:t>
      </w:r>
      <w:r w:rsidRPr="00CF6CB5">
        <w:rPr>
          <w:rFonts w:hint="eastAsia"/>
        </w:rPr>
        <w:lastRenderedPageBreak/>
        <w:t>安、交通、人力及勤務狀況均不同，為降低北部都會警察大舉南調對勤務之衝擊，以因應各直轄市政府警察局勤務繁重程度不一，在「依勤務繁重程度區分、落實不同工不同酬、財源經費自籌」之原則，修正警勤</w:t>
      </w:r>
      <w:proofErr w:type="gramStart"/>
      <w:r w:rsidRPr="00CF6CB5">
        <w:rPr>
          <w:rFonts w:hint="eastAsia"/>
        </w:rPr>
        <w:t>加級表備註</w:t>
      </w:r>
      <w:proofErr w:type="gramEnd"/>
      <w:r w:rsidRPr="00CF6CB5">
        <w:rPr>
          <w:rFonts w:hint="eastAsia"/>
        </w:rPr>
        <w:t>第6點之規定等語。</w:t>
      </w:r>
      <w:proofErr w:type="gramStart"/>
      <w:r w:rsidRPr="00CF6CB5">
        <w:rPr>
          <w:rFonts w:hint="eastAsia"/>
        </w:rPr>
        <w:t>然未合理</w:t>
      </w:r>
      <w:proofErr w:type="gramEnd"/>
      <w:r w:rsidRPr="00CF6CB5">
        <w:rPr>
          <w:rFonts w:hint="eastAsia"/>
        </w:rPr>
        <w:t>說明如何由停止試辦至擴大實施之轉折過程，亦未解釋何以實施對象由首都（北部都會）轉變為六都全面實施。</w:t>
      </w:r>
    </w:p>
    <w:p w:rsidR="00294D6C" w:rsidRPr="00CF6CB5" w:rsidRDefault="00294D6C" w:rsidP="00294D6C">
      <w:pPr>
        <w:pStyle w:val="3"/>
        <w:kinsoku w:val="0"/>
        <w:overflowPunct/>
        <w:autoSpaceDE/>
        <w:autoSpaceDN/>
        <w:ind w:left="1393" w:hanging="697"/>
        <w:rPr>
          <w:b/>
        </w:rPr>
      </w:pPr>
      <w:bookmarkStart w:id="163" w:name="_Toc510456637"/>
      <w:bookmarkStart w:id="164" w:name="_Toc510534709"/>
      <w:bookmarkStart w:id="165" w:name="_Toc511053629"/>
      <w:bookmarkStart w:id="166" w:name="_Toc511126975"/>
      <w:r w:rsidRPr="00CF6CB5">
        <w:rPr>
          <w:rFonts w:hint="eastAsia"/>
          <w:b/>
        </w:rPr>
        <w:t>警勤加給繁重加成制度，其合理性及必要性並無疑義，實施結果確能提高員警留任意願；而該制度授權地方政府依實務需求，訂定分級標準及適用對象，並以自籌財源支應，亦能體現績效及財務責任，</w:t>
      </w:r>
      <w:r w:rsidR="00B97593" w:rsidRPr="00CF6CB5">
        <w:rPr>
          <w:rFonts w:hint="eastAsia"/>
          <w:b/>
        </w:rPr>
        <w:t>有</w:t>
      </w:r>
      <w:r w:rsidRPr="00CF6CB5">
        <w:rPr>
          <w:rFonts w:hint="eastAsia"/>
          <w:b/>
        </w:rPr>
        <w:t>其正面</w:t>
      </w:r>
      <w:r w:rsidR="00571C03" w:rsidRPr="00CF6CB5">
        <w:rPr>
          <w:rFonts w:hint="eastAsia"/>
          <w:b/>
        </w:rPr>
        <w:t>意</w:t>
      </w:r>
      <w:r w:rsidRPr="00CF6CB5">
        <w:rPr>
          <w:rFonts w:hint="eastAsia"/>
          <w:b/>
        </w:rPr>
        <w:t>涵：</w:t>
      </w:r>
      <w:bookmarkEnd w:id="163"/>
      <w:bookmarkEnd w:id="164"/>
      <w:bookmarkEnd w:id="165"/>
      <w:bookmarkEnd w:id="166"/>
    </w:p>
    <w:p w:rsidR="00294D6C" w:rsidRPr="00CF6CB5" w:rsidRDefault="00294D6C" w:rsidP="0002256A">
      <w:pPr>
        <w:pStyle w:val="4"/>
      </w:pPr>
      <w:r w:rsidRPr="00CF6CB5">
        <w:rPr>
          <w:rFonts w:hint="eastAsia"/>
        </w:rPr>
        <w:t>有關各直轄市警察機關勤務</w:t>
      </w:r>
      <w:proofErr w:type="gramStart"/>
      <w:r w:rsidRPr="00CF6CB5">
        <w:rPr>
          <w:rFonts w:hint="eastAsia"/>
        </w:rPr>
        <w:t>繁動加</w:t>
      </w:r>
      <w:proofErr w:type="gramEnd"/>
      <w:r w:rsidRPr="00CF6CB5">
        <w:rPr>
          <w:rFonts w:hint="eastAsia"/>
        </w:rPr>
        <w:t>成之實施成效，據內政部表示，以實施前(100-102年)及實施後</w:t>
      </w:r>
      <w:proofErr w:type="gramStart"/>
      <w:r w:rsidRPr="00CF6CB5">
        <w:rPr>
          <w:rFonts w:hint="eastAsia"/>
        </w:rPr>
        <w:t>（</w:t>
      </w:r>
      <w:proofErr w:type="gramEnd"/>
      <w:r w:rsidRPr="00CF6CB5">
        <w:rPr>
          <w:rFonts w:hint="eastAsia"/>
        </w:rPr>
        <w:t>103-106年)，針對第10至11序列職務之基層佐警進行實證研究，發現警勤加給繁重加成制度實施後，分析每年基層佐警「請調人數」，有助於提高員警留任意願，其中臺北市、新北市員警請調比率由實施前22.39%降至14.26%，減少8.13個百分點；桃園市、</w:t>
      </w:r>
      <w:proofErr w:type="gramStart"/>
      <w:r w:rsidRPr="00CF6CB5">
        <w:rPr>
          <w:rFonts w:hint="eastAsia"/>
        </w:rPr>
        <w:t>臺</w:t>
      </w:r>
      <w:proofErr w:type="gramEnd"/>
      <w:r w:rsidRPr="00CF6CB5">
        <w:rPr>
          <w:rFonts w:hint="eastAsia"/>
        </w:rPr>
        <w:t>中市員警請調比率由實施前20.90%降至14.02%，減少6.88個百分點；其他組請調比率實施前後則無顯著差異，顯示該制度之實施結果，確能提高員警留任意願，詳如下圖：</w:t>
      </w:r>
    </w:p>
    <w:p w:rsidR="00294D6C" w:rsidRPr="00CF6CB5" w:rsidRDefault="00294D6C" w:rsidP="00C672D8">
      <w:pPr>
        <w:pStyle w:val="a1"/>
      </w:pPr>
      <w:r w:rsidRPr="00CF6CB5">
        <w:rPr>
          <w:noProof/>
        </w:rPr>
        <w:lastRenderedPageBreak/>
        <w:drawing>
          <wp:anchor distT="0" distB="0" distL="114300" distR="114300" simplePos="0" relativeHeight="251659264" behindDoc="0" locked="0" layoutInCell="1" allowOverlap="1" wp14:anchorId="064302D7" wp14:editId="53D0A32F">
            <wp:simplePos x="0" y="0"/>
            <wp:positionH relativeFrom="margin">
              <wp:posOffset>1111250</wp:posOffset>
            </wp:positionH>
            <wp:positionV relativeFrom="paragraph">
              <wp:posOffset>501015</wp:posOffset>
            </wp:positionV>
            <wp:extent cx="4079240" cy="2265045"/>
            <wp:effectExtent l="0" t="0" r="0" b="0"/>
            <wp:wrapTopAndBottom/>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9240" cy="2265045"/>
                    </a:xfrm>
                    <a:prstGeom prst="rect">
                      <a:avLst/>
                    </a:prstGeom>
                    <a:noFill/>
                  </pic:spPr>
                </pic:pic>
              </a:graphicData>
            </a:graphic>
          </wp:anchor>
        </w:drawing>
      </w:r>
      <w:r w:rsidRPr="00CF6CB5">
        <w:rPr>
          <w:rFonts w:hint="eastAsia"/>
        </w:rPr>
        <w:t>100-106年第10-11序列警察人員請調比率趨勢</w:t>
      </w:r>
    </w:p>
    <w:p w:rsidR="00294D6C" w:rsidRPr="00CF6CB5" w:rsidRDefault="004B5E94" w:rsidP="00C672D8">
      <w:pPr>
        <w:pStyle w:val="af7"/>
      </w:pPr>
      <w:r w:rsidRPr="00CF6CB5">
        <w:rPr>
          <w:rFonts w:hint="eastAsia"/>
        </w:rPr>
        <w:t>資料來源：內政部</w:t>
      </w:r>
    </w:p>
    <w:p w:rsidR="00294D6C" w:rsidRPr="00CF6CB5" w:rsidRDefault="00294D6C" w:rsidP="0002256A">
      <w:pPr>
        <w:pStyle w:val="4"/>
      </w:pPr>
      <w:r w:rsidRPr="00CF6CB5">
        <w:rPr>
          <w:rFonts w:hint="eastAsia"/>
        </w:rPr>
        <w:t>就制度設計之實質面而言，</w:t>
      </w:r>
      <w:r w:rsidR="00013F27" w:rsidRPr="00CF6CB5">
        <w:rPr>
          <w:rFonts w:hint="eastAsia"/>
        </w:rPr>
        <w:t>人事行政總處</w:t>
      </w:r>
      <w:r w:rsidRPr="00CF6CB5">
        <w:rPr>
          <w:rFonts w:hint="eastAsia"/>
        </w:rPr>
        <w:t>於103年間提出「待遇管理的</w:t>
      </w:r>
      <w:proofErr w:type="gramStart"/>
      <w:r w:rsidRPr="00CF6CB5">
        <w:rPr>
          <w:rFonts w:hint="eastAsia"/>
        </w:rPr>
        <w:t>當責化</w:t>
      </w:r>
      <w:proofErr w:type="gramEnd"/>
      <w:r w:rsidRPr="00CF6CB5">
        <w:rPr>
          <w:rFonts w:hint="eastAsia"/>
        </w:rPr>
        <w:t>策略」，作為該處執行政府人力資源管理的策略重點。其內涵略</w:t>
      </w:r>
      <w:proofErr w:type="gramStart"/>
      <w:r w:rsidRPr="00CF6CB5">
        <w:rPr>
          <w:rFonts w:hint="eastAsia"/>
        </w:rPr>
        <w:t>以</w:t>
      </w:r>
      <w:proofErr w:type="gramEnd"/>
      <w:r w:rsidRPr="00CF6CB5">
        <w:rPr>
          <w:rFonts w:hint="eastAsia"/>
        </w:rPr>
        <w:t>：中央與地方各級政府就公務人員待遇權責之相關決策，必須契合績效待遇的基本概念，即透過</w:t>
      </w:r>
      <w:proofErr w:type="gramStart"/>
      <w:r w:rsidRPr="00CF6CB5">
        <w:rPr>
          <w:rFonts w:hint="eastAsia"/>
        </w:rPr>
        <w:t>當責化</w:t>
      </w:r>
      <w:proofErr w:type="gramEnd"/>
      <w:r w:rsidRPr="00CF6CB5">
        <w:rPr>
          <w:rFonts w:hint="eastAsia"/>
        </w:rPr>
        <w:t>的要求，採取「彈性」及「授權」的方式，要求地方政府於決定員工待遇水準時，須確實</w:t>
      </w:r>
      <w:proofErr w:type="gramStart"/>
      <w:r w:rsidRPr="00CF6CB5">
        <w:rPr>
          <w:rFonts w:hint="eastAsia"/>
        </w:rPr>
        <w:t>踐行</w:t>
      </w:r>
      <w:proofErr w:type="gramEnd"/>
      <w:r w:rsidRPr="00CF6CB5">
        <w:rPr>
          <w:rFonts w:hint="eastAsia"/>
        </w:rPr>
        <w:t>(1)績效責任：符合一定績效基準；(2)財務責任：自籌財源；(3)零基責任：定期檢討、日落思維</w:t>
      </w:r>
      <w:r w:rsidRPr="00CF6CB5">
        <w:rPr>
          <w:rStyle w:val="aff1"/>
        </w:rPr>
        <w:footnoteReference w:id="55"/>
      </w:r>
      <w:r w:rsidRPr="00CF6CB5">
        <w:rPr>
          <w:rFonts w:hint="eastAsia"/>
        </w:rPr>
        <w:t>等節，就政府用人需求及公務人員報酬如何給合績效概念與發揮激勵作用觀之，非無其正面之涵義。</w:t>
      </w:r>
    </w:p>
    <w:p w:rsidR="00294D6C" w:rsidRPr="00CF6CB5" w:rsidRDefault="00294D6C" w:rsidP="00294D6C">
      <w:pPr>
        <w:pStyle w:val="3"/>
        <w:kinsoku w:val="0"/>
        <w:overflowPunct/>
        <w:autoSpaceDE/>
        <w:autoSpaceDN/>
        <w:ind w:left="1393" w:hanging="697"/>
      </w:pPr>
      <w:bookmarkStart w:id="167" w:name="_Toc510456638"/>
      <w:bookmarkStart w:id="168" w:name="_Toc510534710"/>
      <w:bookmarkStart w:id="169" w:name="_Toc511053630"/>
      <w:bookmarkStart w:id="170" w:name="_Toc511126976"/>
      <w:r w:rsidRPr="00CF6CB5">
        <w:rPr>
          <w:rFonts w:hint="eastAsia"/>
          <w:b/>
        </w:rPr>
        <w:t>警勤加給繁重</w:t>
      </w:r>
      <w:proofErr w:type="gramStart"/>
      <w:r w:rsidRPr="00CF6CB5">
        <w:rPr>
          <w:rFonts w:hint="eastAsia"/>
          <w:b/>
        </w:rPr>
        <w:t>加成係為</w:t>
      </w:r>
      <w:proofErr w:type="gramEnd"/>
      <w:r w:rsidRPr="00CF6CB5">
        <w:rPr>
          <w:rFonts w:hint="eastAsia"/>
          <w:b/>
        </w:rPr>
        <w:t>解決北部都會區基層警力外流嚴重之問題，其構想乃基於首都地區公共安全事務備受重視、物價及生活費用偏高、社會問題及犯罪手法多樣化，執行困難度及危險性相對較高，員警之勤務重、壓力大等因素。內政部於103年僅</w:t>
      </w:r>
      <w:r w:rsidRPr="00CF6CB5">
        <w:rPr>
          <w:rFonts w:hint="eastAsia"/>
          <w:b/>
        </w:rPr>
        <w:lastRenderedPageBreak/>
        <w:t>核定臺北市及新北市進行試辦，且</w:t>
      </w:r>
      <w:r w:rsidR="00013F27" w:rsidRPr="00CF6CB5">
        <w:rPr>
          <w:rFonts w:hint="eastAsia"/>
          <w:b/>
        </w:rPr>
        <w:t>行政院</w:t>
      </w:r>
      <w:r w:rsidR="00A92A99" w:rsidRPr="00CF6CB5">
        <w:rPr>
          <w:rFonts w:hint="eastAsia"/>
          <w:b/>
        </w:rPr>
        <w:t>人事</w:t>
      </w:r>
      <w:r w:rsidR="00013F27" w:rsidRPr="00CF6CB5">
        <w:rPr>
          <w:rFonts w:hint="eastAsia"/>
          <w:b/>
        </w:rPr>
        <w:t>行政</w:t>
      </w:r>
      <w:r w:rsidR="00A92A99" w:rsidRPr="00CF6CB5">
        <w:rPr>
          <w:rFonts w:hint="eastAsia"/>
          <w:b/>
        </w:rPr>
        <w:t>總處</w:t>
      </w:r>
      <w:r w:rsidRPr="00CF6CB5">
        <w:rPr>
          <w:rFonts w:hint="eastAsia"/>
          <w:b/>
        </w:rPr>
        <w:t>委託</w:t>
      </w:r>
      <w:r w:rsidR="00A92A99" w:rsidRPr="00CF6CB5">
        <w:rPr>
          <w:rFonts w:hint="eastAsia"/>
          <w:b/>
        </w:rPr>
        <w:t>學者</w:t>
      </w:r>
      <w:r w:rsidRPr="00CF6CB5">
        <w:rPr>
          <w:rFonts w:hint="eastAsia"/>
          <w:b/>
        </w:rPr>
        <w:t>研究之結論，亦建議實施「首都勤務加給」，強調尚不宜實施「都會勤務加給」。</w:t>
      </w:r>
      <w:proofErr w:type="gramStart"/>
      <w:r w:rsidRPr="00CF6CB5">
        <w:rPr>
          <w:rFonts w:hint="eastAsia"/>
          <w:b/>
        </w:rPr>
        <w:t>惟</w:t>
      </w:r>
      <w:r w:rsidR="00A56410" w:rsidRPr="00CF6CB5">
        <w:rPr>
          <w:rFonts w:hint="eastAsia"/>
          <w:b/>
        </w:rPr>
        <w:t>或因</w:t>
      </w:r>
      <w:proofErr w:type="gramEnd"/>
      <w:r w:rsidR="00A56410" w:rsidRPr="00CF6CB5">
        <w:rPr>
          <w:rFonts w:hint="eastAsia"/>
          <w:b/>
        </w:rPr>
        <w:t>顧慮造成「南北對立」與「城鄉對立」</w:t>
      </w:r>
      <w:r w:rsidR="00DF4758" w:rsidRPr="00CF6CB5">
        <w:rPr>
          <w:rFonts w:hint="eastAsia"/>
          <w:b/>
        </w:rPr>
        <w:t>等</w:t>
      </w:r>
      <w:r w:rsidR="00A56410" w:rsidRPr="00CF6CB5">
        <w:rPr>
          <w:rFonts w:hint="eastAsia"/>
          <w:b/>
        </w:rPr>
        <w:t>負面效應</w:t>
      </w:r>
      <w:r w:rsidRPr="00CF6CB5">
        <w:rPr>
          <w:rFonts w:hint="eastAsia"/>
          <w:b/>
        </w:rPr>
        <w:t>，</w:t>
      </w:r>
      <w:r w:rsidR="00A56410" w:rsidRPr="00CF6CB5">
        <w:rPr>
          <w:rFonts w:hint="eastAsia"/>
          <w:b/>
        </w:rPr>
        <w:t>行政院將</w:t>
      </w:r>
      <w:r w:rsidRPr="00CF6CB5">
        <w:rPr>
          <w:rFonts w:hint="eastAsia"/>
          <w:b/>
        </w:rPr>
        <w:t>六都均納入實施對象，</w:t>
      </w:r>
      <w:r w:rsidR="00A92A99" w:rsidRPr="00CF6CB5">
        <w:rPr>
          <w:rFonts w:hint="eastAsia"/>
          <w:b/>
        </w:rPr>
        <w:t>並</w:t>
      </w:r>
      <w:r w:rsidRPr="00CF6CB5">
        <w:rPr>
          <w:rFonts w:hint="eastAsia"/>
          <w:b/>
        </w:rPr>
        <w:t>以勤務</w:t>
      </w:r>
      <w:r w:rsidR="00DF4758" w:rsidRPr="00CF6CB5">
        <w:rPr>
          <w:rFonts w:hint="eastAsia"/>
          <w:b/>
        </w:rPr>
        <w:t>量之</w:t>
      </w:r>
      <w:r w:rsidRPr="00CF6CB5">
        <w:rPr>
          <w:rFonts w:hint="eastAsia"/>
          <w:b/>
        </w:rPr>
        <w:t>多寡為支給之唯一</w:t>
      </w:r>
      <w:r w:rsidR="00B97593" w:rsidRPr="00CF6CB5">
        <w:rPr>
          <w:rFonts w:hint="eastAsia"/>
          <w:b/>
        </w:rPr>
        <w:t>指標</w:t>
      </w:r>
      <w:r w:rsidRPr="00CF6CB5">
        <w:rPr>
          <w:rFonts w:hint="eastAsia"/>
          <w:b/>
        </w:rPr>
        <w:t>，不易達成解決</w:t>
      </w:r>
      <w:proofErr w:type="gramStart"/>
      <w:r w:rsidRPr="00CF6CB5">
        <w:rPr>
          <w:rFonts w:hint="eastAsia"/>
          <w:b/>
        </w:rPr>
        <w:t>北警南調</w:t>
      </w:r>
      <w:proofErr w:type="gramEnd"/>
      <w:r w:rsidR="00DF4758" w:rsidRPr="00CF6CB5">
        <w:rPr>
          <w:rFonts w:hint="eastAsia"/>
          <w:b/>
        </w:rPr>
        <w:t>等問題</w:t>
      </w:r>
      <w:r w:rsidRPr="00CF6CB5">
        <w:rPr>
          <w:rFonts w:hint="eastAsia"/>
          <w:b/>
        </w:rPr>
        <w:t>之政策目</w:t>
      </w:r>
      <w:r w:rsidR="00A92A99" w:rsidRPr="00CF6CB5">
        <w:rPr>
          <w:rFonts w:hint="eastAsia"/>
          <w:b/>
        </w:rPr>
        <w:t>標</w:t>
      </w:r>
      <w:r w:rsidRPr="00CF6CB5">
        <w:rPr>
          <w:rFonts w:hint="eastAsia"/>
          <w:b/>
        </w:rPr>
        <w:t>。</w:t>
      </w:r>
      <w:bookmarkEnd w:id="167"/>
      <w:bookmarkEnd w:id="168"/>
      <w:bookmarkEnd w:id="169"/>
      <w:bookmarkEnd w:id="170"/>
    </w:p>
    <w:p w:rsidR="00294D6C" w:rsidRPr="00CF6CB5" w:rsidRDefault="00294D6C" w:rsidP="0002256A">
      <w:pPr>
        <w:pStyle w:val="4"/>
      </w:pPr>
      <w:r w:rsidRPr="00CF6CB5">
        <w:rPr>
          <w:rFonts w:hint="eastAsia"/>
        </w:rPr>
        <w:t>警勤加給繁重加成之緣由，係臺北市政府考量都會區犯罪多元性，致該市警察局員警申請調出之人數急遽攀升，留任意願低落等情。於96年10月15日函請院</w:t>
      </w:r>
      <w:r w:rsidR="00A92A99" w:rsidRPr="00CF6CB5">
        <w:rPr>
          <w:rFonts w:hint="eastAsia"/>
        </w:rPr>
        <w:t>原</w:t>
      </w:r>
      <w:r w:rsidRPr="00CF6CB5">
        <w:rPr>
          <w:rFonts w:hint="eastAsia"/>
        </w:rPr>
        <w:t>人事行政局</w:t>
      </w:r>
      <w:proofErr w:type="gramStart"/>
      <w:r w:rsidRPr="00CF6CB5">
        <w:rPr>
          <w:rFonts w:hint="eastAsia"/>
        </w:rPr>
        <w:t>研</w:t>
      </w:r>
      <w:proofErr w:type="gramEnd"/>
      <w:r w:rsidRPr="00CF6CB5">
        <w:rPr>
          <w:rFonts w:hint="eastAsia"/>
        </w:rPr>
        <w:t>擬「首都警察勤務加給」，故其政策目的在於降低</w:t>
      </w:r>
      <w:proofErr w:type="gramStart"/>
      <w:r w:rsidRPr="00CF6CB5">
        <w:rPr>
          <w:rFonts w:hint="eastAsia"/>
        </w:rPr>
        <w:t>北警南調</w:t>
      </w:r>
      <w:proofErr w:type="gramEnd"/>
      <w:r w:rsidRPr="00CF6CB5">
        <w:rPr>
          <w:rFonts w:hint="eastAsia"/>
        </w:rPr>
        <w:t>之現象。其原始構想係參考英國、美國、日本等國外制度，考量首都警察之特殊性，</w:t>
      </w:r>
      <w:proofErr w:type="gramStart"/>
      <w:r w:rsidRPr="00CF6CB5">
        <w:rPr>
          <w:rFonts w:hint="eastAsia"/>
        </w:rPr>
        <w:t>其勤業務</w:t>
      </w:r>
      <w:proofErr w:type="gramEnd"/>
      <w:r w:rsidRPr="00CF6CB5">
        <w:rPr>
          <w:rFonts w:hint="eastAsia"/>
        </w:rPr>
        <w:t>繁重程度及貢獻及犧牲程度，不比「山</w:t>
      </w:r>
      <w:proofErr w:type="gramStart"/>
      <w:r w:rsidRPr="00CF6CB5">
        <w:rPr>
          <w:rFonts w:hint="eastAsia"/>
        </w:rPr>
        <w:t>僻</w:t>
      </w:r>
      <w:proofErr w:type="gramEnd"/>
      <w:r w:rsidRPr="00CF6CB5">
        <w:rPr>
          <w:rFonts w:hint="eastAsia"/>
        </w:rPr>
        <w:t>地區」及「離島地區」低，故建議於「地域加給」中增列「都會地區」加給。</w:t>
      </w:r>
    </w:p>
    <w:p w:rsidR="00294D6C" w:rsidRPr="00CF6CB5" w:rsidRDefault="00294D6C" w:rsidP="0002256A">
      <w:pPr>
        <w:pStyle w:val="4"/>
      </w:pPr>
      <w:r w:rsidRPr="00CF6CB5">
        <w:rPr>
          <w:rFonts w:hint="eastAsia"/>
        </w:rPr>
        <w:t>上開建議，經</w:t>
      </w:r>
      <w:r w:rsidR="00013F27" w:rsidRPr="00CF6CB5">
        <w:rPr>
          <w:rFonts w:hint="eastAsia"/>
        </w:rPr>
        <w:t>人事行政總處</w:t>
      </w:r>
      <w:r w:rsidRPr="00CF6CB5">
        <w:rPr>
          <w:rFonts w:hint="eastAsia"/>
        </w:rPr>
        <w:t>於102年委託淡江大學黃一峯教授進行「我國機關學校公教員工地域加給表支給合理性之研究」，</w:t>
      </w:r>
      <w:r w:rsidR="00A56410" w:rsidRPr="00CF6CB5">
        <w:rPr>
          <w:rFonts w:hint="eastAsia"/>
        </w:rPr>
        <w:t>指出</w:t>
      </w:r>
      <w:r w:rsidRPr="00CF6CB5">
        <w:rPr>
          <w:rFonts w:hint="eastAsia"/>
        </w:rPr>
        <w:t>美國、英國、日本等國</w:t>
      </w:r>
      <w:r w:rsidR="00A56410" w:rsidRPr="00CF6CB5">
        <w:rPr>
          <w:rFonts w:hint="eastAsia"/>
        </w:rPr>
        <w:t>為因應物價不同導致實質所得降低，進而影響地區公務員留任與任用等問題，皆</w:t>
      </w:r>
      <w:r w:rsidRPr="00CF6CB5">
        <w:rPr>
          <w:rFonts w:hint="eastAsia"/>
        </w:rPr>
        <w:t>針對與首都</w:t>
      </w:r>
      <w:r w:rsidR="00A56410" w:rsidRPr="00CF6CB5">
        <w:rPr>
          <w:rFonts w:hint="eastAsia"/>
        </w:rPr>
        <w:t>地區</w:t>
      </w:r>
      <w:r w:rsidRPr="00CF6CB5">
        <w:rPr>
          <w:rFonts w:hint="eastAsia"/>
        </w:rPr>
        <w:t>高</w:t>
      </w:r>
      <w:r w:rsidR="00A56410" w:rsidRPr="00CF6CB5">
        <w:rPr>
          <w:rFonts w:hint="eastAsia"/>
        </w:rPr>
        <w:t>風險性之警察等勤務</w:t>
      </w:r>
      <w:r w:rsidRPr="00CF6CB5">
        <w:rPr>
          <w:rFonts w:hint="eastAsia"/>
        </w:rPr>
        <w:t>人員</w:t>
      </w:r>
      <w:r w:rsidR="00A56410" w:rsidRPr="00CF6CB5">
        <w:rPr>
          <w:rFonts w:hint="eastAsia"/>
        </w:rPr>
        <w:t>，</w:t>
      </w:r>
      <w:r w:rsidRPr="00CF6CB5">
        <w:rPr>
          <w:rFonts w:hint="eastAsia"/>
        </w:rPr>
        <w:t>依物價、專業程度等不同條件，訂定規則核支不同數額。</w:t>
      </w:r>
      <w:r w:rsidR="00A92A99" w:rsidRPr="00CF6CB5">
        <w:rPr>
          <w:rFonts w:hint="eastAsia"/>
        </w:rPr>
        <w:t>另</w:t>
      </w:r>
      <w:r w:rsidRPr="00CF6CB5">
        <w:rPr>
          <w:rFonts w:hint="eastAsia"/>
        </w:rPr>
        <w:t>就我國財政與城鄉生活落差、首都勤務之特殊性、困難度、公民要求、特勤內容、外界壓力等各項指標</w:t>
      </w:r>
      <w:r w:rsidR="00A33D22" w:rsidRPr="00CF6CB5">
        <w:rPr>
          <w:rFonts w:hint="eastAsia"/>
        </w:rPr>
        <w:t>，考量全面性的首都加給有一定之困難度</w:t>
      </w:r>
      <w:r w:rsidRPr="00CF6CB5">
        <w:rPr>
          <w:rFonts w:hint="eastAsia"/>
        </w:rPr>
        <w:t>，建議</w:t>
      </w:r>
      <w:r w:rsidR="00A33D22" w:rsidRPr="00CF6CB5">
        <w:rPr>
          <w:rFonts w:hint="eastAsia"/>
        </w:rPr>
        <w:t>賦予更多的彈性考量</w:t>
      </w:r>
      <w:r w:rsidR="00A92A99" w:rsidRPr="00CF6CB5">
        <w:rPr>
          <w:rFonts w:hint="eastAsia"/>
        </w:rPr>
        <w:t>之前提下</w:t>
      </w:r>
      <w:r w:rsidR="00A33D22" w:rsidRPr="00CF6CB5">
        <w:rPr>
          <w:rFonts w:hint="eastAsia"/>
        </w:rPr>
        <w:t>，實施</w:t>
      </w:r>
      <w:r w:rsidR="00A56410" w:rsidRPr="00CF6CB5">
        <w:rPr>
          <w:rFonts w:hint="eastAsia"/>
        </w:rPr>
        <w:t>警</w:t>
      </w:r>
      <w:r w:rsidR="00A92A99" w:rsidRPr="00CF6CB5">
        <w:rPr>
          <w:rFonts w:hint="eastAsia"/>
        </w:rPr>
        <w:t>察及</w:t>
      </w:r>
      <w:r w:rsidR="00A56410" w:rsidRPr="00CF6CB5">
        <w:rPr>
          <w:rFonts w:hint="eastAsia"/>
        </w:rPr>
        <w:t>消</w:t>
      </w:r>
      <w:r w:rsidR="00A92A99" w:rsidRPr="00CF6CB5">
        <w:rPr>
          <w:rFonts w:hint="eastAsia"/>
        </w:rPr>
        <w:t>防人員</w:t>
      </w:r>
      <w:r w:rsidR="00A56410" w:rsidRPr="00CF6CB5">
        <w:rPr>
          <w:rFonts w:hint="eastAsia"/>
        </w:rPr>
        <w:t>之</w:t>
      </w:r>
      <w:r w:rsidRPr="00CF6CB5">
        <w:rPr>
          <w:rFonts w:hint="eastAsia"/>
        </w:rPr>
        <w:t>「首都加給」</w:t>
      </w:r>
      <w:r w:rsidR="00A92A99" w:rsidRPr="00CF6CB5">
        <w:rPr>
          <w:rFonts w:hint="eastAsia"/>
        </w:rPr>
        <w:t>。該研究</w:t>
      </w:r>
      <w:r w:rsidR="00A33D22" w:rsidRPr="00CF6CB5">
        <w:rPr>
          <w:rFonts w:hint="eastAsia"/>
        </w:rPr>
        <w:t>並分析都市特性、地區特性、特勤勤務、外界壓力、經費壓</w:t>
      </w:r>
      <w:r w:rsidR="00A33D22" w:rsidRPr="00CF6CB5">
        <w:rPr>
          <w:rFonts w:hint="eastAsia"/>
        </w:rPr>
        <w:lastRenderedPageBreak/>
        <w:t>力、警力流失、交通勤務等指標，</w:t>
      </w:r>
      <w:r w:rsidRPr="00CF6CB5">
        <w:rPr>
          <w:rFonts w:hint="eastAsia"/>
        </w:rPr>
        <w:t>認為</w:t>
      </w:r>
      <w:r w:rsidR="002E6137" w:rsidRPr="00CF6CB5">
        <w:rPr>
          <w:rFonts w:hint="eastAsia"/>
        </w:rPr>
        <w:t>首都警察勤務相較其他警察機關</w:t>
      </w:r>
      <w:proofErr w:type="gramStart"/>
      <w:r w:rsidR="002E6137" w:rsidRPr="00CF6CB5">
        <w:rPr>
          <w:rFonts w:hint="eastAsia"/>
        </w:rPr>
        <w:t>倍</w:t>
      </w:r>
      <w:proofErr w:type="gramEnd"/>
      <w:r w:rsidR="002E6137" w:rsidRPr="00CF6CB5">
        <w:rPr>
          <w:rFonts w:hint="eastAsia"/>
        </w:rPr>
        <w:t>形繁重、危險，首都警察加給具有正當性及合理性，其他警察機關難以援引比照，</w:t>
      </w:r>
      <w:r w:rsidR="00A92A99" w:rsidRPr="00CF6CB5">
        <w:rPr>
          <w:rFonts w:hint="eastAsia"/>
        </w:rPr>
        <w:t>強調</w:t>
      </w:r>
      <w:r w:rsidRPr="00CF6CB5">
        <w:rPr>
          <w:rFonts w:hint="eastAsia"/>
        </w:rPr>
        <w:t>現階段不宜實施「都會警察勤務加給」</w:t>
      </w:r>
      <w:r w:rsidR="002E6137" w:rsidRPr="00CF6CB5">
        <w:rPr>
          <w:rFonts w:hint="eastAsia"/>
        </w:rPr>
        <w:t>。</w:t>
      </w:r>
      <w:r w:rsidR="00A92A99" w:rsidRPr="00CF6CB5">
        <w:rPr>
          <w:rFonts w:hint="eastAsia"/>
        </w:rPr>
        <w:t>但</w:t>
      </w:r>
      <w:r w:rsidR="002E6137" w:rsidRPr="00CF6CB5">
        <w:rPr>
          <w:rFonts w:hint="eastAsia"/>
        </w:rPr>
        <w:t>該研究同時指出，以我國目前經濟情勢與社會對立性，如立法上欲</w:t>
      </w:r>
      <w:proofErr w:type="gramStart"/>
      <w:r w:rsidR="002E6137" w:rsidRPr="00CF6CB5">
        <w:rPr>
          <w:rFonts w:hint="eastAsia"/>
        </w:rPr>
        <w:t>採</w:t>
      </w:r>
      <w:proofErr w:type="gramEnd"/>
      <w:r w:rsidR="002E6137" w:rsidRPr="00CF6CB5">
        <w:rPr>
          <w:rFonts w:hint="eastAsia"/>
        </w:rPr>
        <w:t>「首都加給」而非「都會加給」，恐不易達成目標，並造成「南北對立」與「城鄉對立」，解決之道在引進短期可達成之「企業作法」，仿先進國家整理公布企業界之加給情況，減少民眾之誤解，建立「避免實質薪資較低」之加給基本觀念</w:t>
      </w:r>
      <w:r w:rsidR="00F82120" w:rsidRPr="00CF6CB5">
        <w:rPr>
          <w:rFonts w:hint="eastAsia"/>
        </w:rPr>
        <w:t>等語</w:t>
      </w:r>
      <w:r w:rsidR="002E6137" w:rsidRPr="00CF6CB5">
        <w:rPr>
          <w:rStyle w:val="aff1"/>
        </w:rPr>
        <w:footnoteReference w:id="56"/>
      </w:r>
      <w:r w:rsidR="002E6137" w:rsidRPr="00CF6CB5">
        <w:rPr>
          <w:rFonts w:hint="eastAsia"/>
        </w:rPr>
        <w:t>。</w:t>
      </w:r>
    </w:p>
    <w:p w:rsidR="00294D6C" w:rsidRPr="00CF6CB5" w:rsidRDefault="00F82120" w:rsidP="00F82120">
      <w:pPr>
        <w:pStyle w:val="4"/>
      </w:pPr>
      <w:r w:rsidRPr="00CF6CB5">
        <w:rPr>
          <w:rFonts w:hint="eastAsia"/>
        </w:rPr>
        <w:t>行政院將六都均納入實施對象</w:t>
      </w:r>
      <w:r w:rsidR="00012BC2" w:rsidRPr="00CF6CB5">
        <w:rPr>
          <w:rFonts w:hint="eastAsia"/>
        </w:rPr>
        <w:t>，未採納上揭研究報告</w:t>
      </w:r>
      <w:r w:rsidR="00DF4758" w:rsidRPr="00CF6CB5">
        <w:rPr>
          <w:rFonts w:hint="eastAsia"/>
        </w:rPr>
        <w:t>，</w:t>
      </w:r>
      <w:r w:rsidR="00012BC2" w:rsidRPr="00CF6CB5">
        <w:rPr>
          <w:rFonts w:hint="eastAsia"/>
        </w:rPr>
        <w:t>將「地域加給」先行針對首都警消人員</w:t>
      </w:r>
      <w:r w:rsidR="003A7B16" w:rsidRPr="00CF6CB5">
        <w:rPr>
          <w:rFonts w:hint="eastAsia"/>
        </w:rPr>
        <w:t>之</w:t>
      </w:r>
      <w:r w:rsidR="00012BC2" w:rsidRPr="00CF6CB5">
        <w:rPr>
          <w:rFonts w:hint="eastAsia"/>
        </w:rPr>
        <w:t>建議</w:t>
      </w:r>
      <w:r w:rsidRPr="00CF6CB5">
        <w:rPr>
          <w:rFonts w:hint="eastAsia"/>
        </w:rPr>
        <w:t>，</w:t>
      </w:r>
      <w:proofErr w:type="gramStart"/>
      <w:r w:rsidRPr="00CF6CB5">
        <w:rPr>
          <w:rFonts w:hint="eastAsia"/>
        </w:rPr>
        <w:t>諒為減少</w:t>
      </w:r>
      <w:proofErr w:type="gramEnd"/>
      <w:r w:rsidRPr="00CF6CB5">
        <w:rPr>
          <w:rFonts w:hint="eastAsia"/>
        </w:rPr>
        <w:t>實施阻力及避免上開「南北對立」、「城鄉對立」等負面效應</w:t>
      </w:r>
      <w:r w:rsidR="00012BC2" w:rsidRPr="00CF6CB5">
        <w:rPr>
          <w:rFonts w:hint="eastAsia"/>
        </w:rPr>
        <w:t>，因涉及政策決定，本院無意置喙</w:t>
      </w:r>
      <w:r w:rsidRPr="00CF6CB5">
        <w:rPr>
          <w:rFonts w:hint="eastAsia"/>
        </w:rPr>
        <w:t>。</w:t>
      </w:r>
      <w:proofErr w:type="gramStart"/>
      <w:r w:rsidRPr="00CF6CB5">
        <w:rPr>
          <w:rFonts w:hint="eastAsia"/>
        </w:rPr>
        <w:t>惟</w:t>
      </w:r>
      <w:proofErr w:type="gramEnd"/>
      <w:r w:rsidR="00294D6C" w:rsidRPr="00CF6CB5">
        <w:rPr>
          <w:rFonts w:hint="eastAsia"/>
        </w:rPr>
        <w:t>現行警勤</w:t>
      </w:r>
      <w:proofErr w:type="gramStart"/>
      <w:r w:rsidR="00294D6C" w:rsidRPr="00CF6CB5">
        <w:rPr>
          <w:rFonts w:hint="eastAsia"/>
        </w:rPr>
        <w:t>加給表</w:t>
      </w:r>
      <w:r w:rsidRPr="00CF6CB5">
        <w:rPr>
          <w:rFonts w:hint="eastAsia"/>
        </w:rPr>
        <w:t>原已</w:t>
      </w:r>
      <w:proofErr w:type="gramEnd"/>
      <w:r w:rsidR="00294D6C" w:rsidRPr="00CF6CB5">
        <w:rPr>
          <w:rFonts w:hint="eastAsia"/>
        </w:rPr>
        <w:t>依警察人員之機關類別及所屬單位及層級</w:t>
      </w:r>
      <w:r w:rsidRPr="00CF6CB5">
        <w:rPr>
          <w:rFonts w:hint="eastAsia"/>
        </w:rPr>
        <w:t>為</w:t>
      </w:r>
      <w:r w:rsidR="00012BC2" w:rsidRPr="00CF6CB5">
        <w:rPr>
          <w:rFonts w:hint="eastAsia"/>
        </w:rPr>
        <w:t>標準，</w:t>
      </w:r>
      <w:r w:rsidRPr="00CF6CB5">
        <w:rPr>
          <w:rFonts w:hint="eastAsia"/>
        </w:rPr>
        <w:t>區分</w:t>
      </w:r>
      <w:r w:rsidR="00012BC2" w:rsidRPr="00CF6CB5">
        <w:rPr>
          <w:rFonts w:hint="eastAsia"/>
        </w:rPr>
        <w:t>三級支給</w:t>
      </w:r>
      <w:r w:rsidR="00294D6C" w:rsidRPr="00CF6CB5">
        <w:rPr>
          <w:rStyle w:val="aff1"/>
        </w:rPr>
        <w:footnoteReference w:id="57"/>
      </w:r>
      <w:r w:rsidR="00012BC2" w:rsidRPr="00CF6CB5">
        <w:rPr>
          <w:rFonts w:hint="eastAsia"/>
        </w:rPr>
        <w:t>。</w:t>
      </w:r>
      <w:r w:rsidR="00294D6C" w:rsidRPr="00CF6CB5">
        <w:rPr>
          <w:rFonts w:hint="eastAsia"/>
        </w:rPr>
        <w:t>員警應支領何</w:t>
      </w:r>
      <w:proofErr w:type="gramStart"/>
      <w:r w:rsidR="00294D6C" w:rsidRPr="00CF6CB5">
        <w:rPr>
          <w:rFonts w:hint="eastAsia"/>
        </w:rPr>
        <w:t>一</w:t>
      </w:r>
      <w:proofErr w:type="gramEnd"/>
      <w:r w:rsidR="00294D6C" w:rsidRPr="00CF6CB5">
        <w:rPr>
          <w:rFonts w:hint="eastAsia"/>
        </w:rPr>
        <w:t>等級之警勤加給，係以其所屬單位及層級作為區分標準，由</w:t>
      </w:r>
      <w:proofErr w:type="gramStart"/>
      <w:r w:rsidR="00294D6C" w:rsidRPr="00CF6CB5">
        <w:rPr>
          <w:rFonts w:hint="eastAsia"/>
        </w:rPr>
        <w:t>警政署審酌</w:t>
      </w:r>
      <w:proofErr w:type="gramEnd"/>
      <w:r w:rsidR="00294D6C" w:rsidRPr="00CF6CB5">
        <w:rPr>
          <w:rFonts w:hint="eastAsia"/>
        </w:rPr>
        <w:t>各單位職務之差異性綜合考量，就該項給與條件、類別、適用對象及支給數額等作區隔，</w:t>
      </w:r>
      <w:r w:rsidR="00012BC2" w:rsidRPr="00CF6CB5">
        <w:rPr>
          <w:rFonts w:hint="eastAsia"/>
        </w:rPr>
        <w:t>尚</w:t>
      </w:r>
      <w:r w:rsidR="00294D6C" w:rsidRPr="00CF6CB5">
        <w:rPr>
          <w:rFonts w:hint="eastAsia"/>
        </w:rPr>
        <w:t>非</w:t>
      </w:r>
      <w:r w:rsidR="00294D6C" w:rsidRPr="00CF6CB5">
        <w:rPr>
          <w:rFonts w:hint="eastAsia"/>
        </w:rPr>
        <w:lastRenderedPageBreak/>
        <w:t>以所擔任職務為內勤、外勤或勤務內容為認定基礎。行政院於104年1月21日修正警勤加給表備註欄說明(六)，授權各直轄市政府視治安、交通、警察勤務狀況繁重程度，就</w:t>
      </w:r>
      <w:proofErr w:type="gramStart"/>
      <w:r w:rsidR="00294D6C" w:rsidRPr="00CF6CB5">
        <w:rPr>
          <w:rFonts w:hint="eastAsia"/>
        </w:rPr>
        <w:t>該表支給</w:t>
      </w:r>
      <w:proofErr w:type="gramEnd"/>
      <w:r w:rsidR="00294D6C" w:rsidRPr="00CF6CB5">
        <w:rPr>
          <w:rFonts w:hint="eastAsia"/>
        </w:rPr>
        <w:t>對象</w:t>
      </w:r>
      <w:proofErr w:type="gramStart"/>
      <w:r w:rsidR="00294D6C" w:rsidRPr="00CF6CB5">
        <w:rPr>
          <w:rFonts w:hint="eastAsia"/>
        </w:rPr>
        <w:t>加成支給</w:t>
      </w:r>
      <w:proofErr w:type="gramEnd"/>
      <w:r w:rsidR="00294D6C" w:rsidRPr="00CF6CB5">
        <w:rPr>
          <w:rFonts w:hint="eastAsia"/>
        </w:rPr>
        <w:t>。</w:t>
      </w:r>
      <w:r w:rsidR="00373F4B" w:rsidRPr="00CF6CB5">
        <w:rPr>
          <w:rFonts w:hint="eastAsia"/>
        </w:rPr>
        <w:t>而</w:t>
      </w:r>
      <w:r w:rsidR="00294D6C" w:rsidRPr="00CF6CB5">
        <w:rPr>
          <w:rFonts w:hint="eastAsia"/>
        </w:rPr>
        <w:t>警政署核定之「警察人員警勤加給勤務繁重</w:t>
      </w:r>
      <w:proofErr w:type="gramStart"/>
      <w:r w:rsidR="00294D6C" w:rsidRPr="00CF6CB5">
        <w:rPr>
          <w:rFonts w:hint="eastAsia"/>
        </w:rPr>
        <w:t>加成支給</w:t>
      </w:r>
      <w:proofErr w:type="gramEnd"/>
      <w:r w:rsidR="00294D6C" w:rsidRPr="00CF6CB5">
        <w:rPr>
          <w:rFonts w:hint="eastAsia"/>
        </w:rPr>
        <w:t>審核基準」，</w:t>
      </w:r>
      <w:r w:rsidRPr="00CF6CB5">
        <w:rPr>
          <w:rFonts w:hint="eastAsia"/>
        </w:rPr>
        <w:t>則</w:t>
      </w:r>
      <w:r w:rsidR="00294D6C" w:rsidRPr="00CF6CB5">
        <w:rPr>
          <w:rFonts w:hint="eastAsia"/>
        </w:rPr>
        <w:t>係以「110報案件數」、「全般刑案</w:t>
      </w:r>
      <w:proofErr w:type="gramStart"/>
      <w:r w:rsidR="00294D6C" w:rsidRPr="00CF6CB5">
        <w:rPr>
          <w:rFonts w:hint="eastAsia"/>
        </w:rPr>
        <w:t>發破數</w:t>
      </w:r>
      <w:proofErr w:type="gramEnd"/>
      <w:r w:rsidR="00294D6C" w:rsidRPr="00CF6CB5">
        <w:rPr>
          <w:rFonts w:hint="eastAsia"/>
        </w:rPr>
        <w:t>」、「交通事故處理」、「執行特種勤務」、「處理集會遊行」及「編制缺額」比率等6項指標數據</w:t>
      </w:r>
      <w:r w:rsidR="00012BC2" w:rsidRPr="00CF6CB5">
        <w:rPr>
          <w:rFonts w:hint="eastAsia"/>
        </w:rPr>
        <w:t>進行</w:t>
      </w:r>
      <w:r w:rsidR="00294D6C" w:rsidRPr="00CF6CB5">
        <w:rPr>
          <w:rFonts w:hint="eastAsia"/>
        </w:rPr>
        <w:t>認定</w:t>
      </w:r>
      <w:r w:rsidR="00A92A99" w:rsidRPr="00CF6CB5">
        <w:rPr>
          <w:rFonts w:hint="eastAsia"/>
        </w:rPr>
        <w:t>。就政策方法之選擇而言，</w:t>
      </w:r>
      <w:r w:rsidR="00012BC2" w:rsidRPr="00CF6CB5">
        <w:rPr>
          <w:rFonts w:hint="eastAsia"/>
        </w:rPr>
        <w:t>將達成政策目標應考量之地區特性、</w:t>
      </w:r>
      <w:r w:rsidR="00DF4758" w:rsidRPr="00CF6CB5">
        <w:rPr>
          <w:rFonts w:hint="eastAsia"/>
        </w:rPr>
        <w:t>基本生活物價</w:t>
      </w:r>
      <w:r w:rsidR="00012BC2" w:rsidRPr="00CF6CB5">
        <w:rPr>
          <w:rFonts w:hint="eastAsia"/>
        </w:rPr>
        <w:t>、外界壓力及警力流失等重要因素</w:t>
      </w:r>
      <w:r w:rsidR="00A92A99" w:rsidRPr="00CF6CB5">
        <w:rPr>
          <w:rFonts w:hint="eastAsia"/>
        </w:rPr>
        <w:t>，</w:t>
      </w:r>
      <w:r w:rsidRPr="00CF6CB5">
        <w:rPr>
          <w:rFonts w:hint="eastAsia"/>
        </w:rPr>
        <w:t>過度簡化</w:t>
      </w:r>
      <w:r w:rsidR="00A92A99" w:rsidRPr="00CF6CB5">
        <w:rPr>
          <w:rFonts w:hint="eastAsia"/>
        </w:rPr>
        <w:t>為勤務量之比較</w:t>
      </w:r>
      <w:r w:rsidR="00DF4758" w:rsidRPr="00CF6CB5">
        <w:rPr>
          <w:rFonts w:hint="eastAsia"/>
        </w:rPr>
        <w:t>，</w:t>
      </w:r>
      <w:r w:rsidR="000A29B5" w:rsidRPr="00CF6CB5">
        <w:rPr>
          <w:rFonts w:hint="eastAsia"/>
        </w:rPr>
        <w:t>不易達成解決</w:t>
      </w:r>
      <w:proofErr w:type="gramStart"/>
      <w:r w:rsidR="000A29B5" w:rsidRPr="00CF6CB5">
        <w:rPr>
          <w:rFonts w:hint="eastAsia"/>
        </w:rPr>
        <w:t>北警南調</w:t>
      </w:r>
      <w:proofErr w:type="gramEnd"/>
      <w:r w:rsidR="000A29B5" w:rsidRPr="00CF6CB5">
        <w:rPr>
          <w:rFonts w:hint="eastAsia"/>
        </w:rPr>
        <w:t>之政策目的</w:t>
      </w:r>
      <w:r w:rsidR="00294D6C" w:rsidRPr="00CF6CB5">
        <w:rPr>
          <w:rFonts w:hint="eastAsia"/>
        </w:rPr>
        <w:t>。</w:t>
      </w:r>
    </w:p>
    <w:p w:rsidR="00294D6C" w:rsidRPr="00CF6CB5" w:rsidRDefault="00294D6C" w:rsidP="00294D6C">
      <w:pPr>
        <w:pStyle w:val="3"/>
        <w:kinsoku w:val="0"/>
        <w:overflowPunct/>
        <w:autoSpaceDE/>
        <w:autoSpaceDN/>
        <w:ind w:left="1393" w:hanging="697"/>
        <w:rPr>
          <w:b/>
        </w:rPr>
      </w:pPr>
      <w:bookmarkStart w:id="171" w:name="_Toc510456639"/>
      <w:bookmarkStart w:id="172" w:name="_Toc510534711"/>
      <w:bookmarkStart w:id="173" w:name="_Toc511053631"/>
      <w:bookmarkStart w:id="174" w:name="_Toc511126977"/>
      <w:r w:rsidRPr="00CF6CB5">
        <w:rPr>
          <w:rFonts w:hint="eastAsia"/>
          <w:b/>
        </w:rPr>
        <w:t>內政部評估警勤加給繁重加成之實施成效，僅以申請調動之人數為分析數據，而未</w:t>
      </w:r>
      <w:proofErr w:type="gramStart"/>
      <w:r w:rsidRPr="00CF6CB5">
        <w:rPr>
          <w:rFonts w:hint="eastAsia"/>
          <w:b/>
        </w:rPr>
        <w:t>採</w:t>
      </w:r>
      <w:proofErr w:type="gramEnd"/>
      <w:r w:rsidRPr="00CF6CB5">
        <w:rPr>
          <w:rFonts w:hint="eastAsia"/>
          <w:b/>
        </w:rPr>
        <w:t>計「實際警力流動人數」，難以確實反映政策目的之達成效果</w:t>
      </w:r>
      <w:r w:rsidR="008539F8" w:rsidRPr="00CF6CB5">
        <w:rPr>
          <w:rFonts w:hint="eastAsia"/>
          <w:b/>
        </w:rPr>
        <w:t>；</w:t>
      </w:r>
      <w:r w:rsidR="00013F27" w:rsidRPr="00CF6CB5">
        <w:rPr>
          <w:rFonts w:hint="eastAsia"/>
          <w:b/>
        </w:rPr>
        <w:t>人事行政總處</w:t>
      </w:r>
      <w:r w:rsidR="00CD6AE3" w:rsidRPr="00CF6CB5">
        <w:rPr>
          <w:rFonts w:hint="eastAsia"/>
          <w:b/>
        </w:rPr>
        <w:t>明知該項給與</w:t>
      </w:r>
      <w:r w:rsidR="00F07D3F" w:rsidRPr="00CF6CB5">
        <w:rPr>
          <w:rFonts w:hint="eastAsia"/>
          <w:b/>
        </w:rPr>
        <w:t>未達成政策目標</w:t>
      </w:r>
      <w:r w:rsidR="008539F8" w:rsidRPr="00CF6CB5">
        <w:rPr>
          <w:rFonts w:hint="eastAsia"/>
          <w:b/>
        </w:rPr>
        <w:t>，卻未報請行政院要求內政部檢討改善，</w:t>
      </w:r>
      <w:proofErr w:type="gramStart"/>
      <w:r w:rsidR="008539F8" w:rsidRPr="00CF6CB5">
        <w:rPr>
          <w:rFonts w:hint="eastAsia"/>
          <w:b/>
        </w:rPr>
        <w:t>均有未洽</w:t>
      </w:r>
      <w:proofErr w:type="gramEnd"/>
      <w:r w:rsidR="008539F8" w:rsidRPr="00CF6CB5">
        <w:rPr>
          <w:rFonts w:hint="eastAsia"/>
          <w:b/>
        </w:rPr>
        <w:t>。</w:t>
      </w:r>
      <w:bookmarkEnd w:id="171"/>
      <w:bookmarkEnd w:id="172"/>
      <w:bookmarkEnd w:id="173"/>
      <w:bookmarkEnd w:id="174"/>
    </w:p>
    <w:p w:rsidR="00294D6C" w:rsidRPr="00CF6CB5" w:rsidRDefault="007F679E" w:rsidP="0002256A">
      <w:pPr>
        <w:pStyle w:val="4"/>
      </w:pPr>
      <w:r w:rsidRPr="00CF6CB5">
        <w:rPr>
          <w:rFonts w:hint="eastAsia"/>
        </w:rPr>
        <w:t>按</w:t>
      </w:r>
      <w:r w:rsidR="00294D6C" w:rsidRPr="00CF6CB5">
        <w:rPr>
          <w:rFonts w:hint="eastAsia"/>
        </w:rPr>
        <w:t>員警請調之因素</w:t>
      </w:r>
      <w:proofErr w:type="gramStart"/>
      <w:r w:rsidR="00294D6C" w:rsidRPr="00CF6CB5">
        <w:rPr>
          <w:rFonts w:hint="eastAsia"/>
        </w:rPr>
        <w:t>多樣，</w:t>
      </w:r>
      <w:proofErr w:type="gramEnd"/>
      <w:r w:rsidR="00294D6C" w:rsidRPr="00CF6CB5">
        <w:rPr>
          <w:rFonts w:hint="eastAsia"/>
        </w:rPr>
        <w:t>除待遇之外，</w:t>
      </w:r>
      <w:proofErr w:type="gramStart"/>
      <w:r w:rsidR="00294D6C" w:rsidRPr="00CF6CB5">
        <w:rPr>
          <w:rFonts w:hint="eastAsia"/>
        </w:rPr>
        <w:t>陞</w:t>
      </w:r>
      <w:proofErr w:type="gramEnd"/>
      <w:r w:rsidR="00294D6C" w:rsidRPr="00CF6CB5">
        <w:rPr>
          <w:rFonts w:hint="eastAsia"/>
        </w:rPr>
        <w:t>遷、職務歷練及家庭因素等，均影響員警之請調意願，且職務</w:t>
      </w:r>
      <w:proofErr w:type="gramStart"/>
      <w:r w:rsidR="00294D6C" w:rsidRPr="00CF6CB5">
        <w:rPr>
          <w:rFonts w:hint="eastAsia"/>
        </w:rPr>
        <w:t>等階越高</w:t>
      </w:r>
      <w:proofErr w:type="gramEnd"/>
      <w:r w:rsidR="00294D6C" w:rsidRPr="00CF6CB5">
        <w:rPr>
          <w:rFonts w:hint="eastAsia"/>
        </w:rPr>
        <w:t>，其請調意願受</w:t>
      </w:r>
      <w:proofErr w:type="gramStart"/>
      <w:r w:rsidR="00294D6C" w:rsidRPr="00CF6CB5">
        <w:rPr>
          <w:rFonts w:hint="eastAsia"/>
        </w:rPr>
        <w:t>陞</w:t>
      </w:r>
      <w:proofErr w:type="gramEnd"/>
      <w:r w:rsidR="00294D6C" w:rsidRPr="00CF6CB5">
        <w:rPr>
          <w:rFonts w:hint="eastAsia"/>
        </w:rPr>
        <w:t>職、職務歷練之影響越大。每年臺北市、新北市政府警察局辦理巡佐及警員等同</w:t>
      </w:r>
      <w:proofErr w:type="gramStart"/>
      <w:r w:rsidR="00294D6C" w:rsidRPr="00CF6CB5">
        <w:rPr>
          <w:rFonts w:hint="eastAsia"/>
        </w:rPr>
        <w:t>一陞</w:t>
      </w:r>
      <w:proofErr w:type="gramEnd"/>
      <w:r w:rsidR="00294D6C" w:rsidRPr="00CF6CB5">
        <w:rPr>
          <w:rFonts w:hint="eastAsia"/>
        </w:rPr>
        <w:t>遷序列職務人員定期請調作業之人數居高不下，其原因除北部都會區勤務繁重外，尚因警察成員原藉多為中南部</w:t>
      </w:r>
      <w:r w:rsidR="00373F4B" w:rsidRPr="00CF6CB5">
        <w:rPr>
          <w:rStyle w:val="aff1"/>
        </w:rPr>
        <w:footnoteReference w:id="58"/>
      </w:r>
      <w:r w:rsidR="00294D6C" w:rsidRPr="00CF6CB5">
        <w:rPr>
          <w:rFonts w:hint="eastAsia"/>
        </w:rPr>
        <w:t>，申請回鄉服務者</w:t>
      </w:r>
      <w:proofErr w:type="gramStart"/>
      <w:r w:rsidR="00294D6C" w:rsidRPr="00CF6CB5">
        <w:rPr>
          <w:rFonts w:hint="eastAsia"/>
        </w:rPr>
        <w:t>眾多，</w:t>
      </w:r>
      <w:proofErr w:type="gramEnd"/>
      <w:r w:rsidR="00294D6C" w:rsidRPr="00CF6CB5">
        <w:rPr>
          <w:rFonts w:hint="eastAsia"/>
        </w:rPr>
        <w:t>同時北部地區之聚眾活動高於其他縣市，人口密集、青壯年比率較高，媒體監督壓力大，且考量除臺北市以外之四都升格後，</w:t>
      </w:r>
      <w:r w:rsidR="00294D6C" w:rsidRPr="00CF6CB5">
        <w:rPr>
          <w:rFonts w:hint="eastAsia"/>
        </w:rPr>
        <w:lastRenderedPageBreak/>
        <w:t>其他各直轄市警察局之編制擴大，職缺調升，亦增加員警請調之誘因。故警政署於99年間除</w:t>
      </w:r>
      <w:proofErr w:type="gramStart"/>
      <w:r w:rsidR="00294D6C" w:rsidRPr="00CF6CB5">
        <w:rPr>
          <w:rFonts w:hint="eastAsia"/>
        </w:rPr>
        <w:t>研</w:t>
      </w:r>
      <w:proofErr w:type="gramEnd"/>
      <w:r w:rsidR="00294D6C" w:rsidRPr="00CF6CB5">
        <w:rPr>
          <w:rFonts w:hint="eastAsia"/>
        </w:rPr>
        <w:t>議爭取首都加給外，尚針對資深警力流失嚴重之臺北市、新北市等都會地區警察局，採取優先補足都會區警力、加強新進人員執勤訓練、</w:t>
      </w:r>
      <w:r w:rsidR="00571C03" w:rsidRPr="00CF6CB5">
        <w:rPr>
          <w:rFonts w:hint="eastAsia"/>
        </w:rPr>
        <w:t>爭取</w:t>
      </w:r>
      <w:proofErr w:type="gramStart"/>
      <w:r w:rsidR="00294D6C" w:rsidRPr="00CF6CB5">
        <w:rPr>
          <w:rFonts w:hint="eastAsia"/>
        </w:rPr>
        <w:t>編足超勤</w:t>
      </w:r>
      <w:proofErr w:type="gramEnd"/>
      <w:r w:rsidR="00294D6C" w:rsidRPr="00CF6CB5">
        <w:rPr>
          <w:rFonts w:hint="eastAsia"/>
        </w:rPr>
        <w:t>加班費，及限制服務地區及服務年限等措施。</w:t>
      </w:r>
    </w:p>
    <w:p w:rsidR="00CD6AE3" w:rsidRPr="00CF6CB5" w:rsidRDefault="00294D6C" w:rsidP="007F679E">
      <w:pPr>
        <w:pStyle w:val="4"/>
      </w:pPr>
      <w:r w:rsidRPr="00CF6CB5">
        <w:rPr>
          <w:rFonts w:hint="eastAsia"/>
        </w:rPr>
        <w:t>警勤加給繁重加成實施後，</w:t>
      </w:r>
      <w:r w:rsidR="0059304B" w:rsidRPr="00CF6CB5">
        <w:rPr>
          <w:rFonts w:hint="eastAsia"/>
        </w:rPr>
        <w:t>內政部於106年3月31日函報行政院「警察人員警勤加給勤務繁重加成執行成效檢討報告」之審核結果</w:t>
      </w:r>
      <w:r w:rsidR="007F679E" w:rsidRPr="00CF6CB5">
        <w:rPr>
          <w:rStyle w:val="aff1"/>
        </w:rPr>
        <w:footnoteReference w:id="59"/>
      </w:r>
      <w:r w:rsidR="0059304B" w:rsidRPr="00CF6CB5">
        <w:rPr>
          <w:rFonts w:hint="eastAsia"/>
        </w:rPr>
        <w:t>，並以員警請調人數</w:t>
      </w:r>
      <w:r w:rsidR="00AD67E0" w:rsidRPr="00CF6CB5">
        <w:rPr>
          <w:rFonts w:hint="eastAsia"/>
        </w:rPr>
        <w:t>逐</w:t>
      </w:r>
      <w:r w:rsidR="0059304B" w:rsidRPr="00CF6CB5">
        <w:rPr>
          <w:rFonts w:hint="eastAsia"/>
        </w:rPr>
        <w:t>年下降為依據</w:t>
      </w:r>
      <w:r w:rsidR="007F679E" w:rsidRPr="00CF6CB5">
        <w:rPr>
          <w:rFonts w:hint="eastAsia"/>
        </w:rPr>
        <w:t>（統計圖表詳圖</w:t>
      </w:r>
      <w:r w:rsidR="007837C4" w:rsidRPr="00CF6CB5">
        <w:rPr>
          <w:rFonts w:hint="eastAsia"/>
        </w:rPr>
        <w:t>1</w:t>
      </w:r>
      <w:r w:rsidR="007F679E" w:rsidRPr="00CF6CB5">
        <w:rPr>
          <w:rFonts w:hint="eastAsia"/>
        </w:rPr>
        <w:t>）</w:t>
      </w:r>
      <w:r w:rsidR="0059304B" w:rsidRPr="00CF6CB5">
        <w:rPr>
          <w:rFonts w:hint="eastAsia"/>
        </w:rPr>
        <w:t>，</w:t>
      </w:r>
      <w:r w:rsidR="007F679E" w:rsidRPr="00CF6CB5">
        <w:rPr>
          <w:rFonts w:hint="eastAsia"/>
        </w:rPr>
        <w:t>作成</w:t>
      </w:r>
      <w:r w:rsidR="008539F8" w:rsidRPr="00CF6CB5">
        <w:rPr>
          <w:rFonts w:hint="eastAsia"/>
        </w:rPr>
        <w:t>：</w:t>
      </w:r>
      <w:r w:rsidR="00CD6AE3" w:rsidRPr="00CF6CB5">
        <w:rPr>
          <w:rFonts w:hint="eastAsia"/>
        </w:rPr>
        <w:t>支給</w:t>
      </w:r>
      <w:proofErr w:type="gramStart"/>
      <w:r w:rsidR="00CD6AE3" w:rsidRPr="00CF6CB5">
        <w:rPr>
          <w:rFonts w:hint="eastAsia"/>
        </w:rPr>
        <w:t>加成確能</w:t>
      </w:r>
      <w:proofErr w:type="gramEnd"/>
      <w:r w:rsidR="00CD6AE3" w:rsidRPr="00CF6CB5">
        <w:rPr>
          <w:rFonts w:hint="eastAsia"/>
        </w:rPr>
        <w:t>提高員警留任意願；符合員警期待，可激勵工作士氣；應維持分組分級支給，落實不同工不同酬；應維持不得兼領地域加給規定等4項</w:t>
      </w:r>
      <w:r w:rsidR="007F679E" w:rsidRPr="00CF6CB5">
        <w:rPr>
          <w:rFonts w:hint="eastAsia"/>
        </w:rPr>
        <w:t>審核意見，建議行政院依現行規定繼續辦理。經行政院審核後，</w:t>
      </w:r>
      <w:r w:rsidR="008539F8" w:rsidRPr="00CF6CB5">
        <w:rPr>
          <w:rFonts w:hint="eastAsia"/>
        </w:rPr>
        <w:t>函復內政部</w:t>
      </w:r>
      <w:r w:rsidR="007F679E" w:rsidRPr="00CF6CB5">
        <w:rPr>
          <w:rFonts w:hint="eastAsia"/>
        </w:rPr>
        <w:t>同意照辦。</w:t>
      </w:r>
    </w:p>
    <w:p w:rsidR="00294D6C" w:rsidRPr="00CF6CB5" w:rsidRDefault="007F679E" w:rsidP="00746E78">
      <w:pPr>
        <w:pStyle w:val="4"/>
      </w:pPr>
      <w:proofErr w:type="gramStart"/>
      <w:r w:rsidRPr="00CF6CB5">
        <w:rPr>
          <w:rFonts w:hint="eastAsia"/>
        </w:rPr>
        <w:t>惟查</w:t>
      </w:r>
      <w:proofErr w:type="gramEnd"/>
      <w:r w:rsidRPr="00CF6CB5">
        <w:rPr>
          <w:rFonts w:hint="eastAsia"/>
        </w:rPr>
        <w:t>，行政院審核</w:t>
      </w:r>
      <w:r w:rsidR="00BC3C34" w:rsidRPr="00CF6CB5">
        <w:rPr>
          <w:rFonts w:hint="eastAsia"/>
        </w:rPr>
        <w:t>本項給與實施成效</w:t>
      </w:r>
      <w:r w:rsidR="00CD6AE3" w:rsidRPr="00CF6CB5">
        <w:rPr>
          <w:rFonts w:hint="eastAsia"/>
        </w:rPr>
        <w:t>時，</w:t>
      </w:r>
      <w:r w:rsidR="00013F27" w:rsidRPr="00CF6CB5">
        <w:rPr>
          <w:rFonts w:hint="eastAsia"/>
        </w:rPr>
        <w:t>人事行政總處</w:t>
      </w:r>
      <w:r w:rsidR="00CD6AE3" w:rsidRPr="00CF6CB5">
        <w:rPr>
          <w:rFonts w:hint="eastAsia"/>
        </w:rPr>
        <w:t>另行</w:t>
      </w:r>
      <w:r w:rsidR="00294D6C" w:rsidRPr="00CF6CB5">
        <w:rPr>
          <w:rFonts w:hint="eastAsia"/>
        </w:rPr>
        <w:t>統計100年至106年4月實施前後</w:t>
      </w:r>
      <w:r w:rsidR="00CD6AE3" w:rsidRPr="00CF6CB5">
        <w:rPr>
          <w:rFonts w:hint="eastAsia"/>
        </w:rPr>
        <w:t>警力流動情形</w:t>
      </w:r>
      <w:r w:rsidR="00294D6C" w:rsidRPr="00CF6CB5">
        <w:rPr>
          <w:rFonts w:hint="eastAsia"/>
        </w:rPr>
        <w:t>，</w:t>
      </w:r>
      <w:r w:rsidR="00CD6AE3" w:rsidRPr="00CF6CB5">
        <w:rPr>
          <w:rFonts w:hint="eastAsia"/>
        </w:rPr>
        <w:t>發現</w:t>
      </w:r>
      <w:r w:rsidR="00CA4DEB" w:rsidRPr="00CF6CB5">
        <w:rPr>
          <w:rFonts w:hint="eastAsia"/>
        </w:rPr>
        <w:t>臺北</w:t>
      </w:r>
      <w:r w:rsidR="00294D6C" w:rsidRPr="00CF6CB5">
        <w:rPr>
          <w:rFonts w:hint="eastAsia"/>
        </w:rPr>
        <w:t>市員警</w:t>
      </w:r>
      <w:r w:rsidR="00746E78" w:rsidRPr="00CF6CB5">
        <w:rPr>
          <w:rFonts w:hint="eastAsia"/>
        </w:rPr>
        <w:t>「</w:t>
      </w:r>
      <w:r w:rsidR="00294D6C" w:rsidRPr="00CF6CB5">
        <w:rPr>
          <w:rFonts w:hint="eastAsia"/>
        </w:rPr>
        <w:t>調入</w:t>
      </w:r>
      <w:r w:rsidR="00FC524F" w:rsidRPr="00CF6CB5">
        <w:rPr>
          <w:rFonts w:hint="eastAsia"/>
        </w:rPr>
        <w:t>率</w:t>
      </w:r>
      <w:r w:rsidR="00746E78" w:rsidRPr="00CF6CB5">
        <w:rPr>
          <w:rFonts w:hint="eastAsia"/>
        </w:rPr>
        <w:t>」</w:t>
      </w:r>
      <w:r w:rsidR="00FC524F" w:rsidRPr="00CF6CB5">
        <w:rPr>
          <w:rFonts w:hint="eastAsia"/>
        </w:rPr>
        <w:t>（當月調入警察人員總人數/</w:t>
      </w:r>
      <w:proofErr w:type="gramStart"/>
      <w:r w:rsidR="00FC524F" w:rsidRPr="00CF6CB5">
        <w:rPr>
          <w:rFonts w:hint="eastAsia"/>
        </w:rPr>
        <w:t>前1月</w:t>
      </w:r>
      <w:proofErr w:type="gramEnd"/>
      <w:r w:rsidR="00FC524F" w:rsidRPr="00CF6CB5">
        <w:rPr>
          <w:rFonts w:hint="eastAsia"/>
        </w:rPr>
        <w:t>警察總人數）</w:t>
      </w:r>
      <w:r w:rsidR="00CA4DEB" w:rsidRPr="00CF6CB5">
        <w:rPr>
          <w:rFonts w:hint="eastAsia"/>
        </w:rPr>
        <w:t>不升反降，</w:t>
      </w:r>
      <w:r w:rsidR="00746E78" w:rsidRPr="00CF6CB5">
        <w:rPr>
          <w:rFonts w:hint="eastAsia"/>
        </w:rPr>
        <w:t>「</w:t>
      </w:r>
      <w:r w:rsidR="00CA4DEB" w:rsidRPr="00CF6CB5">
        <w:rPr>
          <w:rFonts w:hint="eastAsia"/>
        </w:rPr>
        <w:t>調出率</w:t>
      </w:r>
      <w:r w:rsidR="00746E78" w:rsidRPr="00CF6CB5">
        <w:rPr>
          <w:rFonts w:hint="eastAsia"/>
        </w:rPr>
        <w:t>」</w:t>
      </w:r>
      <w:r w:rsidR="00CA4DEB" w:rsidRPr="00CF6CB5">
        <w:rPr>
          <w:rFonts w:hint="eastAsia"/>
        </w:rPr>
        <w:t>（當月調出警察人員總人數/</w:t>
      </w:r>
      <w:proofErr w:type="gramStart"/>
      <w:r w:rsidR="00CA4DEB" w:rsidRPr="00CF6CB5">
        <w:rPr>
          <w:rFonts w:hint="eastAsia"/>
        </w:rPr>
        <w:t>前1月</w:t>
      </w:r>
      <w:proofErr w:type="gramEnd"/>
      <w:r w:rsidR="00CA4DEB" w:rsidRPr="00CF6CB5">
        <w:rPr>
          <w:rFonts w:hint="eastAsia"/>
        </w:rPr>
        <w:t>警察總人數）不降反升</w:t>
      </w:r>
      <w:r w:rsidR="007837C4" w:rsidRPr="00CF6CB5">
        <w:rPr>
          <w:rFonts w:hint="eastAsia"/>
        </w:rPr>
        <w:t>（圖2）</w:t>
      </w:r>
      <w:r w:rsidR="00CA4DEB" w:rsidRPr="00CF6CB5">
        <w:rPr>
          <w:rFonts w:hint="eastAsia"/>
        </w:rPr>
        <w:t>；新北市員警之調入率及調</w:t>
      </w:r>
      <w:r w:rsidR="00374E29" w:rsidRPr="00CF6CB5">
        <w:rPr>
          <w:rFonts w:hint="eastAsia"/>
        </w:rPr>
        <w:t>出</w:t>
      </w:r>
      <w:r w:rsidR="00CA4DEB" w:rsidRPr="00CF6CB5">
        <w:rPr>
          <w:rFonts w:hint="eastAsia"/>
        </w:rPr>
        <w:t>率則</w:t>
      </w:r>
      <w:r w:rsidR="00FC524F" w:rsidRPr="00CF6CB5">
        <w:rPr>
          <w:rFonts w:hint="eastAsia"/>
        </w:rPr>
        <w:t>無明顯</w:t>
      </w:r>
      <w:r w:rsidR="00CA4DEB" w:rsidRPr="00CF6CB5">
        <w:rPr>
          <w:rFonts w:hint="eastAsia"/>
        </w:rPr>
        <w:t>之變化</w:t>
      </w:r>
      <w:r w:rsidR="007837C4" w:rsidRPr="00CF6CB5">
        <w:rPr>
          <w:rFonts w:hint="eastAsia"/>
        </w:rPr>
        <w:t>（圖3）</w:t>
      </w:r>
      <w:r w:rsidR="00746E78" w:rsidRPr="00CF6CB5">
        <w:rPr>
          <w:rFonts w:hint="eastAsia"/>
        </w:rPr>
        <w:t>；「整體</w:t>
      </w:r>
      <w:proofErr w:type="gramStart"/>
      <w:r w:rsidR="00746E78" w:rsidRPr="00CF6CB5">
        <w:rPr>
          <w:rFonts w:hint="eastAsia"/>
        </w:rPr>
        <w:t>總淨留率</w:t>
      </w:r>
      <w:proofErr w:type="gramEnd"/>
      <w:r w:rsidR="00746E78" w:rsidRPr="00CF6CB5">
        <w:rPr>
          <w:rFonts w:hint="eastAsia"/>
        </w:rPr>
        <w:t>」（調入率減去調出率）部分，</w:t>
      </w:r>
      <w:r w:rsidR="00BC3C34" w:rsidRPr="00CF6CB5">
        <w:rPr>
          <w:rFonts w:hint="eastAsia"/>
        </w:rPr>
        <w:t>實施本項給與之各直轄市</w:t>
      </w:r>
      <w:r w:rsidR="00746E78" w:rsidRPr="00CF6CB5">
        <w:rPr>
          <w:rFonts w:hint="eastAsia"/>
        </w:rPr>
        <w:t>無顯著之提升，反而未實施本項給與之其他縣市卻有升高之趨勢</w:t>
      </w:r>
      <w:r w:rsidR="007837C4" w:rsidRPr="00CF6CB5">
        <w:rPr>
          <w:rFonts w:hint="eastAsia"/>
        </w:rPr>
        <w:t>（圖4）</w:t>
      </w:r>
      <w:r w:rsidR="00BC3C34" w:rsidRPr="00CF6CB5">
        <w:rPr>
          <w:rFonts w:hint="eastAsia"/>
        </w:rPr>
        <w:t>，詳如下圖</w:t>
      </w:r>
      <w:r w:rsidR="007837C4" w:rsidRPr="00CF6CB5">
        <w:rPr>
          <w:rFonts w:hint="eastAsia"/>
        </w:rPr>
        <w:t>所示：</w:t>
      </w:r>
    </w:p>
    <w:p w:rsidR="00F32C5D" w:rsidRPr="00CF6CB5" w:rsidRDefault="00F32C5D" w:rsidP="00267336"/>
    <w:p w:rsidR="00F32C5D" w:rsidRPr="00CF6CB5" w:rsidRDefault="00F32C5D" w:rsidP="00267336"/>
    <w:p w:rsidR="00585534" w:rsidRPr="00CF6CB5" w:rsidRDefault="00846BB6" w:rsidP="00267336">
      <w:r w:rsidRPr="00CF6CB5">
        <w:rPr>
          <w:noProof/>
        </w:rPr>
        <w:lastRenderedPageBreak/>
        <mc:AlternateContent>
          <mc:Choice Requires="wps">
            <w:drawing>
              <wp:anchor distT="0" distB="0" distL="114300" distR="114300" simplePos="0" relativeHeight="251661312" behindDoc="0" locked="0" layoutInCell="1" allowOverlap="1" wp14:anchorId="06111AF1" wp14:editId="5943535C">
                <wp:simplePos x="0" y="0"/>
                <wp:positionH relativeFrom="column">
                  <wp:posOffset>1780540</wp:posOffset>
                </wp:positionH>
                <wp:positionV relativeFrom="paragraph">
                  <wp:posOffset>88265</wp:posOffset>
                </wp:positionV>
                <wp:extent cx="3387090" cy="2181860"/>
                <wp:effectExtent l="0" t="0" r="22860" b="2794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7090" cy="2181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1655" w:rsidRDefault="00E21655" w:rsidP="00585534">
                            <w:r w:rsidRPr="00477705">
                              <w:rPr>
                                <w:noProof/>
                              </w:rPr>
                              <w:drawing>
                                <wp:inline distT="0" distB="0" distL="0" distR="0" wp14:anchorId="79699470" wp14:editId="62709282">
                                  <wp:extent cx="3261815" cy="2095972"/>
                                  <wp:effectExtent l="0" t="0" r="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1426" cy="210857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6111AF1" id="_x0000_t202" coordsize="21600,21600" o:spt="202" path="m,l,21600r21600,l21600,xe">
                <v:stroke joinstyle="miter"/>
                <v:path gradientshapeok="t" o:connecttype="rect"/>
              </v:shapetype>
              <v:shape id="文字方塊 16" o:spid="_x0000_s1026" type="#_x0000_t202" style="position:absolute;left:0;text-align:left;margin-left:140.2pt;margin-top:6.95pt;width:266.7pt;height:17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" fillcolor="white [3201]" strokeweight=".5pt">
                <v:path arrowok="t"/>
                <v:textbox>
                  <w:txbxContent>
                    <w:p w:rsidR="00E21655" w:rsidRDefault="00E21655" w:rsidP="00585534">
                      <w:r w:rsidRPr="00477705">
                        <w:rPr>
                          <w:noProof/>
                        </w:rPr>
                        <w:drawing>
                          <wp:inline distT="0" distB="0" distL="0" distR="0" wp14:anchorId="79699470" wp14:editId="62709282">
                            <wp:extent cx="3261815" cy="2095972"/>
                            <wp:effectExtent l="0" t="0" r="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1426" cy="2108574"/>
                                    </a:xfrm>
                                    <a:prstGeom prst="rect">
                                      <a:avLst/>
                                    </a:prstGeom>
                                    <a:noFill/>
                                    <a:ln>
                                      <a:noFill/>
                                    </a:ln>
                                  </pic:spPr>
                                </pic:pic>
                              </a:graphicData>
                            </a:graphic>
                          </wp:inline>
                        </w:drawing>
                      </w:r>
                    </w:p>
                  </w:txbxContent>
                </v:textbox>
              </v:shape>
            </w:pict>
          </mc:Fallback>
        </mc:AlternateContent>
      </w:r>
    </w:p>
    <w:p w:rsidR="00585534" w:rsidRPr="00CF6CB5" w:rsidRDefault="00585534" w:rsidP="00267336"/>
    <w:p w:rsidR="00585534" w:rsidRPr="00CF6CB5" w:rsidRDefault="00585534" w:rsidP="00267336"/>
    <w:p w:rsidR="00585534" w:rsidRPr="00CF6CB5" w:rsidRDefault="00585534" w:rsidP="00267336"/>
    <w:p w:rsidR="00585534" w:rsidRPr="00CF6CB5" w:rsidRDefault="00585534" w:rsidP="00267336"/>
    <w:p w:rsidR="00585534" w:rsidRPr="00CF6CB5" w:rsidRDefault="00585534" w:rsidP="00267336"/>
    <w:p w:rsidR="00585534" w:rsidRPr="00CF6CB5" w:rsidRDefault="00585534" w:rsidP="00267336"/>
    <w:p w:rsidR="00585534" w:rsidRPr="00CF6CB5" w:rsidRDefault="00585534" w:rsidP="00267336"/>
    <w:p w:rsidR="007837C4" w:rsidRPr="00CF6CB5" w:rsidRDefault="007837C4" w:rsidP="00081BEC">
      <w:pPr>
        <w:pStyle w:val="a1"/>
        <w:rPr>
          <w:rFonts w:hAnsi="標楷體"/>
          <w:b/>
        </w:rPr>
      </w:pPr>
      <w:r w:rsidRPr="00CF6CB5">
        <w:rPr>
          <w:rFonts w:hint="eastAsia"/>
        </w:rPr>
        <w:t>臺北市政府警察局調入率及調出率趨勢</w:t>
      </w:r>
    </w:p>
    <w:p w:rsidR="00585534" w:rsidRPr="00CF6CB5" w:rsidRDefault="00267336" w:rsidP="00267336">
      <w:r w:rsidRPr="00CF6CB5">
        <w:rPr>
          <w:noProof/>
        </w:rPr>
        <mc:AlternateContent>
          <mc:Choice Requires="wps">
            <w:drawing>
              <wp:anchor distT="0" distB="0" distL="114300" distR="114300" simplePos="0" relativeHeight="251663360" behindDoc="0" locked="0" layoutInCell="1" allowOverlap="1" wp14:anchorId="06E1D907" wp14:editId="214F8489">
                <wp:simplePos x="0" y="0"/>
                <wp:positionH relativeFrom="column">
                  <wp:posOffset>1780540</wp:posOffset>
                </wp:positionH>
                <wp:positionV relativeFrom="paragraph">
                  <wp:posOffset>281305</wp:posOffset>
                </wp:positionV>
                <wp:extent cx="3249930" cy="2250440"/>
                <wp:effectExtent l="0" t="0" r="26670" b="16510"/>
                <wp:wrapNone/>
                <wp:docPr id="45" name="文字方塊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9930" cy="2250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1655" w:rsidRDefault="00E21655" w:rsidP="00585534">
                            <w:r w:rsidRPr="00710055">
                              <w:rPr>
                                <w:noProof/>
                              </w:rPr>
                              <w:drawing>
                                <wp:inline distT="0" distB="0" distL="0" distR="0" wp14:anchorId="54466F0B" wp14:editId="2D1EC9EC">
                                  <wp:extent cx="3228388" cy="2102657"/>
                                  <wp:effectExtent l="0" t="0" r="0" b="0"/>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7010" cy="210827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E1D907" id="文字方塊 45" o:spid="_x0000_s1027" type="#_x0000_t202" style="position:absolute;left:0;text-align:left;margin-left:140.2pt;margin-top:22.15pt;width:255.9pt;height:17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" fillcolor="white [3201]" strokeweight=".5pt">
                <v:path arrowok="t"/>
                <v:textbox>
                  <w:txbxContent>
                    <w:p w:rsidR="00E21655" w:rsidRDefault="00E21655" w:rsidP="00585534">
                      <w:r w:rsidRPr="00710055">
                        <w:rPr>
                          <w:noProof/>
                        </w:rPr>
                        <w:drawing>
                          <wp:inline distT="0" distB="0" distL="0" distR="0" wp14:anchorId="54466F0B" wp14:editId="2D1EC9EC">
                            <wp:extent cx="3228388" cy="2102657"/>
                            <wp:effectExtent l="0" t="0" r="0" b="0"/>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7010" cy="2108273"/>
                                    </a:xfrm>
                                    <a:prstGeom prst="rect">
                                      <a:avLst/>
                                    </a:prstGeom>
                                    <a:noFill/>
                                    <a:ln>
                                      <a:noFill/>
                                    </a:ln>
                                  </pic:spPr>
                                </pic:pic>
                              </a:graphicData>
                            </a:graphic>
                          </wp:inline>
                        </w:drawing>
                      </w:r>
                    </w:p>
                  </w:txbxContent>
                </v:textbox>
              </v:shape>
            </w:pict>
          </mc:Fallback>
        </mc:AlternateContent>
      </w:r>
    </w:p>
    <w:p w:rsidR="00571C03" w:rsidRPr="00CF6CB5" w:rsidRDefault="00571C03" w:rsidP="00267336"/>
    <w:p w:rsidR="007837C4" w:rsidRPr="00CF6CB5" w:rsidRDefault="007837C4" w:rsidP="00267336"/>
    <w:p w:rsidR="00585534" w:rsidRPr="00CF6CB5" w:rsidRDefault="00585534" w:rsidP="00267336"/>
    <w:p w:rsidR="00585534" w:rsidRPr="00CF6CB5" w:rsidRDefault="00585534" w:rsidP="00267336"/>
    <w:p w:rsidR="00CA4DEB" w:rsidRPr="00CF6CB5" w:rsidRDefault="00CA4DEB" w:rsidP="00267336"/>
    <w:p w:rsidR="00CA4DEB" w:rsidRPr="00CF6CB5" w:rsidRDefault="00CA4DEB" w:rsidP="00267336"/>
    <w:p w:rsidR="007837C4" w:rsidRPr="00CF6CB5" w:rsidRDefault="007837C4" w:rsidP="00267336"/>
    <w:p w:rsidR="00CA4DEB" w:rsidRPr="00CF6CB5" w:rsidRDefault="00CA4DEB" w:rsidP="00267336"/>
    <w:p w:rsidR="00CA4DEB" w:rsidRPr="00CF6CB5" w:rsidRDefault="007837C4" w:rsidP="00081BEC">
      <w:pPr>
        <w:pStyle w:val="a1"/>
        <w:rPr>
          <w:rFonts w:hAnsi="標楷體"/>
        </w:rPr>
      </w:pPr>
      <w:r w:rsidRPr="00CF6CB5">
        <w:rPr>
          <w:rFonts w:hint="eastAsia"/>
        </w:rPr>
        <w:t>新北市政府警察局調入率及調出率趨勢圖</w:t>
      </w:r>
    </w:p>
    <w:p w:rsidR="00FC524F" w:rsidRPr="00CF6CB5" w:rsidRDefault="00CA4DEB" w:rsidP="00F07D3F">
      <w:pPr>
        <w:pStyle w:val="afa"/>
        <w:ind w:leftChars="0" w:left="1200"/>
        <w:jc w:val="center"/>
        <w:rPr>
          <w:rFonts w:hAnsi="標楷體"/>
          <w:b/>
          <w:sz w:val="28"/>
        </w:rPr>
      </w:pPr>
      <w:r w:rsidRPr="00CF6CB5">
        <w:rPr>
          <w:noProof/>
        </w:rPr>
        <w:drawing>
          <wp:inline distT="0" distB="0" distL="0" distR="0" wp14:anchorId="029C4EF2" wp14:editId="418D3EDB">
            <wp:extent cx="3670300" cy="2590800"/>
            <wp:effectExtent l="0" t="0" r="25400" b="19050"/>
            <wp:docPr id="1"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837C4" w:rsidRPr="00CF6CB5" w:rsidRDefault="007837C4" w:rsidP="00081BEC">
      <w:pPr>
        <w:pStyle w:val="a1"/>
      </w:pPr>
      <w:proofErr w:type="gramStart"/>
      <w:r w:rsidRPr="00CF6CB5">
        <w:rPr>
          <w:rFonts w:hint="eastAsia"/>
        </w:rPr>
        <w:t>總淨留率</w:t>
      </w:r>
      <w:proofErr w:type="gramEnd"/>
      <w:r w:rsidRPr="00CF6CB5">
        <w:rPr>
          <w:rFonts w:hint="eastAsia"/>
        </w:rPr>
        <w:t>趨勢圖</w:t>
      </w:r>
    </w:p>
    <w:p w:rsidR="00585534" w:rsidRPr="00CF6CB5" w:rsidRDefault="00AC744C" w:rsidP="00267336">
      <w:pPr>
        <w:pStyle w:val="af7"/>
      </w:pPr>
      <w:r w:rsidRPr="00CF6CB5">
        <w:rPr>
          <w:rFonts w:hint="eastAsia"/>
        </w:rPr>
        <w:lastRenderedPageBreak/>
        <w:t>資料來源：</w:t>
      </w:r>
      <w:r w:rsidR="00013F27" w:rsidRPr="00CF6CB5">
        <w:rPr>
          <w:rFonts w:hint="eastAsia"/>
        </w:rPr>
        <w:t>人事行政總處</w:t>
      </w:r>
    </w:p>
    <w:p w:rsidR="00CD6AE3" w:rsidRPr="00CF6CB5" w:rsidRDefault="004B5E94" w:rsidP="00CD6AE3">
      <w:pPr>
        <w:pStyle w:val="4"/>
      </w:pPr>
      <w:r w:rsidRPr="00CF6CB5">
        <w:rPr>
          <w:rFonts w:hint="eastAsia"/>
        </w:rPr>
        <w:t>綜上，</w:t>
      </w:r>
      <w:r w:rsidR="00CD6AE3" w:rsidRPr="00CF6CB5">
        <w:rPr>
          <w:rFonts w:hint="eastAsia"/>
        </w:rPr>
        <w:t>本項給與之政策目的既在解決</w:t>
      </w:r>
      <w:proofErr w:type="gramStart"/>
      <w:r w:rsidR="00CD6AE3" w:rsidRPr="00CF6CB5">
        <w:rPr>
          <w:rFonts w:hint="eastAsia"/>
        </w:rPr>
        <w:t>北警南調</w:t>
      </w:r>
      <w:proofErr w:type="gramEnd"/>
      <w:r w:rsidR="00CD6AE3" w:rsidRPr="00CF6CB5">
        <w:rPr>
          <w:rFonts w:hint="eastAsia"/>
        </w:rPr>
        <w:t>之問題，自不宜僅以</w:t>
      </w:r>
      <w:r w:rsidR="00B97593" w:rsidRPr="00CF6CB5">
        <w:rPr>
          <w:rFonts w:hint="eastAsia"/>
        </w:rPr>
        <w:t>「</w:t>
      </w:r>
      <w:r w:rsidR="00CD6AE3" w:rsidRPr="00CF6CB5">
        <w:rPr>
          <w:rFonts w:hint="eastAsia"/>
        </w:rPr>
        <w:t>申請外調</w:t>
      </w:r>
      <w:r w:rsidR="00B97593" w:rsidRPr="00CF6CB5">
        <w:rPr>
          <w:rFonts w:hint="eastAsia"/>
        </w:rPr>
        <w:t>」</w:t>
      </w:r>
      <w:r w:rsidR="00CD6AE3" w:rsidRPr="00CF6CB5">
        <w:rPr>
          <w:rFonts w:hint="eastAsia"/>
        </w:rPr>
        <w:t>人數或員警</w:t>
      </w:r>
      <w:r w:rsidR="00B97593" w:rsidRPr="00CF6CB5">
        <w:rPr>
          <w:rFonts w:hint="eastAsia"/>
        </w:rPr>
        <w:t>「</w:t>
      </w:r>
      <w:r w:rsidR="00CD6AE3" w:rsidRPr="00CF6CB5">
        <w:rPr>
          <w:rFonts w:hint="eastAsia"/>
        </w:rPr>
        <w:t>請調意願</w:t>
      </w:r>
      <w:r w:rsidR="00B97593" w:rsidRPr="00CF6CB5">
        <w:rPr>
          <w:rFonts w:hint="eastAsia"/>
        </w:rPr>
        <w:t>」</w:t>
      </w:r>
      <w:r w:rsidR="00CD6AE3" w:rsidRPr="00CF6CB5">
        <w:rPr>
          <w:rFonts w:hint="eastAsia"/>
        </w:rPr>
        <w:t>為檢討政策目標的唯一指標。</w:t>
      </w:r>
      <w:r w:rsidR="008539F8" w:rsidRPr="00CF6CB5">
        <w:rPr>
          <w:rFonts w:hint="eastAsia"/>
        </w:rPr>
        <w:t>該措施</w:t>
      </w:r>
      <w:r w:rsidR="00BC3C34" w:rsidRPr="00CF6CB5">
        <w:rPr>
          <w:rFonts w:hint="eastAsia"/>
        </w:rPr>
        <w:t>正式實施</w:t>
      </w:r>
      <w:r w:rsidR="008539F8" w:rsidRPr="00CF6CB5">
        <w:rPr>
          <w:rFonts w:hint="eastAsia"/>
        </w:rPr>
        <w:t>2</w:t>
      </w:r>
      <w:r w:rsidR="00BC3C34" w:rsidRPr="00CF6CB5">
        <w:rPr>
          <w:rFonts w:hint="eastAsia"/>
        </w:rPr>
        <w:t>年餘（104年1月至106年4月），內政部未</w:t>
      </w:r>
      <w:proofErr w:type="gramStart"/>
      <w:r w:rsidR="00BC3C34" w:rsidRPr="00CF6CB5">
        <w:rPr>
          <w:rFonts w:hint="eastAsia"/>
        </w:rPr>
        <w:t>採</w:t>
      </w:r>
      <w:proofErr w:type="gramEnd"/>
      <w:r w:rsidR="00BC3C34" w:rsidRPr="00CF6CB5">
        <w:rPr>
          <w:rFonts w:hint="eastAsia"/>
        </w:rPr>
        <w:t>計「實際警力流動人數」</w:t>
      </w:r>
      <w:r w:rsidR="007837C4" w:rsidRPr="00CF6CB5">
        <w:rPr>
          <w:rFonts w:hint="eastAsia"/>
        </w:rPr>
        <w:t>，亦未就相關成效有待檢討之處</w:t>
      </w:r>
      <w:r w:rsidR="00B97593" w:rsidRPr="00CF6CB5">
        <w:rPr>
          <w:rFonts w:hint="eastAsia"/>
        </w:rPr>
        <w:t>研究改進之道</w:t>
      </w:r>
      <w:r w:rsidR="00BC3C34" w:rsidRPr="00CF6CB5">
        <w:rPr>
          <w:rFonts w:hint="eastAsia"/>
        </w:rPr>
        <w:t>，</w:t>
      </w:r>
      <w:r w:rsidR="008539F8" w:rsidRPr="00CF6CB5">
        <w:rPr>
          <w:rFonts w:hint="eastAsia"/>
        </w:rPr>
        <w:t>即</w:t>
      </w:r>
      <w:r w:rsidR="00BC3C34" w:rsidRPr="00CF6CB5">
        <w:rPr>
          <w:rFonts w:hint="eastAsia"/>
        </w:rPr>
        <w:t>建議</w:t>
      </w:r>
      <w:r w:rsidR="008539F8" w:rsidRPr="00CF6CB5">
        <w:rPr>
          <w:rFonts w:hint="eastAsia"/>
        </w:rPr>
        <w:t>行政院</w:t>
      </w:r>
      <w:r w:rsidR="00BC3C34" w:rsidRPr="00CF6CB5">
        <w:rPr>
          <w:rFonts w:hint="eastAsia"/>
        </w:rPr>
        <w:t>按原有規定繼續辦理</w:t>
      </w:r>
      <w:r w:rsidR="00746E78" w:rsidRPr="00CF6CB5">
        <w:rPr>
          <w:rFonts w:hint="eastAsia"/>
        </w:rPr>
        <w:t>，顯未落實檢討</w:t>
      </w:r>
      <w:r w:rsidR="008539F8" w:rsidRPr="00CF6CB5">
        <w:rPr>
          <w:rFonts w:hint="eastAsia"/>
        </w:rPr>
        <w:t>，核有未當</w:t>
      </w:r>
      <w:r w:rsidR="00BC3C34" w:rsidRPr="00CF6CB5">
        <w:rPr>
          <w:rFonts w:hint="eastAsia"/>
        </w:rPr>
        <w:t>；</w:t>
      </w:r>
      <w:r w:rsidR="008539F8" w:rsidRPr="00CF6CB5">
        <w:rPr>
          <w:rFonts w:hint="eastAsia"/>
        </w:rPr>
        <w:t>而</w:t>
      </w:r>
      <w:r w:rsidR="00013F27" w:rsidRPr="00CF6CB5">
        <w:rPr>
          <w:rFonts w:hint="eastAsia"/>
        </w:rPr>
        <w:t>人事行政總處</w:t>
      </w:r>
      <w:r w:rsidR="00746E78" w:rsidRPr="00CF6CB5">
        <w:rPr>
          <w:rFonts w:hint="eastAsia"/>
        </w:rPr>
        <w:t>分析實施前後各縣市警力之調入、調出及流動比率，</w:t>
      </w:r>
      <w:r w:rsidRPr="00CF6CB5">
        <w:rPr>
          <w:rFonts w:hint="eastAsia"/>
        </w:rPr>
        <w:t>知</w:t>
      </w:r>
      <w:r w:rsidR="009C7CE7" w:rsidRPr="00CF6CB5">
        <w:rPr>
          <w:rFonts w:hint="eastAsia"/>
        </w:rPr>
        <w:t>悉</w:t>
      </w:r>
      <w:r w:rsidR="00BC3C34" w:rsidRPr="00CF6CB5">
        <w:rPr>
          <w:rFonts w:hint="eastAsia"/>
        </w:rPr>
        <w:t>實施成效不足以反映政策目標之達成，</w:t>
      </w:r>
      <w:r w:rsidR="008539F8" w:rsidRPr="00CF6CB5">
        <w:rPr>
          <w:rFonts w:hint="eastAsia"/>
        </w:rPr>
        <w:t>卻未報請行政院</w:t>
      </w:r>
      <w:r w:rsidR="00746E78" w:rsidRPr="00CF6CB5">
        <w:rPr>
          <w:rFonts w:hint="eastAsia"/>
        </w:rPr>
        <w:t>要求內政部</w:t>
      </w:r>
      <w:r w:rsidR="00B97593" w:rsidRPr="00CF6CB5">
        <w:rPr>
          <w:rFonts w:hint="eastAsia"/>
        </w:rPr>
        <w:t>針對實施狀況</w:t>
      </w:r>
      <w:proofErr w:type="gramStart"/>
      <w:r w:rsidR="00746E78" w:rsidRPr="00CF6CB5">
        <w:rPr>
          <w:rFonts w:hint="eastAsia"/>
        </w:rPr>
        <w:t>研</w:t>
      </w:r>
      <w:proofErr w:type="gramEnd"/>
      <w:r w:rsidR="009C7CE7" w:rsidRPr="00CF6CB5">
        <w:rPr>
          <w:rFonts w:hint="eastAsia"/>
        </w:rPr>
        <w:t>擬</w:t>
      </w:r>
      <w:r w:rsidR="008539F8" w:rsidRPr="00CF6CB5">
        <w:rPr>
          <w:rFonts w:hint="eastAsia"/>
        </w:rPr>
        <w:t>改善計畫</w:t>
      </w:r>
      <w:r w:rsidR="009C7CE7" w:rsidRPr="00CF6CB5">
        <w:rPr>
          <w:rFonts w:hint="eastAsia"/>
        </w:rPr>
        <w:t>，</w:t>
      </w:r>
      <w:proofErr w:type="gramStart"/>
      <w:r w:rsidR="008539F8" w:rsidRPr="00CF6CB5">
        <w:rPr>
          <w:rFonts w:hint="eastAsia"/>
        </w:rPr>
        <w:t>亦有未洽</w:t>
      </w:r>
      <w:proofErr w:type="gramEnd"/>
      <w:r w:rsidR="00BC3C34" w:rsidRPr="00CF6CB5">
        <w:rPr>
          <w:rFonts w:hint="eastAsia"/>
        </w:rPr>
        <w:t>。</w:t>
      </w:r>
    </w:p>
    <w:p w:rsidR="00294D6C" w:rsidRPr="00CF6CB5" w:rsidRDefault="00190A71" w:rsidP="00294D6C">
      <w:pPr>
        <w:pStyle w:val="3"/>
        <w:kinsoku w:val="0"/>
        <w:overflowPunct/>
        <w:autoSpaceDE/>
        <w:autoSpaceDN/>
        <w:ind w:left="1393" w:hanging="697"/>
      </w:pPr>
      <w:bookmarkStart w:id="175" w:name="_Toc510456640"/>
      <w:bookmarkStart w:id="176" w:name="_Toc510534712"/>
      <w:bookmarkStart w:id="177" w:name="_Toc511053632"/>
      <w:bookmarkStart w:id="178" w:name="_Toc511126978"/>
      <w:r w:rsidRPr="00CF6CB5">
        <w:rPr>
          <w:rFonts w:hint="eastAsia"/>
          <w:b/>
        </w:rPr>
        <w:t>本項給與以勤務</w:t>
      </w:r>
      <w:r w:rsidR="002F3D1F" w:rsidRPr="00CF6CB5">
        <w:rPr>
          <w:rFonts w:hint="eastAsia"/>
          <w:b/>
        </w:rPr>
        <w:t>量</w:t>
      </w:r>
      <w:r w:rsidRPr="00CF6CB5">
        <w:rPr>
          <w:rFonts w:hint="eastAsia"/>
          <w:b/>
        </w:rPr>
        <w:t>為唯一指標，</w:t>
      </w:r>
      <w:r w:rsidR="00F04EEA" w:rsidRPr="00CF6CB5">
        <w:rPr>
          <w:rFonts w:hint="eastAsia"/>
          <w:b/>
        </w:rPr>
        <w:t>但</w:t>
      </w:r>
      <w:proofErr w:type="gramStart"/>
      <w:r w:rsidR="00294D6C" w:rsidRPr="00CF6CB5">
        <w:rPr>
          <w:rFonts w:hint="eastAsia"/>
          <w:b/>
        </w:rPr>
        <w:t>臺</w:t>
      </w:r>
      <w:proofErr w:type="gramEnd"/>
      <w:r w:rsidR="00294D6C" w:rsidRPr="00CF6CB5">
        <w:rPr>
          <w:rFonts w:hint="eastAsia"/>
          <w:b/>
        </w:rPr>
        <w:t>南市</w:t>
      </w:r>
      <w:r w:rsidR="004B5E94" w:rsidRPr="00CF6CB5">
        <w:rPr>
          <w:rFonts w:hint="eastAsia"/>
          <w:b/>
        </w:rPr>
        <w:t>政府</w:t>
      </w:r>
      <w:r w:rsidR="00294D6C" w:rsidRPr="00CF6CB5">
        <w:rPr>
          <w:rFonts w:hint="eastAsia"/>
          <w:b/>
        </w:rPr>
        <w:t>及高雄市政府</w:t>
      </w:r>
      <w:r w:rsidRPr="00CF6CB5">
        <w:rPr>
          <w:rFonts w:hint="eastAsia"/>
          <w:b/>
        </w:rPr>
        <w:t>決定不予</w:t>
      </w:r>
      <w:r w:rsidR="00294D6C" w:rsidRPr="00CF6CB5">
        <w:rPr>
          <w:rFonts w:hint="eastAsia"/>
          <w:b/>
        </w:rPr>
        <w:t>實施，</w:t>
      </w:r>
      <w:r w:rsidR="00F04EEA" w:rsidRPr="00CF6CB5">
        <w:rPr>
          <w:rFonts w:hint="eastAsia"/>
          <w:b/>
        </w:rPr>
        <w:t>給予外界南</w:t>
      </w:r>
      <w:r w:rsidR="00294D6C" w:rsidRPr="00CF6CB5">
        <w:rPr>
          <w:rFonts w:hint="eastAsia"/>
          <w:b/>
        </w:rPr>
        <w:t>北都會區警察同工不同酬之</w:t>
      </w:r>
      <w:r w:rsidR="00F04EEA" w:rsidRPr="00CF6CB5">
        <w:rPr>
          <w:rFonts w:hint="eastAsia"/>
          <w:b/>
        </w:rPr>
        <w:t>感受</w:t>
      </w:r>
      <w:r w:rsidRPr="00CF6CB5">
        <w:rPr>
          <w:rFonts w:hint="eastAsia"/>
          <w:b/>
        </w:rPr>
        <w:t>。又該給與制度</w:t>
      </w:r>
      <w:r w:rsidR="00294D6C" w:rsidRPr="00CF6CB5">
        <w:rPr>
          <w:rFonts w:hint="eastAsia"/>
          <w:b/>
        </w:rPr>
        <w:t>是否符合地方</w:t>
      </w:r>
      <w:r w:rsidR="000A29B5" w:rsidRPr="00CF6CB5">
        <w:rPr>
          <w:rFonts w:hint="eastAsia"/>
          <w:b/>
        </w:rPr>
        <w:t>制</w:t>
      </w:r>
      <w:r w:rsidR="00294D6C" w:rsidRPr="00CF6CB5">
        <w:rPr>
          <w:rFonts w:hint="eastAsia"/>
          <w:b/>
        </w:rPr>
        <w:t>度法相關規定</w:t>
      </w:r>
      <w:r w:rsidRPr="00CF6CB5">
        <w:rPr>
          <w:rFonts w:hint="eastAsia"/>
          <w:b/>
        </w:rPr>
        <w:t>、</w:t>
      </w:r>
      <w:r w:rsidR="00294D6C" w:rsidRPr="00CF6CB5">
        <w:rPr>
          <w:rFonts w:hint="eastAsia"/>
          <w:b/>
        </w:rPr>
        <w:t>是否代表政策決定開放各級政府</w:t>
      </w:r>
      <w:r w:rsidR="000A29B5" w:rsidRPr="00CF6CB5">
        <w:rPr>
          <w:rFonts w:hint="eastAsia"/>
          <w:b/>
        </w:rPr>
        <w:t>採取彈性</w:t>
      </w:r>
      <w:proofErr w:type="gramStart"/>
      <w:r w:rsidR="000A29B5" w:rsidRPr="00CF6CB5">
        <w:rPr>
          <w:rFonts w:hint="eastAsia"/>
          <w:b/>
        </w:rPr>
        <w:t>薪資</w:t>
      </w:r>
      <w:r w:rsidR="00294D6C" w:rsidRPr="00CF6CB5">
        <w:rPr>
          <w:rFonts w:hint="eastAsia"/>
          <w:b/>
        </w:rPr>
        <w:t>競才</w:t>
      </w:r>
      <w:proofErr w:type="gramEnd"/>
      <w:r w:rsidRPr="00CF6CB5">
        <w:rPr>
          <w:rFonts w:hint="eastAsia"/>
          <w:b/>
        </w:rPr>
        <w:t>、</w:t>
      </w:r>
      <w:r w:rsidR="00294D6C" w:rsidRPr="00CF6CB5">
        <w:rPr>
          <w:rFonts w:hint="eastAsia"/>
          <w:b/>
        </w:rPr>
        <w:t>是否造成部分地方政府因財源不足而人才流失等情，行政院允應深入思考。</w:t>
      </w:r>
      <w:bookmarkEnd w:id="175"/>
      <w:bookmarkEnd w:id="176"/>
      <w:bookmarkEnd w:id="177"/>
      <w:bookmarkEnd w:id="178"/>
    </w:p>
    <w:p w:rsidR="00294D6C" w:rsidRPr="00CF6CB5" w:rsidRDefault="00294D6C" w:rsidP="0002256A">
      <w:pPr>
        <w:pStyle w:val="4"/>
      </w:pPr>
      <w:r w:rsidRPr="00CF6CB5">
        <w:rPr>
          <w:rFonts w:hint="eastAsia"/>
        </w:rPr>
        <w:t>警察人員警勤加給表修正後，計臺北市、新北市、桃園市及</w:t>
      </w:r>
      <w:proofErr w:type="gramStart"/>
      <w:r w:rsidRPr="00CF6CB5">
        <w:rPr>
          <w:rFonts w:hint="eastAsia"/>
        </w:rPr>
        <w:t>臺</w:t>
      </w:r>
      <w:proofErr w:type="gramEnd"/>
      <w:r w:rsidRPr="00CF6CB5">
        <w:rPr>
          <w:rFonts w:hint="eastAsia"/>
        </w:rPr>
        <w:t>中市政府實施加成支給，</w:t>
      </w:r>
      <w:proofErr w:type="gramStart"/>
      <w:r w:rsidRPr="00CF6CB5">
        <w:rPr>
          <w:rFonts w:hint="eastAsia"/>
        </w:rPr>
        <w:t>臺</w:t>
      </w:r>
      <w:proofErr w:type="gramEnd"/>
      <w:r w:rsidRPr="00CF6CB5">
        <w:rPr>
          <w:rFonts w:hint="eastAsia"/>
        </w:rPr>
        <w:t>南市及高雄市暫不實施，然南部都會地區相較於其他四都，警察人員亦有勤務繁重或危險程度較高等情形，</w:t>
      </w:r>
      <w:r w:rsidR="00190A71" w:rsidRPr="00CF6CB5">
        <w:rPr>
          <w:rFonts w:hint="eastAsia"/>
        </w:rPr>
        <w:t>將</w:t>
      </w:r>
      <w:r w:rsidRPr="00CF6CB5">
        <w:rPr>
          <w:rFonts w:hint="eastAsia"/>
        </w:rPr>
        <w:t>形成北部與南部之警察同工不同酬之現象。</w:t>
      </w:r>
    </w:p>
    <w:p w:rsidR="00294D6C" w:rsidRPr="00CF6CB5" w:rsidRDefault="00294D6C" w:rsidP="0002256A">
      <w:pPr>
        <w:pStyle w:val="4"/>
      </w:pPr>
      <w:r w:rsidRPr="00CF6CB5">
        <w:rPr>
          <w:rFonts w:hint="eastAsia"/>
        </w:rPr>
        <w:t>警勤加給繁重</w:t>
      </w:r>
      <w:proofErr w:type="gramStart"/>
      <w:r w:rsidRPr="00CF6CB5">
        <w:rPr>
          <w:rFonts w:hint="eastAsia"/>
        </w:rPr>
        <w:t>加</w:t>
      </w:r>
      <w:r w:rsidR="00571C03" w:rsidRPr="00CF6CB5">
        <w:rPr>
          <w:rFonts w:hint="eastAsia"/>
        </w:rPr>
        <w:t>成</w:t>
      </w:r>
      <w:r w:rsidRPr="00CF6CB5">
        <w:rPr>
          <w:rFonts w:hint="eastAsia"/>
        </w:rPr>
        <w:t>藉由</w:t>
      </w:r>
      <w:proofErr w:type="gramEnd"/>
      <w:r w:rsidRPr="00CF6CB5">
        <w:rPr>
          <w:rFonts w:hint="eastAsia"/>
        </w:rPr>
        <w:t>授權地方政府依所轄區域之勤務繁重程序，自訂分級標準及適用對象，及採取財政自籌原則，就地方政府員工待遇決策，具有尊重地方自治，授權地方政府依其財政</w:t>
      </w:r>
      <w:r w:rsidRPr="00CF6CB5">
        <w:rPr>
          <w:rFonts w:hint="eastAsia"/>
        </w:rPr>
        <w:lastRenderedPageBreak/>
        <w:t>自主，啟動組織</w:t>
      </w:r>
      <w:proofErr w:type="gramStart"/>
      <w:r w:rsidRPr="00CF6CB5">
        <w:rPr>
          <w:rFonts w:hint="eastAsia"/>
        </w:rPr>
        <w:t>間競才</w:t>
      </w:r>
      <w:proofErr w:type="gramEnd"/>
      <w:r w:rsidRPr="00CF6CB5">
        <w:rPr>
          <w:rFonts w:hint="eastAsia"/>
        </w:rPr>
        <w:t>的意涵</w:t>
      </w:r>
      <w:r w:rsidRPr="00CF6CB5">
        <w:rPr>
          <w:rStyle w:val="aff1"/>
        </w:rPr>
        <w:footnoteReference w:id="60"/>
      </w:r>
      <w:r w:rsidRPr="00CF6CB5">
        <w:rPr>
          <w:rFonts w:hint="eastAsia"/>
        </w:rPr>
        <w:t>。且行政院除本項給與外，於地域加給之改革上亦採取相同之財政策略（詳如前述）。</w:t>
      </w:r>
      <w:proofErr w:type="gramStart"/>
      <w:r w:rsidRPr="00CF6CB5">
        <w:rPr>
          <w:rFonts w:hint="eastAsia"/>
        </w:rPr>
        <w:t>惟查</w:t>
      </w:r>
      <w:proofErr w:type="gramEnd"/>
      <w:r w:rsidRPr="00CF6CB5">
        <w:rPr>
          <w:rFonts w:hint="eastAsia"/>
        </w:rPr>
        <w:t>，以自主財源賦予員工薪資彈性化之權限，過去僅有教育部依行政院全國人才培育會議訂定之「延攬及留住大專校院特殊優秀人才實施彈性薪資方案」，允許大專校院得以教育部、國科會編列之專案經費，</w:t>
      </w:r>
      <w:proofErr w:type="gramStart"/>
      <w:r w:rsidRPr="00CF6CB5">
        <w:rPr>
          <w:rFonts w:hint="eastAsia"/>
        </w:rPr>
        <w:t>及各核校務</w:t>
      </w:r>
      <w:proofErr w:type="gramEnd"/>
      <w:r w:rsidRPr="00CF6CB5">
        <w:rPr>
          <w:rFonts w:hint="eastAsia"/>
        </w:rPr>
        <w:t>基金等發給彈性薪資（發給非法定加給之給與，不牽動現行月支本薪及學術研究費等基本薪資結構改變）</w:t>
      </w:r>
      <w:r w:rsidRPr="00CF6CB5">
        <w:rPr>
          <w:rStyle w:val="aff1"/>
        </w:rPr>
        <w:footnoteReference w:id="61"/>
      </w:r>
      <w:r w:rsidRPr="00CF6CB5">
        <w:rPr>
          <w:rFonts w:hint="eastAsia"/>
        </w:rPr>
        <w:t>，其他大多以作業基金或具有營收特性之機構實施，在常任文官領域尚屬首見。顯示相關措施業已突破行政院訂頒之「待遇支給要點」及地方制度法第85條所定，地方政府公務人員給與事項應依俸給法及中央法令辦理</w:t>
      </w:r>
      <w:r w:rsidRPr="00CF6CB5">
        <w:rPr>
          <w:rStyle w:val="aff1"/>
        </w:rPr>
        <w:footnoteReference w:id="62"/>
      </w:r>
      <w:r w:rsidRPr="00CF6CB5">
        <w:rPr>
          <w:rFonts w:hint="eastAsia"/>
        </w:rPr>
        <w:t>之法制框架，涉及法制面之重大變革。相關措施是否代表政策決定開放各級</w:t>
      </w:r>
      <w:proofErr w:type="gramStart"/>
      <w:r w:rsidRPr="00CF6CB5">
        <w:rPr>
          <w:rFonts w:hint="eastAsia"/>
        </w:rPr>
        <w:t>政府競才</w:t>
      </w:r>
      <w:proofErr w:type="gramEnd"/>
      <w:r w:rsidRPr="00CF6CB5">
        <w:rPr>
          <w:rFonts w:hint="eastAsia"/>
        </w:rPr>
        <w:t>？應否擴大實施？是否將造成部分地方政府因財源不足而人才流失等效果？行政院允應深入思考。</w:t>
      </w:r>
    </w:p>
    <w:p w:rsidR="00294D6C" w:rsidRPr="00CF6CB5" w:rsidRDefault="00294D6C" w:rsidP="00294D6C">
      <w:pPr>
        <w:pStyle w:val="3"/>
        <w:kinsoku w:val="0"/>
        <w:overflowPunct/>
        <w:autoSpaceDE/>
        <w:autoSpaceDN/>
        <w:ind w:left="1393" w:hanging="697"/>
      </w:pPr>
      <w:bookmarkStart w:id="179" w:name="_Toc510456641"/>
      <w:bookmarkStart w:id="180" w:name="_Toc510534713"/>
      <w:bookmarkStart w:id="181" w:name="_Toc511053633"/>
      <w:bookmarkStart w:id="182" w:name="_Toc511126979"/>
      <w:r w:rsidRPr="00CF6CB5">
        <w:rPr>
          <w:rFonts w:hint="eastAsia"/>
          <w:b/>
        </w:rPr>
        <w:t>實施本項給與之各直轄市政府警察局，未能確實依所屬單位勤務繁重程度分級支給，亦未結合民眾</w:t>
      </w:r>
      <w:r w:rsidR="00571C03" w:rsidRPr="00CF6CB5">
        <w:rPr>
          <w:rFonts w:hint="eastAsia"/>
          <w:b/>
        </w:rPr>
        <w:t>對於</w:t>
      </w:r>
      <w:r w:rsidRPr="00CF6CB5">
        <w:rPr>
          <w:rFonts w:hint="eastAsia"/>
          <w:b/>
        </w:rPr>
        <w:t>治安</w:t>
      </w:r>
      <w:r w:rsidR="00571C03" w:rsidRPr="00CF6CB5">
        <w:rPr>
          <w:rFonts w:hint="eastAsia"/>
          <w:b/>
        </w:rPr>
        <w:t>的</w:t>
      </w:r>
      <w:r w:rsidRPr="00CF6CB5">
        <w:rPr>
          <w:rFonts w:hint="eastAsia"/>
          <w:b/>
        </w:rPr>
        <w:t>感受，設計合理</w:t>
      </w:r>
      <w:r w:rsidR="00A92EA7" w:rsidRPr="00CF6CB5">
        <w:rPr>
          <w:rFonts w:hint="eastAsia"/>
          <w:b/>
        </w:rPr>
        <w:t>的</w:t>
      </w:r>
      <w:r w:rsidRPr="00CF6CB5">
        <w:rPr>
          <w:rFonts w:hint="eastAsia"/>
          <w:b/>
        </w:rPr>
        <w:t>差別性待遇，內政部應要求所屬切實進行滾動式評估及調整</w:t>
      </w:r>
      <w:r w:rsidRPr="00CF6CB5">
        <w:rPr>
          <w:rFonts w:hint="eastAsia"/>
        </w:rPr>
        <w:t>：</w:t>
      </w:r>
      <w:bookmarkEnd w:id="179"/>
      <w:bookmarkEnd w:id="180"/>
      <w:bookmarkEnd w:id="181"/>
      <w:bookmarkEnd w:id="182"/>
    </w:p>
    <w:p w:rsidR="00294D6C" w:rsidRPr="00CF6CB5" w:rsidRDefault="00294D6C" w:rsidP="0002256A">
      <w:pPr>
        <w:pStyle w:val="4"/>
        <w:rPr>
          <w:sz w:val="28"/>
          <w:szCs w:val="28"/>
        </w:rPr>
      </w:pPr>
      <w:r w:rsidRPr="00CF6CB5">
        <w:rPr>
          <w:rFonts w:hint="eastAsia"/>
        </w:rPr>
        <w:t>各直轄市政府警察機關實施警勤加給繁重加成分組分級情形如下表：</w:t>
      </w:r>
    </w:p>
    <w:p w:rsidR="00294D6C" w:rsidRPr="00CF6CB5" w:rsidRDefault="00294D6C" w:rsidP="00A5190D">
      <w:pPr>
        <w:pStyle w:val="a3"/>
      </w:pPr>
      <w:r w:rsidRPr="00CF6CB5">
        <w:rPr>
          <w:rFonts w:hint="eastAsia"/>
        </w:rPr>
        <w:lastRenderedPageBreak/>
        <w:t>六都警察機關(單位)勤務繁重加成分組分級情形</w:t>
      </w:r>
    </w:p>
    <w:tbl>
      <w:tblPr>
        <w:tblW w:w="8872" w:type="dxa"/>
        <w:jc w:val="right"/>
        <w:tblCellMar>
          <w:left w:w="28" w:type="dxa"/>
          <w:right w:w="28" w:type="dxa"/>
        </w:tblCellMar>
        <w:tblLook w:val="04A0" w:firstRow="1" w:lastRow="0" w:firstColumn="1" w:lastColumn="0" w:noHBand="0" w:noVBand="1"/>
      </w:tblPr>
      <w:tblGrid>
        <w:gridCol w:w="851"/>
        <w:gridCol w:w="1701"/>
        <w:gridCol w:w="1984"/>
        <w:gridCol w:w="1701"/>
        <w:gridCol w:w="1701"/>
        <w:gridCol w:w="934"/>
      </w:tblGrid>
      <w:tr w:rsidR="00CF6CB5" w:rsidRPr="00CF6CB5" w:rsidTr="00AB4CEB">
        <w:trPr>
          <w:trHeight w:val="159"/>
          <w:jc w:val="right"/>
        </w:trPr>
        <w:tc>
          <w:tcPr>
            <w:tcW w:w="851"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rsidR="00A5190D" w:rsidRPr="00CF6CB5" w:rsidRDefault="00A5190D" w:rsidP="00AB4CEB">
            <w:pPr>
              <w:spacing w:line="300" w:lineRule="exact"/>
              <w:jc w:val="center"/>
              <w:rPr>
                <w:rFonts w:hAnsi="標楷體" w:cs="新細明體"/>
                <w:sz w:val="24"/>
                <w:szCs w:val="24"/>
              </w:rPr>
            </w:pPr>
            <w:r w:rsidRPr="00CF6CB5">
              <w:rPr>
                <w:rFonts w:hAnsi="標楷體" w:cs="新細明體" w:hint="eastAsia"/>
                <w:sz w:val="24"/>
                <w:szCs w:val="24"/>
              </w:rPr>
              <w:t xml:space="preserve">  組別</w:t>
            </w:r>
          </w:p>
          <w:p w:rsidR="00A5190D" w:rsidRPr="00CF6CB5" w:rsidRDefault="00A5190D" w:rsidP="00AB4CEB">
            <w:pPr>
              <w:spacing w:line="300" w:lineRule="exact"/>
              <w:jc w:val="center"/>
              <w:rPr>
                <w:rFonts w:hAnsi="標楷體" w:cs="新細明體"/>
                <w:sz w:val="24"/>
                <w:szCs w:val="24"/>
              </w:rPr>
            </w:pPr>
          </w:p>
          <w:p w:rsidR="00A5190D" w:rsidRPr="00CF6CB5" w:rsidRDefault="00A5190D" w:rsidP="00AB4CEB">
            <w:pPr>
              <w:spacing w:line="300" w:lineRule="exact"/>
              <w:rPr>
                <w:rFonts w:hAnsi="標楷體" w:cs="新細明體"/>
                <w:sz w:val="24"/>
                <w:szCs w:val="24"/>
              </w:rPr>
            </w:pPr>
            <w:r w:rsidRPr="00CF6CB5">
              <w:rPr>
                <w:rFonts w:hAnsi="標楷體" w:cs="新細明體" w:hint="eastAsia"/>
                <w:sz w:val="24"/>
                <w:szCs w:val="24"/>
              </w:rPr>
              <w:t>分級</w:t>
            </w:r>
          </w:p>
        </w:tc>
        <w:tc>
          <w:tcPr>
            <w:tcW w:w="3685" w:type="dxa"/>
            <w:gridSpan w:val="2"/>
            <w:tcBorders>
              <w:top w:val="single" w:sz="4" w:space="0" w:color="auto"/>
              <w:left w:val="single" w:sz="4" w:space="0" w:color="auto"/>
              <w:bottom w:val="single" w:sz="4" w:space="0" w:color="auto"/>
              <w:right w:val="nil"/>
            </w:tcBorders>
            <w:shd w:val="clear" w:color="auto" w:fill="auto"/>
            <w:vAlign w:val="center"/>
            <w:hideMark/>
          </w:tcPr>
          <w:p w:rsidR="00A5190D" w:rsidRPr="00CF6CB5" w:rsidRDefault="00A5190D" w:rsidP="00AB4CEB">
            <w:pPr>
              <w:spacing w:line="300" w:lineRule="exact"/>
              <w:jc w:val="center"/>
              <w:rPr>
                <w:rFonts w:hAnsi="標楷體" w:cs="新細明體"/>
                <w:bCs/>
                <w:sz w:val="24"/>
                <w:szCs w:val="24"/>
              </w:rPr>
            </w:pPr>
            <w:r w:rsidRPr="00CF6CB5">
              <w:rPr>
                <w:rFonts w:hAnsi="標楷體" w:cs="新細明體" w:hint="eastAsia"/>
                <w:bCs/>
                <w:sz w:val="24"/>
                <w:szCs w:val="24"/>
              </w:rPr>
              <w:t>第1組(最高1倍)</w:t>
            </w:r>
          </w:p>
        </w:tc>
        <w:tc>
          <w:tcPr>
            <w:tcW w:w="433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5190D" w:rsidRPr="00CF6CB5" w:rsidRDefault="00A5190D" w:rsidP="00AB4CEB">
            <w:pPr>
              <w:spacing w:line="300" w:lineRule="exact"/>
              <w:jc w:val="center"/>
              <w:rPr>
                <w:rFonts w:hAnsi="標楷體" w:cs="新細明體"/>
                <w:bCs/>
                <w:sz w:val="24"/>
                <w:szCs w:val="24"/>
              </w:rPr>
            </w:pPr>
            <w:r w:rsidRPr="00CF6CB5">
              <w:rPr>
                <w:rFonts w:hAnsi="標楷體" w:cs="新細明體" w:hint="eastAsia"/>
                <w:bCs/>
                <w:sz w:val="24"/>
                <w:szCs w:val="24"/>
              </w:rPr>
              <w:t>第2組(最高</w:t>
            </w:r>
            <w:proofErr w:type="gramStart"/>
            <w:r w:rsidRPr="00CF6CB5">
              <w:rPr>
                <w:rFonts w:hAnsi="標楷體" w:cs="新細明體" w:hint="eastAsia"/>
                <w:bCs/>
                <w:sz w:val="24"/>
                <w:szCs w:val="24"/>
              </w:rPr>
              <w:t>7成</w:t>
            </w:r>
            <w:proofErr w:type="gramEnd"/>
            <w:r w:rsidRPr="00CF6CB5">
              <w:rPr>
                <w:rFonts w:hAnsi="標楷體" w:cs="新細明體" w:hint="eastAsia"/>
                <w:bCs/>
                <w:sz w:val="24"/>
                <w:szCs w:val="24"/>
              </w:rPr>
              <w:t>)</w:t>
            </w:r>
          </w:p>
        </w:tc>
      </w:tr>
      <w:tr w:rsidR="00CF6CB5" w:rsidRPr="00CF6CB5" w:rsidTr="00AB4CEB">
        <w:trPr>
          <w:trHeight w:val="204"/>
          <w:jc w:val="right"/>
        </w:trPr>
        <w:tc>
          <w:tcPr>
            <w:tcW w:w="851" w:type="dxa"/>
            <w:vMerge/>
            <w:tcBorders>
              <w:left w:val="single" w:sz="4" w:space="0" w:color="auto"/>
              <w:bottom w:val="single" w:sz="4" w:space="0" w:color="auto"/>
              <w:right w:val="single" w:sz="4" w:space="0" w:color="auto"/>
              <w:tl2br w:val="single" w:sz="4" w:space="0" w:color="auto"/>
            </w:tcBorders>
            <w:shd w:val="clear" w:color="auto" w:fill="auto"/>
            <w:vAlign w:val="center"/>
            <w:hideMark/>
          </w:tcPr>
          <w:p w:rsidR="00A5190D" w:rsidRPr="00CF6CB5" w:rsidRDefault="00A5190D" w:rsidP="00AB4CEB">
            <w:pPr>
              <w:spacing w:line="300" w:lineRule="exact"/>
              <w:rPr>
                <w:rFonts w:hAnsi="標楷體" w:cs="新細明體"/>
                <w:sz w:val="24"/>
                <w:szCs w:val="24"/>
              </w:rPr>
            </w:pPr>
          </w:p>
        </w:tc>
        <w:tc>
          <w:tcPr>
            <w:tcW w:w="1701" w:type="dxa"/>
            <w:tcBorders>
              <w:top w:val="single" w:sz="4" w:space="0" w:color="auto"/>
              <w:left w:val="single" w:sz="4" w:space="0" w:color="auto"/>
              <w:bottom w:val="single" w:sz="4" w:space="0" w:color="auto"/>
              <w:right w:val="nil"/>
            </w:tcBorders>
            <w:shd w:val="clear" w:color="auto" w:fill="auto"/>
            <w:vAlign w:val="center"/>
            <w:hideMark/>
          </w:tcPr>
          <w:p w:rsidR="00A5190D" w:rsidRPr="00CF6CB5" w:rsidRDefault="00A5190D" w:rsidP="00AB4CEB">
            <w:pPr>
              <w:spacing w:line="300" w:lineRule="exact"/>
              <w:jc w:val="center"/>
              <w:rPr>
                <w:rFonts w:hAnsi="標楷體" w:cs="新細明體"/>
                <w:bCs/>
                <w:sz w:val="24"/>
                <w:szCs w:val="24"/>
              </w:rPr>
            </w:pPr>
            <w:r w:rsidRPr="00CF6CB5">
              <w:rPr>
                <w:rFonts w:hAnsi="標楷體" w:cs="新細明體" w:hint="eastAsia"/>
                <w:bCs/>
                <w:sz w:val="24"/>
                <w:szCs w:val="24"/>
              </w:rPr>
              <w:t>臺北市</w:t>
            </w:r>
          </w:p>
        </w:tc>
        <w:tc>
          <w:tcPr>
            <w:tcW w:w="1984" w:type="dxa"/>
            <w:tcBorders>
              <w:top w:val="single" w:sz="4" w:space="0" w:color="auto"/>
              <w:left w:val="single" w:sz="4" w:space="0" w:color="auto"/>
              <w:bottom w:val="single" w:sz="4" w:space="0" w:color="auto"/>
              <w:right w:val="nil"/>
            </w:tcBorders>
            <w:shd w:val="clear" w:color="auto" w:fill="auto"/>
            <w:vAlign w:val="center"/>
            <w:hideMark/>
          </w:tcPr>
          <w:p w:rsidR="00A5190D" w:rsidRPr="00CF6CB5" w:rsidRDefault="00A5190D" w:rsidP="00AB4CEB">
            <w:pPr>
              <w:spacing w:line="300" w:lineRule="exact"/>
              <w:jc w:val="center"/>
              <w:rPr>
                <w:rFonts w:hAnsi="標楷體" w:cs="新細明體"/>
                <w:bCs/>
                <w:sz w:val="24"/>
                <w:szCs w:val="24"/>
              </w:rPr>
            </w:pPr>
            <w:r w:rsidRPr="00CF6CB5">
              <w:rPr>
                <w:rFonts w:hAnsi="標楷體" w:cs="新細明體" w:hint="eastAsia"/>
                <w:bCs/>
                <w:sz w:val="24"/>
                <w:szCs w:val="24"/>
              </w:rPr>
              <w:t>新北市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190D" w:rsidRPr="00CF6CB5" w:rsidRDefault="00A5190D" w:rsidP="00AB4CEB">
            <w:pPr>
              <w:spacing w:line="300" w:lineRule="exact"/>
              <w:jc w:val="center"/>
              <w:rPr>
                <w:rFonts w:hAnsi="標楷體" w:cs="新細明體"/>
                <w:bCs/>
                <w:sz w:val="24"/>
                <w:szCs w:val="24"/>
              </w:rPr>
            </w:pPr>
            <w:r w:rsidRPr="00CF6CB5">
              <w:rPr>
                <w:rFonts w:hAnsi="標楷體" w:cs="新細明體" w:hint="eastAsia"/>
                <w:bCs/>
                <w:sz w:val="24"/>
                <w:szCs w:val="24"/>
              </w:rPr>
              <w:t>桃園市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5190D" w:rsidRPr="00CF6CB5" w:rsidRDefault="00A5190D" w:rsidP="00AB4CEB">
            <w:pPr>
              <w:spacing w:line="300" w:lineRule="exact"/>
              <w:jc w:val="center"/>
              <w:rPr>
                <w:rFonts w:hAnsi="標楷體" w:cs="新細明體"/>
                <w:bCs/>
                <w:sz w:val="24"/>
                <w:szCs w:val="24"/>
              </w:rPr>
            </w:pPr>
            <w:proofErr w:type="gramStart"/>
            <w:r w:rsidRPr="00CF6CB5">
              <w:rPr>
                <w:rFonts w:hAnsi="標楷體" w:cs="新細明體" w:hint="eastAsia"/>
                <w:bCs/>
                <w:sz w:val="24"/>
                <w:szCs w:val="24"/>
              </w:rPr>
              <w:t>臺</w:t>
            </w:r>
            <w:proofErr w:type="gramEnd"/>
            <w:r w:rsidRPr="00CF6CB5">
              <w:rPr>
                <w:rFonts w:hAnsi="標楷體" w:cs="新細明體" w:hint="eastAsia"/>
                <w:bCs/>
                <w:sz w:val="24"/>
                <w:szCs w:val="24"/>
              </w:rPr>
              <w:t>中市</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A5190D" w:rsidRPr="00CF6CB5" w:rsidRDefault="00A5190D" w:rsidP="00AB4CEB">
            <w:pPr>
              <w:spacing w:line="300" w:lineRule="exact"/>
              <w:jc w:val="center"/>
              <w:rPr>
                <w:rFonts w:hAnsi="標楷體" w:cs="新細明體"/>
                <w:bCs/>
                <w:sz w:val="24"/>
                <w:szCs w:val="24"/>
              </w:rPr>
            </w:pPr>
            <w:proofErr w:type="gramStart"/>
            <w:r w:rsidRPr="00CF6CB5">
              <w:rPr>
                <w:rFonts w:hAnsi="標楷體" w:cs="新細明體" w:hint="eastAsia"/>
                <w:bCs/>
                <w:sz w:val="24"/>
                <w:szCs w:val="24"/>
              </w:rPr>
              <w:t>臺</w:t>
            </w:r>
            <w:proofErr w:type="gramEnd"/>
            <w:r w:rsidRPr="00CF6CB5">
              <w:rPr>
                <w:rFonts w:hAnsi="標楷體" w:cs="新細明體" w:hint="eastAsia"/>
                <w:bCs/>
                <w:sz w:val="24"/>
                <w:szCs w:val="24"/>
              </w:rPr>
              <w:t>南市</w:t>
            </w:r>
          </w:p>
          <w:p w:rsidR="00A5190D" w:rsidRPr="00CF6CB5" w:rsidRDefault="00A5190D" w:rsidP="00AB4CEB">
            <w:pPr>
              <w:spacing w:line="300" w:lineRule="exact"/>
              <w:jc w:val="center"/>
              <w:rPr>
                <w:rFonts w:hAnsi="標楷體" w:cs="新細明體"/>
                <w:bCs/>
                <w:sz w:val="24"/>
                <w:szCs w:val="24"/>
              </w:rPr>
            </w:pPr>
            <w:r w:rsidRPr="00CF6CB5">
              <w:rPr>
                <w:rFonts w:hAnsi="標楷體" w:cs="新細明體" w:hint="eastAsia"/>
                <w:bCs/>
                <w:sz w:val="24"/>
                <w:szCs w:val="24"/>
              </w:rPr>
              <w:t>高雄市</w:t>
            </w:r>
          </w:p>
        </w:tc>
      </w:tr>
      <w:tr w:rsidR="00CF6CB5" w:rsidRPr="00CF6CB5" w:rsidTr="00AB4CEB">
        <w:trPr>
          <w:trHeight w:val="60"/>
          <w:jc w:val="right"/>
        </w:trPr>
        <w:tc>
          <w:tcPr>
            <w:tcW w:w="851" w:type="dxa"/>
            <w:vMerge w:val="restart"/>
            <w:tcBorders>
              <w:top w:val="single" w:sz="4" w:space="0" w:color="auto"/>
              <w:left w:val="single" w:sz="4" w:space="0" w:color="auto"/>
              <w:right w:val="single" w:sz="4" w:space="0" w:color="auto"/>
            </w:tcBorders>
            <w:shd w:val="clear" w:color="auto" w:fill="auto"/>
            <w:vAlign w:val="center"/>
            <w:hideMark/>
          </w:tcPr>
          <w:p w:rsidR="00A5190D" w:rsidRPr="00CF6CB5" w:rsidRDefault="00A5190D" w:rsidP="00AB4CEB">
            <w:pPr>
              <w:spacing w:line="300" w:lineRule="exact"/>
              <w:jc w:val="center"/>
              <w:rPr>
                <w:rFonts w:hAnsi="標楷體" w:cs="新細明體"/>
                <w:bCs/>
                <w:spacing w:val="-16"/>
                <w:sz w:val="24"/>
                <w:szCs w:val="24"/>
              </w:rPr>
            </w:pPr>
            <w:r w:rsidRPr="00CF6CB5">
              <w:rPr>
                <w:rFonts w:hAnsi="標楷體" w:cs="新細明體" w:hint="eastAsia"/>
                <w:bCs/>
                <w:spacing w:val="-16"/>
                <w:sz w:val="24"/>
                <w:szCs w:val="24"/>
              </w:rPr>
              <w:t>第一級</w:t>
            </w:r>
          </w:p>
        </w:tc>
        <w:tc>
          <w:tcPr>
            <w:tcW w:w="170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5190D" w:rsidRPr="00CF6CB5" w:rsidRDefault="00A5190D" w:rsidP="00AB4CEB">
            <w:pPr>
              <w:spacing w:line="300" w:lineRule="exact"/>
              <w:jc w:val="center"/>
              <w:rPr>
                <w:rFonts w:hAnsi="標楷體" w:cs="新細明體"/>
                <w:b/>
                <w:bCs/>
                <w:sz w:val="24"/>
                <w:szCs w:val="24"/>
              </w:rPr>
            </w:pPr>
            <w:r w:rsidRPr="00CF6CB5">
              <w:rPr>
                <w:rFonts w:hAnsi="標楷體" w:cs="新細明體" w:hint="eastAsia"/>
                <w:b/>
                <w:bCs/>
                <w:sz w:val="24"/>
                <w:szCs w:val="24"/>
              </w:rPr>
              <w:t>加1倍</w:t>
            </w:r>
          </w:p>
        </w:tc>
        <w:tc>
          <w:tcPr>
            <w:tcW w:w="198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A5190D" w:rsidRPr="00CF6CB5" w:rsidRDefault="00A5190D" w:rsidP="00AB4CEB">
            <w:pPr>
              <w:spacing w:line="300" w:lineRule="exact"/>
              <w:jc w:val="center"/>
              <w:rPr>
                <w:rFonts w:hAnsi="標楷體" w:cs="新細明體"/>
                <w:b/>
                <w:bCs/>
                <w:sz w:val="24"/>
                <w:szCs w:val="24"/>
              </w:rPr>
            </w:pPr>
            <w:r w:rsidRPr="00CF6CB5">
              <w:rPr>
                <w:rFonts w:hAnsi="標楷體" w:cs="新細明體" w:hint="eastAsia"/>
                <w:b/>
                <w:bCs/>
                <w:sz w:val="24"/>
                <w:szCs w:val="24"/>
              </w:rPr>
              <w:t>加1倍</w:t>
            </w:r>
          </w:p>
        </w:tc>
        <w:tc>
          <w:tcPr>
            <w:tcW w:w="170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A5190D" w:rsidRPr="00CF6CB5" w:rsidRDefault="00A5190D" w:rsidP="00AB4CEB">
            <w:pPr>
              <w:spacing w:line="300" w:lineRule="exact"/>
              <w:jc w:val="center"/>
              <w:rPr>
                <w:rFonts w:hAnsi="標楷體" w:cs="新細明體"/>
                <w:b/>
                <w:bCs/>
                <w:sz w:val="24"/>
                <w:szCs w:val="24"/>
              </w:rPr>
            </w:pPr>
            <w:r w:rsidRPr="00CF6CB5">
              <w:rPr>
                <w:rFonts w:hAnsi="標楷體" w:cs="新細明體" w:hint="eastAsia"/>
                <w:b/>
                <w:bCs/>
                <w:sz w:val="24"/>
                <w:szCs w:val="24"/>
              </w:rPr>
              <w:t>加</w:t>
            </w:r>
            <w:proofErr w:type="gramStart"/>
            <w:r w:rsidRPr="00CF6CB5">
              <w:rPr>
                <w:rFonts w:hAnsi="標楷體" w:cs="新細明體" w:hint="eastAsia"/>
                <w:b/>
                <w:bCs/>
                <w:sz w:val="24"/>
                <w:szCs w:val="24"/>
              </w:rPr>
              <w:t>7成</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A5190D" w:rsidRPr="00CF6CB5" w:rsidRDefault="00A5190D" w:rsidP="00AB4CEB">
            <w:pPr>
              <w:spacing w:line="300" w:lineRule="exact"/>
              <w:jc w:val="center"/>
              <w:rPr>
                <w:rFonts w:hAnsi="標楷體" w:cs="新細明體"/>
                <w:b/>
                <w:bCs/>
                <w:sz w:val="24"/>
                <w:szCs w:val="24"/>
              </w:rPr>
            </w:pPr>
            <w:r w:rsidRPr="00CF6CB5">
              <w:rPr>
                <w:rFonts w:hAnsi="標楷體" w:cs="新細明體" w:hint="eastAsia"/>
                <w:b/>
                <w:bCs/>
                <w:sz w:val="24"/>
                <w:szCs w:val="24"/>
              </w:rPr>
              <w:t>加</w:t>
            </w:r>
            <w:proofErr w:type="gramStart"/>
            <w:r w:rsidRPr="00CF6CB5">
              <w:rPr>
                <w:rFonts w:hAnsi="標楷體" w:cs="新細明體" w:hint="eastAsia"/>
                <w:b/>
                <w:bCs/>
                <w:sz w:val="24"/>
                <w:szCs w:val="24"/>
              </w:rPr>
              <w:t>7成</w:t>
            </w:r>
            <w:proofErr w:type="gramEnd"/>
          </w:p>
        </w:tc>
        <w:tc>
          <w:tcPr>
            <w:tcW w:w="934" w:type="dxa"/>
            <w:vMerge w:val="restart"/>
            <w:tcBorders>
              <w:top w:val="single" w:sz="4" w:space="0" w:color="auto"/>
              <w:left w:val="single" w:sz="4" w:space="0" w:color="auto"/>
              <w:right w:val="single" w:sz="4" w:space="0" w:color="auto"/>
            </w:tcBorders>
            <w:shd w:val="clear" w:color="auto" w:fill="auto"/>
            <w:vAlign w:val="center"/>
          </w:tcPr>
          <w:p w:rsidR="00A5190D" w:rsidRPr="00CF6CB5" w:rsidRDefault="00A5190D" w:rsidP="00AB4CEB">
            <w:pPr>
              <w:widowControl/>
              <w:spacing w:line="300" w:lineRule="exact"/>
              <w:jc w:val="center"/>
              <w:rPr>
                <w:rFonts w:hAnsi="標楷體" w:cs="新細明體"/>
                <w:b/>
                <w:bCs/>
                <w:sz w:val="24"/>
                <w:szCs w:val="24"/>
              </w:rPr>
            </w:pPr>
            <w:r w:rsidRPr="00CF6CB5">
              <w:rPr>
                <w:rFonts w:hAnsi="標楷體" w:cs="新細明體" w:hint="eastAsia"/>
                <w:b/>
                <w:bCs/>
                <w:sz w:val="24"/>
                <w:szCs w:val="24"/>
              </w:rPr>
              <w:t>市府</w:t>
            </w:r>
            <w:r w:rsidRPr="00CF6CB5">
              <w:rPr>
                <w:rFonts w:hAnsi="標楷體" w:cs="新細明體"/>
                <w:b/>
                <w:bCs/>
                <w:sz w:val="24"/>
                <w:szCs w:val="24"/>
              </w:rPr>
              <w:br/>
            </w:r>
            <w:r w:rsidRPr="00CF6CB5">
              <w:rPr>
                <w:rFonts w:hAnsi="標楷體" w:cs="新細明體" w:hint="eastAsia"/>
                <w:b/>
                <w:bCs/>
                <w:sz w:val="24"/>
                <w:szCs w:val="24"/>
              </w:rPr>
              <w:t>決定</w:t>
            </w:r>
            <w:r w:rsidRPr="00CF6CB5">
              <w:rPr>
                <w:rFonts w:hAnsi="標楷體" w:cs="新細明體"/>
                <w:b/>
                <w:bCs/>
                <w:sz w:val="24"/>
                <w:szCs w:val="24"/>
              </w:rPr>
              <w:br/>
            </w:r>
            <w:r w:rsidRPr="00CF6CB5">
              <w:rPr>
                <w:rFonts w:hAnsi="標楷體" w:cs="新細明體" w:hint="eastAsia"/>
                <w:b/>
                <w:bCs/>
                <w:sz w:val="24"/>
                <w:szCs w:val="24"/>
              </w:rPr>
              <w:t>暫不</w:t>
            </w:r>
            <w:r w:rsidRPr="00CF6CB5">
              <w:rPr>
                <w:rFonts w:hAnsi="標楷體" w:cs="新細明體"/>
                <w:b/>
                <w:bCs/>
                <w:sz w:val="24"/>
                <w:szCs w:val="24"/>
              </w:rPr>
              <w:br/>
            </w:r>
            <w:r w:rsidRPr="00CF6CB5">
              <w:rPr>
                <w:rFonts w:hAnsi="標楷體" w:cs="新細明體" w:hint="eastAsia"/>
                <w:b/>
                <w:bCs/>
                <w:sz w:val="24"/>
                <w:szCs w:val="24"/>
              </w:rPr>
              <w:t>實施</w:t>
            </w:r>
          </w:p>
        </w:tc>
      </w:tr>
      <w:tr w:rsidR="00CF6CB5" w:rsidRPr="00CF6CB5" w:rsidTr="00AB4CEB">
        <w:trPr>
          <w:trHeight w:val="85"/>
          <w:jc w:val="right"/>
        </w:trPr>
        <w:tc>
          <w:tcPr>
            <w:tcW w:w="851" w:type="dxa"/>
            <w:vMerge/>
            <w:tcBorders>
              <w:left w:val="single" w:sz="4" w:space="0" w:color="auto"/>
              <w:bottom w:val="single" w:sz="4" w:space="0" w:color="auto"/>
              <w:right w:val="single" w:sz="4" w:space="0" w:color="auto"/>
            </w:tcBorders>
            <w:shd w:val="clear" w:color="auto" w:fill="auto"/>
            <w:vAlign w:val="center"/>
            <w:hideMark/>
          </w:tcPr>
          <w:p w:rsidR="00A5190D" w:rsidRPr="00CF6CB5" w:rsidRDefault="00A5190D" w:rsidP="00AB4CEB">
            <w:pPr>
              <w:spacing w:line="300" w:lineRule="exact"/>
              <w:jc w:val="center"/>
              <w:rPr>
                <w:rFonts w:hAnsi="標楷體" w:cs="新細明體"/>
                <w:bCs/>
                <w:spacing w:val="-16"/>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190D" w:rsidRPr="00CF6CB5" w:rsidRDefault="00A5190D" w:rsidP="00AB4CEB">
            <w:pPr>
              <w:spacing w:line="300" w:lineRule="exact"/>
              <w:jc w:val="center"/>
              <w:rPr>
                <w:rFonts w:hAnsi="標楷體" w:cs="新細明體"/>
                <w:bCs/>
                <w:spacing w:val="-16"/>
                <w:sz w:val="24"/>
                <w:szCs w:val="24"/>
              </w:rPr>
            </w:pPr>
            <w:r w:rsidRPr="00CF6CB5">
              <w:rPr>
                <w:rFonts w:hAnsi="標楷體" w:cs="新細明體" w:hint="eastAsia"/>
                <w:bCs/>
                <w:spacing w:val="-16"/>
                <w:sz w:val="24"/>
                <w:szCs w:val="24"/>
              </w:rPr>
              <w:t>繁重分局</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A5190D" w:rsidRPr="00CF6CB5" w:rsidRDefault="00A5190D" w:rsidP="00AB4CEB">
            <w:pPr>
              <w:spacing w:line="300" w:lineRule="exact"/>
              <w:jc w:val="center"/>
              <w:rPr>
                <w:rFonts w:hAnsi="標楷體" w:cs="新細明體"/>
                <w:bCs/>
                <w:spacing w:val="-16"/>
                <w:sz w:val="24"/>
                <w:szCs w:val="24"/>
              </w:rPr>
            </w:pPr>
            <w:r w:rsidRPr="00CF6CB5">
              <w:rPr>
                <w:rFonts w:hAnsi="標楷體" w:cs="新細明體" w:hint="eastAsia"/>
                <w:bCs/>
                <w:spacing w:val="-16"/>
                <w:sz w:val="24"/>
                <w:szCs w:val="24"/>
              </w:rPr>
              <w:t>繁重分局</w:t>
            </w:r>
          </w:p>
          <w:p w:rsidR="00A5190D" w:rsidRPr="00CF6CB5" w:rsidRDefault="00A5190D" w:rsidP="00AB4CEB">
            <w:pPr>
              <w:spacing w:line="300" w:lineRule="exact"/>
              <w:jc w:val="center"/>
              <w:rPr>
                <w:rFonts w:hAnsi="標楷體" w:cs="新細明體"/>
                <w:bCs/>
                <w:spacing w:val="-16"/>
                <w:sz w:val="24"/>
                <w:szCs w:val="24"/>
              </w:rPr>
            </w:pPr>
            <w:r w:rsidRPr="00CF6CB5">
              <w:rPr>
                <w:rFonts w:hAnsi="標楷體" w:cs="新細明體" w:hint="eastAsia"/>
                <w:bCs/>
                <w:spacing w:val="-16"/>
                <w:sz w:val="24"/>
                <w:szCs w:val="24"/>
              </w:rPr>
              <w:t>繁重派出(分駐)所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5190D" w:rsidRPr="00CF6CB5" w:rsidRDefault="00A5190D" w:rsidP="00AB4CEB">
            <w:pPr>
              <w:spacing w:line="300" w:lineRule="exact"/>
              <w:jc w:val="center"/>
              <w:rPr>
                <w:rFonts w:hAnsi="標楷體" w:cs="新細明體"/>
                <w:bCs/>
                <w:spacing w:val="-16"/>
                <w:sz w:val="24"/>
                <w:szCs w:val="24"/>
              </w:rPr>
            </w:pPr>
            <w:r w:rsidRPr="00CF6CB5">
              <w:rPr>
                <w:rFonts w:hAnsi="標楷體" w:cs="新細明體" w:hint="eastAsia"/>
                <w:bCs/>
                <w:spacing w:val="-16"/>
                <w:sz w:val="24"/>
                <w:szCs w:val="24"/>
              </w:rPr>
              <w:t>繁重分局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5190D" w:rsidRPr="00CF6CB5" w:rsidRDefault="00A5190D" w:rsidP="00AB4CEB">
            <w:pPr>
              <w:spacing w:line="300" w:lineRule="exact"/>
              <w:jc w:val="center"/>
              <w:rPr>
                <w:rFonts w:hAnsi="標楷體" w:cs="新細明體"/>
                <w:bCs/>
                <w:spacing w:val="-16"/>
                <w:sz w:val="24"/>
                <w:szCs w:val="24"/>
              </w:rPr>
            </w:pPr>
            <w:r w:rsidRPr="00CF6CB5">
              <w:rPr>
                <w:rFonts w:hAnsi="標楷體" w:cs="新細明體" w:hint="eastAsia"/>
                <w:bCs/>
                <w:spacing w:val="-16"/>
                <w:sz w:val="24"/>
                <w:szCs w:val="24"/>
              </w:rPr>
              <w:t>繁重分局</w:t>
            </w:r>
          </w:p>
        </w:tc>
        <w:tc>
          <w:tcPr>
            <w:tcW w:w="934" w:type="dxa"/>
            <w:vMerge/>
            <w:tcBorders>
              <w:left w:val="single" w:sz="4" w:space="0" w:color="auto"/>
              <w:right w:val="single" w:sz="4" w:space="0" w:color="auto"/>
            </w:tcBorders>
            <w:shd w:val="clear" w:color="auto" w:fill="auto"/>
            <w:vAlign w:val="center"/>
          </w:tcPr>
          <w:p w:rsidR="00A5190D" w:rsidRPr="00CF6CB5" w:rsidRDefault="00A5190D" w:rsidP="00AB4CEB">
            <w:pPr>
              <w:widowControl/>
              <w:spacing w:line="300" w:lineRule="exact"/>
              <w:jc w:val="center"/>
              <w:rPr>
                <w:rFonts w:hAnsi="標楷體" w:cs="新細明體"/>
                <w:b/>
                <w:bCs/>
                <w:sz w:val="24"/>
                <w:szCs w:val="24"/>
              </w:rPr>
            </w:pPr>
          </w:p>
        </w:tc>
      </w:tr>
      <w:tr w:rsidR="00CF6CB5" w:rsidRPr="00CF6CB5" w:rsidTr="00AB4CEB">
        <w:trPr>
          <w:trHeight w:val="45"/>
          <w:jc w:val="right"/>
        </w:trPr>
        <w:tc>
          <w:tcPr>
            <w:tcW w:w="851" w:type="dxa"/>
            <w:vMerge w:val="restart"/>
            <w:tcBorders>
              <w:top w:val="single" w:sz="4" w:space="0" w:color="auto"/>
              <w:left w:val="single" w:sz="4" w:space="0" w:color="auto"/>
              <w:right w:val="single" w:sz="4" w:space="0" w:color="auto"/>
            </w:tcBorders>
            <w:shd w:val="clear" w:color="auto" w:fill="auto"/>
            <w:vAlign w:val="center"/>
            <w:hideMark/>
          </w:tcPr>
          <w:p w:rsidR="00A5190D" w:rsidRPr="00CF6CB5" w:rsidRDefault="00A5190D" w:rsidP="00AB4CEB">
            <w:pPr>
              <w:spacing w:line="300" w:lineRule="exact"/>
              <w:jc w:val="center"/>
              <w:rPr>
                <w:rFonts w:hAnsi="標楷體" w:cs="新細明體"/>
                <w:bCs/>
                <w:spacing w:val="-16"/>
                <w:sz w:val="24"/>
                <w:szCs w:val="24"/>
              </w:rPr>
            </w:pPr>
            <w:r w:rsidRPr="00CF6CB5">
              <w:rPr>
                <w:rFonts w:hAnsi="標楷體" w:cs="新細明體" w:hint="eastAsia"/>
                <w:bCs/>
                <w:spacing w:val="-16"/>
                <w:sz w:val="24"/>
                <w:szCs w:val="24"/>
              </w:rPr>
              <w:t>第二級</w:t>
            </w:r>
          </w:p>
        </w:tc>
        <w:tc>
          <w:tcPr>
            <w:tcW w:w="1701"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rsidR="00A5190D" w:rsidRPr="00CF6CB5" w:rsidRDefault="00A5190D" w:rsidP="00AB4CEB">
            <w:pPr>
              <w:spacing w:line="300" w:lineRule="exact"/>
              <w:jc w:val="center"/>
              <w:rPr>
                <w:rFonts w:hAnsi="標楷體" w:cs="新細明體"/>
                <w:b/>
                <w:bCs/>
                <w:sz w:val="24"/>
                <w:szCs w:val="24"/>
              </w:rPr>
            </w:pPr>
            <w:r w:rsidRPr="00CF6CB5">
              <w:rPr>
                <w:rFonts w:hAnsi="標楷體" w:cs="新細明體" w:hint="eastAsia"/>
                <w:b/>
                <w:bCs/>
                <w:sz w:val="24"/>
                <w:szCs w:val="24"/>
              </w:rPr>
              <w:t>加</w:t>
            </w:r>
            <w:proofErr w:type="gramStart"/>
            <w:r w:rsidRPr="00CF6CB5">
              <w:rPr>
                <w:rFonts w:hAnsi="標楷體" w:cs="新細明體" w:hint="eastAsia"/>
                <w:b/>
                <w:bCs/>
                <w:sz w:val="24"/>
                <w:szCs w:val="24"/>
              </w:rPr>
              <w:t>9成</w:t>
            </w:r>
            <w:proofErr w:type="gramEnd"/>
          </w:p>
        </w:tc>
        <w:tc>
          <w:tcPr>
            <w:tcW w:w="1984" w:type="dxa"/>
            <w:tcBorders>
              <w:top w:val="single" w:sz="4" w:space="0" w:color="auto"/>
              <w:left w:val="nil"/>
              <w:bottom w:val="single" w:sz="4" w:space="0" w:color="auto"/>
              <w:right w:val="single" w:sz="4" w:space="0" w:color="auto"/>
            </w:tcBorders>
            <w:shd w:val="clear" w:color="auto" w:fill="DAEEF3" w:themeFill="accent5" w:themeFillTint="33"/>
            <w:vAlign w:val="center"/>
          </w:tcPr>
          <w:p w:rsidR="00A5190D" w:rsidRPr="00CF6CB5" w:rsidRDefault="00A5190D" w:rsidP="00AB4CEB">
            <w:pPr>
              <w:spacing w:line="300" w:lineRule="exact"/>
              <w:jc w:val="center"/>
              <w:rPr>
                <w:rFonts w:hAnsi="標楷體" w:cs="新細明體"/>
                <w:b/>
                <w:bCs/>
                <w:sz w:val="24"/>
                <w:szCs w:val="24"/>
              </w:rPr>
            </w:pPr>
            <w:r w:rsidRPr="00CF6CB5">
              <w:rPr>
                <w:rFonts w:hAnsi="標楷體" w:cs="新細明體" w:hint="eastAsia"/>
                <w:b/>
                <w:bCs/>
                <w:sz w:val="24"/>
                <w:szCs w:val="24"/>
              </w:rPr>
              <w:t>加</w:t>
            </w:r>
            <w:proofErr w:type="gramStart"/>
            <w:r w:rsidRPr="00CF6CB5">
              <w:rPr>
                <w:rFonts w:hAnsi="標楷體" w:cs="新細明體" w:hint="eastAsia"/>
                <w:b/>
                <w:bCs/>
                <w:sz w:val="24"/>
                <w:szCs w:val="24"/>
              </w:rPr>
              <w:t>9成</w:t>
            </w:r>
            <w:proofErr w:type="gramEnd"/>
          </w:p>
        </w:tc>
        <w:tc>
          <w:tcPr>
            <w:tcW w:w="1701" w:type="dxa"/>
            <w:tcBorders>
              <w:top w:val="single" w:sz="4" w:space="0" w:color="auto"/>
              <w:left w:val="nil"/>
              <w:bottom w:val="single" w:sz="4" w:space="0" w:color="auto"/>
              <w:right w:val="single" w:sz="4" w:space="0" w:color="auto"/>
            </w:tcBorders>
            <w:shd w:val="clear" w:color="auto" w:fill="DAEEF3" w:themeFill="accent5" w:themeFillTint="33"/>
            <w:vAlign w:val="center"/>
          </w:tcPr>
          <w:p w:rsidR="00A5190D" w:rsidRPr="00CF6CB5" w:rsidRDefault="00A5190D" w:rsidP="00AB4CEB">
            <w:pPr>
              <w:spacing w:line="300" w:lineRule="exact"/>
              <w:jc w:val="center"/>
              <w:rPr>
                <w:rFonts w:hAnsi="標楷體" w:cs="新細明體"/>
                <w:b/>
                <w:bCs/>
                <w:sz w:val="24"/>
                <w:szCs w:val="24"/>
              </w:rPr>
            </w:pPr>
            <w:r w:rsidRPr="00CF6CB5">
              <w:rPr>
                <w:rFonts w:hAnsi="標楷體" w:cs="新細明體" w:hint="eastAsia"/>
                <w:b/>
                <w:bCs/>
                <w:sz w:val="24"/>
                <w:szCs w:val="24"/>
              </w:rPr>
              <w:t>加</w:t>
            </w:r>
            <w:proofErr w:type="gramStart"/>
            <w:r w:rsidRPr="00CF6CB5">
              <w:rPr>
                <w:rFonts w:hAnsi="標楷體" w:cs="新細明體" w:hint="eastAsia"/>
                <w:b/>
                <w:bCs/>
                <w:sz w:val="24"/>
                <w:szCs w:val="24"/>
              </w:rPr>
              <w:t>6成</w:t>
            </w:r>
            <w:proofErr w:type="gramEnd"/>
          </w:p>
        </w:tc>
        <w:tc>
          <w:tcPr>
            <w:tcW w:w="1701" w:type="dxa"/>
            <w:tcBorders>
              <w:top w:val="single" w:sz="4" w:space="0" w:color="auto"/>
              <w:left w:val="nil"/>
              <w:bottom w:val="single" w:sz="4" w:space="0" w:color="auto"/>
              <w:right w:val="single" w:sz="4" w:space="0" w:color="auto"/>
            </w:tcBorders>
            <w:shd w:val="clear" w:color="auto" w:fill="DAEEF3" w:themeFill="accent5" w:themeFillTint="33"/>
            <w:vAlign w:val="center"/>
          </w:tcPr>
          <w:p w:rsidR="00A5190D" w:rsidRPr="00CF6CB5" w:rsidRDefault="00A5190D" w:rsidP="00AB4CEB">
            <w:pPr>
              <w:spacing w:line="300" w:lineRule="exact"/>
              <w:jc w:val="center"/>
              <w:rPr>
                <w:rFonts w:hAnsi="標楷體" w:cs="新細明體"/>
                <w:b/>
                <w:bCs/>
                <w:sz w:val="24"/>
                <w:szCs w:val="24"/>
              </w:rPr>
            </w:pPr>
            <w:r w:rsidRPr="00CF6CB5">
              <w:rPr>
                <w:rFonts w:hAnsi="標楷體" w:cs="新細明體" w:hint="eastAsia"/>
                <w:b/>
                <w:bCs/>
                <w:sz w:val="24"/>
                <w:szCs w:val="24"/>
              </w:rPr>
              <w:t>加</w:t>
            </w:r>
            <w:proofErr w:type="gramStart"/>
            <w:r w:rsidRPr="00CF6CB5">
              <w:rPr>
                <w:rFonts w:hAnsi="標楷體" w:cs="新細明體" w:hint="eastAsia"/>
                <w:b/>
                <w:bCs/>
                <w:sz w:val="24"/>
                <w:szCs w:val="24"/>
              </w:rPr>
              <w:t>6成</w:t>
            </w:r>
            <w:proofErr w:type="gramEnd"/>
          </w:p>
        </w:tc>
        <w:tc>
          <w:tcPr>
            <w:tcW w:w="934" w:type="dxa"/>
            <w:vMerge/>
            <w:tcBorders>
              <w:left w:val="single" w:sz="4" w:space="0" w:color="auto"/>
              <w:right w:val="single" w:sz="4" w:space="0" w:color="auto"/>
            </w:tcBorders>
            <w:shd w:val="clear" w:color="auto" w:fill="auto"/>
            <w:vAlign w:val="center"/>
          </w:tcPr>
          <w:p w:rsidR="00A5190D" w:rsidRPr="00CF6CB5" w:rsidRDefault="00A5190D" w:rsidP="00AB4CEB">
            <w:pPr>
              <w:widowControl/>
              <w:spacing w:line="300" w:lineRule="exact"/>
              <w:jc w:val="center"/>
              <w:rPr>
                <w:rFonts w:hAnsi="標楷體" w:cs="新細明體"/>
                <w:b/>
                <w:bCs/>
                <w:sz w:val="24"/>
                <w:szCs w:val="24"/>
              </w:rPr>
            </w:pPr>
          </w:p>
        </w:tc>
      </w:tr>
      <w:tr w:rsidR="00CF6CB5" w:rsidRPr="00CF6CB5" w:rsidTr="00AB4CEB">
        <w:trPr>
          <w:trHeight w:val="45"/>
          <w:jc w:val="right"/>
        </w:trPr>
        <w:tc>
          <w:tcPr>
            <w:tcW w:w="851" w:type="dxa"/>
            <w:vMerge/>
            <w:tcBorders>
              <w:left w:val="single" w:sz="4" w:space="0" w:color="auto"/>
              <w:bottom w:val="single" w:sz="4" w:space="0" w:color="auto"/>
              <w:right w:val="single" w:sz="4" w:space="0" w:color="auto"/>
            </w:tcBorders>
            <w:shd w:val="clear" w:color="auto" w:fill="auto"/>
            <w:vAlign w:val="center"/>
            <w:hideMark/>
          </w:tcPr>
          <w:p w:rsidR="00A5190D" w:rsidRPr="00CF6CB5" w:rsidRDefault="00A5190D" w:rsidP="00AB4CEB">
            <w:pPr>
              <w:spacing w:line="300" w:lineRule="exact"/>
              <w:jc w:val="center"/>
              <w:rPr>
                <w:rFonts w:hAnsi="標楷體" w:cs="新細明體"/>
                <w:bCs/>
                <w:spacing w:val="-16"/>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5190D" w:rsidRPr="00CF6CB5" w:rsidRDefault="00A5190D" w:rsidP="00AB4CEB">
            <w:pPr>
              <w:spacing w:line="300" w:lineRule="exact"/>
              <w:jc w:val="center"/>
              <w:rPr>
                <w:rFonts w:hAnsi="標楷體" w:cs="新細明體"/>
                <w:bCs/>
                <w:spacing w:val="-16"/>
                <w:sz w:val="24"/>
                <w:szCs w:val="24"/>
              </w:rPr>
            </w:pPr>
            <w:r w:rsidRPr="00CF6CB5">
              <w:rPr>
                <w:rFonts w:hAnsi="標楷體" w:cs="新細明體" w:hint="eastAsia"/>
                <w:bCs/>
                <w:spacing w:val="-16"/>
                <w:sz w:val="24"/>
                <w:szCs w:val="24"/>
              </w:rPr>
              <w:t>較重分局</w:t>
            </w:r>
          </w:p>
        </w:tc>
        <w:tc>
          <w:tcPr>
            <w:tcW w:w="1984" w:type="dxa"/>
            <w:tcBorders>
              <w:top w:val="single" w:sz="4" w:space="0" w:color="auto"/>
              <w:left w:val="nil"/>
              <w:bottom w:val="single" w:sz="4" w:space="0" w:color="auto"/>
              <w:right w:val="single" w:sz="4" w:space="0" w:color="auto"/>
            </w:tcBorders>
            <w:shd w:val="clear" w:color="auto" w:fill="auto"/>
            <w:vAlign w:val="center"/>
          </w:tcPr>
          <w:p w:rsidR="00A5190D" w:rsidRPr="00CF6CB5" w:rsidRDefault="00A5190D" w:rsidP="00AB4CEB">
            <w:pPr>
              <w:spacing w:line="300" w:lineRule="exact"/>
              <w:jc w:val="center"/>
              <w:rPr>
                <w:rFonts w:hAnsi="標楷體" w:cs="新細明體"/>
                <w:bCs/>
                <w:spacing w:val="-16"/>
                <w:sz w:val="24"/>
                <w:szCs w:val="24"/>
              </w:rPr>
            </w:pPr>
            <w:r w:rsidRPr="00CF6CB5">
              <w:rPr>
                <w:rFonts w:hAnsi="標楷體" w:cs="新細明體" w:hint="eastAsia"/>
                <w:bCs/>
                <w:spacing w:val="-16"/>
                <w:sz w:val="24"/>
                <w:szCs w:val="24"/>
              </w:rPr>
              <w:t>較重分局</w:t>
            </w:r>
          </w:p>
          <w:p w:rsidR="00A5190D" w:rsidRPr="00CF6CB5" w:rsidRDefault="00A5190D" w:rsidP="00AB4CEB">
            <w:pPr>
              <w:spacing w:line="300" w:lineRule="exact"/>
              <w:jc w:val="center"/>
              <w:rPr>
                <w:rFonts w:hAnsi="標楷體" w:cs="新細明體"/>
                <w:bCs/>
                <w:spacing w:val="-16"/>
                <w:sz w:val="24"/>
                <w:szCs w:val="24"/>
              </w:rPr>
            </w:pPr>
            <w:r w:rsidRPr="00CF6CB5">
              <w:rPr>
                <w:rFonts w:hAnsi="標楷體" w:cs="新細明體" w:hint="eastAsia"/>
                <w:bCs/>
                <w:spacing w:val="-16"/>
                <w:sz w:val="24"/>
                <w:szCs w:val="24"/>
              </w:rPr>
              <w:t>較重派出(分駐)所</w:t>
            </w:r>
          </w:p>
        </w:tc>
        <w:tc>
          <w:tcPr>
            <w:tcW w:w="1701" w:type="dxa"/>
            <w:tcBorders>
              <w:top w:val="single" w:sz="4" w:space="0" w:color="auto"/>
              <w:left w:val="nil"/>
              <w:bottom w:val="single" w:sz="4" w:space="0" w:color="auto"/>
              <w:right w:val="single" w:sz="4" w:space="0" w:color="auto"/>
            </w:tcBorders>
            <w:shd w:val="clear" w:color="auto" w:fill="auto"/>
            <w:vAlign w:val="center"/>
          </w:tcPr>
          <w:p w:rsidR="00A5190D" w:rsidRPr="00CF6CB5" w:rsidRDefault="00A5190D" w:rsidP="00AB4CEB">
            <w:pPr>
              <w:spacing w:line="300" w:lineRule="exact"/>
              <w:jc w:val="center"/>
              <w:rPr>
                <w:rFonts w:hAnsi="標楷體" w:cs="新細明體"/>
                <w:bCs/>
                <w:spacing w:val="-16"/>
                <w:sz w:val="24"/>
                <w:szCs w:val="24"/>
              </w:rPr>
            </w:pPr>
            <w:r w:rsidRPr="00CF6CB5">
              <w:rPr>
                <w:rFonts w:hAnsi="標楷體" w:cs="新細明體" w:hint="eastAsia"/>
                <w:bCs/>
                <w:spacing w:val="-16"/>
                <w:sz w:val="24"/>
                <w:szCs w:val="24"/>
              </w:rPr>
              <w:t>較重分局</w:t>
            </w:r>
          </w:p>
        </w:tc>
        <w:tc>
          <w:tcPr>
            <w:tcW w:w="1701" w:type="dxa"/>
            <w:tcBorders>
              <w:top w:val="single" w:sz="4" w:space="0" w:color="auto"/>
              <w:left w:val="nil"/>
              <w:bottom w:val="single" w:sz="4" w:space="0" w:color="auto"/>
              <w:right w:val="single" w:sz="4" w:space="0" w:color="auto"/>
            </w:tcBorders>
            <w:shd w:val="clear" w:color="auto" w:fill="auto"/>
            <w:vAlign w:val="center"/>
          </w:tcPr>
          <w:p w:rsidR="00A5190D" w:rsidRPr="00CF6CB5" w:rsidRDefault="00A5190D" w:rsidP="00AB4CEB">
            <w:pPr>
              <w:spacing w:line="300" w:lineRule="exact"/>
              <w:jc w:val="center"/>
              <w:rPr>
                <w:rFonts w:hAnsi="標楷體" w:cs="新細明體"/>
                <w:bCs/>
                <w:spacing w:val="-16"/>
                <w:sz w:val="24"/>
                <w:szCs w:val="24"/>
              </w:rPr>
            </w:pPr>
            <w:r w:rsidRPr="00CF6CB5">
              <w:rPr>
                <w:rFonts w:hAnsi="標楷體" w:cs="新細明體" w:hint="eastAsia"/>
                <w:bCs/>
                <w:spacing w:val="-16"/>
                <w:sz w:val="24"/>
                <w:szCs w:val="24"/>
              </w:rPr>
              <w:t>較重分局</w:t>
            </w:r>
          </w:p>
        </w:tc>
        <w:tc>
          <w:tcPr>
            <w:tcW w:w="934" w:type="dxa"/>
            <w:vMerge/>
            <w:tcBorders>
              <w:left w:val="single" w:sz="4" w:space="0" w:color="auto"/>
              <w:right w:val="single" w:sz="4" w:space="0" w:color="auto"/>
            </w:tcBorders>
            <w:shd w:val="clear" w:color="auto" w:fill="auto"/>
            <w:vAlign w:val="center"/>
          </w:tcPr>
          <w:p w:rsidR="00A5190D" w:rsidRPr="00CF6CB5" w:rsidRDefault="00A5190D" w:rsidP="00AB4CEB">
            <w:pPr>
              <w:widowControl/>
              <w:spacing w:line="300" w:lineRule="exact"/>
              <w:jc w:val="center"/>
              <w:rPr>
                <w:rFonts w:hAnsi="標楷體" w:cs="新細明體"/>
                <w:b/>
                <w:bCs/>
                <w:sz w:val="24"/>
                <w:szCs w:val="24"/>
              </w:rPr>
            </w:pPr>
          </w:p>
        </w:tc>
      </w:tr>
      <w:tr w:rsidR="00CF6CB5" w:rsidRPr="00CF6CB5" w:rsidTr="00AB4CEB">
        <w:trPr>
          <w:trHeight w:val="101"/>
          <w:jc w:val="right"/>
        </w:trPr>
        <w:tc>
          <w:tcPr>
            <w:tcW w:w="851" w:type="dxa"/>
            <w:vMerge w:val="restart"/>
            <w:tcBorders>
              <w:top w:val="single" w:sz="4" w:space="0" w:color="auto"/>
              <w:left w:val="single" w:sz="4" w:space="0" w:color="auto"/>
              <w:right w:val="single" w:sz="4" w:space="0" w:color="auto"/>
            </w:tcBorders>
            <w:shd w:val="clear" w:color="auto" w:fill="auto"/>
            <w:vAlign w:val="center"/>
            <w:hideMark/>
          </w:tcPr>
          <w:p w:rsidR="00A5190D" w:rsidRPr="00CF6CB5" w:rsidRDefault="00A5190D" w:rsidP="00AB4CEB">
            <w:pPr>
              <w:spacing w:line="300" w:lineRule="exact"/>
              <w:jc w:val="center"/>
              <w:rPr>
                <w:rFonts w:hAnsi="標楷體" w:cs="新細明體"/>
                <w:bCs/>
                <w:spacing w:val="-16"/>
                <w:sz w:val="24"/>
                <w:szCs w:val="24"/>
              </w:rPr>
            </w:pPr>
            <w:r w:rsidRPr="00CF6CB5">
              <w:rPr>
                <w:rFonts w:hAnsi="標楷體" w:cs="新細明體" w:hint="eastAsia"/>
                <w:bCs/>
                <w:spacing w:val="-16"/>
                <w:sz w:val="24"/>
                <w:szCs w:val="24"/>
              </w:rPr>
              <w:t>第三級</w:t>
            </w:r>
          </w:p>
        </w:tc>
        <w:tc>
          <w:tcPr>
            <w:tcW w:w="1701" w:type="dxa"/>
            <w:tcBorders>
              <w:top w:val="nil"/>
              <w:left w:val="nil"/>
              <w:bottom w:val="single" w:sz="4" w:space="0" w:color="auto"/>
              <w:right w:val="single" w:sz="4" w:space="0" w:color="auto"/>
            </w:tcBorders>
            <w:shd w:val="clear" w:color="auto" w:fill="DAEEF3" w:themeFill="accent5" w:themeFillTint="33"/>
            <w:vAlign w:val="center"/>
            <w:hideMark/>
          </w:tcPr>
          <w:p w:rsidR="00A5190D" w:rsidRPr="00CF6CB5" w:rsidRDefault="00A5190D" w:rsidP="00AB4CEB">
            <w:pPr>
              <w:spacing w:line="300" w:lineRule="exact"/>
              <w:jc w:val="center"/>
              <w:rPr>
                <w:rFonts w:hAnsi="標楷體" w:cs="新細明體"/>
                <w:b/>
                <w:bCs/>
                <w:sz w:val="24"/>
                <w:szCs w:val="24"/>
              </w:rPr>
            </w:pPr>
            <w:r w:rsidRPr="00CF6CB5">
              <w:rPr>
                <w:rFonts w:hAnsi="標楷體" w:cs="新細明體" w:hint="eastAsia"/>
                <w:b/>
                <w:bCs/>
                <w:sz w:val="24"/>
                <w:szCs w:val="24"/>
              </w:rPr>
              <w:t>加</w:t>
            </w:r>
            <w:proofErr w:type="gramStart"/>
            <w:r w:rsidRPr="00CF6CB5">
              <w:rPr>
                <w:rFonts w:hAnsi="標楷體" w:cs="新細明體" w:hint="eastAsia"/>
                <w:b/>
                <w:bCs/>
                <w:sz w:val="24"/>
                <w:szCs w:val="24"/>
              </w:rPr>
              <w:t>8成</w:t>
            </w:r>
            <w:proofErr w:type="gramEnd"/>
          </w:p>
        </w:tc>
        <w:tc>
          <w:tcPr>
            <w:tcW w:w="1984" w:type="dxa"/>
            <w:tcBorders>
              <w:top w:val="nil"/>
              <w:left w:val="nil"/>
              <w:bottom w:val="single" w:sz="4" w:space="0" w:color="auto"/>
              <w:right w:val="single" w:sz="4" w:space="0" w:color="auto"/>
            </w:tcBorders>
            <w:shd w:val="clear" w:color="auto" w:fill="DAEEF3" w:themeFill="accent5" w:themeFillTint="33"/>
            <w:vAlign w:val="center"/>
          </w:tcPr>
          <w:p w:rsidR="00A5190D" w:rsidRPr="00CF6CB5" w:rsidRDefault="00A5190D" w:rsidP="00AB4CEB">
            <w:pPr>
              <w:spacing w:line="300" w:lineRule="exact"/>
              <w:jc w:val="center"/>
              <w:rPr>
                <w:rFonts w:hAnsi="標楷體" w:cs="新細明體"/>
                <w:b/>
                <w:bCs/>
                <w:sz w:val="24"/>
                <w:szCs w:val="24"/>
              </w:rPr>
            </w:pPr>
            <w:r w:rsidRPr="00CF6CB5">
              <w:rPr>
                <w:rFonts w:hAnsi="標楷體" w:cs="新細明體" w:hint="eastAsia"/>
                <w:b/>
                <w:bCs/>
                <w:sz w:val="24"/>
                <w:szCs w:val="24"/>
              </w:rPr>
              <w:t>加</w:t>
            </w:r>
            <w:proofErr w:type="gramStart"/>
            <w:r w:rsidRPr="00CF6CB5">
              <w:rPr>
                <w:rFonts w:hAnsi="標楷體" w:cs="新細明體" w:hint="eastAsia"/>
                <w:b/>
                <w:bCs/>
                <w:sz w:val="24"/>
                <w:szCs w:val="24"/>
              </w:rPr>
              <w:t>7成</w:t>
            </w:r>
            <w:proofErr w:type="gramEnd"/>
          </w:p>
        </w:tc>
        <w:tc>
          <w:tcPr>
            <w:tcW w:w="1701" w:type="dxa"/>
            <w:tcBorders>
              <w:top w:val="nil"/>
              <w:left w:val="nil"/>
              <w:bottom w:val="single" w:sz="4" w:space="0" w:color="auto"/>
              <w:right w:val="single" w:sz="4" w:space="0" w:color="auto"/>
            </w:tcBorders>
            <w:shd w:val="clear" w:color="auto" w:fill="DAEEF3" w:themeFill="accent5" w:themeFillTint="33"/>
            <w:vAlign w:val="center"/>
          </w:tcPr>
          <w:p w:rsidR="00A5190D" w:rsidRPr="00CF6CB5" w:rsidRDefault="00A5190D" w:rsidP="00AB4CEB">
            <w:pPr>
              <w:spacing w:line="300" w:lineRule="exact"/>
              <w:jc w:val="center"/>
              <w:rPr>
                <w:rFonts w:hAnsi="標楷體" w:cs="新細明體"/>
                <w:b/>
                <w:bCs/>
                <w:sz w:val="24"/>
                <w:szCs w:val="24"/>
              </w:rPr>
            </w:pPr>
            <w:r w:rsidRPr="00CF6CB5">
              <w:rPr>
                <w:rFonts w:hAnsi="標楷體" w:cs="新細明體" w:hint="eastAsia"/>
                <w:b/>
                <w:bCs/>
                <w:sz w:val="24"/>
                <w:szCs w:val="24"/>
              </w:rPr>
              <w:t>加</w:t>
            </w:r>
            <w:proofErr w:type="gramStart"/>
            <w:r w:rsidRPr="00CF6CB5">
              <w:rPr>
                <w:rFonts w:hAnsi="標楷體" w:cs="新細明體" w:hint="eastAsia"/>
                <w:b/>
                <w:bCs/>
                <w:sz w:val="24"/>
                <w:szCs w:val="24"/>
              </w:rPr>
              <w:t>5成</w:t>
            </w:r>
            <w:proofErr w:type="gramEnd"/>
          </w:p>
        </w:tc>
        <w:tc>
          <w:tcPr>
            <w:tcW w:w="1701" w:type="dxa"/>
            <w:tcBorders>
              <w:top w:val="nil"/>
              <w:left w:val="nil"/>
              <w:bottom w:val="single" w:sz="4" w:space="0" w:color="auto"/>
              <w:right w:val="single" w:sz="4" w:space="0" w:color="auto"/>
            </w:tcBorders>
            <w:shd w:val="clear" w:color="auto" w:fill="DAEEF3" w:themeFill="accent5" w:themeFillTint="33"/>
            <w:vAlign w:val="center"/>
          </w:tcPr>
          <w:p w:rsidR="00A5190D" w:rsidRPr="00CF6CB5" w:rsidRDefault="00A5190D" w:rsidP="00AB4CEB">
            <w:pPr>
              <w:spacing w:line="300" w:lineRule="exact"/>
              <w:jc w:val="center"/>
              <w:rPr>
                <w:rFonts w:hAnsi="標楷體" w:cs="新細明體"/>
                <w:b/>
                <w:bCs/>
                <w:sz w:val="24"/>
                <w:szCs w:val="24"/>
              </w:rPr>
            </w:pPr>
            <w:r w:rsidRPr="00CF6CB5">
              <w:rPr>
                <w:rFonts w:hAnsi="標楷體" w:cs="新細明體" w:hint="eastAsia"/>
                <w:b/>
                <w:bCs/>
                <w:sz w:val="24"/>
                <w:szCs w:val="24"/>
              </w:rPr>
              <w:t>加</w:t>
            </w:r>
            <w:proofErr w:type="gramStart"/>
            <w:r w:rsidRPr="00CF6CB5">
              <w:rPr>
                <w:rFonts w:hAnsi="標楷體" w:cs="新細明體" w:hint="eastAsia"/>
                <w:b/>
                <w:bCs/>
                <w:sz w:val="24"/>
                <w:szCs w:val="24"/>
              </w:rPr>
              <w:t>5成</w:t>
            </w:r>
            <w:proofErr w:type="gramEnd"/>
          </w:p>
        </w:tc>
        <w:tc>
          <w:tcPr>
            <w:tcW w:w="934" w:type="dxa"/>
            <w:vMerge/>
            <w:tcBorders>
              <w:left w:val="single" w:sz="4" w:space="0" w:color="auto"/>
              <w:right w:val="single" w:sz="4" w:space="0" w:color="auto"/>
            </w:tcBorders>
            <w:shd w:val="clear" w:color="auto" w:fill="auto"/>
            <w:vAlign w:val="center"/>
          </w:tcPr>
          <w:p w:rsidR="00A5190D" w:rsidRPr="00CF6CB5" w:rsidRDefault="00A5190D" w:rsidP="00AB4CEB">
            <w:pPr>
              <w:widowControl/>
              <w:spacing w:line="300" w:lineRule="exact"/>
              <w:jc w:val="center"/>
              <w:rPr>
                <w:rFonts w:hAnsi="標楷體" w:cs="新細明體"/>
                <w:b/>
                <w:bCs/>
                <w:sz w:val="24"/>
                <w:szCs w:val="24"/>
              </w:rPr>
            </w:pPr>
          </w:p>
        </w:tc>
      </w:tr>
      <w:tr w:rsidR="00CF6CB5" w:rsidRPr="00CF6CB5" w:rsidTr="00AB4CEB">
        <w:trPr>
          <w:trHeight w:val="125"/>
          <w:jc w:val="right"/>
        </w:trPr>
        <w:tc>
          <w:tcPr>
            <w:tcW w:w="851" w:type="dxa"/>
            <w:vMerge/>
            <w:tcBorders>
              <w:left w:val="single" w:sz="4" w:space="0" w:color="auto"/>
              <w:bottom w:val="single" w:sz="4" w:space="0" w:color="auto"/>
              <w:right w:val="single" w:sz="4" w:space="0" w:color="auto"/>
            </w:tcBorders>
            <w:shd w:val="clear" w:color="auto" w:fill="auto"/>
            <w:vAlign w:val="center"/>
            <w:hideMark/>
          </w:tcPr>
          <w:p w:rsidR="00A5190D" w:rsidRPr="00CF6CB5" w:rsidRDefault="00A5190D" w:rsidP="00AB4CEB">
            <w:pPr>
              <w:spacing w:line="300" w:lineRule="exact"/>
              <w:jc w:val="center"/>
              <w:rPr>
                <w:rFonts w:hAnsi="標楷體" w:cs="新細明體"/>
                <w:bCs/>
                <w:spacing w:val="-16"/>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5190D" w:rsidRPr="00CF6CB5" w:rsidRDefault="00A5190D" w:rsidP="00AB4CEB">
            <w:pPr>
              <w:spacing w:line="300" w:lineRule="exact"/>
              <w:jc w:val="center"/>
              <w:rPr>
                <w:rFonts w:hAnsi="標楷體" w:cs="新細明體"/>
                <w:bCs/>
                <w:spacing w:val="-16"/>
                <w:sz w:val="24"/>
                <w:szCs w:val="24"/>
              </w:rPr>
            </w:pPr>
            <w:r w:rsidRPr="00CF6CB5">
              <w:rPr>
                <w:rFonts w:hAnsi="標楷體" w:cs="新細明體" w:hint="eastAsia"/>
                <w:bCs/>
                <w:spacing w:val="-16"/>
                <w:sz w:val="24"/>
                <w:szCs w:val="24"/>
              </w:rPr>
              <w:t>單純分局</w:t>
            </w:r>
          </w:p>
          <w:p w:rsidR="00A5190D" w:rsidRPr="00CF6CB5" w:rsidRDefault="00A5190D" w:rsidP="00AB4CEB">
            <w:pPr>
              <w:spacing w:line="300" w:lineRule="exact"/>
              <w:jc w:val="center"/>
              <w:rPr>
                <w:rFonts w:hAnsi="標楷體" w:cs="新細明體"/>
                <w:bCs/>
                <w:spacing w:val="-16"/>
                <w:sz w:val="24"/>
                <w:szCs w:val="24"/>
              </w:rPr>
            </w:pPr>
            <w:r w:rsidRPr="00CF6CB5">
              <w:rPr>
                <w:rFonts w:hAnsi="標楷體" w:cs="新細明體" w:hint="eastAsia"/>
                <w:bCs/>
                <w:spacing w:val="-16"/>
                <w:sz w:val="24"/>
                <w:szCs w:val="24"/>
              </w:rPr>
              <w:t>(大)隊外勤單位</w:t>
            </w:r>
          </w:p>
        </w:tc>
        <w:tc>
          <w:tcPr>
            <w:tcW w:w="1984" w:type="dxa"/>
            <w:tcBorders>
              <w:top w:val="single" w:sz="4" w:space="0" w:color="auto"/>
              <w:left w:val="nil"/>
              <w:bottom w:val="single" w:sz="4" w:space="0" w:color="auto"/>
              <w:right w:val="single" w:sz="4" w:space="0" w:color="auto"/>
            </w:tcBorders>
            <w:shd w:val="clear" w:color="auto" w:fill="auto"/>
            <w:vAlign w:val="center"/>
          </w:tcPr>
          <w:p w:rsidR="00A5190D" w:rsidRPr="00CF6CB5" w:rsidRDefault="00A5190D" w:rsidP="00AB4CEB">
            <w:pPr>
              <w:spacing w:line="300" w:lineRule="exact"/>
              <w:jc w:val="center"/>
              <w:rPr>
                <w:rFonts w:hAnsi="標楷體" w:cs="新細明體"/>
                <w:bCs/>
                <w:spacing w:val="-16"/>
                <w:sz w:val="24"/>
                <w:szCs w:val="24"/>
              </w:rPr>
            </w:pPr>
            <w:r w:rsidRPr="00CF6CB5">
              <w:rPr>
                <w:rFonts w:hAnsi="標楷體" w:cs="新細明體" w:hint="eastAsia"/>
                <w:bCs/>
                <w:spacing w:val="-16"/>
                <w:sz w:val="24"/>
                <w:szCs w:val="24"/>
              </w:rPr>
              <w:t>單純分局</w:t>
            </w:r>
          </w:p>
          <w:p w:rsidR="00A5190D" w:rsidRPr="00CF6CB5" w:rsidRDefault="00A5190D" w:rsidP="00AB4CEB">
            <w:pPr>
              <w:spacing w:line="300" w:lineRule="exact"/>
              <w:jc w:val="center"/>
              <w:rPr>
                <w:rFonts w:hAnsi="標楷體" w:cs="新細明體"/>
                <w:bCs/>
                <w:spacing w:val="-16"/>
                <w:sz w:val="24"/>
                <w:szCs w:val="24"/>
              </w:rPr>
            </w:pPr>
            <w:r w:rsidRPr="00CF6CB5">
              <w:rPr>
                <w:rFonts w:hAnsi="標楷體" w:cs="新細明體" w:hint="eastAsia"/>
                <w:bCs/>
                <w:spacing w:val="-16"/>
                <w:sz w:val="24"/>
                <w:szCs w:val="24"/>
              </w:rPr>
              <w:t>單純派出(分駐)所</w:t>
            </w:r>
          </w:p>
          <w:p w:rsidR="00A5190D" w:rsidRPr="00CF6CB5" w:rsidRDefault="00A5190D" w:rsidP="00AB4CEB">
            <w:pPr>
              <w:spacing w:line="300" w:lineRule="exact"/>
              <w:jc w:val="center"/>
              <w:rPr>
                <w:rFonts w:hAnsi="標楷體" w:cs="新細明體"/>
                <w:bCs/>
                <w:spacing w:val="-16"/>
                <w:sz w:val="24"/>
                <w:szCs w:val="24"/>
              </w:rPr>
            </w:pPr>
            <w:r w:rsidRPr="00CF6CB5">
              <w:rPr>
                <w:rFonts w:hAnsi="標楷體" w:cs="新細明體" w:hint="eastAsia"/>
                <w:bCs/>
                <w:spacing w:val="-16"/>
                <w:sz w:val="24"/>
                <w:szCs w:val="24"/>
              </w:rPr>
              <w:t>(大)隊外勤單位</w:t>
            </w:r>
          </w:p>
        </w:tc>
        <w:tc>
          <w:tcPr>
            <w:tcW w:w="1701" w:type="dxa"/>
            <w:tcBorders>
              <w:top w:val="single" w:sz="4" w:space="0" w:color="auto"/>
              <w:left w:val="nil"/>
              <w:bottom w:val="single" w:sz="4" w:space="0" w:color="auto"/>
              <w:right w:val="single" w:sz="4" w:space="0" w:color="auto"/>
            </w:tcBorders>
            <w:shd w:val="clear" w:color="auto" w:fill="auto"/>
            <w:vAlign w:val="center"/>
          </w:tcPr>
          <w:p w:rsidR="00A5190D" w:rsidRPr="00CF6CB5" w:rsidRDefault="00A5190D" w:rsidP="00AB4CEB">
            <w:pPr>
              <w:spacing w:line="300" w:lineRule="exact"/>
              <w:jc w:val="center"/>
              <w:rPr>
                <w:rFonts w:hAnsi="標楷體" w:cs="新細明體"/>
                <w:bCs/>
                <w:spacing w:val="-16"/>
                <w:sz w:val="24"/>
                <w:szCs w:val="24"/>
              </w:rPr>
            </w:pPr>
            <w:r w:rsidRPr="00CF6CB5">
              <w:rPr>
                <w:rFonts w:hAnsi="標楷體" w:cs="新細明體" w:hint="eastAsia"/>
                <w:bCs/>
                <w:spacing w:val="-16"/>
                <w:sz w:val="24"/>
                <w:szCs w:val="24"/>
              </w:rPr>
              <w:t>(大)隊外勤單位</w:t>
            </w:r>
          </w:p>
        </w:tc>
        <w:tc>
          <w:tcPr>
            <w:tcW w:w="1701" w:type="dxa"/>
            <w:tcBorders>
              <w:top w:val="single" w:sz="4" w:space="0" w:color="auto"/>
              <w:left w:val="nil"/>
              <w:bottom w:val="single" w:sz="4" w:space="0" w:color="auto"/>
              <w:right w:val="single" w:sz="4" w:space="0" w:color="auto"/>
            </w:tcBorders>
            <w:shd w:val="clear" w:color="auto" w:fill="auto"/>
            <w:vAlign w:val="center"/>
          </w:tcPr>
          <w:p w:rsidR="00A5190D" w:rsidRPr="00CF6CB5" w:rsidRDefault="00A5190D" w:rsidP="00AB4CEB">
            <w:pPr>
              <w:spacing w:line="300" w:lineRule="exact"/>
              <w:jc w:val="center"/>
              <w:rPr>
                <w:rFonts w:hAnsi="標楷體" w:cs="新細明體"/>
                <w:bCs/>
                <w:spacing w:val="-16"/>
                <w:sz w:val="24"/>
                <w:szCs w:val="24"/>
              </w:rPr>
            </w:pPr>
            <w:r w:rsidRPr="00CF6CB5">
              <w:rPr>
                <w:rFonts w:hAnsi="標楷體" w:cs="新細明體" w:hint="eastAsia"/>
                <w:bCs/>
                <w:spacing w:val="-16"/>
                <w:sz w:val="24"/>
                <w:szCs w:val="24"/>
              </w:rPr>
              <w:t>(大)隊外勤單位</w:t>
            </w:r>
          </w:p>
        </w:tc>
        <w:tc>
          <w:tcPr>
            <w:tcW w:w="934" w:type="dxa"/>
            <w:vMerge/>
            <w:tcBorders>
              <w:left w:val="single" w:sz="4" w:space="0" w:color="auto"/>
              <w:right w:val="single" w:sz="4" w:space="0" w:color="auto"/>
            </w:tcBorders>
            <w:shd w:val="clear" w:color="auto" w:fill="auto"/>
            <w:vAlign w:val="center"/>
          </w:tcPr>
          <w:p w:rsidR="00A5190D" w:rsidRPr="00CF6CB5" w:rsidRDefault="00A5190D" w:rsidP="00AB4CEB">
            <w:pPr>
              <w:widowControl/>
              <w:spacing w:line="300" w:lineRule="exact"/>
              <w:jc w:val="center"/>
              <w:rPr>
                <w:rFonts w:hAnsi="標楷體" w:cs="新細明體"/>
                <w:b/>
                <w:bCs/>
                <w:sz w:val="24"/>
                <w:szCs w:val="24"/>
              </w:rPr>
            </w:pPr>
          </w:p>
        </w:tc>
      </w:tr>
      <w:tr w:rsidR="00CF6CB5" w:rsidRPr="00CF6CB5" w:rsidTr="00AB4CEB">
        <w:trPr>
          <w:trHeight w:val="45"/>
          <w:jc w:val="right"/>
        </w:trPr>
        <w:tc>
          <w:tcPr>
            <w:tcW w:w="851" w:type="dxa"/>
            <w:vMerge w:val="restart"/>
            <w:tcBorders>
              <w:top w:val="single" w:sz="4" w:space="0" w:color="auto"/>
              <w:left w:val="single" w:sz="4" w:space="0" w:color="auto"/>
              <w:right w:val="single" w:sz="4" w:space="0" w:color="auto"/>
            </w:tcBorders>
            <w:shd w:val="clear" w:color="auto" w:fill="auto"/>
            <w:vAlign w:val="center"/>
            <w:hideMark/>
          </w:tcPr>
          <w:p w:rsidR="00A5190D" w:rsidRPr="00CF6CB5" w:rsidRDefault="00A5190D" w:rsidP="00AB4CEB">
            <w:pPr>
              <w:spacing w:line="300" w:lineRule="exact"/>
              <w:jc w:val="center"/>
              <w:rPr>
                <w:rFonts w:hAnsi="標楷體" w:cs="新細明體"/>
                <w:bCs/>
                <w:spacing w:val="-16"/>
                <w:sz w:val="24"/>
                <w:szCs w:val="24"/>
              </w:rPr>
            </w:pPr>
            <w:r w:rsidRPr="00CF6CB5">
              <w:rPr>
                <w:rFonts w:hAnsi="標楷體" w:cs="新細明體" w:hint="eastAsia"/>
                <w:bCs/>
                <w:spacing w:val="-16"/>
                <w:sz w:val="24"/>
                <w:szCs w:val="24"/>
              </w:rPr>
              <w:t>第四級</w:t>
            </w:r>
          </w:p>
        </w:tc>
        <w:tc>
          <w:tcPr>
            <w:tcW w:w="1701"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rsidR="00A5190D" w:rsidRPr="00CF6CB5" w:rsidRDefault="00A5190D" w:rsidP="00AB4CEB">
            <w:pPr>
              <w:spacing w:line="300" w:lineRule="exact"/>
              <w:jc w:val="center"/>
              <w:rPr>
                <w:rFonts w:hAnsi="標楷體" w:cs="新細明體"/>
                <w:b/>
                <w:bCs/>
                <w:sz w:val="24"/>
                <w:szCs w:val="24"/>
              </w:rPr>
            </w:pPr>
            <w:r w:rsidRPr="00CF6CB5">
              <w:rPr>
                <w:rFonts w:hAnsi="標楷體" w:cs="新細明體" w:hint="eastAsia"/>
                <w:b/>
                <w:bCs/>
                <w:sz w:val="24"/>
                <w:szCs w:val="24"/>
              </w:rPr>
              <w:t>加</w:t>
            </w:r>
            <w:proofErr w:type="gramStart"/>
            <w:r w:rsidRPr="00CF6CB5">
              <w:rPr>
                <w:rFonts w:hAnsi="標楷體" w:cs="新細明體" w:hint="eastAsia"/>
                <w:b/>
                <w:bCs/>
                <w:sz w:val="24"/>
                <w:szCs w:val="24"/>
              </w:rPr>
              <w:t>5成</w:t>
            </w:r>
            <w:proofErr w:type="gramEnd"/>
          </w:p>
        </w:tc>
        <w:tc>
          <w:tcPr>
            <w:tcW w:w="1984" w:type="dxa"/>
            <w:tcBorders>
              <w:top w:val="single" w:sz="4" w:space="0" w:color="auto"/>
              <w:left w:val="nil"/>
              <w:bottom w:val="single" w:sz="4" w:space="0" w:color="auto"/>
              <w:right w:val="single" w:sz="4" w:space="0" w:color="auto"/>
            </w:tcBorders>
            <w:shd w:val="clear" w:color="auto" w:fill="DAEEF3" w:themeFill="accent5" w:themeFillTint="33"/>
            <w:vAlign w:val="center"/>
          </w:tcPr>
          <w:p w:rsidR="00A5190D" w:rsidRPr="00CF6CB5" w:rsidRDefault="00A5190D" w:rsidP="00AB4CEB">
            <w:pPr>
              <w:spacing w:line="300" w:lineRule="exact"/>
              <w:jc w:val="center"/>
              <w:rPr>
                <w:rFonts w:hAnsi="標楷體" w:cs="新細明體"/>
                <w:b/>
                <w:bCs/>
                <w:sz w:val="24"/>
                <w:szCs w:val="24"/>
              </w:rPr>
            </w:pPr>
            <w:r w:rsidRPr="00CF6CB5">
              <w:rPr>
                <w:rFonts w:hAnsi="標楷體" w:cs="新細明體" w:hint="eastAsia"/>
                <w:b/>
                <w:bCs/>
                <w:sz w:val="24"/>
                <w:szCs w:val="24"/>
              </w:rPr>
              <w:t>加</w:t>
            </w:r>
            <w:proofErr w:type="gramStart"/>
            <w:r w:rsidRPr="00CF6CB5">
              <w:rPr>
                <w:rFonts w:hAnsi="標楷體" w:cs="新細明體" w:hint="eastAsia"/>
                <w:b/>
                <w:bCs/>
                <w:sz w:val="24"/>
                <w:szCs w:val="24"/>
              </w:rPr>
              <w:t>5成</w:t>
            </w:r>
            <w:proofErr w:type="gramEnd"/>
          </w:p>
        </w:tc>
        <w:tc>
          <w:tcPr>
            <w:tcW w:w="1701" w:type="dxa"/>
            <w:tcBorders>
              <w:top w:val="single" w:sz="4" w:space="0" w:color="auto"/>
              <w:left w:val="nil"/>
              <w:bottom w:val="single" w:sz="4" w:space="0" w:color="auto"/>
              <w:right w:val="single" w:sz="4" w:space="0" w:color="auto"/>
            </w:tcBorders>
            <w:shd w:val="clear" w:color="auto" w:fill="DAEEF3" w:themeFill="accent5" w:themeFillTint="33"/>
            <w:vAlign w:val="center"/>
          </w:tcPr>
          <w:p w:rsidR="00A5190D" w:rsidRPr="00CF6CB5" w:rsidRDefault="00A5190D" w:rsidP="00AB4CEB">
            <w:pPr>
              <w:spacing w:line="300" w:lineRule="exact"/>
              <w:jc w:val="center"/>
              <w:rPr>
                <w:rFonts w:hAnsi="標楷體" w:cs="新細明體"/>
                <w:b/>
                <w:bCs/>
                <w:sz w:val="24"/>
                <w:szCs w:val="24"/>
              </w:rPr>
            </w:pPr>
            <w:r w:rsidRPr="00CF6CB5">
              <w:rPr>
                <w:rFonts w:hAnsi="標楷體" w:cs="新細明體" w:hint="eastAsia"/>
                <w:b/>
                <w:bCs/>
                <w:sz w:val="24"/>
                <w:szCs w:val="24"/>
              </w:rPr>
              <w:t>加</w:t>
            </w:r>
            <w:proofErr w:type="gramStart"/>
            <w:r w:rsidRPr="00CF6CB5">
              <w:rPr>
                <w:rFonts w:hAnsi="標楷體" w:cs="新細明體" w:hint="eastAsia"/>
                <w:b/>
                <w:bCs/>
                <w:sz w:val="24"/>
                <w:szCs w:val="24"/>
              </w:rPr>
              <w:t>4成</w:t>
            </w:r>
            <w:proofErr w:type="gramEnd"/>
          </w:p>
        </w:tc>
        <w:tc>
          <w:tcPr>
            <w:tcW w:w="1701" w:type="dxa"/>
            <w:tcBorders>
              <w:top w:val="single" w:sz="4" w:space="0" w:color="auto"/>
              <w:left w:val="nil"/>
              <w:bottom w:val="single" w:sz="4" w:space="0" w:color="auto"/>
              <w:right w:val="single" w:sz="4" w:space="0" w:color="auto"/>
            </w:tcBorders>
            <w:shd w:val="clear" w:color="auto" w:fill="DAEEF3" w:themeFill="accent5" w:themeFillTint="33"/>
            <w:vAlign w:val="center"/>
          </w:tcPr>
          <w:p w:rsidR="00A5190D" w:rsidRPr="00CF6CB5" w:rsidRDefault="00A5190D" w:rsidP="00AB4CEB">
            <w:pPr>
              <w:spacing w:line="300" w:lineRule="exact"/>
              <w:jc w:val="center"/>
              <w:rPr>
                <w:rFonts w:hAnsi="標楷體" w:cs="新細明體"/>
                <w:b/>
                <w:bCs/>
                <w:sz w:val="24"/>
                <w:szCs w:val="24"/>
              </w:rPr>
            </w:pPr>
            <w:r w:rsidRPr="00CF6CB5">
              <w:rPr>
                <w:rFonts w:hAnsi="標楷體" w:cs="新細明體" w:hint="eastAsia"/>
                <w:b/>
                <w:bCs/>
                <w:sz w:val="24"/>
                <w:szCs w:val="24"/>
              </w:rPr>
              <w:t>加</w:t>
            </w:r>
            <w:proofErr w:type="gramStart"/>
            <w:r w:rsidRPr="00CF6CB5">
              <w:rPr>
                <w:rFonts w:hAnsi="標楷體" w:cs="新細明體" w:hint="eastAsia"/>
                <w:b/>
                <w:bCs/>
                <w:sz w:val="24"/>
                <w:szCs w:val="24"/>
              </w:rPr>
              <w:t>4成</w:t>
            </w:r>
            <w:proofErr w:type="gramEnd"/>
          </w:p>
        </w:tc>
        <w:tc>
          <w:tcPr>
            <w:tcW w:w="934" w:type="dxa"/>
            <w:vMerge/>
            <w:tcBorders>
              <w:left w:val="single" w:sz="4" w:space="0" w:color="auto"/>
              <w:right w:val="single" w:sz="4" w:space="0" w:color="auto"/>
            </w:tcBorders>
            <w:shd w:val="clear" w:color="auto" w:fill="auto"/>
            <w:vAlign w:val="center"/>
          </w:tcPr>
          <w:p w:rsidR="00A5190D" w:rsidRPr="00CF6CB5" w:rsidRDefault="00A5190D" w:rsidP="00AB4CEB">
            <w:pPr>
              <w:widowControl/>
              <w:spacing w:line="300" w:lineRule="exact"/>
              <w:jc w:val="center"/>
              <w:rPr>
                <w:rFonts w:hAnsi="標楷體" w:cs="新細明體"/>
                <w:b/>
                <w:bCs/>
                <w:sz w:val="24"/>
                <w:szCs w:val="24"/>
              </w:rPr>
            </w:pPr>
          </w:p>
        </w:tc>
      </w:tr>
      <w:tr w:rsidR="00CF6CB5" w:rsidRPr="00CF6CB5" w:rsidTr="00AB4CEB">
        <w:trPr>
          <w:trHeight w:val="45"/>
          <w:jc w:val="right"/>
        </w:trPr>
        <w:tc>
          <w:tcPr>
            <w:tcW w:w="851" w:type="dxa"/>
            <w:vMerge/>
            <w:tcBorders>
              <w:left w:val="single" w:sz="4" w:space="0" w:color="auto"/>
              <w:bottom w:val="single" w:sz="4" w:space="0" w:color="auto"/>
              <w:right w:val="single" w:sz="4" w:space="0" w:color="auto"/>
            </w:tcBorders>
            <w:shd w:val="clear" w:color="auto" w:fill="auto"/>
            <w:vAlign w:val="center"/>
            <w:hideMark/>
          </w:tcPr>
          <w:p w:rsidR="00A5190D" w:rsidRPr="00CF6CB5" w:rsidRDefault="00A5190D" w:rsidP="00AB4CEB">
            <w:pPr>
              <w:spacing w:line="300" w:lineRule="exact"/>
              <w:jc w:val="center"/>
              <w:rPr>
                <w:rFonts w:hAnsi="標楷體" w:cs="新細明體"/>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5190D" w:rsidRPr="00CF6CB5" w:rsidRDefault="00A5190D" w:rsidP="00AB4CEB">
            <w:pPr>
              <w:spacing w:line="300" w:lineRule="exact"/>
              <w:jc w:val="center"/>
              <w:rPr>
                <w:rFonts w:hAnsi="標楷體" w:cs="新細明體"/>
                <w:bCs/>
                <w:spacing w:val="-16"/>
                <w:sz w:val="24"/>
                <w:szCs w:val="24"/>
              </w:rPr>
            </w:pPr>
            <w:r w:rsidRPr="00CF6CB5">
              <w:rPr>
                <w:rFonts w:hAnsi="標楷體" w:cs="新細明體" w:hint="eastAsia"/>
                <w:bCs/>
                <w:spacing w:val="-16"/>
                <w:sz w:val="24"/>
                <w:szCs w:val="24"/>
              </w:rPr>
              <w:t>內勤人員</w:t>
            </w:r>
          </w:p>
        </w:tc>
        <w:tc>
          <w:tcPr>
            <w:tcW w:w="1984" w:type="dxa"/>
            <w:tcBorders>
              <w:top w:val="single" w:sz="4" w:space="0" w:color="auto"/>
              <w:left w:val="nil"/>
              <w:bottom w:val="single" w:sz="4" w:space="0" w:color="auto"/>
              <w:right w:val="single" w:sz="4" w:space="0" w:color="auto"/>
            </w:tcBorders>
            <w:shd w:val="clear" w:color="auto" w:fill="auto"/>
            <w:vAlign w:val="center"/>
          </w:tcPr>
          <w:p w:rsidR="00A5190D" w:rsidRPr="00CF6CB5" w:rsidRDefault="00A5190D" w:rsidP="00AB4CEB">
            <w:pPr>
              <w:spacing w:line="300" w:lineRule="exact"/>
              <w:jc w:val="center"/>
              <w:rPr>
                <w:rFonts w:hAnsi="標楷體" w:cs="新細明體"/>
                <w:bCs/>
                <w:spacing w:val="-16"/>
                <w:sz w:val="24"/>
                <w:szCs w:val="24"/>
              </w:rPr>
            </w:pPr>
            <w:r w:rsidRPr="00CF6CB5">
              <w:rPr>
                <w:rFonts w:hAnsi="標楷體" w:cs="新細明體" w:hint="eastAsia"/>
                <w:bCs/>
                <w:spacing w:val="-16"/>
                <w:sz w:val="24"/>
                <w:szCs w:val="24"/>
              </w:rPr>
              <w:t>值宿派出所</w:t>
            </w:r>
          </w:p>
          <w:p w:rsidR="00A5190D" w:rsidRPr="00CF6CB5" w:rsidRDefault="00A5190D" w:rsidP="00AB4CEB">
            <w:pPr>
              <w:spacing w:line="300" w:lineRule="exact"/>
              <w:jc w:val="center"/>
              <w:rPr>
                <w:rFonts w:hAnsi="標楷體" w:cs="新細明體"/>
                <w:bCs/>
                <w:spacing w:val="-16"/>
                <w:sz w:val="24"/>
                <w:szCs w:val="24"/>
              </w:rPr>
            </w:pPr>
            <w:r w:rsidRPr="00CF6CB5">
              <w:rPr>
                <w:rFonts w:hAnsi="標楷體" w:cs="新細明體" w:hint="eastAsia"/>
                <w:bCs/>
                <w:spacing w:val="-16"/>
                <w:sz w:val="24"/>
                <w:szCs w:val="24"/>
              </w:rPr>
              <w:t>內勤人員</w:t>
            </w:r>
          </w:p>
        </w:tc>
        <w:tc>
          <w:tcPr>
            <w:tcW w:w="1701" w:type="dxa"/>
            <w:tcBorders>
              <w:top w:val="single" w:sz="4" w:space="0" w:color="auto"/>
              <w:left w:val="nil"/>
              <w:bottom w:val="single" w:sz="4" w:space="0" w:color="auto"/>
              <w:right w:val="single" w:sz="4" w:space="0" w:color="auto"/>
            </w:tcBorders>
            <w:shd w:val="clear" w:color="auto" w:fill="auto"/>
            <w:vAlign w:val="center"/>
          </w:tcPr>
          <w:p w:rsidR="00A5190D" w:rsidRPr="00CF6CB5" w:rsidRDefault="00A5190D" w:rsidP="00AB4CEB">
            <w:pPr>
              <w:spacing w:line="300" w:lineRule="exact"/>
              <w:jc w:val="center"/>
              <w:rPr>
                <w:rFonts w:hAnsi="標楷體" w:cs="新細明體"/>
                <w:bCs/>
                <w:spacing w:val="-16"/>
                <w:sz w:val="24"/>
                <w:szCs w:val="24"/>
              </w:rPr>
            </w:pPr>
            <w:r w:rsidRPr="00CF6CB5">
              <w:rPr>
                <w:rFonts w:hAnsi="標楷體" w:cs="新細明體" w:hint="eastAsia"/>
                <w:bCs/>
                <w:spacing w:val="-16"/>
                <w:sz w:val="24"/>
                <w:szCs w:val="24"/>
              </w:rPr>
              <w:t>內勤人員</w:t>
            </w:r>
          </w:p>
        </w:tc>
        <w:tc>
          <w:tcPr>
            <w:tcW w:w="1701" w:type="dxa"/>
            <w:tcBorders>
              <w:top w:val="single" w:sz="4" w:space="0" w:color="auto"/>
              <w:left w:val="nil"/>
              <w:bottom w:val="single" w:sz="4" w:space="0" w:color="auto"/>
              <w:right w:val="single" w:sz="4" w:space="0" w:color="auto"/>
            </w:tcBorders>
            <w:shd w:val="clear" w:color="auto" w:fill="auto"/>
            <w:vAlign w:val="center"/>
          </w:tcPr>
          <w:p w:rsidR="00A5190D" w:rsidRPr="00CF6CB5" w:rsidRDefault="00A5190D" w:rsidP="00AB4CEB">
            <w:pPr>
              <w:spacing w:line="300" w:lineRule="exact"/>
              <w:jc w:val="center"/>
              <w:rPr>
                <w:rFonts w:hAnsi="標楷體" w:cs="新細明體"/>
                <w:bCs/>
                <w:spacing w:val="-16"/>
                <w:sz w:val="24"/>
                <w:szCs w:val="24"/>
              </w:rPr>
            </w:pPr>
            <w:r w:rsidRPr="00CF6CB5">
              <w:rPr>
                <w:rFonts w:hAnsi="標楷體" w:cs="新細明體" w:hint="eastAsia"/>
                <w:bCs/>
                <w:spacing w:val="-16"/>
                <w:sz w:val="24"/>
                <w:szCs w:val="24"/>
              </w:rPr>
              <w:t>內勤人員</w:t>
            </w:r>
          </w:p>
        </w:tc>
        <w:tc>
          <w:tcPr>
            <w:tcW w:w="934" w:type="dxa"/>
            <w:vMerge/>
            <w:tcBorders>
              <w:left w:val="single" w:sz="4" w:space="0" w:color="auto"/>
              <w:bottom w:val="single" w:sz="4" w:space="0" w:color="auto"/>
              <w:right w:val="single" w:sz="4" w:space="0" w:color="auto"/>
            </w:tcBorders>
            <w:shd w:val="clear" w:color="auto" w:fill="auto"/>
            <w:vAlign w:val="center"/>
          </w:tcPr>
          <w:p w:rsidR="00A5190D" w:rsidRPr="00CF6CB5" w:rsidRDefault="00A5190D" w:rsidP="00AB4CEB">
            <w:pPr>
              <w:widowControl/>
              <w:spacing w:line="300" w:lineRule="exact"/>
              <w:jc w:val="center"/>
              <w:rPr>
                <w:rFonts w:hAnsi="標楷體" w:cs="新細明體"/>
                <w:b/>
                <w:bCs/>
                <w:sz w:val="24"/>
                <w:szCs w:val="24"/>
              </w:rPr>
            </w:pPr>
          </w:p>
        </w:tc>
      </w:tr>
    </w:tbl>
    <w:p w:rsidR="00081BEC" w:rsidRPr="00CF6CB5" w:rsidRDefault="00081BEC" w:rsidP="00081BEC">
      <w:pPr>
        <w:pStyle w:val="af7"/>
      </w:pPr>
      <w:r w:rsidRPr="00CF6CB5">
        <w:rPr>
          <w:rFonts w:hint="eastAsia"/>
        </w:rPr>
        <w:t>資料來源：內政部函復資料。</w:t>
      </w:r>
    </w:p>
    <w:p w:rsidR="00294D6C" w:rsidRPr="00CF6CB5" w:rsidRDefault="00190A71" w:rsidP="0002256A">
      <w:pPr>
        <w:pStyle w:val="4"/>
      </w:pPr>
      <w:r w:rsidRPr="00CF6CB5">
        <w:rPr>
          <w:rFonts w:hint="eastAsia"/>
        </w:rPr>
        <w:t>又</w:t>
      </w:r>
      <w:r w:rsidR="00294D6C" w:rsidRPr="00CF6CB5">
        <w:rPr>
          <w:rFonts w:hint="eastAsia"/>
        </w:rPr>
        <w:t>各直轄市政府警察局所屬單位間，亦存有勤務繁重程度不一，警力朝相對不繁重單位流動</w:t>
      </w:r>
      <w:r w:rsidR="00AC744C" w:rsidRPr="00CF6CB5">
        <w:rPr>
          <w:rFonts w:hint="eastAsia"/>
        </w:rPr>
        <w:t>等</w:t>
      </w:r>
      <w:r w:rsidR="00294D6C" w:rsidRPr="00CF6CB5">
        <w:rPr>
          <w:rFonts w:hint="eastAsia"/>
        </w:rPr>
        <w:t>問題。例如與民眾第一線接觸之都會地區派出所員警，</w:t>
      </w:r>
      <w:proofErr w:type="gramStart"/>
      <w:r w:rsidR="00294D6C" w:rsidRPr="00CF6CB5">
        <w:rPr>
          <w:rFonts w:hint="eastAsia"/>
        </w:rPr>
        <w:t>責重事</w:t>
      </w:r>
      <w:proofErr w:type="gramEnd"/>
      <w:r w:rsidR="00294D6C" w:rsidRPr="00CF6CB5">
        <w:rPr>
          <w:rFonts w:hint="eastAsia"/>
        </w:rPr>
        <w:t>繁，超時工作幾成常態。未申請外調他縣市之派出所員警，亦常要求調整至警備隊、交通隊、保安隊等工作較單純之單位，而警政署對於</w:t>
      </w:r>
      <w:r w:rsidR="00AC744C" w:rsidRPr="00CF6CB5">
        <w:rPr>
          <w:rFonts w:hint="eastAsia"/>
        </w:rPr>
        <w:t>北部都會地區</w:t>
      </w:r>
      <w:r w:rsidR="00294D6C" w:rsidRPr="00CF6CB5">
        <w:rPr>
          <w:rFonts w:hint="eastAsia"/>
        </w:rPr>
        <w:t>派出所大量申請外調之缺額，優先補派警專</w:t>
      </w:r>
      <w:proofErr w:type="gramStart"/>
      <w:r w:rsidR="00294D6C" w:rsidRPr="00CF6CB5">
        <w:rPr>
          <w:rFonts w:hint="eastAsia"/>
        </w:rPr>
        <w:t>甫</w:t>
      </w:r>
      <w:proofErr w:type="gramEnd"/>
      <w:r w:rsidR="00294D6C" w:rsidRPr="00CF6CB5">
        <w:rPr>
          <w:rFonts w:hint="eastAsia"/>
        </w:rPr>
        <w:t>畢（結）業之員警，形成</w:t>
      </w:r>
      <w:r w:rsidR="00AC744C" w:rsidRPr="00CF6CB5">
        <w:rPr>
          <w:rFonts w:hint="eastAsia"/>
        </w:rPr>
        <w:t>擔負</w:t>
      </w:r>
      <w:r w:rsidR="00294D6C" w:rsidRPr="00CF6CB5">
        <w:rPr>
          <w:rFonts w:hint="eastAsia"/>
        </w:rPr>
        <w:t>第一線</w:t>
      </w:r>
      <w:r w:rsidR="00AC744C" w:rsidRPr="00CF6CB5">
        <w:rPr>
          <w:rFonts w:hint="eastAsia"/>
        </w:rPr>
        <w:t>治安任務之</w:t>
      </w:r>
      <w:r w:rsidR="00294D6C" w:rsidRPr="00CF6CB5">
        <w:rPr>
          <w:rFonts w:hint="eastAsia"/>
        </w:rPr>
        <w:t>員警年資過淺，</w:t>
      </w:r>
      <w:r w:rsidR="00AC744C" w:rsidRPr="00CF6CB5">
        <w:rPr>
          <w:rFonts w:hint="eastAsia"/>
        </w:rPr>
        <w:t>且</w:t>
      </w:r>
      <w:r w:rsidR="00294D6C" w:rsidRPr="00CF6CB5">
        <w:rPr>
          <w:rFonts w:hint="eastAsia"/>
        </w:rPr>
        <w:t>部分派出所成為實務訓練單位，影響治安成效等情。為解決警察局內部警力遷調問題，各直轄市政府警察局雖訂定基準，</w:t>
      </w:r>
      <w:r w:rsidR="00AC744C" w:rsidRPr="00CF6CB5">
        <w:rPr>
          <w:rFonts w:hint="eastAsia"/>
        </w:rPr>
        <w:t>將繁重加成</w:t>
      </w:r>
      <w:r w:rsidR="00294D6C" w:rsidRPr="00CF6CB5">
        <w:rPr>
          <w:rFonts w:hint="eastAsia"/>
        </w:rPr>
        <w:t>區分4級支給，然其區分標準及得領取之成數</w:t>
      </w:r>
      <w:r w:rsidR="00AC744C" w:rsidRPr="00CF6CB5">
        <w:rPr>
          <w:rFonts w:hint="eastAsia"/>
        </w:rPr>
        <w:t>，</w:t>
      </w:r>
      <w:r w:rsidR="00294D6C" w:rsidRPr="00CF6CB5">
        <w:rPr>
          <w:rFonts w:hint="eastAsia"/>
        </w:rPr>
        <w:t>未</w:t>
      </w:r>
      <w:r w:rsidR="00AC744C" w:rsidRPr="00CF6CB5">
        <w:rPr>
          <w:rFonts w:hint="eastAsia"/>
        </w:rPr>
        <w:t>能</w:t>
      </w:r>
      <w:r w:rsidR="00294D6C" w:rsidRPr="00CF6CB5">
        <w:rPr>
          <w:rFonts w:hint="eastAsia"/>
        </w:rPr>
        <w:t>精確反映員警勤務繁簡之程度，員警得領取之待遇相差不大</w:t>
      </w:r>
      <w:r w:rsidR="00294D6C" w:rsidRPr="00CF6CB5">
        <w:rPr>
          <w:rStyle w:val="aff1"/>
        </w:rPr>
        <w:footnoteReference w:id="63"/>
      </w:r>
      <w:r w:rsidR="00294D6C" w:rsidRPr="00CF6CB5">
        <w:rPr>
          <w:rFonts w:hint="eastAsia"/>
        </w:rPr>
        <w:t>。又查，警</w:t>
      </w:r>
      <w:r w:rsidR="00294D6C" w:rsidRPr="00CF6CB5">
        <w:rPr>
          <w:rFonts w:hint="eastAsia"/>
        </w:rPr>
        <w:lastRenderedPageBreak/>
        <w:t>勤加給表規定，本項加成僅能在最高成數範圍內訂定3級支給，惟實施</w:t>
      </w:r>
      <w:proofErr w:type="gramStart"/>
      <w:r w:rsidR="00294D6C" w:rsidRPr="00CF6CB5">
        <w:rPr>
          <w:rFonts w:hint="eastAsia"/>
        </w:rPr>
        <w:t>該項支給</w:t>
      </w:r>
      <w:proofErr w:type="gramEnd"/>
      <w:r w:rsidR="00294D6C" w:rsidRPr="00CF6CB5">
        <w:rPr>
          <w:rFonts w:hint="eastAsia"/>
        </w:rPr>
        <w:t>之各直轄市政府，</w:t>
      </w:r>
      <w:proofErr w:type="gramStart"/>
      <w:r w:rsidR="00294D6C" w:rsidRPr="00CF6CB5">
        <w:rPr>
          <w:rFonts w:hint="eastAsia"/>
        </w:rPr>
        <w:t>均將具有</w:t>
      </w:r>
      <w:proofErr w:type="gramEnd"/>
      <w:r w:rsidR="00294D6C" w:rsidRPr="00CF6CB5">
        <w:rPr>
          <w:rFonts w:hint="eastAsia"/>
        </w:rPr>
        <w:t>警察官任用資格之內勤人員列入第4級，亦可領取</w:t>
      </w:r>
      <w:proofErr w:type="gramStart"/>
      <w:r w:rsidR="00294D6C" w:rsidRPr="00CF6CB5">
        <w:rPr>
          <w:rFonts w:hint="eastAsia"/>
        </w:rPr>
        <w:t>5成</w:t>
      </w:r>
      <w:proofErr w:type="gramEnd"/>
      <w:r w:rsidR="00294D6C" w:rsidRPr="00CF6CB5">
        <w:rPr>
          <w:rFonts w:hint="eastAsia"/>
        </w:rPr>
        <w:t>至</w:t>
      </w:r>
      <w:proofErr w:type="gramStart"/>
      <w:r w:rsidR="00294D6C" w:rsidRPr="00CF6CB5">
        <w:rPr>
          <w:rFonts w:hint="eastAsia"/>
        </w:rPr>
        <w:t>4成</w:t>
      </w:r>
      <w:proofErr w:type="gramEnd"/>
      <w:r w:rsidR="00294D6C" w:rsidRPr="00CF6CB5">
        <w:rPr>
          <w:rFonts w:hint="eastAsia"/>
        </w:rPr>
        <w:t>之加成，似雨露均</w:t>
      </w:r>
      <w:proofErr w:type="gramStart"/>
      <w:r w:rsidR="00294D6C" w:rsidRPr="00CF6CB5">
        <w:rPr>
          <w:rFonts w:hint="eastAsia"/>
        </w:rPr>
        <w:t>霑</w:t>
      </w:r>
      <w:proofErr w:type="gramEnd"/>
      <w:r w:rsidR="00294D6C" w:rsidRPr="00CF6CB5">
        <w:rPr>
          <w:rFonts w:hint="eastAsia"/>
        </w:rPr>
        <w:t>，與「勤務繁重加成」之意旨容有未合</w:t>
      </w:r>
      <w:r w:rsidR="001A403D" w:rsidRPr="00CF6CB5">
        <w:rPr>
          <w:rFonts w:hint="eastAsia"/>
        </w:rPr>
        <w:t>。</w:t>
      </w:r>
      <w:r w:rsidR="00AC744C" w:rsidRPr="00CF6CB5">
        <w:rPr>
          <w:rFonts w:hint="eastAsia"/>
        </w:rPr>
        <w:t>因此</w:t>
      </w:r>
      <w:r w:rsidR="0059304B" w:rsidRPr="00CF6CB5">
        <w:rPr>
          <w:rFonts w:hint="eastAsia"/>
        </w:rPr>
        <w:t>行政院於106年8月1日函請內政部檢討</w:t>
      </w:r>
      <w:r w:rsidR="0059304B" w:rsidRPr="00CF6CB5">
        <w:rPr>
          <w:rStyle w:val="aff1"/>
        </w:rPr>
        <w:footnoteReference w:id="64"/>
      </w:r>
      <w:r w:rsidR="0059304B" w:rsidRPr="00CF6CB5">
        <w:rPr>
          <w:rFonts w:hint="eastAsia"/>
        </w:rPr>
        <w:t>，並</w:t>
      </w:r>
      <w:r w:rsidR="00294D6C" w:rsidRPr="00CF6CB5">
        <w:rPr>
          <w:rFonts w:hint="eastAsia"/>
        </w:rPr>
        <w:t>有論者認為，評估本項給與之實施經驗，各分局間或</w:t>
      </w:r>
      <w:proofErr w:type="gramStart"/>
      <w:r w:rsidR="00294D6C" w:rsidRPr="00CF6CB5">
        <w:rPr>
          <w:rFonts w:hint="eastAsia"/>
        </w:rPr>
        <w:t>派出所間仍存在</w:t>
      </w:r>
      <w:proofErr w:type="gramEnd"/>
      <w:r w:rsidR="00294D6C" w:rsidRPr="00CF6CB5">
        <w:rPr>
          <w:rFonts w:hint="eastAsia"/>
        </w:rPr>
        <w:t>不同工同酬之虞</w:t>
      </w:r>
      <w:r w:rsidR="00294D6C" w:rsidRPr="00CF6CB5">
        <w:rPr>
          <w:rStyle w:val="aff1"/>
        </w:rPr>
        <w:footnoteReference w:id="65"/>
      </w:r>
      <w:r w:rsidR="00294D6C" w:rsidRPr="00CF6CB5">
        <w:rPr>
          <w:rFonts w:hint="eastAsia"/>
        </w:rPr>
        <w:t>。</w:t>
      </w:r>
      <w:proofErr w:type="gramStart"/>
      <w:r w:rsidR="00294D6C" w:rsidRPr="00CF6CB5">
        <w:rPr>
          <w:rFonts w:hint="eastAsia"/>
        </w:rPr>
        <w:t>此外，</w:t>
      </w:r>
      <w:proofErr w:type="gramEnd"/>
      <w:r w:rsidR="00294D6C" w:rsidRPr="00CF6CB5">
        <w:rPr>
          <w:rFonts w:hint="eastAsia"/>
        </w:rPr>
        <w:t>臺北市政府於爭取本項給與時，所持之重要理由之一為民眾及媒體之監督程度較高，為符合</w:t>
      </w:r>
      <w:proofErr w:type="gramStart"/>
      <w:r w:rsidR="00294D6C" w:rsidRPr="00CF6CB5">
        <w:rPr>
          <w:rFonts w:hint="eastAsia"/>
        </w:rPr>
        <w:t>績效課責之</w:t>
      </w:r>
      <w:proofErr w:type="gramEnd"/>
      <w:r w:rsidR="00294D6C" w:rsidRPr="00CF6CB5">
        <w:rPr>
          <w:rFonts w:hint="eastAsia"/>
        </w:rPr>
        <w:t>要求，於評量各級領取標準時，自不宜忽視民眾對於治安感受之比較。凡此，內政部應要求實施本項給與之警察機關，切實進行滾動式評估及調整，以落實激勵及留</w:t>
      </w:r>
      <w:r w:rsidR="00571C03" w:rsidRPr="00CF6CB5">
        <w:rPr>
          <w:rFonts w:hint="eastAsia"/>
        </w:rPr>
        <w:t>任</w:t>
      </w:r>
      <w:r w:rsidR="00294D6C" w:rsidRPr="00CF6CB5">
        <w:rPr>
          <w:rFonts w:hint="eastAsia"/>
        </w:rPr>
        <w:t>勤務繁重單位之員警。</w:t>
      </w:r>
    </w:p>
    <w:p w:rsidR="00294D6C" w:rsidRPr="00CF6CB5" w:rsidRDefault="00294D6C" w:rsidP="00294D6C">
      <w:pPr>
        <w:pStyle w:val="3"/>
        <w:kinsoku w:val="0"/>
        <w:overflowPunct/>
        <w:autoSpaceDE/>
        <w:autoSpaceDN/>
        <w:ind w:left="1393" w:hanging="697"/>
      </w:pPr>
      <w:bookmarkStart w:id="183" w:name="_Toc510456642"/>
      <w:bookmarkStart w:id="184" w:name="_Toc510534714"/>
      <w:bookmarkStart w:id="185" w:name="_Toc511053634"/>
      <w:bookmarkStart w:id="186" w:name="_Toc511126980"/>
      <w:r w:rsidRPr="00CF6CB5">
        <w:rPr>
          <w:rFonts w:hint="eastAsia"/>
          <w:b/>
        </w:rPr>
        <w:t>內政部</w:t>
      </w:r>
      <w:proofErr w:type="gramStart"/>
      <w:r w:rsidRPr="00CF6CB5">
        <w:rPr>
          <w:rFonts w:hint="eastAsia"/>
          <w:b/>
        </w:rPr>
        <w:t>鑑</w:t>
      </w:r>
      <w:proofErr w:type="gramEnd"/>
      <w:r w:rsidRPr="00CF6CB5">
        <w:rPr>
          <w:rFonts w:hint="eastAsia"/>
          <w:b/>
        </w:rPr>
        <w:t>於該項給與之相關經費係由地方政府自籌，於草擬階段已多次邀集各地方政府</w:t>
      </w:r>
      <w:proofErr w:type="gramStart"/>
      <w:r w:rsidRPr="00CF6CB5">
        <w:rPr>
          <w:rFonts w:hint="eastAsia"/>
          <w:b/>
        </w:rPr>
        <w:t>研</w:t>
      </w:r>
      <w:proofErr w:type="gramEnd"/>
      <w:r w:rsidRPr="00CF6CB5">
        <w:rPr>
          <w:rFonts w:hint="eastAsia"/>
          <w:b/>
        </w:rPr>
        <w:t>商，惟行政院於決策</w:t>
      </w:r>
      <w:proofErr w:type="gramStart"/>
      <w:r w:rsidRPr="00CF6CB5">
        <w:rPr>
          <w:rFonts w:hint="eastAsia"/>
          <w:b/>
        </w:rPr>
        <w:t>前未函請</w:t>
      </w:r>
      <w:proofErr w:type="gramEnd"/>
      <w:r w:rsidRPr="00CF6CB5">
        <w:rPr>
          <w:rFonts w:hint="eastAsia"/>
          <w:b/>
        </w:rPr>
        <w:t>考試院表示意見，亦未循法規命令修正程序公告、發布及送立法院審查。</w:t>
      </w:r>
      <w:proofErr w:type="gramStart"/>
      <w:r w:rsidRPr="00CF6CB5">
        <w:rPr>
          <w:rFonts w:hint="eastAsia"/>
          <w:b/>
        </w:rPr>
        <w:t>鑑</w:t>
      </w:r>
      <w:proofErr w:type="gramEnd"/>
      <w:r w:rsidRPr="00CF6CB5">
        <w:rPr>
          <w:rFonts w:hint="eastAsia"/>
          <w:b/>
        </w:rPr>
        <w:t>於</w:t>
      </w:r>
      <w:proofErr w:type="gramStart"/>
      <w:r w:rsidRPr="00CF6CB5">
        <w:rPr>
          <w:rFonts w:hint="eastAsia"/>
          <w:b/>
        </w:rPr>
        <w:t>該項支給</w:t>
      </w:r>
      <w:proofErr w:type="gramEnd"/>
      <w:r w:rsidRPr="00CF6CB5">
        <w:rPr>
          <w:rFonts w:hint="eastAsia"/>
          <w:b/>
        </w:rPr>
        <w:t>之人數多、具持續性、爭議性大，對政府整體財政之影響深遠，行政院仍應適度尊重立法院及考試院之職權：</w:t>
      </w:r>
      <w:bookmarkEnd w:id="183"/>
      <w:bookmarkEnd w:id="184"/>
      <w:bookmarkEnd w:id="185"/>
      <w:bookmarkEnd w:id="186"/>
    </w:p>
    <w:p w:rsidR="00294D6C" w:rsidRPr="00CF6CB5" w:rsidRDefault="00294D6C" w:rsidP="00294D6C">
      <w:pPr>
        <w:pStyle w:val="4"/>
        <w:overflowPunct/>
        <w:autoSpaceDE/>
        <w:autoSpaceDN/>
        <w:ind w:left="1741" w:hanging="698"/>
      </w:pPr>
      <w:r w:rsidRPr="00CF6CB5">
        <w:rPr>
          <w:rFonts w:hint="eastAsia"/>
        </w:rPr>
        <w:t>有關警勤加給增列勤務繁重加成之草擬階段，</w:t>
      </w:r>
      <w:r w:rsidR="004B5E94" w:rsidRPr="00CF6CB5">
        <w:rPr>
          <w:rFonts w:hint="eastAsia"/>
        </w:rPr>
        <w:t>行政院</w:t>
      </w:r>
      <w:r w:rsidRPr="00CF6CB5">
        <w:rPr>
          <w:rFonts w:hint="eastAsia"/>
        </w:rPr>
        <w:t>有無邀集相關機關表示意見等節，</w:t>
      </w:r>
      <w:proofErr w:type="gramStart"/>
      <w:r w:rsidRPr="00CF6CB5">
        <w:rPr>
          <w:rFonts w:hint="eastAsia"/>
        </w:rPr>
        <w:t>詢</w:t>
      </w:r>
      <w:proofErr w:type="gramEnd"/>
      <w:r w:rsidRPr="00CF6CB5">
        <w:rPr>
          <w:rFonts w:hint="eastAsia"/>
        </w:rPr>
        <w:t>據內政部表示：因該項加成經費由各直轄市政府自籌，</w:t>
      </w:r>
      <w:r w:rsidRPr="00CF6CB5">
        <w:rPr>
          <w:rFonts w:hint="eastAsia"/>
        </w:rPr>
        <w:lastRenderedPageBreak/>
        <w:t>該</w:t>
      </w:r>
      <w:proofErr w:type="gramStart"/>
      <w:r w:rsidRPr="00CF6CB5">
        <w:rPr>
          <w:rFonts w:hint="eastAsia"/>
        </w:rPr>
        <w:t>部與警政署業</w:t>
      </w:r>
      <w:proofErr w:type="gramEnd"/>
      <w:r w:rsidRPr="00CF6CB5">
        <w:rPr>
          <w:rFonts w:hint="eastAsia"/>
        </w:rPr>
        <w:t>依財政收支劃分法第37條之1、第38條之1</w:t>
      </w:r>
      <w:r w:rsidRPr="00CF6CB5">
        <w:rPr>
          <w:rStyle w:val="aff1"/>
        </w:rPr>
        <w:footnoteReference w:id="66"/>
      </w:r>
      <w:r w:rsidRPr="00CF6CB5">
        <w:rPr>
          <w:rFonts w:hint="eastAsia"/>
        </w:rPr>
        <w:t>及司法院釋字第550號解釋意旨</w:t>
      </w:r>
      <w:r w:rsidRPr="00CF6CB5">
        <w:rPr>
          <w:rStyle w:val="aff1"/>
        </w:rPr>
        <w:footnoteReference w:id="67"/>
      </w:r>
      <w:r w:rsidRPr="00CF6CB5">
        <w:rPr>
          <w:rFonts w:hint="eastAsia"/>
        </w:rPr>
        <w:t>，</w:t>
      </w:r>
      <w:r w:rsidR="004B5E94" w:rsidRPr="00CF6CB5">
        <w:rPr>
          <w:rFonts w:hint="eastAsia"/>
        </w:rPr>
        <w:t>該部</w:t>
      </w:r>
      <w:r w:rsidRPr="00CF6CB5">
        <w:rPr>
          <w:rFonts w:hint="eastAsia"/>
        </w:rPr>
        <w:t>多次邀集各地方政府、警察局共同</w:t>
      </w:r>
      <w:proofErr w:type="gramStart"/>
      <w:r w:rsidRPr="00CF6CB5">
        <w:rPr>
          <w:rFonts w:hint="eastAsia"/>
        </w:rPr>
        <w:t>研</w:t>
      </w:r>
      <w:proofErr w:type="gramEnd"/>
      <w:r w:rsidRPr="00CF6CB5">
        <w:rPr>
          <w:rFonts w:hint="eastAsia"/>
        </w:rPr>
        <w:t>商等語。</w:t>
      </w:r>
      <w:r w:rsidR="00013F27" w:rsidRPr="00CF6CB5">
        <w:rPr>
          <w:rFonts w:hint="eastAsia"/>
        </w:rPr>
        <w:t>人事行政總處</w:t>
      </w:r>
      <w:r w:rsidRPr="00CF6CB5">
        <w:rPr>
          <w:rFonts w:hint="eastAsia"/>
        </w:rPr>
        <w:t>及</w:t>
      </w:r>
      <w:proofErr w:type="gramStart"/>
      <w:r w:rsidRPr="00CF6CB5">
        <w:rPr>
          <w:rFonts w:hint="eastAsia"/>
        </w:rPr>
        <w:t>銓敘部則表示</w:t>
      </w:r>
      <w:proofErr w:type="gramEnd"/>
      <w:r w:rsidRPr="00CF6CB5">
        <w:rPr>
          <w:rFonts w:hint="eastAsia"/>
        </w:rPr>
        <w:t>略</w:t>
      </w:r>
      <w:proofErr w:type="gramStart"/>
      <w:r w:rsidRPr="00CF6CB5">
        <w:rPr>
          <w:rFonts w:hint="eastAsia"/>
        </w:rPr>
        <w:t>以</w:t>
      </w:r>
      <w:proofErr w:type="gramEnd"/>
      <w:r w:rsidRPr="00CF6CB5">
        <w:rPr>
          <w:rFonts w:hint="eastAsia"/>
        </w:rPr>
        <w:t>：各機關公務人員加給之給與，雖應依</w:t>
      </w:r>
      <w:r w:rsidR="00BF0D41" w:rsidRPr="00CF6CB5">
        <w:rPr>
          <w:rFonts w:hint="eastAsia"/>
        </w:rPr>
        <w:t>加給給與辦法</w:t>
      </w:r>
      <w:r w:rsidRPr="00CF6CB5">
        <w:rPr>
          <w:rFonts w:hint="eastAsia"/>
        </w:rPr>
        <w:t>規定辦理，但非依俸給法所定之本</w:t>
      </w:r>
      <w:proofErr w:type="gramStart"/>
      <w:r w:rsidRPr="00CF6CB5">
        <w:rPr>
          <w:rFonts w:hint="eastAsia"/>
        </w:rPr>
        <w:t>俸</w:t>
      </w:r>
      <w:proofErr w:type="gramEnd"/>
      <w:r w:rsidRPr="00CF6CB5">
        <w:rPr>
          <w:rFonts w:hint="eastAsia"/>
        </w:rPr>
        <w:t>(年功</w:t>
      </w:r>
      <w:proofErr w:type="gramStart"/>
      <w:r w:rsidRPr="00CF6CB5">
        <w:rPr>
          <w:rFonts w:hint="eastAsia"/>
        </w:rPr>
        <w:t>俸</w:t>
      </w:r>
      <w:proofErr w:type="gramEnd"/>
      <w:r w:rsidRPr="00CF6CB5">
        <w:rPr>
          <w:rFonts w:hint="eastAsia"/>
        </w:rPr>
        <w:t>)及各種加給規定辦理者，應優先適用其他法律規定。警察勤務加給依「警察人員人事條例」第22條及第27條規定，由行政院定之，應優先適用</w:t>
      </w:r>
      <w:r w:rsidR="00E86A2A" w:rsidRPr="00CF6CB5">
        <w:rPr>
          <w:rFonts w:hint="eastAsia"/>
        </w:rPr>
        <w:t>警察人員人事條例</w:t>
      </w:r>
      <w:r w:rsidRPr="00CF6CB5">
        <w:rPr>
          <w:rFonts w:hint="eastAsia"/>
        </w:rPr>
        <w:t>之相關規定，警勤加給之訂定、調整及擬議，尚非銓敘部之主管權責。並表示警勤加給</w:t>
      </w:r>
      <w:proofErr w:type="gramStart"/>
      <w:r w:rsidRPr="00CF6CB5">
        <w:rPr>
          <w:rFonts w:hint="eastAsia"/>
        </w:rPr>
        <w:t>歷來均由行政院</w:t>
      </w:r>
      <w:proofErr w:type="gramEnd"/>
      <w:r w:rsidRPr="00CF6CB5">
        <w:rPr>
          <w:rFonts w:hint="eastAsia"/>
        </w:rPr>
        <w:t>通盤</w:t>
      </w:r>
      <w:proofErr w:type="gramStart"/>
      <w:r w:rsidRPr="00CF6CB5">
        <w:rPr>
          <w:rFonts w:hint="eastAsia"/>
        </w:rPr>
        <w:t>研</w:t>
      </w:r>
      <w:proofErr w:type="gramEnd"/>
      <w:r w:rsidRPr="00CF6CB5">
        <w:rPr>
          <w:rFonts w:hint="eastAsia"/>
        </w:rPr>
        <w:t>議，行政院依</w:t>
      </w:r>
      <w:r w:rsidR="00E86A2A" w:rsidRPr="00CF6CB5">
        <w:rPr>
          <w:rFonts w:hint="eastAsia"/>
        </w:rPr>
        <w:t>警察人員人事條例</w:t>
      </w:r>
      <w:r w:rsidRPr="00CF6CB5">
        <w:rPr>
          <w:rFonts w:hint="eastAsia"/>
        </w:rPr>
        <w:t>之授權，訂定各類警察人員加給</w:t>
      </w:r>
      <w:proofErr w:type="gramStart"/>
      <w:r w:rsidRPr="00CF6CB5">
        <w:rPr>
          <w:rFonts w:hint="eastAsia"/>
        </w:rPr>
        <w:t>表核屬</w:t>
      </w:r>
      <w:proofErr w:type="gramEnd"/>
      <w:r w:rsidRPr="00CF6CB5">
        <w:rPr>
          <w:rFonts w:hint="eastAsia"/>
        </w:rPr>
        <w:t>正當，符合依法行政原則等語。且認為加給給與辦法第14雖規定公務人員各種加給之支給數額，應由</w:t>
      </w:r>
      <w:r w:rsidR="00013F27" w:rsidRPr="00CF6CB5">
        <w:rPr>
          <w:rFonts w:hint="eastAsia"/>
        </w:rPr>
        <w:t>人事行政總處</w:t>
      </w:r>
      <w:r w:rsidRPr="00CF6CB5">
        <w:rPr>
          <w:rFonts w:hint="eastAsia"/>
        </w:rPr>
        <w:t>會商銓敘部擬訂方案，送軍公教員工待遇審議委員審議，惟警勤加給因非俸給法所定之加給，故無庸函請銓敘部表示意見等語。亦即該項給與於核定前，內政部雖多次邀集各地方政府</w:t>
      </w:r>
      <w:proofErr w:type="gramStart"/>
      <w:r w:rsidRPr="00CF6CB5">
        <w:rPr>
          <w:rFonts w:hint="eastAsia"/>
        </w:rPr>
        <w:t>研</w:t>
      </w:r>
      <w:proofErr w:type="gramEnd"/>
      <w:r w:rsidRPr="00CF6CB5">
        <w:rPr>
          <w:rFonts w:hint="eastAsia"/>
        </w:rPr>
        <w:t>商，惟</w:t>
      </w:r>
      <w:proofErr w:type="gramStart"/>
      <w:r w:rsidRPr="00CF6CB5">
        <w:rPr>
          <w:rFonts w:hint="eastAsia"/>
        </w:rPr>
        <w:t>行政院未函請</w:t>
      </w:r>
      <w:proofErr w:type="gramEnd"/>
      <w:r w:rsidRPr="00CF6CB5">
        <w:rPr>
          <w:rFonts w:hint="eastAsia"/>
        </w:rPr>
        <w:t>掌理公務人員級</w:t>
      </w:r>
      <w:proofErr w:type="gramStart"/>
      <w:r w:rsidRPr="00CF6CB5">
        <w:rPr>
          <w:rFonts w:hint="eastAsia"/>
        </w:rPr>
        <w:t>俸</w:t>
      </w:r>
      <w:proofErr w:type="gramEnd"/>
      <w:r w:rsidRPr="00CF6CB5">
        <w:rPr>
          <w:rFonts w:hint="eastAsia"/>
        </w:rPr>
        <w:t>之考試機關表示意見。</w:t>
      </w:r>
    </w:p>
    <w:p w:rsidR="00294D6C" w:rsidRPr="00CF6CB5" w:rsidRDefault="004B5E94" w:rsidP="00190A71">
      <w:pPr>
        <w:pStyle w:val="4"/>
      </w:pPr>
      <w:r w:rsidRPr="00CF6CB5">
        <w:rPr>
          <w:rFonts w:hint="eastAsia"/>
        </w:rPr>
        <w:t>有關警勤加給表之修正發布程序及行政院辦理104年1月「修正警察人員警勤加給表」之公告、發布經過等節，</w:t>
      </w:r>
      <w:proofErr w:type="gramStart"/>
      <w:r w:rsidRPr="00CF6CB5">
        <w:rPr>
          <w:rFonts w:hint="eastAsia"/>
        </w:rPr>
        <w:t>詢</w:t>
      </w:r>
      <w:proofErr w:type="gramEnd"/>
      <w:r w:rsidRPr="00CF6CB5">
        <w:rPr>
          <w:rFonts w:hint="eastAsia"/>
        </w:rPr>
        <w:t>據</w:t>
      </w:r>
      <w:r w:rsidR="00013F27" w:rsidRPr="00CF6CB5">
        <w:rPr>
          <w:rFonts w:hint="eastAsia"/>
        </w:rPr>
        <w:t>人事行政總處</w:t>
      </w:r>
      <w:r w:rsidRPr="00CF6CB5">
        <w:rPr>
          <w:rFonts w:hint="eastAsia"/>
        </w:rPr>
        <w:t>僅稱：</w:t>
      </w:r>
      <w:r w:rsidR="00294D6C" w:rsidRPr="00CF6CB5">
        <w:rPr>
          <w:rFonts w:hint="eastAsia"/>
        </w:rPr>
        <w:t>各類警察人員加給表係行政院依</w:t>
      </w:r>
      <w:r w:rsidR="00E86A2A" w:rsidRPr="00CF6CB5">
        <w:rPr>
          <w:rFonts w:hint="eastAsia"/>
        </w:rPr>
        <w:t>警察人員人事條例</w:t>
      </w:r>
      <w:r w:rsidR="00294D6C" w:rsidRPr="00CF6CB5">
        <w:rPr>
          <w:rFonts w:hint="eastAsia"/>
        </w:rPr>
        <w:t>之</w:t>
      </w:r>
      <w:r w:rsidR="00294D6C" w:rsidRPr="00CF6CB5">
        <w:rPr>
          <w:rFonts w:hint="eastAsia"/>
        </w:rPr>
        <w:lastRenderedPageBreak/>
        <w:t>授權訂定，</w:t>
      </w:r>
      <w:r w:rsidRPr="00CF6CB5">
        <w:rPr>
          <w:rFonts w:hint="eastAsia"/>
        </w:rPr>
        <w:t>相關事項僅屬執行法律之細節性、技術性次要事項，無需以法律為直接規範，行政院於</w:t>
      </w:r>
      <w:proofErr w:type="gramStart"/>
      <w:r w:rsidRPr="00CF6CB5">
        <w:rPr>
          <w:rFonts w:hint="eastAsia"/>
        </w:rPr>
        <w:t>研</w:t>
      </w:r>
      <w:proofErr w:type="gramEnd"/>
      <w:r w:rsidRPr="00CF6CB5">
        <w:rPr>
          <w:rFonts w:hint="eastAsia"/>
        </w:rPr>
        <w:t>議過程均</w:t>
      </w:r>
      <w:proofErr w:type="gramStart"/>
      <w:r w:rsidRPr="00CF6CB5">
        <w:rPr>
          <w:rFonts w:hint="eastAsia"/>
        </w:rPr>
        <w:t>踐行</w:t>
      </w:r>
      <w:proofErr w:type="gramEnd"/>
      <w:r w:rsidRPr="00CF6CB5">
        <w:rPr>
          <w:rFonts w:hint="eastAsia"/>
        </w:rPr>
        <w:t>訂定程序之規範等語，而未提供相關文件，</w:t>
      </w:r>
      <w:r w:rsidR="00294D6C" w:rsidRPr="00CF6CB5">
        <w:rPr>
          <w:rFonts w:hint="eastAsia"/>
        </w:rPr>
        <w:t>政府公報資訊網</w:t>
      </w:r>
      <w:r w:rsidRPr="00CF6CB5">
        <w:rPr>
          <w:rFonts w:hint="eastAsia"/>
        </w:rPr>
        <w:t>亦</w:t>
      </w:r>
      <w:r w:rsidR="00294D6C" w:rsidRPr="00CF6CB5">
        <w:rPr>
          <w:rFonts w:hint="eastAsia"/>
        </w:rPr>
        <w:t>查無事先公告及發布之記載。亦即</w:t>
      </w:r>
      <w:r w:rsidR="00013F27" w:rsidRPr="00CF6CB5">
        <w:rPr>
          <w:rFonts w:hint="eastAsia"/>
        </w:rPr>
        <w:t>人事行政總處</w:t>
      </w:r>
      <w:r w:rsidR="00294D6C" w:rsidRPr="00CF6CB5">
        <w:rPr>
          <w:rFonts w:hint="eastAsia"/>
        </w:rPr>
        <w:t>辦理本項警勤加給勤務繁重加成之法規修正，未依行政程序法、中央法規標準法及立法院職權行使法之相關規定行之。</w:t>
      </w:r>
    </w:p>
    <w:p w:rsidR="00AB2C75" w:rsidRPr="00CF6CB5" w:rsidRDefault="00294D6C" w:rsidP="00190A71">
      <w:pPr>
        <w:pStyle w:val="4"/>
      </w:pPr>
      <w:r w:rsidRPr="00CF6CB5">
        <w:rPr>
          <w:rFonts w:hint="eastAsia"/>
        </w:rPr>
        <w:t>依</w:t>
      </w:r>
      <w:proofErr w:type="gramStart"/>
      <w:r w:rsidRPr="00CF6CB5">
        <w:rPr>
          <w:rFonts w:hint="eastAsia"/>
        </w:rPr>
        <w:t>審計部函報</w:t>
      </w:r>
      <w:proofErr w:type="gramEnd"/>
      <w:r w:rsidRPr="00CF6CB5">
        <w:rPr>
          <w:rFonts w:hint="eastAsia"/>
        </w:rPr>
        <w:t>資料，統計104年都會警勤加給勤務繁重</w:t>
      </w:r>
      <w:proofErr w:type="gramStart"/>
      <w:r w:rsidRPr="00CF6CB5">
        <w:rPr>
          <w:rFonts w:hint="eastAsia"/>
        </w:rPr>
        <w:t>加成支給</w:t>
      </w:r>
      <w:proofErr w:type="gramEnd"/>
      <w:r w:rsidRPr="00CF6CB5">
        <w:rPr>
          <w:rFonts w:hint="eastAsia"/>
        </w:rPr>
        <w:t>之核發金額分別為：臺北市6億6</w:t>
      </w:r>
      <w:r w:rsidR="00571C03" w:rsidRPr="00CF6CB5">
        <w:rPr>
          <w:rFonts w:hint="eastAsia"/>
        </w:rPr>
        <w:t>,</w:t>
      </w:r>
      <w:r w:rsidRPr="00CF6CB5">
        <w:rPr>
          <w:rFonts w:hint="eastAsia"/>
        </w:rPr>
        <w:t>725萬餘元、新北市6億3</w:t>
      </w:r>
      <w:r w:rsidR="00571C03" w:rsidRPr="00CF6CB5">
        <w:rPr>
          <w:rFonts w:hint="eastAsia"/>
        </w:rPr>
        <w:t>,</w:t>
      </w:r>
      <w:r w:rsidRPr="00CF6CB5">
        <w:rPr>
          <w:rFonts w:hint="eastAsia"/>
        </w:rPr>
        <w:t>877萬餘元、桃園市2億1</w:t>
      </w:r>
      <w:r w:rsidR="00571C03" w:rsidRPr="00CF6CB5">
        <w:rPr>
          <w:rFonts w:hint="eastAsia"/>
        </w:rPr>
        <w:t>,</w:t>
      </w:r>
      <w:r w:rsidRPr="00CF6CB5">
        <w:rPr>
          <w:rFonts w:hint="eastAsia"/>
        </w:rPr>
        <w:t>955萬餘元、</w:t>
      </w:r>
      <w:proofErr w:type="gramStart"/>
      <w:r w:rsidRPr="00CF6CB5">
        <w:rPr>
          <w:rFonts w:hint="eastAsia"/>
        </w:rPr>
        <w:t>臺</w:t>
      </w:r>
      <w:proofErr w:type="gramEnd"/>
      <w:r w:rsidRPr="00CF6CB5">
        <w:rPr>
          <w:rFonts w:hint="eastAsia"/>
        </w:rPr>
        <w:t>中市4億1</w:t>
      </w:r>
      <w:r w:rsidR="00571C03" w:rsidRPr="00CF6CB5">
        <w:rPr>
          <w:rFonts w:hint="eastAsia"/>
        </w:rPr>
        <w:t>,</w:t>
      </w:r>
      <w:r w:rsidRPr="00CF6CB5">
        <w:rPr>
          <w:rFonts w:hint="eastAsia"/>
        </w:rPr>
        <w:t>383萬餘元，合計19億3</w:t>
      </w:r>
      <w:r w:rsidR="00571C03" w:rsidRPr="00CF6CB5">
        <w:rPr>
          <w:rFonts w:hint="eastAsia"/>
        </w:rPr>
        <w:t>,</w:t>
      </w:r>
      <w:r w:rsidRPr="00CF6CB5">
        <w:rPr>
          <w:rFonts w:hint="eastAsia"/>
        </w:rPr>
        <w:t>942萬餘元。又依105年底警察機關現有員額統計，臺北市員警計6,893人、新北市員警計7,140人、桃園市員警計3,477人、</w:t>
      </w:r>
      <w:proofErr w:type="gramStart"/>
      <w:r w:rsidRPr="00CF6CB5">
        <w:rPr>
          <w:rFonts w:hint="eastAsia"/>
        </w:rPr>
        <w:t>臺</w:t>
      </w:r>
      <w:proofErr w:type="gramEnd"/>
      <w:r w:rsidRPr="00CF6CB5">
        <w:rPr>
          <w:rFonts w:hint="eastAsia"/>
        </w:rPr>
        <w:t>中市員警計5,885人，合計23,395人，足見</w:t>
      </w:r>
      <w:proofErr w:type="gramStart"/>
      <w:r w:rsidRPr="00CF6CB5">
        <w:rPr>
          <w:rFonts w:hint="eastAsia"/>
        </w:rPr>
        <w:t>該項支給</w:t>
      </w:r>
      <w:proofErr w:type="gramEnd"/>
      <w:r w:rsidRPr="00CF6CB5">
        <w:rPr>
          <w:rFonts w:hint="eastAsia"/>
        </w:rPr>
        <w:t>之人數多、具持續性、爭議性大，對政府整體財政之影響深遠。</w:t>
      </w:r>
    </w:p>
    <w:p w:rsidR="00AB2C75" w:rsidRPr="00CF6CB5" w:rsidRDefault="00AB2C75" w:rsidP="008A539B"/>
    <w:p w:rsidR="008A539B" w:rsidRPr="00CF6CB5" w:rsidRDefault="008A539B" w:rsidP="008A539B"/>
    <w:p w:rsidR="008A539B" w:rsidRPr="00CF6CB5" w:rsidRDefault="008A539B" w:rsidP="008A539B"/>
    <w:p w:rsidR="00294D6C" w:rsidRPr="00CF6CB5" w:rsidRDefault="00294D6C" w:rsidP="00081BEC">
      <w:pPr>
        <w:pStyle w:val="a3"/>
      </w:pPr>
      <w:r w:rsidRPr="00CF6CB5">
        <w:rPr>
          <w:rFonts w:hint="eastAsia"/>
        </w:rPr>
        <w:t>警勤加給勤務繁重</w:t>
      </w:r>
      <w:proofErr w:type="gramStart"/>
      <w:r w:rsidRPr="00CF6CB5">
        <w:rPr>
          <w:rFonts w:hint="eastAsia"/>
        </w:rPr>
        <w:t>加成支給</w:t>
      </w:r>
      <w:proofErr w:type="gramEnd"/>
      <w:r w:rsidRPr="00CF6CB5">
        <w:rPr>
          <w:rFonts w:hint="eastAsia"/>
        </w:rPr>
        <w:t>核發情形</w:t>
      </w:r>
    </w:p>
    <w:p w:rsidR="00081BEC" w:rsidRPr="00CF6CB5" w:rsidRDefault="00081BEC" w:rsidP="00AB2C75">
      <w:pPr>
        <w:jc w:val="right"/>
        <w:rPr>
          <w:sz w:val="24"/>
        </w:rPr>
      </w:pPr>
      <w:r w:rsidRPr="00CF6CB5">
        <w:rPr>
          <w:rFonts w:hint="eastAsia"/>
          <w:sz w:val="24"/>
        </w:rPr>
        <w:t>單位：元</w:t>
      </w:r>
    </w:p>
    <w:tbl>
      <w:tblPr>
        <w:tblStyle w:val="13"/>
        <w:tblW w:w="0" w:type="auto"/>
        <w:tblInd w:w="1384" w:type="dxa"/>
        <w:tblLook w:val="04A0" w:firstRow="1" w:lastRow="0" w:firstColumn="1" w:lastColumn="0" w:noHBand="0" w:noVBand="1"/>
      </w:tblPr>
      <w:tblGrid>
        <w:gridCol w:w="1589"/>
        <w:gridCol w:w="1954"/>
        <w:gridCol w:w="1953"/>
        <w:gridCol w:w="1954"/>
      </w:tblGrid>
      <w:tr w:rsidR="00CF6CB5" w:rsidRPr="00CF6CB5" w:rsidTr="003A21E0">
        <w:trPr>
          <w:trHeight w:val="462"/>
        </w:trPr>
        <w:tc>
          <w:tcPr>
            <w:tcW w:w="1701" w:type="dxa"/>
            <w:tcBorders>
              <w:tl2br w:val="single" w:sz="4" w:space="0" w:color="auto"/>
            </w:tcBorders>
          </w:tcPr>
          <w:p w:rsidR="00081BEC" w:rsidRPr="00CF6CB5" w:rsidRDefault="00081BEC" w:rsidP="003A21E0">
            <w:pPr>
              <w:rPr>
                <w:sz w:val="24"/>
                <w:szCs w:val="24"/>
              </w:rPr>
            </w:pPr>
            <w:r w:rsidRPr="00CF6CB5">
              <w:rPr>
                <w:rFonts w:hint="eastAsia"/>
                <w:sz w:val="24"/>
                <w:szCs w:val="24"/>
              </w:rPr>
              <w:t xml:space="preserve">       </w:t>
            </w:r>
            <w:r w:rsidRPr="00CF6CB5">
              <w:rPr>
                <w:sz w:val="24"/>
                <w:szCs w:val="24"/>
              </w:rPr>
              <w:t>年度</w:t>
            </w:r>
          </w:p>
          <w:p w:rsidR="00081BEC" w:rsidRPr="00CF6CB5" w:rsidRDefault="00081BEC" w:rsidP="003A21E0">
            <w:pPr>
              <w:rPr>
                <w:sz w:val="24"/>
                <w:szCs w:val="24"/>
              </w:rPr>
            </w:pPr>
            <w:r w:rsidRPr="00CF6CB5">
              <w:rPr>
                <w:sz w:val="24"/>
                <w:szCs w:val="24"/>
              </w:rPr>
              <w:t>政府別</w:t>
            </w:r>
          </w:p>
        </w:tc>
        <w:tc>
          <w:tcPr>
            <w:tcW w:w="1985" w:type="dxa"/>
            <w:vAlign w:val="center"/>
          </w:tcPr>
          <w:p w:rsidR="00081BEC" w:rsidRPr="00CF6CB5" w:rsidRDefault="00081BEC" w:rsidP="003A21E0">
            <w:pPr>
              <w:jc w:val="center"/>
              <w:rPr>
                <w:sz w:val="24"/>
                <w:szCs w:val="24"/>
              </w:rPr>
            </w:pPr>
            <w:r w:rsidRPr="00CF6CB5">
              <w:rPr>
                <w:rFonts w:hint="eastAsia"/>
                <w:sz w:val="24"/>
                <w:szCs w:val="24"/>
              </w:rPr>
              <w:t>104年預算數</w:t>
            </w:r>
          </w:p>
        </w:tc>
        <w:tc>
          <w:tcPr>
            <w:tcW w:w="1984" w:type="dxa"/>
            <w:vAlign w:val="center"/>
          </w:tcPr>
          <w:p w:rsidR="00081BEC" w:rsidRPr="00CF6CB5" w:rsidRDefault="00081BEC" w:rsidP="003A21E0">
            <w:pPr>
              <w:jc w:val="center"/>
              <w:rPr>
                <w:sz w:val="24"/>
                <w:szCs w:val="24"/>
              </w:rPr>
            </w:pPr>
            <w:r w:rsidRPr="00CF6CB5">
              <w:rPr>
                <w:rFonts w:hint="eastAsia"/>
                <w:sz w:val="24"/>
                <w:szCs w:val="24"/>
              </w:rPr>
              <w:t>104年實付數</w:t>
            </w:r>
          </w:p>
          <w:p w:rsidR="00081BEC" w:rsidRPr="00CF6CB5" w:rsidRDefault="00081BEC" w:rsidP="003A21E0">
            <w:pPr>
              <w:jc w:val="center"/>
              <w:rPr>
                <w:sz w:val="24"/>
                <w:szCs w:val="24"/>
              </w:rPr>
            </w:pPr>
            <w:r w:rsidRPr="00CF6CB5">
              <w:rPr>
                <w:rFonts w:hint="eastAsia"/>
                <w:sz w:val="24"/>
                <w:szCs w:val="24"/>
              </w:rPr>
              <w:t>(決算數)</w:t>
            </w:r>
          </w:p>
        </w:tc>
        <w:tc>
          <w:tcPr>
            <w:tcW w:w="1985" w:type="dxa"/>
            <w:vAlign w:val="center"/>
          </w:tcPr>
          <w:p w:rsidR="00081BEC" w:rsidRPr="00CF6CB5" w:rsidRDefault="00081BEC" w:rsidP="003A21E0">
            <w:pPr>
              <w:jc w:val="center"/>
              <w:rPr>
                <w:sz w:val="24"/>
                <w:szCs w:val="24"/>
              </w:rPr>
            </w:pPr>
            <w:r w:rsidRPr="00CF6CB5">
              <w:rPr>
                <w:rFonts w:hint="eastAsia"/>
                <w:sz w:val="24"/>
                <w:szCs w:val="24"/>
              </w:rPr>
              <w:t>105年預算數</w:t>
            </w:r>
          </w:p>
        </w:tc>
      </w:tr>
      <w:tr w:rsidR="00CF6CB5" w:rsidRPr="00CF6CB5" w:rsidTr="003A21E0">
        <w:tc>
          <w:tcPr>
            <w:tcW w:w="1701" w:type="dxa"/>
          </w:tcPr>
          <w:p w:rsidR="00081BEC" w:rsidRPr="00CF6CB5" w:rsidRDefault="00081BEC" w:rsidP="003A21E0">
            <w:pPr>
              <w:jc w:val="center"/>
              <w:rPr>
                <w:sz w:val="24"/>
                <w:szCs w:val="24"/>
              </w:rPr>
            </w:pPr>
            <w:r w:rsidRPr="00CF6CB5">
              <w:rPr>
                <w:sz w:val="24"/>
                <w:szCs w:val="24"/>
              </w:rPr>
              <w:t>臺北市</w:t>
            </w:r>
          </w:p>
        </w:tc>
        <w:tc>
          <w:tcPr>
            <w:tcW w:w="1985" w:type="dxa"/>
            <w:tcBorders>
              <w:bottom w:val="single" w:sz="4" w:space="0" w:color="auto"/>
            </w:tcBorders>
            <w:vAlign w:val="center"/>
          </w:tcPr>
          <w:p w:rsidR="00081BEC" w:rsidRPr="00CF6CB5" w:rsidRDefault="00081BEC" w:rsidP="003A21E0">
            <w:pPr>
              <w:jc w:val="center"/>
              <w:rPr>
                <w:sz w:val="24"/>
                <w:szCs w:val="24"/>
              </w:rPr>
            </w:pPr>
            <w:r w:rsidRPr="00CF6CB5">
              <w:rPr>
                <w:sz w:val="24"/>
                <w:szCs w:val="24"/>
              </w:rPr>
              <w:t>815,339,383</w:t>
            </w:r>
          </w:p>
        </w:tc>
        <w:tc>
          <w:tcPr>
            <w:tcW w:w="1984" w:type="dxa"/>
            <w:tcBorders>
              <w:bottom w:val="single" w:sz="4" w:space="0" w:color="auto"/>
            </w:tcBorders>
            <w:vAlign w:val="center"/>
          </w:tcPr>
          <w:p w:rsidR="00081BEC" w:rsidRPr="00CF6CB5" w:rsidRDefault="00081BEC" w:rsidP="003A21E0">
            <w:pPr>
              <w:jc w:val="center"/>
              <w:rPr>
                <w:sz w:val="24"/>
                <w:szCs w:val="24"/>
              </w:rPr>
            </w:pPr>
            <w:r w:rsidRPr="00CF6CB5">
              <w:rPr>
                <w:sz w:val="24"/>
                <w:szCs w:val="24"/>
              </w:rPr>
              <w:t>667,251,582</w:t>
            </w:r>
          </w:p>
        </w:tc>
        <w:tc>
          <w:tcPr>
            <w:tcW w:w="1985" w:type="dxa"/>
            <w:vAlign w:val="center"/>
          </w:tcPr>
          <w:p w:rsidR="00081BEC" w:rsidRPr="00CF6CB5" w:rsidRDefault="00081BEC" w:rsidP="003A21E0">
            <w:pPr>
              <w:jc w:val="center"/>
              <w:rPr>
                <w:sz w:val="24"/>
                <w:szCs w:val="24"/>
              </w:rPr>
            </w:pPr>
            <w:r w:rsidRPr="00CF6CB5">
              <w:rPr>
                <w:sz w:val="24"/>
                <w:szCs w:val="24"/>
              </w:rPr>
              <w:t>760,680,227</w:t>
            </w:r>
          </w:p>
        </w:tc>
      </w:tr>
      <w:tr w:rsidR="00CF6CB5" w:rsidRPr="00CF6CB5" w:rsidTr="003A21E0">
        <w:tc>
          <w:tcPr>
            <w:tcW w:w="1701" w:type="dxa"/>
          </w:tcPr>
          <w:p w:rsidR="00081BEC" w:rsidRPr="00CF6CB5" w:rsidRDefault="00081BEC" w:rsidP="003A21E0">
            <w:pPr>
              <w:jc w:val="center"/>
              <w:rPr>
                <w:sz w:val="24"/>
                <w:szCs w:val="24"/>
              </w:rPr>
            </w:pPr>
            <w:r w:rsidRPr="00CF6CB5">
              <w:rPr>
                <w:sz w:val="24"/>
                <w:szCs w:val="24"/>
              </w:rPr>
              <w:t>新北市</w:t>
            </w:r>
          </w:p>
        </w:tc>
        <w:tc>
          <w:tcPr>
            <w:tcW w:w="1985" w:type="dxa"/>
            <w:tcBorders>
              <w:bottom w:val="single" w:sz="4" w:space="0" w:color="auto"/>
            </w:tcBorders>
            <w:vAlign w:val="center"/>
          </w:tcPr>
          <w:p w:rsidR="00081BEC" w:rsidRPr="00CF6CB5" w:rsidRDefault="00081BEC" w:rsidP="003A21E0">
            <w:pPr>
              <w:jc w:val="center"/>
              <w:rPr>
                <w:sz w:val="24"/>
                <w:szCs w:val="24"/>
              </w:rPr>
            </w:pPr>
            <w:r w:rsidRPr="00CF6CB5">
              <w:rPr>
                <w:rFonts w:hint="eastAsia"/>
                <w:sz w:val="24"/>
                <w:szCs w:val="24"/>
              </w:rPr>
              <w:t>747,910,579</w:t>
            </w:r>
          </w:p>
        </w:tc>
        <w:tc>
          <w:tcPr>
            <w:tcW w:w="1984" w:type="dxa"/>
            <w:tcBorders>
              <w:bottom w:val="single" w:sz="4" w:space="0" w:color="auto"/>
            </w:tcBorders>
            <w:vAlign w:val="center"/>
          </w:tcPr>
          <w:p w:rsidR="00081BEC" w:rsidRPr="00CF6CB5" w:rsidRDefault="00081BEC" w:rsidP="003A21E0">
            <w:pPr>
              <w:jc w:val="center"/>
              <w:rPr>
                <w:sz w:val="24"/>
                <w:szCs w:val="24"/>
              </w:rPr>
            </w:pPr>
            <w:r w:rsidRPr="00CF6CB5">
              <w:rPr>
                <w:rFonts w:hint="eastAsia"/>
                <w:sz w:val="24"/>
                <w:szCs w:val="24"/>
              </w:rPr>
              <w:t>638,776,771</w:t>
            </w:r>
          </w:p>
        </w:tc>
        <w:tc>
          <w:tcPr>
            <w:tcW w:w="1985" w:type="dxa"/>
            <w:vAlign w:val="center"/>
          </w:tcPr>
          <w:p w:rsidR="00081BEC" w:rsidRPr="00CF6CB5" w:rsidRDefault="00081BEC" w:rsidP="003A21E0">
            <w:pPr>
              <w:jc w:val="center"/>
              <w:rPr>
                <w:sz w:val="24"/>
                <w:szCs w:val="24"/>
              </w:rPr>
            </w:pPr>
            <w:r w:rsidRPr="00CF6CB5">
              <w:rPr>
                <w:rFonts w:hint="eastAsia"/>
                <w:sz w:val="24"/>
                <w:szCs w:val="24"/>
              </w:rPr>
              <w:t>747,910,579</w:t>
            </w:r>
          </w:p>
        </w:tc>
      </w:tr>
      <w:tr w:rsidR="00CF6CB5" w:rsidRPr="00CF6CB5" w:rsidTr="003A21E0">
        <w:tc>
          <w:tcPr>
            <w:tcW w:w="1701" w:type="dxa"/>
          </w:tcPr>
          <w:p w:rsidR="00081BEC" w:rsidRPr="00CF6CB5" w:rsidRDefault="00081BEC" w:rsidP="003A21E0">
            <w:pPr>
              <w:jc w:val="center"/>
              <w:rPr>
                <w:sz w:val="24"/>
                <w:szCs w:val="24"/>
              </w:rPr>
            </w:pPr>
            <w:r w:rsidRPr="00CF6CB5">
              <w:rPr>
                <w:sz w:val="24"/>
                <w:szCs w:val="24"/>
              </w:rPr>
              <w:t>桃園市</w:t>
            </w:r>
          </w:p>
        </w:tc>
        <w:tc>
          <w:tcPr>
            <w:tcW w:w="1985" w:type="dxa"/>
            <w:tcBorders>
              <w:bottom w:val="single" w:sz="4" w:space="0" w:color="auto"/>
            </w:tcBorders>
            <w:vAlign w:val="center"/>
          </w:tcPr>
          <w:p w:rsidR="00081BEC" w:rsidRPr="00CF6CB5" w:rsidRDefault="00081BEC" w:rsidP="003A21E0">
            <w:pPr>
              <w:jc w:val="center"/>
              <w:rPr>
                <w:sz w:val="24"/>
                <w:szCs w:val="24"/>
              </w:rPr>
            </w:pPr>
            <w:r w:rsidRPr="00CF6CB5">
              <w:rPr>
                <w:rFonts w:hint="eastAsia"/>
                <w:sz w:val="24"/>
                <w:szCs w:val="24"/>
              </w:rPr>
              <w:t>267</w:t>
            </w:r>
            <w:r w:rsidRPr="00CF6CB5">
              <w:rPr>
                <w:sz w:val="24"/>
                <w:szCs w:val="24"/>
              </w:rPr>
              <w:t>,</w:t>
            </w:r>
            <w:r w:rsidRPr="00CF6CB5">
              <w:rPr>
                <w:rFonts w:hint="eastAsia"/>
                <w:sz w:val="24"/>
                <w:szCs w:val="24"/>
              </w:rPr>
              <w:t>194</w:t>
            </w:r>
            <w:r w:rsidRPr="00CF6CB5">
              <w:rPr>
                <w:sz w:val="24"/>
                <w:szCs w:val="24"/>
              </w:rPr>
              <w:t>,</w:t>
            </w:r>
            <w:r w:rsidRPr="00CF6CB5">
              <w:rPr>
                <w:rFonts w:hint="eastAsia"/>
                <w:sz w:val="24"/>
                <w:szCs w:val="24"/>
              </w:rPr>
              <w:t>000</w:t>
            </w:r>
          </w:p>
        </w:tc>
        <w:tc>
          <w:tcPr>
            <w:tcW w:w="1984" w:type="dxa"/>
            <w:tcBorders>
              <w:bottom w:val="single" w:sz="4" w:space="0" w:color="auto"/>
            </w:tcBorders>
            <w:vAlign w:val="center"/>
          </w:tcPr>
          <w:p w:rsidR="00081BEC" w:rsidRPr="00CF6CB5" w:rsidRDefault="00081BEC" w:rsidP="003A21E0">
            <w:pPr>
              <w:jc w:val="center"/>
              <w:rPr>
                <w:sz w:val="24"/>
                <w:szCs w:val="24"/>
              </w:rPr>
            </w:pPr>
            <w:r w:rsidRPr="00CF6CB5">
              <w:rPr>
                <w:rFonts w:hint="eastAsia"/>
                <w:sz w:val="24"/>
                <w:szCs w:val="24"/>
              </w:rPr>
              <w:t>219</w:t>
            </w:r>
            <w:r w:rsidRPr="00CF6CB5">
              <w:rPr>
                <w:sz w:val="24"/>
                <w:szCs w:val="24"/>
              </w:rPr>
              <w:t>,</w:t>
            </w:r>
            <w:r w:rsidRPr="00CF6CB5">
              <w:rPr>
                <w:rFonts w:hint="eastAsia"/>
                <w:sz w:val="24"/>
                <w:szCs w:val="24"/>
              </w:rPr>
              <w:t>559</w:t>
            </w:r>
            <w:r w:rsidRPr="00CF6CB5">
              <w:rPr>
                <w:sz w:val="24"/>
                <w:szCs w:val="24"/>
              </w:rPr>
              <w:t>,</w:t>
            </w:r>
            <w:r w:rsidRPr="00CF6CB5">
              <w:rPr>
                <w:rFonts w:hint="eastAsia"/>
                <w:sz w:val="24"/>
                <w:szCs w:val="24"/>
              </w:rPr>
              <w:t>641</w:t>
            </w:r>
          </w:p>
        </w:tc>
        <w:tc>
          <w:tcPr>
            <w:tcW w:w="1985" w:type="dxa"/>
            <w:vAlign w:val="center"/>
          </w:tcPr>
          <w:p w:rsidR="00081BEC" w:rsidRPr="00CF6CB5" w:rsidRDefault="00081BEC" w:rsidP="003A21E0">
            <w:pPr>
              <w:jc w:val="center"/>
              <w:rPr>
                <w:sz w:val="24"/>
                <w:szCs w:val="24"/>
              </w:rPr>
            </w:pPr>
            <w:r w:rsidRPr="00CF6CB5">
              <w:rPr>
                <w:rFonts w:hint="eastAsia"/>
                <w:sz w:val="24"/>
                <w:szCs w:val="24"/>
              </w:rPr>
              <w:t>234</w:t>
            </w:r>
            <w:r w:rsidRPr="00CF6CB5">
              <w:rPr>
                <w:sz w:val="24"/>
                <w:szCs w:val="24"/>
              </w:rPr>
              <w:t>,</w:t>
            </w:r>
            <w:r w:rsidRPr="00CF6CB5">
              <w:rPr>
                <w:rFonts w:hint="eastAsia"/>
                <w:sz w:val="24"/>
                <w:szCs w:val="24"/>
              </w:rPr>
              <w:t>590</w:t>
            </w:r>
            <w:r w:rsidRPr="00CF6CB5">
              <w:rPr>
                <w:sz w:val="24"/>
                <w:szCs w:val="24"/>
              </w:rPr>
              <w:t>,</w:t>
            </w:r>
            <w:r w:rsidRPr="00CF6CB5">
              <w:rPr>
                <w:rFonts w:hint="eastAsia"/>
                <w:sz w:val="24"/>
                <w:szCs w:val="24"/>
              </w:rPr>
              <w:t>000</w:t>
            </w:r>
          </w:p>
        </w:tc>
      </w:tr>
      <w:tr w:rsidR="00CF6CB5" w:rsidRPr="00CF6CB5" w:rsidTr="003A21E0">
        <w:tc>
          <w:tcPr>
            <w:tcW w:w="1701" w:type="dxa"/>
          </w:tcPr>
          <w:p w:rsidR="00081BEC" w:rsidRPr="00CF6CB5" w:rsidRDefault="00081BEC" w:rsidP="003A21E0">
            <w:pPr>
              <w:jc w:val="center"/>
              <w:rPr>
                <w:sz w:val="24"/>
                <w:szCs w:val="24"/>
              </w:rPr>
            </w:pPr>
            <w:proofErr w:type="gramStart"/>
            <w:r w:rsidRPr="00CF6CB5">
              <w:rPr>
                <w:sz w:val="24"/>
                <w:szCs w:val="24"/>
              </w:rPr>
              <w:t>臺</w:t>
            </w:r>
            <w:proofErr w:type="gramEnd"/>
            <w:r w:rsidRPr="00CF6CB5">
              <w:rPr>
                <w:sz w:val="24"/>
                <w:szCs w:val="24"/>
              </w:rPr>
              <w:t>中市</w:t>
            </w:r>
          </w:p>
        </w:tc>
        <w:tc>
          <w:tcPr>
            <w:tcW w:w="1985" w:type="dxa"/>
            <w:tcBorders>
              <w:bottom w:val="single" w:sz="4" w:space="0" w:color="auto"/>
            </w:tcBorders>
            <w:vAlign w:val="center"/>
          </w:tcPr>
          <w:p w:rsidR="00081BEC" w:rsidRPr="00CF6CB5" w:rsidRDefault="00081BEC" w:rsidP="003A21E0">
            <w:pPr>
              <w:jc w:val="center"/>
              <w:rPr>
                <w:sz w:val="24"/>
                <w:szCs w:val="24"/>
              </w:rPr>
            </w:pPr>
            <w:r w:rsidRPr="00CF6CB5">
              <w:rPr>
                <w:sz w:val="24"/>
                <w:szCs w:val="24"/>
              </w:rPr>
              <w:t>463,984,603</w:t>
            </w:r>
          </w:p>
        </w:tc>
        <w:tc>
          <w:tcPr>
            <w:tcW w:w="1984" w:type="dxa"/>
            <w:tcBorders>
              <w:bottom w:val="single" w:sz="4" w:space="0" w:color="auto"/>
            </w:tcBorders>
            <w:vAlign w:val="center"/>
          </w:tcPr>
          <w:p w:rsidR="00081BEC" w:rsidRPr="00CF6CB5" w:rsidRDefault="00081BEC" w:rsidP="003A21E0">
            <w:pPr>
              <w:jc w:val="center"/>
              <w:rPr>
                <w:sz w:val="24"/>
                <w:szCs w:val="24"/>
              </w:rPr>
            </w:pPr>
            <w:r w:rsidRPr="00CF6CB5">
              <w:rPr>
                <w:sz w:val="24"/>
                <w:szCs w:val="24"/>
              </w:rPr>
              <w:t>413,835,624</w:t>
            </w:r>
          </w:p>
        </w:tc>
        <w:tc>
          <w:tcPr>
            <w:tcW w:w="1985" w:type="dxa"/>
            <w:vAlign w:val="center"/>
          </w:tcPr>
          <w:p w:rsidR="00081BEC" w:rsidRPr="00CF6CB5" w:rsidRDefault="00081BEC" w:rsidP="003A21E0">
            <w:pPr>
              <w:jc w:val="center"/>
              <w:rPr>
                <w:sz w:val="24"/>
                <w:szCs w:val="24"/>
              </w:rPr>
            </w:pPr>
            <w:r w:rsidRPr="00CF6CB5">
              <w:rPr>
                <w:sz w:val="24"/>
                <w:szCs w:val="24"/>
              </w:rPr>
              <w:t>453,626,975</w:t>
            </w:r>
          </w:p>
        </w:tc>
      </w:tr>
      <w:tr w:rsidR="00CF6CB5" w:rsidRPr="00CF6CB5" w:rsidTr="003A21E0">
        <w:tc>
          <w:tcPr>
            <w:tcW w:w="1701" w:type="dxa"/>
          </w:tcPr>
          <w:p w:rsidR="00081BEC" w:rsidRPr="00CF6CB5" w:rsidRDefault="00081BEC" w:rsidP="003A21E0">
            <w:pPr>
              <w:jc w:val="center"/>
              <w:rPr>
                <w:sz w:val="24"/>
                <w:szCs w:val="24"/>
              </w:rPr>
            </w:pPr>
            <w:r w:rsidRPr="00CF6CB5">
              <w:rPr>
                <w:sz w:val="24"/>
                <w:szCs w:val="24"/>
              </w:rPr>
              <w:t>台南市</w:t>
            </w:r>
          </w:p>
        </w:tc>
        <w:tc>
          <w:tcPr>
            <w:tcW w:w="1985" w:type="dxa"/>
            <w:tcBorders>
              <w:bottom w:val="single" w:sz="4" w:space="0" w:color="auto"/>
            </w:tcBorders>
            <w:vAlign w:val="center"/>
          </w:tcPr>
          <w:p w:rsidR="00081BEC" w:rsidRPr="00CF6CB5" w:rsidRDefault="00081BEC" w:rsidP="003A21E0">
            <w:pPr>
              <w:jc w:val="center"/>
              <w:rPr>
                <w:sz w:val="24"/>
                <w:szCs w:val="24"/>
              </w:rPr>
            </w:pPr>
            <w:r w:rsidRPr="00CF6CB5">
              <w:rPr>
                <w:rFonts w:hint="eastAsia"/>
                <w:sz w:val="24"/>
                <w:szCs w:val="24"/>
              </w:rPr>
              <w:t>-</w:t>
            </w:r>
          </w:p>
        </w:tc>
        <w:tc>
          <w:tcPr>
            <w:tcW w:w="1984" w:type="dxa"/>
            <w:tcBorders>
              <w:bottom w:val="single" w:sz="4" w:space="0" w:color="auto"/>
            </w:tcBorders>
            <w:vAlign w:val="center"/>
          </w:tcPr>
          <w:p w:rsidR="00081BEC" w:rsidRPr="00CF6CB5" w:rsidRDefault="00081BEC" w:rsidP="003A21E0">
            <w:pPr>
              <w:jc w:val="center"/>
              <w:rPr>
                <w:sz w:val="24"/>
                <w:szCs w:val="24"/>
              </w:rPr>
            </w:pPr>
            <w:r w:rsidRPr="00CF6CB5">
              <w:rPr>
                <w:rFonts w:hint="eastAsia"/>
                <w:sz w:val="24"/>
                <w:szCs w:val="24"/>
              </w:rPr>
              <w:t>-</w:t>
            </w:r>
          </w:p>
        </w:tc>
        <w:tc>
          <w:tcPr>
            <w:tcW w:w="1985" w:type="dxa"/>
            <w:vAlign w:val="center"/>
          </w:tcPr>
          <w:p w:rsidR="00081BEC" w:rsidRPr="00CF6CB5" w:rsidRDefault="00081BEC" w:rsidP="003A21E0">
            <w:pPr>
              <w:jc w:val="center"/>
              <w:rPr>
                <w:sz w:val="24"/>
                <w:szCs w:val="24"/>
              </w:rPr>
            </w:pPr>
            <w:r w:rsidRPr="00CF6CB5">
              <w:rPr>
                <w:rFonts w:hint="eastAsia"/>
                <w:sz w:val="24"/>
                <w:szCs w:val="24"/>
              </w:rPr>
              <w:t>-</w:t>
            </w:r>
          </w:p>
        </w:tc>
      </w:tr>
      <w:tr w:rsidR="00CF6CB5" w:rsidRPr="00CF6CB5" w:rsidTr="003A21E0">
        <w:tc>
          <w:tcPr>
            <w:tcW w:w="1701" w:type="dxa"/>
          </w:tcPr>
          <w:p w:rsidR="00081BEC" w:rsidRPr="00CF6CB5" w:rsidRDefault="00081BEC" w:rsidP="003A21E0">
            <w:pPr>
              <w:jc w:val="center"/>
              <w:rPr>
                <w:sz w:val="24"/>
                <w:szCs w:val="24"/>
              </w:rPr>
            </w:pPr>
            <w:r w:rsidRPr="00CF6CB5">
              <w:rPr>
                <w:sz w:val="24"/>
                <w:szCs w:val="24"/>
              </w:rPr>
              <w:t>高雄市</w:t>
            </w:r>
          </w:p>
        </w:tc>
        <w:tc>
          <w:tcPr>
            <w:tcW w:w="1985" w:type="dxa"/>
            <w:vAlign w:val="center"/>
          </w:tcPr>
          <w:p w:rsidR="00081BEC" w:rsidRPr="00CF6CB5" w:rsidRDefault="00081BEC" w:rsidP="003A21E0">
            <w:pPr>
              <w:jc w:val="center"/>
              <w:rPr>
                <w:sz w:val="24"/>
                <w:szCs w:val="24"/>
              </w:rPr>
            </w:pPr>
            <w:r w:rsidRPr="00CF6CB5">
              <w:rPr>
                <w:rFonts w:hint="eastAsia"/>
                <w:sz w:val="24"/>
                <w:szCs w:val="24"/>
              </w:rPr>
              <w:t>-</w:t>
            </w:r>
          </w:p>
        </w:tc>
        <w:tc>
          <w:tcPr>
            <w:tcW w:w="1984" w:type="dxa"/>
            <w:vAlign w:val="center"/>
          </w:tcPr>
          <w:p w:rsidR="00081BEC" w:rsidRPr="00CF6CB5" w:rsidRDefault="00081BEC" w:rsidP="003A21E0">
            <w:pPr>
              <w:jc w:val="center"/>
              <w:rPr>
                <w:sz w:val="24"/>
                <w:szCs w:val="24"/>
              </w:rPr>
            </w:pPr>
            <w:r w:rsidRPr="00CF6CB5">
              <w:rPr>
                <w:rFonts w:hint="eastAsia"/>
                <w:sz w:val="24"/>
                <w:szCs w:val="24"/>
              </w:rPr>
              <w:t>-</w:t>
            </w:r>
          </w:p>
        </w:tc>
        <w:tc>
          <w:tcPr>
            <w:tcW w:w="1985" w:type="dxa"/>
            <w:vAlign w:val="center"/>
          </w:tcPr>
          <w:p w:rsidR="00081BEC" w:rsidRPr="00CF6CB5" w:rsidRDefault="00081BEC" w:rsidP="003A21E0">
            <w:pPr>
              <w:jc w:val="center"/>
              <w:rPr>
                <w:sz w:val="24"/>
                <w:szCs w:val="24"/>
              </w:rPr>
            </w:pPr>
            <w:r w:rsidRPr="00CF6CB5">
              <w:rPr>
                <w:rFonts w:hint="eastAsia"/>
                <w:sz w:val="24"/>
                <w:szCs w:val="24"/>
              </w:rPr>
              <w:t>-</w:t>
            </w:r>
          </w:p>
        </w:tc>
      </w:tr>
    </w:tbl>
    <w:p w:rsidR="00081BEC" w:rsidRPr="00CF6CB5" w:rsidRDefault="00081BEC" w:rsidP="00081BEC">
      <w:pPr>
        <w:pStyle w:val="af7"/>
      </w:pPr>
      <w:r w:rsidRPr="00CF6CB5">
        <w:rPr>
          <w:rFonts w:hint="eastAsia"/>
        </w:rPr>
        <w:lastRenderedPageBreak/>
        <w:t>資料來源：</w:t>
      </w:r>
      <w:proofErr w:type="gramStart"/>
      <w:r w:rsidRPr="00CF6CB5">
        <w:rPr>
          <w:rFonts w:hint="eastAsia"/>
        </w:rPr>
        <w:t>審計部函復</w:t>
      </w:r>
      <w:proofErr w:type="gramEnd"/>
      <w:r w:rsidRPr="00CF6CB5">
        <w:rPr>
          <w:rFonts w:hint="eastAsia"/>
        </w:rPr>
        <w:t>資料。</w:t>
      </w:r>
    </w:p>
    <w:p w:rsidR="00294D6C" w:rsidRPr="00CF6CB5" w:rsidRDefault="00294D6C" w:rsidP="00190A71">
      <w:pPr>
        <w:pStyle w:val="4"/>
      </w:pPr>
      <w:r w:rsidRPr="00CF6CB5">
        <w:rPr>
          <w:rFonts w:hint="eastAsia"/>
        </w:rPr>
        <w:t>司法院釋字第443號解釋理由書第1段</w:t>
      </w:r>
      <w:proofErr w:type="gramStart"/>
      <w:r w:rsidRPr="00CF6CB5">
        <w:rPr>
          <w:rFonts w:hint="eastAsia"/>
        </w:rPr>
        <w:t>闡</w:t>
      </w:r>
      <w:proofErr w:type="gramEnd"/>
      <w:r w:rsidRPr="00CF6CB5">
        <w:rPr>
          <w:rFonts w:hint="eastAsia"/>
        </w:rPr>
        <w:t>示：「關於給付行政措施，其受法律規範之密度，自較限制人民權益者寬鬆，倘涉及公共利益之重大事項者，應有法律或法律授權之命令為依據之必要，乃屬當然」。至於何謂「涉及公共利益之重大事項」，學者有提出：「長期對眾多之相對人為給付」及對當事人之權利義務「影響重大」2項標準</w:t>
      </w:r>
      <w:r w:rsidRPr="00CF6CB5">
        <w:rPr>
          <w:rStyle w:val="aff1"/>
        </w:rPr>
        <w:footnoteReference w:id="68"/>
      </w:r>
      <w:r w:rsidRPr="00CF6CB5">
        <w:rPr>
          <w:rFonts w:hint="eastAsia"/>
        </w:rPr>
        <w:t>。亦有認為應以制度化的需求程度（是否為經常性的給付）、所牽涉人員範圍的大小與必須支出的金錢額度，作為主要的考量因素</w:t>
      </w:r>
      <w:r w:rsidRPr="00CF6CB5">
        <w:rPr>
          <w:rStyle w:val="aff1"/>
        </w:rPr>
        <w:footnoteReference w:id="69"/>
      </w:r>
      <w:r w:rsidRPr="00CF6CB5">
        <w:rPr>
          <w:rFonts w:hint="eastAsia"/>
        </w:rPr>
        <w:t>。</w:t>
      </w:r>
      <w:proofErr w:type="gramStart"/>
      <w:r w:rsidRPr="00CF6CB5">
        <w:rPr>
          <w:rFonts w:hint="eastAsia"/>
        </w:rPr>
        <w:t>惟</w:t>
      </w:r>
      <w:proofErr w:type="gramEnd"/>
      <w:r w:rsidRPr="00CF6CB5">
        <w:rPr>
          <w:rFonts w:hint="eastAsia"/>
        </w:rPr>
        <w:t>無論以任何標準加以檢視，警勤加給繁重加成涉及每年近20億元之預算支出及2萬3千餘名員警之權益，採取授權地方政府</w:t>
      </w:r>
      <w:proofErr w:type="gramStart"/>
      <w:r w:rsidRPr="00CF6CB5">
        <w:rPr>
          <w:rFonts w:hint="eastAsia"/>
        </w:rPr>
        <w:t>訂定支給</w:t>
      </w:r>
      <w:proofErr w:type="gramEnd"/>
      <w:r w:rsidRPr="00CF6CB5">
        <w:rPr>
          <w:rFonts w:hint="eastAsia"/>
        </w:rPr>
        <w:t>標準並以自籌財源支應，顯非執行法律之細節性、技術性事項。</w:t>
      </w:r>
    </w:p>
    <w:p w:rsidR="00294D6C" w:rsidRPr="00CF6CB5" w:rsidRDefault="004B5E94" w:rsidP="00FA3461">
      <w:pPr>
        <w:pStyle w:val="4"/>
      </w:pPr>
      <w:r w:rsidRPr="00CF6CB5">
        <w:rPr>
          <w:rFonts w:hint="eastAsia"/>
        </w:rPr>
        <w:t>綜上，</w:t>
      </w:r>
      <w:r w:rsidR="00294D6C" w:rsidRPr="00CF6CB5">
        <w:rPr>
          <w:rFonts w:hint="eastAsia"/>
        </w:rPr>
        <w:t>主管機關認為警察人員各種加給給與之修正，由</w:t>
      </w:r>
      <w:r w:rsidR="00013F27" w:rsidRPr="00CF6CB5">
        <w:rPr>
          <w:rFonts w:hint="eastAsia"/>
        </w:rPr>
        <w:t>人事行政總處</w:t>
      </w:r>
      <w:r w:rsidR="00294D6C" w:rsidRPr="00CF6CB5">
        <w:rPr>
          <w:rFonts w:hint="eastAsia"/>
        </w:rPr>
        <w:t>簽報行政院</w:t>
      </w:r>
      <w:proofErr w:type="gramStart"/>
      <w:r w:rsidR="00294D6C" w:rsidRPr="00CF6CB5">
        <w:rPr>
          <w:rFonts w:hint="eastAsia"/>
        </w:rPr>
        <w:t>函頒警</w:t>
      </w:r>
      <w:proofErr w:type="gramEnd"/>
      <w:r w:rsidR="00294D6C" w:rsidRPr="00CF6CB5">
        <w:rPr>
          <w:rFonts w:hint="eastAsia"/>
        </w:rPr>
        <w:t>勤加給表即生效，無須會同</w:t>
      </w:r>
      <w:proofErr w:type="gramStart"/>
      <w:r w:rsidR="00294D6C" w:rsidRPr="00CF6CB5">
        <w:rPr>
          <w:rFonts w:hint="eastAsia"/>
        </w:rPr>
        <w:t>銓敘部或考試</w:t>
      </w:r>
      <w:proofErr w:type="gramEnd"/>
      <w:r w:rsidR="00294D6C" w:rsidRPr="00CF6CB5">
        <w:rPr>
          <w:rFonts w:hint="eastAsia"/>
        </w:rPr>
        <w:t>院意見等見解，雖有</w:t>
      </w:r>
      <w:r w:rsidR="00E86A2A" w:rsidRPr="00CF6CB5">
        <w:rPr>
          <w:rFonts w:hint="eastAsia"/>
        </w:rPr>
        <w:t>警察人員人事條例</w:t>
      </w:r>
      <w:r w:rsidR="00294D6C" w:rsidRPr="00CF6CB5">
        <w:rPr>
          <w:rFonts w:hint="eastAsia"/>
        </w:rPr>
        <w:t>第27條</w:t>
      </w:r>
      <w:r w:rsidR="00294D6C" w:rsidRPr="00CF6CB5">
        <w:rPr>
          <w:rStyle w:val="aff1"/>
        </w:rPr>
        <w:footnoteReference w:id="70"/>
      </w:r>
      <w:r w:rsidR="00294D6C" w:rsidRPr="00CF6CB5">
        <w:rPr>
          <w:rFonts w:hint="eastAsia"/>
        </w:rPr>
        <w:t>作為依據，然由我國憲政制度</w:t>
      </w:r>
      <w:proofErr w:type="gramStart"/>
      <w:r w:rsidR="00294D6C" w:rsidRPr="00CF6CB5">
        <w:rPr>
          <w:rFonts w:hint="eastAsia"/>
        </w:rPr>
        <w:t>採</w:t>
      </w:r>
      <w:proofErr w:type="gramEnd"/>
      <w:r w:rsidR="00294D6C" w:rsidRPr="00CF6CB5">
        <w:rPr>
          <w:rFonts w:hint="eastAsia"/>
        </w:rPr>
        <w:t>五權分立及制衡原則觀之，憲法增修條文第6條明定考試院為國家最高考試機關，掌理級</w:t>
      </w:r>
      <w:proofErr w:type="gramStart"/>
      <w:r w:rsidR="00294D6C" w:rsidRPr="00CF6CB5">
        <w:rPr>
          <w:rFonts w:hint="eastAsia"/>
        </w:rPr>
        <w:t>俸</w:t>
      </w:r>
      <w:proofErr w:type="gramEnd"/>
      <w:r w:rsidR="00294D6C" w:rsidRPr="00CF6CB5">
        <w:rPr>
          <w:rFonts w:hint="eastAsia"/>
        </w:rPr>
        <w:t>等之法制事項。考試院之職權雖不包括相關事項之實際執行，但及於法制之</w:t>
      </w:r>
      <w:proofErr w:type="gramStart"/>
      <w:r w:rsidR="00294D6C" w:rsidRPr="00CF6CB5">
        <w:rPr>
          <w:rFonts w:hint="eastAsia"/>
        </w:rPr>
        <w:t>研</w:t>
      </w:r>
      <w:proofErr w:type="gramEnd"/>
      <w:r w:rsidR="00294D6C" w:rsidRPr="00CF6CB5">
        <w:rPr>
          <w:rFonts w:hint="eastAsia"/>
        </w:rPr>
        <w:t>擬及監督</w:t>
      </w:r>
      <w:r w:rsidR="00294D6C" w:rsidRPr="00CF6CB5">
        <w:rPr>
          <w:rStyle w:val="aff1"/>
        </w:rPr>
        <w:footnoteReference w:id="71"/>
      </w:r>
      <w:r w:rsidR="00294D6C" w:rsidRPr="00CF6CB5">
        <w:rPr>
          <w:rFonts w:hint="eastAsia"/>
        </w:rPr>
        <w:t>。且俸給法第1條規定：「公務人員之俸給，依</w:t>
      </w:r>
      <w:proofErr w:type="gramStart"/>
      <w:r w:rsidR="00294D6C" w:rsidRPr="00CF6CB5">
        <w:rPr>
          <w:rFonts w:hint="eastAsia"/>
        </w:rPr>
        <w:t>本法行之</w:t>
      </w:r>
      <w:proofErr w:type="gramEnd"/>
      <w:r w:rsidR="00294D6C" w:rsidRPr="00CF6CB5">
        <w:rPr>
          <w:rFonts w:hint="eastAsia"/>
        </w:rPr>
        <w:t>」，並無除外規定</w:t>
      </w:r>
      <w:r w:rsidR="00294D6C" w:rsidRPr="00CF6CB5">
        <w:rPr>
          <w:rStyle w:val="aff1"/>
        </w:rPr>
        <w:footnoteReference w:id="72"/>
      </w:r>
      <w:r w:rsidR="00294D6C" w:rsidRPr="00CF6CB5">
        <w:rPr>
          <w:rFonts w:hint="eastAsia"/>
        </w:rPr>
        <w:t>。「行政院人事行政</w:t>
      </w:r>
      <w:r w:rsidR="00294D6C" w:rsidRPr="00CF6CB5">
        <w:rPr>
          <w:rFonts w:hint="eastAsia"/>
        </w:rPr>
        <w:lastRenderedPageBreak/>
        <w:t>總處組織法」第1條更規定：行政院為辦理人事行政之政策規劃、執行及發展業務，特設</w:t>
      </w:r>
      <w:r w:rsidR="00013F27" w:rsidRPr="00CF6CB5">
        <w:rPr>
          <w:rFonts w:hint="eastAsia"/>
        </w:rPr>
        <w:t>人事行政總處</w:t>
      </w:r>
      <w:r w:rsidR="00294D6C" w:rsidRPr="00CF6CB5">
        <w:rPr>
          <w:rFonts w:hint="eastAsia"/>
        </w:rPr>
        <w:t>，該總處有關考</w:t>
      </w:r>
      <w:proofErr w:type="gramStart"/>
      <w:r w:rsidR="00294D6C" w:rsidRPr="00CF6CB5">
        <w:rPr>
          <w:rFonts w:hint="eastAsia"/>
        </w:rPr>
        <w:t>銓</w:t>
      </w:r>
      <w:proofErr w:type="gramEnd"/>
      <w:r w:rsidR="00294D6C" w:rsidRPr="00CF6CB5">
        <w:rPr>
          <w:rFonts w:hint="eastAsia"/>
        </w:rPr>
        <w:t>業務，並受考試院之監督。</w:t>
      </w:r>
      <w:r w:rsidR="00190A71" w:rsidRPr="00CF6CB5">
        <w:rPr>
          <w:rFonts w:hint="eastAsia"/>
        </w:rPr>
        <w:t>而</w:t>
      </w:r>
      <w:r w:rsidR="00FA3461" w:rsidRPr="00CF6CB5">
        <w:rPr>
          <w:rFonts w:hint="eastAsia"/>
        </w:rPr>
        <w:t>「我國機關學校公教員工地域</w:t>
      </w:r>
      <w:proofErr w:type="gramStart"/>
      <w:r w:rsidR="00FA3461" w:rsidRPr="00CF6CB5">
        <w:rPr>
          <w:rFonts w:hint="eastAsia"/>
        </w:rPr>
        <w:t>加給表支給</w:t>
      </w:r>
      <w:proofErr w:type="gramEnd"/>
      <w:r w:rsidR="00FA3461" w:rsidRPr="00CF6CB5">
        <w:rPr>
          <w:rFonts w:hint="eastAsia"/>
        </w:rPr>
        <w:t>合理性」</w:t>
      </w:r>
      <w:r w:rsidR="00190A71" w:rsidRPr="00CF6CB5">
        <w:rPr>
          <w:rFonts w:hint="eastAsia"/>
        </w:rPr>
        <w:t>之研究報告</w:t>
      </w:r>
      <w:r w:rsidR="00FA3461" w:rsidRPr="00CF6CB5">
        <w:rPr>
          <w:rFonts w:hint="eastAsia"/>
        </w:rPr>
        <w:t>，</w:t>
      </w:r>
      <w:r w:rsidR="00190A71" w:rsidRPr="00CF6CB5">
        <w:rPr>
          <w:rFonts w:hint="eastAsia"/>
        </w:rPr>
        <w:t>亦指出實施本項加給在</w:t>
      </w:r>
      <w:proofErr w:type="gramStart"/>
      <w:r w:rsidR="00190A71" w:rsidRPr="00CF6CB5">
        <w:rPr>
          <w:rFonts w:hint="eastAsia"/>
        </w:rPr>
        <w:t>法律面除</w:t>
      </w:r>
      <w:r w:rsidR="00E86A2A" w:rsidRPr="00CF6CB5">
        <w:rPr>
          <w:rFonts w:hint="eastAsia"/>
        </w:rPr>
        <w:t>警察</w:t>
      </w:r>
      <w:proofErr w:type="gramEnd"/>
      <w:r w:rsidR="00E86A2A" w:rsidRPr="00CF6CB5">
        <w:rPr>
          <w:rFonts w:hint="eastAsia"/>
        </w:rPr>
        <w:t>人員人事條例</w:t>
      </w:r>
      <w:r w:rsidR="00190A71" w:rsidRPr="00CF6CB5">
        <w:rPr>
          <w:rFonts w:hint="eastAsia"/>
        </w:rPr>
        <w:t>第27條外，尚應依據俸給法第18條及待遇支給要點第7點等規定辦理。</w:t>
      </w:r>
      <w:r w:rsidR="00294D6C" w:rsidRPr="00CF6CB5">
        <w:rPr>
          <w:rFonts w:hint="eastAsia"/>
        </w:rPr>
        <w:t>從而</w:t>
      </w:r>
      <w:r w:rsidR="00013F27" w:rsidRPr="00CF6CB5">
        <w:rPr>
          <w:rFonts w:hint="eastAsia"/>
        </w:rPr>
        <w:t>人事行政總處</w:t>
      </w:r>
      <w:r w:rsidR="00294D6C" w:rsidRPr="00CF6CB5">
        <w:rPr>
          <w:rFonts w:hint="eastAsia"/>
        </w:rPr>
        <w:t>逕行排除俸給法及考試院監督權限，論據亦嫌薄弱。</w:t>
      </w:r>
    </w:p>
    <w:p w:rsidR="00373F4B" w:rsidRPr="00CF6CB5" w:rsidRDefault="00373F4B" w:rsidP="00373F4B">
      <w:pPr>
        <w:pStyle w:val="3"/>
      </w:pPr>
      <w:bookmarkStart w:id="187" w:name="_Toc510456643"/>
      <w:bookmarkStart w:id="188" w:name="_Toc510534715"/>
      <w:bookmarkStart w:id="189" w:name="_Toc511053635"/>
      <w:bookmarkStart w:id="190" w:name="_Toc511126981"/>
      <w:r w:rsidRPr="00CF6CB5">
        <w:rPr>
          <w:rFonts w:hint="eastAsia"/>
          <w:b/>
        </w:rPr>
        <w:t>小結</w:t>
      </w:r>
      <w:bookmarkEnd w:id="187"/>
      <w:bookmarkEnd w:id="188"/>
      <w:bookmarkEnd w:id="189"/>
      <w:bookmarkEnd w:id="190"/>
    </w:p>
    <w:p w:rsidR="00F04EEA" w:rsidRPr="00CF6CB5" w:rsidRDefault="00F04EEA" w:rsidP="00A15F66">
      <w:pPr>
        <w:pStyle w:val="32"/>
        <w:ind w:left="1361" w:firstLine="680"/>
      </w:pPr>
      <w:r w:rsidRPr="00CF6CB5">
        <w:rPr>
          <w:rFonts w:hint="eastAsia"/>
        </w:rPr>
        <w:t>行政院為解決北部都會區基層警力外流嚴重等問題，實施警勤加給繁重加成制度，其合理性及正當性並無疑義，實施結果確能提高員警留任意願。而該制度授權地方政府依實務需求，訂定分級標準及適用對象，並以自籌財源支應，亦能體現績效及財務責任，有其正面</w:t>
      </w:r>
      <w:r w:rsidR="00A15F66" w:rsidRPr="00CF6CB5">
        <w:rPr>
          <w:rFonts w:hint="eastAsia"/>
        </w:rPr>
        <w:t>之</w:t>
      </w:r>
      <w:r w:rsidR="00571C03" w:rsidRPr="00CF6CB5">
        <w:rPr>
          <w:rFonts w:hint="eastAsia"/>
        </w:rPr>
        <w:t>意</w:t>
      </w:r>
      <w:r w:rsidRPr="00CF6CB5">
        <w:rPr>
          <w:rFonts w:hint="eastAsia"/>
        </w:rPr>
        <w:t>涵。惟</w:t>
      </w:r>
      <w:r w:rsidR="00A15F66" w:rsidRPr="00CF6CB5">
        <w:rPr>
          <w:rFonts w:hint="eastAsia"/>
        </w:rPr>
        <w:t>該項給與</w:t>
      </w:r>
      <w:r w:rsidRPr="00CF6CB5">
        <w:rPr>
          <w:rFonts w:hint="eastAsia"/>
        </w:rPr>
        <w:t>最初之構想，乃臺北市政府基於首都地區公共安全事務備受重視、物價及生活費用偏高、社會問題及犯罪手法多樣化，執行困難度及危險性相對較高，員警之勤務重、壓力大，留任意願低落，不利於治安維護，而建議行政院於「地域加給」中增列警消人員「都會</w:t>
      </w:r>
      <w:r w:rsidR="002F3D1F" w:rsidRPr="00CF6CB5">
        <w:rPr>
          <w:rFonts w:hint="eastAsia"/>
        </w:rPr>
        <w:t>勤務</w:t>
      </w:r>
      <w:r w:rsidRPr="00CF6CB5">
        <w:rPr>
          <w:rFonts w:hint="eastAsia"/>
        </w:rPr>
        <w:t>加給」，</w:t>
      </w:r>
      <w:r w:rsidR="009479B8" w:rsidRPr="00CF6CB5">
        <w:rPr>
          <w:rFonts w:hint="eastAsia"/>
        </w:rPr>
        <w:t>且</w:t>
      </w:r>
      <w:r w:rsidR="00A15F66" w:rsidRPr="00CF6CB5">
        <w:rPr>
          <w:rFonts w:hint="eastAsia"/>
        </w:rPr>
        <w:t>內政部於103年僅核定臺北市及新北市進行試辦，</w:t>
      </w:r>
      <w:r w:rsidR="00013F27" w:rsidRPr="00CF6CB5">
        <w:rPr>
          <w:rFonts w:hint="eastAsia"/>
        </w:rPr>
        <w:t>人事行政總處</w:t>
      </w:r>
      <w:r w:rsidR="00A15F66" w:rsidRPr="00CF6CB5">
        <w:rPr>
          <w:rFonts w:hint="eastAsia"/>
        </w:rPr>
        <w:t>委託研究之結論，亦建議實施「首都勤務加給」，強調尚不宜實施「都會勤務加給」。</w:t>
      </w:r>
      <w:r w:rsidRPr="00CF6CB5">
        <w:rPr>
          <w:rFonts w:hint="eastAsia"/>
        </w:rPr>
        <w:t>現行警勤加給繁重加成制度</w:t>
      </w:r>
      <w:r w:rsidR="009479B8" w:rsidRPr="00CF6CB5">
        <w:rPr>
          <w:rFonts w:hint="eastAsia"/>
        </w:rPr>
        <w:t>經</w:t>
      </w:r>
      <w:r w:rsidRPr="00CF6CB5">
        <w:rPr>
          <w:rFonts w:hint="eastAsia"/>
        </w:rPr>
        <w:t>試辦</w:t>
      </w:r>
      <w:r w:rsidR="009479B8" w:rsidRPr="00CF6CB5">
        <w:rPr>
          <w:rFonts w:hint="eastAsia"/>
        </w:rPr>
        <w:t>後</w:t>
      </w:r>
      <w:r w:rsidR="009479B8" w:rsidRPr="00CF6CB5">
        <w:rPr>
          <w:rFonts w:hint="eastAsia"/>
        </w:rPr>
        <w:lastRenderedPageBreak/>
        <w:t>決定停辦，卻又立即擴大</w:t>
      </w:r>
      <w:r w:rsidRPr="00CF6CB5">
        <w:rPr>
          <w:rFonts w:hint="eastAsia"/>
        </w:rPr>
        <w:t>實施，</w:t>
      </w:r>
      <w:r w:rsidR="009479B8" w:rsidRPr="00CF6CB5">
        <w:rPr>
          <w:rFonts w:hint="eastAsia"/>
        </w:rPr>
        <w:t>其</w:t>
      </w:r>
      <w:r w:rsidRPr="00CF6CB5">
        <w:rPr>
          <w:rFonts w:hint="eastAsia"/>
        </w:rPr>
        <w:t>決策過程轉折極大</w:t>
      </w:r>
      <w:r w:rsidR="00A15F66" w:rsidRPr="00CF6CB5">
        <w:rPr>
          <w:rFonts w:hint="eastAsia"/>
        </w:rPr>
        <w:t>。行政院或因顧慮造成「南北對立」與「城鄉對立」等負面效應</w:t>
      </w:r>
      <w:r w:rsidR="009479B8" w:rsidRPr="00CF6CB5">
        <w:rPr>
          <w:rFonts w:hint="eastAsia"/>
        </w:rPr>
        <w:t>，摒棄「避免實質薪資較低」之加給基本觀念</w:t>
      </w:r>
      <w:r w:rsidR="00A15F66" w:rsidRPr="00CF6CB5">
        <w:rPr>
          <w:rFonts w:hint="eastAsia"/>
        </w:rPr>
        <w:t>，</w:t>
      </w:r>
      <w:r w:rsidR="009479B8" w:rsidRPr="00CF6CB5">
        <w:rPr>
          <w:rFonts w:hint="eastAsia"/>
        </w:rPr>
        <w:t>將</w:t>
      </w:r>
      <w:r w:rsidRPr="00CF6CB5">
        <w:rPr>
          <w:rFonts w:hint="eastAsia"/>
        </w:rPr>
        <w:t>實施對象由首都（北部都會區）轉變為六都全面實施，</w:t>
      </w:r>
      <w:r w:rsidR="009479B8" w:rsidRPr="00CF6CB5">
        <w:rPr>
          <w:rFonts w:hint="eastAsia"/>
        </w:rPr>
        <w:t>惟</w:t>
      </w:r>
      <w:r w:rsidR="00A15F66" w:rsidRPr="00CF6CB5">
        <w:rPr>
          <w:rFonts w:hint="eastAsia"/>
        </w:rPr>
        <w:t>單純以勤務量之多寡為支給之唯一考量，</w:t>
      </w:r>
      <w:r w:rsidR="009479B8" w:rsidRPr="00CF6CB5">
        <w:rPr>
          <w:rFonts w:hint="eastAsia"/>
        </w:rPr>
        <w:t>將</w:t>
      </w:r>
      <w:r w:rsidR="00A15F66" w:rsidRPr="00CF6CB5">
        <w:rPr>
          <w:rFonts w:hint="eastAsia"/>
        </w:rPr>
        <w:t>不易達成解決首善之區員警年資偏低之政策目</w:t>
      </w:r>
      <w:r w:rsidR="009479B8" w:rsidRPr="00CF6CB5">
        <w:rPr>
          <w:rFonts w:hint="eastAsia"/>
        </w:rPr>
        <w:t>標</w:t>
      </w:r>
      <w:r w:rsidR="00A15F66" w:rsidRPr="00CF6CB5">
        <w:rPr>
          <w:rFonts w:hint="eastAsia"/>
        </w:rPr>
        <w:t>。</w:t>
      </w:r>
      <w:r w:rsidRPr="00CF6CB5">
        <w:rPr>
          <w:rFonts w:hint="eastAsia"/>
        </w:rPr>
        <w:t>且因各地方政府需自籌財源，實施情形不一</w:t>
      </w:r>
      <w:r w:rsidR="00A15F66" w:rsidRPr="00CF6CB5">
        <w:rPr>
          <w:rFonts w:hint="eastAsia"/>
        </w:rPr>
        <w:t>，</w:t>
      </w:r>
      <w:r w:rsidR="009479B8" w:rsidRPr="00CF6CB5">
        <w:rPr>
          <w:rFonts w:hint="eastAsia"/>
        </w:rPr>
        <w:t>亦</w:t>
      </w:r>
      <w:r w:rsidR="00A15F66" w:rsidRPr="00CF6CB5">
        <w:rPr>
          <w:rFonts w:hint="eastAsia"/>
        </w:rPr>
        <w:t>將給予外界南北警察同工不同酬之感受。</w:t>
      </w:r>
      <w:r w:rsidR="009479B8" w:rsidRPr="00CF6CB5">
        <w:rPr>
          <w:rFonts w:hint="eastAsia"/>
        </w:rPr>
        <w:t>且</w:t>
      </w:r>
      <w:r w:rsidR="00A15F66" w:rsidRPr="00CF6CB5">
        <w:rPr>
          <w:rFonts w:hint="eastAsia"/>
        </w:rPr>
        <w:t>該給與制度是否符合地方制度法相關規定</w:t>
      </w:r>
      <w:r w:rsidR="009479B8" w:rsidRPr="00CF6CB5">
        <w:rPr>
          <w:rFonts w:hint="eastAsia"/>
        </w:rPr>
        <w:t>？</w:t>
      </w:r>
      <w:r w:rsidR="00A15F66" w:rsidRPr="00CF6CB5">
        <w:rPr>
          <w:rFonts w:hint="eastAsia"/>
        </w:rPr>
        <w:t>是否代表政策決定開放各級政府採取彈性</w:t>
      </w:r>
      <w:proofErr w:type="gramStart"/>
      <w:r w:rsidR="00A15F66" w:rsidRPr="00CF6CB5">
        <w:rPr>
          <w:rFonts w:hint="eastAsia"/>
        </w:rPr>
        <w:t>薪資競才</w:t>
      </w:r>
      <w:proofErr w:type="gramEnd"/>
      <w:r w:rsidR="009479B8" w:rsidRPr="00CF6CB5">
        <w:rPr>
          <w:rFonts w:hint="eastAsia"/>
        </w:rPr>
        <w:t>？</w:t>
      </w:r>
      <w:r w:rsidR="00A15F66" w:rsidRPr="00CF6CB5">
        <w:rPr>
          <w:rFonts w:hint="eastAsia"/>
        </w:rPr>
        <w:t>是否將造成部分地方政府因財源不足而人才流失</w:t>
      </w:r>
      <w:r w:rsidR="009479B8" w:rsidRPr="00CF6CB5">
        <w:rPr>
          <w:rFonts w:hint="eastAsia"/>
        </w:rPr>
        <w:t>？…</w:t>
      </w:r>
      <w:proofErr w:type="gramStart"/>
      <w:r w:rsidR="009479B8" w:rsidRPr="00CF6CB5">
        <w:rPr>
          <w:rFonts w:hint="eastAsia"/>
        </w:rPr>
        <w:t>…</w:t>
      </w:r>
      <w:proofErr w:type="gramEnd"/>
      <w:r w:rsidR="00A15F66" w:rsidRPr="00CF6CB5">
        <w:rPr>
          <w:rFonts w:hint="eastAsia"/>
        </w:rPr>
        <w:t>等情，行政院允應從國家整體發展之長遠角度深入思考。</w:t>
      </w:r>
      <w:r w:rsidR="009479B8" w:rsidRPr="00CF6CB5">
        <w:rPr>
          <w:rFonts w:hint="eastAsia"/>
        </w:rPr>
        <w:t>另在實務運作層面，部分</w:t>
      </w:r>
      <w:r w:rsidR="00A15F66" w:rsidRPr="00CF6CB5">
        <w:rPr>
          <w:rFonts w:hint="eastAsia"/>
        </w:rPr>
        <w:t>直轄市政府警察局未確實依所屬單位勤務繁重程度分級支給，未結合民眾對治安感受之比較，設計合理之差別性待遇，亦有待內政部要求所屬進行滾動式評估及調整。從法制層面檢討，</w:t>
      </w:r>
      <w:r w:rsidRPr="00CF6CB5">
        <w:rPr>
          <w:rFonts w:hint="eastAsia"/>
        </w:rPr>
        <w:t>該項涉及俸給法制重大變革，</w:t>
      </w:r>
      <w:r w:rsidR="00A15F66" w:rsidRPr="00CF6CB5">
        <w:rPr>
          <w:rFonts w:hint="eastAsia"/>
        </w:rPr>
        <w:t>具有持續性、爭議性及對政府整體財政之影響深遠，行政院於決策前</w:t>
      </w:r>
      <w:r w:rsidRPr="00CF6CB5">
        <w:rPr>
          <w:rFonts w:hint="eastAsia"/>
        </w:rPr>
        <w:t>未適度尊重立法院及考試院之職權，自行於警勤加給表增訂備註說明，</w:t>
      </w:r>
      <w:proofErr w:type="gramStart"/>
      <w:r w:rsidRPr="00CF6CB5">
        <w:rPr>
          <w:rFonts w:hint="eastAsia"/>
        </w:rPr>
        <w:t>以函頒之</w:t>
      </w:r>
      <w:proofErr w:type="gramEnd"/>
      <w:r w:rsidRPr="00CF6CB5">
        <w:rPr>
          <w:rFonts w:hint="eastAsia"/>
        </w:rPr>
        <w:t>方式行之</w:t>
      </w:r>
      <w:r w:rsidR="009479B8" w:rsidRPr="00CF6CB5">
        <w:rPr>
          <w:rFonts w:hint="eastAsia"/>
        </w:rPr>
        <w:t>，尚有</w:t>
      </w:r>
      <w:proofErr w:type="gramStart"/>
      <w:r w:rsidR="009479B8" w:rsidRPr="00CF6CB5">
        <w:rPr>
          <w:rFonts w:hint="eastAsia"/>
        </w:rPr>
        <w:t>未洽</w:t>
      </w:r>
      <w:r w:rsidRPr="00CF6CB5">
        <w:rPr>
          <w:rFonts w:hint="eastAsia"/>
        </w:rPr>
        <w:t>，</w:t>
      </w:r>
      <w:r w:rsidR="009479B8" w:rsidRPr="00CF6CB5">
        <w:rPr>
          <w:rFonts w:hint="eastAsia"/>
        </w:rPr>
        <w:t>均應</w:t>
      </w:r>
      <w:proofErr w:type="gramEnd"/>
      <w:r w:rsidRPr="00CF6CB5">
        <w:rPr>
          <w:rFonts w:hint="eastAsia"/>
        </w:rPr>
        <w:t>檢討改進。</w:t>
      </w:r>
    </w:p>
    <w:p w:rsidR="00846BB6" w:rsidRPr="00CF6CB5" w:rsidRDefault="00846BB6" w:rsidP="00846BB6">
      <w:pPr>
        <w:pStyle w:val="2"/>
        <w:kinsoku w:val="0"/>
        <w:overflowPunct/>
        <w:autoSpaceDE/>
        <w:autoSpaceDN/>
        <w:ind w:left="1020" w:hanging="680"/>
        <w:rPr>
          <w:rFonts w:hAnsi="標楷體"/>
          <w:b/>
        </w:rPr>
      </w:pPr>
      <w:bookmarkStart w:id="191" w:name="_Toc511126982"/>
      <w:r w:rsidRPr="00CF6CB5">
        <w:rPr>
          <w:rFonts w:hAnsi="標楷體" w:hint="eastAsia"/>
          <w:b/>
        </w:rPr>
        <w:t>行政院自</w:t>
      </w:r>
      <w:proofErr w:type="gramStart"/>
      <w:r w:rsidRPr="00CF6CB5">
        <w:rPr>
          <w:rFonts w:hAnsi="標楷體" w:hint="eastAsia"/>
          <w:b/>
        </w:rPr>
        <w:t>101年組改迄今</w:t>
      </w:r>
      <w:proofErr w:type="gramEnd"/>
      <w:r w:rsidRPr="00CF6CB5">
        <w:rPr>
          <w:rFonts w:ascii="新細明體" w:eastAsia="新細明體" w:hAnsi="新細明體" w:hint="eastAsia"/>
          <w:b/>
        </w:rPr>
        <w:t>，</w:t>
      </w:r>
      <w:r w:rsidRPr="00CF6CB5">
        <w:rPr>
          <w:rFonts w:hAnsi="標楷體" w:hint="eastAsia"/>
          <w:b/>
        </w:rPr>
        <w:t>所屬一、二級機關常設性任務編組之主管人員支領主管職務加給，係由行政院與考試院兩院協商以專案解釋為之，</w:t>
      </w:r>
      <w:proofErr w:type="gramStart"/>
      <w:r w:rsidRPr="00CF6CB5">
        <w:rPr>
          <w:rFonts w:hAnsi="標楷體" w:hint="eastAsia"/>
          <w:b/>
        </w:rPr>
        <w:t>組改底</w:t>
      </w:r>
      <w:proofErr w:type="gramEnd"/>
      <w:r w:rsidRPr="00CF6CB5">
        <w:rPr>
          <w:rFonts w:hAnsi="標楷體" w:hint="eastAsia"/>
          <w:b/>
        </w:rPr>
        <w:t>定後，常設性任務編組已支領主管職務加給有案之人員得否繼續支給之問題仍在，又各機關倘比照援引增置常設性任務編組要求支領主管職務加給，有無嚴謹控管機制</w:t>
      </w:r>
      <w:r w:rsidRPr="00CF6CB5">
        <w:rPr>
          <w:rFonts w:ascii="新細明體" w:eastAsia="新細明體" w:hAnsi="新細明體" w:hint="eastAsia"/>
          <w:b/>
        </w:rPr>
        <w:t>，</w:t>
      </w:r>
      <w:r w:rsidRPr="00CF6CB5">
        <w:rPr>
          <w:rFonts w:hAnsi="標楷體" w:hint="eastAsia"/>
          <w:b/>
        </w:rPr>
        <w:t>亦有疑義，行政院允應積極會商考試院，從法制面</w:t>
      </w:r>
      <w:proofErr w:type="gramStart"/>
      <w:r w:rsidRPr="00CF6CB5">
        <w:rPr>
          <w:rFonts w:hAnsi="標楷體" w:hint="eastAsia"/>
          <w:b/>
        </w:rPr>
        <w:t>研</w:t>
      </w:r>
      <w:proofErr w:type="gramEnd"/>
      <w:r w:rsidRPr="00CF6CB5">
        <w:rPr>
          <w:rFonts w:hAnsi="標楷體" w:hint="eastAsia"/>
          <w:b/>
        </w:rPr>
        <w:t>議解決，使</w:t>
      </w:r>
      <w:proofErr w:type="gramStart"/>
      <w:r w:rsidRPr="00CF6CB5">
        <w:rPr>
          <w:rFonts w:hAnsi="標楷體" w:hint="eastAsia"/>
          <w:b/>
        </w:rPr>
        <w:t>實際負</w:t>
      </w:r>
      <w:proofErr w:type="gramEnd"/>
      <w:r w:rsidRPr="00CF6CB5">
        <w:rPr>
          <w:rFonts w:hAnsi="標楷體" w:hint="eastAsia"/>
          <w:b/>
        </w:rPr>
        <w:t>領導責任之主管人員依法支領主管職務加給，以期符合同工同酬之精神，並避免</w:t>
      </w:r>
      <w:proofErr w:type="gramStart"/>
      <w:r w:rsidRPr="00CF6CB5">
        <w:rPr>
          <w:rFonts w:hAnsi="標楷體" w:hint="eastAsia"/>
          <w:b/>
        </w:rPr>
        <w:t>流</w:t>
      </w:r>
      <w:r w:rsidRPr="00CF6CB5">
        <w:rPr>
          <w:rFonts w:hAnsi="標楷體" w:hint="eastAsia"/>
          <w:b/>
        </w:rPr>
        <w:lastRenderedPageBreak/>
        <w:t>於寬濫</w:t>
      </w:r>
      <w:proofErr w:type="gramEnd"/>
      <w:r w:rsidRPr="00CF6CB5">
        <w:rPr>
          <w:rFonts w:hAnsi="標楷體" w:hint="eastAsia"/>
          <w:b/>
        </w:rPr>
        <w:t>。</w:t>
      </w:r>
      <w:bookmarkEnd w:id="191"/>
    </w:p>
    <w:p w:rsidR="00846BB6" w:rsidRPr="00CF6CB5" w:rsidRDefault="00846BB6" w:rsidP="00081BEC">
      <w:pPr>
        <w:pStyle w:val="3"/>
        <w:rPr>
          <w:rFonts w:hAnsi="標楷體"/>
          <w:b/>
        </w:rPr>
      </w:pPr>
      <w:bookmarkStart w:id="192" w:name="_Toc510456645"/>
      <w:bookmarkStart w:id="193" w:name="_Toc510534717"/>
      <w:bookmarkStart w:id="194" w:name="_Toc511053637"/>
      <w:bookmarkStart w:id="195" w:name="_Toc511126983"/>
      <w:r w:rsidRPr="00CF6CB5">
        <w:rPr>
          <w:rFonts w:hint="eastAsia"/>
          <w:b/>
        </w:rPr>
        <w:t>行政院所屬一、二級機關常設性任務編組之主管</w:t>
      </w:r>
      <w:proofErr w:type="gramStart"/>
      <w:r w:rsidRPr="00CF6CB5">
        <w:rPr>
          <w:rFonts w:hint="eastAsia"/>
          <w:b/>
        </w:rPr>
        <w:t>職務僅明定</w:t>
      </w:r>
      <w:proofErr w:type="gramEnd"/>
      <w:r w:rsidRPr="00CF6CB5">
        <w:rPr>
          <w:rFonts w:hint="eastAsia"/>
          <w:b/>
        </w:rPr>
        <w:t>於處</w:t>
      </w:r>
      <w:proofErr w:type="gramStart"/>
      <w:r w:rsidRPr="00CF6CB5">
        <w:rPr>
          <w:rFonts w:hint="eastAsia"/>
          <w:b/>
        </w:rPr>
        <w:t>務</w:t>
      </w:r>
      <w:proofErr w:type="gramEnd"/>
      <w:r w:rsidRPr="00CF6CB5">
        <w:rPr>
          <w:rFonts w:hint="eastAsia"/>
          <w:b/>
        </w:rPr>
        <w:t>規程</w:t>
      </w:r>
      <w:r w:rsidRPr="00CF6CB5">
        <w:rPr>
          <w:rFonts w:ascii="新細明體" w:eastAsia="新細明體" w:hAnsi="新細明體" w:hint="eastAsia"/>
          <w:b/>
        </w:rPr>
        <w:t>，</w:t>
      </w:r>
      <w:r w:rsidRPr="00CF6CB5">
        <w:rPr>
          <w:rFonts w:hint="eastAsia"/>
          <w:b/>
        </w:rPr>
        <w:t>相關職稱並未明定於組織法</w:t>
      </w:r>
      <w:r w:rsidRPr="00CF6CB5">
        <w:rPr>
          <w:rFonts w:hAnsi="標楷體" w:hint="eastAsia"/>
          <w:b/>
        </w:rPr>
        <w:t>規所定之編制表，依</w:t>
      </w:r>
      <w:proofErr w:type="gramStart"/>
      <w:r w:rsidRPr="00CF6CB5">
        <w:rPr>
          <w:rFonts w:hAnsi="標楷體" w:hint="eastAsia"/>
          <w:b/>
        </w:rPr>
        <w:t>銓敘部函釋</w:t>
      </w:r>
      <w:proofErr w:type="gramEnd"/>
      <w:r w:rsidRPr="00CF6CB5">
        <w:rPr>
          <w:rFonts w:hAnsi="標楷體" w:hint="eastAsia"/>
          <w:b/>
        </w:rPr>
        <w:t>，尚非加給給與辦法第9條第1項之適用範圍：</w:t>
      </w:r>
      <w:bookmarkEnd w:id="192"/>
      <w:bookmarkEnd w:id="193"/>
      <w:bookmarkEnd w:id="194"/>
      <w:bookmarkEnd w:id="195"/>
    </w:p>
    <w:p w:rsidR="00846BB6" w:rsidRPr="00CF6CB5" w:rsidRDefault="00846BB6" w:rsidP="00081BEC">
      <w:pPr>
        <w:pStyle w:val="4"/>
      </w:pPr>
      <w:r w:rsidRPr="00CF6CB5">
        <w:rPr>
          <w:rFonts w:hint="eastAsia"/>
        </w:rPr>
        <w:t>依加給給與辦法第9條第1、2項規定：「各機關組織法規規定並</w:t>
      </w:r>
      <w:proofErr w:type="gramStart"/>
      <w:r w:rsidRPr="00CF6CB5">
        <w:rPr>
          <w:rFonts w:hint="eastAsia"/>
        </w:rPr>
        <w:t>實際負</w:t>
      </w:r>
      <w:proofErr w:type="gramEnd"/>
      <w:r w:rsidRPr="00CF6CB5">
        <w:rPr>
          <w:rFonts w:hint="eastAsia"/>
        </w:rPr>
        <w:t>領導責任之主管人員，或組織法規以外之其他法律規定應置專責承辦業務人員並授權訂定組織規程，其擔任組織規程內所列主管職務，並</w:t>
      </w:r>
      <w:proofErr w:type="gramStart"/>
      <w:r w:rsidRPr="00CF6CB5">
        <w:rPr>
          <w:rFonts w:hint="eastAsia"/>
        </w:rPr>
        <w:t>實際負</w:t>
      </w:r>
      <w:proofErr w:type="gramEnd"/>
      <w:r w:rsidRPr="00CF6CB5">
        <w:rPr>
          <w:rFonts w:hint="eastAsia"/>
        </w:rPr>
        <w:t>領導責任者，得支領主管職務加給。各機關組織法規未規定，由各機關首長命令指派或權責機關核准成立任務編組之主管職務，不得支領主管職務加給。但在本辦法發布施行前，經行政院核定支給有案之職務，不在此限。」同法第10條規定：「經權責機關依法令規定核派兼任機關組織法規規定之主管職務者，其主管職務加給在不重領、不兼領之原則下，依下列規定辦理：…</w:t>
      </w:r>
      <w:proofErr w:type="gramStart"/>
      <w:r w:rsidRPr="00CF6CB5">
        <w:rPr>
          <w:rFonts w:hint="eastAsia"/>
        </w:rPr>
        <w:t>…</w:t>
      </w:r>
      <w:proofErr w:type="gramEnd"/>
      <w:r w:rsidRPr="00CF6CB5">
        <w:rPr>
          <w:rFonts w:hint="eastAsia"/>
        </w:rPr>
        <w:t>」。依上開規定，各機關公務人員擔(兼)任機關組織法規規定之主管職務，並</w:t>
      </w:r>
      <w:proofErr w:type="gramStart"/>
      <w:r w:rsidRPr="00CF6CB5">
        <w:rPr>
          <w:rFonts w:hint="eastAsia"/>
        </w:rPr>
        <w:t>實際負</w:t>
      </w:r>
      <w:proofErr w:type="gramEnd"/>
      <w:r w:rsidRPr="00CF6CB5">
        <w:rPr>
          <w:rFonts w:hint="eastAsia"/>
        </w:rPr>
        <w:t>領導責任，以及於加給給與辦法發布施行前經行政院核定支給主管職務加給有案之職務，得支領主管職務加給</w:t>
      </w:r>
      <w:r w:rsidRPr="00CF6CB5">
        <w:rPr>
          <w:rFonts w:ascii="新細明體" w:eastAsia="新細明體" w:hAnsi="新細明體" w:hint="eastAsia"/>
        </w:rPr>
        <w:t>，</w:t>
      </w:r>
      <w:r w:rsidRPr="00CF6CB5">
        <w:rPr>
          <w:rFonts w:hint="eastAsia"/>
        </w:rPr>
        <w:t>惟因加給給與辦法並未就主管職務如何認定予以規範，為避免主管職務加給之支給過於寬濫，銓敘部歷來就主管職務之認定，除依各機關組織法規規定外，係依該部95年12月25日部</w:t>
      </w:r>
      <w:proofErr w:type="gramStart"/>
      <w:r w:rsidRPr="00CF6CB5">
        <w:rPr>
          <w:rFonts w:hint="eastAsia"/>
        </w:rPr>
        <w:t>銓</w:t>
      </w:r>
      <w:proofErr w:type="gramEnd"/>
      <w:r w:rsidRPr="00CF6CB5">
        <w:rPr>
          <w:rFonts w:hint="eastAsia"/>
        </w:rPr>
        <w:t>二字第0952733682號書函略</w:t>
      </w:r>
      <w:proofErr w:type="gramStart"/>
      <w:r w:rsidRPr="00CF6CB5">
        <w:rPr>
          <w:rFonts w:hint="eastAsia"/>
        </w:rPr>
        <w:t>以</w:t>
      </w:r>
      <w:proofErr w:type="gramEnd"/>
      <w:r w:rsidRPr="00CF6CB5">
        <w:rPr>
          <w:rFonts w:hint="eastAsia"/>
        </w:rPr>
        <w:t>，依組織法規規定所定之編制表，係屬該組織法規之附表，自應屬組織法規之一部分，</w:t>
      </w:r>
      <w:proofErr w:type="gramStart"/>
      <w:r w:rsidRPr="00CF6CB5">
        <w:rPr>
          <w:rFonts w:hint="eastAsia"/>
        </w:rPr>
        <w:t>須任編制</w:t>
      </w:r>
      <w:proofErr w:type="gramEnd"/>
      <w:r w:rsidRPr="00CF6CB5">
        <w:rPr>
          <w:rFonts w:hint="eastAsia"/>
        </w:rPr>
        <w:t>表明列之專(兼)任主管職務者，始得依加給給與辦法第9條、第10條規定支領主管職務加給。</w:t>
      </w:r>
    </w:p>
    <w:p w:rsidR="00846BB6" w:rsidRPr="00CF6CB5" w:rsidRDefault="00846BB6" w:rsidP="00081BEC">
      <w:pPr>
        <w:pStyle w:val="4"/>
      </w:pPr>
      <w:r w:rsidRPr="00CF6CB5">
        <w:rPr>
          <w:rFonts w:hint="eastAsia"/>
        </w:rPr>
        <w:lastRenderedPageBreak/>
        <w:t>行政院及所屬機關自101年起，陸續分階段進行組織調整，依中央行政機關組織基準法第30條至第34條規定，中央各機關內部之業務單位及輔助單位，其規模及建制標準須受中央行政機關組織基準法之限制，致行政院一、二級機關於配合行政院組織調整時，得設置之內部單位數無法符合其業務需要，而須另設置常設性任務編組以為因應，</w:t>
      </w:r>
      <w:proofErr w:type="gramStart"/>
      <w:r w:rsidRPr="00CF6CB5">
        <w:rPr>
          <w:rFonts w:hint="eastAsia"/>
        </w:rPr>
        <w:t>爰</w:t>
      </w:r>
      <w:proofErr w:type="gramEnd"/>
      <w:r w:rsidRPr="00CF6CB5">
        <w:rPr>
          <w:rFonts w:hint="eastAsia"/>
        </w:rPr>
        <w:t>國家發展委員會訂定「常設性任務編組得納入處</w:t>
      </w:r>
      <w:proofErr w:type="gramStart"/>
      <w:r w:rsidRPr="00CF6CB5">
        <w:rPr>
          <w:rFonts w:hint="eastAsia"/>
        </w:rPr>
        <w:t>務</w:t>
      </w:r>
      <w:proofErr w:type="gramEnd"/>
      <w:r w:rsidRPr="00CF6CB5">
        <w:rPr>
          <w:rFonts w:hint="eastAsia"/>
        </w:rPr>
        <w:t>規程之設置要件及相關條文規範」，</w:t>
      </w:r>
      <w:proofErr w:type="gramStart"/>
      <w:r w:rsidRPr="00CF6CB5">
        <w:rPr>
          <w:rFonts w:hint="eastAsia"/>
        </w:rPr>
        <w:t>俾</w:t>
      </w:r>
      <w:proofErr w:type="gramEnd"/>
      <w:r w:rsidRPr="00CF6CB5">
        <w:rPr>
          <w:rFonts w:hint="eastAsia"/>
        </w:rPr>
        <w:t>使行政院一、二級機關得於其處</w:t>
      </w:r>
      <w:proofErr w:type="gramStart"/>
      <w:r w:rsidRPr="00CF6CB5">
        <w:rPr>
          <w:rFonts w:hint="eastAsia"/>
        </w:rPr>
        <w:t>務</w:t>
      </w:r>
      <w:proofErr w:type="gramEnd"/>
      <w:r w:rsidRPr="00CF6CB5">
        <w:rPr>
          <w:rFonts w:hint="eastAsia"/>
        </w:rPr>
        <w:t>規程中設置常設性任務編組，以應業務實需，並使組織調整作業順利進行。</w:t>
      </w:r>
    </w:p>
    <w:p w:rsidR="00846BB6" w:rsidRPr="00CF6CB5" w:rsidRDefault="00846BB6" w:rsidP="00081BEC">
      <w:pPr>
        <w:pStyle w:val="4"/>
      </w:pPr>
      <w:r w:rsidRPr="00CF6CB5">
        <w:rPr>
          <w:rFonts w:hint="eastAsia"/>
        </w:rPr>
        <w:t>常設性任務編組之主管職務雖明定於行政院一、二級機關處</w:t>
      </w:r>
      <w:proofErr w:type="gramStart"/>
      <w:r w:rsidRPr="00CF6CB5">
        <w:rPr>
          <w:rFonts w:hint="eastAsia"/>
        </w:rPr>
        <w:t>務</w:t>
      </w:r>
      <w:proofErr w:type="gramEnd"/>
      <w:r w:rsidRPr="00CF6CB5">
        <w:rPr>
          <w:rFonts w:hint="eastAsia"/>
        </w:rPr>
        <w:t>規程中</w:t>
      </w:r>
      <w:r w:rsidRPr="00CF6CB5">
        <w:rPr>
          <w:rFonts w:ascii="新細明體" w:eastAsia="新細明體" w:hAnsi="新細明體" w:hint="eastAsia"/>
        </w:rPr>
        <w:t>，</w:t>
      </w:r>
      <w:r w:rsidRPr="00CF6CB5">
        <w:rPr>
          <w:rFonts w:hint="eastAsia"/>
        </w:rPr>
        <w:t>惟其相關職稱並未明定於編制表，此與銓敘部歷來認定主管職務之原則不同，該部</w:t>
      </w:r>
      <w:proofErr w:type="gramStart"/>
      <w:r w:rsidRPr="00CF6CB5">
        <w:rPr>
          <w:rFonts w:hint="eastAsia"/>
        </w:rPr>
        <w:t>爰</w:t>
      </w:r>
      <w:proofErr w:type="gramEnd"/>
      <w:r w:rsidRPr="00CF6CB5">
        <w:rPr>
          <w:rFonts w:hint="eastAsia"/>
        </w:rPr>
        <w:t>認</w:t>
      </w:r>
      <w:r w:rsidRPr="00CF6CB5">
        <w:rPr>
          <w:rFonts w:ascii="新細明體" w:eastAsia="新細明體" w:hAnsi="新細明體" w:hint="eastAsia"/>
        </w:rPr>
        <w:t>，</w:t>
      </w:r>
      <w:r w:rsidRPr="00CF6CB5">
        <w:rPr>
          <w:rFonts w:hint="eastAsia"/>
        </w:rPr>
        <w:t>常設性任務編組</w:t>
      </w:r>
      <w:proofErr w:type="gramStart"/>
      <w:r w:rsidRPr="00CF6CB5">
        <w:rPr>
          <w:rFonts w:hint="eastAsia"/>
        </w:rPr>
        <w:t>實際負</w:t>
      </w:r>
      <w:proofErr w:type="gramEnd"/>
      <w:r w:rsidRPr="00CF6CB5">
        <w:rPr>
          <w:rFonts w:hint="eastAsia"/>
        </w:rPr>
        <w:t>領導責任之主管人員是否符合加給給與辦法第9條第1項規定得支領主管職務加給之條件，存有疑義。</w:t>
      </w:r>
    </w:p>
    <w:p w:rsidR="00846BB6" w:rsidRPr="00CF6CB5" w:rsidRDefault="00846BB6" w:rsidP="00846BB6">
      <w:pPr>
        <w:pStyle w:val="3"/>
        <w:kinsoku w:val="0"/>
        <w:overflowPunct/>
        <w:autoSpaceDE/>
        <w:autoSpaceDN/>
        <w:rPr>
          <w:rFonts w:hAnsi="標楷體"/>
          <w:b/>
        </w:rPr>
      </w:pPr>
      <w:bookmarkStart w:id="196" w:name="_Toc510456646"/>
      <w:bookmarkStart w:id="197" w:name="_Toc510534718"/>
      <w:bookmarkStart w:id="198" w:name="_Toc511053638"/>
      <w:bookmarkStart w:id="199" w:name="_Toc511126984"/>
      <w:r w:rsidRPr="00CF6CB5">
        <w:rPr>
          <w:rFonts w:hAnsi="標楷體" w:hint="eastAsia"/>
          <w:b/>
        </w:rPr>
        <w:t>行政院組織改造常設性任務編組為數</w:t>
      </w:r>
      <w:proofErr w:type="gramStart"/>
      <w:r w:rsidRPr="00CF6CB5">
        <w:rPr>
          <w:rFonts w:hAnsi="標楷體" w:hint="eastAsia"/>
          <w:b/>
        </w:rPr>
        <w:t>眾多，諸多實際負</w:t>
      </w:r>
      <w:proofErr w:type="gramEnd"/>
      <w:r w:rsidRPr="00CF6CB5">
        <w:rPr>
          <w:rFonts w:hAnsi="標楷體" w:hint="eastAsia"/>
          <w:b/>
        </w:rPr>
        <w:t>領導責任之主管人員</w:t>
      </w:r>
      <w:r w:rsidRPr="00CF6CB5">
        <w:rPr>
          <w:rFonts w:ascii="新細明體" w:eastAsia="新細明體" w:hAnsi="新細明體" w:hint="eastAsia"/>
          <w:b/>
        </w:rPr>
        <w:t>，</w:t>
      </w:r>
      <w:r w:rsidRPr="00CF6CB5">
        <w:rPr>
          <w:rFonts w:hAnsi="標楷體" w:hint="eastAsia"/>
          <w:b/>
        </w:rPr>
        <w:t>未能依加給給與辦法規定而係透過專案解釋方式支領主管職務加給，長期處於妾身未明之窘境</w:t>
      </w:r>
      <w:r w:rsidRPr="00CF6CB5">
        <w:rPr>
          <w:rFonts w:ascii="新細明體" w:eastAsia="新細明體" w:hAnsi="新細明體" w:hint="eastAsia"/>
          <w:b/>
        </w:rPr>
        <w:t>，</w:t>
      </w:r>
      <w:proofErr w:type="gramStart"/>
      <w:r w:rsidRPr="00CF6CB5">
        <w:rPr>
          <w:rFonts w:hAnsi="標楷體" w:hint="eastAsia"/>
          <w:b/>
        </w:rPr>
        <w:t>允非妥</w:t>
      </w:r>
      <w:proofErr w:type="gramEnd"/>
      <w:r w:rsidRPr="00CF6CB5">
        <w:rPr>
          <w:rFonts w:hAnsi="標楷體" w:hint="eastAsia"/>
          <w:b/>
        </w:rPr>
        <w:t>適</w:t>
      </w:r>
      <w:r w:rsidRPr="00CF6CB5">
        <w:rPr>
          <w:rFonts w:ascii="新細明體" w:eastAsia="新細明體" w:hAnsi="新細明體" w:hint="eastAsia"/>
          <w:b/>
        </w:rPr>
        <w:t>：</w:t>
      </w:r>
      <w:bookmarkEnd w:id="196"/>
      <w:bookmarkEnd w:id="197"/>
      <w:bookmarkEnd w:id="198"/>
      <w:bookmarkEnd w:id="199"/>
    </w:p>
    <w:p w:rsidR="00846BB6" w:rsidRPr="00CF6CB5" w:rsidRDefault="00846BB6" w:rsidP="00081BEC">
      <w:pPr>
        <w:pStyle w:val="4"/>
      </w:pPr>
      <w:r w:rsidRPr="00CF6CB5">
        <w:rPr>
          <w:rFonts w:hint="eastAsia"/>
        </w:rPr>
        <w:t>據</w:t>
      </w:r>
      <w:r w:rsidR="00013F27" w:rsidRPr="00CF6CB5">
        <w:rPr>
          <w:rFonts w:hint="eastAsia"/>
        </w:rPr>
        <w:t>人事行政總處</w:t>
      </w:r>
      <w:r w:rsidRPr="00CF6CB5">
        <w:rPr>
          <w:rFonts w:hint="eastAsia"/>
        </w:rPr>
        <w:t>稱：</w:t>
      </w:r>
      <w:r w:rsidRPr="00CF6CB5">
        <w:t>行政院組織法規定下設29個部會，其中23個部會及所屬組織法案已完成立法，占比</w:t>
      </w:r>
      <w:r w:rsidRPr="00CF6CB5">
        <w:rPr>
          <w:rFonts w:hint="eastAsia"/>
        </w:rPr>
        <w:t>約</w:t>
      </w:r>
      <w:r w:rsidRPr="00CF6CB5">
        <w:t>為79.3%</w:t>
      </w:r>
      <w:r w:rsidRPr="00CF6CB5">
        <w:rPr>
          <w:rFonts w:hint="eastAsia"/>
        </w:rPr>
        <w:t>，</w:t>
      </w:r>
      <w:r w:rsidRPr="00CF6CB5">
        <w:t>未完成立法程序之新機關尚有內政部、經濟及能源部、交通及建設部、農業部、環境</w:t>
      </w:r>
      <w:proofErr w:type="gramStart"/>
      <w:r w:rsidRPr="00CF6CB5">
        <w:t>資源部及大陸</w:t>
      </w:r>
      <w:proofErr w:type="gramEnd"/>
      <w:r w:rsidRPr="00CF6CB5">
        <w:t>委員會等6個部會，占比</w:t>
      </w:r>
      <w:r w:rsidRPr="00CF6CB5">
        <w:rPr>
          <w:rFonts w:hint="eastAsia"/>
        </w:rPr>
        <w:t>約</w:t>
      </w:r>
      <w:r w:rsidRPr="00CF6CB5">
        <w:t>為20.7%</w:t>
      </w:r>
      <w:r w:rsidRPr="00CF6CB5">
        <w:rPr>
          <w:rFonts w:hint="eastAsia"/>
        </w:rPr>
        <w:t>，</w:t>
      </w:r>
      <w:r w:rsidRPr="00CF6CB5">
        <w:t>目前已完成組</w:t>
      </w:r>
      <w:r w:rsidRPr="00CF6CB5">
        <w:rPr>
          <w:rFonts w:hint="eastAsia"/>
        </w:rPr>
        <w:t>織</w:t>
      </w:r>
      <w:r w:rsidRPr="00CF6CB5">
        <w:t>改</w:t>
      </w:r>
      <w:r w:rsidRPr="00CF6CB5">
        <w:rPr>
          <w:rFonts w:hint="eastAsia"/>
        </w:rPr>
        <w:t>造</w:t>
      </w:r>
      <w:r w:rsidRPr="00CF6CB5">
        <w:t>之行政院一、二級機關處</w:t>
      </w:r>
      <w:proofErr w:type="gramStart"/>
      <w:r w:rsidRPr="00CF6CB5">
        <w:t>務</w:t>
      </w:r>
      <w:proofErr w:type="gramEnd"/>
      <w:r w:rsidRPr="00CF6CB5">
        <w:t>規程所設之常設性任務編組共計33個，得置49至55個主管職務。</w:t>
      </w:r>
    </w:p>
    <w:p w:rsidR="00846BB6" w:rsidRPr="00CF6CB5" w:rsidRDefault="00846BB6" w:rsidP="00081BEC">
      <w:pPr>
        <w:pStyle w:val="4"/>
      </w:pPr>
      <w:r w:rsidRPr="00CF6CB5">
        <w:rPr>
          <w:rFonts w:hint="eastAsia"/>
        </w:rPr>
        <w:lastRenderedPageBreak/>
        <w:t>為解決實務問題，使常設性任務編組之主管人員得支領主管職務加給，</w:t>
      </w:r>
      <w:proofErr w:type="gramStart"/>
      <w:r w:rsidRPr="00CF6CB5">
        <w:rPr>
          <w:rFonts w:hint="eastAsia"/>
        </w:rPr>
        <w:t>101年7月間由行政院協商考試院</w:t>
      </w:r>
      <w:proofErr w:type="gramEnd"/>
      <w:r w:rsidRPr="00CF6CB5">
        <w:rPr>
          <w:rFonts w:hint="eastAsia"/>
        </w:rPr>
        <w:t>，以專案解釋方式處理，並以</w:t>
      </w:r>
      <w:proofErr w:type="gramStart"/>
      <w:r w:rsidRPr="00CF6CB5">
        <w:rPr>
          <w:rFonts w:hint="eastAsia"/>
        </w:rPr>
        <w:t>組改底</w:t>
      </w:r>
      <w:proofErr w:type="gramEnd"/>
      <w:r w:rsidRPr="00CF6CB5">
        <w:rPr>
          <w:rFonts w:hint="eastAsia"/>
        </w:rPr>
        <w:t>定前，行政院一、二級機關依中</w:t>
      </w:r>
      <w:proofErr w:type="gramStart"/>
      <w:r w:rsidRPr="00CF6CB5">
        <w:rPr>
          <w:rFonts w:hint="eastAsia"/>
        </w:rPr>
        <w:t>央</w:t>
      </w:r>
      <w:proofErr w:type="gramEnd"/>
      <w:r w:rsidRPr="00CF6CB5">
        <w:rPr>
          <w:rFonts w:hint="eastAsia"/>
        </w:rPr>
        <w:t>行政機關組織基準法所訂處</w:t>
      </w:r>
      <w:proofErr w:type="gramStart"/>
      <w:r w:rsidRPr="00CF6CB5">
        <w:rPr>
          <w:rFonts w:hint="eastAsia"/>
        </w:rPr>
        <w:t>務</w:t>
      </w:r>
      <w:proofErr w:type="gramEnd"/>
      <w:r w:rsidRPr="00CF6CB5">
        <w:rPr>
          <w:rFonts w:hint="eastAsia"/>
        </w:rPr>
        <w:t>規程中，已明定設置之常設性任務編組主管職務為限。</w:t>
      </w:r>
    </w:p>
    <w:p w:rsidR="00846BB6" w:rsidRPr="00CF6CB5" w:rsidRDefault="00846BB6" w:rsidP="00081BEC">
      <w:pPr>
        <w:pStyle w:val="4"/>
      </w:pPr>
      <w:r w:rsidRPr="00CF6CB5">
        <w:rPr>
          <w:rFonts w:hint="eastAsia"/>
        </w:rPr>
        <w:t>據</w:t>
      </w:r>
      <w:r w:rsidR="00013F27" w:rsidRPr="00CF6CB5">
        <w:rPr>
          <w:rFonts w:hint="eastAsia"/>
        </w:rPr>
        <w:t>人事行政總處</w:t>
      </w:r>
      <w:r w:rsidRPr="00CF6CB5">
        <w:rPr>
          <w:rFonts w:hint="eastAsia"/>
        </w:rPr>
        <w:t>表示</w:t>
      </w:r>
      <w:r w:rsidRPr="00CF6CB5">
        <w:rPr>
          <w:rFonts w:ascii="新細明體" w:eastAsia="新細明體" w:hAnsi="新細明體" w:hint="eastAsia"/>
        </w:rPr>
        <w:t>：</w:t>
      </w:r>
      <w:r w:rsidRPr="00CF6CB5">
        <w:rPr>
          <w:rFonts w:hint="eastAsia"/>
        </w:rPr>
        <w:t>常設性任務編組係負責機關法定職掌核心業務，任務層次相當於內部一級業務單位掌理事項，與機關因業務需要所設之臨時性任務編組不同，其設置主管職務職責程度亦相當機關內部一級單位主管職務，</w:t>
      </w:r>
      <w:proofErr w:type="gramStart"/>
      <w:r w:rsidRPr="00CF6CB5">
        <w:rPr>
          <w:rFonts w:hint="eastAsia"/>
        </w:rPr>
        <w:t>爰</w:t>
      </w:r>
      <w:proofErr w:type="gramEnd"/>
      <w:r w:rsidRPr="00CF6CB5">
        <w:rPr>
          <w:rFonts w:hint="eastAsia"/>
        </w:rPr>
        <w:t>建議銓敘部修正加給給與辦法，將常設性任務編組</w:t>
      </w:r>
      <w:proofErr w:type="gramStart"/>
      <w:r w:rsidRPr="00CF6CB5">
        <w:rPr>
          <w:rFonts w:hint="eastAsia"/>
        </w:rPr>
        <w:t>實際負</w:t>
      </w:r>
      <w:proofErr w:type="gramEnd"/>
      <w:r w:rsidRPr="00CF6CB5">
        <w:rPr>
          <w:rFonts w:hint="eastAsia"/>
        </w:rPr>
        <w:t>領導責任之主管人員，納入該法第9條第1項得支領主管職務加給之對象。</w:t>
      </w:r>
    </w:p>
    <w:p w:rsidR="00846BB6" w:rsidRPr="00CF6CB5" w:rsidRDefault="00846BB6" w:rsidP="00081BEC">
      <w:pPr>
        <w:pStyle w:val="4"/>
      </w:pPr>
      <w:r w:rsidRPr="00CF6CB5">
        <w:rPr>
          <w:rFonts w:hint="eastAsia"/>
        </w:rPr>
        <w:t>惟經</w:t>
      </w:r>
      <w:proofErr w:type="gramStart"/>
      <w:r w:rsidRPr="00CF6CB5">
        <w:rPr>
          <w:rFonts w:hint="eastAsia"/>
        </w:rPr>
        <w:t>銓敘部審酌</w:t>
      </w:r>
      <w:proofErr w:type="gramEnd"/>
      <w:r w:rsidRPr="00CF6CB5">
        <w:rPr>
          <w:rFonts w:hint="eastAsia"/>
        </w:rPr>
        <w:t>認為，常設性任務編組設置要件及具體認定原則為何？與各機關所設之任務編組性質有何不同？二者如何區別？等</w:t>
      </w:r>
      <w:proofErr w:type="gramStart"/>
      <w:r w:rsidRPr="00CF6CB5">
        <w:rPr>
          <w:rFonts w:hint="eastAsia"/>
        </w:rPr>
        <w:t>事宜均不明確</w:t>
      </w:r>
      <w:proofErr w:type="gramEnd"/>
      <w:r w:rsidRPr="00CF6CB5">
        <w:rPr>
          <w:rFonts w:hint="eastAsia"/>
        </w:rPr>
        <w:t>，且如僅就本次因行政院組織調整所設置之常設性任務編組之主管人員得支領主管職務加給規定，於加給給與辦法中另作規範，則地方行政、立法機關是否援引比照？以及常設性任務編組之設置、審核是否有嚴謹之控管機制等，均不無疑義，</w:t>
      </w:r>
      <w:proofErr w:type="gramStart"/>
      <w:r w:rsidRPr="00CF6CB5">
        <w:rPr>
          <w:rFonts w:hint="eastAsia"/>
        </w:rPr>
        <w:t>爰</w:t>
      </w:r>
      <w:proofErr w:type="gramEnd"/>
      <w:r w:rsidRPr="00CF6CB5">
        <w:rPr>
          <w:rFonts w:hint="eastAsia"/>
        </w:rPr>
        <w:t>未予同意。</w:t>
      </w:r>
      <w:proofErr w:type="gramStart"/>
      <w:r w:rsidRPr="00CF6CB5">
        <w:rPr>
          <w:rFonts w:hint="eastAsia"/>
        </w:rPr>
        <w:t>銓敘部於本</w:t>
      </w:r>
      <w:proofErr w:type="gramEnd"/>
      <w:r w:rsidRPr="00CF6CB5">
        <w:rPr>
          <w:rFonts w:hint="eastAsia"/>
        </w:rPr>
        <w:t>院詢問時說明，</w:t>
      </w:r>
      <w:proofErr w:type="gramStart"/>
      <w:r w:rsidRPr="00CF6CB5">
        <w:rPr>
          <w:rFonts w:hint="eastAsia"/>
        </w:rPr>
        <w:t>倘將常設</w:t>
      </w:r>
      <w:proofErr w:type="gramEnd"/>
      <w:r w:rsidRPr="00CF6CB5">
        <w:rPr>
          <w:rFonts w:hint="eastAsia"/>
        </w:rPr>
        <w:t>性任務編組支領主管職務加給納入加給給與辦法中規範，面臨下列問題：</w:t>
      </w:r>
    </w:p>
    <w:p w:rsidR="00846BB6" w:rsidRPr="00CF6CB5" w:rsidRDefault="00846BB6" w:rsidP="00081BEC">
      <w:pPr>
        <w:pStyle w:val="5"/>
      </w:pPr>
      <w:r w:rsidRPr="00CF6CB5">
        <w:rPr>
          <w:rFonts w:hint="eastAsia"/>
        </w:rPr>
        <w:t>適用對象範圍難以界定，易滋生疑義</w:t>
      </w:r>
    </w:p>
    <w:p w:rsidR="00846BB6" w:rsidRPr="00CF6CB5" w:rsidRDefault="00846BB6" w:rsidP="00081BEC">
      <w:pPr>
        <w:pStyle w:val="51"/>
        <w:ind w:left="2041" w:firstLine="680"/>
      </w:pPr>
      <w:r w:rsidRPr="00CF6CB5">
        <w:rPr>
          <w:rFonts w:hint="eastAsia"/>
        </w:rPr>
        <w:t>兩院協商對於常設性任務編組主管職務加給之支給，限於</w:t>
      </w:r>
      <w:proofErr w:type="gramStart"/>
      <w:r w:rsidRPr="00CF6CB5">
        <w:rPr>
          <w:rFonts w:hint="eastAsia"/>
        </w:rPr>
        <w:t>組改底</w:t>
      </w:r>
      <w:proofErr w:type="gramEnd"/>
      <w:r w:rsidRPr="00CF6CB5">
        <w:rPr>
          <w:rFonts w:hint="eastAsia"/>
        </w:rPr>
        <w:t>定前行政院一、二級機關已設置之常設性任務編組主管職務；</w:t>
      </w:r>
      <w:proofErr w:type="gramStart"/>
      <w:r w:rsidRPr="00CF6CB5">
        <w:rPr>
          <w:rFonts w:hint="eastAsia"/>
        </w:rPr>
        <w:t>惟所稱</w:t>
      </w:r>
      <w:proofErr w:type="gramEnd"/>
      <w:r w:rsidRPr="00CF6CB5">
        <w:rPr>
          <w:rFonts w:hint="eastAsia"/>
        </w:rPr>
        <w:t>「</w:t>
      </w:r>
      <w:proofErr w:type="gramStart"/>
      <w:r w:rsidRPr="00CF6CB5">
        <w:rPr>
          <w:rFonts w:hint="eastAsia"/>
        </w:rPr>
        <w:t>組改底</w:t>
      </w:r>
      <w:proofErr w:type="gramEnd"/>
      <w:r w:rsidRPr="00CF6CB5">
        <w:rPr>
          <w:rFonts w:hint="eastAsia"/>
        </w:rPr>
        <w:t>定前」之時間點為何，並不明確，究</w:t>
      </w:r>
      <w:r w:rsidRPr="00CF6CB5">
        <w:rPr>
          <w:rFonts w:hint="eastAsia"/>
        </w:rPr>
        <w:lastRenderedPageBreak/>
        <w:t>係指各該機關組織法(條例)施行之日前為</w:t>
      </w:r>
      <w:proofErr w:type="gramStart"/>
      <w:r w:rsidRPr="00CF6CB5">
        <w:rPr>
          <w:rFonts w:hint="eastAsia"/>
        </w:rPr>
        <w:t>組改底</w:t>
      </w:r>
      <w:proofErr w:type="gramEnd"/>
      <w:r w:rsidRPr="00CF6CB5">
        <w:rPr>
          <w:rFonts w:hint="eastAsia"/>
        </w:rPr>
        <w:t>定前？抑或指行政院暨所屬機關全部</w:t>
      </w:r>
      <w:proofErr w:type="gramStart"/>
      <w:r w:rsidRPr="00CF6CB5">
        <w:rPr>
          <w:rFonts w:hint="eastAsia"/>
        </w:rPr>
        <w:t>完成組改前</w:t>
      </w:r>
      <w:proofErr w:type="gramEnd"/>
      <w:r w:rsidRPr="00CF6CB5">
        <w:rPr>
          <w:rFonts w:hint="eastAsia"/>
        </w:rPr>
        <w:t>，均可視為</w:t>
      </w:r>
      <w:proofErr w:type="gramStart"/>
      <w:r w:rsidRPr="00CF6CB5">
        <w:rPr>
          <w:rFonts w:hint="eastAsia"/>
        </w:rPr>
        <w:t>組改底</w:t>
      </w:r>
      <w:proofErr w:type="gramEnd"/>
      <w:r w:rsidRPr="00CF6CB5">
        <w:rPr>
          <w:rFonts w:hint="eastAsia"/>
        </w:rPr>
        <w:t>定前？又現行支給對象部分，係以特定機關層級之主管人員為範圍；</w:t>
      </w:r>
      <w:proofErr w:type="gramStart"/>
      <w:r w:rsidRPr="00CF6CB5">
        <w:rPr>
          <w:rFonts w:hint="eastAsia"/>
        </w:rPr>
        <w:t>惟</w:t>
      </w:r>
      <w:proofErr w:type="gramEnd"/>
      <w:r w:rsidRPr="00CF6CB5">
        <w:rPr>
          <w:rFonts w:hint="eastAsia"/>
        </w:rPr>
        <w:t>加給給與</w:t>
      </w:r>
      <w:proofErr w:type="gramStart"/>
      <w:r w:rsidRPr="00CF6CB5">
        <w:rPr>
          <w:rFonts w:hint="eastAsia"/>
        </w:rPr>
        <w:t>辦法係通案</w:t>
      </w:r>
      <w:proofErr w:type="gramEnd"/>
      <w:r w:rsidRPr="00CF6CB5">
        <w:rPr>
          <w:rFonts w:hint="eastAsia"/>
        </w:rPr>
        <w:t>性法規，具一體適用性，若僅將是類人員納入該辦法規範，如何避免地方機關援引比照適用？</w:t>
      </w:r>
      <w:proofErr w:type="gramStart"/>
      <w:r w:rsidRPr="00CF6CB5">
        <w:rPr>
          <w:rFonts w:hint="eastAsia"/>
        </w:rPr>
        <w:t>再者，</w:t>
      </w:r>
      <w:proofErr w:type="gramEnd"/>
      <w:r w:rsidRPr="00CF6CB5">
        <w:rPr>
          <w:rFonts w:hint="eastAsia"/>
        </w:rPr>
        <w:t>行政院所屬三、四級機關是否亦得設置常設性任務編組主管職務而一體適用相關規定，進而擴大支給對象並增加政府財政負擔等，尚須審慎考量。</w:t>
      </w:r>
    </w:p>
    <w:p w:rsidR="00846BB6" w:rsidRPr="00CF6CB5" w:rsidRDefault="00846BB6" w:rsidP="00081BEC">
      <w:pPr>
        <w:pStyle w:val="5"/>
      </w:pPr>
      <w:r w:rsidRPr="00CF6CB5">
        <w:rPr>
          <w:rFonts w:hint="eastAsia"/>
        </w:rPr>
        <w:t>常設性任務編組與一般性任務編組之性質難以區分</w:t>
      </w:r>
    </w:p>
    <w:p w:rsidR="00846BB6" w:rsidRPr="00CF6CB5" w:rsidRDefault="00846BB6" w:rsidP="00081BEC">
      <w:pPr>
        <w:pStyle w:val="51"/>
        <w:ind w:left="2041" w:firstLine="680"/>
      </w:pPr>
      <w:r w:rsidRPr="00CF6CB5">
        <w:rPr>
          <w:rFonts w:hint="eastAsia"/>
        </w:rPr>
        <w:t>各機關得於處</w:t>
      </w:r>
      <w:proofErr w:type="gramStart"/>
      <w:r w:rsidRPr="00CF6CB5">
        <w:rPr>
          <w:rFonts w:hint="eastAsia"/>
        </w:rPr>
        <w:t>務</w:t>
      </w:r>
      <w:proofErr w:type="gramEnd"/>
      <w:r w:rsidRPr="00CF6CB5">
        <w:rPr>
          <w:rFonts w:hint="eastAsia"/>
        </w:rPr>
        <w:t>規程設置常設性任務編組外，亦得基於業務需要而設置</w:t>
      </w:r>
      <w:proofErr w:type="gramStart"/>
      <w:r w:rsidRPr="00CF6CB5">
        <w:rPr>
          <w:rFonts w:hint="eastAsia"/>
        </w:rPr>
        <w:t>各種「</w:t>
      </w:r>
      <w:proofErr w:type="gramEnd"/>
      <w:r w:rsidRPr="00CF6CB5">
        <w:rPr>
          <w:rFonts w:hint="eastAsia"/>
        </w:rPr>
        <w:t>任務編組」(按：非屬組織法規所定，不得支領主管職務加給)。是</w:t>
      </w:r>
      <w:proofErr w:type="gramStart"/>
      <w:r w:rsidRPr="00CF6CB5">
        <w:rPr>
          <w:rFonts w:hint="eastAsia"/>
        </w:rPr>
        <w:t>以</w:t>
      </w:r>
      <w:proofErr w:type="gramEnd"/>
      <w:r w:rsidRPr="00CF6CB5">
        <w:rPr>
          <w:rFonts w:hint="eastAsia"/>
        </w:rPr>
        <w:t>，如將「常設性任務編組」納入加給給與辦法規範，與現行加給給與辦法第9條第2項規定所稱之「任務編組」究如何區別，二者性質有何不同？目前未有相關明確規範</w:t>
      </w:r>
      <w:r w:rsidRPr="00CF6CB5">
        <w:rPr>
          <w:rFonts w:ascii="新細明體" w:eastAsia="新細明體" w:hAnsi="新細明體" w:hint="eastAsia"/>
        </w:rPr>
        <w:t>。</w:t>
      </w:r>
    </w:p>
    <w:p w:rsidR="00846BB6" w:rsidRPr="00CF6CB5" w:rsidRDefault="00846BB6" w:rsidP="00081BEC">
      <w:pPr>
        <w:pStyle w:val="5"/>
      </w:pPr>
      <w:r w:rsidRPr="00CF6CB5">
        <w:rPr>
          <w:rFonts w:hint="eastAsia"/>
        </w:rPr>
        <w:t>常設性任務編組之設置、審核及管控等問題</w:t>
      </w:r>
    </w:p>
    <w:p w:rsidR="00846BB6" w:rsidRPr="00CF6CB5" w:rsidRDefault="00846BB6" w:rsidP="00081BEC">
      <w:pPr>
        <w:pStyle w:val="51"/>
        <w:ind w:left="2041" w:firstLine="680"/>
        <w:rPr>
          <w:strike/>
        </w:rPr>
      </w:pPr>
      <w:r w:rsidRPr="00CF6CB5">
        <w:rPr>
          <w:rFonts w:hint="eastAsia"/>
        </w:rPr>
        <w:t>各機關如何設置內部單位及常設性任務編組，係屬各相關機關審議權責，非屬銓敘部權責，且該部對於各機關依組織基準法第8條訂定之處</w:t>
      </w:r>
      <w:proofErr w:type="gramStart"/>
      <w:r w:rsidRPr="00CF6CB5">
        <w:rPr>
          <w:rFonts w:hint="eastAsia"/>
        </w:rPr>
        <w:t>務</w:t>
      </w:r>
      <w:proofErr w:type="gramEnd"/>
      <w:r w:rsidRPr="00CF6CB5">
        <w:rPr>
          <w:rFonts w:hint="eastAsia"/>
        </w:rPr>
        <w:t>規程或辦事細則，歷均不予核議，</w:t>
      </w:r>
      <w:proofErr w:type="gramStart"/>
      <w:r w:rsidRPr="00CF6CB5">
        <w:rPr>
          <w:rFonts w:hint="eastAsia"/>
        </w:rPr>
        <w:t>爰</w:t>
      </w:r>
      <w:proofErr w:type="gramEnd"/>
      <w:r w:rsidRPr="00CF6CB5">
        <w:rPr>
          <w:rFonts w:hint="eastAsia"/>
        </w:rPr>
        <w:t>常設性任務編組主管職務雖明定於組織法規；</w:t>
      </w:r>
      <w:proofErr w:type="gramStart"/>
      <w:r w:rsidRPr="00CF6CB5">
        <w:rPr>
          <w:rFonts w:hint="eastAsia"/>
        </w:rPr>
        <w:t>惟</w:t>
      </w:r>
      <w:proofErr w:type="gramEnd"/>
      <w:r w:rsidRPr="00CF6CB5">
        <w:rPr>
          <w:rFonts w:hint="eastAsia"/>
        </w:rPr>
        <w:t>機關編制表中並未明定其職稱、官等職等及員額。以行政院組織調整係由</w:t>
      </w:r>
      <w:r w:rsidR="00013F27" w:rsidRPr="00CF6CB5">
        <w:rPr>
          <w:rFonts w:hint="eastAsia"/>
        </w:rPr>
        <w:t>人事行政總處</w:t>
      </w:r>
      <w:r w:rsidRPr="00CF6CB5">
        <w:rPr>
          <w:rFonts w:hint="eastAsia"/>
        </w:rPr>
        <w:t>規劃及執行，是</w:t>
      </w:r>
      <w:proofErr w:type="gramStart"/>
      <w:r w:rsidRPr="00CF6CB5">
        <w:rPr>
          <w:rFonts w:hint="eastAsia"/>
        </w:rPr>
        <w:t>以</w:t>
      </w:r>
      <w:proofErr w:type="gramEnd"/>
      <w:r w:rsidRPr="00CF6CB5">
        <w:rPr>
          <w:rFonts w:hint="eastAsia"/>
        </w:rPr>
        <w:t>，行政院組織調整後，各機關如基於業務需要而增置常設性任務編組及其主管職務，該總處是否就此情形有嚴格之控管機</w:t>
      </w:r>
      <w:r w:rsidRPr="00CF6CB5">
        <w:rPr>
          <w:rFonts w:hint="eastAsia"/>
        </w:rPr>
        <w:lastRenderedPageBreak/>
        <w:t>制？相關規定修正後，是否可能因此而衍生支給範圍過於寬濫之問題。</w:t>
      </w:r>
    </w:p>
    <w:p w:rsidR="00846BB6" w:rsidRPr="00CF6CB5" w:rsidRDefault="00846BB6" w:rsidP="00081BEC">
      <w:pPr>
        <w:pStyle w:val="4"/>
      </w:pPr>
      <w:r w:rsidRPr="00CF6CB5">
        <w:rPr>
          <w:rFonts w:hint="eastAsia"/>
        </w:rPr>
        <w:t>經核</w:t>
      </w:r>
      <w:r w:rsidRPr="00CF6CB5">
        <w:rPr>
          <w:rFonts w:ascii="新細明體" w:eastAsia="新細明體" w:hAnsi="新細明體" w:hint="eastAsia"/>
        </w:rPr>
        <w:t>，</w:t>
      </w:r>
      <w:r w:rsidRPr="00CF6CB5">
        <w:rPr>
          <w:rFonts w:hint="eastAsia"/>
        </w:rPr>
        <w:t>行政院推動組織改造</w:t>
      </w:r>
      <w:r w:rsidRPr="00CF6CB5">
        <w:rPr>
          <w:rFonts w:ascii="新細明體" w:eastAsia="新細明體" w:hAnsi="新細明體" w:hint="eastAsia"/>
        </w:rPr>
        <w:t>，</w:t>
      </w:r>
      <w:r w:rsidRPr="00CF6CB5">
        <w:rPr>
          <w:rFonts w:hint="eastAsia"/>
        </w:rPr>
        <w:t>於中央行政機關組織基準法第30條至第34條所定單位外</w:t>
      </w:r>
      <w:r w:rsidRPr="00CF6CB5">
        <w:rPr>
          <w:rFonts w:ascii="新細明體" w:eastAsia="新細明體" w:hAnsi="新細明體" w:hint="eastAsia"/>
        </w:rPr>
        <w:t>，</w:t>
      </w:r>
      <w:r w:rsidRPr="00CF6CB5">
        <w:rPr>
          <w:rFonts w:hint="eastAsia"/>
        </w:rPr>
        <w:t>設常設性任務編組</w:t>
      </w:r>
      <w:r w:rsidRPr="00CF6CB5">
        <w:rPr>
          <w:rFonts w:ascii="新細明體" w:eastAsia="新細明體" w:hAnsi="新細明體" w:hint="eastAsia"/>
        </w:rPr>
        <w:t>，</w:t>
      </w:r>
      <w:r w:rsidRPr="00CF6CB5">
        <w:rPr>
          <w:rFonts w:hint="eastAsia"/>
        </w:rPr>
        <w:t>乃基於辦理經常性業務需求</w:t>
      </w:r>
      <w:r w:rsidRPr="00CF6CB5">
        <w:rPr>
          <w:rFonts w:ascii="新細明體" w:eastAsia="新細明體" w:hAnsi="新細明體" w:hint="eastAsia"/>
        </w:rPr>
        <w:t>，</w:t>
      </w:r>
      <w:r w:rsidRPr="00CF6CB5">
        <w:rPr>
          <w:rFonts w:hint="eastAsia"/>
        </w:rPr>
        <w:t>該等編組之主管人員</w:t>
      </w:r>
      <w:proofErr w:type="gramStart"/>
      <w:r w:rsidRPr="00CF6CB5">
        <w:rPr>
          <w:rFonts w:hint="eastAsia"/>
        </w:rPr>
        <w:t>實際負</w:t>
      </w:r>
      <w:proofErr w:type="gramEnd"/>
      <w:r w:rsidRPr="00CF6CB5">
        <w:rPr>
          <w:rFonts w:hint="eastAsia"/>
        </w:rPr>
        <w:t>有領導責任</w:t>
      </w:r>
      <w:r w:rsidRPr="00CF6CB5">
        <w:rPr>
          <w:rFonts w:ascii="新細明體" w:eastAsia="新細明體" w:hAnsi="新細明體" w:hint="eastAsia"/>
        </w:rPr>
        <w:t>，</w:t>
      </w:r>
      <w:r w:rsidRPr="00CF6CB5">
        <w:rPr>
          <w:rFonts w:hint="eastAsia"/>
        </w:rPr>
        <w:t>自應支領主管職務加給</w:t>
      </w:r>
      <w:r w:rsidRPr="00CF6CB5">
        <w:rPr>
          <w:rFonts w:ascii="新細明體" w:eastAsia="新細明體" w:hAnsi="新細明體" w:hint="eastAsia"/>
        </w:rPr>
        <w:t>。</w:t>
      </w:r>
      <w:proofErr w:type="gramStart"/>
      <w:r w:rsidRPr="00CF6CB5">
        <w:rPr>
          <w:rFonts w:hint="eastAsia"/>
        </w:rPr>
        <w:t>惟</w:t>
      </w:r>
      <w:proofErr w:type="gramEnd"/>
      <w:r w:rsidRPr="00CF6CB5">
        <w:rPr>
          <w:rFonts w:hint="eastAsia"/>
        </w:rPr>
        <w:t>行政院</w:t>
      </w:r>
      <w:proofErr w:type="gramStart"/>
      <w:r w:rsidRPr="00CF6CB5">
        <w:rPr>
          <w:rFonts w:hint="eastAsia"/>
        </w:rPr>
        <w:t>逕</w:t>
      </w:r>
      <w:proofErr w:type="gramEnd"/>
      <w:r w:rsidRPr="00CF6CB5">
        <w:rPr>
          <w:rFonts w:hint="eastAsia"/>
        </w:rPr>
        <w:t>依國家發展委員會訂定之「常設性任務編組得納入處</w:t>
      </w:r>
      <w:proofErr w:type="gramStart"/>
      <w:r w:rsidRPr="00CF6CB5">
        <w:rPr>
          <w:rFonts w:hint="eastAsia"/>
        </w:rPr>
        <w:t>務</w:t>
      </w:r>
      <w:proofErr w:type="gramEnd"/>
      <w:r w:rsidRPr="00CF6CB5">
        <w:rPr>
          <w:rFonts w:hint="eastAsia"/>
        </w:rPr>
        <w:t>規程之設置要件及相關條文規範」於所屬一</w:t>
      </w:r>
      <w:r w:rsidRPr="00CF6CB5">
        <w:rPr>
          <w:rFonts w:ascii="新細明體" w:eastAsia="新細明體" w:hAnsi="新細明體" w:hint="eastAsia"/>
        </w:rPr>
        <w:t>、</w:t>
      </w:r>
      <w:r w:rsidRPr="00CF6CB5">
        <w:rPr>
          <w:rFonts w:hint="eastAsia"/>
        </w:rPr>
        <w:t>二級機關的處</w:t>
      </w:r>
      <w:proofErr w:type="gramStart"/>
      <w:r w:rsidRPr="00CF6CB5">
        <w:rPr>
          <w:rFonts w:hint="eastAsia"/>
        </w:rPr>
        <w:t>務</w:t>
      </w:r>
      <w:proofErr w:type="gramEnd"/>
      <w:r w:rsidRPr="00CF6CB5">
        <w:rPr>
          <w:rFonts w:hint="eastAsia"/>
        </w:rPr>
        <w:t>規程中設置常設性任務編組</w:t>
      </w:r>
      <w:r w:rsidRPr="00CF6CB5">
        <w:rPr>
          <w:rFonts w:ascii="新細明體" w:eastAsia="新細明體" w:hAnsi="新細明體" w:hint="eastAsia"/>
        </w:rPr>
        <w:t>，</w:t>
      </w:r>
      <w:r w:rsidRPr="00CF6CB5">
        <w:rPr>
          <w:rFonts w:hint="eastAsia"/>
        </w:rPr>
        <w:t>因處</w:t>
      </w:r>
      <w:proofErr w:type="gramStart"/>
      <w:r w:rsidRPr="00CF6CB5">
        <w:rPr>
          <w:rFonts w:hint="eastAsia"/>
        </w:rPr>
        <w:t>務</w:t>
      </w:r>
      <w:proofErr w:type="gramEnd"/>
      <w:r w:rsidRPr="00CF6CB5">
        <w:rPr>
          <w:rFonts w:hint="eastAsia"/>
        </w:rPr>
        <w:t>規程係規定機關單位的分工職掌</w:t>
      </w:r>
      <w:r w:rsidRPr="00CF6CB5">
        <w:rPr>
          <w:rFonts w:ascii="新細明體" w:eastAsia="新細明體" w:hAnsi="新細明體" w:hint="eastAsia"/>
        </w:rPr>
        <w:t>，</w:t>
      </w:r>
      <w:r w:rsidRPr="00CF6CB5">
        <w:rPr>
          <w:rFonts w:hint="eastAsia"/>
        </w:rPr>
        <w:t>依銓敘</w:t>
      </w:r>
      <w:proofErr w:type="gramStart"/>
      <w:r w:rsidRPr="00CF6CB5">
        <w:rPr>
          <w:rFonts w:hint="eastAsia"/>
        </w:rPr>
        <w:t>部函釋尚</w:t>
      </w:r>
      <w:proofErr w:type="gramEnd"/>
      <w:r w:rsidRPr="00CF6CB5">
        <w:rPr>
          <w:rFonts w:hint="eastAsia"/>
        </w:rPr>
        <w:t>非加給給與辦法第9條第1項之適用範圍，已如前述，且常設性任務編組的設置要件、認定原則，並無明確規定，欠缺嚴謹控管機制，</w:t>
      </w:r>
      <w:proofErr w:type="gramStart"/>
      <w:r w:rsidRPr="00CF6CB5">
        <w:rPr>
          <w:rFonts w:hint="eastAsia"/>
        </w:rPr>
        <w:t>銓敘部所持</w:t>
      </w:r>
      <w:proofErr w:type="gramEnd"/>
      <w:r w:rsidRPr="00CF6CB5">
        <w:rPr>
          <w:rFonts w:hint="eastAsia"/>
        </w:rPr>
        <w:t>顧慮並非無據。</w:t>
      </w:r>
    </w:p>
    <w:p w:rsidR="00846BB6" w:rsidRPr="00CF6CB5" w:rsidRDefault="00846BB6" w:rsidP="00846BB6">
      <w:pPr>
        <w:pStyle w:val="3"/>
        <w:kinsoku w:val="0"/>
        <w:overflowPunct/>
        <w:autoSpaceDE/>
        <w:autoSpaceDN/>
        <w:rPr>
          <w:rFonts w:hAnsi="標楷體"/>
          <w:b/>
        </w:rPr>
      </w:pPr>
      <w:bookmarkStart w:id="200" w:name="_Toc510456647"/>
      <w:bookmarkStart w:id="201" w:name="_Toc510534719"/>
      <w:bookmarkStart w:id="202" w:name="_Toc511053639"/>
      <w:bookmarkStart w:id="203" w:name="_Toc511126985"/>
      <w:proofErr w:type="gramStart"/>
      <w:r w:rsidRPr="00CF6CB5">
        <w:rPr>
          <w:rFonts w:hAnsi="標楷體" w:hint="eastAsia"/>
          <w:b/>
        </w:rPr>
        <w:t>組改底</w:t>
      </w:r>
      <w:proofErr w:type="gramEnd"/>
      <w:r w:rsidRPr="00CF6CB5">
        <w:rPr>
          <w:rFonts w:hAnsi="標楷體" w:hint="eastAsia"/>
          <w:b/>
        </w:rPr>
        <w:t>定後</w:t>
      </w:r>
      <w:r w:rsidRPr="00CF6CB5">
        <w:rPr>
          <w:rFonts w:ascii="新細明體" w:eastAsia="新細明體" w:hAnsi="新細明體" w:hint="eastAsia"/>
          <w:b/>
        </w:rPr>
        <w:t>，</w:t>
      </w:r>
      <w:r w:rsidRPr="00CF6CB5">
        <w:rPr>
          <w:rFonts w:hAnsi="標楷體" w:hint="eastAsia"/>
          <w:b/>
        </w:rPr>
        <w:t>常設性任務編組得否支領主管職務加給之疑義仍在</w:t>
      </w:r>
      <w:r w:rsidRPr="00CF6CB5">
        <w:rPr>
          <w:rFonts w:ascii="新細明體" w:eastAsia="新細明體" w:hAnsi="新細明體" w:hint="eastAsia"/>
          <w:b/>
        </w:rPr>
        <w:t>，</w:t>
      </w:r>
      <w:r w:rsidRPr="00CF6CB5">
        <w:rPr>
          <w:rFonts w:hAnsi="標楷體" w:hint="eastAsia"/>
          <w:b/>
        </w:rPr>
        <w:t>行政院允宜積極會商考試院從法制面</w:t>
      </w:r>
      <w:proofErr w:type="gramStart"/>
      <w:r w:rsidRPr="00CF6CB5">
        <w:rPr>
          <w:rFonts w:hAnsi="標楷體" w:hint="eastAsia"/>
          <w:b/>
        </w:rPr>
        <w:t>研</w:t>
      </w:r>
      <w:proofErr w:type="gramEnd"/>
      <w:r w:rsidRPr="00CF6CB5">
        <w:rPr>
          <w:rFonts w:hAnsi="標楷體" w:hint="eastAsia"/>
          <w:b/>
        </w:rPr>
        <w:t>議解決：</w:t>
      </w:r>
      <w:bookmarkEnd w:id="200"/>
      <w:bookmarkEnd w:id="201"/>
      <w:bookmarkEnd w:id="202"/>
      <w:bookmarkEnd w:id="203"/>
    </w:p>
    <w:p w:rsidR="00846BB6" w:rsidRPr="00CF6CB5" w:rsidRDefault="00846BB6" w:rsidP="00267336">
      <w:pPr>
        <w:pStyle w:val="4"/>
      </w:pPr>
      <w:r w:rsidRPr="00CF6CB5">
        <w:rPr>
          <w:rFonts w:hint="eastAsia"/>
        </w:rPr>
        <w:t>目前行政院與考試院雖協調以專案解釋方式處理常設性任務編組主管人支領主管職務問題，但屬暫時性作法，不僅不符合加給給與辦法第9條第1項規定</w:t>
      </w:r>
      <w:r w:rsidRPr="00CF6CB5">
        <w:rPr>
          <w:rFonts w:ascii="新細明體" w:eastAsia="新細明體" w:hAnsi="新細明體" w:hint="eastAsia"/>
        </w:rPr>
        <w:t>，</w:t>
      </w:r>
      <w:r w:rsidRPr="00CF6CB5">
        <w:rPr>
          <w:rFonts w:hint="eastAsia"/>
        </w:rPr>
        <w:t>於</w:t>
      </w:r>
      <w:proofErr w:type="gramStart"/>
      <w:r w:rsidRPr="00CF6CB5">
        <w:rPr>
          <w:rFonts w:hint="eastAsia"/>
        </w:rPr>
        <w:t>組改底</w:t>
      </w:r>
      <w:proofErr w:type="gramEnd"/>
      <w:r w:rsidRPr="00CF6CB5">
        <w:rPr>
          <w:rFonts w:hint="eastAsia"/>
        </w:rPr>
        <w:t>定後，已支領主管職務加給有案之人員宜否繼續支給，易滋生疑義</w:t>
      </w:r>
      <w:r w:rsidRPr="00CF6CB5">
        <w:rPr>
          <w:rFonts w:ascii="新細明體" w:eastAsia="新細明體" w:hAnsi="新細明體" w:hint="eastAsia"/>
        </w:rPr>
        <w:t>，</w:t>
      </w:r>
      <w:r w:rsidRPr="00CF6CB5">
        <w:rPr>
          <w:rFonts w:hint="eastAsia"/>
        </w:rPr>
        <w:t>仍須</w:t>
      </w:r>
      <w:proofErr w:type="gramStart"/>
      <w:r w:rsidRPr="00CF6CB5">
        <w:rPr>
          <w:rFonts w:hint="eastAsia"/>
        </w:rPr>
        <w:t>併</w:t>
      </w:r>
      <w:proofErr w:type="gramEnd"/>
      <w:r w:rsidRPr="00CF6CB5">
        <w:rPr>
          <w:rFonts w:hint="eastAsia"/>
        </w:rPr>
        <w:t>同審慎</w:t>
      </w:r>
      <w:proofErr w:type="gramStart"/>
      <w:r w:rsidRPr="00CF6CB5">
        <w:rPr>
          <w:rFonts w:hint="eastAsia"/>
        </w:rPr>
        <w:t>妥予考</w:t>
      </w:r>
      <w:proofErr w:type="gramEnd"/>
      <w:r w:rsidRPr="00CF6CB5">
        <w:rPr>
          <w:rFonts w:hint="eastAsia"/>
        </w:rPr>
        <w:t>量。</w:t>
      </w:r>
    </w:p>
    <w:p w:rsidR="00846BB6" w:rsidRPr="00CF6CB5" w:rsidRDefault="00846BB6" w:rsidP="00267336">
      <w:pPr>
        <w:pStyle w:val="4"/>
      </w:pPr>
      <w:proofErr w:type="gramStart"/>
      <w:r w:rsidRPr="00CF6CB5">
        <w:rPr>
          <w:rFonts w:hint="eastAsia"/>
        </w:rPr>
        <w:t>銓敘部於本</w:t>
      </w:r>
      <w:proofErr w:type="gramEnd"/>
      <w:r w:rsidRPr="00CF6CB5">
        <w:rPr>
          <w:rFonts w:hint="eastAsia"/>
        </w:rPr>
        <w:t>院詢問時</w:t>
      </w:r>
      <w:r w:rsidRPr="00CF6CB5">
        <w:rPr>
          <w:rFonts w:ascii="新細明體" w:eastAsia="新細明體" w:hAnsi="新細明體" w:hint="eastAsia"/>
        </w:rPr>
        <w:t>，</w:t>
      </w:r>
      <w:r w:rsidRPr="00CF6CB5">
        <w:rPr>
          <w:rFonts w:hint="eastAsia"/>
        </w:rPr>
        <w:t>提出三種符合法制規範之因應處理方案如下：</w:t>
      </w:r>
    </w:p>
    <w:p w:rsidR="00846BB6" w:rsidRPr="00CF6CB5" w:rsidRDefault="00846BB6" w:rsidP="00267336">
      <w:pPr>
        <w:pStyle w:val="5"/>
      </w:pPr>
      <w:r w:rsidRPr="00CF6CB5">
        <w:rPr>
          <w:rFonts w:hint="eastAsia"/>
        </w:rPr>
        <w:t>於加給給與辦法修正前，現行常設性任務編組之主管人員可由機關審酌優先依加給給與辦法第9條第3項規定，於簡任(派)預算員額二分之一範圍內，以比照核給主管職務加給方式辦理。</w:t>
      </w:r>
    </w:p>
    <w:p w:rsidR="00846BB6" w:rsidRPr="00CF6CB5" w:rsidRDefault="00846BB6" w:rsidP="00267336">
      <w:pPr>
        <w:pStyle w:val="5"/>
      </w:pPr>
      <w:r w:rsidRPr="00CF6CB5">
        <w:rPr>
          <w:rFonts w:hint="eastAsia"/>
        </w:rPr>
        <w:lastRenderedPageBreak/>
        <w:t>該部設法</w:t>
      </w:r>
      <w:proofErr w:type="gramStart"/>
      <w:r w:rsidRPr="00CF6CB5">
        <w:rPr>
          <w:rFonts w:hint="eastAsia"/>
        </w:rPr>
        <w:t>釐</w:t>
      </w:r>
      <w:proofErr w:type="gramEnd"/>
      <w:r w:rsidRPr="00CF6CB5">
        <w:rPr>
          <w:rFonts w:hint="eastAsia"/>
        </w:rPr>
        <w:t>清修法相關疑義，</w:t>
      </w:r>
      <w:proofErr w:type="gramStart"/>
      <w:r w:rsidRPr="00CF6CB5">
        <w:rPr>
          <w:rFonts w:hint="eastAsia"/>
        </w:rPr>
        <w:t>併</w:t>
      </w:r>
      <w:proofErr w:type="gramEnd"/>
      <w:r w:rsidRPr="00CF6CB5">
        <w:rPr>
          <w:rFonts w:hint="eastAsia"/>
        </w:rPr>
        <w:t>同審酌考量於加給給與辦法第9條及第10條明定主管職務之認定標準，持續朝檢討</w:t>
      </w:r>
      <w:proofErr w:type="gramStart"/>
      <w:r w:rsidRPr="00CF6CB5">
        <w:rPr>
          <w:rFonts w:hint="eastAsia"/>
        </w:rPr>
        <w:t>研</w:t>
      </w:r>
      <w:proofErr w:type="gramEnd"/>
      <w:r w:rsidRPr="00CF6CB5">
        <w:rPr>
          <w:rFonts w:hint="eastAsia"/>
        </w:rPr>
        <w:t>修加給給與辦法之方向努力。</w:t>
      </w:r>
    </w:p>
    <w:p w:rsidR="00846BB6" w:rsidRPr="00CF6CB5" w:rsidRDefault="00846BB6" w:rsidP="00267336">
      <w:pPr>
        <w:pStyle w:val="5"/>
      </w:pPr>
      <w:r w:rsidRPr="00CF6CB5">
        <w:rPr>
          <w:rFonts w:hint="eastAsia"/>
        </w:rPr>
        <w:t>如常設性任務編組係屬機關常態性應設置之組織型態，則似亦得由行政院審酌配合修正組織基準法相關規定，適度放寬機關組織規模之建制標準，以應業務需要。</w:t>
      </w:r>
    </w:p>
    <w:p w:rsidR="00846BB6" w:rsidRPr="00CF6CB5" w:rsidRDefault="00846BB6" w:rsidP="00267336">
      <w:pPr>
        <w:pStyle w:val="4"/>
      </w:pPr>
      <w:r w:rsidRPr="00CF6CB5">
        <w:rPr>
          <w:rFonts w:hint="eastAsia"/>
        </w:rPr>
        <w:t>有</w:t>
      </w:r>
      <w:proofErr w:type="gramStart"/>
      <w:r w:rsidRPr="00CF6CB5">
        <w:rPr>
          <w:rFonts w:hint="eastAsia"/>
        </w:rPr>
        <w:t>鑑</w:t>
      </w:r>
      <w:proofErr w:type="gramEnd"/>
      <w:r w:rsidRPr="00CF6CB5">
        <w:rPr>
          <w:rFonts w:hint="eastAsia"/>
        </w:rPr>
        <w:t>於行政院組織改造已完成近</w:t>
      </w:r>
      <w:proofErr w:type="gramStart"/>
      <w:r w:rsidRPr="00CF6CB5">
        <w:rPr>
          <w:rFonts w:hint="eastAsia"/>
        </w:rPr>
        <w:t>8成</w:t>
      </w:r>
      <w:proofErr w:type="gramEnd"/>
      <w:r w:rsidRPr="00CF6CB5">
        <w:rPr>
          <w:rFonts w:hint="eastAsia"/>
        </w:rPr>
        <w:t>，</w:t>
      </w:r>
      <w:proofErr w:type="gramStart"/>
      <w:r w:rsidRPr="00CF6CB5">
        <w:rPr>
          <w:rFonts w:hint="eastAsia"/>
        </w:rPr>
        <w:t>該院允宜</w:t>
      </w:r>
      <w:proofErr w:type="gramEnd"/>
      <w:r w:rsidRPr="00CF6CB5">
        <w:rPr>
          <w:rFonts w:hint="eastAsia"/>
        </w:rPr>
        <w:t>積極會商考試院，從法制面</w:t>
      </w:r>
      <w:proofErr w:type="gramStart"/>
      <w:r w:rsidRPr="00CF6CB5">
        <w:rPr>
          <w:rFonts w:hint="eastAsia"/>
        </w:rPr>
        <w:t>研</w:t>
      </w:r>
      <w:proofErr w:type="gramEnd"/>
      <w:r w:rsidRPr="00CF6CB5">
        <w:rPr>
          <w:rFonts w:hint="eastAsia"/>
        </w:rPr>
        <w:t>議解決，使</w:t>
      </w:r>
      <w:proofErr w:type="gramStart"/>
      <w:r w:rsidRPr="00CF6CB5">
        <w:rPr>
          <w:rFonts w:hint="eastAsia"/>
        </w:rPr>
        <w:t>實際負</w:t>
      </w:r>
      <w:proofErr w:type="gramEnd"/>
      <w:r w:rsidRPr="00CF6CB5">
        <w:rPr>
          <w:rFonts w:hint="eastAsia"/>
        </w:rPr>
        <w:t>領導責任之主管人員依法支領主管職務加給，以期符合同工同酬之精神，並避免</w:t>
      </w:r>
      <w:proofErr w:type="gramStart"/>
      <w:r w:rsidRPr="00CF6CB5">
        <w:rPr>
          <w:rFonts w:hint="eastAsia"/>
        </w:rPr>
        <w:t>流於寬濫</w:t>
      </w:r>
      <w:proofErr w:type="gramEnd"/>
      <w:r w:rsidRPr="00CF6CB5">
        <w:rPr>
          <w:rFonts w:ascii="新細明體" w:eastAsia="新細明體" w:hAnsi="新細明體" w:hint="eastAsia"/>
        </w:rPr>
        <w:t>。</w:t>
      </w:r>
    </w:p>
    <w:p w:rsidR="00846BB6" w:rsidRPr="00CF6CB5" w:rsidRDefault="00846BB6" w:rsidP="00846BB6">
      <w:pPr>
        <w:pStyle w:val="2"/>
        <w:kinsoku w:val="0"/>
        <w:overflowPunct/>
        <w:autoSpaceDE/>
        <w:autoSpaceDN/>
        <w:ind w:left="1020" w:hanging="680"/>
        <w:rPr>
          <w:rFonts w:hAnsi="標楷體"/>
          <w:b/>
        </w:rPr>
      </w:pPr>
      <w:bookmarkStart w:id="204" w:name="_Toc511053640"/>
      <w:bookmarkStart w:id="205" w:name="_Toc511126986"/>
      <w:r w:rsidRPr="00CF6CB5">
        <w:rPr>
          <w:rFonts w:hint="eastAsia"/>
          <w:b/>
        </w:rPr>
        <w:t>公教員工地域加給制度自79年實施迄今</w:t>
      </w:r>
      <w:r w:rsidRPr="00CF6CB5">
        <w:rPr>
          <w:rFonts w:ascii="新細明體" w:eastAsia="新細明體" w:hAnsi="新細明體" w:hint="eastAsia"/>
          <w:b/>
        </w:rPr>
        <w:t>，</w:t>
      </w:r>
      <w:r w:rsidRPr="00CF6CB5">
        <w:rPr>
          <w:rFonts w:hint="eastAsia"/>
          <w:b/>
        </w:rPr>
        <w:t>時空環境已有變遷</w:t>
      </w:r>
      <w:r w:rsidRPr="00CF6CB5">
        <w:rPr>
          <w:rFonts w:ascii="新細明體" w:eastAsia="新細明體" w:hAnsi="新細明體" w:hint="eastAsia"/>
          <w:b/>
        </w:rPr>
        <w:t>，</w:t>
      </w:r>
      <w:r w:rsidRPr="00CF6CB5">
        <w:rPr>
          <w:rFonts w:hint="eastAsia"/>
          <w:b/>
        </w:rPr>
        <w:t>原以行政區域劃分及單</w:t>
      </w:r>
      <w:r w:rsidR="002A26DB" w:rsidRPr="00CF6CB5">
        <w:rPr>
          <w:rFonts w:hint="eastAsia"/>
          <w:b/>
        </w:rPr>
        <w:t>一指</w:t>
      </w:r>
      <w:r w:rsidRPr="00CF6CB5">
        <w:rPr>
          <w:rFonts w:hint="eastAsia"/>
          <w:b/>
        </w:rPr>
        <w:t>標作為支給基準的設計</w:t>
      </w:r>
      <w:r w:rsidRPr="00CF6CB5">
        <w:rPr>
          <w:rFonts w:ascii="新細明體" w:eastAsia="新細明體" w:hAnsi="新細明體" w:hint="eastAsia"/>
          <w:b/>
        </w:rPr>
        <w:t>，</w:t>
      </w:r>
      <w:r w:rsidRPr="00CF6CB5">
        <w:rPr>
          <w:rFonts w:hint="eastAsia"/>
          <w:b/>
        </w:rPr>
        <w:t>面臨</w:t>
      </w:r>
      <w:r w:rsidRPr="00CF6CB5">
        <w:rPr>
          <w:rFonts w:ascii="新細明體" w:eastAsia="新細明體" w:hAnsi="新細明體" w:hint="eastAsia"/>
          <w:b/>
        </w:rPr>
        <w:t>「</w:t>
      </w:r>
      <w:r w:rsidRPr="00CF6CB5">
        <w:rPr>
          <w:rFonts w:hint="eastAsia"/>
          <w:b/>
        </w:rPr>
        <w:t>一路之隔</w:t>
      </w:r>
      <w:r w:rsidRPr="00CF6CB5">
        <w:rPr>
          <w:rFonts w:ascii="新細明體" w:eastAsia="新細明體" w:hAnsi="新細明體" w:hint="eastAsia"/>
          <w:b/>
        </w:rPr>
        <w:t>、</w:t>
      </w:r>
      <w:r w:rsidRPr="00CF6CB5">
        <w:rPr>
          <w:rFonts w:hint="eastAsia"/>
          <w:b/>
        </w:rPr>
        <w:t>同工不同酬</w:t>
      </w:r>
      <w:r w:rsidRPr="00CF6CB5">
        <w:rPr>
          <w:rFonts w:hAnsi="標楷體" w:hint="eastAsia"/>
          <w:b/>
        </w:rPr>
        <w:t>」</w:t>
      </w:r>
      <w:r w:rsidRPr="00CF6CB5">
        <w:rPr>
          <w:rFonts w:hint="eastAsia"/>
          <w:b/>
        </w:rPr>
        <w:t>等諸多公平性質疑</w:t>
      </w:r>
      <w:r w:rsidRPr="00CF6CB5">
        <w:rPr>
          <w:rFonts w:ascii="新細明體" w:eastAsia="新細明體" w:hAnsi="新細明體" w:hint="eastAsia"/>
          <w:b/>
        </w:rPr>
        <w:t>，</w:t>
      </w:r>
      <w:r w:rsidRPr="00CF6CB5">
        <w:rPr>
          <w:rFonts w:hint="eastAsia"/>
          <w:b/>
        </w:rPr>
        <w:t>行政院於106年4月核定合理化調整之試</w:t>
      </w:r>
      <w:r w:rsidRPr="00CF6CB5">
        <w:rPr>
          <w:rFonts w:hAnsi="標楷體" w:hint="eastAsia"/>
          <w:b/>
        </w:rPr>
        <w:t>辦方案，採取多面向評核指標，賦予地方政府彈性規劃地域加給空間之重大變革，預定於109年1月1日</w:t>
      </w:r>
      <w:r w:rsidRPr="00CF6CB5">
        <w:rPr>
          <w:rFonts w:hint="eastAsia"/>
          <w:b/>
        </w:rPr>
        <w:t>依試辦評</w:t>
      </w:r>
      <w:r w:rsidRPr="00CF6CB5">
        <w:rPr>
          <w:rFonts w:hAnsi="標楷體" w:hint="eastAsia"/>
          <w:b/>
        </w:rPr>
        <w:t>估完成修正之地域加給表正式實施，</w:t>
      </w:r>
      <w:proofErr w:type="gramStart"/>
      <w:r w:rsidRPr="00CF6CB5">
        <w:rPr>
          <w:rFonts w:hAnsi="標楷體" w:hint="eastAsia"/>
          <w:b/>
        </w:rPr>
        <w:t>惟查試辦</w:t>
      </w:r>
      <w:proofErr w:type="gramEnd"/>
      <w:r w:rsidRPr="00CF6CB5">
        <w:rPr>
          <w:rFonts w:hAnsi="標楷體" w:hint="eastAsia"/>
          <w:b/>
        </w:rPr>
        <w:t>方案中，由各地方政府評估財政狀況</w:t>
      </w:r>
      <w:r w:rsidRPr="00CF6CB5">
        <w:rPr>
          <w:rFonts w:ascii="新細明體" w:eastAsia="新細明體" w:hAnsi="新細明體" w:hint="eastAsia"/>
          <w:b/>
        </w:rPr>
        <w:t>，</w:t>
      </w:r>
      <w:r w:rsidRPr="00CF6CB5">
        <w:rPr>
          <w:rFonts w:hAnsi="標楷體" w:hint="eastAsia"/>
          <w:b/>
        </w:rPr>
        <w:t>採取20%地方自籌經費彈性增加的變革設計，雖有利地方彈性延攬及留任人才</w:t>
      </w:r>
      <w:r w:rsidRPr="00CF6CB5">
        <w:rPr>
          <w:rFonts w:ascii="新細明體" w:eastAsia="新細明體" w:hAnsi="新細明體" w:hint="eastAsia"/>
          <w:b/>
        </w:rPr>
        <w:t>，</w:t>
      </w:r>
      <w:r w:rsidRPr="00CF6CB5">
        <w:rPr>
          <w:rFonts w:hAnsi="標楷體" w:hint="eastAsia"/>
          <w:b/>
        </w:rPr>
        <w:t>惟是否可能因地方財政狀況不同而淪為政治籌碼</w:t>
      </w:r>
      <w:r w:rsidRPr="00CF6CB5">
        <w:rPr>
          <w:rFonts w:ascii="新細明體" w:eastAsia="新細明體" w:hAnsi="新細明體" w:hint="eastAsia"/>
          <w:b/>
        </w:rPr>
        <w:t>，</w:t>
      </w:r>
      <w:r w:rsidRPr="00CF6CB5">
        <w:rPr>
          <w:rFonts w:hAnsi="標楷體" w:hint="eastAsia"/>
          <w:b/>
        </w:rPr>
        <w:t>滋生同工不同酬的公平性疑慮，或不利財政窘困縣市的偏遠地區留任優秀教師，值得重視</w:t>
      </w:r>
      <w:r w:rsidR="002A26DB" w:rsidRPr="00CF6CB5">
        <w:rPr>
          <w:rFonts w:ascii="新細明體" w:eastAsia="新細明體" w:hAnsi="新細明體" w:hint="eastAsia"/>
          <w:b/>
        </w:rPr>
        <w:t>，</w:t>
      </w:r>
      <w:r w:rsidRPr="00CF6CB5">
        <w:rPr>
          <w:rFonts w:hAnsi="標楷體" w:hint="eastAsia"/>
          <w:b/>
        </w:rPr>
        <w:t>相關利弊得失，宜請行政院持續審慎</w:t>
      </w:r>
      <w:proofErr w:type="gramStart"/>
      <w:r w:rsidRPr="00CF6CB5">
        <w:rPr>
          <w:rFonts w:hAnsi="標楷體" w:hint="eastAsia"/>
          <w:b/>
        </w:rPr>
        <w:t>注意妥處</w:t>
      </w:r>
      <w:proofErr w:type="gramEnd"/>
      <w:r w:rsidRPr="00CF6CB5">
        <w:rPr>
          <w:rFonts w:ascii="新細明體" w:eastAsia="新細明體" w:hAnsi="新細明體" w:hint="eastAsia"/>
          <w:b/>
        </w:rPr>
        <w:t>，</w:t>
      </w:r>
      <w:r w:rsidRPr="00CF6CB5">
        <w:rPr>
          <w:rFonts w:hAnsi="標楷體" w:hint="eastAsia"/>
          <w:b/>
        </w:rPr>
        <w:t>以期減少爭端。</w:t>
      </w:r>
      <w:bookmarkEnd w:id="204"/>
      <w:bookmarkEnd w:id="205"/>
      <w:r w:rsidRPr="00CF6CB5">
        <w:rPr>
          <w:rFonts w:hAnsi="標楷體" w:hint="eastAsia"/>
          <w:b/>
        </w:rPr>
        <w:t xml:space="preserve"> </w:t>
      </w:r>
    </w:p>
    <w:p w:rsidR="00846BB6" w:rsidRPr="00CF6CB5" w:rsidRDefault="00846BB6" w:rsidP="00846BB6">
      <w:pPr>
        <w:pStyle w:val="3"/>
        <w:kinsoku w:val="0"/>
        <w:overflowPunct/>
        <w:autoSpaceDE/>
        <w:autoSpaceDN/>
        <w:rPr>
          <w:b/>
        </w:rPr>
      </w:pPr>
      <w:bookmarkStart w:id="206" w:name="_Toc70241815"/>
      <w:bookmarkStart w:id="207" w:name="_Toc70242204"/>
      <w:bookmarkStart w:id="208" w:name="_Toc510456649"/>
      <w:bookmarkStart w:id="209" w:name="_Toc510534721"/>
      <w:bookmarkStart w:id="210" w:name="_Toc511053641"/>
      <w:bookmarkStart w:id="211" w:name="_Toc511126987"/>
      <w:r w:rsidRPr="00CF6CB5">
        <w:rPr>
          <w:rFonts w:hint="eastAsia"/>
          <w:b/>
        </w:rPr>
        <w:t>79年訂定實施的地域加給制度</w:t>
      </w:r>
      <w:proofErr w:type="gramStart"/>
      <w:r w:rsidRPr="00CF6CB5">
        <w:rPr>
          <w:rFonts w:hint="eastAsia"/>
          <w:b/>
        </w:rPr>
        <w:t>採</w:t>
      </w:r>
      <w:proofErr w:type="gramEnd"/>
      <w:r w:rsidRPr="00CF6CB5">
        <w:rPr>
          <w:rFonts w:hint="eastAsia"/>
          <w:b/>
        </w:rPr>
        <w:t>行政區域劃分及單一基</w:t>
      </w:r>
      <w:r w:rsidRPr="00CF6CB5">
        <w:rPr>
          <w:rFonts w:hAnsi="標楷體" w:hint="eastAsia"/>
          <w:b/>
        </w:rPr>
        <w:t>準指標，因時空環境變遷，而不合時宜，產生「一路之隔、同工</w:t>
      </w:r>
      <w:r w:rsidRPr="00CF6CB5">
        <w:rPr>
          <w:rFonts w:hint="eastAsia"/>
          <w:b/>
        </w:rPr>
        <w:t>不同酬」等諸多公平性質疑</w:t>
      </w:r>
      <w:bookmarkEnd w:id="206"/>
      <w:bookmarkEnd w:id="207"/>
      <w:r w:rsidRPr="00CF6CB5">
        <w:rPr>
          <w:rFonts w:ascii="新細明體" w:eastAsia="新細明體" w:hAnsi="新細明體" w:hint="eastAsia"/>
          <w:b/>
        </w:rPr>
        <w:t>：</w:t>
      </w:r>
      <w:bookmarkEnd w:id="208"/>
      <w:bookmarkEnd w:id="209"/>
      <w:bookmarkEnd w:id="210"/>
      <w:bookmarkEnd w:id="211"/>
    </w:p>
    <w:p w:rsidR="00846BB6" w:rsidRPr="00CF6CB5" w:rsidRDefault="004867B1" w:rsidP="00267336">
      <w:pPr>
        <w:pStyle w:val="4"/>
      </w:pPr>
      <w:r w:rsidRPr="00CF6CB5">
        <w:rPr>
          <w:rFonts w:hint="eastAsia"/>
        </w:rPr>
        <w:t>俸給法</w:t>
      </w:r>
      <w:r w:rsidR="00846BB6" w:rsidRPr="00CF6CB5">
        <w:rPr>
          <w:rFonts w:hint="eastAsia"/>
        </w:rPr>
        <w:t>於76年1月16日公布施行，該法第5條規</w:t>
      </w:r>
      <w:r w:rsidR="00846BB6" w:rsidRPr="00CF6CB5">
        <w:rPr>
          <w:rFonts w:hint="eastAsia"/>
        </w:rPr>
        <w:lastRenderedPageBreak/>
        <w:t>定：「地域加給：對服務邊遠或特殊地區與國外者加給之。」依加給給與辦法第4條第3款規定：「公務人員各種加給之給與，</w:t>
      </w:r>
      <w:proofErr w:type="gramStart"/>
      <w:r w:rsidR="00846BB6" w:rsidRPr="00CF6CB5">
        <w:rPr>
          <w:rFonts w:hint="eastAsia"/>
        </w:rPr>
        <w:t>應衡酌</w:t>
      </w:r>
      <w:proofErr w:type="gramEnd"/>
      <w:r w:rsidR="00846BB6" w:rsidRPr="00CF6CB5">
        <w:rPr>
          <w:rFonts w:hint="eastAsia"/>
        </w:rPr>
        <w:t>下列因素訂定：…</w:t>
      </w:r>
      <w:proofErr w:type="gramStart"/>
      <w:r w:rsidR="00846BB6" w:rsidRPr="00CF6CB5">
        <w:rPr>
          <w:rFonts w:hint="eastAsia"/>
        </w:rPr>
        <w:t>…</w:t>
      </w:r>
      <w:proofErr w:type="gramEnd"/>
      <w:r w:rsidR="00846BB6" w:rsidRPr="00CF6CB5">
        <w:rPr>
          <w:rFonts w:hint="eastAsia"/>
        </w:rPr>
        <w:t>三、地域加給：服務處所之地理環境、交通狀況、艱苦程度及經濟條件。」又加給給與辦法第13條規定</w:t>
      </w:r>
      <w:r w:rsidR="00846BB6" w:rsidRPr="00CF6CB5">
        <w:rPr>
          <w:rFonts w:ascii="新細明體" w:eastAsia="新細明體" w:hAnsi="新細明體" w:hint="eastAsia"/>
        </w:rPr>
        <w:t>，</w:t>
      </w:r>
      <w:r w:rsidR="00846BB6" w:rsidRPr="00CF6CB5">
        <w:rPr>
          <w:rFonts w:hint="eastAsia"/>
        </w:rPr>
        <w:t>各種加給之給與條件</w:t>
      </w:r>
      <w:r w:rsidR="00846BB6" w:rsidRPr="00CF6CB5">
        <w:rPr>
          <w:rFonts w:ascii="新細明體" w:eastAsia="新細明體" w:hAnsi="新細明體" w:hint="eastAsia"/>
        </w:rPr>
        <w:t>、</w:t>
      </w:r>
      <w:r w:rsidR="00846BB6" w:rsidRPr="00CF6CB5">
        <w:rPr>
          <w:rFonts w:hint="eastAsia"/>
        </w:rPr>
        <w:t>類別</w:t>
      </w:r>
      <w:r w:rsidR="00846BB6" w:rsidRPr="00CF6CB5">
        <w:rPr>
          <w:rFonts w:ascii="新細明體" w:eastAsia="新細明體" w:hAnsi="新細明體" w:hint="eastAsia"/>
        </w:rPr>
        <w:t>、</w:t>
      </w:r>
      <w:r w:rsidR="00846BB6" w:rsidRPr="00CF6CB5">
        <w:rPr>
          <w:rFonts w:hint="eastAsia"/>
        </w:rPr>
        <w:t>適用對象及支給數額</w:t>
      </w:r>
      <w:r w:rsidR="00846BB6" w:rsidRPr="00CF6CB5">
        <w:rPr>
          <w:rFonts w:ascii="新細明體" w:eastAsia="新細明體" w:hAnsi="新細明體" w:hint="eastAsia"/>
        </w:rPr>
        <w:t>，</w:t>
      </w:r>
      <w:r w:rsidR="00846BB6" w:rsidRPr="00CF6CB5">
        <w:rPr>
          <w:rFonts w:hint="eastAsia"/>
        </w:rPr>
        <w:t>依行政院所訂各種加給表辦理</w:t>
      </w:r>
      <w:r w:rsidR="00846BB6" w:rsidRPr="00CF6CB5">
        <w:rPr>
          <w:rFonts w:ascii="新細明體" w:eastAsia="新細明體" w:hAnsi="新細明體" w:hint="eastAsia"/>
        </w:rPr>
        <w:t>。</w:t>
      </w:r>
      <w:r w:rsidR="00846BB6" w:rsidRPr="00CF6CB5">
        <w:rPr>
          <w:rFonts w:hint="eastAsia"/>
        </w:rPr>
        <w:t>行政院</w:t>
      </w:r>
      <w:proofErr w:type="gramStart"/>
      <w:r w:rsidR="00846BB6" w:rsidRPr="00CF6CB5">
        <w:rPr>
          <w:rFonts w:hint="eastAsia"/>
        </w:rPr>
        <w:t>爰</w:t>
      </w:r>
      <w:proofErr w:type="gramEnd"/>
      <w:r w:rsidR="00846BB6" w:rsidRPr="00CF6CB5">
        <w:rPr>
          <w:rFonts w:hint="eastAsia"/>
        </w:rPr>
        <w:t>於79年間據以訂定</w:t>
      </w:r>
      <w:r w:rsidR="00846BB6" w:rsidRPr="00CF6CB5">
        <w:rPr>
          <w:rFonts w:ascii="新細明體" w:eastAsia="新細明體" w:hAnsi="新細明體" w:hint="eastAsia"/>
        </w:rPr>
        <w:t>「</w:t>
      </w:r>
      <w:r w:rsidR="00846BB6" w:rsidRPr="00CF6CB5">
        <w:rPr>
          <w:rFonts w:hint="eastAsia"/>
        </w:rPr>
        <w:t>各機關學校公教員工地域加給表」</w:t>
      </w:r>
      <w:r w:rsidR="00846BB6" w:rsidRPr="00CF6CB5">
        <w:rPr>
          <w:rFonts w:ascii="新細明體" w:eastAsia="新細明體" w:hAnsi="新細明體" w:hint="eastAsia"/>
        </w:rPr>
        <w:t>（</w:t>
      </w:r>
      <w:r w:rsidR="00846BB6" w:rsidRPr="00CF6CB5">
        <w:rPr>
          <w:rFonts w:hint="eastAsia"/>
        </w:rPr>
        <w:t>下稱地域加給表）</w:t>
      </w:r>
      <w:r w:rsidR="00846BB6" w:rsidRPr="00CF6CB5">
        <w:rPr>
          <w:rFonts w:ascii="新細明體" w:eastAsia="新細明體" w:hAnsi="新細明體" w:hint="eastAsia"/>
        </w:rPr>
        <w:t>，</w:t>
      </w:r>
      <w:r w:rsidR="00846BB6" w:rsidRPr="00CF6CB5">
        <w:rPr>
          <w:rFonts w:hint="eastAsia"/>
        </w:rPr>
        <w:t>作為發給地域加給之依據</w:t>
      </w:r>
      <w:r w:rsidR="00846BB6" w:rsidRPr="00CF6CB5">
        <w:rPr>
          <w:rFonts w:ascii="新細明體" w:eastAsia="新細明體" w:hAnsi="新細明體" w:hint="eastAsia"/>
        </w:rPr>
        <w:t>。</w:t>
      </w:r>
    </w:p>
    <w:p w:rsidR="00846BB6" w:rsidRPr="00CF6CB5" w:rsidRDefault="00846BB6" w:rsidP="00267336">
      <w:pPr>
        <w:pStyle w:val="4"/>
        <w:rPr>
          <w:rFonts w:hAnsi="標楷體"/>
        </w:rPr>
      </w:pPr>
      <w:r w:rsidRPr="00CF6CB5">
        <w:rPr>
          <w:rFonts w:hint="eastAsia"/>
        </w:rPr>
        <w:t>地域加給表依各地之地理環境特性分為山</w:t>
      </w:r>
      <w:proofErr w:type="gramStart"/>
      <w:r w:rsidRPr="00CF6CB5">
        <w:rPr>
          <w:rFonts w:hint="eastAsia"/>
        </w:rPr>
        <w:t>僻</w:t>
      </w:r>
      <w:proofErr w:type="gramEnd"/>
      <w:r w:rsidRPr="00CF6CB5">
        <w:rPr>
          <w:rFonts w:hint="eastAsia"/>
        </w:rPr>
        <w:t>地區</w:t>
      </w:r>
      <w:r w:rsidRPr="00CF6CB5">
        <w:rPr>
          <w:rFonts w:ascii="新細明體" w:eastAsia="新細明體" w:hAnsi="新細明體" w:hint="eastAsia"/>
        </w:rPr>
        <w:t>（</w:t>
      </w:r>
      <w:r w:rsidRPr="00CF6CB5">
        <w:rPr>
          <w:rFonts w:hint="eastAsia"/>
        </w:rPr>
        <w:t>又區分為偏遠地區</w:t>
      </w:r>
      <w:r w:rsidRPr="00CF6CB5">
        <w:rPr>
          <w:rFonts w:ascii="新細明體" w:eastAsia="新細明體" w:hAnsi="新細明體" w:hint="eastAsia"/>
        </w:rPr>
        <w:t>、</w:t>
      </w:r>
      <w:r w:rsidRPr="00CF6CB5">
        <w:rPr>
          <w:rFonts w:hint="eastAsia"/>
        </w:rPr>
        <w:t>高山地區</w:t>
      </w:r>
      <w:r w:rsidRPr="00CF6CB5">
        <w:rPr>
          <w:rFonts w:hAnsi="標楷體" w:hint="eastAsia"/>
        </w:rPr>
        <w:t>）</w:t>
      </w:r>
      <w:r w:rsidRPr="00CF6CB5">
        <w:rPr>
          <w:rFonts w:hint="eastAsia"/>
        </w:rPr>
        <w:t>及離島地區</w:t>
      </w:r>
      <w:r w:rsidRPr="00CF6CB5">
        <w:rPr>
          <w:rFonts w:ascii="新細明體" w:eastAsia="新細明體" w:hAnsi="新細明體" w:hint="eastAsia"/>
        </w:rPr>
        <w:t>，</w:t>
      </w:r>
      <w:r w:rsidRPr="00CF6CB5">
        <w:rPr>
          <w:rFonts w:hint="eastAsia"/>
        </w:rPr>
        <w:t>又依地區艱苦性</w:t>
      </w:r>
      <w:r w:rsidRPr="00CF6CB5">
        <w:rPr>
          <w:rFonts w:ascii="新細明體" w:eastAsia="新細明體" w:hAnsi="新細明體" w:hint="eastAsia"/>
        </w:rPr>
        <w:t>，</w:t>
      </w:r>
      <w:r w:rsidRPr="00CF6CB5">
        <w:rPr>
          <w:rFonts w:hint="eastAsia"/>
        </w:rPr>
        <w:t>按偏遠</w:t>
      </w:r>
      <w:r w:rsidRPr="00CF6CB5">
        <w:rPr>
          <w:rFonts w:ascii="新細明體" w:eastAsia="新細明體" w:hAnsi="新細明體" w:hint="eastAsia"/>
        </w:rPr>
        <w:t>、</w:t>
      </w:r>
      <w:r w:rsidRPr="00CF6CB5">
        <w:rPr>
          <w:rFonts w:hint="eastAsia"/>
        </w:rPr>
        <w:t>高山程度及離島狀況區分等級</w:t>
      </w:r>
      <w:r w:rsidRPr="00CF6CB5">
        <w:rPr>
          <w:rFonts w:ascii="新細明體" w:eastAsia="新細明體" w:hAnsi="新細明體" w:hint="eastAsia"/>
        </w:rPr>
        <w:t>（</w:t>
      </w:r>
      <w:r w:rsidRPr="00CF6CB5">
        <w:rPr>
          <w:rFonts w:hint="eastAsia"/>
        </w:rPr>
        <w:t>三至四級</w:t>
      </w:r>
      <w:r w:rsidRPr="00CF6CB5">
        <w:rPr>
          <w:rFonts w:hAnsi="標楷體" w:hint="eastAsia"/>
        </w:rPr>
        <w:t>）</w:t>
      </w:r>
      <w:r w:rsidRPr="00CF6CB5">
        <w:rPr>
          <w:rFonts w:hint="eastAsia"/>
        </w:rPr>
        <w:t>支給</w:t>
      </w:r>
      <w:r w:rsidRPr="00CF6CB5">
        <w:rPr>
          <w:rFonts w:ascii="新細明體" w:eastAsia="新細明體" w:hAnsi="新細明體" w:hint="eastAsia"/>
        </w:rPr>
        <w:t>。</w:t>
      </w:r>
      <w:r w:rsidRPr="00CF6CB5">
        <w:rPr>
          <w:rFonts w:hint="eastAsia"/>
        </w:rPr>
        <w:t>除每月基本數額外</w:t>
      </w:r>
      <w:r w:rsidRPr="00CF6CB5">
        <w:rPr>
          <w:rFonts w:ascii="新細明體" w:eastAsia="新細明體" w:hAnsi="新細明體" w:hint="eastAsia"/>
        </w:rPr>
        <w:t>，</w:t>
      </w:r>
      <w:r w:rsidRPr="00CF6CB5">
        <w:rPr>
          <w:rFonts w:hint="eastAsia"/>
        </w:rPr>
        <w:t>另有年資加成之制度</w:t>
      </w:r>
      <w:r w:rsidRPr="00CF6CB5">
        <w:rPr>
          <w:rFonts w:ascii="新細明體" w:eastAsia="新細明體" w:hAnsi="新細明體" w:hint="eastAsia"/>
        </w:rPr>
        <w:t>。</w:t>
      </w:r>
      <w:r w:rsidRPr="00CF6CB5">
        <w:rPr>
          <w:rFonts w:hint="eastAsia"/>
        </w:rPr>
        <w:t>基本數額按地理環境</w:t>
      </w:r>
      <w:r w:rsidRPr="00CF6CB5">
        <w:rPr>
          <w:rFonts w:ascii="新細明體" w:eastAsia="新細明體" w:hAnsi="新細明體" w:hint="eastAsia"/>
        </w:rPr>
        <w:t>、</w:t>
      </w:r>
      <w:r w:rsidRPr="00CF6CB5">
        <w:rPr>
          <w:rFonts w:hint="eastAsia"/>
        </w:rPr>
        <w:t>交通狀況</w:t>
      </w:r>
      <w:r w:rsidRPr="00CF6CB5">
        <w:rPr>
          <w:rFonts w:ascii="新細明體" w:eastAsia="新細明體" w:hAnsi="新細明體" w:hint="eastAsia"/>
        </w:rPr>
        <w:t>、</w:t>
      </w:r>
      <w:r w:rsidRPr="00CF6CB5">
        <w:rPr>
          <w:rFonts w:hint="eastAsia"/>
        </w:rPr>
        <w:t>艱苦程度</w:t>
      </w:r>
      <w:r w:rsidRPr="00CF6CB5">
        <w:rPr>
          <w:rFonts w:ascii="新細明體" w:eastAsia="新細明體" w:hAnsi="新細明體" w:hint="eastAsia"/>
        </w:rPr>
        <w:t>、</w:t>
      </w:r>
      <w:r w:rsidRPr="00CF6CB5">
        <w:rPr>
          <w:rFonts w:hint="eastAsia"/>
        </w:rPr>
        <w:t>經濟條件等因素訂定</w:t>
      </w:r>
      <w:r w:rsidRPr="00CF6CB5">
        <w:rPr>
          <w:rFonts w:ascii="新細明體" w:eastAsia="新細明體" w:hAnsi="新細明體" w:hint="eastAsia"/>
        </w:rPr>
        <w:t>，</w:t>
      </w:r>
      <w:r w:rsidRPr="00CF6CB5">
        <w:rPr>
          <w:rFonts w:hint="eastAsia"/>
        </w:rPr>
        <w:t>凡服務於同一地區之公教員工</w:t>
      </w:r>
      <w:r w:rsidRPr="00CF6CB5">
        <w:rPr>
          <w:rFonts w:ascii="新細明體" w:eastAsia="新細明體" w:hAnsi="新細明體" w:hint="eastAsia"/>
        </w:rPr>
        <w:t>，</w:t>
      </w:r>
      <w:r w:rsidRPr="00CF6CB5">
        <w:rPr>
          <w:rFonts w:hint="eastAsia"/>
        </w:rPr>
        <w:t>不分官職</w:t>
      </w:r>
      <w:proofErr w:type="gramStart"/>
      <w:r w:rsidRPr="00CF6CB5">
        <w:rPr>
          <w:rFonts w:hint="eastAsia"/>
        </w:rPr>
        <w:t>等均支相同</w:t>
      </w:r>
      <w:proofErr w:type="gramEnd"/>
      <w:r w:rsidRPr="00CF6CB5">
        <w:rPr>
          <w:rFonts w:hint="eastAsia"/>
        </w:rPr>
        <w:t>標準</w:t>
      </w:r>
      <w:r w:rsidRPr="00CF6CB5">
        <w:rPr>
          <w:rFonts w:ascii="新細明體" w:eastAsia="新細明體" w:hAnsi="新細明體" w:hint="eastAsia"/>
        </w:rPr>
        <w:t>。</w:t>
      </w:r>
      <w:r w:rsidRPr="00CF6CB5">
        <w:rPr>
          <w:rFonts w:hint="eastAsia"/>
        </w:rPr>
        <w:t>年資</w:t>
      </w:r>
      <w:proofErr w:type="gramStart"/>
      <w:r w:rsidRPr="00CF6CB5">
        <w:rPr>
          <w:rFonts w:hint="eastAsia"/>
        </w:rPr>
        <w:t>加成係為</w:t>
      </w:r>
      <w:proofErr w:type="gramEnd"/>
      <w:r w:rsidRPr="00CF6CB5">
        <w:rPr>
          <w:rFonts w:hint="eastAsia"/>
        </w:rPr>
        <w:t>鼓勵久任</w:t>
      </w:r>
      <w:r w:rsidRPr="00CF6CB5">
        <w:rPr>
          <w:rFonts w:hAnsi="標楷體" w:hint="eastAsia"/>
        </w:rPr>
        <w:t>之設計，每服務當地滿1年，依其</w:t>
      </w:r>
      <w:proofErr w:type="gramStart"/>
      <w:r w:rsidRPr="00CF6CB5">
        <w:rPr>
          <w:rFonts w:hAnsi="標楷體" w:hint="eastAsia"/>
        </w:rPr>
        <w:t>俸</w:t>
      </w:r>
      <w:proofErr w:type="gramEnd"/>
      <w:r w:rsidRPr="00CF6CB5">
        <w:rPr>
          <w:rFonts w:hAnsi="標楷體" w:hint="eastAsia"/>
        </w:rPr>
        <w:t>額2%加給年資加成，最高可達30%（15年）。</w:t>
      </w:r>
    </w:p>
    <w:p w:rsidR="00846BB6" w:rsidRPr="00CF6CB5" w:rsidRDefault="00846BB6" w:rsidP="00267336">
      <w:pPr>
        <w:pStyle w:val="4"/>
      </w:pPr>
      <w:r w:rsidRPr="00CF6CB5">
        <w:rPr>
          <w:rFonts w:hint="eastAsia"/>
        </w:rPr>
        <w:t>偏遠地區按服務處所所在地至最近公共汽車招呼站或火車站須步行路程區分三級支給，每月基本數額為3,090元至6,180元；高山地區按服務處所海拔高度區分四級支給，每月基本數額為1,030元至8,240元；離島地區按離島別區分三級支給，每月基本數額為5,860元至9,790元；東</w:t>
      </w:r>
      <w:proofErr w:type="gramStart"/>
      <w:r w:rsidRPr="00CF6CB5">
        <w:rPr>
          <w:rFonts w:hint="eastAsia"/>
        </w:rPr>
        <w:t>臺</w:t>
      </w:r>
      <w:proofErr w:type="gramEnd"/>
      <w:r w:rsidRPr="00CF6CB5">
        <w:rPr>
          <w:rFonts w:hint="eastAsia"/>
        </w:rPr>
        <w:t>地區每月支給數額630元</w:t>
      </w:r>
      <w:r w:rsidRPr="00CF6CB5">
        <w:rPr>
          <w:rFonts w:ascii="新細明體" w:eastAsia="新細明體" w:hAnsi="新細明體" w:hint="eastAsia"/>
        </w:rPr>
        <w:t>。</w:t>
      </w:r>
      <w:r w:rsidRPr="00CF6CB5">
        <w:rPr>
          <w:rFonts w:hint="eastAsia"/>
        </w:rPr>
        <w:t>據</w:t>
      </w:r>
      <w:r w:rsidR="00013F27" w:rsidRPr="00CF6CB5">
        <w:rPr>
          <w:rFonts w:hint="eastAsia"/>
        </w:rPr>
        <w:t>人事行政總處</w:t>
      </w:r>
      <w:r w:rsidRPr="00CF6CB5">
        <w:rPr>
          <w:rFonts w:hint="eastAsia"/>
        </w:rPr>
        <w:t>建置之「公教人員待遇管理系統」102年6月份各機關填報之資料，我國公教人員支領地域加給人數約27,599人，其中6,054人位於偏遠地區、165人位</w:t>
      </w:r>
      <w:r w:rsidRPr="00CF6CB5">
        <w:rPr>
          <w:rFonts w:hint="eastAsia"/>
        </w:rPr>
        <w:lastRenderedPageBreak/>
        <w:t>於高山地區、261人位於偏遠與高山競合地區、7,283人位於離島地區、13,836人位於東</w:t>
      </w:r>
      <w:proofErr w:type="gramStart"/>
      <w:r w:rsidRPr="00CF6CB5">
        <w:rPr>
          <w:rFonts w:hint="eastAsia"/>
        </w:rPr>
        <w:t>臺</w:t>
      </w:r>
      <w:proofErr w:type="gramEnd"/>
      <w:r w:rsidRPr="00CF6CB5">
        <w:rPr>
          <w:rFonts w:hint="eastAsia"/>
        </w:rPr>
        <w:t>地區。以該月份地域加給支給金額推估全年度地域加給支出，約19億7,475萬元</w:t>
      </w:r>
      <w:r w:rsidRPr="00CF6CB5">
        <w:rPr>
          <w:rStyle w:val="aff1"/>
          <w:rFonts w:hAnsi="標楷體"/>
          <w:bCs/>
        </w:rPr>
        <w:footnoteReference w:id="73"/>
      </w:r>
      <w:r w:rsidRPr="00CF6CB5">
        <w:rPr>
          <w:rFonts w:hint="eastAsia"/>
        </w:rPr>
        <w:t>。</w:t>
      </w:r>
    </w:p>
    <w:p w:rsidR="00846BB6" w:rsidRPr="00CF6CB5" w:rsidRDefault="00846BB6" w:rsidP="00267336">
      <w:pPr>
        <w:pStyle w:val="4"/>
      </w:pPr>
      <w:r w:rsidRPr="00CF6CB5">
        <w:rPr>
          <w:rFonts w:hint="eastAsia"/>
        </w:rPr>
        <w:t>地域加給表自79年施行迄今已逾20餘年</w:t>
      </w:r>
      <w:r w:rsidRPr="00CF6CB5">
        <w:rPr>
          <w:rFonts w:ascii="新細明體" w:eastAsia="新細明體" w:hAnsi="新細明體" w:hint="eastAsia"/>
        </w:rPr>
        <w:t>，</w:t>
      </w:r>
      <w:r w:rsidRPr="00CF6CB5">
        <w:rPr>
          <w:rFonts w:hint="eastAsia"/>
        </w:rPr>
        <w:t>隨著各地區的經濟與交通日漸發展，已不合時宜</w:t>
      </w:r>
      <w:r w:rsidRPr="00CF6CB5">
        <w:rPr>
          <w:rFonts w:ascii="新細明體" w:eastAsia="新細明體" w:hAnsi="新細明體" w:hint="eastAsia"/>
        </w:rPr>
        <w:t>，</w:t>
      </w:r>
      <w:r w:rsidRPr="00CF6CB5">
        <w:rPr>
          <w:rFonts w:hint="eastAsia"/>
        </w:rPr>
        <w:t>面臨諸多問題如下</w:t>
      </w:r>
      <w:r w:rsidRPr="00CF6CB5">
        <w:rPr>
          <w:rStyle w:val="aff1"/>
          <w:rFonts w:hAnsi="標楷體"/>
          <w:bCs/>
        </w:rPr>
        <w:footnoteReference w:id="74"/>
      </w:r>
      <w:r w:rsidRPr="00CF6CB5">
        <w:rPr>
          <w:rFonts w:ascii="新細明體" w:eastAsia="新細明體" w:hAnsi="新細明體" w:hint="eastAsia"/>
        </w:rPr>
        <w:t>：</w:t>
      </w:r>
    </w:p>
    <w:p w:rsidR="00846BB6" w:rsidRPr="00CF6CB5" w:rsidRDefault="00846BB6" w:rsidP="00267336">
      <w:pPr>
        <w:pStyle w:val="5"/>
      </w:pPr>
      <w:r w:rsidRPr="00CF6CB5">
        <w:rPr>
          <w:rFonts w:hint="eastAsia"/>
        </w:rPr>
        <w:t>地域加給之政策目的應重新釐定</w:t>
      </w:r>
    </w:p>
    <w:p w:rsidR="00846BB6" w:rsidRPr="00CF6CB5" w:rsidRDefault="00846BB6" w:rsidP="00267336">
      <w:pPr>
        <w:pStyle w:val="51"/>
        <w:ind w:left="2041" w:firstLine="680"/>
      </w:pPr>
      <w:r w:rsidRPr="00CF6CB5">
        <w:rPr>
          <w:rFonts w:hint="eastAsia"/>
        </w:rPr>
        <w:t>地域加給訂定之初，係為鼓勵人才至山</w:t>
      </w:r>
      <w:proofErr w:type="gramStart"/>
      <w:r w:rsidRPr="00CF6CB5">
        <w:rPr>
          <w:rFonts w:hint="eastAsia"/>
        </w:rPr>
        <w:t>僻</w:t>
      </w:r>
      <w:proofErr w:type="gramEnd"/>
      <w:r w:rsidRPr="00CF6CB5">
        <w:rPr>
          <w:rFonts w:hint="eastAsia"/>
        </w:rPr>
        <w:t>及離島地區服務，提升基層機關人力素質。</w:t>
      </w:r>
      <w:proofErr w:type="gramStart"/>
      <w:r w:rsidRPr="00CF6CB5">
        <w:rPr>
          <w:rFonts w:hint="eastAsia"/>
        </w:rPr>
        <w:t>惟</w:t>
      </w:r>
      <w:proofErr w:type="gramEnd"/>
      <w:r w:rsidRPr="00CF6CB5">
        <w:rPr>
          <w:rFonts w:hint="eastAsia"/>
        </w:rPr>
        <w:t>隨著各地區的經濟與交通等條件日漸改善，其政策目的或有重行確認或釐定之必要。</w:t>
      </w:r>
    </w:p>
    <w:p w:rsidR="00846BB6" w:rsidRPr="00CF6CB5" w:rsidRDefault="00846BB6" w:rsidP="00267336">
      <w:pPr>
        <w:pStyle w:val="5"/>
      </w:pPr>
      <w:r w:rsidRPr="00CF6CB5">
        <w:rPr>
          <w:rFonts w:hint="eastAsia"/>
        </w:rPr>
        <w:t>偏遠地區與高山地區地域加給規定不合時宜</w:t>
      </w:r>
    </w:p>
    <w:p w:rsidR="00846BB6" w:rsidRPr="00CF6CB5" w:rsidRDefault="00846BB6" w:rsidP="00267336">
      <w:pPr>
        <w:pStyle w:val="51"/>
        <w:ind w:left="2041" w:firstLine="680"/>
        <w:rPr>
          <w:rFonts w:ascii="新細明體" w:eastAsia="新細明體" w:hAnsi="新細明體"/>
        </w:rPr>
      </w:pPr>
      <w:r w:rsidRPr="00CF6CB5">
        <w:rPr>
          <w:rFonts w:hint="eastAsia"/>
        </w:rPr>
        <w:t>偏遠地區地域加給係依服務處所至最近公共汽車招呼站或火車站須步行路程分級，惟平地偏遠地區與山地偏遠地區支給規定不盡相同。平地偏遠地區距離公共汽車招呼站須步行距離達5公里以上，始得依距離遠近支領偏遠地區一至三級地域加給；惟如屬地域加給表列山地地區者，則無公里數之限制，即得按偏遠地區</w:t>
      </w:r>
      <w:proofErr w:type="gramStart"/>
      <w:r w:rsidRPr="00CF6CB5">
        <w:rPr>
          <w:rFonts w:hint="eastAsia"/>
        </w:rPr>
        <w:t>第一級支給</w:t>
      </w:r>
      <w:proofErr w:type="gramEnd"/>
      <w:r w:rsidRPr="00CF6CB5">
        <w:rPr>
          <w:rFonts w:hint="eastAsia"/>
        </w:rPr>
        <w:t>地域加給。上述分級方式，</w:t>
      </w:r>
      <w:proofErr w:type="gramStart"/>
      <w:r w:rsidRPr="00CF6CB5">
        <w:rPr>
          <w:rFonts w:hint="eastAsia"/>
        </w:rPr>
        <w:t>迭有機關</w:t>
      </w:r>
      <w:proofErr w:type="gramEnd"/>
      <w:r w:rsidRPr="00CF6CB5">
        <w:rPr>
          <w:rFonts w:hint="eastAsia"/>
        </w:rPr>
        <w:t>反映可能使得工作環境基本上相同的2個機關，僅因位處不同行政區，實際座落位置</w:t>
      </w:r>
      <w:proofErr w:type="gramStart"/>
      <w:r w:rsidRPr="00CF6CB5">
        <w:rPr>
          <w:rFonts w:hint="eastAsia"/>
        </w:rPr>
        <w:t>僅相隔</w:t>
      </w:r>
      <w:proofErr w:type="gramEnd"/>
      <w:r w:rsidRPr="00CF6CB5">
        <w:rPr>
          <w:rFonts w:hint="eastAsia"/>
        </w:rPr>
        <w:t>一條馬路，而某一機關得適用地域加給表、另一機關則無法適用，或</w:t>
      </w:r>
      <w:proofErr w:type="gramStart"/>
      <w:r w:rsidRPr="00CF6CB5">
        <w:rPr>
          <w:rFonts w:hint="eastAsia"/>
        </w:rPr>
        <w:t>雖均得支領</w:t>
      </w:r>
      <w:proofErr w:type="gramEnd"/>
      <w:r w:rsidRPr="00CF6CB5">
        <w:rPr>
          <w:rFonts w:hint="eastAsia"/>
        </w:rPr>
        <w:t>地域加給，惟數額不一致之不合理現象。又高山地區係依服務處所海拔高度分級支給地域加給，惟此種</w:t>
      </w:r>
      <w:r w:rsidRPr="00CF6CB5">
        <w:rPr>
          <w:rFonts w:hint="eastAsia"/>
        </w:rPr>
        <w:lastRenderedPageBreak/>
        <w:t>分級方式可能造成2個機關因服務處所海拔高度僅相差1公尺，而地域加給支給數額卻差距1倍之不合理現象。基此，以單一指標作為支給地域加給及支給級別之評量標準，容有通盤檢討之必要。茲以1則</w:t>
      </w:r>
      <w:r w:rsidRPr="00CF6CB5">
        <w:rPr>
          <w:rFonts w:ascii="新細明體" w:eastAsia="新細明體" w:hAnsi="新細明體" w:hint="eastAsia"/>
        </w:rPr>
        <w:t>「</w:t>
      </w:r>
      <w:r w:rsidRPr="00CF6CB5">
        <w:rPr>
          <w:rFonts w:hint="eastAsia"/>
        </w:rPr>
        <w:t>一路之隔</w:t>
      </w:r>
      <w:r w:rsidRPr="00CF6CB5">
        <w:rPr>
          <w:rFonts w:ascii="新細明體" w:eastAsia="新細明體" w:hAnsi="新細明體" w:hint="eastAsia"/>
        </w:rPr>
        <w:t>，</w:t>
      </w:r>
      <w:r w:rsidRPr="00CF6CB5">
        <w:rPr>
          <w:rFonts w:hint="eastAsia"/>
        </w:rPr>
        <w:t>老師薪水差7千元</w:t>
      </w:r>
      <w:r w:rsidRPr="00CF6CB5">
        <w:rPr>
          <w:rFonts w:hAnsi="標楷體" w:hint="eastAsia"/>
        </w:rPr>
        <w:t>」</w:t>
      </w:r>
      <w:r w:rsidRPr="00CF6CB5">
        <w:rPr>
          <w:rFonts w:hint="eastAsia"/>
        </w:rPr>
        <w:t>的新聞報導為例</w:t>
      </w:r>
      <w:r w:rsidRPr="00CF6CB5">
        <w:rPr>
          <w:rFonts w:ascii="新細明體" w:eastAsia="新細明體" w:hAnsi="新細明體" w:hint="eastAsia"/>
        </w:rPr>
        <w:t>，</w:t>
      </w:r>
      <w:r w:rsidRPr="00CF6CB5">
        <w:rPr>
          <w:rFonts w:hint="eastAsia"/>
        </w:rPr>
        <w:t>內容敘及宜蘭縣蓬萊國小</w:t>
      </w:r>
      <w:r w:rsidRPr="00CF6CB5">
        <w:rPr>
          <w:rFonts w:ascii="新細明體" w:eastAsia="新細明體" w:hAnsi="新細明體" w:hint="eastAsia"/>
        </w:rPr>
        <w:t>、</w:t>
      </w:r>
      <w:r w:rsidRPr="00CF6CB5">
        <w:rPr>
          <w:rFonts w:hint="eastAsia"/>
        </w:rPr>
        <w:t>南澳國小兩</w:t>
      </w:r>
      <w:proofErr w:type="gramStart"/>
      <w:r w:rsidRPr="00CF6CB5">
        <w:rPr>
          <w:rFonts w:hint="eastAsia"/>
        </w:rPr>
        <w:t>校隔蘇</w:t>
      </w:r>
      <w:proofErr w:type="gramEnd"/>
      <w:r w:rsidRPr="00CF6CB5">
        <w:rPr>
          <w:rFonts w:hint="eastAsia"/>
        </w:rPr>
        <w:t>花公路相</w:t>
      </w:r>
      <w:r w:rsidRPr="00CF6CB5">
        <w:rPr>
          <w:rFonts w:hAnsi="標楷體" w:hint="eastAsia"/>
        </w:rPr>
        <w:t>望，地理位置同樣位處大南澳地區，卻因行政區分屬蘇澳鎮、南澳鄉（屬第一級山偏地區，每月地域加給除了3,090元基本數額，還有年資加成），一路之隔，讓兩校教師月薪相差最多達7,000元</w:t>
      </w:r>
      <w:r w:rsidRPr="00CF6CB5">
        <w:rPr>
          <w:rFonts w:ascii="新細明體" w:eastAsia="新細明體" w:hAnsi="新細明體" w:hint="eastAsia"/>
        </w:rPr>
        <w:t>，</w:t>
      </w:r>
      <w:r w:rsidRPr="00CF6CB5">
        <w:rPr>
          <w:rFonts w:hAnsi="標楷體" w:hint="eastAsia"/>
        </w:rPr>
        <w:t>讓沒有地域加給的蓬萊國小教師</w:t>
      </w:r>
      <w:proofErr w:type="gramStart"/>
      <w:r w:rsidRPr="00CF6CB5">
        <w:rPr>
          <w:rFonts w:hAnsi="標楷體" w:hint="eastAsia"/>
        </w:rPr>
        <w:t>大嘆同工</w:t>
      </w:r>
      <w:proofErr w:type="gramEnd"/>
      <w:r w:rsidRPr="00CF6CB5">
        <w:rPr>
          <w:rFonts w:hAnsi="標楷體" w:hint="eastAsia"/>
        </w:rPr>
        <w:t>不同酬</w:t>
      </w:r>
      <w:r w:rsidRPr="00CF6CB5">
        <w:rPr>
          <w:rFonts w:ascii="新細明體" w:eastAsia="新細明體" w:hAnsi="新細明體" w:hint="eastAsia"/>
        </w:rPr>
        <w:t>，</w:t>
      </w:r>
      <w:r w:rsidRPr="00CF6CB5">
        <w:rPr>
          <w:rFonts w:hAnsi="標楷體" w:hint="eastAsia"/>
        </w:rPr>
        <w:t>教師流動率高</w:t>
      </w:r>
      <w:r w:rsidRPr="00CF6CB5">
        <w:rPr>
          <w:rStyle w:val="aff1"/>
          <w:rFonts w:hAnsi="標楷體"/>
        </w:rPr>
        <w:footnoteReference w:id="75"/>
      </w:r>
      <w:r w:rsidRPr="00CF6CB5">
        <w:rPr>
          <w:rFonts w:ascii="新細明體" w:eastAsia="新細明體" w:hAnsi="新細明體" w:hint="eastAsia"/>
        </w:rPr>
        <w:t>。</w:t>
      </w:r>
    </w:p>
    <w:p w:rsidR="00846BB6" w:rsidRPr="00CF6CB5" w:rsidRDefault="00846BB6" w:rsidP="00267336">
      <w:pPr>
        <w:pStyle w:val="5"/>
      </w:pPr>
      <w:r w:rsidRPr="00CF6CB5">
        <w:rPr>
          <w:rFonts w:hint="eastAsia"/>
        </w:rPr>
        <w:t>離島地區地域加給需要重新檢討：</w:t>
      </w:r>
    </w:p>
    <w:p w:rsidR="00846BB6" w:rsidRPr="00CF6CB5" w:rsidRDefault="00846BB6" w:rsidP="00267336">
      <w:pPr>
        <w:pStyle w:val="51"/>
        <w:ind w:left="2041" w:firstLine="680"/>
      </w:pPr>
      <w:r w:rsidRPr="00CF6CB5">
        <w:rPr>
          <w:rFonts w:hint="eastAsia"/>
        </w:rPr>
        <w:t>離島地區</w:t>
      </w:r>
      <w:proofErr w:type="gramStart"/>
      <w:r w:rsidRPr="00CF6CB5">
        <w:rPr>
          <w:rFonts w:hint="eastAsia"/>
        </w:rPr>
        <w:t>依其島別位置</w:t>
      </w:r>
      <w:proofErr w:type="gramEnd"/>
      <w:r w:rsidRPr="00CF6CB5">
        <w:rPr>
          <w:rFonts w:hint="eastAsia"/>
        </w:rPr>
        <w:t>不同，支領不同級別之地域加給。惟以近年來部分離島地區觀光、交通與經濟狀況之發展程度已與地域加給表訂定之初不同，</w:t>
      </w:r>
      <w:proofErr w:type="gramStart"/>
      <w:r w:rsidRPr="00CF6CB5">
        <w:rPr>
          <w:rFonts w:hint="eastAsia"/>
        </w:rPr>
        <w:t>爰</w:t>
      </w:r>
      <w:proofErr w:type="gramEnd"/>
      <w:r w:rsidRPr="00CF6CB5">
        <w:rPr>
          <w:rFonts w:hint="eastAsia"/>
        </w:rPr>
        <w:t>支給對象及支給</w:t>
      </w:r>
      <w:proofErr w:type="gramStart"/>
      <w:r w:rsidRPr="00CF6CB5">
        <w:rPr>
          <w:rFonts w:hint="eastAsia"/>
        </w:rPr>
        <w:t>數額均容有</w:t>
      </w:r>
      <w:proofErr w:type="gramEnd"/>
      <w:r w:rsidRPr="00CF6CB5">
        <w:rPr>
          <w:rFonts w:hint="eastAsia"/>
        </w:rPr>
        <w:t>通盤檢討空間。</w:t>
      </w:r>
    </w:p>
    <w:p w:rsidR="00846BB6" w:rsidRPr="00CF6CB5" w:rsidRDefault="00846BB6" w:rsidP="00267336">
      <w:pPr>
        <w:pStyle w:val="5"/>
      </w:pPr>
      <w:r w:rsidRPr="00CF6CB5">
        <w:rPr>
          <w:rFonts w:hint="eastAsia"/>
        </w:rPr>
        <w:t>地域加給各級別及其基本數額應有合理之關聯：</w:t>
      </w:r>
    </w:p>
    <w:p w:rsidR="00846BB6" w:rsidRPr="00CF6CB5" w:rsidRDefault="00846BB6" w:rsidP="00267336">
      <w:pPr>
        <w:pStyle w:val="51"/>
        <w:ind w:left="2041" w:firstLine="680"/>
      </w:pPr>
      <w:r w:rsidRPr="00CF6CB5">
        <w:rPr>
          <w:rFonts w:hint="eastAsia"/>
        </w:rPr>
        <w:t>現行地域加給表列各地區區分三至四級支給，惟各地區同等級之支給數額卻不盡相同，似無合理之評估準則</w:t>
      </w:r>
      <w:proofErr w:type="gramStart"/>
      <w:r w:rsidRPr="00CF6CB5">
        <w:rPr>
          <w:rFonts w:hint="eastAsia"/>
        </w:rPr>
        <w:t>（</w:t>
      </w:r>
      <w:proofErr w:type="gramEnd"/>
      <w:r w:rsidRPr="00CF6CB5">
        <w:rPr>
          <w:rFonts w:hint="eastAsia"/>
        </w:rPr>
        <w:t>按：每月基本數額於偏遠地區第一級為3,090元、高山地區第一級為1,030元、離島地區第一級為5,840元</w:t>
      </w:r>
      <w:proofErr w:type="gramStart"/>
      <w:r w:rsidRPr="00CF6CB5">
        <w:rPr>
          <w:rFonts w:hint="eastAsia"/>
        </w:rPr>
        <w:t>）</w:t>
      </w:r>
      <w:proofErr w:type="gramEnd"/>
      <w:r w:rsidRPr="00CF6CB5">
        <w:rPr>
          <w:rFonts w:hint="eastAsia"/>
        </w:rPr>
        <w:t>。</w:t>
      </w:r>
    </w:p>
    <w:p w:rsidR="00846BB6" w:rsidRPr="00CF6CB5" w:rsidRDefault="00846BB6" w:rsidP="00267336">
      <w:pPr>
        <w:pStyle w:val="5"/>
      </w:pPr>
      <w:r w:rsidRPr="00CF6CB5">
        <w:rPr>
          <w:rFonts w:hint="eastAsia"/>
        </w:rPr>
        <w:t>年資加成之計算方式有檢討調整之必要：</w:t>
      </w:r>
    </w:p>
    <w:p w:rsidR="00846BB6" w:rsidRPr="00CF6CB5" w:rsidRDefault="00846BB6" w:rsidP="00267336">
      <w:pPr>
        <w:pStyle w:val="51"/>
        <w:ind w:left="2041" w:firstLine="680"/>
      </w:pPr>
      <w:r w:rsidRPr="00CF6CB5">
        <w:rPr>
          <w:rFonts w:hint="eastAsia"/>
        </w:rPr>
        <w:t>依現行制度之設計，</w:t>
      </w:r>
      <w:proofErr w:type="gramStart"/>
      <w:r w:rsidRPr="00CF6CB5">
        <w:rPr>
          <w:rFonts w:hint="eastAsia"/>
        </w:rPr>
        <w:t>以薦任</w:t>
      </w:r>
      <w:proofErr w:type="gramEnd"/>
      <w:r w:rsidRPr="00CF6CB5">
        <w:rPr>
          <w:rFonts w:hint="eastAsia"/>
        </w:rPr>
        <w:t>第6職等本</w:t>
      </w:r>
      <w:proofErr w:type="gramStart"/>
      <w:r w:rsidRPr="00CF6CB5">
        <w:rPr>
          <w:rFonts w:hint="eastAsia"/>
        </w:rPr>
        <w:t>俸</w:t>
      </w:r>
      <w:proofErr w:type="gramEnd"/>
      <w:r w:rsidRPr="00CF6CB5">
        <w:rPr>
          <w:rFonts w:hint="eastAsia"/>
        </w:rPr>
        <w:t>1</w:t>
      </w:r>
      <w:r w:rsidRPr="00CF6CB5">
        <w:rPr>
          <w:rFonts w:hint="eastAsia"/>
        </w:rPr>
        <w:lastRenderedPageBreak/>
        <w:t>級新進人員為例，如未再</w:t>
      </w:r>
      <w:proofErr w:type="gramStart"/>
      <w:r w:rsidRPr="00CF6CB5">
        <w:rPr>
          <w:rFonts w:hint="eastAsia"/>
        </w:rPr>
        <w:t>陞</w:t>
      </w:r>
      <w:proofErr w:type="gramEnd"/>
      <w:r w:rsidRPr="00CF6CB5">
        <w:rPr>
          <w:rFonts w:hint="eastAsia"/>
        </w:rPr>
        <w:t>任職務並調離本機關，最高</w:t>
      </w:r>
      <w:proofErr w:type="gramStart"/>
      <w:r w:rsidRPr="00CF6CB5">
        <w:rPr>
          <w:rFonts w:hint="eastAsia"/>
        </w:rPr>
        <w:t>敘至薦任</w:t>
      </w:r>
      <w:proofErr w:type="gramEnd"/>
      <w:r w:rsidRPr="00CF6CB5">
        <w:rPr>
          <w:rFonts w:hint="eastAsia"/>
        </w:rPr>
        <w:t>第7職等年功</w:t>
      </w:r>
      <w:proofErr w:type="gramStart"/>
      <w:r w:rsidRPr="00CF6CB5">
        <w:rPr>
          <w:rFonts w:hint="eastAsia"/>
        </w:rPr>
        <w:t>俸</w:t>
      </w:r>
      <w:proofErr w:type="gramEnd"/>
      <w:r w:rsidRPr="00CF6CB5">
        <w:rPr>
          <w:rFonts w:hint="eastAsia"/>
        </w:rPr>
        <w:t>第6級，服務滿15年最多得依本</w:t>
      </w:r>
      <w:proofErr w:type="gramStart"/>
      <w:r w:rsidRPr="00CF6CB5">
        <w:rPr>
          <w:rFonts w:hint="eastAsia"/>
        </w:rPr>
        <w:t>俸</w:t>
      </w:r>
      <w:proofErr w:type="gramEnd"/>
      <w:r w:rsidRPr="00CF6CB5">
        <w:rPr>
          <w:rFonts w:hint="eastAsia"/>
        </w:rPr>
        <w:t>30%加計年資加成。初估其在當地服務最快自第3年起（如高山地區第一級）、最遲至第14年起（如離島地區第三級），年資加成數額即高於基本數額；而各地區年資加成數額最多約為基本數額之3倍（如高山地區第一級）、最低仍有近1倍（如偏遠地區第一級）。且如係服務於偏遠地區第3級、高山地區第4級、離島地區第3級，地域加給最高數額分別為17,907元、19,967元、21,517元，</w:t>
      </w:r>
      <w:proofErr w:type="gramStart"/>
      <w:r w:rsidRPr="00CF6CB5">
        <w:rPr>
          <w:rFonts w:hint="eastAsia"/>
        </w:rPr>
        <w:t>較非地域</w:t>
      </w:r>
      <w:proofErr w:type="gramEnd"/>
      <w:r w:rsidRPr="00CF6CB5">
        <w:rPr>
          <w:rFonts w:hint="eastAsia"/>
        </w:rPr>
        <w:t>加給</w:t>
      </w:r>
      <w:proofErr w:type="gramStart"/>
      <w:r w:rsidRPr="00CF6CB5">
        <w:rPr>
          <w:rFonts w:hint="eastAsia"/>
        </w:rPr>
        <w:t>地區同職等</w:t>
      </w:r>
      <w:proofErr w:type="gramEnd"/>
      <w:r w:rsidRPr="00CF6CB5">
        <w:rPr>
          <w:rFonts w:hint="eastAsia"/>
        </w:rPr>
        <w:t>人員月支本</w:t>
      </w:r>
      <w:proofErr w:type="gramStart"/>
      <w:r w:rsidRPr="00CF6CB5">
        <w:rPr>
          <w:rFonts w:hint="eastAsia"/>
        </w:rPr>
        <w:t>俸</w:t>
      </w:r>
      <w:proofErr w:type="gramEnd"/>
      <w:r w:rsidRPr="00CF6CB5">
        <w:rPr>
          <w:rFonts w:hint="eastAsia"/>
        </w:rPr>
        <w:t>及專業加給合計數（46,225元至60,800元）高出約1/3。是</w:t>
      </w:r>
      <w:proofErr w:type="gramStart"/>
      <w:r w:rsidRPr="00CF6CB5">
        <w:rPr>
          <w:rFonts w:hint="eastAsia"/>
        </w:rPr>
        <w:t>以</w:t>
      </w:r>
      <w:proofErr w:type="gramEnd"/>
      <w:r w:rsidRPr="00CF6CB5">
        <w:rPr>
          <w:rFonts w:hint="eastAsia"/>
        </w:rPr>
        <w:t>，現行年資加成之數額是否偏高、部分支領地域加給者僅需服務短期其年資</w:t>
      </w:r>
      <w:proofErr w:type="gramStart"/>
      <w:r w:rsidRPr="00CF6CB5">
        <w:rPr>
          <w:rFonts w:hint="eastAsia"/>
        </w:rPr>
        <w:t>加成即高於</w:t>
      </w:r>
      <w:proofErr w:type="gramEnd"/>
      <w:r w:rsidRPr="00CF6CB5">
        <w:rPr>
          <w:rFonts w:hint="eastAsia"/>
        </w:rPr>
        <w:t>基本數額是否合理、各級別基本數額與其年資加成數額上限間是否應有合理關聯等，</w:t>
      </w:r>
      <w:proofErr w:type="gramStart"/>
      <w:r w:rsidRPr="00CF6CB5">
        <w:rPr>
          <w:rFonts w:hint="eastAsia"/>
        </w:rPr>
        <w:t>均有再</w:t>
      </w:r>
      <w:proofErr w:type="gramEnd"/>
      <w:r w:rsidRPr="00CF6CB5">
        <w:rPr>
          <w:rFonts w:hint="eastAsia"/>
        </w:rPr>
        <w:t>檢討調整之空間。</w:t>
      </w:r>
    </w:p>
    <w:p w:rsidR="00846BB6" w:rsidRPr="00CF6CB5" w:rsidRDefault="00846BB6" w:rsidP="00846BB6">
      <w:pPr>
        <w:pStyle w:val="3"/>
        <w:kinsoku w:val="0"/>
        <w:overflowPunct/>
        <w:autoSpaceDE/>
        <w:autoSpaceDN/>
        <w:ind w:leftChars="200" w:hangingChars="200"/>
        <w:rPr>
          <w:rFonts w:hAnsi="標楷體"/>
          <w:b/>
        </w:rPr>
      </w:pPr>
      <w:bookmarkStart w:id="212" w:name="_Toc510456650"/>
      <w:bookmarkStart w:id="213" w:name="_Toc510534722"/>
      <w:bookmarkStart w:id="214" w:name="_Toc511053642"/>
      <w:bookmarkStart w:id="215" w:name="_Toc511126988"/>
      <w:r w:rsidRPr="00CF6CB5">
        <w:rPr>
          <w:rFonts w:hAnsi="標楷體" w:hint="eastAsia"/>
          <w:b/>
        </w:rPr>
        <w:t>行政院於106年4月核定地域加給合理化調整方案</w:t>
      </w:r>
      <w:r w:rsidRPr="00CF6CB5">
        <w:rPr>
          <w:rFonts w:ascii="新細明體" w:eastAsia="新細明體" w:hAnsi="新細明體" w:hint="eastAsia"/>
          <w:b/>
        </w:rPr>
        <w:t>，</w:t>
      </w:r>
      <w:proofErr w:type="gramStart"/>
      <w:r w:rsidRPr="00CF6CB5">
        <w:rPr>
          <w:rFonts w:hAnsi="標楷體" w:hint="eastAsia"/>
          <w:b/>
        </w:rPr>
        <w:t>採</w:t>
      </w:r>
      <w:proofErr w:type="gramEnd"/>
      <w:r w:rsidRPr="00CF6CB5">
        <w:rPr>
          <w:rFonts w:hAnsi="標楷體" w:hint="eastAsia"/>
          <w:b/>
        </w:rPr>
        <w:t>多面向評核指標，賦予地方政府彈性規劃地域加給空間之重大變革，經查試辦方案中，由各地方政府評估財政狀況，採取20%地方自籌經費彈性增加的變革設計，雖有利地方彈性延攬及留任人才，惟是否可能因地方財政狀況不同而淪為政治籌碼</w:t>
      </w:r>
      <w:r w:rsidRPr="00CF6CB5">
        <w:rPr>
          <w:rFonts w:ascii="新細明體" w:eastAsia="新細明體" w:hAnsi="新細明體" w:hint="eastAsia"/>
          <w:b/>
        </w:rPr>
        <w:t>，</w:t>
      </w:r>
      <w:r w:rsidRPr="00CF6CB5">
        <w:rPr>
          <w:rFonts w:hAnsi="標楷體" w:hint="eastAsia"/>
          <w:b/>
        </w:rPr>
        <w:t>滋生同工不同酬的公平性疑慮，或不利財政窘困縣市的偏遠地區留任優秀教師</w:t>
      </w:r>
      <w:r w:rsidR="008D46F2" w:rsidRPr="00CF6CB5">
        <w:rPr>
          <w:rFonts w:ascii="新細明體" w:eastAsia="新細明體" w:hAnsi="新細明體" w:hint="eastAsia"/>
          <w:b/>
        </w:rPr>
        <w:t>，</w:t>
      </w:r>
      <w:r w:rsidR="008D46F2" w:rsidRPr="00CF6CB5">
        <w:rPr>
          <w:rFonts w:hAnsi="標楷體" w:hint="eastAsia"/>
          <w:b/>
        </w:rPr>
        <w:t>值得重視</w:t>
      </w:r>
      <w:r w:rsidR="008D46F2" w:rsidRPr="00CF6CB5">
        <w:rPr>
          <w:rFonts w:ascii="新細明體" w:eastAsia="新細明體" w:hAnsi="新細明體" w:hint="eastAsia"/>
          <w:b/>
        </w:rPr>
        <w:t>，</w:t>
      </w:r>
      <w:r w:rsidRPr="00CF6CB5">
        <w:rPr>
          <w:rFonts w:hAnsi="標楷體" w:hint="eastAsia"/>
          <w:b/>
        </w:rPr>
        <w:t>相關利弊得失，宜請行政院持續審慎</w:t>
      </w:r>
      <w:proofErr w:type="gramStart"/>
      <w:r w:rsidRPr="00CF6CB5">
        <w:rPr>
          <w:rFonts w:hAnsi="標楷體" w:hint="eastAsia"/>
          <w:b/>
        </w:rPr>
        <w:t>注意妥處</w:t>
      </w:r>
      <w:proofErr w:type="gramEnd"/>
      <w:r w:rsidRPr="00CF6CB5">
        <w:rPr>
          <w:rFonts w:ascii="新細明體" w:eastAsia="新細明體" w:hAnsi="新細明體" w:hint="eastAsia"/>
          <w:b/>
        </w:rPr>
        <w:t>：</w:t>
      </w:r>
      <w:bookmarkEnd w:id="212"/>
      <w:bookmarkEnd w:id="213"/>
      <w:bookmarkEnd w:id="214"/>
      <w:bookmarkEnd w:id="215"/>
    </w:p>
    <w:p w:rsidR="00846BB6" w:rsidRPr="00CF6CB5" w:rsidRDefault="00013F27" w:rsidP="00267336">
      <w:pPr>
        <w:pStyle w:val="4"/>
      </w:pPr>
      <w:r w:rsidRPr="00CF6CB5">
        <w:rPr>
          <w:rFonts w:hint="eastAsia"/>
        </w:rPr>
        <w:t>人事行政總處</w:t>
      </w:r>
      <w:r w:rsidR="00846BB6" w:rsidRPr="00CF6CB5">
        <w:rPr>
          <w:rFonts w:hint="eastAsia"/>
        </w:rPr>
        <w:t>於</w:t>
      </w:r>
      <w:r w:rsidR="00846BB6" w:rsidRPr="00CF6CB5">
        <w:t>102年間委託淡江大學</w:t>
      </w:r>
      <w:r w:rsidR="00846BB6" w:rsidRPr="00CF6CB5">
        <w:rPr>
          <w:rFonts w:hint="eastAsia"/>
        </w:rPr>
        <w:t>黃一峯教授</w:t>
      </w:r>
      <w:r w:rsidR="00846BB6" w:rsidRPr="00CF6CB5">
        <w:t>辦理「我國機關學校公教員工地域加給表支給合理性」研究，作為重要基礎，邀集中央及地方</w:t>
      </w:r>
      <w:r w:rsidR="00846BB6" w:rsidRPr="00CF6CB5">
        <w:lastRenderedPageBreak/>
        <w:t>機關研商後，</w:t>
      </w:r>
      <w:r w:rsidR="00846BB6" w:rsidRPr="00CF6CB5">
        <w:rPr>
          <w:rFonts w:hint="eastAsia"/>
        </w:rPr>
        <w:t>陳報</w:t>
      </w:r>
      <w:r w:rsidR="00846BB6" w:rsidRPr="00CF6CB5">
        <w:t>行政院於106年4月核定「各機關學校公教員工地域加給合理化調整方案」（下稱合理化調整方案），賦予地方政府可視當地現況及實際需要，在108年底前彈性調整，預定於109年1月1日依試辦評估完成修正之地域加給表正式實施。合理化調整方案為解決過去單一指標造成支給差異問題，採取多面向評核指標</w:t>
      </w:r>
      <w:r w:rsidR="00846BB6" w:rsidRPr="00CF6CB5">
        <w:rPr>
          <w:rStyle w:val="aff1"/>
        </w:rPr>
        <w:footnoteReference w:id="76"/>
      </w:r>
      <w:r w:rsidR="00846BB6" w:rsidRPr="00CF6CB5">
        <w:t>，衡量各服務處所的現況，由地方政府自行擇定指標、設定權重、規劃級別。</w:t>
      </w:r>
      <w:r w:rsidR="00846BB6" w:rsidRPr="00CF6CB5">
        <w:rPr>
          <w:rFonts w:hint="eastAsia"/>
        </w:rPr>
        <w:t>另</w:t>
      </w:r>
      <w:proofErr w:type="gramStart"/>
      <w:r w:rsidR="00846BB6" w:rsidRPr="00CF6CB5">
        <w:t>採</w:t>
      </w:r>
      <w:proofErr w:type="gramEnd"/>
      <w:r w:rsidR="00846BB6" w:rsidRPr="00CF6CB5">
        <w:t>「因地制宜、授權控管」原則辦理，由各地方政府評估財政狀況及給與之合理性等因素彈性規劃支給事宜。</w:t>
      </w:r>
    </w:p>
    <w:p w:rsidR="00846BB6" w:rsidRPr="00CF6CB5" w:rsidRDefault="00846BB6" w:rsidP="00267336">
      <w:pPr>
        <w:pStyle w:val="4"/>
      </w:pPr>
      <w:r w:rsidRPr="00CF6CB5">
        <w:rPr>
          <w:rFonts w:hint="eastAsia"/>
        </w:rPr>
        <w:t>據</w:t>
      </w:r>
      <w:r w:rsidR="00013F27" w:rsidRPr="00CF6CB5">
        <w:rPr>
          <w:rFonts w:hint="eastAsia"/>
        </w:rPr>
        <w:t>人事行政總處</w:t>
      </w:r>
      <w:r w:rsidRPr="00CF6CB5">
        <w:rPr>
          <w:rFonts w:hint="eastAsia"/>
        </w:rPr>
        <w:t>說明：</w:t>
      </w:r>
      <w:r w:rsidRPr="00CF6CB5">
        <w:t>合理化調整方案之設計，由各地方政府依選定之</w:t>
      </w:r>
      <w:proofErr w:type="gramStart"/>
      <w:r w:rsidRPr="00CF6CB5">
        <w:t>評核點按</w:t>
      </w:r>
      <w:proofErr w:type="gramEnd"/>
      <w:r w:rsidRPr="00CF6CB5">
        <w:rPr>
          <w:rFonts w:hint="eastAsia"/>
        </w:rPr>
        <w:t>該</w:t>
      </w:r>
      <w:r w:rsidRPr="00CF6CB5">
        <w:t>總處訂定之評核規範進行現況全面評核，並依</w:t>
      </w:r>
      <w:r w:rsidRPr="00CF6CB5">
        <w:rPr>
          <w:rFonts w:hint="eastAsia"/>
        </w:rPr>
        <w:t>該</w:t>
      </w:r>
      <w:r w:rsidRPr="00CF6CB5">
        <w:t>總處提供</w:t>
      </w:r>
      <w:proofErr w:type="gramStart"/>
      <w:r w:rsidRPr="00CF6CB5">
        <w:t>各評核點</w:t>
      </w:r>
      <w:proofErr w:type="gramEnd"/>
      <w:r w:rsidRPr="00CF6CB5">
        <w:t>評核結果換算之標準化分數，依轄區特性及需要擇定指標、設定權重規劃試辦；以整體地域加給基本數額總支出，不超過前3年地域加給基本數額預算數的平均數最多再加20％額度，至於在20％範圍內所需經費，是由地方政府自籌經費支應。是</w:t>
      </w:r>
      <w:proofErr w:type="gramStart"/>
      <w:r w:rsidRPr="00CF6CB5">
        <w:t>以</w:t>
      </w:r>
      <w:proofErr w:type="gramEnd"/>
      <w:r w:rsidRPr="00CF6CB5">
        <w:t>，地域加給之變革，已賦予地方政府可以就當地現況及實際需要，彈性調整支給地域加給，以利地方政府延攬及留任人才</w:t>
      </w:r>
      <w:r w:rsidRPr="00CF6CB5">
        <w:rPr>
          <w:rFonts w:hint="eastAsia"/>
        </w:rPr>
        <w:t>等語</w:t>
      </w:r>
      <w:r w:rsidRPr="00CF6CB5">
        <w:rPr>
          <w:rFonts w:ascii="新細明體" w:eastAsia="新細明體" w:hAnsi="新細明體" w:hint="eastAsia"/>
        </w:rPr>
        <w:t>。</w:t>
      </w:r>
    </w:p>
    <w:p w:rsidR="00846BB6" w:rsidRPr="00CF6CB5" w:rsidRDefault="00846BB6" w:rsidP="00267336">
      <w:pPr>
        <w:pStyle w:val="4"/>
      </w:pPr>
      <w:proofErr w:type="gramStart"/>
      <w:r w:rsidRPr="00CF6CB5">
        <w:rPr>
          <w:rFonts w:hint="eastAsia"/>
        </w:rPr>
        <w:t>惟查</w:t>
      </w:r>
      <w:proofErr w:type="gramEnd"/>
      <w:r w:rsidRPr="00CF6CB5">
        <w:rPr>
          <w:rFonts w:hint="eastAsia"/>
        </w:rPr>
        <w:t>，</w:t>
      </w:r>
      <w:r w:rsidRPr="00CF6CB5">
        <w:t>合理化調整方案授權地方政府評估財政狀況，於不超過前3年地域加給基本數額預算數的平均數最多再加20％額度，在20％範圍內所需經費，由地方政府自籌經費支應。此等變革設計，雖有利地方彈性延攬及留任人才，</w:t>
      </w:r>
      <w:r w:rsidRPr="00CF6CB5">
        <w:rPr>
          <w:rFonts w:hint="eastAsia"/>
        </w:rPr>
        <w:t>然於不同地方</w:t>
      </w:r>
      <w:r w:rsidRPr="00CF6CB5">
        <w:rPr>
          <w:rFonts w:hint="eastAsia"/>
        </w:rPr>
        <w:lastRenderedPageBreak/>
        <w:t>政府間，</w:t>
      </w:r>
      <w:r w:rsidRPr="00CF6CB5">
        <w:t>是否可能形成，同樣偏遠等級之服務處所，卻因地方財政狀況不同，致</w:t>
      </w:r>
      <w:r w:rsidRPr="00CF6CB5">
        <w:rPr>
          <w:rFonts w:hint="eastAsia"/>
        </w:rPr>
        <w:t>地域加給數額不同，又遭致「同工不同酬」之質疑，抑或因地方財政狀況優劣不同而淪為政治籌碼，實值得重視。</w:t>
      </w:r>
    </w:p>
    <w:p w:rsidR="00846BB6" w:rsidRPr="00CF6CB5" w:rsidRDefault="00846BB6" w:rsidP="00267336">
      <w:pPr>
        <w:pStyle w:val="4"/>
      </w:pPr>
      <w:r w:rsidRPr="00CF6CB5">
        <w:rPr>
          <w:rFonts w:hint="eastAsia"/>
        </w:rPr>
        <w:t>有關20%</w:t>
      </w:r>
      <w:r w:rsidRPr="00CF6CB5">
        <w:t>地方自籌經費彈性設計之討論過程</w:t>
      </w:r>
      <w:r w:rsidRPr="00CF6CB5">
        <w:rPr>
          <w:rFonts w:hint="eastAsia"/>
        </w:rPr>
        <w:t>，據</w:t>
      </w:r>
      <w:r w:rsidR="00013F27" w:rsidRPr="00CF6CB5">
        <w:rPr>
          <w:rFonts w:hint="eastAsia"/>
        </w:rPr>
        <w:t>人事行政總處</w:t>
      </w:r>
      <w:r w:rsidRPr="00CF6CB5">
        <w:rPr>
          <w:rFonts w:hint="eastAsia"/>
        </w:rPr>
        <w:t>表示：</w:t>
      </w:r>
      <w:r w:rsidRPr="00CF6CB5">
        <w:t>105年10月31日立法院司法及法制委員會審查</w:t>
      </w:r>
      <w:r w:rsidR="00AD67E0" w:rsidRPr="00CF6CB5">
        <w:rPr>
          <w:rFonts w:hint="eastAsia"/>
        </w:rPr>
        <w:t>該</w:t>
      </w:r>
      <w:r w:rsidRPr="00CF6CB5">
        <w:t>總處</w:t>
      </w:r>
      <w:proofErr w:type="gramStart"/>
      <w:r w:rsidRPr="00CF6CB5">
        <w:t>106</w:t>
      </w:r>
      <w:proofErr w:type="gramEnd"/>
      <w:r w:rsidRPr="00CF6CB5">
        <w:t>年度預算案通過決議略</w:t>
      </w:r>
      <w:proofErr w:type="gramStart"/>
      <w:r w:rsidRPr="00CF6CB5">
        <w:t>以</w:t>
      </w:r>
      <w:proofErr w:type="gramEnd"/>
      <w:r w:rsidRPr="00CF6CB5">
        <w:t>，為延攬及留住偏遠地區的國中小學校教師，要求</w:t>
      </w:r>
      <w:r w:rsidR="00AD67E0" w:rsidRPr="00CF6CB5">
        <w:rPr>
          <w:rFonts w:hint="eastAsia"/>
        </w:rPr>
        <w:t>該</w:t>
      </w:r>
      <w:r w:rsidRPr="00CF6CB5">
        <w:t>總處於3個月內</w:t>
      </w:r>
      <w:proofErr w:type="gramStart"/>
      <w:r w:rsidRPr="00CF6CB5">
        <w:t>研</w:t>
      </w:r>
      <w:proofErr w:type="gramEnd"/>
      <w:r w:rsidRPr="00CF6CB5">
        <w:t>議修正「各機關學校公教員工地域加給表」，授權地方政府得以就當地現況定義偏遠地區，讓地方政府得在針對偏遠地區有更多留下優秀公教人員的手段；所需經費納入中央設算地方政府財政收支差短一併考量。</w:t>
      </w:r>
      <w:proofErr w:type="gramStart"/>
      <w:r w:rsidRPr="00CF6CB5">
        <w:t>爰</w:t>
      </w:r>
      <w:proofErr w:type="gramEnd"/>
      <w:r w:rsidRPr="00CF6CB5">
        <w:t>當時所擬合理化方案草案有關經費部分文字，依該決議意旨，明定為「各地方政府所需經費納入中央設算地方政府財政收支差短一併考量」，</w:t>
      </w:r>
      <w:r w:rsidRPr="00CF6CB5">
        <w:rPr>
          <w:rFonts w:hint="eastAsia"/>
        </w:rPr>
        <w:t>該總處</w:t>
      </w:r>
      <w:r w:rsidRPr="00CF6CB5">
        <w:t>並於同年11月25日邀集各中央及地方主管機關召開會議</w:t>
      </w:r>
      <w:proofErr w:type="gramStart"/>
      <w:r w:rsidRPr="00CF6CB5">
        <w:t>研</w:t>
      </w:r>
      <w:proofErr w:type="gramEnd"/>
      <w:r w:rsidRPr="00CF6CB5">
        <w:t>商確認</w:t>
      </w:r>
      <w:r w:rsidRPr="00CF6CB5">
        <w:rPr>
          <w:rFonts w:hint="eastAsia"/>
        </w:rPr>
        <w:t>。</w:t>
      </w:r>
      <w:proofErr w:type="gramStart"/>
      <w:r w:rsidRPr="00CF6CB5">
        <w:t>惟</w:t>
      </w:r>
      <w:proofErr w:type="gramEnd"/>
      <w:r w:rsidRPr="00CF6CB5">
        <w:t>主計總處</w:t>
      </w:r>
      <w:proofErr w:type="gramStart"/>
      <w:r w:rsidRPr="00CF6CB5">
        <w:t>嗣</w:t>
      </w:r>
      <w:proofErr w:type="gramEnd"/>
      <w:r w:rsidRPr="00CF6CB5">
        <w:t>於同年12月2日</w:t>
      </w:r>
      <w:proofErr w:type="gramStart"/>
      <w:r w:rsidRPr="00CF6CB5">
        <w:t>以主預政</w:t>
      </w:r>
      <w:proofErr w:type="gramEnd"/>
      <w:r w:rsidRPr="00CF6CB5">
        <w:t>字第1050102756號書函說明略</w:t>
      </w:r>
      <w:proofErr w:type="gramStart"/>
      <w:r w:rsidRPr="00CF6CB5">
        <w:t>以</w:t>
      </w:r>
      <w:proofErr w:type="gramEnd"/>
      <w:r w:rsidRPr="00CF6CB5">
        <w:t>，現行設算補助之方式，將產生「地方請客，中央買單」之不合理情形，</w:t>
      </w:r>
      <w:proofErr w:type="gramStart"/>
      <w:r w:rsidRPr="00CF6CB5">
        <w:t>爰</w:t>
      </w:r>
      <w:proofErr w:type="gramEnd"/>
      <w:r w:rsidRPr="00CF6CB5">
        <w:t>建議明訂各地方政府試辦期間調增之地域加給經費部分，比照警察人員勤務繁重</w:t>
      </w:r>
      <w:proofErr w:type="gramStart"/>
      <w:r w:rsidRPr="00CF6CB5">
        <w:t>加成支給</w:t>
      </w:r>
      <w:proofErr w:type="gramEnd"/>
      <w:r w:rsidRPr="00CF6CB5">
        <w:t>方式，由各該地方政府以自籌經費支應，不列入基本財政支出設算，亦不得要求中央補助</w:t>
      </w:r>
      <w:r w:rsidRPr="00CF6CB5">
        <w:rPr>
          <w:rFonts w:hint="eastAsia"/>
        </w:rPr>
        <w:t>。</w:t>
      </w:r>
      <w:r w:rsidRPr="00CF6CB5">
        <w:t>因主計總處建議與前述會議結論及立法院司法及法制委員會所做決議案有別，</w:t>
      </w:r>
      <w:r w:rsidRPr="00CF6CB5">
        <w:rPr>
          <w:rFonts w:hint="eastAsia"/>
        </w:rPr>
        <w:t>該</w:t>
      </w:r>
      <w:r w:rsidRPr="00CF6CB5">
        <w:t>總處</w:t>
      </w:r>
      <w:r w:rsidRPr="00CF6CB5">
        <w:rPr>
          <w:rFonts w:hint="eastAsia"/>
        </w:rPr>
        <w:t>遂</w:t>
      </w:r>
      <w:r w:rsidRPr="00CF6CB5">
        <w:t>於同年12月13日提「</w:t>
      </w:r>
      <w:proofErr w:type="gramStart"/>
      <w:r w:rsidRPr="00CF6CB5">
        <w:t>105</w:t>
      </w:r>
      <w:proofErr w:type="gramEnd"/>
      <w:r w:rsidRPr="00CF6CB5">
        <w:t>年度軍公教員工待遇審議委員會第3次會議」通過，將二案(甲案：各地方政府所需經費納入中央設算地方政府</w:t>
      </w:r>
      <w:r w:rsidRPr="00CF6CB5">
        <w:lastRenderedPageBreak/>
        <w:t>財政收支差短一併考量；乙案：由各地方政府以自籌經費支應，不列入基本財政支出設算，亦不得要求中央補助。</w:t>
      </w:r>
      <w:proofErr w:type="gramStart"/>
      <w:r w:rsidRPr="00CF6CB5">
        <w:t>)併陳簽請行政院</w:t>
      </w:r>
      <w:r w:rsidRPr="00CF6CB5">
        <w:rPr>
          <w:rFonts w:hint="eastAsia"/>
        </w:rPr>
        <w:t>核示</w:t>
      </w:r>
      <w:proofErr w:type="gramEnd"/>
      <w:r w:rsidRPr="00CF6CB5">
        <w:rPr>
          <w:rFonts w:hint="eastAsia"/>
        </w:rPr>
        <w:t>，</w:t>
      </w:r>
      <w:r w:rsidRPr="00CF6CB5">
        <w:t>經秘書長加註意見以：「試辦性質似可暫不考慮立法院決議，採行主計總處建議乙案較為可行，試辦期後再行檢討。」院長核示：「依秘書長意見辦理。」</w:t>
      </w:r>
      <w:r w:rsidRPr="00CF6CB5">
        <w:rPr>
          <w:rFonts w:hint="eastAsia"/>
        </w:rPr>
        <w:t>等語</w:t>
      </w:r>
      <w:r w:rsidRPr="00CF6CB5">
        <w:rPr>
          <w:rFonts w:ascii="新細明體" w:eastAsia="新細明體" w:hAnsi="新細明體" w:hint="eastAsia"/>
        </w:rPr>
        <w:t>。</w:t>
      </w:r>
    </w:p>
    <w:p w:rsidR="00294D6C" w:rsidRPr="00CF6CB5" w:rsidRDefault="00846BB6" w:rsidP="00267336">
      <w:pPr>
        <w:pStyle w:val="3"/>
        <w:rPr>
          <w:b/>
        </w:rPr>
      </w:pPr>
      <w:bookmarkStart w:id="216" w:name="_Toc510456651"/>
      <w:bookmarkStart w:id="217" w:name="_Toc510534723"/>
      <w:bookmarkStart w:id="218" w:name="_Toc511053643"/>
      <w:bookmarkStart w:id="219" w:name="_Toc511126989"/>
      <w:r w:rsidRPr="00CF6CB5">
        <w:rPr>
          <w:rFonts w:hint="eastAsia"/>
        </w:rPr>
        <w:t>綜上，地域加給合理化調整方案採取多面向評核指標，賦予地方政府彈性規劃地域加給空間之重大變革，有其考量，惟其中</w:t>
      </w:r>
      <w:r w:rsidRPr="00CF6CB5">
        <w:rPr>
          <w:rFonts w:ascii="新細明體" w:eastAsia="新細明體" w:hAnsi="新細明體" w:hint="eastAsia"/>
        </w:rPr>
        <w:t>，</w:t>
      </w:r>
      <w:r w:rsidRPr="00CF6CB5">
        <w:rPr>
          <w:rFonts w:hint="eastAsia"/>
        </w:rPr>
        <w:t>由各地方政府評估財政狀況，採取20%地方自籌經費彈性增加的變革設計，雖有利地方彈性延攬及留任人才，然而</w:t>
      </w:r>
      <w:r w:rsidRPr="00CF6CB5">
        <w:rPr>
          <w:rFonts w:ascii="新細明體" w:eastAsia="新細明體" w:hAnsi="新細明體" w:hint="eastAsia"/>
        </w:rPr>
        <w:t>，</w:t>
      </w:r>
      <w:r w:rsidRPr="00CF6CB5">
        <w:rPr>
          <w:rFonts w:hint="eastAsia"/>
        </w:rPr>
        <w:t>是否可能因地方財政狀況不同而淪為政治籌碼，滋生同工不同酬之公平性疑慮，或不利財政窘困縣市的偏遠地區留任優秀教師</w:t>
      </w:r>
      <w:r w:rsidRPr="00CF6CB5">
        <w:rPr>
          <w:rFonts w:ascii="新細明體" w:eastAsia="新細明體" w:hAnsi="新細明體" w:hint="eastAsia"/>
        </w:rPr>
        <w:t>，</w:t>
      </w:r>
      <w:r w:rsidRPr="00CF6CB5">
        <w:rPr>
          <w:rFonts w:hint="eastAsia"/>
        </w:rPr>
        <w:t>值得重視</w:t>
      </w:r>
      <w:r w:rsidRPr="00CF6CB5">
        <w:rPr>
          <w:rFonts w:ascii="新細明體" w:eastAsia="新細明體" w:hAnsi="新細明體" w:hint="eastAsia"/>
        </w:rPr>
        <w:t>，</w:t>
      </w:r>
      <w:r w:rsidRPr="00CF6CB5">
        <w:rPr>
          <w:rFonts w:hint="eastAsia"/>
        </w:rPr>
        <w:t>相關利弊得失，宜請行政院持續審慎</w:t>
      </w:r>
      <w:proofErr w:type="gramStart"/>
      <w:r w:rsidRPr="00CF6CB5">
        <w:rPr>
          <w:rFonts w:hint="eastAsia"/>
        </w:rPr>
        <w:t>注意妥處</w:t>
      </w:r>
      <w:proofErr w:type="gramEnd"/>
      <w:r w:rsidRPr="00CF6CB5">
        <w:rPr>
          <w:rFonts w:hint="eastAsia"/>
        </w:rPr>
        <w:t>。</w:t>
      </w:r>
      <w:bookmarkEnd w:id="216"/>
      <w:bookmarkEnd w:id="217"/>
      <w:bookmarkEnd w:id="218"/>
      <w:bookmarkEnd w:id="219"/>
    </w:p>
    <w:p w:rsidR="00DD7D48" w:rsidRPr="00CF6CB5" w:rsidRDefault="00DD7D48">
      <w:pPr>
        <w:widowControl/>
        <w:overflowPunct/>
        <w:autoSpaceDE/>
        <w:autoSpaceDN/>
        <w:jc w:val="left"/>
        <w:rPr>
          <w:rFonts w:hAnsi="Arial"/>
          <w:bCs/>
          <w:kern w:val="32"/>
          <w:szCs w:val="52"/>
        </w:rPr>
      </w:pPr>
      <w:bookmarkStart w:id="220" w:name="_Toc524895648"/>
      <w:bookmarkStart w:id="221" w:name="_Toc524896194"/>
      <w:bookmarkStart w:id="222" w:name="_Toc524896224"/>
      <w:bookmarkStart w:id="223" w:name="_Toc524902734"/>
      <w:bookmarkStart w:id="224" w:name="_Toc525066148"/>
      <w:bookmarkStart w:id="225" w:name="_Toc525070839"/>
      <w:bookmarkStart w:id="226" w:name="_Toc525938379"/>
      <w:bookmarkStart w:id="227" w:name="_Toc525939227"/>
      <w:bookmarkStart w:id="228" w:name="_Toc525939732"/>
      <w:bookmarkStart w:id="229" w:name="_Toc529218272"/>
      <w:bookmarkStart w:id="230" w:name="_Toc529222689"/>
      <w:bookmarkStart w:id="231" w:name="_Toc529223111"/>
      <w:bookmarkStart w:id="232" w:name="_Toc529223862"/>
      <w:bookmarkStart w:id="233" w:name="_Toc529228265"/>
      <w:bookmarkStart w:id="234" w:name="_Toc2400395"/>
      <w:bookmarkStart w:id="235" w:name="_Toc4316189"/>
      <w:bookmarkStart w:id="236" w:name="_Toc4473330"/>
      <w:bookmarkStart w:id="237" w:name="_Toc69556897"/>
      <w:bookmarkStart w:id="238" w:name="_Toc69556946"/>
      <w:bookmarkStart w:id="239" w:name="_Toc69609820"/>
      <w:bookmarkStart w:id="240" w:name="_Toc70241816"/>
      <w:bookmarkStart w:id="241" w:name="_Toc70242205"/>
      <w:bookmarkEnd w:id="54"/>
      <w:bookmarkEnd w:id="144"/>
      <w:bookmarkEnd w:id="145"/>
      <w:bookmarkEnd w:id="146"/>
      <w:bookmarkEnd w:id="147"/>
      <w:bookmarkEnd w:id="148"/>
      <w:bookmarkEnd w:id="149"/>
      <w:bookmarkEnd w:id="150"/>
      <w:bookmarkEnd w:id="151"/>
      <w:bookmarkEnd w:id="152"/>
      <w:bookmarkEnd w:id="153"/>
    </w:p>
    <w:p w:rsidR="00294D6C" w:rsidRPr="00CF6CB5" w:rsidRDefault="00294D6C" w:rsidP="00294D6C">
      <w:pPr>
        <w:pStyle w:val="1"/>
        <w:kinsoku w:val="0"/>
        <w:overflowPunct/>
        <w:autoSpaceDE/>
        <w:autoSpaceDN/>
        <w:ind w:left="699" w:hanging="699"/>
      </w:pPr>
      <w:bookmarkStart w:id="242" w:name="_Toc511126990"/>
      <w:r w:rsidRPr="00CF6CB5">
        <w:rPr>
          <w:rFonts w:hint="eastAsia"/>
        </w:rPr>
        <w:t>處理辦法：</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rsidR="00294D6C" w:rsidRPr="00CF6CB5" w:rsidRDefault="00294D6C" w:rsidP="00294D6C">
      <w:pPr>
        <w:pStyle w:val="2"/>
        <w:kinsoku w:val="0"/>
        <w:overflowPunct/>
        <w:autoSpaceDE/>
        <w:autoSpaceDN/>
        <w:ind w:left="1020" w:hanging="680"/>
      </w:pPr>
      <w:bookmarkStart w:id="243" w:name="_Toc524895649"/>
      <w:bookmarkStart w:id="244" w:name="_Toc524896195"/>
      <w:bookmarkStart w:id="245" w:name="_Toc524896225"/>
      <w:bookmarkStart w:id="246" w:name="_Toc2400396"/>
      <w:bookmarkStart w:id="247" w:name="_Toc4316190"/>
      <w:bookmarkStart w:id="248" w:name="_Toc4473331"/>
      <w:bookmarkStart w:id="249" w:name="_Toc69556898"/>
      <w:bookmarkStart w:id="250" w:name="_Toc69556947"/>
      <w:bookmarkStart w:id="251" w:name="_Toc69609821"/>
      <w:bookmarkStart w:id="252" w:name="_Toc70241817"/>
      <w:bookmarkStart w:id="253" w:name="_Toc70242206"/>
      <w:bookmarkStart w:id="254" w:name="_Toc510456653"/>
      <w:bookmarkStart w:id="255" w:name="_Toc510534725"/>
      <w:bookmarkStart w:id="256" w:name="_Toc511053645"/>
      <w:bookmarkStart w:id="257" w:name="_Toc511126991"/>
      <w:bookmarkStart w:id="258" w:name="_Toc524902735"/>
      <w:bookmarkStart w:id="259" w:name="_Toc525066149"/>
      <w:bookmarkStart w:id="260" w:name="_Toc525070840"/>
      <w:bookmarkStart w:id="261" w:name="_Toc525938380"/>
      <w:bookmarkStart w:id="262" w:name="_Toc525939228"/>
      <w:bookmarkStart w:id="263" w:name="_Toc525939733"/>
      <w:bookmarkStart w:id="264" w:name="_Toc529218273"/>
      <w:bookmarkStart w:id="265" w:name="_Toc529222690"/>
      <w:bookmarkStart w:id="266" w:name="_Toc529223112"/>
      <w:bookmarkStart w:id="267" w:name="_Toc529223863"/>
      <w:bookmarkStart w:id="268" w:name="_Toc529228266"/>
      <w:bookmarkEnd w:id="243"/>
      <w:bookmarkEnd w:id="244"/>
      <w:bookmarkEnd w:id="245"/>
      <w:r w:rsidRPr="00CF6CB5">
        <w:rPr>
          <w:rFonts w:hint="eastAsia"/>
        </w:rPr>
        <w:t>調查意見函請</w:t>
      </w:r>
      <w:r w:rsidR="00DF1352" w:rsidRPr="00CF6CB5">
        <w:rPr>
          <w:rFonts w:hint="eastAsia"/>
        </w:rPr>
        <w:t>行政院轉</w:t>
      </w:r>
      <w:proofErr w:type="gramStart"/>
      <w:r w:rsidR="00DF1352" w:rsidRPr="00CF6CB5">
        <w:rPr>
          <w:rFonts w:hint="eastAsia"/>
        </w:rPr>
        <w:t>飭</w:t>
      </w:r>
      <w:proofErr w:type="gramEnd"/>
      <w:r w:rsidR="00DF1352" w:rsidRPr="00CF6CB5">
        <w:rPr>
          <w:rFonts w:hint="eastAsia"/>
        </w:rPr>
        <w:t>所屬</w:t>
      </w:r>
      <w:r w:rsidR="004D6382" w:rsidRPr="00CF6CB5">
        <w:rPr>
          <w:rFonts w:hint="eastAsia"/>
        </w:rPr>
        <w:t>人事行政總處、財政部及內政部</w:t>
      </w:r>
      <w:r w:rsidR="00DF1352" w:rsidRPr="00CF6CB5">
        <w:rPr>
          <w:rFonts w:hint="eastAsia"/>
        </w:rPr>
        <w:t>確實檢討改進</w:t>
      </w:r>
      <w:proofErr w:type="gramStart"/>
      <w:r w:rsidR="00DF1352" w:rsidRPr="00CF6CB5">
        <w:rPr>
          <w:rFonts w:hint="eastAsia"/>
        </w:rPr>
        <w:t>見復</w:t>
      </w:r>
      <w:r w:rsidRPr="00CF6CB5">
        <w:rPr>
          <w:rFonts w:hint="eastAsia"/>
        </w:rPr>
        <w:t>。</w:t>
      </w:r>
      <w:bookmarkEnd w:id="246"/>
      <w:bookmarkEnd w:id="247"/>
      <w:bookmarkEnd w:id="248"/>
      <w:bookmarkEnd w:id="249"/>
      <w:bookmarkEnd w:id="250"/>
      <w:bookmarkEnd w:id="251"/>
      <w:bookmarkEnd w:id="252"/>
      <w:bookmarkEnd w:id="253"/>
      <w:bookmarkEnd w:id="254"/>
      <w:bookmarkEnd w:id="255"/>
      <w:bookmarkEnd w:id="256"/>
      <w:bookmarkEnd w:id="257"/>
      <w:proofErr w:type="gramEnd"/>
    </w:p>
    <w:p w:rsidR="00DF1352" w:rsidRPr="00CF6CB5" w:rsidRDefault="00294D6C" w:rsidP="00DF1352">
      <w:pPr>
        <w:pStyle w:val="2"/>
        <w:kinsoku w:val="0"/>
        <w:overflowPunct/>
        <w:autoSpaceDE/>
        <w:autoSpaceDN/>
        <w:ind w:left="1020" w:hanging="680"/>
      </w:pPr>
      <w:bookmarkStart w:id="269" w:name="_Toc70241818"/>
      <w:bookmarkStart w:id="270" w:name="_Toc70242207"/>
      <w:bookmarkStart w:id="271" w:name="_Toc510456654"/>
      <w:bookmarkStart w:id="272" w:name="_Toc510534726"/>
      <w:bookmarkStart w:id="273" w:name="_Toc511053646"/>
      <w:bookmarkStart w:id="274" w:name="_Toc511126992"/>
      <w:bookmarkStart w:id="275" w:name="_Toc69556899"/>
      <w:bookmarkStart w:id="276" w:name="_Toc69556948"/>
      <w:bookmarkStart w:id="277" w:name="_Toc69609822"/>
      <w:r w:rsidRPr="00CF6CB5">
        <w:rPr>
          <w:rFonts w:hint="eastAsia"/>
        </w:rPr>
        <w:t>調查意見</w:t>
      </w:r>
      <w:r w:rsidR="00DF1352" w:rsidRPr="00CF6CB5">
        <w:rPr>
          <w:rFonts w:hint="eastAsia"/>
        </w:rPr>
        <w:t>函送</w:t>
      </w:r>
      <w:r w:rsidR="00A92686" w:rsidRPr="00CF6CB5">
        <w:rPr>
          <w:rFonts w:hint="eastAsia"/>
        </w:rPr>
        <w:t>考試院及</w:t>
      </w:r>
      <w:r w:rsidR="00DF1352" w:rsidRPr="00CF6CB5">
        <w:rPr>
          <w:rFonts w:hint="eastAsia"/>
        </w:rPr>
        <w:t>銓敘部參</w:t>
      </w:r>
      <w:r w:rsidR="008D46F2" w:rsidRPr="00CF6CB5">
        <w:rPr>
          <w:rFonts w:hint="eastAsia"/>
        </w:rPr>
        <w:t>酌</w:t>
      </w:r>
      <w:r w:rsidR="00DF1352" w:rsidRPr="00CF6CB5">
        <w:rPr>
          <w:rFonts w:hint="eastAsia"/>
        </w:rPr>
        <w:t>。</w:t>
      </w:r>
      <w:bookmarkStart w:id="278" w:name="_Toc70241819"/>
      <w:bookmarkStart w:id="279" w:name="_Toc70242208"/>
      <w:bookmarkEnd w:id="269"/>
      <w:bookmarkEnd w:id="270"/>
      <w:bookmarkEnd w:id="271"/>
      <w:bookmarkEnd w:id="272"/>
      <w:bookmarkEnd w:id="273"/>
      <w:bookmarkEnd w:id="274"/>
    </w:p>
    <w:p w:rsidR="00DF1352" w:rsidRPr="00CF6CB5" w:rsidRDefault="00DF1352" w:rsidP="00DF1352">
      <w:pPr>
        <w:pStyle w:val="2"/>
      </w:pPr>
      <w:bookmarkStart w:id="280" w:name="_Toc510456655"/>
      <w:bookmarkStart w:id="281" w:name="_Toc510534727"/>
      <w:bookmarkStart w:id="282" w:name="_Toc511053647"/>
      <w:bookmarkStart w:id="283" w:name="_Toc511126993"/>
      <w:r w:rsidRPr="00CF6CB5">
        <w:rPr>
          <w:rFonts w:hint="eastAsia"/>
        </w:rPr>
        <w:t>調查意見，函復審計部。</w:t>
      </w:r>
      <w:bookmarkEnd w:id="280"/>
      <w:bookmarkEnd w:id="281"/>
      <w:bookmarkEnd w:id="282"/>
      <w:bookmarkEnd w:id="283"/>
    </w:p>
    <w:p w:rsidR="00294D6C" w:rsidRDefault="00294D6C" w:rsidP="00DF1352">
      <w:pPr>
        <w:pStyle w:val="2"/>
      </w:pPr>
      <w:bookmarkStart w:id="284" w:name="_Toc510456656"/>
      <w:bookmarkStart w:id="285" w:name="_Toc510534728"/>
      <w:bookmarkStart w:id="286" w:name="_Toc511053648"/>
      <w:bookmarkStart w:id="287" w:name="_Toc511126994"/>
      <w:r w:rsidRPr="00CF6CB5">
        <w:rPr>
          <w:rFonts w:hint="eastAsia"/>
        </w:rPr>
        <w:t>調查意見</w:t>
      </w:r>
      <w:r w:rsidR="00DF1352" w:rsidRPr="00CF6CB5">
        <w:rPr>
          <w:rFonts w:hint="eastAsia"/>
        </w:rPr>
        <w:t>四</w:t>
      </w:r>
      <w:r w:rsidRPr="00CF6CB5">
        <w:rPr>
          <w:rFonts w:hint="eastAsia"/>
        </w:rPr>
        <w:t>，函</w:t>
      </w:r>
      <w:proofErr w:type="gramStart"/>
      <w:r w:rsidR="00DF1352" w:rsidRPr="00CF6CB5">
        <w:rPr>
          <w:rFonts w:hint="eastAsia"/>
        </w:rPr>
        <w:t>復法稅</w:t>
      </w:r>
      <w:proofErr w:type="gramEnd"/>
      <w:r w:rsidR="00DF1352" w:rsidRPr="00CF6CB5">
        <w:rPr>
          <w:rFonts w:hint="eastAsia"/>
        </w:rPr>
        <w:t>改革聯盟</w:t>
      </w:r>
      <w:r w:rsidRPr="00CF6CB5">
        <w:rPr>
          <w:rFonts w:hint="eastAsia"/>
        </w:rPr>
        <w:t>。</w:t>
      </w:r>
      <w:bookmarkEnd w:id="48"/>
      <w:bookmarkEnd w:id="49"/>
      <w:bookmarkEnd w:id="50"/>
      <w:bookmarkEnd w:id="51"/>
      <w:bookmarkEnd w:id="52"/>
      <w:bookmarkEnd w:id="53"/>
      <w:bookmarkEnd w:id="258"/>
      <w:bookmarkEnd w:id="259"/>
      <w:bookmarkEnd w:id="260"/>
      <w:bookmarkEnd w:id="261"/>
      <w:bookmarkEnd w:id="262"/>
      <w:bookmarkEnd w:id="263"/>
      <w:bookmarkEnd w:id="264"/>
      <w:bookmarkEnd w:id="265"/>
      <w:bookmarkEnd w:id="266"/>
      <w:bookmarkEnd w:id="267"/>
      <w:bookmarkEnd w:id="268"/>
      <w:bookmarkEnd w:id="275"/>
      <w:bookmarkEnd w:id="276"/>
      <w:bookmarkEnd w:id="277"/>
      <w:bookmarkEnd w:id="278"/>
      <w:bookmarkEnd w:id="279"/>
      <w:bookmarkEnd w:id="284"/>
      <w:bookmarkEnd w:id="285"/>
      <w:bookmarkEnd w:id="286"/>
      <w:bookmarkEnd w:id="287"/>
    </w:p>
    <w:p w:rsidR="005B18B2" w:rsidRDefault="005B18B2" w:rsidP="005B18B2">
      <w:pPr>
        <w:pStyle w:val="1"/>
        <w:numPr>
          <w:ilvl w:val="0"/>
          <w:numId w:val="0"/>
        </w:numPr>
        <w:rPr>
          <w:rFonts w:hint="eastAsia"/>
        </w:rPr>
      </w:pPr>
    </w:p>
    <w:p w:rsidR="005B18B2" w:rsidRPr="005B18B2" w:rsidRDefault="005B18B2" w:rsidP="005B18B2">
      <w:pPr>
        <w:pStyle w:val="1"/>
        <w:numPr>
          <w:ilvl w:val="0"/>
          <w:numId w:val="0"/>
        </w:numPr>
        <w:ind w:left="2381" w:hanging="2381"/>
        <w:rPr>
          <w:sz w:val="40"/>
          <w:szCs w:val="40"/>
        </w:rPr>
      </w:pPr>
      <w:r>
        <w:rPr>
          <w:rFonts w:hint="eastAsia"/>
        </w:rPr>
        <w:t xml:space="preserve">                       </w:t>
      </w:r>
      <w:r w:rsidRPr="005B18B2">
        <w:rPr>
          <w:rFonts w:hint="eastAsia"/>
          <w:sz w:val="40"/>
          <w:szCs w:val="40"/>
        </w:rPr>
        <w:t xml:space="preserve"> 調查委員：林雅鋒</w:t>
      </w:r>
    </w:p>
    <w:p w:rsidR="005B18B2" w:rsidRDefault="005B18B2" w:rsidP="005B18B2">
      <w:pPr>
        <w:pStyle w:val="1"/>
        <w:numPr>
          <w:ilvl w:val="0"/>
          <w:numId w:val="0"/>
        </w:numPr>
        <w:ind w:left="2381" w:hanging="2381"/>
        <w:rPr>
          <w:sz w:val="40"/>
          <w:szCs w:val="40"/>
        </w:rPr>
      </w:pPr>
      <w:r w:rsidRPr="005B18B2">
        <w:rPr>
          <w:rFonts w:hint="eastAsia"/>
          <w:sz w:val="40"/>
          <w:szCs w:val="40"/>
        </w:rPr>
        <w:t xml:space="preserve">                              江綺雯</w:t>
      </w:r>
    </w:p>
    <w:p w:rsidR="005B18B2" w:rsidRPr="005B18B2" w:rsidRDefault="005B18B2" w:rsidP="005B18B2">
      <w:pPr>
        <w:pStyle w:val="1"/>
        <w:numPr>
          <w:ilvl w:val="0"/>
          <w:numId w:val="0"/>
        </w:numPr>
        <w:ind w:left="2381" w:hanging="2381"/>
        <w:rPr>
          <w:rFonts w:hint="eastAsia"/>
          <w:szCs w:val="32"/>
        </w:rPr>
      </w:pPr>
      <w:r>
        <w:rPr>
          <w:rFonts w:hint="eastAsia"/>
          <w:szCs w:val="32"/>
        </w:rPr>
        <w:t xml:space="preserve"> 中   華   民   國  107  年   4   月   12   </w:t>
      </w:r>
      <w:bookmarkStart w:id="288" w:name="_GoBack"/>
      <w:bookmarkEnd w:id="288"/>
      <w:r>
        <w:rPr>
          <w:rFonts w:hint="eastAsia"/>
          <w:szCs w:val="32"/>
        </w:rPr>
        <w:t>日</w:t>
      </w:r>
    </w:p>
    <w:sectPr w:rsidR="005B18B2" w:rsidRPr="005B18B2" w:rsidSect="00290668">
      <w:footerReference w:type="default" r:id="rId15"/>
      <w:pgSz w:w="11907" w:h="16840" w:code="9"/>
      <w:pgMar w:top="1701" w:right="1418" w:bottom="1418" w:left="1418" w:header="851" w:footer="567"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AC4" w:rsidRDefault="00E35AC4">
      <w:r>
        <w:separator/>
      </w:r>
    </w:p>
  </w:endnote>
  <w:endnote w:type="continuationSeparator" w:id="0">
    <w:p w:rsidR="00E35AC4" w:rsidRDefault="00E3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1348850"/>
      <w:docPartObj>
        <w:docPartGallery w:val="Page Numbers (Bottom of Page)"/>
        <w:docPartUnique/>
      </w:docPartObj>
    </w:sdtPr>
    <w:sdtEndPr/>
    <w:sdtContent>
      <w:p w:rsidR="00E21655" w:rsidRDefault="00E21655">
        <w:pPr>
          <w:pStyle w:val="af3"/>
          <w:jc w:val="center"/>
        </w:pPr>
        <w:r>
          <w:fldChar w:fldCharType="begin"/>
        </w:r>
        <w:r>
          <w:instrText>PAGE   \* MERGEFORMAT</w:instrText>
        </w:r>
        <w:r>
          <w:fldChar w:fldCharType="separate"/>
        </w:r>
        <w:r w:rsidR="005B18B2" w:rsidRPr="005B18B2">
          <w:rPr>
            <w:noProof/>
            <w:lang w:val="zh-TW"/>
          </w:rPr>
          <w:t>74</w:t>
        </w:r>
        <w:r>
          <w:fldChar w:fldCharType="end"/>
        </w:r>
      </w:p>
    </w:sdtContent>
  </w:sdt>
  <w:p w:rsidR="00E21655" w:rsidRDefault="00E21655">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AC4" w:rsidRDefault="00E35AC4">
      <w:r>
        <w:separator/>
      </w:r>
    </w:p>
  </w:footnote>
  <w:footnote w:type="continuationSeparator" w:id="0">
    <w:p w:rsidR="00E35AC4" w:rsidRDefault="00E35AC4">
      <w:r>
        <w:continuationSeparator/>
      </w:r>
    </w:p>
  </w:footnote>
  <w:footnote w:id="1">
    <w:p w:rsidR="00E21655" w:rsidRPr="00045BC9" w:rsidRDefault="00E21655" w:rsidP="00340978">
      <w:pPr>
        <w:pStyle w:val="aff"/>
        <w:ind w:left="264" w:hangingChars="120" w:hanging="264"/>
        <w:jc w:val="both"/>
      </w:pPr>
      <w:r>
        <w:rPr>
          <w:rStyle w:val="aff1"/>
        </w:rPr>
        <w:footnoteRef/>
      </w:r>
      <w:r>
        <w:rPr>
          <w:rFonts w:hint="eastAsia"/>
        </w:rPr>
        <w:t xml:space="preserve"> </w:t>
      </w:r>
      <w:r>
        <w:rPr>
          <w:rFonts w:hint="eastAsia"/>
        </w:rPr>
        <w:t>相關理論之分析，請參閱：</w:t>
      </w:r>
      <w:proofErr w:type="gramStart"/>
      <w:r>
        <w:rPr>
          <w:rFonts w:hint="eastAsia"/>
        </w:rPr>
        <w:t>溤惠平</w:t>
      </w:r>
      <w:proofErr w:type="gramEnd"/>
      <w:r>
        <w:rPr>
          <w:rFonts w:hint="eastAsia"/>
        </w:rPr>
        <w:t>，公務人員俸給制度之法理探討，文官制度季刊第</w:t>
      </w:r>
      <w:r>
        <w:rPr>
          <w:rFonts w:hint="eastAsia"/>
        </w:rPr>
        <w:t>3</w:t>
      </w:r>
      <w:r>
        <w:rPr>
          <w:rFonts w:hint="eastAsia"/>
        </w:rPr>
        <w:t>卷第</w:t>
      </w:r>
      <w:r>
        <w:rPr>
          <w:rFonts w:hint="eastAsia"/>
        </w:rPr>
        <w:t>4</w:t>
      </w:r>
      <w:r>
        <w:rPr>
          <w:rFonts w:hint="eastAsia"/>
        </w:rPr>
        <w:t>期，</w:t>
      </w:r>
      <w:r>
        <w:rPr>
          <w:rFonts w:hint="eastAsia"/>
        </w:rPr>
        <w:t>2011</w:t>
      </w:r>
      <w:r>
        <w:rPr>
          <w:rFonts w:hint="eastAsia"/>
        </w:rPr>
        <w:t>年</w:t>
      </w:r>
      <w:r>
        <w:rPr>
          <w:rFonts w:hint="eastAsia"/>
        </w:rPr>
        <w:t>11</w:t>
      </w:r>
      <w:r>
        <w:rPr>
          <w:rFonts w:hint="eastAsia"/>
        </w:rPr>
        <w:t>月，第</w:t>
      </w:r>
      <w:r>
        <w:rPr>
          <w:rFonts w:hint="eastAsia"/>
        </w:rPr>
        <w:t>105-130</w:t>
      </w:r>
      <w:r>
        <w:rPr>
          <w:rFonts w:hint="eastAsia"/>
        </w:rPr>
        <w:t>頁。</w:t>
      </w:r>
    </w:p>
  </w:footnote>
  <w:footnote w:id="2">
    <w:p w:rsidR="00E21655" w:rsidRPr="007747C1" w:rsidRDefault="00E21655" w:rsidP="00340978">
      <w:pPr>
        <w:pStyle w:val="aff"/>
        <w:ind w:left="264" w:hangingChars="120" w:hanging="264"/>
        <w:jc w:val="both"/>
      </w:pPr>
      <w:r>
        <w:rPr>
          <w:rStyle w:val="aff1"/>
        </w:rPr>
        <w:footnoteRef/>
      </w:r>
      <w:r>
        <w:rPr>
          <w:rFonts w:hint="eastAsia"/>
        </w:rPr>
        <w:t>「正當」</w:t>
      </w:r>
      <w:r w:rsidRPr="007747C1">
        <w:rPr>
          <w:rFonts w:hint="eastAsia"/>
        </w:rPr>
        <w:t>、</w:t>
      </w:r>
      <w:r>
        <w:rPr>
          <w:rFonts w:hint="eastAsia"/>
        </w:rPr>
        <w:t>「</w:t>
      </w:r>
      <w:r w:rsidRPr="007747C1">
        <w:rPr>
          <w:rFonts w:hint="eastAsia"/>
        </w:rPr>
        <w:t>明確</w:t>
      </w:r>
      <w:r>
        <w:rPr>
          <w:rFonts w:hint="eastAsia"/>
        </w:rPr>
        <w:t>」</w:t>
      </w:r>
      <w:r w:rsidRPr="007747C1">
        <w:rPr>
          <w:rFonts w:hint="eastAsia"/>
        </w:rPr>
        <w:t>原則係指公部門待遇種類不得重複；種類不能過於複雜，否則容易混淆待遇支給目的，不利於待遇制度的建立，造成組織治理之重大困擾；</w:t>
      </w:r>
      <w:r>
        <w:rPr>
          <w:rFonts w:hint="eastAsia"/>
        </w:rPr>
        <w:t>「</w:t>
      </w:r>
      <w:r w:rsidRPr="007747C1">
        <w:rPr>
          <w:rFonts w:hint="eastAsia"/>
        </w:rPr>
        <w:t>差異性</w:t>
      </w:r>
      <w:r>
        <w:rPr>
          <w:rFonts w:hint="eastAsia"/>
        </w:rPr>
        <w:t>」</w:t>
      </w:r>
      <w:r w:rsidRPr="007747C1">
        <w:rPr>
          <w:rFonts w:hint="eastAsia"/>
        </w:rPr>
        <w:t>及</w:t>
      </w:r>
      <w:r>
        <w:rPr>
          <w:rFonts w:hint="eastAsia"/>
        </w:rPr>
        <w:t>「</w:t>
      </w:r>
      <w:r w:rsidRPr="007747C1">
        <w:rPr>
          <w:rFonts w:hint="eastAsia"/>
        </w:rPr>
        <w:t>競爭力</w:t>
      </w:r>
      <w:r>
        <w:rPr>
          <w:rFonts w:hint="eastAsia"/>
        </w:rPr>
        <w:t>」</w:t>
      </w:r>
      <w:r w:rsidRPr="007747C1">
        <w:rPr>
          <w:rFonts w:hint="eastAsia"/>
        </w:rPr>
        <w:t>原則指待遇支給方式不但要有差異性，且此差異性必須具有良性發展之競爭力，足以提供員工生涯規劃的遠程展望，且在組織外部與其他組織體的員工亦具有競爭力，始足以吸引優秀人才，留住優秀人才。</w:t>
      </w:r>
      <w:r>
        <w:rPr>
          <w:rFonts w:hint="eastAsia"/>
        </w:rPr>
        <w:t>「</w:t>
      </w:r>
      <w:r w:rsidRPr="007747C1">
        <w:rPr>
          <w:rFonts w:hint="eastAsia"/>
        </w:rPr>
        <w:t>變動性</w:t>
      </w:r>
      <w:r>
        <w:rPr>
          <w:rFonts w:hint="eastAsia"/>
        </w:rPr>
        <w:t>」</w:t>
      </w:r>
      <w:r w:rsidRPr="007747C1">
        <w:rPr>
          <w:rFonts w:hint="eastAsia"/>
        </w:rPr>
        <w:t>原則指待遇制度的穩定性，固可提供員工生活遠景的可預測性，</w:t>
      </w:r>
      <w:proofErr w:type="gramStart"/>
      <w:r w:rsidRPr="007747C1">
        <w:rPr>
          <w:rFonts w:hint="eastAsia"/>
        </w:rPr>
        <w:t>惟其支給</w:t>
      </w:r>
      <w:proofErr w:type="gramEnd"/>
      <w:r w:rsidRPr="007747C1">
        <w:rPr>
          <w:rFonts w:hint="eastAsia"/>
        </w:rPr>
        <w:t>方式不可一成不變，應隨客觀環境的發展及主觀情勢的變遷，作適時適當的調整。請參見梁永興，論公務員待遇法制變革之新思維（上）</w:t>
      </w:r>
      <w:r w:rsidRPr="007747C1">
        <w:rPr>
          <w:rFonts w:hint="eastAsia"/>
        </w:rPr>
        <w:t>，（下）</w:t>
      </w:r>
      <w:r>
        <w:rPr>
          <w:rFonts w:hint="eastAsia"/>
        </w:rPr>
        <w:t>，</w:t>
      </w:r>
      <w:r w:rsidRPr="007747C1">
        <w:rPr>
          <w:rFonts w:hint="eastAsia"/>
        </w:rPr>
        <w:t>人事月刊，第</w:t>
      </w:r>
      <w:r w:rsidRPr="007747C1">
        <w:rPr>
          <w:rFonts w:hint="eastAsia"/>
        </w:rPr>
        <w:t>370</w:t>
      </w:r>
      <w:r w:rsidRPr="007747C1">
        <w:rPr>
          <w:rFonts w:hint="eastAsia"/>
        </w:rPr>
        <w:t>、</w:t>
      </w:r>
      <w:r w:rsidRPr="007747C1">
        <w:rPr>
          <w:rFonts w:hint="eastAsia"/>
        </w:rPr>
        <w:t>371</w:t>
      </w:r>
      <w:r w:rsidRPr="007747C1">
        <w:rPr>
          <w:rFonts w:hint="eastAsia"/>
        </w:rPr>
        <w:t>期，</w:t>
      </w:r>
      <w:r w:rsidRPr="007747C1">
        <w:rPr>
          <w:rFonts w:hint="eastAsia"/>
        </w:rPr>
        <w:t>2016</w:t>
      </w:r>
      <w:r w:rsidRPr="007747C1">
        <w:rPr>
          <w:rFonts w:hint="eastAsia"/>
        </w:rPr>
        <w:t>年</w:t>
      </w:r>
      <w:r w:rsidRPr="007747C1">
        <w:rPr>
          <w:rFonts w:hint="eastAsia"/>
        </w:rPr>
        <w:t>6</w:t>
      </w:r>
      <w:r w:rsidRPr="007747C1">
        <w:rPr>
          <w:rFonts w:hint="eastAsia"/>
        </w:rPr>
        <w:t>、</w:t>
      </w:r>
      <w:r w:rsidRPr="007747C1">
        <w:rPr>
          <w:rFonts w:hint="eastAsia"/>
        </w:rPr>
        <w:t>7</w:t>
      </w:r>
      <w:r w:rsidRPr="007747C1">
        <w:rPr>
          <w:rFonts w:hint="eastAsia"/>
        </w:rPr>
        <w:t>月。</w:t>
      </w:r>
    </w:p>
  </w:footnote>
  <w:footnote w:id="3">
    <w:p w:rsidR="00E21655" w:rsidRDefault="00E21655" w:rsidP="00340978">
      <w:pPr>
        <w:pStyle w:val="aff"/>
        <w:ind w:left="264" w:hangingChars="120" w:hanging="264"/>
        <w:jc w:val="both"/>
      </w:pPr>
      <w:r>
        <w:rPr>
          <w:rStyle w:val="aff1"/>
        </w:rPr>
        <w:footnoteRef/>
      </w:r>
      <w:r>
        <w:rPr>
          <w:rFonts w:hint="eastAsia"/>
        </w:rPr>
        <w:t xml:space="preserve"> </w:t>
      </w:r>
      <w:r>
        <w:rPr>
          <w:rFonts w:hint="eastAsia"/>
        </w:rPr>
        <w:t>另軍人依軍人待遇條例支領本</w:t>
      </w:r>
      <w:proofErr w:type="gramStart"/>
      <w:r>
        <w:rPr>
          <w:rFonts w:hint="eastAsia"/>
        </w:rPr>
        <w:t>俸</w:t>
      </w:r>
      <w:proofErr w:type="gramEnd"/>
      <w:r>
        <w:rPr>
          <w:rFonts w:hint="eastAsia"/>
        </w:rPr>
        <w:t>（</w:t>
      </w:r>
      <w:r>
        <w:rPr>
          <w:rFonts w:hint="eastAsia"/>
        </w:rPr>
        <w:t>薪額）及加給、教師依教師待遇條例支領本（年功）薪、加給及獎金。</w:t>
      </w:r>
    </w:p>
  </w:footnote>
  <w:footnote w:id="4">
    <w:p w:rsidR="00E21655" w:rsidRDefault="00E21655" w:rsidP="00DD7D48">
      <w:pPr>
        <w:pStyle w:val="aff"/>
      </w:pPr>
      <w:r>
        <w:rPr>
          <w:rStyle w:val="aff1"/>
        </w:rPr>
        <w:footnoteRef/>
      </w:r>
      <w:r>
        <w:rPr>
          <w:rFonts w:hint="eastAsia"/>
        </w:rPr>
        <w:t xml:space="preserve"> </w:t>
      </w:r>
      <w:r>
        <w:rPr>
          <w:rFonts w:hint="eastAsia"/>
        </w:rPr>
        <w:t>吳庚，</w:t>
      </w:r>
      <w:r w:rsidRPr="001A380D">
        <w:rPr>
          <w:rFonts w:hint="eastAsia"/>
        </w:rPr>
        <w:t>行政法之理論與實用</w:t>
      </w:r>
      <w:r>
        <w:rPr>
          <w:rFonts w:hint="eastAsia"/>
        </w:rPr>
        <w:t>，增訂</w:t>
      </w:r>
      <w:r>
        <w:rPr>
          <w:rFonts w:hint="eastAsia"/>
        </w:rPr>
        <w:t>10</w:t>
      </w:r>
      <w:r>
        <w:rPr>
          <w:rFonts w:hint="eastAsia"/>
        </w:rPr>
        <w:t>版，</w:t>
      </w:r>
      <w:r>
        <w:rPr>
          <w:rFonts w:hint="eastAsia"/>
        </w:rPr>
        <w:t>97</w:t>
      </w:r>
      <w:r>
        <w:rPr>
          <w:rFonts w:hint="eastAsia"/>
        </w:rPr>
        <w:t>年，第</w:t>
      </w:r>
      <w:r>
        <w:rPr>
          <w:rFonts w:hint="eastAsia"/>
        </w:rPr>
        <w:t>100-104</w:t>
      </w:r>
      <w:r>
        <w:rPr>
          <w:rFonts w:hint="eastAsia"/>
        </w:rPr>
        <w:t>頁；陳敏，行政法總論，</w:t>
      </w:r>
      <w:r>
        <w:rPr>
          <w:rFonts w:hint="eastAsia"/>
        </w:rPr>
        <w:t>7</w:t>
      </w:r>
      <w:r>
        <w:rPr>
          <w:rFonts w:hint="eastAsia"/>
        </w:rPr>
        <w:t>版，</w:t>
      </w:r>
      <w:r>
        <w:rPr>
          <w:rFonts w:hint="eastAsia"/>
        </w:rPr>
        <w:t>100</w:t>
      </w:r>
      <w:r>
        <w:rPr>
          <w:rFonts w:hint="eastAsia"/>
        </w:rPr>
        <w:t>年</w:t>
      </w:r>
      <w:r>
        <w:rPr>
          <w:rFonts w:hint="eastAsia"/>
        </w:rPr>
        <w:t>9</w:t>
      </w:r>
      <w:r>
        <w:rPr>
          <w:rFonts w:hint="eastAsia"/>
        </w:rPr>
        <w:t>月，第</w:t>
      </w:r>
      <w:r>
        <w:rPr>
          <w:rFonts w:hint="eastAsia"/>
        </w:rPr>
        <w:t>173</w:t>
      </w:r>
      <w:r>
        <w:rPr>
          <w:rFonts w:hint="eastAsia"/>
        </w:rPr>
        <w:t>頁。</w:t>
      </w:r>
    </w:p>
  </w:footnote>
  <w:footnote w:id="5">
    <w:p w:rsidR="00E21655" w:rsidRDefault="00E21655" w:rsidP="00340978">
      <w:pPr>
        <w:pStyle w:val="aff"/>
        <w:ind w:left="220" w:hangingChars="100" w:hanging="220"/>
      </w:pPr>
      <w:r>
        <w:rPr>
          <w:rStyle w:val="aff1"/>
        </w:rPr>
        <w:footnoteRef/>
      </w:r>
      <w:r>
        <w:rPr>
          <w:rFonts w:hint="eastAsia"/>
        </w:rPr>
        <w:t xml:space="preserve"> </w:t>
      </w:r>
      <w:r>
        <w:rPr>
          <w:rFonts w:hint="eastAsia"/>
        </w:rPr>
        <w:t>參見馮惠平，公務人員俸給制度之法理探討。林昱梅，德國公務員俸給制度之改革與檢討，公務人員月刊，第</w:t>
      </w:r>
      <w:r>
        <w:rPr>
          <w:rFonts w:hint="eastAsia"/>
        </w:rPr>
        <w:t>137</w:t>
      </w:r>
      <w:r>
        <w:rPr>
          <w:rFonts w:hint="eastAsia"/>
        </w:rPr>
        <w:t>期，第</w:t>
      </w:r>
      <w:r>
        <w:rPr>
          <w:rFonts w:hint="eastAsia"/>
        </w:rPr>
        <w:t>20</w:t>
      </w:r>
      <w:r>
        <w:rPr>
          <w:rFonts w:hint="eastAsia"/>
        </w:rPr>
        <w:t>頁。</w:t>
      </w:r>
    </w:p>
  </w:footnote>
  <w:footnote w:id="6">
    <w:p w:rsidR="00E21655" w:rsidRPr="00732EA2" w:rsidRDefault="00E21655" w:rsidP="00DD7D48">
      <w:pPr>
        <w:pStyle w:val="aff"/>
      </w:pPr>
      <w:r>
        <w:rPr>
          <w:rStyle w:val="aff1"/>
        </w:rPr>
        <w:footnoteRef/>
      </w:r>
      <w:r>
        <w:rPr>
          <w:rFonts w:hint="eastAsia"/>
        </w:rPr>
        <w:t xml:space="preserve"> </w:t>
      </w:r>
      <w:r>
        <w:rPr>
          <w:rFonts w:hint="eastAsia"/>
        </w:rPr>
        <w:t>陳敏，行政法總論，</w:t>
      </w:r>
      <w:r>
        <w:rPr>
          <w:rFonts w:hint="eastAsia"/>
        </w:rPr>
        <w:t>7</w:t>
      </w:r>
      <w:r>
        <w:rPr>
          <w:rFonts w:hint="eastAsia"/>
        </w:rPr>
        <w:t>版，</w:t>
      </w:r>
      <w:r>
        <w:rPr>
          <w:rFonts w:hint="eastAsia"/>
        </w:rPr>
        <w:t>100</w:t>
      </w:r>
      <w:r>
        <w:rPr>
          <w:rFonts w:hint="eastAsia"/>
        </w:rPr>
        <w:t>年</w:t>
      </w:r>
      <w:r>
        <w:rPr>
          <w:rFonts w:hint="eastAsia"/>
        </w:rPr>
        <w:t>9</w:t>
      </w:r>
      <w:r>
        <w:rPr>
          <w:rFonts w:hint="eastAsia"/>
        </w:rPr>
        <w:t>月，第</w:t>
      </w:r>
      <w:r>
        <w:rPr>
          <w:rFonts w:hint="eastAsia"/>
        </w:rPr>
        <w:t>226</w:t>
      </w:r>
      <w:r>
        <w:rPr>
          <w:rFonts w:hint="eastAsia"/>
        </w:rPr>
        <w:t>頁。</w:t>
      </w:r>
    </w:p>
  </w:footnote>
  <w:footnote w:id="7">
    <w:p w:rsidR="00E21655" w:rsidRDefault="00E21655" w:rsidP="00DD7D48">
      <w:pPr>
        <w:pStyle w:val="aff"/>
      </w:pPr>
      <w:r>
        <w:rPr>
          <w:rStyle w:val="aff1"/>
        </w:rPr>
        <w:footnoteRef/>
      </w:r>
      <w:r>
        <w:rPr>
          <w:rFonts w:hint="eastAsia"/>
        </w:rPr>
        <w:t xml:space="preserve"> </w:t>
      </w:r>
      <w:r>
        <w:rPr>
          <w:rFonts w:hint="eastAsia"/>
        </w:rPr>
        <w:t>依行政院</w:t>
      </w:r>
      <w:r>
        <w:rPr>
          <w:rFonts w:hint="eastAsia"/>
        </w:rPr>
        <w:t>103</w:t>
      </w:r>
      <w:r>
        <w:rPr>
          <w:rFonts w:hint="eastAsia"/>
        </w:rPr>
        <w:t>年</w:t>
      </w:r>
      <w:r>
        <w:rPr>
          <w:rFonts w:hint="eastAsia"/>
        </w:rPr>
        <w:t>4</w:t>
      </w:r>
      <w:r>
        <w:rPr>
          <w:rFonts w:hint="eastAsia"/>
        </w:rPr>
        <w:t>月</w:t>
      </w:r>
      <w:r>
        <w:rPr>
          <w:rFonts w:hint="eastAsia"/>
        </w:rPr>
        <w:t>1</w:t>
      </w:r>
      <w:r>
        <w:rPr>
          <w:rFonts w:hint="eastAsia"/>
        </w:rPr>
        <w:t>日「法制化推動計畫」統計。</w:t>
      </w:r>
    </w:p>
  </w:footnote>
  <w:footnote w:id="8">
    <w:p w:rsidR="00E21655" w:rsidRPr="00C40653" w:rsidRDefault="00E21655" w:rsidP="00DD7D48">
      <w:pPr>
        <w:pStyle w:val="aff"/>
      </w:pPr>
      <w:r>
        <w:rPr>
          <w:rStyle w:val="aff1"/>
        </w:rPr>
        <w:footnoteRef/>
      </w:r>
      <w:r>
        <w:rPr>
          <w:rFonts w:hint="eastAsia"/>
        </w:rPr>
        <w:t xml:space="preserve"> </w:t>
      </w:r>
      <w:r>
        <w:rPr>
          <w:rFonts w:hint="eastAsia"/>
        </w:rPr>
        <w:t>陳敏，</w:t>
      </w:r>
      <w:r w:rsidRPr="00160AD7">
        <w:rPr>
          <w:rFonts w:hint="eastAsia"/>
        </w:rPr>
        <w:t>行政法總論，</w:t>
      </w:r>
      <w:r w:rsidRPr="00160AD7">
        <w:rPr>
          <w:rFonts w:hint="eastAsia"/>
        </w:rPr>
        <w:t>7</w:t>
      </w:r>
      <w:r w:rsidRPr="00160AD7">
        <w:rPr>
          <w:rFonts w:hint="eastAsia"/>
        </w:rPr>
        <w:t>版，</w:t>
      </w:r>
      <w:r w:rsidRPr="00160AD7">
        <w:rPr>
          <w:rFonts w:hint="eastAsia"/>
        </w:rPr>
        <w:t>100</w:t>
      </w:r>
      <w:r w:rsidRPr="00160AD7">
        <w:rPr>
          <w:rFonts w:hint="eastAsia"/>
        </w:rPr>
        <w:t>年</w:t>
      </w:r>
      <w:r w:rsidRPr="00160AD7">
        <w:rPr>
          <w:rFonts w:hint="eastAsia"/>
        </w:rPr>
        <w:t>9</w:t>
      </w:r>
      <w:r w:rsidRPr="00160AD7">
        <w:rPr>
          <w:rFonts w:hint="eastAsia"/>
        </w:rPr>
        <w:t>月，</w:t>
      </w:r>
      <w:r>
        <w:rPr>
          <w:rFonts w:hint="eastAsia"/>
        </w:rPr>
        <w:t>第</w:t>
      </w:r>
      <w:r>
        <w:rPr>
          <w:rFonts w:hint="eastAsia"/>
        </w:rPr>
        <w:t>170-171</w:t>
      </w:r>
      <w:r>
        <w:rPr>
          <w:rFonts w:hint="eastAsia"/>
        </w:rPr>
        <w:t>頁。</w:t>
      </w:r>
    </w:p>
  </w:footnote>
  <w:footnote w:id="9">
    <w:p w:rsidR="00E21655" w:rsidRPr="0094458B" w:rsidRDefault="00E21655">
      <w:pPr>
        <w:pStyle w:val="aff"/>
      </w:pPr>
      <w:r>
        <w:rPr>
          <w:rStyle w:val="aff1"/>
        </w:rPr>
        <w:footnoteRef/>
      </w:r>
      <w:r>
        <w:rPr>
          <w:rFonts w:hint="eastAsia"/>
        </w:rPr>
        <w:t xml:space="preserve"> </w:t>
      </w:r>
      <w:r w:rsidRPr="00936BDF">
        <w:rPr>
          <w:rFonts w:hint="eastAsia"/>
        </w:rPr>
        <w:t>行政院</w:t>
      </w:r>
      <w:r w:rsidRPr="00936BDF">
        <w:rPr>
          <w:rFonts w:hint="eastAsia"/>
        </w:rPr>
        <w:t>103</w:t>
      </w:r>
      <w:r w:rsidRPr="00936BDF">
        <w:rPr>
          <w:rFonts w:hint="eastAsia"/>
        </w:rPr>
        <w:t>年</w:t>
      </w:r>
      <w:r w:rsidRPr="00936BDF">
        <w:rPr>
          <w:rFonts w:hint="eastAsia"/>
        </w:rPr>
        <w:t>4</w:t>
      </w:r>
      <w:r w:rsidRPr="00936BDF">
        <w:rPr>
          <w:rFonts w:hint="eastAsia"/>
        </w:rPr>
        <w:t>月</w:t>
      </w:r>
      <w:r w:rsidRPr="00936BDF">
        <w:rPr>
          <w:rFonts w:hint="eastAsia"/>
        </w:rPr>
        <w:t>1</w:t>
      </w:r>
      <w:r w:rsidRPr="00936BDF">
        <w:rPr>
          <w:rFonts w:hint="eastAsia"/>
        </w:rPr>
        <w:t>日</w:t>
      </w:r>
      <w:proofErr w:type="gramStart"/>
      <w:r w:rsidRPr="00936BDF">
        <w:rPr>
          <w:rFonts w:hint="eastAsia"/>
        </w:rPr>
        <w:t>院授人給字</w:t>
      </w:r>
      <w:proofErr w:type="gramEnd"/>
      <w:r w:rsidRPr="00936BDF">
        <w:rPr>
          <w:rFonts w:hint="eastAsia"/>
        </w:rPr>
        <w:t>第</w:t>
      </w:r>
      <w:r w:rsidRPr="00936BDF">
        <w:rPr>
          <w:rFonts w:hint="eastAsia"/>
        </w:rPr>
        <w:t>1030028681</w:t>
      </w:r>
      <w:r w:rsidRPr="00936BDF">
        <w:rPr>
          <w:rFonts w:hint="eastAsia"/>
        </w:rPr>
        <w:t>號函</w:t>
      </w:r>
      <w:r>
        <w:rPr>
          <w:rFonts w:hint="eastAsia"/>
        </w:rPr>
        <w:t>。</w:t>
      </w:r>
    </w:p>
  </w:footnote>
  <w:footnote w:id="10">
    <w:p w:rsidR="00E21655" w:rsidRPr="00C17FB2" w:rsidRDefault="00E21655" w:rsidP="00DD7D48">
      <w:pPr>
        <w:pStyle w:val="aff"/>
      </w:pPr>
      <w:r>
        <w:rPr>
          <w:rStyle w:val="aff1"/>
        </w:rPr>
        <w:footnoteRef/>
      </w:r>
      <w:r>
        <w:rPr>
          <w:rFonts w:hint="eastAsia"/>
        </w:rPr>
        <w:t xml:space="preserve"> </w:t>
      </w:r>
      <w:r w:rsidRPr="00C17FB2">
        <w:rPr>
          <w:rFonts w:hint="eastAsia"/>
        </w:rPr>
        <w:t>例外</w:t>
      </w:r>
      <w:r>
        <w:rPr>
          <w:rFonts w:hint="eastAsia"/>
        </w:rPr>
        <w:t>情形指</w:t>
      </w:r>
      <w:r w:rsidRPr="00C17FB2">
        <w:rPr>
          <w:rFonts w:hint="eastAsia"/>
        </w:rPr>
        <w:t>留用或移撥人員獎金為機關組織修編過渡期間之權益保障措施，且各該組織</w:t>
      </w:r>
      <w:proofErr w:type="gramStart"/>
      <w:r w:rsidRPr="00C17FB2">
        <w:rPr>
          <w:rFonts w:hint="eastAsia"/>
        </w:rPr>
        <w:t>法規均訂有</w:t>
      </w:r>
      <w:proofErr w:type="gramEnd"/>
      <w:r w:rsidRPr="00C17FB2">
        <w:rPr>
          <w:rFonts w:hint="eastAsia"/>
        </w:rPr>
        <w:t>是類人員依原適用法令辦理之規定，及支給</w:t>
      </w:r>
      <w:proofErr w:type="gramStart"/>
      <w:r w:rsidRPr="00C17FB2">
        <w:rPr>
          <w:rFonts w:hint="eastAsia"/>
        </w:rPr>
        <w:t>對象均為勞動</w:t>
      </w:r>
      <w:proofErr w:type="gramEnd"/>
      <w:r w:rsidRPr="00C17FB2">
        <w:rPr>
          <w:rFonts w:hint="eastAsia"/>
        </w:rPr>
        <w:t>基準法適用人員維持以行政規則規範</w:t>
      </w:r>
      <w:r>
        <w:rPr>
          <w:rFonts w:hint="eastAsia"/>
        </w:rPr>
        <w:t>。</w:t>
      </w:r>
    </w:p>
  </w:footnote>
  <w:footnote w:id="11">
    <w:p w:rsidR="00E21655" w:rsidRPr="00AF7033" w:rsidRDefault="00E21655" w:rsidP="00DD7D48">
      <w:pPr>
        <w:pStyle w:val="aff"/>
      </w:pPr>
      <w:r>
        <w:rPr>
          <w:rStyle w:val="aff1"/>
        </w:rPr>
        <w:footnoteRef/>
      </w:r>
      <w:r>
        <w:rPr>
          <w:rFonts w:hint="eastAsia"/>
        </w:rPr>
        <w:t xml:space="preserve"> </w:t>
      </w:r>
      <w:r>
        <w:rPr>
          <w:rFonts w:hint="eastAsia"/>
        </w:rPr>
        <w:t>銓敘部</w:t>
      </w:r>
      <w:r>
        <w:rPr>
          <w:rFonts w:hint="eastAsia"/>
        </w:rPr>
        <w:t>100</w:t>
      </w:r>
      <w:r>
        <w:rPr>
          <w:rFonts w:hint="eastAsia"/>
        </w:rPr>
        <w:t>年</w:t>
      </w:r>
      <w:r>
        <w:rPr>
          <w:rFonts w:hint="eastAsia"/>
        </w:rPr>
        <w:t>7</w:t>
      </w:r>
      <w:r>
        <w:rPr>
          <w:rFonts w:hint="eastAsia"/>
        </w:rPr>
        <w:t>月「公務人員基準法草案說帖」。</w:t>
      </w:r>
    </w:p>
  </w:footnote>
  <w:footnote w:id="12">
    <w:p w:rsidR="00E21655" w:rsidRDefault="00E21655" w:rsidP="00294D6C">
      <w:pPr>
        <w:pStyle w:val="aff"/>
        <w:ind w:left="1361" w:hanging="1361"/>
      </w:pPr>
      <w:r>
        <w:rPr>
          <w:rStyle w:val="aff1"/>
        </w:rPr>
        <w:footnoteRef/>
      </w:r>
      <w:r>
        <w:rPr>
          <w:rFonts w:hint="eastAsia"/>
        </w:rPr>
        <w:t xml:space="preserve"> </w:t>
      </w:r>
      <w:r>
        <w:rPr>
          <w:rFonts w:hint="eastAsia"/>
        </w:rPr>
        <w:t>吳庚，</w:t>
      </w:r>
      <w:r w:rsidRPr="001A380D">
        <w:rPr>
          <w:rFonts w:hint="eastAsia"/>
        </w:rPr>
        <w:t>行政法之理論與實用</w:t>
      </w:r>
      <w:r>
        <w:rPr>
          <w:rFonts w:hint="eastAsia"/>
        </w:rPr>
        <w:t>，增訂</w:t>
      </w:r>
      <w:r>
        <w:rPr>
          <w:rFonts w:hint="eastAsia"/>
        </w:rPr>
        <w:t>10</w:t>
      </w:r>
      <w:r>
        <w:rPr>
          <w:rFonts w:hint="eastAsia"/>
        </w:rPr>
        <w:t>版，</w:t>
      </w:r>
      <w:r>
        <w:rPr>
          <w:rFonts w:hint="eastAsia"/>
        </w:rPr>
        <w:t>97</w:t>
      </w:r>
      <w:r>
        <w:rPr>
          <w:rFonts w:hint="eastAsia"/>
        </w:rPr>
        <w:t>年，第</w:t>
      </w:r>
      <w:r>
        <w:rPr>
          <w:rFonts w:hint="eastAsia"/>
        </w:rPr>
        <w:t>90</w:t>
      </w:r>
      <w:r>
        <w:rPr>
          <w:rFonts w:hint="eastAsia"/>
        </w:rPr>
        <w:t>頁。</w:t>
      </w:r>
    </w:p>
  </w:footnote>
  <w:footnote w:id="13">
    <w:p w:rsidR="00E21655" w:rsidRDefault="00E21655">
      <w:pPr>
        <w:pStyle w:val="aff"/>
      </w:pPr>
      <w:r>
        <w:rPr>
          <w:rStyle w:val="aff1"/>
        </w:rPr>
        <w:footnoteRef/>
      </w:r>
      <w:r>
        <w:rPr>
          <w:rFonts w:hint="eastAsia"/>
        </w:rPr>
        <w:t xml:space="preserve"> </w:t>
      </w:r>
      <w:r>
        <w:rPr>
          <w:rFonts w:hint="eastAsia"/>
        </w:rPr>
        <w:t>陳愛娥，</w:t>
      </w:r>
      <w:r w:rsidRPr="00BD5B0E">
        <w:rPr>
          <w:rFonts w:hint="eastAsia"/>
        </w:rPr>
        <w:t>「軍公教人員俸給以外其他給與法制化型態之研究」，人事行政總處</w:t>
      </w:r>
      <w:proofErr w:type="gramStart"/>
      <w:r>
        <w:rPr>
          <w:rFonts w:hint="eastAsia"/>
        </w:rPr>
        <w:t>102</w:t>
      </w:r>
      <w:proofErr w:type="gramEnd"/>
      <w:r>
        <w:rPr>
          <w:rFonts w:hint="eastAsia"/>
        </w:rPr>
        <w:t>年度委託研究案，</w:t>
      </w:r>
      <w:r w:rsidRPr="00C5014F">
        <w:rPr>
          <w:rFonts w:hint="eastAsia"/>
        </w:rPr>
        <w:t>第</w:t>
      </w:r>
      <w:r w:rsidRPr="00C5014F">
        <w:rPr>
          <w:rFonts w:hint="eastAsia"/>
        </w:rPr>
        <w:t>127-128</w:t>
      </w:r>
      <w:r w:rsidRPr="00C5014F">
        <w:rPr>
          <w:rFonts w:hint="eastAsia"/>
        </w:rPr>
        <w:t>頁</w:t>
      </w:r>
      <w:r>
        <w:rPr>
          <w:rFonts w:hint="eastAsia"/>
        </w:rPr>
        <w:t>。</w:t>
      </w:r>
    </w:p>
  </w:footnote>
  <w:footnote w:id="14">
    <w:p w:rsidR="00E21655" w:rsidRPr="00F4289B" w:rsidRDefault="00E21655" w:rsidP="00DD7D48">
      <w:pPr>
        <w:pStyle w:val="aff"/>
      </w:pPr>
      <w:r>
        <w:rPr>
          <w:rStyle w:val="aff1"/>
        </w:rPr>
        <w:footnoteRef/>
      </w:r>
      <w:r>
        <w:rPr>
          <w:rFonts w:hint="eastAsia"/>
        </w:rPr>
        <w:t xml:space="preserve"> </w:t>
      </w:r>
      <w:r>
        <w:rPr>
          <w:rFonts w:hint="eastAsia"/>
        </w:rPr>
        <w:t>陳愛娥，</w:t>
      </w:r>
      <w:r w:rsidRPr="00BD5B0E">
        <w:rPr>
          <w:rFonts w:hint="eastAsia"/>
        </w:rPr>
        <w:t>「軍公教人員俸給以外其他給與法制化型態之研究」，人事行政總處</w:t>
      </w:r>
      <w:proofErr w:type="gramStart"/>
      <w:r>
        <w:rPr>
          <w:rFonts w:hint="eastAsia"/>
        </w:rPr>
        <w:t>102</w:t>
      </w:r>
      <w:proofErr w:type="gramEnd"/>
      <w:r>
        <w:rPr>
          <w:rFonts w:hint="eastAsia"/>
        </w:rPr>
        <w:t>年度委託研究案，摘要第</w:t>
      </w:r>
      <w:r>
        <w:rPr>
          <w:rFonts w:hint="eastAsia"/>
        </w:rPr>
        <w:t>4</w:t>
      </w:r>
      <w:r>
        <w:rPr>
          <w:rFonts w:hint="eastAsia"/>
        </w:rPr>
        <w:t>頁。</w:t>
      </w:r>
    </w:p>
  </w:footnote>
  <w:footnote w:id="15">
    <w:p w:rsidR="00E21655" w:rsidRDefault="00E21655" w:rsidP="00DD7D48">
      <w:pPr>
        <w:pStyle w:val="aff"/>
      </w:pPr>
      <w:r>
        <w:rPr>
          <w:rStyle w:val="aff1"/>
        </w:rPr>
        <w:footnoteRef/>
      </w:r>
      <w:r>
        <w:rPr>
          <w:rFonts w:hint="eastAsia"/>
        </w:rPr>
        <w:t>兵役法第</w:t>
      </w:r>
      <w:r>
        <w:rPr>
          <w:rFonts w:hint="eastAsia"/>
        </w:rPr>
        <w:t>44</w:t>
      </w:r>
      <w:r>
        <w:rPr>
          <w:rFonts w:hint="eastAsia"/>
        </w:rPr>
        <w:t>條之</w:t>
      </w:r>
      <w:r>
        <w:rPr>
          <w:rFonts w:hint="eastAsia"/>
        </w:rPr>
        <w:t>1</w:t>
      </w:r>
      <w:r>
        <w:rPr>
          <w:rFonts w:hint="eastAsia"/>
        </w:rPr>
        <w:t>規定：「（第</w:t>
      </w:r>
      <w:r>
        <w:rPr>
          <w:rFonts w:hint="eastAsia"/>
        </w:rPr>
        <w:t>1</w:t>
      </w:r>
      <w:r>
        <w:rPr>
          <w:rFonts w:hint="eastAsia"/>
        </w:rPr>
        <w:t>項）現役軍人依前條第一項第七款所享有之傷亡慰問金、團體意外保險及其他依法令所享有之獎金、津貼等權利；其發給之對象、類別、條件及程序等相關事項之法令，除其他法律另有規定外，由國防部、內政部分別擬訂，報行政院核定。（第</w:t>
      </w:r>
      <w:r>
        <w:rPr>
          <w:rFonts w:hint="eastAsia"/>
        </w:rPr>
        <w:t>2</w:t>
      </w:r>
      <w:r>
        <w:rPr>
          <w:rFonts w:hint="eastAsia"/>
        </w:rPr>
        <w:t>項）前項現役軍人依法令所享有之獎金、津貼等權利，於服務於國防部及其所屬機關（構）、部隊或學校之公務人員或聘雇人員，</w:t>
      </w:r>
      <w:proofErr w:type="gramStart"/>
      <w:r>
        <w:rPr>
          <w:rFonts w:hint="eastAsia"/>
        </w:rPr>
        <w:t>準</w:t>
      </w:r>
      <w:proofErr w:type="gramEnd"/>
      <w:r>
        <w:rPr>
          <w:rFonts w:hint="eastAsia"/>
        </w:rPr>
        <w:t>用之；該等人員得比照現役軍人之條件，以自費方式參加國軍團體意外保險。」</w:t>
      </w:r>
    </w:p>
  </w:footnote>
  <w:footnote w:id="16">
    <w:p w:rsidR="00E21655" w:rsidRPr="00922D69" w:rsidRDefault="00E21655" w:rsidP="00DD7D48">
      <w:pPr>
        <w:pStyle w:val="aff"/>
      </w:pPr>
      <w:r>
        <w:rPr>
          <w:rStyle w:val="aff1"/>
        </w:rPr>
        <w:footnoteRef/>
      </w:r>
      <w:r>
        <w:rPr>
          <w:rFonts w:hint="eastAsia"/>
        </w:rPr>
        <w:t>「行政院暨所屬各級行政機關績效獎金實施計畫」自</w:t>
      </w:r>
      <w:r>
        <w:rPr>
          <w:rFonts w:hint="eastAsia"/>
        </w:rPr>
        <w:t>92</w:t>
      </w:r>
      <w:r>
        <w:rPr>
          <w:rFonts w:hint="eastAsia"/>
        </w:rPr>
        <w:t>年起全面推動實施，</w:t>
      </w:r>
      <w:proofErr w:type="gramStart"/>
      <w:r>
        <w:rPr>
          <w:rFonts w:hint="eastAsia"/>
        </w:rPr>
        <w:t>嗣</w:t>
      </w:r>
      <w:proofErr w:type="gramEnd"/>
      <w:r>
        <w:rPr>
          <w:rFonts w:hint="eastAsia"/>
        </w:rPr>
        <w:t>因人事費逐年刪減等因素，行政院核定自</w:t>
      </w:r>
      <w:r>
        <w:rPr>
          <w:rFonts w:hint="eastAsia"/>
        </w:rPr>
        <w:t>96</w:t>
      </w:r>
      <w:r>
        <w:rPr>
          <w:rFonts w:hint="eastAsia"/>
        </w:rPr>
        <w:t>年起不再</w:t>
      </w:r>
      <w:proofErr w:type="gramStart"/>
      <w:r>
        <w:rPr>
          <w:rFonts w:hint="eastAsia"/>
        </w:rPr>
        <w:t>賡</w:t>
      </w:r>
      <w:proofErr w:type="gramEnd"/>
      <w:r>
        <w:rPr>
          <w:rFonts w:hint="eastAsia"/>
        </w:rPr>
        <w:t>續實施，但考量績效管理係當前各國政府之管理趨勢，且對各機關施政績效提升頗具助益，故將該制度中績效管理制度納入行政院研究考核委員會施政績效制度辦理。請參考吳泰成，我國文官績效管理的回顧與前瞻，人事行政，第</w:t>
      </w:r>
      <w:r>
        <w:rPr>
          <w:rFonts w:hint="eastAsia"/>
        </w:rPr>
        <w:t>171</w:t>
      </w:r>
      <w:r>
        <w:rPr>
          <w:rFonts w:hint="eastAsia"/>
        </w:rPr>
        <w:t>期，第</w:t>
      </w:r>
      <w:r>
        <w:rPr>
          <w:rFonts w:hint="eastAsia"/>
        </w:rPr>
        <w:t>20-26</w:t>
      </w:r>
      <w:r>
        <w:rPr>
          <w:rFonts w:hint="eastAsia"/>
        </w:rPr>
        <w:t>頁。</w:t>
      </w:r>
    </w:p>
  </w:footnote>
  <w:footnote w:id="17">
    <w:p w:rsidR="00E21655" w:rsidRPr="00B06B09" w:rsidRDefault="00E21655" w:rsidP="00DD7D48">
      <w:pPr>
        <w:pStyle w:val="aff"/>
      </w:pPr>
      <w:r>
        <w:rPr>
          <w:rStyle w:val="aff1"/>
        </w:rPr>
        <w:footnoteRef/>
      </w:r>
      <w:r>
        <w:rPr>
          <w:rFonts w:hint="eastAsia"/>
        </w:rPr>
        <w:t xml:space="preserve"> </w:t>
      </w:r>
      <w:r>
        <w:rPr>
          <w:rFonts w:hint="eastAsia"/>
        </w:rPr>
        <w:t>吳泰成，我國文官績效管理的回顧與前瞻，人事行政，第</w:t>
      </w:r>
      <w:r>
        <w:rPr>
          <w:rFonts w:hint="eastAsia"/>
        </w:rPr>
        <w:t>171</w:t>
      </w:r>
      <w:r>
        <w:rPr>
          <w:rFonts w:hint="eastAsia"/>
        </w:rPr>
        <w:t>期，第</w:t>
      </w:r>
      <w:r>
        <w:rPr>
          <w:rFonts w:hint="eastAsia"/>
        </w:rPr>
        <w:t>20-26</w:t>
      </w:r>
      <w:r>
        <w:rPr>
          <w:rFonts w:hint="eastAsia"/>
        </w:rPr>
        <w:t>頁。</w:t>
      </w:r>
    </w:p>
  </w:footnote>
  <w:footnote w:id="18">
    <w:p w:rsidR="00E21655" w:rsidRPr="00A54F32" w:rsidRDefault="00E21655" w:rsidP="00DD7D48">
      <w:pPr>
        <w:pStyle w:val="aff"/>
      </w:pPr>
      <w:r>
        <w:rPr>
          <w:rStyle w:val="aff1"/>
        </w:rPr>
        <w:footnoteRef/>
      </w:r>
      <w:r>
        <w:rPr>
          <w:rFonts w:hint="eastAsia"/>
        </w:rPr>
        <w:t xml:space="preserve"> </w:t>
      </w:r>
      <w:r>
        <w:rPr>
          <w:rFonts w:hint="eastAsia"/>
        </w:rPr>
        <w:t>黃富源，政府人力資源管理策略的謀劃與落實，人事月刊，第</w:t>
      </w:r>
      <w:r>
        <w:rPr>
          <w:rFonts w:hint="eastAsia"/>
        </w:rPr>
        <w:t>352</w:t>
      </w:r>
      <w:r>
        <w:rPr>
          <w:rFonts w:hint="eastAsia"/>
        </w:rPr>
        <w:t>期，</w:t>
      </w:r>
      <w:r>
        <w:rPr>
          <w:rFonts w:hint="eastAsia"/>
        </w:rPr>
        <w:t>2014</w:t>
      </w:r>
      <w:r>
        <w:rPr>
          <w:rFonts w:hint="eastAsia"/>
        </w:rPr>
        <w:t>年</w:t>
      </w:r>
      <w:r>
        <w:rPr>
          <w:rFonts w:hint="eastAsia"/>
        </w:rPr>
        <w:t>12</w:t>
      </w:r>
      <w:r>
        <w:rPr>
          <w:rFonts w:hint="eastAsia"/>
        </w:rPr>
        <w:t>月，第</w:t>
      </w:r>
      <w:r>
        <w:rPr>
          <w:rFonts w:hint="eastAsia"/>
        </w:rPr>
        <w:t>1-8</w:t>
      </w:r>
      <w:r>
        <w:rPr>
          <w:rFonts w:hint="eastAsia"/>
        </w:rPr>
        <w:t>頁。</w:t>
      </w:r>
    </w:p>
  </w:footnote>
  <w:footnote w:id="19">
    <w:p w:rsidR="00E21655" w:rsidRPr="00E747D4" w:rsidRDefault="00E21655" w:rsidP="00294D6C">
      <w:pPr>
        <w:pStyle w:val="aff"/>
        <w:ind w:left="1361" w:hanging="1361"/>
      </w:pPr>
      <w:r>
        <w:rPr>
          <w:rStyle w:val="aff1"/>
        </w:rPr>
        <w:footnoteRef/>
      </w:r>
      <w:r>
        <w:rPr>
          <w:rFonts w:hint="eastAsia"/>
        </w:rPr>
        <w:t xml:space="preserve"> </w:t>
      </w:r>
      <w:r>
        <w:rPr>
          <w:rFonts w:hint="eastAsia"/>
        </w:rPr>
        <w:t>梁永興，人事月刊，第</w:t>
      </w:r>
      <w:r>
        <w:rPr>
          <w:rFonts w:hint="eastAsia"/>
        </w:rPr>
        <w:t>371</w:t>
      </w:r>
      <w:r>
        <w:rPr>
          <w:rFonts w:hint="eastAsia"/>
        </w:rPr>
        <w:t>期，</w:t>
      </w:r>
      <w:r>
        <w:rPr>
          <w:rFonts w:hint="eastAsia"/>
        </w:rPr>
        <w:t>2016</w:t>
      </w:r>
      <w:r>
        <w:rPr>
          <w:rFonts w:hint="eastAsia"/>
        </w:rPr>
        <w:t>年</w:t>
      </w:r>
      <w:r>
        <w:rPr>
          <w:rFonts w:hint="eastAsia"/>
        </w:rPr>
        <w:t>7</w:t>
      </w:r>
      <w:r>
        <w:rPr>
          <w:rFonts w:hint="eastAsia"/>
        </w:rPr>
        <w:t>月。第</w:t>
      </w:r>
      <w:r>
        <w:rPr>
          <w:rFonts w:hint="eastAsia"/>
        </w:rPr>
        <w:t>19-43</w:t>
      </w:r>
      <w:r>
        <w:rPr>
          <w:rFonts w:hint="eastAsia"/>
        </w:rPr>
        <w:t>頁。</w:t>
      </w:r>
    </w:p>
  </w:footnote>
  <w:footnote w:id="20">
    <w:p w:rsidR="00E21655" w:rsidRPr="004C5C03" w:rsidRDefault="00E21655" w:rsidP="00DD7D48">
      <w:pPr>
        <w:pStyle w:val="aff"/>
      </w:pPr>
      <w:r>
        <w:rPr>
          <w:rStyle w:val="aff1"/>
        </w:rPr>
        <w:footnoteRef/>
      </w:r>
      <w:r>
        <w:rPr>
          <w:rFonts w:hint="eastAsia"/>
        </w:rPr>
        <w:t xml:space="preserve"> </w:t>
      </w:r>
      <w:r w:rsidRPr="0021652D">
        <w:rPr>
          <w:rFonts w:hint="eastAsia"/>
        </w:rPr>
        <w:t>不</w:t>
      </w:r>
      <w:r w:rsidRPr="00936BDF">
        <w:rPr>
          <w:rFonts w:hint="eastAsia"/>
        </w:rPr>
        <w:t>休假獎金部分，依中央政府各機關單位預算執行作業手冊，係編列於「加班值班費」項下。</w:t>
      </w:r>
    </w:p>
  </w:footnote>
  <w:footnote w:id="21">
    <w:p w:rsidR="00E21655" w:rsidRPr="00A54F32" w:rsidRDefault="00E21655" w:rsidP="00DD7D48">
      <w:pPr>
        <w:pStyle w:val="aff"/>
      </w:pPr>
      <w:r>
        <w:rPr>
          <w:rStyle w:val="aff1"/>
        </w:rPr>
        <w:footnoteRef/>
      </w:r>
      <w:r>
        <w:rPr>
          <w:rFonts w:hint="eastAsia"/>
        </w:rPr>
        <w:t xml:space="preserve"> </w:t>
      </w:r>
      <w:r>
        <w:rPr>
          <w:rFonts w:hint="eastAsia"/>
        </w:rPr>
        <w:t>有關部分獎金之發給未完全與工作績效相結合，部分個別性獎金性質未見其特殊性，或已淪為固定性給與等論述，請參考陳焜元，當前政府部門員工待遇管理的策略思維與行動，人事月刊，第</w:t>
      </w:r>
      <w:r>
        <w:rPr>
          <w:rFonts w:hint="eastAsia"/>
        </w:rPr>
        <w:t>354</w:t>
      </w:r>
      <w:r>
        <w:rPr>
          <w:rFonts w:hint="eastAsia"/>
        </w:rPr>
        <w:t>期，</w:t>
      </w:r>
      <w:r>
        <w:rPr>
          <w:rFonts w:hint="eastAsia"/>
        </w:rPr>
        <w:t>2015</w:t>
      </w:r>
      <w:r>
        <w:rPr>
          <w:rFonts w:hint="eastAsia"/>
        </w:rPr>
        <w:t>年</w:t>
      </w:r>
      <w:r>
        <w:rPr>
          <w:rFonts w:hint="eastAsia"/>
        </w:rPr>
        <w:t>2</w:t>
      </w:r>
      <w:r>
        <w:rPr>
          <w:rFonts w:hint="eastAsia"/>
        </w:rPr>
        <w:t>月，第</w:t>
      </w:r>
      <w:r>
        <w:rPr>
          <w:rFonts w:hint="eastAsia"/>
        </w:rPr>
        <w:t>66-72</w:t>
      </w:r>
      <w:r>
        <w:rPr>
          <w:rFonts w:hint="eastAsia"/>
        </w:rPr>
        <w:t>頁。</w:t>
      </w:r>
    </w:p>
  </w:footnote>
  <w:footnote w:id="22">
    <w:p w:rsidR="00E21655" w:rsidRPr="002A76B4" w:rsidRDefault="00E21655" w:rsidP="00294D6C">
      <w:pPr>
        <w:pStyle w:val="aff"/>
        <w:ind w:left="1361" w:hanging="1361"/>
      </w:pPr>
      <w:r>
        <w:rPr>
          <w:rStyle w:val="aff1"/>
        </w:rPr>
        <w:footnoteRef/>
      </w:r>
      <w:r>
        <w:rPr>
          <w:rFonts w:hint="eastAsia"/>
        </w:rPr>
        <w:t xml:space="preserve"> </w:t>
      </w:r>
      <w:r w:rsidRPr="002A76B4">
        <w:rPr>
          <w:rFonts w:hint="eastAsia"/>
        </w:rPr>
        <w:t>人事行政總處</w:t>
      </w:r>
      <w:r w:rsidRPr="002A76B4">
        <w:rPr>
          <w:rFonts w:hint="eastAsia"/>
        </w:rPr>
        <w:t>104</w:t>
      </w:r>
      <w:r w:rsidRPr="002A76B4">
        <w:rPr>
          <w:rFonts w:hint="eastAsia"/>
        </w:rPr>
        <w:t>年</w:t>
      </w:r>
      <w:r w:rsidRPr="002A76B4">
        <w:rPr>
          <w:rFonts w:hint="eastAsia"/>
        </w:rPr>
        <w:t>8</w:t>
      </w:r>
      <w:r w:rsidRPr="002A76B4">
        <w:rPr>
          <w:rFonts w:hint="eastAsia"/>
        </w:rPr>
        <w:t>月</w:t>
      </w:r>
      <w:r w:rsidRPr="002A76B4">
        <w:rPr>
          <w:rFonts w:hint="eastAsia"/>
        </w:rPr>
        <w:t>7</w:t>
      </w:r>
      <w:r w:rsidRPr="002A76B4">
        <w:rPr>
          <w:rFonts w:hint="eastAsia"/>
        </w:rPr>
        <w:t>日總</w:t>
      </w:r>
      <w:proofErr w:type="gramStart"/>
      <w:r w:rsidRPr="002A76B4">
        <w:rPr>
          <w:rFonts w:hint="eastAsia"/>
        </w:rPr>
        <w:t>處給字第</w:t>
      </w:r>
      <w:r w:rsidRPr="002A76B4">
        <w:rPr>
          <w:rFonts w:hint="eastAsia"/>
        </w:rPr>
        <w:t>1040043031</w:t>
      </w:r>
      <w:r w:rsidRPr="002A76B4">
        <w:rPr>
          <w:rFonts w:hint="eastAsia"/>
        </w:rPr>
        <w:t>號</w:t>
      </w:r>
      <w:proofErr w:type="gramEnd"/>
      <w:r w:rsidRPr="002A76B4">
        <w:rPr>
          <w:rFonts w:hint="eastAsia"/>
        </w:rPr>
        <w:t>函</w:t>
      </w:r>
      <w:r>
        <w:rPr>
          <w:rFonts w:hint="eastAsia"/>
        </w:rPr>
        <w:t>。</w:t>
      </w:r>
    </w:p>
  </w:footnote>
  <w:footnote w:id="23">
    <w:p w:rsidR="00E21655" w:rsidRPr="00D516FE" w:rsidRDefault="00E21655" w:rsidP="00A02422">
      <w:pPr>
        <w:pStyle w:val="aff"/>
      </w:pPr>
      <w:r>
        <w:rPr>
          <w:rStyle w:val="aff1"/>
        </w:rPr>
        <w:footnoteRef/>
      </w:r>
      <w:r>
        <w:t xml:space="preserve"> </w:t>
      </w:r>
      <w:r w:rsidRPr="00D516FE">
        <w:rPr>
          <w:rFonts w:hint="eastAsia"/>
        </w:rPr>
        <w:t>行政院</w:t>
      </w:r>
      <w:r w:rsidRPr="00D516FE">
        <w:rPr>
          <w:rFonts w:hint="eastAsia"/>
        </w:rPr>
        <w:t>78</w:t>
      </w:r>
      <w:r w:rsidRPr="00D516FE">
        <w:rPr>
          <w:rFonts w:hint="eastAsia"/>
        </w:rPr>
        <w:t>年</w:t>
      </w:r>
      <w:r w:rsidRPr="00D516FE">
        <w:rPr>
          <w:rFonts w:hint="eastAsia"/>
        </w:rPr>
        <w:t>1</w:t>
      </w:r>
      <w:r w:rsidRPr="00D516FE">
        <w:rPr>
          <w:rFonts w:hint="eastAsia"/>
        </w:rPr>
        <w:t>月</w:t>
      </w:r>
      <w:r w:rsidRPr="00D516FE">
        <w:rPr>
          <w:rFonts w:hint="eastAsia"/>
        </w:rPr>
        <w:t>16</w:t>
      </w:r>
      <w:r w:rsidRPr="00D516FE">
        <w:rPr>
          <w:rFonts w:hint="eastAsia"/>
        </w:rPr>
        <w:t>日台七十八財</w:t>
      </w:r>
      <w:r w:rsidRPr="00D516FE">
        <w:rPr>
          <w:rFonts w:hint="eastAsia"/>
        </w:rPr>
        <w:t>1217</w:t>
      </w:r>
      <w:r w:rsidRPr="00D516FE">
        <w:rPr>
          <w:rFonts w:hint="eastAsia"/>
        </w:rPr>
        <w:t>號函</w:t>
      </w:r>
      <w:r>
        <w:rPr>
          <w:rFonts w:hint="eastAsia"/>
        </w:rPr>
        <w:t>。</w:t>
      </w:r>
    </w:p>
  </w:footnote>
  <w:footnote w:id="24">
    <w:p w:rsidR="00E21655" w:rsidRPr="00801B60" w:rsidRDefault="00E21655">
      <w:pPr>
        <w:pStyle w:val="aff"/>
      </w:pPr>
      <w:r>
        <w:rPr>
          <w:rStyle w:val="aff1"/>
        </w:rPr>
        <w:footnoteRef/>
      </w:r>
      <w:r>
        <w:t xml:space="preserve"> </w:t>
      </w:r>
      <w:r>
        <w:rPr>
          <w:rFonts w:hint="eastAsia"/>
        </w:rPr>
        <w:t>43</w:t>
      </w:r>
      <w:r>
        <w:rPr>
          <w:rFonts w:hint="eastAsia"/>
        </w:rPr>
        <w:t>年</w:t>
      </w:r>
      <w:r>
        <w:rPr>
          <w:rFonts w:hint="eastAsia"/>
        </w:rPr>
        <w:t>4</w:t>
      </w:r>
      <w:r>
        <w:rPr>
          <w:rFonts w:hint="eastAsia"/>
        </w:rPr>
        <w:t>月</w:t>
      </w:r>
      <w:r>
        <w:rPr>
          <w:rFonts w:hint="eastAsia"/>
        </w:rPr>
        <w:t>23</w:t>
      </w:r>
      <w:r>
        <w:rPr>
          <w:rFonts w:hint="eastAsia"/>
        </w:rPr>
        <w:t>日發布之</w:t>
      </w:r>
      <w:r w:rsidRPr="00F57A14">
        <w:rPr>
          <w:rFonts w:hint="eastAsia"/>
        </w:rPr>
        <w:t>財務罰鍰處理暫行條例</w:t>
      </w:r>
      <w:r>
        <w:rPr>
          <w:rFonts w:hint="eastAsia"/>
        </w:rPr>
        <w:t>第</w:t>
      </w:r>
      <w:r>
        <w:rPr>
          <w:rFonts w:hint="eastAsia"/>
        </w:rPr>
        <w:t>3</w:t>
      </w:r>
      <w:r>
        <w:rPr>
          <w:rFonts w:hint="eastAsia"/>
        </w:rPr>
        <w:t>條規定：「罰鍰或罰金及沒收沒入之財物變價除前條之規定扣繳稅款並依左列規定</w:t>
      </w:r>
      <w:proofErr w:type="gramStart"/>
      <w:r>
        <w:rPr>
          <w:rFonts w:hint="eastAsia"/>
        </w:rPr>
        <w:t>先行提獎外</w:t>
      </w:r>
      <w:proofErr w:type="gramEnd"/>
      <w:r>
        <w:rPr>
          <w:rFonts w:hint="eastAsia"/>
        </w:rPr>
        <w:t>應悉數</w:t>
      </w:r>
      <w:proofErr w:type="gramStart"/>
      <w:r>
        <w:rPr>
          <w:rFonts w:hint="eastAsia"/>
        </w:rPr>
        <w:t>解庫其</w:t>
      </w:r>
      <w:proofErr w:type="gramEnd"/>
      <w:r>
        <w:rPr>
          <w:rFonts w:hint="eastAsia"/>
        </w:rPr>
        <w:t>收支全部應編列預算。一、經人舉發而緝獲之案件就其淨額</w:t>
      </w:r>
      <w:proofErr w:type="gramStart"/>
      <w:r>
        <w:rPr>
          <w:rFonts w:hint="eastAsia"/>
        </w:rPr>
        <w:t>提撥</w:t>
      </w:r>
      <w:proofErr w:type="gramEnd"/>
      <w:r>
        <w:rPr>
          <w:rFonts w:hint="eastAsia"/>
        </w:rPr>
        <w:t>舉發人獎金不得超過百分之二十。二、主辦查緝機關協助查緝機關之在事人員就其淨額</w:t>
      </w:r>
      <w:proofErr w:type="gramStart"/>
      <w:r>
        <w:rPr>
          <w:rFonts w:hint="eastAsia"/>
        </w:rPr>
        <w:t>提撥</w:t>
      </w:r>
      <w:proofErr w:type="gramEnd"/>
      <w:r>
        <w:rPr>
          <w:rFonts w:hint="eastAsia"/>
        </w:rPr>
        <w:t>獎金不得超過百分之二十其無舉發人之案件就其淨額</w:t>
      </w:r>
      <w:proofErr w:type="gramStart"/>
      <w:r>
        <w:rPr>
          <w:rFonts w:hint="eastAsia"/>
        </w:rPr>
        <w:t>提撥</w:t>
      </w:r>
      <w:proofErr w:type="gramEnd"/>
      <w:r>
        <w:rPr>
          <w:rFonts w:hint="eastAsia"/>
        </w:rPr>
        <w:t>獎金不得超過百分之三十。三、主辦查緝機關協助查緝機關之在事人員獎金之分配辦法由行政院定之。」另</w:t>
      </w:r>
      <w:r>
        <w:rPr>
          <w:rFonts w:hint="eastAsia"/>
        </w:rPr>
        <w:t>84</w:t>
      </w:r>
      <w:r>
        <w:rPr>
          <w:rFonts w:hint="eastAsia"/>
        </w:rPr>
        <w:t>年</w:t>
      </w:r>
      <w:r>
        <w:rPr>
          <w:rFonts w:hint="eastAsia"/>
        </w:rPr>
        <w:t>6</w:t>
      </w:r>
      <w:r>
        <w:rPr>
          <w:rFonts w:hint="eastAsia"/>
        </w:rPr>
        <w:t>月</w:t>
      </w:r>
      <w:r>
        <w:rPr>
          <w:rFonts w:hint="eastAsia"/>
        </w:rPr>
        <w:t>29</w:t>
      </w:r>
      <w:r>
        <w:rPr>
          <w:rFonts w:hint="eastAsia"/>
        </w:rPr>
        <w:t>日修正之</w:t>
      </w:r>
      <w:r w:rsidRPr="00F57A14">
        <w:rPr>
          <w:rFonts w:hint="eastAsia"/>
        </w:rPr>
        <w:t>財務罰鍰處理暫行條例</w:t>
      </w:r>
      <w:r>
        <w:rPr>
          <w:rFonts w:hint="eastAsia"/>
        </w:rPr>
        <w:t>第</w:t>
      </w:r>
      <w:r>
        <w:rPr>
          <w:rFonts w:hint="eastAsia"/>
        </w:rPr>
        <w:t>4</w:t>
      </w:r>
      <w:r>
        <w:rPr>
          <w:rFonts w:hint="eastAsia"/>
        </w:rPr>
        <w:t>條規定：「前條第一款之獎金每案</w:t>
      </w:r>
      <w:proofErr w:type="gramStart"/>
      <w:r>
        <w:rPr>
          <w:rFonts w:hint="eastAsia"/>
        </w:rPr>
        <w:t>最</w:t>
      </w:r>
      <w:proofErr w:type="gramEnd"/>
      <w:r>
        <w:rPr>
          <w:rFonts w:hint="eastAsia"/>
        </w:rPr>
        <w:t>高額以</w:t>
      </w:r>
      <w:r>
        <w:rPr>
          <w:rFonts w:hint="eastAsia"/>
        </w:rPr>
        <w:t>480</w:t>
      </w:r>
      <w:r>
        <w:rPr>
          <w:rFonts w:hint="eastAsia"/>
        </w:rPr>
        <w:t>萬元為限，第二款之獎金每案</w:t>
      </w:r>
      <w:proofErr w:type="gramStart"/>
      <w:r>
        <w:rPr>
          <w:rFonts w:hint="eastAsia"/>
        </w:rPr>
        <w:t>最</w:t>
      </w:r>
      <w:proofErr w:type="gramEnd"/>
      <w:r>
        <w:rPr>
          <w:rFonts w:hint="eastAsia"/>
        </w:rPr>
        <w:t>高額以</w:t>
      </w:r>
      <w:r>
        <w:rPr>
          <w:rFonts w:hint="eastAsia"/>
        </w:rPr>
        <w:t>720</w:t>
      </w:r>
      <w:r>
        <w:rPr>
          <w:rFonts w:hint="eastAsia"/>
        </w:rPr>
        <w:t>萬元為限。」</w:t>
      </w:r>
    </w:p>
  </w:footnote>
  <w:footnote w:id="25">
    <w:p w:rsidR="00E21655" w:rsidRPr="00B2649E" w:rsidRDefault="00E21655">
      <w:pPr>
        <w:pStyle w:val="aff"/>
      </w:pPr>
      <w:r>
        <w:rPr>
          <w:rStyle w:val="aff1"/>
        </w:rPr>
        <w:footnoteRef/>
      </w:r>
      <w:r>
        <w:t xml:space="preserve"> </w:t>
      </w:r>
      <w:r>
        <w:rPr>
          <w:rFonts w:hint="eastAsia"/>
        </w:rPr>
        <w:t>參考</w:t>
      </w:r>
      <w:r>
        <w:rPr>
          <w:rFonts w:hint="eastAsia"/>
        </w:rPr>
        <w:t>106</w:t>
      </w:r>
      <w:r>
        <w:rPr>
          <w:rFonts w:hint="eastAsia"/>
        </w:rPr>
        <w:t>年</w:t>
      </w:r>
      <w:r>
        <w:rPr>
          <w:rFonts w:hint="eastAsia"/>
        </w:rPr>
        <w:t>5</w:t>
      </w:r>
      <w:r>
        <w:rPr>
          <w:rFonts w:hint="eastAsia"/>
        </w:rPr>
        <w:t>月</w:t>
      </w:r>
      <w:r>
        <w:rPr>
          <w:rFonts w:hint="eastAsia"/>
        </w:rPr>
        <w:t>25</w:t>
      </w:r>
      <w:r>
        <w:rPr>
          <w:rFonts w:hint="eastAsia"/>
        </w:rPr>
        <w:t>日中國時報「</w:t>
      </w:r>
      <w:r w:rsidRPr="00B2649E">
        <w:rPr>
          <w:rFonts w:hint="eastAsia"/>
        </w:rPr>
        <w:t>稅務獎金年發上億元</w:t>
      </w:r>
      <w:r w:rsidRPr="00B2649E">
        <w:rPr>
          <w:rFonts w:hint="eastAsia"/>
        </w:rPr>
        <w:t xml:space="preserve"> </w:t>
      </w:r>
      <w:proofErr w:type="gramStart"/>
      <w:r w:rsidRPr="00B2649E">
        <w:rPr>
          <w:rFonts w:hint="eastAsia"/>
        </w:rPr>
        <w:t>陳瑩批濫發</w:t>
      </w:r>
      <w:proofErr w:type="gramEnd"/>
      <w:r>
        <w:rPr>
          <w:rFonts w:hint="eastAsia"/>
        </w:rPr>
        <w:t>」。</w:t>
      </w:r>
    </w:p>
  </w:footnote>
  <w:footnote w:id="26">
    <w:p w:rsidR="00E21655" w:rsidRPr="005B443C" w:rsidRDefault="00E21655" w:rsidP="00DD7D48">
      <w:pPr>
        <w:pStyle w:val="aff"/>
      </w:pPr>
      <w:r>
        <w:rPr>
          <w:rStyle w:val="aff1"/>
        </w:rPr>
        <w:footnoteRef/>
      </w:r>
      <w:r>
        <w:rPr>
          <w:rFonts w:hint="eastAsia"/>
        </w:rPr>
        <w:t xml:space="preserve"> </w:t>
      </w:r>
      <w:r w:rsidRPr="005B443C">
        <w:rPr>
          <w:rFonts w:hint="eastAsia"/>
        </w:rPr>
        <w:t>俸給法第</w:t>
      </w:r>
      <w:r w:rsidRPr="005B443C">
        <w:rPr>
          <w:rFonts w:hint="eastAsia"/>
        </w:rPr>
        <w:t>2</w:t>
      </w:r>
      <w:r w:rsidRPr="005B443C">
        <w:rPr>
          <w:rFonts w:hint="eastAsia"/>
        </w:rPr>
        <w:t>條規定：「…五、加給：係指本</w:t>
      </w:r>
      <w:proofErr w:type="gramStart"/>
      <w:r w:rsidRPr="005B443C">
        <w:rPr>
          <w:rFonts w:hint="eastAsia"/>
        </w:rPr>
        <w:t>俸</w:t>
      </w:r>
      <w:proofErr w:type="gramEnd"/>
      <w:r w:rsidRPr="005B443C">
        <w:rPr>
          <w:rFonts w:hint="eastAsia"/>
        </w:rPr>
        <w:t>、年功</w:t>
      </w:r>
      <w:proofErr w:type="gramStart"/>
      <w:r w:rsidRPr="005B443C">
        <w:rPr>
          <w:rFonts w:hint="eastAsia"/>
        </w:rPr>
        <w:t>俸以外，</w:t>
      </w:r>
      <w:proofErr w:type="gramEnd"/>
      <w:r w:rsidRPr="005B443C">
        <w:rPr>
          <w:rFonts w:hint="eastAsia"/>
        </w:rPr>
        <w:t>因所任職務種類、性質與服務地區之不同，而另加之給與。」同法第</w:t>
      </w:r>
      <w:r w:rsidRPr="005B443C">
        <w:rPr>
          <w:rFonts w:hint="eastAsia"/>
        </w:rPr>
        <w:t>5</w:t>
      </w:r>
      <w:r w:rsidRPr="005B443C">
        <w:rPr>
          <w:rFonts w:hint="eastAsia"/>
        </w:rPr>
        <w:t>條規定：「加給分下列三種：一、職務加給：對主管人員或職責繁重或工作具有危險性者加給之。二、技術或專業加給：對技術或專業人員加給之。三、地域加給：對服務邊遠或特殊地區與國外者加給之。」</w:t>
      </w:r>
    </w:p>
  </w:footnote>
  <w:footnote w:id="27">
    <w:p w:rsidR="00E21655" w:rsidRPr="00A046AF" w:rsidRDefault="00E21655" w:rsidP="00294D6C">
      <w:pPr>
        <w:pStyle w:val="aff"/>
        <w:ind w:left="1361" w:hanging="1361"/>
      </w:pPr>
      <w:r>
        <w:rPr>
          <w:rStyle w:val="aff1"/>
        </w:rPr>
        <w:footnoteRef/>
      </w:r>
      <w:r>
        <w:rPr>
          <w:rFonts w:hint="eastAsia"/>
        </w:rPr>
        <w:t xml:space="preserve"> </w:t>
      </w:r>
      <w:r>
        <w:rPr>
          <w:rFonts w:hint="eastAsia"/>
        </w:rPr>
        <w:t>徐有守，考</w:t>
      </w:r>
      <w:proofErr w:type="gramStart"/>
      <w:r>
        <w:rPr>
          <w:rFonts w:hint="eastAsia"/>
        </w:rPr>
        <w:t>銓</w:t>
      </w:r>
      <w:proofErr w:type="gramEnd"/>
      <w:r>
        <w:rPr>
          <w:rFonts w:hint="eastAsia"/>
        </w:rPr>
        <w:t>制度，</w:t>
      </w:r>
      <w:r>
        <w:rPr>
          <w:rFonts w:hint="eastAsia"/>
        </w:rPr>
        <w:t>2</w:t>
      </w:r>
      <w:r>
        <w:rPr>
          <w:rFonts w:hint="eastAsia"/>
        </w:rPr>
        <w:t>版，</w:t>
      </w:r>
      <w:r>
        <w:rPr>
          <w:rFonts w:hint="eastAsia"/>
        </w:rPr>
        <w:t>96</w:t>
      </w:r>
      <w:r>
        <w:rPr>
          <w:rFonts w:hint="eastAsia"/>
        </w:rPr>
        <w:t>年，第</w:t>
      </w:r>
      <w:r>
        <w:rPr>
          <w:rFonts w:hint="eastAsia"/>
        </w:rPr>
        <w:t>16</w:t>
      </w:r>
      <w:r>
        <w:rPr>
          <w:rFonts w:hint="eastAsia"/>
        </w:rPr>
        <w:t>頁。</w:t>
      </w:r>
    </w:p>
  </w:footnote>
  <w:footnote w:id="28">
    <w:p w:rsidR="00E21655" w:rsidRPr="00582B51" w:rsidRDefault="00E21655" w:rsidP="00294D6C">
      <w:pPr>
        <w:pStyle w:val="aff"/>
        <w:ind w:left="1361" w:hanging="1361"/>
      </w:pPr>
      <w:r>
        <w:rPr>
          <w:rStyle w:val="aff1"/>
        </w:rPr>
        <w:footnoteRef/>
      </w:r>
      <w:r>
        <w:rPr>
          <w:rFonts w:hint="eastAsia"/>
        </w:rPr>
        <w:t xml:space="preserve"> </w:t>
      </w:r>
      <w:r>
        <w:rPr>
          <w:rFonts w:hint="eastAsia"/>
        </w:rPr>
        <w:t>李惠宗，憲法要義，</w:t>
      </w:r>
      <w:r>
        <w:rPr>
          <w:rFonts w:hint="eastAsia"/>
        </w:rPr>
        <w:t>98</w:t>
      </w:r>
      <w:r>
        <w:rPr>
          <w:rFonts w:hint="eastAsia"/>
        </w:rPr>
        <w:t>年</w:t>
      </w:r>
      <w:r>
        <w:rPr>
          <w:rFonts w:hint="eastAsia"/>
        </w:rPr>
        <w:t>9</w:t>
      </w:r>
      <w:r>
        <w:rPr>
          <w:rFonts w:hint="eastAsia"/>
        </w:rPr>
        <w:t>月，第</w:t>
      </w:r>
      <w:r>
        <w:rPr>
          <w:rFonts w:hint="eastAsia"/>
        </w:rPr>
        <w:t>605</w:t>
      </w:r>
      <w:r>
        <w:rPr>
          <w:rFonts w:hint="eastAsia"/>
        </w:rPr>
        <w:t>頁。</w:t>
      </w:r>
    </w:p>
  </w:footnote>
  <w:footnote w:id="29">
    <w:p w:rsidR="00E21655" w:rsidRPr="00A046AF" w:rsidRDefault="00E21655" w:rsidP="00294D6C">
      <w:pPr>
        <w:pStyle w:val="aff"/>
        <w:ind w:left="1361" w:hanging="1361"/>
      </w:pPr>
      <w:r>
        <w:rPr>
          <w:rStyle w:val="aff1"/>
        </w:rPr>
        <w:footnoteRef/>
      </w:r>
      <w:r>
        <w:rPr>
          <w:rFonts w:hint="eastAsia"/>
        </w:rPr>
        <w:t xml:space="preserve"> </w:t>
      </w:r>
      <w:r>
        <w:rPr>
          <w:rFonts w:hint="eastAsia"/>
        </w:rPr>
        <w:t>徐有守，</w:t>
      </w:r>
      <w:r w:rsidRPr="00160AD7">
        <w:rPr>
          <w:rFonts w:hint="eastAsia"/>
        </w:rPr>
        <w:t>考</w:t>
      </w:r>
      <w:proofErr w:type="gramStart"/>
      <w:r w:rsidRPr="00160AD7">
        <w:rPr>
          <w:rFonts w:hint="eastAsia"/>
        </w:rPr>
        <w:t>銓</w:t>
      </w:r>
      <w:proofErr w:type="gramEnd"/>
      <w:r w:rsidRPr="00160AD7">
        <w:rPr>
          <w:rFonts w:hint="eastAsia"/>
        </w:rPr>
        <w:t>制度，</w:t>
      </w:r>
      <w:r>
        <w:rPr>
          <w:rFonts w:hint="eastAsia"/>
        </w:rPr>
        <w:t>2</w:t>
      </w:r>
      <w:r>
        <w:rPr>
          <w:rFonts w:hint="eastAsia"/>
        </w:rPr>
        <w:t>版，</w:t>
      </w:r>
      <w:r w:rsidRPr="00160AD7">
        <w:rPr>
          <w:rFonts w:hint="eastAsia"/>
        </w:rPr>
        <w:t>96</w:t>
      </w:r>
      <w:r w:rsidRPr="00160AD7">
        <w:rPr>
          <w:rFonts w:hint="eastAsia"/>
        </w:rPr>
        <w:t>年，</w:t>
      </w:r>
      <w:r>
        <w:rPr>
          <w:rFonts w:hint="eastAsia"/>
        </w:rPr>
        <w:t>第</w:t>
      </w:r>
      <w:r>
        <w:rPr>
          <w:rFonts w:hint="eastAsia"/>
        </w:rPr>
        <w:t>402</w:t>
      </w:r>
      <w:r>
        <w:rPr>
          <w:rFonts w:hint="eastAsia"/>
        </w:rPr>
        <w:t>頁以下。</w:t>
      </w:r>
    </w:p>
  </w:footnote>
  <w:footnote w:id="30">
    <w:p w:rsidR="00E21655" w:rsidRPr="007F6C66" w:rsidRDefault="00E21655" w:rsidP="00DD7D48">
      <w:pPr>
        <w:pStyle w:val="aff"/>
      </w:pPr>
      <w:r>
        <w:rPr>
          <w:rStyle w:val="aff1"/>
        </w:rPr>
        <w:footnoteRef/>
      </w:r>
      <w:r>
        <w:rPr>
          <w:rFonts w:hint="eastAsia"/>
        </w:rPr>
        <w:t xml:space="preserve"> </w:t>
      </w:r>
      <w:r w:rsidRPr="007F6C66">
        <w:rPr>
          <w:rFonts w:hint="eastAsia"/>
        </w:rPr>
        <w:t>司法院釋字第</w:t>
      </w:r>
      <w:r w:rsidRPr="007F6C66">
        <w:rPr>
          <w:rFonts w:hint="eastAsia"/>
        </w:rPr>
        <w:t>524</w:t>
      </w:r>
      <w:r w:rsidRPr="007F6C66">
        <w:rPr>
          <w:rFonts w:hint="eastAsia"/>
        </w:rPr>
        <w:t>號解釋理由書稱：「…</w:t>
      </w:r>
      <w:proofErr w:type="gramStart"/>
      <w:r w:rsidRPr="007F6C66">
        <w:rPr>
          <w:rFonts w:hint="eastAsia"/>
        </w:rPr>
        <w:t>…</w:t>
      </w:r>
      <w:proofErr w:type="gramEnd"/>
      <w:r w:rsidRPr="007F6C66">
        <w:rPr>
          <w:rFonts w:hint="eastAsia"/>
        </w:rPr>
        <w:t>法律授權主管機關依一定程序訂定法規命令以補充法律規定不足者，該機關即應予以遵守，不得</w:t>
      </w:r>
      <w:proofErr w:type="gramStart"/>
      <w:r w:rsidRPr="007F6C66">
        <w:rPr>
          <w:rFonts w:hint="eastAsia"/>
        </w:rPr>
        <w:t>捨</w:t>
      </w:r>
      <w:proofErr w:type="gramEnd"/>
      <w:r w:rsidRPr="007F6C66">
        <w:rPr>
          <w:rFonts w:hint="eastAsia"/>
        </w:rPr>
        <w:t>法規命令不用，而發布規範行政體系內部事項之行政規則為之替代。倘法律並無轉委任之授權，該機關即不得委由其所屬機關逕行發布相關規章。」</w:t>
      </w:r>
    </w:p>
  </w:footnote>
  <w:footnote w:id="31">
    <w:p w:rsidR="00E21655" w:rsidRPr="006C0FB2" w:rsidRDefault="00E21655" w:rsidP="00294D6C">
      <w:pPr>
        <w:pStyle w:val="aff"/>
        <w:ind w:left="1361" w:hanging="1361"/>
      </w:pPr>
      <w:r>
        <w:rPr>
          <w:rStyle w:val="aff1"/>
        </w:rPr>
        <w:footnoteRef/>
      </w:r>
      <w:r>
        <w:rPr>
          <w:rFonts w:hint="eastAsia"/>
        </w:rPr>
        <w:t xml:space="preserve"> </w:t>
      </w:r>
      <w:r>
        <w:rPr>
          <w:rFonts w:hint="eastAsia"/>
        </w:rPr>
        <w:t>行政程序法實用，蔡茂寅、李建良、林明鏘、</w:t>
      </w:r>
      <w:proofErr w:type="gramStart"/>
      <w:r>
        <w:rPr>
          <w:rFonts w:hint="eastAsia"/>
        </w:rPr>
        <w:t>周志宏著</w:t>
      </w:r>
      <w:proofErr w:type="gramEnd"/>
      <w:r>
        <w:rPr>
          <w:rFonts w:hint="eastAsia"/>
        </w:rPr>
        <w:t>，</w:t>
      </w:r>
      <w:r>
        <w:rPr>
          <w:rFonts w:hint="eastAsia"/>
        </w:rPr>
        <w:t>2013</w:t>
      </w:r>
      <w:r>
        <w:rPr>
          <w:rFonts w:hint="eastAsia"/>
        </w:rPr>
        <w:t>年，第</w:t>
      </w:r>
      <w:r>
        <w:rPr>
          <w:rFonts w:hint="eastAsia"/>
        </w:rPr>
        <w:t>389</w:t>
      </w:r>
      <w:r>
        <w:rPr>
          <w:rFonts w:hint="eastAsia"/>
        </w:rPr>
        <w:t>頁。</w:t>
      </w:r>
    </w:p>
  </w:footnote>
  <w:footnote w:id="32">
    <w:p w:rsidR="00E21655" w:rsidRPr="00543024" w:rsidRDefault="00E21655" w:rsidP="00DD7D48">
      <w:pPr>
        <w:pStyle w:val="aff"/>
      </w:pPr>
      <w:r>
        <w:rPr>
          <w:rStyle w:val="aff1"/>
        </w:rPr>
        <w:footnoteRef/>
      </w:r>
      <w:r>
        <w:rPr>
          <w:rFonts w:hint="eastAsia"/>
        </w:rPr>
        <w:t xml:space="preserve"> </w:t>
      </w:r>
      <w:r>
        <w:rPr>
          <w:rFonts w:hint="eastAsia"/>
        </w:rPr>
        <w:t>專</w:t>
      </w:r>
      <w:r w:rsidRPr="00A10717">
        <w:rPr>
          <w:rFonts w:hint="eastAsia"/>
        </w:rPr>
        <w:t>業加給自早</w:t>
      </w:r>
      <w:r>
        <w:rPr>
          <w:rFonts w:hint="eastAsia"/>
        </w:rPr>
        <w:t>年</w:t>
      </w:r>
      <w:r w:rsidRPr="00A10717">
        <w:rPr>
          <w:rFonts w:hint="eastAsia"/>
        </w:rPr>
        <w:t>50</w:t>
      </w:r>
      <w:r w:rsidRPr="00A10717">
        <w:rPr>
          <w:rFonts w:hint="eastAsia"/>
        </w:rPr>
        <w:t>餘種簡</w:t>
      </w:r>
      <w:proofErr w:type="gramStart"/>
      <w:r w:rsidRPr="00A10717">
        <w:rPr>
          <w:rFonts w:hint="eastAsia"/>
        </w:rPr>
        <w:t>併</w:t>
      </w:r>
      <w:proofErr w:type="gramEnd"/>
      <w:r w:rsidRPr="00A10717">
        <w:rPr>
          <w:rFonts w:hint="eastAsia"/>
        </w:rPr>
        <w:t>迄今</w:t>
      </w:r>
      <w:r w:rsidRPr="00A10717">
        <w:rPr>
          <w:rFonts w:hint="eastAsia"/>
        </w:rPr>
        <w:t>29</w:t>
      </w:r>
      <w:r w:rsidRPr="00A10717">
        <w:rPr>
          <w:rFonts w:hint="eastAsia"/>
        </w:rPr>
        <w:t>種，其中專業加給表（一）之一般行政人員之適用人員最多</w:t>
      </w:r>
      <w:r w:rsidRPr="004D11CE">
        <w:rPr>
          <w:rFonts w:hint="eastAsia"/>
        </w:rPr>
        <w:t>，所支數額最低。司法人員之法官、檢察官、公設辯護人、行政執行官，適用公務人員專業加給表（二十九），較</w:t>
      </w:r>
      <w:proofErr w:type="gramStart"/>
      <w:r w:rsidRPr="004D11CE">
        <w:rPr>
          <w:rFonts w:hint="eastAsia"/>
        </w:rPr>
        <w:t>一般同職等</w:t>
      </w:r>
      <w:proofErr w:type="gramEnd"/>
      <w:r w:rsidRPr="004D11CE">
        <w:rPr>
          <w:rFonts w:hint="eastAsia"/>
        </w:rPr>
        <w:t>公務人員多出約</w:t>
      </w:r>
      <w:r w:rsidRPr="004D11CE">
        <w:rPr>
          <w:rFonts w:hint="eastAsia"/>
        </w:rPr>
        <w:t>3</w:t>
      </w:r>
      <w:r w:rsidRPr="004D11CE">
        <w:rPr>
          <w:rFonts w:hint="eastAsia"/>
        </w:rPr>
        <w:t>倍。梁瑞蘭，我國公務人員俸給法制之研究，銘傳大學法律學系碩士論文，</w:t>
      </w:r>
      <w:r w:rsidRPr="00A10717">
        <w:rPr>
          <w:rFonts w:hint="eastAsia"/>
        </w:rPr>
        <w:t>第</w:t>
      </w:r>
      <w:r w:rsidRPr="00A10717">
        <w:rPr>
          <w:rFonts w:hint="eastAsia"/>
        </w:rPr>
        <w:t>121</w:t>
      </w:r>
      <w:r w:rsidRPr="00A10717">
        <w:rPr>
          <w:rFonts w:hint="eastAsia"/>
        </w:rPr>
        <w:t>頁</w:t>
      </w:r>
      <w:r>
        <w:rPr>
          <w:rFonts w:hint="eastAsia"/>
        </w:rPr>
        <w:t>。</w:t>
      </w:r>
    </w:p>
  </w:footnote>
  <w:footnote w:id="33">
    <w:p w:rsidR="00E21655" w:rsidRPr="002530EF" w:rsidRDefault="00E21655" w:rsidP="00294D6C">
      <w:pPr>
        <w:pStyle w:val="aff"/>
        <w:ind w:left="1361" w:hanging="1361"/>
      </w:pPr>
      <w:r>
        <w:rPr>
          <w:rStyle w:val="aff1"/>
        </w:rPr>
        <w:footnoteRef/>
      </w:r>
      <w:r>
        <w:rPr>
          <w:rFonts w:hint="eastAsia"/>
        </w:rPr>
        <w:t xml:space="preserve"> </w:t>
      </w:r>
      <w:r>
        <w:rPr>
          <w:rFonts w:hint="eastAsia"/>
        </w:rPr>
        <w:t>立法院公報第</w:t>
      </w:r>
      <w:r>
        <w:rPr>
          <w:rFonts w:hint="eastAsia"/>
        </w:rPr>
        <w:t>75</w:t>
      </w:r>
      <w:r>
        <w:rPr>
          <w:rFonts w:hint="eastAsia"/>
        </w:rPr>
        <w:t>卷</w:t>
      </w:r>
      <w:r>
        <w:rPr>
          <w:rFonts w:hint="eastAsia"/>
        </w:rPr>
        <w:t>53</w:t>
      </w:r>
      <w:r>
        <w:rPr>
          <w:rFonts w:hint="eastAsia"/>
        </w:rPr>
        <w:t>期</w:t>
      </w:r>
      <w:r>
        <w:rPr>
          <w:rFonts w:hint="eastAsia"/>
        </w:rPr>
        <w:t>1955</w:t>
      </w:r>
      <w:r>
        <w:rPr>
          <w:rFonts w:hint="eastAsia"/>
        </w:rPr>
        <w:t>號，第</w:t>
      </w:r>
      <w:r>
        <w:rPr>
          <w:rFonts w:hint="eastAsia"/>
        </w:rPr>
        <w:t>10</w:t>
      </w:r>
      <w:r>
        <w:rPr>
          <w:rFonts w:hint="eastAsia"/>
        </w:rPr>
        <w:t>頁。</w:t>
      </w:r>
    </w:p>
  </w:footnote>
  <w:footnote w:id="34">
    <w:p w:rsidR="00E21655" w:rsidRPr="003344CF" w:rsidRDefault="00E21655" w:rsidP="00294D6C">
      <w:pPr>
        <w:pStyle w:val="aff"/>
        <w:ind w:left="1361" w:hanging="1361"/>
      </w:pPr>
      <w:r>
        <w:rPr>
          <w:rStyle w:val="aff1"/>
        </w:rPr>
        <w:footnoteRef/>
      </w:r>
      <w:r>
        <w:rPr>
          <w:rFonts w:hint="eastAsia"/>
        </w:rPr>
        <w:t xml:space="preserve"> </w:t>
      </w:r>
      <w:r>
        <w:rPr>
          <w:rFonts w:hint="eastAsia"/>
        </w:rPr>
        <w:t>立法院公報第</w:t>
      </w:r>
      <w:r>
        <w:rPr>
          <w:rFonts w:hint="eastAsia"/>
        </w:rPr>
        <w:t>91</w:t>
      </w:r>
      <w:r>
        <w:rPr>
          <w:rFonts w:hint="eastAsia"/>
        </w:rPr>
        <w:t>卷</w:t>
      </w:r>
      <w:r>
        <w:rPr>
          <w:rFonts w:hint="eastAsia"/>
        </w:rPr>
        <w:t>39</w:t>
      </w:r>
      <w:r>
        <w:rPr>
          <w:rFonts w:hint="eastAsia"/>
        </w:rPr>
        <w:t>期</w:t>
      </w:r>
      <w:r>
        <w:rPr>
          <w:rFonts w:hint="eastAsia"/>
        </w:rPr>
        <w:t>3235</w:t>
      </w:r>
      <w:r>
        <w:rPr>
          <w:rFonts w:hint="eastAsia"/>
        </w:rPr>
        <w:t>號上冊，第</w:t>
      </w:r>
      <w:r>
        <w:rPr>
          <w:rFonts w:hint="eastAsia"/>
        </w:rPr>
        <w:t>239</w:t>
      </w:r>
      <w:r>
        <w:rPr>
          <w:rFonts w:hint="eastAsia"/>
        </w:rPr>
        <w:t>頁。</w:t>
      </w:r>
    </w:p>
  </w:footnote>
  <w:footnote w:id="35">
    <w:p w:rsidR="00E21655" w:rsidRPr="00600B1B" w:rsidRDefault="00E21655" w:rsidP="00294D6C">
      <w:pPr>
        <w:pStyle w:val="aff"/>
        <w:ind w:left="1361" w:hanging="1361"/>
      </w:pPr>
      <w:r>
        <w:rPr>
          <w:rStyle w:val="aff1"/>
        </w:rPr>
        <w:footnoteRef/>
      </w:r>
      <w:r>
        <w:rPr>
          <w:rFonts w:hint="eastAsia"/>
        </w:rPr>
        <w:t xml:space="preserve"> </w:t>
      </w:r>
      <w:r>
        <w:rPr>
          <w:rFonts w:hint="eastAsia"/>
        </w:rPr>
        <w:t>吳庚，</w:t>
      </w:r>
      <w:r w:rsidRPr="001A380D">
        <w:rPr>
          <w:rFonts w:hint="eastAsia"/>
        </w:rPr>
        <w:t>行政法之理論與實用</w:t>
      </w:r>
      <w:r>
        <w:rPr>
          <w:rFonts w:hint="eastAsia"/>
        </w:rPr>
        <w:t>，</w:t>
      </w:r>
      <w:r w:rsidRPr="00551ABA">
        <w:rPr>
          <w:rFonts w:hint="eastAsia"/>
        </w:rPr>
        <w:t>增訂</w:t>
      </w:r>
      <w:r w:rsidRPr="00551ABA">
        <w:rPr>
          <w:rFonts w:hint="eastAsia"/>
        </w:rPr>
        <w:t>10</w:t>
      </w:r>
      <w:r w:rsidRPr="00551ABA">
        <w:rPr>
          <w:rFonts w:hint="eastAsia"/>
        </w:rPr>
        <w:t>版，</w:t>
      </w:r>
      <w:r w:rsidRPr="00551ABA">
        <w:rPr>
          <w:rFonts w:hint="eastAsia"/>
        </w:rPr>
        <w:t>97</w:t>
      </w:r>
      <w:r w:rsidRPr="00551ABA">
        <w:rPr>
          <w:rFonts w:hint="eastAsia"/>
        </w:rPr>
        <w:t>年</w:t>
      </w:r>
      <w:r>
        <w:rPr>
          <w:rFonts w:hint="eastAsia"/>
        </w:rPr>
        <w:t>，第</w:t>
      </w:r>
      <w:r>
        <w:rPr>
          <w:rFonts w:hint="eastAsia"/>
        </w:rPr>
        <w:t>108</w:t>
      </w:r>
      <w:r>
        <w:rPr>
          <w:rFonts w:hint="eastAsia"/>
        </w:rPr>
        <w:t>頁。</w:t>
      </w:r>
    </w:p>
  </w:footnote>
  <w:footnote w:id="36">
    <w:p w:rsidR="00E21655" w:rsidRPr="00E34136" w:rsidRDefault="00E21655" w:rsidP="00340978">
      <w:pPr>
        <w:pStyle w:val="aff"/>
        <w:ind w:left="264" w:hangingChars="120" w:hanging="264"/>
        <w:jc w:val="both"/>
      </w:pPr>
      <w:r>
        <w:rPr>
          <w:rStyle w:val="aff1"/>
        </w:rPr>
        <w:footnoteRef/>
      </w:r>
      <w:r>
        <w:rPr>
          <w:rFonts w:hint="eastAsia"/>
        </w:rPr>
        <w:t xml:space="preserve"> </w:t>
      </w:r>
      <w:r>
        <w:rPr>
          <w:rFonts w:hint="eastAsia"/>
        </w:rPr>
        <w:t>早期之專業加給表有</w:t>
      </w:r>
      <w:r>
        <w:rPr>
          <w:rFonts w:hint="eastAsia"/>
        </w:rPr>
        <w:t>55</w:t>
      </w:r>
      <w:r>
        <w:rPr>
          <w:rFonts w:hint="eastAsia"/>
        </w:rPr>
        <w:t>種，俸給法實施後簡</w:t>
      </w:r>
      <w:proofErr w:type="gramStart"/>
      <w:r>
        <w:rPr>
          <w:rFonts w:hint="eastAsia"/>
        </w:rPr>
        <w:t>併</w:t>
      </w:r>
      <w:proofErr w:type="gramEnd"/>
      <w:r>
        <w:rPr>
          <w:rFonts w:hint="eastAsia"/>
        </w:rPr>
        <w:t>至</w:t>
      </w:r>
      <w:r>
        <w:rPr>
          <w:rFonts w:hint="eastAsia"/>
        </w:rPr>
        <w:t>29</w:t>
      </w:r>
      <w:r>
        <w:rPr>
          <w:rFonts w:hint="eastAsia"/>
        </w:rPr>
        <w:t>種（表</w:t>
      </w:r>
      <w:r>
        <w:rPr>
          <w:rFonts w:hint="eastAsia"/>
        </w:rPr>
        <w:t>24</w:t>
      </w:r>
      <w:r>
        <w:rPr>
          <w:rFonts w:hint="eastAsia"/>
        </w:rPr>
        <w:t>、表</w:t>
      </w:r>
      <w:r>
        <w:rPr>
          <w:rFonts w:hint="eastAsia"/>
        </w:rPr>
        <w:t>27</w:t>
      </w:r>
      <w:r>
        <w:rPr>
          <w:rFonts w:hint="eastAsia"/>
        </w:rPr>
        <w:t>再分為</w:t>
      </w:r>
      <w:r>
        <w:rPr>
          <w:rFonts w:hint="eastAsia"/>
        </w:rPr>
        <w:t>2</w:t>
      </w:r>
      <w:r>
        <w:rPr>
          <w:rFonts w:hint="eastAsia"/>
        </w:rPr>
        <w:t>種），</w:t>
      </w:r>
      <w:r>
        <w:rPr>
          <w:rFonts w:hint="eastAsia"/>
        </w:rPr>
        <w:t>94</w:t>
      </w:r>
      <w:r>
        <w:rPr>
          <w:rFonts w:hint="eastAsia"/>
        </w:rPr>
        <w:t>年再簡</w:t>
      </w:r>
      <w:proofErr w:type="gramStart"/>
      <w:r>
        <w:rPr>
          <w:rFonts w:hint="eastAsia"/>
        </w:rPr>
        <w:t>併</w:t>
      </w:r>
      <w:proofErr w:type="gramEnd"/>
      <w:r>
        <w:rPr>
          <w:rFonts w:hint="eastAsia"/>
        </w:rPr>
        <w:t>為</w:t>
      </w:r>
      <w:r>
        <w:rPr>
          <w:rFonts w:hint="eastAsia"/>
        </w:rPr>
        <w:t>25</w:t>
      </w:r>
      <w:r>
        <w:rPr>
          <w:rFonts w:hint="eastAsia"/>
        </w:rPr>
        <w:t>種（表</w:t>
      </w:r>
      <w:r>
        <w:rPr>
          <w:rFonts w:hint="eastAsia"/>
        </w:rPr>
        <w:t>4</w:t>
      </w:r>
      <w:r>
        <w:rPr>
          <w:rFonts w:hint="eastAsia"/>
        </w:rPr>
        <w:t>、</w:t>
      </w:r>
      <w:r>
        <w:rPr>
          <w:rFonts w:hint="eastAsia"/>
        </w:rPr>
        <w:t>21</w:t>
      </w:r>
      <w:r>
        <w:rPr>
          <w:rFonts w:hint="eastAsia"/>
        </w:rPr>
        <w:t>、</w:t>
      </w:r>
      <w:r>
        <w:rPr>
          <w:rFonts w:hint="eastAsia"/>
        </w:rPr>
        <w:t>22</w:t>
      </w:r>
      <w:r>
        <w:rPr>
          <w:rFonts w:hint="eastAsia"/>
        </w:rPr>
        <w:t>、</w:t>
      </w:r>
      <w:r>
        <w:rPr>
          <w:rFonts w:hint="eastAsia"/>
        </w:rPr>
        <w:t>25</w:t>
      </w:r>
      <w:r>
        <w:rPr>
          <w:rFonts w:hint="eastAsia"/>
        </w:rPr>
        <w:t>停止適用）。</w:t>
      </w:r>
    </w:p>
  </w:footnote>
  <w:footnote w:id="37">
    <w:p w:rsidR="00E21655" w:rsidRPr="001C392A" w:rsidRDefault="00E21655" w:rsidP="00340978">
      <w:pPr>
        <w:pStyle w:val="aff"/>
        <w:ind w:left="264" w:hangingChars="120" w:hanging="264"/>
        <w:jc w:val="both"/>
      </w:pPr>
      <w:r>
        <w:rPr>
          <w:rStyle w:val="aff1"/>
        </w:rPr>
        <w:footnoteRef/>
      </w:r>
      <w:r>
        <w:rPr>
          <w:rFonts w:hint="eastAsia"/>
        </w:rPr>
        <w:t xml:space="preserve"> </w:t>
      </w:r>
      <w:r w:rsidRPr="001C392A">
        <w:rPr>
          <w:rFonts w:hint="eastAsia"/>
        </w:rPr>
        <w:t>軍公教員工待遇審議委員會</w:t>
      </w:r>
      <w:r>
        <w:rPr>
          <w:rFonts w:hint="eastAsia"/>
        </w:rPr>
        <w:t>設置要點第</w:t>
      </w:r>
      <w:r>
        <w:rPr>
          <w:rFonts w:hint="eastAsia"/>
        </w:rPr>
        <w:t>2</w:t>
      </w:r>
      <w:r>
        <w:rPr>
          <w:rFonts w:hint="eastAsia"/>
        </w:rPr>
        <w:t>點規定：「本委員會任務如次：（一）關於軍公教員工年度待遇調整事項之審議。（二）關於軍公教員工各項加給項目及標準之審議事項。（三）關於軍公教員工待遇改進方案之審議事項。（四）關於軍公教員工待遇研究發展報告之審議事項。（五）其他與軍公教員工待遇相關事項。」第</w:t>
      </w:r>
      <w:r>
        <w:rPr>
          <w:rFonts w:hint="eastAsia"/>
        </w:rPr>
        <w:t>3</w:t>
      </w:r>
      <w:r>
        <w:rPr>
          <w:rFonts w:hint="eastAsia"/>
        </w:rPr>
        <w:t>點規定：「本委員會置召集人</w:t>
      </w:r>
      <w:r>
        <w:rPr>
          <w:rFonts w:hint="eastAsia"/>
        </w:rPr>
        <w:t>1</w:t>
      </w:r>
      <w:r>
        <w:rPr>
          <w:rFonts w:hint="eastAsia"/>
        </w:rPr>
        <w:t>人，由行政院人事行政總處人事長兼任；</w:t>
      </w:r>
      <w:proofErr w:type="gramStart"/>
      <w:r>
        <w:rPr>
          <w:rFonts w:hint="eastAsia"/>
        </w:rPr>
        <w:t>置副召集人</w:t>
      </w:r>
      <w:proofErr w:type="gramEnd"/>
      <w:r>
        <w:rPr>
          <w:rFonts w:hint="eastAsia"/>
        </w:rPr>
        <w:t>2</w:t>
      </w:r>
      <w:r>
        <w:rPr>
          <w:rFonts w:hint="eastAsia"/>
        </w:rPr>
        <w:t>人，分別由</w:t>
      </w:r>
      <w:proofErr w:type="gramStart"/>
      <w:r>
        <w:rPr>
          <w:rFonts w:hint="eastAsia"/>
        </w:rPr>
        <w:t>銓敘部及行政院</w:t>
      </w:r>
      <w:proofErr w:type="gramEnd"/>
      <w:r>
        <w:rPr>
          <w:rFonts w:hint="eastAsia"/>
        </w:rPr>
        <w:t>人事行政總處副首長兼任；另置委員</w:t>
      </w:r>
      <w:r>
        <w:rPr>
          <w:rFonts w:hint="eastAsia"/>
        </w:rPr>
        <w:t>14</w:t>
      </w:r>
      <w:r>
        <w:rPr>
          <w:rFonts w:hint="eastAsia"/>
        </w:rPr>
        <w:t>人至</w:t>
      </w:r>
      <w:r>
        <w:rPr>
          <w:rFonts w:hint="eastAsia"/>
        </w:rPr>
        <w:t>16</w:t>
      </w:r>
      <w:r>
        <w:rPr>
          <w:rFonts w:hint="eastAsia"/>
        </w:rPr>
        <w:t>人，其中</w:t>
      </w:r>
      <w:r>
        <w:rPr>
          <w:rFonts w:hint="eastAsia"/>
        </w:rPr>
        <w:t>4</w:t>
      </w:r>
      <w:r>
        <w:rPr>
          <w:rFonts w:hint="eastAsia"/>
        </w:rPr>
        <w:t>人聘請學者專家兼任，其餘委員由下列機關或其所屬機關簡任或相當簡任第</w:t>
      </w:r>
      <w:r>
        <w:rPr>
          <w:rFonts w:hint="eastAsia"/>
        </w:rPr>
        <w:t>12</w:t>
      </w:r>
      <w:r>
        <w:rPr>
          <w:rFonts w:hint="eastAsia"/>
        </w:rPr>
        <w:t>職等以上主管人員聘兼之：（一）國防部</w:t>
      </w:r>
      <w:r>
        <w:rPr>
          <w:rFonts w:hint="eastAsia"/>
        </w:rPr>
        <w:t>1</w:t>
      </w:r>
      <w:r>
        <w:rPr>
          <w:rFonts w:hint="eastAsia"/>
        </w:rPr>
        <w:t>人。（二）財政部</w:t>
      </w:r>
      <w:r>
        <w:rPr>
          <w:rFonts w:hint="eastAsia"/>
        </w:rPr>
        <w:t>1</w:t>
      </w:r>
      <w:r>
        <w:rPr>
          <w:rFonts w:hint="eastAsia"/>
        </w:rPr>
        <w:t>人。（三）教育部</w:t>
      </w:r>
      <w:r>
        <w:rPr>
          <w:rFonts w:hint="eastAsia"/>
        </w:rPr>
        <w:t>1</w:t>
      </w:r>
      <w:r>
        <w:rPr>
          <w:rFonts w:hint="eastAsia"/>
        </w:rPr>
        <w:t>人。（四）行政院主計總處</w:t>
      </w:r>
      <w:r>
        <w:rPr>
          <w:rFonts w:hint="eastAsia"/>
        </w:rPr>
        <w:t>1</w:t>
      </w:r>
      <w:r>
        <w:rPr>
          <w:rFonts w:hint="eastAsia"/>
        </w:rPr>
        <w:t>人。（五）國家發展委員會</w:t>
      </w:r>
      <w:r>
        <w:rPr>
          <w:rFonts w:hint="eastAsia"/>
        </w:rPr>
        <w:t>1</w:t>
      </w:r>
      <w:r>
        <w:rPr>
          <w:rFonts w:hint="eastAsia"/>
        </w:rPr>
        <w:t>人。（六）勞動部</w:t>
      </w:r>
      <w:r>
        <w:rPr>
          <w:rFonts w:hint="eastAsia"/>
        </w:rPr>
        <w:t>1</w:t>
      </w:r>
      <w:r>
        <w:rPr>
          <w:rFonts w:hint="eastAsia"/>
        </w:rPr>
        <w:t>人。（七）地方政府四</w:t>
      </w:r>
      <w:r>
        <w:rPr>
          <w:rFonts w:hint="eastAsia"/>
        </w:rPr>
        <w:t>4</w:t>
      </w:r>
      <w:r>
        <w:rPr>
          <w:rFonts w:hint="eastAsia"/>
        </w:rPr>
        <w:t>至</w:t>
      </w:r>
      <w:r>
        <w:rPr>
          <w:rFonts w:hint="eastAsia"/>
        </w:rPr>
        <w:t>6</w:t>
      </w:r>
      <w:r>
        <w:rPr>
          <w:rFonts w:hint="eastAsia"/>
        </w:rPr>
        <w:t>人。…</w:t>
      </w:r>
      <w:proofErr w:type="gramStart"/>
      <w:r>
        <w:rPr>
          <w:rFonts w:hint="eastAsia"/>
        </w:rPr>
        <w:t>…</w:t>
      </w:r>
      <w:proofErr w:type="gramEnd"/>
      <w:r>
        <w:rPr>
          <w:rFonts w:hint="eastAsia"/>
        </w:rPr>
        <w:t>」</w:t>
      </w:r>
    </w:p>
  </w:footnote>
  <w:footnote w:id="38">
    <w:p w:rsidR="00E21655" w:rsidRPr="0069249E" w:rsidRDefault="00E21655" w:rsidP="00340978">
      <w:pPr>
        <w:pStyle w:val="aff"/>
        <w:ind w:left="264" w:hangingChars="120" w:hanging="264"/>
      </w:pPr>
      <w:r>
        <w:rPr>
          <w:rStyle w:val="aff1"/>
        </w:rPr>
        <w:footnoteRef/>
      </w:r>
      <w:r>
        <w:rPr>
          <w:rFonts w:hint="eastAsia"/>
        </w:rPr>
        <w:t xml:space="preserve"> </w:t>
      </w:r>
      <w:r>
        <w:rPr>
          <w:rFonts w:hint="eastAsia"/>
        </w:rPr>
        <w:t>顏韶儀，試辦公務人員專業加給評價作業計畫，人事月刊</w:t>
      </w:r>
      <w:proofErr w:type="gramStart"/>
      <w:r>
        <w:rPr>
          <w:rFonts w:hint="eastAsia"/>
        </w:rPr>
        <w:t>第</w:t>
      </w:r>
      <w:proofErr w:type="gramEnd"/>
      <w:r>
        <w:rPr>
          <w:rFonts w:hint="eastAsia"/>
        </w:rPr>
        <w:t>，第</w:t>
      </w:r>
      <w:r>
        <w:rPr>
          <w:rFonts w:hint="eastAsia"/>
        </w:rPr>
        <w:t>371</w:t>
      </w:r>
      <w:r>
        <w:rPr>
          <w:rFonts w:hint="eastAsia"/>
        </w:rPr>
        <w:t>期，</w:t>
      </w:r>
      <w:r>
        <w:rPr>
          <w:rFonts w:hint="eastAsia"/>
        </w:rPr>
        <w:t>2016</w:t>
      </w:r>
      <w:r>
        <w:rPr>
          <w:rFonts w:hint="eastAsia"/>
        </w:rPr>
        <w:t>年</w:t>
      </w:r>
      <w:r>
        <w:rPr>
          <w:rFonts w:hint="eastAsia"/>
        </w:rPr>
        <w:t>7</w:t>
      </w:r>
      <w:r>
        <w:rPr>
          <w:rFonts w:hint="eastAsia"/>
        </w:rPr>
        <w:t>月，第</w:t>
      </w:r>
      <w:r>
        <w:rPr>
          <w:rFonts w:hint="eastAsia"/>
        </w:rPr>
        <w:t>79-82</w:t>
      </w:r>
      <w:r>
        <w:rPr>
          <w:rFonts w:hint="eastAsia"/>
        </w:rPr>
        <w:t>頁。</w:t>
      </w:r>
    </w:p>
  </w:footnote>
  <w:footnote w:id="39">
    <w:p w:rsidR="00E21655" w:rsidRPr="00865086" w:rsidRDefault="00E21655" w:rsidP="00340978">
      <w:pPr>
        <w:pStyle w:val="aff"/>
        <w:ind w:left="264" w:hangingChars="120" w:hanging="264"/>
      </w:pPr>
      <w:r>
        <w:rPr>
          <w:rStyle w:val="aff1"/>
        </w:rPr>
        <w:footnoteRef/>
      </w:r>
      <w:r>
        <w:rPr>
          <w:rFonts w:hint="eastAsia"/>
        </w:rPr>
        <w:t xml:space="preserve"> </w:t>
      </w:r>
      <w:r>
        <w:rPr>
          <w:rFonts w:hint="eastAsia"/>
        </w:rPr>
        <w:t>吳泰成，俸給法制興革的幾個重要課題，公務人員月刊，第</w:t>
      </w:r>
      <w:r>
        <w:rPr>
          <w:rFonts w:hint="eastAsia"/>
        </w:rPr>
        <w:t>137</w:t>
      </w:r>
      <w:r>
        <w:rPr>
          <w:rFonts w:hint="eastAsia"/>
        </w:rPr>
        <w:t>期，</w:t>
      </w:r>
      <w:r>
        <w:rPr>
          <w:rFonts w:hint="eastAsia"/>
        </w:rPr>
        <w:t>96</w:t>
      </w:r>
      <w:r>
        <w:rPr>
          <w:rFonts w:hint="eastAsia"/>
        </w:rPr>
        <w:t>年</w:t>
      </w:r>
      <w:r>
        <w:rPr>
          <w:rFonts w:hint="eastAsia"/>
        </w:rPr>
        <w:t>11</w:t>
      </w:r>
      <w:r>
        <w:rPr>
          <w:rFonts w:hint="eastAsia"/>
        </w:rPr>
        <w:t>月，第</w:t>
      </w:r>
      <w:r>
        <w:rPr>
          <w:rFonts w:hint="eastAsia"/>
        </w:rPr>
        <w:t>2-4</w:t>
      </w:r>
      <w:r>
        <w:rPr>
          <w:rFonts w:hint="eastAsia"/>
        </w:rPr>
        <w:t>頁。</w:t>
      </w:r>
    </w:p>
  </w:footnote>
  <w:footnote w:id="40">
    <w:p w:rsidR="00E21655" w:rsidRPr="00B00873" w:rsidRDefault="00E21655" w:rsidP="00294D6C">
      <w:pPr>
        <w:pStyle w:val="aff"/>
        <w:ind w:left="1361" w:hanging="1361"/>
      </w:pPr>
      <w:r>
        <w:rPr>
          <w:rStyle w:val="aff1"/>
        </w:rPr>
        <w:footnoteRef/>
      </w:r>
      <w:r>
        <w:rPr>
          <w:rFonts w:hint="eastAsia"/>
        </w:rPr>
        <w:t xml:space="preserve"> </w:t>
      </w:r>
      <w:r w:rsidRPr="00B00873">
        <w:rPr>
          <w:rFonts w:hint="eastAsia"/>
        </w:rPr>
        <w:t>許濱松，公務人員專業加給紛爭之成因及其解決，人事月刊</w:t>
      </w:r>
      <w:r>
        <w:rPr>
          <w:rFonts w:hint="eastAsia"/>
        </w:rPr>
        <w:t>，</w:t>
      </w:r>
      <w:r w:rsidRPr="00B00873">
        <w:rPr>
          <w:rFonts w:hint="eastAsia"/>
        </w:rPr>
        <w:t>第</w:t>
      </w:r>
      <w:r w:rsidRPr="00B00873">
        <w:rPr>
          <w:rFonts w:hint="eastAsia"/>
        </w:rPr>
        <w:t>25</w:t>
      </w:r>
      <w:r w:rsidRPr="00B00873">
        <w:rPr>
          <w:rFonts w:hint="eastAsia"/>
        </w:rPr>
        <w:t>卷第</w:t>
      </w:r>
      <w:r w:rsidRPr="00B00873">
        <w:rPr>
          <w:rFonts w:hint="eastAsia"/>
        </w:rPr>
        <w:t>1</w:t>
      </w:r>
      <w:r w:rsidRPr="00B00873">
        <w:rPr>
          <w:rFonts w:hint="eastAsia"/>
        </w:rPr>
        <w:t>期，第</w:t>
      </w:r>
      <w:r w:rsidRPr="00B00873">
        <w:rPr>
          <w:rFonts w:hint="eastAsia"/>
        </w:rPr>
        <w:t>14-21</w:t>
      </w:r>
      <w:r w:rsidRPr="00B00873">
        <w:rPr>
          <w:rFonts w:hint="eastAsia"/>
        </w:rPr>
        <w:t>頁。</w:t>
      </w:r>
    </w:p>
  </w:footnote>
  <w:footnote w:id="41">
    <w:p w:rsidR="00E21655" w:rsidRPr="005C085A" w:rsidRDefault="00E21655" w:rsidP="00294D6C">
      <w:pPr>
        <w:pStyle w:val="aff"/>
        <w:ind w:left="1361" w:hanging="1361"/>
      </w:pPr>
      <w:r>
        <w:rPr>
          <w:rStyle w:val="aff1"/>
        </w:rPr>
        <w:footnoteRef/>
      </w:r>
      <w:r>
        <w:rPr>
          <w:rFonts w:hint="eastAsia"/>
        </w:rPr>
        <w:t xml:space="preserve"> </w:t>
      </w:r>
      <w:r>
        <w:rPr>
          <w:rFonts w:hint="eastAsia"/>
        </w:rPr>
        <w:t>許濱松，同前。</w:t>
      </w:r>
    </w:p>
  </w:footnote>
  <w:footnote w:id="42">
    <w:p w:rsidR="00E21655" w:rsidRPr="00964A53" w:rsidRDefault="00E21655" w:rsidP="00294D6C">
      <w:pPr>
        <w:pStyle w:val="aff"/>
        <w:ind w:left="1361" w:hanging="1361"/>
      </w:pPr>
      <w:r>
        <w:rPr>
          <w:rStyle w:val="aff1"/>
        </w:rPr>
        <w:footnoteRef/>
      </w:r>
      <w:r>
        <w:rPr>
          <w:rFonts w:hint="eastAsia"/>
        </w:rPr>
        <w:t xml:space="preserve"> </w:t>
      </w:r>
      <w:r>
        <w:rPr>
          <w:rFonts w:hint="eastAsia"/>
        </w:rPr>
        <w:t>許濱松，同前。</w:t>
      </w:r>
    </w:p>
  </w:footnote>
  <w:footnote w:id="43">
    <w:p w:rsidR="00E21655" w:rsidRPr="00964A53" w:rsidRDefault="00E21655" w:rsidP="00294D6C">
      <w:pPr>
        <w:pStyle w:val="aff"/>
        <w:ind w:left="1361" w:hanging="1361"/>
      </w:pPr>
      <w:r>
        <w:rPr>
          <w:rStyle w:val="aff1"/>
        </w:rPr>
        <w:footnoteRef/>
      </w:r>
      <w:r>
        <w:rPr>
          <w:rFonts w:hint="eastAsia"/>
        </w:rPr>
        <w:t xml:space="preserve"> </w:t>
      </w:r>
      <w:r>
        <w:rPr>
          <w:rFonts w:hint="eastAsia"/>
        </w:rPr>
        <w:t>吳泰成，</w:t>
      </w:r>
      <w:proofErr w:type="gramStart"/>
      <w:r>
        <w:rPr>
          <w:rFonts w:hint="eastAsia"/>
        </w:rPr>
        <w:t>前揭文</w:t>
      </w:r>
      <w:proofErr w:type="gramEnd"/>
      <w:r>
        <w:rPr>
          <w:rFonts w:hint="eastAsia"/>
        </w:rPr>
        <w:t>。</w:t>
      </w:r>
    </w:p>
  </w:footnote>
  <w:footnote w:id="44">
    <w:p w:rsidR="00E21655" w:rsidRPr="003F7826" w:rsidRDefault="00E21655" w:rsidP="00294D6C">
      <w:pPr>
        <w:pStyle w:val="aff"/>
        <w:ind w:left="1361" w:hanging="1361"/>
      </w:pPr>
      <w:r>
        <w:rPr>
          <w:rStyle w:val="aff1"/>
        </w:rPr>
        <w:footnoteRef/>
      </w:r>
      <w:r>
        <w:rPr>
          <w:rFonts w:hint="eastAsia"/>
        </w:rPr>
        <w:t xml:space="preserve"> </w:t>
      </w:r>
      <w:r>
        <w:rPr>
          <w:rFonts w:hint="eastAsia"/>
        </w:rPr>
        <w:t>韓英俊，淺談公務人員加給，公務人員月刊，第</w:t>
      </w:r>
      <w:r>
        <w:rPr>
          <w:rFonts w:hint="eastAsia"/>
        </w:rPr>
        <w:t>137</w:t>
      </w:r>
      <w:r>
        <w:rPr>
          <w:rFonts w:hint="eastAsia"/>
        </w:rPr>
        <w:t>期，</w:t>
      </w:r>
      <w:r>
        <w:rPr>
          <w:rFonts w:hint="eastAsia"/>
        </w:rPr>
        <w:t xml:space="preserve"> 96</w:t>
      </w:r>
      <w:r>
        <w:rPr>
          <w:rFonts w:hint="eastAsia"/>
        </w:rPr>
        <w:t>年</w:t>
      </w:r>
      <w:r>
        <w:rPr>
          <w:rFonts w:hint="eastAsia"/>
        </w:rPr>
        <w:t>11</w:t>
      </w:r>
      <w:r>
        <w:rPr>
          <w:rFonts w:hint="eastAsia"/>
        </w:rPr>
        <w:t>月，第</w:t>
      </w:r>
      <w:r>
        <w:rPr>
          <w:rFonts w:hint="eastAsia"/>
        </w:rPr>
        <w:t>5-11</w:t>
      </w:r>
      <w:r>
        <w:rPr>
          <w:rFonts w:hint="eastAsia"/>
        </w:rPr>
        <w:t>頁。</w:t>
      </w:r>
    </w:p>
  </w:footnote>
  <w:footnote w:id="45">
    <w:p w:rsidR="00E21655" w:rsidRPr="00A90805" w:rsidRDefault="00E21655" w:rsidP="00294D6C">
      <w:pPr>
        <w:pStyle w:val="aff"/>
        <w:ind w:left="1361" w:hanging="1361"/>
      </w:pPr>
      <w:r>
        <w:rPr>
          <w:rStyle w:val="aff1"/>
        </w:rPr>
        <w:footnoteRef/>
      </w:r>
      <w:r>
        <w:rPr>
          <w:rFonts w:hint="eastAsia"/>
        </w:rPr>
        <w:t xml:space="preserve"> </w:t>
      </w:r>
      <w:r>
        <w:rPr>
          <w:rFonts w:hint="eastAsia"/>
        </w:rPr>
        <w:t>徐有守，考</w:t>
      </w:r>
      <w:proofErr w:type="gramStart"/>
      <w:r>
        <w:rPr>
          <w:rFonts w:hint="eastAsia"/>
        </w:rPr>
        <w:t>銓</w:t>
      </w:r>
      <w:proofErr w:type="gramEnd"/>
      <w:r>
        <w:rPr>
          <w:rFonts w:hint="eastAsia"/>
        </w:rPr>
        <w:t>制度，</w:t>
      </w:r>
      <w:r>
        <w:rPr>
          <w:rFonts w:hint="eastAsia"/>
        </w:rPr>
        <w:t>96</w:t>
      </w:r>
      <w:r>
        <w:rPr>
          <w:rFonts w:hint="eastAsia"/>
        </w:rPr>
        <w:t>年，第</w:t>
      </w:r>
      <w:r>
        <w:rPr>
          <w:rFonts w:hint="eastAsia"/>
        </w:rPr>
        <w:t>423-424</w:t>
      </w:r>
      <w:r>
        <w:rPr>
          <w:rFonts w:hint="eastAsia"/>
        </w:rPr>
        <w:t>頁。</w:t>
      </w:r>
    </w:p>
  </w:footnote>
  <w:footnote w:id="46">
    <w:p w:rsidR="00E21655" w:rsidRPr="00C2690D" w:rsidRDefault="00E21655" w:rsidP="00DD7D48">
      <w:pPr>
        <w:pStyle w:val="aff"/>
      </w:pPr>
      <w:r>
        <w:rPr>
          <w:rStyle w:val="aff1"/>
        </w:rPr>
        <w:footnoteRef/>
      </w:r>
      <w:r>
        <w:rPr>
          <w:rFonts w:hint="eastAsia"/>
        </w:rPr>
        <w:t xml:space="preserve"> </w:t>
      </w:r>
      <w:r>
        <w:rPr>
          <w:rFonts w:hint="eastAsia"/>
        </w:rPr>
        <w:t>該判決稱：「因技術或專業加給中涉及各種不同之技術及專業，所需之專業程度、資格條件各有不同，有涉及</w:t>
      </w:r>
      <w:proofErr w:type="gramStart"/>
      <w:r>
        <w:rPr>
          <w:rFonts w:hint="eastAsia"/>
        </w:rPr>
        <w:t>極</w:t>
      </w:r>
      <w:proofErr w:type="gramEnd"/>
      <w:r>
        <w:rPr>
          <w:rFonts w:hint="eastAsia"/>
        </w:rPr>
        <w:t>細節性、技術性之事項者，無法</w:t>
      </w:r>
      <w:proofErr w:type="gramStart"/>
      <w:r>
        <w:rPr>
          <w:rFonts w:hint="eastAsia"/>
        </w:rPr>
        <w:t>鉅</w:t>
      </w:r>
      <w:proofErr w:type="gramEnd"/>
      <w:r>
        <w:rPr>
          <w:rFonts w:hint="eastAsia"/>
        </w:rPr>
        <w:t>細</w:t>
      </w:r>
      <w:proofErr w:type="gramStart"/>
      <w:r>
        <w:rPr>
          <w:rFonts w:hint="eastAsia"/>
        </w:rPr>
        <w:t>靡遺皆</w:t>
      </w:r>
      <w:proofErr w:type="gramEnd"/>
      <w:r>
        <w:rPr>
          <w:rFonts w:hint="eastAsia"/>
        </w:rPr>
        <w:t>於法律之中訂定，故法律自得授權主管機關以命令定之，</w:t>
      </w:r>
      <w:proofErr w:type="gramStart"/>
      <w:r>
        <w:rPr>
          <w:rFonts w:hint="eastAsia"/>
        </w:rPr>
        <w:t>俾</w:t>
      </w:r>
      <w:proofErr w:type="gramEnd"/>
      <w:r>
        <w:rPr>
          <w:rFonts w:hint="eastAsia"/>
        </w:rPr>
        <w:t>利法律之實施。」</w:t>
      </w:r>
    </w:p>
  </w:footnote>
  <w:footnote w:id="47">
    <w:p w:rsidR="00E21655" w:rsidRPr="004A6D31" w:rsidRDefault="00E21655" w:rsidP="00294D6C">
      <w:pPr>
        <w:pStyle w:val="aff"/>
        <w:ind w:left="1361" w:hanging="1361"/>
      </w:pPr>
      <w:r>
        <w:rPr>
          <w:rStyle w:val="aff1"/>
        </w:rPr>
        <w:footnoteRef/>
      </w:r>
      <w:r>
        <w:rPr>
          <w:rFonts w:hint="eastAsia"/>
        </w:rPr>
        <w:t xml:space="preserve"> </w:t>
      </w:r>
      <w:r>
        <w:rPr>
          <w:rFonts w:hint="eastAsia"/>
        </w:rPr>
        <w:t>立法院預算中心「考試院及所屬（</w:t>
      </w:r>
      <w:r>
        <w:rPr>
          <w:rFonts w:hint="eastAsia"/>
        </w:rPr>
        <w:t>不含考選部）</w:t>
      </w:r>
      <w:proofErr w:type="gramStart"/>
      <w:r>
        <w:rPr>
          <w:rFonts w:hint="eastAsia"/>
        </w:rPr>
        <w:t>102</w:t>
      </w:r>
      <w:proofErr w:type="gramEnd"/>
      <w:r>
        <w:rPr>
          <w:rFonts w:hint="eastAsia"/>
        </w:rPr>
        <w:t>年度單位預算評估報告」。</w:t>
      </w:r>
    </w:p>
  </w:footnote>
  <w:footnote w:id="48">
    <w:p w:rsidR="00E21655" w:rsidRPr="00A924B9" w:rsidRDefault="00E21655" w:rsidP="00340978">
      <w:pPr>
        <w:pStyle w:val="aff"/>
        <w:ind w:left="264" w:hangingChars="120" w:hanging="264"/>
      </w:pPr>
      <w:r>
        <w:rPr>
          <w:rStyle w:val="aff1"/>
        </w:rPr>
        <w:footnoteRef/>
      </w:r>
      <w:r>
        <w:rPr>
          <w:rFonts w:hint="eastAsia"/>
        </w:rPr>
        <w:t xml:space="preserve"> </w:t>
      </w:r>
      <w:r>
        <w:rPr>
          <w:rFonts w:hint="eastAsia"/>
        </w:rPr>
        <w:t>參見馮惠平，公務人員俸給制度之法理</w:t>
      </w:r>
      <w:proofErr w:type="gramStart"/>
      <w:r>
        <w:rPr>
          <w:rFonts w:hint="eastAsia"/>
        </w:rPr>
        <w:t>採</w:t>
      </w:r>
      <w:proofErr w:type="gramEnd"/>
      <w:r>
        <w:rPr>
          <w:rFonts w:hint="eastAsia"/>
        </w:rPr>
        <w:t>討，文官制度季刊第</w:t>
      </w:r>
      <w:r>
        <w:rPr>
          <w:rFonts w:hint="eastAsia"/>
        </w:rPr>
        <w:t>3</w:t>
      </w:r>
      <w:r>
        <w:rPr>
          <w:rFonts w:hint="eastAsia"/>
        </w:rPr>
        <w:t>卷第</w:t>
      </w:r>
      <w:r>
        <w:rPr>
          <w:rFonts w:hint="eastAsia"/>
        </w:rPr>
        <w:t>4</w:t>
      </w:r>
      <w:r>
        <w:rPr>
          <w:rFonts w:hint="eastAsia"/>
        </w:rPr>
        <w:t>期，</w:t>
      </w:r>
      <w:r>
        <w:rPr>
          <w:rFonts w:hint="eastAsia"/>
        </w:rPr>
        <w:t>100</w:t>
      </w:r>
      <w:r>
        <w:rPr>
          <w:rFonts w:hint="eastAsia"/>
        </w:rPr>
        <w:t>年</w:t>
      </w:r>
      <w:r>
        <w:rPr>
          <w:rFonts w:hint="eastAsia"/>
        </w:rPr>
        <w:t>10</w:t>
      </w:r>
      <w:r>
        <w:rPr>
          <w:rFonts w:hint="eastAsia"/>
        </w:rPr>
        <w:t>月，第</w:t>
      </w:r>
      <w:r>
        <w:rPr>
          <w:rFonts w:hint="eastAsia"/>
        </w:rPr>
        <w:t>105-130</w:t>
      </w:r>
      <w:r>
        <w:rPr>
          <w:rFonts w:hint="eastAsia"/>
        </w:rPr>
        <w:t>頁。</w:t>
      </w:r>
    </w:p>
  </w:footnote>
  <w:footnote w:id="49">
    <w:p w:rsidR="00E21655" w:rsidRPr="00D95AF2" w:rsidRDefault="00E21655" w:rsidP="00340978">
      <w:pPr>
        <w:pStyle w:val="aff"/>
        <w:ind w:left="264" w:hangingChars="120" w:hanging="264"/>
      </w:pPr>
      <w:r>
        <w:rPr>
          <w:rStyle w:val="aff1"/>
        </w:rPr>
        <w:footnoteRef/>
      </w:r>
      <w:r>
        <w:rPr>
          <w:rFonts w:hint="eastAsia"/>
        </w:rPr>
        <w:t xml:space="preserve"> </w:t>
      </w:r>
      <w:r>
        <w:rPr>
          <w:rFonts w:hint="eastAsia"/>
        </w:rPr>
        <w:t>考試院</w:t>
      </w:r>
      <w:r w:rsidRPr="00D95AF2">
        <w:rPr>
          <w:rFonts w:hint="eastAsia"/>
        </w:rPr>
        <w:t>公務人員基準法草案第</w:t>
      </w:r>
      <w:r w:rsidRPr="00D95AF2">
        <w:t>55</w:t>
      </w:r>
      <w:r w:rsidRPr="00D95AF2">
        <w:rPr>
          <w:rFonts w:hint="eastAsia"/>
        </w:rPr>
        <w:t>條規定：「公務人員</w:t>
      </w:r>
      <w:proofErr w:type="gramStart"/>
      <w:r w:rsidRPr="00D95AF2">
        <w:rPr>
          <w:rFonts w:hint="eastAsia"/>
        </w:rPr>
        <w:t>俸</w:t>
      </w:r>
      <w:proofErr w:type="gramEnd"/>
      <w:r w:rsidRPr="00D95AF2">
        <w:rPr>
          <w:rFonts w:hint="eastAsia"/>
        </w:rPr>
        <w:t>（薪）給數額之訂定及調整，應參酌國民所得、物價指數、經濟成長率、基本生活費用、民間企業薪資水準及政府財政狀況等因素，由行政院會商考試院辦理。」</w:t>
      </w:r>
      <w:r>
        <w:rPr>
          <w:rFonts w:hint="eastAsia"/>
        </w:rPr>
        <w:t>惟行政院以該</w:t>
      </w:r>
      <w:r w:rsidRPr="00D95AF2">
        <w:rPr>
          <w:rFonts w:hint="eastAsia"/>
        </w:rPr>
        <w:t>院</w:t>
      </w:r>
      <w:r>
        <w:rPr>
          <w:rFonts w:hint="eastAsia"/>
        </w:rPr>
        <w:t>應</w:t>
      </w:r>
      <w:r w:rsidRPr="00D95AF2">
        <w:rPr>
          <w:rFonts w:hint="eastAsia"/>
        </w:rPr>
        <w:t>配合全國總資源分配狀況，考量政府預算支應能力，本整體平衡原則通盤規劃訂定</w:t>
      </w:r>
      <w:r>
        <w:rPr>
          <w:rFonts w:hint="eastAsia"/>
        </w:rPr>
        <w:t>等理由建議</w:t>
      </w:r>
      <w:proofErr w:type="gramStart"/>
      <w:r w:rsidRPr="00D95AF2">
        <w:rPr>
          <w:rFonts w:hint="eastAsia"/>
        </w:rPr>
        <w:t>議</w:t>
      </w:r>
      <w:proofErr w:type="gramEnd"/>
      <w:r w:rsidRPr="00D95AF2">
        <w:rPr>
          <w:rFonts w:hint="eastAsia"/>
        </w:rPr>
        <w:t>刪除「會商考試院」</w:t>
      </w:r>
      <w:r>
        <w:rPr>
          <w:rFonts w:hint="eastAsia"/>
        </w:rPr>
        <w:t>，就</w:t>
      </w:r>
      <w:r w:rsidRPr="00151859">
        <w:rPr>
          <w:rFonts w:hint="eastAsia"/>
        </w:rPr>
        <w:t>公務人員</w:t>
      </w:r>
      <w:proofErr w:type="gramStart"/>
      <w:r w:rsidRPr="00151859">
        <w:rPr>
          <w:rFonts w:hint="eastAsia"/>
        </w:rPr>
        <w:t>俸</w:t>
      </w:r>
      <w:proofErr w:type="gramEnd"/>
      <w:r w:rsidRPr="00151859">
        <w:rPr>
          <w:rFonts w:hint="eastAsia"/>
        </w:rPr>
        <w:t>（薪）給數額訂定及調整</w:t>
      </w:r>
      <w:r>
        <w:rPr>
          <w:rFonts w:hint="eastAsia"/>
        </w:rPr>
        <w:t>等事項授權行政院依職權辦理</w:t>
      </w:r>
      <w:r w:rsidRPr="00D95AF2">
        <w:rPr>
          <w:rFonts w:hint="eastAsia"/>
        </w:rPr>
        <w:t>。</w:t>
      </w:r>
    </w:p>
  </w:footnote>
  <w:footnote w:id="50">
    <w:p w:rsidR="00E21655" w:rsidRPr="00970C78" w:rsidRDefault="00E21655" w:rsidP="00551ABA">
      <w:pPr>
        <w:pStyle w:val="aff"/>
      </w:pPr>
      <w:r>
        <w:rPr>
          <w:rStyle w:val="aff1"/>
        </w:rPr>
        <w:footnoteRef/>
      </w:r>
      <w:r>
        <w:rPr>
          <w:rFonts w:hint="eastAsia"/>
        </w:rPr>
        <w:t xml:space="preserve"> </w:t>
      </w:r>
      <w:r>
        <w:rPr>
          <w:rFonts w:hint="eastAsia"/>
        </w:rPr>
        <w:t>陳愛娥，</w:t>
      </w:r>
      <w:r w:rsidRPr="00BD5B0E">
        <w:rPr>
          <w:rFonts w:hint="eastAsia"/>
        </w:rPr>
        <w:t>「軍公教人員俸給以外其他給與法制化型態之研究」，人事行政總處</w:t>
      </w:r>
      <w:proofErr w:type="gramStart"/>
      <w:r>
        <w:rPr>
          <w:rFonts w:hint="eastAsia"/>
        </w:rPr>
        <w:t>102</w:t>
      </w:r>
      <w:proofErr w:type="gramEnd"/>
      <w:r>
        <w:rPr>
          <w:rFonts w:hint="eastAsia"/>
        </w:rPr>
        <w:t>年度</w:t>
      </w:r>
      <w:r w:rsidRPr="00BD5B0E">
        <w:rPr>
          <w:rFonts w:hint="eastAsia"/>
        </w:rPr>
        <w:t>委託研究案，第</w:t>
      </w:r>
      <w:r w:rsidRPr="00BD5B0E">
        <w:rPr>
          <w:rFonts w:hint="eastAsia"/>
        </w:rPr>
        <w:t>127-128</w:t>
      </w:r>
      <w:r w:rsidRPr="00BD5B0E">
        <w:rPr>
          <w:rFonts w:hint="eastAsia"/>
        </w:rPr>
        <w:t>頁。</w:t>
      </w:r>
    </w:p>
  </w:footnote>
  <w:footnote w:id="51">
    <w:p w:rsidR="00E21655" w:rsidRPr="0063641B" w:rsidRDefault="00E21655" w:rsidP="00294D6C">
      <w:pPr>
        <w:pStyle w:val="aff"/>
        <w:ind w:left="1361" w:hanging="1361"/>
      </w:pPr>
      <w:r>
        <w:rPr>
          <w:rStyle w:val="aff1"/>
        </w:rPr>
        <w:footnoteRef/>
      </w:r>
      <w:r>
        <w:rPr>
          <w:rFonts w:hint="eastAsia"/>
        </w:rPr>
        <w:t xml:space="preserve"> </w:t>
      </w:r>
      <w:r w:rsidRPr="0063641B">
        <w:rPr>
          <w:rFonts w:hint="eastAsia"/>
        </w:rPr>
        <w:t>行政院</w:t>
      </w:r>
      <w:r>
        <w:rPr>
          <w:rFonts w:hint="eastAsia"/>
        </w:rPr>
        <w:t>103</w:t>
      </w:r>
      <w:r w:rsidRPr="0063641B">
        <w:rPr>
          <w:rFonts w:hint="eastAsia"/>
        </w:rPr>
        <w:t>年</w:t>
      </w:r>
      <w:r>
        <w:rPr>
          <w:rFonts w:hint="eastAsia"/>
        </w:rPr>
        <w:t>4</w:t>
      </w:r>
      <w:r w:rsidRPr="0063641B">
        <w:rPr>
          <w:rFonts w:hint="eastAsia"/>
        </w:rPr>
        <w:t>月</w:t>
      </w:r>
      <w:r w:rsidRPr="0063641B">
        <w:rPr>
          <w:rFonts w:hint="eastAsia"/>
        </w:rPr>
        <w:t>29</w:t>
      </w:r>
      <w:r w:rsidRPr="0063641B">
        <w:rPr>
          <w:rFonts w:hint="eastAsia"/>
        </w:rPr>
        <w:t>日</w:t>
      </w:r>
      <w:proofErr w:type="gramStart"/>
      <w:r w:rsidRPr="0063641B">
        <w:rPr>
          <w:rFonts w:hint="eastAsia"/>
        </w:rPr>
        <w:t>院授人給字</w:t>
      </w:r>
      <w:proofErr w:type="gramEnd"/>
      <w:r w:rsidRPr="0063641B">
        <w:rPr>
          <w:rFonts w:hint="eastAsia"/>
        </w:rPr>
        <w:t>第</w:t>
      </w:r>
      <w:r w:rsidRPr="0063641B">
        <w:rPr>
          <w:rFonts w:hint="eastAsia"/>
        </w:rPr>
        <w:t>1030031533</w:t>
      </w:r>
      <w:r w:rsidRPr="0063641B">
        <w:rPr>
          <w:rFonts w:hint="eastAsia"/>
        </w:rPr>
        <w:t>號函</w:t>
      </w:r>
      <w:r>
        <w:rPr>
          <w:rFonts w:hint="eastAsia"/>
        </w:rPr>
        <w:t>。</w:t>
      </w:r>
    </w:p>
  </w:footnote>
  <w:footnote w:id="52">
    <w:p w:rsidR="00E21655" w:rsidRPr="00E734F1" w:rsidRDefault="00E21655" w:rsidP="00294D6C">
      <w:pPr>
        <w:pStyle w:val="aff"/>
        <w:ind w:left="1361" w:hanging="1361"/>
      </w:pPr>
      <w:r>
        <w:rPr>
          <w:rStyle w:val="aff1"/>
        </w:rPr>
        <w:footnoteRef/>
      </w:r>
      <w:r>
        <w:rPr>
          <w:rFonts w:hint="eastAsia"/>
        </w:rPr>
        <w:t xml:space="preserve"> </w:t>
      </w:r>
      <w:r>
        <w:rPr>
          <w:rFonts w:hint="eastAsia"/>
        </w:rPr>
        <w:t>臺北市政府</w:t>
      </w:r>
      <w:r>
        <w:rPr>
          <w:rFonts w:hint="eastAsia"/>
        </w:rPr>
        <w:t>104</w:t>
      </w:r>
      <w:r>
        <w:rPr>
          <w:rFonts w:hint="eastAsia"/>
        </w:rPr>
        <w:t>年</w:t>
      </w:r>
      <w:r>
        <w:rPr>
          <w:rFonts w:hint="eastAsia"/>
        </w:rPr>
        <w:t>1</w:t>
      </w:r>
      <w:r>
        <w:rPr>
          <w:rFonts w:hint="eastAsia"/>
        </w:rPr>
        <w:t>月</w:t>
      </w:r>
      <w:r>
        <w:rPr>
          <w:rFonts w:hint="eastAsia"/>
        </w:rPr>
        <w:t>7</w:t>
      </w:r>
      <w:r>
        <w:rPr>
          <w:rFonts w:hint="eastAsia"/>
        </w:rPr>
        <w:t>日</w:t>
      </w:r>
      <w:proofErr w:type="gramStart"/>
      <w:r>
        <w:rPr>
          <w:rFonts w:hint="eastAsia"/>
        </w:rPr>
        <w:t>府授警</w:t>
      </w:r>
      <w:proofErr w:type="gramEnd"/>
      <w:r>
        <w:rPr>
          <w:rFonts w:hint="eastAsia"/>
        </w:rPr>
        <w:t>人字第</w:t>
      </w:r>
      <w:r>
        <w:rPr>
          <w:rFonts w:hint="eastAsia"/>
        </w:rPr>
        <w:t>10410000600</w:t>
      </w:r>
      <w:r>
        <w:rPr>
          <w:rFonts w:hint="eastAsia"/>
        </w:rPr>
        <w:t>號函。</w:t>
      </w:r>
    </w:p>
  </w:footnote>
  <w:footnote w:id="53">
    <w:p w:rsidR="00E21655" w:rsidRDefault="00E21655" w:rsidP="00294D6C">
      <w:pPr>
        <w:pStyle w:val="aff"/>
        <w:ind w:left="1361" w:hanging="1361"/>
      </w:pPr>
      <w:r>
        <w:rPr>
          <w:rStyle w:val="aff1"/>
        </w:rPr>
        <w:footnoteRef/>
      </w:r>
      <w:r>
        <w:rPr>
          <w:rFonts w:hint="eastAsia"/>
        </w:rPr>
        <w:t xml:space="preserve"> </w:t>
      </w:r>
      <w:r>
        <w:rPr>
          <w:rFonts w:hint="eastAsia"/>
        </w:rPr>
        <w:t>行政院</w:t>
      </w:r>
      <w:r>
        <w:rPr>
          <w:rFonts w:hint="eastAsia"/>
        </w:rPr>
        <w:t>104</w:t>
      </w:r>
      <w:r>
        <w:rPr>
          <w:rFonts w:hint="eastAsia"/>
        </w:rPr>
        <w:t>年</w:t>
      </w:r>
      <w:r>
        <w:rPr>
          <w:rFonts w:hint="eastAsia"/>
        </w:rPr>
        <w:t>1</w:t>
      </w:r>
      <w:r>
        <w:rPr>
          <w:rFonts w:hint="eastAsia"/>
        </w:rPr>
        <w:t>月</w:t>
      </w:r>
      <w:r>
        <w:rPr>
          <w:rFonts w:hint="eastAsia"/>
        </w:rPr>
        <w:t>21</w:t>
      </w:r>
      <w:r>
        <w:rPr>
          <w:rFonts w:hint="eastAsia"/>
        </w:rPr>
        <w:t>日</w:t>
      </w:r>
      <w:proofErr w:type="gramStart"/>
      <w:r w:rsidRPr="00CE2126">
        <w:rPr>
          <w:rFonts w:hint="eastAsia"/>
        </w:rPr>
        <w:t>院授人給字</w:t>
      </w:r>
      <w:proofErr w:type="gramEnd"/>
      <w:r w:rsidRPr="00CE2126">
        <w:rPr>
          <w:rFonts w:hint="eastAsia"/>
        </w:rPr>
        <w:t>第</w:t>
      </w:r>
      <w:r w:rsidRPr="00CE2126">
        <w:rPr>
          <w:rFonts w:hint="eastAsia"/>
        </w:rPr>
        <w:t xml:space="preserve">1040022671 </w:t>
      </w:r>
      <w:r w:rsidRPr="00CE2126">
        <w:rPr>
          <w:rFonts w:hint="eastAsia"/>
        </w:rPr>
        <w:t>號</w:t>
      </w:r>
      <w:r>
        <w:rPr>
          <w:rFonts w:hint="eastAsia"/>
        </w:rPr>
        <w:t>函。</w:t>
      </w:r>
    </w:p>
  </w:footnote>
  <w:footnote w:id="54">
    <w:p w:rsidR="00E21655" w:rsidRDefault="00E21655" w:rsidP="00294D6C">
      <w:pPr>
        <w:pStyle w:val="aff"/>
        <w:ind w:left="1361" w:hanging="1361"/>
      </w:pPr>
      <w:r>
        <w:rPr>
          <w:rStyle w:val="aff1"/>
        </w:rPr>
        <w:footnoteRef/>
      </w:r>
      <w:r>
        <w:rPr>
          <w:rFonts w:hint="eastAsia"/>
        </w:rPr>
        <w:t xml:space="preserve"> </w:t>
      </w:r>
      <w:r>
        <w:rPr>
          <w:rFonts w:hint="eastAsia"/>
        </w:rPr>
        <w:t>內政部</w:t>
      </w:r>
      <w:r>
        <w:rPr>
          <w:rFonts w:hint="eastAsia"/>
        </w:rPr>
        <w:t>104</w:t>
      </w:r>
      <w:r>
        <w:rPr>
          <w:rFonts w:hint="eastAsia"/>
        </w:rPr>
        <w:t>年</w:t>
      </w:r>
      <w:r>
        <w:rPr>
          <w:rFonts w:hint="eastAsia"/>
        </w:rPr>
        <w:t>1</w:t>
      </w:r>
      <w:r>
        <w:rPr>
          <w:rFonts w:hint="eastAsia"/>
        </w:rPr>
        <w:t>月</w:t>
      </w:r>
      <w:r>
        <w:rPr>
          <w:rFonts w:hint="eastAsia"/>
        </w:rPr>
        <w:t>16</w:t>
      </w:r>
      <w:r>
        <w:rPr>
          <w:rFonts w:hint="eastAsia"/>
        </w:rPr>
        <w:t>日台內警字第</w:t>
      </w:r>
      <w:r>
        <w:rPr>
          <w:rFonts w:hint="eastAsia"/>
        </w:rPr>
        <w:t>1040870124</w:t>
      </w:r>
      <w:r>
        <w:rPr>
          <w:rFonts w:hint="eastAsia"/>
        </w:rPr>
        <w:t>號函。</w:t>
      </w:r>
    </w:p>
  </w:footnote>
  <w:footnote w:id="55">
    <w:p w:rsidR="00E21655" w:rsidRPr="00FE22C8" w:rsidRDefault="00E21655" w:rsidP="00340978">
      <w:pPr>
        <w:pStyle w:val="aff"/>
        <w:ind w:left="330" w:hangingChars="150" w:hanging="330"/>
        <w:jc w:val="both"/>
      </w:pPr>
      <w:r>
        <w:rPr>
          <w:rStyle w:val="aff1"/>
        </w:rPr>
        <w:footnoteRef/>
      </w:r>
      <w:r>
        <w:rPr>
          <w:rFonts w:hint="eastAsia"/>
        </w:rPr>
        <w:t xml:space="preserve"> </w:t>
      </w:r>
      <w:r w:rsidRPr="00551ABA">
        <w:rPr>
          <w:rFonts w:hint="eastAsia"/>
        </w:rPr>
        <w:t>黃富源，政府人力資源管理策略的謀劃與落實，人事月刊，第</w:t>
      </w:r>
      <w:r w:rsidRPr="00551ABA">
        <w:rPr>
          <w:rFonts w:hint="eastAsia"/>
        </w:rPr>
        <w:t>352</w:t>
      </w:r>
      <w:r w:rsidRPr="00551ABA">
        <w:rPr>
          <w:rFonts w:hint="eastAsia"/>
        </w:rPr>
        <w:t>期，</w:t>
      </w:r>
      <w:r w:rsidRPr="00551ABA">
        <w:rPr>
          <w:rFonts w:hint="eastAsia"/>
        </w:rPr>
        <w:t>2014</w:t>
      </w:r>
      <w:r w:rsidRPr="00551ABA">
        <w:rPr>
          <w:rFonts w:hint="eastAsia"/>
        </w:rPr>
        <w:t>年</w:t>
      </w:r>
      <w:r w:rsidRPr="00551ABA">
        <w:rPr>
          <w:rFonts w:hint="eastAsia"/>
        </w:rPr>
        <w:t>12</w:t>
      </w:r>
      <w:r w:rsidRPr="00551ABA">
        <w:rPr>
          <w:rFonts w:hint="eastAsia"/>
        </w:rPr>
        <w:t>月，第</w:t>
      </w:r>
      <w:r w:rsidRPr="00551ABA">
        <w:rPr>
          <w:rFonts w:hint="eastAsia"/>
        </w:rPr>
        <w:t>1-8</w:t>
      </w:r>
      <w:r w:rsidRPr="00551ABA">
        <w:rPr>
          <w:rFonts w:hint="eastAsia"/>
        </w:rPr>
        <w:t>頁</w:t>
      </w:r>
      <w:r>
        <w:rPr>
          <w:rFonts w:hint="eastAsia"/>
          <w:color w:val="C00000"/>
        </w:rPr>
        <w:t>。</w:t>
      </w:r>
    </w:p>
  </w:footnote>
  <w:footnote w:id="56">
    <w:p w:rsidR="00E21655" w:rsidRPr="002E6137" w:rsidRDefault="00E21655" w:rsidP="00340978">
      <w:pPr>
        <w:pStyle w:val="aff"/>
        <w:ind w:left="330" w:hangingChars="150" w:hanging="330"/>
        <w:jc w:val="both"/>
      </w:pPr>
      <w:r>
        <w:rPr>
          <w:rStyle w:val="aff1"/>
        </w:rPr>
        <w:footnoteRef/>
      </w:r>
      <w:r>
        <w:rPr>
          <w:rFonts w:hint="eastAsia"/>
        </w:rPr>
        <w:t xml:space="preserve"> </w:t>
      </w:r>
      <w:r>
        <w:rPr>
          <w:rFonts w:hint="eastAsia"/>
        </w:rPr>
        <w:t>黃一峯，「我國機關學校公教員工地域加給表支給合理性之研究」結案報告，人事行政總處委託，</w:t>
      </w:r>
      <w:r>
        <w:rPr>
          <w:rFonts w:hint="eastAsia"/>
        </w:rPr>
        <w:t>102</w:t>
      </w:r>
      <w:r>
        <w:rPr>
          <w:rFonts w:hint="eastAsia"/>
        </w:rPr>
        <w:t>年</w:t>
      </w:r>
      <w:r>
        <w:rPr>
          <w:rFonts w:hint="eastAsia"/>
        </w:rPr>
        <w:t>12</w:t>
      </w:r>
      <w:r>
        <w:rPr>
          <w:rFonts w:hint="eastAsia"/>
        </w:rPr>
        <w:t>月。</w:t>
      </w:r>
    </w:p>
  </w:footnote>
  <w:footnote w:id="57">
    <w:p w:rsidR="00E21655" w:rsidRPr="00802C2E" w:rsidRDefault="00E21655" w:rsidP="00340978">
      <w:pPr>
        <w:pStyle w:val="aff"/>
        <w:ind w:left="330" w:hangingChars="150" w:hanging="330"/>
        <w:jc w:val="both"/>
      </w:pPr>
      <w:r>
        <w:rPr>
          <w:rStyle w:val="aff1"/>
        </w:rPr>
        <w:footnoteRef/>
      </w:r>
      <w:r>
        <w:rPr>
          <w:rFonts w:hint="eastAsia"/>
        </w:rPr>
        <w:t xml:space="preserve"> </w:t>
      </w:r>
      <w:r w:rsidRPr="00802C2E">
        <w:rPr>
          <w:rFonts w:hint="eastAsia"/>
        </w:rPr>
        <w:t>依行政院核定之「警察人員警勤加給表」將支給對象</w:t>
      </w:r>
      <w:proofErr w:type="gramStart"/>
      <w:r>
        <w:rPr>
          <w:rFonts w:hint="eastAsia"/>
        </w:rPr>
        <w:t>採</w:t>
      </w:r>
      <w:proofErr w:type="gramEnd"/>
      <w:r>
        <w:rPr>
          <w:rFonts w:hint="eastAsia"/>
        </w:rPr>
        <w:t>列舉式區分</w:t>
      </w:r>
      <w:r w:rsidRPr="00802C2E">
        <w:rPr>
          <w:rFonts w:hint="eastAsia"/>
        </w:rPr>
        <w:t>一至三級標準：</w:t>
      </w:r>
      <w:proofErr w:type="gramStart"/>
      <w:r>
        <w:rPr>
          <w:rFonts w:hint="eastAsia"/>
        </w:rPr>
        <w:t>第一級支給</w:t>
      </w:r>
      <w:proofErr w:type="gramEnd"/>
      <w:r>
        <w:rPr>
          <w:rFonts w:hint="eastAsia"/>
        </w:rPr>
        <w:t>數額為</w:t>
      </w:r>
      <w:r>
        <w:rPr>
          <w:rFonts w:hint="eastAsia"/>
        </w:rPr>
        <w:t>8,435</w:t>
      </w:r>
      <w:r>
        <w:rPr>
          <w:rFonts w:hint="eastAsia"/>
        </w:rPr>
        <w:t>元，支給對象為：「</w:t>
      </w:r>
      <w:r w:rsidRPr="00802C2E">
        <w:rPr>
          <w:rFonts w:hint="eastAsia"/>
        </w:rPr>
        <w:t>各直轄市政府警察局及臺灣省各縣市警察局所屬分局以下之警察人員，直轄市政府警察局刑事警察大隊所屬偵查隊、保安大隊及交通大隊所屬中隊、少年警察隊、婦幼警察隊、捷運警察隊，臺灣</w:t>
      </w:r>
      <w:r>
        <w:rPr>
          <w:rFonts w:hint="eastAsia"/>
        </w:rPr>
        <w:t>省</w:t>
      </w:r>
      <w:r w:rsidRPr="00802C2E">
        <w:rPr>
          <w:rFonts w:hint="eastAsia"/>
        </w:rPr>
        <w:t>各縣市警察局刑事警察大隊、保安、交通、少年、婦幼警察隊，及警政署直屬之刑事警察局、航空警察局、國道公路警察局、鐵路警察局、港務警察總隊、保安警察第一至第七</w:t>
      </w:r>
      <w:proofErr w:type="gramStart"/>
      <w:r w:rsidRPr="00802C2E">
        <w:rPr>
          <w:rFonts w:hint="eastAsia"/>
        </w:rPr>
        <w:t>總隊表列</w:t>
      </w:r>
      <w:proofErr w:type="gramEnd"/>
      <w:r w:rsidRPr="00802C2E">
        <w:rPr>
          <w:rFonts w:hint="eastAsia"/>
        </w:rPr>
        <w:t>之偵查大隊、偵查隊、分局、隊（大隊、分隊）及調派支援刑事警察局打擊犯罪中心之警察人員係支領第一級警勤加給；而中央警察大學、臺灣警察專科學校、保安警察第一至六總隊所屬中隊以下之警察人員…</w:t>
      </w:r>
      <w:proofErr w:type="gramStart"/>
      <w:r w:rsidRPr="00802C2E">
        <w:rPr>
          <w:rFonts w:hint="eastAsia"/>
        </w:rPr>
        <w:t>…</w:t>
      </w:r>
      <w:proofErr w:type="gramEnd"/>
      <w:r>
        <w:rPr>
          <w:rFonts w:hint="eastAsia"/>
        </w:rPr>
        <w:t>。」</w:t>
      </w:r>
      <w:proofErr w:type="gramStart"/>
      <w:r>
        <w:rPr>
          <w:rFonts w:hint="eastAsia"/>
        </w:rPr>
        <w:t>第二級支給</w:t>
      </w:r>
      <w:proofErr w:type="gramEnd"/>
      <w:r>
        <w:rPr>
          <w:rFonts w:hint="eastAsia"/>
        </w:rPr>
        <w:t>數額為</w:t>
      </w:r>
      <w:r>
        <w:rPr>
          <w:rFonts w:hint="eastAsia"/>
        </w:rPr>
        <w:t>7,590</w:t>
      </w:r>
      <w:r>
        <w:rPr>
          <w:rFonts w:hint="eastAsia"/>
        </w:rPr>
        <w:t>元，</w:t>
      </w:r>
      <w:r w:rsidRPr="00802C2E">
        <w:rPr>
          <w:rFonts w:hint="eastAsia"/>
        </w:rPr>
        <w:t>支給</w:t>
      </w:r>
      <w:r>
        <w:rPr>
          <w:rFonts w:hint="eastAsia"/>
        </w:rPr>
        <w:t>對象為</w:t>
      </w:r>
      <w:r w:rsidRPr="00802C2E">
        <w:rPr>
          <w:rFonts w:hint="eastAsia"/>
        </w:rPr>
        <w:t>；</w:t>
      </w:r>
      <w:r>
        <w:rPr>
          <w:rFonts w:hint="eastAsia"/>
        </w:rPr>
        <w:t>「中央警察大學各中隊所屬警察人員；內政部警政署所屬保安警察第一、二、三、四、五、六總隊各中隊；刑事警察局警備隊…</w:t>
      </w:r>
      <w:proofErr w:type="gramStart"/>
      <w:r>
        <w:rPr>
          <w:rFonts w:hint="eastAsia"/>
        </w:rPr>
        <w:t>…</w:t>
      </w:r>
      <w:proofErr w:type="gramEnd"/>
      <w:r>
        <w:rPr>
          <w:rFonts w:hint="eastAsia"/>
        </w:rPr>
        <w:t>。」</w:t>
      </w:r>
      <w:proofErr w:type="gramStart"/>
      <w:r>
        <w:rPr>
          <w:rFonts w:hint="eastAsia"/>
        </w:rPr>
        <w:t>第三級支給</w:t>
      </w:r>
      <w:proofErr w:type="gramEnd"/>
      <w:r>
        <w:rPr>
          <w:rFonts w:hint="eastAsia"/>
        </w:rPr>
        <w:t>數額為</w:t>
      </w:r>
      <w:r>
        <w:rPr>
          <w:rFonts w:hint="eastAsia"/>
        </w:rPr>
        <w:t>6,745</w:t>
      </w:r>
      <w:r>
        <w:rPr>
          <w:rFonts w:hint="eastAsia"/>
        </w:rPr>
        <w:t>元，支給對象為：「</w:t>
      </w:r>
      <w:r w:rsidRPr="00802C2E">
        <w:rPr>
          <w:rFonts w:hint="eastAsia"/>
        </w:rPr>
        <w:t>各警察機關、學校組織編制內，不屬第一、二級而具有警察官任用資格。</w:t>
      </w:r>
      <w:r>
        <w:rPr>
          <w:rFonts w:hint="eastAsia"/>
        </w:rPr>
        <w:t>」</w:t>
      </w:r>
    </w:p>
  </w:footnote>
  <w:footnote w:id="58">
    <w:p w:rsidR="00E21655" w:rsidRPr="00373F4B" w:rsidRDefault="00E21655">
      <w:pPr>
        <w:pStyle w:val="aff"/>
      </w:pPr>
      <w:r>
        <w:rPr>
          <w:rStyle w:val="aff1"/>
        </w:rPr>
        <w:footnoteRef/>
      </w:r>
      <w:r>
        <w:rPr>
          <w:rFonts w:hint="eastAsia"/>
        </w:rPr>
        <w:t xml:space="preserve"> </w:t>
      </w:r>
      <w:r>
        <w:rPr>
          <w:rFonts w:hint="eastAsia"/>
        </w:rPr>
        <w:t>依臺北市政府之統計資料，臺北市政府警察局員警</w:t>
      </w:r>
      <w:r>
        <w:rPr>
          <w:rFonts w:hint="eastAsia"/>
        </w:rPr>
        <w:t>71</w:t>
      </w:r>
      <w:r>
        <w:rPr>
          <w:rFonts w:hint="eastAsia"/>
        </w:rPr>
        <w:t>％屬中南部縣市或離島地區子弟。</w:t>
      </w:r>
    </w:p>
  </w:footnote>
  <w:footnote w:id="59">
    <w:p w:rsidR="00E21655" w:rsidRPr="007F679E" w:rsidRDefault="00E21655">
      <w:pPr>
        <w:pStyle w:val="aff"/>
      </w:pPr>
      <w:r>
        <w:rPr>
          <w:rStyle w:val="aff1"/>
        </w:rPr>
        <w:footnoteRef/>
      </w:r>
      <w:r>
        <w:rPr>
          <w:rFonts w:hint="eastAsia"/>
        </w:rPr>
        <w:t xml:space="preserve"> </w:t>
      </w:r>
      <w:r>
        <w:rPr>
          <w:rFonts w:hint="eastAsia"/>
        </w:rPr>
        <w:t>內政部</w:t>
      </w:r>
      <w:proofErr w:type="gramStart"/>
      <w:r>
        <w:rPr>
          <w:rFonts w:hint="eastAsia"/>
        </w:rPr>
        <w:t>106</w:t>
      </w:r>
      <w:r>
        <w:rPr>
          <w:rFonts w:hint="eastAsia"/>
        </w:rPr>
        <w:t>年</w:t>
      </w:r>
      <w:r>
        <w:rPr>
          <w:rFonts w:hint="eastAsia"/>
        </w:rPr>
        <w:t>3</w:t>
      </w:r>
      <w:r>
        <w:rPr>
          <w:rFonts w:hint="eastAsia"/>
        </w:rPr>
        <w:t>月</w:t>
      </w:r>
      <w:r>
        <w:rPr>
          <w:rFonts w:hint="eastAsia"/>
        </w:rPr>
        <w:t>31</w:t>
      </w:r>
      <w:r>
        <w:rPr>
          <w:rFonts w:hint="eastAsia"/>
        </w:rPr>
        <w:t>日內授警字</w:t>
      </w:r>
      <w:proofErr w:type="gramEnd"/>
      <w:r>
        <w:rPr>
          <w:rFonts w:hint="eastAsia"/>
        </w:rPr>
        <w:t>第</w:t>
      </w:r>
      <w:r>
        <w:rPr>
          <w:rFonts w:hint="eastAsia"/>
        </w:rPr>
        <w:t>1060870971</w:t>
      </w:r>
      <w:r>
        <w:rPr>
          <w:rFonts w:hint="eastAsia"/>
        </w:rPr>
        <w:t>號函。</w:t>
      </w:r>
    </w:p>
  </w:footnote>
  <w:footnote w:id="60">
    <w:p w:rsidR="00E21655" w:rsidRPr="00F7234A" w:rsidRDefault="00E21655" w:rsidP="00340978">
      <w:pPr>
        <w:pStyle w:val="aff"/>
        <w:ind w:left="330" w:hangingChars="150" w:hanging="330"/>
        <w:jc w:val="both"/>
      </w:pPr>
      <w:r>
        <w:rPr>
          <w:rStyle w:val="aff1"/>
        </w:rPr>
        <w:footnoteRef/>
      </w:r>
      <w:r>
        <w:rPr>
          <w:rFonts w:hint="eastAsia"/>
        </w:rPr>
        <w:t xml:space="preserve"> </w:t>
      </w:r>
      <w:r>
        <w:rPr>
          <w:rFonts w:hint="eastAsia"/>
        </w:rPr>
        <w:t>陳焜元，當前政府部門員工待遇管理的策略思維與行動，人事月刊第</w:t>
      </w:r>
      <w:r>
        <w:rPr>
          <w:rFonts w:hint="eastAsia"/>
        </w:rPr>
        <w:t>354</w:t>
      </w:r>
      <w:r>
        <w:rPr>
          <w:rFonts w:hint="eastAsia"/>
        </w:rPr>
        <w:t>期，</w:t>
      </w:r>
      <w:r>
        <w:rPr>
          <w:rFonts w:hint="eastAsia"/>
        </w:rPr>
        <w:t>2015</w:t>
      </w:r>
      <w:r>
        <w:rPr>
          <w:rFonts w:hint="eastAsia"/>
        </w:rPr>
        <w:t>年</w:t>
      </w:r>
      <w:r>
        <w:rPr>
          <w:rFonts w:hint="eastAsia"/>
        </w:rPr>
        <w:t>2</w:t>
      </w:r>
      <w:r>
        <w:rPr>
          <w:rFonts w:hint="eastAsia"/>
        </w:rPr>
        <w:t>月，第</w:t>
      </w:r>
      <w:r>
        <w:rPr>
          <w:rFonts w:hint="eastAsia"/>
        </w:rPr>
        <w:t>66-72</w:t>
      </w:r>
      <w:r>
        <w:rPr>
          <w:rFonts w:hint="eastAsia"/>
        </w:rPr>
        <w:t>頁。</w:t>
      </w:r>
    </w:p>
  </w:footnote>
  <w:footnote w:id="61">
    <w:p w:rsidR="00E21655" w:rsidRPr="00007D03" w:rsidRDefault="00E21655" w:rsidP="00340978">
      <w:pPr>
        <w:pStyle w:val="aff"/>
        <w:ind w:left="330" w:hangingChars="150" w:hanging="330"/>
        <w:jc w:val="both"/>
      </w:pPr>
      <w:r>
        <w:rPr>
          <w:rStyle w:val="aff1"/>
        </w:rPr>
        <w:footnoteRef/>
      </w:r>
      <w:r>
        <w:rPr>
          <w:rFonts w:hint="eastAsia"/>
        </w:rPr>
        <w:t xml:space="preserve"> </w:t>
      </w:r>
      <w:r>
        <w:rPr>
          <w:rFonts w:hint="eastAsia"/>
        </w:rPr>
        <w:t>政院全國人才培育會議結論：為</w:t>
      </w:r>
      <w:proofErr w:type="gramStart"/>
      <w:r>
        <w:rPr>
          <w:rFonts w:hint="eastAsia"/>
        </w:rPr>
        <w:t>延掘及</w:t>
      </w:r>
      <w:proofErr w:type="gramEnd"/>
      <w:r>
        <w:rPr>
          <w:rFonts w:hint="eastAsia"/>
        </w:rPr>
        <w:t>留任大學優秀教師，放寬學術研究費人事總經費數額限制，並檢討現行學術研究費分級制度（</w:t>
      </w:r>
      <w:r>
        <w:rPr>
          <w:rFonts w:hint="eastAsia"/>
        </w:rPr>
        <w:t>30</w:t>
      </w:r>
      <w:r>
        <w:rPr>
          <w:rFonts w:hint="eastAsia"/>
        </w:rPr>
        <w:t>％範圍內彈性支給），其經費短期內由各校校務基金自籌收入，以落實彈性績效待遇之精神。</w:t>
      </w:r>
    </w:p>
  </w:footnote>
  <w:footnote w:id="62">
    <w:p w:rsidR="00E21655" w:rsidRPr="00886EF7" w:rsidRDefault="00E21655" w:rsidP="00340978">
      <w:pPr>
        <w:pStyle w:val="aff"/>
        <w:ind w:left="330" w:hangingChars="150" w:hanging="330"/>
        <w:jc w:val="both"/>
      </w:pPr>
      <w:r>
        <w:rPr>
          <w:rStyle w:val="aff1"/>
        </w:rPr>
        <w:footnoteRef/>
      </w:r>
      <w:r>
        <w:rPr>
          <w:rFonts w:hint="eastAsia"/>
        </w:rPr>
        <w:t xml:space="preserve"> </w:t>
      </w:r>
      <w:r w:rsidRPr="00886EF7">
        <w:rPr>
          <w:rFonts w:hint="eastAsia"/>
        </w:rPr>
        <w:t>地方制度法第</w:t>
      </w:r>
      <w:r w:rsidRPr="00886EF7">
        <w:rPr>
          <w:rFonts w:hint="eastAsia"/>
        </w:rPr>
        <w:t>85</w:t>
      </w:r>
      <w:r w:rsidRPr="00886EF7">
        <w:rPr>
          <w:rFonts w:hint="eastAsia"/>
        </w:rPr>
        <w:t>條</w:t>
      </w:r>
      <w:r>
        <w:rPr>
          <w:rFonts w:hint="eastAsia"/>
        </w:rPr>
        <w:t>規定：「省政府、省</w:t>
      </w:r>
      <w:proofErr w:type="gramStart"/>
      <w:r>
        <w:rPr>
          <w:rFonts w:hint="eastAsia"/>
        </w:rPr>
        <w:t>諮</w:t>
      </w:r>
      <w:proofErr w:type="gramEnd"/>
      <w:r>
        <w:rPr>
          <w:rFonts w:hint="eastAsia"/>
        </w:rPr>
        <w:t>議會、直轄市議會、直轄市政府、縣</w:t>
      </w:r>
      <w:r>
        <w:rPr>
          <w:rFonts w:hint="eastAsia"/>
        </w:rPr>
        <w:t xml:space="preserve"> (</w:t>
      </w:r>
      <w:r>
        <w:rPr>
          <w:rFonts w:hint="eastAsia"/>
        </w:rPr>
        <w:t>市</w:t>
      </w:r>
      <w:r>
        <w:rPr>
          <w:rFonts w:hint="eastAsia"/>
        </w:rPr>
        <w:t xml:space="preserve">) </w:t>
      </w:r>
      <w:r>
        <w:rPr>
          <w:rFonts w:hint="eastAsia"/>
        </w:rPr>
        <w:t>議會、縣</w:t>
      </w:r>
      <w:r>
        <w:rPr>
          <w:rFonts w:hint="eastAsia"/>
        </w:rPr>
        <w:t xml:space="preserve"> (</w:t>
      </w:r>
      <w:r>
        <w:rPr>
          <w:rFonts w:hint="eastAsia"/>
        </w:rPr>
        <w:t>市</w:t>
      </w:r>
      <w:r>
        <w:rPr>
          <w:rFonts w:hint="eastAsia"/>
        </w:rPr>
        <w:t>)</w:t>
      </w:r>
      <w:r>
        <w:rPr>
          <w:rFonts w:hint="eastAsia"/>
        </w:rPr>
        <w:t>政府、鄉</w:t>
      </w:r>
      <w:r>
        <w:rPr>
          <w:rFonts w:hint="eastAsia"/>
        </w:rPr>
        <w:t xml:space="preserve"> (</w:t>
      </w:r>
      <w:r>
        <w:rPr>
          <w:rFonts w:hint="eastAsia"/>
        </w:rPr>
        <w:t>鎮、市</w:t>
      </w:r>
      <w:r>
        <w:rPr>
          <w:rFonts w:hint="eastAsia"/>
        </w:rPr>
        <w:t xml:space="preserve">) </w:t>
      </w:r>
      <w:r>
        <w:rPr>
          <w:rFonts w:hint="eastAsia"/>
        </w:rPr>
        <w:t>民代表會、鄉</w:t>
      </w:r>
      <w:r>
        <w:rPr>
          <w:rFonts w:hint="eastAsia"/>
        </w:rPr>
        <w:t xml:space="preserve"> (</w:t>
      </w:r>
      <w:r>
        <w:rPr>
          <w:rFonts w:hint="eastAsia"/>
        </w:rPr>
        <w:t>鎮、市</w:t>
      </w:r>
      <w:r>
        <w:rPr>
          <w:rFonts w:hint="eastAsia"/>
        </w:rPr>
        <w:t xml:space="preserve">) </w:t>
      </w:r>
      <w:r>
        <w:rPr>
          <w:rFonts w:hint="eastAsia"/>
        </w:rPr>
        <w:t>公所員工給與事項，應依公務人員俸給法及相關中央法令辦理。」</w:t>
      </w:r>
    </w:p>
  </w:footnote>
  <w:footnote w:id="63">
    <w:p w:rsidR="00E21655" w:rsidRPr="00DD5FF7" w:rsidRDefault="00E21655" w:rsidP="00DD7D48">
      <w:pPr>
        <w:pStyle w:val="aff"/>
      </w:pPr>
      <w:r>
        <w:rPr>
          <w:rStyle w:val="aff1"/>
        </w:rPr>
        <w:footnoteRef/>
      </w:r>
      <w:r>
        <w:rPr>
          <w:rFonts w:hint="eastAsia"/>
        </w:rPr>
        <w:t xml:space="preserve"> </w:t>
      </w:r>
      <w:r>
        <w:rPr>
          <w:rFonts w:hint="eastAsia"/>
        </w:rPr>
        <w:t>以臺北市政府警察局為例，萬華、中山、大安…</w:t>
      </w:r>
      <w:proofErr w:type="gramStart"/>
      <w:r>
        <w:rPr>
          <w:rFonts w:hint="eastAsia"/>
        </w:rPr>
        <w:t>…</w:t>
      </w:r>
      <w:proofErr w:type="gramEnd"/>
      <w:r>
        <w:rPr>
          <w:rFonts w:hint="eastAsia"/>
        </w:rPr>
        <w:t>等繁重分局加</w:t>
      </w:r>
      <w:r>
        <w:rPr>
          <w:rFonts w:hint="eastAsia"/>
        </w:rPr>
        <w:t>1</w:t>
      </w:r>
      <w:r>
        <w:rPr>
          <w:rFonts w:hint="eastAsia"/>
        </w:rPr>
        <w:t>倍支給；大同、內湖、北投…</w:t>
      </w:r>
      <w:proofErr w:type="gramStart"/>
      <w:r>
        <w:rPr>
          <w:rFonts w:hint="eastAsia"/>
        </w:rPr>
        <w:t>…</w:t>
      </w:r>
      <w:proofErr w:type="gramEnd"/>
      <w:r>
        <w:rPr>
          <w:rFonts w:hint="eastAsia"/>
        </w:rPr>
        <w:t>等較重分局加</w:t>
      </w:r>
      <w:proofErr w:type="gramStart"/>
      <w:r>
        <w:rPr>
          <w:rFonts w:hint="eastAsia"/>
        </w:rPr>
        <w:t>9</w:t>
      </w:r>
      <w:r>
        <w:rPr>
          <w:rFonts w:hint="eastAsia"/>
        </w:rPr>
        <w:t>成</w:t>
      </w:r>
      <w:proofErr w:type="gramEnd"/>
      <w:r>
        <w:rPr>
          <w:rFonts w:hint="eastAsia"/>
        </w:rPr>
        <w:t>支給；南港、文山一、文山二等單純分局及直屬各大隊所屬單位加</w:t>
      </w:r>
      <w:proofErr w:type="gramStart"/>
      <w:r>
        <w:rPr>
          <w:rFonts w:hint="eastAsia"/>
        </w:rPr>
        <w:t>8</w:t>
      </w:r>
      <w:r>
        <w:rPr>
          <w:rFonts w:hint="eastAsia"/>
        </w:rPr>
        <w:t>成</w:t>
      </w:r>
      <w:proofErr w:type="gramEnd"/>
      <w:r>
        <w:rPr>
          <w:rFonts w:hint="eastAsia"/>
        </w:rPr>
        <w:t>支給；警察局、保安隊、交通隊等具有警察官任用資格之人員加</w:t>
      </w:r>
      <w:proofErr w:type="gramStart"/>
      <w:r>
        <w:rPr>
          <w:rFonts w:hint="eastAsia"/>
        </w:rPr>
        <w:t>5</w:t>
      </w:r>
      <w:r>
        <w:rPr>
          <w:rFonts w:hint="eastAsia"/>
        </w:rPr>
        <w:t>成</w:t>
      </w:r>
      <w:proofErr w:type="gramEnd"/>
      <w:r>
        <w:rPr>
          <w:rFonts w:hint="eastAsia"/>
        </w:rPr>
        <w:t>支給。而新北市、桃園市、</w:t>
      </w:r>
      <w:proofErr w:type="gramStart"/>
      <w:r>
        <w:rPr>
          <w:rFonts w:hint="eastAsia"/>
        </w:rPr>
        <w:t>臺</w:t>
      </w:r>
      <w:proofErr w:type="gramEnd"/>
      <w:r>
        <w:rPr>
          <w:rFonts w:hint="eastAsia"/>
        </w:rPr>
        <w:t>中市等地區所轄遼闊，部分地區之治安、交通</w:t>
      </w:r>
      <w:proofErr w:type="gramStart"/>
      <w:r>
        <w:rPr>
          <w:rFonts w:hint="eastAsia"/>
        </w:rPr>
        <w:t>狀況均屬單純</w:t>
      </w:r>
      <w:proofErr w:type="gramEnd"/>
      <w:r>
        <w:rPr>
          <w:rFonts w:hint="eastAsia"/>
        </w:rPr>
        <w:t>，亦可享受加成。如桃園市政府</w:t>
      </w:r>
      <w:proofErr w:type="gramStart"/>
      <w:r>
        <w:rPr>
          <w:rFonts w:hint="eastAsia"/>
        </w:rPr>
        <w:t>警察局之蘆竹</w:t>
      </w:r>
      <w:proofErr w:type="gramEnd"/>
      <w:r>
        <w:rPr>
          <w:rFonts w:hint="eastAsia"/>
        </w:rPr>
        <w:t>、大園、龍潭、大溪等分局，及</w:t>
      </w:r>
      <w:proofErr w:type="gramStart"/>
      <w:r>
        <w:rPr>
          <w:rFonts w:hint="eastAsia"/>
        </w:rPr>
        <w:t>臺</w:t>
      </w:r>
      <w:proofErr w:type="gramEnd"/>
      <w:r>
        <w:rPr>
          <w:rFonts w:hint="eastAsia"/>
        </w:rPr>
        <w:t>中市政府警察局之大甲、太平、東勢等分局，其勤務繁重程度與一般縣市警察局似無明顯之差距，</w:t>
      </w:r>
      <w:proofErr w:type="gramStart"/>
      <w:r>
        <w:rPr>
          <w:rFonts w:hint="eastAsia"/>
        </w:rPr>
        <w:t>然均有享有</w:t>
      </w:r>
      <w:proofErr w:type="gramEnd"/>
      <w:r>
        <w:rPr>
          <w:rFonts w:hint="eastAsia"/>
        </w:rPr>
        <w:t>加</w:t>
      </w:r>
      <w:proofErr w:type="gramStart"/>
      <w:r>
        <w:rPr>
          <w:rFonts w:hint="eastAsia"/>
        </w:rPr>
        <w:t>6</w:t>
      </w:r>
      <w:r>
        <w:rPr>
          <w:rFonts w:hint="eastAsia"/>
        </w:rPr>
        <w:t>成</w:t>
      </w:r>
      <w:proofErr w:type="gramEnd"/>
      <w:r>
        <w:rPr>
          <w:rFonts w:hint="eastAsia"/>
        </w:rPr>
        <w:t>之支給；而新北市屈尺地區等分駐派出所，地處偏遠，</w:t>
      </w:r>
      <w:proofErr w:type="gramStart"/>
      <w:r>
        <w:rPr>
          <w:rFonts w:hint="eastAsia"/>
        </w:rPr>
        <w:t>採</w:t>
      </w:r>
      <w:proofErr w:type="gramEnd"/>
      <w:r>
        <w:rPr>
          <w:rFonts w:hint="eastAsia"/>
        </w:rPr>
        <w:t>值宿方式，仍可享有加</w:t>
      </w:r>
      <w:proofErr w:type="gramStart"/>
      <w:r>
        <w:rPr>
          <w:rFonts w:hint="eastAsia"/>
        </w:rPr>
        <w:t>5</w:t>
      </w:r>
      <w:r>
        <w:rPr>
          <w:rFonts w:hint="eastAsia"/>
        </w:rPr>
        <w:t>成</w:t>
      </w:r>
      <w:proofErr w:type="gramEnd"/>
      <w:r>
        <w:rPr>
          <w:rFonts w:hint="eastAsia"/>
        </w:rPr>
        <w:t>之支給。</w:t>
      </w:r>
    </w:p>
  </w:footnote>
  <w:footnote w:id="64">
    <w:p w:rsidR="00E21655" w:rsidRDefault="00E21655">
      <w:pPr>
        <w:pStyle w:val="aff"/>
      </w:pPr>
      <w:r>
        <w:rPr>
          <w:rStyle w:val="aff1"/>
        </w:rPr>
        <w:footnoteRef/>
      </w:r>
      <w:r>
        <w:rPr>
          <w:rFonts w:hint="eastAsia"/>
        </w:rPr>
        <w:t xml:space="preserve"> </w:t>
      </w:r>
      <w:r>
        <w:rPr>
          <w:rFonts w:hint="eastAsia"/>
        </w:rPr>
        <w:t>行政院</w:t>
      </w:r>
      <w:r>
        <w:rPr>
          <w:rFonts w:hint="eastAsia"/>
        </w:rPr>
        <w:t>106</w:t>
      </w:r>
      <w:r>
        <w:rPr>
          <w:rFonts w:hint="eastAsia"/>
        </w:rPr>
        <w:t>年</w:t>
      </w:r>
      <w:r>
        <w:rPr>
          <w:rFonts w:hint="eastAsia"/>
        </w:rPr>
        <w:t>8</w:t>
      </w:r>
      <w:r>
        <w:rPr>
          <w:rFonts w:hint="eastAsia"/>
        </w:rPr>
        <w:t>月</w:t>
      </w:r>
      <w:r>
        <w:rPr>
          <w:rFonts w:hint="eastAsia"/>
        </w:rPr>
        <w:t>1</w:t>
      </w:r>
      <w:r>
        <w:rPr>
          <w:rFonts w:hint="eastAsia"/>
        </w:rPr>
        <w:t>日</w:t>
      </w:r>
      <w:proofErr w:type="gramStart"/>
      <w:r>
        <w:rPr>
          <w:rFonts w:hint="eastAsia"/>
        </w:rPr>
        <w:t>院授人給字</w:t>
      </w:r>
      <w:proofErr w:type="gramEnd"/>
      <w:r>
        <w:rPr>
          <w:rFonts w:hint="eastAsia"/>
        </w:rPr>
        <w:t>第</w:t>
      </w:r>
      <w:r>
        <w:rPr>
          <w:rFonts w:hint="eastAsia"/>
        </w:rPr>
        <w:t>1060052794</w:t>
      </w:r>
      <w:r>
        <w:rPr>
          <w:rFonts w:hint="eastAsia"/>
        </w:rPr>
        <w:t>號函。</w:t>
      </w:r>
    </w:p>
  </w:footnote>
  <w:footnote w:id="65">
    <w:p w:rsidR="00E21655" w:rsidRPr="00F7234A" w:rsidRDefault="00E21655" w:rsidP="00290668">
      <w:pPr>
        <w:pStyle w:val="aff"/>
        <w:ind w:left="284" w:hanging="284"/>
      </w:pPr>
      <w:r>
        <w:rPr>
          <w:rStyle w:val="aff1"/>
        </w:rPr>
        <w:footnoteRef/>
      </w:r>
      <w:r>
        <w:rPr>
          <w:rFonts w:hint="eastAsia"/>
        </w:rPr>
        <w:t xml:space="preserve"> </w:t>
      </w:r>
      <w:r>
        <w:rPr>
          <w:rFonts w:hint="eastAsia"/>
        </w:rPr>
        <w:t>陳焜元</w:t>
      </w:r>
      <w:r w:rsidRPr="00290668">
        <w:rPr>
          <w:rFonts w:hint="eastAsia"/>
          <w:color w:val="C00000"/>
        </w:rPr>
        <w:t>，</w:t>
      </w:r>
      <w:r w:rsidRPr="00571C03">
        <w:rPr>
          <w:rFonts w:hint="eastAsia"/>
        </w:rPr>
        <w:t>當前政府部門員工待遇管理的策略思維與行動，人事月刊第</w:t>
      </w:r>
      <w:r w:rsidRPr="00571C03">
        <w:rPr>
          <w:rFonts w:hint="eastAsia"/>
        </w:rPr>
        <w:t>354</w:t>
      </w:r>
      <w:r w:rsidRPr="00571C03">
        <w:rPr>
          <w:rFonts w:hint="eastAsia"/>
        </w:rPr>
        <w:t>期，</w:t>
      </w:r>
      <w:r w:rsidRPr="00571C03">
        <w:rPr>
          <w:rFonts w:hint="eastAsia"/>
        </w:rPr>
        <w:t>2015</w:t>
      </w:r>
      <w:r w:rsidRPr="00571C03">
        <w:rPr>
          <w:rFonts w:hint="eastAsia"/>
        </w:rPr>
        <w:t>年</w:t>
      </w:r>
      <w:r w:rsidRPr="00571C03">
        <w:rPr>
          <w:rFonts w:hint="eastAsia"/>
        </w:rPr>
        <w:t>2</w:t>
      </w:r>
      <w:r w:rsidRPr="00571C03">
        <w:rPr>
          <w:rFonts w:hint="eastAsia"/>
        </w:rPr>
        <w:t>月，第</w:t>
      </w:r>
      <w:r w:rsidRPr="00571C03">
        <w:rPr>
          <w:rFonts w:hint="eastAsia"/>
        </w:rPr>
        <w:t>70</w:t>
      </w:r>
      <w:r w:rsidRPr="00571C03">
        <w:rPr>
          <w:rFonts w:hint="eastAsia"/>
        </w:rPr>
        <w:t>頁。</w:t>
      </w:r>
    </w:p>
  </w:footnote>
  <w:footnote w:id="66">
    <w:p w:rsidR="00E21655" w:rsidRDefault="00E21655" w:rsidP="00340978">
      <w:pPr>
        <w:pStyle w:val="aff"/>
        <w:ind w:left="330" w:hangingChars="150" w:hanging="330"/>
        <w:jc w:val="both"/>
      </w:pPr>
      <w:r>
        <w:rPr>
          <w:rStyle w:val="aff1"/>
        </w:rPr>
        <w:footnoteRef/>
      </w:r>
      <w:r>
        <w:rPr>
          <w:rFonts w:hint="eastAsia"/>
        </w:rPr>
        <w:t xml:space="preserve"> </w:t>
      </w:r>
      <w:r w:rsidRPr="000E0B7B">
        <w:rPr>
          <w:rFonts w:hint="eastAsia"/>
        </w:rPr>
        <w:t>財政收支劃分法第</w:t>
      </w:r>
      <w:r w:rsidRPr="000E0B7B">
        <w:rPr>
          <w:rFonts w:hint="eastAsia"/>
        </w:rPr>
        <w:t>37</w:t>
      </w:r>
      <w:r w:rsidRPr="000E0B7B">
        <w:rPr>
          <w:rFonts w:hint="eastAsia"/>
        </w:rPr>
        <w:t>條之</w:t>
      </w:r>
      <w:r w:rsidRPr="000E0B7B">
        <w:rPr>
          <w:rFonts w:hint="eastAsia"/>
        </w:rPr>
        <w:t>1</w:t>
      </w:r>
      <w:r w:rsidRPr="000E0B7B">
        <w:rPr>
          <w:rFonts w:hint="eastAsia"/>
        </w:rPr>
        <w:t>規定，地方政府編制內人員人事費應由其以自有財源收入優先支應，又第</w:t>
      </w:r>
      <w:r w:rsidRPr="000E0B7B">
        <w:rPr>
          <w:rFonts w:hint="eastAsia"/>
        </w:rPr>
        <w:t>38</w:t>
      </w:r>
      <w:r w:rsidRPr="000E0B7B">
        <w:rPr>
          <w:rFonts w:hint="eastAsia"/>
        </w:rPr>
        <w:t>條之</w:t>
      </w:r>
      <w:r w:rsidRPr="000E0B7B">
        <w:rPr>
          <w:rFonts w:hint="eastAsia"/>
        </w:rPr>
        <w:t>1</w:t>
      </w:r>
      <w:r w:rsidRPr="000E0B7B">
        <w:rPr>
          <w:rFonts w:hint="eastAsia"/>
        </w:rPr>
        <w:t>規定，各級政府制（訂）定或修正法律，需增加財政負擔者，應事先籌妥經費或於立法時明文規定相關收入來源。</w:t>
      </w:r>
    </w:p>
  </w:footnote>
  <w:footnote w:id="67">
    <w:p w:rsidR="00E21655" w:rsidRDefault="00E21655" w:rsidP="00340978">
      <w:pPr>
        <w:pStyle w:val="aff"/>
        <w:ind w:left="330" w:hangingChars="150" w:hanging="330"/>
        <w:jc w:val="both"/>
      </w:pPr>
      <w:r>
        <w:rPr>
          <w:rStyle w:val="aff1"/>
        </w:rPr>
        <w:footnoteRef/>
      </w:r>
      <w:r>
        <w:rPr>
          <w:rFonts w:hint="eastAsia"/>
        </w:rPr>
        <w:t xml:space="preserve"> </w:t>
      </w:r>
      <w:r>
        <w:rPr>
          <w:rFonts w:hint="eastAsia"/>
        </w:rPr>
        <w:t>司法院釋字第</w:t>
      </w:r>
      <w:r>
        <w:rPr>
          <w:rFonts w:hint="eastAsia"/>
        </w:rPr>
        <w:t>550</w:t>
      </w:r>
      <w:r>
        <w:rPr>
          <w:rFonts w:hint="eastAsia"/>
        </w:rPr>
        <w:t>號解釋略</w:t>
      </w:r>
      <w:proofErr w:type="gramStart"/>
      <w:r>
        <w:rPr>
          <w:rFonts w:hint="eastAsia"/>
        </w:rPr>
        <w:t>以</w:t>
      </w:r>
      <w:proofErr w:type="gramEnd"/>
      <w:r>
        <w:rPr>
          <w:rFonts w:hint="eastAsia"/>
        </w:rPr>
        <w:t>：法案之實施須由地方負擔經費者，行政主管機關草擬時應與地方政府協商，以避免有片面決策可能造成之不合理情形，並就法案實施所需財源事先妥為規劃。</w:t>
      </w:r>
    </w:p>
  </w:footnote>
  <w:footnote w:id="68">
    <w:p w:rsidR="00E21655" w:rsidRPr="00E027F7" w:rsidRDefault="00E21655" w:rsidP="00294D6C">
      <w:pPr>
        <w:pStyle w:val="aff"/>
        <w:ind w:left="1361" w:hanging="1361"/>
      </w:pPr>
      <w:r>
        <w:rPr>
          <w:rStyle w:val="aff1"/>
        </w:rPr>
        <w:footnoteRef/>
      </w:r>
      <w:r>
        <w:rPr>
          <w:rFonts w:hint="eastAsia"/>
        </w:rPr>
        <w:t xml:space="preserve"> </w:t>
      </w:r>
      <w:r>
        <w:rPr>
          <w:rFonts w:hint="eastAsia"/>
        </w:rPr>
        <w:t>陳敏，</w:t>
      </w:r>
      <w:r w:rsidRPr="00160AD7">
        <w:rPr>
          <w:rFonts w:hint="eastAsia"/>
        </w:rPr>
        <w:t>行政法總論，</w:t>
      </w:r>
      <w:r w:rsidRPr="00160AD7">
        <w:rPr>
          <w:rFonts w:hint="eastAsia"/>
        </w:rPr>
        <w:t>7</w:t>
      </w:r>
      <w:r w:rsidRPr="00160AD7">
        <w:rPr>
          <w:rFonts w:hint="eastAsia"/>
        </w:rPr>
        <w:t>版</w:t>
      </w:r>
      <w:r>
        <w:rPr>
          <w:rFonts w:hint="eastAsia"/>
        </w:rPr>
        <w:t>。</w:t>
      </w:r>
    </w:p>
  </w:footnote>
  <w:footnote w:id="69">
    <w:p w:rsidR="00E21655" w:rsidRPr="00160AD7" w:rsidRDefault="00E21655" w:rsidP="00877242">
      <w:pPr>
        <w:pStyle w:val="aff"/>
        <w:rPr>
          <w:color w:val="1F497D" w:themeColor="text2"/>
        </w:rPr>
      </w:pPr>
      <w:r>
        <w:rPr>
          <w:rStyle w:val="aff1"/>
        </w:rPr>
        <w:footnoteRef/>
      </w:r>
      <w:r>
        <w:rPr>
          <w:rFonts w:hint="eastAsia"/>
        </w:rPr>
        <w:t xml:space="preserve"> </w:t>
      </w:r>
      <w:r>
        <w:rPr>
          <w:rFonts w:hint="eastAsia"/>
        </w:rPr>
        <w:t>陳愛娥，</w:t>
      </w:r>
      <w:r w:rsidRPr="00BD5B0E">
        <w:rPr>
          <w:rFonts w:hint="eastAsia"/>
        </w:rPr>
        <w:t>「軍公教人員俸給以外其他給與法制化型態之研究」，人事行政總處</w:t>
      </w:r>
      <w:proofErr w:type="gramStart"/>
      <w:r>
        <w:rPr>
          <w:rFonts w:hint="eastAsia"/>
        </w:rPr>
        <w:t>102</w:t>
      </w:r>
      <w:proofErr w:type="gramEnd"/>
      <w:r>
        <w:rPr>
          <w:rFonts w:hint="eastAsia"/>
        </w:rPr>
        <w:t>年度</w:t>
      </w:r>
      <w:r w:rsidRPr="00BD5B0E">
        <w:rPr>
          <w:rFonts w:hint="eastAsia"/>
        </w:rPr>
        <w:t>委託研究案，第</w:t>
      </w:r>
      <w:r>
        <w:rPr>
          <w:rFonts w:hint="eastAsia"/>
        </w:rPr>
        <w:t>109</w:t>
      </w:r>
      <w:r w:rsidRPr="00BD5B0E">
        <w:rPr>
          <w:rFonts w:hint="eastAsia"/>
        </w:rPr>
        <w:t>頁。</w:t>
      </w:r>
    </w:p>
  </w:footnote>
  <w:footnote w:id="70">
    <w:p w:rsidR="00E21655" w:rsidRPr="00815FB5" w:rsidRDefault="00E21655" w:rsidP="00DD7D48">
      <w:pPr>
        <w:pStyle w:val="aff"/>
      </w:pPr>
      <w:r>
        <w:rPr>
          <w:rStyle w:val="aff1"/>
        </w:rPr>
        <w:footnoteRef/>
      </w:r>
      <w:r>
        <w:rPr>
          <w:rFonts w:hint="eastAsia"/>
        </w:rPr>
        <w:t xml:space="preserve"> </w:t>
      </w:r>
      <w:r>
        <w:rPr>
          <w:rFonts w:hint="eastAsia"/>
        </w:rPr>
        <w:t>警察人事管理條例第</w:t>
      </w:r>
      <w:r>
        <w:rPr>
          <w:rFonts w:hint="eastAsia"/>
        </w:rPr>
        <w:t>27</w:t>
      </w:r>
      <w:r>
        <w:rPr>
          <w:rFonts w:hint="eastAsia"/>
        </w:rPr>
        <w:t>條後段：「警察人員…</w:t>
      </w:r>
      <w:proofErr w:type="gramStart"/>
      <w:r>
        <w:rPr>
          <w:rFonts w:hint="eastAsia"/>
        </w:rPr>
        <w:t>…</w:t>
      </w:r>
      <w:proofErr w:type="gramEnd"/>
      <w:r>
        <w:rPr>
          <w:rFonts w:hint="eastAsia"/>
        </w:rPr>
        <w:t>各種加給之給與，由行政院定之。」</w:t>
      </w:r>
    </w:p>
  </w:footnote>
  <w:footnote w:id="71">
    <w:p w:rsidR="00E21655" w:rsidRDefault="00E21655" w:rsidP="00294D6C">
      <w:pPr>
        <w:pStyle w:val="aff"/>
        <w:ind w:left="1361" w:hanging="1361"/>
      </w:pPr>
      <w:r>
        <w:rPr>
          <w:rStyle w:val="aff1"/>
        </w:rPr>
        <w:footnoteRef/>
      </w:r>
      <w:r>
        <w:rPr>
          <w:rFonts w:hint="eastAsia"/>
        </w:rPr>
        <w:t xml:space="preserve"> </w:t>
      </w:r>
      <w:r>
        <w:rPr>
          <w:rFonts w:hint="eastAsia"/>
        </w:rPr>
        <w:t>許宗力，中央與地方人事權的分際，月</w:t>
      </w:r>
      <w:proofErr w:type="gramStart"/>
      <w:r>
        <w:rPr>
          <w:rFonts w:hint="eastAsia"/>
        </w:rPr>
        <w:t>旦</w:t>
      </w:r>
      <w:proofErr w:type="gramEnd"/>
      <w:r>
        <w:rPr>
          <w:rFonts w:hint="eastAsia"/>
        </w:rPr>
        <w:t>法學雜誌，第</w:t>
      </w:r>
      <w:r>
        <w:rPr>
          <w:rFonts w:hint="eastAsia"/>
        </w:rPr>
        <w:t>1</w:t>
      </w:r>
      <w:r>
        <w:rPr>
          <w:rFonts w:hint="eastAsia"/>
        </w:rPr>
        <w:t>期，第</w:t>
      </w:r>
      <w:r>
        <w:rPr>
          <w:rFonts w:hint="eastAsia"/>
        </w:rPr>
        <w:t>18</w:t>
      </w:r>
      <w:r>
        <w:rPr>
          <w:rFonts w:hint="eastAsia"/>
        </w:rPr>
        <w:t>頁。</w:t>
      </w:r>
    </w:p>
  </w:footnote>
  <w:footnote w:id="72">
    <w:p w:rsidR="00E21655" w:rsidRPr="00294D6C" w:rsidRDefault="00E21655" w:rsidP="00294D6C">
      <w:pPr>
        <w:pStyle w:val="aff"/>
      </w:pPr>
      <w:r>
        <w:rPr>
          <w:rStyle w:val="aff1"/>
        </w:rPr>
        <w:footnoteRef/>
      </w:r>
      <w:r>
        <w:rPr>
          <w:rFonts w:hint="eastAsia"/>
        </w:rPr>
        <w:t xml:space="preserve"> </w:t>
      </w:r>
      <w:r w:rsidRPr="00294D6C">
        <w:rPr>
          <w:rFonts w:hint="eastAsia"/>
        </w:rPr>
        <w:t>學者有認為加給與薪俸同是公務人員待遇的重要法定內涵，公務人員俸給法第</w:t>
      </w:r>
      <w:r w:rsidRPr="00294D6C">
        <w:rPr>
          <w:rFonts w:hint="eastAsia"/>
        </w:rPr>
        <w:t>1</w:t>
      </w:r>
      <w:r w:rsidRPr="00294D6C">
        <w:rPr>
          <w:rFonts w:hint="eastAsia"/>
        </w:rPr>
        <w:t>條規定：「公務人員之俸給，依</w:t>
      </w:r>
      <w:proofErr w:type="gramStart"/>
      <w:r w:rsidRPr="00294D6C">
        <w:rPr>
          <w:rFonts w:hint="eastAsia"/>
        </w:rPr>
        <w:t>本法行之</w:t>
      </w:r>
      <w:proofErr w:type="gramEnd"/>
      <w:r w:rsidRPr="00294D6C">
        <w:rPr>
          <w:rFonts w:hint="eastAsia"/>
        </w:rPr>
        <w:t>。」未有「本法所未規定者，適用其他法律之規定」，足見俸給法具有基準法之地位。而公務人員之俸給另以法律定之者，僅教育人員及公營事業人員之俸給。「加給給與辦法」屬其子法，卻於第</w:t>
      </w:r>
      <w:r w:rsidRPr="00294D6C">
        <w:rPr>
          <w:rFonts w:hint="eastAsia"/>
        </w:rPr>
        <w:t>2</w:t>
      </w:r>
      <w:r w:rsidRPr="00294D6C">
        <w:rPr>
          <w:rFonts w:hint="eastAsia"/>
        </w:rPr>
        <w:t>條規定：「各機關公務人員加給之給與，除法律另有規定外，依本辦法規定辦理。」致其他法律可任意於條文內，增加涉及公務人員加給之規定，則公務人員俸給法作為法律維持衡平之基準功能，究屬岌岌可危。請參見梁瑞蘭，我國公務人員俸給法制之研究，銘傳大學法律學系碩士論文，第</w:t>
      </w:r>
      <w:r w:rsidRPr="00294D6C">
        <w:rPr>
          <w:rFonts w:hint="eastAsia"/>
        </w:rPr>
        <w:t>123</w:t>
      </w:r>
      <w:r w:rsidRPr="00294D6C">
        <w:rPr>
          <w:rFonts w:hint="eastAsia"/>
        </w:rPr>
        <w:t>頁</w:t>
      </w:r>
      <w:r>
        <w:rPr>
          <w:rFonts w:hint="eastAsia"/>
        </w:rPr>
        <w:t>。</w:t>
      </w:r>
    </w:p>
  </w:footnote>
  <w:footnote w:id="73">
    <w:p w:rsidR="00E21655" w:rsidRDefault="00E21655" w:rsidP="00340978">
      <w:pPr>
        <w:pStyle w:val="aff"/>
        <w:ind w:left="141" w:hangingChars="64" w:hanging="141"/>
      </w:pPr>
      <w:r>
        <w:rPr>
          <w:rStyle w:val="aff1"/>
        </w:rPr>
        <w:footnoteRef/>
      </w:r>
      <w:r>
        <w:t xml:space="preserve"> </w:t>
      </w:r>
      <w:r>
        <w:rPr>
          <w:rFonts w:hint="eastAsia"/>
        </w:rPr>
        <w:t>人事行政總處</w:t>
      </w:r>
      <w:r>
        <w:rPr>
          <w:rFonts w:hint="eastAsia"/>
        </w:rPr>
        <w:t>103</w:t>
      </w:r>
      <w:r>
        <w:rPr>
          <w:rFonts w:hint="eastAsia"/>
        </w:rPr>
        <w:t>年</w:t>
      </w:r>
      <w:r>
        <w:rPr>
          <w:rFonts w:hint="eastAsia"/>
        </w:rPr>
        <w:t>6</w:t>
      </w:r>
      <w:r>
        <w:rPr>
          <w:rFonts w:hint="eastAsia"/>
        </w:rPr>
        <w:t>月</w:t>
      </w:r>
      <w:r>
        <w:rPr>
          <w:rFonts w:hint="eastAsia"/>
        </w:rPr>
        <w:t>27</w:t>
      </w:r>
      <w:r>
        <w:rPr>
          <w:rFonts w:hint="eastAsia"/>
        </w:rPr>
        <w:t>日函送立法院</w:t>
      </w:r>
      <w:r w:rsidRPr="000943E8">
        <w:rPr>
          <w:rFonts w:hint="eastAsia"/>
        </w:rPr>
        <w:t>「各機關學校公教員工地域</w:t>
      </w:r>
      <w:proofErr w:type="gramStart"/>
      <w:r w:rsidRPr="000943E8">
        <w:rPr>
          <w:rFonts w:hint="eastAsia"/>
        </w:rPr>
        <w:t>加給表支給</w:t>
      </w:r>
      <w:proofErr w:type="gramEnd"/>
      <w:r w:rsidRPr="000943E8">
        <w:rPr>
          <w:rFonts w:hint="eastAsia"/>
        </w:rPr>
        <w:t>合理性評估及調整規劃」專案報告</w:t>
      </w:r>
      <w:r>
        <w:rPr>
          <w:rFonts w:ascii="新細明體" w:eastAsia="新細明體" w:hAnsi="新細明體" w:hint="eastAsia"/>
        </w:rPr>
        <w:t>。</w:t>
      </w:r>
    </w:p>
  </w:footnote>
  <w:footnote w:id="74">
    <w:p w:rsidR="00E21655" w:rsidRPr="00EE4AF3" w:rsidRDefault="00E21655" w:rsidP="00846BB6">
      <w:pPr>
        <w:pStyle w:val="aff"/>
      </w:pPr>
      <w:r>
        <w:rPr>
          <w:rStyle w:val="aff1"/>
        </w:rPr>
        <w:footnoteRef/>
      </w:r>
      <w:r>
        <w:t xml:space="preserve"> </w:t>
      </w:r>
      <w:r>
        <w:rPr>
          <w:rFonts w:hint="eastAsia"/>
        </w:rPr>
        <w:t>同上</w:t>
      </w:r>
      <w:proofErr w:type="gramStart"/>
      <w:r>
        <w:rPr>
          <w:rFonts w:hint="eastAsia"/>
        </w:rPr>
        <w:t>註</w:t>
      </w:r>
      <w:proofErr w:type="gramEnd"/>
      <w:r>
        <w:rPr>
          <w:rFonts w:ascii="新細明體" w:eastAsia="新細明體" w:hAnsi="新細明體" w:hint="eastAsia"/>
        </w:rPr>
        <w:t>。</w:t>
      </w:r>
    </w:p>
  </w:footnote>
  <w:footnote w:id="75">
    <w:p w:rsidR="00E21655" w:rsidRPr="00940823" w:rsidRDefault="00E21655" w:rsidP="00846BB6">
      <w:pPr>
        <w:pStyle w:val="aff"/>
        <w:rPr>
          <w:rFonts w:ascii="標楷體" w:hAnsi="標楷體"/>
        </w:rPr>
      </w:pPr>
      <w:r w:rsidRPr="00940823">
        <w:rPr>
          <w:rStyle w:val="aff1"/>
          <w:rFonts w:ascii="標楷體" w:hAnsi="標楷體"/>
        </w:rPr>
        <w:footnoteRef/>
      </w:r>
      <w:r w:rsidRPr="00940823">
        <w:rPr>
          <w:rFonts w:ascii="標楷體" w:hAnsi="標楷體"/>
        </w:rPr>
        <w:t xml:space="preserve"> </w:t>
      </w:r>
      <w:r w:rsidRPr="00940823">
        <w:rPr>
          <w:rFonts w:ascii="標楷體" w:hAnsi="標楷體" w:hint="eastAsia"/>
        </w:rPr>
        <w:t>中時電子報，105年5月31日，「一路之隔</w:t>
      </w:r>
      <w:r>
        <w:rPr>
          <w:rFonts w:ascii="新細明體" w:eastAsia="新細明體" w:hAnsi="新細明體" w:hint="eastAsia"/>
        </w:rPr>
        <w:t>，</w:t>
      </w:r>
      <w:r>
        <w:rPr>
          <w:rFonts w:ascii="標楷體" w:hAnsi="標楷體" w:hint="eastAsia"/>
        </w:rPr>
        <w:t>老師薪水差7千」</w:t>
      </w:r>
      <w:r>
        <w:rPr>
          <w:rFonts w:ascii="新細明體" w:eastAsia="新細明體" w:hAnsi="新細明體" w:hint="eastAsia"/>
        </w:rPr>
        <w:t>。</w:t>
      </w:r>
    </w:p>
  </w:footnote>
  <w:footnote w:id="76">
    <w:p w:rsidR="00E21655" w:rsidRDefault="00E21655" w:rsidP="00340978">
      <w:pPr>
        <w:pStyle w:val="aff"/>
        <w:ind w:left="141" w:hangingChars="64" w:hanging="141"/>
      </w:pPr>
      <w:r>
        <w:rPr>
          <w:rStyle w:val="aff1"/>
        </w:rPr>
        <w:footnoteRef/>
      </w:r>
      <w:r>
        <w:t xml:space="preserve"> </w:t>
      </w:r>
      <w:r>
        <w:rPr>
          <w:rFonts w:hint="eastAsia"/>
        </w:rPr>
        <w:t>依據合理化調整方案</w:t>
      </w:r>
      <w:r>
        <w:rPr>
          <w:rFonts w:ascii="新細明體" w:eastAsia="新細明體" w:hAnsi="新細明體" w:hint="eastAsia"/>
        </w:rPr>
        <w:t>，「</w:t>
      </w:r>
      <w:r>
        <w:rPr>
          <w:rFonts w:hint="eastAsia"/>
        </w:rPr>
        <w:t>臺灣本島地區各項評核指標</w:t>
      </w:r>
      <w:r>
        <w:rPr>
          <w:rFonts w:ascii="標楷體" w:hAnsi="標楷體" w:hint="eastAsia"/>
        </w:rPr>
        <w:t>」計有</w:t>
      </w:r>
      <w:r>
        <w:rPr>
          <w:rFonts w:ascii="新細明體" w:eastAsia="新細明體" w:hAnsi="新細明體" w:hint="eastAsia"/>
        </w:rPr>
        <w:t>「</w:t>
      </w:r>
      <w:r>
        <w:rPr>
          <w:rFonts w:ascii="標楷體" w:hAnsi="標楷體" w:hint="eastAsia"/>
        </w:rPr>
        <w:t>服務處所前3年溫度大於35度</w:t>
      </w:r>
      <w:r>
        <w:rPr>
          <w:rFonts w:ascii="新細明體" w:eastAsia="新細明體" w:hAnsi="新細明體" w:hint="eastAsia"/>
        </w:rPr>
        <w:t>、</w:t>
      </w:r>
      <w:r>
        <w:rPr>
          <w:rFonts w:ascii="標楷體" w:hAnsi="標楷體" w:hint="eastAsia"/>
        </w:rPr>
        <w:t>小於10度合計天數」等23項評核指標</w:t>
      </w:r>
      <w:r>
        <w:rPr>
          <w:rFonts w:ascii="新細明體" w:eastAsia="新細明體" w:hAnsi="新細明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727961"/>
    <w:multiLevelType w:val="hybridMultilevel"/>
    <w:tmpl w:val="41280644"/>
    <w:lvl w:ilvl="0" w:tplc="3552175A">
      <w:start w:val="1"/>
      <w:numFmt w:val="taiwaneseCountingThousand"/>
      <w:lvlText w:val="（%1）"/>
      <w:lvlJc w:val="left"/>
      <w:pPr>
        <w:tabs>
          <w:tab w:val="num" w:pos="720"/>
        </w:tabs>
        <w:ind w:left="720" w:hanging="720"/>
      </w:pPr>
    </w:lvl>
    <w:lvl w:ilvl="1" w:tplc="9C3C1C86">
      <w:start w:val="1"/>
      <w:numFmt w:val="decimal"/>
      <w:lvlText w:val="%2."/>
      <w:lvlJc w:val="left"/>
      <w:pPr>
        <w:tabs>
          <w:tab w:val="num" w:pos="840"/>
        </w:tabs>
        <w:ind w:left="840" w:hanging="36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140E010C"/>
    <w:multiLevelType w:val="multilevel"/>
    <w:tmpl w:val="83A281B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8B7EBD"/>
    <w:multiLevelType w:val="hybridMultilevel"/>
    <w:tmpl w:val="B44C4D8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321D373E"/>
    <w:multiLevelType w:val="hybridMultilevel"/>
    <w:tmpl w:val="6F34A4D0"/>
    <w:lvl w:ilvl="0" w:tplc="5DD65B7A">
      <w:start w:val="1"/>
      <w:numFmt w:val="taiwaneseCountingThousand"/>
      <w:lvlText w:val="%1、"/>
      <w:lvlJc w:val="left"/>
      <w:pPr>
        <w:ind w:left="720" w:hanging="720"/>
      </w:pPr>
      <w:rPr>
        <w:rFonts w:hint="default"/>
        <w:b/>
      </w:rPr>
    </w:lvl>
    <w:lvl w:ilvl="1" w:tplc="C096C4D4">
      <w:start w:val="1"/>
      <w:numFmt w:val="taiwaneseCountingThousand"/>
      <w:lvlText w:val="(%2)"/>
      <w:lvlJc w:val="left"/>
      <w:pPr>
        <w:ind w:left="1200" w:hanging="720"/>
      </w:pPr>
      <w:rPr>
        <w:rFonts w:hint="default"/>
        <w:b w:val="0"/>
      </w:rPr>
    </w:lvl>
    <w:lvl w:ilvl="2" w:tplc="F0B27178">
      <w:start w:val="1"/>
      <w:numFmt w:val="decimal"/>
      <w:lvlText w:val="%3."/>
      <w:lvlJc w:val="left"/>
      <w:pPr>
        <w:ind w:left="1320" w:hanging="360"/>
      </w:pPr>
      <w:rPr>
        <w:rFonts w:ascii="Times New Roman" w:hAnsi="Times New Roman" w:cs="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ED2160"/>
    <w:multiLevelType w:val="hybridMultilevel"/>
    <w:tmpl w:val="CF84A820"/>
    <w:lvl w:ilvl="0" w:tplc="62D88BA8">
      <w:start w:val="1"/>
      <w:numFmt w:val="decimal"/>
      <w:lvlText w:val="表%1、"/>
      <w:lvlJc w:val="left"/>
      <w:pPr>
        <w:ind w:left="2891" w:hanging="480"/>
      </w:pPr>
      <w:rPr>
        <w:rFonts w:ascii="標楷體" w:eastAsia="標楷體" w:hint="eastAsia"/>
        <w:b/>
        <w:i w:val="0"/>
        <w:sz w:val="28"/>
        <w:szCs w:val="28"/>
      </w:rPr>
    </w:lvl>
    <w:lvl w:ilvl="1" w:tplc="04090019" w:tentative="1">
      <w:start w:val="1"/>
      <w:numFmt w:val="ideographTraditional"/>
      <w:lvlText w:val="%2、"/>
      <w:lvlJc w:val="left"/>
      <w:pPr>
        <w:ind w:left="3371" w:hanging="480"/>
      </w:pPr>
    </w:lvl>
    <w:lvl w:ilvl="2" w:tplc="0409001B" w:tentative="1">
      <w:start w:val="1"/>
      <w:numFmt w:val="lowerRoman"/>
      <w:lvlText w:val="%3."/>
      <w:lvlJc w:val="right"/>
      <w:pPr>
        <w:ind w:left="3851" w:hanging="480"/>
      </w:pPr>
    </w:lvl>
    <w:lvl w:ilvl="3" w:tplc="0409000F" w:tentative="1">
      <w:start w:val="1"/>
      <w:numFmt w:val="decimal"/>
      <w:lvlText w:val="%4."/>
      <w:lvlJc w:val="left"/>
      <w:pPr>
        <w:ind w:left="4331" w:hanging="480"/>
      </w:pPr>
    </w:lvl>
    <w:lvl w:ilvl="4" w:tplc="04090019" w:tentative="1">
      <w:start w:val="1"/>
      <w:numFmt w:val="ideographTraditional"/>
      <w:lvlText w:val="%5、"/>
      <w:lvlJc w:val="left"/>
      <w:pPr>
        <w:ind w:left="4811" w:hanging="480"/>
      </w:pPr>
    </w:lvl>
    <w:lvl w:ilvl="5" w:tplc="0409001B" w:tentative="1">
      <w:start w:val="1"/>
      <w:numFmt w:val="lowerRoman"/>
      <w:lvlText w:val="%6."/>
      <w:lvlJc w:val="right"/>
      <w:pPr>
        <w:ind w:left="5291" w:hanging="480"/>
      </w:pPr>
    </w:lvl>
    <w:lvl w:ilvl="6" w:tplc="0409000F" w:tentative="1">
      <w:start w:val="1"/>
      <w:numFmt w:val="decimal"/>
      <w:lvlText w:val="%7."/>
      <w:lvlJc w:val="left"/>
      <w:pPr>
        <w:ind w:left="5771" w:hanging="480"/>
      </w:pPr>
    </w:lvl>
    <w:lvl w:ilvl="7" w:tplc="04090019" w:tentative="1">
      <w:start w:val="1"/>
      <w:numFmt w:val="ideographTraditional"/>
      <w:lvlText w:val="%8、"/>
      <w:lvlJc w:val="left"/>
      <w:pPr>
        <w:ind w:left="6251" w:hanging="480"/>
      </w:pPr>
    </w:lvl>
    <w:lvl w:ilvl="8" w:tplc="0409001B" w:tentative="1">
      <w:start w:val="1"/>
      <w:numFmt w:val="lowerRoman"/>
      <w:lvlText w:val="%9."/>
      <w:lvlJc w:val="right"/>
      <w:pPr>
        <w:ind w:left="6731"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D507695"/>
    <w:multiLevelType w:val="hybridMultilevel"/>
    <w:tmpl w:val="8FE616B8"/>
    <w:lvl w:ilvl="0" w:tplc="EEF274F4">
      <w:start w:val="1"/>
      <w:numFmt w:val="taiwaneseCountingThousand"/>
      <w:lvlText w:val="（%1）"/>
      <w:lvlJc w:val="left"/>
      <w:pPr>
        <w:tabs>
          <w:tab w:val="num" w:pos="720"/>
        </w:tabs>
        <w:ind w:left="720" w:hanging="720"/>
      </w:pPr>
    </w:lvl>
    <w:lvl w:ilvl="1" w:tplc="01067E46">
      <w:start w:val="1"/>
      <w:numFmt w:val="decimal"/>
      <w:lvlText w:val="%2."/>
      <w:lvlJc w:val="left"/>
      <w:pPr>
        <w:tabs>
          <w:tab w:val="num" w:pos="840"/>
        </w:tabs>
        <w:ind w:left="840" w:hanging="36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2"/>
  </w:num>
  <w:num w:numId="2">
    <w:abstractNumId w:val="3"/>
  </w:num>
  <w:num w:numId="3">
    <w:abstractNumId w:val="0"/>
  </w:num>
  <w:num w:numId="4">
    <w:abstractNumId w:val="9"/>
  </w:num>
  <w:num w:numId="5">
    <w:abstractNumId w:val="7"/>
  </w:num>
  <w:num w:numId="6">
    <w:abstractNumId w:val="10"/>
  </w:num>
  <w:num w:numId="7">
    <w:abstractNumId w:val="11"/>
  </w:num>
  <w:num w:numId="8">
    <w:abstractNumId w:val="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6"/>
  </w:num>
  <w:num w:numId="28">
    <w:abstractNumId w:val="9"/>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737"/>
    <w:rsid w:val="000007B4"/>
    <w:rsid w:val="00002FBE"/>
    <w:rsid w:val="00003682"/>
    <w:rsid w:val="00006961"/>
    <w:rsid w:val="00007F20"/>
    <w:rsid w:val="000112BF"/>
    <w:rsid w:val="00012233"/>
    <w:rsid w:val="00012BC2"/>
    <w:rsid w:val="00013F27"/>
    <w:rsid w:val="00017318"/>
    <w:rsid w:val="00020F83"/>
    <w:rsid w:val="0002256A"/>
    <w:rsid w:val="000246F7"/>
    <w:rsid w:val="0003114D"/>
    <w:rsid w:val="00036D76"/>
    <w:rsid w:val="0004096D"/>
    <w:rsid w:val="00053C85"/>
    <w:rsid w:val="00057F32"/>
    <w:rsid w:val="00062A25"/>
    <w:rsid w:val="00071717"/>
    <w:rsid w:val="00073CB5"/>
    <w:rsid w:val="0007425C"/>
    <w:rsid w:val="00076BBF"/>
    <w:rsid w:val="00077553"/>
    <w:rsid w:val="00081BEC"/>
    <w:rsid w:val="000851A2"/>
    <w:rsid w:val="0009352E"/>
    <w:rsid w:val="000939C9"/>
    <w:rsid w:val="00096B96"/>
    <w:rsid w:val="00096BCE"/>
    <w:rsid w:val="000A29B5"/>
    <w:rsid w:val="000A2A3B"/>
    <w:rsid w:val="000A2F3F"/>
    <w:rsid w:val="000A4A9D"/>
    <w:rsid w:val="000A70DB"/>
    <w:rsid w:val="000B0B4A"/>
    <w:rsid w:val="000B279A"/>
    <w:rsid w:val="000B61D2"/>
    <w:rsid w:val="000B70A7"/>
    <w:rsid w:val="000B73DD"/>
    <w:rsid w:val="000C37F2"/>
    <w:rsid w:val="000C495F"/>
    <w:rsid w:val="000C6976"/>
    <w:rsid w:val="000D6A6B"/>
    <w:rsid w:val="000E0DD1"/>
    <w:rsid w:val="000E6431"/>
    <w:rsid w:val="000F21A5"/>
    <w:rsid w:val="000F609E"/>
    <w:rsid w:val="00102B9F"/>
    <w:rsid w:val="00112637"/>
    <w:rsid w:val="00112ABC"/>
    <w:rsid w:val="0012001E"/>
    <w:rsid w:val="00126A55"/>
    <w:rsid w:val="00126FDC"/>
    <w:rsid w:val="0013025B"/>
    <w:rsid w:val="00133F08"/>
    <w:rsid w:val="001345E6"/>
    <w:rsid w:val="001378B0"/>
    <w:rsid w:val="00140D8F"/>
    <w:rsid w:val="00141490"/>
    <w:rsid w:val="00142E00"/>
    <w:rsid w:val="00144449"/>
    <w:rsid w:val="00144D56"/>
    <w:rsid w:val="00152793"/>
    <w:rsid w:val="00153B7E"/>
    <w:rsid w:val="001545A9"/>
    <w:rsid w:val="001561AB"/>
    <w:rsid w:val="00160AD7"/>
    <w:rsid w:val="001637C7"/>
    <w:rsid w:val="0016480E"/>
    <w:rsid w:val="00164947"/>
    <w:rsid w:val="00174297"/>
    <w:rsid w:val="001777FE"/>
    <w:rsid w:val="00180E06"/>
    <w:rsid w:val="001817B3"/>
    <w:rsid w:val="00183014"/>
    <w:rsid w:val="00190A71"/>
    <w:rsid w:val="00194D0E"/>
    <w:rsid w:val="001959C2"/>
    <w:rsid w:val="001A380D"/>
    <w:rsid w:val="001A403D"/>
    <w:rsid w:val="001A43C5"/>
    <w:rsid w:val="001A51E3"/>
    <w:rsid w:val="001A7968"/>
    <w:rsid w:val="001B2E98"/>
    <w:rsid w:val="001B3483"/>
    <w:rsid w:val="001B3C1E"/>
    <w:rsid w:val="001B4494"/>
    <w:rsid w:val="001C0D8B"/>
    <w:rsid w:val="001C0DA8"/>
    <w:rsid w:val="001C2CAB"/>
    <w:rsid w:val="001D1A37"/>
    <w:rsid w:val="001D244B"/>
    <w:rsid w:val="001D4AD7"/>
    <w:rsid w:val="001D6133"/>
    <w:rsid w:val="001E0928"/>
    <w:rsid w:val="001E0D8A"/>
    <w:rsid w:val="001E66AB"/>
    <w:rsid w:val="001E67BA"/>
    <w:rsid w:val="001E74C2"/>
    <w:rsid w:val="001F4F82"/>
    <w:rsid w:val="001F5A48"/>
    <w:rsid w:val="001F6260"/>
    <w:rsid w:val="00200007"/>
    <w:rsid w:val="002006FF"/>
    <w:rsid w:val="002030A5"/>
    <w:rsid w:val="00203131"/>
    <w:rsid w:val="002069FE"/>
    <w:rsid w:val="00211105"/>
    <w:rsid w:val="00212E88"/>
    <w:rsid w:val="00213C9C"/>
    <w:rsid w:val="00214C80"/>
    <w:rsid w:val="0022009E"/>
    <w:rsid w:val="00221EC7"/>
    <w:rsid w:val="0022311D"/>
    <w:rsid w:val="00223241"/>
    <w:rsid w:val="0022425C"/>
    <w:rsid w:val="002246DE"/>
    <w:rsid w:val="002306B0"/>
    <w:rsid w:val="00234872"/>
    <w:rsid w:val="00240AD5"/>
    <w:rsid w:val="00252BC4"/>
    <w:rsid w:val="00254014"/>
    <w:rsid w:val="00254B39"/>
    <w:rsid w:val="00255941"/>
    <w:rsid w:val="00261F98"/>
    <w:rsid w:val="0026504D"/>
    <w:rsid w:val="00267336"/>
    <w:rsid w:val="0027362D"/>
    <w:rsid w:val="00273A2F"/>
    <w:rsid w:val="00280986"/>
    <w:rsid w:val="00281ECE"/>
    <w:rsid w:val="002831C7"/>
    <w:rsid w:val="002840C6"/>
    <w:rsid w:val="00284D1B"/>
    <w:rsid w:val="00290236"/>
    <w:rsid w:val="00290668"/>
    <w:rsid w:val="002917AC"/>
    <w:rsid w:val="00292E44"/>
    <w:rsid w:val="00294D6C"/>
    <w:rsid w:val="00295139"/>
    <w:rsid w:val="00295174"/>
    <w:rsid w:val="00296172"/>
    <w:rsid w:val="00296B92"/>
    <w:rsid w:val="002A079E"/>
    <w:rsid w:val="002A2062"/>
    <w:rsid w:val="002A21BE"/>
    <w:rsid w:val="002A26DB"/>
    <w:rsid w:val="002A2C22"/>
    <w:rsid w:val="002B02EB"/>
    <w:rsid w:val="002C0602"/>
    <w:rsid w:val="002C0CC4"/>
    <w:rsid w:val="002C4707"/>
    <w:rsid w:val="002C6314"/>
    <w:rsid w:val="002C6AF6"/>
    <w:rsid w:val="002C761D"/>
    <w:rsid w:val="002D3857"/>
    <w:rsid w:val="002D5C16"/>
    <w:rsid w:val="002E6137"/>
    <w:rsid w:val="002F09CB"/>
    <w:rsid w:val="002F2476"/>
    <w:rsid w:val="002F3773"/>
    <w:rsid w:val="002F3D1F"/>
    <w:rsid w:val="002F3DFF"/>
    <w:rsid w:val="002F5E05"/>
    <w:rsid w:val="0030016F"/>
    <w:rsid w:val="00300480"/>
    <w:rsid w:val="00307A76"/>
    <w:rsid w:val="00315A16"/>
    <w:rsid w:val="00317053"/>
    <w:rsid w:val="0032109C"/>
    <w:rsid w:val="00322B45"/>
    <w:rsid w:val="00323809"/>
    <w:rsid w:val="00323D41"/>
    <w:rsid w:val="00325414"/>
    <w:rsid w:val="00330170"/>
    <w:rsid w:val="003302F1"/>
    <w:rsid w:val="0033048C"/>
    <w:rsid w:val="00340978"/>
    <w:rsid w:val="0034470E"/>
    <w:rsid w:val="00352DB0"/>
    <w:rsid w:val="00360684"/>
    <w:rsid w:val="00361063"/>
    <w:rsid w:val="00362109"/>
    <w:rsid w:val="00362213"/>
    <w:rsid w:val="0036678E"/>
    <w:rsid w:val="0037094A"/>
    <w:rsid w:val="00371ED3"/>
    <w:rsid w:val="00372FFC"/>
    <w:rsid w:val="00373F4B"/>
    <w:rsid w:val="00374E29"/>
    <w:rsid w:val="00376978"/>
    <w:rsid w:val="0037728A"/>
    <w:rsid w:val="00380B7D"/>
    <w:rsid w:val="00381A99"/>
    <w:rsid w:val="003829C2"/>
    <w:rsid w:val="003830B2"/>
    <w:rsid w:val="00384724"/>
    <w:rsid w:val="003919B7"/>
    <w:rsid w:val="00391D57"/>
    <w:rsid w:val="00392292"/>
    <w:rsid w:val="00392644"/>
    <w:rsid w:val="00394F45"/>
    <w:rsid w:val="00396017"/>
    <w:rsid w:val="003972C1"/>
    <w:rsid w:val="003A21E0"/>
    <w:rsid w:val="003A23A4"/>
    <w:rsid w:val="003A5927"/>
    <w:rsid w:val="003A7B16"/>
    <w:rsid w:val="003B1017"/>
    <w:rsid w:val="003B1019"/>
    <w:rsid w:val="003B3222"/>
    <w:rsid w:val="003B3C07"/>
    <w:rsid w:val="003B5263"/>
    <w:rsid w:val="003B6081"/>
    <w:rsid w:val="003B6775"/>
    <w:rsid w:val="003C291F"/>
    <w:rsid w:val="003C5FE2"/>
    <w:rsid w:val="003C78E7"/>
    <w:rsid w:val="003D05FB"/>
    <w:rsid w:val="003D1B16"/>
    <w:rsid w:val="003D45BF"/>
    <w:rsid w:val="003D508A"/>
    <w:rsid w:val="003D537F"/>
    <w:rsid w:val="003D7B75"/>
    <w:rsid w:val="003E0208"/>
    <w:rsid w:val="003E0FC3"/>
    <w:rsid w:val="003E24C9"/>
    <w:rsid w:val="003E4B57"/>
    <w:rsid w:val="003F27E1"/>
    <w:rsid w:val="003F437A"/>
    <w:rsid w:val="003F5C2B"/>
    <w:rsid w:val="00402240"/>
    <w:rsid w:val="004023E9"/>
    <w:rsid w:val="0040454A"/>
    <w:rsid w:val="00406B9A"/>
    <w:rsid w:val="00413F83"/>
    <w:rsid w:val="0041490C"/>
    <w:rsid w:val="0041599D"/>
    <w:rsid w:val="00416191"/>
    <w:rsid w:val="00416408"/>
    <w:rsid w:val="00416721"/>
    <w:rsid w:val="0042001A"/>
    <w:rsid w:val="00421EF0"/>
    <w:rsid w:val="004224FA"/>
    <w:rsid w:val="00423D07"/>
    <w:rsid w:val="00427936"/>
    <w:rsid w:val="00427DC6"/>
    <w:rsid w:val="00430D0F"/>
    <w:rsid w:val="004320F0"/>
    <w:rsid w:val="00435937"/>
    <w:rsid w:val="00443346"/>
    <w:rsid w:val="0044346F"/>
    <w:rsid w:val="004468C2"/>
    <w:rsid w:val="0044726D"/>
    <w:rsid w:val="00453FF6"/>
    <w:rsid w:val="00456924"/>
    <w:rsid w:val="00462870"/>
    <w:rsid w:val="0046520A"/>
    <w:rsid w:val="004672AB"/>
    <w:rsid w:val="004714FE"/>
    <w:rsid w:val="00474560"/>
    <w:rsid w:val="00475815"/>
    <w:rsid w:val="004759C3"/>
    <w:rsid w:val="00475A74"/>
    <w:rsid w:val="00477BAA"/>
    <w:rsid w:val="004867B1"/>
    <w:rsid w:val="004902FD"/>
    <w:rsid w:val="00495053"/>
    <w:rsid w:val="00495B2E"/>
    <w:rsid w:val="004A1F59"/>
    <w:rsid w:val="004A2353"/>
    <w:rsid w:val="004A29BE"/>
    <w:rsid w:val="004A3225"/>
    <w:rsid w:val="004A33EE"/>
    <w:rsid w:val="004A3AA8"/>
    <w:rsid w:val="004B13C7"/>
    <w:rsid w:val="004B47FE"/>
    <w:rsid w:val="004B5E94"/>
    <w:rsid w:val="004B778F"/>
    <w:rsid w:val="004B79D9"/>
    <w:rsid w:val="004C0609"/>
    <w:rsid w:val="004C7CB9"/>
    <w:rsid w:val="004D11CE"/>
    <w:rsid w:val="004D141F"/>
    <w:rsid w:val="004D2742"/>
    <w:rsid w:val="004D6310"/>
    <w:rsid w:val="004D6382"/>
    <w:rsid w:val="004D66B8"/>
    <w:rsid w:val="004D7625"/>
    <w:rsid w:val="004E0062"/>
    <w:rsid w:val="004E05A1"/>
    <w:rsid w:val="004E15FC"/>
    <w:rsid w:val="004E517A"/>
    <w:rsid w:val="004F1E99"/>
    <w:rsid w:val="004F472A"/>
    <w:rsid w:val="004F4EB3"/>
    <w:rsid w:val="004F5E57"/>
    <w:rsid w:val="004F6710"/>
    <w:rsid w:val="004F6E8E"/>
    <w:rsid w:val="00500C3E"/>
    <w:rsid w:val="00502849"/>
    <w:rsid w:val="00504334"/>
    <w:rsid w:val="0050498D"/>
    <w:rsid w:val="005104D7"/>
    <w:rsid w:val="00510B9E"/>
    <w:rsid w:val="005117EF"/>
    <w:rsid w:val="00532DBF"/>
    <w:rsid w:val="00536BC2"/>
    <w:rsid w:val="00540BE2"/>
    <w:rsid w:val="005425E1"/>
    <w:rsid w:val="0054268F"/>
    <w:rsid w:val="005427C5"/>
    <w:rsid w:val="00542CF6"/>
    <w:rsid w:val="00545DAA"/>
    <w:rsid w:val="00551ABA"/>
    <w:rsid w:val="00553C03"/>
    <w:rsid w:val="00561438"/>
    <w:rsid w:val="00563692"/>
    <w:rsid w:val="00571679"/>
    <w:rsid w:val="00571C03"/>
    <w:rsid w:val="00581AEC"/>
    <w:rsid w:val="00582B19"/>
    <w:rsid w:val="005844E7"/>
    <w:rsid w:val="00584756"/>
    <w:rsid w:val="00585534"/>
    <w:rsid w:val="0058603F"/>
    <w:rsid w:val="005908B8"/>
    <w:rsid w:val="0059304B"/>
    <w:rsid w:val="0059512E"/>
    <w:rsid w:val="005A17C1"/>
    <w:rsid w:val="005A5AB5"/>
    <w:rsid w:val="005A5C4E"/>
    <w:rsid w:val="005A6DD2"/>
    <w:rsid w:val="005B18B2"/>
    <w:rsid w:val="005B1C41"/>
    <w:rsid w:val="005B1EFB"/>
    <w:rsid w:val="005C385D"/>
    <w:rsid w:val="005C6E79"/>
    <w:rsid w:val="005C70D3"/>
    <w:rsid w:val="005D3B20"/>
    <w:rsid w:val="005E4759"/>
    <w:rsid w:val="005E5C68"/>
    <w:rsid w:val="005E65C0"/>
    <w:rsid w:val="005E7BBB"/>
    <w:rsid w:val="005F0390"/>
    <w:rsid w:val="005F4B28"/>
    <w:rsid w:val="00601777"/>
    <w:rsid w:val="006072CD"/>
    <w:rsid w:val="00612023"/>
    <w:rsid w:val="00612F73"/>
    <w:rsid w:val="00614190"/>
    <w:rsid w:val="00622A99"/>
    <w:rsid w:val="00622E67"/>
    <w:rsid w:val="00626B57"/>
    <w:rsid w:val="00626EDC"/>
    <w:rsid w:val="00630C87"/>
    <w:rsid w:val="0064608B"/>
    <w:rsid w:val="006470EC"/>
    <w:rsid w:val="006511B2"/>
    <w:rsid w:val="006542D6"/>
    <w:rsid w:val="0065598E"/>
    <w:rsid w:val="00655AF2"/>
    <w:rsid w:val="00655BC5"/>
    <w:rsid w:val="006568BE"/>
    <w:rsid w:val="0066025D"/>
    <w:rsid w:val="0066091A"/>
    <w:rsid w:val="006773EC"/>
    <w:rsid w:val="00680504"/>
    <w:rsid w:val="00681CD9"/>
    <w:rsid w:val="00683E30"/>
    <w:rsid w:val="00687024"/>
    <w:rsid w:val="00694C3D"/>
    <w:rsid w:val="00695E22"/>
    <w:rsid w:val="006A67F3"/>
    <w:rsid w:val="006B7093"/>
    <w:rsid w:val="006B7417"/>
    <w:rsid w:val="006C0FB2"/>
    <w:rsid w:val="006C2B97"/>
    <w:rsid w:val="006C491C"/>
    <w:rsid w:val="006C7083"/>
    <w:rsid w:val="006D3691"/>
    <w:rsid w:val="006D4C4D"/>
    <w:rsid w:val="006E559B"/>
    <w:rsid w:val="006E5EF0"/>
    <w:rsid w:val="006E741D"/>
    <w:rsid w:val="006F3563"/>
    <w:rsid w:val="006F42B9"/>
    <w:rsid w:val="006F6103"/>
    <w:rsid w:val="006F7D18"/>
    <w:rsid w:val="0070109D"/>
    <w:rsid w:val="00703592"/>
    <w:rsid w:val="00704062"/>
    <w:rsid w:val="00704E00"/>
    <w:rsid w:val="00705E33"/>
    <w:rsid w:val="007209E7"/>
    <w:rsid w:val="00722FC9"/>
    <w:rsid w:val="00726182"/>
    <w:rsid w:val="00727635"/>
    <w:rsid w:val="00732329"/>
    <w:rsid w:val="007337CA"/>
    <w:rsid w:val="00734CE4"/>
    <w:rsid w:val="00735123"/>
    <w:rsid w:val="00741360"/>
    <w:rsid w:val="00741837"/>
    <w:rsid w:val="007453E6"/>
    <w:rsid w:val="00746E78"/>
    <w:rsid w:val="00752BD8"/>
    <w:rsid w:val="0075332F"/>
    <w:rsid w:val="007565DF"/>
    <w:rsid w:val="00760D97"/>
    <w:rsid w:val="0077309D"/>
    <w:rsid w:val="007774EE"/>
    <w:rsid w:val="00781822"/>
    <w:rsid w:val="00783373"/>
    <w:rsid w:val="007837C4"/>
    <w:rsid w:val="00783F21"/>
    <w:rsid w:val="00786DA6"/>
    <w:rsid w:val="00787159"/>
    <w:rsid w:val="0079043A"/>
    <w:rsid w:val="00791668"/>
    <w:rsid w:val="00791AA1"/>
    <w:rsid w:val="00794554"/>
    <w:rsid w:val="00795B09"/>
    <w:rsid w:val="007A3793"/>
    <w:rsid w:val="007A6CDA"/>
    <w:rsid w:val="007B04EA"/>
    <w:rsid w:val="007B3608"/>
    <w:rsid w:val="007B3F32"/>
    <w:rsid w:val="007C1BA2"/>
    <w:rsid w:val="007C2B48"/>
    <w:rsid w:val="007C597F"/>
    <w:rsid w:val="007D1402"/>
    <w:rsid w:val="007D20E9"/>
    <w:rsid w:val="007D53C6"/>
    <w:rsid w:val="007D7881"/>
    <w:rsid w:val="007D7E3A"/>
    <w:rsid w:val="007E0E10"/>
    <w:rsid w:val="007E11FC"/>
    <w:rsid w:val="007E1B09"/>
    <w:rsid w:val="007E27F2"/>
    <w:rsid w:val="007E4768"/>
    <w:rsid w:val="007E4B41"/>
    <w:rsid w:val="007E777B"/>
    <w:rsid w:val="007F2070"/>
    <w:rsid w:val="007F20D6"/>
    <w:rsid w:val="007F2DBE"/>
    <w:rsid w:val="007F355D"/>
    <w:rsid w:val="007F63C1"/>
    <w:rsid w:val="007F679E"/>
    <w:rsid w:val="0080199D"/>
    <w:rsid w:val="00801B60"/>
    <w:rsid w:val="008053F5"/>
    <w:rsid w:val="00807AF7"/>
    <w:rsid w:val="00810198"/>
    <w:rsid w:val="00813AE3"/>
    <w:rsid w:val="0081549F"/>
    <w:rsid w:val="00815DA8"/>
    <w:rsid w:val="0082194D"/>
    <w:rsid w:val="008221F9"/>
    <w:rsid w:val="00822AB1"/>
    <w:rsid w:val="00825B6B"/>
    <w:rsid w:val="00826EF5"/>
    <w:rsid w:val="00831693"/>
    <w:rsid w:val="00840104"/>
    <w:rsid w:val="00840C1F"/>
    <w:rsid w:val="008411C9"/>
    <w:rsid w:val="00841FC5"/>
    <w:rsid w:val="00845709"/>
    <w:rsid w:val="00846BB6"/>
    <w:rsid w:val="008539F8"/>
    <w:rsid w:val="008576BD"/>
    <w:rsid w:val="00860463"/>
    <w:rsid w:val="0086287E"/>
    <w:rsid w:val="00863D17"/>
    <w:rsid w:val="008733DA"/>
    <w:rsid w:val="00877242"/>
    <w:rsid w:val="008850E4"/>
    <w:rsid w:val="0088743E"/>
    <w:rsid w:val="008939AB"/>
    <w:rsid w:val="008947DA"/>
    <w:rsid w:val="008951B4"/>
    <w:rsid w:val="008A12F5"/>
    <w:rsid w:val="008A539B"/>
    <w:rsid w:val="008B1587"/>
    <w:rsid w:val="008B1B01"/>
    <w:rsid w:val="008B3BCD"/>
    <w:rsid w:val="008B6DF8"/>
    <w:rsid w:val="008C106C"/>
    <w:rsid w:val="008C10F1"/>
    <w:rsid w:val="008C1926"/>
    <w:rsid w:val="008C1E99"/>
    <w:rsid w:val="008C42ED"/>
    <w:rsid w:val="008C5453"/>
    <w:rsid w:val="008C58EF"/>
    <w:rsid w:val="008C714B"/>
    <w:rsid w:val="008D46F2"/>
    <w:rsid w:val="008E0085"/>
    <w:rsid w:val="008E2AA6"/>
    <w:rsid w:val="008E311B"/>
    <w:rsid w:val="008E64E7"/>
    <w:rsid w:val="008F46E7"/>
    <w:rsid w:val="008F6F0B"/>
    <w:rsid w:val="0090049F"/>
    <w:rsid w:val="00904D6B"/>
    <w:rsid w:val="00906566"/>
    <w:rsid w:val="00907BA7"/>
    <w:rsid w:val="0091064E"/>
    <w:rsid w:val="00911FC5"/>
    <w:rsid w:val="00915A60"/>
    <w:rsid w:val="0091700F"/>
    <w:rsid w:val="00921197"/>
    <w:rsid w:val="009318E9"/>
    <w:rsid w:val="00931A10"/>
    <w:rsid w:val="00937DF9"/>
    <w:rsid w:val="0094458B"/>
    <w:rsid w:val="0094751D"/>
    <w:rsid w:val="00947967"/>
    <w:rsid w:val="009479B8"/>
    <w:rsid w:val="00955201"/>
    <w:rsid w:val="00961526"/>
    <w:rsid w:val="00965200"/>
    <w:rsid w:val="009657E2"/>
    <w:rsid w:val="009668B3"/>
    <w:rsid w:val="00971471"/>
    <w:rsid w:val="00974FCB"/>
    <w:rsid w:val="009772F8"/>
    <w:rsid w:val="00984780"/>
    <w:rsid w:val="009849C2"/>
    <w:rsid w:val="00984D24"/>
    <w:rsid w:val="009858EB"/>
    <w:rsid w:val="00986549"/>
    <w:rsid w:val="00986A31"/>
    <w:rsid w:val="00991E4F"/>
    <w:rsid w:val="00993EC7"/>
    <w:rsid w:val="009A3F47"/>
    <w:rsid w:val="009A4E3D"/>
    <w:rsid w:val="009B0046"/>
    <w:rsid w:val="009B1421"/>
    <w:rsid w:val="009B498E"/>
    <w:rsid w:val="009C1440"/>
    <w:rsid w:val="009C2107"/>
    <w:rsid w:val="009C2F25"/>
    <w:rsid w:val="009C4C6F"/>
    <w:rsid w:val="009C5D9E"/>
    <w:rsid w:val="009C70E0"/>
    <w:rsid w:val="009C7CE7"/>
    <w:rsid w:val="009D2C3E"/>
    <w:rsid w:val="009D4562"/>
    <w:rsid w:val="009D4CD5"/>
    <w:rsid w:val="009E0625"/>
    <w:rsid w:val="009E3034"/>
    <w:rsid w:val="009E549F"/>
    <w:rsid w:val="009F28A8"/>
    <w:rsid w:val="009F473E"/>
    <w:rsid w:val="009F4E2F"/>
    <w:rsid w:val="009F682A"/>
    <w:rsid w:val="00A007E5"/>
    <w:rsid w:val="00A0228F"/>
    <w:rsid w:val="00A022BE"/>
    <w:rsid w:val="00A02422"/>
    <w:rsid w:val="00A06E9E"/>
    <w:rsid w:val="00A07B4B"/>
    <w:rsid w:val="00A10E25"/>
    <w:rsid w:val="00A1325F"/>
    <w:rsid w:val="00A1493A"/>
    <w:rsid w:val="00A15F66"/>
    <w:rsid w:val="00A24C95"/>
    <w:rsid w:val="00A25990"/>
    <w:rsid w:val="00A2599A"/>
    <w:rsid w:val="00A26094"/>
    <w:rsid w:val="00A301BF"/>
    <w:rsid w:val="00A302B2"/>
    <w:rsid w:val="00A331B4"/>
    <w:rsid w:val="00A33D22"/>
    <w:rsid w:val="00A3484E"/>
    <w:rsid w:val="00A356D3"/>
    <w:rsid w:val="00A36ADA"/>
    <w:rsid w:val="00A41709"/>
    <w:rsid w:val="00A438D8"/>
    <w:rsid w:val="00A4468A"/>
    <w:rsid w:val="00A473F5"/>
    <w:rsid w:val="00A5190D"/>
    <w:rsid w:val="00A51F9D"/>
    <w:rsid w:val="00A5416A"/>
    <w:rsid w:val="00A56410"/>
    <w:rsid w:val="00A604C4"/>
    <w:rsid w:val="00A62F29"/>
    <w:rsid w:val="00A639F4"/>
    <w:rsid w:val="00A64383"/>
    <w:rsid w:val="00A669D6"/>
    <w:rsid w:val="00A744C8"/>
    <w:rsid w:val="00A74996"/>
    <w:rsid w:val="00A81A32"/>
    <w:rsid w:val="00A835BD"/>
    <w:rsid w:val="00A83F45"/>
    <w:rsid w:val="00A859D2"/>
    <w:rsid w:val="00A908D6"/>
    <w:rsid w:val="00A92686"/>
    <w:rsid w:val="00A92A99"/>
    <w:rsid w:val="00A92EA7"/>
    <w:rsid w:val="00A97B15"/>
    <w:rsid w:val="00AA42D5"/>
    <w:rsid w:val="00AA6043"/>
    <w:rsid w:val="00AB0710"/>
    <w:rsid w:val="00AB2C75"/>
    <w:rsid w:val="00AB2FAB"/>
    <w:rsid w:val="00AB4CEB"/>
    <w:rsid w:val="00AB5C14"/>
    <w:rsid w:val="00AB6C60"/>
    <w:rsid w:val="00AC1EE7"/>
    <w:rsid w:val="00AC333F"/>
    <w:rsid w:val="00AC585C"/>
    <w:rsid w:val="00AC644F"/>
    <w:rsid w:val="00AC744C"/>
    <w:rsid w:val="00AD1925"/>
    <w:rsid w:val="00AD4A67"/>
    <w:rsid w:val="00AD67E0"/>
    <w:rsid w:val="00AE067D"/>
    <w:rsid w:val="00AE1E5E"/>
    <w:rsid w:val="00AF00E5"/>
    <w:rsid w:val="00AF077D"/>
    <w:rsid w:val="00AF1181"/>
    <w:rsid w:val="00AF2F79"/>
    <w:rsid w:val="00AF3230"/>
    <w:rsid w:val="00AF4653"/>
    <w:rsid w:val="00AF7DB7"/>
    <w:rsid w:val="00B106C4"/>
    <w:rsid w:val="00B10D02"/>
    <w:rsid w:val="00B201E2"/>
    <w:rsid w:val="00B22AB1"/>
    <w:rsid w:val="00B2649E"/>
    <w:rsid w:val="00B33BC7"/>
    <w:rsid w:val="00B37C9D"/>
    <w:rsid w:val="00B443E4"/>
    <w:rsid w:val="00B5028F"/>
    <w:rsid w:val="00B5484D"/>
    <w:rsid w:val="00B563EA"/>
    <w:rsid w:val="00B56CDF"/>
    <w:rsid w:val="00B60E51"/>
    <w:rsid w:val="00B63A54"/>
    <w:rsid w:val="00B77D18"/>
    <w:rsid w:val="00B77FF7"/>
    <w:rsid w:val="00B8313A"/>
    <w:rsid w:val="00B933F8"/>
    <w:rsid w:val="00B93503"/>
    <w:rsid w:val="00B97593"/>
    <w:rsid w:val="00BA31E8"/>
    <w:rsid w:val="00BA55E0"/>
    <w:rsid w:val="00BA6BD4"/>
    <w:rsid w:val="00BA6C7A"/>
    <w:rsid w:val="00BB0EED"/>
    <w:rsid w:val="00BB17D1"/>
    <w:rsid w:val="00BB3092"/>
    <w:rsid w:val="00BB3752"/>
    <w:rsid w:val="00BB6688"/>
    <w:rsid w:val="00BC26D4"/>
    <w:rsid w:val="00BC3C34"/>
    <w:rsid w:val="00BC5E08"/>
    <w:rsid w:val="00BD5B0E"/>
    <w:rsid w:val="00BE0C80"/>
    <w:rsid w:val="00BF0D41"/>
    <w:rsid w:val="00BF2420"/>
    <w:rsid w:val="00BF2A42"/>
    <w:rsid w:val="00BF505C"/>
    <w:rsid w:val="00C01ACC"/>
    <w:rsid w:val="00C03D8C"/>
    <w:rsid w:val="00C055EC"/>
    <w:rsid w:val="00C10DC9"/>
    <w:rsid w:val="00C11DDA"/>
    <w:rsid w:val="00C12FB3"/>
    <w:rsid w:val="00C138E4"/>
    <w:rsid w:val="00C15595"/>
    <w:rsid w:val="00C17341"/>
    <w:rsid w:val="00C24EEF"/>
    <w:rsid w:val="00C25CF6"/>
    <w:rsid w:val="00C25D90"/>
    <w:rsid w:val="00C26C36"/>
    <w:rsid w:val="00C32768"/>
    <w:rsid w:val="00C431DF"/>
    <w:rsid w:val="00C43840"/>
    <w:rsid w:val="00C456BD"/>
    <w:rsid w:val="00C47DA6"/>
    <w:rsid w:val="00C5014F"/>
    <w:rsid w:val="00C530DC"/>
    <w:rsid w:val="00C5350D"/>
    <w:rsid w:val="00C6123C"/>
    <w:rsid w:val="00C6311A"/>
    <w:rsid w:val="00C672D8"/>
    <w:rsid w:val="00C7084D"/>
    <w:rsid w:val="00C7315E"/>
    <w:rsid w:val="00C73E92"/>
    <w:rsid w:val="00C75895"/>
    <w:rsid w:val="00C81BF8"/>
    <w:rsid w:val="00C83C9F"/>
    <w:rsid w:val="00C83F32"/>
    <w:rsid w:val="00C868AB"/>
    <w:rsid w:val="00C93CA9"/>
    <w:rsid w:val="00C94840"/>
    <w:rsid w:val="00CA4DEB"/>
    <w:rsid w:val="00CA4EE3"/>
    <w:rsid w:val="00CA70AA"/>
    <w:rsid w:val="00CB027F"/>
    <w:rsid w:val="00CB040D"/>
    <w:rsid w:val="00CB175F"/>
    <w:rsid w:val="00CB49F6"/>
    <w:rsid w:val="00CC0EBB"/>
    <w:rsid w:val="00CC6297"/>
    <w:rsid w:val="00CC7690"/>
    <w:rsid w:val="00CD1986"/>
    <w:rsid w:val="00CD38DF"/>
    <w:rsid w:val="00CD54BF"/>
    <w:rsid w:val="00CD6AE3"/>
    <w:rsid w:val="00CE0589"/>
    <w:rsid w:val="00CE05BA"/>
    <w:rsid w:val="00CE3E85"/>
    <w:rsid w:val="00CE4D5C"/>
    <w:rsid w:val="00CF05DA"/>
    <w:rsid w:val="00CF31D6"/>
    <w:rsid w:val="00CF58EB"/>
    <w:rsid w:val="00CF6CB5"/>
    <w:rsid w:val="00CF6FEC"/>
    <w:rsid w:val="00D0106E"/>
    <w:rsid w:val="00D04FD9"/>
    <w:rsid w:val="00D06383"/>
    <w:rsid w:val="00D11412"/>
    <w:rsid w:val="00D20E85"/>
    <w:rsid w:val="00D24615"/>
    <w:rsid w:val="00D31C1B"/>
    <w:rsid w:val="00D31F9F"/>
    <w:rsid w:val="00D37842"/>
    <w:rsid w:val="00D42DC2"/>
    <w:rsid w:val="00D4302B"/>
    <w:rsid w:val="00D45575"/>
    <w:rsid w:val="00D516FE"/>
    <w:rsid w:val="00D537E1"/>
    <w:rsid w:val="00D55111"/>
    <w:rsid w:val="00D55BB2"/>
    <w:rsid w:val="00D608E2"/>
    <w:rsid w:val="00D6091A"/>
    <w:rsid w:val="00D6605A"/>
    <w:rsid w:val="00D6695F"/>
    <w:rsid w:val="00D74FCA"/>
    <w:rsid w:val="00D75644"/>
    <w:rsid w:val="00D81656"/>
    <w:rsid w:val="00D83D87"/>
    <w:rsid w:val="00D84A6D"/>
    <w:rsid w:val="00D86A30"/>
    <w:rsid w:val="00D9437C"/>
    <w:rsid w:val="00D965A8"/>
    <w:rsid w:val="00D97CB4"/>
    <w:rsid w:val="00D97DD4"/>
    <w:rsid w:val="00DA17E8"/>
    <w:rsid w:val="00DA5A8A"/>
    <w:rsid w:val="00DB1170"/>
    <w:rsid w:val="00DB26CD"/>
    <w:rsid w:val="00DB3FDE"/>
    <w:rsid w:val="00DB441C"/>
    <w:rsid w:val="00DB44AF"/>
    <w:rsid w:val="00DB476C"/>
    <w:rsid w:val="00DC1F58"/>
    <w:rsid w:val="00DC339B"/>
    <w:rsid w:val="00DC5D40"/>
    <w:rsid w:val="00DC69A7"/>
    <w:rsid w:val="00DC7BCC"/>
    <w:rsid w:val="00DD30E9"/>
    <w:rsid w:val="00DD4F47"/>
    <w:rsid w:val="00DD59EE"/>
    <w:rsid w:val="00DD7D48"/>
    <w:rsid w:val="00DD7FBB"/>
    <w:rsid w:val="00DE0B9F"/>
    <w:rsid w:val="00DE2A9E"/>
    <w:rsid w:val="00DE4238"/>
    <w:rsid w:val="00DE657F"/>
    <w:rsid w:val="00DF05CE"/>
    <w:rsid w:val="00DF1218"/>
    <w:rsid w:val="00DF1352"/>
    <w:rsid w:val="00DF2581"/>
    <w:rsid w:val="00DF4758"/>
    <w:rsid w:val="00DF6462"/>
    <w:rsid w:val="00E02FA0"/>
    <w:rsid w:val="00E036DC"/>
    <w:rsid w:val="00E10454"/>
    <w:rsid w:val="00E112E5"/>
    <w:rsid w:val="00E122D8"/>
    <w:rsid w:val="00E12CC8"/>
    <w:rsid w:val="00E15352"/>
    <w:rsid w:val="00E17C72"/>
    <w:rsid w:val="00E21655"/>
    <w:rsid w:val="00E21CC7"/>
    <w:rsid w:val="00E23A6D"/>
    <w:rsid w:val="00E23C2C"/>
    <w:rsid w:val="00E24D9E"/>
    <w:rsid w:val="00E25849"/>
    <w:rsid w:val="00E3107A"/>
    <w:rsid w:val="00E3197E"/>
    <w:rsid w:val="00E33253"/>
    <w:rsid w:val="00E342F8"/>
    <w:rsid w:val="00E34C8C"/>
    <w:rsid w:val="00E351ED"/>
    <w:rsid w:val="00E35AC4"/>
    <w:rsid w:val="00E53667"/>
    <w:rsid w:val="00E6034B"/>
    <w:rsid w:val="00E6549E"/>
    <w:rsid w:val="00E65EDE"/>
    <w:rsid w:val="00E70F81"/>
    <w:rsid w:val="00E75A90"/>
    <w:rsid w:val="00E764C4"/>
    <w:rsid w:val="00E76804"/>
    <w:rsid w:val="00E77055"/>
    <w:rsid w:val="00E77460"/>
    <w:rsid w:val="00E83ABC"/>
    <w:rsid w:val="00E844F2"/>
    <w:rsid w:val="00E86A2A"/>
    <w:rsid w:val="00E86D84"/>
    <w:rsid w:val="00E90AD0"/>
    <w:rsid w:val="00E91A68"/>
    <w:rsid w:val="00E92FCB"/>
    <w:rsid w:val="00EA147F"/>
    <w:rsid w:val="00EA4A27"/>
    <w:rsid w:val="00EA4FA6"/>
    <w:rsid w:val="00EB1A25"/>
    <w:rsid w:val="00EB3BF8"/>
    <w:rsid w:val="00EB5F39"/>
    <w:rsid w:val="00EB612A"/>
    <w:rsid w:val="00EC7363"/>
    <w:rsid w:val="00ED03AB"/>
    <w:rsid w:val="00ED0A7F"/>
    <w:rsid w:val="00ED1963"/>
    <w:rsid w:val="00ED1CD4"/>
    <w:rsid w:val="00ED1D2B"/>
    <w:rsid w:val="00ED64B5"/>
    <w:rsid w:val="00EE1222"/>
    <w:rsid w:val="00EE1A26"/>
    <w:rsid w:val="00EE7CCA"/>
    <w:rsid w:val="00EF7B0E"/>
    <w:rsid w:val="00F04EEA"/>
    <w:rsid w:val="00F07D3F"/>
    <w:rsid w:val="00F1158A"/>
    <w:rsid w:val="00F14553"/>
    <w:rsid w:val="00F16A14"/>
    <w:rsid w:val="00F222D8"/>
    <w:rsid w:val="00F24F68"/>
    <w:rsid w:val="00F32C5D"/>
    <w:rsid w:val="00F33A13"/>
    <w:rsid w:val="00F362D7"/>
    <w:rsid w:val="00F3640A"/>
    <w:rsid w:val="00F37D7B"/>
    <w:rsid w:val="00F5314C"/>
    <w:rsid w:val="00F564A3"/>
    <w:rsid w:val="00F5688C"/>
    <w:rsid w:val="00F60048"/>
    <w:rsid w:val="00F635DD"/>
    <w:rsid w:val="00F6627B"/>
    <w:rsid w:val="00F66B98"/>
    <w:rsid w:val="00F7245E"/>
    <w:rsid w:val="00F7336E"/>
    <w:rsid w:val="00F734F2"/>
    <w:rsid w:val="00F75052"/>
    <w:rsid w:val="00F804D3"/>
    <w:rsid w:val="00F816CB"/>
    <w:rsid w:val="00F81CD2"/>
    <w:rsid w:val="00F82120"/>
    <w:rsid w:val="00F82641"/>
    <w:rsid w:val="00F90F18"/>
    <w:rsid w:val="00F937E4"/>
    <w:rsid w:val="00F95EE7"/>
    <w:rsid w:val="00F9798B"/>
    <w:rsid w:val="00FA3461"/>
    <w:rsid w:val="00FA39E6"/>
    <w:rsid w:val="00FA7BC9"/>
    <w:rsid w:val="00FB2586"/>
    <w:rsid w:val="00FB378E"/>
    <w:rsid w:val="00FB37F1"/>
    <w:rsid w:val="00FB47C0"/>
    <w:rsid w:val="00FB501B"/>
    <w:rsid w:val="00FB7770"/>
    <w:rsid w:val="00FC524F"/>
    <w:rsid w:val="00FC60B0"/>
    <w:rsid w:val="00FD2AB5"/>
    <w:rsid w:val="00FD3B91"/>
    <w:rsid w:val="00FD576B"/>
    <w:rsid w:val="00FD579E"/>
    <w:rsid w:val="00FD6845"/>
    <w:rsid w:val="00FE4516"/>
    <w:rsid w:val="00FE5CE7"/>
    <w:rsid w:val="00FE64C8"/>
    <w:rsid w:val="00FF0036"/>
    <w:rsid w:val="00FF220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B1E72F5-1E99-4341-BD89-58C0C50F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1"/>
      </w:numPr>
      <w:outlineLvl w:val="0"/>
    </w:pPr>
    <w:rPr>
      <w:rFonts w:hAnsi="Arial"/>
      <w:bCs/>
      <w:kern w:val="32"/>
      <w:szCs w:val="52"/>
    </w:rPr>
  </w:style>
  <w:style w:type="paragraph" w:styleId="2">
    <w:name w:val="heading 2"/>
    <w:basedOn w:val="a6"/>
    <w:link w:val="20"/>
    <w:qFormat/>
    <w:rsid w:val="004F5E57"/>
    <w:pPr>
      <w:numPr>
        <w:ilvl w:val="1"/>
        <w:numId w:val="1"/>
      </w:numPr>
      <w:outlineLvl w:val="1"/>
    </w:pPr>
    <w:rPr>
      <w:rFonts w:hAnsi="Arial"/>
      <w:bCs/>
      <w:kern w:val="32"/>
      <w:szCs w:val="48"/>
    </w:rPr>
  </w:style>
  <w:style w:type="paragraph" w:styleId="3">
    <w:name w:val="heading 3"/>
    <w:basedOn w:val="a6"/>
    <w:link w:val="30"/>
    <w:qFormat/>
    <w:rsid w:val="004F5E57"/>
    <w:pPr>
      <w:numPr>
        <w:ilvl w:val="2"/>
        <w:numId w:val="1"/>
      </w:numPr>
      <w:outlineLvl w:val="2"/>
    </w:pPr>
    <w:rPr>
      <w:rFonts w:hAnsi="Arial"/>
      <w:bCs/>
      <w:kern w:val="32"/>
      <w:szCs w:val="36"/>
    </w:rPr>
  </w:style>
  <w:style w:type="paragraph" w:styleId="4">
    <w:name w:val="heading 4"/>
    <w:basedOn w:val="a6"/>
    <w:link w:val="40"/>
    <w:qFormat/>
    <w:rsid w:val="004F5E57"/>
    <w:pPr>
      <w:numPr>
        <w:ilvl w:val="3"/>
        <w:numId w:val="1"/>
      </w:numPr>
      <w:outlineLvl w:val="3"/>
    </w:pPr>
    <w:rPr>
      <w:rFonts w:hAnsi="Arial"/>
      <w:kern w:val="32"/>
      <w:szCs w:val="36"/>
    </w:rPr>
  </w:style>
  <w:style w:type="paragraph" w:styleId="5">
    <w:name w:val="heading 5"/>
    <w:basedOn w:val="a6"/>
    <w:qFormat/>
    <w:rsid w:val="004F5E57"/>
    <w:pPr>
      <w:numPr>
        <w:ilvl w:val="4"/>
        <w:numId w:val="1"/>
      </w:numPr>
      <w:outlineLvl w:val="4"/>
    </w:pPr>
    <w:rPr>
      <w:rFonts w:hAnsi="Arial"/>
      <w:bCs/>
      <w:kern w:val="32"/>
      <w:szCs w:val="36"/>
    </w:rPr>
  </w:style>
  <w:style w:type="paragraph" w:styleId="6">
    <w:name w:val="heading 6"/>
    <w:basedOn w:val="a6"/>
    <w:qFormat/>
    <w:rsid w:val="004F5E57"/>
    <w:pPr>
      <w:numPr>
        <w:ilvl w:val="5"/>
        <w:numId w:val="1"/>
      </w:numPr>
      <w:tabs>
        <w:tab w:val="left" w:pos="2094"/>
      </w:tabs>
      <w:outlineLvl w:val="5"/>
    </w:pPr>
    <w:rPr>
      <w:rFonts w:hAnsi="Arial"/>
      <w:kern w:val="32"/>
      <w:szCs w:val="36"/>
    </w:rPr>
  </w:style>
  <w:style w:type="paragraph" w:styleId="7">
    <w:name w:val="heading 7"/>
    <w:basedOn w:val="a6"/>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link w:val="af6"/>
    <w:qFormat/>
    <w:rsid w:val="00FF220B"/>
    <w:pPr>
      <w:keepNext/>
      <w:widowControl w:val="0"/>
      <w:numPr>
        <w:numId w:val="4"/>
      </w:numPr>
      <w:kinsoku w:val="0"/>
      <w:overflowPunct w:val="0"/>
      <w:autoSpaceDE w:val="0"/>
      <w:autoSpaceDN w:val="0"/>
      <w:adjustRightInd w:val="0"/>
      <w:snapToGrid w:val="0"/>
      <w:spacing w:before="240" w:after="40" w:line="360" w:lineRule="exact"/>
      <w:jc w:val="center"/>
      <w:textAlignment w:val="baseline"/>
    </w:pPr>
    <w:rPr>
      <w:rFonts w:ascii="標楷體" w:eastAsia="標楷體" w:hAnsi="華康楷書體W5(P)"/>
      <w:bCs/>
      <w:spacing w:val="-10"/>
      <w:kern w:val="28"/>
      <w:sz w:val="28"/>
      <w:szCs w:val="28"/>
    </w:rPr>
  </w:style>
  <w:style w:type="paragraph" w:customStyle="1" w:styleId="af7">
    <w:name w:val="資料來源"/>
    <w:basedOn w:val="a6"/>
    <w:link w:val="af8"/>
    <w:qFormat/>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Plain Text"/>
    <w:basedOn w:val="a6"/>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4F472A"/>
    <w:rPr>
      <w:rFonts w:ascii="Calibri" w:eastAsia="標楷體" w:hAnsi="Courier New" w:cs="Courier New"/>
      <w:color w:val="244061" w:themeColor="accent1" w:themeShade="80"/>
      <w:sz w:val="28"/>
      <w:szCs w:val="24"/>
    </w:rPr>
  </w:style>
  <w:style w:type="paragraph" w:styleId="aff">
    <w:name w:val="footnote text"/>
    <w:basedOn w:val="a6"/>
    <w:link w:val="aff0"/>
    <w:uiPriority w:val="99"/>
    <w:unhideWhenUsed/>
    <w:rsid w:val="00DD7D48"/>
    <w:pPr>
      <w:overflowPunct/>
      <w:autoSpaceDE/>
      <w:autoSpaceDN/>
      <w:snapToGrid w:val="0"/>
      <w:jc w:val="left"/>
    </w:pPr>
    <w:rPr>
      <w:rFonts w:ascii="Times New Roman"/>
      <w:sz w:val="20"/>
    </w:rPr>
  </w:style>
  <w:style w:type="character" w:customStyle="1" w:styleId="aff0">
    <w:name w:val="註腳文字 字元"/>
    <w:basedOn w:val="a7"/>
    <w:link w:val="aff"/>
    <w:uiPriority w:val="99"/>
    <w:rsid w:val="00DD7D48"/>
    <w:rPr>
      <w:rFonts w:eastAsia="標楷體"/>
      <w:kern w:val="2"/>
    </w:rPr>
  </w:style>
  <w:style w:type="character" w:styleId="aff1">
    <w:name w:val="footnote reference"/>
    <w:uiPriority w:val="99"/>
    <w:semiHidden/>
    <w:unhideWhenUsed/>
    <w:rsid w:val="004E15FC"/>
    <w:rPr>
      <w:vertAlign w:val="superscript"/>
    </w:rPr>
  </w:style>
  <w:style w:type="character" w:customStyle="1" w:styleId="30">
    <w:name w:val="標題 3 字元"/>
    <w:basedOn w:val="a7"/>
    <w:link w:val="3"/>
    <w:uiPriority w:val="9"/>
    <w:rsid w:val="004E15FC"/>
    <w:rPr>
      <w:rFonts w:ascii="標楷體" w:eastAsia="標楷體" w:hAnsi="Arial"/>
      <w:bCs/>
      <w:kern w:val="32"/>
      <w:sz w:val="32"/>
      <w:szCs w:val="36"/>
    </w:rPr>
  </w:style>
  <w:style w:type="character" w:customStyle="1" w:styleId="40">
    <w:name w:val="標題 4 字元"/>
    <w:basedOn w:val="a7"/>
    <w:link w:val="4"/>
    <w:rsid w:val="004E15FC"/>
    <w:rPr>
      <w:rFonts w:ascii="標楷體" w:eastAsia="標楷體" w:hAnsi="Arial"/>
      <w:kern w:val="32"/>
      <w:sz w:val="32"/>
      <w:szCs w:val="36"/>
    </w:rPr>
  </w:style>
  <w:style w:type="paragraph" w:styleId="aff2">
    <w:name w:val="caption"/>
    <w:basedOn w:val="a6"/>
    <w:next w:val="a6"/>
    <w:uiPriority w:val="35"/>
    <w:unhideWhenUsed/>
    <w:qFormat/>
    <w:rsid w:val="00A859D2"/>
    <w:pPr>
      <w:overflowPunct/>
      <w:autoSpaceDE/>
      <w:autoSpaceDN/>
      <w:jc w:val="left"/>
    </w:pPr>
    <w:rPr>
      <w:rFonts w:ascii="Times New Roman"/>
      <w:sz w:val="20"/>
    </w:rPr>
  </w:style>
  <w:style w:type="paragraph" w:customStyle="1" w:styleId="aff3">
    <w:name w:val="表樣式"/>
    <w:basedOn w:val="a6"/>
    <w:next w:val="a6"/>
    <w:rsid w:val="00294D6C"/>
    <w:pPr>
      <w:tabs>
        <w:tab w:val="num" w:pos="1440"/>
      </w:tabs>
      <w:overflowPunct/>
      <w:autoSpaceDE/>
      <w:autoSpaceDN/>
      <w:ind w:left="695" w:hanging="695"/>
    </w:pPr>
    <w:rPr>
      <w:kern w:val="0"/>
    </w:rPr>
  </w:style>
  <w:style w:type="paragraph" w:customStyle="1" w:styleId="aff4">
    <w:name w:val="圖樣式"/>
    <w:basedOn w:val="a6"/>
    <w:next w:val="a6"/>
    <w:rsid w:val="00294D6C"/>
    <w:pPr>
      <w:overflowPunct/>
      <w:autoSpaceDE/>
      <w:autoSpaceDN/>
      <w:ind w:left="400" w:hangingChars="400" w:hanging="400"/>
    </w:pPr>
  </w:style>
  <w:style w:type="table" w:customStyle="1" w:styleId="13">
    <w:name w:val="表格格線1"/>
    <w:basedOn w:val="a8"/>
    <w:next w:val="af9"/>
    <w:uiPriority w:val="59"/>
    <w:rsid w:val="00294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link w:val="2"/>
    <w:uiPriority w:val="9"/>
    <w:rsid w:val="00294D6C"/>
    <w:rPr>
      <w:rFonts w:ascii="標楷體" w:eastAsia="標楷體" w:hAnsi="Arial"/>
      <w:bCs/>
      <w:kern w:val="32"/>
      <w:sz w:val="32"/>
      <w:szCs w:val="48"/>
    </w:rPr>
  </w:style>
  <w:style w:type="character" w:customStyle="1" w:styleId="af6">
    <w:name w:val="表標題 字元"/>
    <w:basedOn w:val="a7"/>
    <w:link w:val="a3"/>
    <w:rsid w:val="00FF220B"/>
    <w:rPr>
      <w:rFonts w:ascii="標楷體" w:eastAsia="標楷體" w:hAnsi="華康楷書體W5(P)"/>
      <w:bCs/>
      <w:spacing w:val="-10"/>
      <w:kern w:val="28"/>
      <w:sz w:val="28"/>
      <w:szCs w:val="28"/>
    </w:rPr>
  </w:style>
  <w:style w:type="character" w:customStyle="1" w:styleId="af8">
    <w:name w:val="資料來源 字元"/>
    <w:basedOn w:val="a7"/>
    <w:link w:val="af7"/>
    <w:rsid w:val="0013025B"/>
    <w:rPr>
      <w:rFonts w:ascii="標楷體" w:eastAsia="標楷體"/>
      <w:spacing w:val="-10"/>
      <w:sz w:val="28"/>
      <w:szCs w:val="22"/>
    </w:rPr>
  </w:style>
  <w:style w:type="paragraph" w:customStyle="1" w:styleId="15">
    <w:name w:val="1"/>
    <w:basedOn w:val="a6"/>
    <w:link w:val="16"/>
    <w:rsid w:val="00E53667"/>
    <w:pPr>
      <w:overflowPunct/>
      <w:autoSpaceDE/>
      <w:autoSpaceDN/>
      <w:spacing w:line="500" w:lineRule="exact"/>
    </w:pPr>
    <w:rPr>
      <w:rFonts w:ascii="Times New Roman"/>
      <w:szCs w:val="36"/>
    </w:rPr>
  </w:style>
  <w:style w:type="character" w:customStyle="1" w:styleId="16">
    <w:name w:val="1 字元"/>
    <w:link w:val="15"/>
    <w:rsid w:val="00E53667"/>
    <w:rPr>
      <w:rFonts w:eastAsia="標楷體"/>
      <w:kern w:val="2"/>
      <w:sz w:val="32"/>
      <w:szCs w:val="36"/>
    </w:rPr>
  </w:style>
  <w:style w:type="character" w:customStyle="1" w:styleId="af4">
    <w:name w:val="頁尾 字元"/>
    <w:basedOn w:val="a7"/>
    <w:link w:val="af3"/>
    <w:uiPriority w:val="99"/>
    <w:rsid w:val="009318E9"/>
    <w:rPr>
      <w:rFonts w:ascii="標楷體" w:eastAsia="標楷體"/>
      <w:kern w:val="2"/>
    </w:rPr>
  </w:style>
  <w:style w:type="character" w:styleId="aff5">
    <w:name w:val="annotation reference"/>
    <w:basedOn w:val="a7"/>
    <w:uiPriority w:val="99"/>
    <w:semiHidden/>
    <w:unhideWhenUsed/>
    <w:rsid w:val="00825B6B"/>
    <w:rPr>
      <w:sz w:val="18"/>
      <w:szCs w:val="18"/>
    </w:rPr>
  </w:style>
  <w:style w:type="paragraph" w:styleId="aff6">
    <w:name w:val="annotation text"/>
    <w:basedOn w:val="a6"/>
    <w:link w:val="aff7"/>
    <w:uiPriority w:val="99"/>
    <w:semiHidden/>
    <w:unhideWhenUsed/>
    <w:rsid w:val="00825B6B"/>
    <w:pPr>
      <w:jc w:val="left"/>
    </w:pPr>
  </w:style>
  <w:style w:type="character" w:customStyle="1" w:styleId="aff7">
    <w:name w:val="註解文字 字元"/>
    <w:basedOn w:val="a7"/>
    <w:link w:val="aff6"/>
    <w:uiPriority w:val="99"/>
    <w:semiHidden/>
    <w:rsid w:val="00825B6B"/>
    <w:rPr>
      <w:rFonts w:ascii="標楷體" w:eastAsia="標楷體"/>
      <w:kern w:val="2"/>
      <w:sz w:val="32"/>
    </w:rPr>
  </w:style>
  <w:style w:type="paragraph" w:styleId="aff8">
    <w:name w:val="annotation subject"/>
    <w:basedOn w:val="aff6"/>
    <w:next w:val="aff6"/>
    <w:link w:val="aff9"/>
    <w:uiPriority w:val="99"/>
    <w:semiHidden/>
    <w:unhideWhenUsed/>
    <w:rsid w:val="00825B6B"/>
    <w:rPr>
      <w:b/>
      <w:bCs/>
    </w:rPr>
  </w:style>
  <w:style w:type="character" w:customStyle="1" w:styleId="aff9">
    <w:name w:val="註解主旨 字元"/>
    <w:basedOn w:val="aff7"/>
    <w:link w:val="aff8"/>
    <w:uiPriority w:val="99"/>
    <w:semiHidden/>
    <w:rsid w:val="00825B6B"/>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0324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668441367">
      <w:bodyDiv w:val="1"/>
      <w:marLeft w:val="0"/>
      <w:marRight w:val="0"/>
      <w:marTop w:val="0"/>
      <w:marBottom w:val="0"/>
      <w:divBdr>
        <w:top w:val="none" w:sz="0" w:space="0" w:color="auto"/>
        <w:left w:val="none" w:sz="0" w:space="0" w:color="auto"/>
        <w:bottom w:val="none" w:sz="0" w:space="0" w:color="auto"/>
        <w:right w:val="none" w:sz="0" w:space="0" w:color="auto"/>
      </w:divBdr>
    </w:div>
    <w:div w:id="1765758922">
      <w:bodyDiv w:val="1"/>
      <w:marLeft w:val="0"/>
      <w:marRight w:val="0"/>
      <w:marTop w:val="0"/>
      <w:marBottom w:val="0"/>
      <w:divBdr>
        <w:top w:val="none" w:sz="0" w:space="0" w:color="auto"/>
        <w:left w:val="none" w:sz="0" w:space="0" w:color="auto"/>
        <w:bottom w:val="none" w:sz="0" w:space="0" w:color="auto"/>
        <w:right w:val="none" w:sz="0" w:space="0" w:color="auto"/>
      </w:divBdr>
    </w:div>
    <w:div w:id="189237556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0.w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976078249734357"/>
          <c:y val="9.3639802377643966E-2"/>
          <c:w val="0.62456447701822737"/>
          <c:h val="0.77350470897020218"/>
        </c:manualLayout>
      </c:layout>
      <c:lineChart>
        <c:grouping val="standard"/>
        <c:varyColors val="0"/>
        <c:ser>
          <c:idx val="0"/>
          <c:order val="0"/>
          <c:tx>
            <c:strRef>
              <c:f>工作表1!$B$2</c:f>
              <c:strCache>
                <c:ptCount val="1"/>
                <c:pt idx="0">
                  <c:v>臺北市</c:v>
                </c:pt>
              </c:strCache>
            </c:strRef>
          </c:tx>
          <c:cat>
            <c:strRef>
              <c:f>工作表1!$A$3:$A$9</c:f>
              <c:strCache>
                <c:ptCount val="7"/>
                <c:pt idx="0">
                  <c:v>100年</c:v>
                </c:pt>
                <c:pt idx="1">
                  <c:v>101年</c:v>
                </c:pt>
                <c:pt idx="2">
                  <c:v>102年</c:v>
                </c:pt>
                <c:pt idx="3">
                  <c:v>103年</c:v>
                </c:pt>
                <c:pt idx="4">
                  <c:v>104年</c:v>
                </c:pt>
                <c:pt idx="5">
                  <c:v>105年</c:v>
                </c:pt>
                <c:pt idx="6">
                  <c:v>106年</c:v>
                </c:pt>
              </c:strCache>
            </c:strRef>
          </c:cat>
          <c:val>
            <c:numRef>
              <c:f>工作表1!$B$3:$B$9</c:f>
              <c:numCache>
                <c:formatCode>General</c:formatCode>
                <c:ptCount val="7"/>
                <c:pt idx="0">
                  <c:v>6.1000000000000013E-2</c:v>
                </c:pt>
                <c:pt idx="1">
                  <c:v>-7.0000000000000062E-3</c:v>
                </c:pt>
                <c:pt idx="2">
                  <c:v>-6.0000000000000062E-3</c:v>
                </c:pt>
                <c:pt idx="3">
                  <c:v>-5.1999999999999998E-2</c:v>
                </c:pt>
                <c:pt idx="4">
                  <c:v>-0.21300000000000016</c:v>
                </c:pt>
                <c:pt idx="5">
                  <c:v>-0.26300000000000001</c:v>
                </c:pt>
                <c:pt idx="6">
                  <c:v>-0.33500000000000046</c:v>
                </c:pt>
              </c:numCache>
            </c:numRef>
          </c:val>
          <c:smooth val="0"/>
        </c:ser>
        <c:ser>
          <c:idx val="1"/>
          <c:order val="1"/>
          <c:tx>
            <c:strRef>
              <c:f>工作表1!$C$2</c:f>
              <c:strCache>
                <c:ptCount val="1"/>
                <c:pt idx="0">
                  <c:v>新北市</c:v>
                </c:pt>
              </c:strCache>
            </c:strRef>
          </c:tx>
          <c:cat>
            <c:strRef>
              <c:f>工作表1!$A$3:$A$9</c:f>
              <c:strCache>
                <c:ptCount val="7"/>
                <c:pt idx="0">
                  <c:v>100年</c:v>
                </c:pt>
                <c:pt idx="1">
                  <c:v>101年</c:v>
                </c:pt>
                <c:pt idx="2">
                  <c:v>102年</c:v>
                </c:pt>
                <c:pt idx="3">
                  <c:v>103年</c:v>
                </c:pt>
                <c:pt idx="4">
                  <c:v>104年</c:v>
                </c:pt>
                <c:pt idx="5">
                  <c:v>105年</c:v>
                </c:pt>
                <c:pt idx="6">
                  <c:v>106年</c:v>
                </c:pt>
              </c:strCache>
            </c:strRef>
          </c:cat>
          <c:val>
            <c:numRef>
              <c:f>工作表1!$C$3:$C$9</c:f>
              <c:numCache>
                <c:formatCode>General</c:formatCode>
                <c:ptCount val="7"/>
                <c:pt idx="0">
                  <c:v>-0.505</c:v>
                </c:pt>
                <c:pt idx="1">
                  <c:v>-0.56899999999999995</c:v>
                </c:pt>
                <c:pt idx="2">
                  <c:v>-0.41600000000000031</c:v>
                </c:pt>
                <c:pt idx="3">
                  <c:v>-0.42700000000000032</c:v>
                </c:pt>
                <c:pt idx="4">
                  <c:v>-0.33700000000000047</c:v>
                </c:pt>
                <c:pt idx="5">
                  <c:v>-0.45</c:v>
                </c:pt>
                <c:pt idx="6">
                  <c:v>-0.48000000000000032</c:v>
                </c:pt>
              </c:numCache>
            </c:numRef>
          </c:val>
          <c:smooth val="0"/>
        </c:ser>
        <c:ser>
          <c:idx val="2"/>
          <c:order val="2"/>
          <c:tx>
            <c:strRef>
              <c:f>工作表1!$D$2</c:f>
              <c:strCache>
                <c:ptCount val="1"/>
                <c:pt idx="0">
                  <c:v>桃園市</c:v>
                </c:pt>
              </c:strCache>
            </c:strRef>
          </c:tx>
          <c:cat>
            <c:strRef>
              <c:f>工作表1!$A$3:$A$9</c:f>
              <c:strCache>
                <c:ptCount val="7"/>
                <c:pt idx="0">
                  <c:v>100年</c:v>
                </c:pt>
                <c:pt idx="1">
                  <c:v>101年</c:v>
                </c:pt>
                <c:pt idx="2">
                  <c:v>102年</c:v>
                </c:pt>
                <c:pt idx="3">
                  <c:v>103年</c:v>
                </c:pt>
                <c:pt idx="4">
                  <c:v>104年</c:v>
                </c:pt>
                <c:pt idx="5">
                  <c:v>105年</c:v>
                </c:pt>
                <c:pt idx="6">
                  <c:v>106年</c:v>
                </c:pt>
              </c:strCache>
            </c:strRef>
          </c:cat>
          <c:val>
            <c:numRef>
              <c:f>工作表1!$D$3:$D$9</c:f>
              <c:numCache>
                <c:formatCode>General</c:formatCode>
                <c:ptCount val="7"/>
                <c:pt idx="0">
                  <c:v>2.7000000000000031E-2</c:v>
                </c:pt>
                <c:pt idx="1">
                  <c:v>-7.6999999999999999E-2</c:v>
                </c:pt>
                <c:pt idx="2">
                  <c:v>-2.5999999999999999E-2</c:v>
                </c:pt>
                <c:pt idx="3">
                  <c:v>-0.14800000000000016</c:v>
                </c:pt>
                <c:pt idx="4">
                  <c:v>-0.22600000000000001</c:v>
                </c:pt>
                <c:pt idx="5">
                  <c:v>-0.16800000000000001</c:v>
                </c:pt>
                <c:pt idx="6">
                  <c:v>-0.34600000000000031</c:v>
                </c:pt>
              </c:numCache>
            </c:numRef>
          </c:val>
          <c:smooth val="0"/>
        </c:ser>
        <c:ser>
          <c:idx val="3"/>
          <c:order val="3"/>
          <c:tx>
            <c:strRef>
              <c:f>工作表1!$E$2</c:f>
              <c:strCache>
                <c:ptCount val="1"/>
                <c:pt idx="0">
                  <c:v>臺中市</c:v>
                </c:pt>
              </c:strCache>
            </c:strRef>
          </c:tx>
          <c:cat>
            <c:strRef>
              <c:f>工作表1!$A$3:$A$9</c:f>
              <c:strCache>
                <c:ptCount val="7"/>
                <c:pt idx="0">
                  <c:v>100年</c:v>
                </c:pt>
                <c:pt idx="1">
                  <c:v>101年</c:v>
                </c:pt>
                <c:pt idx="2">
                  <c:v>102年</c:v>
                </c:pt>
                <c:pt idx="3">
                  <c:v>103年</c:v>
                </c:pt>
                <c:pt idx="4">
                  <c:v>104年</c:v>
                </c:pt>
                <c:pt idx="5">
                  <c:v>105年</c:v>
                </c:pt>
                <c:pt idx="6">
                  <c:v>106年</c:v>
                </c:pt>
              </c:strCache>
            </c:strRef>
          </c:cat>
          <c:val>
            <c:numRef>
              <c:f>工作表1!$E$3:$E$9</c:f>
              <c:numCache>
                <c:formatCode>General</c:formatCode>
                <c:ptCount val="7"/>
                <c:pt idx="0">
                  <c:v>2.5000000000000001E-2</c:v>
                </c:pt>
                <c:pt idx="1">
                  <c:v>7.0000000000000021E-2</c:v>
                </c:pt>
                <c:pt idx="2">
                  <c:v>5.1000000000000004E-2</c:v>
                </c:pt>
                <c:pt idx="3">
                  <c:v>3.6999999999999998E-2</c:v>
                </c:pt>
                <c:pt idx="4">
                  <c:v>9.7000000000000003E-2</c:v>
                </c:pt>
                <c:pt idx="5">
                  <c:v>0.161</c:v>
                </c:pt>
                <c:pt idx="6">
                  <c:v>0.13700000000000001</c:v>
                </c:pt>
              </c:numCache>
            </c:numRef>
          </c:val>
          <c:smooth val="0"/>
        </c:ser>
        <c:ser>
          <c:idx val="4"/>
          <c:order val="4"/>
          <c:tx>
            <c:strRef>
              <c:f>工作表1!$F$2</c:f>
              <c:strCache>
                <c:ptCount val="1"/>
                <c:pt idx="0">
                  <c:v>其他</c:v>
                </c:pt>
              </c:strCache>
            </c:strRef>
          </c:tx>
          <c:cat>
            <c:strRef>
              <c:f>工作表1!$A$3:$A$9</c:f>
              <c:strCache>
                <c:ptCount val="7"/>
                <c:pt idx="0">
                  <c:v>100年</c:v>
                </c:pt>
                <c:pt idx="1">
                  <c:v>101年</c:v>
                </c:pt>
                <c:pt idx="2">
                  <c:v>102年</c:v>
                </c:pt>
                <c:pt idx="3">
                  <c:v>103年</c:v>
                </c:pt>
                <c:pt idx="4">
                  <c:v>104年</c:v>
                </c:pt>
                <c:pt idx="5">
                  <c:v>105年</c:v>
                </c:pt>
                <c:pt idx="6">
                  <c:v>106年</c:v>
                </c:pt>
              </c:strCache>
            </c:strRef>
          </c:cat>
          <c:val>
            <c:numRef>
              <c:f>工作表1!$F$3:$F$9</c:f>
              <c:numCache>
                <c:formatCode>General</c:formatCode>
                <c:ptCount val="7"/>
                <c:pt idx="0">
                  <c:v>0.10500000000000002</c:v>
                </c:pt>
                <c:pt idx="1">
                  <c:v>0.15600000000000017</c:v>
                </c:pt>
                <c:pt idx="2">
                  <c:v>9.8000000000000129E-2</c:v>
                </c:pt>
                <c:pt idx="3">
                  <c:v>0.13900000000000001</c:v>
                </c:pt>
                <c:pt idx="4">
                  <c:v>0.15600000000000017</c:v>
                </c:pt>
                <c:pt idx="5">
                  <c:v>0.17600000000000016</c:v>
                </c:pt>
                <c:pt idx="6">
                  <c:v>0.22800000000000001</c:v>
                </c:pt>
              </c:numCache>
            </c:numRef>
          </c:val>
          <c:smooth val="0"/>
        </c:ser>
        <c:dLbls>
          <c:showLegendKey val="0"/>
          <c:showVal val="0"/>
          <c:showCatName val="0"/>
          <c:showSerName val="0"/>
          <c:showPercent val="0"/>
          <c:showBubbleSize val="0"/>
        </c:dLbls>
        <c:marker val="1"/>
        <c:smooth val="0"/>
        <c:axId val="447172704"/>
        <c:axId val="447173096"/>
      </c:lineChart>
      <c:dateAx>
        <c:axId val="447172704"/>
        <c:scaling>
          <c:orientation val="minMax"/>
        </c:scaling>
        <c:delete val="0"/>
        <c:axPos val="b"/>
        <c:numFmt formatCode="General" sourceLinked="1"/>
        <c:majorTickMark val="out"/>
        <c:minorTickMark val="none"/>
        <c:tickLblPos val="nextTo"/>
        <c:crossAx val="447173096"/>
        <c:crosses val="autoZero"/>
        <c:auto val="0"/>
        <c:lblOffset val="100"/>
        <c:baseTimeUnit val="days"/>
      </c:dateAx>
      <c:valAx>
        <c:axId val="447173096"/>
        <c:scaling>
          <c:orientation val="minMax"/>
        </c:scaling>
        <c:delete val="0"/>
        <c:axPos val="l"/>
        <c:majorGridlines/>
        <c:numFmt formatCode="General" sourceLinked="1"/>
        <c:majorTickMark val="out"/>
        <c:minorTickMark val="none"/>
        <c:tickLblPos val="nextTo"/>
        <c:crossAx val="44717270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F5273-3B55-4FDC-99E1-121BA8377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74</Pages>
  <Words>6199</Words>
  <Characters>35338</Characters>
  <Application>Microsoft Office Word</Application>
  <DocSecurity>0</DocSecurity>
  <Lines>294</Lines>
  <Paragraphs>82</Paragraphs>
  <ScaleCrop>false</ScaleCrop>
  <Company>cy</Company>
  <LinksUpToDate>false</LinksUpToDate>
  <CharactersWithSpaces>41455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嚴祖照</dc:creator>
  <cp:lastModifiedBy>林宜敏</cp:lastModifiedBy>
  <cp:revision>2</cp:revision>
  <cp:lastPrinted>2018-04-10T02:50:00Z</cp:lastPrinted>
  <dcterms:created xsi:type="dcterms:W3CDTF">2019-04-02T08:54:00Z</dcterms:created>
  <dcterms:modified xsi:type="dcterms:W3CDTF">2019-04-02T08:54:00Z</dcterms:modified>
</cp:coreProperties>
</file>