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6554C" w:rsidRDefault="0025106C" w:rsidP="00F37D7B">
      <w:pPr>
        <w:pStyle w:val="af2"/>
        <w:rPr>
          <w:color w:val="000000" w:themeColor="text1"/>
        </w:rPr>
      </w:pPr>
      <w:r w:rsidRPr="0046554C">
        <w:rPr>
          <w:rFonts w:hint="eastAsia"/>
          <w:color w:val="000000" w:themeColor="text1"/>
        </w:rPr>
        <w:t>糾正案文</w:t>
      </w:r>
    </w:p>
    <w:p w:rsidR="00E25849" w:rsidRPr="0046554C" w:rsidRDefault="0025106C" w:rsidP="00F231DC">
      <w:pPr>
        <w:pStyle w:val="1"/>
        <w:rPr>
          <w:color w:val="000000" w:themeColor="text1"/>
        </w:rPr>
      </w:pPr>
      <w:r w:rsidRPr="0046554C">
        <w:rPr>
          <w:rFonts w:hint="eastAsia"/>
          <w:color w:val="000000" w:themeColor="text1"/>
        </w:rPr>
        <w:t>被糾正機關：</w:t>
      </w:r>
      <w:r w:rsidR="00C64D52">
        <w:rPr>
          <w:rFonts w:hint="eastAsia"/>
          <w:color w:val="000000" w:themeColor="text1"/>
        </w:rPr>
        <w:t>內政部</w:t>
      </w:r>
      <w:r w:rsidRPr="0046554C">
        <w:rPr>
          <w:rFonts w:hint="eastAsia"/>
          <w:color w:val="000000" w:themeColor="text1"/>
        </w:rPr>
        <w:t>。</w:t>
      </w:r>
    </w:p>
    <w:p w:rsidR="00CF7EA7" w:rsidRPr="00294EB2" w:rsidRDefault="0025106C" w:rsidP="002A02DE">
      <w:pPr>
        <w:pStyle w:val="1"/>
        <w:rPr>
          <w:color w:val="000000" w:themeColor="text1"/>
        </w:rPr>
      </w:pPr>
      <w:r w:rsidRPr="00294EB2">
        <w:rPr>
          <w:rFonts w:hint="eastAsia"/>
          <w:color w:val="000000" w:themeColor="text1"/>
        </w:rPr>
        <w:t>案　　　由：</w:t>
      </w:r>
      <w:r w:rsidR="00294EB2" w:rsidRPr="00294EB2">
        <w:rPr>
          <w:rFonts w:hint="eastAsia"/>
          <w:color w:val="000000" w:themeColor="text1"/>
        </w:rPr>
        <w:t>內政部推動規劃改善傳統公墓之績效不彰，與政策目標欠符；</w:t>
      </w:r>
      <w:r w:rsidR="00C36637">
        <w:rPr>
          <w:rFonts w:hint="eastAsia"/>
          <w:color w:val="000000" w:themeColor="text1"/>
        </w:rPr>
        <w:t>而</w:t>
      </w:r>
      <w:r w:rsidR="00294EB2" w:rsidRPr="00294EB2">
        <w:rPr>
          <w:rFonts w:hint="eastAsia"/>
          <w:color w:val="000000" w:themeColor="text1"/>
        </w:rPr>
        <w:t>執行殯葬設施示範計畫第三期計畫亦有相關行政缺失事項；復未能賡續辦理</w:t>
      </w:r>
      <w:r w:rsidR="00294EB2" w:rsidRPr="00294EB2">
        <w:rPr>
          <w:color w:val="000000" w:themeColor="text1"/>
        </w:rPr>
        <w:t>殯葬設施分布及供需調查研究</w:t>
      </w:r>
      <w:r w:rsidR="00294EB2" w:rsidRPr="00294EB2">
        <w:rPr>
          <w:rFonts w:hint="eastAsia"/>
          <w:color w:val="000000" w:themeColor="text1"/>
        </w:rPr>
        <w:t>，作為施政之參據；</w:t>
      </w:r>
      <w:r w:rsidR="00C36637">
        <w:rPr>
          <w:rFonts w:hint="eastAsia"/>
          <w:color w:val="000000" w:themeColor="text1"/>
        </w:rPr>
        <w:t>且</w:t>
      </w:r>
      <w:r w:rsidR="00294EB2" w:rsidRPr="00294EB2">
        <w:rPr>
          <w:rFonts w:hint="eastAsia"/>
          <w:color w:val="000000" w:themeColor="text1"/>
        </w:rPr>
        <w:t>辦理地方政府殯葬管理業務績效考核評量之先期作業過於匆促，評量之期程更欠合理，肇致各地方政府因應不及，均核有疏失，</w:t>
      </w:r>
      <w:r w:rsidR="00D874B7" w:rsidRPr="00294EB2">
        <w:rPr>
          <w:rFonts w:hint="eastAsia"/>
          <w:color w:val="000000" w:themeColor="text1"/>
        </w:rPr>
        <w:t>爰依法提案糾正。</w:t>
      </w:r>
    </w:p>
    <w:p w:rsidR="00E25849" w:rsidRPr="0046554C"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6554C">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64D52" w:rsidRPr="00810B82" w:rsidRDefault="00C64D52" w:rsidP="00C64D52">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10B82">
        <w:rPr>
          <w:rFonts w:hint="eastAsia"/>
          <w:color w:val="000000" w:themeColor="text1"/>
        </w:rPr>
        <w:t>養生送死乃人生大事，而慎終追遠更為我國傳統美德，故殯葬事宜與民眾生活息息相關，政府為配合永續發展之願景，在人文生態、知識經濟及社會公義之架構理念下，規範殯葬設施、殯葬服務及殯葬行為，爰於民國</w:t>
      </w:r>
      <w:r w:rsidRPr="00810B82">
        <w:rPr>
          <w:color w:val="000000" w:themeColor="text1"/>
        </w:rPr>
        <w:t>(</w:t>
      </w:r>
      <w:r w:rsidRPr="00810B82">
        <w:rPr>
          <w:rFonts w:hint="eastAsia"/>
          <w:color w:val="000000" w:themeColor="text1"/>
        </w:rPr>
        <w:t>下同</w:t>
      </w:r>
      <w:r w:rsidRPr="00810B82">
        <w:rPr>
          <w:color w:val="000000" w:themeColor="text1"/>
        </w:rPr>
        <w:t>)91</w:t>
      </w:r>
      <w:r w:rsidRPr="00810B82">
        <w:rPr>
          <w:rFonts w:hint="eastAsia"/>
          <w:color w:val="000000" w:themeColor="text1"/>
        </w:rPr>
        <w:t>年</w:t>
      </w:r>
      <w:r w:rsidRPr="00810B82">
        <w:rPr>
          <w:color w:val="000000" w:themeColor="text1"/>
        </w:rPr>
        <w:t>7</w:t>
      </w:r>
      <w:r w:rsidRPr="00810B82">
        <w:rPr>
          <w:rFonts w:hint="eastAsia"/>
          <w:color w:val="000000" w:themeColor="text1"/>
        </w:rPr>
        <w:t>月</w:t>
      </w:r>
      <w:r w:rsidRPr="00810B82">
        <w:rPr>
          <w:color w:val="000000" w:themeColor="text1"/>
        </w:rPr>
        <w:t>17</w:t>
      </w:r>
      <w:r w:rsidRPr="00810B82">
        <w:rPr>
          <w:rFonts w:hint="eastAsia"/>
          <w:color w:val="000000" w:themeColor="text1"/>
        </w:rPr>
        <w:t>日公布施行殯葬管理條例，確立殯葬管理</w:t>
      </w:r>
      <w:r w:rsidR="006B2B6B">
        <w:rPr>
          <w:rFonts w:hint="eastAsia"/>
          <w:color w:val="000000" w:themeColor="text1"/>
        </w:rPr>
        <w:t>之</w:t>
      </w:r>
      <w:r w:rsidRPr="00810B82">
        <w:rPr>
          <w:rFonts w:hint="eastAsia"/>
          <w:color w:val="000000" w:themeColor="text1"/>
        </w:rPr>
        <w:t>法制基礎，</w:t>
      </w:r>
      <w:r w:rsidR="006B2B6B">
        <w:rPr>
          <w:rFonts w:hint="eastAsia"/>
          <w:color w:val="000000" w:themeColor="text1"/>
        </w:rPr>
        <w:t>內政部並據以</w:t>
      </w:r>
      <w:r w:rsidRPr="00810B82">
        <w:rPr>
          <w:rFonts w:hint="eastAsia"/>
          <w:color w:val="000000" w:themeColor="text1"/>
        </w:rPr>
        <w:t>研定推動現代化殯葬設施管理政策目標</w:t>
      </w:r>
      <w:r w:rsidR="006B2B6B">
        <w:rPr>
          <w:rFonts w:hint="eastAsia"/>
          <w:color w:val="000000" w:themeColor="text1"/>
        </w:rPr>
        <w:t>，復</w:t>
      </w:r>
      <w:r w:rsidRPr="00810B82">
        <w:rPr>
          <w:rFonts w:hint="eastAsia"/>
          <w:color w:val="000000" w:themeColor="text1"/>
        </w:rPr>
        <w:t>依據殯葬管理條例第100條</w:t>
      </w:r>
      <w:r>
        <w:rPr>
          <w:rStyle w:val="afc"/>
          <w:color w:val="000000" w:themeColor="text1"/>
        </w:rPr>
        <w:footnoteReference w:id="1"/>
      </w:r>
      <w:r w:rsidRPr="00810B82">
        <w:rPr>
          <w:rFonts w:hint="eastAsia"/>
          <w:color w:val="000000" w:themeColor="text1"/>
        </w:rPr>
        <w:t>之規定，於102至105年辦理「殯葬設施示範計畫第三期計畫」（下稱殯葬第三期計畫），補助辦理環保自然葬法、公墓更新等</w:t>
      </w:r>
      <w:r w:rsidR="00DB680D">
        <w:rPr>
          <w:rFonts w:hint="eastAsia"/>
          <w:color w:val="000000" w:themeColor="text1"/>
        </w:rPr>
        <w:t>項目</w:t>
      </w:r>
      <w:r w:rsidR="006B2B6B">
        <w:rPr>
          <w:rFonts w:hint="eastAsia"/>
          <w:color w:val="000000" w:themeColor="text1"/>
        </w:rPr>
        <w:t>，並</w:t>
      </w:r>
      <w:r w:rsidRPr="00810B82">
        <w:rPr>
          <w:rFonts w:hint="eastAsia"/>
          <w:color w:val="000000" w:themeColor="text1"/>
        </w:rPr>
        <w:t>訂定「內政部殯葬設</w:t>
      </w:r>
      <w:r w:rsidR="006B2B6B">
        <w:rPr>
          <w:rFonts w:hint="eastAsia"/>
          <w:color w:val="000000" w:themeColor="text1"/>
        </w:rPr>
        <w:t>施示範計畫第三期計畫補助作業要點」，以規劃各階段補助作業事宜，</w:t>
      </w:r>
      <w:r w:rsidRPr="00810B82">
        <w:rPr>
          <w:rFonts w:hint="eastAsia"/>
          <w:color w:val="000000" w:themeColor="text1"/>
        </w:rPr>
        <w:t>實際撥付</w:t>
      </w:r>
      <w:r w:rsidR="006B2B6B">
        <w:rPr>
          <w:rFonts w:hint="eastAsia"/>
          <w:color w:val="000000" w:themeColor="text1"/>
        </w:rPr>
        <w:t>補助金額新臺幣(下同)</w:t>
      </w:r>
      <w:r w:rsidRPr="00810B82">
        <w:rPr>
          <w:rFonts w:hint="eastAsia"/>
          <w:color w:val="000000" w:themeColor="text1"/>
        </w:rPr>
        <w:t>2億7,678萬餘元。經審計部抽查內政部辦理殯葬第三期計畫執行情形，爰於105年度中央政府總決算審核報告提出：內政部執行結果，涉有部分補助績效指標之評估及部分補助案件之審核、訪查，未</w:t>
      </w:r>
      <w:r w:rsidRPr="00810B82">
        <w:rPr>
          <w:rFonts w:hint="eastAsia"/>
          <w:color w:val="000000" w:themeColor="text1"/>
        </w:rPr>
        <w:lastRenderedPageBreak/>
        <w:t>依規定落實辦理等情，並函報本院，嗣經本院內政及少數民族委員會第5屆第39次會議決議：推派委員調查。</w:t>
      </w:r>
    </w:p>
    <w:p w:rsidR="00B83C6B" w:rsidRPr="0046554C" w:rsidRDefault="00C64D52" w:rsidP="003A5B7B">
      <w:pPr>
        <w:pStyle w:val="10"/>
        <w:ind w:left="680" w:firstLine="680"/>
        <w:rPr>
          <w:rFonts w:hAnsi="標楷體"/>
          <w:color w:val="000000" w:themeColor="text1"/>
          <w:spacing w:val="-6"/>
        </w:rPr>
      </w:pPr>
      <w:r w:rsidRPr="00810B82">
        <w:rPr>
          <w:rFonts w:hint="eastAsia"/>
          <w:color w:val="000000" w:themeColor="text1"/>
        </w:rPr>
        <w:t>本院為瞭解內政部推動殯葬設施管理政策及辦理殯葬第三期計畫之執行情形，</w:t>
      </w:r>
      <w:r w:rsidR="00DB680D">
        <w:rPr>
          <w:rFonts w:hint="eastAsia"/>
          <w:color w:val="000000" w:themeColor="text1"/>
        </w:rPr>
        <w:t>爰</w:t>
      </w:r>
      <w:r w:rsidR="00F2752B">
        <w:rPr>
          <w:rFonts w:hint="eastAsia"/>
          <w:color w:val="000000" w:themeColor="text1"/>
        </w:rPr>
        <w:t>就相關疑義事項函請內政部查復到院，經詳閱</w:t>
      </w:r>
      <w:r w:rsidRPr="00810B82">
        <w:rPr>
          <w:rFonts w:hint="eastAsia"/>
          <w:color w:val="000000" w:themeColor="text1"/>
        </w:rPr>
        <w:t>卷證資料後，</w:t>
      </w:r>
      <w:r w:rsidR="00F2752B">
        <w:rPr>
          <w:rFonts w:hint="eastAsia"/>
          <w:color w:val="000000" w:themeColor="text1"/>
        </w:rPr>
        <w:t>復</w:t>
      </w:r>
      <w:r w:rsidR="00DB680D">
        <w:rPr>
          <w:rFonts w:hint="eastAsia"/>
          <w:color w:val="000000" w:themeColor="text1"/>
        </w:rPr>
        <w:t>約請</w:t>
      </w:r>
      <w:r w:rsidRPr="00810B82">
        <w:rPr>
          <w:rFonts w:hint="eastAsia"/>
          <w:color w:val="000000" w:themeColor="text1"/>
        </w:rPr>
        <w:t>內政部</w:t>
      </w:r>
      <w:r w:rsidR="00DB680D">
        <w:rPr>
          <w:rFonts w:hint="eastAsia"/>
          <w:color w:val="000000" w:themeColor="text1"/>
        </w:rPr>
        <w:t>主管人員</w:t>
      </w:r>
      <w:r w:rsidRPr="00810B82">
        <w:rPr>
          <w:rFonts w:hint="eastAsia"/>
          <w:color w:val="000000" w:themeColor="text1"/>
        </w:rPr>
        <w:t>到院接受詢問</w:t>
      </w:r>
      <w:r w:rsidR="00DB680D">
        <w:rPr>
          <w:rFonts w:hint="eastAsia"/>
          <w:color w:val="000000" w:themeColor="text1"/>
        </w:rPr>
        <w:t>，</w:t>
      </w:r>
      <w:r w:rsidR="00F2752B">
        <w:rPr>
          <w:rFonts w:hint="eastAsia"/>
          <w:color w:val="000000" w:themeColor="text1"/>
        </w:rPr>
        <w:t>另</w:t>
      </w:r>
      <w:r w:rsidRPr="00810B82">
        <w:rPr>
          <w:rFonts w:hint="eastAsia"/>
          <w:color w:val="000000" w:themeColor="text1"/>
        </w:rPr>
        <w:t>為瞭解地方政府執行現況，再分別</w:t>
      </w:r>
      <w:r w:rsidR="00DB680D">
        <w:rPr>
          <w:rFonts w:hint="eastAsia"/>
          <w:color w:val="000000" w:themeColor="text1"/>
        </w:rPr>
        <w:t>至</w:t>
      </w:r>
      <w:r w:rsidRPr="00F2752B">
        <w:rPr>
          <w:rFonts w:hint="eastAsia"/>
          <w:color w:val="000000" w:themeColor="text1"/>
        </w:rPr>
        <w:t>臺北市</w:t>
      </w:r>
      <w:r w:rsidR="00DB680D" w:rsidRPr="00F2752B">
        <w:rPr>
          <w:rFonts w:hint="eastAsia"/>
          <w:color w:val="000000" w:themeColor="text1"/>
        </w:rPr>
        <w:t>、</w:t>
      </w:r>
      <w:r w:rsidRPr="00F2752B">
        <w:rPr>
          <w:rFonts w:hint="eastAsia"/>
          <w:color w:val="000000" w:themeColor="text1"/>
        </w:rPr>
        <w:t>新北市、桃園市</w:t>
      </w:r>
      <w:r w:rsidR="00DB680D" w:rsidRPr="00F2752B">
        <w:rPr>
          <w:rFonts w:hint="eastAsia"/>
          <w:color w:val="000000" w:themeColor="text1"/>
        </w:rPr>
        <w:t>、</w:t>
      </w:r>
      <w:r w:rsidRPr="00F2752B">
        <w:rPr>
          <w:rFonts w:hint="eastAsia"/>
          <w:color w:val="000000" w:themeColor="text1"/>
        </w:rPr>
        <w:t>彰化縣</w:t>
      </w:r>
      <w:r w:rsidR="00DB680D" w:rsidRPr="00F2752B">
        <w:rPr>
          <w:rFonts w:hint="eastAsia"/>
          <w:color w:val="000000" w:themeColor="text1"/>
        </w:rPr>
        <w:t>及</w:t>
      </w:r>
      <w:r w:rsidRPr="00F2752B">
        <w:rPr>
          <w:rFonts w:hint="eastAsia"/>
          <w:color w:val="000000" w:themeColor="text1"/>
        </w:rPr>
        <w:t>南投縣</w:t>
      </w:r>
      <w:r w:rsidR="006B2B6B" w:rsidRPr="00F2752B">
        <w:rPr>
          <w:rFonts w:hint="eastAsia"/>
          <w:color w:val="000000" w:themeColor="text1"/>
        </w:rPr>
        <w:t>履勘</w:t>
      </w:r>
      <w:r w:rsidR="00485E8C">
        <w:rPr>
          <w:rFonts w:hint="eastAsia"/>
          <w:color w:val="000000" w:themeColor="text1"/>
        </w:rPr>
        <w:t>並</w:t>
      </w:r>
      <w:r w:rsidRPr="00810B82">
        <w:rPr>
          <w:rFonts w:hint="eastAsia"/>
          <w:color w:val="000000" w:themeColor="text1"/>
        </w:rPr>
        <w:t>聽取</w:t>
      </w:r>
      <w:r w:rsidR="00485E8C">
        <w:rPr>
          <w:rFonts w:hint="eastAsia"/>
          <w:color w:val="000000" w:themeColor="text1"/>
        </w:rPr>
        <w:t>辦理殯葬設施服務及管理</w:t>
      </w:r>
      <w:r w:rsidR="00F2752B">
        <w:rPr>
          <w:rFonts w:hint="eastAsia"/>
          <w:color w:val="000000" w:themeColor="text1"/>
        </w:rPr>
        <w:t>之簡報，</w:t>
      </w:r>
      <w:r w:rsidR="00CB1040" w:rsidRPr="00F2752B">
        <w:rPr>
          <w:rFonts w:hint="eastAsia"/>
          <w:color w:val="000000" w:themeColor="text1"/>
        </w:rPr>
        <w:t>業</w:t>
      </w:r>
      <w:r w:rsidR="00CB1040" w:rsidRPr="0046554C">
        <w:rPr>
          <w:rFonts w:hint="eastAsia"/>
          <w:color w:val="000000" w:themeColor="text1"/>
          <w:szCs w:val="32"/>
          <w:lang w:val="x-none"/>
        </w:rPr>
        <w:t>調查竣事，</w:t>
      </w:r>
      <w:r w:rsidR="00F2752B">
        <w:rPr>
          <w:rFonts w:hint="eastAsia"/>
          <w:color w:val="000000" w:themeColor="text1"/>
          <w:szCs w:val="32"/>
          <w:lang w:val="x-none"/>
        </w:rPr>
        <w:t>爰認為</w:t>
      </w:r>
      <w:r w:rsidR="00F2752B">
        <w:rPr>
          <w:rFonts w:hint="eastAsia"/>
          <w:color w:val="000000" w:themeColor="text1"/>
        </w:rPr>
        <w:t>內政部於辦理</w:t>
      </w:r>
      <w:r w:rsidR="00F2752B" w:rsidRPr="00810B82">
        <w:rPr>
          <w:rFonts w:hint="eastAsia"/>
          <w:color w:val="000000" w:themeColor="text1"/>
        </w:rPr>
        <w:t>殯葬設施</w:t>
      </w:r>
      <w:r w:rsidR="00F2752B">
        <w:rPr>
          <w:rFonts w:hint="eastAsia"/>
          <w:color w:val="000000" w:themeColor="text1"/>
        </w:rPr>
        <w:t>業務，有</w:t>
      </w:r>
      <w:r w:rsidR="00B95288" w:rsidRPr="0046554C">
        <w:rPr>
          <w:rFonts w:hint="eastAsia"/>
          <w:color w:val="000000" w:themeColor="text1"/>
        </w:rPr>
        <w:t>相關</w:t>
      </w:r>
      <w:r w:rsidR="00424AF4">
        <w:rPr>
          <w:rFonts w:hint="eastAsia"/>
          <w:color w:val="000000" w:themeColor="text1"/>
        </w:rPr>
        <w:t>疏失</w:t>
      </w:r>
      <w:r w:rsidR="00FC0135" w:rsidRPr="0046554C">
        <w:rPr>
          <w:rFonts w:hint="eastAsia"/>
          <w:color w:val="000000" w:themeColor="text1"/>
        </w:rPr>
        <w:t>應予糾正</w:t>
      </w:r>
      <w:r w:rsidR="00F62CEB" w:rsidRPr="0046554C">
        <w:rPr>
          <w:rFonts w:hint="eastAsia"/>
          <w:bCs/>
          <w:color w:val="000000" w:themeColor="text1"/>
        </w:rPr>
        <w:t>促其注意改善。</w:t>
      </w:r>
      <w:r w:rsidR="00B95288" w:rsidRPr="0046554C">
        <w:rPr>
          <w:rFonts w:hint="eastAsia"/>
          <w:bCs/>
          <w:color w:val="000000" w:themeColor="text1"/>
        </w:rPr>
        <w:t>茲臚列事實與理由如下</w:t>
      </w:r>
      <w:r w:rsidR="00B95288" w:rsidRPr="0046554C">
        <w:rPr>
          <w:rFonts w:hAnsi="標楷體" w:hint="eastAsia"/>
          <w:color w:val="000000" w:themeColor="text1"/>
          <w:spacing w:val="-6"/>
        </w:rPr>
        <w:t>：</w:t>
      </w:r>
    </w:p>
    <w:p w:rsidR="00C64D52" w:rsidRPr="000F36B3" w:rsidRDefault="00C64D52" w:rsidP="00C64D52">
      <w:pPr>
        <w:pStyle w:val="2"/>
        <w:numPr>
          <w:ilvl w:val="1"/>
          <w:numId w:val="1"/>
        </w:numPr>
      </w:pPr>
      <w:bookmarkStart w:id="41" w:name="_Toc421794873"/>
      <w:bookmarkStart w:id="42" w:name="_Toc422834158"/>
      <w:bookmarkStart w:id="43" w:name="_Toc421794870"/>
      <w:bookmarkStart w:id="44" w:name="_Toc422728952"/>
      <w:r w:rsidRPr="00EB6633">
        <w:rPr>
          <w:rFonts w:hint="eastAsia"/>
        </w:rPr>
        <w:t>內政部推動規劃改善傳統公墓之績效不彰，目前仍有公立公墓2,825處(占93.0%)、土地面積高達7,951.68公頃(占87.8%)迄未加以更新，核與該部研定之政策目標欠符，</w:t>
      </w:r>
      <w:r w:rsidRPr="000F36B3">
        <w:rPr>
          <w:rFonts w:hint="eastAsia"/>
        </w:rPr>
        <w:t>殊有未當。</w:t>
      </w:r>
    </w:p>
    <w:p w:rsidR="00C64D52" w:rsidRPr="00294EB2" w:rsidRDefault="00C64D52" w:rsidP="00C64D52">
      <w:pPr>
        <w:pStyle w:val="3"/>
        <w:numPr>
          <w:ilvl w:val="2"/>
          <w:numId w:val="1"/>
        </w:numPr>
        <w:rPr>
          <w:rFonts w:hAnsi="標楷體" w:cs="HiddenHorzOCR"/>
          <w:color w:val="000000" w:themeColor="text1"/>
          <w:kern w:val="0"/>
          <w:szCs w:val="32"/>
        </w:rPr>
      </w:pPr>
      <w:r w:rsidRPr="00294EB2">
        <w:rPr>
          <w:rFonts w:hint="eastAsia"/>
          <w:color w:val="000000" w:themeColor="text1"/>
        </w:rPr>
        <w:t>72年11月11日墳墓設置管理條例公布施行前，因我國人口數不多，針對公墓設置、墓區劃設及墓基面積等法令較為寬鬆或未規範，且當時公墓雖多設置於非人口聚集地區，以避免干擾民眾生活，但隨著社會變遷，都市範圍向郊區發展外擴，使都市與鄉村界線逐漸模糊，原設置公墓之地區，多已成為都市日常生活區域；政府為因應殯葬用地取得不易之困境，推動未規劃公墓更新辦理環保自然葬法，以節約公墓土地利用面積、改善城鄉景觀及有助城鄉發展，更可引導葬俗革新及滿足民眾的多元需要。</w:t>
      </w:r>
    </w:p>
    <w:p w:rsidR="00C64D52" w:rsidRPr="00294EB2" w:rsidRDefault="00C64D52" w:rsidP="00C64D52">
      <w:pPr>
        <w:pStyle w:val="3"/>
        <w:numPr>
          <w:ilvl w:val="2"/>
          <w:numId w:val="1"/>
        </w:numPr>
        <w:rPr>
          <w:color w:val="000000" w:themeColor="text1"/>
        </w:rPr>
      </w:pPr>
      <w:r w:rsidRPr="00294EB2">
        <w:rPr>
          <w:rFonts w:hint="eastAsia"/>
          <w:color w:val="000000" w:themeColor="text1"/>
        </w:rPr>
        <w:t>當前關於改善傳統公墓之作法，如新北市政府戮力推動都會區公立公墓遷葬計畫，進行新店第一公墓之遷葬，於遷葬後將可活化都會區土地之利用；而高雄市政府辦理之</w:t>
      </w:r>
      <w:r w:rsidRPr="00294EB2">
        <w:rPr>
          <w:color w:val="000000" w:themeColor="text1"/>
        </w:rPr>
        <w:t>覆鼎金公墓遷移</w:t>
      </w:r>
      <w:r w:rsidRPr="00294EB2">
        <w:rPr>
          <w:rFonts w:hint="eastAsia"/>
          <w:color w:val="000000" w:themeColor="text1"/>
        </w:rPr>
        <w:t>，將原</w:t>
      </w:r>
      <w:r w:rsidRPr="00294EB2">
        <w:rPr>
          <w:color w:val="000000" w:themeColor="text1"/>
        </w:rPr>
        <w:t>墓</w:t>
      </w:r>
      <w:r w:rsidRPr="00294EB2">
        <w:rPr>
          <w:rFonts w:hint="eastAsia"/>
          <w:color w:val="000000" w:themeColor="text1"/>
        </w:rPr>
        <w:t>區建設</w:t>
      </w:r>
      <w:r w:rsidRPr="00294EB2">
        <w:rPr>
          <w:color w:val="000000" w:themeColor="text1"/>
        </w:rPr>
        <w:t>成</w:t>
      </w:r>
      <w:r w:rsidRPr="00294EB2">
        <w:rPr>
          <w:rFonts w:hint="eastAsia"/>
          <w:color w:val="000000" w:themeColor="text1"/>
        </w:rPr>
        <w:t>為</w:t>
      </w:r>
      <w:r w:rsidRPr="00294EB2">
        <w:rPr>
          <w:color w:val="000000" w:themeColor="text1"/>
        </w:rPr>
        <w:t>雙湖森林公園，</w:t>
      </w:r>
      <w:r w:rsidRPr="00294EB2">
        <w:rPr>
          <w:rFonts w:hint="eastAsia"/>
          <w:color w:val="000000" w:themeColor="text1"/>
        </w:rPr>
        <w:t>全面</w:t>
      </w:r>
      <w:r w:rsidRPr="00294EB2">
        <w:rPr>
          <w:color w:val="000000" w:themeColor="text1"/>
        </w:rPr>
        <w:t>翻轉覆鼎金地區</w:t>
      </w:r>
      <w:r w:rsidRPr="00294EB2">
        <w:rPr>
          <w:rFonts w:hint="eastAsia"/>
          <w:color w:val="000000" w:themeColor="text1"/>
        </w:rPr>
        <w:t>之</w:t>
      </w:r>
      <w:r w:rsidRPr="00294EB2">
        <w:rPr>
          <w:color w:val="000000" w:themeColor="text1"/>
        </w:rPr>
        <w:t>景觀</w:t>
      </w:r>
      <w:r w:rsidRPr="00294EB2">
        <w:rPr>
          <w:rFonts w:hint="eastAsia"/>
          <w:color w:val="000000" w:themeColor="text1"/>
        </w:rPr>
        <w:t>，均為成功改善傳統公墓之範例，足供其他縣市政府</w:t>
      </w:r>
      <w:r w:rsidRPr="00294EB2">
        <w:rPr>
          <w:rFonts w:hint="eastAsia"/>
          <w:color w:val="000000" w:themeColor="text1"/>
        </w:rPr>
        <w:lastRenderedPageBreak/>
        <w:t>參考採行。</w:t>
      </w:r>
    </w:p>
    <w:p w:rsidR="00C64D52" w:rsidRPr="00294EB2" w:rsidRDefault="00C64D52" w:rsidP="00C64D52">
      <w:pPr>
        <w:pStyle w:val="3"/>
        <w:numPr>
          <w:ilvl w:val="2"/>
          <w:numId w:val="1"/>
        </w:numPr>
        <w:rPr>
          <w:rFonts w:hAnsi="標楷體" w:cs="HiddenHorzOCR"/>
          <w:color w:val="000000" w:themeColor="text1"/>
          <w:kern w:val="0"/>
          <w:szCs w:val="32"/>
        </w:rPr>
      </w:pPr>
      <w:r w:rsidRPr="00294EB2">
        <w:rPr>
          <w:rFonts w:hint="eastAsia"/>
          <w:color w:val="000000" w:themeColor="text1"/>
        </w:rPr>
        <w:t>依據內政部105年度調查統計資料顯示，國內公立公墓總數3,039處、面積9,059.62公頃，其中未經規劃者達2,825處(占93.0%)、土地面積7,951.68公頃(占87.8%)，已經規劃者214</w:t>
      </w:r>
      <w:r w:rsidRPr="00294EB2">
        <w:rPr>
          <w:color w:val="000000" w:themeColor="text1"/>
        </w:rPr>
        <w:t>處</w:t>
      </w:r>
      <w:r w:rsidRPr="00294EB2">
        <w:rPr>
          <w:rFonts w:hint="eastAsia"/>
          <w:color w:val="000000" w:themeColor="text1"/>
        </w:rPr>
        <w:t>(占7.0%)、面積1,107.94公頃(占12.2%)(詳表</w:t>
      </w:r>
      <w:r w:rsidR="000F36B3" w:rsidRPr="00294EB2">
        <w:rPr>
          <w:rFonts w:hint="eastAsia"/>
          <w:color w:val="000000" w:themeColor="text1"/>
        </w:rPr>
        <w:t>1</w:t>
      </w:r>
      <w:r w:rsidRPr="00294EB2">
        <w:rPr>
          <w:rFonts w:hint="eastAsia"/>
          <w:color w:val="000000" w:themeColor="text1"/>
        </w:rPr>
        <w:t>)；另就</w:t>
      </w:r>
      <w:r w:rsidRPr="00294EB2">
        <w:rPr>
          <w:rFonts w:hAnsi="標楷體" w:cs="HiddenHorzOCR" w:hint="eastAsia"/>
          <w:color w:val="000000" w:themeColor="text1"/>
          <w:kern w:val="0"/>
          <w:szCs w:val="32"/>
        </w:rPr>
        <w:t>82年至105年度國內未規劃之公立公墓數量及面積分析，23年間共減少136處，改善傳統公墓陰森雜亂之土地面積約1</w:t>
      </w:r>
      <w:r w:rsidRPr="00294EB2">
        <w:rPr>
          <w:rFonts w:hAnsi="標楷體" w:cs="HiddenHorzOCR"/>
          <w:color w:val="000000" w:themeColor="text1"/>
          <w:kern w:val="0"/>
          <w:szCs w:val="32"/>
        </w:rPr>
        <w:t>,</w:t>
      </w:r>
      <w:r w:rsidRPr="00294EB2">
        <w:rPr>
          <w:rFonts w:hAnsi="標楷體" w:cs="HiddenHorzOCR" w:hint="eastAsia"/>
          <w:color w:val="000000" w:themeColor="text1"/>
          <w:kern w:val="0"/>
          <w:szCs w:val="32"/>
        </w:rPr>
        <w:t>041公頃(詳表</w:t>
      </w:r>
      <w:r w:rsidR="000F36B3" w:rsidRPr="00294EB2">
        <w:rPr>
          <w:rFonts w:hAnsi="標楷體" w:cs="HiddenHorzOCR" w:hint="eastAsia"/>
          <w:color w:val="000000" w:themeColor="text1"/>
          <w:kern w:val="0"/>
          <w:szCs w:val="32"/>
        </w:rPr>
        <w:t>2</w:t>
      </w:r>
      <w:r w:rsidRPr="00294EB2">
        <w:rPr>
          <w:rFonts w:hAnsi="標楷體" w:cs="HiddenHorzOCR" w:hint="eastAsia"/>
          <w:color w:val="000000" w:themeColor="text1"/>
          <w:kern w:val="0"/>
          <w:szCs w:val="32"/>
        </w:rPr>
        <w:t>)，足見未經規劃之公立公墓仍多。</w:t>
      </w:r>
    </w:p>
    <w:p w:rsidR="00C64D52" w:rsidRPr="00C64D52" w:rsidRDefault="00C64D52" w:rsidP="00C64D52">
      <w:pPr>
        <w:pStyle w:val="3"/>
      </w:pPr>
      <w:r w:rsidRPr="00294EB2">
        <w:rPr>
          <w:rFonts w:hint="eastAsia"/>
          <w:color w:val="000000" w:themeColor="text1"/>
        </w:rPr>
        <w:t>綜上，內政部推動 規劃改善傳統公墓之績效不彰，目前仍有公立公墓2,825處(占93.0%)、土地面積高達7,951.68公頃(占87.8%)迄未加以更新，核與該部研定之「整體改善傳統公墓」政策欠符，殊有未當，亟待積極加速推動，俾能早日達成原規劃目標。</w:t>
      </w:r>
    </w:p>
    <w:p w:rsidR="00C64D52" w:rsidRPr="00C64D52" w:rsidRDefault="00C64D52" w:rsidP="000F36B3">
      <w:pPr>
        <w:pStyle w:val="2"/>
      </w:pPr>
      <w:r w:rsidRPr="00294EB2">
        <w:rPr>
          <w:rFonts w:hint="eastAsia"/>
          <w:color w:val="000000" w:themeColor="text1"/>
        </w:rPr>
        <w:t>內政部辦理殯葬設施示範計畫第三期計畫之行政缺失事項，業經審計部105年度中央政府總決算審核報告指摘綦詳，相關作業疏失至為灼然，實有欠當。</w:t>
      </w:r>
    </w:p>
    <w:p w:rsidR="00C64D52" w:rsidRPr="00294EB2" w:rsidRDefault="00C64D52" w:rsidP="00C64D52">
      <w:pPr>
        <w:pStyle w:val="3"/>
        <w:numPr>
          <w:ilvl w:val="2"/>
          <w:numId w:val="1"/>
        </w:numPr>
        <w:rPr>
          <w:color w:val="000000" w:themeColor="text1"/>
        </w:rPr>
      </w:pPr>
      <w:r w:rsidRPr="00294EB2">
        <w:rPr>
          <w:rFonts w:hint="eastAsia"/>
          <w:color w:val="000000" w:themeColor="text1"/>
        </w:rPr>
        <w:t>有關內政部評估殯葬設施示範計畫第三期計畫之計畫目標達成程度情形：</w:t>
      </w:r>
    </w:p>
    <w:p w:rsidR="00C64D52" w:rsidRPr="00294EB2" w:rsidRDefault="00C64D52" w:rsidP="00C64D52">
      <w:pPr>
        <w:pStyle w:val="4"/>
        <w:numPr>
          <w:ilvl w:val="3"/>
          <w:numId w:val="1"/>
        </w:numPr>
        <w:rPr>
          <w:color w:val="000000" w:themeColor="text1"/>
        </w:rPr>
      </w:pPr>
      <w:r w:rsidRPr="00294EB2">
        <w:rPr>
          <w:rFonts w:hint="eastAsia"/>
          <w:color w:val="000000" w:themeColor="text1"/>
        </w:rPr>
        <w:t>內政部辦理</w:t>
      </w:r>
      <w:r w:rsidRPr="00294EB2">
        <w:rPr>
          <w:color w:val="000000" w:themeColor="text1"/>
        </w:rPr>
        <w:t>殯葬第三期計畫</w:t>
      </w:r>
      <w:r w:rsidRPr="00294EB2">
        <w:rPr>
          <w:rFonts w:hint="eastAsia"/>
          <w:color w:val="000000" w:themeColor="text1"/>
        </w:rPr>
        <w:t>，執行</w:t>
      </w:r>
      <w:r w:rsidRPr="00294EB2">
        <w:rPr>
          <w:color w:val="000000" w:themeColor="text1"/>
        </w:rPr>
        <w:t>補助</w:t>
      </w:r>
      <w:r w:rsidRPr="00294EB2">
        <w:rPr>
          <w:rFonts w:hint="eastAsia"/>
          <w:color w:val="000000" w:themeColor="text1"/>
        </w:rPr>
        <w:t>金額2億7,678萬餘元，執行項目為：</w:t>
      </w:r>
      <w:r w:rsidRPr="00294EB2">
        <w:rPr>
          <w:color w:val="000000" w:themeColor="text1"/>
        </w:rPr>
        <w:t>環保自然葬法</w:t>
      </w:r>
      <w:r w:rsidRPr="00294EB2">
        <w:rPr>
          <w:rFonts w:hint="eastAsia"/>
          <w:color w:val="000000" w:themeColor="text1"/>
        </w:rPr>
        <w:t>12案、公墓更新及環保自然葬法後新建骨灰骸存放設施4案、新建具區域性服務功能之殯葬園區2案、原住民山地鄉（區）既有公墓更新4案、回教公墓新設或更新4案（詳表</w:t>
      </w:r>
      <w:r w:rsidR="00294EB2" w:rsidRPr="00294EB2">
        <w:rPr>
          <w:rFonts w:hint="eastAsia"/>
          <w:color w:val="000000" w:themeColor="text1"/>
        </w:rPr>
        <w:t>3</w:t>
      </w:r>
      <w:r w:rsidRPr="00294EB2">
        <w:rPr>
          <w:rFonts w:hint="eastAsia"/>
          <w:color w:val="000000" w:themeColor="text1"/>
        </w:rPr>
        <w:t>）。依據審計部</w:t>
      </w:r>
      <w:r w:rsidRPr="00294EB2">
        <w:rPr>
          <w:color w:val="000000" w:themeColor="text1"/>
        </w:rPr>
        <w:t>105年度中央政府總決算審核報告</w:t>
      </w:r>
      <w:r w:rsidRPr="00294EB2">
        <w:rPr>
          <w:rFonts w:hint="eastAsia"/>
          <w:color w:val="000000" w:themeColor="text1"/>
        </w:rPr>
        <w:t>指出：該部執行結果，</w:t>
      </w:r>
      <w:r w:rsidRPr="00294EB2">
        <w:rPr>
          <w:color w:val="000000" w:themeColor="text1"/>
        </w:rPr>
        <w:t>環保自然葬法</w:t>
      </w:r>
      <w:r w:rsidRPr="00294EB2">
        <w:rPr>
          <w:rFonts w:hint="eastAsia"/>
          <w:color w:val="000000" w:themeColor="text1"/>
        </w:rPr>
        <w:t>、公墓更新及環保自然葬法後新建骨灰骸存放設施、回教公墓新設或更新等項目之補助案件數，未達計畫目標；且該計畫係依據主要</w:t>
      </w:r>
      <w:r w:rsidRPr="00294EB2">
        <w:rPr>
          <w:rFonts w:hint="eastAsia"/>
          <w:color w:val="000000" w:themeColor="text1"/>
        </w:rPr>
        <w:lastRenderedPageBreak/>
        <w:t>推動項目，訂定可量化之衡量指標並設定目標值</w:t>
      </w:r>
      <w:r w:rsidRPr="00294EB2">
        <w:rPr>
          <w:rStyle w:val="afc"/>
          <w:color w:val="000000" w:themeColor="text1"/>
        </w:rPr>
        <w:footnoteReference w:id="2"/>
      </w:r>
      <w:r w:rsidRPr="00294EB2">
        <w:rPr>
          <w:rFonts w:hint="eastAsia"/>
          <w:color w:val="000000" w:themeColor="text1"/>
        </w:rPr>
        <w:t>（詳表</w:t>
      </w:r>
      <w:r w:rsidR="00294EB2" w:rsidRPr="00294EB2">
        <w:rPr>
          <w:rFonts w:hint="eastAsia"/>
          <w:color w:val="000000" w:themeColor="text1"/>
        </w:rPr>
        <w:t>4</w:t>
      </w:r>
      <w:r w:rsidRPr="00294EB2">
        <w:rPr>
          <w:rFonts w:hint="eastAsia"/>
          <w:color w:val="000000" w:themeColor="text1"/>
        </w:rPr>
        <w:t>），惟該部僅檢討補助案件數未達目標之原因（詳表</w:t>
      </w:r>
      <w:r w:rsidR="00294EB2" w:rsidRPr="00294EB2">
        <w:rPr>
          <w:rFonts w:hint="eastAsia"/>
          <w:color w:val="000000" w:themeColor="text1"/>
        </w:rPr>
        <w:t>3</w:t>
      </w:r>
      <w:r w:rsidRPr="00294EB2">
        <w:rPr>
          <w:rFonts w:hint="eastAsia"/>
          <w:color w:val="000000" w:themeColor="text1"/>
        </w:rPr>
        <w:t>），對於辦理公墓更新，推動環保自然葬、新設火化場、火化場內增設殯儀館等3個推動目標，對應改善公墓土地利用方式之面積、環保自然葬增加綠地面積、提供火化服務量能、增加殯殮服務量能等4項衡量指標，未妥為蒐集相關統計資料等語。</w:t>
      </w:r>
    </w:p>
    <w:p w:rsidR="00C64D52" w:rsidRPr="00294EB2" w:rsidRDefault="00C64D52" w:rsidP="00C64D52">
      <w:pPr>
        <w:pStyle w:val="4"/>
        <w:numPr>
          <w:ilvl w:val="3"/>
          <w:numId w:val="1"/>
        </w:numPr>
        <w:rPr>
          <w:color w:val="000000" w:themeColor="text1"/>
        </w:rPr>
      </w:pPr>
      <w:r w:rsidRPr="00294EB2">
        <w:rPr>
          <w:rFonts w:hint="eastAsia"/>
          <w:color w:val="000000" w:themeColor="text1"/>
        </w:rPr>
        <w:t>依據內政部106年12月21日詢問書面資料稱：該部辦理殯葬第三期計畫統計達成目標值，</w:t>
      </w:r>
      <w:r w:rsidRPr="00294EB2">
        <w:rPr>
          <w:color w:val="000000" w:themeColor="text1"/>
        </w:rPr>
        <w:t>係由預定補助案件數轉換推估而來，</w:t>
      </w:r>
      <w:r w:rsidRPr="00294EB2">
        <w:rPr>
          <w:rFonts w:hint="eastAsia"/>
          <w:color w:val="000000" w:themeColor="text1"/>
        </w:rPr>
        <w:t>於</w:t>
      </w:r>
      <w:r w:rsidRPr="00294EB2">
        <w:rPr>
          <w:color w:val="000000" w:themeColor="text1"/>
        </w:rPr>
        <w:t>計畫執行完畢實際達成案件數即得評估分析計畫達成目標程度並大致反推量化指標達成情形</w:t>
      </w:r>
      <w:r w:rsidRPr="00294EB2">
        <w:rPr>
          <w:rFonts w:hint="eastAsia"/>
          <w:color w:val="000000" w:themeColor="text1"/>
        </w:rPr>
        <w:t>。</w:t>
      </w:r>
      <w:r w:rsidRPr="00294EB2">
        <w:rPr>
          <w:color w:val="000000" w:themeColor="text1"/>
        </w:rPr>
        <w:t>如「辦理公墓更新，推動環保自然葬」項目，申請辦理公墓更新面積應達10,000平方公尺以上，且申請補助實施環保自然葬範圍應達原申請面積1/2，故依</w:t>
      </w:r>
      <w:r w:rsidRPr="00294EB2">
        <w:rPr>
          <w:rFonts w:hint="eastAsia"/>
          <w:color w:val="000000" w:themeColor="text1"/>
        </w:rPr>
        <w:t>殯葬第</w:t>
      </w:r>
      <w:r w:rsidRPr="00294EB2">
        <w:rPr>
          <w:color w:val="000000" w:themeColor="text1"/>
        </w:rPr>
        <w:t>三期計畫執行期間預</w:t>
      </w:r>
      <w:r w:rsidRPr="00294EB2">
        <w:rPr>
          <w:rFonts w:hint="eastAsia"/>
          <w:color w:val="000000" w:themeColor="text1"/>
        </w:rPr>
        <w:t>定</w:t>
      </w:r>
      <w:r w:rsidRPr="00294EB2">
        <w:rPr>
          <w:color w:val="000000" w:themeColor="text1"/>
        </w:rPr>
        <w:t>補助12處公墓更新辦理環保自然葬，如順利達成計畫目標，可改善公墓土地利用方式之面積必可達120,000平方公尺以上</w:t>
      </w:r>
      <w:r w:rsidRPr="00294EB2">
        <w:rPr>
          <w:rFonts w:hint="eastAsia"/>
          <w:color w:val="000000" w:themeColor="text1"/>
        </w:rPr>
        <w:t>云云，顯見該部以達成案件數大致反推量化指標，而未實際妥為蒐集相關統計資料</w:t>
      </w:r>
      <w:r w:rsidRPr="00294EB2">
        <w:rPr>
          <w:color w:val="000000" w:themeColor="text1"/>
        </w:rPr>
        <w:t>。</w:t>
      </w:r>
      <w:r w:rsidRPr="00294EB2">
        <w:rPr>
          <w:rFonts w:hint="eastAsia"/>
          <w:color w:val="000000" w:themeColor="text1"/>
        </w:rPr>
        <w:t>該部復於同書面資料表示：因殯葬第三期</w:t>
      </w:r>
      <w:r w:rsidRPr="00294EB2">
        <w:rPr>
          <w:color w:val="000000" w:themeColor="text1"/>
        </w:rPr>
        <w:t>計畫已執行結</w:t>
      </w:r>
      <w:r w:rsidRPr="00294EB2">
        <w:rPr>
          <w:color w:val="000000" w:themeColor="text1"/>
        </w:rPr>
        <w:lastRenderedPageBreak/>
        <w:t>束，</w:t>
      </w:r>
      <w:r w:rsidRPr="00294EB2">
        <w:rPr>
          <w:rFonts w:hint="eastAsia"/>
          <w:color w:val="000000" w:themeColor="text1"/>
        </w:rPr>
        <w:t>為</w:t>
      </w:r>
      <w:r w:rsidRPr="00294EB2">
        <w:rPr>
          <w:color w:val="000000" w:themeColor="text1"/>
        </w:rPr>
        <w:t>避免事後蒐集資料有失真之虞，</w:t>
      </w:r>
      <w:r w:rsidRPr="00294EB2">
        <w:rPr>
          <w:rFonts w:hint="eastAsia"/>
          <w:color w:val="000000" w:themeColor="text1"/>
        </w:rPr>
        <w:t>該部將於</w:t>
      </w:r>
      <w:r w:rsidRPr="00294EB2">
        <w:rPr>
          <w:color w:val="000000" w:themeColor="text1"/>
        </w:rPr>
        <w:t>辦理「原住民及花東離島地區殯葬設施改善計畫」（107年至110年）加強評估產出效益面之衡量指標，以提升計畫辦理效益</w:t>
      </w:r>
      <w:r w:rsidRPr="00294EB2">
        <w:rPr>
          <w:rFonts w:hint="eastAsia"/>
          <w:color w:val="000000" w:themeColor="text1"/>
        </w:rPr>
        <w:t>等語</w:t>
      </w:r>
      <w:r w:rsidRPr="00294EB2">
        <w:rPr>
          <w:color w:val="000000" w:themeColor="text1"/>
        </w:rPr>
        <w:t>。</w:t>
      </w:r>
    </w:p>
    <w:p w:rsidR="00C64D52" w:rsidRPr="00294EB2" w:rsidRDefault="00C64D52" w:rsidP="00C64D52">
      <w:pPr>
        <w:pStyle w:val="4"/>
        <w:numPr>
          <w:ilvl w:val="3"/>
          <w:numId w:val="1"/>
        </w:numPr>
        <w:rPr>
          <w:color w:val="000000" w:themeColor="text1"/>
        </w:rPr>
      </w:pPr>
      <w:r w:rsidRPr="00294EB2">
        <w:rPr>
          <w:rFonts w:hint="eastAsia"/>
          <w:color w:val="000000" w:themeColor="text1"/>
        </w:rPr>
        <w:t>是以，內政部辦理殯葬設施示範計畫第三期計畫，推動項目既訂有衡量指標及計畫目標值，惟該部卻稱於執行過程另以達成案件數大致反推量化指標，故而未實際妥為蒐集相關統計資料，致缺乏有效佐證數據，據以明確評估分析計畫目標達成程度，核有疏失。</w:t>
      </w:r>
    </w:p>
    <w:p w:rsidR="00C64D52" w:rsidRPr="00294EB2" w:rsidRDefault="00C64D52" w:rsidP="00C64D52">
      <w:pPr>
        <w:pStyle w:val="3"/>
        <w:numPr>
          <w:ilvl w:val="2"/>
          <w:numId w:val="1"/>
        </w:numPr>
        <w:rPr>
          <w:color w:val="000000" w:themeColor="text1"/>
        </w:rPr>
      </w:pPr>
      <w:r w:rsidRPr="00294EB2">
        <w:rPr>
          <w:rFonts w:hint="eastAsia"/>
          <w:color w:val="000000" w:themeColor="text1"/>
        </w:rPr>
        <w:t>有關內政部辦理殯葬設施示範計畫第三期計畫之評審作業情形：</w:t>
      </w:r>
    </w:p>
    <w:p w:rsidR="00C64D52" w:rsidRPr="00294EB2" w:rsidRDefault="00C64D52" w:rsidP="00C64D52">
      <w:pPr>
        <w:pStyle w:val="4"/>
        <w:numPr>
          <w:ilvl w:val="3"/>
          <w:numId w:val="1"/>
        </w:numPr>
        <w:rPr>
          <w:color w:val="000000" w:themeColor="text1"/>
        </w:rPr>
      </w:pPr>
      <w:r w:rsidRPr="00294EB2">
        <w:rPr>
          <w:rFonts w:hint="eastAsia"/>
          <w:color w:val="000000" w:themeColor="text1"/>
        </w:rPr>
        <w:t>按「內政部殯葬設施示範計畫第三期計畫補助作業要點」第6、7點規定，業就各補助項目訂定申請要件、應辦理事項及應備文件等，並於作業要點附表一檢附「○○市</w:t>
      </w:r>
      <w:r w:rsidRPr="00294EB2">
        <w:rPr>
          <w:color w:val="000000" w:themeColor="text1"/>
        </w:rPr>
        <w:t>(</w:t>
      </w:r>
      <w:r w:rsidRPr="00294EB2">
        <w:rPr>
          <w:rFonts w:hint="eastAsia"/>
          <w:color w:val="000000" w:themeColor="text1"/>
        </w:rPr>
        <w:t>縣</w:t>
      </w:r>
      <w:r w:rsidRPr="00294EB2">
        <w:rPr>
          <w:color w:val="000000" w:themeColor="text1"/>
        </w:rPr>
        <w:t>)</w:t>
      </w:r>
      <w:r w:rsidRPr="00294EB2">
        <w:rPr>
          <w:rFonts w:hint="eastAsia"/>
          <w:color w:val="000000" w:themeColor="text1"/>
        </w:rPr>
        <w:t>政府殯葬設施示範計畫第三期計畫先期作業表」，供市(縣)政府於初審後擬具初審意見。次按同作業要點第8(一)1.規定，該</w:t>
      </w:r>
      <w:r w:rsidRPr="00294EB2">
        <w:rPr>
          <w:rFonts w:hint="eastAsia"/>
          <w:color w:val="000000" w:themeColor="text1"/>
          <w:szCs w:val="48"/>
        </w:rPr>
        <w:t>部於執行年度前1年7月底前派員會同受補助機關實地查訪，就受補助機關所提初審意見</w:t>
      </w:r>
      <w:r w:rsidRPr="00294EB2">
        <w:rPr>
          <w:rFonts w:hint="eastAsia"/>
          <w:color w:val="000000" w:themeColor="text1"/>
        </w:rPr>
        <w:t>依附表二格式(按：即「殯葬設施示範計畫第三期計畫○○年度計畫經費需求實地查訪表」)擬具查訪意見。</w:t>
      </w:r>
    </w:p>
    <w:p w:rsidR="00C64D52" w:rsidRPr="00294EB2" w:rsidRDefault="00C64D52" w:rsidP="00C64D52">
      <w:pPr>
        <w:pStyle w:val="4"/>
        <w:numPr>
          <w:ilvl w:val="3"/>
          <w:numId w:val="1"/>
        </w:numPr>
        <w:rPr>
          <w:color w:val="000000" w:themeColor="text1"/>
        </w:rPr>
      </w:pPr>
      <w:r w:rsidRPr="00294EB2">
        <w:rPr>
          <w:rFonts w:hint="eastAsia"/>
          <w:color w:val="000000" w:themeColor="text1"/>
        </w:rPr>
        <w:t>依據審計部</w:t>
      </w:r>
      <w:r w:rsidRPr="00294EB2">
        <w:rPr>
          <w:color w:val="000000" w:themeColor="text1"/>
        </w:rPr>
        <w:t>105年度中央政府總決算審核報告</w:t>
      </w:r>
      <w:r w:rsidRPr="00294EB2">
        <w:rPr>
          <w:rFonts w:hint="eastAsia"/>
          <w:color w:val="000000" w:themeColor="text1"/>
        </w:rPr>
        <w:t>指出：抽查屏東縣麟洛鄉公所、基隆市立殯葬管理所等2件補助案件，發現辦理申請作業及初審時，部分欠缺作業要點第6、7點規定之申請要件相關說明或佐證資料、未辦理應辦事項</w:t>
      </w:r>
      <w:r w:rsidRPr="00294EB2">
        <w:rPr>
          <w:rStyle w:val="afc"/>
          <w:color w:val="000000" w:themeColor="text1"/>
        </w:rPr>
        <w:footnoteReference w:id="3"/>
      </w:r>
      <w:r w:rsidRPr="00294EB2">
        <w:rPr>
          <w:rFonts w:hint="eastAsia"/>
          <w:color w:val="000000" w:themeColor="text1"/>
        </w:rPr>
        <w:t>，無法確實呈</w:t>
      </w:r>
      <w:r w:rsidRPr="00294EB2">
        <w:rPr>
          <w:rFonts w:hint="eastAsia"/>
          <w:color w:val="000000" w:themeColor="text1"/>
        </w:rPr>
        <w:lastRenderedPageBreak/>
        <w:t>現申請補助案件之現況、急迫性與必要性；又該部未依作業要點第8點規定，填具相關實地查訪表，供審查補助申請案之參據等語。</w:t>
      </w:r>
    </w:p>
    <w:p w:rsidR="00C64D52" w:rsidRPr="00294EB2" w:rsidRDefault="00C64D52" w:rsidP="00C64D52">
      <w:pPr>
        <w:pStyle w:val="4"/>
        <w:numPr>
          <w:ilvl w:val="3"/>
          <w:numId w:val="1"/>
        </w:numPr>
        <w:rPr>
          <w:color w:val="000000" w:themeColor="text1"/>
        </w:rPr>
      </w:pPr>
      <w:r w:rsidRPr="00294EB2">
        <w:rPr>
          <w:rFonts w:hint="eastAsia"/>
          <w:color w:val="000000" w:themeColor="text1"/>
        </w:rPr>
        <w:t>依據內政部106年12月21日詢問書面資料表示：有關部分申請補助案件欠缺申請要件相關說明或佐證資料等一節，該部於實地查訪均已告知申請補助之地方政府，並請執行機關於審查會議就缺漏事項提出說明；另有關該部實地查訪未填具相關實地查訪表一節，因該</w:t>
      </w:r>
      <w:r w:rsidRPr="00294EB2">
        <w:rPr>
          <w:color w:val="000000" w:themeColor="text1"/>
        </w:rPr>
        <w:t>部派員會同受補助機關實地查訪填具實地訪查意見，係為後續審查會議預為準備，</w:t>
      </w:r>
      <w:r w:rsidRPr="00294EB2">
        <w:rPr>
          <w:rFonts w:hint="eastAsia"/>
          <w:color w:val="000000" w:themeColor="text1"/>
        </w:rPr>
        <w:t>該</w:t>
      </w:r>
      <w:r w:rsidRPr="00294EB2">
        <w:rPr>
          <w:color w:val="000000" w:themeColor="text1"/>
        </w:rPr>
        <w:t>部派員辦理地方需求計畫實地查訪行程結束後，相關</w:t>
      </w:r>
      <w:r w:rsidRPr="00294EB2">
        <w:rPr>
          <w:rFonts w:hint="eastAsia"/>
          <w:color w:val="000000" w:themeColor="text1"/>
        </w:rPr>
        <w:t>查訪</w:t>
      </w:r>
      <w:r w:rsidRPr="00294EB2">
        <w:rPr>
          <w:color w:val="000000" w:themeColor="text1"/>
        </w:rPr>
        <w:t>紀錄即轉謄於經費需求彙整表並擬具訪查意見，以供會議審查補助申請案之參據</w:t>
      </w:r>
      <w:r w:rsidRPr="00294EB2">
        <w:rPr>
          <w:rFonts w:hint="eastAsia"/>
          <w:color w:val="000000" w:themeColor="text1"/>
        </w:rPr>
        <w:t>，</w:t>
      </w:r>
      <w:r w:rsidRPr="00294EB2">
        <w:rPr>
          <w:color w:val="000000" w:themeColor="text1"/>
        </w:rPr>
        <w:t>因實地查訪表為填製經費需求彙整表之基礎文件，故僅以經費需求彙整表歸檔存查。有關未妥善收妥實地查訪表相關缺失，</w:t>
      </w:r>
      <w:r w:rsidRPr="00294EB2">
        <w:rPr>
          <w:rFonts w:hint="eastAsia"/>
          <w:color w:val="000000" w:themeColor="text1"/>
        </w:rPr>
        <w:t>該</w:t>
      </w:r>
      <w:r w:rsidRPr="00294EB2">
        <w:rPr>
          <w:color w:val="000000" w:themeColor="text1"/>
        </w:rPr>
        <w:t>部辦理「原住民及花東離島地區殯葬設施改善計畫」（107年至110年）將配合檢討改善</w:t>
      </w:r>
      <w:r w:rsidRPr="00294EB2">
        <w:rPr>
          <w:rFonts w:hint="eastAsia"/>
          <w:color w:val="000000" w:themeColor="text1"/>
        </w:rPr>
        <w:t>等語</w:t>
      </w:r>
      <w:r w:rsidRPr="00294EB2">
        <w:rPr>
          <w:color w:val="000000" w:themeColor="text1"/>
        </w:rPr>
        <w:t>。</w:t>
      </w:r>
    </w:p>
    <w:p w:rsidR="00C64D52" w:rsidRPr="00294EB2" w:rsidRDefault="00C64D52" w:rsidP="00C64D52">
      <w:pPr>
        <w:pStyle w:val="4"/>
        <w:numPr>
          <w:ilvl w:val="3"/>
          <w:numId w:val="1"/>
        </w:numPr>
        <w:rPr>
          <w:color w:val="000000" w:themeColor="text1"/>
        </w:rPr>
      </w:pPr>
      <w:r w:rsidRPr="00294EB2">
        <w:rPr>
          <w:rFonts w:hint="eastAsia"/>
          <w:color w:val="000000" w:themeColor="text1"/>
        </w:rPr>
        <w:t>是以，內政部辦理殯葬設施示範計畫第三期計畫之評審作業，部分申請案件欠缺申請要件相關說明等資料，該部雖稱於實地查訪均已告知申請補助之地方政府，於審查會議就缺漏事項提出說明，惟仍乏具體佐證資料；復該部</w:t>
      </w:r>
      <w:r w:rsidRPr="00294EB2">
        <w:rPr>
          <w:color w:val="000000" w:themeColor="text1"/>
        </w:rPr>
        <w:t>派員辦理地方需求實地</w:t>
      </w:r>
      <w:r w:rsidRPr="00294EB2">
        <w:rPr>
          <w:rFonts w:hint="eastAsia"/>
          <w:color w:val="000000" w:themeColor="text1"/>
        </w:rPr>
        <w:t>查訪所填具之查訪表，於</w:t>
      </w:r>
      <w:r w:rsidRPr="00294EB2">
        <w:rPr>
          <w:color w:val="000000" w:themeColor="text1"/>
        </w:rPr>
        <w:t>轉謄經費需求彙整表並擬具訪查意見</w:t>
      </w:r>
      <w:r w:rsidRPr="00294EB2">
        <w:rPr>
          <w:rFonts w:hint="eastAsia"/>
          <w:color w:val="000000" w:themeColor="text1"/>
        </w:rPr>
        <w:t>後，該查訪表並未予歸檔，除檔案闕漏外，亦恐因未有紀錄而致生是否落實查訪之疑慮，均核有疏失。</w:t>
      </w:r>
    </w:p>
    <w:p w:rsidR="00C64D52" w:rsidRPr="00C64D52" w:rsidRDefault="00C64D52" w:rsidP="00C64D52">
      <w:pPr>
        <w:pStyle w:val="3"/>
      </w:pPr>
      <w:r w:rsidRPr="00294EB2">
        <w:rPr>
          <w:rFonts w:hint="eastAsia"/>
          <w:color w:val="000000" w:themeColor="text1"/>
        </w:rPr>
        <w:lastRenderedPageBreak/>
        <w:t>綜上，內政部辦理殯葬設施示範計畫第三期計畫之行政缺失事項，業經審計部105年度中央政府總決算審核報告指摘綦詳，相關作業疏失至為灼然，實有欠當，該部允應引以為鑑，前事不忘後事之師，以避免類案之再度發生。</w:t>
      </w:r>
    </w:p>
    <w:p w:rsidR="00C64D52" w:rsidRPr="00C64D52" w:rsidRDefault="00C64D52" w:rsidP="00294EB2">
      <w:pPr>
        <w:pStyle w:val="2"/>
        <w:rPr>
          <w:color w:val="000000" w:themeColor="text1"/>
        </w:rPr>
      </w:pPr>
      <w:r w:rsidRPr="00C64D52">
        <w:rPr>
          <w:rFonts w:hint="eastAsia"/>
          <w:color w:val="000000" w:themeColor="text1"/>
        </w:rPr>
        <w:t>內政部96年</w:t>
      </w:r>
      <w:r w:rsidRPr="00C64D52">
        <w:rPr>
          <w:rFonts w:hint="eastAsia"/>
        </w:rPr>
        <w:t>曾</w:t>
      </w:r>
      <w:r w:rsidRPr="00294EB2">
        <w:rPr>
          <w:rFonts w:hint="eastAsia"/>
          <w:color w:val="000000" w:themeColor="text1"/>
          <w:szCs w:val="36"/>
        </w:rPr>
        <w:t>辦理</w:t>
      </w:r>
      <w:r w:rsidRPr="00C64D52">
        <w:rPr>
          <w:color w:val="000000" w:themeColor="text1"/>
        </w:rPr>
        <w:t>「我國殯葬設施分布及供需調查研究」</w:t>
      </w:r>
      <w:r w:rsidRPr="00C64D52">
        <w:rPr>
          <w:rFonts w:hint="eastAsia"/>
        </w:rPr>
        <w:t>，據以規劃國家殯葬政策，時隔10年，</w:t>
      </w:r>
      <w:r w:rsidRPr="00C64D52">
        <w:rPr>
          <w:color w:val="000000" w:themeColor="text1"/>
        </w:rPr>
        <w:t>國人喪葬方式</w:t>
      </w:r>
      <w:r w:rsidRPr="00C64D52">
        <w:rPr>
          <w:rFonts w:hint="eastAsia"/>
          <w:color w:val="000000" w:themeColor="text1"/>
        </w:rPr>
        <w:t>及時空環境</w:t>
      </w:r>
      <w:r w:rsidRPr="00C64D52">
        <w:rPr>
          <w:rFonts w:hint="eastAsia"/>
        </w:rPr>
        <w:t>業已大幅變遷，</w:t>
      </w:r>
      <w:r w:rsidRPr="00C64D52">
        <w:rPr>
          <w:color w:val="000000" w:themeColor="text1"/>
        </w:rPr>
        <w:t>殯葬</w:t>
      </w:r>
      <w:r w:rsidRPr="00C64D52">
        <w:rPr>
          <w:rFonts w:hint="eastAsia"/>
        </w:rPr>
        <w:t>的</w:t>
      </w:r>
      <w:r w:rsidRPr="00C64D52">
        <w:rPr>
          <w:color w:val="000000" w:themeColor="text1"/>
        </w:rPr>
        <w:t>設施分布及供</w:t>
      </w:r>
      <w:r w:rsidRPr="00C64D52">
        <w:rPr>
          <w:rFonts w:hint="eastAsia"/>
          <w:color w:val="000000" w:themeColor="text1"/>
        </w:rPr>
        <w:t>需</w:t>
      </w:r>
      <w:r w:rsidRPr="00C64D52">
        <w:rPr>
          <w:rFonts w:hint="eastAsia"/>
        </w:rPr>
        <w:t>實</w:t>
      </w:r>
      <w:r w:rsidRPr="00C64D52">
        <w:t>情</w:t>
      </w:r>
      <w:r w:rsidRPr="00C64D52">
        <w:rPr>
          <w:rFonts w:hint="eastAsia"/>
        </w:rPr>
        <w:t>已大不相同</w:t>
      </w:r>
      <w:r w:rsidRPr="00C64D52">
        <w:t>，</w:t>
      </w:r>
      <w:r w:rsidRPr="00C64D52">
        <w:rPr>
          <w:rFonts w:hint="eastAsia"/>
        </w:rPr>
        <w:t>猶未能賡續辦理調查分析作為施政之參據，核有怠失。</w:t>
      </w:r>
    </w:p>
    <w:p w:rsidR="00C64D52" w:rsidRPr="00294EB2" w:rsidRDefault="00C64D52" w:rsidP="00C64D52">
      <w:pPr>
        <w:numPr>
          <w:ilvl w:val="2"/>
          <w:numId w:val="26"/>
        </w:numPr>
        <w:outlineLvl w:val="2"/>
        <w:rPr>
          <w:rFonts w:hAnsi="Arial"/>
          <w:bCs/>
          <w:color w:val="000000" w:themeColor="text1"/>
          <w:kern w:val="32"/>
          <w:szCs w:val="36"/>
        </w:rPr>
      </w:pPr>
      <w:r w:rsidRPr="00294EB2">
        <w:rPr>
          <w:rFonts w:hAnsi="Arial" w:hint="eastAsia"/>
          <w:bCs/>
          <w:color w:val="000000" w:themeColor="text1"/>
          <w:kern w:val="32"/>
          <w:szCs w:val="36"/>
        </w:rPr>
        <w:t>內政部於96年考量公私部門在開發設置殯葬設施，因經營資訊缺乏，往往造成各地殯葬設施供給過剩或不足，如何規劃適當的殯葬服務區域、新建殯葬設施之必要性與區位選擇、補助地方政府改善殯葬設施之項目與額度，皆需詳細之供需調查研究，以作為政府施政之參考，爰委外辦理</w:t>
      </w:r>
      <w:r w:rsidRPr="00294EB2">
        <w:rPr>
          <w:rFonts w:hAnsi="Arial"/>
          <w:bCs/>
          <w:color w:val="000000" w:themeColor="text1"/>
          <w:kern w:val="32"/>
          <w:szCs w:val="36"/>
        </w:rPr>
        <w:t>「我國殯葬設施分布及供需調查研究」</w:t>
      </w:r>
      <w:r w:rsidRPr="00294EB2">
        <w:rPr>
          <w:rFonts w:hAnsi="Arial" w:hint="eastAsia"/>
          <w:bCs/>
          <w:color w:val="000000" w:themeColor="text1"/>
          <w:kern w:val="32"/>
          <w:szCs w:val="36"/>
        </w:rPr>
        <w:t>，故該部於</w:t>
      </w:r>
      <w:r w:rsidRPr="00294EB2">
        <w:rPr>
          <w:rFonts w:hAnsi="Arial"/>
          <w:bCs/>
          <w:color w:val="000000" w:themeColor="text1"/>
          <w:kern w:val="32"/>
          <w:szCs w:val="36"/>
        </w:rPr>
        <w:t>96年委外辦理</w:t>
      </w:r>
      <w:r w:rsidRPr="00294EB2">
        <w:rPr>
          <w:rFonts w:hAnsi="Arial" w:hint="eastAsia"/>
          <w:bCs/>
          <w:color w:val="000000" w:themeColor="text1"/>
          <w:kern w:val="32"/>
          <w:szCs w:val="36"/>
        </w:rPr>
        <w:t>之該</w:t>
      </w:r>
      <w:r w:rsidRPr="00294EB2">
        <w:rPr>
          <w:rFonts w:hAnsi="Arial"/>
          <w:bCs/>
          <w:color w:val="000000" w:themeColor="text1"/>
          <w:kern w:val="32"/>
          <w:szCs w:val="36"/>
        </w:rPr>
        <w:t>研究係分析95年至140年（目標年）期間，國內殯葬設施供需情形及有無出現邊際年（供給不足年度），該研究採用</w:t>
      </w:r>
      <w:r w:rsidRPr="00294EB2">
        <w:rPr>
          <w:rFonts w:hAnsi="Arial" w:hint="eastAsia"/>
          <w:bCs/>
          <w:color w:val="000000" w:themeColor="text1"/>
          <w:kern w:val="32"/>
          <w:szCs w:val="36"/>
        </w:rPr>
        <w:t>該</w:t>
      </w:r>
      <w:r w:rsidRPr="00294EB2">
        <w:rPr>
          <w:rFonts w:hAnsi="Arial"/>
          <w:bCs/>
          <w:color w:val="000000" w:themeColor="text1"/>
          <w:kern w:val="32"/>
          <w:szCs w:val="36"/>
        </w:rPr>
        <w:t>部95年統計年報資料為基礎</w:t>
      </w:r>
      <w:r w:rsidRPr="00294EB2">
        <w:rPr>
          <w:rFonts w:hAnsi="Arial" w:hint="eastAsia"/>
          <w:bCs/>
          <w:color w:val="000000" w:themeColor="text1"/>
          <w:kern w:val="32"/>
          <w:szCs w:val="36"/>
        </w:rPr>
        <w:t>，如每禮廳1年平均服務殯殮數588具，每火化爐具1年平均服務火化數665具等數據，該數據相當每禮廳1天平均辦理1.6場次告別式，每火化爐具1天平均火化1.8具遺體。</w:t>
      </w:r>
    </w:p>
    <w:p w:rsidR="00C64D52" w:rsidRPr="00294EB2" w:rsidRDefault="00C64D52" w:rsidP="00C64D52">
      <w:pPr>
        <w:numPr>
          <w:ilvl w:val="2"/>
          <w:numId w:val="26"/>
        </w:numPr>
        <w:outlineLvl w:val="2"/>
        <w:rPr>
          <w:rFonts w:hAnsi="Arial"/>
          <w:bCs/>
          <w:color w:val="000000" w:themeColor="text1"/>
          <w:kern w:val="32"/>
          <w:szCs w:val="36"/>
        </w:rPr>
      </w:pPr>
      <w:r w:rsidRPr="00294EB2">
        <w:rPr>
          <w:rFonts w:hAnsi="標楷體" w:hint="eastAsia"/>
          <w:bCs/>
          <w:color w:val="000000" w:themeColor="text1"/>
          <w:kern w:val="32"/>
          <w:szCs w:val="32"/>
        </w:rPr>
        <w:t>惟現今</w:t>
      </w:r>
      <w:r w:rsidRPr="00294EB2">
        <w:rPr>
          <w:rFonts w:hAnsi="標楷體"/>
          <w:bCs/>
          <w:color w:val="000000" w:themeColor="text1"/>
          <w:kern w:val="32"/>
          <w:szCs w:val="32"/>
        </w:rPr>
        <w:t>民眾採殯儀館治喪及火化人數比率較95年度已有顯著</w:t>
      </w:r>
      <w:r w:rsidRPr="00294EB2">
        <w:rPr>
          <w:rFonts w:hAnsi="標楷體" w:hint="eastAsia"/>
          <w:bCs/>
          <w:color w:val="000000" w:themeColor="text1"/>
          <w:kern w:val="32"/>
          <w:szCs w:val="32"/>
        </w:rPr>
        <w:t>差異。據該部於106年12月21日詢問書面資料表示：民眾採殯儀館治喪及火化人數比率較95年度已有提升，又</w:t>
      </w:r>
      <w:r w:rsidRPr="00294EB2">
        <w:rPr>
          <w:rFonts w:hAnsi="標楷體"/>
          <w:bCs/>
          <w:color w:val="000000" w:themeColor="text1"/>
          <w:kern w:val="32"/>
          <w:szCs w:val="32"/>
        </w:rPr>
        <w:t>因殯葬設施設置不易，各直轄市、縣（市）為提升殯殮及火化服務量能，禮廳部</w:t>
      </w:r>
      <w:r w:rsidRPr="00294EB2">
        <w:rPr>
          <w:rFonts w:hAnsi="標楷體" w:hint="eastAsia"/>
          <w:bCs/>
          <w:color w:val="000000" w:themeColor="text1"/>
          <w:kern w:val="32"/>
          <w:szCs w:val="32"/>
        </w:rPr>
        <w:t>分</w:t>
      </w:r>
      <w:r w:rsidRPr="00294EB2">
        <w:rPr>
          <w:rFonts w:hAnsi="標楷體"/>
          <w:bCs/>
          <w:color w:val="000000" w:themeColor="text1"/>
          <w:kern w:val="32"/>
          <w:szCs w:val="32"/>
        </w:rPr>
        <w:t>多採減少每節使用時間（如1節4小時調整為3或2小</w:t>
      </w:r>
      <w:r w:rsidRPr="00294EB2">
        <w:rPr>
          <w:rFonts w:hAnsi="標楷體"/>
          <w:bCs/>
          <w:color w:val="000000" w:themeColor="text1"/>
          <w:kern w:val="32"/>
          <w:szCs w:val="32"/>
        </w:rPr>
        <w:lastRenderedPageBreak/>
        <w:t>時）及夜間加場服務，以增加辦理告別式場次，並利用新式火化爐具及技術縮短火化時間（如3小時降為2小時或1.5小時等），以提升火化量能</w:t>
      </w:r>
      <w:r w:rsidRPr="00294EB2">
        <w:rPr>
          <w:rFonts w:hAnsi="標楷體" w:hint="eastAsia"/>
          <w:bCs/>
          <w:color w:val="000000" w:themeColor="text1"/>
          <w:kern w:val="32"/>
          <w:szCs w:val="32"/>
        </w:rPr>
        <w:t>等語。另由內政部提供歷年殯儀館及火化場設施概況顯示，95年之死亡人數為13萬6,371人、100年之死亡人數為15萬3,206人、105年之死亡人數為17萬2,829人，足見死亡人數已逐年增加；此外，105年之火化場</w:t>
      </w:r>
      <w:r w:rsidRPr="00294EB2">
        <w:rPr>
          <w:rFonts w:hAnsi="Arial" w:hint="eastAsia"/>
          <w:bCs/>
          <w:color w:val="000000" w:themeColor="text1"/>
          <w:kern w:val="32"/>
          <w:szCs w:val="36"/>
        </w:rPr>
        <w:t>平均每座火化爐具1年服務火化數已達870具</w:t>
      </w:r>
      <w:r w:rsidRPr="00294EB2">
        <w:rPr>
          <w:rFonts w:hAnsi="標楷體" w:hint="eastAsia"/>
          <w:bCs/>
          <w:color w:val="000000" w:themeColor="text1"/>
          <w:kern w:val="32"/>
          <w:szCs w:val="32"/>
        </w:rPr>
        <w:t>，而禮廳數相較於95年亦有增加</w:t>
      </w:r>
      <w:r w:rsidRPr="00294EB2">
        <w:rPr>
          <w:rFonts w:hAnsi="標楷體"/>
          <w:bCs/>
          <w:color w:val="000000" w:themeColor="text1"/>
          <w:kern w:val="32"/>
          <w:szCs w:val="32"/>
        </w:rPr>
        <w:t>（</w:t>
      </w:r>
      <w:r w:rsidRPr="00294EB2">
        <w:rPr>
          <w:rFonts w:hAnsi="標楷體" w:hint="eastAsia"/>
          <w:bCs/>
          <w:color w:val="000000" w:themeColor="text1"/>
          <w:kern w:val="32"/>
          <w:szCs w:val="32"/>
        </w:rPr>
        <w:t>詳</w:t>
      </w:r>
      <w:r w:rsidRPr="00294EB2">
        <w:rPr>
          <w:rFonts w:hAnsi="標楷體"/>
          <w:bCs/>
          <w:color w:val="000000" w:themeColor="text1"/>
          <w:kern w:val="32"/>
          <w:szCs w:val="32"/>
        </w:rPr>
        <w:t>表</w:t>
      </w:r>
      <w:r w:rsidR="00294EB2" w:rsidRPr="00294EB2">
        <w:rPr>
          <w:rFonts w:hAnsi="標楷體" w:hint="eastAsia"/>
          <w:bCs/>
          <w:color w:val="000000" w:themeColor="text1"/>
          <w:kern w:val="32"/>
          <w:szCs w:val="32"/>
        </w:rPr>
        <w:t>5</w:t>
      </w:r>
      <w:r w:rsidRPr="00294EB2">
        <w:rPr>
          <w:rFonts w:hAnsi="標楷體"/>
          <w:bCs/>
          <w:color w:val="000000" w:themeColor="text1"/>
          <w:kern w:val="32"/>
          <w:szCs w:val="32"/>
        </w:rPr>
        <w:t>）</w:t>
      </w:r>
      <w:r w:rsidRPr="00294EB2">
        <w:rPr>
          <w:rFonts w:hAnsi="標楷體" w:hint="eastAsia"/>
          <w:bCs/>
          <w:color w:val="000000" w:themeColor="text1"/>
          <w:kern w:val="32"/>
          <w:szCs w:val="32"/>
        </w:rPr>
        <w:t>，</w:t>
      </w:r>
      <w:r w:rsidRPr="00294EB2">
        <w:rPr>
          <w:rFonts w:hAnsi="標楷體"/>
          <w:bCs/>
          <w:color w:val="000000" w:themeColor="text1"/>
          <w:kern w:val="32"/>
          <w:szCs w:val="32"/>
        </w:rPr>
        <w:t>故有關每禮廳、火化爐具之年平均服務量能，</w:t>
      </w:r>
      <w:r w:rsidRPr="00294EB2">
        <w:rPr>
          <w:rFonts w:hAnsi="標楷體" w:hint="eastAsia"/>
          <w:bCs/>
          <w:color w:val="000000" w:themeColor="text1"/>
          <w:kern w:val="32"/>
          <w:szCs w:val="32"/>
        </w:rPr>
        <w:t>仍</w:t>
      </w:r>
      <w:r w:rsidRPr="00294EB2">
        <w:rPr>
          <w:rFonts w:hAnsi="標楷體"/>
          <w:bCs/>
          <w:color w:val="000000" w:themeColor="text1"/>
          <w:kern w:val="32"/>
          <w:szCs w:val="32"/>
        </w:rPr>
        <w:t>尚待更深入之統計分析，始得取得更符合現況之推計結果。</w:t>
      </w:r>
    </w:p>
    <w:p w:rsidR="00C64D52" w:rsidRPr="00C64D52" w:rsidRDefault="00C64D52" w:rsidP="00C64D52">
      <w:pPr>
        <w:numPr>
          <w:ilvl w:val="2"/>
          <w:numId w:val="26"/>
        </w:numPr>
        <w:outlineLvl w:val="2"/>
        <w:rPr>
          <w:color w:val="000000" w:themeColor="text1"/>
        </w:rPr>
      </w:pPr>
      <w:r w:rsidRPr="00294EB2">
        <w:rPr>
          <w:rFonts w:hint="eastAsia"/>
          <w:color w:val="000000" w:themeColor="text1"/>
        </w:rPr>
        <w:t>綜上，</w:t>
      </w:r>
      <w:r w:rsidRPr="00294EB2">
        <w:rPr>
          <w:rFonts w:hAnsi="標楷體" w:hint="eastAsia"/>
          <w:bCs/>
          <w:color w:val="000000" w:themeColor="text1"/>
          <w:kern w:val="32"/>
          <w:szCs w:val="32"/>
        </w:rPr>
        <w:t>內政部</w:t>
      </w:r>
      <w:r w:rsidRPr="00294EB2">
        <w:rPr>
          <w:rFonts w:hint="eastAsia"/>
          <w:color w:val="000000" w:themeColor="text1"/>
        </w:rPr>
        <w:t>96年曾辦理</w:t>
      </w:r>
      <w:r w:rsidRPr="00294EB2">
        <w:rPr>
          <w:color w:val="000000" w:themeColor="text1"/>
        </w:rPr>
        <w:t>「我國殯葬設施分布及供需調查研究」</w:t>
      </w:r>
      <w:r w:rsidRPr="00294EB2">
        <w:rPr>
          <w:rFonts w:hint="eastAsia"/>
          <w:color w:val="000000" w:themeColor="text1"/>
        </w:rPr>
        <w:t>，據以規劃國家殯葬政策，時隔10年，</w:t>
      </w:r>
      <w:r w:rsidRPr="00294EB2">
        <w:rPr>
          <w:color w:val="000000" w:themeColor="text1"/>
        </w:rPr>
        <w:t>國人喪葬方式</w:t>
      </w:r>
      <w:r w:rsidRPr="00294EB2">
        <w:rPr>
          <w:rFonts w:hint="eastAsia"/>
          <w:color w:val="000000" w:themeColor="text1"/>
        </w:rPr>
        <w:t>及時空環境業已大幅變遷，</w:t>
      </w:r>
      <w:r w:rsidRPr="00294EB2">
        <w:rPr>
          <w:color w:val="000000" w:themeColor="text1"/>
        </w:rPr>
        <w:t>殯葬</w:t>
      </w:r>
      <w:r w:rsidRPr="00294EB2">
        <w:rPr>
          <w:rFonts w:hint="eastAsia"/>
          <w:color w:val="000000" w:themeColor="text1"/>
        </w:rPr>
        <w:t>的</w:t>
      </w:r>
      <w:r w:rsidRPr="00294EB2">
        <w:rPr>
          <w:color w:val="000000" w:themeColor="text1"/>
        </w:rPr>
        <w:t>設施分布及供</w:t>
      </w:r>
      <w:r w:rsidRPr="00294EB2">
        <w:rPr>
          <w:rFonts w:hint="eastAsia"/>
          <w:color w:val="000000" w:themeColor="text1"/>
        </w:rPr>
        <w:t>需實</w:t>
      </w:r>
      <w:r w:rsidRPr="00294EB2">
        <w:rPr>
          <w:color w:val="000000" w:themeColor="text1"/>
        </w:rPr>
        <w:t>情</w:t>
      </w:r>
      <w:r w:rsidRPr="00294EB2">
        <w:rPr>
          <w:rFonts w:hint="eastAsia"/>
          <w:color w:val="000000" w:themeColor="text1"/>
        </w:rPr>
        <w:t>已大不相同</w:t>
      </w:r>
      <w:r w:rsidRPr="00294EB2">
        <w:rPr>
          <w:color w:val="000000" w:themeColor="text1"/>
        </w:rPr>
        <w:t>，</w:t>
      </w:r>
      <w:r w:rsidRPr="00294EB2">
        <w:rPr>
          <w:rFonts w:hint="eastAsia"/>
          <w:color w:val="000000" w:themeColor="text1"/>
        </w:rPr>
        <w:t>猶未能賡續辦理調查研究，核有怠失，為完善國人慎終追遠之需求，精準推估殯葬設施之供需，實應確實辦理調查分析作為施政之參據，以免再度發生殯葬第三期計畫補助2億7,678萬餘元，卻績效欠佳情形。</w:t>
      </w:r>
    </w:p>
    <w:p w:rsidR="00B11451" w:rsidRPr="00294EB2" w:rsidRDefault="00B11451" w:rsidP="00294EB2">
      <w:pPr>
        <w:pStyle w:val="2"/>
        <w:numPr>
          <w:ilvl w:val="1"/>
          <w:numId w:val="26"/>
        </w:numPr>
      </w:pPr>
      <w:r w:rsidRPr="00294EB2">
        <w:rPr>
          <w:rFonts w:hint="eastAsia"/>
          <w:color w:val="000000" w:themeColor="text1"/>
        </w:rPr>
        <w:t>內政部辦理地方政府殯葬管理業務績效考核評量之先期作業過於匆促，評量之期程更欠合理，肇致各地方政府因應不及，核有疏失。</w:t>
      </w:r>
    </w:p>
    <w:p w:rsidR="00B11451" w:rsidRPr="00294EB2" w:rsidRDefault="00B11451" w:rsidP="00B11451">
      <w:pPr>
        <w:pStyle w:val="3"/>
        <w:numPr>
          <w:ilvl w:val="2"/>
          <w:numId w:val="1"/>
        </w:numPr>
        <w:rPr>
          <w:color w:val="000000" w:themeColor="text1"/>
        </w:rPr>
      </w:pPr>
      <w:r w:rsidRPr="00294EB2">
        <w:rPr>
          <w:rFonts w:hAnsi="標楷體" w:hint="eastAsia"/>
          <w:color w:val="000000" w:themeColor="text1"/>
          <w:szCs w:val="32"/>
        </w:rPr>
        <w:t>內政部自100年起，每2年辦理1次直轄市、縣（市）政府殯葬管理業務績效評量，辦理年度分別為100、102、104、106年度等。</w:t>
      </w:r>
      <w:r w:rsidRPr="00294EB2">
        <w:rPr>
          <w:rFonts w:hint="eastAsia"/>
          <w:color w:val="000000" w:themeColor="text1"/>
        </w:rPr>
        <w:t>評量當年1月底前函請直轄市、縣（市）政府於4月底前填具自我評量表並檢具相關附件送部書面審查，再由評核小組於5月至8月底前完成實地考核作業，9月底前由評核小組召開審查會議，審查結果簽陳部、次長核定後，函知各直轄市、縣（市）政府評量結果、應改善項目及相</w:t>
      </w:r>
      <w:r w:rsidRPr="00294EB2">
        <w:rPr>
          <w:rFonts w:hint="eastAsia"/>
          <w:color w:val="000000" w:themeColor="text1"/>
        </w:rPr>
        <w:lastRenderedPageBreak/>
        <w:t>關建議，據以辦理獎勵事宜。</w:t>
      </w:r>
      <w:r w:rsidRPr="00294EB2">
        <w:rPr>
          <w:rFonts w:hAnsi="標楷體" w:hint="eastAsia"/>
          <w:color w:val="000000" w:themeColor="text1"/>
          <w:szCs w:val="32"/>
        </w:rPr>
        <w:t>據該部於107年2月7日詢問書面資料表示：該部於99年5月24日函頒「內政部辦理直轄市、縣（市）政府殯葬管理業務</w:t>
      </w:r>
      <w:r w:rsidRPr="00294EB2">
        <w:rPr>
          <w:rFonts w:hint="eastAsia"/>
          <w:color w:val="000000" w:themeColor="text1"/>
        </w:rPr>
        <w:t>績效</w:t>
      </w:r>
      <w:r w:rsidRPr="00294EB2">
        <w:rPr>
          <w:rFonts w:hAnsi="標楷體" w:hint="eastAsia"/>
          <w:color w:val="000000" w:themeColor="text1"/>
          <w:szCs w:val="32"/>
        </w:rPr>
        <w:t>評量實施計畫」後，為求評量過程能更公正、客觀及充分反映各直轄市、縣（市）政府殯葬管理業務績效，且引導比較、仿效他府優點之機會，積極改善自身之缺失，進而保障民眾及消費者權益，該部業分別於102年3月1日及105年12月30日兩次修訂評量實施計畫等語。</w:t>
      </w:r>
    </w:p>
    <w:p w:rsidR="00B11451" w:rsidRPr="00294EB2" w:rsidRDefault="00B11451" w:rsidP="00B11451">
      <w:pPr>
        <w:pStyle w:val="3"/>
        <w:numPr>
          <w:ilvl w:val="2"/>
          <w:numId w:val="1"/>
        </w:numPr>
        <w:rPr>
          <w:color w:val="000000" w:themeColor="text1"/>
        </w:rPr>
      </w:pPr>
      <w:r w:rsidRPr="00294EB2">
        <w:rPr>
          <w:rFonts w:hAnsi="標楷體" w:hint="eastAsia"/>
          <w:color w:val="000000" w:themeColor="text1"/>
          <w:szCs w:val="32"/>
        </w:rPr>
        <w:t>查以該部幾次辦理殯葬管理業務</w:t>
      </w:r>
      <w:r w:rsidRPr="00294EB2">
        <w:rPr>
          <w:rFonts w:hint="eastAsia"/>
          <w:color w:val="000000" w:themeColor="text1"/>
        </w:rPr>
        <w:t>績效</w:t>
      </w:r>
      <w:r w:rsidRPr="00294EB2">
        <w:rPr>
          <w:rFonts w:hAnsi="標楷體" w:hint="eastAsia"/>
          <w:color w:val="000000" w:themeColor="text1"/>
          <w:szCs w:val="32"/>
        </w:rPr>
        <w:t>評量觀之，102年度辦理之評量，係依據該部102年3月1日(並非1月底)所修訂(非原訂)計畫之</w:t>
      </w:r>
      <w:r w:rsidRPr="00294EB2">
        <w:rPr>
          <w:rFonts w:hint="eastAsia"/>
          <w:color w:val="000000" w:themeColor="text1"/>
        </w:rPr>
        <w:t>「考核項目」、「考核指標」及「評分標準」</w:t>
      </w:r>
      <w:r w:rsidRPr="00294EB2">
        <w:rPr>
          <w:rFonts w:hAnsi="標楷體" w:hint="eastAsia"/>
          <w:color w:val="000000" w:themeColor="text1"/>
          <w:szCs w:val="32"/>
        </w:rPr>
        <w:t>，要求地方政府在兩個月內，於102年4月底前自我評量，</w:t>
      </w:r>
      <w:r w:rsidRPr="00294EB2">
        <w:rPr>
          <w:rFonts w:hint="eastAsia"/>
          <w:color w:val="000000" w:themeColor="text1"/>
        </w:rPr>
        <w:t>評核小組仍然需於5月至8月底前完成實地考核作業</w:t>
      </w:r>
      <w:r w:rsidRPr="00294EB2">
        <w:rPr>
          <w:rFonts w:hAnsi="標楷體" w:hint="eastAsia"/>
          <w:color w:val="000000" w:themeColor="text1"/>
          <w:szCs w:val="32"/>
        </w:rPr>
        <w:t>；106年度評量的辦理，係依據該部105年12月30日再度修訂計畫之「考核項目」、「考核指標」及「評分標準」，要求地方政府於106年4月底(即4個月內)前自我評量，</w:t>
      </w:r>
      <w:r w:rsidRPr="00294EB2">
        <w:rPr>
          <w:rFonts w:hint="eastAsia"/>
          <w:color w:val="000000" w:themeColor="text1"/>
        </w:rPr>
        <w:t>評核小組仍然需於5月至8月底前完成實地考核作業。以上可見，既是</w:t>
      </w:r>
      <w:r w:rsidRPr="00294EB2">
        <w:rPr>
          <w:rFonts w:hAnsi="標楷體" w:hint="eastAsia"/>
          <w:color w:val="000000" w:themeColor="text1"/>
          <w:szCs w:val="32"/>
        </w:rPr>
        <w:t>2年辦理1次之地方政府殯葬管理業務績效評量作業，該部兩度在</w:t>
      </w:r>
      <w:r w:rsidRPr="00294EB2">
        <w:rPr>
          <w:rFonts w:hint="eastAsia"/>
          <w:color w:val="000000" w:themeColor="text1"/>
        </w:rPr>
        <w:t>評量前數月始修訂新的評量標準，並要求地方政府在短時間內接受評量，其評量結果難謂合理，是否準確令人存疑。</w:t>
      </w:r>
    </w:p>
    <w:p w:rsidR="00C64D52" w:rsidRPr="00C64D52" w:rsidRDefault="00B11451" w:rsidP="00B11451">
      <w:pPr>
        <w:pStyle w:val="3"/>
        <w:rPr>
          <w:color w:val="000000" w:themeColor="text1"/>
        </w:rPr>
      </w:pPr>
      <w:r w:rsidRPr="00294EB2">
        <w:rPr>
          <w:rFonts w:hint="eastAsia"/>
          <w:color w:val="000000" w:themeColor="text1"/>
        </w:rPr>
        <w:t>質言之，內政部辦理地方政府殯葬管理業務績效考核評量之先期作業過於匆促，評量之期程更欠合理，肇致各地方政府因應不及，核有疏失。該部允應妥善規劃辦理期程，俾能藉由上開考核評量成果，開創彼此良性競爭氛圍、共同達成政策目標之美意。</w:t>
      </w:r>
    </w:p>
    <w:p w:rsidR="00286B1B" w:rsidRDefault="000512D1" w:rsidP="009E1A65">
      <w:pPr>
        <w:pStyle w:val="10"/>
        <w:tabs>
          <w:tab w:val="clear" w:pos="567"/>
          <w:tab w:val="left" w:pos="742"/>
        </w:tabs>
        <w:ind w:leftChars="0" w:left="709" w:firstLineChars="199" w:firstLine="677"/>
        <w:rPr>
          <w:color w:val="000000" w:themeColor="text1"/>
        </w:rPr>
      </w:pPr>
      <w:bookmarkStart w:id="45" w:name="_Toc524902730"/>
      <w:bookmarkEnd w:id="35"/>
      <w:bookmarkEnd w:id="36"/>
      <w:bookmarkEnd w:id="37"/>
      <w:bookmarkEnd w:id="38"/>
      <w:bookmarkEnd w:id="39"/>
      <w:bookmarkEnd w:id="40"/>
      <w:bookmarkEnd w:id="41"/>
      <w:bookmarkEnd w:id="42"/>
      <w:bookmarkEnd w:id="43"/>
      <w:bookmarkEnd w:id="44"/>
      <w:r w:rsidRPr="0046554C">
        <w:rPr>
          <w:rFonts w:hint="eastAsia"/>
          <w:color w:val="000000" w:themeColor="text1"/>
        </w:rPr>
        <w:t>綜上所述，</w:t>
      </w:r>
      <w:r w:rsidR="00E8179B" w:rsidRPr="00E8179B">
        <w:rPr>
          <w:rFonts w:hint="eastAsia"/>
          <w:bCs/>
          <w:color w:val="000000" w:themeColor="text1"/>
        </w:rPr>
        <w:t>內政部推動規劃改善傳統公墓之績效不</w:t>
      </w:r>
      <w:r w:rsidR="00E8179B" w:rsidRPr="00E8179B">
        <w:rPr>
          <w:rFonts w:hint="eastAsia"/>
          <w:bCs/>
          <w:color w:val="000000" w:themeColor="text1"/>
        </w:rPr>
        <w:lastRenderedPageBreak/>
        <w:t>彰，目前仍有公立公墓2,825處(占93.0%)、土地面積高達7,951.68公頃(占87.8%)迄未加以更新，核與該部研定之政策目標欠符</w:t>
      </w:r>
      <w:r w:rsidR="00E8179B">
        <w:rPr>
          <w:rFonts w:hint="eastAsia"/>
          <w:bCs/>
          <w:color w:val="000000" w:themeColor="text1"/>
        </w:rPr>
        <w:t>；又該</w:t>
      </w:r>
      <w:r w:rsidR="00E8179B" w:rsidRPr="00E8179B">
        <w:rPr>
          <w:rFonts w:hint="eastAsia"/>
          <w:bCs/>
          <w:color w:val="000000" w:themeColor="text1"/>
        </w:rPr>
        <w:t>部辦理殯葬設施示範計畫第三期計畫之行政缺失事項，業經審計部105年度中央政府總決算審核報告指摘綦詳，相關作業疏失至為灼然</w:t>
      </w:r>
      <w:r w:rsidR="00E8179B">
        <w:rPr>
          <w:rFonts w:hint="eastAsia"/>
          <w:bCs/>
          <w:color w:val="000000" w:themeColor="text1"/>
        </w:rPr>
        <w:t>；而該部於</w:t>
      </w:r>
      <w:r w:rsidR="00E8179B" w:rsidRPr="00E8179B">
        <w:rPr>
          <w:rFonts w:hint="eastAsia"/>
          <w:bCs/>
          <w:color w:val="000000" w:themeColor="text1"/>
        </w:rPr>
        <w:t>96年曾辦理</w:t>
      </w:r>
      <w:r w:rsidR="00E8179B" w:rsidRPr="00E8179B">
        <w:rPr>
          <w:bCs/>
          <w:color w:val="000000" w:themeColor="text1"/>
        </w:rPr>
        <w:t>「我國殯葬設施分布及供需調查研究」</w:t>
      </w:r>
      <w:r w:rsidR="00E8179B" w:rsidRPr="00E8179B">
        <w:rPr>
          <w:rFonts w:hint="eastAsia"/>
          <w:bCs/>
          <w:color w:val="000000" w:themeColor="text1"/>
        </w:rPr>
        <w:t>，據以規劃國家殯葬政策，時隔10年，</w:t>
      </w:r>
      <w:r w:rsidR="00E8179B" w:rsidRPr="00E8179B">
        <w:rPr>
          <w:bCs/>
          <w:color w:val="000000" w:themeColor="text1"/>
        </w:rPr>
        <w:t>國人喪葬方式</w:t>
      </w:r>
      <w:r w:rsidR="00E8179B" w:rsidRPr="00E8179B">
        <w:rPr>
          <w:rFonts w:hint="eastAsia"/>
          <w:bCs/>
          <w:color w:val="000000" w:themeColor="text1"/>
        </w:rPr>
        <w:t>及時空環境業已大幅變遷，</w:t>
      </w:r>
      <w:r w:rsidR="00E8179B" w:rsidRPr="00E8179B">
        <w:rPr>
          <w:bCs/>
          <w:color w:val="000000" w:themeColor="text1"/>
        </w:rPr>
        <w:t>殯葬</w:t>
      </w:r>
      <w:r w:rsidR="00E8179B" w:rsidRPr="00E8179B">
        <w:rPr>
          <w:rFonts w:hint="eastAsia"/>
          <w:bCs/>
          <w:color w:val="000000" w:themeColor="text1"/>
        </w:rPr>
        <w:t>的</w:t>
      </w:r>
      <w:r w:rsidR="00E8179B" w:rsidRPr="00E8179B">
        <w:rPr>
          <w:bCs/>
          <w:color w:val="000000" w:themeColor="text1"/>
        </w:rPr>
        <w:t>設施分布及供</w:t>
      </w:r>
      <w:r w:rsidR="00E8179B" w:rsidRPr="00E8179B">
        <w:rPr>
          <w:rFonts w:hint="eastAsia"/>
          <w:bCs/>
          <w:color w:val="000000" w:themeColor="text1"/>
        </w:rPr>
        <w:t>需實</w:t>
      </w:r>
      <w:r w:rsidR="00E8179B" w:rsidRPr="00E8179B">
        <w:rPr>
          <w:bCs/>
          <w:color w:val="000000" w:themeColor="text1"/>
        </w:rPr>
        <w:t>情</w:t>
      </w:r>
      <w:r w:rsidR="00E8179B" w:rsidRPr="00E8179B">
        <w:rPr>
          <w:rFonts w:hint="eastAsia"/>
          <w:bCs/>
          <w:color w:val="000000" w:themeColor="text1"/>
        </w:rPr>
        <w:t>已大不相同</w:t>
      </w:r>
      <w:r w:rsidR="00E8179B" w:rsidRPr="00E8179B">
        <w:rPr>
          <w:bCs/>
          <w:color w:val="000000" w:themeColor="text1"/>
        </w:rPr>
        <w:t>，</w:t>
      </w:r>
      <w:r w:rsidR="00E8179B" w:rsidRPr="00E8179B">
        <w:rPr>
          <w:rFonts w:hint="eastAsia"/>
          <w:bCs/>
          <w:color w:val="000000" w:themeColor="text1"/>
        </w:rPr>
        <w:t>猶未能賡續辦理調查分析作為施政之參據</w:t>
      </w:r>
      <w:r w:rsidR="00E8179B">
        <w:rPr>
          <w:rFonts w:hint="eastAsia"/>
          <w:bCs/>
          <w:color w:val="000000" w:themeColor="text1"/>
        </w:rPr>
        <w:t>；且該</w:t>
      </w:r>
      <w:r w:rsidR="00E8179B" w:rsidRPr="00E8179B">
        <w:rPr>
          <w:rFonts w:hint="eastAsia"/>
          <w:bCs/>
          <w:color w:val="000000" w:themeColor="text1"/>
        </w:rPr>
        <w:t>部辦理地方政府殯葬管理業務績效考核評量之先期作業過於匆促，評量之期程更欠合理，肇致各地方政府因應不及，</w:t>
      </w:r>
      <w:r w:rsidR="00E8179B">
        <w:rPr>
          <w:rFonts w:hint="eastAsia"/>
          <w:bCs/>
          <w:color w:val="000000" w:themeColor="text1"/>
        </w:rPr>
        <w:t>均核有疏失，</w:t>
      </w:r>
      <w:r w:rsidRPr="0046554C">
        <w:rPr>
          <w:rFonts w:hint="eastAsia"/>
          <w:color w:val="000000" w:themeColor="text1"/>
        </w:rPr>
        <w:t>爰依</w:t>
      </w:r>
      <w:r w:rsidR="001B48EB" w:rsidRPr="0046554C">
        <w:rPr>
          <w:rFonts w:hint="eastAsia"/>
          <w:bCs/>
          <w:color w:val="000000" w:themeColor="text1"/>
        </w:rPr>
        <w:t>憲法第97條第1項及</w:t>
      </w:r>
      <w:r w:rsidRPr="0046554C">
        <w:rPr>
          <w:rFonts w:hint="eastAsia"/>
          <w:color w:val="000000" w:themeColor="text1"/>
        </w:rPr>
        <w:t>監察法第24條</w:t>
      </w:r>
      <w:r w:rsidR="00396EC5" w:rsidRPr="0046554C">
        <w:rPr>
          <w:rFonts w:hint="eastAsia"/>
          <w:color w:val="000000" w:themeColor="text1"/>
        </w:rPr>
        <w:t>之</w:t>
      </w:r>
      <w:r w:rsidRPr="0046554C">
        <w:rPr>
          <w:rFonts w:hint="eastAsia"/>
          <w:color w:val="000000" w:themeColor="text1"/>
        </w:rPr>
        <w:t>規定提案糾正，移送</w:t>
      </w:r>
      <w:r w:rsidR="00550077">
        <w:rPr>
          <w:rFonts w:hint="eastAsia"/>
          <w:color w:val="000000" w:themeColor="text1"/>
        </w:rPr>
        <w:t>內政</w:t>
      </w:r>
      <w:r w:rsidR="00873DBE" w:rsidRPr="0046554C">
        <w:rPr>
          <w:rFonts w:hint="eastAsia"/>
          <w:color w:val="000000" w:themeColor="text1"/>
        </w:rPr>
        <w:t>部</w:t>
      </w:r>
      <w:r w:rsidRPr="0046554C">
        <w:rPr>
          <w:rFonts w:hint="eastAsia"/>
          <w:color w:val="000000" w:themeColor="text1"/>
        </w:rPr>
        <w:t>確實檢討改善見復</w:t>
      </w:r>
      <w:r w:rsidR="00286B1B" w:rsidRPr="0046554C">
        <w:rPr>
          <w:rFonts w:hint="eastAsia"/>
          <w:color w:val="000000" w:themeColor="text1"/>
        </w:rPr>
        <w:t>。</w:t>
      </w: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6B7F70" w:rsidP="009E1A65">
      <w:pPr>
        <w:pStyle w:val="10"/>
        <w:tabs>
          <w:tab w:val="clear" w:pos="567"/>
          <w:tab w:val="left" w:pos="742"/>
        </w:tabs>
        <w:ind w:leftChars="0" w:left="709" w:firstLineChars="199" w:firstLine="677"/>
        <w:rPr>
          <w:color w:val="000000" w:themeColor="text1"/>
        </w:rPr>
      </w:pPr>
      <w:r>
        <w:rPr>
          <w:rFonts w:hint="eastAsia"/>
          <w:color w:val="000000" w:themeColor="text1"/>
        </w:rPr>
        <w:t>提案委員</w:t>
      </w:r>
      <w:r>
        <w:rPr>
          <w:rFonts w:hAnsi="標楷體" w:hint="eastAsia"/>
          <w:color w:val="000000" w:themeColor="text1"/>
        </w:rPr>
        <w:t>：</w:t>
      </w:r>
      <w:r w:rsidRPr="006B7F70">
        <w:rPr>
          <w:rFonts w:hAnsi="標楷體" w:hint="eastAsia"/>
          <w:color w:val="000000" w:themeColor="text1"/>
        </w:rPr>
        <w:t>江綺雯、方萬富</w:t>
      </w:r>
      <w:bookmarkStart w:id="46" w:name="_GoBack"/>
      <w:bookmarkEnd w:id="46"/>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Default="00C70A0E" w:rsidP="009E1A65">
      <w:pPr>
        <w:pStyle w:val="10"/>
        <w:tabs>
          <w:tab w:val="clear" w:pos="567"/>
          <w:tab w:val="left" w:pos="742"/>
        </w:tabs>
        <w:ind w:leftChars="0" w:left="709" w:firstLineChars="199" w:firstLine="677"/>
        <w:rPr>
          <w:color w:val="000000" w:themeColor="text1"/>
        </w:rPr>
      </w:pPr>
    </w:p>
    <w:p w:rsidR="00C70A0E" w:rsidRPr="0046554C" w:rsidRDefault="00C70A0E" w:rsidP="009E1A65">
      <w:pPr>
        <w:pStyle w:val="10"/>
        <w:tabs>
          <w:tab w:val="clear" w:pos="567"/>
          <w:tab w:val="left" w:pos="742"/>
        </w:tabs>
        <w:ind w:leftChars="0" w:left="709" w:firstLineChars="199" w:firstLine="677"/>
        <w:rPr>
          <w:color w:val="000000" w:themeColor="text1"/>
        </w:rPr>
      </w:pPr>
    </w:p>
    <w:bookmarkStart w:id="47" w:name="_Toc524895649"/>
    <w:bookmarkStart w:id="48" w:name="_Toc524896195"/>
    <w:bookmarkStart w:id="49" w:name="_Toc524896225"/>
    <w:bookmarkEnd w:id="45"/>
    <w:bookmarkEnd w:id="47"/>
    <w:bookmarkEnd w:id="48"/>
    <w:bookmarkEnd w:id="49"/>
    <w:p w:rsidR="00DB680D" w:rsidRPr="000F36B3" w:rsidRDefault="00DB680D" w:rsidP="00DB680D">
      <w:pPr>
        <w:keepNext/>
        <w:numPr>
          <w:ilvl w:val="0"/>
          <w:numId w:val="37"/>
        </w:numPr>
        <w:kinsoku w:val="0"/>
        <w:adjustRightInd w:val="0"/>
        <w:snapToGrid w:val="0"/>
        <w:spacing w:before="120" w:after="120" w:line="360" w:lineRule="exact"/>
        <w:ind w:left="1360" w:hanging="680"/>
        <w:textAlignment w:val="baseline"/>
        <w:rPr>
          <w:rFonts w:hAnsi="華康楷書體W5(P)"/>
          <w:bCs/>
          <w:spacing w:val="-10"/>
          <w:kern w:val="28"/>
          <w:sz w:val="28"/>
          <w:szCs w:val="28"/>
        </w:rPr>
      </w:pPr>
      <w:r w:rsidRPr="00DB680D">
        <w:rPr>
          <w:rFonts w:hAnsi="華康楷書體W5(P)"/>
          <w:bCs/>
          <w:noProof/>
          <w:color w:val="000000" w:themeColor="text1"/>
          <w:spacing w:val="-10"/>
          <w:kern w:val="28"/>
          <w:sz w:val="28"/>
          <w:szCs w:val="28"/>
        </w:rPr>
        <w:lastRenderedPageBreak/>
        <mc:AlternateContent>
          <mc:Choice Requires="wps">
            <w:drawing>
              <wp:anchor distT="0" distB="0" distL="114300" distR="114300" simplePos="0" relativeHeight="251658240" behindDoc="0" locked="0" layoutInCell="1" allowOverlap="1" wp14:anchorId="2B73C25D" wp14:editId="12F43A56">
                <wp:simplePos x="0" y="0"/>
                <wp:positionH relativeFrom="column">
                  <wp:posOffset>-264795</wp:posOffset>
                </wp:positionH>
                <wp:positionV relativeFrom="paragraph">
                  <wp:posOffset>-452120</wp:posOffset>
                </wp:positionV>
                <wp:extent cx="683812" cy="389586"/>
                <wp:effectExtent l="0" t="0" r="21590" b="1079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12" cy="389586"/>
                        </a:xfrm>
                        <a:prstGeom prst="rect">
                          <a:avLst/>
                        </a:prstGeom>
                        <a:solidFill>
                          <a:srgbClr val="FFFFFF"/>
                        </a:solidFill>
                        <a:ln w="9525">
                          <a:solidFill>
                            <a:srgbClr val="000000"/>
                          </a:solidFill>
                          <a:miter lim="800000"/>
                          <a:headEnd/>
                          <a:tailEnd/>
                        </a:ln>
                      </wps:spPr>
                      <wps:txbx>
                        <w:txbxContent>
                          <w:p w:rsidR="00DB680D" w:rsidRDefault="00DB680D" w:rsidP="00DB680D">
                            <w:r>
                              <w:rPr>
                                <w:rFonts w:hint="eastAsia"/>
                              </w:rPr>
                              <w:t>附表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3C25D" id="_x0000_t202" coordsize="21600,21600" o:spt="202" path="m,l,21600r21600,l21600,xe">
                <v:stroke joinstyle="miter"/>
                <v:path gradientshapeok="t" o:connecttype="rect"/>
              </v:shapetype>
              <v:shape id="文字方塊 2" o:spid="_x0000_s1026" type="#_x0000_t202" style="position:absolute;left:0;text-align:left;margin-left:-20.85pt;margin-top:-35.6pt;width:53.8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">
                <v:textbox>
                  <w:txbxContent>
                    <w:p w:rsidR="00DB680D" w:rsidRDefault="00DB680D" w:rsidP="00DB680D">
                      <w:r>
                        <w:rPr>
                          <w:rFonts w:hint="eastAsia"/>
                        </w:rPr>
                        <w:t>附表</w:t>
                      </w:r>
                    </w:p>
                  </w:txbxContent>
                </v:textbox>
              </v:shape>
            </w:pict>
          </mc:Fallback>
        </mc:AlternateContent>
      </w:r>
      <w:r w:rsidRPr="000F36B3">
        <w:rPr>
          <w:rFonts w:hAnsi="華康楷書體W5(P)" w:hint="eastAsia"/>
          <w:bCs/>
          <w:spacing w:val="-10"/>
          <w:kern w:val="28"/>
          <w:sz w:val="28"/>
          <w:szCs w:val="28"/>
        </w:rPr>
        <w:t>105年度國內已規劃及</w:t>
      </w:r>
      <w:r w:rsidRPr="000F36B3">
        <w:rPr>
          <w:rFonts w:hAnsi="華康楷書體W5(P)"/>
          <w:bCs/>
          <w:spacing w:val="-10"/>
          <w:kern w:val="28"/>
          <w:sz w:val="28"/>
          <w:szCs w:val="28"/>
        </w:rPr>
        <w:t>未</w:t>
      </w:r>
      <w:r w:rsidRPr="000F36B3">
        <w:rPr>
          <w:rFonts w:hAnsi="華康楷書體W5(P)"/>
          <w:bCs/>
          <w:color w:val="000000" w:themeColor="text1"/>
          <w:spacing w:val="-10"/>
          <w:kern w:val="28"/>
          <w:sz w:val="28"/>
          <w:szCs w:val="28"/>
        </w:rPr>
        <w:t>規劃</w:t>
      </w:r>
      <w:r w:rsidRPr="000F36B3">
        <w:rPr>
          <w:rFonts w:hAnsi="華康楷書體W5(P)"/>
          <w:bCs/>
          <w:spacing w:val="-10"/>
          <w:kern w:val="28"/>
          <w:sz w:val="28"/>
          <w:szCs w:val="28"/>
        </w:rPr>
        <w:t>之公立公墓</w:t>
      </w:r>
      <w:r w:rsidRPr="000F36B3">
        <w:rPr>
          <w:rFonts w:hAnsi="華康楷書體W5(P)" w:hint="eastAsia"/>
          <w:bCs/>
          <w:spacing w:val="-10"/>
          <w:kern w:val="28"/>
          <w:sz w:val="28"/>
          <w:szCs w:val="28"/>
        </w:rPr>
        <w:t>統計表</w:t>
      </w:r>
    </w:p>
    <w:tbl>
      <w:tblPr>
        <w:tblW w:w="89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64"/>
        <w:gridCol w:w="1204"/>
        <w:gridCol w:w="1820"/>
        <w:gridCol w:w="924"/>
        <w:gridCol w:w="1469"/>
        <w:gridCol w:w="932"/>
        <w:gridCol w:w="1501"/>
      </w:tblGrid>
      <w:tr w:rsidR="00DB680D" w:rsidRPr="00DB680D" w:rsidTr="00DB680D">
        <w:trPr>
          <w:trHeight w:val="414"/>
          <w:tblHeader/>
          <w:jc w:val="right"/>
        </w:trPr>
        <w:tc>
          <w:tcPr>
            <w:tcW w:w="1064" w:type="dxa"/>
            <w:vMerge w:val="restart"/>
            <w:shd w:val="clear" w:color="auto" w:fill="auto"/>
            <w:noWrap/>
            <w:vAlign w:val="center"/>
          </w:tcPr>
          <w:p w:rsidR="00DB680D" w:rsidRPr="00DB680D" w:rsidRDefault="00DB680D" w:rsidP="00DB680D">
            <w:pPr>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市（縣）</w:t>
            </w:r>
          </w:p>
        </w:tc>
        <w:tc>
          <w:tcPr>
            <w:tcW w:w="1204" w:type="dxa"/>
            <w:vMerge w:val="restart"/>
            <w:shd w:val="clear" w:color="auto" w:fill="auto"/>
            <w:noWrap/>
            <w:vAlign w:val="center"/>
          </w:tcPr>
          <w:p w:rsidR="00DB680D" w:rsidRPr="00DB680D" w:rsidRDefault="00DB680D" w:rsidP="00DB680D">
            <w:pPr>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公立公墓總數</w:t>
            </w:r>
          </w:p>
        </w:tc>
        <w:tc>
          <w:tcPr>
            <w:tcW w:w="1820" w:type="dxa"/>
            <w:vMerge w:val="restart"/>
            <w:shd w:val="clear" w:color="auto" w:fill="auto"/>
            <w:noWrap/>
            <w:vAlign w:val="center"/>
          </w:tcPr>
          <w:p w:rsidR="00DB680D" w:rsidRPr="00DB680D" w:rsidRDefault="00DB680D" w:rsidP="00DB680D">
            <w:pPr>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公立公墓土地總面積（公頃）</w:t>
            </w:r>
          </w:p>
        </w:tc>
        <w:tc>
          <w:tcPr>
            <w:tcW w:w="2393" w:type="dxa"/>
            <w:gridSpan w:val="2"/>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已規劃公立公墓</w:t>
            </w:r>
          </w:p>
        </w:tc>
        <w:tc>
          <w:tcPr>
            <w:tcW w:w="2433" w:type="dxa"/>
            <w:gridSpan w:val="2"/>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未規劃公立公墓</w:t>
            </w:r>
          </w:p>
        </w:tc>
      </w:tr>
      <w:tr w:rsidR="00DB680D" w:rsidRPr="00DB680D" w:rsidTr="00DB680D">
        <w:trPr>
          <w:trHeight w:val="460"/>
          <w:tblHeader/>
          <w:jc w:val="right"/>
        </w:trPr>
        <w:tc>
          <w:tcPr>
            <w:tcW w:w="1064" w:type="dxa"/>
            <w:vMerge/>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p>
        </w:tc>
        <w:tc>
          <w:tcPr>
            <w:tcW w:w="1204" w:type="dxa"/>
            <w:vMerge/>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p>
        </w:tc>
        <w:tc>
          <w:tcPr>
            <w:tcW w:w="1820" w:type="dxa"/>
            <w:vMerge/>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p>
        </w:tc>
        <w:tc>
          <w:tcPr>
            <w:tcW w:w="924" w:type="dxa"/>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公墓數</w:t>
            </w:r>
          </w:p>
        </w:tc>
        <w:tc>
          <w:tcPr>
            <w:tcW w:w="1469" w:type="dxa"/>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面積（公頃）</w:t>
            </w:r>
          </w:p>
        </w:tc>
        <w:tc>
          <w:tcPr>
            <w:tcW w:w="932" w:type="dxa"/>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公墓數</w:t>
            </w:r>
          </w:p>
        </w:tc>
        <w:tc>
          <w:tcPr>
            <w:tcW w:w="1501" w:type="dxa"/>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bCs/>
                <w:color w:val="000000" w:themeColor="text1"/>
                <w:spacing w:val="-10"/>
                <w:kern w:val="0"/>
                <w:sz w:val="28"/>
                <w:szCs w:val="28"/>
              </w:rPr>
            </w:pPr>
            <w:r w:rsidRPr="00DB680D">
              <w:rPr>
                <w:rFonts w:ascii="Times New Roman"/>
                <w:bCs/>
                <w:color w:val="000000" w:themeColor="text1"/>
                <w:spacing w:val="-10"/>
                <w:kern w:val="0"/>
                <w:sz w:val="28"/>
                <w:szCs w:val="28"/>
              </w:rPr>
              <w:t>面積（公頃）</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bCs/>
                <w:color w:val="000000" w:themeColor="text1"/>
                <w:kern w:val="0"/>
                <w:sz w:val="28"/>
                <w:szCs w:val="28"/>
              </w:rPr>
            </w:pPr>
            <w:r w:rsidRPr="00DB680D">
              <w:rPr>
                <w:rFonts w:ascii="Times New Roman"/>
                <w:bCs/>
                <w:color w:val="000000" w:themeColor="text1"/>
                <w:kern w:val="0"/>
                <w:sz w:val="28"/>
                <w:szCs w:val="28"/>
              </w:rPr>
              <w:t>新北市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197</w:t>
            </w:r>
          </w:p>
        </w:tc>
        <w:tc>
          <w:tcPr>
            <w:tcW w:w="1820"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sz w:val="28"/>
                <w:szCs w:val="28"/>
              </w:rPr>
              <w:t>570.88</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6</w:t>
            </w:r>
          </w:p>
        </w:tc>
        <w:tc>
          <w:tcPr>
            <w:tcW w:w="1469"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sz w:val="28"/>
                <w:szCs w:val="28"/>
              </w:rPr>
              <w:t>29.97</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191</w:t>
            </w:r>
          </w:p>
        </w:tc>
        <w:tc>
          <w:tcPr>
            <w:tcW w:w="1501"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sz w:val="28"/>
                <w:szCs w:val="28"/>
              </w:rPr>
              <w:t>540.91</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bCs/>
                <w:color w:val="000000" w:themeColor="text1"/>
                <w:kern w:val="0"/>
                <w:sz w:val="28"/>
                <w:szCs w:val="28"/>
              </w:rPr>
            </w:pPr>
            <w:r w:rsidRPr="00DB680D">
              <w:rPr>
                <w:rFonts w:ascii="Times New Roman"/>
                <w:bCs/>
                <w:color w:val="000000" w:themeColor="text1"/>
                <w:kern w:val="0"/>
                <w:sz w:val="28"/>
                <w:szCs w:val="28"/>
              </w:rPr>
              <w:t>臺北市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34</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284.20</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112.04</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33</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172.17</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bCs/>
                <w:color w:val="000000" w:themeColor="text1"/>
                <w:kern w:val="0"/>
                <w:sz w:val="28"/>
                <w:szCs w:val="28"/>
              </w:rPr>
            </w:pPr>
            <w:r w:rsidRPr="00DB680D">
              <w:rPr>
                <w:rFonts w:ascii="Times New Roman"/>
                <w:bCs/>
                <w:color w:val="000000" w:themeColor="text1"/>
                <w:kern w:val="0"/>
                <w:sz w:val="28"/>
                <w:szCs w:val="28"/>
              </w:rPr>
              <w:t>桃園市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147</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220.56</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7</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42.57</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140</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177.98</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bCs/>
                <w:color w:val="000000" w:themeColor="text1"/>
                <w:kern w:val="0"/>
                <w:sz w:val="28"/>
                <w:szCs w:val="28"/>
              </w:rPr>
            </w:pPr>
            <w:r w:rsidRPr="00DB680D">
              <w:rPr>
                <w:rFonts w:ascii="Times New Roman"/>
                <w:bCs/>
                <w:color w:val="000000" w:themeColor="text1"/>
                <w:kern w:val="0"/>
                <w:sz w:val="28"/>
                <w:szCs w:val="28"/>
              </w:rPr>
              <w:t>臺中市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176</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788.91</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9</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49.13</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167</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739.78</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bCs/>
                <w:color w:val="000000" w:themeColor="text1"/>
                <w:kern w:val="0"/>
                <w:sz w:val="28"/>
                <w:szCs w:val="28"/>
              </w:rPr>
            </w:pPr>
            <w:r w:rsidRPr="00DB680D">
              <w:rPr>
                <w:rFonts w:ascii="Times New Roman"/>
                <w:bCs/>
                <w:color w:val="000000" w:themeColor="text1"/>
                <w:kern w:val="0"/>
                <w:sz w:val="28"/>
                <w:szCs w:val="28"/>
              </w:rPr>
              <w:t>臺南市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335</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1,106.34</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9</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52.48</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326</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1,053.86</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bCs/>
                <w:color w:val="000000" w:themeColor="text1"/>
                <w:kern w:val="0"/>
                <w:sz w:val="28"/>
                <w:szCs w:val="28"/>
              </w:rPr>
            </w:pPr>
            <w:r w:rsidRPr="00DB680D">
              <w:rPr>
                <w:rFonts w:ascii="Times New Roman"/>
                <w:bCs/>
                <w:color w:val="000000" w:themeColor="text1"/>
                <w:kern w:val="0"/>
                <w:sz w:val="28"/>
                <w:szCs w:val="28"/>
              </w:rPr>
              <w:t>高雄市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194</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717.35</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9</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153.54</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kern w:val="0"/>
                <w:sz w:val="28"/>
                <w:szCs w:val="28"/>
              </w:rPr>
              <w:t>185</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563.81</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宜蘭縣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65</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401.91</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7</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29.21</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58</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372.70</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新竹縣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129</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162.13</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6</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13.48</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123</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148.65</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苗栗縣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203</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504.04</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2.53</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202</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501.51</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彰化縣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240</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848.97</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41</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200.06</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199</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648.92</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南投縣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207</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783.22</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11</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66.90</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196</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716.32</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雲林縣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230</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346.05</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36</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99.54</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194</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246.51</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嘉義縣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295</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529.05</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15</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56.91</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280</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472.15</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屏東縣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311</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1,017.15</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9</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48.08</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302</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969.07</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臺東縣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126</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225.35</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10</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38.19</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116</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187.15</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花蓮縣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85</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182.80</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18</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49.53</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67</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133.28</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澎湖縣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42</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109.51</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6</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20.25</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36</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89.26</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基隆市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99.21</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1.43</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97.77</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新竹市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11</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90.93</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6.43</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10</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84.49</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嘉義市</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45.14</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1</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9.76</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35.38</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金門縣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5</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21.21</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5</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21.21</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0.00</w:t>
            </w:r>
          </w:p>
        </w:tc>
      </w:tr>
      <w:tr w:rsidR="00DB680D" w:rsidRPr="00DB680D" w:rsidTr="00DB680D">
        <w:trPr>
          <w:trHeight w:val="454"/>
          <w:jc w:val="right"/>
        </w:trPr>
        <w:tc>
          <w:tcPr>
            <w:tcW w:w="1064" w:type="dxa"/>
            <w:shd w:val="clear" w:color="auto" w:fill="auto"/>
            <w:noWrap/>
            <w:vAlign w:val="center"/>
            <w:hideMark/>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連江縣</w:t>
            </w:r>
          </w:p>
        </w:tc>
        <w:tc>
          <w:tcPr>
            <w:tcW w:w="120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5</w:t>
            </w:r>
          </w:p>
        </w:tc>
        <w:tc>
          <w:tcPr>
            <w:tcW w:w="1820"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4.72</w:t>
            </w:r>
          </w:p>
        </w:tc>
        <w:tc>
          <w:tcPr>
            <w:tcW w:w="924"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5</w:t>
            </w:r>
          </w:p>
        </w:tc>
        <w:tc>
          <w:tcPr>
            <w:tcW w:w="1469"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4.72</w:t>
            </w:r>
          </w:p>
        </w:tc>
        <w:tc>
          <w:tcPr>
            <w:tcW w:w="932" w:type="dxa"/>
            <w:shd w:val="clear" w:color="auto" w:fill="auto"/>
            <w:noWrap/>
            <w:vAlign w:val="center"/>
            <w:hideMark/>
          </w:tcPr>
          <w:p w:rsidR="00DB680D" w:rsidRPr="00DB680D" w:rsidRDefault="00DB680D" w:rsidP="00DB680D">
            <w:pPr>
              <w:widowControl/>
              <w:overflowPunct/>
              <w:autoSpaceDE/>
              <w:autoSpaceDN/>
              <w:spacing w:line="320" w:lineRule="exact"/>
              <w:ind w:rightChars="50" w:right="170"/>
              <w:jc w:val="right"/>
              <w:rPr>
                <w:rFonts w:ascii="Times New Roman"/>
                <w:color w:val="000000" w:themeColor="text1"/>
                <w:kern w:val="0"/>
                <w:sz w:val="28"/>
                <w:szCs w:val="28"/>
              </w:rPr>
            </w:pPr>
            <w:r w:rsidRPr="00DB680D">
              <w:rPr>
                <w:rFonts w:ascii="Times New Roman"/>
                <w:color w:val="000000" w:themeColor="text1"/>
                <w:kern w:val="0"/>
                <w:sz w:val="28"/>
                <w:szCs w:val="28"/>
              </w:rPr>
              <w:t>－</w:t>
            </w:r>
          </w:p>
        </w:tc>
        <w:tc>
          <w:tcPr>
            <w:tcW w:w="1501" w:type="dxa"/>
            <w:shd w:val="clear" w:color="auto" w:fill="auto"/>
            <w:noWrap/>
            <w:vAlign w:val="center"/>
            <w:hideMark/>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0.00</w:t>
            </w:r>
          </w:p>
        </w:tc>
      </w:tr>
      <w:tr w:rsidR="00DB680D" w:rsidRPr="00DB680D" w:rsidTr="00DB680D">
        <w:trPr>
          <w:trHeight w:val="454"/>
          <w:jc w:val="right"/>
        </w:trPr>
        <w:tc>
          <w:tcPr>
            <w:tcW w:w="1064" w:type="dxa"/>
            <w:shd w:val="clear" w:color="auto" w:fill="auto"/>
            <w:noWrap/>
            <w:vAlign w:val="center"/>
          </w:tcPr>
          <w:p w:rsidR="00DB680D" w:rsidRPr="00DB680D" w:rsidRDefault="00DB680D" w:rsidP="00DB680D">
            <w:pPr>
              <w:widowControl/>
              <w:overflowPunct/>
              <w:autoSpaceDE/>
              <w:autoSpaceDN/>
              <w:spacing w:line="320" w:lineRule="exact"/>
              <w:jc w:val="center"/>
              <w:rPr>
                <w:rFonts w:ascii="Times New Roman"/>
                <w:color w:val="000000" w:themeColor="text1"/>
                <w:kern w:val="0"/>
                <w:sz w:val="28"/>
                <w:szCs w:val="28"/>
              </w:rPr>
            </w:pPr>
            <w:r w:rsidRPr="00DB680D">
              <w:rPr>
                <w:rFonts w:ascii="Times New Roman"/>
                <w:color w:val="000000" w:themeColor="text1"/>
                <w:kern w:val="0"/>
                <w:sz w:val="28"/>
                <w:szCs w:val="28"/>
              </w:rPr>
              <w:t>合計</w:t>
            </w:r>
          </w:p>
        </w:tc>
        <w:tc>
          <w:tcPr>
            <w:tcW w:w="1204" w:type="dxa"/>
            <w:shd w:val="clear" w:color="auto" w:fill="auto"/>
            <w:noWrap/>
            <w:vAlign w:val="center"/>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sz w:val="28"/>
                <w:szCs w:val="28"/>
              </w:rPr>
              <w:t>3,039</w:t>
            </w:r>
          </w:p>
        </w:tc>
        <w:tc>
          <w:tcPr>
            <w:tcW w:w="1820" w:type="dxa"/>
            <w:shd w:val="clear" w:color="auto" w:fill="auto"/>
            <w:noWrap/>
            <w:vAlign w:val="center"/>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9,059.62</w:t>
            </w:r>
          </w:p>
        </w:tc>
        <w:tc>
          <w:tcPr>
            <w:tcW w:w="924" w:type="dxa"/>
            <w:shd w:val="clear" w:color="auto" w:fill="auto"/>
            <w:noWrap/>
            <w:vAlign w:val="center"/>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214</w:t>
            </w:r>
          </w:p>
        </w:tc>
        <w:tc>
          <w:tcPr>
            <w:tcW w:w="1469" w:type="dxa"/>
            <w:shd w:val="clear" w:color="auto" w:fill="auto"/>
            <w:noWrap/>
            <w:vAlign w:val="center"/>
          </w:tcPr>
          <w:p w:rsidR="00DB680D" w:rsidRPr="00DB680D" w:rsidRDefault="00DB680D" w:rsidP="00DB680D">
            <w:pPr>
              <w:overflowPunct/>
              <w:autoSpaceDE/>
              <w:autoSpaceDN/>
              <w:spacing w:line="320" w:lineRule="exact"/>
              <w:ind w:rightChars="50" w:right="170"/>
              <w:jc w:val="right"/>
              <w:rPr>
                <w:rFonts w:ascii="Times New Roman"/>
                <w:bCs/>
                <w:color w:val="000000" w:themeColor="text1"/>
                <w:sz w:val="28"/>
                <w:szCs w:val="28"/>
              </w:rPr>
            </w:pPr>
            <w:r w:rsidRPr="00DB680D">
              <w:rPr>
                <w:rFonts w:ascii="Times New Roman"/>
                <w:bCs/>
                <w:color w:val="000000" w:themeColor="text1"/>
                <w:sz w:val="28"/>
                <w:szCs w:val="28"/>
              </w:rPr>
              <w:t>1,107.94</w:t>
            </w:r>
          </w:p>
        </w:tc>
        <w:tc>
          <w:tcPr>
            <w:tcW w:w="932" w:type="dxa"/>
            <w:shd w:val="clear" w:color="auto" w:fill="auto"/>
            <w:noWrap/>
            <w:vAlign w:val="center"/>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sz w:val="28"/>
                <w:szCs w:val="28"/>
              </w:rPr>
              <w:t>2,825</w:t>
            </w:r>
          </w:p>
        </w:tc>
        <w:tc>
          <w:tcPr>
            <w:tcW w:w="1501" w:type="dxa"/>
            <w:shd w:val="clear" w:color="auto" w:fill="auto"/>
            <w:noWrap/>
            <w:vAlign w:val="center"/>
          </w:tcPr>
          <w:p w:rsidR="00DB680D" w:rsidRPr="00DB680D" w:rsidRDefault="00DB680D" w:rsidP="00DB680D">
            <w:pPr>
              <w:widowControl/>
              <w:overflowPunct/>
              <w:autoSpaceDE/>
              <w:autoSpaceDN/>
              <w:spacing w:line="320" w:lineRule="exact"/>
              <w:ind w:rightChars="50" w:right="170"/>
              <w:jc w:val="right"/>
              <w:rPr>
                <w:rFonts w:ascii="Times New Roman"/>
                <w:bCs/>
                <w:color w:val="000000" w:themeColor="text1"/>
                <w:kern w:val="0"/>
                <w:sz w:val="28"/>
                <w:szCs w:val="28"/>
              </w:rPr>
            </w:pPr>
            <w:r w:rsidRPr="00DB680D">
              <w:rPr>
                <w:rFonts w:ascii="Times New Roman"/>
                <w:bCs/>
                <w:color w:val="000000" w:themeColor="text1"/>
                <w:sz w:val="28"/>
                <w:szCs w:val="28"/>
              </w:rPr>
              <w:t>7,951.68</w:t>
            </w:r>
          </w:p>
        </w:tc>
      </w:tr>
    </w:tbl>
    <w:p w:rsidR="00DB680D" w:rsidRPr="00DB680D" w:rsidRDefault="00DB680D" w:rsidP="00DB680D">
      <w:pPr>
        <w:rPr>
          <w:snapToGrid w:val="0"/>
          <w:color w:val="000000" w:themeColor="text1"/>
          <w:spacing w:val="10"/>
          <w:sz w:val="28"/>
          <w:szCs w:val="28"/>
        </w:rPr>
      </w:pPr>
      <w:r w:rsidRPr="00DB680D">
        <w:rPr>
          <w:rFonts w:hint="eastAsia"/>
          <w:snapToGrid w:val="0"/>
          <w:color w:val="000000" w:themeColor="text1"/>
          <w:spacing w:val="10"/>
          <w:sz w:val="28"/>
          <w:szCs w:val="28"/>
        </w:rPr>
        <w:t>資料來源：內政部</w:t>
      </w:r>
    </w:p>
    <w:p w:rsidR="00DB680D" w:rsidRPr="00DB680D" w:rsidRDefault="00DB680D" w:rsidP="00DB680D">
      <w:pPr>
        <w:rPr>
          <w:snapToGrid w:val="0"/>
          <w:color w:val="000000" w:themeColor="text1"/>
          <w:spacing w:val="10"/>
          <w:sz w:val="36"/>
        </w:rPr>
      </w:pPr>
    </w:p>
    <w:p w:rsidR="00DB680D" w:rsidRPr="00DB680D" w:rsidRDefault="00DB680D" w:rsidP="00DB680D">
      <w:pPr>
        <w:keepNext/>
        <w:numPr>
          <w:ilvl w:val="0"/>
          <w:numId w:val="37"/>
        </w:numPr>
        <w:kinsoku w:val="0"/>
        <w:adjustRightInd w:val="0"/>
        <w:snapToGrid w:val="0"/>
        <w:spacing w:before="120" w:after="120" w:line="360" w:lineRule="exact"/>
        <w:ind w:left="1360" w:hanging="680"/>
        <w:textAlignment w:val="baseline"/>
        <w:rPr>
          <w:rFonts w:hAnsi="華康楷書體W5(P)"/>
          <w:bCs/>
          <w:color w:val="000000" w:themeColor="text1"/>
          <w:spacing w:val="-10"/>
          <w:kern w:val="28"/>
          <w:sz w:val="28"/>
          <w:szCs w:val="28"/>
        </w:rPr>
      </w:pPr>
      <w:r w:rsidRPr="00DB680D">
        <w:rPr>
          <w:rFonts w:hAnsi="華康楷書體W5(P)" w:hint="eastAsia"/>
          <w:bCs/>
          <w:color w:val="000000" w:themeColor="text1"/>
          <w:spacing w:val="-10"/>
          <w:kern w:val="28"/>
          <w:sz w:val="28"/>
          <w:szCs w:val="28"/>
        </w:rPr>
        <w:lastRenderedPageBreak/>
        <w:t>82年至105年度國內未規劃之公立公墓數量及面積分析表</w:t>
      </w:r>
    </w:p>
    <w:tbl>
      <w:tblPr>
        <w:tblW w:w="8452" w:type="dxa"/>
        <w:jc w:val="right"/>
        <w:tblLayout w:type="fixed"/>
        <w:tblCellMar>
          <w:left w:w="28" w:type="dxa"/>
          <w:right w:w="28" w:type="dxa"/>
        </w:tblCellMar>
        <w:tblLook w:val="04A0" w:firstRow="1" w:lastRow="0" w:firstColumn="1" w:lastColumn="0" w:noHBand="0" w:noVBand="1"/>
      </w:tblPr>
      <w:tblGrid>
        <w:gridCol w:w="1162"/>
        <w:gridCol w:w="1106"/>
        <w:gridCol w:w="1505"/>
        <w:gridCol w:w="1106"/>
        <w:gridCol w:w="1191"/>
        <w:gridCol w:w="1103"/>
        <w:gridCol w:w="1279"/>
      </w:tblGrid>
      <w:tr w:rsidR="00DB680D" w:rsidRPr="00DB680D" w:rsidTr="00DB680D">
        <w:trPr>
          <w:trHeight w:val="526"/>
          <w:jc w:val="right"/>
        </w:trPr>
        <w:tc>
          <w:tcPr>
            <w:tcW w:w="1162" w:type="dxa"/>
            <w:vMerge w:val="restart"/>
            <w:tcBorders>
              <w:top w:val="single" w:sz="4" w:space="0" w:color="auto"/>
              <w:left w:val="single" w:sz="4" w:space="0" w:color="auto"/>
              <w:right w:val="single" w:sz="4" w:space="0" w:color="auto"/>
            </w:tcBorders>
            <w:shd w:val="clear" w:color="auto" w:fill="auto"/>
            <w:noWrap/>
            <w:vAlign w:val="center"/>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年度</w:t>
            </w:r>
          </w:p>
        </w:tc>
        <w:tc>
          <w:tcPr>
            <w:tcW w:w="729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公立公墓</w:t>
            </w:r>
          </w:p>
        </w:tc>
      </w:tr>
      <w:tr w:rsidR="00DB680D" w:rsidRPr="00DB680D" w:rsidTr="00DB680D">
        <w:trPr>
          <w:trHeight w:val="498"/>
          <w:jc w:val="right"/>
        </w:trPr>
        <w:tc>
          <w:tcPr>
            <w:tcW w:w="1162" w:type="dxa"/>
            <w:vMerge/>
            <w:tcBorders>
              <w:left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p>
        </w:tc>
        <w:tc>
          <w:tcPr>
            <w:tcW w:w="1106" w:type="dxa"/>
            <w:vMerge w:val="restart"/>
            <w:tcBorders>
              <w:top w:val="single" w:sz="4" w:space="0" w:color="auto"/>
              <w:left w:val="single" w:sz="4" w:space="0" w:color="auto"/>
              <w:right w:val="single" w:sz="4" w:space="0" w:color="auto"/>
            </w:tcBorders>
            <w:shd w:val="clear" w:color="auto" w:fill="auto"/>
            <w:noWrap/>
            <w:vAlign w:val="center"/>
            <w:hideMark/>
          </w:tcPr>
          <w:p w:rsidR="00DB680D" w:rsidRPr="00DB680D" w:rsidRDefault="00DB680D" w:rsidP="00DB680D">
            <w:pPr>
              <w:overflowPunct/>
              <w:autoSpaceDE/>
              <w:autoSpaceDN/>
              <w:jc w:val="center"/>
              <w:rPr>
                <w:rFonts w:hAnsi="標楷體"/>
                <w:color w:val="000000" w:themeColor="text1"/>
                <w:kern w:val="0"/>
                <w:sz w:val="28"/>
                <w:szCs w:val="28"/>
              </w:rPr>
            </w:pPr>
            <w:r w:rsidRPr="00DB680D">
              <w:rPr>
                <w:rFonts w:hAnsi="標楷體" w:cs="新細明體" w:hint="eastAsia"/>
                <w:color w:val="000000" w:themeColor="text1"/>
                <w:kern w:val="0"/>
                <w:sz w:val="28"/>
                <w:szCs w:val="28"/>
              </w:rPr>
              <w:t>總數(處)</w:t>
            </w:r>
          </w:p>
        </w:tc>
        <w:tc>
          <w:tcPr>
            <w:tcW w:w="1505" w:type="dxa"/>
            <w:vMerge w:val="restart"/>
            <w:tcBorders>
              <w:top w:val="single" w:sz="4" w:space="0" w:color="auto"/>
              <w:left w:val="single" w:sz="4" w:space="0" w:color="auto"/>
              <w:right w:val="single" w:sz="4" w:space="0" w:color="auto"/>
            </w:tcBorders>
            <w:shd w:val="clear" w:color="auto" w:fill="auto"/>
            <w:vAlign w:val="center"/>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面積</w:t>
            </w:r>
          </w:p>
          <w:p w:rsidR="00DB680D" w:rsidRPr="00DB680D" w:rsidRDefault="00DB680D" w:rsidP="00DB680D">
            <w:pPr>
              <w:overflowPunct/>
              <w:autoSpaceDE/>
              <w:autoSpaceDN/>
              <w:jc w:val="center"/>
              <w:rPr>
                <w:rFonts w:hAnsi="標楷體"/>
                <w:color w:val="000000" w:themeColor="text1"/>
                <w:kern w:val="0"/>
                <w:sz w:val="28"/>
                <w:szCs w:val="28"/>
              </w:rPr>
            </w:pPr>
            <w:r w:rsidRPr="00DB680D">
              <w:rPr>
                <w:rFonts w:hAnsi="標楷體" w:cs="新細明體" w:hint="eastAsia"/>
                <w:color w:val="000000" w:themeColor="text1"/>
                <w:kern w:val="0"/>
                <w:sz w:val="28"/>
                <w:szCs w:val="28"/>
              </w:rPr>
              <w:t>(公頃)</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已規劃</w:t>
            </w: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未規劃</w:t>
            </w:r>
          </w:p>
        </w:tc>
      </w:tr>
      <w:tr w:rsidR="00DB680D" w:rsidRPr="00DB680D" w:rsidTr="00DB680D">
        <w:trPr>
          <w:trHeight w:val="917"/>
          <w:jc w:val="right"/>
        </w:trPr>
        <w:tc>
          <w:tcPr>
            <w:tcW w:w="1162" w:type="dxa"/>
            <w:vMerge/>
            <w:tcBorders>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overflowPunct/>
              <w:autoSpaceDE/>
              <w:autoSpaceDN/>
              <w:jc w:val="center"/>
              <w:rPr>
                <w:rFonts w:hAnsi="標楷體"/>
                <w:color w:val="000000" w:themeColor="text1"/>
                <w:kern w:val="0"/>
                <w:sz w:val="28"/>
                <w:szCs w:val="28"/>
              </w:rPr>
            </w:pPr>
          </w:p>
        </w:tc>
        <w:tc>
          <w:tcPr>
            <w:tcW w:w="1106" w:type="dxa"/>
            <w:vMerge/>
            <w:tcBorders>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p>
        </w:tc>
        <w:tc>
          <w:tcPr>
            <w:tcW w:w="1505" w:type="dxa"/>
            <w:vMerge/>
            <w:tcBorders>
              <w:left w:val="single" w:sz="4" w:space="0" w:color="auto"/>
              <w:bottom w:val="single" w:sz="4" w:space="0" w:color="auto"/>
              <w:right w:val="single" w:sz="4" w:space="0" w:color="auto"/>
            </w:tcBorders>
            <w:shd w:val="clear" w:color="auto" w:fill="auto"/>
            <w:vAlign w:val="center"/>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總數(處)</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面積</w:t>
            </w:r>
          </w:p>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(公頃)</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總數(處)</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面積</w:t>
            </w:r>
          </w:p>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(公頃)</w:t>
            </w:r>
          </w:p>
        </w:tc>
      </w:tr>
      <w:tr w:rsidR="00DB680D" w:rsidRPr="00DB680D" w:rsidTr="00DB680D">
        <w:trPr>
          <w:trHeight w:val="567"/>
          <w:jc w:val="right"/>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82</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3,195</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9,964.63</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 xml:space="preserve">184               </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 xml:space="preserve">971.96 </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2,961</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8,992.67</w:t>
            </w:r>
          </w:p>
        </w:tc>
      </w:tr>
      <w:tr w:rsidR="00DB680D" w:rsidRPr="00DB680D" w:rsidTr="00DB680D">
        <w:trPr>
          <w:trHeight w:val="567"/>
          <w:jc w:val="right"/>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center"/>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105</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3,039</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9,059.62</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bCs/>
                <w:color w:val="000000" w:themeColor="text1"/>
                <w:kern w:val="0"/>
                <w:sz w:val="28"/>
                <w:szCs w:val="28"/>
              </w:rPr>
            </w:pPr>
            <w:r w:rsidRPr="00DB680D">
              <w:rPr>
                <w:rFonts w:hAnsi="標楷體"/>
                <w:bCs/>
                <w:color w:val="000000" w:themeColor="text1"/>
                <w:kern w:val="0"/>
                <w:sz w:val="28"/>
                <w:szCs w:val="28"/>
              </w:rPr>
              <w:t>214</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bCs/>
                <w:color w:val="000000" w:themeColor="text1"/>
                <w:kern w:val="0"/>
                <w:sz w:val="28"/>
                <w:szCs w:val="28"/>
              </w:rPr>
            </w:pPr>
            <w:r w:rsidRPr="00DB680D">
              <w:rPr>
                <w:rFonts w:hAnsi="標楷體"/>
                <w:bCs/>
                <w:color w:val="000000" w:themeColor="text1"/>
                <w:kern w:val="0"/>
                <w:sz w:val="28"/>
                <w:szCs w:val="28"/>
              </w:rPr>
              <w:t xml:space="preserve">1107.94 </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2,825</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olor w:val="000000" w:themeColor="text1"/>
                <w:kern w:val="0"/>
                <w:sz w:val="28"/>
                <w:szCs w:val="28"/>
              </w:rPr>
            </w:pPr>
            <w:r w:rsidRPr="00DB680D">
              <w:rPr>
                <w:rFonts w:hAnsi="標楷體"/>
                <w:color w:val="000000" w:themeColor="text1"/>
                <w:kern w:val="0"/>
                <w:sz w:val="28"/>
                <w:szCs w:val="28"/>
              </w:rPr>
              <w:t>7,951.68</w:t>
            </w:r>
          </w:p>
        </w:tc>
      </w:tr>
      <w:tr w:rsidR="00DB680D" w:rsidRPr="00DB680D" w:rsidTr="00DB680D">
        <w:trPr>
          <w:trHeight w:val="567"/>
          <w:jc w:val="right"/>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left"/>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增減數</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-156</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-905.01</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30</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 xml:space="preserve">135.99 </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-136</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80D" w:rsidRPr="00DB680D" w:rsidRDefault="00DB680D" w:rsidP="00DB680D">
            <w:pPr>
              <w:widowControl/>
              <w:overflowPunct/>
              <w:autoSpaceDE/>
              <w:autoSpaceDN/>
              <w:jc w:val="right"/>
              <w:rPr>
                <w:rFonts w:hAnsi="標楷體" w:cs="新細明體"/>
                <w:color w:val="000000" w:themeColor="text1"/>
                <w:kern w:val="0"/>
                <w:sz w:val="28"/>
                <w:szCs w:val="28"/>
              </w:rPr>
            </w:pPr>
            <w:r w:rsidRPr="00DB680D">
              <w:rPr>
                <w:rFonts w:hAnsi="標楷體" w:cs="新細明體" w:hint="eastAsia"/>
                <w:color w:val="000000" w:themeColor="text1"/>
                <w:kern w:val="0"/>
                <w:sz w:val="28"/>
                <w:szCs w:val="28"/>
              </w:rPr>
              <w:t>-1,041</w:t>
            </w:r>
          </w:p>
        </w:tc>
      </w:tr>
    </w:tbl>
    <w:p w:rsidR="00DB680D" w:rsidRPr="00DB680D" w:rsidRDefault="00DB680D" w:rsidP="00DB680D">
      <w:pPr>
        <w:ind w:leftChars="100" w:left="340"/>
        <w:rPr>
          <w:snapToGrid w:val="0"/>
          <w:color w:val="000000" w:themeColor="text1"/>
          <w:spacing w:val="10"/>
          <w:sz w:val="28"/>
          <w:szCs w:val="28"/>
        </w:rPr>
      </w:pPr>
      <w:r w:rsidRPr="00DB680D">
        <w:rPr>
          <w:rFonts w:hint="eastAsia"/>
          <w:snapToGrid w:val="0"/>
          <w:color w:val="000000" w:themeColor="text1"/>
          <w:spacing w:val="10"/>
          <w:sz w:val="28"/>
          <w:szCs w:val="28"/>
        </w:rPr>
        <w:t>資料來源：內政部</w:t>
      </w:r>
    </w:p>
    <w:p w:rsidR="00DB680D" w:rsidRPr="00DB680D" w:rsidRDefault="00DB680D" w:rsidP="00DB680D">
      <w:pPr>
        <w:ind w:leftChars="100" w:left="340"/>
        <w:rPr>
          <w:snapToGrid w:val="0"/>
          <w:color w:val="000000" w:themeColor="text1"/>
          <w:spacing w:val="10"/>
          <w:sz w:val="28"/>
          <w:szCs w:val="28"/>
        </w:rPr>
      </w:pPr>
      <w:r w:rsidRPr="00DB680D">
        <w:rPr>
          <w:snapToGrid w:val="0"/>
          <w:color w:val="000000" w:themeColor="text1"/>
          <w:spacing w:val="10"/>
          <w:sz w:val="28"/>
          <w:szCs w:val="28"/>
        </w:rPr>
        <w:br w:type="page"/>
      </w:r>
    </w:p>
    <w:p w:rsidR="00DB680D" w:rsidRPr="00DB680D" w:rsidRDefault="00DB680D" w:rsidP="00DB680D">
      <w:pPr>
        <w:keepNext/>
        <w:numPr>
          <w:ilvl w:val="0"/>
          <w:numId w:val="37"/>
        </w:numPr>
        <w:kinsoku w:val="0"/>
        <w:adjustRightInd w:val="0"/>
        <w:snapToGrid w:val="0"/>
        <w:spacing w:before="120" w:after="120" w:line="360" w:lineRule="exact"/>
        <w:ind w:left="1360" w:hanging="680"/>
        <w:textAlignment w:val="baseline"/>
        <w:rPr>
          <w:rFonts w:hAnsi="Arial"/>
          <w:bCs/>
          <w:color w:val="000000" w:themeColor="text1"/>
          <w:spacing w:val="-10"/>
          <w:kern w:val="32"/>
          <w:sz w:val="28"/>
          <w:szCs w:val="36"/>
        </w:rPr>
      </w:pPr>
      <w:r w:rsidRPr="00DB680D">
        <w:rPr>
          <w:rFonts w:hAnsi="Arial" w:hint="eastAsia"/>
          <w:bCs/>
          <w:color w:val="000000" w:themeColor="text1"/>
          <w:spacing w:val="-10"/>
          <w:kern w:val="32"/>
          <w:sz w:val="28"/>
          <w:szCs w:val="36"/>
        </w:rPr>
        <w:lastRenderedPageBreak/>
        <w:t>「殯葬設施示範計畫第三期計畫」預定補助案件達成情形表</w:t>
      </w:r>
    </w:p>
    <w:p w:rsidR="00DB680D" w:rsidRPr="00DB680D" w:rsidRDefault="00DB680D" w:rsidP="00DB680D">
      <w:pPr>
        <w:tabs>
          <w:tab w:val="left" w:pos="567"/>
        </w:tabs>
        <w:ind w:leftChars="2209" w:left="7514"/>
        <w:rPr>
          <w:rFonts w:hAnsi="Arial"/>
          <w:bCs/>
          <w:color w:val="000000" w:themeColor="text1"/>
          <w:kern w:val="32"/>
          <w:sz w:val="28"/>
          <w:szCs w:val="28"/>
        </w:rPr>
      </w:pPr>
      <w:r w:rsidRPr="00DB680D">
        <w:rPr>
          <w:rFonts w:hAnsi="Arial" w:hint="eastAsia"/>
          <w:bCs/>
          <w:color w:val="000000" w:themeColor="text1"/>
          <w:kern w:val="32"/>
          <w:sz w:val="28"/>
          <w:szCs w:val="28"/>
        </w:rPr>
        <w:t>單位：案</w:t>
      </w:r>
    </w:p>
    <w:tbl>
      <w:tblPr>
        <w:tblOverlap w:val="never"/>
        <w:tblW w:w="886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56"/>
        <w:gridCol w:w="968"/>
        <w:gridCol w:w="851"/>
        <w:gridCol w:w="4360"/>
      </w:tblGrid>
      <w:tr w:rsidR="00DB680D" w:rsidRPr="00DB680D" w:rsidTr="00DB680D">
        <w:trPr>
          <w:trHeight w:val="474"/>
        </w:trPr>
        <w:tc>
          <w:tcPr>
            <w:tcW w:w="1932" w:type="dxa"/>
            <w:tcBorders>
              <w:top w:val="single" w:sz="4" w:space="0" w:color="auto"/>
            </w:tcBorders>
            <w:shd w:val="clear" w:color="auto" w:fill="auto"/>
            <w:vAlign w:val="center"/>
          </w:tcPr>
          <w:p w:rsidR="00DB680D" w:rsidRPr="00DB680D" w:rsidRDefault="00DB680D" w:rsidP="00DB680D">
            <w:pPr>
              <w:widowControl/>
              <w:overflowPunct/>
              <w:autoSpaceDE/>
              <w:autoSpaceDN/>
              <w:spacing w:line="320" w:lineRule="exact"/>
              <w:suppressOverlap/>
              <w:jc w:val="center"/>
              <w:rPr>
                <w:rFonts w:hAnsi="標楷體"/>
                <w:color w:val="000000" w:themeColor="text1"/>
                <w:sz w:val="28"/>
                <w:szCs w:val="28"/>
              </w:rPr>
            </w:pPr>
            <w:r w:rsidRPr="00DB680D">
              <w:rPr>
                <w:rFonts w:hAnsi="標楷體" w:hint="eastAsia"/>
                <w:color w:val="000000" w:themeColor="text1"/>
                <w:sz w:val="28"/>
                <w:szCs w:val="28"/>
              </w:rPr>
              <w:t>執行項目</w:t>
            </w:r>
          </w:p>
        </w:tc>
        <w:tc>
          <w:tcPr>
            <w:tcW w:w="756" w:type="dxa"/>
            <w:tcBorders>
              <w:top w:val="single" w:sz="4" w:space="0" w:color="auto"/>
            </w:tcBorders>
            <w:shd w:val="clear" w:color="auto" w:fill="auto"/>
            <w:vAlign w:val="center"/>
          </w:tcPr>
          <w:p w:rsidR="00DB680D" w:rsidRPr="00DB680D" w:rsidRDefault="00DB680D" w:rsidP="00DB680D">
            <w:pPr>
              <w:widowControl/>
              <w:overflowPunct/>
              <w:autoSpaceDE/>
              <w:autoSpaceDN/>
              <w:spacing w:line="320" w:lineRule="exact"/>
              <w:ind w:leftChars="-45" w:left="-153" w:rightChars="-45" w:right="-153"/>
              <w:suppressOverlap/>
              <w:jc w:val="center"/>
              <w:rPr>
                <w:rFonts w:hAnsi="標楷體"/>
                <w:color w:val="000000" w:themeColor="text1"/>
                <w:sz w:val="28"/>
                <w:szCs w:val="28"/>
              </w:rPr>
            </w:pPr>
            <w:r w:rsidRPr="00DB680D">
              <w:rPr>
                <w:rFonts w:hAnsi="標楷體" w:hint="eastAsia"/>
                <w:color w:val="000000" w:themeColor="text1"/>
                <w:sz w:val="28"/>
                <w:szCs w:val="28"/>
              </w:rPr>
              <w:t>目標值(A)</w:t>
            </w:r>
          </w:p>
        </w:tc>
        <w:tc>
          <w:tcPr>
            <w:tcW w:w="968" w:type="dxa"/>
            <w:tcBorders>
              <w:top w:val="single" w:sz="4" w:space="0" w:color="auto"/>
            </w:tcBorders>
            <w:shd w:val="clear" w:color="auto" w:fill="auto"/>
            <w:vAlign w:val="center"/>
          </w:tcPr>
          <w:p w:rsidR="00DB680D" w:rsidRPr="00DB680D" w:rsidRDefault="00DB680D" w:rsidP="00DB680D">
            <w:pPr>
              <w:widowControl/>
              <w:overflowPunct/>
              <w:autoSpaceDE/>
              <w:autoSpaceDN/>
              <w:spacing w:line="320" w:lineRule="exact"/>
              <w:ind w:leftChars="-45" w:left="-153" w:rightChars="-45" w:right="-153"/>
              <w:suppressOverlap/>
              <w:jc w:val="center"/>
              <w:rPr>
                <w:rFonts w:hAnsi="標楷體"/>
                <w:color w:val="000000" w:themeColor="text1"/>
                <w:sz w:val="28"/>
                <w:szCs w:val="28"/>
              </w:rPr>
            </w:pPr>
            <w:r w:rsidRPr="00DB680D">
              <w:rPr>
                <w:rFonts w:hAnsi="標楷體" w:hint="eastAsia"/>
                <w:color w:val="000000" w:themeColor="text1"/>
                <w:sz w:val="28"/>
                <w:szCs w:val="28"/>
              </w:rPr>
              <w:t>實際執行數(B)</w:t>
            </w:r>
          </w:p>
        </w:tc>
        <w:tc>
          <w:tcPr>
            <w:tcW w:w="851" w:type="dxa"/>
            <w:tcBorders>
              <w:top w:val="single" w:sz="4" w:space="0" w:color="auto"/>
            </w:tcBorders>
            <w:shd w:val="clear" w:color="auto" w:fill="auto"/>
            <w:vAlign w:val="center"/>
          </w:tcPr>
          <w:p w:rsidR="00DB680D" w:rsidRPr="00DB680D" w:rsidRDefault="00DB680D" w:rsidP="00DB680D">
            <w:pPr>
              <w:widowControl/>
              <w:overflowPunct/>
              <w:autoSpaceDE/>
              <w:autoSpaceDN/>
              <w:spacing w:line="320" w:lineRule="exact"/>
              <w:ind w:leftChars="-45" w:left="-153" w:rightChars="-45" w:right="-153"/>
              <w:suppressOverlap/>
              <w:jc w:val="center"/>
              <w:rPr>
                <w:rFonts w:hAnsi="標楷體"/>
                <w:color w:val="000000" w:themeColor="text1"/>
                <w:sz w:val="28"/>
                <w:szCs w:val="28"/>
              </w:rPr>
            </w:pPr>
            <w:r w:rsidRPr="00DB680D">
              <w:rPr>
                <w:rFonts w:hAnsi="標楷體" w:hint="eastAsia"/>
                <w:color w:val="000000" w:themeColor="text1"/>
                <w:sz w:val="28"/>
                <w:szCs w:val="28"/>
              </w:rPr>
              <w:t>差異(B-A)</w:t>
            </w:r>
          </w:p>
        </w:tc>
        <w:tc>
          <w:tcPr>
            <w:tcW w:w="4360" w:type="dxa"/>
            <w:tcBorders>
              <w:top w:val="single" w:sz="4" w:space="0" w:color="auto"/>
            </w:tcBorders>
            <w:shd w:val="clear" w:color="auto" w:fill="auto"/>
            <w:vAlign w:val="center"/>
          </w:tcPr>
          <w:p w:rsidR="00DB680D" w:rsidRPr="00DB680D" w:rsidRDefault="00DB680D" w:rsidP="00DB680D">
            <w:pPr>
              <w:widowControl/>
              <w:overflowPunct/>
              <w:autoSpaceDE/>
              <w:autoSpaceDN/>
              <w:spacing w:line="320" w:lineRule="exact"/>
              <w:ind w:leftChars="-45" w:left="-153" w:rightChars="-45" w:right="-153"/>
              <w:suppressOverlap/>
              <w:jc w:val="center"/>
              <w:rPr>
                <w:rFonts w:hAnsi="標楷體"/>
                <w:color w:val="000000" w:themeColor="text1"/>
                <w:sz w:val="28"/>
                <w:szCs w:val="28"/>
              </w:rPr>
            </w:pPr>
            <w:r w:rsidRPr="00DB680D">
              <w:rPr>
                <w:rFonts w:hAnsi="標楷體" w:hint="eastAsia"/>
                <w:color w:val="000000" w:themeColor="text1"/>
                <w:sz w:val="28"/>
                <w:szCs w:val="28"/>
              </w:rPr>
              <w:t>內政部檢討未達目標值之原因</w:t>
            </w:r>
          </w:p>
        </w:tc>
      </w:tr>
      <w:tr w:rsidR="00DB680D" w:rsidRPr="00DB680D" w:rsidTr="00DB680D">
        <w:trPr>
          <w:trHeight w:val="987"/>
        </w:trPr>
        <w:tc>
          <w:tcPr>
            <w:tcW w:w="1932" w:type="dxa"/>
            <w:shd w:val="clear" w:color="auto" w:fill="auto"/>
            <w:vAlign w:val="center"/>
          </w:tcPr>
          <w:p w:rsidR="00DB680D" w:rsidRPr="00DB680D" w:rsidRDefault="00DB680D" w:rsidP="00DB680D">
            <w:pPr>
              <w:widowControl/>
              <w:overflowPunct/>
              <w:autoSpaceDE/>
              <w:autoSpaceDN/>
              <w:spacing w:line="320" w:lineRule="exact"/>
              <w:ind w:leftChars="-27" w:left="-92" w:rightChars="-30" w:right="-102"/>
              <w:suppressOverlap/>
              <w:rPr>
                <w:rFonts w:hAnsi="標楷體"/>
                <w:color w:val="000000" w:themeColor="text1"/>
                <w:sz w:val="28"/>
                <w:szCs w:val="28"/>
              </w:rPr>
            </w:pPr>
            <w:r w:rsidRPr="00DB680D">
              <w:rPr>
                <w:rFonts w:hAnsi="標楷體" w:hint="eastAsia"/>
                <w:color w:val="000000" w:themeColor="text1"/>
                <w:sz w:val="28"/>
                <w:szCs w:val="28"/>
              </w:rPr>
              <w:t>補助辦理環保自然葬法</w:t>
            </w:r>
          </w:p>
        </w:tc>
        <w:tc>
          <w:tcPr>
            <w:tcW w:w="756"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12</w:t>
            </w:r>
          </w:p>
        </w:tc>
        <w:tc>
          <w:tcPr>
            <w:tcW w:w="968" w:type="dxa"/>
            <w:vMerge w:val="restart"/>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6</w:t>
            </w:r>
          </w:p>
        </w:tc>
        <w:tc>
          <w:tcPr>
            <w:tcW w:w="851" w:type="dxa"/>
            <w:vMerge w:val="restart"/>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- 10</w:t>
            </w:r>
          </w:p>
        </w:tc>
        <w:tc>
          <w:tcPr>
            <w:tcW w:w="4360" w:type="dxa"/>
            <w:vMerge w:val="restart"/>
            <w:shd w:val="clear" w:color="auto" w:fill="auto"/>
          </w:tcPr>
          <w:p w:rsidR="00DB680D" w:rsidRPr="00DB680D" w:rsidRDefault="00DB680D" w:rsidP="00DB680D">
            <w:pPr>
              <w:widowControl/>
              <w:overflowPunct/>
              <w:autoSpaceDE/>
              <w:autoSpaceDN/>
              <w:spacing w:line="320" w:lineRule="exact"/>
              <w:ind w:left="330" w:hangingChars="110" w:hanging="330"/>
              <w:suppressOverlap/>
              <w:rPr>
                <w:rFonts w:hAnsi="標楷體"/>
                <w:color w:val="000000" w:themeColor="text1"/>
                <w:sz w:val="28"/>
                <w:szCs w:val="28"/>
              </w:rPr>
            </w:pPr>
            <w:r w:rsidRPr="00DB680D">
              <w:rPr>
                <w:rFonts w:hAnsi="標楷體" w:hint="eastAsia"/>
                <w:color w:val="000000" w:themeColor="text1"/>
                <w:sz w:val="28"/>
                <w:szCs w:val="28"/>
              </w:rPr>
              <w:t>1.部分已核定補助之興建骨灰骸存放設施，因地方代表會未同意、民眾抗爭、執行進度落後等因素，未達預定目標。</w:t>
            </w:r>
          </w:p>
          <w:p w:rsidR="00DB680D" w:rsidRPr="00DB680D" w:rsidRDefault="00DB680D" w:rsidP="00DB680D">
            <w:pPr>
              <w:widowControl/>
              <w:overflowPunct/>
              <w:autoSpaceDE/>
              <w:autoSpaceDN/>
              <w:spacing w:line="320" w:lineRule="exact"/>
              <w:ind w:left="315" w:hangingChars="105" w:hanging="315"/>
              <w:suppressOverlap/>
              <w:rPr>
                <w:rFonts w:hAnsi="標楷體"/>
                <w:color w:val="000000" w:themeColor="text1"/>
                <w:sz w:val="28"/>
                <w:szCs w:val="28"/>
              </w:rPr>
            </w:pPr>
            <w:r w:rsidRPr="00DB680D">
              <w:rPr>
                <w:rFonts w:hAnsi="標楷體" w:hint="eastAsia"/>
                <w:color w:val="000000" w:themeColor="text1"/>
                <w:sz w:val="28"/>
                <w:szCs w:val="28"/>
              </w:rPr>
              <w:t>2.案經內政部檢討結果，環保自然葬不受公墓墓基面積限制，可大量收存火化後再研磨處理之骨灰，另地方申請補助環保自然葬案件量日益縮減，且全國業有29處環保自然葬公墓，已達示範效果。</w:t>
            </w:r>
          </w:p>
        </w:tc>
      </w:tr>
      <w:tr w:rsidR="00DB680D" w:rsidRPr="00DB680D" w:rsidTr="00DB680D">
        <w:trPr>
          <w:trHeight w:val="2691"/>
        </w:trPr>
        <w:tc>
          <w:tcPr>
            <w:tcW w:w="1932" w:type="dxa"/>
            <w:shd w:val="clear" w:color="auto" w:fill="auto"/>
            <w:vAlign w:val="center"/>
          </w:tcPr>
          <w:p w:rsidR="00DB680D" w:rsidRPr="00DB680D" w:rsidRDefault="00DB680D" w:rsidP="00DB680D">
            <w:pPr>
              <w:widowControl/>
              <w:overflowPunct/>
              <w:autoSpaceDE/>
              <w:autoSpaceDN/>
              <w:spacing w:line="320" w:lineRule="exact"/>
              <w:ind w:leftChars="-27" w:left="-92" w:rightChars="-30" w:right="-102"/>
              <w:suppressOverlap/>
              <w:rPr>
                <w:rFonts w:hAnsi="標楷體"/>
                <w:color w:val="000000" w:themeColor="text1"/>
                <w:sz w:val="28"/>
                <w:szCs w:val="28"/>
              </w:rPr>
            </w:pPr>
            <w:r w:rsidRPr="00DB680D">
              <w:rPr>
                <w:rFonts w:hAnsi="標楷體" w:hint="eastAsia"/>
                <w:color w:val="000000" w:themeColor="text1"/>
                <w:sz w:val="28"/>
                <w:szCs w:val="28"/>
              </w:rPr>
              <w:t>補助辦理公墓更新、環保自然葬法後新建骨灰骸存放設施(納骨堂)</w:t>
            </w:r>
          </w:p>
        </w:tc>
        <w:tc>
          <w:tcPr>
            <w:tcW w:w="756"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4</w:t>
            </w:r>
          </w:p>
        </w:tc>
        <w:tc>
          <w:tcPr>
            <w:tcW w:w="968" w:type="dxa"/>
            <w:vMerge/>
            <w:shd w:val="clear" w:color="auto" w:fill="auto"/>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p>
        </w:tc>
        <w:tc>
          <w:tcPr>
            <w:tcW w:w="851" w:type="dxa"/>
            <w:vMerge/>
            <w:shd w:val="clear" w:color="auto" w:fill="auto"/>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p>
        </w:tc>
        <w:tc>
          <w:tcPr>
            <w:tcW w:w="4360" w:type="dxa"/>
            <w:vMerge/>
            <w:tcBorders>
              <w:bottom w:val="single" w:sz="4" w:space="0" w:color="auto"/>
            </w:tcBorders>
            <w:shd w:val="clear" w:color="auto" w:fill="auto"/>
          </w:tcPr>
          <w:p w:rsidR="00DB680D" w:rsidRPr="00DB680D" w:rsidRDefault="00DB680D" w:rsidP="00DB680D">
            <w:pPr>
              <w:widowControl/>
              <w:overflowPunct/>
              <w:autoSpaceDE/>
              <w:autoSpaceDN/>
              <w:spacing w:line="320" w:lineRule="exact"/>
              <w:suppressOverlap/>
              <w:jc w:val="left"/>
              <w:rPr>
                <w:rFonts w:hAnsi="標楷體"/>
                <w:color w:val="000000" w:themeColor="text1"/>
                <w:sz w:val="28"/>
                <w:szCs w:val="28"/>
              </w:rPr>
            </w:pPr>
          </w:p>
        </w:tc>
      </w:tr>
      <w:tr w:rsidR="00DB680D" w:rsidRPr="00DB680D" w:rsidTr="00DB680D">
        <w:trPr>
          <w:trHeight w:val="1797"/>
        </w:trPr>
        <w:tc>
          <w:tcPr>
            <w:tcW w:w="1932" w:type="dxa"/>
            <w:shd w:val="clear" w:color="auto" w:fill="auto"/>
            <w:vAlign w:val="center"/>
          </w:tcPr>
          <w:p w:rsidR="00DB680D" w:rsidRPr="00DB680D" w:rsidRDefault="00DB680D" w:rsidP="00DB680D">
            <w:pPr>
              <w:widowControl/>
              <w:overflowPunct/>
              <w:autoSpaceDE/>
              <w:autoSpaceDN/>
              <w:spacing w:line="320" w:lineRule="exact"/>
              <w:ind w:leftChars="-27" w:left="-92" w:rightChars="-30" w:right="-102"/>
              <w:suppressOverlap/>
              <w:rPr>
                <w:rFonts w:hAnsi="標楷體"/>
                <w:color w:val="000000" w:themeColor="text1"/>
                <w:sz w:val="28"/>
                <w:szCs w:val="28"/>
              </w:rPr>
            </w:pPr>
            <w:r w:rsidRPr="00DB680D">
              <w:rPr>
                <w:rFonts w:hAnsi="標楷體" w:hint="eastAsia"/>
                <w:color w:val="000000" w:themeColor="text1"/>
                <w:sz w:val="28"/>
                <w:szCs w:val="28"/>
              </w:rPr>
              <w:t>補助新建具區域性服務功能之殯葬園區(含火化場及殯儀館)</w:t>
            </w:r>
          </w:p>
        </w:tc>
        <w:tc>
          <w:tcPr>
            <w:tcW w:w="756"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2</w:t>
            </w:r>
          </w:p>
        </w:tc>
        <w:tc>
          <w:tcPr>
            <w:tcW w:w="968"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6</w:t>
            </w:r>
          </w:p>
        </w:tc>
        <w:tc>
          <w:tcPr>
            <w:tcW w:w="851"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＋4</w:t>
            </w:r>
          </w:p>
        </w:tc>
        <w:tc>
          <w:tcPr>
            <w:tcW w:w="4360" w:type="dxa"/>
            <w:vMerge w:val="restart"/>
            <w:shd w:val="clear" w:color="auto" w:fill="auto"/>
            <w:vAlign w:val="center"/>
          </w:tcPr>
          <w:p w:rsidR="00DB680D" w:rsidRPr="00DB680D" w:rsidRDefault="00DB680D" w:rsidP="00DB680D">
            <w:pPr>
              <w:widowControl/>
              <w:overflowPunct/>
              <w:autoSpaceDE/>
              <w:autoSpaceDN/>
              <w:spacing w:line="320" w:lineRule="exact"/>
              <w:suppressOverlap/>
              <w:rPr>
                <w:rFonts w:hAnsi="標楷體"/>
                <w:color w:val="000000" w:themeColor="text1"/>
                <w:sz w:val="28"/>
                <w:szCs w:val="28"/>
              </w:rPr>
            </w:pPr>
            <w:r w:rsidRPr="00DB680D">
              <w:rPr>
                <w:rFonts w:hAnsi="標楷體" w:hint="eastAsia"/>
                <w:color w:val="000000" w:themeColor="text1"/>
                <w:sz w:val="28"/>
                <w:szCs w:val="28"/>
              </w:rPr>
              <w:t>統計計畫執行完竣後之實際情形，均超過計畫目標值。</w:t>
            </w:r>
          </w:p>
        </w:tc>
      </w:tr>
      <w:tr w:rsidR="00DB680D" w:rsidRPr="00DB680D" w:rsidTr="00DB680D">
        <w:trPr>
          <w:trHeight w:val="1210"/>
        </w:trPr>
        <w:tc>
          <w:tcPr>
            <w:tcW w:w="1932" w:type="dxa"/>
            <w:shd w:val="clear" w:color="auto" w:fill="auto"/>
            <w:vAlign w:val="center"/>
          </w:tcPr>
          <w:p w:rsidR="00DB680D" w:rsidRPr="00DB680D" w:rsidRDefault="00DB680D" w:rsidP="00DB680D">
            <w:pPr>
              <w:widowControl/>
              <w:overflowPunct/>
              <w:autoSpaceDE/>
              <w:autoSpaceDN/>
              <w:spacing w:line="320" w:lineRule="exact"/>
              <w:ind w:leftChars="-27" w:left="-92" w:rightChars="-30" w:right="-102"/>
              <w:suppressOverlap/>
              <w:rPr>
                <w:rFonts w:hAnsi="標楷體"/>
                <w:color w:val="000000" w:themeColor="text1"/>
                <w:sz w:val="28"/>
                <w:szCs w:val="28"/>
              </w:rPr>
            </w:pPr>
            <w:r w:rsidRPr="00DB680D">
              <w:rPr>
                <w:rFonts w:hAnsi="標楷體" w:hint="eastAsia"/>
                <w:color w:val="000000" w:themeColor="text1"/>
                <w:sz w:val="28"/>
                <w:szCs w:val="28"/>
              </w:rPr>
              <w:t>補助原住民山地鄉(區)辦理既有公墓更新</w:t>
            </w:r>
          </w:p>
        </w:tc>
        <w:tc>
          <w:tcPr>
            <w:tcW w:w="756"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4</w:t>
            </w:r>
          </w:p>
        </w:tc>
        <w:tc>
          <w:tcPr>
            <w:tcW w:w="968"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45</w:t>
            </w:r>
          </w:p>
        </w:tc>
        <w:tc>
          <w:tcPr>
            <w:tcW w:w="851" w:type="dxa"/>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＋41</w:t>
            </w:r>
          </w:p>
        </w:tc>
        <w:tc>
          <w:tcPr>
            <w:tcW w:w="4360" w:type="dxa"/>
            <w:vMerge/>
            <w:tcBorders>
              <w:tl2br w:val="single" w:sz="4" w:space="0" w:color="auto"/>
            </w:tcBorders>
            <w:shd w:val="clear" w:color="auto" w:fill="auto"/>
          </w:tcPr>
          <w:p w:rsidR="00DB680D" w:rsidRPr="00DB680D" w:rsidRDefault="00DB680D" w:rsidP="00DB680D">
            <w:pPr>
              <w:widowControl/>
              <w:overflowPunct/>
              <w:autoSpaceDE/>
              <w:autoSpaceDN/>
              <w:spacing w:line="320" w:lineRule="exact"/>
              <w:suppressOverlap/>
              <w:jc w:val="left"/>
              <w:rPr>
                <w:rFonts w:hAnsi="標楷體"/>
                <w:color w:val="000000" w:themeColor="text1"/>
                <w:sz w:val="28"/>
                <w:szCs w:val="28"/>
              </w:rPr>
            </w:pPr>
          </w:p>
        </w:tc>
      </w:tr>
      <w:tr w:rsidR="00DB680D" w:rsidRPr="00DB680D" w:rsidTr="00DB680D">
        <w:trPr>
          <w:trHeight w:hRule="exact" w:val="942"/>
        </w:trPr>
        <w:tc>
          <w:tcPr>
            <w:tcW w:w="1932"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320" w:lineRule="exact"/>
              <w:ind w:leftChars="-27" w:left="-92" w:rightChars="-30" w:right="-102"/>
              <w:suppressOverlap/>
              <w:rPr>
                <w:rFonts w:hAnsi="標楷體"/>
                <w:color w:val="000000" w:themeColor="text1"/>
                <w:sz w:val="28"/>
                <w:szCs w:val="28"/>
              </w:rPr>
            </w:pPr>
            <w:r w:rsidRPr="00DB680D">
              <w:rPr>
                <w:rFonts w:hAnsi="標楷體" w:hint="eastAsia"/>
                <w:color w:val="000000" w:themeColor="text1"/>
                <w:sz w:val="28"/>
                <w:szCs w:val="28"/>
              </w:rPr>
              <w:t>補助辦理回教公墓新設或更新</w:t>
            </w:r>
          </w:p>
        </w:tc>
        <w:tc>
          <w:tcPr>
            <w:tcW w:w="756"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4</w:t>
            </w:r>
          </w:p>
        </w:tc>
        <w:tc>
          <w:tcPr>
            <w:tcW w:w="968"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1</w:t>
            </w:r>
          </w:p>
        </w:tc>
        <w:tc>
          <w:tcPr>
            <w:tcW w:w="851"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320" w:lineRule="exact"/>
              <w:suppressOverlap/>
              <w:jc w:val="right"/>
              <w:rPr>
                <w:rFonts w:hAnsi="標楷體"/>
                <w:color w:val="000000" w:themeColor="text1"/>
                <w:sz w:val="28"/>
                <w:szCs w:val="28"/>
              </w:rPr>
            </w:pPr>
            <w:r w:rsidRPr="00DB680D">
              <w:rPr>
                <w:rFonts w:hAnsi="標楷體" w:hint="eastAsia"/>
                <w:color w:val="000000" w:themeColor="text1"/>
                <w:sz w:val="28"/>
                <w:szCs w:val="28"/>
              </w:rPr>
              <w:t>- 3</w:t>
            </w:r>
          </w:p>
        </w:tc>
        <w:tc>
          <w:tcPr>
            <w:tcW w:w="4360"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320" w:lineRule="exact"/>
              <w:suppressOverlap/>
              <w:rPr>
                <w:rFonts w:hAnsi="標楷體"/>
                <w:color w:val="000000" w:themeColor="text1"/>
                <w:sz w:val="28"/>
                <w:szCs w:val="28"/>
              </w:rPr>
            </w:pPr>
            <w:r w:rsidRPr="00DB680D">
              <w:rPr>
                <w:rFonts w:hAnsi="標楷體" w:hint="eastAsia"/>
                <w:color w:val="000000" w:themeColor="text1"/>
                <w:sz w:val="28"/>
                <w:szCs w:val="28"/>
              </w:rPr>
              <w:t>僅臺南市政府提出申請。</w:t>
            </w:r>
          </w:p>
        </w:tc>
      </w:tr>
    </w:tbl>
    <w:p w:rsidR="00DB680D" w:rsidRPr="00DB680D" w:rsidRDefault="00DB680D" w:rsidP="00DB680D">
      <w:pPr>
        <w:ind w:leftChars="-41" w:left="2" w:hangingChars="44" w:hanging="141"/>
        <w:rPr>
          <w:snapToGrid w:val="0"/>
          <w:color w:val="000000" w:themeColor="text1"/>
          <w:spacing w:val="10"/>
          <w:sz w:val="28"/>
          <w:szCs w:val="28"/>
        </w:rPr>
      </w:pPr>
      <w:r w:rsidRPr="00DB680D">
        <w:rPr>
          <w:rFonts w:hint="eastAsia"/>
          <w:snapToGrid w:val="0"/>
          <w:color w:val="000000" w:themeColor="text1"/>
          <w:spacing w:val="10"/>
          <w:sz w:val="28"/>
          <w:szCs w:val="28"/>
        </w:rPr>
        <w:t>資料來源：審計部</w:t>
      </w:r>
    </w:p>
    <w:p w:rsidR="00DB680D" w:rsidRPr="00DB680D" w:rsidRDefault="00DB680D" w:rsidP="00DB680D">
      <w:pPr>
        <w:ind w:leftChars="-41" w:left="2" w:hangingChars="44" w:hanging="141"/>
        <w:rPr>
          <w:snapToGrid w:val="0"/>
          <w:color w:val="000000" w:themeColor="text1"/>
          <w:spacing w:val="10"/>
          <w:sz w:val="28"/>
          <w:szCs w:val="28"/>
        </w:rPr>
      </w:pPr>
      <w:r w:rsidRPr="00DB680D">
        <w:rPr>
          <w:rFonts w:hint="eastAsia"/>
          <w:snapToGrid w:val="0"/>
          <w:color w:val="000000" w:themeColor="text1"/>
          <w:spacing w:val="10"/>
          <w:sz w:val="28"/>
          <w:szCs w:val="28"/>
        </w:rPr>
        <w:t>備註：</w:t>
      </w:r>
    </w:p>
    <w:p w:rsidR="00DB680D" w:rsidRPr="00DB680D" w:rsidRDefault="00DB680D" w:rsidP="00DB680D">
      <w:pPr>
        <w:numPr>
          <w:ilvl w:val="3"/>
          <w:numId w:val="37"/>
        </w:numPr>
        <w:ind w:left="504"/>
        <w:outlineLvl w:val="3"/>
        <w:rPr>
          <w:rFonts w:hAnsi="Arial"/>
          <w:b/>
          <w:kern w:val="32"/>
          <w:sz w:val="28"/>
          <w:szCs w:val="28"/>
        </w:rPr>
      </w:pPr>
      <w:r w:rsidRPr="00DB680D">
        <w:rPr>
          <w:rFonts w:hAnsi="Arial" w:hint="eastAsia"/>
          <w:kern w:val="32"/>
          <w:sz w:val="28"/>
          <w:szCs w:val="28"/>
        </w:rPr>
        <w:t>目標值(A)：係指</w:t>
      </w:r>
      <w:r w:rsidRPr="00DB680D">
        <w:rPr>
          <w:rFonts w:hAnsi="Arial"/>
          <w:kern w:val="32"/>
          <w:sz w:val="28"/>
          <w:szCs w:val="28"/>
        </w:rPr>
        <w:t>執行</w:t>
      </w:r>
      <w:r w:rsidRPr="00DB680D">
        <w:rPr>
          <w:rFonts w:hAnsi="Arial" w:hint="eastAsia"/>
          <w:kern w:val="32"/>
          <w:sz w:val="28"/>
          <w:szCs w:val="28"/>
        </w:rPr>
        <w:t>項目</w:t>
      </w:r>
      <w:r w:rsidRPr="00DB680D">
        <w:rPr>
          <w:rFonts w:hAnsi="Arial"/>
          <w:kern w:val="32"/>
          <w:sz w:val="28"/>
          <w:szCs w:val="28"/>
        </w:rPr>
        <w:t>預期</w:t>
      </w:r>
      <w:r w:rsidRPr="00DB680D">
        <w:rPr>
          <w:rFonts w:hAnsi="Arial" w:hint="eastAsia"/>
          <w:kern w:val="32"/>
          <w:sz w:val="28"/>
          <w:szCs w:val="28"/>
        </w:rPr>
        <w:t>達成之數值</w:t>
      </w:r>
      <w:r w:rsidRPr="00DB680D">
        <w:rPr>
          <w:rFonts w:hAnsi="Arial" w:hint="eastAsia"/>
          <w:b/>
          <w:kern w:val="32"/>
          <w:sz w:val="28"/>
          <w:szCs w:val="28"/>
        </w:rPr>
        <w:t>。</w:t>
      </w:r>
    </w:p>
    <w:p w:rsidR="00DB680D" w:rsidRPr="00DB680D" w:rsidRDefault="00DB680D" w:rsidP="00DB680D">
      <w:pPr>
        <w:numPr>
          <w:ilvl w:val="3"/>
          <w:numId w:val="37"/>
        </w:numPr>
        <w:ind w:left="504"/>
        <w:outlineLvl w:val="3"/>
        <w:rPr>
          <w:rFonts w:hAnsi="Arial"/>
          <w:kern w:val="32"/>
          <w:sz w:val="28"/>
          <w:szCs w:val="28"/>
        </w:rPr>
      </w:pPr>
      <w:r w:rsidRPr="00DB680D">
        <w:rPr>
          <w:rFonts w:hAnsi="Arial" w:hint="eastAsia"/>
          <w:kern w:val="32"/>
          <w:sz w:val="28"/>
          <w:szCs w:val="28"/>
        </w:rPr>
        <w:t>實際執行數(B)：係指於計畫執行完竣後，所統計計畫之實際達成數值。</w:t>
      </w:r>
    </w:p>
    <w:p w:rsidR="00DB680D" w:rsidRPr="00DB680D" w:rsidRDefault="00DB680D" w:rsidP="00DB680D">
      <w:pPr>
        <w:numPr>
          <w:ilvl w:val="3"/>
          <w:numId w:val="37"/>
        </w:numPr>
        <w:ind w:left="504"/>
        <w:outlineLvl w:val="3"/>
        <w:rPr>
          <w:rFonts w:hAnsi="Arial"/>
          <w:kern w:val="32"/>
          <w:sz w:val="28"/>
          <w:szCs w:val="28"/>
        </w:rPr>
      </w:pPr>
      <w:r w:rsidRPr="00DB680D">
        <w:rPr>
          <w:rFonts w:hAnsi="Arial" w:hint="eastAsia"/>
          <w:kern w:val="32"/>
          <w:sz w:val="28"/>
          <w:szCs w:val="28"/>
        </w:rPr>
        <w:t>差異(B-A)：係指於計畫執行完竣後，所統計實際達成值與目標值之間相差數。</w:t>
      </w:r>
    </w:p>
    <w:p w:rsidR="00DB680D" w:rsidRPr="00DB680D" w:rsidRDefault="00DB680D" w:rsidP="00DB680D">
      <w:pPr>
        <w:ind w:left="504"/>
        <w:outlineLvl w:val="3"/>
        <w:rPr>
          <w:rFonts w:hAnsi="Arial"/>
          <w:kern w:val="32"/>
          <w:sz w:val="28"/>
          <w:szCs w:val="28"/>
        </w:rPr>
      </w:pPr>
    </w:p>
    <w:p w:rsidR="00DB680D" w:rsidRPr="00DB680D" w:rsidRDefault="00DB680D" w:rsidP="00DB680D">
      <w:pPr>
        <w:ind w:leftChars="1100" w:left="3742" w:firstLineChars="500" w:firstLine="2003"/>
        <w:rPr>
          <w:b/>
          <w:snapToGrid w:val="0"/>
          <w:color w:val="000000" w:themeColor="text1"/>
          <w:spacing w:val="10"/>
          <w:sz w:val="36"/>
        </w:rPr>
      </w:pPr>
      <w:r w:rsidRPr="00DB680D">
        <w:rPr>
          <w:b/>
          <w:snapToGrid w:val="0"/>
          <w:color w:val="000000" w:themeColor="text1"/>
          <w:spacing w:val="10"/>
          <w:sz w:val="36"/>
        </w:rPr>
        <w:br w:type="page"/>
      </w:r>
    </w:p>
    <w:p w:rsidR="00DB680D" w:rsidRPr="00DB680D" w:rsidRDefault="00DB680D" w:rsidP="00DB680D">
      <w:pPr>
        <w:keepNext/>
        <w:numPr>
          <w:ilvl w:val="0"/>
          <w:numId w:val="37"/>
        </w:numPr>
        <w:kinsoku w:val="0"/>
        <w:adjustRightInd w:val="0"/>
        <w:snapToGrid w:val="0"/>
        <w:spacing w:before="120" w:after="120" w:line="360" w:lineRule="exact"/>
        <w:ind w:left="1360" w:hanging="680"/>
        <w:textAlignment w:val="baseline"/>
        <w:rPr>
          <w:rFonts w:hAnsi="Arial"/>
          <w:bCs/>
          <w:color w:val="000000" w:themeColor="text1"/>
          <w:spacing w:val="-10"/>
          <w:kern w:val="32"/>
          <w:sz w:val="28"/>
          <w:szCs w:val="28"/>
        </w:rPr>
      </w:pPr>
      <w:r w:rsidRPr="00DB680D">
        <w:rPr>
          <w:rFonts w:hAnsi="Arial" w:hint="eastAsia"/>
          <w:bCs/>
          <w:color w:val="000000" w:themeColor="text1"/>
          <w:spacing w:val="-10"/>
          <w:kern w:val="32"/>
          <w:sz w:val="28"/>
          <w:szCs w:val="28"/>
        </w:rPr>
        <w:lastRenderedPageBreak/>
        <w:t>「殯葬設施示範計畫第三期計畫」</w:t>
      </w:r>
      <w:r w:rsidRPr="00DB680D">
        <w:rPr>
          <w:rFonts w:hAnsi="Arial" w:hint="eastAsia"/>
          <w:bCs/>
          <w:color w:val="000000" w:themeColor="text1"/>
          <w:spacing w:val="-10"/>
          <w:kern w:val="32"/>
          <w:sz w:val="28"/>
          <w:szCs w:val="36"/>
        </w:rPr>
        <w:t>績效</w:t>
      </w:r>
      <w:r w:rsidRPr="00DB680D">
        <w:rPr>
          <w:rFonts w:hAnsi="Arial" w:hint="eastAsia"/>
          <w:bCs/>
          <w:color w:val="000000" w:themeColor="text1"/>
          <w:spacing w:val="-10"/>
          <w:kern w:val="32"/>
          <w:sz w:val="28"/>
          <w:szCs w:val="28"/>
        </w:rPr>
        <w:t>指標設定與達成情形表</w:t>
      </w:r>
    </w:p>
    <w:tbl>
      <w:tblPr>
        <w:tblOverlap w:val="never"/>
        <w:tblW w:w="90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77"/>
        <w:gridCol w:w="2450"/>
        <w:gridCol w:w="1347"/>
        <w:gridCol w:w="1091"/>
        <w:gridCol w:w="1218"/>
        <w:gridCol w:w="1160"/>
      </w:tblGrid>
      <w:tr w:rsidR="00DB680D" w:rsidRPr="00DB680D" w:rsidTr="00DB680D">
        <w:trPr>
          <w:trHeight w:val="20"/>
        </w:trPr>
        <w:tc>
          <w:tcPr>
            <w:tcW w:w="1777" w:type="dxa"/>
            <w:shd w:val="clear" w:color="auto" w:fill="auto"/>
            <w:vAlign w:val="center"/>
          </w:tcPr>
          <w:p w:rsidR="00DB680D" w:rsidRPr="00DB680D" w:rsidRDefault="00DB680D" w:rsidP="00DB680D">
            <w:pPr>
              <w:widowControl/>
              <w:overflowPunct/>
              <w:autoSpaceDE/>
              <w:autoSpaceDN/>
              <w:spacing w:line="240" w:lineRule="exact"/>
              <w:suppressOverlap/>
              <w:jc w:val="center"/>
              <w:rPr>
                <w:rFonts w:hAnsi="標楷體"/>
                <w:color w:val="000000" w:themeColor="text1"/>
                <w:sz w:val="28"/>
                <w:szCs w:val="28"/>
              </w:rPr>
            </w:pPr>
            <w:r w:rsidRPr="00DB680D">
              <w:rPr>
                <w:rFonts w:hAnsi="標楷體" w:hint="eastAsia"/>
                <w:color w:val="000000" w:themeColor="text1"/>
                <w:sz w:val="28"/>
                <w:szCs w:val="28"/>
              </w:rPr>
              <w:t>推動項目</w:t>
            </w:r>
          </w:p>
        </w:tc>
        <w:tc>
          <w:tcPr>
            <w:tcW w:w="2450" w:type="dxa"/>
            <w:shd w:val="clear" w:color="auto" w:fill="auto"/>
            <w:vAlign w:val="center"/>
          </w:tcPr>
          <w:p w:rsidR="00DB680D" w:rsidRPr="00DB680D" w:rsidRDefault="00DB680D" w:rsidP="00DB680D">
            <w:pPr>
              <w:widowControl/>
              <w:overflowPunct/>
              <w:autoSpaceDE/>
              <w:autoSpaceDN/>
              <w:spacing w:line="240" w:lineRule="exact"/>
              <w:suppressOverlap/>
              <w:jc w:val="center"/>
              <w:rPr>
                <w:rFonts w:hAnsi="標楷體"/>
                <w:color w:val="000000" w:themeColor="text1"/>
                <w:sz w:val="28"/>
                <w:szCs w:val="28"/>
              </w:rPr>
            </w:pPr>
            <w:r w:rsidRPr="00DB680D">
              <w:rPr>
                <w:rFonts w:hAnsi="標楷體" w:hint="eastAsia"/>
                <w:color w:val="000000" w:themeColor="text1"/>
                <w:sz w:val="28"/>
                <w:szCs w:val="28"/>
              </w:rPr>
              <w:t>衡量指標</w:t>
            </w:r>
          </w:p>
        </w:tc>
        <w:tc>
          <w:tcPr>
            <w:tcW w:w="1347" w:type="dxa"/>
            <w:shd w:val="clear" w:color="auto" w:fill="auto"/>
            <w:vAlign w:val="center"/>
          </w:tcPr>
          <w:p w:rsidR="00DB680D" w:rsidRPr="00DB680D" w:rsidRDefault="00DB680D" w:rsidP="00DB680D">
            <w:pPr>
              <w:widowControl/>
              <w:overflowPunct/>
              <w:autoSpaceDE/>
              <w:autoSpaceDN/>
              <w:spacing w:line="240" w:lineRule="exact"/>
              <w:suppressOverlap/>
              <w:jc w:val="center"/>
              <w:rPr>
                <w:rFonts w:hAnsi="標楷體"/>
                <w:color w:val="000000" w:themeColor="text1"/>
                <w:sz w:val="28"/>
                <w:szCs w:val="28"/>
              </w:rPr>
            </w:pPr>
            <w:r w:rsidRPr="00DB680D">
              <w:rPr>
                <w:rFonts w:hAnsi="標楷體" w:hint="eastAsia"/>
                <w:color w:val="000000" w:themeColor="text1"/>
                <w:sz w:val="28"/>
                <w:szCs w:val="28"/>
              </w:rPr>
              <w:t>計畫目標值(A)</w:t>
            </w:r>
          </w:p>
        </w:tc>
        <w:tc>
          <w:tcPr>
            <w:tcW w:w="1091" w:type="dxa"/>
            <w:shd w:val="clear" w:color="auto" w:fill="auto"/>
            <w:vAlign w:val="center"/>
          </w:tcPr>
          <w:p w:rsidR="00DB680D" w:rsidRPr="00DB680D" w:rsidRDefault="00DB680D" w:rsidP="00DB680D">
            <w:pPr>
              <w:widowControl/>
              <w:overflowPunct/>
              <w:autoSpaceDE/>
              <w:autoSpaceDN/>
              <w:spacing w:line="240" w:lineRule="exact"/>
              <w:suppressOverlap/>
              <w:jc w:val="center"/>
              <w:rPr>
                <w:rFonts w:hAnsi="標楷體"/>
                <w:color w:val="000000" w:themeColor="text1"/>
                <w:sz w:val="28"/>
                <w:szCs w:val="28"/>
              </w:rPr>
            </w:pPr>
            <w:r w:rsidRPr="00DB680D">
              <w:rPr>
                <w:rFonts w:hAnsi="標楷體" w:hint="eastAsia"/>
                <w:color w:val="000000" w:themeColor="text1"/>
                <w:sz w:val="28"/>
                <w:szCs w:val="28"/>
              </w:rPr>
              <w:t>實際達成值(B)</w:t>
            </w:r>
          </w:p>
        </w:tc>
        <w:tc>
          <w:tcPr>
            <w:tcW w:w="1218" w:type="dxa"/>
            <w:shd w:val="clear" w:color="auto" w:fill="auto"/>
            <w:vAlign w:val="center"/>
          </w:tcPr>
          <w:p w:rsidR="00DB680D" w:rsidRPr="00DB680D" w:rsidRDefault="00DB680D" w:rsidP="00DB680D">
            <w:pPr>
              <w:widowControl/>
              <w:overflowPunct/>
              <w:autoSpaceDE/>
              <w:autoSpaceDN/>
              <w:spacing w:line="240" w:lineRule="exact"/>
              <w:suppressOverlap/>
              <w:jc w:val="center"/>
              <w:rPr>
                <w:rFonts w:hAnsi="標楷體"/>
                <w:color w:val="000000" w:themeColor="text1"/>
                <w:sz w:val="28"/>
                <w:szCs w:val="28"/>
              </w:rPr>
            </w:pPr>
            <w:r w:rsidRPr="00DB680D">
              <w:rPr>
                <w:rFonts w:hAnsi="標楷體" w:hint="eastAsia"/>
                <w:color w:val="000000" w:themeColor="text1"/>
                <w:sz w:val="28"/>
                <w:szCs w:val="28"/>
              </w:rPr>
              <w:t>差異</w:t>
            </w:r>
          </w:p>
          <w:p w:rsidR="00DB680D" w:rsidRPr="00DB680D" w:rsidRDefault="00DB680D" w:rsidP="00DB680D">
            <w:pPr>
              <w:widowControl/>
              <w:overflowPunct/>
              <w:autoSpaceDE/>
              <w:autoSpaceDN/>
              <w:spacing w:line="240" w:lineRule="exact"/>
              <w:suppressOverlap/>
              <w:jc w:val="center"/>
              <w:rPr>
                <w:rFonts w:hAnsi="標楷體"/>
                <w:color w:val="000000" w:themeColor="text1"/>
                <w:sz w:val="28"/>
                <w:szCs w:val="28"/>
              </w:rPr>
            </w:pPr>
            <w:r w:rsidRPr="00DB680D">
              <w:rPr>
                <w:rFonts w:hAnsi="標楷體" w:hint="eastAsia"/>
                <w:color w:val="000000" w:themeColor="text1"/>
                <w:sz w:val="28"/>
                <w:szCs w:val="28"/>
              </w:rPr>
              <w:t>(B-A)</w:t>
            </w:r>
          </w:p>
        </w:tc>
        <w:tc>
          <w:tcPr>
            <w:tcW w:w="1160" w:type="dxa"/>
            <w:vAlign w:val="center"/>
          </w:tcPr>
          <w:p w:rsidR="00DB680D" w:rsidRPr="00DB680D" w:rsidRDefault="00DB680D" w:rsidP="00DB680D">
            <w:pPr>
              <w:widowControl/>
              <w:overflowPunct/>
              <w:autoSpaceDE/>
              <w:autoSpaceDN/>
              <w:spacing w:line="240" w:lineRule="exact"/>
              <w:suppressOverlap/>
              <w:jc w:val="center"/>
              <w:rPr>
                <w:rFonts w:hAnsi="標楷體"/>
                <w:color w:val="000000" w:themeColor="text1"/>
                <w:sz w:val="28"/>
                <w:szCs w:val="28"/>
              </w:rPr>
            </w:pPr>
            <w:r w:rsidRPr="00DB680D">
              <w:rPr>
                <w:rFonts w:hAnsi="標楷體" w:hint="eastAsia"/>
                <w:color w:val="000000" w:themeColor="text1"/>
                <w:sz w:val="28"/>
                <w:szCs w:val="28"/>
              </w:rPr>
              <w:t>說明</w:t>
            </w:r>
          </w:p>
        </w:tc>
      </w:tr>
      <w:tr w:rsidR="00DB680D" w:rsidRPr="00DB680D" w:rsidTr="00DB680D">
        <w:trPr>
          <w:trHeight w:val="510"/>
        </w:trPr>
        <w:tc>
          <w:tcPr>
            <w:tcW w:w="1777" w:type="dxa"/>
            <w:vMerge w:val="restart"/>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辦理公墓更新，推動環保自然葬</w:t>
            </w:r>
          </w:p>
        </w:tc>
        <w:tc>
          <w:tcPr>
            <w:tcW w:w="2450" w:type="dxa"/>
            <w:shd w:val="clear" w:color="auto" w:fill="auto"/>
          </w:tcPr>
          <w:p w:rsidR="00DB680D" w:rsidRPr="00DB680D" w:rsidRDefault="00DB680D" w:rsidP="00DB680D">
            <w:pPr>
              <w:widowControl/>
              <w:overflowPunct/>
              <w:autoSpaceDE/>
              <w:autoSpaceDN/>
              <w:spacing w:line="300" w:lineRule="exact"/>
              <w:suppressOverlap/>
              <w:rPr>
                <w:rFonts w:hAnsi="標楷體"/>
                <w:color w:val="000000" w:themeColor="text1"/>
                <w:spacing w:val="-20"/>
                <w:sz w:val="28"/>
                <w:szCs w:val="28"/>
              </w:rPr>
            </w:pPr>
            <w:r w:rsidRPr="00DB680D">
              <w:rPr>
                <w:rFonts w:hAnsi="標楷體" w:hint="eastAsia"/>
                <w:color w:val="000000" w:themeColor="text1"/>
                <w:spacing w:val="-20"/>
                <w:sz w:val="28"/>
                <w:szCs w:val="28"/>
              </w:rPr>
              <w:t>改善公墓土地利用方式之面積(平方公尺)</w:t>
            </w:r>
          </w:p>
        </w:tc>
        <w:tc>
          <w:tcPr>
            <w:tcW w:w="1347" w:type="dxa"/>
            <w:shd w:val="clear" w:color="auto" w:fill="auto"/>
            <w:vAlign w:val="center"/>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r w:rsidRPr="00DB680D">
              <w:rPr>
                <w:rFonts w:hAnsi="標楷體" w:hint="eastAsia"/>
                <w:color w:val="000000" w:themeColor="text1"/>
                <w:sz w:val="28"/>
                <w:szCs w:val="28"/>
              </w:rPr>
              <w:t>120,000</w:t>
            </w:r>
          </w:p>
        </w:tc>
        <w:tc>
          <w:tcPr>
            <w:tcW w:w="1091" w:type="dxa"/>
            <w:vMerge w:val="restart"/>
            <w:shd w:val="clear" w:color="auto" w:fill="auto"/>
            <w:vAlign w:val="center"/>
          </w:tcPr>
          <w:p w:rsidR="00DB680D" w:rsidRPr="00DB680D" w:rsidRDefault="00DB680D" w:rsidP="00DB680D">
            <w:pPr>
              <w:widowControl/>
              <w:overflowPunct/>
              <w:autoSpaceDE/>
              <w:autoSpaceDN/>
              <w:spacing w:line="300" w:lineRule="exact"/>
              <w:suppressOverlap/>
              <w:jc w:val="center"/>
              <w:rPr>
                <w:rFonts w:hAnsi="標楷體"/>
                <w:color w:val="000000" w:themeColor="text1"/>
                <w:sz w:val="28"/>
                <w:szCs w:val="28"/>
              </w:rPr>
            </w:pPr>
            <w:r w:rsidRPr="00DB680D">
              <w:rPr>
                <w:rFonts w:hAnsi="標楷體"/>
                <w:color w:val="000000" w:themeColor="text1"/>
                <w:sz w:val="28"/>
                <w:szCs w:val="28"/>
              </w:rPr>
              <w:t>…</w:t>
            </w:r>
          </w:p>
        </w:tc>
        <w:tc>
          <w:tcPr>
            <w:tcW w:w="1218" w:type="dxa"/>
            <w:vMerge w:val="restart"/>
            <w:shd w:val="clear" w:color="auto" w:fill="auto"/>
            <w:vAlign w:val="center"/>
          </w:tcPr>
          <w:p w:rsidR="00DB680D" w:rsidRPr="00DB680D" w:rsidRDefault="00DB680D" w:rsidP="00DB680D">
            <w:pPr>
              <w:widowControl/>
              <w:overflowPunct/>
              <w:autoSpaceDE/>
              <w:autoSpaceDN/>
              <w:spacing w:line="300" w:lineRule="exact"/>
              <w:suppressOverlap/>
              <w:jc w:val="center"/>
              <w:rPr>
                <w:rFonts w:hAnsi="標楷體"/>
                <w:color w:val="000000" w:themeColor="text1"/>
                <w:sz w:val="28"/>
                <w:szCs w:val="28"/>
              </w:rPr>
            </w:pPr>
            <w:r w:rsidRPr="00DB680D">
              <w:rPr>
                <w:rFonts w:hAnsi="標楷體"/>
                <w:color w:val="000000" w:themeColor="text1"/>
                <w:sz w:val="28"/>
                <w:szCs w:val="28"/>
              </w:rPr>
              <w:t>…</w:t>
            </w:r>
          </w:p>
        </w:tc>
        <w:tc>
          <w:tcPr>
            <w:tcW w:w="1160" w:type="dxa"/>
            <w:vMerge w:val="restart"/>
          </w:tcPr>
          <w:p w:rsidR="00DB680D" w:rsidRPr="00DB680D" w:rsidRDefault="00DB680D" w:rsidP="00DB680D">
            <w:pPr>
              <w:widowControl/>
              <w:overflowPunct/>
              <w:autoSpaceDE/>
              <w:autoSpaceDN/>
              <w:spacing w:line="280" w:lineRule="exact"/>
              <w:ind w:rightChars="-25" w:right="-85"/>
              <w:suppressOverlap/>
              <w:rPr>
                <w:rFonts w:hAnsi="標楷體"/>
                <w:color w:val="000000" w:themeColor="text1"/>
                <w:sz w:val="28"/>
                <w:szCs w:val="28"/>
              </w:rPr>
            </w:pPr>
            <w:r w:rsidRPr="00DB680D">
              <w:rPr>
                <w:rFonts w:hAnsi="標楷體" w:hint="eastAsia"/>
                <w:color w:val="000000" w:themeColor="text1"/>
                <w:sz w:val="28"/>
                <w:szCs w:val="28"/>
              </w:rPr>
              <w:t>未於計畫辦理過程及辦理完竣後，蒐集或統計指標數據，故無法評估計畫目標達成情形。</w:t>
            </w:r>
          </w:p>
        </w:tc>
      </w:tr>
      <w:tr w:rsidR="00DB680D" w:rsidRPr="00DB680D" w:rsidTr="00DB680D">
        <w:trPr>
          <w:trHeight w:val="1014"/>
        </w:trPr>
        <w:tc>
          <w:tcPr>
            <w:tcW w:w="1777" w:type="dxa"/>
            <w:vMerge/>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p>
        </w:tc>
        <w:tc>
          <w:tcPr>
            <w:tcW w:w="2450" w:type="dxa"/>
            <w:shd w:val="clear" w:color="auto" w:fill="auto"/>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環保自然葬增加綠地面積(平方公尺)</w:t>
            </w:r>
          </w:p>
        </w:tc>
        <w:tc>
          <w:tcPr>
            <w:tcW w:w="1347" w:type="dxa"/>
            <w:shd w:val="clear" w:color="auto" w:fill="auto"/>
            <w:vAlign w:val="center"/>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r w:rsidRPr="00DB680D">
              <w:rPr>
                <w:rFonts w:hAnsi="標楷體" w:hint="eastAsia"/>
                <w:color w:val="000000" w:themeColor="text1"/>
                <w:sz w:val="28"/>
                <w:szCs w:val="28"/>
              </w:rPr>
              <w:t>60,000</w:t>
            </w:r>
          </w:p>
        </w:tc>
        <w:tc>
          <w:tcPr>
            <w:tcW w:w="1091" w:type="dxa"/>
            <w:vMerge/>
            <w:shd w:val="clear" w:color="auto" w:fill="auto"/>
          </w:tcPr>
          <w:p w:rsidR="00DB680D" w:rsidRPr="00DB680D" w:rsidRDefault="00DB680D" w:rsidP="00DB680D">
            <w:pPr>
              <w:overflowPunct/>
              <w:autoSpaceDE/>
              <w:autoSpaceDN/>
              <w:spacing w:line="300" w:lineRule="exact"/>
              <w:suppressOverlap/>
              <w:jc w:val="right"/>
              <w:rPr>
                <w:rFonts w:hAnsi="標楷體"/>
                <w:color w:val="000000" w:themeColor="text1"/>
                <w:sz w:val="28"/>
                <w:szCs w:val="28"/>
              </w:rPr>
            </w:pPr>
          </w:p>
        </w:tc>
        <w:tc>
          <w:tcPr>
            <w:tcW w:w="1218" w:type="dxa"/>
            <w:vMerge/>
            <w:shd w:val="clear" w:color="auto" w:fill="auto"/>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p>
        </w:tc>
        <w:tc>
          <w:tcPr>
            <w:tcW w:w="1160" w:type="dxa"/>
            <w:vMerge/>
          </w:tcPr>
          <w:p w:rsidR="00DB680D" w:rsidRPr="00DB680D" w:rsidRDefault="00DB680D" w:rsidP="00DB680D">
            <w:pPr>
              <w:widowControl/>
              <w:overflowPunct/>
              <w:autoSpaceDE/>
              <w:autoSpaceDN/>
              <w:spacing w:line="280" w:lineRule="exact"/>
              <w:suppressOverlap/>
              <w:jc w:val="right"/>
              <w:rPr>
                <w:rFonts w:hAnsi="標楷體"/>
                <w:color w:val="000000" w:themeColor="text1"/>
                <w:sz w:val="28"/>
                <w:szCs w:val="28"/>
              </w:rPr>
            </w:pPr>
          </w:p>
        </w:tc>
      </w:tr>
      <w:tr w:rsidR="00DB680D" w:rsidRPr="00DB680D" w:rsidTr="00DB680D">
        <w:trPr>
          <w:trHeight w:val="832"/>
        </w:trPr>
        <w:tc>
          <w:tcPr>
            <w:tcW w:w="1777" w:type="dxa"/>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新設火化場</w:t>
            </w:r>
          </w:p>
        </w:tc>
        <w:tc>
          <w:tcPr>
            <w:tcW w:w="2450" w:type="dxa"/>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提供火化服務量能(具)</w:t>
            </w:r>
          </w:p>
        </w:tc>
        <w:tc>
          <w:tcPr>
            <w:tcW w:w="1347" w:type="dxa"/>
            <w:shd w:val="clear" w:color="auto" w:fill="auto"/>
            <w:vAlign w:val="center"/>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r w:rsidRPr="00DB680D">
              <w:rPr>
                <w:rFonts w:hAnsi="標楷體" w:hint="eastAsia"/>
                <w:color w:val="000000" w:themeColor="text1"/>
                <w:sz w:val="28"/>
                <w:szCs w:val="28"/>
              </w:rPr>
              <w:t>5,320</w:t>
            </w:r>
          </w:p>
        </w:tc>
        <w:tc>
          <w:tcPr>
            <w:tcW w:w="1091" w:type="dxa"/>
            <w:vMerge/>
            <w:shd w:val="clear" w:color="auto" w:fill="auto"/>
          </w:tcPr>
          <w:p w:rsidR="00DB680D" w:rsidRPr="00DB680D" w:rsidRDefault="00DB680D" w:rsidP="00DB680D">
            <w:pPr>
              <w:overflowPunct/>
              <w:autoSpaceDE/>
              <w:autoSpaceDN/>
              <w:spacing w:line="300" w:lineRule="exact"/>
              <w:suppressOverlap/>
              <w:jc w:val="right"/>
              <w:rPr>
                <w:rFonts w:hAnsi="標楷體"/>
                <w:color w:val="000000" w:themeColor="text1"/>
                <w:sz w:val="28"/>
                <w:szCs w:val="28"/>
              </w:rPr>
            </w:pPr>
          </w:p>
        </w:tc>
        <w:tc>
          <w:tcPr>
            <w:tcW w:w="1218" w:type="dxa"/>
            <w:vMerge/>
            <w:shd w:val="clear" w:color="auto" w:fill="auto"/>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p>
        </w:tc>
        <w:tc>
          <w:tcPr>
            <w:tcW w:w="1160" w:type="dxa"/>
            <w:vMerge/>
          </w:tcPr>
          <w:p w:rsidR="00DB680D" w:rsidRPr="00DB680D" w:rsidRDefault="00DB680D" w:rsidP="00DB680D">
            <w:pPr>
              <w:widowControl/>
              <w:overflowPunct/>
              <w:autoSpaceDE/>
              <w:autoSpaceDN/>
              <w:spacing w:line="280" w:lineRule="exact"/>
              <w:suppressOverlap/>
              <w:jc w:val="right"/>
              <w:rPr>
                <w:rFonts w:hAnsi="標楷體"/>
                <w:color w:val="000000" w:themeColor="text1"/>
                <w:sz w:val="28"/>
                <w:szCs w:val="28"/>
              </w:rPr>
            </w:pPr>
          </w:p>
        </w:tc>
      </w:tr>
      <w:tr w:rsidR="00DB680D" w:rsidRPr="00DB680D" w:rsidTr="00DB680D">
        <w:trPr>
          <w:trHeight w:val="817"/>
        </w:trPr>
        <w:tc>
          <w:tcPr>
            <w:tcW w:w="1777" w:type="dxa"/>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火化場內增設殯儀館</w:t>
            </w:r>
          </w:p>
        </w:tc>
        <w:tc>
          <w:tcPr>
            <w:tcW w:w="2450" w:type="dxa"/>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增加殯殮服務量能(具)</w:t>
            </w:r>
          </w:p>
        </w:tc>
        <w:tc>
          <w:tcPr>
            <w:tcW w:w="1347" w:type="dxa"/>
            <w:shd w:val="clear" w:color="auto" w:fill="auto"/>
            <w:vAlign w:val="center"/>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r w:rsidRPr="00DB680D">
              <w:rPr>
                <w:rFonts w:hAnsi="標楷體" w:hint="eastAsia"/>
                <w:color w:val="000000" w:themeColor="text1"/>
                <w:sz w:val="28"/>
                <w:szCs w:val="28"/>
              </w:rPr>
              <w:t>5,880</w:t>
            </w:r>
          </w:p>
        </w:tc>
        <w:tc>
          <w:tcPr>
            <w:tcW w:w="1091" w:type="dxa"/>
            <w:vMerge/>
            <w:shd w:val="clear" w:color="auto" w:fill="auto"/>
          </w:tcPr>
          <w:p w:rsidR="00DB680D" w:rsidRPr="00DB680D" w:rsidRDefault="00DB680D" w:rsidP="00DB680D">
            <w:pPr>
              <w:overflowPunct/>
              <w:autoSpaceDE/>
              <w:autoSpaceDN/>
              <w:spacing w:line="300" w:lineRule="exact"/>
              <w:suppressOverlap/>
              <w:jc w:val="right"/>
              <w:rPr>
                <w:rFonts w:hAnsi="標楷體"/>
                <w:color w:val="000000" w:themeColor="text1"/>
                <w:sz w:val="28"/>
                <w:szCs w:val="28"/>
              </w:rPr>
            </w:pPr>
          </w:p>
        </w:tc>
        <w:tc>
          <w:tcPr>
            <w:tcW w:w="1218" w:type="dxa"/>
            <w:vMerge/>
            <w:shd w:val="clear" w:color="auto" w:fill="auto"/>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p>
        </w:tc>
        <w:tc>
          <w:tcPr>
            <w:tcW w:w="1160" w:type="dxa"/>
            <w:vMerge/>
          </w:tcPr>
          <w:p w:rsidR="00DB680D" w:rsidRPr="00DB680D" w:rsidRDefault="00DB680D" w:rsidP="00DB680D">
            <w:pPr>
              <w:widowControl/>
              <w:overflowPunct/>
              <w:autoSpaceDE/>
              <w:autoSpaceDN/>
              <w:spacing w:line="280" w:lineRule="exact"/>
              <w:suppressOverlap/>
              <w:jc w:val="right"/>
              <w:rPr>
                <w:rFonts w:hAnsi="標楷體"/>
                <w:color w:val="000000" w:themeColor="text1"/>
                <w:sz w:val="28"/>
                <w:szCs w:val="28"/>
              </w:rPr>
            </w:pPr>
          </w:p>
        </w:tc>
      </w:tr>
      <w:tr w:rsidR="00DB680D" w:rsidRPr="00DB680D" w:rsidTr="00DB680D">
        <w:trPr>
          <w:trHeight w:val="1112"/>
        </w:trPr>
        <w:tc>
          <w:tcPr>
            <w:tcW w:w="1777" w:type="dxa"/>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原住民山地鄉(區)辦理公墓更新</w:t>
            </w:r>
          </w:p>
        </w:tc>
        <w:tc>
          <w:tcPr>
            <w:tcW w:w="2450" w:type="dxa"/>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處所數量(處)</w:t>
            </w:r>
          </w:p>
        </w:tc>
        <w:tc>
          <w:tcPr>
            <w:tcW w:w="1347" w:type="dxa"/>
            <w:shd w:val="clear" w:color="auto" w:fill="auto"/>
            <w:vAlign w:val="center"/>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r w:rsidRPr="00DB680D">
              <w:rPr>
                <w:rFonts w:hAnsi="標楷體" w:hint="eastAsia"/>
                <w:color w:val="000000" w:themeColor="text1"/>
                <w:sz w:val="28"/>
                <w:szCs w:val="28"/>
              </w:rPr>
              <w:t>4</w:t>
            </w:r>
          </w:p>
        </w:tc>
        <w:tc>
          <w:tcPr>
            <w:tcW w:w="1091" w:type="dxa"/>
            <w:shd w:val="clear" w:color="auto" w:fill="auto"/>
            <w:vAlign w:val="center"/>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r w:rsidRPr="00DB680D">
              <w:rPr>
                <w:rFonts w:hAnsi="標楷體" w:hint="eastAsia"/>
                <w:color w:val="000000" w:themeColor="text1"/>
                <w:sz w:val="28"/>
                <w:szCs w:val="28"/>
              </w:rPr>
              <w:t>45</w:t>
            </w:r>
          </w:p>
        </w:tc>
        <w:tc>
          <w:tcPr>
            <w:tcW w:w="1218" w:type="dxa"/>
            <w:shd w:val="clear" w:color="auto" w:fill="auto"/>
            <w:vAlign w:val="center"/>
          </w:tcPr>
          <w:p w:rsidR="00DB680D" w:rsidRPr="00DB680D" w:rsidRDefault="00DB680D" w:rsidP="00DB680D">
            <w:pPr>
              <w:widowControl/>
              <w:overflowPunct/>
              <w:autoSpaceDE/>
              <w:autoSpaceDN/>
              <w:spacing w:line="300" w:lineRule="exact"/>
              <w:suppressOverlap/>
              <w:jc w:val="right"/>
              <w:rPr>
                <w:rFonts w:hAnsi="標楷體"/>
                <w:color w:val="000000" w:themeColor="text1"/>
                <w:sz w:val="28"/>
                <w:szCs w:val="28"/>
              </w:rPr>
            </w:pPr>
            <w:r w:rsidRPr="00DB680D">
              <w:rPr>
                <w:rFonts w:hAnsi="標楷體" w:hint="eastAsia"/>
                <w:color w:val="000000" w:themeColor="text1"/>
                <w:sz w:val="28"/>
                <w:szCs w:val="28"/>
              </w:rPr>
              <w:t>＋41</w:t>
            </w:r>
          </w:p>
        </w:tc>
        <w:tc>
          <w:tcPr>
            <w:tcW w:w="1160" w:type="dxa"/>
            <w:vMerge w:val="restart"/>
          </w:tcPr>
          <w:p w:rsidR="00DB680D" w:rsidRPr="00DB680D" w:rsidRDefault="00DB680D" w:rsidP="00DB680D">
            <w:pPr>
              <w:widowControl/>
              <w:overflowPunct/>
              <w:autoSpaceDE/>
              <w:autoSpaceDN/>
              <w:spacing w:line="280" w:lineRule="exact"/>
              <w:ind w:rightChars="-25" w:right="-85"/>
              <w:suppressOverlap/>
              <w:rPr>
                <w:rFonts w:hAnsi="標楷體"/>
                <w:color w:val="000000" w:themeColor="text1"/>
                <w:sz w:val="28"/>
                <w:szCs w:val="28"/>
              </w:rPr>
            </w:pPr>
            <w:r w:rsidRPr="00DB680D">
              <w:rPr>
                <w:rFonts w:hAnsi="標楷體" w:hint="eastAsia"/>
                <w:color w:val="000000" w:themeColor="text1"/>
                <w:sz w:val="28"/>
                <w:szCs w:val="28"/>
              </w:rPr>
              <w:t>統計計畫執行完竣後之實際情形，均超過計畫目標值之處數。</w:t>
            </w:r>
          </w:p>
        </w:tc>
      </w:tr>
      <w:tr w:rsidR="00DB680D" w:rsidRPr="00DB680D" w:rsidTr="00DB680D">
        <w:trPr>
          <w:trHeight w:hRule="exact" w:val="1447"/>
        </w:trPr>
        <w:tc>
          <w:tcPr>
            <w:tcW w:w="1777"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300" w:lineRule="exact"/>
              <w:suppressOverlap/>
              <w:rPr>
                <w:rFonts w:hAnsi="標楷體"/>
                <w:color w:val="000000" w:themeColor="text1"/>
                <w:sz w:val="28"/>
                <w:szCs w:val="28"/>
              </w:rPr>
            </w:pPr>
            <w:r w:rsidRPr="00DB680D">
              <w:rPr>
                <w:rFonts w:hAnsi="標楷體" w:hint="eastAsia"/>
                <w:color w:val="000000" w:themeColor="text1"/>
                <w:sz w:val="28"/>
                <w:szCs w:val="28"/>
              </w:rPr>
              <w:t>滿足回教族群喪葬需求</w:t>
            </w:r>
          </w:p>
        </w:tc>
        <w:tc>
          <w:tcPr>
            <w:tcW w:w="2450"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240" w:lineRule="exact"/>
              <w:suppressOverlap/>
              <w:rPr>
                <w:rFonts w:hAnsi="標楷體"/>
                <w:color w:val="000000" w:themeColor="text1"/>
                <w:sz w:val="28"/>
                <w:szCs w:val="28"/>
              </w:rPr>
            </w:pPr>
            <w:r w:rsidRPr="00DB680D">
              <w:rPr>
                <w:rFonts w:hAnsi="標楷體" w:hint="eastAsia"/>
                <w:color w:val="000000" w:themeColor="text1"/>
                <w:sz w:val="28"/>
                <w:szCs w:val="28"/>
              </w:rPr>
              <w:t>處所數量(處)</w:t>
            </w:r>
          </w:p>
        </w:tc>
        <w:tc>
          <w:tcPr>
            <w:tcW w:w="1347"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240" w:lineRule="exact"/>
              <w:suppressOverlap/>
              <w:jc w:val="right"/>
              <w:rPr>
                <w:rFonts w:hAnsi="標楷體"/>
                <w:color w:val="000000" w:themeColor="text1"/>
                <w:sz w:val="28"/>
                <w:szCs w:val="28"/>
              </w:rPr>
            </w:pPr>
            <w:r w:rsidRPr="00DB680D">
              <w:rPr>
                <w:rFonts w:hAnsi="標楷體" w:hint="eastAsia"/>
                <w:color w:val="000000" w:themeColor="text1"/>
                <w:sz w:val="28"/>
                <w:szCs w:val="28"/>
              </w:rPr>
              <w:t>4</w:t>
            </w:r>
          </w:p>
        </w:tc>
        <w:tc>
          <w:tcPr>
            <w:tcW w:w="1091"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240" w:lineRule="exact"/>
              <w:suppressOverlap/>
              <w:jc w:val="right"/>
              <w:rPr>
                <w:rFonts w:hAnsi="標楷體"/>
                <w:color w:val="000000" w:themeColor="text1"/>
                <w:sz w:val="28"/>
                <w:szCs w:val="28"/>
              </w:rPr>
            </w:pPr>
            <w:r w:rsidRPr="00DB680D">
              <w:rPr>
                <w:rFonts w:hAnsi="標楷體" w:hint="eastAsia"/>
                <w:color w:val="000000" w:themeColor="text1"/>
                <w:sz w:val="28"/>
                <w:szCs w:val="28"/>
              </w:rPr>
              <w:t>1</w:t>
            </w:r>
          </w:p>
        </w:tc>
        <w:tc>
          <w:tcPr>
            <w:tcW w:w="1218" w:type="dxa"/>
            <w:tcBorders>
              <w:bottom w:val="single" w:sz="4" w:space="0" w:color="auto"/>
            </w:tcBorders>
            <w:shd w:val="clear" w:color="auto" w:fill="auto"/>
            <w:vAlign w:val="center"/>
          </w:tcPr>
          <w:p w:rsidR="00DB680D" w:rsidRPr="00DB680D" w:rsidRDefault="00DB680D" w:rsidP="00DB680D">
            <w:pPr>
              <w:widowControl/>
              <w:overflowPunct/>
              <w:autoSpaceDE/>
              <w:autoSpaceDN/>
              <w:spacing w:line="240" w:lineRule="exact"/>
              <w:suppressOverlap/>
              <w:jc w:val="right"/>
              <w:rPr>
                <w:rFonts w:hAnsi="標楷體"/>
                <w:color w:val="000000" w:themeColor="text1"/>
                <w:sz w:val="28"/>
                <w:szCs w:val="28"/>
              </w:rPr>
            </w:pPr>
            <w:r w:rsidRPr="00DB680D">
              <w:rPr>
                <w:rFonts w:hAnsi="標楷體" w:hint="eastAsia"/>
                <w:color w:val="000000" w:themeColor="text1"/>
                <w:sz w:val="28"/>
                <w:szCs w:val="28"/>
              </w:rPr>
              <w:t>- 3</w:t>
            </w:r>
          </w:p>
        </w:tc>
        <w:tc>
          <w:tcPr>
            <w:tcW w:w="1160" w:type="dxa"/>
            <w:vMerge/>
            <w:tcBorders>
              <w:bottom w:val="single" w:sz="4" w:space="0" w:color="auto"/>
            </w:tcBorders>
          </w:tcPr>
          <w:p w:rsidR="00DB680D" w:rsidRPr="00DB680D" w:rsidRDefault="00DB680D" w:rsidP="00DB680D">
            <w:pPr>
              <w:widowControl/>
              <w:overflowPunct/>
              <w:autoSpaceDE/>
              <w:autoSpaceDN/>
              <w:spacing w:line="240" w:lineRule="exact"/>
              <w:suppressOverlap/>
              <w:jc w:val="right"/>
              <w:rPr>
                <w:rFonts w:hAnsi="標楷體"/>
                <w:color w:val="000000" w:themeColor="text1"/>
                <w:sz w:val="28"/>
                <w:szCs w:val="28"/>
              </w:rPr>
            </w:pPr>
          </w:p>
        </w:tc>
      </w:tr>
    </w:tbl>
    <w:p w:rsidR="00DB680D" w:rsidRPr="00DB680D" w:rsidRDefault="00DB680D" w:rsidP="00DB680D">
      <w:pPr>
        <w:ind w:leftChars="-41" w:left="2" w:hangingChars="44" w:hanging="141"/>
        <w:rPr>
          <w:snapToGrid w:val="0"/>
          <w:color w:val="000000" w:themeColor="text1"/>
          <w:spacing w:val="10"/>
          <w:sz w:val="28"/>
          <w:szCs w:val="28"/>
        </w:rPr>
      </w:pPr>
      <w:r w:rsidRPr="00DB680D">
        <w:rPr>
          <w:rFonts w:hint="eastAsia"/>
          <w:snapToGrid w:val="0"/>
          <w:color w:val="000000" w:themeColor="text1"/>
          <w:spacing w:val="10"/>
          <w:sz w:val="28"/>
          <w:szCs w:val="28"/>
        </w:rPr>
        <w:t>資料來源：審計部</w:t>
      </w:r>
    </w:p>
    <w:p w:rsidR="00DB680D" w:rsidRPr="00DB680D" w:rsidRDefault="00DB680D" w:rsidP="00DB680D">
      <w:pPr>
        <w:snapToGrid w:val="0"/>
        <w:jc w:val="left"/>
        <w:rPr>
          <w:color w:val="000000" w:themeColor="text1"/>
          <w:sz w:val="24"/>
          <w:szCs w:val="24"/>
        </w:rPr>
      </w:pPr>
      <w:r w:rsidRPr="00DB680D">
        <w:rPr>
          <w:rFonts w:hint="eastAsia"/>
          <w:color w:val="000000" w:themeColor="text1"/>
          <w:sz w:val="24"/>
          <w:szCs w:val="24"/>
        </w:rPr>
        <w:t>備註：</w:t>
      </w:r>
    </w:p>
    <w:p w:rsidR="00DB680D" w:rsidRPr="00DB680D" w:rsidRDefault="00DB680D" w:rsidP="00DB680D">
      <w:pPr>
        <w:snapToGrid w:val="0"/>
        <w:rPr>
          <w:color w:val="000000" w:themeColor="text1"/>
          <w:sz w:val="24"/>
          <w:szCs w:val="24"/>
        </w:rPr>
      </w:pPr>
      <w:r w:rsidRPr="00DB680D">
        <w:rPr>
          <w:rFonts w:hint="eastAsia"/>
          <w:color w:val="000000" w:themeColor="text1"/>
          <w:sz w:val="24"/>
          <w:szCs w:val="24"/>
        </w:rPr>
        <w:t>1、衡量指標：係指衡量推動項目之指標。</w:t>
      </w:r>
    </w:p>
    <w:p w:rsidR="00DB680D" w:rsidRPr="00DB680D" w:rsidRDefault="00DB680D" w:rsidP="00DB680D">
      <w:pPr>
        <w:snapToGrid w:val="0"/>
        <w:ind w:left="406" w:hangingChars="156" w:hanging="406"/>
        <w:rPr>
          <w:color w:val="000000" w:themeColor="text1"/>
          <w:sz w:val="24"/>
          <w:szCs w:val="24"/>
        </w:rPr>
      </w:pPr>
      <w:r w:rsidRPr="00DB680D">
        <w:rPr>
          <w:rFonts w:hint="eastAsia"/>
          <w:color w:val="000000" w:themeColor="text1"/>
          <w:sz w:val="24"/>
          <w:szCs w:val="24"/>
        </w:rPr>
        <w:t>2、計畫目標值(A)：係指</w:t>
      </w:r>
      <w:r w:rsidRPr="00DB680D">
        <w:rPr>
          <w:color w:val="000000" w:themeColor="text1"/>
          <w:sz w:val="24"/>
          <w:szCs w:val="24"/>
        </w:rPr>
        <w:t>執行</w:t>
      </w:r>
      <w:r w:rsidRPr="00DB680D">
        <w:rPr>
          <w:rFonts w:hint="eastAsia"/>
          <w:color w:val="000000" w:themeColor="text1"/>
          <w:sz w:val="24"/>
          <w:szCs w:val="24"/>
        </w:rPr>
        <w:t>衡量指標之</w:t>
      </w:r>
      <w:r w:rsidRPr="00DB680D">
        <w:rPr>
          <w:color w:val="000000" w:themeColor="text1"/>
          <w:sz w:val="24"/>
          <w:szCs w:val="24"/>
        </w:rPr>
        <w:t>預期績效</w:t>
      </w:r>
      <w:r w:rsidRPr="00DB680D">
        <w:rPr>
          <w:rFonts w:hint="eastAsia"/>
          <w:color w:val="000000" w:themeColor="text1"/>
          <w:sz w:val="24"/>
          <w:szCs w:val="24"/>
        </w:rPr>
        <w:t>，計畫</w:t>
      </w:r>
      <w:r w:rsidRPr="00DB680D">
        <w:rPr>
          <w:color w:val="000000" w:themeColor="text1"/>
          <w:sz w:val="24"/>
          <w:szCs w:val="24"/>
        </w:rPr>
        <w:t>評估標準說明如下</w:t>
      </w:r>
      <w:r w:rsidRPr="00DB680D">
        <w:rPr>
          <w:rFonts w:hint="eastAsia"/>
          <w:color w:val="000000" w:themeColor="text1"/>
          <w:sz w:val="24"/>
          <w:szCs w:val="24"/>
        </w:rPr>
        <w:t>：</w:t>
      </w:r>
    </w:p>
    <w:p w:rsidR="00DB680D" w:rsidRPr="00DB680D" w:rsidRDefault="00DB680D" w:rsidP="00DB680D">
      <w:pPr>
        <w:snapToGrid w:val="0"/>
        <w:ind w:leftChars="57" w:left="584" w:hangingChars="150" w:hanging="390"/>
        <w:rPr>
          <w:color w:val="000000" w:themeColor="text1"/>
          <w:sz w:val="24"/>
          <w:szCs w:val="24"/>
        </w:rPr>
      </w:pPr>
      <w:r w:rsidRPr="00DB680D">
        <w:rPr>
          <w:rFonts w:hint="eastAsia"/>
          <w:color w:val="000000" w:themeColor="text1"/>
          <w:sz w:val="24"/>
          <w:szCs w:val="24"/>
        </w:rPr>
        <w:t>(1)</w:t>
      </w:r>
      <w:r w:rsidRPr="00DB680D">
        <w:rPr>
          <w:color w:val="000000" w:themeColor="text1"/>
          <w:sz w:val="24"/>
          <w:szCs w:val="24"/>
        </w:rPr>
        <w:t>辦理公墓更新，推動環保自然葬：每年</w:t>
      </w:r>
      <w:r w:rsidRPr="00DB680D">
        <w:rPr>
          <w:rFonts w:hint="eastAsia"/>
          <w:color w:val="000000" w:themeColor="text1"/>
          <w:sz w:val="24"/>
          <w:szCs w:val="24"/>
        </w:rPr>
        <w:t>平均</w:t>
      </w:r>
      <w:r w:rsidRPr="00DB680D">
        <w:rPr>
          <w:color w:val="000000" w:themeColor="text1"/>
          <w:sz w:val="24"/>
          <w:szCs w:val="24"/>
        </w:rPr>
        <w:t>預估改善土地面積</w:t>
      </w:r>
      <w:smartTag w:uri="urn:schemas-microsoft-com:office:smarttags" w:element="chmetcnv">
        <w:smartTagPr>
          <w:attr w:name="UnitName" w:val="平方公尺"/>
          <w:attr w:name="SourceValue" w:val="30000"/>
          <w:attr w:name="HasSpace" w:val="False"/>
          <w:attr w:name="Negative" w:val="False"/>
          <w:attr w:name="NumberType" w:val="1"/>
          <w:attr w:name="TCSC" w:val="2"/>
        </w:smartTagPr>
        <w:r w:rsidRPr="00DB680D">
          <w:rPr>
            <w:rFonts w:hint="eastAsia"/>
            <w:color w:val="000000" w:themeColor="text1"/>
            <w:sz w:val="24"/>
            <w:szCs w:val="24"/>
          </w:rPr>
          <w:t>3</w:t>
        </w:r>
        <w:r w:rsidRPr="00DB680D">
          <w:rPr>
            <w:color w:val="000000" w:themeColor="text1"/>
            <w:sz w:val="24"/>
            <w:szCs w:val="24"/>
          </w:rPr>
          <w:t>萬平方公尺</w:t>
        </w:r>
      </w:smartTag>
      <w:r w:rsidRPr="00DB680D">
        <w:rPr>
          <w:color w:val="000000" w:themeColor="text1"/>
          <w:sz w:val="24"/>
          <w:szCs w:val="24"/>
        </w:rPr>
        <w:t>，計畫執行完畢預計可改善</w:t>
      </w:r>
      <w:r w:rsidRPr="00DB680D">
        <w:rPr>
          <w:rFonts w:hint="eastAsia"/>
          <w:color w:val="000000" w:themeColor="text1"/>
          <w:sz w:val="24"/>
          <w:szCs w:val="24"/>
        </w:rPr>
        <w:t>12</w:t>
      </w:r>
      <w:r w:rsidRPr="00DB680D">
        <w:rPr>
          <w:color w:val="000000" w:themeColor="text1"/>
          <w:sz w:val="24"/>
          <w:szCs w:val="24"/>
        </w:rPr>
        <w:t>萬平方公尺。另在環保自然葬部分，平均至少每年增加3處，4年增加12處，採環保自然葬之區域面積至少可增加國內綠化面積達6萬平方公尺</w:t>
      </w:r>
      <w:r w:rsidRPr="00DB680D">
        <w:rPr>
          <w:rFonts w:hint="eastAsia"/>
          <w:color w:val="000000" w:themeColor="text1"/>
          <w:sz w:val="24"/>
          <w:szCs w:val="24"/>
        </w:rPr>
        <w:t>。</w:t>
      </w:r>
    </w:p>
    <w:p w:rsidR="00DB680D" w:rsidRPr="00DB680D" w:rsidRDefault="00DB680D" w:rsidP="00DB680D">
      <w:pPr>
        <w:snapToGrid w:val="0"/>
        <w:ind w:leftChars="57" w:left="584" w:hangingChars="150" w:hanging="390"/>
        <w:rPr>
          <w:color w:val="000000" w:themeColor="text1"/>
          <w:sz w:val="24"/>
          <w:szCs w:val="24"/>
        </w:rPr>
      </w:pPr>
      <w:r w:rsidRPr="00DB680D">
        <w:rPr>
          <w:rFonts w:hint="eastAsia"/>
          <w:color w:val="000000" w:themeColor="text1"/>
          <w:sz w:val="24"/>
          <w:szCs w:val="24"/>
        </w:rPr>
        <w:t>(2)新設火化場：每2年預估增加火化爐具4具，以每具火化爐具提供服務量以665具火化數推算，計畫執行完畢預計可增加火化數達5,320具。</w:t>
      </w:r>
    </w:p>
    <w:p w:rsidR="00DB680D" w:rsidRPr="00DB680D" w:rsidRDefault="00DB680D" w:rsidP="00DB680D">
      <w:pPr>
        <w:snapToGrid w:val="0"/>
        <w:ind w:leftChars="57" w:left="584" w:hangingChars="150" w:hanging="390"/>
        <w:rPr>
          <w:color w:val="000000" w:themeColor="text1"/>
          <w:sz w:val="24"/>
          <w:szCs w:val="24"/>
        </w:rPr>
      </w:pPr>
      <w:r w:rsidRPr="00DB680D">
        <w:rPr>
          <w:rFonts w:hint="eastAsia"/>
          <w:color w:val="000000" w:themeColor="text1"/>
          <w:sz w:val="24"/>
          <w:szCs w:val="24"/>
        </w:rPr>
        <w:t>(3)火化場內增設殯儀館：執行每2年預估各增加禮廳數為5間，以每間禮廳提供服務量以588具殯殮數推算，計畫執行完畢預計可增加殯殮數達5,880具。</w:t>
      </w:r>
    </w:p>
    <w:p w:rsidR="00DB680D" w:rsidRPr="00DB680D" w:rsidRDefault="00DB680D" w:rsidP="00DB680D">
      <w:pPr>
        <w:snapToGrid w:val="0"/>
        <w:ind w:leftChars="57" w:left="584" w:hangingChars="150" w:hanging="390"/>
        <w:rPr>
          <w:color w:val="000000" w:themeColor="text1"/>
          <w:sz w:val="24"/>
          <w:szCs w:val="24"/>
        </w:rPr>
      </w:pPr>
      <w:r w:rsidRPr="00DB680D">
        <w:rPr>
          <w:rFonts w:hint="eastAsia"/>
          <w:color w:val="000000" w:themeColor="text1"/>
          <w:sz w:val="24"/>
          <w:szCs w:val="24"/>
        </w:rPr>
        <w:t>(4)原住民山地鄉(區)辦理公墓更新及滿足回教族群喪葬需求：計畫利用原住民山地鄉(區)及回教公墓幾近飽和及滿葬亟待改善時機，配合補助誘因，預計每年至少改善原住民山地鄉(區)及回教公墓各1處，藉以引導山地鄉(區)原住民及回教族群逐步採取輪葬，改變葬俗。</w:t>
      </w:r>
    </w:p>
    <w:p w:rsidR="00DB680D" w:rsidRPr="00DB680D" w:rsidRDefault="00DB680D" w:rsidP="00DB680D">
      <w:pPr>
        <w:snapToGrid w:val="0"/>
        <w:ind w:left="364" w:hangingChars="140" w:hanging="364"/>
        <w:rPr>
          <w:color w:val="000000" w:themeColor="text1"/>
          <w:sz w:val="24"/>
          <w:szCs w:val="24"/>
        </w:rPr>
      </w:pPr>
      <w:r w:rsidRPr="00DB680D">
        <w:rPr>
          <w:rFonts w:hint="eastAsia"/>
          <w:color w:val="000000" w:themeColor="text1"/>
          <w:sz w:val="24"/>
          <w:szCs w:val="24"/>
        </w:rPr>
        <w:t>3、實際達成值(B)：係指於計畫執行完竣後，所統計計畫之實際達成情形。</w:t>
      </w:r>
    </w:p>
    <w:p w:rsidR="00DB680D" w:rsidRPr="00DB680D" w:rsidRDefault="00DB680D" w:rsidP="00DB680D">
      <w:pPr>
        <w:snapToGrid w:val="0"/>
        <w:ind w:left="364" w:hangingChars="140" w:hanging="364"/>
        <w:rPr>
          <w:color w:val="000000" w:themeColor="text1"/>
          <w:sz w:val="24"/>
          <w:szCs w:val="24"/>
        </w:rPr>
      </w:pPr>
      <w:r w:rsidRPr="00DB680D">
        <w:rPr>
          <w:rFonts w:hint="eastAsia"/>
          <w:color w:val="000000" w:themeColor="text1"/>
          <w:sz w:val="24"/>
          <w:szCs w:val="24"/>
        </w:rPr>
        <w:t>4、差異(B-A)：係指於計畫執行完竣後，所統計實際達成值與計畫目標值之間相差數。</w:t>
      </w:r>
    </w:p>
    <w:p w:rsidR="00DB680D" w:rsidRPr="00DB680D" w:rsidRDefault="00DB680D" w:rsidP="00DB680D">
      <w:pPr>
        <w:snapToGrid w:val="0"/>
        <w:jc w:val="left"/>
        <w:rPr>
          <w:color w:val="000000" w:themeColor="text1"/>
          <w:sz w:val="28"/>
          <w:szCs w:val="28"/>
        </w:rPr>
      </w:pPr>
    </w:p>
    <w:p w:rsidR="00DB680D" w:rsidRPr="00DB680D" w:rsidRDefault="00DB680D" w:rsidP="00DB680D">
      <w:pPr>
        <w:keepNext/>
        <w:numPr>
          <w:ilvl w:val="0"/>
          <w:numId w:val="37"/>
        </w:numPr>
        <w:kinsoku w:val="0"/>
        <w:adjustRightInd w:val="0"/>
        <w:snapToGrid w:val="0"/>
        <w:spacing w:before="120" w:after="120" w:line="360" w:lineRule="exact"/>
        <w:ind w:left="1360" w:hanging="680"/>
        <w:textAlignment w:val="baseline"/>
        <w:rPr>
          <w:rFonts w:hAnsi="華康楷書體W5(P)"/>
          <w:bCs/>
          <w:color w:val="000000" w:themeColor="text1"/>
          <w:spacing w:val="-10"/>
          <w:kern w:val="28"/>
          <w:sz w:val="28"/>
          <w:szCs w:val="28"/>
        </w:rPr>
      </w:pPr>
      <w:r w:rsidRPr="00DB680D">
        <w:rPr>
          <w:rFonts w:hAnsi="華康楷書體W5(P)"/>
          <w:bCs/>
          <w:color w:val="000000" w:themeColor="text1"/>
          <w:spacing w:val="-10"/>
          <w:kern w:val="28"/>
          <w:sz w:val="28"/>
          <w:szCs w:val="28"/>
        </w:rPr>
        <w:t>歷年殯儀館及</w:t>
      </w:r>
      <w:r w:rsidRPr="00DB680D">
        <w:rPr>
          <w:rFonts w:hAnsi="Arial"/>
          <w:bCs/>
          <w:color w:val="000000" w:themeColor="text1"/>
          <w:spacing w:val="-10"/>
          <w:kern w:val="32"/>
          <w:sz w:val="28"/>
          <w:szCs w:val="28"/>
        </w:rPr>
        <w:t>火化</w:t>
      </w:r>
      <w:r w:rsidRPr="00DB680D">
        <w:rPr>
          <w:rFonts w:hAnsi="華康楷書體W5(P)"/>
          <w:bCs/>
          <w:color w:val="000000" w:themeColor="text1"/>
          <w:spacing w:val="-10"/>
          <w:kern w:val="28"/>
          <w:sz w:val="28"/>
          <w:szCs w:val="28"/>
        </w:rPr>
        <w:t>場</w:t>
      </w:r>
      <w:r w:rsidRPr="00DB680D">
        <w:rPr>
          <w:rFonts w:hAnsi="華康楷書體W5(P)"/>
          <w:bCs/>
          <w:color w:val="000000" w:themeColor="text1"/>
          <w:spacing w:val="-10"/>
          <w:kern w:val="28"/>
          <w:sz w:val="28"/>
          <w:szCs w:val="36"/>
        </w:rPr>
        <w:t>設施</w:t>
      </w:r>
      <w:r w:rsidRPr="00DB680D">
        <w:rPr>
          <w:rFonts w:hAnsi="華康楷書體W5(P)"/>
          <w:bCs/>
          <w:color w:val="000000" w:themeColor="text1"/>
          <w:spacing w:val="-10"/>
          <w:kern w:val="28"/>
          <w:sz w:val="28"/>
          <w:szCs w:val="28"/>
        </w:rPr>
        <w:t>概況</w:t>
      </w:r>
    </w:p>
    <w:tbl>
      <w:tblPr>
        <w:tblStyle w:val="af6"/>
        <w:tblW w:w="10462" w:type="dxa"/>
        <w:jc w:val="center"/>
        <w:tblLayout w:type="fixed"/>
        <w:tblLook w:val="04A0" w:firstRow="1" w:lastRow="0" w:firstColumn="1" w:lastColumn="0" w:noHBand="0" w:noVBand="1"/>
      </w:tblPr>
      <w:tblGrid>
        <w:gridCol w:w="1336"/>
        <w:gridCol w:w="924"/>
        <w:gridCol w:w="651"/>
        <w:gridCol w:w="791"/>
        <w:gridCol w:w="854"/>
        <w:gridCol w:w="994"/>
        <w:gridCol w:w="770"/>
        <w:gridCol w:w="643"/>
        <w:gridCol w:w="644"/>
        <w:gridCol w:w="994"/>
        <w:gridCol w:w="784"/>
        <w:gridCol w:w="1077"/>
      </w:tblGrid>
      <w:tr w:rsidR="00DB680D" w:rsidRPr="00DB680D" w:rsidTr="00DB680D">
        <w:trPr>
          <w:jc w:val="center"/>
        </w:trPr>
        <w:tc>
          <w:tcPr>
            <w:tcW w:w="1336" w:type="dxa"/>
            <w:vMerge w:val="restart"/>
            <w:tcBorders>
              <w:lef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年底別</w:t>
            </w:r>
          </w:p>
        </w:tc>
        <w:tc>
          <w:tcPr>
            <w:tcW w:w="924" w:type="dxa"/>
            <w:vMerge w:val="restart"/>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死亡人數</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按發生日期</w:t>
            </w:r>
            <w:r w:rsidRPr="00DB680D">
              <w:rPr>
                <w:rFonts w:ascii="Times New Roman"/>
                <w:color w:val="000000" w:themeColor="text1"/>
                <w:spacing w:val="-20"/>
                <w:sz w:val="23"/>
                <w:szCs w:val="23"/>
              </w:rPr>
              <w:t>)</w:t>
            </w:r>
          </w:p>
        </w:tc>
        <w:tc>
          <w:tcPr>
            <w:tcW w:w="4060" w:type="dxa"/>
            <w:gridSpan w:val="5"/>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殯</w:t>
            </w:r>
            <w:r w:rsidRPr="00DB680D">
              <w:rPr>
                <w:rFonts w:ascii="Times New Roman"/>
                <w:color w:val="000000" w:themeColor="text1"/>
                <w:spacing w:val="-20"/>
                <w:sz w:val="23"/>
                <w:szCs w:val="23"/>
              </w:rPr>
              <w:t xml:space="preserve">           </w:t>
            </w:r>
            <w:r w:rsidRPr="00DB680D">
              <w:rPr>
                <w:rFonts w:ascii="Times New Roman"/>
                <w:color w:val="000000" w:themeColor="text1"/>
                <w:spacing w:val="-20"/>
                <w:sz w:val="23"/>
                <w:szCs w:val="23"/>
              </w:rPr>
              <w:t>儀</w:t>
            </w:r>
            <w:r w:rsidRPr="00DB680D">
              <w:rPr>
                <w:rFonts w:ascii="Times New Roman"/>
                <w:color w:val="000000" w:themeColor="text1"/>
                <w:spacing w:val="-20"/>
                <w:sz w:val="23"/>
                <w:szCs w:val="23"/>
              </w:rPr>
              <w:t xml:space="preserve">           </w:t>
            </w:r>
            <w:r w:rsidRPr="00DB680D">
              <w:rPr>
                <w:rFonts w:ascii="Times New Roman"/>
                <w:color w:val="000000" w:themeColor="text1"/>
                <w:spacing w:val="-20"/>
                <w:sz w:val="23"/>
                <w:szCs w:val="23"/>
              </w:rPr>
              <w:t>館</w:t>
            </w:r>
          </w:p>
        </w:tc>
        <w:tc>
          <w:tcPr>
            <w:tcW w:w="4142" w:type="dxa"/>
            <w:gridSpan w:val="5"/>
            <w:tcBorders>
              <w:righ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火</w:t>
            </w:r>
            <w:r w:rsidRPr="00DB680D">
              <w:rPr>
                <w:rFonts w:ascii="Times New Roman"/>
                <w:color w:val="000000" w:themeColor="text1"/>
                <w:spacing w:val="-20"/>
                <w:sz w:val="23"/>
                <w:szCs w:val="23"/>
              </w:rPr>
              <w:t xml:space="preserve">           </w:t>
            </w:r>
            <w:r w:rsidRPr="00DB680D">
              <w:rPr>
                <w:rFonts w:ascii="Times New Roman"/>
                <w:color w:val="000000" w:themeColor="text1"/>
                <w:spacing w:val="-20"/>
                <w:sz w:val="23"/>
                <w:szCs w:val="23"/>
              </w:rPr>
              <w:t>化</w:t>
            </w:r>
            <w:r w:rsidRPr="00DB680D">
              <w:rPr>
                <w:rFonts w:ascii="Times New Roman"/>
                <w:color w:val="000000" w:themeColor="text1"/>
                <w:spacing w:val="-20"/>
                <w:sz w:val="23"/>
                <w:szCs w:val="23"/>
              </w:rPr>
              <w:t xml:space="preserve">           </w:t>
            </w:r>
            <w:r w:rsidRPr="00DB680D">
              <w:rPr>
                <w:rFonts w:ascii="Times New Roman"/>
                <w:color w:val="000000" w:themeColor="text1"/>
                <w:spacing w:val="-20"/>
                <w:sz w:val="23"/>
                <w:szCs w:val="23"/>
              </w:rPr>
              <w:t>場</w:t>
            </w:r>
          </w:p>
        </w:tc>
      </w:tr>
      <w:tr w:rsidR="00DB680D" w:rsidRPr="00DB680D" w:rsidTr="00DB680D">
        <w:trPr>
          <w:trHeight w:val="267"/>
          <w:jc w:val="center"/>
        </w:trPr>
        <w:tc>
          <w:tcPr>
            <w:tcW w:w="1336" w:type="dxa"/>
            <w:vMerge/>
            <w:tcBorders>
              <w:lef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p>
        </w:tc>
        <w:tc>
          <w:tcPr>
            <w:tcW w:w="924" w:type="dxa"/>
            <w:vMerge/>
            <w:vAlign w:val="center"/>
          </w:tcPr>
          <w:p w:rsidR="00DB680D" w:rsidRPr="00DB680D" w:rsidRDefault="00DB680D" w:rsidP="00DB680D">
            <w:pPr>
              <w:spacing w:line="300" w:lineRule="exact"/>
              <w:jc w:val="center"/>
              <w:rPr>
                <w:rFonts w:ascii="Times New Roman"/>
                <w:color w:val="000000" w:themeColor="text1"/>
                <w:spacing w:val="-20"/>
                <w:sz w:val="23"/>
                <w:szCs w:val="23"/>
              </w:rPr>
            </w:pPr>
          </w:p>
        </w:tc>
        <w:tc>
          <w:tcPr>
            <w:tcW w:w="651" w:type="dxa"/>
            <w:vMerge w:val="restart"/>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館數</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處</w:t>
            </w:r>
            <w:r w:rsidRPr="00DB680D">
              <w:rPr>
                <w:rFonts w:ascii="Times New Roman"/>
                <w:color w:val="000000" w:themeColor="text1"/>
                <w:spacing w:val="-20"/>
                <w:sz w:val="23"/>
                <w:szCs w:val="23"/>
              </w:rPr>
              <w:t>)</w:t>
            </w:r>
          </w:p>
        </w:tc>
        <w:tc>
          <w:tcPr>
            <w:tcW w:w="791" w:type="dxa"/>
            <w:vMerge w:val="restart"/>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禮廳數</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間</w:t>
            </w:r>
            <w:r w:rsidRPr="00DB680D">
              <w:rPr>
                <w:rFonts w:ascii="Times New Roman"/>
                <w:color w:val="000000" w:themeColor="text1"/>
                <w:spacing w:val="-20"/>
                <w:sz w:val="23"/>
                <w:szCs w:val="23"/>
              </w:rPr>
              <w:t>)</w:t>
            </w:r>
          </w:p>
        </w:tc>
        <w:tc>
          <w:tcPr>
            <w:tcW w:w="854" w:type="dxa"/>
            <w:vMerge w:val="restart"/>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冷凍室最大容量（具）</w:t>
            </w:r>
          </w:p>
        </w:tc>
        <w:tc>
          <w:tcPr>
            <w:tcW w:w="994" w:type="dxa"/>
            <w:vMerge w:val="restart"/>
            <w:tcBorders>
              <w:righ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全年殯殮屍體數量</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具</w:t>
            </w:r>
            <w:r w:rsidRPr="00DB680D">
              <w:rPr>
                <w:rFonts w:ascii="Times New Roman"/>
                <w:color w:val="000000" w:themeColor="text1"/>
                <w:spacing w:val="-20"/>
                <w:sz w:val="23"/>
                <w:szCs w:val="23"/>
              </w:rPr>
              <w:t>)</w:t>
            </w:r>
          </w:p>
        </w:tc>
        <w:tc>
          <w:tcPr>
            <w:tcW w:w="770" w:type="dxa"/>
            <w:tcBorders>
              <w:lef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p>
        </w:tc>
        <w:tc>
          <w:tcPr>
            <w:tcW w:w="643" w:type="dxa"/>
            <w:vMerge w:val="restart"/>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處數</w:t>
            </w:r>
          </w:p>
        </w:tc>
        <w:tc>
          <w:tcPr>
            <w:tcW w:w="644" w:type="dxa"/>
            <w:vMerge w:val="restart"/>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火化爐數</w:t>
            </w:r>
          </w:p>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座</w:t>
            </w:r>
            <w:r w:rsidRPr="00DB680D">
              <w:rPr>
                <w:rFonts w:ascii="Times New Roman"/>
                <w:color w:val="000000" w:themeColor="text1"/>
                <w:spacing w:val="-20"/>
                <w:sz w:val="23"/>
                <w:szCs w:val="23"/>
              </w:rPr>
              <w:t>)</w:t>
            </w:r>
          </w:p>
        </w:tc>
        <w:tc>
          <w:tcPr>
            <w:tcW w:w="994" w:type="dxa"/>
            <w:vMerge w:val="restart"/>
            <w:tcBorders>
              <w:righ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全年火化屍體數量</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具</w:t>
            </w:r>
            <w:r w:rsidRPr="00DB680D">
              <w:rPr>
                <w:rFonts w:ascii="Times New Roman"/>
                <w:color w:val="000000" w:themeColor="text1"/>
                <w:spacing w:val="-20"/>
                <w:sz w:val="23"/>
                <w:szCs w:val="23"/>
              </w:rPr>
              <w:t>)</w:t>
            </w:r>
          </w:p>
        </w:tc>
        <w:tc>
          <w:tcPr>
            <w:tcW w:w="784" w:type="dxa"/>
            <w:tcBorders>
              <w:lef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p>
        </w:tc>
        <w:tc>
          <w:tcPr>
            <w:tcW w:w="1077" w:type="dxa"/>
            <w:vMerge w:val="restart"/>
            <w:tcBorders>
              <w:right w:val="nil"/>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平均每座火化爐火化屍體數</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具</w:t>
            </w:r>
            <w:r w:rsidRPr="00DB680D">
              <w:rPr>
                <w:rFonts w:ascii="Times New Roman"/>
                <w:color w:val="000000" w:themeColor="text1"/>
                <w:spacing w:val="-20"/>
                <w:sz w:val="23"/>
                <w:szCs w:val="23"/>
              </w:rPr>
              <w:t>)</w:t>
            </w:r>
          </w:p>
        </w:tc>
      </w:tr>
      <w:tr w:rsidR="00DB680D" w:rsidRPr="00DB680D" w:rsidTr="00DB680D">
        <w:trPr>
          <w:trHeight w:val="595"/>
          <w:jc w:val="center"/>
        </w:trPr>
        <w:tc>
          <w:tcPr>
            <w:tcW w:w="1336" w:type="dxa"/>
            <w:vMerge/>
            <w:tcBorders>
              <w:left w:val="nil"/>
              <w:bottom w:val="single" w:sz="4" w:space="0" w:color="auto"/>
            </w:tcBorders>
            <w:vAlign w:val="center"/>
          </w:tcPr>
          <w:p w:rsidR="00DB680D" w:rsidRPr="00DB680D" w:rsidRDefault="00DB680D" w:rsidP="00DB680D">
            <w:pPr>
              <w:spacing w:line="340" w:lineRule="exact"/>
              <w:jc w:val="center"/>
              <w:rPr>
                <w:rFonts w:ascii="Times New Roman"/>
                <w:color w:val="000000" w:themeColor="text1"/>
                <w:spacing w:val="-20"/>
                <w:sz w:val="23"/>
                <w:szCs w:val="23"/>
              </w:rPr>
            </w:pPr>
          </w:p>
        </w:tc>
        <w:tc>
          <w:tcPr>
            <w:tcW w:w="924" w:type="dxa"/>
            <w:vMerge/>
            <w:tcBorders>
              <w:bottom w:val="single" w:sz="4" w:space="0" w:color="auto"/>
            </w:tcBorders>
            <w:vAlign w:val="center"/>
          </w:tcPr>
          <w:p w:rsidR="00DB680D" w:rsidRPr="00DB680D" w:rsidRDefault="00DB680D" w:rsidP="00DB680D">
            <w:pPr>
              <w:spacing w:line="340" w:lineRule="exact"/>
              <w:jc w:val="center"/>
              <w:rPr>
                <w:rFonts w:ascii="Times New Roman"/>
                <w:color w:val="000000" w:themeColor="text1"/>
                <w:spacing w:val="-20"/>
                <w:sz w:val="23"/>
                <w:szCs w:val="23"/>
              </w:rPr>
            </w:pPr>
          </w:p>
        </w:tc>
        <w:tc>
          <w:tcPr>
            <w:tcW w:w="651" w:type="dxa"/>
            <w:vMerge/>
            <w:tcBorders>
              <w:bottom w:val="single" w:sz="4" w:space="0" w:color="auto"/>
            </w:tcBorders>
            <w:vAlign w:val="center"/>
          </w:tcPr>
          <w:p w:rsidR="00DB680D" w:rsidRPr="00DB680D" w:rsidRDefault="00DB680D" w:rsidP="00DB680D">
            <w:pPr>
              <w:spacing w:line="340" w:lineRule="exact"/>
              <w:jc w:val="center"/>
              <w:rPr>
                <w:rFonts w:ascii="Times New Roman"/>
                <w:color w:val="000000" w:themeColor="text1"/>
                <w:spacing w:val="-20"/>
                <w:sz w:val="23"/>
                <w:szCs w:val="23"/>
              </w:rPr>
            </w:pPr>
          </w:p>
        </w:tc>
        <w:tc>
          <w:tcPr>
            <w:tcW w:w="791" w:type="dxa"/>
            <w:vMerge/>
            <w:tcBorders>
              <w:bottom w:val="single" w:sz="4" w:space="0" w:color="auto"/>
            </w:tcBorders>
            <w:vAlign w:val="center"/>
          </w:tcPr>
          <w:p w:rsidR="00DB680D" w:rsidRPr="00DB680D" w:rsidRDefault="00DB680D" w:rsidP="00DB680D">
            <w:pPr>
              <w:spacing w:line="340" w:lineRule="exact"/>
              <w:jc w:val="center"/>
              <w:rPr>
                <w:rFonts w:ascii="Times New Roman"/>
                <w:color w:val="000000" w:themeColor="text1"/>
                <w:spacing w:val="-20"/>
                <w:sz w:val="23"/>
                <w:szCs w:val="23"/>
              </w:rPr>
            </w:pPr>
          </w:p>
        </w:tc>
        <w:tc>
          <w:tcPr>
            <w:tcW w:w="854" w:type="dxa"/>
            <w:vMerge/>
            <w:tcBorders>
              <w:bottom w:val="single" w:sz="4" w:space="0" w:color="auto"/>
            </w:tcBorders>
            <w:vAlign w:val="center"/>
          </w:tcPr>
          <w:p w:rsidR="00DB680D" w:rsidRPr="00DB680D" w:rsidRDefault="00DB680D" w:rsidP="00DB680D">
            <w:pPr>
              <w:spacing w:line="340" w:lineRule="exact"/>
              <w:jc w:val="center"/>
              <w:rPr>
                <w:rFonts w:ascii="Times New Roman"/>
                <w:color w:val="000000" w:themeColor="text1"/>
                <w:spacing w:val="-20"/>
                <w:sz w:val="23"/>
                <w:szCs w:val="23"/>
              </w:rPr>
            </w:pPr>
          </w:p>
        </w:tc>
        <w:tc>
          <w:tcPr>
            <w:tcW w:w="994" w:type="dxa"/>
            <w:vMerge/>
            <w:tcBorders>
              <w:bottom w:val="single" w:sz="4" w:space="0" w:color="auto"/>
            </w:tcBorders>
            <w:vAlign w:val="center"/>
          </w:tcPr>
          <w:p w:rsidR="00DB680D" w:rsidRPr="00DB680D" w:rsidRDefault="00DB680D" w:rsidP="00DB680D">
            <w:pPr>
              <w:spacing w:line="340" w:lineRule="exact"/>
              <w:jc w:val="center"/>
              <w:rPr>
                <w:rFonts w:ascii="Times New Roman"/>
                <w:color w:val="000000" w:themeColor="text1"/>
                <w:spacing w:val="-20"/>
                <w:sz w:val="23"/>
                <w:szCs w:val="23"/>
              </w:rPr>
            </w:pPr>
          </w:p>
        </w:tc>
        <w:tc>
          <w:tcPr>
            <w:tcW w:w="770" w:type="dxa"/>
            <w:tcBorders>
              <w:bottom w:val="single" w:sz="4" w:space="0" w:color="auto"/>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占死亡人數</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w:t>
            </w:r>
          </w:p>
        </w:tc>
        <w:tc>
          <w:tcPr>
            <w:tcW w:w="643" w:type="dxa"/>
            <w:vMerge/>
            <w:tcBorders>
              <w:bottom w:val="single" w:sz="4" w:space="0" w:color="auto"/>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p>
        </w:tc>
        <w:tc>
          <w:tcPr>
            <w:tcW w:w="644" w:type="dxa"/>
            <w:vMerge/>
            <w:tcBorders>
              <w:bottom w:val="single" w:sz="4" w:space="0" w:color="auto"/>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p>
        </w:tc>
        <w:tc>
          <w:tcPr>
            <w:tcW w:w="994" w:type="dxa"/>
            <w:vMerge/>
            <w:tcBorders>
              <w:bottom w:val="single" w:sz="4" w:space="0" w:color="auto"/>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p>
        </w:tc>
        <w:tc>
          <w:tcPr>
            <w:tcW w:w="784" w:type="dxa"/>
            <w:tcBorders>
              <w:bottom w:val="single" w:sz="4" w:space="0" w:color="auto"/>
            </w:tcBorders>
            <w:vAlign w:val="center"/>
          </w:tcPr>
          <w:p w:rsidR="00DB680D" w:rsidRPr="00DB680D" w:rsidRDefault="00DB680D" w:rsidP="00DB680D">
            <w:pPr>
              <w:spacing w:line="300" w:lineRule="exact"/>
              <w:jc w:val="center"/>
              <w:rPr>
                <w:rFonts w:ascii="Times New Roman"/>
                <w:color w:val="000000" w:themeColor="text1"/>
                <w:spacing w:val="-20"/>
                <w:sz w:val="23"/>
                <w:szCs w:val="23"/>
              </w:rPr>
            </w:pPr>
            <w:r w:rsidRPr="00DB680D">
              <w:rPr>
                <w:rFonts w:ascii="Times New Roman"/>
                <w:color w:val="000000" w:themeColor="text1"/>
                <w:spacing w:val="-20"/>
                <w:sz w:val="23"/>
                <w:szCs w:val="23"/>
              </w:rPr>
              <w:t>占死亡人數</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w:t>
            </w:r>
            <w:r w:rsidRPr="00DB680D">
              <w:rPr>
                <w:rFonts w:ascii="Times New Roman"/>
                <w:color w:val="000000" w:themeColor="text1"/>
                <w:spacing w:val="-20"/>
                <w:sz w:val="23"/>
                <w:szCs w:val="23"/>
              </w:rPr>
              <w:t>)</w:t>
            </w:r>
          </w:p>
        </w:tc>
        <w:tc>
          <w:tcPr>
            <w:tcW w:w="1077" w:type="dxa"/>
            <w:vMerge/>
            <w:tcBorders>
              <w:bottom w:val="single" w:sz="4" w:space="0" w:color="auto"/>
              <w:right w:val="nil"/>
            </w:tcBorders>
          </w:tcPr>
          <w:p w:rsidR="00DB680D" w:rsidRPr="00DB680D" w:rsidRDefault="00DB680D" w:rsidP="00DB680D">
            <w:pPr>
              <w:spacing w:line="340" w:lineRule="exact"/>
              <w:rPr>
                <w:rFonts w:ascii="Times New Roman"/>
                <w:color w:val="000000" w:themeColor="text1"/>
                <w:spacing w:val="-20"/>
                <w:szCs w:val="24"/>
              </w:rPr>
            </w:pP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95</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136,371</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39</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248</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3,081</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49,550</w:t>
            </w:r>
          </w:p>
        </w:tc>
        <w:tc>
          <w:tcPr>
            <w:tcW w:w="770" w:type="dxa"/>
            <w:tcBorders>
              <w:top w:val="nil"/>
              <w:left w:val="nil"/>
              <w:bottom w:val="nil"/>
              <w:right w:val="nil"/>
            </w:tcBorders>
            <w:shd w:val="clear" w:color="auto" w:fill="FFFFFF" w:themeFill="background1"/>
            <w:vAlign w:val="center"/>
          </w:tcPr>
          <w:p w:rsidR="00DB680D" w:rsidRPr="00DB680D" w:rsidRDefault="00DB680D" w:rsidP="00DB680D">
            <w:pPr>
              <w:spacing w:line="340" w:lineRule="exact"/>
              <w:jc w:val="right"/>
              <w:rPr>
                <w:rFonts w:ascii="Times New Roman"/>
                <w:b/>
                <w:color w:val="000000" w:themeColor="text1"/>
                <w:spacing w:val="-20"/>
                <w:sz w:val="23"/>
                <w:szCs w:val="23"/>
              </w:rPr>
            </w:pPr>
            <w:r w:rsidRPr="00DB680D">
              <w:rPr>
                <w:rFonts w:ascii="Times New Roman"/>
                <w:color w:val="000000" w:themeColor="text1"/>
                <w:spacing w:val="-20"/>
                <w:sz w:val="23"/>
                <w:szCs w:val="23"/>
              </w:rPr>
              <w:t>36.33</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34</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176</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117,044</w:t>
            </w:r>
          </w:p>
        </w:tc>
        <w:tc>
          <w:tcPr>
            <w:tcW w:w="784" w:type="dxa"/>
            <w:tcBorders>
              <w:top w:val="nil"/>
              <w:left w:val="nil"/>
              <w:bottom w:val="nil"/>
              <w:right w:val="nil"/>
            </w:tcBorders>
            <w:shd w:val="clear" w:color="auto" w:fill="FFFFFF" w:themeFill="background1"/>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85.83</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665</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96</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140,371</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42</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261</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3,217</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54,021</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38.48</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35</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184</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123,217</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87.78</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670</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97</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143,594</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42</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267</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3,210</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54,668</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38.07</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34</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179</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126,442</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88.06</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706</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98</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143,513</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43</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262</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3,257</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57,432</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40.02</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34</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185</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129,363</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90.14</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699</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99</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145,804</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45</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271</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3,285</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59,951</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41.12</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34</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189</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130,886</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89.77</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693</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100</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153,206</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50</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308</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3,484</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68,336</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44.60</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34</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190</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139,125</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90.81</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732</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101</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155,239</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51</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250</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3,621</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74,324</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47.88</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35</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199</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142,030</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91.49</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714</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102</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155,686</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52</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252</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3,718</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73,715</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47.35</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35</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195</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145,820</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93.66</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748</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103</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163,327</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54</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253</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3,818</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88,014</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53.89</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36</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192</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152,963</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93.65</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797</w:t>
            </w:r>
          </w:p>
        </w:tc>
      </w:tr>
      <w:tr w:rsidR="00DB680D" w:rsidRPr="00DB680D" w:rsidTr="00DB680D">
        <w:trPr>
          <w:jc w:val="center"/>
        </w:trPr>
        <w:tc>
          <w:tcPr>
            <w:tcW w:w="1336" w:type="dxa"/>
            <w:tcBorders>
              <w:top w:val="nil"/>
              <w:left w:val="nil"/>
              <w:bottom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104</w:t>
            </w:r>
            <w:r w:rsidRPr="00DB680D">
              <w:rPr>
                <w:rFonts w:ascii="Times New Roman"/>
                <w:color w:val="000000" w:themeColor="text1"/>
                <w:spacing w:val="-20"/>
                <w:sz w:val="22"/>
              </w:rPr>
              <w:t>年底</w:t>
            </w:r>
          </w:p>
        </w:tc>
        <w:tc>
          <w:tcPr>
            <w:tcW w:w="924" w:type="dxa"/>
            <w:tcBorders>
              <w:top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163,822</w:t>
            </w:r>
          </w:p>
        </w:tc>
        <w:tc>
          <w:tcPr>
            <w:tcW w:w="65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54</w:t>
            </w:r>
          </w:p>
        </w:tc>
        <w:tc>
          <w:tcPr>
            <w:tcW w:w="791"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257</w:t>
            </w:r>
          </w:p>
        </w:tc>
        <w:tc>
          <w:tcPr>
            <w:tcW w:w="85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3,936</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86,507</w:t>
            </w:r>
          </w:p>
        </w:tc>
        <w:tc>
          <w:tcPr>
            <w:tcW w:w="770"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52.81</w:t>
            </w:r>
          </w:p>
        </w:tc>
        <w:tc>
          <w:tcPr>
            <w:tcW w:w="643"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36</w:t>
            </w:r>
          </w:p>
        </w:tc>
        <w:tc>
          <w:tcPr>
            <w:tcW w:w="64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192</w:t>
            </w:r>
          </w:p>
        </w:tc>
        <w:tc>
          <w:tcPr>
            <w:tcW w:w="99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156,699</w:t>
            </w:r>
          </w:p>
        </w:tc>
        <w:tc>
          <w:tcPr>
            <w:tcW w:w="784"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95.65</w:t>
            </w:r>
          </w:p>
        </w:tc>
        <w:tc>
          <w:tcPr>
            <w:tcW w:w="1077" w:type="dxa"/>
            <w:tcBorders>
              <w:top w:val="nil"/>
              <w:left w:val="nil"/>
              <w:bottom w:val="nil"/>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816</w:t>
            </w:r>
          </w:p>
        </w:tc>
      </w:tr>
      <w:tr w:rsidR="00DB680D" w:rsidRPr="00DB680D" w:rsidTr="00DB680D">
        <w:trPr>
          <w:jc w:val="center"/>
        </w:trPr>
        <w:tc>
          <w:tcPr>
            <w:tcW w:w="1336" w:type="dxa"/>
            <w:tcBorders>
              <w:top w:val="nil"/>
              <w:left w:val="nil"/>
            </w:tcBorders>
          </w:tcPr>
          <w:p w:rsidR="00DB680D" w:rsidRPr="00DB680D" w:rsidRDefault="00DB680D" w:rsidP="00DB680D">
            <w:pPr>
              <w:spacing w:line="340" w:lineRule="exact"/>
              <w:jc w:val="center"/>
              <w:rPr>
                <w:rFonts w:ascii="Times New Roman"/>
                <w:color w:val="000000" w:themeColor="text1"/>
                <w:spacing w:val="-20"/>
                <w:szCs w:val="24"/>
              </w:rPr>
            </w:pPr>
            <w:r w:rsidRPr="00DB680D">
              <w:rPr>
                <w:rFonts w:ascii="Times New Roman"/>
                <w:color w:val="000000" w:themeColor="text1"/>
                <w:spacing w:val="-20"/>
                <w:sz w:val="22"/>
              </w:rPr>
              <w:t>民國</w:t>
            </w:r>
            <w:r w:rsidRPr="00DB680D">
              <w:rPr>
                <w:rFonts w:ascii="Times New Roman"/>
                <w:color w:val="000000" w:themeColor="text1"/>
                <w:spacing w:val="-20"/>
                <w:sz w:val="22"/>
              </w:rPr>
              <w:t>105</w:t>
            </w:r>
            <w:r w:rsidRPr="00DB680D">
              <w:rPr>
                <w:rFonts w:ascii="Times New Roman"/>
                <w:color w:val="000000" w:themeColor="text1"/>
                <w:spacing w:val="-20"/>
                <w:sz w:val="22"/>
              </w:rPr>
              <w:t>年底</w:t>
            </w:r>
          </w:p>
        </w:tc>
        <w:tc>
          <w:tcPr>
            <w:tcW w:w="924" w:type="dxa"/>
            <w:tcBorders>
              <w:top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172,829</w:t>
            </w:r>
          </w:p>
        </w:tc>
        <w:tc>
          <w:tcPr>
            <w:tcW w:w="651"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54</w:t>
            </w:r>
          </w:p>
        </w:tc>
        <w:tc>
          <w:tcPr>
            <w:tcW w:w="791"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264</w:t>
            </w:r>
          </w:p>
        </w:tc>
        <w:tc>
          <w:tcPr>
            <w:tcW w:w="854"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4,094</w:t>
            </w:r>
          </w:p>
        </w:tc>
        <w:tc>
          <w:tcPr>
            <w:tcW w:w="994"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102,049</w:t>
            </w:r>
          </w:p>
        </w:tc>
        <w:tc>
          <w:tcPr>
            <w:tcW w:w="770" w:type="dxa"/>
            <w:tcBorders>
              <w:top w:val="nil"/>
              <w:left w:val="nil"/>
              <w:bottom w:val="single" w:sz="4" w:space="0" w:color="auto"/>
              <w:right w:val="nil"/>
            </w:tcBorders>
            <w:shd w:val="clear" w:color="auto" w:fill="FFFFFF" w:themeFill="background1"/>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59.05</w:t>
            </w:r>
          </w:p>
        </w:tc>
        <w:tc>
          <w:tcPr>
            <w:tcW w:w="643"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36</w:t>
            </w:r>
          </w:p>
        </w:tc>
        <w:tc>
          <w:tcPr>
            <w:tcW w:w="644"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191</w:t>
            </w:r>
          </w:p>
        </w:tc>
        <w:tc>
          <w:tcPr>
            <w:tcW w:w="994"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166,246</w:t>
            </w:r>
          </w:p>
        </w:tc>
        <w:tc>
          <w:tcPr>
            <w:tcW w:w="784" w:type="dxa"/>
            <w:tcBorders>
              <w:top w:val="nil"/>
              <w:left w:val="nil"/>
              <w:bottom w:val="single" w:sz="4" w:space="0" w:color="auto"/>
              <w:right w:val="nil"/>
            </w:tcBorders>
            <w:shd w:val="clear" w:color="auto" w:fill="FFFFFF" w:themeFill="background1"/>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96.19</w:t>
            </w:r>
          </w:p>
        </w:tc>
        <w:tc>
          <w:tcPr>
            <w:tcW w:w="1077" w:type="dxa"/>
            <w:tcBorders>
              <w:top w:val="nil"/>
              <w:left w:val="nil"/>
              <w:bottom w:val="single" w:sz="4" w:space="0" w:color="auto"/>
              <w:right w:val="nil"/>
            </w:tcBorders>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870</w:t>
            </w:r>
          </w:p>
        </w:tc>
      </w:tr>
      <w:tr w:rsidR="00DB680D" w:rsidRPr="00DB680D" w:rsidTr="00DB680D">
        <w:trPr>
          <w:jc w:val="center"/>
        </w:trPr>
        <w:tc>
          <w:tcPr>
            <w:tcW w:w="1336" w:type="dxa"/>
            <w:tcBorders>
              <w:left w:val="nil"/>
            </w:tcBorders>
            <w:vAlign w:val="center"/>
          </w:tcPr>
          <w:p w:rsidR="00DB680D" w:rsidRPr="00DB680D" w:rsidRDefault="00DB680D" w:rsidP="00DB680D">
            <w:pPr>
              <w:spacing w:line="340" w:lineRule="exact"/>
              <w:jc w:val="center"/>
              <w:rPr>
                <w:rFonts w:ascii="Times New Roman"/>
                <w:color w:val="000000" w:themeColor="text1"/>
                <w:spacing w:val="-20"/>
                <w:sz w:val="22"/>
                <w:szCs w:val="22"/>
              </w:rPr>
            </w:pPr>
            <w:r w:rsidRPr="00DB680D">
              <w:rPr>
                <w:rFonts w:ascii="Times New Roman"/>
                <w:color w:val="000000" w:themeColor="text1"/>
                <w:spacing w:val="-20"/>
                <w:sz w:val="22"/>
                <w:szCs w:val="22"/>
              </w:rPr>
              <w:t xml:space="preserve"> </w:t>
            </w:r>
            <w:r w:rsidRPr="00DB680D">
              <w:rPr>
                <w:rFonts w:ascii="Times New Roman"/>
                <w:color w:val="000000" w:themeColor="text1"/>
                <w:spacing w:val="-20"/>
                <w:sz w:val="22"/>
                <w:szCs w:val="22"/>
              </w:rPr>
              <w:t>較</w:t>
            </w:r>
            <w:r w:rsidRPr="00DB680D">
              <w:rPr>
                <w:rFonts w:ascii="Times New Roman"/>
                <w:color w:val="000000" w:themeColor="text1"/>
                <w:spacing w:val="-20"/>
                <w:sz w:val="22"/>
                <w:szCs w:val="22"/>
              </w:rPr>
              <w:t>95</w:t>
            </w:r>
            <w:r w:rsidRPr="00DB680D">
              <w:rPr>
                <w:rFonts w:ascii="Times New Roman"/>
                <w:color w:val="000000" w:themeColor="text1"/>
                <w:spacing w:val="-20"/>
                <w:sz w:val="22"/>
                <w:szCs w:val="22"/>
              </w:rPr>
              <w:t>年底增減（％）</w:t>
            </w:r>
          </w:p>
        </w:tc>
        <w:tc>
          <w:tcPr>
            <w:tcW w:w="924" w:type="dxa"/>
            <w:tcBorders>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26.73 </w:t>
            </w:r>
          </w:p>
        </w:tc>
        <w:tc>
          <w:tcPr>
            <w:tcW w:w="651"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38.46 </w:t>
            </w:r>
          </w:p>
        </w:tc>
        <w:tc>
          <w:tcPr>
            <w:tcW w:w="791"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w:t>
            </w:r>
          </w:p>
        </w:tc>
        <w:tc>
          <w:tcPr>
            <w:tcW w:w="854"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32.88 </w:t>
            </w:r>
          </w:p>
        </w:tc>
        <w:tc>
          <w:tcPr>
            <w:tcW w:w="994"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105.95 </w:t>
            </w:r>
          </w:p>
        </w:tc>
        <w:tc>
          <w:tcPr>
            <w:tcW w:w="770"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1"/>
                <w:szCs w:val="21"/>
              </w:rPr>
              <w:fldChar w:fldCharType="begin"/>
            </w:r>
            <w:r w:rsidRPr="00DB680D">
              <w:rPr>
                <w:rFonts w:ascii="Times New Roman"/>
                <w:color w:val="000000" w:themeColor="text1"/>
                <w:spacing w:val="-20"/>
                <w:sz w:val="21"/>
                <w:szCs w:val="21"/>
              </w:rPr>
              <w:instrText xml:space="preserve"> </w:instrText>
            </w:r>
            <w:r w:rsidRPr="00DB680D">
              <w:rPr>
                <w:rFonts w:ascii="Times New Roman" w:hint="eastAsia"/>
                <w:color w:val="000000" w:themeColor="text1"/>
                <w:spacing w:val="-20"/>
                <w:sz w:val="21"/>
                <w:szCs w:val="21"/>
              </w:rPr>
              <w:instrText>eq \o\ac(</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position w:val="2"/>
                <w:sz w:val="14"/>
                <w:szCs w:val="21"/>
              </w:rPr>
              <w:instrText>1</w:instrText>
            </w:r>
            <w:r w:rsidRPr="00DB680D">
              <w:rPr>
                <w:rFonts w:ascii="Times New Roman" w:hint="eastAsia"/>
                <w:color w:val="000000" w:themeColor="text1"/>
                <w:spacing w:val="-20"/>
                <w:sz w:val="21"/>
                <w:szCs w:val="21"/>
              </w:rPr>
              <w:instrText>)</w:instrText>
            </w:r>
            <w:r w:rsidRPr="00DB680D">
              <w:rPr>
                <w:rFonts w:ascii="Times New Roman"/>
                <w:color w:val="000000" w:themeColor="text1"/>
                <w:spacing w:val="-20"/>
                <w:sz w:val="21"/>
                <w:szCs w:val="21"/>
              </w:rPr>
              <w:fldChar w:fldCharType="end"/>
            </w:r>
            <w:r w:rsidRPr="00DB680D">
              <w:rPr>
                <w:rFonts w:ascii="Times New Roman"/>
                <w:color w:val="000000" w:themeColor="text1"/>
                <w:spacing w:val="-20"/>
                <w:sz w:val="23"/>
                <w:szCs w:val="23"/>
              </w:rPr>
              <w:t xml:space="preserve">22.72 </w:t>
            </w:r>
          </w:p>
        </w:tc>
        <w:tc>
          <w:tcPr>
            <w:tcW w:w="643"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5.88 </w:t>
            </w:r>
          </w:p>
        </w:tc>
        <w:tc>
          <w:tcPr>
            <w:tcW w:w="644"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8.52 </w:t>
            </w:r>
          </w:p>
        </w:tc>
        <w:tc>
          <w:tcPr>
            <w:tcW w:w="994"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42.04 </w:t>
            </w:r>
          </w:p>
        </w:tc>
        <w:tc>
          <w:tcPr>
            <w:tcW w:w="784"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1"/>
                <w:szCs w:val="21"/>
              </w:rPr>
              <w:fldChar w:fldCharType="begin"/>
            </w:r>
            <w:r w:rsidRPr="00DB680D">
              <w:rPr>
                <w:rFonts w:ascii="Times New Roman"/>
                <w:color w:val="000000" w:themeColor="text1"/>
                <w:spacing w:val="-20"/>
                <w:sz w:val="21"/>
                <w:szCs w:val="21"/>
              </w:rPr>
              <w:instrText xml:space="preserve"> </w:instrText>
            </w:r>
            <w:r w:rsidRPr="00DB680D">
              <w:rPr>
                <w:rFonts w:ascii="Times New Roman" w:hint="eastAsia"/>
                <w:color w:val="000000" w:themeColor="text1"/>
                <w:spacing w:val="-20"/>
                <w:sz w:val="21"/>
                <w:szCs w:val="21"/>
              </w:rPr>
              <w:instrText>eq \o\ac(</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position w:val="2"/>
                <w:sz w:val="14"/>
                <w:szCs w:val="21"/>
              </w:rPr>
              <w:instrText>1</w:instrText>
            </w:r>
            <w:r w:rsidRPr="00DB680D">
              <w:rPr>
                <w:rFonts w:ascii="Times New Roman" w:hint="eastAsia"/>
                <w:color w:val="000000" w:themeColor="text1"/>
                <w:spacing w:val="-20"/>
                <w:sz w:val="21"/>
                <w:szCs w:val="21"/>
              </w:rPr>
              <w:instrText>)</w:instrText>
            </w:r>
            <w:r w:rsidRPr="00DB680D">
              <w:rPr>
                <w:rFonts w:ascii="Times New Roman"/>
                <w:color w:val="000000" w:themeColor="text1"/>
                <w:spacing w:val="-20"/>
                <w:sz w:val="21"/>
                <w:szCs w:val="21"/>
              </w:rPr>
              <w:fldChar w:fldCharType="end"/>
            </w:r>
            <w:r w:rsidRPr="00DB680D">
              <w:rPr>
                <w:rFonts w:ascii="Times New Roman"/>
                <w:color w:val="000000" w:themeColor="text1"/>
                <w:spacing w:val="-20"/>
                <w:sz w:val="23"/>
                <w:szCs w:val="23"/>
              </w:rPr>
              <w:t xml:space="preserve">10.36 </w:t>
            </w:r>
          </w:p>
        </w:tc>
        <w:tc>
          <w:tcPr>
            <w:tcW w:w="1077" w:type="dxa"/>
            <w:tcBorders>
              <w:left w:val="nil"/>
              <w:bottom w:val="single" w:sz="4" w:space="0" w:color="auto"/>
              <w:right w:val="nil"/>
            </w:tcBorders>
            <w:tcMar>
              <w:left w:w="57" w:type="dxa"/>
            </w:tcMar>
            <w:vAlign w:val="center"/>
          </w:tcPr>
          <w:p w:rsidR="00DB680D" w:rsidRPr="00DB680D" w:rsidRDefault="00DB680D" w:rsidP="00DB680D">
            <w:pPr>
              <w:jc w:val="right"/>
              <w:rPr>
                <w:rFonts w:ascii="Times New Roman"/>
                <w:color w:val="000000" w:themeColor="text1"/>
                <w:spacing w:val="-20"/>
                <w:sz w:val="23"/>
                <w:szCs w:val="23"/>
              </w:rPr>
            </w:pPr>
            <w:r w:rsidRPr="00DB680D">
              <w:rPr>
                <w:rFonts w:ascii="Times New Roman"/>
                <w:color w:val="000000" w:themeColor="text1"/>
                <w:spacing w:val="-20"/>
                <w:sz w:val="23"/>
                <w:szCs w:val="23"/>
              </w:rPr>
              <w:t xml:space="preserve">30.83 </w:t>
            </w:r>
          </w:p>
        </w:tc>
      </w:tr>
      <w:tr w:rsidR="00DB680D" w:rsidRPr="00DB680D" w:rsidTr="00DB680D">
        <w:trPr>
          <w:jc w:val="center"/>
        </w:trPr>
        <w:tc>
          <w:tcPr>
            <w:tcW w:w="1336" w:type="dxa"/>
            <w:tcBorders>
              <w:left w:val="nil"/>
            </w:tcBorders>
            <w:vAlign w:val="center"/>
          </w:tcPr>
          <w:p w:rsidR="00DB680D" w:rsidRPr="00DB680D" w:rsidRDefault="00DB680D" w:rsidP="00DB680D">
            <w:pPr>
              <w:spacing w:line="340" w:lineRule="exact"/>
              <w:jc w:val="center"/>
              <w:rPr>
                <w:rFonts w:ascii="Times New Roman"/>
                <w:color w:val="000000" w:themeColor="text1"/>
                <w:spacing w:val="-20"/>
                <w:sz w:val="22"/>
                <w:szCs w:val="22"/>
              </w:rPr>
            </w:pPr>
            <w:r w:rsidRPr="00DB680D">
              <w:rPr>
                <w:rFonts w:ascii="Times New Roman"/>
                <w:color w:val="000000" w:themeColor="text1"/>
                <w:spacing w:val="-20"/>
                <w:sz w:val="22"/>
                <w:szCs w:val="22"/>
              </w:rPr>
              <w:t>較</w:t>
            </w:r>
            <w:r w:rsidRPr="00DB680D">
              <w:rPr>
                <w:rFonts w:ascii="Times New Roman"/>
                <w:color w:val="000000" w:themeColor="text1"/>
                <w:spacing w:val="-20"/>
                <w:sz w:val="22"/>
                <w:szCs w:val="22"/>
              </w:rPr>
              <w:t>104</w:t>
            </w:r>
            <w:r w:rsidRPr="00DB680D">
              <w:rPr>
                <w:rFonts w:ascii="Times New Roman"/>
                <w:color w:val="000000" w:themeColor="text1"/>
                <w:spacing w:val="-20"/>
                <w:sz w:val="22"/>
                <w:szCs w:val="22"/>
              </w:rPr>
              <w:t>年底增減（％）</w:t>
            </w:r>
          </w:p>
        </w:tc>
        <w:tc>
          <w:tcPr>
            <w:tcW w:w="924" w:type="dxa"/>
            <w:tcBorders>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5.50</w:t>
            </w:r>
          </w:p>
        </w:tc>
        <w:tc>
          <w:tcPr>
            <w:tcW w:w="651"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w:t>
            </w:r>
          </w:p>
        </w:tc>
        <w:tc>
          <w:tcPr>
            <w:tcW w:w="791"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2.72</w:t>
            </w:r>
          </w:p>
        </w:tc>
        <w:tc>
          <w:tcPr>
            <w:tcW w:w="854"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4.01</w:t>
            </w:r>
          </w:p>
        </w:tc>
        <w:tc>
          <w:tcPr>
            <w:tcW w:w="994"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17.97</w:t>
            </w:r>
          </w:p>
        </w:tc>
        <w:tc>
          <w:tcPr>
            <w:tcW w:w="770"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1"/>
                <w:szCs w:val="21"/>
              </w:rPr>
              <w:fldChar w:fldCharType="begin"/>
            </w:r>
            <w:r w:rsidRPr="00DB680D">
              <w:rPr>
                <w:rFonts w:ascii="Times New Roman"/>
                <w:color w:val="000000" w:themeColor="text1"/>
                <w:spacing w:val="-20"/>
                <w:sz w:val="21"/>
                <w:szCs w:val="21"/>
              </w:rPr>
              <w:instrText xml:space="preserve"> </w:instrText>
            </w:r>
            <w:r w:rsidRPr="00DB680D">
              <w:rPr>
                <w:rFonts w:ascii="Times New Roman" w:hint="eastAsia"/>
                <w:color w:val="000000" w:themeColor="text1"/>
                <w:spacing w:val="-20"/>
                <w:sz w:val="21"/>
                <w:szCs w:val="21"/>
              </w:rPr>
              <w:instrText>eq \o\ac(</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position w:val="2"/>
                <w:sz w:val="14"/>
                <w:szCs w:val="21"/>
              </w:rPr>
              <w:instrText>1</w:instrText>
            </w:r>
            <w:r w:rsidRPr="00DB680D">
              <w:rPr>
                <w:rFonts w:ascii="Times New Roman" w:hint="eastAsia"/>
                <w:color w:val="000000" w:themeColor="text1"/>
                <w:spacing w:val="-20"/>
                <w:sz w:val="21"/>
                <w:szCs w:val="21"/>
              </w:rPr>
              <w:instrText>)</w:instrText>
            </w:r>
            <w:r w:rsidRPr="00DB680D">
              <w:rPr>
                <w:rFonts w:ascii="Times New Roman"/>
                <w:color w:val="000000" w:themeColor="text1"/>
                <w:spacing w:val="-20"/>
                <w:sz w:val="21"/>
                <w:szCs w:val="21"/>
              </w:rPr>
              <w:fldChar w:fldCharType="end"/>
            </w:r>
            <w:r w:rsidRPr="00DB680D">
              <w:rPr>
                <w:rFonts w:ascii="Times New Roman"/>
                <w:color w:val="000000" w:themeColor="text1"/>
                <w:spacing w:val="-20"/>
                <w:sz w:val="23"/>
                <w:szCs w:val="23"/>
              </w:rPr>
              <w:t>6.24</w:t>
            </w:r>
          </w:p>
        </w:tc>
        <w:tc>
          <w:tcPr>
            <w:tcW w:w="643"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w:t>
            </w:r>
          </w:p>
        </w:tc>
        <w:tc>
          <w:tcPr>
            <w:tcW w:w="644"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-0.52</w:t>
            </w:r>
          </w:p>
        </w:tc>
        <w:tc>
          <w:tcPr>
            <w:tcW w:w="994"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6.09</w:t>
            </w:r>
          </w:p>
        </w:tc>
        <w:tc>
          <w:tcPr>
            <w:tcW w:w="784"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1"/>
                <w:szCs w:val="21"/>
              </w:rPr>
              <w:fldChar w:fldCharType="begin"/>
            </w:r>
            <w:r w:rsidRPr="00DB680D">
              <w:rPr>
                <w:rFonts w:ascii="Times New Roman"/>
                <w:color w:val="000000" w:themeColor="text1"/>
                <w:spacing w:val="-20"/>
                <w:sz w:val="21"/>
                <w:szCs w:val="21"/>
              </w:rPr>
              <w:instrText xml:space="preserve"> </w:instrText>
            </w:r>
            <w:r w:rsidRPr="00DB680D">
              <w:rPr>
                <w:rFonts w:ascii="Times New Roman" w:hint="eastAsia"/>
                <w:color w:val="000000" w:themeColor="text1"/>
                <w:spacing w:val="-20"/>
                <w:sz w:val="21"/>
                <w:szCs w:val="21"/>
              </w:rPr>
              <w:instrText>eq \o\ac(</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spacing w:val="-20"/>
                <w:sz w:val="21"/>
                <w:szCs w:val="21"/>
              </w:rPr>
              <w:instrText>,</w:instrText>
            </w:r>
            <w:r w:rsidRPr="00DB680D">
              <w:rPr>
                <w:rFonts w:ascii="Times New Roman" w:hint="eastAsia"/>
                <w:color w:val="000000" w:themeColor="text1"/>
                <w:position w:val="2"/>
                <w:sz w:val="14"/>
                <w:szCs w:val="21"/>
              </w:rPr>
              <w:instrText>1</w:instrText>
            </w:r>
            <w:r w:rsidRPr="00DB680D">
              <w:rPr>
                <w:rFonts w:ascii="Times New Roman" w:hint="eastAsia"/>
                <w:color w:val="000000" w:themeColor="text1"/>
                <w:spacing w:val="-20"/>
                <w:sz w:val="21"/>
                <w:szCs w:val="21"/>
              </w:rPr>
              <w:instrText>)</w:instrText>
            </w:r>
            <w:r w:rsidRPr="00DB680D">
              <w:rPr>
                <w:rFonts w:ascii="Times New Roman"/>
                <w:color w:val="000000" w:themeColor="text1"/>
                <w:spacing w:val="-20"/>
                <w:sz w:val="21"/>
                <w:szCs w:val="21"/>
              </w:rPr>
              <w:fldChar w:fldCharType="end"/>
            </w:r>
            <w:r w:rsidRPr="00DB680D">
              <w:rPr>
                <w:rFonts w:ascii="Times New Roman"/>
                <w:color w:val="000000" w:themeColor="text1"/>
                <w:spacing w:val="-20"/>
                <w:sz w:val="23"/>
                <w:szCs w:val="23"/>
              </w:rPr>
              <w:t>0.54</w:t>
            </w:r>
          </w:p>
        </w:tc>
        <w:tc>
          <w:tcPr>
            <w:tcW w:w="1077" w:type="dxa"/>
            <w:tcBorders>
              <w:left w:val="nil"/>
              <w:right w:val="nil"/>
            </w:tcBorders>
            <w:tcMar>
              <w:left w:w="57" w:type="dxa"/>
            </w:tcMar>
            <w:vAlign w:val="center"/>
          </w:tcPr>
          <w:p w:rsidR="00DB680D" w:rsidRPr="00DB680D" w:rsidRDefault="00DB680D" w:rsidP="00DB680D">
            <w:pPr>
              <w:spacing w:line="340" w:lineRule="exact"/>
              <w:jc w:val="right"/>
              <w:rPr>
                <w:rFonts w:ascii="Times New Roman"/>
                <w:color w:val="000000" w:themeColor="text1"/>
                <w:spacing w:val="-20"/>
                <w:sz w:val="23"/>
                <w:szCs w:val="23"/>
              </w:rPr>
            </w:pPr>
            <w:r w:rsidRPr="00DB680D">
              <w:rPr>
                <w:rFonts w:ascii="Times New Roman"/>
                <w:color w:val="000000" w:themeColor="text1"/>
                <w:spacing w:val="-20"/>
                <w:sz w:val="23"/>
                <w:szCs w:val="23"/>
              </w:rPr>
              <w:t>6.65</w:t>
            </w:r>
          </w:p>
        </w:tc>
      </w:tr>
    </w:tbl>
    <w:p w:rsidR="00DB680D" w:rsidRPr="00DB680D" w:rsidRDefault="00DB680D" w:rsidP="00DB680D">
      <w:pPr>
        <w:spacing w:line="340" w:lineRule="exact"/>
        <w:rPr>
          <w:rFonts w:ascii="Times New Roman"/>
          <w:color w:val="000000" w:themeColor="text1"/>
          <w:sz w:val="24"/>
          <w:szCs w:val="24"/>
        </w:rPr>
      </w:pPr>
      <w:r w:rsidRPr="00DB680D">
        <w:rPr>
          <w:rFonts w:ascii="Times New Roman"/>
          <w:color w:val="000000" w:themeColor="text1"/>
          <w:sz w:val="24"/>
          <w:szCs w:val="24"/>
        </w:rPr>
        <w:t>資料來源：</w:t>
      </w:r>
      <w:r w:rsidRPr="00DB680D">
        <w:rPr>
          <w:rFonts w:ascii="Times New Roman" w:hint="eastAsia"/>
          <w:color w:val="000000" w:themeColor="text1"/>
          <w:sz w:val="24"/>
          <w:szCs w:val="24"/>
        </w:rPr>
        <w:t>內政部</w:t>
      </w:r>
    </w:p>
    <w:p w:rsidR="00DB680D" w:rsidRPr="00DB680D" w:rsidRDefault="00DB680D" w:rsidP="00DB680D">
      <w:pPr>
        <w:spacing w:line="340" w:lineRule="exact"/>
        <w:rPr>
          <w:rFonts w:ascii="Times New Roman"/>
          <w:color w:val="000000" w:themeColor="text1"/>
          <w:sz w:val="24"/>
          <w:szCs w:val="24"/>
        </w:rPr>
      </w:pPr>
      <w:r w:rsidRPr="00DB680D">
        <w:rPr>
          <w:rFonts w:ascii="Times New Roman"/>
          <w:color w:val="000000" w:themeColor="text1"/>
          <w:sz w:val="24"/>
          <w:szCs w:val="24"/>
        </w:rPr>
        <w:t>說</w:t>
      </w:r>
      <w:r w:rsidRPr="00DB680D">
        <w:rPr>
          <w:rFonts w:ascii="Times New Roman"/>
          <w:color w:val="000000" w:themeColor="text1"/>
          <w:sz w:val="24"/>
          <w:szCs w:val="24"/>
        </w:rPr>
        <w:t xml:space="preserve">    </w:t>
      </w:r>
      <w:r w:rsidRPr="00DB680D">
        <w:rPr>
          <w:rFonts w:ascii="Times New Roman"/>
          <w:color w:val="000000" w:themeColor="text1"/>
          <w:sz w:val="24"/>
          <w:szCs w:val="24"/>
        </w:rPr>
        <w:t>明：表列禮廳數民國</w:t>
      </w:r>
      <w:r w:rsidRPr="00DB680D">
        <w:rPr>
          <w:rFonts w:ascii="Times New Roman"/>
          <w:color w:val="000000" w:themeColor="text1"/>
          <w:sz w:val="24"/>
          <w:szCs w:val="24"/>
        </w:rPr>
        <w:t>100</w:t>
      </w:r>
      <w:r w:rsidRPr="00DB680D">
        <w:rPr>
          <w:rFonts w:ascii="Times New Roman"/>
          <w:color w:val="000000" w:themeColor="text1"/>
          <w:sz w:val="24"/>
          <w:szCs w:val="24"/>
        </w:rPr>
        <w:t>年以前部分縣（市）包含靈堂數。</w:t>
      </w:r>
    </w:p>
    <w:p w:rsidR="00DB680D" w:rsidRPr="0046554C" w:rsidRDefault="00DB680D" w:rsidP="00405079">
      <w:pPr>
        <w:spacing w:line="340" w:lineRule="exact"/>
        <w:rPr>
          <w:bCs/>
          <w:color w:val="000000" w:themeColor="text1"/>
        </w:rPr>
      </w:pPr>
      <w:r w:rsidRPr="00DB680D">
        <w:rPr>
          <w:rFonts w:ascii="Times New Roman"/>
          <w:color w:val="000000" w:themeColor="text1"/>
          <w:sz w:val="24"/>
          <w:szCs w:val="24"/>
        </w:rPr>
        <w:t>附</w:t>
      </w:r>
      <w:r w:rsidRPr="00DB680D">
        <w:rPr>
          <w:rFonts w:ascii="Times New Roman"/>
          <w:color w:val="000000" w:themeColor="text1"/>
          <w:sz w:val="24"/>
          <w:szCs w:val="24"/>
        </w:rPr>
        <w:t xml:space="preserve">    </w:t>
      </w:r>
      <w:r w:rsidRPr="00DB680D">
        <w:rPr>
          <w:rFonts w:ascii="Times New Roman"/>
          <w:color w:val="000000" w:themeColor="text1"/>
          <w:sz w:val="24"/>
          <w:szCs w:val="24"/>
        </w:rPr>
        <w:t>註：</w:t>
      </w:r>
      <w:r w:rsidRPr="00DB680D">
        <w:rPr>
          <w:rFonts w:ascii="Times New Roman"/>
          <w:color w:val="000000" w:themeColor="text1"/>
          <w:sz w:val="24"/>
          <w:szCs w:val="24"/>
        </w:rPr>
        <w:fldChar w:fldCharType="begin"/>
      </w:r>
      <w:r w:rsidRPr="00DB680D">
        <w:rPr>
          <w:rFonts w:ascii="Times New Roman"/>
          <w:color w:val="000000" w:themeColor="text1"/>
          <w:sz w:val="24"/>
          <w:szCs w:val="24"/>
        </w:rPr>
        <w:instrText xml:space="preserve"> </w:instrText>
      </w:r>
      <w:r w:rsidRPr="00DB680D">
        <w:rPr>
          <w:rFonts w:ascii="Times New Roman" w:hint="eastAsia"/>
          <w:color w:val="000000" w:themeColor="text1"/>
          <w:sz w:val="24"/>
          <w:szCs w:val="24"/>
        </w:rPr>
        <w:instrText>eq \o\ac(</w:instrText>
      </w:r>
      <w:r w:rsidRPr="00DB680D">
        <w:rPr>
          <w:rFonts w:ascii="Times New Roman" w:hint="eastAsia"/>
          <w:color w:val="000000" w:themeColor="text1"/>
          <w:sz w:val="24"/>
          <w:szCs w:val="24"/>
        </w:rPr>
        <w:instrText>○</w:instrText>
      </w:r>
      <w:r w:rsidRPr="00DB680D">
        <w:rPr>
          <w:rFonts w:ascii="Times New Roman" w:hint="eastAsia"/>
          <w:color w:val="000000" w:themeColor="text1"/>
          <w:sz w:val="24"/>
          <w:szCs w:val="24"/>
        </w:rPr>
        <w:instrText>,</w:instrText>
      </w:r>
      <w:r w:rsidRPr="00DB680D">
        <w:rPr>
          <w:rFonts w:ascii="Times New Roman" w:hint="eastAsia"/>
          <w:color w:val="000000" w:themeColor="text1"/>
          <w:position w:val="3"/>
          <w:sz w:val="16"/>
          <w:szCs w:val="24"/>
        </w:rPr>
        <w:instrText>1</w:instrText>
      </w:r>
      <w:r w:rsidRPr="00DB680D">
        <w:rPr>
          <w:rFonts w:ascii="Times New Roman" w:hint="eastAsia"/>
          <w:color w:val="000000" w:themeColor="text1"/>
          <w:sz w:val="24"/>
          <w:szCs w:val="24"/>
        </w:rPr>
        <w:instrText>)</w:instrText>
      </w:r>
      <w:r w:rsidRPr="00DB680D">
        <w:rPr>
          <w:rFonts w:ascii="Times New Roman"/>
          <w:color w:val="000000" w:themeColor="text1"/>
          <w:sz w:val="24"/>
          <w:szCs w:val="24"/>
        </w:rPr>
        <w:fldChar w:fldCharType="end"/>
      </w:r>
      <w:r w:rsidRPr="00DB680D">
        <w:rPr>
          <w:rFonts w:ascii="Times New Roman"/>
          <w:color w:val="000000" w:themeColor="text1"/>
          <w:sz w:val="24"/>
          <w:szCs w:val="24"/>
        </w:rPr>
        <w:t>係指增減百分點。</w:t>
      </w:r>
    </w:p>
    <w:sectPr w:rsidR="00DB680D" w:rsidRPr="0046554C" w:rsidSect="00F05FFA">
      <w:footerReference w:type="default" r:id="rId9"/>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6B" w:rsidRDefault="0012056B">
      <w:r>
        <w:separator/>
      </w:r>
    </w:p>
  </w:endnote>
  <w:endnote w:type="continuationSeparator" w:id="0">
    <w:p w:rsidR="0012056B" w:rsidRDefault="0012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80D" w:rsidRDefault="00DB680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B7F70">
      <w:rPr>
        <w:rStyle w:val="ac"/>
        <w:noProof/>
        <w:sz w:val="24"/>
      </w:rPr>
      <w:t>10</w:t>
    </w:r>
    <w:r>
      <w:rPr>
        <w:rStyle w:val="ac"/>
        <w:sz w:val="24"/>
      </w:rPr>
      <w:fldChar w:fldCharType="end"/>
    </w:r>
  </w:p>
  <w:p w:rsidR="00DB680D" w:rsidRDefault="00DB680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6B" w:rsidRDefault="0012056B">
      <w:r>
        <w:separator/>
      </w:r>
    </w:p>
  </w:footnote>
  <w:footnote w:type="continuationSeparator" w:id="0">
    <w:p w:rsidR="0012056B" w:rsidRDefault="0012056B">
      <w:r>
        <w:continuationSeparator/>
      </w:r>
    </w:p>
  </w:footnote>
  <w:footnote w:id="1">
    <w:p w:rsidR="00DB680D" w:rsidRPr="000F36B3" w:rsidRDefault="00DB680D" w:rsidP="000F36B3">
      <w:pPr>
        <w:pStyle w:val="afa"/>
        <w:ind w:leftChars="4" w:left="181" w:hangingChars="76" w:hanging="167"/>
        <w:rPr>
          <w:color w:val="000000" w:themeColor="text1"/>
        </w:rPr>
      </w:pPr>
      <w:r w:rsidRPr="000F36B3">
        <w:rPr>
          <w:rStyle w:val="afc"/>
          <w:color w:val="000000" w:themeColor="text1"/>
        </w:rPr>
        <w:footnoteRef/>
      </w:r>
      <w:r w:rsidRPr="000F36B3">
        <w:rPr>
          <w:rFonts w:hint="eastAsia"/>
          <w:color w:val="000000" w:themeColor="text1"/>
        </w:rPr>
        <w:t xml:space="preserve"> 殯葬管理條例第100條規定：「為落實殯葬設施管理，推動公墓公園化、提高殯葬設施服務品質及鼓勵火化措施，主管機關應擬訂計畫，編列預算執行之。」</w:t>
      </w:r>
    </w:p>
  </w:footnote>
  <w:footnote w:id="2">
    <w:p w:rsidR="00DB680D" w:rsidRPr="00485E8C" w:rsidRDefault="00DB680D" w:rsidP="00C64D52">
      <w:pPr>
        <w:pStyle w:val="afa"/>
        <w:rPr>
          <w:color w:val="000000" w:themeColor="text1"/>
        </w:rPr>
      </w:pPr>
      <w:r w:rsidRPr="00485E8C">
        <w:rPr>
          <w:rStyle w:val="afc"/>
          <w:color w:val="000000" w:themeColor="text1"/>
        </w:rPr>
        <w:footnoteRef/>
      </w:r>
      <w:r w:rsidRPr="00485E8C">
        <w:rPr>
          <w:color w:val="000000" w:themeColor="text1"/>
        </w:rPr>
        <w:t xml:space="preserve"> 殯葬第三期計畫</w:t>
      </w:r>
      <w:r w:rsidRPr="00485E8C">
        <w:rPr>
          <w:rFonts w:hint="eastAsia"/>
          <w:color w:val="000000" w:themeColor="text1"/>
        </w:rPr>
        <w:t>各推動項目及衡量指標如下：</w:t>
      </w:r>
    </w:p>
    <w:p w:rsidR="00DB680D" w:rsidRPr="00485E8C" w:rsidRDefault="00DB680D" w:rsidP="00C64D52">
      <w:pPr>
        <w:pStyle w:val="afa"/>
        <w:numPr>
          <w:ilvl w:val="0"/>
          <w:numId w:val="38"/>
        </w:numPr>
        <w:rPr>
          <w:color w:val="000000" w:themeColor="text1"/>
        </w:rPr>
      </w:pPr>
      <w:r w:rsidRPr="00485E8C">
        <w:rPr>
          <w:rFonts w:hint="eastAsia"/>
          <w:color w:val="000000" w:themeColor="text1"/>
        </w:rPr>
        <w:t>辦理公墓更新，推動環保自然葬：每年平均預估改善土地面積3萬平方公尺，計畫執行完畢預計可改善12萬平方公尺。另在環保自然葬部分，平均至少每年增加3處，4年增加12處，採環保自然葬之區域面積至少可增加國內綠化面積達6萬平方公尺。</w:t>
      </w:r>
    </w:p>
    <w:p w:rsidR="00DB680D" w:rsidRPr="00485E8C" w:rsidRDefault="00DB680D" w:rsidP="00C64D52">
      <w:pPr>
        <w:pStyle w:val="afa"/>
        <w:numPr>
          <w:ilvl w:val="0"/>
          <w:numId w:val="38"/>
        </w:numPr>
        <w:rPr>
          <w:color w:val="000000" w:themeColor="text1"/>
        </w:rPr>
      </w:pPr>
      <w:r w:rsidRPr="00485E8C">
        <w:rPr>
          <w:rFonts w:hint="eastAsia"/>
          <w:color w:val="000000" w:themeColor="text1"/>
        </w:rPr>
        <w:t>新設火化場：每2年預估增加火化爐具4具，以每具火化爐具提供服務量以665具火化數推算，計畫執行完畢預計可增加火化數達5,320具。</w:t>
      </w:r>
    </w:p>
    <w:p w:rsidR="00DB680D" w:rsidRPr="00485E8C" w:rsidRDefault="00DB680D" w:rsidP="00C64D52">
      <w:pPr>
        <w:pStyle w:val="afa"/>
        <w:numPr>
          <w:ilvl w:val="0"/>
          <w:numId w:val="38"/>
        </w:numPr>
        <w:rPr>
          <w:color w:val="000000" w:themeColor="text1"/>
        </w:rPr>
      </w:pPr>
      <w:r w:rsidRPr="00485E8C">
        <w:rPr>
          <w:rFonts w:hint="eastAsia"/>
          <w:color w:val="000000" w:themeColor="text1"/>
        </w:rPr>
        <w:t>火化場內增設殯儀館：執行每2年預估各增加禮廳數為5間，以每間禮廳提供服務量以588具殯殮數推算，計畫執行完畢預計可增加殯殮數達5,880具。</w:t>
      </w:r>
    </w:p>
    <w:p w:rsidR="00DB680D" w:rsidRPr="00485E8C" w:rsidRDefault="00DB680D" w:rsidP="00C64D52">
      <w:pPr>
        <w:pStyle w:val="afa"/>
        <w:numPr>
          <w:ilvl w:val="0"/>
          <w:numId w:val="38"/>
        </w:numPr>
        <w:rPr>
          <w:color w:val="000000" w:themeColor="text1"/>
        </w:rPr>
      </w:pPr>
      <w:r w:rsidRPr="00485E8C">
        <w:rPr>
          <w:rFonts w:hint="eastAsia"/>
          <w:color w:val="000000" w:themeColor="text1"/>
        </w:rPr>
        <w:t>原住民山地鄉(區)辦理公墓更新及滿足回教族群喪葬需求：計畫利用原住民山地鄉(區)及回教公墓幾近飽和及滿葬亟待改善時機，配合補助誘因，預計每年至少改善原住民山地鄉(區)及回教公墓各1處，藉以引導山地鄉(區)原住民及回教族群逐步採取輪葬，改變葬俗。</w:t>
      </w:r>
    </w:p>
  </w:footnote>
  <w:footnote w:id="3">
    <w:p w:rsidR="00DB680D" w:rsidRDefault="00DB680D" w:rsidP="00C64D52">
      <w:pPr>
        <w:pStyle w:val="afa"/>
        <w:ind w:leftChars="13" w:left="394" w:hangingChars="159" w:hanging="350"/>
      </w:pPr>
      <w:r>
        <w:rPr>
          <w:rStyle w:val="afc"/>
        </w:rPr>
        <w:footnoteRef/>
      </w:r>
      <w:r>
        <w:rPr>
          <w:rFonts w:hint="eastAsia"/>
        </w:rPr>
        <w:t>1、屏東縣麟洛鄉公所公墓更新、環保自然葬法後新建骨灰骸存放設施之計畫內容：(1)未說明鄰近地區骨灰(骸)存放設施供應量不足。(2)未說明符合綠建築指標之情形。(3)欠缺需求調查及民意徵詢等資料。(4)欠缺鄰近地區納骨灰(骸)設施供應量不足之證明資料；或轄內未規劃之公墓整體規劃進行除葬及自治法規規定轄內公墓全數禁葬之相關資料。</w:t>
      </w:r>
    </w:p>
    <w:p w:rsidR="00DB680D" w:rsidRDefault="00DB680D" w:rsidP="00C64D52">
      <w:pPr>
        <w:pStyle w:val="afa"/>
        <w:ind w:leftChars="13" w:left="394" w:hangingChars="159" w:hanging="350"/>
      </w:pPr>
      <w:r>
        <w:rPr>
          <w:rFonts w:hint="eastAsia"/>
        </w:rPr>
        <w:t>2、基隆市立殯葬管理所新建具區域性服務功能之殯葬園區之計畫內容：(1)未說明符合綠建築指標之情形。(2)欠缺需求調查及民意徵詢等資料。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84566A"/>
    <w:multiLevelType w:val="hybridMultilevel"/>
    <w:tmpl w:val="5BD21ECA"/>
    <w:lvl w:ilvl="0" w:tplc="59380A4C">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216540"/>
    <w:multiLevelType w:val="hybridMultilevel"/>
    <w:tmpl w:val="8506BD34"/>
    <w:lvl w:ilvl="0" w:tplc="D2A226A2">
      <w:start w:val="1"/>
      <w:numFmt w:val="decimal"/>
      <w:lvlText w:val="%1、"/>
      <w:lvlJc w:val="left"/>
      <w:pPr>
        <w:ind w:left="554" w:hanging="360"/>
      </w:pPr>
      <w:rPr>
        <w:rFonts w:hint="default"/>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DC5C09"/>
    <w:multiLevelType w:val="hybridMultilevel"/>
    <w:tmpl w:val="93B4E802"/>
    <w:lvl w:ilvl="0" w:tplc="335EEA6A">
      <w:start w:val="1"/>
      <w:numFmt w:val="decimal"/>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715B36"/>
    <w:multiLevelType w:val="hybridMultilevel"/>
    <w:tmpl w:val="6456A96C"/>
    <w:lvl w:ilvl="0" w:tplc="5DD63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9"/>
  </w:num>
  <w:num w:numId="23">
    <w:abstractNumId w:val="7"/>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8"/>
  </w:num>
  <w:num w:numId="31">
    <w:abstractNumId w:val="8"/>
  </w:num>
  <w:num w:numId="32">
    <w:abstractNumId w:val="2"/>
  </w:num>
  <w:num w:numId="33">
    <w:abstractNumId w:val="2"/>
  </w:num>
  <w:num w:numId="34">
    <w:abstractNumId w:val="2"/>
  </w:num>
  <w:num w:numId="35">
    <w:abstractNumId w:val="2"/>
  </w:num>
  <w:num w:numId="36">
    <w:abstractNumId w:val="2"/>
  </w:num>
  <w:num w:numId="37">
    <w:abstractNumId w:val="9"/>
    <w:lvlOverride w:ilvl="0">
      <w:startOverride w:val="1"/>
    </w:lvlOverride>
  </w:num>
  <w:num w:numId="38">
    <w:abstractNumId w:val="3"/>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
  </w:num>
  <w:num w:numId="43">
    <w:abstractNumId w:val="5"/>
  </w:num>
  <w:num w:numId="44">
    <w:abstractNumId w:val="2"/>
  </w:num>
  <w:num w:numId="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1DC"/>
    <w:rsid w:val="00017318"/>
    <w:rsid w:val="000246F7"/>
    <w:rsid w:val="0003114D"/>
    <w:rsid w:val="00036D76"/>
    <w:rsid w:val="00041F9D"/>
    <w:rsid w:val="00050778"/>
    <w:rsid w:val="000512D1"/>
    <w:rsid w:val="0005769F"/>
    <w:rsid w:val="00057F32"/>
    <w:rsid w:val="00057F34"/>
    <w:rsid w:val="00062A25"/>
    <w:rsid w:val="00073CB5"/>
    <w:rsid w:val="0007425C"/>
    <w:rsid w:val="000755C8"/>
    <w:rsid w:val="00077553"/>
    <w:rsid w:val="00080040"/>
    <w:rsid w:val="00084B3A"/>
    <w:rsid w:val="000851A2"/>
    <w:rsid w:val="000868F1"/>
    <w:rsid w:val="0009352E"/>
    <w:rsid w:val="00095828"/>
    <w:rsid w:val="00096B96"/>
    <w:rsid w:val="00097136"/>
    <w:rsid w:val="000A2F3F"/>
    <w:rsid w:val="000B0B4A"/>
    <w:rsid w:val="000B13CF"/>
    <w:rsid w:val="000B279A"/>
    <w:rsid w:val="000B61D2"/>
    <w:rsid w:val="000B70A7"/>
    <w:rsid w:val="000C495F"/>
    <w:rsid w:val="000E6431"/>
    <w:rsid w:val="000F0AEA"/>
    <w:rsid w:val="000F0D35"/>
    <w:rsid w:val="000F21A5"/>
    <w:rsid w:val="000F36B3"/>
    <w:rsid w:val="0010072A"/>
    <w:rsid w:val="00102B9F"/>
    <w:rsid w:val="00112637"/>
    <w:rsid w:val="0011742A"/>
    <w:rsid w:val="0012001E"/>
    <w:rsid w:val="0012056B"/>
    <w:rsid w:val="00126A55"/>
    <w:rsid w:val="00133AA2"/>
    <w:rsid w:val="00133F08"/>
    <w:rsid w:val="001345E6"/>
    <w:rsid w:val="001378B0"/>
    <w:rsid w:val="00142E00"/>
    <w:rsid w:val="00143F6A"/>
    <w:rsid w:val="00152793"/>
    <w:rsid w:val="001545A9"/>
    <w:rsid w:val="001637C7"/>
    <w:rsid w:val="0016480E"/>
    <w:rsid w:val="00165C50"/>
    <w:rsid w:val="00174297"/>
    <w:rsid w:val="001817B3"/>
    <w:rsid w:val="00183014"/>
    <w:rsid w:val="001959C2"/>
    <w:rsid w:val="001A7968"/>
    <w:rsid w:val="001B2DA0"/>
    <w:rsid w:val="001B3483"/>
    <w:rsid w:val="001B3C1E"/>
    <w:rsid w:val="001B4494"/>
    <w:rsid w:val="001B48EB"/>
    <w:rsid w:val="001C0D8B"/>
    <w:rsid w:val="001C0DA8"/>
    <w:rsid w:val="001E0D8A"/>
    <w:rsid w:val="001E5379"/>
    <w:rsid w:val="001E67BA"/>
    <w:rsid w:val="001E74C2"/>
    <w:rsid w:val="001F4C8F"/>
    <w:rsid w:val="001F5A48"/>
    <w:rsid w:val="001F6260"/>
    <w:rsid w:val="00200007"/>
    <w:rsid w:val="00201320"/>
    <w:rsid w:val="002030A5"/>
    <w:rsid w:val="00203131"/>
    <w:rsid w:val="00212E88"/>
    <w:rsid w:val="00213C9C"/>
    <w:rsid w:val="0022009E"/>
    <w:rsid w:val="0022425C"/>
    <w:rsid w:val="002246DE"/>
    <w:rsid w:val="002363A5"/>
    <w:rsid w:val="002421B5"/>
    <w:rsid w:val="0025106C"/>
    <w:rsid w:val="00252BC4"/>
    <w:rsid w:val="002535C2"/>
    <w:rsid w:val="00254014"/>
    <w:rsid w:val="0026504D"/>
    <w:rsid w:val="00270A31"/>
    <w:rsid w:val="00273A2F"/>
    <w:rsid w:val="00280986"/>
    <w:rsid w:val="00281ECE"/>
    <w:rsid w:val="002831C7"/>
    <w:rsid w:val="002840C6"/>
    <w:rsid w:val="00286B1B"/>
    <w:rsid w:val="002904ED"/>
    <w:rsid w:val="00294EB2"/>
    <w:rsid w:val="00295174"/>
    <w:rsid w:val="00296172"/>
    <w:rsid w:val="00296B92"/>
    <w:rsid w:val="002A02DE"/>
    <w:rsid w:val="002A0920"/>
    <w:rsid w:val="002A2C22"/>
    <w:rsid w:val="002A3242"/>
    <w:rsid w:val="002B02EB"/>
    <w:rsid w:val="002B7174"/>
    <w:rsid w:val="002C0602"/>
    <w:rsid w:val="002D5C16"/>
    <w:rsid w:val="002F3DFF"/>
    <w:rsid w:val="002F5E05"/>
    <w:rsid w:val="00305066"/>
    <w:rsid w:val="00317053"/>
    <w:rsid w:val="0032109C"/>
    <w:rsid w:val="00322B45"/>
    <w:rsid w:val="00323809"/>
    <w:rsid w:val="00323D41"/>
    <w:rsid w:val="00325414"/>
    <w:rsid w:val="003302F1"/>
    <w:rsid w:val="0034402A"/>
    <w:rsid w:val="0034470E"/>
    <w:rsid w:val="00352DB0"/>
    <w:rsid w:val="003551C5"/>
    <w:rsid w:val="00371833"/>
    <w:rsid w:val="00371ED3"/>
    <w:rsid w:val="0037728A"/>
    <w:rsid w:val="00380B7D"/>
    <w:rsid w:val="00381A99"/>
    <w:rsid w:val="003829C2"/>
    <w:rsid w:val="00384724"/>
    <w:rsid w:val="003919B7"/>
    <w:rsid w:val="00391CB4"/>
    <w:rsid w:val="00391D57"/>
    <w:rsid w:val="00392292"/>
    <w:rsid w:val="00396EC5"/>
    <w:rsid w:val="003A5B7B"/>
    <w:rsid w:val="003B1017"/>
    <w:rsid w:val="003B3C07"/>
    <w:rsid w:val="003B6775"/>
    <w:rsid w:val="003C5FE2"/>
    <w:rsid w:val="003C716F"/>
    <w:rsid w:val="003D05FB"/>
    <w:rsid w:val="003D1B16"/>
    <w:rsid w:val="003D45BF"/>
    <w:rsid w:val="003D508A"/>
    <w:rsid w:val="003D537F"/>
    <w:rsid w:val="003D7B75"/>
    <w:rsid w:val="003E0208"/>
    <w:rsid w:val="003E4B57"/>
    <w:rsid w:val="003F27E1"/>
    <w:rsid w:val="003F437A"/>
    <w:rsid w:val="003F5C2B"/>
    <w:rsid w:val="004023E9"/>
    <w:rsid w:val="00405079"/>
    <w:rsid w:val="00413F83"/>
    <w:rsid w:val="0041490C"/>
    <w:rsid w:val="00416191"/>
    <w:rsid w:val="00416721"/>
    <w:rsid w:val="004177FB"/>
    <w:rsid w:val="00421EF0"/>
    <w:rsid w:val="004224FA"/>
    <w:rsid w:val="00423D07"/>
    <w:rsid w:val="00424AF4"/>
    <w:rsid w:val="004255DB"/>
    <w:rsid w:val="0044346F"/>
    <w:rsid w:val="0046520A"/>
    <w:rsid w:val="0046554C"/>
    <w:rsid w:val="004672AB"/>
    <w:rsid w:val="004714FE"/>
    <w:rsid w:val="00485CDE"/>
    <w:rsid w:val="00485E8C"/>
    <w:rsid w:val="00495053"/>
    <w:rsid w:val="004A1F59"/>
    <w:rsid w:val="004A29BE"/>
    <w:rsid w:val="004A3225"/>
    <w:rsid w:val="004A33EE"/>
    <w:rsid w:val="004A3AA8"/>
    <w:rsid w:val="004B13C7"/>
    <w:rsid w:val="004B778F"/>
    <w:rsid w:val="004C106F"/>
    <w:rsid w:val="004C5DD4"/>
    <w:rsid w:val="004D141F"/>
    <w:rsid w:val="004D6310"/>
    <w:rsid w:val="004E0062"/>
    <w:rsid w:val="004E05A1"/>
    <w:rsid w:val="004F4529"/>
    <w:rsid w:val="004F5E57"/>
    <w:rsid w:val="004F6710"/>
    <w:rsid w:val="00502849"/>
    <w:rsid w:val="00504334"/>
    <w:rsid w:val="005104D7"/>
    <w:rsid w:val="00510B9E"/>
    <w:rsid w:val="00531D2C"/>
    <w:rsid w:val="00536BC2"/>
    <w:rsid w:val="005425E1"/>
    <w:rsid w:val="005427C5"/>
    <w:rsid w:val="00542CF6"/>
    <w:rsid w:val="00550077"/>
    <w:rsid w:val="00553C03"/>
    <w:rsid w:val="00563692"/>
    <w:rsid w:val="00571349"/>
    <w:rsid w:val="005908B8"/>
    <w:rsid w:val="0059512E"/>
    <w:rsid w:val="005A6DD2"/>
    <w:rsid w:val="005C385D"/>
    <w:rsid w:val="005C4C06"/>
    <w:rsid w:val="005C5A5C"/>
    <w:rsid w:val="005D3B20"/>
    <w:rsid w:val="005E5C68"/>
    <w:rsid w:val="005E65C0"/>
    <w:rsid w:val="005F0390"/>
    <w:rsid w:val="00605E34"/>
    <w:rsid w:val="00612023"/>
    <w:rsid w:val="00614190"/>
    <w:rsid w:val="00622A99"/>
    <w:rsid w:val="00622E67"/>
    <w:rsid w:val="00626EDC"/>
    <w:rsid w:val="006470EC"/>
    <w:rsid w:val="00650743"/>
    <w:rsid w:val="00652893"/>
    <w:rsid w:val="00653CBD"/>
    <w:rsid w:val="00654373"/>
    <w:rsid w:val="0065598E"/>
    <w:rsid w:val="00655AF2"/>
    <w:rsid w:val="006568BE"/>
    <w:rsid w:val="0066025D"/>
    <w:rsid w:val="00670BCE"/>
    <w:rsid w:val="006773EC"/>
    <w:rsid w:val="00680504"/>
    <w:rsid w:val="00681CD9"/>
    <w:rsid w:val="00683E30"/>
    <w:rsid w:val="00683F6A"/>
    <w:rsid w:val="00687024"/>
    <w:rsid w:val="00696415"/>
    <w:rsid w:val="006A310E"/>
    <w:rsid w:val="006A7EB4"/>
    <w:rsid w:val="006B2B6B"/>
    <w:rsid w:val="006B341F"/>
    <w:rsid w:val="006B7F70"/>
    <w:rsid w:val="006D3691"/>
    <w:rsid w:val="006E2DCE"/>
    <w:rsid w:val="006F3563"/>
    <w:rsid w:val="006F42B9"/>
    <w:rsid w:val="006F6103"/>
    <w:rsid w:val="00704E00"/>
    <w:rsid w:val="00711DFF"/>
    <w:rsid w:val="007209E7"/>
    <w:rsid w:val="00726182"/>
    <w:rsid w:val="00732329"/>
    <w:rsid w:val="007337CA"/>
    <w:rsid w:val="00734CE4"/>
    <w:rsid w:val="00735123"/>
    <w:rsid w:val="00741837"/>
    <w:rsid w:val="007453E6"/>
    <w:rsid w:val="00745A73"/>
    <w:rsid w:val="0075243E"/>
    <w:rsid w:val="007666F5"/>
    <w:rsid w:val="0077309D"/>
    <w:rsid w:val="007774EE"/>
    <w:rsid w:val="007813D7"/>
    <w:rsid w:val="00781822"/>
    <w:rsid w:val="00783F21"/>
    <w:rsid w:val="00787159"/>
    <w:rsid w:val="00791668"/>
    <w:rsid w:val="00791AA1"/>
    <w:rsid w:val="007A3793"/>
    <w:rsid w:val="007B4BA4"/>
    <w:rsid w:val="007C1BA2"/>
    <w:rsid w:val="007D20E9"/>
    <w:rsid w:val="007D7881"/>
    <w:rsid w:val="007D7E3A"/>
    <w:rsid w:val="007E0E10"/>
    <w:rsid w:val="007E4768"/>
    <w:rsid w:val="007E5BDD"/>
    <w:rsid w:val="007E777B"/>
    <w:rsid w:val="007F11E5"/>
    <w:rsid w:val="007F2070"/>
    <w:rsid w:val="008053F5"/>
    <w:rsid w:val="00810198"/>
    <w:rsid w:val="00812549"/>
    <w:rsid w:val="00815DA8"/>
    <w:rsid w:val="0082194D"/>
    <w:rsid w:val="00826EF5"/>
    <w:rsid w:val="00831693"/>
    <w:rsid w:val="00840104"/>
    <w:rsid w:val="00841FC5"/>
    <w:rsid w:val="00845709"/>
    <w:rsid w:val="00855100"/>
    <w:rsid w:val="008566F8"/>
    <w:rsid w:val="008576BD"/>
    <w:rsid w:val="00860463"/>
    <w:rsid w:val="00865294"/>
    <w:rsid w:val="008733DA"/>
    <w:rsid w:val="00873DBE"/>
    <w:rsid w:val="00874DE0"/>
    <w:rsid w:val="00877DC2"/>
    <w:rsid w:val="008850E4"/>
    <w:rsid w:val="00894A6E"/>
    <w:rsid w:val="008A12F5"/>
    <w:rsid w:val="008A288A"/>
    <w:rsid w:val="008B1587"/>
    <w:rsid w:val="008B1B01"/>
    <w:rsid w:val="008B3BCD"/>
    <w:rsid w:val="008B4530"/>
    <w:rsid w:val="008B4841"/>
    <w:rsid w:val="008B6DF8"/>
    <w:rsid w:val="008C106C"/>
    <w:rsid w:val="008C10F1"/>
    <w:rsid w:val="008C1E99"/>
    <w:rsid w:val="008C5CC6"/>
    <w:rsid w:val="008D109A"/>
    <w:rsid w:val="008D699C"/>
    <w:rsid w:val="008E0085"/>
    <w:rsid w:val="008E2541"/>
    <w:rsid w:val="008E2AA6"/>
    <w:rsid w:val="008E311B"/>
    <w:rsid w:val="008F32FC"/>
    <w:rsid w:val="008F46E7"/>
    <w:rsid w:val="008F6F0B"/>
    <w:rsid w:val="0090432B"/>
    <w:rsid w:val="00907BA7"/>
    <w:rsid w:val="0091064E"/>
    <w:rsid w:val="00911FC5"/>
    <w:rsid w:val="00931A10"/>
    <w:rsid w:val="009477D5"/>
    <w:rsid w:val="00947967"/>
    <w:rsid w:val="00965200"/>
    <w:rsid w:val="009668B3"/>
    <w:rsid w:val="00971471"/>
    <w:rsid w:val="009849C2"/>
    <w:rsid w:val="00984D24"/>
    <w:rsid w:val="009858EB"/>
    <w:rsid w:val="0099756F"/>
    <w:rsid w:val="009B0046"/>
    <w:rsid w:val="009B600C"/>
    <w:rsid w:val="009C1440"/>
    <w:rsid w:val="009C2107"/>
    <w:rsid w:val="009C5D9E"/>
    <w:rsid w:val="009D2C3E"/>
    <w:rsid w:val="009E0625"/>
    <w:rsid w:val="009E1A65"/>
    <w:rsid w:val="009E3034"/>
    <w:rsid w:val="009E549F"/>
    <w:rsid w:val="009F28A8"/>
    <w:rsid w:val="009F473E"/>
    <w:rsid w:val="009F682A"/>
    <w:rsid w:val="00A022BE"/>
    <w:rsid w:val="00A15911"/>
    <w:rsid w:val="00A231D3"/>
    <w:rsid w:val="00A24C95"/>
    <w:rsid w:val="00A26094"/>
    <w:rsid w:val="00A301BF"/>
    <w:rsid w:val="00A302B2"/>
    <w:rsid w:val="00A31259"/>
    <w:rsid w:val="00A331B4"/>
    <w:rsid w:val="00A3484E"/>
    <w:rsid w:val="00A36ADA"/>
    <w:rsid w:val="00A438D8"/>
    <w:rsid w:val="00A46AF8"/>
    <w:rsid w:val="00A473F5"/>
    <w:rsid w:val="00A51F9D"/>
    <w:rsid w:val="00A5360D"/>
    <w:rsid w:val="00A5416A"/>
    <w:rsid w:val="00A639F4"/>
    <w:rsid w:val="00A7178C"/>
    <w:rsid w:val="00A81A32"/>
    <w:rsid w:val="00A835BD"/>
    <w:rsid w:val="00A97B15"/>
    <w:rsid w:val="00AA42D5"/>
    <w:rsid w:val="00AB2FAB"/>
    <w:rsid w:val="00AB5C14"/>
    <w:rsid w:val="00AC1EE7"/>
    <w:rsid w:val="00AC333F"/>
    <w:rsid w:val="00AC585C"/>
    <w:rsid w:val="00AC7723"/>
    <w:rsid w:val="00AD0EF3"/>
    <w:rsid w:val="00AD1925"/>
    <w:rsid w:val="00AE067D"/>
    <w:rsid w:val="00AE1257"/>
    <w:rsid w:val="00AF1181"/>
    <w:rsid w:val="00AF1D4D"/>
    <w:rsid w:val="00AF2F79"/>
    <w:rsid w:val="00AF4653"/>
    <w:rsid w:val="00AF7DB7"/>
    <w:rsid w:val="00B1114C"/>
    <w:rsid w:val="00B11451"/>
    <w:rsid w:val="00B3720E"/>
    <w:rsid w:val="00B443E4"/>
    <w:rsid w:val="00B563EA"/>
    <w:rsid w:val="00B60E51"/>
    <w:rsid w:val="00B63A54"/>
    <w:rsid w:val="00B77D18"/>
    <w:rsid w:val="00B8313A"/>
    <w:rsid w:val="00B83C6B"/>
    <w:rsid w:val="00B93503"/>
    <w:rsid w:val="00B95288"/>
    <w:rsid w:val="00BA31E8"/>
    <w:rsid w:val="00BA55E0"/>
    <w:rsid w:val="00BA6BD4"/>
    <w:rsid w:val="00BB2655"/>
    <w:rsid w:val="00BB3752"/>
    <w:rsid w:val="00BB6688"/>
    <w:rsid w:val="00BC26D4"/>
    <w:rsid w:val="00BC64F2"/>
    <w:rsid w:val="00BD7D5D"/>
    <w:rsid w:val="00BE0E6C"/>
    <w:rsid w:val="00BF2A42"/>
    <w:rsid w:val="00C006BD"/>
    <w:rsid w:val="00C01122"/>
    <w:rsid w:val="00C03D8C"/>
    <w:rsid w:val="00C055EC"/>
    <w:rsid w:val="00C10DC9"/>
    <w:rsid w:val="00C12FB3"/>
    <w:rsid w:val="00C17341"/>
    <w:rsid w:val="00C24EEF"/>
    <w:rsid w:val="00C25CF6"/>
    <w:rsid w:val="00C26C36"/>
    <w:rsid w:val="00C27CAB"/>
    <w:rsid w:val="00C32768"/>
    <w:rsid w:val="00C36637"/>
    <w:rsid w:val="00C431DF"/>
    <w:rsid w:val="00C456BD"/>
    <w:rsid w:val="00C530DC"/>
    <w:rsid w:val="00C5350D"/>
    <w:rsid w:val="00C6123C"/>
    <w:rsid w:val="00C6332F"/>
    <w:rsid w:val="00C64D52"/>
    <w:rsid w:val="00C7084D"/>
    <w:rsid w:val="00C70A0E"/>
    <w:rsid w:val="00C7315E"/>
    <w:rsid w:val="00C75895"/>
    <w:rsid w:val="00C83C9F"/>
    <w:rsid w:val="00C847E7"/>
    <w:rsid w:val="00C86866"/>
    <w:rsid w:val="00C94840"/>
    <w:rsid w:val="00CA6AC8"/>
    <w:rsid w:val="00CA6C6C"/>
    <w:rsid w:val="00CB027F"/>
    <w:rsid w:val="00CB0CDA"/>
    <w:rsid w:val="00CB1040"/>
    <w:rsid w:val="00CC6297"/>
    <w:rsid w:val="00CC7690"/>
    <w:rsid w:val="00CD182D"/>
    <w:rsid w:val="00CD1986"/>
    <w:rsid w:val="00CD25E6"/>
    <w:rsid w:val="00CE266D"/>
    <w:rsid w:val="00CE4D5C"/>
    <w:rsid w:val="00CF05DA"/>
    <w:rsid w:val="00CF3F91"/>
    <w:rsid w:val="00CF58EB"/>
    <w:rsid w:val="00CF7EA7"/>
    <w:rsid w:val="00D0106E"/>
    <w:rsid w:val="00D06383"/>
    <w:rsid w:val="00D20E85"/>
    <w:rsid w:val="00D2316D"/>
    <w:rsid w:val="00D24615"/>
    <w:rsid w:val="00D261C9"/>
    <w:rsid w:val="00D27557"/>
    <w:rsid w:val="00D34248"/>
    <w:rsid w:val="00D37842"/>
    <w:rsid w:val="00D42DC2"/>
    <w:rsid w:val="00D47844"/>
    <w:rsid w:val="00D537E1"/>
    <w:rsid w:val="00D55BB2"/>
    <w:rsid w:val="00D6091A"/>
    <w:rsid w:val="00D6695F"/>
    <w:rsid w:val="00D75644"/>
    <w:rsid w:val="00D81656"/>
    <w:rsid w:val="00D83D87"/>
    <w:rsid w:val="00D86A30"/>
    <w:rsid w:val="00D874B7"/>
    <w:rsid w:val="00D97CB4"/>
    <w:rsid w:val="00D97DD4"/>
    <w:rsid w:val="00DA5A8A"/>
    <w:rsid w:val="00DB26CD"/>
    <w:rsid w:val="00DB3135"/>
    <w:rsid w:val="00DB441C"/>
    <w:rsid w:val="00DB44AF"/>
    <w:rsid w:val="00DB680D"/>
    <w:rsid w:val="00DC1F58"/>
    <w:rsid w:val="00DC339B"/>
    <w:rsid w:val="00DC4E43"/>
    <w:rsid w:val="00DC5D40"/>
    <w:rsid w:val="00DD30E9"/>
    <w:rsid w:val="00DD4F47"/>
    <w:rsid w:val="00DD624E"/>
    <w:rsid w:val="00DD7FBB"/>
    <w:rsid w:val="00DE0B9F"/>
    <w:rsid w:val="00DE4238"/>
    <w:rsid w:val="00DE42B9"/>
    <w:rsid w:val="00DE657F"/>
    <w:rsid w:val="00DF1218"/>
    <w:rsid w:val="00DF6462"/>
    <w:rsid w:val="00E0110E"/>
    <w:rsid w:val="00E02FA0"/>
    <w:rsid w:val="00E036DC"/>
    <w:rsid w:val="00E10454"/>
    <w:rsid w:val="00E112E5"/>
    <w:rsid w:val="00E15DB5"/>
    <w:rsid w:val="00E21CC7"/>
    <w:rsid w:val="00E24D9E"/>
    <w:rsid w:val="00E25849"/>
    <w:rsid w:val="00E30BEA"/>
    <w:rsid w:val="00E3197E"/>
    <w:rsid w:val="00E342F8"/>
    <w:rsid w:val="00E351ED"/>
    <w:rsid w:val="00E6034B"/>
    <w:rsid w:val="00E6549E"/>
    <w:rsid w:val="00E65EDE"/>
    <w:rsid w:val="00E70F81"/>
    <w:rsid w:val="00E73D68"/>
    <w:rsid w:val="00E77055"/>
    <w:rsid w:val="00E77460"/>
    <w:rsid w:val="00E8179B"/>
    <w:rsid w:val="00E82FF1"/>
    <w:rsid w:val="00E83ABC"/>
    <w:rsid w:val="00E844F2"/>
    <w:rsid w:val="00E92FCB"/>
    <w:rsid w:val="00EA147F"/>
    <w:rsid w:val="00EB35EF"/>
    <w:rsid w:val="00ED03AB"/>
    <w:rsid w:val="00ED0CAC"/>
    <w:rsid w:val="00ED1CD4"/>
    <w:rsid w:val="00ED1D2B"/>
    <w:rsid w:val="00ED5A8D"/>
    <w:rsid w:val="00ED64B5"/>
    <w:rsid w:val="00EE7CCA"/>
    <w:rsid w:val="00F05FFA"/>
    <w:rsid w:val="00F16A14"/>
    <w:rsid w:val="00F20863"/>
    <w:rsid w:val="00F231DC"/>
    <w:rsid w:val="00F2752B"/>
    <w:rsid w:val="00F362D7"/>
    <w:rsid w:val="00F37D7B"/>
    <w:rsid w:val="00F5314C"/>
    <w:rsid w:val="00F62CEB"/>
    <w:rsid w:val="00F634F5"/>
    <w:rsid w:val="00F635DD"/>
    <w:rsid w:val="00F6627B"/>
    <w:rsid w:val="00F734F2"/>
    <w:rsid w:val="00F75052"/>
    <w:rsid w:val="00F804D3"/>
    <w:rsid w:val="00F81CD2"/>
    <w:rsid w:val="00F82641"/>
    <w:rsid w:val="00F8521C"/>
    <w:rsid w:val="00F90F18"/>
    <w:rsid w:val="00F937E4"/>
    <w:rsid w:val="00F95EE7"/>
    <w:rsid w:val="00FA286B"/>
    <w:rsid w:val="00FA39E6"/>
    <w:rsid w:val="00FA7BC9"/>
    <w:rsid w:val="00FB378E"/>
    <w:rsid w:val="00FB37F1"/>
    <w:rsid w:val="00FB47C0"/>
    <w:rsid w:val="00FB501B"/>
    <w:rsid w:val="00FB7770"/>
    <w:rsid w:val="00FC0135"/>
    <w:rsid w:val="00FD3B91"/>
    <w:rsid w:val="00FD576B"/>
    <w:rsid w:val="00FD579E"/>
    <w:rsid w:val="00FE17B7"/>
    <w:rsid w:val="00FE3E6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B5340DEC-19DB-4856-A2B0-8851A44E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iPriority w:val="99"/>
    <w:unhideWhenUsed/>
    <w:rsid w:val="00FC0135"/>
    <w:pPr>
      <w:snapToGrid w:val="0"/>
      <w:jc w:val="left"/>
    </w:pPr>
    <w:rPr>
      <w:sz w:val="20"/>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FC0135"/>
    <w:rPr>
      <w:rFonts w:ascii="標楷體" w:eastAsia="標楷體"/>
      <w:kern w:val="2"/>
    </w:rPr>
  </w:style>
  <w:style w:type="character" w:styleId="afc">
    <w:name w:val="footnote reference"/>
    <w:basedOn w:val="a7"/>
    <w:uiPriority w:val="99"/>
    <w:unhideWhenUsed/>
    <w:rsid w:val="00FC0135"/>
    <w:rPr>
      <w:vertAlign w:val="superscript"/>
    </w:rPr>
  </w:style>
  <w:style w:type="character" w:customStyle="1" w:styleId="30">
    <w:name w:val="標題 3 字元"/>
    <w:basedOn w:val="a7"/>
    <w:link w:val="3"/>
    <w:rsid w:val="00A7178C"/>
    <w:rPr>
      <w:rFonts w:ascii="標楷體" w:eastAsia="標楷體" w:hAnsi="Arial"/>
      <w:bCs/>
      <w:kern w:val="32"/>
      <w:sz w:val="32"/>
      <w:szCs w:val="36"/>
    </w:rPr>
  </w:style>
  <w:style w:type="character" w:customStyle="1" w:styleId="40">
    <w:name w:val="標題 4 字元"/>
    <w:aliases w:val="表格 字元"/>
    <w:basedOn w:val="a7"/>
    <w:link w:val="4"/>
    <w:rsid w:val="00C64D52"/>
    <w:rPr>
      <w:rFonts w:ascii="標楷體" w:eastAsia="標楷體" w:hAnsi="Arial"/>
      <w:kern w:val="32"/>
      <w:sz w:val="32"/>
      <w:szCs w:val="36"/>
    </w:rPr>
  </w:style>
  <w:style w:type="paragraph" w:styleId="afd">
    <w:name w:val="Date"/>
    <w:basedOn w:val="a6"/>
    <w:next w:val="a6"/>
    <w:link w:val="afe"/>
    <w:uiPriority w:val="99"/>
    <w:semiHidden/>
    <w:unhideWhenUsed/>
    <w:rsid w:val="00DB680D"/>
    <w:pPr>
      <w:jc w:val="right"/>
    </w:pPr>
  </w:style>
  <w:style w:type="character" w:customStyle="1" w:styleId="afe">
    <w:name w:val="日期 字元"/>
    <w:basedOn w:val="a7"/>
    <w:link w:val="afd"/>
    <w:uiPriority w:val="99"/>
    <w:semiHidden/>
    <w:rsid w:val="00DB680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9531-B554-4D2A-BEB5-40790D86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15</Pages>
  <Words>1432</Words>
  <Characters>8168</Characters>
  <Application>Microsoft Office Word</Application>
  <DocSecurity>0</DocSecurity>
  <Lines>68</Lines>
  <Paragraphs>19</Paragraphs>
  <ScaleCrop>false</ScaleCrop>
  <Company>cy</Company>
  <LinksUpToDate>false</LinksUpToDate>
  <CharactersWithSpaces>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謝琦瑛</cp:lastModifiedBy>
  <cp:revision>2</cp:revision>
  <cp:lastPrinted>2018-04-03T07:46:00Z</cp:lastPrinted>
  <dcterms:created xsi:type="dcterms:W3CDTF">2019-05-23T02:14:00Z</dcterms:created>
  <dcterms:modified xsi:type="dcterms:W3CDTF">2019-05-23T02:14:00Z</dcterms:modified>
</cp:coreProperties>
</file>