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C82AC7">
        <w:rPr>
          <w:rFonts w:hint="eastAsia"/>
        </w:rPr>
        <w:t>意見</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34C89">
        <w:rPr>
          <w:rFonts w:hint="eastAsia"/>
          <w:b/>
        </w:rPr>
        <w:t>案　　由：</w:t>
      </w:r>
      <w:bookmarkEnd w:id="0"/>
      <w:bookmarkEnd w:id="1"/>
      <w:bookmarkEnd w:id="2"/>
      <w:bookmarkEnd w:id="3"/>
      <w:bookmarkEnd w:id="4"/>
      <w:bookmarkEnd w:id="5"/>
      <w:bookmarkEnd w:id="6"/>
      <w:bookmarkEnd w:id="7"/>
      <w:bookmarkEnd w:id="8"/>
      <w:bookmarkEnd w:id="9"/>
      <w:r w:rsidR="00D2226B" w:rsidRPr="00D2226B">
        <w:t>有關行政院農業委員會漁業署輔導養殖漁業改善養殖環境與提升水產品質，惟漁業權劃設、陸上魚塭設置等未臻妥適等情案。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F6710" w:rsidRDefault="00F1396F" w:rsidP="00A639F4">
      <w:pPr>
        <w:pStyle w:val="10"/>
        <w:ind w:left="680" w:firstLine="680"/>
      </w:pPr>
      <w:bookmarkStart w:id="25" w:name="_Toc524902730"/>
      <w:r w:rsidRPr="00F1396F">
        <w:rPr>
          <w:rFonts w:hint="eastAsia"/>
        </w:rPr>
        <w:t>本案係民國（下同）106年10月11日本院財政及經濟委員會第5屆第43次會議審查「審計部106年度辦理『行政院農業委員會漁業署輔導養殖漁業改善養殖環境與提升水產品質，惟漁業權劃設、陸上魚塭設置等未臻妥適」等情案』審核意見」一項，</w:t>
      </w:r>
      <w:r w:rsidRPr="00811634">
        <w:rPr>
          <w:rFonts w:hint="eastAsia"/>
          <w:color w:val="000000" w:themeColor="text1"/>
        </w:rPr>
        <w:t>推請</w:t>
      </w:r>
      <w:r w:rsidR="003A7440" w:rsidRPr="00811634">
        <w:rPr>
          <w:rFonts w:hint="eastAsia"/>
          <w:color w:val="000000" w:themeColor="text1"/>
        </w:rPr>
        <w:t>陳小紅、方萬富及林雅鋒三位</w:t>
      </w:r>
      <w:r w:rsidRPr="00811634">
        <w:rPr>
          <w:rFonts w:hint="eastAsia"/>
          <w:color w:val="000000" w:themeColor="text1"/>
        </w:rPr>
        <w:t>委員調查。案經函請行政院農業委員會（下稱農委會）、臺南市政府、嘉義縣政府、雲林縣政府、交通部航港局、臺灣港務股份有限公司、</w:t>
      </w:r>
      <w:r w:rsidRPr="00F1396F">
        <w:rPr>
          <w:rFonts w:hint="eastAsia"/>
        </w:rPr>
        <w:t>經濟部工業局相關機關說明及調閱相關卷證，並於107年2月1日前往臺南市瞭解牡蠣浮筏式養殖、北門地區虱目魚及學甲地區臺灣鯛養殖現況；</w:t>
      </w:r>
      <w:r>
        <w:rPr>
          <w:rFonts w:hint="eastAsia"/>
        </w:rPr>
        <w:t>復於</w:t>
      </w:r>
      <w:r w:rsidRPr="00F1396F">
        <w:rPr>
          <w:rFonts w:hint="eastAsia"/>
        </w:rPr>
        <w:t>107年2月26日前往宜蘭縣礁溪鄉及冬山鄉瞭解白蝦及香魚養殖現況。嗣於10</w:t>
      </w:r>
      <w:r w:rsidRPr="00EA7254">
        <w:rPr>
          <w:rFonts w:hint="eastAsia"/>
        </w:rPr>
        <w:t>7年3月12日由農委會副主任委員黃金城率該會漁業署</w:t>
      </w:r>
      <w:r w:rsidR="00235924" w:rsidRPr="00EA7254">
        <w:rPr>
          <w:rFonts w:hint="eastAsia"/>
        </w:rPr>
        <w:t>(下稱漁業署)</w:t>
      </w:r>
      <w:r w:rsidRPr="00EA7254">
        <w:rPr>
          <w:rFonts w:hint="eastAsia"/>
        </w:rPr>
        <w:t>副</w:t>
      </w:r>
      <w:r w:rsidRPr="00F1396F">
        <w:rPr>
          <w:rFonts w:hint="eastAsia"/>
        </w:rPr>
        <w:t>署長林國平及相關人員、嘉義縣政府農業處處長林良懋及相關人員、雲林縣政府農業處</w:t>
      </w:r>
      <w:r w:rsidR="00E5022F">
        <w:rPr>
          <w:rFonts w:hint="eastAsia"/>
        </w:rPr>
        <w:t>處</w:t>
      </w:r>
      <w:r w:rsidRPr="00F1396F">
        <w:rPr>
          <w:rFonts w:hint="eastAsia"/>
        </w:rPr>
        <w:t>長林慧如及相關人員、交通部航港局副局長劉志鴻及相關人員、臺灣港務股份有限公司執行副總經理陳劭良及相關人員、經濟部工業局副局長游振偉及相關人員到院說明，</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7A6E1D" w:rsidRPr="00FA39DC" w:rsidRDefault="007A6E1D" w:rsidP="007A6E1D">
      <w:pPr>
        <w:pStyle w:val="2"/>
        <w:rPr>
          <w:b/>
          <w:color w:val="000000" w:themeColor="text1"/>
        </w:rPr>
      </w:pPr>
      <w:r w:rsidRPr="00FA39DC">
        <w:rPr>
          <w:rFonts w:hint="eastAsia"/>
          <w:b/>
          <w:color w:val="000000" w:themeColor="text1"/>
        </w:rPr>
        <w:t>我國西部沿海之浮筏式牡蠣養殖近5成未依法納管，其中雲林縣計1,350棚，因位於工業區範圍內，目前土地使用雖尚符合規定，惟迄未依</w:t>
      </w:r>
      <w:r w:rsidR="00DD1489" w:rsidRPr="00FA39DC">
        <w:rPr>
          <w:rFonts w:hAnsi="標楷體" w:hint="eastAsia"/>
          <w:b/>
          <w:color w:val="000000" w:themeColor="text1"/>
        </w:rPr>
        <w:t>「</w:t>
      </w:r>
      <w:r w:rsidRPr="00FA39DC">
        <w:rPr>
          <w:rFonts w:hint="eastAsia"/>
          <w:b/>
          <w:color w:val="000000" w:themeColor="text1"/>
        </w:rPr>
        <w:t>漁業法</w:t>
      </w:r>
      <w:r w:rsidR="00DD1489" w:rsidRPr="00FA39DC">
        <w:rPr>
          <w:rFonts w:hAnsi="標楷體" w:hint="eastAsia"/>
          <w:b/>
          <w:color w:val="000000" w:themeColor="text1"/>
        </w:rPr>
        <w:t>」</w:t>
      </w:r>
      <w:r w:rsidRPr="00FA39DC">
        <w:rPr>
          <w:rFonts w:hint="eastAsia"/>
          <w:b/>
          <w:color w:val="000000" w:themeColor="text1"/>
        </w:rPr>
        <w:t>相關規定納管，</w:t>
      </w:r>
      <w:r w:rsidR="00DD1489" w:rsidRPr="00FA39DC">
        <w:rPr>
          <w:rFonts w:hint="eastAsia"/>
          <w:b/>
          <w:color w:val="000000" w:themeColor="text1"/>
        </w:rPr>
        <w:t>而</w:t>
      </w:r>
      <w:r w:rsidRPr="00FA39DC">
        <w:rPr>
          <w:rFonts w:hint="eastAsia"/>
          <w:b/>
          <w:color w:val="000000" w:themeColor="text1"/>
        </w:rPr>
        <w:t>經濟部工業局對於雲林縣政府提出有關工業區之開發期程先行公告周知之訴求，未能明確允</w:t>
      </w:r>
      <w:r w:rsidR="00212B65">
        <w:rPr>
          <w:rFonts w:hint="eastAsia"/>
          <w:b/>
          <w:color w:val="000000" w:themeColor="text1"/>
        </w:rPr>
        <w:t>否</w:t>
      </w:r>
      <w:r w:rsidRPr="00FA39DC">
        <w:rPr>
          <w:rFonts w:hint="eastAsia"/>
          <w:b/>
          <w:color w:val="000000" w:themeColor="text1"/>
        </w:rPr>
        <w:t>；另嘉義縣內全數9,709棚浮筏式牡蠣養殖均未納管，</w:t>
      </w:r>
      <w:r w:rsidRPr="00FA39DC">
        <w:rPr>
          <w:rFonts w:hint="eastAsia"/>
          <w:b/>
          <w:color w:val="000000" w:themeColor="text1"/>
        </w:rPr>
        <w:lastRenderedPageBreak/>
        <w:t>癥結在於嘉義縣政府堅持應以專用漁業權納管，惟農委會認為前已協助劃定45區劃漁業權區，故應續以區劃漁業權納管；且位於布袋商港</w:t>
      </w:r>
      <w:r w:rsidR="00212B65">
        <w:rPr>
          <w:rFonts w:hint="eastAsia"/>
          <w:b/>
          <w:color w:val="000000" w:themeColor="text1"/>
        </w:rPr>
        <w:t>區</w:t>
      </w:r>
      <w:r w:rsidRPr="00FA39DC">
        <w:rPr>
          <w:rFonts w:hint="eastAsia"/>
          <w:b/>
          <w:color w:val="000000" w:themeColor="text1"/>
        </w:rPr>
        <w:t>內之牡蠣養殖，交通部商港局表明違反</w:t>
      </w:r>
      <w:r w:rsidR="00DD1489" w:rsidRPr="00FA39DC">
        <w:rPr>
          <w:rFonts w:hAnsi="標楷體" w:hint="eastAsia"/>
          <w:b/>
          <w:color w:val="000000" w:themeColor="text1"/>
        </w:rPr>
        <w:t>「</w:t>
      </w:r>
      <w:r w:rsidRPr="00FA39DC">
        <w:rPr>
          <w:rFonts w:hint="eastAsia"/>
          <w:b/>
          <w:color w:val="000000" w:themeColor="text1"/>
        </w:rPr>
        <w:t>商港法</w:t>
      </w:r>
      <w:r w:rsidR="00DD1489" w:rsidRPr="00FA39DC">
        <w:rPr>
          <w:rFonts w:hAnsi="標楷體" w:hint="eastAsia"/>
          <w:b/>
          <w:color w:val="000000" w:themeColor="text1"/>
        </w:rPr>
        <w:t>」</w:t>
      </w:r>
      <w:r w:rsidRPr="00FA39DC">
        <w:rPr>
          <w:rFonts w:hint="eastAsia"/>
          <w:b/>
          <w:color w:val="000000" w:themeColor="text1"/>
        </w:rPr>
        <w:t>相關規定，建請嘉義縣政府輔導漁民移至適合養殖區域，惟嘉義縣政府僅能消極宣導，未採積極應變措施。是上開問題，凸顯農委會、經濟部工業局等中央主管機關，各囿於本位</w:t>
      </w:r>
      <w:r w:rsidR="00DD1489" w:rsidRPr="00FA39DC">
        <w:rPr>
          <w:rFonts w:hint="eastAsia"/>
          <w:b/>
          <w:color w:val="000000" w:themeColor="text1"/>
        </w:rPr>
        <w:t>思維</w:t>
      </w:r>
      <w:r w:rsidRPr="00FA39DC">
        <w:rPr>
          <w:rFonts w:hint="eastAsia"/>
          <w:b/>
          <w:color w:val="000000" w:themeColor="text1"/>
        </w:rPr>
        <w:t>，欠缺積極橫向聯繫解決問題</w:t>
      </w:r>
      <w:r w:rsidR="00DD1489" w:rsidRPr="00FA39DC">
        <w:rPr>
          <w:rFonts w:hint="eastAsia"/>
          <w:b/>
          <w:color w:val="000000" w:themeColor="text1"/>
        </w:rPr>
        <w:t>意</w:t>
      </w:r>
      <w:r w:rsidR="002B41CB">
        <w:rPr>
          <w:rFonts w:hint="eastAsia"/>
          <w:b/>
          <w:color w:val="000000" w:themeColor="text1"/>
        </w:rPr>
        <w:t>志</w:t>
      </w:r>
      <w:r w:rsidRPr="00FA39DC">
        <w:rPr>
          <w:rFonts w:hint="eastAsia"/>
          <w:b/>
          <w:color w:val="000000" w:themeColor="text1"/>
        </w:rPr>
        <w:t>，且</w:t>
      </w:r>
      <w:r w:rsidR="00DD1489" w:rsidRPr="00FA39DC">
        <w:rPr>
          <w:rFonts w:hint="eastAsia"/>
          <w:b/>
          <w:color w:val="000000" w:themeColor="text1"/>
        </w:rPr>
        <w:t>農委會</w:t>
      </w:r>
      <w:r w:rsidRPr="00FA39DC">
        <w:rPr>
          <w:rFonts w:hint="eastAsia"/>
          <w:b/>
          <w:color w:val="000000" w:themeColor="text1"/>
        </w:rPr>
        <w:t>與雲林縣政府及嘉義縣政府協調未妥，意見分歧</w:t>
      </w:r>
      <w:r w:rsidR="00DD1489" w:rsidRPr="00FA39DC">
        <w:rPr>
          <w:rFonts w:hint="eastAsia"/>
          <w:b/>
          <w:color w:val="000000" w:themeColor="text1"/>
        </w:rPr>
        <w:t>、</w:t>
      </w:r>
      <w:r w:rsidRPr="00FA39DC">
        <w:rPr>
          <w:rFonts w:hint="eastAsia"/>
          <w:b/>
          <w:color w:val="000000" w:themeColor="text1"/>
        </w:rPr>
        <w:t>缺乏共識，致長期延宕納管作業，均亟待檢討改善，其中嘉義縣未納管情節嚴重，核有怠失。</w:t>
      </w:r>
    </w:p>
    <w:p w:rsidR="003A5927" w:rsidRPr="00156AB2" w:rsidRDefault="005D21C5" w:rsidP="00C86961">
      <w:pPr>
        <w:pStyle w:val="3"/>
        <w:rPr>
          <w:color w:val="000000" w:themeColor="text1"/>
        </w:rPr>
      </w:pPr>
      <w:r w:rsidRPr="00D32F84">
        <w:rPr>
          <w:rFonts w:hint="eastAsia"/>
        </w:rPr>
        <w:t>按</w:t>
      </w:r>
      <w:r w:rsidR="00B709E6" w:rsidRPr="00E45CAB">
        <w:rPr>
          <w:rFonts w:hAnsi="標楷體" w:hint="eastAsia"/>
          <w:color w:val="000000" w:themeColor="text1"/>
        </w:rPr>
        <w:t>「</w:t>
      </w:r>
      <w:r w:rsidRPr="00E45CAB">
        <w:rPr>
          <w:rFonts w:hint="eastAsia"/>
          <w:color w:val="000000" w:themeColor="text1"/>
        </w:rPr>
        <w:t>漁業法</w:t>
      </w:r>
      <w:r w:rsidR="00B709E6" w:rsidRPr="00E45CAB">
        <w:rPr>
          <w:rFonts w:hAnsi="標楷體" w:hint="eastAsia"/>
          <w:color w:val="000000" w:themeColor="text1"/>
        </w:rPr>
        <w:t>」</w:t>
      </w:r>
      <w:r w:rsidRPr="00E45CAB">
        <w:rPr>
          <w:rFonts w:hint="eastAsia"/>
          <w:color w:val="000000" w:themeColor="text1"/>
        </w:rPr>
        <w:t>第15條規定：「(第1項)本法所稱漁業權如左：一、定</w:t>
      </w:r>
      <w:r w:rsidRPr="00D32F84">
        <w:rPr>
          <w:rFonts w:hint="eastAsia"/>
        </w:rPr>
        <w:t>置漁業權：係指於一定水域，築磯、設柵或設置漁具，以經營採捕水產動物之權。二、區劃漁業權</w:t>
      </w:r>
      <w:r w:rsidRPr="00156AB2">
        <w:rPr>
          <w:rFonts w:hint="eastAsia"/>
          <w:color w:val="000000" w:themeColor="text1"/>
        </w:rPr>
        <w:t>：係指區劃一定水域，以經營養殖水產動植物之權。</w:t>
      </w:r>
      <w:r w:rsidR="000B60FD" w:rsidRPr="00156AB2">
        <w:rPr>
          <w:rFonts w:hint="eastAsia"/>
          <w:color w:val="000000" w:themeColor="text1"/>
        </w:rPr>
        <w:t>三、</w:t>
      </w:r>
      <w:r w:rsidRPr="00156AB2">
        <w:rPr>
          <w:rFonts w:hint="eastAsia"/>
          <w:color w:val="000000" w:themeColor="text1"/>
        </w:rPr>
        <w:t>專用漁業權：係指利用一定水域，形成漁場，供入漁權人入</w:t>
      </w:r>
      <w:r w:rsidRPr="00D32F84">
        <w:rPr>
          <w:rFonts w:hint="eastAsia"/>
        </w:rPr>
        <w:t>漁，以經營左列漁業之權：(一)採捕水產動植物之漁業。(二)養殖水產動植物之漁業。以固定漁具在水深二十五公尺以內，採捕水產動物之漁業。前項</w:t>
      </w:r>
      <w:r w:rsidR="00D94243" w:rsidRPr="00D94243">
        <w:rPr>
          <w:rFonts w:hint="eastAsia"/>
        </w:rPr>
        <w:t>(第2項)</w:t>
      </w:r>
      <w:r w:rsidRPr="00D32F84">
        <w:rPr>
          <w:rFonts w:hint="eastAsia"/>
        </w:rPr>
        <w:t>專用漁業權之申請人，以漁會或漁業生產合作社為限。」</w:t>
      </w:r>
      <w:r w:rsidR="00605601" w:rsidRPr="00D32F84">
        <w:rPr>
          <w:rFonts w:hint="eastAsia"/>
        </w:rPr>
        <w:t>同法第21條</w:t>
      </w:r>
      <w:r w:rsidR="00972476" w:rsidRPr="00D32F84">
        <w:rPr>
          <w:rFonts w:hint="eastAsia"/>
        </w:rPr>
        <w:t>第1項規定</w:t>
      </w:r>
      <w:r w:rsidR="008171EC">
        <w:rPr>
          <w:rFonts w:hAnsi="標楷體" w:hint="eastAsia"/>
        </w:rPr>
        <w:t>：「</w:t>
      </w:r>
      <w:r w:rsidR="00972476" w:rsidRPr="00D32F84">
        <w:rPr>
          <w:rFonts w:hint="eastAsia"/>
        </w:rPr>
        <w:t>漁業權之設定、取得、變更及喪失，非經登記不生效力。</w:t>
      </w:r>
      <w:r w:rsidR="008171EC">
        <w:rPr>
          <w:rFonts w:hAnsi="標楷體" w:hint="eastAsia"/>
        </w:rPr>
        <w:t>」</w:t>
      </w:r>
      <w:r w:rsidR="008171EC">
        <w:rPr>
          <w:rFonts w:hint="eastAsia"/>
        </w:rPr>
        <w:t>又</w:t>
      </w:r>
      <w:r w:rsidR="00B709E6">
        <w:rPr>
          <w:rFonts w:hAnsi="標楷體" w:hint="eastAsia"/>
          <w:color w:val="7030A0"/>
        </w:rPr>
        <w:t>「</w:t>
      </w:r>
      <w:r w:rsidR="00972476" w:rsidRPr="00D32F84">
        <w:rPr>
          <w:rFonts w:hint="eastAsia"/>
        </w:rPr>
        <w:t>漁業法施行細則</w:t>
      </w:r>
      <w:r w:rsidR="00656A98" w:rsidRPr="00656A98">
        <w:rPr>
          <w:rFonts w:hAnsi="標楷體" w:hint="eastAsia"/>
          <w:color w:val="7030A0"/>
        </w:rPr>
        <w:t>」</w:t>
      </w:r>
      <w:r w:rsidR="00C86961" w:rsidRPr="00D32F84">
        <w:rPr>
          <w:rFonts w:hint="eastAsia"/>
        </w:rPr>
        <w:t>第7條規定</w:t>
      </w:r>
      <w:r w:rsidR="008171EC">
        <w:rPr>
          <w:rFonts w:hAnsi="標楷體" w:hint="eastAsia"/>
        </w:rPr>
        <w:t>：「</w:t>
      </w:r>
      <w:r w:rsidR="00C86961" w:rsidRPr="00D32F84">
        <w:rPr>
          <w:rFonts w:hint="eastAsia"/>
        </w:rPr>
        <w:t>中央主管機關負有核發專用漁業權漁業之證照及管理權責，而直轄市主管機關、縣(市)主管機關</w:t>
      </w:r>
      <w:r w:rsidR="005D5045" w:rsidRPr="00D32F84">
        <w:rPr>
          <w:rFonts w:hint="eastAsia"/>
        </w:rPr>
        <w:t>則係</w:t>
      </w:r>
      <w:r w:rsidR="00C86961" w:rsidRPr="00D32F84">
        <w:rPr>
          <w:rFonts w:hint="eastAsia"/>
        </w:rPr>
        <w:t>對於轄內之定置、區劃漁業權漁業，負有核發證照及管理權責。</w:t>
      </w:r>
      <w:r w:rsidR="008171EC">
        <w:rPr>
          <w:rFonts w:hAnsi="標楷體" w:hint="eastAsia"/>
        </w:rPr>
        <w:t>」</w:t>
      </w:r>
      <w:r w:rsidR="00C86961" w:rsidRPr="00D32F84">
        <w:rPr>
          <w:rFonts w:hint="eastAsia"/>
        </w:rPr>
        <w:t>另</w:t>
      </w:r>
      <w:r w:rsidR="005E19F3">
        <w:rPr>
          <w:rFonts w:hint="eastAsia"/>
        </w:rPr>
        <w:t>漁業署</w:t>
      </w:r>
      <w:r w:rsidR="003070EB" w:rsidRPr="00D32F84">
        <w:rPr>
          <w:rFonts w:hint="eastAsia"/>
        </w:rPr>
        <w:t>依「農業天然災害救助辦法」相關規定辦理漁業天然災害查報及救助作業，並訂立「漁業天然災害災情查報及救助作業程序」</w:t>
      </w:r>
      <w:r w:rsidR="005D5045" w:rsidRPr="00D32F84">
        <w:rPr>
          <w:rFonts w:hint="eastAsia"/>
        </w:rPr>
        <w:t>，</w:t>
      </w:r>
      <w:r w:rsidR="003070EB" w:rsidRPr="00D32F84">
        <w:rPr>
          <w:rFonts w:hint="eastAsia"/>
        </w:rPr>
        <w:t>該作業程序第5點明</w:t>
      </w:r>
      <w:r w:rsidR="00C86961" w:rsidRPr="00D32F84">
        <w:rPr>
          <w:rFonts w:hint="eastAsia"/>
        </w:rPr>
        <w:t>定</w:t>
      </w:r>
      <w:r w:rsidR="003070EB" w:rsidRPr="00D32F84">
        <w:rPr>
          <w:rFonts w:hint="eastAsia"/>
        </w:rPr>
        <w:t>：「……救助對象，</w:t>
      </w:r>
      <w:r w:rsidR="003070EB" w:rsidRPr="00D32F84">
        <w:rPr>
          <w:rFonts w:hint="eastAsia"/>
        </w:rPr>
        <w:lastRenderedPageBreak/>
        <w:t>分以下4類：</w:t>
      </w:r>
      <w:r w:rsidR="00C86961" w:rsidRPr="00D32F84">
        <w:rPr>
          <w:rFonts w:hint="eastAsia"/>
        </w:rPr>
        <w:t>……</w:t>
      </w:r>
      <w:r w:rsidR="003070EB" w:rsidRPr="00D32F84">
        <w:rPr>
          <w:rFonts w:hint="eastAsia"/>
        </w:rPr>
        <w:t>(二)海上養殖部分：領有區劃漁業權執照或專用漁業權入漁證明文件，並於災害發生前已向養殖所在地鄉（鎮、市、區）公所申報放養資料之漁民。」</w:t>
      </w:r>
      <w:r w:rsidR="00C86961" w:rsidRPr="00156AB2">
        <w:rPr>
          <w:rFonts w:hint="eastAsia"/>
          <w:color w:val="000000" w:themeColor="text1"/>
        </w:rPr>
        <w:t>是</w:t>
      </w:r>
      <w:r w:rsidR="0018375E" w:rsidRPr="00156AB2">
        <w:rPr>
          <w:rFonts w:hint="eastAsia"/>
          <w:color w:val="000000" w:themeColor="text1"/>
        </w:rPr>
        <w:t>以</w:t>
      </w:r>
      <w:r w:rsidR="007D7BF6" w:rsidRPr="00156AB2">
        <w:rPr>
          <w:rFonts w:hint="eastAsia"/>
          <w:color w:val="000000" w:themeColor="text1"/>
        </w:rPr>
        <w:t>農委會對專用漁業權漁業負有核發執照及管理之責，而各直轄市、縣(市)政府則對轄內區劃漁業權漁業負有核發執照及管理之責</w:t>
      </w:r>
      <w:r w:rsidR="0095725C" w:rsidRPr="00156AB2">
        <w:rPr>
          <w:rFonts w:hint="eastAsia"/>
          <w:color w:val="000000" w:themeColor="text1"/>
        </w:rPr>
        <w:t>暨</w:t>
      </w:r>
      <w:r w:rsidR="007D7BF6" w:rsidRPr="00156AB2">
        <w:rPr>
          <w:rFonts w:hint="eastAsia"/>
          <w:color w:val="000000" w:themeColor="text1"/>
        </w:rPr>
        <w:t>區劃漁業權執照或專用漁業權入漁證明文件，使符合漁業天然災害災情救助資格。</w:t>
      </w:r>
    </w:p>
    <w:p w:rsidR="003A5927" w:rsidRDefault="007D7BF6" w:rsidP="00AD39BD">
      <w:pPr>
        <w:pStyle w:val="3"/>
      </w:pPr>
      <w:r>
        <w:rPr>
          <w:rFonts w:hint="eastAsia"/>
        </w:rPr>
        <w:t>農委</w:t>
      </w:r>
      <w:r w:rsidRPr="009D3B89">
        <w:rPr>
          <w:rFonts w:hint="eastAsia"/>
          <w:color w:val="000000" w:themeColor="text1"/>
        </w:rPr>
        <w:t>會105年漁業統計年報</w:t>
      </w:r>
      <w:r w:rsidR="003B37FF" w:rsidRPr="009D3B89">
        <w:rPr>
          <w:rFonts w:hint="eastAsia"/>
          <w:color w:val="000000" w:themeColor="text1"/>
        </w:rPr>
        <w:t>指出</w:t>
      </w:r>
      <w:r w:rsidRPr="009D3B89">
        <w:rPr>
          <w:rFonts w:hint="eastAsia"/>
          <w:color w:val="000000" w:themeColor="text1"/>
        </w:rPr>
        <w:t>，牡蠣養殖產量</w:t>
      </w:r>
      <w:r w:rsidR="00D32F84" w:rsidRPr="009D3B89">
        <w:rPr>
          <w:rFonts w:hint="eastAsia"/>
          <w:color w:val="000000" w:themeColor="text1"/>
        </w:rPr>
        <w:t>計</w:t>
      </w:r>
      <w:r w:rsidRPr="009D3B89">
        <w:rPr>
          <w:rFonts w:hint="eastAsia"/>
          <w:color w:val="000000" w:themeColor="text1"/>
        </w:rPr>
        <w:t>22,339公噸，</w:t>
      </w:r>
      <w:r w:rsidR="00D32F84" w:rsidRPr="009D3B89">
        <w:rPr>
          <w:rFonts w:hint="eastAsia"/>
          <w:color w:val="000000" w:themeColor="text1"/>
        </w:rPr>
        <w:t>產值達新臺幣(下同)46.51億元，為我國第10大養殖水產物之一，</w:t>
      </w:r>
      <w:r w:rsidR="00434ADB" w:rsidRPr="009D3B89">
        <w:rPr>
          <w:rFonts w:hint="eastAsia"/>
          <w:color w:val="000000" w:themeColor="text1"/>
        </w:rPr>
        <w:t>其主要養殖方式</w:t>
      </w:r>
      <w:r w:rsidR="003B37FF" w:rsidRPr="009D3B89">
        <w:rPr>
          <w:rFonts w:hint="eastAsia"/>
          <w:color w:val="000000" w:themeColor="text1"/>
        </w:rPr>
        <w:t>有</w:t>
      </w:r>
      <w:r w:rsidR="00434ADB" w:rsidRPr="009D3B89">
        <w:rPr>
          <w:rFonts w:hint="eastAsia"/>
          <w:color w:val="000000" w:themeColor="text1"/>
        </w:rPr>
        <w:t>平掛式、垂下式及浮筏式等，</w:t>
      </w:r>
      <w:r w:rsidR="004344B8" w:rsidRPr="009D3B89">
        <w:rPr>
          <w:rFonts w:hint="eastAsia"/>
          <w:color w:val="000000" w:themeColor="text1"/>
        </w:rPr>
        <w:t>其中雲林縣、嘉義縣及臺南市</w:t>
      </w:r>
      <w:r w:rsidR="00A422C0" w:rsidRPr="009D3B89">
        <w:rPr>
          <w:rFonts w:hint="eastAsia"/>
          <w:color w:val="000000" w:themeColor="text1"/>
        </w:rPr>
        <w:t>等</w:t>
      </w:r>
      <w:r w:rsidR="004344B8" w:rsidRPr="009D3B89">
        <w:rPr>
          <w:rFonts w:hint="eastAsia"/>
          <w:color w:val="000000" w:themeColor="text1"/>
        </w:rPr>
        <w:t>多採浮筏式養殖</w:t>
      </w:r>
      <w:r w:rsidR="005B33D9" w:rsidRPr="009D3B89">
        <w:rPr>
          <w:rFonts w:hint="eastAsia"/>
          <w:color w:val="000000" w:themeColor="text1"/>
        </w:rPr>
        <w:t>；</w:t>
      </w:r>
      <w:r w:rsidR="004344B8" w:rsidRPr="009D3B89">
        <w:rPr>
          <w:rFonts w:hint="eastAsia"/>
          <w:color w:val="000000" w:themeColor="text1"/>
        </w:rPr>
        <w:t>惟據審計部</w:t>
      </w:r>
      <w:r w:rsidR="003070EB" w:rsidRPr="009D3B89">
        <w:rPr>
          <w:rFonts w:hint="eastAsia"/>
          <w:color w:val="000000" w:themeColor="text1"/>
        </w:rPr>
        <w:t>函報</w:t>
      </w:r>
      <w:r w:rsidR="000A5B11" w:rsidRPr="009D3B89">
        <w:rPr>
          <w:rStyle w:val="afe"/>
          <w:color w:val="000000" w:themeColor="text1"/>
        </w:rPr>
        <w:footnoteReference w:id="1"/>
      </w:r>
      <w:r w:rsidR="004344B8" w:rsidRPr="009D3B89">
        <w:rPr>
          <w:rFonts w:hint="eastAsia"/>
          <w:color w:val="000000" w:themeColor="text1"/>
        </w:rPr>
        <w:t>，</w:t>
      </w:r>
      <w:r w:rsidR="003070EB" w:rsidRPr="009D3B89">
        <w:rPr>
          <w:rFonts w:hint="eastAsia"/>
          <w:color w:val="000000" w:themeColor="text1"/>
        </w:rPr>
        <w:t>截至105年底止，嘉義縣政府已公告區劃漁業權45</w:t>
      </w:r>
      <w:r w:rsidR="00A422C0" w:rsidRPr="009D3B89">
        <w:rPr>
          <w:rFonts w:hint="eastAsia"/>
          <w:color w:val="000000" w:themeColor="text1"/>
        </w:rPr>
        <w:t>區，核發平掛式</w:t>
      </w:r>
      <w:r w:rsidR="003070EB" w:rsidRPr="009D3B89">
        <w:rPr>
          <w:rFonts w:hint="eastAsia"/>
          <w:color w:val="000000" w:themeColor="text1"/>
        </w:rPr>
        <w:t>區劃漁業權執照3,510張，面積421公頃，惟</w:t>
      </w:r>
      <w:r w:rsidR="00A422C0" w:rsidRPr="009D3B89">
        <w:rPr>
          <w:rFonts w:hint="eastAsia"/>
          <w:color w:val="000000" w:themeColor="text1"/>
        </w:rPr>
        <w:t>未核發</w:t>
      </w:r>
      <w:r w:rsidR="003070EB" w:rsidRPr="009D3B89">
        <w:rPr>
          <w:rFonts w:hint="eastAsia"/>
          <w:color w:val="000000" w:themeColor="text1"/>
        </w:rPr>
        <w:t>浮筏</w:t>
      </w:r>
      <w:r w:rsidR="00A422C0" w:rsidRPr="009D3B89">
        <w:rPr>
          <w:rFonts w:hint="eastAsia"/>
          <w:color w:val="000000" w:themeColor="text1"/>
        </w:rPr>
        <w:t>式</w:t>
      </w:r>
      <w:r w:rsidR="003070EB" w:rsidRPr="009D3B89">
        <w:rPr>
          <w:rFonts w:hint="eastAsia"/>
          <w:color w:val="000000" w:themeColor="text1"/>
        </w:rPr>
        <w:t>區劃漁業權執照；臺南市政府已公告區劃漁業權23區，核發平掛式區劃漁業權執照940張，面積942公頃，惟</w:t>
      </w:r>
      <w:r w:rsidR="00A422C0" w:rsidRPr="009D3B89">
        <w:rPr>
          <w:rFonts w:hint="eastAsia"/>
          <w:color w:val="000000" w:themeColor="text1"/>
        </w:rPr>
        <w:t>關於</w:t>
      </w:r>
      <w:r w:rsidR="003070EB" w:rsidRPr="009D3B89">
        <w:rPr>
          <w:rFonts w:hint="eastAsia"/>
          <w:color w:val="000000" w:themeColor="text1"/>
        </w:rPr>
        <w:t>浮筏式區劃漁業權</w:t>
      </w:r>
      <w:r w:rsidR="00A422C0" w:rsidRPr="009D3B89">
        <w:rPr>
          <w:rFonts w:hint="eastAsia"/>
          <w:color w:val="000000" w:themeColor="text1"/>
        </w:rPr>
        <w:t>之劃設，</w:t>
      </w:r>
      <w:r w:rsidR="003070EB" w:rsidRPr="009D3B89">
        <w:rPr>
          <w:rFonts w:hint="eastAsia"/>
          <w:color w:val="000000" w:themeColor="text1"/>
        </w:rPr>
        <w:t>則因臺南市政府及漁會仍未規劃區劃或申請專用漁業權區，致迄未辦理；</w:t>
      </w:r>
      <w:r w:rsidR="00AD39BD" w:rsidRPr="009D3B89">
        <w:rPr>
          <w:rFonts w:hint="eastAsia"/>
          <w:color w:val="000000" w:themeColor="text1"/>
        </w:rPr>
        <w:t>另</w:t>
      </w:r>
      <w:r w:rsidR="003070EB" w:rsidRPr="009D3B89">
        <w:rPr>
          <w:rFonts w:hint="eastAsia"/>
          <w:color w:val="000000" w:themeColor="text1"/>
        </w:rPr>
        <w:t>雲林縣位於河道之浮筏式</w:t>
      </w:r>
      <w:r w:rsidR="00AD39BD" w:rsidRPr="009D3B89">
        <w:rPr>
          <w:rFonts w:hint="eastAsia"/>
          <w:color w:val="000000" w:themeColor="text1"/>
        </w:rPr>
        <w:t>養殖牡蠣</w:t>
      </w:r>
      <w:r w:rsidR="003070EB" w:rsidRPr="009D3B89">
        <w:rPr>
          <w:rFonts w:hint="eastAsia"/>
          <w:color w:val="000000" w:themeColor="text1"/>
        </w:rPr>
        <w:t>，於颱風豪雨期間將阻礙水</w:t>
      </w:r>
      <w:r w:rsidR="003070EB" w:rsidRPr="003070EB">
        <w:rPr>
          <w:rFonts w:hint="eastAsia"/>
        </w:rPr>
        <w:t>流，危及居民安全。</w:t>
      </w:r>
    </w:p>
    <w:p w:rsidR="00C66EC3" w:rsidRDefault="00AD39BD" w:rsidP="00AD39BD">
      <w:pPr>
        <w:pStyle w:val="3"/>
      </w:pPr>
      <w:r w:rsidRPr="00AA148A">
        <w:rPr>
          <w:rFonts w:hint="eastAsia"/>
        </w:rPr>
        <w:t>本院為瞭解實情，於107年2月1日</w:t>
      </w:r>
      <w:r w:rsidR="00AA148A" w:rsidRPr="00AA148A">
        <w:rPr>
          <w:rFonts w:hint="eastAsia"/>
        </w:rPr>
        <w:t>履勘</w:t>
      </w:r>
      <w:r w:rsidRPr="00AA148A">
        <w:rPr>
          <w:rFonts w:hint="eastAsia"/>
        </w:rPr>
        <w:t>臺南市安平商港</w:t>
      </w:r>
      <w:r w:rsidR="00AA148A" w:rsidRPr="00AA148A">
        <w:rPr>
          <w:rFonts w:hint="eastAsia"/>
        </w:rPr>
        <w:t>海域</w:t>
      </w:r>
      <w:r w:rsidRPr="00AA148A">
        <w:rPr>
          <w:rFonts w:hint="eastAsia"/>
        </w:rPr>
        <w:t>及曾文溪口等地</w:t>
      </w:r>
      <w:r w:rsidR="00AA148A" w:rsidRPr="00AA148A">
        <w:rPr>
          <w:rFonts w:hint="eastAsia"/>
        </w:rPr>
        <w:t>之浮筏式牡蠣養殖狀況，</w:t>
      </w:r>
      <w:r w:rsidR="00C66EC3">
        <w:rPr>
          <w:rFonts w:hint="eastAsia"/>
        </w:rPr>
        <w:t>並聽取</w:t>
      </w:r>
      <w:r w:rsidR="005E19F3">
        <w:rPr>
          <w:rFonts w:hint="eastAsia"/>
        </w:rPr>
        <w:t>漁業署</w:t>
      </w:r>
      <w:r w:rsidR="000A5B11">
        <w:rPr>
          <w:rFonts w:hint="eastAsia"/>
        </w:rPr>
        <w:t>、臺南市政府</w:t>
      </w:r>
      <w:r w:rsidR="00C66EC3">
        <w:rPr>
          <w:rFonts w:hint="eastAsia"/>
        </w:rPr>
        <w:t>簡報，</w:t>
      </w:r>
      <w:r w:rsidR="00AA148A" w:rsidRPr="00AA148A">
        <w:rPr>
          <w:rFonts w:hint="eastAsia"/>
        </w:rPr>
        <w:t>得知</w:t>
      </w:r>
      <w:r w:rsidR="000A5B11">
        <w:rPr>
          <w:rFonts w:hint="eastAsia"/>
        </w:rPr>
        <w:t>截至106年底止，</w:t>
      </w:r>
      <w:r w:rsidR="00AA148A" w:rsidRPr="00AA148A">
        <w:rPr>
          <w:rFonts w:hint="eastAsia"/>
        </w:rPr>
        <w:t>我國西南沿海浮筏式牡蠣養殖設施計有21,148棚</w:t>
      </w:r>
      <w:r w:rsidR="00AA148A">
        <w:rPr>
          <w:rFonts w:hint="eastAsia"/>
        </w:rPr>
        <w:t>，分別為分布於雲林縣之2,121棚、嘉義縣之</w:t>
      </w:r>
      <w:r w:rsidR="00C66EC3">
        <w:rPr>
          <w:rFonts w:hint="eastAsia"/>
        </w:rPr>
        <w:t>9</w:t>
      </w:r>
      <w:r w:rsidR="00AA148A">
        <w:rPr>
          <w:rFonts w:hint="eastAsia"/>
        </w:rPr>
        <w:t>,</w:t>
      </w:r>
      <w:r w:rsidR="00C66EC3">
        <w:rPr>
          <w:rFonts w:hint="eastAsia"/>
        </w:rPr>
        <w:t>709</w:t>
      </w:r>
      <w:r w:rsidR="00AA148A">
        <w:rPr>
          <w:rFonts w:hint="eastAsia"/>
        </w:rPr>
        <w:t>棚及臺南市之9,318棚</w:t>
      </w:r>
      <w:r w:rsidR="00C66EC3">
        <w:rPr>
          <w:rFonts w:hint="eastAsia"/>
        </w:rPr>
        <w:t>，惟依</w:t>
      </w:r>
      <w:r w:rsidR="00AC5703">
        <w:rPr>
          <w:rFonts w:hAnsi="標楷體" w:hint="eastAsia"/>
          <w:color w:val="7030A0"/>
        </w:rPr>
        <w:t>「</w:t>
      </w:r>
      <w:r w:rsidR="00C66EC3">
        <w:rPr>
          <w:rFonts w:hint="eastAsia"/>
        </w:rPr>
        <w:t>漁業法</w:t>
      </w:r>
      <w:r w:rsidR="00AC5703">
        <w:rPr>
          <w:rFonts w:hAnsi="標楷體" w:hint="eastAsia"/>
          <w:color w:val="7030A0"/>
        </w:rPr>
        <w:t>」</w:t>
      </w:r>
      <w:r w:rsidR="00C66EC3">
        <w:rPr>
          <w:rFonts w:hint="eastAsia"/>
        </w:rPr>
        <w:t>或自</w:t>
      </w:r>
      <w:r w:rsidR="00C66EC3">
        <w:rPr>
          <w:rFonts w:hint="eastAsia"/>
        </w:rPr>
        <w:lastRenderedPageBreak/>
        <w:t>治條例實質納管者</w:t>
      </w:r>
      <w:r w:rsidR="007E2451">
        <w:rPr>
          <w:rFonts w:hint="eastAsia"/>
        </w:rPr>
        <w:t>僅9</w:t>
      </w:r>
      <w:r w:rsidR="00C1754D">
        <w:rPr>
          <w:rFonts w:hint="eastAsia"/>
        </w:rPr>
        <w:t>,909</w:t>
      </w:r>
      <w:r w:rsidR="007E2451">
        <w:rPr>
          <w:rFonts w:hint="eastAsia"/>
        </w:rPr>
        <w:t>棚，</w:t>
      </w:r>
      <w:r w:rsidR="00D15CF8">
        <w:rPr>
          <w:rFonts w:hint="eastAsia"/>
        </w:rPr>
        <w:t>納管率僅4</w:t>
      </w:r>
      <w:r w:rsidR="00C1754D">
        <w:rPr>
          <w:rFonts w:hint="eastAsia"/>
        </w:rPr>
        <w:t>6</w:t>
      </w:r>
      <w:r w:rsidR="00D15CF8">
        <w:rPr>
          <w:rFonts w:hint="eastAsia"/>
        </w:rPr>
        <w:t>.</w:t>
      </w:r>
      <w:r w:rsidR="00C1754D">
        <w:rPr>
          <w:rFonts w:hint="eastAsia"/>
        </w:rPr>
        <w:t>85</w:t>
      </w:r>
      <w:r w:rsidR="00D15CF8">
        <w:rPr>
          <w:rFonts w:hint="eastAsia"/>
        </w:rPr>
        <w:t>%，詳如表</w:t>
      </w:r>
      <w:r w:rsidR="00D947EB">
        <w:rPr>
          <w:rFonts w:hint="eastAsia"/>
        </w:rPr>
        <w:t>18</w:t>
      </w:r>
      <w:r w:rsidR="00D15CF8">
        <w:rPr>
          <w:rFonts w:hint="eastAsia"/>
        </w:rPr>
        <w:t>所示。</w:t>
      </w:r>
    </w:p>
    <w:p w:rsidR="00D15CF8" w:rsidRPr="00B85E26" w:rsidRDefault="00D15CF8" w:rsidP="00B85E26">
      <w:pPr>
        <w:pStyle w:val="a3"/>
        <w:ind w:firstLine="12"/>
        <w:jc w:val="center"/>
        <w:rPr>
          <w:b/>
        </w:rPr>
      </w:pPr>
      <w:r w:rsidRPr="00B85E26">
        <w:rPr>
          <w:rFonts w:hint="eastAsia"/>
          <w:b/>
        </w:rPr>
        <w:t>國內西部沿海地區浮筏式牡蠣養殖棚數及納管情形</w:t>
      </w:r>
      <w:r w:rsidR="003F0C3B">
        <w:rPr>
          <w:rFonts w:hint="eastAsia"/>
          <w:b/>
        </w:rPr>
        <w:t>表</w:t>
      </w:r>
    </w:p>
    <w:tbl>
      <w:tblPr>
        <w:tblW w:w="7900" w:type="dxa"/>
        <w:tblInd w:w="1278" w:type="dxa"/>
        <w:tblCellMar>
          <w:left w:w="0" w:type="dxa"/>
          <w:right w:w="0" w:type="dxa"/>
        </w:tblCellMar>
        <w:tblLook w:val="0600" w:firstRow="0" w:lastRow="0" w:firstColumn="0" w:lastColumn="0" w:noHBand="1" w:noVBand="1"/>
      </w:tblPr>
      <w:tblGrid>
        <w:gridCol w:w="2126"/>
        <w:gridCol w:w="2032"/>
        <w:gridCol w:w="1940"/>
        <w:gridCol w:w="1802"/>
      </w:tblGrid>
      <w:tr w:rsidR="00D15CF8" w:rsidRPr="00D15CF8" w:rsidTr="00A26D73">
        <w:trPr>
          <w:trHeight w:val="387"/>
        </w:trPr>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2D441B">
            <w:pPr>
              <w:spacing w:line="400" w:lineRule="exact"/>
              <w:rPr>
                <w:sz w:val="28"/>
                <w:szCs w:val="28"/>
              </w:rPr>
            </w:pPr>
            <w:r w:rsidRPr="005A1CA2">
              <w:rPr>
                <w:rFonts w:hint="eastAsia"/>
                <w:sz w:val="28"/>
                <w:szCs w:val="28"/>
              </w:rPr>
              <w:t>縣（市）</w:t>
            </w:r>
          </w:p>
        </w:tc>
        <w:tc>
          <w:tcPr>
            <w:tcW w:w="20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85E26" w:rsidRPr="005A1CA2" w:rsidRDefault="00D15CF8" w:rsidP="00B85E26">
            <w:pPr>
              <w:spacing w:line="400" w:lineRule="exact"/>
              <w:jc w:val="center"/>
              <w:rPr>
                <w:sz w:val="28"/>
                <w:szCs w:val="28"/>
              </w:rPr>
            </w:pPr>
            <w:r w:rsidRPr="005A1CA2">
              <w:rPr>
                <w:rFonts w:hint="eastAsia"/>
                <w:sz w:val="28"/>
                <w:szCs w:val="28"/>
              </w:rPr>
              <w:t>浮筏式</w:t>
            </w:r>
            <w:r w:rsidR="00B85E26">
              <w:rPr>
                <w:rFonts w:hint="eastAsia"/>
                <w:sz w:val="28"/>
                <w:szCs w:val="28"/>
              </w:rPr>
              <w:t>(</w:t>
            </w:r>
            <w:r w:rsidRPr="005A1CA2">
              <w:rPr>
                <w:rFonts w:hint="eastAsia"/>
                <w:sz w:val="28"/>
                <w:szCs w:val="28"/>
              </w:rPr>
              <w:t>棚</w:t>
            </w:r>
            <w:r w:rsidR="00B85E26">
              <w:rPr>
                <w:rFonts w:hint="eastAsia"/>
                <w:sz w:val="28"/>
                <w:szCs w:val="28"/>
              </w:rPr>
              <w:t>)</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B85E26">
            <w:pPr>
              <w:spacing w:line="400" w:lineRule="exact"/>
              <w:jc w:val="center"/>
              <w:rPr>
                <w:sz w:val="28"/>
                <w:szCs w:val="28"/>
              </w:rPr>
            </w:pPr>
            <w:r w:rsidRPr="005A1CA2">
              <w:rPr>
                <w:rFonts w:hint="eastAsia"/>
                <w:sz w:val="28"/>
                <w:szCs w:val="28"/>
              </w:rPr>
              <w:t>納管數</w:t>
            </w:r>
            <w:r w:rsidR="00B85E26">
              <w:rPr>
                <w:rFonts w:hint="eastAsia"/>
                <w:sz w:val="28"/>
                <w:szCs w:val="28"/>
              </w:rPr>
              <w:t>(</w:t>
            </w:r>
            <w:r w:rsidRPr="005A1CA2">
              <w:rPr>
                <w:rFonts w:hint="eastAsia"/>
                <w:sz w:val="28"/>
                <w:szCs w:val="28"/>
              </w:rPr>
              <w:t>棚</w:t>
            </w:r>
            <w:r w:rsidR="00B85E26">
              <w:rPr>
                <w:rFonts w:hint="eastAsia"/>
                <w:sz w:val="28"/>
                <w:szCs w:val="28"/>
              </w:rPr>
              <w:t>)</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D441B" w:rsidRPr="005A1CA2" w:rsidRDefault="00D15CF8" w:rsidP="00B85E26">
            <w:pPr>
              <w:spacing w:line="400" w:lineRule="exact"/>
              <w:jc w:val="center"/>
              <w:rPr>
                <w:sz w:val="28"/>
                <w:szCs w:val="28"/>
              </w:rPr>
            </w:pPr>
            <w:r w:rsidRPr="005A1CA2">
              <w:rPr>
                <w:rFonts w:hint="eastAsia"/>
                <w:sz w:val="28"/>
                <w:szCs w:val="28"/>
              </w:rPr>
              <w:t>納管率</w:t>
            </w:r>
            <w:r w:rsidR="00B85E26">
              <w:rPr>
                <w:rFonts w:hint="eastAsia"/>
                <w:sz w:val="28"/>
                <w:szCs w:val="28"/>
              </w:rPr>
              <w:t>(</w:t>
            </w:r>
            <w:r w:rsidR="002D441B" w:rsidRPr="005A1CA2">
              <w:rPr>
                <w:rFonts w:hint="eastAsia"/>
                <w:sz w:val="28"/>
                <w:szCs w:val="28"/>
              </w:rPr>
              <w:t>%</w:t>
            </w:r>
            <w:r w:rsidR="00B85E26">
              <w:rPr>
                <w:rFonts w:hint="eastAsia"/>
                <w:sz w:val="28"/>
                <w:szCs w:val="28"/>
              </w:rPr>
              <w:t>)</w:t>
            </w:r>
          </w:p>
        </w:tc>
      </w:tr>
      <w:tr w:rsidR="00D15CF8" w:rsidRPr="00D15CF8" w:rsidTr="00A26D73">
        <w:trPr>
          <w:trHeight w:val="257"/>
        </w:trPr>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rPr>
                <w:sz w:val="28"/>
                <w:szCs w:val="28"/>
              </w:rPr>
            </w:pPr>
            <w:r w:rsidRPr="005A1CA2">
              <w:rPr>
                <w:rFonts w:hint="eastAsia"/>
                <w:sz w:val="28"/>
                <w:szCs w:val="28"/>
              </w:rPr>
              <w:t>雲林縣(專用)</w:t>
            </w:r>
          </w:p>
        </w:tc>
        <w:tc>
          <w:tcPr>
            <w:tcW w:w="20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sz w:val="28"/>
                <w:szCs w:val="28"/>
              </w:rPr>
              <w:t>2,121</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sz w:val="28"/>
                <w:szCs w:val="28"/>
              </w:rPr>
              <w:t>771</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sz w:val="28"/>
                <w:szCs w:val="28"/>
              </w:rPr>
              <w:t>36.</w:t>
            </w:r>
            <w:r w:rsidR="00693A91" w:rsidRPr="005A1CA2">
              <w:rPr>
                <w:rFonts w:hint="eastAsia"/>
                <w:sz w:val="28"/>
                <w:szCs w:val="28"/>
              </w:rPr>
              <w:t>35</w:t>
            </w:r>
          </w:p>
        </w:tc>
      </w:tr>
      <w:tr w:rsidR="00D15CF8" w:rsidRPr="00D15CF8" w:rsidTr="00A26D73">
        <w:trPr>
          <w:trHeight w:val="303"/>
        </w:trPr>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rPr>
                <w:sz w:val="28"/>
                <w:szCs w:val="28"/>
              </w:rPr>
            </w:pPr>
            <w:r w:rsidRPr="005A1CA2">
              <w:rPr>
                <w:rFonts w:hint="eastAsia"/>
                <w:sz w:val="28"/>
                <w:szCs w:val="28"/>
              </w:rPr>
              <w:t>嘉義縣(區劃)</w:t>
            </w:r>
          </w:p>
        </w:tc>
        <w:tc>
          <w:tcPr>
            <w:tcW w:w="20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sz w:val="28"/>
                <w:szCs w:val="28"/>
              </w:rPr>
              <w:t>9,709</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sz w:val="28"/>
                <w:szCs w:val="28"/>
              </w:rPr>
              <w:t>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sz w:val="28"/>
                <w:szCs w:val="28"/>
              </w:rPr>
              <w:t>0</w:t>
            </w:r>
          </w:p>
        </w:tc>
      </w:tr>
      <w:tr w:rsidR="00D15CF8" w:rsidRPr="00D15CF8" w:rsidTr="00A26D73">
        <w:trPr>
          <w:trHeight w:val="20"/>
        </w:trPr>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rPr>
                <w:sz w:val="28"/>
                <w:szCs w:val="28"/>
              </w:rPr>
            </w:pPr>
            <w:r w:rsidRPr="005A1CA2">
              <w:rPr>
                <w:rFonts w:hint="eastAsia"/>
                <w:sz w:val="28"/>
                <w:szCs w:val="28"/>
              </w:rPr>
              <w:t>臺南市</w:t>
            </w:r>
            <w:r w:rsidR="003F0C3B" w:rsidRPr="003F0C3B">
              <w:rPr>
                <w:rFonts w:hint="eastAsia"/>
                <w:sz w:val="28"/>
                <w:szCs w:val="28"/>
                <w:vertAlign w:val="superscript"/>
              </w:rPr>
              <w:t>註</w:t>
            </w:r>
          </w:p>
        </w:tc>
        <w:tc>
          <w:tcPr>
            <w:tcW w:w="20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sz w:val="28"/>
                <w:szCs w:val="28"/>
              </w:rPr>
              <w:t>9,318</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sz w:val="28"/>
                <w:szCs w:val="28"/>
              </w:rPr>
              <w:t>9,</w:t>
            </w:r>
            <w:r w:rsidR="00693A91" w:rsidRPr="005A1CA2">
              <w:rPr>
                <w:rFonts w:hint="eastAsia"/>
                <w:sz w:val="28"/>
                <w:szCs w:val="28"/>
              </w:rPr>
              <w:t>138</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693A91" w:rsidP="005E19F3">
            <w:pPr>
              <w:spacing w:line="360" w:lineRule="exact"/>
              <w:jc w:val="right"/>
              <w:rPr>
                <w:sz w:val="28"/>
                <w:szCs w:val="28"/>
              </w:rPr>
            </w:pPr>
            <w:r w:rsidRPr="005A1CA2">
              <w:rPr>
                <w:rFonts w:hint="eastAsia"/>
                <w:sz w:val="28"/>
                <w:szCs w:val="28"/>
              </w:rPr>
              <w:t>98.06</w:t>
            </w:r>
          </w:p>
        </w:tc>
      </w:tr>
      <w:tr w:rsidR="00D15CF8" w:rsidRPr="00D15CF8" w:rsidTr="00A26D73">
        <w:trPr>
          <w:trHeight w:val="25"/>
        </w:trPr>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rPr>
                <w:sz w:val="28"/>
                <w:szCs w:val="28"/>
              </w:rPr>
            </w:pPr>
            <w:r w:rsidRPr="005A1CA2">
              <w:rPr>
                <w:rFonts w:hint="eastAsia"/>
                <w:sz w:val="28"/>
                <w:szCs w:val="28"/>
              </w:rPr>
              <w:t>小     計</w:t>
            </w:r>
          </w:p>
        </w:tc>
        <w:tc>
          <w:tcPr>
            <w:tcW w:w="20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b/>
                <w:bCs/>
                <w:sz w:val="28"/>
                <w:szCs w:val="28"/>
              </w:rPr>
              <w:t>21,148</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15CF8" w:rsidP="005E19F3">
            <w:pPr>
              <w:spacing w:line="360" w:lineRule="exact"/>
              <w:jc w:val="right"/>
              <w:rPr>
                <w:sz w:val="28"/>
                <w:szCs w:val="28"/>
              </w:rPr>
            </w:pPr>
            <w:r w:rsidRPr="005A1CA2">
              <w:rPr>
                <w:rFonts w:hint="eastAsia"/>
                <w:b/>
                <w:bCs/>
                <w:sz w:val="28"/>
                <w:szCs w:val="28"/>
              </w:rPr>
              <w:t>9</w:t>
            </w:r>
            <w:r w:rsidR="00D32F84">
              <w:rPr>
                <w:rFonts w:hint="eastAsia"/>
                <w:b/>
                <w:bCs/>
                <w:sz w:val="28"/>
                <w:szCs w:val="28"/>
              </w:rPr>
              <w:t>,909</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D2573" w:rsidRPr="005A1CA2" w:rsidRDefault="00D32F84" w:rsidP="005E19F3">
            <w:pPr>
              <w:spacing w:line="360" w:lineRule="exact"/>
              <w:jc w:val="right"/>
              <w:rPr>
                <w:sz w:val="28"/>
                <w:szCs w:val="28"/>
              </w:rPr>
            </w:pPr>
            <w:r>
              <w:rPr>
                <w:rFonts w:hint="eastAsia"/>
                <w:b/>
                <w:bCs/>
                <w:sz w:val="28"/>
                <w:szCs w:val="28"/>
              </w:rPr>
              <w:t>46</w:t>
            </w:r>
            <w:r w:rsidR="00D15CF8" w:rsidRPr="005A1CA2">
              <w:rPr>
                <w:rFonts w:hint="eastAsia"/>
                <w:b/>
                <w:bCs/>
                <w:sz w:val="28"/>
                <w:szCs w:val="28"/>
              </w:rPr>
              <w:t>.</w:t>
            </w:r>
            <w:r>
              <w:rPr>
                <w:rFonts w:hint="eastAsia"/>
                <w:b/>
                <w:bCs/>
                <w:sz w:val="28"/>
                <w:szCs w:val="28"/>
              </w:rPr>
              <w:t>85</w:t>
            </w:r>
          </w:p>
        </w:tc>
      </w:tr>
    </w:tbl>
    <w:p w:rsidR="00D15CF8" w:rsidRPr="002D441B" w:rsidRDefault="002D441B" w:rsidP="00A26D73">
      <w:pPr>
        <w:spacing w:line="360" w:lineRule="exact"/>
        <w:ind w:leftChars="333" w:left="1638" w:hangingChars="194" w:hanging="505"/>
        <w:rPr>
          <w:sz w:val="24"/>
          <w:szCs w:val="24"/>
        </w:rPr>
      </w:pPr>
      <w:r w:rsidRPr="002D441B">
        <w:rPr>
          <w:rFonts w:hint="eastAsia"/>
          <w:sz w:val="24"/>
          <w:szCs w:val="24"/>
        </w:rPr>
        <w:t>註：臺南市曾文溪口浮筏式牡蠣養殖634棚，業由經濟部水利署第六河川局依</w:t>
      </w:r>
      <w:r w:rsidRPr="002D441B">
        <w:rPr>
          <w:rFonts w:ascii="新細明體" w:eastAsia="新細明體" w:hAnsi="新細明體" w:hint="eastAsia"/>
          <w:sz w:val="24"/>
          <w:szCs w:val="24"/>
        </w:rPr>
        <w:t>「</w:t>
      </w:r>
      <w:r w:rsidRPr="002D441B">
        <w:rPr>
          <w:rFonts w:hint="eastAsia"/>
          <w:sz w:val="24"/>
          <w:szCs w:val="24"/>
        </w:rPr>
        <w:t>河川管理辦法</w:t>
      </w:r>
      <w:r w:rsidRPr="002D441B">
        <w:rPr>
          <w:rFonts w:hAnsi="標楷體" w:hint="eastAsia"/>
          <w:sz w:val="24"/>
          <w:szCs w:val="24"/>
        </w:rPr>
        <w:t>」</w:t>
      </w:r>
      <w:r w:rsidRPr="002D441B">
        <w:rPr>
          <w:rFonts w:hint="eastAsia"/>
          <w:sz w:val="24"/>
          <w:szCs w:val="24"/>
        </w:rPr>
        <w:t>予以許可管理。</w:t>
      </w:r>
    </w:p>
    <w:p w:rsidR="002D441B" w:rsidRPr="002D441B" w:rsidRDefault="00681536" w:rsidP="00A26D73">
      <w:pPr>
        <w:spacing w:line="360" w:lineRule="exact"/>
        <w:ind w:leftChars="333" w:left="1273" w:hangingChars="54" w:hanging="140"/>
        <w:rPr>
          <w:sz w:val="24"/>
          <w:szCs w:val="24"/>
        </w:rPr>
      </w:pPr>
      <w:r>
        <w:rPr>
          <w:rFonts w:hint="eastAsia"/>
          <w:sz w:val="24"/>
          <w:szCs w:val="24"/>
        </w:rPr>
        <w:t>資料來源：</w:t>
      </w:r>
      <w:r w:rsidR="002D441B" w:rsidRPr="002D441B">
        <w:rPr>
          <w:rFonts w:hint="eastAsia"/>
          <w:sz w:val="24"/>
          <w:szCs w:val="24"/>
        </w:rPr>
        <w:t>漁業署</w:t>
      </w:r>
      <w:r w:rsidR="002D441B">
        <w:rPr>
          <w:rFonts w:hint="eastAsia"/>
          <w:sz w:val="24"/>
          <w:szCs w:val="24"/>
        </w:rPr>
        <w:t>。</w:t>
      </w:r>
    </w:p>
    <w:p w:rsidR="002D441B" w:rsidRDefault="002D441B" w:rsidP="00D15CF8"/>
    <w:p w:rsidR="00E402E8" w:rsidRPr="003420F7" w:rsidRDefault="000B0EF2" w:rsidP="004C36A1">
      <w:pPr>
        <w:pStyle w:val="3"/>
      </w:pPr>
      <w:r w:rsidRPr="003420F7">
        <w:rPr>
          <w:rFonts w:hint="eastAsia"/>
        </w:rPr>
        <w:t>關於雲林縣浮筏式牡蠣養殖納管率僅有36.4%</w:t>
      </w:r>
      <w:r w:rsidR="00115961" w:rsidRPr="003420F7">
        <w:rPr>
          <w:rFonts w:hint="eastAsia"/>
        </w:rPr>
        <w:t>一節</w:t>
      </w:r>
      <w:r w:rsidRPr="003420F7">
        <w:rPr>
          <w:rFonts w:hint="eastAsia"/>
        </w:rPr>
        <w:t>，</w:t>
      </w:r>
      <w:r w:rsidR="005A1CA2" w:rsidRPr="003420F7">
        <w:rPr>
          <w:rFonts w:hint="eastAsia"/>
        </w:rPr>
        <w:t>查雲林縣浮筏式養殖牡蠣計2,121棚，其中771棚係以專用漁業權納管，剩</w:t>
      </w:r>
      <w:r w:rsidR="000B60FD" w:rsidRPr="003420F7">
        <w:rPr>
          <w:rFonts w:hint="eastAsia"/>
        </w:rPr>
        <w:t>餘</w:t>
      </w:r>
      <w:r w:rsidR="005A1CA2" w:rsidRPr="003420F7">
        <w:rPr>
          <w:rFonts w:hint="eastAsia"/>
        </w:rPr>
        <w:t>1,350棚全數位於經濟部工業局雲林離島基礎式工業區(下稱雲林離島工業區)範圍內，因該海域土地劃設為工業區並報編登陸為國有土地，土地管理使用權限為經濟部，因此雲林縣政府無法納管。</w:t>
      </w:r>
      <w:r w:rsidR="00485B91" w:rsidRPr="003420F7">
        <w:rPr>
          <w:rFonts w:hint="eastAsia"/>
        </w:rPr>
        <w:t>據</w:t>
      </w:r>
      <w:r w:rsidR="005A1CA2" w:rsidRPr="003420F7">
        <w:rPr>
          <w:rFonts w:hint="eastAsia"/>
        </w:rPr>
        <w:t>經濟部工業局</w:t>
      </w:r>
      <w:r w:rsidR="00485B91" w:rsidRPr="003420F7">
        <w:rPr>
          <w:rFonts w:hint="eastAsia"/>
        </w:rPr>
        <w:t>查復</w:t>
      </w:r>
      <w:r w:rsidR="00D32F84" w:rsidRPr="003420F7">
        <w:rPr>
          <w:rStyle w:val="afe"/>
          <w:color w:val="000000" w:themeColor="text1"/>
          <w:spacing w:val="4"/>
        </w:rPr>
        <w:footnoteReference w:id="2"/>
      </w:r>
      <w:r w:rsidR="005A1CA2" w:rsidRPr="003420F7">
        <w:rPr>
          <w:rFonts w:hint="eastAsia"/>
        </w:rPr>
        <w:t>略以，</w:t>
      </w:r>
      <w:r w:rsidR="000D2573" w:rsidRPr="003420F7">
        <w:rPr>
          <w:rFonts w:hint="eastAsia"/>
        </w:rPr>
        <w:t>雲林離島工業區於報編前已確認雲林縣政府於該工業區海域並無漁業權劃設，行政院乃於80年6月核准工業區編定，該工業區採分期分區開發，屬於前期開發之麥寮區、新興區範圍內養殖物，均已於施工前完成養殖物補償與清除，至於尚未開發之四湖區，因尚無大面積產業用地需求，經行政院94年同意停止開發，四湖區土地已劃定使用分區為「工業區」，</w:t>
      </w:r>
      <w:r w:rsidR="00CD493F" w:rsidRPr="003420F7">
        <w:rPr>
          <w:rFonts w:hint="eastAsia"/>
        </w:rPr>
        <w:t>現</w:t>
      </w:r>
      <w:r w:rsidR="000D2573" w:rsidRPr="003420F7">
        <w:rPr>
          <w:rFonts w:hint="eastAsia"/>
        </w:rPr>
        <w:t>使用地編定為「農牧用地」，依「非都市</w:t>
      </w:r>
      <w:r w:rsidR="000D2573" w:rsidRPr="003420F7">
        <w:rPr>
          <w:rFonts w:hint="eastAsia"/>
        </w:rPr>
        <w:lastRenderedPageBreak/>
        <w:t>土地使用管制規則」第8條</w:t>
      </w:r>
      <w:r w:rsidR="00485B91" w:rsidRPr="003420F7">
        <w:rPr>
          <w:rFonts w:hint="eastAsia"/>
        </w:rPr>
        <w:t>第1項</w:t>
      </w:r>
      <w:r w:rsidR="000D2573" w:rsidRPr="003420F7">
        <w:rPr>
          <w:rFonts w:hint="eastAsia"/>
        </w:rPr>
        <w:t>規定</w:t>
      </w:r>
      <w:r w:rsidR="00485B91" w:rsidRPr="003420F7">
        <w:rPr>
          <w:rFonts w:hint="eastAsia"/>
        </w:rPr>
        <w:t>：「土地使用編定後，其原有使用或原有建築物不合土地使用分區規定者，在政府令其變更使用或拆除建築物前，得為從來之使用。……」故四湖區範圍內現況之牡蠣養殖行為，因於工業區編定前即已存在，是得為從來之使用。惟雲林縣政府農業處林慧如處長於本院</w:t>
      </w:r>
      <w:r w:rsidR="00F1094D" w:rsidRPr="003420F7">
        <w:rPr>
          <w:rFonts w:hint="eastAsia"/>
        </w:rPr>
        <w:t>詢問時</w:t>
      </w:r>
      <w:r w:rsidR="00485B91" w:rsidRPr="003420F7">
        <w:rPr>
          <w:rFonts w:hint="eastAsia"/>
        </w:rPr>
        <w:t>表示</w:t>
      </w:r>
      <w:r w:rsidR="006B05B4" w:rsidRPr="003420F7">
        <w:rPr>
          <w:rFonts w:hint="eastAsia"/>
        </w:rPr>
        <w:t>：</w:t>
      </w:r>
      <w:r w:rsidR="004C36A1">
        <w:rPr>
          <w:rFonts w:hAnsi="標楷體" w:hint="eastAsia"/>
        </w:rPr>
        <w:t>「</w:t>
      </w:r>
      <w:r w:rsidR="00485B91" w:rsidRPr="003420F7">
        <w:rPr>
          <w:rFonts w:hint="eastAsia"/>
        </w:rPr>
        <w:t>雖養</w:t>
      </w:r>
      <w:r w:rsidR="00D32F84" w:rsidRPr="003420F7">
        <w:rPr>
          <w:rFonts w:hint="eastAsia"/>
        </w:rPr>
        <w:t>殖</w:t>
      </w:r>
      <w:r w:rsidR="00485B91" w:rsidRPr="003420F7">
        <w:rPr>
          <w:rFonts w:hint="eastAsia"/>
        </w:rPr>
        <w:t>行為得為從來之使用，</w:t>
      </w:r>
      <w:r w:rsidR="006B05B4" w:rsidRPr="003420F7">
        <w:rPr>
          <w:rFonts w:hint="eastAsia"/>
        </w:rPr>
        <w:t>但農委會不會再補助或興建公共設施，漁民只好獨立作戰</w:t>
      </w:r>
      <w:r w:rsidR="006B05B4" w:rsidRPr="003420F7">
        <w:rPr>
          <w:rFonts w:hAnsi="標楷體" w:hint="eastAsia"/>
        </w:rPr>
        <w:t>，且四湖區的開發因不具確定性，</w:t>
      </w:r>
      <w:r w:rsidR="00E056C1" w:rsidRPr="003420F7">
        <w:rPr>
          <w:rFonts w:hAnsi="標楷體" w:hint="eastAsia"/>
        </w:rPr>
        <w:t>故</w:t>
      </w:r>
      <w:r w:rsidR="006B05B4" w:rsidRPr="003420F7">
        <w:rPr>
          <w:rFonts w:hAnsi="標楷體" w:hint="eastAsia"/>
        </w:rPr>
        <w:t>影響漁民養殖之規劃及權益，建議工業區的開發規劃期程，應</w:t>
      </w:r>
      <w:r w:rsidR="00E056C1" w:rsidRPr="003420F7">
        <w:rPr>
          <w:rFonts w:hAnsi="標楷體" w:hint="eastAsia"/>
        </w:rPr>
        <w:t>及早</w:t>
      </w:r>
      <w:r w:rsidR="006B05B4" w:rsidRPr="003420F7">
        <w:rPr>
          <w:rFonts w:hAnsi="標楷體" w:hint="eastAsia"/>
        </w:rPr>
        <w:t>公告周知</w:t>
      </w:r>
      <w:r w:rsidR="004C36A1">
        <w:rPr>
          <w:rFonts w:hAnsi="標楷體" w:hint="eastAsia"/>
        </w:rPr>
        <w:t>」</w:t>
      </w:r>
      <w:r w:rsidR="006B05B4" w:rsidRPr="003420F7">
        <w:rPr>
          <w:rFonts w:hAnsi="標楷體" w:hint="eastAsia"/>
        </w:rPr>
        <w:t>等語。</w:t>
      </w:r>
      <w:r w:rsidR="00E056C1" w:rsidRPr="003420F7">
        <w:rPr>
          <w:rFonts w:hAnsi="標楷體" w:hint="eastAsia"/>
        </w:rPr>
        <w:t>針對</w:t>
      </w:r>
      <w:r w:rsidR="006B05B4" w:rsidRPr="003420F7">
        <w:rPr>
          <w:rFonts w:hAnsi="標楷體" w:hint="eastAsia"/>
        </w:rPr>
        <w:t>此問題，經濟部工業局游振偉副局長表示：</w:t>
      </w:r>
      <w:r w:rsidR="004C36A1">
        <w:rPr>
          <w:rFonts w:hAnsi="標楷體" w:hint="eastAsia"/>
        </w:rPr>
        <w:t>「</w:t>
      </w:r>
      <w:r w:rsidR="00F1094D" w:rsidRPr="003420F7">
        <w:rPr>
          <w:rFonts w:hAnsi="標楷體" w:hint="eastAsia"/>
        </w:rPr>
        <w:t>會</w:t>
      </w:r>
      <w:r w:rsidR="00E056C1" w:rsidRPr="003420F7">
        <w:rPr>
          <w:rFonts w:hAnsi="標楷體" w:hint="eastAsia"/>
        </w:rPr>
        <w:t>視</w:t>
      </w:r>
      <w:r w:rsidR="006B05B4" w:rsidRPr="003420F7">
        <w:rPr>
          <w:rFonts w:hAnsi="標楷體" w:hint="eastAsia"/>
        </w:rPr>
        <w:t>未來情勢發展作機動檢討</w:t>
      </w:r>
      <w:r w:rsidR="00443C1E" w:rsidRPr="003420F7">
        <w:rPr>
          <w:rStyle w:val="afe"/>
          <w:color w:val="000000" w:themeColor="text1"/>
          <w:spacing w:val="4"/>
        </w:rPr>
        <w:footnoteReference w:id="3"/>
      </w:r>
      <w:r w:rsidR="004C36A1">
        <w:rPr>
          <w:rFonts w:hAnsi="標楷體" w:hint="eastAsia"/>
        </w:rPr>
        <w:t>」</w:t>
      </w:r>
      <w:r w:rsidR="006B05B4" w:rsidRPr="003420F7">
        <w:rPr>
          <w:rFonts w:hAnsi="標楷體" w:hint="eastAsia"/>
        </w:rPr>
        <w:t>。審諸上情，</w:t>
      </w:r>
      <w:r w:rsidR="00D32F84" w:rsidRPr="003420F7">
        <w:rPr>
          <w:rFonts w:hAnsi="標楷體" w:hint="eastAsia"/>
        </w:rPr>
        <w:t>雲林縣</w:t>
      </w:r>
      <w:r w:rsidR="00E402E8" w:rsidRPr="003420F7">
        <w:rPr>
          <w:rFonts w:hint="eastAsia"/>
        </w:rPr>
        <w:t>1,350棚(占率達63.65%)</w:t>
      </w:r>
      <w:r w:rsidR="00D32F84" w:rsidRPr="003420F7">
        <w:rPr>
          <w:rFonts w:hAnsi="標楷體" w:hint="eastAsia"/>
        </w:rPr>
        <w:t>浮筏式養殖牡蠣</w:t>
      </w:r>
      <w:r w:rsidR="00E402E8" w:rsidRPr="003420F7">
        <w:rPr>
          <w:rFonts w:hAnsi="標楷體" w:hint="eastAsia"/>
        </w:rPr>
        <w:t>，因位於</w:t>
      </w:r>
      <w:r w:rsidR="00E402E8" w:rsidRPr="003420F7">
        <w:rPr>
          <w:rFonts w:hint="eastAsia"/>
        </w:rPr>
        <w:t>雲林離島工業區範圍內，按「非都市土地使用管制規則」相關規定，目前得為從來之使用，</w:t>
      </w:r>
      <w:r w:rsidR="004C36A1">
        <w:rPr>
          <w:rFonts w:hint="eastAsia"/>
        </w:rPr>
        <w:t>然</w:t>
      </w:r>
      <w:r w:rsidR="00E402E8" w:rsidRPr="003420F7">
        <w:rPr>
          <w:rFonts w:hint="eastAsia"/>
        </w:rPr>
        <w:t>該工業區</w:t>
      </w:r>
      <w:r w:rsidR="004C36A1" w:rsidRPr="004C36A1">
        <w:rPr>
          <w:rFonts w:hint="eastAsia"/>
          <w:color w:val="000000" w:themeColor="text1"/>
          <w:spacing w:val="4"/>
        </w:rPr>
        <w:t>一旦進行</w:t>
      </w:r>
      <w:r w:rsidR="00E402E8" w:rsidRPr="003420F7">
        <w:rPr>
          <w:rFonts w:hint="eastAsia"/>
        </w:rPr>
        <w:t>開發，便不容許牡蠣養殖，至於開發期程規劃是否可先行公告周知，經濟部工業局並未明確允</w:t>
      </w:r>
      <w:r w:rsidR="004C36A1">
        <w:rPr>
          <w:rFonts w:hint="eastAsia"/>
        </w:rPr>
        <w:t>否</w:t>
      </w:r>
      <w:r w:rsidR="00E402E8" w:rsidRPr="003420F7">
        <w:rPr>
          <w:rFonts w:hint="eastAsia"/>
        </w:rPr>
        <w:t>，是</w:t>
      </w:r>
      <w:r w:rsidR="003A5AAD" w:rsidRPr="003420F7">
        <w:rPr>
          <w:rFonts w:hint="eastAsia"/>
        </w:rPr>
        <w:t>以</w:t>
      </w:r>
      <w:r w:rsidR="00E402E8" w:rsidRPr="003420F7">
        <w:rPr>
          <w:rFonts w:hint="eastAsia"/>
        </w:rPr>
        <w:t>該區的牡蠣養殖行為</w:t>
      </w:r>
      <w:r w:rsidR="00280E94" w:rsidRPr="003420F7">
        <w:rPr>
          <w:rFonts w:hint="eastAsia"/>
        </w:rPr>
        <w:t>，</w:t>
      </w:r>
      <w:r w:rsidR="00F42B17" w:rsidRPr="003420F7">
        <w:rPr>
          <w:rFonts w:hint="eastAsia"/>
        </w:rPr>
        <w:t>在</w:t>
      </w:r>
      <w:r w:rsidR="00280E94" w:rsidRPr="003420F7">
        <w:rPr>
          <w:rFonts w:hint="eastAsia"/>
        </w:rPr>
        <w:t>土地之使用上，</w:t>
      </w:r>
      <w:r w:rsidR="00E402E8" w:rsidRPr="003420F7">
        <w:rPr>
          <w:rFonts w:hint="eastAsia"/>
        </w:rPr>
        <w:t>雖尚符合規定，惟仍屬</w:t>
      </w:r>
      <w:r w:rsidR="00280E94" w:rsidRPr="003420F7">
        <w:rPr>
          <w:rFonts w:hint="eastAsia"/>
        </w:rPr>
        <w:t>未</w:t>
      </w:r>
      <w:r w:rsidR="00E402E8" w:rsidRPr="003420F7">
        <w:rPr>
          <w:rFonts w:hint="eastAsia"/>
        </w:rPr>
        <w:t>依</w:t>
      </w:r>
      <w:r w:rsidR="003A5AAD" w:rsidRPr="003420F7">
        <w:rPr>
          <w:rFonts w:hAnsi="標楷體" w:hint="eastAsia"/>
        </w:rPr>
        <w:t>「</w:t>
      </w:r>
      <w:r w:rsidR="00280E94" w:rsidRPr="003420F7">
        <w:rPr>
          <w:rFonts w:hint="eastAsia"/>
        </w:rPr>
        <w:t>漁業</w:t>
      </w:r>
      <w:r w:rsidR="00E402E8" w:rsidRPr="003420F7">
        <w:rPr>
          <w:rFonts w:hint="eastAsia"/>
        </w:rPr>
        <w:t>法</w:t>
      </w:r>
      <w:r w:rsidR="003A5AAD" w:rsidRPr="003420F7">
        <w:rPr>
          <w:rFonts w:hAnsi="標楷體" w:hint="eastAsia"/>
        </w:rPr>
        <w:t>」</w:t>
      </w:r>
      <w:r w:rsidR="00E402E8" w:rsidRPr="003420F7">
        <w:rPr>
          <w:rFonts w:hint="eastAsia"/>
        </w:rPr>
        <w:t>納管者，</w:t>
      </w:r>
      <w:r w:rsidR="00280E94" w:rsidRPr="003420F7">
        <w:rPr>
          <w:rFonts w:hint="eastAsia"/>
        </w:rPr>
        <w:t>漁民除未能具備漁業天然災害災情救助資格外，尚須</w:t>
      </w:r>
      <w:r w:rsidR="00F42B17" w:rsidRPr="003420F7">
        <w:rPr>
          <w:rFonts w:hint="eastAsia"/>
        </w:rPr>
        <w:t>面對因應</w:t>
      </w:r>
      <w:r w:rsidR="00280E94" w:rsidRPr="003420F7">
        <w:rPr>
          <w:rFonts w:hint="eastAsia"/>
        </w:rPr>
        <w:t>工業區之開發而得隨時</w:t>
      </w:r>
      <w:r w:rsidR="00F05C24" w:rsidRPr="003420F7">
        <w:rPr>
          <w:rFonts w:hint="eastAsia"/>
        </w:rPr>
        <w:t>被</w:t>
      </w:r>
      <w:r w:rsidR="00280E94" w:rsidRPr="003420F7">
        <w:rPr>
          <w:rFonts w:hint="eastAsia"/>
        </w:rPr>
        <w:t>撤除</w:t>
      </w:r>
      <w:r w:rsidR="003A5AAD" w:rsidRPr="003420F7">
        <w:rPr>
          <w:rFonts w:hint="eastAsia"/>
        </w:rPr>
        <w:t>之不確定疑慮</w:t>
      </w:r>
      <w:r w:rsidR="00280E94" w:rsidRPr="003420F7">
        <w:rPr>
          <w:rFonts w:hint="eastAsia"/>
        </w:rPr>
        <w:t>。</w:t>
      </w:r>
    </w:p>
    <w:p w:rsidR="00804E2D" w:rsidRDefault="00F1094D" w:rsidP="00AD39BD">
      <w:pPr>
        <w:pStyle w:val="3"/>
      </w:pPr>
      <w:r>
        <w:rPr>
          <w:rFonts w:hint="eastAsia"/>
        </w:rPr>
        <w:t>至於</w:t>
      </w:r>
      <w:r w:rsidR="005301BB">
        <w:rPr>
          <w:rFonts w:hint="eastAsia"/>
        </w:rPr>
        <w:t>嘉義</w:t>
      </w:r>
      <w:r>
        <w:rPr>
          <w:rFonts w:hint="eastAsia"/>
        </w:rPr>
        <w:t>縣浮筏式牡蠣養殖納管問題，</w:t>
      </w:r>
      <w:r w:rsidR="00804E2D">
        <w:rPr>
          <w:rFonts w:hint="eastAsia"/>
        </w:rPr>
        <w:t>該縣計有</w:t>
      </w:r>
      <w:r w:rsidR="00804E2D" w:rsidRPr="00804E2D">
        <w:rPr>
          <w:rFonts w:hint="eastAsia"/>
        </w:rPr>
        <w:t>9,709棚，惟全數未納管</w:t>
      </w:r>
      <w:r w:rsidR="00804E2D">
        <w:rPr>
          <w:rFonts w:hint="eastAsia"/>
        </w:rPr>
        <w:t>，其中屬於區劃漁業權範圍內者計5,794棚，區劃漁業權範圍</w:t>
      </w:r>
      <w:r w:rsidR="00280E94">
        <w:rPr>
          <w:rFonts w:hint="eastAsia"/>
        </w:rPr>
        <w:t>外</w:t>
      </w:r>
      <w:r w:rsidR="00804E2D">
        <w:rPr>
          <w:rFonts w:hint="eastAsia"/>
        </w:rPr>
        <w:t>者計3,915棚，此區劃漁業權範圍外者，係指分布於布袋商港</w:t>
      </w:r>
      <w:r w:rsidR="00D11666">
        <w:rPr>
          <w:rFonts w:hint="eastAsia"/>
        </w:rPr>
        <w:t>區</w:t>
      </w:r>
      <w:r w:rsidR="00804E2D">
        <w:rPr>
          <w:rFonts w:hint="eastAsia"/>
        </w:rPr>
        <w:t>內之613棚，以及布袋商港</w:t>
      </w:r>
      <w:r w:rsidR="00D11666">
        <w:rPr>
          <w:rFonts w:hint="eastAsia"/>
        </w:rPr>
        <w:t>區</w:t>
      </w:r>
      <w:r w:rsidR="00804E2D">
        <w:rPr>
          <w:rFonts w:hint="eastAsia"/>
        </w:rPr>
        <w:t>外之3,302棚，詳如表</w:t>
      </w:r>
      <w:r w:rsidR="00DF68F6">
        <w:rPr>
          <w:rFonts w:hint="eastAsia"/>
        </w:rPr>
        <w:t>19</w:t>
      </w:r>
      <w:r w:rsidR="00804E2D">
        <w:rPr>
          <w:rFonts w:hint="eastAsia"/>
        </w:rPr>
        <w:lastRenderedPageBreak/>
        <w:t>所示。</w:t>
      </w:r>
    </w:p>
    <w:p w:rsidR="00ED1B25" w:rsidRPr="00DF68F6" w:rsidRDefault="00ED1B25" w:rsidP="00DF68F6">
      <w:pPr>
        <w:pStyle w:val="a3"/>
        <w:ind w:firstLine="12"/>
        <w:jc w:val="center"/>
        <w:rPr>
          <w:b/>
          <w:color w:val="000000" w:themeColor="text1"/>
        </w:rPr>
      </w:pPr>
      <w:r w:rsidRPr="00DF68F6">
        <w:rPr>
          <w:b/>
          <w:color w:val="000000" w:themeColor="text1"/>
        </w:rPr>
        <w:t>106</w:t>
      </w:r>
      <w:r w:rsidRPr="00DF68F6">
        <w:rPr>
          <w:rFonts w:hint="eastAsia"/>
          <w:b/>
          <w:color w:val="000000" w:themeColor="text1"/>
        </w:rPr>
        <w:t>年嘉義縣轄內浮筏式牡蠣養殖棚數</w:t>
      </w:r>
    </w:p>
    <w:tbl>
      <w:tblPr>
        <w:tblW w:w="7513"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5"/>
        <w:gridCol w:w="1843"/>
        <w:gridCol w:w="2835"/>
      </w:tblGrid>
      <w:tr w:rsidR="00804E2D" w:rsidRPr="008D4DC2" w:rsidTr="00B742C2">
        <w:trPr>
          <w:trHeight w:val="703"/>
        </w:trPr>
        <w:tc>
          <w:tcPr>
            <w:tcW w:w="2835" w:type="dxa"/>
            <w:vAlign w:val="center"/>
          </w:tcPr>
          <w:p w:rsidR="00804E2D" w:rsidRPr="008D4DC2" w:rsidRDefault="00804E2D" w:rsidP="006C1436">
            <w:pPr>
              <w:spacing w:line="360" w:lineRule="exact"/>
              <w:jc w:val="center"/>
              <w:rPr>
                <w:rFonts w:hAnsi="標楷體"/>
                <w:color w:val="000000"/>
                <w:sz w:val="28"/>
                <w:szCs w:val="28"/>
              </w:rPr>
            </w:pPr>
            <w:r w:rsidRPr="008D4DC2">
              <w:rPr>
                <w:rFonts w:hAnsi="標楷體" w:hint="eastAsia"/>
                <w:color w:val="000000"/>
                <w:sz w:val="28"/>
                <w:szCs w:val="28"/>
              </w:rPr>
              <w:t>分區</w:t>
            </w:r>
          </w:p>
        </w:tc>
        <w:tc>
          <w:tcPr>
            <w:tcW w:w="1843" w:type="dxa"/>
            <w:vAlign w:val="center"/>
          </w:tcPr>
          <w:p w:rsidR="00804E2D" w:rsidRPr="008D4DC2" w:rsidRDefault="00804E2D" w:rsidP="006C1436">
            <w:pPr>
              <w:spacing w:line="360" w:lineRule="exact"/>
              <w:jc w:val="center"/>
              <w:rPr>
                <w:rFonts w:hAnsi="標楷體"/>
                <w:color w:val="000000"/>
                <w:sz w:val="28"/>
                <w:szCs w:val="28"/>
              </w:rPr>
            </w:pPr>
            <w:r w:rsidRPr="008D4DC2">
              <w:rPr>
                <w:rFonts w:hAnsi="標楷體" w:hint="eastAsia"/>
                <w:color w:val="000000"/>
                <w:sz w:val="28"/>
                <w:szCs w:val="28"/>
              </w:rPr>
              <w:t>浮筏式牡蠣棚數</w:t>
            </w:r>
          </w:p>
        </w:tc>
        <w:tc>
          <w:tcPr>
            <w:tcW w:w="2835" w:type="dxa"/>
            <w:vAlign w:val="center"/>
          </w:tcPr>
          <w:p w:rsidR="00804E2D" w:rsidRPr="008D4DC2" w:rsidRDefault="00804E2D" w:rsidP="006C1436">
            <w:pPr>
              <w:spacing w:line="360" w:lineRule="exact"/>
              <w:jc w:val="center"/>
              <w:rPr>
                <w:rFonts w:hAnsi="標楷體"/>
                <w:color w:val="000000"/>
                <w:sz w:val="28"/>
                <w:szCs w:val="28"/>
              </w:rPr>
            </w:pPr>
            <w:r w:rsidRPr="008D4DC2">
              <w:rPr>
                <w:rFonts w:hAnsi="標楷體" w:hint="eastAsia"/>
                <w:color w:val="000000"/>
                <w:sz w:val="28"/>
                <w:szCs w:val="28"/>
              </w:rPr>
              <w:t>核發區劃漁業權執照棚數</w:t>
            </w:r>
          </w:p>
        </w:tc>
      </w:tr>
      <w:tr w:rsidR="006C1436" w:rsidRPr="008D4DC2" w:rsidTr="00B742C2">
        <w:tblPrEx>
          <w:tblCellMar>
            <w:left w:w="108" w:type="dxa"/>
            <w:right w:w="108" w:type="dxa"/>
          </w:tblCellMar>
          <w:tblLook w:val="01E0" w:firstRow="1" w:lastRow="1" w:firstColumn="1" w:lastColumn="1" w:noHBand="0" w:noVBand="0"/>
        </w:tblPrEx>
        <w:trPr>
          <w:trHeight w:val="261"/>
        </w:trPr>
        <w:tc>
          <w:tcPr>
            <w:tcW w:w="2835" w:type="dxa"/>
          </w:tcPr>
          <w:p w:rsidR="006C1436" w:rsidRPr="008D4DC2" w:rsidRDefault="006C1436" w:rsidP="005D6D1F">
            <w:pPr>
              <w:spacing w:line="360" w:lineRule="exact"/>
              <w:jc w:val="left"/>
              <w:rPr>
                <w:rFonts w:hAnsi="標楷體"/>
                <w:color w:val="000000"/>
                <w:sz w:val="28"/>
                <w:szCs w:val="28"/>
              </w:rPr>
            </w:pPr>
            <w:r w:rsidRPr="008D4DC2">
              <w:rPr>
                <w:rFonts w:hAnsi="標楷體" w:hint="eastAsia"/>
                <w:color w:val="000000"/>
                <w:sz w:val="28"/>
                <w:szCs w:val="28"/>
              </w:rPr>
              <w:t>區劃漁業權</w:t>
            </w:r>
            <w:r w:rsidR="00C61969">
              <w:rPr>
                <w:rFonts w:hAnsi="標楷體" w:hint="eastAsia"/>
                <w:color w:val="000000"/>
                <w:sz w:val="28"/>
                <w:szCs w:val="28"/>
              </w:rPr>
              <w:t>範圍</w:t>
            </w:r>
            <w:r>
              <w:rPr>
                <w:rFonts w:hAnsi="標楷體" w:hint="eastAsia"/>
                <w:color w:val="000000"/>
                <w:sz w:val="28"/>
                <w:szCs w:val="28"/>
              </w:rPr>
              <w:t>內</w:t>
            </w:r>
          </w:p>
        </w:tc>
        <w:tc>
          <w:tcPr>
            <w:tcW w:w="1843" w:type="dxa"/>
          </w:tcPr>
          <w:p w:rsidR="006C1436" w:rsidRPr="00ED1B25" w:rsidRDefault="006C1436" w:rsidP="00ED1B25">
            <w:pPr>
              <w:spacing w:line="360" w:lineRule="exact"/>
              <w:jc w:val="right"/>
              <w:rPr>
                <w:rFonts w:hAnsi="標楷體"/>
                <w:color w:val="000000"/>
                <w:sz w:val="28"/>
                <w:szCs w:val="28"/>
              </w:rPr>
            </w:pPr>
            <w:r w:rsidRPr="00ED1B25">
              <w:rPr>
                <w:rFonts w:hAnsi="標楷體" w:hint="eastAsia"/>
                <w:color w:val="000000"/>
                <w:sz w:val="28"/>
                <w:szCs w:val="28"/>
              </w:rPr>
              <w:t>5,794</w:t>
            </w:r>
          </w:p>
        </w:tc>
        <w:tc>
          <w:tcPr>
            <w:tcW w:w="2835" w:type="dxa"/>
          </w:tcPr>
          <w:p w:rsidR="006C1436" w:rsidRPr="008D4DC2" w:rsidRDefault="006C1436" w:rsidP="00ED1B25">
            <w:pPr>
              <w:spacing w:line="360" w:lineRule="exact"/>
              <w:jc w:val="center"/>
              <w:rPr>
                <w:rFonts w:hAnsi="標楷體"/>
                <w:color w:val="000000"/>
                <w:sz w:val="28"/>
                <w:szCs w:val="28"/>
              </w:rPr>
            </w:pPr>
            <w:r>
              <w:rPr>
                <w:rFonts w:hAnsi="標楷體" w:hint="eastAsia"/>
                <w:color w:val="000000"/>
                <w:sz w:val="28"/>
                <w:szCs w:val="28"/>
              </w:rPr>
              <w:t>0</w:t>
            </w:r>
          </w:p>
        </w:tc>
      </w:tr>
      <w:tr w:rsidR="00ED1B25" w:rsidRPr="008D4DC2" w:rsidTr="00B742C2">
        <w:tblPrEx>
          <w:tblCellMar>
            <w:left w:w="108" w:type="dxa"/>
            <w:right w:w="108" w:type="dxa"/>
          </w:tblCellMar>
          <w:tblLook w:val="01E0" w:firstRow="1" w:lastRow="1" w:firstColumn="1" w:lastColumn="1" w:noHBand="0" w:noVBand="0"/>
        </w:tblPrEx>
        <w:trPr>
          <w:trHeight w:val="261"/>
        </w:trPr>
        <w:tc>
          <w:tcPr>
            <w:tcW w:w="2835" w:type="dxa"/>
          </w:tcPr>
          <w:p w:rsidR="00ED1B25" w:rsidRPr="008D4DC2" w:rsidRDefault="00ED1B25" w:rsidP="00ED1B25">
            <w:pPr>
              <w:spacing w:line="360" w:lineRule="exact"/>
              <w:jc w:val="left"/>
              <w:rPr>
                <w:rFonts w:hAnsi="標楷體"/>
                <w:color w:val="000000"/>
                <w:sz w:val="28"/>
                <w:szCs w:val="28"/>
              </w:rPr>
            </w:pPr>
            <w:r w:rsidRPr="008D4DC2">
              <w:rPr>
                <w:rFonts w:hAnsi="標楷體" w:hint="eastAsia"/>
                <w:color w:val="000000"/>
                <w:sz w:val="28"/>
                <w:szCs w:val="28"/>
              </w:rPr>
              <w:t>區劃漁業權</w:t>
            </w:r>
            <w:r w:rsidR="00C61969">
              <w:rPr>
                <w:rFonts w:hAnsi="標楷體" w:hint="eastAsia"/>
                <w:color w:val="000000"/>
                <w:sz w:val="28"/>
                <w:szCs w:val="28"/>
              </w:rPr>
              <w:t>範圍</w:t>
            </w:r>
            <w:r>
              <w:rPr>
                <w:rFonts w:hAnsi="標楷體" w:hint="eastAsia"/>
                <w:color w:val="000000"/>
                <w:sz w:val="28"/>
                <w:szCs w:val="28"/>
              </w:rPr>
              <w:t>外</w:t>
            </w:r>
          </w:p>
        </w:tc>
        <w:tc>
          <w:tcPr>
            <w:tcW w:w="1843" w:type="dxa"/>
          </w:tcPr>
          <w:p w:rsidR="00ED1B25" w:rsidRPr="00ED1B25" w:rsidRDefault="00ED1B25" w:rsidP="00ED1B25">
            <w:pPr>
              <w:spacing w:line="360" w:lineRule="exact"/>
              <w:jc w:val="right"/>
              <w:rPr>
                <w:rFonts w:hAnsi="標楷體"/>
                <w:color w:val="000000"/>
                <w:sz w:val="28"/>
                <w:szCs w:val="28"/>
              </w:rPr>
            </w:pPr>
            <w:r w:rsidRPr="00ED1B25">
              <w:rPr>
                <w:rFonts w:hint="eastAsia"/>
                <w:sz w:val="28"/>
                <w:szCs w:val="28"/>
              </w:rPr>
              <w:t>3,915</w:t>
            </w:r>
          </w:p>
        </w:tc>
        <w:tc>
          <w:tcPr>
            <w:tcW w:w="2835" w:type="dxa"/>
          </w:tcPr>
          <w:p w:rsidR="00ED1B25" w:rsidRPr="008D4DC2" w:rsidRDefault="00ED1B25" w:rsidP="00ED1B25">
            <w:pPr>
              <w:spacing w:line="360" w:lineRule="exact"/>
              <w:jc w:val="center"/>
              <w:rPr>
                <w:rFonts w:hAnsi="標楷體"/>
                <w:color w:val="000000"/>
                <w:sz w:val="28"/>
                <w:szCs w:val="28"/>
              </w:rPr>
            </w:pPr>
            <w:r>
              <w:rPr>
                <w:rFonts w:hAnsi="標楷體" w:hint="eastAsia"/>
                <w:color w:val="000000"/>
                <w:sz w:val="28"/>
                <w:szCs w:val="28"/>
              </w:rPr>
              <w:t>0</w:t>
            </w:r>
          </w:p>
        </w:tc>
      </w:tr>
      <w:tr w:rsidR="006C1436" w:rsidRPr="008D4DC2" w:rsidTr="00B742C2">
        <w:tblPrEx>
          <w:tblCellMar>
            <w:left w:w="108" w:type="dxa"/>
            <w:right w:w="108" w:type="dxa"/>
          </w:tblCellMar>
          <w:tblLook w:val="01E0" w:firstRow="1" w:lastRow="1" w:firstColumn="1" w:lastColumn="1" w:noHBand="0" w:noVBand="0"/>
        </w:tblPrEx>
        <w:trPr>
          <w:trHeight w:val="370"/>
        </w:trPr>
        <w:tc>
          <w:tcPr>
            <w:tcW w:w="2835" w:type="dxa"/>
          </w:tcPr>
          <w:p w:rsidR="006C1436" w:rsidRPr="00ED1B25" w:rsidRDefault="006C1436" w:rsidP="00ED1B25">
            <w:pPr>
              <w:spacing w:line="360" w:lineRule="exact"/>
              <w:ind w:firstLineChars="285" w:firstLine="741"/>
              <w:jc w:val="left"/>
              <w:rPr>
                <w:rFonts w:hAnsi="標楷體"/>
                <w:color w:val="000000"/>
                <w:sz w:val="24"/>
                <w:szCs w:val="24"/>
              </w:rPr>
            </w:pPr>
            <w:r w:rsidRPr="00ED1B25">
              <w:rPr>
                <w:rFonts w:hAnsi="標楷體" w:hint="eastAsia"/>
                <w:color w:val="000000"/>
                <w:sz w:val="24"/>
                <w:szCs w:val="24"/>
              </w:rPr>
              <w:t>布袋商港範圍外</w:t>
            </w:r>
          </w:p>
        </w:tc>
        <w:tc>
          <w:tcPr>
            <w:tcW w:w="1843" w:type="dxa"/>
          </w:tcPr>
          <w:p w:rsidR="006C1436" w:rsidRPr="005E19F3" w:rsidRDefault="006C1436" w:rsidP="00ED1B25">
            <w:pPr>
              <w:spacing w:line="360" w:lineRule="exact"/>
              <w:jc w:val="right"/>
              <w:rPr>
                <w:rFonts w:hAnsi="標楷體"/>
                <w:color w:val="000000"/>
                <w:sz w:val="24"/>
                <w:szCs w:val="24"/>
              </w:rPr>
            </w:pPr>
            <w:r w:rsidRPr="005E19F3">
              <w:rPr>
                <w:rFonts w:hAnsi="標楷體" w:hint="eastAsia"/>
                <w:color w:val="000000"/>
                <w:sz w:val="24"/>
                <w:szCs w:val="24"/>
              </w:rPr>
              <w:t>3,302</w:t>
            </w:r>
          </w:p>
        </w:tc>
        <w:tc>
          <w:tcPr>
            <w:tcW w:w="2835" w:type="dxa"/>
          </w:tcPr>
          <w:p w:rsidR="006C1436" w:rsidRPr="005E19F3" w:rsidRDefault="006C1436" w:rsidP="00ED1B25">
            <w:pPr>
              <w:spacing w:line="360" w:lineRule="exact"/>
              <w:jc w:val="center"/>
              <w:rPr>
                <w:rFonts w:hAnsi="標楷體"/>
                <w:color w:val="000000"/>
                <w:sz w:val="28"/>
                <w:szCs w:val="28"/>
              </w:rPr>
            </w:pPr>
            <w:r w:rsidRPr="005E19F3">
              <w:rPr>
                <w:rFonts w:hAnsi="標楷體" w:hint="eastAsia"/>
                <w:color w:val="000000"/>
                <w:sz w:val="28"/>
                <w:szCs w:val="28"/>
              </w:rPr>
              <w:t>0</w:t>
            </w:r>
          </w:p>
        </w:tc>
      </w:tr>
      <w:tr w:rsidR="006C1436" w:rsidRPr="008D4DC2" w:rsidTr="00B742C2">
        <w:tblPrEx>
          <w:tblCellMar>
            <w:left w:w="108" w:type="dxa"/>
            <w:right w:w="108" w:type="dxa"/>
          </w:tblCellMar>
          <w:tblLook w:val="01E0" w:firstRow="1" w:lastRow="1" w:firstColumn="1" w:lastColumn="1" w:noHBand="0" w:noVBand="0"/>
        </w:tblPrEx>
        <w:trPr>
          <w:trHeight w:val="262"/>
        </w:trPr>
        <w:tc>
          <w:tcPr>
            <w:tcW w:w="2835" w:type="dxa"/>
          </w:tcPr>
          <w:p w:rsidR="006C1436" w:rsidRPr="00ED1B25" w:rsidRDefault="006C1436" w:rsidP="00ED1B25">
            <w:pPr>
              <w:spacing w:line="360" w:lineRule="exact"/>
              <w:ind w:leftChars="215" w:left="822" w:hangingChars="35" w:hanging="91"/>
              <w:jc w:val="left"/>
              <w:rPr>
                <w:rFonts w:hAnsi="標楷體"/>
                <w:color w:val="000000"/>
                <w:sz w:val="24"/>
                <w:szCs w:val="24"/>
              </w:rPr>
            </w:pPr>
            <w:r w:rsidRPr="00ED1B25">
              <w:rPr>
                <w:rFonts w:hAnsi="標楷體" w:hint="eastAsia"/>
                <w:color w:val="000000"/>
                <w:sz w:val="24"/>
                <w:szCs w:val="24"/>
              </w:rPr>
              <w:t>布袋商港範圍內</w:t>
            </w:r>
          </w:p>
        </w:tc>
        <w:tc>
          <w:tcPr>
            <w:tcW w:w="1843" w:type="dxa"/>
          </w:tcPr>
          <w:p w:rsidR="006C1436" w:rsidRPr="005E19F3" w:rsidRDefault="006C1436" w:rsidP="00ED1B25">
            <w:pPr>
              <w:spacing w:line="360" w:lineRule="exact"/>
              <w:jc w:val="right"/>
              <w:rPr>
                <w:rFonts w:hAnsi="標楷體"/>
                <w:color w:val="000000"/>
                <w:sz w:val="24"/>
                <w:szCs w:val="24"/>
              </w:rPr>
            </w:pPr>
            <w:r w:rsidRPr="005E19F3">
              <w:rPr>
                <w:rFonts w:hAnsi="標楷體"/>
                <w:color w:val="000000"/>
                <w:sz w:val="24"/>
                <w:szCs w:val="24"/>
              </w:rPr>
              <w:t>613</w:t>
            </w:r>
          </w:p>
        </w:tc>
        <w:tc>
          <w:tcPr>
            <w:tcW w:w="2835" w:type="dxa"/>
          </w:tcPr>
          <w:p w:rsidR="006C1436" w:rsidRPr="008D4DC2" w:rsidRDefault="006C1436" w:rsidP="00ED1B25">
            <w:pPr>
              <w:spacing w:line="360" w:lineRule="exact"/>
              <w:jc w:val="center"/>
              <w:rPr>
                <w:rFonts w:hAnsi="標楷體"/>
                <w:color w:val="000000"/>
                <w:sz w:val="28"/>
                <w:szCs w:val="28"/>
              </w:rPr>
            </w:pPr>
            <w:r w:rsidRPr="008D4DC2">
              <w:rPr>
                <w:rFonts w:hAnsi="標楷體"/>
                <w:color w:val="000000"/>
                <w:sz w:val="28"/>
                <w:szCs w:val="28"/>
              </w:rPr>
              <w:t>0</w:t>
            </w:r>
          </w:p>
        </w:tc>
      </w:tr>
      <w:tr w:rsidR="006C1436" w:rsidRPr="008D4DC2" w:rsidTr="00B742C2">
        <w:tblPrEx>
          <w:tblCellMar>
            <w:left w:w="108" w:type="dxa"/>
            <w:right w:w="108" w:type="dxa"/>
          </w:tblCellMar>
          <w:tblLook w:val="01E0" w:firstRow="1" w:lastRow="1" w:firstColumn="1" w:lastColumn="1" w:noHBand="0" w:noVBand="0"/>
        </w:tblPrEx>
        <w:trPr>
          <w:trHeight w:val="323"/>
        </w:trPr>
        <w:tc>
          <w:tcPr>
            <w:tcW w:w="2835" w:type="dxa"/>
            <w:vAlign w:val="center"/>
          </w:tcPr>
          <w:p w:rsidR="006C1436" w:rsidRPr="008D4DC2" w:rsidRDefault="006C1436" w:rsidP="00ED1B25">
            <w:pPr>
              <w:spacing w:line="360" w:lineRule="exact"/>
              <w:jc w:val="left"/>
              <w:rPr>
                <w:rFonts w:hAnsi="標楷體"/>
                <w:color w:val="000000"/>
                <w:sz w:val="28"/>
                <w:szCs w:val="28"/>
              </w:rPr>
            </w:pPr>
            <w:r w:rsidRPr="008D4DC2">
              <w:rPr>
                <w:rFonts w:hAnsi="標楷體" w:hint="eastAsia"/>
                <w:color w:val="000000"/>
                <w:sz w:val="28"/>
                <w:szCs w:val="28"/>
              </w:rPr>
              <w:t>總計</w:t>
            </w:r>
          </w:p>
        </w:tc>
        <w:tc>
          <w:tcPr>
            <w:tcW w:w="1843" w:type="dxa"/>
          </w:tcPr>
          <w:p w:rsidR="006C1436" w:rsidRPr="00ED1B25" w:rsidRDefault="006C1436" w:rsidP="00ED1B25">
            <w:pPr>
              <w:spacing w:line="360" w:lineRule="exact"/>
              <w:jc w:val="right"/>
              <w:rPr>
                <w:rFonts w:hAnsi="標楷體"/>
                <w:color w:val="000000"/>
                <w:sz w:val="28"/>
                <w:szCs w:val="28"/>
              </w:rPr>
            </w:pPr>
            <w:r w:rsidRPr="00ED1B25">
              <w:rPr>
                <w:rFonts w:hAnsi="標楷體"/>
                <w:color w:val="000000"/>
                <w:sz w:val="28"/>
                <w:szCs w:val="28"/>
              </w:rPr>
              <w:t>9,709</w:t>
            </w:r>
          </w:p>
        </w:tc>
        <w:tc>
          <w:tcPr>
            <w:tcW w:w="2835" w:type="dxa"/>
          </w:tcPr>
          <w:p w:rsidR="006C1436" w:rsidRPr="008D4DC2" w:rsidRDefault="006C1436" w:rsidP="00ED1B25">
            <w:pPr>
              <w:spacing w:line="360" w:lineRule="exact"/>
              <w:jc w:val="center"/>
              <w:rPr>
                <w:rFonts w:hAnsi="標楷體"/>
                <w:color w:val="000000"/>
                <w:sz w:val="28"/>
                <w:szCs w:val="28"/>
              </w:rPr>
            </w:pPr>
            <w:r w:rsidRPr="008D4DC2">
              <w:rPr>
                <w:rFonts w:hAnsi="標楷體"/>
                <w:color w:val="000000"/>
                <w:sz w:val="28"/>
                <w:szCs w:val="28"/>
              </w:rPr>
              <w:t>0</w:t>
            </w:r>
          </w:p>
        </w:tc>
      </w:tr>
    </w:tbl>
    <w:p w:rsidR="00ED1B25" w:rsidRDefault="005E19F3" w:rsidP="00B742C2">
      <w:pPr>
        <w:pStyle w:val="3"/>
        <w:numPr>
          <w:ilvl w:val="0"/>
          <w:numId w:val="0"/>
        </w:numPr>
        <w:ind w:leftChars="167" w:left="568" w:firstLineChars="326" w:firstLine="848"/>
        <w:rPr>
          <w:sz w:val="24"/>
          <w:szCs w:val="24"/>
        </w:rPr>
      </w:pPr>
      <w:r>
        <w:rPr>
          <w:rFonts w:hint="eastAsia"/>
          <w:sz w:val="24"/>
          <w:szCs w:val="24"/>
        </w:rPr>
        <w:t>資料來源：</w:t>
      </w:r>
      <w:r w:rsidRPr="002D441B">
        <w:rPr>
          <w:rFonts w:hint="eastAsia"/>
          <w:sz w:val="24"/>
          <w:szCs w:val="24"/>
        </w:rPr>
        <w:t>漁業署</w:t>
      </w:r>
      <w:r>
        <w:rPr>
          <w:rFonts w:hint="eastAsia"/>
          <w:sz w:val="24"/>
          <w:szCs w:val="24"/>
        </w:rPr>
        <w:t>。</w:t>
      </w:r>
    </w:p>
    <w:p w:rsidR="005E19F3" w:rsidRDefault="005E19F3" w:rsidP="00804E2D">
      <w:pPr>
        <w:pStyle w:val="3"/>
        <w:numPr>
          <w:ilvl w:val="0"/>
          <w:numId w:val="0"/>
        </w:numPr>
        <w:ind w:left="1361"/>
        <w:rPr>
          <w:rFonts w:hAnsi="標楷體"/>
          <w:color w:val="000000"/>
          <w:szCs w:val="32"/>
        </w:rPr>
      </w:pPr>
    </w:p>
    <w:p w:rsidR="00BE1539" w:rsidRDefault="00ED1B25" w:rsidP="00ED1B25">
      <w:pPr>
        <w:pStyle w:val="3"/>
        <w:numPr>
          <w:ilvl w:val="0"/>
          <w:numId w:val="0"/>
        </w:numPr>
        <w:ind w:left="1361" w:firstLineChars="183" w:firstLine="622"/>
        <w:rPr>
          <w:rFonts w:hAnsi="標楷體"/>
        </w:rPr>
      </w:pPr>
      <w:r>
        <w:rPr>
          <w:rFonts w:hint="eastAsia"/>
        </w:rPr>
        <w:t>關於納管問題，</w:t>
      </w:r>
      <w:r w:rsidR="00BE1539">
        <w:rPr>
          <w:rFonts w:hint="eastAsia"/>
        </w:rPr>
        <w:t>茲以</w:t>
      </w:r>
      <w:r w:rsidR="00957618">
        <w:rPr>
          <w:rFonts w:ascii="新細明體" w:eastAsia="新細明體" w:hAnsi="新細明體" w:hint="eastAsia"/>
        </w:rPr>
        <w:t>「</w:t>
      </w:r>
      <w:r w:rsidR="00BE1539" w:rsidRPr="00BE1539">
        <w:rPr>
          <w:rFonts w:hint="eastAsia"/>
        </w:rPr>
        <w:t>區劃漁業權</w:t>
      </w:r>
      <w:r w:rsidR="00C61969">
        <w:rPr>
          <w:rFonts w:hint="eastAsia"/>
        </w:rPr>
        <w:t>範圍</w:t>
      </w:r>
      <w:r w:rsidR="00BE1539" w:rsidRPr="00BE1539">
        <w:rPr>
          <w:rFonts w:hint="eastAsia"/>
        </w:rPr>
        <w:t>內</w:t>
      </w:r>
      <w:r w:rsidR="00957618">
        <w:rPr>
          <w:rFonts w:hAnsi="標楷體" w:hint="eastAsia"/>
        </w:rPr>
        <w:t>」</w:t>
      </w:r>
      <w:r w:rsidR="00BE1539" w:rsidRPr="00BE1539">
        <w:rPr>
          <w:rFonts w:hint="eastAsia"/>
        </w:rPr>
        <w:t>及</w:t>
      </w:r>
      <w:r w:rsidR="00957618">
        <w:rPr>
          <w:rFonts w:ascii="新細明體" w:eastAsia="新細明體" w:hAnsi="新細明體" w:hint="eastAsia"/>
        </w:rPr>
        <w:t>「</w:t>
      </w:r>
      <w:r w:rsidR="00957618" w:rsidRPr="00BE1539">
        <w:rPr>
          <w:rFonts w:hint="eastAsia"/>
        </w:rPr>
        <w:t>區劃漁業權</w:t>
      </w:r>
      <w:r w:rsidR="00C61969">
        <w:rPr>
          <w:rFonts w:hint="eastAsia"/>
        </w:rPr>
        <w:t>範圍</w:t>
      </w:r>
      <w:r w:rsidR="00957618">
        <w:rPr>
          <w:rFonts w:hint="eastAsia"/>
        </w:rPr>
        <w:t>外</w:t>
      </w:r>
      <w:r w:rsidR="00957618">
        <w:rPr>
          <w:rFonts w:hAnsi="標楷體" w:hint="eastAsia"/>
        </w:rPr>
        <w:t>」2分區方式，論述如下：</w:t>
      </w:r>
    </w:p>
    <w:p w:rsidR="00C61969" w:rsidRDefault="00C61969" w:rsidP="00C61969">
      <w:pPr>
        <w:pStyle w:val="4"/>
      </w:pPr>
      <w:r w:rsidRPr="00BE1539">
        <w:rPr>
          <w:rFonts w:hint="eastAsia"/>
        </w:rPr>
        <w:t>區劃漁業權</w:t>
      </w:r>
      <w:r>
        <w:rPr>
          <w:rFonts w:hint="eastAsia"/>
        </w:rPr>
        <w:t>範圍</w:t>
      </w:r>
      <w:r w:rsidRPr="00BE1539">
        <w:rPr>
          <w:rFonts w:hint="eastAsia"/>
        </w:rPr>
        <w:t>內</w:t>
      </w:r>
      <w:r>
        <w:rPr>
          <w:rFonts w:hint="eastAsia"/>
        </w:rPr>
        <w:t>：</w:t>
      </w:r>
    </w:p>
    <w:p w:rsidR="00143063" w:rsidRPr="003420F7" w:rsidRDefault="00143063" w:rsidP="007F6268">
      <w:pPr>
        <w:pStyle w:val="5"/>
        <w:rPr>
          <w:spacing w:val="4"/>
        </w:rPr>
      </w:pPr>
      <w:r w:rsidRPr="003420F7">
        <w:rPr>
          <w:rFonts w:hint="eastAsia"/>
          <w:spacing w:val="4"/>
        </w:rPr>
        <w:t>據農委會查復表示</w:t>
      </w:r>
      <w:r w:rsidR="00C61969" w:rsidRPr="003420F7">
        <w:rPr>
          <w:rStyle w:val="afe"/>
          <w:spacing w:val="4"/>
        </w:rPr>
        <w:footnoteReference w:id="4"/>
      </w:r>
      <w:r w:rsidRPr="003420F7">
        <w:rPr>
          <w:rFonts w:hint="eastAsia"/>
          <w:spacing w:val="4"/>
        </w:rPr>
        <w:t>，該會曾於93年</w:t>
      </w:r>
      <w:r w:rsidRPr="003420F7">
        <w:rPr>
          <w:rFonts w:hAnsi="標楷體" w:hint="eastAsia"/>
          <w:spacing w:val="4"/>
        </w:rPr>
        <w:t>補助</w:t>
      </w:r>
      <w:r w:rsidRPr="003420F7">
        <w:rPr>
          <w:rFonts w:hint="eastAsia"/>
          <w:spacing w:val="4"/>
        </w:rPr>
        <w:t>嘉義縣政府辦理「嘉義縣區劃漁業權劃設現況調查」</w:t>
      </w:r>
      <w:r w:rsidR="00C61969" w:rsidRPr="003420F7">
        <w:rPr>
          <w:rFonts w:hAnsi="標楷體" w:hint="eastAsia"/>
          <w:spacing w:val="4"/>
        </w:rPr>
        <w:t>【</w:t>
      </w:r>
      <w:r w:rsidR="005E19F3" w:rsidRPr="003420F7">
        <w:rPr>
          <w:rFonts w:hint="eastAsia"/>
          <w:spacing w:val="4"/>
        </w:rPr>
        <w:t>漁業署</w:t>
      </w:r>
      <w:r w:rsidRPr="003420F7">
        <w:rPr>
          <w:rFonts w:hint="eastAsia"/>
          <w:spacing w:val="4"/>
        </w:rPr>
        <w:t>補助200萬元，縣府配合11萬元</w:t>
      </w:r>
      <w:r w:rsidR="00C61969" w:rsidRPr="003420F7">
        <w:rPr>
          <w:rFonts w:hAnsi="標楷體" w:hint="eastAsia"/>
          <w:spacing w:val="4"/>
        </w:rPr>
        <w:t>】</w:t>
      </w:r>
      <w:r w:rsidRPr="003420F7">
        <w:rPr>
          <w:rFonts w:hint="eastAsia"/>
          <w:spacing w:val="4"/>
        </w:rPr>
        <w:t>，初步將嘉義縣沿海平掛式牡蠣及2/3浮筏式牡蠣納入規劃範圍，共規劃45區之</w:t>
      </w:r>
      <w:r w:rsidRPr="003420F7">
        <w:rPr>
          <w:rFonts w:hint="eastAsia"/>
          <w:color w:val="000000" w:themeColor="text1"/>
          <w:spacing w:val="4"/>
        </w:rPr>
        <w:t>區劃漁業權</w:t>
      </w:r>
      <w:r w:rsidR="00C61969" w:rsidRPr="003420F7">
        <w:rPr>
          <w:rFonts w:hint="eastAsia"/>
          <w:color w:val="000000" w:themeColor="text1"/>
          <w:spacing w:val="4"/>
        </w:rPr>
        <w:t>；</w:t>
      </w:r>
      <w:r w:rsidRPr="003420F7">
        <w:rPr>
          <w:rFonts w:hint="eastAsia"/>
          <w:color w:val="000000" w:themeColor="text1"/>
          <w:spacing w:val="4"/>
        </w:rPr>
        <w:t>鑑於94年時該縣牡蠣養殖，</w:t>
      </w:r>
      <w:r w:rsidR="00BE1539" w:rsidRPr="003420F7">
        <w:rPr>
          <w:rFonts w:hint="eastAsia"/>
          <w:color w:val="000000" w:themeColor="text1"/>
          <w:spacing w:val="4"/>
        </w:rPr>
        <w:t>仍未</w:t>
      </w:r>
      <w:r w:rsidRPr="003420F7">
        <w:rPr>
          <w:rFonts w:hint="eastAsia"/>
          <w:color w:val="000000" w:themeColor="text1"/>
          <w:spacing w:val="4"/>
        </w:rPr>
        <w:t>核發區劃漁業權執照，</w:t>
      </w:r>
      <w:r w:rsidR="005E19F3" w:rsidRPr="003420F7">
        <w:rPr>
          <w:rFonts w:hint="eastAsia"/>
          <w:color w:val="000000" w:themeColor="text1"/>
          <w:spacing w:val="4"/>
        </w:rPr>
        <w:t>漁業署</w:t>
      </w:r>
      <w:r w:rsidRPr="003420F7">
        <w:rPr>
          <w:rFonts w:hint="eastAsia"/>
          <w:color w:val="000000" w:themeColor="text1"/>
          <w:spacing w:val="4"/>
        </w:rPr>
        <w:t>於94年9月19日函請嘉義縣政府對無爭議性海域先行完成規劃並</w:t>
      </w:r>
      <w:r w:rsidR="001F4AA9" w:rsidRPr="003420F7">
        <w:rPr>
          <w:rFonts w:hint="eastAsia"/>
          <w:color w:val="000000" w:themeColor="text1"/>
          <w:spacing w:val="4"/>
        </w:rPr>
        <w:t>核發</w:t>
      </w:r>
      <w:r w:rsidRPr="003420F7">
        <w:rPr>
          <w:rFonts w:hint="eastAsia"/>
          <w:color w:val="000000" w:themeColor="text1"/>
          <w:spacing w:val="4"/>
        </w:rPr>
        <w:t>該區域之區劃漁業權。又</w:t>
      </w:r>
      <w:r w:rsidR="00BE1539" w:rsidRPr="003420F7">
        <w:rPr>
          <w:rFonts w:hint="eastAsia"/>
          <w:color w:val="000000" w:themeColor="text1"/>
          <w:spacing w:val="4"/>
        </w:rPr>
        <w:t>，</w:t>
      </w:r>
      <w:r w:rsidRPr="003420F7">
        <w:rPr>
          <w:rFonts w:hint="eastAsia"/>
          <w:color w:val="000000" w:themeColor="text1"/>
          <w:spacing w:val="4"/>
        </w:rPr>
        <w:t>95年</w:t>
      </w:r>
      <w:r w:rsidR="00C61969" w:rsidRPr="003420F7">
        <w:rPr>
          <w:rFonts w:hint="eastAsia"/>
          <w:color w:val="000000" w:themeColor="text1"/>
          <w:spacing w:val="4"/>
        </w:rPr>
        <w:t>補助</w:t>
      </w:r>
      <w:r w:rsidRPr="003420F7">
        <w:rPr>
          <w:rFonts w:hint="eastAsia"/>
          <w:color w:val="000000" w:themeColor="text1"/>
          <w:spacing w:val="4"/>
        </w:rPr>
        <w:t>辦理「嘉義縣區劃漁業權編整、繪製及管理作業計畫」（</w:t>
      </w:r>
      <w:r w:rsidR="005E19F3" w:rsidRPr="003420F7">
        <w:rPr>
          <w:rFonts w:hint="eastAsia"/>
          <w:color w:val="000000" w:themeColor="text1"/>
          <w:spacing w:val="4"/>
        </w:rPr>
        <w:t>漁業署</w:t>
      </w:r>
      <w:r w:rsidRPr="003420F7">
        <w:rPr>
          <w:rFonts w:hint="eastAsia"/>
          <w:color w:val="000000" w:themeColor="text1"/>
          <w:spacing w:val="4"/>
        </w:rPr>
        <w:t>補</w:t>
      </w:r>
      <w:r w:rsidRPr="003420F7">
        <w:rPr>
          <w:rFonts w:hint="eastAsia"/>
          <w:spacing w:val="4"/>
        </w:rPr>
        <w:t>助700萬元，縣府配合78萬元﹚，陸續完成45區劃漁業權區指界、劃設</w:t>
      </w:r>
      <w:r w:rsidR="00BE1539" w:rsidRPr="003420F7">
        <w:rPr>
          <w:rFonts w:hint="eastAsia"/>
          <w:spacing w:val="4"/>
        </w:rPr>
        <w:t>；嗣後嘉義縣政府雖曾核發100張浮筏式牡蠣養殖區劃漁業權執照，但期限屆滿5年後，該縣府以浮筏式牡蠣養殖具移動性，無法確認實際位置為由，未</w:t>
      </w:r>
      <w:r w:rsidR="00BE1539" w:rsidRPr="003420F7">
        <w:rPr>
          <w:rFonts w:hint="eastAsia"/>
          <w:spacing w:val="4"/>
        </w:rPr>
        <w:lastRenderedPageBreak/>
        <w:t>再核發</w:t>
      </w:r>
      <w:r w:rsidR="007F6268" w:rsidRPr="003420F7">
        <w:rPr>
          <w:rFonts w:hint="eastAsia"/>
          <w:spacing w:val="4"/>
        </w:rPr>
        <w:t>；且針對此問題，農委會曾43次函催嘉義縣政府儘速辦理漁業權納管</w:t>
      </w:r>
      <w:r w:rsidR="00BE1539" w:rsidRPr="003420F7">
        <w:rPr>
          <w:rFonts w:hint="eastAsia"/>
          <w:spacing w:val="4"/>
        </w:rPr>
        <w:t>，現嘉義縣政府建議應由嘉義區漁會以專用漁業權納管，但此除與前揭計畫目標不符外，漁會亦無申請專用漁業權意願，致區劃漁業權範圍內之牡蠣養殖迄未納管。</w:t>
      </w:r>
      <w:r w:rsidR="001B698B">
        <w:rPr>
          <w:rFonts w:hint="eastAsia"/>
          <w:spacing w:val="4"/>
        </w:rPr>
        <w:t>若遇災害，養殖業者之相關權益自無保障。</w:t>
      </w:r>
    </w:p>
    <w:p w:rsidR="005D6F4B" w:rsidRPr="00434B82" w:rsidRDefault="005D6F4B" w:rsidP="00434B82">
      <w:pPr>
        <w:pStyle w:val="5"/>
      </w:pPr>
      <w:r>
        <w:rPr>
          <w:rFonts w:hint="eastAsia"/>
        </w:rPr>
        <w:t>另據嘉義縣政府表示，</w:t>
      </w:r>
      <w:r w:rsidR="002F709B" w:rsidRPr="002F709B">
        <w:rPr>
          <w:rFonts w:hint="eastAsia"/>
        </w:rPr>
        <w:t>浮筏式蚵棚養殖位置並</w:t>
      </w:r>
      <w:r w:rsidR="001B698B">
        <w:rPr>
          <w:rFonts w:hint="eastAsia"/>
        </w:rPr>
        <w:t>不</w:t>
      </w:r>
      <w:r w:rsidR="002F709B" w:rsidRPr="002F709B">
        <w:rPr>
          <w:rFonts w:hint="eastAsia"/>
        </w:rPr>
        <w:t>固定，會隨著養殖期程及避風需要拖移蚵棚，即並非常年在同一</w:t>
      </w:r>
      <w:r w:rsidR="003D5C07">
        <w:rPr>
          <w:rFonts w:hint="eastAsia"/>
        </w:rPr>
        <w:t>區</w:t>
      </w:r>
      <w:r w:rsidR="002F709B" w:rsidRPr="002F709B">
        <w:rPr>
          <w:rFonts w:hint="eastAsia"/>
        </w:rPr>
        <w:t>位上，</w:t>
      </w:r>
      <w:r w:rsidR="00434B82">
        <w:rPr>
          <w:rFonts w:hint="eastAsia"/>
        </w:rPr>
        <w:t>難以確認實際位置；且</w:t>
      </w:r>
      <w:r w:rsidR="002F709B" w:rsidRPr="002F709B">
        <w:rPr>
          <w:rFonts w:hint="eastAsia"/>
        </w:rPr>
        <w:t>漁業權視為物權，準用</w:t>
      </w:r>
      <w:r w:rsidR="00944BC7">
        <w:rPr>
          <w:rFonts w:hAnsi="標楷體" w:hint="eastAsia"/>
          <w:color w:val="7030A0"/>
        </w:rPr>
        <w:t>「</w:t>
      </w:r>
      <w:r w:rsidR="002F709B" w:rsidRPr="006259AC">
        <w:rPr>
          <w:rFonts w:hint="eastAsia"/>
          <w:color w:val="000000" w:themeColor="text1"/>
        </w:rPr>
        <w:t>民法</w:t>
      </w:r>
      <w:r w:rsidR="00944BC7" w:rsidRPr="006259AC">
        <w:rPr>
          <w:rFonts w:hAnsi="標楷體" w:hint="eastAsia"/>
          <w:color w:val="000000" w:themeColor="text1"/>
        </w:rPr>
        <w:t>」</w:t>
      </w:r>
      <w:r w:rsidR="00451D13" w:rsidRPr="006259AC">
        <w:rPr>
          <w:rFonts w:hAnsi="標楷體" w:hint="eastAsia"/>
          <w:color w:val="000000" w:themeColor="text1"/>
        </w:rPr>
        <w:t>有</w:t>
      </w:r>
      <w:r w:rsidR="002F709B" w:rsidRPr="006259AC">
        <w:rPr>
          <w:rFonts w:hint="eastAsia"/>
          <w:color w:val="000000" w:themeColor="text1"/>
        </w:rPr>
        <w:t>關</w:t>
      </w:r>
      <w:r w:rsidR="002F709B" w:rsidRPr="002F709B">
        <w:rPr>
          <w:rFonts w:hint="eastAsia"/>
        </w:rPr>
        <w:t>不動產物權之規定，區劃漁業權具有繼承、讓與、</w:t>
      </w:r>
      <w:r w:rsidR="002F709B" w:rsidRPr="00174A52">
        <w:rPr>
          <w:rFonts w:hint="eastAsia"/>
          <w:color w:val="000000" w:themeColor="text1"/>
        </w:rPr>
        <w:t>抵押之權利，而專用漁業權之入漁權，僅有繼承及讓與之權利，沒有抵押權，因浮筏式牡蠣</w:t>
      </w:r>
      <w:r w:rsidR="00ED11D9" w:rsidRPr="00174A52">
        <w:rPr>
          <w:rFonts w:hint="eastAsia"/>
          <w:color w:val="000000" w:themeColor="text1"/>
        </w:rPr>
        <w:t>具非</w:t>
      </w:r>
      <w:r w:rsidR="002F709B" w:rsidRPr="00174A52">
        <w:rPr>
          <w:rFonts w:hint="eastAsia"/>
          <w:color w:val="000000" w:themeColor="text1"/>
        </w:rPr>
        <w:t>常年在同一位置養殖之特性，就物權而言，並不適用區劃漁業權納管（有抵押權），否則易造成海域使用權利之爭議</w:t>
      </w:r>
      <w:r w:rsidR="00434B82" w:rsidRPr="00174A52">
        <w:rPr>
          <w:rFonts w:hint="eastAsia"/>
          <w:color w:val="000000" w:themeColor="text1"/>
        </w:rPr>
        <w:t>；再者，</w:t>
      </w:r>
      <w:r w:rsidR="002F709B" w:rsidRPr="00174A52">
        <w:rPr>
          <w:rFonts w:hint="eastAsia"/>
          <w:color w:val="000000" w:themeColor="text1"/>
        </w:rPr>
        <w:t>區劃漁業權具漁場獨占使用權，完全排他使用，因浮筏式牡蠣養殖非終年固定於同一漁場(區劃海域)，若以區劃漁業權管理，將減少海域相容使用之空間。</w:t>
      </w:r>
      <w:r w:rsidR="00434B82" w:rsidRPr="00174A52">
        <w:rPr>
          <w:rFonts w:hint="eastAsia"/>
          <w:color w:val="000000" w:themeColor="text1"/>
        </w:rPr>
        <w:t>基此，嘉義縣政府認為目前區劃漁業權範圍內之5,794棚浮筏式養殖牡蠣，應以「專用漁業權」</w:t>
      </w:r>
      <w:r w:rsidR="00434B82" w:rsidRPr="00174A52">
        <w:rPr>
          <w:rFonts w:hAnsi="標楷體" w:hint="eastAsia"/>
          <w:color w:val="000000" w:themeColor="text1"/>
        </w:rPr>
        <w:t>納管較為</w:t>
      </w:r>
      <w:r w:rsidR="008B7C6D" w:rsidRPr="00174A52">
        <w:rPr>
          <w:rFonts w:hAnsi="標楷體" w:hint="eastAsia"/>
          <w:color w:val="000000" w:themeColor="text1"/>
        </w:rPr>
        <w:t>適當</w:t>
      </w:r>
      <w:r w:rsidR="00434B82" w:rsidRPr="00174A52">
        <w:rPr>
          <w:rFonts w:hAnsi="標楷體" w:hint="eastAsia"/>
          <w:color w:val="000000" w:themeColor="text1"/>
        </w:rPr>
        <w:t>，故</w:t>
      </w:r>
      <w:r w:rsidR="00A13F51">
        <w:rPr>
          <w:rFonts w:hAnsi="標楷體" w:hint="eastAsia"/>
          <w:color w:val="000000" w:themeColor="text1"/>
        </w:rPr>
        <w:t>雖</w:t>
      </w:r>
      <w:r w:rsidR="00434B82" w:rsidRPr="00174A52">
        <w:rPr>
          <w:rFonts w:hAnsi="標楷體" w:hint="eastAsia"/>
          <w:color w:val="000000" w:themeColor="text1"/>
        </w:rPr>
        <w:t>已劃定45區之區劃漁業權，</w:t>
      </w:r>
      <w:r w:rsidR="00A13F51">
        <w:rPr>
          <w:rFonts w:hAnsi="標楷體" w:hint="eastAsia"/>
          <w:color w:val="000000" w:themeColor="text1"/>
        </w:rPr>
        <w:t>然</w:t>
      </w:r>
      <w:r w:rsidR="00434B82" w:rsidRPr="00174A52">
        <w:rPr>
          <w:rFonts w:hAnsi="標楷體" w:hint="eastAsia"/>
          <w:color w:val="000000" w:themeColor="text1"/>
        </w:rPr>
        <w:t>迄今仍未核</w:t>
      </w:r>
      <w:r w:rsidR="00434B82" w:rsidRPr="006259AC">
        <w:rPr>
          <w:rFonts w:hAnsi="標楷體" w:hint="eastAsia"/>
          <w:color w:val="000000" w:themeColor="text1"/>
        </w:rPr>
        <w:t>發執照、未</w:t>
      </w:r>
      <w:r w:rsidR="00ED11D9" w:rsidRPr="006259AC">
        <w:rPr>
          <w:rFonts w:hAnsi="標楷體" w:hint="eastAsia"/>
          <w:color w:val="000000" w:themeColor="text1"/>
        </w:rPr>
        <w:t>予</w:t>
      </w:r>
      <w:r w:rsidR="00434B82">
        <w:rPr>
          <w:rFonts w:hAnsi="標楷體" w:hint="eastAsia"/>
        </w:rPr>
        <w:t>納管。</w:t>
      </w:r>
    </w:p>
    <w:p w:rsidR="00CF0DB8" w:rsidRPr="00174A52" w:rsidRDefault="00434B82" w:rsidP="00FE25DE">
      <w:pPr>
        <w:pStyle w:val="5"/>
        <w:rPr>
          <w:rFonts w:hAnsi="標楷體"/>
          <w:color w:val="000000" w:themeColor="text1"/>
          <w:spacing w:val="-10"/>
          <w:sz w:val="28"/>
          <w:szCs w:val="28"/>
        </w:rPr>
      </w:pPr>
      <w:r>
        <w:rPr>
          <w:rFonts w:hint="eastAsia"/>
        </w:rPr>
        <w:t>本院於詢問時，請</w:t>
      </w:r>
      <w:r w:rsidR="005E19F3">
        <w:rPr>
          <w:rFonts w:hint="eastAsia"/>
        </w:rPr>
        <w:t>漁業署</w:t>
      </w:r>
      <w:r>
        <w:rPr>
          <w:rFonts w:hint="eastAsia"/>
        </w:rPr>
        <w:t>及嘉義縣政府</w:t>
      </w:r>
      <w:r w:rsidR="00CF0DB8">
        <w:rPr>
          <w:rFonts w:hint="eastAsia"/>
        </w:rPr>
        <w:t>進一步</w:t>
      </w:r>
      <w:r>
        <w:rPr>
          <w:rFonts w:hint="eastAsia"/>
        </w:rPr>
        <w:t>說明，</w:t>
      </w:r>
      <w:r w:rsidR="005E19F3">
        <w:rPr>
          <w:rFonts w:hint="eastAsia"/>
        </w:rPr>
        <w:t>漁業署</w:t>
      </w:r>
      <w:r>
        <w:rPr>
          <w:rFonts w:hint="eastAsia"/>
        </w:rPr>
        <w:t>表示</w:t>
      </w:r>
      <w:r w:rsidR="00964540" w:rsidRPr="00964540">
        <w:rPr>
          <w:rFonts w:hAnsi="標楷體" w:hint="eastAsia"/>
          <w:color w:val="7030A0"/>
        </w:rPr>
        <w:t>：「</w:t>
      </w:r>
      <w:r w:rsidR="00CF0DB8">
        <w:rPr>
          <w:rFonts w:hint="eastAsia"/>
        </w:rPr>
        <w:t>關於嘉義縣政府所稱因牡蠣養殖特性及管理技術層面問題，已多次</w:t>
      </w:r>
      <w:r w:rsidR="00567750">
        <w:rPr>
          <w:rFonts w:hint="eastAsia"/>
        </w:rPr>
        <w:t>說明浮筏式養殖以標誌航拍技術管理具可行性，亦即就管理層面而言，現行技術可以克服</w:t>
      </w:r>
      <w:r w:rsidR="00964540">
        <w:rPr>
          <w:rFonts w:hAnsi="標楷體" w:hint="eastAsia"/>
          <w:color w:val="7030A0"/>
        </w:rPr>
        <w:t>」</w:t>
      </w:r>
      <w:r w:rsidR="00F10A9B">
        <w:rPr>
          <w:rFonts w:hint="eastAsia"/>
        </w:rPr>
        <w:t>等語。</w:t>
      </w:r>
      <w:r w:rsidR="00CF754C">
        <w:rPr>
          <w:rFonts w:hint="eastAsia"/>
        </w:rPr>
        <w:t>另</w:t>
      </w:r>
      <w:r w:rsidR="00F10A9B">
        <w:rPr>
          <w:rFonts w:hint="eastAsia"/>
        </w:rPr>
        <w:t>嘉義縣政府表</w:t>
      </w:r>
      <w:r w:rsidR="00F10A9B" w:rsidRPr="00174A52">
        <w:rPr>
          <w:rFonts w:hint="eastAsia"/>
          <w:color w:val="000000" w:themeColor="text1"/>
        </w:rPr>
        <w:t>示</w:t>
      </w:r>
      <w:r w:rsidR="00FE25DE" w:rsidRPr="00174A52">
        <w:rPr>
          <w:rFonts w:hAnsi="標楷體" w:hint="eastAsia"/>
          <w:color w:val="000000" w:themeColor="text1"/>
        </w:rPr>
        <w:t>：「</w:t>
      </w:r>
      <w:r w:rsidR="00F10A9B" w:rsidRPr="00174A52">
        <w:rPr>
          <w:rFonts w:hint="eastAsia"/>
          <w:color w:val="000000" w:themeColor="text1"/>
        </w:rPr>
        <w:t>95年即開始辦理</w:t>
      </w:r>
      <w:r w:rsidR="00FE25DE" w:rsidRPr="00174A52">
        <w:rPr>
          <w:rFonts w:hAnsi="標楷體" w:hint="eastAsia"/>
          <w:color w:val="000000" w:themeColor="text1"/>
        </w:rPr>
        <w:t>『</w:t>
      </w:r>
      <w:r w:rsidR="00F10A9B" w:rsidRPr="00174A52">
        <w:rPr>
          <w:rFonts w:hint="eastAsia"/>
          <w:color w:val="000000" w:themeColor="text1"/>
        </w:rPr>
        <w:t>區劃漁</w:t>
      </w:r>
      <w:r w:rsidR="00F10A9B" w:rsidRPr="00174A52">
        <w:rPr>
          <w:rFonts w:hint="eastAsia"/>
          <w:color w:val="000000" w:themeColor="text1"/>
        </w:rPr>
        <w:lastRenderedPageBreak/>
        <w:t>業權</w:t>
      </w:r>
      <w:r w:rsidR="00FE25DE" w:rsidRPr="00174A52">
        <w:rPr>
          <w:rFonts w:hAnsi="標楷體" w:hint="eastAsia"/>
          <w:color w:val="000000" w:themeColor="text1"/>
        </w:rPr>
        <w:t>』</w:t>
      </w:r>
      <w:r w:rsidR="00F10A9B" w:rsidRPr="00174A52">
        <w:rPr>
          <w:rFonts w:hint="eastAsia"/>
          <w:color w:val="000000" w:themeColor="text1"/>
        </w:rPr>
        <w:t>，但技術及經驗上，有執行困難，因棚架並非終年固定於一</w:t>
      </w:r>
      <w:r w:rsidR="00FE25DE" w:rsidRPr="00174A52">
        <w:rPr>
          <w:rFonts w:hint="eastAsia"/>
          <w:color w:val="000000" w:themeColor="text1"/>
        </w:rPr>
        <w:t>定點</w:t>
      </w:r>
      <w:r w:rsidR="00F10A9B" w:rsidRPr="00174A52">
        <w:rPr>
          <w:rFonts w:hint="eastAsia"/>
          <w:color w:val="000000" w:themeColor="text1"/>
        </w:rPr>
        <w:t>，且區劃漁業權有土地使用權的概念，是準物權，每次核發效期</w:t>
      </w:r>
      <w:r w:rsidR="00FE25DE" w:rsidRPr="00174A52">
        <w:rPr>
          <w:rFonts w:hint="eastAsia"/>
          <w:color w:val="000000" w:themeColor="text1"/>
        </w:rPr>
        <w:t>為</w:t>
      </w:r>
      <w:r w:rsidR="00F10A9B" w:rsidRPr="00174A52">
        <w:rPr>
          <w:rFonts w:hint="eastAsia"/>
          <w:color w:val="000000" w:themeColor="text1"/>
        </w:rPr>
        <w:t>5</w:t>
      </w:r>
      <w:r w:rsidR="00F10A9B" w:rsidRPr="00CF0DB8">
        <w:rPr>
          <w:rFonts w:hint="eastAsia"/>
        </w:rPr>
        <w:t>年</w:t>
      </w:r>
      <w:r w:rsidR="00F10A9B" w:rsidRPr="00174A52">
        <w:rPr>
          <w:rFonts w:hint="eastAsia"/>
          <w:color w:val="000000" w:themeColor="text1"/>
        </w:rPr>
        <w:t>，具有排他性，但</w:t>
      </w:r>
      <w:r w:rsidR="00FE25DE" w:rsidRPr="00174A52">
        <w:rPr>
          <w:rFonts w:hAnsi="標楷體" w:hint="eastAsia"/>
          <w:color w:val="000000" w:themeColor="text1"/>
        </w:rPr>
        <w:t>『</w:t>
      </w:r>
      <w:r w:rsidR="00F10A9B" w:rsidRPr="00174A52">
        <w:rPr>
          <w:rFonts w:hint="eastAsia"/>
          <w:color w:val="000000" w:themeColor="text1"/>
        </w:rPr>
        <w:t>專用漁業權</w:t>
      </w:r>
      <w:r w:rsidR="00FE25DE" w:rsidRPr="00174A52">
        <w:rPr>
          <w:rFonts w:hAnsi="標楷體" w:hint="eastAsia"/>
          <w:color w:val="000000" w:themeColor="text1"/>
        </w:rPr>
        <w:t>』</w:t>
      </w:r>
      <w:r w:rsidR="00F10A9B" w:rsidRPr="00174A52">
        <w:rPr>
          <w:rFonts w:hint="eastAsia"/>
          <w:color w:val="000000" w:themeColor="text1"/>
        </w:rPr>
        <w:t>係屬大區域之管理，就海洋資源</w:t>
      </w:r>
      <w:r w:rsidR="00FE25DE" w:rsidRPr="00174A52">
        <w:rPr>
          <w:rFonts w:hint="eastAsia"/>
          <w:color w:val="000000" w:themeColor="text1"/>
        </w:rPr>
        <w:t>整體</w:t>
      </w:r>
      <w:r w:rsidR="00F10A9B" w:rsidRPr="00174A52">
        <w:rPr>
          <w:rFonts w:hint="eastAsia"/>
          <w:color w:val="000000" w:themeColor="text1"/>
        </w:rPr>
        <w:t>管理層面而言，海域是公用的，可漁撈亦可養殖，因此以</w:t>
      </w:r>
      <w:r w:rsidR="00FE25DE" w:rsidRPr="00174A52">
        <w:rPr>
          <w:rFonts w:hAnsi="標楷體" w:hint="eastAsia"/>
          <w:color w:val="000000" w:themeColor="text1"/>
        </w:rPr>
        <w:t>『</w:t>
      </w:r>
      <w:r w:rsidR="00F10A9B" w:rsidRPr="00174A52">
        <w:rPr>
          <w:rFonts w:hint="eastAsia"/>
          <w:color w:val="000000" w:themeColor="text1"/>
        </w:rPr>
        <w:t>專用漁業權</w:t>
      </w:r>
      <w:r w:rsidR="00FE25DE" w:rsidRPr="00174A52">
        <w:rPr>
          <w:rFonts w:hAnsi="標楷體" w:hint="eastAsia"/>
          <w:color w:val="000000" w:themeColor="text1"/>
        </w:rPr>
        <w:t>』</w:t>
      </w:r>
      <w:r w:rsidR="00F10A9B" w:rsidRPr="00174A52">
        <w:rPr>
          <w:rFonts w:hint="eastAsia"/>
          <w:color w:val="000000" w:themeColor="text1"/>
        </w:rPr>
        <w:t>管理較為</w:t>
      </w:r>
      <w:r w:rsidR="008B7C6D" w:rsidRPr="00174A52">
        <w:rPr>
          <w:rFonts w:hint="eastAsia"/>
          <w:color w:val="000000" w:themeColor="text1"/>
        </w:rPr>
        <w:t>恰當</w:t>
      </w:r>
      <w:r w:rsidR="00F10A9B" w:rsidRPr="00174A52">
        <w:rPr>
          <w:rFonts w:hint="eastAsia"/>
          <w:color w:val="000000" w:themeColor="text1"/>
        </w:rPr>
        <w:t>，目前積極</w:t>
      </w:r>
      <w:r w:rsidR="008B7C6D" w:rsidRPr="00174A52">
        <w:rPr>
          <w:rFonts w:hint="eastAsia"/>
          <w:color w:val="000000" w:themeColor="text1"/>
        </w:rPr>
        <w:t>洽商</w:t>
      </w:r>
      <w:r w:rsidR="00F10A9B" w:rsidRPr="00174A52">
        <w:rPr>
          <w:rFonts w:hint="eastAsia"/>
          <w:color w:val="000000" w:themeColor="text1"/>
        </w:rPr>
        <w:t>嘉義區漁會辦理，仍需持續與漁會溝通，惟在推動以</w:t>
      </w:r>
      <w:r w:rsidR="00FE25DE" w:rsidRPr="00174A52">
        <w:rPr>
          <w:rFonts w:hAnsi="標楷體" w:hint="eastAsia"/>
          <w:color w:val="000000" w:themeColor="text1"/>
        </w:rPr>
        <w:t>『</w:t>
      </w:r>
      <w:r w:rsidR="00F10A9B" w:rsidRPr="00174A52">
        <w:rPr>
          <w:rFonts w:hint="eastAsia"/>
          <w:color w:val="000000" w:themeColor="text1"/>
        </w:rPr>
        <w:t>專用漁業權</w:t>
      </w:r>
      <w:r w:rsidR="00FE25DE" w:rsidRPr="00174A52">
        <w:rPr>
          <w:rFonts w:hAnsi="標楷體" w:hint="eastAsia"/>
          <w:color w:val="000000" w:themeColor="text1"/>
        </w:rPr>
        <w:t>』</w:t>
      </w:r>
      <w:r w:rsidR="00F10A9B" w:rsidRPr="00174A52">
        <w:rPr>
          <w:rFonts w:hint="eastAsia"/>
          <w:color w:val="000000" w:themeColor="text1"/>
        </w:rPr>
        <w:t>管理之過程，需要中央政府的支持</w:t>
      </w:r>
      <w:r w:rsidR="00CF754C" w:rsidRPr="00174A52">
        <w:rPr>
          <w:rFonts w:hint="eastAsia"/>
          <w:color w:val="000000" w:themeColor="text1"/>
        </w:rPr>
        <w:t>，理念需一致</w:t>
      </w:r>
      <w:r w:rsidR="00FE25DE" w:rsidRPr="00174A52">
        <w:rPr>
          <w:rFonts w:hAnsi="標楷體" w:hint="eastAsia"/>
          <w:color w:val="000000" w:themeColor="text1"/>
        </w:rPr>
        <w:t>」</w:t>
      </w:r>
      <w:r w:rsidR="00CF754C" w:rsidRPr="00174A52">
        <w:rPr>
          <w:rFonts w:hint="eastAsia"/>
          <w:color w:val="000000" w:themeColor="text1"/>
        </w:rPr>
        <w:t>等語</w:t>
      </w:r>
      <w:r w:rsidR="00F10A9B" w:rsidRPr="00174A52">
        <w:rPr>
          <w:rFonts w:hint="eastAsia"/>
          <w:color w:val="000000" w:themeColor="text1"/>
        </w:rPr>
        <w:t>。</w:t>
      </w:r>
      <w:r w:rsidR="00CF754C" w:rsidRPr="00174A52">
        <w:rPr>
          <w:rFonts w:hint="eastAsia"/>
          <w:color w:val="000000" w:themeColor="text1"/>
        </w:rPr>
        <w:t>由上可徵，嘉義縣區劃漁業權範圍內之</w:t>
      </w:r>
      <w:r w:rsidR="00CF754C" w:rsidRPr="00174A52">
        <w:rPr>
          <w:color w:val="000000" w:themeColor="text1"/>
        </w:rPr>
        <w:t>5,794</w:t>
      </w:r>
      <w:r w:rsidR="00CF754C" w:rsidRPr="00174A52">
        <w:rPr>
          <w:rFonts w:hint="eastAsia"/>
          <w:color w:val="000000" w:themeColor="text1"/>
        </w:rPr>
        <w:t>棚浮筏式養殖牡蠣，迄今未能納管之主要癥結在於</w:t>
      </w:r>
      <w:r w:rsidR="005E19F3" w:rsidRPr="00174A52">
        <w:rPr>
          <w:rFonts w:hint="eastAsia"/>
          <w:color w:val="000000" w:themeColor="text1"/>
        </w:rPr>
        <w:t>漁業署</w:t>
      </w:r>
      <w:r w:rsidR="00CF754C" w:rsidRPr="00174A52">
        <w:rPr>
          <w:rFonts w:hint="eastAsia"/>
          <w:color w:val="000000" w:themeColor="text1"/>
        </w:rPr>
        <w:t>認為93及95年之相關補助計畫，已協助縣府劃定45區之</w:t>
      </w:r>
      <w:r w:rsidR="00B80F20">
        <w:rPr>
          <w:rFonts w:hAnsi="標楷體" w:hint="eastAsia"/>
          <w:color w:val="000000" w:themeColor="text1"/>
        </w:rPr>
        <w:t>「</w:t>
      </w:r>
      <w:r w:rsidR="00CF754C" w:rsidRPr="00174A52">
        <w:rPr>
          <w:rFonts w:hint="eastAsia"/>
          <w:color w:val="000000" w:themeColor="text1"/>
        </w:rPr>
        <w:t>區劃漁業權</w:t>
      </w:r>
      <w:r w:rsidR="00B80F20">
        <w:rPr>
          <w:rFonts w:hAnsi="標楷體" w:hint="eastAsia"/>
          <w:color w:val="000000" w:themeColor="text1"/>
        </w:rPr>
        <w:t>」</w:t>
      </w:r>
      <w:r w:rsidR="00CF754C" w:rsidRPr="00174A52">
        <w:rPr>
          <w:rFonts w:hint="eastAsia"/>
          <w:color w:val="000000" w:themeColor="text1"/>
        </w:rPr>
        <w:t>，故應儘速核發</w:t>
      </w:r>
      <w:r w:rsidR="00B80F20">
        <w:rPr>
          <w:rFonts w:hAnsi="標楷體" w:hint="eastAsia"/>
          <w:color w:val="000000" w:themeColor="text1"/>
        </w:rPr>
        <w:t>「</w:t>
      </w:r>
      <w:r w:rsidR="005D6D1F" w:rsidRPr="00174A52">
        <w:rPr>
          <w:rFonts w:hint="eastAsia"/>
          <w:color w:val="000000" w:themeColor="text1"/>
        </w:rPr>
        <w:t>區劃漁業權</w:t>
      </w:r>
      <w:r w:rsidR="00B80F20">
        <w:rPr>
          <w:rFonts w:hAnsi="標楷體" w:hint="eastAsia"/>
          <w:color w:val="000000" w:themeColor="text1"/>
        </w:rPr>
        <w:t>」</w:t>
      </w:r>
      <w:r w:rsidR="00CF754C" w:rsidRPr="00174A52">
        <w:rPr>
          <w:rFonts w:hint="eastAsia"/>
          <w:color w:val="000000" w:themeColor="text1"/>
        </w:rPr>
        <w:t>執照以納管</w:t>
      </w:r>
      <w:r w:rsidR="005D6D1F" w:rsidRPr="00174A52">
        <w:rPr>
          <w:rFonts w:hint="eastAsia"/>
          <w:color w:val="000000" w:themeColor="text1"/>
        </w:rPr>
        <w:t>，</w:t>
      </w:r>
      <w:r w:rsidR="00CF754C" w:rsidRPr="00174A52">
        <w:rPr>
          <w:rFonts w:hint="eastAsia"/>
          <w:color w:val="000000" w:themeColor="text1"/>
        </w:rPr>
        <w:t>惟嘉義縣政府則</w:t>
      </w:r>
      <w:r w:rsidR="005D6D1F" w:rsidRPr="00174A52">
        <w:rPr>
          <w:rFonts w:hint="eastAsia"/>
          <w:color w:val="000000" w:themeColor="text1"/>
        </w:rPr>
        <w:t>堅持</w:t>
      </w:r>
      <w:r w:rsidR="00CF754C" w:rsidRPr="00174A52">
        <w:rPr>
          <w:rFonts w:hint="eastAsia"/>
          <w:color w:val="000000" w:themeColor="text1"/>
        </w:rPr>
        <w:t>應以</w:t>
      </w:r>
      <w:r w:rsidR="00B80F20">
        <w:rPr>
          <w:rFonts w:hAnsi="標楷體" w:hint="eastAsia"/>
          <w:color w:val="000000" w:themeColor="text1"/>
        </w:rPr>
        <w:t>「</w:t>
      </w:r>
      <w:r w:rsidR="00CF754C" w:rsidRPr="00174A52">
        <w:rPr>
          <w:rFonts w:hint="eastAsia"/>
          <w:color w:val="000000" w:themeColor="text1"/>
        </w:rPr>
        <w:t>專用漁業權</w:t>
      </w:r>
      <w:r w:rsidR="00B80F20">
        <w:rPr>
          <w:rFonts w:hAnsi="標楷體" w:hint="eastAsia"/>
          <w:color w:val="000000" w:themeColor="text1"/>
        </w:rPr>
        <w:t>」</w:t>
      </w:r>
      <w:r w:rsidR="00CF754C" w:rsidRPr="00174A52">
        <w:rPr>
          <w:rFonts w:hint="eastAsia"/>
          <w:color w:val="000000" w:themeColor="text1"/>
        </w:rPr>
        <w:t>納管，</w:t>
      </w:r>
      <w:r w:rsidR="005D6D1F" w:rsidRPr="00174A52">
        <w:rPr>
          <w:rFonts w:hint="eastAsia"/>
          <w:color w:val="000000" w:themeColor="text1"/>
        </w:rPr>
        <w:t>並強調希望農委會能予以支持。</w:t>
      </w:r>
    </w:p>
    <w:p w:rsidR="005D6D1F" w:rsidRDefault="005D6D1F" w:rsidP="005D6D1F">
      <w:pPr>
        <w:pStyle w:val="4"/>
        <w:numPr>
          <w:ilvl w:val="3"/>
          <w:numId w:val="1"/>
        </w:numPr>
      </w:pPr>
      <w:r w:rsidRPr="00BE1539">
        <w:rPr>
          <w:rFonts w:hint="eastAsia"/>
        </w:rPr>
        <w:t>區劃漁業權</w:t>
      </w:r>
      <w:r>
        <w:rPr>
          <w:rFonts w:hint="eastAsia"/>
        </w:rPr>
        <w:t>範圍外：</w:t>
      </w:r>
    </w:p>
    <w:p w:rsidR="00593E81" w:rsidRPr="00174A52" w:rsidRDefault="005D6D1F" w:rsidP="00593E81">
      <w:pPr>
        <w:pStyle w:val="5"/>
        <w:rPr>
          <w:color w:val="000000" w:themeColor="text1"/>
        </w:rPr>
      </w:pPr>
      <w:r w:rsidRPr="00BE1539">
        <w:rPr>
          <w:rFonts w:hint="eastAsia"/>
        </w:rPr>
        <w:t>區劃漁業權區</w:t>
      </w:r>
      <w:r>
        <w:rPr>
          <w:rFonts w:hint="eastAsia"/>
        </w:rPr>
        <w:t>範圍外之浮筏式養殖牡蠣計有</w:t>
      </w:r>
      <w:r w:rsidRPr="00593E81">
        <w:rPr>
          <w:rFonts w:hint="eastAsia"/>
        </w:rPr>
        <w:t>3,91</w:t>
      </w:r>
      <w:r w:rsidRPr="00174A52">
        <w:rPr>
          <w:rFonts w:hint="eastAsia"/>
          <w:color w:val="000000" w:themeColor="text1"/>
        </w:rPr>
        <w:t>5棚，其中位於布袋商港</w:t>
      </w:r>
      <w:r w:rsidR="00B80F20">
        <w:rPr>
          <w:rFonts w:hint="eastAsia"/>
          <w:color w:val="000000" w:themeColor="text1"/>
        </w:rPr>
        <w:t>區</w:t>
      </w:r>
      <w:r w:rsidRPr="00174A52">
        <w:rPr>
          <w:rFonts w:hint="eastAsia"/>
          <w:color w:val="000000" w:themeColor="text1"/>
        </w:rPr>
        <w:t>外之3,302棚，迄未劃定區劃漁業權或專用漁業權，亦即均未</w:t>
      </w:r>
      <w:r w:rsidR="004E304E" w:rsidRPr="00174A52">
        <w:rPr>
          <w:rFonts w:hint="eastAsia"/>
          <w:color w:val="000000" w:themeColor="text1"/>
        </w:rPr>
        <w:t>加</w:t>
      </w:r>
      <w:r w:rsidRPr="00174A52">
        <w:rPr>
          <w:rFonts w:hint="eastAsia"/>
          <w:color w:val="000000" w:themeColor="text1"/>
        </w:rPr>
        <w:t>納管</w:t>
      </w:r>
      <w:r w:rsidR="00593E81" w:rsidRPr="00174A52">
        <w:rPr>
          <w:rFonts w:hint="eastAsia"/>
          <w:color w:val="000000" w:themeColor="text1"/>
        </w:rPr>
        <w:t>，嘉義縣政府表示</w:t>
      </w:r>
      <w:r w:rsidR="00593E81" w:rsidRPr="00174A52">
        <w:rPr>
          <w:rStyle w:val="afe"/>
          <w:color w:val="000000" w:themeColor="text1"/>
        </w:rPr>
        <w:footnoteReference w:id="5"/>
      </w:r>
      <w:r w:rsidR="00593E81" w:rsidRPr="00174A52">
        <w:rPr>
          <w:rFonts w:hint="eastAsia"/>
          <w:color w:val="000000" w:themeColor="text1"/>
        </w:rPr>
        <w:t>，目前朝專用漁業權</w:t>
      </w:r>
      <w:r w:rsidR="004E304E" w:rsidRPr="00174A52">
        <w:rPr>
          <w:rFonts w:hint="eastAsia"/>
          <w:color w:val="000000" w:themeColor="text1"/>
        </w:rPr>
        <w:t>方式</w:t>
      </w:r>
      <w:r w:rsidR="00593E81" w:rsidRPr="00174A52">
        <w:rPr>
          <w:rFonts w:hint="eastAsia"/>
          <w:color w:val="000000" w:themeColor="text1"/>
        </w:rPr>
        <w:t>納管，將持續與嘉義區漁會研商，俾利早日完成漁業權納管事宜，並引導布袋商港</w:t>
      </w:r>
      <w:r w:rsidR="00542AF3">
        <w:rPr>
          <w:rFonts w:hint="eastAsia"/>
          <w:color w:val="000000" w:themeColor="text1"/>
        </w:rPr>
        <w:t>區</w:t>
      </w:r>
      <w:r w:rsidR="00593E81" w:rsidRPr="00174A52">
        <w:rPr>
          <w:rFonts w:hint="eastAsia"/>
          <w:color w:val="000000" w:themeColor="text1"/>
        </w:rPr>
        <w:t>內蚵棚遷移至合法區域</w:t>
      </w:r>
      <w:r w:rsidR="004E304E" w:rsidRPr="00174A52">
        <w:rPr>
          <w:rFonts w:hint="eastAsia"/>
          <w:color w:val="000000" w:themeColor="text1"/>
        </w:rPr>
        <w:t>內</w:t>
      </w:r>
      <w:r w:rsidR="00593E81" w:rsidRPr="00174A52">
        <w:rPr>
          <w:rFonts w:hint="eastAsia"/>
          <w:color w:val="000000" w:themeColor="text1"/>
        </w:rPr>
        <w:t>養殖</w:t>
      </w:r>
      <w:r w:rsidR="000C2943" w:rsidRPr="00174A52">
        <w:rPr>
          <w:rFonts w:hint="eastAsia"/>
          <w:color w:val="000000" w:themeColor="text1"/>
        </w:rPr>
        <w:t>。</w:t>
      </w:r>
    </w:p>
    <w:p w:rsidR="00D82EF2" w:rsidRDefault="005D6D1F" w:rsidP="00593E81">
      <w:pPr>
        <w:pStyle w:val="5"/>
      </w:pPr>
      <w:r>
        <w:rPr>
          <w:rFonts w:hint="eastAsia"/>
        </w:rPr>
        <w:t>另位於布袋商港</w:t>
      </w:r>
      <w:r w:rsidR="00715A19">
        <w:rPr>
          <w:rFonts w:hint="eastAsia"/>
        </w:rPr>
        <w:t>區</w:t>
      </w:r>
      <w:r>
        <w:rPr>
          <w:rFonts w:hint="eastAsia"/>
        </w:rPr>
        <w:t>內之</w:t>
      </w:r>
      <w:r w:rsidR="00D82EF2" w:rsidRPr="005D6D1F">
        <w:rPr>
          <w:rFonts w:hint="eastAsia"/>
        </w:rPr>
        <w:t>613棚</w:t>
      </w:r>
      <w:r w:rsidR="00D82EF2">
        <w:rPr>
          <w:rFonts w:hint="eastAsia"/>
        </w:rPr>
        <w:t>牡蠣，此養</w:t>
      </w:r>
      <w:r w:rsidR="002D76A4">
        <w:rPr>
          <w:rFonts w:hint="eastAsia"/>
        </w:rPr>
        <w:t>殖</w:t>
      </w:r>
      <w:r w:rsidR="00D82EF2">
        <w:rPr>
          <w:rFonts w:hint="eastAsia"/>
        </w:rPr>
        <w:t>行為</w:t>
      </w:r>
      <w:r w:rsidR="00D82EF2" w:rsidRPr="00D82EF2">
        <w:rPr>
          <w:rFonts w:hint="eastAsia"/>
        </w:rPr>
        <w:t>係</w:t>
      </w:r>
      <w:r w:rsidR="00D82EF2">
        <w:rPr>
          <w:rFonts w:hint="eastAsia"/>
        </w:rPr>
        <w:t>交通</w:t>
      </w:r>
      <w:r w:rsidR="00D82EF2" w:rsidRPr="00D82EF2">
        <w:rPr>
          <w:rFonts w:hint="eastAsia"/>
        </w:rPr>
        <w:t>部</w:t>
      </w:r>
      <w:r w:rsidR="000C2943" w:rsidRPr="00D82EF2">
        <w:rPr>
          <w:rFonts w:hint="eastAsia"/>
        </w:rPr>
        <w:t>於</w:t>
      </w:r>
      <w:r w:rsidR="00D82EF2" w:rsidRPr="00D82EF2">
        <w:rPr>
          <w:rFonts w:hint="eastAsia"/>
        </w:rPr>
        <w:t>87年核定</w:t>
      </w:r>
      <w:r w:rsidR="00D82EF2">
        <w:rPr>
          <w:rFonts w:hint="eastAsia"/>
        </w:rPr>
        <w:t>布袋商港</w:t>
      </w:r>
      <w:r w:rsidR="00D82EF2" w:rsidRPr="00D82EF2">
        <w:rPr>
          <w:rFonts w:hint="eastAsia"/>
        </w:rPr>
        <w:t>前即已存在，前臺灣省政府業於87年11月13日針</w:t>
      </w:r>
      <w:r w:rsidR="000C2943">
        <w:rPr>
          <w:rFonts w:hint="eastAsia"/>
        </w:rPr>
        <w:t>對當時嘉義區漁會專用漁業權區與布袋國內商港區域重疊</w:t>
      </w:r>
      <w:r w:rsidR="000C2943">
        <w:rPr>
          <w:rFonts w:hint="eastAsia"/>
        </w:rPr>
        <w:lastRenderedPageBreak/>
        <w:t>部分公告撤銷，並於同年</w:t>
      </w:r>
      <w:r w:rsidR="000C2943" w:rsidRPr="000C2943">
        <w:rPr>
          <w:rFonts w:hint="eastAsia"/>
        </w:rPr>
        <w:t>12月14日核定並公告布袋國內商港區域範圍在案</w:t>
      </w:r>
      <w:r w:rsidR="000C2943">
        <w:rPr>
          <w:rFonts w:hint="eastAsia"/>
        </w:rPr>
        <w:t>，故依</w:t>
      </w:r>
      <w:r w:rsidR="007472D6">
        <w:rPr>
          <w:rFonts w:hAnsi="標楷體" w:hint="eastAsia"/>
          <w:color w:val="7030A0"/>
        </w:rPr>
        <w:t>「</w:t>
      </w:r>
      <w:r w:rsidR="000C2943">
        <w:rPr>
          <w:rFonts w:hint="eastAsia"/>
        </w:rPr>
        <w:t>商港法</w:t>
      </w:r>
      <w:r w:rsidR="007472D6" w:rsidRPr="007472D6">
        <w:rPr>
          <w:rFonts w:hAnsi="標楷體" w:hint="eastAsia"/>
          <w:color w:val="7030A0"/>
        </w:rPr>
        <w:t>」</w:t>
      </w:r>
      <w:r w:rsidR="0056369E" w:rsidRPr="0056369E">
        <w:rPr>
          <w:rFonts w:hint="eastAsia"/>
        </w:rPr>
        <w:t>第36條第1項第2款規定，商港區域範圍內，不得為養殖及採捕水產動、植物，包括浮筏式牡蠣養殖。</w:t>
      </w:r>
      <w:r w:rsidR="0056369E">
        <w:rPr>
          <w:rFonts w:hint="eastAsia"/>
        </w:rPr>
        <w:t>就此問題，交通部航港局與嘉義縣政府研討經過及結果如下：</w:t>
      </w:r>
    </w:p>
    <w:p w:rsidR="0056369E" w:rsidRDefault="0056369E" w:rsidP="00B50B50">
      <w:pPr>
        <w:pStyle w:val="6"/>
      </w:pPr>
      <w:r w:rsidRPr="0056369E">
        <w:rPr>
          <w:rFonts w:hint="eastAsia"/>
        </w:rPr>
        <w:t>106年1月5日召開「布袋商港區域調整及未來發展相關事宜研商會議」，決議為考量商港區域調整涉及布袋港整體規劃與營運發展，且嘉義縣政府就該港未來擴大客運及觀光發展仍有高度期待，爰維持現有港區範圍</w:t>
      </w:r>
      <w:r>
        <w:rPr>
          <w:rFonts w:hint="eastAsia"/>
        </w:rPr>
        <w:t>。</w:t>
      </w:r>
    </w:p>
    <w:p w:rsidR="00B50B50" w:rsidRDefault="0056369E" w:rsidP="00B50B50">
      <w:pPr>
        <w:pStyle w:val="6"/>
      </w:pPr>
      <w:r w:rsidRPr="0056369E">
        <w:rPr>
          <w:rFonts w:hint="eastAsia"/>
        </w:rPr>
        <w:t>106年8月9日召開「布袋商港未來發展與嘉義縣政府協商事項」研商會議，並建請</w:t>
      </w:r>
      <w:r w:rsidR="00B50B50">
        <w:rPr>
          <w:rFonts w:hint="eastAsia"/>
        </w:rPr>
        <w:t>嘉義</w:t>
      </w:r>
      <w:r w:rsidRPr="0056369E">
        <w:rPr>
          <w:rFonts w:hint="eastAsia"/>
        </w:rPr>
        <w:t>縣府輔導漁民至適合養殖之區域，避免影響船舶航行安全及港區發展。嘉義縣政府於會中表示，將加強宣導及協調牡蠣養殖戶，不得於商港港區範圍內及航道上養殖牡蠣，及請養殖戶落實蚵棚回收，避免影響船舶航行安全及蚵棚漂流問題。</w:t>
      </w:r>
    </w:p>
    <w:p w:rsidR="00593E81" w:rsidRPr="009F5A59" w:rsidRDefault="00B50B50" w:rsidP="00B50B50">
      <w:pPr>
        <w:pStyle w:val="5"/>
        <w:rPr>
          <w:color w:val="000000" w:themeColor="text1"/>
        </w:rPr>
      </w:pPr>
      <w:r>
        <w:rPr>
          <w:rFonts w:hint="eastAsia"/>
        </w:rPr>
        <w:t>至</w:t>
      </w:r>
      <w:r w:rsidRPr="009F5A59">
        <w:rPr>
          <w:rFonts w:hint="eastAsia"/>
          <w:color w:val="000000" w:themeColor="text1"/>
        </w:rPr>
        <w:t>於嘉義縣政府就此問題之處理，查該縣府曾於106年9月4日以府農於字第1060178208號函嘉義縣東石鄉公所、布袋</w:t>
      </w:r>
      <w:r w:rsidR="00D55B75" w:rsidRPr="009F5A59">
        <w:rPr>
          <w:rFonts w:hint="eastAsia"/>
          <w:color w:val="000000" w:themeColor="text1"/>
        </w:rPr>
        <w:t>鎮</w:t>
      </w:r>
      <w:r w:rsidRPr="009F5A59">
        <w:rPr>
          <w:rFonts w:hint="eastAsia"/>
          <w:color w:val="000000" w:themeColor="text1"/>
        </w:rPr>
        <w:t>公所、嘉義區漁會及嘉義縣牡蠣養殖產銷協會宣導，不得於商港範圍(含航道)養殖浮筏式蚵棚，以免造成航安事故；且該縣府亦查復本院表示</w:t>
      </w:r>
      <w:r w:rsidR="00593E81" w:rsidRPr="009F5A59">
        <w:rPr>
          <w:rStyle w:val="afe"/>
          <w:color w:val="000000" w:themeColor="text1"/>
        </w:rPr>
        <w:footnoteReference w:id="6"/>
      </w:r>
      <w:r w:rsidRPr="009F5A59">
        <w:rPr>
          <w:rFonts w:hint="eastAsia"/>
          <w:color w:val="000000" w:themeColor="text1"/>
        </w:rPr>
        <w:t>，將持續向漁民宣導不得在布袋商港範圍海域內從事牡蠣養殖行為，避免遭受權責機關航港局裁處。</w:t>
      </w:r>
    </w:p>
    <w:p w:rsidR="00B50B50" w:rsidRPr="00B50B50" w:rsidRDefault="00B50B50" w:rsidP="00B13678">
      <w:pPr>
        <w:pStyle w:val="5"/>
      </w:pPr>
      <w:r>
        <w:rPr>
          <w:rFonts w:hint="eastAsia"/>
        </w:rPr>
        <w:t>惟</w:t>
      </w:r>
      <w:r w:rsidR="00593E81">
        <w:rPr>
          <w:rFonts w:hint="eastAsia"/>
        </w:rPr>
        <w:t>查</w:t>
      </w:r>
      <w:r>
        <w:rPr>
          <w:rFonts w:hint="eastAsia"/>
        </w:rPr>
        <w:t>目前</w:t>
      </w:r>
      <w:r w:rsidRPr="00B50B50">
        <w:rPr>
          <w:rFonts w:hint="eastAsia"/>
        </w:rPr>
        <w:t>布袋商港範圍</w:t>
      </w:r>
      <w:r>
        <w:rPr>
          <w:rFonts w:hint="eastAsia"/>
        </w:rPr>
        <w:t>內之牡蠣養殖行為仍</w:t>
      </w:r>
      <w:r w:rsidR="00B13678">
        <w:rPr>
          <w:rFonts w:hint="eastAsia"/>
        </w:rPr>
        <w:lastRenderedPageBreak/>
        <w:t>違法</w:t>
      </w:r>
      <w:r>
        <w:rPr>
          <w:rFonts w:hint="eastAsia"/>
        </w:rPr>
        <w:t>存在</w:t>
      </w:r>
      <w:r w:rsidR="00593E81">
        <w:rPr>
          <w:rFonts w:hint="eastAsia"/>
        </w:rPr>
        <w:t>，</w:t>
      </w:r>
      <w:r w:rsidR="00B13678">
        <w:rPr>
          <w:rFonts w:hint="eastAsia"/>
        </w:rPr>
        <w:t>交通部考量牡蠣養殖係地方重要漁業產業，攸關漁民重要生計，除持續與嘉義縣政府溝通外，實際處理方面，則是在</w:t>
      </w:r>
      <w:r w:rsidR="00B13678" w:rsidRPr="00B13678">
        <w:rPr>
          <w:rFonts w:hint="eastAsia"/>
        </w:rPr>
        <w:t>遇有影響港區航道情形</w:t>
      </w:r>
      <w:r w:rsidR="00B13678">
        <w:rPr>
          <w:rFonts w:hint="eastAsia"/>
        </w:rPr>
        <w:t>時</w:t>
      </w:r>
      <w:r w:rsidR="00B13678" w:rsidRPr="00B13678">
        <w:rPr>
          <w:rFonts w:hint="eastAsia"/>
        </w:rPr>
        <w:t>，臺灣港務股份有限公司</w:t>
      </w:r>
      <w:r w:rsidR="00E9157D">
        <w:rPr>
          <w:rFonts w:hint="eastAsia"/>
          <w:color w:val="7030A0"/>
        </w:rPr>
        <w:t>會</w:t>
      </w:r>
      <w:r w:rsidR="00B13678" w:rsidRPr="00B13678">
        <w:rPr>
          <w:rFonts w:hint="eastAsia"/>
        </w:rPr>
        <w:t>依</w:t>
      </w:r>
      <w:r w:rsidR="00E9157D">
        <w:rPr>
          <w:rFonts w:hAnsi="標楷體" w:hint="eastAsia"/>
          <w:color w:val="7030A0"/>
        </w:rPr>
        <w:t>「</w:t>
      </w:r>
      <w:r w:rsidR="00B13678" w:rsidRPr="00B13678">
        <w:rPr>
          <w:rFonts w:hint="eastAsia"/>
        </w:rPr>
        <w:t>商港法</w:t>
      </w:r>
      <w:r w:rsidR="00E9157D">
        <w:rPr>
          <w:rFonts w:hAnsi="標楷體" w:hint="eastAsia"/>
          <w:color w:val="7030A0"/>
        </w:rPr>
        <w:t>」</w:t>
      </w:r>
      <w:r w:rsidR="00B13678" w:rsidRPr="00B13678">
        <w:rPr>
          <w:rFonts w:hint="eastAsia"/>
        </w:rPr>
        <w:t>第13條規定予以拖離、清除</w:t>
      </w:r>
      <w:r w:rsidR="00593E81">
        <w:rPr>
          <w:rFonts w:hint="eastAsia"/>
        </w:rPr>
        <w:t>。</w:t>
      </w:r>
    </w:p>
    <w:p w:rsidR="002D76A4" w:rsidRPr="009F5A59" w:rsidRDefault="00280E94" w:rsidP="002D76A4">
      <w:pPr>
        <w:pStyle w:val="3"/>
        <w:numPr>
          <w:ilvl w:val="0"/>
          <w:numId w:val="0"/>
        </w:numPr>
        <w:ind w:left="1361" w:firstLineChars="183" w:firstLine="622"/>
        <w:rPr>
          <w:color w:val="000000" w:themeColor="text1"/>
        </w:rPr>
      </w:pPr>
      <w:r w:rsidRPr="009F5A59">
        <w:rPr>
          <w:rFonts w:hint="eastAsia"/>
          <w:color w:val="000000" w:themeColor="text1"/>
        </w:rPr>
        <w:t>據上，</w:t>
      </w:r>
      <w:r w:rsidR="002D76A4" w:rsidRPr="009F5A59">
        <w:rPr>
          <w:rFonts w:hint="eastAsia"/>
          <w:color w:val="000000" w:themeColor="text1"/>
        </w:rPr>
        <w:t>嘉義縣政府因農委會93及95年相關補助計畫，已完成45區劃漁業權區之劃定，但嘉義縣政府迄未核發執照，致區劃漁業權範圍內之牡蠣養殖終未納管。另區劃漁業權外之3,915浮筏式養殖牡蠣中</w:t>
      </w:r>
      <w:r w:rsidR="00EA72DE" w:rsidRPr="009F5A59">
        <w:rPr>
          <w:rFonts w:hint="eastAsia"/>
          <w:color w:val="000000" w:themeColor="text1"/>
        </w:rPr>
        <w:t>，</w:t>
      </w:r>
      <w:r w:rsidR="002D76A4" w:rsidRPr="009F5A59">
        <w:rPr>
          <w:rFonts w:hint="eastAsia"/>
          <w:color w:val="000000" w:themeColor="text1"/>
        </w:rPr>
        <w:t>位於布袋商港</w:t>
      </w:r>
      <w:r w:rsidR="00D72335">
        <w:rPr>
          <w:rFonts w:hint="eastAsia"/>
          <w:color w:val="000000" w:themeColor="text1"/>
        </w:rPr>
        <w:t>區</w:t>
      </w:r>
      <w:r w:rsidR="002D76A4" w:rsidRPr="009F5A59">
        <w:rPr>
          <w:rFonts w:hint="eastAsia"/>
          <w:color w:val="000000" w:themeColor="text1"/>
        </w:rPr>
        <w:t>外者(3,302棚)，迄未劃定區劃漁業權或專用漁業權，亦即均未納管；至於布袋商港</w:t>
      </w:r>
      <w:r w:rsidR="00D72335">
        <w:rPr>
          <w:rFonts w:hint="eastAsia"/>
          <w:color w:val="000000" w:themeColor="text1"/>
        </w:rPr>
        <w:t>區</w:t>
      </w:r>
      <w:r w:rsidR="002D76A4" w:rsidRPr="009F5A59">
        <w:rPr>
          <w:rFonts w:hint="eastAsia"/>
          <w:color w:val="000000" w:themeColor="text1"/>
        </w:rPr>
        <w:t>內之613棚牡蠣養殖，違反</w:t>
      </w:r>
      <w:r w:rsidR="00EA72DE" w:rsidRPr="009F5A59">
        <w:rPr>
          <w:rFonts w:hAnsi="標楷體" w:hint="eastAsia"/>
          <w:color w:val="000000" w:themeColor="text1"/>
        </w:rPr>
        <w:t>「</w:t>
      </w:r>
      <w:r w:rsidR="002D76A4" w:rsidRPr="009F5A59">
        <w:rPr>
          <w:rFonts w:hint="eastAsia"/>
          <w:color w:val="000000" w:themeColor="text1"/>
        </w:rPr>
        <w:t>商港法</w:t>
      </w:r>
      <w:r w:rsidR="00EA72DE" w:rsidRPr="009F5A59">
        <w:rPr>
          <w:rFonts w:hAnsi="標楷體" w:hint="eastAsia"/>
          <w:color w:val="000000" w:themeColor="text1"/>
        </w:rPr>
        <w:t>」</w:t>
      </w:r>
      <w:r w:rsidR="002D76A4" w:rsidRPr="009F5A59">
        <w:rPr>
          <w:rFonts w:hint="eastAsia"/>
          <w:color w:val="000000" w:themeColor="text1"/>
        </w:rPr>
        <w:t>第36條第1項第2款規定，惟</w:t>
      </w:r>
      <w:r w:rsidR="00EA72DE" w:rsidRPr="009F5A59">
        <w:rPr>
          <w:rFonts w:hint="eastAsia"/>
          <w:color w:val="000000" w:themeColor="text1"/>
        </w:rPr>
        <w:t>迄</w:t>
      </w:r>
      <w:r w:rsidR="002D76A4" w:rsidRPr="009F5A59">
        <w:rPr>
          <w:rFonts w:hint="eastAsia"/>
          <w:color w:val="000000" w:themeColor="text1"/>
        </w:rPr>
        <w:t>今養殖行為</w:t>
      </w:r>
      <w:r w:rsidR="00EA72DE" w:rsidRPr="009F5A59">
        <w:rPr>
          <w:rFonts w:hint="eastAsia"/>
          <w:color w:val="000000" w:themeColor="text1"/>
        </w:rPr>
        <w:t>依然</w:t>
      </w:r>
      <w:r w:rsidR="002D76A4" w:rsidRPr="009F5A59">
        <w:rPr>
          <w:rFonts w:hint="eastAsia"/>
          <w:color w:val="000000" w:themeColor="text1"/>
        </w:rPr>
        <w:t>存在。</w:t>
      </w:r>
    </w:p>
    <w:p w:rsidR="00B54967" w:rsidRPr="009A7623" w:rsidRDefault="002D76A4" w:rsidP="00247367">
      <w:pPr>
        <w:pStyle w:val="3"/>
        <w:rPr>
          <w:color w:val="FF0000"/>
        </w:rPr>
      </w:pPr>
      <w:r>
        <w:rPr>
          <w:rFonts w:hint="eastAsia"/>
        </w:rPr>
        <w:t>綜上，</w:t>
      </w:r>
      <w:r w:rsidR="00A45341" w:rsidRPr="004E079D">
        <w:rPr>
          <w:rFonts w:hint="eastAsia"/>
        </w:rPr>
        <w:t>我國西部沿海之浮筏式牡蠣養殖近5成未依法納管，其中雲林縣</w:t>
      </w:r>
      <w:r w:rsidR="00FB0D0B" w:rsidRPr="004E079D">
        <w:rPr>
          <w:rFonts w:hint="eastAsia"/>
        </w:rPr>
        <w:t>計</w:t>
      </w:r>
      <w:r w:rsidR="00A45341" w:rsidRPr="004E079D">
        <w:rPr>
          <w:rFonts w:hint="eastAsia"/>
        </w:rPr>
        <w:t>1,350棚</w:t>
      </w:r>
      <w:r w:rsidR="00FB0D0B" w:rsidRPr="004E079D">
        <w:rPr>
          <w:rFonts w:hint="eastAsia"/>
        </w:rPr>
        <w:t>，</w:t>
      </w:r>
      <w:r w:rsidR="00AF64FB" w:rsidRPr="004E079D">
        <w:rPr>
          <w:rFonts w:hint="eastAsia"/>
        </w:rPr>
        <w:t>因位於工業區範圍內，目前土地使用雖尚符規定，惟迄未依</w:t>
      </w:r>
      <w:r w:rsidR="000B1D6E" w:rsidRPr="004E079D">
        <w:rPr>
          <w:rFonts w:hAnsi="標楷體" w:hint="eastAsia"/>
        </w:rPr>
        <w:t>「</w:t>
      </w:r>
      <w:r w:rsidR="00AF64FB" w:rsidRPr="004E079D">
        <w:rPr>
          <w:rFonts w:hint="eastAsia"/>
        </w:rPr>
        <w:t>漁業法</w:t>
      </w:r>
      <w:r w:rsidR="000B1D6E" w:rsidRPr="004E079D">
        <w:rPr>
          <w:rFonts w:hAnsi="標楷體" w:hint="eastAsia"/>
        </w:rPr>
        <w:t>」</w:t>
      </w:r>
      <w:r w:rsidR="00AF64FB" w:rsidRPr="004E079D">
        <w:rPr>
          <w:rFonts w:hint="eastAsia"/>
        </w:rPr>
        <w:t>相關規定納管，且經濟部工業局對於雲林縣政府提出有關工業區之開發期程先行公告周知之訴求，未能明確允</w:t>
      </w:r>
      <w:r w:rsidR="00247367">
        <w:rPr>
          <w:rFonts w:hint="eastAsia"/>
        </w:rPr>
        <w:t>否</w:t>
      </w:r>
      <w:r w:rsidR="00AF64FB" w:rsidRPr="004E079D">
        <w:rPr>
          <w:rFonts w:hint="eastAsia"/>
        </w:rPr>
        <w:t>；</w:t>
      </w:r>
      <w:r w:rsidR="00096105" w:rsidRPr="004E079D">
        <w:rPr>
          <w:rFonts w:hint="eastAsia"/>
        </w:rPr>
        <w:t>另</w:t>
      </w:r>
      <w:r w:rsidR="00F42B17" w:rsidRPr="004E079D">
        <w:rPr>
          <w:rFonts w:hint="eastAsia"/>
        </w:rPr>
        <w:t>嘉義縣</w:t>
      </w:r>
      <w:r w:rsidR="00096105" w:rsidRPr="004E079D">
        <w:rPr>
          <w:rFonts w:hint="eastAsia"/>
        </w:rPr>
        <w:t>內</w:t>
      </w:r>
      <w:r w:rsidR="00FB0D0B" w:rsidRPr="004E079D">
        <w:rPr>
          <w:rFonts w:hint="eastAsia"/>
        </w:rPr>
        <w:t>全數9,709棚</w:t>
      </w:r>
      <w:r w:rsidR="00096105" w:rsidRPr="004E079D">
        <w:rPr>
          <w:rFonts w:hint="eastAsia"/>
        </w:rPr>
        <w:t>浮筏式牡蠣養殖均</w:t>
      </w:r>
      <w:r w:rsidR="00FB0D0B" w:rsidRPr="004E079D">
        <w:rPr>
          <w:rFonts w:hint="eastAsia"/>
        </w:rPr>
        <w:t>未納管，</w:t>
      </w:r>
      <w:r w:rsidR="00096105" w:rsidRPr="004E079D">
        <w:rPr>
          <w:rFonts w:hint="eastAsia"/>
        </w:rPr>
        <w:t>癥結在於嘉義縣政府堅持認應以專用漁業權納管為宜，由農委會核定執照及管理，惟農委會認為前已補助該縣府辦理區劃漁業權相關規劃，且已協助劃定45區劃漁業權區，故應續以區劃漁業權納管為</w:t>
      </w:r>
      <w:r w:rsidR="00582CA4" w:rsidRPr="004E079D">
        <w:rPr>
          <w:rFonts w:hint="eastAsia"/>
        </w:rPr>
        <w:t>宜</w:t>
      </w:r>
      <w:r w:rsidR="00096105" w:rsidRPr="004E079D">
        <w:rPr>
          <w:rFonts w:hint="eastAsia"/>
        </w:rPr>
        <w:t>；</w:t>
      </w:r>
      <w:r w:rsidR="003F6E49" w:rsidRPr="004E079D">
        <w:rPr>
          <w:rFonts w:hint="eastAsia"/>
        </w:rPr>
        <w:t>且</w:t>
      </w:r>
      <w:r w:rsidR="00096105" w:rsidRPr="004E079D">
        <w:rPr>
          <w:rFonts w:hint="eastAsia"/>
        </w:rPr>
        <w:t>位於布袋商港範圍內之牡蠣養殖，交通部商港局表明違反</w:t>
      </w:r>
      <w:r w:rsidR="00582CA4" w:rsidRPr="004E079D">
        <w:rPr>
          <w:rFonts w:hAnsi="標楷體" w:hint="eastAsia"/>
        </w:rPr>
        <w:t>「</w:t>
      </w:r>
      <w:r w:rsidR="00096105" w:rsidRPr="004E079D">
        <w:rPr>
          <w:rFonts w:hint="eastAsia"/>
        </w:rPr>
        <w:t>商港法</w:t>
      </w:r>
      <w:r w:rsidR="00582CA4" w:rsidRPr="004E079D">
        <w:rPr>
          <w:rFonts w:hAnsi="標楷體" w:hint="eastAsia"/>
        </w:rPr>
        <w:t>」</w:t>
      </w:r>
      <w:r w:rsidR="00096105" w:rsidRPr="004E079D">
        <w:rPr>
          <w:rFonts w:hint="eastAsia"/>
        </w:rPr>
        <w:t>相關規定，</w:t>
      </w:r>
      <w:r w:rsidR="003F6E49" w:rsidRPr="004E079D">
        <w:rPr>
          <w:rFonts w:hint="eastAsia"/>
        </w:rPr>
        <w:t>建</w:t>
      </w:r>
      <w:r w:rsidR="00096105" w:rsidRPr="004E079D">
        <w:rPr>
          <w:rFonts w:hint="eastAsia"/>
        </w:rPr>
        <w:t>請嘉義縣政府</w:t>
      </w:r>
      <w:r w:rsidR="003F6E49" w:rsidRPr="004E079D">
        <w:rPr>
          <w:rFonts w:hint="eastAsia"/>
        </w:rPr>
        <w:t>輔導漁民移至適合養殖區域，</w:t>
      </w:r>
      <w:r w:rsidR="00582CA4" w:rsidRPr="004E079D">
        <w:rPr>
          <w:rFonts w:hint="eastAsia"/>
        </w:rPr>
        <w:t>然</w:t>
      </w:r>
      <w:r w:rsidR="003F6E49" w:rsidRPr="004E079D">
        <w:rPr>
          <w:rFonts w:hint="eastAsia"/>
        </w:rPr>
        <w:t>嘉義縣政府僅消極宣導，未採積極應變措施。由上可徵，雲林縣及嘉義縣內浮筏式養殖牡蠣未依法納管，嘉義縣情況</w:t>
      </w:r>
      <w:r w:rsidR="00247367" w:rsidRPr="00247367">
        <w:rPr>
          <w:rFonts w:hint="eastAsia"/>
          <w:color w:val="000000" w:themeColor="text1"/>
        </w:rPr>
        <w:t>尤其</w:t>
      </w:r>
      <w:r w:rsidR="003F6E49" w:rsidRPr="004E079D">
        <w:rPr>
          <w:rFonts w:hint="eastAsia"/>
        </w:rPr>
        <w:t>嚴重，凸顯農委會、經濟部工業局等中央主管機關，各囿於本位主義，欠缺</w:t>
      </w:r>
      <w:r w:rsidR="003F6E49">
        <w:rPr>
          <w:rFonts w:hint="eastAsia"/>
        </w:rPr>
        <w:t>積極</w:t>
      </w:r>
      <w:r w:rsidR="003F6E49">
        <w:rPr>
          <w:rFonts w:hint="eastAsia"/>
        </w:rPr>
        <w:lastRenderedPageBreak/>
        <w:t>橫向聯繫</w:t>
      </w:r>
      <w:r w:rsidR="0060545F" w:rsidRPr="009F5A59">
        <w:rPr>
          <w:rFonts w:hint="eastAsia"/>
        </w:rPr>
        <w:t>力求</w:t>
      </w:r>
      <w:r w:rsidR="003F6E49" w:rsidRPr="009F5A59">
        <w:rPr>
          <w:rFonts w:hint="eastAsia"/>
        </w:rPr>
        <w:t>解決問題，且</w:t>
      </w:r>
      <w:r w:rsidR="00B54967" w:rsidRPr="009F5A59">
        <w:rPr>
          <w:rFonts w:hint="eastAsia"/>
        </w:rPr>
        <w:t>又</w:t>
      </w:r>
      <w:r w:rsidR="003F6E49" w:rsidRPr="009F5A59">
        <w:rPr>
          <w:rFonts w:hint="eastAsia"/>
        </w:rPr>
        <w:t>與雲林縣政府及</w:t>
      </w:r>
      <w:r w:rsidR="00B54967" w:rsidRPr="009F5A59">
        <w:rPr>
          <w:rFonts w:hint="eastAsia"/>
        </w:rPr>
        <w:t>嘉義縣</w:t>
      </w:r>
      <w:r w:rsidR="003F6E49" w:rsidRPr="009F5A59">
        <w:rPr>
          <w:rFonts w:hint="eastAsia"/>
        </w:rPr>
        <w:t>政府協調</w:t>
      </w:r>
      <w:r w:rsidR="006037D5" w:rsidRPr="009F5A59">
        <w:rPr>
          <w:rFonts w:hint="eastAsia"/>
        </w:rPr>
        <w:t>不力</w:t>
      </w:r>
      <w:r w:rsidR="003F6E49" w:rsidRPr="009F5A59">
        <w:rPr>
          <w:rFonts w:hint="eastAsia"/>
        </w:rPr>
        <w:t>，意見分歧且缺乏共識，致長期延宕納管作業，均亟待</w:t>
      </w:r>
      <w:r w:rsidR="003F6E49">
        <w:rPr>
          <w:rFonts w:hint="eastAsia"/>
        </w:rPr>
        <w:t>檢</w:t>
      </w:r>
      <w:r w:rsidR="003F6E49" w:rsidRPr="000454BD">
        <w:rPr>
          <w:rFonts w:hint="eastAsia"/>
        </w:rPr>
        <w:t>討改善，</w:t>
      </w:r>
      <w:r w:rsidR="000454BD" w:rsidRPr="000454BD">
        <w:rPr>
          <w:rFonts w:hint="eastAsia"/>
        </w:rPr>
        <w:t>其中嘉義縣未納管情節嚴重，核有怠失。</w:t>
      </w:r>
    </w:p>
    <w:p w:rsidR="009A7623" w:rsidRPr="00B54967" w:rsidRDefault="009A7623" w:rsidP="009A7623">
      <w:pPr>
        <w:pStyle w:val="3"/>
        <w:numPr>
          <w:ilvl w:val="0"/>
          <w:numId w:val="0"/>
        </w:numPr>
        <w:ind w:left="680"/>
        <w:rPr>
          <w:color w:val="FF0000"/>
        </w:rPr>
      </w:pPr>
    </w:p>
    <w:p w:rsidR="005E4FE1" w:rsidRPr="00ED4654" w:rsidRDefault="005E4FE1" w:rsidP="005E4FE1">
      <w:pPr>
        <w:pStyle w:val="2"/>
        <w:rPr>
          <w:b/>
          <w:color w:val="000000" w:themeColor="text1"/>
          <w:szCs w:val="36"/>
        </w:rPr>
      </w:pPr>
      <w:r w:rsidRPr="00ED4654">
        <w:rPr>
          <w:rFonts w:hint="eastAsia"/>
          <w:b/>
          <w:color w:val="000000" w:themeColor="text1"/>
        </w:rPr>
        <w:t>為避免內陸魚塭養殖業者抽取地下水，漁業署近年採取建置海水統籌供應系統等措施，輔導及發展海水養殖漁業，此</w:t>
      </w:r>
      <w:r w:rsidR="001A7DA3" w:rsidRPr="00ED4654">
        <w:rPr>
          <w:rFonts w:hint="eastAsia"/>
          <w:b/>
          <w:color w:val="000000" w:themeColor="text1"/>
        </w:rPr>
        <w:t>舉</w:t>
      </w:r>
      <w:r w:rsidRPr="00ED4654">
        <w:rPr>
          <w:rFonts w:hint="eastAsia"/>
          <w:b/>
          <w:color w:val="000000" w:themeColor="text1"/>
        </w:rPr>
        <w:t>雖降低魚塭地下水使用量，惟海水養殖存有各層面之技術問題，且飼養成本偏高，業者又需突破行</w:t>
      </w:r>
      <w:r w:rsidR="007A6E1D" w:rsidRPr="00ED4654">
        <w:rPr>
          <w:rFonts w:hint="eastAsia"/>
          <w:b/>
          <w:color w:val="000000" w:themeColor="text1"/>
        </w:rPr>
        <w:t>銷困境，</w:t>
      </w:r>
      <w:r w:rsidR="001A7DA3" w:rsidRPr="00ED4654">
        <w:rPr>
          <w:rFonts w:hint="eastAsia"/>
          <w:b/>
          <w:color w:val="000000" w:themeColor="text1"/>
        </w:rPr>
        <w:t>凡</w:t>
      </w:r>
      <w:r w:rsidR="007A6E1D" w:rsidRPr="00ED4654">
        <w:rPr>
          <w:rFonts w:hint="eastAsia"/>
          <w:b/>
          <w:color w:val="000000" w:themeColor="text1"/>
        </w:rPr>
        <w:t>此</w:t>
      </w:r>
      <w:r w:rsidR="001A7DA3" w:rsidRPr="00ED4654">
        <w:rPr>
          <w:rFonts w:hint="eastAsia"/>
          <w:b/>
          <w:color w:val="000000" w:themeColor="text1"/>
        </w:rPr>
        <w:t>均</w:t>
      </w:r>
      <w:r w:rsidR="007A6E1D" w:rsidRPr="00ED4654">
        <w:rPr>
          <w:rFonts w:hint="eastAsia"/>
          <w:b/>
          <w:color w:val="000000" w:themeColor="text1"/>
        </w:rPr>
        <w:t>有待農委會正視並研謀具體解決</w:t>
      </w:r>
      <w:r w:rsidR="009A7623">
        <w:rPr>
          <w:rFonts w:hint="eastAsia"/>
          <w:b/>
          <w:color w:val="000000" w:themeColor="text1"/>
        </w:rPr>
        <w:t>對策暨</w:t>
      </w:r>
      <w:r w:rsidR="006259AC">
        <w:rPr>
          <w:rFonts w:hint="eastAsia"/>
          <w:b/>
          <w:color w:val="000000" w:themeColor="text1"/>
        </w:rPr>
        <w:t>健全</w:t>
      </w:r>
      <w:r w:rsidR="007A6E1D" w:rsidRPr="00ED4654">
        <w:rPr>
          <w:rFonts w:hint="eastAsia"/>
          <w:b/>
          <w:color w:val="000000" w:themeColor="text1"/>
        </w:rPr>
        <w:t>配套</w:t>
      </w:r>
      <w:r w:rsidR="009A7623">
        <w:rPr>
          <w:rFonts w:hint="eastAsia"/>
          <w:b/>
          <w:color w:val="000000" w:themeColor="text1"/>
        </w:rPr>
        <w:t>方案</w:t>
      </w:r>
      <w:r w:rsidR="007A6E1D" w:rsidRPr="00ED4654">
        <w:rPr>
          <w:rFonts w:hint="eastAsia"/>
          <w:b/>
          <w:color w:val="000000" w:themeColor="text1"/>
        </w:rPr>
        <w:t>。</w:t>
      </w:r>
    </w:p>
    <w:p w:rsidR="00235924" w:rsidRDefault="00235924" w:rsidP="005E4FE1">
      <w:pPr>
        <w:pStyle w:val="3"/>
      </w:pPr>
      <w:r>
        <w:rPr>
          <w:rFonts w:hint="eastAsia"/>
        </w:rPr>
        <w:t>據審計部函報</w:t>
      </w:r>
      <w:r>
        <w:rPr>
          <w:rStyle w:val="afe"/>
        </w:rPr>
        <w:footnoteReference w:id="7"/>
      </w:r>
      <w:r>
        <w:rPr>
          <w:rFonts w:hint="eastAsia"/>
        </w:rPr>
        <w:t>，</w:t>
      </w:r>
      <w:r w:rsidR="00100260">
        <w:rPr>
          <w:rFonts w:hint="eastAsia"/>
        </w:rPr>
        <w:t>依</w:t>
      </w:r>
      <w:r>
        <w:rPr>
          <w:rFonts w:hint="eastAsia"/>
        </w:rPr>
        <w:t>漁業署提供104年航拍繪製之陸上養殖魚塭圖，運</w:t>
      </w:r>
      <w:r w:rsidRPr="00ED4654">
        <w:rPr>
          <w:rFonts w:hint="eastAsia"/>
          <w:color w:val="000000" w:themeColor="text1"/>
        </w:rPr>
        <w:t>用地理</w:t>
      </w:r>
      <w:r w:rsidR="004A0926" w:rsidRPr="00ED4654">
        <w:rPr>
          <w:rFonts w:hint="eastAsia"/>
          <w:color w:val="000000" w:themeColor="text1"/>
        </w:rPr>
        <w:t>資訊</w:t>
      </w:r>
      <w:r w:rsidRPr="00ED4654">
        <w:rPr>
          <w:rFonts w:hint="eastAsia"/>
          <w:color w:val="000000" w:themeColor="text1"/>
        </w:rPr>
        <w:t>系統（Geographic Information System, GIS）軟體以資料屬性連結全國地籍圖資，產製陸上養殖魚塭地籍圖（非建物）分析發現，計有27,086口魚塭，位於特</w:t>
      </w:r>
      <w:r>
        <w:rPr>
          <w:rFonts w:hint="eastAsia"/>
        </w:rPr>
        <w:t xml:space="preserve">定農業區之農牧用地內，再據經濟部提供截至104年已調查之全國228,814筆地下水井資料，套疊上開位於特定農業區農牧用地之養殖魚塭範圍5公尺內設有地下水井者，計有1,168口魚塭，其中甚有198口魚塭位於嚴重地層下陷區域，恐有因抽取地下水而加劇地層下陷之虞。 </w:t>
      </w:r>
    </w:p>
    <w:p w:rsidR="00C13D36" w:rsidRDefault="00306C5E" w:rsidP="00FF1373">
      <w:pPr>
        <w:pStyle w:val="3"/>
      </w:pPr>
      <w:r>
        <w:rPr>
          <w:rFonts w:hint="eastAsia"/>
        </w:rPr>
        <w:t>查</w:t>
      </w:r>
      <w:r w:rsidRPr="00306C5E">
        <w:rPr>
          <w:rFonts w:hint="eastAsia"/>
        </w:rPr>
        <w:t>行政院於100年8月16日核定「雲彰地區地層下陷具體解決方案暨行動計畫」，計畫執行期間為100年至109年，規劃提出具體可行措施計32項，其中漁業署負責具體可行措施計有4項，</w:t>
      </w:r>
      <w:r w:rsidR="00FF1373">
        <w:rPr>
          <w:rFonts w:hint="eastAsia"/>
        </w:rPr>
        <w:t>據農委會查復</w:t>
      </w:r>
      <w:r w:rsidR="00FF1373">
        <w:rPr>
          <w:rStyle w:val="afe"/>
        </w:rPr>
        <w:footnoteReference w:id="8"/>
      </w:r>
      <w:r w:rsidR="00FF1373">
        <w:rPr>
          <w:rFonts w:hint="eastAsia"/>
        </w:rPr>
        <w:t>，截至106年底止，該署4項計畫使雲彰地區養殖用水減</w:t>
      </w:r>
      <w:r w:rsidR="00FF1373">
        <w:rPr>
          <w:rFonts w:hint="eastAsia"/>
        </w:rPr>
        <w:lastRenderedPageBreak/>
        <w:t>抽地下水量達</w:t>
      </w:r>
      <w:r w:rsidR="00FF1373" w:rsidRPr="00FF1373">
        <w:t>2,005.57</w:t>
      </w:r>
      <w:r w:rsidR="00FF1373">
        <w:rPr>
          <w:rFonts w:hint="eastAsia"/>
        </w:rPr>
        <w:t>公噸，各項</w:t>
      </w:r>
      <w:r w:rsidRPr="00306C5E">
        <w:rPr>
          <w:rFonts w:hint="eastAsia"/>
        </w:rPr>
        <w:t>工作內容及執行成果如下：</w:t>
      </w:r>
    </w:p>
    <w:p w:rsidR="00306C5E" w:rsidRDefault="00306C5E" w:rsidP="00306C5E">
      <w:pPr>
        <w:pStyle w:val="4"/>
      </w:pPr>
      <w:r w:rsidRPr="00306C5E">
        <w:rPr>
          <w:rFonts w:hint="eastAsia"/>
        </w:rPr>
        <w:t>完成雲林下崙養殖區海水統籌供應系統</w:t>
      </w:r>
      <w:r>
        <w:rPr>
          <w:rFonts w:hint="eastAsia"/>
        </w:rPr>
        <w:t>：</w:t>
      </w:r>
      <w:r w:rsidRPr="00306C5E">
        <w:rPr>
          <w:rFonts w:hint="eastAsia"/>
        </w:rPr>
        <w:t>藉由完成統籌供應系統機電工程，持續在下崙養殖漁業區推廣海水養殖，以減少地下水抽用。</w:t>
      </w:r>
      <w:r>
        <w:rPr>
          <w:rFonts w:hint="eastAsia"/>
        </w:rPr>
        <w:t>辦理成果</w:t>
      </w:r>
      <w:r w:rsidR="006C5327">
        <w:rPr>
          <w:rFonts w:hint="eastAsia"/>
        </w:rPr>
        <w:t>包括</w:t>
      </w:r>
      <w:r>
        <w:rPr>
          <w:rFonts w:hint="eastAsia"/>
        </w:rPr>
        <w:t>於100年減抽70萬噸、101年減抽71.56萬噸、102年減抽71.6萬噸、103年減抽67萬噸、104年減抽73.16萬噸、105年減抽60.64萬噸、106年減抽54.4萬噸，100至106年總計減抽468.33萬噸。</w:t>
      </w:r>
    </w:p>
    <w:p w:rsidR="00306C5E" w:rsidRDefault="00306C5E" w:rsidP="00ED4654">
      <w:pPr>
        <w:pStyle w:val="4"/>
      </w:pPr>
      <w:r w:rsidRPr="00ED4654">
        <w:rPr>
          <w:rFonts w:hint="eastAsia"/>
          <w:color w:val="000000" w:themeColor="text1"/>
        </w:rPr>
        <w:t>完成雲林縣水井區海水進水系統工程及下湖口養殖區供排水系統環境改善工程，另加強養殖生產及魚塭集中區(非屬養殖生產區)養殖海水改善，協助改善公共排水設施發展鹹水養殖：藉由養殖區供排水系統環境改善工程，持續在水井養殖漁業生產區、下湖口相關養殖漁業生產區</w:t>
      </w:r>
      <w:r w:rsidRPr="00306C5E">
        <w:rPr>
          <w:rFonts w:hint="eastAsia"/>
        </w:rPr>
        <w:t>或魚塭集中區推廣海水養殖，以減</w:t>
      </w:r>
      <w:r w:rsidRPr="006C5327">
        <w:rPr>
          <w:rFonts w:hint="eastAsia"/>
          <w:color w:val="000000" w:themeColor="text1"/>
        </w:rPr>
        <w:t>少</w:t>
      </w:r>
      <w:r w:rsidR="00ED4654" w:rsidRPr="006C5327">
        <w:rPr>
          <w:rFonts w:hint="eastAsia"/>
          <w:color w:val="000000" w:themeColor="text1"/>
        </w:rPr>
        <w:t>抽用</w:t>
      </w:r>
      <w:r w:rsidRPr="006C5327">
        <w:rPr>
          <w:rFonts w:hint="eastAsia"/>
          <w:color w:val="000000" w:themeColor="text1"/>
        </w:rPr>
        <w:t>地</w:t>
      </w:r>
      <w:r w:rsidRPr="00ED4654">
        <w:rPr>
          <w:rFonts w:hint="eastAsia"/>
          <w:color w:val="000000" w:themeColor="text1"/>
        </w:rPr>
        <w:t>下水。辦理成果</w:t>
      </w:r>
      <w:r w:rsidR="006C5327">
        <w:rPr>
          <w:rFonts w:hint="eastAsia"/>
          <w:color w:val="000000" w:themeColor="text1"/>
        </w:rPr>
        <w:t>包括</w:t>
      </w:r>
      <w:r w:rsidRPr="00ED4654">
        <w:rPr>
          <w:rFonts w:hint="eastAsia"/>
          <w:color w:val="000000" w:themeColor="text1"/>
        </w:rPr>
        <w:t>於100年減抽62.37萬噸、101年減抽72.76萬噸、102年減抽79.2萬噸、103年減抽88.7萬噸、104年減抽77.56萬噸、105年減抽7</w:t>
      </w:r>
      <w:r w:rsidRPr="00306C5E">
        <w:rPr>
          <w:rFonts w:hint="eastAsia"/>
        </w:rPr>
        <w:t>8.76</w:t>
      </w:r>
      <w:r>
        <w:rPr>
          <w:rFonts w:hint="eastAsia"/>
        </w:rPr>
        <w:t>萬噸、</w:t>
      </w:r>
      <w:r w:rsidRPr="00306C5E">
        <w:rPr>
          <w:rFonts w:hint="eastAsia"/>
        </w:rPr>
        <w:t>106年減抽61.59萬噸</w:t>
      </w:r>
      <w:r>
        <w:rPr>
          <w:rFonts w:hint="eastAsia"/>
        </w:rPr>
        <w:t>，</w:t>
      </w:r>
      <w:r w:rsidRPr="00306C5E">
        <w:rPr>
          <w:rFonts w:hint="eastAsia"/>
        </w:rPr>
        <w:t>100</w:t>
      </w:r>
      <w:r>
        <w:rPr>
          <w:rFonts w:hint="eastAsia"/>
        </w:rPr>
        <w:t>至</w:t>
      </w:r>
      <w:r w:rsidRPr="00306C5E">
        <w:rPr>
          <w:rFonts w:hint="eastAsia"/>
        </w:rPr>
        <w:t>106年總計減抽520.94萬噸。</w:t>
      </w:r>
    </w:p>
    <w:p w:rsidR="00306C5E" w:rsidRDefault="00306C5E" w:rsidP="00FF1373">
      <w:pPr>
        <w:pStyle w:val="4"/>
      </w:pPr>
      <w:r w:rsidRPr="00306C5E">
        <w:rPr>
          <w:rFonts w:hint="eastAsia"/>
        </w:rPr>
        <w:t>研議利用水利單位所設之滯洪池水源，經處理後循環供鄰近區域淡水使用</w:t>
      </w:r>
      <w:r>
        <w:rPr>
          <w:rFonts w:hint="eastAsia"/>
        </w:rPr>
        <w:t>：</w:t>
      </w:r>
      <w:r w:rsidRPr="00306C5E">
        <w:rPr>
          <w:rFonts w:hint="eastAsia"/>
        </w:rPr>
        <w:t>藉由椬梧滯洪池供應養殖區之淡水使用規劃，雲林縣政府以椬梧滯洪池水引流至大排供養殖生產區用水，以減少地下水抽用。</w:t>
      </w:r>
      <w:r>
        <w:rPr>
          <w:rFonts w:hint="eastAsia"/>
        </w:rPr>
        <w:t>辦理成果：</w:t>
      </w:r>
      <w:r w:rsidRPr="00306C5E">
        <w:rPr>
          <w:rFonts w:hint="eastAsia"/>
        </w:rPr>
        <w:t>106年度已輔導下湖口養殖漁業生產區養殖戶利用宜梧滯洪池之水源計18.0公頃，減抽水量31.6萬噸</w:t>
      </w:r>
      <w:r w:rsidR="00FF1373">
        <w:rPr>
          <w:rFonts w:hint="eastAsia"/>
        </w:rPr>
        <w:t>；</w:t>
      </w:r>
      <w:r w:rsidR="00FF1373" w:rsidRPr="00FF1373">
        <w:rPr>
          <w:rFonts w:hint="eastAsia"/>
        </w:rPr>
        <w:t>100</w:t>
      </w:r>
      <w:r w:rsidR="00FF1373">
        <w:rPr>
          <w:rFonts w:hint="eastAsia"/>
        </w:rPr>
        <w:t>至</w:t>
      </w:r>
      <w:r w:rsidR="00FF1373" w:rsidRPr="00FF1373">
        <w:rPr>
          <w:rFonts w:hint="eastAsia"/>
        </w:rPr>
        <w:t>106年總計減抽47萬噸。</w:t>
      </w:r>
    </w:p>
    <w:p w:rsidR="00FF1373" w:rsidRDefault="00FF1373" w:rsidP="00FF1373">
      <w:pPr>
        <w:pStyle w:val="4"/>
      </w:pPr>
      <w:r w:rsidRPr="00FF1373">
        <w:rPr>
          <w:rFonts w:hint="eastAsia"/>
        </w:rPr>
        <w:t>加強雲彰地區循環水養殖技術推廣120公頃，並</w:t>
      </w:r>
      <w:r w:rsidRPr="00FF1373">
        <w:rPr>
          <w:rFonts w:hint="eastAsia"/>
        </w:rPr>
        <w:lastRenderedPageBreak/>
        <w:t>輔導改善養殖技術與用水習慣，或將農漁牧綜合經營農地回歸畜牧使用</w:t>
      </w:r>
      <w:r w:rsidR="00AE4C8E">
        <w:rPr>
          <w:rFonts w:hint="eastAsia"/>
        </w:rPr>
        <w:t>，如</w:t>
      </w:r>
      <w:r w:rsidRPr="00FF1373">
        <w:rPr>
          <w:rFonts w:hint="eastAsia"/>
        </w:rPr>
        <w:t>以調查訪問及水錶量測推估魚塭減抽地下水量，減抽水量101年19萬噸、102年115.9萬噸、103年146萬噸、104年166.8萬噸、105年221.3萬噸，101至105年總計減抽669萬噸。106年已推廣雲林縣、彰化縣循環水養殖設施面積 13.8公頃</w:t>
      </w:r>
      <w:r>
        <w:rPr>
          <w:rFonts w:hint="eastAsia"/>
        </w:rPr>
        <w:t>，</w:t>
      </w:r>
      <w:r w:rsidRPr="00FF1373">
        <w:rPr>
          <w:rFonts w:hint="eastAsia"/>
        </w:rPr>
        <w:t>另以有無循環水調查，循環水節水效率為1.89萬立方公尺/公頃/年，故新增節水量為300.3萬</w:t>
      </w:r>
      <w:r>
        <w:rPr>
          <w:rFonts w:hint="eastAsia"/>
        </w:rPr>
        <w:t>噸，</w:t>
      </w:r>
      <w:r w:rsidRPr="00FF1373">
        <w:rPr>
          <w:rFonts w:hint="eastAsia"/>
        </w:rPr>
        <w:t>101</w:t>
      </w:r>
      <w:r>
        <w:rPr>
          <w:rFonts w:hint="eastAsia"/>
        </w:rPr>
        <w:t>至</w:t>
      </w:r>
      <w:r w:rsidRPr="00FF1373">
        <w:rPr>
          <w:rFonts w:hint="eastAsia"/>
        </w:rPr>
        <w:t>106年推廣面積共計79.1公頃，總計減抽969.3萬噸</w:t>
      </w:r>
      <w:r>
        <w:rPr>
          <w:rFonts w:hint="eastAsia"/>
        </w:rPr>
        <w:t>。</w:t>
      </w:r>
    </w:p>
    <w:p w:rsidR="00100260" w:rsidRPr="00DF1E4A" w:rsidRDefault="00100260" w:rsidP="00100260">
      <w:pPr>
        <w:pStyle w:val="3"/>
        <w:rPr>
          <w:color w:val="000000" w:themeColor="text1"/>
        </w:rPr>
      </w:pPr>
      <w:r w:rsidRPr="00DF1E4A">
        <w:rPr>
          <w:rFonts w:hint="eastAsia"/>
          <w:color w:val="000000" w:themeColor="text1"/>
        </w:rPr>
        <w:t>查截至106年底止，國內魚塭口數計</w:t>
      </w:r>
      <w:r w:rsidRPr="00DF1E4A">
        <w:rPr>
          <w:color w:val="000000" w:themeColor="text1"/>
        </w:rPr>
        <w:t>99,78</w:t>
      </w:r>
      <w:r w:rsidRPr="00DF1E4A">
        <w:rPr>
          <w:rFonts w:hint="eastAsia"/>
          <w:color w:val="000000" w:themeColor="text1"/>
        </w:rPr>
        <w:t>5口，面積計</w:t>
      </w:r>
      <w:r w:rsidRPr="00DF1E4A">
        <w:rPr>
          <w:color w:val="000000" w:themeColor="text1"/>
        </w:rPr>
        <w:t>40,93</w:t>
      </w:r>
      <w:r w:rsidRPr="00DF1E4A">
        <w:rPr>
          <w:rFonts w:hint="eastAsia"/>
          <w:color w:val="000000" w:themeColor="text1"/>
        </w:rPr>
        <w:t>0</w:t>
      </w:r>
      <w:r w:rsidRPr="00DF1E4A">
        <w:rPr>
          <w:color w:val="000000" w:themeColor="text1"/>
        </w:rPr>
        <w:t>.5</w:t>
      </w:r>
      <w:r w:rsidRPr="00DF1E4A">
        <w:rPr>
          <w:rFonts w:hint="eastAsia"/>
          <w:color w:val="000000" w:themeColor="text1"/>
        </w:rPr>
        <w:t>1公頃，至各縣市之狀況，若以面積而論，以臺南市居冠，其轄內魚塭面積計</w:t>
      </w:r>
      <w:r w:rsidRPr="00DF1E4A">
        <w:rPr>
          <w:color w:val="000000" w:themeColor="text1"/>
        </w:rPr>
        <w:t>13,920.50</w:t>
      </w:r>
      <w:r w:rsidRPr="00DF1E4A">
        <w:rPr>
          <w:rFonts w:hint="eastAsia"/>
          <w:color w:val="000000" w:themeColor="text1"/>
        </w:rPr>
        <w:t>公頃，占全國魚塭總面積之34%，其次為雲林縣之</w:t>
      </w:r>
      <w:r w:rsidRPr="00DF1E4A">
        <w:rPr>
          <w:color w:val="000000" w:themeColor="text1"/>
        </w:rPr>
        <w:t>5,892.55</w:t>
      </w:r>
      <w:r w:rsidRPr="00DF1E4A">
        <w:rPr>
          <w:rFonts w:hint="eastAsia"/>
          <w:color w:val="000000" w:themeColor="text1"/>
        </w:rPr>
        <w:t>公頃，再其次為</w:t>
      </w:r>
      <w:r w:rsidRPr="00DF1E4A">
        <w:rPr>
          <w:color w:val="000000" w:themeColor="text1"/>
        </w:rPr>
        <w:t>5,555.12</w:t>
      </w:r>
      <w:r w:rsidRPr="00DF1E4A">
        <w:rPr>
          <w:rFonts w:hint="eastAsia"/>
          <w:color w:val="000000" w:themeColor="text1"/>
        </w:rPr>
        <w:t>公頃，詳如表</w:t>
      </w:r>
      <w:r w:rsidR="00875604" w:rsidRPr="00DF1E4A">
        <w:rPr>
          <w:rFonts w:hint="eastAsia"/>
          <w:color w:val="000000" w:themeColor="text1"/>
        </w:rPr>
        <w:t>2</w:t>
      </w:r>
      <w:r w:rsidR="00153EC6">
        <w:rPr>
          <w:rFonts w:hint="eastAsia"/>
          <w:color w:val="000000" w:themeColor="text1"/>
        </w:rPr>
        <w:t>0</w:t>
      </w:r>
      <w:r w:rsidRPr="00DF1E4A">
        <w:rPr>
          <w:rFonts w:hint="eastAsia"/>
          <w:color w:val="000000" w:themeColor="text1"/>
        </w:rPr>
        <w:t>所示。</w:t>
      </w:r>
    </w:p>
    <w:p w:rsidR="00100260" w:rsidRPr="00153EC6" w:rsidRDefault="00100260" w:rsidP="00153EC6">
      <w:pPr>
        <w:pStyle w:val="a3"/>
        <w:ind w:firstLine="579"/>
        <w:jc w:val="center"/>
        <w:rPr>
          <w:b/>
        </w:rPr>
      </w:pPr>
      <w:r w:rsidRPr="00153EC6">
        <w:rPr>
          <w:rFonts w:hint="eastAsia"/>
          <w:b/>
        </w:rPr>
        <w:t>國內陸上魚塭口數及面積</w:t>
      </w:r>
    </w:p>
    <w:tbl>
      <w:tblPr>
        <w:tblW w:w="4273" w:type="pct"/>
        <w:tblInd w:w="1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1268"/>
        <w:gridCol w:w="2771"/>
        <w:gridCol w:w="3502"/>
      </w:tblGrid>
      <w:tr w:rsidR="00100260" w:rsidRPr="001B00D9" w:rsidTr="00153EC6">
        <w:trPr>
          <w:trHeight w:val="567"/>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jc w:val="center"/>
              <w:textAlignment w:val="center"/>
              <w:rPr>
                <w:rFonts w:hAnsi="標楷體" w:cs="Arial"/>
                <w:kern w:val="0"/>
                <w:sz w:val="24"/>
                <w:szCs w:val="24"/>
              </w:rPr>
            </w:pPr>
            <w:r w:rsidRPr="001B00D9">
              <w:rPr>
                <w:rFonts w:hAnsi="標楷體" w:cs="Arial" w:hint="eastAsia"/>
                <w:color w:val="000000"/>
                <w:kern w:val="24"/>
                <w:sz w:val="24"/>
                <w:szCs w:val="24"/>
              </w:rPr>
              <w:t>縣市別</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jc w:val="center"/>
              <w:textAlignment w:val="center"/>
              <w:rPr>
                <w:rFonts w:hAnsi="標楷體" w:cs="Arial"/>
                <w:kern w:val="0"/>
                <w:sz w:val="24"/>
                <w:szCs w:val="24"/>
              </w:rPr>
            </w:pPr>
            <w:r w:rsidRPr="001B00D9">
              <w:rPr>
                <w:rFonts w:hAnsi="標楷體" w:cs="Arial" w:hint="eastAsia"/>
                <w:color w:val="000000"/>
                <w:kern w:val="24"/>
                <w:sz w:val="24"/>
                <w:szCs w:val="24"/>
              </w:rPr>
              <w:t>魚塭口數</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jc w:val="center"/>
              <w:textAlignment w:val="center"/>
              <w:rPr>
                <w:rFonts w:hAnsi="標楷體" w:cs="Arial"/>
                <w:kern w:val="0"/>
                <w:sz w:val="24"/>
                <w:szCs w:val="24"/>
              </w:rPr>
            </w:pPr>
            <w:r w:rsidRPr="001B00D9">
              <w:rPr>
                <w:rFonts w:hAnsi="標楷體" w:cs="Arial" w:hint="eastAsia"/>
                <w:color w:val="000000"/>
                <w:kern w:val="24"/>
                <w:sz w:val="24"/>
                <w:szCs w:val="24"/>
              </w:rPr>
              <w:t>面積（公頃）</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left"/>
              <w:textAlignment w:val="center"/>
              <w:rPr>
                <w:rFonts w:hAnsi="標楷體" w:cs="Arial"/>
                <w:kern w:val="0"/>
                <w:sz w:val="24"/>
                <w:szCs w:val="24"/>
              </w:rPr>
            </w:pPr>
            <w:r w:rsidRPr="001B00D9">
              <w:rPr>
                <w:rFonts w:hAnsi="標楷體" w:cs="Arial" w:hint="eastAsia"/>
                <w:color w:val="000000"/>
                <w:kern w:val="24"/>
                <w:sz w:val="24"/>
                <w:szCs w:val="24"/>
              </w:rPr>
              <w:t>總計</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99,785</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40,935.58</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center"/>
              <w:textAlignment w:val="center"/>
              <w:rPr>
                <w:rFonts w:hAnsi="標楷體" w:cs="Arial"/>
                <w:kern w:val="0"/>
                <w:sz w:val="24"/>
                <w:szCs w:val="24"/>
              </w:rPr>
            </w:pPr>
            <w:r w:rsidRPr="001B00D9">
              <w:rPr>
                <w:rFonts w:hAnsi="標楷體" w:cs="Arial" w:hint="eastAsia"/>
                <w:color w:val="000000"/>
                <w:kern w:val="24"/>
                <w:sz w:val="24"/>
                <w:szCs w:val="24"/>
              </w:rPr>
              <w:t>臺南市</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22,885</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13,920.50</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center"/>
              <w:textAlignment w:val="center"/>
              <w:rPr>
                <w:rFonts w:hAnsi="標楷體" w:cs="Arial"/>
                <w:kern w:val="0"/>
                <w:sz w:val="24"/>
                <w:szCs w:val="24"/>
              </w:rPr>
            </w:pPr>
            <w:r w:rsidRPr="001B00D9">
              <w:rPr>
                <w:rFonts w:hAnsi="標楷體" w:cs="Arial" w:hint="eastAsia"/>
                <w:color w:val="000000"/>
                <w:kern w:val="24"/>
                <w:sz w:val="24"/>
                <w:szCs w:val="24"/>
              </w:rPr>
              <w:t>雲林縣</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13,060</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5,892.55</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center"/>
              <w:textAlignment w:val="center"/>
              <w:rPr>
                <w:rFonts w:hAnsi="標楷體" w:cs="Arial"/>
                <w:kern w:val="0"/>
                <w:sz w:val="24"/>
                <w:szCs w:val="24"/>
              </w:rPr>
            </w:pPr>
            <w:r w:rsidRPr="001B00D9">
              <w:rPr>
                <w:rFonts w:hAnsi="標楷體" w:cs="Arial" w:hint="eastAsia"/>
                <w:color w:val="000000"/>
                <w:kern w:val="24"/>
                <w:sz w:val="24"/>
                <w:szCs w:val="24"/>
              </w:rPr>
              <w:t>嘉義縣</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13,202</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5,555.12</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center"/>
              <w:textAlignment w:val="center"/>
              <w:rPr>
                <w:rFonts w:hAnsi="標楷體" w:cs="Arial"/>
                <w:kern w:val="0"/>
                <w:sz w:val="24"/>
                <w:szCs w:val="24"/>
              </w:rPr>
            </w:pPr>
            <w:r w:rsidRPr="001B00D9">
              <w:rPr>
                <w:rFonts w:hAnsi="標楷體" w:cs="Arial" w:hint="eastAsia"/>
                <w:color w:val="000000"/>
                <w:kern w:val="24"/>
                <w:sz w:val="24"/>
                <w:szCs w:val="24"/>
              </w:rPr>
              <w:t>屏東縣</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22,439</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4,765.56</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center"/>
              <w:textAlignment w:val="center"/>
              <w:rPr>
                <w:rFonts w:hAnsi="標楷體" w:cs="Arial"/>
                <w:kern w:val="0"/>
                <w:sz w:val="24"/>
                <w:szCs w:val="24"/>
              </w:rPr>
            </w:pPr>
            <w:r w:rsidRPr="001B00D9">
              <w:rPr>
                <w:rFonts w:hAnsi="標楷體" w:cs="Arial" w:hint="eastAsia"/>
                <w:color w:val="000000"/>
                <w:kern w:val="24"/>
                <w:sz w:val="24"/>
                <w:szCs w:val="24"/>
              </w:rPr>
              <w:t>高雄市</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11,434</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3,638.95</w:t>
            </w:r>
          </w:p>
        </w:tc>
      </w:tr>
      <w:tr w:rsidR="00100260" w:rsidRPr="001B00D9" w:rsidTr="00153EC6">
        <w:trPr>
          <w:trHeight w:val="325"/>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5" w:lineRule="atLeast"/>
              <w:jc w:val="center"/>
              <w:textAlignment w:val="center"/>
              <w:rPr>
                <w:rFonts w:hAnsi="標楷體" w:cs="Arial"/>
                <w:kern w:val="0"/>
                <w:sz w:val="24"/>
                <w:szCs w:val="24"/>
              </w:rPr>
            </w:pPr>
            <w:r w:rsidRPr="001B00D9">
              <w:rPr>
                <w:rFonts w:hAnsi="標楷體" w:cs="Arial" w:hint="eastAsia"/>
                <w:color w:val="000000"/>
                <w:kern w:val="24"/>
                <w:sz w:val="24"/>
                <w:szCs w:val="24"/>
              </w:rPr>
              <w:t>彰化縣</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5" w:lineRule="atLeast"/>
              <w:jc w:val="right"/>
              <w:textAlignment w:val="center"/>
              <w:rPr>
                <w:rFonts w:hAnsi="標楷體" w:cs="Arial"/>
                <w:kern w:val="0"/>
                <w:sz w:val="24"/>
                <w:szCs w:val="24"/>
              </w:rPr>
            </w:pPr>
            <w:r w:rsidRPr="001B00D9">
              <w:rPr>
                <w:rFonts w:hAnsi="標楷體" w:cs="Arial"/>
                <w:color w:val="000000"/>
                <w:kern w:val="24"/>
                <w:sz w:val="24"/>
                <w:szCs w:val="24"/>
              </w:rPr>
              <w:t>7,324</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5" w:lineRule="atLeast"/>
              <w:jc w:val="right"/>
              <w:textAlignment w:val="center"/>
              <w:rPr>
                <w:rFonts w:hAnsi="標楷體" w:cs="Arial"/>
                <w:kern w:val="0"/>
                <w:sz w:val="24"/>
                <w:szCs w:val="24"/>
              </w:rPr>
            </w:pPr>
            <w:r w:rsidRPr="001B00D9">
              <w:rPr>
                <w:rFonts w:hAnsi="標楷體" w:cs="Arial"/>
                <w:color w:val="000000"/>
                <w:kern w:val="24"/>
                <w:sz w:val="24"/>
                <w:szCs w:val="24"/>
              </w:rPr>
              <w:t>2,909.53</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center"/>
              <w:textAlignment w:val="center"/>
              <w:rPr>
                <w:rFonts w:hAnsi="標楷體" w:cs="Arial"/>
                <w:kern w:val="0"/>
                <w:sz w:val="24"/>
                <w:szCs w:val="24"/>
              </w:rPr>
            </w:pPr>
            <w:r w:rsidRPr="001B00D9">
              <w:rPr>
                <w:rFonts w:hAnsi="標楷體" w:cs="Arial" w:hint="eastAsia"/>
                <w:color w:val="000000"/>
                <w:kern w:val="24"/>
                <w:sz w:val="24"/>
                <w:szCs w:val="24"/>
              </w:rPr>
              <w:t>桃園市</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1,788</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2,265.67</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center"/>
              <w:textAlignment w:val="center"/>
              <w:rPr>
                <w:rFonts w:hAnsi="標楷體" w:cs="Arial"/>
                <w:kern w:val="0"/>
                <w:sz w:val="24"/>
                <w:szCs w:val="24"/>
              </w:rPr>
            </w:pPr>
            <w:r w:rsidRPr="001B00D9">
              <w:rPr>
                <w:rFonts w:hAnsi="標楷體" w:cs="Arial" w:hint="eastAsia"/>
                <w:color w:val="000000"/>
                <w:kern w:val="24"/>
                <w:sz w:val="24"/>
                <w:szCs w:val="24"/>
              </w:rPr>
              <w:t>花蓮縣</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2,096</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734.94</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center"/>
              <w:textAlignment w:val="center"/>
              <w:rPr>
                <w:rFonts w:hAnsi="標楷體" w:cs="Arial"/>
                <w:kern w:val="0"/>
                <w:sz w:val="24"/>
                <w:szCs w:val="24"/>
              </w:rPr>
            </w:pPr>
            <w:r w:rsidRPr="001B00D9">
              <w:rPr>
                <w:rFonts w:hAnsi="標楷體" w:cs="Arial" w:hint="eastAsia"/>
                <w:color w:val="000000"/>
                <w:kern w:val="24"/>
                <w:sz w:val="24"/>
                <w:szCs w:val="24"/>
              </w:rPr>
              <w:t>宜蘭縣</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2,503</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447.87</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center"/>
              <w:textAlignment w:val="center"/>
              <w:rPr>
                <w:rFonts w:hAnsi="標楷體" w:cs="Arial"/>
                <w:kern w:val="0"/>
                <w:sz w:val="24"/>
                <w:szCs w:val="24"/>
              </w:rPr>
            </w:pPr>
            <w:r w:rsidRPr="001B00D9">
              <w:rPr>
                <w:rFonts w:hAnsi="標楷體" w:cs="Arial" w:hint="eastAsia"/>
                <w:color w:val="000000"/>
                <w:kern w:val="24"/>
                <w:sz w:val="24"/>
                <w:szCs w:val="24"/>
              </w:rPr>
              <w:t>新竹縣</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275</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291.08</w:t>
            </w:r>
          </w:p>
        </w:tc>
      </w:tr>
      <w:tr w:rsidR="00100260" w:rsidRPr="001B00D9" w:rsidTr="00153EC6">
        <w:trPr>
          <w:trHeight w:val="328"/>
        </w:trPr>
        <w:tc>
          <w:tcPr>
            <w:tcW w:w="841"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textAlignment w:val="center"/>
              <w:rPr>
                <w:rFonts w:hAnsi="標楷體" w:cs="Arial"/>
                <w:kern w:val="0"/>
                <w:sz w:val="24"/>
                <w:szCs w:val="24"/>
              </w:rPr>
            </w:pPr>
            <w:r w:rsidRPr="001B00D9">
              <w:rPr>
                <w:rFonts w:hAnsi="標楷體" w:cs="Arial" w:hint="eastAsia"/>
                <w:color w:val="000000"/>
                <w:kern w:val="24"/>
                <w:sz w:val="24"/>
                <w:szCs w:val="24"/>
              </w:rPr>
              <w:t>其他</w:t>
            </w:r>
          </w:p>
        </w:tc>
        <w:tc>
          <w:tcPr>
            <w:tcW w:w="1837"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2779</w:t>
            </w:r>
          </w:p>
        </w:tc>
        <w:tc>
          <w:tcPr>
            <w:tcW w:w="2322" w:type="pct"/>
            <w:shd w:val="clear" w:color="auto" w:fill="auto"/>
            <w:tcMar>
              <w:top w:w="15" w:type="dxa"/>
              <w:left w:w="15" w:type="dxa"/>
              <w:bottom w:w="0" w:type="dxa"/>
              <w:right w:w="15" w:type="dxa"/>
            </w:tcMar>
            <w:vAlign w:val="center"/>
            <w:hideMark/>
          </w:tcPr>
          <w:p w:rsidR="00100260" w:rsidRPr="001B00D9" w:rsidRDefault="00100260" w:rsidP="00100260">
            <w:pPr>
              <w:widowControl/>
              <w:overflowPunct/>
              <w:autoSpaceDE/>
              <w:autoSpaceDN/>
              <w:spacing w:line="328" w:lineRule="atLeast"/>
              <w:jc w:val="right"/>
              <w:textAlignment w:val="center"/>
              <w:rPr>
                <w:rFonts w:hAnsi="標楷體" w:cs="Arial"/>
                <w:kern w:val="0"/>
                <w:sz w:val="24"/>
                <w:szCs w:val="24"/>
              </w:rPr>
            </w:pPr>
            <w:r w:rsidRPr="001B00D9">
              <w:rPr>
                <w:rFonts w:hAnsi="標楷體" w:cs="Arial"/>
                <w:color w:val="000000"/>
                <w:kern w:val="24"/>
                <w:sz w:val="24"/>
                <w:szCs w:val="24"/>
              </w:rPr>
              <w:t>508.74</w:t>
            </w:r>
          </w:p>
        </w:tc>
      </w:tr>
    </w:tbl>
    <w:p w:rsidR="00100260" w:rsidRPr="00C13D36" w:rsidRDefault="00100260" w:rsidP="00100260">
      <w:pPr>
        <w:pStyle w:val="3"/>
        <w:numPr>
          <w:ilvl w:val="0"/>
          <w:numId w:val="0"/>
        </w:numPr>
        <w:spacing w:line="360" w:lineRule="exact"/>
        <w:ind w:left="1361"/>
        <w:rPr>
          <w:sz w:val="24"/>
          <w:szCs w:val="24"/>
        </w:rPr>
      </w:pPr>
      <w:r w:rsidRPr="00C13D36">
        <w:rPr>
          <w:rFonts w:hint="eastAsia"/>
          <w:sz w:val="24"/>
          <w:szCs w:val="24"/>
        </w:rPr>
        <w:t>註：統計至106年12月底止</w:t>
      </w:r>
      <w:r w:rsidR="007558B6">
        <w:rPr>
          <w:rFonts w:hint="eastAsia"/>
          <w:sz w:val="24"/>
          <w:szCs w:val="24"/>
        </w:rPr>
        <w:t>。</w:t>
      </w:r>
    </w:p>
    <w:p w:rsidR="00100260" w:rsidRDefault="00100260" w:rsidP="00100260">
      <w:pPr>
        <w:pStyle w:val="3"/>
        <w:numPr>
          <w:ilvl w:val="0"/>
          <w:numId w:val="0"/>
        </w:numPr>
        <w:ind w:left="1361"/>
      </w:pPr>
      <w:r w:rsidRPr="00C13D36">
        <w:rPr>
          <w:rFonts w:hint="eastAsia"/>
          <w:sz w:val="24"/>
          <w:szCs w:val="24"/>
        </w:rPr>
        <w:t>資料來源：漁業署。</w:t>
      </w:r>
    </w:p>
    <w:p w:rsidR="00100260" w:rsidRPr="00DF1E4A" w:rsidRDefault="00100260" w:rsidP="00BF7652">
      <w:pPr>
        <w:pStyle w:val="3"/>
        <w:numPr>
          <w:ilvl w:val="0"/>
          <w:numId w:val="0"/>
        </w:numPr>
        <w:ind w:left="1361" w:firstLine="766"/>
        <w:rPr>
          <w:color w:val="000000" w:themeColor="text1"/>
        </w:rPr>
      </w:pPr>
      <w:r>
        <w:rPr>
          <w:rFonts w:hint="eastAsia"/>
        </w:rPr>
        <w:lastRenderedPageBreak/>
        <w:t>至於</w:t>
      </w:r>
      <w:r w:rsidR="00BF7652">
        <w:rPr>
          <w:rFonts w:hint="eastAsia"/>
        </w:rPr>
        <w:t>養殖魚塭地下水使用量，</w:t>
      </w:r>
      <w:r w:rsidR="00D33CCB">
        <w:rPr>
          <w:rFonts w:hint="eastAsia"/>
        </w:rPr>
        <w:t>據農委會查復，</w:t>
      </w:r>
      <w:r w:rsidR="003862C9" w:rsidRPr="00DF1E4A">
        <w:rPr>
          <w:rFonts w:hint="eastAsia"/>
          <w:color w:val="000000" w:themeColor="text1"/>
        </w:rPr>
        <w:t xml:space="preserve"> </w:t>
      </w:r>
      <w:r w:rsidR="00D33CCB" w:rsidRPr="00DF1E4A">
        <w:rPr>
          <w:rFonts w:hint="eastAsia"/>
          <w:color w:val="000000" w:themeColor="text1"/>
        </w:rPr>
        <w:t>97至105年各年度</w:t>
      </w:r>
      <w:r w:rsidR="003862C9" w:rsidRPr="003862C9">
        <w:rPr>
          <w:rFonts w:hint="eastAsia"/>
          <w:color w:val="000000" w:themeColor="text1"/>
        </w:rPr>
        <w:t>推估</w:t>
      </w:r>
      <w:r w:rsidR="00D33CCB" w:rsidRPr="00DF1E4A">
        <w:rPr>
          <w:rFonts w:hint="eastAsia"/>
          <w:color w:val="000000" w:themeColor="text1"/>
        </w:rPr>
        <w:t>各縣市養殖漁業地下水使用量，詳如表</w:t>
      </w:r>
      <w:r w:rsidR="00954201" w:rsidRPr="00DF1E4A">
        <w:rPr>
          <w:rFonts w:hint="eastAsia"/>
          <w:color w:val="000000" w:themeColor="text1"/>
        </w:rPr>
        <w:t>2</w:t>
      </w:r>
      <w:r w:rsidR="00594B63">
        <w:rPr>
          <w:rFonts w:hint="eastAsia"/>
          <w:color w:val="000000" w:themeColor="text1"/>
        </w:rPr>
        <w:t>1</w:t>
      </w:r>
      <w:r w:rsidR="00D33CCB" w:rsidRPr="00DF1E4A">
        <w:rPr>
          <w:rFonts w:hint="eastAsia"/>
          <w:color w:val="000000" w:themeColor="text1"/>
        </w:rPr>
        <w:t>所示。由該表得知，</w:t>
      </w:r>
      <w:r w:rsidR="00BF7652" w:rsidRPr="00DF1E4A">
        <w:rPr>
          <w:rFonts w:hint="eastAsia"/>
          <w:color w:val="000000" w:themeColor="text1"/>
        </w:rPr>
        <w:t>97至105年地下水使用量呈逐年減少趨勢，各年度分別為</w:t>
      </w:r>
      <w:r w:rsidR="00BF7652" w:rsidRPr="00DF1E4A">
        <w:rPr>
          <w:color w:val="000000" w:themeColor="text1"/>
        </w:rPr>
        <w:t>1,015,397</w:t>
      </w:r>
      <w:r w:rsidR="00BF7652" w:rsidRPr="00DF1E4A">
        <w:rPr>
          <w:rFonts w:hint="eastAsia"/>
          <w:color w:val="000000" w:themeColor="text1"/>
        </w:rPr>
        <w:t>、</w:t>
      </w:r>
      <w:r w:rsidR="00BF7652" w:rsidRPr="00DF1E4A">
        <w:rPr>
          <w:color w:val="000000" w:themeColor="text1"/>
        </w:rPr>
        <w:t>944,646</w:t>
      </w:r>
      <w:r w:rsidR="00BF7652" w:rsidRPr="00DF1E4A">
        <w:rPr>
          <w:rFonts w:hint="eastAsia"/>
          <w:color w:val="000000" w:themeColor="text1"/>
        </w:rPr>
        <w:t>、</w:t>
      </w:r>
      <w:r w:rsidR="00BF7652" w:rsidRPr="00DF1E4A">
        <w:rPr>
          <w:color w:val="000000" w:themeColor="text1"/>
        </w:rPr>
        <w:t>879,387</w:t>
      </w:r>
      <w:r w:rsidR="00BF7652" w:rsidRPr="00DF1E4A">
        <w:rPr>
          <w:rFonts w:hint="eastAsia"/>
          <w:color w:val="000000" w:themeColor="text1"/>
        </w:rPr>
        <w:t>、</w:t>
      </w:r>
      <w:r w:rsidR="00BF7652" w:rsidRPr="00DF1E4A">
        <w:rPr>
          <w:color w:val="000000" w:themeColor="text1"/>
        </w:rPr>
        <w:t>864,052</w:t>
      </w:r>
      <w:r w:rsidR="00BF7652" w:rsidRPr="00DF1E4A">
        <w:rPr>
          <w:rFonts w:hint="eastAsia"/>
          <w:color w:val="000000" w:themeColor="text1"/>
        </w:rPr>
        <w:t>、</w:t>
      </w:r>
      <w:r w:rsidR="00BF7652" w:rsidRPr="00DF1E4A">
        <w:rPr>
          <w:color w:val="000000" w:themeColor="text1"/>
        </w:rPr>
        <w:t>850,596</w:t>
      </w:r>
      <w:r w:rsidR="00BF7652" w:rsidRPr="00DF1E4A">
        <w:rPr>
          <w:rFonts w:hint="eastAsia"/>
          <w:color w:val="000000" w:themeColor="text1"/>
        </w:rPr>
        <w:t>、</w:t>
      </w:r>
      <w:r w:rsidR="00BF7652" w:rsidRPr="00DF1E4A">
        <w:rPr>
          <w:color w:val="000000" w:themeColor="text1"/>
        </w:rPr>
        <w:t>822,772</w:t>
      </w:r>
      <w:r w:rsidR="00BF7652" w:rsidRPr="00DF1E4A">
        <w:rPr>
          <w:rFonts w:hint="eastAsia"/>
          <w:color w:val="000000" w:themeColor="text1"/>
        </w:rPr>
        <w:t>、</w:t>
      </w:r>
      <w:r w:rsidR="00BF7652" w:rsidRPr="00DF1E4A">
        <w:rPr>
          <w:color w:val="000000" w:themeColor="text1"/>
        </w:rPr>
        <w:t>791,879</w:t>
      </w:r>
      <w:r w:rsidR="00BF7652" w:rsidRPr="00DF1E4A">
        <w:rPr>
          <w:rFonts w:hint="eastAsia"/>
          <w:color w:val="000000" w:themeColor="text1"/>
        </w:rPr>
        <w:t>、</w:t>
      </w:r>
      <w:r w:rsidR="00BF7652" w:rsidRPr="00DF1E4A">
        <w:rPr>
          <w:color w:val="000000" w:themeColor="text1"/>
        </w:rPr>
        <w:t>706,706</w:t>
      </w:r>
      <w:r w:rsidR="00BF7652" w:rsidRPr="00DF1E4A">
        <w:rPr>
          <w:rFonts w:hint="eastAsia"/>
          <w:color w:val="000000" w:themeColor="text1"/>
        </w:rPr>
        <w:t>及</w:t>
      </w:r>
      <w:r w:rsidR="00BF7652" w:rsidRPr="00DF1E4A">
        <w:rPr>
          <w:color w:val="000000" w:themeColor="text1"/>
        </w:rPr>
        <w:t>701,706</w:t>
      </w:r>
      <w:r w:rsidR="00BF7652" w:rsidRPr="00DF1E4A">
        <w:rPr>
          <w:rFonts w:hint="eastAsia"/>
          <w:color w:val="000000" w:themeColor="text1"/>
        </w:rPr>
        <w:t>公噸，而內陸養殖魚塭面積</w:t>
      </w:r>
      <w:r w:rsidR="00D33CCB" w:rsidRPr="00DF1E4A">
        <w:rPr>
          <w:rFonts w:hint="eastAsia"/>
          <w:color w:val="000000" w:themeColor="text1"/>
        </w:rPr>
        <w:t>最</w:t>
      </w:r>
      <w:r w:rsidR="00BF7652" w:rsidRPr="00DF1E4A">
        <w:rPr>
          <w:rFonts w:hint="eastAsia"/>
          <w:color w:val="000000" w:themeColor="text1"/>
        </w:rPr>
        <w:t>大之臺南市，其地下水使用量自97年之169,806</w:t>
      </w:r>
      <w:r w:rsidR="00D33CCB" w:rsidRPr="00DF1E4A">
        <w:rPr>
          <w:rFonts w:hint="eastAsia"/>
          <w:color w:val="000000" w:themeColor="text1"/>
        </w:rPr>
        <w:t>公噸，下降至105年之116,319公噸，減少3成左右，另雲林縣地下水使用量自97年之114,753公噸，下降</w:t>
      </w:r>
      <w:r w:rsidR="00D14465" w:rsidRPr="00DF1E4A">
        <w:rPr>
          <w:rFonts w:hint="eastAsia"/>
          <w:color w:val="000000" w:themeColor="text1"/>
        </w:rPr>
        <w:t>至</w:t>
      </w:r>
      <w:r w:rsidR="00D33CCB" w:rsidRPr="00DF1E4A">
        <w:rPr>
          <w:rFonts w:hint="eastAsia"/>
          <w:color w:val="000000" w:themeColor="text1"/>
        </w:rPr>
        <w:t>105年之72,690公噸，約減少3成6左右，顯見藉由漁業署建置海水養殖供應系統等措施，國內近年養殖漁業地下水使用量確</w:t>
      </w:r>
      <w:r w:rsidR="00D315CD" w:rsidRPr="00DF1E4A">
        <w:rPr>
          <w:rFonts w:hint="eastAsia"/>
          <w:color w:val="000000" w:themeColor="text1"/>
        </w:rPr>
        <w:t>已</w:t>
      </w:r>
      <w:r w:rsidR="00D33CCB" w:rsidRPr="00DF1E4A">
        <w:rPr>
          <w:rFonts w:hint="eastAsia"/>
          <w:color w:val="000000" w:themeColor="text1"/>
        </w:rPr>
        <w:t>降低。</w:t>
      </w:r>
    </w:p>
    <w:p w:rsidR="00991040" w:rsidRDefault="00991040" w:rsidP="00593C10">
      <w:pPr>
        <w:pStyle w:val="a3"/>
        <w:jc w:val="center"/>
        <w:rPr>
          <w:b/>
        </w:rPr>
      </w:pPr>
      <w:r w:rsidRPr="00593C10">
        <w:rPr>
          <w:rFonts w:hint="eastAsia"/>
          <w:b/>
        </w:rPr>
        <w:t>各縣市之養殖漁業地下水</w:t>
      </w:r>
      <w:r w:rsidR="00C1754D" w:rsidRPr="00593C10">
        <w:rPr>
          <w:rFonts w:hint="eastAsia"/>
          <w:b/>
        </w:rPr>
        <w:t>推估</w:t>
      </w:r>
      <w:r w:rsidRPr="00593C10">
        <w:rPr>
          <w:rFonts w:hint="eastAsia"/>
          <w:b/>
        </w:rPr>
        <w:t>使用量</w:t>
      </w:r>
    </w:p>
    <w:p w:rsidR="00A938F5" w:rsidRPr="00593C10" w:rsidRDefault="00A938F5" w:rsidP="00A938F5">
      <w:pPr>
        <w:pStyle w:val="a3"/>
        <w:numPr>
          <w:ilvl w:val="0"/>
          <w:numId w:val="0"/>
        </w:numPr>
        <w:spacing w:before="120" w:line="280" w:lineRule="exact"/>
        <w:jc w:val="center"/>
        <w:rPr>
          <w:b/>
        </w:rPr>
      </w:pPr>
      <w:r w:rsidRPr="00A938F5">
        <w:rPr>
          <w:rFonts w:hint="eastAsia"/>
          <w:b/>
        </w:rPr>
        <w:t>97至105年度</w:t>
      </w:r>
    </w:p>
    <w:p w:rsidR="00BF7652" w:rsidRPr="00991040" w:rsidRDefault="00991040" w:rsidP="00991040">
      <w:pPr>
        <w:pStyle w:val="3"/>
        <w:numPr>
          <w:ilvl w:val="0"/>
          <w:numId w:val="0"/>
        </w:numPr>
        <w:ind w:left="1361" w:firstLine="766"/>
        <w:jc w:val="right"/>
        <w:rPr>
          <w:sz w:val="24"/>
          <w:szCs w:val="24"/>
        </w:rPr>
      </w:pPr>
      <w:r w:rsidRPr="00991040">
        <w:rPr>
          <w:rFonts w:hint="eastAsia"/>
          <w:sz w:val="24"/>
          <w:szCs w:val="24"/>
        </w:rPr>
        <w:t>單位：公噸/年</w:t>
      </w:r>
    </w:p>
    <w:tbl>
      <w:tblPr>
        <w:tblW w:w="9959" w:type="dxa"/>
        <w:tblInd w:w="-114" w:type="dxa"/>
        <w:tblCellMar>
          <w:left w:w="28" w:type="dxa"/>
          <w:right w:w="28" w:type="dxa"/>
        </w:tblCellMar>
        <w:tblLook w:val="00A0" w:firstRow="1" w:lastRow="0" w:firstColumn="1" w:lastColumn="0" w:noHBand="0" w:noVBand="0"/>
      </w:tblPr>
      <w:tblGrid>
        <w:gridCol w:w="996"/>
        <w:gridCol w:w="1227"/>
        <w:gridCol w:w="967"/>
        <w:gridCol w:w="967"/>
        <w:gridCol w:w="967"/>
        <w:gridCol w:w="967"/>
        <w:gridCol w:w="967"/>
        <w:gridCol w:w="967"/>
        <w:gridCol w:w="967"/>
        <w:gridCol w:w="967"/>
      </w:tblGrid>
      <w:tr w:rsidR="00991040" w:rsidRPr="00D33CCB" w:rsidTr="00BC64C1">
        <w:trPr>
          <w:trHeight w:val="210"/>
        </w:trPr>
        <w:tc>
          <w:tcPr>
            <w:tcW w:w="996" w:type="dxa"/>
            <w:tcBorders>
              <w:top w:val="single" w:sz="4" w:space="0" w:color="auto"/>
              <w:left w:val="single" w:sz="4" w:space="0" w:color="auto"/>
              <w:bottom w:val="single" w:sz="4" w:space="0" w:color="auto"/>
              <w:right w:val="single" w:sz="4" w:space="0" w:color="auto"/>
            </w:tcBorders>
            <w:noWrap/>
            <w:vAlign w:val="center"/>
          </w:tcPr>
          <w:p w:rsidR="00D33CCB" w:rsidRPr="00991040" w:rsidRDefault="00D33CCB"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年度</w:t>
            </w:r>
          </w:p>
          <w:p w:rsidR="00991040" w:rsidRPr="00991040" w:rsidRDefault="00991040"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縣市別</w:t>
            </w:r>
          </w:p>
        </w:tc>
        <w:tc>
          <w:tcPr>
            <w:tcW w:w="122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center"/>
              <w:rPr>
                <w:rFonts w:hAnsi="標楷體" w:cs="新細明體"/>
                <w:color w:val="000000"/>
                <w:kern w:val="0"/>
                <w:sz w:val="24"/>
                <w:szCs w:val="24"/>
              </w:rPr>
            </w:pPr>
            <w:r w:rsidRPr="00991040">
              <w:rPr>
                <w:rFonts w:hAnsi="標楷體" w:cs="新細明體"/>
                <w:color w:val="000000"/>
                <w:kern w:val="0"/>
                <w:sz w:val="24"/>
                <w:szCs w:val="24"/>
              </w:rPr>
              <w:t>97</w:t>
            </w:r>
            <w:r w:rsidRPr="00991040">
              <w:rPr>
                <w:rFonts w:hAnsi="標楷體" w:cs="新細明體" w:hint="eastAsia"/>
                <w:color w:val="000000"/>
                <w:kern w:val="0"/>
                <w:sz w:val="24"/>
                <w:szCs w:val="24"/>
              </w:rPr>
              <w:t>年</w:t>
            </w:r>
          </w:p>
        </w:tc>
        <w:tc>
          <w:tcPr>
            <w:tcW w:w="96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center"/>
              <w:rPr>
                <w:rFonts w:hAnsi="標楷體" w:cs="新細明體"/>
                <w:color w:val="000000"/>
                <w:kern w:val="0"/>
                <w:sz w:val="24"/>
                <w:szCs w:val="24"/>
              </w:rPr>
            </w:pPr>
            <w:r w:rsidRPr="00991040">
              <w:rPr>
                <w:rFonts w:hAnsi="標楷體" w:cs="新細明體"/>
                <w:color w:val="000000"/>
                <w:kern w:val="0"/>
                <w:sz w:val="24"/>
                <w:szCs w:val="24"/>
              </w:rPr>
              <w:t>98</w:t>
            </w:r>
            <w:r w:rsidRPr="00991040">
              <w:rPr>
                <w:rFonts w:hAnsi="標楷體" w:cs="新細明體" w:hint="eastAsia"/>
                <w:color w:val="000000"/>
                <w:kern w:val="0"/>
                <w:sz w:val="24"/>
                <w:szCs w:val="24"/>
              </w:rPr>
              <w:t>年</w:t>
            </w:r>
          </w:p>
        </w:tc>
        <w:tc>
          <w:tcPr>
            <w:tcW w:w="96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center"/>
              <w:rPr>
                <w:rFonts w:hAnsi="標楷體" w:cs="新細明體"/>
                <w:color w:val="000000"/>
                <w:kern w:val="0"/>
                <w:sz w:val="24"/>
                <w:szCs w:val="24"/>
              </w:rPr>
            </w:pPr>
            <w:r w:rsidRPr="00991040">
              <w:rPr>
                <w:rFonts w:hAnsi="標楷體" w:cs="新細明體"/>
                <w:color w:val="000000"/>
                <w:kern w:val="0"/>
                <w:sz w:val="24"/>
                <w:szCs w:val="24"/>
              </w:rPr>
              <w:t>99</w:t>
            </w:r>
            <w:r w:rsidRPr="00991040">
              <w:rPr>
                <w:rFonts w:hAnsi="標楷體" w:cs="新細明體" w:hint="eastAsia"/>
                <w:color w:val="000000"/>
                <w:kern w:val="0"/>
                <w:sz w:val="24"/>
                <w:szCs w:val="24"/>
              </w:rPr>
              <w:t>年</w:t>
            </w:r>
          </w:p>
        </w:tc>
        <w:tc>
          <w:tcPr>
            <w:tcW w:w="96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center"/>
              <w:rPr>
                <w:rFonts w:hAnsi="標楷體" w:cs="新細明體"/>
                <w:color w:val="000000"/>
                <w:kern w:val="0"/>
                <w:sz w:val="24"/>
                <w:szCs w:val="24"/>
              </w:rPr>
            </w:pPr>
            <w:r w:rsidRPr="00991040">
              <w:rPr>
                <w:rFonts w:hAnsi="標楷體" w:cs="新細明體"/>
                <w:color w:val="000000"/>
                <w:kern w:val="0"/>
                <w:sz w:val="24"/>
                <w:szCs w:val="24"/>
              </w:rPr>
              <w:t>100</w:t>
            </w:r>
            <w:r w:rsidRPr="00991040">
              <w:rPr>
                <w:rFonts w:hAnsi="標楷體" w:cs="新細明體" w:hint="eastAsia"/>
                <w:color w:val="000000"/>
                <w:kern w:val="0"/>
                <w:sz w:val="24"/>
                <w:szCs w:val="24"/>
              </w:rPr>
              <w:t>年</w:t>
            </w:r>
          </w:p>
        </w:tc>
        <w:tc>
          <w:tcPr>
            <w:tcW w:w="96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center"/>
              <w:rPr>
                <w:rFonts w:hAnsi="標楷體" w:cs="新細明體"/>
                <w:color w:val="000000"/>
                <w:kern w:val="0"/>
                <w:sz w:val="24"/>
                <w:szCs w:val="24"/>
              </w:rPr>
            </w:pPr>
            <w:r w:rsidRPr="00991040">
              <w:rPr>
                <w:rFonts w:hAnsi="標楷體" w:cs="新細明體"/>
                <w:color w:val="000000"/>
                <w:kern w:val="0"/>
                <w:sz w:val="24"/>
                <w:szCs w:val="24"/>
              </w:rPr>
              <w:t>101</w:t>
            </w:r>
            <w:r w:rsidRPr="00991040">
              <w:rPr>
                <w:rFonts w:hAnsi="標楷體" w:cs="新細明體" w:hint="eastAsia"/>
                <w:color w:val="000000"/>
                <w:kern w:val="0"/>
                <w:sz w:val="24"/>
                <w:szCs w:val="24"/>
              </w:rPr>
              <w:t>年</w:t>
            </w:r>
          </w:p>
        </w:tc>
        <w:tc>
          <w:tcPr>
            <w:tcW w:w="96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center"/>
              <w:rPr>
                <w:rFonts w:hAnsi="標楷體" w:cs="新細明體"/>
                <w:color w:val="000000"/>
                <w:kern w:val="0"/>
                <w:sz w:val="24"/>
                <w:szCs w:val="24"/>
              </w:rPr>
            </w:pPr>
            <w:r w:rsidRPr="00991040">
              <w:rPr>
                <w:rFonts w:hAnsi="標楷體" w:cs="新細明體"/>
                <w:color w:val="000000"/>
                <w:kern w:val="0"/>
                <w:sz w:val="24"/>
                <w:szCs w:val="24"/>
              </w:rPr>
              <w:t>102</w:t>
            </w:r>
            <w:r w:rsidRPr="00991040">
              <w:rPr>
                <w:rFonts w:hAnsi="標楷體" w:cs="新細明體" w:hint="eastAsia"/>
                <w:color w:val="000000"/>
                <w:kern w:val="0"/>
                <w:sz w:val="24"/>
                <w:szCs w:val="24"/>
              </w:rPr>
              <w:t>年</w:t>
            </w:r>
          </w:p>
        </w:tc>
        <w:tc>
          <w:tcPr>
            <w:tcW w:w="96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center"/>
              <w:rPr>
                <w:rFonts w:hAnsi="標楷體" w:cs="新細明體"/>
                <w:color w:val="000000"/>
                <w:kern w:val="0"/>
                <w:sz w:val="24"/>
                <w:szCs w:val="24"/>
              </w:rPr>
            </w:pPr>
            <w:r w:rsidRPr="00991040">
              <w:rPr>
                <w:rFonts w:hAnsi="標楷體" w:cs="新細明體"/>
                <w:color w:val="000000"/>
                <w:kern w:val="0"/>
                <w:sz w:val="24"/>
                <w:szCs w:val="24"/>
              </w:rPr>
              <w:t>103</w:t>
            </w:r>
            <w:r w:rsidRPr="00991040">
              <w:rPr>
                <w:rFonts w:hAnsi="標楷體" w:cs="新細明體" w:hint="eastAsia"/>
                <w:color w:val="000000"/>
                <w:kern w:val="0"/>
                <w:sz w:val="24"/>
                <w:szCs w:val="24"/>
              </w:rPr>
              <w:t>年</w:t>
            </w:r>
          </w:p>
        </w:tc>
        <w:tc>
          <w:tcPr>
            <w:tcW w:w="96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center"/>
              <w:rPr>
                <w:rFonts w:hAnsi="標楷體" w:cs="新細明體"/>
                <w:color w:val="000000"/>
                <w:kern w:val="0"/>
                <w:sz w:val="24"/>
                <w:szCs w:val="24"/>
              </w:rPr>
            </w:pPr>
            <w:r w:rsidRPr="00991040">
              <w:rPr>
                <w:rFonts w:hAnsi="標楷體" w:cs="新細明體"/>
                <w:color w:val="000000"/>
                <w:kern w:val="0"/>
                <w:sz w:val="24"/>
                <w:szCs w:val="24"/>
              </w:rPr>
              <w:t>104</w:t>
            </w:r>
            <w:r w:rsidRPr="00991040">
              <w:rPr>
                <w:rFonts w:hAnsi="標楷體" w:cs="新細明體" w:hint="eastAsia"/>
                <w:color w:val="000000"/>
                <w:kern w:val="0"/>
                <w:sz w:val="24"/>
                <w:szCs w:val="24"/>
              </w:rPr>
              <w:t>年</w:t>
            </w:r>
          </w:p>
        </w:tc>
        <w:tc>
          <w:tcPr>
            <w:tcW w:w="96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center"/>
              <w:rPr>
                <w:rFonts w:hAnsi="標楷體" w:cs="新細明體"/>
                <w:color w:val="000000"/>
                <w:kern w:val="0"/>
                <w:sz w:val="24"/>
                <w:szCs w:val="24"/>
              </w:rPr>
            </w:pPr>
            <w:r w:rsidRPr="00991040">
              <w:rPr>
                <w:rFonts w:hAnsi="標楷體" w:cs="新細明體"/>
                <w:color w:val="000000"/>
                <w:kern w:val="0"/>
                <w:sz w:val="24"/>
                <w:szCs w:val="24"/>
              </w:rPr>
              <w:t>105</w:t>
            </w:r>
            <w:r w:rsidRPr="00991040">
              <w:rPr>
                <w:rFonts w:hAnsi="標楷體" w:cs="新細明體" w:hint="eastAsia"/>
                <w:color w:val="000000"/>
                <w:kern w:val="0"/>
                <w:sz w:val="24"/>
                <w:szCs w:val="24"/>
              </w:rPr>
              <w:t>年</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宜蘭縣</w:t>
            </w:r>
          </w:p>
        </w:tc>
        <w:tc>
          <w:tcPr>
            <w:tcW w:w="1227" w:type="dxa"/>
            <w:tcBorders>
              <w:top w:val="single" w:sz="4" w:space="0" w:color="auto"/>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4,467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4,302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6,573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6,009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5,394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4,614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5,469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5,343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6,405 </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彰化縣</w:t>
            </w:r>
          </w:p>
        </w:tc>
        <w:tc>
          <w:tcPr>
            <w:tcW w:w="122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219,646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215,747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174,455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157,829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157,021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153,566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144,660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111,154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104,142 </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雲林縣</w:t>
            </w:r>
          </w:p>
        </w:tc>
        <w:tc>
          <w:tcPr>
            <w:tcW w:w="122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114,753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57,971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96,430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87,569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83,272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77,659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75,877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64,573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72,690 </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嘉義縣</w:t>
            </w:r>
          </w:p>
        </w:tc>
        <w:tc>
          <w:tcPr>
            <w:tcW w:w="122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158,534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194,738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132,730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116,476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116,993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124,441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123,566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124,154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114,385 </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991040">
            <w:pPr>
              <w:widowControl/>
              <w:rPr>
                <w:rFonts w:hAnsi="標楷體" w:cs="新細明體"/>
                <w:color w:val="000000"/>
                <w:kern w:val="0"/>
                <w:sz w:val="24"/>
                <w:szCs w:val="24"/>
              </w:rPr>
            </w:pPr>
            <w:r w:rsidRPr="00991040">
              <w:rPr>
                <w:rFonts w:hAnsi="標楷體" w:cs="新細明體" w:hint="eastAsia"/>
                <w:color w:val="000000"/>
                <w:kern w:val="0"/>
                <w:sz w:val="24"/>
                <w:szCs w:val="24"/>
              </w:rPr>
              <w:t>臺南市</w:t>
            </w:r>
            <w:r w:rsidR="00BC64C1" w:rsidRPr="00BC64C1">
              <w:rPr>
                <w:rFonts w:hAnsi="標楷體" w:cs="新細明體" w:hint="eastAsia"/>
                <w:color w:val="000000"/>
                <w:kern w:val="0"/>
                <w:sz w:val="24"/>
                <w:szCs w:val="24"/>
                <w:vertAlign w:val="superscript"/>
              </w:rPr>
              <w:t>註</w:t>
            </w:r>
          </w:p>
        </w:tc>
        <w:tc>
          <w:tcPr>
            <w:tcW w:w="122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169,806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165,731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25,433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188,687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167,714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151,195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127,884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116,238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116,319 </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991040">
            <w:pPr>
              <w:widowControl/>
              <w:rPr>
                <w:rFonts w:hAnsi="標楷體" w:cs="新細明體"/>
                <w:color w:val="000000"/>
                <w:kern w:val="0"/>
                <w:sz w:val="24"/>
                <w:szCs w:val="24"/>
              </w:rPr>
            </w:pPr>
            <w:r w:rsidRPr="00991040">
              <w:rPr>
                <w:rFonts w:hAnsi="標楷體" w:cs="新細明體" w:hint="eastAsia"/>
                <w:color w:val="000000"/>
                <w:kern w:val="0"/>
                <w:sz w:val="24"/>
                <w:szCs w:val="24"/>
              </w:rPr>
              <w:t>高雄市</w:t>
            </w:r>
          </w:p>
        </w:tc>
        <w:tc>
          <w:tcPr>
            <w:tcW w:w="122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84,484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84,538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75,864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101,590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87,588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94,255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89,144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92,267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84,531 </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屏東縣</w:t>
            </w:r>
          </w:p>
        </w:tc>
        <w:tc>
          <w:tcPr>
            <w:tcW w:w="122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212,185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193,346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178,733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182,827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185,749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182,498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177,870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171,896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180,277 </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花蓮縣</w:t>
            </w:r>
          </w:p>
        </w:tc>
        <w:tc>
          <w:tcPr>
            <w:tcW w:w="122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34,791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9,318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8,935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7,685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7,824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11,550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11,018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11,100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11,148 </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其</w:t>
            </w:r>
            <w:r w:rsidRPr="00991040">
              <w:rPr>
                <w:rFonts w:hAnsi="標楷體" w:cs="新細明體"/>
                <w:color w:val="000000"/>
                <w:kern w:val="0"/>
                <w:sz w:val="24"/>
                <w:szCs w:val="24"/>
              </w:rPr>
              <w:t xml:space="preserve">  </w:t>
            </w:r>
            <w:r w:rsidRPr="00991040">
              <w:rPr>
                <w:rFonts w:hAnsi="標楷體" w:cs="新細明體" w:hint="eastAsia"/>
                <w:color w:val="000000"/>
                <w:kern w:val="0"/>
                <w:sz w:val="24"/>
                <w:szCs w:val="24"/>
              </w:rPr>
              <w:t>他</w:t>
            </w:r>
          </w:p>
        </w:tc>
        <w:tc>
          <w:tcPr>
            <w:tcW w:w="122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16,732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18,954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17,386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15,380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39,042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22,995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36,391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9,981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11,808 </w:t>
            </w:r>
          </w:p>
        </w:tc>
      </w:tr>
      <w:tr w:rsidR="00991040" w:rsidRPr="00D33CCB" w:rsidTr="00BC64C1">
        <w:trPr>
          <w:trHeight w:val="210"/>
        </w:trPr>
        <w:tc>
          <w:tcPr>
            <w:tcW w:w="996" w:type="dxa"/>
            <w:tcBorders>
              <w:top w:val="nil"/>
              <w:left w:val="single" w:sz="4" w:space="0" w:color="auto"/>
              <w:bottom w:val="single" w:sz="4" w:space="0" w:color="auto"/>
              <w:right w:val="single" w:sz="4" w:space="0" w:color="auto"/>
            </w:tcBorders>
            <w:noWrap/>
            <w:vAlign w:val="center"/>
          </w:tcPr>
          <w:p w:rsidR="00D33CCB" w:rsidRPr="00991040" w:rsidRDefault="00D33CCB" w:rsidP="005A4164">
            <w:pPr>
              <w:widowControl/>
              <w:rPr>
                <w:rFonts w:hAnsi="標楷體" w:cs="新細明體"/>
                <w:color w:val="000000"/>
                <w:kern w:val="0"/>
                <w:sz w:val="24"/>
                <w:szCs w:val="24"/>
              </w:rPr>
            </w:pPr>
            <w:r w:rsidRPr="00991040">
              <w:rPr>
                <w:rFonts w:hAnsi="標楷體" w:cs="新細明體" w:hint="eastAsia"/>
                <w:color w:val="000000"/>
                <w:kern w:val="0"/>
                <w:sz w:val="24"/>
                <w:szCs w:val="24"/>
              </w:rPr>
              <w:t>合計</w:t>
            </w:r>
          </w:p>
        </w:tc>
        <w:tc>
          <w:tcPr>
            <w:tcW w:w="122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1,015,397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944,646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879,387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864,052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850,596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822,772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791,879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706,706 </w:t>
            </w:r>
          </w:p>
        </w:tc>
        <w:tc>
          <w:tcPr>
            <w:tcW w:w="967" w:type="dxa"/>
            <w:tcBorders>
              <w:top w:val="nil"/>
              <w:left w:val="nil"/>
              <w:bottom w:val="single" w:sz="4" w:space="0" w:color="auto"/>
              <w:right w:val="single" w:sz="4" w:space="0" w:color="auto"/>
            </w:tcBorders>
            <w:noWrap/>
            <w:vAlign w:val="center"/>
          </w:tcPr>
          <w:p w:rsidR="00D33CCB" w:rsidRPr="00991040" w:rsidRDefault="00D33CCB" w:rsidP="005A4164">
            <w:pPr>
              <w:widowControl/>
              <w:jc w:val="right"/>
              <w:rPr>
                <w:rFonts w:hAnsi="標楷體" w:cs="新細明體"/>
                <w:color w:val="000000"/>
                <w:kern w:val="0"/>
                <w:sz w:val="24"/>
                <w:szCs w:val="24"/>
              </w:rPr>
            </w:pPr>
            <w:r w:rsidRPr="00991040">
              <w:rPr>
                <w:rFonts w:hAnsi="標楷體" w:cs="新細明體"/>
                <w:color w:val="000000"/>
                <w:kern w:val="0"/>
                <w:sz w:val="24"/>
                <w:szCs w:val="24"/>
              </w:rPr>
              <w:t xml:space="preserve">701,706 </w:t>
            </w:r>
          </w:p>
        </w:tc>
      </w:tr>
    </w:tbl>
    <w:p w:rsidR="00991040" w:rsidRPr="00DF1E4A" w:rsidRDefault="00991040" w:rsidP="00BC64C1">
      <w:pPr>
        <w:pStyle w:val="3"/>
        <w:numPr>
          <w:ilvl w:val="0"/>
          <w:numId w:val="0"/>
        </w:numPr>
        <w:spacing w:line="360" w:lineRule="exact"/>
        <w:ind w:leftChars="-41" w:left="1" w:hangingChars="54" w:hanging="140"/>
        <w:rPr>
          <w:color w:val="000000" w:themeColor="text1"/>
          <w:sz w:val="24"/>
          <w:szCs w:val="24"/>
        </w:rPr>
      </w:pPr>
      <w:r w:rsidRPr="00C13D36">
        <w:rPr>
          <w:rFonts w:hint="eastAsia"/>
          <w:sz w:val="24"/>
          <w:szCs w:val="24"/>
        </w:rPr>
        <w:t>註：</w:t>
      </w:r>
      <w:r>
        <w:rPr>
          <w:rFonts w:hint="eastAsia"/>
          <w:sz w:val="24"/>
          <w:szCs w:val="24"/>
        </w:rPr>
        <w:t>原臺南縣及臺南市之資料，</w:t>
      </w:r>
      <w:r w:rsidRPr="00DF1E4A">
        <w:rPr>
          <w:rFonts w:hint="eastAsia"/>
          <w:color w:val="000000" w:themeColor="text1"/>
          <w:sz w:val="24"/>
          <w:szCs w:val="24"/>
        </w:rPr>
        <w:t>合併呈現。</w:t>
      </w:r>
    </w:p>
    <w:p w:rsidR="00991040" w:rsidRPr="00DF1E4A" w:rsidRDefault="00991040" w:rsidP="00BC64C1">
      <w:pPr>
        <w:pStyle w:val="3"/>
        <w:numPr>
          <w:ilvl w:val="0"/>
          <w:numId w:val="0"/>
        </w:numPr>
        <w:ind w:leftChars="-41" w:left="1" w:hangingChars="54" w:hanging="140"/>
        <w:rPr>
          <w:color w:val="000000" w:themeColor="text1"/>
        </w:rPr>
      </w:pPr>
      <w:r w:rsidRPr="00DF1E4A">
        <w:rPr>
          <w:rFonts w:hint="eastAsia"/>
          <w:color w:val="000000" w:themeColor="text1"/>
          <w:sz w:val="24"/>
          <w:szCs w:val="24"/>
        </w:rPr>
        <w:t>資料來源：農委會。</w:t>
      </w:r>
    </w:p>
    <w:p w:rsidR="00BF7652" w:rsidRPr="00991040" w:rsidRDefault="00BF7652" w:rsidP="00BF7652">
      <w:pPr>
        <w:pStyle w:val="3"/>
        <w:numPr>
          <w:ilvl w:val="0"/>
          <w:numId w:val="0"/>
        </w:numPr>
        <w:ind w:left="1361" w:firstLine="766"/>
      </w:pPr>
    </w:p>
    <w:p w:rsidR="008E666A" w:rsidRPr="00BB58AD" w:rsidRDefault="00991040" w:rsidP="008E666A">
      <w:pPr>
        <w:pStyle w:val="3"/>
      </w:pPr>
      <w:r>
        <w:rPr>
          <w:rFonts w:hint="eastAsia"/>
        </w:rPr>
        <w:t>惟</w:t>
      </w:r>
      <w:r w:rsidR="00582253">
        <w:rPr>
          <w:rFonts w:hint="eastAsia"/>
        </w:rPr>
        <w:t>本院於赴臺南及宜蘭地區履勘瞭解漁業養殖實況過程中，得知海水養殖存有各層面之技術問題，且所需成本亦高，首先為各水產動物之耐鹽度品種之</w:t>
      </w:r>
      <w:r w:rsidR="00582253">
        <w:rPr>
          <w:rFonts w:hint="eastAsia"/>
        </w:rPr>
        <w:lastRenderedPageBreak/>
        <w:t>選擇，再者為飼養過程</w:t>
      </w:r>
      <w:r w:rsidR="00E81A7F">
        <w:rPr>
          <w:rFonts w:hint="eastAsia"/>
        </w:rPr>
        <w:t>中需克服</w:t>
      </w:r>
      <w:r w:rsidR="00582253">
        <w:rPr>
          <w:rFonts w:hint="eastAsia"/>
        </w:rPr>
        <w:t>生長</w:t>
      </w:r>
      <w:r w:rsidR="00E81A7F">
        <w:rPr>
          <w:rFonts w:hint="eastAsia"/>
        </w:rPr>
        <w:t>緩</w:t>
      </w:r>
      <w:r w:rsidR="004127F6">
        <w:rPr>
          <w:rFonts w:hint="eastAsia"/>
        </w:rPr>
        <w:t>慢</w:t>
      </w:r>
      <w:r w:rsidR="00E81A7F">
        <w:rPr>
          <w:rFonts w:hint="eastAsia"/>
        </w:rPr>
        <w:t>或</w:t>
      </w:r>
      <w:r w:rsidR="00DC506B">
        <w:rPr>
          <w:rFonts w:hint="eastAsia"/>
        </w:rPr>
        <w:t>病毒</w:t>
      </w:r>
      <w:r w:rsidR="00E81A7F">
        <w:rPr>
          <w:rFonts w:hint="eastAsia"/>
        </w:rPr>
        <w:t>等</w:t>
      </w:r>
      <w:r w:rsidR="00582253">
        <w:rPr>
          <w:rFonts w:hint="eastAsia"/>
        </w:rPr>
        <w:t>之技術問題，</w:t>
      </w:r>
      <w:r w:rsidR="004127F6">
        <w:rPr>
          <w:rFonts w:hint="eastAsia"/>
        </w:rPr>
        <w:t>續有池中生態平衡變化之影響，</w:t>
      </w:r>
      <w:r w:rsidR="00E81A7F">
        <w:rPr>
          <w:rFonts w:hint="eastAsia"/>
        </w:rPr>
        <w:t>最後為產</w:t>
      </w:r>
      <w:r w:rsidR="00E81A7F" w:rsidRPr="00E837D9">
        <w:rPr>
          <w:rFonts w:hint="eastAsia"/>
          <w:color w:val="000000" w:themeColor="text1"/>
        </w:rPr>
        <w:t>品價格偏高之行銷困境等</w:t>
      </w:r>
      <w:r w:rsidR="004127F6" w:rsidRPr="00E837D9">
        <w:rPr>
          <w:rFonts w:hint="eastAsia"/>
          <w:color w:val="000000" w:themeColor="text1"/>
        </w:rPr>
        <w:t>；</w:t>
      </w:r>
      <w:r w:rsidR="00E81A7F" w:rsidRPr="00E837D9">
        <w:rPr>
          <w:rFonts w:hint="eastAsia"/>
          <w:color w:val="000000" w:themeColor="text1"/>
        </w:rPr>
        <w:t>且部分業者表示，政府</w:t>
      </w:r>
      <w:r w:rsidR="009C7377" w:rsidRPr="00E837D9">
        <w:rPr>
          <w:rFonts w:hint="eastAsia"/>
          <w:color w:val="000000" w:themeColor="text1"/>
        </w:rPr>
        <w:t>雖</w:t>
      </w:r>
      <w:r w:rsidR="00E81A7F" w:rsidRPr="00E837D9">
        <w:rPr>
          <w:rFonts w:hint="eastAsia"/>
          <w:color w:val="000000" w:themeColor="text1"/>
        </w:rPr>
        <w:t>提倡海水養殖，但仍有使用淡水之需求，</w:t>
      </w:r>
      <w:r w:rsidR="000B7B27">
        <w:rPr>
          <w:rFonts w:hint="eastAsia"/>
          <w:color w:val="000000" w:themeColor="text1"/>
        </w:rPr>
        <w:t>故仍</w:t>
      </w:r>
      <w:r w:rsidR="00E81A7F" w:rsidRPr="00E837D9">
        <w:rPr>
          <w:rFonts w:hint="eastAsia"/>
          <w:color w:val="000000" w:themeColor="text1"/>
        </w:rPr>
        <w:t>會抽地下水補足，只是會儘量</w:t>
      </w:r>
      <w:r w:rsidR="00371A63" w:rsidRPr="00E837D9">
        <w:rPr>
          <w:rFonts w:hint="eastAsia"/>
          <w:color w:val="000000" w:themeColor="text1"/>
        </w:rPr>
        <w:t>少抽</w:t>
      </w:r>
      <w:r w:rsidR="00E81A7F" w:rsidRPr="00E837D9">
        <w:rPr>
          <w:rFonts w:hint="eastAsia"/>
          <w:color w:val="000000" w:themeColor="text1"/>
        </w:rPr>
        <w:t>一點等語。</w:t>
      </w:r>
      <w:r w:rsidR="00DC506B" w:rsidRPr="00E837D9">
        <w:rPr>
          <w:rFonts w:hint="eastAsia"/>
          <w:color w:val="000000" w:themeColor="text1"/>
        </w:rPr>
        <w:t>關於海水養殖之可行性及輔導推廣問題，漁業署林國平副署長於本院約詢時表示</w:t>
      </w:r>
      <w:r w:rsidR="00BB58AD" w:rsidRPr="00E837D9">
        <w:rPr>
          <w:rFonts w:hint="eastAsia"/>
          <w:color w:val="000000" w:themeColor="text1"/>
        </w:rPr>
        <w:t>：</w:t>
      </w:r>
      <w:r w:rsidR="008631B8" w:rsidRPr="00E837D9">
        <w:rPr>
          <w:rFonts w:hAnsi="標楷體" w:hint="eastAsia"/>
          <w:color w:val="000000" w:themeColor="text1"/>
        </w:rPr>
        <w:t>「</w:t>
      </w:r>
      <w:r w:rsidR="00DC506B" w:rsidRPr="00E837D9">
        <w:rPr>
          <w:rFonts w:hint="eastAsia"/>
          <w:color w:val="000000" w:themeColor="text1"/>
        </w:rPr>
        <w:t>過去養殖業者可能會抽取地下水，故發展海水養殖漁業，而海水養殖可能</w:t>
      </w:r>
      <w:r w:rsidR="00B40A7D" w:rsidRPr="00E837D9">
        <w:rPr>
          <w:rFonts w:hint="eastAsia"/>
          <w:color w:val="000000" w:themeColor="text1"/>
        </w:rPr>
        <w:t>會產</w:t>
      </w:r>
      <w:r w:rsidR="00DC506B" w:rsidRPr="00E837D9">
        <w:rPr>
          <w:rFonts w:hint="eastAsia"/>
          <w:color w:val="000000" w:themeColor="text1"/>
        </w:rPr>
        <w:t>生</w:t>
      </w:r>
      <w:r w:rsidR="008631B8" w:rsidRPr="00E837D9">
        <w:rPr>
          <w:rFonts w:hint="eastAsia"/>
          <w:color w:val="000000" w:themeColor="text1"/>
        </w:rPr>
        <w:t>生</w:t>
      </w:r>
      <w:r w:rsidR="00DC506B" w:rsidRPr="00E837D9">
        <w:rPr>
          <w:rFonts w:hint="eastAsia"/>
          <w:color w:val="000000" w:themeColor="text1"/>
        </w:rPr>
        <w:t>態影響及其他</w:t>
      </w:r>
      <w:r w:rsidR="00B40A7D" w:rsidRPr="00E837D9">
        <w:rPr>
          <w:rFonts w:hint="eastAsia"/>
          <w:color w:val="000000" w:themeColor="text1"/>
        </w:rPr>
        <w:t>技術</w:t>
      </w:r>
      <w:r w:rsidR="00DC506B" w:rsidRPr="00E837D9">
        <w:rPr>
          <w:rFonts w:hint="eastAsia"/>
          <w:color w:val="000000" w:themeColor="text1"/>
        </w:rPr>
        <w:t>問題，</w:t>
      </w:r>
      <w:r w:rsidR="00B40A7D" w:rsidRPr="00E837D9">
        <w:rPr>
          <w:rFonts w:hint="eastAsia"/>
          <w:color w:val="000000" w:themeColor="text1"/>
        </w:rPr>
        <w:t>但是</w:t>
      </w:r>
      <w:r w:rsidR="00DC506B" w:rsidRPr="00E837D9">
        <w:rPr>
          <w:rFonts w:hint="eastAsia"/>
          <w:color w:val="000000" w:themeColor="text1"/>
        </w:rPr>
        <w:t>沿海地區地勢較為低漥，適合</w:t>
      </w:r>
      <w:r w:rsidR="00B40A7D" w:rsidRPr="00E837D9">
        <w:rPr>
          <w:rFonts w:hint="eastAsia"/>
          <w:color w:val="000000" w:themeColor="text1"/>
        </w:rPr>
        <w:t>其他</w:t>
      </w:r>
      <w:r w:rsidR="00DC506B" w:rsidRPr="00E837D9">
        <w:rPr>
          <w:rFonts w:hint="eastAsia"/>
          <w:color w:val="000000" w:themeColor="text1"/>
        </w:rPr>
        <w:t>農業發展之項目及範圍有限，</w:t>
      </w:r>
      <w:r w:rsidR="00B40A7D" w:rsidRPr="00E837D9">
        <w:rPr>
          <w:rFonts w:hint="eastAsia"/>
          <w:color w:val="000000" w:themeColor="text1"/>
        </w:rPr>
        <w:t>會盡力輔導，</w:t>
      </w:r>
      <w:r w:rsidR="00DC506B" w:rsidRPr="00E837D9">
        <w:rPr>
          <w:rFonts w:hint="eastAsia"/>
          <w:color w:val="000000" w:themeColor="text1"/>
        </w:rPr>
        <w:t>另海水的使用，</w:t>
      </w:r>
      <w:r w:rsidR="00B40A7D" w:rsidRPr="00E837D9">
        <w:rPr>
          <w:rFonts w:hint="eastAsia"/>
          <w:color w:val="000000" w:themeColor="text1"/>
        </w:rPr>
        <w:t>有</w:t>
      </w:r>
      <w:r w:rsidR="00DC506B" w:rsidRPr="00E837D9">
        <w:rPr>
          <w:rFonts w:hint="eastAsia"/>
          <w:color w:val="000000" w:themeColor="text1"/>
        </w:rPr>
        <w:t>建設統籌供應系統，</w:t>
      </w:r>
      <w:r w:rsidR="00B40A7D" w:rsidRPr="00E837D9">
        <w:rPr>
          <w:rFonts w:hint="eastAsia"/>
          <w:color w:val="000000" w:themeColor="text1"/>
        </w:rPr>
        <w:t>需</w:t>
      </w:r>
      <w:r w:rsidR="00DC506B" w:rsidRPr="00E837D9">
        <w:rPr>
          <w:rFonts w:hint="eastAsia"/>
          <w:color w:val="000000" w:themeColor="text1"/>
        </w:rPr>
        <w:t>收取</w:t>
      </w:r>
      <w:r w:rsidR="00B40A7D" w:rsidRPr="00E837D9">
        <w:rPr>
          <w:rFonts w:hint="eastAsia"/>
          <w:color w:val="000000" w:themeColor="text1"/>
        </w:rPr>
        <w:t>使用</w:t>
      </w:r>
      <w:r w:rsidR="00DC506B" w:rsidRPr="00E837D9">
        <w:rPr>
          <w:rFonts w:hint="eastAsia"/>
          <w:color w:val="000000" w:themeColor="text1"/>
        </w:rPr>
        <w:t>費用，已有管理制度</w:t>
      </w:r>
      <w:r w:rsidR="008631B8" w:rsidRPr="00E837D9">
        <w:rPr>
          <w:rFonts w:hAnsi="標楷體" w:hint="eastAsia"/>
          <w:color w:val="000000" w:themeColor="text1"/>
        </w:rPr>
        <w:t>」</w:t>
      </w:r>
      <w:r w:rsidR="00B40A7D" w:rsidRPr="00BB58AD">
        <w:rPr>
          <w:rFonts w:hint="eastAsia"/>
        </w:rPr>
        <w:t>等語。</w:t>
      </w:r>
    </w:p>
    <w:p w:rsidR="00991040" w:rsidRDefault="008E666A" w:rsidP="008E666A">
      <w:pPr>
        <w:pStyle w:val="3"/>
        <w:rPr>
          <w:color w:val="000000" w:themeColor="text1"/>
        </w:rPr>
      </w:pPr>
      <w:r w:rsidRPr="00BB58AD">
        <w:rPr>
          <w:rFonts w:hint="eastAsia"/>
        </w:rPr>
        <w:t>綜上，</w:t>
      </w:r>
      <w:r w:rsidR="00B40A7D" w:rsidRPr="00E837D9">
        <w:rPr>
          <w:rFonts w:hint="eastAsia"/>
          <w:color w:val="000000" w:themeColor="text1"/>
        </w:rPr>
        <w:t>為避免內陸魚塭養殖業者抽取地下水，</w:t>
      </w:r>
      <w:r w:rsidRPr="00E837D9">
        <w:rPr>
          <w:rFonts w:hint="eastAsia"/>
          <w:color w:val="000000" w:themeColor="text1"/>
        </w:rPr>
        <w:t>漁業署近年採取建置海水統籌供應系統等措施，輔導及發展海水養殖</w:t>
      </w:r>
      <w:r w:rsidR="004127F6" w:rsidRPr="00E837D9">
        <w:rPr>
          <w:rFonts w:hint="eastAsia"/>
          <w:color w:val="000000" w:themeColor="text1"/>
        </w:rPr>
        <w:t>漁業</w:t>
      </w:r>
      <w:r w:rsidRPr="00E837D9">
        <w:rPr>
          <w:rFonts w:hint="eastAsia"/>
          <w:color w:val="000000" w:themeColor="text1"/>
        </w:rPr>
        <w:t>，此</w:t>
      </w:r>
      <w:r w:rsidR="000D4F6F" w:rsidRPr="00E837D9">
        <w:rPr>
          <w:rFonts w:hint="eastAsia"/>
          <w:color w:val="000000" w:themeColor="text1"/>
        </w:rPr>
        <w:t>舉</w:t>
      </w:r>
      <w:r w:rsidR="004127F6" w:rsidRPr="00E837D9">
        <w:rPr>
          <w:rFonts w:hint="eastAsia"/>
          <w:color w:val="000000" w:themeColor="text1"/>
        </w:rPr>
        <w:t>雖</w:t>
      </w:r>
      <w:r w:rsidR="004E4A1D" w:rsidRPr="00E837D9">
        <w:rPr>
          <w:rFonts w:hint="eastAsia"/>
          <w:color w:val="000000" w:themeColor="text1"/>
        </w:rPr>
        <w:t>可</w:t>
      </w:r>
      <w:r w:rsidRPr="00E837D9">
        <w:rPr>
          <w:rFonts w:hint="eastAsia"/>
          <w:color w:val="000000" w:themeColor="text1"/>
        </w:rPr>
        <w:t>降低魚塭地下水使用量，惟海水養殖存有各層面之技術問題，且飼養成本偏高，業者又需突破行銷</w:t>
      </w:r>
      <w:r w:rsidR="005E4FE1" w:rsidRPr="00E837D9">
        <w:rPr>
          <w:rFonts w:hint="eastAsia"/>
          <w:color w:val="000000" w:themeColor="text1"/>
        </w:rPr>
        <w:t>困</w:t>
      </w:r>
      <w:r w:rsidRPr="00E837D9">
        <w:rPr>
          <w:rFonts w:hint="eastAsia"/>
          <w:color w:val="000000" w:themeColor="text1"/>
        </w:rPr>
        <w:t>境，</w:t>
      </w:r>
      <w:r w:rsidR="000D4F6F" w:rsidRPr="00E837D9">
        <w:rPr>
          <w:rFonts w:hint="eastAsia"/>
          <w:color w:val="000000" w:themeColor="text1"/>
        </w:rPr>
        <w:t>凡</w:t>
      </w:r>
      <w:r w:rsidRPr="00E837D9">
        <w:rPr>
          <w:rFonts w:hint="eastAsia"/>
          <w:color w:val="000000" w:themeColor="text1"/>
        </w:rPr>
        <w:t>此</w:t>
      </w:r>
      <w:r w:rsidR="000D4F6F" w:rsidRPr="00E837D9">
        <w:rPr>
          <w:rFonts w:hint="eastAsia"/>
          <w:color w:val="000000" w:themeColor="text1"/>
        </w:rPr>
        <w:t>均</w:t>
      </w:r>
      <w:r w:rsidRPr="00E837D9">
        <w:rPr>
          <w:rFonts w:hint="eastAsia"/>
          <w:color w:val="000000" w:themeColor="text1"/>
        </w:rPr>
        <w:t>有待農委會正視並研謀具體解決方案，以</w:t>
      </w:r>
      <w:r w:rsidR="005E4FE1" w:rsidRPr="00E837D9">
        <w:rPr>
          <w:rFonts w:hint="eastAsia"/>
          <w:color w:val="000000" w:themeColor="text1"/>
        </w:rPr>
        <w:t>健全整體配套措施。</w:t>
      </w:r>
    </w:p>
    <w:p w:rsidR="000D2859" w:rsidRPr="00E837D9" w:rsidRDefault="000D2859" w:rsidP="000D2859">
      <w:pPr>
        <w:pStyle w:val="3"/>
        <w:numPr>
          <w:ilvl w:val="0"/>
          <w:numId w:val="0"/>
        </w:numPr>
        <w:ind w:left="680"/>
        <w:rPr>
          <w:color w:val="000000" w:themeColor="text1"/>
        </w:rPr>
      </w:pPr>
    </w:p>
    <w:p w:rsidR="00F71976" w:rsidRPr="00F71976" w:rsidRDefault="00F71976" w:rsidP="007A6E1D">
      <w:pPr>
        <w:pStyle w:val="2"/>
        <w:ind w:left="1020" w:hanging="680"/>
        <w:rPr>
          <w:b/>
        </w:rPr>
      </w:pPr>
      <w:r w:rsidRPr="00E837D9">
        <w:rPr>
          <w:rFonts w:hint="eastAsia"/>
          <w:b/>
          <w:color w:val="000000" w:themeColor="text1"/>
        </w:rPr>
        <w:t>聯合國糧食農業組織（</w:t>
      </w:r>
      <w:r w:rsidR="000D4F6F" w:rsidRPr="00E837D9">
        <w:rPr>
          <w:b/>
          <w:color w:val="000000" w:themeColor="text1"/>
        </w:rPr>
        <w:t>Food and Agriculture Organization</w:t>
      </w:r>
      <w:r w:rsidR="00E24C0D">
        <w:rPr>
          <w:rFonts w:hint="eastAsia"/>
          <w:b/>
          <w:color w:val="000000" w:themeColor="text1"/>
        </w:rPr>
        <w:t>；以下簡稱FAO</w:t>
      </w:r>
      <w:r w:rsidRPr="00E837D9">
        <w:rPr>
          <w:rFonts w:hint="eastAsia"/>
          <w:b/>
          <w:color w:val="000000" w:themeColor="text1"/>
        </w:rPr>
        <w:t>）報告指出養殖漁業供給人類直</w:t>
      </w:r>
      <w:r w:rsidRPr="00F71976">
        <w:rPr>
          <w:rFonts w:hint="eastAsia"/>
          <w:b/>
        </w:rPr>
        <w:t>接食用的總量，</w:t>
      </w:r>
      <w:r w:rsidRPr="00E24C0D">
        <w:rPr>
          <w:rFonts w:hint="eastAsia"/>
          <w:b/>
          <w:color w:val="000000" w:themeColor="text1"/>
        </w:rPr>
        <w:t>在2014年已正式超</w:t>
      </w:r>
      <w:r w:rsidRPr="00F71976">
        <w:rPr>
          <w:rFonts w:hint="eastAsia"/>
          <w:b/>
        </w:rPr>
        <w:t>過捕撈漁業且持續快速成長，然國內部分縣市對養殖魚塭迄未訂立水源取得相關規定</w:t>
      </w:r>
      <w:r w:rsidR="00BB58AD">
        <w:rPr>
          <w:rFonts w:hint="eastAsia"/>
          <w:b/>
        </w:rPr>
        <w:t>；</w:t>
      </w:r>
      <w:r w:rsidR="00014103">
        <w:rPr>
          <w:rFonts w:hint="eastAsia"/>
          <w:b/>
        </w:rPr>
        <w:t>又</w:t>
      </w:r>
      <w:r w:rsidRPr="00F71976">
        <w:rPr>
          <w:rFonts w:hint="eastAsia"/>
          <w:b/>
        </w:rPr>
        <w:t>國內魚塭養殖仍有3成5左右未取得養殖登</w:t>
      </w:r>
      <w:r w:rsidRPr="00E837D9">
        <w:rPr>
          <w:rFonts w:hint="eastAsia"/>
          <w:b/>
          <w:color w:val="000000" w:themeColor="text1"/>
        </w:rPr>
        <w:t>記，不利各地區養殖漁業發展之整體規劃；</w:t>
      </w:r>
      <w:r w:rsidR="00014103" w:rsidRPr="00E837D9">
        <w:rPr>
          <w:rFonts w:hint="eastAsia"/>
          <w:b/>
          <w:color w:val="000000" w:themeColor="text1"/>
        </w:rPr>
        <w:t>另</w:t>
      </w:r>
      <w:r w:rsidRPr="00E837D9">
        <w:rPr>
          <w:rFonts w:hint="eastAsia"/>
          <w:b/>
          <w:color w:val="000000" w:themeColor="text1"/>
        </w:rPr>
        <w:t>未建立</w:t>
      </w:r>
      <w:r w:rsidR="007633C2" w:rsidRPr="00E837D9">
        <w:rPr>
          <w:rFonts w:hint="eastAsia"/>
          <w:b/>
          <w:color w:val="000000" w:themeColor="text1"/>
        </w:rPr>
        <w:t>漁業</w:t>
      </w:r>
      <w:r w:rsidRPr="00E837D9">
        <w:rPr>
          <w:rFonts w:hint="eastAsia"/>
          <w:b/>
          <w:color w:val="000000" w:themeColor="text1"/>
        </w:rPr>
        <w:t>從業者之</w:t>
      </w:r>
      <w:r w:rsidR="009A6F51">
        <w:rPr>
          <w:rFonts w:hint="eastAsia"/>
          <w:b/>
          <w:color w:val="000000" w:themeColor="text1"/>
        </w:rPr>
        <w:t>整體</w:t>
      </w:r>
      <w:r w:rsidRPr="00E837D9">
        <w:rPr>
          <w:rFonts w:hint="eastAsia"/>
          <w:b/>
          <w:color w:val="000000" w:themeColor="text1"/>
        </w:rPr>
        <w:t>資料，難據以進行</w:t>
      </w:r>
      <w:r w:rsidR="003A2B30">
        <w:rPr>
          <w:rFonts w:hint="eastAsia"/>
          <w:b/>
          <w:color w:val="000000" w:themeColor="text1"/>
        </w:rPr>
        <w:t>全盤</w:t>
      </w:r>
      <w:r w:rsidRPr="00E837D9">
        <w:rPr>
          <w:rFonts w:hint="eastAsia"/>
          <w:b/>
          <w:color w:val="000000" w:themeColor="text1"/>
        </w:rPr>
        <w:t>政策規劃，農委會應</w:t>
      </w:r>
      <w:r w:rsidR="002F6371">
        <w:rPr>
          <w:rFonts w:hint="eastAsia"/>
          <w:b/>
          <w:color w:val="000000" w:themeColor="text1"/>
        </w:rPr>
        <w:t>正</w:t>
      </w:r>
      <w:r w:rsidRPr="00E837D9">
        <w:rPr>
          <w:rFonts w:hint="eastAsia"/>
          <w:b/>
          <w:color w:val="000000" w:themeColor="text1"/>
        </w:rPr>
        <w:t>視此一現象並協同地方政府檢討改進</w:t>
      </w:r>
      <w:r w:rsidR="00BB58AD">
        <w:rPr>
          <w:rFonts w:hint="eastAsia"/>
          <w:b/>
        </w:rPr>
        <w:t>。</w:t>
      </w:r>
    </w:p>
    <w:p w:rsidR="00F71976" w:rsidRDefault="00F71976" w:rsidP="00F71976">
      <w:pPr>
        <w:pStyle w:val="3"/>
      </w:pPr>
      <w:r>
        <w:rPr>
          <w:rFonts w:hint="eastAsia"/>
        </w:rPr>
        <w:t>依</w:t>
      </w:r>
      <w:r w:rsidR="00762E9B">
        <w:rPr>
          <w:rFonts w:hAnsi="標楷體" w:hint="eastAsia"/>
          <w:color w:val="7030A0"/>
        </w:rPr>
        <w:t>「</w:t>
      </w:r>
      <w:r>
        <w:rPr>
          <w:rFonts w:hint="eastAsia"/>
        </w:rPr>
        <w:t>漁業法</w:t>
      </w:r>
      <w:r w:rsidR="00762E9B">
        <w:rPr>
          <w:rFonts w:hAnsi="標楷體" w:hint="eastAsia"/>
          <w:color w:val="7030A0"/>
        </w:rPr>
        <w:t>」</w:t>
      </w:r>
      <w:r>
        <w:rPr>
          <w:rFonts w:hint="eastAsia"/>
        </w:rPr>
        <w:t>第69條第1項規定：「陸上魚塭養殖漁</w:t>
      </w:r>
      <w:r>
        <w:rPr>
          <w:rFonts w:hint="eastAsia"/>
        </w:rPr>
        <w:lastRenderedPageBreak/>
        <w:t>業之登記及管理規則，由直轄市、縣(市)主管機關定之。」而對於農業設施容許之使用，</w:t>
      </w:r>
      <w:r w:rsidR="00762E9B">
        <w:rPr>
          <w:rFonts w:hAnsi="標楷體" w:hint="eastAsia"/>
          <w:color w:val="7030A0"/>
        </w:rPr>
        <w:t>「</w:t>
      </w:r>
      <w:r>
        <w:rPr>
          <w:rFonts w:hint="eastAsia"/>
        </w:rPr>
        <w:t>農業發展條例</w:t>
      </w:r>
      <w:r w:rsidR="00762E9B">
        <w:rPr>
          <w:rFonts w:hAnsi="標楷體" w:hint="eastAsia"/>
          <w:color w:val="7030A0"/>
        </w:rPr>
        <w:t>」</w:t>
      </w:r>
      <w:r>
        <w:rPr>
          <w:rFonts w:hint="eastAsia"/>
        </w:rPr>
        <w:t>第8</w:t>
      </w:r>
      <w:r w:rsidR="00BB58AD">
        <w:rPr>
          <w:rFonts w:hint="eastAsia"/>
        </w:rPr>
        <w:t>條之</w:t>
      </w:r>
      <w:r>
        <w:rPr>
          <w:rFonts w:hint="eastAsia"/>
        </w:rPr>
        <w:t>1授權訂定之</w:t>
      </w:r>
      <w:r w:rsidR="00BB58AD">
        <w:rPr>
          <w:rFonts w:ascii="新細明體" w:eastAsia="新細明體" w:hAnsi="新細明體" w:hint="eastAsia"/>
        </w:rPr>
        <w:t>「</w:t>
      </w:r>
      <w:r>
        <w:rPr>
          <w:rFonts w:hint="eastAsia"/>
        </w:rPr>
        <w:t>申請農業用地作農業設施容許使用審查辦法</w:t>
      </w:r>
      <w:r w:rsidR="00BB58AD">
        <w:rPr>
          <w:rFonts w:hAnsi="標楷體" w:hint="eastAsia"/>
        </w:rPr>
        <w:t>」</w:t>
      </w:r>
      <w:r>
        <w:rPr>
          <w:rFonts w:hint="eastAsia"/>
        </w:rPr>
        <w:t>第21條規定略以：「水產養殖設施分為下列各類：一、室外水產養殖生產設施：……。二、室內水產養殖生產設施：……。三、水產養殖管理設施：……。四、自產水產品集貨包裝處理設施：……。五、其他水產養殖設施：……。前項各類設施之許可使用細目，應符合附表四相關規定。」</w:t>
      </w:r>
    </w:p>
    <w:p w:rsidR="00F71976" w:rsidRPr="00C25766" w:rsidRDefault="00F71976" w:rsidP="00F71976">
      <w:pPr>
        <w:pStyle w:val="3"/>
        <w:rPr>
          <w:color w:val="000000" w:themeColor="text1"/>
        </w:rPr>
      </w:pPr>
      <w:r w:rsidRPr="00C25766">
        <w:rPr>
          <w:rFonts w:hint="eastAsia"/>
          <w:color w:val="000000" w:themeColor="text1"/>
        </w:rPr>
        <w:t>據聯合國糧食農業組織（FAO）漁業及水產養殖部發布2016年世界漁業和水產養殖狀況報告指出：</w:t>
      </w:r>
      <w:r w:rsidR="00EF2524" w:rsidRPr="00C25766">
        <w:rPr>
          <w:rFonts w:hAnsi="標楷體" w:hint="eastAsia"/>
          <w:color w:val="000000" w:themeColor="text1"/>
        </w:rPr>
        <w:t>「</w:t>
      </w:r>
      <w:r w:rsidRPr="00C25766">
        <w:rPr>
          <w:rFonts w:hint="eastAsia"/>
          <w:color w:val="000000" w:themeColor="text1"/>
        </w:rPr>
        <w:t>2014年全球養殖漁業消費總量首次超過野生捕撈魚類消費總量。</w:t>
      </w:r>
      <w:r w:rsidR="00EF2524" w:rsidRPr="00C25766">
        <w:rPr>
          <w:rFonts w:hAnsi="標楷體" w:hint="eastAsia"/>
          <w:color w:val="000000" w:themeColor="text1"/>
        </w:rPr>
        <w:t>」</w:t>
      </w:r>
      <w:r w:rsidRPr="00C25766">
        <w:rPr>
          <w:rFonts w:hint="eastAsia"/>
          <w:color w:val="000000" w:themeColor="text1"/>
        </w:rPr>
        <w:t>報告預測到2021年</w:t>
      </w:r>
      <w:r w:rsidR="00EB52F7">
        <w:rPr>
          <w:rFonts w:hint="eastAsia"/>
          <w:color w:val="000000" w:themeColor="text1"/>
        </w:rPr>
        <w:t>時</w:t>
      </w:r>
      <w:r w:rsidRPr="00C25766">
        <w:rPr>
          <w:rFonts w:hint="eastAsia"/>
          <w:color w:val="000000" w:themeColor="text1"/>
        </w:rPr>
        <w:t>，水產養殖業將成為魚肉消費的主要來源。亦即，捕撈漁業產量未來將無法滿足全球所需，又養殖漁業供給人類直接食用的總量，在2014年已正式超過捕撈漁業，且持續快速成長。再據漁業署105年漁業統計年報統計近5年各漁業生產量：遠洋漁業產量約介於58</w:t>
      </w:r>
      <w:r w:rsidR="00E53F52" w:rsidRPr="00C25766">
        <w:rPr>
          <w:rFonts w:hint="eastAsia"/>
          <w:color w:val="000000" w:themeColor="text1"/>
        </w:rPr>
        <w:t>.4</w:t>
      </w:r>
      <w:r w:rsidRPr="00C25766">
        <w:rPr>
          <w:rFonts w:hint="eastAsia"/>
          <w:color w:val="000000" w:themeColor="text1"/>
        </w:rPr>
        <w:t>萬至89</w:t>
      </w:r>
      <w:r w:rsidR="00E53F52" w:rsidRPr="00C25766">
        <w:rPr>
          <w:rFonts w:hint="eastAsia"/>
          <w:color w:val="000000" w:themeColor="text1"/>
        </w:rPr>
        <w:t>.9萬</w:t>
      </w:r>
      <w:r w:rsidRPr="00C25766">
        <w:rPr>
          <w:rFonts w:hint="eastAsia"/>
          <w:color w:val="000000" w:themeColor="text1"/>
        </w:rPr>
        <w:t>公噸間。產量次之</w:t>
      </w:r>
      <w:r w:rsidR="00EF2524" w:rsidRPr="00C25766">
        <w:rPr>
          <w:rFonts w:hint="eastAsia"/>
          <w:color w:val="000000" w:themeColor="text1"/>
        </w:rPr>
        <w:t>者</w:t>
      </w:r>
      <w:r w:rsidRPr="00C25766">
        <w:rPr>
          <w:rFonts w:hint="eastAsia"/>
          <w:color w:val="000000" w:themeColor="text1"/>
        </w:rPr>
        <w:t>為養殖漁業，產量約</w:t>
      </w:r>
      <w:r w:rsidR="00EF2524" w:rsidRPr="00C25766">
        <w:rPr>
          <w:rFonts w:hint="eastAsia"/>
          <w:color w:val="000000" w:themeColor="text1"/>
        </w:rPr>
        <w:t>在</w:t>
      </w:r>
      <w:r w:rsidRPr="00C25766">
        <w:rPr>
          <w:rFonts w:hint="eastAsia"/>
          <w:color w:val="000000" w:themeColor="text1"/>
        </w:rPr>
        <w:t>25</w:t>
      </w:r>
      <w:r w:rsidR="00E53F52" w:rsidRPr="00C25766">
        <w:rPr>
          <w:rFonts w:hint="eastAsia"/>
          <w:color w:val="000000" w:themeColor="text1"/>
        </w:rPr>
        <w:t>.5</w:t>
      </w:r>
      <w:r w:rsidRPr="00C25766">
        <w:rPr>
          <w:rFonts w:hint="eastAsia"/>
          <w:color w:val="000000" w:themeColor="text1"/>
        </w:rPr>
        <w:t>萬至34</w:t>
      </w:r>
      <w:r w:rsidR="00E53F52" w:rsidRPr="00C25766">
        <w:rPr>
          <w:rFonts w:hint="eastAsia"/>
          <w:color w:val="000000" w:themeColor="text1"/>
        </w:rPr>
        <w:t>.7</w:t>
      </w:r>
      <w:r w:rsidRPr="00C25766">
        <w:rPr>
          <w:rFonts w:hint="eastAsia"/>
          <w:color w:val="000000" w:themeColor="text1"/>
        </w:rPr>
        <w:t>萬公噸間。近海漁業產量約12</w:t>
      </w:r>
      <w:r w:rsidR="00E53F52" w:rsidRPr="00C25766">
        <w:rPr>
          <w:rFonts w:hint="eastAsia"/>
          <w:color w:val="000000" w:themeColor="text1"/>
        </w:rPr>
        <w:t>.5</w:t>
      </w:r>
      <w:r w:rsidRPr="00C25766">
        <w:rPr>
          <w:rFonts w:hint="eastAsia"/>
          <w:color w:val="000000" w:themeColor="text1"/>
        </w:rPr>
        <w:t>萬至14</w:t>
      </w:r>
      <w:r w:rsidR="00E53F52" w:rsidRPr="00C25766">
        <w:rPr>
          <w:rFonts w:hint="eastAsia"/>
          <w:color w:val="000000" w:themeColor="text1"/>
        </w:rPr>
        <w:t>.8</w:t>
      </w:r>
      <w:r w:rsidRPr="00C25766">
        <w:rPr>
          <w:rFonts w:hint="eastAsia"/>
          <w:color w:val="000000" w:themeColor="text1"/>
        </w:rPr>
        <w:t>萬公噸；沿岸漁業產量約2</w:t>
      </w:r>
      <w:r w:rsidR="00E53F52" w:rsidRPr="00C25766">
        <w:rPr>
          <w:rFonts w:hint="eastAsia"/>
          <w:color w:val="000000" w:themeColor="text1"/>
        </w:rPr>
        <w:t>.5</w:t>
      </w:r>
      <w:r w:rsidRPr="00C25766">
        <w:rPr>
          <w:rFonts w:hint="eastAsia"/>
          <w:color w:val="000000" w:themeColor="text1"/>
        </w:rPr>
        <w:t>萬至3</w:t>
      </w:r>
      <w:r w:rsidR="00E53F52" w:rsidRPr="00C25766">
        <w:rPr>
          <w:rFonts w:hint="eastAsia"/>
          <w:color w:val="000000" w:themeColor="text1"/>
        </w:rPr>
        <w:t>.3</w:t>
      </w:r>
      <w:r w:rsidRPr="00C25766">
        <w:rPr>
          <w:rFonts w:hint="eastAsia"/>
          <w:color w:val="000000" w:themeColor="text1"/>
        </w:rPr>
        <w:t>萬公噸。說明我國養殖漁業之產量僅次於遠洋漁業產量，位居第二。</w:t>
      </w:r>
    </w:p>
    <w:p w:rsidR="00F71976" w:rsidRDefault="00F71976" w:rsidP="00EA3F1D">
      <w:pPr>
        <w:pStyle w:val="3"/>
      </w:pPr>
      <w:r>
        <w:rPr>
          <w:rFonts w:hint="eastAsia"/>
        </w:rPr>
        <w:t>然據審計部106年度辦理「行政院農業委員會漁業署輔導養殖漁業改善養殖環境與提升水產品質，惟漁業權劃設、陸上魚塭設置等未臻</w:t>
      </w:r>
      <w:r w:rsidRPr="00DE3B03">
        <w:rPr>
          <w:rFonts w:hint="eastAsia"/>
          <w:color w:val="000000" w:themeColor="text1"/>
        </w:rPr>
        <w:t>妥適」等情案之審核，針對陸上魚塭養殖之審核意見</w:t>
      </w:r>
      <w:r w:rsidR="00187A6C" w:rsidRPr="00DE3B03">
        <w:rPr>
          <w:rFonts w:hint="eastAsia"/>
          <w:color w:val="000000" w:themeColor="text1"/>
        </w:rPr>
        <w:t>略</w:t>
      </w:r>
      <w:r w:rsidRPr="00DE3B03">
        <w:rPr>
          <w:rFonts w:hint="eastAsia"/>
          <w:color w:val="000000" w:themeColor="text1"/>
        </w:rPr>
        <w:t>以：</w:t>
      </w:r>
      <w:r w:rsidR="00187A6C" w:rsidRPr="00DE3B03">
        <w:rPr>
          <w:rFonts w:hAnsi="標楷體" w:hint="eastAsia"/>
          <w:color w:val="000000" w:themeColor="text1"/>
        </w:rPr>
        <w:t>「</w:t>
      </w:r>
      <w:r w:rsidRPr="00DE3B03">
        <w:rPr>
          <w:rFonts w:hint="eastAsia"/>
          <w:color w:val="000000" w:themeColor="text1"/>
        </w:rPr>
        <w:t>據漁業署101至105年度漁業統計年報公布之內</w:t>
      </w:r>
      <w:r>
        <w:rPr>
          <w:rFonts w:hint="eastAsia"/>
        </w:rPr>
        <w:t>陸養殖面積統計資料，全臺養殖面積約3萬3,935公頃，除臺北</w:t>
      </w:r>
      <w:r>
        <w:rPr>
          <w:rFonts w:hint="eastAsia"/>
        </w:rPr>
        <w:lastRenderedPageBreak/>
        <w:t>市及連江縣外，皆有內陸養殖魚塭，並已分別訂立陸上魚塭養殖漁業登記及管理要點，以保障漁民權益及管理所轄陸上養殖魚塭。惟其中臺南市、雲林縣、嘉義縣、屏東縣及澎湖縣等5市縣，對養殖魚塭水源使用皆未訂立應取得水權執照或魚塭水權登記證明、水利機關核發之水利建造物核准文件或其他合法用水證明文件等水源取得相關規定。</w:t>
      </w:r>
      <w:r w:rsidR="00187A6C">
        <w:rPr>
          <w:rFonts w:hAnsi="標楷體" w:hint="eastAsia"/>
          <w:color w:val="7030A0"/>
        </w:rPr>
        <w:t>」</w:t>
      </w:r>
    </w:p>
    <w:p w:rsidR="00F71976" w:rsidRPr="00B40212" w:rsidRDefault="00F71976" w:rsidP="00EA3F1D">
      <w:pPr>
        <w:pStyle w:val="3"/>
        <w:rPr>
          <w:color w:val="000000" w:themeColor="text1"/>
        </w:rPr>
      </w:pPr>
      <w:r w:rsidRPr="00B40212">
        <w:rPr>
          <w:rFonts w:hint="eastAsia"/>
          <w:color w:val="000000" w:themeColor="text1"/>
        </w:rPr>
        <w:t>經查各縣(市)政府核發102至106年養殖登記證統計</w:t>
      </w:r>
      <w:r w:rsidR="0089397E" w:rsidRPr="00B40212">
        <w:rPr>
          <w:rFonts w:hint="eastAsia"/>
          <w:color w:val="000000" w:themeColor="text1"/>
        </w:rPr>
        <w:t>詳</w:t>
      </w:r>
      <w:r w:rsidRPr="00B40212">
        <w:rPr>
          <w:rFonts w:hint="eastAsia"/>
          <w:color w:val="000000" w:themeColor="text1"/>
        </w:rPr>
        <w:t>如表</w:t>
      </w:r>
      <w:r w:rsidR="0089397E" w:rsidRPr="00B40212">
        <w:rPr>
          <w:rFonts w:hint="eastAsia"/>
          <w:color w:val="000000" w:themeColor="text1"/>
        </w:rPr>
        <w:t>2</w:t>
      </w:r>
      <w:r w:rsidR="005244B2">
        <w:rPr>
          <w:rFonts w:hint="eastAsia"/>
          <w:color w:val="000000" w:themeColor="text1"/>
        </w:rPr>
        <w:t>2</w:t>
      </w:r>
      <w:r w:rsidR="0089397E" w:rsidRPr="00B40212">
        <w:rPr>
          <w:rFonts w:hint="eastAsia"/>
          <w:color w:val="000000" w:themeColor="text1"/>
        </w:rPr>
        <w:t>所示</w:t>
      </w:r>
      <w:r w:rsidRPr="00B40212">
        <w:rPr>
          <w:rFonts w:hint="eastAsia"/>
          <w:color w:val="000000" w:themeColor="text1"/>
        </w:rPr>
        <w:t>：</w:t>
      </w:r>
    </w:p>
    <w:p w:rsidR="00C74EC0" w:rsidRDefault="00C74EC0" w:rsidP="005244B2">
      <w:pPr>
        <w:pStyle w:val="a3"/>
        <w:jc w:val="center"/>
        <w:rPr>
          <w:b/>
        </w:rPr>
      </w:pPr>
      <w:r w:rsidRPr="005244B2">
        <w:rPr>
          <w:rFonts w:hint="eastAsia"/>
          <w:b/>
        </w:rPr>
        <w:t>各縣(市)政府養殖登記證核發統計</w:t>
      </w:r>
    </w:p>
    <w:p w:rsidR="00B8217C" w:rsidRPr="00B8217C" w:rsidRDefault="00B8217C" w:rsidP="00B8217C">
      <w:pPr>
        <w:pStyle w:val="a3"/>
        <w:numPr>
          <w:ilvl w:val="0"/>
          <w:numId w:val="0"/>
        </w:numPr>
        <w:spacing w:before="120" w:line="280" w:lineRule="exact"/>
        <w:jc w:val="center"/>
        <w:rPr>
          <w:b/>
        </w:rPr>
      </w:pPr>
      <w:r w:rsidRPr="00B8217C">
        <w:rPr>
          <w:rFonts w:hint="eastAsia"/>
          <w:b/>
        </w:rPr>
        <w:t>102至106年</w:t>
      </w:r>
    </w:p>
    <w:tbl>
      <w:tblPr>
        <w:tblStyle w:val="13"/>
        <w:tblW w:w="0" w:type="auto"/>
        <w:tblInd w:w="250" w:type="dxa"/>
        <w:tblLook w:val="04A0" w:firstRow="1" w:lastRow="0" w:firstColumn="1" w:lastColumn="0" w:noHBand="0" w:noVBand="1"/>
      </w:tblPr>
      <w:tblGrid>
        <w:gridCol w:w="1523"/>
        <w:gridCol w:w="1767"/>
        <w:gridCol w:w="1767"/>
        <w:gridCol w:w="1767"/>
        <w:gridCol w:w="1760"/>
      </w:tblGrid>
      <w:tr w:rsidR="00B40212" w:rsidRPr="00B40212" w:rsidTr="002B1720">
        <w:trPr>
          <w:tblHeader/>
        </w:trPr>
        <w:tc>
          <w:tcPr>
            <w:tcW w:w="1530" w:type="dxa"/>
            <w:tcBorders>
              <w:tl2br w:val="single" w:sz="4" w:space="0" w:color="auto"/>
            </w:tcBorders>
          </w:tcPr>
          <w:p w:rsidR="002B1720" w:rsidRPr="00B40212" w:rsidRDefault="00EA3F1D" w:rsidP="00E86B28">
            <w:pPr>
              <w:overflowPunct/>
              <w:autoSpaceDE/>
              <w:autoSpaceDN/>
              <w:ind w:left="750" w:hangingChars="250" w:hanging="750"/>
              <w:outlineLvl w:val="3"/>
              <w:rPr>
                <w:rFonts w:ascii="Times New Roman"/>
                <w:color w:val="000000" w:themeColor="text1"/>
                <w:sz w:val="26"/>
                <w:szCs w:val="26"/>
              </w:rPr>
            </w:pPr>
            <w:r w:rsidRPr="00B40212">
              <w:rPr>
                <w:rFonts w:ascii="Times New Roman"/>
                <w:color w:val="000000" w:themeColor="text1"/>
                <w:sz w:val="28"/>
                <w:szCs w:val="28"/>
              </w:rPr>
              <w:t xml:space="preserve"> </w:t>
            </w:r>
            <w:r w:rsidRPr="00B40212">
              <w:rPr>
                <w:rFonts w:ascii="Times New Roman" w:hint="eastAsia"/>
                <w:color w:val="000000" w:themeColor="text1"/>
                <w:sz w:val="28"/>
                <w:szCs w:val="28"/>
              </w:rPr>
              <w:t xml:space="preserve"> </w:t>
            </w:r>
            <w:r w:rsidR="002B1720" w:rsidRPr="00B40212">
              <w:rPr>
                <w:rFonts w:ascii="Times New Roman" w:hint="eastAsia"/>
                <w:color w:val="000000" w:themeColor="text1"/>
                <w:sz w:val="28"/>
                <w:szCs w:val="28"/>
              </w:rPr>
              <w:t xml:space="preserve">  </w:t>
            </w:r>
            <w:r w:rsidRPr="00B40212">
              <w:rPr>
                <w:rFonts w:ascii="Times New Roman"/>
                <w:color w:val="000000" w:themeColor="text1"/>
                <w:sz w:val="26"/>
                <w:szCs w:val="26"/>
              </w:rPr>
              <w:t>養殖</w:t>
            </w:r>
          </w:p>
          <w:p w:rsidR="00EA3F1D" w:rsidRPr="00B40212" w:rsidRDefault="00EA3F1D" w:rsidP="002B1720">
            <w:pPr>
              <w:overflowPunct/>
              <w:autoSpaceDE/>
              <w:autoSpaceDN/>
              <w:ind w:leftChars="200" w:left="820" w:hangingChars="50" w:hanging="140"/>
              <w:outlineLvl w:val="3"/>
              <w:rPr>
                <w:rFonts w:ascii="Times New Roman"/>
                <w:color w:val="000000" w:themeColor="text1"/>
                <w:sz w:val="26"/>
                <w:szCs w:val="26"/>
              </w:rPr>
            </w:pPr>
            <w:r w:rsidRPr="00B40212">
              <w:rPr>
                <w:rFonts w:ascii="Times New Roman"/>
                <w:color w:val="000000" w:themeColor="text1"/>
                <w:sz w:val="26"/>
                <w:szCs w:val="26"/>
              </w:rPr>
              <w:t>登記</w:t>
            </w:r>
          </w:p>
          <w:p w:rsidR="00EA3F1D" w:rsidRPr="00B40212" w:rsidRDefault="00EA3F1D" w:rsidP="00EA3F1D">
            <w:pPr>
              <w:overflowPunct/>
              <w:autoSpaceDE/>
              <w:autoSpaceDN/>
              <w:outlineLvl w:val="3"/>
              <w:rPr>
                <w:rFonts w:ascii="Times New Roman"/>
                <w:color w:val="000000" w:themeColor="text1"/>
                <w:sz w:val="26"/>
                <w:szCs w:val="26"/>
              </w:rPr>
            </w:pPr>
            <w:r w:rsidRPr="00B40212">
              <w:rPr>
                <w:rFonts w:ascii="Times New Roman"/>
                <w:color w:val="000000" w:themeColor="text1"/>
                <w:sz w:val="26"/>
                <w:szCs w:val="26"/>
              </w:rPr>
              <w:t>年度</w:t>
            </w:r>
          </w:p>
        </w:tc>
        <w:tc>
          <w:tcPr>
            <w:tcW w:w="1780" w:type="dxa"/>
          </w:tcPr>
          <w:p w:rsidR="00881BD7" w:rsidRPr="00B40212" w:rsidRDefault="00EA3F1D" w:rsidP="00EA3F1D">
            <w:pPr>
              <w:overflowPunct/>
              <w:autoSpaceDE/>
              <w:autoSpaceDN/>
              <w:outlineLvl w:val="3"/>
              <w:rPr>
                <w:rFonts w:ascii="Times New Roman"/>
                <w:color w:val="000000" w:themeColor="text1"/>
                <w:sz w:val="28"/>
                <w:szCs w:val="28"/>
              </w:rPr>
            </w:pPr>
            <w:r w:rsidRPr="00B40212">
              <w:rPr>
                <w:rFonts w:ascii="Times New Roman"/>
                <w:color w:val="000000" w:themeColor="text1"/>
                <w:sz w:val="28"/>
                <w:szCs w:val="28"/>
              </w:rPr>
              <w:t>現有魚塭</w:t>
            </w:r>
          </w:p>
          <w:p w:rsidR="00EA3F1D" w:rsidRPr="00B40212" w:rsidRDefault="00EA3F1D" w:rsidP="00EA3F1D">
            <w:pPr>
              <w:overflowPunct/>
              <w:autoSpaceDE/>
              <w:autoSpaceDN/>
              <w:outlineLvl w:val="3"/>
              <w:rPr>
                <w:rFonts w:ascii="Times New Roman"/>
                <w:color w:val="000000" w:themeColor="text1"/>
                <w:sz w:val="28"/>
                <w:szCs w:val="28"/>
              </w:rPr>
            </w:pPr>
            <w:r w:rsidRPr="00B40212">
              <w:rPr>
                <w:rFonts w:ascii="Times New Roman"/>
                <w:color w:val="000000" w:themeColor="text1"/>
                <w:sz w:val="28"/>
                <w:szCs w:val="28"/>
              </w:rPr>
              <w:t>面積（公頃）</w:t>
            </w:r>
          </w:p>
        </w:tc>
        <w:tc>
          <w:tcPr>
            <w:tcW w:w="1780" w:type="dxa"/>
          </w:tcPr>
          <w:p w:rsidR="00EA3F1D" w:rsidRPr="00B40212" w:rsidRDefault="00EA3F1D" w:rsidP="00EA3F1D">
            <w:pPr>
              <w:overflowPunct/>
              <w:autoSpaceDE/>
              <w:autoSpaceDN/>
              <w:outlineLvl w:val="3"/>
              <w:rPr>
                <w:rFonts w:ascii="Times New Roman"/>
                <w:color w:val="000000" w:themeColor="text1"/>
                <w:sz w:val="28"/>
                <w:szCs w:val="28"/>
              </w:rPr>
            </w:pPr>
            <w:r w:rsidRPr="00B40212">
              <w:rPr>
                <w:rFonts w:ascii="Times New Roman"/>
                <w:color w:val="000000" w:themeColor="text1"/>
                <w:sz w:val="28"/>
                <w:szCs w:val="28"/>
              </w:rPr>
              <w:t>養殖登記證面積（公頃）</w:t>
            </w:r>
          </w:p>
        </w:tc>
        <w:tc>
          <w:tcPr>
            <w:tcW w:w="1780" w:type="dxa"/>
          </w:tcPr>
          <w:p w:rsidR="00B672F5" w:rsidRPr="00B40212" w:rsidRDefault="00EA3F1D" w:rsidP="00EA3F1D">
            <w:pPr>
              <w:overflowPunct/>
              <w:autoSpaceDE/>
              <w:autoSpaceDN/>
              <w:outlineLvl w:val="3"/>
              <w:rPr>
                <w:rFonts w:ascii="Times New Roman"/>
                <w:color w:val="000000" w:themeColor="text1"/>
                <w:sz w:val="28"/>
                <w:szCs w:val="28"/>
              </w:rPr>
            </w:pPr>
            <w:r w:rsidRPr="00B40212">
              <w:rPr>
                <w:rFonts w:ascii="Times New Roman"/>
                <w:color w:val="000000" w:themeColor="text1"/>
                <w:sz w:val="28"/>
                <w:szCs w:val="28"/>
              </w:rPr>
              <w:t>非屬養殖</w:t>
            </w:r>
          </w:p>
          <w:p w:rsidR="00EA3F1D" w:rsidRPr="00B40212" w:rsidRDefault="00EA3F1D" w:rsidP="00EA3F1D">
            <w:pPr>
              <w:overflowPunct/>
              <w:autoSpaceDE/>
              <w:autoSpaceDN/>
              <w:outlineLvl w:val="3"/>
              <w:rPr>
                <w:rFonts w:ascii="Times New Roman"/>
                <w:color w:val="000000" w:themeColor="text1"/>
                <w:sz w:val="28"/>
                <w:szCs w:val="28"/>
              </w:rPr>
            </w:pPr>
            <w:r w:rsidRPr="00B40212">
              <w:rPr>
                <w:rFonts w:ascii="Times New Roman"/>
                <w:color w:val="000000" w:themeColor="text1"/>
                <w:sz w:val="28"/>
                <w:szCs w:val="28"/>
              </w:rPr>
              <w:t>登記證面積（公頃）</w:t>
            </w:r>
          </w:p>
        </w:tc>
        <w:tc>
          <w:tcPr>
            <w:tcW w:w="1780" w:type="dxa"/>
          </w:tcPr>
          <w:p w:rsidR="00EA3F1D" w:rsidRPr="00B40212" w:rsidRDefault="00EA3F1D" w:rsidP="00EA3F1D">
            <w:pPr>
              <w:overflowPunct/>
              <w:autoSpaceDE/>
              <w:autoSpaceDN/>
              <w:outlineLvl w:val="3"/>
              <w:rPr>
                <w:rFonts w:ascii="Times New Roman"/>
                <w:color w:val="000000" w:themeColor="text1"/>
                <w:sz w:val="28"/>
                <w:szCs w:val="28"/>
              </w:rPr>
            </w:pPr>
            <w:r w:rsidRPr="00B40212">
              <w:rPr>
                <w:rFonts w:ascii="Times New Roman"/>
                <w:color w:val="000000" w:themeColor="text1"/>
                <w:sz w:val="28"/>
                <w:szCs w:val="28"/>
              </w:rPr>
              <w:t>養殖登記證面積比率</w:t>
            </w:r>
          </w:p>
        </w:tc>
      </w:tr>
      <w:tr w:rsidR="00B40212" w:rsidRPr="00B40212" w:rsidTr="002B1720">
        <w:tc>
          <w:tcPr>
            <w:tcW w:w="153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102</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42169.27</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27608.22</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19756.76</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65.47%</w:t>
            </w:r>
          </w:p>
        </w:tc>
      </w:tr>
      <w:tr w:rsidR="00B40212" w:rsidRPr="00B40212" w:rsidTr="002B1720">
        <w:tc>
          <w:tcPr>
            <w:tcW w:w="153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103</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41443.61</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25566.56</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15877.05</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61.69%</w:t>
            </w:r>
          </w:p>
        </w:tc>
      </w:tr>
      <w:tr w:rsidR="00B40212" w:rsidRPr="00B40212" w:rsidTr="002B1720">
        <w:tc>
          <w:tcPr>
            <w:tcW w:w="153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104</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41467.03</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24668.73</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16798.29</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59.49%</w:t>
            </w:r>
          </w:p>
        </w:tc>
      </w:tr>
      <w:tr w:rsidR="00B40212" w:rsidRPr="00B40212" w:rsidTr="002B1720">
        <w:tc>
          <w:tcPr>
            <w:tcW w:w="153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105</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41262.11</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26791.49</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14470.62</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64.93%</w:t>
            </w:r>
          </w:p>
        </w:tc>
      </w:tr>
      <w:tr w:rsidR="00B40212" w:rsidRPr="00B40212" w:rsidTr="002B1720">
        <w:tc>
          <w:tcPr>
            <w:tcW w:w="153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106</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40059.43</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26054.65</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14004.77</w:t>
            </w:r>
          </w:p>
        </w:tc>
        <w:tc>
          <w:tcPr>
            <w:tcW w:w="1780" w:type="dxa"/>
          </w:tcPr>
          <w:p w:rsidR="00EA3F1D" w:rsidRPr="00B40212" w:rsidRDefault="00EA3F1D" w:rsidP="00EA3F1D">
            <w:pPr>
              <w:overflowPunct/>
              <w:autoSpaceDE/>
              <w:autoSpaceDN/>
              <w:jc w:val="center"/>
              <w:outlineLvl w:val="3"/>
              <w:rPr>
                <w:rFonts w:ascii="Times New Roman"/>
                <w:color w:val="000000" w:themeColor="text1"/>
                <w:sz w:val="28"/>
                <w:szCs w:val="28"/>
              </w:rPr>
            </w:pPr>
            <w:r w:rsidRPr="00B40212">
              <w:rPr>
                <w:rFonts w:ascii="Times New Roman"/>
                <w:color w:val="000000" w:themeColor="text1"/>
                <w:sz w:val="28"/>
                <w:szCs w:val="28"/>
              </w:rPr>
              <w:t>65.04%</w:t>
            </w:r>
          </w:p>
        </w:tc>
      </w:tr>
    </w:tbl>
    <w:p w:rsidR="00F71976" w:rsidRPr="00764B82" w:rsidRDefault="00F71976" w:rsidP="00E476E9">
      <w:pPr>
        <w:pStyle w:val="2"/>
        <w:numPr>
          <w:ilvl w:val="0"/>
          <w:numId w:val="0"/>
        </w:numPr>
        <w:ind w:leftChars="42" w:left="143"/>
        <w:rPr>
          <w:color w:val="000000" w:themeColor="text1"/>
          <w:sz w:val="24"/>
          <w:szCs w:val="24"/>
        </w:rPr>
      </w:pPr>
      <w:r w:rsidRPr="00764B82">
        <w:rPr>
          <w:rFonts w:hint="eastAsia"/>
          <w:color w:val="000000" w:themeColor="text1"/>
          <w:sz w:val="24"/>
          <w:szCs w:val="24"/>
        </w:rPr>
        <w:t>資料來源：</w:t>
      </w:r>
      <w:r w:rsidR="00755306" w:rsidRPr="00764B82">
        <w:rPr>
          <w:rFonts w:hint="eastAsia"/>
          <w:color w:val="000000" w:themeColor="text1"/>
          <w:sz w:val="24"/>
          <w:szCs w:val="24"/>
        </w:rPr>
        <w:t>107年3月19日漁業署答詢書面資料。</w:t>
      </w:r>
    </w:p>
    <w:p w:rsidR="00BB58AD" w:rsidRPr="00B40212" w:rsidRDefault="00BB58AD" w:rsidP="00EA3F1D">
      <w:pPr>
        <w:pStyle w:val="2"/>
        <w:numPr>
          <w:ilvl w:val="0"/>
          <w:numId w:val="0"/>
        </w:numPr>
        <w:ind w:left="340"/>
        <w:rPr>
          <w:color w:val="000000" w:themeColor="text1"/>
          <w:sz w:val="28"/>
          <w:szCs w:val="28"/>
        </w:rPr>
      </w:pPr>
    </w:p>
    <w:p w:rsidR="00F71976" w:rsidRDefault="00F71976" w:rsidP="0095544A">
      <w:pPr>
        <w:pStyle w:val="2"/>
        <w:numPr>
          <w:ilvl w:val="0"/>
          <w:numId w:val="0"/>
        </w:numPr>
        <w:ind w:left="1418" w:firstLineChars="208" w:firstLine="708"/>
      </w:pPr>
      <w:r w:rsidRPr="00B40212">
        <w:rPr>
          <w:rFonts w:hint="eastAsia"/>
          <w:color w:val="000000" w:themeColor="text1"/>
        </w:rPr>
        <w:t>由上可知，國內現有養殖魚塭仍有3成5左右</w:t>
      </w:r>
      <w:r>
        <w:rPr>
          <w:rFonts w:hint="eastAsia"/>
        </w:rPr>
        <w:t>未取得養殖登記，因此實際的養殖產量，推估應高於官方統計，而國內養殖漁業的產業貢獻，亦應高於官方統計。</w:t>
      </w:r>
    </w:p>
    <w:p w:rsidR="00F71976" w:rsidRDefault="00F71976" w:rsidP="0095544A">
      <w:pPr>
        <w:pStyle w:val="3"/>
      </w:pPr>
      <w:r w:rsidRPr="00970CD0">
        <w:rPr>
          <w:rFonts w:hint="eastAsia"/>
          <w:color w:val="000000" w:themeColor="text1"/>
        </w:rPr>
        <w:t>次查養殖戶申請養殖漁業登記證其土地及水源使用應符合上開相關規範，目前養殖戶未取得養殖登記證原因包括養殖設施不符合土地使用分區及編定(工業區)</w:t>
      </w:r>
      <w:r w:rsidR="00A553CF">
        <w:rPr>
          <w:rFonts w:hint="eastAsia"/>
          <w:color w:val="000000" w:themeColor="text1"/>
        </w:rPr>
        <w:t>及</w:t>
      </w:r>
      <w:r w:rsidRPr="00970CD0">
        <w:rPr>
          <w:rFonts w:hint="eastAsia"/>
          <w:color w:val="000000" w:themeColor="text1"/>
        </w:rPr>
        <w:t>土地未申請土地使用許可；魚塭土地為共有養殖用地，因擁有人眾多，無法依</w:t>
      </w:r>
      <w:r w:rsidR="000C219F" w:rsidRPr="00970CD0">
        <w:rPr>
          <w:rFonts w:hAnsi="標楷體" w:hint="eastAsia"/>
          <w:color w:val="000000" w:themeColor="text1"/>
        </w:rPr>
        <w:t>「</w:t>
      </w:r>
      <w:r w:rsidRPr="00970CD0">
        <w:rPr>
          <w:rFonts w:hint="eastAsia"/>
          <w:color w:val="000000" w:themeColor="text1"/>
        </w:rPr>
        <w:t>土地法</w:t>
      </w:r>
      <w:r w:rsidR="000C219F" w:rsidRPr="00970CD0">
        <w:rPr>
          <w:rFonts w:hAnsi="標楷體" w:hint="eastAsia"/>
          <w:color w:val="000000" w:themeColor="text1"/>
        </w:rPr>
        <w:t>」</w:t>
      </w:r>
      <w:r w:rsidRPr="00970CD0">
        <w:rPr>
          <w:rFonts w:hint="eastAsia"/>
          <w:color w:val="000000" w:themeColor="text1"/>
        </w:rPr>
        <w:t>規定取得過半數以上共有人同意書；淡水水源不足</w:t>
      </w:r>
      <w:r w:rsidRPr="00970CD0">
        <w:rPr>
          <w:rFonts w:hint="eastAsia"/>
          <w:color w:val="000000" w:themeColor="text1"/>
        </w:rPr>
        <w:lastRenderedPageBreak/>
        <w:t>且經水利主管機關劃設地下水管制區，合法用水證明文件(地下水權、地面水權)取得不易；公﹙國﹚有地承租權取得不易</w:t>
      </w:r>
      <w:r w:rsidR="008A5CAE" w:rsidRPr="00970CD0">
        <w:rPr>
          <w:rFonts w:hint="eastAsia"/>
          <w:color w:val="000000" w:themeColor="text1"/>
        </w:rPr>
        <w:t>等</w:t>
      </w:r>
      <w:r w:rsidRPr="00970CD0">
        <w:rPr>
          <w:rFonts w:hint="eastAsia"/>
          <w:color w:val="000000" w:themeColor="text1"/>
        </w:rPr>
        <w:t>。因此，農委會考量養殖使用(含觀賞魚繁養殖)為農業使用</w:t>
      </w:r>
      <w:r w:rsidR="008A5CAE" w:rsidRPr="00970CD0">
        <w:rPr>
          <w:rFonts w:hint="eastAsia"/>
          <w:color w:val="000000" w:themeColor="text1"/>
        </w:rPr>
        <w:t>，也是</w:t>
      </w:r>
      <w:r w:rsidRPr="00970CD0">
        <w:rPr>
          <w:rFonts w:hint="eastAsia"/>
          <w:color w:val="000000" w:themeColor="text1"/>
        </w:rPr>
        <w:t>重要農產業</w:t>
      </w:r>
      <w:r w:rsidR="008A5CAE" w:rsidRPr="00970CD0">
        <w:rPr>
          <w:rFonts w:hint="eastAsia"/>
          <w:color w:val="000000" w:themeColor="text1"/>
        </w:rPr>
        <w:t>，</w:t>
      </w:r>
      <w:r w:rsidRPr="00970CD0">
        <w:rPr>
          <w:rFonts w:hint="eastAsia"/>
          <w:color w:val="000000" w:themeColor="text1"/>
        </w:rPr>
        <w:t>且養殖水產物為我國糧食來源之ㄧ，於特定農業區以土地、水源及農業養殖技術從事農業生產行為屬農業範疇，與特定農業區須特別保護農業之原則尚無扞格，爰修正「申請農業用地作農業設施容許使用審查辦法」於106年6月28日將既有已存在多年之魚塭納入管理輔導合法使用。農委會現階段</w:t>
      </w:r>
      <w:r w:rsidR="000C219F" w:rsidRPr="00970CD0">
        <w:rPr>
          <w:rFonts w:hint="eastAsia"/>
          <w:color w:val="000000" w:themeColor="text1"/>
        </w:rPr>
        <w:t>雖</w:t>
      </w:r>
      <w:r w:rsidRPr="00970CD0">
        <w:rPr>
          <w:rFonts w:hint="eastAsia"/>
          <w:color w:val="000000" w:themeColor="text1"/>
        </w:rPr>
        <w:t>已透過修法將陸上未取得登記之魚塭納入管理，然各縣市魚塭養殖長期處於未被納管之情形，並不利我國養殖漁業地區發展之規劃</w:t>
      </w:r>
      <w:r>
        <w:rPr>
          <w:rFonts w:hint="eastAsia"/>
        </w:rPr>
        <w:t>。</w:t>
      </w:r>
    </w:p>
    <w:p w:rsidR="00F71976" w:rsidRPr="00EA7194" w:rsidRDefault="001504EF" w:rsidP="00131EEC">
      <w:pPr>
        <w:pStyle w:val="3"/>
        <w:rPr>
          <w:color w:val="000000" w:themeColor="text1"/>
        </w:rPr>
      </w:pPr>
      <w:r w:rsidRPr="000F22CF">
        <w:rPr>
          <w:rFonts w:hint="eastAsia"/>
          <w:color w:val="000000" w:themeColor="text1"/>
        </w:rPr>
        <w:t>再查漁業署近年</w:t>
      </w:r>
      <w:r w:rsidR="00A50210" w:rsidRPr="000F22CF">
        <w:rPr>
          <w:rFonts w:hint="eastAsia"/>
          <w:color w:val="000000" w:themeColor="text1"/>
        </w:rPr>
        <w:t>重要施政計畫，包括：農業科技研究發展、農業特別收入基金、漁業管理、漁業發展、農業發展等項，</w:t>
      </w:r>
      <w:r w:rsidR="00632CBF" w:rsidRPr="000F22CF">
        <w:rPr>
          <w:rFonts w:hint="eastAsia"/>
          <w:color w:val="000000" w:themeColor="text1"/>
        </w:rPr>
        <w:t>其中</w:t>
      </w:r>
      <w:r w:rsidR="00484636" w:rsidRPr="000F22CF">
        <w:rPr>
          <w:rFonts w:hint="eastAsia"/>
          <w:color w:val="000000" w:themeColor="text1"/>
        </w:rPr>
        <w:t>實施內容</w:t>
      </w:r>
      <w:r w:rsidR="00632CBF" w:rsidRPr="000F22CF">
        <w:rPr>
          <w:rFonts w:hint="eastAsia"/>
          <w:color w:val="000000" w:themeColor="text1"/>
        </w:rPr>
        <w:t>涉及</w:t>
      </w:r>
      <w:r w:rsidR="00F06623" w:rsidRPr="000F22CF">
        <w:rPr>
          <w:rFonts w:hint="eastAsia"/>
          <w:color w:val="000000" w:themeColor="text1"/>
        </w:rPr>
        <w:t>：</w:t>
      </w:r>
      <w:r w:rsidR="00484636" w:rsidRPr="000F22CF">
        <w:rPr>
          <w:rFonts w:hint="eastAsia"/>
          <w:color w:val="000000" w:themeColor="text1"/>
        </w:rPr>
        <w:t>養殖產業</w:t>
      </w:r>
      <w:r w:rsidR="00F06623" w:rsidRPr="000F22CF">
        <w:rPr>
          <w:rFonts w:hint="eastAsia"/>
          <w:color w:val="000000" w:themeColor="text1"/>
        </w:rPr>
        <w:t>管理</w:t>
      </w:r>
      <w:r w:rsidR="00484636" w:rsidRPr="000F22CF">
        <w:rPr>
          <w:rFonts w:hint="eastAsia"/>
          <w:color w:val="000000" w:themeColor="text1"/>
        </w:rPr>
        <w:t>升級</w:t>
      </w:r>
      <w:r w:rsidR="00F06623" w:rsidRPr="000F22CF">
        <w:rPr>
          <w:rFonts w:hint="eastAsia"/>
          <w:color w:val="000000" w:themeColor="text1"/>
        </w:rPr>
        <w:t>、養殖產業經營管理、漁村人力培育及在地組織運作</w:t>
      </w:r>
      <w:r w:rsidR="00A50210" w:rsidRPr="000F22CF">
        <w:rPr>
          <w:color w:val="000000" w:themeColor="text1"/>
        </w:rPr>
        <w:t>……</w:t>
      </w:r>
      <w:r w:rsidR="00A50210" w:rsidRPr="000F22CF">
        <w:rPr>
          <w:rFonts w:hint="eastAsia"/>
          <w:color w:val="000000" w:themeColor="text1"/>
        </w:rPr>
        <w:t>等</w:t>
      </w:r>
      <w:r w:rsidR="00BB79E3" w:rsidRPr="000F22CF">
        <w:rPr>
          <w:rFonts w:hint="eastAsia"/>
          <w:color w:val="000000" w:themeColor="text1"/>
        </w:rPr>
        <w:t>漁業</w:t>
      </w:r>
      <w:r w:rsidR="003B023E" w:rsidRPr="000F22CF">
        <w:rPr>
          <w:rFonts w:hint="eastAsia"/>
          <w:color w:val="000000" w:themeColor="text1"/>
        </w:rPr>
        <w:t>從業人員經營管理及培訓之政策規劃</w:t>
      </w:r>
      <w:r w:rsidR="00632CBF" w:rsidRPr="000F22CF">
        <w:rPr>
          <w:rFonts w:hint="eastAsia"/>
          <w:color w:val="000000" w:themeColor="text1"/>
        </w:rPr>
        <w:t>。</w:t>
      </w:r>
      <w:r w:rsidR="003B023E" w:rsidRPr="000F22CF">
        <w:rPr>
          <w:rFonts w:hint="eastAsia"/>
          <w:color w:val="000000" w:themeColor="text1"/>
        </w:rPr>
        <w:t>另現階段漁業署對養殖青年給予之協助措施包括：教育訓練、陪伴輔導、建立網路電子平台及輔導協助漁村青年養殖漁民經營能力及提供產業設備補助</w:t>
      </w:r>
      <w:r w:rsidR="003B023E" w:rsidRPr="000F22CF">
        <w:rPr>
          <w:color w:val="000000" w:themeColor="text1"/>
        </w:rPr>
        <w:t>……</w:t>
      </w:r>
      <w:r w:rsidR="003B023E" w:rsidRPr="000F22CF">
        <w:rPr>
          <w:rFonts w:hint="eastAsia"/>
          <w:color w:val="000000" w:themeColor="text1"/>
        </w:rPr>
        <w:t>等措施。</w:t>
      </w:r>
      <w:r w:rsidR="00F71976" w:rsidRPr="000F22CF">
        <w:rPr>
          <w:rFonts w:hint="eastAsia"/>
          <w:color w:val="000000" w:themeColor="text1"/>
        </w:rPr>
        <w:t>又本院請</w:t>
      </w:r>
      <w:r w:rsidR="00F71976">
        <w:rPr>
          <w:rFonts w:hint="eastAsia"/>
        </w:rPr>
        <w:t>漁業署統計說明近5年（102年迄今）我國遠、近、沿海漁業及陸上養殖從業者年齡分布情形一節，據該署說明：因遠洋、沿</w:t>
      </w:r>
      <w:r w:rsidR="00CF180A">
        <w:rPr>
          <w:rFonts w:hint="eastAsia"/>
          <w:color w:val="7030A0"/>
        </w:rPr>
        <w:t>、</w:t>
      </w:r>
      <w:r w:rsidR="00F71976">
        <w:rPr>
          <w:rFonts w:hint="eastAsia"/>
        </w:rPr>
        <w:t>近海及陸上養殖等從業者之年齡非屬公務統計資料，故無歷年統計資料</w:t>
      </w:r>
      <w:r w:rsidR="00797906">
        <w:rPr>
          <w:rFonts w:hint="eastAsia"/>
        </w:rPr>
        <w:t>；</w:t>
      </w:r>
      <w:r w:rsidR="00F71976">
        <w:rPr>
          <w:rFonts w:hint="eastAsia"/>
        </w:rPr>
        <w:t>惟有關海洋漁業之從業者，可依漁管系統所登錄之船員基本資料顯示，至於養殖從業者之</w:t>
      </w:r>
      <w:r w:rsidR="00BF75AF">
        <w:rPr>
          <w:rFonts w:hint="eastAsia"/>
        </w:rPr>
        <w:t>各項</w:t>
      </w:r>
      <w:r w:rsidR="00F71976">
        <w:rPr>
          <w:rFonts w:hint="eastAsia"/>
        </w:rPr>
        <w:t>資料，則無</w:t>
      </w:r>
      <w:r w:rsidR="008A5CAE" w:rsidRPr="00EA7194">
        <w:rPr>
          <w:rFonts w:hint="eastAsia"/>
          <w:color w:val="000000" w:themeColor="text1"/>
        </w:rPr>
        <w:t>等語</w:t>
      </w:r>
      <w:r w:rsidR="00F71976" w:rsidRPr="00EA7194">
        <w:rPr>
          <w:rFonts w:hint="eastAsia"/>
          <w:color w:val="000000" w:themeColor="text1"/>
        </w:rPr>
        <w:t>。</w:t>
      </w:r>
      <w:r w:rsidR="00F71976">
        <w:rPr>
          <w:rFonts w:hint="eastAsia"/>
        </w:rPr>
        <w:t>對此，漁業署林國平副署長於本院詢問時表示：漁業署投入海洋漁業較多，相關數據較</w:t>
      </w:r>
      <w:r w:rsidR="00CF180A" w:rsidRPr="00EA7194">
        <w:rPr>
          <w:rFonts w:hint="eastAsia"/>
          <w:color w:val="000000" w:themeColor="text1"/>
        </w:rPr>
        <w:t>完整</w:t>
      </w:r>
      <w:r w:rsidR="00F71976" w:rsidRPr="00EA7194">
        <w:rPr>
          <w:rFonts w:hint="eastAsia"/>
          <w:color w:val="000000" w:themeColor="text1"/>
        </w:rPr>
        <w:t>，至於養殖業，主要</w:t>
      </w:r>
      <w:r w:rsidR="00F71976" w:rsidRPr="00EA7194">
        <w:rPr>
          <w:rFonts w:hint="eastAsia"/>
          <w:color w:val="000000" w:themeColor="text1"/>
        </w:rPr>
        <w:lastRenderedPageBreak/>
        <w:t>由地方主管機關負責，但本署</w:t>
      </w:r>
      <w:r w:rsidR="00BB58AD" w:rsidRPr="00EA7194">
        <w:rPr>
          <w:rFonts w:hint="eastAsia"/>
          <w:color w:val="000000" w:themeColor="text1"/>
        </w:rPr>
        <w:t>(指漁業署)</w:t>
      </w:r>
      <w:r w:rsidR="00F71976" w:rsidRPr="00EA7194">
        <w:rPr>
          <w:rFonts w:hint="eastAsia"/>
          <w:color w:val="000000" w:themeColor="text1"/>
        </w:rPr>
        <w:t>目前委託高雄海洋科技大學研究漁家經濟，相關數據可陸續收集</w:t>
      </w:r>
      <w:r w:rsidR="00CF180A" w:rsidRPr="00EA7194">
        <w:rPr>
          <w:rFonts w:hint="eastAsia"/>
          <w:color w:val="000000" w:themeColor="text1"/>
        </w:rPr>
        <w:t>取</w:t>
      </w:r>
      <w:r w:rsidR="00F71976" w:rsidRPr="00EA7194">
        <w:rPr>
          <w:rFonts w:hint="eastAsia"/>
          <w:color w:val="000000" w:themeColor="text1"/>
        </w:rPr>
        <w:t>得</w:t>
      </w:r>
      <w:r w:rsidR="008A5CAE" w:rsidRPr="00EA7194">
        <w:rPr>
          <w:rFonts w:hint="eastAsia"/>
          <w:color w:val="000000" w:themeColor="text1"/>
        </w:rPr>
        <w:t>等語</w:t>
      </w:r>
      <w:r w:rsidR="00F71976" w:rsidRPr="00EA7194">
        <w:rPr>
          <w:rFonts w:hint="eastAsia"/>
          <w:color w:val="000000" w:themeColor="text1"/>
        </w:rPr>
        <w:t>。是以，</w:t>
      </w:r>
      <w:r w:rsidR="00131EEC" w:rsidRPr="00EA7194">
        <w:rPr>
          <w:rFonts w:hint="eastAsia"/>
          <w:color w:val="000000" w:themeColor="text1"/>
        </w:rPr>
        <w:t>漁業署近年重要施政計畫涵括</w:t>
      </w:r>
      <w:r w:rsidR="00447186" w:rsidRPr="00EA7194">
        <w:rPr>
          <w:rFonts w:hint="eastAsia"/>
          <w:color w:val="000000" w:themeColor="text1"/>
        </w:rPr>
        <w:t>漁業</w:t>
      </w:r>
      <w:r w:rsidR="003B023E" w:rsidRPr="00EA7194">
        <w:rPr>
          <w:rFonts w:hint="eastAsia"/>
          <w:color w:val="000000" w:themeColor="text1"/>
        </w:rPr>
        <w:t>從業人員經營管理及培訓</w:t>
      </w:r>
      <w:r w:rsidR="00131EEC" w:rsidRPr="00EA7194">
        <w:rPr>
          <w:rFonts w:hint="eastAsia"/>
          <w:color w:val="000000" w:themeColor="text1"/>
        </w:rPr>
        <w:t>，現階段亦有</w:t>
      </w:r>
      <w:r w:rsidR="00447186" w:rsidRPr="00EA7194">
        <w:rPr>
          <w:rFonts w:hint="eastAsia"/>
          <w:color w:val="000000" w:themeColor="text1"/>
        </w:rPr>
        <w:t>針</w:t>
      </w:r>
      <w:r w:rsidR="003B023E" w:rsidRPr="00EA7194">
        <w:rPr>
          <w:rFonts w:hint="eastAsia"/>
          <w:color w:val="000000" w:themeColor="text1"/>
        </w:rPr>
        <w:t>對養殖青年給予之協助措施</w:t>
      </w:r>
      <w:r w:rsidR="00447186" w:rsidRPr="00EA7194">
        <w:rPr>
          <w:rFonts w:hint="eastAsia"/>
          <w:color w:val="000000" w:themeColor="text1"/>
        </w:rPr>
        <w:t>，然</w:t>
      </w:r>
      <w:r w:rsidR="00F71976" w:rsidRPr="00EA7194">
        <w:rPr>
          <w:rFonts w:hint="eastAsia"/>
          <w:color w:val="000000" w:themeColor="text1"/>
        </w:rPr>
        <w:t>在缺乏</w:t>
      </w:r>
      <w:r w:rsidR="00447186" w:rsidRPr="00EA7194">
        <w:rPr>
          <w:rFonts w:hint="eastAsia"/>
          <w:color w:val="000000" w:themeColor="text1"/>
        </w:rPr>
        <w:t>漁業相關</w:t>
      </w:r>
      <w:r w:rsidR="00F71976" w:rsidRPr="00EA7194">
        <w:rPr>
          <w:rFonts w:hint="eastAsia"/>
          <w:color w:val="000000" w:themeColor="text1"/>
        </w:rPr>
        <w:t>從業者</w:t>
      </w:r>
      <w:r w:rsidR="00634669">
        <w:rPr>
          <w:rFonts w:hint="eastAsia"/>
          <w:color w:val="000000" w:themeColor="text1"/>
        </w:rPr>
        <w:t>各項</w:t>
      </w:r>
      <w:r w:rsidR="00F71976" w:rsidRPr="00EA7194">
        <w:rPr>
          <w:rFonts w:hint="eastAsia"/>
          <w:color w:val="000000" w:themeColor="text1"/>
        </w:rPr>
        <w:t>之統計資料下，漁業署</w:t>
      </w:r>
      <w:r w:rsidR="00131EEC" w:rsidRPr="00EA7194">
        <w:rPr>
          <w:rFonts w:hint="eastAsia"/>
          <w:color w:val="000000" w:themeColor="text1"/>
        </w:rPr>
        <w:t>重要施政計畫</w:t>
      </w:r>
      <w:r w:rsidR="00D65866" w:rsidRPr="00EA7194">
        <w:rPr>
          <w:rFonts w:hint="eastAsia"/>
          <w:color w:val="000000" w:themeColor="text1"/>
        </w:rPr>
        <w:t>及相關措施</w:t>
      </w:r>
      <w:r w:rsidR="00447186" w:rsidRPr="00EA7194">
        <w:rPr>
          <w:rFonts w:hint="eastAsia"/>
          <w:color w:val="000000" w:themeColor="text1"/>
        </w:rPr>
        <w:t>，</w:t>
      </w:r>
      <w:r w:rsidR="00EB0F4E" w:rsidRPr="00EA7194">
        <w:rPr>
          <w:rFonts w:hint="eastAsia"/>
          <w:color w:val="000000" w:themeColor="text1"/>
        </w:rPr>
        <w:t>難據以完全</w:t>
      </w:r>
      <w:r w:rsidR="00D65866" w:rsidRPr="00EA7194">
        <w:rPr>
          <w:rFonts w:hint="eastAsia"/>
          <w:color w:val="000000" w:themeColor="text1"/>
        </w:rPr>
        <w:t>反映</w:t>
      </w:r>
      <w:r w:rsidR="00634669">
        <w:rPr>
          <w:rFonts w:hint="eastAsia"/>
          <w:color w:val="000000" w:themeColor="text1"/>
        </w:rPr>
        <w:t>漁民</w:t>
      </w:r>
      <w:r w:rsidR="00EB0F4E" w:rsidRPr="00EA7194">
        <w:rPr>
          <w:rFonts w:hint="eastAsia"/>
          <w:color w:val="000000" w:themeColor="text1"/>
        </w:rPr>
        <w:t>之需求</w:t>
      </w:r>
      <w:r w:rsidR="00447186" w:rsidRPr="00EA7194">
        <w:rPr>
          <w:rFonts w:hint="eastAsia"/>
          <w:color w:val="000000" w:themeColor="text1"/>
        </w:rPr>
        <w:t>，</w:t>
      </w:r>
      <w:r w:rsidR="00EB0F4E" w:rsidRPr="00EA7194">
        <w:rPr>
          <w:rFonts w:hint="eastAsia"/>
          <w:color w:val="000000" w:themeColor="text1"/>
        </w:rPr>
        <w:t>以</w:t>
      </w:r>
      <w:r w:rsidR="00F71976" w:rsidRPr="00EA7194">
        <w:rPr>
          <w:rFonts w:hint="eastAsia"/>
          <w:color w:val="000000" w:themeColor="text1"/>
        </w:rPr>
        <w:t>進行</w:t>
      </w:r>
      <w:r w:rsidR="00634669">
        <w:rPr>
          <w:rFonts w:hint="eastAsia"/>
          <w:color w:val="000000" w:themeColor="text1"/>
        </w:rPr>
        <w:t>全盤</w:t>
      </w:r>
      <w:r w:rsidR="00F71976" w:rsidRPr="00EA7194">
        <w:rPr>
          <w:rFonts w:hint="eastAsia"/>
          <w:color w:val="000000" w:themeColor="text1"/>
        </w:rPr>
        <w:t>政策規劃。</w:t>
      </w:r>
    </w:p>
    <w:p w:rsidR="003A5927" w:rsidRDefault="008571E4" w:rsidP="00772DA8">
      <w:pPr>
        <w:pStyle w:val="3"/>
        <w:rPr>
          <w:color w:val="000000" w:themeColor="text1"/>
        </w:rPr>
      </w:pPr>
      <w:r w:rsidRPr="00AC2ED6">
        <w:rPr>
          <w:rFonts w:hint="eastAsia"/>
          <w:color w:val="000000" w:themeColor="text1"/>
        </w:rPr>
        <w:t>據</w:t>
      </w:r>
      <w:r w:rsidR="00F71976" w:rsidRPr="00AC2ED6">
        <w:rPr>
          <w:rFonts w:hint="eastAsia"/>
          <w:color w:val="000000" w:themeColor="text1"/>
        </w:rPr>
        <w:t>上</w:t>
      </w:r>
      <w:r w:rsidR="00F71976">
        <w:rPr>
          <w:rFonts w:hint="eastAsia"/>
        </w:rPr>
        <w:t>所述，聯合國糧食農業組織（</w:t>
      </w:r>
      <w:r w:rsidR="00640D5F" w:rsidRPr="000A3F55">
        <w:rPr>
          <w:color w:val="000000" w:themeColor="text1"/>
        </w:rPr>
        <w:t>FAO</w:t>
      </w:r>
      <w:r w:rsidR="00F71976">
        <w:rPr>
          <w:rFonts w:hint="eastAsia"/>
        </w:rPr>
        <w:t>）報告業指出養殖漁業供給人類直接食用的總量，在2014年已正式超過捕撈漁業且持續快速成長，然國內部分縣市對養殖魚塭迄未訂立</w:t>
      </w:r>
      <w:r w:rsidR="00F71976" w:rsidRPr="00AC2ED6">
        <w:rPr>
          <w:rFonts w:hint="eastAsia"/>
          <w:color w:val="000000" w:themeColor="text1"/>
        </w:rPr>
        <w:t>水源取得相關規定，而國內魚塭養殖仍有3成5左右未取得養殖登記，不利各地區養殖漁業發展之整體規劃；又未建立</w:t>
      </w:r>
      <w:r w:rsidR="008A4B97" w:rsidRPr="00AC2ED6">
        <w:rPr>
          <w:rFonts w:hint="eastAsia"/>
          <w:color w:val="000000" w:themeColor="text1"/>
        </w:rPr>
        <w:t>漁業</w:t>
      </w:r>
      <w:r w:rsidR="00F71976" w:rsidRPr="00AC2ED6">
        <w:rPr>
          <w:rFonts w:hint="eastAsia"/>
          <w:color w:val="000000" w:themeColor="text1"/>
        </w:rPr>
        <w:t>從業者之</w:t>
      </w:r>
      <w:r w:rsidR="000A3F55">
        <w:rPr>
          <w:rFonts w:hint="eastAsia"/>
          <w:color w:val="000000" w:themeColor="text1"/>
        </w:rPr>
        <w:t>各項翔實</w:t>
      </w:r>
      <w:r w:rsidR="00F71976" w:rsidRPr="00AC2ED6">
        <w:rPr>
          <w:rFonts w:hint="eastAsia"/>
          <w:color w:val="000000" w:themeColor="text1"/>
        </w:rPr>
        <w:t>資料</w:t>
      </w:r>
      <w:r w:rsidR="000A3F55">
        <w:rPr>
          <w:rFonts w:hint="eastAsia"/>
          <w:color w:val="000000" w:themeColor="text1"/>
        </w:rPr>
        <w:t>庫</w:t>
      </w:r>
      <w:r w:rsidR="00F71976" w:rsidRPr="00AC2ED6">
        <w:rPr>
          <w:rFonts w:hint="eastAsia"/>
          <w:color w:val="000000" w:themeColor="text1"/>
        </w:rPr>
        <w:t>，難據以進行</w:t>
      </w:r>
      <w:r w:rsidR="000A3F55">
        <w:rPr>
          <w:rFonts w:hint="eastAsia"/>
          <w:color w:val="000000" w:themeColor="text1"/>
        </w:rPr>
        <w:t>全盤</w:t>
      </w:r>
      <w:r w:rsidR="00FD38F9">
        <w:rPr>
          <w:rFonts w:hint="eastAsia"/>
          <w:color w:val="000000" w:themeColor="text1"/>
        </w:rPr>
        <w:t>之</w:t>
      </w:r>
      <w:r w:rsidR="00F71976" w:rsidRPr="00AC2ED6">
        <w:rPr>
          <w:rFonts w:hint="eastAsia"/>
          <w:color w:val="000000" w:themeColor="text1"/>
        </w:rPr>
        <w:t>政策規劃，農委會應</w:t>
      </w:r>
      <w:r w:rsidR="000A3F55">
        <w:rPr>
          <w:rFonts w:hint="eastAsia"/>
          <w:color w:val="000000" w:themeColor="text1"/>
        </w:rPr>
        <w:t>正</w:t>
      </w:r>
      <w:r w:rsidR="00F71976" w:rsidRPr="00AC2ED6">
        <w:rPr>
          <w:rFonts w:hint="eastAsia"/>
          <w:color w:val="000000" w:themeColor="text1"/>
        </w:rPr>
        <w:t>視此一</w:t>
      </w:r>
      <w:r w:rsidR="000A3F55">
        <w:rPr>
          <w:rFonts w:hint="eastAsia"/>
          <w:color w:val="000000" w:themeColor="text1"/>
        </w:rPr>
        <w:t>課題</w:t>
      </w:r>
      <w:r w:rsidR="00F71976" w:rsidRPr="00AC2ED6">
        <w:rPr>
          <w:rFonts w:hint="eastAsia"/>
          <w:color w:val="000000" w:themeColor="text1"/>
        </w:rPr>
        <w:t>並協同地方政府檢討改進。</w:t>
      </w:r>
    </w:p>
    <w:p w:rsidR="00402424" w:rsidRPr="00AC2ED6" w:rsidRDefault="00402424" w:rsidP="00402424">
      <w:pPr>
        <w:pStyle w:val="3"/>
        <w:numPr>
          <w:ilvl w:val="0"/>
          <w:numId w:val="0"/>
        </w:numPr>
        <w:ind w:left="680"/>
        <w:rPr>
          <w:color w:val="000000" w:themeColor="text1"/>
        </w:rPr>
      </w:pPr>
    </w:p>
    <w:p w:rsidR="00222193" w:rsidRPr="00222193" w:rsidRDefault="00222193" w:rsidP="007A6E1D">
      <w:pPr>
        <w:pStyle w:val="2"/>
        <w:ind w:left="1020" w:hanging="680"/>
        <w:rPr>
          <w:b/>
        </w:rPr>
      </w:pPr>
      <w:r w:rsidRPr="00222193">
        <w:rPr>
          <w:rFonts w:hint="eastAsia"/>
          <w:b/>
        </w:rPr>
        <w:t>現階段國內水產品產銷履歷之推動，礙於驗證法規未能納入其他機關或團體已定可行法規之彈性，致水產品產銷履歷通過驗證戶數及成長率低，漁業署允宜檢討納入現行其他機關或團體已定可行法規之彈性，</w:t>
      </w:r>
      <w:r w:rsidR="00365500">
        <w:rPr>
          <w:rFonts w:hint="eastAsia"/>
          <w:b/>
        </w:rPr>
        <w:t>祛除</w:t>
      </w:r>
      <w:r w:rsidRPr="00222193">
        <w:rPr>
          <w:rFonts w:hint="eastAsia"/>
          <w:b/>
        </w:rPr>
        <w:t>養殖戶或業者取得產銷履歷水產品質認證之障礙</w:t>
      </w:r>
      <w:r w:rsidR="00365500">
        <w:rPr>
          <w:rFonts w:hint="eastAsia"/>
          <w:b/>
        </w:rPr>
        <w:t>與疑慮</w:t>
      </w:r>
      <w:r w:rsidR="007A6E1D">
        <w:rPr>
          <w:rFonts w:hint="eastAsia"/>
          <w:b/>
        </w:rPr>
        <w:t>。</w:t>
      </w:r>
    </w:p>
    <w:p w:rsidR="00222193" w:rsidRDefault="00222193" w:rsidP="00222193">
      <w:pPr>
        <w:pStyle w:val="3"/>
      </w:pPr>
      <w:r>
        <w:rPr>
          <w:rFonts w:hint="eastAsia"/>
        </w:rPr>
        <w:t>按</w:t>
      </w:r>
      <w:r w:rsidR="00D46EDF">
        <w:rPr>
          <w:rFonts w:hAnsi="標楷體" w:hint="eastAsia"/>
          <w:color w:val="7030A0"/>
        </w:rPr>
        <w:t>「</w:t>
      </w:r>
      <w:r>
        <w:rPr>
          <w:rFonts w:hint="eastAsia"/>
        </w:rPr>
        <w:t>產銷履歷農產品驗證管理辦法</w:t>
      </w:r>
      <w:r w:rsidR="00D46EDF">
        <w:rPr>
          <w:rFonts w:hAnsi="標楷體" w:hint="eastAsia"/>
          <w:color w:val="7030A0"/>
        </w:rPr>
        <w:t>」</w:t>
      </w:r>
      <w:r>
        <w:rPr>
          <w:rFonts w:hint="eastAsia"/>
        </w:rPr>
        <w:t>第4條規定略以：「……加工階段：未納入臺灣良好農業規範（</w:t>
      </w:r>
      <w:r w:rsidR="00AE106F" w:rsidRPr="00AE106F">
        <w:t>Taiwan Good Agriculture Practice</w:t>
      </w:r>
      <w:r w:rsidR="00AE106F" w:rsidRPr="00AE106F">
        <w:rPr>
          <w:rFonts w:hint="eastAsia"/>
        </w:rPr>
        <w:t>，簡稱</w:t>
      </w:r>
      <w:r w:rsidR="00EF0F08" w:rsidRPr="00AE106F">
        <w:rPr>
          <w:rFonts w:hint="eastAsia"/>
        </w:rPr>
        <w:t>TGAP</w:t>
      </w:r>
      <w:r>
        <w:rPr>
          <w:rFonts w:hint="eastAsia"/>
        </w:rPr>
        <w:t>）範圍內之加工作業，其產品應以經產銷履歷驗證之農產品為主要原料，且符合食品良好作業規範（食品GMP）、優良農產品驗證管理辦法、ISO22000或有機農產品及有機農產加工品驗證管理法相關規</w:t>
      </w:r>
      <w:r>
        <w:rPr>
          <w:rFonts w:hint="eastAsia"/>
        </w:rPr>
        <w:lastRenderedPageBreak/>
        <w:t>定。」可知</w:t>
      </w:r>
      <w:r w:rsidR="003A5EB3">
        <w:rPr>
          <w:rFonts w:hint="eastAsia"/>
        </w:rPr>
        <w:t>，</w:t>
      </w:r>
      <w:r>
        <w:rPr>
          <w:rFonts w:hint="eastAsia"/>
        </w:rPr>
        <w:t>申請產銷履歷加工廠驗證如未屬臺灣良好農業規範（TGAP）範圍內之加工作業，須符合食品良好作業規範（食品GMP）、優良農產品驗證管理辦法、ISO22000等之規定。</w:t>
      </w:r>
    </w:p>
    <w:p w:rsidR="00222193" w:rsidRDefault="00222193" w:rsidP="00E20924">
      <w:pPr>
        <w:pStyle w:val="3"/>
      </w:pPr>
      <w:r>
        <w:rPr>
          <w:rFonts w:hint="eastAsia"/>
        </w:rPr>
        <w:t>據審計部查核漁業署推廣產銷履歷之養殖水產品，該署推動養殖漁業產銷履歷驗證，累計已推廣32項水產養殖種類及加工廠。截至105年9月底止，全國通過產銷履歷驗證業者共計621戶，其中臺南市與雲林縣分別為159戶及175戶最多，合計334戶，占總通過戶之53.78％；惟較104年度676戶減少55戶，顯示部分養殖業者未持續參加產銷履歷驗證。又查據農委會</w:t>
      </w:r>
      <w:r w:rsidR="00E20924" w:rsidRPr="00E20924">
        <w:rPr>
          <w:rFonts w:hint="eastAsia"/>
        </w:rPr>
        <w:t>前主任委員</w:t>
      </w:r>
      <w:r>
        <w:rPr>
          <w:rFonts w:hint="eastAsia"/>
        </w:rPr>
        <w:t>陳</w:t>
      </w:r>
      <w:r w:rsidR="003A5EB3" w:rsidRPr="003A5EB3">
        <w:rPr>
          <w:rFonts w:hint="eastAsia"/>
        </w:rPr>
        <w:t>保基</w:t>
      </w:r>
      <w:r>
        <w:rPr>
          <w:rFonts w:hint="eastAsia"/>
        </w:rPr>
        <w:t>於101年產銷履歷後續推動策略會議曾指示：</w:t>
      </w:r>
      <w:r w:rsidR="00156A81">
        <w:rPr>
          <w:rFonts w:hAnsi="標楷體" w:hint="eastAsia"/>
        </w:rPr>
        <w:t>「</w:t>
      </w:r>
      <w:r>
        <w:rPr>
          <w:rFonts w:hint="eastAsia"/>
        </w:rPr>
        <w:t>各產業應訂出產銷履歷產品成長目標，且不少於15</w:t>
      </w:r>
      <w:r w:rsidRPr="00AC2ED6">
        <w:rPr>
          <w:rFonts w:hint="eastAsia"/>
          <w:color w:val="000000" w:themeColor="text1"/>
        </w:rPr>
        <w:t>％</w:t>
      </w:r>
      <w:r w:rsidR="00156A81">
        <w:rPr>
          <w:rFonts w:hAnsi="標楷體" w:hint="eastAsia"/>
          <w:color w:val="000000" w:themeColor="text1"/>
        </w:rPr>
        <w:t>」</w:t>
      </w:r>
      <w:r w:rsidR="00C7777B" w:rsidRPr="00AC2ED6">
        <w:rPr>
          <w:rFonts w:hint="eastAsia"/>
          <w:color w:val="000000" w:themeColor="text1"/>
        </w:rPr>
        <w:t>等語</w:t>
      </w:r>
      <w:r w:rsidR="00156A81">
        <w:rPr>
          <w:rFonts w:hint="eastAsia"/>
        </w:rPr>
        <w:t>。</w:t>
      </w:r>
      <w:r>
        <w:rPr>
          <w:rFonts w:hint="eastAsia"/>
        </w:rPr>
        <w:t>漁業署通過產銷履歷驗證戶數，雖由102年度之579戶增至104年之676戶，惟105年度9月底已微幅下降至621戶，且各該年度之產銷履歷產品成長率皆未達原預設目標</w:t>
      </w:r>
      <w:r w:rsidR="00D46EDF">
        <w:rPr>
          <w:rFonts w:hint="eastAsia"/>
          <w:color w:val="7030A0"/>
        </w:rPr>
        <w:t>之</w:t>
      </w:r>
      <w:r>
        <w:rPr>
          <w:rFonts w:hint="eastAsia"/>
        </w:rPr>
        <w:t>15％，其中104年度成長率更</w:t>
      </w:r>
      <w:r w:rsidRPr="00173CDF">
        <w:rPr>
          <w:rFonts w:hint="eastAsia"/>
          <w:color w:val="000000" w:themeColor="text1"/>
        </w:rPr>
        <w:t>僅</w:t>
      </w:r>
      <w:r w:rsidR="00D46EDF" w:rsidRPr="00173CDF">
        <w:rPr>
          <w:rFonts w:hint="eastAsia"/>
          <w:color w:val="000000" w:themeColor="text1"/>
        </w:rPr>
        <w:t>占</w:t>
      </w:r>
      <w:r w:rsidRPr="00173CDF">
        <w:rPr>
          <w:rFonts w:hint="eastAsia"/>
          <w:color w:val="000000" w:themeColor="text1"/>
        </w:rPr>
        <w:t>4</w:t>
      </w:r>
      <w:r>
        <w:rPr>
          <w:rFonts w:hint="eastAsia"/>
        </w:rPr>
        <w:t>％。</w:t>
      </w:r>
    </w:p>
    <w:p w:rsidR="00222193" w:rsidRDefault="00222193" w:rsidP="003A5EB3">
      <w:pPr>
        <w:pStyle w:val="3"/>
      </w:pPr>
      <w:r>
        <w:rPr>
          <w:rFonts w:hint="eastAsia"/>
        </w:rPr>
        <w:t>經查國內養殖戶欲申請水產品產銷履歷</w:t>
      </w:r>
      <w:r w:rsidR="008F4BF3">
        <w:rPr>
          <w:rFonts w:hint="eastAsia"/>
        </w:rPr>
        <w:t>遇到的</w:t>
      </w:r>
      <w:r>
        <w:rPr>
          <w:rFonts w:hint="eastAsia"/>
        </w:rPr>
        <w:t>主要問題是</w:t>
      </w:r>
      <w:r w:rsidR="006902B7" w:rsidRPr="00F23056">
        <w:rPr>
          <w:rFonts w:hint="eastAsia"/>
          <w:color w:val="000000" w:themeColor="text1"/>
        </w:rPr>
        <w:t>：</w:t>
      </w:r>
      <w:r w:rsidR="00F23056">
        <w:rPr>
          <w:rFonts w:hAnsi="標楷體" w:hint="eastAsia"/>
        </w:rPr>
        <w:t>「</w:t>
      </w:r>
      <w:r>
        <w:rPr>
          <w:rFonts w:hint="eastAsia"/>
        </w:rPr>
        <w:t>即使養殖場已做到產銷履歷認證，但進一步製成加工品如魚排，若加工廠無產銷履歷認證，就無法取得產銷履歷認證標章。而加工廠只願接大量訂單，且加工廠認為申請產銷履歷認證需被監督，負擔變大，導致現有產銷履歷認證的水產加工廠並不多。</w:t>
      </w:r>
      <w:r w:rsidR="00F23056">
        <w:rPr>
          <w:rFonts w:hAnsi="標楷體" w:hint="eastAsia"/>
        </w:rPr>
        <w:t>」</w:t>
      </w:r>
      <w:r>
        <w:rPr>
          <w:rFonts w:hint="eastAsia"/>
        </w:rPr>
        <w:t>對此</w:t>
      </w:r>
      <w:r w:rsidR="00EA7254">
        <w:rPr>
          <w:rFonts w:hint="eastAsia"/>
        </w:rPr>
        <w:t>，</w:t>
      </w:r>
      <w:r>
        <w:rPr>
          <w:rFonts w:hint="eastAsia"/>
        </w:rPr>
        <w:t>有養殖戶建議，政府既然推廣產銷履歷認證，應要讓產品容易上市被消費者購得，才有鼓勵更多養殖戶加</w:t>
      </w:r>
      <w:r w:rsidRPr="00F23056">
        <w:rPr>
          <w:rFonts w:hint="eastAsia"/>
          <w:color w:val="000000" w:themeColor="text1"/>
        </w:rPr>
        <w:t>入</w:t>
      </w:r>
      <w:r w:rsidR="00ED411F" w:rsidRPr="00F23056">
        <w:rPr>
          <w:rFonts w:hint="eastAsia"/>
          <w:color w:val="000000" w:themeColor="text1"/>
        </w:rPr>
        <w:t>誘因</w:t>
      </w:r>
      <w:r w:rsidRPr="00F23056">
        <w:rPr>
          <w:rFonts w:hint="eastAsia"/>
          <w:color w:val="000000" w:themeColor="text1"/>
        </w:rPr>
        <w:t>，建立完整的產銷鏈。次查有加工廠負責人表示</w:t>
      </w:r>
      <w:r w:rsidR="006902B7" w:rsidRPr="00F23056">
        <w:rPr>
          <w:rFonts w:hint="eastAsia"/>
          <w:color w:val="000000" w:themeColor="text1"/>
        </w:rPr>
        <w:t>：</w:t>
      </w:r>
      <w:r w:rsidRPr="00F23056">
        <w:rPr>
          <w:rFonts w:hint="eastAsia"/>
          <w:color w:val="000000" w:themeColor="text1"/>
        </w:rPr>
        <w:t>畜產分切屠宰廠只要符合台灣良好農業規範（TGAP）作業</w:t>
      </w:r>
      <w:r>
        <w:rPr>
          <w:rFonts w:hint="eastAsia"/>
        </w:rPr>
        <w:t>標準，肉品加工廠只要取得HACCP、ISO 22000、CAS任一認證，</w:t>
      </w:r>
      <w:r>
        <w:rPr>
          <w:rFonts w:hint="eastAsia"/>
        </w:rPr>
        <w:lastRenderedPageBreak/>
        <w:t>即符合產銷履歷加工廠要求；但水產加工廠卻排除HACCP，若想做產銷履歷，要再多花二十萬申請ISO 22000認證</w:t>
      </w:r>
      <w:r w:rsidRPr="00F23056">
        <w:rPr>
          <w:rFonts w:hint="eastAsia"/>
          <w:color w:val="000000" w:themeColor="text1"/>
        </w:rPr>
        <w:t>。</w:t>
      </w:r>
      <w:r w:rsidR="00ED411F" w:rsidRPr="00F23056">
        <w:rPr>
          <w:rFonts w:hint="eastAsia"/>
          <w:color w:val="000000" w:themeColor="text1"/>
        </w:rPr>
        <w:t>另</w:t>
      </w:r>
      <w:r w:rsidRPr="00F23056">
        <w:rPr>
          <w:rFonts w:hint="eastAsia"/>
          <w:color w:val="000000" w:themeColor="text1"/>
        </w:rPr>
        <w:t>指</w:t>
      </w:r>
      <w:r>
        <w:rPr>
          <w:rFonts w:hint="eastAsia"/>
        </w:rPr>
        <w:t>出</w:t>
      </w:r>
      <w:r w:rsidR="006902B7">
        <w:rPr>
          <w:rFonts w:hint="eastAsia"/>
        </w:rPr>
        <w:t>：</w:t>
      </w:r>
      <w:r>
        <w:rPr>
          <w:rFonts w:hint="eastAsia"/>
        </w:rPr>
        <w:t>政府法規未整</w:t>
      </w:r>
      <w:r w:rsidRPr="00AC2ED6">
        <w:rPr>
          <w:rFonts w:hint="eastAsia"/>
          <w:color w:val="000000" w:themeColor="text1"/>
        </w:rPr>
        <w:t>合，加工業者想做卻受限，希望</w:t>
      </w:r>
      <w:r w:rsidR="00EA7254" w:rsidRPr="00AC2ED6">
        <w:rPr>
          <w:rFonts w:hint="eastAsia"/>
          <w:color w:val="000000" w:themeColor="text1"/>
        </w:rPr>
        <w:t>儘</w:t>
      </w:r>
      <w:r w:rsidRPr="00AC2ED6">
        <w:rPr>
          <w:rFonts w:hint="eastAsia"/>
          <w:color w:val="000000" w:themeColor="text1"/>
        </w:rPr>
        <w:t>速整合相關法規</w:t>
      </w:r>
      <w:r w:rsidR="006902B7" w:rsidRPr="00AC2ED6">
        <w:rPr>
          <w:rFonts w:hint="eastAsia"/>
          <w:color w:val="000000" w:themeColor="text1"/>
        </w:rPr>
        <w:t>等語</w:t>
      </w:r>
      <w:r w:rsidRPr="00AC2ED6">
        <w:rPr>
          <w:rFonts w:hint="eastAsia"/>
          <w:color w:val="000000" w:themeColor="text1"/>
        </w:rPr>
        <w:t>。</w:t>
      </w:r>
      <w:r>
        <w:rPr>
          <w:rFonts w:hint="eastAsia"/>
        </w:rPr>
        <w:t>顯示現階段國內水產品產銷履歷通過驗證戶數及成長率仍低</w:t>
      </w:r>
      <w:r w:rsidR="0093267A">
        <w:rPr>
          <w:rFonts w:hint="eastAsia"/>
        </w:rPr>
        <w:t>之</w:t>
      </w:r>
      <w:r>
        <w:rPr>
          <w:rFonts w:hint="eastAsia"/>
        </w:rPr>
        <w:t>主要因素在於</w:t>
      </w:r>
      <w:r w:rsidR="00F23056">
        <w:rPr>
          <w:rFonts w:hint="eastAsia"/>
        </w:rPr>
        <w:t>，</w:t>
      </w:r>
      <w:r>
        <w:rPr>
          <w:rFonts w:hint="eastAsia"/>
        </w:rPr>
        <w:t>無認證之加工廠願意進行水產品加工及現行水產履歷加工廠法規要求標準之相容性不夠多元。</w:t>
      </w:r>
    </w:p>
    <w:p w:rsidR="00222193" w:rsidRPr="00AC2ED6" w:rsidRDefault="00222193" w:rsidP="009743B1">
      <w:pPr>
        <w:pStyle w:val="3"/>
        <w:rPr>
          <w:color w:val="000000" w:themeColor="text1"/>
        </w:rPr>
      </w:pPr>
      <w:r>
        <w:rPr>
          <w:rFonts w:hint="eastAsia"/>
        </w:rPr>
        <w:t>針對上開水產養殖端及其加工廠所遭遇之問題，農委會</w:t>
      </w:r>
      <w:r w:rsidRPr="00AC2ED6">
        <w:rPr>
          <w:rFonts w:hint="eastAsia"/>
          <w:color w:val="000000" w:themeColor="text1"/>
        </w:rPr>
        <w:t>朝法規、輔導及行銷面，刻正辦理或規劃之改善</w:t>
      </w:r>
      <w:r w:rsidR="0007589D" w:rsidRPr="00AC2ED6">
        <w:rPr>
          <w:rFonts w:hint="eastAsia"/>
          <w:color w:val="000000" w:themeColor="text1"/>
        </w:rPr>
        <w:t>措施</w:t>
      </w:r>
      <w:r w:rsidRPr="00AC2ED6">
        <w:rPr>
          <w:rFonts w:hint="eastAsia"/>
          <w:color w:val="000000" w:themeColor="text1"/>
        </w:rPr>
        <w:t>如下：</w:t>
      </w:r>
    </w:p>
    <w:p w:rsidR="00222193" w:rsidRDefault="00222193" w:rsidP="009743B1">
      <w:pPr>
        <w:pStyle w:val="4"/>
      </w:pPr>
      <w:r w:rsidRPr="00AC2ED6">
        <w:rPr>
          <w:rFonts w:hint="eastAsia"/>
          <w:color w:val="000000" w:themeColor="text1"/>
        </w:rPr>
        <w:t>法規面：考量衛生福利部103年針對水產食品業實施食品安全管制系統，須符合「食品安全管制系統」相關規定，且部分水產食品業為擴展國際外銷市場，取得符合歐美日等國際之HACCP認證資格，故農委會106年2月13日召開「產銷履歷農產品驗證管理辦法部分條文修正</w:t>
      </w:r>
      <w:r>
        <w:rPr>
          <w:rFonts w:hint="eastAsia"/>
        </w:rPr>
        <w:t>草案研商會議」，將HACCP、SQF等</w:t>
      </w:r>
      <w:r w:rsidR="0039137C">
        <w:rPr>
          <w:rFonts w:hAnsi="標楷體" w:hint="eastAsia"/>
        </w:rPr>
        <w:t>「</w:t>
      </w:r>
      <w:r>
        <w:rPr>
          <w:rFonts w:hint="eastAsia"/>
        </w:rPr>
        <w:t>食品安全衛生管理法</w:t>
      </w:r>
      <w:r w:rsidR="0039137C">
        <w:rPr>
          <w:rFonts w:hAnsi="標楷體" w:hint="eastAsia"/>
        </w:rPr>
        <w:t>」</w:t>
      </w:r>
      <w:r>
        <w:rPr>
          <w:rFonts w:hint="eastAsia"/>
        </w:rPr>
        <w:t>所定食品衛生安全管理系統驗證制度修正納入該管理辦法中，以增加產銷履歷水產品之加工生產量，並可提高市售產銷履歷水產品之品項多樣化及市占率。</w:t>
      </w:r>
    </w:p>
    <w:p w:rsidR="00222193" w:rsidRDefault="00222193" w:rsidP="009743B1">
      <w:pPr>
        <w:pStyle w:val="4"/>
      </w:pPr>
      <w:r>
        <w:rPr>
          <w:rFonts w:hint="eastAsia"/>
        </w:rPr>
        <w:t>輔導面：漁業署自106年度起，將驗證費用補助比率全數提升至2/3，促使有意願者申請產銷履歷，減輕業者負擔。另陸續辦理養殖魚類、甲殼類、貝類及甲魚之臺灣良好農業規範(TGAP)修正，新增及整併TGAP品項，讓養殖漁民據以申辦並取得產銷履歷驗證。</w:t>
      </w:r>
    </w:p>
    <w:p w:rsidR="00222193" w:rsidRDefault="00222193" w:rsidP="009743B1">
      <w:pPr>
        <w:pStyle w:val="4"/>
      </w:pPr>
      <w:r>
        <w:rPr>
          <w:rFonts w:hint="eastAsia"/>
        </w:rPr>
        <w:t>行銷面：調整行銷策略，107年度將加強媒合及鼓勵通路業者優先採購產銷履歷水產品，增加後端</w:t>
      </w:r>
      <w:r>
        <w:rPr>
          <w:rFonts w:hint="eastAsia"/>
        </w:rPr>
        <w:lastRenderedPageBreak/>
        <w:t>消費市場宣導推廣，藉由後端市場需求量刺激前端生產量，帶動整體消費市場。</w:t>
      </w:r>
    </w:p>
    <w:p w:rsidR="00222193" w:rsidRDefault="00222193" w:rsidP="00AB569D">
      <w:pPr>
        <w:pStyle w:val="3"/>
      </w:pPr>
      <w:r>
        <w:rPr>
          <w:rFonts w:hint="eastAsia"/>
        </w:rPr>
        <w:tab/>
        <w:t>綜上，現階段國內水產品產銷履歷之推動，礙於驗證法規未能納入其他機關或團體已定可行法規之彈性，致水產品產銷履歷通過驗證戶數及成長</w:t>
      </w:r>
      <w:r w:rsidRPr="00173CDF">
        <w:rPr>
          <w:rFonts w:hint="eastAsia"/>
          <w:color w:val="000000" w:themeColor="text1"/>
        </w:rPr>
        <w:t>率</w:t>
      </w:r>
      <w:r w:rsidR="00BA669E" w:rsidRPr="00173CDF">
        <w:rPr>
          <w:rFonts w:hint="eastAsia"/>
          <w:color w:val="000000" w:themeColor="text1"/>
        </w:rPr>
        <w:t>偏</w:t>
      </w:r>
      <w:r>
        <w:rPr>
          <w:rFonts w:hint="eastAsia"/>
        </w:rPr>
        <w:t>低，漁業署允宜檢討納入現行其他機關或團體已定可行法規之彈性，降低養殖戶或業者取得產銷履歷水產品質認證之障礙。</w:t>
      </w:r>
    </w:p>
    <w:p w:rsidR="003A5927" w:rsidRDefault="003A5927" w:rsidP="003A5927">
      <w:pPr>
        <w:pStyle w:val="32"/>
        <w:ind w:leftChars="0" w:left="0" w:firstLineChars="0" w:firstLine="0"/>
      </w:pPr>
    </w:p>
    <w:p w:rsidR="00E25849" w:rsidRPr="00094ABC" w:rsidRDefault="00E25849" w:rsidP="004E05A1">
      <w:pPr>
        <w:pStyle w:val="1"/>
        <w:ind w:left="2380" w:hanging="2380"/>
        <w:rPr>
          <w:b/>
        </w:rPr>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094ABC">
        <w:rPr>
          <w:rFonts w:hint="eastAsia"/>
          <w:b/>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89797A" w:rsidRDefault="00FB7770" w:rsidP="005E19F3">
      <w:pPr>
        <w:pStyle w:val="2"/>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Pr>
          <w:rFonts w:hint="eastAsia"/>
        </w:rPr>
        <w:t>調查意見</w:t>
      </w:r>
      <w:r w:rsidR="005E19F3">
        <w:rPr>
          <w:rFonts w:hint="eastAsia"/>
        </w:rPr>
        <w:t>一</w:t>
      </w:r>
      <w:r>
        <w:rPr>
          <w:rFonts w:hint="eastAsia"/>
        </w:rPr>
        <w:t>，提案糾正</w:t>
      </w:r>
      <w:r w:rsidR="005E19F3">
        <w:rPr>
          <w:rFonts w:hint="eastAsia"/>
        </w:rPr>
        <w:t>嘉義縣政府</w:t>
      </w:r>
      <w:bookmarkEnd w:id="53"/>
      <w:bookmarkEnd w:id="54"/>
      <w:bookmarkEnd w:id="55"/>
      <w:bookmarkEnd w:id="56"/>
      <w:bookmarkEnd w:id="57"/>
      <w:bookmarkEnd w:id="58"/>
      <w:bookmarkEnd w:id="59"/>
      <w:r w:rsidR="005E19F3" w:rsidRPr="005E19F3">
        <w:rPr>
          <w:rFonts w:hAnsi="標楷體" w:hint="eastAsia"/>
        </w:rPr>
        <w:t>；</w:t>
      </w:r>
      <w:bookmarkStart w:id="79" w:name="_Toc421794877"/>
      <w:bookmarkStart w:id="80" w:name="_Toc421795443"/>
      <w:bookmarkStart w:id="81" w:name="_Toc421796024"/>
      <w:bookmarkStart w:id="82" w:name="_Toc422728959"/>
      <w:bookmarkStart w:id="83" w:name="_Toc422834162"/>
      <w:r w:rsidR="00094ABC" w:rsidRPr="00D31C11">
        <w:rPr>
          <w:rFonts w:hAnsi="標楷體" w:hint="eastAsia"/>
          <w:color w:val="000000" w:themeColor="text1"/>
        </w:rPr>
        <w:t>並</w:t>
      </w:r>
      <w:r w:rsidR="0089797A">
        <w:rPr>
          <w:rFonts w:hint="eastAsia"/>
        </w:rPr>
        <w:t>函請</w:t>
      </w:r>
      <w:r w:rsidR="00356466" w:rsidRPr="00434E70">
        <w:rPr>
          <w:rFonts w:hint="eastAsia"/>
          <w:color w:val="000000" w:themeColor="text1"/>
        </w:rPr>
        <w:t>行政院農業委員會、</w:t>
      </w:r>
      <w:r w:rsidR="005E19F3" w:rsidRPr="00434E70">
        <w:rPr>
          <w:rFonts w:hint="eastAsia"/>
          <w:color w:val="000000" w:themeColor="text1"/>
        </w:rPr>
        <w:t>經</w:t>
      </w:r>
      <w:r w:rsidR="005E19F3">
        <w:rPr>
          <w:rFonts w:hint="eastAsia"/>
        </w:rPr>
        <w:t>濟部工業局、雲林縣政府</w:t>
      </w:r>
      <w:r w:rsidR="0089797A" w:rsidRPr="0089797A">
        <w:rPr>
          <w:rFonts w:hint="eastAsia"/>
        </w:rPr>
        <w:t>檢討改進</w:t>
      </w:r>
      <w:r w:rsidR="0089797A">
        <w:rPr>
          <w:rFonts w:hint="eastAsia"/>
        </w:rPr>
        <w:t>見復。</w:t>
      </w:r>
    </w:p>
    <w:p w:rsidR="0089797A" w:rsidRDefault="0089797A" w:rsidP="0089797A">
      <w:pPr>
        <w:pStyle w:val="2"/>
      </w:pPr>
      <w:r w:rsidRPr="0089797A">
        <w:rPr>
          <w:rFonts w:hint="eastAsia"/>
        </w:rPr>
        <w:t>調查意見</w:t>
      </w:r>
      <w:r w:rsidR="007A6E1D">
        <w:rPr>
          <w:rFonts w:hint="eastAsia"/>
        </w:rPr>
        <w:t>二至五</w:t>
      </w:r>
      <w:r w:rsidRPr="0089797A">
        <w:rPr>
          <w:rFonts w:hint="eastAsia"/>
        </w:rPr>
        <w:t>，函請</w:t>
      </w:r>
      <w:r w:rsidR="007A6E1D">
        <w:rPr>
          <w:rFonts w:hint="eastAsia"/>
        </w:rPr>
        <w:t>行政院農業委員會督同所屬</w:t>
      </w:r>
      <w:r w:rsidRPr="0089797A">
        <w:rPr>
          <w:rFonts w:hint="eastAsia"/>
        </w:rPr>
        <w:t>檢討改進見復。</w:t>
      </w:r>
    </w:p>
    <w:p w:rsidR="00FB7770" w:rsidRDefault="00FB7770" w:rsidP="00F804D3">
      <w:pPr>
        <w:pStyle w:val="2"/>
      </w:pPr>
      <w:bookmarkStart w:id="84" w:name="_Toc70241819"/>
      <w:bookmarkStart w:id="85" w:name="_Toc70242208"/>
      <w:bookmarkStart w:id="86" w:name="_Toc421794878"/>
      <w:bookmarkStart w:id="87" w:name="_Toc421795444"/>
      <w:bookmarkStart w:id="88" w:name="_Toc421796025"/>
      <w:bookmarkStart w:id="89" w:name="_Toc422728960"/>
      <w:bookmarkStart w:id="90" w:name="_Toc422834163"/>
      <w:bookmarkStart w:id="91" w:name="_Toc70241818"/>
      <w:bookmarkStart w:id="92" w:name="_Toc70242207"/>
      <w:bookmarkStart w:id="93" w:name="_Toc69556899"/>
      <w:bookmarkStart w:id="94" w:name="_Toc69556948"/>
      <w:bookmarkStart w:id="95" w:name="_Toc69609822"/>
      <w:bookmarkEnd w:id="60"/>
      <w:bookmarkEnd w:id="61"/>
      <w:bookmarkEnd w:id="62"/>
      <w:bookmarkEnd w:id="63"/>
      <w:bookmarkEnd w:id="64"/>
      <w:bookmarkEnd w:id="65"/>
      <w:bookmarkEnd w:id="66"/>
      <w:bookmarkEnd w:id="67"/>
      <w:bookmarkEnd w:id="79"/>
      <w:bookmarkEnd w:id="80"/>
      <w:bookmarkEnd w:id="81"/>
      <w:bookmarkEnd w:id="82"/>
      <w:bookmarkEnd w:id="83"/>
      <w:r>
        <w:rPr>
          <w:rFonts w:hint="eastAsia"/>
        </w:rPr>
        <w:t>調查意見，函</w:t>
      </w:r>
      <w:r w:rsidR="0089797A">
        <w:rPr>
          <w:rFonts w:hint="eastAsia"/>
        </w:rPr>
        <w:t>請</w:t>
      </w:r>
      <w:r>
        <w:rPr>
          <w:rFonts w:hint="eastAsia"/>
        </w:rPr>
        <w:t>審計部</w:t>
      </w:r>
      <w:r w:rsidR="0089797A">
        <w:rPr>
          <w:rFonts w:hint="eastAsia"/>
        </w:rPr>
        <w:t>參考</w:t>
      </w:r>
      <w:r>
        <w:rPr>
          <w:rFonts w:hint="eastAsia"/>
        </w:rPr>
        <w:t>。</w:t>
      </w:r>
      <w:bookmarkEnd w:id="84"/>
      <w:bookmarkEnd w:id="85"/>
      <w:bookmarkEnd w:id="86"/>
      <w:bookmarkEnd w:id="87"/>
      <w:bookmarkEnd w:id="88"/>
      <w:bookmarkEnd w:id="89"/>
      <w:bookmarkEnd w:id="90"/>
    </w:p>
    <w:p w:rsidR="00E25849" w:rsidRDefault="00E25849">
      <w:pPr>
        <w:pStyle w:val="2"/>
      </w:pPr>
      <w:bookmarkStart w:id="96" w:name="_Toc2400397"/>
      <w:bookmarkStart w:id="97" w:name="_Toc4316191"/>
      <w:bookmarkStart w:id="98" w:name="_Toc4473332"/>
      <w:bookmarkStart w:id="99" w:name="_Toc69556901"/>
      <w:bookmarkStart w:id="100" w:name="_Toc69556950"/>
      <w:bookmarkStart w:id="101" w:name="_Toc69609824"/>
      <w:bookmarkStart w:id="102" w:name="_Toc70241822"/>
      <w:bookmarkStart w:id="103" w:name="_Toc70242211"/>
      <w:bookmarkStart w:id="104" w:name="_Toc421794881"/>
      <w:bookmarkStart w:id="105" w:name="_Toc421795447"/>
      <w:bookmarkStart w:id="106" w:name="_Toc421796028"/>
      <w:bookmarkStart w:id="107" w:name="_Toc422728963"/>
      <w:bookmarkStart w:id="108" w:name="_Toc422834166"/>
      <w:bookmarkEnd w:id="68"/>
      <w:bookmarkEnd w:id="69"/>
      <w:bookmarkEnd w:id="70"/>
      <w:bookmarkEnd w:id="71"/>
      <w:bookmarkEnd w:id="72"/>
      <w:bookmarkEnd w:id="73"/>
      <w:bookmarkEnd w:id="74"/>
      <w:bookmarkEnd w:id="75"/>
      <w:bookmarkEnd w:id="76"/>
      <w:bookmarkEnd w:id="77"/>
      <w:bookmarkEnd w:id="78"/>
      <w:bookmarkEnd w:id="91"/>
      <w:bookmarkEnd w:id="92"/>
      <w:bookmarkEnd w:id="93"/>
      <w:bookmarkEnd w:id="94"/>
      <w:bookmarkEnd w:id="95"/>
      <w:r>
        <w:rPr>
          <w:rFonts w:hint="eastAsia"/>
          <w:color w:val="000000"/>
        </w:rPr>
        <w:t>檢附派查函及相關附件，送請</w:t>
      </w:r>
      <w:r w:rsidR="00C65E26">
        <w:rPr>
          <w:rFonts w:hint="eastAsia"/>
          <w:color w:val="000000"/>
        </w:rPr>
        <w:t>內政及少數民族</w:t>
      </w:r>
      <w:r w:rsidR="005532E1">
        <w:rPr>
          <w:rFonts w:hint="eastAsia"/>
          <w:color w:val="000000"/>
        </w:rPr>
        <w:t>委員會</w:t>
      </w:r>
      <w:r w:rsidR="00C65E26">
        <w:rPr>
          <w:rFonts w:hint="eastAsia"/>
          <w:color w:val="000000"/>
        </w:rPr>
        <w:t>、</w:t>
      </w:r>
      <w:r w:rsidR="009B1AEA">
        <w:rPr>
          <w:rFonts w:hint="eastAsia"/>
          <w:color w:val="000000"/>
        </w:rPr>
        <w:t>財政</w:t>
      </w:r>
      <w:r>
        <w:rPr>
          <w:rFonts w:hint="eastAsia"/>
          <w:color w:val="000000"/>
        </w:rPr>
        <w:t>及</w:t>
      </w:r>
      <w:r w:rsidR="009B1AEA">
        <w:rPr>
          <w:rFonts w:hint="eastAsia"/>
          <w:color w:val="000000"/>
        </w:rPr>
        <w:t>經濟</w:t>
      </w:r>
      <w:r>
        <w:rPr>
          <w:rFonts w:hint="eastAsia"/>
          <w:color w:val="000000"/>
        </w:rPr>
        <w:t>委員會</w:t>
      </w:r>
      <w:r w:rsidR="00C65E26">
        <w:rPr>
          <w:rFonts w:hint="eastAsia"/>
          <w:color w:val="000000"/>
        </w:rPr>
        <w:t>聯席會</w:t>
      </w:r>
      <w:r>
        <w:rPr>
          <w:rFonts w:hAnsi="標楷體" w:hint="eastAsia"/>
          <w:color w:val="000000"/>
        </w:rPr>
        <w:t>議</w:t>
      </w:r>
      <w:r>
        <w:rPr>
          <w:rFonts w:hint="eastAsia"/>
          <w:color w:val="000000"/>
        </w:rPr>
        <w:t>處理。</w:t>
      </w:r>
      <w:bookmarkEnd w:id="96"/>
      <w:bookmarkEnd w:id="97"/>
      <w:bookmarkEnd w:id="98"/>
      <w:bookmarkEnd w:id="99"/>
      <w:bookmarkEnd w:id="100"/>
      <w:bookmarkEnd w:id="101"/>
      <w:bookmarkEnd w:id="102"/>
      <w:bookmarkEnd w:id="103"/>
      <w:bookmarkEnd w:id="104"/>
      <w:bookmarkEnd w:id="105"/>
      <w:bookmarkEnd w:id="106"/>
      <w:bookmarkEnd w:id="107"/>
      <w:bookmarkEnd w:id="108"/>
    </w:p>
    <w:p w:rsidR="00BB36B6" w:rsidRDefault="00BB36B6" w:rsidP="00BB36B6">
      <w:pPr>
        <w:widowControl/>
        <w:overflowPunct/>
        <w:autoSpaceDE/>
        <w:autoSpaceDN/>
        <w:rPr>
          <w:rFonts w:hAnsi="標楷體"/>
          <w:b/>
          <w:bCs/>
          <w:kern w:val="0"/>
          <w:sz w:val="28"/>
          <w:szCs w:val="28"/>
        </w:rPr>
      </w:pPr>
      <w:r>
        <w:rPr>
          <w:rFonts w:hAnsi="標楷體" w:hint="eastAsia"/>
          <w:b/>
          <w:bCs/>
          <w:kern w:val="0"/>
          <w:sz w:val="28"/>
          <w:szCs w:val="28"/>
        </w:rPr>
        <w:t xml:space="preserve">     </w:t>
      </w:r>
    </w:p>
    <w:p w:rsidR="00BB36B6" w:rsidRDefault="00BB36B6" w:rsidP="00BB36B6">
      <w:pPr>
        <w:widowControl/>
        <w:overflowPunct/>
        <w:autoSpaceDE/>
        <w:autoSpaceDN/>
        <w:rPr>
          <w:rFonts w:hAnsi="標楷體"/>
          <w:b/>
          <w:bCs/>
          <w:kern w:val="0"/>
          <w:sz w:val="28"/>
          <w:szCs w:val="28"/>
        </w:rPr>
      </w:pPr>
    </w:p>
    <w:p w:rsidR="00BB36B6" w:rsidRDefault="00BB36B6" w:rsidP="00BB36B6">
      <w:pPr>
        <w:widowControl/>
        <w:overflowPunct/>
        <w:autoSpaceDE/>
        <w:autoSpaceDN/>
        <w:rPr>
          <w:rFonts w:hAnsi="標楷體"/>
          <w:b/>
          <w:bCs/>
          <w:kern w:val="0"/>
          <w:sz w:val="28"/>
          <w:szCs w:val="28"/>
        </w:rPr>
      </w:pPr>
    </w:p>
    <w:p w:rsidR="00BB36B6" w:rsidRDefault="00BB36B6" w:rsidP="00BB36B6">
      <w:pPr>
        <w:widowControl/>
        <w:overflowPunct/>
        <w:autoSpaceDE/>
        <w:autoSpaceDN/>
        <w:rPr>
          <w:rFonts w:hAnsi="標楷體"/>
          <w:b/>
          <w:bCs/>
          <w:kern w:val="0"/>
          <w:sz w:val="28"/>
          <w:szCs w:val="28"/>
        </w:rPr>
      </w:pPr>
    </w:p>
    <w:p w:rsidR="00BB36B6" w:rsidRDefault="00BB36B6" w:rsidP="00BB36B6">
      <w:pPr>
        <w:widowControl/>
        <w:overflowPunct/>
        <w:autoSpaceDE/>
        <w:autoSpaceDN/>
        <w:rPr>
          <w:rFonts w:hAnsi="標楷體"/>
          <w:b/>
          <w:bCs/>
          <w:kern w:val="0"/>
          <w:sz w:val="28"/>
          <w:szCs w:val="28"/>
        </w:rPr>
      </w:pPr>
    </w:p>
    <w:p w:rsidR="00BB36B6" w:rsidRDefault="00BB36B6" w:rsidP="00BB36B6">
      <w:pPr>
        <w:widowControl/>
        <w:overflowPunct/>
        <w:autoSpaceDE/>
        <w:autoSpaceDN/>
        <w:rPr>
          <w:rFonts w:hAnsi="標楷體"/>
          <w:b/>
          <w:bCs/>
          <w:kern w:val="0"/>
          <w:sz w:val="28"/>
          <w:szCs w:val="28"/>
        </w:rPr>
      </w:pPr>
    </w:p>
    <w:p w:rsidR="00BB36B6" w:rsidRDefault="00BB36B6" w:rsidP="00BB36B6">
      <w:pPr>
        <w:widowControl/>
        <w:overflowPunct/>
        <w:autoSpaceDE/>
        <w:autoSpaceDN/>
        <w:rPr>
          <w:rFonts w:hAnsi="標楷體"/>
          <w:b/>
          <w:bCs/>
          <w:kern w:val="0"/>
          <w:sz w:val="28"/>
          <w:szCs w:val="28"/>
        </w:rPr>
      </w:pPr>
    </w:p>
    <w:p w:rsidR="00BB36B6" w:rsidRPr="00BB36B6" w:rsidRDefault="00BB36B6" w:rsidP="00BB36B6">
      <w:pPr>
        <w:widowControl/>
        <w:overflowPunct/>
        <w:autoSpaceDE/>
        <w:autoSpaceDN/>
        <w:rPr>
          <w:rFonts w:hAnsi="標楷體" w:hint="eastAsia"/>
          <w:b/>
          <w:bCs/>
          <w:kern w:val="0"/>
          <w:szCs w:val="32"/>
        </w:rPr>
      </w:pPr>
      <w:r>
        <w:rPr>
          <w:rFonts w:hAnsi="標楷體" w:hint="eastAsia"/>
          <w:b/>
          <w:bCs/>
          <w:kern w:val="0"/>
          <w:sz w:val="28"/>
          <w:szCs w:val="28"/>
        </w:rPr>
        <w:t xml:space="preserve">          </w:t>
      </w:r>
      <w:bookmarkStart w:id="109" w:name="_GoBack"/>
      <w:r w:rsidRPr="00BB36B6">
        <w:rPr>
          <w:rFonts w:hAnsi="標楷體" w:hint="eastAsia"/>
          <w:b/>
          <w:bCs/>
          <w:kern w:val="0"/>
          <w:szCs w:val="32"/>
        </w:rPr>
        <w:t>調查委員：陳小紅委員、方萬富委員、林雅鋒委員</w:t>
      </w:r>
      <w:bookmarkEnd w:id="109"/>
    </w:p>
    <w:sectPr w:rsidR="00BB36B6" w:rsidRPr="00BB36B6" w:rsidSect="0032717B">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4AB" w:rsidRDefault="00FC44AB">
      <w:r>
        <w:separator/>
      </w:r>
    </w:p>
  </w:endnote>
  <w:endnote w:type="continuationSeparator" w:id="0">
    <w:p w:rsidR="00FC44AB" w:rsidRDefault="00FC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焊.蠀.">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AC7" w:rsidRDefault="00C82AC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B36B6">
      <w:rPr>
        <w:rStyle w:val="ac"/>
        <w:noProof/>
        <w:sz w:val="24"/>
      </w:rPr>
      <w:t>23</w:t>
    </w:r>
    <w:r>
      <w:rPr>
        <w:rStyle w:val="ac"/>
        <w:sz w:val="24"/>
      </w:rPr>
      <w:fldChar w:fldCharType="end"/>
    </w:r>
  </w:p>
  <w:p w:rsidR="00C82AC7" w:rsidRDefault="00C82AC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4AB" w:rsidRDefault="00FC44AB">
      <w:r>
        <w:separator/>
      </w:r>
    </w:p>
  </w:footnote>
  <w:footnote w:type="continuationSeparator" w:id="0">
    <w:p w:rsidR="00FC44AB" w:rsidRDefault="00FC44AB">
      <w:r>
        <w:continuationSeparator/>
      </w:r>
    </w:p>
  </w:footnote>
  <w:footnote w:id="1">
    <w:p w:rsidR="00C82AC7" w:rsidRDefault="00C82AC7">
      <w:pPr>
        <w:pStyle w:val="afc"/>
      </w:pPr>
      <w:r>
        <w:rPr>
          <w:rStyle w:val="afe"/>
        </w:rPr>
        <w:footnoteRef/>
      </w:r>
      <w:r>
        <w:t xml:space="preserve"> </w:t>
      </w:r>
      <w:r>
        <w:rPr>
          <w:rFonts w:hint="eastAsia"/>
        </w:rPr>
        <w:t>審計部106年11月24日台審部字第1060013750號函。</w:t>
      </w:r>
    </w:p>
  </w:footnote>
  <w:footnote w:id="2">
    <w:p w:rsidR="00C82AC7" w:rsidRPr="00D32F84" w:rsidRDefault="00C82AC7">
      <w:pPr>
        <w:pStyle w:val="afc"/>
      </w:pPr>
      <w:r>
        <w:rPr>
          <w:rStyle w:val="afe"/>
        </w:rPr>
        <w:footnoteRef/>
      </w:r>
      <w:r>
        <w:t xml:space="preserve"> </w:t>
      </w:r>
      <w:r>
        <w:rPr>
          <w:rFonts w:hint="eastAsia"/>
        </w:rPr>
        <w:t>經濟部工業局107年3月7日工地字第10700128460號函。</w:t>
      </w:r>
    </w:p>
  </w:footnote>
  <w:footnote w:id="3">
    <w:p w:rsidR="00C82AC7" w:rsidRPr="00DF68F6" w:rsidRDefault="00C82AC7" w:rsidP="00664F24">
      <w:pPr>
        <w:pStyle w:val="afc"/>
        <w:ind w:left="167" w:hangingChars="76" w:hanging="167"/>
        <w:rPr>
          <w:color w:val="000000" w:themeColor="text1"/>
        </w:rPr>
      </w:pPr>
      <w:r>
        <w:rPr>
          <w:rStyle w:val="afe"/>
        </w:rPr>
        <w:footnoteRef/>
      </w:r>
      <w:r>
        <w:rPr>
          <w:rFonts w:hint="eastAsia"/>
          <w:color w:val="000000" w:themeColor="text1"/>
        </w:rPr>
        <w:t xml:space="preserve"> </w:t>
      </w:r>
      <w:r w:rsidRPr="00DF68F6">
        <w:rPr>
          <w:rFonts w:hint="eastAsia"/>
          <w:color w:val="000000" w:themeColor="text1"/>
        </w:rPr>
        <w:t>經濟部工業局於約詢時表達之立場為：已編列</w:t>
      </w:r>
      <w:r w:rsidRPr="00DF68F6">
        <w:rPr>
          <w:rFonts w:hAnsi="標楷體" w:hint="eastAsia"/>
          <w:color w:val="000000" w:themeColor="text1"/>
        </w:rPr>
        <w:t>「</w:t>
      </w:r>
      <w:r w:rsidRPr="00DF68F6">
        <w:rPr>
          <w:rFonts w:hint="eastAsia"/>
          <w:color w:val="000000" w:themeColor="text1"/>
        </w:rPr>
        <w:t>工業區</w:t>
      </w:r>
      <w:r w:rsidRPr="00DF68F6">
        <w:rPr>
          <w:rFonts w:hAnsi="標楷體" w:hint="eastAsia"/>
          <w:color w:val="000000" w:themeColor="text1"/>
        </w:rPr>
        <w:t>」</w:t>
      </w:r>
      <w:r w:rsidRPr="00DF68F6">
        <w:rPr>
          <w:rFonts w:hint="eastAsia"/>
          <w:color w:val="000000" w:themeColor="text1"/>
        </w:rPr>
        <w:t>之土地若經撤銷，未來再徵收的困難極高；基於現階段相關基礎產業已無大規模工業區之迫切需求等考量，四湖區短期內開發之可能似微乎其微(惟雲林縣政府期待十分肯定之決策)。</w:t>
      </w:r>
    </w:p>
  </w:footnote>
  <w:footnote w:id="4">
    <w:p w:rsidR="00C82AC7" w:rsidRDefault="00C82AC7">
      <w:pPr>
        <w:pStyle w:val="afc"/>
      </w:pPr>
      <w:r>
        <w:rPr>
          <w:rStyle w:val="afe"/>
        </w:rPr>
        <w:footnoteRef/>
      </w:r>
      <w:r>
        <w:t xml:space="preserve"> </w:t>
      </w:r>
      <w:r>
        <w:rPr>
          <w:rFonts w:hint="eastAsia"/>
        </w:rPr>
        <w:t>農委會依本院107年3月12日通知之查復資料。</w:t>
      </w:r>
    </w:p>
  </w:footnote>
  <w:footnote w:id="5">
    <w:p w:rsidR="00C82AC7" w:rsidRPr="00593E81" w:rsidRDefault="00C82AC7">
      <w:pPr>
        <w:pStyle w:val="afc"/>
      </w:pPr>
      <w:r>
        <w:rPr>
          <w:rStyle w:val="afe"/>
        </w:rPr>
        <w:footnoteRef/>
      </w:r>
      <w:r>
        <w:rPr>
          <w:rFonts w:hint="eastAsia"/>
        </w:rPr>
        <w:t xml:space="preserve"> 嘉義縣政府依本院107年3月12日通知之查復資料。</w:t>
      </w:r>
    </w:p>
  </w:footnote>
  <w:footnote w:id="6">
    <w:p w:rsidR="00C82AC7" w:rsidRPr="00593E81" w:rsidRDefault="00C82AC7">
      <w:pPr>
        <w:pStyle w:val="afc"/>
      </w:pPr>
      <w:r>
        <w:rPr>
          <w:rStyle w:val="afe"/>
        </w:rPr>
        <w:footnoteRef/>
      </w:r>
      <w:r>
        <w:t xml:space="preserve"> </w:t>
      </w:r>
      <w:r>
        <w:rPr>
          <w:rFonts w:hint="eastAsia"/>
        </w:rPr>
        <w:t>嘉義縣政府依本院107年3月12日通知之查復資料。</w:t>
      </w:r>
    </w:p>
  </w:footnote>
  <w:footnote w:id="7">
    <w:p w:rsidR="00C82AC7" w:rsidRDefault="00C82AC7">
      <w:pPr>
        <w:pStyle w:val="afc"/>
      </w:pPr>
      <w:r>
        <w:rPr>
          <w:rStyle w:val="afe"/>
        </w:rPr>
        <w:footnoteRef/>
      </w:r>
      <w:r>
        <w:rPr>
          <w:rFonts w:hint="eastAsia"/>
        </w:rPr>
        <w:t xml:space="preserve"> 審</w:t>
      </w:r>
      <w:r w:rsidRPr="00235924">
        <w:rPr>
          <w:rFonts w:hint="eastAsia"/>
        </w:rPr>
        <w:t>計部106年11月24日台審部字第1060013750號函。</w:t>
      </w:r>
    </w:p>
  </w:footnote>
  <w:footnote w:id="8">
    <w:p w:rsidR="00C82AC7" w:rsidRDefault="00C82AC7">
      <w:pPr>
        <w:pStyle w:val="afc"/>
      </w:pPr>
      <w:r>
        <w:rPr>
          <w:rStyle w:val="afe"/>
        </w:rPr>
        <w:footnoteRef/>
      </w:r>
      <w:r>
        <w:rPr>
          <w:rFonts w:hint="eastAsia"/>
        </w:rPr>
        <w:t xml:space="preserve"> </w:t>
      </w:r>
      <w:r w:rsidRPr="00FF1373">
        <w:rPr>
          <w:rFonts w:hint="eastAsia"/>
        </w:rPr>
        <w:t>農委會依本院107年3月12日通知之查復資料。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0E2036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980B67"/>
    <w:multiLevelType w:val="hybridMultilevel"/>
    <w:tmpl w:val="34169512"/>
    <w:lvl w:ilvl="0" w:tplc="8C9A8A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DEFE68C4"/>
    <w:lvl w:ilvl="0" w:tplc="8716ED04">
      <w:start w:val="1"/>
      <w:numFmt w:val="decimal"/>
      <w:pStyle w:val="a3"/>
      <w:lvlText w:val="表%1　"/>
      <w:lvlJc w:val="left"/>
      <w:pPr>
        <w:ind w:left="1757"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6D2820"/>
    <w:multiLevelType w:val="hybridMultilevel"/>
    <w:tmpl w:val="D1E25A9C"/>
    <w:lvl w:ilvl="0" w:tplc="27BA52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DBB406F"/>
    <w:multiLevelType w:val="hybridMultilevel"/>
    <w:tmpl w:val="5CD4BB78"/>
    <w:lvl w:ilvl="0" w:tplc="F63268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3"/>
  </w:num>
  <w:num w:numId="6">
    <w:abstractNumId w:val="7"/>
  </w:num>
  <w:num w:numId="7">
    <w:abstractNumId w:val="1"/>
  </w:num>
  <w:num w:numId="8">
    <w:abstractNumId w:val="8"/>
  </w:num>
  <w:num w:numId="9">
    <w:abstractNumId w:val="4"/>
  </w:num>
  <w:num w:numId="10">
    <w:abstractNumId w:val="5"/>
  </w:num>
  <w:num w:numId="11">
    <w:abstractNumId w:val="10"/>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A6A"/>
    <w:rsid w:val="00006961"/>
    <w:rsid w:val="000112BF"/>
    <w:rsid w:val="00012233"/>
    <w:rsid w:val="00014103"/>
    <w:rsid w:val="00017234"/>
    <w:rsid w:val="00017318"/>
    <w:rsid w:val="00020AF3"/>
    <w:rsid w:val="0002399E"/>
    <w:rsid w:val="000246F7"/>
    <w:rsid w:val="00025BB3"/>
    <w:rsid w:val="00030BEC"/>
    <w:rsid w:val="0003114D"/>
    <w:rsid w:val="00036D76"/>
    <w:rsid w:val="000439B8"/>
    <w:rsid w:val="000451C9"/>
    <w:rsid w:val="000454BD"/>
    <w:rsid w:val="0005225A"/>
    <w:rsid w:val="00054B28"/>
    <w:rsid w:val="00056A2E"/>
    <w:rsid w:val="00057F32"/>
    <w:rsid w:val="00062A25"/>
    <w:rsid w:val="00073CB5"/>
    <w:rsid w:val="0007425C"/>
    <w:rsid w:val="0007589D"/>
    <w:rsid w:val="00077553"/>
    <w:rsid w:val="00080F91"/>
    <w:rsid w:val="0008197F"/>
    <w:rsid w:val="000851A2"/>
    <w:rsid w:val="0009195F"/>
    <w:rsid w:val="0009352E"/>
    <w:rsid w:val="00094ABC"/>
    <w:rsid w:val="00096105"/>
    <w:rsid w:val="00096B96"/>
    <w:rsid w:val="00097B49"/>
    <w:rsid w:val="000A1226"/>
    <w:rsid w:val="000A2F3F"/>
    <w:rsid w:val="000A3F55"/>
    <w:rsid w:val="000A5B11"/>
    <w:rsid w:val="000B0B4A"/>
    <w:rsid w:val="000B0EF2"/>
    <w:rsid w:val="000B1D6E"/>
    <w:rsid w:val="000B279A"/>
    <w:rsid w:val="000B60FD"/>
    <w:rsid w:val="000B61D2"/>
    <w:rsid w:val="000B70A7"/>
    <w:rsid w:val="000B73DD"/>
    <w:rsid w:val="000B7B27"/>
    <w:rsid w:val="000C1CA3"/>
    <w:rsid w:val="000C219F"/>
    <w:rsid w:val="000C2943"/>
    <w:rsid w:val="000C495F"/>
    <w:rsid w:val="000C5C1C"/>
    <w:rsid w:val="000D1725"/>
    <w:rsid w:val="000D2573"/>
    <w:rsid w:val="000D2859"/>
    <w:rsid w:val="000D4F6F"/>
    <w:rsid w:val="000D7E70"/>
    <w:rsid w:val="000E0AA3"/>
    <w:rsid w:val="000E0C85"/>
    <w:rsid w:val="000E5BF1"/>
    <w:rsid w:val="000E6151"/>
    <w:rsid w:val="000E6431"/>
    <w:rsid w:val="000F2069"/>
    <w:rsid w:val="000F21A5"/>
    <w:rsid w:val="000F22CF"/>
    <w:rsid w:val="000F27CA"/>
    <w:rsid w:val="000F3409"/>
    <w:rsid w:val="00100260"/>
    <w:rsid w:val="00102B9F"/>
    <w:rsid w:val="0010459A"/>
    <w:rsid w:val="00106ACA"/>
    <w:rsid w:val="001111B3"/>
    <w:rsid w:val="00112637"/>
    <w:rsid w:val="00112ABC"/>
    <w:rsid w:val="0011530D"/>
    <w:rsid w:val="0011566F"/>
    <w:rsid w:val="00115961"/>
    <w:rsid w:val="0012001E"/>
    <w:rsid w:val="00120AC3"/>
    <w:rsid w:val="00126A55"/>
    <w:rsid w:val="00131EEC"/>
    <w:rsid w:val="00133AAE"/>
    <w:rsid w:val="00133F08"/>
    <w:rsid w:val="001345E6"/>
    <w:rsid w:val="00135409"/>
    <w:rsid w:val="00135765"/>
    <w:rsid w:val="001378B0"/>
    <w:rsid w:val="001416CB"/>
    <w:rsid w:val="00142E00"/>
    <w:rsid w:val="00142FD3"/>
    <w:rsid w:val="00143063"/>
    <w:rsid w:val="0014788F"/>
    <w:rsid w:val="001504EF"/>
    <w:rsid w:val="00151982"/>
    <w:rsid w:val="00152793"/>
    <w:rsid w:val="0015279B"/>
    <w:rsid w:val="00153B7E"/>
    <w:rsid w:val="00153EC6"/>
    <w:rsid w:val="001545A9"/>
    <w:rsid w:val="00156A81"/>
    <w:rsid w:val="00156AB2"/>
    <w:rsid w:val="00157350"/>
    <w:rsid w:val="001637C7"/>
    <w:rsid w:val="0016480E"/>
    <w:rsid w:val="00165B8C"/>
    <w:rsid w:val="001727CD"/>
    <w:rsid w:val="00173CDF"/>
    <w:rsid w:val="00174297"/>
    <w:rsid w:val="00174A52"/>
    <w:rsid w:val="00174C7E"/>
    <w:rsid w:val="00180E06"/>
    <w:rsid w:val="001817B3"/>
    <w:rsid w:val="00183014"/>
    <w:rsid w:val="0018375E"/>
    <w:rsid w:val="00183A1B"/>
    <w:rsid w:val="00187A6C"/>
    <w:rsid w:val="00191BF4"/>
    <w:rsid w:val="001959C2"/>
    <w:rsid w:val="001A51E3"/>
    <w:rsid w:val="001A7968"/>
    <w:rsid w:val="001A7DA3"/>
    <w:rsid w:val="001B00D9"/>
    <w:rsid w:val="001B2E98"/>
    <w:rsid w:val="001B3483"/>
    <w:rsid w:val="001B3C1E"/>
    <w:rsid w:val="001B4494"/>
    <w:rsid w:val="001B698B"/>
    <w:rsid w:val="001C0189"/>
    <w:rsid w:val="001C0D8B"/>
    <w:rsid w:val="001C0DA8"/>
    <w:rsid w:val="001C1F0F"/>
    <w:rsid w:val="001C6851"/>
    <w:rsid w:val="001C7490"/>
    <w:rsid w:val="001D24FE"/>
    <w:rsid w:val="001D2701"/>
    <w:rsid w:val="001D4AD7"/>
    <w:rsid w:val="001E04A2"/>
    <w:rsid w:val="001E0D8A"/>
    <w:rsid w:val="001E1D2B"/>
    <w:rsid w:val="001E59D2"/>
    <w:rsid w:val="001E67BA"/>
    <w:rsid w:val="001E74C2"/>
    <w:rsid w:val="001F1CE3"/>
    <w:rsid w:val="001F1D62"/>
    <w:rsid w:val="001F2DD6"/>
    <w:rsid w:val="001F4AA9"/>
    <w:rsid w:val="001F4BC4"/>
    <w:rsid w:val="001F4F82"/>
    <w:rsid w:val="001F5A48"/>
    <w:rsid w:val="001F6260"/>
    <w:rsid w:val="00200007"/>
    <w:rsid w:val="00200074"/>
    <w:rsid w:val="00201F11"/>
    <w:rsid w:val="002030A5"/>
    <w:rsid w:val="00203131"/>
    <w:rsid w:val="0020500F"/>
    <w:rsid w:val="002065AE"/>
    <w:rsid w:val="00207930"/>
    <w:rsid w:val="00212B65"/>
    <w:rsid w:val="00212E88"/>
    <w:rsid w:val="00213C9C"/>
    <w:rsid w:val="0022009E"/>
    <w:rsid w:val="00220521"/>
    <w:rsid w:val="0022059D"/>
    <w:rsid w:val="00222193"/>
    <w:rsid w:val="00223241"/>
    <w:rsid w:val="0022425C"/>
    <w:rsid w:val="002246DE"/>
    <w:rsid w:val="0023195B"/>
    <w:rsid w:val="00234635"/>
    <w:rsid w:val="00234873"/>
    <w:rsid w:val="00235924"/>
    <w:rsid w:val="00243705"/>
    <w:rsid w:val="00243E21"/>
    <w:rsid w:val="0024442D"/>
    <w:rsid w:val="002453C9"/>
    <w:rsid w:val="00247367"/>
    <w:rsid w:val="00250BA7"/>
    <w:rsid w:val="00252BC4"/>
    <w:rsid w:val="00252D02"/>
    <w:rsid w:val="00254014"/>
    <w:rsid w:val="00254B39"/>
    <w:rsid w:val="002554A3"/>
    <w:rsid w:val="0026504D"/>
    <w:rsid w:val="00266FFB"/>
    <w:rsid w:val="00270AF9"/>
    <w:rsid w:val="00273A2F"/>
    <w:rsid w:val="002740EC"/>
    <w:rsid w:val="0027531E"/>
    <w:rsid w:val="00280986"/>
    <w:rsid w:val="00280E94"/>
    <w:rsid w:val="00281ECE"/>
    <w:rsid w:val="002831C7"/>
    <w:rsid w:val="002840C6"/>
    <w:rsid w:val="002927C8"/>
    <w:rsid w:val="002938BA"/>
    <w:rsid w:val="002938DA"/>
    <w:rsid w:val="00293A5D"/>
    <w:rsid w:val="00295174"/>
    <w:rsid w:val="002957CA"/>
    <w:rsid w:val="00296172"/>
    <w:rsid w:val="00296195"/>
    <w:rsid w:val="00296B92"/>
    <w:rsid w:val="002A2C22"/>
    <w:rsid w:val="002A3A74"/>
    <w:rsid w:val="002A6774"/>
    <w:rsid w:val="002A7647"/>
    <w:rsid w:val="002B02EB"/>
    <w:rsid w:val="002B1720"/>
    <w:rsid w:val="002B41CB"/>
    <w:rsid w:val="002B7943"/>
    <w:rsid w:val="002C0602"/>
    <w:rsid w:val="002C10E2"/>
    <w:rsid w:val="002C79A9"/>
    <w:rsid w:val="002D0451"/>
    <w:rsid w:val="002D441B"/>
    <w:rsid w:val="002D4769"/>
    <w:rsid w:val="002D5C16"/>
    <w:rsid w:val="002D5D48"/>
    <w:rsid w:val="002D76A4"/>
    <w:rsid w:val="002E0665"/>
    <w:rsid w:val="002E61BB"/>
    <w:rsid w:val="002E6CF5"/>
    <w:rsid w:val="002E75FF"/>
    <w:rsid w:val="002F2476"/>
    <w:rsid w:val="002F2A3C"/>
    <w:rsid w:val="002F3DFF"/>
    <w:rsid w:val="002F43EF"/>
    <w:rsid w:val="002F4495"/>
    <w:rsid w:val="002F5E05"/>
    <w:rsid w:val="002F6371"/>
    <w:rsid w:val="002F709B"/>
    <w:rsid w:val="0030569A"/>
    <w:rsid w:val="00306C5E"/>
    <w:rsid w:val="003070EB"/>
    <w:rsid w:val="00307A76"/>
    <w:rsid w:val="00307C59"/>
    <w:rsid w:val="00311B6A"/>
    <w:rsid w:val="00312819"/>
    <w:rsid w:val="003130DB"/>
    <w:rsid w:val="00315A16"/>
    <w:rsid w:val="00317053"/>
    <w:rsid w:val="003208BE"/>
    <w:rsid w:val="0032109C"/>
    <w:rsid w:val="00322B45"/>
    <w:rsid w:val="00323809"/>
    <w:rsid w:val="00323B7E"/>
    <w:rsid w:val="00323D41"/>
    <w:rsid w:val="00325414"/>
    <w:rsid w:val="0032717B"/>
    <w:rsid w:val="003302F1"/>
    <w:rsid w:val="003335C8"/>
    <w:rsid w:val="00333B0D"/>
    <w:rsid w:val="00334210"/>
    <w:rsid w:val="003350DF"/>
    <w:rsid w:val="003420F7"/>
    <w:rsid w:val="00342E63"/>
    <w:rsid w:val="0034470E"/>
    <w:rsid w:val="00351DFD"/>
    <w:rsid w:val="00352527"/>
    <w:rsid w:val="00352DB0"/>
    <w:rsid w:val="00356466"/>
    <w:rsid w:val="00356523"/>
    <w:rsid w:val="00361063"/>
    <w:rsid w:val="00365500"/>
    <w:rsid w:val="0037094A"/>
    <w:rsid w:val="00371A63"/>
    <w:rsid w:val="00371ED3"/>
    <w:rsid w:val="00372C2C"/>
    <w:rsid w:val="00372FFC"/>
    <w:rsid w:val="0037728A"/>
    <w:rsid w:val="00380B7D"/>
    <w:rsid w:val="00381A99"/>
    <w:rsid w:val="003829C2"/>
    <w:rsid w:val="003830B2"/>
    <w:rsid w:val="00384724"/>
    <w:rsid w:val="003862C9"/>
    <w:rsid w:val="003863B9"/>
    <w:rsid w:val="00386B7E"/>
    <w:rsid w:val="003905F6"/>
    <w:rsid w:val="00390859"/>
    <w:rsid w:val="0039137C"/>
    <w:rsid w:val="003919B7"/>
    <w:rsid w:val="00391D57"/>
    <w:rsid w:val="00392292"/>
    <w:rsid w:val="003924F4"/>
    <w:rsid w:val="00394F45"/>
    <w:rsid w:val="00397CAF"/>
    <w:rsid w:val="003A2B30"/>
    <w:rsid w:val="003A5927"/>
    <w:rsid w:val="003A5AAD"/>
    <w:rsid w:val="003A5EB3"/>
    <w:rsid w:val="003A60F2"/>
    <w:rsid w:val="003A6C5A"/>
    <w:rsid w:val="003A7440"/>
    <w:rsid w:val="003A780E"/>
    <w:rsid w:val="003B023E"/>
    <w:rsid w:val="003B1017"/>
    <w:rsid w:val="003B37FF"/>
    <w:rsid w:val="003B3C07"/>
    <w:rsid w:val="003B4E83"/>
    <w:rsid w:val="003B6081"/>
    <w:rsid w:val="003B6775"/>
    <w:rsid w:val="003B6C91"/>
    <w:rsid w:val="003B7C07"/>
    <w:rsid w:val="003C10BD"/>
    <w:rsid w:val="003C3964"/>
    <w:rsid w:val="003C524F"/>
    <w:rsid w:val="003C5FE2"/>
    <w:rsid w:val="003D05FB"/>
    <w:rsid w:val="003D1B16"/>
    <w:rsid w:val="003D31E1"/>
    <w:rsid w:val="003D45BF"/>
    <w:rsid w:val="003D508A"/>
    <w:rsid w:val="003D537F"/>
    <w:rsid w:val="003D53B4"/>
    <w:rsid w:val="003D5C07"/>
    <w:rsid w:val="003D7B75"/>
    <w:rsid w:val="003E0208"/>
    <w:rsid w:val="003E4B57"/>
    <w:rsid w:val="003E6790"/>
    <w:rsid w:val="003E77B9"/>
    <w:rsid w:val="003F0C3B"/>
    <w:rsid w:val="003F24E1"/>
    <w:rsid w:val="003F27E1"/>
    <w:rsid w:val="003F3040"/>
    <w:rsid w:val="003F434F"/>
    <w:rsid w:val="003F437A"/>
    <w:rsid w:val="003F4D19"/>
    <w:rsid w:val="003F5C2B"/>
    <w:rsid w:val="003F6E49"/>
    <w:rsid w:val="0040174C"/>
    <w:rsid w:val="00401EF4"/>
    <w:rsid w:val="00402240"/>
    <w:rsid w:val="004023E9"/>
    <w:rsid w:val="00402424"/>
    <w:rsid w:val="00403D4D"/>
    <w:rsid w:val="0040454A"/>
    <w:rsid w:val="00410623"/>
    <w:rsid w:val="00410BE5"/>
    <w:rsid w:val="004127F6"/>
    <w:rsid w:val="00413F83"/>
    <w:rsid w:val="0041490C"/>
    <w:rsid w:val="00416191"/>
    <w:rsid w:val="00416721"/>
    <w:rsid w:val="00416B01"/>
    <w:rsid w:val="00416DBA"/>
    <w:rsid w:val="00421EF0"/>
    <w:rsid w:val="00422272"/>
    <w:rsid w:val="004224FA"/>
    <w:rsid w:val="0042329E"/>
    <w:rsid w:val="00423A56"/>
    <w:rsid w:val="00423D02"/>
    <w:rsid w:val="00423D07"/>
    <w:rsid w:val="00424DF2"/>
    <w:rsid w:val="00427936"/>
    <w:rsid w:val="00430363"/>
    <w:rsid w:val="004303B2"/>
    <w:rsid w:val="00433439"/>
    <w:rsid w:val="004344B8"/>
    <w:rsid w:val="00434753"/>
    <w:rsid w:val="00434ADB"/>
    <w:rsid w:val="00434B82"/>
    <w:rsid w:val="00434E70"/>
    <w:rsid w:val="0044015A"/>
    <w:rsid w:val="0044346F"/>
    <w:rsid w:val="00443C1E"/>
    <w:rsid w:val="00445A71"/>
    <w:rsid w:val="00447186"/>
    <w:rsid w:val="0045070D"/>
    <w:rsid w:val="00451D13"/>
    <w:rsid w:val="00453FF6"/>
    <w:rsid w:val="004616EE"/>
    <w:rsid w:val="00463BC8"/>
    <w:rsid w:val="0046520A"/>
    <w:rsid w:val="004672AB"/>
    <w:rsid w:val="004714FE"/>
    <w:rsid w:val="0047158C"/>
    <w:rsid w:val="004733C8"/>
    <w:rsid w:val="004749B1"/>
    <w:rsid w:val="004772D5"/>
    <w:rsid w:val="00477BAA"/>
    <w:rsid w:val="00482167"/>
    <w:rsid w:val="00484636"/>
    <w:rsid w:val="00484ABD"/>
    <w:rsid w:val="00485B91"/>
    <w:rsid w:val="00490C2B"/>
    <w:rsid w:val="00495053"/>
    <w:rsid w:val="004A0926"/>
    <w:rsid w:val="004A1914"/>
    <w:rsid w:val="004A1F59"/>
    <w:rsid w:val="004A29BE"/>
    <w:rsid w:val="004A3225"/>
    <w:rsid w:val="004A33EE"/>
    <w:rsid w:val="004A3AA8"/>
    <w:rsid w:val="004A3AF5"/>
    <w:rsid w:val="004B1362"/>
    <w:rsid w:val="004B13C7"/>
    <w:rsid w:val="004B5C02"/>
    <w:rsid w:val="004B778F"/>
    <w:rsid w:val="004C0609"/>
    <w:rsid w:val="004C14CB"/>
    <w:rsid w:val="004C36A1"/>
    <w:rsid w:val="004C609C"/>
    <w:rsid w:val="004D141F"/>
    <w:rsid w:val="004D2742"/>
    <w:rsid w:val="004D6310"/>
    <w:rsid w:val="004E0062"/>
    <w:rsid w:val="004E05A1"/>
    <w:rsid w:val="004E079D"/>
    <w:rsid w:val="004E0A54"/>
    <w:rsid w:val="004E304E"/>
    <w:rsid w:val="004E4A1D"/>
    <w:rsid w:val="004E576F"/>
    <w:rsid w:val="004F117F"/>
    <w:rsid w:val="004F2A3D"/>
    <w:rsid w:val="004F3E4C"/>
    <w:rsid w:val="004F472A"/>
    <w:rsid w:val="004F5E57"/>
    <w:rsid w:val="004F6710"/>
    <w:rsid w:val="004F6C3C"/>
    <w:rsid w:val="005006CD"/>
    <w:rsid w:val="00500C3E"/>
    <w:rsid w:val="00502849"/>
    <w:rsid w:val="00504334"/>
    <w:rsid w:val="0050498D"/>
    <w:rsid w:val="005104D7"/>
    <w:rsid w:val="00510B9E"/>
    <w:rsid w:val="00510BE6"/>
    <w:rsid w:val="00510DF2"/>
    <w:rsid w:val="005120DD"/>
    <w:rsid w:val="00520209"/>
    <w:rsid w:val="005244B2"/>
    <w:rsid w:val="005301BB"/>
    <w:rsid w:val="00532F24"/>
    <w:rsid w:val="005338B9"/>
    <w:rsid w:val="005339C2"/>
    <w:rsid w:val="0053479A"/>
    <w:rsid w:val="00536BC2"/>
    <w:rsid w:val="005425E1"/>
    <w:rsid w:val="005427C5"/>
    <w:rsid w:val="00542AF3"/>
    <w:rsid w:val="00542CF6"/>
    <w:rsid w:val="005457D6"/>
    <w:rsid w:val="00552FD5"/>
    <w:rsid w:val="005532E1"/>
    <w:rsid w:val="00553C03"/>
    <w:rsid w:val="00554858"/>
    <w:rsid w:val="005554CC"/>
    <w:rsid w:val="00557932"/>
    <w:rsid w:val="0056296D"/>
    <w:rsid w:val="00563692"/>
    <w:rsid w:val="0056369E"/>
    <w:rsid w:val="00564B3C"/>
    <w:rsid w:val="00566A6D"/>
    <w:rsid w:val="00567750"/>
    <w:rsid w:val="005707E3"/>
    <w:rsid w:val="00571679"/>
    <w:rsid w:val="00572E49"/>
    <w:rsid w:val="00581335"/>
    <w:rsid w:val="00582253"/>
    <w:rsid w:val="00582CA4"/>
    <w:rsid w:val="00583D66"/>
    <w:rsid w:val="005844E7"/>
    <w:rsid w:val="005908B8"/>
    <w:rsid w:val="00590AA2"/>
    <w:rsid w:val="00593C10"/>
    <w:rsid w:val="00593E81"/>
    <w:rsid w:val="00594B63"/>
    <w:rsid w:val="0059512E"/>
    <w:rsid w:val="005A1CA2"/>
    <w:rsid w:val="005A4164"/>
    <w:rsid w:val="005A6DD2"/>
    <w:rsid w:val="005B33D9"/>
    <w:rsid w:val="005B4674"/>
    <w:rsid w:val="005C0A02"/>
    <w:rsid w:val="005C338C"/>
    <w:rsid w:val="005C385D"/>
    <w:rsid w:val="005C4E30"/>
    <w:rsid w:val="005C6B2F"/>
    <w:rsid w:val="005D21C5"/>
    <w:rsid w:val="005D3B20"/>
    <w:rsid w:val="005D5045"/>
    <w:rsid w:val="005D5DBF"/>
    <w:rsid w:val="005D6D1F"/>
    <w:rsid w:val="005D6F4B"/>
    <w:rsid w:val="005E01A5"/>
    <w:rsid w:val="005E19F3"/>
    <w:rsid w:val="005E1CA2"/>
    <w:rsid w:val="005E2FFA"/>
    <w:rsid w:val="005E4759"/>
    <w:rsid w:val="005E4FE1"/>
    <w:rsid w:val="005E5C68"/>
    <w:rsid w:val="005E65C0"/>
    <w:rsid w:val="005E6F5E"/>
    <w:rsid w:val="005F0390"/>
    <w:rsid w:val="005F4E9F"/>
    <w:rsid w:val="005F5919"/>
    <w:rsid w:val="005F7B48"/>
    <w:rsid w:val="006037D5"/>
    <w:rsid w:val="00603B9F"/>
    <w:rsid w:val="00603E65"/>
    <w:rsid w:val="0060545F"/>
    <w:rsid w:val="00605601"/>
    <w:rsid w:val="006072CD"/>
    <w:rsid w:val="006102B5"/>
    <w:rsid w:val="00612023"/>
    <w:rsid w:val="006130C0"/>
    <w:rsid w:val="00614190"/>
    <w:rsid w:val="00622A57"/>
    <w:rsid w:val="00622A99"/>
    <w:rsid w:val="00622E67"/>
    <w:rsid w:val="00622ED1"/>
    <w:rsid w:val="0062372C"/>
    <w:rsid w:val="006259AC"/>
    <w:rsid w:val="00625CE0"/>
    <w:rsid w:val="00626B57"/>
    <w:rsid w:val="00626E95"/>
    <w:rsid w:val="00626EDC"/>
    <w:rsid w:val="00631B3F"/>
    <w:rsid w:val="00632CBF"/>
    <w:rsid w:val="00633439"/>
    <w:rsid w:val="00634669"/>
    <w:rsid w:val="0063774F"/>
    <w:rsid w:val="00640CC3"/>
    <w:rsid w:val="00640D5F"/>
    <w:rsid w:val="00640DE3"/>
    <w:rsid w:val="00641A6A"/>
    <w:rsid w:val="006436A1"/>
    <w:rsid w:val="00644ED4"/>
    <w:rsid w:val="006470EC"/>
    <w:rsid w:val="0064727D"/>
    <w:rsid w:val="006542D6"/>
    <w:rsid w:val="0065598E"/>
    <w:rsid w:val="00655AF2"/>
    <w:rsid w:val="00655BC5"/>
    <w:rsid w:val="006568BE"/>
    <w:rsid w:val="00656A98"/>
    <w:rsid w:val="006578F1"/>
    <w:rsid w:val="0066025D"/>
    <w:rsid w:val="0066091A"/>
    <w:rsid w:val="00660A65"/>
    <w:rsid w:val="00663930"/>
    <w:rsid w:val="00664F24"/>
    <w:rsid w:val="0067538F"/>
    <w:rsid w:val="006773EC"/>
    <w:rsid w:val="00680504"/>
    <w:rsid w:val="00681536"/>
    <w:rsid w:val="00681CD9"/>
    <w:rsid w:val="006820EA"/>
    <w:rsid w:val="00683E30"/>
    <w:rsid w:val="00687024"/>
    <w:rsid w:val="006874B1"/>
    <w:rsid w:val="006902B7"/>
    <w:rsid w:val="00690A60"/>
    <w:rsid w:val="00693A91"/>
    <w:rsid w:val="00693F81"/>
    <w:rsid w:val="00695E22"/>
    <w:rsid w:val="006A2D61"/>
    <w:rsid w:val="006A4891"/>
    <w:rsid w:val="006A753F"/>
    <w:rsid w:val="006B05B4"/>
    <w:rsid w:val="006B6453"/>
    <w:rsid w:val="006B7093"/>
    <w:rsid w:val="006B7417"/>
    <w:rsid w:val="006C1436"/>
    <w:rsid w:val="006C5327"/>
    <w:rsid w:val="006D0922"/>
    <w:rsid w:val="006D3691"/>
    <w:rsid w:val="006D479D"/>
    <w:rsid w:val="006E0F40"/>
    <w:rsid w:val="006E56BF"/>
    <w:rsid w:val="006E5EF0"/>
    <w:rsid w:val="006E607E"/>
    <w:rsid w:val="006F1DF1"/>
    <w:rsid w:val="006F3563"/>
    <w:rsid w:val="006F42B9"/>
    <w:rsid w:val="006F6103"/>
    <w:rsid w:val="00704E00"/>
    <w:rsid w:val="00705575"/>
    <w:rsid w:val="00710604"/>
    <w:rsid w:val="00715A19"/>
    <w:rsid w:val="00717666"/>
    <w:rsid w:val="007205F0"/>
    <w:rsid w:val="007209E7"/>
    <w:rsid w:val="00720A36"/>
    <w:rsid w:val="00721524"/>
    <w:rsid w:val="007225E1"/>
    <w:rsid w:val="00722EA1"/>
    <w:rsid w:val="00726182"/>
    <w:rsid w:val="00727635"/>
    <w:rsid w:val="00732329"/>
    <w:rsid w:val="007337CA"/>
    <w:rsid w:val="00733A47"/>
    <w:rsid w:val="007348E1"/>
    <w:rsid w:val="00734CE4"/>
    <w:rsid w:val="00735123"/>
    <w:rsid w:val="00737DC9"/>
    <w:rsid w:val="00741837"/>
    <w:rsid w:val="007453E6"/>
    <w:rsid w:val="00747218"/>
    <w:rsid w:val="007472D6"/>
    <w:rsid w:val="00751685"/>
    <w:rsid w:val="00755306"/>
    <w:rsid w:val="007558B6"/>
    <w:rsid w:val="00755A19"/>
    <w:rsid w:val="007560CE"/>
    <w:rsid w:val="007605B2"/>
    <w:rsid w:val="00762E9B"/>
    <w:rsid w:val="007633C2"/>
    <w:rsid w:val="00764B82"/>
    <w:rsid w:val="00770303"/>
    <w:rsid w:val="00772DA8"/>
    <w:rsid w:val="0077309D"/>
    <w:rsid w:val="007774EE"/>
    <w:rsid w:val="00781822"/>
    <w:rsid w:val="00782037"/>
    <w:rsid w:val="00783F21"/>
    <w:rsid w:val="007848FC"/>
    <w:rsid w:val="00787159"/>
    <w:rsid w:val="00787985"/>
    <w:rsid w:val="0079043A"/>
    <w:rsid w:val="00791668"/>
    <w:rsid w:val="00791AA1"/>
    <w:rsid w:val="007952B7"/>
    <w:rsid w:val="00797906"/>
    <w:rsid w:val="007A3793"/>
    <w:rsid w:val="007A6E1D"/>
    <w:rsid w:val="007A73BA"/>
    <w:rsid w:val="007A7C70"/>
    <w:rsid w:val="007B58A6"/>
    <w:rsid w:val="007B6A12"/>
    <w:rsid w:val="007C1BA2"/>
    <w:rsid w:val="007C2B48"/>
    <w:rsid w:val="007C3EEB"/>
    <w:rsid w:val="007D0438"/>
    <w:rsid w:val="007D20E9"/>
    <w:rsid w:val="007D2B36"/>
    <w:rsid w:val="007D6867"/>
    <w:rsid w:val="007D7881"/>
    <w:rsid w:val="007D7BF6"/>
    <w:rsid w:val="007D7E3A"/>
    <w:rsid w:val="007E0E10"/>
    <w:rsid w:val="007E2451"/>
    <w:rsid w:val="007E36AD"/>
    <w:rsid w:val="007E4768"/>
    <w:rsid w:val="007E777B"/>
    <w:rsid w:val="007F0217"/>
    <w:rsid w:val="007F021A"/>
    <w:rsid w:val="007F0787"/>
    <w:rsid w:val="007F195E"/>
    <w:rsid w:val="007F2070"/>
    <w:rsid w:val="007F5444"/>
    <w:rsid w:val="007F6268"/>
    <w:rsid w:val="007F63C1"/>
    <w:rsid w:val="0080038E"/>
    <w:rsid w:val="00804E2D"/>
    <w:rsid w:val="008053F5"/>
    <w:rsid w:val="00807AF7"/>
    <w:rsid w:val="00807FC4"/>
    <w:rsid w:val="00810198"/>
    <w:rsid w:val="00811634"/>
    <w:rsid w:val="008148E9"/>
    <w:rsid w:val="00815DA8"/>
    <w:rsid w:val="008171EC"/>
    <w:rsid w:val="0082194D"/>
    <w:rsid w:val="00821CD6"/>
    <w:rsid w:val="008221F9"/>
    <w:rsid w:val="00826EF5"/>
    <w:rsid w:val="00827556"/>
    <w:rsid w:val="00831693"/>
    <w:rsid w:val="00832FAD"/>
    <w:rsid w:val="00840104"/>
    <w:rsid w:val="00840C1F"/>
    <w:rsid w:val="008411C9"/>
    <w:rsid w:val="00841FC5"/>
    <w:rsid w:val="00844349"/>
    <w:rsid w:val="00845709"/>
    <w:rsid w:val="008462AC"/>
    <w:rsid w:val="0084746F"/>
    <w:rsid w:val="008545DA"/>
    <w:rsid w:val="008571E4"/>
    <w:rsid w:val="008576BD"/>
    <w:rsid w:val="00857EC7"/>
    <w:rsid w:val="00860463"/>
    <w:rsid w:val="0086109D"/>
    <w:rsid w:val="00861C0F"/>
    <w:rsid w:val="008631B8"/>
    <w:rsid w:val="0087000E"/>
    <w:rsid w:val="008733DA"/>
    <w:rsid w:val="008738BD"/>
    <w:rsid w:val="00875154"/>
    <w:rsid w:val="00875604"/>
    <w:rsid w:val="00875CF1"/>
    <w:rsid w:val="00881BD7"/>
    <w:rsid w:val="00884A79"/>
    <w:rsid w:val="008850E4"/>
    <w:rsid w:val="00885E92"/>
    <w:rsid w:val="008876C4"/>
    <w:rsid w:val="008923FE"/>
    <w:rsid w:val="0089397E"/>
    <w:rsid w:val="008939AB"/>
    <w:rsid w:val="00894919"/>
    <w:rsid w:val="0089797A"/>
    <w:rsid w:val="00897E5D"/>
    <w:rsid w:val="008A12F5"/>
    <w:rsid w:val="008A17B7"/>
    <w:rsid w:val="008A4B97"/>
    <w:rsid w:val="008A5CAE"/>
    <w:rsid w:val="008B0416"/>
    <w:rsid w:val="008B055A"/>
    <w:rsid w:val="008B1097"/>
    <w:rsid w:val="008B1587"/>
    <w:rsid w:val="008B1B01"/>
    <w:rsid w:val="008B3BCD"/>
    <w:rsid w:val="008B55E7"/>
    <w:rsid w:val="008B68C3"/>
    <w:rsid w:val="008B6DF8"/>
    <w:rsid w:val="008B7C6D"/>
    <w:rsid w:val="008C106C"/>
    <w:rsid w:val="008C10F1"/>
    <w:rsid w:val="008C1926"/>
    <w:rsid w:val="008C1E99"/>
    <w:rsid w:val="008C50A8"/>
    <w:rsid w:val="008C5606"/>
    <w:rsid w:val="008C68D9"/>
    <w:rsid w:val="008D03C6"/>
    <w:rsid w:val="008D5F74"/>
    <w:rsid w:val="008E0085"/>
    <w:rsid w:val="008E2AA6"/>
    <w:rsid w:val="008E311B"/>
    <w:rsid w:val="008E477F"/>
    <w:rsid w:val="008E666A"/>
    <w:rsid w:val="008F3917"/>
    <w:rsid w:val="008F46E7"/>
    <w:rsid w:val="008F478A"/>
    <w:rsid w:val="008F4BF3"/>
    <w:rsid w:val="008F6F0B"/>
    <w:rsid w:val="008F7251"/>
    <w:rsid w:val="008F74F9"/>
    <w:rsid w:val="00901B45"/>
    <w:rsid w:val="00907BA7"/>
    <w:rsid w:val="0091064E"/>
    <w:rsid w:val="00911FC5"/>
    <w:rsid w:val="0091309D"/>
    <w:rsid w:val="0091588D"/>
    <w:rsid w:val="00922276"/>
    <w:rsid w:val="0092637D"/>
    <w:rsid w:val="00931198"/>
    <w:rsid w:val="00931A10"/>
    <w:rsid w:val="0093267A"/>
    <w:rsid w:val="00933385"/>
    <w:rsid w:val="00935801"/>
    <w:rsid w:val="009430BE"/>
    <w:rsid w:val="00944BC7"/>
    <w:rsid w:val="00945894"/>
    <w:rsid w:val="0094648D"/>
    <w:rsid w:val="00947967"/>
    <w:rsid w:val="00947DB9"/>
    <w:rsid w:val="00952EB7"/>
    <w:rsid w:val="00954201"/>
    <w:rsid w:val="00954AB9"/>
    <w:rsid w:val="00955201"/>
    <w:rsid w:val="0095544A"/>
    <w:rsid w:val="0095725C"/>
    <w:rsid w:val="00957618"/>
    <w:rsid w:val="00961A8B"/>
    <w:rsid w:val="009638CF"/>
    <w:rsid w:val="00964540"/>
    <w:rsid w:val="009650B0"/>
    <w:rsid w:val="00965200"/>
    <w:rsid w:val="00965846"/>
    <w:rsid w:val="009668B3"/>
    <w:rsid w:val="009670B6"/>
    <w:rsid w:val="00970CD0"/>
    <w:rsid w:val="00971471"/>
    <w:rsid w:val="00972476"/>
    <w:rsid w:val="009743B1"/>
    <w:rsid w:val="0098041E"/>
    <w:rsid w:val="00982ED5"/>
    <w:rsid w:val="009849C2"/>
    <w:rsid w:val="00984D24"/>
    <w:rsid w:val="0098564F"/>
    <w:rsid w:val="009858EB"/>
    <w:rsid w:val="00991040"/>
    <w:rsid w:val="009A30CF"/>
    <w:rsid w:val="009A3F47"/>
    <w:rsid w:val="009A4FE3"/>
    <w:rsid w:val="009A6F51"/>
    <w:rsid w:val="009A7623"/>
    <w:rsid w:val="009B0046"/>
    <w:rsid w:val="009B1AEA"/>
    <w:rsid w:val="009B2FC7"/>
    <w:rsid w:val="009B38C1"/>
    <w:rsid w:val="009B6E74"/>
    <w:rsid w:val="009B796B"/>
    <w:rsid w:val="009C1440"/>
    <w:rsid w:val="009C2078"/>
    <w:rsid w:val="009C2107"/>
    <w:rsid w:val="009C4081"/>
    <w:rsid w:val="009C5D9E"/>
    <w:rsid w:val="009C7377"/>
    <w:rsid w:val="009D02F0"/>
    <w:rsid w:val="009D2C3E"/>
    <w:rsid w:val="009D3B89"/>
    <w:rsid w:val="009D429F"/>
    <w:rsid w:val="009E0625"/>
    <w:rsid w:val="009E3034"/>
    <w:rsid w:val="009E50F7"/>
    <w:rsid w:val="009E549F"/>
    <w:rsid w:val="009E692F"/>
    <w:rsid w:val="009F148B"/>
    <w:rsid w:val="009F28A8"/>
    <w:rsid w:val="009F4067"/>
    <w:rsid w:val="009F473E"/>
    <w:rsid w:val="009F5A59"/>
    <w:rsid w:val="009F5A5C"/>
    <w:rsid w:val="009F682A"/>
    <w:rsid w:val="00A022BE"/>
    <w:rsid w:val="00A02D1E"/>
    <w:rsid w:val="00A0475C"/>
    <w:rsid w:val="00A07B4B"/>
    <w:rsid w:val="00A13662"/>
    <w:rsid w:val="00A13F51"/>
    <w:rsid w:val="00A14C79"/>
    <w:rsid w:val="00A20D11"/>
    <w:rsid w:val="00A218AC"/>
    <w:rsid w:val="00A21D72"/>
    <w:rsid w:val="00A23C5D"/>
    <w:rsid w:val="00A24C95"/>
    <w:rsid w:val="00A2599A"/>
    <w:rsid w:val="00A26094"/>
    <w:rsid w:val="00A26D73"/>
    <w:rsid w:val="00A272E1"/>
    <w:rsid w:val="00A301BF"/>
    <w:rsid w:val="00A302B2"/>
    <w:rsid w:val="00A31587"/>
    <w:rsid w:val="00A331B4"/>
    <w:rsid w:val="00A3484E"/>
    <w:rsid w:val="00A34F84"/>
    <w:rsid w:val="00A34FE8"/>
    <w:rsid w:val="00A356D3"/>
    <w:rsid w:val="00A36ADA"/>
    <w:rsid w:val="00A422C0"/>
    <w:rsid w:val="00A438D8"/>
    <w:rsid w:val="00A44ADD"/>
    <w:rsid w:val="00A45341"/>
    <w:rsid w:val="00A473F5"/>
    <w:rsid w:val="00A47BB3"/>
    <w:rsid w:val="00A50210"/>
    <w:rsid w:val="00A50A03"/>
    <w:rsid w:val="00A5150B"/>
    <w:rsid w:val="00A51F9D"/>
    <w:rsid w:val="00A5416A"/>
    <w:rsid w:val="00A553CF"/>
    <w:rsid w:val="00A6336E"/>
    <w:rsid w:val="00A639F4"/>
    <w:rsid w:val="00A6533A"/>
    <w:rsid w:val="00A65BFD"/>
    <w:rsid w:val="00A675B0"/>
    <w:rsid w:val="00A74B74"/>
    <w:rsid w:val="00A81A32"/>
    <w:rsid w:val="00A835BD"/>
    <w:rsid w:val="00A8532C"/>
    <w:rsid w:val="00A87698"/>
    <w:rsid w:val="00A938F5"/>
    <w:rsid w:val="00A95DA9"/>
    <w:rsid w:val="00A97B15"/>
    <w:rsid w:val="00AA0C4A"/>
    <w:rsid w:val="00AA148A"/>
    <w:rsid w:val="00AA42D5"/>
    <w:rsid w:val="00AA59B9"/>
    <w:rsid w:val="00AB0110"/>
    <w:rsid w:val="00AB18E2"/>
    <w:rsid w:val="00AB2FAB"/>
    <w:rsid w:val="00AB4642"/>
    <w:rsid w:val="00AB569D"/>
    <w:rsid w:val="00AB5C14"/>
    <w:rsid w:val="00AB65F1"/>
    <w:rsid w:val="00AC070C"/>
    <w:rsid w:val="00AC1EE7"/>
    <w:rsid w:val="00AC2ED6"/>
    <w:rsid w:val="00AC333F"/>
    <w:rsid w:val="00AC5703"/>
    <w:rsid w:val="00AC585C"/>
    <w:rsid w:val="00AC5DAB"/>
    <w:rsid w:val="00AD1925"/>
    <w:rsid w:val="00AD39BD"/>
    <w:rsid w:val="00AE067D"/>
    <w:rsid w:val="00AE106F"/>
    <w:rsid w:val="00AE229A"/>
    <w:rsid w:val="00AE4C8E"/>
    <w:rsid w:val="00AF1181"/>
    <w:rsid w:val="00AF2F79"/>
    <w:rsid w:val="00AF4653"/>
    <w:rsid w:val="00AF64FB"/>
    <w:rsid w:val="00AF76C6"/>
    <w:rsid w:val="00AF7DB7"/>
    <w:rsid w:val="00B01FB9"/>
    <w:rsid w:val="00B07CBC"/>
    <w:rsid w:val="00B07D77"/>
    <w:rsid w:val="00B10834"/>
    <w:rsid w:val="00B10D02"/>
    <w:rsid w:val="00B12082"/>
    <w:rsid w:val="00B12673"/>
    <w:rsid w:val="00B12A9F"/>
    <w:rsid w:val="00B13678"/>
    <w:rsid w:val="00B201E2"/>
    <w:rsid w:val="00B25339"/>
    <w:rsid w:val="00B25604"/>
    <w:rsid w:val="00B26EBB"/>
    <w:rsid w:val="00B33360"/>
    <w:rsid w:val="00B37430"/>
    <w:rsid w:val="00B40212"/>
    <w:rsid w:val="00B40A7D"/>
    <w:rsid w:val="00B43135"/>
    <w:rsid w:val="00B443E4"/>
    <w:rsid w:val="00B44E29"/>
    <w:rsid w:val="00B4579F"/>
    <w:rsid w:val="00B50B50"/>
    <w:rsid w:val="00B513D3"/>
    <w:rsid w:val="00B5484D"/>
    <w:rsid w:val="00B54967"/>
    <w:rsid w:val="00B563EA"/>
    <w:rsid w:val="00B56CDF"/>
    <w:rsid w:val="00B60E51"/>
    <w:rsid w:val="00B63A54"/>
    <w:rsid w:val="00B6416E"/>
    <w:rsid w:val="00B65B5D"/>
    <w:rsid w:val="00B664DA"/>
    <w:rsid w:val="00B66BCE"/>
    <w:rsid w:val="00B672F5"/>
    <w:rsid w:val="00B709E6"/>
    <w:rsid w:val="00B73F2B"/>
    <w:rsid w:val="00B742C2"/>
    <w:rsid w:val="00B76A5C"/>
    <w:rsid w:val="00B77D18"/>
    <w:rsid w:val="00B8085C"/>
    <w:rsid w:val="00B80F20"/>
    <w:rsid w:val="00B8217C"/>
    <w:rsid w:val="00B8313A"/>
    <w:rsid w:val="00B85E26"/>
    <w:rsid w:val="00B87942"/>
    <w:rsid w:val="00B87C5F"/>
    <w:rsid w:val="00B934E8"/>
    <w:rsid w:val="00B93503"/>
    <w:rsid w:val="00B945D1"/>
    <w:rsid w:val="00BA1921"/>
    <w:rsid w:val="00BA31E8"/>
    <w:rsid w:val="00BA55E0"/>
    <w:rsid w:val="00BA669E"/>
    <w:rsid w:val="00BA6BD4"/>
    <w:rsid w:val="00BA6C7A"/>
    <w:rsid w:val="00BB17D1"/>
    <w:rsid w:val="00BB2865"/>
    <w:rsid w:val="00BB36B6"/>
    <w:rsid w:val="00BB3752"/>
    <w:rsid w:val="00BB38E9"/>
    <w:rsid w:val="00BB58AD"/>
    <w:rsid w:val="00BB6688"/>
    <w:rsid w:val="00BB79E3"/>
    <w:rsid w:val="00BC1237"/>
    <w:rsid w:val="00BC26D4"/>
    <w:rsid w:val="00BC64C1"/>
    <w:rsid w:val="00BC7258"/>
    <w:rsid w:val="00BD720D"/>
    <w:rsid w:val="00BE0C80"/>
    <w:rsid w:val="00BE1539"/>
    <w:rsid w:val="00BE4D6B"/>
    <w:rsid w:val="00BE4FC2"/>
    <w:rsid w:val="00BE6D19"/>
    <w:rsid w:val="00BF2A42"/>
    <w:rsid w:val="00BF2CB7"/>
    <w:rsid w:val="00BF35B6"/>
    <w:rsid w:val="00BF45F5"/>
    <w:rsid w:val="00BF4BE3"/>
    <w:rsid w:val="00BF75AF"/>
    <w:rsid w:val="00BF7652"/>
    <w:rsid w:val="00C03D8C"/>
    <w:rsid w:val="00C055EC"/>
    <w:rsid w:val="00C061A9"/>
    <w:rsid w:val="00C079FB"/>
    <w:rsid w:val="00C10DC9"/>
    <w:rsid w:val="00C12FB3"/>
    <w:rsid w:val="00C13D36"/>
    <w:rsid w:val="00C17341"/>
    <w:rsid w:val="00C1754D"/>
    <w:rsid w:val="00C2066A"/>
    <w:rsid w:val="00C22689"/>
    <w:rsid w:val="00C24EEF"/>
    <w:rsid w:val="00C25766"/>
    <w:rsid w:val="00C25CF6"/>
    <w:rsid w:val="00C267A3"/>
    <w:rsid w:val="00C26C36"/>
    <w:rsid w:val="00C32768"/>
    <w:rsid w:val="00C34C89"/>
    <w:rsid w:val="00C34DCB"/>
    <w:rsid w:val="00C3562A"/>
    <w:rsid w:val="00C3608C"/>
    <w:rsid w:val="00C431DF"/>
    <w:rsid w:val="00C456BD"/>
    <w:rsid w:val="00C47B48"/>
    <w:rsid w:val="00C50842"/>
    <w:rsid w:val="00C52D3D"/>
    <w:rsid w:val="00C530DC"/>
    <w:rsid w:val="00C5350D"/>
    <w:rsid w:val="00C54081"/>
    <w:rsid w:val="00C56A3D"/>
    <w:rsid w:val="00C6123C"/>
    <w:rsid w:val="00C61969"/>
    <w:rsid w:val="00C6311A"/>
    <w:rsid w:val="00C65E26"/>
    <w:rsid w:val="00C66EC3"/>
    <w:rsid w:val="00C7084D"/>
    <w:rsid w:val="00C72502"/>
    <w:rsid w:val="00C7315E"/>
    <w:rsid w:val="00C73C62"/>
    <w:rsid w:val="00C74EC0"/>
    <w:rsid w:val="00C75895"/>
    <w:rsid w:val="00C76247"/>
    <w:rsid w:val="00C7777B"/>
    <w:rsid w:val="00C81240"/>
    <w:rsid w:val="00C8229A"/>
    <w:rsid w:val="00C82AC7"/>
    <w:rsid w:val="00C83C9F"/>
    <w:rsid w:val="00C85DCE"/>
    <w:rsid w:val="00C86961"/>
    <w:rsid w:val="00C934C2"/>
    <w:rsid w:val="00C94840"/>
    <w:rsid w:val="00CA4BF4"/>
    <w:rsid w:val="00CA4EE3"/>
    <w:rsid w:val="00CB027F"/>
    <w:rsid w:val="00CB2C1B"/>
    <w:rsid w:val="00CB5AD3"/>
    <w:rsid w:val="00CC0CB8"/>
    <w:rsid w:val="00CC0EBB"/>
    <w:rsid w:val="00CC0F8E"/>
    <w:rsid w:val="00CC4F37"/>
    <w:rsid w:val="00CC6297"/>
    <w:rsid w:val="00CC70D6"/>
    <w:rsid w:val="00CC7690"/>
    <w:rsid w:val="00CD01D1"/>
    <w:rsid w:val="00CD1753"/>
    <w:rsid w:val="00CD1986"/>
    <w:rsid w:val="00CD2597"/>
    <w:rsid w:val="00CD45B4"/>
    <w:rsid w:val="00CD493F"/>
    <w:rsid w:val="00CD54BF"/>
    <w:rsid w:val="00CE4C12"/>
    <w:rsid w:val="00CE4D5C"/>
    <w:rsid w:val="00CF05DA"/>
    <w:rsid w:val="00CF0DB8"/>
    <w:rsid w:val="00CF180A"/>
    <w:rsid w:val="00CF2634"/>
    <w:rsid w:val="00CF2EF0"/>
    <w:rsid w:val="00CF58EB"/>
    <w:rsid w:val="00CF6FEC"/>
    <w:rsid w:val="00CF754C"/>
    <w:rsid w:val="00D0106E"/>
    <w:rsid w:val="00D013FC"/>
    <w:rsid w:val="00D027A4"/>
    <w:rsid w:val="00D04626"/>
    <w:rsid w:val="00D06383"/>
    <w:rsid w:val="00D06D07"/>
    <w:rsid w:val="00D11666"/>
    <w:rsid w:val="00D11B69"/>
    <w:rsid w:val="00D12B2E"/>
    <w:rsid w:val="00D14465"/>
    <w:rsid w:val="00D15CF8"/>
    <w:rsid w:val="00D160C4"/>
    <w:rsid w:val="00D20E85"/>
    <w:rsid w:val="00D2226B"/>
    <w:rsid w:val="00D23BED"/>
    <w:rsid w:val="00D24615"/>
    <w:rsid w:val="00D25CEE"/>
    <w:rsid w:val="00D31180"/>
    <w:rsid w:val="00D315CD"/>
    <w:rsid w:val="00D31C11"/>
    <w:rsid w:val="00D325EA"/>
    <w:rsid w:val="00D32F84"/>
    <w:rsid w:val="00D33CCB"/>
    <w:rsid w:val="00D37842"/>
    <w:rsid w:val="00D42DC2"/>
    <w:rsid w:val="00D4302B"/>
    <w:rsid w:val="00D43039"/>
    <w:rsid w:val="00D46BF0"/>
    <w:rsid w:val="00D46CD5"/>
    <w:rsid w:val="00D46EDF"/>
    <w:rsid w:val="00D516FB"/>
    <w:rsid w:val="00D537E1"/>
    <w:rsid w:val="00D54C1F"/>
    <w:rsid w:val="00D55B75"/>
    <w:rsid w:val="00D55BB2"/>
    <w:rsid w:val="00D567D6"/>
    <w:rsid w:val="00D56E29"/>
    <w:rsid w:val="00D6091A"/>
    <w:rsid w:val="00D625A5"/>
    <w:rsid w:val="00D62D70"/>
    <w:rsid w:val="00D65866"/>
    <w:rsid w:val="00D6605A"/>
    <w:rsid w:val="00D6695F"/>
    <w:rsid w:val="00D70FF2"/>
    <w:rsid w:val="00D72335"/>
    <w:rsid w:val="00D72B2E"/>
    <w:rsid w:val="00D7312A"/>
    <w:rsid w:val="00D75644"/>
    <w:rsid w:val="00D757AE"/>
    <w:rsid w:val="00D8073A"/>
    <w:rsid w:val="00D80D9C"/>
    <w:rsid w:val="00D81656"/>
    <w:rsid w:val="00D828EB"/>
    <w:rsid w:val="00D82EF2"/>
    <w:rsid w:val="00D83D87"/>
    <w:rsid w:val="00D83E9E"/>
    <w:rsid w:val="00D84A6D"/>
    <w:rsid w:val="00D8517A"/>
    <w:rsid w:val="00D86067"/>
    <w:rsid w:val="00D8666E"/>
    <w:rsid w:val="00D86A30"/>
    <w:rsid w:val="00D876DF"/>
    <w:rsid w:val="00D94243"/>
    <w:rsid w:val="00D947EB"/>
    <w:rsid w:val="00D9593B"/>
    <w:rsid w:val="00D97CB4"/>
    <w:rsid w:val="00D97DD4"/>
    <w:rsid w:val="00DA176E"/>
    <w:rsid w:val="00DA52C8"/>
    <w:rsid w:val="00DA5A8A"/>
    <w:rsid w:val="00DB1170"/>
    <w:rsid w:val="00DB1E42"/>
    <w:rsid w:val="00DB20FB"/>
    <w:rsid w:val="00DB26CD"/>
    <w:rsid w:val="00DB441C"/>
    <w:rsid w:val="00DB44AF"/>
    <w:rsid w:val="00DB457A"/>
    <w:rsid w:val="00DB63E2"/>
    <w:rsid w:val="00DC09E8"/>
    <w:rsid w:val="00DC1F58"/>
    <w:rsid w:val="00DC339B"/>
    <w:rsid w:val="00DC506B"/>
    <w:rsid w:val="00DC5D40"/>
    <w:rsid w:val="00DC69A7"/>
    <w:rsid w:val="00DD1489"/>
    <w:rsid w:val="00DD1724"/>
    <w:rsid w:val="00DD30E9"/>
    <w:rsid w:val="00DD4F47"/>
    <w:rsid w:val="00DD5DE8"/>
    <w:rsid w:val="00DD7FBB"/>
    <w:rsid w:val="00DE0B9F"/>
    <w:rsid w:val="00DE24FA"/>
    <w:rsid w:val="00DE26CD"/>
    <w:rsid w:val="00DE2A9E"/>
    <w:rsid w:val="00DE3B03"/>
    <w:rsid w:val="00DE4238"/>
    <w:rsid w:val="00DE54AF"/>
    <w:rsid w:val="00DE657F"/>
    <w:rsid w:val="00DE7048"/>
    <w:rsid w:val="00DF1218"/>
    <w:rsid w:val="00DF1934"/>
    <w:rsid w:val="00DF1BEF"/>
    <w:rsid w:val="00DF1E4A"/>
    <w:rsid w:val="00DF3A1E"/>
    <w:rsid w:val="00DF3AB7"/>
    <w:rsid w:val="00DF4526"/>
    <w:rsid w:val="00DF46D9"/>
    <w:rsid w:val="00DF6332"/>
    <w:rsid w:val="00DF6462"/>
    <w:rsid w:val="00DF68F6"/>
    <w:rsid w:val="00E00BA8"/>
    <w:rsid w:val="00E01125"/>
    <w:rsid w:val="00E02FA0"/>
    <w:rsid w:val="00E036DC"/>
    <w:rsid w:val="00E047ED"/>
    <w:rsid w:val="00E056C1"/>
    <w:rsid w:val="00E06166"/>
    <w:rsid w:val="00E10454"/>
    <w:rsid w:val="00E112E5"/>
    <w:rsid w:val="00E122D8"/>
    <w:rsid w:val="00E12CC8"/>
    <w:rsid w:val="00E15352"/>
    <w:rsid w:val="00E15D54"/>
    <w:rsid w:val="00E16FB4"/>
    <w:rsid w:val="00E2091D"/>
    <w:rsid w:val="00E20924"/>
    <w:rsid w:val="00E21CC7"/>
    <w:rsid w:val="00E24C0D"/>
    <w:rsid w:val="00E24D9E"/>
    <w:rsid w:val="00E25849"/>
    <w:rsid w:val="00E30B44"/>
    <w:rsid w:val="00E30F14"/>
    <w:rsid w:val="00E3197E"/>
    <w:rsid w:val="00E342F8"/>
    <w:rsid w:val="00E351ED"/>
    <w:rsid w:val="00E402E8"/>
    <w:rsid w:val="00E43002"/>
    <w:rsid w:val="00E44055"/>
    <w:rsid w:val="00E45CAB"/>
    <w:rsid w:val="00E46090"/>
    <w:rsid w:val="00E476E9"/>
    <w:rsid w:val="00E5022F"/>
    <w:rsid w:val="00E51F27"/>
    <w:rsid w:val="00E52235"/>
    <w:rsid w:val="00E53F52"/>
    <w:rsid w:val="00E56779"/>
    <w:rsid w:val="00E5718C"/>
    <w:rsid w:val="00E6034B"/>
    <w:rsid w:val="00E6549E"/>
    <w:rsid w:val="00E657FA"/>
    <w:rsid w:val="00E65E38"/>
    <w:rsid w:val="00E65EDE"/>
    <w:rsid w:val="00E70F81"/>
    <w:rsid w:val="00E75858"/>
    <w:rsid w:val="00E77055"/>
    <w:rsid w:val="00E77460"/>
    <w:rsid w:val="00E778A5"/>
    <w:rsid w:val="00E8015F"/>
    <w:rsid w:val="00E818F5"/>
    <w:rsid w:val="00E81A7F"/>
    <w:rsid w:val="00E82DAD"/>
    <w:rsid w:val="00E837D9"/>
    <w:rsid w:val="00E83ABC"/>
    <w:rsid w:val="00E844F2"/>
    <w:rsid w:val="00E86B28"/>
    <w:rsid w:val="00E90AD0"/>
    <w:rsid w:val="00E9144A"/>
    <w:rsid w:val="00E9157D"/>
    <w:rsid w:val="00E92FCB"/>
    <w:rsid w:val="00E97335"/>
    <w:rsid w:val="00EA1406"/>
    <w:rsid w:val="00EA147F"/>
    <w:rsid w:val="00EA3F1D"/>
    <w:rsid w:val="00EA4A27"/>
    <w:rsid w:val="00EA4FA6"/>
    <w:rsid w:val="00EA5334"/>
    <w:rsid w:val="00EA6060"/>
    <w:rsid w:val="00EA7194"/>
    <w:rsid w:val="00EA7254"/>
    <w:rsid w:val="00EA72DE"/>
    <w:rsid w:val="00EB0F4E"/>
    <w:rsid w:val="00EB1A25"/>
    <w:rsid w:val="00EB52F7"/>
    <w:rsid w:val="00EC359E"/>
    <w:rsid w:val="00EC5234"/>
    <w:rsid w:val="00EC7363"/>
    <w:rsid w:val="00ED03AB"/>
    <w:rsid w:val="00ED11D9"/>
    <w:rsid w:val="00ED1963"/>
    <w:rsid w:val="00ED1B25"/>
    <w:rsid w:val="00ED1B5A"/>
    <w:rsid w:val="00ED1CD4"/>
    <w:rsid w:val="00ED1D2B"/>
    <w:rsid w:val="00ED2674"/>
    <w:rsid w:val="00ED411F"/>
    <w:rsid w:val="00ED4654"/>
    <w:rsid w:val="00ED4FCE"/>
    <w:rsid w:val="00ED64B5"/>
    <w:rsid w:val="00EE7CCA"/>
    <w:rsid w:val="00EF0F08"/>
    <w:rsid w:val="00EF18F5"/>
    <w:rsid w:val="00EF2524"/>
    <w:rsid w:val="00F022D1"/>
    <w:rsid w:val="00F05C24"/>
    <w:rsid w:val="00F06623"/>
    <w:rsid w:val="00F102E4"/>
    <w:rsid w:val="00F1094D"/>
    <w:rsid w:val="00F10A9B"/>
    <w:rsid w:val="00F1396F"/>
    <w:rsid w:val="00F16A14"/>
    <w:rsid w:val="00F17717"/>
    <w:rsid w:val="00F23056"/>
    <w:rsid w:val="00F30FC3"/>
    <w:rsid w:val="00F31D82"/>
    <w:rsid w:val="00F33EA9"/>
    <w:rsid w:val="00F34713"/>
    <w:rsid w:val="00F362D7"/>
    <w:rsid w:val="00F37D7B"/>
    <w:rsid w:val="00F405F5"/>
    <w:rsid w:val="00F42B17"/>
    <w:rsid w:val="00F52C03"/>
    <w:rsid w:val="00F5314C"/>
    <w:rsid w:val="00F553DC"/>
    <w:rsid w:val="00F5688C"/>
    <w:rsid w:val="00F60048"/>
    <w:rsid w:val="00F635DD"/>
    <w:rsid w:val="00F63E66"/>
    <w:rsid w:val="00F6627B"/>
    <w:rsid w:val="00F66BE6"/>
    <w:rsid w:val="00F71976"/>
    <w:rsid w:val="00F7336E"/>
    <w:rsid w:val="00F734F2"/>
    <w:rsid w:val="00F75052"/>
    <w:rsid w:val="00F759D5"/>
    <w:rsid w:val="00F77313"/>
    <w:rsid w:val="00F779F4"/>
    <w:rsid w:val="00F800F0"/>
    <w:rsid w:val="00F804D3"/>
    <w:rsid w:val="00F816CB"/>
    <w:rsid w:val="00F81CD2"/>
    <w:rsid w:val="00F82641"/>
    <w:rsid w:val="00F830B2"/>
    <w:rsid w:val="00F839D3"/>
    <w:rsid w:val="00F84977"/>
    <w:rsid w:val="00F85315"/>
    <w:rsid w:val="00F9020E"/>
    <w:rsid w:val="00F90F18"/>
    <w:rsid w:val="00F9254A"/>
    <w:rsid w:val="00F937E4"/>
    <w:rsid w:val="00F95EE7"/>
    <w:rsid w:val="00FA2C19"/>
    <w:rsid w:val="00FA39DC"/>
    <w:rsid w:val="00FA39E6"/>
    <w:rsid w:val="00FA3B80"/>
    <w:rsid w:val="00FA4469"/>
    <w:rsid w:val="00FA4738"/>
    <w:rsid w:val="00FA5CA0"/>
    <w:rsid w:val="00FA61CC"/>
    <w:rsid w:val="00FA6313"/>
    <w:rsid w:val="00FA7BC9"/>
    <w:rsid w:val="00FB0D0B"/>
    <w:rsid w:val="00FB1326"/>
    <w:rsid w:val="00FB378E"/>
    <w:rsid w:val="00FB37F1"/>
    <w:rsid w:val="00FB47C0"/>
    <w:rsid w:val="00FB501B"/>
    <w:rsid w:val="00FB65AD"/>
    <w:rsid w:val="00FB72E2"/>
    <w:rsid w:val="00FB7770"/>
    <w:rsid w:val="00FC2745"/>
    <w:rsid w:val="00FC44AB"/>
    <w:rsid w:val="00FC7077"/>
    <w:rsid w:val="00FD38F9"/>
    <w:rsid w:val="00FD3B91"/>
    <w:rsid w:val="00FD45A7"/>
    <w:rsid w:val="00FD576B"/>
    <w:rsid w:val="00FD579E"/>
    <w:rsid w:val="00FD6845"/>
    <w:rsid w:val="00FD6FCB"/>
    <w:rsid w:val="00FE25DE"/>
    <w:rsid w:val="00FE4516"/>
    <w:rsid w:val="00FE55F3"/>
    <w:rsid w:val="00FE64C8"/>
    <w:rsid w:val="00FF1373"/>
    <w:rsid w:val="00FF2682"/>
    <w:rsid w:val="00FF5166"/>
    <w:rsid w:val="00FF53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CFD819-0CA9-43FE-891E-0209E640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19F3"/>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D8073A"/>
    <w:pPr>
      <w:snapToGrid w:val="0"/>
      <w:jc w:val="left"/>
    </w:pPr>
    <w:rPr>
      <w:sz w:val="20"/>
    </w:rPr>
  </w:style>
  <w:style w:type="character" w:customStyle="1" w:styleId="afd">
    <w:name w:val="註腳文字 字元"/>
    <w:basedOn w:val="a7"/>
    <w:link w:val="afc"/>
    <w:uiPriority w:val="99"/>
    <w:semiHidden/>
    <w:rsid w:val="00D8073A"/>
    <w:rPr>
      <w:rFonts w:ascii="標楷體" w:eastAsia="標楷體"/>
      <w:kern w:val="2"/>
    </w:rPr>
  </w:style>
  <w:style w:type="character" w:styleId="afe">
    <w:name w:val="footnote reference"/>
    <w:basedOn w:val="a7"/>
    <w:uiPriority w:val="99"/>
    <w:semiHidden/>
    <w:unhideWhenUsed/>
    <w:rsid w:val="00D8073A"/>
    <w:rPr>
      <w:vertAlign w:val="superscript"/>
    </w:rPr>
  </w:style>
  <w:style w:type="character" w:customStyle="1" w:styleId="40">
    <w:name w:val="標題 4 字元"/>
    <w:basedOn w:val="a7"/>
    <w:link w:val="4"/>
    <w:rsid w:val="005D6D1F"/>
    <w:rPr>
      <w:rFonts w:ascii="標楷體" w:eastAsia="標楷體" w:hAnsi="Arial"/>
      <w:kern w:val="32"/>
      <w:sz w:val="32"/>
      <w:szCs w:val="36"/>
    </w:rPr>
  </w:style>
  <w:style w:type="table" w:customStyle="1" w:styleId="13">
    <w:name w:val="表格格線1"/>
    <w:basedOn w:val="a8"/>
    <w:next w:val="af6"/>
    <w:uiPriority w:val="39"/>
    <w:rsid w:val="00EA3F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endnote reference"/>
    <w:basedOn w:val="a7"/>
    <w:uiPriority w:val="99"/>
    <w:semiHidden/>
    <w:unhideWhenUsed/>
    <w:rsid w:val="00235924"/>
    <w:rPr>
      <w:vertAlign w:val="superscript"/>
    </w:rPr>
  </w:style>
  <w:style w:type="paragraph" w:styleId="Web">
    <w:name w:val="Normal (Web)"/>
    <w:basedOn w:val="a6"/>
    <w:unhideWhenUsed/>
    <w:rsid w:val="0023592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6E0F40"/>
    <w:pPr>
      <w:widowControl w:val="0"/>
      <w:autoSpaceDE w:val="0"/>
      <w:autoSpaceDN w:val="0"/>
      <w:adjustRightInd w:val="0"/>
    </w:pPr>
    <w:rPr>
      <w:rFonts w:ascii="標楷體.焊.蠀." w:eastAsia="標楷體.焊.蠀." w:cs="標楷體.焊.蠀."/>
      <w:color w:val="000000"/>
      <w:sz w:val="24"/>
      <w:szCs w:val="24"/>
    </w:rPr>
  </w:style>
  <w:style w:type="character" w:customStyle="1" w:styleId="30">
    <w:name w:val="標題 3 字元"/>
    <w:basedOn w:val="a7"/>
    <w:link w:val="3"/>
    <w:rsid w:val="00681536"/>
    <w:rPr>
      <w:rFonts w:ascii="標楷體" w:eastAsia="標楷體" w:hAnsi="Arial"/>
      <w:bCs/>
      <w:kern w:val="32"/>
      <w:sz w:val="32"/>
      <w:szCs w:val="36"/>
    </w:rPr>
  </w:style>
  <w:style w:type="character" w:customStyle="1" w:styleId="50">
    <w:name w:val="標題 5 字元"/>
    <w:basedOn w:val="a7"/>
    <w:link w:val="5"/>
    <w:rsid w:val="00681536"/>
    <w:rPr>
      <w:rFonts w:ascii="標楷體" w:eastAsia="標楷體" w:hAnsi="Arial"/>
      <w:bCs/>
      <w:kern w:val="32"/>
      <w:sz w:val="32"/>
      <w:szCs w:val="36"/>
    </w:rPr>
  </w:style>
  <w:style w:type="character" w:customStyle="1" w:styleId="60">
    <w:name w:val="標題 6 字元"/>
    <w:basedOn w:val="a7"/>
    <w:link w:val="6"/>
    <w:rsid w:val="00681536"/>
    <w:rPr>
      <w:rFonts w:ascii="標楷體" w:eastAsia="標楷體" w:hAnsi="Arial"/>
      <w:kern w:val="32"/>
      <w:sz w:val="32"/>
      <w:szCs w:val="36"/>
    </w:rPr>
  </w:style>
  <w:style w:type="character" w:styleId="aff0">
    <w:name w:val="FollowedHyperlink"/>
    <w:basedOn w:val="a7"/>
    <w:uiPriority w:val="99"/>
    <w:semiHidden/>
    <w:unhideWhenUsed/>
    <w:rsid w:val="00DE26CD"/>
    <w:rPr>
      <w:color w:val="800080" w:themeColor="followedHyperlink"/>
      <w:u w:val="single"/>
    </w:rPr>
  </w:style>
  <w:style w:type="paragraph" w:customStyle="1" w:styleId="15">
    <w:name w:val="清單段落1"/>
    <w:basedOn w:val="a6"/>
    <w:uiPriority w:val="99"/>
    <w:rsid w:val="001E1D2B"/>
    <w:pPr>
      <w:overflowPunct/>
      <w:autoSpaceDE/>
      <w:autoSpaceDN/>
      <w:ind w:leftChars="200" w:left="480"/>
      <w:jc w:val="left"/>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0422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26529500">
      <w:bodyDiv w:val="1"/>
      <w:marLeft w:val="0"/>
      <w:marRight w:val="0"/>
      <w:marTop w:val="0"/>
      <w:marBottom w:val="0"/>
      <w:divBdr>
        <w:top w:val="none" w:sz="0" w:space="0" w:color="auto"/>
        <w:left w:val="none" w:sz="0" w:space="0" w:color="auto"/>
        <w:bottom w:val="none" w:sz="0" w:space="0" w:color="auto"/>
        <w:right w:val="none" w:sz="0" w:space="0" w:color="auto"/>
      </w:divBdr>
    </w:div>
    <w:div w:id="1679579575">
      <w:bodyDiv w:val="1"/>
      <w:marLeft w:val="0"/>
      <w:marRight w:val="0"/>
      <w:marTop w:val="0"/>
      <w:marBottom w:val="0"/>
      <w:divBdr>
        <w:top w:val="none" w:sz="0" w:space="0" w:color="auto"/>
        <w:left w:val="none" w:sz="0" w:space="0" w:color="auto"/>
        <w:bottom w:val="none" w:sz="0" w:space="0" w:color="auto"/>
        <w:right w:val="none" w:sz="0" w:space="0" w:color="auto"/>
      </w:divBdr>
    </w:div>
    <w:div w:id="187730850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4429-660F-42D7-BAB7-18CE3675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23</Pages>
  <Words>6971</Words>
  <Characters>7250</Characters>
  <Application>Microsoft Office Word</Application>
  <DocSecurity>0</DocSecurity>
  <Lines>402</Lines>
  <Paragraphs>145</Paragraphs>
  <ScaleCrop>false</ScaleCrop>
  <Company>cy</Company>
  <LinksUpToDate>false</LinksUpToDate>
  <CharactersWithSpaces>14076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王心芬</dc:creator>
  <cp:lastModifiedBy>謝琦瑛</cp:lastModifiedBy>
  <cp:revision>2</cp:revision>
  <cp:lastPrinted>2018-04-02T09:28:00Z</cp:lastPrinted>
  <dcterms:created xsi:type="dcterms:W3CDTF">2019-04-23T08:52:00Z</dcterms:created>
  <dcterms:modified xsi:type="dcterms:W3CDTF">2019-04-23T08:52:00Z</dcterms:modified>
</cp:coreProperties>
</file>