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261E3C" w:rsidRDefault="00D75644" w:rsidP="00F37D7B">
      <w:pPr>
        <w:pStyle w:val="af3"/>
      </w:pPr>
      <w:r w:rsidRPr="00261E3C">
        <w:rPr>
          <w:rFonts w:hint="eastAsia"/>
        </w:rPr>
        <w:t>調查報告</w:t>
      </w:r>
    </w:p>
    <w:p w:rsidR="00E25849" w:rsidRPr="00261E3C" w:rsidRDefault="00E25849" w:rsidP="00330DE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09996736"/>
      <w:r w:rsidRPr="00261E3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roofErr w:type="gramStart"/>
      <w:r w:rsidR="00330DE7" w:rsidRPr="00261E3C">
        <w:rPr>
          <w:rFonts w:hint="eastAsia"/>
        </w:rPr>
        <w:t>文化部為提升</w:t>
      </w:r>
      <w:proofErr w:type="gramEnd"/>
      <w:r w:rsidR="00330DE7" w:rsidRPr="00261E3C">
        <w:rPr>
          <w:rFonts w:hint="eastAsia"/>
        </w:rPr>
        <w:t>出版產業競爭力，推動圖文出版發展及輔導數位出版產業等計畫，惟我國圖書出版產值仍大幅衰退，且數位出版市場規模亦縮小及上網閱讀仍以免費資訊為主</w:t>
      </w:r>
      <w:proofErr w:type="gramStart"/>
      <w:r w:rsidR="00330DE7" w:rsidRPr="00261E3C">
        <w:rPr>
          <w:rFonts w:hint="eastAsia"/>
        </w:rPr>
        <w:t>等情案</w:t>
      </w:r>
      <w:proofErr w:type="gramEnd"/>
      <w:r w:rsidR="00330DE7" w:rsidRPr="00261E3C">
        <w:rPr>
          <w:rFonts w:hint="eastAsia"/>
        </w:rPr>
        <w:t>。</w:t>
      </w:r>
      <w:bookmarkEnd w:id="24"/>
    </w:p>
    <w:p w:rsidR="00E25849" w:rsidRPr="00261E3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09996783"/>
      <w:r w:rsidRPr="00261E3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073CB5" w:rsidRPr="00261E3C" w:rsidRDefault="002C47E7" w:rsidP="00196628">
      <w:pPr>
        <w:pStyle w:val="2"/>
      </w:pPr>
      <w:bookmarkStart w:id="49" w:name="_Toc421794873"/>
      <w:bookmarkStart w:id="50" w:name="_Toc509827256"/>
      <w:bookmarkStart w:id="51" w:name="_Toc509996784"/>
      <w:bookmarkStart w:id="52" w:name="_Toc524902730"/>
      <w:r w:rsidRPr="00261E3C">
        <w:rPr>
          <w:rFonts w:hint="eastAsia"/>
          <w:b/>
        </w:rPr>
        <w:t>文化為國家重要軟實力的體現，</w:t>
      </w:r>
      <w:r w:rsidR="00236155" w:rsidRPr="00261E3C">
        <w:rPr>
          <w:rFonts w:hint="eastAsia"/>
          <w:b/>
        </w:rPr>
        <w:t>亦為國力長期紮根</w:t>
      </w:r>
      <w:r w:rsidR="008C6981" w:rsidRPr="00261E3C">
        <w:rPr>
          <w:rFonts w:hint="eastAsia"/>
          <w:b/>
        </w:rPr>
        <w:t>的</w:t>
      </w:r>
      <w:r w:rsidR="00236155" w:rsidRPr="00261E3C">
        <w:rPr>
          <w:rFonts w:hint="eastAsia"/>
          <w:b/>
        </w:rPr>
        <w:t>基礎，而</w:t>
      </w:r>
      <w:r w:rsidR="00237387" w:rsidRPr="00261E3C">
        <w:rPr>
          <w:rFonts w:hint="eastAsia"/>
          <w:b/>
        </w:rPr>
        <w:t>出版業</w:t>
      </w:r>
      <w:r w:rsidR="00196628" w:rsidRPr="00261E3C">
        <w:rPr>
          <w:rFonts w:hint="eastAsia"/>
          <w:b/>
        </w:rPr>
        <w:t>近年產值衰退</w:t>
      </w:r>
      <w:bookmarkEnd w:id="49"/>
      <w:bookmarkEnd w:id="50"/>
      <w:r w:rsidR="006349A4" w:rsidRPr="00261E3C">
        <w:rPr>
          <w:rFonts w:hint="eastAsia"/>
          <w:b/>
        </w:rPr>
        <w:t>，</w:t>
      </w:r>
      <w:r w:rsidR="00261E3C" w:rsidRPr="00261E3C">
        <w:rPr>
          <w:rFonts w:hint="eastAsia"/>
          <w:b/>
        </w:rPr>
        <w:t>出</w:t>
      </w:r>
      <w:r w:rsidR="00236155" w:rsidRPr="00261E3C">
        <w:rPr>
          <w:rFonts w:hint="eastAsia"/>
          <w:b/>
        </w:rPr>
        <w:t>現</w:t>
      </w:r>
      <w:r w:rsidR="006349A4" w:rsidRPr="00261E3C">
        <w:rPr>
          <w:rFonts w:hint="eastAsia"/>
          <w:b/>
        </w:rPr>
        <w:t>重要警訊，</w:t>
      </w:r>
      <w:proofErr w:type="gramStart"/>
      <w:r w:rsidR="0053167F" w:rsidRPr="00261E3C">
        <w:rPr>
          <w:rFonts w:hint="eastAsia"/>
          <w:b/>
        </w:rPr>
        <w:t>文化部允應</w:t>
      </w:r>
      <w:proofErr w:type="gramEnd"/>
      <w:r w:rsidR="0053167F" w:rsidRPr="00261E3C">
        <w:rPr>
          <w:rFonts w:hint="eastAsia"/>
          <w:b/>
        </w:rPr>
        <w:t>掌握</w:t>
      </w:r>
      <w:r w:rsidR="000A7C2B" w:rsidRPr="00261E3C">
        <w:rPr>
          <w:rFonts w:hint="eastAsia"/>
          <w:b/>
        </w:rPr>
        <w:t>出版產業的整體環境對產業鏈的有利、不利因素</w:t>
      </w:r>
      <w:r w:rsidR="0053167F" w:rsidRPr="00261E3C">
        <w:rPr>
          <w:rFonts w:hint="eastAsia"/>
          <w:b/>
        </w:rPr>
        <w:t>，</w:t>
      </w:r>
      <w:r w:rsidR="00A56AE7" w:rsidRPr="00261E3C">
        <w:rPr>
          <w:rFonts w:hint="eastAsia"/>
          <w:b/>
        </w:rPr>
        <w:t>發揮</w:t>
      </w:r>
      <w:r w:rsidR="000A7C2B" w:rsidRPr="00261E3C">
        <w:rPr>
          <w:rFonts w:hint="eastAsia"/>
          <w:b/>
        </w:rPr>
        <w:t>現有</w:t>
      </w:r>
      <w:r w:rsidR="008C6981" w:rsidRPr="00261E3C">
        <w:rPr>
          <w:rFonts w:hint="eastAsia"/>
          <w:b/>
        </w:rPr>
        <w:t>優勢</w:t>
      </w:r>
      <w:r w:rsidR="0053167F" w:rsidRPr="00261E3C">
        <w:rPr>
          <w:rFonts w:hint="eastAsia"/>
          <w:b/>
        </w:rPr>
        <w:t>，</w:t>
      </w:r>
      <w:r w:rsidR="00A56AE7" w:rsidRPr="00261E3C">
        <w:rPr>
          <w:rFonts w:hint="eastAsia"/>
          <w:b/>
        </w:rPr>
        <w:t>善用可用</w:t>
      </w:r>
      <w:r w:rsidR="008C6981" w:rsidRPr="00261E3C">
        <w:rPr>
          <w:rFonts w:hint="eastAsia"/>
          <w:b/>
        </w:rPr>
        <w:t>資源，</w:t>
      </w:r>
      <w:r w:rsidR="00A56AE7" w:rsidRPr="00261E3C">
        <w:rPr>
          <w:rFonts w:hint="eastAsia"/>
          <w:b/>
        </w:rPr>
        <w:t>協助出版產業因應產業趨勢變局的挑戰，強化競爭體質</w:t>
      </w:r>
      <w:bookmarkEnd w:id="51"/>
      <w:r w:rsidR="001F7E07" w:rsidRPr="00261E3C">
        <w:rPr>
          <w:rFonts w:hint="eastAsia"/>
          <w:b/>
        </w:rPr>
        <w:t>。</w:t>
      </w:r>
    </w:p>
    <w:p w:rsidR="007C4753" w:rsidRPr="00261E3C" w:rsidRDefault="00237387" w:rsidP="00341CF9">
      <w:pPr>
        <w:pStyle w:val="3"/>
      </w:pPr>
      <w:bookmarkStart w:id="53" w:name="_Toc421794874"/>
      <w:bookmarkStart w:id="54" w:name="_Toc421795440"/>
      <w:bookmarkStart w:id="55" w:name="_Toc421796021"/>
      <w:bookmarkStart w:id="56" w:name="_Toc509827257"/>
      <w:bookmarkStart w:id="57" w:name="_Toc509994074"/>
      <w:bookmarkStart w:id="58" w:name="_Toc509996785"/>
      <w:r w:rsidRPr="00261E3C">
        <w:rPr>
          <w:rFonts w:hint="eastAsia"/>
        </w:rPr>
        <w:t>文化為國家重要軟實力的體現，</w:t>
      </w:r>
      <w:r w:rsidR="00196628" w:rsidRPr="00261E3C">
        <w:rPr>
          <w:rFonts w:hint="eastAsia"/>
        </w:rPr>
        <w:t>而出版透過文字將知識與故事轉化為普</w:t>
      </w:r>
      <w:proofErr w:type="gramStart"/>
      <w:r w:rsidR="00196628" w:rsidRPr="00261E3C">
        <w:rPr>
          <w:rFonts w:hint="eastAsia"/>
        </w:rPr>
        <w:t>世</w:t>
      </w:r>
      <w:proofErr w:type="gramEnd"/>
      <w:r w:rsidR="00196628" w:rsidRPr="00261E3C">
        <w:rPr>
          <w:rFonts w:hint="eastAsia"/>
        </w:rPr>
        <w:t>價值，將人文思想傳遞到世界的角落，扮演文化思想傳承之角色；出版</w:t>
      </w:r>
      <w:proofErr w:type="gramStart"/>
      <w:r w:rsidR="00196628" w:rsidRPr="00261E3C">
        <w:rPr>
          <w:rFonts w:hint="eastAsia"/>
        </w:rPr>
        <w:t>亦是文創產業</w:t>
      </w:r>
      <w:proofErr w:type="gramEnd"/>
      <w:r w:rsidR="00196628" w:rsidRPr="00261E3C">
        <w:rPr>
          <w:rFonts w:hint="eastAsia"/>
        </w:rPr>
        <w:t>跨界結盟的源頭，藉由多元出版品之核心價值及內容，改編為電影、電視、戲劇、動畫、</w:t>
      </w:r>
      <w:proofErr w:type="gramStart"/>
      <w:r w:rsidR="00196628" w:rsidRPr="00261E3C">
        <w:rPr>
          <w:rFonts w:hint="eastAsia"/>
        </w:rPr>
        <w:t>文創商品</w:t>
      </w:r>
      <w:proofErr w:type="gramEnd"/>
      <w:r w:rsidRPr="00261E3C">
        <w:rPr>
          <w:rFonts w:hint="eastAsia"/>
        </w:rPr>
        <w:t>等</w:t>
      </w:r>
      <w:r w:rsidR="00196628" w:rsidRPr="00261E3C">
        <w:rPr>
          <w:rFonts w:hint="eastAsia"/>
        </w:rPr>
        <w:t>，是文化產業之基石。</w:t>
      </w:r>
      <w:bookmarkEnd w:id="53"/>
      <w:bookmarkEnd w:id="54"/>
      <w:bookmarkEnd w:id="55"/>
      <w:bookmarkEnd w:id="56"/>
      <w:proofErr w:type="gramStart"/>
      <w:r w:rsidR="006349A4" w:rsidRPr="00261E3C">
        <w:rPr>
          <w:rFonts w:hint="eastAsia"/>
        </w:rPr>
        <w:t>文化部為實現</w:t>
      </w:r>
      <w:proofErr w:type="gramEnd"/>
      <w:r w:rsidR="006349A4" w:rsidRPr="00261E3C">
        <w:rPr>
          <w:rFonts w:hint="eastAsia"/>
        </w:rPr>
        <w:t>「厚植文化力，帶動文化參與」的政策目標，</w:t>
      </w:r>
      <w:r w:rsidR="00341CF9" w:rsidRPr="00261E3C">
        <w:rPr>
          <w:rFonts w:hint="eastAsia"/>
        </w:rPr>
        <w:t>將「閱讀扎根及推廣計畫之推動」、「文學青年及創作人才之培育」、「文學國際交流計畫」、「協助實體書店發展」、「原</w:t>
      </w:r>
      <w:proofErr w:type="gramStart"/>
      <w:r w:rsidR="00341CF9" w:rsidRPr="00261E3C">
        <w:rPr>
          <w:rFonts w:hint="eastAsia"/>
        </w:rPr>
        <w:t>創文本跨</w:t>
      </w:r>
      <w:proofErr w:type="gramEnd"/>
      <w:r w:rsidR="00341CF9" w:rsidRPr="00261E3C">
        <w:rPr>
          <w:rFonts w:hint="eastAsia"/>
        </w:rPr>
        <w:t>界及媒合計畫」、「鼓勵IP創作、培育人才及獎勵優質出版」、「協助中小型業者因應數位化發展」、「輸出出版價值與產值，開拓亞太與國際市場」等項目列為重點工作。為提升出版產業國際競爭力，及推動產業數位化，該部自101至105年度累計編列</w:t>
      </w:r>
      <w:proofErr w:type="gramStart"/>
      <w:r w:rsidR="00341CF9" w:rsidRPr="00261E3C">
        <w:rPr>
          <w:rFonts w:hint="eastAsia"/>
        </w:rPr>
        <w:t>預算數</w:t>
      </w:r>
      <w:r w:rsidR="00027BE1">
        <w:rPr>
          <w:rFonts w:hint="eastAsia"/>
        </w:rPr>
        <w:t>新臺幣</w:t>
      </w:r>
      <w:proofErr w:type="gramEnd"/>
      <w:r w:rsidR="00027BE1">
        <w:rPr>
          <w:rFonts w:hint="eastAsia"/>
        </w:rPr>
        <w:t>（下同）</w:t>
      </w:r>
      <w:r w:rsidR="00341CF9" w:rsidRPr="00261E3C">
        <w:rPr>
          <w:rFonts w:hint="eastAsia"/>
        </w:rPr>
        <w:t>12億1,524萬餘元，累計執行數11億2,924萬餘元，執行率92.92％。</w:t>
      </w:r>
      <w:bookmarkEnd w:id="57"/>
      <w:bookmarkEnd w:id="58"/>
    </w:p>
    <w:p w:rsidR="007C4753" w:rsidRPr="00261E3C" w:rsidRDefault="00574D17" w:rsidP="00341CF9">
      <w:pPr>
        <w:pStyle w:val="3"/>
      </w:pPr>
      <w:bookmarkStart w:id="59" w:name="_Toc509994075"/>
      <w:bookmarkStart w:id="60" w:name="_Toc509996786"/>
      <w:r w:rsidRPr="00261E3C">
        <w:rPr>
          <w:rFonts w:hint="eastAsia"/>
        </w:rPr>
        <w:t>然據</w:t>
      </w:r>
      <w:proofErr w:type="gramStart"/>
      <w:r w:rsidRPr="00261E3C">
        <w:rPr>
          <w:rFonts w:hint="eastAsia"/>
        </w:rPr>
        <w:t>審計部函報</w:t>
      </w:r>
      <w:proofErr w:type="gramEnd"/>
      <w:r w:rsidRPr="00261E3C">
        <w:rPr>
          <w:rFonts w:hint="eastAsia"/>
        </w:rPr>
        <w:t>本院資料顯示</w:t>
      </w:r>
      <w:r w:rsidR="00027BE1">
        <w:rPr>
          <w:rFonts w:hint="eastAsia"/>
        </w:rPr>
        <w:t>：</w:t>
      </w:r>
      <w:bookmarkEnd w:id="59"/>
      <w:bookmarkEnd w:id="60"/>
    </w:p>
    <w:p w:rsidR="00574D17" w:rsidRPr="00261E3C" w:rsidRDefault="00574D17" w:rsidP="007C4753">
      <w:pPr>
        <w:pStyle w:val="4"/>
      </w:pPr>
      <w:r w:rsidRPr="00261E3C">
        <w:rPr>
          <w:rFonts w:hint="eastAsia"/>
        </w:rPr>
        <w:lastRenderedPageBreak/>
        <w:t>文化部</w:t>
      </w:r>
      <w:r w:rsidRPr="00261E3C">
        <w:t>101</w:t>
      </w:r>
      <w:r w:rsidRPr="00261E3C">
        <w:rPr>
          <w:rFonts w:hint="eastAsia"/>
        </w:rPr>
        <w:t>年</w:t>
      </w:r>
      <w:r w:rsidRPr="00261E3C">
        <w:t>9</w:t>
      </w:r>
      <w:r w:rsidRPr="00261E3C">
        <w:rPr>
          <w:rFonts w:hint="eastAsia"/>
        </w:rPr>
        <w:t>月</w:t>
      </w:r>
      <w:r w:rsidRPr="00261E3C">
        <w:t>28</w:t>
      </w:r>
      <w:r w:rsidRPr="00261E3C">
        <w:rPr>
          <w:rFonts w:hint="eastAsia"/>
        </w:rPr>
        <w:t>日陳奉行政院核定之「圖文出版發展計畫</w:t>
      </w:r>
      <w:r w:rsidRPr="00261E3C">
        <w:t>(101</w:t>
      </w:r>
      <w:r w:rsidRPr="00261E3C">
        <w:rPr>
          <w:rFonts w:hint="eastAsia"/>
        </w:rPr>
        <w:t>至</w:t>
      </w:r>
      <w:r w:rsidRPr="00261E3C">
        <w:t>104</w:t>
      </w:r>
      <w:r w:rsidRPr="00261E3C">
        <w:rPr>
          <w:rFonts w:hint="eastAsia"/>
        </w:rPr>
        <w:t>年度</w:t>
      </w:r>
      <w:r w:rsidRPr="00261E3C">
        <w:t>)</w:t>
      </w:r>
      <w:r w:rsidRPr="00261E3C">
        <w:rPr>
          <w:rFonts w:hint="eastAsia"/>
        </w:rPr>
        <w:t>」貳、三、預期績效指標及評估基準，預計</w:t>
      </w:r>
      <w:r w:rsidRPr="00261E3C">
        <w:t>101</w:t>
      </w:r>
      <w:r w:rsidRPr="00261E3C">
        <w:rPr>
          <w:rFonts w:hint="eastAsia"/>
        </w:rPr>
        <w:t>至</w:t>
      </w:r>
      <w:r w:rsidRPr="00261E3C">
        <w:t>104</w:t>
      </w:r>
      <w:r w:rsidRPr="00261E3C">
        <w:rPr>
          <w:rFonts w:hint="eastAsia"/>
        </w:rPr>
        <w:t>年總產值分別為</w:t>
      </w:r>
      <w:r w:rsidRPr="00261E3C">
        <w:t>510</w:t>
      </w:r>
      <w:r w:rsidRPr="00261E3C">
        <w:rPr>
          <w:rFonts w:hint="eastAsia"/>
        </w:rPr>
        <w:t>億元、</w:t>
      </w:r>
      <w:r w:rsidRPr="00261E3C">
        <w:t>515</w:t>
      </w:r>
      <w:r w:rsidRPr="00261E3C">
        <w:rPr>
          <w:rFonts w:hint="eastAsia"/>
        </w:rPr>
        <w:t>億元、</w:t>
      </w:r>
      <w:r w:rsidRPr="00261E3C">
        <w:t>521</w:t>
      </w:r>
      <w:r w:rsidRPr="00261E3C">
        <w:rPr>
          <w:rFonts w:hint="eastAsia"/>
        </w:rPr>
        <w:t>億元及</w:t>
      </w:r>
      <w:r w:rsidRPr="00261E3C">
        <w:t>528</w:t>
      </w:r>
      <w:r w:rsidRPr="00261E3C">
        <w:rPr>
          <w:rFonts w:hint="eastAsia"/>
        </w:rPr>
        <w:t>億元，惟依歷年「臺灣出版產業調查報告」</w:t>
      </w:r>
      <w:r w:rsidRPr="00261E3C">
        <w:t>(</w:t>
      </w:r>
      <w:r w:rsidRPr="00261E3C">
        <w:rPr>
          <w:rFonts w:hint="eastAsia"/>
        </w:rPr>
        <w:t>下稱出版產業調查報告</w:t>
      </w:r>
      <w:r w:rsidRPr="00261E3C">
        <w:t>)</w:t>
      </w:r>
      <w:r w:rsidRPr="00261E3C">
        <w:rPr>
          <w:rFonts w:hint="eastAsia"/>
        </w:rPr>
        <w:t>，我國圖書出版產業產值自</w:t>
      </w:r>
      <w:proofErr w:type="gramStart"/>
      <w:r w:rsidRPr="00261E3C">
        <w:t>101</w:t>
      </w:r>
      <w:proofErr w:type="gramEnd"/>
      <w:r w:rsidRPr="00261E3C">
        <w:rPr>
          <w:rFonts w:hint="eastAsia"/>
        </w:rPr>
        <w:t>年度之</w:t>
      </w:r>
      <w:r w:rsidRPr="00261E3C">
        <w:t xml:space="preserve"> 352</w:t>
      </w:r>
      <w:r w:rsidRPr="00261E3C">
        <w:rPr>
          <w:rFonts w:hint="eastAsia"/>
        </w:rPr>
        <w:t>億元，逐年減少至</w:t>
      </w:r>
      <w:proofErr w:type="gramStart"/>
      <w:r w:rsidRPr="00261E3C">
        <w:t>104</w:t>
      </w:r>
      <w:proofErr w:type="gramEnd"/>
      <w:r w:rsidRPr="00261E3C">
        <w:rPr>
          <w:rFonts w:hint="eastAsia"/>
        </w:rPr>
        <w:t>年度之</w:t>
      </w:r>
      <w:r w:rsidRPr="00261E3C">
        <w:t>199</w:t>
      </w:r>
      <w:r w:rsidRPr="00261E3C">
        <w:rPr>
          <w:rFonts w:hint="eastAsia"/>
        </w:rPr>
        <w:t>億元</w:t>
      </w:r>
      <w:r w:rsidR="00027BE1">
        <w:rPr>
          <w:rFonts w:hint="eastAsia"/>
        </w:rPr>
        <w:t>（如</w:t>
      </w:r>
      <w:r w:rsidR="003212F2">
        <w:rPr>
          <w:rFonts w:hint="eastAsia"/>
        </w:rPr>
        <w:t>圖1）</w:t>
      </w:r>
      <w:r w:rsidRPr="00261E3C">
        <w:rPr>
          <w:rFonts w:hint="eastAsia"/>
        </w:rPr>
        <w:t>，減幅約</w:t>
      </w:r>
      <w:r w:rsidRPr="00261E3C">
        <w:t xml:space="preserve"> 43.47</w:t>
      </w:r>
      <w:r w:rsidR="007C4753" w:rsidRPr="00261E3C">
        <w:t>％</w:t>
      </w:r>
      <w:r w:rsidRPr="00261E3C">
        <w:rPr>
          <w:rFonts w:hint="eastAsia"/>
        </w:rPr>
        <w:t>，平均每年減少約</w:t>
      </w:r>
      <w:r w:rsidRPr="00261E3C">
        <w:t>14.49</w:t>
      </w:r>
      <w:r w:rsidR="007C4753" w:rsidRPr="00261E3C">
        <w:t>％</w:t>
      </w:r>
      <w:r w:rsidRPr="00261E3C">
        <w:rPr>
          <w:rFonts w:hint="eastAsia"/>
        </w:rPr>
        <w:t>，顯見近年我國圖書出版產業產值每年約以</w:t>
      </w:r>
      <w:r w:rsidRPr="00261E3C">
        <w:t>15</w:t>
      </w:r>
      <w:r w:rsidR="007C4753" w:rsidRPr="00261E3C">
        <w:t>％</w:t>
      </w:r>
      <w:r w:rsidRPr="00261E3C">
        <w:rPr>
          <w:rFonts w:hint="eastAsia"/>
        </w:rPr>
        <w:t>幅度減少。</w:t>
      </w:r>
    </w:p>
    <w:p w:rsidR="00574D17" w:rsidRPr="00261E3C" w:rsidRDefault="003212F2" w:rsidP="00574D17">
      <w:pPr>
        <w:pStyle w:val="32"/>
        <w:ind w:left="1361" w:firstLine="680"/>
      </w:pPr>
      <w:r>
        <w:rPr>
          <w:noProof/>
        </w:rPr>
        <mc:AlternateContent>
          <mc:Choice Requires="wps">
            <w:drawing>
              <wp:anchor distT="0" distB="0" distL="114300" distR="114300" simplePos="0" relativeHeight="251659264" behindDoc="0" locked="0" layoutInCell="1" allowOverlap="1" wp14:anchorId="5BAF48C8" wp14:editId="6E87F6BF">
                <wp:simplePos x="0" y="0"/>
                <wp:positionH relativeFrom="column">
                  <wp:posOffset>4073525</wp:posOffset>
                </wp:positionH>
                <wp:positionV relativeFrom="paragraph">
                  <wp:posOffset>1883377</wp:posOffset>
                </wp:positionV>
                <wp:extent cx="629392" cy="356259"/>
                <wp:effectExtent l="0" t="0" r="0" b="5715"/>
                <wp:wrapNone/>
                <wp:docPr id="1" name="文字方塊 1"/>
                <wp:cNvGraphicFramePr/>
                <a:graphic xmlns:a="http://schemas.openxmlformats.org/drawingml/2006/main">
                  <a:graphicData uri="http://schemas.microsoft.com/office/word/2010/wordprocessingShape">
                    <wps:wsp>
                      <wps:cNvSpPr txBox="1"/>
                      <wps:spPr>
                        <a:xfrm>
                          <a:off x="0" y="0"/>
                          <a:ext cx="629392" cy="3562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63845" w:rsidRPr="003212F2" w:rsidRDefault="00663845">
                            <w:pPr>
                              <w:rPr>
                                <w:sz w:val="16"/>
                                <w:szCs w:val="16"/>
                              </w:rPr>
                            </w:pPr>
                            <w:r>
                              <w:rPr>
                                <w:rFonts w:hint="eastAsia"/>
                                <w:sz w:val="16"/>
                                <w:szCs w:val="16"/>
                              </w:rPr>
                              <w:t>（年）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20.75pt;margin-top:148.3pt;width:49.5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" filled="f" stroked="f" strokeweight=".5pt">
                <v:textbox>
                  <w:txbxContent>
                    <w:p w:rsidR="00663845" w:rsidRPr="003212F2" w:rsidRDefault="00663845">
                      <w:pPr>
                        <w:rPr>
                          <w:sz w:val="16"/>
                          <w:szCs w:val="16"/>
                        </w:rPr>
                      </w:pPr>
                      <w:r>
                        <w:rPr>
                          <w:rFonts w:hint="eastAsia"/>
                          <w:sz w:val="16"/>
                          <w:szCs w:val="16"/>
                        </w:rPr>
                        <w:t>（年）</w:t>
                      </w:r>
                    </w:p>
                  </w:txbxContent>
                </v:textbox>
              </v:shape>
            </w:pict>
          </mc:Fallback>
        </mc:AlternateContent>
      </w:r>
      <w:r w:rsidR="00574D17" w:rsidRPr="00261E3C">
        <w:rPr>
          <w:noProof/>
        </w:rPr>
        <w:drawing>
          <wp:inline distT="0" distB="0" distL="0" distR="0" wp14:anchorId="7111F246" wp14:editId="58884F0E">
            <wp:extent cx="3038475" cy="2162175"/>
            <wp:effectExtent l="0" t="0" r="0" b="0"/>
            <wp:docPr id="294" name="圖表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23C36" w:rsidRPr="00261E3C" w:rsidRDefault="00D23C36" w:rsidP="00D23C36">
      <w:pPr>
        <w:pStyle w:val="32"/>
        <w:ind w:left="1361" w:firstLine="520"/>
        <w:rPr>
          <w:sz w:val="24"/>
          <w:szCs w:val="24"/>
        </w:rPr>
      </w:pPr>
      <w:r w:rsidRPr="00261E3C">
        <w:rPr>
          <w:rFonts w:hint="eastAsia"/>
          <w:sz w:val="24"/>
          <w:szCs w:val="24"/>
        </w:rPr>
        <w:t>資料來源：整理自歷年臺灣出版產業調查報告</w:t>
      </w:r>
    </w:p>
    <w:p w:rsidR="00574D17" w:rsidRPr="00261E3C" w:rsidRDefault="00D23C36" w:rsidP="007C4753">
      <w:pPr>
        <w:pStyle w:val="a1"/>
      </w:pPr>
      <w:bookmarkStart w:id="61" w:name="_Toc509996936"/>
      <w:r w:rsidRPr="00261E3C">
        <w:rPr>
          <w:rFonts w:hint="eastAsia"/>
        </w:rPr>
        <w:t>我國圖書出版產值趨勢圖</w:t>
      </w:r>
      <w:proofErr w:type="gramStart"/>
      <w:r w:rsidRPr="00261E3C">
        <w:rPr>
          <w:rFonts w:hint="eastAsia"/>
        </w:rPr>
        <w:t>（</w:t>
      </w:r>
      <w:proofErr w:type="gramEnd"/>
      <w:r w:rsidRPr="00261E3C">
        <w:rPr>
          <w:rFonts w:hint="eastAsia"/>
        </w:rPr>
        <w:t>單位：億元新臺幣</w:t>
      </w:r>
      <w:proofErr w:type="gramStart"/>
      <w:r w:rsidRPr="00261E3C">
        <w:rPr>
          <w:rFonts w:hint="eastAsia"/>
        </w:rPr>
        <w:t>）</w:t>
      </w:r>
      <w:bookmarkEnd w:id="61"/>
      <w:proofErr w:type="gramEnd"/>
    </w:p>
    <w:p w:rsidR="00073CB5" w:rsidRPr="00261E3C" w:rsidRDefault="00574D17" w:rsidP="007C4753">
      <w:pPr>
        <w:pStyle w:val="4"/>
      </w:pPr>
      <w:r w:rsidRPr="00261E3C">
        <w:rPr>
          <w:rFonts w:hint="eastAsia"/>
        </w:rPr>
        <w:t>再依同產業調查報告引用世界主要國家調查研究機構數值，除美國與中國大陸為成長外，其餘國家</w:t>
      </w:r>
      <w:proofErr w:type="gramStart"/>
      <w:r w:rsidRPr="00261E3C">
        <w:t>104</w:t>
      </w:r>
      <w:proofErr w:type="gramEnd"/>
      <w:r w:rsidRPr="00261E3C">
        <w:rPr>
          <w:rFonts w:hint="eastAsia"/>
        </w:rPr>
        <w:t>年度較</w:t>
      </w:r>
      <w:proofErr w:type="gramStart"/>
      <w:r w:rsidRPr="00261E3C">
        <w:t>101</w:t>
      </w:r>
      <w:proofErr w:type="gramEnd"/>
      <w:r w:rsidRPr="00261E3C">
        <w:rPr>
          <w:rFonts w:hint="eastAsia"/>
        </w:rPr>
        <w:t>年度皆呈衰退情形，且衰退幅度介於</w:t>
      </w:r>
      <w:r w:rsidRPr="00261E3C">
        <w:t>3.49</w:t>
      </w:r>
      <w:r w:rsidR="007C4753" w:rsidRPr="00261E3C">
        <w:t>％</w:t>
      </w:r>
      <w:r w:rsidRPr="00261E3C">
        <w:rPr>
          <w:rFonts w:hint="eastAsia"/>
        </w:rPr>
        <w:t>至</w:t>
      </w:r>
      <w:r w:rsidRPr="00261E3C">
        <w:t>12.64</w:t>
      </w:r>
      <w:r w:rsidR="007C4753" w:rsidRPr="00261E3C">
        <w:t>％</w:t>
      </w:r>
      <w:proofErr w:type="gramStart"/>
      <w:r w:rsidRPr="00261E3C">
        <w:rPr>
          <w:rFonts w:hint="eastAsia"/>
        </w:rPr>
        <w:t>之間，</w:t>
      </w:r>
      <w:proofErr w:type="gramEnd"/>
      <w:r w:rsidRPr="00261E3C">
        <w:rPr>
          <w:rFonts w:hint="eastAsia"/>
        </w:rPr>
        <w:t>相較之下，我國圖書出版產值衰退幅度高於世界主要國家。</w:t>
      </w:r>
    </w:p>
    <w:p w:rsidR="003A5927" w:rsidRPr="00261E3C" w:rsidRDefault="00D23C36" w:rsidP="007C4753">
      <w:pPr>
        <w:pStyle w:val="a3"/>
        <w:ind w:firstLine="437"/>
      </w:pPr>
      <w:bookmarkStart w:id="62" w:name="_Toc510189502"/>
      <w:r w:rsidRPr="00261E3C">
        <w:rPr>
          <w:rFonts w:hint="eastAsia"/>
        </w:rPr>
        <w:t>我國與世界主要國家圖書出版產值衰退情形表</w:t>
      </w:r>
      <w:bookmarkEnd w:id="62"/>
    </w:p>
    <w:tbl>
      <w:tblPr>
        <w:tblStyle w:val="23"/>
        <w:tblW w:w="0" w:type="auto"/>
        <w:tblInd w:w="2093" w:type="dxa"/>
        <w:tblLook w:val="04A0" w:firstRow="1" w:lastRow="0" w:firstColumn="1" w:lastColumn="0" w:noHBand="0" w:noVBand="1"/>
      </w:tblPr>
      <w:tblGrid>
        <w:gridCol w:w="1696"/>
        <w:gridCol w:w="1139"/>
        <w:gridCol w:w="1134"/>
        <w:gridCol w:w="1134"/>
      </w:tblGrid>
      <w:tr w:rsidR="00261E3C" w:rsidRPr="00261E3C" w:rsidTr="00DC0F73">
        <w:trPr>
          <w:trHeight w:val="477"/>
        </w:trPr>
        <w:tc>
          <w:tcPr>
            <w:tcW w:w="5103" w:type="dxa"/>
            <w:gridSpan w:val="4"/>
            <w:vAlign w:val="center"/>
          </w:tcPr>
          <w:p w:rsidR="00D23C36" w:rsidRPr="00261E3C" w:rsidRDefault="00D23C36" w:rsidP="00D23C36">
            <w:pPr>
              <w:overflowPunct/>
              <w:autoSpaceDE/>
              <w:autoSpaceDN/>
              <w:snapToGrid w:val="0"/>
              <w:jc w:val="right"/>
              <w:rPr>
                <w:rFonts w:hAnsi="標楷體"/>
                <w:sz w:val="20"/>
                <w:szCs w:val="20"/>
              </w:rPr>
            </w:pPr>
            <w:r w:rsidRPr="00261E3C">
              <w:rPr>
                <w:rFonts w:hint="eastAsia"/>
                <w:sz w:val="20"/>
                <w:szCs w:val="20"/>
              </w:rPr>
              <w:t>單位：％</w:t>
            </w:r>
          </w:p>
        </w:tc>
      </w:tr>
      <w:tr w:rsidR="00261E3C" w:rsidRPr="00261E3C" w:rsidTr="00DC0F73">
        <w:trPr>
          <w:trHeight w:val="477"/>
        </w:trPr>
        <w:tc>
          <w:tcPr>
            <w:tcW w:w="1696" w:type="dxa"/>
            <w:tcBorders>
              <w:tl2br w:val="single" w:sz="4" w:space="0" w:color="auto"/>
            </w:tcBorders>
            <w:vAlign w:val="center"/>
          </w:tcPr>
          <w:p w:rsidR="00D23C36" w:rsidRPr="00261E3C" w:rsidRDefault="00D23C36" w:rsidP="00D23C36">
            <w:pPr>
              <w:overflowPunct/>
              <w:autoSpaceDE/>
              <w:autoSpaceDN/>
              <w:snapToGrid w:val="0"/>
              <w:spacing w:line="180" w:lineRule="exact"/>
              <w:ind w:leftChars="-29" w:left="-22" w:rightChars="-27" w:right="-92" w:hangingChars="35" w:hanging="77"/>
              <w:jc w:val="center"/>
              <w:rPr>
                <w:rFonts w:hAnsi="標楷體"/>
                <w:spacing w:val="-8"/>
                <w:sz w:val="20"/>
              </w:rPr>
            </w:pPr>
            <w:r w:rsidRPr="00261E3C">
              <w:rPr>
                <w:rFonts w:hAnsi="標楷體" w:hint="eastAsia"/>
                <w:sz w:val="20"/>
              </w:rPr>
              <w:t xml:space="preserve">       </w:t>
            </w:r>
            <w:r w:rsidRPr="00261E3C">
              <w:rPr>
                <w:rFonts w:hAnsi="標楷體" w:hint="eastAsia"/>
                <w:spacing w:val="-8"/>
                <w:sz w:val="20"/>
              </w:rPr>
              <w:t>年度</w:t>
            </w:r>
          </w:p>
          <w:p w:rsidR="00D23C36" w:rsidRPr="00261E3C" w:rsidRDefault="00D23C36" w:rsidP="00D23C36">
            <w:pPr>
              <w:overflowPunct/>
              <w:autoSpaceDE/>
              <w:autoSpaceDN/>
              <w:snapToGrid w:val="0"/>
              <w:spacing w:line="180" w:lineRule="exact"/>
              <w:ind w:leftChars="-29" w:left="-28" w:rightChars="-27" w:right="-92" w:hangingChars="35" w:hanging="71"/>
              <w:jc w:val="left"/>
              <w:rPr>
                <w:rFonts w:hAnsi="標楷體"/>
                <w:sz w:val="20"/>
              </w:rPr>
            </w:pPr>
            <w:r w:rsidRPr="00261E3C">
              <w:rPr>
                <w:rFonts w:hAnsi="標楷體" w:hint="eastAsia"/>
                <w:spacing w:val="-8"/>
                <w:sz w:val="20"/>
              </w:rPr>
              <w:t>國別</w:t>
            </w:r>
          </w:p>
        </w:tc>
        <w:tc>
          <w:tcPr>
            <w:tcW w:w="1139" w:type="dxa"/>
            <w:vAlign w:val="center"/>
          </w:tcPr>
          <w:p w:rsidR="00D23C36" w:rsidRPr="00261E3C" w:rsidRDefault="00D23C36" w:rsidP="00D23C36">
            <w:pPr>
              <w:overflowPunct/>
              <w:autoSpaceDE/>
              <w:autoSpaceDN/>
              <w:snapToGrid w:val="0"/>
              <w:jc w:val="center"/>
              <w:rPr>
                <w:rFonts w:hAnsi="標楷體"/>
                <w:sz w:val="24"/>
                <w:szCs w:val="24"/>
              </w:rPr>
            </w:pPr>
            <w:r w:rsidRPr="00261E3C">
              <w:rPr>
                <w:rFonts w:hAnsi="標楷體" w:hint="eastAsia"/>
                <w:sz w:val="24"/>
                <w:szCs w:val="24"/>
              </w:rPr>
              <w:t>102</w:t>
            </w:r>
          </w:p>
        </w:tc>
        <w:tc>
          <w:tcPr>
            <w:tcW w:w="1134" w:type="dxa"/>
            <w:vAlign w:val="center"/>
          </w:tcPr>
          <w:p w:rsidR="00D23C36" w:rsidRPr="00261E3C" w:rsidRDefault="00D23C36" w:rsidP="00D23C36">
            <w:pPr>
              <w:overflowPunct/>
              <w:autoSpaceDE/>
              <w:autoSpaceDN/>
              <w:snapToGrid w:val="0"/>
              <w:jc w:val="center"/>
              <w:rPr>
                <w:rFonts w:hAnsi="標楷體"/>
                <w:sz w:val="24"/>
                <w:szCs w:val="24"/>
              </w:rPr>
            </w:pPr>
            <w:r w:rsidRPr="00261E3C">
              <w:rPr>
                <w:rFonts w:hAnsi="標楷體" w:hint="eastAsia"/>
                <w:sz w:val="24"/>
                <w:szCs w:val="24"/>
              </w:rPr>
              <w:t>103</w:t>
            </w:r>
          </w:p>
        </w:tc>
        <w:tc>
          <w:tcPr>
            <w:tcW w:w="1134" w:type="dxa"/>
            <w:vAlign w:val="center"/>
          </w:tcPr>
          <w:p w:rsidR="00D23C36" w:rsidRPr="00261E3C" w:rsidRDefault="00D23C36" w:rsidP="00D23C36">
            <w:pPr>
              <w:overflowPunct/>
              <w:autoSpaceDE/>
              <w:autoSpaceDN/>
              <w:snapToGrid w:val="0"/>
              <w:jc w:val="center"/>
              <w:rPr>
                <w:rFonts w:hAnsi="標楷體"/>
                <w:sz w:val="24"/>
                <w:szCs w:val="24"/>
              </w:rPr>
            </w:pPr>
            <w:r w:rsidRPr="00261E3C">
              <w:rPr>
                <w:rFonts w:hAnsi="標楷體" w:hint="eastAsia"/>
                <w:sz w:val="24"/>
                <w:szCs w:val="24"/>
              </w:rPr>
              <w:t>104</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Chars="-59" w:left="-16" w:rightChars="-40" w:right="-136" w:hangingChars="71" w:hanging="185"/>
              <w:jc w:val="center"/>
              <w:rPr>
                <w:rFonts w:hAnsi="標楷體"/>
                <w:sz w:val="24"/>
                <w:szCs w:val="24"/>
              </w:rPr>
            </w:pPr>
            <w:r w:rsidRPr="00261E3C">
              <w:rPr>
                <w:rFonts w:hAnsi="標楷體" w:hint="eastAsia"/>
                <w:sz w:val="24"/>
                <w:szCs w:val="24"/>
              </w:rPr>
              <w:t>我國</w:t>
            </w:r>
          </w:p>
        </w:tc>
        <w:tc>
          <w:tcPr>
            <w:tcW w:w="1139" w:type="dxa"/>
            <w:vAlign w:val="center"/>
          </w:tcPr>
          <w:p w:rsidR="00D23C36" w:rsidRPr="00261E3C" w:rsidRDefault="00D23C36" w:rsidP="00D23C36">
            <w:pPr>
              <w:overflowPunct/>
              <w:autoSpaceDE/>
              <w:autoSpaceDN/>
              <w:snapToGrid w:val="0"/>
              <w:ind w:leftChars="-31" w:left="-9" w:rightChars="-9" w:right="-31" w:hangingChars="37" w:hanging="96"/>
              <w:jc w:val="right"/>
              <w:rPr>
                <w:rFonts w:hAnsi="標楷體"/>
                <w:sz w:val="24"/>
                <w:szCs w:val="24"/>
              </w:rPr>
            </w:pPr>
            <w:r w:rsidRPr="00261E3C">
              <w:rPr>
                <w:rFonts w:hAnsi="標楷體"/>
                <w:sz w:val="24"/>
                <w:szCs w:val="24"/>
              </w:rPr>
              <w:t>-</w:t>
            </w:r>
            <w:r w:rsidRPr="00261E3C">
              <w:rPr>
                <w:rFonts w:hAnsi="標楷體" w:hint="eastAsia"/>
                <w:sz w:val="24"/>
                <w:szCs w:val="24"/>
              </w:rPr>
              <w:t xml:space="preserve"> 20.17</w:t>
            </w:r>
          </w:p>
        </w:tc>
        <w:tc>
          <w:tcPr>
            <w:tcW w:w="1134" w:type="dxa"/>
            <w:vAlign w:val="center"/>
          </w:tcPr>
          <w:p w:rsidR="00D23C36" w:rsidRPr="00261E3C" w:rsidRDefault="00D23C36" w:rsidP="00D23C36">
            <w:pPr>
              <w:overflowPunct/>
              <w:autoSpaceDE/>
              <w:autoSpaceDN/>
              <w:snapToGrid w:val="0"/>
              <w:ind w:leftChars="-31" w:left="-9" w:rightChars="-9" w:right="-31" w:hangingChars="37" w:hanging="96"/>
              <w:jc w:val="right"/>
              <w:rPr>
                <w:rFonts w:hAnsi="標楷體"/>
                <w:sz w:val="24"/>
                <w:szCs w:val="24"/>
              </w:rPr>
            </w:pPr>
            <w:r w:rsidRPr="00261E3C">
              <w:rPr>
                <w:rFonts w:hAnsi="標楷體"/>
                <w:sz w:val="24"/>
                <w:szCs w:val="24"/>
              </w:rPr>
              <w:t>-</w:t>
            </w:r>
            <w:r w:rsidRPr="00261E3C">
              <w:rPr>
                <w:rFonts w:hAnsi="標楷體" w:hint="eastAsia"/>
                <w:sz w:val="24"/>
                <w:szCs w:val="24"/>
              </w:rPr>
              <w:t xml:space="preserve"> 30.97</w:t>
            </w:r>
          </w:p>
        </w:tc>
        <w:tc>
          <w:tcPr>
            <w:tcW w:w="1134" w:type="dxa"/>
            <w:vAlign w:val="center"/>
          </w:tcPr>
          <w:p w:rsidR="00D23C36" w:rsidRPr="00261E3C" w:rsidRDefault="00D23C36" w:rsidP="00D23C36">
            <w:pPr>
              <w:overflowPunct/>
              <w:autoSpaceDE/>
              <w:autoSpaceDN/>
              <w:snapToGrid w:val="0"/>
              <w:ind w:leftChars="-31" w:left="-9" w:rightChars="-9" w:right="-31" w:hangingChars="37" w:hanging="96"/>
              <w:jc w:val="right"/>
              <w:rPr>
                <w:rFonts w:hAnsi="標楷體"/>
                <w:sz w:val="24"/>
                <w:szCs w:val="24"/>
              </w:rPr>
            </w:pPr>
            <w:r w:rsidRPr="00261E3C">
              <w:rPr>
                <w:rFonts w:hAnsi="標楷體"/>
                <w:sz w:val="24"/>
                <w:szCs w:val="24"/>
              </w:rPr>
              <w:t>-</w:t>
            </w:r>
            <w:r w:rsidRPr="00261E3C">
              <w:rPr>
                <w:rFonts w:hAnsi="標楷體" w:hint="eastAsia"/>
                <w:sz w:val="24"/>
                <w:szCs w:val="24"/>
              </w:rPr>
              <w:t xml:space="preserve"> 43.47</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lastRenderedPageBreak/>
              <w:t>美國</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kern w:val="0"/>
                <w:sz w:val="24"/>
                <w:szCs w:val="24"/>
              </w:rPr>
              <w:t>-</w:t>
            </w:r>
            <w:r w:rsidRPr="00261E3C">
              <w:rPr>
                <w:rFonts w:hAnsi="標楷體" w:hint="eastAsia"/>
                <w:kern w:val="0"/>
                <w:sz w:val="24"/>
                <w:szCs w:val="24"/>
              </w:rPr>
              <w:t xml:space="preserve"> 2.33</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0.85</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0.23</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t>英國</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2.31</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4.61</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4.61</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t>德國</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0.17</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2.08</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3.49</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t>法國</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3.03</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4.62</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3.98</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t>日本</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3.18</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7.23</w:t>
            </w:r>
          </w:p>
        </w:tc>
        <w:tc>
          <w:tcPr>
            <w:tcW w:w="1134" w:type="dxa"/>
            <w:vAlign w:val="center"/>
          </w:tcPr>
          <w:p w:rsidR="00D23C36" w:rsidRPr="00261E3C" w:rsidRDefault="00D23C36" w:rsidP="00D23C36">
            <w:pPr>
              <w:overflowPunct/>
              <w:autoSpaceDE/>
              <w:autoSpaceDN/>
              <w:snapToGrid w:val="0"/>
              <w:ind w:leftChars="-31" w:left="-9" w:rightChars="-9" w:right="-31" w:hangingChars="37" w:hanging="96"/>
              <w:jc w:val="right"/>
              <w:rPr>
                <w:rFonts w:hAnsi="標楷體"/>
                <w:sz w:val="24"/>
                <w:szCs w:val="24"/>
              </w:rPr>
            </w:pPr>
            <w:r w:rsidRPr="00261E3C">
              <w:rPr>
                <w:rFonts w:hAnsi="標楷體"/>
                <w:sz w:val="24"/>
                <w:szCs w:val="24"/>
              </w:rPr>
              <w:t>-</w:t>
            </w:r>
            <w:r w:rsidRPr="00261E3C">
              <w:rPr>
                <w:rFonts w:hAnsi="標楷體" w:hint="eastAsia"/>
                <w:sz w:val="24"/>
                <w:szCs w:val="24"/>
              </w:rPr>
              <w:t xml:space="preserve"> 12.64</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59"/>
              <w:jc w:val="center"/>
              <w:rPr>
                <w:rFonts w:hAnsi="標楷體"/>
                <w:sz w:val="24"/>
                <w:szCs w:val="24"/>
              </w:rPr>
            </w:pPr>
            <w:r w:rsidRPr="00261E3C">
              <w:rPr>
                <w:rFonts w:hAnsi="標楷體" w:hint="eastAsia"/>
                <w:sz w:val="24"/>
                <w:szCs w:val="24"/>
              </w:rPr>
              <w:t>南韓</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1.42</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2.37</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sz w:val="24"/>
                <w:szCs w:val="24"/>
              </w:rPr>
              <w:t>-</w:t>
            </w:r>
            <w:r w:rsidRPr="00261E3C">
              <w:rPr>
                <w:rFonts w:hAnsi="標楷體" w:hint="eastAsia"/>
                <w:sz w:val="24"/>
                <w:szCs w:val="24"/>
              </w:rPr>
              <w:t xml:space="preserve"> 3.79</w:t>
            </w:r>
          </w:p>
        </w:tc>
      </w:tr>
      <w:tr w:rsidR="00261E3C" w:rsidRPr="00261E3C" w:rsidTr="00DC0F73">
        <w:trPr>
          <w:trHeight w:val="312"/>
        </w:trPr>
        <w:tc>
          <w:tcPr>
            <w:tcW w:w="1696" w:type="dxa"/>
            <w:vAlign w:val="center"/>
          </w:tcPr>
          <w:p w:rsidR="00D23C36" w:rsidRPr="00261E3C" w:rsidRDefault="00D23C36" w:rsidP="00D23C36">
            <w:pPr>
              <w:overflowPunct/>
              <w:autoSpaceDE/>
              <w:autoSpaceDN/>
              <w:snapToGrid w:val="0"/>
              <w:ind w:leftChars="-59" w:left="-16" w:rightChars="-52" w:right="-177" w:hangingChars="71" w:hanging="185"/>
              <w:jc w:val="center"/>
              <w:rPr>
                <w:rFonts w:hAnsi="標楷體"/>
                <w:sz w:val="24"/>
                <w:szCs w:val="24"/>
              </w:rPr>
            </w:pPr>
            <w:r w:rsidRPr="00261E3C">
              <w:rPr>
                <w:rFonts w:hAnsi="標楷體" w:hint="eastAsia"/>
                <w:sz w:val="24"/>
                <w:szCs w:val="24"/>
              </w:rPr>
              <w:t>中國大陸</w:t>
            </w:r>
          </w:p>
        </w:tc>
        <w:tc>
          <w:tcPr>
            <w:tcW w:w="1139"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3.23</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9.18</w:t>
            </w:r>
          </w:p>
        </w:tc>
        <w:tc>
          <w:tcPr>
            <w:tcW w:w="1134" w:type="dxa"/>
            <w:vAlign w:val="center"/>
          </w:tcPr>
          <w:p w:rsidR="00D23C36" w:rsidRPr="00261E3C" w:rsidRDefault="00D23C36" w:rsidP="00D23C36">
            <w:pPr>
              <w:overflowPunct/>
              <w:autoSpaceDE/>
              <w:autoSpaceDN/>
              <w:snapToGrid w:val="0"/>
              <w:ind w:rightChars="-9" w:right="-31"/>
              <w:jc w:val="right"/>
              <w:rPr>
                <w:rFonts w:hAnsi="標楷體"/>
                <w:sz w:val="24"/>
                <w:szCs w:val="24"/>
              </w:rPr>
            </w:pPr>
            <w:r w:rsidRPr="00261E3C">
              <w:rPr>
                <w:rFonts w:hAnsi="標楷體" w:hint="eastAsia"/>
                <w:sz w:val="24"/>
                <w:szCs w:val="24"/>
              </w:rPr>
              <w:t>9.66</w:t>
            </w:r>
          </w:p>
        </w:tc>
      </w:tr>
      <w:tr w:rsidR="007C4753" w:rsidRPr="00261E3C" w:rsidTr="00DC0F73">
        <w:trPr>
          <w:trHeight w:val="312"/>
        </w:trPr>
        <w:tc>
          <w:tcPr>
            <w:tcW w:w="5103" w:type="dxa"/>
            <w:gridSpan w:val="4"/>
            <w:vAlign w:val="center"/>
          </w:tcPr>
          <w:p w:rsidR="007C4753" w:rsidRPr="00261E3C" w:rsidRDefault="007C4753" w:rsidP="007C4753">
            <w:pPr>
              <w:overflowPunct/>
              <w:autoSpaceDE/>
              <w:autoSpaceDN/>
              <w:snapToGrid w:val="0"/>
              <w:ind w:left="682" w:rightChars="-9" w:right="-31" w:hangingChars="310" w:hanging="682"/>
              <w:jc w:val="left"/>
              <w:rPr>
                <w:rFonts w:hAnsi="標楷體"/>
                <w:sz w:val="20"/>
                <w:szCs w:val="20"/>
              </w:rPr>
            </w:pPr>
            <w:proofErr w:type="gramStart"/>
            <w:r w:rsidRPr="00261E3C">
              <w:rPr>
                <w:rFonts w:hAnsi="標楷體" w:hint="eastAsia"/>
                <w:sz w:val="20"/>
                <w:szCs w:val="20"/>
              </w:rPr>
              <w:t>註</w:t>
            </w:r>
            <w:proofErr w:type="gramEnd"/>
            <w:r w:rsidRPr="00261E3C">
              <w:rPr>
                <w:rFonts w:hAnsi="標楷體" w:hint="eastAsia"/>
                <w:sz w:val="20"/>
                <w:szCs w:val="20"/>
              </w:rPr>
              <w:t>：1.係各年度產值較民國</w:t>
            </w:r>
            <w:proofErr w:type="gramStart"/>
            <w:r w:rsidRPr="00261E3C">
              <w:rPr>
                <w:rFonts w:hAnsi="標楷體" w:hint="eastAsia"/>
                <w:sz w:val="20"/>
                <w:szCs w:val="20"/>
              </w:rPr>
              <w:t>101</w:t>
            </w:r>
            <w:proofErr w:type="gramEnd"/>
            <w:r w:rsidRPr="00261E3C">
              <w:rPr>
                <w:rFonts w:hAnsi="標楷體" w:hint="eastAsia"/>
                <w:sz w:val="20"/>
                <w:szCs w:val="20"/>
              </w:rPr>
              <w:t>年度產值衰退比率。</w:t>
            </w:r>
          </w:p>
          <w:p w:rsidR="007C4753" w:rsidRPr="00261E3C" w:rsidRDefault="007C4753" w:rsidP="007C4753">
            <w:pPr>
              <w:overflowPunct/>
              <w:autoSpaceDE/>
              <w:autoSpaceDN/>
              <w:snapToGrid w:val="0"/>
              <w:ind w:leftChars="118" w:left="542" w:rightChars="-9" w:right="-31" w:hangingChars="64" w:hanging="141"/>
              <w:jc w:val="left"/>
              <w:rPr>
                <w:rFonts w:hAnsi="標楷體"/>
                <w:sz w:val="20"/>
                <w:szCs w:val="20"/>
              </w:rPr>
            </w:pPr>
            <w:r w:rsidRPr="00261E3C">
              <w:rPr>
                <w:rFonts w:hAnsi="標楷體" w:hint="eastAsia"/>
                <w:sz w:val="20"/>
                <w:szCs w:val="20"/>
              </w:rPr>
              <w:t>2.資料來源：整理自歷年臺灣出版產業調查報告。</w:t>
            </w:r>
          </w:p>
        </w:tc>
      </w:tr>
    </w:tbl>
    <w:p w:rsidR="003A5927" w:rsidRPr="00261E3C" w:rsidRDefault="003A5927" w:rsidP="00DE4238">
      <w:pPr>
        <w:pStyle w:val="32"/>
        <w:ind w:left="1361" w:firstLine="680"/>
      </w:pPr>
    </w:p>
    <w:p w:rsidR="007C4753" w:rsidRPr="00261E3C" w:rsidRDefault="007C4753" w:rsidP="007C4753">
      <w:pPr>
        <w:pStyle w:val="4"/>
      </w:pPr>
      <w:r w:rsidRPr="00261E3C">
        <w:rPr>
          <w:rFonts w:hint="eastAsia"/>
        </w:rPr>
        <w:t>103年6月「文化部國內外文化產業訊息及趨勢分析雙月報」引用資誠全球聯盟組織 (PwC Global)「全球娛樂及媒體產業2014至2018年度展望報告」 (Global Entertainment and Media outlook：2014-2018)指出，102年世界主要國家電子出版</w:t>
      </w:r>
      <w:proofErr w:type="gramStart"/>
      <w:r w:rsidRPr="00261E3C">
        <w:rPr>
          <w:rFonts w:hint="eastAsia"/>
        </w:rPr>
        <w:t>營收占整體</w:t>
      </w:r>
      <w:proofErr w:type="gramEnd"/>
      <w:r w:rsidRPr="00261E3C">
        <w:rPr>
          <w:rFonts w:hint="eastAsia"/>
        </w:rPr>
        <w:t>出版產業營收比率分別為韓國22.94％、英國17.91％、美國13.78％、日本12.53％、新加坡6.33％、香港5.29％、中國大陸3.76％，依該部「出版產業調查報告」指出，102及</w:t>
      </w:r>
      <w:proofErr w:type="gramStart"/>
      <w:r w:rsidRPr="00261E3C">
        <w:rPr>
          <w:rFonts w:hint="eastAsia"/>
        </w:rPr>
        <w:t>103</w:t>
      </w:r>
      <w:proofErr w:type="gramEnd"/>
      <w:r w:rsidRPr="00261E3C">
        <w:rPr>
          <w:rFonts w:hint="eastAsia"/>
        </w:rPr>
        <w:t>年度我國電子出版產值占整體圖書出版產業產值之比重分別為1.81％及2.18％。又該報告量化調查結果略</w:t>
      </w:r>
      <w:proofErr w:type="gramStart"/>
      <w:r w:rsidRPr="00261E3C">
        <w:rPr>
          <w:rFonts w:hint="eastAsia"/>
        </w:rPr>
        <w:t>以</w:t>
      </w:r>
      <w:proofErr w:type="gramEnd"/>
      <w:r w:rsidRPr="00261E3C">
        <w:rPr>
          <w:rFonts w:hint="eastAsia"/>
        </w:rPr>
        <w:t>：截至103年底，我國電子書</w:t>
      </w:r>
      <w:proofErr w:type="gramStart"/>
      <w:r w:rsidRPr="00261E3C">
        <w:rPr>
          <w:rFonts w:hint="eastAsia"/>
        </w:rPr>
        <w:t>發行冊</w:t>
      </w:r>
      <w:proofErr w:type="gramEnd"/>
      <w:r w:rsidRPr="00261E3C">
        <w:rPr>
          <w:rFonts w:hint="eastAsia"/>
        </w:rPr>
        <w:t>數僅</w:t>
      </w:r>
      <w:proofErr w:type="gramStart"/>
      <w:r w:rsidRPr="00261E3C">
        <w:rPr>
          <w:rFonts w:hint="eastAsia"/>
        </w:rPr>
        <w:t>占總圖書冊</w:t>
      </w:r>
      <w:proofErr w:type="gramEnd"/>
      <w:r w:rsidRPr="00261E3C">
        <w:rPr>
          <w:rFonts w:hint="eastAsia"/>
        </w:rPr>
        <w:t>數之5.2％，比率不高；電子書及電子雜誌之出版格式為PDF者：占比達</w:t>
      </w:r>
      <w:proofErr w:type="gramStart"/>
      <w:r w:rsidRPr="00261E3C">
        <w:rPr>
          <w:rFonts w:hint="eastAsia"/>
        </w:rPr>
        <w:t>7成</w:t>
      </w:r>
      <w:proofErr w:type="gramEnd"/>
      <w:r w:rsidRPr="00261E3C">
        <w:rPr>
          <w:rFonts w:hint="eastAsia"/>
        </w:rPr>
        <w:t>以上，多數檔案仍是通用一般桌上型或筆記型電腦閱讀，未符合民眾增加行動上網(以智慧型手機或平板電腦)之趨勢；同報告質化調查結果略</w:t>
      </w:r>
      <w:proofErr w:type="gramStart"/>
      <w:r w:rsidRPr="00261E3C">
        <w:rPr>
          <w:rFonts w:hint="eastAsia"/>
        </w:rPr>
        <w:t>以</w:t>
      </w:r>
      <w:proofErr w:type="gramEnd"/>
      <w:r w:rsidRPr="00261E3C">
        <w:rPr>
          <w:rFonts w:hint="eastAsia"/>
        </w:rPr>
        <w:t>：綜合業者訪談結果之數據，</w:t>
      </w:r>
      <w:proofErr w:type="gramStart"/>
      <w:r w:rsidRPr="00261E3C">
        <w:rPr>
          <w:rFonts w:hint="eastAsia"/>
        </w:rPr>
        <w:t>電子書營收</w:t>
      </w:r>
      <w:proofErr w:type="gramEnd"/>
      <w:r w:rsidRPr="00261E3C">
        <w:rPr>
          <w:rFonts w:hint="eastAsia"/>
        </w:rPr>
        <w:t>約占總營業額之1％至5％之間。以上顯示我國電子出版產值所占比重與世界各主要國家比較仍屬偏低，仍有提升空間。</w:t>
      </w:r>
    </w:p>
    <w:p w:rsidR="001C5E5D" w:rsidRPr="00261E3C" w:rsidRDefault="007C4753" w:rsidP="00DC0F73">
      <w:pPr>
        <w:pStyle w:val="4"/>
      </w:pPr>
      <w:r w:rsidRPr="00261E3C">
        <w:rPr>
          <w:rFonts w:hint="eastAsia"/>
        </w:rPr>
        <w:t>再查文化部105年9月陳奉行政院核定之「出版產</w:t>
      </w:r>
      <w:r w:rsidRPr="00261E3C">
        <w:rPr>
          <w:rFonts w:hint="eastAsia"/>
        </w:rPr>
        <w:lastRenderedPageBreak/>
        <w:t>業振興方案106至109年中程計畫」引用出版產業調查報告數據顯示，民眾網路閱讀率由</w:t>
      </w:r>
      <w:proofErr w:type="gramStart"/>
      <w:r w:rsidRPr="00261E3C">
        <w:rPr>
          <w:rFonts w:hint="eastAsia"/>
        </w:rPr>
        <w:t>101</w:t>
      </w:r>
      <w:proofErr w:type="gramEnd"/>
      <w:r w:rsidRPr="00261E3C">
        <w:rPr>
          <w:rFonts w:hint="eastAsia"/>
        </w:rPr>
        <w:t>年度之65.7％提升至</w:t>
      </w:r>
      <w:proofErr w:type="gramStart"/>
      <w:r w:rsidRPr="00261E3C">
        <w:rPr>
          <w:rFonts w:hint="eastAsia"/>
        </w:rPr>
        <w:t>103</w:t>
      </w:r>
      <w:proofErr w:type="gramEnd"/>
      <w:r w:rsidRPr="00261E3C">
        <w:rPr>
          <w:rFonts w:hint="eastAsia"/>
        </w:rPr>
        <w:t>年度之67.6％外，報紙、圖書、雜誌及漫畫閱讀率則皆下降2％至6％，網路儼然已成為國人最重要之閱讀媒介，惟大部分民眾仍以上網閱讀免費電子新聞(91％)等免費訊息為主，閱讀付費電子書(6.1％)、電子雜誌(3.2％)、電子報(2.2％)、電子漫畫(0.7％)之比率仍低。該方案之計畫</w:t>
      </w:r>
      <w:proofErr w:type="gramStart"/>
      <w:r w:rsidRPr="00261E3C">
        <w:rPr>
          <w:rFonts w:hint="eastAsia"/>
        </w:rPr>
        <w:t>書亦敘明</w:t>
      </w:r>
      <w:proofErr w:type="gramEnd"/>
      <w:r w:rsidRPr="00261E3C">
        <w:rPr>
          <w:rFonts w:hint="eastAsia"/>
        </w:rPr>
        <w:t>，閱讀習慣改變所萎縮之圖書消費量，尚未能在數位閱</w:t>
      </w:r>
      <w:r w:rsidR="001C5E5D" w:rsidRPr="00261E3C">
        <w:rPr>
          <w:rFonts w:hint="eastAsia"/>
        </w:rPr>
        <w:t>讀興起之趨勢中，順勢轉換為數位出版產值，致整體出版產值一路下滑。</w:t>
      </w:r>
    </w:p>
    <w:p w:rsidR="003A5927" w:rsidRPr="00261E3C" w:rsidRDefault="00315F4B" w:rsidP="00315F4B">
      <w:pPr>
        <w:pStyle w:val="3"/>
      </w:pPr>
      <w:bookmarkStart w:id="63" w:name="_Toc509994076"/>
      <w:bookmarkStart w:id="64" w:name="_Toc509996787"/>
      <w:proofErr w:type="gramStart"/>
      <w:r w:rsidRPr="00261E3C">
        <w:rPr>
          <w:rFonts w:hint="eastAsia"/>
        </w:rPr>
        <w:t>文化部雖已</w:t>
      </w:r>
      <w:proofErr w:type="gramEnd"/>
      <w:r w:rsidRPr="00261E3C">
        <w:rPr>
          <w:rFonts w:hint="eastAsia"/>
        </w:rPr>
        <w:t>常年推動培育文學創作及扶植出版產業相關計畫，惟我國出版產業產值衰退幅度較世界各主要國家嚴重，亦未達「圖文出版發展計畫」預計產值之目標，且電子出版產值所占比重與世界各主要國家比較仍屬偏低</w:t>
      </w:r>
      <w:r w:rsidR="00D80CB0" w:rsidRPr="00261E3C">
        <w:rPr>
          <w:rFonts w:hint="eastAsia"/>
        </w:rPr>
        <w:t>。</w:t>
      </w:r>
      <w:proofErr w:type="gramStart"/>
      <w:r w:rsidR="001C5E5D" w:rsidRPr="00261E3C">
        <w:rPr>
          <w:rFonts w:hint="eastAsia"/>
        </w:rPr>
        <w:t>鑑</w:t>
      </w:r>
      <w:proofErr w:type="gramEnd"/>
      <w:r w:rsidR="001C5E5D" w:rsidRPr="00261E3C">
        <w:rPr>
          <w:rFonts w:hint="eastAsia"/>
        </w:rPr>
        <w:t>於預算執行後未能達成預期效益</w:t>
      </w:r>
      <w:r w:rsidR="00903B84" w:rsidRPr="00261E3C">
        <w:rPr>
          <w:rFonts w:hint="eastAsia"/>
        </w:rPr>
        <w:t>，據文化</w:t>
      </w:r>
      <w:proofErr w:type="gramStart"/>
      <w:r w:rsidR="00903B84" w:rsidRPr="00261E3C">
        <w:rPr>
          <w:rFonts w:hint="eastAsia"/>
        </w:rPr>
        <w:t>部函復本</w:t>
      </w:r>
      <w:proofErr w:type="gramEnd"/>
      <w:r w:rsidR="00903B84" w:rsidRPr="00261E3C">
        <w:rPr>
          <w:rFonts w:hint="eastAsia"/>
        </w:rPr>
        <w:t>院之</w:t>
      </w:r>
      <w:r w:rsidR="00EC40CE" w:rsidRPr="00261E3C">
        <w:rPr>
          <w:rFonts w:hint="eastAsia"/>
        </w:rPr>
        <w:t>出版產業衰退的</w:t>
      </w:r>
      <w:r w:rsidR="00903B84" w:rsidRPr="00261E3C">
        <w:rPr>
          <w:rFonts w:hint="eastAsia"/>
        </w:rPr>
        <w:t>原因</w:t>
      </w:r>
      <w:r w:rsidR="00EC40CE" w:rsidRPr="00261E3C">
        <w:rPr>
          <w:rFonts w:hint="eastAsia"/>
        </w:rPr>
        <w:t>檢討</w:t>
      </w:r>
      <w:r w:rsidR="00903B84" w:rsidRPr="00261E3C">
        <w:rPr>
          <w:rFonts w:hint="eastAsia"/>
        </w:rPr>
        <w:t>略</w:t>
      </w:r>
      <w:proofErr w:type="gramStart"/>
      <w:r w:rsidR="00903B84" w:rsidRPr="00261E3C">
        <w:rPr>
          <w:rFonts w:hint="eastAsia"/>
        </w:rPr>
        <w:t>以</w:t>
      </w:r>
      <w:proofErr w:type="gramEnd"/>
      <w:r w:rsidR="00903B84" w:rsidRPr="00261E3C">
        <w:rPr>
          <w:rFonts w:hint="eastAsia"/>
        </w:rPr>
        <w:t>：</w:t>
      </w:r>
      <w:r w:rsidR="00EC40CE" w:rsidRPr="00261E3C">
        <w:rPr>
          <w:rFonts w:hint="eastAsia"/>
        </w:rPr>
        <w:t>在供給面的原因包括：1.創作能源無法匯入產業，原創暢銷作品不足；2.圖書通路削價競爭，小型出版社及實體書店生存困難；3.各縣市政府、學校等圖書館之圖書資源愈來愈豐富，民眾借閱情形亦相當踴躍，而多數圖書館為免費借</w:t>
      </w:r>
      <w:proofErr w:type="gramStart"/>
      <w:r w:rsidR="00EC40CE" w:rsidRPr="00261E3C">
        <w:rPr>
          <w:rFonts w:hint="eastAsia"/>
        </w:rPr>
        <w:t>閱</w:t>
      </w:r>
      <w:proofErr w:type="gramEnd"/>
      <w:r w:rsidR="00EC40CE" w:rsidRPr="00261E3C">
        <w:rPr>
          <w:rFonts w:hint="eastAsia"/>
        </w:rPr>
        <w:t>，且網路免費閱讀資源多，直接影響民眾購書之意願，影響出版業收益。在需求面的原因包括：1.閱讀習慣改變，免費資訊多，影響購書消費意願；2.</w:t>
      </w:r>
      <w:r w:rsidR="00BF538C" w:rsidRPr="00261E3C">
        <w:rPr>
          <w:rFonts w:hint="eastAsia"/>
        </w:rPr>
        <w:t>公部門圖書採購低價搶標，壓縮出版業利潤空間；</w:t>
      </w:r>
      <w:r w:rsidR="00BD40F0" w:rsidRPr="00261E3C">
        <w:rPr>
          <w:rFonts w:hint="eastAsia"/>
        </w:rPr>
        <w:t>3.少子女化造成勞動人力結構改變與缺乏</w:t>
      </w:r>
      <w:r w:rsidR="00704926" w:rsidRPr="00261E3C">
        <w:rPr>
          <w:rFonts w:hint="eastAsia"/>
        </w:rPr>
        <w:t>，整體消費力下降</w:t>
      </w:r>
      <w:r w:rsidR="00BD40F0" w:rsidRPr="00261E3C">
        <w:rPr>
          <w:rFonts w:hint="eastAsia"/>
        </w:rPr>
        <w:t>等因素。</w:t>
      </w:r>
      <w:bookmarkEnd w:id="63"/>
      <w:bookmarkEnd w:id="64"/>
    </w:p>
    <w:p w:rsidR="00704926" w:rsidRPr="00261E3C" w:rsidRDefault="00704926" w:rsidP="00315F4B">
      <w:pPr>
        <w:pStyle w:val="3"/>
      </w:pPr>
      <w:bookmarkStart w:id="65" w:name="_Toc509994077"/>
      <w:bookmarkStart w:id="66" w:name="_Toc509996788"/>
      <w:r w:rsidRPr="00261E3C">
        <w:rPr>
          <w:rFonts w:hint="eastAsia"/>
        </w:rPr>
        <w:t>從外部因素的大環境分析，近年來社會變遷確實已</w:t>
      </w:r>
      <w:r w:rsidRPr="00261E3C">
        <w:rPr>
          <w:rFonts w:hint="eastAsia"/>
        </w:rPr>
        <w:lastRenderedPageBreak/>
        <w:t>對出版產業的發生產生諸多不利因素。</w:t>
      </w:r>
      <w:r w:rsidR="00601BDF" w:rsidRPr="00261E3C">
        <w:rPr>
          <w:rFonts w:hint="eastAsia"/>
        </w:rPr>
        <w:t>從國民的實質薪資所得來看，近年來呈現停滯不前的情形，反應在圖書、雜誌等出版品的消費上，</w:t>
      </w:r>
      <w:r w:rsidR="00847F58" w:rsidRPr="00261E3C">
        <w:rPr>
          <w:rFonts w:hint="eastAsia"/>
        </w:rPr>
        <w:t>依據行政院</w:t>
      </w:r>
      <w:r w:rsidR="00847F58" w:rsidRPr="00261E3C">
        <w:t>主計總處</w:t>
      </w:r>
      <w:r w:rsidR="00847F58" w:rsidRPr="00261E3C">
        <w:rPr>
          <w:rFonts w:hint="eastAsia"/>
        </w:rPr>
        <w:t>的統計資料，臺灣每戶書報雜誌及文具消費支出的金額，由99年之每年6,089元逐年下滑至103年之5,022元，如下圖</w:t>
      </w:r>
      <w:r w:rsidR="008E334F" w:rsidRPr="00261E3C">
        <w:rPr>
          <w:rFonts w:hint="eastAsia"/>
        </w:rPr>
        <w:t>。</w:t>
      </w:r>
      <w:bookmarkEnd w:id="65"/>
      <w:bookmarkEnd w:id="66"/>
    </w:p>
    <w:p w:rsidR="00847F58" w:rsidRPr="00261E3C" w:rsidRDefault="008E334F" w:rsidP="00053535">
      <w:pPr>
        <w:ind w:leftChars="417" w:left="1418"/>
      </w:pPr>
      <w:r w:rsidRPr="00261E3C">
        <w:rPr>
          <w:noProof/>
        </w:rPr>
        <w:drawing>
          <wp:inline distT="0" distB="0" distL="0" distR="0" wp14:anchorId="004DAE05" wp14:editId="3F19B8CD">
            <wp:extent cx="4384104" cy="205740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2062734"/>
                    </a:xfrm>
                    <a:prstGeom prst="rect">
                      <a:avLst/>
                    </a:prstGeom>
                    <a:noFill/>
                  </pic:spPr>
                </pic:pic>
              </a:graphicData>
            </a:graphic>
          </wp:inline>
        </w:drawing>
      </w:r>
    </w:p>
    <w:p w:rsidR="00847F58" w:rsidRPr="00261E3C" w:rsidRDefault="00847F58" w:rsidP="002E385B">
      <w:pPr>
        <w:ind w:leftChars="417" w:left="1418"/>
        <w:rPr>
          <w:sz w:val="24"/>
          <w:szCs w:val="24"/>
        </w:rPr>
      </w:pPr>
      <w:bookmarkStart w:id="67" w:name="_Toc509994078"/>
      <w:r w:rsidRPr="00261E3C">
        <w:rPr>
          <w:sz w:val="24"/>
          <w:szCs w:val="24"/>
        </w:rPr>
        <w:t>資料來源：行政院主計總處</w:t>
      </w:r>
      <w:r w:rsidRPr="00261E3C">
        <w:rPr>
          <w:rFonts w:hint="eastAsia"/>
          <w:sz w:val="24"/>
          <w:szCs w:val="24"/>
        </w:rPr>
        <w:t>：</w:t>
      </w:r>
      <w:r w:rsidRPr="00261E3C">
        <w:rPr>
          <w:sz w:val="24"/>
          <w:szCs w:val="24"/>
        </w:rPr>
        <w:t>臺灣地區家庭收支調查</w:t>
      </w:r>
      <w:bookmarkEnd w:id="67"/>
    </w:p>
    <w:p w:rsidR="00847F58" w:rsidRPr="00261E3C" w:rsidRDefault="00847F58" w:rsidP="00847F58">
      <w:pPr>
        <w:pStyle w:val="a1"/>
      </w:pPr>
      <w:bookmarkStart w:id="68" w:name="_Toc509996937"/>
      <w:r w:rsidRPr="00261E3C">
        <w:rPr>
          <w:rFonts w:hint="eastAsia"/>
        </w:rPr>
        <w:t>臺灣每戶書報雜誌及文具消費支出金額統計</w:t>
      </w:r>
      <w:bookmarkEnd w:id="68"/>
    </w:p>
    <w:p w:rsidR="006467CE" w:rsidRPr="00261E3C" w:rsidRDefault="006467CE" w:rsidP="00D80CB0">
      <w:pPr>
        <w:pStyle w:val="32"/>
        <w:ind w:left="1361" w:firstLine="680"/>
      </w:pPr>
    </w:p>
    <w:p w:rsidR="00D80CB0" w:rsidRPr="00261E3C" w:rsidRDefault="006467CE" w:rsidP="00D80CB0">
      <w:pPr>
        <w:pStyle w:val="32"/>
        <w:ind w:left="1361" w:firstLine="680"/>
      </w:pPr>
      <w:r w:rsidRPr="00261E3C">
        <w:rPr>
          <w:rFonts w:hint="eastAsia"/>
        </w:rPr>
        <w:t>另依據財政部的統計，</w:t>
      </w:r>
      <w:r w:rsidRPr="00261E3C">
        <w:t>圖書出版環境日益惡化，其中通路端的小型實體</w:t>
      </w:r>
      <w:r w:rsidRPr="00261E3C">
        <w:rPr>
          <w:rFonts w:hint="eastAsia"/>
        </w:rPr>
        <w:t>書店因受限於經營規模，缺乏議價能力，無力在書價折扣上與網路書店、大型連鎖書店乃至於大賣場競爭，在</w:t>
      </w:r>
      <w:proofErr w:type="gramStart"/>
      <w:r w:rsidRPr="00261E3C">
        <w:t>這場</w:t>
      </w:r>
      <w:r w:rsidRPr="00261E3C">
        <w:rPr>
          <w:rFonts w:hint="eastAsia"/>
        </w:rPr>
        <w:t>書</w:t>
      </w:r>
      <w:r w:rsidRPr="00261E3C">
        <w:t>價</w:t>
      </w:r>
      <w:proofErr w:type="gramEnd"/>
      <w:r w:rsidRPr="00261E3C">
        <w:t>折扣戰中受害最深，</w:t>
      </w:r>
      <w:r w:rsidRPr="00261E3C">
        <w:rPr>
          <w:rFonts w:hint="eastAsia"/>
        </w:rPr>
        <w:t>普遍面臨營運困難的問題，</w:t>
      </w:r>
      <w:r w:rsidRPr="00261E3C">
        <w:t>也</w:t>
      </w:r>
      <w:r w:rsidRPr="00261E3C">
        <w:rPr>
          <w:rFonts w:hint="eastAsia"/>
        </w:rPr>
        <w:t>造</w:t>
      </w:r>
      <w:r w:rsidRPr="00261E3C">
        <w:t>成臺灣</w:t>
      </w:r>
      <w:r w:rsidRPr="00261E3C">
        <w:rPr>
          <w:rFonts w:hint="eastAsia"/>
        </w:rPr>
        <w:t>書</w:t>
      </w:r>
      <w:r w:rsidRPr="00261E3C">
        <w:t>店數量</w:t>
      </w:r>
      <w:r w:rsidRPr="00261E3C">
        <w:rPr>
          <w:rFonts w:hint="eastAsia"/>
        </w:rPr>
        <w:t>的</w:t>
      </w:r>
      <w:r w:rsidRPr="00261E3C">
        <w:t>逐</w:t>
      </w:r>
      <w:r w:rsidRPr="00261E3C">
        <w:rPr>
          <w:rFonts w:hint="eastAsia"/>
        </w:rPr>
        <w:t>年減</w:t>
      </w:r>
      <w:r w:rsidRPr="00261E3C">
        <w:t>少</w:t>
      </w:r>
      <w:r w:rsidRPr="00261E3C">
        <w:rPr>
          <w:rFonts w:hint="eastAsia"/>
        </w:rPr>
        <w:t>。</w:t>
      </w:r>
      <w:r w:rsidRPr="00261E3C">
        <w:t>從99</w:t>
      </w:r>
      <w:r w:rsidRPr="00261E3C">
        <w:rPr>
          <w:rFonts w:hint="eastAsia"/>
        </w:rPr>
        <w:t>年</w:t>
      </w:r>
      <w:r w:rsidRPr="00261E3C">
        <w:t>至104年9月，</w:t>
      </w:r>
      <w:r w:rsidRPr="00261E3C">
        <w:rPr>
          <w:rFonts w:hint="eastAsia"/>
        </w:rPr>
        <w:t>臺灣書店數量已從</w:t>
      </w:r>
      <w:r w:rsidRPr="00261E3C">
        <w:t>2,973家減少至2,200家，減少比率超過1/4。</w:t>
      </w:r>
      <w:r w:rsidRPr="00261E3C">
        <w:rPr>
          <w:rFonts w:hint="eastAsia"/>
        </w:rPr>
        <w:t>如下圖</w:t>
      </w:r>
    </w:p>
    <w:p w:rsidR="006467CE" w:rsidRPr="00261E3C" w:rsidRDefault="006467CE" w:rsidP="00D80CB0">
      <w:pPr>
        <w:pStyle w:val="32"/>
        <w:ind w:left="1361" w:firstLine="680"/>
      </w:pPr>
    </w:p>
    <w:p w:rsidR="006467CE" w:rsidRPr="00261E3C" w:rsidRDefault="006467CE" w:rsidP="00437E49">
      <w:pPr>
        <w:ind w:leftChars="416" w:left="1415"/>
        <w:rPr>
          <w:sz w:val="24"/>
          <w:szCs w:val="24"/>
        </w:rPr>
      </w:pPr>
      <w:r w:rsidRPr="00261E3C">
        <w:rPr>
          <w:noProof/>
        </w:rPr>
        <w:lastRenderedPageBreak/>
        <w:drawing>
          <wp:inline distT="0" distB="0" distL="0" distR="0" wp14:anchorId="58D37926" wp14:editId="43DB8584">
            <wp:extent cx="4162424" cy="2257425"/>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3695" cy="2258114"/>
                    </a:xfrm>
                    <a:prstGeom prst="rect">
                      <a:avLst/>
                    </a:prstGeom>
                    <a:noFill/>
                  </pic:spPr>
                </pic:pic>
              </a:graphicData>
            </a:graphic>
          </wp:inline>
        </w:drawing>
      </w:r>
    </w:p>
    <w:p w:rsidR="00847F58" w:rsidRPr="00261E3C" w:rsidRDefault="006467CE" w:rsidP="00437E49">
      <w:pPr>
        <w:widowControl/>
        <w:overflowPunct/>
        <w:autoSpaceDE/>
        <w:autoSpaceDN/>
        <w:ind w:firstLineChars="545" w:firstLine="1418"/>
        <w:rPr>
          <w:b/>
          <w:noProof/>
          <w:sz w:val="24"/>
          <w:szCs w:val="24"/>
        </w:rPr>
      </w:pPr>
      <w:r w:rsidRPr="00261E3C">
        <w:rPr>
          <w:sz w:val="24"/>
          <w:szCs w:val="24"/>
        </w:rPr>
        <w:t>資料來源：財政部統計資料庫</w:t>
      </w:r>
    </w:p>
    <w:p w:rsidR="006467CE" w:rsidRPr="00261E3C" w:rsidRDefault="006467CE" w:rsidP="006467CE">
      <w:pPr>
        <w:pStyle w:val="a1"/>
        <w:rPr>
          <w:noProof/>
        </w:rPr>
      </w:pPr>
      <w:bookmarkStart w:id="69" w:name="_Toc509996938"/>
      <w:r w:rsidRPr="00261E3C">
        <w:rPr>
          <w:rFonts w:hint="eastAsia"/>
        </w:rPr>
        <w:t>臺灣書籍雜誌零售通路家數統計</w:t>
      </w:r>
      <w:bookmarkEnd w:id="69"/>
    </w:p>
    <w:p w:rsidR="00847F58" w:rsidRPr="00261E3C" w:rsidRDefault="00A56AE7" w:rsidP="001A62FC">
      <w:pPr>
        <w:pStyle w:val="3"/>
        <w:rPr>
          <w:noProof/>
        </w:rPr>
      </w:pPr>
      <w:bookmarkStart w:id="70" w:name="_Toc509994079"/>
      <w:bookmarkStart w:id="71" w:name="_Toc509996789"/>
      <w:r w:rsidRPr="00261E3C">
        <w:rPr>
          <w:rFonts w:hint="eastAsia"/>
          <w:noProof/>
        </w:rPr>
        <w:t>另從國外的實證經驗觀察，</w:t>
      </w:r>
      <w:r w:rsidR="008C6981" w:rsidRPr="00261E3C">
        <w:rPr>
          <w:rFonts w:hint="eastAsia"/>
          <w:noProof/>
        </w:rPr>
        <w:t>以日本為例，</w:t>
      </w:r>
      <w:r w:rsidRPr="00261E3C">
        <w:rPr>
          <w:rFonts w:hint="eastAsia"/>
          <w:noProof/>
        </w:rPr>
        <w:t>日本面臨少子化的威脅</w:t>
      </w:r>
      <w:r w:rsidR="00B62BAB" w:rsidRPr="00261E3C">
        <w:rPr>
          <w:rFonts w:hint="eastAsia"/>
          <w:noProof/>
        </w:rPr>
        <w:t>，</w:t>
      </w:r>
      <w:r w:rsidRPr="00261E3C">
        <w:rPr>
          <w:rFonts w:hint="eastAsia"/>
          <w:noProof/>
        </w:rPr>
        <w:t>圖書出版市場出現發展停滯</w:t>
      </w:r>
      <w:r w:rsidR="001A62FC" w:rsidRPr="00261E3C">
        <w:rPr>
          <w:rFonts w:hint="eastAsia"/>
          <w:noProof/>
        </w:rPr>
        <w:t>、</w:t>
      </w:r>
      <w:r w:rsidRPr="00261E3C">
        <w:rPr>
          <w:rFonts w:hint="eastAsia"/>
          <w:noProof/>
        </w:rPr>
        <w:t>衰退的情形</w:t>
      </w:r>
      <w:r w:rsidR="001A62FC" w:rsidRPr="00261E3C">
        <w:rPr>
          <w:rFonts w:hint="eastAsia"/>
          <w:noProof/>
        </w:rPr>
        <w:t>。</w:t>
      </w:r>
      <w:r w:rsidR="008C6981" w:rsidRPr="00261E3C">
        <w:rPr>
          <w:rFonts w:hint="eastAsia"/>
          <w:noProof/>
        </w:rPr>
        <w:t>至</w:t>
      </w:r>
      <w:r w:rsidR="00B62BAB" w:rsidRPr="00261E3C">
        <w:rPr>
          <w:rFonts w:hint="eastAsia"/>
          <w:noProof/>
        </w:rPr>
        <w:t>2017</w:t>
      </w:r>
      <w:r w:rsidR="008C6981" w:rsidRPr="00261E3C">
        <w:rPr>
          <w:rFonts w:hint="eastAsia"/>
          <w:noProof/>
        </w:rPr>
        <w:t>年止，日本的出版市場已連續13年出現衰退，</w:t>
      </w:r>
      <w:r w:rsidR="00B62BAB" w:rsidRPr="00261E3C">
        <w:rPr>
          <w:rFonts w:hint="eastAsia"/>
          <w:noProof/>
        </w:rPr>
        <w:t>2017</w:t>
      </w:r>
      <w:r w:rsidR="008C6981" w:rsidRPr="00261E3C">
        <w:rPr>
          <w:rFonts w:hint="eastAsia"/>
          <w:noProof/>
        </w:rPr>
        <w:t>年的衰退率更是創下近十年來的新高（6.9</w:t>
      </w:r>
      <w:r w:rsidR="00893E2A" w:rsidRPr="00261E3C">
        <w:rPr>
          <w:rFonts w:hint="eastAsia"/>
          <w:noProof/>
        </w:rPr>
        <w:t>％</w:t>
      </w:r>
      <w:r w:rsidR="008C6981" w:rsidRPr="00261E3C">
        <w:rPr>
          <w:rFonts w:hint="eastAsia"/>
          <w:noProof/>
        </w:rPr>
        <w:t>）。根據</w:t>
      </w:r>
      <w:r w:rsidR="00B91A9F" w:rsidRPr="00261E3C">
        <w:rPr>
          <w:rFonts w:hint="eastAsia"/>
          <w:noProof/>
        </w:rPr>
        <w:t>文化部函復引述日本</w:t>
      </w:r>
      <w:r w:rsidR="008C6981" w:rsidRPr="00261E3C">
        <w:rPr>
          <w:rFonts w:hint="eastAsia"/>
          <w:noProof/>
        </w:rPr>
        <w:t>專家</w:t>
      </w:r>
      <w:r w:rsidR="00B91A9F" w:rsidRPr="00261E3C">
        <w:rPr>
          <w:rFonts w:hint="eastAsia"/>
          <w:noProof/>
        </w:rPr>
        <w:t>的</w:t>
      </w:r>
      <w:r w:rsidR="008C6981" w:rsidRPr="00261E3C">
        <w:rPr>
          <w:rFonts w:hint="eastAsia"/>
          <w:noProof/>
        </w:rPr>
        <w:t>分析，造成日本這種「</w:t>
      </w:r>
      <w:r w:rsidR="000D0135" w:rsidRPr="00261E3C">
        <w:rPr>
          <w:rFonts w:hint="eastAsia"/>
          <w:noProof/>
        </w:rPr>
        <w:t>出版產業衰退</w:t>
      </w:r>
      <w:r w:rsidR="000D0135" w:rsidRPr="00261E3C">
        <w:rPr>
          <w:rStyle w:val="aff0"/>
          <w:noProof/>
        </w:rPr>
        <w:footnoteReference w:id="1"/>
      </w:r>
      <w:r w:rsidR="008C6981" w:rsidRPr="00261E3C">
        <w:rPr>
          <w:rFonts w:hint="eastAsia"/>
          <w:noProof/>
        </w:rPr>
        <w:t>」的原因有七：1.少子化造成人口結構比率的變化；2.網際網路、智慧型手機與平板電腦的普及；3.圖書館、新古書店利用率的提升；4.消費者資訊蒐集手段的多樣化；5.消費者時間及金錢使用方式的變化；6.國民實質所得減少；7.出版品作為資訊提供與娛樂用途的價值降低。</w:t>
      </w:r>
      <w:r w:rsidR="001A62FC" w:rsidRPr="00261E3C">
        <w:rPr>
          <w:rFonts w:hint="eastAsia"/>
          <w:noProof/>
        </w:rPr>
        <w:t>再以中國大陸為例，</w:t>
      </w:r>
      <w:r w:rsidR="00B62BAB" w:rsidRPr="00261E3C">
        <w:rPr>
          <w:rFonts w:hint="eastAsia"/>
          <w:noProof/>
        </w:rPr>
        <w:t>中國大陸雖然國民實質所得增加，但</w:t>
      </w:r>
      <w:r w:rsidR="001A62FC" w:rsidRPr="00261E3C">
        <w:rPr>
          <w:rFonts w:hint="eastAsia"/>
          <w:noProof/>
        </w:rPr>
        <w:t>伴隨著數位時代的來臨與網際網路的普及，出版業的結構亦呈現</w:t>
      </w:r>
      <w:r w:rsidR="00B62BAB" w:rsidRPr="00261E3C">
        <w:rPr>
          <w:rFonts w:hint="eastAsia"/>
          <w:noProof/>
        </w:rPr>
        <w:t>急遽</w:t>
      </w:r>
      <w:r w:rsidR="001A62FC" w:rsidRPr="00261E3C">
        <w:rPr>
          <w:rFonts w:hint="eastAsia"/>
          <w:noProof/>
        </w:rPr>
        <w:t>變化</w:t>
      </w:r>
      <w:r w:rsidR="00B62BAB" w:rsidRPr="00261E3C">
        <w:rPr>
          <w:rFonts w:hint="eastAsia"/>
          <w:noProof/>
        </w:rPr>
        <w:t>。</w:t>
      </w:r>
      <w:r w:rsidR="001A62FC" w:rsidRPr="00261E3C">
        <w:rPr>
          <w:rFonts w:hint="eastAsia"/>
          <w:noProof/>
        </w:rPr>
        <w:t>依據中國新聞出版研究院2017年4月18日公布了第14次全國國民閱讀調查的主要情況。調查顯示，2016年成年國民各媒介綜合閱讀率為79.9％，較2015年的79.6％略有提升，數位化閱讀方式的接觸率為68.2</w:t>
      </w:r>
      <w:r w:rsidR="001A62FC" w:rsidRPr="00261E3C">
        <w:rPr>
          <w:rFonts w:hint="eastAsia"/>
          <w:noProof/>
        </w:rPr>
        <w:lastRenderedPageBreak/>
        <w:t>％，較2015年的64.0％上升了4.2個百分點，圖書閱讀率為58.8％，較2015年的58.4％上升了0.4個百分點。</w:t>
      </w:r>
      <w:r w:rsidR="00437E49" w:rsidRPr="00261E3C">
        <w:rPr>
          <w:rFonts w:hint="eastAsia"/>
          <w:noProof/>
        </w:rPr>
        <w:t>與此同時，手機閱讀增長率的</w:t>
      </w:r>
      <w:r w:rsidR="003212F2">
        <w:rPr>
          <w:rFonts w:hint="eastAsia"/>
          <w:noProof/>
        </w:rPr>
        <w:t>占</w:t>
      </w:r>
      <w:r w:rsidR="00437E49" w:rsidRPr="00261E3C">
        <w:rPr>
          <w:rFonts w:hint="eastAsia"/>
          <w:noProof/>
        </w:rPr>
        <w:t>比</w:t>
      </w:r>
      <w:r w:rsidR="008E1851" w:rsidRPr="00261E3C">
        <w:rPr>
          <w:rFonts w:hint="eastAsia"/>
          <w:noProof/>
        </w:rPr>
        <w:t>由2011年的27.6％快速上升至2016年的66.1％，顯示國民綜合閱讀的結構已發生劇烈改變</w:t>
      </w:r>
      <w:r w:rsidR="008E1851" w:rsidRPr="00261E3C">
        <w:rPr>
          <w:rStyle w:val="aff0"/>
          <w:noProof/>
        </w:rPr>
        <w:footnoteReference w:id="2"/>
      </w:r>
      <w:r w:rsidR="008E1851" w:rsidRPr="00261E3C">
        <w:rPr>
          <w:rFonts w:hint="eastAsia"/>
          <w:noProof/>
        </w:rPr>
        <w:t>。</w:t>
      </w:r>
      <w:bookmarkEnd w:id="70"/>
      <w:bookmarkEnd w:id="71"/>
    </w:p>
    <w:p w:rsidR="001A62FC" w:rsidRPr="00261E3C" w:rsidRDefault="001A62FC" w:rsidP="002E385B">
      <w:pPr>
        <w:ind w:leftChars="417" w:left="1418"/>
        <w:rPr>
          <w:noProof/>
        </w:rPr>
      </w:pPr>
      <w:bookmarkStart w:id="72" w:name="_Toc509994080"/>
      <w:r w:rsidRPr="00261E3C">
        <w:rPr>
          <w:rFonts w:hint="eastAsia"/>
          <w:noProof/>
        </w:rPr>
        <w:drawing>
          <wp:inline distT="0" distB="0" distL="0" distR="0" wp14:anchorId="579DE335" wp14:editId="5F224251">
            <wp:extent cx="4655128" cy="3087584"/>
            <wp:effectExtent l="0" t="0" r="0" b="0"/>
            <wp:docPr id="13" name="圖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72"/>
    </w:p>
    <w:p w:rsidR="00B91A9F" w:rsidRPr="00261E3C" w:rsidRDefault="00B91A9F" w:rsidP="00B91A9F">
      <w:pPr>
        <w:pStyle w:val="a1"/>
        <w:rPr>
          <w:noProof/>
        </w:rPr>
      </w:pPr>
      <w:bookmarkStart w:id="73" w:name="_Toc509996939"/>
      <w:r w:rsidRPr="00261E3C">
        <w:rPr>
          <w:rFonts w:hint="eastAsia"/>
          <w:noProof/>
        </w:rPr>
        <w:t>中國大陸國民綜合閱讀與手機閱讀增長率圖</w:t>
      </w:r>
      <w:bookmarkEnd w:id="73"/>
      <w:r w:rsidR="002717C3" w:rsidRPr="00261E3C">
        <w:rPr>
          <w:rFonts w:hint="eastAsia"/>
          <w:noProof/>
        </w:rPr>
        <w:t>（單位：％）</w:t>
      </w:r>
    </w:p>
    <w:p w:rsidR="002E385B" w:rsidRPr="00261E3C" w:rsidRDefault="002E385B" w:rsidP="002E385B">
      <w:pPr>
        <w:ind w:leftChars="417" w:left="1418"/>
        <w:rPr>
          <w:noProof/>
          <w:sz w:val="24"/>
          <w:szCs w:val="24"/>
        </w:rPr>
      </w:pPr>
      <w:r w:rsidRPr="00261E3C">
        <w:rPr>
          <w:rFonts w:hint="eastAsia"/>
          <w:noProof/>
          <w:sz w:val="24"/>
          <w:szCs w:val="24"/>
        </w:rPr>
        <w:t>資料來源：中國新聞出版研究院第十四次全國國民閱讀調查，</w:t>
      </w:r>
      <w:r w:rsidRPr="00261E3C">
        <w:rPr>
          <w:rFonts w:hint="eastAsia"/>
          <w:sz w:val="24"/>
          <w:szCs w:val="24"/>
        </w:rPr>
        <w:t>取自</w:t>
      </w:r>
      <w:hyperlink r:id="rId14" w:history="1">
        <w:r w:rsidRPr="00261E3C">
          <w:rPr>
            <w:rStyle w:val="af"/>
            <w:color w:val="auto"/>
            <w:sz w:val="24"/>
            <w:szCs w:val="24"/>
          </w:rPr>
          <w:t>https://www.nownews.com/news/20170420/2489105</w:t>
        </w:r>
      </w:hyperlink>
      <w:r w:rsidRPr="00261E3C">
        <w:rPr>
          <w:rFonts w:hint="eastAsia"/>
          <w:sz w:val="24"/>
          <w:szCs w:val="24"/>
        </w:rPr>
        <w:t>。</w:t>
      </w:r>
    </w:p>
    <w:p w:rsidR="00F736E4" w:rsidRPr="00261E3C" w:rsidRDefault="00F736E4" w:rsidP="00C17AA8">
      <w:pPr>
        <w:pStyle w:val="3"/>
      </w:pPr>
      <w:bookmarkStart w:id="74" w:name="_Toc509994081"/>
      <w:bookmarkStart w:id="75" w:name="_Toc509996790"/>
      <w:r w:rsidRPr="00261E3C">
        <w:rPr>
          <w:rFonts w:hint="eastAsia"/>
        </w:rPr>
        <w:t>據文化</w:t>
      </w:r>
      <w:proofErr w:type="gramStart"/>
      <w:r w:rsidRPr="00261E3C">
        <w:rPr>
          <w:rFonts w:hint="eastAsia"/>
        </w:rPr>
        <w:t>部函復本</w:t>
      </w:r>
      <w:proofErr w:type="gramEnd"/>
      <w:r w:rsidRPr="00261E3C">
        <w:rPr>
          <w:rFonts w:hint="eastAsia"/>
        </w:rPr>
        <w:t>院稱：該部辦理之「出版產業扶植政策」是從產業鏈各個環節思考，從內容提供端「鼓勵原創及發展IP」與「促進跨界合作與多元應用」，透過鼓勵原創的機制，提升內容創作質感，豐富我國的創作多元類型，利於海外及跨界發展的機會，從出版業者發展需求「促進產業發展之良性循環及資訊流通」，穩定業者經營，並「帶動國民閱讀」以營造閱讀風氣、刺激國內閱讀消費，「鎖定全球</w:t>
      </w:r>
      <w:r w:rsidRPr="00261E3C">
        <w:rPr>
          <w:rFonts w:hint="eastAsia"/>
        </w:rPr>
        <w:lastRenderedPageBreak/>
        <w:t>市場需求制定出版輸出策略」擴大海外市場版圖，同時加強「應用數位與科技擴大圖文出版的市場性」、「拓展臺灣漫畫產業」數位出版轉型及漫畫產業發展等情。然而，</w:t>
      </w:r>
      <w:r w:rsidR="002E385B" w:rsidRPr="00261E3C">
        <w:rPr>
          <w:rFonts w:hint="eastAsia"/>
        </w:rPr>
        <w:t>近年來出版產業面臨快速外在環境變遷，各種新科技及數位化的發展日新月異，讀者閱讀習慣與消費模式變化劇烈，每戶書報雜誌及文具消費支出金額也急遽減縮，</w:t>
      </w:r>
      <w:bookmarkEnd w:id="74"/>
      <w:r w:rsidR="00282D0A" w:rsidRPr="00261E3C">
        <w:rPr>
          <w:rFonts w:hint="eastAsia"/>
        </w:rPr>
        <w:t>因之，於101年以前所擬訂的「引領人文發展及扶植出版產業」施政計畫項下之「圖文出版發展計畫」、「出版事業之輔導計畫」、「人文及文學發展業務」等計畫所</w:t>
      </w:r>
      <w:proofErr w:type="gramStart"/>
      <w:r w:rsidR="00282D0A" w:rsidRPr="00261E3C">
        <w:rPr>
          <w:rFonts w:hint="eastAsia"/>
        </w:rPr>
        <w:t>採</w:t>
      </w:r>
      <w:proofErr w:type="gramEnd"/>
      <w:r w:rsidR="00282D0A" w:rsidRPr="00261E3C">
        <w:rPr>
          <w:rFonts w:hint="eastAsia"/>
        </w:rPr>
        <w:t>之獎補助業者的模式，</w:t>
      </w:r>
      <w:r w:rsidR="00B91A9F" w:rsidRPr="00261E3C">
        <w:rPr>
          <w:rFonts w:hint="eastAsia"/>
        </w:rPr>
        <w:t>在既有編定的預算執行項目內</w:t>
      </w:r>
      <w:r w:rsidR="00282D0A" w:rsidRPr="00261E3C">
        <w:rPr>
          <w:rFonts w:hint="eastAsia"/>
        </w:rPr>
        <w:t>顯然難以因應出版業產業鏈</w:t>
      </w:r>
      <w:r w:rsidR="00B91A9F" w:rsidRPr="00261E3C">
        <w:rPr>
          <w:rFonts w:hint="eastAsia"/>
        </w:rPr>
        <w:t>的快速變遷</w:t>
      </w:r>
      <w:r w:rsidR="00282D0A" w:rsidRPr="00261E3C">
        <w:rPr>
          <w:rFonts w:hint="eastAsia"/>
        </w:rPr>
        <w:t>，</w:t>
      </w:r>
      <w:r w:rsidR="00B91A9F" w:rsidRPr="00261E3C">
        <w:rPr>
          <w:rFonts w:hint="eastAsia"/>
        </w:rPr>
        <w:t>造成預算與資源的投入未能切合產業鏈關鍵節點的實際所需</w:t>
      </w:r>
      <w:r w:rsidR="000D0135" w:rsidRPr="00261E3C">
        <w:rPr>
          <w:rFonts w:hint="eastAsia"/>
        </w:rPr>
        <w:t>，導致該部預期104年出版業產值達528億之目標</w:t>
      </w:r>
      <w:r w:rsidR="003175A6" w:rsidRPr="00261E3C">
        <w:rPr>
          <w:rFonts w:hint="eastAsia"/>
        </w:rPr>
        <w:t>，事實上卻</w:t>
      </w:r>
      <w:r w:rsidR="000D0135" w:rsidRPr="00261E3C">
        <w:rPr>
          <w:rFonts w:hint="eastAsia"/>
        </w:rPr>
        <w:t>不增反減為199億</w:t>
      </w:r>
      <w:r w:rsidR="00B91A9F" w:rsidRPr="00261E3C">
        <w:rPr>
          <w:rFonts w:hint="eastAsia"/>
        </w:rPr>
        <w:t>，</w:t>
      </w:r>
      <w:r w:rsidR="000D3C7E" w:rsidRPr="00261E3C">
        <w:rPr>
          <w:rFonts w:hint="eastAsia"/>
        </w:rPr>
        <w:t>顯見</w:t>
      </w:r>
      <w:proofErr w:type="gramStart"/>
      <w:r w:rsidR="000D3C7E" w:rsidRPr="00261E3C">
        <w:rPr>
          <w:rFonts w:hint="eastAsia"/>
        </w:rPr>
        <w:t>該部在績效</w:t>
      </w:r>
      <w:proofErr w:type="gramEnd"/>
      <w:r w:rsidR="000D3C7E" w:rsidRPr="00261E3C">
        <w:rPr>
          <w:rFonts w:hint="eastAsia"/>
        </w:rPr>
        <w:t>指標擬定及產業變化預判均發生嚴重失誤，</w:t>
      </w:r>
      <w:r w:rsidR="00826C5A" w:rsidRPr="00261E3C">
        <w:rPr>
          <w:rFonts w:hint="eastAsia"/>
        </w:rPr>
        <w:t>有賴後續以更具前瞻的規劃、更具彈性的經費運用、更具結合產業市場生態的模式</w:t>
      </w:r>
      <w:bookmarkEnd w:id="75"/>
      <w:r w:rsidR="001670DB" w:rsidRPr="00261E3C">
        <w:rPr>
          <w:rFonts w:hint="eastAsia"/>
        </w:rPr>
        <w:t>檢討精進，</w:t>
      </w:r>
      <w:r w:rsidR="00366F45" w:rsidRPr="00261E3C">
        <w:rPr>
          <w:rFonts w:hint="eastAsia"/>
        </w:rPr>
        <w:t>針對新媒體特性，推動IP內容產製的提升以及原創內容的</w:t>
      </w:r>
      <w:proofErr w:type="gramStart"/>
      <w:r w:rsidR="00366F45" w:rsidRPr="00261E3C">
        <w:rPr>
          <w:rFonts w:hint="eastAsia"/>
        </w:rPr>
        <w:t>跨界媒合</w:t>
      </w:r>
      <w:proofErr w:type="gramEnd"/>
      <w:r w:rsidR="00366F45" w:rsidRPr="00261E3C">
        <w:rPr>
          <w:rFonts w:hint="eastAsia"/>
        </w:rPr>
        <w:t>，順應創新商業獲利模式，</w:t>
      </w:r>
      <w:r w:rsidR="001670DB" w:rsidRPr="00261E3C">
        <w:rPr>
          <w:rFonts w:hint="eastAsia"/>
        </w:rPr>
        <w:t>確實發揮引領與扶植出版產業的政策效果。</w:t>
      </w:r>
      <w:r w:rsidR="00C17AA8" w:rsidRPr="00261E3C">
        <w:rPr>
          <w:rFonts w:hint="eastAsia"/>
        </w:rPr>
        <w:t>依據</w:t>
      </w:r>
      <w:r w:rsidR="00F50C9B" w:rsidRPr="00261E3C">
        <w:rPr>
          <w:rFonts w:hint="eastAsia"/>
        </w:rPr>
        <w:t>財政部</w:t>
      </w:r>
      <w:r w:rsidR="00C17AA8" w:rsidRPr="00261E3C">
        <w:rPr>
          <w:rFonts w:hint="eastAsia"/>
        </w:rPr>
        <w:t>財稅統計營業額資料顯示，</w:t>
      </w:r>
      <w:r w:rsidR="00F50C9B" w:rsidRPr="00261E3C">
        <w:rPr>
          <w:rFonts w:hint="eastAsia"/>
        </w:rPr>
        <w:t>出版業</w:t>
      </w:r>
      <w:r w:rsidR="00C17AA8" w:rsidRPr="00261E3C">
        <w:rPr>
          <w:rFonts w:hint="eastAsia"/>
        </w:rPr>
        <w:t>在經歷了102</w:t>
      </w:r>
      <w:r w:rsidR="001F7E07" w:rsidRPr="00261E3C">
        <w:rPr>
          <w:rFonts w:hint="eastAsia"/>
        </w:rPr>
        <w:t>年至</w:t>
      </w:r>
      <w:r w:rsidR="00C17AA8" w:rsidRPr="00261E3C">
        <w:rPr>
          <w:rFonts w:hint="eastAsia"/>
        </w:rPr>
        <w:t>104年的大幅下滑後，至106年</w:t>
      </w:r>
      <w:r w:rsidR="00F50C9B" w:rsidRPr="00261E3C">
        <w:rPr>
          <w:rFonts w:hint="eastAsia"/>
        </w:rPr>
        <w:t>已經</w:t>
      </w:r>
      <w:proofErr w:type="gramStart"/>
      <w:r w:rsidR="00C17AA8" w:rsidRPr="00261E3C">
        <w:rPr>
          <w:rFonts w:hint="eastAsia"/>
        </w:rPr>
        <w:t>回穩微升</w:t>
      </w:r>
      <w:proofErr w:type="gramEnd"/>
      <w:r w:rsidR="00C17AA8" w:rsidRPr="00261E3C">
        <w:rPr>
          <w:rFonts w:hint="eastAsia"/>
        </w:rPr>
        <w:t>，書籍出版業較前年度成長1％、數位書籍出版業較前年度成長3.1％。</w:t>
      </w:r>
    </w:p>
    <w:p w:rsidR="001A62FC" w:rsidRPr="00261E3C" w:rsidRDefault="001670DB" w:rsidP="001670DB">
      <w:pPr>
        <w:pStyle w:val="3"/>
        <w:rPr>
          <w:noProof/>
        </w:rPr>
      </w:pPr>
      <w:bookmarkStart w:id="76" w:name="_Toc509994082"/>
      <w:bookmarkStart w:id="77" w:name="_Toc509996791"/>
      <w:r w:rsidRPr="00261E3C">
        <w:rPr>
          <w:rFonts w:hint="eastAsia"/>
          <w:noProof/>
        </w:rPr>
        <w:t>綜上分析，</w:t>
      </w:r>
      <w:r w:rsidR="00F736E4" w:rsidRPr="00261E3C">
        <w:rPr>
          <w:rFonts w:hint="eastAsia"/>
          <w:noProof/>
        </w:rPr>
        <w:t>出版產業所面對的整體環境</w:t>
      </w:r>
      <w:bookmarkEnd w:id="76"/>
      <w:bookmarkEnd w:id="77"/>
      <w:r w:rsidRPr="00261E3C">
        <w:rPr>
          <w:rFonts w:hint="eastAsia"/>
          <w:noProof/>
        </w:rPr>
        <w:t>近年來已有快速變遷，而出版業近年產值衰退，</w:t>
      </w:r>
      <w:r w:rsidR="000B53E5">
        <w:rPr>
          <w:rFonts w:hint="eastAsia"/>
          <w:noProof/>
        </w:rPr>
        <w:t>出</w:t>
      </w:r>
      <w:r w:rsidRPr="00261E3C">
        <w:rPr>
          <w:rFonts w:hint="eastAsia"/>
          <w:noProof/>
        </w:rPr>
        <w:t>現重要警訊，文化部允應掌握出版產業的整體環境對產業鏈的有利、不利因素，發揮現有優勢，善用可用資源，協助出版產業因應產業趨勢變局的挑戰，以強化競爭體質。</w:t>
      </w:r>
    </w:p>
    <w:p w:rsidR="000A7C2B" w:rsidRPr="00261E3C" w:rsidRDefault="000A7C2B" w:rsidP="000A7C2B">
      <w:pPr>
        <w:pStyle w:val="2"/>
        <w:rPr>
          <w:b/>
        </w:rPr>
      </w:pPr>
      <w:bookmarkStart w:id="78" w:name="_Toc509996792"/>
      <w:r w:rsidRPr="00261E3C">
        <w:rPr>
          <w:rFonts w:hint="eastAsia"/>
          <w:b/>
        </w:rPr>
        <w:lastRenderedPageBreak/>
        <w:t>文化部輔導出版業朝數位化及國際標準格式方向升級迄今已逾10年，惟產值猶連年在1</w:t>
      </w:r>
      <w:r w:rsidR="00893E2A" w:rsidRPr="00261E3C">
        <w:rPr>
          <w:rFonts w:hint="eastAsia"/>
          <w:b/>
        </w:rPr>
        <w:t>％</w:t>
      </w:r>
      <w:r w:rsidRPr="00261E3C">
        <w:rPr>
          <w:rFonts w:hint="eastAsia"/>
          <w:b/>
        </w:rPr>
        <w:t>~2</w:t>
      </w:r>
      <w:r w:rsidR="00893E2A" w:rsidRPr="00261E3C">
        <w:rPr>
          <w:rFonts w:hint="eastAsia"/>
          <w:b/>
        </w:rPr>
        <w:t>％</w:t>
      </w:r>
      <w:r w:rsidRPr="00261E3C">
        <w:rPr>
          <w:rFonts w:hint="eastAsia"/>
          <w:b/>
        </w:rPr>
        <w:t>徘徊；相較世界各主要出版國家面臨資訊取得來源及閱讀習慣變化，其數位出版市</w:t>
      </w:r>
      <w:r w:rsidR="003212F2">
        <w:rPr>
          <w:rFonts w:hint="eastAsia"/>
          <w:b/>
        </w:rPr>
        <w:t>占</w:t>
      </w:r>
      <w:r w:rsidRPr="00261E3C">
        <w:rPr>
          <w:rFonts w:hint="eastAsia"/>
          <w:b/>
        </w:rPr>
        <w:t>率或產值</w:t>
      </w:r>
      <w:r w:rsidR="00C964AE">
        <w:rPr>
          <w:rFonts w:hint="eastAsia"/>
          <w:b/>
        </w:rPr>
        <w:t>已占</w:t>
      </w:r>
      <w:r w:rsidRPr="00261E3C">
        <w:rPr>
          <w:rFonts w:hint="eastAsia"/>
          <w:b/>
        </w:rPr>
        <w:t>整體產業5</w:t>
      </w:r>
      <w:r w:rsidR="00893E2A" w:rsidRPr="00261E3C">
        <w:rPr>
          <w:rFonts w:hint="eastAsia"/>
          <w:b/>
        </w:rPr>
        <w:t>％</w:t>
      </w:r>
      <w:r w:rsidRPr="00261E3C">
        <w:rPr>
          <w:rFonts w:hint="eastAsia"/>
          <w:b/>
        </w:rPr>
        <w:t>~1</w:t>
      </w:r>
      <w:r w:rsidR="00754FCA" w:rsidRPr="00261E3C">
        <w:rPr>
          <w:rFonts w:hint="eastAsia"/>
          <w:b/>
        </w:rPr>
        <w:t>4</w:t>
      </w:r>
      <w:r w:rsidR="00893E2A" w:rsidRPr="00261E3C">
        <w:rPr>
          <w:rFonts w:hint="eastAsia"/>
          <w:b/>
        </w:rPr>
        <w:t>％</w:t>
      </w:r>
      <w:r w:rsidRPr="00261E3C">
        <w:rPr>
          <w:rFonts w:hint="eastAsia"/>
          <w:b/>
        </w:rPr>
        <w:t>，有效調適實體出版衰退幅度；基此，</w:t>
      </w:r>
      <w:proofErr w:type="gramStart"/>
      <w:r w:rsidRPr="00261E3C">
        <w:rPr>
          <w:rFonts w:hint="eastAsia"/>
          <w:b/>
        </w:rPr>
        <w:t>文化部允應</w:t>
      </w:r>
      <w:proofErr w:type="gramEnd"/>
      <w:r w:rsidRPr="00261E3C">
        <w:rPr>
          <w:rFonts w:hint="eastAsia"/>
          <w:b/>
        </w:rPr>
        <w:t>就</w:t>
      </w:r>
      <w:r w:rsidR="00490727" w:rsidRPr="00261E3C">
        <w:rPr>
          <w:rFonts w:hint="eastAsia"/>
          <w:b/>
        </w:rPr>
        <w:t>技術、商業模式及人才培育等層面</w:t>
      </w:r>
      <w:r w:rsidRPr="00261E3C">
        <w:rPr>
          <w:rFonts w:hint="eastAsia"/>
          <w:b/>
        </w:rPr>
        <w:t>，積極辦理出版產業轉型升級</w:t>
      </w:r>
      <w:bookmarkEnd w:id="78"/>
    </w:p>
    <w:p w:rsidR="00890FFB" w:rsidRPr="00261E3C" w:rsidRDefault="002213E9" w:rsidP="004A4F7D">
      <w:pPr>
        <w:pStyle w:val="3"/>
      </w:pPr>
      <w:r w:rsidRPr="00261E3C">
        <w:rPr>
          <w:rFonts w:hint="eastAsia"/>
        </w:rPr>
        <w:t>文化</w:t>
      </w:r>
      <w:proofErr w:type="gramStart"/>
      <w:r w:rsidRPr="00261E3C">
        <w:rPr>
          <w:rFonts w:hint="eastAsia"/>
        </w:rPr>
        <w:t>部函復本</w:t>
      </w:r>
      <w:proofErr w:type="gramEnd"/>
      <w:r w:rsidRPr="00261E3C">
        <w:rPr>
          <w:rFonts w:hint="eastAsia"/>
        </w:rPr>
        <w:t>院稱「為輔導中小型業者發展電子書市場之成功商業模式，本部持續透過獎補助業者出版電子書、有聲書，鼓勵數位出版業者運用數位科技，創造具市場性的新閱讀體驗方式、型態或服務</w:t>
      </w:r>
      <w:r w:rsidRPr="00261E3C">
        <w:t>…</w:t>
      </w:r>
      <w:proofErr w:type="gramStart"/>
      <w:r w:rsidRPr="00261E3C">
        <w:t>…</w:t>
      </w:r>
      <w:proofErr w:type="gramEnd"/>
      <w:r w:rsidRPr="00261E3C">
        <w:rPr>
          <w:rFonts w:hint="eastAsia"/>
        </w:rPr>
        <w:t>並輔導業者將出版</w:t>
      </w:r>
      <w:proofErr w:type="gramStart"/>
      <w:r w:rsidRPr="00261E3C">
        <w:rPr>
          <w:rFonts w:hint="eastAsia"/>
        </w:rPr>
        <w:t>品轉製</w:t>
      </w:r>
      <w:proofErr w:type="gramEnd"/>
      <w:r w:rsidR="00AE10A0">
        <w:rPr>
          <w:rFonts w:hint="eastAsia"/>
        </w:rPr>
        <w:t>ePUB</w:t>
      </w:r>
      <w:r w:rsidRPr="00261E3C">
        <w:rPr>
          <w:rFonts w:hint="eastAsia"/>
        </w:rPr>
        <w:t>3或APP規格以上之電子書，藉此加速提升數位出版品質量，同時協調業者共同推行國際通用</w:t>
      </w:r>
      <w:r w:rsidR="00AE10A0">
        <w:rPr>
          <w:rFonts w:hint="eastAsia"/>
        </w:rPr>
        <w:t>ePUB</w:t>
      </w:r>
      <w:r w:rsidRPr="00261E3C">
        <w:rPr>
          <w:rFonts w:hint="eastAsia"/>
        </w:rPr>
        <w:t>3</w:t>
      </w:r>
      <w:r w:rsidR="00AE10A0">
        <w:rPr>
          <w:rFonts w:hint="eastAsia"/>
        </w:rPr>
        <w:t>電子書格式，讓電子書及電子書平台能更融入國人的生活。」</w:t>
      </w:r>
      <w:r w:rsidRPr="00261E3C">
        <w:rPr>
          <w:rFonts w:hint="eastAsia"/>
        </w:rPr>
        <w:t>然據審計部查核資料顯示，</w:t>
      </w:r>
      <w:r w:rsidR="00AB31FB" w:rsidRPr="00261E3C">
        <w:rPr>
          <w:rFonts w:hint="eastAsia"/>
        </w:rPr>
        <w:t>102及</w:t>
      </w:r>
      <w:proofErr w:type="gramStart"/>
      <w:r w:rsidR="00AB31FB" w:rsidRPr="00261E3C">
        <w:rPr>
          <w:rFonts w:hint="eastAsia"/>
        </w:rPr>
        <w:t>103</w:t>
      </w:r>
      <w:proofErr w:type="gramEnd"/>
      <w:r w:rsidR="00AB31FB" w:rsidRPr="00261E3C">
        <w:rPr>
          <w:rFonts w:hint="eastAsia"/>
        </w:rPr>
        <w:t>年度我國電子出版產值</w:t>
      </w:r>
      <w:r w:rsidR="00F97303" w:rsidRPr="00261E3C">
        <w:rPr>
          <w:rFonts w:hint="eastAsia"/>
        </w:rPr>
        <w:t>僅</w:t>
      </w:r>
      <w:r w:rsidR="00AB31FB" w:rsidRPr="00261E3C">
        <w:rPr>
          <w:rFonts w:hint="eastAsia"/>
        </w:rPr>
        <w:t>占整體圖書出版產業產值之比重分別為1.81％及2.18％</w:t>
      </w:r>
      <w:r w:rsidR="00F97303" w:rsidRPr="00261E3C">
        <w:rPr>
          <w:rFonts w:hint="eastAsia"/>
        </w:rPr>
        <w:t>，</w:t>
      </w:r>
      <w:r w:rsidR="00890FFB" w:rsidRPr="00261E3C">
        <w:rPr>
          <w:rFonts w:hint="eastAsia"/>
        </w:rPr>
        <w:t>至該</w:t>
      </w:r>
      <w:proofErr w:type="gramStart"/>
      <w:r w:rsidR="00890FFB" w:rsidRPr="00261E3C">
        <w:rPr>
          <w:rFonts w:hint="eastAsia"/>
        </w:rPr>
        <w:t>部查復本</w:t>
      </w:r>
      <w:proofErr w:type="gramEnd"/>
      <w:r w:rsidR="00890FFB" w:rsidRPr="00261E3C">
        <w:rPr>
          <w:rFonts w:hint="eastAsia"/>
        </w:rPr>
        <w:t>院104及</w:t>
      </w:r>
      <w:proofErr w:type="gramStart"/>
      <w:r w:rsidR="00890FFB" w:rsidRPr="00261E3C">
        <w:rPr>
          <w:rFonts w:hint="eastAsia"/>
        </w:rPr>
        <w:t>105</w:t>
      </w:r>
      <w:proofErr w:type="gramEnd"/>
      <w:r w:rsidR="00890FFB" w:rsidRPr="00261E3C">
        <w:rPr>
          <w:rFonts w:hint="eastAsia"/>
        </w:rPr>
        <w:t>年度最新數據，亦僅分別占1.5</w:t>
      </w:r>
      <w:r w:rsidR="007610B8">
        <w:rPr>
          <w:rFonts w:hint="eastAsia"/>
        </w:rPr>
        <w:t>％</w:t>
      </w:r>
      <w:r w:rsidR="00890FFB" w:rsidRPr="00261E3C">
        <w:rPr>
          <w:rFonts w:hint="eastAsia"/>
        </w:rPr>
        <w:t>及1.2</w:t>
      </w:r>
      <w:r w:rsidR="007610B8">
        <w:rPr>
          <w:rFonts w:hint="eastAsia"/>
        </w:rPr>
        <w:t>％</w:t>
      </w:r>
      <w:r w:rsidR="00356ACA" w:rsidRPr="00261E3C">
        <w:rPr>
          <w:rFonts w:hint="eastAsia"/>
        </w:rPr>
        <w:t>(如表3)</w:t>
      </w:r>
      <w:r w:rsidR="00890FFB" w:rsidRPr="00261E3C">
        <w:rPr>
          <w:rFonts w:hint="eastAsia"/>
        </w:rPr>
        <w:t>，</w:t>
      </w:r>
      <w:r w:rsidR="00153E9A" w:rsidRPr="00261E3C">
        <w:rPr>
          <w:rFonts w:hint="eastAsia"/>
        </w:rPr>
        <w:t>除與前開「文化部國內外文化產業訊息及趨勢分析雙月報」引用資誠全球聯盟組織 (PwC Global)「全球娛樂及媒體產業2014至2018年度展望報告」中，102年世界主要國家電子出版</w:t>
      </w:r>
      <w:proofErr w:type="gramStart"/>
      <w:r w:rsidR="00153E9A" w:rsidRPr="00261E3C">
        <w:rPr>
          <w:rFonts w:hint="eastAsia"/>
        </w:rPr>
        <w:t>營收占整體</w:t>
      </w:r>
      <w:proofErr w:type="gramEnd"/>
      <w:r w:rsidR="00153E9A" w:rsidRPr="00261E3C">
        <w:rPr>
          <w:rFonts w:hint="eastAsia"/>
        </w:rPr>
        <w:t>出版產業營收比率分別為韓國22.94％、英國17.91％、美國13.78％、日本12.53％、新加坡6.33％、香港5.29％、中國大陸3.76％之外，文化</w:t>
      </w:r>
      <w:proofErr w:type="gramStart"/>
      <w:r w:rsidR="00153E9A" w:rsidRPr="00261E3C">
        <w:rPr>
          <w:rFonts w:hint="eastAsia"/>
        </w:rPr>
        <w:t>部查復本</w:t>
      </w:r>
      <w:proofErr w:type="gramEnd"/>
      <w:r w:rsidR="00153E9A" w:rsidRPr="00261E3C">
        <w:rPr>
          <w:rFonts w:hint="eastAsia"/>
        </w:rPr>
        <w:t>院有關102至105年，包括美國、日本</w:t>
      </w:r>
      <w:r w:rsidR="00356ACA" w:rsidRPr="00261E3C">
        <w:rPr>
          <w:rFonts w:hint="eastAsia"/>
        </w:rPr>
        <w:t>及</w:t>
      </w:r>
      <w:r w:rsidR="00153E9A" w:rsidRPr="00261E3C">
        <w:rPr>
          <w:rFonts w:hint="eastAsia"/>
        </w:rPr>
        <w:t>中國等數位出版市場情況，</w:t>
      </w:r>
      <w:r w:rsidR="00356ACA" w:rsidRPr="00261E3C">
        <w:rPr>
          <w:rFonts w:hint="eastAsia"/>
        </w:rPr>
        <w:t>數位出版</w:t>
      </w:r>
      <w:r w:rsidR="00153E9A" w:rsidRPr="00261E3C">
        <w:rPr>
          <w:rFonts w:hint="eastAsia"/>
        </w:rPr>
        <w:t>產值所</w:t>
      </w:r>
      <w:r w:rsidR="003212F2">
        <w:rPr>
          <w:rFonts w:hint="eastAsia"/>
        </w:rPr>
        <w:t>占</w:t>
      </w:r>
      <w:r w:rsidR="00356ACA" w:rsidRPr="00261E3C">
        <w:rPr>
          <w:rFonts w:hint="eastAsia"/>
        </w:rPr>
        <w:t>整體市場</w:t>
      </w:r>
      <w:r w:rsidR="00153E9A" w:rsidRPr="00261E3C">
        <w:rPr>
          <w:rFonts w:hint="eastAsia"/>
        </w:rPr>
        <w:t>比例均介於5~1</w:t>
      </w:r>
      <w:r w:rsidR="00754FCA" w:rsidRPr="00261E3C">
        <w:rPr>
          <w:rFonts w:hint="eastAsia"/>
        </w:rPr>
        <w:t>4</w:t>
      </w:r>
      <w:r w:rsidR="00BB5395" w:rsidRPr="00261E3C">
        <w:rPr>
          <w:rFonts w:hint="eastAsia"/>
        </w:rPr>
        <w:t>％</w:t>
      </w:r>
      <w:r w:rsidR="00356ACA" w:rsidRPr="00261E3C">
        <w:rPr>
          <w:rFonts w:hint="eastAsia"/>
        </w:rPr>
        <w:t>(如表4)</w:t>
      </w:r>
      <w:r w:rsidR="00153E9A" w:rsidRPr="00261E3C">
        <w:rPr>
          <w:rFonts w:hint="eastAsia"/>
        </w:rPr>
        <w:t>，</w:t>
      </w:r>
      <w:r w:rsidR="00356ACA" w:rsidRPr="00261E3C">
        <w:rPr>
          <w:rFonts w:hint="eastAsia"/>
        </w:rPr>
        <w:t>我國與世界主要國家電子出版</w:t>
      </w:r>
      <w:proofErr w:type="gramStart"/>
      <w:r w:rsidR="00356ACA" w:rsidRPr="00261E3C">
        <w:rPr>
          <w:rFonts w:hint="eastAsia"/>
        </w:rPr>
        <w:t>營收占整體</w:t>
      </w:r>
      <w:proofErr w:type="gramEnd"/>
      <w:r w:rsidR="00356ACA" w:rsidRPr="00261E3C">
        <w:rPr>
          <w:rFonts w:hint="eastAsia"/>
        </w:rPr>
        <w:t>出版產業營收比率相較</w:t>
      </w:r>
      <w:r w:rsidR="00153E9A" w:rsidRPr="00261E3C">
        <w:rPr>
          <w:rFonts w:hint="eastAsia"/>
        </w:rPr>
        <w:t>，明顯</w:t>
      </w:r>
      <w:r w:rsidR="0065126C" w:rsidRPr="00261E3C">
        <w:rPr>
          <w:rFonts w:hint="eastAsia"/>
        </w:rPr>
        <w:t>有</w:t>
      </w:r>
      <w:r w:rsidR="00153E9A" w:rsidRPr="00261E3C">
        <w:rPr>
          <w:rFonts w:hint="eastAsia"/>
        </w:rPr>
        <w:t>落差</w:t>
      </w:r>
      <w:r w:rsidR="00AB31FB" w:rsidRPr="00261E3C">
        <w:rPr>
          <w:rFonts w:hint="eastAsia"/>
        </w:rPr>
        <w:t>。</w:t>
      </w:r>
    </w:p>
    <w:p w:rsidR="00356ACA" w:rsidRPr="00261E3C" w:rsidRDefault="00356ACA" w:rsidP="00356ACA">
      <w:pPr>
        <w:pStyle w:val="a3"/>
      </w:pPr>
      <w:bookmarkStart w:id="79" w:name="_Toc510189503"/>
      <w:r w:rsidRPr="00261E3C">
        <w:rPr>
          <w:rFonts w:hint="eastAsia"/>
        </w:rPr>
        <w:lastRenderedPageBreak/>
        <w:t>我國102~105年</w:t>
      </w:r>
      <w:proofErr w:type="gramStart"/>
      <w:r w:rsidRPr="00261E3C">
        <w:rPr>
          <w:rFonts w:hint="eastAsia"/>
        </w:rPr>
        <w:t>電子書</w:t>
      </w:r>
      <w:r w:rsidR="003212F2">
        <w:rPr>
          <w:rFonts w:hint="eastAsia"/>
        </w:rPr>
        <w:t>占</w:t>
      </w:r>
      <w:r w:rsidRPr="00261E3C">
        <w:rPr>
          <w:rFonts w:hint="eastAsia"/>
        </w:rPr>
        <w:t>整體</w:t>
      </w:r>
      <w:proofErr w:type="gramEnd"/>
      <w:r w:rsidRPr="00261E3C">
        <w:rPr>
          <w:rFonts w:hint="eastAsia"/>
        </w:rPr>
        <w:t>出版市場比例(單位：億元)</w:t>
      </w:r>
      <w:bookmarkEnd w:id="79"/>
    </w:p>
    <w:tbl>
      <w:tblPr>
        <w:tblStyle w:val="af7"/>
        <w:tblW w:w="0" w:type="auto"/>
        <w:tblInd w:w="817" w:type="dxa"/>
        <w:tblLook w:val="04A0" w:firstRow="1" w:lastRow="0" w:firstColumn="1" w:lastColumn="0" w:noHBand="0" w:noVBand="1"/>
      </w:tblPr>
      <w:tblGrid>
        <w:gridCol w:w="1539"/>
        <w:gridCol w:w="1564"/>
        <w:gridCol w:w="1564"/>
        <w:gridCol w:w="1564"/>
        <w:gridCol w:w="1565"/>
      </w:tblGrid>
      <w:tr w:rsidR="00261E3C" w:rsidRPr="00261E3C" w:rsidTr="0065126C">
        <w:tc>
          <w:tcPr>
            <w:tcW w:w="1539" w:type="dxa"/>
          </w:tcPr>
          <w:p w:rsidR="00890FFB" w:rsidRPr="00261E3C" w:rsidRDefault="00890FFB" w:rsidP="00356ACA">
            <w:pPr>
              <w:pStyle w:val="3"/>
              <w:numPr>
                <w:ilvl w:val="0"/>
                <w:numId w:val="0"/>
              </w:numPr>
              <w:ind w:firstLine="1"/>
              <w:jc w:val="right"/>
              <w:rPr>
                <w:sz w:val="24"/>
                <w:szCs w:val="32"/>
              </w:rPr>
            </w:pPr>
          </w:p>
        </w:tc>
        <w:tc>
          <w:tcPr>
            <w:tcW w:w="1564" w:type="dxa"/>
          </w:tcPr>
          <w:p w:rsidR="00890FFB" w:rsidRPr="00261E3C" w:rsidRDefault="00890FFB" w:rsidP="00890FFB">
            <w:pPr>
              <w:jc w:val="right"/>
              <w:rPr>
                <w:sz w:val="24"/>
                <w:szCs w:val="32"/>
              </w:rPr>
            </w:pPr>
            <w:r w:rsidRPr="00261E3C">
              <w:rPr>
                <w:rFonts w:hint="eastAsia"/>
                <w:sz w:val="24"/>
                <w:szCs w:val="32"/>
              </w:rPr>
              <w:t>102年</w:t>
            </w:r>
          </w:p>
        </w:tc>
        <w:tc>
          <w:tcPr>
            <w:tcW w:w="1564" w:type="dxa"/>
          </w:tcPr>
          <w:p w:rsidR="00890FFB" w:rsidRPr="00261E3C" w:rsidRDefault="00890FFB" w:rsidP="00890FFB">
            <w:pPr>
              <w:jc w:val="right"/>
              <w:rPr>
                <w:sz w:val="24"/>
                <w:szCs w:val="32"/>
              </w:rPr>
            </w:pPr>
            <w:r w:rsidRPr="00261E3C">
              <w:rPr>
                <w:rFonts w:hint="eastAsia"/>
                <w:sz w:val="24"/>
                <w:szCs w:val="32"/>
              </w:rPr>
              <w:t>103年</w:t>
            </w:r>
          </w:p>
        </w:tc>
        <w:tc>
          <w:tcPr>
            <w:tcW w:w="1564" w:type="dxa"/>
          </w:tcPr>
          <w:p w:rsidR="00890FFB" w:rsidRPr="00261E3C" w:rsidRDefault="00890FFB" w:rsidP="00890FFB">
            <w:pPr>
              <w:jc w:val="right"/>
              <w:rPr>
                <w:sz w:val="24"/>
                <w:szCs w:val="32"/>
              </w:rPr>
            </w:pPr>
            <w:r w:rsidRPr="00261E3C">
              <w:rPr>
                <w:rFonts w:hint="eastAsia"/>
                <w:sz w:val="24"/>
                <w:szCs w:val="32"/>
              </w:rPr>
              <w:t>104年</w:t>
            </w:r>
          </w:p>
        </w:tc>
        <w:tc>
          <w:tcPr>
            <w:tcW w:w="1565" w:type="dxa"/>
          </w:tcPr>
          <w:p w:rsidR="00890FFB" w:rsidRPr="00261E3C" w:rsidRDefault="00890FFB" w:rsidP="00890FFB">
            <w:pPr>
              <w:jc w:val="right"/>
              <w:rPr>
                <w:sz w:val="24"/>
                <w:szCs w:val="32"/>
              </w:rPr>
            </w:pPr>
            <w:r w:rsidRPr="00261E3C">
              <w:rPr>
                <w:rFonts w:hint="eastAsia"/>
                <w:sz w:val="24"/>
                <w:szCs w:val="32"/>
              </w:rPr>
              <w:t>105年</w:t>
            </w:r>
          </w:p>
        </w:tc>
      </w:tr>
      <w:tr w:rsidR="00261E3C" w:rsidRPr="00261E3C" w:rsidTr="0065126C">
        <w:tc>
          <w:tcPr>
            <w:tcW w:w="1539" w:type="dxa"/>
            <w:vAlign w:val="center"/>
          </w:tcPr>
          <w:p w:rsidR="00890FFB" w:rsidRPr="00261E3C" w:rsidRDefault="00890FFB" w:rsidP="00890FFB">
            <w:pPr>
              <w:jc w:val="center"/>
              <w:rPr>
                <w:rFonts w:hAnsi="標楷體" w:cs="新細明體"/>
                <w:sz w:val="24"/>
                <w:szCs w:val="32"/>
              </w:rPr>
            </w:pPr>
            <w:r w:rsidRPr="00261E3C">
              <w:rPr>
                <w:rFonts w:hAnsi="標楷體" w:hint="eastAsia"/>
                <w:sz w:val="24"/>
                <w:szCs w:val="32"/>
              </w:rPr>
              <w:t>圖書</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275.9</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237.7</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204.8</w:t>
            </w:r>
          </w:p>
        </w:tc>
        <w:tc>
          <w:tcPr>
            <w:tcW w:w="1565"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198.1</w:t>
            </w:r>
          </w:p>
        </w:tc>
      </w:tr>
      <w:tr w:rsidR="00261E3C" w:rsidRPr="00261E3C" w:rsidTr="0065126C">
        <w:tc>
          <w:tcPr>
            <w:tcW w:w="1539" w:type="dxa"/>
            <w:vAlign w:val="center"/>
          </w:tcPr>
          <w:p w:rsidR="00890FFB" w:rsidRPr="00261E3C" w:rsidRDefault="00890FFB" w:rsidP="00890FFB">
            <w:pPr>
              <w:jc w:val="center"/>
              <w:rPr>
                <w:rFonts w:hAnsi="標楷體" w:cs="新細明體"/>
                <w:sz w:val="24"/>
                <w:szCs w:val="32"/>
              </w:rPr>
            </w:pPr>
            <w:r w:rsidRPr="00261E3C">
              <w:rPr>
                <w:rFonts w:hAnsi="標楷體" w:hint="eastAsia"/>
                <w:sz w:val="24"/>
                <w:szCs w:val="32"/>
              </w:rPr>
              <w:t>漫畫</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8.3</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6.9</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5.5</w:t>
            </w:r>
          </w:p>
        </w:tc>
        <w:tc>
          <w:tcPr>
            <w:tcW w:w="1565"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5.2</w:t>
            </w:r>
          </w:p>
        </w:tc>
      </w:tr>
      <w:tr w:rsidR="00261E3C" w:rsidRPr="00261E3C" w:rsidTr="0065126C">
        <w:tc>
          <w:tcPr>
            <w:tcW w:w="1539" w:type="dxa"/>
            <w:vAlign w:val="center"/>
          </w:tcPr>
          <w:p w:rsidR="00890FFB" w:rsidRPr="00261E3C" w:rsidRDefault="00890FFB" w:rsidP="00890FFB">
            <w:pPr>
              <w:jc w:val="center"/>
              <w:rPr>
                <w:rFonts w:hAnsi="標楷體" w:cs="新細明體"/>
                <w:sz w:val="24"/>
                <w:szCs w:val="32"/>
              </w:rPr>
            </w:pPr>
            <w:r w:rsidRPr="00261E3C">
              <w:rPr>
                <w:rFonts w:hAnsi="標楷體" w:hint="eastAsia"/>
                <w:sz w:val="24"/>
                <w:szCs w:val="32"/>
              </w:rPr>
              <w:t>電子書</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5.1</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5.3</w:t>
            </w:r>
          </w:p>
        </w:tc>
        <w:tc>
          <w:tcPr>
            <w:tcW w:w="1564"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3.2</w:t>
            </w:r>
          </w:p>
        </w:tc>
        <w:tc>
          <w:tcPr>
            <w:tcW w:w="1565" w:type="dxa"/>
            <w:vAlign w:val="center"/>
          </w:tcPr>
          <w:p w:rsidR="00890FFB" w:rsidRPr="00261E3C" w:rsidRDefault="00890FFB" w:rsidP="00890FFB">
            <w:pPr>
              <w:jc w:val="right"/>
              <w:rPr>
                <w:rFonts w:hAnsi="標楷體" w:cs="新細明體"/>
                <w:sz w:val="24"/>
                <w:szCs w:val="32"/>
              </w:rPr>
            </w:pPr>
            <w:r w:rsidRPr="00261E3C">
              <w:rPr>
                <w:rFonts w:hAnsi="標楷體" w:hint="eastAsia"/>
                <w:sz w:val="24"/>
                <w:szCs w:val="32"/>
              </w:rPr>
              <w:t>2.5</w:t>
            </w:r>
          </w:p>
        </w:tc>
      </w:tr>
      <w:tr w:rsidR="00261E3C" w:rsidRPr="00261E3C" w:rsidTr="0065126C">
        <w:tc>
          <w:tcPr>
            <w:tcW w:w="1539" w:type="dxa"/>
            <w:vAlign w:val="center"/>
          </w:tcPr>
          <w:p w:rsidR="00890FFB" w:rsidRPr="00261E3C" w:rsidRDefault="00890FFB" w:rsidP="00890FFB">
            <w:pPr>
              <w:jc w:val="center"/>
              <w:rPr>
                <w:rFonts w:hAnsi="標楷體" w:cs="新細明體"/>
                <w:sz w:val="24"/>
                <w:szCs w:val="32"/>
              </w:rPr>
            </w:pPr>
            <w:r w:rsidRPr="00261E3C">
              <w:rPr>
                <w:rFonts w:hAnsi="標楷體" w:hint="eastAsia"/>
                <w:sz w:val="24"/>
                <w:szCs w:val="32"/>
              </w:rPr>
              <w:t>合計</w:t>
            </w:r>
          </w:p>
        </w:tc>
        <w:tc>
          <w:tcPr>
            <w:tcW w:w="1564" w:type="dxa"/>
            <w:vAlign w:val="center"/>
          </w:tcPr>
          <w:p w:rsidR="00890FFB" w:rsidRPr="00261E3C" w:rsidRDefault="00890FFB" w:rsidP="00890FFB">
            <w:pPr>
              <w:jc w:val="right"/>
              <w:rPr>
                <w:rFonts w:ascii="新細明體" w:eastAsia="新細明體" w:hAnsi="新細明體" w:cs="新細明體"/>
                <w:sz w:val="24"/>
                <w:szCs w:val="32"/>
              </w:rPr>
            </w:pPr>
            <w:r w:rsidRPr="00261E3C">
              <w:rPr>
                <w:rFonts w:hint="eastAsia"/>
                <w:sz w:val="24"/>
                <w:szCs w:val="32"/>
              </w:rPr>
              <w:t>289.3</w:t>
            </w:r>
          </w:p>
        </w:tc>
        <w:tc>
          <w:tcPr>
            <w:tcW w:w="1564" w:type="dxa"/>
            <w:vAlign w:val="center"/>
          </w:tcPr>
          <w:p w:rsidR="00890FFB" w:rsidRPr="00261E3C" w:rsidRDefault="00890FFB" w:rsidP="00890FFB">
            <w:pPr>
              <w:jc w:val="right"/>
              <w:rPr>
                <w:rFonts w:ascii="新細明體" w:eastAsia="新細明體" w:hAnsi="新細明體" w:cs="新細明體"/>
                <w:sz w:val="24"/>
                <w:szCs w:val="32"/>
              </w:rPr>
            </w:pPr>
            <w:r w:rsidRPr="00261E3C">
              <w:rPr>
                <w:rFonts w:hint="eastAsia"/>
                <w:sz w:val="24"/>
                <w:szCs w:val="32"/>
              </w:rPr>
              <w:t>249.9</w:t>
            </w:r>
          </w:p>
        </w:tc>
        <w:tc>
          <w:tcPr>
            <w:tcW w:w="1564" w:type="dxa"/>
            <w:vAlign w:val="center"/>
          </w:tcPr>
          <w:p w:rsidR="00890FFB" w:rsidRPr="00261E3C" w:rsidRDefault="00890FFB" w:rsidP="00890FFB">
            <w:pPr>
              <w:jc w:val="right"/>
              <w:rPr>
                <w:rFonts w:ascii="新細明體" w:eastAsia="新細明體" w:hAnsi="新細明體" w:cs="新細明體"/>
                <w:sz w:val="24"/>
                <w:szCs w:val="32"/>
              </w:rPr>
            </w:pPr>
            <w:r w:rsidRPr="00261E3C">
              <w:rPr>
                <w:rFonts w:hint="eastAsia"/>
                <w:sz w:val="24"/>
                <w:szCs w:val="32"/>
              </w:rPr>
              <w:t>213.5</w:t>
            </w:r>
          </w:p>
        </w:tc>
        <w:tc>
          <w:tcPr>
            <w:tcW w:w="1565" w:type="dxa"/>
            <w:vAlign w:val="center"/>
          </w:tcPr>
          <w:p w:rsidR="00890FFB" w:rsidRPr="00261E3C" w:rsidRDefault="00890FFB" w:rsidP="00890FFB">
            <w:pPr>
              <w:jc w:val="right"/>
              <w:rPr>
                <w:rFonts w:ascii="新細明體" w:eastAsia="新細明體" w:hAnsi="新細明體" w:cs="新細明體"/>
                <w:sz w:val="24"/>
                <w:szCs w:val="32"/>
              </w:rPr>
            </w:pPr>
            <w:r w:rsidRPr="00261E3C">
              <w:rPr>
                <w:rFonts w:hint="eastAsia"/>
                <w:sz w:val="24"/>
                <w:szCs w:val="32"/>
              </w:rPr>
              <w:t>205.8</w:t>
            </w:r>
          </w:p>
        </w:tc>
      </w:tr>
      <w:tr w:rsidR="00261E3C" w:rsidRPr="00261E3C" w:rsidTr="0065126C">
        <w:trPr>
          <w:trHeight w:val="517"/>
        </w:trPr>
        <w:tc>
          <w:tcPr>
            <w:tcW w:w="1539" w:type="dxa"/>
            <w:vAlign w:val="center"/>
          </w:tcPr>
          <w:p w:rsidR="00890FFB" w:rsidRPr="00261E3C" w:rsidRDefault="00890FFB" w:rsidP="00890FFB">
            <w:pPr>
              <w:jc w:val="center"/>
              <w:rPr>
                <w:rFonts w:hAnsi="標楷體" w:cs="新細明體"/>
                <w:b/>
                <w:sz w:val="24"/>
                <w:szCs w:val="32"/>
              </w:rPr>
            </w:pPr>
            <w:proofErr w:type="gramStart"/>
            <w:r w:rsidRPr="00261E3C">
              <w:rPr>
                <w:rFonts w:hAnsi="標楷體" w:hint="eastAsia"/>
                <w:b/>
                <w:sz w:val="24"/>
                <w:szCs w:val="32"/>
              </w:rPr>
              <w:t>電子書占比</w:t>
            </w:r>
            <w:proofErr w:type="gramEnd"/>
          </w:p>
        </w:tc>
        <w:tc>
          <w:tcPr>
            <w:tcW w:w="1564" w:type="dxa"/>
            <w:vAlign w:val="center"/>
          </w:tcPr>
          <w:p w:rsidR="00890FFB" w:rsidRPr="00261E3C" w:rsidRDefault="00890FFB" w:rsidP="00BB5395">
            <w:pPr>
              <w:jc w:val="right"/>
              <w:rPr>
                <w:rFonts w:ascii="新細明體" w:eastAsia="新細明體" w:hAnsi="新細明體" w:cs="新細明體"/>
                <w:b/>
                <w:sz w:val="24"/>
                <w:szCs w:val="32"/>
              </w:rPr>
            </w:pPr>
            <w:r w:rsidRPr="00261E3C">
              <w:rPr>
                <w:rFonts w:hint="eastAsia"/>
                <w:b/>
                <w:sz w:val="24"/>
                <w:szCs w:val="32"/>
              </w:rPr>
              <w:t>1.8</w:t>
            </w:r>
            <w:r w:rsidR="00BB5395" w:rsidRPr="00261E3C">
              <w:rPr>
                <w:rFonts w:hint="eastAsia"/>
                <w:b/>
                <w:sz w:val="24"/>
                <w:szCs w:val="32"/>
              </w:rPr>
              <w:t>％</w:t>
            </w:r>
          </w:p>
        </w:tc>
        <w:tc>
          <w:tcPr>
            <w:tcW w:w="1564" w:type="dxa"/>
            <w:vAlign w:val="center"/>
          </w:tcPr>
          <w:p w:rsidR="00890FFB" w:rsidRPr="00261E3C" w:rsidRDefault="00BB5395" w:rsidP="00890FFB">
            <w:pPr>
              <w:jc w:val="right"/>
              <w:rPr>
                <w:rFonts w:ascii="新細明體" w:eastAsia="新細明體" w:hAnsi="新細明體" w:cs="新細明體"/>
                <w:b/>
                <w:sz w:val="24"/>
                <w:szCs w:val="32"/>
              </w:rPr>
            </w:pPr>
            <w:r w:rsidRPr="00261E3C">
              <w:rPr>
                <w:rFonts w:hint="eastAsia"/>
                <w:b/>
                <w:sz w:val="24"/>
                <w:szCs w:val="32"/>
              </w:rPr>
              <w:t>2.1％</w:t>
            </w:r>
          </w:p>
        </w:tc>
        <w:tc>
          <w:tcPr>
            <w:tcW w:w="1564" w:type="dxa"/>
            <w:vAlign w:val="center"/>
          </w:tcPr>
          <w:p w:rsidR="00890FFB" w:rsidRPr="00261E3C" w:rsidRDefault="00890FFB" w:rsidP="00BB5395">
            <w:pPr>
              <w:jc w:val="right"/>
              <w:rPr>
                <w:rFonts w:ascii="新細明體" w:eastAsia="新細明體" w:hAnsi="新細明體" w:cs="新細明體"/>
                <w:b/>
                <w:sz w:val="24"/>
                <w:szCs w:val="32"/>
              </w:rPr>
            </w:pPr>
            <w:r w:rsidRPr="00261E3C">
              <w:rPr>
                <w:rFonts w:hint="eastAsia"/>
                <w:b/>
                <w:sz w:val="24"/>
                <w:szCs w:val="32"/>
              </w:rPr>
              <w:t>1.5</w:t>
            </w:r>
            <w:r w:rsidR="00BB5395" w:rsidRPr="00261E3C">
              <w:rPr>
                <w:rFonts w:hint="eastAsia"/>
                <w:b/>
                <w:sz w:val="24"/>
                <w:szCs w:val="32"/>
              </w:rPr>
              <w:t>％</w:t>
            </w:r>
          </w:p>
        </w:tc>
        <w:tc>
          <w:tcPr>
            <w:tcW w:w="1565" w:type="dxa"/>
            <w:vAlign w:val="center"/>
          </w:tcPr>
          <w:p w:rsidR="00890FFB" w:rsidRPr="00261E3C" w:rsidRDefault="00890FFB" w:rsidP="00BB5395">
            <w:pPr>
              <w:jc w:val="right"/>
              <w:rPr>
                <w:rFonts w:ascii="新細明體" w:eastAsia="新細明體" w:hAnsi="新細明體" w:cs="新細明體"/>
                <w:b/>
                <w:sz w:val="24"/>
                <w:szCs w:val="32"/>
              </w:rPr>
            </w:pPr>
            <w:r w:rsidRPr="00261E3C">
              <w:rPr>
                <w:rFonts w:hint="eastAsia"/>
                <w:b/>
                <w:sz w:val="24"/>
                <w:szCs w:val="32"/>
              </w:rPr>
              <w:t>1.2</w:t>
            </w:r>
            <w:r w:rsidR="00BB5395" w:rsidRPr="00261E3C">
              <w:rPr>
                <w:rFonts w:hint="eastAsia"/>
                <w:b/>
                <w:sz w:val="24"/>
                <w:szCs w:val="32"/>
              </w:rPr>
              <w:t>％</w:t>
            </w:r>
          </w:p>
        </w:tc>
      </w:tr>
      <w:tr w:rsidR="00261E3C" w:rsidRPr="00261E3C" w:rsidTr="0065126C">
        <w:trPr>
          <w:trHeight w:val="300"/>
        </w:trPr>
        <w:tc>
          <w:tcPr>
            <w:tcW w:w="7796" w:type="dxa"/>
            <w:gridSpan w:val="5"/>
            <w:vAlign w:val="center"/>
          </w:tcPr>
          <w:p w:rsidR="00E76F97" w:rsidRPr="00261E3C" w:rsidRDefault="00E76F97" w:rsidP="0065126C">
            <w:pPr>
              <w:jc w:val="left"/>
              <w:rPr>
                <w:b/>
                <w:sz w:val="24"/>
                <w:szCs w:val="32"/>
              </w:rPr>
            </w:pPr>
            <w:r w:rsidRPr="00261E3C">
              <w:rPr>
                <w:rFonts w:hint="eastAsia"/>
                <w:sz w:val="24"/>
                <w:szCs w:val="24"/>
              </w:rPr>
              <w:t>資料來源：</w:t>
            </w:r>
            <w:proofErr w:type="gramStart"/>
            <w:r w:rsidRPr="00261E3C">
              <w:rPr>
                <w:rFonts w:hint="eastAsia"/>
                <w:sz w:val="24"/>
                <w:szCs w:val="24"/>
              </w:rPr>
              <w:t>文化部查復</w:t>
            </w:r>
            <w:proofErr w:type="gramEnd"/>
            <w:r w:rsidRPr="00261E3C">
              <w:rPr>
                <w:rFonts w:hint="eastAsia"/>
                <w:sz w:val="24"/>
                <w:szCs w:val="24"/>
              </w:rPr>
              <w:t>資料，本院自行整理。</w:t>
            </w:r>
          </w:p>
        </w:tc>
      </w:tr>
    </w:tbl>
    <w:p w:rsidR="00356ACA" w:rsidRPr="00261E3C" w:rsidRDefault="00356ACA" w:rsidP="00356ACA">
      <w:pPr>
        <w:pStyle w:val="a3"/>
      </w:pPr>
      <w:bookmarkStart w:id="80" w:name="_Toc510189504"/>
      <w:r w:rsidRPr="00261E3C">
        <w:rPr>
          <w:rFonts w:hint="eastAsia"/>
        </w:rPr>
        <w:t>美國、日本及中國102~105年</w:t>
      </w:r>
      <w:proofErr w:type="gramStart"/>
      <w:r w:rsidRPr="00261E3C">
        <w:rPr>
          <w:rFonts w:hint="eastAsia"/>
        </w:rPr>
        <w:t>電子書</w:t>
      </w:r>
      <w:r w:rsidR="003212F2">
        <w:rPr>
          <w:rFonts w:hint="eastAsia"/>
        </w:rPr>
        <w:t>占</w:t>
      </w:r>
      <w:r w:rsidRPr="00261E3C">
        <w:rPr>
          <w:rFonts w:hint="eastAsia"/>
        </w:rPr>
        <w:t>整體</w:t>
      </w:r>
      <w:proofErr w:type="gramEnd"/>
      <w:r w:rsidRPr="00261E3C">
        <w:rPr>
          <w:rFonts w:hint="eastAsia"/>
        </w:rPr>
        <w:t>出版市場比例</w:t>
      </w:r>
      <w:bookmarkEnd w:id="80"/>
    </w:p>
    <w:tbl>
      <w:tblPr>
        <w:tblStyle w:val="af7"/>
        <w:tblW w:w="0" w:type="auto"/>
        <w:tblInd w:w="817" w:type="dxa"/>
        <w:tblLayout w:type="fixed"/>
        <w:tblLook w:val="04A0" w:firstRow="1" w:lastRow="0" w:firstColumn="1" w:lastColumn="0" w:noHBand="0" w:noVBand="1"/>
      </w:tblPr>
      <w:tblGrid>
        <w:gridCol w:w="2410"/>
        <w:gridCol w:w="1063"/>
        <w:gridCol w:w="1063"/>
        <w:gridCol w:w="1063"/>
        <w:gridCol w:w="1063"/>
        <w:gridCol w:w="1134"/>
      </w:tblGrid>
      <w:tr w:rsidR="00261E3C" w:rsidRPr="00261E3C" w:rsidTr="00BB5395">
        <w:trPr>
          <w:trHeight w:val="541"/>
        </w:trPr>
        <w:tc>
          <w:tcPr>
            <w:tcW w:w="2410" w:type="dxa"/>
            <w:vAlign w:val="center"/>
          </w:tcPr>
          <w:p w:rsidR="00377A58" w:rsidRPr="00261E3C" w:rsidRDefault="00AD4BC7" w:rsidP="00AD4BC7">
            <w:pPr>
              <w:jc w:val="center"/>
              <w:rPr>
                <w:sz w:val="24"/>
                <w:szCs w:val="24"/>
              </w:rPr>
            </w:pPr>
            <w:r w:rsidRPr="00261E3C">
              <w:rPr>
                <w:rFonts w:hint="eastAsia"/>
                <w:sz w:val="24"/>
                <w:szCs w:val="24"/>
              </w:rPr>
              <w:t>年度</w:t>
            </w:r>
          </w:p>
        </w:tc>
        <w:tc>
          <w:tcPr>
            <w:tcW w:w="1063" w:type="dxa"/>
            <w:vAlign w:val="center"/>
          </w:tcPr>
          <w:p w:rsidR="00377A58" w:rsidRPr="00261E3C" w:rsidRDefault="00377A58" w:rsidP="00AD4BC7">
            <w:pPr>
              <w:jc w:val="center"/>
              <w:rPr>
                <w:sz w:val="24"/>
                <w:szCs w:val="24"/>
              </w:rPr>
            </w:pPr>
            <w:r w:rsidRPr="00261E3C">
              <w:rPr>
                <w:rFonts w:hint="eastAsia"/>
                <w:sz w:val="24"/>
                <w:szCs w:val="24"/>
              </w:rPr>
              <w:t>102年</w:t>
            </w:r>
          </w:p>
        </w:tc>
        <w:tc>
          <w:tcPr>
            <w:tcW w:w="1063" w:type="dxa"/>
            <w:vAlign w:val="center"/>
          </w:tcPr>
          <w:p w:rsidR="00377A58" w:rsidRPr="00261E3C" w:rsidRDefault="00377A58" w:rsidP="00AD4BC7">
            <w:pPr>
              <w:jc w:val="center"/>
              <w:rPr>
                <w:sz w:val="24"/>
                <w:szCs w:val="24"/>
              </w:rPr>
            </w:pPr>
            <w:r w:rsidRPr="00261E3C">
              <w:rPr>
                <w:rFonts w:hint="eastAsia"/>
                <w:sz w:val="24"/>
                <w:szCs w:val="24"/>
              </w:rPr>
              <w:t>103年</w:t>
            </w:r>
          </w:p>
        </w:tc>
        <w:tc>
          <w:tcPr>
            <w:tcW w:w="1063" w:type="dxa"/>
            <w:vAlign w:val="center"/>
          </w:tcPr>
          <w:p w:rsidR="00377A58" w:rsidRPr="00261E3C" w:rsidRDefault="00377A58" w:rsidP="00AD4BC7">
            <w:pPr>
              <w:jc w:val="center"/>
              <w:rPr>
                <w:sz w:val="24"/>
                <w:szCs w:val="24"/>
              </w:rPr>
            </w:pPr>
            <w:r w:rsidRPr="00261E3C">
              <w:rPr>
                <w:rFonts w:hint="eastAsia"/>
                <w:sz w:val="24"/>
                <w:szCs w:val="24"/>
              </w:rPr>
              <w:t>104年</w:t>
            </w:r>
          </w:p>
        </w:tc>
        <w:tc>
          <w:tcPr>
            <w:tcW w:w="1063" w:type="dxa"/>
            <w:vAlign w:val="center"/>
          </w:tcPr>
          <w:p w:rsidR="00377A58" w:rsidRPr="00261E3C" w:rsidRDefault="00377A58" w:rsidP="00AD4BC7">
            <w:pPr>
              <w:jc w:val="center"/>
              <w:rPr>
                <w:sz w:val="24"/>
                <w:szCs w:val="24"/>
              </w:rPr>
            </w:pPr>
            <w:r w:rsidRPr="00261E3C">
              <w:rPr>
                <w:rFonts w:hint="eastAsia"/>
                <w:sz w:val="24"/>
                <w:szCs w:val="24"/>
              </w:rPr>
              <w:t>105年</w:t>
            </w:r>
          </w:p>
        </w:tc>
        <w:tc>
          <w:tcPr>
            <w:tcW w:w="1134" w:type="dxa"/>
            <w:vAlign w:val="center"/>
          </w:tcPr>
          <w:p w:rsidR="00377A58" w:rsidRPr="00261E3C" w:rsidRDefault="00377A58" w:rsidP="00AD4BC7">
            <w:pPr>
              <w:jc w:val="center"/>
              <w:rPr>
                <w:sz w:val="24"/>
                <w:szCs w:val="24"/>
              </w:rPr>
            </w:pPr>
            <w:r w:rsidRPr="00261E3C">
              <w:rPr>
                <w:rFonts w:hint="eastAsia"/>
                <w:sz w:val="24"/>
                <w:szCs w:val="24"/>
              </w:rPr>
              <w:t>備註</w:t>
            </w:r>
          </w:p>
        </w:tc>
      </w:tr>
      <w:tr w:rsidR="00261E3C" w:rsidRPr="00261E3C" w:rsidTr="00BB5395">
        <w:tc>
          <w:tcPr>
            <w:tcW w:w="2410" w:type="dxa"/>
          </w:tcPr>
          <w:p w:rsidR="00754FCA" w:rsidRPr="00261E3C" w:rsidRDefault="00754FCA" w:rsidP="00754FCA">
            <w:pPr>
              <w:jc w:val="center"/>
              <w:rPr>
                <w:sz w:val="24"/>
                <w:szCs w:val="24"/>
              </w:rPr>
            </w:pPr>
            <w:r w:rsidRPr="00261E3C">
              <w:rPr>
                <w:rFonts w:hint="eastAsia"/>
                <w:sz w:val="24"/>
                <w:szCs w:val="24"/>
              </w:rPr>
              <w:t>美國</w:t>
            </w:r>
          </w:p>
          <w:p w:rsidR="00754FCA" w:rsidRPr="00261E3C" w:rsidRDefault="00754FCA" w:rsidP="00AD4BC7">
            <w:pPr>
              <w:ind w:leftChars="3" w:left="10"/>
              <w:rPr>
                <w:sz w:val="24"/>
                <w:szCs w:val="24"/>
              </w:rPr>
            </w:pPr>
            <w:r w:rsidRPr="00261E3C">
              <w:rPr>
                <w:rFonts w:hint="eastAsia"/>
                <w:sz w:val="24"/>
                <w:szCs w:val="24"/>
              </w:rPr>
              <w:t>(銷售金額：電子書/圖書及電子書)</w:t>
            </w:r>
          </w:p>
        </w:tc>
        <w:tc>
          <w:tcPr>
            <w:tcW w:w="1063" w:type="dxa"/>
            <w:vAlign w:val="center"/>
          </w:tcPr>
          <w:p w:rsidR="00754FCA" w:rsidRPr="00261E3C" w:rsidRDefault="00754FCA" w:rsidP="00490727">
            <w:pPr>
              <w:jc w:val="center"/>
              <w:rPr>
                <w:sz w:val="24"/>
                <w:szCs w:val="24"/>
              </w:rPr>
            </w:pPr>
            <w:r w:rsidRPr="00261E3C">
              <w:rPr>
                <w:rFonts w:hint="eastAsia"/>
                <w:sz w:val="24"/>
                <w:szCs w:val="24"/>
              </w:rPr>
              <w:t>10.7</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10.3</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9.3</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14.4</w:t>
            </w:r>
            <w:r w:rsidR="00BB5395" w:rsidRPr="00261E3C">
              <w:rPr>
                <w:rFonts w:hint="eastAsia"/>
                <w:sz w:val="24"/>
                <w:szCs w:val="24"/>
              </w:rPr>
              <w:t>％</w:t>
            </w:r>
          </w:p>
        </w:tc>
        <w:tc>
          <w:tcPr>
            <w:tcW w:w="1134" w:type="dxa"/>
            <w:vMerge w:val="restart"/>
          </w:tcPr>
          <w:p w:rsidR="00754FCA" w:rsidRPr="00261E3C" w:rsidRDefault="00754FCA" w:rsidP="00377A58">
            <w:pPr>
              <w:rPr>
                <w:sz w:val="24"/>
                <w:szCs w:val="24"/>
              </w:rPr>
            </w:pPr>
            <w:r w:rsidRPr="00261E3C">
              <w:rPr>
                <w:rFonts w:hint="eastAsia"/>
                <w:sz w:val="24"/>
                <w:szCs w:val="24"/>
              </w:rPr>
              <w:t>美國出版業自105年起改以整體出版社營收為分母計算</w:t>
            </w:r>
          </w:p>
        </w:tc>
      </w:tr>
      <w:tr w:rsidR="00261E3C" w:rsidRPr="00261E3C" w:rsidTr="00BB5395">
        <w:tc>
          <w:tcPr>
            <w:tcW w:w="2410" w:type="dxa"/>
          </w:tcPr>
          <w:p w:rsidR="00754FCA" w:rsidRPr="00261E3C" w:rsidRDefault="00754FCA" w:rsidP="00754FCA">
            <w:pPr>
              <w:jc w:val="center"/>
              <w:rPr>
                <w:sz w:val="24"/>
                <w:szCs w:val="24"/>
              </w:rPr>
            </w:pPr>
            <w:r w:rsidRPr="00261E3C">
              <w:rPr>
                <w:rFonts w:hint="eastAsia"/>
                <w:sz w:val="24"/>
                <w:szCs w:val="24"/>
              </w:rPr>
              <w:t>日本</w:t>
            </w:r>
          </w:p>
          <w:p w:rsidR="00754FCA" w:rsidRPr="00261E3C" w:rsidRDefault="00754FCA" w:rsidP="00377A58">
            <w:pPr>
              <w:rPr>
                <w:sz w:val="24"/>
                <w:szCs w:val="24"/>
              </w:rPr>
            </w:pPr>
            <w:r w:rsidRPr="00261E3C">
              <w:rPr>
                <w:rFonts w:hint="eastAsia"/>
                <w:sz w:val="24"/>
                <w:szCs w:val="24"/>
              </w:rPr>
              <w:t>(數位出版品市場規模/圖書銷售額)</w:t>
            </w:r>
          </w:p>
        </w:tc>
        <w:tc>
          <w:tcPr>
            <w:tcW w:w="1063" w:type="dxa"/>
            <w:vAlign w:val="center"/>
          </w:tcPr>
          <w:p w:rsidR="00754FCA" w:rsidRPr="00261E3C" w:rsidRDefault="00754FCA" w:rsidP="00490727">
            <w:pPr>
              <w:jc w:val="center"/>
              <w:rPr>
                <w:sz w:val="24"/>
                <w:szCs w:val="24"/>
              </w:rPr>
            </w:pPr>
            <w:r w:rsidRPr="00261E3C">
              <w:rPr>
                <w:rFonts w:hint="eastAsia"/>
                <w:sz w:val="24"/>
                <w:szCs w:val="24"/>
              </w:rPr>
              <w:t>無資料</w:t>
            </w:r>
          </w:p>
        </w:tc>
        <w:tc>
          <w:tcPr>
            <w:tcW w:w="1063" w:type="dxa"/>
            <w:vAlign w:val="center"/>
          </w:tcPr>
          <w:p w:rsidR="00754FCA" w:rsidRPr="00261E3C" w:rsidRDefault="00754FCA" w:rsidP="00490727">
            <w:pPr>
              <w:jc w:val="center"/>
              <w:rPr>
                <w:sz w:val="24"/>
                <w:szCs w:val="24"/>
              </w:rPr>
            </w:pPr>
            <w:r w:rsidRPr="00261E3C">
              <w:rPr>
                <w:rFonts w:hint="eastAsia"/>
                <w:sz w:val="24"/>
                <w:szCs w:val="24"/>
              </w:rPr>
              <w:t>6.6</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9.0</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11.5</w:t>
            </w:r>
            <w:r w:rsidR="00BB5395" w:rsidRPr="00261E3C">
              <w:rPr>
                <w:rFonts w:hint="eastAsia"/>
                <w:sz w:val="24"/>
                <w:szCs w:val="24"/>
              </w:rPr>
              <w:t>％</w:t>
            </w:r>
          </w:p>
        </w:tc>
        <w:tc>
          <w:tcPr>
            <w:tcW w:w="1134" w:type="dxa"/>
            <w:vMerge/>
          </w:tcPr>
          <w:p w:rsidR="00754FCA" w:rsidRPr="00261E3C" w:rsidRDefault="00754FCA" w:rsidP="00377A58">
            <w:pPr>
              <w:rPr>
                <w:sz w:val="24"/>
                <w:szCs w:val="24"/>
              </w:rPr>
            </w:pPr>
          </w:p>
        </w:tc>
      </w:tr>
      <w:tr w:rsidR="00261E3C" w:rsidRPr="00261E3C" w:rsidTr="00BB5395">
        <w:tc>
          <w:tcPr>
            <w:tcW w:w="2410" w:type="dxa"/>
          </w:tcPr>
          <w:p w:rsidR="00754FCA" w:rsidRPr="00261E3C" w:rsidRDefault="00754FCA" w:rsidP="00754FCA">
            <w:pPr>
              <w:jc w:val="center"/>
              <w:rPr>
                <w:sz w:val="24"/>
                <w:szCs w:val="24"/>
              </w:rPr>
            </w:pPr>
            <w:r w:rsidRPr="00261E3C">
              <w:rPr>
                <w:rFonts w:hint="eastAsia"/>
                <w:sz w:val="24"/>
                <w:szCs w:val="24"/>
              </w:rPr>
              <w:t>中國</w:t>
            </w:r>
          </w:p>
          <w:p w:rsidR="00754FCA" w:rsidRPr="00261E3C" w:rsidRDefault="00754FCA" w:rsidP="00377A58">
            <w:pPr>
              <w:rPr>
                <w:sz w:val="24"/>
                <w:szCs w:val="24"/>
              </w:rPr>
            </w:pPr>
            <w:r w:rsidRPr="00261E3C">
              <w:rPr>
                <w:rFonts w:hint="eastAsia"/>
                <w:sz w:val="24"/>
                <w:szCs w:val="24"/>
              </w:rPr>
              <w:t>(數字出版產業收入情況/出版物純銷售金額)</w:t>
            </w:r>
          </w:p>
        </w:tc>
        <w:tc>
          <w:tcPr>
            <w:tcW w:w="1063" w:type="dxa"/>
            <w:vAlign w:val="center"/>
          </w:tcPr>
          <w:p w:rsidR="00754FCA" w:rsidRPr="00261E3C" w:rsidRDefault="00754FCA" w:rsidP="00490727">
            <w:pPr>
              <w:jc w:val="center"/>
              <w:rPr>
                <w:sz w:val="24"/>
                <w:szCs w:val="24"/>
              </w:rPr>
            </w:pPr>
            <w:r w:rsidRPr="00261E3C">
              <w:rPr>
                <w:rFonts w:hint="eastAsia"/>
                <w:sz w:val="24"/>
                <w:szCs w:val="24"/>
              </w:rPr>
              <w:t>5.2</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5.8</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6.3</w:t>
            </w:r>
            <w:r w:rsidR="00BB5395" w:rsidRPr="00261E3C">
              <w:rPr>
                <w:rFonts w:hint="eastAsia"/>
                <w:sz w:val="24"/>
                <w:szCs w:val="24"/>
              </w:rPr>
              <w:t>％</w:t>
            </w:r>
          </w:p>
        </w:tc>
        <w:tc>
          <w:tcPr>
            <w:tcW w:w="1063" w:type="dxa"/>
            <w:vAlign w:val="center"/>
          </w:tcPr>
          <w:p w:rsidR="00754FCA" w:rsidRPr="00261E3C" w:rsidRDefault="00754FCA" w:rsidP="00BB5395">
            <w:pPr>
              <w:jc w:val="center"/>
              <w:rPr>
                <w:sz w:val="24"/>
                <w:szCs w:val="24"/>
              </w:rPr>
            </w:pPr>
            <w:r w:rsidRPr="00261E3C">
              <w:rPr>
                <w:rFonts w:hint="eastAsia"/>
                <w:sz w:val="24"/>
                <w:szCs w:val="24"/>
              </w:rPr>
              <w:t>6.1</w:t>
            </w:r>
            <w:r w:rsidR="00BB5395" w:rsidRPr="00261E3C">
              <w:rPr>
                <w:rFonts w:hint="eastAsia"/>
                <w:sz w:val="24"/>
                <w:szCs w:val="24"/>
              </w:rPr>
              <w:t>％</w:t>
            </w:r>
          </w:p>
        </w:tc>
        <w:tc>
          <w:tcPr>
            <w:tcW w:w="1134" w:type="dxa"/>
            <w:vMerge/>
          </w:tcPr>
          <w:p w:rsidR="00754FCA" w:rsidRPr="00261E3C" w:rsidRDefault="00754FCA" w:rsidP="00377A58">
            <w:pPr>
              <w:rPr>
                <w:sz w:val="24"/>
                <w:szCs w:val="24"/>
              </w:rPr>
            </w:pPr>
          </w:p>
        </w:tc>
      </w:tr>
      <w:tr w:rsidR="00261E3C" w:rsidRPr="00261E3C" w:rsidTr="00BB5395">
        <w:tc>
          <w:tcPr>
            <w:tcW w:w="7796" w:type="dxa"/>
            <w:gridSpan w:val="6"/>
          </w:tcPr>
          <w:p w:rsidR="00E76F97" w:rsidRPr="00261E3C" w:rsidRDefault="00E76F97" w:rsidP="0065126C">
            <w:pPr>
              <w:jc w:val="left"/>
              <w:rPr>
                <w:sz w:val="24"/>
                <w:szCs w:val="24"/>
              </w:rPr>
            </w:pPr>
            <w:r w:rsidRPr="00261E3C">
              <w:rPr>
                <w:rFonts w:hint="eastAsia"/>
                <w:sz w:val="24"/>
                <w:szCs w:val="24"/>
              </w:rPr>
              <w:t>資料來源：</w:t>
            </w:r>
            <w:proofErr w:type="gramStart"/>
            <w:r w:rsidRPr="00261E3C">
              <w:rPr>
                <w:rFonts w:hint="eastAsia"/>
                <w:sz w:val="24"/>
                <w:szCs w:val="24"/>
              </w:rPr>
              <w:t>文化部查復</w:t>
            </w:r>
            <w:proofErr w:type="gramEnd"/>
            <w:r w:rsidRPr="00261E3C">
              <w:rPr>
                <w:rFonts w:hint="eastAsia"/>
                <w:sz w:val="24"/>
                <w:szCs w:val="24"/>
              </w:rPr>
              <w:t>資料，本院自行整理。</w:t>
            </w:r>
          </w:p>
        </w:tc>
      </w:tr>
    </w:tbl>
    <w:p w:rsidR="000A7C2B" w:rsidRPr="00261E3C" w:rsidRDefault="00153C9D" w:rsidP="004A4F7D">
      <w:pPr>
        <w:pStyle w:val="3"/>
      </w:pPr>
      <w:r w:rsidRPr="00261E3C">
        <w:rPr>
          <w:rFonts w:hint="eastAsia"/>
        </w:rPr>
        <w:t>所幸</w:t>
      </w:r>
      <w:proofErr w:type="gramStart"/>
      <w:r w:rsidRPr="00261E3C">
        <w:rPr>
          <w:rFonts w:hint="eastAsia"/>
        </w:rPr>
        <w:t>106</w:t>
      </w:r>
      <w:proofErr w:type="gramEnd"/>
      <w:r w:rsidR="001F7E07" w:rsidRPr="00261E3C">
        <w:rPr>
          <w:rFonts w:hint="eastAsia"/>
        </w:rPr>
        <w:t>年度已有部分</w:t>
      </w:r>
      <w:r w:rsidRPr="00261E3C">
        <w:rPr>
          <w:rFonts w:hint="eastAsia"/>
        </w:rPr>
        <w:t>業者投入市場，發揮成長力道，帶動數位出版產值已成長3％，</w:t>
      </w:r>
      <w:r w:rsidR="004A4F7D" w:rsidRPr="00261E3C">
        <w:rPr>
          <w:rFonts w:hAnsi="標楷體" w:hint="eastAsia"/>
        </w:rPr>
        <w:t>105年數位授權情形，取得半數以上出版品數位授權之出版機構數自103年17.6％逐年增長至105年25.2％，已見止跌改善趨勢</w:t>
      </w:r>
      <w:r w:rsidRPr="00261E3C">
        <w:rPr>
          <w:rFonts w:hint="eastAsia"/>
        </w:rPr>
        <w:t>。</w:t>
      </w:r>
      <w:r w:rsidR="00F97303" w:rsidRPr="00261E3C">
        <w:rPr>
          <w:rFonts w:hint="eastAsia"/>
        </w:rPr>
        <w:t>對此成效</w:t>
      </w:r>
      <w:proofErr w:type="gramStart"/>
      <w:r w:rsidR="00F97303" w:rsidRPr="00261E3C">
        <w:rPr>
          <w:rFonts w:hint="eastAsia"/>
        </w:rPr>
        <w:t>不</w:t>
      </w:r>
      <w:proofErr w:type="gramEnd"/>
      <w:r w:rsidR="00F97303" w:rsidRPr="00261E3C">
        <w:rPr>
          <w:rFonts w:hint="eastAsia"/>
        </w:rPr>
        <w:t>彰的結果，</w:t>
      </w:r>
      <w:proofErr w:type="gramStart"/>
      <w:r w:rsidR="00F97303" w:rsidRPr="00261E3C">
        <w:rPr>
          <w:rFonts w:hint="eastAsia"/>
        </w:rPr>
        <w:t>文化部函復</w:t>
      </w:r>
      <w:proofErr w:type="gramEnd"/>
      <w:r w:rsidR="00F97303" w:rsidRPr="00261E3C">
        <w:rPr>
          <w:rFonts w:hint="eastAsia"/>
        </w:rPr>
        <w:t>指出「數位出版商業模式未成熟，影響授權意願」為通路端的主要因素，文化部次長丁曉菁於接受本院詢問時</w:t>
      </w:r>
      <w:r w:rsidR="002A7AC6" w:rsidRPr="00261E3C">
        <w:rPr>
          <w:rFonts w:hint="eastAsia"/>
        </w:rPr>
        <w:t>亦不諱言</w:t>
      </w:r>
      <w:r w:rsidR="00F97303" w:rsidRPr="00261E3C">
        <w:rPr>
          <w:rFonts w:hint="eastAsia"/>
        </w:rPr>
        <w:t>：「我國電子書發展確實是比較慢的，</w:t>
      </w:r>
      <w:r w:rsidR="00F97303" w:rsidRPr="00261E3C">
        <w:t>…</w:t>
      </w:r>
      <w:proofErr w:type="gramStart"/>
      <w:r w:rsidR="00F97303" w:rsidRPr="00261E3C">
        <w:t>…</w:t>
      </w:r>
      <w:proofErr w:type="gramEnd"/>
      <w:r w:rsidR="00F97303" w:rsidRPr="00261E3C">
        <w:rPr>
          <w:rFonts w:hint="eastAsia"/>
        </w:rPr>
        <w:t>業者還在觀望，也有盜版的問題。尤其網路書店(</w:t>
      </w:r>
      <w:r w:rsidR="006C76B7" w:rsidRPr="00261E3C">
        <w:rPr>
          <w:rFonts w:hint="eastAsia"/>
        </w:rPr>
        <w:t>如</w:t>
      </w:r>
      <w:r w:rsidR="00F97303" w:rsidRPr="00261E3C">
        <w:rPr>
          <w:rFonts w:hint="eastAsia"/>
        </w:rPr>
        <w:t>博客來)沒有投入時，讀者購買國內</w:t>
      </w:r>
      <w:proofErr w:type="gramStart"/>
      <w:r w:rsidR="00F97303" w:rsidRPr="00261E3C">
        <w:rPr>
          <w:rFonts w:hint="eastAsia"/>
        </w:rPr>
        <w:t>電子書品項</w:t>
      </w:r>
      <w:proofErr w:type="gramEnd"/>
      <w:r w:rsidR="00F97303" w:rsidRPr="00261E3C">
        <w:rPr>
          <w:rFonts w:hint="eastAsia"/>
        </w:rPr>
        <w:t>和通路有限</w:t>
      </w:r>
      <w:r w:rsidR="00F97303" w:rsidRPr="00261E3C">
        <w:t>…</w:t>
      </w:r>
      <w:proofErr w:type="gramStart"/>
      <w:r w:rsidR="00F97303" w:rsidRPr="00261E3C">
        <w:t>…</w:t>
      </w:r>
      <w:proofErr w:type="gramEnd"/>
      <w:r w:rsidR="00F97303" w:rsidRPr="00261E3C">
        <w:rPr>
          <w:rFonts w:hint="eastAsia"/>
        </w:rPr>
        <w:t>業者的投入意願是很重要的，如果業者都不動，政府介入的效果不會很好」等語。</w:t>
      </w:r>
      <w:r w:rsidR="005B61BF" w:rsidRPr="00261E3C">
        <w:rPr>
          <w:rFonts w:hint="eastAsia"/>
        </w:rPr>
        <w:t>該部人文及出版司朱司長</w:t>
      </w:r>
      <w:r w:rsidR="002A7AC6" w:rsidRPr="00261E3C">
        <w:rPr>
          <w:rFonts w:hint="eastAsia"/>
        </w:rPr>
        <w:t>則表示：「有關數</w:t>
      </w:r>
      <w:r w:rsidR="002A7AC6" w:rsidRPr="00261E3C">
        <w:rPr>
          <w:rFonts w:hint="eastAsia"/>
        </w:rPr>
        <w:lastRenderedPageBreak/>
        <w:t>位出版，分得非常細，包括圖書資料庫也算是一環，其他出版品轉製成電子書也是一種，另外沒有紙本為底，直接出電子書也是一種。我們推電子書已經好幾年了，</w:t>
      </w:r>
      <w:proofErr w:type="gramStart"/>
      <w:r w:rsidR="002A7AC6" w:rsidRPr="00261E3C">
        <w:rPr>
          <w:rFonts w:hint="eastAsia"/>
        </w:rPr>
        <w:t>如果說是從</w:t>
      </w:r>
      <w:proofErr w:type="gramEnd"/>
      <w:r w:rsidR="002A7AC6" w:rsidRPr="00261E3C">
        <w:rPr>
          <w:rFonts w:hint="eastAsia"/>
        </w:rPr>
        <w:t>紙本轉換會碰到版權的問題，必須先得到原著者或出版社的授權。我們一直在跟業界溝通這種觀念，有轉變載體的需要且必須與世界接軌，包括</w:t>
      </w:r>
      <w:r w:rsidR="006C76B7" w:rsidRPr="00261E3C">
        <w:rPr>
          <w:rFonts w:hint="eastAsia"/>
        </w:rPr>
        <w:t>HDMI</w:t>
      </w:r>
      <w:r w:rsidR="002A7AC6" w:rsidRPr="00261E3C">
        <w:rPr>
          <w:rFonts w:hint="eastAsia"/>
        </w:rPr>
        <w:t>或e</w:t>
      </w:r>
      <w:r w:rsidR="006C76B7" w:rsidRPr="00261E3C">
        <w:rPr>
          <w:rFonts w:hint="eastAsia"/>
        </w:rPr>
        <w:t>PUB</w:t>
      </w:r>
      <w:r w:rsidR="002A7AC6" w:rsidRPr="00261E3C">
        <w:rPr>
          <w:rFonts w:hint="eastAsia"/>
        </w:rPr>
        <w:t>3等格式，但我們也碰到品項不足，尤其是新的出版品很多是影音或圖像參雜，很多出版社和作家會發現這些數位出版品很容易被盜版，造成業者、作家、平台的損失，因此意願不容易提升」。由此可見，由於我國市場</w:t>
      </w:r>
      <w:r w:rsidR="00136C4B" w:rsidRPr="00261E3C">
        <w:rPr>
          <w:rFonts w:hint="eastAsia"/>
        </w:rPr>
        <w:t>規模</w:t>
      </w:r>
      <w:r w:rsidR="002A7AC6" w:rsidRPr="00261E3C">
        <w:rPr>
          <w:rFonts w:hint="eastAsia"/>
        </w:rPr>
        <w:t>不大，</w:t>
      </w:r>
      <w:r w:rsidR="00136C4B" w:rsidRPr="00261E3C">
        <w:rPr>
          <w:rFonts w:hint="eastAsia"/>
        </w:rPr>
        <w:t>不易</w:t>
      </w:r>
      <w:r w:rsidR="002A7AC6" w:rsidRPr="00261E3C">
        <w:rPr>
          <w:rFonts w:hint="eastAsia"/>
        </w:rPr>
        <w:t>形成規模經濟</w:t>
      </w:r>
      <w:r w:rsidR="00136C4B" w:rsidRPr="00261E3C">
        <w:rPr>
          <w:rFonts w:hint="eastAsia"/>
        </w:rPr>
        <w:t>，亦不易</w:t>
      </w:r>
      <w:r w:rsidR="002A7AC6" w:rsidRPr="00261E3C">
        <w:rPr>
          <w:rFonts w:hint="eastAsia"/>
        </w:rPr>
        <w:t>取得標準制訂主導權，</w:t>
      </w:r>
      <w:r w:rsidR="00136C4B" w:rsidRPr="00261E3C">
        <w:rPr>
          <w:rFonts w:hint="eastAsia"/>
        </w:rPr>
        <w:t>在此前提下，</w:t>
      </w:r>
      <w:r w:rsidR="0065126C" w:rsidRPr="00261E3C">
        <w:rPr>
          <w:rFonts w:hint="eastAsia"/>
        </w:rPr>
        <w:t>業者投資之風險巨大，</w:t>
      </w:r>
      <w:r w:rsidR="00136C4B" w:rsidRPr="00261E3C">
        <w:rPr>
          <w:rFonts w:hint="eastAsia"/>
        </w:rPr>
        <w:t>過去長期以來的作法僅靠政府的獎</w:t>
      </w:r>
      <w:r w:rsidR="002A7AC6" w:rsidRPr="00261E3C">
        <w:rPr>
          <w:rFonts w:hint="eastAsia"/>
        </w:rPr>
        <w:t>補助</w:t>
      </w:r>
      <w:r w:rsidR="00136C4B" w:rsidRPr="00261E3C">
        <w:rPr>
          <w:rFonts w:hint="eastAsia"/>
        </w:rPr>
        <w:t>方式</w:t>
      </w:r>
      <w:r w:rsidR="002A7AC6" w:rsidRPr="00261E3C">
        <w:rPr>
          <w:rFonts w:hint="eastAsia"/>
        </w:rPr>
        <w:t>，</w:t>
      </w:r>
      <w:r w:rsidR="00136C4B" w:rsidRPr="00261E3C">
        <w:rPr>
          <w:rFonts w:hint="eastAsia"/>
        </w:rPr>
        <w:t>不能提供業者投入的誘因，</w:t>
      </w:r>
      <w:r w:rsidR="00624B81" w:rsidRPr="00261E3C">
        <w:rPr>
          <w:rFonts w:hint="eastAsia"/>
        </w:rPr>
        <w:t>對於數位出版品的扶植</w:t>
      </w:r>
      <w:r w:rsidR="00136C4B" w:rsidRPr="00261E3C">
        <w:rPr>
          <w:rFonts w:hint="eastAsia"/>
        </w:rPr>
        <w:t>亦難見成效。</w:t>
      </w:r>
    </w:p>
    <w:p w:rsidR="00D348D3" w:rsidRPr="00261E3C" w:rsidRDefault="0000040E" w:rsidP="009B6CFE">
      <w:pPr>
        <w:pStyle w:val="3"/>
      </w:pPr>
      <w:r w:rsidRPr="00261E3C">
        <w:rPr>
          <w:rFonts w:hint="eastAsia"/>
        </w:rPr>
        <w:t>由於科技發展進步快速，數位化對傳統出版業務流程也產生了革命性的影響，</w:t>
      </w:r>
      <w:r w:rsidR="00D701D2" w:rsidRPr="00261E3C">
        <w:rPr>
          <w:rFonts w:hint="eastAsia"/>
        </w:rPr>
        <w:t>其影響的層面</w:t>
      </w:r>
      <w:r w:rsidRPr="00261E3C">
        <w:rPr>
          <w:rFonts w:hint="eastAsia"/>
        </w:rPr>
        <w:t>包括數位化的創作方式與媒材、數位化的編輯方式、數位化的消費閱讀等</w:t>
      </w:r>
      <w:r w:rsidR="00D701D2" w:rsidRPr="00261E3C">
        <w:rPr>
          <w:rFonts w:hint="eastAsia"/>
        </w:rPr>
        <w:t>各方面</w:t>
      </w:r>
      <w:r w:rsidRPr="00261E3C">
        <w:rPr>
          <w:rFonts w:hint="eastAsia"/>
        </w:rPr>
        <w:t>。</w:t>
      </w:r>
      <w:r w:rsidR="00D701D2" w:rsidRPr="00261E3C">
        <w:rPr>
          <w:rFonts w:hint="eastAsia"/>
        </w:rPr>
        <w:t>然而，</w:t>
      </w:r>
      <w:r w:rsidRPr="00261E3C">
        <w:rPr>
          <w:rFonts w:hint="eastAsia"/>
        </w:rPr>
        <w:t>臺灣</w:t>
      </w:r>
      <w:r w:rsidR="00D701D2" w:rsidRPr="00261E3C">
        <w:rPr>
          <w:rFonts w:hint="eastAsia"/>
        </w:rPr>
        <w:t>市場規模較小，且</w:t>
      </w:r>
      <w:r w:rsidRPr="00261E3C">
        <w:rPr>
          <w:rFonts w:hint="eastAsia"/>
        </w:rPr>
        <w:t>出版業大多為中小型業者，</w:t>
      </w:r>
      <w:r w:rsidR="00D701D2" w:rsidRPr="00261E3C">
        <w:rPr>
          <w:rFonts w:hint="eastAsia"/>
        </w:rPr>
        <w:t>缺乏充沛的</w:t>
      </w:r>
      <w:r w:rsidRPr="00261E3C">
        <w:rPr>
          <w:rFonts w:hint="eastAsia"/>
        </w:rPr>
        <w:t>財力和人力應付數位出版所帶來巨大的變</w:t>
      </w:r>
      <w:r w:rsidR="00D701D2" w:rsidRPr="00261E3C">
        <w:rPr>
          <w:rFonts w:hint="eastAsia"/>
        </w:rPr>
        <w:t>革</w:t>
      </w:r>
      <w:r w:rsidRPr="00261E3C">
        <w:rPr>
          <w:rFonts w:hint="eastAsia"/>
        </w:rPr>
        <w:t>，</w:t>
      </w:r>
      <w:r w:rsidR="00D701D2" w:rsidRPr="00261E3C">
        <w:rPr>
          <w:rFonts w:hint="eastAsia"/>
        </w:rPr>
        <w:t>面對</w:t>
      </w:r>
      <w:r w:rsidRPr="00261E3C">
        <w:rPr>
          <w:rFonts w:hint="eastAsia"/>
        </w:rPr>
        <w:t>眾多載體與內容格式的變化</w:t>
      </w:r>
      <w:r w:rsidR="000D0135" w:rsidRPr="00261E3C">
        <w:rPr>
          <w:rFonts w:hint="eastAsia"/>
        </w:rPr>
        <w:t>，業者或無意願面對</w:t>
      </w:r>
      <w:r w:rsidR="00D701D2" w:rsidRPr="00261E3C">
        <w:rPr>
          <w:rFonts w:hint="eastAsia"/>
        </w:rPr>
        <w:t>創新引領</w:t>
      </w:r>
      <w:r w:rsidR="000D0135" w:rsidRPr="00261E3C">
        <w:rPr>
          <w:rFonts w:hint="eastAsia"/>
        </w:rPr>
        <w:t>之風險</w:t>
      </w:r>
      <w:r w:rsidR="00D701D2" w:rsidRPr="00261E3C">
        <w:rPr>
          <w:rFonts w:hint="eastAsia"/>
        </w:rPr>
        <w:t>，僅能觀察摸索，並期待成熟規範儘早出現</w:t>
      </w:r>
      <w:r w:rsidRPr="00261E3C">
        <w:rPr>
          <w:rFonts w:hint="eastAsia"/>
        </w:rPr>
        <w:t>。</w:t>
      </w:r>
      <w:r w:rsidR="00D701D2" w:rsidRPr="00261E3C">
        <w:rPr>
          <w:rFonts w:hint="eastAsia"/>
        </w:rPr>
        <w:t>傳統出版流程亦發生根本性變革，在此</w:t>
      </w:r>
      <w:r w:rsidR="00D348D3" w:rsidRPr="00261E3C">
        <w:rPr>
          <w:rFonts w:hint="eastAsia"/>
        </w:rPr>
        <w:t>出版產業</w:t>
      </w:r>
      <w:r w:rsidR="00D701D2" w:rsidRPr="00261E3C">
        <w:rPr>
          <w:rFonts w:hint="eastAsia"/>
        </w:rPr>
        <w:t>劇烈變局下，政府的角色不應只是消極的獎補助業者，</w:t>
      </w:r>
      <w:r w:rsidR="00D348D3" w:rsidRPr="00261E3C">
        <w:rPr>
          <w:rFonts w:hint="eastAsia"/>
        </w:rPr>
        <w:t>而是降低業者投資創新的風險，並且協助業者儘速找到世界趨勢的主流，勇於投資創新，創造規模經濟，甚至進而引領潮流。另一關鍵問題為數位版權的取得，臺灣現有出版品有一半以上皆為國外</w:t>
      </w:r>
      <w:r w:rsidR="00D348D3" w:rsidRPr="00261E3C">
        <w:rPr>
          <w:rFonts w:hint="eastAsia"/>
        </w:rPr>
        <w:lastRenderedPageBreak/>
        <w:t>翻譯類作品，且取得數位發行版權十分困難。造成臺灣電子書市場硬體熱、平</w:t>
      </w:r>
      <w:proofErr w:type="gramStart"/>
      <w:r w:rsidR="00D348D3" w:rsidRPr="00261E3C">
        <w:rPr>
          <w:rFonts w:hint="eastAsia"/>
        </w:rPr>
        <w:t>臺</w:t>
      </w:r>
      <w:proofErr w:type="gramEnd"/>
      <w:r w:rsidR="00D348D3" w:rsidRPr="00261E3C">
        <w:rPr>
          <w:rFonts w:hint="eastAsia"/>
        </w:rPr>
        <w:t>熱、電信服務商熱、但出版社冷的窘境。追根究底，除了轉製成本十分高昂之外，出版社的內容大多沒有數位版權，無法做成電子書</w:t>
      </w:r>
      <w:r w:rsidR="00D348D3" w:rsidRPr="00261E3C">
        <w:rPr>
          <w:rStyle w:val="aff0"/>
        </w:rPr>
        <w:footnoteReference w:id="3"/>
      </w:r>
      <w:r w:rsidR="00D348D3" w:rsidRPr="00261E3C">
        <w:rPr>
          <w:rFonts w:hint="eastAsia"/>
        </w:rPr>
        <w:t>，</w:t>
      </w:r>
      <w:r w:rsidR="009B6CFE" w:rsidRPr="00261E3C">
        <w:rPr>
          <w:rFonts w:hint="eastAsia"/>
        </w:rPr>
        <w:t>因此，</w:t>
      </w:r>
      <w:r w:rsidR="00574A1A" w:rsidRPr="00261E3C">
        <w:rPr>
          <w:rFonts w:hint="eastAsia"/>
        </w:rPr>
        <w:t>積極取得數位版權和掌握原創內容，便成為數位時代出版業者的重要工作，</w:t>
      </w:r>
      <w:r w:rsidR="009B6CFE" w:rsidRPr="00261E3C">
        <w:rPr>
          <w:rFonts w:hint="eastAsia"/>
        </w:rPr>
        <w:t>積極培育臺灣原創作者與漫畫人才，才是臺灣出版業的活水泉源，有賴政府重點扶植。然而，</w:t>
      </w:r>
      <w:r w:rsidR="009B6CFE" w:rsidRPr="00261E3C">
        <w:rPr>
          <w:rFonts w:hint="eastAsia"/>
          <w:bCs w:val="0"/>
        </w:rPr>
        <w:t>文化部對於業界討論國際標準格式及授權顯然積極度不足，</w:t>
      </w:r>
      <w:r w:rsidR="00893E2A" w:rsidRPr="00261E3C">
        <w:rPr>
          <w:rFonts w:hint="eastAsia"/>
          <w:bCs w:val="0"/>
        </w:rPr>
        <w:t>在</w:t>
      </w:r>
      <w:proofErr w:type="gramStart"/>
      <w:r w:rsidR="00893E2A" w:rsidRPr="00261E3C">
        <w:rPr>
          <w:rFonts w:hint="eastAsia"/>
          <w:bCs w:val="0"/>
        </w:rPr>
        <w:t>文化部可主導</w:t>
      </w:r>
      <w:proofErr w:type="gramEnd"/>
      <w:r w:rsidR="00893E2A" w:rsidRPr="00261E3C">
        <w:rPr>
          <w:rFonts w:hint="eastAsia"/>
          <w:bCs w:val="0"/>
        </w:rPr>
        <w:t>之金鼎獎在取得數位授權及數位化程度尚且不足，難以引導業界投入，且</w:t>
      </w:r>
      <w:r w:rsidR="009B6CFE" w:rsidRPr="00261E3C">
        <w:rPr>
          <w:rFonts w:hint="eastAsia"/>
          <w:bCs w:val="0"/>
        </w:rPr>
        <w:t>未能比照其他輔導措施採取</w:t>
      </w:r>
      <w:r w:rsidR="00893E2A" w:rsidRPr="00261E3C">
        <w:rPr>
          <w:rFonts w:hint="eastAsia"/>
          <w:bCs w:val="0"/>
        </w:rPr>
        <w:t>結合專業</w:t>
      </w:r>
      <w:r w:rsidR="009B6CFE" w:rsidRPr="00261E3C">
        <w:rPr>
          <w:rFonts w:hint="eastAsia"/>
          <w:bCs w:val="0"/>
        </w:rPr>
        <w:t>技術團隊或示範模式，</w:t>
      </w:r>
      <w:r w:rsidR="00574A1A" w:rsidRPr="00261E3C">
        <w:rPr>
          <w:rFonts w:hint="eastAsia"/>
          <w:bCs w:val="0"/>
        </w:rPr>
        <w:t>產生引領效果</w:t>
      </w:r>
      <w:r w:rsidR="00893E2A" w:rsidRPr="00261E3C">
        <w:rPr>
          <w:rFonts w:hint="eastAsia"/>
          <w:bCs w:val="0"/>
        </w:rPr>
        <w:t>，容有檢討改善之必要。</w:t>
      </w:r>
    </w:p>
    <w:p w:rsidR="00344D2E" w:rsidRPr="00261E3C" w:rsidRDefault="00490727" w:rsidP="009B6CFE">
      <w:pPr>
        <w:pStyle w:val="3"/>
      </w:pPr>
      <w:r w:rsidRPr="00261E3C">
        <w:rPr>
          <w:rFonts w:hint="eastAsia"/>
        </w:rPr>
        <w:t>承上，</w:t>
      </w:r>
      <w:r w:rsidR="0065126C" w:rsidRPr="00261E3C">
        <w:rPr>
          <w:rFonts w:hint="eastAsia"/>
        </w:rPr>
        <w:t>考量數位出版</w:t>
      </w:r>
      <w:r w:rsidR="00344D2E" w:rsidRPr="00261E3C">
        <w:rPr>
          <w:rFonts w:hint="eastAsia"/>
        </w:rPr>
        <w:t>市場須達</w:t>
      </w:r>
      <w:r w:rsidRPr="00261E3C">
        <w:rPr>
          <w:rFonts w:hint="eastAsia"/>
        </w:rPr>
        <w:t>到一定</w:t>
      </w:r>
      <w:proofErr w:type="gramStart"/>
      <w:r w:rsidRPr="00261E3C">
        <w:rPr>
          <w:rFonts w:hint="eastAsia"/>
        </w:rPr>
        <w:t>之紙電</w:t>
      </w:r>
      <w:proofErr w:type="gramEnd"/>
      <w:r w:rsidRPr="00261E3C">
        <w:rPr>
          <w:rFonts w:hint="eastAsia"/>
        </w:rPr>
        <w:t>同步率及數量，方能啟動規模經濟之良性循環，</w:t>
      </w:r>
      <w:proofErr w:type="gramStart"/>
      <w:r w:rsidRPr="00261E3C">
        <w:rPr>
          <w:rFonts w:hint="eastAsia"/>
        </w:rPr>
        <w:t>有關</w:t>
      </w:r>
      <w:r w:rsidR="00344D2E" w:rsidRPr="00261E3C">
        <w:rPr>
          <w:rFonts w:hint="eastAsia"/>
        </w:rPr>
        <w:t>電書轉型</w:t>
      </w:r>
      <w:proofErr w:type="gramEnd"/>
      <w:r w:rsidR="00344D2E" w:rsidRPr="00261E3C">
        <w:rPr>
          <w:rFonts w:hint="eastAsia"/>
        </w:rPr>
        <w:t>可能遭遇之技術及編輯流程變革等困難如何克服</w:t>
      </w:r>
      <w:r w:rsidRPr="00261E3C">
        <w:rPr>
          <w:rFonts w:hint="eastAsia"/>
        </w:rPr>
        <w:t>部</w:t>
      </w:r>
      <w:r w:rsidR="001F7E07" w:rsidRPr="00261E3C">
        <w:rPr>
          <w:rFonts w:hint="eastAsia"/>
        </w:rPr>
        <w:t>分</w:t>
      </w:r>
      <w:r w:rsidRPr="00261E3C">
        <w:rPr>
          <w:rFonts w:hint="eastAsia"/>
        </w:rPr>
        <w:t>，該部說明臺灣出版產業目前已逐漸橫跨傳統平面印刷與數位內容，但出版業現有人才多係以人文、編輯及創意見長，若要跨足數位出版領域，需培養數位科技能力，將原有人文之創意專業與數位能力結合，</w:t>
      </w:r>
      <w:proofErr w:type="gramStart"/>
      <w:r w:rsidRPr="00261E3C">
        <w:rPr>
          <w:rFonts w:hint="eastAsia"/>
        </w:rPr>
        <w:t>俾</w:t>
      </w:r>
      <w:proofErr w:type="gramEnd"/>
      <w:r w:rsidRPr="00261E3C">
        <w:rPr>
          <w:rFonts w:hint="eastAsia"/>
        </w:rPr>
        <w:t>能發揮相輔相成效果，以成功</w:t>
      </w:r>
      <w:proofErr w:type="gramStart"/>
      <w:r w:rsidRPr="00261E3C">
        <w:rPr>
          <w:rFonts w:hint="eastAsia"/>
        </w:rPr>
        <w:t>提升紙電同步</w:t>
      </w:r>
      <w:proofErr w:type="gramEnd"/>
      <w:r w:rsidRPr="00261E3C">
        <w:rPr>
          <w:rFonts w:hint="eastAsia"/>
        </w:rPr>
        <w:t>率；</w:t>
      </w:r>
      <w:proofErr w:type="gramStart"/>
      <w:r w:rsidRPr="00261E3C">
        <w:rPr>
          <w:rFonts w:hint="eastAsia"/>
        </w:rPr>
        <w:t>惟</w:t>
      </w:r>
      <w:proofErr w:type="gramEnd"/>
      <w:r w:rsidRPr="00261E3C">
        <w:rPr>
          <w:rFonts w:hint="eastAsia"/>
        </w:rPr>
        <w:t>出版產業規模多為中小型，且整體市場景氣</w:t>
      </w:r>
      <w:proofErr w:type="gramStart"/>
      <w:r w:rsidRPr="00261E3C">
        <w:rPr>
          <w:rFonts w:hint="eastAsia"/>
        </w:rPr>
        <w:t>不</w:t>
      </w:r>
      <w:proofErr w:type="gramEnd"/>
      <w:r w:rsidRPr="00261E3C">
        <w:rPr>
          <w:rFonts w:hint="eastAsia"/>
        </w:rPr>
        <w:t>彰，出版業缺乏人力及資金進行現有人力數位化能力培植。</w:t>
      </w:r>
      <w:r w:rsidR="000D0135" w:rsidRPr="00261E3C">
        <w:rPr>
          <w:rFonts w:hint="eastAsia"/>
        </w:rPr>
        <w:t>該</w:t>
      </w:r>
      <w:r w:rsidRPr="00261E3C">
        <w:rPr>
          <w:rFonts w:hint="eastAsia"/>
        </w:rPr>
        <w:t>部透過資金</w:t>
      </w:r>
      <w:proofErr w:type="gramStart"/>
      <w:r w:rsidRPr="00261E3C">
        <w:rPr>
          <w:rFonts w:hint="eastAsia"/>
        </w:rPr>
        <w:t>挹</w:t>
      </w:r>
      <w:proofErr w:type="gramEnd"/>
      <w:r w:rsidRPr="00261E3C">
        <w:rPr>
          <w:rFonts w:hint="eastAsia"/>
        </w:rPr>
        <w:t>注於製作、發行、人才培育及行銷推廣，促進技術升級，引導業界發展創新數位出版營運及閱讀模式，期能促進產業數位升級。由此可知，除了出版業界觀望、數位授權取得困難之外，我國在數位出版之跨</w:t>
      </w:r>
      <w:r w:rsidRPr="00261E3C">
        <w:rPr>
          <w:rFonts w:hint="eastAsia"/>
        </w:rPr>
        <w:lastRenderedPageBreak/>
        <w:t>領域人力資源亦有缺乏情形，恐無法滿足產業轉型所需，有賴主管機關加強辦理。</w:t>
      </w:r>
    </w:p>
    <w:p w:rsidR="00893E2A" w:rsidRPr="00261E3C" w:rsidRDefault="00893E2A" w:rsidP="00893E2A">
      <w:pPr>
        <w:pStyle w:val="3"/>
      </w:pPr>
      <w:r w:rsidRPr="00261E3C">
        <w:rPr>
          <w:rFonts w:hint="eastAsia"/>
        </w:rPr>
        <w:t>綜上，文化部輔導出版業朝數位化及國際標準格式方向升級迄今已逾10年，惟產值猶連年在1％~2％徘徊；相較世界各主要出版國家面臨資訊取得來源及閱讀習慣變化，其數位出版市</w:t>
      </w:r>
      <w:r w:rsidR="003212F2">
        <w:rPr>
          <w:rFonts w:hint="eastAsia"/>
        </w:rPr>
        <w:t>占</w:t>
      </w:r>
      <w:r w:rsidRPr="00261E3C">
        <w:rPr>
          <w:rFonts w:hint="eastAsia"/>
        </w:rPr>
        <w:t>率或產值</w:t>
      </w:r>
      <w:r w:rsidR="00C964AE">
        <w:rPr>
          <w:rFonts w:hint="eastAsia"/>
        </w:rPr>
        <w:t>已占</w:t>
      </w:r>
      <w:r w:rsidRPr="00261E3C">
        <w:rPr>
          <w:rFonts w:hint="eastAsia"/>
        </w:rPr>
        <w:t>整體產業5％~1</w:t>
      </w:r>
      <w:r w:rsidR="00654455" w:rsidRPr="00261E3C">
        <w:rPr>
          <w:rFonts w:hint="eastAsia"/>
        </w:rPr>
        <w:t>4</w:t>
      </w:r>
      <w:r w:rsidRPr="00261E3C">
        <w:rPr>
          <w:rFonts w:hint="eastAsia"/>
        </w:rPr>
        <w:t>％</w:t>
      </w:r>
      <w:r w:rsidR="00490727" w:rsidRPr="00261E3C">
        <w:rPr>
          <w:rFonts w:hint="eastAsia"/>
        </w:rPr>
        <w:t>，有效調適實體出版衰退幅度；基此，</w:t>
      </w:r>
      <w:proofErr w:type="gramStart"/>
      <w:r w:rsidR="00490727" w:rsidRPr="00261E3C">
        <w:rPr>
          <w:rFonts w:hint="eastAsia"/>
        </w:rPr>
        <w:t>文化部允應</w:t>
      </w:r>
      <w:proofErr w:type="gramEnd"/>
      <w:r w:rsidR="00490727" w:rsidRPr="00261E3C">
        <w:rPr>
          <w:rFonts w:hint="eastAsia"/>
        </w:rPr>
        <w:t>就技術、</w:t>
      </w:r>
      <w:r w:rsidRPr="00261E3C">
        <w:rPr>
          <w:rFonts w:hint="eastAsia"/>
        </w:rPr>
        <w:t>商業模式</w:t>
      </w:r>
      <w:r w:rsidR="00490727" w:rsidRPr="00261E3C">
        <w:rPr>
          <w:rFonts w:hint="eastAsia"/>
        </w:rPr>
        <w:t>及人才培育</w:t>
      </w:r>
      <w:r w:rsidRPr="00261E3C">
        <w:rPr>
          <w:rFonts w:hint="eastAsia"/>
        </w:rPr>
        <w:t>等層面，積極辦理出版產業轉型升級。</w:t>
      </w:r>
    </w:p>
    <w:p w:rsidR="000A7C2B" w:rsidRPr="00261E3C" w:rsidRDefault="000A7C2B" w:rsidP="008F7D8B">
      <w:pPr>
        <w:pStyle w:val="2"/>
        <w:rPr>
          <w:b/>
        </w:rPr>
      </w:pPr>
      <w:bookmarkStart w:id="81" w:name="_Toc509996794"/>
      <w:r w:rsidRPr="00261E3C">
        <w:rPr>
          <w:rFonts w:hint="eastAsia"/>
          <w:b/>
        </w:rPr>
        <w:t>文化部辦理「臺灣出版產業調查」，係主管機關及出版業者掌握及調整產業方向之</w:t>
      </w:r>
      <w:proofErr w:type="gramStart"/>
      <w:r w:rsidRPr="00261E3C">
        <w:rPr>
          <w:rFonts w:hint="eastAsia"/>
          <w:b/>
        </w:rPr>
        <w:t>重</w:t>
      </w:r>
      <w:r w:rsidR="001F7E07" w:rsidRPr="00261E3C">
        <w:rPr>
          <w:rFonts w:hint="eastAsia"/>
          <w:b/>
        </w:rPr>
        <w:t>要參據</w:t>
      </w:r>
      <w:proofErr w:type="gramEnd"/>
      <w:r w:rsidR="001F7E07" w:rsidRPr="00261E3C">
        <w:rPr>
          <w:rFonts w:hint="eastAsia"/>
          <w:b/>
        </w:rPr>
        <w:t>，亦有扮演該部智庫之角色；惟其調查</w:t>
      </w:r>
      <w:proofErr w:type="gramStart"/>
      <w:r w:rsidR="001F7E07" w:rsidRPr="00261E3C">
        <w:rPr>
          <w:rFonts w:hint="eastAsia"/>
          <w:b/>
        </w:rPr>
        <w:t>時程偏長</w:t>
      </w:r>
      <w:proofErr w:type="gramEnd"/>
      <w:r w:rsidR="001F7E07" w:rsidRPr="00261E3C">
        <w:rPr>
          <w:rFonts w:hint="eastAsia"/>
          <w:b/>
        </w:rPr>
        <w:t>，且未能納入部分</w:t>
      </w:r>
      <w:r w:rsidRPr="00261E3C">
        <w:rPr>
          <w:rFonts w:hint="eastAsia"/>
          <w:b/>
        </w:rPr>
        <w:t>重要項目，有影響其運用價值之虞，</w:t>
      </w:r>
      <w:proofErr w:type="gramStart"/>
      <w:r w:rsidRPr="00261E3C">
        <w:rPr>
          <w:rFonts w:hint="eastAsia"/>
          <w:b/>
        </w:rPr>
        <w:t>文化部允應</w:t>
      </w:r>
      <w:proofErr w:type="gramEnd"/>
      <w:r w:rsidRPr="00261E3C">
        <w:rPr>
          <w:rFonts w:hint="eastAsia"/>
          <w:b/>
        </w:rPr>
        <w:t>強化上開產業調查時效及功能，</w:t>
      </w:r>
      <w:proofErr w:type="gramStart"/>
      <w:r w:rsidRPr="00261E3C">
        <w:rPr>
          <w:rFonts w:hint="eastAsia"/>
          <w:b/>
        </w:rPr>
        <w:t>俾</w:t>
      </w:r>
      <w:proofErr w:type="gramEnd"/>
      <w:r w:rsidRPr="00261E3C">
        <w:rPr>
          <w:rFonts w:hint="eastAsia"/>
          <w:b/>
        </w:rPr>
        <w:t>利出版業界即時有效因應市場變化</w:t>
      </w:r>
      <w:bookmarkEnd w:id="81"/>
      <w:r w:rsidR="008F7D8B" w:rsidRPr="00261E3C">
        <w:rPr>
          <w:rFonts w:hAnsi="標楷體" w:hint="eastAsia"/>
          <w:b/>
          <w:bCs w:val="0"/>
        </w:rPr>
        <w:t>，並提升政府決策品質及資源運用效益</w:t>
      </w:r>
    </w:p>
    <w:p w:rsidR="000A7C2B" w:rsidRPr="00261E3C" w:rsidRDefault="004E7367" w:rsidP="004E7367">
      <w:pPr>
        <w:pStyle w:val="3"/>
      </w:pPr>
      <w:r w:rsidRPr="00261E3C">
        <w:rPr>
          <w:rFonts w:hint="eastAsia"/>
        </w:rPr>
        <w:t>出版產業隨著科技日新月異，出版業務</w:t>
      </w:r>
      <w:r w:rsidR="00890FFB" w:rsidRPr="00261E3C">
        <w:rPr>
          <w:rFonts w:hint="eastAsia"/>
        </w:rPr>
        <w:t>、編輯</w:t>
      </w:r>
      <w:r w:rsidRPr="00261E3C">
        <w:rPr>
          <w:rFonts w:hint="eastAsia"/>
        </w:rPr>
        <w:t>流程</w:t>
      </w:r>
      <w:r w:rsidR="00890FFB" w:rsidRPr="00261E3C">
        <w:rPr>
          <w:rFonts w:hint="eastAsia"/>
        </w:rPr>
        <w:t>、讀者喜好</w:t>
      </w:r>
      <w:r w:rsidRPr="00261E3C">
        <w:rPr>
          <w:rFonts w:hint="eastAsia"/>
        </w:rPr>
        <w:t>變化迅速，產業的生態亦發生劇烈變革，</w:t>
      </w:r>
      <w:proofErr w:type="gramStart"/>
      <w:r w:rsidRPr="00261E3C">
        <w:rPr>
          <w:rFonts w:hint="eastAsia"/>
        </w:rPr>
        <w:t>文化部所辦理</w:t>
      </w:r>
      <w:proofErr w:type="gramEnd"/>
      <w:r w:rsidRPr="00261E3C">
        <w:rPr>
          <w:rFonts w:hint="eastAsia"/>
        </w:rPr>
        <w:t>之「臺灣出版產業調查」為回顧性質，且時效性落後，恐無法因應快速變遷之市場生態</w:t>
      </w:r>
      <w:r w:rsidR="009D692E" w:rsidRPr="00261E3C">
        <w:rPr>
          <w:rFonts w:hint="eastAsia"/>
        </w:rPr>
        <w:t>。</w:t>
      </w:r>
      <w:r w:rsidRPr="00261E3C">
        <w:rPr>
          <w:rFonts w:hint="eastAsia"/>
        </w:rPr>
        <w:t>文化</w:t>
      </w:r>
      <w:proofErr w:type="gramStart"/>
      <w:r w:rsidRPr="00261E3C">
        <w:rPr>
          <w:rFonts w:hint="eastAsia"/>
        </w:rPr>
        <w:t>部函復本</w:t>
      </w:r>
      <w:proofErr w:type="gramEnd"/>
      <w:r w:rsidRPr="00261E3C">
        <w:rPr>
          <w:rFonts w:hint="eastAsia"/>
        </w:rPr>
        <w:t>院亦坦</w:t>
      </w:r>
      <w:r w:rsidR="00C44FF5" w:rsidRPr="00261E3C">
        <w:rPr>
          <w:rFonts w:hint="eastAsia"/>
        </w:rPr>
        <w:t>承是項</w:t>
      </w:r>
      <w:r w:rsidR="00C44FF5" w:rsidRPr="00261E3C">
        <w:rPr>
          <w:rFonts w:ascii="Times New Roman" w:hAnsi="Times New Roman" w:hint="eastAsia"/>
          <w:szCs w:val="32"/>
        </w:rPr>
        <w:t>調查範圍包含「出版產業調查」及「民眾閱讀及消費行為調查」，採用量化與質化方式綜合調查，且調查範圍龐大，資料蒐集與分析較為耗時，如產業調查問卷之發放、資料分析需耗費數月，且需多次</w:t>
      </w:r>
      <w:proofErr w:type="gramStart"/>
      <w:r w:rsidR="00C44FF5" w:rsidRPr="00261E3C">
        <w:rPr>
          <w:rFonts w:ascii="Times New Roman" w:hAnsi="Times New Roman" w:hint="eastAsia"/>
          <w:szCs w:val="32"/>
        </w:rPr>
        <w:t>催收始能</w:t>
      </w:r>
      <w:proofErr w:type="gramEnd"/>
      <w:r w:rsidR="00C44FF5" w:rsidRPr="00261E3C">
        <w:rPr>
          <w:rFonts w:ascii="Times New Roman" w:hAnsi="Times New Roman" w:hint="eastAsia"/>
          <w:szCs w:val="32"/>
        </w:rPr>
        <w:t>獲得足夠問卷數量，以達到問卷有效性，部分次級資料為年度發布（如國外出版產業相關資訊、年度銷售額、年度圖書出版發行種數等），並進行深度訪談及座談會</w:t>
      </w:r>
      <w:r w:rsidR="00C44FF5" w:rsidRPr="00261E3C">
        <w:rPr>
          <w:rFonts w:hAnsi="標楷體" w:hint="eastAsia"/>
          <w:szCs w:val="32"/>
        </w:rPr>
        <w:t>，</w:t>
      </w:r>
      <w:r w:rsidR="00C44FF5" w:rsidRPr="00261E3C">
        <w:rPr>
          <w:rFonts w:ascii="Times New Roman" w:hAnsi="Times New Roman" w:hint="eastAsia"/>
          <w:szCs w:val="32"/>
        </w:rPr>
        <w:t>需一定研究期程，故</w:t>
      </w:r>
      <w:r w:rsidR="00C44FF5" w:rsidRPr="00261E3C">
        <w:rPr>
          <w:rFonts w:hint="eastAsia"/>
        </w:rPr>
        <w:t>該部辦理之出版產業調查受有限制等情。</w:t>
      </w:r>
      <w:r w:rsidR="009D692E" w:rsidRPr="00261E3C">
        <w:rPr>
          <w:rFonts w:hint="eastAsia"/>
        </w:rPr>
        <w:t>文化</w:t>
      </w:r>
      <w:proofErr w:type="gramStart"/>
      <w:r w:rsidR="009D692E" w:rsidRPr="00261E3C">
        <w:rPr>
          <w:rFonts w:hint="eastAsia"/>
        </w:rPr>
        <w:t>部所作耗</w:t>
      </w:r>
      <w:proofErr w:type="gramEnd"/>
      <w:r w:rsidR="009D692E" w:rsidRPr="00261E3C">
        <w:rPr>
          <w:rFonts w:hint="eastAsia"/>
        </w:rPr>
        <w:t>力費時的研究成果，</w:t>
      </w:r>
      <w:r w:rsidR="00C44FF5" w:rsidRPr="00261E3C">
        <w:rPr>
          <w:rFonts w:hint="eastAsia"/>
        </w:rPr>
        <w:t>除不能即時</w:t>
      </w:r>
      <w:r w:rsidR="00E42DE6" w:rsidRPr="00261E3C">
        <w:rPr>
          <w:rFonts w:hint="eastAsia"/>
        </w:rPr>
        <w:t>提供</w:t>
      </w:r>
      <w:r w:rsidR="000A7C2B" w:rsidRPr="00261E3C">
        <w:rPr>
          <w:rFonts w:hint="eastAsia"/>
        </w:rPr>
        <w:t>產業</w:t>
      </w:r>
      <w:r w:rsidR="00C44FF5" w:rsidRPr="00261E3C">
        <w:rPr>
          <w:rFonts w:hint="eastAsia"/>
        </w:rPr>
        <w:t>發展的最新相關數據外，</w:t>
      </w:r>
      <w:r w:rsidR="00C44FF5" w:rsidRPr="00261E3C">
        <w:rPr>
          <w:rFonts w:hint="eastAsia"/>
        </w:rPr>
        <w:lastRenderedPageBreak/>
        <w:t>亦欠缺最新趨勢</w:t>
      </w:r>
      <w:proofErr w:type="gramStart"/>
      <w:r w:rsidR="00C44FF5" w:rsidRPr="00261E3C">
        <w:rPr>
          <w:rFonts w:hint="eastAsia"/>
        </w:rPr>
        <w:t>預判與整合</w:t>
      </w:r>
      <w:proofErr w:type="gramEnd"/>
      <w:r w:rsidR="00C44FF5" w:rsidRPr="00261E3C">
        <w:rPr>
          <w:rFonts w:hint="eastAsia"/>
        </w:rPr>
        <w:t>有關單位科技資源作為整體決策判斷</w:t>
      </w:r>
      <w:proofErr w:type="gramStart"/>
      <w:r w:rsidR="00C44FF5" w:rsidRPr="00261E3C">
        <w:rPr>
          <w:rFonts w:hint="eastAsia"/>
        </w:rPr>
        <w:t>之參據</w:t>
      </w:r>
      <w:proofErr w:type="gramEnd"/>
      <w:r w:rsidR="00C44FF5" w:rsidRPr="00261E3C">
        <w:rPr>
          <w:rFonts w:hint="eastAsia"/>
        </w:rPr>
        <w:t>，往往使政府的扶植與獎勵政策未能切合最新趨勢發展與業者實際所需</w:t>
      </w:r>
      <w:r w:rsidR="009D692E" w:rsidRPr="00261E3C">
        <w:rPr>
          <w:rFonts w:hint="eastAsia"/>
        </w:rPr>
        <w:t>，容易形成政府資源錯置與資源浪費之情事</w:t>
      </w:r>
      <w:r w:rsidR="00C44FF5" w:rsidRPr="00261E3C">
        <w:rPr>
          <w:rFonts w:hint="eastAsia"/>
        </w:rPr>
        <w:t>。</w:t>
      </w:r>
    </w:p>
    <w:p w:rsidR="00E42DE6" w:rsidRPr="00261E3C" w:rsidRDefault="009D692E" w:rsidP="006D0AD0">
      <w:pPr>
        <w:pStyle w:val="3"/>
      </w:pPr>
      <w:proofErr w:type="gramStart"/>
      <w:r w:rsidRPr="00261E3C">
        <w:rPr>
          <w:rFonts w:hint="eastAsia"/>
        </w:rPr>
        <w:t>鑑</w:t>
      </w:r>
      <w:proofErr w:type="gramEnd"/>
      <w:r w:rsidRPr="00261E3C">
        <w:rPr>
          <w:rFonts w:hint="eastAsia"/>
        </w:rPr>
        <w:t>於前述缺失，</w:t>
      </w:r>
      <w:r w:rsidR="000A7C2B" w:rsidRPr="00261E3C">
        <w:rPr>
          <w:rFonts w:hint="eastAsia"/>
        </w:rPr>
        <w:t>文化部主辦</w:t>
      </w:r>
      <w:r w:rsidR="00E42DE6" w:rsidRPr="00261E3C">
        <w:rPr>
          <w:rFonts w:hAnsi="Times New Roman" w:hint="eastAsia"/>
        </w:rPr>
        <w:t>出版振興方案</w:t>
      </w:r>
      <w:r w:rsidR="00E42DE6" w:rsidRPr="00261E3C">
        <w:rPr>
          <w:rFonts w:hint="eastAsia"/>
        </w:rPr>
        <w:t>產業諮詢會議，與會</w:t>
      </w:r>
      <w:r w:rsidR="00E42DE6" w:rsidRPr="00261E3C">
        <w:rPr>
          <w:rFonts w:hAnsi="Times New Roman" w:hint="eastAsia"/>
        </w:rPr>
        <w:t>出版產業</w:t>
      </w:r>
      <w:r w:rsidR="00E42DE6" w:rsidRPr="00261E3C">
        <w:rPr>
          <w:rFonts w:hint="eastAsia"/>
        </w:rPr>
        <w:t>曾有</w:t>
      </w:r>
      <w:r w:rsidR="00E42DE6" w:rsidRPr="00261E3C">
        <w:rPr>
          <w:rFonts w:hAnsi="Times New Roman" w:hint="eastAsia"/>
        </w:rPr>
        <w:t>建</w:t>
      </w:r>
      <w:proofErr w:type="gramStart"/>
      <w:r w:rsidR="00E42DE6" w:rsidRPr="00261E3C">
        <w:rPr>
          <w:rFonts w:hAnsi="Times New Roman" w:hint="eastAsia"/>
        </w:rPr>
        <w:t>議</w:t>
      </w:r>
      <w:r w:rsidR="00E42DE6" w:rsidRPr="00261E3C">
        <w:rPr>
          <w:rFonts w:hint="eastAsia"/>
        </w:rPr>
        <w:t>該</w:t>
      </w:r>
      <w:r w:rsidR="00E42DE6" w:rsidRPr="00261E3C">
        <w:rPr>
          <w:rFonts w:hAnsi="Times New Roman" w:hint="eastAsia"/>
        </w:rPr>
        <w:t>部</w:t>
      </w:r>
      <w:proofErr w:type="gramEnd"/>
      <w:r w:rsidR="00E42DE6" w:rsidRPr="00261E3C">
        <w:rPr>
          <w:rFonts w:hAnsi="Times New Roman" w:hint="eastAsia"/>
        </w:rPr>
        <w:t>成立智庫</w:t>
      </w:r>
      <w:r w:rsidR="00E42DE6" w:rsidRPr="00261E3C">
        <w:rPr>
          <w:rFonts w:hint="eastAsia"/>
        </w:rPr>
        <w:t>之提議，</w:t>
      </w:r>
      <w:r w:rsidR="00236E16" w:rsidRPr="00261E3C">
        <w:rPr>
          <w:rFonts w:hint="eastAsia"/>
        </w:rPr>
        <w:t>包括出版業者或作家表達:</w:t>
      </w:r>
      <w:r w:rsidR="00236E16" w:rsidRPr="00261E3C">
        <w:rPr>
          <w:rFonts w:hAnsi="標楷體" w:cstheme="minorBidi" w:hint="eastAsia"/>
          <w:bCs w:val="0"/>
          <w:kern w:val="2"/>
          <w:sz w:val="28"/>
          <w:szCs w:val="28"/>
        </w:rPr>
        <w:t xml:space="preserve"> </w:t>
      </w:r>
      <w:r w:rsidR="00236E16" w:rsidRPr="00261E3C">
        <w:rPr>
          <w:rFonts w:ascii="新細明體" w:eastAsia="新細明體" w:hAnsi="新細明體" w:cstheme="minorBidi" w:hint="eastAsia"/>
          <w:bCs w:val="0"/>
          <w:kern w:val="2"/>
          <w:sz w:val="28"/>
          <w:szCs w:val="28"/>
        </w:rPr>
        <w:t>「</w:t>
      </w:r>
      <w:r w:rsidR="00236E16" w:rsidRPr="00261E3C">
        <w:rPr>
          <w:rFonts w:hint="eastAsia"/>
        </w:rPr>
        <w:t>出版業是微型產業，</w:t>
      </w:r>
      <w:proofErr w:type="gramStart"/>
      <w:r w:rsidR="00236E16" w:rsidRPr="00261E3C">
        <w:rPr>
          <w:rFonts w:hint="eastAsia"/>
        </w:rPr>
        <w:t>文化部有必要</w:t>
      </w:r>
      <w:proofErr w:type="gramEnd"/>
      <w:r w:rsidR="00236E16" w:rsidRPr="00261E3C">
        <w:rPr>
          <w:rFonts w:hint="eastAsia"/>
        </w:rPr>
        <w:t>成立產業智庫，延聘各方專家，為產業政策形成與法令制訂提供研究數據</w:t>
      </w:r>
      <w:r w:rsidR="00236E16" w:rsidRPr="00261E3C">
        <w:rPr>
          <w:rFonts w:ascii="新細明體" w:eastAsia="新細明體" w:hAnsi="新細明體" w:hint="eastAsia"/>
        </w:rPr>
        <w:t>」</w:t>
      </w:r>
      <w:r w:rsidR="00236E16" w:rsidRPr="00261E3C">
        <w:rPr>
          <w:rFonts w:hint="eastAsia"/>
        </w:rPr>
        <w:t>及</w:t>
      </w:r>
      <w:r w:rsidR="00236E16" w:rsidRPr="00261E3C">
        <w:rPr>
          <w:rFonts w:ascii="新細明體" w:eastAsia="新細明體" w:hAnsi="新細明體" w:hint="eastAsia"/>
        </w:rPr>
        <w:t>「</w:t>
      </w:r>
      <w:r w:rsidR="00236E16" w:rsidRPr="00261E3C">
        <w:rPr>
          <w:rFonts w:hint="eastAsia"/>
        </w:rPr>
        <w:t>鑒於</w:t>
      </w:r>
      <w:r w:rsidR="00236E16" w:rsidRPr="00261E3C">
        <w:t>許多相關</w:t>
      </w:r>
      <w:r w:rsidR="00236E16" w:rsidRPr="00261E3C">
        <w:rPr>
          <w:rFonts w:hint="eastAsia"/>
        </w:rPr>
        <w:t>研究報告多為過時資訊，</w:t>
      </w:r>
      <w:r w:rsidR="00236E16" w:rsidRPr="00261E3C">
        <w:t>未</w:t>
      </w:r>
      <w:r w:rsidR="00236E16" w:rsidRPr="00261E3C">
        <w:rPr>
          <w:rFonts w:hint="eastAsia"/>
        </w:rPr>
        <w:t>能即時</w:t>
      </w:r>
      <w:r w:rsidR="00236E16" w:rsidRPr="00261E3C">
        <w:t>掌握市場及業界脈動</w:t>
      </w:r>
      <w:r w:rsidR="00236E16" w:rsidRPr="00261E3C">
        <w:rPr>
          <w:rFonts w:ascii="新細明體" w:eastAsia="新細明體" w:hAnsi="新細明體" w:hint="eastAsia"/>
        </w:rPr>
        <w:t>」</w:t>
      </w:r>
      <w:r w:rsidR="00236E16" w:rsidRPr="00261E3C">
        <w:rPr>
          <w:rFonts w:hint="eastAsia"/>
        </w:rPr>
        <w:t>等意見。</w:t>
      </w:r>
      <w:r w:rsidR="00E42DE6" w:rsidRPr="00261E3C">
        <w:rPr>
          <w:rFonts w:hint="eastAsia"/>
        </w:rPr>
        <w:t>然</w:t>
      </w:r>
      <w:proofErr w:type="gramStart"/>
      <w:r w:rsidR="00E42DE6" w:rsidRPr="00261E3C">
        <w:rPr>
          <w:rFonts w:hint="eastAsia"/>
        </w:rPr>
        <w:t>該部</w:t>
      </w:r>
      <w:r w:rsidR="00E42DE6" w:rsidRPr="00261E3C">
        <w:rPr>
          <w:rFonts w:hAnsi="標楷體" w:hint="eastAsia"/>
          <w:kern w:val="52"/>
        </w:rPr>
        <w:t>因核定</w:t>
      </w:r>
      <w:proofErr w:type="gramEnd"/>
      <w:r w:rsidR="00E42DE6" w:rsidRPr="00261E3C">
        <w:rPr>
          <w:rFonts w:hAnsi="標楷體" w:hint="eastAsia"/>
          <w:kern w:val="52"/>
        </w:rPr>
        <w:t>經費有限，未列為優先辦理措施</w:t>
      </w:r>
      <w:r w:rsidR="00E42DE6" w:rsidRPr="00261E3C">
        <w:rPr>
          <w:rFonts w:hAnsi="Times New Roman" w:hint="eastAsia"/>
        </w:rPr>
        <w:t>，目前</w:t>
      </w:r>
      <w:r w:rsidR="00E42DE6" w:rsidRPr="00261E3C">
        <w:rPr>
          <w:rFonts w:hint="eastAsia"/>
        </w:rPr>
        <w:t>僅</w:t>
      </w:r>
      <w:r w:rsidR="00E42DE6" w:rsidRPr="00261E3C">
        <w:rPr>
          <w:rFonts w:hAnsi="Times New Roman" w:hint="eastAsia"/>
        </w:rPr>
        <w:t>透過強化「臺灣出版產業調查」趨勢研究，委辦單位定期公布產業調查資料，不定期接受</w:t>
      </w:r>
      <w:r w:rsidR="00E42DE6" w:rsidRPr="00261E3C">
        <w:rPr>
          <w:rFonts w:hint="eastAsia"/>
        </w:rPr>
        <w:t>該</w:t>
      </w:r>
      <w:r w:rsidR="00E42DE6" w:rsidRPr="00261E3C">
        <w:rPr>
          <w:rFonts w:hAnsi="Times New Roman" w:hint="eastAsia"/>
        </w:rPr>
        <w:t>部諮詢產業相關資訊，追蹤相關議題之發展，</w:t>
      </w:r>
      <w:r w:rsidR="006D0AD0" w:rsidRPr="00261E3C">
        <w:rPr>
          <w:rFonts w:hint="eastAsia"/>
        </w:rPr>
        <w:t>以</w:t>
      </w:r>
      <w:r w:rsidR="00E42DE6" w:rsidRPr="00261E3C">
        <w:rPr>
          <w:rFonts w:hAnsi="Times New Roman" w:hint="eastAsia"/>
        </w:rPr>
        <w:t>發揮智庫之功能。</w:t>
      </w:r>
      <w:r w:rsidR="00E42DE6" w:rsidRPr="00261E3C">
        <w:rPr>
          <w:rFonts w:hint="eastAsia"/>
        </w:rPr>
        <w:t>另透過</w:t>
      </w:r>
      <w:r w:rsidR="00E42DE6" w:rsidRPr="00261E3C">
        <w:rPr>
          <w:rFonts w:hAnsi="Times New Roman" w:hint="eastAsia"/>
        </w:rPr>
        <w:t>特定議題</w:t>
      </w:r>
      <w:r w:rsidR="00E42DE6" w:rsidRPr="00261E3C">
        <w:rPr>
          <w:rFonts w:hint="eastAsia"/>
        </w:rPr>
        <w:t>所組成的</w:t>
      </w:r>
      <w:r w:rsidR="00E42DE6" w:rsidRPr="00261E3C">
        <w:rPr>
          <w:rFonts w:hAnsi="Times New Roman" w:hint="eastAsia"/>
        </w:rPr>
        <w:t>「出版產業調</w:t>
      </w:r>
      <w:proofErr w:type="gramStart"/>
      <w:r w:rsidR="00E42DE6" w:rsidRPr="00261E3C">
        <w:rPr>
          <w:rFonts w:hAnsi="Times New Roman" w:hint="eastAsia"/>
        </w:rPr>
        <w:t>研</w:t>
      </w:r>
      <w:proofErr w:type="gramEnd"/>
      <w:r w:rsidR="00E42DE6" w:rsidRPr="00261E3C">
        <w:rPr>
          <w:rFonts w:hAnsi="Times New Roman" w:hint="eastAsia"/>
        </w:rPr>
        <w:t>專案小組」</w:t>
      </w:r>
      <w:r w:rsidR="00E42DE6" w:rsidRPr="00261E3C">
        <w:rPr>
          <w:rFonts w:hint="eastAsia"/>
        </w:rPr>
        <w:t>補足部分智庫功能。</w:t>
      </w:r>
      <w:r w:rsidR="00912476" w:rsidRPr="00261E3C">
        <w:rPr>
          <w:rFonts w:hint="eastAsia"/>
        </w:rPr>
        <w:t>然而</w:t>
      </w:r>
      <w:r w:rsidR="00E42DE6" w:rsidRPr="00261E3C">
        <w:rPr>
          <w:rFonts w:hAnsi="Times New Roman" w:hint="eastAsia"/>
        </w:rPr>
        <w:t>，</w:t>
      </w:r>
      <w:r w:rsidR="00912476" w:rsidRPr="00261E3C">
        <w:rPr>
          <w:rFonts w:hint="eastAsia"/>
        </w:rPr>
        <w:t>完整且即時的產業調查分析及最新趨勢的預判</w:t>
      </w:r>
      <w:proofErr w:type="gramStart"/>
      <w:r w:rsidR="00912476" w:rsidRPr="00261E3C">
        <w:rPr>
          <w:rFonts w:hint="eastAsia"/>
        </w:rPr>
        <w:t>攸</w:t>
      </w:r>
      <w:proofErr w:type="gramEnd"/>
      <w:r w:rsidR="00912476" w:rsidRPr="00261E3C">
        <w:rPr>
          <w:rFonts w:hint="eastAsia"/>
        </w:rPr>
        <w:t>關政府決策的正確性與資源配置的合理性，諸如，獨立書店生命週期、電子及紙本書出版類型及市場區隔分析、國際書展客群結構及屬性分析等因素，均</w:t>
      </w:r>
      <w:proofErr w:type="gramStart"/>
      <w:r w:rsidR="00912476" w:rsidRPr="00261E3C">
        <w:rPr>
          <w:rFonts w:hint="eastAsia"/>
        </w:rPr>
        <w:t>攸</w:t>
      </w:r>
      <w:proofErr w:type="gramEnd"/>
      <w:r w:rsidR="00912476" w:rsidRPr="00261E3C">
        <w:rPr>
          <w:rFonts w:hint="eastAsia"/>
        </w:rPr>
        <w:t>關未來市場趨勢研判及人才培育</w:t>
      </w:r>
      <w:r w:rsidR="006D0AD0" w:rsidRPr="00261E3C">
        <w:rPr>
          <w:rFonts w:hint="eastAsia"/>
        </w:rPr>
        <w:t>之重要方向</w:t>
      </w:r>
      <w:r w:rsidR="00912476" w:rsidRPr="00261E3C">
        <w:rPr>
          <w:rFonts w:hint="eastAsia"/>
        </w:rPr>
        <w:t>。</w:t>
      </w:r>
      <w:proofErr w:type="gramStart"/>
      <w:r w:rsidR="00772C29" w:rsidRPr="00261E3C">
        <w:rPr>
          <w:rFonts w:hint="eastAsia"/>
        </w:rPr>
        <w:t>爰</w:t>
      </w:r>
      <w:proofErr w:type="gramEnd"/>
      <w:r w:rsidR="00772C29" w:rsidRPr="00261E3C">
        <w:rPr>
          <w:rFonts w:hint="eastAsia"/>
        </w:rPr>
        <w:t>此，</w:t>
      </w:r>
      <w:proofErr w:type="gramStart"/>
      <w:r w:rsidR="006D0AD0" w:rsidRPr="00261E3C">
        <w:rPr>
          <w:rFonts w:hint="eastAsia"/>
        </w:rPr>
        <w:t>文化部允應</w:t>
      </w:r>
      <w:proofErr w:type="gramEnd"/>
      <w:r w:rsidR="006D0AD0" w:rsidRPr="00261E3C">
        <w:rPr>
          <w:rFonts w:hint="eastAsia"/>
        </w:rPr>
        <w:t>強化市場趨勢及產業生態的全盤掌握，迅速強化決策分析之功能，妥適編列與執行預算。另</w:t>
      </w:r>
      <w:r w:rsidR="00912476" w:rsidRPr="00261E3C">
        <w:rPr>
          <w:rFonts w:hint="eastAsia"/>
        </w:rPr>
        <w:t>據</w:t>
      </w:r>
      <w:proofErr w:type="gramStart"/>
      <w:r w:rsidR="00912476" w:rsidRPr="00261E3C">
        <w:rPr>
          <w:rFonts w:hint="eastAsia"/>
        </w:rPr>
        <w:t>文化部函</w:t>
      </w:r>
      <w:r w:rsidR="006D0AD0" w:rsidRPr="00261E3C">
        <w:rPr>
          <w:rFonts w:hint="eastAsia"/>
        </w:rPr>
        <w:t>復</w:t>
      </w:r>
      <w:proofErr w:type="gramEnd"/>
      <w:r w:rsidR="00912476" w:rsidRPr="00261E3C">
        <w:rPr>
          <w:rFonts w:hint="eastAsia"/>
        </w:rPr>
        <w:t>，</w:t>
      </w:r>
      <w:proofErr w:type="gramStart"/>
      <w:r w:rsidR="00912476" w:rsidRPr="00261E3C">
        <w:rPr>
          <w:rFonts w:hint="eastAsia"/>
        </w:rPr>
        <w:t>該</w:t>
      </w:r>
      <w:r w:rsidR="00E42DE6" w:rsidRPr="00261E3C">
        <w:rPr>
          <w:rFonts w:hAnsi="Times New Roman" w:hint="eastAsia"/>
        </w:rPr>
        <w:t>部</w:t>
      </w:r>
      <w:r w:rsidR="00912476" w:rsidRPr="00261E3C">
        <w:rPr>
          <w:rFonts w:hint="eastAsia"/>
        </w:rPr>
        <w:t>已</w:t>
      </w:r>
      <w:r w:rsidR="00E42DE6" w:rsidRPr="00261E3C">
        <w:rPr>
          <w:rFonts w:hAnsi="Times New Roman" w:hint="eastAsia"/>
        </w:rPr>
        <w:t>規劃</w:t>
      </w:r>
      <w:proofErr w:type="gramEnd"/>
      <w:r w:rsidR="00E42DE6" w:rsidRPr="00261E3C">
        <w:rPr>
          <w:rFonts w:hAnsi="Times New Roman" w:hint="eastAsia"/>
        </w:rPr>
        <w:t>成立「文化內容策進院」</w:t>
      </w:r>
      <w:r w:rsidR="002F1C19">
        <w:rPr>
          <w:rFonts w:hAnsi="Times New Roman" w:hint="eastAsia"/>
        </w:rPr>
        <w:t>（下稱</w:t>
      </w:r>
      <w:r w:rsidR="002F1C19" w:rsidRPr="00261E3C">
        <w:rPr>
          <w:rFonts w:ascii="Times New Roman" w:hAnsi="Times New Roman" w:hint="eastAsia"/>
          <w:bCs w:val="0"/>
          <w:kern w:val="2"/>
          <w:szCs w:val="32"/>
        </w:rPr>
        <w:t>文策院</w:t>
      </w:r>
      <w:r w:rsidR="002F1C19">
        <w:rPr>
          <w:rFonts w:hAnsi="Times New Roman" w:hint="eastAsia"/>
        </w:rPr>
        <w:t>）</w:t>
      </w:r>
      <w:r w:rsidR="00E42DE6" w:rsidRPr="00261E3C">
        <w:rPr>
          <w:rFonts w:hAnsi="Times New Roman" w:hint="eastAsia"/>
        </w:rPr>
        <w:t>，為一專業中介組織，其功能包含研發調查之面向，亦可擔任整體文化產業之智庫</w:t>
      </w:r>
      <w:r w:rsidR="00912476" w:rsidRPr="00261E3C">
        <w:rPr>
          <w:rFonts w:hint="eastAsia"/>
        </w:rPr>
        <w:t>等情，</w:t>
      </w:r>
      <w:r w:rsidR="006D0AD0" w:rsidRPr="00261E3C">
        <w:rPr>
          <w:rFonts w:hint="eastAsia"/>
        </w:rPr>
        <w:t>該</w:t>
      </w:r>
      <w:proofErr w:type="gramStart"/>
      <w:r w:rsidR="006D0AD0" w:rsidRPr="00261E3C">
        <w:rPr>
          <w:rFonts w:hint="eastAsia"/>
        </w:rPr>
        <w:t>部丁次</w:t>
      </w:r>
      <w:proofErr w:type="gramEnd"/>
      <w:r w:rsidR="006D0AD0" w:rsidRPr="00261E3C">
        <w:rPr>
          <w:rFonts w:hint="eastAsia"/>
        </w:rPr>
        <w:t>長於本院詢問時亦表示：「</w:t>
      </w:r>
      <w:r w:rsidR="006D0AD0" w:rsidRPr="00261E3C">
        <w:rPr>
          <w:rFonts w:ascii="Times New Roman" w:hAnsi="Times New Roman" w:hint="eastAsia"/>
          <w:bCs w:val="0"/>
          <w:kern w:val="2"/>
          <w:szCs w:val="32"/>
        </w:rPr>
        <w:t>文策院草案行政院已通過，核心任務是整合內容產業包含出版、催生產業生態系，由於政府預算運用缺乏時效彈性，文策院做為</w:t>
      </w:r>
      <w:r w:rsidR="006D0AD0" w:rsidRPr="00261E3C">
        <w:rPr>
          <w:rFonts w:ascii="Times New Roman" w:hAnsi="Times New Roman" w:hint="eastAsia"/>
          <w:bCs w:val="0"/>
          <w:kern w:val="2"/>
          <w:szCs w:val="32"/>
        </w:rPr>
        <w:lastRenderedPageBreak/>
        <w:t>一個中介組織，可以彌補一些預算或是人力資源彈性不足，這在各國有很多例子。在文策院組織不會像機</w:t>
      </w:r>
      <w:r w:rsidR="00890FFB" w:rsidRPr="00261E3C">
        <w:rPr>
          <w:rFonts w:ascii="Times New Roman" w:hAnsi="Times New Roman" w:hint="eastAsia"/>
          <w:bCs w:val="0"/>
          <w:kern w:val="2"/>
          <w:szCs w:val="32"/>
        </w:rPr>
        <w:t>關這樣的分工，因為產業變化迅速，文字、圖像、</w:t>
      </w:r>
      <w:proofErr w:type="gramStart"/>
      <w:r w:rsidR="00890FFB" w:rsidRPr="00261E3C">
        <w:rPr>
          <w:rFonts w:ascii="Times New Roman" w:hAnsi="Times New Roman" w:hint="eastAsia"/>
          <w:bCs w:val="0"/>
          <w:kern w:val="2"/>
          <w:szCs w:val="32"/>
        </w:rPr>
        <w:t>影音已沒有</w:t>
      </w:r>
      <w:proofErr w:type="gramEnd"/>
      <w:r w:rsidR="00890FFB" w:rsidRPr="00261E3C">
        <w:rPr>
          <w:rFonts w:ascii="Times New Roman" w:hAnsi="Times New Roman" w:hint="eastAsia"/>
          <w:bCs w:val="0"/>
          <w:kern w:val="2"/>
          <w:szCs w:val="32"/>
        </w:rPr>
        <w:t>明確分際</w:t>
      </w:r>
      <w:r w:rsidR="006D0AD0" w:rsidRPr="00261E3C">
        <w:rPr>
          <w:rFonts w:ascii="Times New Roman" w:hAnsi="Times New Roman" w:hint="eastAsia"/>
          <w:bCs w:val="0"/>
          <w:kern w:val="2"/>
          <w:szCs w:val="32"/>
        </w:rPr>
        <w:t>，法國成立的出版實驗院就開發出很多會動的繪本，這很符合現在閱讀的潮流，因此我們需要成立具有綜觀和整合能力的協助機制單位，也賦予其</w:t>
      </w:r>
      <w:r w:rsidR="001F7E07" w:rsidRPr="00261E3C">
        <w:rPr>
          <w:rFonts w:ascii="Times New Roman" w:hAnsi="Times New Roman" w:hint="eastAsia"/>
          <w:bCs w:val="0"/>
          <w:kern w:val="2"/>
          <w:szCs w:val="32"/>
        </w:rPr>
        <w:t>為</w:t>
      </w:r>
      <w:r w:rsidR="006D0AD0" w:rsidRPr="00261E3C">
        <w:rPr>
          <w:rFonts w:ascii="Times New Roman" w:hAnsi="Times New Roman" w:hint="eastAsia"/>
          <w:bCs w:val="0"/>
          <w:kern w:val="2"/>
          <w:szCs w:val="32"/>
        </w:rPr>
        <w:t>產業投資點</w:t>
      </w:r>
      <w:r w:rsidR="008F7D8B" w:rsidRPr="00261E3C">
        <w:rPr>
          <w:rFonts w:ascii="Times New Roman" w:hAnsi="Times New Roman" w:hint="eastAsia"/>
          <w:bCs w:val="0"/>
          <w:kern w:val="2"/>
          <w:szCs w:val="32"/>
        </w:rPr>
        <w:t>火的能力。以往政府只能補助，但是產業界保守觀望，並非沒有資金</w:t>
      </w:r>
      <w:r w:rsidR="006D0AD0" w:rsidRPr="00261E3C">
        <w:rPr>
          <w:rFonts w:hint="eastAsia"/>
        </w:rPr>
        <w:t>」</w:t>
      </w:r>
      <w:r w:rsidR="008F7D8B" w:rsidRPr="00261E3C">
        <w:rPr>
          <w:rFonts w:hint="eastAsia"/>
        </w:rPr>
        <w:t>等語。</w:t>
      </w:r>
      <w:r w:rsidR="0065126C" w:rsidRPr="00261E3C">
        <w:rPr>
          <w:rFonts w:hint="eastAsia"/>
        </w:rPr>
        <w:t>文策院</w:t>
      </w:r>
      <w:r w:rsidR="008F7D8B" w:rsidRPr="00261E3C">
        <w:rPr>
          <w:rFonts w:hint="eastAsia"/>
        </w:rPr>
        <w:t>目前尚在規劃階段，</w:t>
      </w:r>
      <w:r w:rsidR="00912476" w:rsidRPr="00261E3C">
        <w:rPr>
          <w:rFonts w:hint="eastAsia"/>
        </w:rPr>
        <w:t>期能發揮預期功能，提升決策品質及資源運用效益</w:t>
      </w:r>
      <w:r w:rsidR="008F7D8B" w:rsidRPr="00261E3C">
        <w:rPr>
          <w:rFonts w:hint="eastAsia"/>
        </w:rPr>
        <w:t>，補足上述缺失</w:t>
      </w:r>
      <w:r w:rsidR="00E42DE6" w:rsidRPr="00261E3C">
        <w:rPr>
          <w:rFonts w:hAnsi="Times New Roman" w:hint="eastAsia"/>
        </w:rPr>
        <w:t>。</w:t>
      </w:r>
    </w:p>
    <w:p w:rsidR="000A7C2B" w:rsidRPr="00261E3C" w:rsidRDefault="006D0AD0" w:rsidP="006D0AD0">
      <w:pPr>
        <w:pStyle w:val="3"/>
      </w:pPr>
      <w:r w:rsidRPr="00261E3C">
        <w:rPr>
          <w:rFonts w:hint="eastAsia"/>
        </w:rPr>
        <w:t>綜上，文化部辦理「臺灣出版產業調查」，係主管機關及出版業者掌握及調整產業方向之</w:t>
      </w:r>
      <w:proofErr w:type="gramStart"/>
      <w:r w:rsidRPr="00261E3C">
        <w:rPr>
          <w:rFonts w:hint="eastAsia"/>
        </w:rPr>
        <w:t>重要參據</w:t>
      </w:r>
      <w:proofErr w:type="gramEnd"/>
      <w:r w:rsidRPr="00261E3C">
        <w:rPr>
          <w:rFonts w:hint="eastAsia"/>
        </w:rPr>
        <w:t>，亦有扮演該部智庫之角色；惟其調查</w:t>
      </w:r>
      <w:proofErr w:type="gramStart"/>
      <w:r w:rsidRPr="00261E3C">
        <w:rPr>
          <w:rFonts w:hint="eastAsia"/>
        </w:rPr>
        <w:t>時程偏長</w:t>
      </w:r>
      <w:proofErr w:type="gramEnd"/>
      <w:r w:rsidRPr="00261E3C">
        <w:rPr>
          <w:rFonts w:hint="eastAsia"/>
        </w:rPr>
        <w:t>，且未能納入部</w:t>
      </w:r>
      <w:r w:rsidR="001F7E07" w:rsidRPr="00261E3C">
        <w:rPr>
          <w:rFonts w:hint="eastAsia"/>
        </w:rPr>
        <w:t>分</w:t>
      </w:r>
      <w:r w:rsidRPr="00261E3C">
        <w:rPr>
          <w:rFonts w:hint="eastAsia"/>
        </w:rPr>
        <w:t>重要項目，有影響其運用價值之虞，</w:t>
      </w:r>
      <w:proofErr w:type="gramStart"/>
      <w:r w:rsidRPr="00261E3C">
        <w:rPr>
          <w:rFonts w:hint="eastAsia"/>
        </w:rPr>
        <w:t>文化部允應</w:t>
      </w:r>
      <w:proofErr w:type="gramEnd"/>
      <w:r w:rsidRPr="00261E3C">
        <w:rPr>
          <w:rFonts w:hint="eastAsia"/>
        </w:rPr>
        <w:t>強化上開產業調查時效及功能，</w:t>
      </w:r>
      <w:proofErr w:type="gramStart"/>
      <w:r w:rsidRPr="00261E3C">
        <w:rPr>
          <w:rFonts w:hint="eastAsia"/>
        </w:rPr>
        <w:t>俾</w:t>
      </w:r>
      <w:proofErr w:type="gramEnd"/>
      <w:r w:rsidRPr="00261E3C">
        <w:rPr>
          <w:rFonts w:hint="eastAsia"/>
        </w:rPr>
        <w:t>利出版業界即時有效因應市場變化</w:t>
      </w:r>
      <w:r w:rsidR="008F7D8B" w:rsidRPr="00261E3C">
        <w:rPr>
          <w:rFonts w:hint="eastAsia"/>
        </w:rPr>
        <w:t>，並提升政府決策品質及資源運用效益</w:t>
      </w:r>
      <w:r w:rsidRPr="00261E3C">
        <w:rPr>
          <w:rFonts w:hint="eastAsia"/>
        </w:rPr>
        <w:t>。</w:t>
      </w:r>
    </w:p>
    <w:p w:rsidR="00847F58" w:rsidRPr="00261E3C" w:rsidRDefault="00847F58" w:rsidP="00601BDF"/>
    <w:p w:rsidR="00E25849" w:rsidRPr="00261E3C" w:rsidRDefault="00E25849" w:rsidP="004E05A1">
      <w:pPr>
        <w:pStyle w:val="1"/>
        <w:ind w:left="2380" w:hanging="2380"/>
      </w:pPr>
      <w:bookmarkStart w:id="82" w:name="_Toc524895648"/>
      <w:bookmarkStart w:id="83" w:name="_Toc524896194"/>
      <w:bookmarkStart w:id="84" w:name="_Toc524896224"/>
      <w:bookmarkStart w:id="85" w:name="_Toc524902734"/>
      <w:bookmarkStart w:id="86" w:name="_Toc525066148"/>
      <w:bookmarkStart w:id="87" w:name="_Toc525070839"/>
      <w:bookmarkStart w:id="88" w:name="_Toc525938379"/>
      <w:bookmarkStart w:id="89" w:name="_Toc525939227"/>
      <w:bookmarkStart w:id="90" w:name="_Toc525939732"/>
      <w:bookmarkStart w:id="91" w:name="_Toc529218272"/>
      <w:bookmarkStart w:id="92" w:name="_Toc529222689"/>
      <w:bookmarkStart w:id="93" w:name="_Toc529223111"/>
      <w:bookmarkStart w:id="94" w:name="_Toc529223862"/>
      <w:bookmarkStart w:id="95" w:name="_Toc529228265"/>
      <w:bookmarkStart w:id="96" w:name="_Toc2400395"/>
      <w:bookmarkStart w:id="97" w:name="_Toc4316189"/>
      <w:bookmarkStart w:id="98" w:name="_Toc4473330"/>
      <w:bookmarkStart w:id="99" w:name="_Toc69556897"/>
      <w:bookmarkStart w:id="100" w:name="_Toc69556946"/>
      <w:bookmarkStart w:id="101" w:name="_Toc69609820"/>
      <w:bookmarkStart w:id="102" w:name="_Toc70241816"/>
      <w:bookmarkStart w:id="103" w:name="_Toc70242205"/>
      <w:bookmarkStart w:id="104" w:name="_Toc421794875"/>
      <w:bookmarkStart w:id="105" w:name="_Toc509996795"/>
      <w:bookmarkEnd w:id="52"/>
      <w:r w:rsidRPr="00261E3C">
        <w:rPr>
          <w:rFonts w:hint="eastAsia"/>
        </w:rPr>
        <w:t>處理辦法：</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001670DB" w:rsidRPr="00261E3C">
        <w:t xml:space="preserve"> </w:t>
      </w:r>
    </w:p>
    <w:p w:rsidR="00E25849" w:rsidRDefault="00E25849">
      <w:pPr>
        <w:pStyle w:val="2"/>
      </w:pPr>
      <w:bookmarkStart w:id="106" w:name="_Toc524895649"/>
      <w:bookmarkStart w:id="107" w:name="_Toc524896195"/>
      <w:bookmarkStart w:id="108" w:name="_Toc524896225"/>
      <w:bookmarkStart w:id="109" w:name="_Toc2400396"/>
      <w:bookmarkStart w:id="110" w:name="_Toc4316190"/>
      <w:bookmarkStart w:id="111" w:name="_Toc4473331"/>
      <w:bookmarkStart w:id="112" w:name="_Toc69556898"/>
      <w:bookmarkStart w:id="113" w:name="_Toc69556947"/>
      <w:bookmarkStart w:id="114" w:name="_Toc69609821"/>
      <w:bookmarkStart w:id="115" w:name="_Toc70241817"/>
      <w:bookmarkStart w:id="116" w:name="_Toc70242206"/>
      <w:bookmarkStart w:id="117" w:name="_Toc421794877"/>
      <w:bookmarkStart w:id="118" w:name="_Toc421795443"/>
      <w:bookmarkStart w:id="119" w:name="_Toc421796024"/>
      <w:bookmarkStart w:id="120" w:name="_Toc422728959"/>
      <w:bookmarkStart w:id="121" w:name="_Toc422834162"/>
      <w:bookmarkStart w:id="122" w:name="_Toc509827260"/>
      <w:bookmarkStart w:id="123" w:name="_Toc509996797"/>
      <w:bookmarkStart w:id="124" w:name="_Toc524902735"/>
      <w:bookmarkStart w:id="125" w:name="_Toc525066149"/>
      <w:bookmarkStart w:id="126" w:name="_Toc525070840"/>
      <w:bookmarkStart w:id="127" w:name="_Toc525938380"/>
      <w:bookmarkStart w:id="128" w:name="_Toc525939228"/>
      <w:bookmarkStart w:id="129" w:name="_Toc525939733"/>
      <w:bookmarkStart w:id="130" w:name="_Toc529218273"/>
      <w:bookmarkStart w:id="131" w:name="_Toc529222690"/>
      <w:bookmarkStart w:id="132" w:name="_Toc529223112"/>
      <w:bookmarkStart w:id="133" w:name="_Toc529223863"/>
      <w:bookmarkStart w:id="134" w:name="_Toc529228266"/>
      <w:bookmarkEnd w:id="106"/>
      <w:bookmarkEnd w:id="107"/>
      <w:bookmarkEnd w:id="108"/>
      <w:r w:rsidRPr="00261E3C">
        <w:rPr>
          <w:rFonts w:hint="eastAsia"/>
        </w:rPr>
        <w:t>調查意見，函請</w:t>
      </w:r>
      <w:r w:rsidR="001670DB" w:rsidRPr="00261E3C">
        <w:rPr>
          <w:rFonts w:hint="eastAsia"/>
        </w:rPr>
        <w:t>文化部</w:t>
      </w:r>
      <w:r w:rsidRPr="00261E3C">
        <w:rPr>
          <w:rFonts w:hint="eastAsia"/>
        </w:rPr>
        <w:t>確實檢討改進</w:t>
      </w:r>
      <w:proofErr w:type="gramStart"/>
      <w:r w:rsidRPr="00261E3C">
        <w:rPr>
          <w:rFonts w:hint="eastAsia"/>
        </w:rPr>
        <w:t>見復。</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roofErr w:type="gramEnd"/>
    </w:p>
    <w:p w:rsidR="004C643B" w:rsidRDefault="004C643B">
      <w:pPr>
        <w:pStyle w:val="2"/>
        <w:rPr>
          <w:rFonts w:hint="eastAsia"/>
        </w:rPr>
      </w:pPr>
      <w:r w:rsidRPr="009F4991">
        <w:rPr>
          <w:rFonts w:hint="eastAsia"/>
        </w:rPr>
        <w:t>調查意見函送審計部參考。</w:t>
      </w:r>
      <w:bookmarkEnd w:id="124"/>
      <w:bookmarkEnd w:id="125"/>
      <w:bookmarkEnd w:id="126"/>
      <w:bookmarkEnd w:id="127"/>
      <w:bookmarkEnd w:id="128"/>
      <w:bookmarkEnd w:id="129"/>
      <w:bookmarkEnd w:id="130"/>
      <w:bookmarkEnd w:id="131"/>
      <w:bookmarkEnd w:id="132"/>
      <w:bookmarkEnd w:id="133"/>
      <w:bookmarkEnd w:id="134"/>
    </w:p>
    <w:p w:rsidR="00C01A36" w:rsidRDefault="00C01A36" w:rsidP="003C716B">
      <w:pPr>
        <w:pStyle w:val="1"/>
        <w:numPr>
          <w:ilvl w:val="0"/>
          <w:numId w:val="0"/>
        </w:numPr>
        <w:ind w:left="2381"/>
        <w:rPr>
          <w:rFonts w:hint="eastAsia"/>
          <w:sz w:val="40"/>
          <w:szCs w:val="40"/>
        </w:rPr>
      </w:pPr>
    </w:p>
    <w:p w:rsidR="003C716B" w:rsidRPr="003C716B" w:rsidRDefault="003C716B" w:rsidP="003C716B">
      <w:pPr>
        <w:pStyle w:val="1"/>
        <w:numPr>
          <w:ilvl w:val="0"/>
          <w:numId w:val="0"/>
        </w:numPr>
        <w:ind w:left="2381"/>
        <w:rPr>
          <w:sz w:val="40"/>
          <w:szCs w:val="40"/>
        </w:rPr>
      </w:pPr>
      <w:bookmarkStart w:id="135" w:name="_GoBack"/>
      <w:bookmarkEnd w:id="135"/>
      <w:r>
        <w:rPr>
          <w:rFonts w:hint="eastAsia"/>
          <w:sz w:val="40"/>
          <w:szCs w:val="40"/>
        </w:rPr>
        <w:t>調查委員：仉桂美</w:t>
      </w:r>
    </w:p>
    <w:p w:rsidR="003C716B" w:rsidRPr="003C716B" w:rsidRDefault="003C716B" w:rsidP="003C716B">
      <w:pPr>
        <w:pStyle w:val="1"/>
        <w:numPr>
          <w:ilvl w:val="0"/>
          <w:numId w:val="0"/>
        </w:numPr>
        <w:ind w:left="2381"/>
        <w:rPr>
          <w:rFonts w:hint="eastAsia"/>
          <w:sz w:val="40"/>
          <w:szCs w:val="40"/>
        </w:rPr>
      </w:pPr>
      <w:r>
        <w:rPr>
          <w:rFonts w:hint="eastAsia"/>
          <w:sz w:val="40"/>
          <w:szCs w:val="40"/>
        </w:rPr>
        <w:t xml:space="preserve">          </w:t>
      </w:r>
      <w:r w:rsidRPr="003C716B">
        <w:rPr>
          <w:rFonts w:hint="eastAsia"/>
          <w:sz w:val="40"/>
          <w:szCs w:val="40"/>
        </w:rPr>
        <w:t>王美玉</w:t>
      </w:r>
    </w:p>
    <w:p w:rsidR="003C716B" w:rsidRDefault="003C716B" w:rsidP="003C716B">
      <w:pPr>
        <w:pStyle w:val="1"/>
        <w:numPr>
          <w:ilvl w:val="0"/>
          <w:numId w:val="0"/>
        </w:numPr>
        <w:ind w:left="2381"/>
        <w:rPr>
          <w:rFonts w:hint="eastAsia"/>
        </w:rPr>
      </w:pPr>
    </w:p>
    <w:p w:rsidR="003C716B" w:rsidRDefault="003C716B" w:rsidP="003C716B">
      <w:pPr>
        <w:pStyle w:val="1"/>
        <w:numPr>
          <w:ilvl w:val="0"/>
          <w:numId w:val="0"/>
        </w:numPr>
        <w:jc w:val="center"/>
        <w:rPr>
          <w:rFonts w:hint="eastAsia"/>
          <w:kern w:val="0"/>
        </w:rPr>
      </w:pPr>
      <w:r>
        <w:rPr>
          <w:rFonts w:hint="eastAsia"/>
        </w:rPr>
        <w:t xml:space="preserve">中  華  民  國　</w:t>
      </w:r>
      <w:r>
        <w:rPr>
          <w:rFonts w:hint="eastAsia"/>
        </w:rPr>
        <w:t xml:space="preserve">107 </w:t>
      </w:r>
      <w:r>
        <w:rPr>
          <w:rFonts w:hint="eastAsia"/>
        </w:rPr>
        <w:t>年</w:t>
      </w:r>
      <w:r>
        <w:rPr>
          <w:rFonts w:hint="eastAsia"/>
        </w:rPr>
        <w:t xml:space="preserve"> 04</w:t>
      </w:r>
      <w:r>
        <w:rPr>
          <w:rFonts w:hint="eastAsia"/>
        </w:rPr>
        <w:t xml:space="preserve"> 月</w:t>
      </w:r>
      <w:r>
        <w:rPr>
          <w:rFonts w:hint="eastAsia"/>
        </w:rPr>
        <w:t xml:space="preserve"> 12</w:t>
      </w:r>
      <w:r>
        <w:rPr>
          <w:rFonts w:hint="eastAsia"/>
        </w:rPr>
        <w:t xml:space="preserve"> 日</w:t>
      </w:r>
    </w:p>
    <w:p w:rsidR="003C716B" w:rsidRPr="009F4991" w:rsidRDefault="003C716B" w:rsidP="003C716B">
      <w:pPr>
        <w:pStyle w:val="2"/>
        <w:numPr>
          <w:ilvl w:val="0"/>
          <w:numId w:val="0"/>
        </w:numPr>
        <w:ind w:left="340"/>
      </w:pPr>
    </w:p>
    <w:sectPr w:rsidR="003C716B" w:rsidRPr="009F4991" w:rsidSect="00931A10">
      <w:footerReference w:type="default" r:id="rId15"/>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422" w:rsidRDefault="00684422">
      <w:r>
        <w:separator/>
      </w:r>
    </w:p>
  </w:endnote>
  <w:endnote w:type="continuationSeparator" w:id="0">
    <w:p w:rsidR="00684422" w:rsidRDefault="0068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845" w:rsidRDefault="0066384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C01A36">
      <w:rPr>
        <w:rStyle w:val="ad"/>
        <w:noProof/>
        <w:sz w:val="24"/>
      </w:rPr>
      <w:t>16</w:t>
    </w:r>
    <w:r>
      <w:rPr>
        <w:rStyle w:val="ad"/>
        <w:sz w:val="24"/>
      </w:rPr>
      <w:fldChar w:fldCharType="end"/>
    </w:r>
  </w:p>
  <w:p w:rsidR="00663845" w:rsidRDefault="0066384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422" w:rsidRDefault="00684422">
      <w:r>
        <w:separator/>
      </w:r>
    </w:p>
  </w:footnote>
  <w:footnote w:type="continuationSeparator" w:id="0">
    <w:p w:rsidR="00684422" w:rsidRDefault="00684422">
      <w:r>
        <w:continuationSeparator/>
      </w:r>
    </w:p>
  </w:footnote>
  <w:footnote w:id="1">
    <w:p w:rsidR="00663845" w:rsidRDefault="00663845">
      <w:pPr>
        <w:pStyle w:val="afe"/>
      </w:pPr>
      <w:r>
        <w:rPr>
          <w:rStyle w:val="aff0"/>
        </w:rPr>
        <w:footnoteRef/>
      </w:r>
      <w:r>
        <w:rPr>
          <w:rFonts w:hint="eastAsia"/>
          <w:noProof/>
        </w:rPr>
        <w:t>日文原文為</w:t>
      </w:r>
      <w:r w:rsidRPr="008C6981">
        <w:rPr>
          <w:rFonts w:hint="eastAsia"/>
          <w:noProof/>
        </w:rPr>
        <w:t>出版不況（しゅっぱんふきょう）</w:t>
      </w:r>
    </w:p>
  </w:footnote>
  <w:footnote w:id="2">
    <w:p w:rsidR="00663845" w:rsidRDefault="00663845" w:rsidP="003B4160">
      <w:pPr>
        <w:pStyle w:val="afe"/>
        <w:ind w:left="141" w:hangingChars="64" w:hanging="141"/>
      </w:pPr>
      <w:r>
        <w:rPr>
          <w:rStyle w:val="aff0"/>
        </w:rPr>
        <w:footnoteRef/>
      </w:r>
      <w:r>
        <w:t xml:space="preserve"> </w:t>
      </w:r>
      <w:r w:rsidRPr="008E1851">
        <w:rPr>
          <w:rFonts w:hint="eastAsia"/>
        </w:rPr>
        <w:t>國民閱讀調查：人均讀書近8本　超半數青睞</w:t>
      </w:r>
      <w:proofErr w:type="gramStart"/>
      <w:r w:rsidRPr="008E1851">
        <w:rPr>
          <w:rFonts w:hint="eastAsia"/>
        </w:rPr>
        <w:t>紙質書</w:t>
      </w:r>
      <w:proofErr w:type="gramEnd"/>
      <w:r>
        <w:rPr>
          <w:rFonts w:hint="eastAsia"/>
        </w:rPr>
        <w:t>，今日新聞，2017年4月20日，取自</w:t>
      </w:r>
      <w:hyperlink r:id="rId1" w:history="1">
        <w:r w:rsidRPr="00D00249">
          <w:rPr>
            <w:rStyle w:val="af"/>
          </w:rPr>
          <w:t>https://www.nownews.com/news/20170420/2489105</w:t>
        </w:r>
      </w:hyperlink>
      <w:r>
        <w:rPr>
          <w:rFonts w:hint="eastAsia"/>
        </w:rPr>
        <w:t>。</w:t>
      </w:r>
    </w:p>
  </w:footnote>
  <w:footnote w:id="3">
    <w:p w:rsidR="00663845" w:rsidRDefault="00663845">
      <w:pPr>
        <w:pStyle w:val="afe"/>
      </w:pPr>
      <w:r>
        <w:rPr>
          <w:rStyle w:val="aff0"/>
        </w:rPr>
        <w:footnoteRef/>
      </w:r>
      <w:r>
        <w:t xml:space="preserve"> </w:t>
      </w:r>
      <w:r>
        <w:rPr>
          <w:rFonts w:hint="eastAsia"/>
        </w:rPr>
        <w:t>參閱</w:t>
      </w:r>
      <w:proofErr w:type="gramStart"/>
      <w:r>
        <w:rPr>
          <w:rFonts w:hint="eastAsia"/>
        </w:rPr>
        <w:t>祝本堯</w:t>
      </w:r>
      <w:proofErr w:type="gramEnd"/>
      <w:r>
        <w:rPr>
          <w:rFonts w:hint="eastAsia"/>
        </w:rPr>
        <w:t>，</w:t>
      </w:r>
      <w:r w:rsidRPr="00D348D3">
        <w:rPr>
          <w:rFonts w:hint="eastAsia"/>
        </w:rPr>
        <w:t>臺灣數位出版之現況與前瞻</w:t>
      </w:r>
      <w:r>
        <w:rPr>
          <w:rFonts w:hint="eastAsia"/>
        </w:rPr>
        <w:t>，</w:t>
      </w:r>
      <w:r w:rsidRPr="009B6CFE">
        <w:rPr>
          <w:rFonts w:hint="eastAsia"/>
          <w:i/>
        </w:rPr>
        <w:t>全國新書資訊月刊</w:t>
      </w:r>
      <w:r>
        <w:rPr>
          <w:rFonts w:hint="eastAsia"/>
        </w:rPr>
        <w:t>，100</w:t>
      </w:r>
      <w:r>
        <w:rPr>
          <w:rFonts w:hint="eastAsia"/>
        </w:rPr>
        <w:t>年1月號。第68頁。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7E7"/>
    <w:multiLevelType w:val="hybridMultilevel"/>
    <w:tmpl w:val="5ACEE7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63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774E6B"/>
    <w:multiLevelType w:val="hybridMultilevel"/>
    <w:tmpl w:val="A6AA4936"/>
    <w:lvl w:ilvl="0" w:tplc="D2AED84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4"/>
  </w:num>
  <w:num w:numId="5">
    <w:abstractNumId w:val="8"/>
  </w:num>
  <w:num w:numId="6">
    <w:abstractNumId w:val="2"/>
  </w:num>
  <w:num w:numId="7">
    <w:abstractNumId w:val="9"/>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0E"/>
    <w:rsid w:val="000059BE"/>
    <w:rsid w:val="00006961"/>
    <w:rsid w:val="0001002D"/>
    <w:rsid w:val="000112BF"/>
    <w:rsid w:val="00012233"/>
    <w:rsid w:val="00016163"/>
    <w:rsid w:val="00017318"/>
    <w:rsid w:val="000246F7"/>
    <w:rsid w:val="00027BE1"/>
    <w:rsid w:val="0003114D"/>
    <w:rsid w:val="00034B56"/>
    <w:rsid w:val="00036D76"/>
    <w:rsid w:val="00050C0A"/>
    <w:rsid w:val="00053535"/>
    <w:rsid w:val="00057F32"/>
    <w:rsid w:val="00062A25"/>
    <w:rsid w:val="00073CB5"/>
    <w:rsid w:val="0007425C"/>
    <w:rsid w:val="00077553"/>
    <w:rsid w:val="000851A2"/>
    <w:rsid w:val="0009352E"/>
    <w:rsid w:val="00096B96"/>
    <w:rsid w:val="000A2F3F"/>
    <w:rsid w:val="000A7C2B"/>
    <w:rsid w:val="000B0B4A"/>
    <w:rsid w:val="000B279A"/>
    <w:rsid w:val="000B53E5"/>
    <w:rsid w:val="000B61D2"/>
    <w:rsid w:val="000B70A7"/>
    <w:rsid w:val="000B73DD"/>
    <w:rsid w:val="000C495F"/>
    <w:rsid w:val="000D0135"/>
    <w:rsid w:val="000D3C7E"/>
    <w:rsid w:val="000E6431"/>
    <w:rsid w:val="000F002F"/>
    <w:rsid w:val="000F21A5"/>
    <w:rsid w:val="00102B9F"/>
    <w:rsid w:val="001121E6"/>
    <w:rsid w:val="00112637"/>
    <w:rsid w:val="00112ABC"/>
    <w:rsid w:val="0012001E"/>
    <w:rsid w:val="00126A55"/>
    <w:rsid w:val="00133F08"/>
    <w:rsid w:val="001345E6"/>
    <w:rsid w:val="00136C4B"/>
    <w:rsid w:val="001378B0"/>
    <w:rsid w:val="00142E00"/>
    <w:rsid w:val="00152793"/>
    <w:rsid w:val="00152A3D"/>
    <w:rsid w:val="00153B7E"/>
    <w:rsid w:val="00153C9D"/>
    <w:rsid w:val="00153E9A"/>
    <w:rsid w:val="001545A9"/>
    <w:rsid w:val="001637C7"/>
    <w:rsid w:val="0016480E"/>
    <w:rsid w:val="001670DB"/>
    <w:rsid w:val="00174297"/>
    <w:rsid w:val="0018086B"/>
    <w:rsid w:val="00180E06"/>
    <w:rsid w:val="001817B3"/>
    <w:rsid w:val="00183014"/>
    <w:rsid w:val="001959C2"/>
    <w:rsid w:val="00196628"/>
    <w:rsid w:val="001A51E3"/>
    <w:rsid w:val="001A62FC"/>
    <w:rsid w:val="001A69EA"/>
    <w:rsid w:val="001A7968"/>
    <w:rsid w:val="001B2E98"/>
    <w:rsid w:val="001B3483"/>
    <w:rsid w:val="001B3C1E"/>
    <w:rsid w:val="001B4494"/>
    <w:rsid w:val="001C0D8B"/>
    <w:rsid w:val="001C0DA8"/>
    <w:rsid w:val="001C5E5D"/>
    <w:rsid w:val="001D2595"/>
    <w:rsid w:val="001D2C1A"/>
    <w:rsid w:val="001D4AD7"/>
    <w:rsid w:val="001E0D8A"/>
    <w:rsid w:val="001E67BA"/>
    <w:rsid w:val="001E74C2"/>
    <w:rsid w:val="001F4F82"/>
    <w:rsid w:val="001F5A48"/>
    <w:rsid w:val="001F6260"/>
    <w:rsid w:val="001F7E07"/>
    <w:rsid w:val="00200007"/>
    <w:rsid w:val="002030A5"/>
    <w:rsid w:val="00203131"/>
    <w:rsid w:val="00212E88"/>
    <w:rsid w:val="00213C9C"/>
    <w:rsid w:val="00214654"/>
    <w:rsid w:val="0022009E"/>
    <w:rsid w:val="002213E9"/>
    <w:rsid w:val="00223241"/>
    <w:rsid w:val="0022425C"/>
    <w:rsid w:val="002246DE"/>
    <w:rsid w:val="00236155"/>
    <w:rsid w:val="00236E16"/>
    <w:rsid w:val="00237387"/>
    <w:rsid w:val="0024323C"/>
    <w:rsid w:val="002456F3"/>
    <w:rsid w:val="00252BC4"/>
    <w:rsid w:val="00254014"/>
    <w:rsid w:val="00254B39"/>
    <w:rsid w:val="00261E3C"/>
    <w:rsid w:val="0026504D"/>
    <w:rsid w:val="002717C3"/>
    <w:rsid w:val="00271B3B"/>
    <w:rsid w:val="00273A2F"/>
    <w:rsid w:val="00280986"/>
    <w:rsid w:val="00281ECE"/>
    <w:rsid w:val="00282D0A"/>
    <w:rsid w:val="002831C7"/>
    <w:rsid w:val="002840C6"/>
    <w:rsid w:val="00295174"/>
    <w:rsid w:val="00296172"/>
    <w:rsid w:val="00296B92"/>
    <w:rsid w:val="002A2C22"/>
    <w:rsid w:val="002A7AC6"/>
    <w:rsid w:val="002B02EB"/>
    <w:rsid w:val="002B3D65"/>
    <w:rsid w:val="002B6DCA"/>
    <w:rsid w:val="002C0602"/>
    <w:rsid w:val="002C47E7"/>
    <w:rsid w:val="002D0B14"/>
    <w:rsid w:val="002D5C16"/>
    <w:rsid w:val="002E385B"/>
    <w:rsid w:val="002F1C19"/>
    <w:rsid w:val="002F2476"/>
    <w:rsid w:val="002F3DFF"/>
    <w:rsid w:val="002F5E05"/>
    <w:rsid w:val="00304CE2"/>
    <w:rsid w:val="00307A76"/>
    <w:rsid w:val="00315A16"/>
    <w:rsid w:val="00315F4B"/>
    <w:rsid w:val="00317053"/>
    <w:rsid w:val="003175A6"/>
    <w:rsid w:val="0032109C"/>
    <w:rsid w:val="003212F2"/>
    <w:rsid w:val="00322B45"/>
    <w:rsid w:val="00323809"/>
    <w:rsid w:val="00323D41"/>
    <w:rsid w:val="00325414"/>
    <w:rsid w:val="003302F1"/>
    <w:rsid w:val="00330DE7"/>
    <w:rsid w:val="00331D2C"/>
    <w:rsid w:val="00341CF9"/>
    <w:rsid w:val="0034470E"/>
    <w:rsid w:val="00344D2E"/>
    <w:rsid w:val="00352DB0"/>
    <w:rsid w:val="0035456D"/>
    <w:rsid w:val="00356ACA"/>
    <w:rsid w:val="00361063"/>
    <w:rsid w:val="003642A8"/>
    <w:rsid w:val="00366F45"/>
    <w:rsid w:val="0037094A"/>
    <w:rsid w:val="00371ED3"/>
    <w:rsid w:val="00372FFC"/>
    <w:rsid w:val="0037728A"/>
    <w:rsid w:val="00377A58"/>
    <w:rsid w:val="00380B7D"/>
    <w:rsid w:val="00381A99"/>
    <w:rsid w:val="003824C8"/>
    <w:rsid w:val="003829C2"/>
    <w:rsid w:val="003830B2"/>
    <w:rsid w:val="00384724"/>
    <w:rsid w:val="00387AFF"/>
    <w:rsid w:val="003919B7"/>
    <w:rsid w:val="00391D57"/>
    <w:rsid w:val="00392292"/>
    <w:rsid w:val="00394F45"/>
    <w:rsid w:val="003A177A"/>
    <w:rsid w:val="003A5927"/>
    <w:rsid w:val="003B1017"/>
    <w:rsid w:val="003B3C07"/>
    <w:rsid w:val="003B4160"/>
    <w:rsid w:val="003B4DEC"/>
    <w:rsid w:val="003B6081"/>
    <w:rsid w:val="003B6775"/>
    <w:rsid w:val="003C5FE2"/>
    <w:rsid w:val="003C716B"/>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1EF0"/>
    <w:rsid w:val="00421F3E"/>
    <w:rsid w:val="004224FA"/>
    <w:rsid w:val="00422C31"/>
    <w:rsid w:val="00423D07"/>
    <w:rsid w:val="00427936"/>
    <w:rsid w:val="0043262D"/>
    <w:rsid w:val="00437E49"/>
    <w:rsid w:val="0044346F"/>
    <w:rsid w:val="004477A3"/>
    <w:rsid w:val="00453FF6"/>
    <w:rsid w:val="0046520A"/>
    <w:rsid w:val="004672AB"/>
    <w:rsid w:val="00470DB7"/>
    <w:rsid w:val="004714FE"/>
    <w:rsid w:val="00477BAA"/>
    <w:rsid w:val="00490727"/>
    <w:rsid w:val="00495053"/>
    <w:rsid w:val="004A1F59"/>
    <w:rsid w:val="004A29BE"/>
    <w:rsid w:val="004A3225"/>
    <w:rsid w:val="004A33EE"/>
    <w:rsid w:val="004A3AA8"/>
    <w:rsid w:val="004A4F7D"/>
    <w:rsid w:val="004B13C7"/>
    <w:rsid w:val="004B5124"/>
    <w:rsid w:val="004B778F"/>
    <w:rsid w:val="004C0609"/>
    <w:rsid w:val="004C643B"/>
    <w:rsid w:val="004D141F"/>
    <w:rsid w:val="004D2742"/>
    <w:rsid w:val="004D6310"/>
    <w:rsid w:val="004E0062"/>
    <w:rsid w:val="004E05A1"/>
    <w:rsid w:val="004E7367"/>
    <w:rsid w:val="004F472A"/>
    <w:rsid w:val="004F5E57"/>
    <w:rsid w:val="004F6710"/>
    <w:rsid w:val="00500C3E"/>
    <w:rsid w:val="00502849"/>
    <w:rsid w:val="00504334"/>
    <w:rsid w:val="0050498D"/>
    <w:rsid w:val="005104D7"/>
    <w:rsid w:val="00510B9E"/>
    <w:rsid w:val="0053167F"/>
    <w:rsid w:val="00535759"/>
    <w:rsid w:val="00536BC2"/>
    <w:rsid w:val="005425E1"/>
    <w:rsid w:val="005427C5"/>
    <w:rsid w:val="00542CF6"/>
    <w:rsid w:val="00553C03"/>
    <w:rsid w:val="00563692"/>
    <w:rsid w:val="00563698"/>
    <w:rsid w:val="00571679"/>
    <w:rsid w:val="00574A1A"/>
    <w:rsid w:val="00574D17"/>
    <w:rsid w:val="005844E7"/>
    <w:rsid w:val="005908B8"/>
    <w:rsid w:val="00591BED"/>
    <w:rsid w:val="00594D28"/>
    <w:rsid w:val="0059512E"/>
    <w:rsid w:val="005A6DD2"/>
    <w:rsid w:val="005B61BF"/>
    <w:rsid w:val="005C385D"/>
    <w:rsid w:val="005C58DF"/>
    <w:rsid w:val="005C61E9"/>
    <w:rsid w:val="005D3B20"/>
    <w:rsid w:val="005E4759"/>
    <w:rsid w:val="005E5C68"/>
    <w:rsid w:val="005E65C0"/>
    <w:rsid w:val="005F0390"/>
    <w:rsid w:val="00601BDF"/>
    <w:rsid w:val="006072CD"/>
    <w:rsid w:val="00612023"/>
    <w:rsid w:val="00614190"/>
    <w:rsid w:val="00622A99"/>
    <w:rsid w:val="00622E67"/>
    <w:rsid w:val="00624B81"/>
    <w:rsid w:val="00626B57"/>
    <w:rsid w:val="00626EDC"/>
    <w:rsid w:val="006316A9"/>
    <w:rsid w:val="006349A4"/>
    <w:rsid w:val="00642EA7"/>
    <w:rsid w:val="006467CE"/>
    <w:rsid w:val="006470EC"/>
    <w:rsid w:val="0065126C"/>
    <w:rsid w:val="0065390A"/>
    <w:rsid w:val="006542D6"/>
    <w:rsid w:val="00654455"/>
    <w:rsid w:val="0065598E"/>
    <w:rsid w:val="00655AF2"/>
    <w:rsid w:val="00655BC5"/>
    <w:rsid w:val="006568BE"/>
    <w:rsid w:val="0066025D"/>
    <w:rsid w:val="0066091A"/>
    <w:rsid w:val="00663845"/>
    <w:rsid w:val="006708EB"/>
    <w:rsid w:val="006773EC"/>
    <w:rsid w:val="00680504"/>
    <w:rsid w:val="00681CD9"/>
    <w:rsid w:val="00682784"/>
    <w:rsid w:val="00683E30"/>
    <w:rsid w:val="00684422"/>
    <w:rsid w:val="00685FF4"/>
    <w:rsid w:val="00687024"/>
    <w:rsid w:val="00695E22"/>
    <w:rsid w:val="006B7093"/>
    <w:rsid w:val="006B7417"/>
    <w:rsid w:val="006C0D03"/>
    <w:rsid w:val="006C0EFD"/>
    <w:rsid w:val="006C5C8D"/>
    <w:rsid w:val="006C76B7"/>
    <w:rsid w:val="006D0AD0"/>
    <w:rsid w:val="006D3691"/>
    <w:rsid w:val="006D4FCE"/>
    <w:rsid w:val="006E1ABD"/>
    <w:rsid w:val="006E3FDA"/>
    <w:rsid w:val="006E5EF0"/>
    <w:rsid w:val="006E66FF"/>
    <w:rsid w:val="006F3563"/>
    <w:rsid w:val="006F42B9"/>
    <w:rsid w:val="006F6103"/>
    <w:rsid w:val="00700222"/>
    <w:rsid w:val="00702854"/>
    <w:rsid w:val="00704926"/>
    <w:rsid w:val="00704E00"/>
    <w:rsid w:val="00714B3B"/>
    <w:rsid w:val="007209E7"/>
    <w:rsid w:val="00722F9D"/>
    <w:rsid w:val="00725798"/>
    <w:rsid w:val="00726182"/>
    <w:rsid w:val="00727635"/>
    <w:rsid w:val="00732329"/>
    <w:rsid w:val="007337CA"/>
    <w:rsid w:val="00734CE4"/>
    <w:rsid w:val="00735123"/>
    <w:rsid w:val="00737787"/>
    <w:rsid w:val="00741837"/>
    <w:rsid w:val="00744C45"/>
    <w:rsid w:val="007453E6"/>
    <w:rsid w:val="00754FCA"/>
    <w:rsid w:val="007610B8"/>
    <w:rsid w:val="0077052E"/>
    <w:rsid w:val="00772C29"/>
    <w:rsid w:val="0077309D"/>
    <w:rsid w:val="007774EE"/>
    <w:rsid w:val="00781822"/>
    <w:rsid w:val="00783F21"/>
    <w:rsid w:val="00787159"/>
    <w:rsid w:val="0079043A"/>
    <w:rsid w:val="00791668"/>
    <w:rsid w:val="00791AA1"/>
    <w:rsid w:val="007963D2"/>
    <w:rsid w:val="007A3793"/>
    <w:rsid w:val="007C1BA2"/>
    <w:rsid w:val="007C2B48"/>
    <w:rsid w:val="007C4753"/>
    <w:rsid w:val="007D20E9"/>
    <w:rsid w:val="007D7881"/>
    <w:rsid w:val="007D7E3A"/>
    <w:rsid w:val="007E0E10"/>
    <w:rsid w:val="007E4768"/>
    <w:rsid w:val="007E6FB4"/>
    <w:rsid w:val="007E777B"/>
    <w:rsid w:val="007F2070"/>
    <w:rsid w:val="007F63C1"/>
    <w:rsid w:val="008053F5"/>
    <w:rsid w:val="00807AF7"/>
    <w:rsid w:val="00810198"/>
    <w:rsid w:val="00815DA8"/>
    <w:rsid w:val="0082194D"/>
    <w:rsid w:val="008221F9"/>
    <w:rsid w:val="00826C5A"/>
    <w:rsid w:val="00826EF5"/>
    <w:rsid w:val="00831693"/>
    <w:rsid w:val="00840104"/>
    <w:rsid w:val="00840C1F"/>
    <w:rsid w:val="008411C9"/>
    <w:rsid w:val="00841FC5"/>
    <w:rsid w:val="00845709"/>
    <w:rsid w:val="00847F58"/>
    <w:rsid w:val="008576BD"/>
    <w:rsid w:val="00860463"/>
    <w:rsid w:val="008733DA"/>
    <w:rsid w:val="008850E4"/>
    <w:rsid w:val="00890FFB"/>
    <w:rsid w:val="008939AB"/>
    <w:rsid w:val="00893E2A"/>
    <w:rsid w:val="008A12F5"/>
    <w:rsid w:val="008B1587"/>
    <w:rsid w:val="008B1B01"/>
    <w:rsid w:val="008B3BCD"/>
    <w:rsid w:val="008B6CAD"/>
    <w:rsid w:val="008B6DF8"/>
    <w:rsid w:val="008C106C"/>
    <w:rsid w:val="008C10F1"/>
    <w:rsid w:val="008C1926"/>
    <w:rsid w:val="008C1E99"/>
    <w:rsid w:val="008C6981"/>
    <w:rsid w:val="008D05BC"/>
    <w:rsid w:val="008E0085"/>
    <w:rsid w:val="008E1851"/>
    <w:rsid w:val="008E2AA6"/>
    <w:rsid w:val="008E311B"/>
    <w:rsid w:val="008E334F"/>
    <w:rsid w:val="008F46E7"/>
    <w:rsid w:val="008F6F0B"/>
    <w:rsid w:val="008F7D8B"/>
    <w:rsid w:val="00903B84"/>
    <w:rsid w:val="00907BA7"/>
    <w:rsid w:val="0091064E"/>
    <w:rsid w:val="00911FC5"/>
    <w:rsid w:val="00912476"/>
    <w:rsid w:val="00931A10"/>
    <w:rsid w:val="00944592"/>
    <w:rsid w:val="00947967"/>
    <w:rsid w:val="00955201"/>
    <w:rsid w:val="00965200"/>
    <w:rsid w:val="009668B3"/>
    <w:rsid w:val="00967285"/>
    <w:rsid w:val="00971471"/>
    <w:rsid w:val="00977379"/>
    <w:rsid w:val="00980371"/>
    <w:rsid w:val="009849C2"/>
    <w:rsid w:val="00984D24"/>
    <w:rsid w:val="009858EB"/>
    <w:rsid w:val="00995BBC"/>
    <w:rsid w:val="009A3F47"/>
    <w:rsid w:val="009A5C33"/>
    <w:rsid w:val="009B0046"/>
    <w:rsid w:val="009B45DC"/>
    <w:rsid w:val="009B6CFE"/>
    <w:rsid w:val="009C1440"/>
    <w:rsid w:val="009C2107"/>
    <w:rsid w:val="009C5D9E"/>
    <w:rsid w:val="009D2C3E"/>
    <w:rsid w:val="009D692E"/>
    <w:rsid w:val="009D6ED3"/>
    <w:rsid w:val="009E0625"/>
    <w:rsid w:val="009E3034"/>
    <w:rsid w:val="009E549F"/>
    <w:rsid w:val="009F28A8"/>
    <w:rsid w:val="009F473E"/>
    <w:rsid w:val="009F4991"/>
    <w:rsid w:val="009F682A"/>
    <w:rsid w:val="00A022BE"/>
    <w:rsid w:val="00A07B4B"/>
    <w:rsid w:val="00A24C95"/>
    <w:rsid w:val="00A2599A"/>
    <w:rsid w:val="00A26094"/>
    <w:rsid w:val="00A301BF"/>
    <w:rsid w:val="00A302B2"/>
    <w:rsid w:val="00A331B4"/>
    <w:rsid w:val="00A3484E"/>
    <w:rsid w:val="00A356D3"/>
    <w:rsid w:val="00A36ADA"/>
    <w:rsid w:val="00A438D8"/>
    <w:rsid w:val="00A4670B"/>
    <w:rsid w:val="00A473F5"/>
    <w:rsid w:val="00A51F9D"/>
    <w:rsid w:val="00A5416A"/>
    <w:rsid w:val="00A56AE7"/>
    <w:rsid w:val="00A639F4"/>
    <w:rsid w:val="00A71AF0"/>
    <w:rsid w:val="00A81A32"/>
    <w:rsid w:val="00A825DF"/>
    <w:rsid w:val="00A835BD"/>
    <w:rsid w:val="00A97B15"/>
    <w:rsid w:val="00AA42D5"/>
    <w:rsid w:val="00AB2FAB"/>
    <w:rsid w:val="00AB31FB"/>
    <w:rsid w:val="00AB5C14"/>
    <w:rsid w:val="00AC1EE7"/>
    <w:rsid w:val="00AC333F"/>
    <w:rsid w:val="00AC585C"/>
    <w:rsid w:val="00AD0914"/>
    <w:rsid w:val="00AD1925"/>
    <w:rsid w:val="00AD4BC7"/>
    <w:rsid w:val="00AE067D"/>
    <w:rsid w:val="00AE10A0"/>
    <w:rsid w:val="00AE1426"/>
    <w:rsid w:val="00AF1181"/>
    <w:rsid w:val="00AF2F79"/>
    <w:rsid w:val="00AF4653"/>
    <w:rsid w:val="00AF7DB7"/>
    <w:rsid w:val="00B07FC9"/>
    <w:rsid w:val="00B10D02"/>
    <w:rsid w:val="00B201E2"/>
    <w:rsid w:val="00B24609"/>
    <w:rsid w:val="00B443E4"/>
    <w:rsid w:val="00B5484D"/>
    <w:rsid w:val="00B563EA"/>
    <w:rsid w:val="00B56CDF"/>
    <w:rsid w:val="00B60E51"/>
    <w:rsid w:val="00B60F08"/>
    <w:rsid w:val="00B62BAB"/>
    <w:rsid w:val="00B63A54"/>
    <w:rsid w:val="00B77D18"/>
    <w:rsid w:val="00B8313A"/>
    <w:rsid w:val="00B91A9F"/>
    <w:rsid w:val="00B93503"/>
    <w:rsid w:val="00B97D2E"/>
    <w:rsid w:val="00BA31E8"/>
    <w:rsid w:val="00BA55E0"/>
    <w:rsid w:val="00BA6BD4"/>
    <w:rsid w:val="00BA6C7A"/>
    <w:rsid w:val="00BB17D1"/>
    <w:rsid w:val="00BB3752"/>
    <w:rsid w:val="00BB5395"/>
    <w:rsid w:val="00BB6688"/>
    <w:rsid w:val="00BC26D4"/>
    <w:rsid w:val="00BD40F0"/>
    <w:rsid w:val="00BD47FA"/>
    <w:rsid w:val="00BE0C80"/>
    <w:rsid w:val="00BE31CF"/>
    <w:rsid w:val="00BF2A42"/>
    <w:rsid w:val="00BF45B4"/>
    <w:rsid w:val="00BF538C"/>
    <w:rsid w:val="00C0123B"/>
    <w:rsid w:val="00C01A36"/>
    <w:rsid w:val="00C03D8C"/>
    <w:rsid w:val="00C055EC"/>
    <w:rsid w:val="00C10DC9"/>
    <w:rsid w:val="00C12FB3"/>
    <w:rsid w:val="00C17341"/>
    <w:rsid w:val="00C17AA8"/>
    <w:rsid w:val="00C2310E"/>
    <w:rsid w:val="00C24EEF"/>
    <w:rsid w:val="00C25CF6"/>
    <w:rsid w:val="00C2666A"/>
    <w:rsid w:val="00C26C36"/>
    <w:rsid w:val="00C32768"/>
    <w:rsid w:val="00C40707"/>
    <w:rsid w:val="00C431DF"/>
    <w:rsid w:val="00C44FF5"/>
    <w:rsid w:val="00C456BD"/>
    <w:rsid w:val="00C530DC"/>
    <w:rsid w:val="00C5350D"/>
    <w:rsid w:val="00C6081E"/>
    <w:rsid w:val="00C6123C"/>
    <w:rsid w:val="00C6311A"/>
    <w:rsid w:val="00C64514"/>
    <w:rsid w:val="00C7084D"/>
    <w:rsid w:val="00C7315E"/>
    <w:rsid w:val="00C75895"/>
    <w:rsid w:val="00C83C9F"/>
    <w:rsid w:val="00C9452A"/>
    <w:rsid w:val="00C94840"/>
    <w:rsid w:val="00C964AE"/>
    <w:rsid w:val="00CA4EE3"/>
    <w:rsid w:val="00CB027F"/>
    <w:rsid w:val="00CC0EBB"/>
    <w:rsid w:val="00CC6297"/>
    <w:rsid w:val="00CC7690"/>
    <w:rsid w:val="00CC7B53"/>
    <w:rsid w:val="00CD1986"/>
    <w:rsid w:val="00CD340E"/>
    <w:rsid w:val="00CD54BF"/>
    <w:rsid w:val="00CE4D5C"/>
    <w:rsid w:val="00CF05DA"/>
    <w:rsid w:val="00CF2DB4"/>
    <w:rsid w:val="00CF58EB"/>
    <w:rsid w:val="00CF6FEC"/>
    <w:rsid w:val="00D0106E"/>
    <w:rsid w:val="00D04C53"/>
    <w:rsid w:val="00D06383"/>
    <w:rsid w:val="00D20E85"/>
    <w:rsid w:val="00D23C36"/>
    <w:rsid w:val="00D24615"/>
    <w:rsid w:val="00D348D3"/>
    <w:rsid w:val="00D37842"/>
    <w:rsid w:val="00D42DC2"/>
    <w:rsid w:val="00D4302B"/>
    <w:rsid w:val="00D537E1"/>
    <w:rsid w:val="00D55BB2"/>
    <w:rsid w:val="00D6091A"/>
    <w:rsid w:val="00D6605A"/>
    <w:rsid w:val="00D6695F"/>
    <w:rsid w:val="00D701D2"/>
    <w:rsid w:val="00D75644"/>
    <w:rsid w:val="00D80CB0"/>
    <w:rsid w:val="00D81656"/>
    <w:rsid w:val="00D83D87"/>
    <w:rsid w:val="00D84A6D"/>
    <w:rsid w:val="00D86A30"/>
    <w:rsid w:val="00D97CB4"/>
    <w:rsid w:val="00D97DD4"/>
    <w:rsid w:val="00DA4ABE"/>
    <w:rsid w:val="00DA5A8A"/>
    <w:rsid w:val="00DB1170"/>
    <w:rsid w:val="00DB26CD"/>
    <w:rsid w:val="00DB2819"/>
    <w:rsid w:val="00DB441C"/>
    <w:rsid w:val="00DB44AF"/>
    <w:rsid w:val="00DB464B"/>
    <w:rsid w:val="00DC0F73"/>
    <w:rsid w:val="00DC1F58"/>
    <w:rsid w:val="00DC339B"/>
    <w:rsid w:val="00DC5D40"/>
    <w:rsid w:val="00DC69A7"/>
    <w:rsid w:val="00DD303D"/>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64C"/>
    <w:rsid w:val="00E12CC8"/>
    <w:rsid w:val="00E132F9"/>
    <w:rsid w:val="00E15352"/>
    <w:rsid w:val="00E218BD"/>
    <w:rsid w:val="00E21CC7"/>
    <w:rsid w:val="00E24D9E"/>
    <w:rsid w:val="00E25849"/>
    <w:rsid w:val="00E30001"/>
    <w:rsid w:val="00E3197E"/>
    <w:rsid w:val="00E342F8"/>
    <w:rsid w:val="00E351ED"/>
    <w:rsid w:val="00E41B7B"/>
    <w:rsid w:val="00E42DE6"/>
    <w:rsid w:val="00E6034B"/>
    <w:rsid w:val="00E6549E"/>
    <w:rsid w:val="00E65EDE"/>
    <w:rsid w:val="00E70F81"/>
    <w:rsid w:val="00E76F97"/>
    <w:rsid w:val="00E77055"/>
    <w:rsid w:val="00E77460"/>
    <w:rsid w:val="00E83ABC"/>
    <w:rsid w:val="00E844F2"/>
    <w:rsid w:val="00E90AD0"/>
    <w:rsid w:val="00E92FCB"/>
    <w:rsid w:val="00EA147F"/>
    <w:rsid w:val="00EA4A27"/>
    <w:rsid w:val="00EA4FA6"/>
    <w:rsid w:val="00EB1A25"/>
    <w:rsid w:val="00EC40CE"/>
    <w:rsid w:val="00EC7363"/>
    <w:rsid w:val="00ED03AB"/>
    <w:rsid w:val="00ED1963"/>
    <w:rsid w:val="00ED1CD4"/>
    <w:rsid w:val="00ED1D2B"/>
    <w:rsid w:val="00ED64B5"/>
    <w:rsid w:val="00EE7CCA"/>
    <w:rsid w:val="00F16A14"/>
    <w:rsid w:val="00F362D7"/>
    <w:rsid w:val="00F37D7B"/>
    <w:rsid w:val="00F50C9B"/>
    <w:rsid w:val="00F5314C"/>
    <w:rsid w:val="00F5688C"/>
    <w:rsid w:val="00F60048"/>
    <w:rsid w:val="00F61D11"/>
    <w:rsid w:val="00F635DD"/>
    <w:rsid w:val="00F63DF6"/>
    <w:rsid w:val="00F6627B"/>
    <w:rsid w:val="00F7336E"/>
    <w:rsid w:val="00F734F2"/>
    <w:rsid w:val="00F736E4"/>
    <w:rsid w:val="00F75052"/>
    <w:rsid w:val="00F804D3"/>
    <w:rsid w:val="00F816CB"/>
    <w:rsid w:val="00F819D1"/>
    <w:rsid w:val="00F81CD2"/>
    <w:rsid w:val="00F82641"/>
    <w:rsid w:val="00F86C3B"/>
    <w:rsid w:val="00F90F18"/>
    <w:rsid w:val="00F92193"/>
    <w:rsid w:val="00F937E4"/>
    <w:rsid w:val="00F95EE7"/>
    <w:rsid w:val="00F97303"/>
    <w:rsid w:val="00FA39E6"/>
    <w:rsid w:val="00FA6AB4"/>
    <w:rsid w:val="00FA7BC9"/>
    <w:rsid w:val="00FB378E"/>
    <w:rsid w:val="00FB37F1"/>
    <w:rsid w:val="00FB47C0"/>
    <w:rsid w:val="00FB501B"/>
    <w:rsid w:val="00FB7770"/>
    <w:rsid w:val="00FD3B91"/>
    <w:rsid w:val="00FD576B"/>
    <w:rsid w:val="00FD579E"/>
    <w:rsid w:val="00FD6845"/>
    <w:rsid w:val="00FE4516"/>
    <w:rsid w:val="00FE64C8"/>
    <w:rsid w:val="00FF0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7"/>
    <w:uiPriority w:val="39"/>
    <w:rsid w:val="00744C45"/>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清單段落 字元"/>
    <w:basedOn w:val="a7"/>
    <w:link w:val="af8"/>
    <w:uiPriority w:val="34"/>
    <w:rsid w:val="005C58DF"/>
    <w:rPr>
      <w:rFonts w:ascii="標楷體" w:eastAsia="標楷體"/>
      <w:kern w:val="2"/>
      <w:sz w:val="32"/>
    </w:rPr>
  </w:style>
  <w:style w:type="table" w:customStyle="1" w:styleId="23">
    <w:name w:val="表格格線23"/>
    <w:basedOn w:val="a8"/>
    <w:next w:val="af7"/>
    <w:uiPriority w:val="59"/>
    <w:rsid w:val="00D23C3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6"/>
    <w:link w:val="aff"/>
    <w:uiPriority w:val="99"/>
    <w:semiHidden/>
    <w:unhideWhenUsed/>
    <w:rsid w:val="008E1851"/>
    <w:pPr>
      <w:snapToGrid w:val="0"/>
      <w:jc w:val="left"/>
    </w:pPr>
    <w:rPr>
      <w:sz w:val="20"/>
    </w:rPr>
  </w:style>
  <w:style w:type="character" w:customStyle="1" w:styleId="aff">
    <w:name w:val="註腳文字 字元"/>
    <w:basedOn w:val="a7"/>
    <w:link w:val="afe"/>
    <w:uiPriority w:val="99"/>
    <w:semiHidden/>
    <w:rsid w:val="008E1851"/>
    <w:rPr>
      <w:rFonts w:ascii="標楷體" w:eastAsia="標楷體"/>
      <w:kern w:val="2"/>
    </w:rPr>
  </w:style>
  <w:style w:type="character" w:styleId="aff0">
    <w:name w:val="footnote reference"/>
    <w:basedOn w:val="a7"/>
    <w:uiPriority w:val="99"/>
    <w:semiHidden/>
    <w:unhideWhenUsed/>
    <w:rsid w:val="008E1851"/>
    <w:rPr>
      <w:vertAlign w:val="superscript"/>
    </w:rPr>
  </w:style>
  <w:style w:type="character" w:customStyle="1" w:styleId="30">
    <w:name w:val="標題 3 字元"/>
    <w:basedOn w:val="a7"/>
    <w:link w:val="3"/>
    <w:rsid w:val="00F736E4"/>
    <w:rPr>
      <w:rFonts w:ascii="標楷體" w:eastAsia="標楷體" w:hAnsi="Arial"/>
      <w:bCs/>
      <w:kern w:val="32"/>
      <w:sz w:val="32"/>
      <w:szCs w:val="36"/>
    </w:rPr>
  </w:style>
  <w:style w:type="paragraph" w:styleId="aff1">
    <w:name w:val="No Spacing"/>
    <w:uiPriority w:val="1"/>
    <w:qFormat/>
    <w:rsid w:val="00890FFB"/>
    <w:pPr>
      <w:widowControl w:val="0"/>
    </w:pPr>
    <w:rPr>
      <w:rFonts w:asciiTheme="minorHAnsi" w:eastAsiaTheme="minorEastAsia" w:hAnsiTheme="minorHAnsi" w:cstheme="minorBidi"/>
      <w:kern w:val="2"/>
      <w:sz w:val="24"/>
      <w:szCs w:val="22"/>
    </w:rPr>
  </w:style>
  <w:style w:type="character" w:customStyle="1" w:styleId="ab">
    <w:name w:val="簽名 字元"/>
    <w:basedOn w:val="a7"/>
    <w:link w:val="aa"/>
    <w:semiHidden/>
    <w:rsid w:val="003C716B"/>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uiPriority w:val="99"/>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link w:val="af9"/>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table" w:customStyle="1" w:styleId="13">
    <w:name w:val="表格格線1"/>
    <w:basedOn w:val="a8"/>
    <w:next w:val="af7"/>
    <w:uiPriority w:val="39"/>
    <w:rsid w:val="00744C45"/>
    <w:rPr>
      <w:rFonts w:ascii="Calibri" w:eastAsia="Times New Roman"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清單段落 字元"/>
    <w:basedOn w:val="a7"/>
    <w:link w:val="af8"/>
    <w:uiPriority w:val="34"/>
    <w:rsid w:val="005C58DF"/>
    <w:rPr>
      <w:rFonts w:ascii="標楷體" w:eastAsia="標楷體"/>
      <w:kern w:val="2"/>
      <w:sz w:val="32"/>
    </w:rPr>
  </w:style>
  <w:style w:type="table" w:customStyle="1" w:styleId="23">
    <w:name w:val="表格格線23"/>
    <w:basedOn w:val="a8"/>
    <w:next w:val="af7"/>
    <w:uiPriority w:val="59"/>
    <w:rsid w:val="00D23C3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6"/>
    <w:link w:val="aff"/>
    <w:uiPriority w:val="99"/>
    <w:semiHidden/>
    <w:unhideWhenUsed/>
    <w:rsid w:val="008E1851"/>
    <w:pPr>
      <w:snapToGrid w:val="0"/>
      <w:jc w:val="left"/>
    </w:pPr>
    <w:rPr>
      <w:sz w:val="20"/>
    </w:rPr>
  </w:style>
  <w:style w:type="character" w:customStyle="1" w:styleId="aff">
    <w:name w:val="註腳文字 字元"/>
    <w:basedOn w:val="a7"/>
    <w:link w:val="afe"/>
    <w:uiPriority w:val="99"/>
    <w:semiHidden/>
    <w:rsid w:val="008E1851"/>
    <w:rPr>
      <w:rFonts w:ascii="標楷體" w:eastAsia="標楷體"/>
      <w:kern w:val="2"/>
    </w:rPr>
  </w:style>
  <w:style w:type="character" w:styleId="aff0">
    <w:name w:val="footnote reference"/>
    <w:basedOn w:val="a7"/>
    <w:uiPriority w:val="99"/>
    <w:semiHidden/>
    <w:unhideWhenUsed/>
    <w:rsid w:val="008E1851"/>
    <w:rPr>
      <w:vertAlign w:val="superscript"/>
    </w:rPr>
  </w:style>
  <w:style w:type="character" w:customStyle="1" w:styleId="30">
    <w:name w:val="標題 3 字元"/>
    <w:basedOn w:val="a7"/>
    <w:link w:val="3"/>
    <w:rsid w:val="00F736E4"/>
    <w:rPr>
      <w:rFonts w:ascii="標楷體" w:eastAsia="標楷體" w:hAnsi="Arial"/>
      <w:bCs/>
      <w:kern w:val="32"/>
      <w:sz w:val="32"/>
      <w:szCs w:val="36"/>
    </w:rPr>
  </w:style>
  <w:style w:type="paragraph" w:styleId="aff1">
    <w:name w:val="No Spacing"/>
    <w:uiPriority w:val="1"/>
    <w:qFormat/>
    <w:rsid w:val="00890FFB"/>
    <w:pPr>
      <w:widowControl w:val="0"/>
    </w:pPr>
    <w:rPr>
      <w:rFonts w:asciiTheme="minorHAnsi" w:eastAsiaTheme="minorEastAsia" w:hAnsiTheme="minorHAnsi" w:cstheme="minorBidi"/>
      <w:kern w:val="2"/>
      <w:sz w:val="24"/>
      <w:szCs w:val="22"/>
    </w:rPr>
  </w:style>
  <w:style w:type="character" w:customStyle="1" w:styleId="ab">
    <w:name w:val="簽名 字元"/>
    <w:basedOn w:val="a7"/>
    <w:link w:val="aa"/>
    <w:semiHidden/>
    <w:rsid w:val="003C716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1626">
      <w:bodyDiv w:val="1"/>
      <w:marLeft w:val="0"/>
      <w:marRight w:val="0"/>
      <w:marTop w:val="0"/>
      <w:marBottom w:val="0"/>
      <w:divBdr>
        <w:top w:val="none" w:sz="0" w:space="0" w:color="auto"/>
        <w:left w:val="none" w:sz="0" w:space="0" w:color="auto"/>
        <w:bottom w:val="none" w:sz="0" w:space="0" w:color="auto"/>
        <w:right w:val="none" w:sz="0" w:space="0" w:color="auto"/>
      </w:divBdr>
    </w:div>
    <w:div w:id="52757105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84760942">
      <w:bodyDiv w:val="1"/>
      <w:marLeft w:val="0"/>
      <w:marRight w:val="0"/>
      <w:marTop w:val="0"/>
      <w:marBottom w:val="0"/>
      <w:divBdr>
        <w:top w:val="none" w:sz="0" w:space="0" w:color="auto"/>
        <w:left w:val="none" w:sz="0" w:space="0" w:color="auto"/>
        <w:bottom w:val="none" w:sz="0" w:space="0" w:color="auto"/>
        <w:right w:val="none" w:sz="0" w:space="0" w:color="auto"/>
      </w:divBdr>
      <w:divsChild>
        <w:div w:id="324014676">
          <w:marLeft w:val="0"/>
          <w:marRight w:val="0"/>
          <w:marTop w:val="0"/>
          <w:marBottom w:val="0"/>
          <w:divBdr>
            <w:top w:val="none" w:sz="0" w:space="0" w:color="auto"/>
            <w:left w:val="none" w:sz="0" w:space="0" w:color="auto"/>
            <w:bottom w:val="none" w:sz="0" w:space="0" w:color="auto"/>
            <w:right w:val="none" w:sz="0" w:space="0" w:color="auto"/>
          </w:divBdr>
          <w:divsChild>
            <w:div w:id="488447158">
              <w:marLeft w:val="0"/>
              <w:marRight w:val="0"/>
              <w:marTop w:val="0"/>
              <w:marBottom w:val="0"/>
              <w:divBdr>
                <w:top w:val="none" w:sz="0" w:space="0" w:color="auto"/>
                <w:left w:val="none" w:sz="0" w:space="0" w:color="auto"/>
                <w:bottom w:val="none" w:sz="0" w:space="0" w:color="auto"/>
                <w:right w:val="none" w:sz="0" w:space="0" w:color="auto"/>
              </w:divBdr>
              <w:divsChild>
                <w:div w:id="1560240072">
                  <w:marLeft w:val="0"/>
                  <w:marRight w:val="0"/>
                  <w:marTop w:val="0"/>
                  <w:marBottom w:val="0"/>
                  <w:divBdr>
                    <w:top w:val="none" w:sz="0" w:space="0" w:color="auto"/>
                    <w:left w:val="none" w:sz="0" w:space="0" w:color="auto"/>
                    <w:bottom w:val="none" w:sz="0" w:space="0" w:color="auto"/>
                    <w:right w:val="none" w:sz="0" w:space="0" w:color="auto"/>
                  </w:divBdr>
                  <w:divsChild>
                    <w:div w:id="1100838189">
                      <w:marLeft w:val="0"/>
                      <w:marRight w:val="0"/>
                      <w:marTop w:val="0"/>
                      <w:marBottom w:val="0"/>
                      <w:divBdr>
                        <w:top w:val="none" w:sz="0" w:space="0" w:color="auto"/>
                        <w:left w:val="none" w:sz="0" w:space="0" w:color="auto"/>
                        <w:bottom w:val="none" w:sz="0" w:space="0" w:color="auto"/>
                        <w:right w:val="none" w:sz="0" w:space="0" w:color="auto"/>
                      </w:divBdr>
                      <w:divsChild>
                        <w:div w:id="397870025">
                          <w:marLeft w:val="0"/>
                          <w:marRight w:val="0"/>
                          <w:marTop w:val="0"/>
                          <w:marBottom w:val="0"/>
                          <w:divBdr>
                            <w:top w:val="none" w:sz="0" w:space="0" w:color="auto"/>
                            <w:left w:val="none" w:sz="0" w:space="0" w:color="auto"/>
                            <w:bottom w:val="none" w:sz="0" w:space="0" w:color="auto"/>
                            <w:right w:val="none" w:sz="0" w:space="0" w:color="auto"/>
                          </w:divBdr>
                          <w:divsChild>
                            <w:div w:id="1541043909">
                              <w:marLeft w:val="0"/>
                              <w:marRight w:val="0"/>
                              <w:marTop w:val="0"/>
                              <w:marBottom w:val="0"/>
                              <w:divBdr>
                                <w:top w:val="none" w:sz="0" w:space="0" w:color="auto"/>
                                <w:left w:val="none" w:sz="0" w:space="0" w:color="auto"/>
                                <w:bottom w:val="none" w:sz="0" w:space="0" w:color="auto"/>
                                <w:right w:val="none" w:sz="0" w:space="0" w:color="auto"/>
                              </w:divBdr>
                              <w:divsChild>
                                <w:div w:id="10282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545751">
      <w:bodyDiv w:val="1"/>
      <w:marLeft w:val="0"/>
      <w:marRight w:val="0"/>
      <w:marTop w:val="0"/>
      <w:marBottom w:val="0"/>
      <w:divBdr>
        <w:top w:val="none" w:sz="0" w:space="0" w:color="auto"/>
        <w:left w:val="none" w:sz="0" w:space="0" w:color="auto"/>
        <w:bottom w:val="none" w:sz="0" w:space="0" w:color="auto"/>
        <w:right w:val="none" w:sz="0" w:space="0" w:color="auto"/>
      </w:divBdr>
    </w:div>
    <w:div w:id="204054627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nownews.com/news/20170420/24891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ownews.com/news/20170420/24891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8947565764806"/>
          <c:y val="5.0925925925925923E-2"/>
          <c:w val="0.76389252433364085"/>
          <c:h val="0.79910304284788558"/>
        </c:manualLayout>
      </c:layout>
      <c:barChart>
        <c:barDir val="col"/>
        <c:grouping val="clustered"/>
        <c:varyColors val="0"/>
        <c:ser>
          <c:idx val="1"/>
          <c:order val="0"/>
          <c:tx>
            <c:strRef>
              <c:f>工作表1!$C$2</c:f>
              <c:strCache>
                <c:ptCount val="1"/>
                <c:pt idx="0">
                  <c:v>文化部出版產業調查及研究報告產值或銷售額</c:v>
                </c:pt>
              </c:strCache>
            </c:strRef>
          </c:tx>
          <c:spPr>
            <a:solidFill>
              <a:schemeClr val="accent2"/>
            </a:solidFill>
          </c:spPr>
          <c:invertIfNegative val="0"/>
          <c:dLbls>
            <c:txPr>
              <a:bodyPr/>
              <a:lstStyle/>
              <a:p>
                <a:pPr>
                  <a:defRPr>
                    <a:latin typeface="標楷體" panose="03000509000000000000" pitchFamily="65" charset="-120"/>
                    <a:ea typeface="標楷體" panose="03000509000000000000" pitchFamily="65" charset="-120"/>
                  </a:defRPr>
                </a:pPr>
                <a:endParaRPr lang="zh-TW"/>
              </a:p>
            </c:txPr>
            <c:showLegendKey val="0"/>
            <c:showVal val="1"/>
            <c:showCatName val="0"/>
            <c:showSerName val="0"/>
            <c:showPercent val="0"/>
            <c:showBubbleSize val="0"/>
            <c:showLeaderLines val="0"/>
          </c:dLbls>
          <c:cat>
            <c:numRef>
              <c:f>工作表1!$A$3:$A$6</c:f>
              <c:numCache>
                <c:formatCode>General</c:formatCode>
                <c:ptCount val="4"/>
                <c:pt idx="0">
                  <c:v>101</c:v>
                </c:pt>
                <c:pt idx="1">
                  <c:v>102</c:v>
                </c:pt>
                <c:pt idx="2">
                  <c:v>103</c:v>
                </c:pt>
                <c:pt idx="3">
                  <c:v>104</c:v>
                </c:pt>
              </c:numCache>
            </c:numRef>
          </c:cat>
          <c:val>
            <c:numRef>
              <c:f>工作表1!$C$3:$C$6</c:f>
              <c:numCache>
                <c:formatCode>General</c:formatCode>
                <c:ptCount val="4"/>
                <c:pt idx="0">
                  <c:v>352</c:v>
                </c:pt>
                <c:pt idx="1">
                  <c:v>281</c:v>
                </c:pt>
                <c:pt idx="2">
                  <c:v>243</c:v>
                </c:pt>
                <c:pt idx="3" formatCode="_-* #,##0_-;\-* #,##0_-;_-* &quot;-&quot;??_-;_-@_-">
                  <c:v>199</c:v>
                </c:pt>
              </c:numCache>
            </c:numRef>
          </c:val>
        </c:ser>
        <c:dLbls>
          <c:showLegendKey val="0"/>
          <c:showVal val="1"/>
          <c:showCatName val="0"/>
          <c:showSerName val="0"/>
          <c:showPercent val="0"/>
          <c:showBubbleSize val="0"/>
        </c:dLbls>
        <c:gapWidth val="150"/>
        <c:axId val="159984128"/>
        <c:axId val="97581824"/>
      </c:barChart>
      <c:catAx>
        <c:axId val="159984128"/>
        <c:scaling>
          <c:orientation val="minMax"/>
        </c:scaling>
        <c:delete val="0"/>
        <c:axPos val="b"/>
        <c:numFmt formatCode="General" sourceLinked="1"/>
        <c:majorTickMark val="out"/>
        <c:minorTickMark val="none"/>
        <c:tickLblPos val="nextTo"/>
        <c:txPr>
          <a:bodyPr/>
          <a:lstStyle/>
          <a:p>
            <a:pPr>
              <a:defRPr>
                <a:latin typeface="標楷體" panose="03000509000000000000" pitchFamily="65" charset="-120"/>
                <a:ea typeface="標楷體" panose="03000509000000000000" pitchFamily="65" charset="-120"/>
              </a:defRPr>
            </a:pPr>
            <a:endParaRPr lang="zh-TW"/>
          </a:p>
        </c:txPr>
        <c:crossAx val="97581824"/>
        <c:crosses val="autoZero"/>
        <c:auto val="1"/>
        <c:lblAlgn val="ctr"/>
        <c:lblOffset val="100"/>
        <c:noMultiLvlLbl val="0"/>
      </c:catAx>
      <c:valAx>
        <c:axId val="97581824"/>
        <c:scaling>
          <c:orientation val="minMax"/>
        </c:scaling>
        <c:delete val="0"/>
        <c:axPos val="l"/>
        <c:majorGridlines/>
        <c:numFmt formatCode="General" sourceLinked="1"/>
        <c:majorTickMark val="out"/>
        <c:minorTickMark val="none"/>
        <c:tickLblPos val="nextTo"/>
        <c:txPr>
          <a:bodyPr/>
          <a:lstStyle/>
          <a:p>
            <a:pPr>
              <a:defRPr>
                <a:latin typeface="標楷體" panose="03000509000000000000" pitchFamily="65" charset="-120"/>
                <a:ea typeface="標楷體" panose="03000509000000000000" pitchFamily="65" charset="-120"/>
              </a:defRPr>
            </a:pPr>
            <a:endParaRPr lang="zh-TW"/>
          </a:p>
        </c:txPr>
        <c:crossAx val="159984128"/>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工作表1!$B$1</c:f>
              <c:strCache>
                <c:ptCount val="1"/>
                <c:pt idx="0">
                  <c:v>國民綜合閱讀率</c:v>
                </c:pt>
              </c:strCache>
            </c:strRef>
          </c:tx>
          <c:dLbls>
            <c:showLegendKey val="0"/>
            <c:showVal val="1"/>
            <c:showCatName val="0"/>
            <c:showSerName val="0"/>
            <c:showPercent val="0"/>
            <c:showBubbleSize val="0"/>
            <c:showLeaderLines val="0"/>
          </c:dLbls>
          <c:cat>
            <c:numRef>
              <c:f>工作表1!$A$2:$A$7</c:f>
              <c:numCache>
                <c:formatCode>General</c:formatCode>
                <c:ptCount val="6"/>
                <c:pt idx="0">
                  <c:v>2011</c:v>
                </c:pt>
                <c:pt idx="1">
                  <c:v>2012</c:v>
                </c:pt>
                <c:pt idx="2">
                  <c:v>2013</c:v>
                </c:pt>
                <c:pt idx="3">
                  <c:v>2014</c:v>
                </c:pt>
                <c:pt idx="4">
                  <c:v>2015</c:v>
                </c:pt>
                <c:pt idx="5">
                  <c:v>2016</c:v>
                </c:pt>
              </c:numCache>
            </c:numRef>
          </c:cat>
          <c:val>
            <c:numRef>
              <c:f>工作表1!$B$2:$B$7</c:f>
              <c:numCache>
                <c:formatCode>General</c:formatCode>
                <c:ptCount val="6"/>
                <c:pt idx="0">
                  <c:v>77.599999999999994</c:v>
                </c:pt>
                <c:pt idx="1">
                  <c:v>76.3</c:v>
                </c:pt>
                <c:pt idx="2">
                  <c:v>76.7</c:v>
                </c:pt>
                <c:pt idx="3">
                  <c:v>78.599999999999994</c:v>
                </c:pt>
                <c:pt idx="4">
                  <c:v>79.599999999999994</c:v>
                </c:pt>
                <c:pt idx="5">
                  <c:v>79.900000000000006</c:v>
                </c:pt>
              </c:numCache>
            </c:numRef>
          </c:val>
          <c:smooth val="0"/>
        </c:ser>
        <c:ser>
          <c:idx val="1"/>
          <c:order val="1"/>
          <c:tx>
            <c:strRef>
              <c:f>工作表1!$C$1</c:f>
              <c:strCache>
                <c:ptCount val="1"/>
                <c:pt idx="0">
                  <c:v>手機閱讀增長率</c:v>
                </c:pt>
              </c:strCache>
            </c:strRef>
          </c:tx>
          <c:dLbls>
            <c:showLegendKey val="0"/>
            <c:showVal val="1"/>
            <c:showCatName val="0"/>
            <c:showSerName val="0"/>
            <c:showPercent val="0"/>
            <c:showBubbleSize val="0"/>
            <c:showLeaderLines val="0"/>
          </c:dLbls>
          <c:cat>
            <c:numRef>
              <c:f>工作表1!$A$2:$A$7</c:f>
              <c:numCache>
                <c:formatCode>General</c:formatCode>
                <c:ptCount val="6"/>
                <c:pt idx="0">
                  <c:v>2011</c:v>
                </c:pt>
                <c:pt idx="1">
                  <c:v>2012</c:v>
                </c:pt>
                <c:pt idx="2">
                  <c:v>2013</c:v>
                </c:pt>
                <c:pt idx="3">
                  <c:v>2014</c:v>
                </c:pt>
                <c:pt idx="4">
                  <c:v>2015</c:v>
                </c:pt>
                <c:pt idx="5">
                  <c:v>2016</c:v>
                </c:pt>
              </c:numCache>
            </c:numRef>
          </c:cat>
          <c:val>
            <c:numRef>
              <c:f>工作表1!$C$2:$C$7</c:f>
              <c:numCache>
                <c:formatCode>General</c:formatCode>
                <c:ptCount val="6"/>
                <c:pt idx="0">
                  <c:v>27.6</c:v>
                </c:pt>
                <c:pt idx="1">
                  <c:v>31.2</c:v>
                </c:pt>
                <c:pt idx="2">
                  <c:v>41.9</c:v>
                </c:pt>
                <c:pt idx="3">
                  <c:v>51.8</c:v>
                </c:pt>
                <c:pt idx="4">
                  <c:v>60</c:v>
                </c:pt>
                <c:pt idx="5">
                  <c:v>66.099999999999994</c:v>
                </c:pt>
              </c:numCache>
            </c:numRef>
          </c:val>
          <c:smooth val="0"/>
        </c:ser>
        <c:dLbls>
          <c:showLegendKey val="0"/>
          <c:showVal val="0"/>
          <c:showCatName val="0"/>
          <c:showSerName val="0"/>
          <c:showPercent val="0"/>
          <c:showBubbleSize val="0"/>
        </c:dLbls>
        <c:marker val="1"/>
        <c:smooth val="0"/>
        <c:axId val="159985152"/>
        <c:axId val="136871936"/>
      </c:lineChart>
      <c:catAx>
        <c:axId val="159985152"/>
        <c:scaling>
          <c:orientation val="minMax"/>
        </c:scaling>
        <c:delete val="0"/>
        <c:axPos val="b"/>
        <c:numFmt formatCode="General" sourceLinked="1"/>
        <c:majorTickMark val="out"/>
        <c:minorTickMark val="none"/>
        <c:tickLblPos val="nextTo"/>
        <c:crossAx val="136871936"/>
        <c:crosses val="autoZero"/>
        <c:auto val="1"/>
        <c:lblAlgn val="ctr"/>
        <c:lblOffset val="100"/>
        <c:noMultiLvlLbl val="0"/>
      </c:catAx>
      <c:valAx>
        <c:axId val="136871936"/>
        <c:scaling>
          <c:orientation val="minMax"/>
        </c:scaling>
        <c:delete val="0"/>
        <c:axPos val="l"/>
        <c:majorGridlines>
          <c:spPr>
            <a:ln>
              <a:solidFill>
                <a:schemeClr val="tx1">
                  <a:lumMod val="15000"/>
                  <a:lumOff val="85000"/>
                </a:schemeClr>
              </a:solidFill>
            </a:ln>
            <a:effectLst/>
          </c:spPr>
        </c:majorGridlines>
        <c:numFmt formatCode="General" sourceLinked="0"/>
        <c:majorTickMark val="out"/>
        <c:minorTickMark val="none"/>
        <c:tickLblPos val="nextTo"/>
        <c:crossAx val="159985152"/>
        <c:crosses val="autoZero"/>
        <c:crossBetween val="between"/>
        <c:majorUnit val="10"/>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823B-F3CC-4466-9EB4-08FC5113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16</Pages>
  <Words>1316</Words>
  <Characters>7502</Characters>
  <Application>Microsoft Office Word</Application>
  <DocSecurity>0</DocSecurity>
  <Lines>62</Lines>
  <Paragraphs>17</Paragraphs>
  <ScaleCrop>false</ScaleCrop>
  <Company>cy</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張蔭廉</dc:creator>
  <cp:lastModifiedBy>stud01</cp:lastModifiedBy>
  <cp:revision>5</cp:revision>
  <cp:lastPrinted>2018-04-03T03:15:00Z</cp:lastPrinted>
  <dcterms:created xsi:type="dcterms:W3CDTF">2019-04-02T08:51:00Z</dcterms:created>
  <dcterms:modified xsi:type="dcterms:W3CDTF">2019-04-02T08:53:00Z</dcterms:modified>
</cp:coreProperties>
</file>