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E08" w:rsidRPr="006A0B36" w:rsidRDefault="00255E08">
      <w:pPr>
        <w:pStyle w:val="a6"/>
        <w:kinsoku w:val="0"/>
        <w:spacing w:before="0"/>
        <w:ind w:leftChars="700" w:left="2381" w:firstLine="0"/>
        <w:rPr>
          <w:bCs/>
          <w:snapToGrid/>
          <w:spacing w:val="200"/>
          <w:kern w:val="0"/>
          <w:sz w:val="40"/>
        </w:rPr>
      </w:pPr>
      <w:r w:rsidRPr="006A0B36">
        <w:rPr>
          <w:rFonts w:hint="eastAsia"/>
          <w:bCs/>
          <w:snapToGrid/>
          <w:spacing w:val="200"/>
          <w:kern w:val="0"/>
          <w:sz w:val="40"/>
        </w:rPr>
        <w:t>調查報告</w:t>
      </w:r>
    </w:p>
    <w:p w:rsidR="001F78CE" w:rsidRPr="00C411BD" w:rsidRDefault="00255E08" w:rsidP="00C411BD">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6A0B36">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7F7A13" w:rsidRPr="006A0B36">
        <w:rPr>
          <w:rFonts w:hint="eastAsia"/>
        </w:rPr>
        <w:t>為衛生福利部辦理我國各類醫事人員之培</w:t>
      </w:r>
      <w:r w:rsidR="00A76C14" w:rsidRPr="006A0B36">
        <w:rPr>
          <w:rFonts w:hint="eastAsia"/>
        </w:rPr>
        <w:t>訓</w:t>
      </w:r>
      <w:r w:rsidR="007F7A13" w:rsidRPr="006A0B36">
        <w:rPr>
          <w:rFonts w:hint="eastAsia"/>
        </w:rPr>
        <w:t>，究有無完整訓練，以確保醫療服務品質</w:t>
      </w:r>
      <w:r w:rsidR="00A76C14" w:rsidRPr="006A0B36">
        <w:rPr>
          <w:rFonts w:hint="eastAsia"/>
        </w:rPr>
        <w:t>與病人安全</w:t>
      </w:r>
      <w:r w:rsidR="007F7A13" w:rsidRPr="006A0B36">
        <w:rPr>
          <w:rFonts w:hint="eastAsia"/>
        </w:rPr>
        <w:t>等情，允有詳加瞭解之必要案。</w:t>
      </w: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p>
    <w:p w:rsidR="00255E08" w:rsidRPr="006A0B36" w:rsidRDefault="00255E08">
      <w:pPr>
        <w:pStyle w:val="1"/>
        <w:ind w:left="2380" w:hanging="2380"/>
      </w:pPr>
      <w:r w:rsidRPr="006A0B36">
        <w:rPr>
          <w:rFonts w:hint="eastAsia"/>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255E08" w:rsidRPr="006A0B36" w:rsidRDefault="007F7A13">
      <w:pPr>
        <w:pStyle w:val="10"/>
        <w:ind w:left="680" w:firstLine="680"/>
        <w:rPr>
          <w:bCs/>
        </w:rPr>
      </w:pPr>
      <w:bookmarkStart w:id="45" w:name="_Toc524902730"/>
      <w:r w:rsidRPr="006A0B36">
        <w:rPr>
          <w:rFonts w:hint="eastAsia"/>
          <w:bCs/>
        </w:rPr>
        <w:t>衛生福利部</w:t>
      </w:r>
      <w:r w:rsidR="001021AD" w:rsidRPr="006A0B36">
        <w:rPr>
          <w:rFonts w:hint="eastAsia"/>
          <w:color w:val="000000"/>
        </w:rPr>
        <w:t>(下稱衛</w:t>
      </w:r>
      <w:r w:rsidR="001021AD" w:rsidRPr="006A0B36">
        <w:rPr>
          <w:rFonts w:hint="eastAsia"/>
        </w:rPr>
        <w:t>福部</w:t>
      </w:r>
      <w:r w:rsidR="001021AD" w:rsidRPr="006A0B36">
        <w:rPr>
          <w:rFonts w:hint="eastAsia"/>
          <w:color w:val="000000"/>
        </w:rPr>
        <w:t>)</w:t>
      </w:r>
      <w:r w:rsidRPr="006A0B36">
        <w:rPr>
          <w:rFonts w:hint="eastAsia"/>
          <w:bCs/>
        </w:rPr>
        <w:t>辦理我國各類醫事人員之培</w:t>
      </w:r>
      <w:r w:rsidR="00A76C14" w:rsidRPr="006A0B36">
        <w:rPr>
          <w:rFonts w:hint="eastAsia"/>
          <w:bCs/>
        </w:rPr>
        <w:t>訓</w:t>
      </w:r>
      <w:r w:rsidRPr="006A0B36">
        <w:rPr>
          <w:rFonts w:hint="eastAsia"/>
          <w:bCs/>
        </w:rPr>
        <w:t>，究有無完整訓練，以確保醫療服務品質</w:t>
      </w:r>
      <w:r w:rsidR="00A76C14" w:rsidRPr="006A0B36">
        <w:rPr>
          <w:rFonts w:hint="eastAsia"/>
        </w:rPr>
        <w:t>與病人安全</w:t>
      </w:r>
      <w:r w:rsidRPr="006A0B36">
        <w:rPr>
          <w:rFonts w:hint="eastAsia"/>
          <w:bCs/>
        </w:rPr>
        <w:t>等情，允有詳加瞭解之必要。</w:t>
      </w:r>
      <w:r w:rsidR="003C7A30" w:rsidRPr="006A0B36">
        <w:rPr>
          <w:rFonts w:hint="eastAsia"/>
        </w:rPr>
        <w:t>案經</w:t>
      </w:r>
      <w:r w:rsidR="00D5764C" w:rsidRPr="006A0B36">
        <w:rPr>
          <w:rFonts w:hint="eastAsia"/>
        </w:rPr>
        <w:t>本院於</w:t>
      </w:r>
      <w:r w:rsidR="00F63D43" w:rsidRPr="006A0B36">
        <w:rPr>
          <w:rFonts w:hint="eastAsia"/>
        </w:rPr>
        <w:t>民國(下同)</w:t>
      </w:r>
      <w:r w:rsidR="00093A9D" w:rsidRPr="006A0B36">
        <w:rPr>
          <w:rFonts w:hint="eastAsia"/>
        </w:rPr>
        <w:t xml:space="preserve"> 106年2月23日、7月20日、11月21日三</w:t>
      </w:r>
      <w:r w:rsidR="00F63D43" w:rsidRPr="006A0B36">
        <w:rPr>
          <w:rFonts w:hint="eastAsia"/>
        </w:rPr>
        <w:t>度</w:t>
      </w:r>
      <w:r w:rsidR="003C7A30" w:rsidRPr="006A0B36">
        <w:rPr>
          <w:rFonts w:hint="eastAsia"/>
        </w:rPr>
        <w:t>向</w:t>
      </w:r>
      <w:r w:rsidR="003C7A30" w:rsidRPr="006A0B36">
        <w:rPr>
          <w:rFonts w:hint="eastAsia"/>
          <w:color w:val="000000"/>
        </w:rPr>
        <w:t>衛</w:t>
      </w:r>
      <w:r w:rsidR="003C7A30" w:rsidRPr="006A0B36">
        <w:rPr>
          <w:rFonts w:hint="eastAsia"/>
        </w:rPr>
        <w:t>福部</w:t>
      </w:r>
      <w:r w:rsidR="003C7A30" w:rsidRPr="006A0B36">
        <w:rPr>
          <w:rFonts w:hint="eastAsia"/>
          <w:bCs/>
        </w:rPr>
        <w:t>調閱相關卷證資料，並</w:t>
      </w:r>
      <w:r w:rsidR="003C7A30" w:rsidRPr="006A0B36">
        <w:rPr>
          <w:rFonts w:hint="eastAsia"/>
          <w:bCs/>
        </w:rPr>
        <w:lastRenderedPageBreak/>
        <w:t>詢問該部</w:t>
      </w:r>
      <w:r w:rsidR="003C7A30" w:rsidRPr="006A0B36">
        <w:rPr>
          <w:rFonts w:ascii="Times New Roman"/>
          <w:color w:val="000000"/>
        </w:rPr>
        <w:t>相關</w:t>
      </w:r>
      <w:r w:rsidR="003C7A30" w:rsidRPr="006A0B36">
        <w:rPr>
          <w:rFonts w:ascii="Times New Roman" w:hint="eastAsia"/>
          <w:color w:val="000000"/>
        </w:rPr>
        <w:t>主管</w:t>
      </w:r>
      <w:r w:rsidR="003C7A30" w:rsidRPr="006A0B36">
        <w:rPr>
          <w:rFonts w:ascii="Times New Roman"/>
          <w:color w:val="000000"/>
        </w:rPr>
        <w:t>人員，</w:t>
      </w:r>
      <w:r w:rsidR="003C55FE" w:rsidRPr="006A0B36">
        <w:rPr>
          <w:rFonts w:ascii="Times New Roman" w:hint="eastAsia"/>
          <w:color w:val="000000"/>
        </w:rPr>
        <w:t>又就案涉議題舉辦</w:t>
      </w:r>
      <w:r w:rsidR="003C55FE" w:rsidRPr="006A0B36">
        <w:rPr>
          <w:rFonts w:ascii="Times New Roman" w:hint="eastAsia"/>
          <w:color w:val="000000"/>
        </w:rPr>
        <w:t>4</w:t>
      </w:r>
      <w:r w:rsidR="003C55FE" w:rsidRPr="006A0B36">
        <w:rPr>
          <w:rFonts w:ascii="Times New Roman" w:hint="eastAsia"/>
          <w:color w:val="000000"/>
        </w:rPr>
        <w:t>場專家學者諮詢會議，且分別赴</w:t>
      </w:r>
      <w:r w:rsidR="005A5898" w:rsidRPr="006A0B36">
        <w:rPr>
          <w:rFonts w:ascii="Times New Roman" w:hint="eastAsia"/>
          <w:color w:val="000000"/>
        </w:rPr>
        <w:t>北區之</w:t>
      </w:r>
      <w:r w:rsidR="00AD0054" w:rsidRPr="006A0B36">
        <w:rPr>
          <w:rFonts w:ascii="Times New Roman" w:hint="eastAsia"/>
          <w:color w:val="000000"/>
        </w:rPr>
        <w:t>臺北市</w:t>
      </w:r>
      <w:r w:rsidR="005A5898" w:rsidRPr="006A0B36">
        <w:rPr>
          <w:rFonts w:ascii="Times New Roman" w:hint="eastAsia"/>
          <w:color w:val="000000"/>
        </w:rPr>
        <w:t>、中區之</w:t>
      </w:r>
      <w:r w:rsidR="00AD0054" w:rsidRPr="006A0B36">
        <w:rPr>
          <w:rFonts w:ascii="Times New Roman" w:hint="eastAsia"/>
          <w:color w:val="000000"/>
        </w:rPr>
        <w:t>臺中市</w:t>
      </w:r>
      <w:r w:rsidR="005A5898" w:rsidRPr="006A0B36">
        <w:rPr>
          <w:rFonts w:ascii="Times New Roman" w:hint="eastAsia"/>
          <w:color w:val="000000"/>
        </w:rPr>
        <w:t>、彰化縣及南區</w:t>
      </w:r>
      <w:r w:rsidR="00AD0054" w:rsidRPr="006A0B36">
        <w:rPr>
          <w:rFonts w:ascii="Times New Roman" w:hint="eastAsia"/>
          <w:color w:val="000000"/>
        </w:rPr>
        <w:t>臺南市</w:t>
      </w:r>
      <w:r w:rsidR="005A5898" w:rsidRPr="006A0B36">
        <w:rPr>
          <w:rFonts w:ascii="Times New Roman" w:hint="eastAsia"/>
          <w:color w:val="000000"/>
        </w:rPr>
        <w:t>、屏東縣</w:t>
      </w:r>
      <w:r w:rsidR="003C55FE" w:rsidRPr="006A0B36">
        <w:rPr>
          <w:rFonts w:ascii="Times New Roman" w:hint="eastAsia"/>
          <w:color w:val="000000"/>
        </w:rPr>
        <w:t>之教學醫院實地訪查學員</w:t>
      </w:r>
      <w:r w:rsidR="003C55FE" w:rsidRPr="006A0B36">
        <w:rPr>
          <w:rFonts w:hint="eastAsia"/>
          <w:bCs/>
        </w:rPr>
        <w:t>培訓現況；</w:t>
      </w:r>
      <w:r w:rsidR="003C7A30" w:rsidRPr="006A0B36">
        <w:rPr>
          <w:rFonts w:ascii="Times New Roman" w:hint="eastAsia"/>
          <w:color w:val="000000"/>
        </w:rPr>
        <w:t>茲已釐清案情竣事，爰</w:t>
      </w:r>
      <w:r w:rsidR="003C7A30" w:rsidRPr="006A0B36">
        <w:rPr>
          <w:rFonts w:ascii="Times New Roman"/>
          <w:color w:val="000000"/>
        </w:rPr>
        <w:t>臚述調查</w:t>
      </w:r>
      <w:r w:rsidR="00D15589" w:rsidRPr="006A0B36">
        <w:rPr>
          <w:rFonts w:ascii="Times New Roman" w:hint="eastAsia"/>
          <w:color w:val="000000"/>
        </w:rPr>
        <w:t>意見</w:t>
      </w:r>
      <w:r w:rsidR="003C7A30" w:rsidRPr="006A0B36">
        <w:rPr>
          <w:rFonts w:ascii="Times New Roman"/>
          <w:color w:val="000000"/>
        </w:rPr>
        <w:t>如下：</w:t>
      </w:r>
    </w:p>
    <w:p w:rsidR="008F4C27" w:rsidRPr="006A0B36" w:rsidRDefault="00564621" w:rsidP="008F4C27">
      <w:pPr>
        <w:pStyle w:val="2"/>
        <w:rPr>
          <w:b/>
        </w:rPr>
      </w:pPr>
      <w:bookmarkStart w:id="46" w:name="_Toc2400393"/>
      <w:bookmarkStart w:id="47" w:name="_Toc4316187"/>
      <w:bookmarkStart w:id="48" w:name="_Toc4473328"/>
      <w:bookmarkStart w:id="49" w:name="_Toc69556895"/>
      <w:bookmarkStart w:id="50" w:name="_Toc69556944"/>
      <w:bookmarkStart w:id="51" w:name="_Toc69609818"/>
      <w:bookmarkStart w:id="52" w:name="_Toc70241814"/>
      <w:bookmarkStart w:id="53" w:name="_Toc70242203"/>
      <w:r w:rsidRPr="006A0B36">
        <w:rPr>
          <w:rFonts w:hint="eastAsia"/>
          <w:b/>
        </w:rPr>
        <w:t>行政院衛生署</w:t>
      </w:r>
      <w:r w:rsidR="00F63D43" w:rsidRPr="006A0B36">
        <w:rPr>
          <w:rFonts w:hint="eastAsia"/>
          <w:b/>
        </w:rPr>
        <w:t>自96年7月開始實施</w:t>
      </w:r>
      <w:r w:rsidR="008F4C27" w:rsidRPr="006A0B36">
        <w:rPr>
          <w:rFonts w:hint="eastAsia"/>
          <w:b/>
        </w:rPr>
        <w:t>各類醫事人員之培訓計畫，</w:t>
      </w:r>
      <w:r w:rsidR="0037465A" w:rsidRPr="006A0B36">
        <w:rPr>
          <w:rFonts w:hint="eastAsia"/>
          <w:b/>
        </w:rPr>
        <w:t>惟</w:t>
      </w:r>
      <w:r w:rsidR="00BC65E8" w:rsidRPr="006A0B36">
        <w:rPr>
          <w:rFonts w:hint="eastAsia"/>
          <w:b/>
        </w:rPr>
        <w:t>除西醫師、中醫師、牙醫師外，</w:t>
      </w:r>
      <w:r w:rsidR="008E4121" w:rsidRPr="006A0B36">
        <w:rPr>
          <w:rFonts w:hint="eastAsia"/>
          <w:b/>
        </w:rPr>
        <w:t>其</w:t>
      </w:r>
      <w:r w:rsidR="00BC65E8" w:rsidRPr="006A0B36">
        <w:rPr>
          <w:rFonts w:hint="eastAsia"/>
          <w:b/>
        </w:rPr>
        <w:t>他</w:t>
      </w:r>
      <w:r w:rsidR="008E4121" w:rsidRPr="006A0B36">
        <w:rPr>
          <w:rFonts w:hint="eastAsia"/>
          <w:b/>
          <w:szCs w:val="32"/>
        </w:rPr>
        <w:t>14類</w:t>
      </w:r>
      <w:r w:rsidR="008E4121" w:rsidRPr="006A0B36">
        <w:rPr>
          <w:rFonts w:hint="eastAsia"/>
          <w:b/>
        </w:rPr>
        <w:t>新進醫事人員之整體受益人數未及半數，而有幸參訓人員又僅侷限</w:t>
      </w:r>
      <w:r w:rsidR="007E2D06">
        <w:rPr>
          <w:rFonts w:hint="eastAsia"/>
          <w:b/>
        </w:rPr>
        <w:t>於約三分之二</w:t>
      </w:r>
      <w:r w:rsidR="008E4121" w:rsidRPr="006A0B36">
        <w:rPr>
          <w:rFonts w:hint="eastAsia"/>
          <w:b/>
        </w:rPr>
        <w:t>任職於教學醫院者，故</w:t>
      </w:r>
      <w:r w:rsidR="0037465A" w:rsidRPr="006A0B36">
        <w:rPr>
          <w:rFonts w:hint="eastAsia"/>
          <w:b/>
        </w:rPr>
        <w:t>執行迄今</w:t>
      </w:r>
      <w:r w:rsidR="00093A9D" w:rsidRPr="006A0B36">
        <w:rPr>
          <w:rFonts w:hint="eastAsia"/>
          <w:b/>
        </w:rPr>
        <w:t>已逾10年</w:t>
      </w:r>
      <w:r w:rsidR="0037465A" w:rsidRPr="006A0B36">
        <w:rPr>
          <w:rFonts w:hint="eastAsia"/>
          <w:b/>
        </w:rPr>
        <w:t>，</w:t>
      </w:r>
      <w:r w:rsidR="003609E0" w:rsidRPr="006A0B36">
        <w:rPr>
          <w:rFonts w:hint="eastAsia"/>
          <w:b/>
        </w:rPr>
        <w:t>猶</w:t>
      </w:r>
      <w:r w:rsidR="00AF4A64" w:rsidRPr="006A0B36">
        <w:rPr>
          <w:rFonts w:hint="eastAsia"/>
          <w:b/>
        </w:rPr>
        <w:t>未</w:t>
      </w:r>
      <w:r w:rsidR="00392470" w:rsidRPr="006A0B36">
        <w:rPr>
          <w:rFonts w:hint="eastAsia"/>
          <w:b/>
        </w:rPr>
        <w:t>能</w:t>
      </w:r>
      <w:r w:rsidR="00AF4A64" w:rsidRPr="006A0B36">
        <w:rPr>
          <w:rFonts w:hint="eastAsia"/>
          <w:b/>
        </w:rPr>
        <w:t>達成</w:t>
      </w:r>
      <w:r w:rsidR="008F4C27" w:rsidRPr="006A0B36">
        <w:rPr>
          <w:rFonts w:hint="eastAsia"/>
          <w:b/>
        </w:rPr>
        <w:t>原規劃</w:t>
      </w:r>
      <w:r w:rsidR="00AF4A64" w:rsidRPr="006A0B36">
        <w:rPr>
          <w:rFonts w:hint="eastAsia"/>
          <w:b/>
        </w:rPr>
        <w:t>提升醫療品質及確保病</w:t>
      </w:r>
      <w:r w:rsidR="00F35BAE" w:rsidRPr="006A0B36">
        <w:rPr>
          <w:rFonts w:hint="eastAsia"/>
          <w:b/>
        </w:rPr>
        <w:t>人</w:t>
      </w:r>
      <w:r w:rsidR="00AF4A64" w:rsidRPr="006A0B36">
        <w:rPr>
          <w:rFonts w:hint="eastAsia"/>
          <w:b/>
        </w:rPr>
        <w:t>安全</w:t>
      </w:r>
      <w:r w:rsidR="008F4C27" w:rsidRPr="006A0B36">
        <w:rPr>
          <w:rFonts w:hint="eastAsia"/>
          <w:b/>
        </w:rPr>
        <w:t>目標，</w:t>
      </w:r>
      <w:r w:rsidR="00A300EA" w:rsidRPr="006A0B36">
        <w:rPr>
          <w:rFonts w:hint="eastAsia"/>
          <w:b/>
        </w:rPr>
        <w:t>遑論</w:t>
      </w:r>
      <w:r w:rsidR="00A300EA" w:rsidRPr="006A0B36">
        <w:rPr>
          <w:rFonts w:hint="eastAsia"/>
          <w:b/>
        </w:rPr>
        <w:lastRenderedPageBreak/>
        <w:t>落實全人照顧之理念，</w:t>
      </w:r>
      <w:r w:rsidR="00AF4A64" w:rsidRPr="006A0B36">
        <w:rPr>
          <w:rFonts w:hint="eastAsia"/>
          <w:b/>
        </w:rPr>
        <w:t>顯</w:t>
      </w:r>
      <w:r w:rsidR="008F4C27" w:rsidRPr="006A0B36">
        <w:rPr>
          <w:rFonts w:hint="eastAsia"/>
          <w:b/>
        </w:rPr>
        <w:t>有欠當：</w:t>
      </w:r>
    </w:p>
    <w:p w:rsidR="004E21FF" w:rsidRPr="006A0B36" w:rsidRDefault="004E21FF" w:rsidP="004E21FF">
      <w:pPr>
        <w:pStyle w:val="3"/>
        <w:ind w:left="1360" w:hanging="680"/>
      </w:pPr>
      <w:r w:rsidRPr="006A0B36">
        <w:rPr>
          <w:rFonts w:hint="eastAsia"/>
        </w:rPr>
        <w:t>查衛福部提供本院有關我國各類醫事人員培訓計畫之緣起、目標</w:t>
      </w:r>
      <w:r w:rsidRPr="006A0B36">
        <w:rPr>
          <w:rStyle w:val="af5"/>
        </w:rPr>
        <w:footnoteReference w:id="1"/>
      </w:r>
      <w:r w:rsidRPr="006A0B36">
        <w:rPr>
          <w:rFonts w:hint="eastAsia"/>
        </w:rPr>
        <w:t>如下：</w:t>
      </w:r>
    </w:p>
    <w:p w:rsidR="004E21FF" w:rsidRPr="006A0B36" w:rsidRDefault="004E21FF" w:rsidP="004E21FF">
      <w:pPr>
        <w:pStyle w:val="4"/>
        <w:ind w:left="1700" w:hanging="680"/>
      </w:pPr>
      <w:r w:rsidRPr="006A0B36">
        <w:rPr>
          <w:rFonts w:hint="eastAsia"/>
        </w:rPr>
        <w:t>衛生人力是醫療資源、最重要的部分，而當中又以醫師人力資源最為寶貴，除因其培育時間長、成本耗用高之外，醫師常為醫療團隊之領導者，故醫師人力之數量與素質更是深切影響醫療服務品質之最直接因素，因此負責培育住院醫師之教學醫院，實有提供其良好之臨床訓練場所及教</w:t>
      </w:r>
      <w:r w:rsidRPr="006A0B36">
        <w:rPr>
          <w:rFonts w:hint="eastAsia"/>
        </w:rPr>
        <w:lastRenderedPageBreak/>
        <w:t>學資源之責任與使命。另為確保醫事人員開(執)業品質，醫療法、專科醫師分科及甄審辦法及各類醫事人員法規，均訂有醫事人員需於教學醫院接受2年至6年不等年數訓練之規定，俾使醫療機構新進醫事人員均能接受必要之訓練，達成提升醫療品質及確保病人安全之目標。</w:t>
      </w:r>
    </w:p>
    <w:p w:rsidR="004E21FF" w:rsidRPr="006A0B36" w:rsidRDefault="004E21FF" w:rsidP="004E21FF">
      <w:pPr>
        <w:pStyle w:val="4"/>
        <w:ind w:left="1700" w:hanging="680"/>
      </w:pPr>
      <w:r w:rsidRPr="006A0B36">
        <w:rPr>
          <w:rFonts w:hint="eastAsia"/>
        </w:rPr>
        <w:t>鑑於92 年國內發生SARS 疫情暴露我國醫療體系及醫學教育體系多年的缺失，在疫情趨穩之後，行政院衛生署(下稱原衛生署，係於102年7月23日改制為衛福部)深感臨床醫師養成訓練之重要，經檢討後，對於醫學教育提出</w:t>
      </w:r>
      <w:r w:rsidRPr="006A0B36">
        <w:rPr>
          <w:rFonts w:hint="eastAsia"/>
        </w:rPr>
        <w:lastRenderedPageBreak/>
        <w:t>一系列重整臨床醫師養成訓練改革計畫，</w:t>
      </w:r>
      <w:r w:rsidR="00CD5C7B">
        <w:rPr>
          <w:rFonts w:hint="eastAsia"/>
        </w:rPr>
        <w:t>藉</w:t>
      </w:r>
      <w:r w:rsidRPr="006A0B36">
        <w:rPr>
          <w:rFonts w:hint="eastAsia"/>
        </w:rPr>
        <w:t>以提升國內教學醫院之教學品質。</w:t>
      </w:r>
      <w:r w:rsidR="00093A9D" w:rsidRPr="006A0B36">
        <w:rPr>
          <w:rFonts w:hint="eastAsia"/>
        </w:rPr>
        <w:t>而教學醫院為訓練醫師及各類醫事人員之主要場所，為使新進醫事人員獲得良好之訓練，教學醫院之訓練師資人力及教學活動品質，更顯得重要。</w:t>
      </w:r>
    </w:p>
    <w:p w:rsidR="009B6145" w:rsidRPr="006A0B36" w:rsidRDefault="009B6145" w:rsidP="00F63D43">
      <w:pPr>
        <w:pStyle w:val="4"/>
        <w:ind w:left="1700" w:hanging="680"/>
      </w:pPr>
      <w:r w:rsidRPr="006A0B36">
        <w:rPr>
          <w:rFonts w:hint="eastAsia"/>
          <w:color w:val="000000"/>
        </w:rPr>
        <w:t>原衛生署</w:t>
      </w:r>
      <w:r w:rsidRPr="006A0B36">
        <w:rPr>
          <w:rFonts w:hint="eastAsia"/>
        </w:rPr>
        <w:t>委託財團法人醫院評鑑暨醫療品質策進會（下稱醫策會）規劃醫事人員畢業後臨床訓練制度，銜接學校教育與畢業後之臨床教育，使新進的醫事人員，在既有學校教育為基礎之下，於資深臨床教師指導下接受規範化的專業訓練，培養專業核心能力，以獲得獨立照護實踐能力，</w:t>
      </w:r>
      <w:r w:rsidRPr="006A0B36">
        <w:rPr>
          <w:rFonts w:hint="eastAsia"/>
        </w:rPr>
        <w:lastRenderedPageBreak/>
        <w:t>確保醫療服務品質。</w:t>
      </w:r>
    </w:p>
    <w:p w:rsidR="004E21FF" w:rsidRPr="006A0B36" w:rsidRDefault="004E21FF" w:rsidP="00F63D43">
      <w:pPr>
        <w:pStyle w:val="4"/>
        <w:ind w:left="1700" w:hanging="680"/>
      </w:pPr>
      <w:r w:rsidRPr="006A0B36">
        <w:rPr>
          <w:rFonts w:hint="eastAsia"/>
        </w:rPr>
        <w:t>原衛生署於96年7月開始實施教學醫院教學費用補助計畫，建立護理人員等14類之二年畢業後一般醫學訓練制度。原計畫名稱「教學醫院教學費用補助計畫」(下稱教補計畫)係以預算編列執行之變革而命名，然其名稱無法彰顯整體計畫執行目標，且易造成錯誤解讀，而於100年度修正名稱為「臨床醫事人員培訓計畫」</w:t>
      </w:r>
      <w:r w:rsidR="00D5764C" w:rsidRPr="006A0B36">
        <w:rPr>
          <w:rFonts w:hint="eastAsia"/>
        </w:rPr>
        <w:t>(下稱醫培計畫)</w:t>
      </w:r>
      <w:r w:rsidRPr="006A0B36">
        <w:rPr>
          <w:rFonts w:hint="eastAsia"/>
        </w:rPr>
        <w:t>。</w:t>
      </w:r>
    </w:p>
    <w:p w:rsidR="004E21FF" w:rsidRPr="006A0B36" w:rsidRDefault="004E21FF" w:rsidP="00F63D43">
      <w:pPr>
        <w:pStyle w:val="4"/>
        <w:ind w:left="1700" w:hanging="680"/>
      </w:pPr>
      <w:r w:rsidRPr="006A0B36">
        <w:rPr>
          <w:rFonts w:hint="eastAsia"/>
        </w:rPr>
        <w:t>醫培計畫之總目標：本計畫為補助教學醫院培訓具醫療專業核心能力，且符合社會需求之醫師及各類醫事人員。</w:t>
      </w:r>
      <w:r w:rsidRPr="006A0B36">
        <w:rPr>
          <w:rFonts w:hint="eastAsia"/>
        </w:rPr>
        <w:lastRenderedPageBreak/>
        <w:t>預期效益包括:</w:t>
      </w:r>
    </w:p>
    <w:p w:rsidR="004E21FF" w:rsidRPr="006A0B36" w:rsidRDefault="004E21FF" w:rsidP="00F63D43">
      <w:pPr>
        <w:pStyle w:val="5"/>
        <w:ind w:left="2041" w:hanging="680"/>
      </w:pPr>
      <w:r w:rsidRPr="006A0B36">
        <w:rPr>
          <w:rFonts w:hint="eastAsia"/>
        </w:rPr>
        <w:t>建構良好之教學環境：包括良好師資之培育制度、適當之師生人力比例及教學場所等。</w:t>
      </w:r>
    </w:p>
    <w:p w:rsidR="004E21FF" w:rsidRPr="006A0B36" w:rsidRDefault="004E21FF" w:rsidP="00F63D43">
      <w:pPr>
        <w:pStyle w:val="5"/>
        <w:ind w:left="2041" w:hanging="680"/>
      </w:pPr>
      <w:r w:rsidRPr="006A0B36">
        <w:rPr>
          <w:rFonts w:hint="eastAsia"/>
        </w:rPr>
        <w:t>提升醫事人員知能：籍由強化教學活動內容，建立院際間之觀摩合作，增加醫事人員學習機會，提升其技能。</w:t>
      </w:r>
    </w:p>
    <w:p w:rsidR="004E21FF" w:rsidRPr="006A0B36" w:rsidRDefault="004E21FF" w:rsidP="00F63D43">
      <w:pPr>
        <w:pStyle w:val="5"/>
        <w:ind w:left="2041" w:hanging="680"/>
      </w:pPr>
      <w:r w:rsidRPr="006A0B36">
        <w:rPr>
          <w:rFonts w:hint="eastAsia"/>
        </w:rPr>
        <w:t>落實全人照顧之理念：藉由計畫之獎勵措施，激勵醫院研擬優良教學方案與團隊照護模式，逐步推動以病人為中心之照護模式。</w:t>
      </w:r>
    </w:p>
    <w:p w:rsidR="0037465A" w:rsidRPr="006A0B36" w:rsidRDefault="009B6145" w:rsidP="00864F92">
      <w:pPr>
        <w:pStyle w:val="3"/>
      </w:pPr>
      <w:r w:rsidRPr="006A0B36">
        <w:rPr>
          <w:rFonts w:hint="eastAsia"/>
        </w:rPr>
        <w:t>次查</w:t>
      </w:r>
      <w:r w:rsidR="00DC60CE" w:rsidRPr="006A0B36">
        <w:rPr>
          <w:rFonts w:hint="eastAsia"/>
        </w:rPr>
        <w:t>上述</w:t>
      </w:r>
      <w:r w:rsidR="00BA73DE" w:rsidRPr="006A0B36">
        <w:rPr>
          <w:rFonts w:hint="eastAsia"/>
        </w:rPr>
        <w:t>教補計畫</w:t>
      </w:r>
      <w:r w:rsidR="00DC60CE" w:rsidRPr="006A0B36">
        <w:rPr>
          <w:rFonts w:hint="eastAsia"/>
        </w:rPr>
        <w:t>或</w:t>
      </w:r>
      <w:r w:rsidR="000D128C" w:rsidRPr="006A0B36">
        <w:rPr>
          <w:rFonts w:hint="eastAsia"/>
        </w:rPr>
        <w:t>醫培計畫</w:t>
      </w:r>
      <w:r w:rsidR="00DC60CE" w:rsidRPr="006A0B36">
        <w:rPr>
          <w:rFonts w:hint="eastAsia"/>
        </w:rPr>
        <w:t>之</w:t>
      </w:r>
      <w:r w:rsidR="00BA73DE" w:rsidRPr="006A0B36">
        <w:rPr>
          <w:rFonts w:hint="eastAsia"/>
        </w:rPr>
        <w:t>主要目的係為鼓勵教學</w:t>
      </w:r>
      <w:r w:rsidR="00BA73DE" w:rsidRPr="006A0B36">
        <w:rPr>
          <w:rFonts w:hint="eastAsia"/>
        </w:rPr>
        <w:lastRenderedPageBreak/>
        <w:t>醫院投入資源從事師資培訓、教學活動內容，提供良好之訓練場所，使新進醫事人員透過制度化的訓練，提升醫療專業核心能力，培訓符合社會需求之醫師及各類醫事人員，補助對象除西醫師</w:t>
      </w:r>
      <w:r w:rsidR="00633727" w:rsidRPr="006A0B36">
        <w:rPr>
          <w:rFonts w:hint="eastAsia"/>
        </w:rPr>
        <w:t>、中醫師、牙醫師</w:t>
      </w:r>
      <w:r w:rsidR="00BA73DE" w:rsidRPr="006A0B36">
        <w:rPr>
          <w:rFonts w:hint="eastAsia"/>
        </w:rPr>
        <w:t>外，</w:t>
      </w:r>
      <w:r w:rsidR="00633727" w:rsidRPr="006A0B36">
        <w:rPr>
          <w:rFonts w:hint="eastAsia"/>
        </w:rPr>
        <w:t>包括藥師、藥劑生、護理師、護士、物理治療師、物理治療生、職能治療師、職能治療生、醫事檢驗師、醫事檢驗生、醫事放射師、醫事放射士、營養師、助產師、助產士、心理師、呼吸治療師、語言治療師、聽力師、牙體技術師及牙體技術生</w:t>
      </w:r>
      <w:r w:rsidR="00633727" w:rsidRPr="006A0B36">
        <w:rPr>
          <w:rStyle w:val="af5"/>
        </w:rPr>
        <w:footnoteReference w:id="2"/>
      </w:r>
      <w:r w:rsidR="00BA73DE" w:rsidRPr="006A0B36">
        <w:rPr>
          <w:rFonts w:hint="eastAsia"/>
        </w:rPr>
        <w:t>等</w:t>
      </w:r>
      <w:r w:rsidR="00633727" w:rsidRPr="006A0B36">
        <w:rPr>
          <w:rFonts w:hint="eastAsia"/>
        </w:rPr>
        <w:t>14類</w:t>
      </w:r>
      <w:r w:rsidR="00BA73DE" w:rsidRPr="006A0B36">
        <w:rPr>
          <w:rFonts w:hint="eastAsia"/>
        </w:rPr>
        <w:t>醫事人</w:t>
      </w:r>
      <w:r w:rsidR="00BA73DE" w:rsidRPr="006A0B36">
        <w:rPr>
          <w:rFonts w:hint="eastAsia"/>
        </w:rPr>
        <w:lastRenderedPageBreak/>
        <w:t>員(如附圖1)，考量教學醫院亦需投注相當資源，故亦納入補助範圍。</w:t>
      </w:r>
      <w:r w:rsidR="00864F92">
        <w:rPr>
          <w:rFonts w:hint="eastAsia"/>
        </w:rPr>
        <w:t>而</w:t>
      </w:r>
      <w:r w:rsidR="00864F92" w:rsidRPr="006A0B36">
        <w:rPr>
          <w:rFonts w:hint="eastAsia"/>
        </w:rPr>
        <w:t>衛福部</w:t>
      </w:r>
      <w:r w:rsidR="00864F92">
        <w:rPr>
          <w:rFonts w:hint="eastAsia"/>
        </w:rPr>
        <w:t>查復本院之函文</w:t>
      </w:r>
      <w:r w:rsidR="0030755C">
        <w:rPr>
          <w:rStyle w:val="af5"/>
        </w:rPr>
        <w:footnoteReference w:id="3"/>
      </w:r>
      <w:r w:rsidR="00864F92">
        <w:rPr>
          <w:rFonts w:hint="eastAsia"/>
        </w:rPr>
        <w:t>，亦明確指出</w:t>
      </w:r>
      <w:r w:rsidR="00864F92" w:rsidRPr="00864F92">
        <w:rPr>
          <w:rFonts w:hint="eastAsia"/>
        </w:rPr>
        <w:t>辦理醫培計畫之重要性為「醫事人員如未經過完整的臨床訓練即參與醫療照護，將嚴重危害病人之安全，故應對於新進醫事人員，給予1-2年臨床訓練，民眾才可接受到安全且有品質的醫療服務。」</w:t>
      </w:r>
    </w:p>
    <w:p w:rsidR="00F53D37" w:rsidRPr="006A0B36" w:rsidRDefault="00F53D37" w:rsidP="00F53D37">
      <w:pPr>
        <w:pStyle w:val="3"/>
        <w:ind w:left="1360" w:hanging="680"/>
      </w:pPr>
      <w:r w:rsidRPr="006A0B36">
        <w:rPr>
          <w:rFonts w:hint="eastAsia"/>
        </w:rPr>
        <w:t>又查衛福部提供之96年至105年執行</w:t>
      </w:r>
      <w:r w:rsidRPr="006A0B36">
        <w:rPr>
          <w:rFonts w:hint="eastAsia"/>
          <w:szCs w:val="32"/>
        </w:rPr>
        <w:t>14類</w:t>
      </w:r>
      <w:r w:rsidRPr="006A0B36">
        <w:rPr>
          <w:rFonts w:hint="eastAsia"/>
        </w:rPr>
        <w:t>醫事人員培訓計畫覆蓋率統計表(如附表1)顯示，96年至105年執行本計</w:t>
      </w:r>
      <w:r w:rsidRPr="006A0B36">
        <w:rPr>
          <w:rFonts w:hint="eastAsia"/>
        </w:rPr>
        <w:lastRenderedPageBreak/>
        <w:t>畫覆蓋率界於28.07%~71.20%，上述10年之平均覆蓋率僅為48.23%，亦即受益之</w:t>
      </w:r>
      <w:r w:rsidRPr="006A0B36">
        <w:rPr>
          <w:rFonts w:hint="eastAsia"/>
          <w:szCs w:val="32"/>
        </w:rPr>
        <w:t>14類</w:t>
      </w:r>
      <w:r w:rsidRPr="006A0B36">
        <w:rPr>
          <w:rFonts w:hint="eastAsia"/>
        </w:rPr>
        <w:t>新進醫事人員未及半數。</w:t>
      </w:r>
      <w:r w:rsidR="007E2D06">
        <w:rPr>
          <w:rFonts w:hint="eastAsia"/>
        </w:rPr>
        <w:t>其中身為面對病患</w:t>
      </w:r>
      <w:r w:rsidR="00C144DF">
        <w:rPr>
          <w:rFonts w:hint="eastAsia"/>
        </w:rPr>
        <w:t>或照護對象提供第一線服務</w:t>
      </w:r>
      <w:r w:rsidR="007E2D06">
        <w:rPr>
          <w:rFonts w:hint="eastAsia"/>
        </w:rPr>
        <w:t>之護理人員，其</w:t>
      </w:r>
      <w:r w:rsidR="007E2D06" w:rsidRPr="006A0B36">
        <w:rPr>
          <w:rFonts w:hint="eastAsia"/>
        </w:rPr>
        <w:t>平均覆蓋率</w:t>
      </w:r>
      <w:r w:rsidR="007E2D06">
        <w:rPr>
          <w:rFonts w:hint="eastAsia"/>
        </w:rPr>
        <w:t>雖稍高，但亦</w:t>
      </w:r>
      <w:r w:rsidR="007E2D06" w:rsidRPr="006A0B36">
        <w:rPr>
          <w:rFonts w:hint="eastAsia"/>
        </w:rPr>
        <w:t>僅為</w:t>
      </w:r>
      <w:r w:rsidR="007E2D06">
        <w:rPr>
          <w:rFonts w:hint="eastAsia"/>
        </w:rPr>
        <w:t>55</w:t>
      </w:r>
      <w:r w:rsidR="007E2D06" w:rsidRPr="006A0B36">
        <w:rPr>
          <w:rFonts w:hint="eastAsia"/>
        </w:rPr>
        <w:t>.</w:t>
      </w:r>
      <w:r w:rsidR="007E2D06">
        <w:rPr>
          <w:rFonts w:hint="eastAsia"/>
        </w:rPr>
        <w:t>75</w:t>
      </w:r>
      <w:r w:rsidR="007E2D06" w:rsidRPr="006A0B36">
        <w:rPr>
          <w:rFonts w:hint="eastAsia"/>
        </w:rPr>
        <w:t>%(如附表</w:t>
      </w:r>
      <w:r w:rsidR="007E2D06">
        <w:rPr>
          <w:rFonts w:hint="eastAsia"/>
        </w:rPr>
        <w:t>2</w:t>
      </w:r>
      <w:r w:rsidR="007E2D06" w:rsidRPr="006A0B36">
        <w:rPr>
          <w:rFonts w:hint="eastAsia"/>
        </w:rPr>
        <w:t>)</w:t>
      </w:r>
      <w:r w:rsidR="007E2D06">
        <w:rPr>
          <w:rFonts w:hint="eastAsia"/>
        </w:rPr>
        <w:t>，故整體而言，</w:t>
      </w:r>
      <w:r w:rsidR="00EB6E8D">
        <w:rPr>
          <w:rFonts w:hint="eastAsia"/>
        </w:rPr>
        <w:t>超過一半以上</w:t>
      </w:r>
      <w:r w:rsidR="00FD7B6A">
        <w:rPr>
          <w:rFonts w:hint="eastAsia"/>
        </w:rPr>
        <w:t>未受完整臨床訓練</w:t>
      </w:r>
      <w:r w:rsidR="00B344E6">
        <w:rPr>
          <w:rFonts w:hint="eastAsia"/>
        </w:rPr>
        <w:t>之</w:t>
      </w:r>
      <w:r w:rsidR="00EB6E8D" w:rsidRPr="006A0B36">
        <w:rPr>
          <w:rFonts w:hint="eastAsia"/>
        </w:rPr>
        <w:t>新進醫事人員</w:t>
      </w:r>
      <w:r w:rsidR="00EB6E8D">
        <w:rPr>
          <w:rFonts w:hint="eastAsia"/>
        </w:rPr>
        <w:t>，</w:t>
      </w:r>
      <w:r w:rsidR="00B344E6">
        <w:rPr>
          <w:rFonts w:hint="eastAsia"/>
        </w:rPr>
        <w:t>貿</w:t>
      </w:r>
      <w:r w:rsidR="00EB6E8D">
        <w:rPr>
          <w:rFonts w:hint="eastAsia"/>
        </w:rPr>
        <w:t>然投入職場，其</w:t>
      </w:r>
      <w:r w:rsidR="00B344E6">
        <w:rPr>
          <w:rFonts w:hint="eastAsia"/>
        </w:rPr>
        <w:t>所提供之</w:t>
      </w:r>
      <w:r w:rsidR="00EB6E8D">
        <w:rPr>
          <w:rFonts w:hint="eastAsia"/>
        </w:rPr>
        <w:t>醫療服務品質</w:t>
      </w:r>
      <w:r w:rsidR="00B344E6">
        <w:rPr>
          <w:rFonts w:hint="eastAsia"/>
        </w:rPr>
        <w:t>恐令人擔憂</w:t>
      </w:r>
      <w:r w:rsidR="007E2D06">
        <w:rPr>
          <w:rFonts w:hint="eastAsia"/>
        </w:rPr>
        <w:t>。</w:t>
      </w:r>
    </w:p>
    <w:p w:rsidR="00F53D37" w:rsidRPr="006A0B36" w:rsidRDefault="00F53D37" w:rsidP="00F53D37">
      <w:pPr>
        <w:pStyle w:val="3"/>
        <w:ind w:left="1360" w:hanging="680"/>
      </w:pPr>
      <w:r w:rsidRPr="006A0B36">
        <w:rPr>
          <w:rFonts w:hint="eastAsia"/>
        </w:rPr>
        <w:t>末查衛福部提供</w:t>
      </w:r>
      <w:r w:rsidRPr="006A0B36">
        <w:rPr>
          <w:rFonts w:hint="eastAsia"/>
          <w:szCs w:val="32"/>
        </w:rPr>
        <w:t>104年及</w:t>
      </w:r>
      <w:r w:rsidRPr="006A0B36">
        <w:rPr>
          <w:rFonts w:hAnsi="標楷體" w:hint="eastAsia"/>
          <w:szCs w:val="32"/>
        </w:rPr>
        <w:t>105年</w:t>
      </w:r>
      <w:r w:rsidRPr="006A0B36">
        <w:rPr>
          <w:rFonts w:hint="eastAsia"/>
          <w:szCs w:val="32"/>
        </w:rPr>
        <w:t>之14類新進醫事人員執業登記人數統計表</w:t>
      </w:r>
      <w:r w:rsidRPr="006A0B36">
        <w:rPr>
          <w:rFonts w:hint="eastAsia"/>
        </w:rPr>
        <w:t>(如附表</w:t>
      </w:r>
      <w:r w:rsidR="007E2D06">
        <w:rPr>
          <w:rFonts w:hint="eastAsia"/>
        </w:rPr>
        <w:t>3</w:t>
      </w:r>
      <w:r w:rsidRPr="006A0B36">
        <w:rPr>
          <w:rFonts w:hint="eastAsia"/>
        </w:rPr>
        <w:t>)顯示，得以參與培訓之新進醫事人員僅侷限</w:t>
      </w:r>
      <w:r w:rsidR="00B344E6">
        <w:rPr>
          <w:rFonts w:hint="eastAsia"/>
        </w:rPr>
        <w:t>約三分之二</w:t>
      </w:r>
      <w:r w:rsidRPr="006A0B36">
        <w:rPr>
          <w:rFonts w:hint="eastAsia"/>
        </w:rPr>
        <w:t>任職</w:t>
      </w:r>
      <w:r w:rsidR="00B344E6" w:rsidRPr="006A0B36">
        <w:rPr>
          <w:rFonts w:hint="eastAsia"/>
        </w:rPr>
        <w:t>於</w:t>
      </w:r>
      <w:r w:rsidRPr="006A0B36">
        <w:rPr>
          <w:rFonts w:hint="eastAsia"/>
        </w:rPr>
        <w:t>教學醫院者，對其他三</w:t>
      </w:r>
      <w:r w:rsidR="00B344E6">
        <w:rPr>
          <w:rFonts w:hint="eastAsia"/>
        </w:rPr>
        <w:t>分之</w:t>
      </w:r>
      <w:r w:rsidR="00B344E6">
        <w:rPr>
          <w:rFonts w:hint="eastAsia"/>
        </w:rPr>
        <w:lastRenderedPageBreak/>
        <w:t>一</w:t>
      </w:r>
      <w:r w:rsidR="00B344E6" w:rsidRPr="006A0B36">
        <w:rPr>
          <w:rFonts w:hint="eastAsia"/>
        </w:rPr>
        <w:t>新進醫事人員</w:t>
      </w:r>
      <w:r w:rsidR="00B344E6">
        <w:rPr>
          <w:rFonts w:hint="eastAsia"/>
        </w:rPr>
        <w:t>卻</w:t>
      </w:r>
      <w:r w:rsidRPr="006A0B36">
        <w:rPr>
          <w:rFonts w:hint="eastAsia"/>
        </w:rPr>
        <w:t>喪失受訓機會，有欠公允。</w:t>
      </w:r>
    </w:p>
    <w:p w:rsidR="00F53D37" w:rsidRPr="006A0B36" w:rsidRDefault="00F53D37" w:rsidP="00F53D37">
      <w:pPr>
        <w:pStyle w:val="4"/>
        <w:ind w:left="1700" w:hanging="680"/>
      </w:pPr>
      <w:r w:rsidRPr="006A0B36">
        <w:rPr>
          <w:rFonts w:hint="eastAsia"/>
          <w:szCs w:val="32"/>
        </w:rPr>
        <w:t>104年14類新進醫事人員執業登記任職於教學醫院者為7,270人，總領取執業登記證者為10,912人，占66.62%。</w:t>
      </w:r>
    </w:p>
    <w:p w:rsidR="008E4121" w:rsidRPr="006A0B36" w:rsidRDefault="00F53D37" w:rsidP="00F53D37">
      <w:pPr>
        <w:pStyle w:val="4"/>
        <w:ind w:left="1700" w:hanging="680"/>
      </w:pPr>
      <w:r w:rsidRPr="006A0B36">
        <w:rPr>
          <w:rFonts w:hAnsi="標楷體" w:hint="eastAsia"/>
        </w:rPr>
        <w:t>105年</w:t>
      </w:r>
      <w:r w:rsidRPr="006A0B36">
        <w:rPr>
          <w:rFonts w:hint="eastAsia"/>
        </w:rPr>
        <w:t>14類新進醫事人員執業登記人數任職於教學醫院者為</w:t>
      </w:r>
      <w:r w:rsidR="00B344E6">
        <w:rPr>
          <w:rFonts w:hint="eastAsia"/>
        </w:rPr>
        <w:t>7</w:t>
      </w:r>
      <w:r w:rsidRPr="006A0B36">
        <w:rPr>
          <w:rFonts w:hint="eastAsia"/>
        </w:rPr>
        <w:t>,2</w:t>
      </w:r>
      <w:r w:rsidR="00B344E6">
        <w:rPr>
          <w:rFonts w:hint="eastAsia"/>
        </w:rPr>
        <w:t>00</w:t>
      </w:r>
      <w:r w:rsidRPr="006A0B36">
        <w:rPr>
          <w:rFonts w:hint="eastAsia"/>
        </w:rPr>
        <w:t>人，總領取執業登記證者為</w:t>
      </w:r>
      <w:r w:rsidR="00B344E6">
        <w:rPr>
          <w:rFonts w:hint="eastAsia"/>
        </w:rPr>
        <w:t>10</w:t>
      </w:r>
      <w:r w:rsidRPr="006A0B36">
        <w:rPr>
          <w:rFonts w:hint="eastAsia"/>
        </w:rPr>
        <w:t>,</w:t>
      </w:r>
      <w:r w:rsidR="00B344E6">
        <w:rPr>
          <w:rFonts w:hint="eastAsia"/>
        </w:rPr>
        <w:t>966</w:t>
      </w:r>
      <w:r w:rsidRPr="006A0B36">
        <w:rPr>
          <w:rFonts w:hint="eastAsia"/>
        </w:rPr>
        <w:t>人，占</w:t>
      </w:r>
      <w:r w:rsidR="00B344E6">
        <w:rPr>
          <w:rFonts w:hint="eastAsia"/>
        </w:rPr>
        <w:t>65</w:t>
      </w:r>
      <w:r w:rsidRPr="006A0B36">
        <w:rPr>
          <w:rFonts w:hint="eastAsia"/>
        </w:rPr>
        <w:t>.</w:t>
      </w:r>
      <w:r w:rsidR="00B344E6">
        <w:rPr>
          <w:rFonts w:hint="eastAsia"/>
        </w:rPr>
        <w:t>66</w:t>
      </w:r>
      <w:r w:rsidRPr="006A0B36">
        <w:rPr>
          <w:rFonts w:hint="eastAsia"/>
        </w:rPr>
        <w:t>%。</w:t>
      </w:r>
    </w:p>
    <w:p w:rsidR="008F4C27" w:rsidRPr="006A0B36" w:rsidRDefault="008F4C27" w:rsidP="00F827E2">
      <w:pPr>
        <w:pStyle w:val="3"/>
        <w:ind w:left="1360" w:hanging="680"/>
      </w:pPr>
      <w:r w:rsidRPr="006A0B36">
        <w:rPr>
          <w:rFonts w:hint="eastAsia"/>
        </w:rPr>
        <w:t>質言之，</w:t>
      </w:r>
      <w:r w:rsidR="00A578DF" w:rsidRPr="006A0B36">
        <w:rPr>
          <w:rFonts w:hint="eastAsia"/>
          <w:color w:val="000000"/>
        </w:rPr>
        <w:t>原衛生署</w:t>
      </w:r>
      <w:r w:rsidR="00DD123D" w:rsidRPr="006A0B36">
        <w:rPr>
          <w:rFonts w:hint="eastAsia"/>
        </w:rPr>
        <w:t>自96年7月開始實施教補計畫，</w:t>
      </w:r>
      <w:r w:rsidR="003375EF" w:rsidRPr="006A0B36">
        <w:rPr>
          <w:rFonts w:hint="eastAsia"/>
        </w:rPr>
        <w:t>期間雖</w:t>
      </w:r>
      <w:r w:rsidR="00DA6C81" w:rsidRPr="006A0B36">
        <w:rPr>
          <w:rFonts w:hint="eastAsia"/>
        </w:rPr>
        <w:t>曾於100年度</w:t>
      </w:r>
      <w:r w:rsidR="003375EF" w:rsidRPr="006A0B36">
        <w:rPr>
          <w:rFonts w:hint="eastAsia"/>
        </w:rPr>
        <w:t>更名為醫培計畫，</w:t>
      </w:r>
      <w:r w:rsidR="00A578DF" w:rsidRPr="006A0B36">
        <w:rPr>
          <w:rFonts w:hint="eastAsia"/>
        </w:rPr>
        <w:t>而</w:t>
      </w:r>
      <w:r w:rsidR="00870CC6" w:rsidRPr="006A0B36">
        <w:rPr>
          <w:rFonts w:hint="eastAsia"/>
          <w:color w:val="000000"/>
        </w:rPr>
        <w:t>原衛生署及</w:t>
      </w:r>
      <w:r w:rsidR="00FA13BC" w:rsidRPr="006A0B36">
        <w:rPr>
          <w:rFonts w:hint="eastAsia"/>
          <w:color w:val="000000"/>
        </w:rPr>
        <w:t>衛福</w:t>
      </w:r>
      <w:r w:rsidR="00DA6C81" w:rsidRPr="006A0B36">
        <w:rPr>
          <w:rFonts w:hint="eastAsia"/>
        </w:rPr>
        <w:t>部辦理</w:t>
      </w:r>
      <w:r w:rsidR="003375EF" w:rsidRPr="006A0B36">
        <w:rPr>
          <w:rFonts w:hint="eastAsia"/>
        </w:rPr>
        <w:t>上開計畫</w:t>
      </w:r>
      <w:r w:rsidR="00DD123D" w:rsidRPr="006A0B36">
        <w:rPr>
          <w:rFonts w:hint="eastAsia"/>
        </w:rPr>
        <w:t>迄今</w:t>
      </w:r>
      <w:r w:rsidR="0009054B" w:rsidRPr="006A0B36">
        <w:rPr>
          <w:rFonts w:hint="eastAsia"/>
        </w:rPr>
        <w:t>已逾</w:t>
      </w:r>
      <w:r w:rsidR="00C92EB0" w:rsidRPr="006A0B36">
        <w:rPr>
          <w:rFonts w:hint="eastAsia"/>
        </w:rPr>
        <w:t>10年</w:t>
      </w:r>
      <w:r w:rsidR="00DD123D" w:rsidRPr="006A0B36">
        <w:rPr>
          <w:rFonts w:hint="eastAsia"/>
        </w:rPr>
        <w:t>，</w:t>
      </w:r>
      <w:r w:rsidR="00F827E2" w:rsidRPr="006A0B36">
        <w:rPr>
          <w:rFonts w:hint="eastAsia"/>
        </w:rPr>
        <w:t>囿於醫培計畫僅侷限於教學醫院始符合申請資格，其受益對象尚無法擴及其他醫療機構新進</w:t>
      </w:r>
      <w:r w:rsidR="00F827E2" w:rsidRPr="006A0B36">
        <w:rPr>
          <w:rFonts w:hint="eastAsia"/>
        </w:rPr>
        <w:lastRenderedPageBreak/>
        <w:t>醫事人員亦能接受此項必要之訓練，因此</w:t>
      </w:r>
      <w:r w:rsidR="00BC65E8" w:rsidRPr="006A0B36">
        <w:rPr>
          <w:rFonts w:hint="eastAsia"/>
        </w:rPr>
        <w:t>除西醫師、中醫師、牙醫師外，</w:t>
      </w:r>
      <w:r w:rsidR="00F827E2" w:rsidRPr="006A0B36">
        <w:rPr>
          <w:rFonts w:hint="eastAsia"/>
        </w:rPr>
        <w:t>其</w:t>
      </w:r>
      <w:r w:rsidR="00BC65E8" w:rsidRPr="006A0B36">
        <w:rPr>
          <w:rFonts w:hint="eastAsia"/>
        </w:rPr>
        <w:t>他</w:t>
      </w:r>
      <w:r w:rsidR="00F827E2" w:rsidRPr="006A0B36">
        <w:rPr>
          <w:rFonts w:hint="eastAsia"/>
        </w:rPr>
        <w:t>14類新進醫事人員之整體受益人數未及半數，而有幸參訓人員又僅侷限</w:t>
      </w:r>
      <w:r w:rsidR="00B344E6">
        <w:rPr>
          <w:rFonts w:hint="eastAsia"/>
        </w:rPr>
        <w:t>約三分之二</w:t>
      </w:r>
      <w:r w:rsidR="00F827E2" w:rsidRPr="006A0B36">
        <w:rPr>
          <w:rFonts w:hint="eastAsia"/>
        </w:rPr>
        <w:t>任職於教學醫院者，故執行迄今已逾10年，</w:t>
      </w:r>
      <w:r w:rsidR="00DD123D" w:rsidRPr="006A0B36">
        <w:rPr>
          <w:rFonts w:hint="eastAsia"/>
        </w:rPr>
        <w:t>猶未能全面達成原規劃提升</w:t>
      </w:r>
      <w:r w:rsidR="001A7876" w:rsidRPr="006A0B36">
        <w:rPr>
          <w:rFonts w:hint="eastAsia"/>
        </w:rPr>
        <w:t>醫療機構新進醫事人員之</w:t>
      </w:r>
      <w:r w:rsidR="00DD123D" w:rsidRPr="006A0B36">
        <w:rPr>
          <w:rFonts w:hint="eastAsia"/>
        </w:rPr>
        <w:t>醫療品質及確保病</w:t>
      </w:r>
      <w:r w:rsidR="008E4121" w:rsidRPr="006A0B36">
        <w:rPr>
          <w:rFonts w:hint="eastAsia"/>
        </w:rPr>
        <w:t>人</w:t>
      </w:r>
      <w:r w:rsidR="00DD123D" w:rsidRPr="006A0B36">
        <w:rPr>
          <w:rFonts w:hint="eastAsia"/>
        </w:rPr>
        <w:t>安全目標</w:t>
      </w:r>
      <w:r w:rsidR="00C348B6">
        <w:rPr>
          <w:rFonts w:hint="eastAsia"/>
        </w:rPr>
        <w:t>，亦</w:t>
      </w:r>
      <w:r w:rsidR="003E02A9">
        <w:rPr>
          <w:rFonts w:hint="eastAsia"/>
        </w:rPr>
        <w:t>無法</w:t>
      </w:r>
      <w:r w:rsidR="00C348B6">
        <w:rPr>
          <w:rFonts w:hint="eastAsia"/>
        </w:rPr>
        <w:t>兌現該部函文所承諾「</w:t>
      </w:r>
      <w:r w:rsidR="00C348B6" w:rsidRPr="00864F92">
        <w:rPr>
          <w:rFonts w:hint="eastAsia"/>
        </w:rPr>
        <w:t>應對於新進醫事人員，給予1-2年臨床訓練，民眾才可接受到安全且有品質的醫療服務</w:t>
      </w:r>
      <w:r w:rsidR="00C348B6">
        <w:rPr>
          <w:rFonts w:hint="eastAsia"/>
        </w:rPr>
        <w:t>」</w:t>
      </w:r>
      <w:r w:rsidR="00DD123D" w:rsidRPr="006A0B36">
        <w:rPr>
          <w:rFonts w:hint="eastAsia"/>
        </w:rPr>
        <w:t>，</w:t>
      </w:r>
      <w:r w:rsidR="00FA13BC" w:rsidRPr="006A0B36">
        <w:rPr>
          <w:rFonts w:hint="eastAsia"/>
        </w:rPr>
        <w:t>遑論獲</w:t>
      </w:r>
      <w:r w:rsidR="000B76D0" w:rsidRPr="006A0B36">
        <w:rPr>
          <w:rFonts w:hint="eastAsia"/>
        </w:rPr>
        <w:t>得</w:t>
      </w:r>
      <w:r w:rsidR="00FA13BC" w:rsidRPr="006A0B36">
        <w:rPr>
          <w:rFonts w:hint="eastAsia"/>
        </w:rPr>
        <w:t>落實全人照顧理念之預期效益，</w:t>
      </w:r>
      <w:r w:rsidR="00DD123D" w:rsidRPr="006A0B36">
        <w:rPr>
          <w:rFonts w:hint="eastAsia"/>
        </w:rPr>
        <w:t>核其</w:t>
      </w:r>
      <w:r w:rsidR="00F14DB3" w:rsidRPr="006A0B36">
        <w:rPr>
          <w:rFonts w:hint="eastAsia"/>
        </w:rPr>
        <w:t>執行成</w:t>
      </w:r>
      <w:r w:rsidR="00C92EB0" w:rsidRPr="006A0B36">
        <w:rPr>
          <w:rFonts w:hint="eastAsia"/>
        </w:rPr>
        <w:t>效不彰</w:t>
      </w:r>
      <w:r w:rsidR="00F14DB3" w:rsidRPr="006A0B36">
        <w:rPr>
          <w:rFonts w:hint="eastAsia"/>
        </w:rPr>
        <w:t>未能達標</w:t>
      </w:r>
      <w:r w:rsidR="00DD123D" w:rsidRPr="006A0B36">
        <w:rPr>
          <w:rFonts w:hint="eastAsia"/>
        </w:rPr>
        <w:t>，顯有欠當</w:t>
      </w:r>
      <w:r w:rsidRPr="006A0B36">
        <w:rPr>
          <w:rFonts w:hint="eastAsia"/>
        </w:rPr>
        <w:t>。</w:t>
      </w:r>
    </w:p>
    <w:p w:rsidR="00B2406C" w:rsidRPr="006A0B36" w:rsidRDefault="00B2406C" w:rsidP="000F3E61">
      <w:pPr>
        <w:pStyle w:val="2"/>
        <w:rPr>
          <w:b/>
        </w:rPr>
      </w:pPr>
      <w:r w:rsidRPr="006A0B36">
        <w:rPr>
          <w:rFonts w:hint="eastAsia"/>
          <w:b/>
          <w:color w:val="000000"/>
        </w:rPr>
        <w:lastRenderedPageBreak/>
        <w:t>衛</w:t>
      </w:r>
      <w:r w:rsidRPr="006A0B36">
        <w:rPr>
          <w:rFonts w:hint="eastAsia"/>
          <w:b/>
        </w:rPr>
        <w:t>福部辦理醫培計畫，僅醫師</w:t>
      </w:r>
      <w:r w:rsidR="009A3855" w:rsidRPr="006A0B36">
        <w:rPr>
          <w:rFonts w:hint="eastAsia"/>
          <w:b/>
        </w:rPr>
        <w:t>(含</w:t>
      </w:r>
      <w:r w:rsidR="00936B96" w:rsidRPr="006A0B36">
        <w:rPr>
          <w:rFonts w:hint="eastAsia"/>
          <w:b/>
        </w:rPr>
        <w:t>牙</w:t>
      </w:r>
      <w:r w:rsidR="009A3855" w:rsidRPr="006A0B36">
        <w:rPr>
          <w:rFonts w:hint="eastAsia"/>
          <w:b/>
        </w:rPr>
        <w:t>醫</w:t>
      </w:r>
      <w:r w:rsidR="00936B96" w:rsidRPr="006A0B36">
        <w:rPr>
          <w:rFonts w:hint="eastAsia"/>
          <w:b/>
        </w:rPr>
        <w:t>師</w:t>
      </w:r>
      <w:r w:rsidR="009A3855" w:rsidRPr="006A0B36">
        <w:rPr>
          <w:rFonts w:hint="eastAsia"/>
          <w:b/>
        </w:rPr>
        <w:t>、</w:t>
      </w:r>
      <w:r w:rsidR="00936B96" w:rsidRPr="006A0B36">
        <w:rPr>
          <w:rFonts w:hint="eastAsia"/>
          <w:b/>
        </w:rPr>
        <w:t>中</w:t>
      </w:r>
      <w:r w:rsidR="009A3855" w:rsidRPr="006A0B36">
        <w:rPr>
          <w:rFonts w:hint="eastAsia"/>
          <w:b/>
        </w:rPr>
        <w:t>醫</w:t>
      </w:r>
      <w:r w:rsidR="00936B96" w:rsidRPr="006A0B36">
        <w:rPr>
          <w:rFonts w:hint="eastAsia"/>
          <w:b/>
        </w:rPr>
        <w:t>師</w:t>
      </w:r>
      <w:r w:rsidR="009A3855" w:rsidRPr="006A0B36">
        <w:rPr>
          <w:rFonts w:hint="eastAsia"/>
          <w:b/>
        </w:rPr>
        <w:t>)</w:t>
      </w:r>
      <w:r w:rsidRPr="006A0B36">
        <w:rPr>
          <w:rFonts w:hint="eastAsia"/>
          <w:b/>
        </w:rPr>
        <w:t>部分便呈現</w:t>
      </w:r>
      <w:r w:rsidR="00572C14" w:rsidRPr="006A0B36">
        <w:rPr>
          <w:rFonts w:hint="eastAsia"/>
          <w:b/>
        </w:rPr>
        <w:t>各</w:t>
      </w:r>
      <w:r w:rsidR="009A3855" w:rsidRPr="006A0B36">
        <w:rPr>
          <w:rFonts w:hint="eastAsia"/>
          <w:b/>
        </w:rPr>
        <w:t>有規制</w:t>
      </w:r>
      <w:r w:rsidR="00572C14" w:rsidRPr="006A0B36">
        <w:rPr>
          <w:rFonts w:hint="eastAsia"/>
          <w:b/>
        </w:rPr>
        <w:t>、</w:t>
      </w:r>
      <w:r w:rsidR="000C7DB6" w:rsidRPr="006A0B36">
        <w:rPr>
          <w:rFonts w:hint="eastAsia"/>
          <w:b/>
        </w:rPr>
        <w:t>作</w:t>
      </w:r>
      <w:r w:rsidR="00572C14" w:rsidRPr="006A0B36">
        <w:rPr>
          <w:rFonts w:hint="eastAsia"/>
          <w:b/>
        </w:rPr>
        <w:t>法</w:t>
      </w:r>
      <w:r w:rsidR="000C7DB6" w:rsidRPr="006A0B36">
        <w:rPr>
          <w:rFonts w:hint="eastAsia"/>
          <w:b/>
        </w:rPr>
        <w:t>與期程</w:t>
      </w:r>
      <w:r w:rsidR="009A3855" w:rsidRPr="006A0B36">
        <w:rPr>
          <w:rFonts w:hint="eastAsia"/>
          <w:b/>
        </w:rPr>
        <w:t>不一</w:t>
      </w:r>
      <w:r w:rsidR="008A3E40" w:rsidRPr="006A0B36">
        <w:rPr>
          <w:rFonts w:hint="eastAsia"/>
          <w:b/>
        </w:rPr>
        <w:t>之</w:t>
      </w:r>
      <w:r w:rsidR="009A3855" w:rsidRPr="006A0B36">
        <w:rPr>
          <w:rFonts w:hint="eastAsia"/>
          <w:b/>
        </w:rPr>
        <w:t>現</w:t>
      </w:r>
      <w:r w:rsidR="00572C14" w:rsidRPr="006A0B36">
        <w:rPr>
          <w:rFonts w:hint="eastAsia"/>
          <w:b/>
        </w:rPr>
        <w:t>象</w:t>
      </w:r>
      <w:r w:rsidR="006E3A72" w:rsidRPr="006A0B36">
        <w:rPr>
          <w:rFonts w:hint="eastAsia"/>
          <w:b/>
        </w:rPr>
        <w:t>；</w:t>
      </w:r>
      <w:r w:rsidR="003D1DCA" w:rsidRPr="006A0B36">
        <w:rPr>
          <w:rFonts w:hint="eastAsia"/>
          <w:b/>
        </w:rPr>
        <w:t>又</w:t>
      </w:r>
      <w:r w:rsidR="006E3A72" w:rsidRPr="006A0B36">
        <w:rPr>
          <w:rFonts w:hint="eastAsia"/>
          <w:b/>
        </w:rPr>
        <w:t>未經事前嚴謹規劃評估</w:t>
      </w:r>
      <w:r w:rsidR="000C7DB6" w:rsidRPr="006A0B36">
        <w:rPr>
          <w:rFonts w:hint="eastAsia"/>
          <w:b/>
        </w:rPr>
        <w:t>其他14</w:t>
      </w:r>
      <w:r w:rsidR="006E3A72" w:rsidRPr="006A0B36">
        <w:rPr>
          <w:rFonts w:hint="eastAsia"/>
          <w:b/>
        </w:rPr>
        <w:t>類</w:t>
      </w:r>
      <w:r w:rsidR="00936B96" w:rsidRPr="006A0B36">
        <w:rPr>
          <w:rFonts w:hint="eastAsia"/>
          <w:b/>
        </w:rPr>
        <w:t>醫事人員</w:t>
      </w:r>
      <w:r w:rsidR="006E3A72" w:rsidRPr="006A0B36">
        <w:rPr>
          <w:rFonts w:hint="eastAsia"/>
          <w:b/>
        </w:rPr>
        <w:t>之學</w:t>
      </w:r>
      <w:r w:rsidR="009A3855" w:rsidRPr="006A0B36">
        <w:rPr>
          <w:rFonts w:hint="eastAsia"/>
          <w:b/>
        </w:rPr>
        <w:t>校修習課</w:t>
      </w:r>
      <w:r w:rsidR="006E3A72" w:rsidRPr="006A0B36">
        <w:rPr>
          <w:rFonts w:hint="eastAsia"/>
          <w:b/>
        </w:rPr>
        <w:t>程</w:t>
      </w:r>
      <w:r w:rsidR="009A3855" w:rsidRPr="006A0B36">
        <w:rPr>
          <w:rFonts w:hint="eastAsia"/>
          <w:b/>
        </w:rPr>
        <w:t>內容</w:t>
      </w:r>
      <w:r w:rsidR="006E3A72" w:rsidRPr="006A0B36">
        <w:rPr>
          <w:rFonts w:hint="eastAsia"/>
          <w:b/>
        </w:rPr>
        <w:t>與臨床</w:t>
      </w:r>
      <w:r w:rsidR="009A3855" w:rsidRPr="006A0B36">
        <w:rPr>
          <w:rFonts w:hint="eastAsia"/>
          <w:b/>
        </w:rPr>
        <w:t>診</w:t>
      </w:r>
      <w:r w:rsidR="006E3A72" w:rsidRPr="006A0B36">
        <w:rPr>
          <w:rFonts w:hint="eastAsia"/>
          <w:b/>
        </w:rPr>
        <w:t>療</w:t>
      </w:r>
      <w:r w:rsidR="009A3855" w:rsidRPr="006A0B36">
        <w:rPr>
          <w:rFonts w:hint="eastAsia"/>
          <w:b/>
        </w:rPr>
        <w:t>技能</w:t>
      </w:r>
      <w:r w:rsidR="00D52CE8" w:rsidRPr="006A0B36">
        <w:rPr>
          <w:rFonts w:hint="eastAsia"/>
          <w:b/>
        </w:rPr>
        <w:t>實務</w:t>
      </w:r>
      <w:r w:rsidR="009A3855" w:rsidRPr="006A0B36">
        <w:rPr>
          <w:rFonts w:hint="eastAsia"/>
          <w:b/>
        </w:rPr>
        <w:t>之</w:t>
      </w:r>
      <w:r w:rsidR="006E3A72" w:rsidRPr="006A0B36">
        <w:rPr>
          <w:rFonts w:hint="eastAsia"/>
          <w:b/>
        </w:rPr>
        <w:t>落差，草率將培訓期程訂為2年，</w:t>
      </w:r>
      <w:r w:rsidR="009468E6" w:rsidRPr="006A0B36">
        <w:rPr>
          <w:rFonts w:hint="eastAsia"/>
          <w:b/>
        </w:rPr>
        <w:t>雖迎合齊頭點平等之</w:t>
      </w:r>
      <w:r w:rsidR="003D1DCA" w:rsidRPr="006A0B36">
        <w:rPr>
          <w:rFonts w:hint="eastAsia"/>
          <w:b/>
        </w:rPr>
        <w:t>表</w:t>
      </w:r>
      <w:r w:rsidR="009468E6" w:rsidRPr="006A0B36">
        <w:rPr>
          <w:rFonts w:hint="eastAsia"/>
          <w:b/>
        </w:rPr>
        <w:t>象，卻</w:t>
      </w:r>
      <w:r w:rsidR="006E3A72" w:rsidRPr="006A0B36">
        <w:rPr>
          <w:rFonts w:hint="eastAsia"/>
          <w:b/>
        </w:rPr>
        <w:t>不符實際</w:t>
      </w:r>
      <w:r w:rsidR="009B6145" w:rsidRPr="006A0B36">
        <w:rPr>
          <w:rFonts w:hint="eastAsia"/>
          <w:b/>
        </w:rPr>
        <w:t>需求</w:t>
      </w:r>
      <w:r w:rsidRPr="006A0B36">
        <w:rPr>
          <w:rFonts w:hint="eastAsia"/>
          <w:b/>
        </w:rPr>
        <w:t>，</w:t>
      </w:r>
      <w:r w:rsidR="00D60E98" w:rsidRPr="006A0B36">
        <w:rPr>
          <w:rFonts w:hint="eastAsia"/>
          <w:b/>
        </w:rPr>
        <w:t>允應檢討調整</w:t>
      </w:r>
      <w:r w:rsidRPr="006A0B36">
        <w:rPr>
          <w:rFonts w:hint="eastAsia"/>
          <w:b/>
        </w:rPr>
        <w:t>：</w:t>
      </w:r>
    </w:p>
    <w:p w:rsidR="00E461E7" w:rsidRPr="006A0B36" w:rsidRDefault="00572C14" w:rsidP="00E461E7">
      <w:pPr>
        <w:pStyle w:val="3"/>
        <w:ind w:left="1360" w:hanging="680"/>
      </w:pPr>
      <w:r w:rsidRPr="006A0B36">
        <w:rPr>
          <w:rFonts w:hint="eastAsia"/>
        </w:rPr>
        <w:t>按衛生人力是醫療資源最重要的部分，而當中又以醫師人力資源最為寶貴，除因其培育時間長、成本耗用高之外，醫師常為醫療團隊之領導者，故醫師人力之數量與素質更是深切影響醫療服務品質之最直接因素，因此負責培育住院醫師</w:t>
      </w:r>
      <w:r w:rsidRPr="006A0B36">
        <w:rPr>
          <w:rFonts w:hint="eastAsia"/>
        </w:rPr>
        <w:lastRenderedPageBreak/>
        <w:t>之教學醫院，實有提供其良好之臨床訓練場所及教學資源之責任與使命。而醫師、中醫師、牙醫師均屬於醫師法所規範之對象</w:t>
      </w:r>
      <w:r w:rsidRPr="006A0B36">
        <w:rPr>
          <w:rStyle w:val="af5"/>
        </w:rPr>
        <w:footnoteReference w:id="4"/>
      </w:r>
      <w:r w:rsidR="00457E8C" w:rsidRPr="006A0B36">
        <w:rPr>
          <w:rFonts w:hint="eastAsia"/>
        </w:rPr>
        <w:t>。</w:t>
      </w:r>
      <w:r w:rsidR="00E461E7" w:rsidRPr="006A0B36">
        <w:rPr>
          <w:rFonts w:hint="eastAsia"/>
        </w:rPr>
        <w:t>但</w:t>
      </w:r>
      <w:r w:rsidR="0050227C">
        <w:rPr>
          <w:rFonts w:hint="eastAsia"/>
        </w:rPr>
        <w:t>醫培</w:t>
      </w:r>
      <w:r w:rsidR="00E461E7" w:rsidRPr="006A0B36">
        <w:rPr>
          <w:rFonts w:hint="eastAsia"/>
        </w:rPr>
        <w:t>計畫係由衛福部不同主政單位分別執行，先予敘明。</w:t>
      </w:r>
    </w:p>
    <w:p w:rsidR="00E461E7" w:rsidRPr="006A0B36" w:rsidRDefault="00E461E7" w:rsidP="00E461E7">
      <w:pPr>
        <w:pStyle w:val="4"/>
        <w:ind w:left="1700" w:hanging="680"/>
      </w:pPr>
      <w:r w:rsidRPr="006A0B36">
        <w:rPr>
          <w:rFonts w:hint="eastAsia"/>
        </w:rPr>
        <w:t>各醫事職類(牙醫計畫、中醫計畫除外)部分由醫事司負責。</w:t>
      </w:r>
    </w:p>
    <w:p w:rsidR="00E461E7" w:rsidRPr="006A0B36" w:rsidRDefault="00E461E7" w:rsidP="00E461E7">
      <w:pPr>
        <w:pStyle w:val="4"/>
        <w:ind w:left="1700" w:hanging="680"/>
      </w:pPr>
      <w:r w:rsidRPr="006A0B36">
        <w:rPr>
          <w:rFonts w:hint="eastAsia"/>
        </w:rPr>
        <w:t>牙醫計畫部分由心理及口腔健康司負責。</w:t>
      </w:r>
    </w:p>
    <w:p w:rsidR="00572C14" w:rsidRPr="006A0B36" w:rsidRDefault="00E461E7" w:rsidP="00E461E7">
      <w:pPr>
        <w:pStyle w:val="4"/>
        <w:ind w:left="1700" w:hanging="680"/>
      </w:pPr>
      <w:r w:rsidRPr="006A0B36">
        <w:rPr>
          <w:rFonts w:hint="eastAsia"/>
        </w:rPr>
        <w:lastRenderedPageBreak/>
        <w:t>中醫計畫部分由中醫藥司負責。</w:t>
      </w:r>
    </w:p>
    <w:p w:rsidR="005B71D9" w:rsidRPr="006A0B36" w:rsidRDefault="00572C14" w:rsidP="009B6145">
      <w:pPr>
        <w:pStyle w:val="3"/>
        <w:ind w:left="1360" w:hanging="680"/>
      </w:pPr>
      <w:r w:rsidRPr="006A0B36">
        <w:rPr>
          <w:rFonts w:hint="eastAsia"/>
        </w:rPr>
        <w:t>查醫策會在規劃醫事人員畢業後臨床訓練制度時，有關</w:t>
      </w:r>
      <w:r w:rsidR="005B71D9" w:rsidRPr="006A0B36">
        <w:rPr>
          <w:rFonts w:hint="eastAsia"/>
        </w:rPr>
        <w:t>西</w:t>
      </w:r>
      <w:r w:rsidRPr="006A0B36">
        <w:rPr>
          <w:rFonts w:hint="eastAsia"/>
        </w:rPr>
        <w:t>醫師之一般醫學訓練（PGY訓練</w:t>
      </w:r>
      <w:r w:rsidR="005D508D" w:rsidRPr="006A0B36">
        <w:rPr>
          <w:rStyle w:val="af5"/>
        </w:rPr>
        <w:footnoteReference w:id="5"/>
      </w:r>
      <w:r w:rsidRPr="006A0B36">
        <w:rPr>
          <w:rFonts w:hint="eastAsia"/>
        </w:rPr>
        <w:t>）部分，因其於法有據，且隨著我國歷經SARS事件所暴露出欠缺社區防疫醫學觀念等慘痛教訓與配合醫學教育學制轉換而不斷演進，均有脈絡可尋，故相關制度及</w:t>
      </w:r>
      <w:r w:rsidR="00F65941" w:rsidRPr="006A0B36">
        <w:rPr>
          <w:rFonts w:hint="eastAsia"/>
        </w:rPr>
        <w:t>做</w:t>
      </w:r>
      <w:r w:rsidRPr="006A0B36">
        <w:rPr>
          <w:rFonts w:hint="eastAsia"/>
        </w:rPr>
        <w:t>法皆頗為完備，</w:t>
      </w:r>
      <w:r w:rsidR="00347CFF" w:rsidRPr="006A0B36">
        <w:rPr>
          <w:rFonts w:hint="eastAsia"/>
        </w:rPr>
        <w:t>有關PGY計畫之</w:t>
      </w:r>
      <w:r w:rsidRPr="006A0B36">
        <w:rPr>
          <w:rFonts w:hint="eastAsia"/>
        </w:rPr>
        <w:t>推動期程，詳如附圖2。</w:t>
      </w:r>
    </w:p>
    <w:p w:rsidR="005B71D9" w:rsidRPr="006A0B36" w:rsidRDefault="005B71D9" w:rsidP="005B71D9">
      <w:pPr>
        <w:pStyle w:val="4"/>
        <w:ind w:left="1700" w:hanging="680"/>
      </w:pPr>
      <w:r w:rsidRPr="006A0B36">
        <w:rPr>
          <w:rFonts w:hint="eastAsia"/>
        </w:rPr>
        <w:t>西醫師部分</w:t>
      </w:r>
    </w:p>
    <w:p w:rsidR="005B71D9" w:rsidRPr="006A0B36" w:rsidRDefault="005B71D9" w:rsidP="005B71D9">
      <w:pPr>
        <w:pStyle w:val="5"/>
        <w:ind w:left="2041" w:hanging="680"/>
      </w:pPr>
      <w:r w:rsidRPr="006A0B36">
        <w:rPr>
          <w:rFonts w:hint="eastAsia"/>
        </w:rPr>
        <w:lastRenderedPageBreak/>
        <w:t>92~95年僅進行3個月訓練</w:t>
      </w:r>
    </w:p>
    <w:p w:rsidR="005B71D9" w:rsidRPr="006A0B36" w:rsidRDefault="005B71D9" w:rsidP="005B71D9">
      <w:pPr>
        <w:pStyle w:val="5"/>
        <w:ind w:left="2041" w:hanging="680"/>
      </w:pPr>
      <w:r w:rsidRPr="006A0B36">
        <w:rPr>
          <w:rFonts w:hint="eastAsia"/>
        </w:rPr>
        <w:t>96~100年進行6個月訓練</w:t>
      </w:r>
    </w:p>
    <w:p w:rsidR="005B71D9" w:rsidRPr="006A0B36" w:rsidRDefault="005B71D9" w:rsidP="005B71D9">
      <w:pPr>
        <w:pStyle w:val="5"/>
        <w:ind w:left="2041" w:hanging="680"/>
      </w:pPr>
      <w:r w:rsidRPr="006A0B36">
        <w:rPr>
          <w:rFonts w:hint="eastAsia"/>
        </w:rPr>
        <w:t>101~104年進行1年期訓練(分組制試辦)</w:t>
      </w:r>
    </w:p>
    <w:p w:rsidR="005B71D9" w:rsidRPr="006A0B36" w:rsidRDefault="005B71D9" w:rsidP="005B71D9">
      <w:pPr>
        <w:pStyle w:val="6"/>
        <w:ind w:left="2381" w:hanging="680"/>
      </w:pPr>
      <w:r w:rsidRPr="006A0B36">
        <w:rPr>
          <w:rFonts w:hint="eastAsia"/>
        </w:rPr>
        <w:t>內科組</w:t>
      </w:r>
    </w:p>
    <w:p w:rsidR="005B71D9" w:rsidRPr="006A0B36" w:rsidRDefault="005B71D9" w:rsidP="005B71D9">
      <w:pPr>
        <w:pStyle w:val="6"/>
        <w:ind w:left="2381" w:hanging="680"/>
      </w:pPr>
      <w:r w:rsidRPr="006A0B36">
        <w:rPr>
          <w:rFonts w:hint="eastAsia"/>
        </w:rPr>
        <w:t>外科組</w:t>
      </w:r>
    </w:p>
    <w:p w:rsidR="005B71D9" w:rsidRPr="006A0B36" w:rsidRDefault="005B71D9" w:rsidP="005B71D9">
      <w:pPr>
        <w:pStyle w:val="6"/>
        <w:ind w:left="2381" w:hanging="680"/>
      </w:pPr>
      <w:r w:rsidRPr="006A0B36">
        <w:rPr>
          <w:rFonts w:hint="eastAsia"/>
        </w:rPr>
        <w:t>內(兒)科組</w:t>
      </w:r>
    </w:p>
    <w:p w:rsidR="005B71D9" w:rsidRPr="006A0B36" w:rsidRDefault="005B71D9" w:rsidP="005B71D9">
      <w:pPr>
        <w:pStyle w:val="6"/>
        <w:ind w:left="2381" w:hanging="680"/>
      </w:pPr>
      <w:r w:rsidRPr="006A0B36">
        <w:rPr>
          <w:rFonts w:hint="eastAsia"/>
        </w:rPr>
        <w:t>外(婦)科組</w:t>
      </w:r>
    </w:p>
    <w:p w:rsidR="00F22139" w:rsidRPr="006A0B36" w:rsidRDefault="00F22139" w:rsidP="00F22139">
      <w:pPr>
        <w:pStyle w:val="5"/>
        <w:ind w:left="2041" w:hanging="680"/>
      </w:pPr>
      <w:r w:rsidRPr="006A0B36">
        <w:rPr>
          <w:rFonts w:hint="eastAsia"/>
        </w:rPr>
        <w:t>105~10</w:t>
      </w:r>
      <w:r>
        <w:rPr>
          <w:rFonts w:hint="eastAsia"/>
        </w:rPr>
        <w:t>7</w:t>
      </w:r>
      <w:r w:rsidRPr="006A0B36">
        <w:rPr>
          <w:rFonts w:hint="eastAsia"/>
        </w:rPr>
        <w:t>年進行2年期訓練</w:t>
      </w:r>
      <w:r>
        <w:rPr>
          <w:rFonts w:hint="eastAsia"/>
        </w:rPr>
        <w:t>之規劃與試辦</w:t>
      </w:r>
    </w:p>
    <w:p w:rsidR="00F22139" w:rsidRPr="006A0B36" w:rsidRDefault="00F22139" w:rsidP="00F22139">
      <w:pPr>
        <w:pStyle w:val="6"/>
        <w:ind w:left="2381" w:hanging="680"/>
      </w:pPr>
      <w:r w:rsidRPr="006A0B36">
        <w:rPr>
          <w:rFonts w:hint="eastAsia"/>
        </w:rPr>
        <w:t>PGY第1年，不分組</w:t>
      </w:r>
    </w:p>
    <w:p w:rsidR="00F22139" w:rsidRPr="006A0B36" w:rsidRDefault="00F22139" w:rsidP="00F22139">
      <w:pPr>
        <w:pStyle w:val="6"/>
        <w:ind w:left="2381" w:hanging="680"/>
      </w:pPr>
      <w:r w:rsidRPr="006A0B36">
        <w:rPr>
          <w:rFonts w:hint="eastAsia"/>
        </w:rPr>
        <w:lastRenderedPageBreak/>
        <w:t>PGY第2年</w:t>
      </w:r>
      <w:r>
        <w:rPr>
          <w:rFonts w:hint="eastAsia"/>
        </w:rPr>
        <w:t>(仍為原來第一年住院醫師訓練)</w:t>
      </w:r>
      <w:r w:rsidRPr="006A0B36">
        <w:rPr>
          <w:rFonts w:hint="eastAsia"/>
        </w:rPr>
        <w:t>：分組：9個月(分組)+3個月(選修)；不分組：6個月(</w:t>
      </w:r>
      <w:r>
        <w:rPr>
          <w:rFonts w:hint="eastAsia"/>
        </w:rPr>
        <w:t>必</w:t>
      </w:r>
      <w:r w:rsidRPr="006A0B36">
        <w:rPr>
          <w:rFonts w:hint="eastAsia"/>
        </w:rPr>
        <w:t>修)+6個月(選修)</w:t>
      </w:r>
    </w:p>
    <w:p w:rsidR="00F22139" w:rsidRDefault="00F22139" w:rsidP="00F22139">
      <w:pPr>
        <w:pStyle w:val="5"/>
        <w:ind w:left="2041" w:hanging="680"/>
      </w:pPr>
      <w:r w:rsidRPr="006A0B36">
        <w:rPr>
          <w:rFonts w:hint="eastAsia"/>
        </w:rPr>
        <w:t>因應我國醫學校院醫學系之學制，自102學年度起由7年改為6年，衛福部已規劃自108年起實施2年期PGY訓練，加強全人照顧之觀念與能力，與專科醫師訓練順利銜接，並已修正「醫事人員執業登記及繼續教育辦法」規定，將完成PGY訓練之證明列為醫師執業執照更新時必要文件，爰醫師將全部參加畢業後一般醫學訓練，始得執業</w:t>
      </w:r>
      <w:r w:rsidRPr="006A0B36">
        <w:rPr>
          <w:rFonts w:hint="eastAsia"/>
        </w:rPr>
        <w:lastRenderedPageBreak/>
        <w:t>。</w:t>
      </w:r>
    </w:p>
    <w:p w:rsidR="005B71D9" w:rsidRPr="006A0B36" w:rsidRDefault="005B71D9" w:rsidP="005B71D9">
      <w:pPr>
        <w:pStyle w:val="5"/>
        <w:ind w:left="2041" w:hanging="680"/>
      </w:pPr>
      <w:r w:rsidRPr="006A0B36">
        <w:rPr>
          <w:rFonts w:hint="eastAsia"/>
        </w:rPr>
        <w:t>持續規劃及檢討培訓制度：包括訓練課程內容、訓練醫院資格、臨床教師、容額、選配、評量考核等。</w:t>
      </w:r>
    </w:p>
    <w:p w:rsidR="005B71D9" w:rsidRPr="006A0B36" w:rsidRDefault="00216BDD" w:rsidP="005B71D9">
      <w:pPr>
        <w:pStyle w:val="4"/>
        <w:ind w:left="1700" w:hanging="680"/>
      </w:pPr>
      <w:r>
        <w:rPr>
          <w:rFonts w:hint="eastAsia"/>
        </w:rPr>
        <w:t>2</w:t>
      </w:r>
      <w:r w:rsidR="005B71D9" w:rsidRPr="006A0B36">
        <w:rPr>
          <w:rFonts w:hint="eastAsia"/>
        </w:rPr>
        <w:t>年期醫事人員訓練(教補計畫)</w:t>
      </w:r>
    </w:p>
    <w:p w:rsidR="005B71D9" w:rsidRPr="006A0B36" w:rsidRDefault="005B71D9" w:rsidP="005B71D9">
      <w:pPr>
        <w:pStyle w:val="5"/>
        <w:ind w:left="2041" w:hanging="680"/>
      </w:pPr>
      <w:r w:rsidRPr="006A0B36">
        <w:rPr>
          <w:rFonts w:hint="eastAsia"/>
        </w:rPr>
        <w:t>其他醫事人員部分，自96年便開始</w:t>
      </w:r>
      <w:r w:rsidR="009935BE">
        <w:rPr>
          <w:rFonts w:hint="eastAsia"/>
        </w:rPr>
        <w:t>陸續</w:t>
      </w:r>
      <w:r w:rsidRPr="006A0B36">
        <w:rPr>
          <w:rFonts w:hint="eastAsia"/>
        </w:rPr>
        <w:t>納入，包括藥師、護理師</w:t>
      </w:r>
      <w:r w:rsidR="00633727" w:rsidRPr="006A0B36">
        <w:rPr>
          <w:rFonts w:hint="eastAsia"/>
        </w:rPr>
        <w:t>等</w:t>
      </w:r>
      <w:r w:rsidR="001957A5" w:rsidRPr="006A0B36">
        <w:rPr>
          <w:rFonts w:hint="eastAsia"/>
        </w:rPr>
        <w:t>14類醫事人員</w:t>
      </w:r>
      <w:r w:rsidRPr="006A0B36">
        <w:rPr>
          <w:rFonts w:hint="eastAsia"/>
        </w:rPr>
        <w:t>。</w:t>
      </w:r>
    </w:p>
    <w:p w:rsidR="005B71D9" w:rsidRPr="006A0B36" w:rsidRDefault="005B71D9" w:rsidP="005B71D9">
      <w:pPr>
        <w:pStyle w:val="5"/>
        <w:ind w:left="2041" w:hanging="680"/>
      </w:pPr>
      <w:r w:rsidRPr="006A0B36">
        <w:rPr>
          <w:rFonts w:hint="eastAsia"/>
        </w:rPr>
        <w:t>持續規劃及檢討培訓制度：</w:t>
      </w:r>
    </w:p>
    <w:p w:rsidR="005B71D9" w:rsidRPr="006A0B36" w:rsidRDefault="005B71D9" w:rsidP="005B71D9">
      <w:pPr>
        <w:pStyle w:val="6"/>
        <w:ind w:left="2381" w:hanging="680"/>
      </w:pPr>
      <w:r w:rsidRPr="006A0B36">
        <w:rPr>
          <w:rFonts w:hint="eastAsia"/>
        </w:rPr>
        <w:t>視需要更新，以符合執行現況與醫療照護需求。</w:t>
      </w:r>
    </w:p>
    <w:p w:rsidR="005B71D9" w:rsidRPr="006A0B36" w:rsidRDefault="005B71D9" w:rsidP="005B71D9">
      <w:pPr>
        <w:pStyle w:val="6"/>
        <w:ind w:left="2381" w:hanging="680"/>
      </w:pPr>
      <w:r w:rsidRPr="006A0B36">
        <w:rPr>
          <w:rFonts w:hint="eastAsia"/>
        </w:rPr>
        <w:t>教學資源研發與推廣。</w:t>
      </w:r>
    </w:p>
    <w:p w:rsidR="00572C14" w:rsidRPr="006A0B36" w:rsidRDefault="001957A5" w:rsidP="00572C14">
      <w:pPr>
        <w:pStyle w:val="3"/>
        <w:ind w:left="1360" w:hanging="680"/>
      </w:pPr>
      <w:r w:rsidRPr="006A0B36">
        <w:rPr>
          <w:rFonts w:hint="eastAsia"/>
        </w:rPr>
        <w:lastRenderedPageBreak/>
        <w:t>次</w:t>
      </w:r>
      <w:r w:rsidR="005B71D9" w:rsidRPr="006A0B36">
        <w:rPr>
          <w:rFonts w:hint="eastAsia"/>
        </w:rPr>
        <w:t>查</w:t>
      </w:r>
      <w:r w:rsidR="009525FE" w:rsidRPr="006A0B36">
        <w:rPr>
          <w:rFonts w:hint="eastAsia"/>
          <w:color w:val="000000"/>
        </w:rPr>
        <w:t>衛</w:t>
      </w:r>
      <w:r w:rsidR="009525FE" w:rsidRPr="006A0B36">
        <w:rPr>
          <w:rFonts w:hint="eastAsia"/>
        </w:rPr>
        <w:t>福部辦理醫培計畫，僅醫師部分便呈現出下列PGY訓練</w:t>
      </w:r>
      <w:r w:rsidR="000C7DB6" w:rsidRPr="006A0B36">
        <w:rPr>
          <w:rFonts w:hint="eastAsia"/>
        </w:rPr>
        <w:t>作</w:t>
      </w:r>
      <w:r w:rsidR="009525FE" w:rsidRPr="006A0B36">
        <w:rPr>
          <w:rFonts w:hint="eastAsia"/>
        </w:rPr>
        <w:t>法</w:t>
      </w:r>
      <w:r w:rsidR="0067566F" w:rsidRPr="006A0B36">
        <w:rPr>
          <w:rFonts w:hint="eastAsia"/>
        </w:rPr>
        <w:t>與期程</w:t>
      </w:r>
      <w:r w:rsidRPr="006A0B36">
        <w:rPr>
          <w:rFonts w:hint="eastAsia"/>
        </w:rPr>
        <w:t>要求</w:t>
      </w:r>
      <w:r w:rsidR="0067566F" w:rsidRPr="006A0B36">
        <w:rPr>
          <w:rFonts w:hint="eastAsia"/>
        </w:rPr>
        <w:t>均</w:t>
      </w:r>
      <w:r w:rsidR="009525FE" w:rsidRPr="006A0B36">
        <w:rPr>
          <w:rFonts w:hint="eastAsia"/>
        </w:rPr>
        <w:t>紛歧</w:t>
      </w:r>
      <w:r w:rsidRPr="006A0B36">
        <w:rPr>
          <w:rFonts w:hint="eastAsia"/>
        </w:rPr>
        <w:t>不一</w:t>
      </w:r>
      <w:r w:rsidR="009525FE" w:rsidRPr="006A0B36">
        <w:rPr>
          <w:rFonts w:hint="eastAsia"/>
        </w:rPr>
        <w:t>現象</w:t>
      </w:r>
      <w:r w:rsidR="005B71D9" w:rsidRPr="006A0B36">
        <w:rPr>
          <w:rFonts w:hint="eastAsia"/>
        </w:rPr>
        <w:t>：</w:t>
      </w:r>
    </w:p>
    <w:p w:rsidR="0067566F" w:rsidRPr="006A0B36" w:rsidRDefault="0067566F" w:rsidP="00572C14">
      <w:pPr>
        <w:pStyle w:val="4"/>
        <w:ind w:left="1700" w:hanging="680"/>
      </w:pPr>
      <w:r w:rsidRPr="006A0B36">
        <w:rPr>
          <w:rFonts w:hint="eastAsia"/>
        </w:rPr>
        <w:t>西醫師部分</w:t>
      </w:r>
    </w:p>
    <w:p w:rsidR="0067566F" w:rsidRPr="006A0B36" w:rsidRDefault="0067566F" w:rsidP="0067566F">
      <w:pPr>
        <w:pStyle w:val="5"/>
        <w:ind w:left="2041" w:hanging="680"/>
      </w:pPr>
      <w:r w:rsidRPr="006A0B36">
        <w:rPr>
          <w:rFonts w:hint="eastAsia"/>
        </w:rPr>
        <w:t>有關西醫師PGY訓練期程之演</w:t>
      </w:r>
      <w:r w:rsidR="008B2D09" w:rsidRPr="006A0B36">
        <w:rPr>
          <w:rFonts w:hint="eastAsia"/>
        </w:rPr>
        <w:t>進，已如前述</w:t>
      </w:r>
      <w:r w:rsidR="008A3E40" w:rsidRPr="006A0B36">
        <w:rPr>
          <w:rFonts w:hint="eastAsia"/>
        </w:rPr>
        <w:t>。</w:t>
      </w:r>
    </w:p>
    <w:p w:rsidR="00572C14" w:rsidRPr="006A0B36" w:rsidRDefault="00572C14" w:rsidP="0067566F">
      <w:pPr>
        <w:pStyle w:val="5"/>
        <w:ind w:left="2041" w:hanging="680"/>
      </w:pPr>
      <w:r w:rsidRPr="006A0B36">
        <w:rPr>
          <w:rFonts w:hint="eastAsia"/>
        </w:rPr>
        <w:t>依據</w:t>
      </w:r>
      <w:r w:rsidR="00870CC6" w:rsidRPr="006A0B36">
        <w:rPr>
          <w:rFonts w:hint="eastAsia"/>
          <w:color w:val="000000"/>
        </w:rPr>
        <w:t>原衛生署</w:t>
      </w:r>
      <w:r w:rsidRPr="006A0B36">
        <w:rPr>
          <w:rFonts w:hint="eastAsia"/>
        </w:rPr>
        <w:t>100年1月17日修正發布之專科醫師分科及甄審辦法第2條規定，略以「醫師於接受專科醫師訓練前，應先完成PGY訓練」。是以完成PGY訓練為接續專科醫師訓練之先決要件，爰學員因故停訓後，如擬再接受臨床訓練，仍須依規定先完成PGY訓練後，始得接續專科</w:t>
      </w:r>
      <w:r w:rsidRPr="006A0B36">
        <w:rPr>
          <w:rFonts w:hint="eastAsia"/>
        </w:rPr>
        <w:lastRenderedPageBreak/>
        <w:t>訓練。</w:t>
      </w:r>
    </w:p>
    <w:p w:rsidR="0067566F" w:rsidRPr="006A0B36" w:rsidRDefault="00572C14" w:rsidP="00572C14">
      <w:pPr>
        <w:pStyle w:val="4"/>
        <w:ind w:left="1700" w:hanging="680"/>
      </w:pPr>
      <w:r w:rsidRPr="006A0B36">
        <w:rPr>
          <w:rFonts w:hint="eastAsia"/>
        </w:rPr>
        <w:t>牙醫師PGY計畫並未規範受訓人員須於2年內完成訓練</w:t>
      </w:r>
      <w:r w:rsidR="0067566F" w:rsidRPr="006A0B36">
        <w:rPr>
          <w:rFonts w:hint="eastAsia"/>
        </w:rPr>
        <w:t>。</w:t>
      </w:r>
    </w:p>
    <w:p w:rsidR="00572C14" w:rsidRPr="006A0B36" w:rsidRDefault="0067566F" w:rsidP="00572C14">
      <w:pPr>
        <w:pStyle w:val="4"/>
        <w:ind w:left="1700" w:hanging="680"/>
      </w:pPr>
      <w:r w:rsidRPr="006A0B36">
        <w:rPr>
          <w:rFonts w:hint="eastAsia"/>
        </w:rPr>
        <w:t>至於</w:t>
      </w:r>
      <w:r w:rsidR="00572C14" w:rsidRPr="006A0B36">
        <w:rPr>
          <w:rFonts w:hint="eastAsia"/>
        </w:rPr>
        <w:t>中醫師部分僅辦理中醫醫療機構負責醫師訓練</w:t>
      </w:r>
      <w:r w:rsidR="00572C14" w:rsidRPr="006A0B36">
        <w:rPr>
          <w:rStyle w:val="af5"/>
        </w:rPr>
        <w:footnoteReference w:id="6"/>
      </w:r>
      <w:r w:rsidR="00572C14" w:rsidRPr="006A0B36">
        <w:rPr>
          <w:rFonts w:hint="eastAsia"/>
        </w:rPr>
        <w:t>，</w:t>
      </w:r>
      <w:r w:rsidRPr="006A0B36">
        <w:rPr>
          <w:rFonts w:hint="eastAsia"/>
        </w:rPr>
        <w:t>為期2年，但目前</w:t>
      </w:r>
      <w:r w:rsidR="00572C14" w:rsidRPr="006A0B36">
        <w:rPr>
          <w:rFonts w:hint="eastAsia"/>
        </w:rPr>
        <w:t>尚未推展PGY制度。</w:t>
      </w:r>
    </w:p>
    <w:p w:rsidR="009B6145" w:rsidRPr="006A0B36" w:rsidRDefault="009B6145" w:rsidP="00296EA0">
      <w:pPr>
        <w:pStyle w:val="3"/>
        <w:ind w:left="1360" w:hanging="680"/>
      </w:pPr>
      <w:r w:rsidRPr="006A0B36">
        <w:rPr>
          <w:rFonts w:hint="eastAsia"/>
        </w:rPr>
        <w:t>又查其他14類醫事人員，擔負醫療輔助任務，應否於甫畢業後迅即施以長達2年之臨床訓練，經本院諮詢專家學者意見，咸認</w:t>
      </w:r>
      <w:r w:rsidR="009935BE" w:rsidRPr="006A0B36">
        <w:rPr>
          <w:rFonts w:hint="eastAsia"/>
        </w:rPr>
        <w:t>「各職類醫事人員需求、工作經驗及醫療院所等</w:t>
      </w:r>
      <w:r w:rsidR="009935BE" w:rsidRPr="006A0B36">
        <w:rPr>
          <w:rFonts w:hint="eastAsia"/>
        </w:rPr>
        <w:lastRenderedPageBreak/>
        <w:t>級均有不同，對於現行制度全部律定為2年，有調整空間。」</w:t>
      </w:r>
      <w:r w:rsidR="00720C3F">
        <w:rPr>
          <w:rStyle w:val="af5"/>
        </w:rPr>
        <w:footnoteReference w:id="7"/>
      </w:r>
      <w:r w:rsidR="00720C3F">
        <w:rPr>
          <w:rFonts w:hint="eastAsia"/>
        </w:rPr>
        <w:t>；</w:t>
      </w:r>
      <w:r w:rsidRPr="006A0B36">
        <w:rPr>
          <w:rFonts w:hint="eastAsia"/>
        </w:rPr>
        <w:t>且經本院實地訪查過程中，透過與護理師、醫事檢驗師、醫事放射師等職類之PGY講師及學員座談會亦發現</w:t>
      </w:r>
      <w:r w:rsidR="004668D1" w:rsidRPr="006A0B36">
        <w:rPr>
          <w:rFonts w:hint="eastAsia"/>
        </w:rPr>
        <w:t>「護理職類如果要能適應並完整銜接，約需5個月左右。」、「呼吸及物理治療職類新手上任到可以獨立作業約需1年，2年是因為要配合衛福部的設計。」、「</w:t>
      </w:r>
      <w:r w:rsidR="00C726FC" w:rsidRPr="006A0B36">
        <w:rPr>
          <w:rFonts w:hint="eastAsia"/>
        </w:rPr>
        <w:t>醫事檢驗及放射職類大約需1年即可獨立進行作業。</w:t>
      </w:r>
      <w:r w:rsidR="004668D1" w:rsidRPr="006A0B36">
        <w:rPr>
          <w:rFonts w:hint="eastAsia"/>
        </w:rPr>
        <w:t>」</w:t>
      </w:r>
      <w:r w:rsidR="00C726FC" w:rsidRPr="006A0B36">
        <w:rPr>
          <w:rStyle w:val="af5"/>
        </w:rPr>
        <w:footnoteReference w:id="8"/>
      </w:r>
      <w:r w:rsidR="004668D1" w:rsidRPr="006A0B36">
        <w:rPr>
          <w:rFonts w:hint="eastAsia"/>
        </w:rPr>
        <w:t>等情，足見</w:t>
      </w:r>
      <w:r w:rsidRPr="006A0B36">
        <w:rPr>
          <w:rFonts w:hint="eastAsia"/>
        </w:rPr>
        <w:t>PGY2課程內容</w:t>
      </w:r>
      <w:r w:rsidRPr="006A0B36">
        <w:rPr>
          <w:rFonts w:hint="eastAsia"/>
        </w:rPr>
        <w:lastRenderedPageBreak/>
        <w:t>與各該學員畢業前之實習課程內容，多所重複；理應適度縮短基本臨床訓練期程，毋庸將其未來之進階訓練與PGY2</w:t>
      </w:r>
      <w:r w:rsidRPr="006A0B36">
        <w:rPr>
          <w:rFonts w:hAnsi="標楷體" w:hint="eastAsia"/>
        </w:rPr>
        <w:t>訓練，混為一談</w:t>
      </w:r>
      <w:r w:rsidRPr="006A0B36">
        <w:rPr>
          <w:rFonts w:hint="eastAsia"/>
        </w:rPr>
        <w:t>。然而衛福部僅考量醫事人員法規，要求醫事機構負責人需至該部指定之醫療機構執業2年以上，始能開業，便一律訂為2年，顯未經事前嚴謹規劃評估各類</w:t>
      </w:r>
      <w:r w:rsidR="00720C3F" w:rsidRPr="006A0B36">
        <w:rPr>
          <w:rFonts w:hint="eastAsia"/>
        </w:rPr>
        <w:t>醫事人員</w:t>
      </w:r>
      <w:r w:rsidRPr="006A0B36">
        <w:rPr>
          <w:rFonts w:hint="eastAsia"/>
        </w:rPr>
        <w:t>之畢業學程與臨床醫療實務落差。</w:t>
      </w:r>
    </w:p>
    <w:p w:rsidR="00B2406C" w:rsidRPr="006A0B36" w:rsidRDefault="00296EA0" w:rsidP="00296EA0">
      <w:pPr>
        <w:pStyle w:val="3"/>
        <w:ind w:left="1360" w:hanging="680"/>
      </w:pPr>
      <w:r w:rsidRPr="006A0B36">
        <w:rPr>
          <w:rFonts w:hint="eastAsia"/>
        </w:rPr>
        <w:t>綜上，衛福部辦理醫培計畫，僅醫師</w:t>
      </w:r>
      <w:r w:rsidR="003045CB" w:rsidRPr="006A0B36">
        <w:rPr>
          <w:rFonts w:hint="eastAsia"/>
        </w:rPr>
        <w:t>(含牙醫師、中醫師)</w:t>
      </w:r>
      <w:r w:rsidRPr="006A0B36">
        <w:rPr>
          <w:rFonts w:hint="eastAsia"/>
        </w:rPr>
        <w:t>部分便呈現各</w:t>
      </w:r>
      <w:r w:rsidR="009A3855" w:rsidRPr="006A0B36">
        <w:rPr>
          <w:rFonts w:hint="eastAsia"/>
        </w:rPr>
        <w:t>有規制</w:t>
      </w:r>
      <w:r w:rsidRPr="006A0B36">
        <w:rPr>
          <w:rFonts w:hint="eastAsia"/>
        </w:rPr>
        <w:t>、</w:t>
      </w:r>
      <w:r w:rsidR="00EC0438" w:rsidRPr="006A0B36">
        <w:rPr>
          <w:rFonts w:hint="eastAsia"/>
        </w:rPr>
        <w:t>PGY訓練</w:t>
      </w:r>
      <w:r w:rsidR="000C7DB6" w:rsidRPr="006A0B36">
        <w:rPr>
          <w:rFonts w:hint="eastAsia"/>
        </w:rPr>
        <w:t>作</w:t>
      </w:r>
      <w:r w:rsidRPr="006A0B36">
        <w:rPr>
          <w:rFonts w:hint="eastAsia"/>
        </w:rPr>
        <w:t>法</w:t>
      </w:r>
      <w:r w:rsidR="00A74AD2" w:rsidRPr="006A0B36">
        <w:rPr>
          <w:rFonts w:hint="eastAsia"/>
        </w:rPr>
        <w:t>與期程</w:t>
      </w:r>
      <w:r w:rsidR="001957A5" w:rsidRPr="006A0B36">
        <w:rPr>
          <w:rFonts w:hint="eastAsia"/>
        </w:rPr>
        <w:t>要求</w:t>
      </w:r>
      <w:r w:rsidR="00B64F2E" w:rsidRPr="006A0B36">
        <w:rPr>
          <w:rFonts w:hint="eastAsia"/>
        </w:rPr>
        <w:t>紛</w:t>
      </w:r>
      <w:r w:rsidRPr="006A0B36">
        <w:rPr>
          <w:rFonts w:hint="eastAsia"/>
        </w:rPr>
        <w:t>歧</w:t>
      </w:r>
      <w:r w:rsidR="00A74AD2" w:rsidRPr="006A0B36">
        <w:rPr>
          <w:rFonts w:hint="eastAsia"/>
        </w:rPr>
        <w:t>不一之</w:t>
      </w:r>
      <w:r w:rsidR="009A3855" w:rsidRPr="006A0B36">
        <w:rPr>
          <w:rFonts w:hint="eastAsia"/>
        </w:rPr>
        <w:t>現</w:t>
      </w:r>
      <w:r w:rsidRPr="006A0B36">
        <w:rPr>
          <w:rFonts w:hint="eastAsia"/>
        </w:rPr>
        <w:t>象</w:t>
      </w:r>
      <w:r w:rsidR="00A74AD2" w:rsidRPr="006A0B36">
        <w:rPr>
          <w:rFonts w:hint="eastAsia"/>
        </w:rPr>
        <w:t>；</w:t>
      </w:r>
      <w:r w:rsidR="005B71D9" w:rsidRPr="006A0B36">
        <w:rPr>
          <w:rFonts w:hint="eastAsia"/>
        </w:rPr>
        <w:t>反觀</w:t>
      </w:r>
      <w:r w:rsidR="00FC6FD6" w:rsidRPr="006A0B36">
        <w:rPr>
          <w:rFonts w:hint="eastAsia"/>
        </w:rPr>
        <w:t>其他</w:t>
      </w:r>
      <w:r w:rsidR="00720C3F" w:rsidRPr="006A0B36">
        <w:rPr>
          <w:rFonts w:hint="eastAsia"/>
        </w:rPr>
        <w:t>藥事</w:t>
      </w:r>
      <w:r w:rsidR="00FC6FD6" w:rsidRPr="006A0B36">
        <w:rPr>
          <w:rFonts w:hint="eastAsia"/>
        </w:rPr>
        <w:t>、</w:t>
      </w:r>
      <w:r w:rsidR="00720C3F" w:rsidRPr="006A0B36">
        <w:rPr>
          <w:rFonts w:hint="eastAsia"/>
        </w:rPr>
        <w:t>護理</w:t>
      </w:r>
      <w:r w:rsidR="00FC6FD6" w:rsidRPr="006A0B36">
        <w:rPr>
          <w:rFonts w:hint="eastAsia"/>
        </w:rPr>
        <w:t>等</w:t>
      </w:r>
      <w:r w:rsidR="000C7DB6" w:rsidRPr="006A0B36">
        <w:rPr>
          <w:rFonts w:hint="eastAsia"/>
        </w:rPr>
        <w:t>14類</w:t>
      </w:r>
      <w:r w:rsidR="00FC6FD6" w:rsidRPr="006A0B36">
        <w:rPr>
          <w:rFonts w:hint="eastAsia"/>
        </w:rPr>
        <w:t>醫事人員</w:t>
      </w:r>
      <w:r w:rsidR="005D508D" w:rsidRPr="006A0B36">
        <w:rPr>
          <w:rFonts w:hint="eastAsia"/>
        </w:rPr>
        <w:t>，自96年</w:t>
      </w:r>
      <w:r w:rsidR="009E52C7">
        <w:rPr>
          <w:rFonts w:hint="eastAsia"/>
        </w:rPr>
        <w:t>7月</w:t>
      </w:r>
      <w:r w:rsidR="005D508D" w:rsidRPr="006A0B36">
        <w:rPr>
          <w:rFonts w:hint="eastAsia"/>
        </w:rPr>
        <w:lastRenderedPageBreak/>
        <w:t>開始便</w:t>
      </w:r>
      <w:r w:rsidR="00720C3F">
        <w:rPr>
          <w:rFonts w:hint="eastAsia"/>
        </w:rPr>
        <w:t>陸續</w:t>
      </w:r>
      <w:r w:rsidR="0036628A">
        <w:rPr>
          <w:rFonts w:hint="eastAsia"/>
        </w:rPr>
        <w:t>納入2</w:t>
      </w:r>
      <w:r w:rsidR="005D508D" w:rsidRPr="006A0B36">
        <w:rPr>
          <w:rFonts w:hint="eastAsia"/>
        </w:rPr>
        <w:t>年期醫事人員訓練(教補計畫)</w:t>
      </w:r>
      <w:r w:rsidR="003D1DCA" w:rsidRPr="006A0B36">
        <w:rPr>
          <w:rFonts w:hint="eastAsia"/>
        </w:rPr>
        <w:t>，</w:t>
      </w:r>
      <w:r w:rsidR="00A74AD2" w:rsidRPr="006A0B36">
        <w:rPr>
          <w:rFonts w:hint="eastAsia"/>
        </w:rPr>
        <w:t>此舉</w:t>
      </w:r>
      <w:r w:rsidR="003D1DCA" w:rsidRPr="006A0B36">
        <w:rPr>
          <w:rFonts w:hint="eastAsia"/>
        </w:rPr>
        <w:t>雖迎合齊頭點平等之表象</w:t>
      </w:r>
      <w:r w:rsidRPr="006A0B36">
        <w:rPr>
          <w:rFonts w:hint="eastAsia"/>
        </w:rPr>
        <w:t>，</w:t>
      </w:r>
      <w:r w:rsidR="003D1DCA" w:rsidRPr="006A0B36">
        <w:rPr>
          <w:rFonts w:hint="eastAsia"/>
        </w:rPr>
        <w:t>惟實質</w:t>
      </w:r>
      <w:r w:rsidRPr="006A0B36">
        <w:rPr>
          <w:rFonts w:hint="eastAsia"/>
        </w:rPr>
        <w:t>並無法完全滿足各類醫事人員之不同需求，</w:t>
      </w:r>
      <w:r w:rsidR="00A33FBC" w:rsidRPr="006A0B36">
        <w:rPr>
          <w:rFonts w:hint="eastAsia"/>
        </w:rPr>
        <w:t>凸顯</w:t>
      </w:r>
      <w:r w:rsidR="00A74AD2" w:rsidRPr="006A0B36">
        <w:rPr>
          <w:rFonts w:hint="eastAsia"/>
        </w:rPr>
        <w:t>該部</w:t>
      </w:r>
      <w:r w:rsidR="00870CC6" w:rsidRPr="006A0B36">
        <w:rPr>
          <w:rFonts w:hint="eastAsia"/>
        </w:rPr>
        <w:t>未</w:t>
      </w:r>
      <w:r w:rsidR="009A3855" w:rsidRPr="006A0B36">
        <w:rPr>
          <w:rFonts w:hint="eastAsia"/>
        </w:rPr>
        <w:t>覈實評估</w:t>
      </w:r>
      <w:r w:rsidR="009E52C7">
        <w:rPr>
          <w:rFonts w:hint="eastAsia"/>
        </w:rPr>
        <w:t>其</w:t>
      </w:r>
      <w:r w:rsidR="00D52CE8" w:rsidRPr="006A0B36">
        <w:rPr>
          <w:rFonts w:hint="eastAsia"/>
        </w:rPr>
        <w:t>學校修習課程內容與臨床診療技能實務之落差，</w:t>
      </w:r>
      <w:r w:rsidR="009E52C7">
        <w:rPr>
          <w:rFonts w:hint="eastAsia"/>
        </w:rPr>
        <w:t>僅為因應渠等未來開業需求，</w:t>
      </w:r>
      <w:r w:rsidR="000223D0" w:rsidRPr="006A0B36">
        <w:rPr>
          <w:rFonts w:hint="eastAsia"/>
        </w:rPr>
        <w:t>就</w:t>
      </w:r>
      <w:r w:rsidR="009E52C7">
        <w:rPr>
          <w:rFonts w:hint="eastAsia"/>
        </w:rPr>
        <w:t>草率將</w:t>
      </w:r>
      <w:r w:rsidR="00511123" w:rsidRPr="006A0B36">
        <w:rPr>
          <w:rFonts w:hint="eastAsia"/>
        </w:rPr>
        <w:t>「醫培計畫」</w:t>
      </w:r>
      <w:r w:rsidR="001957A5" w:rsidRPr="006A0B36">
        <w:rPr>
          <w:rFonts w:hint="eastAsia"/>
        </w:rPr>
        <w:t>之實施期程</w:t>
      </w:r>
      <w:r w:rsidR="009E52C7" w:rsidRPr="006A0B36">
        <w:rPr>
          <w:rFonts w:hint="eastAsia"/>
        </w:rPr>
        <w:t>納</w:t>
      </w:r>
      <w:r w:rsidR="003045CB" w:rsidRPr="006A0B36">
        <w:rPr>
          <w:rFonts w:hint="eastAsia"/>
        </w:rPr>
        <w:t>為2年</w:t>
      </w:r>
      <w:r w:rsidR="001957A5" w:rsidRPr="006A0B36">
        <w:rPr>
          <w:rFonts w:hint="eastAsia"/>
        </w:rPr>
        <w:t>，</w:t>
      </w:r>
      <w:r w:rsidR="00A33FBC" w:rsidRPr="006A0B36">
        <w:rPr>
          <w:rFonts w:hint="eastAsia"/>
        </w:rPr>
        <w:t>未</w:t>
      </w:r>
      <w:r w:rsidR="009A3855" w:rsidRPr="006A0B36">
        <w:rPr>
          <w:rFonts w:hint="eastAsia"/>
        </w:rPr>
        <w:t>盡</w:t>
      </w:r>
      <w:r w:rsidR="00D60E98" w:rsidRPr="006A0B36">
        <w:rPr>
          <w:rFonts w:hint="eastAsia"/>
        </w:rPr>
        <w:t>符合計畫意旨，允應檢討調整</w:t>
      </w:r>
      <w:r w:rsidRPr="006A0B36">
        <w:rPr>
          <w:rFonts w:hint="eastAsia"/>
        </w:rPr>
        <w:t>。</w:t>
      </w:r>
    </w:p>
    <w:bookmarkEnd w:id="46"/>
    <w:bookmarkEnd w:id="47"/>
    <w:bookmarkEnd w:id="48"/>
    <w:bookmarkEnd w:id="49"/>
    <w:bookmarkEnd w:id="50"/>
    <w:bookmarkEnd w:id="51"/>
    <w:bookmarkEnd w:id="52"/>
    <w:bookmarkEnd w:id="53"/>
    <w:p w:rsidR="00D85E1B" w:rsidRPr="006A0B36" w:rsidRDefault="001021AD">
      <w:pPr>
        <w:pStyle w:val="2"/>
        <w:ind w:left="1020" w:hanging="680"/>
      </w:pPr>
      <w:r w:rsidRPr="006A0B36">
        <w:rPr>
          <w:rFonts w:hint="eastAsia"/>
          <w:b/>
          <w:color w:val="000000"/>
        </w:rPr>
        <w:t>衛</w:t>
      </w:r>
      <w:r w:rsidRPr="006A0B36">
        <w:rPr>
          <w:rFonts w:hint="eastAsia"/>
          <w:b/>
        </w:rPr>
        <w:t>福部辦理醫培</w:t>
      </w:r>
      <w:r w:rsidR="00A76744" w:rsidRPr="006A0B36">
        <w:rPr>
          <w:rFonts w:hint="eastAsia"/>
          <w:b/>
        </w:rPr>
        <w:t>計畫</w:t>
      </w:r>
      <w:r w:rsidRPr="006A0B36">
        <w:rPr>
          <w:rFonts w:hint="eastAsia"/>
          <w:b/>
        </w:rPr>
        <w:t>，</w:t>
      </w:r>
      <w:r w:rsidR="001D1EFF" w:rsidRPr="006A0B36">
        <w:rPr>
          <w:rFonts w:hint="eastAsia"/>
          <w:b/>
        </w:rPr>
        <w:t>無法有效掌握</w:t>
      </w:r>
      <w:r w:rsidR="00F338CC" w:rsidRPr="006A0B36">
        <w:rPr>
          <w:rFonts w:hint="eastAsia"/>
          <w:b/>
        </w:rPr>
        <w:t>大多數職</w:t>
      </w:r>
      <w:r w:rsidR="00A76744" w:rsidRPr="006A0B36">
        <w:rPr>
          <w:rFonts w:hint="eastAsia"/>
          <w:b/>
        </w:rPr>
        <w:t>類醫事人員</w:t>
      </w:r>
      <w:r w:rsidR="0075471F" w:rsidRPr="006A0B36">
        <w:rPr>
          <w:rFonts w:hint="eastAsia"/>
          <w:b/>
        </w:rPr>
        <w:t>未完訓學員資訊</w:t>
      </w:r>
      <w:r w:rsidRPr="006A0B36">
        <w:rPr>
          <w:rFonts w:hint="eastAsia"/>
          <w:b/>
        </w:rPr>
        <w:t>，</w:t>
      </w:r>
      <w:r w:rsidR="006B3921" w:rsidRPr="006A0B36">
        <w:rPr>
          <w:rFonts w:hint="eastAsia"/>
          <w:b/>
        </w:rPr>
        <w:t>又</w:t>
      </w:r>
      <w:r w:rsidR="00A76744" w:rsidRPr="006A0B36">
        <w:rPr>
          <w:rFonts w:hint="eastAsia"/>
          <w:b/>
        </w:rPr>
        <w:t>欠缺相關</w:t>
      </w:r>
      <w:r w:rsidR="001D1EFF" w:rsidRPr="006A0B36">
        <w:rPr>
          <w:rFonts w:hint="eastAsia"/>
          <w:b/>
        </w:rPr>
        <w:t>配套</w:t>
      </w:r>
      <w:r w:rsidR="00A76744" w:rsidRPr="006A0B36">
        <w:rPr>
          <w:rFonts w:hint="eastAsia"/>
          <w:b/>
        </w:rPr>
        <w:t>管控勾稽</w:t>
      </w:r>
      <w:r w:rsidR="008C0652" w:rsidRPr="006A0B36">
        <w:rPr>
          <w:rFonts w:hint="eastAsia"/>
          <w:b/>
        </w:rPr>
        <w:t>及補訓</w:t>
      </w:r>
      <w:r w:rsidR="00A76744" w:rsidRPr="006A0B36">
        <w:rPr>
          <w:rFonts w:hint="eastAsia"/>
          <w:b/>
        </w:rPr>
        <w:t>機制</w:t>
      </w:r>
      <w:r w:rsidR="001D1EFF" w:rsidRPr="006A0B36">
        <w:rPr>
          <w:rFonts w:hint="eastAsia"/>
          <w:b/>
        </w:rPr>
        <w:t>，</w:t>
      </w:r>
      <w:r w:rsidR="0075471F" w:rsidRPr="006A0B36">
        <w:rPr>
          <w:rFonts w:hint="eastAsia"/>
          <w:b/>
        </w:rPr>
        <w:t>洵應</w:t>
      </w:r>
      <w:r w:rsidR="001D1EFF" w:rsidRPr="006A0B36">
        <w:rPr>
          <w:rFonts w:hint="eastAsia"/>
          <w:b/>
        </w:rPr>
        <w:t>檢討</w:t>
      </w:r>
      <w:r w:rsidR="0075471F" w:rsidRPr="006A0B36">
        <w:rPr>
          <w:rFonts w:hint="eastAsia"/>
          <w:b/>
        </w:rPr>
        <w:t>改善</w:t>
      </w:r>
      <w:r w:rsidRPr="006A0B36">
        <w:rPr>
          <w:rFonts w:hint="eastAsia"/>
          <w:b/>
        </w:rPr>
        <w:t>：</w:t>
      </w:r>
    </w:p>
    <w:p w:rsidR="00361FE3" w:rsidRPr="006A0B36" w:rsidRDefault="00361FE3" w:rsidP="005D162C">
      <w:pPr>
        <w:pStyle w:val="3"/>
        <w:ind w:left="1360" w:hanging="680"/>
      </w:pPr>
      <w:r w:rsidRPr="006A0B36">
        <w:rPr>
          <w:rFonts w:hint="eastAsia"/>
        </w:rPr>
        <w:lastRenderedPageBreak/>
        <w:t>按衛福部辦理醫培計畫，</w:t>
      </w:r>
      <w:r w:rsidR="00F338CC" w:rsidRPr="006A0B36">
        <w:rPr>
          <w:rFonts w:hint="eastAsia"/>
        </w:rPr>
        <w:t>有關</w:t>
      </w:r>
      <w:r w:rsidRPr="006A0B36">
        <w:rPr>
          <w:rFonts w:hint="eastAsia"/>
        </w:rPr>
        <w:t>醫師</w:t>
      </w:r>
      <w:r w:rsidR="00F338CC" w:rsidRPr="006A0B36">
        <w:rPr>
          <w:rFonts w:hint="eastAsia"/>
        </w:rPr>
        <w:t>（含牙醫師、中醫師）</w:t>
      </w:r>
      <w:r w:rsidRPr="006A0B36">
        <w:rPr>
          <w:rFonts w:hint="eastAsia"/>
        </w:rPr>
        <w:t>部分</w:t>
      </w:r>
      <w:r w:rsidR="001D1EFF" w:rsidRPr="006A0B36">
        <w:rPr>
          <w:rFonts w:hint="eastAsia"/>
        </w:rPr>
        <w:t>雖</w:t>
      </w:r>
      <w:r w:rsidR="00B90530" w:rsidRPr="006A0B36">
        <w:rPr>
          <w:rFonts w:hint="eastAsia"/>
        </w:rPr>
        <w:t>粗具</w:t>
      </w:r>
      <w:r w:rsidRPr="006A0B36">
        <w:rPr>
          <w:rFonts w:hint="eastAsia"/>
        </w:rPr>
        <w:t>管控勾稽機制</w:t>
      </w:r>
      <w:r w:rsidR="00F338CC" w:rsidRPr="006A0B36">
        <w:rPr>
          <w:rFonts w:hint="eastAsia"/>
        </w:rPr>
        <w:t>架構</w:t>
      </w:r>
      <w:r w:rsidR="002201F0" w:rsidRPr="006A0B36">
        <w:rPr>
          <w:rFonts w:hint="eastAsia"/>
        </w:rPr>
        <w:t>，惟仍呈現醫師部分掌握資訊較完整嚴謹、牙醫師部分次之，中醫師部分則僅具備管控勾稽</w:t>
      </w:r>
      <w:r w:rsidR="00204F5B" w:rsidRPr="006A0B36">
        <w:rPr>
          <w:rFonts w:hint="eastAsia"/>
        </w:rPr>
        <w:t>負責醫師</w:t>
      </w:r>
      <w:r w:rsidR="006B3921" w:rsidRPr="006A0B36">
        <w:rPr>
          <w:rFonts w:hint="eastAsia"/>
        </w:rPr>
        <w:t>之能力</w:t>
      </w:r>
      <w:r w:rsidR="005D162C" w:rsidRPr="006A0B36">
        <w:rPr>
          <w:rFonts w:hint="eastAsia"/>
        </w:rPr>
        <w:t>。至於其他14類醫事人員未完訓學員資訊，均無法有效掌握</w:t>
      </w:r>
      <w:r w:rsidRPr="006A0B36">
        <w:rPr>
          <w:rFonts w:hint="eastAsia"/>
        </w:rPr>
        <w:t>：</w:t>
      </w:r>
    </w:p>
    <w:p w:rsidR="00B66A16" w:rsidRPr="006A0B36" w:rsidRDefault="00B66A16" w:rsidP="00361FE3">
      <w:pPr>
        <w:pStyle w:val="4"/>
        <w:ind w:left="1700" w:hanging="680"/>
      </w:pPr>
      <w:r w:rsidRPr="006A0B36">
        <w:rPr>
          <w:rFonts w:hint="eastAsia"/>
        </w:rPr>
        <w:t>本計畫之醫師部分已建置管理系統，有關學員之訓練歷程、評核結果、完訓情形及補助經費等，均可透過系統功能勾稽與查核，另學員於停訓後如擬接續訓練，得於選配系統查詢各教學醫院缺額情形逕行接洽訓練，而接續訓練</w:t>
      </w:r>
      <w:r w:rsidRPr="006A0B36">
        <w:rPr>
          <w:rFonts w:hint="eastAsia"/>
        </w:rPr>
        <w:lastRenderedPageBreak/>
        <w:t>之醫院亦得於管理系統查詢醫師訓練歷程，以評估安排接續課程或進行輔導。</w:t>
      </w:r>
    </w:p>
    <w:p w:rsidR="00B66A16" w:rsidRPr="006A0B36" w:rsidRDefault="00B66A16" w:rsidP="00361FE3">
      <w:pPr>
        <w:pStyle w:val="4"/>
        <w:ind w:left="1700" w:hanging="680"/>
      </w:pPr>
      <w:r w:rsidRPr="006A0B36">
        <w:rPr>
          <w:rFonts w:hint="eastAsia"/>
        </w:rPr>
        <w:t>本計畫牙醫師部分，未完訓PGY</w:t>
      </w:r>
      <w:r w:rsidR="00661CCD" w:rsidRPr="006A0B36">
        <w:rPr>
          <w:rFonts w:hint="eastAsia"/>
        </w:rPr>
        <w:t>2</w:t>
      </w:r>
      <w:r w:rsidRPr="006A0B36">
        <w:rPr>
          <w:rFonts w:hint="eastAsia"/>
        </w:rPr>
        <w:t>者之</w:t>
      </w:r>
      <w:r w:rsidR="008C0652" w:rsidRPr="006A0B36">
        <w:rPr>
          <w:rFonts w:hint="eastAsia"/>
        </w:rPr>
        <w:t>管控</w:t>
      </w:r>
      <w:r w:rsidRPr="006A0B36">
        <w:rPr>
          <w:rFonts w:hint="eastAsia"/>
        </w:rPr>
        <w:t>勾稽及補訓機制為：</w:t>
      </w:r>
    </w:p>
    <w:p w:rsidR="00B66A16" w:rsidRPr="006A0B36" w:rsidRDefault="00B66A16" w:rsidP="00361FE3">
      <w:pPr>
        <w:pStyle w:val="5"/>
        <w:ind w:left="2041" w:hanging="680"/>
      </w:pPr>
      <w:r w:rsidRPr="006A0B36">
        <w:rPr>
          <w:rFonts w:hint="eastAsia"/>
        </w:rPr>
        <w:t>針對牙醫PGY</w:t>
      </w:r>
      <w:r w:rsidR="00216BDD">
        <w:rPr>
          <w:rFonts w:hint="eastAsia"/>
        </w:rPr>
        <w:t>訓練，衛福部已建置「2</w:t>
      </w:r>
      <w:r w:rsidRPr="006A0B36">
        <w:rPr>
          <w:rFonts w:hint="eastAsia"/>
        </w:rPr>
        <w:t>年期牙醫師畢業後一般醫學訓練計畫系統」，</w:t>
      </w:r>
      <w:r w:rsidR="006B3921" w:rsidRPr="006A0B36">
        <w:rPr>
          <w:rFonts w:hint="eastAsia"/>
        </w:rPr>
        <w:t>該</w:t>
      </w:r>
      <w:r w:rsidRPr="006A0B36">
        <w:rPr>
          <w:rFonts w:hint="eastAsia"/>
        </w:rPr>
        <w:t>系統功能包括：人員基本資料、機構基本資料及機構受訓人員之每月受訓資料登錄，資料補登及修改、完訓登錄、人員資格審查、受訓查詢與填報、師資登錄等，是以，可透過</w:t>
      </w:r>
      <w:r w:rsidR="006B3921" w:rsidRPr="006A0B36">
        <w:rPr>
          <w:rFonts w:hint="eastAsia"/>
        </w:rPr>
        <w:t>該</w:t>
      </w:r>
      <w:r w:rsidRPr="006A0B36">
        <w:rPr>
          <w:rFonts w:hint="eastAsia"/>
        </w:rPr>
        <w:t>系統</w:t>
      </w:r>
      <w:r w:rsidR="006B3921" w:rsidRPr="006A0B36">
        <w:rPr>
          <w:rFonts w:hint="eastAsia"/>
        </w:rPr>
        <w:t>來</w:t>
      </w:r>
      <w:r w:rsidRPr="006A0B36">
        <w:rPr>
          <w:rFonts w:hint="eastAsia"/>
        </w:rPr>
        <w:t>瞭解人員接</w:t>
      </w:r>
      <w:r w:rsidRPr="006A0B36">
        <w:rPr>
          <w:rFonts w:hint="eastAsia"/>
        </w:rPr>
        <w:lastRenderedPageBreak/>
        <w:t>受PGY訓練情況，對未完成訓練之PGY</w:t>
      </w:r>
      <w:r w:rsidR="00661CCD" w:rsidRPr="006A0B36">
        <w:rPr>
          <w:rFonts w:hint="eastAsia"/>
        </w:rPr>
        <w:t>2</w:t>
      </w:r>
      <w:r w:rsidRPr="006A0B36">
        <w:rPr>
          <w:rFonts w:hint="eastAsia"/>
        </w:rPr>
        <w:t>受訓人員，委辦單位每月會以電子郵件提醒訓練機構，以掌握受訓人員訓練情況，並協助其完訓。</w:t>
      </w:r>
    </w:p>
    <w:p w:rsidR="00B66A16" w:rsidRPr="006A0B36" w:rsidRDefault="00B66A16" w:rsidP="00361FE3">
      <w:pPr>
        <w:pStyle w:val="5"/>
        <w:ind w:left="2041" w:hanging="680"/>
      </w:pPr>
      <w:r w:rsidRPr="006A0B36">
        <w:rPr>
          <w:rFonts w:hint="eastAsia"/>
        </w:rPr>
        <w:t>因本訓練係屬負責醫師訓練，並不具有強制性；未參訓原因包括牙醫師無開業之意願或出國、升學、進修，或僅選擇當執業醫師等。惟日後牙醫師希望再參加PGY訓練者，均可再申請參訓。為此，衛福部已於PGY系統網站，提供核定辦理牙醫PGY訓練計畫機構之清單、容額及機構招收訊息，供牙醫師參考。</w:t>
      </w:r>
    </w:p>
    <w:p w:rsidR="0075471F" w:rsidRPr="006A0B36" w:rsidRDefault="00361FE3" w:rsidP="00361FE3">
      <w:pPr>
        <w:pStyle w:val="4"/>
        <w:ind w:left="1700" w:hanging="680"/>
      </w:pPr>
      <w:r w:rsidRPr="006A0B36">
        <w:rPr>
          <w:rFonts w:hint="eastAsia"/>
        </w:rPr>
        <w:lastRenderedPageBreak/>
        <w:t>有關</w:t>
      </w:r>
      <w:r w:rsidR="00B66A16" w:rsidRPr="006A0B36">
        <w:rPr>
          <w:rFonts w:hint="eastAsia"/>
        </w:rPr>
        <w:t>本計畫中醫師部分之</w:t>
      </w:r>
      <w:r w:rsidR="008C0652" w:rsidRPr="006A0B36">
        <w:rPr>
          <w:rFonts w:hint="eastAsia"/>
        </w:rPr>
        <w:t>管控勾稽</w:t>
      </w:r>
      <w:r w:rsidR="00B66A16" w:rsidRPr="006A0B36">
        <w:rPr>
          <w:rFonts w:hint="eastAsia"/>
        </w:rPr>
        <w:t>及補訓機制為：</w:t>
      </w:r>
    </w:p>
    <w:p w:rsidR="00B66A16" w:rsidRPr="006A0B36" w:rsidRDefault="00B66A16" w:rsidP="00361FE3">
      <w:pPr>
        <w:pStyle w:val="5"/>
        <w:ind w:left="2041" w:hanging="680"/>
      </w:pPr>
      <w:r w:rsidRPr="006A0B36">
        <w:rPr>
          <w:rFonts w:hint="eastAsia"/>
        </w:rPr>
        <w:t>中醫係辦理中醫醫療機構負責醫師訓練，</w:t>
      </w:r>
      <w:r w:rsidR="00204F5B" w:rsidRPr="006A0B36">
        <w:rPr>
          <w:rFonts w:hint="eastAsia"/>
        </w:rPr>
        <w:t>並</w:t>
      </w:r>
      <w:r w:rsidRPr="006A0B36">
        <w:rPr>
          <w:rFonts w:hint="eastAsia"/>
        </w:rPr>
        <w:t>非PGY，目前中醫尚</w:t>
      </w:r>
      <w:r w:rsidR="007C26DB" w:rsidRPr="006A0B36">
        <w:rPr>
          <w:rFonts w:hint="eastAsia"/>
        </w:rPr>
        <w:t>未</w:t>
      </w:r>
      <w:r w:rsidRPr="006A0B36">
        <w:rPr>
          <w:rFonts w:hint="eastAsia"/>
        </w:rPr>
        <w:t>推動PGY制度。</w:t>
      </w:r>
    </w:p>
    <w:p w:rsidR="00B66A16" w:rsidRPr="006A0B36" w:rsidRDefault="00B66A16" w:rsidP="00361FE3">
      <w:pPr>
        <w:pStyle w:val="5"/>
        <w:ind w:left="2041" w:hanging="680"/>
      </w:pPr>
      <w:r w:rsidRPr="006A0B36">
        <w:rPr>
          <w:rFonts w:hint="eastAsia"/>
        </w:rPr>
        <w:t>為落實醫療法第18條第2項規定，衛福部於99年公告，</w:t>
      </w:r>
      <w:r w:rsidR="007C26DB" w:rsidRPr="006A0B36">
        <w:rPr>
          <w:rFonts w:hint="eastAsia"/>
        </w:rPr>
        <w:t>自</w:t>
      </w:r>
      <w:r w:rsidRPr="006A0B36">
        <w:rPr>
          <w:rFonts w:hint="eastAsia"/>
        </w:rPr>
        <w:t>103年起，欲擔任中醫機構負責醫師者，須於教學醫院或中醫評鑑合格醫院，接受2年訓練，始得開業。為輔導前開醫院熟悉訓練內容，衛福部爰於98年辦理「中醫醫療機構負責醫師訓練計畫」。</w:t>
      </w:r>
    </w:p>
    <w:p w:rsidR="00B66A16" w:rsidRPr="006A0B36" w:rsidRDefault="00B66A16" w:rsidP="00361FE3">
      <w:pPr>
        <w:pStyle w:val="5"/>
        <w:ind w:left="2041" w:hanging="680"/>
      </w:pPr>
      <w:r w:rsidRPr="006A0B36">
        <w:rPr>
          <w:rFonts w:hint="eastAsia"/>
        </w:rPr>
        <w:t>中醫負責醫師訓練制度在103年才正式落實，在102年</w:t>
      </w:r>
      <w:r w:rsidRPr="006A0B36">
        <w:rPr>
          <w:rFonts w:hint="eastAsia"/>
        </w:rPr>
        <w:lastRenderedPageBreak/>
        <w:t>以前係輔導性質，爰此參訓率較低；在103年起已逐年快速成長，補助醫院家數及受訓醫師人數，106年已擴增至39家(359位受訓醫師)，參訓率為61%。</w:t>
      </w:r>
    </w:p>
    <w:p w:rsidR="00B66A16" w:rsidRPr="006A0B36" w:rsidRDefault="00B66A16" w:rsidP="002201F0">
      <w:pPr>
        <w:pStyle w:val="5"/>
        <w:ind w:left="2041" w:hanging="680"/>
      </w:pPr>
      <w:r w:rsidRPr="006A0B36">
        <w:rPr>
          <w:rFonts w:hint="eastAsia"/>
        </w:rPr>
        <w:t>對於中醫</w:t>
      </w:r>
      <w:r w:rsidR="00323AFE" w:rsidRPr="006A0B36">
        <w:rPr>
          <w:rFonts w:hint="eastAsia"/>
        </w:rPr>
        <w:t>學系</w:t>
      </w:r>
      <w:r w:rsidRPr="006A0B36">
        <w:rPr>
          <w:rFonts w:hint="eastAsia"/>
        </w:rPr>
        <w:t>畢業生未能於次年參與本訓練計畫者，均可隨時透過衛福部逐年辦理之「中醫負責醫師訓練媒合計畫」，接受本項訓練。</w:t>
      </w:r>
    </w:p>
    <w:p w:rsidR="00531635" w:rsidRPr="006A0B36" w:rsidRDefault="008C0652" w:rsidP="00531635">
      <w:pPr>
        <w:pStyle w:val="4"/>
        <w:ind w:left="1700" w:hanging="680"/>
      </w:pPr>
      <w:r w:rsidRPr="006A0B36">
        <w:rPr>
          <w:rFonts w:hint="eastAsia"/>
        </w:rPr>
        <w:t>對於</w:t>
      </w:r>
      <w:r w:rsidR="00531635" w:rsidRPr="006A0B36">
        <w:rPr>
          <w:rFonts w:hint="eastAsia"/>
        </w:rPr>
        <w:t>其他醫事職類</w:t>
      </w:r>
      <w:r w:rsidRPr="006A0B36">
        <w:rPr>
          <w:rFonts w:hint="eastAsia"/>
        </w:rPr>
        <w:t>人員而言</w:t>
      </w:r>
      <w:r w:rsidR="00531635" w:rsidRPr="006A0B36">
        <w:rPr>
          <w:rFonts w:hint="eastAsia"/>
        </w:rPr>
        <w:t>，</w:t>
      </w:r>
      <w:r w:rsidRPr="006A0B36">
        <w:rPr>
          <w:rFonts w:hint="eastAsia"/>
        </w:rPr>
        <w:t>基於</w:t>
      </w:r>
      <w:r w:rsidR="00531635" w:rsidRPr="006A0B36">
        <w:rPr>
          <w:rFonts w:hint="eastAsia"/>
        </w:rPr>
        <w:t>目前臨床醫事人員培訓計畫，係屬鼓勵性質並非強制</w:t>
      </w:r>
      <w:r w:rsidRPr="006A0B36">
        <w:rPr>
          <w:rFonts w:hint="eastAsia"/>
        </w:rPr>
        <w:t>要求</w:t>
      </w:r>
      <w:r w:rsidR="00531635" w:rsidRPr="006A0B36">
        <w:rPr>
          <w:rFonts w:hint="eastAsia"/>
        </w:rPr>
        <w:t>參加，</w:t>
      </w:r>
      <w:r w:rsidRPr="006A0B36">
        <w:rPr>
          <w:rFonts w:hint="eastAsia"/>
        </w:rPr>
        <w:t>故尚無相關管控勾稽及補訓機制</w:t>
      </w:r>
      <w:r w:rsidR="00531635" w:rsidRPr="006A0B36">
        <w:rPr>
          <w:rFonts w:hint="eastAsia"/>
        </w:rPr>
        <w:t>。</w:t>
      </w:r>
    </w:p>
    <w:p w:rsidR="00906D65" w:rsidRPr="006A0B36" w:rsidRDefault="00B90530" w:rsidP="00667592">
      <w:pPr>
        <w:pStyle w:val="3"/>
        <w:ind w:left="1360" w:hanging="680"/>
      </w:pPr>
      <w:r w:rsidRPr="006A0B36">
        <w:rPr>
          <w:rFonts w:hAnsi="標楷體" w:hint="eastAsia"/>
          <w:szCs w:val="32"/>
        </w:rPr>
        <w:lastRenderedPageBreak/>
        <w:t>又</w:t>
      </w:r>
      <w:r w:rsidR="00BB037B" w:rsidRPr="006A0B36">
        <w:rPr>
          <w:rFonts w:hAnsi="標楷體" w:hint="eastAsia"/>
          <w:szCs w:val="32"/>
        </w:rPr>
        <w:t>查</w:t>
      </w:r>
      <w:r w:rsidR="002E6AD8" w:rsidRPr="006A0B36">
        <w:rPr>
          <w:rFonts w:hAnsi="標楷體" w:hint="eastAsia"/>
          <w:szCs w:val="32"/>
        </w:rPr>
        <w:t>現行醫事人員執業登記及繼續教育辦法已有</w:t>
      </w:r>
      <w:r w:rsidR="00522B52" w:rsidRPr="006A0B36">
        <w:rPr>
          <w:rFonts w:hAnsi="標楷體" w:hint="eastAsia"/>
          <w:szCs w:val="32"/>
        </w:rPr>
        <w:t>「醫事人員</w:t>
      </w:r>
      <w:r w:rsidR="002E6AD8" w:rsidRPr="006A0B36">
        <w:rPr>
          <w:rFonts w:hint="eastAsia"/>
        </w:rPr>
        <w:t>執業，應接受繼續教育，並每</w:t>
      </w:r>
      <w:r w:rsidR="00BB037B" w:rsidRPr="006A0B36">
        <w:rPr>
          <w:rFonts w:hint="eastAsia"/>
        </w:rPr>
        <w:t>6</w:t>
      </w:r>
      <w:r w:rsidR="002E6AD8" w:rsidRPr="006A0B36">
        <w:rPr>
          <w:rFonts w:hint="eastAsia"/>
        </w:rPr>
        <w:t>年提出完成繼續教育證明文件，辦理執業執照更新。</w:t>
      </w:r>
      <w:r w:rsidR="00522B52" w:rsidRPr="006A0B36">
        <w:rPr>
          <w:rFonts w:hint="eastAsia"/>
        </w:rPr>
        <w:t>」之強制規定</w:t>
      </w:r>
      <w:r w:rsidR="002E6AD8" w:rsidRPr="006A0B36">
        <w:rPr>
          <w:rFonts w:hAnsi="標楷體" w:hint="eastAsia"/>
          <w:szCs w:val="32"/>
        </w:rPr>
        <w:t>，</w:t>
      </w:r>
      <w:r w:rsidR="00522B52" w:rsidRPr="006A0B36">
        <w:rPr>
          <w:rFonts w:hAnsi="標楷體" w:hint="eastAsia"/>
          <w:szCs w:val="32"/>
        </w:rPr>
        <w:t>故</w:t>
      </w:r>
      <w:r w:rsidR="00906D65" w:rsidRPr="006A0B36">
        <w:rPr>
          <w:rFonts w:hAnsi="標楷體" w:hint="eastAsia"/>
          <w:szCs w:val="32"/>
        </w:rPr>
        <w:t>衛福部</w:t>
      </w:r>
      <w:r w:rsidR="00522B52" w:rsidRPr="006A0B36">
        <w:rPr>
          <w:rFonts w:hAnsi="標楷體" w:hint="eastAsia"/>
          <w:szCs w:val="32"/>
        </w:rPr>
        <w:t>允宜研</w:t>
      </w:r>
      <w:r w:rsidR="00790E81" w:rsidRPr="006A0B36">
        <w:rPr>
          <w:rFonts w:hAnsi="標楷體" w:hint="eastAsia"/>
          <w:szCs w:val="32"/>
        </w:rPr>
        <w:t>議</w:t>
      </w:r>
      <w:r w:rsidR="00522B52" w:rsidRPr="006A0B36">
        <w:rPr>
          <w:rFonts w:hAnsi="標楷體" w:hint="eastAsia"/>
          <w:szCs w:val="32"/>
        </w:rPr>
        <w:t>將</w:t>
      </w:r>
      <w:r w:rsidR="008F03BB" w:rsidRPr="006A0B36">
        <w:rPr>
          <w:rFonts w:hint="eastAsia"/>
          <w:szCs w:val="32"/>
        </w:rPr>
        <w:t>強制參與</w:t>
      </w:r>
      <w:r w:rsidR="00906D65" w:rsidRPr="006A0B36">
        <w:rPr>
          <w:rFonts w:hAnsi="標楷體" w:hint="eastAsia"/>
          <w:szCs w:val="32"/>
        </w:rPr>
        <w:t>本計畫</w:t>
      </w:r>
      <w:r w:rsidR="00522B52" w:rsidRPr="006A0B36">
        <w:rPr>
          <w:rFonts w:hAnsi="標楷體" w:hint="eastAsia"/>
          <w:szCs w:val="32"/>
        </w:rPr>
        <w:t>納為</w:t>
      </w:r>
      <w:r w:rsidR="00790E81" w:rsidRPr="006A0B36">
        <w:rPr>
          <w:rFonts w:hAnsi="標楷體" w:hint="eastAsia"/>
          <w:szCs w:val="32"/>
        </w:rPr>
        <w:t>完成</w:t>
      </w:r>
      <w:r w:rsidR="00522B52" w:rsidRPr="006A0B36">
        <w:rPr>
          <w:rFonts w:hint="eastAsia"/>
          <w:szCs w:val="32"/>
        </w:rPr>
        <w:t>新進醫事人員臨床訓練</w:t>
      </w:r>
      <w:r w:rsidR="008F03BB" w:rsidRPr="006A0B36">
        <w:rPr>
          <w:rFonts w:hint="eastAsia"/>
          <w:szCs w:val="32"/>
        </w:rPr>
        <w:t>課程</w:t>
      </w:r>
      <w:r w:rsidR="00522B52" w:rsidRPr="006A0B36">
        <w:rPr>
          <w:rFonts w:hint="eastAsia"/>
          <w:szCs w:val="32"/>
        </w:rPr>
        <w:t>之</w:t>
      </w:r>
      <w:r w:rsidR="008F03BB" w:rsidRPr="006A0B36">
        <w:rPr>
          <w:rFonts w:hint="eastAsia"/>
          <w:szCs w:val="32"/>
        </w:rPr>
        <w:t>必備文件</w:t>
      </w:r>
      <w:r w:rsidR="00522B52" w:rsidRPr="006A0B36">
        <w:rPr>
          <w:rFonts w:hint="eastAsia"/>
          <w:szCs w:val="32"/>
        </w:rPr>
        <w:t>，方可依法</w:t>
      </w:r>
      <w:r w:rsidR="00FE263B" w:rsidRPr="006A0B36">
        <w:rPr>
          <w:rFonts w:hint="eastAsia"/>
          <w:szCs w:val="32"/>
        </w:rPr>
        <w:t>據以</w:t>
      </w:r>
      <w:r w:rsidR="00522B52" w:rsidRPr="006A0B36">
        <w:rPr>
          <w:rFonts w:hint="eastAsia"/>
          <w:szCs w:val="32"/>
        </w:rPr>
        <w:t>規劃</w:t>
      </w:r>
      <w:r w:rsidR="00522B52" w:rsidRPr="006A0B36">
        <w:rPr>
          <w:rFonts w:hint="eastAsia"/>
        </w:rPr>
        <w:t>相關配套管控勾稽機制及補訓措施</w:t>
      </w:r>
      <w:r w:rsidR="00906D65" w:rsidRPr="006A0B36">
        <w:rPr>
          <w:rFonts w:hAnsi="標楷體" w:hint="eastAsia"/>
          <w:szCs w:val="32"/>
        </w:rPr>
        <w:t>。</w:t>
      </w:r>
    </w:p>
    <w:p w:rsidR="00B66A16" w:rsidRPr="006A0B36" w:rsidRDefault="00361FE3" w:rsidP="00361FE3">
      <w:pPr>
        <w:pStyle w:val="3"/>
        <w:ind w:left="1360" w:hanging="680"/>
      </w:pPr>
      <w:r w:rsidRPr="006A0B36">
        <w:rPr>
          <w:rFonts w:hint="eastAsia"/>
        </w:rPr>
        <w:t>質言之，衛福部辦理醫培計畫，除了醫師</w:t>
      </w:r>
      <w:r w:rsidR="00F338CC" w:rsidRPr="006A0B36">
        <w:rPr>
          <w:rFonts w:hint="eastAsia"/>
        </w:rPr>
        <w:t>（含牙醫師、中醫師）</w:t>
      </w:r>
      <w:r w:rsidRPr="006A0B36">
        <w:rPr>
          <w:rFonts w:hint="eastAsia"/>
        </w:rPr>
        <w:t>部分之外，其他各類醫事人員均無法</w:t>
      </w:r>
      <w:r w:rsidR="00BB037B" w:rsidRPr="006A0B36">
        <w:rPr>
          <w:rFonts w:hint="eastAsia"/>
        </w:rPr>
        <w:t>有效</w:t>
      </w:r>
      <w:r w:rsidRPr="006A0B36">
        <w:rPr>
          <w:rFonts w:hint="eastAsia"/>
        </w:rPr>
        <w:t>掌握未完訓學員資訊，相關</w:t>
      </w:r>
      <w:r w:rsidR="002E6AD8" w:rsidRPr="006A0B36">
        <w:rPr>
          <w:rFonts w:hint="eastAsia"/>
        </w:rPr>
        <w:t>配套</w:t>
      </w:r>
      <w:r w:rsidRPr="006A0B36">
        <w:rPr>
          <w:rFonts w:hint="eastAsia"/>
        </w:rPr>
        <w:t>管控勾稽機制</w:t>
      </w:r>
      <w:r w:rsidR="008F03BB" w:rsidRPr="006A0B36">
        <w:rPr>
          <w:rFonts w:hint="eastAsia"/>
        </w:rPr>
        <w:t>及補訓措施</w:t>
      </w:r>
      <w:r w:rsidR="006B3921" w:rsidRPr="006A0B36">
        <w:rPr>
          <w:rFonts w:hint="eastAsia"/>
        </w:rPr>
        <w:t>均</w:t>
      </w:r>
      <w:r w:rsidR="002201F0" w:rsidRPr="006A0B36">
        <w:rPr>
          <w:rFonts w:hint="eastAsia"/>
        </w:rPr>
        <w:t>付之闕如</w:t>
      </w:r>
      <w:r w:rsidR="008F03BB" w:rsidRPr="006A0B36">
        <w:rPr>
          <w:rFonts w:hint="eastAsia"/>
        </w:rPr>
        <w:t>，</w:t>
      </w:r>
      <w:r w:rsidRPr="006A0B36">
        <w:rPr>
          <w:rFonts w:hint="eastAsia"/>
        </w:rPr>
        <w:lastRenderedPageBreak/>
        <w:t>洵應</w:t>
      </w:r>
      <w:r w:rsidR="00B90530" w:rsidRPr="006A0B36">
        <w:rPr>
          <w:rFonts w:hint="eastAsia"/>
        </w:rPr>
        <w:t>研議檢討</w:t>
      </w:r>
      <w:r w:rsidRPr="006A0B36">
        <w:rPr>
          <w:rFonts w:hint="eastAsia"/>
        </w:rPr>
        <w:t>改善</w:t>
      </w:r>
      <w:r w:rsidR="00906D65" w:rsidRPr="006A0B36">
        <w:rPr>
          <w:rFonts w:hint="eastAsia"/>
        </w:rPr>
        <w:t>。</w:t>
      </w:r>
    </w:p>
    <w:p w:rsidR="00B56287" w:rsidRPr="006A0B36" w:rsidRDefault="00B56287" w:rsidP="00B56287">
      <w:pPr>
        <w:pStyle w:val="2"/>
        <w:ind w:left="1020" w:hanging="680"/>
      </w:pPr>
      <w:r w:rsidRPr="006A0B36">
        <w:rPr>
          <w:rFonts w:hint="eastAsia"/>
          <w:b/>
          <w:color w:val="000000"/>
        </w:rPr>
        <w:t>衛</w:t>
      </w:r>
      <w:r w:rsidRPr="006A0B36">
        <w:rPr>
          <w:rFonts w:hint="eastAsia"/>
          <w:b/>
        </w:rPr>
        <w:t>福部辦理醫培計畫，其受訓學員雖已具備醫事人員專業執業證照，惟尚屬資淺初學臨床技能階段，各醫療院所宜否將其納為全職專責人力</w:t>
      </w:r>
      <w:r w:rsidR="008343FA" w:rsidRPr="006A0B36">
        <w:rPr>
          <w:rFonts w:hint="eastAsia"/>
          <w:b/>
        </w:rPr>
        <w:t>獨自從事診療</w:t>
      </w:r>
      <w:r w:rsidR="00AC0B44">
        <w:rPr>
          <w:rFonts w:hint="eastAsia"/>
          <w:b/>
        </w:rPr>
        <w:t>業務</w:t>
      </w:r>
      <w:r w:rsidRPr="006A0B36">
        <w:rPr>
          <w:rFonts w:hint="eastAsia"/>
          <w:b/>
        </w:rPr>
        <w:t>，</w:t>
      </w:r>
      <w:r w:rsidR="00B47FE9" w:rsidRPr="006A0B36">
        <w:rPr>
          <w:rFonts w:hint="eastAsia"/>
          <w:b/>
        </w:rPr>
        <w:t>應視</w:t>
      </w:r>
      <w:r w:rsidR="00F11CBF" w:rsidRPr="006A0B36">
        <w:rPr>
          <w:rFonts w:hint="eastAsia"/>
          <w:b/>
        </w:rPr>
        <w:t>其</w:t>
      </w:r>
      <w:r w:rsidR="00B93190" w:rsidRPr="006A0B36">
        <w:rPr>
          <w:rFonts w:hint="eastAsia"/>
          <w:b/>
        </w:rPr>
        <w:t>實際參與醫療工作或專注於培訓本務所投注之心力而定</w:t>
      </w:r>
      <w:r w:rsidR="00B47FE9" w:rsidRPr="006A0B36">
        <w:rPr>
          <w:rFonts w:hint="eastAsia"/>
          <w:b/>
        </w:rPr>
        <w:t>，惟當前各院之</w:t>
      </w:r>
      <w:r w:rsidRPr="006A0B36">
        <w:rPr>
          <w:rFonts w:hint="eastAsia"/>
          <w:b/>
        </w:rPr>
        <w:t>實務作法不一，</w:t>
      </w:r>
      <w:r w:rsidR="008343FA" w:rsidRPr="006A0B36">
        <w:rPr>
          <w:rFonts w:hint="eastAsia"/>
          <w:b/>
        </w:rPr>
        <w:t>該部</w:t>
      </w:r>
      <w:r w:rsidR="00B47FE9" w:rsidRPr="006A0B36">
        <w:rPr>
          <w:rFonts w:hint="eastAsia"/>
          <w:b/>
        </w:rPr>
        <w:t>允</w:t>
      </w:r>
      <w:r w:rsidR="00F11CBF" w:rsidRPr="006A0B36">
        <w:rPr>
          <w:rFonts w:hint="eastAsia"/>
          <w:b/>
        </w:rPr>
        <w:t>宜</w:t>
      </w:r>
      <w:r w:rsidR="00B47FE9" w:rsidRPr="006A0B36">
        <w:rPr>
          <w:rFonts w:hint="eastAsia"/>
          <w:b/>
        </w:rPr>
        <w:t>檢討</w:t>
      </w:r>
      <w:r w:rsidR="008343FA" w:rsidRPr="006A0B36">
        <w:rPr>
          <w:rFonts w:hint="eastAsia"/>
          <w:b/>
        </w:rPr>
        <w:t>釐訂相關基本規範，以確保醫療</w:t>
      </w:r>
      <w:r w:rsidR="00AC0B44" w:rsidRPr="006A0B36">
        <w:rPr>
          <w:rFonts w:hint="eastAsia"/>
          <w:b/>
        </w:rPr>
        <w:t>服務</w:t>
      </w:r>
      <w:r w:rsidR="008343FA" w:rsidRPr="006A0B36">
        <w:rPr>
          <w:rFonts w:hint="eastAsia"/>
          <w:b/>
        </w:rPr>
        <w:t>品質</w:t>
      </w:r>
      <w:r w:rsidRPr="006A0B36">
        <w:rPr>
          <w:rFonts w:hint="eastAsia"/>
          <w:b/>
        </w:rPr>
        <w:t>：</w:t>
      </w:r>
    </w:p>
    <w:p w:rsidR="00B56287" w:rsidRPr="006A0B36" w:rsidRDefault="00410B0C" w:rsidP="00B56287">
      <w:pPr>
        <w:pStyle w:val="3"/>
        <w:ind w:left="1360" w:hanging="680"/>
      </w:pPr>
      <w:r w:rsidRPr="006A0B36">
        <w:rPr>
          <w:rFonts w:hint="eastAsia"/>
        </w:rPr>
        <w:t>卷查</w:t>
      </w:r>
      <w:r w:rsidR="00B56287" w:rsidRPr="006A0B36">
        <w:rPr>
          <w:rFonts w:hint="eastAsia"/>
          <w:szCs w:val="32"/>
        </w:rPr>
        <w:t>衛福部辦理醫培計畫之重要性，誠如該部查復本院函</w:t>
      </w:r>
      <w:bookmarkStart w:id="54" w:name="_GoBack"/>
      <w:bookmarkEnd w:id="54"/>
      <w:r w:rsidR="00B56287" w:rsidRPr="006A0B36">
        <w:rPr>
          <w:rFonts w:hint="eastAsia"/>
          <w:szCs w:val="32"/>
        </w:rPr>
        <w:lastRenderedPageBreak/>
        <w:t>文</w:t>
      </w:r>
      <w:r w:rsidR="00454572" w:rsidRPr="006A0B36">
        <w:rPr>
          <w:rStyle w:val="af5"/>
          <w:szCs w:val="32"/>
        </w:rPr>
        <w:footnoteReference w:id="9"/>
      </w:r>
      <w:r w:rsidR="00B56287" w:rsidRPr="006A0B36">
        <w:rPr>
          <w:rFonts w:hint="eastAsia"/>
          <w:szCs w:val="32"/>
        </w:rPr>
        <w:t>指出「醫事人員如未經過完整的臨床訓練即參與醫療照護，將嚴重危害病人之安全，故應對於新進醫事人員，給予1-2年臨床訓練，民眾才可接受到安全且有品質的醫療服務。」</w:t>
      </w:r>
    </w:p>
    <w:p w:rsidR="00B56287" w:rsidRPr="006A0B36" w:rsidRDefault="00410B0C" w:rsidP="00AC0B44">
      <w:pPr>
        <w:pStyle w:val="3"/>
      </w:pPr>
      <w:r w:rsidRPr="006A0B36">
        <w:rPr>
          <w:rFonts w:hint="eastAsia"/>
        </w:rPr>
        <w:t>次</w:t>
      </w:r>
      <w:r w:rsidR="00B56287" w:rsidRPr="006A0B36">
        <w:rPr>
          <w:rFonts w:hint="eastAsia"/>
        </w:rPr>
        <w:t>查衛福部辦理醫培計畫之受訓學員，均為各醫療院所之新進醫事人員，故依法必須先取得醫事人員專業執業證照始能聘用，惟渠等尚屬資淺初學臨床技能階段，各醫療院所將其納為全職專責人力之作法迥異，於未受完整訓練「學藝不</w:t>
      </w:r>
      <w:r w:rsidR="00B56287" w:rsidRPr="006A0B36">
        <w:rPr>
          <w:rFonts w:hint="eastAsia"/>
        </w:rPr>
        <w:lastRenderedPageBreak/>
        <w:t>精」前，便貿然賦予第一線面對病患之診療工作，其醫療</w:t>
      </w:r>
      <w:r w:rsidR="00AC0B44" w:rsidRPr="00AC0B44">
        <w:rPr>
          <w:rFonts w:hint="eastAsia"/>
        </w:rPr>
        <w:t>服務</w:t>
      </w:r>
      <w:r w:rsidR="00B56287" w:rsidRPr="006A0B36">
        <w:rPr>
          <w:rFonts w:hint="eastAsia"/>
        </w:rPr>
        <w:t>品質</w:t>
      </w:r>
      <w:r w:rsidR="00B47FE9" w:rsidRPr="006A0B36">
        <w:rPr>
          <w:rFonts w:hint="eastAsia"/>
        </w:rPr>
        <w:t>相對較差</w:t>
      </w:r>
      <w:r w:rsidR="00F11A5E" w:rsidRPr="006A0B36">
        <w:rPr>
          <w:rFonts w:hint="eastAsia"/>
        </w:rPr>
        <w:t>，</w:t>
      </w:r>
      <w:r w:rsidR="003045CB" w:rsidRPr="006A0B36">
        <w:rPr>
          <w:rFonts w:hint="eastAsia"/>
        </w:rPr>
        <w:t>恐</w:t>
      </w:r>
      <w:r w:rsidR="00F11A5E" w:rsidRPr="006A0B36">
        <w:rPr>
          <w:rFonts w:hint="eastAsia"/>
        </w:rPr>
        <w:t>難以獲得病患之信賴</w:t>
      </w:r>
      <w:r w:rsidR="00B56287" w:rsidRPr="006A0B36">
        <w:rPr>
          <w:rFonts w:hint="eastAsia"/>
        </w:rPr>
        <w:t>。</w:t>
      </w:r>
    </w:p>
    <w:p w:rsidR="00410B0C" w:rsidRPr="006A0B36" w:rsidRDefault="00410B0C" w:rsidP="00B56287">
      <w:pPr>
        <w:pStyle w:val="3"/>
        <w:ind w:left="1360" w:hanging="680"/>
      </w:pPr>
      <w:r w:rsidRPr="006A0B36">
        <w:rPr>
          <w:rFonts w:hint="eastAsia"/>
        </w:rPr>
        <w:t>再者，本院諮詢之專家學者曾指出</w:t>
      </w:r>
      <w:r w:rsidR="003775C0" w:rsidRPr="006A0B36">
        <w:rPr>
          <w:rFonts w:ascii="Times New Roman" w:hint="eastAsia"/>
          <w:color w:val="000000"/>
        </w:rPr>
        <w:t>「</w:t>
      </w:r>
      <w:r w:rsidR="003775C0" w:rsidRPr="006A0B36">
        <w:rPr>
          <w:rFonts w:hint="eastAsia"/>
        </w:rPr>
        <w:t>醫培計畫這個制度就好像汽車出廠後，再全部叫回來修理，這樣的公司是不好的，我們不能在醫學生畢業前沒訓練好又叫回來訓練。</w:t>
      </w:r>
      <w:r w:rsidR="003775C0" w:rsidRPr="006A0B36">
        <w:rPr>
          <w:rFonts w:ascii="Times New Roman" w:hint="eastAsia"/>
          <w:color w:val="000000"/>
        </w:rPr>
        <w:t>」、</w:t>
      </w:r>
      <w:r w:rsidRPr="006A0B36">
        <w:rPr>
          <w:rFonts w:ascii="Times New Roman" w:hint="eastAsia"/>
          <w:color w:val="000000"/>
        </w:rPr>
        <w:t>「</w:t>
      </w:r>
      <w:r w:rsidR="00123D04" w:rsidRPr="006A0B36">
        <w:rPr>
          <w:rFonts w:hint="eastAsia"/>
        </w:rPr>
        <w:t>醫培計畫是讓沒有醫師來源的診所收得到人力。</w:t>
      </w:r>
      <w:r w:rsidRPr="006A0B36">
        <w:rPr>
          <w:rFonts w:ascii="Times New Roman" w:hint="eastAsia"/>
          <w:color w:val="000000"/>
        </w:rPr>
        <w:t>」、「</w:t>
      </w:r>
      <w:r w:rsidR="00123D04" w:rsidRPr="006A0B36">
        <w:rPr>
          <w:rFonts w:hint="eastAsia"/>
        </w:rPr>
        <w:t>提早拿到證照，此時的核心能力是否夠資格的問題也值得重視。</w:t>
      </w:r>
      <w:r w:rsidRPr="006A0B36">
        <w:rPr>
          <w:rFonts w:ascii="Times New Roman" w:hint="eastAsia"/>
          <w:color w:val="000000"/>
        </w:rPr>
        <w:t>」、「</w:t>
      </w:r>
      <w:r w:rsidR="00123D04" w:rsidRPr="006A0B36">
        <w:rPr>
          <w:rFonts w:hint="eastAsia"/>
        </w:rPr>
        <w:t>新進人員沒辦法辨認緊急狀況需要急救或其他處置，</w:t>
      </w:r>
      <w:r w:rsidR="00123D04" w:rsidRPr="006A0B36">
        <w:rPr>
          <w:rFonts w:hint="eastAsia"/>
        </w:rPr>
        <w:lastRenderedPageBreak/>
        <w:t>在病人安全方面不太理想。</w:t>
      </w:r>
      <w:r w:rsidRPr="006A0B36">
        <w:rPr>
          <w:rFonts w:ascii="Times New Roman" w:hint="eastAsia"/>
          <w:color w:val="000000"/>
        </w:rPr>
        <w:t>」</w:t>
      </w:r>
      <w:r w:rsidR="00B0716A" w:rsidRPr="006A0B36">
        <w:rPr>
          <w:rStyle w:val="af5"/>
          <w:rFonts w:ascii="Times New Roman"/>
          <w:color w:val="000000"/>
        </w:rPr>
        <w:footnoteReference w:id="10"/>
      </w:r>
      <w:r w:rsidRPr="006A0B36">
        <w:rPr>
          <w:rFonts w:ascii="Times New Roman" w:hint="eastAsia"/>
          <w:color w:val="000000"/>
        </w:rPr>
        <w:t>，</w:t>
      </w:r>
      <w:r w:rsidR="003775C0" w:rsidRPr="006A0B36">
        <w:rPr>
          <w:rFonts w:ascii="Times New Roman" w:hint="eastAsia"/>
          <w:color w:val="000000"/>
        </w:rPr>
        <w:t>足見</w:t>
      </w:r>
      <w:r w:rsidR="00525BB1" w:rsidRPr="006A0B36">
        <w:rPr>
          <w:rFonts w:hint="eastAsia"/>
        </w:rPr>
        <w:t>新進醫事人員</w:t>
      </w:r>
      <w:r w:rsidR="00711397" w:rsidRPr="006A0B36">
        <w:rPr>
          <w:rFonts w:hint="eastAsia"/>
        </w:rPr>
        <w:t>在</w:t>
      </w:r>
      <w:r w:rsidR="003775C0" w:rsidRPr="006A0B36">
        <w:rPr>
          <w:rFonts w:ascii="Times New Roman" w:hint="eastAsia"/>
          <w:color w:val="000000"/>
        </w:rPr>
        <w:t>提供</w:t>
      </w:r>
      <w:r w:rsidR="003775C0" w:rsidRPr="006A0B36">
        <w:rPr>
          <w:rFonts w:hint="eastAsia"/>
        </w:rPr>
        <w:t>病患醫療服務前</w:t>
      </w:r>
      <w:r w:rsidRPr="006A0B36">
        <w:rPr>
          <w:rFonts w:hint="eastAsia"/>
        </w:rPr>
        <w:t>，</w:t>
      </w:r>
      <w:r w:rsidR="003775C0" w:rsidRPr="006A0B36">
        <w:rPr>
          <w:rFonts w:hint="eastAsia"/>
        </w:rPr>
        <w:t>理當事前業已接受完整臨床訓練</w:t>
      </w:r>
      <w:r w:rsidR="00711397" w:rsidRPr="006A0B36">
        <w:rPr>
          <w:rFonts w:hint="eastAsia"/>
        </w:rPr>
        <w:t>，方為正辦</w:t>
      </w:r>
      <w:r w:rsidR="003323F5" w:rsidRPr="006A0B36">
        <w:rPr>
          <w:rFonts w:hint="eastAsia"/>
        </w:rPr>
        <w:t>。</w:t>
      </w:r>
    </w:p>
    <w:p w:rsidR="00B56287" w:rsidRPr="006A0B36" w:rsidRDefault="00B56287" w:rsidP="00B56287">
      <w:pPr>
        <w:pStyle w:val="3"/>
        <w:ind w:left="1360" w:hanging="680"/>
      </w:pPr>
      <w:r w:rsidRPr="006A0B36">
        <w:rPr>
          <w:rFonts w:hint="eastAsia"/>
        </w:rPr>
        <w:t>又查本院</w:t>
      </w:r>
      <w:r w:rsidR="00AC0B44">
        <w:rPr>
          <w:rFonts w:hint="eastAsia"/>
        </w:rPr>
        <w:t>分</w:t>
      </w:r>
      <w:r w:rsidRPr="006A0B36">
        <w:rPr>
          <w:rFonts w:hint="eastAsia"/>
        </w:rPr>
        <w:t>赴</w:t>
      </w:r>
      <w:r w:rsidRPr="006A0B36">
        <w:rPr>
          <w:rFonts w:ascii="Times New Roman" w:hint="eastAsia"/>
          <w:color w:val="000000"/>
        </w:rPr>
        <w:t>北區、中區及南區</w:t>
      </w:r>
      <w:r w:rsidR="00AC0B44">
        <w:rPr>
          <w:rFonts w:ascii="Times New Roman" w:hint="eastAsia"/>
          <w:color w:val="000000"/>
        </w:rPr>
        <w:t>等</w:t>
      </w:r>
      <w:r w:rsidR="00AC0B44">
        <w:rPr>
          <w:rFonts w:ascii="Times New Roman" w:hint="eastAsia"/>
          <w:color w:val="000000"/>
        </w:rPr>
        <w:t>6</w:t>
      </w:r>
      <w:r w:rsidRPr="006A0B36">
        <w:rPr>
          <w:rFonts w:ascii="Times New Roman" w:hint="eastAsia"/>
          <w:color w:val="000000"/>
        </w:rPr>
        <w:t>家教學醫院實地訪查</w:t>
      </w:r>
      <w:r w:rsidR="00AC0B44" w:rsidRPr="006A0B36">
        <w:rPr>
          <w:rFonts w:hint="eastAsia"/>
          <w:szCs w:val="32"/>
        </w:rPr>
        <w:t>醫培計畫之</w:t>
      </w:r>
      <w:r w:rsidRPr="006A0B36">
        <w:rPr>
          <w:rFonts w:ascii="Times New Roman" w:hint="eastAsia"/>
          <w:color w:val="000000"/>
        </w:rPr>
        <w:t>學員</w:t>
      </w:r>
      <w:r w:rsidRPr="006A0B36">
        <w:rPr>
          <w:rFonts w:hint="eastAsia"/>
        </w:rPr>
        <w:t>培訓現況，無論</w:t>
      </w:r>
      <w:r w:rsidRPr="006A0B36">
        <w:rPr>
          <w:rFonts w:hint="eastAsia"/>
          <w:szCs w:val="32"/>
        </w:rPr>
        <w:t>臨床指導教師、</w:t>
      </w:r>
      <w:r w:rsidRPr="006A0B36">
        <w:rPr>
          <w:rFonts w:hint="eastAsia"/>
        </w:rPr>
        <w:t>培訓中之</w:t>
      </w:r>
      <w:r w:rsidRPr="006A0B36">
        <w:rPr>
          <w:rFonts w:ascii="Times New Roman" w:hint="eastAsia"/>
          <w:color w:val="000000"/>
        </w:rPr>
        <w:t>學員，迭有反應「</w:t>
      </w:r>
      <w:r w:rsidR="003323F5" w:rsidRPr="006A0B36">
        <w:rPr>
          <w:rFonts w:hint="eastAsia"/>
        </w:rPr>
        <w:t>醫療的教學和訓練真的是很特別的模式，雖然是有考到證照，但是所有該學的東西不見得能夠百分之百的獨立用在臨床治療上，我們認為要到主治醫師的程度才算</w:t>
      </w:r>
      <w:r w:rsidR="003323F5" w:rsidRPr="006A0B36">
        <w:rPr>
          <w:rFonts w:hint="eastAsia"/>
        </w:rPr>
        <w:lastRenderedPageBreak/>
        <w:t>是有獨立執行業務的能力。</w:t>
      </w:r>
      <w:r w:rsidRPr="006A0B36">
        <w:rPr>
          <w:rFonts w:ascii="Times New Roman" w:hint="eastAsia"/>
          <w:color w:val="000000"/>
        </w:rPr>
        <w:t>」、「</w:t>
      </w:r>
      <w:r w:rsidR="0062706C" w:rsidRPr="006A0B36">
        <w:rPr>
          <w:rFonts w:hint="eastAsia"/>
        </w:rPr>
        <w:t>護理職類指導學員第1個月後開始有獨立照護工作，第3個月開始上晚夜班。</w:t>
      </w:r>
      <w:r w:rsidRPr="006A0B36">
        <w:rPr>
          <w:rFonts w:ascii="Times New Roman" w:hint="eastAsia"/>
          <w:color w:val="000000"/>
        </w:rPr>
        <w:t>」、「</w:t>
      </w:r>
      <w:r w:rsidR="00B1613A" w:rsidRPr="006A0B36">
        <w:rPr>
          <w:rFonts w:hint="eastAsia"/>
        </w:rPr>
        <w:t>藥事職類第3個月開始獨立作業並開始上晚夜班，醫檢(血液、生化及鏡檢)及放射(X光或斷層攝影等)職類大約需1年可獨立進行作業。</w:t>
      </w:r>
      <w:r w:rsidRPr="006A0B36">
        <w:rPr>
          <w:rFonts w:ascii="Times New Roman" w:hint="eastAsia"/>
          <w:color w:val="000000"/>
        </w:rPr>
        <w:t>」、「</w:t>
      </w:r>
      <w:r w:rsidR="00B1613A" w:rsidRPr="006A0B36">
        <w:rPr>
          <w:rFonts w:hint="eastAsia"/>
        </w:rPr>
        <w:t>分別訪談一般外科、急診、心臟內科之護理職類學員，均有甫畢業之畢業生進入接受培訓，顯與單純銜接學校教育有別。</w:t>
      </w:r>
      <w:r w:rsidRPr="006A0B36">
        <w:rPr>
          <w:rFonts w:ascii="Times New Roman" w:hint="eastAsia"/>
          <w:color w:val="000000"/>
        </w:rPr>
        <w:t>」、「</w:t>
      </w:r>
      <w:r w:rsidR="00B1613A" w:rsidRPr="006A0B36">
        <w:rPr>
          <w:rFonts w:hint="eastAsia"/>
        </w:rPr>
        <w:t>本身為中醫診所執業醫師，由三總代訓，惟在三總培訓期間並無相關薪資福利，仍需於夜間或假日回診所看診。</w:t>
      </w:r>
      <w:r w:rsidRPr="006A0B36">
        <w:rPr>
          <w:rFonts w:ascii="Times New Roman" w:hint="eastAsia"/>
          <w:color w:val="000000"/>
        </w:rPr>
        <w:t>」、「</w:t>
      </w:r>
      <w:r w:rsidR="00785609" w:rsidRPr="006A0B36">
        <w:rPr>
          <w:rFonts w:hint="eastAsia"/>
        </w:rPr>
        <w:t>有些醫培計畫學員去到偏</w:t>
      </w:r>
      <w:r w:rsidR="00785609" w:rsidRPr="006A0B36">
        <w:rPr>
          <w:rFonts w:hint="eastAsia"/>
        </w:rPr>
        <w:lastRenderedPageBreak/>
        <w:t>遠地區較缺乏人力的小型醫院，是會被當成支撐整個醫療體系運作的人力資源。</w:t>
      </w:r>
      <w:r w:rsidRPr="006A0B36">
        <w:rPr>
          <w:rFonts w:ascii="Times New Roman" w:hint="eastAsia"/>
          <w:color w:val="000000"/>
        </w:rPr>
        <w:t>」</w:t>
      </w:r>
      <w:r w:rsidR="00B0716A" w:rsidRPr="006A0B36">
        <w:rPr>
          <w:rStyle w:val="af5"/>
          <w:rFonts w:ascii="Times New Roman"/>
          <w:color w:val="000000"/>
        </w:rPr>
        <w:footnoteReference w:id="11"/>
      </w:r>
      <w:r w:rsidRPr="006A0B36">
        <w:rPr>
          <w:rFonts w:ascii="Times New Roman" w:hint="eastAsia"/>
          <w:color w:val="000000"/>
        </w:rPr>
        <w:t>云云，在在顯示</w:t>
      </w:r>
      <w:r w:rsidR="00785609" w:rsidRPr="006A0B36">
        <w:rPr>
          <w:rFonts w:ascii="Times New Roman" w:hint="eastAsia"/>
          <w:color w:val="000000"/>
        </w:rPr>
        <w:t>確有部分</w:t>
      </w:r>
      <w:r w:rsidR="00785609" w:rsidRPr="006A0B36">
        <w:rPr>
          <w:rFonts w:hint="eastAsia"/>
        </w:rPr>
        <w:t>醫療院所將醫培計畫學員納為全職專責(full-time)人力運用之情形。</w:t>
      </w:r>
    </w:p>
    <w:p w:rsidR="00B56287" w:rsidRPr="006A0B36" w:rsidRDefault="00B56287" w:rsidP="00B56287">
      <w:pPr>
        <w:pStyle w:val="3"/>
        <w:ind w:left="1360" w:hanging="680"/>
      </w:pPr>
      <w:r w:rsidRPr="006A0B36">
        <w:rPr>
          <w:rFonts w:hint="eastAsia"/>
        </w:rPr>
        <w:t>質言之，衛福部辦理醫培計畫，其受訓學員雖已</w:t>
      </w:r>
      <w:r w:rsidR="00785609" w:rsidRPr="006A0B36">
        <w:rPr>
          <w:rFonts w:hint="eastAsia"/>
        </w:rPr>
        <w:t>取得</w:t>
      </w:r>
      <w:r w:rsidRPr="006A0B36">
        <w:rPr>
          <w:rFonts w:hint="eastAsia"/>
        </w:rPr>
        <w:t>醫事人員專業執業證照，</w:t>
      </w:r>
      <w:r w:rsidR="00785609" w:rsidRPr="006A0B36">
        <w:rPr>
          <w:rFonts w:hint="eastAsia"/>
        </w:rPr>
        <w:t>具備受聘資格，</w:t>
      </w:r>
      <w:r w:rsidRPr="006A0B36">
        <w:rPr>
          <w:rFonts w:hint="eastAsia"/>
        </w:rPr>
        <w:t>惟尚屬資淺初學臨床技能階段，</w:t>
      </w:r>
      <w:r w:rsidR="00785609" w:rsidRPr="006A0B36">
        <w:rPr>
          <w:rFonts w:hint="eastAsia"/>
        </w:rPr>
        <w:t>是以</w:t>
      </w:r>
      <w:r w:rsidRPr="006A0B36">
        <w:rPr>
          <w:rFonts w:hint="eastAsia"/>
        </w:rPr>
        <w:t>各醫療院所宜否將</w:t>
      </w:r>
      <w:r w:rsidR="000223D0" w:rsidRPr="006A0B36">
        <w:rPr>
          <w:rFonts w:hint="eastAsia"/>
        </w:rPr>
        <w:t>新進醫事人員</w:t>
      </w:r>
      <w:r w:rsidRPr="006A0B36">
        <w:rPr>
          <w:rFonts w:hint="eastAsia"/>
        </w:rPr>
        <w:t>納為全職專責人力</w:t>
      </w:r>
      <w:r w:rsidR="000223D0" w:rsidRPr="006A0B36">
        <w:rPr>
          <w:rFonts w:hint="eastAsia"/>
        </w:rPr>
        <w:t>來</w:t>
      </w:r>
      <w:r w:rsidR="00F11CBF" w:rsidRPr="006A0B36">
        <w:rPr>
          <w:rFonts w:hint="eastAsia"/>
        </w:rPr>
        <w:t>獨自</w:t>
      </w:r>
      <w:r w:rsidR="00785609" w:rsidRPr="006A0B36">
        <w:rPr>
          <w:rFonts w:hint="eastAsia"/>
        </w:rPr>
        <w:t>服務病患</w:t>
      </w:r>
      <w:r w:rsidRPr="006A0B36">
        <w:rPr>
          <w:rFonts w:hint="eastAsia"/>
        </w:rPr>
        <w:t>，</w:t>
      </w:r>
      <w:r w:rsidR="00F11A5E" w:rsidRPr="006A0B36">
        <w:rPr>
          <w:rFonts w:hint="eastAsia"/>
        </w:rPr>
        <w:t>理應視其實際參與醫療工作或專注於</w:t>
      </w:r>
      <w:r w:rsidR="00F11A5E" w:rsidRPr="006A0B36">
        <w:rPr>
          <w:rFonts w:hint="eastAsia"/>
        </w:rPr>
        <w:lastRenderedPageBreak/>
        <w:t>培訓本務所投注之心力而定</w:t>
      </w:r>
      <w:r w:rsidR="003045CB" w:rsidRPr="006A0B36">
        <w:rPr>
          <w:rFonts w:hint="eastAsia"/>
        </w:rPr>
        <w:t>；</w:t>
      </w:r>
      <w:r w:rsidR="00F11A5E" w:rsidRPr="006A0B36">
        <w:rPr>
          <w:rFonts w:hint="eastAsia"/>
        </w:rPr>
        <w:t>惟當前各</w:t>
      </w:r>
      <w:r w:rsidR="003045CB" w:rsidRPr="006A0B36">
        <w:rPr>
          <w:rFonts w:hint="eastAsia"/>
        </w:rPr>
        <w:t>醫</w:t>
      </w:r>
      <w:r w:rsidR="00F11A5E" w:rsidRPr="006A0B36">
        <w:rPr>
          <w:rFonts w:hint="eastAsia"/>
        </w:rPr>
        <w:t>院之實務作法並不一致，</w:t>
      </w:r>
      <w:r w:rsidR="00F62F5F" w:rsidRPr="006A0B36">
        <w:rPr>
          <w:rFonts w:hint="eastAsia"/>
        </w:rPr>
        <w:t>故</w:t>
      </w:r>
      <w:r w:rsidR="00D36823" w:rsidRPr="006A0B36">
        <w:rPr>
          <w:rFonts w:hint="eastAsia"/>
        </w:rPr>
        <w:t>該部</w:t>
      </w:r>
      <w:r w:rsidR="00F11A5E" w:rsidRPr="006A0B36">
        <w:rPr>
          <w:rFonts w:hint="eastAsia"/>
        </w:rPr>
        <w:t>允宜檢討</w:t>
      </w:r>
      <w:r w:rsidR="00D36823" w:rsidRPr="006A0B36">
        <w:rPr>
          <w:rFonts w:hint="eastAsia"/>
        </w:rPr>
        <w:t>釐訂出一套</w:t>
      </w:r>
      <w:r w:rsidR="00F62F5F" w:rsidRPr="006A0B36">
        <w:rPr>
          <w:rFonts w:hint="eastAsia"/>
        </w:rPr>
        <w:t>醫培計畫能力導向之</w:t>
      </w:r>
      <w:r w:rsidR="00D36823" w:rsidRPr="006A0B36">
        <w:rPr>
          <w:rFonts w:hint="eastAsia"/>
        </w:rPr>
        <w:t>受訓學員臨床技能基本要求標準</w:t>
      </w:r>
      <w:r w:rsidR="00F62F5F" w:rsidRPr="006A0B36">
        <w:rPr>
          <w:rFonts w:hint="eastAsia"/>
        </w:rPr>
        <w:t>，凡經檢測符合此門檻者，方可獨</w:t>
      </w:r>
      <w:r w:rsidR="00316942">
        <w:rPr>
          <w:rFonts w:hint="eastAsia"/>
        </w:rPr>
        <w:t>立</w:t>
      </w:r>
      <w:r w:rsidR="00F62F5F" w:rsidRPr="006A0B36">
        <w:rPr>
          <w:rFonts w:hint="eastAsia"/>
        </w:rPr>
        <w:t>服務病患，以確保</w:t>
      </w:r>
      <w:r w:rsidR="008343FA" w:rsidRPr="006A0B36">
        <w:rPr>
          <w:rFonts w:hint="eastAsia"/>
        </w:rPr>
        <w:t>其醫療服務品質與</w:t>
      </w:r>
      <w:r w:rsidR="00F62F5F" w:rsidRPr="006A0B36">
        <w:rPr>
          <w:rFonts w:hint="eastAsia"/>
        </w:rPr>
        <w:t>病人就醫安全</w:t>
      </w:r>
      <w:r w:rsidRPr="006A0B36">
        <w:rPr>
          <w:rFonts w:hint="eastAsia"/>
        </w:rPr>
        <w:t>。</w:t>
      </w:r>
    </w:p>
    <w:p w:rsidR="00BD555B" w:rsidRPr="006A0B36" w:rsidRDefault="00BD555B" w:rsidP="00AA2A7A">
      <w:pPr>
        <w:pStyle w:val="2"/>
        <w:rPr>
          <w:b/>
        </w:rPr>
      </w:pPr>
      <w:r w:rsidRPr="006A0B36">
        <w:rPr>
          <w:rFonts w:hint="eastAsia"/>
          <w:b/>
          <w:color w:val="000000"/>
        </w:rPr>
        <w:t>衛</w:t>
      </w:r>
      <w:r w:rsidRPr="006A0B36">
        <w:rPr>
          <w:rFonts w:hint="eastAsia"/>
          <w:b/>
        </w:rPr>
        <w:t>福部</w:t>
      </w:r>
      <w:r w:rsidR="00E506F8" w:rsidRPr="006A0B36">
        <w:rPr>
          <w:rFonts w:hint="eastAsia"/>
          <w:b/>
        </w:rPr>
        <w:t>目前</w:t>
      </w:r>
      <w:r w:rsidRPr="006A0B36">
        <w:rPr>
          <w:rFonts w:hint="eastAsia"/>
          <w:b/>
        </w:rPr>
        <w:t>辦理醫培計畫</w:t>
      </w:r>
      <w:r w:rsidR="00E506F8" w:rsidRPr="006A0B36">
        <w:rPr>
          <w:rFonts w:hint="eastAsia"/>
          <w:b/>
        </w:rPr>
        <w:t>係</w:t>
      </w:r>
      <w:r w:rsidRPr="006A0B36">
        <w:rPr>
          <w:rFonts w:hint="eastAsia"/>
          <w:b/>
        </w:rPr>
        <w:t>以「</w:t>
      </w:r>
      <w:r w:rsidR="008E1150" w:rsidRPr="006A0B36">
        <w:rPr>
          <w:rFonts w:hint="eastAsia"/>
          <w:b/>
        </w:rPr>
        <w:t>教師</w:t>
      </w:r>
      <w:r w:rsidR="00DB5669" w:rsidRPr="006A0B36">
        <w:rPr>
          <w:rFonts w:hint="eastAsia"/>
          <w:b/>
        </w:rPr>
        <w:t>培育</w:t>
      </w:r>
      <w:r w:rsidR="008E1150" w:rsidRPr="006A0B36">
        <w:rPr>
          <w:rFonts w:hint="eastAsia"/>
          <w:b/>
        </w:rPr>
        <w:t>、</w:t>
      </w:r>
      <w:r w:rsidRPr="006A0B36">
        <w:rPr>
          <w:rFonts w:hint="eastAsia"/>
          <w:b/>
        </w:rPr>
        <w:t>學員學習滿意度」</w:t>
      </w:r>
      <w:r w:rsidR="003564EA" w:rsidRPr="006A0B36">
        <w:rPr>
          <w:rFonts w:hint="eastAsia"/>
          <w:b/>
        </w:rPr>
        <w:t>之問卷調查</w:t>
      </w:r>
      <w:r w:rsidRPr="006A0B36">
        <w:rPr>
          <w:rFonts w:hint="eastAsia"/>
          <w:b/>
        </w:rPr>
        <w:t>作為評量指標，</w:t>
      </w:r>
      <w:r w:rsidR="00734B3E" w:rsidRPr="006A0B36">
        <w:rPr>
          <w:rFonts w:hint="eastAsia"/>
          <w:b/>
        </w:rPr>
        <w:t>恐不易</w:t>
      </w:r>
      <w:r w:rsidR="001E6480" w:rsidRPr="006A0B36">
        <w:rPr>
          <w:rFonts w:hint="eastAsia"/>
          <w:b/>
        </w:rPr>
        <w:t>客觀</w:t>
      </w:r>
      <w:r w:rsidR="00734B3E" w:rsidRPr="006A0B36">
        <w:rPr>
          <w:rFonts w:hint="eastAsia"/>
          <w:b/>
        </w:rPr>
        <w:t>衡量培訓學員是否掌握核心能力以滿足</w:t>
      </w:r>
      <w:r w:rsidR="002807C2" w:rsidRPr="006A0B36">
        <w:rPr>
          <w:rFonts w:hint="eastAsia"/>
          <w:b/>
        </w:rPr>
        <w:t>全人照護</w:t>
      </w:r>
      <w:r w:rsidR="00734B3E" w:rsidRPr="006A0B36">
        <w:rPr>
          <w:rFonts w:hint="eastAsia"/>
          <w:b/>
        </w:rPr>
        <w:t>之</w:t>
      </w:r>
      <w:r w:rsidR="002807C2" w:rsidRPr="006A0B36">
        <w:rPr>
          <w:rFonts w:hint="eastAsia"/>
          <w:b/>
        </w:rPr>
        <w:t>醫療品質</w:t>
      </w:r>
      <w:r w:rsidR="00734B3E" w:rsidRPr="006A0B36">
        <w:rPr>
          <w:rFonts w:hint="eastAsia"/>
          <w:b/>
        </w:rPr>
        <w:t>；又</w:t>
      </w:r>
      <w:r w:rsidR="00015188" w:rsidRPr="006A0B36">
        <w:rPr>
          <w:rFonts w:hint="eastAsia"/>
          <w:b/>
        </w:rPr>
        <w:t>各層級教學</w:t>
      </w:r>
      <w:r w:rsidR="00AA2A7A" w:rsidRPr="006A0B36">
        <w:rPr>
          <w:rFonts w:hint="eastAsia"/>
          <w:b/>
        </w:rPr>
        <w:t>醫院</w:t>
      </w:r>
      <w:r w:rsidR="00E85D34" w:rsidRPr="006A0B36">
        <w:rPr>
          <w:rFonts w:hint="eastAsia"/>
          <w:b/>
        </w:rPr>
        <w:t>間</w:t>
      </w:r>
      <w:r w:rsidR="00AA2A7A" w:rsidRPr="006A0B36">
        <w:rPr>
          <w:rFonts w:hint="eastAsia"/>
          <w:b/>
        </w:rPr>
        <w:t>之</w:t>
      </w:r>
      <w:r w:rsidR="00734B3E" w:rsidRPr="006A0B36">
        <w:rPr>
          <w:rFonts w:hint="eastAsia"/>
          <w:b/>
        </w:rPr>
        <w:t>定位本有</w:t>
      </w:r>
      <w:r w:rsidR="00015188" w:rsidRPr="006A0B36">
        <w:rPr>
          <w:rFonts w:hint="eastAsia"/>
          <w:b/>
        </w:rPr>
        <w:t>不同</w:t>
      </w:r>
      <w:r w:rsidR="00E506F8" w:rsidRPr="006A0B36">
        <w:rPr>
          <w:rFonts w:hint="eastAsia"/>
          <w:b/>
        </w:rPr>
        <w:t>，</w:t>
      </w:r>
      <w:r w:rsidR="00734B3E" w:rsidRPr="006A0B36">
        <w:rPr>
          <w:rFonts w:hint="eastAsia"/>
          <w:b/>
        </w:rPr>
        <w:t>上述問卷調查</w:t>
      </w:r>
      <w:r w:rsidR="003045CB" w:rsidRPr="006A0B36">
        <w:rPr>
          <w:rFonts w:hint="eastAsia"/>
          <w:b/>
        </w:rPr>
        <w:t>結果</w:t>
      </w:r>
      <w:r w:rsidR="00734B3E" w:rsidRPr="006A0B36">
        <w:rPr>
          <w:rFonts w:hint="eastAsia"/>
          <w:b/>
        </w:rPr>
        <w:t>能否互相排比，均</w:t>
      </w:r>
      <w:r w:rsidR="00E506F8" w:rsidRPr="006A0B36">
        <w:rPr>
          <w:rFonts w:hint="eastAsia"/>
          <w:b/>
        </w:rPr>
        <w:t>有研議調整</w:t>
      </w:r>
      <w:r w:rsidR="00E85D34" w:rsidRPr="006A0B36">
        <w:rPr>
          <w:rFonts w:hint="eastAsia"/>
          <w:b/>
        </w:rPr>
        <w:t>之</w:t>
      </w:r>
      <w:r w:rsidR="00734B3E" w:rsidRPr="006A0B36">
        <w:rPr>
          <w:rFonts w:hint="eastAsia"/>
          <w:b/>
        </w:rPr>
        <w:t>空間</w:t>
      </w:r>
      <w:r w:rsidR="00E506F8" w:rsidRPr="006A0B36">
        <w:rPr>
          <w:rFonts w:hint="eastAsia"/>
          <w:b/>
        </w:rPr>
        <w:t>：</w:t>
      </w:r>
    </w:p>
    <w:p w:rsidR="00E506F8" w:rsidRPr="006A0B36" w:rsidRDefault="008E1150" w:rsidP="008E1150">
      <w:pPr>
        <w:pStyle w:val="3"/>
        <w:ind w:left="1360" w:hanging="680"/>
      </w:pPr>
      <w:r w:rsidRPr="006A0B36">
        <w:rPr>
          <w:rFonts w:hint="eastAsia"/>
        </w:rPr>
        <w:lastRenderedPageBreak/>
        <w:t>依據醫策會105年度輔導教學醫院辦理臨床醫事人員培訓計畫，教師計畫及受訓人員計畫執行調查結果:</w:t>
      </w:r>
    </w:p>
    <w:p w:rsidR="00DB5669" w:rsidRPr="006A0B36" w:rsidRDefault="00DB5669" w:rsidP="008E1150">
      <w:pPr>
        <w:pStyle w:val="4"/>
        <w:ind w:left="1700" w:hanging="680"/>
      </w:pPr>
      <w:r w:rsidRPr="006A0B36">
        <w:rPr>
          <w:rFonts w:hint="eastAsia"/>
        </w:rPr>
        <w:t xml:space="preserve">教師計畫部分之滿意度(全國共計有13,182位教師填答) </w:t>
      </w:r>
    </w:p>
    <w:p w:rsidR="008E1150" w:rsidRPr="006A0B36" w:rsidRDefault="008E1150" w:rsidP="00DB5669">
      <w:pPr>
        <w:pStyle w:val="5"/>
        <w:ind w:left="2041" w:hanging="680"/>
      </w:pPr>
      <w:r w:rsidRPr="006A0B36">
        <w:rPr>
          <w:rFonts w:hint="eastAsia"/>
        </w:rPr>
        <w:t>師資培育制度達成度:</w:t>
      </w:r>
    </w:p>
    <w:p w:rsidR="00DB5669" w:rsidRPr="006A0B36" w:rsidRDefault="00DB5669" w:rsidP="00DB5669">
      <w:pPr>
        <w:pStyle w:val="6"/>
        <w:ind w:left="2381" w:hanging="680"/>
      </w:pPr>
      <w:r w:rsidRPr="006A0B36">
        <w:rPr>
          <w:rFonts w:hint="eastAsia"/>
        </w:rPr>
        <w:t>醫院師資培育相關計畫完整、健全</w:t>
      </w:r>
      <w:r w:rsidR="0058714D" w:rsidRPr="006A0B36">
        <w:rPr>
          <w:rFonts w:hint="eastAsia"/>
        </w:rPr>
        <w:t xml:space="preserve"> 86.25%</w:t>
      </w:r>
    </w:p>
    <w:p w:rsidR="00DB5669" w:rsidRPr="006A0B36" w:rsidRDefault="00DB5669" w:rsidP="00DB5669">
      <w:pPr>
        <w:pStyle w:val="6"/>
        <w:ind w:left="2381" w:hanging="680"/>
      </w:pPr>
      <w:r w:rsidRPr="006A0B36">
        <w:rPr>
          <w:rFonts w:hint="eastAsia"/>
        </w:rPr>
        <w:t>我常有機會參與師資培育課程</w:t>
      </w:r>
      <w:r w:rsidR="0058714D" w:rsidRPr="006A0B36">
        <w:rPr>
          <w:rFonts w:hint="eastAsia"/>
        </w:rPr>
        <w:t xml:space="preserve"> 85.9</w:t>
      </w:r>
      <w:r w:rsidR="00D022D9" w:rsidRPr="006A0B36">
        <w:rPr>
          <w:rFonts w:hint="eastAsia"/>
        </w:rPr>
        <w:t>5</w:t>
      </w:r>
      <w:r w:rsidR="0058714D" w:rsidRPr="006A0B36">
        <w:rPr>
          <w:rFonts w:hint="eastAsia"/>
        </w:rPr>
        <w:t>%</w:t>
      </w:r>
    </w:p>
    <w:p w:rsidR="00DB5669" w:rsidRPr="006A0B36" w:rsidRDefault="00DB5669" w:rsidP="00DB5669">
      <w:pPr>
        <w:pStyle w:val="6"/>
        <w:ind w:left="2381" w:hanging="680"/>
      </w:pPr>
      <w:r w:rsidRPr="006A0B36">
        <w:rPr>
          <w:rFonts w:hint="eastAsia"/>
        </w:rPr>
        <w:t>醫院能補助或提供我參與師資培育課程之資源（如公假、報名費、交通費等）</w:t>
      </w:r>
      <w:r w:rsidR="0058714D" w:rsidRPr="006A0B36">
        <w:rPr>
          <w:rFonts w:hint="eastAsia"/>
        </w:rPr>
        <w:t xml:space="preserve"> 79.1</w:t>
      </w:r>
      <w:r w:rsidR="00D022D9" w:rsidRPr="006A0B36">
        <w:rPr>
          <w:rFonts w:hint="eastAsia"/>
        </w:rPr>
        <w:t>5</w:t>
      </w:r>
      <w:r w:rsidR="0058714D" w:rsidRPr="006A0B36">
        <w:rPr>
          <w:rFonts w:hint="eastAsia"/>
        </w:rPr>
        <w:t>%</w:t>
      </w:r>
    </w:p>
    <w:p w:rsidR="00DB5669" w:rsidRPr="006A0B36" w:rsidRDefault="00DB5669" w:rsidP="00DB5669">
      <w:pPr>
        <w:pStyle w:val="6"/>
        <w:ind w:left="2381" w:hanging="680"/>
      </w:pPr>
      <w:r w:rsidRPr="006A0B36">
        <w:rPr>
          <w:rFonts w:hint="eastAsia"/>
        </w:rPr>
        <w:t>參與師資培育課程對我的教學有幫助</w:t>
      </w:r>
      <w:r w:rsidR="0058714D" w:rsidRPr="006A0B36">
        <w:rPr>
          <w:rFonts w:hint="eastAsia"/>
        </w:rPr>
        <w:t xml:space="preserve"> 88.3</w:t>
      </w:r>
      <w:r w:rsidR="00D022D9" w:rsidRPr="006A0B36">
        <w:rPr>
          <w:rFonts w:hint="eastAsia"/>
        </w:rPr>
        <w:t>5</w:t>
      </w:r>
      <w:r w:rsidR="0058714D" w:rsidRPr="006A0B36">
        <w:rPr>
          <w:rFonts w:hint="eastAsia"/>
        </w:rPr>
        <w:t>%</w:t>
      </w:r>
    </w:p>
    <w:p w:rsidR="008E1150" w:rsidRPr="006A0B36" w:rsidRDefault="00DB5669" w:rsidP="00DB5669">
      <w:pPr>
        <w:pStyle w:val="5"/>
        <w:ind w:left="2041" w:hanging="680"/>
      </w:pPr>
      <w:r w:rsidRPr="006A0B36">
        <w:rPr>
          <w:rFonts w:hint="eastAsia"/>
        </w:rPr>
        <w:lastRenderedPageBreak/>
        <w:t>良好教學場所達成度:</w:t>
      </w:r>
    </w:p>
    <w:p w:rsidR="0058714D" w:rsidRPr="006A0B36" w:rsidRDefault="0058714D" w:rsidP="0058714D">
      <w:pPr>
        <w:pStyle w:val="6"/>
        <w:ind w:left="2381" w:hanging="680"/>
      </w:pPr>
      <w:r w:rsidRPr="006A0B36">
        <w:rPr>
          <w:rFonts w:hint="eastAsia"/>
        </w:rPr>
        <w:t>醫院提供的教學設備與資源，在軟硬體方面都能滿足我的教學所需 87.8</w:t>
      </w:r>
      <w:r w:rsidR="00D022D9" w:rsidRPr="006A0B36">
        <w:rPr>
          <w:rFonts w:hint="eastAsia"/>
        </w:rPr>
        <w:t>6</w:t>
      </w:r>
      <w:r w:rsidRPr="006A0B36">
        <w:rPr>
          <w:rFonts w:hint="eastAsia"/>
        </w:rPr>
        <w:t>%</w:t>
      </w:r>
    </w:p>
    <w:p w:rsidR="00DB5669" w:rsidRPr="006A0B36" w:rsidRDefault="0058714D" w:rsidP="0058714D">
      <w:pPr>
        <w:pStyle w:val="6"/>
        <w:ind w:left="2381" w:hanging="680"/>
      </w:pPr>
      <w:r w:rsidRPr="006A0B36">
        <w:rPr>
          <w:rFonts w:hint="eastAsia"/>
        </w:rPr>
        <w:t>醫院具充分教學交流平台，供各醫事職類經驗分享 86.8</w:t>
      </w:r>
      <w:r w:rsidR="00D022D9" w:rsidRPr="006A0B36">
        <w:rPr>
          <w:rFonts w:hint="eastAsia"/>
        </w:rPr>
        <w:t>6</w:t>
      </w:r>
      <w:r w:rsidRPr="006A0B36">
        <w:rPr>
          <w:rFonts w:hint="eastAsia"/>
        </w:rPr>
        <w:t>%</w:t>
      </w:r>
    </w:p>
    <w:p w:rsidR="008E1150" w:rsidRPr="006A0B36" w:rsidRDefault="008E1150" w:rsidP="00DB5669">
      <w:pPr>
        <w:pStyle w:val="5"/>
        <w:ind w:left="2041" w:hanging="680"/>
      </w:pPr>
      <w:r w:rsidRPr="006A0B36">
        <w:rPr>
          <w:rFonts w:hint="eastAsia"/>
        </w:rPr>
        <w:t>提升醫事人員知能達成度:</w:t>
      </w:r>
    </w:p>
    <w:p w:rsidR="0058714D" w:rsidRPr="006A0B36" w:rsidRDefault="0058714D" w:rsidP="0058714D">
      <w:pPr>
        <w:pStyle w:val="6"/>
        <w:ind w:left="2381" w:hanging="680"/>
      </w:pPr>
      <w:r w:rsidRPr="006A0B36">
        <w:rPr>
          <w:rFonts w:hint="eastAsia"/>
        </w:rPr>
        <w:t xml:space="preserve">我所指導的受訓人員，訓練課程的執行情況良好 </w:t>
      </w:r>
      <w:r w:rsidR="001E6480" w:rsidRPr="006A0B36">
        <w:rPr>
          <w:rFonts w:hint="eastAsia"/>
        </w:rPr>
        <w:t>86.4</w:t>
      </w:r>
      <w:r w:rsidR="00D022D9" w:rsidRPr="006A0B36">
        <w:rPr>
          <w:rFonts w:hint="eastAsia"/>
        </w:rPr>
        <w:t>4</w:t>
      </w:r>
      <w:r w:rsidR="001E6480" w:rsidRPr="006A0B36">
        <w:rPr>
          <w:rFonts w:hint="eastAsia"/>
        </w:rPr>
        <w:t>%</w:t>
      </w:r>
    </w:p>
    <w:p w:rsidR="0058714D" w:rsidRPr="006A0B36" w:rsidRDefault="0058714D" w:rsidP="0058714D">
      <w:pPr>
        <w:pStyle w:val="6"/>
        <w:ind w:left="2381" w:hanging="680"/>
      </w:pPr>
      <w:r w:rsidRPr="006A0B36">
        <w:rPr>
          <w:rFonts w:hint="eastAsia"/>
        </w:rPr>
        <w:t>我所指導的受訓人員，記載學習紀錄成效良好（如學</w:t>
      </w:r>
      <w:r w:rsidRPr="006A0B36">
        <w:rPr>
          <w:rFonts w:hint="eastAsia"/>
        </w:rPr>
        <w:lastRenderedPageBreak/>
        <w:t>習檢核表、學習手冊、學習護照、學習歷程檔案等）</w:t>
      </w:r>
      <w:r w:rsidR="001E6480" w:rsidRPr="006A0B36">
        <w:rPr>
          <w:rFonts w:hint="eastAsia"/>
        </w:rPr>
        <w:t>85.5</w:t>
      </w:r>
      <w:r w:rsidR="00D022D9" w:rsidRPr="006A0B36">
        <w:rPr>
          <w:rFonts w:hint="eastAsia"/>
        </w:rPr>
        <w:t>5</w:t>
      </w:r>
      <w:r w:rsidR="001E6480" w:rsidRPr="006A0B36">
        <w:rPr>
          <w:rFonts w:hint="eastAsia"/>
        </w:rPr>
        <w:t>%</w:t>
      </w:r>
    </w:p>
    <w:p w:rsidR="0058714D" w:rsidRPr="006A0B36" w:rsidRDefault="0058714D" w:rsidP="0058714D">
      <w:pPr>
        <w:pStyle w:val="6"/>
        <w:ind w:left="2381" w:hanging="680"/>
      </w:pPr>
      <w:r w:rsidRPr="006A0B36">
        <w:rPr>
          <w:rFonts w:hint="eastAsia"/>
        </w:rPr>
        <w:t>我所指導的受訓人員，參與跨領域團隊合作照護訓練之機會足夠</w:t>
      </w:r>
      <w:r w:rsidR="001E6480" w:rsidRPr="006A0B36">
        <w:rPr>
          <w:rFonts w:hint="eastAsia"/>
        </w:rPr>
        <w:t xml:space="preserve"> 83.2</w:t>
      </w:r>
      <w:r w:rsidR="00D022D9" w:rsidRPr="006A0B36">
        <w:rPr>
          <w:rFonts w:hint="eastAsia"/>
        </w:rPr>
        <w:t>4</w:t>
      </w:r>
      <w:r w:rsidR="001E6480" w:rsidRPr="006A0B36">
        <w:rPr>
          <w:rFonts w:hint="eastAsia"/>
        </w:rPr>
        <w:t>%</w:t>
      </w:r>
    </w:p>
    <w:p w:rsidR="0058714D" w:rsidRPr="006A0B36" w:rsidRDefault="0058714D" w:rsidP="0058714D">
      <w:pPr>
        <w:pStyle w:val="6"/>
        <w:ind w:left="2381" w:hanging="680"/>
      </w:pPr>
      <w:r w:rsidRPr="006A0B36">
        <w:rPr>
          <w:rFonts w:hint="eastAsia"/>
        </w:rPr>
        <w:t>跨領域團隊合作照護訓練有助於整合各類別醫療專業，達成全人照護</w:t>
      </w:r>
      <w:r w:rsidR="001E6480" w:rsidRPr="006A0B36">
        <w:rPr>
          <w:rFonts w:hint="eastAsia"/>
        </w:rPr>
        <w:t xml:space="preserve"> 86.0</w:t>
      </w:r>
      <w:r w:rsidR="00D022D9" w:rsidRPr="006A0B36">
        <w:rPr>
          <w:rFonts w:hint="eastAsia"/>
        </w:rPr>
        <w:t>0</w:t>
      </w:r>
      <w:r w:rsidR="001E6480" w:rsidRPr="006A0B36">
        <w:rPr>
          <w:rFonts w:hint="eastAsia"/>
        </w:rPr>
        <w:t>%</w:t>
      </w:r>
    </w:p>
    <w:p w:rsidR="0058714D" w:rsidRPr="006A0B36" w:rsidRDefault="0058714D" w:rsidP="0058714D">
      <w:pPr>
        <w:pStyle w:val="6"/>
        <w:ind w:left="2381" w:hanging="680"/>
      </w:pPr>
      <w:r w:rsidRPr="006A0B36">
        <w:rPr>
          <w:rFonts w:hint="eastAsia"/>
        </w:rPr>
        <w:t>我所指導的受訓人員，專業知識有提升</w:t>
      </w:r>
      <w:r w:rsidR="001E6480" w:rsidRPr="006A0B36">
        <w:rPr>
          <w:rFonts w:hint="eastAsia"/>
        </w:rPr>
        <w:t xml:space="preserve"> 89.8</w:t>
      </w:r>
      <w:r w:rsidR="00D022D9" w:rsidRPr="006A0B36">
        <w:rPr>
          <w:rFonts w:hint="eastAsia"/>
        </w:rPr>
        <w:t>7</w:t>
      </w:r>
      <w:r w:rsidR="001E6480" w:rsidRPr="006A0B36">
        <w:rPr>
          <w:rFonts w:hint="eastAsia"/>
        </w:rPr>
        <w:t>%</w:t>
      </w:r>
    </w:p>
    <w:p w:rsidR="0058714D" w:rsidRPr="006A0B36" w:rsidRDefault="0058714D" w:rsidP="0058714D">
      <w:pPr>
        <w:pStyle w:val="6"/>
        <w:ind w:left="2381" w:hanging="680"/>
      </w:pPr>
      <w:r w:rsidRPr="006A0B36">
        <w:rPr>
          <w:rFonts w:hint="eastAsia"/>
        </w:rPr>
        <w:t>我所指導的受訓人員，臨床實務能力有提升</w:t>
      </w:r>
      <w:r w:rsidR="001E6480" w:rsidRPr="006A0B36">
        <w:rPr>
          <w:rFonts w:hint="eastAsia"/>
        </w:rPr>
        <w:t xml:space="preserve"> 90.</w:t>
      </w:r>
      <w:r w:rsidR="00D022D9" w:rsidRPr="006A0B36">
        <w:rPr>
          <w:rFonts w:hint="eastAsia"/>
        </w:rPr>
        <w:t>69</w:t>
      </w:r>
      <w:r w:rsidR="001E6480" w:rsidRPr="006A0B36">
        <w:rPr>
          <w:rFonts w:hint="eastAsia"/>
        </w:rPr>
        <w:t>%</w:t>
      </w:r>
    </w:p>
    <w:p w:rsidR="0058714D" w:rsidRPr="006A0B36" w:rsidRDefault="0058714D" w:rsidP="0058714D">
      <w:pPr>
        <w:pStyle w:val="6"/>
        <w:ind w:left="2381" w:hanging="680"/>
      </w:pPr>
      <w:r w:rsidRPr="006A0B36">
        <w:rPr>
          <w:rFonts w:hint="eastAsia"/>
        </w:rPr>
        <w:t>我所指導的受訓人員，有正確、良好的臨床服務態度</w:t>
      </w:r>
      <w:r w:rsidR="001E6480" w:rsidRPr="006A0B36">
        <w:rPr>
          <w:rFonts w:hint="eastAsia"/>
        </w:rPr>
        <w:t xml:space="preserve"> 90.7</w:t>
      </w:r>
      <w:r w:rsidR="00D022D9" w:rsidRPr="006A0B36">
        <w:rPr>
          <w:rFonts w:hint="eastAsia"/>
        </w:rPr>
        <w:t>0</w:t>
      </w:r>
      <w:r w:rsidR="001E6480" w:rsidRPr="006A0B36">
        <w:rPr>
          <w:rFonts w:hint="eastAsia"/>
        </w:rPr>
        <w:t>%</w:t>
      </w:r>
    </w:p>
    <w:p w:rsidR="0058714D" w:rsidRPr="006A0B36" w:rsidRDefault="0058714D" w:rsidP="0058714D">
      <w:pPr>
        <w:pStyle w:val="6"/>
        <w:ind w:left="2381" w:hanging="680"/>
      </w:pPr>
      <w:r w:rsidRPr="006A0B36">
        <w:rPr>
          <w:rFonts w:hint="eastAsia"/>
        </w:rPr>
        <w:lastRenderedPageBreak/>
        <w:t>如果我是病人，會樂意讓我所指導的受訓人員照護或服務</w:t>
      </w:r>
      <w:r w:rsidR="001E6480" w:rsidRPr="006A0B36">
        <w:rPr>
          <w:rFonts w:hint="eastAsia"/>
        </w:rPr>
        <w:t xml:space="preserve"> 89.6</w:t>
      </w:r>
      <w:r w:rsidR="00D022D9" w:rsidRPr="006A0B36">
        <w:rPr>
          <w:rFonts w:hint="eastAsia"/>
        </w:rPr>
        <w:t>2</w:t>
      </w:r>
      <w:r w:rsidR="001E6480" w:rsidRPr="006A0B36">
        <w:rPr>
          <w:rFonts w:hint="eastAsia"/>
        </w:rPr>
        <w:t>%</w:t>
      </w:r>
    </w:p>
    <w:p w:rsidR="008E1150" w:rsidRPr="006A0B36" w:rsidRDefault="00DB5669" w:rsidP="008E1150">
      <w:pPr>
        <w:pStyle w:val="5"/>
        <w:ind w:left="2041" w:hanging="680"/>
      </w:pPr>
      <w:r w:rsidRPr="006A0B36">
        <w:rPr>
          <w:rFonts w:hint="eastAsia"/>
        </w:rPr>
        <w:t>落實全人照顧之理念達成度：</w:t>
      </w:r>
    </w:p>
    <w:p w:rsidR="001E6480" w:rsidRPr="006A0B36" w:rsidRDefault="001E6480" w:rsidP="001E6480">
      <w:pPr>
        <w:pStyle w:val="6"/>
        <w:ind w:left="2381" w:hanging="680"/>
      </w:pPr>
      <w:r w:rsidRPr="006A0B36">
        <w:rPr>
          <w:rFonts w:hint="eastAsia"/>
        </w:rPr>
        <w:t>我所指導的受訓人員，參與跨領域團隊合作照護訓練之機會足夠 83.2</w:t>
      </w:r>
      <w:r w:rsidR="00D022D9" w:rsidRPr="006A0B36">
        <w:rPr>
          <w:rFonts w:hint="eastAsia"/>
        </w:rPr>
        <w:t>4</w:t>
      </w:r>
      <w:r w:rsidRPr="006A0B36">
        <w:rPr>
          <w:rFonts w:hint="eastAsia"/>
        </w:rPr>
        <w:t>%</w:t>
      </w:r>
    </w:p>
    <w:p w:rsidR="001E6480" w:rsidRPr="006A0B36" w:rsidRDefault="001E6480" w:rsidP="001E6480">
      <w:pPr>
        <w:pStyle w:val="6"/>
        <w:ind w:left="2381" w:hanging="680"/>
      </w:pPr>
      <w:r w:rsidRPr="006A0B36">
        <w:rPr>
          <w:rFonts w:hint="eastAsia"/>
        </w:rPr>
        <w:t>跨領域團隊合作照護訓練有助於整合各類別醫療專業，達成全人照護 86.0</w:t>
      </w:r>
      <w:r w:rsidR="00D022D9" w:rsidRPr="006A0B36">
        <w:rPr>
          <w:rFonts w:hint="eastAsia"/>
        </w:rPr>
        <w:t>0</w:t>
      </w:r>
      <w:r w:rsidRPr="006A0B36">
        <w:rPr>
          <w:rFonts w:hint="eastAsia"/>
        </w:rPr>
        <w:t>%</w:t>
      </w:r>
    </w:p>
    <w:p w:rsidR="008E1150" w:rsidRPr="006A0B36" w:rsidRDefault="00DB5669" w:rsidP="008E1150">
      <w:pPr>
        <w:pStyle w:val="4"/>
        <w:ind w:left="1700" w:hanging="680"/>
      </w:pPr>
      <w:r w:rsidRPr="006A0B36">
        <w:rPr>
          <w:rFonts w:hint="eastAsia"/>
        </w:rPr>
        <w:t>受訓人員計畫部分之滿意度(全國共計有 10,409位受訓人員填答)</w:t>
      </w:r>
    </w:p>
    <w:p w:rsidR="00DB5669" w:rsidRPr="006A0B36" w:rsidRDefault="00DB5669" w:rsidP="00DB5669">
      <w:pPr>
        <w:pStyle w:val="5"/>
        <w:ind w:left="2041" w:hanging="680"/>
      </w:pPr>
      <w:r w:rsidRPr="006A0B36">
        <w:rPr>
          <w:rFonts w:hint="eastAsia"/>
        </w:rPr>
        <w:lastRenderedPageBreak/>
        <w:t>師資培育制度達成度:</w:t>
      </w:r>
    </w:p>
    <w:p w:rsidR="001E6480" w:rsidRPr="006A0B36" w:rsidRDefault="001E6480" w:rsidP="001E6480">
      <w:pPr>
        <w:pStyle w:val="6"/>
        <w:ind w:left="2381" w:hanging="680"/>
      </w:pPr>
      <w:r w:rsidRPr="006A0B36">
        <w:rPr>
          <w:rFonts w:hint="eastAsia"/>
        </w:rPr>
        <w:t>臨床教師依據我學前評估的結果安排訓練課程 90.45%</w:t>
      </w:r>
    </w:p>
    <w:p w:rsidR="001E6480" w:rsidRPr="006A0B36" w:rsidRDefault="001E6480" w:rsidP="001E6480">
      <w:pPr>
        <w:pStyle w:val="6"/>
        <w:ind w:left="2381" w:hanging="680"/>
      </w:pPr>
      <w:r w:rsidRPr="006A0B36">
        <w:rPr>
          <w:rFonts w:hint="eastAsia"/>
        </w:rPr>
        <w:t>臨床教師教學技能 92.86%</w:t>
      </w:r>
    </w:p>
    <w:p w:rsidR="001E6480" w:rsidRPr="006A0B36" w:rsidRDefault="001E6480" w:rsidP="001E6480">
      <w:pPr>
        <w:pStyle w:val="6"/>
        <w:ind w:left="2381" w:hanging="680"/>
      </w:pPr>
      <w:r w:rsidRPr="006A0B36">
        <w:rPr>
          <w:rFonts w:hint="eastAsia"/>
        </w:rPr>
        <w:t>臨床教師對我評量的頻率 91.01%</w:t>
      </w:r>
    </w:p>
    <w:p w:rsidR="001E6480" w:rsidRPr="006A0B36" w:rsidRDefault="001E6480" w:rsidP="001E6480">
      <w:pPr>
        <w:pStyle w:val="6"/>
        <w:ind w:left="2381" w:hanging="680"/>
      </w:pPr>
      <w:r w:rsidRPr="006A0B36">
        <w:rPr>
          <w:rFonts w:hint="eastAsia"/>
        </w:rPr>
        <w:t>臨床教師對我評量結果的回饋 92.00%</w:t>
      </w:r>
    </w:p>
    <w:p w:rsidR="001E6480" w:rsidRPr="006A0B36" w:rsidRDefault="001E6480" w:rsidP="001E6480">
      <w:pPr>
        <w:pStyle w:val="6"/>
        <w:ind w:left="2381" w:hanging="680"/>
      </w:pPr>
      <w:r w:rsidRPr="006A0B36">
        <w:rPr>
          <w:rFonts w:hint="eastAsia"/>
        </w:rPr>
        <w:t>臨床教師對我的輔導 92.03%</w:t>
      </w:r>
    </w:p>
    <w:p w:rsidR="001E6480" w:rsidRPr="006A0B36" w:rsidRDefault="001E6480" w:rsidP="001E6480">
      <w:pPr>
        <w:pStyle w:val="6"/>
        <w:ind w:left="2381" w:hanging="680"/>
      </w:pPr>
      <w:r w:rsidRPr="006A0B36">
        <w:rPr>
          <w:rFonts w:hint="eastAsia"/>
        </w:rPr>
        <w:t>整體而言，我服務部門之教師教學的投入程度 92.00%</w:t>
      </w:r>
    </w:p>
    <w:p w:rsidR="00DB5669" w:rsidRPr="006A0B36" w:rsidRDefault="00DB5669" w:rsidP="00DB5669">
      <w:pPr>
        <w:pStyle w:val="5"/>
        <w:ind w:left="2041" w:hanging="680"/>
      </w:pPr>
      <w:r w:rsidRPr="006A0B36">
        <w:rPr>
          <w:rFonts w:hint="eastAsia"/>
        </w:rPr>
        <w:t>良好教學場所達成度:</w:t>
      </w:r>
    </w:p>
    <w:p w:rsidR="005674B4" w:rsidRPr="006A0B36" w:rsidRDefault="005674B4" w:rsidP="005674B4">
      <w:pPr>
        <w:pStyle w:val="6"/>
        <w:ind w:left="2381" w:hanging="680"/>
      </w:pPr>
      <w:r w:rsidRPr="006A0B36">
        <w:rPr>
          <w:rFonts w:hint="eastAsia"/>
        </w:rPr>
        <w:lastRenderedPageBreak/>
        <w:t>醫院宣導說明本計畫之說明方式(如說明會、座談會、網路平台等) 79.28%</w:t>
      </w:r>
    </w:p>
    <w:p w:rsidR="001E6480" w:rsidRPr="006A0B36" w:rsidRDefault="005674B4" w:rsidP="005674B4">
      <w:pPr>
        <w:pStyle w:val="6"/>
        <w:ind w:left="2381" w:hanging="680"/>
      </w:pPr>
      <w:r w:rsidRPr="006A0B36">
        <w:rPr>
          <w:rFonts w:hint="eastAsia"/>
        </w:rPr>
        <w:t>醫院提供教學訓練所需空間及設備(包含網路教學平台、圖書、期刊、訓練場所設施或環境等) 84.47%</w:t>
      </w:r>
    </w:p>
    <w:p w:rsidR="00DB5669" w:rsidRPr="006A0B36" w:rsidRDefault="00DB5669" w:rsidP="00DB5669">
      <w:pPr>
        <w:pStyle w:val="5"/>
        <w:ind w:left="2041" w:hanging="680"/>
      </w:pPr>
      <w:r w:rsidRPr="006A0B36">
        <w:rPr>
          <w:rFonts w:hint="eastAsia"/>
        </w:rPr>
        <w:t>提升醫事人員知能達成度:</w:t>
      </w:r>
    </w:p>
    <w:p w:rsidR="005674B4" w:rsidRPr="006A0B36" w:rsidRDefault="005674B4" w:rsidP="005674B4">
      <w:pPr>
        <w:pStyle w:val="6"/>
        <w:ind w:left="2381" w:hanging="680"/>
      </w:pPr>
      <w:r w:rsidRPr="006A0B36">
        <w:rPr>
          <w:rFonts w:hint="eastAsia"/>
        </w:rPr>
        <w:t>整體訓練作業銜接學校教育與臨床工作的成效 86.86%</w:t>
      </w:r>
    </w:p>
    <w:p w:rsidR="005674B4" w:rsidRPr="006A0B36" w:rsidRDefault="005674B4" w:rsidP="005674B4">
      <w:pPr>
        <w:pStyle w:val="6"/>
        <w:ind w:left="2381" w:hanging="680"/>
      </w:pPr>
      <w:r w:rsidRPr="006A0B36">
        <w:rPr>
          <w:rFonts w:hint="eastAsia"/>
        </w:rPr>
        <w:t>臨床實務能力提升 89.52%</w:t>
      </w:r>
    </w:p>
    <w:p w:rsidR="005674B4" w:rsidRPr="006A0B36" w:rsidRDefault="005674B4" w:rsidP="005674B4">
      <w:pPr>
        <w:pStyle w:val="6"/>
        <w:ind w:left="2381" w:hanging="680"/>
      </w:pPr>
      <w:r w:rsidRPr="006A0B36">
        <w:rPr>
          <w:rFonts w:hint="eastAsia"/>
        </w:rPr>
        <w:t>我與團隊成員互動溝通的能力 88.93%</w:t>
      </w:r>
    </w:p>
    <w:p w:rsidR="001E6480" w:rsidRPr="006A0B36" w:rsidRDefault="005674B4" w:rsidP="005674B4">
      <w:pPr>
        <w:pStyle w:val="6"/>
        <w:ind w:left="2381" w:hanging="680"/>
      </w:pPr>
      <w:r w:rsidRPr="006A0B36">
        <w:rPr>
          <w:rFonts w:hint="eastAsia"/>
        </w:rPr>
        <w:lastRenderedPageBreak/>
        <w:t>我與病人或病人家屬互動溝通的能力 88.42%</w:t>
      </w:r>
    </w:p>
    <w:p w:rsidR="008E1150" w:rsidRPr="006A0B36" w:rsidRDefault="00DB5669" w:rsidP="00DB5669">
      <w:pPr>
        <w:pStyle w:val="5"/>
        <w:ind w:left="2041" w:hanging="680"/>
      </w:pPr>
      <w:r w:rsidRPr="006A0B36">
        <w:rPr>
          <w:rFonts w:hint="eastAsia"/>
        </w:rPr>
        <w:t>落實全人照顧之理念達成度：</w:t>
      </w:r>
    </w:p>
    <w:p w:rsidR="005674B4" w:rsidRPr="006A0B36" w:rsidRDefault="005674B4" w:rsidP="005674B4">
      <w:pPr>
        <w:pStyle w:val="6"/>
        <w:ind w:left="2381" w:hanging="680"/>
      </w:pPr>
      <w:r w:rsidRPr="006A0B36">
        <w:rPr>
          <w:rFonts w:hint="eastAsia"/>
        </w:rPr>
        <w:t>參與跨領域團隊合作照護之機會 87.95%</w:t>
      </w:r>
    </w:p>
    <w:p w:rsidR="001E6480" w:rsidRPr="006A0B36" w:rsidRDefault="005674B4" w:rsidP="005674B4">
      <w:pPr>
        <w:pStyle w:val="6"/>
        <w:ind w:left="2381" w:hanging="680"/>
      </w:pPr>
      <w:r w:rsidRPr="006A0B36">
        <w:rPr>
          <w:rFonts w:hint="eastAsia"/>
        </w:rPr>
        <w:t>跨領域團隊合作照護有助於整合各類別醫療專業，達成全人照護 88.45%</w:t>
      </w:r>
    </w:p>
    <w:p w:rsidR="008E1150" w:rsidRPr="006A0B36" w:rsidRDefault="006F772F" w:rsidP="00AA2A7A">
      <w:pPr>
        <w:pStyle w:val="3"/>
        <w:ind w:left="1360" w:hanging="680"/>
      </w:pPr>
      <w:r w:rsidRPr="006A0B36">
        <w:rPr>
          <w:rFonts w:hint="eastAsia"/>
        </w:rPr>
        <w:t>其次，</w:t>
      </w:r>
      <w:r w:rsidR="007B24C4" w:rsidRPr="006A0B36">
        <w:rPr>
          <w:rFonts w:hint="eastAsia"/>
        </w:rPr>
        <w:t>由醫策會執行上開</w:t>
      </w:r>
      <w:r w:rsidR="001F2825" w:rsidRPr="006A0B36">
        <w:rPr>
          <w:rFonts w:hint="eastAsia"/>
        </w:rPr>
        <w:t>問卷</w:t>
      </w:r>
      <w:r w:rsidR="007B24C4" w:rsidRPr="006A0B36">
        <w:rPr>
          <w:rFonts w:hint="eastAsia"/>
        </w:rPr>
        <w:t>調查結果可知，師資培育制度與良好教學場所</w:t>
      </w:r>
      <w:r w:rsidR="00EB1F45" w:rsidRPr="006A0B36">
        <w:rPr>
          <w:rFonts w:hint="eastAsia"/>
        </w:rPr>
        <w:t>達成度及提升醫事人員知能</w:t>
      </w:r>
      <w:r w:rsidR="007B24C4" w:rsidRPr="006A0B36">
        <w:rPr>
          <w:rFonts w:hint="eastAsia"/>
        </w:rPr>
        <w:t>達成度，係教師及受訓人員切身而主觀的具體感受</w:t>
      </w:r>
      <w:r w:rsidR="00EB1F45" w:rsidRPr="006A0B36">
        <w:rPr>
          <w:rFonts w:hint="eastAsia"/>
        </w:rPr>
        <w:t>，其所呈現之數據，較為可信</w:t>
      </w:r>
      <w:r w:rsidR="007B24C4" w:rsidRPr="006A0B36">
        <w:rPr>
          <w:rFonts w:hint="eastAsia"/>
        </w:rPr>
        <w:t>；但將落實全人照顧之理念達成度，</w:t>
      </w:r>
      <w:r w:rsidR="001F2825" w:rsidRPr="006A0B36">
        <w:rPr>
          <w:rFonts w:hint="eastAsia"/>
        </w:rPr>
        <w:t>不詢問受照護病</w:t>
      </w:r>
      <w:r w:rsidR="001F2825" w:rsidRPr="006A0B36">
        <w:rPr>
          <w:rFonts w:hint="eastAsia"/>
        </w:rPr>
        <w:lastRenderedPageBreak/>
        <w:t>患之直接感受</w:t>
      </w:r>
      <w:r w:rsidR="00EB1F45" w:rsidRPr="006A0B36">
        <w:rPr>
          <w:rFonts w:hint="eastAsia"/>
        </w:rPr>
        <w:t>滿意度</w:t>
      </w:r>
      <w:r w:rsidR="001F2825" w:rsidRPr="006A0B36">
        <w:rPr>
          <w:rFonts w:hint="eastAsia"/>
        </w:rPr>
        <w:t>，卻間接</w:t>
      </w:r>
      <w:r w:rsidR="007B24C4" w:rsidRPr="006A0B36">
        <w:rPr>
          <w:rFonts w:hint="eastAsia"/>
        </w:rPr>
        <w:t>詢問</w:t>
      </w:r>
      <w:r w:rsidR="00EB1F45" w:rsidRPr="006A0B36">
        <w:rPr>
          <w:rFonts w:hint="eastAsia"/>
        </w:rPr>
        <w:t>指導</w:t>
      </w:r>
      <w:r w:rsidR="007B24C4" w:rsidRPr="006A0B36">
        <w:rPr>
          <w:rFonts w:hint="eastAsia"/>
        </w:rPr>
        <w:t>教師及受訓人員，恐有隔靴搔癢，未</w:t>
      </w:r>
      <w:r w:rsidR="00997E64" w:rsidRPr="006A0B36">
        <w:rPr>
          <w:rFonts w:hint="eastAsia"/>
        </w:rPr>
        <w:t>盡客觀，啟人「自我感覺良好」之疑竇。</w:t>
      </w:r>
      <w:r w:rsidR="00AA2A7A" w:rsidRPr="006A0B36">
        <w:rPr>
          <w:rFonts w:hint="eastAsia"/>
        </w:rPr>
        <w:t>況且目前在PGY結束時並無完整有效的方式評估學員訓練後的成效，是以PGY學員對於病人照顧、醫學知識、臨床工作、溝通技巧、專業素養、對醫療制度的了解，尚難以印證透過一般醫學訓練而有明顯加強。</w:t>
      </w:r>
    </w:p>
    <w:p w:rsidR="00644F80" w:rsidRPr="006A0B36" w:rsidRDefault="00644F80" w:rsidP="000F53E5">
      <w:pPr>
        <w:pStyle w:val="3"/>
        <w:ind w:left="1360" w:hanging="680"/>
      </w:pPr>
      <w:r w:rsidRPr="006A0B36">
        <w:rPr>
          <w:rFonts w:hint="eastAsia"/>
        </w:rPr>
        <w:t>再者，</w:t>
      </w:r>
      <w:r w:rsidR="006F772F" w:rsidRPr="006A0B36">
        <w:rPr>
          <w:rFonts w:hint="eastAsia"/>
        </w:rPr>
        <w:t>目前對於PGY訓練醫院的評核系統不理想，PGY訓練應當每年邀請訓練學員評估所在醫院的訓練，比如:是否有足夠的監督制度讓訓練學員覺得在主治醫師的指導下，可</w:t>
      </w:r>
      <w:r w:rsidR="006F772F" w:rsidRPr="006A0B36">
        <w:rPr>
          <w:rFonts w:hint="eastAsia"/>
        </w:rPr>
        <w:lastRenderedPageBreak/>
        <w:t>以安全地執行醫療行為，是否給訓練學員足夠的自主性，軟、硬體設備是否能符合學習、生活之需要等。PGY訓練醫院之間的成效差異性可能很大，有待整體提升。醫療及教育大環境未改變，各訓練醫院未必有因應政策及人力配置來保證教育品質，諸如:外、婦科可能缺乏手術室學習，內、外、婦科接觸的科別可能過度次專科化，值班室負責病房的範圍太大、接過多的新病人等問題，導致實質的學習減少</w:t>
      </w:r>
      <w:r w:rsidR="006F772F" w:rsidRPr="006A0B36">
        <w:rPr>
          <w:rStyle w:val="af5"/>
        </w:rPr>
        <w:footnoteReference w:id="12"/>
      </w:r>
      <w:r w:rsidR="006F772F" w:rsidRPr="006A0B36">
        <w:rPr>
          <w:rFonts w:hint="eastAsia"/>
        </w:rPr>
        <w:t>。然而</w:t>
      </w:r>
      <w:r w:rsidR="006E38D7" w:rsidRPr="006A0B36">
        <w:rPr>
          <w:rFonts w:hint="eastAsia"/>
        </w:rPr>
        <w:t>醫策會執行上開問卷調查時，係以相同之問卷調查題目內容</w:t>
      </w:r>
      <w:r w:rsidR="006E38D7" w:rsidRPr="006A0B36">
        <w:rPr>
          <w:rFonts w:hint="eastAsia"/>
        </w:rPr>
        <w:lastRenderedPageBreak/>
        <w:t>施測於不同規模等級醫學中心、區域醫院、地區醫院之臨床教師與受訓人員，由於</w:t>
      </w:r>
      <w:r w:rsidR="008F1099" w:rsidRPr="006A0B36">
        <w:rPr>
          <w:rFonts w:hint="eastAsia"/>
        </w:rPr>
        <w:t>上述</w:t>
      </w:r>
      <w:r w:rsidR="006E38D7" w:rsidRPr="006A0B36">
        <w:rPr>
          <w:rFonts w:hint="eastAsia"/>
        </w:rPr>
        <w:t>各</w:t>
      </w:r>
      <w:r w:rsidR="00015188" w:rsidRPr="006A0B36">
        <w:rPr>
          <w:rFonts w:hint="eastAsia"/>
        </w:rPr>
        <w:t>層</w:t>
      </w:r>
      <w:r w:rsidR="008F1099" w:rsidRPr="006A0B36">
        <w:rPr>
          <w:rFonts w:hint="eastAsia"/>
        </w:rPr>
        <w:t>級教學</w:t>
      </w:r>
      <w:r w:rsidR="006E38D7" w:rsidRPr="006A0B36">
        <w:rPr>
          <w:rFonts w:hint="eastAsia"/>
        </w:rPr>
        <w:t>醫院</w:t>
      </w:r>
      <w:r w:rsidR="000F53E5" w:rsidRPr="006A0B36">
        <w:rPr>
          <w:rFonts w:hint="eastAsia"/>
        </w:rPr>
        <w:t>之</w:t>
      </w:r>
      <w:r w:rsidR="008F1099" w:rsidRPr="006A0B36">
        <w:rPr>
          <w:rFonts w:hint="eastAsia"/>
        </w:rPr>
        <w:t>定位不同，其硬體規模、</w:t>
      </w:r>
      <w:r w:rsidR="000F53E5" w:rsidRPr="006A0B36">
        <w:rPr>
          <w:rFonts w:hint="eastAsia"/>
        </w:rPr>
        <w:t>師資</w:t>
      </w:r>
      <w:r w:rsidR="008F1099" w:rsidRPr="006A0B36">
        <w:rPr>
          <w:rFonts w:hint="eastAsia"/>
        </w:rPr>
        <w:t>水準</w:t>
      </w:r>
      <w:r w:rsidR="000F53E5" w:rsidRPr="006A0B36">
        <w:rPr>
          <w:rFonts w:hint="eastAsia"/>
        </w:rPr>
        <w:t>、儀器設備、教學環境迥異，是以</w:t>
      </w:r>
      <w:r w:rsidR="00E01FC6">
        <w:rPr>
          <w:rFonts w:hint="eastAsia"/>
        </w:rPr>
        <w:t>就</w:t>
      </w:r>
      <w:r w:rsidR="000F53E5" w:rsidRPr="006A0B36">
        <w:rPr>
          <w:rFonts w:hint="eastAsia"/>
        </w:rPr>
        <w:t>其</w:t>
      </w:r>
      <w:r w:rsidR="001908B5" w:rsidRPr="006A0B36">
        <w:rPr>
          <w:rFonts w:hint="eastAsia"/>
        </w:rPr>
        <w:t>培訓素質及核心能力之施測</w:t>
      </w:r>
      <w:r w:rsidR="000F53E5" w:rsidRPr="006A0B36">
        <w:rPr>
          <w:rFonts w:hint="eastAsia"/>
        </w:rPr>
        <w:t>結果</w:t>
      </w:r>
      <w:r w:rsidR="00E85D34" w:rsidRPr="006A0B36">
        <w:rPr>
          <w:rFonts w:hint="eastAsia"/>
        </w:rPr>
        <w:t>恐</w:t>
      </w:r>
      <w:r w:rsidR="00015188" w:rsidRPr="006A0B36">
        <w:rPr>
          <w:rFonts w:hint="eastAsia"/>
        </w:rPr>
        <w:t>將</w:t>
      </w:r>
      <w:r w:rsidR="000F53E5" w:rsidRPr="006A0B36">
        <w:rPr>
          <w:rFonts w:hint="eastAsia"/>
        </w:rPr>
        <w:t>無法客觀忠實呈現PGY訓練醫院之間的成效差異。</w:t>
      </w:r>
    </w:p>
    <w:p w:rsidR="008E1150" w:rsidRPr="006A0B36" w:rsidRDefault="00997E64" w:rsidP="00997E64">
      <w:pPr>
        <w:pStyle w:val="3"/>
        <w:ind w:left="1360" w:hanging="680"/>
      </w:pPr>
      <w:r w:rsidRPr="006A0B36">
        <w:rPr>
          <w:rFonts w:hint="eastAsia"/>
        </w:rPr>
        <w:t>綜上，衛福部目前</w:t>
      </w:r>
      <w:r w:rsidR="008B280D" w:rsidRPr="006A0B36">
        <w:rPr>
          <w:rFonts w:hint="eastAsia"/>
        </w:rPr>
        <w:t>委請醫策會</w:t>
      </w:r>
      <w:r w:rsidRPr="006A0B36">
        <w:rPr>
          <w:rFonts w:hint="eastAsia"/>
        </w:rPr>
        <w:t>辦理醫培計畫係以「教師培育、學員學習滿意度」</w:t>
      </w:r>
      <w:r w:rsidR="008B280D" w:rsidRPr="006A0B36">
        <w:rPr>
          <w:rFonts w:hint="eastAsia"/>
        </w:rPr>
        <w:t>問卷調查</w:t>
      </w:r>
      <w:r w:rsidRPr="006A0B36">
        <w:rPr>
          <w:rFonts w:hint="eastAsia"/>
        </w:rPr>
        <w:t>作為評量指標，</w:t>
      </w:r>
      <w:r w:rsidR="00E85D34" w:rsidRPr="006A0B36">
        <w:rPr>
          <w:rFonts w:hint="eastAsia"/>
        </w:rPr>
        <w:t>並</w:t>
      </w:r>
      <w:r w:rsidR="008B280D" w:rsidRPr="006A0B36">
        <w:rPr>
          <w:rFonts w:hint="eastAsia"/>
        </w:rPr>
        <w:t>非</w:t>
      </w:r>
      <w:r w:rsidR="00EB1F45" w:rsidRPr="006A0B36">
        <w:rPr>
          <w:rFonts w:hint="eastAsia"/>
        </w:rPr>
        <w:t>直接</w:t>
      </w:r>
      <w:r w:rsidR="008B280D" w:rsidRPr="006A0B36">
        <w:rPr>
          <w:rFonts w:hint="eastAsia"/>
        </w:rPr>
        <w:t>以就診病患之切身感受滿意度來衡量</w:t>
      </w:r>
      <w:r w:rsidR="00E85D34" w:rsidRPr="006A0B36">
        <w:rPr>
          <w:rFonts w:hint="eastAsia"/>
        </w:rPr>
        <w:t>，恐不易客觀衡量培訓學員是否掌握核心能力以滿足全人照護之醫療品質；又</w:t>
      </w:r>
      <w:r w:rsidR="00015188" w:rsidRPr="006A0B36">
        <w:rPr>
          <w:rFonts w:hint="eastAsia"/>
        </w:rPr>
        <w:t>教學</w:t>
      </w:r>
      <w:r w:rsidR="00E85D34" w:rsidRPr="006A0B36">
        <w:rPr>
          <w:rFonts w:hint="eastAsia"/>
        </w:rPr>
        <w:t>醫</w:t>
      </w:r>
      <w:r w:rsidR="00E85D34" w:rsidRPr="006A0B36">
        <w:rPr>
          <w:rFonts w:hint="eastAsia"/>
        </w:rPr>
        <w:lastRenderedPageBreak/>
        <w:t>院間之定位本有分級</w:t>
      </w:r>
      <w:r w:rsidR="00015188" w:rsidRPr="006A0B36">
        <w:rPr>
          <w:rFonts w:hint="eastAsia"/>
        </w:rPr>
        <w:t>(醫學中心、區域醫院、地區醫院)</w:t>
      </w:r>
      <w:r w:rsidR="00E85D34" w:rsidRPr="006A0B36">
        <w:rPr>
          <w:rFonts w:hint="eastAsia"/>
        </w:rPr>
        <w:t>，其</w:t>
      </w:r>
      <w:r w:rsidR="00E01FC6">
        <w:rPr>
          <w:rFonts w:hint="eastAsia"/>
        </w:rPr>
        <w:t>培訓環境之</w:t>
      </w:r>
      <w:r w:rsidR="00E85D34" w:rsidRPr="006A0B36">
        <w:rPr>
          <w:rFonts w:hint="eastAsia"/>
        </w:rPr>
        <w:t>客觀條件亦不相同，</w:t>
      </w:r>
      <w:r w:rsidR="00015188" w:rsidRPr="006A0B36">
        <w:rPr>
          <w:rFonts w:hint="eastAsia"/>
        </w:rPr>
        <w:t>故</w:t>
      </w:r>
      <w:r w:rsidR="00E85D34" w:rsidRPr="006A0B36">
        <w:rPr>
          <w:rFonts w:hint="eastAsia"/>
        </w:rPr>
        <w:t>上述問卷調查</w:t>
      </w:r>
      <w:r w:rsidR="001908B5" w:rsidRPr="006A0B36">
        <w:rPr>
          <w:rFonts w:hint="eastAsia"/>
        </w:rPr>
        <w:t>施測結果</w:t>
      </w:r>
      <w:r w:rsidR="00E85D34" w:rsidRPr="006A0B36">
        <w:rPr>
          <w:rFonts w:hint="eastAsia"/>
        </w:rPr>
        <w:t>能否互相排比，均有研議調整之空間</w:t>
      </w:r>
      <w:r w:rsidRPr="006A0B36">
        <w:rPr>
          <w:rFonts w:hint="eastAsia"/>
        </w:rPr>
        <w:t>。</w:t>
      </w:r>
    </w:p>
    <w:p w:rsidR="000223D0" w:rsidRPr="006A0B36" w:rsidRDefault="000223D0" w:rsidP="00DA3C37">
      <w:pPr>
        <w:pStyle w:val="2"/>
        <w:rPr>
          <w:b/>
        </w:rPr>
      </w:pPr>
      <w:r w:rsidRPr="006A0B36">
        <w:rPr>
          <w:rFonts w:hint="eastAsia"/>
          <w:b/>
          <w:color w:val="000000"/>
        </w:rPr>
        <w:t>衛</w:t>
      </w:r>
      <w:r w:rsidRPr="006A0B36">
        <w:rPr>
          <w:rFonts w:hint="eastAsia"/>
          <w:b/>
        </w:rPr>
        <w:t>福部辦理醫培計畫</w:t>
      </w:r>
      <w:r w:rsidR="00DA3C37" w:rsidRPr="006A0B36">
        <w:rPr>
          <w:rFonts w:hint="eastAsia"/>
          <w:b/>
        </w:rPr>
        <w:t>與中醫醫療機構負責醫師訓練計畫</w:t>
      </w:r>
      <w:r w:rsidRPr="006A0B36">
        <w:rPr>
          <w:rFonts w:hint="eastAsia"/>
          <w:b/>
        </w:rPr>
        <w:t>之</w:t>
      </w:r>
      <w:r w:rsidR="00DA3C37" w:rsidRPr="006A0B36">
        <w:rPr>
          <w:rFonts w:hint="eastAsia"/>
          <w:b/>
        </w:rPr>
        <w:t>目的</w:t>
      </w:r>
      <w:r w:rsidR="00BC62D2" w:rsidRPr="006A0B36">
        <w:rPr>
          <w:rFonts w:hint="eastAsia"/>
          <w:b/>
        </w:rPr>
        <w:t>迥異</w:t>
      </w:r>
      <w:r w:rsidRPr="006A0B36">
        <w:rPr>
          <w:rFonts w:hint="eastAsia"/>
          <w:b/>
        </w:rPr>
        <w:t>，</w:t>
      </w:r>
      <w:r w:rsidR="00BC62D2" w:rsidRPr="006A0B36">
        <w:rPr>
          <w:rFonts w:hint="eastAsia"/>
          <w:b/>
        </w:rPr>
        <w:t>核</w:t>
      </w:r>
      <w:r w:rsidRPr="006A0B36">
        <w:rPr>
          <w:rFonts w:hint="eastAsia"/>
          <w:b/>
        </w:rPr>
        <w:t>其訓練</w:t>
      </w:r>
      <w:r w:rsidR="00BC62D2" w:rsidRPr="006A0B36">
        <w:rPr>
          <w:rFonts w:hint="eastAsia"/>
          <w:b/>
        </w:rPr>
        <w:t>課程</w:t>
      </w:r>
      <w:r w:rsidR="00B87C88" w:rsidRPr="006A0B36">
        <w:rPr>
          <w:rFonts w:hint="eastAsia"/>
          <w:b/>
        </w:rPr>
        <w:t>內容、代訓</w:t>
      </w:r>
      <w:r w:rsidRPr="006A0B36">
        <w:rPr>
          <w:rFonts w:hint="eastAsia"/>
          <w:b/>
        </w:rPr>
        <w:t>態樣</w:t>
      </w:r>
      <w:r w:rsidR="00B87C88" w:rsidRPr="006A0B36">
        <w:rPr>
          <w:rFonts w:hint="eastAsia"/>
          <w:b/>
        </w:rPr>
        <w:t>、</w:t>
      </w:r>
      <w:r w:rsidR="00A93AB7" w:rsidRPr="006A0B36">
        <w:rPr>
          <w:rFonts w:hint="eastAsia"/>
          <w:b/>
        </w:rPr>
        <w:t>受訓學員</w:t>
      </w:r>
      <w:r w:rsidR="00B87C88" w:rsidRPr="006A0B36">
        <w:rPr>
          <w:rFonts w:hint="eastAsia"/>
          <w:b/>
        </w:rPr>
        <w:t>支領薪資方式、面臨困境皆</w:t>
      </w:r>
      <w:r w:rsidRPr="006A0B36">
        <w:rPr>
          <w:rFonts w:hint="eastAsia"/>
          <w:b/>
        </w:rPr>
        <w:t>不</w:t>
      </w:r>
      <w:r w:rsidR="00B87C88" w:rsidRPr="006A0B36">
        <w:rPr>
          <w:rFonts w:hint="eastAsia"/>
          <w:b/>
        </w:rPr>
        <w:t>相</w:t>
      </w:r>
      <w:r w:rsidRPr="006A0B36">
        <w:rPr>
          <w:rFonts w:hint="eastAsia"/>
          <w:b/>
        </w:rPr>
        <w:t>同，</w:t>
      </w:r>
      <w:r w:rsidR="00B87C88" w:rsidRPr="006A0B36">
        <w:rPr>
          <w:rFonts w:hint="eastAsia"/>
          <w:b/>
        </w:rPr>
        <w:t>該部</w:t>
      </w:r>
      <w:r w:rsidR="00E85D34" w:rsidRPr="006A0B36">
        <w:rPr>
          <w:rFonts w:hint="eastAsia"/>
          <w:b/>
        </w:rPr>
        <w:t>現行制度</w:t>
      </w:r>
      <w:r w:rsidR="009E6490" w:rsidRPr="006A0B36">
        <w:rPr>
          <w:rFonts w:hint="eastAsia"/>
          <w:b/>
        </w:rPr>
        <w:t>是否容易造成混淆</w:t>
      </w:r>
      <w:r w:rsidR="00C068F0" w:rsidRPr="006A0B36">
        <w:rPr>
          <w:rFonts w:hint="eastAsia"/>
          <w:b/>
        </w:rPr>
        <w:t>？</w:t>
      </w:r>
      <w:r w:rsidR="009E6490" w:rsidRPr="006A0B36">
        <w:rPr>
          <w:rFonts w:hint="eastAsia"/>
          <w:b/>
        </w:rPr>
        <w:t>能否達成醫培計畫目的</w:t>
      </w:r>
      <w:r w:rsidR="00C068F0" w:rsidRPr="006A0B36">
        <w:rPr>
          <w:rFonts w:hint="eastAsia"/>
          <w:b/>
        </w:rPr>
        <w:t>？</w:t>
      </w:r>
      <w:r w:rsidR="009E6490" w:rsidRPr="006A0B36">
        <w:rPr>
          <w:rFonts w:hint="eastAsia"/>
          <w:b/>
        </w:rPr>
        <w:t>容待</w:t>
      </w:r>
      <w:r w:rsidR="00015188" w:rsidRPr="006A0B36">
        <w:rPr>
          <w:rFonts w:hint="eastAsia"/>
          <w:b/>
        </w:rPr>
        <w:t>審</w:t>
      </w:r>
      <w:r w:rsidR="00DC4F84">
        <w:rPr>
          <w:rFonts w:hint="eastAsia"/>
          <w:b/>
        </w:rPr>
        <w:t>酌</w:t>
      </w:r>
      <w:r w:rsidR="00FA0EDB" w:rsidRPr="006A0B36">
        <w:rPr>
          <w:rFonts w:hint="eastAsia"/>
          <w:b/>
        </w:rPr>
        <w:t>改善</w:t>
      </w:r>
      <w:r w:rsidRPr="006A0B36">
        <w:rPr>
          <w:rFonts w:hint="eastAsia"/>
          <w:b/>
        </w:rPr>
        <w:t>：</w:t>
      </w:r>
    </w:p>
    <w:p w:rsidR="00DA3C37" w:rsidRPr="006A0B36" w:rsidRDefault="00DA3C37" w:rsidP="000223D0">
      <w:pPr>
        <w:pStyle w:val="3"/>
        <w:ind w:left="1360" w:hanging="680"/>
      </w:pPr>
      <w:r w:rsidRPr="006A0B36">
        <w:rPr>
          <w:rFonts w:hint="eastAsia"/>
        </w:rPr>
        <w:t>按</w:t>
      </w:r>
      <w:r w:rsidR="00515458" w:rsidRPr="006A0B36">
        <w:rPr>
          <w:rFonts w:hint="eastAsia"/>
        </w:rPr>
        <w:t>中醫</w:t>
      </w:r>
      <w:r w:rsidR="00E01FC6">
        <w:rPr>
          <w:rFonts w:hint="eastAsia"/>
        </w:rPr>
        <w:t>師</w:t>
      </w:r>
      <w:r w:rsidR="00515458" w:rsidRPr="006A0B36">
        <w:rPr>
          <w:rFonts w:hint="eastAsia"/>
        </w:rPr>
        <w:t>職類係辦理中醫醫療機構負責醫師訓練，並非PGY，目前中醫</w:t>
      </w:r>
      <w:r w:rsidR="00E01FC6">
        <w:rPr>
          <w:rFonts w:hint="eastAsia"/>
        </w:rPr>
        <w:t>師</w:t>
      </w:r>
      <w:r w:rsidR="00515458" w:rsidRPr="006A0B36">
        <w:rPr>
          <w:rFonts w:hint="eastAsia"/>
        </w:rPr>
        <w:t>尚未推動PGY制度。而</w:t>
      </w:r>
      <w:r w:rsidR="0011339C" w:rsidRPr="006A0B36">
        <w:rPr>
          <w:rFonts w:hint="eastAsia"/>
        </w:rPr>
        <w:t>衛福部辦理</w:t>
      </w:r>
      <w:r w:rsidRPr="006A0B36">
        <w:rPr>
          <w:rFonts w:hint="eastAsia"/>
        </w:rPr>
        <w:t>中醫醫</w:t>
      </w:r>
      <w:r w:rsidRPr="006A0B36">
        <w:rPr>
          <w:rFonts w:hint="eastAsia"/>
        </w:rPr>
        <w:lastRenderedPageBreak/>
        <w:t>療機構負責醫師訓練計畫之目的：為強化中醫醫療機構負責醫師督導功能，培育具有全人醫療能力之中醫師，促進中醫醫療機構健全發展，故推動</w:t>
      </w:r>
      <w:r w:rsidR="00FC1CF6" w:rsidRPr="006A0B36">
        <w:rPr>
          <w:rFonts w:hint="eastAsia"/>
        </w:rPr>
        <w:t>此項</w:t>
      </w:r>
      <w:r w:rsidRPr="006A0B36">
        <w:rPr>
          <w:rFonts w:hint="eastAsia"/>
        </w:rPr>
        <w:t>計畫</w:t>
      </w:r>
      <w:r w:rsidR="00CE4BCC" w:rsidRPr="006A0B36">
        <w:rPr>
          <w:rStyle w:val="af5"/>
        </w:rPr>
        <w:footnoteReference w:id="13"/>
      </w:r>
      <w:r w:rsidRPr="006A0B36">
        <w:rPr>
          <w:rFonts w:hint="eastAsia"/>
        </w:rPr>
        <w:t>。</w:t>
      </w:r>
      <w:r w:rsidR="00515458" w:rsidRPr="006A0B36">
        <w:rPr>
          <w:rFonts w:hint="eastAsia"/>
        </w:rPr>
        <w:t>又查</w:t>
      </w:r>
      <w:r w:rsidRPr="006A0B36">
        <w:rPr>
          <w:rFonts w:hint="eastAsia"/>
        </w:rPr>
        <w:t>有關衛福部補助教學醫院辦理醫培計畫之目標，已如前述，可見兩者</w:t>
      </w:r>
      <w:r w:rsidR="004927A6" w:rsidRPr="006A0B36">
        <w:rPr>
          <w:rFonts w:hint="eastAsia"/>
        </w:rPr>
        <w:t>培訓之</w:t>
      </w:r>
      <w:r w:rsidRPr="006A0B36">
        <w:rPr>
          <w:rFonts w:hint="eastAsia"/>
        </w:rPr>
        <w:t>宗旨互異，不</w:t>
      </w:r>
      <w:r w:rsidR="00E01FC6">
        <w:rPr>
          <w:rFonts w:hint="eastAsia"/>
        </w:rPr>
        <w:t>宜</w:t>
      </w:r>
      <w:r w:rsidR="004927A6" w:rsidRPr="006A0B36">
        <w:rPr>
          <w:rFonts w:hint="eastAsia"/>
        </w:rPr>
        <w:t>有所混淆。</w:t>
      </w:r>
    </w:p>
    <w:p w:rsidR="000223D0" w:rsidRPr="006A0B36" w:rsidRDefault="00CE4BCC" w:rsidP="000223D0">
      <w:pPr>
        <w:pStyle w:val="3"/>
        <w:ind w:left="1360" w:hanging="680"/>
      </w:pPr>
      <w:r w:rsidRPr="006A0B36">
        <w:rPr>
          <w:rFonts w:hint="eastAsia"/>
        </w:rPr>
        <w:t>其次，</w:t>
      </w:r>
      <w:r w:rsidR="000223D0" w:rsidRPr="006A0B36">
        <w:rPr>
          <w:rFonts w:hint="eastAsia"/>
        </w:rPr>
        <w:t>中醫職類由於尚無專科醫師制度，醫培計畫僅得以醫療法第18條規定之負責醫師訓練為名實施，則其內容究係醫培計畫或負責醫師導向即成疑問，另中醫師於代訓期間</w:t>
      </w:r>
      <w:r w:rsidR="000223D0" w:rsidRPr="006A0B36">
        <w:rPr>
          <w:rFonts w:hint="eastAsia"/>
        </w:rPr>
        <w:lastRenderedPageBreak/>
        <w:t>為維持收入，同時仍需在診所看診之現象，又與醫培計畫結訓後方可保障病人安全之目的又有所違背，亦有討論空間。</w:t>
      </w:r>
      <w:r w:rsidRPr="006A0B36">
        <w:rPr>
          <w:rFonts w:hint="eastAsia"/>
        </w:rPr>
        <w:t>且由於中醫職類並無類似醫培計畫之培訓機制，導致不易與其他職類團隊合作，借用醫培計畫課程將能有效補足這方面的能力，因此負責醫師訓練在實務上並非完全為了使受訓學員能獨立開業。則課程內容如偏向負責醫師能力，就無法充分達成醫培計畫保障病人安全之目的；若偏向醫培計畫，又不符負責醫師訓練名目，似顯矛盾</w:t>
      </w:r>
      <w:r w:rsidR="004342FB" w:rsidRPr="006A0B36">
        <w:rPr>
          <w:rStyle w:val="af5"/>
        </w:rPr>
        <w:footnoteReference w:id="14"/>
      </w:r>
      <w:r w:rsidRPr="006A0B36">
        <w:rPr>
          <w:rFonts w:hint="eastAsia"/>
        </w:rPr>
        <w:t>。</w:t>
      </w:r>
    </w:p>
    <w:p w:rsidR="00CE4BCC" w:rsidRPr="006A0B36" w:rsidRDefault="004342FB" w:rsidP="000223D0">
      <w:pPr>
        <w:pStyle w:val="3"/>
        <w:ind w:left="1360" w:hanging="680"/>
      </w:pPr>
      <w:r w:rsidRPr="006A0B36">
        <w:rPr>
          <w:rFonts w:hint="eastAsia"/>
        </w:rPr>
        <w:lastRenderedPageBreak/>
        <w:t>再者，本院諮詢中醫</w:t>
      </w:r>
      <w:r w:rsidR="00BC62D2" w:rsidRPr="006A0B36">
        <w:rPr>
          <w:rFonts w:hint="eastAsia"/>
        </w:rPr>
        <w:t>職</w:t>
      </w:r>
      <w:r w:rsidRPr="006A0B36">
        <w:rPr>
          <w:rFonts w:hint="eastAsia"/>
        </w:rPr>
        <w:t>類之專家學者亦明確指出</w:t>
      </w:r>
      <w:r w:rsidRPr="006A0B36">
        <w:rPr>
          <w:rFonts w:ascii="Times New Roman" w:hint="eastAsia"/>
          <w:color w:val="000000"/>
        </w:rPr>
        <w:t>「</w:t>
      </w:r>
      <w:r w:rsidRPr="006A0B36">
        <w:rPr>
          <w:rFonts w:hint="eastAsia"/>
        </w:rPr>
        <w:t>中醫在大型醫院後面2年的訓練會走向專科醫師，需要習慣和西醫及團隊合作，但是對規劃進入基層醫療診所的醫師來說，那些訓練是不必要的。</w:t>
      </w:r>
      <w:r w:rsidRPr="006A0B36">
        <w:rPr>
          <w:rFonts w:ascii="Times New Roman" w:hint="eastAsia"/>
          <w:color w:val="000000"/>
        </w:rPr>
        <w:t>」</w:t>
      </w:r>
    </w:p>
    <w:p w:rsidR="00A93AB7" w:rsidRPr="006A0B36" w:rsidRDefault="00BC62D2" w:rsidP="00A93AB7">
      <w:pPr>
        <w:pStyle w:val="3"/>
        <w:ind w:left="1360" w:hanging="680"/>
      </w:pPr>
      <w:r w:rsidRPr="006A0B36">
        <w:rPr>
          <w:rFonts w:hint="eastAsia"/>
        </w:rPr>
        <w:t>末查</w:t>
      </w:r>
      <w:r w:rsidR="00A93AB7" w:rsidRPr="006A0B36">
        <w:rPr>
          <w:rFonts w:hint="eastAsia"/>
        </w:rPr>
        <w:t>中醫</w:t>
      </w:r>
      <w:r w:rsidR="004927A6" w:rsidRPr="006A0B36">
        <w:rPr>
          <w:rFonts w:hint="eastAsia"/>
        </w:rPr>
        <w:t>醫療機構負責醫師訓練</w:t>
      </w:r>
      <w:r w:rsidR="00A93AB7" w:rsidRPr="006A0B36">
        <w:rPr>
          <w:rFonts w:hint="eastAsia"/>
        </w:rPr>
        <w:t>計畫係由衛福部中醫藥司負責，其所面臨之困境為本計畫在該部有限財源下，預算雖逐年微調增加，惟經費成長速度，無法與中醫學系畢業生人數取得平衡(105年新增義守大學中醫學系45名、106年慈濟大學中醫學系新增45名)，導致105年補助金額低於牙</w:t>
      </w:r>
      <w:r w:rsidR="00A93AB7" w:rsidRPr="006A0B36">
        <w:rPr>
          <w:rFonts w:hint="eastAsia"/>
        </w:rPr>
        <w:lastRenderedPageBreak/>
        <w:t>醫PGY，亦間接影響醫院招收訓練新進中醫師意願。</w:t>
      </w:r>
    </w:p>
    <w:p w:rsidR="000223D0" w:rsidRPr="006A0B36" w:rsidRDefault="000223D0" w:rsidP="00A93AB7">
      <w:pPr>
        <w:pStyle w:val="3"/>
        <w:ind w:left="1360" w:hanging="680"/>
      </w:pPr>
      <w:r w:rsidRPr="006A0B36">
        <w:rPr>
          <w:rFonts w:hint="eastAsia"/>
        </w:rPr>
        <w:t>綜上，衛福部辦理醫培計畫</w:t>
      </w:r>
      <w:r w:rsidR="00A93AB7" w:rsidRPr="006A0B36">
        <w:rPr>
          <w:rFonts w:hint="eastAsia"/>
        </w:rPr>
        <w:t>與中醫醫療機構負責醫師訓練計畫之目的迥異，</w:t>
      </w:r>
      <w:r w:rsidR="00C068F0" w:rsidRPr="006A0B36">
        <w:rPr>
          <w:rFonts w:hint="eastAsia"/>
        </w:rPr>
        <w:t>經</w:t>
      </w:r>
      <w:r w:rsidR="009E6490" w:rsidRPr="006A0B36">
        <w:rPr>
          <w:rFonts w:hint="eastAsia"/>
        </w:rPr>
        <w:t>本院審視兩項計畫之</w:t>
      </w:r>
      <w:r w:rsidR="00A93AB7" w:rsidRPr="006A0B36">
        <w:rPr>
          <w:rFonts w:hint="eastAsia"/>
        </w:rPr>
        <w:t>訓練課程內容、代訓態樣、受訓學員支領薪資方式</w:t>
      </w:r>
      <w:r w:rsidR="004927A6" w:rsidRPr="006A0B36">
        <w:rPr>
          <w:rFonts w:hint="eastAsia"/>
        </w:rPr>
        <w:t>與實際看診</w:t>
      </w:r>
      <w:r w:rsidR="00515458" w:rsidRPr="006A0B36">
        <w:rPr>
          <w:rFonts w:hint="eastAsia"/>
        </w:rPr>
        <w:t>服務病患</w:t>
      </w:r>
      <w:r w:rsidR="004927A6" w:rsidRPr="006A0B36">
        <w:rPr>
          <w:rFonts w:hint="eastAsia"/>
        </w:rPr>
        <w:t>時數</w:t>
      </w:r>
      <w:r w:rsidR="00A93AB7" w:rsidRPr="006A0B36">
        <w:rPr>
          <w:rFonts w:hint="eastAsia"/>
        </w:rPr>
        <w:t>、面臨困境</w:t>
      </w:r>
      <w:r w:rsidR="009E6490" w:rsidRPr="006A0B36">
        <w:rPr>
          <w:rFonts w:hint="eastAsia"/>
        </w:rPr>
        <w:t>亦</w:t>
      </w:r>
      <w:r w:rsidR="00A93AB7" w:rsidRPr="006A0B36">
        <w:rPr>
          <w:rFonts w:hint="eastAsia"/>
        </w:rPr>
        <w:t>不相同</w:t>
      </w:r>
      <w:r w:rsidR="00C068F0" w:rsidRPr="006A0B36">
        <w:rPr>
          <w:rFonts w:hint="eastAsia"/>
        </w:rPr>
        <w:t>；是以</w:t>
      </w:r>
      <w:r w:rsidR="00A93AB7" w:rsidRPr="006A0B36">
        <w:rPr>
          <w:rFonts w:hint="eastAsia"/>
        </w:rPr>
        <w:t>該部</w:t>
      </w:r>
      <w:r w:rsidR="009E6490" w:rsidRPr="006A0B36">
        <w:rPr>
          <w:rFonts w:hint="eastAsia"/>
        </w:rPr>
        <w:t>現行制度是否容易造成混淆</w:t>
      </w:r>
      <w:r w:rsidR="00C068F0" w:rsidRPr="006A0B36">
        <w:rPr>
          <w:rFonts w:hint="eastAsia"/>
        </w:rPr>
        <w:t>？</w:t>
      </w:r>
      <w:r w:rsidR="009E6490" w:rsidRPr="006A0B36">
        <w:rPr>
          <w:rFonts w:hint="eastAsia"/>
        </w:rPr>
        <w:t>能否達成醫培計畫目的</w:t>
      </w:r>
      <w:r w:rsidR="00C068F0" w:rsidRPr="006A0B36">
        <w:rPr>
          <w:rFonts w:hint="eastAsia"/>
        </w:rPr>
        <w:t>？</w:t>
      </w:r>
      <w:r w:rsidR="009E6490" w:rsidRPr="006A0B36">
        <w:rPr>
          <w:rFonts w:hint="eastAsia"/>
        </w:rPr>
        <w:t>容待</w:t>
      </w:r>
      <w:r w:rsidR="00015188" w:rsidRPr="006A0B36">
        <w:rPr>
          <w:rFonts w:hint="eastAsia"/>
        </w:rPr>
        <w:t>審慎</w:t>
      </w:r>
      <w:r w:rsidR="00DC4F84">
        <w:rPr>
          <w:rFonts w:hint="eastAsia"/>
        </w:rPr>
        <w:t>斟酌</w:t>
      </w:r>
      <w:r w:rsidR="009E6490" w:rsidRPr="006A0B36">
        <w:rPr>
          <w:rFonts w:hint="eastAsia"/>
        </w:rPr>
        <w:t>研</w:t>
      </w:r>
      <w:r w:rsidR="00015188" w:rsidRPr="006A0B36">
        <w:rPr>
          <w:rFonts w:hint="eastAsia"/>
        </w:rPr>
        <w:t>議</w:t>
      </w:r>
      <w:r w:rsidR="00C068F0" w:rsidRPr="006A0B36">
        <w:rPr>
          <w:rFonts w:hint="eastAsia"/>
        </w:rPr>
        <w:t>改善</w:t>
      </w:r>
      <w:r w:rsidRPr="006A0B36">
        <w:rPr>
          <w:rFonts w:hint="eastAsia"/>
        </w:rPr>
        <w:t>。</w:t>
      </w:r>
    </w:p>
    <w:p w:rsidR="00C551F0" w:rsidRPr="006A0B36" w:rsidRDefault="00C551F0" w:rsidP="00C551F0">
      <w:pPr>
        <w:pStyle w:val="2"/>
        <w:rPr>
          <w:b/>
        </w:rPr>
      </w:pPr>
      <w:r w:rsidRPr="006A0B36">
        <w:rPr>
          <w:rFonts w:hint="eastAsia"/>
          <w:b/>
          <w:color w:val="000000"/>
        </w:rPr>
        <w:t>衛</w:t>
      </w:r>
      <w:r w:rsidRPr="006A0B36">
        <w:rPr>
          <w:rFonts w:hint="eastAsia"/>
          <w:b/>
        </w:rPr>
        <w:t>福部辦理醫培計畫，</w:t>
      </w:r>
      <w:r w:rsidR="00402E81" w:rsidRPr="006A0B36">
        <w:rPr>
          <w:rFonts w:hint="eastAsia"/>
          <w:b/>
        </w:rPr>
        <w:t>呈現</w:t>
      </w:r>
      <w:r w:rsidRPr="006A0B36">
        <w:rPr>
          <w:rFonts w:hint="eastAsia"/>
          <w:b/>
        </w:rPr>
        <w:t>側重醫師（含牙醫師、中醫師）部分</w:t>
      </w:r>
      <w:r w:rsidR="00402E81" w:rsidRPr="006A0B36">
        <w:rPr>
          <w:rFonts w:hint="eastAsia"/>
          <w:b/>
        </w:rPr>
        <w:t>之情形</w:t>
      </w:r>
      <w:r w:rsidRPr="006A0B36">
        <w:rPr>
          <w:rFonts w:hint="eastAsia"/>
          <w:b/>
        </w:rPr>
        <w:t>，其受訓人數僅占</w:t>
      </w:r>
      <w:r w:rsidRPr="006A0B36">
        <w:rPr>
          <w:b/>
        </w:rPr>
        <w:t>2</w:t>
      </w:r>
      <w:r w:rsidRPr="006A0B36">
        <w:rPr>
          <w:rFonts w:hint="eastAsia"/>
          <w:b/>
        </w:rPr>
        <w:t>7</w:t>
      </w:r>
      <w:r w:rsidRPr="006A0B36">
        <w:rPr>
          <w:b/>
        </w:rPr>
        <w:t>.2</w:t>
      </w:r>
      <w:r w:rsidRPr="006A0B36">
        <w:rPr>
          <w:rFonts w:hint="eastAsia"/>
          <w:b/>
        </w:rPr>
        <w:t>5</w:t>
      </w:r>
      <w:r w:rsidRPr="006A0B36">
        <w:rPr>
          <w:b/>
        </w:rPr>
        <w:t>%</w:t>
      </w:r>
      <w:r w:rsidRPr="006A0B36">
        <w:rPr>
          <w:rFonts w:hint="eastAsia"/>
          <w:b/>
        </w:rPr>
        <w:t>卻支用71.75%培訓經費，</w:t>
      </w:r>
      <w:r w:rsidR="00C068F0" w:rsidRPr="006A0B36">
        <w:rPr>
          <w:rFonts w:hint="eastAsia"/>
          <w:b/>
        </w:rPr>
        <w:t>恐將排擠其他職類資源，造成</w:t>
      </w:r>
      <w:r w:rsidRPr="006A0B36">
        <w:rPr>
          <w:rFonts w:hint="eastAsia"/>
          <w:b/>
        </w:rPr>
        <w:t>醫療團隊</w:t>
      </w:r>
      <w:r w:rsidR="00C068F0" w:rsidRPr="006A0B36">
        <w:rPr>
          <w:rFonts w:hint="eastAsia"/>
          <w:b/>
        </w:rPr>
        <w:t>成員素質落差</w:t>
      </w:r>
      <w:r w:rsidRPr="006A0B36">
        <w:rPr>
          <w:rFonts w:hint="eastAsia"/>
          <w:b/>
        </w:rPr>
        <w:lastRenderedPageBreak/>
        <w:t>，允應通盤研謀改善：</w:t>
      </w:r>
    </w:p>
    <w:p w:rsidR="00C551F0" w:rsidRPr="006A0B36" w:rsidRDefault="00C551F0" w:rsidP="00C551F0">
      <w:pPr>
        <w:pStyle w:val="3"/>
        <w:ind w:left="1360" w:hanging="680"/>
      </w:pPr>
      <w:r w:rsidRPr="006A0B36">
        <w:rPr>
          <w:rFonts w:hint="eastAsia"/>
        </w:rPr>
        <w:t>查醫師執行醫療業務，以維護病人之生命、身體、健康為目的，而醫療法第18條第1項</w:t>
      </w:r>
      <w:r w:rsidRPr="006A0B36">
        <w:rPr>
          <w:rStyle w:val="af5"/>
        </w:rPr>
        <w:footnoteReference w:id="15"/>
      </w:r>
      <w:r w:rsidRPr="006A0B36">
        <w:rPr>
          <w:rFonts w:hint="eastAsia"/>
        </w:rPr>
        <w:t>及第57條第1項</w:t>
      </w:r>
      <w:r w:rsidRPr="006A0B36">
        <w:rPr>
          <w:rStyle w:val="af5"/>
        </w:rPr>
        <w:footnoteReference w:id="16"/>
      </w:r>
      <w:r w:rsidRPr="006A0B36">
        <w:rPr>
          <w:rFonts w:hint="eastAsia"/>
        </w:rPr>
        <w:t>亦規定醫療機構之負責醫師應督導所屬醫事人員依各該醫事專門職業法規規定執行業務，均屬增進公共利益所必要。足見醫師乃醫療團隊之主角，居醫療成敗責任之關鍵督導地位，應特別重視其臨床醫療技能之培訓，自不待言。但倘若整體醫療</w:t>
      </w:r>
      <w:r w:rsidRPr="006A0B36">
        <w:rPr>
          <w:rFonts w:hint="eastAsia"/>
        </w:rPr>
        <w:lastRenderedPageBreak/>
        <w:t>團隊水準良莠不齊，其他14職類醫療輔佐人員之臨床操作技能未能同步提升，則恐將危及就醫病患之健康與生命安全。</w:t>
      </w:r>
    </w:p>
    <w:p w:rsidR="00C551F0" w:rsidRPr="006A0B36" w:rsidRDefault="00C551F0" w:rsidP="00C551F0">
      <w:pPr>
        <w:pStyle w:val="3"/>
        <w:ind w:left="1360" w:hanging="680"/>
      </w:pPr>
      <w:r w:rsidRPr="006A0B36">
        <w:rPr>
          <w:rFonts w:hint="eastAsia"/>
        </w:rPr>
        <w:t>惟查衛福部提供之96~105年各類醫事人員之培訓人數、經費占率統計表(如附表</w:t>
      </w:r>
      <w:r w:rsidR="00CA158D">
        <w:rPr>
          <w:rFonts w:hint="eastAsia"/>
        </w:rPr>
        <w:t>4</w:t>
      </w:r>
      <w:r w:rsidRPr="006A0B36">
        <w:rPr>
          <w:rFonts w:hint="eastAsia"/>
        </w:rPr>
        <w:t>)，可知該部辦理我國各類醫事人員之培訓計畫，</w:t>
      </w:r>
      <w:r w:rsidR="00402E81" w:rsidRPr="006A0B36">
        <w:rPr>
          <w:rFonts w:hint="eastAsia"/>
        </w:rPr>
        <w:t>呈現</w:t>
      </w:r>
      <w:r w:rsidRPr="006A0B36">
        <w:rPr>
          <w:rFonts w:hint="eastAsia"/>
        </w:rPr>
        <w:t>側重醫師（含牙醫師、中醫師）部分之</w:t>
      </w:r>
      <w:r w:rsidR="00C068F0" w:rsidRPr="006A0B36">
        <w:rPr>
          <w:rFonts w:hint="eastAsia"/>
        </w:rPr>
        <w:t>情形</w:t>
      </w:r>
      <w:r w:rsidRPr="006A0B36">
        <w:rPr>
          <w:rFonts w:hint="eastAsia"/>
        </w:rPr>
        <w:t>。</w:t>
      </w:r>
    </w:p>
    <w:p w:rsidR="00C551F0" w:rsidRPr="006A0B36" w:rsidRDefault="00C551F0" w:rsidP="00C551F0">
      <w:pPr>
        <w:pStyle w:val="4"/>
        <w:ind w:left="1700" w:hanging="680"/>
      </w:pPr>
      <w:r w:rsidRPr="006A0B36">
        <w:rPr>
          <w:rFonts w:hint="eastAsia"/>
        </w:rPr>
        <w:t>本計畫在96年至105年之10年間共計挹注經費新臺幣(下同)171.64億元，亦即該部平均每年至少須籌措17億</w:t>
      </w:r>
      <w:r w:rsidRPr="006A0B36">
        <w:rPr>
          <w:rFonts w:hint="eastAsia"/>
        </w:rPr>
        <w:lastRenderedPageBreak/>
        <w:t>元以上之預算，方敷支付此項培訓經費。</w:t>
      </w:r>
    </w:p>
    <w:p w:rsidR="00C551F0" w:rsidRPr="006A0B36" w:rsidRDefault="00C551F0" w:rsidP="00C551F0">
      <w:pPr>
        <w:pStyle w:val="4"/>
        <w:ind w:left="1700" w:hanging="680"/>
      </w:pPr>
      <w:r w:rsidRPr="006A0B36">
        <w:rPr>
          <w:rFonts w:hint="eastAsia"/>
        </w:rPr>
        <w:t>就本計畫之培訓人數、占率而言，醫師（含牙醫師、中醫師）部分共計占27.25% ，但其他14類醫事人員則占72.75%。</w:t>
      </w:r>
    </w:p>
    <w:p w:rsidR="00C551F0" w:rsidRPr="006A0B36" w:rsidRDefault="00C551F0" w:rsidP="00C551F0">
      <w:pPr>
        <w:pStyle w:val="5"/>
        <w:ind w:left="2041" w:hanging="680"/>
      </w:pPr>
      <w:r w:rsidRPr="006A0B36">
        <w:rPr>
          <w:rFonts w:hint="eastAsia"/>
        </w:rPr>
        <w:t>醫師PGY訓練14,786人、占率6.36%。</w:t>
      </w:r>
    </w:p>
    <w:p w:rsidR="00C551F0" w:rsidRPr="006A0B36" w:rsidRDefault="00C551F0" w:rsidP="00C551F0">
      <w:pPr>
        <w:pStyle w:val="5"/>
        <w:ind w:left="2041" w:hanging="680"/>
      </w:pPr>
      <w:r w:rsidRPr="006A0B36">
        <w:rPr>
          <w:rFonts w:hint="eastAsia"/>
        </w:rPr>
        <w:t>醫師訓練41,521人、占率17.87%。</w:t>
      </w:r>
    </w:p>
    <w:p w:rsidR="00C551F0" w:rsidRPr="006A0B36" w:rsidRDefault="00C551F0" w:rsidP="00C551F0">
      <w:pPr>
        <w:pStyle w:val="5"/>
        <w:ind w:left="2041" w:hanging="680"/>
      </w:pPr>
      <w:r w:rsidRPr="006A0B36">
        <w:rPr>
          <w:rFonts w:hint="eastAsia"/>
        </w:rPr>
        <w:t>牙醫師訓練5,768人、占率2.48%。</w:t>
      </w:r>
    </w:p>
    <w:p w:rsidR="00C551F0" w:rsidRPr="006A0B36" w:rsidRDefault="00C551F0" w:rsidP="00C551F0">
      <w:pPr>
        <w:pStyle w:val="5"/>
        <w:ind w:left="2041" w:hanging="680"/>
      </w:pPr>
      <w:r w:rsidRPr="006A0B36">
        <w:rPr>
          <w:rFonts w:hint="eastAsia"/>
        </w:rPr>
        <w:t>中醫師訓練1,260人、占率0.54%。</w:t>
      </w:r>
    </w:p>
    <w:p w:rsidR="00C551F0" w:rsidRPr="006A0B36" w:rsidRDefault="00C551F0" w:rsidP="00C551F0">
      <w:pPr>
        <w:pStyle w:val="5"/>
        <w:ind w:left="2041" w:hanging="680"/>
      </w:pPr>
      <w:r w:rsidRPr="006A0B36">
        <w:rPr>
          <w:rFonts w:hint="eastAsia"/>
        </w:rPr>
        <w:t>護理師(士)訓練137,625人、占率59.24%。</w:t>
      </w:r>
    </w:p>
    <w:p w:rsidR="00C551F0" w:rsidRPr="006A0B36" w:rsidRDefault="00C551F0" w:rsidP="00C551F0">
      <w:pPr>
        <w:pStyle w:val="5"/>
        <w:ind w:left="2041" w:hanging="680"/>
      </w:pPr>
      <w:r w:rsidRPr="006A0B36">
        <w:rPr>
          <w:rFonts w:hint="eastAsia"/>
        </w:rPr>
        <w:t>藥師訓練14,368人、占率6.18%。</w:t>
      </w:r>
    </w:p>
    <w:p w:rsidR="00C551F0" w:rsidRPr="006A0B36" w:rsidRDefault="00C551F0" w:rsidP="00C551F0">
      <w:pPr>
        <w:pStyle w:val="5"/>
        <w:ind w:left="2041" w:hanging="680"/>
      </w:pPr>
      <w:r w:rsidRPr="006A0B36">
        <w:rPr>
          <w:rFonts w:hint="eastAsia"/>
        </w:rPr>
        <w:lastRenderedPageBreak/>
        <w:t>其他12職類醫事人員訓練16,997人、占率7.32%。</w:t>
      </w:r>
    </w:p>
    <w:p w:rsidR="00C551F0" w:rsidRPr="006A0B36" w:rsidRDefault="00C551F0" w:rsidP="00C551F0">
      <w:pPr>
        <w:pStyle w:val="4"/>
        <w:ind w:left="1700" w:hanging="680"/>
      </w:pPr>
      <w:r w:rsidRPr="006A0B36">
        <w:rPr>
          <w:rFonts w:hint="eastAsia"/>
        </w:rPr>
        <w:t>就本計畫之培訓經費、占率而言，醫師（含牙醫師、中醫師）部分占71.75% ，但其他14類醫事人員僅占28.25%。</w:t>
      </w:r>
    </w:p>
    <w:p w:rsidR="00C551F0" w:rsidRPr="006A0B36" w:rsidRDefault="00C551F0" w:rsidP="00C551F0">
      <w:pPr>
        <w:pStyle w:val="5"/>
        <w:ind w:left="2041" w:hanging="680"/>
      </w:pPr>
      <w:r w:rsidRPr="006A0B36">
        <w:rPr>
          <w:rFonts w:hint="eastAsia"/>
        </w:rPr>
        <w:t>醫師PGY訓練經費3,073,915,447元、占率17.91%。</w:t>
      </w:r>
    </w:p>
    <w:p w:rsidR="00C551F0" w:rsidRPr="006A0B36" w:rsidRDefault="00353BFC" w:rsidP="00C551F0">
      <w:pPr>
        <w:pStyle w:val="5"/>
        <w:ind w:left="2041" w:hanging="680"/>
      </w:pPr>
      <w:r>
        <w:rPr>
          <w:rFonts w:hint="eastAsia"/>
        </w:rPr>
        <w:t>第一年住院</w:t>
      </w:r>
      <w:r w:rsidR="00C551F0" w:rsidRPr="006A0B36">
        <w:rPr>
          <w:rFonts w:hint="eastAsia"/>
        </w:rPr>
        <w:t>醫師訓練經費8,250,284,603元、占率48.07%。</w:t>
      </w:r>
    </w:p>
    <w:p w:rsidR="00C551F0" w:rsidRPr="006A0B36" w:rsidRDefault="00C551F0" w:rsidP="00C551F0">
      <w:pPr>
        <w:pStyle w:val="5"/>
        <w:ind w:left="2041" w:hanging="680"/>
      </w:pPr>
      <w:r w:rsidRPr="006A0B36">
        <w:rPr>
          <w:rFonts w:hint="eastAsia"/>
        </w:rPr>
        <w:t>牙醫師訓練經費783,156,207元、占率4.56%。</w:t>
      </w:r>
    </w:p>
    <w:p w:rsidR="00C551F0" w:rsidRPr="006A0B36" w:rsidRDefault="00C551F0" w:rsidP="00C551F0">
      <w:pPr>
        <w:pStyle w:val="5"/>
        <w:ind w:left="2041" w:hanging="680"/>
      </w:pPr>
      <w:r w:rsidRPr="006A0B36">
        <w:rPr>
          <w:rFonts w:hint="eastAsia"/>
        </w:rPr>
        <w:t>中醫師訓練經費207,410,594元、占率1.21%。</w:t>
      </w:r>
    </w:p>
    <w:p w:rsidR="00C551F0" w:rsidRPr="006A0B36" w:rsidRDefault="00C551F0" w:rsidP="00C551F0">
      <w:pPr>
        <w:pStyle w:val="5"/>
        <w:ind w:left="2041" w:hanging="680"/>
      </w:pPr>
      <w:r w:rsidRPr="006A0B36">
        <w:rPr>
          <w:rFonts w:hint="eastAsia"/>
        </w:rPr>
        <w:t>護理師(士)訓練經費3,896,264,347元、占率22.70%。</w:t>
      </w:r>
    </w:p>
    <w:p w:rsidR="00C551F0" w:rsidRPr="006A0B36" w:rsidRDefault="00C551F0" w:rsidP="00C551F0">
      <w:pPr>
        <w:pStyle w:val="5"/>
        <w:ind w:left="2041" w:hanging="680"/>
      </w:pPr>
      <w:r w:rsidRPr="006A0B36">
        <w:rPr>
          <w:rFonts w:hint="eastAsia"/>
        </w:rPr>
        <w:lastRenderedPageBreak/>
        <w:t>藥師訓練經費429,012,047元、占率2.50%。</w:t>
      </w:r>
    </w:p>
    <w:p w:rsidR="00C551F0" w:rsidRPr="006A0B36" w:rsidRDefault="00C551F0" w:rsidP="00C551F0">
      <w:pPr>
        <w:pStyle w:val="5"/>
        <w:ind w:left="2041" w:hanging="680"/>
      </w:pPr>
      <w:r w:rsidRPr="006A0B36">
        <w:rPr>
          <w:rFonts w:hint="eastAsia"/>
        </w:rPr>
        <w:t>其他12職類醫事人員訓練經費524,076,491元、占率3.05%。</w:t>
      </w:r>
    </w:p>
    <w:p w:rsidR="00C551F0" w:rsidRPr="006A0B36" w:rsidRDefault="00C551F0" w:rsidP="00C551F0">
      <w:pPr>
        <w:pStyle w:val="3"/>
        <w:ind w:left="1360" w:hanging="680"/>
      </w:pPr>
      <w:r w:rsidRPr="006A0B36">
        <w:rPr>
          <w:rFonts w:hint="eastAsia"/>
        </w:rPr>
        <w:t>綜上，衛福部辦理各類醫事人員之培訓，</w:t>
      </w:r>
      <w:r w:rsidR="00402E81" w:rsidRPr="006A0B36">
        <w:rPr>
          <w:rFonts w:hint="eastAsia"/>
        </w:rPr>
        <w:t>相關統計數據呈現</w:t>
      </w:r>
      <w:r w:rsidR="00936B96" w:rsidRPr="006A0B36">
        <w:rPr>
          <w:rFonts w:hint="eastAsia"/>
        </w:rPr>
        <w:t>出</w:t>
      </w:r>
      <w:r w:rsidRPr="006A0B36">
        <w:rPr>
          <w:rFonts w:hint="eastAsia"/>
        </w:rPr>
        <w:t>側重醫師(含</w:t>
      </w:r>
      <w:r w:rsidR="00402E81" w:rsidRPr="006A0B36">
        <w:rPr>
          <w:rFonts w:hint="eastAsia"/>
        </w:rPr>
        <w:t>牙醫師</w:t>
      </w:r>
      <w:r w:rsidRPr="006A0B36">
        <w:rPr>
          <w:rFonts w:hint="eastAsia"/>
        </w:rPr>
        <w:t>、</w:t>
      </w:r>
      <w:r w:rsidR="00402E81" w:rsidRPr="006A0B36">
        <w:rPr>
          <w:rFonts w:hint="eastAsia"/>
        </w:rPr>
        <w:t>中</w:t>
      </w:r>
      <w:r w:rsidRPr="006A0B36">
        <w:rPr>
          <w:rFonts w:hint="eastAsia"/>
        </w:rPr>
        <w:t>醫</w:t>
      </w:r>
      <w:r w:rsidR="00402E81" w:rsidRPr="006A0B36">
        <w:rPr>
          <w:rFonts w:hint="eastAsia"/>
        </w:rPr>
        <w:t>師</w:t>
      </w:r>
      <w:r w:rsidRPr="006A0B36">
        <w:rPr>
          <w:rFonts w:hint="eastAsia"/>
        </w:rPr>
        <w:t>)部分</w:t>
      </w:r>
      <w:r w:rsidR="00402E81" w:rsidRPr="006A0B36">
        <w:rPr>
          <w:rFonts w:hint="eastAsia"/>
        </w:rPr>
        <w:t>之情形</w:t>
      </w:r>
      <w:r w:rsidRPr="006A0B36">
        <w:rPr>
          <w:rFonts w:hint="eastAsia"/>
        </w:rPr>
        <w:t>，</w:t>
      </w:r>
      <w:r w:rsidR="00402E81" w:rsidRPr="006A0B36">
        <w:rPr>
          <w:rFonts w:hint="eastAsia"/>
        </w:rPr>
        <w:t>本院檢視</w:t>
      </w:r>
      <w:r w:rsidRPr="006A0B36">
        <w:rPr>
          <w:rFonts w:hint="eastAsia"/>
        </w:rPr>
        <w:t>其培訓人數占率僅為27.25%，</w:t>
      </w:r>
      <w:r w:rsidR="00402E81" w:rsidRPr="006A0B36">
        <w:rPr>
          <w:rFonts w:hint="eastAsia"/>
        </w:rPr>
        <w:t>但</w:t>
      </w:r>
      <w:r w:rsidRPr="006A0B36">
        <w:rPr>
          <w:rFonts w:hint="eastAsia"/>
        </w:rPr>
        <w:t>支用71.75%之培訓經費</w:t>
      </w:r>
      <w:r w:rsidR="00402E81" w:rsidRPr="006A0B36">
        <w:rPr>
          <w:rFonts w:hint="eastAsia"/>
        </w:rPr>
        <w:t>；恐將排擠其他職類</w:t>
      </w:r>
      <w:r w:rsidR="00936B96" w:rsidRPr="006A0B36">
        <w:rPr>
          <w:rFonts w:hint="eastAsia"/>
        </w:rPr>
        <w:t>醫事人員本當獲得之</w:t>
      </w:r>
      <w:r w:rsidR="00402E81" w:rsidRPr="006A0B36">
        <w:rPr>
          <w:rFonts w:hint="eastAsia"/>
        </w:rPr>
        <w:t>資源，造成醫療團隊成員素質落差，</w:t>
      </w:r>
      <w:r w:rsidR="00936B96" w:rsidRPr="006A0B36">
        <w:rPr>
          <w:rFonts w:hint="eastAsia"/>
        </w:rPr>
        <w:t>甚</w:t>
      </w:r>
      <w:r w:rsidR="00FA0EDB" w:rsidRPr="006A0B36">
        <w:rPr>
          <w:rFonts w:hint="eastAsia"/>
        </w:rPr>
        <w:t>至</w:t>
      </w:r>
      <w:r w:rsidR="00936B96" w:rsidRPr="006A0B36">
        <w:rPr>
          <w:rFonts w:hint="eastAsia"/>
        </w:rPr>
        <w:t>損及</w:t>
      </w:r>
      <w:r w:rsidR="00FA0EDB" w:rsidRPr="006A0B36">
        <w:rPr>
          <w:rFonts w:hint="eastAsia"/>
        </w:rPr>
        <w:t>整體</w:t>
      </w:r>
      <w:r w:rsidR="00936B96" w:rsidRPr="006A0B36">
        <w:rPr>
          <w:rFonts w:hint="eastAsia"/>
        </w:rPr>
        <w:t>醫療</w:t>
      </w:r>
      <w:r w:rsidR="001019EF">
        <w:rPr>
          <w:rFonts w:hint="eastAsia"/>
        </w:rPr>
        <w:t>服務</w:t>
      </w:r>
      <w:r w:rsidR="00936B96" w:rsidRPr="006A0B36">
        <w:rPr>
          <w:rFonts w:hint="eastAsia"/>
        </w:rPr>
        <w:t>品質</w:t>
      </w:r>
      <w:r w:rsidRPr="006A0B36">
        <w:rPr>
          <w:rFonts w:hint="eastAsia"/>
        </w:rPr>
        <w:t>，</w:t>
      </w:r>
      <w:r w:rsidR="00936B96" w:rsidRPr="006A0B36">
        <w:rPr>
          <w:rFonts w:hint="eastAsia"/>
        </w:rPr>
        <w:t>該部</w:t>
      </w:r>
      <w:r w:rsidRPr="006A0B36">
        <w:rPr>
          <w:rFonts w:hint="eastAsia"/>
        </w:rPr>
        <w:t>允應通盤研謀</w:t>
      </w:r>
      <w:r w:rsidR="00FA0EDB" w:rsidRPr="006A0B36">
        <w:rPr>
          <w:rFonts w:hint="eastAsia"/>
        </w:rPr>
        <w:t>調整</w:t>
      </w:r>
      <w:r w:rsidRPr="006A0B36">
        <w:rPr>
          <w:rFonts w:hint="eastAsia"/>
        </w:rPr>
        <w:t>改善。</w:t>
      </w:r>
    </w:p>
    <w:p w:rsidR="001021AD" w:rsidRPr="006A0B36" w:rsidRDefault="001021AD" w:rsidP="00F15914">
      <w:pPr>
        <w:pStyle w:val="2"/>
        <w:rPr>
          <w:b/>
        </w:rPr>
      </w:pPr>
      <w:r w:rsidRPr="006A0B36">
        <w:rPr>
          <w:rFonts w:hint="eastAsia"/>
          <w:b/>
          <w:color w:val="000000"/>
        </w:rPr>
        <w:lastRenderedPageBreak/>
        <w:t>衛</w:t>
      </w:r>
      <w:r w:rsidRPr="006A0B36">
        <w:rPr>
          <w:rFonts w:hint="eastAsia"/>
          <w:b/>
        </w:rPr>
        <w:t>福部</w:t>
      </w:r>
      <w:r w:rsidR="00F15914" w:rsidRPr="006A0B36">
        <w:rPr>
          <w:rFonts w:hint="eastAsia"/>
          <w:b/>
        </w:rPr>
        <w:t>應正視</w:t>
      </w:r>
      <w:r w:rsidRPr="006A0B36">
        <w:rPr>
          <w:rFonts w:hint="eastAsia"/>
          <w:b/>
        </w:rPr>
        <w:t>辦理醫培</w:t>
      </w:r>
      <w:r w:rsidR="006B3921" w:rsidRPr="006A0B36">
        <w:rPr>
          <w:rFonts w:hint="eastAsia"/>
          <w:b/>
        </w:rPr>
        <w:t>計畫</w:t>
      </w:r>
      <w:r w:rsidR="00F15914" w:rsidRPr="006A0B36">
        <w:rPr>
          <w:rFonts w:hint="eastAsia"/>
          <w:b/>
        </w:rPr>
        <w:t>相關預算經費逐年減少之</w:t>
      </w:r>
      <w:r w:rsidR="0075471F" w:rsidRPr="006A0B36">
        <w:rPr>
          <w:rFonts w:hint="eastAsia"/>
          <w:b/>
        </w:rPr>
        <w:t>窘</w:t>
      </w:r>
      <w:r w:rsidR="00255D5C" w:rsidRPr="006A0B36">
        <w:rPr>
          <w:rFonts w:hint="eastAsia"/>
          <w:b/>
        </w:rPr>
        <w:t>境</w:t>
      </w:r>
      <w:r w:rsidRPr="006A0B36">
        <w:rPr>
          <w:rFonts w:hint="eastAsia"/>
          <w:b/>
        </w:rPr>
        <w:t>，</w:t>
      </w:r>
      <w:r w:rsidR="00180468" w:rsidRPr="006A0B36">
        <w:rPr>
          <w:rFonts w:hint="eastAsia"/>
          <w:b/>
        </w:rPr>
        <w:t>核</w:t>
      </w:r>
      <w:r w:rsidR="00E31334" w:rsidRPr="006A0B36">
        <w:rPr>
          <w:rFonts w:hint="eastAsia"/>
          <w:b/>
        </w:rPr>
        <w:t>其預算</w:t>
      </w:r>
      <w:r w:rsidR="006873D3" w:rsidRPr="006A0B36">
        <w:rPr>
          <w:rFonts w:hint="eastAsia"/>
          <w:b/>
        </w:rPr>
        <w:t>分散</w:t>
      </w:r>
      <w:r w:rsidR="0075471F" w:rsidRPr="006A0B36">
        <w:rPr>
          <w:rFonts w:hint="eastAsia"/>
          <w:b/>
        </w:rPr>
        <w:t>編列</w:t>
      </w:r>
      <w:r w:rsidR="00180468" w:rsidRPr="006A0B36">
        <w:rPr>
          <w:rFonts w:hint="eastAsia"/>
          <w:b/>
        </w:rPr>
        <w:t>方式</w:t>
      </w:r>
      <w:r w:rsidRPr="006A0B36">
        <w:rPr>
          <w:rFonts w:hint="eastAsia"/>
          <w:b/>
        </w:rPr>
        <w:t>，</w:t>
      </w:r>
      <w:r w:rsidR="006B3921" w:rsidRPr="006A0B36">
        <w:rPr>
          <w:rFonts w:hint="eastAsia"/>
          <w:b/>
        </w:rPr>
        <w:t>爭取經費</w:t>
      </w:r>
      <w:r w:rsidR="002C6B75" w:rsidRPr="006A0B36">
        <w:rPr>
          <w:rFonts w:hint="eastAsia"/>
          <w:b/>
        </w:rPr>
        <w:t>相對不易</w:t>
      </w:r>
      <w:r w:rsidR="00180468" w:rsidRPr="006A0B36">
        <w:rPr>
          <w:rFonts w:hint="eastAsia"/>
          <w:b/>
        </w:rPr>
        <w:t>；</w:t>
      </w:r>
      <w:r w:rsidR="002C6B75" w:rsidRPr="006A0B36">
        <w:rPr>
          <w:rFonts w:hint="eastAsia"/>
          <w:b/>
        </w:rPr>
        <w:t>該部</w:t>
      </w:r>
      <w:r w:rsidR="006873D3" w:rsidRPr="006A0B36">
        <w:rPr>
          <w:rFonts w:hint="eastAsia"/>
          <w:b/>
        </w:rPr>
        <w:t>允當統籌運</w:t>
      </w:r>
      <w:r w:rsidR="00180468" w:rsidRPr="006A0B36">
        <w:rPr>
          <w:rFonts w:hint="eastAsia"/>
          <w:b/>
        </w:rPr>
        <w:t>作</w:t>
      </w:r>
      <w:r w:rsidR="002C6B75" w:rsidRPr="006A0B36">
        <w:rPr>
          <w:rFonts w:hint="eastAsia"/>
          <w:b/>
        </w:rPr>
        <w:t>調度預算</w:t>
      </w:r>
      <w:r w:rsidR="006873D3" w:rsidRPr="006A0B36">
        <w:rPr>
          <w:rFonts w:hint="eastAsia"/>
          <w:b/>
        </w:rPr>
        <w:t>，</w:t>
      </w:r>
      <w:r w:rsidR="003C7A30" w:rsidRPr="006A0B36">
        <w:rPr>
          <w:rFonts w:hint="eastAsia"/>
          <w:b/>
        </w:rPr>
        <w:t>以充裕財源</w:t>
      </w:r>
      <w:r w:rsidR="006873D3" w:rsidRPr="006A0B36">
        <w:rPr>
          <w:rFonts w:hint="eastAsia"/>
          <w:b/>
        </w:rPr>
        <w:t>，並齊一支付費用原則與點數</w:t>
      </w:r>
      <w:r w:rsidR="00D66FFF" w:rsidRPr="006A0B36">
        <w:rPr>
          <w:rFonts w:hint="eastAsia"/>
          <w:b/>
        </w:rPr>
        <w:t>，</w:t>
      </w:r>
      <w:r w:rsidR="0083706E" w:rsidRPr="006A0B36">
        <w:rPr>
          <w:rFonts w:hint="eastAsia"/>
          <w:b/>
        </w:rPr>
        <w:t>方可</w:t>
      </w:r>
      <w:r w:rsidR="00D66FFF" w:rsidRPr="006A0B36">
        <w:rPr>
          <w:rFonts w:hint="eastAsia"/>
          <w:b/>
        </w:rPr>
        <w:t>恢宏</w:t>
      </w:r>
      <w:r w:rsidR="00906D65" w:rsidRPr="006A0B36">
        <w:rPr>
          <w:rFonts w:hint="eastAsia"/>
          <w:b/>
        </w:rPr>
        <w:t>本計畫</w:t>
      </w:r>
      <w:r w:rsidR="00BD1BBB" w:rsidRPr="006A0B36">
        <w:rPr>
          <w:rFonts w:hint="eastAsia"/>
          <w:b/>
        </w:rPr>
        <w:t>之</w:t>
      </w:r>
      <w:r w:rsidR="00D66FFF" w:rsidRPr="006A0B36">
        <w:rPr>
          <w:rFonts w:hint="eastAsia"/>
          <w:b/>
        </w:rPr>
        <w:t>最大效</w:t>
      </w:r>
      <w:r w:rsidR="00BD1BBB" w:rsidRPr="006A0B36">
        <w:rPr>
          <w:rFonts w:hint="eastAsia"/>
          <w:b/>
        </w:rPr>
        <w:t>益</w:t>
      </w:r>
      <w:r w:rsidRPr="006A0B36">
        <w:rPr>
          <w:rFonts w:hint="eastAsia"/>
          <w:b/>
        </w:rPr>
        <w:t>：</w:t>
      </w:r>
    </w:p>
    <w:p w:rsidR="00F15914" w:rsidRPr="006A0B36" w:rsidRDefault="005D73A6" w:rsidP="00915FBA">
      <w:pPr>
        <w:pStyle w:val="3"/>
        <w:ind w:left="1360" w:hanging="680"/>
      </w:pPr>
      <w:r w:rsidRPr="006A0B36">
        <w:rPr>
          <w:rFonts w:hint="eastAsia"/>
        </w:rPr>
        <w:t>查</w:t>
      </w:r>
      <w:r w:rsidR="00915FBA" w:rsidRPr="006A0B36">
        <w:rPr>
          <w:rFonts w:hint="eastAsia"/>
        </w:rPr>
        <w:t>衛福部提供96~</w:t>
      </w:r>
      <w:r w:rsidR="00F15914" w:rsidRPr="006A0B36">
        <w:rPr>
          <w:rFonts w:hint="eastAsia"/>
        </w:rPr>
        <w:t>10</w:t>
      </w:r>
      <w:r w:rsidR="00915FBA" w:rsidRPr="006A0B36">
        <w:rPr>
          <w:rFonts w:hint="eastAsia"/>
        </w:rPr>
        <w:t>5</w:t>
      </w:r>
      <w:r w:rsidR="00F15914" w:rsidRPr="006A0B36">
        <w:rPr>
          <w:rFonts w:hint="eastAsia"/>
        </w:rPr>
        <w:t>年度</w:t>
      </w:r>
      <w:r w:rsidR="00915FBA" w:rsidRPr="006A0B36">
        <w:rPr>
          <w:rFonts w:hint="eastAsia"/>
        </w:rPr>
        <w:t>有關</w:t>
      </w:r>
      <w:r w:rsidR="00F15914" w:rsidRPr="006A0B36">
        <w:rPr>
          <w:rFonts w:hint="eastAsia"/>
        </w:rPr>
        <w:t>醫培計畫之預算</w:t>
      </w:r>
      <w:r w:rsidR="008516A7" w:rsidRPr="006A0B36">
        <w:rPr>
          <w:rFonts w:hint="eastAsia"/>
        </w:rPr>
        <w:t>金額統計</w:t>
      </w:r>
      <w:r w:rsidR="00F15914" w:rsidRPr="006A0B36">
        <w:rPr>
          <w:rFonts w:hint="eastAsia"/>
        </w:rPr>
        <w:t>，</w:t>
      </w:r>
      <w:r w:rsidR="00915FBA" w:rsidRPr="006A0B36">
        <w:rPr>
          <w:rFonts w:hint="eastAsia"/>
        </w:rPr>
        <w:t>分別為18.3億元、18.1億元、17.8億元、16.4億元、18.4億元、19.4億元、18.7億元、18.8億元、14.0億元、11.7億元，</w:t>
      </w:r>
      <w:r w:rsidR="008516A7" w:rsidRPr="006A0B36">
        <w:rPr>
          <w:rFonts w:hint="eastAsia"/>
        </w:rPr>
        <w:t>尤其</w:t>
      </w:r>
      <w:r w:rsidR="00915FBA" w:rsidRPr="006A0B36">
        <w:rPr>
          <w:rFonts w:hint="eastAsia"/>
        </w:rPr>
        <w:t>近3年來</w:t>
      </w:r>
      <w:r w:rsidR="000A5DFA" w:rsidRPr="006A0B36">
        <w:rPr>
          <w:rFonts w:hint="eastAsia"/>
        </w:rPr>
        <w:t>更</w:t>
      </w:r>
      <w:r w:rsidR="00915FBA" w:rsidRPr="006A0B36">
        <w:rPr>
          <w:rFonts w:hint="eastAsia"/>
        </w:rPr>
        <w:t>呈現</w:t>
      </w:r>
      <w:r w:rsidR="000A5DFA" w:rsidRPr="006A0B36">
        <w:rPr>
          <w:rFonts w:hint="eastAsia"/>
        </w:rPr>
        <w:t>出</w:t>
      </w:r>
      <w:r w:rsidR="008516A7" w:rsidRPr="006A0B36">
        <w:rPr>
          <w:rFonts w:hint="eastAsia"/>
        </w:rPr>
        <w:t>培訓人數增加，但</w:t>
      </w:r>
      <w:r w:rsidR="000A5DFA" w:rsidRPr="006A0B36">
        <w:rPr>
          <w:rFonts w:hint="eastAsia"/>
        </w:rPr>
        <w:t>其預算</w:t>
      </w:r>
      <w:r w:rsidR="00915FBA" w:rsidRPr="006A0B36">
        <w:rPr>
          <w:rFonts w:hint="eastAsia"/>
          <w:szCs w:val="32"/>
        </w:rPr>
        <w:t>經費</w:t>
      </w:r>
      <w:r w:rsidR="008516A7" w:rsidRPr="006A0B36">
        <w:rPr>
          <w:rFonts w:hint="eastAsia"/>
          <w:szCs w:val="32"/>
        </w:rPr>
        <w:t>卻</w:t>
      </w:r>
      <w:r w:rsidR="00915FBA" w:rsidRPr="006A0B36">
        <w:rPr>
          <w:rFonts w:hint="eastAsia"/>
          <w:szCs w:val="32"/>
        </w:rPr>
        <w:t>逐年大幅下滑之窘</w:t>
      </w:r>
      <w:r w:rsidR="008516A7" w:rsidRPr="006A0B36">
        <w:rPr>
          <w:rFonts w:hint="eastAsia"/>
          <w:szCs w:val="32"/>
        </w:rPr>
        <w:t>境。</w:t>
      </w:r>
      <w:r w:rsidR="00E15FC4" w:rsidRPr="006A0B36">
        <w:rPr>
          <w:rFonts w:hint="eastAsia"/>
          <w:szCs w:val="32"/>
        </w:rPr>
        <w:t>又由於</w:t>
      </w:r>
      <w:r w:rsidR="00E15FC4" w:rsidRPr="006A0B36">
        <w:rPr>
          <w:rFonts w:hint="eastAsia"/>
        </w:rPr>
        <w:t>本計畫主要目標為提</w:t>
      </w:r>
      <w:r w:rsidR="00E15FC4" w:rsidRPr="006A0B36">
        <w:rPr>
          <w:rFonts w:hint="eastAsia"/>
        </w:rPr>
        <w:lastRenderedPageBreak/>
        <w:t>升醫事人員臨床服務之能力，以提升醫療機構品質，是依據衛福部所訂之醫療事業發展獎勵辦法第2條第1項第5款規定獎勵項目，由醫療發展基金編列支應(自104年起每年由公務預算撥補8億5,000萬元)。</w:t>
      </w:r>
    </w:p>
    <w:p w:rsidR="00A352E1" w:rsidRPr="006A0B36" w:rsidRDefault="001019EF" w:rsidP="003C7A30">
      <w:pPr>
        <w:pStyle w:val="3"/>
        <w:ind w:left="1360" w:hanging="680"/>
      </w:pPr>
      <w:r>
        <w:rPr>
          <w:rFonts w:hint="eastAsia"/>
          <w:szCs w:val="32"/>
        </w:rPr>
        <w:t>又</w:t>
      </w:r>
      <w:r w:rsidR="00F15914" w:rsidRPr="006A0B36">
        <w:rPr>
          <w:rFonts w:hint="eastAsia"/>
          <w:szCs w:val="32"/>
        </w:rPr>
        <w:t>查</w:t>
      </w:r>
      <w:r w:rsidR="00A352E1" w:rsidRPr="006A0B36">
        <w:rPr>
          <w:rFonts w:hint="eastAsia"/>
          <w:szCs w:val="32"/>
        </w:rPr>
        <w:t>衛福部</w:t>
      </w:r>
      <w:r w:rsidR="0083706E" w:rsidRPr="006A0B36">
        <w:rPr>
          <w:rFonts w:hint="eastAsia"/>
          <w:szCs w:val="32"/>
        </w:rPr>
        <w:t>先前籌</w:t>
      </w:r>
      <w:r w:rsidR="00A352E1" w:rsidRPr="006A0B36">
        <w:rPr>
          <w:rFonts w:hint="eastAsia"/>
          <w:szCs w:val="32"/>
        </w:rPr>
        <w:t>編</w:t>
      </w:r>
      <w:r w:rsidR="00CB0402" w:rsidRPr="006A0B36">
        <w:rPr>
          <w:rFonts w:hint="eastAsia"/>
          <w:szCs w:val="32"/>
        </w:rPr>
        <w:t>醫培計畫</w:t>
      </w:r>
      <w:r w:rsidR="00DA659C" w:rsidRPr="006A0B36">
        <w:rPr>
          <w:rFonts w:hint="eastAsia"/>
          <w:szCs w:val="32"/>
        </w:rPr>
        <w:t>之</w:t>
      </w:r>
      <w:r w:rsidR="0083706E" w:rsidRPr="006A0B36">
        <w:rPr>
          <w:rFonts w:hint="eastAsia"/>
          <w:szCs w:val="32"/>
        </w:rPr>
        <w:t>年度</w:t>
      </w:r>
      <w:r w:rsidR="00A352E1" w:rsidRPr="006A0B36">
        <w:rPr>
          <w:rFonts w:hint="eastAsia"/>
          <w:szCs w:val="32"/>
        </w:rPr>
        <w:t>預算時，</w:t>
      </w:r>
      <w:r w:rsidR="00CB0402" w:rsidRPr="006A0B36">
        <w:rPr>
          <w:rFonts w:hint="eastAsia"/>
          <w:szCs w:val="32"/>
        </w:rPr>
        <w:t>係採</w:t>
      </w:r>
      <w:r w:rsidR="00DA659C" w:rsidRPr="006A0B36">
        <w:rPr>
          <w:rFonts w:hint="eastAsia"/>
          <w:szCs w:val="32"/>
        </w:rPr>
        <w:t>經費</w:t>
      </w:r>
      <w:r w:rsidR="00CB0402" w:rsidRPr="006A0B36">
        <w:rPr>
          <w:rFonts w:hint="eastAsia"/>
          <w:szCs w:val="32"/>
        </w:rPr>
        <w:t>分散</w:t>
      </w:r>
      <w:r w:rsidR="00A352E1" w:rsidRPr="006A0B36">
        <w:rPr>
          <w:rFonts w:hint="eastAsia"/>
          <w:szCs w:val="32"/>
        </w:rPr>
        <w:t>編列</w:t>
      </w:r>
      <w:r w:rsidR="00CB0402" w:rsidRPr="006A0B36">
        <w:rPr>
          <w:rFonts w:hint="eastAsia"/>
          <w:szCs w:val="32"/>
        </w:rPr>
        <w:t>方式</w:t>
      </w:r>
      <w:r w:rsidR="00A352E1" w:rsidRPr="006A0B36">
        <w:rPr>
          <w:rFonts w:hAnsi="標楷體" w:hint="eastAsia"/>
          <w:szCs w:val="32"/>
        </w:rPr>
        <w:t>，</w:t>
      </w:r>
      <w:r w:rsidR="00180468" w:rsidRPr="006A0B36">
        <w:rPr>
          <w:rFonts w:hAnsi="標楷體" w:hint="eastAsia"/>
          <w:szCs w:val="32"/>
        </w:rPr>
        <w:t>形同孤軍奮戰</w:t>
      </w:r>
      <w:r w:rsidR="00C7286B" w:rsidRPr="006A0B36">
        <w:rPr>
          <w:rFonts w:hAnsi="標楷體" w:hint="eastAsia"/>
          <w:szCs w:val="32"/>
        </w:rPr>
        <w:t>，</w:t>
      </w:r>
      <w:r w:rsidR="0083706E" w:rsidRPr="006A0B36">
        <w:rPr>
          <w:rFonts w:hAnsi="標楷體" w:hint="eastAsia"/>
          <w:szCs w:val="32"/>
        </w:rPr>
        <w:t>力道單薄，難以</w:t>
      </w:r>
      <w:r w:rsidR="00C7286B" w:rsidRPr="006A0B36">
        <w:rPr>
          <w:rFonts w:hAnsi="標楷體" w:hint="eastAsia"/>
          <w:szCs w:val="32"/>
        </w:rPr>
        <w:t>爭取</w:t>
      </w:r>
      <w:r w:rsidR="0083706E" w:rsidRPr="006A0B36">
        <w:rPr>
          <w:rFonts w:hAnsi="標楷體" w:hint="eastAsia"/>
          <w:szCs w:val="32"/>
        </w:rPr>
        <w:t>足夠之預算</w:t>
      </w:r>
      <w:r w:rsidR="00C7286B" w:rsidRPr="006A0B36">
        <w:rPr>
          <w:rFonts w:hAnsi="標楷體" w:hint="eastAsia"/>
          <w:szCs w:val="32"/>
        </w:rPr>
        <w:t>；</w:t>
      </w:r>
      <w:r w:rsidR="00A352E1" w:rsidRPr="006A0B36">
        <w:rPr>
          <w:rFonts w:hint="eastAsia"/>
          <w:szCs w:val="32"/>
        </w:rPr>
        <w:t>又其補助點值</w:t>
      </w:r>
      <w:r w:rsidR="004E6AF0" w:rsidRPr="006A0B36">
        <w:rPr>
          <w:rFonts w:hint="eastAsia"/>
          <w:szCs w:val="32"/>
        </w:rPr>
        <w:t>不同</w:t>
      </w:r>
      <w:r w:rsidR="00A352E1" w:rsidRPr="006A0B36">
        <w:rPr>
          <w:rFonts w:hAnsi="標楷體" w:hint="eastAsia"/>
          <w:szCs w:val="32"/>
        </w:rPr>
        <w:t>，</w:t>
      </w:r>
      <w:r w:rsidR="004E6AF0" w:rsidRPr="006A0B36">
        <w:rPr>
          <w:rFonts w:hAnsi="標楷體" w:hint="eastAsia"/>
          <w:szCs w:val="32"/>
        </w:rPr>
        <w:t>各行其是，欠缺統合</w:t>
      </w:r>
      <w:r w:rsidR="00A352E1" w:rsidRPr="006A0B36">
        <w:rPr>
          <w:rFonts w:hint="eastAsia"/>
          <w:szCs w:val="32"/>
        </w:rPr>
        <w:t>。</w:t>
      </w:r>
    </w:p>
    <w:p w:rsidR="004E6AF0" w:rsidRPr="006A0B36" w:rsidRDefault="00906D65" w:rsidP="00CB0402">
      <w:pPr>
        <w:pStyle w:val="4"/>
        <w:ind w:left="1700" w:hanging="680"/>
      </w:pPr>
      <w:r w:rsidRPr="006A0B36">
        <w:rPr>
          <w:rFonts w:hint="eastAsia"/>
        </w:rPr>
        <w:t>本計畫</w:t>
      </w:r>
      <w:r w:rsidR="007E09B6" w:rsidRPr="006A0B36">
        <w:rPr>
          <w:rFonts w:hint="eastAsia"/>
          <w:szCs w:val="32"/>
        </w:rPr>
        <w:t>年度</w:t>
      </w:r>
      <w:r w:rsidR="004E6AF0" w:rsidRPr="006A0B36">
        <w:rPr>
          <w:rFonts w:hint="eastAsia"/>
          <w:szCs w:val="32"/>
        </w:rPr>
        <w:t>預算</w:t>
      </w:r>
      <w:r w:rsidR="00237057" w:rsidRPr="006A0B36">
        <w:rPr>
          <w:rFonts w:hint="eastAsia"/>
          <w:szCs w:val="32"/>
        </w:rPr>
        <w:t>係分別</w:t>
      </w:r>
      <w:r w:rsidR="004E6AF0" w:rsidRPr="006A0B36">
        <w:rPr>
          <w:rFonts w:hint="eastAsia"/>
          <w:szCs w:val="32"/>
        </w:rPr>
        <w:t>由</w:t>
      </w:r>
      <w:r w:rsidR="007E09B6" w:rsidRPr="006A0B36">
        <w:rPr>
          <w:rFonts w:hint="eastAsia"/>
          <w:szCs w:val="32"/>
        </w:rPr>
        <w:t>衛福部不同</w:t>
      </w:r>
      <w:r w:rsidR="004E6AF0" w:rsidRPr="006A0B36">
        <w:rPr>
          <w:rFonts w:hint="eastAsia"/>
          <w:szCs w:val="32"/>
        </w:rPr>
        <w:t>主政單</w:t>
      </w:r>
      <w:r w:rsidR="007E09B6" w:rsidRPr="006A0B36">
        <w:rPr>
          <w:rFonts w:hint="eastAsia"/>
          <w:szCs w:val="32"/>
        </w:rPr>
        <w:t>位</w:t>
      </w:r>
      <w:r w:rsidR="004E6AF0" w:rsidRPr="006A0B36">
        <w:rPr>
          <w:rFonts w:hint="eastAsia"/>
          <w:szCs w:val="32"/>
        </w:rPr>
        <w:t>編列：</w:t>
      </w:r>
    </w:p>
    <w:p w:rsidR="00CB0402" w:rsidRPr="006A0B36" w:rsidRDefault="00CB0402" w:rsidP="004E6AF0">
      <w:pPr>
        <w:pStyle w:val="5"/>
        <w:ind w:left="2041" w:hanging="680"/>
      </w:pPr>
      <w:r w:rsidRPr="006A0B36">
        <w:rPr>
          <w:rFonts w:hint="eastAsia"/>
        </w:rPr>
        <w:t>各醫事職類</w:t>
      </w:r>
      <w:r w:rsidR="00DA659C" w:rsidRPr="006A0B36">
        <w:rPr>
          <w:rFonts w:hint="eastAsia"/>
        </w:rPr>
        <w:t>(牙醫計畫除外)</w:t>
      </w:r>
      <w:r w:rsidRPr="006A0B36">
        <w:rPr>
          <w:rFonts w:hint="eastAsia"/>
        </w:rPr>
        <w:t>部分</w:t>
      </w:r>
      <w:r w:rsidR="004E6AF0" w:rsidRPr="006A0B36">
        <w:rPr>
          <w:rFonts w:hint="eastAsia"/>
        </w:rPr>
        <w:t>由</w:t>
      </w:r>
      <w:r w:rsidRPr="006A0B36">
        <w:rPr>
          <w:rFonts w:hint="eastAsia"/>
        </w:rPr>
        <w:t>醫事司</w:t>
      </w:r>
      <w:r w:rsidR="007E09B6" w:rsidRPr="006A0B36">
        <w:rPr>
          <w:rFonts w:hint="eastAsia"/>
        </w:rPr>
        <w:t>負責</w:t>
      </w:r>
      <w:r w:rsidRPr="006A0B36">
        <w:rPr>
          <w:rFonts w:hint="eastAsia"/>
        </w:rPr>
        <w:t>。</w:t>
      </w:r>
    </w:p>
    <w:p w:rsidR="00CB0402" w:rsidRPr="006A0B36" w:rsidRDefault="00CB0402" w:rsidP="007E09B6">
      <w:pPr>
        <w:pStyle w:val="5"/>
        <w:ind w:left="2041" w:hanging="680"/>
      </w:pPr>
      <w:r w:rsidRPr="006A0B36">
        <w:rPr>
          <w:rFonts w:hint="eastAsia"/>
        </w:rPr>
        <w:lastRenderedPageBreak/>
        <w:t>牙醫計畫部分</w:t>
      </w:r>
      <w:r w:rsidR="007E09B6" w:rsidRPr="006A0B36">
        <w:rPr>
          <w:rFonts w:hint="eastAsia"/>
        </w:rPr>
        <w:t>由</w:t>
      </w:r>
      <w:r w:rsidRPr="006A0B36">
        <w:rPr>
          <w:rFonts w:hint="eastAsia"/>
        </w:rPr>
        <w:t>心理及口腔健康司</w:t>
      </w:r>
      <w:r w:rsidR="007E09B6" w:rsidRPr="006A0B36">
        <w:rPr>
          <w:rFonts w:hint="eastAsia"/>
        </w:rPr>
        <w:t>負責</w:t>
      </w:r>
      <w:r w:rsidRPr="006A0B36">
        <w:rPr>
          <w:rFonts w:hint="eastAsia"/>
        </w:rPr>
        <w:t>。</w:t>
      </w:r>
    </w:p>
    <w:p w:rsidR="00020909" w:rsidRPr="006A0B36" w:rsidRDefault="00906D65" w:rsidP="00A61877">
      <w:pPr>
        <w:pStyle w:val="4"/>
        <w:ind w:left="1700" w:hanging="680"/>
      </w:pPr>
      <w:r w:rsidRPr="006A0B36">
        <w:rPr>
          <w:rFonts w:hint="eastAsia"/>
        </w:rPr>
        <w:t>本計畫</w:t>
      </w:r>
      <w:r w:rsidR="009819B9" w:rsidRPr="006A0B36">
        <w:rPr>
          <w:rFonts w:hint="eastAsia"/>
        </w:rPr>
        <w:t>補助經費之點數、補助點值、補助金額依不同類別醫事人員而異(如附表</w:t>
      </w:r>
      <w:r w:rsidR="00CA158D">
        <w:rPr>
          <w:rFonts w:hint="eastAsia"/>
        </w:rPr>
        <w:t>5</w:t>
      </w:r>
      <w:r w:rsidR="009819B9" w:rsidRPr="006A0B36">
        <w:rPr>
          <w:rFonts w:hint="eastAsia"/>
        </w:rPr>
        <w:t>)</w:t>
      </w:r>
      <w:r w:rsidR="0083706E" w:rsidRPr="006A0B36">
        <w:rPr>
          <w:rFonts w:hint="eastAsia"/>
        </w:rPr>
        <w:t>，從而引發</w:t>
      </w:r>
      <w:r w:rsidR="002C6B75" w:rsidRPr="006A0B36">
        <w:rPr>
          <w:rFonts w:hint="eastAsia"/>
        </w:rPr>
        <w:t>各職類人員</w:t>
      </w:r>
      <w:r w:rsidR="0083706E" w:rsidRPr="006A0B36">
        <w:rPr>
          <w:rFonts w:hint="eastAsia"/>
        </w:rPr>
        <w:t>不平之鳴</w:t>
      </w:r>
      <w:r w:rsidR="009819B9" w:rsidRPr="006A0B36">
        <w:rPr>
          <w:rFonts w:hint="eastAsia"/>
        </w:rPr>
        <w:t>。</w:t>
      </w:r>
    </w:p>
    <w:p w:rsidR="00621C76" w:rsidRPr="006A0B36" w:rsidRDefault="00621C76" w:rsidP="00621C76">
      <w:pPr>
        <w:pStyle w:val="5"/>
        <w:ind w:left="2041" w:hanging="680"/>
      </w:pPr>
      <w:r w:rsidRPr="006A0B36">
        <w:rPr>
          <w:rFonts w:hint="eastAsia"/>
        </w:rPr>
        <w:t>受訓人員訓練費用補助方式：補助點數*點值*人數。</w:t>
      </w:r>
    </w:p>
    <w:p w:rsidR="00237057" w:rsidRPr="006A0B36" w:rsidRDefault="00621C76" w:rsidP="00621C76">
      <w:pPr>
        <w:pStyle w:val="5"/>
        <w:ind w:left="2041" w:hanging="680"/>
      </w:pPr>
      <w:r w:rsidRPr="006A0B36">
        <w:rPr>
          <w:rFonts w:hint="eastAsia"/>
        </w:rPr>
        <w:t>各職類補助點數之訂定，主要考量教師及受訓人員投入成本(包括薪資、師生比及投入教學時間等)，故影響補助經費多寡。</w:t>
      </w:r>
    </w:p>
    <w:p w:rsidR="007E09B6" w:rsidRPr="006A0B36" w:rsidRDefault="00906D65" w:rsidP="00A61877">
      <w:pPr>
        <w:pStyle w:val="4"/>
        <w:ind w:left="1700" w:hanging="680"/>
      </w:pPr>
      <w:r w:rsidRPr="006A0B36">
        <w:rPr>
          <w:rFonts w:hint="eastAsia"/>
        </w:rPr>
        <w:t>本計畫</w:t>
      </w:r>
      <w:r w:rsidR="007E09B6" w:rsidRPr="006A0B36">
        <w:rPr>
          <w:rFonts w:hint="eastAsia"/>
        </w:rPr>
        <w:t>經費未能穩定編列，影響</w:t>
      </w:r>
      <w:r w:rsidR="00D73329" w:rsidRPr="006A0B36">
        <w:rPr>
          <w:rFonts w:hint="eastAsia"/>
        </w:rPr>
        <w:t>辦理成效</w:t>
      </w:r>
      <w:r w:rsidR="007E09B6" w:rsidRPr="006A0B36">
        <w:rPr>
          <w:rFonts w:hint="eastAsia"/>
        </w:rPr>
        <w:t>：</w:t>
      </w:r>
    </w:p>
    <w:p w:rsidR="00A61877" w:rsidRPr="006A0B36" w:rsidRDefault="00DA659C" w:rsidP="00D73329">
      <w:pPr>
        <w:pStyle w:val="5"/>
        <w:ind w:left="2041" w:hanging="680"/>
      </w:pPr>
      <w:r w:rsidRPr="006A0B36">
        <w:rPr>
          <w:rFonts w:hint="eastAsia"/>
        </w:rPr>
        <w:lastRenderedPageBreak/>
        <w:t>上述</w:t>
      </w:r>
      <w:r w:rsidR="00A61877" w:rsidRPr="006A0B36">
        <w:rPr>
          <w:rFonts w:hint="eastAsia"/>
        </w:rPr>
        <w:t>各醫事職類</w:t>
      </w:r>
      <w:r w:rsidR="00D73329" w:rsidRPr="006A0B36">
        <w:rPr>
          <w:rFonts w:hint="eastAsia"/>
        </w:rPr>
        <w:t>部分</w:t>
      </w:r>
      <w:r w:rsidRPr="006A0B36">
        <w:rPr>
          <w:rFonts w:hint="eastAsia"/>
        </w:rPr>
        <w:t>所</w:t>
      </w:r>
      <w:r w:rsidR="00D73329" w:rsidRPr="006A0B36">
        <w:rPr>
          <w:rFonts w:hint="eastAsia"/>
        </w:rPr>
        <w:t>面臨困境</w:t>
      </w:r>
      <w:r w:rsidR="00A61877" w:rsidRPr="006A0B36">
        <w:rPr>
          <w:rFonts w:hint="eastAsia"/>
        </w:rPr>
        <w:t>：</w:t>
      </w:r>
      <w:r w:rsidR="00D73329" w:rsidRPr="006A0B36">
        <w:rPr>
          <w:rFonts w:hint="eastAsia"/>
        </w:rPr>
        <w:t>由於</w:t>
      </w:r>
      <w:r w:rsidR="00A61877" w:rsidRPr="006A0B36">
        <w:rPr>
          <w:rFonts w:hint="eastAsia"/>
        </w:rPr>
        <w:t>104年度計畫由公務預算編列改由醫療發展基金編列，104-106年由國庫各撥付補助8.5億元。惟因醫療發展基金之財源並不穩定，計畫經費逐年遞減，每點點值由101年的1.30降至105年的0.55，下降幅度達50%，約有140家教學醫院、2.5萬醫事人員及4.5萬臨床教師受到影響，並有師資人力緊縮，軟硬體投資減少，教學活動減少之隱憂。</w:t>
      </w:r>
    </w:p>
    <w:p w:rsidR="00A61877" w:rsidRPr="006A0B36" w:rsidRDefault="00A61877" w:rsidP="00D73329">
      <w:pPr>
        <w:pStyle w:val="5"/>
        <w:ind w:left="2041" w:hanging="680"/>
      </w:pPr>
      <w:r w:rsidRPr="006A0B36">
        <w:rPr>
          <w:rFonts w:hint="eastAsia"/>
        </w:rPr>
        <w:t>牙醫計畫</w:t>
      </w:r>
      <w:r w:rsidR="00D73329" w:rsidRPr="006A0B36">
        <w:rPr>
          <w:rFonts w:hint="eastAsia"/>
        </w:rPr>
        <w:t>部分</w:t>
      </w:r>
      <w:r w:rsidR="00DA659C" w:rsidRPr="006A0B36">
        <w:rPr>
          <w:rFonts w:hint="eastAsia"/>
        </w:rPr>
        <w:t>所</w:t>
      </w:r>
      <w:r w:rsidRPr="006A0B36">
        <w:rPr>
          <w:rFonts w:hint="eastAsia"/>
        </w:rPr>
        <w:t>面臨困境：牙醫PGY訓練計畫補助醫院之教學訓練費用不足，受訓學員人數逐年上升，但補助教</w:t>
      </w:r>
      <w:r w:rsidRPr="006A0B36">
        <w:rPr>
          <w:rFonts w:hint="eastAsia"/>
        </w:rPr>
        <w:lastRenderedPageBreak/>
        <w:t>學醫院之費用卻無法調升，造成訓練醫院成本負擔，間接影響</w:t>
      </w:r>
      <w:r w:rsidR="00DA659C" w:rsidRPr="006A0B36">
        <w:rPr>
          <w:rFonts w:hint="eastAsia"/>
        </w:rPr>
        <w:t>招</w:t>
      </w:r>
      <w:r w:rsidRPr="006A0B36">
        <w:rPr>
          <w:rFonts w:hint="eastAsia"/>
        </w:rPr>
        <w:t>收訓</w:t>
      </w:r>
      <w:r w:rsidR="00DA659C" w:rsidRPr="006A0B36">
        <w:rPr>
          <w:rFonts w:hint="eastAsia"/>
        </w:rPr>
        <w:t>練</w:t>
      </w:r>
      <w:r w:rsidRPr="006A0B36">
        <w:rPr>
          <w:rFonts w:hint="eastAsia"/>
        </w:rPr>
        <w:t>新進牙醫師意願。</w:t>
      </w:r>
    </w:p>
    <w:p w:rsidR="003C7A30" w:rsidRPr="006A0B36" w:rsidRDefault="001019EF" w:rsidP="003C7A30">
      <w:pPr>
        <w:pStyle w:val="3"/>
        <w:ind w:left="1360" w:hanging="680"/>
      </w:pPr>
      <w:r w:rsidRPr="001019EF">
        <w:rPr>
          <w:rFonts w:hint="eastAsia"/>
          <w:szCs w:val="32"/>
        </w:rPr>
        <w:t>末查</w:t>
      </w:r>
      <w:r w:rsidR="00BF501C" w:rsidRPr="001019EF">
        <w:rPr>
          <w:rFonts w:hint="eastAsia"/>
          <w:color w:val="000000"/>
        </w:rPr>
        <w:t>衛</w:t>
      </w:r>
      <w:r w:rsidR="00BF501C" w:rsidRPr="006A0B36">
        <w:rPr>
          <w:rFonts w:hint="eastAsia"/>
        </w:rPr>
        <w:t>福部查復本院所揭櫫辦理醫培</w:t>
      </w:r>
      <w:r w:rsidR="0083706E" w:rsidRPr="006A0B36">
        <w:rPr>
          <w:rFonts w:hint="eastAsia"/>
        </w:rPr>
        <w:t>計畫</w:t>
      </w:r>
      <w:r w:rsidR="00BF501C" w:rsidRPr="006A0B36">
        <w:rPr>
          <w:rFonts w:hint="eastAsia"/>
        </w:rPr>
        <w:t>之目標</w:t>
      </w:r>
      <w:r w:rsidR="004927A6" w:rsidRPr="006A0B36">
        <w:rPr>
          <w:rFonts w:hint="eastAsia"/>
        </w:rPr>
        <w:t>與預期</w:t>
      </w:r>
      <w:r w:rsidR="00D24689" w:rsidRPr="006A0B36">
        <w:rPr>
          <w:rFonts w:hint="eastAsia"/>
        </w:rPr>
        <w:t>效益，尤其是「落實全人照顧之理念：藉由計畫之獎勵措施，激勵醫院研擬優良教學方案與團隊照護模式，逐步推動以病人為中心之照護模式。」堪稱良法美意、理想崇高。</w:t>
      </w:r>
      <w:r w:rsidRPr="006A0B36">
        <w:rPr>
          <w:rFonts w:hint="eastAsia"/>
        </w:rPr>
        <w:t>揆諸</w:t>
      </w:r>
      <w:r>
        <w:rPr>
          <w:rFonts w:hint="eastAsia"/>
        </w:rPr>
        <w:t>該</w:t>
      </w:r>
      <w:r w:rsidR="00090826" w:rsidRPr="001019EF">
        <w:rPr>
          <w:rFonts w:hint="eastAsia"/>
          <w:szCs w:val="32"/>
        </w:rPr>
        <w:t>部</w:t>
      </w:r>
      <w:r w:rsidR="00D24916" w:rsidRPr="001019EF">
        <w:rPr>
          <w:rFonts w:hint="eastAsia"/>
          <w:szCs w:val="32"/>
        </w:rPr>
        <w:t>回應本院</w:t>
      </w:r>
      <w:r w:rsidR="00C7286B" w:rsidRPr="001019EF">
        <w:rPr>
          <w:rFonts w:hint="eastAsia"/>
          <w:szCs w:val="32"/>
        </w:rPr>
        <w:t>之</w:t>
      </w:r>
      <w:r w:rsidR="00D24916" w:rsidRPr="001019EF">
        <w:rPr>
          <w:rFonts w:hint="eastAsia"/>
          <w:szCs w:val="32"/>
        </w:rPr>
        <w:t>詢問，業已允諾</w:t>
      </w:r>
      <w:r w:rsidR="00090826" w:rsidRPr="001019EF">
        <w:rPr>
          <w:rFonts w:hint="eastAsia"/>
          <w:szCs w:val="32"/>
        </w:rPr>
        <w:t>於籌編</w:t>
      </w:r>
      <w:r w:rsidR="0083706E" w:rsidRPr="001019EF">
        <w:rPr>
          <w:rFonts w:hint="eastAsia"/>
          <w:szCs w:val="32"/>
        </w:rPr>
        <w:t>本計畫</w:t>
      </w:r>
      <w:r w:rsidR="00090826" w:rsidRPr="001019EF">
        <w:rPr>
          <w:rFonts w:hint="eastAsia"/>
          <w:szCs w:val="32"/>
        </w:rPr>
        <w:t>107年度預算時，</w:t>
      </w:r>
      <w:r w:rsidR="00C7286B" w:rsidRPr="001019EF">
        <w:rPr>
          <w:rFonts w:hint="eastAsia"/>
          <w:szCs w:val="32"/>
        </w:rPr>
        <w:t>將</w:t>
      </w:r>
      <w:r w:rsidR="00090826" w:rsidRPr="001019EF">
        <w:rPr>
          <w:rFonts w:hint="eastAsia"/>
          <w:szCs w:val="32"/>
        </w:rPr>
        <w:t>提報以原預算規模在公務預算編列</w:t>
      </w:r>
      <w:r w:rsidR="00090826" w:rsidRPr="001019EF">
        <w:rPr>
          <w:rFonts w:hAnsi="標楷體" w:hint="eastAsia"/>
          <w:szCs w:val="32"/>
        </w:rPr>
        <w:t>，</w:t>
      </w:r>
      <w:r w:rsidR="00090826" w:rsidRPr="001019EF">
        <w:rPr>
          <w:rFonts w:hint="eastAsia"/>
          <w:szCs w:val="32"/>
        </w:rPr>
        <w:t>又為統整各類醫事人員(含牙</w:t>
      </w:r>
      <w:r w:rsidR="006E285C" w:rsidRPr="001019EF">
        <w:rPr>
          <w:rFonts w:hint="eastAsia"/>
          <w:szCs w:val="32"/>
        </w:rPr>
        <w:t>醫師</w:t>
      </w:r>
      <w:r w:rsidR="00090826" w:rsidRPr="001019EF">
        <w:rPr>
          <w:rFonts w:hint="eastAsia"/>
          <w:szCs w:val="32"/>
        </w:rPr>
        <w:t>)預算編列方式，預定將牙醫補助計畫及醫</w:t>
      </w:r>
      <w:r w:rsidR="00090826" w:rsidRPr="001019EF">
        <w:rPr>
          <w:rFonts w:hint="eastAsia"/>
          <w:szCs w:val="32"/>
        </w:rPr>
        <w:lastRenderedPageBreak/>
        <w:t>培計畫經費</w:t>
      </w:r>
      <w:r w:rsidR="006E285C" w:rsidRPr="001019EF">
        <w:rPr>
          <w:rFonts w:hint="eastAsia"/>
          <w:szCs w:val="32"/>
        </w:rPr>
        <w:t>予以</w:t>
      </w:r>
      <w:r w:rsidR="00090826" w:rsidRPr="001019EF">
        <w:rPr>
          <w:rFonts w:hint="eastAsia"/>
          <w:szCs w:val="32"/>
        </w:rPr>
        <w:t>統整</w:t>
      </w:r>
      <w:r w:rsidR="00090826" w:rsidRPr="001019EF">
        <w:rPr>
          <w:rFonts w:hAnsi="標楷體" w:hint="eastAsia"/>
          <w:szCs w:val="32"/>
        </w:rPr>
        <w:t>，</w:t>
      </w:r>
      <w:r w:rsidR="00090826" w:rsidRPr="001019EF">
        <w:rPr>
          <w:rFonts w:hint="eastAsia"/>
          <w:szCs w:val="32"/>
        </w:rPr>
        <w:t>統一補助方式並合併計算點值</w:t>
      </w:r>
      <w:r w:rsidR="00090826" w:rsidRPr="001019EF">
        <w:rPr>
          <w:rFonts w:hAnsi="標楷體" w:hint="eastAsia"/>
          <w:szCs w:val="32"/>
        </w:rPr>
        <w:t>，</w:t>
      </w:r>
      <w:r w:rsidR="00090826" w:rsidRPr="001019EF">
        <w:rPr>
          <w:rFonts w:hint="eastAsia"/>
          <w:szCs w:val="32"/>
        </w:rPr>
        <w:t>使其</w:t>
      </w:r>
      <w:r w:rsidR="00267684" w:rsidRPr="001019EF">
        <w:rPr>
          <w:rFonts w:hint="eastAsia"/>
          <w:szCs w:val="32"/>
        </w:rPr>
        <w:t>補助點值</w:t>
      </w:r>
      <w:r w:rsidR="00090826" w:rsidRPr="001019EF">
        <w:rPr>
          <w:rFonts w:hint="eastAsia"/>
          <w:szCs w:val="32"/>
        </w:rPr>
        <w:t>一致化。</w:t>
      </w:r>
    </w:p>
    <w:p w:rsidR="00361FE3" w:rsidRPr="006A0B36" w:rsidRDefault="00A61877" w:rsidP="00D24916">
      <w:pPr>
        <w:pStyle w:val="3"/>
        <w:ind w:left="1360" w:hanging="680"/>
      </w:pPr>
      <w:r w:rsidRPr="006A0B36">
        <w:rPr>
          <w:rFonts w:hint="eastAsia"/>
        </w:rPr>
        <w:t>綜上，衛福部</w:t>
      </w:r>
      <w:r w:rsidR="00D24916" w:rsidRPr="006A0B36">
        <w:rPr>
          <w:rFonts w:hint="eastAsia"/>
        </w:rPr>
        <w:t>應正視</w:t>
      </w:r>
      <w:r w:rsidRPr="006A0B36">
        <w:rPr>
          <w:rFonts w:hint="eastAsia"/>
        </w:rPr>
        <w:t>辦理醫培</w:t>
      </w:r>
      <w:r w:rsidR="006E285C" w:rsidRPr="006A0B36">
        <w:rPr>
          <w:rFonts w:hint="eastAsia"/>
        </w:rPr>
        <w:t>計畫</w:t>
      </w:r>
      <w:r w:rsidR="00D24916" w:rsidRPr="006A0B36">
        <w:rPr>
          <w:rFonts w:hint="eastAsia"/>
        </w:rPr>
        <w:t>相關預算經費逐年減少之</w:t>
      </w:r>
      <w:r w:rsidRPr="006A0B36">
        <w:rPr>
          <w:rFonts w:hint="eastAsia"/>
        </w:rPr>
        <w:t>窘</w:t>
      </w:r>
      <w:r w:rsidR="00D24916" w:rsidRPr="006A0B36">
        <w:rPr>
          <w:rFonts w:hint="eastAsia"/>
        </w:rPr>
        <w:t>境</w:t>
      </w:r>
      <w:r w:rsidRPr="006A0B36">
        <w:rPr>
          <w:rFonts w:hint="eastAsia"/>
        </w:rPr>
        <w:t>，其預算又分散編列，</w:t>
      </w:r>
      <w:r w:rsidR="00D24916" w:rsidRPr="006A0B36">
        <w:rPr>
          <w:rFonts w:hint="eastAsia"/>
        </w:rPr>
        <w:t>難以</w:t>
      </w:r>
      <w:r w:rsidR="006E285C" w:rsidRPr="006A0B36">
        <w:rPr>
          <w:rFonts w:hint="eastAsia"/>
        </w:rPr>
        <w:t>湊足肆應業務</w:t>
      </w:r>
      <w:r w:rsidR="005A61E7" w:rsidRPr="006A0B36">
        <w:rPr>
          <w:rFonts w:hint="eastAsia"/>
        </w:rPr>
        <w:t>實際</w:t>
      </w:r>
      <w:r w:rsidR="00D24916" w:rsidRPr="006A0B36">
        <w:rPr>
          <w:rFonts w:hint="eastAsia"/>
        </w:rPr>
        <w:t>需求</w:t>
      </w:r>
      <w:r w:rsidR="006E285C" w:rsidRPr="006A0B36">
        <w:rPr>
          <w:rFonts w:hint="eastAsia"/>
        </w:rPr>
        <w:t>之經費</w:t>
      </w:r>
      <w:r w:rsidR="00D24916" w:rsidRPr="006A0B36">
        <w:rPr>
          <w:rFonts w:hint="eastAsia"/>
        </w:rPr>
        <w:t>；</w:t>
      </w:r>
      <w:r w:rsidR="006E285C" w:rsidRPr="006A0B36">
        <w:rPr>
          <w:rFonts w:hint="eastAsia"/>
        </w:rPr>
        <w:t>該部</w:t>
      </w:r>
      <w:r w:rsidR="00CB106A" w:rsidRPr="006A0B36">
        <w:rPr>
          <w:rFonts w:hint="eastAsia"/>
        </w:rPr>
        <w:t>允當</w:t>
      </w:r>
      <w:r w:rsidR="006E285C" w:rsidRPr="006A0B36">
        <w:rPr>
          <w:rFonts w:hint="eastAsia"/>
        </w:rPr>
        <w:t>整合相關單位</w:t>
      </w:r>
      <w:r w:rsidR="00CB106A" w:rsidRPr="006A0B36">
        <w:rPr>
          <w:rFonts w:hint="eastAsia"/>
        </w:rPr>
        <w:t>積極爭取</w:t>
      </w:r>
      <w:r w:rsidR="008516A7" w:rsidRPr="006A0B36">
        <w:rPr>
          <w:rFonts w:hint="eastAsia"/>
        </w:rPr>
        <w:t>足夠之</w:t>
      </w:r>
      <w:r w:rsidR="00CB106A" w:rsidRPr="006A0B36">
        <w:rPr>
          <w:rFonts w:hint="eastAsia"/>
        </w:rPr>
        <w:t>預算規模</w:t>
      </w:r>
      <w:r w:rsidR="008516A7" w:rsidRPr="006A0B36">
        <w:rPr>
          <w:rFonts w:hint="eastAsia"/>
        </w:rPr>
        <w:t>，覈實</w:t>
      </w:r>
      <w:r w:rsidR="00CB106A" w:rsidRPr="006A0B36">
        <w:rPr>
          <w:rFonts w:hint="eastAsia"/>
        </w:rPr>
        <w:t>匡列於公務預算經費</w:t>
      </w:r>
      <w:r w:rsidRPr="006A0B36">
        <w:rPr>
          <w:rFonts w:hint="eastAsia"/>
        </w:rPr>
        <w:t>統籌</w:t>
      </w:r>
      <w:r w:rsidR="00E47432" w:rsidRPr="006A0B36">
        <w:rPr>
          <w:rFonts w:hint="eastAsia"/>
        </w:rPr>
        <w:t>調度</w:t>
      </w:r>
      <w:r w:rsidRPr="006A0B36">
        <w:rPr>
          <w:rFonts w:hint="eastAsia"/>
        </w:rPr>
        <w:t>運用，以充裕</w:t>
      </w:r>
      <w:r w:rsidR="00C7286B" w:rsidRPr="006A0B36">
        <w:rPr>
          <w:rFonts w:hint="eastAsia"/>
        </w:rPr>
        <w:t>培訓</w:t>
      </w:r>
      <w:r w:rsidR="00E47432" w:rsidRPr="006A0B36">
        <w:rPr>
          <w:rFonts w:hint="eastAsia"/>
        </w:rPr>
        <w:t>經費之穩定</w:t>
      </w:r>
      <w:r w:rsidRPr="006A0B36">
        <w:rPr>
          <w:rFonts w:hint="eastAsia"/>
        </w:rPr>
        <w:t>財源，並齊一支付費用原則與點數，</w:t>
      </w:r>
      <w:r w:rsidR="006E285C" w:rsidRPr="006A0B36">
        <w:rPr>
          <w:rFonts w:hint="eastAsia"/>
        </w:rPr>
        <w:t>方可</w:t>
      </w:r>
      <w:r w:rsidRPr="006A0B36">
        <w:rPr>
          <w:rFonts w:hint="eastAsia"/>
        </w:rPr>
        <w:t>恢宏</w:t>
      </w:r>
      <w:r w:rsidR="00906D65" w:rsidRPr="006A0B36">
        <w:rPr>
          <w:rFonts w:hint="eastAsia"/>
        </w:rPr>
        <w:t>本計畫</w:t>
      </w:r>
      <w:r w:rsidR="00A0486F" w:rsidRPr="006A0B36">
        <w:rPr>
          <w:rFonts w:hint="eastAsia"/>
        </w:rPr>
        <w:t>「落實全人照顧理念」</w:t>
      </w:r>
      <w:r w:rsidR="000A5DFA" w:rsidRPr="006A0B36">
        <w:rPr>
          <w:rFonts w:hint="eastAsia"/>
        </w:rPr>
        <w:t>之</w:t>
      </w:r>
      <w:r w:rsidRPr="006A0B36">
        <w:rPr>
          <w:rFonts w:hint="eastAsia"/>
        </w:rPr>
        <w:t>最大效</w:t>
      </w:r>
      <w:r w:rsidR="00BD1BBB" w:rsidRPr="006A0B36">
        <w:rPr>
          <w:rFonts w:hint="eastAsia"/>
        </w:rPr>
        <w:t>益</w:t>
      </w:r>
      <w:r w:rsidR="00D24916" w:rsidRPr="006A0B36">
        <w:rPr>
          <w:rFonts w:hint="eastAsia"/>
        </w:rPr>
        <w:t>。</w:t>
      </w:r>
    </w:p>
    <w:p w:rsidR="00255E08" w:rsidRPr="006A0B36" w:rsidRDefault="00255E08">
      <w:pPr>
        <w:pStyle w:val="10"/>
        <w:ind w:leftChars="300" w:left="1020" w:firstLine="680"/>
        <w:rPr>
          <w:bCs/>
        </w:rPr>
      </w:pPr>
      <w:bookmarkStart w:id="55" w:name="_Toc525066147"/>
      <w:bookmarkStart w:id="56" w:name="_Toc525070838"/>
      <w:bookmarkStart w:id="57" w:name="_Toc525938378"/>
      <w:bookmarkStart w:id="58" w:name="_Toc525939226"/>
      <w:bookmarkStart w:id="59" w:name="_Toc525939731"/>
      <w:bookmarkStart w:id="60" w:name="_Toc529218271"/>
      <w:bookmarkStart w:id="61" w:name="_Toc529222688"/>
      <w:bookmarkStart w:id="62" w:name="_Toc529223110"/>
      <w:bookmarkStart w:id="63" w:name="_Toc529223861"/>
      <w:bookmarkStart w:id="64" w:name="_Toc529228264"/>
    </w:p>
    <w:bookmarkEnd w:id="45"/>
    <w:bookmarkEnd w:id="55"/>
    <w:bookmarkEnd w:id="56"/>
    <w:bookmarkEnd w:id="57"/>
    <w:bookmarkEnd w:id="58"/>
    <w:bookmarkEnd w:id="59"/>
    <w:bookmarkEnd w:id="60"/>
    <w:bookmarkEnd w:id="61"/>
    <w:bookmarkEnd w:id="62"/>
    <w:bookmarkEnd w:id="63"/>
    <w:bookmarkEnd w:id="64"/>
    <w:p w:rsidR="00D22CC1" w:rsidRPr="006A0B36" w:rsidRDefault="00D22CC1" w:rsidP="00D22CC1">
      <w:pPr>
        <w:pStyle w:val="2"/>
        <w:numPr>
          <w:ilvl w:val="0"/>
          <w:numId w:val="0"/>
        </w:numPr>
        <w:ind w:left="1020"/>
      </w:pPr>
    </w:p>
    <w:p w:rsidR="00255E08" w:rsidRPr="005157D4" w:rsidRDefault="00255E08" w:rsidP="00426702">
      <w:pPr>
        <w:pStyle w:val="a5"/>
        <w:kinsoku w:val="0"/>
        <w:spacing w:before="0" w:after="0"/>
        <w:ind w:leftChars="1459" w:left="4963"/>
        <w:jc w:val="both"/>
        <w:rPr>
          <w:bCs/>
          <w:snapToGrid/>
          <w:spacing w:val="12"/>
          <w:kern w:val="0"/>
          <w:sz w:val="40"/>
        </w:rPr>
      </w:pPr>
      <w:r w:rsidRPr="005157D4">
        <w:rPr>
          <w:rFonts w:hint="eastAsia"/>
          <w:bCs/>
          <w:snapToGrid/>
          <w:spacing w:val="12"/>
          <w:kern w:val="0"/>
          <w:sz w:val="40"/>
        </w:rPr>
        <w:t>調查委員：</w:t>
      </w:r>
      <w:r w:rsidR="005157D4" w:rsidRPr="005157D4">
        <w:rPr>
          <w:bCs/>
          <w:snapToGrid/>
          <w:spacing w:val="12"/>
          <w:kern w:val="0"/>
          <w:sz w:val="40"/>
        </w:rPr>
        <w:t>尹祚芊</w:t>
      </w:r>
    </w:p>
    <w:p w:rsidR="005157D4" w:rsidRPr="005157D4" w:rsidRDefault="005157D4" w:rsidP="00426702">
      <w:pPr>
        <w:pStyle w:val="a5"/>
        <w:kinsoku w:val="0"/>
        <w:spacing w:before="0" w:after="0"/>
        <w:ind w:leftChars="1417" w:left="4820"/>
        <w:jc w:val="both"/>
        <w:rPr>
          <w:rFonts w:ascii="Times New Roman"/>
          <w:bCs/>
          <w:snapToGrid/>
          <w:spacing w:val="0"/>
          <w:kern w:val="0"/>
          <w:sz w:val="40"/>
        </w:rPr>
      </w:pPr>
      <w:r w:rsidRPr="005157D4">
        <w:rPr>
          <w:rFonts w:hint="eastAsia"/>
          <w:bCs/>
          <w:snapToGrid/>
          <w:spacing w:val="12"/>
          <w:kern w:val="0"/>
          <w:sz w:val="40"/>
        </w:rPr>
        <w:t xml:space="preserve">         </w:t>
      </w:r>
      <w:r>
        <w:rPr>
          <w:rFonts w:hint="eastAsia"/>
          <w:bCs/>
          <w:snapToGrid/>
          <w:spacing w:val="12"/>
          <w:kern w:val="0"/>
          <w:sz w:val="40"/>
        </w:rPr>
        <w:t xml:space="preserve"> </w:t>
      </w:r>
      <w:r w:rsidRPr="005157D4">
        <w:rPr>
          <w:rFonts w:hint="eastAsia"/>
          <w:bCs/>
          <w:snapToGrid/>
          <w:spacing w:val="12"/>
          <w:kern w:val="0"/>
          <w:sz w:val="40"/>
        </w:rPr>
        <w:t>蔡培村</w:t>
      </w:r>
    </w:p>
    <w:p w:rsidR="00255E08" w:rsidRPr="006A0B36" w:rsidRDefault="00255E08">
      <w:pPr>
        <w:pStyle w:val="a5"/>
        <w:kinsoku w:val="0"/>
        <w:spacing w:before="0" w:after="0"/>
        <w:ind w:leftChars="1100" w:left="3742" w:firstLineChars="500" w:firstLine="2021"/>
        <w:jc w:val="both"/>
        <w:rPr>
          <w:b w:val="0"/>
          <w:bCs/>
          <w:snapToGrid/>
          <w:spacing w:val="12"/>
          <w:kern w:val="0"/>
        </w:rPr>
      </w:pPr>
    </w:p>
    <w:p w:rsidR="00255E08" w:rsidRPr="006A0B36" w:rsidRDefault="00255E08">
      <w:pPr>
        <w:pStyle w:val="a5"/>
        <w:kinsoku w:val="0"/>
        <w:spacing w:before="0" w:after="0"/>
        <w:ind w:leftChars="1100" w:left="3742" w:firstLineChars="500" w:firstLine="2021"/>
        <w:jc w:val="both"/>
        <w:rPr>
          <w:b w:val="0"/>
          <w:bCs/>
          <w:snapToGrid/>
          <w:spacing w:val="12"/>
          <w:kern w:val="0"/>
        </w:rPr>
      </w:pPr>
    </w:p>
    <w:p w:rsidR="00D85E1B" w:rsidRPr="006A0B36" w:rsidRDefault="00D85E1B">
      <w:pPr>
        <w:pStyle w:val="ab"/>
        <w:ind w:left="1020" w:hanging="1020"/>
        <w:rPr>
          <w:bCs/>
        </w:rPr>
      </w:pPr>
    </w:p>
    <w:p w:rsidR="00255E08" w:rsidRPr="006A0B36" w:rsidRDefault="00255E08" w:rsidP="00D85E1B">
      <w:pPr>
        <w:pStyle w:val="a0"/>
        <w:numPr>
          <w:ilvl w:val="0"/>
          <w:numId w:val="0"/>
        </w:numPr>
        <w:rPr>
          <w:bCs/>
        </w:rPr>
      </w:pPr>
      <w:r w:rsidRPr="006A0B36">
        <w:rPr>
          <w:bCs/>
        </w:rPr>
        <w:br w:type="page"/>
      </w:r>
      <w:bookmarkStart w:id="65" w:name="_Toc4469767"/>
      <w:bookmarkStart w:id="66" w:name="_Toc4473079"/>
      <w:r w:rsidR="00D85E1B" w:rsidRPr="006A0B36">
        <w:rPr>
          <w:rFonts w:hint="eastAsia"/>
          <w:bCs/>
        </w:rPr>
        <w:lastRenderedPageBreak/>
        <w:t>附圖1</w:t>
      </w:r>
    </w:p>
    <w:bookmarkEnd w:id="65"/>
    <w:bookmarkEnd w:id="66"/>
    <w:p w:rsidR="005E5953" w:rsidRPr="006A0B36" w:rsidRDefault="0013116E" w:rsidP="0004180C">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2271395</wp:posOffset>
                </wp:positionH>
                <wp:positionV relativeFrom="paragraph">
                  <wp:posOffset>7050243</wp:posOffset>
                </wp:positionV>
                <wp:extent cx="1073888" cy="340242"/>
                <wp:effectExtent l="0" t="0" r="0" b="0"/>
                <wp:wrapNone/>
                <wp:docPr id="2" name="矩形 2"/>
                <wp:cNvGraphicFramePr/>
                <a:graphic xmlns:a="http://schemas.openxmlformats.org/drawingml/2006/main">
                  <a:graphicData uri="http://schemas.microsoft.com/office/word/2010/wordprocessingShape">
                    <wps:wsp>
                      <wps:cNvSpPr/>
                      <wps:spPr>
                        <a:xfrm>
                          <a:off x="0" y="0"/>
                          <a:ext cx="1073888" cy="34024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16BDD" w:rsidRPr="0013116E" w:rsidRDefault="00216BDD" w:rsidP="0013116E">
                            <w:pPr>
                              <w:jc w:val="center"/>
                              <w:rPr>
                                <w:color w:val="000000" w:themeColor="text1"/>
                                <w:sz w:val="24"/>
                                <w:szCs w:val="24"/>
                              </w:rPr>
                            </w:pPr>
                            <w:r>
                              <w:rPr>
                                <w:rFonts w:hint="eastAsia"/>
                                <w:color w:val="000000" w:themeColor="text1"/>
                                <w:sz w:val="24"/>
                                <w:szCs w:val="24"/>
                              </w:rPr>
                              <w:t>(</w:t>
                            </w:r>
                            <w:r w:rsidRPr="0013116E">
                              <w:rPr>
                                <w:rFonts w:hint="eastAsia"/>
                                <w:color w:val="000000" w:themeColor="text1"/>
                                <w:sz w:val="24"/>
                                <w:szCs w:val="24"/>
                              </w:rPr>
                              <w:t>以</w:t>
                            </w:r>
                            <w:r w:rsidRPr="0013116E">
                              <w:rPr>
                                <w:rFonts w:hint="eastAsia"/>
                                <w:color w:val="000000" w:themeColor="text1"/>
                                <w:sz w:val="24"/>
                                <w:szCs w:val="24"/>
                              </w:rPr>
                              <w:t>2</w:t>
                            </w:r>
                            <w:r w:rsidRPr="0013116E">
                              <w:rPr>
                                <w:rFonts w:hint="eastAsia"/>
                                <w:color w:val="000000" w:themeColor="text1"/>
                                <w:sz w:val="24"/>
                                <w:szCs w:val="24"/>
                              </w:rPr>
                              <w:t>類計</w:t>
                            </w:r>
                            <w:r>
                              <w:rPr>
                                <w:rFonts w:hint="eastAsia"/>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2" o:spid="_x0000_s1026" style="position:absolute;margin-left:178.85pt;margin-top:555.15pt;width:84.55pt;height:2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" filled="f" stroked="f" strokeweight="2pt">
                <v:textbox>
                  <w:txbxContent>
                    <w:p w:rsidR="00216BDD" w:rsidRPr="0013116E" w:rsidRDefault="00216BDD" w:rsidP="0013116E">
                      <w:pPr>
                        <w:jc w:val="center"/>
                        <w:rPr>
                          <w:color w:val="000000" w:themeColor="text1"/>
                          <w:sz w:val="24"/>
                          <w:szCs w:val="24"/>
                        </w:rPr>
                      </w:pPr>
                      <w:r>
                        <w:rPr>
                          <w:rFonts w:hint="eastAsia"/>
                          <w:color w:val="000000" w:themeColor="text1"/>
                          <w:sz w:val="24"/>
                          <w:szCs w:val="24"/>
                        </w:rPr>
                        <w:t>(</w:t>
                      </w:r>
                      <w:r w:rsidRPr="0013116E">
                        <w:rPr>
                          <w:rFonts w:hint="eastAsia"/>
                          <w:color w:val="000000" w:themeColor="text1"/>
                          <w:sz w:val="24"/>
                          <w:szCs w:val="24"/>
                        </w:rPr>
                        <w:t>以</w:t>
                      </w:r>
                      <w:r w:rsidRPr="0013116E">
                        <w:rPr>
                          <w:rFonts w:hint="eastAsia"/>
                          <w:color w:val="000000" w:themeColor="text1"/>
                          <w:sz w:val="24"/>
                          <w:szCs w:val="24"/>
                        </w:rPr>
                        <w:t>2</w:t>
                      </w:r>
                      <w:r w:rsidRPr="0013116E">
                        <w:rPr>
                          <w:rFonts w:hint="eastAsia"/>
                          <w:color w:val="000000" w:themeColor="text1"/>
                          <w:sz w:val="24"/>
                          <w:szCs w:val="24"/>
                        </w:rPr>
                        <w:t>類計</w:t>
                      </w:r>
                      <w:r>
                        <w:rPr>
                          <w:rFonts w:hint="eastAsia"/>
                          <w:color w:val="000000" w:themeColor="text1"/>
                          <w:sz w:val="24"/>
                          <w:szCs w:val="24"/>
                        </w:rPr>
                        <w:t>)</w:t>
                      </w:r>
                    </w:p>
                  </w:txbxContent>
                </v:textbox>
              </v:rect>
            </w:pict>
          </mc:Fallback>
        </mc:AlternateContent>
      </w:r>
      <w:r w:rsidR="00294E50">
        <w:rPr>
          <w:noProof/>
        </w:rPr>
        <w:drawing>
          <wp:inline distT="0" distB="0" distL="0" distR="0" wp14:anchorId="2444177F" wp14:editId="1763B38D">
            <wp:extent cx="5592725" cy="7240772"/>
            <wp:effectExtent l="0" t="0" r="825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592725" cy="7240772"/>
                    </a:xfrm>
                    <a:prstGeom prst="rect">
                      <a:avLst/>
                    </a:prstGeom>
                  </pic:spPr>
                </pic:pic>
              </a:graphicData>
            </a:graphic>
          </wp:inline>
        </w:drawing>
      </w:r>
    </w:p>
    <w:p w:rsidR="00BF10B5" w:rsidRPr="006A0B36" w:rsidRDefault="00BF10B5" w:rsidP="0004180C"/>
    <w:p w:rsidR="00741809" w:rsidRPr="006A0B36" w:rsidRDefault="00BF10B5" w:rsidP="00BF10B5">
      <w:pPr>
        <w:ind w:left="1667" w:hangingChars="490" w:hanging="1667"/>
        <w:rPr>
          <w:szCs w:val="32"/>
        </w:rPr>
      </w:pPr>
      <w:r w:rsidRPr="006A0B36">
        <w:rPr>
          <w:rFonts w:hint="eastAsia"/>
          <w:szCs w:val="32"/>
        </w:rPr>
        <w:t>資料來源：醫策會網站之醫學教育</w:t>
      </w:r>
      <w:r w:rsidRPr="006A0B36">
        <w:rPr>
          <w:rFonts w:hint="eastAsia"/>
          <w:szCs w:val="32"/>
        </w:rPr>
        <w:t>&gt;</w:t>
      </w:r>
      <w:r w:rsidRPr="006A0B36">
        <w:rPr>
          <w:rFonts w:hint="eastAsia"/>
          <w:szCs w:val="32"/>
        </w:rPr>
        <w:t>臨床醫事人員培訓計畫</w:t>
      </w:r>
      <w:r w:rsidRPr="006A0B36">
        <w:rPr>
          <w:rFonts w:hint="eastAsia"/>
          <w:szCs w:val="32"/>
        </w:rPr>
        <w:t>&gt;</w:t>
      </w:r>
      <w:r w:rsidRPr="006A0B36">
        <w:rPr>
          <w:rFonts w:hint="eastAsia"/>
          <w:szCs w:val="32"/>
        </w:rPr>
        <w:t>其他醫事人員</w:t>
      </w:r>
      <w:r w:rsidRPr="006A0B36">
        <w:rPr>
          <w:rFonts w:hint="eastAsia"/>
          <w:szCs w:val="32"/>
        </w:rPr>
        <w:t>PGY</w:t>
      </w:r>
      <w:r w:rsidRPr="006A0B36">
        <w:rPr>
          <w:rFonts w:hint="eastAsia"/>
          <w:szCs w:val="32"/>
        </w:rPr>
        <w:t>。</w:t>
      </w:r>
    </w:p>
    <w:p w:rsidR="00741809" w:rsidRPr="006A0B36" w:rsidRDefault="00741809" w:rsidP="00D85E1B">
      <w:pPr>
        <w:rPr>
          <w:szCs w:val="32"/>
        </w:rPr>
        <w:sectPr w:rsidR="00741809" w:rsidRPr="006A0B36">
          <w:footerReference w:type="default" r:id="rId9"/>
          <w:pgSz w:w="11907" w:h="16840" w:code="9"/>
          <w:pgMar w:top="1701" w:right="1418" w:bottom="1418" w:left="1418" w:header="851" w:footer="851" w:gutter="227"/>
          <w:pgNumType w:start="1"/>
          <w:cols w:space="425"/>
          <w:docGrid w:type="linesAndChars" w:linePitch="457" w:charSpace="4127"/>
        </w:sectPr>
      </w:pPr>
    </w:p>
    <w:p w:rsidR="00531635" w:rsidRPr="006A0B36" w:rsidRDefault="00531635" w:rsidP="00531635">
      <w:pPr>
        <w:widowControl/>
        <w:jc w:val="both"/>
      </w:pPr>
      <w:r w:rsidRPr="006A0B36">
        <w:rPr>
          <w:rFonts w:hint="eastAsia"/>
        </w:rPr>
        <w:lastRenderedPageBreak/>
        <w:t>附圖</w:t>
      </w:r>
      <w:r w:rsidRPr="006A0B36">
        <w:rPr>
          <w:rFonts w:hint="eastAsia"/>
        </w:rPr>
        <w:t>2</w:t>
      </w:r>
    </w:p>
    <w:p w:rsidR="00531635" w:rsidRPr="006A0B36" w:rsidRDefault="00531635" w:rsidP="00531635">
      <w:pPr>
        <w:widowControl/>
        <w:jc w:val="both"/>
      </w:pPr>
      <w:r w:rsidRPr="006A0B36">
        <w:rPr>
          <w:rFonts w:hint="eastAsia"/>
        </w:rPr>
        <w:lastRenderedPageBreak/>
        <w:t xml:space="preserve">                     </w:t>
      </w:r>
      <w:r w:rsidRPr="006A0B36">
        <w:rPr>
          <w:noProof/>
        </w:rPr>
        <w:drawing>
          <wp:inline distT="0" distB="0" distL="0" distR="0" wp14:anchorId="2A94601B" wp14:editId="1937A535">
            <wp:extent cx="8705840" cy="4340476"/>
            <wp:effectExtent l="0" t="0" r="635" b="3175"/>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08066" cy="4341586"/>
                    </a:xfrm>
                    <a:prstGeom prst="rect">
                      <a:avLst/>
                    </a:prstGeom>
                    <a:noFill/>
                    <a:ln>
                      <a:noFill/>
                    </a:ln>
                    <a:extLst/>
                  </pic:spPr>
                </pic:pic>
              </a:graphicData>
            </a:graphic>
          </wp:inline>
        </w:drawing>
      </w:r>
    </w:p>
    <w:p w:rsidR="00531635" w:rsidRDefault="00741809" w:rsidP="00531635">
      <w:pPr>
        <w:widowControl/>
        <w:rPr>
          <w:sz w:val="28"/>
          <w:szCs w:val="28"/>
        </w:rPr>
      </w:pPr>
      <w:r w:rsidRPr="006A0B36">
        <w:rPr>
          <w:rFonts w:hint="eastAsia"/>
          <w:sz w:val="28"/>
          <w:szCs w:val="28"/>
        </w:rPr>
        <w:lastRenderedPageBreak/>
        <w:t>資料來源：醫策會網站</w:t>
      </w:r>
      <w:r w:rsidR="00BF10B5" w:rsidRPr="006A0B36">
        <w:rPr>
          <w:rFonts w:hint="eastAsia"/>
          <w:sz w:val="28"/>
          <w:szCs w:val="28"/>
        </w:rPr>
        <w:t>之醫學教育</w:t>
      </w:r>
      <w:r w:rsidR="00BF10B5" w:rsidRPr="006A0B36">
        <w:rPr>
          <w:rFonts w:hint="eastAsia"/>
          <w:sz w:val="28"/>
          <w:szCs w:val="28"/>
        </w:rPr>
        <w:t>&gt;</w:t>
      </w:r>
      <w:r w:rsidR="00BF10B5" w:rsidRPr="006A0B36">
        <w:rPr>
          <w:rFonts w:hint="eastAsia"/>
          <w:sz w:val="28"/>
          <w:szCs w:val="28"/>
        </w:rPr>
        <w:t>臨床醫事人員培訓計畫</w:t>
      </w:r>
      <w:r w:rsidR="00BF10B5" w:rsidRPr="006A0B36">
        <w:rPr>
          <w:rFonts w:hint="eastAsia"/>
          <w:sz w:val="28"/>
          <w:szCs w:val="28"/>
        </w:rPr>
        <w:t>&gt;</w:t>
      </w:r>
      <w:r w:rsidR="00BF10B5" w:rsidRPr="006A0B36">
        <w:rPr>
          <w:rFonts w:hint="eastAsia"/>
          <w:sz w:val="28"/>
          <w:szCs w:val="28"/>
        </w:rPr>
        <w:t>訓練計畫說明。</w:t>
      </w:r>
    </w:p>
    <w:p w:rsidR="00281AED" w:rsidRPr="00EF0843" w:rsidRDefault="00281AED" w:rsidP="00531635">
      <w:pPr>
        <w:widowControl/>
        <w:rPr>
          <w:sz w:val="24"/>
          <w:szCs w:val="24"/>
        </w:rPr>
      </w:pPr>
      <w:r>
        <w:rPr>
          <w:rFonts w:hint="eastAsia"/>
          <w:sz w:val="28"/>
          <w:szCs w:val="28"/>
        </w:rPr>
        <w:t xml:space="preserve">         </w:t>
      </w:r>
      <w:r w:rsidRPr="00EF0843">
        <w:rPr>
          <w:rFonts w:hint="eastAsia"/>
          <w:sz w:val="24"/>
          <w:szCs w:val="24"/>
        </w:rPr>
        <w:t xml:space="preserve"> (</w:t>
      </w:r>
      <w:r w:rsidRPr="00EF0843">
        <w:rPr>
          <w:rFonts w:hint="eastAsia"/>
          <w:sz w:val="24"/>
          <w:szCs w:val="24"/>
        </w:rPr>
        <w:t>其中西醫師</w:t>
      </w:r>
      <w:r w:rsidR="00216BDD">
        <w:rPr>
          <w:rFonts w:hint="eastAsia"/>
          <w:sz w:val="24"/>
          <w:szCs w:val="24"/>
        </w:rPr>
        <w:t>2</w:t>
      </w:r>
      <w:r w:rsidR="00EF0843">
        <w:rPr>
          <w:rFonts w:hint="eastAsia"/>
          <w:sz w:val="24"/>
          <w:szCs w:val="24"/>
        </w:rPr>
        <w:t>年期訓練</w:t>
      </w:r>
      <w:r w:rsidRPr="00EF0843">
        <w:rPr>
          <w:rFonts w:hint="eastAsia"/>
          <w:sz w:val="24"/>
          <w:szCs w:val="24"/>
        </w:rPr>
        <w:t>係自</w:t>
      </w:r>
      <w:r w:rsidRPr="00EF0843">
        <w:rPr>
          <w:rFonts w:hint="eastAsia"/>
          <w:sz w:val="24"/>
          <w:szCs w:val="24"/>
        </w:rPr>
        <w:t>2016~2018</w:t>
      </w:r>
      <w:r w:rsidRPr="00EF0843">
        <w:rPr>
          <w:rFonts w:hint="eastAsia"/>
          <w:sz w:val="24"/>
          <w:szCs w:val="24"/>
        </w:rPr>
        <w:t>年</w:t>
      </w:r>
      <w:r w:rsidR="00EF0843">
        <w:rPr>
          <w:rFonts w:hint="eastAsia"/>
          <w:sz w:val="24"/>
          <w:szCs w:val="24"/>
        </w:rPr>
        <w:t>配合</w:t>
      </w:r>
      <w:r w:rsidRPr="00EF0843">
        <w:rPr>
          <w:rFonts w:hint="eastAsia"/>
          <w:sz w:val="24"/>
          <w:szCs w:val="24"/>
        </w:rPr>
        <w:t>規劃分組試辦階段，</w:t>
      </w:r>
      <w:r w:rsidRPr="00EF0843">
        <w:rPr>
          <w:rFonts w:hint="eastAsia"/>
          <w:sz w:val="24"/>
          <w:szCs w:val="24"/>
        </w:rPr>
        <w:t>2019</w:t>
      </w:r>
      <w:r w:rsidRPr="00EF0843">
        <w:rPr>
          <w:rFonts w:hint="eastAsia"/>
          <w:sz w:val="24"/>
          <w:szCs w:val="24"/>
        </w:rPr>
        <w:t>年起正式實施</w:t>
      </w:r>
      <w:r w:rsidRPr="00EF0843">
        <w:rPr>
          <w:rFonts w:hint="eastAsia"/>
          <w:sz w:val="24"/>
          <w:szCs w:val="24"/>
        </w:rPr>
        <w:t>)</w:t>
      </w:r>
    </w:p>
    <w:p w:rsidR="005E5953" w:rsidRPr="006A0B36" w:rsidRDefault="005E5953" w:rsidP="00D85E1B">
      <w:r w:rsidRPr="006A0B36">
        <w:rPr>
          <w:rFonts w:hint="eastAsia"/>
        </w:rPr>
        <w:t>附表</w:t>
      </w:r>
      <w:r w:rsidR="00661CCD" w:rsidRPr="006A0B36">
        <w:rPr>
          <w:rFonts w:hint="eastAsia"/>
        </w:rPr>
        <w:t>1</w:t>
      </w:r>
    </w:p>
    <w:p w:rsidR="00C96101" w:rsidRPr="006A0B36" w:rsidRDefault="00C96101" w:rsidP="00D85E1B">
      <w:r w:rsidRPr="006A0B36">
        <w:rPr>
          <w:rFonts w:hint="eastAsia"/>
        </w:rPr>
        <w:t xml:space="preserve">                  96</w:t>
      </w:r>
      <w:r w:rsidRPr="006A0B36">
        <w:rPr>
          <w:rFonts w:hint="eastAsia"/>
        </w:rPr>
        <w:t>年至</w:t>
      </w:r>
      <w:r w:rsidRPr="006A0B36">
        <w:rPr>
          <w:rFonts w:hint="eastAsia"/>
        </w:rPr>
        <w:t>105</w:t>
      </w:r>
      <w:r w:rsidRPr="006A0B36">
        <w:rPr>
          <w:rFonts w:hint="eastAsia"/>
        </w:rPr>
        <w:t>年</w:t>
      </w:r>
      <w:r w:rsidR="004A66AA" w:rsidRPr="006A0B36">
        <w:rPr>
          <w:rFonts w:hint="eastAsia"/>
        </w:rPr>
        <w:t>執行</w:t>
      </w:r>
      <w:r w:rsidRPr="006A0B36">
        <w:rPr>
          <w:rFonts w:hint="eastAsia"/>
        </w:rPr>
        <w:t>醫事人員培訓計畫覆蓋率</w:t>
      </w:r>
      <w:r w:rsidR="004A66AA" w:rsidRPr="006A0B36">
        <w:rPr>
          <w:rFonts w:hint="eastAsia"/>
        </w:rPr>
        <w:t>統計表</w:t>
      </w:r>
    </w:p>
    <w:p w:rsidR="005E5953" w:rsidRPr="006A0B36" w:rsidRDefault="003D55BA">
      <w:pPr>
        <w:widowControl/>
      </w:pPr>
      <w:r w:rsidRPr="006A0B36">
        <w:rPr>
          <w:noProof/>
        </w:rPr>
        <w:lastRenderedPageBreak/>
        <w:drawing>
          <wp:inline distT="0" distB="0" distL="0" distR="0" wp14:anchorId="06C99AFA" wp14:editId="7F4B2F8D">
            <wp:extent cx="8621865" cy="4286250"/>
            <wp:effectExtent l="0" t="0" r="8255"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8629650" cy="4290120"/>
                    </a:xfrm>
                    <a:prstGeom prst="rect">
                      <a:avLst/>
                    </a:prstGeom>
                  </pic:spPr>
                </pic:pic>
              </a:graphicData>
            </a:graphic>
          </wp:inline>
        </w:drawing>
      </w:r>
    </w:p>
    <w:p w:rsidR="00C96101" w:rsidRPr="006A0B36" w:rsidRDefault="003D55BA" w:rsidP="00D85E1B">
      <w:pPr>
        <w:rPr>
          <w:sz w:val="28"/>
          <w:szCs w:val="28"/>
        </w:rPr>
      </w:pPr>
      <w:r w:rsidRPr="006A0B36">
        <w:rPr>
          <w:rFonts w:hint="eastAsia"/>
          <w:sz w:val="28"/>
          <w:szCs w:val="28"/>
        </w:rPr>
        <w:t>資料來源：衛福部</w:t>
      </w:r>
    </w:p>
    <w:p w:rsidR="003D55BA" w:rsidRPr="006A0B36" w:rsidRDefault="003D55BA">
      <w:pPr>
        <w:widowControl/>
      </w:pPr>
      <w:r w:rsidRPr="006A0B36">
        <w:br w:type="page"/>
      </w:r>
    </w:p>
    <w:p w:rsidR="00E13FA7" w:rsidRDefault="003340CE">
      <w:pPr>
        <w:widowControl/>
      </w:pPr>
      <w:r w:rsidRPr="006A0B36">
        <w:rPr>
          <w:rFonts w:hint="eastAsia"/>
        </w:rPr>
        <w:lastRenderedPageBreak/>
        <w:t>附表</w:t>
      </w:r>
      <w:r w:rsidRPr="006A0B36">
        <w:rPr>
          <w:rFonts w:hint="eastAsia"/>
        </w:rPr>
        <w:t>2</w:t>
      </w:r>
    </w:p>
    <w:p w:rsidR="00E13FA7" w:rsidRPr="00850C2C" w:rsidRDefault="00E13FA7" w:rsidP="00E13FA7">
      <w:pPr>
        <w:ind w:leftChars="-63" w:left="-64" w:hangingChars="44" w:hanging="150"/>
        <w:jc w:val="center"/>
        <w:rPr>
          <w:szCs w:val="32"/>
        </w:rPr>
      </w:pPr>
      <w:r w:rsidRPr="00850C2C">
        <w:rPr>
          <w:rFonts w:hint="eastAsia"/>
          <w:szCs w:val="32"/>
        </w:rPr>
        <w:t>96</w:t>
      </w:r>
      <w:r w:rsidRPr="00850C2C">
        <w:rPr>
          <w:rFonts w:hint="eastAsia"/>
          <w:szCs w:val="32"/>
        </w:rPr>
        <w:t>年至</w:t>
      </w:r>
      <w:r w:rsidRPr="00850C2C">
        <w:rPr>
          <w:rFonts w:hint="eastAsia"/>
          <w:szCs w:val="32"/>
        </w:rPr>
        <w:t>105</w:t>
      </w:r>
      <w:r w:rsidRPr="00850C2C">
        <w:rPr>
          <w:rFonts w:hint="eastAsia"/>
          <w:szCs w:val="32"/>
        </w:rPr>
        <w:t>年執行醫事人員培訓計畫覆蓋率統計表</w:t>
      </w:r>
    </w:p>
    <w:tbl>
      <w:tblPr>
        <w:tblW w:w="13617" w:type="dxa"/>
        <w:tblInd w:w="33" w:type="dxa"/>
        <w:tblBorders>
          <w:top w:val="single" w:sz="4" w:space="0" w:color="auto"/>
          <w:bottom w:val="single" w:sz="4" w:space="0" w:color="auto"/>
        </w:tblBorders>
        <w:tblCellMar>
          <w:left w:w="28" w:type="dxa"/>
          <w:right w:w="28" w:type="dxa"/>
        </w:tblCellMar>
        <w:tblLook w:val="04A0" w:firstRow="1" w:lastRow="0" w:firstColumn="1" w:lastColumn="0" w:noHBand="0" w:noVBand="1"/>
      </w:tblPr>
      <w:tblGrid>
        <w:gridCol w:w="1945"/>
        <w:gridCol w:w="1945"/>
        <w:gridCol w:w="1946"/>
        <w:gridCol w:w="1945"/>
        <w:gridCol w:w="1946"/>
        <w:gridCol w:w="1945"/>
        <w:gridCol w:w="1945"/>
      </w:tblGrid>
      <w:tr w:rsidR="00E13FA7" w:rsidRPr="00F95442" w:rsidTr="00864F92">
        <w:trPr>
          <w:trHeight w:val="867"/>
        </w:trPr>
        <w:tc>
          <w:tcPr>
            <w:tcW w:w="1945" w:type="dxa"/>
            <w:vMerge w:val="restart"/>
            <w:tcBorders>
              <w:top w:val="single" w:sz="4" w:space="0" w:color="auto"/>
              <w:bottom w:val="single" w:sz="4" w:space="0" w:color="auto"/>
            </w:tcBorders>
            <w:shd w:val="clear" w:color="auto" w:fill="auto"/>
            <w:vAlign w:val="center"/>
            <w:hideMark/>
          </w:tcPr>
          <w:p w:rsidR="00E13FA7" w:rsidRPr="00F95442" w:rsidRDefault="00E13FA7" w:rsidP="00864F92">
            <w:pPr>
              <w:widowControl/>
              <w:jc w:val="center"/>
              <w:rPr>
                <w:rFonts w:ascii="標楷體" w:hAnsi="標楷體" w:cs="新細明體"/>
                <w:color w:val="000000"/>
                <w:kern w:val="0"/>
                <w:szCs w:val="24"/>
              </w:rPr>
            </w:pPr>
            <w:r w:rsidRPr="00F95442">
              <w:rPr>
                <w:rFonts w:ascii="標楷體" w:hAnsi="標楷體" w:cs="新細明體" w:hint="eastAsia"/>
                <w:color w:val="000000"/>
                <w:kern w:val="0"/>
                <w:szCs w:val="24"/>
              </w:rPr>
              <w:t>年度</w:t>
            </w:r>
          </w:p>
        </w:tc>
        <w:tc>
          <w:tcPr>
            <w:tcW w:w="3891" w:type="dxa"/>
            <w:gridSpan w:val="2"/>
            <w:tcBorders>
              <w:top w:val="single" w:sz="4" w:space="0" w:color="auto"/>
              <w:bottom w:val="single" w:sz="4" w:space="0" w:color="auto"/>
            </w:tcBorders>
            <w:shd w:val="clear" w:color="auto" w:fill="auto"/>
            <w:vAlign w:val="center"/>
            <w:hideMark/>
          </w:tcPr>
          <w:p w:rsidR="00E13FA7" w:rsidRPr="00F95442" w:rsidRDefault="00E13FA7" w:rsidP="00864F92">
            <w:pPr>
              <w:widowControl/>
              <w:jc w:val="center"/>
              <w:rPr>
                <w:rFonts w:ascii="標楷體" w:hAnsi="標楷體" w:cs="新細明體"/>
                <w:color w:val="000000"/>
                <w:kern w:val="0"/>
                <w:szCs w:val="24"/>
              </w:rPr>
            </w:pPr>
            <w:r w:rsidRPr="00F95442">
              <w:rPr>
                <w:rFonts w:ascii="標楷體" w:hAnsi="標楷體" w:cs="新細明體" w:hint="eastAsia"/>
                <w:color w:val="000000"/>
                <w:kern w:val="0"/>
                <w:szCs w:val="24"/>
              </w:rPr>
              <w:t>當年度新增接受訓練人員總數</w:t>
            </w:r>
          </w:p>
        </w:tc>
        <w:tc>
          <w:tcPr>
            <w:tcW w:w="3891" w:type="dxa"/>
            <w:gridSpan w:val="2"/>
            <w:tcBorders>
              <w:top w:val="single" w:sz="4" w:space="0" w:color="auto"/>
              <w:bottom w:val="single" w:sz="4" w:space="0" w:color="auto"/>
            </w:tcBorders>
            <w:shd w:val="clear" w:color="auto" w:fill="auto"/>
            <w:vAlign w:val="center"/>
            <w:hideMark/>
          </w:tcPr>
          <w:p w:rsidR="00E13FA7" w:rsidRPr="00F95442" w:rsidRDefault="00E13FA7" w:rsidP="00864F92">
            <w:pPr>
              <w:widowControl/>
              <w:jc w:val="center"/>
              <w:rPr>
                <w:rFonts w:ascii="標楷體" w:hAnsi="標楷體" w:cs="新細明體"/>
                <w:color w:val="000000"/>
                <w:kern w:val="0"/>
                <w:szCs w:val="24"/>
              </w:rPr>
            </w:pPr>
            <w:r w:rsidRPr="00F95442">
              <w:rPr>
                <w:rFonts w:ascii="標楷體" w:hAnsi="標楷體" w:cs="新細明體" w:hint="eastAsia"/>
                <w:color w:val="000000"/>
                <w:kern w:val="0"/>
                <w:szCs w:val="24"/>
              </w:rPr>
              <w:t>當年度新領證總執業登記人數</w:t>
            </w:r>
          </w:p>
        </w:tc>
        <w:tc>
          <w:tcPr>
            <w:tcW w:w="1945" w:type="dxa"/>
            <w:vMerge w:val="restart"/>
            <w:tcBorders>
              <w:top w:val="single" w:sz="4" w:space="0" w:color="auto"/>
              <w:bottom w:val="single" w:sz="4" w:space="0" w:color="auto"/>
            </w:tcBorders>
            <w:shd w:val="clear" w:color="auto" w:fill="auto"/>
            <w:vAlign w:val="center"/>
            <w:hideMark/>
          </w:tcPr>
          <w:p w:rsidR="00E13FA7" w:rsidRPr="00F95442" w:rsidRDefault="00E13FA7" w:rsidP="00864F92">
            <w:pPr>
              <w:widowControl/>
              <w:jc w:val="center"/>
              <w:rPr>
                <w:rFonts w:ascii="標楷體" w:hAnsi="標楷體" w:cs="新細明體"/>
                <w:color w:val="000000"/>
                <w:kern w:val="0"/>
                <w:szCs w:val="24"/>
              </w:rPr>
            </w:pPr>
            <w:r w:rsidRPr="00F95442">
              <w:rPr>
                <w:rFonts w:ascii="標楷體" w:hAnsi="標楷體" w:cs="新細明體" w:hint="eastAsia"/>
                <w:color w:val="000000"/>
                <w:kern w:val="0"/>
                <w:szCs w:val="24"/>
              </w:rPr>
              <w:t>覆蓋率</w:t>
            </w:r>
            <w:r w:rsidRPr="00F95442">
              <w:rPr>
                <w:rFonts w:ascii="標楷體" w:hAnsi="標楷體" w:cs="新細明體" w:hint="eastAsia"/>
                <w:color w:val="000000"/>
                <w:kern w:val="0"/>
                <w:szCs w:val="24"/>
              </w:rPr>
              <w:br/>
              <w:t>(護理)</w:t>
            </w:r>
          </w:p>
        </w:tc>
        <w:tc>
          <w:tcPr>
            <w:tcW w:w="1945" w:type="dxa"/>
            <w:vMerge w:val="restart"/>
            <w:tcBorders>
              <w:top w:val="single" w:sz="4" w:space="0" w:color="auto"/>
              <w:bottom w:val="single" w:sz="4" w:space="0" w:color="auto"/>
            </w:tcBorders>
            <w:shd w:val="clear" w:color="auto" w:fill="auto"/>
            <w:vAlign w:val="center"/>
            <w:hideMark/>
          </w:tcPr>
          <w:p w:rsidR="00E13FA7" w:rsidRPr="00F95442" w:rsidRDefault="00E13FA7" w:rsidP="00864F92">
            <w:pPr>
              <w:widowControl/>
              <w:jc w:val="center"/>
              <w:rPr>
                <w:rFonts w:ascii="標楷體" w:hAnsi="標楷體" w:cs="新細明體"/>
                <w:color w:val="000000"/>
                <w:kern w:val="0"/>
                <w:szCs w:val="24"/>
              </w:rPr>
            </w:pPr>
            <w:r w:rsidRPr="00F95442">
              <w:rPr>
                <w:rFonts w:ascii="標楷體" w:hAnsi="標楷體" w:cs="新細明體" w:hint="eastAsia"/>
                <w:color w:val="000000"/>
                <w:kern w:val="0"/>
                <w:szCs w:val="24"/>
              </w:rPr>
              <w:t>覆蓋率</w:t>
            </w:r>
            <w:r w:rsidRPr="00F95442">
              <w:rPr>
                <w:rFonts w:ascii="標楷體" w:hAnsi="標楷體" w:cs="新細明體" w:hint="eastAsia"/>
                <w:color w:val="000000"/>
                <w:kern w:val="0"/>
                <w:szCs w:val="24"/>
              </w:rPr>
              <w:br/>
              <w:t>(14類醫事人員)</w:t>
            </w:r>
          </w:p>
        </w:tc>
      </w:tr>
      <w:tr w:rsidR="00E13FA7" w:rsidRPr="00F95442" w:rsidTr="00864F92">
        <w:trPr>
          <w:trHeight w:val="408"/>
        </w:trPr>
        <w:tc>
          <w:tcPr>
            <w:tcW w:w="1945" w:type="dxa"/>
            <w:vMerge/>
            <w:tcBorders>
              <w:top w:val="single" w:sz="4" w:space="0" w:color="auto"/>
              <w:bottom w:val="single" w:sz="4" w:space="0" w:color="auto"/>
            </w:tcBorders>
            <w:vAlign w:val="center"/>
            <w:hideMark/>
          </w:tcPr>
          <w:p w:rsidR="00E13FA7" w:rsidRPr="00F95442" w:rsidRDefault="00E13FA7" w:rsidP="00864F92">
            <w:pPr>
              <w:widowControl/>
              <w:rPr>
                <w:rFonts w:ascii="標楷體" w:hAnsi="標楷體" w:cs="新細明體"/>
                <w:color w:val="000000"/>
                <w:kern w:val="0"/>
                <w:szCs w:val="24"/>
              </w:rPr>
            </w:pPr>
          </w:p>
        </w:tc>
        <w:tc>
          <w:tcPr>
            <w:tcW w:w="1945" w:type="dxa"/>
            <w:tcBorders>
              <w:top w:val="single" w:sz="4" w:space="0" w:color="auto"/>
              <w:bottom w:val="single" w:sz="4" w:space="0" w:color="auto"/>
            </w:tcBorders>
            <w:shd w:val="clear" w:color="auto" w:fill="auto"/>
            <w:vAlign w:val="center"/>
            <w:hideMark/>
          </w:tcPr>
          <w:p w:rsidR="00E13FA7" w:rsidRPr="00F95442" w:rsidRDefault="00E13FA7" w:rsidP="00864F92">
            <w:pPr>
              <w:widowControl/>
              <w:jc w:val="center"/>
              <w:rPr>
                <w:rFonts w:ascii="標楷體" w:hAnsi="標楷體" w:cs="新細明體"/>
                <w:color w:val="000000"/>
                <w:kern w:val="0"/>
                <w:szCs w:val="24"/>
              </w:rPr>
            </w:pPr>
            <w:r w:rsidRPr="00F95442">
              <w:rPr>
                <w:rFonts w:ascii="標楷體" w:hAnsi="標楷體" w:cs="新細明體" w:hint="eastAsia"/>
                <w:color w:val="000000"/>
                <w:kern w:val="0"/>
                <w:szCs w:val="24"/>
              </w:rPr>
              <w:t>護理</w:t>
            </w:r>
          </w:p>
        </w:tc>
        <w:tc>
          <w:tcPr>
            <w:tcW w:w="1946" w:type="dxa"/>
            <w:tcBorders>
              <w:top w:val="single" w:sz="4" w:space="0" w:color="auto"/>
              <w:bottom w:val="single" w:sz="4" w:space="0" w:color="auto"/>
            </w:tcBorders>
            <w:shd w:val="clear" w:color="auto" w:fill="auto"/>
            <w:vAlign w:val="center"/>
            <w:hideMark/>
          </w:tcPr>
          <w:p w:rsidR="00E13FA7" w:rsidRPr="00F95442" w:rsidRDefault="00E13FA7" w:rsidP="00864F92">
            <w:pPr>
              <w:widowControl/>
              <w:jc w:val="center"/>
              <w:rPr>
                <w:rFonts w:ascii="標楷體" w:hAnsi="標楷體" w:cs="新細明體"/>
                <w:color w:val="000000"/>
                <w:kern w:val="0"/>
                <w:szCs w:val="24"/>
              </w:rPr>
            </w:pPr>
            <w:r w:rsidRPr="00F95442">
              <w:rPr>
                <w:rFonts w:ascii="標楷體" w:hAnsi="標楷體" w:cs="新細明體" w:hint="eastAsia"/>
                <w:color w:val="000000"/>
                <w:kern w:val="0"/>
                <w:szCs w:val="24"/>
              </w:rPr>
              <w:t>14類醫事人員</w:t>
            </w:r>
          </w:p>
        </w:tc>
        <w:tc>
          <w:tcPr>
            <w:tcW w:w="1945" w:type="dxa"/>
            <w:tcBorders>
              <w:top w:val="single" w:sz="4" w:space="0" w:color="auto"/>
              <w:bottom w:val="single" w:sz="4" w:space="0" w:color="auto"/>
            </w:tcBorders>
            <w:shd w:val="clear" w:color="auto" w:fill="auto"/>
            <w:vAlign w:val="center"/>
            <w:hideMark/>
          </w:tcPr>
          <w:p w:rsidR="00E13FA7" w:rsidRPr="00F95442" w:rsidRDefault="00E13FA7" w:rsidP="00864F92">
            <w:pPr>
              <w:widowControl/>
              <w:jc w:val="center"/>
              <w:rPr>
                <w:rFonts w:ascii="標楷體" w:hAnsi="標楷體" w:cs="新細明體"/>
                <w:color w:val="000000"/>
                <w:kern w:val="0"/>
                <w:szCs w:val="24"/>
              </w:rPr>
            </w:pPr>
            <w:r w:rsidRPr="00F95442">
              <w:rPr>
                <w:rFonts w:ascii="標楷體" w:hAnsi="標楷體" w:cs="新細明體" w:hint="eastAsia"/>
                <w:color w:val="000000"/>
                <w:kern w:val="0"/>
                <w:szCs w:val="24"/>
              </w:rPr>
              <w:t>護理</w:t>
            </w:r>
          </w:p>
        </w:tc>
        <w:tc>
          <w:tcPr>
            <w:tcW w:w="1946" w:type="dxa"/>
            <w:tcBorders>
              <w:top w:val="single" w:sz="4" w:space="0" w:color="auto"/>
              <w:bottom w:val="single" w:sz="4" w:space="0" w:color="auto"/>
            </w:tcBorders>
            <w:shd w:val="clear" w:color="auto" w:fill="auto"/>
            <w:vAlign w:val="center"/>
            <w:hideMark/>
          </w:tcPr>
          <w:p w:rsidR="00E13FA7" w:rsidRPr="00F95442" w:rsidRDefault="00E13FA7" w:rsidP="00864F92">
            <w:pPr>
              <w:widowControl/>
              <w:jc w:val="center"/>
              <w:rPr>
                <w:rFonts w:ascii="標楷體" w:hAnsi="標楷體" w:cs="新細明體"/>
                <w:color w:val="000000"/>
                <w:kern w:val="0"/>
                <w:szCs w:val="24"/>
              </w:rPr>
            </w:pPr>
            <w:r w:rsidRPr="00F95442">
              <w:rPr>
                <w:rFonts w:ascii="標楷體" w:hAnsi="標楷體" w:cs="新細明體" w:hint="eastAsia"/>
                <w:color w:val="000000"/>
                <w:kern w:val="0"/>
                <w:szCs w:val="24"/>
              </w:rPr>
              <w:t>14類醫事人員</w:t>
            </w:r>
          </w:p>
        </w:tc>
        <w:tc>
          <w:tcPr>
            <w:tcW w:w="1945" w:type="dxa"/>
            <w:vMerge/>
            <w:tcBorders>
              <w:top w:val="nil"/>
              <w:bottom w:val="single" w:sz="4" w:space="0" w:color="auto"/>
            </w:tcBorders>
            <w:vAlign w:val="center"/>
            <w:hideMark/>
          </w:tcPr>
          <w:p w:rsidR="00E13FA7" w:rsidRPr="00F95442" w:rsidRDefault="00E13FA7" w:rsidP="00864F92">
            <w:pPr>
              <w:widowControl/>
              <w:jc w:val="center"/>
              <w:rPr>
                <w:rFonts w:ascii="標楷體" w:hAnsi="標楷體" w:cs="新細明體"/>
                <w:color w:val="000000"/>
                <w:kern w:val="0"/>
                <w:szCs w:val="24"/>
              </w:rPr>
            </w:pPr>
          </w:p>
        </w:tc>
        <w:tc>
          <w:tcPr>
            <w:tcW w:w="1945" w:type="dxa"/>
            <w:vMerge/>
            <w:tcBorders>
              <w:top w:val="nil"/>
              <w:bottom w:val="single" w:sz="4" w:space="0" w:color="auto"/>
            </w:tcBorders>
            <w:vAlign w:val="center"/>
            <w:hideMark/>
          </w:tcPr>
          <w:p w:rsidR="00E13FA7" w:rsidRPr="00F95442" w:rsidRDefault="00E13FA7" w:rsidP="00864F92">
            <w:pPr>
              <w:widowControl/>
              <w:jc w:val="center"/>
              <w:rPr>
                <w:rFonts w:ascii="標楷體" w:hAnsi="標楷體" w:cs="新細明體"/>
                <w:color w:val="000000"/>
                <w:kern w:val="0"/>
                <w:szCs w:val="24"/>
              </w:rPr>
            </w:pPr>
          </w:p>
        </w:tc>
      </w:tr>
      <w:tr w:rsidR="00E13FA7" w:rsidRPr="00F95442" w:rsidTr="00864F92">
        <w:trPr>
          <w:trHeight w:val="414"/>
        </w:trPr>
        <w:tc>
          <w:tcPr>
            <w:tcW w:w="1945" w:type="dxa"/>
            <w:tcBorders>
              <w:top w:val="single" w:sz="4" w:space="0" w:color="auto"/>
            </w:tcBorders>
            <w:shd w:val="clear" w:color="auto" w:fill="auto"/>
            <w:vAlign w:val="center"/>
            <w:hideMark/>
          </w:tcPr>
          <w:p w:rsidR="00E13FA7" w:rsidRPr="00F95442" w:rsidRDefault="00E13FA7" w:rsidP="00864F92">
            <w:pPr>
              <w:widowControl/>
              <w:jc w:val="center"/>
              <w:rPr>
                <w:color w:val="000000"/>
                <w:kern w:val="0"/>
                <w:szCs w:val="24"/>
              </w:rPr>
            </w:pPr>
            <w:r w:rsidRPr="00F95442">
              <w:rPr>
                <w:color w:val="000000"/>
                <w:kern w:val="0"/>
                <w:szCs w:val="24"/>
              </w:rPr>
              <w:t>96</w:t>
            </w:r>
          </w:p>
        </w:tc>
        <w:tc>
          <w:tcPr>
            <w:tcW w:w="1945" w:type="dxa"/>
            <w:tcBorders>
              <w:top w:val="single" w:sz="4" w:space="0" w:color="auto"/>
            </w:tcBorders>
            <w:shd w:val="clear" w:color="auto" w:fill="auto"/>
            <w:vAlign w:val="center"/>
            <w:hideMark/>
          </w:tcPr>
          <w:p w:rsidR="00E13FA7" w:rsidRPr="00F95442" w:rsidRDefault="00E13FA7" w:rsidP="00864F92">
            <w:pPr>
              <w:widowControl/>
              <w:jc w:val="center"/>
              <w:rPr>
                <w:color w:val="000000"/>
                <w:kern w:val="0"/>
                <w:szCs w:val="24"/>
              </w:rPr>
            </w:pPr>
            <w:r w:rsidRPr="00F95442">
              <w:rPr>
                <w:color w:val="000000"/>
                <w:kern w:val="0"/>
                <w:szCs w:val="24"/>
              </w:rPr>
              <w:t>1,982</w:t>
            </w:r>
          </w:p>
        </w:tc>
        <w:tc>
          <w:tcPr>
            <w:tcW w:w="1946" w:type="dxa"/>
            <w:tcBorders>
              <w:top w:val="single" w:sz="4" w:space="0" w:color="auto"/>
            </w:tcBorders>
            <w:shd w:val="clear" w:color="auto" w:fill="auto"/>
            <w:vAlign w:val="center"/>
            <w:hideMark/>
          </w:tcPr>
          <w:p w:rsidR="00E13FA7" w:rsidRPr="00F95442" w:rsidRDefault="00E13FA7" w:rsidP="00864F92">
            <w:pPr>
              <w:widowControl/>
              <w:jc w:val="center"/>
              <w:rPr>
                <w:color w:val="000000"/>
                <w:kern w:val="0"/>
                <w:szCs w:val="24"/>
              </w:rPr>
            </w:pPr>
            <w:r w:rsidRPr="00F95442">
              <w:rPr>
                <w:color w:val="000000"/>
                <w:kern w:val="0"/>
                <w:szCs w:val="24"/>
              </w:rPr>
              <w:t>2,350</w:t>
            </w:r>
          </w:p>
        </w:tc>
        <w:tc>
          <w:tcPr>
            <w:tcW w:w="1945" w:type="dxa"/>
            <w:tcBorders>
              <w:top w:val="single" w:sz="4" w:space="0" w:color="auto"/>
            </w:tcBorders>
            <w:shd w:val="clear" w:color="auto" w:fill="auto"/>
            <w:vAlign w:val="center"/>
            <w:hideMark/>
          </w:tcPr>
          <w:p w:rsidR="00E13FA7" w:rsidRPr="00F95442" w:rsidRDefault="00E13FA7" w:rsidP="00864F92">
            <w:pPr>
              <w:widowControl/>
              <w:jc w:val="center"/>
              <w:rPr>
                <w:color w:val="000000"/>
                <w:kern w:val="0"/>
                <w:szCs w:val="24"/>
              </w:rPr>
            </w:pPr>
            <w:r w:rsidRPr="00F95442">
              <w:rPr>
                <w:color w:val="000000"/>
                <w:kern w:val="0"/>
                <w:szCs w:val="24"/>
              </w:rPr>
              <w:t>3,485</w:t>
            </w:r>
          </w:p>
        </w:tc>
        <w:tc>
          <w:tcPr>
            <w:tcW w:w="1946" w:type="dxa"/>
            <w:tcBorders>
              <w:top w:val="single" w:sz="4" w:space="0" w:color="auto"/>
            </w:tcBorders>
            <w:shd w:val="clear" w:color="auto" w:fill="auto"/>
            <w:vAlign w:val="center"/>
            <w:hideMark/>
          </w:tcPr>
          <w:p w:rsidR="00E13FA7" w:rsidRPr="00F95442" w:rsidRDefault="00E13FA7" w:rsidP="00864F92">
            <w:pPr>
              <w:widowControl/>
              <w:jc w:val="center"/>
              <w:rPr>
                <w:color w:val="000000"/>
                <w:kern w:val="0"/>
                <w:szCs w:val="24"/>
              </w:rPr>
            </w:pPr>
            <w:r w:rsidRPr="00F95442">
              <w:rPr>
                <w:color w:val="000000"/>
                <w:kern w:val="0"/>
                <w:szCs w:val="24"/>
              </w:rPr>
              <w:t>5,545</w:t>
            </w:r>
          </w:p>
        </w:tc>
        <w:tc>
          <w:tcPr>
            <w:tcW w:w="1945" w:type="dxa"/>
            <w:tcBorders>
              <w:top w:val="single" w:sz="4" w:space="0" w:color="auto"/>
            </w:tcBorders>
            <w:shd w:val="clear" w:color="auto" w:fill="auto"/>
            <w:noWrap/>
            <w:vAlign w:val="center"/>
            <w:hideMark/>
          </w:tcPr>
          <w:p w:rsidR="00E13FA7" w:rsidRPr="00F95442" w:rsidRDefault="00E13FA7" w:rsidP="00864F92">
            <w:pPr>
              <w:widowControl/>
              <w:jc w:val="center"/>
              <w:rPr>
                <w:color w:val="000000"/>
                <w:kern w:val="0"/>
                <w:szCs w:val="24"/>
              </w:rPr>
            </w:pPr>
            <w:r w:rsidRPr="00F95442">
              <w:rPr>
                <w:color w:val="000000"/>
                <w:kern w:val="0"/>
                <w:szCs w:val="24"/>
              </w:rPr>
              <w:t>56.87%</w:t>
            </w:r>
          </w:p>
        </w:tc>
        <w:tc>
          <w:tcPr>
            <w:tcW w:w="1945" w:type="dxa"/>
            <w:tcBorders>
              <w:top w:val="single" w:sz="4" w:space="0" w:color="auto"/>
            </w:tcBorders>
            <w:shd w:val="clear" w:color="auto" w:fill="auto"/>
            <w:noWrap/>
            <w:vAlign w:val="center"/>
            <w:hideMark/>
          </w:tcPr>
          <w:p w:rsidR="00E13FA7" w:rsidRPr="00F95442" w:rsidRDefault="00E13FA7" w:rsidP="00864F92">
            <w:pPr>
              <w:widowControl/>
              <w:jc w:val="center"/>
              <w:rPr>
                <w:color w:val="000000"/>
                <w:kern w:val="0"/>
                <w:szCs w:val="24"/>
              </w:rPr>
            </w:pPr>
            <w:r w:rsidRPr="00F95442">
              <w:rPr>
                <w:color w:val="000000"/>
                <w:kern w:val="0"/>
                <w:szCs w:val="24"/>
              </w:rPr>
              <w:t>42.38%</w:t>
            </w:r>
          </w:p>
        </w:tc>
      </w:tr>
      <w:tr w:rsidR="00E13FA7" w:rsidRPr="00F95442" w:rsidTr="00864F92">
        <w:trPr>
          <w:trHeight w:val="414"/>
        </w:trPr>
        <w:tc>
          <w:tcPr>
            <w:tcW w:w="1945" w:type="dxa"/>
            <w:shd w:val="clear" w:color="auto" w:fill="auto"/>
            <w:vAlign w:val="center"/>
            <w:hideMark/>
          </w:tcPr>
          <w:p w:rsidR="00E13FA7" w:rsidRPr="00F95442" w:rsidRDefault="00E13FA7" w:rsidP="00864F92">
            <w:pPr>
              <w:widowControl/>
              <w:jc w:val="center"/>
              <w:rPr>
                <w:color w:val="000000"/>
                <w:kern w:val="0"/>
                <w:szCs w:val="24"/>
              </w:rPr>
            </w:pPr>
            <w:r w:rsidRPr="00F95442">
              <w:rPr>
                <w:color w:val="000000"/>
                <w:kern w:val="0"/>
                <w:szCs w:val="24"/>
              </w:rPr>
              <w:t>97</w:t>
            </w:r>
          </w:p>
        </w:tc>
        <w:tc>
          <w:tcPr>
            <w:tcW w:w="1945" w:type="dxa"/>
            <w:shd w:val="clear" w:color="auto" w:fill="auto"/>
            <w:vAlign w:val="center"/>
            <w:hideMark/>
          </w:tcPr>
          <w:p w:rsidR="00E13FA7" w:rsidRPr="00F95442" w:rsidRDefault="00E13FA7" w:rsidP="00864F92">
            <w:pPr>
              <w:widowControl/>
              <w:jc w:val="center"/>
              <w:rPr>
                <w:color w:val="000000"/>
                <w:kern w:val="0"/>
                <w:szCs w:val="24"/>
              </w:rPr>
            </w:pPr>
            <w:r w:rsidRPr="00F95442">
              <w:rPr>
                <w:color w:val="000000"/>
                <w:kern w:val="0"/>
                <w:szCs w:val="24"/>
              </w:rPr>
              <w:t>1,945</w:t>
            </w:r>
          </w:p>
        </w:tc>
        <w:tc>
          <w:tcPr>
            <w:tcW w:w="1946" w:type="dxa"/>
            <w:shd w:val="clear" w:color="auto" w:fill="auto"/>
            <w:vAlign w:val="center"/>
            <w:hideMark/>
          </w:tcPr>
          <w:p w:rsidR="00E13FA7" w:rsidRPr="00F95442" w:rsidRDefault="00E13FA7" w:rsidP="00864F92">
            <w:pPr>
              <w:widowControl/>
              <w:jc w:val="center"/>
              <w:rPr>
                <w:color w:val="000000"/>
                <w:kern w:val="0"/>
                <w:szCs w:val="24"/>
              </w:rPr>
            </w:pPr>
            <w:r w:rsidRPr="00F95442">
              <w:rPr>
                <w:color w:val="000000"/>
                <w:kern w:val="0"/>
                <w:szCs w:val="24"/>
              </w:rPr>
              <w:t>2,539</w:t>
            </w:r>
          </w:p>
        </w:tc>
        <w:tc>
          <w:tcPr>
            <w:tcW w:w="1945" w:type="dxa"/>
            <w:shd w:val="clear" w:color="auto" w:fill="auto"/>
            <w:vAlign w:val="center"/>
            <w:hideMark/>
          </w:tcPr>
          <w:p w:rsidR="00E13FA7" w:rsidRPr="00F95442" w:rsidRDefault="00E13FA7" w:rsidP="00864F92">
            <w:pPr>
              <w:widowControl/>
              <w:jc w:val="center"/>
              <w:rPr>
                <w:color w:val="000000"/>
                <w:kern w:val="0"/>
                <w:szCs w:val="24"/>
              </w:rPr>
            </w:pPr>
            <w:r w:rsidRPr="00F95442">
              <w:rPr>
                <w:color w:val="000000"/>
                <w:kern w:val="0"/>
                <w:szCs w:val="24"/>
              </w:rPr>
              <w:t>3,928</w:t>
            </w:r>
          </w:p>
        </w:tc>
        <w:tc>
          <w:tcPr>
            <w:tcW w:w="1946" w:type="dxa"/>
            <w:shd w:val="clear" w:color="auto" w:fill="auto"/>
            <w:vAlign w:val="center"/>
            <w:hideMark/>
          </w:tcPr>
          <w:p w:rsidR="00E13FA7" w:rsidRPr="00F95442" w:rsidRDefault="00E13FA7" w:rsidP="00864F92">
            <w:pPr>
              <w:widowControl/>
              <w:jc w:val="center"/>
              <w:rPr>
                <w:color w:val="000000"/>
                <w:kern w:val="0"/>
                <w:szCs w:val="24"/>
              </w:rPr>
            </w:pPr>
            <w:r w:rsidRPr="00F95442">
              <w:rPr>
                <w:color w:val="000000"/>
                <w:kern w:val="0"/>
                <w:szCs w:val="24"/>
              </w:rPr>
              <w:t>6,516</w:t>
            </w:r>
          </w:p>
        </w:tc>
        <w:tc>
          <w:tcPr>
            <w:tcW w:w="1945" w:type="dxa"/>
            <w:shd w:val="clear" w:color="auto" w:fill="auto"/>
            <w:noWrap/>
            <w:vAlign w:val="center"/>
            <w:hideMark/>
          </w:tcPr>
          <w:p w:rsidR="00E13FA7" w:rsidRPr="00F95442" w:rsidRDefault="00E13FA7" w:rsidP="00864F92">
            <w:pPr>
              <w:widowControl/>
              <w:jc w:val="center"/>
              <w:rPr>
                <w:color w:val="000000"/>
                <w:kern w:val="0"/>
                <w:szCs w:val="24"/>
              </w:rPr>
            </w:pPr>
            <w:r w:rsidRPr="00F95442">
              <w:rPr>
                <w:color w:val="000000"/>
                <w:kern w:val="0"/>
                <w:szCs w:val="24"/>
              </w:rPr>
              <w:t>49.52%</w:t>
            </w:r>
          </w:p>
        </w:tc>
        <w:tc>
          <w:tcPr>
            <w:tcW w:w="1945" w:type="dxa"/>
            <w:shd w:val="clear" w:color="auto" w:fill="auto"/>
            <w:noWrap/>
            <w:vAlign w:val="center"/>
            <w:hideMark/>
          </w:tcPr>
          <w:p w:rsidR="00E13FA7" w:rsidRPr="00F95442" w:rsidRDefault="00E13FA7" w:rsidP="00864F92">
            <w:pPr>
              <w:widowControl/>
              <w:jc w:val="center"/>
              <w:rPr>
                <w:color w:val="000000"/>
                <w:kern w:val="0"/>
                <w:szCs w:val="24"/>
              </w:rPr>
            </w:pPr>
            <w:r w:rsidRPr="00F95442">
              <w:rPr>
                <w:color w:val="000000"/>
                <w:kern w:val="0"/>
                <w:szCs w:val="24"/>
              </w:rPr>
              <w:t>38.97%</w:t>
            </w:r>
          </w:p>
        </w:tc>
      </w:tr>
      <w:tr w:rsidR="00E13FA7" w:rsidRPr="00F95442" w:rsidTr="00864F92">
        <w:trPr>
          <w:trHeight w:val="414"/>
        </w:trPr>
        <w:tc>
          <w:tcPr>
            <w:tcW w:w="1945" w:type="dxa"/>
            <w:shd w:val="clear" w:color="auto" w:fill="auto"/>
            <w:vAlign w:val="center"/>
            <w:hideMark/>
          </w:tcPr>
          <w:p w:rsidR="00E13FA7" w:rsidRPr="00F95442" w:rsidRDefault="00E13FA7" w:rsidP="00864F92">
            <w:pPr>
              <w:widowControl/>
              <w:jc w:val="center"/>
              <w:rPr>
                <w:color w:val="000000"/>
                <w:kern w:val="0"/>
                <w:szCs w:val="24"/>
              </w:rPr>
            </w:pPr>
            <w:r w:rsidRPr="00F95442">
              <w:rPr>
                <w:color w:val="000000"/>
                <w:kern w:val="0"/>
                <w:szCs w:val="24"/>
              </w:rPr>
              <w:t>98</w:t>
            </w:r>
          </w:p>
        </w:tc>
        <w:tc>
          <w:tcPr>
            <w:tcW w:w="1945" w:type="dxa"/>
            <w:shd w:val="clear" w:color="auto" w:fill="auto"/>
            <w:vAlign w:val="center"/>
            <w:hideMark/>
          </w:tcPr>
          <w:p w:rsidR="00E13FA7" w:rsidRPr="00F95442" w:rsidRDefault="00E13FA7" w:rsidP="00864F92">
            <w:pPr>
              <w:widowControl/>
              <w:jc w:val="center"/>
              <w:rPr>
                <w:color w:val="000000"/>
                <w:kern w:val="0"/>
                <w:szCs w:val="24"/>
              </w:rPr>
            </w:pPr>
            <w:r w:rsidRPr="00F95442">
              <w:rPr>
                <w:color w:val="000000"/>
                <w:kern w:val="0"/>
                <w:szCs w:val="24"/>
              </w:rPr>
              <w:t>1,743</w:t>
            </w:r>
          </w:p>
        </w:tc>
        <w:tc>
          <w:tcPr>
            <w:tcW w:w="1946" w:type="dxa"/>
            <w:shd w:val="clear" w:color="auto" w:fill="auto"/>
            <w:vAlign w:val="center"/>
            <w:hideMark/>
          </w:tcPr>
          <w:p w:rsidR="00E13FA7" w:rsidRPr="00F95442" w:rsidRDefault="00E13FA7" w:rsidP="00864F92">
            <w:pPr>
              <w:widowControl/>
              <w:jc w:val="center"/>
              <w:rPr>
                <w:color w:val="000000"/>
                <w:kern w:val="0"/>
                <w:szCs w:val="24"/>
              </w:rPr>
            </w:pPr>
            <w:r w:rsidRPr="00F95442">
              <w:rPr>
                <w:color w:val="000000"/>
                <w:kern w:val="0"/>
                <w:szCs w:val="24"/>
              </w:rPr>
              <w:t>2,198</w:t>
            </w:r>
          </w:p>
        </w:tc>
        <w:tc>
          <w:tcPr>
            <w:tcW w:w="1945" w:type="dxa"/>
            <w:shd w:val="clear" w:color="auto" w:fill="auto"/>
            <w:vAlign w:val="center"/>
            <w:hideMark/>
          </w:tcPr>
          <w:p w:rsidR="00E13FA7" w:rsidRPr="00F95442" w:rsidRDefault="00E13FA7" w:rsidP="00864F92">
            <w:pPr>
              <w:widowControl/>
              <w:jc w:val="center"/>
              <w:rPr>
                <w:color w:val="000000"/>
                <w:kern w:val="0"/>
                <w:szCs w:val="24"/>
              </w:rPr>
            </w:pPr>
            <w:r w:rsidRPr="00F95442">
              <w:rPr>
                <w:color w:val="000000"/>
                <w:kern w:val="0"/>
                <w:szCs w:val="24"/>
              </w:rPr>
              <w:t>4,046</w:t>
            </w:r>
          </w:p>
        </w:tc>
        <w:tc>
          <w:tcPr>
            <w:tcW w:w="1946" w:type="dxa"/>
            <w:shd w:val="clear" w:color="auto" w:fill="auto"/>
            <w:vAlign w:val="center"/>
            <w:hideMark/>
          </w:tcPr>
          <w:p w:rsidR="00E13FA7" w:rsidRPr="00F95442" w:rsidRDefault="00E13FA7" w:rsidP="00864F92">
            <w:pPr>
              <w:widowControl/>
              <w:jc w:val="center"/>
              <w:rPr>
                <w:color w:val="000000"/>
                <w:kern w:val="0"/>
                <w:szCs w:val="24"/>
              </w:rPr>
            </w:pPr>
            <w:r w:rsidRPr="00F95442">
              <w:rPr>
                <w:color w:val="000000"/>
                <w:kern w:val="0"/>
                <w:szCs w:val="24"/>
              </w:rPr>
              <w:t>6,431</w:t>
            </w:r>
          </w:p>
        </w:tc>
        <w:tc>
          <w:tcPr>
            <w:tcW w:w="1945" w:type="dxa"/>
            <w:shd w:val="clear" w:color="auto" w:fill="auto"/>
            <w:noWrap/>
            <w:vAlign w:val="center"/>
            <w:hideMark/>
          </w:tcPr>
          <w:p w:rsidR="00E13FA7" w:rsidRPr="00F95442" w:rsidRDefault="00E13FA7" w:rsidP="00864F92">
            <w:pPr>
              <w:widowControl/>
              <w:jc w:val="center"/>
              <w:rPr>
                <w:color w:val="000000"/>
                <w:kern w:val="0"/>
                <w:szCs w:val="24"/>
              </w:rPr>
            </w:pPr>
            <w:r w:rsidRPr="00F95442">
              <w:rPr>
                <w:color w:val="000000"/>
                <w:kern w:val="0"/>
                <w:szCs w:val="24"/>
              </w:rPr>
              <w:t>43.08%</w:t>
            </w:r>
          </w:p>
        </w:tc>
        <w:tc>
          <w:tcPr>
            <w:tcW w:w="1945" w:type="dxa"/>
            <w:shd w:val="clear" w:color="auto" w:fill="auto"/>
            <w:noWrap/>
            <w:vAlign w:val="center"/>
            <w:hideMark/>
          </w:tcPr>
          <w:p w:rsidR="00E13FA7" w:rsidRPr="00F95442" w:rsidRDefault="00E13FA7" w:rsidP="00864F92">
            <w:pPr>
              <w:widowControl/>
              <w:jc w:val="center"/>
              <w:rPr>
                <w:color w:val="000000"/>
                <w:kern w:val="0"/>
                <w:szCs w:val="24"/>
              </w:rPr>
            </w:pPr>
            <w:r w:rsidRPr="00F95442">
              <w:rPr>
                <w:color w:val="000000"/>
                <w:kern w:val="0"/>
                <w:szCs w:val="24"/>
              </w:rPr>
              <w:t>34.18%</w:t>
            </w:r>
          </w:p>
        </w:tc>
      </w:tr>
      <w:tr w:rsidR="00E13FA7" w:rsidRPr="00F95442" w:rsidTr="00864F92">
        <w:trPr>
          <w:trHeight w:val="414"/>
        </w:trPr>
        <w:tc>
          <w:tcPr>
            <w:tcW w:w="1945" w:type="dxa"/>
            <w:shd w:val="clear" w:color="auto" w:fill="auto"/>
            <w:vAlign w:val="center"/>
            <w:hideMark/>
          </w:tcPr>
          <w:p w:rsidR="00E13FA7" w:rsidRPr="00F95442" w:rsidRDefault="00E13FA7" w:rsidP="00864F92">
            <w:pPr>
              <w:widowControl/>
              <w:jc w:val="center"/>
              <w:rPr>
                <w:color w:val="000000"/>
                <w:kern w:val="0"/>
                <w:szCs w:val="24"/>
              </w:rPr>
            </w:pPr>
            <w:r w:rsidRPr="00F95442">
              <w:rPr>
                <w:color w:val="000000"/>
                <w:kern w:val="0"/>
                <w:szCs w:val="24"/>
              </w:rPr>
              <w:t>99</w:t>
            </w:r>
          </w:p>
        </w:tc>
        <w:tc>
          <w:tcPr>
            <w:tcW w:w="1945" w:type="dxa"/>
            <w:shd w:val="clear" w:color="auto" w:fill="auto"/>
            <w:vAlign w:val="center"/>
            <w:hideMark/>
          </w:tcPr>
          <w:p w:rsidR="00E13FA7" w:rsidRPr="00F95442" w:rsidRDefault="00E13FA7" w:rsidP="00864F92">
            <w:pPr>
              <w:widowControl/>
              <w:jc w:val="center"/>
              <w:rPr>
                <w:color w:val="000000"/>
                <w:kern w:val="0"/>
                <w:szCs w:val="24"/>
              </w:rPr>
            </w:pPr>
            <w:r w:rsidRPr="00F95442">
              <w:rPr>
                <w:color w:val="000000"/>
                <w:kern w:val="0"/>
                <w:szCs w:val="24"/>
              </w:rPr>
              <w:t>898</w:t>
            </w:r>
          </w:p>
        </w:tc>
        <w:tc>
          <w:tcPr>
            <w:tcW w:w="1946" w:type="dxa"/>
            <w:shd w:val="clear" w:color="auto" w:fill="auto"/>
            <w:vAlign w:val="center"/>
            <w:hideMark/>
          </w:tcPr>
          <w:p w:rsidR="00E13FA7" w:rsidRPr="00F95442" w:rsidRDefault="00E13FA7" w:rsidP="00864F92">
            <w:pPr>
              <w:widowControl/>
              <w:jc w:val="center"/>
              <w:rPr>
                <w:color w:val="000000"/>
                <w:kern w:val="0"/>
                <w:szCs w:val="24"/>
              </w:rPr>
            </w:pPr>
            <w:r w:rsidRPr="00F95442">
              <w:rPr>
                <w:color w:val="000000"/>
                <w:kern w:val="0"/>
                <w:szCs w:val="24"/>
              </w:rPr>
              <w:t>1,357</w:t>
            </w:r>
          </w:p>
        </w:tc>
        <w:tc>
          <w:tcPr>
            <w:tcW w:w="1945" w:type="dxa"/>
            <w:shd w:val="clear" w:color="auto" w:fill="auto"/>
            <w:vAlign w:val="center"/>
            <w:hideMark/>
          </w:tcPr>
          <w:p w:rsidR="00E13FA7" w:rsidRPr="00F95442" w:rsidRDefault="00E13FA7" w:rsidP="00864F92">
            <w:pPr>
              <w:widowControl/>
              <w:jc w:val="center"/>
              <w:rPr>
                <w:color w:val="000000"/>
                <w:kern w:val="0"/>
                <w:szCs w:val="24"/>
              </w:rPr>
            </w:pPr>
            <w:r w:rsidRPr="00F95442">
              <w:rPr>
                <w:color w:val="000000"/>
                <w:kern w:val="0"/>
                <w:szCs w:val="24"/>
              </w:rPr>
              <w:t>4,056</w:t>
            </w:r>
          </w:p>
        </w:tc>
        <w:tc>
          <w:tcPr>
            <w:tcW w:w="1946" w:type="dxa"/>
            <w:shd w:val="clear" w:color="auto" w:fill="auto"/>
            <w:vAlign w:val="center"/>
            <w:hideMark/>
          </w:tcPr>
          <w:p w:rsidR="00E13FA7" w:rsidRPr="00F95442" w:rsidRDefault="00E13FA7" w:rsidP="00864F92">
            <w:pPr>
              <w:widowControl/>
              <w:jc w:val="center"/>
              <w:rPr>
                <w:color w:val="000000"/>
                <w:kern w:val="0"/>
                <w:szCs w:val="24"/>
              </w:rPr>
            </w:pPr>
            <w:r w:rsidRPr="00F95442">
              <w:rPr>
                <w:color w:val="000000"/>
                <w:kern w:val="0"/>
                <w:szCs w:val="24"/>
              </w:rPr>
              <w:t>4,834</w:t>
            </w:r>
          </w:p>
        </w:tc>
        <w:tc>
          <w:tcPr>
            <w:tcW w:w="1945" w:type="dxa"/>
            <w:shd w:val="clear" w:color="auto" w:fill="auto"/>
            <w:noWrap/>
            <w:vAlign w:val="center"/>
            <w:hideMark/>
          </w:tcPr>
          <w:p w:rsidR="00E13FA7" w:rsidRPr="00F95442" w:rsidRDefault="00E13FA7" w:rsidP="00864F92">
            <w:pPr>
              <w:widowControl/>
              <w:jc w:val="center"/>
              <w:rPr>
                <w:color w:val="000000"/>
                <w:kern w:val="0"/>
                <w:szCs w:val="24"/>
              </w:rPr>
            </w:pPr>
            <w:r w:rsidRPr="00F95442">
              <w:rPr>
                <w:color w:val="000000"/>
                <w:kern w:val="0"/>
                <w:szCs w:val="24"/>
              </w:rPr>
              <w:t>22.14%</w:t>
            </w:r>
          </w:p>
        </w:tc>
        <w:tc>
          <w:tcPr>
            <w:tcW w:w="1945" w:type="dxa"/>
            <w:shd w:val="clear" w:color="auto" w:fill="auto"/>
            <w:noWrap/>
            <w:vAlign w:val="center"/>
            <w:hideMark/>
          </w:tcPr>
          <w:p w:rsidR="00E13FA7" w:rsidRPr="00F95442" w:rsidRDefault="00E13FA7" w:rsidP="00864F92">
            <w:pPr>
              <w:widowControl/>
              <w:jc w:val="center"/>
              <w:rPr>
                <w:color w:val="000000"/>
                <w:kern w:val="0"/>
                <w:szCs w:val="24"/>
              </w:rPr>
            </w:pPr>
            <w:r w:rsidRPr="00F95442">
              <w:rPr>
                <w:color w:val="000000"/>
                <w:kern w:val="0"/>
                <w:szCs w:val="24"/>
              </w:rPr>
              <w:t>28.07%</w:t>
            </w:r>
          </w:p>
        </w:tc>
      </w:tr>
      <w:tr w:rsidR="00E13FA7" w:rsidRPr="00F95442" w:rsidTr="00864F92">
        <w:trPr>
          <w:trHeight w:val="414"/>
        </w:trPr>
        <w:tc>
          <w:tcPr>
            <w:tcW w:w="1945" w:type="dxa"/>
            <w:shd w:val="clear" w:color="auto" w:fill="auto"/>
            <w:vAlign w:val="center"/>
            <w:hideMark/>
          </w:tcPr>
          <w:p w:rsidR="00E13FA7" w:rsidRPr="00F95442" w:rsidRDefault="00E13FA7" w:rsidP="00864F92">
            <w:pPr>
              <w:widowControl/>
              <w:jc w:val="center"/>
              <w:rPr>
                <w:color w:val="000000"/>
                <w:kern w:val="0"/>
                <w:szCs w:val="24"/>
              </w:rPr>
            </w:pPr>
            <w:r w:rsidRPr="00F95442">
              <w:rPr>
                <w:color w:val="000000"/>
                <w:kern w:val="0"/>
                <w:szCs w:val="24"/>
              </w:rPr>
              <w:t>100</w:t>
            </w:r>
          </w:p>
        </w:tc>
        <w:tc>
          <w:tcPr>
            <w:tcW w:w="1945" w:type="dxa"/>
            <w:shd w:val="clear" w:color="auto" w:fill="auto"/>
            <w:vAlign w:val="center"/>
            <w:hideMark/>
          </w:tcPr>
          <w:p w:rsidR="00E13FA7" w:rsidRPr="00F95442" w:rsidRDefault="00E13FA7" w:rsidP="00864F92">
            <w:pPr>
              <w:widowControl/>
              <w:jc w:val="center"/>
              <w:rPr>
                <w:color w:val="000000"/>
                <w:kern w:val="0"/>
                <w:szCs w:val="24"/>
              </w:rPr>
            </w:pPr>
            <w:r w:rsidRPr="00F95442">
              <w:rPr>
                <w:color w:val="000000"/>
                <w:kern w:val="0"/>
                <w:szCs w:val="24"/>
              </w:rPr>
              <w:t>2,983</w:t>
            </w:r>
          </w:p>
        </w:tc>
        <w:tc>
          <w:tcPr>
            <w:tcW w:w="1946" w:type="dxa"/>
            <w:shd w:val="clear" w:color="auto" w:fill="auto"/>
            <w:vAlign w:val="center"/>
            <w:hideMark/>
          </w:tcPr>
          <w:p w:rsidR="00E13FA7" w:rsidRPr="00F95442" w:rsidRDefault="00E13FA7" w:rsidP="00864F92">
            <w:pPr>
              <w:widowControl/>
              <w:jc w:val="center"/>
              <w:rPr>
                <w:color w:val="000000"/>
                <w:kern w:val="0"/>
                <w:szCs w:val="24"/>
              </w:rPr>
            </w:pPr>
            <w:r w:rsidRPr="00F95442">
              <w:rPr>
                <w:color w:val="000000"/>
                <w:kern w:val="0"/>
                <w:szCs w:val="24"/>
              </w:rPr>
              <w:t>3,579</w:t>
            </w:r>
          </w:p>
        </w:tc>
        <w:tc>
          <w:tcPr>
            <w:tcW w:w="1945" w:type="dxa"/>
            <w:shd w:val="clear" w:color="auto" w:fill="auto"/>
            <w:vAlign w:val="center"/>
            <w:hideMark/>
          </w:tcPr>
          <w:p w:rsidR="00E13FA7" w:rsidRPr="00F95442" w:rsidRDefault="00E13FA7" w:rsidP="00864F92">
            <w:pPr>
              <w:widowControl/>
              <w:jc w:val="center"/>
              <w:rPr>
                <w:color w:val="000000"/>
                <w:kern w:val="0"/>
                <w:szCs w:val="24"/>
              </w:rPr>
            </w:pPr>
            <w:r w:rsidRPr="00F95442">
              <w:rPr>
                <w:color w:val="000000"/>
                <w:kern w:val="0"/>
                <w:szCs w:val="24"/>
              </w:rPr>
              <w:t>3,868</w:t>
            </w:r>
          </w:p>
        </w:tc>
        <w:tc>
          <w:tcPr>
            <w:tcW w:w="1946" w:type="dxa"/>
            <w:shd w:val="clear" w:color="auto" w:fill="auto"/>
            <w:vAlign w:val="center"/>
            <w:hideMark/>
          </w:tcPr>
          <w:p w:rsidR="00E13FA7" w:rsidRPr="00F95442" w:rsidRDefault="00E13FA7" w:rsidP="00864F92">
            <w:pPr>
              <w:widowControl/>
              <w:jc w:val="center"/>
              <w:rPr>
                <w:color w:val="000000"/>
                <w:kern w:val="0"/>
                <w:szCs w:val="24"/>
              </w:rPr>
            </w:pPr>
            <w:r w:rsidRPr="00F95442">
              <w:rPr>
                <w:color w:val="000000"/>
                <w:kern w:val="0"/>
                <w:szCs w:val="24"/>
              </w:rPr>
              <w:t>5,027</w:t>
            </w:r>
          </w:p>
        </w:tc>
        <w:tc>
          <w:tcPr>
            <w:tcW w:w="1945" w:type="dxa"/>
            <w:shd w:val="clear" w:color="auto" w:fill="auto"/>
            <w:noWrap/>
            <w:vAlign w:val="center"/>
            <w:hideMark/>
          </w:tcPr>
          <w:p w:rsidR="00E13FA7" w:rsidRPr="00F95442" w:rsidRDefault="00E13FA7" w:rsidP="00864F92">
            <w:pPr>
              <w:widowControl/>
              <w:jc w:val="center"/>
              <w:rPr>
                <w:color w:val="000000"/>
                <w:kern w:val="0"/>
                <w:szCs w:val="24"/>
              </w:rPr>
            </w:pPr>
            <w:r w:rsidRPr="00F95442">
              <w:rPr>
                <w:color w:val="000000"/>
                <w:kern w:val="0"/>
                <w:szCs w:val="24"/>
              </w:rPr>
              <w:t>77.12%</w:t>
            </w:r>
          </w:p>
        </w:tc>
        <w:tc>
          <w:tcPr>
            <w:tcW w:w="1945" w:type="dxa"/>
            <w:shd w:val="clear" w:color="auto" w:fill="auto"/>
            <w:noWrap/>
            <w:vAlign w:val="center"/>
            <w:hideMark/>
          </w:tcPr>
          <w:p w:rsidR="00E13FA7" w:rsidRPr="00F95442" w:rsidRDefault="00E13FA7" w:rsidP="00864F92">
            <w:pPr>
              <w:widowControl/>
              <w:jc w:val="center"/>
              <w:rPr>
                <w:color w:val="000000"/>
                <w:kern w:val="0"/>
                <w:szCs w:val="24"/>
              </w:rPr>
            </w:pPr>
            <w:r w:rsidRPr="00F95442">
              <w:rPr>
                <w:color w:val="000000"/>
                <w:kern w:val="0"/>
                <w:szCs w:val="24"/>
              </w:rPr>
              <w:t>71.20%</w:t>
            </w:r>
          </w:p>
        </w:tc>
      </w:tr>
      <w:tr w:rsidR="00E13FA7" w:rsidRPr="00F95442" w:rsidTr="00864F92">
        <w:trPr>
          <w:trHeight w:val="414"/>
        </w:trPr>
        <w:tc>
          <w:tcPr>
            <w:tcW w:w="1945" w:type="dxa"/>
            <w:shd w:val="clear" w:color="auto" w:fill="auto"/>
            <w:vAlign w:val="center"/>
            <w:hideMark/>
          </w:tcPr>
          <w:p w:rsidR="00E13FA7" w:rsidRPr="00F95442" w:rsidRDefault="00E13FA7" w:rsidP="00864F92">
            <w:pPr>
              <w:widowControl/>
              <w:jc w:val="center"/>
              <w:rPr>
                <w:color w:val="000000"/>
                <w:kern w:val="0"/>
                <w:szCs w:val="24"/>
              </w:rPr>
            </w:pPr>
            <w:r w:rsidRPr="00F95442">
              <w:rPr>
                <w:color w:val="000000"/>
                <w:kern w:val="0"/>
                <w:szCs w:val="24"/>
              </w:rPr>
              <w:t>101</w:t>
            </w:r>
          </w:p>
        </w:tc>
        <w:tc>
          <w:tcPr>
            <w:tcW w:w="1945" w:type="dxa"/>
            <w:shd w:val="clear" w:color="auto" w:fill="auto"/>
            <w:vAlign w:val="center"/>
            <w:hideMark/>
          </w:tcPr>
          <w:p w:rsidR="00E13FA7" w:rsidRPr="00F95442" w:rsidRDefault="00E13FA7" w:rsidP="00864F92">
            <w:pPr>
              <w:widowControl/>
              <w:jc w:val="center"/>
              <w:rPr>
                <w:color w:val="000000"/>
                <w:kern w:val="0"/>
                <w:szCs w:val="24"/>
              </w:rPr>
            </w:pPr>
            <w:r w:rsidRPr="00F95442">
              <w:rPr>
                <w:color w:val="000000"/>
                <w:kern w:val="0"/>
                <w:szCs w:val="24"/>
              </w:rPr>
              <w:t>2,708</w:t>
            </w:r>
          </w:p>
        </w:tc>
        <w:tc>
          <w:tcPr>
            <w:tcW w:w="1946" w:type="dxa"/>
            <w:shd w:val="clear" w:color="auto" w:fill="auto"/>
            <w:vAlign w:val="center"/>
            <w:hideMark/>
          </w:tcPr>
          <w:p w:rsidR="00E13FA7" w:rsidRPr="00F95442" w:rsidRDefault="00E13FA7" w:rsidP="00864F92">
            <w:pPr>
              <w:widowControl/>
              <w:jc w:val="center"/>
              <w:rPr>
                <w:color w:val="000000"/>
                <w:kern w:val="0"/>
                <w:szCs w:val="24"/>
              </w:rPr>
            </w:pPr>
            <w:r w:rsidRPr="00F95442">
              <w:rPr>
                <w:color w:val="000000"/>
                <w:kern w:val="0"/>
                <w:szCs w:val="24"/>
              </w:rPr>
              <w:t>3,295</w:t>
            </w:r>
          </w:p>
        </w:tc>
        <w:tc>
          <w:tcPr>
            <w:tcW w:w="1945" w:type="dxa"/>
            <w:shd w:val="clear" w:color="auto" w:fill="auto"/>
            <w:vAlign w:val="center"/>
            <w:hideMark/>
          </w:tcPr>
          <w:p w:rsidR="00E13FA7" w:rsidRPr="00F95442" w:rsidRDefault="00E13FA7" w:rsidP="00864F92">
            <w:pPr>
              <w:widowControl/>
              <w:jc w:val="center"/>
              <w:rPr>
                <w:color w:val="000000"/>
                <w:kern w:val="0"/>
                <w:szCs w:val="24"/>
              </w:rPr>
            </w:pPr>
            <w:r w:rsidRPr="00F95442">
              <w:rPr>
                <w:color w:val="000000"/>
                <w:kern w:val="0"/>
                <w:szCs w:val="24"/>
              </w:rPr>
              <w:t>3,971</w:t>
            </w:r>
          </w:p>
        </w:tc>
        <w:tc>
          <w:tcPr>
            <w:tcW w:w="1946" w:type="dxa"/>
            <w:shd w:val="clear" w:color="auto" w:fill="auto"/>
            <w:vAlign w:val="center"/>
            <w:hideMark/>
          </w:tcPr>
          <w:p w:rsidR="00E13FA7" w:rsidRPr="00F95442" w:rsidRDefault="00E13FA7" w:rsidP="00864F92">
            <w:pPr>
              <w:widowControl/>
              <w:jc w:val="center"/>
              <w:rPr>
                <w:color w:val="000000"/>
                <w:kern w:val="0"/>
                <w:szCs w:val="24"/>
              </w:rPr>
            </w:pPr>
            <w:r w:rsidRPr="00F95442">
              <w:rPr>
                <w:color w:val="000000"/>
                <w:kern w:val="0"/>
                <w:szCs w:val="24"/>
              </w:rPr>
              <w:t>4,632</w:t>
            </w:r>
          </w:p>
        </w:tc>
        <w:tc>
          <w:tcPr>
            <w:tcW w:w="1945" w:type="dxa"/>
            <w:shd w:val="clear" w:color="auto" w:fill="auto"/>
            <w:noWrap/>
            <w:vAlign w:val="center"/>
            <w:hideMark/>
          </w:tcPr>
          <w:p w:rsidR="00E13FA7" w:rsidRPr="00F95442" w:rsidRDefault="00E13FA7" w:rsidP="00864F92">
            <w:pPr>
              <w:widowControl/>
              <w:jc w:val="center"/>
              <w:rPr>
                <w:color w:val="000000"/>
                <w:kern w:val="0"/>
                <w:szCs w:val="24"/>
              </w:rPr>
            </w:pPr>
            <w:r w:rsidRPr="00F95442">
              <w:rPr>
                <w:color w:val="000000"/>
                <w:kern w:val="0"/>
                <w:szCs w:val="24"/>
              </w:rPr>
              <w:t>68.19%</w:t>
            </w:r>
          </w:p>
        </w:tc>
        <w:tc>
          <w:tcPr>
            <w:tcW w:w="1945" w:type="dxa"/>
            <w:shd w:val="clear" w:color="auto" w:fill="auto"/>
            <w:noWrap/>
            <w:vAlign w:val="center"/>
            <w:hideMark/>
          </w:tcPr>
          <w:p w:rsidR="00E13FA7" w:rsidRPr="00F95442" w:rsidRDefault="00E13FA7" w:rsidP="00864F92">
            <w:pPr>
              <w:widowControl/>
              <w:jc w:val="center"/>
              <w:rPr>
                <w:color w:val="000000"/>
                <w:kern w:val="0"/>
                <w:szCs w:val="24"/>
              </w:rPr>
            </w:pPr>
            <w:r w:rsidRPr="00F95442">
              <w:rPr>
                <w:color w:val="000000"/>
                <w:kern w:val="0"/>
                <w:szCs w:val="24"/>
              </w:rPr>
              <w:t>71.14%</w:t>
            </w:r>
          </w:p>
        </w:tc>
      </w:tr>
      <w:tr w:rsidR="00E13FA7" w:rsidRPr="00F95442" w:rsidTr="00864F92">
        <w:trPr>
          <w:trHeight w:val="414"/>
        </w:trPr>
        <w:tc>
          <w:tcPr>
            <w:tcW w:w="1945" w:type="dxa"/>
            <w:shd w:val="clear" w:color="auto" w:fill="auto"/>
            <w:vAlign w:val="center"/>
            <w:hideMark/>
          </w:tcPr>
          <w:p w:rsidR="00E13FA7" w:rsidRPr="00F95442" w:rsidRDefault="00E13FA7" w:rsidP="00864F92">
            <w:pPr>
              <w:widowControl/>
              <w:jc w:val="center"/>
              <w:rPr>
                <w:color w:val="000000"/>
                <w:kern w:val="0"/>
                <w:szCs w:val="24"/>
              </w:rPr>
            </w:pPr>
            <w:r w:rsidRPr="00F95442">
              <w:rPr>
                <w:color w:val="000000"/>
                <w:kern w:val="0"/>
                <w:szCs w:val="24"/>
              </w:rPr>
              <w:t>102</w:t>
            </w:r>
          </w:p>
        </w:tc>
        <w:tc>
          <w:tcPr>
            <w:tcW w:w="1945" w:type="dxa"/>
            <w:shd w:val="clear" w:color="auto" w:fill="auto"/>
            <w:vAlign w:val="center"/>
            <w:hideMark/>
          </w:tcPr>
          <w:p w:rsidR="00E13FA7" w:rsidRPr="00F95442" w:rsidRDefault="00E13FA7" w:rsidP="00864F92">
            <w:pPr>
              <w:widowControl/>
              <w:jc w:val="center"/>
              <w:rPr>
                <w:color w:val="000000"/>
                <w:kern w:val="0"/>
                <w:szCs w:val="24"/>
              </w:rPr>
            </w:pPr>
            <w:r w:rsidRPr="00F95442">
              <w:rPr>
                <w:color w:val="000000"/>
                <w:kern w:val="0"/>
                <w:szCs w:val="24"/>
              </w:rPr>
              <w:t>2,424</w:t>
            </w:r>
          </w:p>
        </w:tc>
        <w:tc>
          <w:tcPr>
            <w:tcW w:w="1946" w:type="dxa"/>
            <w:shd w:val="clear" w:color="auto" w:fill="auto"/>
            <w:vAlign w:val="center"/>
            <w:hideMark/>
          </w:tcPr>
          <w:p w:rsidR="00E13FA7" w:rsidRPr="00F95442" w:rsidRDefault="00E13FA7" w:rsidP="00864F92">
            <w:pPr>
              <w:widowControl/>
              <w:jc w:val="center"/>
              <w:rPr>
                <w:color w:val="000000"/>
                <w:kern w:val="0"/>
                <w:szCs w:val="24"/>
              </w:rPr>
            </w:pPr>
            <w:r w:rsidRPr="00F95442">
              <w:rPr>
                <w:color w:val="000000"/>
                <w:kern w:val="0"/>
                <w:szCs w:val="24"/>
              </w:rPr>
              <w:t>2,993</w:t>
            </w:r>
          </w:p>
        </w:tc>
        <w:tc>
          <w:tcPr>
            <w:tcW w:w="1945" w:type="dxa"/>
            <w:shd w:val="clear" w:color="auto" w:fill="auto"/>
            <w:vAlign w:val="center"/>
            <w:hideMark/>
          </w:tcPr>
          <w:p w:rsidR="00E13FA7" w:rsidRPr="00F95442" w:rsidRDefault="00E13FA7" w:rsidP="00864F92">
            <w:pPr>
              <w:widowControl/>
              <w:jc w:val="center"/>
              <w:rPr>
                <w:color w:val="000000"/>
                <w:kern w:val="0"/>
                <w:szCs w:val="24"/>
              </w:rPr>
            </w:pPr>
            <w:r w:rsidRPr="00F95442">
              <w:rPr>
                <w:color w:val="000000"/>
                <w:kern w:val="0"/>
                <w:szCs w:val="24"/>
              </w:rPr>
              <w:t>3,923</w:t>
            </w:r>
          </w:p>
        </w:tc>
        <w:tc>
          <w:tcPr>
            <w:tcW w:w="1946" w:type="dxa"/>
            <w:shd w:val="clear" w:color="auto" w:fill="auto"/>
            <w:vAlign w:val="center"/>
            <w:hideMark/>
          </w:tcPr>
          <w:p w:rsidR="00E13FA7" w:rsidRPr="00F95442" w:rsidRDefault="00E13FA7" w:rsidP="00864F92">
            <w:pPr>
              <w:widowControl/>
              <w:jc w:val="center"/>
              <w:rPr>
                <w:color w:val="000000"/>
                <w:kern w:val="0"/>
                <w:szCs w:val="24"/>
              </w:rPr>
            </w:pPr>
            <w:r w:rsidRPr="00F95442">
              <w:rPr>
                <w:color w:val="000000"/>
                <w:kern w:val="0"/>
                <w:szCs w:val="24"/>
              </w:rPr>
              <w:t>5,822</w:t>
            </w:r>
          </w:p>
        </w:tc>
        <w:tc>
          <w:tcPr>
            <w:tcW w:w="1945" w:type="dxa"/>
            <w:shd w:val="clear" w:color="auto" w:fill="auto"/>
            <w:noWrap/>
            <w:vAlign w:val="center"/>
            <w:hideMark/>
          </w:tcPr>
          <w:p w:rsidR="00E13FA7" w:rsidRPr="00F95442" w:rsidRDefault="00E13FA7" w:rsidP="00864F92">
            <w:pPr>
              <w:widowControl/>
              <w:jc w:val="center"/>
              <w:rPr>
                <w:color w:val="000000"/>
                <w:kern w:val="0"/>
                <w:szCs w:val="24"/>
              </w:rPr>
            </w:pPr>
            <w:r w:rsidRPr="00F95442">
              <w:rPr>
                <w:color w:val="000000"/>
                <w:kern w:val="0"/>
                <w:szCs w:val="24"/>
              </w:rPr>
              <w:t>61.79%</w:t>
            </w:r>
          </w:p>
        </w:tc>
        <w:tc>
          <w:tcPr>
            <w:tcW w:w="1945" w:type="dxa"/>
            <w:shd w:val="clear" w:color="auto" w:fill="auto"/>
            <w:noWrap/>
            <w:vAlign w:val="center"/>
            <w:hideMark/>
          </w:tcPr>
          <w:p w:rsidR="00E13FA7" w:rsidRPr="00F95442" w:rsidRDefault="00E13FA7" w:rsidP="00864F92">
            <w:pPr>
              <w:widowControl/>
              <w:jc w:val="center"/>
              <w:rPr>
                <w:color w:val="000000"/>
                <w:kern w:val="0"/>
                <w:szCs w:val="24"/>
              </w:rPr>
            </w:pPr>
            <w:r w:rsidRPr="00F95442">
              <w:rPr>
                <w:color w:val="000000"/>
                <w:kern w:val="0"/>
                <w:szCs w:val="24"/>
              </w:rPr>
              <w:t>51.41%</w:t>
            </w:r>
          </w:p>
        </w:tc>
      </w:tr>
      <w:tr w:rsidR="00E13FA7" w:rsidRPr="00F95442" w:rsidTr="00864F92">
        <w:trPr>
          <w:trHeight w:val="414"/>
        </w:trPr>
        <w:tc>
          <w:tcPr>
            <w:tcW w:w="1945" w:type="dxa"/>
            <w:shd w:val="clear" w:color="auto" w:fill="auto"/>
            <w:vAlign w:val="center"/>
            <w:hideMark/>
          </w:tcPr>
          <w:p w:rsidR="00E13FA7" w:rsidRPr="00F95442" w:rsidRDefault="00E13FA7" w:rsidP="00864F92">
            <w:pPr>
              <w:widowControl/>
              <w:jc w:val="center"/>
              <w:rPr>
                <w:color w:val="000000"/>
                <w:kern w:val="0"/>
                <w:szCs w:val="24"/>
              </w:rPr>
            </w:pPr>
            <w:r w:rsidRPr="00F95442">
              <w:rPr>
                <w:color w:val="000000"/>
                <w:kern w:val="0"/>
                <w:szCs w:val="24"/>
              </w:rPr>
              <w:t>103</w:t>
            </w:r>
          </w:p>
        </w:tc>
        <w:tc>
          <w:tcPr>
            <w:tcW w:w="1945" w:type="dxa"/>
            <w:shd w:val="clear" w:color="auto" w:fill="auto"/>
            <w:vAlign w:val="center"/>
            <w:hideMark/>
          </w:tcPr>
          <w:p w:rsidR="00E13FA7" w:rsidRPr="00F95442" w:rsidRDefault="00E13FA7" w:rsidP="00864F92">
            <w:pPr>
              <w:widowControl/>
              <w:jc w:val="center"/>
              <w:rPr>
                <w:color w:val="000000"/>
                <w:kern w:val="0"/>
                <w:szCs w:val="24"/>
              </w:rPr>
            </w:pPr>
            <w:r w:rsidRPr="00F95442">
              <w:rPr>
                <w:color w:val="000000"/>
                <w:kern w:val="0"/>
                <w:szCs w:val="24"/>
              </w:rPr>
              <w:t>2,680</w:t>
            </w:r>
          </w:p>
        </w:tc>
        <w:tc>
          <w:tcPr>
            <w:tcW w:w="1946" w:type="dxa"/>
            <w:shd w:val="clear" w:color="auto" w:fill="auto"/>
            <w:vAlign w:val="center"/>
            <w:hideMark/>
          </w:tcPr>
          <w:p w:rsidR="00E13FA7" w:rsidRPr="00F95442" w:rsidRDefault="00E13FA7" w:rsidP="00864F92">
            <w:pPr>
              <w:widowControl/>
              <w:jc w:val="center"/>
              <w:rPr>
                <w:color w:val="000000"/>
                <w:kern w:val="0"/>
                <w:szCs w:val="24"/>
              </w:rPr>
            </w:pPr>
            <w:r w:rsidRPr="00F95442">
              <w:rPr>
                <w:color w:val="000000"/>
                <w:kern w:val="0"/>
                <w:szCs w:val="24"/>
              </w:rPr>
              <w:t>3,223</w:t>
            </w:r>
          </w:p>
        </w:tc>
        <w:tc>
          <w:tcPr>
            <w:tcW w:w="1945" w:type="dxa"/>
            <w:shd w:val="clear" w:color="auto" w:fill="auto"/>
            <w:vAlign w:val="center"/>
            <w:hideMark/>
          </w:tcPr>
          <w:p w:rsidR="00E13FA7" w:rsidRPr="00F95442" w:rsidRDefault="00E13FA7" w:rsidP="00864F92">
            <w:pPr>
              <w:widowControl/>
              <w:jc w:val="center"/>
              <w:rPr>
                <w:color w:val="000000"/>
                <w:kern w:val="0"/>
                <w:szCs w:val="24"/>
              </w:rPr>
            </w:pPr>
            <w:r w:rsidRPr="00F95442">
              <w:rPr>
                <w:color w:val="000000"/>
                <w:kern w:val="0"/>
                <w:szCs w:val="24"/>
              </w:rPr>
              <w:t>4,720</w:t>
            </w:r>
          </w:p>
        </w:tc>
        <w:tc>
          <w:tcPr>
            <w:tcW w:w="1946" w:type="dxa"/>
            <w:shd w:val="clear" w:color="auto" w:fill="auto"/>
            <w:vAlign w:val="center"/>
            <w:hideMark/>
          </w:tcPr>
          <w:p w:rsidR="00E13FA7" w:rsidRPr="00F95442" w:rsidRDefault="00E13FA7" w:rsidP="00864F92">
            <w:pPr>
              <w:widowControl/>
              <w:jc w:val="center"/>
              <w:rPr>
                <w:color w:val="000000"/>
                <w:kern w:val="0"/>
                <w:szCs w:val="24"/>
              </w:rPr>
            </w:pPr>
            <w:r w:rsidRPr="00F95442">
              <w:rPr>
                <w:color w:val="000000"/>
                <w:kern w:val="0"/>
                <w:szCs w:val="24"/>
              </w:rPr>
              <w:t>6,682</w:t>
            </w:r>
          </w:p>
        </w:tc>
        <w:tc>
          <w:tcPr>
            <w:tcW w:w="1945" w:type="dxa"/>
            <w:shd w:val="clear" w:color="auto" w:fill="auto"/>
            <w:noWrap/>
            <w:vAlign w:val="center"/>
            <w:hideMark/>
          </w:tcPr>
          <w:p w:rsidR="00E13FA7" w:rsidRPr="00F95442" w:rsidRDefault="00E13FA7" w:rsidP="00864F92">
            <w:pPr>
              <w:widowControl/>
              <w:jc w:val="center"/>
              <w:rPr>
                <w:color w:val="000000"/>
                <w:kern w:val="0"/>
                <w:szCs w:val="24"/>
              </w:rPr>
            </w:pPr>
            <w:r w:rsidRPr="00F95442">
              <w:rPr>
                <w:color w:val="000000"/>
                <w:kern w:val="0"/>
                <w:szCs w:val="24"/>
              </w:rPr>
              <w:t>56.78%</w:t>
            </w:r>
          </w:p>
        </w:tc>
        <w:tc>
          <w:tcPr>
            <w:tcW w:w="1945" w:type="dxa"/>
            <w:shd w:val="clear" w:color="auto" w:fill="auto"/>
            <w:noWrap/>
            <w:vAlign w:val="center"/>
            <w:hideMark/>
          </w:tcPr>
          <w:p w:rsidR="00E13FA7" w:rsidRPr="00F95442" w:rsidRDefault="00E13FA7" w:rsidP="00864F92">
            <w:pPr>
              <w:widowControl/>
              <w:jc w:val="center"/>
              <w:rPr>
                <w:color w:val="000000"/>
                <w:kern w:val="0"/>
                <w:szCs w:val="24"/>
              </w:rPr>
            </w:pPr>
            <w:r w:rsidRPr="00F95442">
              <w:rPr>
                <w:color w:val="000000"/>
                <w:kern w:val="0"/>
                <w:szCs w:val="24"/>
              </w:rPr>
              <w:t>48.23%</w:t>
            </w:r>
          </w:p>
        </w:tc>
      </w:tr>
      <w:tr w:rsidR="00E13FA7" w:rsidRPr="00F95442" w:rsidTr="00864F92">
        <w:trPr>
          <w:trHeight w:val="414"/>
        </w:trPr>
        <w:tc>
          <w:tcPr>
            <w:tcW w:w="1945" w:type="dxa"/>
            <w:tcBorders>
              <w:bottom w:val="nil"/>
            </w:tcBorders>
            <w:shd w:val="clear" w:color="auto" w:fill="auto"/>
            <w:vAlign w:val="center"/>
            <w:hideMark/>
          </w:tcPr>
          <w:p w:rsidR="00E13FA7" w:rsidRPr="00F95442" w:rsidRDefault="00E13FA7" w:rsidP="00864F92">
            <w:pPr>
              <w:widowControl/>
              <w:jc w:val="center"/>
              <w:rPr>
                <w:color w:val="000000"/>
                <w:kern w:val="0"/>
                <w:szCs w:val="24"/>
              </w:rPr>
            </w:pPr>
            <w:r w:rsidRPr="00F95442">
              <w:rPr>
                <w:color w:val="000000"/>
                <w:kern w:val="0"/>
                <w:szCs w:val="24"/>
              </w:rPr>
              <w:t>104</w:t>
            </w:r>
          </w:p>
        </w:tc>
        <w:tc>
          <w:tcPr>
            <w:tcW w:w="1945" w:type="dxa"/>
            <w:tcBorders>
              <w:bottom w:val="nil"/>
            </w:tcBorders>
            <w:shd w:val="clear" w:color="auto" w:fill="auto"/>
            <w:vAlign w:val="center"/>
            <w:hideMark/>
          </w:tcPr>
          <w:p w:rsidR="00E13FA7" w:rsidRPr="00F95442" w:rsidRDefault="00E13FA7" w:rsidP="00864F92">
            <w:pPr>
              <w:widowControl/>
              <w:jc w:val="center"/>
              <w:rPr>
                <w:color w:val="000000"/>
                <w:kern w:val="0"/>
                <w:szCs w:val="24"/>
              </w:rPr>
            </w:pPr>
            <w:r w:rsidRPr="00F95442">
              <w:rPr>
                <w:color w:val="000000"/>
                <w:kern w:val="0"/>
                <w:szCs w:val="24"/>
              </w:rPr>
              <w:t>3,155</w:t>
            </w:r>
          </w:p>
        </w:tc>
        <w:tc>
          <w:tcPr>
            <w:tcW w:w="1946" w:type="dxa"/>
            <w:tcBorders>
              <w:bottom w:val="nil"/>
            </w:tcBorders>
            <w:shd w:val="clear" w:color="auto" w:fill="auto"/>
            <w:vAlign w:val="center"/>
            <w:hideMark/>
          </w:tcPr>
          <w:p w:rsidR="00E13FA7" w:rsidRPr="00F95442" w:rsidRDefault="00E13FA7" w:rsidP="00864F92">
            <w:pPr>
              <w:widowControl/>
              <w:jc w:val="center"/>
              <w:rPr>
                <w:color w:val="000000"/>
                <w:kern w:val="0"/>
                <w:szCs w:val="24"/>
              </w:rPr>
            </w:pPr>
            <w:r w:rsidRPr="00F95442">
              <w:rPr>
                <w:color w:val="000000"/>
                <w:kern w:val="0"/>
                <w:szCs w:val="24"/>
              </w:rPr>
              <w:t>3,778</w:t>
            </w:r>
          </w:p>
        </w:tc>
        <w:tc>
          <w:tcPr>
            <w:tcW w:w="1945" w:type="dxa"/>
            <w:tcBorders>
              <w:bottom w:val="nil"/>
            </w:tcBorders>
            <w:shd w:val="clear" w:color="auto" w:fill="auto"/>
            <w:vAlign w:val="center"/>
            <w:hideMark/>
          </w:tcPr>
          <w:p w:rsidR="00E13FA7" w:rsidRPr="00F95442" w:rsidRDefault="00E13FA7" w:rsidP="00864F92">
            <w:pPr>
              <w:widowControl/>
              <w:jc w:val="center"/>
              <w:rPr>
                <w:color w:val="000000"/>
                <w:kern w:val="0"/>
                <w:szCs w:val="24"/>
              </w:rPr>
            </w:pPr>
            <w:r w:rsidRPr="00F95442">
              <w:rPr>
                <w:color w:val="000000"/>
                <w:kern w:val="0"/>
                <w:szCs w:val="24"/>
              </w:rPr>
              <w:t>5,153</w:t>
            </w:r>
          </w:p>
        </w:tc>
        <w:tc>
          <w:tcPr>
            <w:tcW w:w="1946" w:type="dxa"/>
            <w:tcBorders>
              <w:bottom w:val="nil"/>
            </w:tcBorders>
            <w:shd w:val="clear" w:color="auto" w:fill="auto"/>
            <w:vAlign w:val="center"/>
            <w:hideMark/>
          </w:tcPr>
          <w:p w:rsidR="00E13FA7" w:rsidRPr="00F95442" w:rsidRDefault="00E13FA7" w:rsidP="00864F92">
            <w:pPr>
              <w:widowControl/>
              <w:jc w:val="center"/>
              <w:rPr>
                <w:color w:val="000000"/>
                <w:kern w:val="0"/>
                <w:szCs w:val="24"/>
              </w:rPr>
            </w:pPr>
            <w:r w:rsidRPr="00F95442">
              <w:rPr>
                <w:color w:val="000000"/>
                <w:kern w:val="0"/>
                <w:szCs w:val="24"/>
              </w:rPr>
              <w:t>7,315</w:t>
            </w:r>
          </w:p>
        </w:tc>
        <w:tc>
          <w:tcPr>
            <w:tcW w:w="1945" w:type="dxa"/>
            <w:tcBorders>
              <w:bottom w:val="nil"/>
            </w:tcBorders>
            <w:shd w:val="clear" w:color="auto" w:fill="auto"/>
            <w:noWrap/>
            <w:vAlign w:val="center"/>
            <w:hideMark/>
          </w:tcPr>
          <w:p w:rsidR="00E13FA7" w:rsidRPr="00F95442" w:rsidRDefault="00E13FA7" w:rsidP="00864F92">
            <w:pPr>
              <w:widowControl/>
              <w:jc w:val="center"/>
              <w:rPr>
                <w:color w:val="000000"/>
                <w:kern w:val="0"/>
                <w:szCs w:val="24"/>
              </w:rPr>
            </w:pPr>
            <w:r w:rsidRPr="00F95442">
              <w:rPr>
                <w:color w:val="000000"/>
                <w:kern w:val="0"/>
                <w:szCs w:val="24"/>
              </w:rPr>
              <w:t>61.23%</w:t>
            </w:r>
          </w:p>
        </w:tc>
        <w:tc>
          <w:tcPr>
            <w:tcW w:w="1945" w:type="dxa"/>
            <w:tcBorders>
              <w:bottom w:val="nil"/>
            </w:tcBorders>
            <w:shd w:val="clear" w:color="auto" w:fill="auto"/>
            <w:noWrap/>
            <w:vAlign w:val="center"/>
            <w:hideMark/>
          </w:tcPr>
          <w:p w:rsidR="00E13FA7" w:rsidRPr="00F95442" w:rsidRDefault="00E13FA7" w:rsidP="00864F92">
            <w:pPr>
              <w:widowControl/>
              <w:jc w:val="center"/>
              <w:rPr>
                <w:color w:val="000000"/>
                <w:kern w:val="0"/>
                <w:szCs w:val="24"/>
              </w:rPr>
            </w:pPr>
            <w:r w:rsidRPr="00F95442">
              <w:rPr>
                <w:color w:val="000000"/>
                <w:kern w:val="0"/>
                <w:szCs w:val="24"/>
              </w:rPr>
              <w:t>51.65%</w:t>
            </w:r>
          </w:p>
        </w:tc>
      </w:tr>
      <w:tr w:rsidR="00E13FA7" w:rsidRPr="00F95442" w:rsidTr="00864F92">
        <w:trPr>
          <w:trHeight w:val="414"/>
        </w:trPr>
        <w:tc>
          <w:tcPr>
            <w:tcW w:w="1945" w:type="dxa"/>
            <w:tcBorders>
              <w:top w:val="nil"/>
              <w:bottom w:val="single" w:sz="4" w:space="0" w:color="auto"/>
            </w:tcBorders>
            <w:shd w:val="clear" w:color="auto" w:fill="auto"/>
            <w:vAlign w:val="center"/>
            <w:hideMark/>
          </w:tcPr>
          <w:p w:rsidR="00E13FA7" w:rsidRPr="00F95442" w:rsidRDefault="00E13FA7" w:rsidP="00864F92">
            <w:pPr>
              <w:widowControl/>
              <w:jc w:val="center"/>
              <w:rPr>
                <w:color w:val="000000"/>
                <w:kern w:val="0"/>
                <w:szCs w:val="24"/>
              </w:rPr>
            </w:pPr>
            <w:r w:rsidRPr="00F95442">
              <w:rPr>
                <w:color w:val="000000"/>
                <w:kern w:val="0"/>
                <w:szCs w:val="24"/>
              </w:rPr>
              <w:t>105</w:t>
            </w:r>
          </w:p>
        </w:tc>
        <w:tc>
          <w:tcPr>
            <w:tcW w:w="1945" w:type="dxa"/>
            <w:tcBorders>
              <w:top w:val="nil"/>
              <w:bottom w:val="single" w:sz="4" w:space="0" w:color="auto"/>
            </w:tcBorders>
            <w:shd w:val="clear" w:color="auto" w:fill="auto"/>
            <w:vAlign w:val="center"/>
            <w:hideMark/>
          </w:tcPr>
          <w:p w:rsidR="00E13FA7" w:rsidRPr="00F95442" w:rsidRDefault="00E13FA7" w:rsidP="00864F92">
            <w:pPr>
              <w:widowControl/>
              <w:jc w:val="center"/>
              <w:rPr>
                <w:color w:val="000000"/>
                <w:kern w:val="0"/>
                <w:szCs w:val="24"/>
              </w:rPr>
            </w:pPr>
            <w:r w:rsidRPr="00F95442">
              <w:rPr>
                <w:color w:val="000000"/>
                <w:kern w:val="0"/>
                <w:szCs w:val="24"/>
              </w:rPr>
              <w:t>2,727</w:t>
            </w:r>
          </w:p>
        </w:tc>
        <w:tc>
          <w:tcPr>
            <w:tcW w:w="1946" w:type="dxa"/>
            <w:tcBorders>
              <w:top w:val="nil"/>
              <w:bottom w:val="single" w:sz="4" w:space="0" w:color="auto"/>
            </w:tcBorders>
            <w:shd w:val="clear" w:color="auto" w:fill="auto"/>
            <w:vAlign w:val="center"/>
            <w:hideMark/>
          </w:tcPr>
          <w:p w:rsidR="00E13FA7" w:rsidRPr="00F95442" w:rsidRDefault="00E13FA7" w:rsidP="00864F92">
            <w:pPr>
              <w:widowControl/>
              <w:jc w:val="center"/>
              <w:rPr>
                <w:color w:val="000000"/>
                <w:kern w:val="0"/>
                <w:szCs w:val="24"/>
              </w:rPr>
            </w:pPr>
            <w:r w:rsidRPr="00F95442">
              <w:rPr>
                <w:color w:val="000000"/>
                <w:kern w:val="0"/>
                <w:szCs w:val="24"/>
              </w:rPr>
              <w:t>3,341</w:t>
            </w:r>
          </w:p>
        </w:tc>
        <w:tc>
          <w:tcPr>
            <w:tcW w:w="1945" w:type="dxa"/>
            <w:tcBorders>
              <w:top w:val="nil"/>
              <w:bottom w:val="single" w:sz="4" w:space="0" w:color="auto"/>
            </w:tcBorders>
            <w:shd w:val="clear" w:color="auto" w:fill="auto"/>
            <w:vAlign w:val="center"/>
            <w:hideMark/>
          </w:tcPr>
          <w:p w:rsidR="00E13FA7" w:rsidRPr="00F95442" w:rsidRDefault="00E13FA7" w:rsidP="00864F92">
            <w:pPr>
              <w:widowControl/>
              <w:jc w:val="center"/>
              <w:rPr>
                <w:color w:val="000000"/>
                <w:kern w:val="0"/>
                <w:szCs w:val="24"/>
              </w:rPr>
            </w:pPr>
            <w:r w:rsidRPr="00F95442">
              <w:rPr>
                <w:color w:val="000000"/>
                <w:kern w:val="0"/>
                <w:szCs w:val="24"/>
              </w:rPr>
              <w:t>4,546</w:t>
            </w:r>
          </w:p>
        </w:tc>
        <w:tc>
          <w:tcPr>
            <w:tcW w:w="1946" w:type="dxa"/>
            <w:tcBorders>
              <w:top w:val="nil"/>
              <w:bottom w:val="single" w:sz="4" w:space="0" w:color="auto"/>
            </w:tcBorders>
            <w:shd w:val="clear" w:color="auto" w:fill="auto"/>
            <w:vAlign w:val="center"/>
            <w:hideMark/>
          </w:tcPr>
          <w:p w:rsidR="00E13FA7" w:rsidRPr="00F95442" w:rsidRDefault="00E13FA7" w:rsidP="00864F92">
            <w:pPr>
              <w:widowControl/>
              <w:jc w:val="center"/>
              <w:rPr>
                <w:color w:val="000000"/>
                <w:kern w:val="0"/>
                <w:szCs w:val="24"/>
              </w:rPr>
            </w:pPr>
            <w:r w:rsidRPr="00F95442">
              <w:rPr>
                <w:color w:val="000000"/>
                <w:kern w:val="0"/>
                <w:szCs w:val="24"/>
              </w:rPr>
              <w:t>6,609</w:t>
            </w:r>
          </w:p>
        </w:tc>
        <w:tc>
          <w:tcPr>
            <w:tcW w:w="1945" w:type="dxa"/>
            <w:tcBorders>
              <w:top w:val="nil"/>
              <w:bottom w:val="single" w:sz="4" w:space="0" w:color="auto"/>
            </w:tcBorders>
            <w:shd w:val="clear" w:color="auto" w:fill="auto"/>
            <w:noWrap/>
            <w:vAlign w:val="center"/>
            <w:hideMark/>
          </w:tcPr>
          <w:p w:rsidR="00E13FA7" w:rsidRPr="00F95442" w:rsidRDefault="00E13FA7" w:rsidP="00864F92">
            <w:pPr>
              <w:widowControl/>
              <w:jc w:val="center"/>
              <w:rPr>
                <w:color w:val="000000"/>
                <w:kern w:val="0"/>
                <w:szCs w:val="24"/>
              </w:rPr>
            </w:pPr>
            <w:r w:rsidRPr="00F95442">
              <w:rPr>
                <w:color w:val="000000"/>
                <w:kern w:val="0"/>
                <w:szCs w:val="24"/>
              </w:rPr>
              <w:t>59.99%</w:t>
            </w:r>
          </w:p>
        </w:tc>
        <w:tc>
          <w:tcPr>
            <w:tcW w:w="1945" w:type="dxa"/>
            <w:tcBorders>
              <w:top w:val="nil"/>
              <w:bottom w:val="single" w:sz="4" w:space="0" w:color="auto"/>
            </w:tcBorders>
            <w:shd w:val="clear" w:color="auto" w:fill="auto"/>
            <w:noWrap/>
            <w:vAlign w:val="center"/>
            <w:hideMark/>
          </w:tcPr>
          <w:p w:rsidR="00E13FA7" w:rsidRPr="00F95442" w:rsidRDefault="00E13FA7" w:rsidP="00864F92">
            <w:pPr>
              <w:widowControl/>
              <w:jc w:val="center"/>
              <w:rPr>
                <w:color w:val="000000"/>
                <w:kern w:val="0"/>
                <w:szCs w:val="24"/>
              </w:rPr>
            </w:pPr>
            <w:r w:rsidRPr="00F95442">
              <w:rPr>
                <w:color w:val="000000"/>
                <w:kern w:val="0"/>
                <w:szCs w:val="24"/>
              </w:rPr>
              <w:t>50.55%</w:t>
            </w:r>
          </w:p>
        </w:tc>
      </w:tr>
      <w:tr w:rsidR="00E13FA7" w:rsidRPr="00F95442" w:rsidTr="00864F92">
        <w:trPr>
          <w:trHeight w:val="414"/>
        </w:trPr>
        <w:tc>
          <w:tcPr>
            <w:tcW w:w="1945" w:type="dxa"/>
            <w:tcBorders>
              <w:top w:val="single" w:sz="4" w:space="0" w:color="auto"/>
            </w:tcBorders>
            <w:shd w:val="clear" w:color="auto" w:fill="auto"/>
            <w:noWrap/>
            <w:vAlign w:val="center"/>
            <w:hideMark/>
          </w:tcPr>
          <w:p w:rsidR="00E13FA7" w:rsidRPr="00F95442" w:rsidRDefault="00E13FA7" w:rsidP="00864F92">
            <w:pPr>
              <w:widowControl/>
              <w:jc w:val="center"/>
              <w:rPr>
                <w:color w:val="000000"/>
                <w:kern w:val="0"/>
                <w:szCs w:val="24"/>
              </w:rPr>
            </w:pPr>
            <w:r w:rsidRPr="00F95442">
              <w:rPr>
                <w:rFonts w:ascii="標楷體" w:hAnsi="標楷體" w:hint="eastAsia"/>
                <w:color w:val="000000"/>
                <w:kern w:val="0"/>
                <w:szCs w:val="24"/>
              </w:rPr>
              <w:t>小計</w:t>
            </w:r>
          </w:p>
        </w:tc>
        <w:tc>
          <w:tcPr>
            <w:tcW w:w="1945" w:type="dxa"/>
            <w:tcBorders>
              <w:top w:val="single" w:sz="4" w:space="0" w:color="auto"/>
            </w:tcBorders>
            <w:shd w:val="clear" w:color="auto" w:fill="auto"/>
            <w:noWrap/>
            <w:vAlign w:val="center"/>
            <w:hideMark/>
          </w:tcPr>
          <w:p w:rsidR="00E13FA7" w:rsidRPr="00F95442" w:rsidRDefault="00E13FA7" w:rsidP="00864F92">
            <w:pPr>
              <w:widowControl/>
              <w:jc w:val="center"/>
              <w:rPr>
                <w:color w:val="000000"/>
                <w:kern w:val="0"/>
                <w:szCs w:val="24"/>
              </w:rPr>
            </w:pPr>
            <w:r w:rsidRPr="00F95442">
              <w:rPr>
                <w:color w:val="000000"/>
                <w:kern w:val="0"/>
                <w:szCs w:val="24"/>
              </w:rPr>
              <w:t>23,245</w:t>
            </w:r>
          </w:p>
        </w:tc>
        <w:tc>
          <w:tcPr>
            <w:tcW w:w="1946" w:type="dxa"/>
            <w:tcBorders>
              <w:top w:val="single" w:sz="4" w:space="0" w:color="auto"/>
            </w:tcBorders>
            <w:shd w:val="clear" w:color="auto" w:fill="auto"/>
            <w:noWrap/>
            <w:vAlign w:val="center"/>
            <w:hideMark/>
          </w:tcPr>
          <w:p w:rsidR="00E13FA7" w:rsidRPr="00F95442" w:rsidRDefault="00E13FA7" w:rsidP="00864F92">
            <w:pPr>
              <w:widowControl/>
              <w:jc w:val="center"/>
              <w:rPr>
                <w:color w:val="000000"/>
                <w:kern w:val="0"/>
                <w:szCs w:val="24"/>
              </w:rPr>
            </w:pPr>
            <w:r w:rsidRPr="00F95442">
              <w:rPr>
                <w:color w:val="000000"/>
                <w:kern w:val="0"/>
                <w:szCs w:val="24"/>
              </w:rPr>
              <w:t>28,653</w:t>
            </w:r>
          </w:p>
        </w:tc>
        <w:tc>
          <w:tcPr>
            <w:tcW w:w="1945" w:type="dxa"/>
            <w:tcBorders>
              <w:top w:val="single" w:sz="4" w:space="0" w:color="auto"/>
            </w:tcBorders>
            <w:shd w:val="clear" w:color="auto" w:fill="auto"/>
            <w:noWrap/>
            <w:vAlign w:val="center"/>
            <w:hideMark/>
          </w:tcPr>
          <w:p w:rsidR="00E13FA7" w:rsidRPr="00F95442" w:rsidRDefault="00E13FA7" w:rsidP="00864F92">
            <w:pPr>
              <w:widowControl/>
              <w:jc w:val="center"/>
              <w:rPr>
                <w:color w:val="000000"/>
                <w:kern w:val="0"/>
                <w:szCs w:val="24"/>
              </w:rPr>
            </w:pPr>
            <w:r w:rsidRPr="00F95442">
              <w:rPr>
                <w:color w:val="000000"/>
                <w:kern w:val="0"/>
                <w:szCs w:val="24"/>
              </w:rPr>
              <w:t>41,696</w:t>
            </w:r>
          </w:p>
        </w:tc>
        <w:tc>
          <w:tcPr>
            <w:tcW w:w="1946" w:type="dxa"/>
            <w:tcBorders>
              <w:top w:val="single" w:sz="4" w:space="0" w:color="auto"/>
            </w:tcBorders>
            <w:shd w:val="clear" w:color="auto" w:fill="auto"/>
            <w:noWrap/>
            <w:vAlign w:val="center"/>
            <w:hideMark/>
          </w:tcPr>
          <w:p w:rsidR="00E13FA7" w:rsidRPr="00F95442" w:rsidRDefault="00E13FA7" w:rsidP="00864F92">
            <w:pPr>
              <w:widowControl/>
              <w:jc w:val="center"/>
              <w:rPr>
                <w:color w:val="000000"/>
                <w:kern w:val="0"/>
                <w:szCs w:val="24"/>
              </w:rPr>
            </w:pPr>
            <w:r w:rsidRPr="00F95442">
              <w:rPr>
                <w:color w:val="000000"/>
                <w:kern w:val="0"/>
                <w:szCs w:val="24"/>
              </w:rPr>
              <w:t>59,413</w:t>
            </w:r>
          </w:p>
        </w:tc>
        <w:tc>
          <w:tcPr>
            <w:tcW w:w="1945" w:type="dxa"/>
            <w:tcBorders>
              <w:top w:val="single" w:sz="4" w:space="0" w:color="auto"/>
            </w:tcBorders>
            <w:shd w:val="clear" w:color="auto" w:fill="auto"/>
            <w:noWrap/>
            <w:vAlign w:val="center"/>
            <w:hideMark/>
          </w:tcPr>
          <w:p w:rsidR="00E13FA7" w:rsidRPr="00F95442" w:rsidRDefault="00E13FA7" w:rsidP="00864F92">
            <w:pPr>
              <w:widowControl/>
              <w:jc w:val="center"/>
              <w:rPr>
                <w:color w:val="000000"/>
                <w:kern w:val="0"/>
                <w:szCs w:val="24"/>
              </w:rPr>
            </w:pPr>
            <w:r w:rsidRPr="00F95442">
              <w:rPr>
                <w:color w:val="000000"/>
                <w:kern w:val="0"/>
                <w:szCs w:val="24"/>
              </w:rPr>
              <w:t>55.75%</w:t>
            </w:r>
          </w:p>
        </w:tc>
        <w:tc>
          <w:tcPr>
            <w:tcW w:w="1945" w:type="dxa"/>
            <w:tcBorders>
              <w:top w:val="single" w:sz="4" w:space="0" w:color="auto"/>
            </w:tcBorders>
            <w:shd w:val="clear" w:color="auto" w:fill="auto"/>
            <w:noWrap/>
            <w:vAlign w:val="center"/>
            <w:hideMark/>
          </w:tcPr>
          <w:p w:rsidR="00E13FA7" w:rsidRPr="00F95442" w:rsidRDefault="00E13FA7" w:rsidP="00864F92">
            <w:pPr>
              <w:widowControl/>
              <w:jc w:val="center"/>
              <w:rPr>
                <w:color w:val="000000"/>
                <w:kern w:val="0"/>
                <w:szCs w:val="24"/>
              </w:rPr>
            </w:pPr>
            <w:r w:rsidRPr="00F95442">
              <w:rPr>
                <w:color w:val="000000"/>
                <w:kern w:val="0"/>
                <w:szCs w:val="24"/>
              </w:rPr>
              <w:t>48.23%</w:t>
            </w:r>
          </w:p>
        </w:tc>
      </w:tr>
    </w:tbl>
    <w:p w:rsidR="00E13FA7" w:rsidRPr="00E13FA7" w:rsidRDefault="00E13FA7" w:rsidP="00E13FA7">
      <w:pPr>
        <w:pStyle w:val="af7"/>
        <w:ind w:leftChars="0" w:left="0"/>
        <w:jc w:val="both"/>
        <w:rPr>
          <w:color w:val="000000"/>
          <w:sz w:val="26"/>
          <w:szCs w:val="24"/>
        </w:rPr>
      </w:pPr>
      <w:r w:rsidRPr="00E13FA7">
        <w:rPr>
          <w:color w:val="000000"/>
          <w:sz w:val="26"/>
          <w:szCs w:val="24"/>
        </w:rPr>
        <w:lastRenderedPageBreak/>
        <w:t>備註：</w:t>
      </w:r>
      <w:r w:rsidRPr="00E13FA7">
        <w:rPr>
          <w:rFonts w:hint="eastAsia"/>
          <w:color w:val="000000"/>
          <w:sz w:val="26"/>
          <w:szCs w:val="24"/>
        </w:rPr>
        <w:t>自</w:t>
      </w:r>
      <w:r w:rsidRPr="00E13FA7">
        <w:rPr>
          <w:rFonts w:hint="eastAsia"/>
          <w:color w:val="000000"/>
          <w:sz w:val="26"/>
          <w:szCs w:val="24"/>
        </w:rPr>
        <w:t>103</w:t>
      </w:r>
      <w:r w:rsidRPr="00E13FA7">
        <w:rPr>
          <w:rFonts w:hint="eastAsia"/>
          <w:color w:val="000000"/>
          <w:sz w:val="26"/>
          <w:szCs w:val="24"/>
        </w:rPr>
        <w:t>年度起始有教學醫院核定「</w:t>
      </w:r>
      <w:r w:rsidRPr="00E13FA7">
        <w:rPr>
          <w:color w:val="000000"/>
          <w:sz w:val="26"/>
          <w:szCs w:val="24"/>
        </w:rPr>
        <w:t>語言治療</w:t>
      </w:r>
      <w:r w:rsidRPr="00E13FA7">
        <w:rPr>
          <w:rFonts w:hint="eastAsia"/>
          <w:color w:val="000000"/>
          <w:sz w:val="26"/>
          <w:szCs w:val="24"/>
        </w:rPr>
        <w:t>」</w:t>
      </w:r>
      <w:r w:rsidRPr="00E13FA7">
        <w:rPr>
          <w:color w:val="000000"/>
          <w:sz w:val="26"/>
          <w:szCs w:val="24"/>
        </w:rPr>
        <w:t>、</w:t>
      </w:r>
      <w:r w:rsidRPr="00E13FA7">
        <w:rPr>
          <w:rFonts w:hint="eastAsia"/>
          <w:color w:val="000000"/>
          <w:sz w:val="26"/>
          <w:szCs w:val="24"/>
        </w:rPr>
        <w:t>「</w:t>
      </w:r>
      <w:r w:rsidRPr="00E13FA7">
        <w:rPr>
          <w:color w:val="000000"/>
          <w:sz w:val="26"/>
          <w:szCs w:val="24"/>
        </w:rPr>
        <w:t>聽力</w:t>
      </w:r>
      <w:r w:rsidRPr="00E13FA7">
        <w:rPr>
          <w:rFonts w:hint="eastAsia"/>
          <w:color w:val="000000"/>
          <w:sz w:val="26"/>
          <w:szCs w:val="24"/>
        </w:rPr>
        <w:t>」</w:t>
      </w:r>
      <w:r w:rsidRPr="00E13FA7">
        <w:rPr>
          <w:color w:val="000000"/>
          <w:sz w:val="26"/>
          <w:szCs w:val="24"/>
        </w:rPr>
        <w:t>與</w:t>
      </w:r>
      <w:r w:rsidRPr="00E13FA7">
        <w:rPr>
          <w:rFonts w:hint="eastAsia"/>
          <w:color w:val="000000"/>
          <w:sz w:val="26"/>
          <w:szCs w:val="24"/>
        </w:rPr>
        <w:t>「</w:t>
      </w:r>
      <w:r w:rsidRPr="00E13FA7">
        <w:rPr>
          <w:color w:val="000000"/>
          <w:sz w:val="26"/>
          <w:szCs w:val="24"/>
        </w:rPr>
        <w:t>牙體技術</w:t>
      </w:r>
      <w:r w:rsidRPr="00E13FA7">
        <w:rPr>
          <w:rFonts w:hint="eastAsia"/>
          <w:color w:val="000000"/>
          <w:sz w:val="26"/>
          <w:szCs w:val="24"/>
        </w:rPr>
        <w:t>」</w:t>
      </w:r>
      <w:r w:rsidRPr="00E13FA7">
        <w:rPr>
          <w:color w:val="000000"/>
          <w:sz w:val="26"/>
          <w:szCs w:val="24"/>
        </w:rPr>
        <w:t>等</w:t>
      </w:r>
      <w:r w:rsidRPr="00E13FA7">
        <w:rPr>
          <w:color w:val="000000"/>
          <w:sz w:val="26"/>
          <w:szCs w:val="24"/>
        </w:rPr>
        <w:t>3</w:t>
      </w:r>
      <w:r w:rsidRPr="00E13FA7">
        <w:rPr>
          <w:color w:val="000000"/>
          <w:sz w:val="26"/>
          <w:szCs w:val="24"/>
        </w:rPr>
        <w:t>職類</w:t>
      </w:r>
      <w:r w:rsidRPr="00E13FA7">
        <w:rPr>
          <w:rFonts w:hint="eastAsia"/>
          <w:color w:val="000000"/>
          <w:sz w:val="26"/>
          <w:szCs w:val="24"/>
        </w:rPr>
        <w:t>訓練計畫。</w:t>
      </w:r>
    </w:p>
    <w:p w:rsidR="00E13FA7" w:rsidRPr="00E13FA7" w:rsidRDefault="00E13FA7" w:rsidP="00E13FA7">
      <w:pPr>
        <w:pStyle w:val="af7"/>
        <w:ind w:leftChars="0" w:left="0"/>
        <w:jc w:val="both"/>
        <w:rPr>
          <w:color w:val="000000"/>
          <w:sz w:val="24"/>
          <w:szCs w:val="24"/>
        </w:rPr>
      </w:pPr>
    </w:p>
    <w:p w:rsidR="00E13FA7" w:rsidRDefault="00E13FA7" w:rsidP="00E13FA7">
      <w:pPr>
        <w:pStyle w:val="af7"/>
        <w:ind w:leftChars="0" w:left="0"/>
        <w:jc w:val="both"/>
      </w:pPr>
      <w:r w:rsidRPr="007B09B1">
        <w:rPr>
          <w:rFonts w:hint="eastAsia"/>
          <w:color w:val="000000"/>
          <w:sz w:val="28"/>
          <w:szCs w:val="24"/>
        </w:rPr>
        <w:t>資料來源：衛福部</w:t>
      </w:r>
      <w:r>
        <w:br w:type="page"/>
      </w:r>
    </w:p>
    <w:p w:rsidR="005E5953" w:rsidRPr="006A0B36" w:rsidRDefault="005E5953" w:rsidP="00D85E1B">
      <w:r w:rsidRPr="006A0B36">
        <w:rPr>
          <w:rFonts w:hint="eastAsia"/>
        </w:rPr>
        <w:lastRenderedPageBreak/>
        <w:t>附表</w:t>
      </w:r>
      <w:r w:rsidR="003340CE">
        <w:rPr>
          <w:rFonts w:hint="eastAsia"/>
        </w:rPr>
        <w:t>3</w:t>
      </w:r>
    </w:p>
    <w:p w:rsidR="00C96101" w:rsidRPr="006A0B36" w:rsidRDefault="00C96101" w:rsidP="00D85E1B">
      <w:r w:rsidRPr="006A0B36">
        <w:rPr>
          <w:rFonts w:hint="eastAsia"/>
        </w:rPr>
        <w:t xml:space="preserve">          </w:t>
      </w:r>
      <w:r w:rsidR="00401FFE" w:rsidRPr="006A0B36">
        <w:rPr>
          <w:rFonts w:hint="eastAsia"/>
        </w:rPr>
        <w:t xml:space="preserve">   </w:t>
      </w:r>
      <w:r w:rsidRPr="006A0B36">
        <w:rPr>
          <w:rFonts w:hint="eastAsia"/>
        </w:rPr>
        <w:t xml:space="preserve">  </w:t>
      </w:r>
      <w:r w:rsidR="00D21A41" w:rsidRPr="006A0B36">
        <w:rPr>
          <w:rFonts w:hint="eastAsia"/>
          <w:szCs w:val="32"/>
        </w:rPr>
        <w:t>104</w:t>
      </w:r>
      <w:r w:rsidR="00D21A41" w:rsidRPr="006A0B36">
        <w:rPr>
          <w:rFonts w:hint="eastAsia"/>
          <w:szCs w:val="32"/>
        </w:rPr>
        <w:t>年及</w:t>
      </w:r>
      <w:r w:rsidR="00D21A41" w:rsidRPr="006A0B36">
        <w:rPr>
          <w:rFonts w:hAnsi="標楷體" w:hint="eastAsia"/>
          <w:szCs w:val="32"/>
        </w:rPr>
        <w:t>105</w:t>
      </w:r>
      <w:r w:rsidR="00D21A41" w:rsidRPr="006A0B36">
        <w:rPr>
          <w:rFonts w:hAnsi="標楷體" w:hint="eastAsia"/>
          <w:szCs w:val="32"/>
        </w:rPr>
        <w:t>年</w:t>
      </w:r>
      <w:r w:rsidR="00D21A41" w:rsidRPr="006A0B36">
        <w:rPr>
          <w:rFonts w:hint="eastAsia"/>
          <w:szCs w:val="32"/>
        </w:rPr>
        <w:t>之</w:t>
      </w:r>
      <w:r w:rsidR="00401FFE" w:rsidRPr="006A0B36">
        <w:rPr>
          <w:rFonts w:hint="eastAsia"/>
          <w:szCs w:val="32"/>
        </w:rPr>
        <w:t>14</w:t>
      </w:r>
      <w:r w:rsidR="00401FFE" w:rsidRPr="006A0B36">
        <w:rPr>
          <w:rFonts w:hint="eastAsia"/>
          <w:szCs w:val="32"/>
        </w:rPr>
        <w:t>類新進醫事人員執業登記人數統計表</w:t>
      </w:r>
    </w:p>
    <w:p w:rsidR="00CE6190" w:rsidRDefault="008C5D8A" w:rsidP="00D85E1B">
      <w:pPr>
        <w:rPr>
          <w:sz w:val="28"/>
          <w:szCs w:val="28"/>
        </w:rPr>
      </w:pPr>
      <w:r>
        <w:rPr>
          <w:noProof/>
        </w:rPr>
        <w:lastRenderedPageBreak/>
        <w:drawing>
          <wp:inline distT="0" distB="0" distL="0" distR="0" wp14:anchorId="778F9E04" wp14:editId="3EC24FEE">
            <wp:extent cx="8676168" cy="4274289"/>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8676168" cy="4274289"/>
                    </a:xfrm>
                    <a:prstGeom prst="rect">
                      <a:avLst/>
                    </a:prstGeom>
                  </pic:spPr>
                </pic:pic>
              </a:graphicData>
            </a:graphic>
          </wp:inline>
        </w:drawing>
      </w:r>
    </w:p>
    <w:p w:rsidR="00CE6190" w:rsidRPr="003E7F20" w:rsidRDefault="00CE6190" w:rsidP="00D85E1B">
      <w:pPr>
        <w:rPr>
          <w:sz w:val="18"/>
          <w:szCs w:val="18"/>
        </w:rPr>
      </w:pPr>
    </w:p>
    <w:p w:rsidR="00CE6190" w:rsidRDefault="003D55BA" w:rsidP="003E7F20">
      <w:r w:rsidRPr="006A0B36">
        <w:rPr>
          <w:rFonts w:hint="eastAsia"/>
          <w:sz w:val="28"/>
          <w:szCs w:val="28"/>
        </w:rPr>
        <w:t>資料來源：衛福部</w:t>
      </w:r>
      <w:r w:rsidR="00CE6190">
        <w:br w:type="page"/>
      </w:r>
    </w:p>
    <w:p w:rsidR="00661CCD" w:rsidRPr="006A0B36" w:rsidRDefault="00661CCD" w:rsidP="00661CCD">
      <w:pPr>
        <w:widowControl/>
      </w:pPr>
      <w:r w:rsidRPr="006A0B36">
        <w:rPr>
          <w:rFonts w:hint="eastAsia"/>
        </w:rPr>
        <w:lastRenderedPageBreak/>
        <w:t>附表</w:t>
      </w:r>
      <w:r w:rsidR="00CA158D">
        <w:rPr>
          <w:rFonts w:hint="eastAsia"/>
        </w:rPr>
        <w:t>4</w:t>
      </w:r>
    </w:p>
    <w:p w:rsidR="00661CCD" w:rsidRPr="006A0B36" w:rsidRDefault="00661CCD" w:rsidP="00661CCD">
      <w:pPr>
        <w:widowControl/>
        <w:jc w:val="center"/>
      </w:pPr>
      <w:r w:rsidRPr="006A0B36">
        <w:rPr>
          <w:rFonts w:hint="eastAsia"/>
        </w:rPr>
        <w:t>96~105</w:t>
      </w:r>
      <w:r w:rsidRPr="006A0B36">
        <w:rPr>
          <w:rFonts w:hint="eastAsia"/>
        </w:rPr>
        <w:t>年各類醫事人員之培訓人數、經費占率統計表</w:t>
      </w:r>
    </w:p>
    <w:tbl>
      <w:tblPr>
        <w:tblStyle w:val="af2"/>
        <w:tblW w:w="0" w:type="auto"/>
        <w:tblLook w:val="04A0" w:firstRow="1" w:lastRow="0" w:firstColumn="1" w:lastColumn="0" w:noHBand="0" w:noVBand="1"/>
      </w:tblPr>
      <w:tblGrid>
        <w:gridCol w:w="1530"/>
        <w:gridCol w:w="1530"/>
        <w:gridCol w:w="1531"/>
        <w:gridCol w:w="1531"/>
        <w:gridCol w:w="1531"/>
        <w:gridCol w:w="1531"/>
        <w:gridCol w:w="1531"/>
        <w:gridCol w:w="1531"/>
        <w:gridCol w:w="1622"/>
      </w:tblGrid>
      <w:tr w:rsidR="00661CCD" w:rsidRPr="006A0B36" w:rsidTr="00262291">
        <w:tc>
          <w:tcPr>
            <w:tcW w:w="1530" w:type="dxa"/>
            <w:tcBorders>
              <w:tl2br w:val="single" w:sz="4" w:space="0" w:color="auto"/>
            </w:tcBorders>
          </w:tcPr>
          <w:p w:rsidR="00661CCD" w:rsidRPr="006A0B36" w:rsidRDefault="00661CCD" w:rsidP="00262291">
            <w:pPr>
              <w:widowControl/>
              <w:jc w:val="center"/>
            </w:pPr>
          </w:p>
        </w:tc>
        <w:tc>
          <w:tcPr>
            <w:tcW w:w="1530" w:type="dxa"/>
            <w:vAlign w:val="center"/>
          </w:tcPr>
          <w:p w:rsidR="00661CCD" w:rsidRPr="006A0B36" w:rsidRDefault="00661CCD" w:rsidP="00262291">
            <w:pPr>
              <w:widowControl/>
              <w:jc w:val="center"/>
            </w:pPr>
            <w:r w:rsidRPr="006A0B36">
              <w:rPr>
                <w:rFonts w:hint="eastAsia"/>
              </w:rPr>
              <w:t>醫師</w:t>
            </w:r>
            <w:r w:rsidRPr="006A0B36">
              <w:rPr>
                <w:rFonts w:hint="eastAsia"/>
              </w:rPr>
              <w:t>PGY</w:t>
            </w:r>
          </w:p>
        </w:tc>
        <w:tc>
          <w:tcPr>
            <w:tcW w:w="1531" w:type="dxa"/>
            <w:vAlign w:val="center"/>
          </w:tcPr>
          <w:p w:rsidR="00F22139" w:rsidRDefault="00F22139" w:rsidP="00F22139">
            <w:pPr>
              <w:widowControl/>
              <w:jc w:val="center"/>
              <w:rPr>
                <w:sz w:val="28"/>
                <w:szCs w:val="28"/>
              </w:rPr>
            </w:pPr>
            <w:r w:rsidRPr="00F22139">
              <w:rPr>
                <w:rFonts w:hint="eastAsia"/>
                <w:sz w:val="28"/>
                <w:szCs w:val="28"/>
              </w:rPr>
              <w:t>第一年</w:t>
            </w:r>
          </w:p>
          <w:p w:rsidR="00661CCD" w:rsidRPr="00F22139" w:rsidRDefault="00F22139" w:rsidP="00F22139">
            <w:pPr>
              <w:widowControl/>
              <w:jc w:val="center"/>
              <w:rPr>
                <w:sz w:val="28"/>
                <w:szCs w:val="28"/>
              </w:rPr>
            </w:pPr>
            <w:r>
              <w:rPr>
                <w:rFonts w:hint="eastAsia"/>
                <w:sz w:val="28"/>
                <w:szCs w:val="28"/>
              </w:rPr>
              <w:t>住院</w:t>
            </w:r>
            <w:r w:rsidR="00661CCD" w:rsidRPr="00F22139">
              <w:rPr>
                <w:rFonts w:hint="eastAsia"/>
                <w:sz w:val="28"/>
                <w:szCs w:val="28"/>
              </w:rPr>
              <w:t>醫師</w:t>
            </w:r>
          </w:p>
        </w:tc>
        <w:tc>
          <w:tcPr>
            <w:tcW w:w="1531" w:type="dxa"/>
            <w:vAlign w:val="center"/>
          </w:tcPr>
          <w:p w:rsidR="00661CCD" w:rsidRPr="006A0B36" w:rsidRDefault="00661CCD" w:rsidP="00262291">
            <w:pPr>
              <w:widowControl/>
              <w:jc w:val="center"/>
            </w:pPr>
            <w:r w:rsidRPr="006A0B36">
              <w:rPr>
                <w:rFonts w:hint="eastAsia"/>
              </w:rPr>
              <w:t>牙醫師</w:t>
            </w:r>
          </w:p>
        </w:tc>
        <w:tc>
          <w:tcPr>
            <w:tcW w:w="1531" w:type="dxa"/>
            <w:vAlign w:val="center"/>
          </w:tcPr>
          <w:p w:rsidR="00661CCD" w:rsidRPr="006A0B36" w:rsidRDefault="00661CCD" w:rsidP="00262291">
            <w:pPr>
              <w:widowControl/>
              <w:jc w:val="center"/>
            </w:pPr>
            <w:r w:rsidRPr="006A0B36">
              <w:rPr>
                <w:rFonts w:hint="eastAsia"/>
              </w:rPr>
              <w:t>中醫師</w:t>
            </w:r>
          </w:p>
        </w:tc>
        <w:tc>
          <w:tcPr>
            <w:tcW w:w="1531" w:type="dxa"/>
            <w:vAlign w:val="center"/>
          </w:tcPr>
          <w:p w:rsidR="00661CCD" w:rsidRPr="006A0B36" w:rsidRDefault="00661CCD" w:rsidP="00262291">
            <w:pPr>
              <w:widowControl/>
              <w:jc w:val="center"/>
            </w:pPr>
            <w:r w:rsidRPr="006A0B36">
              <w:rPr>
                <w:rFonts w:hint="eastAsia"/>
              </w:rPr>
              <w:t>護理師</w:t>
            </w:r>
            <w:r w:rsidRPr="006A0B36">
              <w:rPr>
                <w:rFonts w:hint="eastAsia"/>
              </w:rPr>
              <w:t>(</w:t>
            </w:r>
            <w:r w:rsidRPr="006A0B36">
              <w:rPr>
                <w:rFonts w:hint="eastAsia"/>
              </w:rPr>
              <w:t>士</w:t>
            </w:r>
            <w:r w:rsidRPr="006A0B36">
              <w:rPr>
                <w:rFonts w:hint="eastAsia"/>
              </w:rPr>
              <w:t>)</w:t>
            </w:r>
          </w:p>
        </w:tc>
        <w:tc>
          <w:tcPr>
            <w:tcW w:w="1531" w:type="dxa"/>
            <w:vAlign w:val="center"/>
          </w:tcPr>
          <w:p w:rsidR="00661CCD" w:rsidRPr="006A0B36" w:rsidRDefault="00661CCD" w:rsidP="00262291">
            <w:pPr>
              <w:widowControl/>
              <w:jc w:val="center"/>
            </w:pPr>
            <w:r w:rsidRPr="006A0B36">
              <w:rPr>
                <w:rFonts w:hint="eastAsia"/>
              </w:rPr>
              <w:t>藥師</w:t>
            </w:r>
          </w:p>
        </w:tc>
        <w:tc>
          <w:tcPr>
            <w:tcW w:w="1531" w:type="dxa"/>
            <w:vAlign w:val="center"/>
          </w:tcPr>
          <w:p w:rsidR="00661CCD" w:rsidRPr="006A0B36" w:rsidRDefault="00661CCD" w:rsidP="00262291">
            <w:pPr>
              <w:widowControl/>
              <w:jc w:val="center"/>
            </w:pPr>
            <w:r w:rsidRPr="006A0B36">
              <w:rPr>
                <w:rFonts w:hint="eastAsia"/>
              </w:rPr>
              <w:t>其他醫事人員</w:t>
            </w:r>
          </w:p>
        </w:tc>
        <w:tc>
          <w:tcPr>
            <w:tcW w:w="1622" w:type="dxa"/>
            <w:vAlign w:val="center"/>
          </w:tcPr>
          <w:p w:rsidR="00661CCD" w:rsidRPr="006A0B36" w:rsidRDefault="00661CCD" w:rsidP="00262291">
            <w:pPr>
              <w:widowControl/>
              <w:jc w:val="center"/>
            </w:pPr>
            <w:r w:rsidRPr="006A0B36">
              <w:rPr>
                <w:rFonts w:hint="eastAsia"/>
              </w:rPr>
              <w:t>合計</w:t>
            </w:r>
          </w:p>
        </w:tc>
      </w:tr>
      <w:tr w:rsidR="00661CCD" w:rsidRPr="006A0B36" w:rsidTr="00262291">
        <w:tc>
          <w:tcPr>
            <w:tcW w:w="1530" w:type="dxa"/>
          </w:tcPr>
          <w:p w:rsidR="00661CCD" w:rsidRPr="006A0B36" w:rsidRDefault="00661CCD" w:rsidP="00262291">
            <w:pPr>
              <w:widowControl/>
              <w:jc w:val="center"/>
            </w:pPr>
            <w:r w:rsidRPr="006A0B36">
              <w:rPr>
                <w:rFonts w:hint="eastAsia"/>
              </w:rPr>
              <w:t>培訓</w:t>
            </w:r>
          </w:p>
          <w:p w:rsidR="00661CCD" w:rsidRPr="006A0B36" w:rsidRDefault="00661CCD" w:rsidP="00262291">
            <w:pPr>
              <w:widowControl/>
              <w:jc w:val="center"/>
            </w:pPr>
            <w:r w:rsidRPr="006A0B36">
              <w:rPr>
                <w:rFonts w:hint="eastAsia"/>
              </w:rPr>
              <w:t>人數</w:t>
            </w:r>
          </w:p>
        </w:tc>
        <w:tc>
          <w:tcPr>
            <w:tcW w:w="1530" w:type="dxa"/>
            <w:vAlign w:val="center"/>
          </w:tcPr>
          <w:p w:rsidR="00661CCD" w:rsidRPr="006A0B36" w:rsidRDefault="00661CCD" w:rsidP="00262291">
            <w:pPr>
              <w:widowControl/>
              <w:jc w:val="right"/>
            </w:pPr>
            <w:r w:rsidRPr="006A0B36">
              <w:rPr>
                <w:rFonts w:hint="eastAsia"/>
              </w:rPr>
              <w:t>14,786</w:t>
            </w:r>
          </w:p>
        </w:tc>
        <w:tc>
          <w:tcPr>
            <w:tcW w:w="1531" w:type="dxa"/>
            <w:vAlign w:val="center"/>
          </w:tcPr>
          <w:p w:rsidR="00661CCD" w:rsidRPr="006A0B36" w:rsidRDefault="00661CCD" w:rsidP="00262291">
            <w:pPr>
              <w:widowControl/>
              <w:jc w:val="right"/>
            </w:pPr>
            <w:r w:rsidRPr="006A0B36">
              <w:rPr>
                <w:rFonts w:hint="eastAsia"/>
              </w:rPr>
              <w:t>41,521</w:t>
            </w:r>
          </w:p>
        </w:tc>
        <w:tc>
          <w:tcPr>
            <w:tcW w:w="1531" w:type="dxa"/>
            <w:vAlign w:val="center"/>
          </w:tcPr>
          <w:p w:rsidR="00661CCD" w:rsidRPr="006A0B36" w:rsidRDefault="00661CCD" w:rsidP="00262291">
            <w:pPr>
              <w:widowControl/>
              <w:jc w:val="right"/>
            </w:pPr>
            <w:r w:rsidRPr="006A0B36">
              <w:rPr>
                <w:rFonts w:hint="eastAsia"/>
              </w:rPr>
              <w:t>5,768</w:t>
            </w:r>
          </w:p>
        </w:tc>
        <w:tc>
          <w:tcPr>
            <w:tcW w:w="1531" w:type="dxa"/>
            <w:vAlign w:val="center"/>
          </w:tcPr>
          <w:p w:rsidR="00661CCD" w:rsidRPr="006A0B36" w:rsidRDefault="00661CCD" w:rsidP="00262291">
            <w:pPr>
              <w:widowControl/>
              <w:jc w:val="right"/>
            </w:pPr>
            <w:r w:rsidRPr="006A0B36">
              <w:rPr>
                <w:rFonts w:hint="eastAsia"/>
              </w:rPr>
              <w:t>1,260</w:t>
            </w:r>
          </w:p>
        </w:tc>
        <w:tc>
          <w:tcPr>
            <w:tcW w:w="1531" w:type="dxa"/>
            <w:vAlign w:val="center"/>
          </w:tcPr>
          <w:p w:rsidR="00661CCD" w:rsidRPr="006A0B36" w:rsidRDefault="00661CCD" w:rsidP="00262291">
            <w:pPr>
              <w:widowControl/>
              <w:jc w:val="right"/>
            </w:pPr>
            <w:r w:rsidRPr="006A0B36">
              <w:rPr>
                <w:rFonts w:hint="eastAsia"/>
              </w:rPr>
              <w:t>137,625</w:t>
            </w:r>
          </w:p>
        </w:tc>
        <w:tc>
          <w:tcPr>
            <w:tcW w:w="1531" w:type="dxa"/>
            <w:vAlign w:val="center"/>
          </w:tcPr>
          <w:p w:rsidR="00661CCD" w:rsidRPr="006A0B36" w:rsidRDefault="00661CCD" w:rsidP="00262291">
            <w:pPr>
              <w:widowControl/>
              <w:jc w:val="right"/>
            </w:pPr>
            <w:r w:rsidRPr="006A0B36">
              <w:rPr>
                <w:rFonts w:hint="eastAsia"/>
              </w:rPr>
              <w:t>14,368</w:t>
            </w:r>
          </w:p>
        </w:tc>
        <w:tc>
          <w:tcPr>
            <w:tcW w:w="1531" w:type="dxa"/>
            <w:vAlign w:val="center"/>
          </w:tcPr>
          <w:p w:rsidR="00661CCD" w:rsidRPr="006A0B36" w:rsidRDefault="00661CCD" w:rsidP="00262291">
            <w:pPr>
              <w:widowControl/>
              <w:jc w:val="right"/>
            </w:pPr>
            <w:r w:rsidRPr="006A0B36">
              <w:rPr>
                <w:rFonts w:hint="eastAsia"/>
              </w:rPr>
              <w:t>16,997</w:t>
            </w:r>
          </w:p>
        </w:tc>
        <w:tc>
          <w:tcPr>
            <w:tcW w:w="1622" w:type="dxa"/>
            <w:vAlign w:val="center"/>
          </w:tcPr>
          <w:p w:rsidR="00661CCD" w:rsidRPr="006A0B36" w:rsidRDefault="00661CCD" w:rsidP="00262291">
            <w:pPr>
              <w:widowControl/>
              <w:jc w:val="right"/>
            </w:pPr>
            <w:r w:rsidRPr="006A0B36">
              <w:rPr>
                <w:rFonts w:hint="eastAsia"/>
              </w:rPr>
              <w:t>232,325</w:t>
            </w:r>
          </w:p>
        </w:tc>
      </w:tr>
      <w:tr w:rsidR="00661CCD" w:rsidRPr="006A0B36" w:rsidTr="00262291">
        <w:tc>
          <w:tcPr>
            <w:tcW w:w="1530" w:type="dxa"/>
          </w:tcPr>
          <w:p w:rsidR="00661CCD" w:rsidRPr="006A0B36" w:rsidRDefault="00661CCD" w:rsidP="00262291">
            <w:pPr>
              <w:widowControl/>
              <w:jc w:val="center"/>
            </w:pPr>
            <w:r w:rsidRPr="006A0B36">
              <w:rPr>
                <w:rFonts w:hint="eastAsia"/>
              </w:rPr>
              <w:t>人數占率</w:t>
            </w:r>
            <w:r w:rsidRPr="006A0B36">
              <w:rPr>
                <w:rFonts w:hint="eastAsia"/>
              </w:rPr>
              <w:t>(%)</w:t>
            </w:r>
          </w:p>
        </w:tc>
        <w:tc>
          <w:tcPr>
            <w:tcW w:w="1530" w:type="dxa"/>
            <w:vAlign w:val="center"/>
          </w:tcPr>
          <w:p w:rsidR="00661CCD" w:rsidRPr="006A0B36" w:rsidRDefault="00661CCD" w:rsidP="00262291">
            <w:pPr>
              <w:widowControl/>
              <w:jc w:val="right"/>
            </w:pPr>
            <w:r w:rsidRPr="006A0B36">
              <w:rPr>
                <w:rFonts w:hint="eastAsia"/>
              </w:rPr>
              <w:t>6.36</w:t>
            </w:r>
          </w:p>
        </w:tc>
        <w:tc>
          <w:tcPr>
            <w:tcW w:w="1531" w:type="dxa"/>
            <w:vAlign w:val="center"/>
          </w:tcPr>
          <w:p w:rsidR="00661CCD" w:rsidRPr="006A0B36" w:rsidRDefault="00661CCD" w:rsidP="00262291">
            <w:pPr>
              <w:widowControl/>
              <w:jc w:val="right"/>
            </w:pPr>
            <w:r w:rsidRPr="006A0B36">
              <w:rPr>
                <w:rFonts w:hint="eastAsia"/>
              </w:rPr>
              <w:t>17.87</w:t>
            </w:r>
          </w:p>
        </w:tc>
        <w:tc>
          <w:tcPr>
            <w:tcW w:w="1531" w:type="dxa"/>
            <w:vAlign w:val="center"/>
          </w:tcPr>
          <w:p w:rsidR="00661CCD" w:rsidRPr="006A0B36" w:rsidRDefault="00661CCD" w:rsidP="00262291">
            <w:pPr>
              <w:widowControl/>
              <w:jc w:val="right"/>
            </w:pPr>
            <w:r w:rsidRPr="006A0B36">
              <w:rPr>
                <w:rFonts w:hint="eastAsia"/>
              </w:rPr>
              <w:t>2.48</w:t>
            </w:r>
          </w:p>
        </w:tc>
        <w:tc>
          <w:tcPr>
            <w:tcW w:w="1531" w:type="dxa"/>
            <w:vAlign w:val="center"/>
          </w:tcPr>
          <w:p w:rsidR="00661CCD" w:rsidRPr="006A0B36" w:rsidRDefault="00661CCD" w:rsidP="00262291">
            <w:pPr>
              <w:widowControl/>
              <w:jc w:val="right"/>
            </w:pPr>
            <w:r w:rsidRPr="006A0B36">
              <w:rPr>
                <w:rFonts w:hint="eastAsia"/>
              </w:rPr>
              <w:t>0.54</w:t>
            </w:r>
          </w:p>
        </w:tc>
        <w:tc>
          <w:tcPr>
            <w:tcW w:w="1531" w:type="dxa"/>
            <w:vAlign w:val="center"/>
          </w:tcPr>
          <w:p w:rsidR="00661CCD" w:rsidRPr="006A0B36" w:rsidRDefault="00661CCD" w:rsidP="00262291">
            <w:pPr>
              <w:widowControl/>
              <w:jc w:val="right"/>
            </w:pPr>
            <w:r w:rsidRPr="006A0B36">
              <w:rPr>
                <w:rFonts w:hint="eastAsia"/>
              </w:rPr>
              <w:t>59.24</w:t>
            </w:r>
          </w:p>
        </w:tc>
        <w:tc>
          <w:tcPr>
            <w:tcW w:w="1531" w:type="dxa"/>
            <w:vAlign w:val="center"/>
          </w:tcPr>
          <w:p w:rsidR="00661CCD" w:rsidRPr="006A0B36" w:rsidRDefault="00661CCD" w:rsidP="00262291">
            <w:pPr>
              <w:widowControl/>
              <w:jc w:val="right"/>
            </w:pPr>
            <w:r w:rsidRPr="006A0B36">
              <w:rPr>
                <w:rFonts w:hint="eastAsia"/>
              </w:rPr>
              <w:t>6.18</w:t>
            </w:r>
          </w:p>
        </w:tc>
        <w:tc>
          <w:tcPr>
            <w:tcW w:w="1531" w:type="dxa"/>
            <w:vAlign w:val="center"/>
          </w:tcPr>
          <w:p w:rsidR="00661CCD" w:rsidRPr="006A0B36" w:rsidRDefault="00661CCD" w:rsidP="00262291">
            <w:pPr>
              <w:widowControl/>
              <w:jc w:val="right"/>
            </w:pPr>
            <w:r w:rsidRPr="006A0B36">
              <w:rPr>
                <w:rFonts w:hint="eastAsia"/>
              </w:rPr>
              <w:t>7.32</w:t>
            </w:r>
          </w:p>
        </w:tc>
        <w:tc>
          <w:tcPr>
            <w:tcW w:w="1622" w:type="dxa"/>
            <w:vAlign w:val="center"/>
          </w:tcPr>
          <w:p w:rsidR="00661CCD" w:rsidRPr="006A0B36" w:rsidRDefault="00661CCD" w:rsidP="00262291">
            <w:pPr>
              <w:widowControl/>
              <w:jc w:val="right"/>
            </w:pPr>
            <w:r w:rsidRPr="006A0B36">
              <w:rPr>
                <w:rFonts w:hint="eastAsia"/>
              </w:rPr>
              <w:t>100.00</w:t>
            </w:r>
          </w:p>
        </w:tc>
      </w:tr>
      <w:tr w:rsidR="00661CCD" w:rsidRPr="006A0B36" w:rsidTr="00262291">
        <w:tc>
          <w:tcPr>
            <w:tcW w:w="1530" w:type="dxa"/>
          </w:tcPr>
          <w:p w:rsidR="00661CCD" w:rsidRPr="006A0B36" w:rsidRDefault="00661CCD" w:rsidP="00262291">
            <w:pPr>
              <w:widowControl/>
              <w:jc w:val="center"/>
            </w:pPr>
            <w:r w:rsidRPr="006A0B36">
              <w:rPr>
                <w:rFonts w:hint="eastAsia"/>
              </w:rPr>
              <w:t>培訓經費</w:t>
            </w:r>
            <w:r w:rsidRPr="006A0B36">
              <w:rPr>
                <w:rFonts w:hint="eastAsia"/>
              </w:rPr>
              <w:t>(</w:t>
            </w:r>
            <w:r w:rsidRPr="006A0B36">
              <w:rPr>
                <w:rFonts w:hint="eastAsia"/>
              </w:rPr>
              <w:t>元</w:t>
            </w:r>
            <w:r w:rsidRPr="006A0B36">
              <w:rPr>
                <w:rFonts w:hint="eastAsia"/>
              </w:rPr>
              <w:t>)</w:t>
            </w:r>
          </w:p>
        </w:tc>
        <w:tc>
          <w:tcPr>
            <w:tcW w:w="1530" w:type="dxa"/>
            <w:vAlign w:val="center"/>
          </w:tcPr>
          <w:p w:rsidR="00661CCD" w:rsidRPr="006A0B36" w:rsidRDefault="00661CCD" w:rsidP="00262291">
            <w:pPr>
              <w:widowControl/>
              <w:jc w:val="right"/>
              <w:rPr>
                <w:sz w:val="20"/>
                <w:szCs w:val="20"/>
              </w:rPr>
            </w:pPr>
            <w:r w:rsidRPr="006A0B36">
              <w:rPr>
                <w:rFonts w:hint="eastAsia"/>
                <w:sz w:val="20"/>
                <w:szCs w:val="20"/>
              </w:rPr>
              <w:t>3,073,915,447</w:t>
            </w:r>
          </w:p>
        </w:tc>
        <w:tc>
          <w:tcPr>
            <w:tcW w:w="1531" w:type="dxa"/>
            <w:vAlign w:val="center"/>
          </w:tcPr>
          <w:p w:rsidR="00661CCD" w:rsidRPr="006A0B36" w:rsidRDefault="00661CCD" w:rsidP="00262291">
            <w:pPr>
              <w:widowControl/>
              <w:jc w:val="right"/>
              <w:rPr>
                <w:sz w:val="20"/>
                <w:szCs w:val="20"/>
              </w:rPr>
            </w:pPr>
            <w:r w:rsidRPr="006A0B36">
              <w:rPr>
                <w:rFonts w:hint="eastAsia"/>
                <w:sz w:val="20"/>
                <w:szCs w:val="20"/>
              </w:rPr>
              <w:t>8,250,284,603</w:t>
            </w:r>
          </w:p>
        </w:tc>
        <w:tc>
          <w:tcPr>
            <w:tcW w:w="1531" w:type="dxa"/>
            <w:vAlign w:val="center"/>
          </w:tcPr>
          <w:p w:rsidR="00661CCD" w:rsidRPr="006A0B36" w:rsidRDefault="00661CCD" w:rsidP="00262291">
            <w:pPr>
              <w:widowControl/>
              <w:jc w:val="right"/>
              <w:rPr>
                <w:sz w:val="20"/>
                <w:szCs w:val="20"/>
              </w:rPr>
            </w:pPr>
            <w:r w:rsidRPr="006A0B36">
              <w:rPr>
                <w:rFonts w:hint="eastAsia"/>
                <w:sz w:val="20"/>
                <w:szCs w:val="20"/>
              </w:rPr>
              <w:t>783,156,207</w:t>
            </w:r>
          </w:p>
        </w:tc>
        <w:tc>
          <w:tcPr>
            <w:tcW w:w="1531" w:type="dxa"/>
            <w:vAlign w:val="center"/>
          </w:tcPr>
          <w:p w:rsidR="00661CCD" w:rsidRPr="006A0B36" w:rsidRDefault="00661CCD" w:rsidP="00262291">
            <w:pPr>
              <w:widowControl/>
              <w:jc w:val="right"/>
              <w:rPr>
                <w:sz w:val="20"/>
                <w:szCs w:val="20"/>
              </w:rPr>
            </w:pPr>
            <w:r w:rsidRPr="006A0B36">
              <w:rPr>
                <w:rFonts w:hint="eastAsia"/>
                <w:sz w:val="20"/>
                <w:szCs w:val="20"/>
              </w:rPr>
              <w:t>207,410,594</w:t>
            </w:r>
          </w:p>
        </w:tc>
        <w:tc>
          <w:tcPr>
            <w:tcW w:w="1531" w:type="dxa"/>
            <w:vAlign w:val="center"/>
          </w:tcPr>
          <w:p w:rsidR="00661CCD" w:rsidRPr="006A0B36" w:rsidRDefault="00661CCD" w:rsidP="00262291">
            <w:pPr>
              <w:widowControl/>
              <w:jc w:val="right"/>
              <w:rPr>
                <w:sz w:val="20"/>
                <w:szCs w:val="20"/>
              </w:rPr>
            </w:pPr>
            <w:r w:rsidRPr="006A0B36">
              <w:rPr>
                <w:rFonts w:hint="eastAsia"/>
                <w:sz w:val="20"/>
                <w:szCs w:val="20"/>
              </w:rPr>
              <w:t>3,896,264,347</w:t>
            </w:r>
          </w:p>
        </w:tc>
        <w:tc>
          <w:tcPr>
            <w:tcW w:w="1531" w:type="dxa"/>
            <w:vAlign w:val="center"/>
          </w:tcPr>
          <w:p w:rsidR="00661CCD" w:rsidRPr="006A0B36" w:rsidRDefault="00661CCD" w:rsidP="00262291">
            <w:pPr>
              <w:widowControl/>
              <w:jc w:val="right"/>
              <w:rPr>
                <w:sz w:val="20"/>
                <w:szCs w:val="20"/>
              </w:rPr>
            </w:pPr>
            <w:r w:rsidRPr="006A0B36">
              <w:rPr>
                <w:rFonts w:hint="eastAsia"/>
                <w:sz w:val="20"/>
                <w:szCs w:val="20"/>
              </w:rPr>
              <w:t>429,012,047</w:t>
            </w:r>
          </w:p>
        </w:tc>
        <w:tc>
          <w:tcPr>
            <w:tcW w:w="1531" w:type="dxa"/>
            <w:vAlign w:val="center"/>
          </w:tcPr>
          <w:p w:rsidR="00661CCD" w:rsidRPr="006A0B36" w:rsidRDefault="00661CCD" w:rsidP="00262291">
            <w:pPr>
              <w:widowControl/>
              <w:jc w:val="right"/>
              <w:rPr>
                <w:sz w:val="20"/>
                <w:szCs w:val="20"/>
              </w:rPr>
            </w:pPr>
            <w:r w:rsidRPr="006A0B36">
              <w:rPr>
                <w:rFonts w:hint="eastAsia"/>
                <w:sz w:val="20"/>
                <w:szCs w:val="20"/>
              </w:rPr>
              <w:t>524,076,491</w:t>
            </w:r>
          </w:p>
        </w:tc>
        <w:tc>
          <w:tcPr>
            <w:tcW w:w="1622" w:type="dxa"/>
            <w:vAlign w:val="center"/>
          </w:tcPr>
          <w:p w:rsidR="00661CCD" w:rsidRPr="006A0B36" w:rsidRDefault="00661CCD" w:rsidP="00262291">
            <w:pPr>
              <w:widowControl/>
              <w:jc w:val="right"/>
              <w:rPr>
                <w:sz w:val="20"/>
                <w:szCs w:val="20"/>
              </w:rPr>
            </w:pPr>
            <w:r w:rsidRPr="006A0B36">
              <w:rPr>
                <w:rFonts w:hint="eastAsia"/>
                <w:sz w:val="20"/>
                <w:szCs w:val="20"/>
              </w:rPr>
              <w:t>17,164,119,736</w:t>
            </w:r>
          </w:p>
        </w:tc>
      </w:tr>
      <w:tr w:rsidR="00661CCD" w:rsidRPr="006A0B36" w:rsidTr="00262291">
        <w:tc>
          <w:tcPr>
            <w:tcW w:w="1530" w:type="dxa"/>
          </w:tcPr>
          <w:p w:rsidR="00661CCD" w:rsidRPr="006A0B36" w:rsidRDefault="00661CCD" w:rsidP="00262291">
            <w:pPr>
              <w:widowControl/>
              <w:jc w:val="center"/>
            </w:pPr>
            <w:r w:rsidRPr="006A0B36">
              <w:rPr>
                <w:rFonts w:hint="eastAsia"/>
              </w:rPr>
              <w:t>經費占率</w:t>
            </w:r>
            <w:r w:rsidRPr="006A0B36">
              <w:rPr>
                <w:rFonts w:hint="eastAsia"/>
              </w:rPr>
              <w:t>(%)</w:t>
            </w:r>
          </w:p>
        </w:tc>
        <w:tc>
          <w:tcPr>
            <w:tcW w:w="1530" w:type="dxa"/>
            <w:vAlign w:val="center"/>
          </w:tcPr>
          <w:p w:rsidR="00661CCD" w:rsidRPr="006A0B36" w:rsidRDefault="00661CCD" w:rsidP="00262291">
            <w:pPr>
              <w:widowControl/>
              <w:jc w:val="right"/>
            </w:pPr>
            <w:r w:rsidRPr="006A0B36">
              <w:rPr>
                <w:rFonts w:hint="eastAsia"/>
              </w:rPr>
              <w:t>17.91</w:t>
            </w:r>
          </w:p>
        </w:tc>
        <w:tc>
          <w:tcPr>
            <w:tcW w:w="1531" w:type="dxa"/>
            <w:vAlign w:val="center"/>
          </w:tcPr>
          <w:p w:rsidR="00661CCD" w:rsidRPr="006A0B36" w:rsidRDefault="00661CCD" w:rsidP="00262291">
            <w:pPr>
              <w:widowControl/>
              <w:jc w:val="right"/>
            </w:pPr>
            <w:r w:rsidRPr="006A0B36">
              <w:rPr>
                <w:rFonts w:hint="eastAsia"/>
              </w:rPr>
              <w:t>48.07</w:t>
            </w:r>
          </w:p>
        </w:tc>
        <w:tc>
          <w:tcPr>
            <w:tcW w:w="1531" w:type="dxa"/>
            <w:vAlign w:val="center"/>
          </w:tcPr>
          <w:p w:rsidR="00661CCD" w:rsidRPr="006A0B36" w:rsidRDefault="00661CCD" w:rsidP="00262291">
            <w:pPr>
              <w:widowControl/>
              <w:jc w:val="right"/>
            </w:pPr>
            <w:r w:rsidRPr="006A0B36">
              <w:rPr>
                <w:rFonts w:hint="eastAsia"/>
              </w:rPr>
              <w:t>4.56</w:t>
            </w:r>
          </w:p>
        </w:tc>
        <w:tc>
          <w:tcPr>
            <w:tcW w:w="1531" w:type="dxa"/>
            <w:vAlign w:val="center"/>
          </w:tcPr>
          <w:p w:rsidR="00661CCD" w:rsidRPr="006A0B36" w:rsidRDefault="00661CCD" w:rsidP="00262291">
            <w:pPr>
              <w:widowControl/>
              <w:jc w:val="right"/>
            </w:pPr>
            <w:r w:rsidRPr="006A0B36">
              <w:rPr>
                <w:rFonts w:hint="eastAsia"/>
              </w:rPr>
              <w:t>1.21</w:t>
            </w:r>
          </w:p>
        </w:tc>
        <w:tc>
          <w:tcPr>
            <w:tcW w:w="1531" w:type="dxa"/>
            <w:vAlign w:val="center"/>
          </w:tcPr>
          <w:p w:rsidR="00661CCD" w:rsidRPr="006A0B36" w:rsidRDefault="00661CCD" w:rsidP="00262291">
            <w:pPr>
              <w:widowControl/>
              <w:jc w:val="right"/>
            </w:pPr>
            <w:r w:rsidRPr="006A0B36">
              <w:rPr>
                <w:rFonts w:hint="eastAsia"/>
              </w:rPr>
              <w:t>22.70</w:t>
            </w:r>
          </w:p>
        </w:tc>
        <w:tc>
          <w:tcPr>
            <w:tcW w:w="1531" w:type="dxa"/>
            <w:vAlign w:val="center"/>
          </w:tcPr>
          <w:p w:rsidR="00661CCD" w:rsidRPr="006A0B36" w:rsidRDefault="00661CCD" w:rsidP="00262291">
            <w:pPr>
              <w:widowControl/>
              <w:jc w:val="right"/>
            </w:pPr>
            <w:r w:rsidRPr="006A0B36">
              <w:rPr>
                <w:rFonts w:hint="eastAsia"/>
              </w:rPr>
              <w:t>2.50</w:t>
            </w:r>
          </w:p>
        </w:tc>
        <w:tc>
          <w:tcPr>
            <w:tcW w:w="1531" w:type="dxa"/>
            <w:vAlign w:val="center"/>
          </w:tcPr>
          <w:p w:rsidR="00661CCD" w:rsidRPr="006A0B36" w:rsidRDefault="00661CCD" w:rsidP="00262291">
            <w:pPr>
              <w:widowControl/>
              <w:jc w:val="right"/>
            </w:pPr>
            <w:r w:rsidRPr="006A0B36">
              <w:rPr>
                <w:rFonts w:hint="eastAsia"/>
              </w:rPr>
              <w:t>3.05</w:t>
            </w:r>
          </w:p>
        </w:tc>
        <w:tc>
          <w:tcPr>
            <w:tcW w:w="1622" w:type="dxa"/>
            <w:vAlign w:val="center"/>
          </w:tcPr>
          <w:p w:rsidR="00661CCD" w:rsidRPr="006A0B36" w:rsidRDefault="00661CCD" w:rsidP="00262291">
            <w:pPr>
              <w:widowControl/>
              <w:jc w:val="right"/>
            </w:pPr>
            <w:r w:rsidRPr="006A0B36">
              <w:rPr>
                <w:rFonts w:hint="eastAsia"/>
              </w:rPr>
              <w:t>100.00</w:t>
            </w:r>
          </w:p>
        </w:tc>
      </w:tr>
    </w:tbl>
    <w:p w:rsidR="00661CCD" w:rsidRPr="006A0B36" w:rsidRDefault="00661CCD" w:rsidP="00661CCD">
      <w:pPr>
        <w:widowControl/>
        <w:rPr>
          <w:sz w:val="28"/>
          <w:szCs w:val="28"/>
        </w:rPr>
      </w:pPr>
      <w:r w:rsidRPr="006A0B36">
        <w:rPr>
          <w:rFonts w:hint="eastAsia"/>
          <w:sz w:val="28"/>
          <w:szCs w:val="28"/>
        </w:rPr>
        <w:t>備註：</w:t>
      </w:r>
      <w:r w:rsidRPr="006A0B36">
        <w:rPr>
          <w:rFonts w:hint="eastAsia"/>
          <w:sz w:val="28"/>
          <w:szCs w:val="28"/>
        </w:rPr>
        <w:t>1.</w:t>
      </w:r>
      <w:r w:rsidRPr="006A0B36">
        <w:rPr>
          <w:rFonts w:hint="eastAsia"/>
          <w:sz w:val="28"/>
          <w:szCs w:val="28"/>
        </w:rPr>
        <w:t>資料來源：衛福部</w:t>
      </w:r>
    </w:p>
    <w:p w:rsidR="00661CCD" w:rsidRPr="006A0B36" w:rsidRDefault="00661CCD" w:rsidP="00661CCD">
      <w:pPr>
        <w:widowControl/>
        <w:rPr>
          <w:sz w:val="28"/>
          <w:szCs w:val="28"/>
        </w:rPr>
      </w:pPr>
      <w:r w:rsidRPr="006A0B36">
        <w:rPr>
          <w:rFonts w:hint="eastAsia"/>
          <w:sz w:val="28"/>
          <w:szCs w:val="28"/>
        </w:rPr>
        <w:t xml:space="preserve">      2.</w:t>
      </w:r>
      <w:r w:rsidRPr="006A0B36">
        <w:rPr>
          <w:rFonts w:hint="eastAsia"/>
          <w:sz w:val="28"/>
          <w:szCs w:val="28"/>
        </w:rPr>
        <w:t>醫師</w:t>
      </w:r>
      <w:r w:rsidRPr="006A0B36">
        <w:rPr>
          <w:rFonts w:hint="eastAsia"/>
          <w:sz w:val="28"/>
          <w:szCs w:val="28"/>
        </w:rPr>
        <w:t>PGY</w:t>
      </w:r>
      <w:r w:rsidRPr="006A0B36">
        <w:rPr>
          <w:rFonts w:hint="eastAsia"/>
          <w:sz w:val="28"/>
          <w:szCs w:val="28"/>
        </w:rPr>
        <w:t>係指一般醫學訓練計畫</w:t>
      </w:r>
      <w:r w:rsidRPr="006A0B36">
        <w:rPr>
          <w:rFonts w:hint="eastAsia"/>
          <w:sz w:val="28"/>
          <w:szCs w:val="28"/>
        </w:rPr>
        <w:t>(Post-Graduate Year</w:t>
      </w:r>
      <w:r w:rsidRPr="006A0B36">
        <w:rPr>
          <w:rFonts w:hint="eastAsia"/>
          <w:sz w:val="28"/>
          <w:szCs w:val="28"/>
        </w:rPr>
        <w:t>，簡稱</w:t>
      </w:r>
      <w:r w:rsidRPr="006A0B36">
        <w:rPr>
          <w:rFonts w:hint="eastAsia"/>
          <w:sz w:val="28"/>
          <w:szCs w:val="28"/>
        </w:rPr>
        <w:t>:PGY)</w:t>
      </w:r>
      <w:r w:rsidRPr="006A0B36">
        <w:rPr>
          <w:rFonts w:hint="eastAsia"/>
          <w:sz w:val="28"/>
          <w:szCs w:val="28"/>
        </w:rPr>
        <w:t>。</w:t>
      </w:r>
    </w:p>
    <w:p w:rsidR="00661CCD" w:rsidRPr="006A0B36" w:rsidRDefault="00661CCD" w:rsidP="00661CCD">
      <w:pPr>
        <w:widowControl/>
        <w:ind w:left="1162" w:hangingChars="387" w:hanging="1162"/>
        <w:rPr>
          <w:sz w:val="28"/>
          <w:szCs w:val="28"/>
        </w:rPr>
      </w:pPr>
      <w:r w:rsidRPr="006A0B36">
        <w:rPr>
          <w:rFonts w:hint="eastAsia"/>
          <w:sz w:val="28"/>
          <w:szCs w:val="28"/>
        </w:rPr>
        <w:lastRenderedPageBreak/>
        <w:t xml:space="preserve">      3.</w:t>
      </w:r>
      <w:r w:rsidRPr="006A0B36">
        <w:rPr>
          <w:rFonts w:hint="eastAsia"/>
          <w:sz w:val="28"/>
          <w:szCs w:val="28"/>
        </w:rPr>
        <w:t>其他醫事人員包括物理治療師、物理治療生、職能治療師、職能治療生、醫事檢驗師、醫事檢驗生、醫事放射師、醫事放射士、營養師、助產師、助產士、心理師、呼吸治療師、語言治療師、聽力師。</w:t>
      </w:r>
      <w:r w:rsidRPr="006A0B36">
        <w:rPr>
          <w:sz w:val="28"/>
          <w:szCs w:val="28"/>
        </w:rPr>
        <w:br w:type="page"/>
      </w:r>
    </w:p>
    <w:p w:rsidR="008B17EE" w:rsidRPr="006A0B36" w:rsidRDefault="008B17EE" w:rsidP="008B17EE">
      <w:r w:rsidRPr="006A0B36">
        <w:rPr>
          <w:rFonts w:hint="eastAsia"/>
        </w:rPr>
        <w:lastRenderedPageBreak/>
        <w:t>附表</w:t>
      </w:r>
      <w:r w:rsidR="00E13FA7">
        <w:rPr>
          <w:rFonts w:hint="eastAsia"/>
        </w:rPr>
        <w:t>5</w:t>
      </w:r>
    </w:p>
    <w:p w:rsidR="008B17EE" w:rsidRPr="006A0B36" w:rsidRDefault="008B17EE" w:rsidP="008B17EE">
      <w:pPr>
        <w:rPr>
          <w:szCs w:val="32"/>
        </w:rPr>
      </w:pPr>
      <w:r w:rsidRPr="006A0B36">
        <w:rPr>
          <w:rFonts w:hint="eastAsia"/>
        </w:rPr>
        <w:t xml:space="preserve">               </w:t>
      </w:r>
      <w:r w:rsidRPr="006A0B36">
        <w:rPr>
          <w:rFonts w:hAnsi="標楷體" w:hint="eastAsia"/>
          <w:szCs w:val="32"/>
        </w:rPr>
        <w:t>105</w:t>
      </w:r>
      <w:r w:rsidRPr="006A0B36">
        <w:rPr>
          <w:rFonts w:hAnsi="標楷體" w:hint="eastAsia"/>
          <w:szCs w:val="32"/>
        </w:rPr>
        <w:t>年臨床醫事人員培訓計畫補助經費計</w:t>
      </w:r>
      <w:r w:rsidR="002A1580" w:rsidRPr="006A0B36">
        <w:rPr>
          <w:rFonts w:hAnsi="標楷體" w:hint="eastAsia"/>
          <w:szCs w:val="32"/>
        </w:rPr>
        <w:t>費方式表</w:t>
      </w:r>
    </w:p>
    <w:p w:rsidR="008B17EE" w:rsidRPr="006A0B36" w:rsidRDefault="005811B3" w:rsidP="008B17EE">
      <w:pPr>
        <w:rPr>
          <w:szCs w:val="32"/>
        </w:rPr>
      </w:pPr>
      <w:r>
        <w:rPr>
          <w:noProof/>
        </w:rPr>
        <w:lastRenderedPageBreak/>
        <w:drawing>
          <wp:inline distT="0" distB="0" distL="0" distR="0" wp14:anchorId="75E7EFC4" wp14:editId="5DE616C1">
            <wp:extent cx="8612372" cy="4380614"/>
            <wp:effectExtent l="0" t="0" r="0" b="127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8618552" cy="4383758"/>
                    </a:xfrm>
                    <a:prstGeom prst="rect">
                      <a:avLst/>
                    </a:prstGeom>
                  </pic:spPr>
                </pic:pic>
              </a:graphicData>
            </a:graphic>
          </wp:inline>
        </w:drawing>
      </w:r>
    </w:p>
    <w:p w:rsidR="00DE5B96" w:rsidRPr="006A0B36" w:rsidRDefault="008B17EE" w:rsidP="00462360">
      <w:r w:rsidRPr="006A0B36">
        <w:rPr>
          <w:rFonts w:hint="eastAsia"/>
          <w:sz w:val="28"/>
          <w:szCs w:val="28"/>
        </w:rPr>
        <w:t>資料來源：衛福部</w:t>
      </w:r>
    </w:p>
    <w:sectPr w:rsidR="00DE5B96" w:rsidRPr="006A0B36" w:rsidSect="00462360">
      <w:pgSz w:w="16840" w:h="11907" w:orient="landscape" w:code="9"/>
      <w:pgMar w:top="1418" w:right="1701"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87A" w:rsidRDefault="003A687A" w:rsidP="00255E08">
      <w:r>
        <w:separator/>
      </w:r>
    </w:p>
  </w:endnote>
  <w:endnote w:type="continuationSeparator" w:id="0">
    <w:p w:rsidR="003A687A" w:rsidRDefault="003A687A" w:rsidP="00255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BDD" w:rsidRDefault="00216BDD">
    <w:pPr>
      <w:pStyle w:val="af0"/>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045490">
      <w:rPr>
        <w:rStyle w:val="a7"/>
        <w:noProof/>
        <w:sz w:val="24"/>
      </w:rPr>
      <w:t>1</w:t>
    </w:r>
    <w:r>
      <w:rPr>
        <w:rStyle w:val="a7"/>
        <w:sz w:val="24"/>
      </w:rPr>
      <w:fldChar w:fldCharType="end"/>
    </w:r>
  </w:p>
  <w:p w:rsidR="00216BDD" w:rsidRDefault="00216BD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87A" w:rsidRDefault="003A687A" w:rsidP="00255E08">
      <w:r>
        <w:separator/>
      </w:r>
    </w:p>
  </w:footnote>
  <w:footnote w:type="continuationSeparator" w:id="0">
    <w:p w:rsidR="003A687A" w:rsidRDefault="003A687A" w:rsidP="00255E08">
      <w:r>
        <w:continuationSeparator/>
      </w:r>
    </w:p>
  </w:footnote>
  <w:footnote w:id="1">
    <w:p w:rsidR="00216BDD" w:rsidRPr="004E21FF" w:rsidRDefault="00216BDD">
      <w:pPr>
        <w:pStyle w:val="af3"/>
      </w:pPr>
      <w:r>
        <w:rPr>
          <w:rStyle w:val="af5"/>
        </w:rPr>
        <w:footnoteRef/>
      </w:r>
      <w:r w:rsidRPr="007F7A13">
        <w:rPr>
          <w:rFonts w:hint="eastAsia"/>
          <w:bCs/>
        </w:rPr>
        <w:t>衛生福利部</w:t>
      </w:r>
      <w:r>
        <w:rPr>
          <w:rFonts w:hint="eastAsia"/>
          <w:bCs/>
        </w:rPr>
        <w:t>106</w:t>
      </w:r>
      <w:r>
        <w:rPr>
          <w:rFonts w:hint="eastAsia"/>
        </w:rPr>
        <w:t>年</w:t>
      </w:r>
      <w:r>
        <w:rPr>
          <w:rFonts w:hint="eastAsia"/>
        </w:rPr>
        <w:t>12</w:t>
      </w:r>
      <w:r>
        <w:rPr>
          <w:rFonts w:hint="eastAsia"/>
        </w:rPr>
        <w:t>月</w:t>
      </w:r>
      <w:r>
        <w:rPr>
          <w:rFonts w:hint="eastAsia"/>
        </w:rPr>
        <w:t>19</w:t>
      </w:r>
      <w:r>
        <w:rPr>
          <w:rFonts w:hint="eastAsia"/>
        </w:rPr>
        <w:t>日衛部醫字第</w:t>
      </w:r>
      <w:r>
        <w:rPr>
          <w:rFonts w:hint="eastAsia"/>
        </w:rPr>
        <w:t>1061669448</w:t>
      </w:r>
      <w:r>
        <w:rPr>
          <w:rFonts w:hint="eastAsia"/>
        </w:rPr>
        <w:t>號函。</w:t>
      </w:r>
    </w:p>
  </w:footnote>
  <w:footnote w:id="2">
    <w:p w:rsidR="00216BDD" w:rsidRPr="00E1584B" w:rsidRDefault="00216BDD" w:rsidP="00633727">
      <w:pPr>
        <w:pStyle w:val="af3"/>
      </w:pPr>
      <w:r>
        <w:rPr>
          <w:rStyle w:val="af5"/>
        </w:rPr>
        <w:footnoteRef/>
      </w:r>
      <w:r>
        <w:rPr>
          <w:rFonts w:hint="eastAsia"/>
        </w:rPr>
        <w:t>自</w:t>
      </w:r>
      <w:r>
        <w:rPr>
          <w:rFonts w:hint="eastAsia"/>
        </w:rPr>
        <w:t>103</w:t>
      </w:r>
      <w:r>
        <w:rPr>
          <w:rFonts w:hint="eastAsia"/>
        </w:rPr>
        <w:t>年</w:t>
      </w:r>
      <w:r>
        <w:rPr>
          <w:rFonts w:hint="eastAsia"/>
        </w:rPr>
        <w:t>7</w:t>
      </w:r>
      <w:r>
        <w:rPr>
          <w:rFonts w:hint="eastAsia"/>
        </w:rPr>
        <w:t>月開始訓練課程。</w:t>
      </w:r>
    </w:p>
  </w:footnote>
  <w:footnote w:id="3">
    <w:p w:rsidR="00216BDD" w:rsidRPr="0030755C" w:rsidRDefault="00216BDD">
      <w:pPr>
        <w:pStyle w:val="af3"/>
      </w:pPr>
      <w:r>
        <w:rPr>
          <w:rStyle w:val="af5"/>
        </w:rPr>
        <w:footnoteRef/>
      </w:r>
      <w:r w:rsidRPr="007F7A13">
        <w:rPr>
          <w:rFonts w:hint="eastAsia"/>
          <w:bCs/>
        </w:rPr>
        <w:t>衛生福利部</w:t>
      </w:r>
      <w:r>
        <w:rPr>
          <w:rFonts w:hint="eastAsia"/>
          <w:bCs/>
        </w:rPr>
        <w:t>106</w:t>
      </w:r>
      <w:r>
        <w:rPr>
          <w:rFonts w:hint="eastAsia"/>
        </w:rPr>
        <w:t>年</w:t>
      </w:r>
      <w:r>
        <w:rPr>
          <w:rFonts w:hint="eastAsia"/>
        </w:rPr>
        <w:t>3</w:t>
      </w:r>
      <w:r>
        <w:rPr>
          <w:rFonts w:hint="eastAsia"/>
        </w:rPr>
        <w:t>月</w:t>
      </w:r>
      <w:r>
        <w:rPr>
          <w:rFonts w:hint="eastAsia"/>
        </w:rPr>
        <w:t>22</w:t>
      </w:r>
      <w:r>
        <w:rPr>
          <w:rFonts w:hint="eastAsia"/>
        </w:rPr>
        <w:t>日衛部醫字第</w:t>
      </w:r>
      <w:r>
        <w:rPr>
          <w:rFonts w:hint="eastAsia"/>
        </w:rPr>
        <w:t>1061662234</w:t>
      </w:r>
      <w:r>
        <w:rPr>
          <w:rFonts w:hint="eastAsia"/>
        </w:rPr>
        <w:t>號函。</w:t>
      </w:r>
    </w:p>
  </w:footnote>
  <w:footnote w:id="4">
    <w:p w:rsidR="00216BDD" w:rsidRPr="00BE74CD" w:rsidRDefault="00216BDD" w:rsidP="00572C14">
      <w:pPr>
        <w:pStyle w:val="af3"/>
      </w:pPr>
      <w:r>
        <w:rPr>
          <w:rStyle w:val="af5"/>
        </w:rPr>
        <w:footnoteRef/>
      </w:r>
      <w:r w:rsidRPr="00BE74CD">
        <w:rPr>
          <w:rFonts w:hint="eastAsia"/>
        </w:rPr>
        <w:t>醫師法為強化專業分工、保障病人權益及增進國民健康，使不同醫術領域之醫師提供其專精之醫療服務，將醫師區分為醫師、中醫師及牙醫師，其資格之取得要件各有不同。</w:t>
      </w:r>
    </w:p>
  </w:footnote>
  <w:footnote w:id="5">
    <w:p w:rsidR="00216BDD" w:rsidRDefault="00216BDD">
      <w:pPr>
        <w:pStyle w:val="af3"/>
      </w:pPr>
      <w:r>
        <w:rPr>
          <w:rStyle w:val="af5"/>
        </w:rPr>
        <w:footnoteRef/>
      </w:r>
      <w:r w:rsidRPr="007067C1">
        <w:rPr>
          <w:rFonts w:hint="eastAsia"/>
        </w:rPr>
        <w:t>一般醫學訓練計</w:t>
      </w:r>
      <w:r>
        <w:rPr>
          <w:rFonts w:hint="eastAsia"/>
        </w:rPr>
        <w:t>畫</w:t>
      </w:r>
      <w:r>
        <w:rPr>
          <w:rFonts w:hint="eastAsia"/>
        </w:rPr>
        <w:t>(</w:t>
      </w:r>
      <w:r w:rsidRPr="007067C1">
        <w:rPr>
          <w:rFonts w:hint="eastAsia"/>
        </w:rPr>
        <w:t>Post-Graduate Year</w:t>
      </w:r>
      <w:r>
        <w:rPr>
          <w:rFonts w:hint="eastAsia"/>
        </w:rPr>
        <w:t>，</w:t>
      </w:r>
      <w:r w:rsidRPr="007067C1">
        <w:rPr>
          <w:rFonts w:hint="eastAsia"/>
        </w:rPr>
        <w:t>簡稱</w:t>
      </w:r>
      <w:r>
        <w:rPr>
          <w:rFonts w:hint="eastAsia"/>
        </w:rPr>
        <w:t>：</w:t>
      </w:r>
      <w:r w:rsidRPr="007067C1">
        <w:rPr>
          <w:rFonts w:hint="eastAsia"/>
        </w:rPr>
        <w:t>PGY</w:t>
      </w:r>
      <w:r>
        <w:rPr>
          <w:rFonts w:hint="eastAsia"/>
        </w:rPr>
        <w:t>)</w:t>
      </w:r>
      <w:r>
        <w:rPr>
          <w:rFonts w:hint="eastAsia"/>
        </w:rPr>
        <w:t>，亦即</w:t>
      </w:r>
      <w:r w:rsidRPr="007C26DB">
        <w:rPr>
          <w:rFonts w:hint="eastAsia"/>
        </w:rPr>
        <w:t>畢業後綜合臨床醫學訓練</w:t>
      </w:r>
      <w:r w:rsidRPr="007067C1">
        <w:rPr>
          <w:rFonts w:hint="eastAsia"/>
        </w:rPr>
        <w:t>。</w:t>
      </w:r>
    </w:p>
  </w:footnote>
  <w:footnote w:id="6">
    <w:p w:rsidR="00216BDD" w:rsidRDefault="00216BDD" w:rsidP="00572C14">
      <w:pPr>
        <w:pStyle w:val="af3"/>
      </w:pPr>
      <w:r>
        <w:rPr>
          <w:rStyle w:val="af5"/>
        </w:rPr>
        <w:footnoteRef/>
      </w:r>
      <w:r>
        <w:rPr>
          <w:rFonts w:hint="eastAsia"/>
        </w:rPr>
        <w:t>係</w:t>
      </w:r>
      <w:r w:rsidRPr="00DE1785">
        <w:rPr>
          <w:rFonts w:hint="eastAsia"/>
        </w:rPr>
        <w:t>為落實醫療法第</w:t>
      </w:r>
      <w:r w:rsidRPr="00DE1785">
        <w:rPr>
          <w:rFonts w:hint="eastAsia"/>
        </w:rPr>
        <w:t>18</w:t>
      </w:r>
      <w:r w:rsidRPr="00DE1785">
        <w:rPr>
          <w:rFonts w:hint="eastAsia"/>
        </w:rPr>
        <w:t>條第</w:t>
      </w:r>
      <w:r w:rsidRPr="00DE1785">
        <w:rPr>
          <w:rFonts w:hint="eastAsia"/>
        </w:rPr>
        <w:t>2</w:t>
      </w:r>
      <w:r w:rsidRPr="00DE1785">
        <w:rPr>
          <w:rFonts w:hint="eastAsia"/>
        </w:rPr>
        <w:t>項規定，衛福部於</w:t>
      </w:r>
      <w:r w:rsidRPr="00DE1785">
        <w:rPr>
          <w:rFonts w:hint="eastAsia"/>
        </w:rPr>
        <w:t>99</w:t>
      </w:r>
      <w:r w:rsidRPr="00DE1785">
        <w:rPr>
          <w:rFonts w:hint="eastAsia"/>
        </w:rPr>
        <w:t>年公告，</w:t>
      </w:r>
      <w:r>
        <w:rPr>
          <w:rFonts w:hint="eastAsia"/>
        </w:rPr>
        <w:t>自</w:t>
      </w:r>
      <w:r w:rsidRPr="00DE1785">
        <w:rPr>
          <w:rFonts w:hint="eastAsia"/>
        </w:rPr>
        <w:t>103</w:t>
      </w:r>
      <w:r w:rsidRPr="00DE1785">
        <w:rPr>
          <w:rFonts w:hint="eastAsia"/>
        </w:rPr>
        <w:t>年起，欲擔任中醫機構負責醫師者，須於教學醫院或中醫評鑑合格醫院，接受</w:t>
      </w:r>
      <w:r w:rsidRPr="00DE1785">
        <w:rPr>
          <w:rFonts w:hint="eastAsia"/>
        </w:rPr>
        <w:t>2</w:t>
      </w:r>
      <w:r w:rsidRPr="00DE1785">
        <w:rPr>
          <w:rFonts w:hint="eastAsia"/>
        </w:rPr>
        <w:t>年訓練，始得開業。</w:t>
      </w:r>
    </w:p>
  </w:footnote>
  <w:footnote w:id="7">
    <w:p w:rsidR="00216BDD" w:rsidRPr="00720C3F" w:rsidRDefault="00216BDD">
      <w:pPr>
        <w:pStyle w:val="af3"/>
      </w:pPr>
      <w:r>
        <w:rPr>
          <w:rStyle w:val="af5"/>
        </w:rPr>
        <w:footnoteRef/>
      </w:r>
      <w:r>
        <w:rPr>
          <w:rFonts w:hint="eastAsia"/>
        </w:rPr>
        <w:t>附錄</w:t>
      </w:r>
      <w:r>
        <w:rPr>
          <w:rFonts w:hint="eastAsia"/>
        </w:rPr>
        <w:t>1</w:t>
      </w:r>
      <w:r>
        <w:rPr>
          <w:rFonts w:hint="eastAsia"/>
        </w:rPr>
        <w:t>：本案</w:t>
      </w:r>
      <w:r w:rsidRPr="00720C3F">
        <w:rPr>
          <w:rFonts w:hint="eastAsia"/>
        </w:rPr>
        <w:t>諮詢專家學者會議意見</w:t>
      </w:r>
      <w:r>
        <w:rPr>
          <w:rFonts w:hint="eastAsia"/>
        </w:rPr>
        <w:t>。</w:t>
      </w:r>
    </w:p>
  </w:footnote>
  <w:footnote w:id="8">
    <w:p w:rsidR="00216BDD" w:rsidRPr="00C726FC" w:rsidRDefault="00216BDD">
      <w:pPr>
        <w:pStyle w:val="af3"/>
      </w:pPr>
      <w:r>
        <w:rPr>
          <w:rStyle w:val="af5"/>
        </w:rPr>
        <w:footnoteRef/>
      </w:r>
      <w:r>
        <w:t xml:space="preserve"> </w:t>
      </w:r>
      <w:r>
        <w:rPr>
          <w:rFonts w:hint="eastAsia"/>
        </w:rPr>
        <w:t>附錄</w:t>
      </w:r>
      <w:r>
        <w:rPr>
          <w:rFonts w:hint="eastAsia"/>
        </w:rPr>
        <w:t>2</w:t>
      </w:r>
      <w:r>
        <w:rPr>
          <w:rFonts w:hint="eastAsia"/>
        </w:rPr>
        <w:t>：本案</w:t>
      </w:r>
      <w:r w:rsidRPr="00720C3F">
        <w:rPr>
          <w:rFonts w:hint="eastAsia"/>
        </w:rPr>
        <w:t>辦理履勘座談意見及內容</w:t>
      </w:r>
      <w:r>
        <w:rPr>
          <w:rFonts w:hint="eastAsia"/>
        </w:rPr>
        <w:t>。</w:t>
      </w:r>
    </w:p>
  </w:footnote>
  <w:footnote w:id="9">
    <w:p w:rsidR="00216BDD" w:rsidRPr="00454572" w:rsidRDefault="00216BDD">
      <w:pPr>
        <w:pStyle w:val="af3"/>
      </w:pPr>
      <w:r>
        <w:rPr>
          <w:rStyle w:val="af5"/>
        </w:rPr>
        <w:footnoteRef/>
      </w:r>
      <w:r w:rsidRPr="007F7A13">
        <w:rPr>
          <w:rFonts w:hint="eastAsia"/>
          <w:bCs/>
        </w:rPr>
        <w:t>衛生福利部</w:t>
      </w:r>
      <w:r>
        <w:rPr>
          <w:rFonts w:hint="eastAsia"/>
          <w:bCs/>
        </w:rPr>
        <w:t>106</w:t>
      </w:r>
      <w:r>
        <w:rPr>
          <w:rFonts w:hint="eastAsia"/>
        </w:rPr>
        <w:t>年</w:t>
      </w:r>
      <w:r>
        <w:rPr>
          <w:rFonts w:hint="eastAsia"/>
        </w:rPr>
        <w:t>3</w:t>
      </w:r>
      <w:r>
        <w:rPr>
          <w:rFonts w:hint="eastAsia"/>
        </w:rPr>
        <w:t>月</w:t>
      </w:r>
      <w:r>
        <w:rPr>
          <w:rFonts w:hint="eastAsia"/>
        </w:rPr>
        <w:t>22</w:t>
      </w:r>
      <w:r>
        <w:rPr>
          <w:rFonts w:hint="eastAsia"/>
        </w:rPr>
        <w:t>日衛部醫字第</w:t>
      </w:r>
      <w:r>
        <w:rPr>
          <w:rFonts w:hint="eastAsia"/>
        </w:rPr>
        <w:t>1061662234</w:t>
      </w:r>
      <w:r>
        <w:rPr>
          <w:rFonts w:hint="eastAsia"/>
        </w:rPr>
        <w:t>號函。</w:t>
      </w:r>
    </w:p>
  </w:footnote>
  <w:footnote w:id="10">
    <w:p w:rsidR="00216BDD" w:rsidRPr="00B0716A" w:rsidRDefault="00216BDD">
      <w:pPr>
        <w:pStyle w:val="af3"/>
      </w:pPr>
      <w:r>
        <w:rPr>
          <w:rStyle w:val="af5"/>
        </w:rPr>
        <w:footnoteRef/>
      </w:r>
      <w:r>
        <w:rPr>
          <w:rFonts w:hint="eastAsia"/>
        </w:rPr>
        <w:t>附錄</w:t>
      </w:r>
      <w:r>
        <w:rPr>
          <w:rFonts w:hint="eastAsia"/>
        </w:rPr>
        <w:t>1</w:t>
      </w:r>
      <w:r>
        <w:rPr>
          <w:rFonts w:hint="eastAsia"/>
        </w:rPr>
        <w:t>：本案</w:t>
      </w:r>
      <w:r w:rsidRPr="00720C3F">
        <w:rPr>
          <w:rFonts w:hint="eastAsia"/>
        </w:rPr>
        <w:t>諮詢專家學者會議意見</w:t>
      </w:r>
      <w:r>
        <w:rPr>
          <w:rFonts w:hint="eastAsia"/>
        </w:rPr>
        <w:t>。</w:t>
      </w:r>
    </w:p>
  </w:footnote>
  <w:footnote w:id="11">
    <w:p w:rsidR="00216BDD" w:rsidRPr="00B0716A" w:rsidRDefault="00216BDD">
      <w:pPr>
        <w:pStyle w:val="af3"/>
      </w:pPr>
      <w:r>
        <w:rPr>
          <w:rStyle w:val="af5"/>
        </w:rPr>
        <w:footnoteRef/>
      </w:r>
      <w:r>
        <w:rPr>
          <w:rFonts w:hint="eastAsia"/>
        </w:rPr>
        <w:t>附錄</w:t>
      </w:r>
      <w:r>
        <w:rPr>
          <w:rFonts w:hint="eastAsia"/>
        </w:rPr>
        <w:t>2</w:t>
      </w:r>
      <w:r>
        <w:rPr>
          <w:rFonts w:hint="eastAsia"/>
        </w:rPr>
        <w:t>：本案</w:t>
      </w:r>
      <w:r w:rsidRPr="00720C3F">
        <w:rPr>
          <w:rFonts w:hint="eastAsia"/>
        </w:rPr>
        <w:t>辦理履勘座談意見及內容</w:t>
      </w:r>
      <w:r>
        <w:rPr>
          <w:rFonts w:hint="eastAsia"/>
        </w:rPr>
        <w:t>。</w:t>
      </w:r>
    </w:p>
  </w:footnote>
  <w:footnote w:id="12">
    <w:p w:rsidR="00216BDD" w:rsidRDefault="00216BDD">
      <w:pPr>
        <w:pStyle w:val="af3"/>
      </w:pPr>
      <w:r>
        <w:rPr>
          <w:rStyle w:val="af5"/>
        </w:rPr>
        <w:footnoteRef/>
      </w:r>
      <w:r>
        <w:rPr>
          <w:rFonts w:hint="eastAsia"/>
        </w:rPr>
        <w:t>引述自國家衛生研究院論壇「二十一世紀醫事人員培育與執業環境的改善」，第</w:t>
      </w:r>
      <w:r>
        <w:rPr>
          <w:rFonts w:hint="eastAsia"/>
        </w:rPr>
        <w:t>26</w:t>
      </w:r>
      <w:r>
        <w:rPr>
          <w:rFonts w:hint="eastAsia"/>
        </w:rPr>
        <w:t>頁。</w:t>
      </w:r>
    </w:p>
  </w:footnote>
  <w:footnote w:id="13">
    <w:p w:rsidR="00216BDD" w:rsidRPr="00CE4BCC" w:rsidRDefault="00216BDD">
      <w:pPr>
        <w:pStyle w:val="af3"/>
      </w:pPr>
      <w:r>
        <w:rPr>
          <w:rStyle w:val="af5"/>
        </w:rPr>
        <w:footnoteRef/>
      </w:r>
      <w:r w:rsidRPr="007F7A13">
        <w:rPr>
          <w:rFonts w:hint="eastAsia"/>
          <w:bCs/>
        </w:rPr>
        <w:t>衛生福利部</w:t>
      </w:r>
      <w:r>
        <w:rPr>
          <w:rFonts w:hint="eastAsia"/>
          <w:bCs/>
        </w:rPr>
        <w:t>106</w:t>
      </w:r>
      <w:r>
        <w:rPr>
          <w:rFonts w:hint="eastAsia"/>
        </w:rPr>
        <w:t>年</w:t>
      </w:r>
      <w:r>
        <w:rPr>
          <w:rFonts w:hint="eastAsia"/>
        </w:rPr>
        <w:t>10</w:t>
      </w:r>
      <w:r>
        <w:rPr>
          <w:rFonts w:hint="eastAsia"/>
        </w:rPr>
        <w:t>月</w:t>
      </w:r>
      <w:r>
        <w:rPr>
          <w:rFonts w:hint="eastAsia"/>
        </w:rPr>
        <w:t>3</w:t>
      </w:r>
      <w:r>
        <w:rPr>
          <w:rFonts w:hint="eastAsia"/>
        </w:rPr>
        <w:t>日衛部中字第</w:t>
      </w:r>
      <w:r>
        <w:rPr>
          <w:rFonts w:hint="eastAsia"/>
        </w:rPr>
        <w:t>1061861276</w:t>
      </w:r>
      <w:r>
        <w:rPr>
          <w:rFonts w:hint="eastAsia"/>
        </w:rPr>
        <w:t>號公告。</w:t>
      </w:r>
    </w:p>
  </w:footnote>
  <w:footnote w:id="14">
    <w:p w:rsidR="00216BDD" w:rsidRPr="004342FB" w:rsidRDefault="00216BDD">
      <w:pPr>
        <w:pStyle w:val="af3"/>
      </w:pPr>
      <w:r>
        <w:rPr>
          <w:rStyle w:val="af5"/>
        </w:rPr>
        <w:footnoteRef/>
      </w:r>
      <w:r>
        <w:rPr>
          <w:rFonts w:hint="eastAsia"/>
        </w:rPr>
        <w:t>附錄</w:t>
      </w:r>
      <w:r>
        <w:rPr>
          <w:rFonts w:hint="eastAsia"/>
        </w:rPr>
        <w:t>2</w:t>
      </w:r>
      <w:r>
        <w:rPr>
          <w:rFonts w:hint="eastAsia"/>
        </w:rPr>
        <w:t>：本案</w:t>
      </w:r>
      <w:r w:rsidRPr="00720C3F">
        <w:rPr>
          <w:rFonts w:hint="eastAsia"/>
        </w:rPr>
        <w:t>辦理履勘座談意見及內容</w:t>
      </w:r>
      <w:r>
        <w:rPr>
          <w:rFonts w:hint="eastAsia"/>
        </w:rPr>
        <w:t>。</w:t>
      </w:r>
    </w:p>
  </w:footnote>
  <w:footnote w:id="15">
    <w:p w:rsidR="00216BDD" w:rsidRPr="001A6E19" w:rsidRDefault="00216BDD" w:rsidP="00C551F0">
      <w:pPr>
        <w:pStyle w:val="af3"/>
      </w:pPr>
      <w:r>
        <w:rPr>
          <w:rStyle w:val="af5"/>
        </w:rPr>
        <w:footnoteRef/>
      </w:r>
      <w:r w:rsidRPr="00955AB3">
        <w:rPr>
          <w:rFonts w:hint="eastAsia"/>
        </w:rPr>
        <w:t>第</w:t>
      </w:r>
      <w:r>
        <w:rPr>
          <w:rFonts w:hint="eastAsia"/>
        </w:rPr>
        <w:t>18</w:t>
      </w:r>
      <w:r w:rsidRPr="00955AB3">
        <w:rPr>
          <w:rFonts w:hint="eastAsia"/>
        </w:rPr>
        <w:t>條</w:t>
      </w:r>
      <w:r>
        <w:rPr>
          <w:rFonts w:hint="eastAsia"/>
        </w:rPr>
        <w:t>第</w:t>
      </w:r>
      <w:r>
        <w:rPr>
          <w:rFonts w:hint="eastAsia"/>
        </w:rPr>
        <w:t>1</w:t>
      </w:r>
      <w:r>
        <w:rPr>
          <w:rFonts w:hint="eastAsia"/>
        </w:rPr>
        <w:t>項：醫療機構應置負責醫師一人，對其機構醫療業務，負督導責任。私立醫療機構，並以其申請人為負責醫師。</w:t>
      </w:r>
      <w:r>
        <w:t xml:space="preserve"> </w:t>
      </w:r>
    </w:p>
  </w:footnote>
  <w:footnote w:id="16">
    <w:p w:rsidR="00216BDD" w:rsidRDefault="00216BDD" w:rsidP="00C551F0">
      <w:pPr>
        <w:pStyle w:val="af3"/>
      </w:pPr>
      <w:r>
        <w:rPr>
          <w:rStyle w:val="af5"/>
        </w:rPr>
        <w:footnoteRef/>
      </w:r>
      <w:r w:rsidRPr="008949B3">
        <w:rPr>
          <w:rFonts w:hint="eastAsia"/>
        </w:rPr>
        <w:t>第</w:t>
      </w:r>
      <w:r w:rsidRPr="008949B3">
        <w:rPr>
          <w:rFonts w:hint="eastAsia"/>
        </w:rPr>
        <w:t>57</w:t>
      </w:r>
      <w:r w:rsidRPr="008949B3">
        <w:rPr>
          <w:rFonts w:hint="eastAsia"/>
        </w:rPr>
        <w:t>條</w:t>
      </w:r>
      <w:r>
        <w:rPr>
          <w:rFonts w:hint="eastAsia"/>
        </w:rPr>
        <w:t>第</w:t>
      </w:r>
      <w:r>
        <w:rPr>
          <w:rFonts w:hint="eastAsia"/>
        </w:rPr>
        <w:t>1</w:t>
      </w:r>
      <w:r>
        <w:rPr>
          <w:rFonts w:hint="eastAsia"/>
        </w:rPr>
        <w:t>項：醫療機構應督導所屬醫事人員，依各該醫事專門職業法規規定，執行業務。</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2433"/>
        </w:tabs>
        <w:ind w:left="1688" w:hanging="695"/>
      </w:pPr>
      <w:rPr>
        <w:rFonts w:ascii="標楷體" w:eastAsia="標楷體" w:hint="eastAsia"/>
        <w:b w:val="0"/>
        <w:i w:val="0"/>
        <w:sz w:val="32"/>
      </w:rPr>
    </w:lvl>
    <w:lvl w:ilvl="1" w:tplc="04090019" w:tentative="1">
      <w:start w:val="1"/>
      <w:numFmt w:val="ideographTraditional"/>
      <w:lvlText w:val="%2、"/>
      <w:lvlJc w:val="left"/>
      <w:pPr>
        <w:tabs>
          <w:tab w:val="num" w:pos="1953"/>
        </w:tabs>
        <w:ind w:left="1953" w:hanging="480"/>
      </w:pPr>
    </w:lvl>
    <w:lvl w:ilvl="2" w:tplc="0409001B" w:tentative="1">
      <w:start w:val="1"/>
      <w:numFmt w:val="lowerRoman"/>
      <w:lvlText w:val="%3."/>
      <w:lvlJc w:val="right"/>
      <w:pPr>
        <w:tabs>
          <w:tab w:val="num" w:pos="2433"/>
        </w:tabs>
        <w:ind w:left="2433" w:hanging="480"/>
      </w:pPr>
    </w:lvl>
    <w:lvl w:ilvl="3" w:tplc="0409000F" w:tentative="1">
      <w:start w:val="1"/>
      <w:numFmt w:val="decimal"/>
      <w:lvlText w:val="%4."/>
      <w:lvlJc w:val="left"/>
      <w:pPr>
        <w:tabs>
          <w:tab w:val="num" w:pos="2913"/>
        </w:tabs>
        <w:ind w:left="2913" w:hanging="480"/>
      </w:pPr>
    </w:lvl>
    <w:lvl w:ilvl="4" w:tplc="04090019" w:tentative="1">
      <w:start w:val="1"/>
      <w:numFmt w:val="ideographTraditional"/>
      <w:lvlText w:val="%5、"/>
      <w:lvlJc w:val="left"/>
      <w:pPr>
        <w:tabs>
          <w:tab w:val="num" w:pos="3393"/>
        </w:tabs>
        <w:ind w:left="3393" w:hanging="480"/>
      </w:pPr>
    </w:lvl>
    <w:lvl w:ilvl="5" w:tplc="0409001B" w:tentative="1">
      <w:start w:val="1"/>
      <w:numFmt w:val="lowerRoman"/>
      <w:lvlText w:val="%6."/>
      <w:lvlJc w:val="right"/>
      <w:pPr>
        <w:tabs>
          <w:tab w:val="num" w:pos="3873"/>
        </w:tabs>
        <w:ind w:left="3873" w:hanging="480"/>
      </w:pPr>
    </w:lvl>
    <w:lvl w:ilvl="6" w:tplc="0409000F" w:tentative="1">
      <w:start w:val="1"/>
      <w:numFmt w:val="decimal"/>
      <w:lvlText w:val="%7."/>
      <w:lvlJc w:val="left"/>
      <w:pPr>
        <w:tabs>
          <w:tab w:val="num" w:pos="4353"/>
        </w:tabs>
        <w:ind w:left="4353" w:hanging="480"/>
      </w:pPr>
    </w:lvl>
    <w:lvl w:ilvl="7" w:tplc="04090019" w:tentative="1">
      <w:start w:val="1"/>
      <w:numFmt w:val="ideographTraditional"/>
      <w:lvlText w:val="%8、"/>
      <w:lvlJc w:val="left"/>
      <w:pPr>
        <w:tabs>
          <w:tab w:val="num" w:pos="4833"/>
        </w:tabs>
        <w:ind w:left="4833" w:hanging="480"/>
      </w:pPr>
    </w:lvl>
    <w:lvl w:ilvl="8" w:tplc="0409001B" w:tentative="1">
      <w:start w:val="1"/>
      <w:numFmt w:val="lowerRoman"/>
      <w:lvlText w:val="%9."/>
      <w:lvlJc w:val="right"/>
      <w:pPr>
        <w:tabs>
          <w:tab w:val="num" w:pos="5313"/>
        </w:tabs>
        <w:ind w:left="5313" w:hanging="480"/>
      </w:pPr>
    </w:lvl>
  </w:abstractNum>
  <w:abstractNum w:abstractNumId="1" w15:restartNumberingAfterBreak="0">
    <w:nsid w:val="140E010C"/>
    <w:multiLevelType w:val="multilevel"/>
    <w:tmpl w:val="FDF095FA"/>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3108"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4526"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3536"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4276"/>
        </w:tabs>
        <w:ind w:left="3531" w:hanging="695"/>
      </w:pPr>
      <w:rPr>
        <w:rFonts w:ascii="標楷體" w:eastAsia="標楷體" w:hint="eastAsia"/>
        <w:b w:val="0"/>
        <w:i w:val="0"/>
        <w:sz w:val="32"/>
      </w:rPr>
    </w:lvl>
    <w:lvl w:ilvl="1" w:tplc="04090019" w:tentative="1">
      <w:start w:val="1"/>
      <w:numFmt w:val="ideographTraditional"/>
      <w:lvlText w:val="%2、"/>
      <w:lvlJc w:val="left"/>
      <w:pPr>
        <w:tabs>
          <w:tab w:val="num" w:pos="3796"/>
        </w:tabs>
        <w:ind w:left="3796" w:hanging="480"/>
      </w:pPr>
    </w:lvl>
    <w:lvl w:ilvl="2" w:tplc="0409001B" w:tentative="1">
      <w:start w:val="1"/>
      <w:numFmt w:val="lowerRoman"/>
      <w:lvlText w:val="%3."/>
      <w:lvlJc w:val="right"/>
      <w:pPr>
        <w:tabs>
          <w:tab w:val="num" w:pos="4276"/>
        </w:tabs>
        <w:ind w:left="4276" w:hanging="480"/>
      </w:pPr>
    </w:lvl>
    <w:lvl w:ilvl="3" w:tplc="0409000F" w:tentative="1">
      <w:start w:val="1"/>
      <w:numFmt w:val="decimal"/>
      <w:lvlText w:val="%4."/>
      <w:lvlJc w:val="left"/>
      <w:pPr>
        <w:tabs>
          <w:tab w:val="num" w:pos="4756"/>
        </w:tabs>
        <w:ind w:left="4756" w:hanging="480"/>
      </w:pPr>
    </w:lvl>
    <w:lvl w:ilvl="4" w:tplc="04090019" w:tentative="1">
      <w:start w:val="1"/>
      <w:numFmt w:val="ideographTraditional"/>
      <w:lvlText w:val="%5、"/>
      <w:lvlJc w:val="left"/>
      <w:pPr>
        <w:tabs>
          <w:tab w:val="num" w:pos="5236"/>
        </w:tabs>
        <w:ind w:left="5236" w:hanging="480"/>
      </w:pPr>
    </w:lvl>
    <w:lvl w:ilvl="5" w:tplc="0409001B" w:tentative="1">
      <w:start w:val="1"/>
      <w:numFmt w:val="lowerRoman"/>
      <w:lvlText w:val="%6."/>
      <w:lvlJc w:val="right"/>
      <w:pPr>
        <w:tabs>
          <w:tab w:val="num" w:pos="5716"/>
        </w:tabs>
        <w:ind w:left="5716" w:hanging="480"/>
      </w:pPr>
    </w:lvl>
    <w:lvl w:ilvl="6" w:tplc="0409000F" w:tentative="1">
      <w:start w:val="1"/>
      <w:numFmt w:val="decimal"/>
      <w:lvlText w:val="%7."/>
      <w:lvlJc w:val="left"/>
      <w:pPr>
        <w:tabs>
          <w:tab w:val="num" w:pos="6196"/>
        </w:tabs>
        <w:ind w:left="6196" w:hanging="480"/>
      </w:pPr>
    </w:lvl>
    <w:lvl w:ilvl="7" w:tplc="04090019" w:tentative="1">
      <w:start w:val="1"/>
      <w:numFmt w:val="ideographTraditional"/>
      <w:lvlText w:val="%8、"/>
      <w:lvlJc w:val="left"/>
      <w:pPr>
        <w:tabs>
          <w:tab w:val="num" w:pos="6676"/>
        </w:tabs>
        <w:ind w:left="6676" w:hanging="480"/>
      </w:pPr>
    </w:lvl>
    <w:lvl w:ilvl="8" w:tplc="0409001B" w:tentative="1">
      <w:start w:val="1"/>
      <w:numFmt w:val="lowerRoman"/>
      <w:lvlText w:val="%9."/>
      <w:lvlJc w:val="right"/>
      <w:pPr>
        <w:tabs>
          <w:tab w:val="num" w:pos="7156"/>
        </w:tabs>
        <w:ind w:left="7156" w:hanging="480"/>
      </w:pPr>
    </w:lvl>
  </w:abstractNum>
  <w:abstractNum w:abstractNumId="3" w15:restartNumberingAfterBreak="0">
    <w:nsid w:val="2B9647FC"/>
    <w:multiLevelType w:val="hybridMultilevel"/>
    <w:tmpl w:val="203E4F54"/>
    <w:lvl w:ilvl="0" w:tplc="63320F10">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BCE12B5"/>
    <w:multiLevelType w:val="hybridMultilevel"/>
    <w:tmpl w:val="203E4F54"/>
    <w:lvl w:ilvl="0" w:tplc="63320F10">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76"/>
    <w:rsid w:val="00002455"/>
    <w:rsid w:val="00003927"/>
    <w:rsid w:val="000050A5"/>
    <w:rsid w:val="00015188"/>
    <w:rsid w:val="000173B7"/>
    <w:rsid w:val="00020909"/>
    <w:rsid w:val="00020EBF"/>
    <w:rsid w:val="000223D0"/>
    <w:rsid w:val="00022A03"/>
    <w:rsid w:val="000234F4"/>
    <w:rsid w:val="0004180C"/>
    <w:rsid w:val="00045490"/>
    <w:rsid w:val="000524FC"/>
    <w:rsid w:val="000607AE"/>
    <w:rsid w:val="00064A15"/>
    <w:rsid w:val="00084343"/>
    <w:rsid w:val="0009054B"/>
    <w:rsid w:val="000905B4"/>
    <w:rsid w:val="00090826"/>
    <w:rsid w:val="0009321A"/>
    <w:rsid w:val="00093624"/>
    <w:rsid w:val="00093A9D"/>
    <w:rsid w:val="000948D9"/>
    <w:rsid w:val="000971C2"/>
    <w:rsid w:val="000A4182"/>
    <w:rsid w:val="000A5DFA"/>
    <w:rsid w:val="000B03CD"/>
    <w:rsid w:val="000B76D0"/>
    <w:rsid w:val="000C38EF"/>
    <w:rsid w:val="000C7DB6"/>
    <w:rsid w:val="000D0E8F"/>
    <w:rsid w:val="000D128C"/>
    <w:rsid w:val="000D131B"/>
    <w:rsid w:val="000D3555"/>
    <w:rsid w:val="000D5F4B"/>
    <w:rsid w:val="000D612D"/>
    <w:rsid w:val="000E5A23"/>
    <w:rsid w:val="000E7E3B"/>
    <w:rsid w:val="000F14A7"/>
    <w:rsid w:val="000F1DF5"/>
    <w:rsid w:val="000F27DD"/>
    <w:rsid w:val="000F28C7"/>
    <w:rsid w:val="000F3E61"/>
    <w:rsid w:val="000F53E5"/>
    <w:rsid w:val="001019EF"/>
    <w:rsid w:val="001021AD"/>
    <w:rsid w:val="001103DC"/>
    <w:rsid w:val="0011339C"/>
    <w:rsid w:val="00115705"/>
    <w:rsid w:val="00123D04"/>
    <w:rsid w:val="0012737B"/>
    <w:rsid w:val="0013116E"/>
    <w:rsid w:val="00133EA8"/>
    <w:rsid w:val="001735DA"/>
    <w:rsid w:val="001765D1"/>
    <w:rsid w:val="00180468"/>
    <w:rsid w:val="00190311"/>
    <w:rsid w:val="001908B5"/>
    <w:rsid w:val="00191D1C"/>
    <w:rsid w:val="00194319"/>
    <w:rsid w:val="001957A5"/>
    <w:rsid w:val="00195AC4"/>
    <w:rsid w:val="001A2F13"/>
    <w:rsid w:val="001A6E19"/>
    <w:rsid w:val="001A7876"/>
    <w:rsid w:val="001B31CF"/>
    <w:rsid w:val="001C1CA6"/>
    <w:rsid w:val="001C623A"/>
    <w:rsid w:val="001D072A"/>
    <w:rsid w:val="001D1EFF"/>
    <w:rsid w:val="001D5AC5"/>
    <w:rsid w:val="001E6480"/>
    <w:rsid w:val="001F2825"/>
    <w:rsid w:val="001F3B28"/>
    <w:rsid w:val="001F78CE"/>
    <w:rsid w:val="00204656"/>
    <w:rsid w:val="00204F5B"/>
    <w:rsid w:val="002054BC"/>
    <w:rsid w:val="002169B1"/>
    <w:rsid w:val="00216BDD"/>
    <w:rsid w:val="002201F0"/>
    <w:rsid w:val="00222868"/>
    <w:rsid w:val="002343BE"/>
    <w:rsid w:val="00237057"/>
    <w:rsid w:val="0024080D"/>
    <w:rsid w:val="002438B4"/>
    <w:rsid w:val="00250302"/>
    <w:rsid w:val="00251EB2"/>
    <w:rsid w:val="00255CEE"/>
    <w:rsid w:val="00255D5C"/>
    <w:rsid w:val="00255E08"/>
    <w:rsid w:val="002577F5"/>
    <w:rsid w:val="002604BF"/>
    <w:rsid w:val="002618C3"/>
    <w:rsid w:val="00262291"/>
    <w:rsid w:val="00267684"/>
    <w:rsid w:val="00273A81"/>
    <w:rsid w:val="0027630B"/>
    <w:rsid w:val="00277A5C"/>
    <w:rsid w:val="002807C2"/>
    <w:rsid w:val="00281AED"/>
    <w:rsid w:val="00286D2B"/>
    <w:rsid w:val="0029271A"/>
    <w:rsid w:val="00294E50"/>
    <w:rsid w:val="0029551C"/>
    <w:rsid w:val="00296EA0"/>
    <w:rsid w:val="002A1580"/>
    <w:rsid w:val="002C5C2D"/>
    <w:rsid w:val="002C6B75"/>
    <w:rsid w:val="002E6AD8"/>
    <w:rsid w:val="002F2625"/>
    <w:rsid w:val="003016AC"/>
    <w:rsid w:val="003045CB"/>
    <w:rsid w:val="00306351"/>
    <w:rsid w:val="00307539"/>
    <w:rsid w:val="0030755C"/>
    <w:rsid w:val="00316942"/>
    <w:rsid w:val="00316B27"/>
    <w:rsid w:val="00323AFE"/>
    <w:rsid w:val="00326650"/>
    <w:rsid w:val="003323F5"/>
    <w:rsid w:val="00332BCD"/>
    <w:rsid w:val="003340CE"/>
    <w:rsid w:val="003375EF"/>
    <w:rsid w:val="00343E1F"/>
    <w:rsid w:val="00347CFF"/>
    <w:rsid w:val="00350A6A"/>
    <w:rsid w:val="003524F5"/>
    <w:rsid w:val="00353BFC"/>
    <w:rsid w:val="003564EA"/>
    <w:rsid w:val="003609E0"/>
    <w:rsid w:val="00361A9B"/>
    <w:rsid w:val="00361FE3"/>
    <w:rsid w:val="00362779"/>
    <w:rsid w:val="00364769"/>
    <w:rsid w:val="0036628A"/>
    <w:rsid w:val="00366B6B"/>
    <w:rsid w:val="0037390D"/>
    <w:rsid w:val="003742A6"/>
    <w:rsid w:val="0037465A"/>
    <w:rsid w:val="003775C0"/>
    <w:rsid w:val="00392470"/>
    <w:rsid w:val="00393F0D"/>
    <w:rsid w:val="0039486D"/>
    <w:rsid w:val="003A687A"/>
    <w:rsid w:val="003A7539"/>
    <w:rsid w:val="003C55FE"/>
    <w:rsid w:val="003C7A30"/>
    <w:rsid w:val="003D1DCA"/>
    <w:rsid w:val="003D55BA"/>
    <w:rsid w:val="003E02A9"/>
    <w:rsid w:val="003E053E"/>
    <w:rsid w:val="003E1676"/>
    <w:rsid w:val="003E33BF"/>
    <w:rsid w:val="003E77BD"/>
    <w:rsid w:val="003E7F20"/>
    <w:rsid w:val="003F50DF"/>
    <w:rsid w:val="003F5F8F"/>
    <w:rsid w:val="00401FFE"/>
    <w:rsid w:val="00402E81"/>
    <w:rsid w:val="004051FC"/>
    <w:rsid w:val="00410B0C"/>
    <w:rsid w:val="00424DBD"/>
    <w:rsid w:val="0042663B"/>
    <w:rsid w:val="00426702"/>
    <w:rsid w:val="00433220"/>
    <w:rsid w:val="004342FB"/>
    <w:rsid w:val="00451F43"/>
    <w:rsid w:val="00452030"/>
    <w:rsid w:val="004521F9"/>
    <w:rsid w:val="00452940"/>
    <w:rsid w:val="00454572"/>
    <w:rsid w:val="00457E8C"/>
    <w:rsid w:val="00460156"/>
    <w:rsid w:val="00462360"/>
    <w:rsid w:val="004668D1"/>
    <w:rsid w:val="0047660F"/>
    <w:rsid w:val="004852EE"/>
    <w:rsid w:val="004927A6"/>
    <w:rsid w:val="004951F3"/>
    <w:rsid w:val="004A11E4"/>
    <w:rsid w:val="004A66AA"/>
    <w:rsid w:val="004A7770"/>
    <w:rsid w:val="004B020B"/>
    <w:rsid w:val="004B6D73"/>
    <w:rsid w:val="004C31F8"/>
    <w:rsid w:val="004E0260"/>
    <w:rsid w:val="004E21FF"/>
    <w:rsid w:val="004E6AF0"/>
    <w:rsid w:val="004F3624"/>
    <w:rsid w:val="004F6CD3"/>
    <w:rsid w:val="0050227C"/>
    <w:rsid w:val="00502A2A"/>
    <w:rsid w:val="00507B98"/>
    <w:rsid w:val="00511123"/>
    <w:rsid w:val="00512DDC"/>
    <w:rsid w:val="005149DD"/>
    <w:rsid w:val="00515458"/>
    <w:rsid w:val="005157D4"/>
    <w:rsid w:val="0052001E"/>
    <w:rsid w:val="00522B52"/>
    <w:rsid w:val="00525BB1"/>
    <w:rsid w:val="00526392"/>
    <w:rsid w:val="00531635"/>
    <w:rsid w:val="00531E77"/>
    <w:rsid w:val="005436DC"/>
    <w:rsid w:val="00543EA0"/>
    <w:rsid w:val="00555153"/>
    <w:rsid w:val="0055529D"/>
    <w:rsid w:val="00555360"/>
    <w:rsid w:val="0056002C"/>
    <w:rsid w:val="00564621"/>
    <w:rsid w:val="005674B4"/>
    <w:rsid w:val="00570B31"/>
    <w:rsid w:val="00572C14"/>
    <w:rsid w:val="005811B3"/>
    <w:rsid w:val="0058714D"/>
    <w:rsid w:val="0059016F"/>
    <w:rsid w:val="005908AF"/>
    <w:rsid w:val="005917C4"/>
    <w:rsid w:val="00592C56"/>
    <w:rsid w:val="0059675C"/>
    <w:rsid w:val="00597B60"/>
    <w:rsid w:val="005A0E84"/>
    <w:rsid w:val="005A1418"/>
    <w:rsid w:val="005A3944"/>
    <w:rsid w:val="005A3C4B"/>
    <w:rsid w:val="005A5898"/>
    <w:rsid w:val="005A61E7"/>
    <w:rsid w:val="005B08C7"/>
    <w:rsid w:val="005B71D9"/>
    <w:rsid w:val="005C0647"/>
    <w:rsid w:val="005C4CFB"/>
    <w:rsid w:val="005D162C"/>
    <w:rsid w:val="005D23B5"/>
    <w:rsid w:val="005D42D7"/>
    <w:rsid w:val="005D508D"/>
    <w:rsid w:val="005D73A6"/>
    <w:rsid w:val="005E35FB"/>
    <w:rsid w:val="005E3AE7"/>
    <w:rsid w:val="005E5953"/>
    <w:rsid w:val="005E5DCA"/>
    <w:rsid w:val="005F22CE"/>
    <w:rsid w:val="005F3F22"/>
    <w:rsid w:val="005F5176"/>
    <w:rsid w:val="006008CE"/>
    <w:rsid w:val="00603324"/>
    <w:rsid w:val="00603E92"/>
    <w:rsid w:val="00604F26"/>
    <w:rsid w:val="00621C76"/>
    <w:rsid w:val="006245AB"/>
    <w:rsid w:val="0062706C"/>
    <w:rsid w:val="00630122"/>
    <w:rsid w:val="0063046B"/>
    <w:rsid w:val="00631EFD"/>
    <w:rsid w:val="00633727"/>
    <w:rsid w:val="00640230"/>
    <w:rsid w:val="006415FA"/>
    <w:rsid w:val="00644F80"/>
    <w:rsid w:val="00652358"/>
    <w:rsid w:val="00654B43"/>
    <w:rsid w:val="006606D6"/>
    <w:rsid w:val="00661CCD"/>
    <w:rsid w:val="00667592"/>
    <w:rsid w:val="0067566F"/>
    <w:rsid w:val="006851C5"/>
    <w:rsid w:val="0068685D"/>
    <w:rsid w:val="006873D3"/>
    <w:rsid w:val="006A07B0"/>
    <w:rsid w:val="006A0B36"/>
    <w:rsid w:val="006A287D"/>
    <w:rsid w:val="006A7B64"/>
    <w:rsid w:val="006B0872"/>
    <w:rsid w:val="006B1378"/>
    <w:rsid w:val="006B3921"/>
    <w:rsid w:val="006B6A51"/>
    <w:rsid w:val="006C0036"/>
    <w:rsid w:val="006C37DB"/>
    <w:rsid w:val="006D7629"/>
    <w:rsid w:val="006E265B"/>
    <w:rsid w:val="006E285C"/>
    <w:rsid w:val="006E38D7"/>
    <w:rsid w:val="006E3A72"/>
    <w:rsid w:val="006E477B"/>
    <w:rsid w:val="006E51DC"/>
    <w:rsid w:val="006F772F"/>
    <w:rsid w:val="00702803"/>
    <w:rsid w:val="007067C1"/>
    <w:rsid w:val="00711397"/>
    <w:rsid w:val="007124AE"/>
    <w:rsid w:val="007205F7"/>
    <w:rsid w:val="00720C3F"/>
    <w:rsid w:val="00726FBF"/>
    <w:rsid w:val="00733E74"/>
    <w:rsid w:val="00734B3E"/>
    <w:rsid w:val="00741809"/>
    <w:rsid w:val="00743AE9"/>
    <w:rsid w:val="00745BC1"/>
    <w:rsid w:val="0075471F"/>
    <w:rsid w:val="00756E8E"/>
    <w:rsid w:val="00761C71"/>
    <w:rsid w:val="00774A01"/>
    <w:rsid w:val="007763E8"/>
    <w:rsid w:val="00785609"/>
    <w:rsid w:val="00790E81"/>
    <w:rsid w:val="0079580F"/>
    <w:rsid w:val="00795D54"/>
    <w:rsid w:val="007A380F"/>
    <w:rsid w:val="007B0D69"/>
    <w:rsid w:val="007B1161"/>
    <w:rsid w:val="007B1E1A"/>
    <w:rsid w:val="007B24C4"/>
    <w:rsid w:val="007B536A"/>
    <w:rsid w:val="007C1BBA"/>
    <w:rsid w:val="007C26DB"/>
    <w:rsid w:val="007D1FCB"/>
    <w:rsid w:val="007E0568"/>
    <w:rsid w:val="007E09B6"/>
    <w:rsid w:val="007E2D06"/>
    <w:rsid w:val="007E7E12"/>
    <w:rsid w:val="007E7EF0"/>
    <w:rsid w:val="007F1A0B"/>
    <w:rsid w:val="007F2065"/>
    <w:rsid w:val="007F42FF"/>
    <w:rsid w:val="007F639C"/>
    <w:rsid w:val="007F7A13"/>
    <w:rsid w:val="00800428"/>
    <w:rsid w:val="00805788"/>
    <w:rsid w:val="00813C6F"/>
    <w:rsid w:val="008161C6"/>
    <w:rsid w:val="008343FA"/>
    <w:rsid w:val="00836BF2"/>
    <w:rsid w:val="0083706E"/>
    <w:rsid w:val="00841096"/>
    <w:rsid w:val="0084259B"/>
    <w:rsid w:val="008467E1"/>
    <w:rsid w:val="008479CF"/>
    <w:rsid w:val="0085149D"/>
    <w:rsid w:val="008516A7"/>
    <w:rsid w:val="008571B4"/>
    <w:rsid w:val="0086232C"/>
    <w:rsid w:val="00864F92"/>
    <w:rsid w:val="00870CC6"/>
    <w:rsid w:val="00873961"/>
    <w:rsid w:val="00890682"/>
    <w:rsid w:val="0089386E"/>
    <w:rsid w:val="00893A78"/>
    <w:rsid w:val="00893EA3"/>
    <w:rsid w:val="008944DC"/>
    <w:rsid w:val="008949B3"/>
    <w:rsid w:val="00897E19"/>
    <w:rsid w:val="008A3E40"/>
    <w:rsid w:val="008A473D"/>
    <w:rsid w:val="008B17EE"/>
    <w:rsid w:val="008B280D"/>
    <w:rsid w:val="008B2D09"/>
    <w:rsid w:val="008B6F64"/>
    <w:rsid w:val="008C0652"/>
    <w:rsid w:val="008C1905"/>
    <w:rsid w:val="008C2287"/>
    <w:rsid w:val="008C5D8A"/>
    <w:rsid w:val="008D0B5E"/>
    <w:rsid w:val="008D4177"/>
    <w:rsid w:val="008E1150"/>
    <w:rsid w:val="008E18B8"/>
    <w:rsid w:val="008E4121"/>
    <w:rsid w:val="008E4EE7"/>
    <w:rsid w:val="008F03BB"/>
    <w:rsid w:val="008F1099"/>
    <w:rsid w:val="008F35E5"/>
    <w:rsid w:val="008F4C27"/>
    <w:rsid w:val="00906499"/>
    <w:rsid w:val="00906D65"/>
    <w:rsid w:val="00906E8E"/>
    <w:rsid w:val="00911103"/>
    <w:rsid w:val="009125A0"/>
    <w:rsid w:val="00915181"/>
    <w:rsid w:val="00915FBA"/>
    <w:rsid w:val="00916740"/>
    <w:rsid w:val="00923BD5"/>
    <w:rsid w:val="009257D7"/>
    <w:rsid w:val="00933E27"/>
    <w:rsid w:val="00934AE6"/>
    <w:rsid w:val="00935050"/>
    <w:rsid w:val="00936B96"/>
    <w:rsid w:val="00943832"/>
    <w:rsid w:val="009468E6"/>
    <w:rsid w:val="00947087"/>
    <w:rsid w:val="00947DFB"/>
    <w:rsid w:val="00950FCE"/>
    <w:rsid w:val="009515ED"/>
    <w:rsid w:val="009525FE"/>
    <w:rsid w:val="00953101"/>
    <w:rsid w:val="00955AB3"/>
    <w:rsid w:val="00960B2D"/>
    <w:rsid w:val="00970E09"/>
    <w:rsid w:val="00973D33"/>
    <w:rsid w:val="009819B9"/>
    <w:rsid w:val="009828F9"/>
    <w:rsid w:val="00982A60"/>
    <w:rsid w:val="009935BE"/>
    <w:rsid w:val="00997E64"/>
    <w:rsid w:val="009A2531"/>
    <w:rsid w:val="009A2D3C"/>
    <w:rsid w:val="009A3855"/>
    <w:rsid w:val="009A439F"/>
    <w:rsid w:val="009B6145"/>
    <w:rsid w:val="009D7924"/>
    <w:rsid w:val="009E52C7"/>
    <w:rsid w:val="009E6490"/>
    <w:rsid w:val="009F07D1"/>
    <w:rsid w:val="009F53DC"/>
    <w:rsid w:val="00A0102D"/>
    <w:rsid w:val="00A03639"/>
    <w:rsid w:val="00A0486F"/>
    <w:rsid w:val="00A1490D"/>
    <w:rsid w:val="00A14B20"/>
    <w:rsid w:val="00A17792"/>
    <w:rsid w:val="00A27FA6"/>
    <w:rsid w:val="00A300EA"/>
    <w:rsid w:val="00A30524"/>
    <w:rsid w:val="00A30A28"/>
    <w:rsid w:val="00A320EF"/>
    <w:rsid w:val="00A33158"/>
    <w:rsid w:val="00A33FBC"/>
    <w:rsid w:val="00A352E1"/>
    <w:rsid w:val="00A55855"/>
    <w:rsid w:val="00A578DF"/>
    <w:rsid w:val="00A61877"/>
    <w:rsid w:val="00A718CC"/>
    <w:rsid w:val="00A74AD2"/>
    <w:rsid w:val="00A76744"/>
    <w:rsid w:val="00A76C14"/>
    <w:rsid w:val="00A93AB7"/>
    <w:rsid w:val="00A94D3A"/>
    <w:rsid w:val="00AA2A7A"/>
    <w:rsid w:val="00AB32CB"/>
    <w:rsid w:val="00AC0B44"/>
    <w:rsid w:val="00AC2FAF"/>
    <w:rsid w:val="00AC44A9"/>
    <w:rsid w:val="00AD0054"/>
    <w:rsid w:val="00AD2770"/>
    <w:rsid w:val="00AD548E"/>
    <w:rsid w:val="00AF08E4"/>
    <w:rsid w:val="00AF4A64"/>
    <w:rsid w:val="00B0716A"/>
    <w:rsid w:val="00B11FC0"/>
    <w:rsid w:val="00B13D3E"/>
    <w:rsid w:val="00B1613A"/>
    <w:rsid w:val="00B172E7"/>
    <w:rsid w:val="00B22C0A"/>
    <w:rsid w:val="00B2338E"/>
    <w:rsid w:val="00B2406C"/>
    <w:rsid w:val="00B26375"/>
    <w:rsid w:val="00B30D22"/>
    <w:rsid w:val="00B321E0"/>
    <w:rsid w:val="00B344E6"/>
    <w:rsid w:val="00B371FA"/>
    <w:rsid w:val="00B37496"/>
    <w:rsid w:val="00B43827"/>
    <w:rsid w:val="00B47FE9"/>
    <w:rsid w:val="00B52FD8"/>
    <w:rsid w:val="00B55D0A"/>
    <w:rsid w:val="00B56287"/>
    <w:rsid w:val="00B56E86"/>
    <w:rsid w:val="00B64F2E"/>
    <w:rsid w:val="00B66A16"/>
    <w:rsid w:val="00B710EC"/>
    <w:rsid w:val="00B7438F"/>
    <w:rsid w:val="00B81EA7"/>
    <w:rsid w:val="00B87C88"/>
    <w:rsid w:val="00B90530"/>
    <w:rsid w:val="00B92DD7"/>
    <w:rsid w:val="00B93190"/>
    <w:rsid w:val="00B96DBE"/>
    <w:rsid w:val="00BA2D58"/>
    <w:rsid w:val="00BA5DFB"/>
    <w:rsid w:val="00BA6662"/>
    <w:rsid w:val="00BA73DE"/>
    <w:rsid w:val="00BB037B"/>
    <w:rsid w:val="00BB6017"/>
    <w:rsid w:val="00BC62D2"/>
    <w:rsid w:val="00BC65E8"/>
    <w:rsid w:val="00BD1BBB"/>
    <w:rsid w:val="00BD3219"/>
    <w:rsid w:val="00BD4D94"/>
    <w:rsid w:val="00BD555B"/>
    <w:rsid w:val="00BE4763"/>
    <w:rsid w:val="00BE74CD"/>
    <w:rsid w:val="00BF10B5"/>
    <w:rsid w:val="00BF11B9"/>
    <w:rsid w:val="00BF501C"/>
    <w:rsid w:val="00C02FBC"/>
    <w:rsid w:val="00C068F0"/>
    <w:rsid w:val="00C07000"/>
    <w:rsid w:val="00C10562"/>
    <w:rsid w:val="00C144DF"/>
    <w:rsid w:val="00C213B4"/>
    <w:rsid w:val="00C3272C"/>
    <w:rsid w:val="00C348B6"/>
    <w:rsid w:val="00C40E02"/>
    <w:rsid w:val="00C411BD"/>
    <w:rsid w:val="00C551F0"/>
    <w:rsid w:val="00C57917"/>
    <w:rsid w:val="00C6256C"/>
    <w:rsid w:val="00C71306"/>
    <w:rsid w:val="00C726FC"/>
    <w:rsid w:val="00C7286B"/>
    <w:rsid w:val="00C73445"/>
    <w:rsid w:val="00C7395E"/>
    <w:rsid w:val="00C75D16"/>
    <w:rsid w:val="00C83F7C"/>
    <w:rsid w:val="00C91392"/>
    <w:rsid w:val="00C92EB0"/>
    <w:rsid w:val="00C96101"/>
    <w:rsid w:val="00CA158D"/>
    <w:rsid w:val="00CA6E89"/>
    <w:rsid w:val="00CB0402"/>
    <w:rsid w:val="00CB106A"/>
    <w:rsid w:val="00CB6C1B"/>
    <w:rsid w:val="00CC6878"/>
    <w:rsid w:val="00CD5C7B"/>
    <w:rsid w:val="00CD7DA0"/>
    <w:rsid w:val="00CE4BCC"/>
    <w:rsid w:val="00CE6190"/>
    <w:rsid w:val="00CE7717"/>
    <w:rsid w:val="00D005F0"/>
    <w:rsid w:val="00D022D9"/>
    <w:rsid w:val="00D0294D"/>
    <w:rsid w:val="00D05020"/>
    <w:rsid w:val="00D050A9"/>
    <w:rsid w:val="00D06C4E"/>
    <w:rsid w:val="00D15589"/>
    <w:rsid w:val="00D17846"/>
    <w:rsid w:val="00D21A41"/>
    <w:rsid w:val="00D22CC1"/>
    <w:rsid w:val="00D24689"/>
    <w:rsid w:val="00D24916"/>
    <w:rsid w:val="00D31579"/>
    <w:rsid w:val="00D36823"/>
    <w:rsid w:val="00D41064"/>
    <w:rsid w:val="00D45DFF"/>
    <w:rsid w:val="00D47CCE"/>
    <w:rsid w:val="00D51793"/>
    <w:rsid w:val="00D52CE8"/>
    <w:rsid w:val="00D54F10"/>
    <w:rsid w:val="00D55B0F"/>
    <w:rsid w:val="00D5764C"/>
    <w:rsid w:val="00D60E98"/>
    <w:rsid w:val="00D6458C"/>
    <w:rsid w:val="00D66FFF"/>
    <w:rsid w:val="00D72F84"/>
    <w:rsid w:val="00D73329"/>
    <w:rsid w:val="00D749DF"/>
    <w:rsid w:val="00D80371"/>
    <w:rsid w:val="00D840A3"/>
    <w:rsid w:val="00D85209"/>
    <w:rsid w:val="00D85E1B"/>
    <w:rsid w:val="00D90F1D"/>
    <w:rsid w:val="00D94EE8"/>
    <w:rsid w:val="00D9571A"/>
    <w:rsid w:val="00D95D80"/>
    <w:rsid w:val="00DA17BF"/>
    <w:rsid w:val="00DA3C37"/>
    <w:rsid w:val="00DA3E06"/>
    <w:rsid w:val="00DA5DFD"/>
    <w:rsid w:val="00DA659C"/>
    <w:rsid w:val="00DA6C81"/>
    <w:rsid w:val="00DB521D"/>
    <w:rsid w:val="00DB5669"/>
    <w:rsid w:val="00DC210F"/>
    <w:rsid w:val="00DC29D2"/>
    <w:rsid w:val="00DC4F84"/>
    <w:rsid w:val="00DC56BE"/>
    <w:rsid w:val="00DC6091"/>
    <w:rsid w:val="00DC60CE"/>
    <w:rsid w:val="00DD123D"/>
    <w:rsid w:val="00DD39B8"/>
    <w:rsid w:val="00DD3A7B"/>
    <w:rsid w:val="00DE033E"/>
    <w:rsid w:val="00DE1785"/>
    <w:rsid w:val="00DE2F76"/>
    <w:rsid w:val="00DE5B96"/>
    <w:rsid w:val="00DF0852"/>
    <w:rsid w:val="00DF1FFC"/>
    <w:rsid w:val="00DF5551"/>
    <w:rsid w:val="00DF5E50"/>
    <w:rsid w:val="00DF7AE7"/>
    <w:rsid w:val="00E01FC6"/>
    <w:rsid w:val="00E04416"/>
    <w:rsid w:val="00E13538"/>
    <w:rsid w:val="00E13FA7"/>
    <w:rsid w:val="00E1584B"/>
    <w:rsid w:val="00E15FC4"/>
    <w:rsid w:val="00E22119"/>
    <w:rsid w:val="00E260FA"/>
    <w:rsid w:val="00E26AA8"/>
    <w:rsid w:val="00E31334"/>
    <w:rsid w:val="00E32C74"/>
    <w:rsid w:val="00E402E8"/>
    <w:rsid w:val="00E40CAE"/>
    <w:rsid w:val="00E41A85"/>
    <w:rsid w:val="00E45C15"/>
    <w:rsid w:val="00E461E7"/>
    <w:rsid w:val="00E47432"/>
    <w:rsid w:val="00E506F8"/>
    <w:rsid w:val="00E5281E"/>
    <w:rsid w:val="00E55FC3"/>
    <w:rsid w:val="00E60732"/>
    <w:rsid w:val="00E75108"/>
    <w:rsid w:val="00E85D34"/>
    <w:rsid w:val="00E91566"/>
    <w:rsid w:val="00E9219B"/>
    <w:rsid w:val="00E93B70"/>
    <w:rsid w:val="00EA141C"/>
    <w:rsid w:val="00EA41F7"/>
    <w:rsid w:val="00EB1F45"/>
    <w:rsid w:val="00EB56EE"/>
    <w:rsid w:val="00EB5DAE"/>
    <w:rsid w:val="00EB6E8D"/>
    <w:rsid w:val="00EC0438"/>
    <w:rsid w:val="00EC6A1B"/>
    <w:rsid w:val="00ED0122"/>
    <w:rsid w:val="00EF0843"/>
    <w:rsid w:val="00EF3635"/>
    <w:rsid w:val="00F075E1"/>
    <w:rsid w:val="00F11A5E"/>
    <w:rsid w:val="00F11CBF"/>
    <w:rsid w:val="00F13846"/>
    <w:rsid w:val="00F14DB3"/>
    <w:rsid w:val="00F15914"/>
    <w:rsid w:val="00F1693D"/>
    <w:rsid w:val="00F16EA7"/>
    <w:rsid w:val="00F22139"/>
    <w:rsid w:val="00F3178C"/>
    <w:rsid w:val="00F31F75"/>
    <w:rsid w:val="00F338CC"/>
    <w:rsid w:val="00F33BF4"/>
    <w:rsid w:val="00F359EC"/>
    <w:rsid w:val="00F35BAE"/>
    <w:rsid w:val="00F403D6"/>
    <w:rsid w:val="00F46D5C"/>
    <w:rsid w:val="00F53D37"/>
    <w:rsid w:val="00F62F5F"/>
    <w:rsid w:val="00F63D43"/>
    <w:rsid w:val="00F65941"/>
    <w:rsid w:val="00F7298E"/>
    <w:rsid w:val="00F827E2"/>
    <w:rsid w:val="00F830EC"/>
    <w:rsid w:val="00F8427B"/>
    <w:rsid w:val="00F91C8B"/>
    <w:rsid w:val="00F92D0C"/>
    <w:rsid w:val="00F95A74"/>
    <w:rsid w:val="00F95F07"/>
    <w:rsid w:val="00FA0EDB"/>
    <w:rsid w:val="00FA13BC"/>
    <w:rsid w:val="00FA4D90"/>
    <w:rsid w:val="00FB7F12"/>
    <w:rsid w:val="00FC1CF6"/>
    <w:rsid w:val="00FC6FD6"/>
    <w:rsid w:val="00FD7B6A"/>
    <w:rsid w:val="00FE263B"/>
    <w:rsid w:val="00FE41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FAA600-8E10-4853-9B98-E73392AC2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qFormat/>
    <w:pPr>
      <w:numPr>
        <w:ilvl w:val="1"/>
        <w:numId w:val="1"/>
      </w:numPr>
      <w:kinsoku w:val="0"/>
      <w:ind w:left="1045"/>
      <w:jc w:val="both"/>
      <w:outlineLvl w:val="1"/>
    </w:pPr>
    <w:rPr>
      <w:rFonts w:ascii="標楷體" w:hAnsi="Arial"/>
      <w:bCs/>
      <w:kern w:val="0"/>
      <w:szCs w:val="48"/>
    </w:rPr>
  </w:style>
  <w:style w:type="paragraph" w:styleId="3">
    <w:name w:val="heading 3"/>
    <w:basedOn w:val="a1"/>
    <w:qFormat/>
    <w:pPr>
      <w:numPr>
        <w:ilvl w:val="2"/>
        <w:numId w:val="1"/>
      </w:numPr>
      <w:kinsoku w:val="0"/>
      <w:jc w:val="both"/>
      <w:outlineLvl w:val="2"/>
    </w:pPr>
    <w:rPr>
      <w:rFonts w:ascii="標楷體" w:hAnsi="Arial"/>
      <w:bCs/>
      <w:kern w:val="0"/>
      <w:szCs w:val="36"/>
    </w:rPr>
  </w:style>
  <w:style w:type="paragraph" w:styleId="4">
    <w:name w:val="heading 4"/>
    <w:basedOn w:val="a1"/>
    <w:qFormat/>
    <w:pPr>
      <w:numPr>
        <w:ilvl w:val="3"/>
        <w:numId w:val="1"/>
      </w:numPr>
      <w:ind w:leftChars="300" w:left="500" w:hangingChars="200" w:hanging="200"/>
      <w:jc w:val="both"/>
      <w:outlineLvl w:val="3"/>
    </w:pPr>
    <w:rPr>
      <w:rFonts w:ascii="標楷體" w:hAnsi="Arial"/>
      <w:szCs w:val="36"/>
    </w:rPr>
  </w:style>
  <w:style w:type="paragraph" w:styleId="5">
    <w:name w:val="heading 5"/>
    <w:basedOn w:val="a1"/>
    <w:qFormat/>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styleId="ae">
    <w:name w:val="Balloon Text"/>
    <w:basedOn w:val="a1"/>
    <w:link w:val="af"/>
    <w:uiPriority w:val="99"/>
    <w:semiHidden/>
    <w:unhideWhenUsed/>
    <w:rsid w:val="00D85E1B"/>
    <w:rPr>
      <w:rFonts w:asciiTheme="majorHAnsi" w:eastAsiaTheme="majorEastAsia" w:hAnsiTheme="majorHAnsi" w:cstheme="majorBidi"/>
      <w:sz w:val="18"/>
      <w:szCs w:val="18"/>
    </w:rPr>
  </w:style>
  <w:style w:type="paragraph" w:customStyle="1" w:styleId="a">
    <w:name w:val="圖樣式"/>
    <w:basedOn w:val="a1"/>
    <w:next w:val="a1"/>
    <w:pPr>
      <w:numPr>
        <w:numId w:val="3"/>
      </w:numPr>
      <w:ind w:left="400" w:hangingChars="400" w:hanging="400"/>
      <w:jc w:val="both"/>
    </w:pPr>
    <w:rPr>
      <w:rFonts w:ascii="標楷體"/>
    </w:rPr>
  </w:style>
  <w:style w:type="paragraph" w:styleId="af0">
    <w:name w:val="footer"/>
    <w:basedOn w:val="a1"/>
    <w:semiHidden/>
    <w:pPr>
      <w:tabs>
        <w:tab w:val="center" w:pos="4153"/>
        <w:tab w:val="right" w:pos="8306"/>
      </w:tabs>
      <w:snapToGrid w:val="0"/>
    </w:pPr>
    <w:rPr>
      <w:sz w:val="20"/>
    </w:rPr>
  </w:style>
  <w:style w:type="paragraph" w:styleId="af1">
    <w:name w:val="table of figures"/>
    <w:basedOn w:val="a1"/>
    <w:next w:val="a1"/>
    <w:semiHidden/>
    <w:pPr>
      <w:ind w:left="400" w:hangingChars="400" w:hanging="400"/>
    </w:pPr>
  </w:style>
  <w:style w:type="character" w:customStyle="1" w:styleId="af">
    <w:name w:val="註解方塊文字 字元"/>
    <w:basedOn w:val="a2"/>
    <w:link w:val="ae"/>
    <w:uiPriority w:val="99"/>
    <w:semiHidden/>
    <w:rsid w:val="00D85E1B"/>
    <w:rPr>
      <w:rFonts w:asciiTheme="majorHAnsi" w:eastAsiaTheme="majorEastAsia" w:hAnsiTheme="majorHAnsi" w:cstheme="majorBidi"/>
      <w:kern w:val="2"/>
      <w:sz w:val="18"/>
      <w:szCs w:val="18"/>
    </w:rPr>
  </w:style>
  <w:style w:type="table" w:styleId="af2">
    <w:name w:val="Table Grid"/>
    <w:basedOn w:val="a3"/>
    <w:uiPriority w:val="59"/>
    <w:rsid w:val="0086232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1"/>
    <w:link w:val="af4"/>
    <w:uiPriority w:val="99"/>
    <w:semiHidden/>
    <w:unhideWhenUsed/>
    <w:rsid w:val="007067C1"/>
    <w:pPr>
      <w:snapToGrid w:val="0"/>
    </w:pPr>
    <w:rPr>
      <w:sz w:val="20"/>
    </w:rPr>
  </w:style>
  <w:style w:type="character" w:customStyle="1" w:styleId="af4">
    <w:name w:val="註腳文字 字元"/>
    <w:basedOn w:val="a2"/>
    <w:link w:val="af3"/>
    <w:uiPriority w:val="99"/>
    <w:semiHidden/>
    <w:rsid w:val="007067C1"/>
    <w:rPr>
      <w:rFonts w:eastAsia="標楷體"/>
      <w:kern w:val="2"/>
    </w:rPr>
  </w:style>
  <w:style w:type="character" w:styleId="af5">
    <w:name w:val="footnote reference"/>
    <w:basedOn w:val="a2"/>
    <w:uiPriority w:val="99"/>
    <w:semiHidden/>
    <w:unhideWhenUsed/>
    <w:rsid w:val="007067C1"/>
    <w:rPr>
      <w:vertAlign w:val="superscript"/>
    </w:rPr>
  </w:style>
  <w:style w:type="character" w:styleId="af6">
    <w:name w:val="endnote reference"/>
    <w:basedOn w:val="a2"/>
    <w:uiPriority w:val="99"/>
    <w:semiHidden/>
    <w:unhideWhenUsed/>
    <w:rsid w:val="00DE1785"/>
    <w:rPr>
      <w:vertAlign w:val="superscript"/>
    </w:rPr>
  </w:style>
  <w:style w:type="paragraph" w:styleId="af7">
    <w:name w:val="List Paragraph"/>
    <w:basedOn w:val="a1"/>
    <w:link w:val="af8"/>
    <w:uiPriority w:val="34"/>
    <w:qFormat/>
    <w:rsid w:val="00DE5B96"/>
    <w:pPr>
      <w:ind w:leftChars="200" w:left="480"/>
    </w:pPr>
  </w:style>
  <w:style w:type="character" w:customStyle="1" w:styleId="af8">
    <w:name w:val="清單段落 字元"/>
    <w:link w:val="af7"/>
    <w:uiPriority w:val="34"/>
    <w:locked/>
    <w:rsid w:val="00E13FA7"/>
    <w:rPr>
      <w:rFonts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jche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D2CB9-20CF-4484-BDEE-F0CF2F367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78</Pages>
  <Words>2066</Words>
  <Characters>11780</Characters>
  <Application>Microsoft Office Word</Application>
  <DocSecurity>0</DocSecurity>
  <Lines>98</Lines>
  <Paragraphs>27</Paragraphs>
  <ScaleCrop>false</ScaleCrop>
  <Company>cy</Company>
  <LinksUpToDate>false</LinksUpToDate>
  <CharactersWithSpaces>13819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陳美如</cp:lastModifiedBy>
  <cp:revision>2</cp:revision>
  <cp:lastPrinted>2018-03-02T07:22:00Z</cp:lastPrinted>
  <dcterms:created xsi:type="dcterms:W3CDTF">2018-03-09T03:26:00Z</dcterms:created>
  <dcterms:modified xsi:type="dcterms:W3CDTF">2018-03-09T03:26:00Z</dcterms:modified>
</cp:coreProperties>
</file>