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4F0409">
      <w:pPr>
        <w:pStyle w:val="af7"/>
        <w:ind w:leftChars="250" w:left="850"/>
      </w:pPr>
      <w:r w:rsidRPr="00080040">
        <w:rPr>
          <w:rFonts w:hint="eastAsia"/>
        </w:rPr>
        <w:t>糾正案文</w:t>
      </w:r>
    </w:p>
    <w:p w:rsidR="002C1507" w:rsidRDefault="0025106C" w:rsidP="002C1507">
      <w:pPr>
        <w:pStyle w:val="1"/>
      </w:pPr>
      <w:r>
        <w:rPr>
          <w:rFonts w:hint="eastAsia"/>
        </w:rPr>
        <w:t>被糾正機關：</w:t>
      </w:r>
      <w:r w:rsidR="002C1507">
        <w:rPr>
          <w:rFonts w:hint="eastAsia"/>
        </w:rPr>
        <w:t>金融監督管理委員會。</w:t>
      </w:r>
    </w:p>
    <w:p w:rsidR="002C1507" w:rsidRDefault="002C1507" w:rsidP="002C1507">
      <w:pPr>
        <w:pStyle w:val="1"/>
      </w:pPr>
      <w:r>
        <w:rPr>
          <w:rFonts w:hint="eastAsia"/>
        </w:rPr>
        <w:t>案　　　由：金融監督管理委員會未能善盡金融主管機關監督之責，有效監督金融機構強化內部稽核功能，落實內部控制制度，健全金融機構業務經營，監理效能</w:t>
      </w:r>
      <w:proofErr w:type="gramStart"/>
      <w:r>
        <w:rPr>
          <w:rFonts w:hint="eastAsia"/>
        </w:rPr>
        <w:t>不</w:t>
      </w:r>
      <w:proofErr w:type="gramEnd"/>
      <w:r>
        <w:rPr>
          <w:rFonts w:hint="eastAsia"/>
        </w:rPr>
        <w:t>彰，致金融機構銷售人民幣TRF爭議頻生，影響金融穩定，且導致投資人對金融機關之監理效能多所質疑，</w:t>
      </w:r>
      <w:proofErr w:type="gramStart"/>
      <w:r>
        <w:rPr>
          <w:rFonts w:hint="eastAsia"/>
        </w:rPr>
        <w:t>斲</w:t>
      </w:r>
      <w:proofErr w:type="gramEnd"/>
      <w:r>
        <w:rPr>
          <w:rFonts w:hint="eastAsia"/>
        </w:rPr>
        <w:t>傷政府威信，核有</w:t>
      </w:r>
      <w:proofErr w:type="gramStart"/>
      <w:r>
        <w:rPr>
          <w:rFonts w:hint="eastAsia"/>
        </w:rPr>
        <w:t>怠</w:t>
      </w:r>
      <w:proofErr w:type="gramEnd"/>
      <w:r>
        <w:rPr>
          <w:rFonts w:hint="eastAsia"/>
        </w:rPr>
        <w:t>失，</w:t>
      </w:r>
      <w:proofErr w:type="gramStart"/>
      <w:r>
        <w:rPr>
          <w:rFonts w:hint="eastAsia"/>
        </w:rPr>
        <w:t>爰</w:t>
      </w:r>
      <w:proofErr w:type="gramEnd"/>
      <w:r>
        <w:rPr>
          <w:rFonts w:hint="eastAsia"/>
        </w:rPr>
        <w:t>依法提案糾正。</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86CA5">
        <w:rPr>
          <w:rFonts w:hint="eastAsia"/>
        </w:rPr>
        <w:t xml:space="preserve"> </w:t>
      </w:r>
    </w:p>
    <w:p w:rsidR="00360BC5" w:rsidRPr="00FA3214" w:rsidRDefault="00360BC5" w:rsidP="00FA3214">
      <w:pPr>
        <w:pStyle w:val="0"/>
        <w:ind w:left="680" w:firstLineChars="133" w:firstLine="453"/>
        <w:rPr>
          <w:b/>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04406097"/>
      <w:bookmarkStart w:id="36" w:name="_Toc506990999"/>
      <w:bookmarkStart w:id="37" w:name="_Toc524895646"/>
      <w:bookmarkStart w:id="38" w:name="_Toc524896192"/>
      <w:bookmarkStart w:id="39" w:name="_Toc524896222"/>
      <w:bookmarkStart w:id="40" w:name="_Toc524902729"/>
      <w:bookmarkStart w:id="41" w:name="_Toc525066145"/>
      <w:bookmarkStart w:id="42" w:name="_Toc525070836"/>
      <w:bookmarkStart w:id="43" w:name="_Toc525938376"/>
      <w:bookmarkStart w:id="44" w:name="_Toc525939224"/>
      <w:bookmarkStart w:id="45" w:name="_Toc525939729"/>
      <w:bookmarkStart w:id="46" w:name="_Toc529218269"/>
      <w:bookmarkEnd w:id="25"/>
      <w:bookmarkEnd w:id="26"/>
      <w:bookmarkEnd w:id="27"/>
      <w:bookmarkEnd w:id="28"/>
      <w:bookmarkEnd w:id="29"/>
      <w:bookmarkEnd w:id="30"/>
      <w:bookmarkEnd w:id="31"/>
      <w:bookmarkEnd w:id="32"/>
      <w:bookmarkEnd w:id="33"/>
      <w:bookmarkEnd w:id="34"/>
      <w:r w:rsidRPr="00FA3214">
        <w:rPr>
          <w:rFonts w:hint="eastAsia"/>
          <w:b/>
        </w:rPr>
        <w:t>金融機構銷售</w:t>
      </w:r>
      <w:r w:rsidRPr="00FA3214">
        <w:rPr>
          <w:rFonts w:hint="eastAsia"/>
          <w:b/>
          <w:bCs/>
        </w:rPr>
        <w:t>人民幣</w:t>
      </w:r>
      <w:r w:rsidR="00FA3214" w:rsidRPr="00FA3214">
        <w:rPr>
          <w:rFonts w:hint="eastAsia"/>
          <w:b/>
        </w:rPr>
        <w:t>目標可贖回遠期契約(Target Redemption Forward，下稱TRF)</w:t>
      </w:r>
      <w:r w:rsidRPr="00FA3214">
        <w:rPr>
          <w:rFonts w:hint="eastAsia"/>
          <w:b/>
        </w:rPr>
        <w:t>發生爭議後，</w:t>
      </w:r>
      <w:r w:rsidR="0034677B" w:rsidRPr="00FA3214">
        <w:rPr>
          <w:rFonts w:hint="eastAsia"/>
          <w:b/>
        </w:rPr>
        <w:t>金融監督管理委員會（下稱</w:t>
      </w:r>
      <w:r w:rsidRPr="00FA3214">
        <w:rPr>
          <w:rFonts w:hint="eastAsia"/>
          <w:b/>
        </w:rPr>
        <w:t>金管會</w:t>
      </w:r>
      <w:r w:rsidR="0034677B" w:rsidRPr="00FA3214">
        <w:rPr>
          <w:rFonts w:hint="eastAsia"/>
          <w:b/>
        </w:rPr>
        <w:t>）</w:t>
      </w:r>
      <w:r w:rsidRPr="00FA3214">
        <w:rPr>
          <w:rFonts w:hint="eastAsia"/>
          <w:b/>
        </w:rPr>
        <w:t>進行多次金融檢查，發現</w:t>
      </w:r>
      <w:proofErr w:type="gramStart"/>
      <w:r w:rsidRPr="00FA3214">
        <w:rPr>
          <w:rFonts w:hint="eastAsia"/>
          <w:b/>
        </w:rPr>
        <w:t>許多違</w:t>
      </w:r>
      <w:proofErr w:type="gramEnd"/>
      <w:r w:rsidRPr="00FA3214">
        <w:rPr>
          <w:rFonts w:hint="eastAsia"/>
          <w:b/>
        </w:rPr>
        <w:t>失，提出檢查意見督促金融機構落實改善，然金融機構仍未能確實遵循法令，部分缺失一再重複發生，嚴重影響投資人權益。該會未能善盡金融主管機關監督之責，有效監督金融機構強化內部稽核功能，落實內部控制制度，健全金融機構業務經營，監理效能</w:t>
      </w:r>
      <w:proofErr w:type="gramStart"/>
      <w:r w:rsidRPr="00FA3214">
        <w:rPr>
          <w:rFonts w:hint="eastAsia"/>
          <w:b/>
        </w:rPr>
        <w:t>不</w:t>
      </w:r>
      <w:proofErr w:type="gramEnd"/>
      <w:r w:rsidRPr="00FA3214">
        <w:rPr>
          <w:rFonts w:hint="eastAsia"/>
          <w:b/>
        </w:rPr>
        <w:t>彰，致金融機構銷售人民幣TRF爭議頻生，影響金融穩定，且導致投資人對金融機關之監理效能多所質疑，</w:t>
      </w:r>
      <w:proofErr w:type="gramStart"/>
      <w:r w:rsidRPr="00FA3214">
        <w:rPr>
          <w:rFonts w:hint="eastAsia"/>
          <w:b/>
        </w:rPr>
        <w:t>斲</w:t>
      </w:r>
      <w:proofErr w:type="gramEnd"/>
      <w:r w:rsidRPr="00FA3214">
        <w:rPr>
          <w:rFonts w:hint="eastAsia"/>
          <w:b/>
        </w:rPr>
        <w:t>傷政府威信，核有</w:t>
      </w:r>
      <w:proofErr w:type="gramStart"/>
      <w:r w:rsidRPr="00FA3214">
        <w:rPr>
          <w:rFonts w:hint="eastAsia"/>
          <w:b/>
        </w:rPr>
        <w:t>怠</w:t>
      </w:r>
      <w:proofErr w:type="gramEnd"/>
      <w:r w:rsidRPr="00FA3214">
        <w:rPr>
          <w:rFonts w:hint="eastAsia"/>
          <w:b/>
        </w:rPr>
        <w:t>失。</w:t>
      </w:r>
    </w:p>
    <w:p w:rsidR="00DC6E81" w:rsidRPr="00DC6E81" w:rsidRDefault="00DC6E81" w:rsidP="00DC6E81">
      <w:pPr>
        <w:pStyle w:val="2"/>
        <w:rPr>
          <w:b w:val="0"/>
        </w:rPr>
      </w:pPr>
      <w:bookmarkStart w:id="47" w:name="_Toc507677211"/>
      <w:bookmarkEnd w:id="35"/>
      <w:bookmarkEnd w:id="36"/>
      <w:r w:rsidRPr="00DC6E81">
        <w:rPr>
          <w:rFonts w:hint="eastAsia"/>
          <w:b w:val="0"/>
        </w:rPr>
        <w:t>按行政院為健全金融機構業務經營，維持金融穩定及促進金融市場發展，特設金管會。又金管會為辦理銀行市場、票</w:t>
      </w:r>
      <w:proofErr w:type="gramStart"/>
      <w:r w:rsidRPr="00DC6E81">
        <w:rPr>
          <w:rFonts w:hint="eastAsia"/>
          <w:b w:val="0"/>
        </w:rPr>
        <w:t>券</w:t>
      </w:r>
      <w:proofErr w:type="gramEnd"/>
      <w:r w:rsidRPr="00DC6E81">
        <w:rPr>
          <w:rFonts w:hint="eastAsia"/>
          <w:b w:val="0"/>
        </w:rPr>
        <w:t>市場、金融控股公司與銀行業之監督、管理及其政策、法令之擬訂、規劃、執行等業務，特設銀行局。且為辦理金融機構之監督、檢查及其政策、法令之擬訂、規劃、執行等業務，特設檢查局，此分別為金管會、該會銀行局與檢查局組織法第1條</w:t>
      </w:r>
      <w:r w:rsidRPr="00DC6E81">
        <w:rPr>
          <w:rFonts w:hint="eastAsia"/>
          <w:b w:val="0"/>
        </w:rPr>
        <w:lastRenderedPageBreak/>
        <w:t>所明定。</w:t>
      </w:r>
      <w:proofErr w:type="gramStart"/>
      <w:r w:rsidRPr="00DC6E81">
        <w:rPr>
          <w:rFonts w:hint="eastAsia"/>
          <w:b w:val="0"/>
        </w:rPr>
        <w:t>復按銀行</w:t>
      </w:r>
      <w:proofErr w:type="gramEnd"/>
      <w:r w:rsidRPr="00DC6E81">
        <w:rPr>
          <w:rFonts w:hint="eastAsia"/>
          <w:b w:val="0"/>
        </w:rPr>
        <w:t>法第45條之1第1項規定：「銀行應建立內部控制及稽核制度；其目的、原則、政策、作業程序、內部稽核人員應具備之資格條件、委託會計師辦理內部控制查核之範圍及其他應遵行事項之辦法，由主管機關定之。」金管會於99年3月29日發布「金融控股公司及銀行業內部控制及稽核制度實施辦法」，該辦法之總說明略</w:t>
      </w:r>
      <w:proofErr w:type="gramStart"/>
      <w:r w:rsidRPr="00DC6E81">
        <w:rPr>
          <w:rFonts w:hint="eastAsia"/>
          <w:b w:val="0"/>
        </w:rPr>
        <w:t>以</w:t>
      </w:r>
      <w:proofErr w:type="gramEnd"/>
      <w:r w:rsidRPr="00DC6E81">
        <w:rPr>
          <w:rFonts w:hint="eastAsia"/>
          <w:b w:val="0"/>
        </w:rPr>
        <w:t>：規定金融控股公司及銀行業應建立內部控制制度及內部稽核制度，其中內部控制制度應達成3大目標</w:t>
      </w:r>
      <w:r w:rsidRPr="00DC6E81">
        <w:rPr>
          <w:rStyle w:val="aff3"/>
          <w:b w:val="0"/>
        </w:rPr>
        <w:footnoteReference w:id="1"/>
      </w:r>
      <w:r w:rsidRPr="00DC6E81">
        <w:rPr>
          <w:rFonts w:hint="eastAsia"/>
          <w:b w:val="0"/>
        </w:rPr>
        <w:t>及包含5大原則</w:t>
      </w:r>
      <w:r w:rsidRPr="00DC6E81">
        <w:rPr>
          <w:rStyle w:val="aff3"/>
          <w:b w:val="0"/>
        </w:rPr>
        <w:footnoteReference w:id="2"/>
      </w:r>
      <w:r w:rsidRPr="00DC6E81">
        <w:rPr>
          <w:rFonts w:hint="eastAsia"/>
          <w:b w:val="0"/>
        </w:rPr>
        <w:t>，並涵蓋所有營運活動；此外須建立內部稽核制度、自行查核制度、法令遵循主管制度及風險管理機制，以維持有效適當之內部控制制度運作</w:t>
      </w:r>
      <w:r w:rsidRPr="00DC6E81">
        <w:rPr>
          <w:rStyle w:val="aff3"/>
          <w:b w:val="0"/>
        </w:rPr>
        <w:footnoteReference w:id="3"/>
      </w:r>
      <w:r w:rsidRPr="00DC6E81">
        <w:rPr>
          <w:rFonts w:hint="eastAsia"/>
          <w:b w:val="0"/>
        </w:rPr>
        <w:t>；且訂定內部稽核制度之目的，並明定金控公司及銀行業應設立隸屬董（理）事會之內部稽核單位，並應建立總稽核制；同時並規定總稽核及內部稽核人員之資格條件、總稽核及各級稽核人員每年受訓練時數、內部稽核單位應辦理事項、內部稽核辦理一般查核及專案查核之頻率、對子公司之查核及內部稽核報告應揭露之項目等。</w:t>
      </w:r>
      <w:bookmarkEnd w:id="47"/>
    </w:p>
    <w:p w:rsidR="00DC6E81" w:rsidRPr="00DC6E81" w:rsidRDefault="00DC6E81" w:rsidP="00DC6E81">
      <w:pPr>
        <w:pStyle w:val="2"/>
        <w:rPr>
          <w:b w:val="0"/>
        </w:rPr>
      </w:pPr>
      <w:bookmarkStart w:id="48" w:name="_Toc504406098"/>
      <w:bookmarkStart w:id="49" w:name="_Toc506991000"/>
      <w:bookmarkStart w:id="50" w:name="_Toc507677212"/>
      <w:r w:rsidRPr="00DC6E81">
        <w:rPr>
          <w:rFonts w:hint="eastAsia"/>
          <w:b w:val="0"/>
        </w:rPr>
        <w:t>又銀行辦理衍生性金融商品業務(包括人民幣TRF商品)必須遵從之規定有「銀行辦理衍生性金融商品業務應注意事項」（84年4月25日發布、104年6月4日廢</w:t>
      </w:r>
      <w:r w:rsidRPr="00DC6E81">
        <w:rPr>
          <w:rFonts w:hint="eastAsia"/>
          <w:b w:val="0"/>
        </w:rPr>
        <w:lastRenderedPageBreak/>
        <w:t>止）、「銀行辦理衍生性金融商品業務風險管理自律規範」（97年7月31日發布）、「銀行辦理衍生性金融商品業務內部作業制度及程序管理辦法」（104 年6月2日發布）、「銀行辦理衍生性金融商品自律規範」（99年12月16日發布）等，上開規定規範銀行辦理衍生性金融商品業務應建立風險管理制度、新種商品內部審查作業規範、業務人員酬金制度及考核原則、業務人員專業資格條件、訓練及考評制度、商品定價政策與價格檢核作業程序、商品適合度制度與作業程序、商品風險告知及揭露作業程序、交易紛爭處理作業程序及交易文件交付作業程序…</w:t>
      </w:r>
      <w:proofErr w:type="gramStart"/>
      <w:r w:rsidRPr="00DC6E81">
        <w:rPr>
          <w:rFonts w:hint="eastAsia"/>
          <w:b w:val="0"/>
        </w:rPr>
        <w:t>…</w:t>
      </w:r>
      <w:proofErr w:type="gramEnd"/>
      <w:r w:rsidRPr="00DC6E81">
        <w:rPr>
          <w:rFonts w:hint="eastAsia"/>
          <w:b w:val="0"/>
        </w:rPr>
        <w:t>等，銀行應據以遵行辦理。且據金管會說明，對於金融機構辦理金融檢查，</w:t>
      </w:r>
      <w:proofErr w:type="gramStart"/>
      <w:r w:rsidRPr="00DC6E81">
        <w:rPr>
          <w:rFonts w:hint="eastAsia"/>
          <w:b w:val="0"/>
        </w:rPr>
        <w:t>均先就</w:t>
      </w:r>
      <w:proofErr w:type="gramEnd"/>
      <w:r w:rsidRPr="00DC6E81">
        <w:rPr>
          <w:rFonts w:hint="eastAsia"/>
          <w:b w:val="0"/>
        </w:rPr>
        <w:t>該等機構辦理各項業務是否建立妥適之制度面及管理措施進行瞭解，並抽樣檢視實際運作情形，前開實地</w:t>
      </w:r>
      <w:proofErr w:type="gramStart"/>
      <w:r w:rsidRPr="00DC6E81">
        <w:rPr>
          <w:rFonts w:hint="eastAsia"/>
          <w:b w:val="0"/>
        </w:rPr>
        <w:t>檢查抽核之</w:t>
      </w:r>
      <w:proofErr w:type="gramEnd"/>
      <w:r w:rsidRPr="00DC6E81">
        <w:rPr>
          <w:rFonts w:hint="eastAsia"/>
          <w:b w:val="0"/>
        </w:rPr>
        <w:t>案件，係依檢查行前規劃之查核重點辦理，依缺失之</w:t>
      </w:r>
      <w:proofErr w:type="gramStart"/>
      <w:r w:rsidRPr="00DC6E81">
        <w:rPr>
          <w:rFonts w:hint="eastAsia"/>
          <w:b w:val="0"/>
        </w:rPr>
        <w:t>態樣提列</w:t>
      </w:r>
      <w:proofErr w:type="gramEnd"/>
      <w:r w:rsidRPr="00DC6E81">
        <w:rPr>
          <w:rFonts w:hint="eastAsia"/>
          <w:b w:val="0"/>
        </w:rPr>
        <w:t>檢查意見。對金融機構所提列之制度面或整體面之檢查意見，均要求金融業者檢討管理制度或就內部控制機制提出改善計畫。又該會辦理一般檢查，</w:t>
      </w:r>
      <w:proofErr w:type="gramStart"/>
      <w:r w:rsidRPr="00DC6E81">
        <w:rPr>
          <w:rFonts w:hint="eastAsia"/>
          <w:b w:val="0"/>
        </w:rPr>
        <w:t>均會就</w:t>
      </w:r>
      <w:proofErr w:type="gramEnd"/>
      <w:r w:rsidRPr="00DC6E81">
        <w:rPr>
          <w:rFonts w:hint="eastAsia"/>
          <w:b w:val="0"/>
        </w:rPr>
        <w:t>銀行對先前檢查缺失改善之情形</w:t>
      </w:r>
      <w:proofErr w:type="gramStart"/>
      <w:r w:rsidRPr="00DC6E81">
        <w:rPr>
          <w:rFonts w:hint="eastAsia"/>
          <w:b w:val="0"/>
        </w:rPr>
        <w:t>予以抽核覆</w:t>
      </w:r>
      <w:proofErr w:type="gramEnd"/>
      <w:r w:rsidRPr="00DC6E81">
        <w:rPr>
          <w:rFonts w:hint="eastAsia"/>
          <w:b w:val="0"/>
        </w:rPr>
        <w:t>查，並於檢查報告揭露歷次檢查未改善之事項，以促金融業者改善，並作為金融監理或處分之參考。</w:t>
      </w:r>
      <w:bookmarkEnd w:id="48"/>
      <w:bookmarkEnd w:id="49"/>
      <w:bookmarkEnd w:id="50"/>
    </w:p>
    <w:p w:rsidR="00DC6E81" w:rsidRPr="00DC6E81" w:rsidRDefault="00DC6E81" w:rsidP="00DC6E81">
      <w:pPr>
        <w:pStyle w:val="2"/>
        <w:rPr>
          <w:b w:val="0"/>
        </w:rPr>
      </w:pPr>
      <w:bookmarkStart w:id="51" w:name="_Toc504406099"/>
      <w:bookmarkStart w:id="52" w:name="_Toc506991001"/>
      <w:bookmarkStart w:id="53" w:name="_Toc507677213"/>
      <w:proofErr w:type="gramStart"/>
      <w:r w:rsidRPr="00DC6E81">
        <w:rPr>
          <w:rFonts w:hint="eastAsia"/>
          <w:b w:val="0"/>
        </w:rPr>
        <w:t>惟查此次</w:t>
      </w:r>
      <w:proofErr w:type="gramEnd"/>
      <w:r w:rsidRPr="00DC6E81">
        <w:rPr>
          <w:rFonts w:hint="eastAsia"/>
          <w:b w:val="0"/>
        </w:rPr>
        <w:t>人民幣TRF爆發銷售爭議，金管會對銀行辦理衍生性金融商品業務進行檢查後發現，銀行未落實執行瞭解客戶</w:t>
      </w:r>
      <w:r w:rsidRPr="00DC6E81">
        <w:rPr>
          <w:rFonts w:hAnsi="標楷體" w:hint="eastAsia"/>
          <w:b w:val="0"/>
        </w:rPr>
        <w:t>（</w:t>
      </w:r>
      <w:r w:rsidRPr="00DC6E81">
        <w:rPr>
          <w:rFonts w:hint="eastAsia"/>
          <w:b w:val="0"/>
        </w:rPr>
        <w:t xml:space="preserve">Know Your </w:t>
      </w:r>
      <w:proofErr w:type="spellStart"/>
      <w:r w:rsidRPr="00DC6E81">
        <w:rPr>
          <w:rFonts w:hint="eastAsia"/>
          <w:b w:val="0"/>
        </w:rPr>
        <w:t>Custmor</w:t>
      </w:r>
      <w:proofErr w:type="spellEnd"/>
      <w:r w:rsidRPr="00DC6E81">
        <w:rPr>
          <w:rFonts w:hint="eastAsia"/>
          <w:b w:val="0"/>
        </w:rPr>
        <w:t>，下稱KYC</w:t>
      </w:r>
      <w:r w:rsidRPr="00DC6E81">
        <w:rPr>
          <w:rFonts w:hAnsi="標楷體" w:hint="eastAsia"/>
          <w:b w:val="0"/>
        </w:rPr>
        <w:t>）</w:t>
      </w:r>
      <w:r w:rsidRPr="00DC6E81">
        <w:rPr>
          <w:rFonts w:hint="eastAsia"/>
          <w:b w:val="0"/>
        </w:rPr>
        <w:t>程序</w:t>
      </w:r>
      <w:r w:rsidRPr="00DC6E81">
        <w:rPr>
          <w:rStyle w:val="aff3"/>
          <w:b w:val="0"/>
        </w:rPr>
        <w:footnoteReference w:id="4"/>
      </w:r>
      <w:r w:rsidRPr="00DC6E81">
        <w:rPr>
          <w:rFonts w:hint="eastAsia"/>
          <w:b w:val="0"/>
        </w:rPr>
        <w:t>、未落實商品適合度制度及額度核給不夠嚴謹(未核實</w:t>
      </w:r>
      <w:r w:rsidRPr="00DC6E81">
        <w:rPr>
          <w:rFonts w:hint="eastAsia"/>
          <w:b w:val="0"/>
        </w:rPr>
        <w:lastRenderedPageBreak/>
        <w:t>評估客戶之營運狀況及風險承擔能力，核給額度超過客戶避險需求，或客戶利用TRF進行非避險之投機交易)、業務人員未具銷售資格、行銷話術不當、未落實審核客戶財務資料與董事會議紀錄及未充分揭露相關風險…</w:t>
      </w:r>
      <w:proofErr w:type="gramStart"/>
      <w:r w:rsidRPr="00DC6E81">
        <w:rPr>
          <w:rFonts w:hint="eastAsia"/>
          <w:b w:val="0"/>
        </w:rPr>
        <w:t>…</w:t>
      </w:r>
      <w:proofErr w:type="gramEnd"/>
      <w:r w:rsidRPr="00DC6E81">
        <w:rPr>
          <w:rFonts w:hint="eastAsia"/>
          <w:b w:val="0"/>
        </w:rPr>
        <w:t>等方面缺失。本院就金管會103年至105年期間多次辦理與衍生性金融商品業務相關之金融檢查，彙整各銀行之缺失如表1，由表中可見各銀行均存有不同態樣之缺失，單以衍生性金融商品專案檢查發生缺失銀行即高達23家，另董事會會議紀錄缺失亦高達18家，足證銀行內部控制制度亟待確實檢討改善，內部稽核功能</w:t>
      </w:r>
      <w:proofErr w:type="gramStart"/>
      <w:r w:rsidRPr="00DC6E81">
        <w:rPr>
          <w:rFonts w:hint="eastAsia"/>
          <w:b w:val="0"/>
        </w:rPr>
        <w:t>不</w:t>
      </w:r>
      <w:proofErr w:type="gramEnd"/>
      <w:r w:rsidRPr="00DC6E81">
        <w:rPr>
          <w:rFonts w:hint="eastAsia"/>
          <w:b w:val="0"/>
        </w:rPr>
        <w:t>彰，未能有效查核銀行內部控制制度，以確保制度之持續有效運作。</w:t>
      </w:r>
      <w:bookmarkEnd w:id="51"/>
      <w:bookmarkEnd w:id="52"/>
      <w:bookmarkEnd w:id="53"/>
    </w:p>
    <w:p w:rsidR="00DC6E81" w:rsidRPr="00DC6E81" w:rsidRDefault="00DC6E81" w:rsidP="00DC6E81">
      <w:pPr>
        <w:pStyle w:val="a4"/>
        <w:ind w:left="697" w:hanging="697"/>
        <w:jc w:val="center"/>
        <w:rPr>
          <w:b/>
        </w:rPr>
      </w:pPr>
      <w:r w:rsidRPr="00DC6E81">
        <w:rPr>
          <w:rFonts w:hint="eastAsia"/>
          <w:b/>
        </w:rPr>
        <w:t>103年至105年間衍生性金融商品業務金檢發現缺失銀行</w:t>
      </w:r>
    </w:p>
    <w:tbl>
      <w:tblPr>
        <w:tblStyle w:val="afc"/>
        <w:tblW w:w="8900" w:type="dxa"/>
        <w:tblInd w:w="108" w:type="dxa"/>
        <w:tblLook w:val="04A0" w:firstRow="1" w:lastRow="0" w:firstColumn="1" w:lastColumn="0" w:noHBand="0" w:noVBand="1"/>
      </w:tblPr>
      <w:tblGrid>
        <w:gridCol w:w="1304"/>
        <w:gridCol w:w="964"/>
        <w:gridCol w:w="1077"/>
        <w:gridCol w:w="1077"/>
        <w:gridCol w:w="1020"/>
        <w:gridCol w:w="1077"/>
        <w:gridCol w:w="1304"/>
        <w:gridCol w:w="1077"/>
      </w:tblGrid>
      <w:tr w:rsidR="00DC6E81" w:rsidRPr="00B97A9D" w:rsidTr="00CA71C2">
        <w:trPr>
          <w:trHeight w:val="843"/>
          <w:tblHeader/>
        </w:trPr>
        <w:tc>
          <w:tcPr>
            <w:tcW w:w="1304" w:type="dxa"/>
            <w:tcBorders>
              <w:tl2br w:val="single" w:sz="4" w:space="0" w:color="auto"/>
            </w:tcBorders>
            <w:vAlign w:val="center"/>
          </w:tcPr>
          <w:p w:rsidR="00DC6E81" w:rsidRPr="00B97A9D" w:rsidRDefault="00DC6E81" w:rsidP="00CA71C2">
            <w:pPr>
              <w:pStyle w:val="121"/>
              <w:spacing w:line="260" w:lineRule="exact"/>
              <w:jc w:val="right"/>
              <w:rPr>
                <w:b/>
              </w:rPr>
            </w:pPr>
            <w:r w:rsidRPr="00B97A9D">
              <w:rPr>
                <w:rFonts w:hint="eastAsia"/>
                <w:b/>
              </w:rPr>
              <w:t>檢查</w:t>
            </w:r>
          </w:p>
          <w:p w:rsidR="00DC6E81" w:rsidRPr="00B97A9D" w:rsidRDefault="00DC6E81" w:rsidP="00CA71C2">
            <w:pPr>
              <w:pStyle w:val="121"/>
              <w:spacing w:line="260" w:lineRule="exact"/>
              <w:jc w:val="right"/>
              <w:rPr>
                <w:b/>
              </w:rPr>
            </w:pPr>
            <w:r w:rsidRPr="00B97A9D">
              <w:rPr>
                <w:rFonts w:hint="eastAsia"/>
                <w:b/>
              </w:rPr>
              <w:t>項目</w:t>
            </w:r>
          </w:p>
          <w:p w:rsidR="00DC6E81" w:rsidRPr="00B97A9D" w:rsidRDefault="00DC6E81" w:rsidP="00CA71C2">
            <w:pPr>
              <w:pStyle w:val="121"/>
              <w:spacing w:line="160" w:lineRule="exact"/>
              <w:jc w:val="center"/>
              <w:rPr>
                <w:b/>
                <w:sz w:val="20"/>
                <w:szCs w:val="20"/>
              </w:rPr>
            </w:pPr>
          </w:p>
          <w:p w:rsidR="00DC6E81" w:rsidRPr="00B97A9D" w:rsidRDefault="00DC6E81" w:rsidP="00DC6E81">
            <w:pPr>
              <w:pStyle w:val="121"/>
              <w:ind w:leftChars="-32" w:left="-109"/>
              <w:rPr>
                <w:b/>
              </w:rPr>
            </w:pPr>
            <w:r w:rsidRPr="00B97A9D">
              <w:rPr>
                <w:rFonts w:hint="eastAsia"/>
                <w:b/>
              </w:rPr>
              <w:t>缺失銀行</w:t>
            </w:r>
          </w:p>
        </w:tc>
        <w:tc>
          <w:tcPr>
            <w:tcW w:w="964" w:type="dxa"/>
            <w:vAlign w:val="center"/>
          </w:tcPr>
          <w:p w:rsidR="00DC6E81" w:rsidRPr="00B97A9D" w:rsidRDefault="00DC6E81" w:rsidP="00CA71C2">
            <w:pPr>
              <w:pStyle w:val="121"/>
              <w:jc w:val="center"/>
              <w:rPr>
                <w:b/>
              </w:rPr>
            </w:pPr>
            <w:r w:rsidRPr="00B97A9D">
              <w:rPr>
                <w:rFonts w:hint="eastAsia"/>
                <w:b/>
              </w:rPr>
              <w:t>TMU專案</w:t>
            </w:r>
          </w:p>
        </w:tc>
        <w:tc>
          <w:tcPr>
            <w:tcW w:w="1077" w:type="dxa"/>
            <w:vAlign w:val="center"/>
          </w:tcPr>
          <w:p w:rsidR="00DC6E81" w:rsidRPr="00B97A9D" w:rsidRDefault="00DC6E81" w:rsidP="00CA71C2">
            <w:pPr>
              <w:pStyle w:val="121"/>
              <w:jc w:val="center"/>
              <w:rPr>
                <w:b/>
              </w:rPr>
            </w:pPr>
            <w:r w:rsidRPr="00B97A9D">
              <w:rPr>
                <w:rFonts w:hint="eastAsia"/>
                <w:b/>
              </w:rPr>
              <w:t>OBU銷售境外商品</w:t>
            </w:r>
          </w:p>
        </w:tc>
        <w:tc>
          <w:tcPr>
            <w:tcW w:w="1077" w:type="dxa"/>
            <w:vAlign w:val="center"/>
          </w:tcPr>
          <w:p w:rsidR="00DC6E81" w:rsidRPr="00B97A9D" w:rsidRDefault="00DC6E81" w:rsidP="00CA71C2">
            <w:pPr>
              <w:pStyle w:val="121"/>
              <w:jc w:val="center"/>
              <w:rPr>
                <w:b/>
              </w:rPr>
            </w:pPr>
            <w:r w:rsidRPr="00B97A9D">
              <w:rPr>
                <w:rFonts w:hint="eastAsia"/>
                <w:b/>
              </w:rPr>
              <w:t>衍生性</w:t>
            </w:r>
            <w:r w:rsidRPr="00B97A9D">
              <w:rPr>
                <w:b/>
              </w:rPr>
              <w:br/>
            </w:r>
            <w:r w:rsidRPr="00B97A9D">
              <w:rPr>
                <w:rFonts w:hint="eastAsia"/>
                <w:b/>
              </w:rPr>
              <w:t>金融商品</w:t>
            </w:r>
          </w:p>
        </w:tc>
        <w:tc>
          <w:tcPr>
            <w:tcW w:w="1020" w:type="dxa"/>
            <w:vAlign w:val="center"/>
          </w:tcPr>
          <w:p w:rsidR="00DC6E81" w:rsidRPr="00B97A9D" w:rsidRDefault="00DC6E81" w:rsidP="00CA71C2">
            <w:pPr>
              <w:pStyle w:val="121"/>
              <w:jc w:val="center"/>
              <w:rPr>
                <w:b/>
              </w:rPr>
            </w:pPr>
            <w:proofErr w:type="gramStart"/>
            <w:r w:rsidRPr="00B97A9D">
              <w:rPr>
                <w:rFonts w:hint="eastAsia"/>
                <w:b/>
              </w:rPr>
              <w:t>金控風險</w:t>
            </w:r>
            <w:proofErr w:type="gramEnd"/>
            <w:r w:rsidRPr="00B97A9D">
              <w:rPr>
                <w:rFonts w:hint="eastAsia"/>
                <w:b/>
              </w:rPr>
              <w:t>管理</w:t>
            </w:r>
          </w:p>
        </w:tc>
        <w:tc>
          <w:tcPr>
            <w:tcW w:w="1077" w:type="dxa"/>
            <w:vAlign w:val="center"/>
          </w:tcPr>
          <w:p w:rsidR="00DC6E81" w:rsidRPr="00B97A9D" w:rsidRDefault="00DC6E81" w:rsidP="00CA71C2">
            <w:pPr>
              <w:pStyle w:val="121"/>
              <w:jc w:val="center"/>
              <w:rPr>
                <w:b/>
              </w:rPr>
            </w:pPr>
            <w:r w:rsidRPr="00B97A9D">
              <w:rPr>
                <w:rFonts w:hint="eastAsia"/>
                <w:b/>
              </w:rPr>
              <w:t>OBU開戶及財報真實性</w:t>
            </w:r>
          </w:p>
        </w:tc>
        <w:tc>
          <w:tcPr>
            <w:tcW w:w="1304" w:type="dxa"/>
            <w:vAlign w:val="center"/>
          </w:tcPr>
          <w:p w:rsidR="00DC6E81" w:rsidRPr="00B97A9D" w:rsidRDefault="00DC6E81" w:rsidP="00CA71C2">
            <w:pPr>
              <w:pStyle w:val="121"/>
              <w:jc w:val="center"/>
              <w:rPr>
                <w:b/>
              </w:rPr>
            </w:pPr>
            <w:r w:rsidRPr="00B97A9D">
              <w:rPr>
                <w:rFonts w:hint="eastAsia"/>
                <w:b/>
              </w:rPr>
              <w:t>一般檢查含衍生性金融商品商</w:t>
            </w:r>
          </w:p>
        </w:tc>
        <w:tc>
          <w:tcPr>
            <w:tcW w:w="1077" w:type="dxa"/>
            <w:vAlign w:val="center"/>
          </w:tcPr>
          <w:p w:rsidR="00DC6E81" w:rsidRPr="00B97A9D" w:rsidRDefault="00DC6E81" w:rsidP="00CA71C2">
            <w:pPr>
              <w:pStyle w:val="121"/>
              <w:jc w:val="center"/>
              <w:rPr>
                <w:b/>
              </w:rPr>
            </w:pPr>
            <w:r w:rsidRPr="00B97A9D">
              <w:rPr>
                <w:rFonts w:hint="eastAsia"/>
                <w:b/>
              </w:rPr>
              <w:t>董事會</w:t>
            </w:r>
            <w:r w:rsidRPr="00B97A9D">
              <w:rPr>
                <w:b/>
              </w:rPr>
              <w:br/>
            </w:r>
            <w:r w:rsidRPr="00B97A9D">
              <w:rPr>
                <w:rFonts w:hint="eastAsia"/>
                <w:b/>
              </w:rPr>
              <w:t>會議紀錄</w:t>
            </w:r>
          </w:p>
        </w:tc>
      </w:tr>
      <w:tr w:rsidR="00DC6E81" w:rsidRPr="00B97A9D" w:rsidTr="00CA71C2">
        <w:tc>
          <w:tcPr>
            <w:tcW w:w="1304" w:type="dxa"/>
            <w:vAlign w:val="center"/>
          </w:tcPr>
          <w:p w:rsidR="00DC6E81" w:rsidRPr="00B97A9D" w:rsidRDefault="00DC6E81" w:rsidP="00CA71C2">
            <w:pPr>
              <w:jc w:val="center"/>
              <w:rPr>
                <w:rFonts w:hAnsi="標楷體"/>
                <w:b/>
                <w:sz w:val="24"/>
                <w:szCs w:val="24"/>
              </w:rPr>
            </w:pPr>
            <w:r w:rsidRPr="00B97A9D">
              <w:rPr>
                <w:rFonts w:hAnsi="標楷體" w:hint="eastAsia"/>
                <w:b/>
                <w:sz w:val="24"/>
                <w:szCs w:val="24"/>
              </w:rPr>
              <w:t>合計家數</w:t>
            </w:r>
          </w:p>
        </w:tc>
        <w:tc>
          <w:tcPr>
            <w:tcW w:w="964" w:type="dxa"/>
            <w:vAlign w:val="center"/>
          </w:tcPr>
          <w:p w:rsidR="00DC6E81" w:rsidRPr="00B97A9D" w:rsidRDefault="00DC6E81" w:rsidP="00CA71C2">
            <w:pPr>
              <w:jc w:val="center"/>
              <w:rPr>
                <w:rFonts w:hAnsi="標楷體"/>
                <w:b/>
                <w:sz w:val="24"/>
                <w:szCs w:val="24"/>
              </w:rPr>
            </w:pPr>
            <w:r w:rsidRPr="00B97A9D">
              <w:rPr>
                <w:rFonts w:hAnsi="標楷體" w:hint="eastAsia"/>
                <w:b/>
                <w:sz w:val="24"/>
                <w:szCs w:val="24"/>
              </w:rPr>
              <w:t>9</w:t>
            </w:r>
          </w:p>
        </w:tc>
        <w:tc>
          <w:tcPr>
            <w:tcW w:w="1077" w:type="dxa"/>
            <w:vAlign w:val="center"/>
          </w:tcPr>
          <w:p w:rsidR="00DC6E81" w:rsidRPr="00B97A9D" w:rsidRDefault="00DC6E81" w:rsidP="00CA71C2">
            <w:pPr>
              <w:jc w:val="center"/>
              <w:rPr>
                <w:rFonts w:hAnsi="標楷體"/>
                <w:b/>
                <w:sz w:val="24"/>
                <w:szCs w:val="24"/>
              </w:rPr>
            </w:pPr>
            <w:r w:rsidRPr="00B97A9D">
              <w:rPr>
                <w:rFonts w:hAnsi="標楷體" w:hint="eastAsia"/>
                <w:b/>
                <w:sz w:val="24"/>
                <w:szCs w:val="24"/>
              </w:rPr>
              <w:t>8</w:t>
            </w:r>
          </w:p>
        </w:tc>
        <w:tc>
          <w:tcPr>
            <w:tcW w:w="1077" w:type="dxa"/>
            <w:vAlign w:val="center"/>
          </w:tcPr>
          <w:p w:rsidR="00DC6E81" w:rsidRPr="00B97A9D" w:rsidRDefault="00DC6E81" w:rsidP="00CA71C2">
            <w:pPr>
              <w:jc w:val="center"/>
              <w:rPr>
                <w:rFonts w:hAnsi="標楷體"/>
                <w:b/>
                <w:sz w:val="24"/>
                <w:szCs w:val="24"/>
              </w:rPr>
            </w:pPr>
            <w:r w:rsidRPr="00B97A9D">
              <w:rPr>
                <w:rFonts w:hAnsi="標楷體" w:hint="eastAsia"/>
                <w:b/>
                <w:sz w:val="24"/>
                <w:szCs w:val="24"/>
              </w:rPr>
              <w:t>23</w:t>
            </w:r>
          </w:p>
        </w:tc>
        <w:tc>
          <w:tcPr>
            <w:tcW w:w="1020" w:type="dxa"/>
            <w:vAlign w:val="center"/>
          </w:tcPr>
          <w:p w:rsidR="00DC6E81" w:rsidRPr="00B97A9D" w:rsidRDefault="00DC6E81" w:rsidP="00CA71C2">
            <w:pPr>
              <w:jc w:val="center"/>
              <w:rPr>
                <w:rFonts w:hAnsi="標楷體"/>
                <w:b/>
                <w:sz w:val="24"/>
                <w:szCs w:val="24"/>
              </w:rPr>
            </w:pPr>
            <w:r w:rsidRPr="00B97A9D">
              <w:rPr>
                <w:rFonts w:hAnsi="標楷體" w:hint="eastAsia"/>
                <w:b/>
                <w:sz w:val="24"/>
                <w:szCs w:val="24"/>
              </w:rPr>
              <w:t>9</w:t>
            </w:r>
          </w:p>
        </w:tc>
        <w:tc>
          <w:tcPr>
            <w:tcW w:w="1077" w:type="dxa"/>
            <w:vAlign w:val="center"/>
          </w:tcPr>
          <w:p w:rsidR="00DC6E81" w:rsidRPr="00B97A9D" w:rsidRDefault="00DC6E81" w:rsidP="00CA71C2">
            <w:pPr>
              <w:jc w:val="center"/>
              <w:rPr>
                <w:rFonts w:hAnsi="標楷體"/>
                <w:b/>
                <w:sz w:val="24"/>
                <w:szCs w:val="24"/>
              </w:rPr>
            </w:pPr>
            <w:r w:rsidRPr="00B97A9D">
              <w:rPr>
                <w:rFonts w:hAnsi="標楷體" w:hint="eastAsia"/>
                <w:b/>
                <w:sz w:val="24"/>
                <w:szCs w:val="24"/>
              </w:rPr>
              <w:t>10</w:t>
            </w:r>
          </w:p>
        </w:tc>
        <w:tc>
          <w:tcPr>
            <w:tcW w:w="1304" w:type="dxa"/>
            <w:vAlign w:val="center"/>
          </w:tcPr>
          <w:p w:rsidR="00DC6E81" w:rsidRPr="00B97A9D" w:rsidRDefault="00DC6E81" w:rsidP="00CA71C2">
            <w:pPr>
              <w:jc w:val="center"/>
              <w:rPr>
                <w:rFonts w:hAnsi="標楷體"/>
                <w:b/>
                <w:sz w:val="24"/>
                <w:szCs w:val="24"/>
              </w:rPr>
            </w:pPr>
            <w:r w:rsidRPr="00B97A9D">
              <w:rPr>
                <w:rFonts w:hAnsi="標楷體" w:hint="eastAsia"/>
                <w:b/>
                <w:sz w:val="24"/>
                <w:szCs w:val="24"/>
              </w:rPr>
              <w:t>13</w:t>
            </w:r>
          </w:p>
        </w:tc>
        <w:tc>
          <w:tcPr>
            <w:tcW w:w="1077" w:type="dxa"/>
            <w:vAlign w:val="center"/>
          </w:tcPr>
          <w:p w:rsidR="00DC6E81" w:rsidRPr="00B97A9D" w:rsidRDefault="00DC6E81" w:rsidP="00CA71C2">
            <w:pPr>
              <w:jc w:val="center"/>
              <w:rPr>
                <w:rFonts w:hAnsi="標楷體"/>
                <w:b/>
                <w:sz w:val="24"/>
                <w:szCs w:val="24"/>
              </w:rPr>
            </w:pPr>
            <w:r w:rsidRPr="00B97A9D">
              <w:rPr>
                <w:rFonts w:hAnsi="標楷體" w:hint="eastAsia"/>
                <w:b/>
                <w:sz w:val="24"/>
                <w:szCs w:val="24"/>
              </w:rPr>
              <w:t>18</w:t>
            </w:r>
          </w:p>
        </w:tc>
      </w:tr>
    </w:tbl>
    <w:p w:rsidR="00DC6E81" w:rsidRPr="00B97A9D" w:rsidRDefault="00DC6E81" w:rsidP="00DC6E81">
      <w:pPr>
        <w:pStyle w:val="afb"/>
      </w:pPr>
      <w:r w:rsidRPr="00B97A9D">
        <w:rPr>
          <w:rFonts w:hint="eastAsia"/>
        </w:rPr>
        <w:t>資料來源：本報告彙整。</w:t>
      </w:r>
    </w:p>
    <w:p w:rsidR="00DC6E81" w:rsidRPr="00DC6E81" w:rsidRDefault="00DC6E81" w:rsidP="00DC6E81">
      <w:pPr>
        <w:pStyle w:val="2"/>
        <w:rPr>
          <w:b w:val="0"/>
        </w:rPr>
      </w:pPr>
      <w:bookmarkStart w:id="54" w:name="_Toc504406100"/>
      <w:bookmarkStart w:id="55" w:name="_Toc506991002"/>
      <w:bookmarkStart w:id="56" w:name="_Toc507677214"/>
      <w:r w:rsidRPr="00DC6E81">
        <w:rPr>
          <w:rFonts w:hint="eastAsia"/>
          <w:b w:val="0"/>
        </w:rPr>
        <w:t>金管會稱100年7月及102年1月開放國際金融業務分行</w:t>
      </w:r>
      <w:r w:rsidRPr="00DC6E81">
        <w:rPr>
          <w:rFonts w:hAnsi="標楷體" w:hint="eastAsia"/>
          <w:b w:val="0"/>
        </w:rPr>
        <w:t>（</w:t>
      </w:r>
      <w:r w:rsidRPr="00DC6E81">
        <w:rPr>
          <w:rFonts w:hint="eastAsia"/>
          <w:b w:val="0"/>
        </w:rPr>
        <w:t>Offshore Banking Unit，下稱OBU</w:t>
      </w:r>
      <w:r w:rsidRPr="00DC6E81">
        <w:rPr>
          <w:rFonts w:hAnsi="標楷體" w:hint="eastAsia"/>
          <w:b w:val="0"/>
        </w:rPr>
        <w:t>）</w:t>
      </w:r>
      <w:r w:rsidRPr="00DC6E81">
        <w:rPr>
          <w:rFonts w:hint="eastAsia"/>
          <w:b w:val="0"/>
        </w:rPr>
        <w:t>及外匯指定銀行</w:t>
      </w:r>
      <w:r w:rsidRPr="00DC6E81">
        <w:rPr>
          <w:rFonts w:hAnsi="標楷體" w:hint="eastAsia"/>
          <w:b w:val="0"/>
        </w:rPr>
        <w:t>（</w:t>
      </w:r>
      <w:r w:rsidRPr="00DC6E81">
        <w:rPr>
          <w:rFonts w:hint="eastAsia"/>
          <w:b w:val="0"/>
        </w:rPr>
        <w:t>Domestic Banking Unit，下稱DBU</w:t>
      </w:r>
      <w:r w:rsidRPr="00DC6E81">
        <w:rPr>
          <w:rFonts w:hAnsi="標楷體" w:hint="eastAsia"/>
          <w:b w:val="0"/>
        </w:rPr>
        <w:t>）</w:t>
      </w:r>
      <w:r w:rsidRPr="00DC6E81">
        <w:rPr>
          <w:rFonts w:hint="eastAsia"/>
          <w:b w:val="0"/>
        </w:rPr>
        <w:t>辦理人民幣業務，各銀行陸續推出各項人民幣衍生性金融商品後，金管會於一般檢查時已將銀行辦理衍生性金融商品業務列為查核項目，歷次金融</w:t>
      </w:r>
      <w:proofErr w:type="gramStart"/>
      <w:r w:rsidRPr="00DC6E81">
        <w:rPr>
          <w:rFonts w:hint="eastAsia"/>
          <w:b w:val="0"/>
        </w:rPr>
        <w:t>檢查均已提</w:t>
      </w:r>
      <w:proofErr w:type="gramEnd"/>
      <w:r w:rsidRPr="00DC6E81">
        <w:rPr>
          <w:rFonts w:hint="eastAsia"/>
          <w:b w:val="0"/>
        </w:rPr>
        <w:t>列檢查意見，督促銀行業者落實改善。</w:t>
      </w:r>
      <w:proofErr w:type="gramStart"/>
      <w:r w:rsidRPr="00DC6E81">
        <w:rPr>
          <w:rFonts w:hint="eastAsia"/>
          <w:b w:val="0"/>
        </w:rPr>
        <w:t>然本院</w:t>
      </w:r>
      <w:proofErr w:type="gramEnd"/>
      <w:r w:rsidRPr="00DC6E81">
        <w:rPr>
          <w:rFonts w:hint="eastAsia"/>
          <w:b w:val="0"/>
        </w:rPr>
        <w:t>請金管會提供100年7月至102年底對銀行辦理金融檢查發現銀行辦理衍生性金融商品業務之缺失，於103至105年間，再對該等銀行進行金融檢查，尚發現銀行辦理衍生性金融商品業務重複發生相同缺失，顯見銀行並未落實改</w:t>
      </w:r>
      <w:r w:rsidRPr="00DC6E81">
        <w:rPr>
          <w:rFonts w:hint="eastAsia"/>
          <w:b w:val="0"/>
        </w:rPr>
        <w:lastRenderedPageBreak/>
        <w:t>善。</w:t>
      </w:r>
      <w:bookmarkEnd w:id="54"/>
      <w:bookmarkEnd w:id="55"/>
      <w:bookmarkEnd w:id="56"/>
    </w:p>
    <w:p w:rsidR="00DC6E81" w:rsidRPr="00DC6E81" w:rsidRDefault="00DC6E81" w:rsidP="00DC6E81">
      <w:pPr>
        <w:pStyle w:val="2"/>
        <w:rPr>
          <w:b w:val="0"/>
          <w:sz w:val="24"/>
          <w:szCs w:val="24"/>
        </w:rPr>
      </w:pPr>
      <w:r w:rsidRPr="00DC6E81">
        <w:rPr>
          <w:rFonts w:hint="eastAsia"/>
          <w:b w:val="0"/>
        </w:rPr>
        <w:t>又金管會稱於103年至105年期間已多次辦理與衍生性金融商品業務有關之金融檢查，</w:t>
      </w:r>
      <w:proofErr w:type="gramStart"/>
      <w:r w:rsidRPr="00DC6E81">
        <w:rPr>
          <w:rFonts w:hint="eastAsia"/>
          <w:b w:val="0"/>
        </w:rPr>
        <w:t>均已提</w:t>
      </w:r>
      <w:proofErr w:type="gramEnd"/>
      <w:r w:rsidRPr="00DC6E81">
        <w:rPr>
          <w:rFonts w:hint="eastAsia"/>
          <w:b w:val="0"/>
        </w:rPr>
        <w:t>列檢查意見，督促業者落實改善，且自103年迄今陸續</w:t>
      </w:r>
      <w:proofErr w:type="gramStart"/>
      <w:r w:rsidRPr="00DC6E81">
        <w:rPr>
          <w:rFonts w:hint="eastAsia"/>
          <w:b w:val="0"/>
        </w:rPr>
        <w:t>研</w:t>
      </w:r>
      <w:proofErr w:type="gramEnd"/>
      <w:r w:rsidRPr="00DC6E81">
        <w:rPr>
          <w:rFonts w:hint="eastAsia"/>
          <w:b w:val="0"/>
        </w:rPr>
        <w:t>訂TRF商品強化管理措施，</w:t>
      </w:r>
      <w:proofErr w:type="gramStart"/>
      <w:r w:rsidRPr="00DC6E81">
        <w:rPr>
          <w:rFonts w:hint="eastAsia"/>
          <w:b w:val="0"/>
        </w:rPr>
        <w:t>然本院再</w:t>
      </w:r>
      <w:proofErr w:type="gramEnd"/>
      <w:r w:rsidRPr="00DC6E81">
        <w:rPr>
          <w:rFonts w:hint="eastAsia"/>
          <w:b w:val="0"/>
        </w:rPr>
        <w:t>請該會提供</w:t>
      </w:r>
      <w:proofErr w:type="gramStart"/>
      <w:r w:rsidRPr="00DC6E81">
        <w:rPr>
          <w:rFonts w:hint="eastAsia"/>
          <w:b w:val="0"/>
        </w:rPr>
        <w:t>103</w:t>
      </w:r>
      <w:proofErr w:type="gramEnd"/>
      <w:r w:rsidRPr="00DC6E81">
        <w:rPr>
          <w:rFonts w:hint="eastAsia"/>
          <w:b w:val="0"/>
        </w:rPr>
        <w:t>年度對銀行辦理金融檢查發現銀行辦理衍生性金融商品業務之缺失，於</w:t>
      </w:r>
      <w:proofErr w:type="gramStart"/>
      <w:r w:rsidRPr="00DC6E81">
        <w:rPr>
          <w:rFonts w:hint="eastAsia"/>
          <w:b w:val="0"/>
        </w:rPr>
        <w:t>105</w:t>
      </w:r>
      <w:proofErr w:type="gramEnd"/>
      <w:r w:rsidRPr="00DC6E81">
        <w:rPr>
          <w:rFonts w:hint="eastAsia"/>
          <w:b w:val="0"/>
        </w:rPr>
        <w:t>年度對該等銀行進行金檢，尚發現銀行辦理衍生性金融商品業務重複發生相同缺失，足見銀行未能確實改善缺失，銀行稽核部門未能發揮應有之功能，對於金管會所提檢查意見，未能確實追蹤改善。</w:t>
      </w:r>
    </w:p>
    <w:p w:rsidR="00DC6E81" w:rsidRPr="00DC6E81" w:rsidRDefault="00DC6E81" w:rsidP="00DC6E81">
      <w:pPr>
        <w:pStyle w:val="2"/>
        <w:rPr>
          <w:b w:val="0"/>
        </w:rPr>
      </w:pPr>
      <w:bookmarkStart w:id="57" w:name="_Toc504406102"/>
      <w:bookmarkStart w:id="58" w:name="_Toc506991004"/>
      <w:bookmarkStart w:id="59" w:name="_Toc507677216"/>
      <w:proofErr w:type="gramStart"/>
      <w:r w:rsidRPr="00DC6E81">
        <w:rPr>
          <w:rFonts w:hint="eastAsia"/>
          <w:b w:val="0"/>
        </w:rPr>
        <w:t>再者，</w:t>
      </w:r>
      <w:proofErr w:type="gramEnd"/>
      <w:r w:rsidRPr="00DC6E81">
        <w:rPr>
          <w:rFonts w:hint="eastAsia"/>
          <w:b w:val="0"/>
        </w:rPr>
        <w:t>銀行辦理衍生性商品業務由來已久，財政部於84年4月25日即發布「銀行辦理衍生性金融商品業務應注意事項」，且93年金管會成立後，亦陸續發布諸多法規，以規範銀行辦理衍生性金融商品業務。惟據金管會提供103年至105年期間多次辦理與衍生性金融商品業務有關之金融檢查之受檢銀行、金檢</w:t>
      </w:r>
      <w:proofErr w:type="gramStart"/>
      <w:r w:rsidRPr="00DC6E81">
        <w:rPr>
          <w:rFonts w:hint="eastAsia"/>
          <w:b w:val="0"/>
        </w:rPr>
        <w:t>時間及缺失態</w:t>
      </w:r>
      <w:proofErr w:type="gramEnd"/>
      <w:r w:rsidRPr="00DC6E81">
        <w:rPr>
          <w:rFonts w:hint="eastAsia"/>
          <w:b w:val="0"/>
        </w:rPr>
        <w:t>樣，經</w:t>
      </w:r>
      <w:proofErr w:type="gramStart"/>
      <w:r w:rsidRPr="00DC6E81">
        <w:rPr>
          <w:rFonts w:hint="eastAsia"/>
          <w:b w:val="0"/>
        </w:rPr>
        <w:t>本院彙整</w:t>
      </w:r>
      <w:proofErr w:type="gramEnd"/>
      <w:r w:rsidRPr="00DC6E81">
        <w:rPr>
          <w:rFonts w:hint="eastAsia"/>
          <w:b w:val="0"/>
        </w:rPr>
        <w:t>發現銀行缺</w:t>
      </w:r>
      <w:proofErr w:type="gramStart"/>
      <w:r w:rsidRPr="00DC6E81">
        <w:rPr>
          <w:rFonts w:hint="eastAsia"/>
          <w:b w:val="0"/>
        </w:rPr>
        <w:t>失態樣甚多</w:t>
      </w:r>
      <w:proofErr w:type="gramEnd"/>
      <w:r w:rsidRPr="00DC6E81">
        <w:rPr>
          <w:rFonts w:hint="eastAsia"/>
          <w:b w:val="0"/>
        </w:rPr>
        <w:t>，單以「有未具備法定資格條件人員辦理衍生性金融商品交易、銷售等作業」此項缺失，即高達30餘家銀行，可見自103至105年度歷次金融檢查均發現諸多銀行有此缺失，然銀行辦理衍生性商品業務歷時多年，竟連此基本銷售應具備條件之規定都無法遵守，此除可看出銀行對於法規遵循度明顯不足，更</w:t>
      </w:r>
      <w:proofErr w:type="gramStart"/>
      <w:r w:rsidRPr="00DC6E81">
        <w:rPr>
          <w:rFonts w:hint="eastAsia"/>
          <w:b w:val="0"/>
        </w:rPr>
        <w:t>凸</w:t>
      </w:r>
      <w:proofErr w:type="gramEnd"/>
      <w:r w:rsidRPr="00DC6E81">
        <w:rPr>
          <w:rFonts w:hint="eastAsia"/>
          <w:b w:val="0"/>
        </w:rPr>
        <w:t>顯金管會過往所為之金融檢查之強度</w:t>
      </w:r>
      <w:proofErr w:type="gramStart"/>
      <w:r w:rsidRPr="00DC6E81">
        <w:rPr>
          <w:rFonts w:hint="eastAsia"/>
          <w:b w:val="0"/>
        </w:rPr>
        <w:t>與效度</w:t>
      </w:r>
      <w:proofErr w:type="gramEnd"/>
      <w:r w:rsidRPr="00DC6E81">
        <w:rPr>
          <w:rFonts w:hint="eastAsia"/>
          <w:b w:val="0"/>
        </w:rPr>
        <w:t>不足，檢查流於形式，缺乏效果。人民幣TRF爭議事件爆發後，金管會接獲投資人陳情，始針對爭議項目進行檢查，自103年6月起陸續對銀行不當銷售TRF之缺失予以處分，共處分5波累計</w:t>
      </w:r>
      <w:proofErr w:type="gramStart"/>
      <w:r w:rsidRPr="00DC6E81">
        <w:rPr>
          <w:rFonts w:hint="eastAsia"/>
          <w:b w:val="0"/>
        </w:rPr>
        <w:t>裁</w:t>
      </w:r>
      <w:proofErr w:type="gramEnd"/>
      <w:r w:rsidRPr="00DC6E81">
        <w:rPr>
          <w:rFonts w:hint="eastAsia"/>
          <w:b w:val="0"/>
        </w:rPr>
        <w:t>罰金額1.04億餘元，且陸續修改諸多法令，對於TRF商品</w:t>
      </w:r>
      <w:proofErr w:type="gramStart"/>
      <w:r w:rsidRPr="00DC6E81">
        <w:rPr>
          <w:rFonts w:hint="eastAsia"/>
          <w:b w:val="0"/>
        </w:rPr>
        <w:t>研</w:t>
      </w:r>
      <w:proofErr w:type="gramEnd"/>
      <w:r w:rsidRPr="00DC6E81">
        <w:rPr>
          <w:rFonts w:hint="eastAsia"/>
          <w:b w:val="0"/>
        </w:rPr>
        <w:t>訂諸多強化管理措施，然已造成諸多中小企業發生重大損失。據金管會提供統計數</w:t>
      </w:r>
      <w:r w:rsidRPr="00DC6E81">
        <w:rPr>
          <w:rFonts w:hint="eastAsia"/>
          <w:b w:val="0"/>
        </w:rPr>
        <w:lastRenderedPageBreak/>
        <w:t>據，自103年1月至106年6月，各銀行客戶操作人民幣TRF商品已到期契約實現淨損失高達732.54億元，各銀行103年1月至106年11月累計轉銷呆帳94億餘元，且截至106年11月因應客戶違約</w:t>
      </w:r>
      <w:proofErr w:type="gramStart"/>
      <w:r w:rsidRPr="00DC6E81">
        <w:rPr>
          <w:rFonts w:hint="eastAsia"/>
          <w:b w:val="0"/>
        </w:rPr>
        <w:t>提撥</w:t>
      </w:r>
      <w:proofErr w:type="gramEnd"/>
      <w:r w:rsidRPr="00DC6E81">
        <w:rPr>
          <w:rFonts w:hint="eastAsia"/>
          <w:b w:val="0"/>
        </w:rPr>
        <w:t>備抵呆帳總額高達74億餘元，此等狀況不無影響金融市場之穩定。且衍生投資人對於金融機關監理效能之質疑，投資人</w:t>
      </w:r>
      <w:proofErr w:type="gramStart"/>
      <w:r w:rsidRPr="00DC6E81">
        <w:rPr>
          <w:rFonts w:hint="eastAsia"/>
          <w:b w:val="0"/>
        </w:rPr>
        <w:t>爰</w:t>
      </w:r>
      <w:proofErr w:type="gramEnd"/>
      <w:r w:rsidRPr="00DC6E81">
        <w:rPr>
          <w:rFonts w:hint="eastAsia"/>
          <w:b w:val="0"/>
        </w:rPr>
        <w:t>向本院陳訴金管會未能從根本解決銀行違法銷售之問題。</w:t>
      </w:r>
      <w:bookmarkEnd w:id="57"/>
      <w:bookmarkEnd w:id="58"/>
      <w:bookmarkEnd w:id="59"/>
    </w:p>
    <w:p w:rsidR="00DC6E81" w:rsidRPr="00DC6E81" w:rsidRDefault="00DC6E81" w:rsidP="00DC6E81">
      <w:pPr>
        <w:pStyle w:val="2"/>
        <w:rPr>
          <w:b w:val="0"/>
        </w:rPr>
      </w:pPr>
      <w:bookmarkStart w:id="60" w:name="_Toc507677217"/>
      <w:r w:rsidRPr="00DC6E81">
        <w:rPr>
          <w:rFonts w:hint="eastAsia"/>
          <w:b w:val="0"/>
        </w:rPr>
        <w:t>另據金管會說明自103年年初起，金管會透過日常監理與金融檢查發現，銀行辦理人民幣TRF商品業務有未落實執行KYC程序、未落實商品適合度制度及額度核給不夠嚴謹…</w:t>
      </w:r>
      <w:proofErr w:type="gramStart"/>
      <w:r w:rsidRPr="00DC6E81">
        <w:rPr>
          <w:rFonts w:hint="eastAsia"/>
          <w:b w:val="0"/>
        </w:rPr>
        <w:t>…</w:t>
      </w:r>
      <w:proofErr w:type="gramEnd"/>
      <w:r w:rsidRPr="00DC6E81">
        <w:rPr>
          <w:rFonts w:hint="eastAsia"/>
          <w:b w:val="0"/>
        </w:rPr>
        <w:t>等方面之缺失，除已就涉有違失情節之銀行業者予以處分外，並陸續修正相關規定，以強化銀行落實</w:t>
      </w:r>
      <w:proofErr w:type="spellStart"/>
      <w:r w:rsidRPr="00DC6E81">
        <w:rPr>
          <w:rFonts w:hint="eastAsia"/>
          <w:b w:val="0"/>
        </w:rPr>
        <w:t>KYC</w:t>
      </w:r>
      <w:proofErr w:type="spellEnd"/>
      <w:r w:rsidRPr="00DC6E81">
        <w:rPr>
          <w:rFonts w:hint="eastAsia"/>
          <w:b w:val="0"/>
        </w:rPr>
        <w:t>、商品適合度及風險管理等業務核心管理制度。</w:t>
      </w:r>
      <w:proofErr w:type="gramStart"/>
      <w:r w:rsidRPr="00DC6E81">
        <w:rPr>
          <w:rFonts w:hint="eastAsia"/>
          <w:b w:val="0"/>
        </w:rPr>
        <w:t>惟查迄105</w:t>
      </w:r>
      <w:proofErr w:type="gramEnd"/>
      <w:r w:rsidRPr="00DC6E81">
        <w:rPr>
          <w:rFonts w:hint="eastAsia"/>
          <w:b w:val="0"/>
        </w:rPr>
        <w:t>年度該會對金融機構進行一般性檢查，尚發現有5家銀行有由未具備法定資格條件人員辦理衍生性金融商品交易或由未具備法定資格條件人員辦理KYC作業之缺失，顯見金融監理效果不佳。且審計部於</w:t>
      </w:r>
      <w:proofErr w:type="gramStart"/>
      <w:r w:rsidRPr="00DC6E81">
        <w:rPr>
          <w:rFonts w:hint="eastAsia"/>
          <w:b w:val="0"/>
        </w:rPr>
        <w:t>104</w:t>
      </w:r>
      <w:proofErr w:type="gramEnd"/>
      <w:r w:rsidRPr="00DC6E81">
        <w:rPr>
          <w:rFonts w:hint="eastAsia"/>
          <w:b w:val="0"/>
        </w:rPr>
        <w:t>年度中央政府總決算審核報告亦指出金管會雖已加強監理本國銀行銷售人民幣衍生性金融商品（TRF）業務，惟部分銀行行銷業務違失頻仍，亟待強化管理機制之意見，足證金管會過往金融檢查未能發揮效能，該會除應強化監理效能，透過實地金融檢查督導銀行確實落實法規遵循，以避免銀行漠視法規為求利潤而不當銷售外，此次人民幣</w:t>
      </w:r>
      <w:proofErr w:type="spellStart"/>
      <w:r w:rsidRPr="00DC6E81">
        <w:rPr>
          <w:rFonts w:hint="eastAsia"/>
          <w:b w:val="0"/>
        </w:rPr>
        <w:t>TRF</w:t>
      </w:r>
      <w:proofErr w:type="spellEnd"/>
      <w:r w:rsidRPr="00DC6E81">
        <w:rPr>
          <w:rFonts w:hint="eastAsia"/>
          <w:b w:val="0"/>
        </w:rPr>
        <w:t>爭議事件經金管會金融檢查發現之缺失多源自內部控制度欠佳，銀行內部稽核未能有效發揮功能，除有賴銀行確實改善以強化治理外，金管會負有健全金融機構業務經營，維持金融穩定之責，實應加強督導銀行強化內部控制制度及內部稽核功能，對於法令之遵</w:t>
      </w:r>
      <w:r w:rsidRPr="00DC6E81">
        <w:rPr>
          <w:rFonts w:hint="eastAsia"/>
          <w:b w:val="0"/>
        </w:rPr>
        <w:lastRenderedPageBreak/>
        <w:t>循應嚴格監督銀行落實執行，強化金檢之強度</w:t>
      </w:r>
      <w:proofErr w:type="gramStart"/>
      <w:r w:rsidRPr="00DC6E81">
        <w:rPr>
          <w:rFonts w:hint="eastAsia"/>
          <w:b w:val="0"/>
        </w:rPr>
        <w:t>與效度</w:t>
      </w:r>
      <w:proofErr w:type="gramEnd"/>
      <w:r w:rsidRPr="00DC6E81">
        <w:rPr>
          <w:rFonts w:hint="eastAsia"/>
          <w:b w:val="0"/>
        </w:rPr>
        <w:t>，及時因應金融商品創新，擬定有效監理計畫，避免檢查流於形式，以有效維護金融市場紀律，防範類此金融爭議事件再次發生。</w:t>
      </w:r>
      <w:bookmarkEnd w:id="60"/>
    </w:p>
    <w:p w:rsidR="00FA3214" w:rsidRPr="00DC6E81" w:rsidRDefault="00DC6E81" w:rsidP="00DC6E81">
      <w:pPr>
        <w:pStyle w:val="2"/>
        <w:rPr>
          <w:b w:val="0"/>
        </w:rPr>
      </w:pPr>
      <w:bookmarkStart w:id="61" w:name="_Toc507677218"/>
      <w:r w:rsidRPr="00DC6E81">
        <w:rPr>
          <w:rFonts w:hint="eastAsia"/>
          <w:b w:val="0"/>
        </w:rPr>
        <w:t>綜上，衍生性金融商品業務已推行多年，該等商品多具有高風險特性，銀行之</w:t>
      </w:r>
      <w:proofErr w:type="gramStart"/>
      <w:r w:rsidRPr="00DC6E81">
        <w:rPr>
          <w:rFonts w:hint="eastAsia"/>
          <w:b w:val="0"/>
        </w:rPr>
        <w:t>遵</w:t>
      </w:r>
      <w:proofErr w:type="gramEnd"/>
      <w:r w:rsidRPr="00DC6E81">
        <w:rPr>
          <w:rFonts w:hint="eastAsia"/>
          <w:b w:val="0"/>
        </w:rPr>
        <w:t>法與否對投資者權益影響極大，倘銀行對於法令遵循度不足，縱然法規規範完善，銀行如未能具體落實執行，將使法規形同具文。上開銀行銷售衍生性金融商品之缺失，</w:t>
      </w:r>
      <w:proofErr w:type="gramStart"/>
      <w:r w:rsidRPr="00DC6E81">
        <w:rPr>
          <w:rFonts w:hint="eastAsia"/>
          <w:b w:val="0"/>
        </w:rPr>
        <w:t>除證銀行</w:t>
      </w:r>
      <w:proofErr w:type="gramEnd"/>
      <w:r w:rsidRPr="00DC6E81">
        <w:rPr>
          <w:rFonts w:hint="eastAsia"/>
          <w:b w:val="0"/>
        </w:rPr>
        <w:t>確未落實法規遵循，及維持有效適當之內部控制制度運作外，亦證銀行稽核部門未能發揮應有之功能、未能有效查核銀行內部控制制度，以確保制度之持續有效運作，對於金管會所提檢查意見，未能確實追蹤改善，內部稽核功能</w:t>
      </w:r>
      <w:proofErr w:type="gramStart"/>
      <w:r w:rsidRPr="00DC6E81">
        <w:rPr>
          <w:rFonts w:hint="eastAsia"/>
          <w:b w:val="0"/>
        </w:rPr>
        <w:t>不</w:t>
      </w:r>
      <w:proofErr w:type="gramEnd"/>
      <w:r w:rsidRPr="00DC6E81">
        <w:rPr>
          <w:rFonts w:hint="eastAsia"/>
          <w:b w:val="0"/>
        </w:rPr>
        <w:t>彰。更</w:t>
      </w:r>
      <w:proofErr w:type="gramStart"/>
      <w:r w:rsidRPr="00DC6E81">
        <w:rPr>
          <w:rFonts w:hint="eastAsia"/>
          <w:b w:val="0"/>
        </w:rPr>
        <w:t>凸</w:t>
      </w:r>
      <w:proofErr w:type="gramEnd"/>
      <w:r w:rsidRPr="00DC6E81">
        <w:rPr>
          <w:rFonts w:hint="eastAsia"/>
          <w:b w:val="0"/>
        </w:rPr>
        <w:t>顯金管會過往未能善盡金融主管機關監督之責，有效監督銀行強化內部控制制度及內部稽核功能，造成此次銀行銷售人民幣TRF爭議頻生，影響金融穩定，且導致投資人對金融機關之監理效能多所質疑，</w:t>
      </w:r>
      <w:proofErr w:type="gramStart"/>
      <w:r w:rsidRPr="00DC6E81">
        <w:rPr>
          <w:rFonts w:hint="eastAsia"/>
          <w:b w:val="0"/>
        </w:rPr>
        <w:t>斲</w:t>
      </w:r>
      <w:proofErr w:type="gramEnd"/>
      <w:r w:rsidRPr="00DC6E81">
        <w:rPr>
          <w:rFonts w:hint="eastAsia"/>
          <w:b w:val="0"/>
        </w:rPr>
        <w:t>傷政府威信，核有</w:t>
      </w:r>
      <w:proofErr w:type="gramStart"/>
      <w:r w:rsidRPr="00DC6E81">
        <w:rPr>
          <w:rFonts w:hint="eastAsia"/>
          <w:b w:val="0"/>
        </w:rPr>
        <w:t>怠</w:t>
      </w:r>
      <w:proofErr w:type="gramEnd"/>
      <w:r w:rsidRPr="00DC6E81">
        <w:rPr>
          <w:rFonts w:hint="eastAsia"/>
          <w:b w:val="0"/>
        </w:rPr>
        <w:t>失。</w:t>
      </w:r>
      <w:bookmarkEnd w:id="61"/>
    </w:p>
    <w:p w:rsidR="00286B1B" w:rsidRDefault="00FA3214" w:rsidP="00CD4923">
      <w:pPr>
        <w:widowControl/>
        <w:overflowPunct/>
        <w:autoSpaceDE/>
        <w:autoSpaceDN/>
        <w:ind w:firstLineChars="208" w:firstLine="708"/>
        <w:jc w:val="left"/>
      </w:pPr>
      <w:r>
        <w:rPr>
          <w:b/>
        </w:rPr>
        <w:br w:type="page"/>
      </w:r>
      <w:bookmarkStart w:id="62" w:name="_Toc524902730"/>
      <w:bookmarkEnd w:id="37"/>
      <w:bookmarkEnd w:id="38"/>
      <w:bookmarkEnd w:id="39"/>
      <w:bookmarkEnd w:id="40"/>
      <w:bookmarkEnd w:id="41"/>
      <w:bookmarkEnd w:id="42"/>
      <w:bookmarkEnd w:id="43"/>
      <w:bookmarkEnd w:id="44"/>
      <w:bookmarkEnd w:id="45"/>
      <w:bookmarkEnd w:id="46"/>
      <w:r w:rsidR="000512D1">
        <w:rPr>
          <w:rFonts w:hint="eastAsia"/>
        </w:rPr>
        <w:lastRenderedPageBreak/>
        <w:t>綜上所述，</w:t>
      </w:r>
      <w:r w:rsidR="00360BC5" w:rsidRPr="00360BC5">
        <w:rPr>
          <w:rFonts w:hAnsi="標楷體" w:hint="eastAsia"/>
          <w:bCs/>
          <w:color w:val="000000"/>
          <w:spacing w:val="-6"/>
        </w:rPr>
        <w:t>金管會未能善盡金融主管機關監督之責，有效監督金融機構強化內部稽核功能，落實內部控制制度，健全金融機構業務經營，監理效能</w:t>
      </w:r>
      <w:proofErr w:type="gramStart"/>
      <w:r w:rsidR="00360BC5" w:rsidRPr="00360BC5">
        <w:rPr>
          <w:rFonts w:hAnsi="標楷體" w:hint="eastAsia"/>
          <w:bCs/>
          <w:color w:val="000000"/>
          <w:spacing w:val="-6"/>
        </w:rPr>
        <w:t>不</w:t>
      </w:r>
      <w:proofErr w:type="gramEnd"/>
      <w:r w:rsidR="00360BC5" w:rsidRPr="00360BC5">
        <w:rPr>
          <w:rFonts w:hAnsi="標楷體" w:hint="eastAsia"/>
          <w:bCs/>
          <w:color w:val="000000"/>
          <w:spacing w:val="-6"/>
        </w:rPr>
        <w:t>彰，致金融機構銷售人民幣TRF爭議頻生，影響金融穩定，且導致投資人對金融機關之監理效能多所質疑，</w:t>
      </w:r>
      <w:proofErr w:type="gramStart"/>
      <w:r w:rsidR="00360BC5" w:rsidRPr="00360BC5">
        <w:rPr>
          <w:rFonts w:hAnsi="標楷體" w:hint="eastAsia"/>
          <w:bCs/>
          <w:color w:val="000000"/>
          <w:spacing w:val="-6"/>
        </w:rPr>
        <w:t>斲</w:t>
      </w:r>
      <w:proofErr w:type="gramEnd"/>
      <w:r w:rsidR="00360BC5" w:rsidRPr="00360BC5">
        <w:rPr>
          <w:rFonts w:hAnsi="標楷體" w:hint="eastAsia"/>
          <w:bCs/>
          <w:color w:val="000000"/>
          <w:spacing w:val="-6"/>
        </w:rPr>
        <w:t>傷政府威信，核有</w:t>
      </w:r>
      <w:proofErr w:type="gramStart"/>
      <w:r w:rsidR="00360BC5" w:rsidRPr="00360BC5">
        <w:rPr>
          <w:rFonts w:hAnsi="標楷體" w:hint="eastAsia"/>
          <w:bCs/>
          <w:color w:val="000000"/>
          <w:spacing w:val="-6"/>
        </w:rPr>
        <w:t>怠</w:t>
      </w:r>
      <w:proofErr w:type="gramEnd"/>
      <w:r w:rsidR="00360BC5" w:rsidRPr="00360BC5">
        <w:rPr>
          <w:rFonts w:hAnsi="標楷體" w:hint="eastAsia"/>
          <w:bCs/>
          <w:color w:val="000000"/>
          <w:spacing w:val="-6"/>
        </w:rPr>
        <w:t>失，</w:t>
      </w:r>
      <w:proofErr w:type="gramStart"/>
      <w:r w:rsidR="000512D1">
        <w:rPr>
          <w:rFonts w:hint="eastAsia"/>
        </w:rPr>
        <w:t>爰</w:t>
      </w:r>
      <w:proofErr w:type="gramEnd"/>
      <w:r w:rsidR="000512D1">
        <w:rPr>
          <w:rFonts w:hint="eastAsia"/>
        </w:rPr>
        <w:t>依監察法第24條</w:t>
      </w:r>
      <w:r w:rsidR="000512D1" w:rsidRPr="000512D1">
        <w:rPr>
          <w:rFonts w:hint="eastAsia"/>
        </w:rPr>
        <w:t>規定</w:t>
      </w:r>
      <w:r w:rsidR="000512D1">
        <w:rPr>
          <w:rFonts w:hint="eastAsia"/>
        </w:rPr>
        <w:t>提案糾正，</w:t>
      </w:r>
      <w:r w:rsidR="0034677B" w:rsidRPr="0034677B">
        <w:rPr>
          <w:rFonts w:hint="eastAsia"/>
        </w:rPr>
        <w:t>移送</w:t>
      </w:r>
      <w:r w:rsidR="0058467F" w:rsidRPr="0058467F">
        <w:rPr>
          <w:rFonts w:hint="eastAsia"/>
        </w:rPr>
        <w:t>行政院</w:t>
      </w:r>
      <w:r w:rsidR="000512D1">
        <w:rPr>
          <w:rFonts w:hint="eastAsia"/>
        </w:rPr>
        <w:t>轉</w:t>
      </w:r>
      <w:proofErr w:type="gramStart"/>
      <w:r w:rsidR="000512D1">
        <w:rPr>
          <w:rFonts w:hint="eastAsia"/>
        </w:rPr>
        <w:t>飭</w:t>
      </w:r>
      <w:proofErr w:type="gramEnd"/>
      <w:r w:rsidR="000512D1">
        <w:rPr>
          <w:rFonts w:hint="eastAsia"/>
        </w:rPr>
        <w:t>所屬確實檢討改善</w:t>
      </w:r>
      <w:proofErr w:type="gramStart"/>
      <w:r w:rsidR="000512D1">
        <w:rPr>
          <w:rFonts w:hint="eastAsia"/>
        </w:rPr>
        <w:t>見復</w:t>
      </w:r>
      <w:r w:rsidR="00286B1B">
        <w:rPr>
          <w:rFonts w:hint="eastAsia"/>
        </w:rPr>
        <w:t>。</w:t>
      </w:r>
      <w:proofErr w:type="gramEnd"/>
    </w:p>
    <w:p w:rsidR="00286B1B" w:rsidRPr="0011763E" w:rsidRDefault="00286B1B" w:rsidP="0011763E">
      <w:pPr>
        <w:pStyle w:val="ab"/>
        <w:spacing w:beforeLines="150" w:before="685" w:after="0" w:line="460" w:lineRule="exact"/>
        <w:ind w:leftChars="1100" w:left="3742"/>
        <w:rPr>
          <w:b w:val="0"/>
          <w:bCs/>
          <w:snapToGrid/>
          <w:spacing w:val="12"/>
          <w:kern w:val="0"/>
          <w:sz w:val="40"/>
          <w:szCs w:val="40"/>
        </w:rPr>
      </w:pPr>
      <w:bookmarkStart w:id="63" w:name="_Toc524895649"/>
      <w:bookmarkStart w:id="64" w:name="_Toc524896195"/>
      <w:bookmarkStart w:id="65" w:name="_Toc524896225"/>
      <w:bookmarkEnd w:id="63"/>
      <w:bookmarkEnd w:id="64"/>
      <w:bookmarkEnd w:id="65"/>
      <w:r w:rsidRPr="006D0935">
        <w:rPr>
          <w:rFonts w:hint="eastAsia"/>
          <w:b w:val="0"/>
          <w:bCs/>
          <w:snapToGrid/>
          <w:spacing w:val="12"/>
          <w:kern w:val="0"/>
          <w:sz w:val="40"/>
        </w:rPr>
        <w:t>提案委員：</w:t>
      </w:r>
      <w:r w:rsidR="0011763E">
        <w:rPr>
          <w:rFonts w:hint="eastAsia"/>
          <w:b w:val="0"/>
          <w:bCs/>
          <w:snapToGrid/>
          <w:spacing w:val="12"/>
          <w:kern w:val="0"/>
          <w:sz w:val="40"/>
        </w:rPr>
        <w:t>林雅鋒</w:t>
      </w:r>
    </w:p>
    <w:p w:rsidR="00286B1B" w:rsidRPr="0011763E" w:rsidRDefault="0011763E" w:rsidP="0011763E">
      <w:pPr>
        <w:pStyle w:val="ab"/>
        <w:spacing w:beforeLines="50" w:before="228" w:after="0" w:line="460" w:lineRule="exact"/>
        <w:ind w:leftChars="1100" w:left="3742"/>
        <w:rPr>
          <w:b w:val="0"/>
          <w:bCs/>
          <w:snapToGrid/>
          <w:spacing w:val="0"/>
          <w:kern w:val="0"/>
          <w:sz w:val="40"/>
          <w:szCs w:val="40"/>
        </w:rPr>
      </w:pPr>
      <w:r>
        <w:rPr>
          <w:rFonts w:hint="eastAsia"/>
          <w:b w:val="0"/>
          <w:bCs/>
          <w:snapToGrid/>
          <w:spacing w:val="0"/>
          <w:kern w:val="0"/>
          <w:sz w:val="40"/>
          <w:szCs w:val="40"/>
        </w:rPr>
        <w:t xml:space="preserve">           陳慶財</w:t>
      </w:r>
    </w:p>
    <w:p w:rsidR="00286B1B" w:rsidRPr="0011763E" w:rsidRDefault="0011763E" w:rsidP="0011763E">
      <w:pPr>
        <w:pStyle w:val="ab"/>
        <w:spacing w:beforeLines="50" w:before="228" w:after="0" w:line="460" w:lineRule="exact"/>
        <w:ind w:leftChars="1100" w:left="3742"/>
        <w:rPr>
          <w:b w:val="0"/>
          <w:bCs/>
          <w:snapToGrid/>
          <w:spacing w:val="0"/>
          <w:kern w:val="0"/>
          <w:sz w:val="40"/>
          <w:szCs w:val="40"/>
        </w:rPr>
      </w:pPr>
      <w:r>
        <w:rPr>
          <w:rFonts w:hint="eastAsia"/>
          <w:b w:val="0"/>
          <w:bCs/>
          <w:snapToGrid/>
          <w:spacing w:val="0"/>
          <w:kern w:val="0"/>
          <w:sz w:val="40"/>
          <w:szCs w:val="40"/>
        </w:rPr>
        <w:t xml:space="preserve">           劉德勳</w:t>
      </w:r>
    </w:p>
    <w:p w:rsidR="0034677B" w:rsidRDefault="0034677B" w:rsidP="00286B1B">
      <w:pPr>
        <w:pStyle w:val="ab"/>
        <w:spacing w:beforeLines="50" w:before="228" w:after="0"/>
        <w:ind w:leftChars="1100" w:left="3742"/>
        <w:rPr>
          <w:b w:val="0"/>
          <w:bCs/>
          <w:snapToGrid/>
          <w:spacing w:val="0"/>
          <w:kern w:val="0"/>
        </w:rPr>
      </w:pPr>
    </w:p>
    <w:p w:rsidR="0034677B" w:rsidRDefault="0034677B" w:rsidP="00286B1B">
      <w:pPr>
        <w:pStyle w:val="ab"/>
        <w:spacing w:beforeLines="50" w:before="228" w:after="0"/>
        <w:ind w:leftChars="1100" w:left="3742"/>
        <w:rPr>
          <w:b w:val="0"/>
          <w:bCs/>
          <w:snapToGrid/>
          <w:spacing w:val="0"/>
          <w:kern w:val="0"/>
        </w:rPr>
      </w:pPr>
    </w:p>
    <w:p w:rsidR="0034677B" w:rsidRDefault="0034677B" w:rsidP="00286B1B">
      <w:pPr>
        <w:pStyle w:val="ab"/>
        <w:spacing w:beforeLines="50" w:before="228" w:after="0"/>
        <w:ind w:leftChars="1100" w:left="3742"/>
        <w:rPr>
          <w:b w:val="0"/>
          <w:bCs/>
          <w:snapToGrid/>
          <w:spacing w:val="0"/>
          <w:kern w:val="0"/>
        </w:rPr>
      </w:pPr>
    </w:p>
    <w:p w:rsidR="0034677B" w:rsidRDefault="0034677B" w:rsidP="00286B1B">
      <w:pPr>
        <w:pStyle w:val="ab"/>
        <w:spacing w:beforeLines="50" w:before="228" w:after="0"/>
        <w:ind w:leftChars="1100" w:left="3742"/>
        <w:rPr>
          <w:b w:val="0"/>
          <w:bCs/>
          <w:snapToGrid/>
          <w:spacing w:val="0"/>
          <w:kern w:val="0"/>
        </w:rPr>
      </w:pPr>
    </w:p>
    <w:p w:rsidR="0034677B" w:rsidRDefault="0034677B" w:rsidP="00286B1B">
      <w:pPr>
        <w:pStyle w:val="ab"/>
        <w:spacing w:beforeLines="50" w:before="228" w:after="0"/>
        <w:ind w:leftChars="1100" w:left="3742"/>
        <w:rPr>
          <w:b w:val="0"/>
          <w:bCs/>
          <w:snapToGrid/>
          <w:spacing w:val="0"/>
          <w:kern w:val="0"/>
        </w:rPr>
      </w:pPr>
    </w:p>
    <w:p w:rsidR="00416721" w:rsidRPr="008A288A" w:rsidRDefault="00416721" w:rsidP="00133AA2">
      <w:pPr>
        <w:pStyle w:val="af3"/>
        <w:rPr>
          <w:bCs/>
        </w:rPr>
      </w:pPr>
      <w:bookmarkStart w:id="66" w:name="_GoBack"/>
      <w:bookmarkEnd w:id="62"/>
      <w:bookmarkEnd w:id="66"/>
    </w:p>
    <w:sectPr w:rsidR="00416721" w:rsidRPr="008A288A"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3AA" w:rsidRDefault="006C23AA">
      <w:r>
        <w:separator/>
      </w:r>
    </w:p>
  </w:endnote>
  <w:endnote w:type="continuationSeparator" w:id="0">
    <w:p w:rsidR="006C23AA" w:rsidRDefault="006C2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華康楷書體W5">
    <w:altName w:val="新細明體"/>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sөũ">
    <w:altName w:val="Times New Roman"/>
    <w:panose1 w:val="00000000000000000000"/>
    <w:charset w:val="00"/>
    <w:family w:val="roman"/>
    <w:notTrueType/>
    <w:pitch w:val="default"/>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EB2" w:rsidRDefault="004E7EB2">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7E068C">
      <w:rPr>
        <w:rStyle w:val="af"/>
        <w:noProof/>
        <w:sz w:val="24"/>
      </w:rPr>
      <w:t>7</w:t>
    </w:r>
    <w:r>
      <w:rPr>
        <w:rStyle w:val="af"/>
        <w:sz w:val="24"/>
      </w:rPr>
      <w:fldChar w:fldCharType="end"/>
    </w:r>
  </w:p>
  <w:p w:rsidR="004E7EB2" w:rsidRDefault="004E7EB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3AA" w:rsidRDefault="006C23AA">
      <w:r>
        <w:separator/>
      </w:r>
    </w:p>
  </w:footnote>
  <w:footnote w:type="continuationSeparator" w:id="0">
    <w:p w:rsidR="006C23AA" w:rsidRDefault="006C23AA">
      <w:r>
        <w:continuationSeparator/>
      </w:r>
    </w:p>
  </w:footnote>
  <w:footnote w:id="1">
    <w:p w:rsidR="00DC6E81" w:rsidRPr="009636F2" w:rsidRDefault="00DC6E81" w:rsidP="00DC6E81">
      <w:pPr>
        <w:pStyle w:val="aff1"/>
        <w:ind w:left="220" w:hangingChars="100" w:hanging="220"/>
        <w:jc w:val="both"/>
      </w:pPr>
      <w:r>
        <w:rPr>
          <w:rStyle w:val="aff3"/>
        </w:rPr>
        <w:footnoteRef/>
      </w:r>
      <w:r>
        <w:rPr>
          <w:rFonts w:hint="eastAsia"/>
        </w:rPr>
        <w:t xml:space="preserve"> </w:t>
      </w:r>
      <w:r>
        <w:rPr>
          <w:rFonts w:hint="eastAsia"/>
        </w:rPr>
        <w:t>該辦法第</w:t>
      </w:r>
      <w:r>
        <w:rPr>
          <w:rFonts w:hint="eastAsia"/>
        </w:rPr>
        <w:t>4</w:t>
      </w:r>
      <w:r>
        <w:rPr>
          <w:rFonts w:hint="eastAsia"/>
        </w:rPr>
        <w:t>條明定</w:t>
      </w:r>
      <w:r>
        <w:rPr>
          <w:rFonts w:hint="eastAsia"/>
        </w:rPr>
        <w:t>3</w:t>
      </w:r>
      <w:r>
        <w:rPr>
          <w:rFonts w:hint="eastAsia"/>
        </w:rPr>
        <w:t>大目標為「營運之效果及效率」、「財務報導之可靠性」、「相關法令之遵循」等；</w:t>
      </w:r>
      <w:r>
        <w:rPr>
          <w:rFonts w:hint="eastAsia"/>
        </w:rPr>
        <w:t>104</w:t>
      </w:r>
      <w:r>
        <w:rPr>
          <w:rFonts w:hint="eastAsia"/>
        </w:rPr>
        <w:t>年</w:t>
      </w:r>
      <w:r>
        <w:rPr>
          <w:rFonts w:hint="eastAsia"/>
        </w:rPr>
        <w:t>5</w:t>
      </w:r>
      <w:r>
        <w:rPr>
          <w:rFonts w:hint="eastAsia"/>
        </w:rPr>
        <w:t>月</w:t>
      </w:r>
      <w:r>
        <w:rPr>
          <w:rFonts w:hint="eastAsia"/>
        </w:rPr>
        <w:t>12</w:t>
      </w:r>
      <w:r>
        <w:rPr>
          <w:rFonts w:hint="eastAsia"/>
        </w:rPr>
        <w:t>日修正為「營運之效果及效率」、「報導具可靠性、及時性、透明性及符合相關規範」、「相關法令規章之遵循」等。</w:t>
      </w:r>
    </w:p>
  </w:footnote>
  <w:footnote w:id="2">
    <w:p w:rsidR="00DC6E81" w:rsidRPr="00982DC5" w:rsidRDefault="00DC6E81" w:rsidP="00DC6E81">
      <w:pPr>
        <w:pStyle w:val="aff1"/>
        <w:ind w:left="220" w:hangingChars="100" w:hanging="220"/>
        <w:jc w:val="both"/>
      </w:pPr>
      <w:r>
        <w:rPr>
          <w:rStyle w:val="aff3"/>
        </w:rPr>
        <w:footnoteRef/>
      </w:r>
      <w:r>
        <w:rPr>
          <w:rFonts w:hint="eastAsia"/>
        </w:rPr>
        <w:t xml:space="preserve"> </w:t>
      </w:r>
      <w:r>
        <w:rPr>
          <w:rFonts w:hint="eastAsia"/>
        </w:rPr>
        <w:t>該辦法第</w:t>
      </w:r>
      <w:r>
        <w:rPr>
          <w:rFonts w:hint="eastAsia"/>
        </w:rPr>
        <w:t>7</w:t>
      </w:r>
      <w:r>
        <w:rPr>
          <w:rFonts w:hint="eastAsia"/>
        </w:rPr>
        <w:t>條明定</w:t>
      </w:r>
      <w:r>
        <w:rPr>
          <w:rFonts w:hint="eastAsia"/>
        </w:rPr>
        <w:t>5</w:t>
      </w:r>
      <w:r>
        <w:rPr>
          <w:rFonts w:hint="eastAsia"/>
        </w:rPr>
        <w:t>大原則為「</w:t>
      </w:r>
      <w:r w:rsidRPr="00982DC5">
        <w:rPr>
          <w:rFonts w:hint="eastAsia"/>
        </w:rPr>
        <w:t>管理階層之監督及控制文化</w:t>
      </w:r>
      <w:r>
        <w:rPr>
          <w:rFonts w:hint="eastAsia"/>
        </w:rPr>
        <w:t>」、「</w:t>
      </w:r>
      <w:r w:rsidRPr="00982DC5">
        <w:rPr>
          <w:rFonts w:hint="eastAsia"/>
        </w:rPr>
        <w:t>風險辨識與評估</w:t>
      </w:r>
      <w:r>
        <w:rPr>
          <w:rFonts w:hint="eastAsia"/>
        </w:rPr>
        <w:t>」、「</w:t>
      </w:r>
      <w:r w:rsidRPr="00982DC5">
        <w:rPr>
          <w:rFonts w:hint="eastAsia"/>
        </w:rPr>
        <w:t>控制活動與職務分工</w:t>
      </w:r>
      <w:r>
        <w:rPr>
          <w:rFonts w:hint="eastAsia"/>
        </w:rPr>
        <w:t>」、「</w:t>
      </w:r>
      <w:r w:rsidRPr="00982DC5">
        <w:rPr>
          <w:rFonts w:hint="eastAsia"/>
        </w:rPr>
        <w:t>資訊與溝通</w:t>
      </w:r>
      <w:r>
        <w:rPr>
          <w:rFonts w:hint="eastAsia"/>
        </w:rPr>
        <w:t>」、「</w:t>
      </w:r>
      <w:r>
        <w:rPr>
          <w:rFonts w:hAnsi="標楷體" w:cs="Arial Unicode MS"/>
          <w:kern w:val="0"/>
        </w:rPr>
        <w:t>監督活動與更正缺失</w:t>
      </w:r>
      <w:r>
        <w:rPr>
          <w:rFonts w:hint="eastAsia"/>
        </w:rPr>
        <w:t>」等；</w:t>
      </w:r>
      <w:r>
        <w:rPr>
          <w:rFonts w:hint="eastAsia"/>
        </w:rPr>
        <w:t>104</w:t>
      </w:r>
      <w:r>
        <w:rPr>
          <w:rFonts w:hint="eastAsia"/>
        </w:rPr>
        <w:t>年</w:t>
      </w:r>
      <w:r>
        <w:rPr>
          <w:rFonts w:hint="eastAsia"/>
        </w:rPr>
        <w:t>5</w:t>
      </w:r>
      <w:r>
        <w:rPr>
          <w:rFonts w:hint="eastAsia"/>
        </w:rPr>
        <w:t>月</w:t>
      </w:r>
      <w:r>
        <w:rPr>
          <w:rFonts w:hint="eastAsia"/>
        </w:rPr>
        <w:t>12</w:t>
      </w:r>
      <w:r>
        <w:rPr>
          <w:rFonts w:hint="eastAsia"/>
        </w:rPr>
        <w:t>日修正為</w:t>
      </w:r>
      <w:r w:rsidRPr="00982DC5">
        <w:rPr>
          <w:rFonts w:hint="eastAsia"/>
        </w:rPr>
        <w:t>應包含下列</w:t>
      </w:r>
      <w:r>
        <w:rPr>
          <w:rFonts w:hint="eastAsia"/>
        </w:rPr>
        <w:t>5</w:t>
      </w:r>
      <w:r>
        <w:rPr>
          <w:rFonts w:hint="eastAsia"/>
        </w:rPr>
        <w:t>項</w:t>
      </w:r>
      <w:r w:rsidRPr="00982DC5">
        <w:rPr>
          <w:rFonts w:hint="eastAsia"/>
        </w:rPr>
        <w:t>組成要素</w:t>
      </w:r>
      <w:r>
        <w:rPr>
          <w:rFonts w:hint="eastAsia"/>
        </w:rPr>
        <w:t>：「</w:t>
      </w:r>
      <w:r w:rsidRPr="00982DC5">
        <w:rPr>
          <w:rFonts w:hint="eastAsia"/>
        </w:rPr>
        <w:t>控制環境</w:t>
      </w:r>
      <w:r>
        <w:rPr>
          <w:rFonts w:hint="eastAsia"/>
        </w:rPr>
        <w:t>」、「</w:t>
      </w:r>
      <w:r w:rsidRPr="00982DC5">
        <w:rPr>
          <w:rFonts w:hint="eastAsia"/>
        </w:rPr>
        <w:t>風險評估</w:t>
      </w:r>
      <w:r>
        <w:rPr>
          <w:rFonts w:hint="eastAsia"/>
        </w:rPr>
        <w:t>」、「</w:t>
      </w:r>
      <w:r w:rsidRPr="00982DC5">
        <w:rPr>
          <w:rFonts w:hint="eastAsia"/>
        </w:rPr>
        <w:t>控制作業</w:t>
      </w:r>
      <w:r>
        <w:rPr>
          <w:rFonts w:hint="eastAsia"/>
        </w:rPr>
        <w:t>」、「</w:t>
      </w:r>
      <w:r w:rsidRPr="00982DC5">
        <w:rPr>
          <w:rFonts w:hint="eastAsia"/>
        </w:rPr>
        <w:t>資訊與溝通</w:t>
      </w:r>
      <w:r>
        <w:rPr>
          <w:rFonts w:hint="eastAsia"/>
        </w:rPr>
        <w:t>」、「</w:t>
      </w:r>
      <w:r w:rsidRPr="00982DC5">
        <w:rPr>
          <w:rFonts w:hint="eastAsia"/>
        </w:rPr>
        <w:t>監督作業</w:t>
      </w:r>
      <w:r>
        <w:rPr>
          <w:rFonts w:hint="eastAsia"/>
        </w:rPr>
        <w:t>」等。</w:t>
      </w:r>
    </w:p>
  </w:footnote>
  <w:footnote w:id="3">
    <w:p w:rsidR="00DC6E81" w:rsidRPr="00104984" w:rsidRDefault="00DC6E81" w:rsidP="00DC6E81">
      <w:pPr>
        <w:pStyle w:val="aff1"/>
        <w:ind w:left="220" w:hangingChars="100" w:hanging="220"/>
        <w:jc w:val="both"/>
      </w:pPr>
      <w:r>
        <w:rPr>
          <w:rStyle w:val="aff3"/>
        </w:rPr>
        <w:footnoteRef/>
      </w:r>
      <w:r>
        <w:t xml:space="preserve"> </w:t>
      </w:r>
      <w:r>
        <w:rPr>
          <w:rFonts w:hint="eastAsia"/>
        </w:rPr>
        <w:t>該辦法第</w:t>
      </w:r>
      <w:r>
        <w:rPr>
          <w:rFonts w:hint="eastAsia"/>
        </w:rPr>
        <w:t>6</w:t>
      </w:r>
      <w:r>
        <w:rPr>
          <w:rFonts w:hint="eastAsia"/>
        </w:rPr>
        <w:t>條規定：「</w:t>
      </w:r>
      <w:r w:rsidRPr="00104984">
        <w:rPr>
          <w:rFonts w:hint="eastAsia"/>
        </w:rPr>
        <w:t>金融控股公司及銀行業應建立內部稽核制度、自行查核制度、法令遵循主管制度、以及風險管理機制，以維持有效適當之內部控制制度運作。</w:t>
      </w:r>
      <w:r>
        <w:rPr>
          <w:rFonts w:hint="eastAsia"/>
        </w:rPr>
        <w:t>」；</w:t>
      </w:r>
      <w:r>
        <w:rPr>
          <w:rFonts w:hint="eastAsia"/>
        </w:rPr>
        <w:t>103</w:t>
      </w:r>
      <w:r>
        <w:rPr>
          <w:rFonts w:hint="eastAsia"/>
        </w:rPr>
        <w:t>年</w:t>
      </w:r>
      <w:r>
        <w:rPr>
          <w:rFonts w:hint="eastAsia"/>
        </w:rPr>
        <w:t>8</w:t>
      </w:r>
      <w:r>
        <w:rPr>
          <w:rFonts w:hint="eastAsia"/>
        </w:rPr>
        <w:t>月</w:t>
      </w:r>
      <w:r>
        <w:rPr>
          <w:rFonts w:hint="eastAsia"/>
        </w:rPr>
        <w:t>8</w:t>
      </w:r>
      <w:r>
        <w:rPr>
          <w:rFonts w:hint="eastAsia"/>
        </w:rPr>
        <w:t>日修正為：「金融控股公司及銀行業應建立內部稽核制度、自行查核制度、法令遵循制度、以及風險管理機制，以維持有效適當之內部控制制度運作。」</w:t>
      </w:r>
      <w:r>
        <w:rPr>
          <w:rFonts w:hint="eastAsia"/>
        </w:rPr>
        <w:t>106</w:t>
      </w:r>
      <w:r>
        <w:rPr>
          <w:rFonts w:hint="eastAsia"/>
        </w:rPr>
        <w:t>年</w:t>
      </w:r>
      <w:r>
        <w:rPr>
          <w:rFonts w:hint="eastAsia"/>
        </w:rPr>
        <w:t>3</w:t>
      </w:r>
      <w:r>
        <w:rPr>
          <w:rFonts w:hint="eastAsia"/>
        </w:rPr>
        <w:t>月</w:t>
      </w:r>
      <w:r>
        <w:rPr>
          <w:rFonts w:hint="eastAsia"/>
        </w:rPr>
        <w:t>22</w:t>
      </w:r>
      <w:r>
        <w:rPr>
          <w:rFonts w:hint="eastAsia"/>
        </w:rPr>
        <w:t>日再修正為：「金融控股公司及銀行業應建立自行查核制度、法令遵循制度與風險管理機制及內部稽核制度等內部控制三道防線，以維持有效適當之內部控制制度運作。…</w:t>
      </w:r>
      <w:proofErr w:type="gramStart"/>
      <w:r>
        <w:rPr>
          <w:rFonts w:hint="eastAsia"/>
        </w:rPr>
        <w:t>…</w:t>
      </w:r>
      <w:proofErr w:type="gramEnd"/>
      <w:r>
        <w:rPr>
          <w:rFonts w:hint="eastAsia"/>
        </w:rPr>
        <w:t>」。</w:t>
      </w:r>
    </w:p>
  </w:footnote>
  <w:footnote w:id="4">
    <w:p w:rsidR="00DC6E81" w:rsidRPr="00F84EC4" w:rsidRDefault="00DC6E81" w:rsidP="00DC6E81">
      <w:pPr>
        <w:pStyle w:val="aff1"/>
        <w:ind w:left="220" w:hangingChars="100" w:hanging="220"/>
        <w:jc w:val="both"/>
      </w:pPr>
      <w:r>
        <w:rPr>
          <w:rStyle w:val="aff3"/>
        </w:rPr>
        <w:footnoteRef/>
      </w:r>
      <w:r>
        <w:rPr>
          <w:rFonts w:hint="eastAsia"/>
        </w:rPr>
        <w:t xml:space="preserve"> </w:t>
      </w:r>
      <w:r>
        <w:rPr>
          <w:rFonts w:hint="eastAsia"/>
        </w:rPr>
        <w:t>依據</w:t>
      </w:r>
      <w:r>
        <w:rPr>
          <w:rFonts w:hint="eastAsia"/>
        </w:rPr>
        <w:t>103</w:t>
      </w:r>
      <w:r>
        <w:rPr>
          <w:rFonts w:hint="eastAsia"/>
        </w:rPr>
        <w:t>年</w:t>
      </w:r>
      <w:r>
        <w:rPr>
          <w:rFonts w:hint="eastAsia"/>
        </w:rPr>
        <w:t>12</w:t>
      </w:r>
      <w:r>
        <w:rPr>
          <w:rFonts w:hint="eastAsia"/>
        </w:rPr>
        <w:t>月</w:t>
      </w:r>
      <w:r>
        <w:rPr>
          <w:rFonts w:hint="eastAsia"/>
        </w:rPr>
        <w:t>1</w:t>
      </w:r>
      <w:r>
        <w:rPr>
          <w:rFonts w:hint="eastAsia"/>
        </w:rPr>
        <w:t>日修正之「</w:t>
      </w:r>
      <w:r w:rsidRPr="00DD6431">
        <w:rPr>
          <w:rFonts w:hint="eastAsia"/>
        </w:rPr>
        <w:t>銀行辦理衍生性金融商品業務應注意事項</w:t>
      </w:r>
      <w:r>
        <w:rPr>
          <w:rFonts w:hint="eastAsia"/>
        </w:rPr>
        <w:t>」第</w:t>
      </w:r>
      <w:r>
        <w:rPr>
          <w:rFonts w:hint="eastAsia"/>
        </w:rPr>
        <w:t>22</w:t>
      </w:r>
      <w:r>
        <w:rPr>
          <w:rFonts w:hint="eastAsia"/>
        </w:rPr>
        <w:t>條規定，銀行向非屬專業機構投資人之客戶提供衍生性金融商品交易服務，應建立商品適合度制度，其內容至少應包括衍生性金融商品屬性評估、瞭解客戶程序及客戶屬性評估，以確實瞭解客戶之投資經驗、財產狀況、交易目的、商品理解等特性及交易該項衍生性金融商品之適當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64C3B7E"/>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CE25D6"/>
    <w:multiLevelType w:val="hybridMultilevel"/>
    <w:tmpl w:val="7C6A55D4"/>
    <w:lvl w:ilvl="0" w:tplc="DA8E18BC">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72B4D0C8"/>
    <w:lvl w:ilvl="0" w:tplc="15EEBDA0">
      <w:start w:val="1"/>
      <w:numFmt w:val="decimal"/>
      <w:pStyle w:val="a4"/>
      <w:lvlText w:val="表%1　"/>
      <w:lvlJc w:val="left"/>
      <w:pPr>
        <w:ind w:left="1473" w:hanging="480"/>
      </w:pPr>
      <w:rPr>
        <w:rFonts w:ascii="標楷體" w:eastAsia="標楷體" w:hint="eastAsia"/>
        <w:b/>
        <w:i w:val="0"/>
        <w:sz w:val="28"/>
        <w:lang w:val="en-US"/>
      </w:rPr>
    </w:lvl>
    <w:lvl w:ilvl="1" w:tplc="04090019">
      <w:start w:val="1"/>
      <w:numFmt w:val="ideographTraditional"/>
      <w:lvlText w:val="%2、"/>
      <w:lvlJc w:val="left"/>
      <w:pPr>
        <w:tabs>
          <w:tab w:val="num" w:pos="1953"/>
        </w:tabs>
        <w:ind w:left="1953" w:hanging="480"/>
      </w:pPr>
    </w:lvl>
    <w:lvl w:ilvl="2" w:tplc="0409001B" w:tentative="1">
      <w:start w:val="1"/>
      <w:numFmt w:val="lowerRoman"/>
      <w:lvlText w:val="%3."/>
      <w:lvlJc w:val="right"/>
      <w:pPr>
        <w:tabs>
          <w:tab w:val="num" w:pos="2433"/>
        </w:tabs>
        <w:ind w:left="2433" w:hanging="480"/>
      </w:pPr>
    </w:lvl>
    <w:lvl w:ilvl="3" w:tplc="0409000F" w:tentative="1">
      <w:start w:val="1"/>
      <w:numFmt w:val="decimal"/>
      <w:lvlText w:val="%4."/>
      <w:lvlJc w:val="left"/>
      <w:pPr>
        <w:tabs>
          <w:tab w:val="num" w:pos="2913"/>
        </w:tabs>
        <w:ind w:left="2913" w:hanging="480"/>
      </w:pPr>
    </w:lvl>
    <w:lvl w:ilvl="4" w:tplc="04090019" w:tentative="1">
      <w:start w:val="1"/>
      <w:numFmt w:val="ideographTraditional"/>
      <w:lvlText w:val="%5、"/>
      <w:lvlJc w:val="left"/>
      <w:pPr>
        <w:tabs>
          <w:tab w:val="num" w:pos="3393"/>
        </w:tabs>
        <w:ind w:left="3393" w:hanging="480"/>
      </w:pPr>
    </w:lvl>
    <w:lvl w:ilvl="5" w:tplc="0409001B" w:tentative="1">
      <w:start w:val="1"/>
      <w:numFmt w:val="lowerRoman"/>
      <w:lvlText w:val="%6."/>
      <w:lvlJc w:val="right"/>
      <w:pPr>
        <w:tabs>
          <w:tab w:val="num" w:pos="3873"/>
        </w:tabs>
        <w:ind w:left="3873" w:hanging="480"/>
      </w:pPr>
    </w:lvl>
    <w:lvl w:ilvl="6" w:tplc="0409000F" w:tentative="1">
      <w:start w:val="1"/>
      <w:numFmt w:val="decimal"/>
      <w:lvlText w:val="%7."/>
      <w:lvlJc w:val="left"/>
      <w:pPr>
        <w:tabs>
          <w:tab w:val="num" w:pos="4353"/>
        </w:tabs>
        <w:ind w:left="4353" w:hanging="480"/>
      </w:pPr>
    </w:lvl>
    <w:lvl w:ilvl="7" w:tplc="04090019" w:tentative="1">
      <w:start w:val="1"/>
      <w:numFmt w:val="ideographTraditional"/>
      <w:lvlText w:val="%8、"/>
      <w:lvlJc w:val="left"/>
      <w:pPr>
        <w:tabs>
          <w:tab w:val="num" w:pos="4833"/>
        </w:tabs>
        <w:ind w:left="4833" w:hanging="480"/>
      </w:pPr>
    </w:lvl>
    <w:lvl w:ilvl="8" w:tplc="0409001B" w:tentative="1">
      <w:start w:val="1"/>
      <w:numFmt w:val="lowerRoman"/>
      <w:lvlText w:val="%9."/>
      <w:lvlJc w:val="right"/>
      <w:pPr>
        <w:tabs>
          <w:tab w:val="num" w:pos="5313"/>
        </w:tabs>
        <w:ind w:left="5313"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4"/>
  </w:num>
  <w:num w:numId="19">
    <w:abstractNumId w:val="4"/>
    <w:lvlOverride w:ilvl="0">
      <w:startOverride w:val="1"/>
    </w:lvlOverride>
  </w:num>
  <w:num w:numId="20">
    <w:abstractNumId w:val="3"/>
  </w:num>
  <w:num w:numId="21">
    <w:abstractNumId w:val="4"/>
  </w:num>
  <w:num w:numId="22">
    <w:abstractNumId w:val="7"/>
  </w:num>
  <w:num w:numId="23">
    <w:abstractNumId w:val="5"/>
  </w:num>
  <w:num w:numId="24">
    <w:abstractNumId w:val="8"/>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9"/>
  </w:num>
  <w:num w:numId="29">
    <w:abstractNumId w:val="9"/>
  </w:num>
  <w:num w:numId="30">
    <w:abstractNumId w:val="6"/>
  </w:num>
  <w:num w:numId="31">
    <w:abstractNumId w:val="6"/>
  </w:num>
  <w:num w:numId="32">
    <w:abstractNumId w:val="3"/>
  </w:num>
  <w:num w:numId="33">
    <w:abstractNumId w:val="3"/>
  </w:num>
  <w:num w:numId="34">
    <w:abstractNumId w:val="3"/>
  </w:num>
  <w:num w:numId="35">
    <w:abstractNumId w:val="1"/>
  </w:num>
  <w:num w:numId="36">
    <w:abstractNumId w:val="0"/>
  </w:num>
  <w:num w:numId="37">
    <w:abstractNumId w:val="3"/>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 w:numId="46">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07FA3"/>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4876"/>
    <w:rsid w:val="000B61D2"/>
    <w:rsid w:val="000B70A7"/>
    <w:rsid w:val="000C495F"/>
    <w:rsid w:val="000E6431"/>
    <w:rsid w:val="000F0D35"/>
    <w:rsid w:val="000F21A5"/>
    <w:rsid w:val="00102B9F"/>
    <w:rsid w:val="00112637"/>
    <w:rsid w:val="0011763E"/>
    <w:rsid w:val="0012001E"/>
    <w:rsid w:val="00126A55"/>
    <w:rsid w:val="00133AA2"/>
    <w:rsid w:val="00133F08"/>
    <w:rsid w:val="001345E6"/>
    <w:rsid w:val="001378B0"/>
    <w:rsid w:val="00142E00"/>
    <w:rsid w:val="00152793"/>
    <w:rsid w:val="001545A9"/>
    <w:rsid w:val="00154A5F"/>
    <w:rsid w:val="001637C7"/>
    <w:rsid w:val="0016480E"/>
    <w:rsid w:val="00174297"/>
    <w:rsid w:val="001817B3"/>
    <w:rsid w:val="00183014"/>
    <w:rsid w:val="001959C2"/>
    <w:rsid w:val="001A7968"/>
    <w:rsid w:val="001B3483"/>
    <w:rsid w:val="001B3C1E"/>
    <w:rsid w:val="001B4494"/>
    <w:rsid w:val="001C0D8B"/>
    <w:rsid w:val="001C0DA8"/>
    <w:rsid w:val="001D5804"/>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9EC"/>
    <w:rsid w:val="00286B1B"/>
    <w:rsid w:val="00295174"/>
    <w:rsid w:val="00296172"/>
    <w:rsid w:val="00296B92"/>
    <w:rsid w:val="002A2C22"/>
    <w:rsid w:val="002B02EB"/>
    <w:rsid w:val="002B4E79"/>
    <w:rsid w:val="002C0602"/>
    <w:rsid w:val="002C1507"/>
    <w:rsid w:val="002C7791"/>
    <w:rsid w:val="002D5C16"/>
    <w:rsid w:val="002F3DFF"/>
    <w:rsid w:val="002F5E05"/>
    <w:rsid w:val="00317053"/>
    <w:rsid w:val="0032109C"/>
    <w:rsid w:val="00322B45"/>
    <w:rsid w:val="00323809"/>
    <w:rsid w:val="00323D41"/>
    <w:rsid w:val="00325414"/>
    <w:rsid w:val="003301A4"/>
    <w:rsid w:val="003302F1"/>
    <w:rsid w:val="0034470E"/>
    <w:rsid w:val="0034677B"/>
    <w:rsid w:val="00352DB0"/>
    <w:rsid w:val="00360BC5"/>
    <w:rsid w:val="00371833"/>
    <w:rsid w:val="00371ED3"/>
    <w:rsid w:val="0037728A"/>
    <w:rsid w:val="00380B7D"/>
    <w:rsid w:val="00381A99"/>
    <w:rsid w:val="003829C2"/>
    <w:rsid w:val="00384724"/>
    <w:rsid w:val="003919B7"/>
    <w:rsid w:val="00391D57"/>
    <w:rsid w:val="00392292"/>
    <w:rsid w:val="00394996"/>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16EE2"/>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0990"/>
    <w:rsid w:val="004B13C7"/>
    <w:rsid w:val="004B778F"/>
    <w:rsid w:val="004C5DD4"/>
    <w:rsid w:val="004D141F"/>
    <w:rsid w:val="004D6310"/>
    <w:rsid w:val="004E0062"/>
    <w:rsid w:val="004E05A1"/>
    <w:rsid w:val="004E7EB2"/>
    <w:rsid w:val="004F0409"/>
    <w:rsid w:val="004F5E57"/>
    <w:rsid w:val="004F6710"/>
    <w:rsid w:val="00502849"/>
    <w:rsid w:val="00504334"/>
    <w:rsid w:val="005104D7"/>
    <w:rsid w:val="00510B9E"/>
    <w:rsid w:val="00531D2C"/>
    <w:rsid w:val="00536BC2"/>
    <w:rsid w:val="005425E1"/>
    <w:rsid w:val="005427C5"/>
    <w:rsid w:val="00542CF6"/>
    <w:rsid w:val="00546F1A"/>
    <w:rsid w:val="00553C03"/>
    <w:rsid w:val="00563692"/>
    <w:rsid w:val="00571349"/>
    <w:rsid w:val="0058467F"/>
    <w:rsid w:val="005908B8"/>
    <w:rsid w:val="005918F6"/>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C23AA"/>
    <w:rsid w:val="006D3691"/>
    <w:rsid w:val="006E2DCE"/>
    <w:rsid w:val="006F3563"/>
    <w:rsid w:val="006F42B9"/>
    <w:rsid w:val="006F6103"/>
    <w:rsid w:val="00704E00"/>
    <w:rsid w:val="007209E7"/>
    <w:rsid w:val="00724D9B"/>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68C"/>
    <w:rsid w:val="007E0E10"/>
    <w:rsid w:val="007E4768"/>
    <w:rsid w:val="007E5BDD"/>
    <w:rsid w:val="007E777B"/>
    <w:rsid w:val="007F2070"/>
    <w:rsid w:val="008053F5"/>
    <w:rsid w:val="00810198"/>
    <w:rsid w:val="00815DA8"/>
    <w:rsid w:val="0082194D"/>
    <w:rsid w:val="00824120"/>
    <w:rsid w:val="00826EF5"/>
    <w:rsid w:val="00831693"/>
    <w:rsid w:val="00840104"/>
    <w:rsid w:val="00841FC5"/>
    <w:rsid w:val="00845709"/>
    <w:rsid w:val="008576BD"/>
    <w:rsid w:val="00860463"/>
    <w:rsid w:val="00865157"/>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5526"/>
    <w:rsid w:val="009470C2"/>
    <w:rsid w:val="00947967"/>
    <w:rsid w:val="00950CCD"/>
    <w:rsid w:val="00965200"/>
    <w:rsid w:val="009668B3"/>
    <w:rsid w:val="00971471"/>
    <w:rsid w:val="009849C2"/>
    <w:rsid w:val="00984D24"/>
    <w:rsid w:val="009858EB"/>
    <w:rsid w:val="009B0046"/>
    <w:rsid w:val="009C1440"/>
    <w:rsid w:val="009C2107"/>
    <w:rsid w:val="009C5D9E"/>
    <w:rsid w:val="009D0EDE"/>
    <w:rsid w:val="009D2C3E"/>
    <w:rsid w:val="009E0625"/>
    <w:rsid w:val="009E3034"/>
    <w:rsid w:val="009E549F"/>
    <w:rsid w:val="009F28A8"/>
    <w:rsid w:val="009F473E"/>
    <w:rsid w:val="009F4AD1"/>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2777A"/>
    <w:rsid w:val="00B443E4"/>
    <w:rsid w:val="00B51132"/>
    <w:rsid w:val="00B563EA"/>
    <w:rsid w:val="00B60E51"/>
    <w:rsid w:val="00B63A54"/>
    <w:rsid w:val="00B77D18"/>
    <w:rsid w:val="00B8313A"/>
    <w:rsid w:val="00B83C6B"/>
    <w:rsid w:val="00B93503"/>
    <w:rsid w:val="00BA31E8"/>
    <w:rsid w:val="00BA55E0"/>
    <w:rsid w:val="00BA6BD4"/>
    <w:rsid w:val="00BA7A96"/>
    <w:rsid w:val="00BB2655"/>
    <w:rsid w:val="00BB3752"/>
    <w:rsid w:val="00BB6688"/>
    <w:rsid w:val="00BC26D4"/>
    <w:rsid w:val="00BC64F2"/>
    <w:rsid w:val="00BC66A6"/>
    <w:rsid w:val="00BD7D5D"/>
    <w:rsid w:val="00BE0173"/>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65BCE"/>
    <w:rsid w:val="00C7084D"/>
    <w:rsid w:val="00C7315E"/>
    <w:rsid w:val="00C75895"/>
    <w:rsid w:val="00C83C9F"/>
    <w:rsid w:val="00C86866"/>
    <w:rsid w:val="00C94840"/>
    <w:rsid w:val="00CA6AC8"/>
    <w:rsid w:val="00CB027F"/>
    <w:rsid w:val="00CC6297"/>
    <w:rsid w:val="00CC7690"/>
    <w:rsid w:val="00CD1986"/>
    <w:rsid w:val="00CD4923"/>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324A"/>
    <w:rsid w:val="00D75644"/>
    <w:rsid w:val="00D81656"/>
    <w:rsid w:val="00D83D87"/>
    <w:rsid w:val="00D86A30"/>
    <w:rsid w:val="00D92E32"/>
    <w:rsid w:val="00D97CB4"/>
    <w:rsid w:val="00D97DD4"/>
    <w:rsid w:val="00DA5A8A"/>
    <w:rsid w:val="00DB26CD"/>
    <w:rsid w:val="00DB3135"/>
    <w:rsid w:val="00DB441C"/>
    <w:rsid w:val="00DB44AF"/>
    <w:rsid w:val="00DC1F58"/>
    <w:rsid w:val="00DC339B"/>
    <w:rsid w:val="00DC5D40"/>
    <w:rsid w:val="00DC6E81"/>
    <w:rsid w:val="00DD30E9"/>
    <w:rsid w:val="00DD4F47"/>
    <w:rsid w:val="00DD7FBB"/>
    <w:rsid w:val="00DE0B9F"/>
    <w:rsid w:val="00DE4238"/>
    <w:rsid w:val="00DE42B9"/>
    <w:rsid w:val="00DE657F"/>
    <w:rsid w:val="00DF1218"/>
    <w:rsid w:val="00DF6462"/>
    <w:rsid w:val="00E02FA0"/>
    <w:rsid w:val="00E036DC"/>
    <w:rsid w:val="00E10454"/>
    <w:rsid w:val="00E10AC5"/>
    <w:rsid w:val="00E112E5"/>
    <w:rsid w:val="00E21CC7"/>
    <w:rsid w:val="00E23E3F"/>
    <w:rsid w:val="00E24D9E"/>
    <w:rsid w:val="00E25849"/>
    <w:rsid w:val="00E30BEA"/>
    <w:rsid w:val="00E3197E"/>
    <w:rsid w:val="00E342F8"/>
    <w:rsid w:val="00E351ED"/>
    <w:rsid w:val="00E6034B"/>
    <w:rsid w:val="00E6549E"/>
    <w:rsid w:val="00E65EDE"/>
    <w:rsid w:val="00E70F81"/>
    <w:rsid w:val="00E7407C"/>
    <w:rsid w:val="00E77055"/>
    <w:rsid w:val="00E77460"/>
    <w:rsid w:val="00E83ABC"/>
    <w:rsid w:val="00E844F2"/>
    <w:rsid w:val="00E92FCB"/>
    <w:rsid w:val="00EA04AA"/>
    <w:rsid w:val="00EA147F"/>
    <w:rsid w:val="00ED03AB"/>
    <w:rsid w:val="00ED0CAC"/>
    <w:rsid w:val="00ED1CD4"/>
    <w:rsid w:val="00ED1D2B"/>
    <w:rsid w:val="00ED5A8D"/>
    <w:rsid w:val="00ED64B5"/>
    <w:rsid w:val="00EE7CCA"/>
    <w:rsid w:val="00F16A14"/>
    <w:rsid w:val="00F231DC"/>
    <w:rsid w:val="00F34458"/>
    <w:rsid w:val="00F362D7"/>
    <w:rsid w:val="00F37D7B"/>
    <w:rsid w:val="00F5314C"/>
    <w:rsid w:val="00F5581A"/>
    <w:rsid w:val="00F635DD"/>
    <w:rsid w:val="00F6627B"/>
    <w:rsid w:val="00F667A7"/>
    <w:rsid w:val="00F734F2"/>
    <w:rsid w:val="00F75052"/>
    <w:rsid w:val="00F804D3"/>
    <w:rsid w:val="00F81CD2"/>
    <w:rsid w:val="00F82641"/>
    <w:rsid w:val="00F86CA5"/>
    <w:rsid w:val="00F90F18"/>
    <w:rsid w:val="00F937E4"/>
    <w:rsid w:val="00F95EE7"/>
    <w:rsid w:val="00FA3214"/>
    <w:rsid w:val="00FA39E6"/>
    <w:rsid w:val="00FA7BC9"/>
    <w:rsid w:val="00FB378E"/>
    <w:rsid w:val="00FB37F1"/>
    <w:rsid w:val="00FB47C0"/>
    <w:rsid w:val="00FB501B"/>
    <w:rsid w:val="00FB7770"/>
    <w:rsid w:val="00FB7DD2"/>
    <w:rsid w:val="00FD2B1E"/>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1F88F27-BACD-41F2-A9B2-A521A13E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25"/>
      </w:numPr>
      <w:outlineLvl w:val="0"/>
    </w:pPr>
    <w:rPr>
      <w:rFonts w:hAnsi="Arial"/>
      <w:bCs/>
      <w:kern w:val="32"/>
      <w:szCs w:val="52"/>
    </w:rPr>
  </w:style>
  <w:style w:type="paragraph" w:styleId="2">
    <w:name w:val="heading 2"/>
    <w:aliases w:val="標題110/111,節,節1"/>
    <w:basedOn w:val="a7"/>
    <w:link w:val="20"/>
    <w:qFormat/>
    <w:rsid w:val="00ED0CAC"/>
    <w:pPr>
      <w:numPr>
        <w:ilvl w:val="1"/>
        <w:numId w:val="25"/>
      </w:numPr>
      <w:outlineLvl w:val="1"/>
    </w:pPr>
    <w:rPr>
      <w:rFonts w:hAnsi="Arial"/>
      <w:b/>
      <w:bCs/>
      <w:kern w:val="32"/>
      <w:szCs w:val="48"/>
    </w:rPr>
  </w:style>
  <w:style w:type="paragraph" w:styleId="3">
    <w:name w:val="heading 3"/>
    <w:aliases w:val="(一)"/>
    <w:basedOn w:val="a7"/>
    <w:link w:val="30"/>
    <w:qFormat/>
    <w:rsid w:val="004F5E57"/>
    <w:pPr>
      <w:numPr>
        <w:ilvl w:val="2"/>
        <w:numId w:val="25"/>
      </w:numPr>
      <w:outlineLvl w:val="2"/>
    </w:pPr>
    <w:rPr>
      <w:rFonts w:hAnsi="Arial"/>
      <w:bCs/>
      <w:kern w:val="32"/>
      <w:szCs w:val="36"/>
    </w:rPr>
  </w:style>
  <w:style w:type="paragraph" w:styleId="4">
    <w:name w:val="heading 4"/>
    <w:aliases w:val="表格"/>
    <w:basedOn w:val="a7"/>
    <w:link w:val="40"/>
    <w:qFormat/>
    <w:rsid w:val="004F5E57"/>
    <w:pPr>
      <w:numPr>
        <w:ilvl w:val="3"/>
        <w:numId w:val="25"/>
      </w:numPr>
      <w:outlineLvl w:val="3"/>
    </w:pPr>
    <w:rPr>
      <w:rFonts w:hAnsi="Arial"/>
      <w:kern w:val="32"/>
      <w:szCs w:val="36"/>
    </w:rPr>
  </w:style>
  <w:style w:type="paragraph" w:styleId="5">
    <w:name w:val="heading 5"/>
    <w:basedOn w:val="a7"/>
    <w:link w:val="50"/>
    <w:qFormat/>
    <w:rsid w:val="004F5E57"/>
    <w:pPr>
      <w:numPr>
        <w:ilvl w:val="4"/>
        <w:numId w:val="25"/>
      </w:numPr>
      <w:outlineLvl w:val="4"/>
    </w:pPr>
    <w:rPr>
      <w:rFonts w:hAnsi="Arial"/>
      <w:bCs/>
      <w:kern w:val="32"/>
      <w:szCs w:val="36"/>
    </w:rPr>
  </w:style>
  <w:style w:type="paragraph" w:styleId="6">
    <w:name w:val="heading 6"/>
    <w:basedOn w:val="a7"/>
    <w:link w:val="60"/>
    <w:qFormat/>
    <w:rsid w:val="004F5E57"/>
    <w:pPr>
      <w:numPr>
        <w:ilvl w:val="5"/>
        <w:numId w:val="25"/>
      </w:numPr>
      <w:tabs>
        <w:tab w:val="left" w:pos="2094"/>
      </w:tabs>
      <w:outlineLvl w:val="5"/>
    </w:pPr>
    <w:rPr>
      <w:rFonts w:hAnsi="Arial"/>
      <w:kern w:val="32"/>
      <w:szCs w:val="36"/>
    </w:rPr>
  </w:style>
  <w:style w:type="paragraph" w:styleId="7">
    <w:name w:val="heading 7"/>
    <w:basedOn w:val="a7"/>
    <w:link w:val="70"/>
    <w:qFormat/>
    <w:rsid w:val="004F5E57"/>
    <w:pPr>
      <w:numPr>
        <w:ilvl w:val="6"/>
        <w:numId w:val="25"/>
      </w:numPr>
      <w:outlineLvl w:val="6"/>
    </w:pPr>
    <w:rPr>
      <w:rFonts w:hAnsi="Arial"/>
      <w:bCs/>
      <w:kern w:val="32"/>
      <w:szCs w:val="36"/>
    </w:rPr>
  </w:style>
  <w:style w:type="paragraph" w:styleId="8">
    <w:name w:val="heading 8"/>
    <w:basedOn w:val="a7"/>
    <w:link w:val="80"/>
    <w:qFormat/>
    <w:rsid w:val="004F5E57"/>
    <w:pPr>
      <w:numPr>
        <w:ilvl w:val="7"/>
        <w:numId w:val="25"/>
      </w:numPr>
      <w:outlineLvl w:val="7"/>
    </w:pPr>
    <w:rPr>
      <w:rFonts w:hAnsi="Arial"/>
      <w:kern w:val="32"/>
      <w:szCs w:val="36"/>
    </w:rPr>
  </w:style>
  <w:style w:type="paragraph" w:styleId="9">
    <w:name w:val="heading 9"/>
    <w:basedOn w:val="a7"/>
    <w:link w:val="90"/>
    <w:uiPriority w:val="9"/>
    <w:unhideWhenUsed/>
    <w:qFormat/>
    <w:rsid w:val="00C055EC"/>
    <w:pPr>
      <w:numPr>
        <w:ilvl w:val="8"/>
        <w:numId w:val="25"/>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8">
    <w:name w:val="footer"/>
    <w:basedOn w:val="a7"/>
    <w:link w:val="af9"/>
    <w:uiPriority w:val="99"/>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24"/>
      </w:numPr>
      <w:ind w:left="350" w:hangingChars="350" w:hanging="350"/>
      <w:outlineLvl w:val="0"/>
    </w:pPr>
    <w:rPr>
      <w:kern w:val="32"/>
    </w:rPr>
  </w:style>
  <w:style w:type="paragraph" w:styleId="afd">
    <w:name w:val="List Paragraph"/>
    <w:aliases w:val="1.1.1.1清單段落,List Paragraph,標題 (4),(二),列點,1.1,Yie-清單段落"/>
    <w:basedOn w:val="a7"/>
    <w:link w:val="afe"/>
    <w:uiPriority w:val="34"/>
    <w:qFormat/>
    <w:rsid w:val="00687024"/>
    <w:pPr>
      <w:ind w:leftChars="200" w:left="480"/>
    </w:pPr>
  </w:style>
  <w:style w:type="paragraph" w:styleId="aff">
    <w:name w:val="Balloon Text"/>
    <w:basedOn w:val="a7"/>
    <w:link w:val="aff0"/>
    <w:uiPriority w:val="99"/>
    <w:semiHidden/>
    <w:unhideWhenUsed/>
    <w:rsid w:val="00C530DC"/>
    <w:rPr>
      <w:rFonts w:asciiTheme="majorHAnsi" w:eastAsiaTheme="majorEastAsia" w:hAnsiTheme="majorHAnsi" w:cstheme="majorBidi"/>
      <w:sz w:val="18"/>
      <w:szCs w:val="18"/>
    </w:rPr>
  </w:style>
  <w:style w:type="character" w:customStyle="1" w:styleId="aff0">
    <w:name w:val="註解方塊文字 字元"/>
    <w:basedOn w:val="a8"/>
    <w:link w:val="aff"/>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30"/>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1">
    <w:name w:val="footnote text"/>
    <w:basedOn w:val="a7"/>
    <w:link w:val="aff2"/>
    <w:uiPriority w:val="99"/>
    <w:unhideWhenUsed/>
    <w:rsid w:val="00F86CA5"/>
    <w:pPr>
      <w:overflowPunct/>
      <w:autoSpaceDE/>
      <w:autoSpaceDN/>
      <w:snapToGrid w:val="0"/>
      <w:jc w:val="left"/>
    </w:pPr>
    <w:rPr>
      <w:rFonts w:ascii="Times New Roman"/>
      <w:sz w:val="20"/>
    </w:rPr>
  </w:style>
  <w:style w:type="character" w:customStyle="1" w:styleId="aff2">
    <w:name w:val="註腳文字 字元"/>
    <w:basedOn w:val="a8"/>
    <w:link w:val="aff1"/>
    <w:uiPriority w:val="99"/>
    <w:rsid w:val="00F86CA5"/>
    <w:rPr>
      <w:rFonts w:eastAsia="標楷體"/>
      <w:kern w:val="2"/>
    </w:rPr>
  </w:style>
  <w:style w:type="character" w:styleId="aff3">
    <w:name w:val="footnote reference"/>
    <w:basedOn w:val="a8"/>
    <w:uiPriority w:val="99"/>
    <w:semiHidden/>
    <w:unhideWhenUsed/>
    <w:rsid w:val="00F86CA5"/>
    <w:rPr>
      <w:vertAlign w:val="superscript"/>
    </w:rPr>
  </w:style>
  <w:style w:type="table" w:customStyle="1" w:styleId="13">
    <w:name w:val="表格格線1"/>
    <w:basedOn w:val="a9"/>
    <w:next w:val="afc"/>
    <w:uiPriority w:val="59"/>
    <w:rsid w:val="00F86CA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Plain Text"/>
    <w:basedOn w:val="a7"/>
    <w:link w:val="aff5"/>
    <w:uiPriority w:val="99"/>
    <w:semiHidden/>
    <w:unhideWhenUsed/>
    <w:rsid w:val="00360BC5"/>
    <w:pPr>
      <w:overflowPunct/>
      <w:autoSpaceDE/>
      <w:autoSpaceDN/>
      <w:jc w:val="left"/>
    </w:pPr>
    <w:rPr>
      <w:rFonts w:ascii="Calibri" w:hAnsi="Courier New" w:cs="Courier New"/>
      <w:color w:val="244061" w:themeColor="accent1" w:themeShade="80"/>
      <w:kern w:val="0"/>
      <w:sz w:val="28"/>
      <w:szCs w:val="24"/>
    </w:rPr>
  </w:style>
  <w:style w:type="character" w:customStyle="1" w:styleId="aff5">
    <w:name w:val="純文字 字元"/>
    <w:basedOn w:val="a8"/>
    <w:link w:val="aff4"/>
    <w:uiPriority w:val="99"/>
    <w:semiHidden/>
    <w:rsid w:val="00360BC5"/>
    <w:rPr>
      <w:rFonts w:ascii="Calibri" w:eastAsia="標楷體" w:hAnsi="Courier New" w:cs="Courier New"/>
      <w:color w:val="244061" w:themeColor="accent1" w:themeShade="80"/>
      <w:sz w:val="28"/>
      <w:szCs w:val="24"/>
    </w:rPr>
  </w:style>
  <w:style w:type="character" w:styleId="aff6">
    <w:name w:val="annotation reference"/>
    <w:basedOn w:val="a8"/>
    <w:uiPriority w:val="99"/>
    <w:semiHidden/>
    <w:unhideWhenUsed/>
    <w:rsid w:val="00360BC5"/>
    <w:rPr>
      <w:sz w:val="18"/>
      <w:szCs w:val="18"/>
    </w:rPr>
  </w:style>
  <w:style w:type="paragraph" w:styleId="aff7">
    <w:name w:val="annotation text"/>
    <w:basedOn w:val="a7"/>
    <w:link w:val="aff8"/>
    <w:uiPriority w:val="99"/>
    <w:semiHidden/>
    <w:unhideWhenUsed/>
    <w:rsid w:val="00360BC5"/>
    <w:pPr>
      <w:jc w:val="left"/>
    </w:pPr>
  </w:style>
  <w:style w:type="character" w:customStyle="1" w:styleId="aff8">
    <w:name w:val="註解文字 字元"/>
    <w:basedOn w:val="a8"/>
    <w:link w:val="aff7"/>
    <w:uiPriority w:val="99"/>
    <w:semiHidden/>
    <w:rsid w:val="00360BC5"/>
    <w:rPr>
      <w:rFonts w:ascii="標楷體" w:eastAsia="標楷體"/>
      <w:kern w:val="2"/>
      <w:sz w:val="32"/>
    </w:rPr>
  </w:style>
  <w:style w:type="paragraph" w:styleId="aff9">
    <w:name w:val="annotation subject"/>
    <w:basedOn w:val="aff7"/>
    <w:next w:val="aff7"/>
    <w:link w:val="affa"/>
    <w:uiPriority w:val="99"/>
    <w:semiHidden/>
    <w:unhideWhenUsed/>
    <w:rsid w:val="00360BC5"/>
    <w:rPr>
      <w:b/>
      <w:bCs/>
    </w:rPr>
  </w:style>
  <w:style w:type="character" w:customStyle="1" w:styleId="affa">
    <w:name w:val="註解主旨 字元"/>
    <w:basedOn w:val="aff8"/>
    <w:link w:val="aff9"/>
    <w:uiPriority w:val="99"/>
    <w:semiHidden/>
    <w:rsid w:val="00360BC5"/>
    <w:rPr>
      <w:rFonts w:ascii="標楷體" w:eastAsia="標楷體"/>
      <w:b/>
      <w:bCs/>
      <w:kern w:val="2"/>
      <w:sz w:val="32"/>
    </w:rPr>
  </w:style>
  <w:style w:type="paragraph" w:styleId="affb">
    <w:name w:val="Salutation"/>
    <w:basedOn w:val="a7"/>
    <w:next w:val="a7"/>
    <w:link w:val="affc"/>
    <w:uiPriority w:val="99"/>
    <w:unhideWhenUsed/>
    <w:rsid w:val="00360BC5"/>
    <w:rPr>
      <w:rFonts w:ascii="微軟正黑體" w:eastAsia="微軟正黑體" w:hAnsi="微軟正黑體"/>
      <w:snapToGrid w:val="0"/>
      <w:spacing w:val="-14"/>
      <w:kern w:val="0"/>
      <w:sz w:val="28"/>
    </w:rPr>
  </w:style>
  <w:style w:type="character" w:customStyle="1" w:styleId="affc">
    <w:name w:val="問候 字元"/>
    <w:basedOn w:val="a8"/>
    <w:link w:val="affb"/>
    <w:uiPriority w:val="99"/>
    <w:rsid w:val="00360BC5"/>
    <w:rPr>
      <w:rFonts w:ascii="微軟正黑體" w:eastAsia="微軟正黑體" w:hAnsi="微軟正黑體"/>
      <w:snapToGrid w:val="0"/>
      <w:spacing w:val="-14"/>
      <w:sz w:val="28"/>
    </w:rPr>
  </w:style>
  <w:style w:type="paragraph" w:styleId="affd">
    <w:name w:val="Closing"/>
    <w:basedOn w:val="a7"/>
    <w:link w:val="affe"/>
    <w:uiPriority w:val="99"/>
    <w:unhideWhenUsed/>
    <w:rsid w:val="00360BC5"/>
    <w:pPr>
      <w:ind w:leftChars="1800" w:left="100"/>
    </w:pPr>
    <w:rPr>
      <w:rFonts w:ascii="微軟正黑體" w:eastAsia="微軟正黑體" w:hAnsi="微軟正黑體"/>
      <w:snapToGrid w:val="0"/>
      <w:spacing w:val="-14"/>
      <w:kern w:val="0"/>
      <w:sz w:val="28"/>
    </w:rPr>
  </w:style>
  <w:style w:type="character" w:customStyle="1" w:styleId="affe">
    <w:name w:val="結語 字元"/>
    <w:basedOn w:val="a8"/>
    <w:link w:val="affd"/>
    <w:uiPriority w:val="99"/>
    <w:rsid w:val="00360BC5"/>
    <w:rPr>
      <w:rFonts w:ascii="微軟正黑體" w:eastAsia="微軟正黑體" w:hAnsi="微軟正黑體"/>
      <w:snapToGrid w:val="0"/>
      <w:spacing w:val="-14"/>
      <w:sz w:val="28"/>
    </w:rPr>
  </w:style>
  <w:style w:type="paragraph" w:styleId="HTML">
    <w:name w:val="HTML Preformatted"/>
    <w:basedOn w:val="a7"/>
    <w:link w:val="HTML0"/>
    <w:uiPriority w:val="99"/>
    <w:unhideWhenUsed/>
    <w:rsid w:val="00360B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360BC5"/>
    <w:rPr>
      <w:rFonts w:ascii="細明體" w:eastAsia="細明體" w:hAnsi="細明體" w:cs="細明體"/>
      <w:sz w:val="24"/>
      <w:szCs w:val="24"/>
    </w:rPr>
  </w:style>
  <w:style w:type="paragraph" w:customStyle="1" w:styleId="afff">
    <w:name w:val="分項段落"/>
    <w:basedOn w:val="a7"/>
    <w:rsid w:val="00360BC5"/>
    <w:pPr>
      <w:overflowPunct/>
      <w:autoSpaceDE/>
      <w:autoSpaceDN/>
      <w:jc w:val="left"/>
    </w:pPr>
    <w:rPr>
      <w:rFonts w:ascii="Times New Roman" w:eastAsia="新細明體"/>
      <w:sz w:val="24"/>
    </w:rPr>
  </w:style>
  <w:style w:type="character" w:customStyle="1" w:styleId="60">
    <w:name w:val="標題 6 字元"/>
    <w:link w:val="6"/>
    <w:rsid w:val="00360BC5"/>
    <w:rPr>
      <w:rFonts w:ascii="標楷體" w:eastAsia="標楷體" w:hAnsi="Arial"/>
      <w:kern w:val="32"/>
      <w:sz w:val="32"/>
      <w:szCs w:val="36"/>
    </w:rPr>
  </w:style>
  <w:style w:type="character" w:customStyle="1" w:styleId="20">
    <w:name w:val="標題 2 字元"/>
    <w:aliases w:val="標題110/111 字元,節 字元,節1 字元"/>
    <w:basedOn w:val="a8"/>
    <w:link w:val="2"/>
    <w:rsid w:val="00360BC5"/>
    <w:rPr>
      <w:rFonts w:ascii="標楷體" w:eastAsia="標楷體" w:hAnsi="Arial"/>
      <w:b/>
      <w:bCs/>
      <w:kern w:val="32"/>
      <w:sz w:val="32"/>
      <w:szCs w:val="48"/>
    </w:rPr>
  </w:style>
  <w:style w:type="character" w:styleId="afff0">
    <w:name w:val="Strong"/>
    <w:basedOn w:val="a8"/>
    <w:uiPriority w:val="22"/>
    <w:qFormat/>
    <w:rsid w:val="00360BC5"/>
    <w:rPr>
      <w:b/>
      <w:bCs/>
    </w:rPr>
  </w:style>
  <w:style w:type="character" w:customStyle="1" w:styleId="highlight1">
    <w:name w:val="highlight1"/>
    <w:basedOn w:val="a8"/>
    <w:rsid w:val="00360BC5"/>
    <w:rPr>
      <w:color w:val="FF0000"/>
    </w:rPr>
  </w:style>
  <w:style w:type="character" w:customStyle="1" w:styleId="afe">
    <w:name w:val="清單段落 字元"/>
    <w:aliases w:val="1.1.1.1清單段落 字元,List Paragraph 字元,標題 (4) 字元,(二) 字元,列點 字元,1.1 字元,Yie-清單段落 字元"/>
    <w:link w:val="afd"/>
    <w:uiPriority w:val="34"/>
    <w:locked/>
    <w:rsid w:val="00360BC5"/>
    <w:rPr>
      <w:rFonts w:ascii="標楷體" w:eastAsia="標楷體"/>
      <w:kern w:val="2"/>
      <w:sz w:val="32"/>
    </w:rPr>
  </w:style>
  <w:style w:type="paragraph" w:styleId="a">
    <w:name w:val="List Bullet"/>
    <w:basedOn w:val="a7"/>
    <w:uiPriority w:val="99"/>
    <w:unhideWhenUsed/>
    <w:rsid w:val="00360BC5"/>
    <w:pPr>
      <w:numPr>
        <w:numId w:val="36"/>
      </w:numPr>
      <w:contextualSpacing/>
    </w:pPr>
  </w:style>
  <w:style w:type="paragraph" w:customStyle="1" w:styleId="210">
    <w:name w:val="索引 21"/>
    <w:basedOn w:val="a7"/>
    <w:rsid w:val="00360BC5"/>
    <w:pPr>
      <w:overflowPunct/>
      <w:autoSpaceDE/>
      <w:autoSpaceDN/>
      <w:ind w:left="1361" w:hanging="681"/>
      <w:jc w:val="left"/>
    </w:pPr>
    <w:rPr>
      <w:rFonts w:ascii="Times New Roman"/>
    </w:rPr>
  </w:style>
  <w:style w:type="paragraph" w:customStyle="1" w:styleId="afff1">
    <w:name w:val="表樣式"/>
    <w:basedOn w:val="a7"/>
    <w:next w:val="a7"/>
    <w:rsid w:val="00360BC5"/>
    <w:pPr>
      <w:tabs>
        <w:tab w:val="num" w:pos="1440"/>
      </w:tabs>
      <w:overflowPunct/>
      <w:autoSpaceDE/>
      <w:autoSpaceDN/>
      <w:ind w:left="695" w:hanging="695"/>
    </w:pPr>
    <w:rPr>
      <w:kern w:val="0"/>
    </w:rPr>
  </w:style>
  <w:style w:type="paragraph" w:customStyle="1" w:styleId="afff2">
    <w:name w:val="圖樣式"/>
    <w:basedOn w:val="a7"/>
    <w:next w:val="a7"/>
    <w:rsid w:val="00360BC5"/>
    <w:pPr>
      <w:overflowPunct/>
      <w:autoSpaceDE/>
      <w:autoSpaceDN/>
      <w:ind w:left="400" w:hangingChars="400" w:hanging="400"/>
    </w:pPr>
  </w:style>
  <w:style w:type="paragraph" w:customStyle="1" w:styleId="Default">
    <w:name w:val="Default"/>
    <w:rsid w:val="00360BC5"/>
    <w:pPr>
      <w:widowControl w:val="0"/>
      <w:autoSpaceDE w:val="0"/>
      <w:autoSpaceDN w:val="0"/>
      <w:adjustRightInd w:val="0"/>
    </w:pPr>
    <w:rPr>
      <w:rFonts w:ascii="標楷體" w:eastAsia="標楷體" w:hAnsiTheme="minorHAnsi" w:cs="標楷體"/>
      <w:color w:val="000000"/>
      <w:sz w:val="24"/>
      <w:szCs w:val="24"/>
    </w:rPr>
  </w:style>
  <w:style w:type="numbering" w:customStyle="1" w:styleId="15">
    <w:name w:val="無清單1"/>
    <w:next w:val="aa"/>
    <w:uiPriority w:val="99"/>
    <w:semiHidden/>
    <w:unhideWhenUsed/>
    <w:rsid w:val="00360BC5"/>
  </w:style>
  <w:style w:type="character" w:customStyle="1" w:styleId="af1">
    <w:name w:val="頁首 字元"/>
    <w:basedOn w:val="a8"/>
    <w:link w:val="af0"/>
    <w:rsid w:val="00360BC5"/>
    <w:rPr>
      <w:rFonts w:ascii="標楷體" w:eastAsia="標楷體"/>
      <w:kern w:val="2"/>
    </w:rPr>
  </w:style>
  <w:style w:type="character" w:customStyle="1" w:styleId="af9">
    <w:name w:val="頁尾 字元"/>
    <w:basedOn w:val="a8"/>
    <w:link w:val="af8"/>
    <w:uiPriority w:val="99"/>
    <w:rsid w:val="00360BC5"/>
    <w:rPr>
      <w:rFonts w:ascii="標楷體" w:eastAsia="標楷體"/>
      <w:kern w:val="2"/>
    </w:rPr>
  </w:style>
  <w:style w:type="character" w:customStyle="1" w:styleId="textalian1">
    <w:name w:val="textalian1"/>
    <w:uiPriority w:val="99"/>
    <w:rsid w:val="00360BC5"/>
  </w:style>
  <w:style w:type="character" w:customStyle="1" w:styleId="30">
    <w:name w:val="標題 3 字元"/>
    <w:aliases w:val="(一) 字元"/>
    <w:basedOn w:val="a8"/>
    <w:link w:val="3"/>
    <w:rsid w:val="00360BC5"/>
    <w:rPr>
      <w:rFonts w:ascii="標楷體" w:eastAsia="標楷體" w:hAnsi="Arial"/>
      <w:bCs/>
      <w:kern w:val="32"/>
      <w:sz w:val="32"/>
      <w:szCs w:val="36"/>
    </w:rPr>
  </w:style>
  <w:style w:type="table" w:customStyle="1" w:styleId="23">
    <w:name w:val="表格格線2"/>
    <w:basedOn w:val="a9"/>
    <w:next w:val="afc"/>
    <w:uiPriority w:val="59"/>
    <w:rsid w:val="00360BC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標題 4 字元"/>
    <w:aliases w:val="表格 字元"/>
    <w:link w:val="4"/>
    <w:rsid w:val="00360BC5"/>
    <w:rPr>
      <w:rFonts w:ascii="標楷體" w:eastAsia="標楷體" w:hAnsi="Arial"/>
      <w:kern w:val="32"/>
      <w:sz w:val="32"/>
      <w:szCs w:val="36"/>
    </w:rPr>
  </w:style>
  <w:style w:type="paragraph" w:customStyle="1" w:styleId="93">
    <w:name w:val="標題9"/>
    <w:basedOn w:val="a7"/>
    <w:rsid w:val="00360BC5"/>
    <w:pPr>
      <w:tabs>
        <w:tab w:val="num" w:pos="6195"/>
      </w:tabs>
      <w:overflowPunct/>
      <w:autoSpaceDE/>
      <w:autoSpaceDN/>
      <w:ind w:left="5015" w:hanging="1700"/>
      <w:jc w:val="left"/>
    </w:pPr>
    <w:rPr>
      <w:rFonts w:ascii="Times New Roman"/>
    </w:rPr>
  </w:style>
  <w:style w:type="character" w:customStyle="1" w:styleId="10">
    <w:name w:val="標題 1 字元"/>
    <w:aliases w:val="題號1 字元,壹 字元"/>
    <w:link w:val="1"/>
    <w:rsid w:val="00360BC5"/>
    <w:rPr>
      <w:rFonts w:ascii="標楷體" w:eastAsia="標楷體" w:hAnsi="Arial"/>
      <w:bCs/>
      <w:kern w:val="32"/>
      <w:sz w:val="32"/>
      <w:szCs w:val="52"/>
    </w:rPr>
  </w:style>
  <w:style w:type="character" w:customStyle="1" w:styleId="50">
    <w:name w:val="標題 5 字元"/>
    <w:link w:val="5"/>
    <w:rsid w:val="00360BC5"/>
    <w:rPr>
      <w:rFonts w:ascii="標楷體" w:eastAsia="標楷體" w:hAnsi="Arial"/>
      <w:bCs/>
      <w:kern w:val="32"/>
      <w:sz w:val="32"/>
      <w:szCs w:val="36"/>
    </w:rPr>
  </w:style>
  <w:style w:type="character" w:customStyle="1" w:styleId="70">
    <w:name w:val="標題 7 字元"/>
    <w:link w:val="7"/>
    <w:rsid w:val="00360BC5"/>
    <w:rPr>
      <w:rFonts w:ascii="標楷體" w:eastAsia="標楷體" w:hAnsi="Arial"/>
      <w:bCs/>
      <w:kern w:val="32"/>
      <w:sz w:val="32"/>
      <w:szCs w:val="36"/>
    </w:rPr>
  </w:style>
  <w:style w:type="character" w:customStyle="1" w:styleId="80">
    <w:name w:val="標題 8 字元"/>
    <w:link w:val="8"/>
    <w:rsid w:val="00360BC5"/>
    <w:rPr>
      <w:rFonts w:ascii="標楷體" w:eastAsia="標楷體" w:hAnsi="Arial"/>
      <w:kern w:val="32"/>
      <w:sz w:val="32"/>
      <w:szCs w:val="36"/>
    </w:rPr>
  </w:style>
  <w:style w:type="character" w:customStyle="1" w:styleId="ac">
    <w:name w:val="簽名 字元"/>
    <w:link w:val="ab"/>
    <w:semiHidden/>
    <w:rsid w:val="00360BC5"/>
    <w:rPr>
      <w:rFonts w:ascii="標楷體" w:eastAsia="標楷體"/>
      <w:b/>
      <w:snapToGrid w:val="0"/>
      <w:spacing w:val="10"/>
      <w:kern w:val="2"/>
      <w:sz w:val="36"/>
    </w:rPr>
  </w:style>
  <w:style w:type="table" w:customStyle="1" w:styleId="33">
    <w:name w:val="表格格線3"/>
    <w:basedOn w:val="a9"/>
    <w:next w:val="afc"/>
    <w:uiPriority w:val="59"/>
    <w:rsid w:val="00360B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3">
    <w:name w:val="說明辦法首行"/>
    <w:basedOn w:val="a7"/>
    <w:rsid w:val="00360BC5"/>
    <w:pPr>
      <w:overflowPunct/>
      <w:autoSpaceDE/>
      <w:autoSpaceDN/>
      <w:snapToGrid w:val="0"/>
      <w:spacing w:line="500" w:lineRule="exact"/>
      <w:ind w:left="964" w:hanging="964"/>
      <w:jc w:val="left"/>
    </w:pPr>
    <w:rPr>
      <w:rFonts w:ascii="Times New Roman"/>
    </w:rPr>
  </w:style>
  <w:style w:type="paragraph" w:customStyle="1" w:styleId="afff4">
    <w:name w:val="表說"/>
    <w:basedOn w:val="a7"/>
    <w:rsid w:val="00360BC5"/>
    <w:pPr>
      <w:overflowPunct/>
      <w:autoSpaceDE/>
      <w:autoSpaceDN/>
      <w:spacing w:line="460" w:lineRule="exact"/>
    </w:pPr>
    <w:rPr>
      <w:rFonts w:ascii="Courier" w:eastAsia="華康楷書體W5" w:hAnsi="Courier"/>
      <w:spacing w:val="4"/>
      <w:sz w:val="21"/>
    </w:rPr>
  </w:style>
  <w:style w:type="paragraph" w:customStyle="1" w:styleId="afff5">
    <w:name w:val="室務會報一"/>
    <w:rsid w:val="00360BC5"/>
    <w:rPr>
      <w:rFonts w:eastAsia="標楷體"/>
      <w:noProof/>
      <w:sz w:val="28"/>
    </w:rPr>
  </w:style>
  <w:style w:type="character" w:customStyle="1" w:styleId="ae">
    <w:name w:val="章節附註文字 字元"/>
    <w:basedOn w:val="a8"/>
    <w:link w:val="ad"/>
    <w:semiHidden/>
    <w:rsid w:val="00360BC5"/>
    <w:rPr>
      <w:rFonts w:ascii="標楷體" w:eastAsia="標楷體"/>
      <w:snapToGrid w:val="0"/>
      <w:spacing w:val="10"/>
      <w:kern w:val="2"/>
      <w:sz w:val="32"/>
    </w:rPr>
  </w:style>
  <w:style w:type="character" w:customStyle="1" w:styleId="af6">
    <w:name w:val="本文縮排 字元"/>
    <w:basedOn w:val="a8"/>
    <w:link w:val="af5"/>
    <w:semiHidden/>
    <w:rsid w:val="00360BC5"/>
    <w:rPr>
      <w:rFonts w:ascii="標楷體" w:eastAsia="標楷體"/>
      <w:kern w:val="2"/>
      <w:sz w:val="32"/>
    </w:rPr>
  </w:style>
  <w:style w:type="table" w:customStyle="1" w:styleId="43">
    <w:name w:val="表格格線4"/>
    <w:basedOn w:val="a9"/>
    <w:next w:val="afc"/>
    <w:uiPriority w:val="59"/>
    <w:rsid w:val="00360BC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Web">
    <w:name w:val="Normal (Web)"/>
    <w:basedOn w:val="a7"/>
    <w:uiPriority w:val="99"/>
    <w:semiHidden/>
    <w:unhideWhenUsed/>
    <w:rsid w:val="00360BC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tgc">
    <w:name w:val="_tgc"/>
    <w:basedOn w:val="a8"/>
    <w:rsid w:val="00360BC5"/>
  </w:style>
  <w:style w:type="paragraph" w:styleId="afff6">
    <w:name w:val="caption"/>
    <w:basedOn w:val="a7"/>
    <w:next w:val="a7"/>
    <w:uiPriority w:val="35"/>
    <w:unhideWhenUsed/>
    <w:qFormat/>
    <w:rsid w:val="00360BC5"/>
    <w:pPr>
      <w:overflowPunct/>
      <w:autoSpaceDE/>
      <w:autoSpaceDN/>
      <w:jc w:val="left"/>
    </w:pPr>
    <w:rPr>
      <w:rFonts w:ascii="Times New Roman"/>
      <w:sz w:val="20"/>
    </w:rPr>
  </w:style>
  <w:style w:type="character" w:styleId="afff7">
    <w:name w:val="endnote reference"/>
    <w:basedOn w:val="a8"/>
    <w:uiPriority w:val="99"/>
    <w:semiHidden/>
    <w:unhideWhenUsed/>
    <w:rsid w:val="00360BC5"/>
    <w:rPr>
      <w:vertAlign w:val="superscript"/>
    </w:rPr>
  </w:style>
  <w:style w:type="paragraph" w:styleId="24">
    <w:name w:val="Body Text Indent 2"/>
    <w:basedOn w:val="a7"/>
    <w:link w:val="25"/>
    <w:uiPriority w:val="99"/>
    <w:semiHidden/>
    <w:unhideWhenUsed/>
    <w:rsid w:val="00360BC5"/>
    <w:pPr>
      <w:overflowPunct/>
      <w:autoSpaceDE/>
      <w:autoSpaceDN/>
      <w:spacing w:after="120" w:line="480" w:lineRule="auto"/>
      <w:ind w:leftChars="200" w:left="480"/>
      <w:jc w:val="left"/>
    </w:pPr>
    <w:rPr>
      <w:rFonts w:ascii="Times New Roman"/>
    </w:rPr>
  </w:style>
  <w:style w:type="character" w:customStyle="1" w:styleId="25">
    <w:name w:val="本文縮排 2 字元"/>
    <w:basedOn w:val="a8"/>
    <w:link w:val="24"/>
    <w:uiPriority w:val="99"/>
    <w:semiHidden/>
    <w:rsid w:val="00360BC5"/>
    <w:rPr>
      <w:rFonts w:eastAsia="標楷體"/>
      <w:kern w:val="2"/>
      <w:sz w:val="32"/>
    </w:rPr>
  </w:style>
  <w:style w:type="paragraph" w:customStyle="1" w:styleId="afff8">
    <w:name w:val="主旨"/>
    <w:basedOn w:val="a7"/>
    <w:rsid w:val="00360BC5"/>
    <w:pPr>
      <w:overflowPunct/>
      <w:autoSpaceDE/>
      <w:autoSpaceDN/>
      <w:snapToGrid w:val="0"/>
      <w:jc w:val="left"/>
    </w:pPr>
    <w:rPr>
      <w:rFonts w:ascii="Times New Roman"/>
      <w:sz w:val="36"/>
    </w:rPr>
  </w:style>
  <w:style w:type="character" w:customStyle="1" w:styleId="style101">
    <w:name w:val="style101"/>
    <w:basedOn w:val="a8"/>
    <w:rsid w:val="00360BC5"/>
    <w:rPr>
      <w:sz w:val="18"/>
      <w:szCs w:val="18"/>
    </w:rPr>
  </w:style>
  <w:style w:type="paragraph" w:styleId="26">
    <w:name w:val="Body Text 2"/>
    <w:basedOn w:val="a7"/>
    <w:link w:val="27"/>
    <w:uiPriority w:val="99"/>
    <w:unhideWhenUsed/>
    <w:rsid w:val="00360BC5"/>
    <w:pPr>
      <w:overflowPunct/>
      <w:autoSpaceDE/>
      <w:autoSpaceDN/>
      <w:spacing w:after="120" w:line="480" w:lineRule="auto"/>
      <w:jc w:val="left"/>
    </w:pPr>
    <w:rPr>
      <w:rFonts w:ascii="Times New Roman"/>
    </w:rPr>
  </w:style>
  <w:style w:type="character" w:customStyle="1" w:styleId="27">
    <w:name w:val="本文 2 字元"/>
    <w:basedOn w:val="a8"/>
    <w:link w:val="26"/>
    <w:uiPriority w:val="99"/>
    <w:rsid w:val="00360BC5"/>
    <w:rPr>
      <w:rFonts w:eastAsia="標楷體"/>
      <w:kern w:val="2"/>
      <w:sz w:val="32"/>
    </w:rPr>
  </w:style>
  <w:style w:type="paragraph" w:styleId="afff9">
    <w:name w:val="TOC Heading"/>
    <w:basedOn w:val="1"/>
    <w:next w:val="a7"/>
    <w:uiPriority w:val="39"/>
    <w:semiHidden/>
    <w:unhideWhenUsed/>
    <w:qFormat/>
    <w:rsid w:val="00360BC5"/>
    <w:pPr>
      <w:keepNext/>
      <w:keepLines/>
      <w:widowControl/>
      <w:numPr>
        <w:numId w:val="0"/>
      </w:numPr>
      <w:overflowPunct/>
      <w:autoSpaceDE/>
      <w:autoSpaceDN/>
      <w:spacing w:before="480" w:line="276" w:lineRule="auto"/>
      <w:jc w:val="left"/>
      <w:outlineLvl w:val="9"/>
    </w:pPr>
    <w:rPr>
      <w:rFonts w:ascii="Cambria" w:eastAsia="新細明體" w:hAnsi="Cambria"/>
      <w:b/>
      <w:color w:val="365F91"/>
      <w:kern w:val="0"/>
      <w:sz w:val="28"/>
      <w:szCs w:val="28"/>
    </w:rPr>
  </w:style>
  <w:style w:type="paragraph" w:customStyle="1" w:styleId="afffa">
    <w:name w:val="字元 字元 字元 字元 字元"/>
    <w:basedOn w:val="a7"/>
    <w:semiHidden/>
    <w:rsid w:val="00360BC5"/>
    <w:pPr>
      <w:widowControl/>
      <w:overflowPunct/>
      <w:autoSpaceDE/>
      <w:autoSpaceDN/>
      <w:spacing w:after="160" w:line="240" w:lineRule="exact"/>
      <w:jc w:val="left"/>
    </w:pPr>
    <w:rPr>
      <w:rFonts w:ascii="Tahoma" w:eastAsia="新細明體" w:hAnsi="Tahoma" w:cs="Tahoma"/>
      <w:kern w:val="0"/>
      <w:sz w:val="20"/>
      <w:lang w:eastAsia="en-US"/>
    </w:rPr>
  </w:style>
  <w:style w:type="paragraph" w:customStyle="1" w:styleId="ptextl">
    <w:name w:val="ptextl"/>
    <w:basedOn w:val="a7"/>
    <w:rsid w:val="00360BC5"/>
    <w:pPr>
      <w:widowControl/>
      <w:overflowPunct/>
      <w:autoSpaceDE/>
      <w:autoSpaceDN/>
      <w:jc w:val="left"/>
    </w:pPr>
    <w:rPr>
      <w:rFonts w:ascii="sөũ" w:eastAsia="新細明體" w:hAnsi="sөũ" w:cs="新細明體"/>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7BB1A7-12C5-484A-B508-D52EB5E7C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8</Pages>
  <Words>654</Words>
  <Characters>3731</Characters>
  <Application>Microsoft Office Word</Application>
  <DocSecurity>0</DocSecurity>
  <Lines>31</Lines>
  <Paragraphs>8</Paragraphs>
  <ScaleCrop>false</ScaleCrop>
  <Company>cy</Company>
  <LinksUpToDate>false</LinksUpToDate>
  <CharactersWithSpaces>4377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李弘毅</dc:creator>
  <cp:lastModifiedBy>廖春媛</cp:lastModifiedBy>
  <cp:revision>5</cp:revision>
  <cp:lastPrinted>2018-03-01T06:28:00Z</cp:lastPrinted>
  <dcterms:created xsi:type="dcterms:W3CDTF">2018-03-08T06:41:00Z</dcterms:created>
  <dcterms:modified xsi:type="dcterms:W3CDTF">2018-03-08T07:24:00Z</dcterms:modified>
</cp:coreProperties>
</file>