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2395F" w:rsidRDefault="00FB52AD" w:rsidP="00F37D7B">
      <w:pPr>
        <w:pStyle w:val="af2"/>
      </w:pPr>
      <w:r w:rsidRPr="0072395F">
        <w:rPr>
          <w:rFonts w:hint="eastAsia"/>
        </w:rPr>
        <w:t>調查</w:t>
      </w:r>
      <w:r w:rsidR="00D75644" w:rsidRPr="0072395F">
        <w:rPr>
          <w:rFonts w:hint="eastAsia"/>
        </w:rPr>
        <w:t>報告</w:t>
      </w:r>
    </w:p>
    <w:p w:rsidR="00E25849" w:rsidRPr="0072395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2395F">
        <w:rPr>
          <w:rFonts w:hint="eastAsia"/>
        </w:rPr>
        <w:t>案　　由：</w:t>
      </w:r>
      <w:bookmarkEnd w:id="0"/>
      <w:bookmarkEnd w:id="1"/>
      <w:bookmarkEnd w:id="2"/>
      <w:bookmarkEnd w:id="3"/>
      <w:bookmarkEnd w:id="4"/>
      <w:bookmarkEnd w:id="5"/>
      <w:bookmarkEnd w:id="6"/>
      <w:bookmarkEnd w:id="7"/>
      <w:bookmarkEnd w:id="8"/>
      <w:bookmarkEnd w:id="9"/>
      <w:r w:rsidR="001C0DA8" w:rsidRPr="0072395F">
        <w:fldChar w:fldCharType="begin"/>
      </w:r>
      <w:r w:rsidRPr="0072395F">
        <w:instrText xml:space="preserve"> MERGEFIELD </w:instrText>
      </w:r>
      <w:r w:rsidRPr="0072395F">
        <w:rPr>
          <w:rFonts w:hint="eastAsia"/>
        </w:rPr>
        <w:instrText>案由</w:instrText>
      </w:r>
      <w:r w:rsidRPr="0072395F">
        <w:instrText xml:space="preserve"> </w:instrText>
      </w:r>
      <w:r w:rsidR="001C0DA8" w:rsidRPr="0072395F">
        <w:fldChar w:fldCharType="separate"/>
      </w:r>
      <w:bookmarkEnd w:id="11"/>
      <w:r w:rsidR="000A0C0C" w:rsidRPr="0072395F">
        <w:rPr>
          <w:rFonts w:hint="eastAsia"/>
          <w:noProof/>
        </w:rPr>
        <w:t>據悉，財政部國有財產署因經管國有地被迫要求參與民間主導都市更新開發案，其中分回都市更新大坪數住宅在臺北市即持有百餘戶，總價值更高達近新臺幣70億元，卻因多次標售不順，無法有效利用，衍生每年仍須編列預算支付「蚊子豪宅」逾千萬元管理費浪費公帑情事。究主管機關目前對於國有土地參與都市更新事業之處理原則為何？究採分回房地或權利金方式？對於全</w:t>
      </w:r>
      <w:r w:rsidR="00257F83" w:rsidRPr="0072395F">
        <w:rPr>
          <w:rFonts w:hint="eastAsia"/>
          <w:noProof/>
        </w:rPr>
        <w:t>臺</w:t>
      </w:r>
      <w:r w:rsidR="000A0C0C" w:rsidRPr="0072395F">
        <w:rPr>
          <w:rFonts w:hint="eastAsia"/>
          <w:noProof/>
        </w:rPr>
        <w:t>因都市更新分回閒置住宅有無相關因應處理或解決機制？如何與現行社會住宅或出租住宅政策相結合？主管機關處理本案有無怠惰失職衍生浪費公帑情事？均有待詳究之必要案。</w:t>
      </w:r>
      <w:bookmarkEnd w:id="10"/>
      <w:r w:rsidR="001C0DA8" w:rsidRPr="0072395F">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2C4A76" w:rsidRPr="0072395F" w:rsidRDefault="002C4A76" w:rsidP="002C4A76">
      <w:pPr>
        <w:pStyle w:val="1"/>
      </w:pPr>
      <w:r w:rsidRPr="0072395F">
        <w:rPr>
          <w:rFonts w:hint="eastAsia"/>
        </w:rPr>
        <w:t>調查意見：</w:t>
      </w:r>
    </w:p>
    <w:p w:rsidR="002C4A76" w:rsidRPr="0072395F" w:rsidRDefault="002C4A76" w:rsidP="002C4A76">
      <w:pPr>
        <w:pStyle w:val="10"/>
        <w:ind w:left="680" w:firstLine="680"/>
      </w:pPr>
      <w:r w:rsidRPr="0072395F">
        <w:rPr>
          <w:rFonts w:hint="eastAsia"/>
        </w:rPr>
        <w:t>本案經函請財政部就相關案情查復到院，嗣於民國（下同）107年1月5日實地履勘國有土地參與都市更新分回房地現況，復於</w:t>
      </w:r>
      <w:r w:rsidR="001A4B6D">
        <w:rPr>
          <w:rFonts w:hint="eastAsia"/>
        </w:rPr>
        <w:t>同</w:t>
      </w:r>
      <w:r w:rsidRPr="0072395F">
        <w:rPr>
          <w:rFonts w:hint="eastAsia"/>
        </w:rPr>
        <w:t>年月15日約請財政部國有財產署（下稱國產署）署長率相關</w:t>
      </w:r>
      <w:r w:rsidR="00435FBB">
        <w:rPr>
          <w:rFonts w:hint="eastAsia"/>
        </w:rPr>
        <w:t>業</w:t>
      </w:r>
      <w:r w:rsidRPr="0072395F">
        <w:rPr>
          <w:rFonts w:hint="eastAsia"/>
        </w:rPr>
        <w:t>管人員到院</w:t>
      </w:r>
      <w:r w:rsidR="00435FBB">
        <w:rPr>
          <w:rFonts w:hint="eastAsia"/>
        </w:rPr>
        <w:t>受</w:t>
      </w:r>
      <w:r w:rsidRPr="0072395F">
        <w:rPr>
          <w:rFonts w:hint="eastAsia"/>
        </w:rPr>
        <w:t>詢</w:t>
      </w:r>
      <w:r w:rsidR="00435FBB">
        <w:rPr>
          <w:rFonts w:hint="eastAsia"/>
        </w:rPr>
        <w:t>；</w:t>
      </w:r>
      <w:r w:rsidRPr="0072395F">
        <w:rPr>
          <w:rFonts w:hint="eastAsia"/>
        </w:rPr>
        <w:t>再函請內政部、臺北市政府及新北市政府分別就國有土地參與都市更新後分回之房地如何與社會住宅政策結合，以及案關土地申請作為社會住宅使用之經過與現況補充說明到院</w:t>
      </w:r>
      <w:r w:rsidR="00435FBB">
        <w:rPr>
          <w:rFonts w:hint="eastAsia"/>
        </w:rPr>
        <w:t>。</w:t>
      </w:r>
      <w:r w:rsidRPr="0072395F">
        <w:rPr>
          <w:rFonts w:hint="eastAsia"/>
        </w:rPr>
        <w:t>全案已調查完畢，茲</w:t>
      </w:r>
      <w:r w:rsidR="00435FBB">
        <w:rPr>
          <w:rFonts w:hint="eastAsia"/>
        </w:rPr>
        <w:t>臚述</w:t>
      </w:r>
      <w:r w:rsidRPr="0072395F">
        <w:rPr>
          <w:rFonts w:hint="eastAsia"/>
        </w:rPr>
        <w:t>調查意見如下：</w:t>
      </w:r>
    </w:p>
    <w:p w:rsidR="002C4A76" w:rsidRPr="000E7E9B" w:rsidRDefault="00D544F5" w:rsidP="002C4A76">
      <w:pPr>
        <w:pStyle w:val="2"/>
        <w:spacing w:beforeLines="50" w:before="228"/>
        <w:ind w:left="1020" w:hanging="680"/>
        <w:rPr>
          <w:b/>
        </w:rPr>
      </w:pPr>
      <w:r w:rsidRPr="000E7E9B">
        <w:rPr>
          <w:rFonts w:hint="eastAsia"/>
          <w:b/>
        </w:rPr>
        <w:t>國產署</w:t>
      </w:r>
      <w:r w:rsidR="00435FBB" w:rsidRPr="000E7E9B">
        <w:rPr>
          <w:rFonts w:hint="eastAsia"/>
          <w:b/>
        </w:rPr>
        <w:t>經管國有非公用土地</w:t>
      </w:r>
      <w:r w:rsidRPr="000E7E9B">
        <w:rPr>
          <w:rFonts w:hint="eastAsia"/>
          <w:b/>
        </w:rPr>
        <w:t>參與都市更新分回</w:t>
      </w:r>
      <w:r w:rsidR="0073657C" w:rsidRPr="000E7E9B">
        <w:rPr>
          <w:rFonts w:hint="eastAsia"/>
          <w:b/>
        </w:rPr>
        <w:t>之</w:t>
      </w:r>
      <w:r w:rsidRPr="000E7E9B">
        <w:rPr>
          <w:rFonts w:hint="eastAsia"/>
          <w:b/>
        </w:rPr>
        <w:t>房地</w:t>
      </w:r>
      <w:r w:rsidR="0073657C" w:rsidRPr="000E7E9B">
        <w:rPr>
          <w:rFonts w:hint="eastAsia"/>
          <w:b/>
        </w:rPr>
        <w:t>標售成效不彰，滯銷多年</w:t>
      </w:r>
      <w:r w:rsidRPr="000E7E9B">
        <w:rPr>
          <w:rFonts w:hint="eastAsia"/>
          <w:b/>
        </w:rPr>
        <w:t>，截至106年12月底止，仍有64戶尚待處理，期間累計支付水、電、管理費用等相關支出超過</w:t>
      </w:r>
      <w:r w:rsidR="006817A7" w:rsidRPr="000E7E9B">
        <w:rPr>
          <w:rFonts w:hint="eastAsia"/>
          <w:b/>
        </w:rPr>
        <w:t>新臺幣二</w:t>
      </w:r>
      <w:r w:rsidR="00435FBB" w:rsidRPr="000E7E9B">
        <w:rPr>
          <w:rFonts w:hint="eastAsia"/>
          <w:b/>
        </w:rPr>
        <w:t>千萬元</w:t>
      </w:r>
      <w:r w:rsidR="0073657C" w:rsidRPr="000E7E9B">
        <w:rPr>
          <w:rFonts w:hint="eastAsia"/>
          <w:b/>
        </w:rPr>
        <w:t>，殊值檢討</w:t>
      </w:r>
      <w:r w:rsidR="00435FBB" w:rsidRPr="000E7E9B">
        <w:rPr>
          <w:rFonts w:hint="eastAsia"/>
          <w:b/>
        </w:rPr>
        <w:t>。</w:t>
      </w:r>
    </w:p>
    <w:p w:rsidR="004619B1" w:rsidRPr="0072395F" w:rsidRDefault="008D3DB0" w:rsidP="00E51822">
      <w:pPr>
        <w:pStyle w:val="3"/>
      </w:pPr>
      <w:r w:rsidRPr="0072395F">
        <w:rPr>
          <w:rFonts w:hint="eastAsia"/>
        </w:rPr>
        <w:t>按</w:t>
      </w:r>
      <w:r w:rsidR="003A0802" w:rsidRPr="0072395F">
        <w:rPr>
          <w:rFonts w:hint="eastAsia"/>
        </w:rPr>
        <w:t>「都市更新條例」（下稱「都更條例」）第27條第1項規定：「都市更新事業計畫範圍內公有土地及建築物，應一律參加都市更新，並依都市更新事業計畫處</w:t>
      </w:r>
      <w:r w:rsidR="003A0802" w:rsidRPr="0072395F">
        <w:rPr>
          <w:rFonts w:hint="eastAsia"/>
        </w:rPr>
        <w:lastRenderedPageBreak/>
        <w:t>理之，不受土地法第25條、國有財產法第7條、第28條、第66條、預算法第25條、第26條、第86條及地方政府公產管理法令相關規定之限制。」</w:t>
      </w:r>
    </w:p>
    <w:p w:rsidR="004619B1" w:rsidRPr="0072395F" w:rsidRDefault="00C05C7B" w:rsidP="00E51822">
      <w:pPr>
        <w:pStyle w:val="3"/>
      </w:pPr>
      <w:r w:rsidRPr="0072395F">
        <w:rPr>
          <w:rFonts w:hint="eastAsia"/>
        </w:rPr>
        <w:t>次按</w:t>
      </w:r>
      <w:r w:rsidR="003A0802" w:rsidRPr="0072395F">
        <w:rPr>
          <w:rFonts w:hint="eastAsia"/>
        </w:rPr>
        <w:t>「都市更新事業範圍內國有土地處理原則」（106年6月2日修正發布）第3點第1項規定</w:t>
      </w:r>
      <w:r w:rsidR="004619B1" w:rsidRPr="0072395F">
        <w:rPr>
          <w:rFonts w:hint="eastAsia"/>
        </w:rPr>
        <w:t>：「國有土地（含公用土地及非公用土地，下同）以同意依都市更新條例（以下簡稱都更條例）規定劃入更新單元為原則。」第8點第1項</w:t>
      </w:r>
      <w:r w:rsidR="00C02CDE">
        <w:rPr>
          <w:rFonts w:hint="eastAsia"/>
        </w:rPr>
        <w:t>規定</w:t>
      </w:r>
      <w:r w:rsidR="004619B1" w:rsidRPr="0072395F">
        <w:rPr>
          <w:rFonts w:hint="eastAsia"/>
        </w:rPr>
        <w:t>：「更新單元範圍內之國有非公用土地，除抵稅土地分配權利金外，執行機關依下列規定，按應有權利價值選擇分配更新後房、地或權利金：（一）評估作中央機關辦公廳舍：更新後可分配樓地板面積達二千平方公尺。（二）函中央及當地地方住宅主管機關評估作社會住宅：更新後可分配樓地板面積未達二千平方公尺或依前款評估不作中央機關辦公廳舍者。（三）經依前二款評估不作中央機關辦公廳舍及社會住宅者：１、原屬事業資產及特種基金財產者，選擇分配更新後房、地或權利金。２、其餘權利價值選擇分配更新後房、地。」第8點第2項</w:t>
      </w:r>
      <w:r w:rsidR="00C02CDE">
        <w:rPr>
          <w:rFonts w:hint="eastAsia"/>
        </w:rPr>
        <w:t>規定</w:t>
      </w:r>
      <w:r w:rsidR="004619B1" w:rsidRPr="0072395F">
        <w:rPr>
          <w:rFonts w:hint="eastAsia"/>
        </w:rPr>
        <w:t>：「依前項規定參與分配更新後之房地時，如與其他土地所有權人或權利變換關係人有申請分配同一位置，經洽實施者協調結果，確無其他適當房地可供分配者，得就該部分分配權利金。」</w:t>
      </w:r>
    </w:p>
    <w:p w:rsidR="004619B1" w:rsidRPr="0072395F" w:rsidRDefault="00C05C7B" w:rsidP="00E51822">
      <w:pPr>
        <w:pStyle w:val="3"/>
      </w:pPr>
      <w:r w:rsidRPr="0072395F">
        <w:rPr>
          <w:rFonts w:hint="eastAsia"/>
        </w:rPr>
        <w:t>復</w:t>
      </w:r>
      <w:r w:rsidR="003A0802" w:rsidRPr="0072395F">
        <w:rPr>
          <w:rFonts w:hint="eastAsia"/>
        </w:rPr>
        <w:t>按「國有非公用土地參與都市更新注意事項」（106年10月5日修正發布）第2點第1項規定：「都市更新主管機關為劃定更新地區或單元，徵詢範圍內國有土地（含公用及非公用土地，下同）是否有使用計畫或同意劃入時，屬公用土地部分，執行機關應請其逕洽各該管理機關，並依第3點規定辦理；屬非公用土地部分，執行機關應先查明國有非公用財產管理系統資料後，依下列規定函復：（一）原則同意劃入。但經選定設定地上權、或報經主辦機關同意辦理改良利用者，</w:t>
      </w:r>
      <w:r w:rsidR="003A0802" w:rsidRPr="0072395F">
        <w:rPr>
          <w:rFonts w:hint="eastAsia"/>
        </w:rPr>
        <w:lastRenderedPageBreak/>
        <w:t>不同意劃入。</w:t>
      </w:r>
      <w:r w:rsidR="007C7D5C" w:rsidRPr="0072395F">
        <w:rPr>
          <w:rFonts w:hAnsi="標楷體" w:hint="eastAsia"/>
        </w:rPr>
        <w:t>……</w:t>
      </w:r>
      <w:r w:rsidR="003A0802" w:rsidRPr="0072395F">
        <w:rPr>
          <w:rFonts w:hint="eastAsia"/>
        </w:rPr>
        <w:t>」</w:t>
      </w:r>
    </w:p>
    <w:p w:rsidR="003A0802" w:rsidRPr="0072395F" w:rsidRDefault="004619B1" w:rsidP="00E51822">
      <w:pPr>
        <w:pStyle w:val="3"/>
      </w:pPr>
      <w:r w:rsidRPr="0072395F">
        <w:rPr>
          <w:rFonts w:hint="eastAsia"/>
        </w:rPr>
        <w:t>是以</w:t>
      </w:r>
      <w:r w:rsidR="007C7D5C" w:rsidRPr="0072395F">
        <w:rPr>
          <w:rFonts w:hint="eastAsia"/>
        </w:rPr>
        <w:t>，都市更新事業計畫範圍內之公有土地及建築物，以同意依「都更條例」規定劃入更新單元為原則</w:t>
      </w:r>
      <w:r w:rsidR="007C7D5C" w:rsidRPr="0072395F">
        <w:rPr>
          <w:rStyle w:val="aff"/>
        </w:rPr>
        <w:footnoteReference w:id="1"/>
      </w:r>
      <w:r w:rsidR="007C7D5C" w:rsidRPr="0072395F">
        <w:rPr>
          <w:rFonts w:hint="eastAsia"/>
        </w:rPr>
        <w:t>。</w:t>
      </w:r>
      <w:r w:rsidR="0076701D" w:rsidRPr="0072395F">
        <w:rPr>
          <w:rFonts w:hint="eastAsia"/>
        </w:rPr>
        <w:t>國產署經管國有非公用土地以權利變換方式參與都市更新</w:t>
      </w:r>
      <w:r w:rsidRPr="0072395F">
        <w:rPr>
          <w:rFonts w:hint="eastAsia"/>
        </w:rPr>
        <w:t>後</w:t>
      </w:r>
      <w:r w:rsidR="0076701D" w:rsidRPr="0072395F">
        <w:rPr>
          <w:rFonts w:hint="eastAsia"/>
        </w:rPr>
        <w:t>，除屬抵稅土地及申請分配</w:t>
      </w:r>
      <w:r w:rsidRPr="0072395F">
        <w:rPr>
          <w:rFonts w:hint="eastAsia"/>
        </w:rPr>
        <w:t>位置</w:t>
      </w:r>
      <w:r w:rsidR="0076701D" w:rsidRPr="0072395F">
        <w:rPr>
          <w:rFonts w:hint="eastAsia"/>
        </w:rPr>
        <w:t>與其他權利人重複等2種情形分配權利金外，以按應有權利價值選擇分配更新後房</w:t>
      </w:r>
      <w:r w:rsidR="00E51822" w:rsidRPr="0072395F">
        <w:rPr>
          <w:rFonts w:hint="eastAsia"/>
        </w:rPr>
        <w:t>、</w:t>
      </w:r>
      <w:r w:rsidR="0076701D" w:rsidRPr="0072395F">
        <w:rPr>
          <w:rFonts w:hint="eastAsia"/>
        </w:rPr>
        <w:t>地為原則</w:t>
      </w:r>
      <w:r w:rsidRPr="0072395F">
        <w:rPr>
          <w:rFonts w:hint="eastAsia"/>
        </w:rPr>
        <w:t>。</w:t>
      </w:r>
      <w:r w:rsidR="00E51822" w:rsidRPr="0072395F">
        <w:rPr>
          <w:rFonts w:hint="eastAsia"/>
        </w:rPr>
        <w:t>針對都市更新分回之房地，則優先評估作辦公廳舍或社會住宅使用；若無辦公廳舍或社會住宅需求者，則依實施者規劃產品內容參與分配更新後房地，並視市場狀況規劃辦理標售、標租以活化利用。</w:t>
      </w:r>
    </w:p>
    <w:p w:rsidR="002C4A76" w:rsidRPr="0072395F" w:rsidRDefault="00E51822" w:rsidP="003A0802">
      <w:pPr>
        <w:pStyle w:val="3"/>
      </w:pPr>
      <w:r w:rsidRPr="0072395F">
        <w:rPr>
          <w:rFonts w:hint="eastAsia"/>
        </w:rPr>
        <w:t>經查，</w:t>
      </w:r>
      <w:r w:rsidR="00A90741" w:rsidRPr="0072395F">
        <w:rPr>
          <w:rFonts w:hint="eastAsia"/>
        </w:rPr>
        <w:t>近10年（自96年起至106年12月底止）國產署經管國有非公用土地參與都市更新分配權利金案件計4案，分配權利金計新臺幣（下同）7,282萬2,171元；</w:t>
      </w:r>
      <w:r w:rsidR="00842387" w:rsidRPr="0072395F">
        <w:rPr>
          <w:rFonts w:hint="eastAsia"/>
        </w:rPr>
        <w:t>另，</w:t>
      </w:r>
      <w:r w:rsidR="00A90741" w:rsidRPr="0072395F">
        <w:rPr>
          <w:rFonts w:hint="eastAsia"/>
        </w:rPr>
        <w:t>調配提供</w:t>
      </w:r>
      <w:r w:rsidR="00C60D96">
        <w:rPr>
          <w:rFonts w:hint="eastAsia"/>
        </w:rPr>
        <w:t>予</w:t>
      </w:r>
      <w:r w:rsidR="00A90741" w:rsidRPr="0072395F">
        <w:rPr>
          <w:rFonts w:hint="eastAsia"/>
        </w:rPr>
        <w:t>在外租用辦公廳舍進駐使用者，計財政部臺北國稅局松山分局等18個中央機關，</w:t>
      </w:r>
      <w:r w:rsidR="00C60D96">
        <w:rPr>
          <w:rFonts w:hint="eastAsia"/>
        </w:rPr>
        <w:t>已</w:t>
      </w:r>
      <w:r w:rsidR="00A90741" w:rsidRPr="0072395F">
        <w:rPr>
          <w:rFonts w:hint="eastAsia"/>
        </w:rPr>
        <w:t>分別進駐13處，合計樓地板面積</w:t>
      </w:r>
      <w:r w:rsidR="00C60D96">
        <w:rPr>
          <w:rFonts w:hint="eastAsia"/>
        </w:rPr>
        <w:t>60,593.65平方公尺，</w:t>
      </w:r>
      <w:r w:rsidR="00A90741" w:rsidRPr="0072395F">
        <w:rPr>
          <w:rFonts w:hint="eastAsia"/>
        </w:rPr>
        <w:t>約18,330坪</w:t>
      </w:r>
      <w:r w:rsidR="00C44CD5" w:rsidRPr="0072395F">
        <w:rPr>
          <w:rFonts w:hint="eastAsia"/>
        </w:rPr>
        <w:t>；至於</w:t>
      </w:r>
      <w:r w:rsidR="004615AF" w:rsidRPr="0072395F">
        <w:rPr>
          <w:rFonts w:hint="eastAsia"/>
        </w:rPr>
        <w:t>申請</w:t>
      </w:r>
      <w:r w:rsidR="00C44CD5" w:rsidRPr="0072395F">
        <w:rPr>
          <w:rFonts w:hint="eastAsia"/>
        </w:rPr>
        <w:t>分配</w:t>
      </w:r>
      <w:r w:rsidR="004615AF" w:rsidRPr="0072395F">
        <w:rPr>
          <w:rFonts w:hint="eastAsia"/>
        </w:rPr>
        <w:t>都市更新後房地</w:t>
      </w:r>
      <w:r w:rsidR="00C44CD5" w:rsidRPr="0072395F">
        <w:rPr>
          <w:rFonts w:hint="eastAsia"/>
        </w:rPr>
        <w:t>者</w:t>
      </w:r>
      <w:r w:rsidR="004615AF" w:rsidRPr="0072395F">
        <w:rPr>
          <w:rFonts w:hint="eastAsia"/>
        </w:rPr>
        <w:t>，</w:t>
      </w:r>
      <w:r w:rsidR="00C44CD5" w:rsidRPr="0072395F">
        <w:rPr>
          <w:rFonts w:hint="eastAsia"/>
        </w:rPr>
        <w:t>則</w:t>
      </w:r>
      <w:r w:rsidR="004615AF" w:rsidRPr="0072395F">
        <w:rPr>
          <w:rFonts w:hint="eastAsia"/>
        </w:rPr>
        <w:t>計</w:t>
      </w:r>
      <w:r w:rsidR="00C44CD5" w:rsidRPr="0072395F">
        <w:rPr>
          <w:rFonts w:hint="eastAsia"/>
        </w:rPr>
        <w:t>有</w:t>
      </w:r>
      <w:r w:rsidR="004615AF" w:rsidRPr="0072395F">
        <w:rPr>
          <w:rFonts w:hint="eastAsia"/>
        </w:rPr>
        <w:t>177戶</w:t>
      </w:r>
      <w:r w:rsidR="00C60D96">
        <w:rPr>
          <w:rFonts w:hint="eastAsia"/>
        </w:rPr>
        <w:t>，</w:t>
      </w:r>
      <w:r w:rsidR="004615AF" w:rsidRPr="0072395F">
        <w:rPr>
          <w:rFonts w:hint="eastAsia"/>
        </w:rPr>
        <w:t>獲配情形如表1。</w:t>
      </w:r>
    </w:p>
    <w:p w:rsidR="004615AF" w:rsidRPr="0072395F" w:rsidRDefault="004615AF" w:rsidP="005A1CCF">
      <w:pPr>
        <w:spacing w:beforeLines="50" w:before="228"/>
        <w:ind w:leftChars="417" w:left="1418"/>
        <w:jc w:val="center"/>
        <w:rPr>
          <w:b/>
          <w:sz w:val="28"/>
          <w:szCs w:val="28"/>
        </w:rPr>
      </w:pPr>
      <w:r w:rsidRPr="0072395F">
        <w:rPr>
          <w:rFonts w:hint="eastAsia"/>
          <w:b/>
          <w:sz w:val="28"/>
          <w:szCs w:val="28"/>
        </w:rPr>
        <w:t>表1</w:t>
      </w:r>
      <w:r w:rsidRPr="0072395F">
        <w:rPr>
          <w:b/>
          <w:sz w:val="28"/>
          <w:szCs w:val="28"/>
        </w:rPr>
        <w:t>、</w:t>
      </w:r>
      <w:r w:rsidR="00C60D96">
        <w:rPr>
          <w:rFonts w:hint="eastAsia"/>
          <w:b/>
          <w:sz w:val="28"/>
          <w:szCs w:val="28"/>
        </w:rPr>
        <w:t>國有非公用</w:t>
      </w:r>
      <w:r w:rsidR="00C44CD5" w:rsidRPr="0072395F">
        <w:rPr>
          <w:rFonts w:hint="eastAsia"/>
          <w:b/>
          <w:sz w:val="28"/>
          <w:szCs w:val="28"/>
        </w:rPr>
        <w:t>土地參與都市更新分回戶數</w:t>
      </w:r>
      <w:r w:rsidRPr="0072395F">
        <w:rPr>
          <w:rFonts w:hint="eastAsia"/>
          <w:b/>
          <w:sz w:val="28"/>
          <w:szCs w:val="28"/>
        </w:rPr>
        <w:t>一覽表</w:t>
      </w:r>
    </w:p>
    <w:tbl>
      <w:tblPr>
        <w:tblStyle w:val="af6"/>
        <w:tblW w:w="7371" w:type="dxa"/>
        <w:tblInd w:w="1526" w:type="dxa"/>
        <w:tblLook w:val="04A0" w:firstRow="1" w:lastRow="0" w:firstColumn="1" w:lastColumn="0" w:noHBand="0" w:noVBand="1"/>
      </w:tblPr>
      <w:tblGrid>
        <w:gridCol w:w="1842"/>
        <w:gridCol w:w="1843"/>
        <w:gridCol w:w="1843"/>
        <w:gridCol w:w="1843"/>
      </w:tblGrid>
      <w:tr w:rsidR="004615AF" w:rsidRPr="0072395F" w:rsidTr="005A1CCF">
        <w:trPr>
          <w:trHeight w:val="397"/>
          <w:tblHeader/>
        </w:trPr>
        <w:tc>
          <w:tcPr>
            <w:tcW w:w="1842"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建案名稱</w:t>
            </w:r>
          </w:p>
        </w:tc>
        <w:tc>
          <w:tcPr>
            <w:tcW w:w="1843"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土地坐落</w:t>
            </w:r>
          </w:p>
        </w:tc>
        <w:tc>
          <w:tcPr>
            <w:tcW w:w="1843"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分回戶數</w:t>
            </w:r>
          </w:p>
        </w:tc>
        <w:tc>
          <w:tcPr>
            <w:tcW w:w="1843" w:type="dxa"/>
            <w:shd w:val="clear" w:color="auto" w:fill="D9D9D9" w:themeFill="background1" w:themeFillShade="D9"/>
            <w:vAlign w:val="center"/>
          </w:tcPr>
          <w:p w:rsidR="004615AF" w:rsidRPr="0072395F" w:rsidRDefault="004615AF" w:rsidP="004615AF">
            <w:pPr>
              <w:pStyle w:val="2"/>
              <w:numPr>
                <w:ilvl w:val="0"/>
                <w:numId w:val="0"/>
              </w:numPr>
              <w:ind w:leftChars="-45" w:left="-153" w:rightChars="-22" w:right="-75"/>
              <w:jc w:val="center"/>
              <w:rPr>
                <w:rFonts w:hAnsi="標楷體"/>
                <w:sz w:val="22"/>
                <w:szCs w:val="22"/>
              </w:rPr>
            </w:pPr>
            <w:r w:rsidRPr="0072395F">
              <w:rPr>
                <w:rFonts w:hAnsi="標楷體" w:hint="eastAsia"/>
                <w:sz w:val="22"/>
                <w:szCs w:val="22"/>
              </w:rPr>
              <w:t>建物第一次</w:t>
            </w:r>
          </w:p>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登記日期</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悅揚</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臺北市北投區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95/5/4</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千荷田</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臺北市中正區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32</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102/2/25</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第凡內</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臺北市文山區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3</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104/9/6</w:t>
            </w:r>
          </w:p>
        </w:tc>
      </w:tr>
      <w:tr w:rsidR="004615AF" w:rsidRPr="0072395F" w:rsidTr="005A1CCF">
        <w:trPr>
          <w:trHeight w:val="397"/>
        </w:trPr>
        <w:tc>
          <w:tcPr>
            <w:tcW w:w="1842" w:type="dxa"/>
            <w:vAlign w:val="center"/>
          </w:tcPr>
          <w:p w:rsidR="004615AF" w:rsidRPr="0072395F" w:rsidRDefault="004615AF" w:rsidP="004615AF">
            <w:pPr>
              <w:pStyle w:val="2"/>
              <w:numPr>
                <w:ilvl w:val="0"/>
                <w:numId w:val="0"/>
              </w:numPr>
              <w:ind w:leftChars="-31" w:left="-105" w:rightChars="-10" w:right="-34"/>
              <w:jc w:val="center"/>
              <w:rPr>
                <w:rFonts w:hAnsi="標楷體"/>
                <w:spacing w:val="-20"/>
                <w:sz w:val="22"/>
                <w:szCs w:val="22"/>
              </w:rPr>
            </w:pPr>
            <w:r w:rsidRPr="0072395F">
              <w:rPr>
                <w:rFonts w:hAnsi="標楷體" w:hint="eastAsia"/>
                <w:spacing w:val="-20"/>
                <w:sz w:val="22"/>
                <w:szCs w:val="22"/>
              </w:rPr>
              <w:t>翔譽雙子星</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新北市三重區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8</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103/2/25</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東西匯</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臺北市中山區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14</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104/10/16</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碧湖君鄰</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臺北市內湖區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14</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104/5/18</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永德言葉</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臺北市大同區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41</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105/6/16</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lastRenderedPageBreak/>
              <w:t>明日博</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臺北市大安區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17</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105/3/23</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耕曦</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臺北市大安區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44</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106/2/3</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聯勤三喜</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臺北市內湖區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2</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105/12/5</w:t>
            </w:r>
          </w:p>
        </w:tc>
      </w:tr>
      <w:tr w:rsidR="004615AF" w:rsidRPr="0072395F" w:rsidTr="005A1CCF">
        <w:trPr>
          <w:trHeight w:val="397"/>
        </w:trPr>
        <w:tc>
          <w:tcPr>
            <w:tcW w:w="1842"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全陽圓</w:t>
            </w:r>
          </w:p>
        </w:tc>
        <w:tc>
          <w:tcPr>
            <w:tcW w:w="1843" w:type="dxa"/>
            <w:vAlign w:val="center"/>
          </w:tcPr>
          <w:p w:rsidR="004615AF" w:rsidRPr="0072395F" w:rsidRDefault="004615AF" w:rsidP="004615AF">
            <w:pPr>
              <w:pStyle w:val="2"/>
              <w:numPr>
                <w:ilvl w:val="0"/>
                <w:numId w:val="0"/>
              </w:numPr>
              <w:jc w:val="center"/>
              <w:rPr>
                <w:rFonts w:hAnsi="標楷體"/>
                <w:sz w:val="22"/>
                <w:szCs w:val="22"/>
              </w:rPr>
            </w:pPr>
            <w:r w:rsidRPr="0072395F">
              <w:rPr>
                <w:rFonts w:hAnsi="標楷體" w:hint="eastAsia"/>
                <w:sz w:val="22"/>
                <w:szCs w:val="22"/>
              </w:rPr>
              <w:t>新北市板橋區</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w:t>
            </w:r>
          </w:p>
        </w:tc>
        <w:tc>
          <w:tcPr>
            <w:tcW w:w="1843" w:type="dxa"/>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106/9/19</w:t>
            </w:r>
          </w:p>
        </w:tc>
      </w:tr>
      <w:tr w:rsidR="004615AF" w:rsidRPr="0072395F" w:rsidTr="005A1CCF">
        <w:trPr>
          <w:trHeight w:val="397"/>
        </w:trPr>
        <w:tc>
          <w:tcPr>
            <w:tcW w:w="1842"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合計</w:t>
            </w:r>
          </w:p>
        </w:tc>
        <w:tc>
          <w:tcPr>
            <w:tcW w:w="1843"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w:t>
            </w:r>
          </w:p>
        </w:tc>
        <w:tc>
          <w:tcPr>
            <w:tcW w:w="1843"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177</w:t>
            </w:r>
          </w:p>
        </w:tc>
        <w:tc>
          <w:tcPr>
            <w:tcW w:w="1843" w:type="dxa"/>
            <w:shd w:val="clear" w:color="auto" w:fill="D9D9D9" w:themeFill="background1" w:themeFillShade="D9"/>
            <w:vAlign w:val="center"/>
          </w:tcPr>
          <w:p w:rsidR="004615AF" w:rsidRPr="0072395F" w:rsidRDefault="004615AF" w:rsidP="00236CE8">
            <w:pPr>
              <w:pStyle w:val="2"/>
              <w:numPr>
                <w:ilvl w:val="0"/>
                <w:numId w:val="0"/>
              </w:numPr>
              <w:jc w:val="center"/>
              <w:rPr>
                <w:rFonts w:hAnsi="標楷體"/>
                <w:sz w:val="22"/>
                <w:szCs w:val="22"/>
              </w:rPr>
            </w:pPr>
            <w:r w:rsidRPr="0072395F">
              <w:rPr>
                <w:rFonts w:hAnsi="標楷體" w:hint="eastAsia"/>
                <w:sz w:val="22"/>
                <w:szCs w:val="22"/>
              </w:rPr>
              <w:t>-</w:t>
            </w:r>
          </w:p>
        </w:tc>
      </w:tr>
    </w:tbl>
    <w:p w:rsidR="004615AF" w:rsidRPr="0072395F" w:rsidRDefault="004615AF" w:rsidP="005A1CCF">
      <w:pPr>
        <w:pStyle w:val="3"/>
        <w:numPr>
          <w:ilvl w:val="0"/>
          <w:numId w:val="0"/>
        </w:numPr>
        <w:spacing w:afterLines="50" w:after="228"/>
        <w:ind w:left="1361"/>
      </w:pPr>
      <w:r w:rsidRPr="0072395F">
        <w:rPr>
          <w:rFonts w:hint="eastAsia"/>
          <w:sz w:val="24"/>
          <w:szCs w:val="24"/>
        </w:rPr>
        <w:t>資料來源：本院依財政部查復資料整理製作。</w:t>
      </w:r>
    </w:p>
    <w:p w:rsidR="00842387" w:rsidRPr="000E7E9B" w:rsidRDefault="005A1CCF" w:rsidP="00406E4D">
      <w:pPr>
        <w:pStyle w:val="3"/>
      </w:pPr>
      <w:r w:rsidRPr="000E7E9B">
        <w:rPr>
          <w:rFonts w:hint="eastAsia"/>
        </w:rPr>
        <w:t>國產署獲配更新後房地，經扣除將作為社會住宅使用（11戶）、屬於交通部臺灣鐵路管理局</w:t>
      </w:r>
      <w:r w:rsidR="00236CE8" w:rsidRPr="000E7E9B">
        <w:rPr>
          <w:rFonts w:hint="eastAsia"/>
        </w:rPr>
        <w:t>（下稱臺鐵局）</w:t>
      </w:r>
      <w:r w:rsidRPr="000E7E9B">
        <w:rPr>
          <w:rFonts w:hint="eastAsia"/>
        </w:rPr>
        <w:t>事業資產（58戶），</w:t>
      </w:r>
      <w:r w:rsidR="00406E4D" w:rsidRPr="000E7E9B">
        <w:rPr>
          <w:rFonts w:hint="eastAsia"/>
        </w:rPr>
        <w:t>合</w:t>
      </w:r>
      <w:r w:rsidRPr="000E7E9B">
        <w:rPr>
          <w:rFonts w:hint="eastAsia"/>
        </w:rPr>
        <w:t>計取得108戶可供標售</w:t>
      </w:r>
      <w:r w:rsidR="002B6CF5" w:rsidRPr="000E7E9B">
        <w:rPr>
          <w:rFonts w:hint="eastAsia"/>
        </w:rPr>
        <w:t>、租</w:t>
      </w:r>
      <w:r w:rsidRPr="000E7E9B">
        <w:rPr>
          <w:rFonts w:hint="eastAsia"/>
        </w:rPr>
        <w:t>。</w:t>
      </w:r>
      <w:r w:rsidR="002B6CF5" w:rsidRPr="000E7E9B">
        <w:rPr>
          <w:rFonts w:hint="eastAsia"/>
        </w:rPr>
        <w:t>自</w:t>
      </w:r>
      <w:r w:rsidR="0073657C" w:rsidRPr="000E7E9B">
        <w:rPr>
          <w:rFonts w:hint="eastAsia"/>
        </w:rPr>
        <w:t>96</w:t>
      </w:r>
      <w:r w:rsidR="00FE1DBF" w:rsidRPr="000E7E9B">
        <w:rPr>
          <w:rFonts w:hint="eastAsia"/>
        </w:rPr>
        <w:t>年起</w:t>
      </w:r>
      <w:r w:rsidR="00406E4D" w:rsidRPr="000E7E9B">
        <w:rPr>
          <w:rFonts w:hint="eastAsia"/>
        </w:rPr>
        <w:t>，</w:t>
      </w:r>
      <w:r w:rsidR="00C44CD5" w:rsidRPr="000E7E9B">
        <w:rPr>
          <w:rFonts w:hint="eastAsia"/>
        </w:rPr>
        <w:t>國產署</w:t>
      </w:r>
      <w:r w:rsidR="00406E4D" w:rsidRPr="000E7E9B">
        <w:rPr>
          <w:rFonts w:hint="eastAsia"/>
        </w:rPr>
        <w:t>開始</w:t>
      </w:r>
      <w:r w:rsidR="00FE1DBF" w:rsidRPr="000E7E9B">
        <w:rPr>
          <w:rFonts w:hint="eastAsia"/>
        </w:rPr>
        <w:t>辦理</w:t>
      </w:r>
      <w:r w:rsidR="002B6CF5" w:rsidRPr="000E7E9B">
        <w:rPr>
          <w:rFonts w:hint="eastAsia"/>
        </w:rPr>
        <w:t>標售、租，</w:t>
      </w:r>
      <w:r w:rsidRPr="000E7E9B">
        <w:rPr>
          <w:rFonts w:hint="eastAsia"/>
        </w:rPr>
        <w:t>截至106年12</w:t>
      </w:r>
      <w:r w:rsidR="00FE1DBF" w:rsidRPr="000E7E9B">
        <w:rPr>
          <w:rFonts w:hint="eastAsia"/>
        </w:rPr>
        <w:t>月底止，合計</w:t>
      </w:r>
      <w:r w:rsidRPr="000E7E9B">
        <w:rPr>
          <w:rFonts w:hint="eastAsia"/>
        </w:rPr>
        <w:t>標脫44戶（標售43戶、標租1戶），</w:t>
      </w:r>
      <w:r w:rsidR="00406E4D" w:rsidRPr="000E7E9B">
        <w:rPr>
          <w:rFonts w:hint="eastAsia"/>
        </w:rPr>
        <w:t>惟</w:t>
      </w:r>
      <w:r w:rsidRPr="000E7E9B">
        <w:rPr>
          <w:rFonts w:hint="eastAsia"/>
        </w:rPr>
        <w:t>仍有64戶尚待處理</w:t>
      </w:r>
      <w:r w:rsidR="004F5559" w:rsidRPr="000E7E9B">
        <w:rPr>
          <w:rFonts w:hint="eastAsia"/>
        </w:rPr>
        <w:t>，期間累計支付相關水、電、管理費用達2,071萬9,676元</w:t>
      </w:r>
      <w:r w:rsidR="00406E4D" w:rsidRPr="000E7E9B">
        <w:rPr>
          <w:rFonts w:hint="eastAsia"/>
        </w:rPr>
        <w:t>，其中尤以「千荷田」</w:t>
      </w:r>
      <w:r w:rsidR="00C44CD5" w:rsidRPr="000E7E9B">
        <w:rPr>
          <w:rFonts w:hint="eastAsia"/>
        </w:rPr>
        <w:t>為最，</w:t>
      </w:r>
      <w:r w:rsidR="00406E4D" w:rsidRPr="000E7E9B">
        <w:rPr>
          <w:rFonts w:hint="eastAsia"/>
        </w:rPr>
        <w:t>累計支付</w:t>
      </w:r>
      <w:r w:rsidR="00406E4D" w:rsidRPr="000E7E9B">
        <w:t>1</w:t>
      </w:r>
      <w:r w:rsidR="00406E4D" w:rsidRPr="000E7E9B">
        <w:rPr>
          <w:rFonts w:hint="eastAsia"/>
        </w:rPr>
        <w:t>,</w:t>
      </w:r>
      <w:r w:rsidR="00406E4D" w:rsidRPr="000E7E9B">
        <w:t>670</w:t>
      </w:r>
      <w:r w:rsidR="00406E4D" w:rsidRPr="000E7E9B">
        <w:rPr>
          <w:rFonts w:hint="eastAsia"/>
        </w:rPr>
        <w:t>萬</w:t>
      </w:r>
      <w:r w:rsidR="00406E4D" w:rsidRPr="000E7E9B">
        <w:t>2,843</w:t>
      </w:r>
      <w:r w:rsidR="00406E4D" w:rsidRPr="000E7E9B">
        <w:rPr>
          <w:rFonts w:hint="eastAsia"/>
        </w:rPr>
        <w:t>元</w:t>
      </w:r>
      <w:r w:rsidRPr="000E7E9B">
        <w:rPr>
          <w:rFonts w:hint="eastAsia"/>
        </w:rPr>
        <w:t>。</w:t>
      </w:r>
      <w:r w:rsidR="00406E4D" w:rsidRPr="000E7E9B">
        <w:rPr>
          <w:rFonts w:hint="eastAsia"/>
        </w:rPr>
        <w:t>如表2、表3、表4</w:t>
      </w:r>
      <w:r w:rsidR="00C60D96" w:rsidRPr="000E7E9B">
        <w:rPr>
          <w:rFonts w:hint="eastAsia"/>
        </w:rPr>
        <w:t>。</w:t>
      </w:r>
    </w:p>
    <w:p w:rsidR="005A1CCF" w:rsidRPr="0072395F" w:rsidRDefault="002B6CF5" w:rsidP="002B6CF5">
      <w:pPr>
        <w:spacing w:beforeLines="50" w:before="228"/>
        <w:jc w:val="center"/>
        <w:rPr>
          <w:b/>
          <w:sz w:val="28"/>
          <w:szCs w:val="28"/>
        </w:rPr>
      </w:pPr>
      <w:r w:rsidRPr="0072395F">
        <w:rPr>
          <w:rFonts w:hint="eastAsia"/>
          <w:b/>
          <w:sz w:val="28"/>
          <w:szCs w:val="28"/>
        </w:rPr>
        <w:t>表2、</w:t>
      </w:r>
      <w:r w:rsidR="00C60D96">
        <w:rPr>
          <w:rFonts w:hint="eastAsia"/>
          <w:b/>
          <w:sz w:val="28"/>
          <w:szCs w:val="28"/>
        </w:rPr>
        <w:t>國有非公用土地</w:t>
      </w:r>
      <w:r w:rsidR="005A1CCF" w:rsidRPr="0072395F">
        <w:rPr>
          <w:rFonts w:hint="eastAsia"/>
          <w:b/>
          <w:sz w:val="28"/>
          <w:szCs w:val="28"/>
        </w:rPr>
        <w:t>參與都市更新分回房地處理情形一覽表</w:t>
      </w:r>
    </w:p>
    <w:tbl>
      <w:tblPr>
        <w:tblStyle w:val="af6"/>
        <w:tblW w:w="9072" w:type="dxa"/>
        <w:tblInd w:w="108" w:type="dxa"/>
        <w:tblLook w:val="04A0" w:firstRow="1" w:lastRow="0" w:firstColumn="1" w:lastColumn="0" w:noHBand="0" w:noVBand="1"/>
      </w:tblPr>
      <w:tblGrid>
        <w:gridCol w:w="1207"/>
        <w:gridCol w:w="1209"/>
        <w:gridCol w:w="1412"/>
        <w:gridCol w:w="1275"/>
        <w:gridCol w:w="1037"/>
        <w:gridCol w:w="1214"/>
        <w:gridCol w:w="1718"/>
      </w:tblGrid>
      <w:tr w:rsidR="005A1CCF" w:rsidRPr="0072395F" w:rsidTr="00236CE8">
        <w:trPr>
          <w:trHeight w:val="397"/>
        </w:trPr>
        <w:tc>
          <w:tcPr>
            <w:tcW w:w="1207"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建案名稱</w:t>
            </w:r>
          </w:p>
        </w:tc>
        <w:tc>
          <w:tcPr>
            <w:tcW w:w="1209"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分回戶數</w:t>
            </w:r>
          </w:p>
        </w:tc>
        <w:tc>
          <w:tcPr>
            <w:tcW w:w="1412"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已標脫</w:t>
            </w:r>
          </w:p>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(標售、租)</w:t>
            </w:r>
          </w:p>
        </w:tc>
        <w:tc>
          <w:tcPr>
            <w:tcW w:w="1275"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社會住宅</w:t>
            </w:r>
          </w:p>
        </w:tc>
        <w:tc>
          <w:tcPr>
            <w:tcW w:w="1037"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待處理</w:t>
            </w:r>
          </w:p>
        </w:tc>
        <w:tc>
          <w:tcPr>
            <w:tcW w:w="1214" w:type="dxa"/>
            <w:shd w:val="clear" w:color="auto" w:fill="D9D9D9" w:themeFill="background1" w:themeFillShade="D9"/>
            <w:vAlign w:val="center"/>
          </w:tcPr>
          <w:p w:rsidR="005A1CCF" w:rsidRPr="0072395F" w:rsidRDefault="005A1CCF" w:rsidP="005A1CCF">
            <w:pPr>
              <w:pStyle w:val="2"/>
              <w:numPr>
                <w:ilvl w:val="0"/>
                <w:numId w:val="0"/>
              </w:numPr>
              <w:ind w:leftChars="-45" w:left="-153" w:rightChars="-22" w:right="-75"/>
              <w:jc w:val="center"/>
              <w:rPr>
                <w:rFonts w:hAnsi="標楷體"/>
                <w:sz w:val="22"/>
                <w:szCs w:val="22"/>
              </w:rPr>
            </w:pPr>
            <w:r w:rsidRPr="0072395F">
              <w:rPr>
                <w:rFonts w:hAnsi="標楷體" w:hint="eastAsia"/>
                <w:sz w:val="22"/>
                <w:szCs w:val="22"/>
              </w:rPr>
              <w:t>標售金額</w:t>
            </w:r>
          </w:p>
          <w:p w:rsidR="005A1CCF" w:rsidRPr="0072395F" w:rsidRDefault="005A1CCF" w:rsidP="005A1CCF">
            <w:pPr>
              <w:pStyle w:val="2"/>
              <w:numPr>
                <w:ilvl w:val="0"/>
                <w:numId w:val="0"/>
              </w:numPr>
              <w:ind w:leftChars="-45" w:left="-153" w:rightChars="-22" w:right="-75"/>
              <w:jc w:val="center"/>
              <w:rPr>
                <w:rFonts w:hAnsi="標楷體"/>
                <w:sz w:val="22"/>
                <w:szCs w:val="22"/>
              </w:rPr>
            </w:pPr>
            <w:r w:rsidRPr="0072395F">
              <w:rPr>
                <w:rFonts w:hAnsi="標楷體" w:hint="eastAsia"/>
                <w:sz w:val="22"/>
                <w:szCs w:val="22"/>
              </w:rPr>
              <w:t>(萬元)</w:t>
            </w:r>
          </w:p>
        </w:tc>
        <w:tc>
          <w:tcPr>
            <w:tcW w:w="1718" w:type="dxa"/>
            <w:shd w:val="clear" w:color="auto" w:fill="D9D9D9" w:themeFill="background1" w:themeFillShade="D9"/>
            <w:vAlign w:val="center"/>
          </w:tcPr>
          <w:p w:rsidR="005A1CCF" w:rsidRPr="0072395F" w:rsidRDefault="005A1CCF" w:rsidP="00236CE8">
            <w:pPr>
              <w:pStyle w:val="2"/>
              <w:numPr>
                <w:ilvl w:val="0"/>
                <w:numId w:val="0"/>
              </w:numPr>
              <w:jc w:val="center"/>
              <w:rPr>
                <w:rFonts w:hAnsi="標楷體"/>
                <w:sz w:val="22"/>
                <w:szCs w:val="22"/>
              </w:rPr>
            </w:pPr>
            <w:r w:rsidRPr="0072395F">
              <w:rPr>
                <w:rFonts w:hAnsi="標楷體" w:hint="eastAsia"/>
                <w:sz w:val="22"/>
                <w:szCs w:val="22"/>
              </w:rPr>
              <w:t>備註</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悅揚</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0</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1,680</w:t>
            </w:r>
          </w:p>
        </w:tc>
        <w:tc>
          <w:tcPr>
            <w:tcW w:w="1718" w:type="dxa"/>
            <w:vAlign w:val="center"/>
          </w:tcPr>
          <w:p w:rsidR="005A1CCF" w:rsidRPr="0072395F" w:rsidRDefault="005A1CCF" w:rsidP="00236CE8">
            <w:pPr>
              <w:pStyle w:val="2"/>
              <w:numPr>
                <w:ilvl w:val="0"/>
                <w:numId w:val="0"/>
              </w:numPr>
              <w:spacing w:line="240" w:lineRule="exact"/>
              <w:jc w:val="left"/>
              <w:rPr>
                <w:rFonts w:hAnsi="標楷體"/>
                <w:sz w:val="22"/>
                <w:szCs w:val="22"/>
              </w:rPr>
            </w:pPr>
            <w:r w:rsidRPr="0072395F">
              <w:rPr>
                <w:rFonts w:hAnsi="標楷體" w:hint="eastAsia"/>
                <w:sz w:val="22"/>
                <w:szCs w:val="22"/>
              </w:rPr>
              <w:t>-</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千荷田</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32</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31</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166,344</w:t>
            </w:r>
          </w:p>
        </w:tc>
        <w:tc>
          <w:tcPr>
            <w:tcW w:w="1718" w:type="dxa"/>
            <w:vAlign w:val="center"/>
          </w:tcPr>
          <w:p w:rsidR="005A1CCF" w:rsidRPr="0072395F" w:rsidRDefault="005A1CCF" w:rsidP="00236CE8">
            <w:pPr>
              <w:pStyle w:val="2"/>
              <w:numPr>
                <w:ilvl w:val="0"/>
                <w:numId w:val="0"/>
              </w:numPr>
              <w:spacing w:line="240" w:lineRule="exact"/>
              <w:jc w:val="left"/>
              <w:rPr>
                <w:rFonts w:hAnsi="標楷體"/>
                <w:sz w:val="22"/>
                <w:szCs w:val="22"/>
              </w:rPr>
            </w:pPr>
            <w:r w:rsidRPr="0072395F">
              <w:rPr>
                <w:rFonts w:hAnsi="標楷體" w:hint="eastAsia"/>
                <w:sz w:val="22"/>
                <w:szCs w:val="22"/>
              </w:rPr>
              <w:t>-</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第凡內</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3</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3</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0</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vAlign w:val="center"/>
          </w:tcPr>
          <w:p w:rsidR="005A1CCF" w:rsidRPr="0072395F" w:rsidRDefault="005A1CCF" w:rsidP="00236CE8">
            <w:pPr>
              <w:pStyle w:val="2"/>
              <w:numPr>
                <w:ilvl w:val="0"/>
                <w:numId w:val="0"/>
              </w:numPr>
              <w:spacing w:line="240" w:lineRule="exact"/>
              <w:rPr>
                <w:rFonts w:hAnsi="標楷體"/>
                <w:sz w:val="22"/>
                <w:szCs w:val="22"/>
              </w:rPr>
            </w:pPr>
            <w:r w:rsidRPr="0072395F">
              <w:rPr>
                <w:rFonts w:hAnsi="標楷體" w:hint="eastAsia"/>
                <w:sz w:val="22"/>
                <w:szCs w:val="22"/>
              </w:rPr>
              <w:t>臺北市政府申請作社會住宅。</w:t>
            </w:r>
          </w:p>
        </w:tc>
      </w:tr>
      <w:tr w:rsidR="005A1CCF" w:rsidRPr="0072395F" w:rsidTr="00236CE8">
        <w:trPr>
          <w:trHeight w:val="397"/>
        </w:trPr>
        <w:tc>
          <w:tcPr>
            <w:tcW w:w="1207" w:type="dxa"/>
            <w:vAlign w:val="center"/>
          </w:tcPr>
          <w:p w:rsidR="005A1CCF" w:rsidRPr="0072395F" w:rsidRDefault="005A1CCF" w:rsidP="005A1CCF">
            <w:pPr>
              <w:pStyle w:val="2"/>
              <w:numPr>
                <w:ilvl w:val="0"/>
                <w:numId w:val="0"/>
              </w:numPr>
              <w:spacing w:line="240" w:lineRule="exact"/>
              <w:ind w:leftChars="-31" w:left="-105" w:rightChars="-10" w:right="-34"/>
              <w:jc w:val="center"/>
              <w:rPr>
                <w:rFonts w:hAnsi="標楷體"/>
                <w:spacing w:val="-20"/>
                <w:sz w:val="22"/>
                <w:szCs w:val="22"/>
              </w:rPr>
            </w:pPr>
            <w:r w:rsidRPr="0072395F">
              <w:rPr>
                <w:rFonts w:hAnsi="標楷體" w:hint="eastAsia"/>
                <w:spacing w:val="-20"/>
                <w:sz w:val="22"/>
                <w:szCs w:val="22"/>
              </w:rPr>
              <w:t>翔譽雙子星</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8</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8</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0</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vAlign w:val="center"/>
          </w:tcPr>
          <w:p w:rsidR="005A1CCF" w:rsidRPr="0072395F" w:rsidRDefault="005A1CCF" w:rsidP="00236CE8">
            <w:pPr>
              <w:pStyle w:val="2"/>
              <w:numPr>
                <w:ilvl w:val="0"/>
                <w:numId w:val="0"/>
              </w:numPr>
              <w:spacing w:line="240" w:lineRule="exact"/>
              <w:rPr>
                <w:rFonts w:hAnsi="標楷體"/>
                <w:sz w:val="22"/>
                <w:szCs w:val="22"/>
              </w:rPr>
            </w:pPr>
            <w:r w:rsidRPr="0072395F">
              <w:rPr>
                <w:rFonts w:hAnsi="標楷體" w:hint="eastAsia"/>
                <w:sz w:val="22"/>
                <w:szCs w:val="22"/>
              </w:rPr>
              <w:t>新北市政府申請作社會住宅。（1戶尚待撥用中）</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東西匯</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14</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8</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6</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45,841</w:t>
            </w:r>
          </w:p>
        </w:tc>
        <w:tc>
          <w:tcPr>
            <w:tcW w:w="1718" w:type="dxa"/>
            <w:vAlign w:val="center"/>
          </w:tcPr>
          <w:p w:rsidR="005A1CCF" w:rsidRPr="0072395F" w:rsidRDefault="005A1CCF" w:rsidP="00236CE8">
            <w:pPr>
              <w:pStyle w:val="2"/>
              <w:numPr>
                <w:ilvl w:val="0"/>
                <w:numId w:val="0"/>
              </w:numPr>
              <w:spacing w:line="240" w:lineRule="exact"/>
              <w:rPr>
                <w:rFonts w:hAnsi="標楷體"/>
                <w:sz w:val="22"/>
                <w:szCs w:val="22"/>
              </w:rPr>
            </w:pPr>
            <w:r w:rsidRPr="0072395F">
              <w:rPr>
                <w:rFonts w:hAnsi="標楷體" w:hint="eastAsia"/>
                <w:sz w:val="22"/>
                <w:szCs w:val="22"/>
              </w:rPr>
              <w:t>-</w:t>
            </w:r>
          </w:p>
        </w:tc>
      </w:tr>
      <w:tr w:rsidR="005A1CCF" w:rsidRPr="0072395F" w:rsidTr="002B6CF5">
        <w:trPr>
          <w:trHeight w:val="397"/>
        </w:trPr>
        <w:tc>
          <w:tcPr>
            <w:tcW w:w="1207" w:type="dxa"/>
            <w:tcBorders>
              <w:bottom w:val="single" w:sz="4" w:space="0" w:color="auto"/>
            </w:tcBorders>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碧湖君鄰</w:t>
            </w:r>
          </w:p>
        </w:tc>
        <w:tc>
          <w:tcPr>
            <w:tcW w:w="1209" w:type="dxa"/>
            <w:tcBorders>
              <w:bottom w:val="single" w:sz="4" w:space="0" w:color="auto"/>
            </w:tcBorders>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14</w:t>
            </w:r>
          </w:p>
        </w:tc>
        <w:tc>
          <w:tcPr>
            <w:tcW w:w="1412" w:type="dxa"/>
            <w:tcBorders>
              <w:bottom w:val="single" w:sz="4" w:space="0" w:color="auto"/>
            </w:tcBorders>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w:t>
            </w:r>
          </w:p>
        </w:tc>
        <w:tc>
          <w:tcPr>
            <w:tcW w:w="1275" w:type="dxa"/>
            <w:tcBorders>
              <w:bottom w:val="single" w:sz="4" w:space="0" w:color="auto"/>
            </w:tcBorders>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tcBorders>
              <w:bottom w:val="single" w:sz="4" w:space="0" w:color="auto"/>
            </w:tcBorders>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10</w:t>
            </w:r>
          </w:p>
        </w:tc>
        <w:tc>
          <w:tcPr>
            <w:tcW w:w="1214" w:type="dxa"/>
            <w:tcBorders>
              <w:bottom w:val="single" w:sz="4" w:space="0" w:color="auto"/>
            </w:tcBorders>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18,935</w:t>
            </w:r>
          </w:p>
        </w:tc>
        <w:tc>
          <w:tcPr>
            <w:tcW w:w="1718" w:type="dxa"/>
            <w:tcBorders>
              <w:bottom w:val="single" w:sz="4" w:space="0" w:color="auto"/>
            </w:tcBorders>
            <w:vAlign w:val="center"/>
          </w:tcPr>
          <w:p w:rsidR="005A1CCF" w:rsidRPr="0072395F" w:rsidRDefault="005A1CCF" w:rsidP="00236CE8">
            <w:pPr>
              <w:pStyle w:val="2"/>
              <w:numPr>
                <w:ilvl w:val="0"/>
                <w:numId w:val="0"/>
              </w:numPr>
              <w:spacing w:line="240" w:lineRule="exact"/>
              <w:rPr>
                <w:rFonts w:hAnsi="標楷體"/>
                <w:sz w:val="22"/>
                <w:szCs w:val="22"/>
              </w:rPr>
            </w:pPr>
            <w:r w:rsidRPr="0072395F">
              <w:rPr>
                <w:rFonts w:hAnsi="標楷體" w:hint="eastAsia"/>
                <w:sz w:val="22"/>
                <w:szCs w:val="22"/>
              </w:rPr>
              <w:t>-</w:t>
            </w:r>
          </w:p>
        </w:tc>
      </w:tr>
      <w:tr w:rsidR="005A1CCF" w:rsidRPr="0072395F" w:rsidTr="002B6CF5">
        <w:trPr>
          <w:trHeight w:val="397"/>
        </w:trPr>
        <w:tc>
          <w:tcPr>
            <w:tcW w:w="1207" w:type="dxa"/>
            <w:shd w:val="clear" w:color="auto" w:fill="auto"/>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永德言葉</w:t>
            </w:r>
          </w:p>
        </w:tc>
        <w:tc>
          <w:tcPr>
            <w:tcW w:w="1209"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41</w:t>
            </w:r>
          </w:p>
        </w:tc>
        <w:tc>
          <w:tcPr>
            <w:tcW w:w="1412"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14"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shd w:val="clear" w:color="auto" w:fill="auto"/>
            <w:vAlign w:val="center"/>
          </w:tcPr>
          <w:p w:rsidR="005A1CCF" w:rsidRPr="0072395F" w:rsidRDefault="005A1CCF" w:rsidP="00236CE8">
            <w:pPr>
              <w:pStyle w:val="2"/>
              <w:numPr>
                <w:ilvl w:val="0"/>
                <w:numId w:val="0"/>
              </w:numPr>
              <w:spacing w:line="240" w:lineRule="exact"/>
              <w:rPr>
                <w:rFonts w:hAnsi="標楷體"/>
                <w:spacing w:val="-16"/>
                <w:sz w:val="22"/>
                <w:szCs w:val="22"/>
              </w:rPr>
            </w:pPr>
            <w:r w:rsidRPr="0072395F">
              <w:rPr>
                <w:rFonts w:hAnsi="標楷體" w:hint="eastAsia"/>
                <w:spacing w:val="-16"/>
                <w:sz w:val="22"/>
                <w:szCs w:val="22"/>
              </w:rPr>
              <w:t>臺鐵局事業資產</w:t>
            </w:r>
          </w:p>
        </w:tc>
      </w:tr>
      <w:tr w:rsidR="005A1CCF" w:rsidRPr="0072395F" w:rsidTr="002B6CF5">
        <w:trPr>
          <w:trHeight w:val="397"/>
        </w:trPr>
        <w:tc>
          <w:tcPr>
            <w:tcW w:w="1207" w:type="dxa"/>
            <w:shd w:val="clear" w:color="auto" w:fill="auto"/>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明日博</w:t>
            </w:r>
          </w:p>
        </w:tc>
        <w:tc>
          <w:tcPr>
            <w:tcW w:w="1209"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17</w:t>
            </w:r>
          </w:p>
        </w:tc>
        <w:tc>
          <w:tcPr>
            <w:tcW w:w="1412"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14" w:type="dxa"/>
            <w:shd w:val="clear" w:color="auto" w:fill="auto"/>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shd w:val="clear" w:color="auto" w:fill="auto"/>
            <w:vAlign w:val="center"/>
          </w:tcPr>
          <w:p w:rsidR="005A1CCF" w:rsidRPr="0072395F" w:rsidRDefault="005A1CCF" w:rsidP="00236CE8">
            <w:pPr>
              <w:pStyle w:val="2"/>
              <w:numPr>
                <w:ilvl w:val="0"/>
                <w:numId w:val="0"/>
              </w:numPr>
              <w:spacing w:line="240" w:lineRule="exact"/>
              <w:rPr>
                <w:rFonts w:hAnsi="標楷體"/>
                <w:spacing w:val="-16"/>
                <w:sz w:val="22"/>
                <w:szCs w:val="22"/>
              </w:rPr>
            </w:pPr>
            <w:r w:rsidRPr="0072395F">
              <w:rPr>
                <w:rFonts w:hAnsi="標楷體" w:hint="eastAsia"/>
                <w:spacing w:val="-16"/>
                <w:sz w:val="22"/>
                <w:szCs w:val="22"/>
              </w:rPr>
              <w:t>臺鐵局事業資產</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耕曦</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44</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44</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vAlign w:val="center"/>
          </w:tcPr>
          <w:p w:rsidR="005A1CCF" w:rsidRPr="0072395F" w:rsidRDefault="005A1CCF" w:rsidP="00236CE8">
            <w:pPr>
              <w:pStyle w:val="2"/>
              <w:numPr>
                <w:ilvl w:val="0"/>
                <w:numId w:val="0"/>
              </w:numPr>
              <w:spacing w:line="240" w:lineRule="exact"/>
              <w:jc w:val="left"/>
              <w:rPr>
                <w:rFonts w:hAnsi="標楷體"/>
                <w:sz w:val="22"/>
                <w:szCs w:val="22"/>
              </w:rPr>
            </w:pPr>
            <w:r w:rsidRPr="0072395F">
              <w:rPr>
                <w:rFonts w:hAnsi="標楷體" w:hint="eastAsia"/>
                <w:sz w:val="22"/>
                <w:szCs w:val="22"/>
              </w:rPr>
              <w:t>-</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聯勤三喜</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2</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2</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vAlign w:val="center"/>
          </w:tcPr>
          <w:p w:rsidR="005A1CCF" w:rsidRPr="0072395F" w:rsidRDefault="005A1CCF" w:rsidP="00236CE8">
            <w:pPr>
              <w:pStyle w:val="2"/>
              <w:numPr>
                <w:ilvl w:val="0"/>
                <w:numId w:val="0"/>
              </w:numPr>
              <w:spacing w:line="240" w:lineRule="exact"/>
              <w:jc w:val="left"/>
              <w:rPr>
                <w:rFonts w:hAnsi="標楷體"/>
                <w:sz w:val="22"/>
                <w:szCs w:val="22"/>
              </w:rPr>
            </w:pPr>
            <w:r w:rsidRPr="0072395F">
              <w:rPr>
                <w:rFonts w:hAnsi="標楷體" w:hint="eastAsia"/>
                <w:sz w:val="22"/>
                <w:szCs w:val="22"/>
              </w:rPr>
              <w:t>-</w:t>
            </w:r>
          </w:p>
        </w:tc>
      </w:tr>
      <w:tr w:rsidR="005A1CCF" w:rsidRPr="0072395F" w:rsidTr="00236CE8">
        <w:trPr>
          <w:trHeight w:val="397"/>
        </w:trPr>
        <w:tc>
          <w:tcPr>
            <w:tcW w:w="1207" w:type="dxa"/>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全陽圓</w:t>
            </w:r>
          </w:p>
        </w:tc>
        <w:tc>
          <w:tcPr>
            <w:tcW w:w="1209"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w:t>
            </w:r>
          </w:p>
        </w:tc>
        <w:tc>
          <w:tcPr>
            <w:tcW w:w="1412"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275"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037"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w:t>
            </w:r>
          </w:p>
        </w:tc>
        <w:tc>
          <w:tcPr>
            <w:tcW w:w="1214" w:type="dxa"/>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w:t>
            </w:r>
          </w:p>
        </w:tc>
        <w:tc>
          <w:tcPr>
            <w:tcW w:w="1718" w:type="dxa"/>
            <w:vAlign w:val="center"/>
          </w:tcPr>
          <w:p w:rsidR="005A1CCF" w:rsidRPr="0072395F" w:rsidRDefault="005A1CCF" w:rsidP="00236CE8">
            <w:pPr>
              <w:pStyle w:val="2"/>
              <w:numPr>
                <w:ilvl w:val="0"/>
                <w:numId w:val="0"/>
              </w:numPr>
              <w:spacing w:line="240" w:lineRule="exact"/>
              <w:jc w:val="left"/>
              <w:rPr>
                <w:rFonts w:hAnsi="標楷體"/>
                <w:sz w:val="22"/>
                <w:szCs w:val="22"/>
              </w:rPr>
            </w:pPr>
            <w:r w:rsidRPr="0072395F">
              <w:rPr>
                <w:rFonts w:hAnsi="標楷體" w:hint="eastAsia"/>
                <w:sz w:val="22"/>
                <w:szCs w:val="22"/>
              </w:rPr>
              <w:t>-</w:t>
            </w:r>
          </w:p>
        </w:tc>
      </w:tr>
      <w:tr w:rsidR="005A1CCF" w:rsidRPr="0072395F" w:rsidTr="00236CE8">
        <w:trPr>
          <w:trHeight w:val="397"/>
        </w:trPr>
        <w:tc>
          <w:tcPr>
            <w:tcW w:w="1207"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center"/>
              <w:rPr>
                <w:rFonts w:hAnsi="標楷體"/>
                <w:sz w:val="22"/>
                <w:szCs w:val="22"/>
              </w:rPr>
            </w:pPr>
            <w:r w:rsidRPr="0072395F">
              <w:rPr>
                <w:rFonts w:hAnsi="標楷體" w:hint="eastAsia"/>
                <w:sz w:val="22"/>
                <w:szCs w:val="22"/>
              </w:rPr>
              <w:t>合計</w:t>
            </w:r>
          </w:p>
        </w:tc>
        <w:tc>
          <w:tcPr>
            <w:tcW w:w="1209"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177</w:t>
            </w:r>
          </w:p>
        </w:tc>
        <w:tc>
          <w:tcPr>
            <w:tcW w:w="1412"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44</w:t>
            </w:r>
          </w:p>
        </w:tc>
        <w:tc>
          <w:tcPr>
            <w:tcW w:w="1275"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11</w:t>
            </w:r>
          </w:p>
        </w:tc>
        <w:tc>
          <w:tcPr>
            <w:tcW w:w="1037"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64</w:t>
            </w:r>
          </w:p>
        </w:tc>
        <w:tc>
          <w:tcPr>
            <w:tcW w:w="1214"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right"/>
              <w:rPr>
                <w:rFonts w:hAnsi="標楷體"/>
                <w:sz w:val="22"/>
                <w:szCs w:val="22"/>
              </w:rPr>
            </w:pPr>
            <w:r w:rsidRPr="0072395F">
              <w:rPr>
                <w:rFonts w:hAnsi="標楷體" w:hint="eastAsia"/>
                <w:sz w:val="22"/>
                <w:szCs w:val="22"/>
              </w:rPr>
              <w:t>232,800</w:t>
            </w:r>
          </w:p>
        </w:tc>
        <w:tc>
          <w:tcPr>
            <w:tcW w:w="1718" w:type="dxa"/>
            <w:shd w:val="clear" w:color="auto" w:fill="D9D9D9" w:themeFill="background1" w:themeFillShade="D9"/>
            <w:vAlign w:val="center"/>
          </w:tcPr>
          <w:p w:rsidR="005A1CCF" w:rsidRPr="0072395F" w:rsidRDefault="005A1CCF" w:rsidP="00236CE8">
            <w:pPr>
              <w:pStyle w:val="2"/>
              <w:numPr>
                <w:ilvl w:val="0"/>
                <w:numId w:val="0"/>
              </w:numPr>
              <w:spacing w:line="240" w:lineRule="exact"/>
              <w:jc w:val="left"/>
              <w:rPr>
                <w:rFonts w:hAnsi="標楷體"/>
                <w:sz w:val="22"/>
                <w:szCs w:val="22"/>
              </w:rPr>
            </w:pPr>
          </w:p>
        </w:tc>
      </w:tr>
    </w:tbl>
    <w:p w:rsidR="005A1CCF" w:rsidRPr="0072395F" w:rsidRDefault="005A1CCF" w:rsidP="002B6CF5">
      <w:pPr>
        <w:pStyle w:val="3"/>
        <w:numPr>
          <w:ilvl w:val="0"/>
          <w:numId w:val="0"/>
        </w:numPr>
        <w:spacing w:afterLines="50" w:after="228"/>
        <w:rPr>
          <w:sz w:val="24"/>
          <w:szCs w:val="24"/>
        </w:rPr>
      </w:pPr>
      <w:r w:rsidRPr="0072395F">
        <w:rPr>
          <w:rFonts w:hint="eastAsia"/>
          <w:sz w:val="24"/>
          <w:szCs w:val="24"/>
        </w:rPr>
        <w:t>資料來源：本院依財政部查復資料整理製作。</w:t>
      </w:r>
    </w:p>
    <w:p w:rsidR="00C46563" w:rsidRPr="0072395F" w:rsidRDefault="00C46563">
      <w:pPr>
        <w:widowControl/>
        <w:overflowPunct/>
        <w:autoSpaceDE/>
        <w:autoSpaceDN/>
        <w:jc w:val="left"/>
        <w:rPr>
          <w:b/>
          <w:sz w:val="28"/>
          <w:szCs w:val="28"/>
        </w:rPr>
      </w:pPr>
      <w:r w:rsidRPr="0072395F">
        <w:rPr>
          <w:b/>
          <w:sz w:val="28"/>
          <w:szCs w:val="28"/>
        </w:rPr>
        <w:lastRenderedPageBreak/>
        <w:br w:type="page"/>
      </w:r>
    </w:p>
    <w:p w:rsidR="002B6CF5" w:rsidRPr="0072395F" w:rsidRDefault="002B6CF5" w:rsidP="00236CE8">
      <w:pPr>
        <w:spacing w:beforeLines="50" w:before="228"/>
        <w:ind w:leftChars="250" w:left="850"/>
        <w:jc w:val="center"/>
        <w:rPr>
          <w:b/>
          <w:sz w:val="28"/>
          <w:szCs w:val="28"/>
        </w:rPr>
      </w:pPr>
      <w:r w:rsidRPr="0072395F">
        <w:rPr>
          <w:rFonts w:hint="eastAsia"/>
          <w:b/>
          <w:sz w:val="28"/>
          <w:szCs w:val="28"/>
        </w:rPr>
        <w:lastRenderedPageBreak/>
        <w:t>表3、</w:t>
      </w:r>
      <w:r w:rsidR="00C60D96">
        <w:rPr>
          <w:rFonts w:hint="eastAsia"/>
          <w:b/>
          <w:sz w:val="28"/>
          <w:szCs w:val="28"/>
        </w:rPr>
        <w:t>國有非公用土地</w:t>
      </w:r>
      <w:r w:rsidRPr="0072395F">
        <w:rPr>
          <w:rFonts w:hint="eastAsia"/>
          <w:b/>
          <w:sz w:val="28"/>
          <w:szCs w:val="28"/>
        </w:rPr>
        <w:t>參與都市更新分回房地標售情形一覽表</w:t>
      </w:r>
    </w:p>
    <w:tbl>
      <w:tblPr>
        <w:tblW w:w="7938" w:type="dxa"/>
        <w:tblInd w:w="879" w:type="dxa"/>
        <w:tblCellMar>
          <w:left w:w="28" w:type="dxa"/>
          <w:right w:w="28" w:type="dxa"/>
        </w:tblCellMar>
        <w:tblLook w:val="04A0" w:firstRow="1" w:lastRow="0" w:firstColumn="1" w:lastColumn="0" w:noHBand="0" w:noVBand="1"/>
      </w:tblPr>
      <w:tblGrid>
        <w:gridCol w:w="1149"/>
        <w:gridCol w:w="1134"/>
        <w:gridCol w:w="2085"/>
        <w:gridCol w:w="2127"/>
        <w:gridCol w:w="1443"/>
      </w:tblGrid>
      <w:tr w:rsidR="002B6CF5" w:rsidRPr="0072395F" w:rsidTr="00C60D96">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案名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B6CF5" w:rsidRPr="0072395F" w:rsidRDefault="002B6CF5" w:rsidP="002B6CF5">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列標次數</w:t>
            </w:r>
          </w:p>
        </w:tc>
        <w:tc>
          <w:tcPr>
            <w:tcW w:w="20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公告</w:t>
            </w:r>
            <w:r w:rsidR="002B6CF5" w:rsidRPr="0072395F">
              <w:rPr>
                <w:rFonts w:hAnsi="標楷體" w:cs="新細明體" w:hint="eastAsia"/>
                <w:kern w:val="0"/>
                <w:sz w:val="24"/>
                <w:szCs w:val="24"/>
              </w:rPr>
              <w:t>日期</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開標日期</w:t>
            </w:r>
          </w:p>
        </w:tc>
        <w:tc>
          <w:tcPr>
            <w:tcW w:w="14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剩餘戶數</w:t>
            </w:r>
          </w:p>
        </w:tc>
      </w:tr>
      <w:tr w:rsidR="002B6CF5" w:rsidRPr="0072395F" w:rsidTr="00C60D96">
        <w:trPr>
          <w:trHeight w:val="397"/>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悅揚</w:t>
            </w:r>
          </w:p>
        </w:tc>
        <w:tc>
          <w:tcPr>
            <w:tcW w:w="1134" w:type="dxa"/>
            <w:tcBorders>
              <w:top w:val="nil"/>
              <w:left w:val="nil"/>
              <w:bottom w:val="single" w:sz="4" w:space="0" w:color="auto"/>
              <w:right w:val="single" w:sz="4" w:space="0" w:color="auto"/>
            </w:tcBorders>
            <w:shd w:val="clear" w:color="auto" w:fill="auto"/>
            <w:noWrap/>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1次</w:t>
            </w:r>
          </w:p>
        </w:tc>
        <w:tc>
          <w:tcPr>
            <w:tcW w:w="2085"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96年5月3日</w:t>
            </w:r>
          </w:p>
        </w:tc>
        <w:tc>
          <w:tcPr>
            <w:tcW w:w="2127"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96年5月17日</w:t>
            </w:r>
          </w:p>
        </w:tc>
        <w:tc>
          <w:tcPr>
            <w:tcW w:w="1443" w:type="dxa"/>
            <w:tcBorders>
              <w:top w:val="nil"/>
              <w:left w:val="nil"/>
              <w:bottom w:val="single" w:sz="4" w:space="0" w:color="auto"/>
              <w:right w:val="single" w:sz="4" w:space="0" w:color="auto"/>
            </w:tcBorders>
            <w:shd w:val="clear" w:color="auto" w:fill="auto"/>
            <w:noWrap/>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全數標脫</w:t>
            </w:r>
          </w:p>
        </w:tc>
      </w:tr>
      <w:tr w:rsidR="002B6CF5" w:rsidRPr="0072395F" w:rsidTr="00C60D96">
        <w:trPr>
          <w:trHeight w:val="39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B6CF5" w:rsidRPr="0072395F" w:rsidRDefault="002B6CF5" w:rsidP="00236CE8">
            <w:pPr>
              <w:widowControl/>
              <w:overflowPunct/>
              <w:autoSpaceDE/>
              <w:autoSpaceDN/>
              <w:jc w:val="center"/>
              <w:rPr>
                <w:rFonts w:hAnsi="標楷體" w:cs="新細明體"/>
                <w:kern w:val="0"/>
                <w:sz w:val="20"/>
              </w:rPr>
            </w:pPr>
            <w:r w:rsidRPr="0072395F">
              <w:rPr>
                <w:rFonts w:hAnsi="標楷體" w:cs="新細明體" w:hint="eastAsia"/>
                <w:kern w:val="0"/>
                <w:sz w:val="24"/>
                <w:szCs w:val="24"/>
              </w:rPr>
              <w:t>千荷田</w:t>
            </w:r>
          </w:p>
        </w:tc>
        <w:tc>
          <w:tcPr>
            <w:tcW w:w="1134" w:type="dxa"/>
            <w:tcBorders>
              <w:top w:val="nil"/>
              <w:left w:val="nil"/>
              <w:bottom w:val="single" w:sz="4" w:space="0" w:color="auto"/>
              <w:right w:val="single" w:sz="4" w:space="0" w:color="auto"/>
            </w:tcBorders>
            <w:shd w:val="clear" w:color="auto" w:fill="auto"/>
            <w:noWrap/>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10次</w:t>
            </w:r>
          </w:p>
        </w:tc>
        <w:tc>
          <w:tcPr>
            <w:tcW w:w="2085"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103年10月3日</w:t>
            </w:r>
          </w:p>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106年11月23日</w:t>
            </w:r>
          </w:p>
        </w:tc>
        <w:tc>
          <w:tcPr>
            <w:tcW w:w="2127"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103年10月17日</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106年12月14日</w:t>
            </w:r>
          </w:p>
        </w:tc>
        <w:tc>
          <w:tcPr>
            <w:tcW w:w="1443" w:type="dxa"/>
            <w:tcBorders>
              <w:top w:val="nil"/>
              <w:left w:val="nil"/>
              <w:bottom w:val="single" w:sz="4" w:space="0" w:color="auto"/>
              <w:right w:val="single" w:sz="4" w:space="0" w:color="auto"/>
            </w:tcBorders>
            <w:shd w:val="clear" w:color="auto" w:fill="auto"/>
            <w:noWrap/>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1戶</w:t>
            </w:r>
          </w:p>
        </w:tc>
      </w:tr>
      <w:tr w:rsidR="002B6CF5" w:rsidRPr="0072395F" w:rsidTr="00C60D96">
        <w:trPr>
          <w:trHeight w:val="39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B6CF5" w:rsidRPr="0072395F" w:rsidRDefault="002B6CF5" w:rsidP="00236CE8">
            <w:pPr>
              <w:widowControl/>
              <w:overflowPunct/>
              <w:autoSpaceDE/>
              <w:autoSpaceDN/>
              <w:jc w:val="center"/>
              <w:rPr>
                <w:rFonts w:hAnsi="標楷體" w:cs="新細明體"/>
                <w:kern w:val="0"/>
                <w:sz w:val="20"/>
              </w:rPr>
            </w:pPr>
            <w:r w:rsidRPr="0072395F">
              <w:rPr>
                <w:rFonts w:hAnsi="標楷體" w:cs="新細明體" w:hint="eastAsia"/>
                <w:kern w:val="0"/>
                <w:sz w:val="24"/>
                <w:szCs w:val="24"/>
              </w:rPr>
              <w:t>東西匯</w:t>
            </w:r>
          </w:p>
        </w:tc>
        <w:tc>
          <w:tcPr>
            <w:tcW w:w="1134" w:type="dxa"/>
            <w:tcBorders>
              <w:top w:val="nil"/>
              <w:left w:val="nil"/>
              <w:bottom w:val="single" w:sz="4" w:space="0" w:color="auto"/>
              <w:right w:val="single" w:sz="4" w:space="0" w:color="auto"/>
            </w:tcBorders>
            <w:shd w:val="clear" w:color="auto" w:fill="auto"/>
            <w:noWrap/>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4次</w:t>
            </w:r>
          </w:p>
        </w:tc>
        <w:tc>
          <w:tcPr>
            <w:tcW w:w="2085"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106年2月9日</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106年9月27日</w:t>
            </w:r>
          </w:p>
        </w:tc>
        <w:tc>
          <w:tcPr>
            <w:tcW w:w="2127" w:type="dxa"/>
            <w:tcBorders>
              <w:top w:val="nil"/>
              <w:left w:val="nil"/>
              <w:bottom w:val="single" w:sz="4" w:space="0" w:color="auto"/>
              <w:right w:val="single" w:sz="4" w:space="0" w:color="auto"/>
            </w:tcBorders>
            <w:shd w:val="clear" w:color="FFFFFF" w:fill="FFFFFF"/>
            <w:vAlign w:val="center"/>
            <w:hideMark/>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106年2月23日</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106年10月18日</w:t>
            </w:r>
          </w:p>
        </w:tc>
        <w:tc>
          <w:tcPr>
            <w:tcW w:w="1443" w:type="dxa"/>
            <w:tcBorders>
              <w:top w:val="nil"/>
              <w:left w:val="nil"/>
              <w:bottom w:val="single" w:sz="4" w:space="0" w:color="auto"/>
              <w:right w:val="single" w:sz="4" w:space="0" w:color="auto"/>
            </w:tcBorders>
            <w:shd w:val="clear" w:color="auto" w:fill="auto"/>
            <w:noWrap/>
            <w:vAlign w:val="center"/>
            <w:hideMark/>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6戶</w:t>
            </w:r>
          </w:p>
        </w:tc>
      </w:tr>
      <w:tr w:rsidR="002B6CF5" w:rsidRPr="0072395F" w:rsidTr="00C60D96">
        <w:trPr>
          <w:trHeight w:val="397"/>
        </w:trPr>
        <w:tc>
          <w:tcPr>
            <w:tcW w:w="1149" w:type="dxa"/>
            <w:tcBorders>
              <w:top w:val="single" w:sz="4" w:space="0" w:color="auto"/>
              <w:left w:val="single" w:sz="4" w:space="0" w:color="auto"/>
              <w:bottom w:val="single" w:sz="4" w:space="0" w:color="auto"/>
              <w:right w:val="single" w:sz="4" w:space="0" w:color="auto"/>
            </w:tcBorders>
            <w:vAlign w:val="center"/>
          </w:tcPr>
          <w:p w:rsidR="002B6CF5" w:rsidRPr="0072395F" w:rsidRDefault="002B6CF5" w:rsidP="00236CE8">
            <w:pPr>
              <w:widowControl/>
              <w:overflowPunct/>
              <w:autoSpaceDE/>
              <w:autoSpaceDN/>
              <w:jc w:val="center"/>
              <w:rPr>
                <w:rFonts w:hAnsi="標楷體" w:cs="新細明體"/>
                <w:kern w:val="0"/>
                <w:sz w:val="20"/>
              </w:rPr>
            </w:pPr>
            <w:r w:rsidRPr="0072395F">
              <w:rPr>
                <w:rFonts w:hAnsi="標楷體" w:cs="新細明體" w:hint="eastAsia"/>
                <w:kern w:val="0"/>
                <w:sz w:val="24"/>
                <w:szCs w:val="24"/>
              </w:rPr>
              <w:t>碧湖君鄰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3次</w:t>
            </w:r>
          </w:p>
        </w:tc>
        <w:tc>
          <w:tcPr>
            <w:tcW w:w="2085" w:type="dxa"/>
            <w:tcBorders>
              <w:top w:val="single" w:sz="4" w:space="0" w:color="auto"/>
              <w:left w:val="nil"/>
              <w:bottom w:val="single" w:sz="4" w:space="0" w:color="auto"/>
              <w:right w:val="single" w:sz="4" w:space="0" w:color="auto"/>
            </w:tcBorders>
            <w:shd w:val="clear" w:color="FFFFFF" w:fill="FFFFFF"/>
            <w:vAlign w:val="center"/>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106年9月15日</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106年11月23日</w:t>
            </w:r>
          </w:p>
        </w:tc>
        <w:tc>
          <w:tcPr>
            <w:tcW w:w="2127" w:type="dxa"/>
            <w:tcBorders>
              <w:top w:val="single" w:sz="4" w:space="0" w:color="auto"/>
              <w:left w:val="nil"/>
              <w:bottom w:val="single" w:sz="4" w:space="0" w:color="auto"/>
              <w:right w:val="single" w:sz="4" w:space="0" w:color="auto"/>
            </w:tcBorders>
            <w:shd w:val="clear" w:color="FFFFFF" w:fill="FFFFFF"/>
            <w:vAlign w:val="center"/>
          </w:tcPr>
          <w:p w:rsidR="002B6CF5" w:rsidRPr="0072395F" w:rsidRDefault="002B6CF5"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106年10月16日</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至</w:t>
            </w:r>
          </w:p>
          <w:p w:rsidR="00236CE8"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106年12月14日</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2B6CF5" w:rsidRPr="0072395F" w:rsidRDefault="00236CE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10</w:t>
            </w:r>
            <w:r w:rsidR="002B6CF5" w:rsidRPr="0072395F">
              <w:rPr>
                <w:rFonts w:hAnsi="標楷體" w:cs="新細明體" w:hint="eastAsia"/>
                <w:kern w:val="0"/>
                <w:sz w:val="24"/>
                <w:szCs w:val="24"/>
              </w:rPr>
              <w:t>戶</w:t>
            </w:r>
          </w:p>
        </w:tc>
      </w:tr>
      <w:tr w:rsidR="000415B8" w:rsidRPr="0072395F" w:rsidTr="00C60D96">
        <w:trPr>
          <w:trHeight w:val="397"/>
        </w:trPr>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15B8" w:rsidRPr="0072395F" w:rsidRDefault="000415B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合計</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415B8" w:rsidRPr="0072395F" w:rsidRDefault="000415B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18次</w:t>
            </w:r>
          </w:p>
        </w:tc>
        <w:tc>
          <w:tcPr>
            <w:tcW w:w="20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415B8" w:rsidRPr="0072395F" w:rsidRDefault="000415B8" w:rsidP="00236CE8">
            <w:pPr>
              <w:widowControl/>
              <w:overflowPunct/>
              <w:autoSpaceDE/>
              <w:autoSpaceDN/>
              <w:jc w:val="center"/>
              <w:rPr>
                <w:rFonts w:hAnsi="標楷體" w:cs="新細明體"/>
                <w:kern w:val="0"/>
                <w:sz w:val="24"/>
                <w:szCs w:val="24"/>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415B8" w:rsidRPr="0072395F" w:rsidRDefault="000415B8" w:rsidP="00236CE8">
            <w:pPr>
              <w:widowControl/>
              <w:overflowPunct/>
              <w:autoSpaceDE/>
              <w:autoSpaceDN/>
              <w:jc w:val="center"/>
              <w:rPr>
                <w:rFonts w:hAnsi="標楷體" w:cs="新細明體"/>
                <w:kern w:val="0"/>
                <w:sz w:val="24"/>
                <w:szCs w:val="24"/>
              </w:rPr>
            </w:pPr>
          </w:p>
        </w:tc>
        <w:tc>
          <w:tcPr>
            <w:tcW w:w="144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415B8" w:rsidRPr="0072395F" w:rsidRDefault="000415B8" w:rsidP="00236CE8">
            <w:pPr>
              <w:widowControl/>
              <w:overflowPunct/>
              <w:autoSpaceDE/>
              <w:autoSpaceDN/>
              <w:jc w:val="center"/>
              <w:rPr>
                <w:rFonts w:hAnsi="標楷體" w:cs="新細明體"/>
                <w:kern w:val="0"/>
                <w:sz w:val="24"/>
                <w:szCs w:val="24"/>
              </w:rPr>
            </w:pPr>
            <w:r w:rsidRPr="0072395F">
              <w:rPr>
                <w:rFonts w:hAnsi="標楷體" w:cs="新細明體" w:hint="eastAsia"/>
                <w:kern w:val="0"/>
                <w:sz w:val="24"/>
                <w:szCs w:val="24"/>
              </w:rPr>
              <w:t>17戶</w:t>
            </w:r>
          </w:p>
        </w:tc>
      </w:tr>
    </w:tbl>
    <w:p w:rsidR="002B6CF5" w:rsidRPr="0072395F" w:rsidRDefault="002B6CF5" w:rsidP="00236CE8">
      <w:pPr>
        <w:pStyle w:val="5"/>
        <w:numPr>
          <w:ilvl w:val="0"/>
          <w:numId w:val="0"/>
        </w:numPr>
        <w:spacing w:afterLines="50" w:after="228"/>
        <w:ind w:leftChars="250" w:left="850"/>
        <w:rPr>
          <w:sz w:val="24"/>
          <w:szCs w:val="24"/>
        </w:rPr>
      </w:pPr>
      <w:r w:rsidRPr="0072395F">
        <w:rPr>
          <w:rFonts w:hint="eastAsia"/>
          <w:sz w:val="24"/>
          <w:szCs w:val="24"/>
        </w:rPr>
        <w:t>資料來源：</w:t>
      </w:r>
      <w:r w:rsidR="00236CE8" w:rsidRPr="0072395F">
        <w:rPr>
          <w:rFonts w:hint="eastAsia"/>
          <w:sz w:val="24"/>
          <w:szCs w:val="24"/>
        </w:rPr>
        <w:t>本院依財政部查復資料整理製作。</w:t>
      </w:r>
    </w:p>
    <w:p w:rsidR="00C46563" w:rsidRPr="00C60D96" w:rsidRDefault="00C46563" w:rsidP="00406E4D">
      <w:pPr>
        <w:ind w:leftChars="250" w:left="850" w:rightChars="16" w:right="54"/>
        <w:jc w:val="center"/>
        <w:rPr>
          <w:b/>
          <w:spacing w:val="-20"/>
          <w:sz w:val="28"/>
          <w:szCs w:val="28"/>
        </w:rPr>
      </w:pPr>
      <w:r w:rsidRPr="00C60D96">
        <w:rPr>
          <w:rFonts w:hint="eastAsia"/>
          <w:b/>
          <w:spacing w:val="-20"/>
          <w:sz w:val="28"/>
          <w:szCs w:val="28"/>
        </w:rPr>
        <w:t>表4、</w:t>
      </w:r>
      <w:r w:rsidR="00C60D96" w:rsidRPr="00C60D96">
        <w:rPr>
          <w:rFonts w:hint="eastAsia"/>
          <w:b/>
          <w:spacing w:val="-20"/>
          <w:sz w:val="28"/>
          <w:szCs w:val="28"/>
        </w:rPr>
        <w:t>國有非公用土地</w:t>
      </w:r>
      <w:r w:rsidRPr="00C60D96">
        <w:rPr>
          <w:rFonts w:hint="eastAsia"/>
          <w:b/>
          <w:spacing w:val="-20"/>
          <w:sz w:val="28"/>
          <w:szCs w:val="28"/>
        </w:rPr>
        <w:t>參與都市更新分回房地相關費用</w:t>
      </w:r>
      <w:r w:rsidR="00406E4D" w:rsidRPr="00C60D96">
        <w:rPr>
          <w:rFonts w:hint="eastAsia"/>
          <w:b/>
          <w:spacing w:val="-20"/>
          <w:sz w:val="28"/>
          <w:szCs w:val="28"/>
        </w:rPr>
        <w:t>繳納</w:t>
      </w:r>
      <w:r w:rsidRPr="00C60D96">
        <w:rPr>
          <w:rFonts w:hint="eastAsia"/>
          <w:b/>
          <w:spacing w:val="-20"/>
          <w:sz w:val="28"/>
          <w:szCs w:val="28"/>
        </w:rPr>
        <w:t>統計表</w:t>
      </w:r>
    </w:p>
    <w:tbl>
      <w:tblPr>
        <w:tblStyle w:val="af6"/>
        <w:tblW w:w="7938" w:type="dxa"/>
        <w:tblInd w:w="959" w:type="dxa"/>
        <w:tblLook w:val="04A0" w:firstRow="1" w:lastRow="0" w:firstColumn="1" w:lastColumn="0" w:noHBand="0" w:noVBand="1"/>
      </w:tblPr>
      <w:tblGrid>
        <w:gridCol w:w="1559"/>
        <w:gridCol w:w="1014"/>
        <w:gridCol w:w="2268"/>
        <w:gridCol w:w="3097"/>
      </w:tblGrid>
      <w:tr w:rsidR="00406E4D" w:rsidRPr="0072395F" w:rsidTr="00C60D96">
        <w:trPr>
          <w:trHeight w:val="560"/>
        </w:trPr>
        <w:tc>
          <w:tcPr>
            <w:tcW w:w="1559" w:type="dxa"/>
            <w:shd w:val="clear" w:color="auto" w:fill="D9D9D9" w:themeFill="background1" w:themeFillShade="D9"/>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建案名稱</w:t>
            </w:r>
          </w:p>
        </w:tc>
        <w:tc>
          <w:tcPr>
            <w:tcW w:w="1014" w:type="dxa"/>
            <w:shd w:val="clear" w:color="auto" w:fill="D9D9D9" w:themeFill="background1" w:themeFillShade="D9"/>
            <w:vAlign w:val="center"/>
          </w:tcPr>
          <w:p w:rsidR="00406E4D" w:rsidRPr="0072395F" w:rsidRDefault="00406E4D" w:rsidP="00C46563">
            <w:pPr>
              <w:pStyle w:val="2"/>
              <w:numPr>
                <w:ilvl w:val="0"/>
                <w:numId w:val="0"/>
              </w:numPr>
              <w:ind w:leftChars="-11" w:left="-37"/>
              <w:jc w:val="center"/>
              <w:rPr>
                <w:rFonts w:hAnsi="標楷體"/>
                <w:sz w:val="20"/>
                <w:szCs w:val="20"/>
              </w:rPr>
            </w:pPr>
            <w:r w:rsidRPr="0072395F">
              <w:rPr>
                <w:rFonts w:hAnsi="標楷體" w:hint="eastAsia"/>
                <w:sz w:val="20"/>
                <w:szCs w:val="20"/>
              </w:rPr>
              <w:t>分回</w:t>
            </w:r>
          </w:p>
          <w:p w:rsidR="00406E4D" w:rsidRPr="0072395F" w:rsidRDefault="00406E4D" w:rsidP="00C46563">
            <w:pPr>
              <w:pStyle w:val="2"/>
              <w:numPr>
                <w:ilvl w:val="0"/>
                <w:numId w:val="0"/>
              </w:numPr>
              <w:ind w:leftChars="-11" w:left="-37"/>
              <w:jc w:val="center"/>
              <w:rPr>
                <w:rFonts w:hAnsi="標楷體"/>
                <w:sz w:val="20"/>
                <w:szCs w:val="20"/>
              </w:rPr>
            </w:pPr>
            <w:r w:rsidRPr="0072395F">
              <w:rPr>
                <w:rFonts w:hAnsi="標楷體" w:hint="eastAsia"/>
                <w:sz w:val="20"/>
                <w:szCs w:val="20"/>
              </w:rPr>
              <w:t>戶數</w:t>
            </w:r>
          </w:p>
        </w:tc>
        <w:tc>
          <w:tcPr>
            <w:tcW w:w="2268" w:type="dxa"/>
            <w:shd w:val="clear" w:color="auto" w:fill="D9D9D9" w:themeFill="background1" w:themeFillShade="D9"/>
            <w:vAlign w:val="center"/>
          </w:tcPr>
          <w:p w:rsidR="00406E4D" w:rsidRPr="0072395F" w:rsidRDefault="00406E4D" w:rsidP="00406E4D">
            <w:pPr>
              <w:pStyle w:val="2"/>
              <w:numPr>
                <w:ilvl w:val="0"/>
                <w:numId w:val="0"/>
              </w:numPr>
              <w:jc w:val="center"/>
              <w:rPr>
                <w:rFonts w:hAnsi="標楷體"/>
                <w:sz w:val="20"/>
                <w:szCs w:val="20"/>
              </w:rPr>
            </w:pPr>
            <w:r w:rsidRPr="0072395F">
              <w:rPr>
                <w:rFonts w:hAnsi="標楷體" w:hint="eastAsia"/>
                <w:sz w:val="20"/>
                <w:szCs w:val="20"/>
              </w:rPr>
              <w:t>水、電及管理費</w:t>
            </w:r>
          </w:p>
          <w:p w:rsidR="00406E4D" w:rsidRPr="0072395F" w:rsidRDefault="00406E4D" w:rsidP="00406E4D">
            <w:pPr>
              <w:pStyle w:val="2"/>
              <w:numPr>
                <w:ilvl w:val="0"/>
                <w:numId w:val="0"/>
              </w:numPr>
              <w:jc w:val="center"/>
              <w:rPr>
                <w:rFonts w:hAnsi="標楷體"/>
                <w:sz w:val="20"/>
                <w:szCs w:val="20"/>
              </w:rPr>
            </w:pPr>
            <w:r w:rsidRPr="0072395F">
              <w:rPr>
                <w:rFonts w:hAnsi="標楷體" w:hint="eastAsia"/>
                <w:sz w:val="20"/>
                <w:szCs w:val="20"/>
              </w:rPr>
              <w:t>累計繳納費用(元)</w:t>
            </w:r>
          </w:p>
        </w:tc>
        <w:tc>
          <w:tcPr>
            <w:tcW w:w="3097" w:type="dxa"/>
            <w:shd w:val="clear" w:color="auto" w:fill="D9D9D9" w:themeFill="background1" w:themeFillShade="D9"/>
            <w:vAlign w:val="center"/>
          </w:tcPr>
          <w:p w:rsidR="00406E4D" w:rsidRPr="0072395F" w:rsidRDefault="00406E4D" w:rsidP="003F740A">
            <w:pPr>
              <w:pStyle w:val="2"/>
              <w:numPr>
                <w:ilvl w:val="0"/>
                <w:numId w:val="0"/>
              </w:numPr>
              <w:jc w:val="center"/>
              <w:rPr>
                <w:rFonts w:hAnsi="標楷體"/>
                <w:sz w:val="20"/>
                <w:szCs w:val="20"/>
              </w:rPr>
            </w:pPr>
            <w:r w:rsidRPr="0072395F">
              <w:rPr>
                <w:rFonts w:hAnsi="標楷體" w:hint="eastAsia"/>
                <w:sz w:val="20"/>
                <w:szCs w:val="20"/>
              </w:rPr>
              <w:t>管理費起付日期</w:t>
            </w:r>
          </w:p>
        </w:tc>
      </w:tr>
      <w:tr w:rsidR="00406E4D" w:rsidRPr="0072395F" w:rsidTr="00C60D96">
        <w:trPr>
          <w:trHeight w:val="397"/>
        </w:trPr>
        <w:tc>
          <w:tcPr>
            <w:tcW w:w="1559" w:type="dxa"/>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悅揚</w:t>
            </w:r>
          </w:p>
        </w:tc>
        <w:tc>
          <w:tcPr>
            <w:tcW w:w="1014" w:type="dxa"/>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1</w:t>
            </w:r>
          </w:p>
        </w:tc>
        <w:tc>
          <w:tcPr>
            <w:tcW w:w="2268" w:type="dxa"/>
            <w:vAlign w:val="center"/>
          </w:tcPr>
          <w:p w:rsidR="00406E4D" w:rsidRPr="0072395F" w:rsidRDefault="00406E4D" w:rsidP="0049738C">
            <w:pPr>
              <w:jc w:val="right"/>
              <w:rPr>
                <w:rFonts w:hAnsi="標楷體"/>
                <w:sz w:val="20"/>
              </w:rPr>
            </w:pPr>
            <w:r w:rsidRPr="0072395F">
              <w:rPr>
                <w:rFonts w:hAnsi="標楷體"/>
                <w:sz w:val="20"/>
              </w:rPr>
              <w:t xml:space="preserve">23,923 </w:t>
            </w:r>
          </w:p>
        </w:tc>
        <w:tc>
          <w:tcPr>
            <w:tcW w:w="3097" w:type="dxa"/>
            <w:vAlign w:val="center"/>
          </w:tcPr>
          <w:p w:rsidR="00406E4D" w:rsidRPr="0072395F" w:rsidRDefault="00406E4D" w:rsidP="0049738C">
            <w:pPr>
              <w:jc w:val="center"/>
              <w:rPr>
                <w:rFonts w:hAnsi="標楷體"/>
                <w:sz w:val="20"/>
              </w:rPr>
            </w:pPr>
            <w:r w:rsidRPr="0072395F">
              <w:rPr>
                <w:rFonts w:hAnsi="標楷體"/>
                <w:sz w:val="20"/>
              </w:rPr>
              <w:t>95</w:t>
            </w:r>
            <w:r w:rsidRPr="0072395F">
              <w:rPr>
                <w:rFonts w:hAnsi="標楷體" w:hint="eastAsia"/>
                <w:sz w:val="20"/>
              </w:rPr>
              <w:t>/</w:t>
            </w:r>
            <w:r w:rsidRPr="0072395F">
              <w:rPr>
                <w:rFonts w:hAnsi="標楷體"/>
                <w:sz w:val="20"/>
              </w:rPr>
              <w:t>6</w:t>
            </w:r>
            <w:r w:rsidRPr="0072395F">
              <w:rPr>
                <w:rFonts w:hAnsi="標楷體" w:hint="eastAsia"/>
                <w:sz w:val="20"/>
              </w:rPr>
              <w:t>/</w:t>
            </w:r>
            <w:r w:rsidRPr="0072395F">
              <w:rPr>
                <w:rFonts w:hAnsi="標楷體"/>
                <w:sz w:val="20"/>
              </w:rPr>
              <w:t>1</w:t>
            </w:r>
          </w:p>
        </w:tc>
      </w:tr>
      <w:tr w:rsidR="00406E4D" w:rsidRPr="0072395F" w:rsidTr="00C60D96">
        <w:trPr>
          <w:trHeight w:val="397"/>
        </w:trPr>
        <w:tc>
          <w:tcPr>
            <w:tcW w:w="1559" w:type="dxa"/>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千荷田</w:t>
            </w:r>
          </w:p>
        </w:tc>
        <w:tc>
          <w:tcPr>
            <w:tcW w:w="1014" w:type="dxa"/>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32</w:t>
            </w:r>
          </w:p>
        </w:tc>
        <w:tc>
          <w:tcPr>
            <w:tcW w:w="2268" w:type="dxa"/>
            <w:vAlign w:val="center"/>
          </w:tcPr>
          <w:p w:rsidR="00406E4D" w:rsidRPr="0072395F" w:rsidRDefault="00406E4D" w:rsidP="0049738C">
            <w:pPr>
              <w:jc w:val="right"/>
              <w:rPr>
                <w:rFonts w:hAnsi="標楷體"/>
                <w:sz w:val="20"/>
              </w:rPr>
            </w:pPr>
            <w:r w:rsidRPr="0072395F">
              <w:rPr>
                <w:rFonts w:hAnsi="標楷體"/>
                <w:sz w:val="20"/>
              </w:rPr>
              <w:t xml:space="preserve">16,702,843 </w:t>
            </w:r>
          </w:p>
        </w:tc>
        <w:tc>
          <w:tcPr>
            <w:tcW w:w="3097" w:type="dxa"/>
            <w:vAlign w:val="center"/>
          </w:tcPr>
          <w:p w:rsidR="00406E4D" w:rsidRPr="0072395F" w:rsidRDefault="00406E4D" w:rsidP="0049738C">
            <w:pPr>
              <w:jc w:val="center"/>
              <w:rPr>
                <w:rFonts w:hAnsi="標楷體"/>
                <w:sz w:val="20"/>
              </w:rPr>
            </w:pPr>
            <w:r w:rsidRPr="0072395F">
              <w:rPr>
                <w:rFonts w:hAnsi="標楷體"/>
                <w:sz w:val="20"/>
              </w:rPr>
              <w:t>102</w:t>
            </w:r>
            <w:r w:rsidRPr="0072395F">
              <w:rPr>
                <w:rFonts w:hAnsi="標楷體" w:hint="eastAsia"/>
                <w:sz w:val="20"/>
              </w:rPr>
              <w:t>/</w:t>
            </w:r>
            <w:r w:rsidRPr="0072395F">
              <w:rPr>
                <w:rFonts w:hAnsi="標楷體"/>
                <w:sz w:val="20"/>
              </w:rPr>
              <w:t>8</w:t>
            </w:r>
            <w:r w:rsidRPr="0072395F">
              <w:rPr>
                <w:rFonts w:hAnsi="標楷體" w:hint="eastAsia"/>
                <w:sz w:val="20"/>
              </w:rPr>
              <w:t>/</w:t>
            </w:r>
            <w:r w:rsidRPr="0072395F">
              <w:rPr>
                <w:rFonts w:hAnsi="標楷體"/>
                <w:sz w:val="20"/>
              </w:rPr>
              <w:t>22</w:t>
            </w:r>
          </w:p>
        </w:tc>
      </w:tr>
      <w:tr w:rsidR="00406E4D" w:rsidRPr="0072395F" w:rsidTr="00C60D96">
        <w:trPr>
          <w:trHeight w:val="397"/>
        </w:trPr>
        <w:tc>
          <w:tcPr>
            <w:tcW w:w="1559" w:type="dxa"/>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第凡內</w:t>
            </w:r>
          </w:p>
        </w:tc>
        <w:tc>
          <w:tcPr>
            <w:tcW w:w="1014" w:type="dxa"/>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3</w:t>
            </w:r>
          </w:p>
        </w:tc>
        <w:tc>
          <w:tcPr>
            <w:tcW w:w="2268" w:type="dxa"/>
            <w:vAlign w:val="center"/>
          </w:tcPr>
          <w:p w:rsidR="00406E4D" w:rsidRPr="0072395F" w:rsidRDefault="00406E4D" w:rsidP="0049738C">
            <w:pPr>
              <w:jc w:val="right"/>
              <w:rPr>
                <w:rFonts w:hAnsi="標楷體"/>
                <w:sz w:val="20"/>
              </w:rPr>
            </w:pPr>
            <w:r w:rsidRPr="0072395F">
              <w:rPr>
                <w:rFonts w:hAnsi="標楷體"/>
                <w:sz w:val="20"/>
              </w:rPr>
              <w:t xml:space="preserve">517,654 </w:t>
            </w:r>
          </w:p>
        </w:tc>
        <w:tc>
          <w:tcPr>
            <w:tcW w:w="3097" w:type="dxa"/>
            <w:vAlign w:val="center"/>
          </w:tcPr>
          <w:p w:rsidR="00406E4D" w:rsidRPr="0072395F" w:rsidRDefault="00406E4D" w:rsidP="0049738C">
            <w:pPr>
              <w:jc w:val="center"/>
              <w:rPr>
                <w:rFonts w:hAnsi="標楷體"/>
                <w:sz w:val="20"/>
              </w:rPr>
            </w:pPr>
            <w:r w:rsidRPr="0072395F">
              <w:rPr>
                <w:rFonts w:hAnsi="標楷體"/>
                <w:sz w:val="20"/>
              </w:rPr>
              <w:t>103</w:t>
            </w:r>
            <w:r w:rsidRPr="0072395F">
              <w:rPr>
                <w:rFonts w:hAnsi="標楷體" w:hint="eastAsia"/>
                <w:sz w:val="20"/>
              </w:rPr>
              <w:t>/</w:t>
            </w:r>
            <w:r w:rsidRPr="0072395F">
              <w:rPr>
                <w:rFonts w:hAnsi="標楷體"/>
                <w:sz w:val="20"/>
              </w:rPr>
              <w:t>2</w:t>
            </w:r>
            <w:r w:rsidRPr="0072395F">
              <w:rPr>
                <w:rFonts w:hAnsi="標楷體" w:hint="eastAsia"/>
                <w:sz w:val="20"/>
              </w:rPr>
              <w:t>/</w:t>
            </w:r>
            <w:r w:rsidRPr="0072395F">
              <w:rPr>
                <w:rFonts w:hAnsi="標楷體"/>
                <w:sz w:val="20"/>
              </w:rPr>
              <w:t>5</w:t>
            </w:r>
          </w:p>
        </w:tc>
      </w:tr>
      <w:tr w:rsidR="00406E4D" w:rsidRPr="0072395F" w:rsidTr="00C60D96">
        <w:trPr>
          <w:trHeight w:val="397"/>
        </w:trPr>
        <w:tc>
          <w:tcPr>
            <w:tcW w:w="1559" w:type="dxa"/>
            <w:vAlign w:val="center"/>
          </w:tcPr>
          <w:p w:rsidR="00406E4D" w:rsidRPr="0072395F" w:rsidRDefault="00406E4D" w:rsidP="00406E4D">
            <w:pPr>
              <w:pStyle w:val="2"/>
              <w:numPr>
                <w:ilvl w:val="0"/>
                <w:numId w:val="0"/>
              </w:numPr>
              <w:ind w:leftChars="-31" w:left="-105" w:rightChars="-20" w:right="-68"/>
              <w:jc w:val="center"/>
              <w:rPr>
                <w:rFonts w:hAnsi="標楷體"/>
                <w:sz w:val="20"/>
                <w:szCs w:val="20"/>
              </w:rPr>
            </w:pPr>
            <w:r w:rsidRPr="0072395F">
              <w:rPr>
                <w:rFonts w:hAnsi="標楷體" w:hint="eastAsia"/>
                <w:sz w:val="20"/>
                <w:szCs w:val="20"/>
              </w:rPr>
              <w:t>翔譽雙子星</w:t>
            </w:r>
          </w:p>
        </w:tc>
        <w:tc>
          <w:tcPr>
            <w:tcW w:w="1014" w:type="dxa"/>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8</w:t>
            </w:r>
          </w:p>
        </w:tc>
        <w:tc>
          <w:tcPr>
            <w:tcW w:w="2268" w:type="dxa"/>
            <w:vAlign w:val="center"/>
          </w:tcPr>
          <w:p w:rsidR="00406E4D" w:rsidRPr="0072395F" w:rsidRDefault="00406E4D" w:rsidP="0049738C">
            <w:pPr>
              <w:jc w:val="right"/>
              <w:rPr>
                <w:rFonts w:hAnsi="標楷體"/>
                <w:sz w:val="20"/>
              </w:rPr>
            </w:pPr>
            <w:r w:rsidRPr="0072395F">
              <w:rPr>
                <w:rFonts w:hAnsi="標楷體"/>
                <w:sz w:val="20"/>
              </w:rPr>
              <w:t xml:space="preserve">814,231 </w:t>
            </w:r>
          </w:p>
        </w:tc>
        <w:tc>
          <w:tcPr>
            <w:tcW w:w="3097" w:type="dxa"/>
            <w:vAlign w:val="center"/>
          </w:tcPr>
          <w:p w:rsidR="00406E4D" w:rsidRPr="0072395F" w:rsidRDefault="00406E4D" w:rsidP="0049738C">
            <w:pPr>
              <w:jc w:val="center"/>
              <w:rPr>
                <w:rFonts w:hAnsi="標楷體"/>
                <w:sz w:val="20"/>
              </w:rPr>
            </w:pPr>
            <w:r w:rsidRPr="0072395F">
              <w:rPr>
                <w:rFonts w:hAnsi="標楷體"/>
                <w:sz w:val="20"/>
              </w:rPr>
              <w:t>103</w:t>
            </w:r>
            <w:r w:rsidRPr="0072395F">
              <w:rPr>
                <w:rFonts w:hAnsi="標楷體" w:hint="eastAsia"/>
                <w:sz w:val="20"/>
              </w:rPr>
              <w:t>/</w:t>
            </w:r>
            <w:r w:rsidRPr="0072395F">
              <w:rPr>
                <w:rFonts w:hAnsi="標楷體"/>
                <w:sz w:val="20"/>
              </w:rPr>
              <w:t>5</w:t>
            </w:r>
            <w:r w:rsidRPr="0072395F">
              <w:rPr>
                <w:rFonts w:hAnsi="標楷體" w:hint="eastAsia"/>
                <w:sz w:val="20"/>
              </w:rPr>
              <w:t>/</w:t>
            </w:r>
            <w:r w:rsidRPr="0072395F">
              <w:rPr>
                <w:rFonts w:hAnsi="標楷體"/>
                <w:sz w:val="20"/>
              </w:rPr>
              <w:t>23</w:t>
            </w:r>
          </w:p>
        </w:tc>
      </w:tr>
      <w:tr w:rsidR="00406E4D" w:rsidRPr="0072395F" w:rsidTr="00C60D96">
        <w:trPr>
          <w:trHeight w:val="397"/>
        </w:trPr>
        <w:tc>
          <w:tcPr>
            <w:tcW w:w="1559" w:type="dxa"/>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東西匯</w:t>
            </w:r>
          </w:p>
        </w:tc>
        <w:tc>
          <w:tcPr>
            <w:tcW w:w="1014" w:type="dxa"/>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14</w:t>
            </w:r>
          </w:p>
        </w:tc>
        <w:tc>
          <w:tcPr>
            <w:tcW w:w="2268" w:type="dxa"/>
            <w:vAlign w:val="center"/>
          </w:tcPr>
          <w:p w:rsidR="00406E4D" w:rsidRPr="0072395F" w:rsidRDefault="00406E4D" w:rsidP="0049738C">
            <w:pPr>
              <w:jc w:val="right"/>
              <w:rPr>
                <w:rFonts w:hAnsi="標楷體"/>
                <w:sz w:val="20"/>
              </w:rPr>
            </w:pPr>
            <w:r w:rsidRPr="0072395F">
              <w:rPr>
                <w:rFonts w:hAnsi="標楷體"/>
                <w:sz w:val="20"/>
              </w:rPr>
              <w:t xml:space="preserve">1,913,577 </w:t>
            </w:r>
          </w:p>
        </w:tc>
        <w:tc>
          <w:tcPr>
            <w:tcW w:w="3097" w:type="dxa"/>
            <w:vAlign w:val="center"/>
          </w:tcPr>
          <w:p w:rsidR="00406E4D" w:rsidRPr="0072395F" w:rsidRDefault="00406E4D" w:rsidP="0049738C">
            <w:pPr>
              <w:jc w:val="center"/>
              <w:rPr>
                <w:rFonts w:hAnsi="標楷體"/>
                <w:sz w:val="20"/>
              </w:rPr>
            </w:pPr>
            <w:r w:rsidRPr="0072395F">
              <w:rPr>
                <w:rFonts w:hAnsi="標楷體"/>
                <w:sz w:val="20"/>
              </w:rPr>
              <w:t>105</w:t>
            </w:r>
            <w:r w:rsidRPr="0072395F">
              <w:rPr>
                <w:rFonts w:hAnsi="標楷體" w:hint="eastAsia"/>
                <w:sz w:val="20"/>
              </w:rPr>
              <w:t>/</w:t>
            </w:r>
            <w:r w:rsidRPr="0072395F">
              <w:rPr>
                <w:rFonts w:hAnsi="標楷體"/>
                <w:sz w:val="20"/>
              </w:rPr>
              <w:t>7</w:t>
            </w:r>
            <w:r w:rsidRPr="0072395F">
              <w:rPr>
                <w:rFonts w:hAnsi="標楷體" w:hint="eastAsia"/>
                <w:sz w:val="20"/>
              </w:rPr>
              <w:t>/</w:t>
            </w:r>
            <w:r w:rsidRPr="0072395F">
              <w:rPr>
                <w:rFonts w:hAnsi="標楷體"/>
                <w:sz w:val="20"/>
              </w:rPr>
              <w:t>1</w:t>
            </w:r>
          </w:p>
        </w:tc>
      </w:tr>
      <w:tr w:rsidR="00406E4D" w:rsidRPr="0072395F" w:rsidTr="00C60D96">
        <w:trPr>
          <w:trHeight w:val="397"/>
        </w:trPr>
        <w:tc>
          <w:tcPr>
            <w:tcW w:w="1559" w:type="dxa"/>
            <w:tcBorders>
              <w:bottom w:val="single" w:sz="4" w:space="0" w:color="auto"/>
            </w:tcBorders>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碧湖君鄰</w:t>
            </w:r>
          </w:p>
        </w:tc>
        <w:tc>
          <w:tcPr>
            <w:tcW w:w="1014" w:type="dxa"/>
            <w:tcBorders>
              <w:bottom w:val="single" w:sz="4" w:space="0" w:color="auto"/>
            </w:tcBorders>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14</w:t>
            </w:r>
          </w:p>
        </w:tc>
        <w:tc>
          <w:tcPr>
            <w:tcW w:w="2268" w:type="dxa"/>
            <w:tcBorders>
              <w:bottom w:val="single" w:sz="4" w:space="0" w:color="auto"/>
            </w:tcBorders>
            <w:vAlign w:val="center"/>
          </w:tcPr>
          <w:p w:rsidR="00406E4D" w:rsidRPr="0072395F" w:rsidRDefault="00406E4D" w:rsidP="0049738C">
            <w:pPr>
              <w:jc w:val="right"/>
              <w:rPr>
                <w:rFonts w:hAnsi="標楷體"/>
                <w:sz w:val="20"/>
              </w:rPr>
            </w:pPr>
            <w:r w:rsidRPr="0072395F">
              <w:rPr>
                <w:rFonts w:hAnsi="標楷體"/>
                <w:sz w:val="20"/>
              </w:rPr>
              <w:t xml:space="preserve">52,473 </w:t>
            </w:r>
          </w:p>
        </w:tc>
        <w:tc>
          <w:tcPr>
            <w:tcW w:w="3097" w:type="dxa"/>
            <w:tcBorders>
              <w:bottom w:val="single" w:sz="4" w:space="0" w:color="auto"/>
            </w:tcBorders>
            <w:vAlign w:val="center"/>
          </w:tcPr>
          <w:p w:rsidR="00406E4D" w:rsidRPr="0072395F" w:rsidRDefault="00406E4D" w:rsidP="0049738C">
            <w:pPr>
              <w:rPr>
                <w:rFonts w:hAnsi="標楷體"/>
                <w:sz w:val="20"/>
              </w:rPr>
            </w:pPr>
            <w:r w:rsidRPr="0072395F">
              <w:rPr>
                <w:rFonts w:hAnsi="標楷體"/>
                <w:sz w:val="20"/>
              </w:rPr>
              <w:t>105</w:t>
            </w:r>
            <w:r w:rsidRPr="0072395F">
              <w:rPr>
                <w:rFonts w:hAnsi="標楷體" w:hint="eastAsia"/>
                <w:sz w:val="20"/>
              </w:rPr>
              <w:t>/</w:t>
            </w:r>
            <w:r w:rsidRPr="0072395F">
              <w:rPr>
                <w:rFonts w:hAnsi="標楷體"/>
                <w:sz w:val="20"/>
              </w:rPr>
              <w:t>10</w:t>
            </w:r>
            <w:r w:rsidRPr="0072395F">
              <w:rPr>
                <w:rFonts w:hAnsi="標楷體" w:hint="eastAsia"/>
                <w:sz w:val="20"/>
              </w:rPr>
              <w:t>/</w:t>
            </w:r>
            <w:r w:rsidRPr="0072395F">
              <w:rPr>
                <w:rFonts w:hAnsi="標楷體"/>
                <w:sz w:val="20"/>
              </w:rPr>
              <w:t>24</w:t>
            </w:r>
            <w:r w:rsidRPr="0072395F">
              <w:rPr>
                <w:rFonts w:hAnsi="標楷體" w:hint="eastAsia"/>
                <w:sz w:val="20"/>
              </w:rPr>
              <w:t>點交，自房屋點交日起算</w:t>
            </w:r>
            <w:r w:rsidRPr="0072395F">
              <w:rPr>
                <w:rFonts w:hAnsi="標楷體"/>
                <w:sz w:val="20"/>
              </w:rPr>
              <w:t>2</w:t>
            </w:r>
            <w:r w:rsidRPr="0072395F">
              <w:rPr>
                <w:rFonts w:hAnsi="標楷體" w:hint="eastAsia"/>
                <w:sz w:val="20"/>
              </w:rPr>
              <w:t>年內實施者全額負擔管理費。</w:t>
            </w:r>
          </w:p>
        </w:tc>
      </w:tr>
      <w:tr w:rsidR="00406E4D" w:rsidRPr="0072395F" w:rsidTr="00C60D96">
        <w:trPr>
          <w:trHeight w:val="397"/>
        </w:trPr>
        <w:tc>
          <w:tcPr>
            <w:tcW w:w="1559" w:type="dxa"/>
            <w:tcBorders>
              <w:bottom w:val="single" w:sz="4" w:space="0" w:color="auto"/>
            </w:tcBorders>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耕曦</w:t>
            </w:r>
          </w:p>
        </w:tc>
        <w:tc>
          <w:tcPr>
            <w:tcW w:w="1014" w:type="dxa"/>
            <w:tcBorders>
              <w:bottom w:val="single" w:sz="4" w:space="0" w:color="auto"/>
            </w:tcBorders>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44</w:t>
            </w:r>
          </w:p>
        </w:tc>
        <w:tc>
          <w:tcPr>
            <w:tcW w:w="2268" w:type="dxa"/>
            <w:tcBorders>
              <w:bottom w:val="single" w:sz="4" w:space="0" w:color="auto"/>
            </w:tcBorders>
            <w:vAlign w:val="center"/>
          </w:tcPr>
          <w:p w:rsidR="00406E4D" w:rsidRPr="0072395F" w:rsidRDefault="00406E4D" w:rsidP="0049738C">
            <w:pPr>
              <w:jc w:val="right"/>
              <w:rPr>
                <w:rFonts w:hAnsi="標楷體"/>
                <w:sz w:val="20"/>
              </w:rPr>
            </w:pPr>
            <w:r w:rsidRPr="0072395F">
              <w:rPr>
                <w:rFonts w:hAnsi="標楷體"/>
                <w:sz w:val="20"/>
              </w:rPr>
              <w:t xml:space="preserve">576,996 </w:t>
            </w:r>
          </w:p>
        </w:tc>
        <w:tc>
          <w:tcPr>
            <w:tcW w:w="3097" w:type="dxa"/>
            <w:tcBorders>
              <w:bottom w:val="single" w:sz="4" w:space="0" w:color="auto"/>
            </w:tcBorders>
            <w:vAlign w:val="center"/>
          </w:tcPr>
          <w:p w:rsidR="00406E4D" w:rsidRPr="0072395F" w:rsidRDefault="00406E4D" w:rsidP="0049738C">
            <w:pPr>
              <w:jc w:val="center"/>
              <w:rPr>
                <w:rFonts w:hAnsi="標楷體"/>
                <w:sz w:val="20"/>
              </w:rPr>
            </w:pPr>
            <w:r w:rsidRPr="0072395F">
              <w:rPr>
                <w:rFonts w:hAnsi="標楷體"/>
                <w:sz w:val="20"/>
              </w:rPr>
              <w:t>106</w:t>
            </w:r>
            <w:r w:rsidRPr="0072395F">
              <w:rPr>
                <w:rFonts w:hAnsi="標楷體" w:hint="eastAsia"/>
                <w:sz w:val="20"/>
              </w:rPr>
              <w:t>/</w:t>
            </w:r>
            <w:r w:rsidRPr="0072395F">
              <w:rPr>
                <w:rFonts w:hAnsi="標楷體"/>
                <w:sz w:val="20"/>
              </w:rPr>
              <w:t>11</w:t>
            </w:r>
            <w:r w:rsidRPr="0072395F">
              <w:rPr>
                <w:rFonts w:hAnsi="標楷體" w:hint="eastAsia"/>
                <w:sz w:val="20"/>
              </w:rPr>
              <w:t>/</w:t>
            </w:r>
            <w:r w:rsidRPr="0072395F">
              <w:rPr>
                <w:rFonts w:hAnsi="標楷體"/>
                <w:sz w:val="20"/>
              </w:rPr>
              <w:t>1</w:t>
            </w:r>
          </w:p>
        </w:tc>
      </w:tr>
      <w:tr w:rsidR="00406E4D" w:rsidRPr="0072395F" w:rsidTr="00C60D96">
        <w:trPr>
          <w:trHeight w:val="397"/>
        </w:trPr>
        <w:tc>
          <w:tcPr>
            <w:tcW w:w="1559" w:type="dxa"/>
            <w:tcBorders>
              <w:bottom w:val="single" w:sz="4" w:space="0" w:color="auto"/>
            </w:tcBorders>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聯勤三喜</w:t>
            </w:r>
          </w:p>
        </w:tc>
        <w:tc>
          <w:tcPr>
            <w:tcW w:w="1014" w:type="dxa"/>
            <w:tcBorders>
              <w:bottom w:val="single" w:sz="4" w:space="0" w:color="auto"/>
            </w:tcBorders>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2</w:t>
            </w:r>
          </w:p>
        </w:tc>
        <w:tc>
          <w:tcPr>
            <w:tcW w:w="2268" w:type="dxa"/>
            <w:tcBorders>
              <w:bottom w:val="single" w:sz="4" w:space="0" w:color="auto"/>
            </w:tcBorders>
            <w:vAlign w:val="center"/>
          </w:tcPr>
          <w:p w:rsidR="00406E4D" w:rsidRPr="0072395F" w:rsidRDefault="00406E4D" w:rsidP="0049738C">
            <w:pPr>
              <w:jc w:val="right"/>
              <w:rPr>
                <w:rFonts w:hAnsi="標楷體"/>
                <w:sz w:val="20"/>
              </w:rPr>
            </w:pPr>
            <w:r w:rsidRPr="0072395F">
              <w:rPr>
                <w:rFonts w:hAnsi="標楷體"/>
                <w:sz w:val="20"/>
              </w:rPr>
              <w:t xml:space="preserve">117,737 </w:t>
            </w:r>
          </w:p>
        </w:tc>
        <w:tc>
          <w:tcPr>
            <w:tcW w:w="3097" w:type="dxa"/>
            <w:tcBorders>
              <w:bottom w:val="single" w:sz="4" w:space="0" w:color="auto"/>
            </w:tcBorders>
            <w:vAlign w:val="center"/>
          </w:tcPr>
          <w:p w:rsidR="00406E4D" w:rsidRPr="0072395F" w:rsidRDefault="00406E4D" w:rsidP="00406E4D">
            <w:pPr>
              <w:jc w:val="center"/>
              <w:rPr>
                <w:rFonts w:hAnsi="標楷體"/>
                <w:sz w:val="20"/>
              </w:rPr>
            </w:pPr>
            <w:r w:rsidRPr="0072395F">
              <w:rPr>
                <w:rFonts w:hAnsi="標楷體"/>
                <w:sz w:val="20"/>
              </w:rPr>
              <w:t>106</w:t>
            </w:r>
            <w:r w:rsidRPr="0072395F">
              <w:rPr>
                <w:rFonts w:hAnsi="標楷體" w:hint="eastAsia"/>
                <w:sz w:val="20"/>
              </w:rPr>
              <w:t>/</w:t>
            </w:r>
            <w:r w:rsidRPr="0072395F">
              <w:rPr>
                <w:rFonts w:hAnsi="標楷體"/>
                <w:sz w:val="20"/>
              </w:rPr>
              <w:t>7</w:t>
            </w:r>
            <w:r w:rsidRPr="0072395F">
              <w:rPr>
                <w:rFonts w:hAnsi="標楷體" w:hint="eastAsia"/>
                <w:sz w:val="20"/>
              </w:rPr>
              <w:t>/</w:t>
            </w:r>
            <w:r w:rsidRPr="0072395F">
              <w:rPr>
                <w:rFonts w:hAnsi="標楷體"/>
                <w:sz w:val="20"/>
              </w:rPr>
              <w:t>24</w:t>
            </w:r>
          </w:p>
        </w:tc>
      </w:tr>
      <w:tr w:rsidR="00406E4D" w:rsidRPr="0072395F" w:rsidTr="00C60D96">
        <w:trPr>
          <w:trHeight w:val="397"/>
        </w:trPr>
        <w:tc>
          <w:tcPr>
            <w:tcW w:w="1559" w:type="dxa"/>
            <w:tcBorders>
              <w:top w:val="single" w:sz="4" w:space="0" w:color="auto"/>
              <w:bottom w:val="double" w:sz="4" w:space="0" w:color="auto"/>
            </w:tcBorders>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全陽圓</w:t>
            </w:r>
          </w:p>
        </w:tc>
        <w:tc>
          <w:tcPr>
            <w:tcW w:w="1014" w:type="dxa"/>
            <w:tcBorders>
              <w:top w:val="single" w:sz="4" w:space="0" w:color="auto"/>
              <w:bottom w:val="double" w:sz="4" w:space="0" w:color="auto"/>
            </w:tcBorders>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1</w:t>
            </w:r>
          </w:p>
        </w:tc>
        <w:tc>
          <w:tcPr>
            <w:tcW w:w="2268" w:type="dxa"/>
            <w:tcBorders>
              <w:top w:val="single" w:sz="4" w:space="0" w:color="auto"/>
              <w:bottom w:val="double" w:sz="4" w:space="0" w:color="auto"/>
            </w:tcBorders>
            <w:vAlign w:val="center"/>
          </w:tcPr>
          <w:p w:rsidR="00406E4D" w:rsidRPr="0072395F" w:rsidRDefault="00406E4D" w:rsidP="0049738C">
            <w:pPr>
              <w:jc w:val="right"/>
              <w:rPr>
                <w:rFonts w:hAnsi="標楷體"/>
                <w:sz w:val="20"/>
              </w:rPr>
            </w:pPr>
            <w:r w:rsidRPr="0072395F">
              <w:rPr>
                <w:rFonts w:hAnsi="標楷體"/>
                <w:sz w:val="20"/>
              </w:rPr>
              <w:t xml:space="preserve">242 </w:t>
            </w:r>
          </w:p>
        </w:tc>
        <w:tc>
          <w:tcPr>
            <w:tcW w:w="3097" w:type="dxa"/>
            <w:tcBorders>
              <w:top w:val="single" w:sz="4" w:space="0" w:color="auto"/>
              <w:bottom w:val="double" w:sz="4" w:space="0" w:color="auto"/>
            </w:tcBorders>
            <w:vAlign w:val="center"/>
          </w:tcPr>
          <w:p w:rsidR="00406E4D" w:rsidRPr="0072395F" w:rsidRDefault="00406E4D" w:rsidP="0049738C">
            <w:pPr>
              <w:rPr>
                <w:rFonts w:hAnsi="標楷體"/>
                <w:sz w:val="20"/>
              </w:rPr>
            </w:pPr>
            <w:r w:rsidRPr="0072395F">
              <w:rPr>
                <w:rFonts w:hAnsi="標楷體"/>
                <w:sz w:val="20"/>
              </w:rPr>
              <w:t>106</w:t>
            </w:r>
            <w:r w:rsidRPr="0072395F">
              <w:rPr>
                <w:rFonts w:hAnsi="標楷體" w:hint="eastAsia"/>
                <w:sz w:val="20"/>
              </w:rPr>
              <w:t>/</w:t>
            </w:r>
            <w:r w:rsidRPr="0072395F">
              <w:rPr>
                <w:rFonts w:hAnsi="標楷體"/>
                <w:sz w:val="20"/>
              </w:rPr>
              <w:t>11</w:t>
            </w:r>
            <w:r w:rsidRPr="0072395F">
              <w:rPr>
                <w:rFonts w:hAnsi="標楷體" w:hint="eastAsia"/>
                <w:sz w:val="20"/>
              </w:rPr>
              <w:t>/</w:t>
            </w:r>
            <w:r w:rsidRPr="0072395F">
              <w:rPr>
                <w:rFonts w:hAnsi="標楷體"/>
                <w:sz w:val="20"/>
              </w:rPr>
              <w:t>16</w:t>
            </w:r>
            <w:r w:rsidRPr="0072395F">
              <w:rPr>
                <w:rFonts w:hAnsi="標楷體" w:hint="eastAsia"/>
                <w:sz w:val="20"/>
              </w:rPr>
              <w:t>點交，管委會剛成立，尚未開始收取管理費。</w:t>
            </w:r>
          </w:p>
        </w:tc>
      </w:tr>
      <w:tr w:rsidR="00406E4D" w:rsidRPr="0072395F" w:rsidTr="00C60D96">
        <w:trPr>
          <w:trHeight w:val="397"/>
        </w:trPr>
        <w:tc>
          <w:tcPr>
            <w:tcW w:w="1559" w:type="dxa"/>
            <w:tcBorders>
              <w:top w:val="double" w:sz="4" w:space="0" w:color="auto"/>
            </w:tcBorders>
            <w:shd w:val="clear" w:color="auto" w:fill="D9D9D9" w:themeFill="background1" w:themeFillShade="D9"/>
            <w:vAlign w:val="center"/>
          </w:tcPr>
          <w:p w:rsidR="00406E4D" w:rsidRPr="0072395F" w:rsidRDefault="00406E4D" w:rsidP="0049738C">
            <w:pPr>
              <w:pStyle w:val="2"/>
              <w:numPr>
                <w:ilvl w:val="0"/>
                <w:numId w:val="0"/>
              </w:numPr>
              <w:jc w:val="center"/>
              <w:rPr>
                <w:rFonts w:hAnsi="標楷體"/>
                <w:sz w:val="20"/>
                <w:szCs w:val="20"/>
              </w:rPr>
            </w:pPr>
            <w:r w:rsidRPr="0072395F">
              <w:rPr>
                <w:rFonts w:hAnsi="標楷體" w:hint="eastAsia"/>
                <w:sz w:val="20"/>
                <w:szCs w:val="20"/>
              </w:rPr>
              <w:t>合計</w:t>
            </w:r>
          </w:p>
        </w:tc>
        <w:tc>
          <w:tcPr>
            <w:tcW w:w="1014" w:type="dxa"/>
            <w:tcBorders>
              <w:top w:val="double" w:sz="4" w:space="0" w:color="auto"/>
            </w:tcBorders>
            <w:shd w:val="clear" w:color="auto" w:fill="D9D9D9" w:themeFill="background1" w:themeFillShade="D9"/>
            <w:vAlign w:val="center"/>
          </w:tcPr>
          <w:p w:rsidR="00406E4D" w:rsidRPr="0072395F" w:rsidRDefault="00406E4D" w:rsidP="0049738C">
            <w:pPr>
              <w:pStyle w:val="2"/>
              <w:numPr>
                <w:ilvl w:val="0"/>
                <w:numId w:val="0"/>
              </w:numPr>
              <w:jc w:val="right"/>
              <w:rPr>
                <w:rFonts w:hAnsi="標楷體"/>
                <w:sz w:val="20"/>
                <w:szCs w:val="20"/>
              </w:rPr>
            </w:pPr>
            <w:r w:rsidRPr="0072395F">
              <w:rPr>
                <w:rFonts w:hAnsi="標楷體" w:hint="eastAsia"/>
                <w:sz w:val="20"/>
                <w:szCs w:val="20"/>
              </w:rPr>
              <w:t>117</w:t>
            </w:r>
          </w:p>
        </w:tc>
        <w:tc>
          <w:tcPr>
            <w:tcW w:w="2268" w:type="dxa"/>
            <w:tcBorders>
              <w:top w:val="double" w:sz="4" w:space="0" w:color="auto"/>
            </w:tcBorders>
            <w:shd w:val="clear" w:color="auto" w:fill="D9D9D9" w:themeFill="background1" w:themeFillShade="D9"/>
            <w:vAlign w:val="center"/>
          </w:tcPr>
          <w:p w:rsidR="00406E4D" w:rsidRPr="0072395F" w:rsidRDefault="00406E4D" w:rsidP="0049738C">
            <w:pPr>
              <w:jc w:val="right"/>
              <w:rPr>
                <w:rFonts w:hAnsi="標楷體"/>
                <w:sz w:val="20"/>
              </w:rPr>
            </w:pPr>
            <w:r w:rsidRPr="0072395F">
              <w:rPr>
                <w:rFonts w:hAnsi="標楷體"/>
                <w:sz w:val="20"/>
              </w:rPr>
              <w:t xml:space="preserve">20,719,676 </w:t>
            </w:r>
          </w:p>
        </w:tc>
        <w:tc>
          <w:tcPr>
            <w:tcW w:w="3097" w:type="dxa"/>
            <w:tcBorders>
              <w:top w:val="double" w:sz="4" w:space="0" w:color="auto"/>
            </w:tcBorders>
            <w:shd w:val="clear" w:color="auto" w:fill="D9D9D9" w:themeFill="background1" w:themeFillShade="D9"/>
            <w:vAlign w:val="center"/>
          </w:tcPr>
          <w:p w:rsidR="00406E4D" w:rsidRPr="0072395F" w:rsidRDefault="00406E4D" w:rsidP="0049738C">
            <w:pPr>
              <w:pStyle w:val="2"/>
              <w:numPr>
                <w:ilvl w:val="0"/>
                <w:numId w:val="0"/>
              </w:numPr>
              <w:jc w:val="center"/>
              <w:rPr>
                <w:rFonts w:hAnsi="標楷體"/>
                <w:sz w:val="20"/>
                <w:szCs w:val="20"/>
              </w:rPr>
            </w:pPr>
          </w:p>
        </w:tc>
      </w:tr>
    </w:tbl>
    <w:p w:rsidR="00C46563" w:rsidRPr="0072395F" w:rsidRDefault="00C46563" w:rsidP="00406E4D">
      <w:pPr>
        <w:pStyle w:val="2"/>
        <w:numPr>
          <w:ilvl w:val="0"/>
          <w:numId w:val="0"/>
        </w:numPr>
        <w:spacing w:line="320" w:lineRule="exact"/>
        <w:ind w:leftChars="152" w:left="517" w:firstLineChars="127" w:firstLine="330"/>
        <w:rPr>
          <w:sz w:val="24"/>
          <w:szCs w:val="24"/>
        </w:rPr>
      </w:pPr>
      <w:r w:rsidRPr="0072395F">
        <w:rPr>
          <w:rFonts w:hint="eastAsia"/>
          <w:sz w:val="24"/>
          <w:szCs w:val="24"/>
        </w:rPr>
        <w:t>資料時間：自96年起至106年12月底止。</w:t>
      </w:r>
    </w:p>
    <w:p w:rsidR="00C46563" w:rsidRPr="0072395F" w:rsidRDefault="00C46563" w:rsidP="00406E4D">
      <w:pPr>
        <w:pStyle w:val="2"/>
        <w:numPr>
          <w:ilvl w:val="0"/>
          <w:numId w:val="0"/>
        </w:numPr>
        <w:spacing w:afterLines="50" w:after="228"/>
        <w:ind w:leftChars="249" w:left="847"/>
        <w:rPr>
          <w:sz w:val="24"/>
          <w:szCs w:val="24"/>
        </w:rPr>
      </w:pPr>
      <w:r w:rsidRPr="0072395F">
        <w:rPr>
          <w:rFonts w:hint="eastAsia"/>
          <w:sz w:val="24"/>
          <w:szCs w:val="24"/>
        </w:rPr>
        <w:t>資料來源：本院依財政部查復資料整理製作。</w:t>
      </w:r>
    </w:p>
    <w:p w:rsidR="005A1CCF" w:rsidRPr="000E7E9B" w:rsidRDefault="003F740A" w:rsidP="003A0802">
      <w:pPr>
        <w:pStyle w:val="3"/>
      </w:pPr>
      <w:r w:rsidRPr="000E7E9B">
        <w:rPr>
          <w:rFonts w:hint="eastAsia"/>
        </w:rPr>
        <w:t>以</w:t>
      </w:r>
      <w:r w:rsidR="00C60D96" w:rsidRPr="000E7E9B">
        <w:rPr>
          <w:rFonts w:hint="eastAsia"/>
        </w:rPr>
        <w:t>建案</w:t>
      </w:r>
      <w:r w:rsidRPr="000E7E9B">
        <w:rPr>
          <w:rFonts w:hint="eastAsia"/>
        </w:rPr>
        <w:t>「千荷田」社區為例</w:t>
      </w:r>
      <w:r w:rsidR="00406E4D" w:rsidRPr="000E7E9B">
        <w:rPr>
          <w:rFonts w:hint="eastAsia"/>
        </w:rPr>
        <w:t>，國產署</w:t>
      </w:r>
      <w:r w:rsidR="00C60D96" w:rsidRPr="000E7E9B">
        <w:rPr>
          <w:rFonts w:hint="eastAsia"/>
        </w:rPr>
        <w:t>經管國有非公用土地</w:t>
      </w:r>
      <w:r w:rsidR="00DD3E4E" w:rsidRPr="000E7E9B">
        <w:rPr>
          <w:rFonts w:hint="eastAsia"/>
        </w:rPr>
        <w:t>參與</w:t>
      </w:r>
      <w:r w:rsidR="00406E4D" w:rsidRPr="000E7E9B">
        <w:rPr>
          <w:rFonts w:hint="eastAsia"/>
        </w:rPr>
        <w:t>都市更新分回</w:t>
      </w:r>
      <w:r w:rsidRPr="000E7E9B">
        <w:rPr>
          <w:rFonts w:hint="eastAsia"/>
        </w:rPr>
        <w:t>該</w:t>
      </w:r>
      <w:r w:rsidR="00406E4D" w:rsidRPr="000E7E9B">
        <w:rPr>
          <w:rFonts w:hint="eastAsia"/>
        </w:rPr>
        <w:t>社區計32戶，</w:t>
      </w:r>
      <w:r w:rsidR="00ED75C9" w:rsidRPr="000E7E9B">
        <w:rPr>
          <w:rFonts w:hint="eastAsia"/>
        </w:rPr>
        <w:t>分別於103年標出1戶、105年標出2戶，106年標售熱度回升，</w:t>
      </w:r>
      <w:r w:rsidR="00472C26" w:rsidRPr="000E7E9B">
        <w:rPr>
          <w:rFonts w:hint="eastAsia"/>
        </w:rPr>
        <w:t>再</w:t>
      </w:r>
      <w:r w:rsidR="00ED75C9" w:rsidRPr="000E7E9B">
        <w:rPr>
          <w:rFonts w:hint="eastAsia"/>
        </w:rPr>
        <w:t>分別於4月、7月、9月、11月、12月標出3、7、8、8、2戶，每坪決標單價</w:t>
      </w:r>
      <w:r w:rsidR="00FD1E0D" w:rsidRPr="000E7E9B">
        <w:rPr>
          <w:rFonts w:hint="eastAsia"/>
        </w:rPr>
        <w:t>則</w:t>
      </w:r>
      <w:r w:rsidR="00ED75C9" w:rsidRPr="000E7E9B">
        <w:rPr>
          <w:rFonts w:hint="eastAsia"/>
        </w:rPr>
        <w:t>自80餘萬元，</w:t>
      </w:r>
      <w:r w:rsidR="0080166E" w:rsidRPr="000E7E9B">
        <w:rPr>
          <w:rFonts w:hint="eastAsia"/>
        </w:rPr>
        <w:t>降</w:t>
      </w:r>
      <w:r w:rsidR="00ED75C9" w:rsidRPr="000E7E9B">
        <w:rPr>
          <w:rFonts w:hint="eastAsia"/>
        </w:rPr>
        <w:t>至70餘萬</w:t>
      </w:r>
      <w:r w:rsidR="00097212" w:rsidRPr="000E7E9B">
        <w:rPr>
          <w:rFonts w:hint="eastAsia"/>
        </w:rPr>
        <w:t>元</w:t>
      </w:r>
      <w:r w:rsidR="00ED75C9" w:rsidRPr="000E7E9B">
        <w:rPr>
          <w:rFonts w:hint="eastAsia"/>
        </w:rPr>
        <w:t>，</w:t>
      </w:r>
      <w:r w:rsidR="00097212" w:rsidRPr="000E7E9B">
        <w:rPr>
          <w:rFonts w:hint="eastAsia"/>
        </w:rPr>
        <w:t>再下降</w:t>
      </w:r>
      <w:r w:rsidR="00097212" w:rsidRPr="000E7E9B">
        <w:rPr>
          <w:rFonts w:hint="eastAsia"/>
        </w:rPr>
        <w:lastRenderedPageBreak/>
        <w:t>於</w:t>
      </w:r>
      <w:r w:rsidR="00ED75C9" w:rsidRPr="000E7E9B">
        <w:rPr>
          <w:rFonts w:hint="eastAsia"/>
        </w:rPr>
        <w:t>6</w:t>
      </w:r>
      <w:r w:rsidR="00E55BAC" w:rsidRPr="000E7E9B">
        <w:rPr>
          <w:rFonts w:hint="eastAsia"/>
        </w:rPr>
        <w:t>1</w:t>
      </w:r>
      <w:r w:rsidR="00ED75C9" w:rsidRPr="000E7E9B">
        <w:rPr>
          <w:rFonts w:hint="eastAsia"/>
        </w:rPr>
        <w:t>至6</w:t>
      </w:r>
      <w:r w:rsidR="00E55BAC" w:rsidRPr="000E7E9B">
        <w:rPr>
          <w:rFonts w:hint="eastAsia"/>
        </w:rPr>
        <w:t>6</w:t>
      </w:r>
      <w:r w:rsidR="00ED75C9" w:rsidRPr="000E7E9B">
        <w:rPr>
          <w:rFonts w:hint="eastAsia"/>
        </w:rPr>
        <w:t>萬元</w:t>
      </w:r>
      <w:r w:rsidR="0080166E" w:rsidRPr="000E7E9B">
        <w:rPr>
          <w:rFonts w:hint="eastAsia"/>
        </w:rPr>
        <w:t>間</w:t>
      </w:r>
      <w:r w:rsidR="00ED75C9" w:rsidRPr="000E7E9B">
        <w:rPr>
          <w:rFonts w:hint="eastAsia"/>
        </w:rPr>
        <w:t>不等</w:t>
      </w:r>
      <w:r w:rsidR="00C60D96" w:rsidRPr="000E7E9B">
        <w:rPr>
          <w:rFonts w:hint="eastAsia"/>
        </w:rPr>
        <w:t>，</w:t>
      </w:r>
      <w:r w:rsidR="001A31E6" w:rsidRPr="000E7E9B">
        <w:rPr>
          <w:rFonts w:hint="eastAsia"/>
        </w:rPr>
        <w:t>如圖1</w:t>
      </w:r>
      <w:r w:rsidR="0080166E" w:rsidRPr="000E7E9B">
        <w:rPr>
          <w:rFonts w:hint="eastAsia"/>
        </w:rPr>
        <w:t>。</w:t>
      </w:r>
      <w:r w:rsidR="00097212" w:rsidRPr="000E7E9B">
        <w:rPr>
          <w:rFonts w:hint="eastAsia"/>
        </w:rPr>
        <w:t>國產</w:t>
      </w:r>
      <w:r w:rsidR="00406E4D" w:rsidRPr="000E7E9B">
        <w:rPr>
          <w:rFonts w:hint="eastAsia"/>
        </w:rPr>
        <w:t>署自103年10月起</w:t>
      </w:r>
      <w:r w:rsidR="00460E01" w:rsidRPr="000E7E9B">
        <w:rPr>
          <w:rFonts w:hint="eastAsia"/>
        </w:rPr>
        <w:t>，即</w:t>
      </w:r>
      <w:r w:rsidR="00AA3248" w:rsidRPr="000E7E9B">
        <w:rPr>
          <w:rFonts w:hint="eastAsia"/>
        </w:rPr>
        <w:t>開始</w:t>
      </w:r>
      <w:r w:rsidR="00460E01" w:rsidRPr="000E7E9B">
        <w:rPr>
          <w:rFonts w:hint="eastAsia"/>
        </w:rPr>
        <w:t>辦理</w:t>
      </w:r>
      <w:r w:rsidR="00406E4D" w:rsidRPr="000E7E9B">
        <w:rPr>
          <w:rFonts w:hint="eastAsia"/>
        </w:rPr>
        <w:t>標售，</w:t>
      </w:r>
      <w:r w:rsidR="00460E01" w:rsidRPr="000E7E9B">
        <w:rPr>
          <w:rFonts w:hint="eastAsia"/>
        </w:rPr>
        <w:t>惟至106年12月底止，仍剩1戶，迨至107年2月始全數標售完畢</w:t>
      </w:r>
      <w:r w:rsidR="00460E01" w:rsidRPr="000E7E9B">
        <w:rPr>
          <w:rStyle w:val="aff"/>
        </w:rPr>
        <w:footnoteReference w:id="2"/>
      </w:r>
      <w:r w:rsidR="00932151" w:rsidRPr="000E7E9B">
        <w:rPr>
          <w:rFonts w:hint="eastAsia"/>
        </w:rPr>
        <w:t>，</w:t>
      </w:r>
      <w:r w:rsidR="0073657C" w:rsidRPr="000E7E9B">
        <w:rPr>
          <w:rFonts w:hint="eastAsia"/>
        </w:rPr>
        <w:t>其</w:t>
      </w:r>
      <w:r w:rsidR="00AA3248" w:rsidRPr="000E7E9B">
        <w:rPr>
          <w:rFonts w:hint="eastAsia"/>
        </w:rPr>
        <w:t>歷</w:t>
      </w:r>
      <w:r w:rsidR="00460E01" w:rsidRPr="000E7E9B">
        <w:rPr>
          <w:rFonts w:hint="eastAsia"/>
        </w:rPr>
        <w:t>經</w:t>
      </w:r>
      <w:r w:rsidR="00AA3248" w:rsidRPr="000E7E9B">
        <w:rPr>
          <w:rFonts w:hint="eastAsia"/>
        </w:rPr>
        <w:t>10次招標作業，</w:t>
      </w:r>
      <w:r w:rsidR="00460E01" w:rsidRPr="000E7E9B">
        <w:rPr>
          <w:rFonts w:hint="eastAsia"/>
        </w:rPr>
        <w:t>耗時3年，</w:t>
      </w:r>
      <w:r w:rsidR="0073657C" w:rsidRPr="000E7E9B">
        <w:rPr>
          <w:rFonts w:hint="eastAsia"/>
        </w:rPr>
        <w:t>徒增水電管理費等相關支出超過1,600萬元，</w:t>
      </w:r>
      <w:r w:rsidR="00460E01" w:rsidRPr="000E7E9B">
        <w:rPr>
          <w:rFonts w:hint="eastAsia"/>
        </w:rPr>
        <w:t>衍生管理費</w:t>
      </w:r>
      <w:r w:rsidR="00DD3E4E" w:rsidRPr="000E7E9B">
        <w:rPr>
          <w:rFonts w:hint="eastAsia"/>
        </w:rPr>
        <w:t>虛耗</w:t>
      </w:r>
      <w:r w:rsidR="00460E01" w:rsidRPr="000E7E9B">
        <w:rPr>
          <w:rFonts w:hint="eastAsia"/>
        </w:rPr>
        <w:t>等</w:t>
      </w:r>
      <w:r w:rsidR="0073657C" w:rsidRPr="000E7E9B">
        <w:rPr>
          <w:rFonts w:hint="eastAsia"/>
        </w:rPr>
        <w:t>相關</w:t>
      </w:r>
      <w:r w:rsidR="00460E01" w:rsidRPr="000E7E9B">
        <w:rPr>
          <w:rFonts w:hint="eastAsia"/>
        </w:rPr>
        <w:t>爭議</w:t>
      </w:r>
      <w:r w:rsidR="0073657C" w:rsidRPr="000E7E9B">
        <w:rPr>
          <w:rFonts w:hint="eastAsia"/>
        </w:rPr>
        <w:t>，</w:t>
      </w:r>
      <w:r w:rsidR="00DF2DED" w:rsidRPr="000E7E9B">
        <w:rPr>
          <w:rFonts w:hint="eastAsia"/>
        </w:rPr>
        <w:t>自難謂允當</w:t>
      </w:r>
      <w:r w:rsidR="00460E01" w:rsidRPr="000E7E9B">
        <w:rPr>
          <w:rFonts w:hint="eastAsia"/>
        </w:rPr>
        <w:t>。</w:t>
      </w:r>
    </w:p>
    <w:p w:rsidR="00ED75C9" w:rsidRPr="0072395F" w:rsidRDefault="00ED75C9" w:rsidP="00ED75C9">
      <w:pPr>
        <w:pStyle w:val="3"/>
        <w:numPr>
          <w:ilvl w:val="0"/>
          <w:numId w:val="0"/>
        </w:numPr>
        <w:ind w:left="1361"/>
      </w:pPr>
    </w:p>
    <w:p w:rsidR="00ED75C9" w:rsidRPr="0072395F" w:rsidRDefault="00ED75C9" w:rsidP="00ED75C9">
      <w:pPr>
        <w:pStyle w:val="3"/>
        <w:numPr>
          <w:ilvl w:val="0"/>
          <w:numId w:val="0"/>
        </w:numPr>
      </w:pPr>
      <w:r w:rsidRPr="0072395F">
        <w:rPr>
          <w:noProof/>
        </w:rPr>
        <w:drawing>
          <wp:inline distT="0" distB="0" distL="0" distR="0" wp14:anchorId="566D8556" wp14:editId="42A12AC7">
            <wp:extent cx="5669280" cy="3167481"/>
            <wp:effectExtent l="0" t="0" r="7620"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5144" w:rsidRDefault="005F5144" w:rsidP="00FD1E0D">
      <w:pPr>
        <w:pStyle w:val="3"/>
        <w:numPr>
          <w:ilvl w:val="0"/>
          <w:numId w:val="0"/>
        </w:numPr>
        <w:spacing w:beforeLines="50" w:before="228" w:afterLines="50" w:after="228"/>
        <w:jc w:val="center"/>
        <w:rPr>
          <w:b/>
          <w:sz w:val="28"/>
          <w:szCs w:val="28"/>
        </w:rPr>
      </w:pPr>
      <w:r w:rsidRPr="0072395F">
        <w:rPr>
          <w:rFonts w:hint="eastAsia"/>
          <w:b/>
          <w:sz w:val="28"/>
          <w:szCs w:val="28"/>
        </w:rPr>
        <w:t>圖1、</w:t>
      </w:r>
      <w:r w:rsidR="00C60D96">
        <w:rPr>
          <w:rFonts w:hint="eastAsia"/>
          <w:b/>
          <w:sz w:val="28"/>
          <w:szCs w:val="28"/>
        </w:rPr>
        <w:t>建案</w:t>
      </w:r>
      <w:r w:rsidRPr="0072395F">
        <w:rPr>
          <w:rFonts w:hint="eastAsia"/>
          <w:b/>
          <w:sz w:val="28"/>
          <w:szCs w:val="28"/>
        </w:rPr>
        <w:t>「千荷田」歷年決標單價變化情形</w:t>
      </w:r>
    </w:p>
    <w:p w:rsidR="00FD1E0D" w:rsidRPr="0072395F" w:rsidRDefault="00FD1E0D" w:rsidP="00FD1E0D">
      <w:pPr>
        <w:pStyle w:val="3"/>
        <w:numPr>
          <w:ilvl w:val="0"/>
          <w:numId w:val="0"/>
        </w:numPr>
        <w:spacing w:afterLines="50" w:after="228"/>
        <w:rPr>
          <w:sz w:val="24"/>
          <w:szCs w:val="24"/>
        </w:rPr>
      </w:pPr>
      <w:r w:rsidRPr="0072395F">
        <w:rPr>
          <w:rFonts w:hint="eastAsia"/>
          <w:sz w:val="24"/>
          <w:szCs w:val="24"/>
        </w:rPr>
        <w:t>資料來源：本調查報告依財政部提供資料自行繪製。</w:t>
      </w:r>
    </w:p>
    <w:p w:rsidR="00DF2DED" w:rsidRDefault="00DF2DED" w:rsidP="00DF2DED">
      <w:pPr>
        <w:pStyle w:val="3"/>
      </w:pPr>
      <w:r>
        <w:rPr>
          <w:rFonts w:hint="eastAsia"/>
        </w:rPr>
        <w:t>綜上所述，</w:t>
      </w:r>
      <w:r w:rsidRPr="00DF2DED">
        <w:rPr>
          <w:rFonts w:hint="eastAsia"/>
        </w:rPr>
        <w:t>國產署經管國有非公用土地參與都市更新分回之房地標售成效不彰，滯銷多年，截至106年12月底止，仍有64戶尚待處理，期間累計支付水、電、管理費用等相關支出超過</w:t>
      </w:r>
      <w:r>
        <w:rPr>
          <w:rFonts w:hint="eastAsia"/>
        </w:rPr>
        <w:t>二千</w:t>
      </w:r>
      <w:r w:rsidRPr="00DF2DED">
        <w:rPr>
          <w:rFonts w:hint="eastAsia"/>
        </w:rPr>
        <w:t>萬元，殊值檢討</w:t>
      </w:r>
      <w:r>
        <w:rPr>
          <w:rFonts w:hint="eastAsia"/>
        </w:rPr>
        <w:t>。</w:t>
      </w:r>
    </w:p>
    <w:p w:rsidR="0073657C" w:rsidRPr="000E7E9B" w:rsidRDefault="004447C3" w:rsidP="002C4A76">
      <w:pPr>
        <w:pStyle w:val="2"/>
        <w:spacing w:beforeLines="50" w:before="228"/>
        <w:ind w:left="1020" w:hanging="680"/>
        <w:rPr>
          <w:b/>
        </w:rPr>
      </w:pPr>
      <w:r w:rsidRPr="000E7E9B">
        <w:rPr>
          <w:rFonts w:hint="eastAsia"/>
          <w:b/>
        </w:rPr>
        <w:t>國產署經管國有非公用土地參與都市更新分回房地標售滯銷多年，為避免資源閒置與浪費，該署允應深入檢討滯銷難以去化之原因，建立相關因應處理或解決機</w:t>
      </w:r>
      <w:r w:rsidRPr="000E7E9B">
        <w:rPr>
          <w:rFonts w:hint="eastAsia"/>
          <w:b/>
        </w:rPr>
        <w:lastRenderedPageBreak/>
        <w:t>制，以增進國家資產使用效益。</w:t>
      </w:r>
    </w:p>
    <w:p w:rsidR="00DF2DED" w:rsidRPr="00B828D7" w:rsidRDefault="00DF2DED" w:rsidP="0073657C">
      <w:pPr>
        <w:pStyle w:val="3"/>
      </w:pPr>
      <w:r w:rsidRPr="00B828D7">
        <w:rPr>
          <w:rFonts w:hint="eastAsia"/>
        </w:rPr>
        <w:t>據國產署復稱，為加強該署經管國有非公用土地參與都市更新分回房地標售去化</w:t>
      </w:r>
      <w:r w:rsidR="0073657C" w:rsidRPr="00B828D7">
        <w:rPr>
          <w:rFonts w:hint="eastAsia"/>
        </w:rPr>
        <w:t>，業已研議延長標售案件等標期、加強辦理行銷，復隨時掌握市場行情，遇有市價急劇波動、法令變更等影響計價事由之情事，即依規定重新查估標售底價，並適時研議以標租或其他方式積極活化利用等語。</w:t>
      </w:r>
    </w:p>
    <w:p w:rsidR="0073657C" w:rsidRPr="00B828D7" w:rsidRDefault="00DF2DED" w:rsidP="0073657C">
      <w:pPr>
        <w:pStyle w:val="3"/>
      </w:pPr>
      <w:r w:rsidRPr="00B828D7">
        <w:rPr>
          <w:rFonts w:hint="eastAsia"/>
        </w:rPr>
        <w:t>經核</w:t>
      </w:r>
      <w:r w:rsidR="0073657C" w:rsidRPr="00B828D7">
        <w:rPr>
          <w:rFonts w:hint="eastAsia"/>
        </w:rPr>
        <w:t>國有土地屬於全民共有財產，兼具引導土地使用政策及政府財源籌措等功能，為避免戕傷公有土地參與都市更新之立法原意，自應兼顧國家資產權益，加速都市更新推動效率。國產署</w:t>
      </w:r>
      <w:r w:rsidRPr="00B828D7">
        <w:rPr>
          <w:rFonts w:hint="eastAsia"/>
        </w:rPr>
        <w:t>經管國有非公用土地</w:t>
      </w:r>
      <w:r w:rsidR="0073657C" w:rsidRPr="00B828D7">
        <w:rPr>
          <w:rFonts w:hint="eastAsia"/>
        </w:rPr>
        <w:t>參與都市更新分回房地標售滯銷多年，究其原因除市場景氣難以預判之外，產品定位、用途規劃、價格評定、銷售時機、分回比例、房地規模、獲配位置及危機處理等各項因素，均環環相扣，</w:t>
      </w:r>
      <w:r w:rsidRPr="00B828D7">
        <w:rPr>
          <w:rFonts w:hint="eastAsia"/>
        </w:rPr>
        <w:t>該署</w:t>
      </w:r>
      <w:r w:rsidR="004447C3" w:rsidRPr="00B828D7">
        <w:rPr>
          <w:rFonts w:hint="eastAsia"/>
        </w:rPr>
        <w:t>自</w:t>
      </w:r>
      <w:r w:rsidRPr="00B828D7">
        <w:rPr>
          <w:rFonts w:hint="eastAsia"/>
        </w:rPr>
        <w:t>應深入檢討，建立相關因應處理或解決機制。尤其，</w:t>
      </w:r>
      <w:r w:rsidR="0073657C" w:rsidRPr="00B828D7">
        <w:rPr>
          <w:rFonts w:hint="eastAsia"/>
        </w:rPr>
        <w:t>國產署參與都市更新選配房地案件仍有百餘案，預計未來可分回建物超過八百戶，後續去化壓力更加沉重。為替國家資產爭取最高權益，兼顧分回房地之數量與價值，</w:t>
      </w:r>
      <w:r w:rsidR="004447C3" w:rsidRPr="00B828D7">
        <w:rPr>
          <w:rFonts w:hint="eastAsia"/>
        </w:rPr>
        <w:t>該署應</w:t>
      </w:r>
      <w:r w:rsidR="0073657C" w:rsidRPr="00B828D7">
        <w:rPr>
          <w:rFonts w:hint="eastAsia"/>
        </w:rPr>
        <w:t>避免再有分回房地閒置比率過高，閒置期間過長，徒增額外管理及作業支出等情事發生</w:t>
      </w:r>
      <w:r w:rsidR="004447C3" w:rsidRPr="00B828D7">
        <w:rPr>
          <w:rFonts w:hint="eastAsia"/>
        </w:rPr>
        <w:t>。</w:t>
      </w:r>
    </w:p>
    <w:p w:rsidR="00DF2DED" w:rsidRPr="0073657C" w:rsidRDefault="00DF2DED" w:rsidP="0073657C">
      <w:pPr>
        <w:pStyle w:val="3"/>
      </w:pPr>
      <w:r w:rsidRPr="0072395F">
        <w:rPr>
          <w:rFonts w:hint="eastAsia"/>
        </w:rPr>
        <w:t>綜上所述，國產署</w:t>
      </w:r>
      <w:r>
        <w:rPr>
          <w:rFonts w:hint="eastAsia"/>
        </w:rPr>
        <w:t>經管國有非公用土地</w:t>
      </w:r>
      <w:r w:rsidRPr="0072395F">
        <w:rPr>
          <w:rFonts w:hint="eastAsia"/>
        </w:rPr>
        <w:t>參與都市更新分回房地</w:t>
      </w:r>
      <w:r w:rsidR="004447C3">
        <w:rPr>
          <w:rFonts w:hint="eastAsia"/>
        </w:rPr>
        <w:t>標售滯銷多年</w:t>
      </w:r>
      <w:r w:rsidRPr="0072395F">
        <w:rPr>
          <w:rFonts w:hint="eastAsia"/>
        </w:rPr>
        <w:t>，</w:t>
      </w:r>
      <w:r w:rsidR="004447C3">
        <w:rPr>
          <w:rFonts w:hint="eastAsia"/>
        </w:rPr>
        <w:t>為避免資源</w:t>
      </w:r>
      <w:r w:rsidRPr="0072395F">
        <w:rPr>
          <w:rFonts w:hint="eastAsia"/>
        </w:rPr>
        <w:t>閒置與浪費，</w:t>
      </w:r>
      <w:r w:rsidR="004447C3">
        <w:rPr>
          <w:rFonts w:hint="eastAsia"/>
        </w:rPr>
        <w:t>該署允應</w:t>
      </w:r>
      <w:r w:rsidRPr="0072395F">
        <w:rPr>
          <w:rFonts w:hint="eastAsia"/>
        </w:rPr>
        <w:t>深入檢討滯銷難以去化之原因，建立相關因應處理或解決機制，以增進國家資產使用效益</w:t>
      </w:r>
      <w:r w:rsidR="004447C3">
        <w:rPr>
          <w:rFonts w:hint="eastAsia"/>
        </w:rPr>
        <w:t>。</w:t>
      </w:r>
    </w:p>
    <w:p w:rsidR="002C4A76" w:rsidRPr="00B828D7" w:rsidRDefault="00A671AD" w:rsidP="002C4A76">
      <w:pPr>
        <w:pStyle w:val="2"/>
        <w:spacing w:beforeLines="50" w:before="228"/>
        <w:ind w:left="1020" w:hanging="680"/>
        <w:rPr>
          <w:b/>
        </w:rPr>
      </w:pPr>
      <w:r w:rsidRPr="00B828D7">
        <w:rPr>
          <w:rFonts w:hint="eastAsia"/>
          <w:b/>
        </w:rPr>
        <w:t>國產署</w:t>
      </w:r>
      <w:r w:rsidR="00FB253B" w:rsidRPr="00B828D7">
        <w:rPr>
          <w:rFonts w:hint="eastAsia"/>
          <w:b/>
        </w:rPr>
        <w:t>經管國有非公用土地</w:t>
      </w:r>
      <w:r w:rsidRPr="00B828D7">
        <w:rPr>
          <w:rFonts w:hint="eastAsia"/>
          <w:b/>
        </w:rPr>
        <w:t>參與都市更新分回之房地，僅有11戶撥供作為社會住宅，成效有限。為使社會住宅整體規劃及建築空間配置確實合乎使用者需求，</w:t>
      </w:r>
      <w:r w:rsidR="004447C3" w:rsidRPr="00B828D7">
        <w:rPr>
          <w:rFonts w:hint="eastAsia"/>
          <w:b/>
        </w:rPr>
        <w:t>該署</w:t>
      </w:r>
      <w:r w:rsidRPr="00B828D7">
        <w:rPr>
          <w:rFonts w:hint="eastAsia"/>
          <w:b/>
        </w:rPr>
        <w:t>於都市更新事業計畫擬定階段或聯合開發規劃作業階段時，即應函知當地直轄市、縣（市）政府參與並評估是否適宜興</w:t>
      </w:r>
      <w:r w:rsidR="00FB253B" w:rsidRPr="00B828D7">
        <w:rPr>
          <w:rFonts w:hint="eastAsia"/>
          <w:b/>
        </w:rPr>
        <w:t>辦</w:t>
      </w:r>
      <w:r w:rsidRPr="00B828D7">
        <w:rPr>
          <w:rFonts w:hint="eastAsia"/>
          <w:b/>
        </w:rPr>
        <w:t>社會住宅。</w:t>
      </w:r>
    </w:p>
    <w:p w:rsidR="00E43607" w:rsidRPr="0072395F" w:rsidRDefault="00E43607" w:rsidP="002C4A76">
      <w:pPr>
        <w:pStyle w:val="3"/>
      </w:pPr>
      <w:r w:rsidRPr="0072395F">
        <w:rPr>
          <w:rFonts w:hint="eastAsia"/>
        </w:rPr>
        <w:lastRenderedPageBreak/>
        <w:t>按</w:t>
      </w:r>
      <w:r w:rsidR="00E573EB">
        <w:rPr>
          <w:rFonts w:hint="eastAsia"/>
        </w:rPr>
        <w:t>「</w:t>
      </w:r>
      <w:r w:rsidRPr="0072395F">
        <w:rPr>
          <w:rFonts w:hint="eastAsia"/>
        </w:rPr>
        <w:t>住宅法</w:t>
      </w:r>
      <w:r w:rsidR="00E573EB">
        <w:rPr>
          <w:rFonts w:hint="eastAsia"/>
        </w:rPr>
        <w:t>」</w:t>
      </w:r>
      <w:r w:rsidRPr="0072395F">
        <w:rPr>
          <w:rFonts w:hint="eastAsia"/>
        </w:rPr>
        <w:t>第3條第2款規定：「社會住宅：指由政府興辦或獎勵民間興辦，專供出租之用之住宅及其必要附屬設施。」第4條規定：「主管機關及民間興辦之社會住宅，應以直轄市、縣（市）轄區為計算範圍，提供至少百分之三十以上比率出租予經濟或社會弱勢者，另提供一定比率予未設籍於當地且在該地區就學、就業有居住需求者。前項經濟或社會弱勢者身分，指下列規定之一者：一、低收入戶或中低收入戶。二、特殊境遇家庭。三、育有未成年子女3人以上。四、於安置教養機構或寄養家庭結束安置無法返家，未滿25歲。五、65歲以上之老人。六、受家庭暴力或性侵害之受害者及其子女。七、身心障礙者。八、感染人類免疫缺乏病毒者或罹患後天免疫缺乏症候群者。九、原住民。十、災民。十一、遊民。十二、其他經主管機關認定者。」簡言之，社會住宅是指政府（直接或補助）興建或民間擁有合於居住標準的房屋，採只租不賣模式，以低於市場租金或免費出租予所得較低之家戶或特殊弱勢對象之住宅，以解決弱勢民眾的居住問題。</w:t>
      </w:r>
    </w:p>
    <w:p w:rsidR="002C4A76" w:rsidRPr="0072395F" w:rsidRDefault="003E023B" w:rsidP="002C4A76">
      <w:pPr>
        <w:pStyle w:val="3"/>
      </w:pPr>
      <w:r w:rsidRPr="0072395F">
        <w:rPr>
          <w:rFonts w:hint="eastAsia"/>
        </w:rPr>
        <w:t>查</w:t>
      </w:r>
      <w:r w:rsidR="009D397C" w:rsidRPr="0072395F">
        <w:rPr>
          <w:rFonts w:hint="eastAsia"/>
        </w:rPr>
        <w:t>立法院103年度中央總預算案審查通案決議第21項：「目前各機關國有土地參與都市更新或聯合開發後分回之房地，包括住宅、套房等，多以標售或標租方式處分。政府機關以標售方式處分，其標售價格易成為區域性指標，更易形成政府帶頭炒房之不良印象，且與平抑房價之政策相違。行政院應責成相關單位將該等分回之住宅優先作為公營出租住宅或社會住宅，以較低價格出租給青年、弱勢家庭等，並協調建置一統籌運用之機制、平台統籌規劃辦理。」</w:t>
      </w:r>
    </w:p>
    <w:p w:rsidR="009D397C" w:rsidRPr="0072395F" w:rsidRDefault="009D397C" w:rsidP="009D397C">
      <w:pPr>
        <w:pStyle w:val="3"/>
      </w:pPr>
      <w:r w:rsidRPr="0072395F">
        <w:rPr>
          <w:rFonts w:hint="eastAsia"/>
        </w:rPr>
        <w:t>依上開決議，內政部爰訂定「各機關國有土地參與都市更新或聯合開發後分回之房地優先作為公營出租住宅或社會住宅作業程序」，並以該</w:t>
      </w:r>
      <w:r w:rsidR="003E023B" w:rsidRPr="0072395F">
        <w:rPr>
          <w:rFonts w:hint="eastAsia"/>
        </w:rPr>
        <w:t>部</w:t>
      </w:r>
      <w:r w:rsidRPr="0072395F">
        <w:rPr>
          <w:rFonts w:hint="eastAsia"/>
        </w:rPr>
        <w:t>103年6月24日台內</w:t>
      </w:r>
      <w:r w:rsidRPr="0072395F">
        <w:rPr>
          <w:rFonts w:hint="eastAsia"/>
        </w:rPr>
        <w:lastRenderedPageBreak/>
        <w:t>營字第1030806742號函送中央各部會及各直轄市、縣</w:t>
      </w:r>
      <w:r w:rsidRPr="0072395F">
        <w:rPr>
          <w:rFonts w:hAnsi="標楷體" w:hint="eastAsia"/>
        </w:rPr>
        <w:t>（</w:t>
      </w:r>
      <w:r w:rsidRPr="0072395F">
        <w:rPr>
          <w:rFonts w:hint="eastAsia"/>
        </w:rPr>
        <w:t>市</w:t>
      </w:r>
      <w:r w:rsidRPr="0072395F">
        <w:rPr>
          <w:rFonts w:ascii="新細明體" w:eastAsia="新細明體" w:hAnsi="新細明體" w:hint="eastAsia"/>
        </w:rPr>
        <w:t>）</w:t>
      </w:r>
      <w:r w:rsidRPr="0072395F">
        <w:rPr>
          <w:rFonts w:hint="eastAsia"/>
        </w:rPr>
        <w:t>政府，請渠等惠予配合辦理。辦理程序簡要說明如下：</w:t>
      </w:r>
    </w:p>
    <w:p w:rsidR="009D397C" w:rsidRPr="0072395F" w:rsidRDefault="009D397C" w:rsidP="009D397C">
      <w:pPr>
        <w:pStyle w:val="4"/>
      </w:pPr>
      <w:r w:rsidRPr="0072395F">
        <w:rPr>
          <w:rFonts w:hint="eastAsia"/>
        </w:rPr>
        <w:t>各機關國有土地參與都市更新或聯合開發後分回之國有非公用房地，由國產署徵詢各直轄市、縣（市）政府使用需求，並副知內政部營建署提供必要之協助。</w:t>
      </w:r>
    </w:p>
    <w:p w:rsidR="009D397C" w:rsidRPr="0072395F" w:rsidRDefault="009D397C" w:rsidP="009D397C">
      <w:pPr>
        <w:pStyle w:val="4"/>
      </w:pPr>
      <w:r w:rsidRPr="0072395F">
        <w:rPr>
          <w:rFonts w:hint="eastAsia"/>
        </w:rPr>
        <w:t>各直轄市、縣（市）政府評估是否有需求。如有需求，由各直轄市、縣（市）政府洽國產署申請撥用或讓售；如無需求，亦</w:t>
      </w:r>
      <w:r w:rsidR="007A2A97" w:rsidRPr="0072395F">
        <w:rPr>
          <w:rFonts w:hint="eastAsia"/>
        </w:rPr>
        <w:t>須</w:t>
      </w:r>
      <w:r w:rsidRPr="0072395F">
        <w:rPr>
          <w:rFonts w:hint="eastAsia"/>
        </w:rPr>
        <w:t>函復國產署。</w:t>
      </w:r>
    </w:p>
    <w:p w:rsidR="009D397C" w:rsidRPr="0072395F" w:rsidRDefault="009D397C" w:rsidP="009D397C">
      <w:pPr>
        <w:pStyle w:val="4"/>
      </w:pPr>
      <w:r w:rsidRPr="0072395F">
        <w:rPr>
          <w:rFonts w:hint="eastAsia"/>
        </w:rPr>
        <w:t>國產署洽內政部營建署確認是否符合住宅法規定社會住宅性質。如符合住宅法規定社會住宅性質，由國產署通知各直轄市、縣（市）政府辦理撥用；如不符合住宅法規定之社會住宅性質，由國產署通知各直轄市、縣（市）政府辦理讓售。</w:t>
      </w:r>
    </w:p>
    <w:p w:rsidR="009D397C" w:rsidRPr="0072395F" w:rsidRDefault="009D397C" w:rsidP="009D397C">
      <w:pPr>
        <w:pStyle w:val="4"/>
      </w:pPr>
      <w:r w:rsidRPr="0072395F">
        <w:rPr>
          <w:rFonts w:hint="eastAsia"/>
        </w:rPr>
        <w:t>各直轄市、縣（市）政府洽國產署申請撥用或讓售後，由各直轄市、縣（市）政府辦理營運管理。</w:t>
      </w:r>
    </w:p>
    <w:p w:rsidR="009D397C" w:rsidRPr="0072395F" w:rsidRDefault="009D397C" w:rsidP="009D397C">
      <w:pPr>
        <w:pStyle w:val="3"/>
      </w:pPr>
      <w:r w:rsidRPr="0072395F">
        <w:rPr>
          <w:rFonts w:hint="eastAsia"/>
        </w:rPr>
        <w:t>經查，截至106年12月底，國產署</w:t>
      </w:r>
      <w:r w:rsidR="00FB253B">
        <w:rPr>
          <w:rFonts w:hint="eastAsia"/>
        </w:rPr>
        <w:t>經管國有非公用土地</w:t>
      </w:r>
      <w:r w:rsidRPr="0072395F">
        <w:rPr>
          <w:rFonts w:hint="eastAsia"/>
        </w:rPr>
        <w:t>參與都市更新分回之177戶房地中，經臺北市、新北市政府評估有作社會住宅</w:t>
      </w:r>
      <w:r w:rsidR="007A2A97" w:rsidRPr="0072395F">
        <w:rPr>
          <w:rFonts w:hint="eastAsia"/>
        </w:rPr>
        <w:t>需求</w:t>
      </w:r>
      <w:r w:rsidR="00FB253B">
        <w:rPr>
          <w:rFonts w:hint="eastAsia"/>
        </w:rPr>
        <w:t>者</w:t>
      </w:r>
      <w:r w:rsidRPr="0072395F">
        <w:rPr>
          <w:rFonts w:hint="eastAsia"/>
        </w:rPr>
        <w:t>，</w:t>
      </w:r>
      <w:r w:rsidR="00FB253B" w:rsidRPr="0072395F">
        <w:rPr>
          <w:rFonts w:hint="eastAsia"/>
        </w:rPr>
        <w:t>計有11戶</w:t>
      </w:r>
      <w:r w:rsidR="00FB253B">
        <w:rPr>
          <w:rFonts w:hint="eastAsia"/>
        </w:rPr>
        <w:t>，</w:t>
      </w:r>
      <w:r w:rsidRPr="0072395F">
        <w:rPr>
          <w:rFonts w:hint="eastAsia"/>
        </w:rPr>
        <w:t>爰撥用予渠等營運管理。</w:t>
      </w:r>
      <w:r w:rsidR="009C6D4B" w:rsidRPr="0072395F">
        <w:rPr>
          <w:rFonts w:hint="eastAsia"/>
        </w:rPr>
        <w:t>其中，臺北市部分</w:t>
      </w:r>
      <w:r w:rsidR="007A2A97" w:rsidRPr="0072395F">
        <w:rPr>
          <w:rFonts w:hint="eastAsia"/>
        </w:rPr>
        <w:t>計有3戶</w:t>
      </w:r>
      <w:r w:rsidR="009C6D4B" w:rsidRPr="0072395F">
        <w:rPr>
          <w:rFonts w:hint="eastAsia"/>
        </w:rPr>
        <w:t>，</w:t>
      </w:r>
      <w:r w:rsidR="003E023B" w:rsidRPr="0072395F">
        <w:rPr>
          <w:rFonts w:hint="eastAsia"/>
        </w:rPr>
        <w:t>因</w:t>
      </w:r>
      <w:r w:rsidR="007A2A97" w:rsidRPr="0072395F">
        <w:rPr>
          <w:rFonts w:hint="eastAsia"/>
        </w:rPr>
        <w:t>該3戶</w:t>
      </w:r>
      <w:r w:rsidR="009C6D4B" w:rsidRPr="0072395F">
        <w:rPr>
          <w:rFonts w:hAnsi="標楷體" w:hint="eastAsia"/>
        </w:rPr>
        <w:t>建物與該府管有39戶景文公營住宅位處同一社區基地，因此該府</w:t>
      </w:r>
      <w:r w:rsidR="003E023B" w:rsidRPr="0072395F">
        <w:rPr>
          <w:rFonts w:hAnsi="標楷體" w:hint="eastAsia"/>
        </w:rPr>
        <w:t>預計供景文公營住宅候補戶遞補進駐，</w:t>
      </w:r>
      <w:r w:rsidR="009C6D4B" w:rsidRPr="0072395F">
        <w:rPr>
          <w:rFonts w:hAnsi="標楷體" w:hint="eastAsia"/>
        </w:rPr>
        <w:t>刻正辦理建物管線檢修、裝潢及採買家具等事宜；新北市部分</w:t>
      </w:r>
      <w:r w:rsidR="007A2A97" w:rsidRPr="0072395F">
        <w:rPr>
          <w:rFonts w:hAnsi="標楷體" w:hint="eastAsia"/>
        </w:rPr>
        <w:t>則有8戶（其中1戶尚在申請移撥中）</w:t>
      </w:r>
      <w:r w:rsidR="009C6D4B" w:rsidRPr="0072395F">
        <w:rPr>
          <w:rFonts w:hAnsi="標楷體" w:hint="eastAsia"/>
        </w:rPr>
        <w:t>，新北市政府依</w:t>
      </w:r>
      <w:r w:rsidR="009C6D4B" w:rsidRPr="0072395F">
        <w:rPr>
          <w:rFonts w:hint="eastAsia"/>
        </w:rPr>
        <w:t>社會福利實務工作之需求，評估上述建物之地點及空間適合將社會福利服務方案與社會住宅相結合，</w:t>
      </w:r>
      <w:r w:rsidR="003E023B" w:rsidRPr="0072395F">
        <w:rPr>
          <w:rFonts w:hint="eastAsia"/>
        </w:rPr>
        <w:t>因此提供做為類家庭安心照顧（3戶，</w:t>
      </w:r>
      <w:r w:rsidR="00FB253B">
        <w:rPr>
          <w:rFonts w:hint="eastAsia"/>
        </w:rPr>
        <w:t>現</w:t>
      </w:r>
      <w:r w:rsidR="003E023B" w:rsidRPr="0072395F">
        <w:rPr>
          <w:rFonts w:hint="eastAsia"/>
        </w:rPr>
        <w:t>安置8人）、少女自立宿舍（1戶，</w:t>
      </w:r>
      <w:r w:rsidR="00FB253B">
        <w:rPr>
          <w:rFonts w:hint="eastAsia"/>
        </w:rPr>
        <w:t>現</w:t>
      </w:r>
      <w:r w:rsidR="00D51C01" w:rsidRPr="0072395F">
        <w:rPr>
          <w:rFonts w:hint="eastAsia"/>
        </w:rPr>
        <w:t>提供</w:t>
      </w:r>
      <w:r w:rsidR="003E023B" w:rsidRPr="0072395F">
        <w:rPr>
          <w:rFonts w:hint="eastAsia"/>
        </w:rPr>
        <w:t>3名少女入住）、婦幼中途之家等使用（3戶，</w:t>
      </w:r>
      <w:r w:rsidR="00FB253B">
        <w:rPr>
          <w:rFonts w:hint="eastAsia"/>
        </w:rPr>
        <w:t>現</w:t>
      </w:r>
      <w:r w:rsidR="003E023B" w:rsidRPr="0072395F">
        <w:rPr>
          <w:rFonts w:hint="eastAsia"/>
        </w:rPr>
        <w:t>供5個家庭，4名婦女、7名小孩入住）</w:t>
      </w:r>
      <w:r w:rsidR="009C6D4B" w:rsidRPr="0072395F">
        <w:rPr>
          <w:rFonts w:hint="eastAsia"/>
        </w:rPr>
        <w:t>。又，該社區中，另有1戶為該府財政局之財產，</w:t>
      </w:r>
      <w:r w:rsidR="009C6D4B" w:rsidRPr="0072395F">
        <w:rPr>
          <w:rFonts w:hint="eastAsia"/>
        </w:rPr>
        <w:lastRenderedPageBreak/>
        <w:t>亦於上開</w:t>
      </w:r>
      <w:r w:rsidR="003A7C0E" w:rsidRPr="0072395F">
        <w:rPr>
          <w:rFonts w:hint="eastAsia"/>
        </w:rPr>
        <w:t>房地</w:t>
      </w:r>
      <w:r w:rsidR="009C6D4B" w:rsidRPr="0072395F">
        <w:rPr>
          <w:rFonts w:hint="eastAsia"/>
        </w:rPr>
        <w:t>移撥時一併移撥</w:t>
      </w:r>
      <w:r w:rsidR="003A7C0E" w:rsidRPr="0072395F">
        <w:rPr>
          <w:rFonts w:hint="eastAsia"/>
        </w:rPr>
        <w:t>該府</w:t>
      </w:r>
      <w:r w:rsidR="009C6D4B" w:rsidRPr="0072395F">
        <w:rPr>
          <w:rFonts w:hint="eastAsia"/>
        </w:rPr>
        <w:t>社會局使用，擬做為提供類家庭方案晤談服務、工作人員教育訓練及安置兒童緊急隔離場域(如患傳染疾病時)之用。</w:t>
      </w:r>
    </w:p>
    <w:p w:rsidR="007A2A97" w:rsidRPr="0072395F" w:rsidRDefault="00E43607" w:rsidP="00024FA3">
      <w:pPr>
        <w:pStyle w:val="3"/>
      </w:pPr>
      <w:r w:rsidRPr="0072395F">
        <w:rPr>
          <w:rFonts w:hint="eastAsia"/>
        </w:rPr>
        <w:t>惟，</w:t>
      </w:r>
      <w:r w:rsidR="00285A1E" w:rsidRPr="0072395F">
        <w:rPr>
          <w:rFonts w:hint="eastAsia"/>
        </w:rPr>
        <w:t>國產署</w:t>
      </w:r>
      <w:r w:rsidR="00FB253B">
        <w:rPr>
          <w:rFonts w:hint="eastAsia"/>
        </w:rPr>
        <w:t>經管國有非公用土地</w:t>
      </w:r>
      <w:r w:rsidR="00285A1E" w:rsidRPr="0072395F">
        <w:rPr>
          <w:rFonts w:hint="eastAsia"/>
        </w:rPr>
        <w:t>參與都市更新分回房地177</w:t>
      </w:r>
      <w:r w:rsidR="00FB253B">
        <w:rPr>
          <w:rFonts w:hint="eastAsia"/>
        </w:rPr>
        <w:t>戶中，現</w:t>
      </w:r>
      <w:r w:rsidR="00285A1E" w:rsidRPr="0072395F">
        <w:rPr>
          <w:rFonts w:hint="eastAsia"/>
        </w:rPr>
        <w:t>僅有11戶</w:t>
      </w:r>
      <w:r w:rsidRPr="0072395F">
        <w:rPr>
          <w:rFonts w:hint="eastAsia"/>
        </w:rPr>
        <w:t>提供</w:t>
      </w:r>
      <w:r w:rsidR="00285A1E" w:rsidRPr="0072395F">
        <w:rPr>
          <w:rFonts w:hint="eastAsia"/>
        </w:rPr>
        <w:t>作為社會住宅，成效有限。</w:t>
      </w:r>
      <w:r w:rsidR="009655F9" w:rsidRPr="0072395F">
        <w:rPr>
          <w:rFonts w:hint="eastAsia"/>
        </w:rPr>
        <w:t>尤</w:t>
      </w:r>
      <w:r w:rsidR="009655F9" w:rsidRPr="00B828D7">
        <w:rPr>
          <w:rFonts w:hint="eastAsia"/>
        </w:rPr>
        <w:t>其</w:t>
      </w:r>
      <w:r w:rsidR="00285A1E" w:rsidRPr="00B828D7">
        <w:rPr>
          <w:rFonts w:hint="eastAsia"/>
        </w:rPr>
        <w:t>，</w:t>
      </w:r>
      <w:r w:rsidR="004447C3" w:rsidRPr="00B828D7">
        <w:rPr>
          <w:rFonts w:hint="eastAsia"/>
        </w:rPr>
        <w:t>該</w:t>
      </w:r>
      <w:r w:rsidR="00285A1E" w:rsidRPr="00B828D7">
        <w:rPr>
          <w:rFonts w:hint="eastAsia"/>
        </w:rPr>
        <w:t>署參與之都市更新案主要集中於臺北市與新北市，部分更位於</w:t>
      </w:r>
      <w:r w:rsidR="009655F9" w:rsidRPr="00B828D7">
        <w:rPr>
          <w:rFonts w:hint="eastAsia"/>
        </w:rPr>
        <w:t>市中心</w:t>
      </w:r>
      <w:r w:rsidR="00285A1E" w:rsidRPr="00B828D7">
        <w:rPr>
          <w:rFonts w:hint="eastAsia"/>
        </w:rPr>
        <w:t>的精華地段，</w:t>
      </w:r>
      <w:r w:rsidR="009655F9" w:rsidRPr="00B828D7">
        <w:rPr>
          <w:rFonts w:hint="eastAsia"/>
        </w:rPr>
        <w:t>若</w:t>
      </w:r>
      <w:r w:rsidR="004447C3" w:rsidRPr="00B828D7">
        <w:rPr>
          <w:rFonts w:hint="eastAsia"/>
        </w:rPr>
        <w:t>迨至</w:t>
      </w:r>
      <w:r w:rsidR="009655F9" w:rsidRPr="00B828D7">
        <w:rPr>
          <w:rFonts w:hint="eastAsia"/>
        </w:rPr>
        <w:t>房地</w:t>
      </w:r>
      <w:r w:rsidR="004447C3" w:rsidRPr="00B828D7">
        <w:rPr>
          <w:rFonts w:hint="eastAsia"/>
        </w:rPr>
        <w:t>配回</w:t>
      </w:r>
      <w:r w:rsidR="009655F9" w:rsidRPr="00B828D7">
        <w:rPr>
          <w:rFonts w:hint="eastAsia"/>
        </w:rPr>
        <w:t>後</w:t>
      </w:r>
      <w:r w:rsidR="00FB253B" w:rsidRPr="00B828D7">
        <w:rPr>
          <w:rFonts w:hint="eastAsia"/>
        </w:rPr>
        <w:t>，</w:t>
      </w:r>
      <w:r w:rsidR="009655F9" w:rsidRPr="0072395F">
        <w:rPr>
          <w:rFonts w:hint="eastAsia"/>
        </w:rPr>
        <w:t>始洽詢當地直轄市、縣（市）政府是否有使用需求，因</w:t>
      </w:r>
      <w:r w:rsidR="00285A1E" w:rsidRPr="0072395F">
        <w:rPr>
          <w:rFonts w:hint="eastAsia"/>
        </w:rPr>
        <w:t>其房地單價</w:t>
      </w:r>
      <w:r w:rsidRPr="0072395F">
        <w:rPr>
          <w:rFonts w:hint="eastAsia"/>
        </w:rPr>
        <w:t>、管理費用本就偏高，如果都市更新分回房地規劃面積過大，將導致單戶租金</w:t>
      </w:r>
      <w:r w:rsidR="00E91BE6" w:rsidRPr="0072395F">
        <w:rPr>
          <w:rFonts w:hint="eastAsia"/>
        </w:rPr>
        <w:t>總價</w:t>
      </w:r>
      <w:r w:rsidRPr="0072395F">
        <w:rPr>
          <w:rFonts w:hint="eastAsia"/>
        </w:rPr>
        <w:t>逾</w:t>
      </w:r>
      <w:r w:rsidR="00E91BE6" w:rsidRPr="0072395F">
        <w:rPr>
          <w:rFonts w:hint="eastAsia"/>
        </w:rPr>
        <w:t>越承租對象負擔能力，</w:t>
      </w:r>
      <w:r w:rsidR="009655F9" w:rsidRPr="0072395F">
        <w:rPr>
          <w:rFonts w:hint="eastAsia"/>
        </w:rPr>
        <w:t>或是戶數、房型、坪型不符需求，</w:t>
      </w:r>
      <w:r w:rsidR="00E91BE6" w:rsidRPr="0072395F">
        <w:rPr>
          <w:rFonts w:hint="eastAsia"/>
        </w:rPr>
        <w:t>對於需要社會住宅之經濟或社會弱勢者而言，不僅無濟於事亦不符實益。為使社會住宅整體規劃及建築空間配置</w:t>
      </w:r>
      <w:r w:rsidR="009655F9" w:rsidRPr="0072395F">
        <w:rPr>
          <w:rFonts w:hint="eastAsia"/>
        </w:rPr>
        <w:t>確實</w:t>
      </w:r>
      <w:r w:rsidR="00E91BE6" w:rsidRPr="0072395F">
        <w:rPr>
          <w:rFonts w:hint="eastAsia"/>
        </w:rPr>
        <w:t>合乎</w:t>
      </w:r>
      <w:r w:rsidR="009655F9" w:rsidRPr="0072395F">
        <w:rPr>
          <w:rFonts w:hint="eastAsia"/>
        </w:rPr>
        <w:t>使用者</w:t>
      </w:r>
      <w:r w:rsidR="00E91BE6" w:rsidRPr="0072395F">
        <w:rPr>
          <w:rFonts w:hint="eastAsia"/>
        </w:rPr>
        <w:t>需求，國有土地管理機關</w:t>
      </w:r>
      <w:r w:rsidR="00DB019A" w:rsidRPr="0072395F">
        <w:rPr>
          <w:rFonts w:hint="eastAsia"/>
        </w:rPr>
        <w:t>於</w:t>
      </w:r>
      <w:r w:rsidR="00E91BE6" w:rsidRPr="0072395F">
        <w:rPr>
          <w:rFonts w:hint="eastAsia"/>
        </w:rPr>
        <w:t>參與都市更新事業計畫擬定階段或聯合開發規劃作業階段時，即應函知當地直轄市、縣（市）政府參與並評估是否適宜興</w:t>
      </w:r>
      <w:r w:rsidR="00FB253B">
        <w:rPr>
          <w:rFonts w:hint="eastAsia"/>
        </w:rPr>
        <w:t>辦</w:t>
      </w:r>
      <w:r w:rsidR="00E91BE6" w:rsidRPr="0072395F">
        <w:rPr>
          <w:rFonts w:hint="eastAsia"/>
        </w:rPr>
        <w:t>社會住宅。</w:t>
      </w:r>
    </w:p>
    <w:p w:rsidR="00E91BE6" w:rsidRPr="0072395F" w:rsidRDefault="009655F9" w:rsidP="00024FA3">
      <w:pPr>
        <w:pStyle w:val="3"/>
      </w:pPr>
      <w:r w:rsidRPr="0072395F">
        <w:rPr>
          <w:rFonts w:hint="eastAsia"/>
        </w:rPr>
        <w:t>綜上所述，</w:t>
      </w:r>
      <w:r w:rsidR="00A671AD" w:rsidRPr="0072395F">
        <w:rPr>
          <w:rFonts w:hint="eastAsia"/>
        </w:rPr>
        <w:t>國產署</w:t>
      </w:r>
      <w:r w:rsidR="00FB253B">
        <w:rPr>
          <w:rFonts w:hint="eastAsia"/>
        </w:rPr>
        <w:t>經管國有非公用土地</w:t>
      </w:r>
      <w:r w:rsidR="00A671AD" w:rsidRPr="0072395F">
        <w:rPr>
          <w:rFonts w:hint="eastAsia"/>
        </w:rPr>
        <w:t>參與都市更新分回之房地，</w:t>
      </w:r>
      <w:r w:rsidR="00FB253B">
        <w:rPr>
          <w:rFonts w:hint="eastAsia"/>
        </w:rPr>
        <w:t>現</w:t>
      </w:r>
      <w:r w:rsidR="00A671AD" w:rsidRPr="0072395F">
        <w:rPr>
          <w:rFonts w:hint="eastAsia"/>
        </w:rPr>
        <w:t>僅有11戶撥供作為社會住宅，成效有限。為使社會住宅整體規劃及建築空間配置確實合乎使用者需求，於都市更新事業計畫擬定階段或聯合開發規劃作業階段時，即應函知當地直轄市、縣（市）政府參與並評估是否適宜興</w:t>
      </w:r>
      <w:r w:rsidR="00FB253B">
        <w:rPr>
          <w:rFonts w:hint="eastAsia"/>
        </w:rPr>
        <w:t>辦</w:t>
      </w:r>
      <w:r w:rsidR="00A671AD" w:rsidRPr="0072395F">
        <w:rPr>
          <w:rFonts w:hint="eastAsia"/>
        </w:rPr>
        <w:t>社會住宅。</w:t>
      </w:r>
    </w:p>
    <w:p w:rsidR="002C4A76" w:rsidRPr="00FB253B" w:rsidRDefault="0072395F" w:rsidP="002C4A76">
      <w:pPr>
        <w:pStyle w:val="2"/>
        <w:spacing w:beforeLines="50" w:before="228"/>
        <w:ind w:left="1020" w:hanging="680"/>
        <w:rPr>
          <w:b/>
        </w:rPr>
      </w:pPr>
      <w:r w:rsidRPr="00FB253B">
        <w:rPr>
          <w:rFonts w:hint="eastAsia"/>
          <w:b/>
        </w:rPr>
        <w:t>國產署</w:t>
      </w:r>
      <w:r w:rsidR="00FB253B" w:rsidRPr="00FB253B">
        <w:rPr>
          <w:rFonts w:hint="eastAsia"/>
          <w:b/>
        </w:rPr>
        <w:t>經管國有非公用</w:t>
      </w:r>
      <w:r w:rsidR="00FB253B">
        <w:rPr>
          <w:rFonts w:hint="eastAsia"/>
          <w:b/>
        </w:rPr>
        <w:t>土地</w:t>
      </w:r>
      <w:r w:rsidRPr="00FB253B">
        <w:rPr>
          <w:rFonts w:hint="eastAsia"/>
          <w:b/>
        </w:rPr>
        <w:t>參與都市更新已陸續分回大量房地，預計未來還有近百案</w:t>
      </w:r>
      <w:r w:rsidR="001A4B6D">
        <w:rPr>
          <w:rFonts w:hint="eastAsia"/>
          <w:b/>
        </w:rPr>
        <w:t>，將分回</w:t>
      </w:r>
      <w:r w:rsidRPr="00FB253B">
        <w:rPr>
          <w:rFonts w:hint="eastAsia"/>
          <w:b/>
        </w:rPr>
        <w:t>八百餘戶，爰希冀俟「國家住宅及都市更新中心」成立後，</w:t>
      </w:r>
      <w:r w:rsidR="001A4B6D">
        <w:rPr>
          <w:rFonts w:hint="eastAsia"/>
          <w:b/>
        </w:rPr>
        <w:t>積極</w:t>
      </w:r>
      <w:r w:rsidRPr="00FB253B">
        <w:rPr>
          <w:rFonts w:hint="eastAsia"/>
          <w:b/>
        </w:rPr>
        <w:t>與該中心洽談合作都市更新等相關事宜。</w:t>
      </w:r>
      <w:r w:rsidR="001A4B6D">
        <w:rPr>
          <w:rFonts w:hint="eastAsia"/>
          <w:b/>
        </w:rPr>
        <w:t>惟涉及該中心之法定業務範圍、適法性與可行性等相關事宜，</w:t>
      </w:r>
      <w:r w:rsidRPr="00FB253B">
        <w:rPr>
          <w:rFonts w:hint="eastAsia"/>
          <w:b/>
        </w:rPr>
        <w:t>國產署允宜</w:t>
      </w:r>
      <w:r w:rsidR="001A4B6D">
        <w:rPr>
          <w:rFonts w:hint="eastAsia"/>
          <w:b/>
        </w:rPr>
        <w:t>審慎</w:t>
      </w:r>
      <w:r w:rsidRPr="00FB253B">
        <w:rPr>
          <w:rFonts w:hint="eastAsia"/>
          <w:b/>
        </w:rPr>
        <w:t>評估。</w:t>
      </w:r>
    </w:p>
    <w:p w:rsidR="001A4B6D" w:rsidRDefault="001A4B6D" w:rsidP="002C4A76">
      <w:pPr>
        <w:pStyle w:val="3"/>
      </w:pPr>
      <w:r w:rsidRPr="0072395F">
        <w:rPr>
          <w:rFonts w:hint="eastAsia"/>
        </w:rPr>
        <w:t>經查，為深化落實居住正義、加速建立永續都市，內政部將創設「國家住宅及都市更新中心」，透過專業的</w:t>
      </w:r>
      <w:r w:rsidRPr="0072395F">
        <w:rPr>
          <w:rFonts w:hint="eastAsia"/>
        </w:rPr>
        <w:lastRenderedPageBreak/>
        <w:t>公法人組織，支援政府推動相關業務，解決目前政府在推動住宅及都更政策時面對人力不足、資源缺乏的困境。經由行政法人與民間專業單位、非營利組職的跨域合作，加強資源整合、擴大發展規模，提升政策推動效益；同時引入民間監督力量，確保住宅及都更政策執行的必要性及公益性。又，「國家住宅及都市更新中心設置條例」業經立法院107年1月30日三讀通過，嗣於107年2月14日公布全文34條，內政部刻正辦理相關籌備工作中。</w:t>
      </w:r>
    </w:p>
    <w:p w:rsidR="00F61B32" w:rsidRPr="0072395F" w:rsidRDefault="007A6182" w:rsidP="0072395F">
      <w:pPr>
        <w:pStyle w:val="3"/>
      </w:pPr>
      <w:r w:rsidRPr="0072395F">
        <w:rPr>
          <w:rFonts w:hint="eastAsia"/>
        </w:rPr>
        <w:t>據財政部復稱，都市更新係當前國家重要政策，國有土地在都市更新占有重要地位，當扮演支持與助力角色；「都更條例」第27條第1項規定，都市更新事業計畫範圍內公有土地及建築物，應一律參加都市更新；國產署經管之國有非公用土地依上開規定參與都市更新，將依活化利用方式積極去化。</w:t>
      </w:r>
      <w:r w:rsidR="00DB019A" w:rsidRPr="0072395F">
        <w:rPr>
          <w:rFonts w:hint="eastAsia"/>
        </w:rPr>
        <w:t>惟</w:t>
      </w:r>
      <w:r w:rsidRPr="0072395F">
        <w:rPr>
          <w:rFonts w:hint="eastAsia"/>
        </w:rPr>
        <w:t>近年來，國產署</w:t>
      </w:r>
      <w:r w:rsidR="001A4B6D">
        <w:rPr>
          <w:rFonts w:hint="eastAsia"/>
        </w:rPr>
        <w:t>經管國有非公用土地</w:t>
      </w:r>
      <w:r w:rsidRPr="0072395F">
        <w:rPr>
          <w:rFonts w:hint="eastAsia"/>
        </w:rPr>
        <w:t>參與都市更新已陸續分回大量房地，預計未來</w:t>
      </w:r>
      <w:r w:rsidR="00F61B32" w:rsidRPr="0072395F">
        <w:rPr>
          <w:rFonts w:hint="eastAsia"/>
        </w:rPr>
        <w:t>還有近百案</w:t>
      </w:r>
      <w:r w:rsidR="001A4B6D">
        <w:rPr>
          <w:rFonts w:hint="eastAsia"/>
        </w:rPr>
        <w:t>，將分回</w:t>
      </w:r>
      <w:r w:rsidR="00F61B32" w:rsidRPr="0072395F">
        <w:rPr>
          <w:rFonts w:hint="eastAsia"/>
        </w:rPr>
        <w:t>八百餘戶，經管人力、經費恐難負擔，</w:t>
      </w:r>
      <w:r w:rsidR="001A4B6D">
        <w:rPr>
          <w:rFonts w:hint="eastAsia"/>
        </w:rPr>
        <w:t>該</w:t>
      </w:r>
      <w:r w:rsidR="00F61B32" w:rsidRPr="0072395F">
        <w:rPr>
          <w:rFonts w:hint="eastAsia"/>
        </w:rPr>
        <w:t>署爰進一步表示，俟「國家住宅及都市更新中心」成立後，將積極與該中心洽談合作都市更新等相關事宜。</w:t>
      </w:r>
      <w:r w:rsidR="001A4B6D">
        <w:rPr>
          <w:rFonts w:hint="eastAsia"/>
        </w:rPr>
        <w:t>惟因涉及該中心之法定業務範圍、適法性與可行性等相關事宜，該</w:t>
      </w:r>
      <w:r w:rsidR="00A74A68" w:rsidRPr="0072395F">
        <w:rPr>
          <w:rFonts w:hint="eastAsia"/>
        </w:rPr>
        <w:t>署</w:t>
      </w:r>
      <w:r w:rsidR="001A4B6D">
        <w:rPr>
          <w:rFonts w:hint="eastAsia"/>
        </w:rPr>
        <w:t>經管國有非公用土地</w:t>
      </w:r>
      <w:r w:rsidR="00A74A68" w:rsidRPr="0072395F">
        <w:rPr>
          <w:rFonts w:hint="eastAsia"/>
        </w:rPr>
        <w:t>參與都市更新分回房地</w:t>
      </w:r>
      <w:r w:rsidR="0072395F" w:rsidRPr="0072395F">
        <w:rPr>
          <w:rFonts w:hint="eastAsia"/>
        </w:rPr>
        <w:t>之處理，</w:t>
      </w:r>
      <w:r w:rsidR="00A74A68" w:rsidRPr="0072395F">
        <w:rPr>
          <w:rFonts w:hint="eastAsia"/>
        </w:rPr>
        <w:t>如確有委外</w:t>
      </w:r>
      <w:r w:rsidR="0072395F" w:rsidRPr="0072395F">
        <w:rPr>
          <w:rFonts w:hint="eastAsia"/>
        </w:rPr>
        <w:t>辦理</w:t>
      </w:r>
      <w:r w:rsidR="00A74A68" w:rsidRPr="0072395F">
        <w:rPr>
          <w:rFonts w:hint="eastAsia"/>
        </w:rPr>
        <w:t>之需求，允宜</w:t>
      </w:r>
      <w:r w:rsidR="001A4B6D">
        <w:rPr>
          <w:rFonts w:hint="eastAsia"/>
        </w:rPr>
        <w:t>審慎</w:t>
      </w:r>
      <w:r w:rsidR="0072395F" w:rsidRPr="0072395F">
        <w:rPr>
          <w:rFonts w:hint="eastAsia"/>
        </w:rPr>
        <w:t>評估</w:t>
      </w:r>
      <w:r w:rsidR="00A74A68" w:rsidRPr="0072395F">
        <w:rPr>
          <w:rFonts w:hint="eastAsia"/>
        </w:rPr>
        <w:t>。</w:t>
      </w:r>
    </w:p>
    <w:p w:rsidR="00F61B32" w:rsidRPr="0072395F" w:rsidRDefault="00F61B32" w:rsidP="00DB019A">
      <w:pPr>
        <w:pStyle w:val="3"/>
        <w:numPr>
          <w:ilvl w:val="0"/>
          <w:numId w:val="0"/>
        </w:numPr>
        <w:ind w:left="1361"/>
      </w:pPr>
    </w:p>
    <w:p w:rsidR="002C4A76" w:rsidRPr="0072395F" w:rsidRDefault="002C4A76">
      <w:pPr>
        <w:widowControl/>
        <w:overflowPunct/>
        <w:autoSpaceDE/>
        <w:autoSpaceDN/>
        <w:jc w:val="left"/>
        <w:rPr>
          <w:rFonts w:hAnsi="Arial"/>
          <w:bCs/>
          <w:kern w:val="32"/>
          <w:szCs w:val="52"/>
        </w:rPr>
      </w:pPr>
      <w:r w:rsidRPr="0072395F">
        <w:br w:type="page"/>
      </w:r>
    </w:p>
    <w:p w:rsidR="002C4A76" w:rsidRPr="0072395F" w:rsidRDefault="002C4A76" w:rsidP="002C4A76">
      <w:pPr>
        <w:pStyle w:val="1"/>
      </w:pPr>
      <w:r w:rsidRPr="0072395F">
        <w:rPr>
          <w:rFonts w:hint="eastAsia"/>
        </w:rPr>
        <w:lastRenderedPageBreak/>
        <w:t>處理辦法：</w:t>
      </w:r>
    </w:p>
    <w:p w:rsidR="006817A7" w:rsidRPr="006F23EE" w:rsidRDefault="006817A7" w:rsidP="006817A7">
      <w:pPr>
        <w:pStyle w:val="2"/>
        <w:numPr>
          <w:ilvl w:val="1"/>
          <w:numId w:val="1"/>
        </w:numPr>
        <w:ind w:left="1020" w:hanging="680"/>
        <w:rPr>
          <w:rFonts w:hAnsi="標楷體"/>
        </w:rPr>
      </w:pPr>
      <w:bookmarkStart w:id="25" w:name="_Toc2400396"/>
      <w:bookmarkStart w:id="26" w:name="_Toc4316190"/>
      <w:bookmarkStart w:id="27" w:name="_Toc4473331"/>
      <w:bookmarkStart w:id="28" w:name="_Toc69556898"/>
      <w:bookmarkStart w:id="29" w:name="_Toc69556947"/>
      <w:bookmarkStart w:id="30" w:name="_Toc69609821"/>
      <w:bookmarkStart w:id="31" w:name="_Toc70241817"/>
      <w:bookmarkStart w:id="32" w:name="_Toc70242206"/>
      <w:bookmarkStart w:id="33" w:name="_Toc524902735"/>
      <w:bookmarkStart w:id="34" w:name="_Toc525066149"/>
      <w:bookmarkStart w:id="35" w:name="_Toc525070840"/>
      <w:bookmarkStart w:id="36" w:name="_Toc525938380"/>
      <w:bookmarkStart w:id="37" w:name="_Toc525939228"/>
      <w:bookmarkStart w:id="38" w:name="_Toc525939733"/>
      <w:bookmarkStart w:id="39" w:name="_Toc529218273"/>
      <w:bookmarkStart w:id="40" w:name="_Toc529222690"/>
      <w:bookmarkStart w:id="41" w:name="_Toc529223112"/>
      <w:bookmarkStart w:id="42" w:name="_Toc529223863"/>
      <w:bookmarkStart w:id="43" w:name="_Toc529228266"/>
      <w:r w:rsidRPr="006F23EE">
        <w:rPr>
          <w:rFonts w:hint="eastAsia"/>
        </w:rPr>
        <w:t>調查意見，函請</w:t>
      </w:r>
      <w:r>
        <w:rPr>
          <w:rFonts w:hint="eastAsia"/>
        </w:rPr>
        <w:t>財政部</w:t>
      </w:r>
      <w:r w:rsidRPr="006F23EE">
        <w:rPr>
          <w:rFonts w:hint="eastAsia"/>
        </w:rPr>
        <w:t>督飭所屬確實檢討改進見復。</w:t>
      </w:r>
    </w:p>
    <w:p w:rsidR="006817A7" w:rsidRPr="006F23EE" w:rsidRDefault="006817A7" w:rsidP="006817A7">
      <w:pPr>
        <w:pStyle w:val="2"/>
        <w:numPr>
          <w:ilvl w:val="1"/>
          <w:numId w:val="1"/>
        </w:numPr>
        <w:ind w:left="1020" w:hanging="680"/>
        <w:rPr>
          <w:rFonts w:hAnsi="標楷體"/>
        </w:rPr>
      </w:pPr>
      <w:bookmarkStart w:id="44" w:name="_Toc2400397"/>
      <w:bookmarkStart w:id="45" w:name="_Toc4316191"/>
      <w:bookmarkStart w:id="46" w:name="_Toc4473332"/>
      <w:bookmarkStart w:id="47" w:name="_Toc69556901"/>
      <w:bookmarkStart w:id="48" w:name="_Toc69556950"/>
      <w:bookmarkStart w:id="49" w:name="_Toc69609824"/>
      <w:bookmarkStart w:id="50" w:name="_Toc70241822"/>
      <w:bookmarkStart w:id="51" w:name="_Toc7024221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F23EE">
        <w:rPr>
          <w:rFonts w:hAnsi="標楷體" w:hint="eastAsia"/>
        </w:rPr>
        <w:t>檢附派查函及相關附件，送請財政及經濟委員會處理。</w:t>
      </w:r>
      <w:bookmarkEnd w:id="44"/>
      <w:bookmarkEnd w:id="45"/>
      <w:bookmarkEnd w:id="46"/>
      <w:bookmarkEnd w:id="47"/>
      <w:bookmarkEnd w:id="48"/>
      <w:bookmarkEnd w:id="49"/>
      <w:bookmarkEnd w:id="50"/>
      <w:bookmarkEnd w:id="51"/>
    </w:p>
    <w:p w:rsidR="006817A7" w:rsidRPr="006F23EE" w:rsidRDefault="006817A7" w:rsidP="006817A7">
      <w:pPr>
        <w:pStyle w:val="aa"/>
        <w:spacing w:before="0" w:after="0"/>
        <w:ind w:leftChars="1100" w:left="3742"/>
        <w:rPr>
          <w:rFonts w:hAnsi="標楷體"/>
          <w:b w:val="0"/>
          <w:bCs/>
          <w:snapToGrid/>
          <w:spacing w:val="12"/>
          <w:kern w:val="0"/>
          <w:sz w:val="40"/>
        </w:rPr>
      </w:pPr>
    </w:p>
    <w:p w:rsidR="006817A7" w:rsidRPr="006F23EE" w:rsidRDefault="006817A7" w:rsidP="006817A7">
      <w:pPr>
        <w:pStyle w:val="aa"/>
        <w:spacing w:before="0" w:after="0"/>
        <w:ind w:leftChars="1100" w:left="3742"/>
        <w:rPr>
          <w:rFonts w:hAnsi="標楷體"/>
          <w:bCs/>
          <w:snapToGrid/>
          <w:spacing w:val="0"/>
          <w:kern w:val="0"/>
          <w:sz w:val="40"/>
        </w:rPr>
      </w:pPr>
      <w:r w:rsidRPr="006F23EE">
        <w:rPr>
          <w:rFonts w:hAnsi="標楷體" w:hint="eastAsia"/>
          <w:bCs/>
          <w:snapToGrid/>
          <w:spacing w:val="12"/>
          <w:kern w:val="0"/>
          <w:sz w:val="40"/>
        </w:rPr>
        <w:t>調查委員：</w:t>
      </w:r>
      <w:r w:rsidR="0098414F">
        <w:rPr>
          <w:rFonts w:hAnsi="標楷體" w:hint="eastAsia"/>
          <w:bCs/>
          <w:snapToGrid/>
          <w:spacing w:val="12"/>
          <w:kern w:val="0"/>
          <w:sz w:val="40"/>
        </w:rPr>
        <w:t>仉桂美</w:t>
      </w:r>
    </w:p>
    <w:p w:rsidR="006817A7" w:rsidRPr="0098414F" w:rsidRDefault="0098414F" w:rsidP="006817A7">
      <w:pPr>
        <w:pStyle w:val="aa"/>
        <w:spacing w:before="0" w:after="0"/>
        <w:ind w:leftChars="1100" w:left="3742" w:firstLineChars="500" w:firstLine="2223"/>
        <w:rPr>
          <w:rFonts w:hAnsi="標楷體"/>
          <w:bCs/>
          <w:snapToGrid/>
          <w:spacing w:val="12"/>
          <w:kern w:val="0"/>
          <w:sz w:val="40"/>
          <w:szCs w:val="40"/>
        </w:rPr>
      </w:pPr>
      <w:r w:rsidRPr="0098414F">
        <w:rPr>
          <w:rFonts w:hAnsi="標楷體" w:hint="eastAsia"/>
          <w:bCs/>
          <w:snapToGrid/>
          <w:spacing w:val="12"/>
          <w:kern w:val="0"/>
          <w:sz w:val="40"/>
          <w:szCs w:val="40"/>
        </w:rPr>
        <w:t>王美玉</w:t>
      </w:r>
    </w:p>
    <w:p w:rsidR="006817A7" w:rsidRPr="006F23EE" w:rsidRDefault="006817A7" w:rsidP="006817A7">
      <w:pPr>
        <w:pStyle w:val="aa"/>
        <w:spacing w:before="0" w:after="0"/>
        <w:ind w:leftChars="1100" w:left="3742" w:firstLineChars="500" w:firstLine="2021"/>
        <w:rPr>
          <w:rFonts w:hAnsi="標楷體"/>
          <w:b w:val="0"/>
          <w:bCs/>
          <w:snapToGrid/>
          <w:spacing w:val="12"/>
          <w:kern w:val="0"/>
        </w:rPr>
      </w:pPr>
      <w:bookmarkStart w:id="52" w:name="_GoBack"/>
      <w:bookmarkEnd w:id="52"/>
    </w:p>
    <w:sectPr w:rsidR="006817A7" w:rsidRPr="006F23EE" w:rsidSect="00236CE8">
      <w:footerReference w:type="default" r:id="rId10"/>
      <w:pgSz w:w="11907" w:h="16840" w:code="9"/>
      <w:pgMar w:top="1134" w:right="1134" w:bottom="1134" w:left="1134"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BD" w:rsidRDefault="005B7CBD">
      <w:r>
        <w:separator/>
      </w:r>
    </w:p>
  </w:endnote>
  <w:endnote w:type="continuationSeparator" w:id="0">
    <w:p w:rsidR="005B7CBD" w:rsidRDefault="005B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7C" w:rsidRDefault="0073657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8414F">
      <w:rPr>
        <w:rStyle w:val="ac"/>
        <w:noProof/>
        <w:sz w:val="24"/>
      </w:rPr>
      <w:t>13</w:t>
    </w:r>
    <w:r>
      <w:rPr>
        <w:rStyle w:val="ac"/>
        <w:sz w:val="24"/>
      </w:rPr>
      <w:fldChar w:fldCharType="end"/>
    </w:r>
  </w:p>
  <w:p w:rsidR="0073657C" w:rsidRDefault="0073657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BD" w:rsidRDefault="005B7CBD">
      <w:r>
        <w:separator/>
      </w:r>
    </w:p>
  </w:footnote>
  <w:footnote w:type="continuationSeparator" w:id="0">
    <w:p w:rsidR="005B7CBD" w:rsidRDefault="005B7CBD">
      <w:r>
        <w:continuationSeparator/>
      </w:r>
    </w:p>
  </w:footnote>
  <w:footnote w:id="1">
    <w:p w:rsidR="0073657C" w:rsidRDefault="0073657C" w:rsidP="00F171C1">
      <w:pPr>
        <w:pStyle w:val="afd"/>
        <w:ind w:left="220" w:hangingChars="100" w:hanging="220"/>
        <w:jc w:val="both"/>
      </w:pPr>
      <w:r>
        <w:rPr>
          <w:rStyle w:val="aff"/>
        </w:rPr>
        <w:footnoteRef/>
      </w:r>
      <w:r>
        <w:t xml:space="preserve"> </w:t>
      </w:r>
      <w:r>
        <w:rPr>
          <w:rFonts w:hint="eastAsia"/>
        </w:rPr>
        <w:t>按行政院業於106年11月23日第2891次會議通過內政部擬具之「都更條例」修正草案，並送請立法院審議中。參據修正條文第44條第1項規定略以：「公有土地及建築物，除另有合理之利用計畫，確無法併同實施都市更新事業者外，於舉辦都市更新事業時，應一律參加都市更新，</w:t>
      </w:r>
      <w:r>
        <w:rPr>
          <w:rFonts w:hAnsi="標楷體" w:hint="eastAsia"/>
        </w:rPr>
        <w:t>……</w:t>
      </w:r>
      <w:r>
        <w:rPr>
          <w:rFonts w:hint="eastAsia"/>
        </w:rPr>
        <w:t>」上開修正草案擬將公有土地確有合理利用計畫無法併同更新者，得不參與都市更新等情予以明文規範。</w:t>
      </w:r>
    </w:p>
  </w:footnote>
  <w:footnote w:id="2">
    <w:p w:rsidR="0073657C" w:rsidRDefault="0073657C" w:rsidP="00460E01">
      <w:pPr>
        <w:pStyle w:val="afd"/>
        <w:ind w:left="220" w:hangingChars="100" w:hanging="220"/>
      </w:pPr>
      <w:r>
        <w:rPr>
          <w:rStyle w:val="aff"/>
        </w:rPr>
        <w:footnoteRef/>
      </w:r>
      <w:r>
        <w:t xml:space="preserve"> </w:t>
      </w:r>
      <w:r>
        <w:rPr>
          <w:rFonts w:hint="eastAsia"/>
        </w:rPr>
        <w:t>北區分署107年2月2日新聞稿指出，千荷田最後1戶於是日開標結果，以5,818萬元標脫，溢價率0.16%，該社區已全數標售完畢。</w:t>
      </w:r>
      <w:hyperlink r:id="rId1" w:history="1">
        <w:r w:rsidRPr="00E03455">
          <w:rPr>
            <w:rStyle w:val="ae"/>
          </w:rPr>
          <w:t>https://www.fnpn.gov.tw/ct/Board.php?page=BoardDetail&amp;BoardCatID=0&amp;BOD_ID=515&amp;xarea=N000</w:t>
        </w:r>
      </w:hyperlink>
      <w:r>
        <w:rPr>
          <w:rFonts w:hint="eastAsia"/>
        </w:rPr>
        <w:t>，瀏覽日期：107年2月28日。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1E20E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EED062EE"/>
    <w:lvl w:ilvl="0" w:tplc="BCAA54C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0E42727E"/>
    <w:lvl w:ilvl="0" w:tplc="CC2E83E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12FF"/>
    <w:rsid w:val="00001CA2"/>
    <w:rsid w:val="00006961"/>
    <w:rsid w:val="000102CF"/>
    <w:rsid w:val="000112BF"/>
    <w:rsid w:val="00012233"/>
    <w:rsid w:val="00015DD6"/>
    <w:rsid w:val="00017318"/>
    <w:rsid w:val="00023706"/>
    <w:rsid w:val="000246F7"/>
    <w:rsid w:val="00024FA3"/>
    <w:rsid w:val="00025CB4"/>
    <w:rsid w:val="0003114D"/>
    <w:rsid w:val="00031876"/>
    <w:rsid w:val="00032C11"/>
    <w:rsid w:val="0003623D"/>
    <w:rsid w:val="00036D76"/>
    <w:rsid w:val="000415B8"/>
    <w:rsid w:val="00047924"/>
    <w:rsid w:val="00055306"/>
    <w:rsid w:val="00057F32"/>
    <w:rsid w:val="00062A25"/>
    <w:rsid w:val="00073CB5"/>
    <w:rsid w:val="0007425C"/>
    <w:rsid w:val="00077553"/>
    <w:rsid w:val="00084F83"/>
    <w:rsid w:val="000851A2"/>
    <w:rsid w:val="000861DF"/>
    <w:rsid w:val="0009006F"/>
    <w:rsid w:val="000914E0"/>
    <w:rsid w:val="0009352E"/>
    <w:rsid w:val="00096B96"/>
    <w:rsid w:val="00097212"/>
    <w:rsid w:val="000A0C0C"/>
    <w:rsid w:val="000A1AB6"/>
    <w:rsid w:val="000A2F3F"/>
    <w:rsid w:val="000B070E"/>
    <w:rsid w:val="000B0B4A"/>
    <w:rsid w:val="000B1C6E"/>
    <w:rsid w:val="000B279A"/>
    <w:rsid w:val="000B5003"/>
    <w:rsid w:val="000B6058"/>
    <w:rsid w:val="000B61D2"/>
    <w:rsid w:val="000B70A7"/>
    <w:rsid w:val="000B73DD"/>
    <w:rsid w:val="000C07D5"/>
    <w:rsid w:val="000C495F"/>
    <w:rsid w:val="000C5972"/>
    <w:rsid w:val="000C6E45"/>
    <w:rsid w:val="000D77BD"/>
    <w:rsid w:val="000E6431"/>
    <w:rsid w:val="000E7E9B"/>
    <w:rsid w:val="000F21A5"/>
    <w:rsid w:val="000F247C"/>
    <w:rsid w:val="00102B9F"/>
    <w:rsid w:val="00112637"/>
    <w:rsid w:val="00112ABC"/>
    <w:rsid w:val="00117F4F"/>
    <w:rsid w:val="0012001E"/>
    <w:rsid w:val="00121D1C"/>
    <w:rsid w:val="00126A55"/>
    <w:rsid w:val="00126D20"/>
    <w:rsid w:val="00127903"/>
    <w:rsid w:val="00133F08"/>
    <w:rsid w:val="001345E6"/>
    <w:rsid w:val="00134FD6"/>
    <w:rsid w:val="001378B0"/>
    <w:rsid w:val="0014053A"/>
    <w:rsid w:val="00142E00"/>
    <w:rsid w:val="00146350"/>
    <w:rsid w:val="001521A5"/>
    <w:rsid w:val="00152793"/>
    <w:rsid w:val="00153B7E"/>
    <w:rsid w:val="001545A9"/>
    <w:rsid w:val="001637C7"/>
    <w:rsid w:val="0016480E"/>
    <w:rsid w:val="0017276A"/>
    <w:rsid w:val="00174297"/>
    <w:rsid w:val="00175508"/>
    <w:rsid w:val="00180C72"/>
    <w:rsid w:val="00180E06"/>
    <w:rsid w:val="001817B3"/>
    <w:rsid w:val="00183014"/>
    <w:rsid w:val="0018480E"/>
    <w:rsid w:val="0018765C"/>
    <w:rsid w:val="00191BEA"/>
    <w:rsid w:val="00194E5B"/>
    <w:rsid w:val="001959C2"/>
    <w:rsid w:val="001A27F1"/>
    <w:rsid w:val="001A31E6"/>
    <w:rsid w:val="001A4B6D"/>
    <w:rsid w:val="001A51E3"/>
    <w:rsid w:val="001A72ED"/>
    <w:rsid w:val="001A7968"/>
    <w:rsid w:val="001B2E98"/>
    <w:rsid w:val="001B3483"/>
    <w:rsid w:val="001B3C1E"/>
    <w:rsid w:val="001B4494"/>
    <w:rsid w:val="001C0D8B"/>
    <w:rsid w:val="001C0DA8"/>
    <w:rsid w:val="001C1662"/>
    <w:rsid w:val="001C2E05"/>
    <w:rsid w:val="001D4AD7"/>
    <w:rsid w:val="001D6AAC"/>
    <w:rsid w:val="001E0D8A"/>
    <w:rsid w:val="001E63B9"/>
    <w:rsid w:val="001E67BA"/>
    <w:rsid w:val="001E74C2"/>
    <w:rsid w:val="001F3E65"/>
    <w:rsid w:val="001F4F82"/>
    <w:rsid w:val="001F5A48"/>
    <w:rsid w:val="001F6260"/>
    <w:rsid w:val="001F7C3E"/>
    <w:rsid w:val="00200007"/>
    <w:rsid w:val="002030A5"/>
    <w:rsid w:val="00203131"/>
    <w:rsid w:val="00212E35"/>
    <w:rsid w:val="00212E88"/>
    <w:rsid w:val="00213C9C"/>
    <w:rsid w:val="0022009E"/>
    <w:rsid w:val="00223241"/>
    <w:rsid w:val="0022425C"/>
    <w:rsid w:val="002246DE"/>
    <w:rsid w:val="002364B5"/>
    <w:rsid w:val="00236CE8"/>
    <w:rsid w:val="00244073"/>
    <w:rsid w:val="00244EDF"/>
    <w:rsid w:val="00252BC4"/>
    <w:rsid w:val="00253348"/>
    <w:rsid w:val="00254014"/>
    <w:rsid w:val="00254B39"/>
    <w:rsid w:val="00257E2D"/>
    <w:rsid w:val="00257F83"/>
    <w:rsid w:val="0026059D"/>
    <w:rsid w:val="0026504D"/>
    <w:rsid w:val="00265344"/>
    <w:rsid w:val="00270DEE"/>
    <w:rsid w:val="00273A2F"/>
    <w:rsid w:val="00277720"/>
    <w:rsid w:val="00280986"/>
    <w:rsid w:val="00281ECE"/>
    <w:rsid w:val="002831C7"/>
    <w:rsid w:val="002840C6"/>
    <w:rsid w:val="00284B10"/>
    <w:rsid w:val="00285A1E"/>
    <w:rsid w:val="00286A1C"/>
    <w:rsid w:val="00295174"/>
    <w:rsid w:val="00296172"/>
    <w:rsid w:val="00296B92"/>
    <w:rsid w:val="002A2C22"/>
    <w:rsid w:val="002A52EF"/>
    <w:rsid w:val="002B02EB"/>
    <w:rsid w:val="002B1BC6"/>
    <w:rsid w:val="002B21EC"/>
    <w:rsid w:val="002B2E9B"/>
    <w:rsid w:val="002B6CF5"/>
    <w:rsid w:val="002C0602"/>
    <w:rsid w:val="002C2443"/>
    <w:rsid w:val="002C4A76"/>
    <w:rsid w:val="002D0B48"/>
    <w:rsid w:val="002D4765"/>
    <w:rsid w:val="002D5C16"/>
    <w:rsid w:val="002D7A6F"/>
    <w:rsid w:val="002E34AB"/>
    <w:rsid w:val="002E72D9"/>
    <w:rsid w:val="002F2476"/>
    <w:rsid w:val="002F3DFF"/>
    <w:rsid w:val="002F5E05"/>
    <w:rsid w:val="003038D7"/>
    <w:rsid w:val="00307A76"/>
    <w:rsid w:val="00315A16"/>
    <w:rsid w:val="00317053"/>
    <w:rsid w:val="003178C3"/>
    <w:rsid w:val="00317CB7"/>
    <w:rsid w:val="0032109C"/>
    <w:rsid w:val="00322B45"/>
    <w:rsid w:val="00323809"/>
    <w:rsid w:val="00323D41"/>
    <w:rsid w:val="00325414"/>
    <w:rsid w:val="003302F1"/>
    <w:rsid w:val="00330D32"/>
    <w:rsid w:val="003439AE"/>
    <w:rsid w:val="0034470E"/>
    <w:rsid w:val="00345AD1"/>
    <w:rsid w:val="00352AA3"/>
    <w:rsid w:val="00352DB0"/>
    <w:rsid w:val="00353DEA"/>
    <w:rsid w:val="0035657C"/>
    <w:rsid w:val="0036058F"/>
    <w:rsid w:val="00361063"/>
    <w:rsid w:val="00361CB1"/>
    <w:rsid w:val="0036440D"/>
    <w:rsid w:val="00365B0C"/>
    <w:rsid w:val="00367413"/>
    <w:rsid w:val="0037094A"/>
    <w:rsid w:val="00371ED3"/>
    <w:rsid w:val="00372FFC"/>
    <w:rsid w:val="00374910"/>
    <w:rsid w:val="0037728A"/>
    <w:rsid w:val="00380B7D"/>
    <w:rsid w:val="00381A99"/>
    <w:rsid w:val="003829C2"/>
    <w:rsid w:val="003830B2"/>
    <w:rsid w:val="00384724"/>
    <w:rsid w:val="00385BA8"/>
    <w:rsid w:val="003919B7"/>
    <w:rsid w:val="00391D57"/>
    <w:rsid w:val="00392292"/>
    <w:rsid w:val="0039434A"/>
    <w:rsid w:val="00394F45"/>
    <w:rsid w:val="00395B45"/>
    <w:rsid w:val="003A0802"/>
    <w:rsid w:val="003A267A"/>
    <w:rsid w:val="003A49F9"/>
    <w:rsid w:val="003A5927"/>
    <w:rsid w:val="003A7C0E"/>
    <w:rsid w:val="003B1017"/>
    <w:rsid w:val="003B3C07"/>
    <w:rsid w:val="003B6081"/>
    <w:rsid w:val="003B6775"/>
    <w:rsid w:val="003C2983"/>
    <w:rsid w:val="003C5FE2"/>
    <w:rsid w:val="003D05FB"/>
    <w:rsid w:val="003D1B16"/>
    <w:rsid w:val="003D326F"/>
    <w:rsid w:val="003D45BF"/>
    <w:rsid w:val="003D508A"/>
    <w:rsid w:val="003D537F"/>
    <w:rsid w:val="003D7B75"/>
    <w:rsid w:val="003E0208"/>
    <w:rsid w:val="003E023B"/>
    <w:rsid w:val="003E4B57"/>
    <w:rsid w:val="003E7196"/>
    <w:rsid w:val="003F27E1"/>
    <w:rsid w:val="003F437A"/>
    <w:rsid w:val="003F5C2B"/>
    <w:rsid w:val="003F740A"/>
    <w:rsid w:val="00402240"/>
    <w:rsid w:val="004023E9"/>
    <w:rsid w:val="0040454A"/>
    <w:rsid w:val="00406E4D"/>
    <w:rsid w:val="0041096D"/>
    <w:rsid w:val="00413F83"/>
    <w:rsid w:val="00413FB8"/>
    <w:rsid w:val="0041490C"/>
    <w:rsid w:val="00416191"/>
    <w:rsid w:val="00416721"/>
    <w:rsid w:val="00417718"/>
    <w:rsid w:val="00421EF0"/>
    <w:rsid w:val="004224FA"/>
    <w:rsid w:val="00423D07"/>
    <w:rsid w:val="00427936"/>
    <w:rsid w:val="00427A4F"/>
    <w:rsid w:val="0043281D"/>
    <w:rsid w:val="00435FBB"/>
    <w:rsid w:val="004402A1"/>
    <w:rsid w:val="0044346F"/>
    <w:rsid w:val="004447C3"/>
    <w:rsid w:val="00453FF6"/>
    <w:rsid w:val="00460E01"/>
    <w:rsid w:val="004615AF"/>
    <w:rsid w:val="004619B1"/>
    <w:rsid w:val="0046414C"/>
    <w:rsid w:val="0046520A"/>
    <w:rsid w:val="00465766"/>
    <w:rsid w:val="004672AB"/>
    <w:rsid w:val="004714FE"/>
    <w:rsid w:val="00472C26"/>
    <w:rsid w:val="00475B4C"/>
    <w:rsid w:val="0047772C"/>
    <w:rsid w:val="00477BAA"/>
    <w:rsid w:val="0049062F"/>
    <w:rsid w:val="0049387B"/>
    <w:rsid w:val="00495053"/>
    <w:rsid w:val="0049738C"/>
    <w:rsid w:val="0049771E"/>
    <w:rsid w:val="004A1F59"/>
    <w:rsid w:val="004A21C4"/>
    <w:rsid w:val="004A2531"/>
    <w:rsid w:val="004A2693"/>
    <w:rsid w:val="004A29BE"/>
    <w:rsid w:val="004A3225"/>
    <w:rsid w:val="004A33EE"/>
    <w:rsid w:val="004A3AA8"/>
    <w:rsid w:val="004B13C7"/>
    <w:rsid w:val="004B1A4D"/>
    <w:rsid w:val="004B3474"/>
    <w:rsid w:val="004B778F"/>
    <w:rsid w:val="004C0609"/>
    <w:rsid w:val="004C37BD"/>
    <w:rsid w:val="004C5486"/>
    <w:rsid w:val="004D141F"/>
    <w:rsid w:val="004D2742"/>
    <w:rsid w:val="004D529F"/>
    <w:rsid w:val="004D6310"/>
    <w:rsid w:val="004D6C35"/>
    <w:rsid w:val="004E0062"/>
    <w:rsid w:val="004E05A1"/>
    <w:rsid w:val="004E239C"/>
    <w:rsid w:val="004E2809"/>
    <w:rsid w:val="004F3C52"/>
    <w:rsid w:val="004F472A"/>
    <w:rsid w:val="004F5559"/>
    <w:rsid w:val="004F5E57"/>
    <w:rsid w:val="004F6710"/>
    <w:rsid w:val="0050007B"/>
    <w:rsid w:val="00500C3E"/>
    <w:rsid w:val="00502849"/>
    <w:rsid w:val="00504334"/>
    <w:rsid w:val="0050498D"/>
    <w:rsid w:val="00505490"/>
    <w:rsid w:val="005104D7"/>
    <w:rsid w:val="00510B9E"/>
    <w:rsid w:val="00515901"/>
    <w:rsid w:val="00517319"/>
    <w:rsid w:val="00526EEA"/>
    <w:rsid w:val="00535877"/>
    <w:rsid w:val="0053660B"/>
    <w:rsid w:val="00536BC2"/>
    <w:rsid w:val="005425E1"/>
    <w:rsid w:val="005427C5"/>
    <w:rsid w:val="00542CF6"/>
    <w:rsid w:val="00547FAE"/>
    <w:rsid w:val="00553C03"/>
    <w:rsid w:val="0056084A"/>
    <w:rsid w:val="005626E5"/>
    <w:rsid w:val="00563692"/>
    <w:rsid w:val="00571679"/>
    <w:rsid w:val="005735AF"/>
    <w:rsid w:val="00582735"/>
    <w:rsid w:val="005844E7"/>
    <w:rsid w:val="005908B8"/>
    <w:rsid w:val="005909D6"/>
    <w:rsid w:val="0059512E"/>
    <w:rsid w:val="00595193"/>
    <w:rsid w:val="00595559"/>
    <w:rsid w:val="005A1CCF"/>
    <w:rsid w:val="005A4B8C"/>
    <w:rsid w:val="005A6B33"/>
    <w:rsid w:val="005A6DD2"/>
    <w:rsid w:val="005A7CD0"/>
    <w:rsid w:val="005B1A02"/>
    <w:rsid w:val="005B7CBD"/>
    <w:rsid w:val="005C1535"/>
    <w:rsid w:val="005C2294"/>
    <w:rsid w:val="005C385D"/>
    <w:rsid w:val="005C426F"/>
    <w:rsid w:val="005D2449"/>
    <w:rsid w:val="005D3B20"/>
    <w:rsid w:val="005D5848"/>
    <w:rsid w:val="005D6D63"/>
    <w:rsid w:val="005E4759"/>
    <w:rsid w:val="005E5C68"/>
    <w:rsid w:val="005E65C0"/>
    <w:rsid w:val="005E7A10"/>
    <w:rsid w:val="005F0390"/>
    <w:rsid w:val="005F2C70"/>
    <w:rsid w:val="005F3F7F"/>
    <w:rsid w:val="005F5144"/>
    <w:rsid w:val="00605D39"/>
    <w:rsid w:val="006072CD"/>
    <w:rsid w:val="00612023"/>
    <w:rsid w:val="0061309D"/>
    <w:rsid w:val="00614190"/>
    <w:rsid w:val="00614B36"/>
    <w:rsid w:val="00616FB9"/>
    <w:rsid w:val="0062104C"/>
    <w:rsid w:val="006229D5"/>
    <w:rsid w:val="00622A99"/>
    <w:rsid w:val="00622E67"/>
    <w:rsid w:val="00626B57"/>
    <w:rsid w:val="00626EDC"/>
    <w:rsid w:val="00630EE0"/>
    <w:rsid w:val="006470EC"/>
    <w:rsid w:val="006542D6"/>
    <w:rsid w:val="0065598E"/>
    <w:rsid w:val="00655AF2"/>
    <w:rsid w:val="00655BC5"/>
    <w:rsid w:val="006568BE"/>
    <w:rsid w:val="0066025D"/>
    <w:rsid w:val="0066091A"/>
    <w:rsid w:val="006660A1"/>
    <w:rsid w:val="00672980"/>
    <w:rsid w:val="006773EC"/>
    <w:rsid w:val="00680504"/>
    <w:rsid w:val="006817A7"/>
    <w:rsid w:val="00681CD9"/>
    <w:rsid w:val="006828F5"/>
    <w:rsid w:val="006837F9"/>
    <w:rsid w:val="00683E30"/>
    <w:rsid w:val="006840AD"/>
    <w:rsid w:val="0068471B"/>
    <w:rsid w:val="00687024"/>
    <w:rsid w:val="00692FBA"/>
    <w:rsid w:val="006936B4"/>
    <w:rsid w:val="00695E22"/>
    <w:rsid w:val="006A15D7"/>
    <w:rsid w:val="006A58A7"/>
    <w:rsid w:val="006A666F"/>
    <w:rsid w:val="006B53C2"/>
    <w:rsid w:val="006B6C3F"/>
    <w:rsid w:val="006B7093"/>
    <w:rsid w:val="006B7417"/>
    <w:rsid w:val="006D1799"/>
    <w:rsid w:val="006D3691"/>
    <w:rsid w:val="006E17FB"/>
    <w:rsid w:val="006E5EF0"/>
    <w:rsid w:val="006F1B96"/>
    <w:rsid w:val="006F3563"/>
    <w:rsid w:val="006F42B9"/>
    <w:rsid w:val="006F500C"/>
    <w:rsid w:val="006F6103"/>
    <w:rsid w:val="00704E00"/>
    <w:rsid w:val="0071218E"/>
    <w:rsid w:val="0071323A"/>
    <w:rsid w:val="00720713"/>
    <w:rsid w:val="007209E7"/>
    <w:rsid w:val="0072395F"/>
    <w:rsid w:val="00723AA3"/>
    <w:rsid w:val="007241A7"/>
    <w:rsid w:val="007241C7"/>
    <w:rsid w:val="00726182"/>
    <w:rsid w:val="0072687F"/>
    <w:rsid w:val="00727635"/>
    <w:rsid w:val="00732329"/>
    <w:rsid w:val="007337CA"/>
    <w:rsid w:val="00734CE4"/>
    <w:rsid w:val="00735123"/>
    <w:rsid w:val="007353B5"/>
    <w:rsid w:val="0073657C"/>
    <w:rsid w:val="00741837"/>
    <w:rsid w:val="00742238"/>
    <w:rsid w:val="00744E33"/>
    <w:rsid w:val="007453E6"/>
    <w:rsid w:val="007613C9"/>
    <w:rsid w:val="0076701D"/>
    <w:rsid w:val="0077309D"/>
    <w:rsid w:val="007774EE"/>
    <w:rsid w:val="00781822"/>
    <w:rsid w:val="00781E93"/>
    <w:rsid w:val="00783F21"/>
    <w:rsid w:val="00784A39"/>
    <w:rsid w:val="00785025"/>
    <w:rsid w:val="00787159"/>
    <w:rsid w:val="0079043A"/>
    <w:rsid w:val="00791668"/>
    <w:rsid w:val="00791AA1"/>
    <w:rsid w:val="00791C2F"/>
    <w:rsid w:val="007945C1"/>
    <w:rsid w:val="00794BB7"/>
    <w:rsid w:val="007A2A97"/>
    <w:rsid w:val="007A3793"/>
    <w:rsid w:val="007A53AC"/>
    <w:rsid w:val="007A6182"/>
    <w:rsid w:val="007C0CFD"/>
    <w:rsid w:val="007C1BA2"/>
    <w:rsid w:val="007C2B48"/>
    <w:rsid w:val="007C42E0"/>
    <w:rsid w:val="007C7D5C"/>
    <w:rsid w:val="007C7D67"/>
    <w:rsid w:val="007D20E9"/>
    <w:rsid w:val="007D248C"/>
    <w:rsid w:val="007D7881"/>
    <w:rsid w:val="007D7E3A"/>
    <w:rsid w:val="007E0E10"/>
    <w:rsid w:val="007E4768"/>
    <w:rsid w:val="007E777B"/>
    <w:rsid w:val="007F2070"/>
    <w:rsid w:val="0080166E"/>
    <w:rsid w:val="00802420"/>
    <w:rsid w:val="008053F5"/>
    <w:rsid w:val="0080605C"/>
    <w:rsid w:val="00807AF7"/>
    <w:rsid w:val="00810198"/>
    <w:rsid w:val="00811835"/>
    <w:rsid w:val="00813DA5"/>
    <w:rsid w:val="00814070"/>
    <w:rsid w:val="00815DA8"/>
    <w:rsid w:val="0082194D"/>
    <w:rsid w:val="008221F9"/>
    <w:rsid w:val="0082337C"/>
    <w:rsid w:val="008269C7"/>
    <w:rsid w:val="00826EF5"/>
    <w:rsid w:val="00831693"/>
    <w:rsid w:val="00840104"/>
    <w:rsid w:val="00840C1F"/>
    <w:rsid w:val="00841FC5"/>
    <w:rsid w:val="00842387"/>
    <w:rsid w:val="00842E7A"/>
    <w:rsid w:val="00845709"/>
    <w:rsid w:val="008576BD"/>
    <w:rsid w:val="00860463"/>
    <w:rsid w:val="00860DA8"/>
    <w:rsid w:val="0086200D"/>
    <w:rsid w:val="00866818"/>
    <w:rsid w:val="0087040C"/>
    <w:rsid w:val="008733DA"/>
    <w:rsid w:val="008749BD"/>
    <w:rsid w:val="00880CCC"/>
    <w:rsid w:val="00882B41"/>
    <w:rsid w:val="00882F09"/>
    <w:rsid w:val="008850E4"/>
    <w:rsid w:val="00887162"/>
    <w:rsid w:val="00891650"/>
    <w:rsid w:val="00892136"/>
    <w:rsid w:val="008939AB"/>
    <w:rsid w:val="00893B58"/>
    <w:rsid w:val="00894A3D"/>
    <w:rsid w:val="008A12F5"/>
    <w:rsid w:val="008A7632"/>
    <w:rsid w:val="008B1587"/>
    <w:rsid w:val="008B1B01"/>
    <w:rsid w:val="008B26C2"/>
    <w:rsid w:val="008B3BCD"/>
    <w:rsid w:val="008B4018"/>
    <w:rsid w:val="008B433B"/>
    <w:rsid w:val="008B6DF8"/>
    <w:rsid w:val="008B6F3B"/>
    <w:rsid w:val="008C106C"/>
    <w:rsid w:val="008C10F1"/>
    <w:rsid w:val="008C1926"/>
    <w:rsid w:val="008C1E99"/>
    <w:rsid w:val="008D3DB0"/>
    <w:rsid w:val="008D40D8"/>
    <w:rsid w:val="008E0085"/>
    <w:rsid w:val="008E2AA6"/>
    <w:rsid w:val="008E311B"/>
    <w:rsid w:val="008E4525"/>
    <w:rsid w:val="008F1FBD"/>
    <w:rsid w:val="008F2A51"/>
    <w:rsid w:val="008F46E7"/>
    <w:rsid w:val="008F6F0B"/>
    <w:rsid w:val="0090082E"/>
    <w:rsid w:val="00907BA7"/>
    <w:rsid w:val="0091064E"/>
    <w:rsid w:val="00911FC5"/>
    <w:rsid w:val="0092231C"/>
    <w:rsid w:val="00923493"/>
    <w:rsid w:val="00925C25"/>
    <w:rsid w:val="00925E9A"/>
    <w:rsid w:val="00930745"/>
    <w:rsid w:val="009315E1"/>
    <w:rsid w:val="00931A10"/>
    <w:rsid w:val="00932151"/>
    <w:rsid w:val="009341BE"/>
    <w:rsid w:val="00947967"/>
    <w:rsid w:val="00955201"/>
    <w:rsid w:val="00965200"/>
    <w:rsid w:val="009655F9"/>
    <w:rsid w:val="0096582F"/>
    <w:rsid w:val="009668B3"/>
    <w:rsid w:val="00967BED"/>
    <w:rsid w:val="00971471"/>
    <w:rsid w:val="00973DE9"/>
    <w:rsid w:val="0098152D"/>
    <w:rsid w:val="0098414F"/>
    <w:rsid w:val="009849C2"/>
    <w:rsid w:val="00984D24"/>
    <w:rsid w:val="0098519B"/>
    <w:rsid w:val="009858EB"/>
    <w:rsid w:val="00997176"/>
    <w:rsid w:val="009A328B"/>
    <w:rsid w:val="009A3F47"/>
    <w:rsid w:val="009A4F83"/>
    <w:rsid w:val="009B0046"/>
    <w:rsid w:val="009B2371"/>
    <w:rsid w:val="009B7C5C"/>
    <w:rsid w:val="009C1440"/>
    <w:rsid w:val="009C2107"/>
    <w:rsid w:val="009C5D9E"/>
    <w:rsid w:val="009C6D4B"/>
    <w:rsid w:val="009D006B"/>
    <w:rsid w:val="009D2C3E"/>
    <w:rsid w:val="009D397C"/>
    <w:rsid w:val="009D658F"/>
    <w:rsid w:val="009E0625"/>
    <w:rsid w:val="009E3034"/>
    <w:rsid w:val="009E549F"/>
    <w:rsid w:val="009F160B"/>
    <w:rsid w:val="009F28A8"/>
    <w:rsid w:val="009F322F"/>
    <w:rsid w:val="009F473E"/>
    <w:rsid w:val="009F4BB8"/>
    <w:rsid w:val="009F682A"/>
    <w:rsid w:val="00A007E4"/>
    <w:rsid w:val="00A0215D"/>
    <w:rsid w:val="00A022BE"/>
    <w:rsid w:val="00A0241E"/>
    <w:rsid w:val="00A04071"/>
    <w:rsid w:val="00A069E5"/>
    <w:rsid w:val="00A07B4B"/>
    <w:rsid w:val="00A10291"/>
    <w:rsid w:val="00A11462"/>
    <w:rsid w:val="00A20425"/>
    <w:rsid w:val="00A23147"/>
    <w:rsid w:val="00A24C95"/>
    <w:rsid w:val="00A2599A"/>
    <w:rsid w:val="00A26094"/>
    <w:rsid w:val="00A27533"/>
    <w:rsid w:val="00A301BF"/>
    <w:rsid w:val="00A302B2"/>
    <w:rsid w:val="00A331B4"/>
    <w:rsid w:val="00A3484E"/>
    <w:rsid w:val="00A356D3"/>
    <w:rsid w:val="00A36A7D"/>
    <w:rsid w:val="00A36ADA"/>
    <w:rsid w:val="00A36DA5"/>
    <w:rsid w:val="00A438D8"/>
    <w:rsid w:val="00A473F5"/>
    <w:rsid w:val="00A51F9D"/>
    <w:rsid w:val="00A5416A"/>
    <w:rsid w:val="00A57CB2"/>
    <w:rsid w:val="00A639F4"/>
    <w:rsid w:val="00A671AD"/>
    <w:rsid w:val="00A67A0D"/>
    <w:rsid w:val="00A71198"/>
    <w:rsid w:val="00A716D1"/>
    <w:rsid w:val="00A74A68"/>
    <w:rsid w:val="00A81913"/>
    <w:rsid w:val="00A81A32"/>
    <w:rsid w:val="00A82C9B"/>
    <w:rsid w:val="00A835BD"/>
    <w:rsid w:val="00A83F19"/>
    <w:rsid w:val="00A900DA"/>
    <w:rsid w:val="00A90741"/>
    <w:rsid w:val="00A97B15"/>
    <w:rsid w:val="00AA2803"/>
    <w:rsid w:val="00AA3248"/>
    <w:rsid w:val="00AA42D5"/>
    <w:rsid w:val="00AA5288"/>
    <w:rsid w:val="00AB1E8D"/>
    <w:rsid w:val="00AB2FAB"/>
    <w:rsid w:val="00AB3F40"/>
    <w:rsid w:val="00AB53F7"/>
    <w:rsid w:val="00AB5C14"/>
    <w:rsid w:val="00AC1EE7"/>
    <w:rsid w:val="00AC333F"/>
    <w:rsid w:val="00AC3B06"/>
    <w:rsid w:val="00AC585C"/>
    <w:rsid w:val="00AC7C81"/>
    <w:rsid w:val="00AD1925"/>
    <w:rsid w:val="00AE067D"/>
    <w:rsid w:val="00AF1181"/>
    <w:rsid w:val="00AF238D"/>
    <w:rsid w:val="00AF2F79"/>
    <w:rsid w:val="00AF4653"/>
    <w:rsid w:val="00AF7DB7"/>
    <w:rsid w:val="00B04F65"/>
    <w:rsid w:val="00B07FE8"/>
    <w:rsid w:val="00B10D02"/>
    <w:rsid w:val="00B201E2"/>
    <w:rsid w:val="00B22F6D"/>
    <w:rsid w:val="00B36F5B"/>
    <w:rsid w:val="00B40A61"/>
    <w:rsid w:val="00B41D45"/>
    <w:rsid w:val="00B443E4"/>
    <w:rsid w:val="00B46DA6"/>
    <w:rsid w:val="00B53E9A"/>
    <w:rsid w:val="00B5484D"/>
    <w:rsid w:val="00B55161"/>
    <w:rsid w:val="00B563EA"/>
    <w:rsid w:val="00B56B26"/>
    <w:rsid w:val="00B56CDF"/>
    <w:rsid w:val="00B60E51"/>
    <w:rsid w:val="00B63A54"/>
    <w:rsid w:val="00B6479A"/>
    <w:rsid w:val="00B64C37"/>
    <w:rsid w:val="00B7418E"/>
    <w:rsid w:val="00B77D18"/>
    <w:rsid w:val="00B81C3C"/>
    <w:rsid w:val="00B81F3A"/>
    <w:rsid w:val="00B828D7"/>
    <w:rsid w:val="00B8313A"/>
    <w:rsid w:val="00B93503"/>
    <w:rsid w:val="00BA0639"/>
    <w:rsid w:val="00BA31E8"/>
    <w:rsid w:val="00BA55E0"/>
    <w:rsid w:val="00BA6BD4"/>
    <w:rsid w:val="00BA6C7A"/>
    <w:rsid w:val="00BB17D1"/>
    <w:rsid w:val="00BB2F1F"/>
    <w:rsid w:val="00BB3752"/>
    <w:rsid w:val="00BB6688"/>
    <w:rsid w:val="00BC00EB"/>
    <w:rsid w:val="00BC26D4"/>
    <w:rsid w:val="00BD4D8A"/>
    <w:rsid w:val="00BE0C80"/>
    <w:rsid w:val="00BE2242"/>
    <w:rsid w:val="00BE6B30"/>
    <w:rsid w:val="00BF2A42"/>
    <w:rsid w:val="00BF4F0D"/>
    <w:rsid w:val="00C02CDE"/>
    <w:rsid w:val="00C03D8C"/>
    <w:rsid w:val="00C040FC"/>
    <w:rsid w:val="00C05233"/>
    <w:rsid w:val="00C055EC"/>
    <w:rsid w:val="00C05C7B"/>
    <w:rsid w:val="00C10DC9"/>
    <w:rsid w:val="00C12FB3"/>
    <w:rsid w:val="00C14C83"/>
    <w:rsid w:val="00C17341"/>
    <w:rsid w:val="00C23CEB"/>
    <w:rsid w:val="00C24EEF"/>
    <w:rsid w:val="00C25CF6"/>
    <w:rsid w:val="00C26C36"/>
    <w:rsid w:val="00C31A5E"/>
    <w:rsid w:val="00C32768"/>
    <w:rsid w:val="00C35CC0"/>
    <w:rsid w:val="00C361EB"/>
    <w:rsid w:val="00C431DF"/>
    <w:rsid w:val="00C44CD5"/>
    <w:rsid w:val="00C456BD"/>
    <w:rsid w:val="00C46563"/>
    <w:rsid w:val="00C530DC"/>
    <w:rsid w:val="00C5350D"/>
    <w:rsid w:val="00C53DAC"/>
    <w:rsid w:val="00C60CD2"/>
    <w:rsid w:val="00C60D96"/>
    <w:rsid w:val="00C6123C"/>
    <w:rsid w:val="00C61A13"/>
    <w:rsid w:val="00C6311A"/>
    <w:rsid w:val="00C7084D"/>
    <w:rsid w:val="00C7315E"/>
    <w:rsid w:val="00C75895"/>
    <w:rsid w:val="00C75AB6"/>
    <w:rsid w:val="00C83C9F"/>
    <w:rsid w:val="00C94840"/>
    <w:rsid w:val="00C95C18"/>
    <w:rsid w:val="00C96995"/>
    <w:rsid w:val="00CA0624"/>
    <w:rsid w:val="00CA4EE3"/>
    <w:rsid w:val="00CB027F"/>
    <w:rsid w:val="00CB5CDD"/>
    <w:rsid w:val="00CC0EBB"/>
    <w:rsid w:val="00CC6297"/>
    <w:rsid w:val="00CC6644"/>
    <w:rsid w:val="00CC7649"/>
    <w:rsid w:val="00CC7690"/>
    <w:rsid w:val="00CD1986"/>
    <w:rsid w:val="00CD2B91"/>
    <w:rsid w:val="00CD54BF"/>
    <w:rsid w:val="00CE01E8"/>
    <w:rsid w:val="00CE4D5C"/>
    <w:rsid w:val="00CE7D3E"/>
    <w:rsid w:val="00CF05DA"/>
    <w:rsid w:val="00CF203A"/>
    <w:rsid w:val="00CF51C9"/>
    <w:rsid w:val="00CF58EB"/>
    <w:rsid w:val="00CF6FEC"/>
    <w:rsid w:val="00D0106E"/>
    <w:rsid w:val="00D035C0"/>
    <w:rsid w:val="00D03649"/>
    <w:rsid w:val="00D06383"/>
    <w:rsid w:val="00D07258"/>
    <w:rsid w:val="00D12B41"/>
    <w:rsid w:val="00D20E85"/>
    <w:rsid w:val="00D23B4A"/>
    <w:rsid w:val="00D24615"/>
    <w:rsid w:val="00D24DEB"/>
    <w:rsid w:val="00D24FD6"/>
    <w:rsid w:val="00D25A25"/>
    <w:rsid w:val="00D2650F"/>
    <w:rsid w:val="00D3135B"/>
    <w:rsid w:val="00D34447"/>
    <w:rsid w:val="00D37842"/>
    <w:rsid w:val="00D42DC2"/>
    <w:rsid w:val="00D4302B"/>
    <w:rsid w:val="00D4322F"/>
    <w:rsid w:val="00D51C01"/>
    <w:rsid w:val="00D537E1"/>
    <w:rsid w:val="00D544F5"/>
    <w:rsid w:val="00D550C3"/>
    <w:rsid w:val="00D55BB2"/>
    <w:rsid w:val="00D6091A"/>
    <w:rsid w:val="00D6605A"/>
    <w:rsid w:val="00D6695F"/>
    <w:rsid w:val="00D67735"/>
    <w:rsid w:val="00D679CA"/>
    <w:rsid w:val="00D70708"/>
    <w:rsid w:val="00D747C4"/>
    <w:rsid w:val="00D747EC"/>
    <w:rsid w:val="00D75014"/>
    <w:rsid w:val="00D75644"/>
    <w:rsid w:val="00D75C52"/>
    <w:rsid w:val="00D772E7"/>
    <w:rsid w:val="00D80B26"/>
    <w:rsid w:val="00D81656"/>
    <w:rsid w:val="00D825FE"/>
    <w:rsid w:val="00D83422"/>
    <w:rsid w:val="00D83D87"/>
    <w:rsid w:val="00D83E38"/>
    <w:rsid w:val="00D84A6D"/>
    <w:rsid w:val="00D86A30"/>
    <w:rsid w:val="00D9189E"/>
    <w:rsid w:val="00D97CB4"/>
    <w:rsid w:val="00D97DD4"/>
    <w:rsid w:val="00DA08BD"/>
    <w:rsid w:val="00DA4000"/>
    <w:rsid w:val="00DA5A8A"/>
    <w:rsid w:val="00DB019A"/>
    <w:rsid w:val="00DB1170"/>
    <w:rsid w:val="00DB26CD"/>
    <w:rsid w:val="00DB3DD9"/>
    <w:rsid w:val="00DB441C"/>
    <w:rsid w:val="00DB44AF"/>
    <w:rsid w:val="00DC1F58"/>
    <w:rsid w:val="00DC339B"/>
    <w:rsid w:val="00DC5D40"/>
    <w:rsid w:val="00DC69A7"/>
    <w:rsid w:val="00DD30E9"/>
    <w:rsid w:val="00DD3E4E"/>
    <w:rsid w:val="00DD4F47"/>
    <w:rsid w:val="00DD7FBB"/>
    <w:rsid w:val="00DE0B9F"/>
    <w:rsid w:val="00DE1E60"/>
    <w:rsid w:val="00DE2A9E"/>
    <w:rsid w:val="00DE3FB8"/>
    <w:rsid w:val="00DE4238"/>
    <w:rsid w:val="00DE657F"/>
    <w:rsid w:val="00DE7FF4"/>
    <w:rsid w:val="00DF1218"/>
    <w:rsid w:val="00DF2DED"/>
    <w:rsid w:val="00DF6462"/>
    <w:rsid w:val="00E00B33"/>
    <w:rsid w:val="00E02FA0"/>
    <w:rsid w:val="00E036DC"/>
    <w:rsid w:val="00E10454"/>
    <w:rsid w:val="00E112E5"/>
    <w:rsid w:val="00E122D8"/>
    <w:rsid w:val="00E12CC8"/>
    <w:rsid w:val="00E12F7F"/>
    <w:rsid w:val="00E15352"/>
    <w:rsid w:val="00E20DC3"/>
    <w:rsid w:val="00E21CC7"/>
    <w:rsid w:val="00E24D9E"/>
    <w:rsid w:val="00E25849"/>
    <w:rsid w:val="00E262A2"/>
    <w:rsid w:val="00E3197E"/>
    <w:rsid w:val="00E342F8"/>
    <w:rsid w:val="00E351ED"/>
    <w:rsid w:val="00E43607"/>
    <w:rsid w:val="00E51822"/>
    <w:rsid w:val="00E55BAC"/>
    <w:rsid w:val="00E573EB"/>
    <w:rsid w:val="00E6034B"/>
    <w:rsid w:val="00E63499"/>
    <w:rsid w:val="00E6549E"/>
    <w:rsid w:val="00E65EDE"/>
    <w:rsid w:val="00E70F81"/>
    <w:rsid w:val="00E7352A"/>
    <w:rsid w:val="00E77055"/>
    <w:rsid w:val="00E77460"/>
    <w:rsid w:val="00E80A43"/>
    <w:rsid w:val="00E83ABC"/>
    <w:rsid w:val="00E844F2"/>
    <w:rsid w:val="00E90AD0"/>
    <w:rsid w:val="00E91BE6"/>
    <w:rsid w:val="00E92FCB"/>
    <w:rsid w:val="00E96800"/>
    <w:rsid w:val="00EA147F"/>
    <w:rsid w:val="00EA4A27"/>
    <w:rsid w:val="00EA4FA6"/>
    <w:rsid w:val="00EA6534"/>
    <w:rsid w:val="00EA66FE"/>
    <w:rsid w:val="00EB1A25"/>
    <w:rsid w:val="00EB7CA4"/>
    <w:rsid w:val="00EC7363"/>
    <w:rsid w:val="00EC79FF"/>
    <w:rsid w:val="00ED03AB"/>
    <w:rsid w:val="00ED1963"/>
    <w:rsid w:val="00ED1CD4"/>
    <w:rsid w:val="00ED1D2B"/>
    <w:rsid w:val="00ED64B5"/>
    <w:rsid w:val="00ED75C9"/>
    <w:rsid w:val="00EE1F26"/>
    <w:rsid w:val="00EE255F"/>
    <w:rsid w:val="00EE2FE5"/>
    <w:rsid w:val="00EE7CCA"/>
    <w:rsid w:val="00EF3A9D"/>
    <w:rsid w:val="00EF3F13"/>
    <w:rsid w:val="00F16A14"/>
    <w:rsid w:val="00F171C1"/>
    <w:rsid w:val="00F24E02"/>
    <w:rsid w:val="00F362D7"/>
    <w:rsid w:val="00F37D7B"/>
    <w:rsid w:val="00F4096A"/>
    <w:rsid w:val="00F4315C"/>
    <w:rsid w:val="00F50373"/>
    <w:rsid w:val="00F5314C"/>
    <w:rsid w:val="00F545A2"/>
    <w:rsid w:val="00F5688C"/>
    <w:rsid w:val="00F60048"/>
    <w:rsid w:val="00F61B32"/>
    <w:rsid w:val="00F635DD"/>
    <w:rsid w:val="00F65B03"/>
    <w:rsid w:val="00F6627B"/>
    <w:rsid w:val="00F72595"/>
    <w:rsid w:val="00F7336E"/>
    <w:rsid w:val="00F734F2"/>
    <w:rsid w:val="00F75052"/>
    <w:rsid w:val="00F804D3"/>
    <w:rsid w:val="00F807C7"/>
    <w:rsid w:val="00F816CB"/>
    <w:rsid w:val="00F81CD2"/>
    <w:rsid w:val="00F82641"/>
    <w:rsid w:val="00F87C8D"/>
    <w:rsid w:val="00F90F18"/>
    <w:rsid w:val="00F915A7"/>
    <w:rsid w:val="00F937E4"/>
    <w:rsid w:val="00F95EE7"/>
    <w:rsid w:val="00F97D7D"/>
    <w:rsid w:val="00FA39E6"/>
    <w:rsid w:val="00FA410B"/>
    <w:rsid w:val="00FA6FCE"/>
    <w:rsid w:val="00FA7BC9"/>
    <w:rsid w:val="00FB253B"/>
    <w:rsid w:val="00FB378E"/>
    <w:rsid w:val="00FB37F1"/>
    <w:rsid w:val="00FB47C0"/>
    <w:rsid w:val="00FB501B"/>
    <w:rsid w:val="00FB52AD"/>
    <w:rsid w:val="00FB7770"/>
    <w:rsid w:val="00FC54E3"/>
    <w:rsid w:val="00FC5B51"/>
    <w:rsid w:val="00FD1E0D"/>
    <w:rsid w:val="00FD3B91"/>
    <w:rsid w:val="00FD576B"/>
    <w:rsid w:val="00FD579E"/>
    <w:rsid w:val="00FD6845"/>
    <w:rsid w:val="00FD711B"/>
    <w:rsid w:val="00FE1DBF"/>
    <w:rsid w:val="00FE4516"/>
    <w:rsid w:val="00FE64C8"/>
    <w:rsid w:val="00FF1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E508418-2087-48EF-9F64-7189DAEC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92231C"/>
    <w:pPr>
      <w:snapToGrid w:val="0"/>
      <w:jc w:val="left"/>
    </w:pPr>
    <w:rPr>
      <w:sz w:val="20"/>
    </w:rPr>
  </w:style>
  <w:style w:type="character" w:customStyle="1" w:styleId="afe">
    <w:name w:val="註腳文字 字元"/>
    <w:basedOn w:val="a7"/>
    <w:link w:val="afd"/>
    <w:uiPriority w:val="99"/>
    <w:semiHidden/>
    <w:rsid w:val="0092231C"/>
    <w:rPr>
      <w:rFonts w:ascii="標楷體" w:eastAsia="標楷體"/>
      <w:kern w:val="2"/>
    </w:rPr>
  </w:style>
  <w:style w:type="character" w:styleId="aff">
    <w:name w:val="footnote reference"/>
    <w:basedOn w:val="a7"/>
    <w:uiPriority w:val="99"/>
    <w:semiHidden/>
    <w:unhideWhenUsed/>
    <w:rsid w:val="00922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2534">
      <w:bodyDiv w:val="1"/>
      <w:marLeft w:val="0"/>
      <w:marRight w:val="0"/>
      <w:marTop w:val="0"/>
      <w:marBottom w:val="0"/>
      <w:divBdr>
        <w:top w:val="none" w:sz="0" w:space="0" w:color="auto"/>
        <w:left w:val="none" w:sz="0" w:space="0" w:color="auto"/>
        <w:bottom w:val="none" w:sz="0" w:space="0" w:color="auto"/>
        <w:right w:val="none" w:sz="0" w:space="0" w:color="auto"/>
      </w:divBdr>
    </w:div>
    <w:div w:id="299313163">
      <w:bodyDiv w:val="1"/>
      <w:marLeft w:val="0"/>
      <w:marRight w:val="0"/>
      <w:marTop w:val="0"/>
      <w:marBottom w:val="0"/>
      <w:divBdr>
        <w:top w:val="none" w:sz="0" w:space="0" w:color="auto"/>
        <w:left w:val="none" w:sz="0" w:space="0" w:color="auto"/>
        <w:bottom w:val="none" w:sz="0" w:space="0" w:color="auto"/>
        <w:right w:val="none" w:sz="0" w:space="0" w:color="auto"/>
      </w:divBdr>
    </w:div>
    <w:div w:id="502622855">
      <w:bodyDiv w:val="1"/>
      <w:marLeft w:val="0"/>
      <w:marRight w:val="0"/>
      <w:marTop w:val="0"/>
      <w:marBottom w:val="0"/>
      <w:divBdr>
        <w:top w:val="none" w:sz="0" w:space="0" w:color="auto"/>
        <w:left w:val="none" w:sz="0" w:space="0" w:color="auto"/>
        <w:bottom w:val="none" w:sz="0" w:space="0" w:color="auto"/>
        <w:right w:val="none" w:sz="0" w:space="0" w:color="auto"/>
      </w:divBdr>
    </w:div>
    <w:div w:id="588000344">
      <w:bodyDiv w:val="1"/>
      <w:marLeft w:val="0"/>
      <w:marRight w:val="0"/>
      <w:marTop w:val="0"/>
      <w:marBottom w:val="0"/>
      <w:divBdr>
        <w:top w:val="none" w:sz="0" w:space="0" w:color="auto"/>
        <w:left w:val="none" w:sz="0" w:space="0" w:color="auto"/>
        <w:bottom w:val="none" w:sz="0" w:space="0" w:color="auto"/>
        <w:right w:val="none" w:sz="0" w:space="0" w:color="auto"/>
      </w:divBdr>
    </w:div>
    <w:div w:id="7300374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2940771">
      <w:bodyDiv w:val="1"/>
      <w:marLeft w:val="0"/>
      <w:marRight w:val="0"/>
      <w:marTop w:val="0"/>
      <w:marBottom w:val="0"/>
      <w:divBdr>
        <w:top w:val="none" w:sz="0" w:space="0" w:color="auto"/>
        <w:left w:val="none" w:sz="0" w:space="0" w:color="auto"/>
        <w:bottom w:val="none" w:sz="0" w:space="0" w:color="auto"/>
        <w:right w:val="none" w:sz="0" w:space="0" w:color="auto"/>
      </w:divBdr>
    </w:div>
    <w:div w:id="1405761201">
      <w:bodyDiv w:val="1"/>
      <w:marLeft w:val="0"/>
      <w:marRight w:val="0"/>
      <w:marTop w:val="0"/>
      <w:marBottom w:val="0"/>
      <w:divBdr>
        <w:top w:val="none" w:sz="0" w:space="0" w:color="auto"/>
        <w:left w:val="none" w:sz="0" w:space="0" w:color="auto"/>
        <w:bottom w:val="none" w:sz="0" w:space="0" w:color="auto"/>
        <w:right w:val="none" w:sz="0" w:space="0" w:color="auto"/>
      </w:divBdr>
    </w:div>
    <w:div w:id="1533569039">
      <w:bodyDiv w:val="1"/>
      <w:marLeft w:val="0"/>
      <w:marRight w:val="0"/>
      <w:marTop w:val="0"/>
      <w:marBottom w:val="0"/>
      <w:divBdr>
        <w:top w:val="none" w:sz="0" w:space="0" w:color="auto"/>
        <w:left w:val="none" w:sz="0" w:space="0" w:color="auto"/>
        <w:bottom w:val="none" w:sz="0" w:space="0" w:color="auto"/>
        <w:right w:val="none" w:sz="0" w:space="0" w:color="auto"/>
      </w:divBdr>
    </w:div>
    <w:div w:id="1544903184">
      <w:bodyDiv w:val="1"/>
      <w:marLeft w:val="0"/>
      <w:marRight w:val="0"/>
      <w:marTop w:val="0"/>
      <w:marBottom w:val="0"/>
      <w:divBdr>
        <w:top w:val="none" w:sz="0" w:space="0" w:color="auto"/>
        <w:left w:val="none" w:sz="0" w:space="0" w:color="auto"/>
        <w:bottom w:val="none" w:sz="0" w:space="0" w:color="auto"/>
        <w:right w:val="none" w:sz="0" w:space="0" w:color="auto"/>
      </w:divBdr>
    </w:div>
    <w:div w:id="1571620833">
      <w:bodyDiv w:val="1"/>
      <w:marLeft w:val="0"/>
      <w:marRight w:val="0"/>
      <w:marTop w:val="0"/>
      <w:marBottom w:val="0"/>
      <w:divBdr>
        <w:top w:val="none" w:sz="0" w:space="0" w:color="auto"/>
        <w:left w:val="none" w:sz="0" w:space="0" w:color="auto"/>
        <w:bottom w:val="none" w:sz="0" w:space="0" w:color="auto"/>
        <w:right w:val="none" w:sz="0" w:space="0" w:color="auto"/>
      </w:divBdr>
    </w:div>
    <w:div w:id="16618087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fnpn.gov.tw/ct/Board.php?page=BoardDetail&amp;BoardCatID=0&amp;BOD_ID=515&amp;xarea=N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6848855054938482E-2"/>
          <c:y val="0.13072792023691504"/>
          <c:w val="0.86124093359297826"/>
          <c:h val="0.71062455404782499"/>
        </c:manualLayout>
      </c:layout>
      <c:lineChart>
        <c:grouping val="standard"/>
        <c:varyColors val="0"/>
        <c:ser>
          <c:idx val="2"/>
          <c:order val="0"/>
          <c:tx>
            <c:strRef>
              <c:f>工作表1!$D$1</c:f>
              <c:strCache>
                <c:ptCount val="1"/>
                <c:pt idx="0">
                  <c:v>每坪決標單價(萬元)</c:v>
                </c:pt>
              </c:strCache>
            </c:strRef>
          </c:tx>
          <c:cat>
            <c:strRef>
              <c:f>工作表1!$A$2:$A$32</c:f>
              <c:strCache>
                <c:ptCount val="31"/>
                <c:pt idx="0">
                  <c:v>103年10月</c:v>
                </c:pt>
                <c:pt idx="1">
                  <c:v>105年9月</c:v>
                </c:pt>
                <c:pt idx="2">
                  <c:v>105年12月</c:v>
                </c:pt>
                <c:pt idx="3">
                  <c:v>106年4月</c:v>
                </c:pt>
                <c:pt idx="4">
                  <c:v>106年4月</c:v>
                </c:pt>
                <c:pt idx="5">
                  <c:v>106年4月</c:v>
                </c:pt>
                <c:pt idx="6">
                  <c:v>106年7月</c:v>
                </c:pt>
                <c:pt idx="7">
                  <c:v>106年7月</c:v>
                </c:pt>
                <c:pt idx="8">
                  <c:v>106年7月</c:v>
                </c:pt>
                <c:pt idx="9">
                  <c:v>106年7月</c:v>
                </c:pt>
                <c:pt idx="10">
                  <c:v>106年7月</c:v>
                </c:pt>
                <c:pt idx="11">
                  <c:v>106年7月</c:v>
                </c:pt>
                <c:pt idx="12">
                  <c:v>106年7月</c:v>
                </c:pt>
                <c:pt idx="13">
                  <c:v>106年9月</c:v>
                </c:pt>
                <c:pt idx="14">
                  <c:v>106年9月</c:v>
                </c:pt>
                <c:pt idx="15">
                  <c:v>106年9月</c:v>
                </c:pt>
                <c:pt idx="16">
                  <c:v>106年9月</c:v>
                </c:pt>
                <c:pt idx="17">
                  <c:v>106年9月</c:v>
                </c:pt>
                <c:pt idx="18">
                  <c:v>106年9月</c:v>
                </c:pt>
                <c:pt idx="19">
                  <c:v>106年9月</c:v>
                </c:pt>
                <c:pt idx="20">
                  <c:v>106年9月</c:v>
                </c:pt>
                <c:pt idx="21">
                  <c:v>106年11月</c:v>
                </c:pt>
                <c:pt idx="22">
                  <c:v>106年11月</c:v>
                </c:pt>
                <c:pt idx="23">
                  <c:v>106年11月</c:v>
                </c:pt>
                <c:pt idx="24">
                  <c:v>106年11月</c:v>
                </c:pt>
                <c:pt idx="25">
                  <c:v>106年11月</c:v>
                </c:pt>
                <c:pt idx="26">
                  <c:v>106年11月</c:v>
                </c:pt>
                <c:pt idx="27">
                  <c:v>106年11月</c:v>
                </c:pt>
                <c:pt idx="28">
                  <c:v>106年11月</c:v>
                </c:pt>
                <c:pt idx="29">
                  <c:v>106年12月</c:v>
                </c:pt>
                <c:pt idx="30">
                  <c:v>106年12月</c:v>
                </c:pt>
              </c:strCache>
            </c:strRef>
          </c:cat>
          <c:val>
            <c:numRef>
              <c:f>工作表1!$D$2:$D$32</c:f>
              <c:numCache>
                <c:formatCode>0.0</c:formatCode>
                <c:ptCount val="31"/>
                <c:pt idx="0">
                  <c:v>80.107900000000001</c:v>
                </c:pt>
                <c:pt idx="1">
                  <c:v>70.750799999999998</c:v>
                </c:pt>
                <c:pt idx="2">
                  <c:v>72.177899999999994</c:v>
                </c:pt>
                <c:pt idx="3">
                  <c:v>62.438600000000001</c:v>
                </c:pt>
                <c:pt idx="4">
                  <c:v>62.410299999999999</c:v>
                </c:pt>
                <c:pt idx="5">
                  <c:v>66.042400000000001</c:v>
                </c:pt>
                <c:pt idx="6">
                  <c:v>61.346899999999998</c:v>
                </c:pt>
                <c:pt idx="7">
                  <c:v>64.254900000000006</c:v>
                </c:pt>
                <c:pt idx="8">
                  <c:v>62.567100000000003</c:v>
                </c:pt>
                <c:pt idx="9">
                  <c:v>62.292200000000001</c:v>
                </c:pt>
                <c:pt idx="10">
                  <c:v>63.599899999999998</c:v>
                </c:pt>
                <c:pt idx="11">
                  <c:v>66.551299999999998</c:v>
                </c:pt>
                <c:pt idx="12">
                  <c:v>64.673000000000002</c:v>
                </c:pt>
                <c:pt idx="13">
                  <c:v>65.323999999999998</c:v>
                </c:pt>
                <c:pt idx="14">
                  <c:v>62.252499999999998</c:v>
                </c:pt>
                <c:pt idx="15">
                  <c:v>64.458299999999994</c:v>
                </c:pt>
                <c:pt idx="16">
                  <c:v>64.767499999999998</c:v>
                </c:pt>
                <c:pt idx="17">
                  <c:v>63.2849</c:v>
                </c:pt>
                <c:pt idx="18">
                  <c:v>63.9011</c:v>
                </c:pt>
                <c:pt idx="19">
                  <c:v>64.646100000000004</c:v>
                </c:pt>
                <c:pt idx="20">
                  <c:v>66.573700000000002</c:v>
                </c:pt>
                <c:pt idx="21">
                  <c:v>64.891999999999996</c:v>
                </c:pt>
                <c:pt idx="22">
                  <c:v>63.606499999999997</c:v>
                </c:pt>
                <c:pt idx="23">
                  <c:v>62.564599999999999</c:v>
                </c:pt>
                <c:pt idx="24">
                  <c:v>62.952300000000001</c:v>
                </c:pt>
                <c:pt idx="25">
                  <c:v>62.110900000000001</c:v>
                </c:pt>
                <c:pt idx="26">
                  <c:v>64.259799999999998</c:v>
                </c:pt>
                <c:pt idx="27">
                  <c:v>63.2575</c:v>
                </c:pt>
                <c:pt idx="28">
                  <c:v>63.643999999999998</c:v>
                </c:pt>
                <c:pt idx="29">
                  <c:v>63.725900000000003</c:v>
                </c:pt>
                <c:pt idx="30">
                  <c:v>64.802400000000006</c:v>
                </c:pt>
              </c:numCache>
            </c:numRef>
          </c:val>
          <c:smooth val="0"/>
        </c:ser>
        <c:dLbls>
          <c:showLegendKey val="0"/>
          <c:showVal val="0"/>
          <c:showCatName val="0"/>
          <c:showSerName val="0"/>
          <c:showPercent val="0"/>
          <c:showBubbleSize val="0"/>
        </c:dLbls>
        <c:marker val="1"/>
        <c:smooth val="0"/>
        <c:axId val="337150904"/>
        <c:axId val="337152080"/>
      </c:lineChart>
      <c:catAx>
        <c:axId val="337150904"/>
        <c:scaling>
          <c:orientation val="minMax"/>
        </c:scaling>
        <c:delete val="0"/>
        <c:axPos val="b"/>
        <c:numFmt formatCode="General" sourceLinked="0"/>
        <c:majorTickMark val="none"/>
        <c:minorTickMark val="none"/>
        <c:tickLblPos val="nextTo"/>
        <c:txPr>
          <a:bodyPr rot="-2100000"/>
          <a:lstStyle/>
          <a:p>
            <a:pPr>
              <a:defRPr sz="800">
                <a:latin typeface="+mn-lt"/>
                <a:ea typeface="標楷體" panose="03000509000000000000" pitchFamily="65" charset="-120"/>
              </a:defRPr>
            </a:pPr>
            <a:endParaRPr lang="zh-TW"/>
          </a:p>
        </c:txPr>
        <c:crossAx val="337152080"/>
        <c:crosses val="autoZero"/>
        <c:auto val="1"/>
        <c:lblAlgn val="ctr"/>
        <c:lblOffset val="100"/>
        <c:noMultiLvlLbl val="0"/>
      </c:catAx>
      <c:valAx>
        <c:axId val="337152080"/>
        <c:scaling>
          <c:orientation val="minMax"/>
        </c:scaling>
        <c:delete val="0"/>
        <c:axPos val="l"/>
        <c:majorGridlines/>
        <c:title>
          <c:tx>
            <c:rich>
              <a:bodyPr rot="0" vert="horz"/>
              <a:lstStyle/>
              <a:p>
                <a:pPr>
                  <a:defRPr b="0">
                    <a:latin typeface="EmojiOne Color" panose="02000503000000000000" pitchFamily="2" charset="0"/>
                    <a:ea typeface="EmojiOne Color" panose="02000503000000000000" pitchFamily="2" charset="0"/>
                  </a:defRPr>
                </a:pPr>
                <a:r>
                  <a:rPr lang="zh-TW" altLang="en-US" b="0">
                    <a:latin typeface="EmojiOne Color" panose="02000503000000000000" pitchFamily="2" charset="0"/>
                  </a:rPr>
                  <a:t>（萬元／坪）</a:t>
                </a:r>
              </a:p>
            </c:rich>
          </c:tx>
          <c:layout>
            <c:manualLayout>
              <c:xMode val="edge"/>
              <c:yMode val="edge"/>
              <c:x val="2.2232100019755584E-3"/>
              <c:y val="2.7103473533330386E-2"/>
            </c:manualLayout>
          </c:layout>
          <c:overlay val="0"/>
        </c:title>
        <c:numFmt formatCode="0.0" sourceLinked="1"/>
        <c:majorTickMark val="none"/>
        <c:minorTickMark val="none"/>
        <c:tickLblPos val="nextTo"/>
        <c:txPr>
          <a:bodyPr/>
          <a:lstStyle/>
          <a:p>
            <a:pPr>
              <a:defRPr>
                <a:latin typeface="+mn-lt"/>
              </a:defRPr>
            </a:pPr>
            <a:endParaRPr lang="zh-TW"/>
          </a:p>
        </c:txPr>
        <c:crossAx val="3371509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FE362-5AB0-4D23-8E70-0A4D9760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1076</Words>
  <Characters>6136</Characters>
  <Application>Microsoft Office Word</Application>
  <DocSecurity>0</DocSecurity>
  <Lines>51</Lines>
  <Paragraphs>14</Paragraphs>
  <ScaleCrop>false</ScaleCrop>
  <Company>cy</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廖春媛</cp:lastModifiedBy>
  <cp:revision>2</cp:revision>
  <cp:lastPrinted>2018-03-02T01:08:00Z</cp:lastPrinted>
  <dcterms:created xsi:type="dcterms:W3CDTF">2018-03-07T07:17:00Z</dcterms:created>
  <dcterms:modified xsi:type="dcterms:W3CDTF">2018-03-07T07:17:00Z</dcterms:modified>
</cp:coreProperties>
</file>