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644" w:rsidRPr="004D141F" w:rsidRDefault="00D75644" w:rsidP="00F37D7B">
      <w:pPr>
        <w:pStyle w:val="af6"/>
      </w:pPr>
      <w:r w:rsidRPr="004D141F">
        <w:rPr>
          <w:rFonts w:hint="eastAsia"/>
        </w:rPr>
        <w:t>調查報告</w:t>
      </w:r>
    </w:p>
    <w:p w:rsidR="00E25849" w:rsidRPr="00F64E67" w:rsidRDefault="00E25849" w:rsidP="00FD67A4">
      <w:pPr>
        <w:pStyle w:val="1"/>
        <w:ind w:left="2127" w:hanging="2127"/>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2834150"/>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r w:rsidRPr="004E14FE">
        <w:rPr>
          <w:rFonts w:hint="eastAsia"/>
          <w:b/>
        </w:rPr>
        <w:t>案　　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00EF1CD2" w:rsidRPr="00D169A2">
        <w:rPr>
          <w:rFonts w:hAnsi="標楷體"/>
          <w:szCs w:val="32"/>
        </w:rPr>
        <w:t>據訴，臺北市政府辦理臺北市內湖科技園區產業支援設施BOT開發案、該市議會舊址開發案，招商之相關權利金疑涉有過低，恐造成政府權益受損，及內湖影視音產業園區招標案，改採地上權方式辦理，有降低其公益性之虞等情。究其實情為何？該府辦理前揭開發案之「公益性」與「財務計畫」衡平標準為何？招商權利金之計算方式為何？又內湖影視音產業園區於102年度迄今，仍未依相關規定辦理開發、招商之理由為何？上述各情均有深入瞭解之必要案。</w:t>
      </w:r>
    </w:p>
    <w:p w:rsidR="00F64E67" w:rsidRDefault="00F64E67" w:rsidP="00F64E67">
      <w:pPr>
        <w:pStyle w:val="1"/>
        <w:numPr>
          <w:ilvl w:val="0"/>
          <w:numId w:val="0"/>
        </w:numPr>
        <w:ind w:left="2381" w:hanging="2381"/>
      </w:pPr>
    </w:p>
    <w:p w:rsidR="00F64E67" w:rsidRDefault="00F64E67" w:rsidP="00F64E67">
      <w:pPr>
        <w:pStyle w:val="1"/>
        <w:numPr>
          <w:ilvl w:val="0"/>
          <w:numId w:val="0"/>
        </w:numPr>
        <w:ind w:left="2381" w:hanging="2381"/>
      </w:pPr>
    </w:p>
    <w:p w:rsidR="00F64E67" w:rsidRDefault="00F64E67" w:rsidP="00F64E67">
      <w:pPr>
        <w:pStyle w:val="1"/>
        <w:numPr>
          <w:ilvl w:val="0"/>
          <w:numId w:val="0"/>
        </w:numPr>
        <w:ind w:left="2381" w:hanging="2381"/>
      </w:pPr>
    </w:p>
    <w:p w:rsidR="00F64E67" w:rsidRDefault="00F64E67" w:rsidP="00F64E67">
      <w:pPr>
        <w:pStyle w:val="1"/>
        <w:numPr>
          <w:ilvl w:val="0"/>
          <w:numId w:val="0"/>
        </w:numPr>
        <w:ind w:left="2381" w:hanging="2381"/>
      </w:pPr>
    </w:p>
    <w:p w:rsidR="00F64E67" w:rsidRDefault="00F64E67" w:rsidP="00F64E67">
      <w:pPr>
        <w:pStyle w:val="1"/>
        <w:numPr>
          <w:ilvl w:val="0"/>
          <w:numId w:val="0"/>
        </w:numPr>
        <w:ind w:left="2381" w:hanging="2381"/>
      </w:pPr>
    </w:p>
    <w:p w:rsidR="00F64E67" w:rsidRDefault="00F64E67" w:rsidP="00F64E67">
      <w:pPr>
        <w:pStyle w:val="1"/>
        <w:numPr>
          <w:ilvl w:val="0"/>
          <w:numId w:val="0"/>
        </w:numPr>
        <w:ind w:left="2381" w:hanging="2381"/>
      </w:pPr>
    </w:p>
    <w:p w:rsidR="00F64E67" w:rsidRDefault="00F64E67" w:rsidP="00F64E67">
      <w:pPr>
        <w:pStyle w:val="1"/>
        <w:numPr>
          <w:ilvl w:val="0"/>
          <w:numId w:val="0"/>
        </w:numPr>
        <w:ind w:left="2381" w:hanging="2381"/>
      </w:pPr>
    </w:p>
    <w:p w:rsidR="00F64E67" w:rsidRDefault="00F64E67" w:rsidP="00F64E67">
      <w:pPr>
        <w:pStyle w:val="1"/>
        <w:numPr>
          <w:ilvl w:val="0"/>
          <w:numId w:val="0"/>
        </w:numPr>
        <w:ind w:left="2381" w:hanging="2381"/>
      </w:pPr>
    </w:p>
    <w:p w:rsidR="00F64E67" w:rsidRDefault="00F64E67" w:rsidP="00F64E67">
      <w:pPr>
        <w:pStyle w:val="1"/>
        <w:numPr>
          <w:ilvl w:val="0"/>
          <w:numId w:val="0"/>
        </w:numPr>
        <w:ind w:left="2381" w:hanging="2381"/>
      </w:pPr>
    </w:p>
    <w:p w:rsidR="00F64E67" w:rsidRDefault="00F64E67" w:rsidP="00F64E67">
      <w:pPr>
        <w:pStyle w:val="1"/>
        <w:numPr>
          <w:ilvl w:val="0"/>
          <w:numId w:val="0"/>
        </w:numPr>
        <w:ind w:left="2381" w:hanging="2381"/>
      </w:pPr>
    </w:p>
    <w:p w:rsidR="00F64E67" w:rsidRDefault="00F64E67" w:rsidP="00F64E67">
      <w:pPr>
        <w:pStyle w:val="1"/>
        <w:numPr>
          <w:ilvl w:val="0"/>
          <w:numId w:val="0"/>
        </w:numPr>
        <w:ind w:left="2381" w:hanging="2381"/>
      </w:pPr>
    </w:p>
    <w:p w:rsidR="00F64E67" w:rsidRDefault="00F64E67" w:rsidP="00F64E67">
      <w:pPr>
        <w:pStyle w:val="1"/>
        <w:numPr>
          <w:ilvl w:val="0"/>
          <w:numId w:val="0"/>
        </w:numPr>
        <w:ind w:left="2381" w:hanging="2381"/>
      </w:pPr>
    </w:p>
    <w:p w:rsidR="00F64E67" w:rsidRDefault="00F64E67" w:rsidP="00F64E67">
      <w:pPr>
        <w:pStyle w:val="1"/>
        <w:numPr>
          <w:ilvl w:val="0"/>
          <w:numId w:val="0"/>
        </w:numPr>
        <w:ind w:left="2381" w:hanging="2381"/>
      </w:pPr>
    </w:p>
    <w:p w:rsidR="00F64E67" w:rsidRDefault="00F64E67" w:rsidP="00F64E67">
      <w:pPr>
        <w:pStyle w:val="1"/>
        <w:numPr>
          <w:ilvl w:val="0"/>
          <w:numId w:val="0"/>
        </w:numPr>
        <w:ind w:left="2381" w:hanging="2381"/>
      </w:pPr>
    </w:p>
    <w:p w:rsidR="00F64E67" w:rsidRDefault="00F64E67" w:rsidP="00F64E67">
      <w:pPr>
        <w:pStyle w:val="1"/>
        <w:numPr>
          <w:ilvl w:val="0"/>
          <w:numId w:val="0"/>
        </w:numPr>
        <w:ind w:left="2381" w:hanging="2381"/>
      </w:pPr>
    </w:p>
    <w:p w:rsidR="00F64E67" w:rsidRDefault="00F64E67" w:rsidP="00F64E67">
      <w:pPr>
        <w:pStyle w:val="1"/>
        <w:numPr>
          <w:ilvl w:val="0"/>
          <w:numId w:val="0"/>
        </w:numPr>
        <w:ind w:left="2381" w:hanging="2381"/>
      </w:pPr>
    </w:p>
    <w:p w:rsidR="00F64E67" w:rsidRDefault="00F64E67" w:rsidP="00F64E67">
      <w:pPr>
        <w:pStyle w:val="1"/>
        <w:numPr>
          <w:ilvl w:val="0"/>
          <w:numId w:val="0"/>
        </w:numPr>
        <w:ind w:left="2381" w:hanging="2381"/>
      </w:pPr>
    </w:p>
    <w:p w:rsidR="00F64E67" w:rsidRDefault="00F64E67" w:rsidP="00F64E67">
      <w:pPr>
        <w:pStyle w:val="1"/>
        <w:numPr>
          <w:ilvl w:val="0"/>
          <w:numId w:val="0"/>
        </w:numPr>
        <w:ind w:left="2381" w:hanging="2381"/>
      </w:pPr>
    </w:p>
    <w:p w:rsidR="00E25849" w:rsidRPr="007108BB" w:rsidRDefault="00E25849" w:rsidP="00FE1848">
      <w:pPr>
        <w:pStyle w:val="1"/>
        <w:rPr>
          <w:b/>
        </w:rPr>
      </w:pPr>
      <w:bookmarkStart w:id="25" w:name="_Toc524895646"/>
      <w:bookmarkStart w:id="26" w:name="_Toc524896192"/>
      <w:bookmarkStart w:id="27" w:name="_Toc524896222"/>
      <w:bookmarkStart w:id="28" w:name="_Toc524902729"/>
      <w:bookmarkStart w:id="29" w:name="_Toc525066145"/>
      <w:bookmarkStart w:id="30" w:name="_Toc525070836"/>
      <w:bookmarkStart w:id="31" w:name="_Toc525938376"/>
      <w:bookmarkStart w:id="32" w:name="_Toc525939224"/>
      <w:bookmarkStart w:id="33" w:name="_Toc525939729"/>
      <w:bookmarkStart w:id="34" w:name="_Toc529218269"/>
      <w:bookmarkStart w:id="35" w:name="_Toc529222686"/>
      <w:bookmarkStart w:id="36" w:name="_Toc529223108"/>
      <w:bookmarkStart w:id="37" w:name="_Toc529223859"/>
      <w:bookmarkStart w:id="38" w:name="_Toc529228262"/>
      <w:bookmarkStart w:id="39" w:name="_Toc2400392"/>
      <w:bookmarkStart w:id="40" w:name="_Toc4316186"/>
      <w:bookmarkStart w:id="41" w:name="_Toc4473327"/>
      <w:bookmarkStart w:id="42" w:name="_Toc69556894"/>
      <w:bookmarkStart w:id="43" w:name="_Toc69556943"/>
      <w:bookmarkStart w:id="44" w:name="_Toc69609817"/>
      <w:bookmarkStart w:id="45" w:name="_Toc70241813"/>
      <w:bookmarkStart w:id="46" w:name="_Toc70242202"/>
      <w:bookmarkStart w:id="47" w:name="_Toc421794872"/>
      <w:bookmarkStart w:id="48" w:name="_Toc422834157"/>
      <w:r w:rsidRPr="007108BB">
        <w:rPr>
          <w:rFonts w:hint="eastAsia"/>
          <w:b/>
        </w:rPr>
        <w:lastRenderedPageBreak/>
        <w:t>調查意見：</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rsidR="00FE1848" w:rsidRDefault="00FE1848" w:rsidP="00FE1848">
      <w:pPr>
        <w:pStyle w:val="11"/>
        <w:ind w:left="640" w:firstLine="640"/>
        <w:rPr>
          <w:rFonts w:hAnsi="標楷體"/>
          <w:bCs/>
        </w:rPr>
      </w:pPr>
      <w:bookmarkStart w:id="49" w:name="_Toc524902730"/>
      <w:r w:rsidRPr="00E0251D">
        <w:rPr>
          <w:rFonts w:hAnsi="標楷體" w:hint="eastAsia"/>
          <w:bCs/>
        </w:rPr>
        <w:t>為調查</w:t>
      </w:r>
      <w:r w:rsidRPr="00E0251D">
        <w:rPr>
          <w:rFonts w:hAnsi="標楷體" w:hint="eastAsia"/>
          <w:szCs w:val="32"/>
        </w:rPr>
        <w:t>臺北市政府辦理</w:t>
      </w:r>
      <w:r w:rsidRPr="00E0251D">
        <w:rPr>
          <w:rFonts w:hAnsi="標楷體" w:hint="eastAsia"/>
          <w:bCs/>
        </w:rPr>
        <w:t>「臺北市內湖科技園區產業支援設施</w:t>
      </w:r>
      <w:r w:rsidRPr="00E0251D">
        <w:rPr>
          <w:rFonts w:hint="eastAsia"/>
          <w:szCs w:val="32"/>
        </w:rPr>
        <w:t>開發計畫興建營運移轉案</w:t>
      </w:r>
      <w:r w:rsidRPr="00E0251D">
        <w:rPr>
          <w:rFonts w:hAnsi="標楷體" w:hint="eastAsia"/>
          <w:bCs/>
        </w:rPr>
        <w:t>」、</w:t>
      </w:r>
      <w:r w:rsidR="00D275C7" w:rsidRPr="00E0251D">
        <w:rPr>
          <w:rFonts w:hAnsi="標楷體" w:hint="eastAsia"/>
          <w:bCs/>
        </w:rPr>
        <w:t>「臺北市內湖影視音產業園區設定地上權案」</w:t>
      </w:r>
      <w:r w:rsidRPr="00E0251D">
        <w:rPr>
          <w:rFonts w:hAnsi="標楷體" w:hint="eastAsia"/>
          <w:bCs/>
        </w:rPr>
        <w:t>及</w:t>
      </w:r>
      <w:r w:rsidR="00D275C7" w:rsidRPr="00E0251D">
        <w:rPr>
          <w:rFonts w:hAnsi="標楷體" w:hint="eastAsia"/>
          <w:bCs/>
        </w:rPr>
        <w:t>「臺北市市議會舊址開發案」</w:t>
      </w:r>
      <w:r w:rsidRPr="00E0251D">
        <w:rPr>
          <w:rFonts w:hAnsi="標楷體" w:hint="eastAsia"/>
          <w:bCs/>
        </w:rPr>
        <w:t>等3個招商開發案，本院於</w:t>
      </w:r>
      <w:r>
        <w:rPr>
          <w:rFonts w:hAnsi="標楷體" w:hint="eastAsia"/>
          <w:bCs/>
        </w:rPr>
        <w:t>民國（下同）</w:t>
      </w:r>
      <w:r w:rsidRPr="00E0251D">
        <w:rPr>
          <w:rFonts w:hAnsi="標楷體" w:hint="eastAsia"/>
          <w:bCs/>
        </w:rPr>
        <w:t>106年12月19日</w:t>
      </w:r>
      <w:r w:rsidR="00A57725" w:rsidRPr="008777C7">
        <w:rPr>
          <w:rFonts w:hAnsi="標楷體" w:hint="eastAsia"/>
          <w:szCs w:val="32"/>
        </w:rPr>
        <w:t>現場履勘3開發案之基地現況</w:t>
      </w:r>
      <w:r w:rsidR="00A57725">
        <w:rPr>
          <w:rFonts w:hAnsi="標楷體" w:hint="eastAsia"/>
          <w:szCs w:val="32"/>
        </w:rPr>
        <w:t>，由</w:t>
      </w:r>
      <w:r w:rsidR="00A57725" w:rsidRPr="008777C7">
        <w:rPr>
          <w:rFonts w:hAnsi="標楷體" w:hint="eastAsia"/>
          <w:szCs w:val="32"/>
        </w:rPr>
        <w:t>臺北市政府</w:t>
      </w:r>
      <w:r w:rsidR="00A57725">
        <w:rPr>
          <w:rFonts w:hAnsi="標楷體" w:hint="eastAsia"/>
          <w:szCs w:val="32"/>
        </w:rPr>
        <w:t>薛副秘書長春明率</w:t>
      </w:r>
      <w:r w:rsidR="00A57725" w:rsidRPr="00E0251D">
        <w:rPr>
          <w:rFonts w:hAnsi="標楷體" w:hint="eastAsia"/>
          <w:bCs/>
        </w:rPr>
        <w:t>該府產業發展局</w:t>
      </w:r>
      <w:r w:rsidR="00A57725">
        <w:rPr>
          <w:rFonts w:hAnsi="標楷體" w:hint="eastAsia"/>
          <w:bCs/>
        </w:rPr>
        <w:t>林</w:t>
      </w:r>
      <w:r w:rsidR="00A57725" w:rsidRPr="00E0251D">
        <w:rPr>
          <w:rFonts w:hAnsi="標楷體" w:hint="eastAsia"/>
          <w:bCs/>
        </w:rPr>
        <w:t>局長</w:t>
      </w:r>
      <w:r w:rsidR="00A57725">
        <w:rPr>
          <w:rFonts w:hAnsi="標楷體" w:hint="eastAsia"/>
          <w:bCs/>
        </w:rPr>
        <w:t>崇傑</w:t>
      </w:r>
      <w:r w:rsidR="00A57725" w:rsidRPr="00E0251D">
        <w:rPr>
          <w:rFonts w:hAnsi="標楷體" w:hint="eastAsia"/>
          <w:bCs/>
        </w:rPr>
        <w:t>、</w:t>
      </w:r>
      <w:r w:rsidR="00A57725">
        <w:rPr>
          <w:rFonts w:hAnsi="標楷體" w:hint="eastAsia"/>
          <w:bCs/>
        </w:rPr>
        <w:t>莊主任玫紅</w:t>
      </w:r>
      <w:r w:rsidR="00A57725">
        <w:rPr>
          <w:rFonts w:ascii="新細明體" w:eastAsia="新細明體" w:hAnsi="新細明體" w:hint="eastAsia"/>
          <w:bCs/>
        </w:rPr>
        <w:t>、</w:t>
      </w:r>
      <w:r w:rsidR="00A57725" w:rsidRPr="00E0251D">
        <w:rPr>
          <w:rFonts w:hAnsi="標楷體" w:hint="eastAsia"/>
          <w:bCs/>
        </w:rPr>
        <w:t>財政局</w:t>
      </w:r>
      <w:r w:rsidR="00A57725">
        <w:rPr>
          <w:rFonts w:hAnsi="標楷體" w:hint="eastAsia"/>
          <w:bCs/>
        </w:rPr>
        <w:t>陳</w:t>
      </w:r>
      <w:r w:rsidR="00A57725" w:rsidRPr="00E0251D">
        <w:rPr>
          <w:rFonts w:hAnsi="標楷體" w:hint="eastAsia"/>
          <w:bCs/>
        </w:rPr>
        <w:t>局長</w:t>
      </w:r>
      <w:r w:rsidR="00A57725">
        <w:rPr>
          <w:rFonts w:hAnsi="標楷體" w:hint="eastAsia"/>
          <w:bCs/>
        </w:rPr>
        <w:t>志銘</w:t>
      </w:r>
      <w:r w:rsidR="00A57725">
        <w:rPr>
          <w:rFonts w:ascii="新細明體" w:eastAsia="新細明體" w:hAnsi="新細明體" w:hint="eastAsia"/>
          <w:bCs/>
        </w:rPr>
        <w:t>、</w:t>
      </w:r>
      <w:r w:rsidR="00A57725">
        <w:rPr>
          <w:rFonts w:hAnsi="標楷體" w:hint="eastAsia"/>
          <w:bCs/>
        </w:rPr>
        <w:t>吳科長雅鳳，</w:t>
      </w:r>
      <w:r w:rsidR="00A57725" w:rsidRPr="00E0251D">
        <w:rPr>
          <w:rFonts w:hAnsi="標楷體" w:hint="eastAsia"/>
          <w:bCs/>
        </w:rPr>
        <w:t>及文化局</w:t>
      </w:r>
      <w:r w:rsidR="00A57725">
        <w:rPr>
          <w:rFonts w:hAnsi="標楷體" w:hint="eastAsia"/>
          <w:bCs/>
        </w:rPr>
        <w:t>李副局長麗珠與張研究員婷等主管人員陪同並簡報</w:t>
      </w:r>
      <w:r w:rsidR="00A57725">
        <w:rPr>
          <w:rFonts w:hAnsi="標楷體" w:hint="eastAsia"/>
          <w:szCs w:val="32"/>
        </w:rPr>
        <w:t>，</w:t>
      </w:r>
      <w:r w:rsidRPr="00E0251D">
        <w:rPr>
          <w:rFonts w:hAnsi="標楷體" w:hint="eastAsia"/>
          <w:bCs/>
        </w:rPr>
        <w:t>嗣於107年1月25日詢問臺北市鄧副市長家基</w:t>
      </w:r>
      <w:r w:rsidR="00A57725" w:rsidRPr="00E0251D">
        <w:rPr>
          <w:rFonts w:hAnsi="標楷體" w:hint="eastAsia"/>
          <w:bCs/>
        </w:rPr>
        <w:t>暨該府產業發展局吳副局長欣珮</w:t>
      </w:r>
      <w:r w:rsidR="00A57725">
        <w:rPr>
          <w:rFonts w:ascii="新細明體" w:eastAsia="新細明體" w:hAnsi="新細明體" w:hint="eastAsia"/>
          <w:bCs/>
        </w:rPr>
        <w:t>、</w:t>
      </w:r>
      <w:r w:rsidR="00A57725">
        <w:rPr>
          <w:rFonts w:hAnsi="標楷體" w:hint="eastAsia"/>
          <w:bCs/>
        </w:rPr>
        <w:t>黃股長小紋</w:t>
      </w:r>
      <w:r w:rsidR="00A57725" w:rsidRPr="00E0251D">
        <w:rPr>
          <w:rFonts w:hAnsi="標楷體" w:hint="eastAsia"/>
          <w:bCs/>
        </w:rPr>
        <w:t>、財政局游副局長適銘</w:t>
      </w:r>
      <w:r w:rsidR="00A57725">
        <w:rPr>
          <w:rFonts w:ascii="新細明體" w:eastAsia="新細明體" w:hAnsi="新細明體" w:hint="eastAsia"/>
          <w:bCs/>
        </w:rPr>
        <w:t>、</w:t>
      </w:r>
      <w:r w:rsidR="00A57725">
        <w:rPr>
          <w:rFonts w:hAnsi="標楷體" w:hint="eastAsia"/>
          <w:bCs/>
        </w:rPr>
        <w:t>吳科長雅鳳，</w:t>
      </w:r>
      <w:r w:rsidR="00A57725" w:rsidRPr="00E0251D">
        <w:rPr>
          <w:rFonts w:hAnsi="標楷體" w:hint="eastAsia"/>
          <w:bCs/>
        </w:rPr>
        <w:t>及文化局鍾局長永豐</w:t>
      </w:r>
      <w:r w:rsidR="00A57725">
        <w:rPr>
          <w:rFonts w:hAnsi="標楷體" w:hint="eastAsia"/>
          <w:bCs/>
        </w:rPr>
        <w:t>與郭科長佩瑜</w:t>
      </w:r>
      <w:r w:rsidR="00A57725" w:rsidRPr="00E0251D">
        <w:rPr>
          <w:rFonts w:hAnsi="標楷體" w:hint="eastAsia"/>
          <w:bCs/>
        </w:rPr>
        <w:t>等主管人員</w:t>
      </w:r>
      <w:r w:rsidRPr="00E0251D">
        <w:rPr>
          <w:rFonts w:hAnsi="標楷體" w:hint="eastAsia"/>
          <w:bCs/>
        </w:rPr>
        <w:t>後，業已調查竣事，</w:t>
      </w:r>
      <w:r>
        <w:rPr>
          <w:rFonts w:hAnsi="標楷體" w:hint="eastAsia"/>
          <w:bCs/>
        </w:rPr>
        <w:t>茲</w:t>
      </w:r>
      <w:r w:rsidRPr="00E0251D">
        <w:rPr>
          <w:rFonts w:hAnsi="標楷體" w:hint="eastAsia"/>
          <w:bCs/>
        </w:rPr>
        <w:t>臚列意見如下：</w:t>
      </w:r>
    </w:p>
    <w:p w:rsidR="00DE68CD" w:rsidRPr="00E0251D" w:rsidRDefault="00DE68CD" w:rsidP="00FE1848">
      <w:pPr>
        <w:pStyle w:val="11"/>
        <w:ind w:left="640" w:firstLine="640"/>
        <w:rPr>
          <w:rFonts w:hAnsi="標楷體"/>
          <w:bCs/>
        </w:rPr>
      </w:pPr>
    </w:p>
    <w:p w:rsidR="00FE1848" w:rsidRDefault="00FE1848" w:rsidP="00FE1848">
      <w:pPr>
        <w:pStyle w:val="2"/>
        <w:kinsoku w:val="0"/>
        <w:overflowPunct/>
        <w:autoSpaceDE/>
        <w:autoSpaceDN/>
        <w:ind w:left="1047" w:hanging="697"/>
        <w:rPr>
          <w:b/>
          <w:szCs w:val="32"/>
        </w:rPr>
      </w:pPr>
      <w:r w:rsidRPr="00D5050E">
        <w:rPr>
          <w:rFonts w:hint="eastAsia"/>
          <w:b/>
          <w:szCs w:val="32"/>
        </w:rPr>
        <w:t>臺北市政府</w:t>
      </w:r>
      <w:r>
        <w:rPr>
          <w:rFonts w:hint="eastAsia"/>
          <w:b/>
          <w:szCs w:val="32"/>
        </w:rPr>
        <w:t>辦理</w:t>
      </w:r>
      <w:r w:rsidRPr="00D5050E">
        <w:rPr>
          <w:rFonts w:hint="eastAsia"/>
          <w:b/>
          <w:szCs w:val="32"/>
        </w:rPr>
        <w:t>「臺北市內湖科技園區產業支援設施開發計畫興建營運移轉案」</w:t>
      </w:r>
      <w:r>
        <w:rPr>
          <w:rFonts w:hint="eastAsia"/>
          <w:b/>
          <w:szCs w:val="32"/>
        </w:rPr>
        <w:t>（94年間取得土地，迄</w:t>
      </w:r>
      <w:r w:rsidRPr="00D5050E">
        <w:rPr>
          <w:rFonts w:hint="eastAsia"/>
          <w:b/>
        </w:rPr>
        <w:t>106年5月25日</w:t>
      </w:r>
      <w:r>
        <w:rPr>
          <w:rFonts w:hint="eastAsia"/>
          <w:b/>
        </w:rPr>
        <w:t>始與民間機構簽訂BOT開發契約</w:t>
      </w:r>
      <w:r>
        <w:rPr>
          <w:rFonts w:hint="eastAsia"/>
          <w:b/>
          <w:szCs w:val="32"/>
        </w:rPr>
        <w:t>）</w:t>
      </w:r>
      <w:r w:rsidRPr="00D5050E">
        <w:rPr>
          <w:rFonts w:hint="eastAsia"/>
          <w:b/>
          <w:szCs w:val="32"/>
        </w:rPr>
        <w:t>、「內湖影視音產業園區設定地上權案」</w:t>
      </w:r>
      <w:r>
        <w:rPr>
          <w:rFonts w:hint="eastAsia"/>
          <w:b/>
          <w:szCs w:val="32"/>
        </w:rPr>
        <w:t>（94年間取得土地，迄未與民間機構簽約開發）</w:t>
      </w:r>
      <w:r w:rsidRPr="00D5050E">
        <w:rPr>
          <w:rFonts w:hint="eastAsia"/>
          <w:b/>
          <w:szCs w:val="32"/>
        </w:rPr>
        <w:t>及「市議會舊址設定地上權案」</w:t>
      </w:r>
      <w:r>
        <w:rPr>
          <w:rFonts w:hint="eastAsia"/>
          <w:b/>
          <w:szCs w:val="32"/>
        </w:rPr>
        <w:t>（96年</w:t>
      </w:r>
      <w:r w:rsidR="00332D50">
        <w:rPr>
          <w:rFonts w:hint="eastAsia"/>
          <w:b/>
          <w:szCs w:val="32"/>
        </w:rPr>
        <w:t>起</w:t>
      </w:r>
      <w:r>
        <w:rPr>
          <w:rFonts w:hint="eastAsia"/>
          <w:b/>
          <w:szCs w:val="32"/>
        </w:rPr>
        <w:t>閒置，迄106年10月25日始與民間機構簽訂設定地上權契約）等公私合作開發案</w:t>
      </w:r>
      <w:r w:rsidRPr="00E93D58">
        <w:rPr>
          <w:rFonts w:hint="eastAsia"/>
          <w:b/>
          <w:color w:val="000000"/>
          <w:szCs w:val="32"/>
        </w:rPr>
        <w:t>，核其決策反覆且規劃過程過於冗長，明顯</w:t>
      </w:r>
      <w:r>
        <w:rPr>
          <w:rFonts w:hint="eastAsia"/>
          <w:b/>
          <w:szCs w:val="32"/>
        </w:rPr>
        <w:t>未能掌握現代產業及其市場需求快速變遷之特性；復以對公有土地之管理利用亦失諸消極，致大面積精華土地</w:t>
      </w:r>
      <w:r w:rsidR="00332D50">
        <w:rPr>
          <w:rFonts w:hint="eastAsia"/>
          <w:b/>
          <w:szCs w:val="32"/>
        </w:rPr>
        <w:t>長期閒置，確</w:t>
      </w:r>
      <w:r>
        <w:rPr>
          <w:rFonts w:hint="eastAsia"/>
          <w:b/>
          <w:szCs w:val="32"/>
        </w:rPr>
        <w:t>有行政效率不佳之缺失。</w:t>
      </w:r>
    </w:p>
    <w:p w:rsidR="003A0864" w:rsidRDefault="003A0864" w:rsidP="003A0864">
      <w:pPr>
        <w:pStyle w:val="2"/>
        <w:numPr>
          <w:ilvl w:val="0"/>
          <w:numId w:val="0"/>
        </w:numPr>
        <w:kinsoku w:val="0"/>
        <w:overflowPunct/>
        <w:autoSpaceDE/>
        <w:autoSpaceDN/>
        <w:ind w:left="1047"/>
        <w:rPr>
          <w:b/>
          <w:szCs w:val="32"/>
        </w:rPr>
      </w:pPr>
    </w:p>
    <w:p w:rsidR="00FE1848" w:rsidRDefault="00FE1848" w:rsidP="00FE1848">
      <w:pPr>
        <w:pStyle w:val="3"/>
        <w:kinsoku w:val="0"/>
        <w:overflowPunct/>
        <w:autoSpaceDE/>
        <w:autoSpaceDN/>
        <w:ind w:left="1393" w:hanging="697"/>
      </w:pPr>
      <w:r w:rsidRPr="00732845">
        <w:rPr>
          <w:rFonts w:hint="eastAsia"/>
        </w:rPr>
        <w:t>「臺北市內湖科技園區產業支援設施開發計畫興建營運移轉案」</w:t>
      </w:r>
      <w:r>
        <w:rPr>
          <w:rFonts w:hint="eastAsia"/>
        </w:rPr>
        <w:t>(下稱</w:t>
      </w:r>
      <w:r>
        <w:rPr>
          <w:rFonts w:hAnsi="標楷體" w:hint="eastAsia"/>
        </w:rPr>
        <w:t>「</w:t>
      </w:r>
      <w:r w:rsidRPr="00B40797">
        <w:rPr>
          <w:rFonts w:hint="eastAsia"/>
          <w:szCs w:val="32"/>
        </w:rPr>
        <w:t>內科支援設施BOT</w:t>
      </w:r>
      <w:r>
        <w:rPr>
          <w:rStyle w:val="aff1"/>
          <w:rFonts w:hAnsi="標楷體"/>
        </w:rPr>
        <w:footnoteReference w:id="1"/>
      </w:r>
      <w:r w:rsidRPr="00B40797">
        <w:rPr>
          <w:rFonts w:hint="eastAsia"/>
          <w:szCs w:val="32"/>
        </w:rPr>
        <w:t>案</w:t>
      </w:r>
      <w:r>
        <w:rPr>
          <w:rFonts w:hAnsi="標楷體" w:hint="eastAsia"/>
          <w:szCs w:val="32"/>
        </w:rPr>
        <w:t>」</w:t>
      </w:r>
      <w:r>
        <w:rPr>
          <w:rFonts w:hint="eastAsia"/>
        </w:rPr>
        <w:t>)部分：</w:t>
      </w:r>
    </w:p>
    <w:p w:rsidR="00FE1848" w:rsidRPr="00CD5141" w:rsidRDefault="00FE1848" w:rsidP="00E96993">
      <w:pPr>
        <w:pStyle w:val="4"/>
      </w:pPr>
      <w:r>
        <w:rPr>
          <w:rFonts w:hint="eastAsia"/>
        </w:rPr>
        <w:t>臺北市政府基於產業發展需求等原因，前依都市計畫程序於91年7月26日公告實施</w:t>
      </w:r>
      <w:r>
        <w:rPr>
          <w:rFonts w:hAnsi="標楷體" w:hint="eastAsia"/>
        </w:rPr>
        <w:t>「變更臺北市『臺北</w:t>
      </w:r>
      <w:r w:rsidRPr="002D29AD">
        <w:rPr>
          <w:rFonts w:hAnsi="標楷體" w:hint="eastAsia"/>
        </w:rPr>
        <w:lastRenderedPageBreak/>
        <w:t>內湖科技園區</w:t>
      </w:r>
      <w:r>
        <w:rPr>
          <w:rFonts w:hAnsi="標楷體" w:hint="eastAsia"/>
        </w:rPr>
        <w:t>』（原內湖輕工業區）計畫案」，</w:t>
      </w:r>
      <w:r>
        <w:rPr>
          <w:rFonts w:hint="eastAsia"/>
        </w:rPr>
        <w:t>將該市內湖區西南隅之「內湖輕工業區」重新定位同時變更名稱為「臺北內湖科技園區」(下</w:t>
      </w:r>
      <w:r w:rsidRPr="000E6220">
        <w:rPr>
          <w:rFonts w:ascii="Times New Roman" w:hAnsi="Times New Roman"/>
          <w:szCs w:val="32"/>
        </w:rPr>
        <w:t>稱「內科園區」</w:t>
      </w:r>
      <w:r>
        <w:rPr>
          <w:rFonts w:hint="eastAsia"/>
        </w:rPr>
        <w:t>)計畫案，案內並將坐落</w:t>
      </w:r>
      <w:r w:rsidRPr="00FC22D1">
        <w:rPr>
          <w:rFonts w:hAnsi="標楷體" w:hint="eastAsia"/>
        </w:rPr>
        <w:t>臺北市立內湖高</w:t>
      </w:r>
      <w:r>
        <w:rPr>
          <w:rFonts w:hAnsi="標楷體" w:hint="eastAsia"/>
        </w:rPr>
        <w:t>級</w:t>
      </w:r>
      <w:r w:rsidRPr="00FC22D1">
        <w:rPr>
          <w:rFonts w:hAnsi="標楷體" w:hint="eastAsia"/>
        </w:rPr>
        <w:t>工</w:t>
      </w:r>
      <w:r>
        <w:rPr>
          <w:rFonts w:hAnsi="標楷體" w:hint="eastAsia"/>
        </w:rPr>
        <w:t>業職業學校</w:t>
      </w:r>
      <w:r>
        <w:rPr>
          <w:rFonts w:hint="eastAsia"/>
        </w:rPr>
        <w:t>南側之「醫療用地」及「機關用地」分別變更為</w:t>
      </w:r>
      <w:r>
        <w:rPr>
          <w:rFonts w:hAnsi="標楷體" w:hint="eastAsia"/>
        </w:rPr>
        <w:t>「產業支援設施用地</w:t>
      </w:r>
      <w:r>
        <w:rPr>
          <w:rStyle w:val="aff1"/>
          <w:rFonts w:hAnsi="標楷體"/>
        </w:rPr>
        <w:footnoteReference w:id="2"/>
      </w:r>
      <w:r>
        <w:rPr>
          <w:rFonts w:hAnsi="標楷體" w:hint="eastAsia"/>
        </w:rPr>
        <w:t>」</w:t>
      </w:r>
      <w:r>
        <w:rPr>
          <w:rFonts w:hint="eastAsia"/>
        </w:rPr>
        <w:t>（西湖段4小段6、6-1及7地號，面積1.4989</w:t>
      </w:r>
      <w:r>
        <w:rPr>
          <w:rFonts w:hAnsi="標楷體" w:hint="eastAsia"/>
        </w:rPr>
        <w:t>公頃</w:t>
      </w:r>
      <w:r>
        <w:rPr>
          <w:rFonts w:hint="eastAsia"/>
        </w:rPr>
        <w:t>）</w:t>
      </w:r>
      <w:r>
        <w:rPr>
          <w:rFonts w:hAnsi="標楷體" w:hint="eastAsia"/>
        </w:rPr>
        <w:t>及「</w:t>
      </w:r>
      <w:r w:rsidRPr="00302499">
        <w:rPr>
          <w:rFonts w:hAnsi="標楷體" w:hint="eastAsia"/>
        </w:rPr>
        <w:t>公共服務設施用地</w:t>
      </w:r>
      <w:r>
        <w:rPr>
          <w:rStyle w:val="aff1"/>
          <w:rFonts w:hAnsi="標楷體"/>
        </w:rPr>
        <w:footnoteReference w:id="3"/>
      </w:r>
      <w:r>
        <w:rPr>
          <w:rFonts w:hAnsi="標楷體" w:hint="eastAsia"/>
        </w:rPr>
        <w:t>」（</w:t>
      </w:r>
      <w:r>
        <w:rPr>
          <w:rFonts w:hint="eastAsia"/>
        </w:rPr>
        <w:t>西湖段4小段2、3等地號，面積0.2553公頃</w:t>
      </w:r>
      <w:r>
        <w:rPr>
          <w:rFonts w:hAnsi="標楷體" w:hint="eastAsia"/>
        </w:rPr>
        <w:t>）</w:t>
      </w:r>
      <w:r>
        <w:rPr>
          <w:rStyle w:val="aff1"/>
        </w:rPr>
        <w:footnoteReference w:id="4"/>
      </w:r>
      <w:r>
        <w:rPr>
          <w:rFonts w:hAnsi="標楷體" w:hint="eastAsia"/>
        </w:rPr>
        <w:t>。然</w:t>
      </w:r>
      <w:r w:rsidRPr="00371AB1">
        <w:rPr>
          <w:rFonts w:hAnsi="標楷體" w:hint="eastAsia"/>
        </w:rPr>
        <w:t>「產業支援設施用地」</w:t>
      </w:r>
      <w:r>
        <w:rPr>
          <w:rFonts w:hAnsi="標楷體" w:hint="eastAsia"/>
        </w:rPr>
        <w:t>自94年間以有償撥用或價購方式取得後</w:t>
      </w:r>
      <w:r>
        <w:rPr>
          <w:rStyle w:val="aff1"/>
          <w:rFonts w:hAnsi="標楷體"/>
        </w:rPr>
        <w:footnoteReference w:id="5"/>
      </w:r>
      <w:r>
        <w:rPr>
          <w:rFonts w:hAnsi="標楷體" w:hint="eastAsia"/>
        </w:rPr>
        <w:t>，歷經9年始經臺北市政府於103年7月7日公告實施「臺北市內湖區西湖段四小段6、6-1、及7地號之產業支援設施用地使用開發計畫」，規劃結合周邊「</w:t>
      </w:r>
      <w:r w:rsidRPr="00302499">
        <w:rPr>
          <w:rFonts w:hAnsi="標楷體" w:hint="eastAsia"/>
        </w:rPr>
        <w:t>公共服務設施用地</w:t>
      </w:r>
      <w:r>
        <w:rPr>
          <w:rFonts w:hAnsi="標楷體" w:hint="eastAsia"/>
        </w:rPr>
        <w:t>」設置雲端產業園區。</w:t>
      </w:r>
    </w:p>
    <w:p w:rsidR="00384F38" w:rsidRPr="00384F38" w:rsidRDefault="00FE1848" w:rsidP="00D25F5D">
      <w:pPr>
        <w:pStyle w:val="4"/>
        <w:spacing w:afterLines="50" w:after="228"/>
        <w:rPr>
          <w:rFonts w:hAnsi="標楷體"/>
        </w:rPr>
      </w:pPr>
      <w:r>
        <w:rPr>
          <w:rFonts w:hint="eastAsia"/>
        </w:rPr>
        <w:t>旋經2年，臺北市政府又以</w:t>
      </w:r>
      <w:r w:rsidRPr="00F646CC">
        <w:rPr>
          <w:rFonts w:hint="eastAsia"/>
        </w:rPr>
        <w:t>資訊與科技進步，引發新產業革命，轉向</w:t>
      </w:r>
      <w:r w:rsidRPr="002B0D8B">
        <w:rPr>
          <w:rFonts w:hAnsi="標楷體" w:hint="eastAsia"/>
        </w:rPr>
        <w:t>創意</w:t>
      </w:r>
      <w:r w:rsidRPr="00F646CC">
        <w:rPr>
          <w:rFonts w:hint="eastAsia"/>
        </w:rPr>
        <w:t>密集與發展高附加價值優勢產業，年輕世代創新及創意正改變</w:t>
      </w:r>
      <w:r w:rsidRPr="00384F38">
        <w:rPr>
          <w:rFonts w:hAnsi="標楷體" w:hint="eastAsia"/>
        </w:rPr>
        <w:t>全球，行動雲端、智慧物聯、網路創新及數位經濟成為當前產業新趨勢，從美國矽谷延燒至歐亞各國，政府與民間莫不加速推動創新創業，以</w:t>
      </w:r>
      <w:r w:rsidR="00332D50" w:rsidRPr="00384F38">
        <w:rPr>
          <w:rFonts w:hAnsi="標楷體" w:hint="eastAsia"/>
        </w:rPr>
        <w:t>增強</w:t>
      </w:r>
      <w:r w:rsidRPr="00384F38">
        <w:rPr>
          <w:rFonts w:hAnsi="標楷體" w:hint="eastAsia"/>
        </w:rPr>
        <w:t>全球競爭力為由，乃提出</w:t>
      </w:r>
      <w:r w:rsidRPr="00384F38">
        <w:rPr>
          <w:rFonts w:hAnsi="標楷體"/>
        </w:rPr>
        <w:t>「內科2.0</w:t>
      </w:r>
      <w:r w:rsidRPr="00384F38">
        <w:rPr>
          <w:rFonts w:hAnsi="標楷體" w:hint="eastAsia"/>
        </w:rPr>
        <w:t>計畫</w:t>
      </w:r>
      <w:r w:rsidRPr="00384F38">
        <w:rPr>
          <w:rFonts w:hAnsi="標楷體"/>
        </w:rPr>
        <w:t>」</w:t>
      </w:r>
      <w:r w:rsidRPr="00384F38">
        <w:rPr>
          <w:rFonts w:hAnsi="標楷體" w:hint="eastAsia"/>
        </w:rPr>
        <w:t>，並將前揭「產業支援設施用地」及「公共服務設施用地」納入該計畫之開發基地之一，復於105年8月25日公告修正前揭「臺北市內湖</w:t>
      </w:r>
      <w:r w:rsidRPr="00384F38">
        <w:rPr>
          <w:rFonts w:hAnsi="標楷體" w:hint="eastAsia"/>
        </w:rPr>
        <w:lastRenderedPageBreak/>
        <w:t>區西湖段四小段6、6-1、及7地號之產業支援設施用地使用開發計畫」，將案內「產業支援設施用地」之用途，改定位</w:t>
      </w:r>
      <w:r w:rsidRPr="00384F38">
        <w:rPr>
          <w:rFonts w:hAnsi="標楷體"/>
        </w:rPr>
        <w:t>以鼓勵跨領域產業整合，並善用內湖科技園區既有產業群聚優勢，引入資通訊、科技、光電、生技、綠能、媒體、金融等相關高附加價值產業為主</w:t>
      </w:r>
      <w:r w:rsidRPr="00384F38">
        <w:rPr>
          <w:rFonts w:hAnsi="標楷體" w:hint="eastAsia"/>
        </w:rPr>
        <w:t>，其</w:t>
      </w:r>
      <w:r w:rsidRPr="00384F38">
        <w:rPr>
          <w:rFonts w:hAnsi="標楷體"/>
        </w:rPr>
        <w:t>主體使用包括產業創新研發中心、育成加速中心、人才培育中心、共同工作空間</w:t>
      </w:r>
      <w:r w:rsidRPr="00384F38">
        <w:rPr>
          <w:rFonts w:hAnsi="標楷體" w:hint="eastAsia"/>
        </w:rPr>
        <w:t>、</w:t>
      </w:r>
      <w:r w:rsidRPr="00384F38">
        <w:rPr>
          <w:rFonts w:hAnsi="標楷體"/>
        </w:rPr>
        <w:t>自造實驗空間</w:t>
      </w:r>
      <w:r w:rsidRPr="00384F38">
        <w:rPr>
          <w:rFonts w:hAnsi="標楷體" w:hint="eastAsia"/>
        </w:rPr>
        <w:t>、展示交流空間</w:t>
      </w:r>
      <w:r w:rsidRPr="00384F38">
        <w:rPr>
          <w:rFonts w:hAnsi="標楷體"/>
        </w:rPr>
        <w:t>等。</w:t>
      </w:r>
      <w:r w:rsidRPr="00384F38">
        <w:rPr>
          <w:rFonts w:hAnsi="標楷體" w:hint="eastAsia"/>
        </w:rPr>
        <w:t>至開發方式，則經該府於105年3月31日核定以BOT方式開發，同年8月22日公告招商，106年核定甄審結果，由「臺北創新園區合作聯盟」取得最優申請人資格，嗣經6次議約後，終於106年5月25日與最優申請人成立之</w:t>
      </w:r>
      <w:r w:rsidR="009A1144">
        <w:rPr>
          <w:rFonts w:ascii="新細明體" w:eastAsia="新細明體" w:hAnsi="新細明體" w:hint="eastAsia"/>
        </w:rPr>
        <w:t>「</w:t>
      </w:r>
      <w:r w:rsidRPr="00384F38">
        <w:rPr>
          <w:rFonts w:hAnsi="標楷體" w:hint="eastAsia"/>
        </w:rPr>
        <w:t>宏匯瑞光股份有限公司</w:t>
      </w:r>
      <w:r w:rsidR="009A1144">
        <w:rPr>
          <w:rFonts w:ascii="新細明體" w:eastAsia="新細明體" w:hAnsi="新細明體" w:hint="eastAsia"/>
        </w:rPr>
        <w:t>」</w:t>
      </w:r>
      <w:r w:rsidRPr="009A1144">
        <w:rPr>
          <w:rFonts w:hAnsi="標楷體"/>
          <w:vertAlign w:val="superscript"/>
        </w:rPr>
        <w:footnoteReference w:id="6"/>
      </w:r>
      <w:r w:rsidRPr="00384F38">
        <w:rPr>
          <w:rFonts w:hAnsi="標楷體" w:hint="eastAsia"/>
        </w:rPr>
        <w:t>簽訂投資契約。</w:t>
      </w:r>
    </w:p>
    <w:p w:rsidR="00384F38" w:rsidRDefault="002B0D8B" w:rsidP="00384F38">
      <w:pPr>
        <w:pStyle w:val="4"/>
        <w:numPr>
          <w:ilvl w:val="0"/>
          <w:numId w:val="0"/>
        </w:numPr>
        <w:jc w:val="center"/>
        <w:rPr>
          <w:rFonts w:hAnsi="標楷體"/>
        </w:rPr>
      </w:pPr>
      <w:r w:rsidRPr="00384F38">
        <w:rPr>
          <w:rFonts w:hAnsi="標楷體"/>
          <w:noProof/>
          <w:color w:val="000000" w:themeColor="text1"/>
        </w:rPr>
        <mc:AlternateContent>
          <mc:Choice Requires="wps">
            <w:drawing>
              <wp:anchor distT="0" distB="0" distL="114300" distR="114300" simplePos="0" relativeHeight="251657216" behindDoc="0" locked="0" layoutInCell="1" allowOverlap="1" wp14:anchorId="59749C64" wp14:editId="69A07BB9">
                <wp:simplePos x="0" y="0"/>
                <wp:positionH relativeFrom="column">
                  <wp:posOffset>3547745</wp:posOffset>
                </wp:positionH>
                <wp:positionV relativeFrom="paragraph">
                  <wp:posOffset>397510</wp:posOffset>
                </wp:positionV>
                <wp:extent cx="2162175" cy="342900"/>
                <wp:effectExtent l="0" t="0" r="28575" b="19050"/>
                <wp:wrapNone/>
                <wp:docPr id="13" name="向右箭號圖說文字 13"/>
                <wp:cNvGraphicFramePr/>
                <a:graphic xmlns:a="http://schemas.openxmlformats.org/drawingml/2006/main">
                  <a:graphicData uri="http://schemas.microsoft.com/office/word/2010/wordprocessingShape">
                    <wps:wsp>
                      <wps:cNvSpPr/>
                      <wps:spPr>
                        <a:xfrm flipH="1">
                          <a:off x="0" y="0"/>
                          <a:ext cx="2162175" cy="342900"/>
                        </a:xfrm>
                        <a:prstGeom prst="rightArrowCallout">
                          <a:avLst/>
                        </a:prstGeom>
                        <a:ln w="9525"/>
                      </wps:spPr>
                      <wps:style>
                        <a:lnRef idx="2">
                          <a:schemeClr val="dk1"/>
                        </a:lnRef>
                        <a:fillRef idx="1">
                          <a:schemeClr val="lt1"/>
                        </a:fillRef>
                        <a:effectRef idx="0">
                          <a:schemeClr val="dk1"/>
                        </a:effectRef>
                        <a:fontRef idx="minor">
                          <a:schemeClr val="dk1"/>
                        </a:fontRef>
                      </wps:style>
                      <wps:txbx>
                        <w:txbxContent>
                          <w:p w:rsidR="00BA4A95" w:rsidRPr="002B0D8B" w:rsidRDefault="00BA4A95" w:rsidP="002B0D8B">
                            <w:pPr>
                              <w:jc w:val="center"/>
                              <w:rPr>
                                <w:sz w:val="24"/>
                                <w:szCs w:val="24"/>
                              </w:rPr>
                            </w:pPr>
                            <w:r>
                              <w:rPr>
                                <w:rFonts w:hint="eastAsia"/>
                                <w:sz w:val="24"/>
                                <w:szCs w:val="24"/>
                              </w:rPr>
                              <w:t>公共服務</w:t>
                            </w:r>
                            <w:r w:rsidRPr="002B0D8B">
                              <w:rPr>
                                <w:rFonts w:hint="eastAsia"/>
                                <w:sz w:val="24"/>
                                <w:szCs w:val="24"/>
                              </w:rPr>
                              <w:t>設施用地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749C64"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向右箭號圖說文字 13" o:spid="_x0000_s1026" type="#_x0000_t78" style="position:absolute;left:0;text-align:left;margin-left:279.35pt;margin-top:31.3pt;width:170.25pt;height:27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" adj="14035,,20744" fillcolor="white [3201]" strokecolor="black [3200]">
                <v:textbox>
                  <w:txbxContent>
                    <w:p w:rsidR="00BA4A95" w:rsidRPr="002B0D8B" w:rsidRDefault="00BA4A95" w:rsidP="002B0D8B">
                      <w:pPr>
                        <w:jc w:val="center"/>
                        <w:rPr>
                          <w:sz w:val="24"/>
                          <w:szCs w:val="24"/>
                        </w:rPr>
                      </w:pPr>
                      <w:r>
                        <w:rPr>
                          <w:rFonts w:hint="eastAsia"/>
                          <w:sz w:val="24"/>
                          <w:szCs w:val="24"/>
                        </w:rPr>
                        <w:t>公共服務</w:t>
                      </w:r>
                      <w:r w:rsidRPr="002B0D8B">
                        <w:rPr>
                          <w:rFonts w:hint="eastAsia"/>
                          <w:sz w:val="24"/>
                          <w:szCs w:val="24"/>
                        </w:rPr>
                        <w:t>設施用地</w:t>
                      </w:r>
                    </w:p>
                  </w:txbxContent>
                </v:textbox>
              </v:shape>
            </w:pict>
          </mc:Fallback>
        </mc:AlternateContent>
      </w:r>
      <w:r w:rsidR="00384F38" w:rsidRPr="00384F38">
        <w:rPr>
          <w:rFonts w:hAnsi="標楷體"/>
          <w:noProof/>
          <w:color w:val="000000" w:themeColor="text1"/>
        </w:rPr>
        <mc:AlternateContent>
          <mc:Choice Requires="wps">
            <w:drawing>
              <wp:anchor distT="0" distB="0" distL="114300" distR="114300" simplePos="0" relativeHeight="251654144" behindDoc="0" locked="0" layoutInCell="1" allowOverlap="1" wp14:anchorId="4CB7486A" wp14:editId="2E61ED0A">
                <wp:simplePos x="0" y="0"/>
                <wp:positionH relativeFrom="column">
                  <wp:posOffset>3185160</wp:posOffset>
                </wp:positionH>
                <wp:positionV relativeFrom="paragraph">
                  <wp:posOffset>797560</wp:posOffset>
                </wp:positionV>
                <wp:extent cx="2524125" cy="342900"/>
                <wp:effectExtent l="0" t="0" r="28575" b="19050"/>
                <wp:wrapNone/>
                <wp:docPr id="12" name="向右箭號圖說文字 12"/>
                <wp:cNvGraphicFramePr/>
                <a:graphic xmlns:a="http://schemas.openxmlformats.org/drawingml/2006/main">
                  <a:graphicData uri="http://schemas.microsoft.com/office/word/2010/wordprocessingShape">
                    <wps:wsp>
                      <wps:cNvSpPr/>
                      <wps:spPr>
                        <a:xfrm flipH="1">
                          <a:off x="0" y="0"/>
                          <a:ext cx="2524125" cy="342900"/>
                        </a:xfrm>
                        <a:prstGeom prst="rightArrowCallout">
                          <a:avLst/>
                        </a:prstGeom>
                        <a:ln w="9525"/>
                      </wps:spPr>
                      <wps:style>
                        <a:lnRef idx="2">
                          <a:schemeClr val="dk1"/>
                        </a:lnRef>
                        <a:fillRef idx="1">
                          <a:schemeClr val="lt1"/>
                        </a:fillRef>
                        <a:effectRef idx="0">
                          <a:schemeClr val="dk1"/>
                        </a:effectRef>
                        <a:fontRef idx="minor">
                          <a:schemeClr val="dk1"/>
                        </a:fontRef>
                      </wps:style>
                      <wps:txbx>
                        <w:txbxContent>
                          <w:p w:rsidR="00BA4A95" w:rsidRPr="002B0D8B" w:rsidRDefault="00BA4A95" w:rsidP="002B0D8B">
                            <w:pPr>
                              <w:jc w:val="center"/>
                              <w:rPr>
                                <w:sz w:val="24"/>
                                <w:szCs w:val="24"/>
                              </w:rPr>
                            </w:pPr>
                            <w:r w:rsidRPr="002B0D8B">
                              <w:rPr>
                                <w:rFonts w:hint="eastAsia"/>
                                <w:sz w:val="24"/>
                                <w:szCs w:val="24"/>
                              </w:rPr>
                              <w:t>產業支援設施用地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7486A" id="向右箭號圖說文字 12" o:spid="_x0000_s1027" type="#_x0000_t78" style="position:absolute;left:0;text-align:left;margin-left:250.8pt;margin-top:62.8pt;width:198.75pt;height:27pt;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" adj="14035,,20866" fillcolor="white [3201]" strokecolor="black [3200]">
                <v:textbox>
                  <w:txbxContent>
                    <w:p w:rsidR="00BA4A95" w:rsidRPr="002B0D8B" w:rsidRDefault="00BA4A95" w:rsidP="002B0D8B">
                      <w:pPr>
                        <w:jc w:val="center"/>
                        <w:rPr>
                          <w:sz w:val="24"/>
                          <w:szCs w:val="24"/>
                        </w:rPr>
                      </w:pPr>
                      <w:r w:rsidRPr="002B0D8B">
                        <w:rPr>
                          <w:rFonts w:hint="eastAsia"/>
                          <w:sz w:val="24"/>
                          <w:szCs w:val="24"/>
                        </w:rPr>
                        <w:t>產業支援設施用地</w:t>
                      </w:r>
                    </w:p>
                  </w:txbxContent>
                </v:textbox>
              </v:shape>
            </w:pict>
          </mc:Fallback>
        </mc:AlternateContent>
      </w:r>
      <w:r w:rsidR="00384F38" w:rsidRPr="00384F38">
        <w:rPr>
          <w:rFonts w:hAnsi="標楷體"/>
          <w:noProof/>
        </w:rPr>
        <w:drawing>
          <wp:inline distT="0" distB="0" distL="0" distR="0" wp14:anchorId="7DCF6D00" wp14:editId="19958713">
            <wp:extent cx="3009900" cy="1747389"/>
            <wp:effectExtent l="19050" t="19050" r="19050" b="24765"/>
            <wp:docPr id="44" name="Picture 2" descr="使用分區圖-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2" descr="使用分區圖-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1889" r="2977"/>
                    <a:stretch/>
                  </pic:blipFill>
                  <pic:spPr bwMode="auto">
                    <a:xfrm>
                      <a:off x="0" y="0"/>
                      <a:ext cx="3015371" cy="1750565"/>
                    </a:xfrm>
                    <a:prstGeom prst="rect">
                      <a:avLst/>
                    </a:prstGeom>
                    <a:noFill/>
                    <a:ln w="9525">
                      <a:solidFill>
                        <a:srgbClr val="5A5A5A"/>
                      </a:solidFill>
                      <a:miter lim="800000"/>
                      <a:headEnd/>
                      <a:tailEnd/>
                    </a:ln>
                    <a:extLst/>
                  </pic:spPr>
                </pic:pic>
              </a:graphicData>
            </a:graphic>
          </wp:inline>
        </w:drawing>
      </w:r>
    </w:p>
    <w:p w:rsidR="00384F38" w:rsidRDefault="00384F38" w:rsidP="003A0864">
      <w:pPr>
        <w:pStyle w:val="4"/>
        <w:numPr>
          <w:ilvl w:val="0"/>
          <w:numId w:val="0"/>
        </w:numPr>
        <w:spacing w:line="320" w:lineRule="exact"/>
        <w:jc w:val="center"/>
        <w:rPr>
          <w:rFonts w:hAnsi="標楷體"/>
          <w:b/>
          <w:sz w:val="28"/>
          <w:szCs w:val="28"/>
        </w:rPr>
      </w:pPr>
      <w:r>
        <w:rPr>
          <w:rFonts w:hAnsi="標楷體" w:hint="eastAsia"/>
          <w:b/>
          <w:sz w:val="28"/>
          <w:szCs w:val="28"/>
        </w:rPr>
        <w:t xml:space="preserve">圖A1 </w:t>
      </w:r>
      <w:r w:rsidRPr="00C61D15">
        <w:rPr>
          <w:rFonts w:hAnsi="標楷體" w:hint="eastAsia"/>
          <w:b/>
          <w:sz w:val="28"/>
          <w:szCs w:val="28"/>
        </w:rPr>
        <w:t>「內科支援設施BOT案」</w:t>
      </w:r>
      <w:r w:rsidR="00D25F5D">
        <w:rPr>
          <w:rFonts w:hAnsi="標楷體" w:hint="eastAsia"/>
          <w:b/>
          <w:sz w:val="28"/>
          <w:szCs w:val="28"/>
        </w:rPr>
        <w:t>土地使用規劃</w:t>
      </w:r>
      <w:r w:rsidRPr="00C61D15">
        <w:rPr>
          <w:rFonts w:hAnsi="標楷體" w:hint="eastAsia"/>
          <w:b/>
          <w:sz w:val="28"/>
          <w:szCs w:val="28"/>
        </w:rPr>
        <w:t>圖</w:t>
      </w:r>
    </w:p>
    <w:p w:rsidR="00384F38" w:rsidRPr="00384F38" w:rsidRDefault="00384F38" w:rsidP="003A0864">
      <w:pPr>
        <w:pStyle w:val="4"/>
        <w:numPr>
          <w:ilvl w:val="0"/>
          <w:numId w:val="0"/>
        </w:numPr>
        <w:spacing w:beforeLines="25" w:before="114" w:line="240" w:lineRule="exact"/>
        <w:ind w:left="992"/>
        <w:jc w:val="left"/>
        <w:rPr>
          <w:rFonts w:hAnsi="標楷體"/>
          <w:b/>
          <w:color w:val="000000" w:themeColor="text1"/>
          <w:sz w:val="28"/>
          <w:szCs w:val="28"/>
        </w:rPr>
      </w:pPr>
      <w:r w:rsidRPr="00384F38">
        <w:rPr>
          <w:rFonts w:hAnsi="標楷體" w:hint="eastAsia"/>
          <w:color w:val="000000" w:themeColor="text1"/>
          <w:sz w:val="24"/>
          <w:szCs w:val="24"/>
        </w:rPr>
        <w:t>資料來源：臺北市政府。</w:t>
      </w:r>
    </w:p>
    <w:p w:rsidR="00FE1848" w:rsidRDefault="00FE1848" w:rsidP="00E96993">
      <w:pPr>
        <w:pStyle w:val="4"/>
      </w:pPr>
      <w:r w:rsidRPr="00E96993">
        <w:rPr>
          <w:rFonts w:hAnsi="標楷體" w:hint="eastAsia"/>
        </w:rPr>
        <w:t>鑑於科技產業發展瞬息萬變，故對育成事業之規劃與投資，亦應緊密契合產業發展之脈動，並藉由快速、</w:t>
      </w:r>
      <w:r>
        <w:rPr>
          <w:rFonts w:hint="eastAsia"/>
        </w:rPr>
        <w:t>精確</w:t>
      </w:r>
      <w:r w:rsidRPr="008F268B">
        <w:rPr>
          <w:rFonts w:hint="eastAsia"/>
        </w:rPr>
        <w:t>之決策與執行</w:t>
      </w:r>
      <w:r>
        <w:rPr>
          <w:rFonts w:hint="eastAsia"/>
        </w:rPr>
        <w:t>，始能獲致成果；揆諸</w:t>
      </w:r>
      <w:r w:rsidRPr="00A86EB7">
        <w:rPr>
          <w:rFonts w:hint="eastAsia"/>
        </w:rPr>
        <w:t>「內科園區」位居臺北科技走廊</w:t>
      </w:r>
      <w:r>
        <w:rPr>
          <w:rStyle w:val="aff1"/>
        </w:rPr>
        <w:footnoteReference w:id="7"/>
      </w:r>
      <w:r w:rsidRPr="00A86EB7">
        <w:rPr>
          <w:rFonts w:hint="eastAsia"/>
        </w:rPr>
        <w:t>核心位置，為</w:t>
      </w:r>
      <w:r w:rsidR="00332D50" w:rsidRPr="00A86EB7">
        <w:rPr>
          <w:rFonts w:hint="eastAsia"/>
        </w:rPr>
        <w:t>臺北</w:t>
      </w:r>
      <w:r w:rsidRPr="00A86EB7">
        <w:rPr>
          <w:rFonts w:hint="eastAsia"/>
        </w:rPr>
        <w:t>市產</w:t>
      </w:r>
      <w:r w:rsidRPr="00A86EB7">
        <w:rPr>
          <w:rFonts w:hint="eastAsia"/>
        </w:rPr>
        <w:lastRenderedPageBreak/>
        <w:t>業軸帶成長核心，並已逐漸形成資訊、科技、通訊、生技、研發設計、企業總部、媒體、創投等高附加價值產業及相關支援產業群聚，為</w:t>
      </w:r>
      <w:r w:rsidR="00332D50" w:rsidRPr="00A86EB7">
        <w:rPr>
          <w:rFonts w:hint="eastAsia"/>
        </w:rPr>
        <w:t>臺北</w:t>
      </w:r>
      <w:r w:rsidRPr="00A86EB7">
        <w:rPr>
          <w:rFonts w:hint="eastAsia"/>
        </w:rPr>
        <w:t>市最重要的產業發展基地及經濟櫥窗，整體開發率已達</w:t>
      </w:r>
      <w:r>
        <w:rPr>
          <w:rFonts w:hint="eastAsia"/>
        </w:rPr>
        <w:t>95</w:t>
      </w:r>
      <w:r w:rsidRPr="00790208">
        <w:rPr>
          <w:rFonts w:hAnsi="標楷體" w:hint="eastAsia"/>
        </w:rPr>
        <w:t>％</w:t>
      </w:r>
      <w:r w:rsidRPr="00A86EB7">
        <w:rPr>
          <w:rFonts w:hint="eastAsia"/>
        </w:rPr>
        <w:t>以上</w:t>
      </w:r>
      <w:r>
        <w:rPr>
          <w:rFonts w:hint="eastAsia"/>
        </w:rPr>
        <w:t>，</w:t>
      </w:r>
      <w:r w:rsidRPr="005059BD">
        <w:rPr>
          <w:rFonts w:hint="eastAsia"/>
        </w:rPr>
        <w:t>104年全年營收</w:t>
      </w:r>
      <w:r>
        <w:rPr>
          <w:rFonts w:hint="eastAsia"/>
        </w:rPr>
        <w:t>更</w:t>
      </w:r>
      <w:r w:rsidRPr="005059BD">
        <w:rPr>
          <w:rFonts w:hint="eastAsia"/>
        </w:rPr>
        <w:t>高達</w:t>
      </w:r>
      <w:r>
        <w:rPr>
          <w:rFonts w:hint="eastAsia"/>
        </w:rPr>
        <w:t>新臺幣（下同）</w:t>
      </w:r>
      <w:r w:rsidRPr="005059BD">
        <w:rPr>
          <w:rFonts w:hint="eastAsia"/>
        </w:rPr>
        <w:t>4兆9百餘億元，且至106年7月底止，園區已有光寶科技、仁寶電腦、大眾電腦等30家企業總部及其81家關係企業與10家研發中心進駐</w:t>
      </w:r>
      <w:r>
        <w:rPr>
          <w:rStyle w:val="aff1"/>
        </w:rPr>
        <w:footnoteReference w:id="8"/>
      </w:r>
      <w:r w:rsidRPr="005059BD">
        <w:rPr>
          <w:rFonts w:hint="eastAsia"/>
        </w:rPr>
        <w:t>，</w:t>
      </w:r>
      <w:r>
        <w:rPr>
          <w:rFonts w:hint="eastAsia"/>
        </w:rPr>
        <w:t>顯見</w:t>
      </w:r>
      <w:r w:rsidRPr="00790208">
        <w:rPr>
          <w:rFonts w:hint="eastAsia"/>
        </w:rPr>
        <w:t>「內科園區」</w:t>
      </w:r>
      <w:r>
        <w:rPr>
          <w:rFonts w:hint="eastAsia"/>
        </w:rPr>
        <w:t>近年來</w:t>
      </w:r>
      <w:r w:rsidRPr="005059BD">
        <w:rPr>
          <w:rFonts w:hint="eastAsia"/>
        </w:rPr>
        <w:t>已</w:t>
      </w:r>
      <w:r>
        <w:rPr>
          <w:rFonts w:hint="eastAsia"/>
        </w:rPr>
        <w:t>發展成為臺北市企業營運總部及研發中心，然臺北市政府自94年間取得位處</w:t>
      </w:r>
      <w:r>
        <w:rPr>
          <w:rFonts w:hAnsi="標楷體" w:hint="eastAsia"/>
        </w:rPr>
        <w:t>「</w:t>
      </w:r>
      <w:r>
        <w:rPr>
          <w:rFonts w:hint="eastAsia"/>
        </w:rPr>
        <w:t>內科園區</w:t>
      </w:r>
      <w:r>
        <w:rPr>
          <w:rFonts w:hAnsi="標楷體" w:hint="eastAsia"/>
        </w:rPr>
        <w:t>」</w:t>
      </w:r>
      <w:r>
        <w:rPr>
          <w:rFonts w:hint="eastAsia"/>
        </w:rPr>
        <w:t>精華地段之本案1.5公頃</w:t>
      </w:r>
      <w:r w:rsidRPr="0028681F">
        <w:rPr>
          <w:rFonts w:hint="eastAsia"/>
        </w:rPr>
        <w:t>「產業支援設施用地」</w:t>
      </w:r>
      <w:r>
        <w:rPr>
          <w:rFonts w:hint="eastAsia"/>
        </w:rPr>
        <w:t>，以及102年間取得毗鄰之0.25公頃</w:t>
      </w:r>
      <w:r w:rsidRPr="00EB3BD3">
        <w:rPr>
          <w:rFonts w:hint="eastAsia"/>
        </w:rPr>
        <w:t>「公共服務設施用地 」</w:t>
      </w:r>
      <w:r>
        <w:rPr>
          <w:rFonts w:hint="eastAsia"/>
        </w:rPr>
        <w:t>後，因其產業政策反覆不定，致歷經十餘年之規劃始於106年</w:t>
      </w:r>
      <w:r w:rsidRPr="007A0514">
        <w:rPr>
          <w:rFonts w:hint="eastAsia"/>
        </w:rPr>
        <w:t>5月25日與</w:t>
      </w:r>
      <w:r>
        <w:rPr>
          <w:rFonts w:hint="eastAsia"/>
        </w:rPr>
        <w:t>民間機構</w:t>
      </w:r>
      <w:r w:rsidRPr="007A0514">
        <w:rPr>
          <w:rFonts w:hint="eastAsia"/>
        </w:rPr>
        <w:t>簽訂投資契約</w:t>
      </w:r>
      <w:r>
        <w:rPr>
          <w:rFonts w:hint="eastAsia"/>
        </w:rPr>
        <w:t>，其規劃發展產業之效率遠遠落後於私部門，亦有閒置精華土地之虞，實有待改進。</w:t>
      </w:r>
    </w:p>
    <w:p w:rsidR="00332D50" w:rsidRDefault="00332D50" w:rsidP="00332D50">
      <w:pPr>
        <w:pStyle w:val="4"/>
        <w:numPr>
          <w:ilvl w:val="0"/>
          <w:numId w:val="0"/>
        </w:numPr>
        <w:overflowPunct/>
        <w:autoSpaceDE/>
        <w:autoSpaceDN/>
        <w:ind w:left="1512"/>
      </w:pPr>
    </w:p>
    <w:p w:rsidR="00FE1848" w:rsidRPr="00E96993" w:rsidRDefault="00FE1848" w:rsidP="00FE1848">
      <w:pPr>
        <w:pStyle w:val="3"/>
        <w:kinsoku w:val="0"/>
        <w:overflowPunct/>
        <w:autoSpaceDE/>
        <w:autoSpaceDN/>
        <w:ind w:left="1393" w:hanging="697"/>
      </w:pPr>
      <w:r w:rsidRPr="0029661A">
        <w:rPr>
          <w:rFonts w:hint="eastAsia"/>
          <w:szCs w:val="32"/>
        </w:rPr>
        <w:t>「內湖影視音產業園區設定地上權案」</w:t>
      </w:r>
      <w:r>
        <w:rPr>
          <w:rFonts w:hint="eastAsia"/>
          <w:szCs w:val="32"/>
        </w:rPr>
        <w:t>：</w:t>
      </w:r>
    </w:p>
    <w:p w:rsidR="00FE1848" w:rsidRDefault="00FE1848" w:rsidP="00EC7569">
      <w:pPr>
        <w:pStyle w:val="4"/>
      </w:pPr>
      <w:r>
        <w:rPr>
          <w:rFonts w:hint="eastAsia"/>
        </w:rPr>
        <w:t>臺北市政府鑑於國內影視產業多聚集該市，其中又以內湖為集中地區，乃提出推動影視音產業園區之構想，由該</w:t>
      </w:r>
      <w:r w:rsidRPr="000631FC">
        <w:rPr>
          <w:rFonts w:hint="eastAsia"/>
        </w:rPr>
        <w:t>府文化局評估選定內湖五期重劃區</w:t>
      </w:r>
      <w:r>
        <w:rPr>
          <w:rFonts w:hint="eastAsia"/>
        </w:rPr>
        <w:t>之</w:t>
      </w:r>
      <w:r w:rsidRPr="00A63C18">
        <w:rPr>
          <w:rFonts w:hint="eastAsia"/>
        </w:rPr>
        <w:t>潭美段五小段21、21-1、22、22-1</w:t>
      </w:r>
      <w:r>
        <w:rPr>
          <w:rFonts w:hint="eastAsia"/>
        </w:rPr>
        <w:t>地號(面積0.</w:t>
      </w:r>
      <w:r>
        <w:t>640</w:t>
      </w:r>
      <w:r>
        <w:rPr>
          <w:rFonts w:hint="eastAsia"/>
        </w:rPr>
        <w:t>8公頃，原為都市計畫</w:t>
      </w:r>
      <w:r w:rsidRPr="00E96993">
        <w:rPr>
          <w:rFonts w:hint="eastAsia"/>
        </w:rPr>
        <w:t>「辦公服務區」</w:t>
      </w:r>
      <w:r>
        <w:rPr>
          <w:rFonts w:hint="eastAsia"/>
        </w:rPr>
        <w:t>)，以及同地段</w:t>
      </w:r>
      <w:r w:rsidRPr="00A63C18">
        <w:rPr>
          <w:rFonts w:hint="eastAsia"/>
        </w:rPr>
        <w:t>35、35-1地號</w:t>
      </w:r>
      <w:r>
        <w:rPr>
          <w:rFonts w:hint="eastAsia"/>
        </w:rPr>
        <w:t>（面積0.</w:t>
      </w:r>
      <w:r>
        <w:t>8160</w:t>
      </w:r>
      <w:r>
        <w:rPr>
          <w:rFonts w:hint="eastAsia"/>
        </w:rPr>
        <w:t>公頃，</w:t>
      </w:r>
      <w:r w:rsidRPr="004D3502">
        <w:rPr>
          <w:rFonts w:hint="eastAsia"/>
        </w:rPr>
        <w:t>原為都市計畫「</w:t>
      </w:r>
      <w:r>
        <w:rPr>
          <w:rFonts w:hint="eastAsia"/>
        </w:rPr>
        <w:t>工商服務展售區</w:t>
      </w:r>
      <w:r w:rsidRPr="004D3502">
        <w:rPr>
          <w:rFonts w:hint="eastAsia"/>
        </w:rPr>
        <w:t>」</w:t>
      </w:r>
      <w:r>
        <w:rPr>
          <w:rFonts w:hint="eastAsia"/>
        </w:rPr>
        <w:t>）</w:t>
      </w:r>
      <w:r w:rsidRPr="00A63C18">
        <w:rPr>
          <w:rFonts w:hint="eastAsia"/>
        </w:rPr>
        <w:t>等</w:t>
      </w:r>
      <w:r>
        <w:rPr>
          <w:rFonts w:hint="eastAsia"/>
        </w:rPr>
        <w:t>二處市地重劃抵費地作為開發基地，並以專案讓售方式</w:t>
      </w:r>
      <w:r w:rsidRPr="00C075D7">
        <w:rPr>
          <w:vertAlign w:val="superscript"/>
        </w:rPr>
        <w:footnoteReference w:id="9"/>
      </w:r>
      <w:r>
        <w:rPr>
          <w:rFonts w:hint="eastAsia"/>
        </w:rPr>
        <w:t>，於94年5月27日取得</w:t>
      </w:r>
      <w:r w:rsidRPr="00A63C18">
        <w:rPr>
          <w:rFonts w:hint="eastAsia"/>
        </w:rPr>
        <w:t>，總面</w:t>
      </w:r>
      <w:r w:rsidRPr="00A63C18">
        <w:rPr>
          <w:rFonts w:hint="eastAsia"/>
        </w:rPr>
        <w:lastRenderedPageBreak/>
        <w:t>積約1</w:t>
      </w:r>
      <w:r>
        <w:rPr>
          <w:rFonts w:hint="eastAsia"/>
        </w:rPr>
        <w:t>.4568公頃</w:t>
      </w:r>
      <w:r w:rsidRPr="00C075D7">
        <w:rPr>
          <w:vertAlign w:val="superscript"/>
        </w:rPr>
        <w:footnoteReference w:id="10"/>
      </w:r>
      <w:r>
        <w:rPr>
          <w:rFonts w:hint="eastAsia"/>
        </w:rPr>
        <w:t>。該二處基地嗣經都市計畫變更程序，於102年9月9日公告變更為</w:t>
      </w:r>
      <w:r w:rsidRPr="00E96993">
        <w:rPr>
          <w:rFonts w:hint="eastAsia"/>
        </w:rPr>
        <w:t>「影視音產業區」，計畫透過民間自行規劃申請參與公共建設方式引入影視、文創、娛樂、觀光等複合式產業。案經臺北市政府文化局於101年至103年間</w:t>
      </w:r>
      <w:r w:rsidR="00E63FAA" w:rsidRPr="00B84E56">
        <w:rPr>
          <w:rFonts w:hAnsi="標楷體"/>
          <w:color w:val="000000"/>
          <w:szCs w:val="32"/>
        </w:rPr>
        <w:t>，</w:t>
      </w:r>
      <w:r w:rsidRPr="00E96993">
        <w:rPr>
          <w:rFonts w:hint="eastAsia"/>
        </w:rPr>
        <w:t>依</w:t>
      </w:r>
      <w:r w:rsidR="003C76CF" w:rsidRPr="00B84E56">
        <w:rPr>
          <w:rFonts w:hAnsi="標楷體"/>
          <w:color w:val="000000"/>
          <w:szCs w:val="32"/>
        </w:rPr>
        <w:t>「促進民間參與公共建設法」（下稱</w:t>
      </w:r>
      <w:r w:rsidR="003C76CF">
        <w:rPr>
          <w:rFonts w:ascii="新細明體" w:eastAsia="新細明體" w:hAnsi="新細明體" w:hint="eastAsia"/>
          <w:color w:val="000000"/>
          <w:szCs w:val="32"/>
        </w:rPr>
        <w:t>「</w:t>
      </w:r>
      <w:r w:rsidR="003C76CF" w:rsidRPr="00B84E56">
        <w:rPr>
          <w:rFonts w:hAnsi="標楷體"/>
          <w:color w:val="000000"/>
          <w:szCs w:val="32"/>
        </w:rPr>
        <w:t>促參法</w:t>
      </w:r>
      <w:r w:rsidR="003C76CF">
        <w:rPr>
          <w:rFonts w:ascii="新細明體" w:eastAsia="新細明體" w:hAnsi="新細明體" w:hint="eastAsia"/>
          <w:color w:val="000000"/>
          <w:szCs w:val="32"/>
        </w:rPr>
        <w:t>」</w:t>
      </w:r>
      <w:r w:rsidR="003C76CF" w:rsidRPr="00B84E56">
        <w:rPr>
          <w:rFonts w:hAnsi="標楷體"/>
          <w:color w:val="000000"/>
          <w:szCs w:val="32"/>
        </w:rPr>
        <w:t>）</w:t>
      </w:r>
      <w:r w:rsidRPr="00E96993">
        <w:rPr>
          <w:rFonts w:hint="eastAsia"/>
        </w:rPr>
        <w:t>第46條規定，公開徵求民間自提方式投資開發，並於103年10月間召開甄審委</w:t>
      </w:r>
      <w:r w:rsidR="00C4342F">
        <w:rPr>
          <w:rFonts w:hint="eastAsia"/>
        </w:rPr>
        <w:t>員</w:t>
      </w:r>
      <w:r w:rsidRPr="00E96993">
        <w:rPr>
          <w:rFonts w:hint="eastAsia"/>
        </w:rPr>
        <w:t>會，惟因投標之兩家民間機構所提構想均未達該府所需公共建設之要求，公益性不足且多為自用，故並未選出合格申請人。</w:t>
      </w:r>
    </w:p>
    <w:p w:rsidR="00D25F5D" w:rsidRDefault="00D25F5D" w:rsidP="00D25F5D">
      <w:pPr>
        <w:pStyle w:val="4"/>
        <w:numPr>
          <w:ilvl w:val="0"/>
          <w:numId w:val="0"/>
        </w:numPr>
        <w:ind w:left="1701"/>
      </w:pPr>
    </w:p>
    <w:p w:rsidR="00D25F5D" w:rsidRDefault="00D25F5D" w:rsidP="00D25F5D">
      <w:pPr>
        <w:pStyle w:val="4"/>
        <w:numPr>
          <w:ilvl w:val="0"/>
          <w:numId w:val="0"/>
        </w:numPr>
        <w:jc w:val="center"/>
      </w:pPr>
      <w:r>
        <w:rPr>
          <w:noProof/>
        </w:rPr>
        <w:drawing>
          <wp:inline distT="0" distB="0" distL="0" distR="0" wp14:anchorId="186B90F0" wp14:editId="71A40108">
            <wp:extent cx="3626393" cy="2295525"/>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a:extLst>
                        <a:ext uri="{28A0092B-C50C-407E-A947-70E740481C1C}">
                          <a14:useLocalDpi xmlns:a14="http://schemas.microsoft.com/office/drawing/2010/main" val="0"/>
                        </a:ext>
                      </a:extLst>
                    </a:blip>
                    <a:srcRect t="12881" b="8505"/>
                    <a:stretch/>
                  </pic:blipFill>
                  <pic:spPr bwMode="auto">
                    <a:xfrm>
                      <a:off x="0" y="0"/>
                      <a:ext cx="3626393" cy="2295525"/>
                    </a:xfrm>
                    <a:prstGeom prst="rect">
                      <a:avLst/>
                    </a:prstGeom>
                    <a:noFill/>
                    <a:ln>
                      <a:noFill/>
                    </a:ln>
                    <a:extLst>
                      <a:ext uri="{53640926-AAD7-44D8-BBD7-CCE9431645EC}">
                        <a14:shadowObscured xmlns:a14="http://schemas.microsoft.com/office/drawing/2010/main"/>
                      </a:ext>
                    </a:extLst>
                  </pic:spPr>
                </pic:pic>
              </a:graphicData>
            </a:graphic>
          </wp:inline>
        </w:drawing>
      </w:r>
    </w:p>
    <w:p w:rsidR="00D25F5D" w:rsidRPr="00D25F5D" w:rsidRDefault="00D25F5D" w:rsidP="00D25F5D">
      <w:pPr>
        <w:pStyle w:val="4"/>
        <w:numPr>
          <w:ilvl w:val="0"/>
          <w:numId w:val="0"/>
        </w:numPr>
        <w:spacing w:beforeLines="25" w:before="114"/>
        <w:jc w:val="center"/>
        <w:rPr>
          <w:rFonts w:hAnsi="標楷體"/>
          <w:b/>
          <w:sz w:val="28"/>
          <w:szCs w:val="28"/>
        </w:rPr>
      </w:pPr>
      <w:r w:rsidRPr="00D25F5D">
        <w:rPr>
          <w:rFonts w:hAnsi="標楷體" w:hint="eastAsia"/>
          <w:b/>
          <w:sz w:val="28"/>
          <w:szCs w:val="28"/>
        </w:rPr>
        <w:t>圖A2 「內湖影視音產業園區設定地上權案」地理位置圖</w:t>
      </w:r>
    </w:p>
    <w:p w:rsidR="00D25F5D" w:rsidRPr="00384F38" w:rsidRDefault="00D25F5D" w:rsidP="00D25F5D">
      <w:pPr>
        <w:pStyle w:val="4"/>
        <w:numPr>
          <w:ilvl w:val="0"/>
          <w:numId w:val="0"/>
        </w:numPr>
        <w:spacing w:line="240" w:lineRule="exact"/>
        <w:ind w:left="426"/>
        <w:jc w:val="left"/>
        <w:rPr>
          <w:rFonts w:hAnsi="標楷體"/>
          <w:b/>
          <w:color w:val="000000" w:themeColor="text1"/>
          <w:sz w:val="28"/>
          <w:szCs w:val="28"/>
        </w:rPr>
      </w:pPr>
      <w:r w:rsidRPr="00384F38">
        <w:rPr>
          <w:rFonts w:hAnsi="標楷體" w:hint="eastAsia"/>
          <w:color w:val="000000" w:themeColor="text1"/>
          <w:sz w:val="24"/>
          <w:szCs w:val="24"/>
        </w:rPr>
        <w:t>資料來源：臺北市政府。</w:t>
      </w:r>
    </w:p>
    <w:p w:rsidR="00FE1848" w:rsidRPr="00E96993" w:rsidRDefault="00FE1848" w:rsidP="00EC7569">
      <w:pPr>
        <w:pStyle w:val="4"/>
      </w:pPr>
      <w:r>
        <w:rPr>
          <w:rFonts w:hint="eastAsia"/>
        </w:rPr>
        <w:t>有鑑於此，臺北市政府乃再委託</w:t>
      </w:r>
      <w:r w:rsidR="006F4CCB">
        <w:rPr>
          <w:rFonts w:ascii="新細明體" w:eastAsia="新細明體" w:hAnsi="新細明體" w:hint="eastAsia"/>
          <w:szCs w:val="32"/>
        </w:rPr>
        <w:t>「</w:t>
      </w:r>
      <w:r w:rsidR="006F4CCB" w:rsidRPr="00231BB9">
        <w:rPr>
          <w:rFonts w:hAnsi="標楷體" w:hint="eastAsia"/>
          <w:szCs w:val="32"/>
        </w:rPr>
        <w:t>臺灣世曦工程顧問股份有限公司</w:t>
      </w:r>
      <w:r w:rsidR="006F4CCB">
        <w:rPr>
          <w:rFonts w:ascii="新細明體" w:eastAsia="新細明體" w:hAnsi="新細明體" w:hint="eastAsia"/>
          <w:szCs w:val="32"/>
        </w:rPr>
        <w:t>」</w:t>
      </w:r>
      <w:r w:rsidRPr="00E669DC">
        <w:rPr>
          <w:rFonts w:hint="eastAsia"/>
        </w:rPr>
        <w:t>進行本案</w:t>
      </w:r>
      <w:r>
        <w:rPr>
          <w:rFonts w:hint="eastAsia"/>
        </w:rPr>
        <w:t>開發方式之</w:t>
      </w:r>
      <w:r w:rsidRPr="00E669DC">
        <w:rPr>
          <w:rFonts w:hint="eastAsia"/>
        </w:rPr>
        <w:t>可行性評估</w:t>
      </w:r>
      <w:r>
        <w:rPr>
          <w:rFonts w:hint="eastAsia"/>
        </w:rPr>
        <w:t>，並於105</w:t>
      </w:r>
      <w:r w:rsidRPr="00867359">
        <w:rPr>
          <w:rFonts w:hint="eastAsia"/>
        </w:rPr>
        <w:t>年5月25</w:t>
      </w:r>
      <w:r>
        <w:rPr>
          <w:rFonts w:hint="eastAsia"/>
        </w:rPr>
        <w:t>日邀集相關</w:t>
      </w:r>
      <w:r w:rsidRPr="00867359">
        <w:rPr>
          <w:rFonts w:hint="eastAsia"/>
        </w:rPr>
        <w:t>業</w:t>
      </w:r>
      <w:r>
        <w:rPr>
          <w:rFonts w:hint="eastAsia"/>
        </w:rPr>
        <w:t>者召開座談會，嗣經該公司於同年6月間提出</w:t>
      </w:r>
      <w:r>
        <w:rPr>
          <w:rFonts w:hAnsi="標楷體" w:hint="eastAsia"/>
        </w:rPr>
        <w:t>「『臺北市</w:t>
      </w:r>
      <w:r w:rsidRPr="00867359">
        <w:rPr>
          <w:rFonts w:hAnsi="標楷體" w:hint="eastAsia"/>
        </w:rPr>
        <w:t>內湖影視音產業園區</w:t>
      </w:r>
      <w:r>
        <w:rPr>
          <w:rFonts w:hAnsi="標楷體" w:hint="eastAsia"/>
        </w:rPr>
        <w:t>』招商課題與對策分析報告」，</w:t>
      </w:r>
      <w:r w:rsidR="003C76CF">
        <w:rPr>
          <w:rFonts w:hAnsi="標楷體" w:hint="eastAsia"/>
        </w:rPr>
        <w:t>該報告</w:t>
      </w:r>
      <w:r>
        <w:rPr>
          <w:rFonts w:hAnsi="標楷體" w:hint="eastAsia"/>
        </w:rPr>
        <w:t>建議略以：</w:t>
      </w:r>
    </w:p>
    <w:p w:rsidR="00FE1848" w:rsidRDefault="00FE1848" w:rsidP="00E96993">
      <w:pPr>
        <w:pStyle w:val="5"/>
      </w:pPr>
      <w:r>
        <w:rPr>
          <w:rFonts w:hint="eastAsia"/>
        </w:rPr>
        <w:t>由於國內影視音業者之資金能力普遍不足，評估</w:t>
      </w:r>
      <w:r>
        <w:rPr>
          <w:rFonts w:hint="eastAsia"/>
        </w:rPr>
        <w:lastRenderedPageBreak/>
        <w:t>較適合採BOT方式辦理（權利金較低），惟依102年至103年辦理本案</w:t>
      </w:r>
      <w:r w:rsidRPr="00876C73">
        <w:t>BOT</w:t>
      </w:r>
      <w:r>
        <w:rPr>
          <w:rFonts w:hint="eastAsia"/>
        </w:rPr>
        <w:t>之經驗，因民間廠商所提興建營運構想之公共性普遍不足，自用比例過高，以致無法選出最優申請人；又</w:t>
      </w:r>
      <w:r w:rsidRPr="006E5CA6">
        <w:t>BOT</w:t>
      </w:r>
      <w:r>
        <w:rPr>
          <w:rFonts w:hint="eastAsia"/>
        </w:rPr>
        <w:t>權利金較低，恐影響臺北市政府購置本案基地之還款計畫。經召開業者座談會及後續深入訪談，建議採設定地上權方式辦理。</w:t>
      </w:r>
    </w:p>
    <w:p w:rsidR="00FE1848" w:rsidRDefault="00FE1848" w:rsidP="00E96993">
      <w:pPr>
        <w:pStyle w:val="5"/>
      </w:pPr>
      <w:r>
        <w:rPr>
          <w:rFonts w:hint="eastAsia"/>
        </w:rPr>
        <w:t>原都市計畫細部計畫規定以建物總容積樓地板面積70</w:t>
      </w:r>
      <w:r w:rsidRPr="00E96993">
        <w:rPr>
          <w:rFonts w:hint="eastAsia"/>
        </w:rPr>
        <w:t>％</w:t>
      </w:r>
      <w:r>
        <w:rPr>
          <w:rFonts w:hint="eastAsia"/>
        </w:rPr>
        <w:t>以上規劃設置影視音產業，然因此限制將影響市場競爭、限縮潛在投資廠商類型，故建議將上開比例降至5</w:t>
      </w:r>
      <w:r w:rsidRPr="006E5CA6">
        <w:rPr>
          <w:rFonts w:hint="eastAsia"/>
        </w:rPr>
        <w:t>0％</w:t>
      </w:r>
      <w:r>
        <w:rPr>
          <w:rFonts w:hint="eastAsia"/>
        </w:rPr>
        <w:t>。</w:t>
      </w:r>
    </w:p>
    <w:p w:rsidR="00FE1848" w:rsidRDefault="00FE1848" w:rsidP="00E96993">
      <w:pPr>
        <w:pStyle w:val="5"/>
      </w:pPr>
      <w:r>
        <w:rPr>
          <w:rFonts w:hint="eastAsia"/>
        </w:rPr>
        <w:t>有關推動期程，建議105年12月公告招商，106年4月完成簽約作業。</w:t>
      </w:r>
    </w:p>
    <w:p w:rsidR="00FE1848" w:rsidRDefault="00FE1848" w:rsidP="00E96993">
      <w:pPr>
        <w:pStyle w:val="4"/>
      </w:pPr>
      <w:r>
        <w:rPr>
          <w:rFonts w:hint="eastAsia"/>
        </w:rPr>
        <w:t>案經臺北市政府於105年6月7日第1890次市政會議通過本案採設定地上權方式開發，嗣於同年8月25日公告實施</w:t>
      </w:r>
      <w:r w:rsidRPr="00CA1815">
        <w:rPr>
          <w:rFonts w:hint="eastAsia"/>
          <w:szCs w:val="32"/>
        </w:rPr>
        <w:t>「修訂臺北市內湖區潭美段五小段21地號等土地影視音產業區土地使用分區管制規定案」</w:t>
      </w:r>
      <w:r>
        <w:rPr>
          <w:rFonts w:hint="eastAsia"/>
          <w:szCs w:val="32"/>
        </w:rPr>
        <w:t>，將</w:t>
      </w:r>
      <w:r w:rsidRPr="00412335">
        <w:rPr>
          <w:rFonts w:hAnsi="標楷體" w:hint="eastAsia"/>
          <w:szCs w:val="32"/>
        </w:rPr>
        <w:t>建物總容積樓地板面積70％以上</w:t>
      </w:r>
      <w:r>
        <w:rPr>
          <w:rFonts w:hAnsi="標楷體" w:hint="eastAsia"/>
          <w:szCs w:val="32"/>
        </w:rPr>
        <w:t>應</w:t>
      </w:r>
      <w:r w:rsidRPr="00412335">
        <w:rPr>
          <w:rFonts w:hAnsi="標楷體" w:hint="eastAsia"/>
          <w:szCs w:val="32"/>
        </w:rPr>
        <w:t>規劃設置影視音產業</w:t>
      </w:r>
      <w:r>
        <w:rPr>
          <w:rFonts w:hAnsi="標楷體" w:hint="eastAsia"/>
          <w:szCs w:val="32"/>
        </w:rPr>
        <w:t>之規定，</w:t>
      </w:r>
      <w:r w:rsidRPr="00412335">
        <w:rPr>
          <w:rFonts w:hAnsi="標楷體" w:hint="eastAsia"/>
          <w:szCs w:val="32"/>
        </w:rPr>
        <w:t>降至50％</w:t>
      </w:r>
      <w:r>
        <w:rPr>
          <w:rFonts w:hint="eastAsia"/>
        </w:rPr>
        <w:t>。詢據臺北市政府相關人員指稱，</w:t>
      </w:r>
      <w:r w:rsidRPr="002A6FAC">
        <w:rPr>
          <w:rFonts w:hint="eastAsia"/>
        </w:rPr>
        <w:t>因投資人需配合本案公益性，需</w:t>
      </w:r>
      <w:r w:rsidR="003C76CF">
        <w:rPr>
          <w:rFonts w:hint="eastAsia"/>
        </w:rPr>
        <w:t>挹</w:t>
      </w:r>
      <w:r w:rsidRPr="002A6FAC">
        <w:rPr>
          <w:rFonts w:hint="eastAsia"/>
        </w:rPr>
        <w:t>注資金興建並提供公益時段及購置最新科技傳習業界，為使本案投資人所提財務計畫具有可行性，故調整影視音產業主體事業比例</w:t>
      </w:r>
      <w:r>
        <w:rPr>
          <w:rFonts w:hint="eastAsia"/>
        </w:rPr>
        <w:t>，</w:t>
      </w:r>
      <w:r w:rsidRPr="002A6FAC">
        <w:rPr>
          <w:rFonts w:hint="eastAsia"/>
        </w:rPr>
        <w:t>由</w:t>
      </w:r>
      <w:r>
        <w:rPr>
          <w:rFonts w:hint="eastAsia"/>
        </w:rPr>
        <w:t>70</w:t>
      </w:r>
      <w:r>
        <w:rPr>
          <w:rFonts w:hAnsi="標楷體" w:hint="eastAsia"/>
        </w:rPr>
        <w:t>％(</w:t>
      </w:r>
      <w:r>
        <w:rPr>
          <w:rFonts w:hint="eastAsia"/>
        </w:rPr>
        <w:t>原採</w:t>
      </w:r>
      <w:r w:rsidRPr="002A6FAC">
        <w:rPr>
          <w:rFonts w:hint="eastAsia"/>
        </w:rPr>
        <w:t>BOT</w:t>
      </w:r>
      <w:r>
        <w:rPr>
          <w:rFonts w:hint="eastAsia"/>
        </w:rPr>
        <w:t>規劃</w:t>
      </w:r>
      <w:r>
        <w:rPr>
          <w:rFonts w:hAnsi="標楷體" w:hint="eastAsia"/>
        </w:rPr>
        <w:t>)</w:t>
      </w:r>
      <w:r w:rsidRPr="002A6FAC">
        <w:rPr>
          <w:rFonts w:hint="eastAsia"/>
        </w:rPr>
        <w:t>改為</w:t>
      </w:r>
      <w:r>
        <w:rPr>
          <w:rFonts w:hint="eastAsia"/>
        </w:rPr>
        <w:t>50</w:t>
      </w:r>
      <w:r>
        <w:rPr>
          <w:rFonts w:hAnsi="標楷體" w:hint="eastAsia"/>
        </w:rPr>
        <w:t>％（改採設定地上權開發）</w:t>
      </w:r>
      <w:r w:rsidRPr="002A6FAC">
        <w:rPr>
          <w:rFonts w:hint="eastAsia"/>
        </w:rPr>
        <w:t>，鼓勵投資人規劃創新影</w:t>
      </w:r>
      <w:r>
        <w:rPr>
          <w:rFonts w:hint="eastAsia"/>
        </w:rPr>
        <w:t>視文創空間，也使異業產業願意投入資金，支持影視產業，並</w:t>
      </w:r>
      <w:r w:rsidRPr="002A6FAC">
        <w:rPr>
          <w:rFonts w:hint="eastAsia"/>
        </w:rPr>
        <w:t>使本案執行公益性所負擔之財務計畫可行</w:t>
      </w:r>
      <w:r>
        <w:rPr>
          <w:rFonts w:hint="eastAsia"/>
        </w:rPr>
        <w:t>；另該</w:t>
      </w:r>
      <w:r>
        <w:rPr>
          <w:rFonts w:hAnsi="標楷體" w:hint="eastAsia"/>
          <w:szCs w:val="32"/>
        </w:rPr>
        <w:t>府文化局仍會將公益需求規範於招商文件，並由</w:t>
      </w:r>
      <w:r w:rsidRPr="00F73571">
        <w:rPr>
          <w:rFonts w:hAnsi="標楷體" w:hint="eastAsia"/>
          <w:szCs w:val="32"/>
        </w:rPr>
        <w:t>投資人自提園區規劃構想</w:t>
      </w:r>
      <w:r>
        <w:rPr>
          <w:rFonts w:hAnsi="標楷體" w:hint="eastAsia"/>
          <w:szCs w:val="32"/>
        </w:rPr>
        <w:t>，再由該府就該發</w:t>
      </w:r>
      <w:r w:rsidR="003C76CF">
        <w:rPr>
          <w:rFonts w:hAnsi="標楷體" w:hint="eastAsia"/>
          <w:szCs w:val="32"/>
        </w:rPr>
        <w:t>展</w:t>
      </w:r>
      <w:r>
        <w:rPr>
          <w:rFonts w:hAnsi="標楷體" w:hint="eastAsia"/>
          <w:szCs w:val="32"/>
        </w:rPr>
        <w:t>計畫及權利金進行2階段審查，以符合該府扶植青年創意，引導產業投入未來科技文化之政策等語。</w:t>
      </w:r>
    </w:p>
    <w:p w:rsidR="00FE1848" w:rsidRDefault="00FE1848" w:rsidP="00E96993">
      <w:pPr>
        <w:pStyle w:val="4"/>
      </w:pPr>
      <w:r>
        <w:rPr>
          <w:rFonts w:hint="eastAsia"/>
        </w:rPr>
        <w:lastRenderedPageBreak/>
        <w:t>惟查</w:t>
      </w:r>
      <w:r w:rsidRPr="007C3B56">
        <w:rPr>
          <w:rFonts w:hint="eastAsia"/>
        </w:rPr>
        <w:t>本案「內湖影視音產業園區」</w:t>
      </w:r>
      <w:r>
        <w:rPr>
          <w:rFonts w:hint="eastAsia"/>
        </w:rPr>
        <w:t>歷</w:t>
      </w:r>
      <w:r w:rsidRPr="007C3B56">
        <w:rPr>
          <w:rFonts w:hint="eastAsia"/>
        </w:rPr>
        <w:t>經多年之規劃，</w:t>
      </w:r>
      <w:r>
        <w:rPr>
          <w:rFonts w:hint="eastAsia"/>
        </w:rPr>
        <w:t>迄本院調查時，仍未經</w:t>
      </w:r>
      <w:r w:rsidR="00E11D51">
        <w:rPr>
          <w:rFonts w:hint="eastAsia"/>
        </w:rPr>
        <w:t>臺北市</w:t>
      </w:r>
      <w:r>
        <w:rPr>
          <w:rFonts w:hint="eastAsia"/>
        </w:rPr>
        <w:t>議會完成土地處分審議程序，遑論對外公告招商，而</w:t>
      </w:r>
      <w:r w:rsidR="003C76CF">
        <w:rPr>
          <w:rFonts w:hint="eastAsia"/>
        </w:rPr>
        <w:t>該</w:t>
      </w:r>
      <w:r>
        <w:rPr>
          <w:rFonts w:hint="eastAsia"/>
        </w:rPr>
        <w:t>基地現亦僅提供影視音業者協拍（短期使用，無償提供），別無其他有效率之使用，致</w:t>
      </w:r>
      <w:r w:rsidRPr="00C12007">
        <w:rPr>
          <w:rFonts w:hint="eastAsia"/>
        </w:rPr>
        <w:t>呈低度利用狀態</w:t>
      </w:r>
      <w:r>
        <w:rPr>
          <w:rFonts w:hint="eastAsia"/>
        </w:rPr>
        <w:t>，凡此均與該府之評估與決策過程失諸縝密，有相</w:t>
      </w:r>
      <w:r w:rsidR="00E11D51">
        <w:rPr>
          <w:rFonts w:hint="eastAsia"/>
        </w:rPr>
        <w:t>當</w:t>
      </w:r>
      <w:r>
        <w:rPr>
          <w:rFonts w:hint="eastAsia"/>
        </w:rPr>
        <w:t>程度之關聯</w:t>
      </w:r>
      <w:r w:rsidRPr="00C12007">
        <w:rPr>
          <w:rFonts w:hint="eastAsia"/>
        </w:rPr>
        <w:t>。</w:t>
      </w:r>
      <w:r>
        <w:rPr>
          <w:rFonts w:hint="eastAsia"/>
        </w:rPr>
        <w:t>至於本案改採設定地上權開發，以及</w:t>
      </w:r>
      <w:r w:rsidRPr="00243C4B">
        <w:rPr>
          <w:rFonts w:hint="eastAsia"/>
        </w:rPr>
        <w:t>影視音產業</w:t>
      </w:r>
      <w:r>
        <w:rPr>
          <w:rFonts w:hint="eastAsia"/>
        </w:rPr>
        <w:t>樓地板面積</w:t>
      </w:r>
      <w:r w:rsidRPr="00243C4B">
        <w:rPr>
          <w:rFonts w:hint="eastAsia"/>
        </w:rPr>
        <w:t>比例從70％降到50％</w:t>
      </w:r>
      <w:r>
        <w:rPr>
          <w:rFonts w:hint="eastAsia"/>
        </w:rPr>
        <w:t>，究如何衡平考量權利金及公益性？又此舉是否符合影視音產業政策，以及</w:t>
      </w:r>
      <w:r w:rsidRPr="0013400E">
        <w:rPr>
          <w:rFonts w:hint="eastAsia"/>
        </w:rPr>
        <w:t>能</w:t>
      </w:r>
      <w:r>
        <w:rPr>
          <w:rFonts w:hint="eastAsia"/>
        </w:rPr>
        <w:t>否</w:t>
      </w:r>
      <w:r w:rsidRPr="0013400E">
        <w:rPr>
          <w:rFonts w:hint="eastAsia"/>
        </w:rPr>
        <w:t>有效引導影視音產業之發展方向</w:t>
      </w:r>
      <w:r>
        <w:rPr>
          <w:rFonts w:hint="eastAsia"/>
        </w:rPr>
        <w:t>，亦有待臺北市政府審慎面對。</w:t>
      </w:r>
      <w:r w:rsidR="00CC4BE2">
        <w:rPr>
          <w:rFonts w:hint="eastAsia"/>
        </w:rPr>
        <w:t>復查，臺北市政府並無具體構想，如引進</w:t>
      </w:r>
      <w:r w:rsidR="00CC4BE2">
        <w:rPr>
          <w:rFonts w:hint="eastAsia"/>
          <w:kern w:val="0"/>
        </w:rPr>
        <w:t>虛擬實境</w:t>
      </w:r>
      <w:r w:rsidR="00CC4BE2">
        <w:rPr>
          <w:kern w:val="0"/>
        </w:rPr>
        <w:t>(VR)</w:t>
      </w:r>
      <w:r w:rsidR="00CC4BE2">
        <w:rPr>
          <w:rFonts w:hint="eastAsia"/>
          <w:kern w:val="0"/>
        </w:rPr>
        <w:t>、擴增實境</w:t>
      </w:r>
      <w:r w:rsidR="00CC4BE2">
        <w:rPr>
          <w:kern w:val="0"/>
        </w:rPr>
        <w:t>(AR)</w:t>
      </w:r>
      <w:r w:rsidR="00CC4BE2">
        <w:rPr>
          <w:rFonts w:hint="eastAsia"/>
          <w:kern w:val="0"/>
        </w:rPr>
        <w:t>與混合實境</w:t>
      </w:r>
      <w:r w:rsidR="00CC4BE2">
        <w:rPr>
          <w:kern w:val="0"/>
        </w:rPr>
        <w:t xml:space="preserve"> (MR)</w:t>
      </w:r>
      <w:r w:rsidR="00CC4BE2">
        <w:rPr>
          <w:rFonts w:hint="eastAsia"/>
          <w:kern w:val="0"/>
        </w:rPr>
        <w:t>技術</w:t>
      </w:r>
      <w:r w:rsidR="00CC4BE2">
        <w:rPr>
          <w:rFonts w:hint="eastAsia"/>
        </w:rPr>
        <w:t>或作為電競場域或開發影城等，經本院提醒，略有所感，但該基地面積不大，且週邊均已開發，未來交通動線，甚至開發項目會否引起附近居民抗爭，尚難預料。</w:t>
      </w:r>
    </w:p>
    <w:p w:rsidR="003C76CF" w:rsidRDefault="003C76CF" w:rsidP="003C76CF">
      <w:pPr>
        <w:pStyle w:val="4"/>
        <w:numPr>
          <w:ilvl w:val="0"/>
          <w:numId w:val="0"/>
        </w:numPr>
        <w:ind w:left="1701"/>
      </w:pPr>
    </w:p>
    <w:p w:rsidR="00FE1848" w:rsidRPr="00E96993" w:rsidRDefault="00FE1848" w:rsidP="00FE1848">
      <w:pPr>
        <w:pStyle w:val="3"/>
        <w:kinsoku w:val="0"/>
        <w:overflowPunct/>
        <w:autoSpaceDE/>
        <w:autoSpaceDN/>
        <w:ind w:left="1393" w:hanging="697"/>
      </w:pPr>
      <w:r w:rsidRPr="002D11AC">
        <w:rPr>
          <w:rFonts w:hAnsi="標楷體" w:hint="eastAsia"/>
          <w:szCs w:val="32"/>
        </w:rPr>
        <w:t>「市議會舊址設定地上權案」：</w:t>
      </w:r>
    </w:p>
    <w:p w:rsidR="00FE1848" w:rsidRDefault="00FE1848" w:rsidP="00E96993">
      <w:pPr>
        <w:pStyle w:val="4"/>
      </w:pPr>
      <w:r>
        <w:rPr>
          <w:rFonts w:hint="eastAsia"/>
        </w:rPr>
        <w:t>臺北市議會舊址位於該市中正區忠孝西路、中山南路及青島西路間之公園段三小段1地號等13筆土地，面積</w:t>
      </w:r>
      <w:r>
        <w:rPr>
          <w:rFonts w:hAnsi="標楷體" w:hint="eastAsia"/>
          <w:szCs w:val="32"/>
        </w:rPr>
        <w:t>0.</w:t>
      </w:r>
      <w:r w:rsidRPr="00D17B51">
        <w:rPr>
          <w:rFonts w:hAnsi="標楷體" w:hint="eastAsia"/>
          <w:szCs w:val="32"/>
        </w:rPr>
        <w:t>6695</w:t>
      </w:r>
      <w:r>
        <w:rPr>
          <w:rFonts w:hAnsi="標楷體" w:hint="eastAsia"/>
          <w:szCs w:val="32"/>
        </w:rPr>
        <w:t>公頃</w:t>
      </w:r>
      <w:r>
        <w:rPr>
          <w:rStyle w:val="aff1"/>
          <w:rFonts w:hAnsi="標楷體"/>
          <w:szCs w:val="32"/>
        </w:rPr>
        <w:footnoteReference w:id="11"/>
      </w:r>
      <w:r>
        <w:rPr>
          <w:rFonts w:hint="eastAsia"/>
        </w:rPr>
        <w:t>，為臺北市所有，原屬都市計畫</w:t>
      </w:r>
      <w:r>
        <w:rPr>
          <w:rFonts w:hAnsi="標楷體" w:hint="eastAsia"/>
        </w:rPr>
        <w:t>「行政區」</w:t>
      </w:r>
      <w:r>
        <w:rPr>
          <w:rFonts w:hint="eastAsia"/>
        </w:rPr>
        <w:t>。</w:t>
      </w:r>
      <w:r w:rsidRPr="00F74BA7">
        <w:rPr>
          <w:rFonts w:hint="eastAsia"/>
        </w:rPr>
        <w:tab/>
        <w:t>79</w:t>
      </w:r>
      <w:r>
        <w:rPr>
          <w:rFonts w:hint="eastAsia"/>
        </w:rPr>
        <w:t>年市議會遷移至仁愛路後，建物交由該</w:t>
      </w:r>
      <w:r w:rsidRPr="00F74BA7">
        <w:rPr>
          <w:rFonts w:hint="eastAsia"/>
        </w:rPr>
        <w:t>府警察局中正第一分局使用，93年間因勞健保爭議款案遭中央查封部分土地，致無法開發利用</w:t>
      </w:r>
      <w:r>
        <w:rPr>
          <w:rFonts w:hint="eastAsia"/>
        </w:rPr>
        <w:t>（102年9月解封）</w:t>
      </w:r>
      <w:r w:rsidRPr="00F74BA7">
        <w:rPr>
          <w:rFonts w:hint="eastAsia"/>
        </w:rPr>
        <w:t>，</w:t>
      </w:r>
      <w:r>
        <w:rPr>
          <w:rFonts w:hint="eastAsia"/>
        </w:rPr>
        <w:t>期間雖研議短期利用方式，惟</w:t>
      </w:r>
      <w:r w:rsidRPr="00F74BA7">
        <w:rPr>
          <w:rFonts w:hint="eastAsia"/>
        </w:rPr>
        <w:t>因建物窳陋不堪使用，經評估修復所需經費高達數億元，不符經濟效益</w:t>
      </w:r>
      <w:r>
        <w:rPr>
          <w:rFonts w:hint="eastAsia"/>
        </w:rPr>
        <w:t>，致長期閒置</w:t>
      </w:r>
      <w:r w:rsidRPr="00F74BA7">
        <w:rPr>
          <w:rFonts w:hint="eastAsia"/>
        </w:rPr>
        <w:t>。94年間</w:t>
      </w:r>
      <w:r>
        <w:rPr>
          <w:rFonts w:hint="eastAsia"/>
        </w:rPr>
        <w:t>，經該府</w:t>
      </w:r>
      <w:r w:rsidRPr="00F74BA7">
        <w:rPr>
          <w:rFonts w:hint="eastAsia"/>
        </w:rPr>
        <w:t>文</w:t>
      </w:r>
      <w:r>
        <w:rPr>
          <w:rFonts w:hint="eastAsia"/>
        </w:rPr>
        <w:t>化資產</w:t>
      </w:r>
      <w:r w:rsidRPr="00F74BA7">
        <w:rPr>
          <w:rFonts w:hint="eastAsia"/>
        </w:rPr>
        <w:t>資審</w:t>
      </w:r>
      <w:r>
        <w:rPr>
          <w:rFonts w:hint="eastAsia"/>
        </w:rPr>
        <w:t>委員</w:t>
      </w:r>
      <w:r w:rsidRPr="00F74BA7">
        <w:rPr>
          <w:rFonts w:hint="eastAsia"/>
        </w:rPr>
        <w:t>會議討論，</w:t>
      </w:r>
      <w:r>
        <w:rPr>
          <w:rFonts w:hint="eastAsia"/>
        </w:rPr>
        <w:t>因</w:t>
      </w:r>
      <w:r w:rsidRPr="00F74BA7">
        <w:rPr>
          <w:rFonts w:hint="eastAsia"/>
        </w:rPr>
        <w:t>建物未達古蹟或歷</w:t>
      </w:r>
      <w:r w:rsidRPr="00F74BA7">
        <w:rPr>
          <w:rFonts w:hint="eastAsia"/>
        </w:rPr>
        <w:lastRenderedPageBreak/>
        <w:t>史建築評定標準，</w:t>
      </w:r>
      <w:r>
        <w:rPr>
          <w:rFonts w:hint="eastAsia"/>
        </w:rPr>
        <w:t>故不指定古蹟亦不登錄歷史建築。嗣後歷經</w:t>
      </w:r>
      <w:r w:rsidRPr="00F74BA7">
        <w:rPr>
          <w:rFonts w:hint="eastAsia"/>
        </w:rPr>
        <w:t>96年間中正第一分局遷至公園路新址，98年9月核准報廢建物</w:t>
      </w:r>
      <w:r>
        <w:rPr>
          <w:rFonts w:hint="eastAsia"/>
        </w:rPr>
        <w:t>，</w:t>
      </w:r>
      <w:r w:rsidRPr="00F74BA7">
        <w:rPr>
          <w:rFonts w:hint="eastAsia"/>
        </w:rPr>
        <w:t xml:space="preserve"> 105年4月9</w:t>
      </w:r>
      <w:r>
        <w:rPr>
          <w:rFonts w:hint="eastAsia"/>
        </w:rPr>
        <w:t>日建物全部拆除，予以綠美化，迄目前則暫時</w:t>
      </w:r>
      <w:r w:rsidRPr="00F74BA7">
        <w:rPr>
          <w:rFonts w:hint="eastAsia"/>
        </w:rPr>
        <w:t>作為廣場對外開放供民眾通行使用。</w:t>
      </w:r>
    </w:p>
    <w:p w:rsidR="00FE1848" w:rsidRDefault="00FE1848" w:rsidP="00E96993">
      <w:pPr>
        <w:pStyle w:val="4"/>
      </w:pPr>
      <w:r>
        <w:rPr>
          <w:rFonts w:hint="eastAsia"/>
        </w:rPr>
        <w:t>由於本案市議會舊址基地早於臺北市政府</w:t>
      </w:r>
      <w:r w:rsidRPr="00E96993">
        <w:rPr>
          <w:rFonts w:hint="eastAsia"/>
        </w:rPr>
        <w:t>92年10月30日公告實施「</w:t>
      </w:r>
      <w:r w:rsidRPr="00AB4F31">
        <w:rPr>
          <w:rFonts w:hAnsi="標楷體" w:hint="eastAsia"/>
          <w:szCs w:val="32"/>
        </w:rPr>
        <w:t>變更臺北市中正區市議會舊址等行政區為文化觀光專用區計畫案」</w:t>
      </w:r>
      <w:r>
        <w:rPr>
          <w:rFonts w:hAnsi="標楷體" w:hint="eastAsia"/>
          <w:szCs w:val="32"/>
        </w:rPr>
        <w:t>內，即變更為「文化觀光專用區」，且自96年起已長期荒廢，</w:t>
      </w:r>
      <w:r>
        <w:rPr>
          <w:rFonts w:hint="eastAsia"/>
        </w:rPr>
        <w:t>建物</w:t>
      </w:r>
      <w:r w:rsidRPr="00F74BA7">
        <w:rPr>
          <w:rFonts w:hint="eastAsia"/>
        </w:rPr>
        <w:t>窳陋不堪</w:t>
      </w:r>
      <w:r>
        <w:rPr>
          <w:rFonts w:hint="eastAsia"/>
        </w:rPr>
        <w:t>，致遭外界嚴厲批評</w:t>
      </w:r>
      <w:r>
        <w:rPr>
          <w:rStyle w:val="aff1"/>
        </w:rPr>
        <w:footnoteReference w:id="12"/>
      </w:r>
      <w:r>
        <w:rPr>
          <w:rFonts w:hint="eastAsia"/>
        </w:rPr>
        <w:t>，臺北市政府本應儘速縝密規劃及評估</w:t>
      </w:r>
      <w:r w:rsidR="009101BF">
        <w:rPr>
          <w:rFonts w:hint="eastAsia"/>
        </w:rPr>
        <w:t>該</w:t>
      </w:r>
      <w:r>
        <w:rPr>
          <w:rFonts w:hint="eastAsia"/>
        </w:rPr>
        <w:t>土地使用事宜。然詢據臺北市政府相關人員指稱，該府於</w:t>
      </w:r>
      <w:r w:rsidRPr="00012017">
        <w:rPr>
          <w:rFonts w:hint="eastAsia"/>
        </w:rPr>
        <w:t>98年原規劃以BOT方式辦理開發，後經財務試算結果尚不具備民間機構經營之財務可行性及投資誘因，另透過都市</w:t>
      </w:r>
      <w:r>
        <w:rPr>
          <w:rFonts w:hint="eastAsia"/>
        </w:rPr>
        <w:t>更新之權利變換過程將減少該府土地所有權持分，基於永續經營理念，該</w:t>
      </w:r>
      <w:r w:rsidRPr="00012017">
        <w:rPr>
          <w:rFonts w:hint="eastAsia"/>
        </w:rPr>
        <w:t>府</w:t>
      </w:r>
      <w:r>
        <w:rPr>
          <w:rFonts w:hint="eastAsia"/>
        </w:rPr>
        <w:t>乃</w:t>
      </w:r>
      <w:r w:rsidRPr="00012017">
        <w:rPr>
          <w:rFonts w:hint="eastAsia"/>
        </w:rPr>
        <w:t>於102年10月16日邀集相關單位研商，</w:t>
      </w:r>
      <w:r>
        <w:rPr>
          <w:rFonts w:hint="eastAsia"/>
        </w:rPr>
        <w:t>獲致由該府財政局研析</w:t>
      </w:r>
      <w:r w:rsidRPr="00012017">
        <w:rPr>
          <w:rFonts w:hint="eastAsia"/>
        </w:rPr>
        <w:t>採BOT或以設定地上權方式開發</w:t>
      </w:r>
      <w:r>
        <w:rPr>
          <w:rFonts w:hint="eastAsia"/>
        </w:rPr>
        <w:t>之</w:t>
      </w:r>
      <w:r w:rsidRPr="00012017">
        <w:rPr>
          <w:rFonts w:hint="eastAsia"/>
        </w:rPr>
        <w:t>結論</w:t>
      </w:r>
      <w:r>
        <w:rPr>
          <w:rFonts w:hint="eastAsia"/>
        </w:rPr>
        <w:t>，</w:t>
      </w:r>
      <w:r w:rsidRPr="00012017">
        <w:rPr>
          <w:rFonts w:hint="eastAsia"/>
        </w:rPr>
        <w:t>該局基於財務可行性及市有土地開發效率等因素，</w:t>
      </w:r>
      <w:r w:rsidR="009101BF">
        <w:rPr>
          <w:rFonts w:hint="eastAsia"/>
        </w:rPr>
        <w:t>嗣</w:t>
      </w:r>
      <w:r>
        <w:rPr>
          <w:rFonts w:hint="eastAsia"/>
        </w:rPr>
        <w:t>於</w:t>
      </w:r>
      <w:r w:rsidRPr="00012017">
        <w:rPr>
          <w:rFonts w:hint="eastAsia"/>
        </w:rPr>
        <w:t>同年10月28日簽報核准以設定地上權方式辦理開發</w:t>
      </w:r>
      <w:r>
        <w:rPr>
          <w:rFonts w:hint="eastAsia"/>
        </w:rPr>
        <w:t>。案經</w:t>
      </w:r>
      <w:r w:rsidRPr="00261B49">
        <w:rPr>
          <w:rFonts w:hint="eastAsia"/>
        </w:rPr>
        <w:t>103年8</w:t>
      </w:r>
      <w:r>
        <w:rPr>
          <w:rFonts w:hint="eastAsia"/>
        </w:rPr>
        <w:t>月開始公告招商</w:t>
      </w:r>
      <w:r w:rsidRPr="00261B49">
        <w:rPr>
          <w:rFonts w:hint="eastAsia"/>
        </w:rPr>
        <w:t>，</w:t>
      </w:r>
      <w:r>
        <w:rPr>
          <w:rFonts w:hint="eastAsia"/>
        </w:rPr>
        <w:t>惟</w:t>
      </w:r>
      <w:r w:rsidRPr="00261B49">
        <w:rPr>
          <w:rFonts w:hint="eastAsia"/>
        </w:rPr>
        <w:t>歷經6次招商(103年8月13日、103年9月29日、104年9月4日、105年3月2日、105年7月11日、106年5月11</w:t>
      </w:r>
      <w:r>
        <w:rPr>
          <w:rFonts w:hint="eastAsia"/>
        </w:rPr>
        <w:t>日</w:t>
      </w:r>
      <w:r w:rsidRPr="00261B49">
        <w:rPr>
          <w:rFonts w:hint="eastAsia"/>
        </w:rPr>
        <w:t>)，前5次均</w:t>
      </w:r>
      <w:r w:rsidR="009101BF">
        <w:rPr>
          <w:rFonts w:hint="eastAsia"/>
        </w:rPr>
        <w:t>因</w:t>
      </w:r>
      <w:r w:rsidRPr="00261B49">
        <w:rPr>
          <w:rFonts w:hint="eastAsia"/>
        </w:rPr>
        <w:t>無人投標而流標，</w:t>
      </w:r>
      <w:r>
        <w:rPr>
          <w:rFonts w:hint="eastAsia"/>
        </w:rPr>
        <w:t>至</w:t>
      </w:r>
      <w:r w:rsidRPr="00261B49">
        <w:rPr>
          <w:rFonts w:hint="eastAsia"/>
        </w:rPr>
        <w:t>第6次招商</w:t>
      </w:r>
      <w:r>
        <w:rPr>
          <w:rFonts w:hint="eastAsia"/>
        </w:rPr>
        <w:t>時亦僅</w:t>
      </w:r>
      <w:r w:rsidRPr="00261B49">
        <w:rPr>
          <w:rFonts w:hint="eastAsia"/>
        </w:rPr>
        <w:t>有由豪昱營造股份有限公司代表之合作聯盟</w:t>
      </w:r>
      <w:r>
        <w:rPr>
          <w:rFonts w:hint="eastAsia"/>
        </w:rPr>
        <w:t>1家廠商</w:t>
      </w:r>
      <w:r w:rsidRPr="00B8740D">
        <w:rPr>
          <w:rFonts w:hint="eastAsia"/>
        </w:rPr>
        <w:t>投標</w:t>
      </w:r>
      <w:r>
        <w:rPr>
          <w:rFonts w:hint="eastAsia"/>
        </w:rPr>
        <w:t>，並以</w:t>
      </w:r>
      <w:r w:rsidRPr="00B8740D">
        <w:rPr>
          <w:rFonts w:hint="eastAsia"/>
        </w:rPr>
        <w:t>權利金28.888億元得標</w:t>
      </w:r>
      <w:r>
        <w:rPr>
          <w:rFonts w:hint="eastAsia"/>
        </w:rPr>
        <w:t>，嗣經該府於</w:t>
      </w:r>
      <w:r w:rsidRPr="00261B49">
        <w:rPr>
          <w:rFonts w:hint="eastAsia"/>
        </w:rPr>
        <w:t>106年10月25日與該得標合作聯盟成立之專案公司</w:t>
      </w:r>
      <w:r>
        <w:rPr>
          <w:rFonts w:hAnsi="標楷體" w:hint="eastAsia"/>
        </w:rPr>
        <w:t>「</w:t>
      </w:r>
      <w:r w:rsidRPr="00261B49">
        <w:rPr>
          <w:rFonts w:hint="eastAsia"/>
        </w:rPr>
        <w:t>金毓泰股份有限公司</w:t>
      </w:r>
      <w:r>
        <w:rPr>
          <w:rFonts w:hAnsi="標楷體" w:hint="eastAsia"/>
        </w:rPr>
        <w:t>」</w:t>
      </w:r>
      <w:r w:rsidRPr="00261B49">
        <w:rPr>
          <w:rFonts w:hint="eastAsia"/>
        </w:rPr>
        <w:t>簽訂設定地上權契約。</w:t>
      </w:r>
    </w:p>
    <w:p w:rsidR="00FE1848" w:rsidRDefault="00FE1848" w:rsidP="00E96993">
      <w:pPr>
        <w:pStyle w:val="4"/>
      </w:pPr>
      <w:r w:rsidRPr="000F575A">
        <w:rPr>
          <w:rFonts w:hint="eastAsia"/>
          <w:szCs w:val="32"/>
        </w:rPr>
        <w:t>案經該府檢討招標不順利之原因，歸納有：「</w:t>
      </w:r>
      <w:r w:rsidRPr="000F575A">
        <w:rPr>
          <w:rFonts w:hint="eastAsia"/>
          <w:szCs w:val="32"/>
        </w:rPr>
        <w:tab/>
        <w:t>文化</w:t>
      </w:r>
      <w:r w:rsidRPr="000F575A">
        <w:rPr>
          <w:rFonts w:hint="eastAsia"/>
          <w:szCs w:val="32"/>
        </w:rPr>
        <w:lastRenderedPageBreak/>
        <w:t>觀光設施之規劃使用內容未臻明確」、「</w:t>
      </w:r>
      <w:r w:rsidRPr="000F575A">
        <w:rPr>
          <w:rFonts w:hAnsi="標楷體" w:hint="eastAsia"/>
          <w:szCs w:val="32"/>
        </w:rPr>
        <w:t>權利金偏高</w:t>
      </w:r>
      <w:r w:rsidRPr="000F575A">
        <w:rPr>
          <w:rFonts w:hint="eastAsia"/>
          <w:szCs w:val="32"/>
        </w:rPr>
        <w:t>」、「</w:t>
      </w:r>
      <w:r w:rsidRPr="000F575A">
        <w:rPr>
          <w:rFonts w:hAnsi="標楷體" w:hint="eastAsia"/>
          <w:szCs w:val="32"/>
        </w:rPr>
        <w:t>文化觀光設施部分影響整體開發效益。</w:t>
      </w:r>
      <w:r w:rsidRPr="000F575A">
        <w:rPr>
          <w:rFonts w:hint="eastAsia"/>
          <w:szCs w:val="32"/>
        </w:rPr>
        <w:t>」、「</w:t>
      </w:r>
      <w:r w:rsidRPr="000F575A">
        <w:rPr>
          <w:rFonts w:hAnsi="標楷體" w:hint="eastAsia"/>
          <w:szCs w:val="32"/>
        </w:rPr>
        <w:t>105年度公告地價調漲幅度過大</w:t>
      </w:r>
      <w:r w:rsidRPr="000F575A">
        <w:rPr>
          <w:rFonts w:hint="eastAsia"/>
          <w:szCs w:val="32"/>
        </w:rPr>
        <w:t>」、「</w:t>
      </w:r>
      <w:r w:rsidRPr="000F575A">
        <w:rPr>
          <w:rFonts w:hAnsi="標楷體" w:hint="eastAsia"/>
          <w:szCs w:val="32"/>
        </w:rPr>
        <w:t>投資人與市府使用空間介面之權利義務未臻明確</w:t>
      </w:r>
      <w:r w:rsidRPr="000F575A">
        <w:rPr>
          <w:rFonts w:hint="eastAsia"/>
          <w:szCs w:val="32"/>
        </w:rPr>
        <w:t>」、「</w:t>
      </w:r>
      <w:r w:rsidRPr="000F575A">
        <w:rPr>
          <w:rFonts w:hAnsi="標楷體" w:hint="eastAsia"/>
          <w:szCs w:val="32"/>
        </w:rPr>
        <w:t>房地產景氣低迷</w:t>
      </w:r>
      <w:r w:rsidRPr="000F575A">
        <w:rPr>
          <w:rFonts w:hint="eastAsia"/>
          <w:szCs w:val="32"/>
        </w:rPr>
        <w:t>」、「</w:t>
      </w:r>
      <w:r w:rsidRPr="000F575A">
        <w:rPr>
          <w:rFonts w:hAnsi="標楷體" w:hint="eastAsia"/>
          <w:szCs w:val="32"/>
        </w:rPr>
        <w:t>受保護樹木移植審查時程不易掌控</w:t>
      </w:r>
      <w:r w:rsidRPr="000F575A">
        <w:rPr>
          <w:rFonts w:hint="eastAsia"/>
          <w:szCs w:val="32"/>
        </w:rPr>
        <w:t>」等，然上述因素除房地產景氣因素外，多數係涉及規劃、評估及估價層面，尚非</w:t>
      </w:r>
      <w:r>
        <w:rPr>
          <w:rFonts w:hint="eastAsia"/>
          <w:szCs w:val="32"/>
        </w:rPr>
        <w:t>全</w:t>
      </w:r>
      <w:r w:rsidR="009101BF">
        <w:rPr>
          <w:rFonts w:hint="eastAsia"/>
          <w:szCs w:val="32"/>
        </w:rPr>
        <w:t>屬</w:t>
      </w:r>
      <w:r w:rsidRPr="000F575A">
        <w:rPr>
          <w:rFonts w:hint="eastAsia"/>
          <w:szCs w:val="32"/>
        </w:rPr>
        <w:t>不可控制之因素。綜合</w:t>
      </w:r>
      <w:r>
        <w:rPr>
          <w:rFonts w:hint="eastAsia"/>
        </w:rPr>
        <w:t>檢視上開規劃及開發過程，可見臺北市政府對本案開發基地之規劃利用失諸消極，對於地上權招標案亦未見縝密規劃。</w:t>
      </w:r>
    </w:p>
    <w:p w:rsidR="009101BF" w:rsidRDefault="009101BF" w:rsidP="009101BF">
      <w:pPr>
        <w:pStyle w:val="4"/>
        <w:numPr>
          <w:ilvl w:val="0"/>
          <w:numId w:val="0"/>
        </w:numPr>
        <w:ind w:left="1701"/>
      </w:pPr>
    </w:p>
    <w:p w:rsidR="00FE1848" w:rsidRDefault="00FE1848" w:rsidP="00FE1848">
      <w:pPr>
        <w:pStyle w:val="3"/>
        <w:kinsoku w:val="0"/>
        <w:overflowPunct/>
        <w:autoSpaceDE/>
        <w:autoSpaceDN/>
        <w:ind w:left="1393" w:hanging="697"/>
      </w:pPr>
      <w:r>
        <w:rPr>
          <w:rFonts w:hint="eastAsia"/>
        </w:rPr>
        <w:t>綜上所述，</w:t>
      </w:r>
      <w:r w:rsidRPr="000F0400">
        <w:rPr>
          <w:rFonts w:hint="eastAsia"/>
        </w:rPr>
        <w:t>臺北市政府辦理</w:t>
      </w:r>
      <w:r w:rsidRPr="000F0400">
        <w:rPr>
          <w:rFonts w:hint="eastAsia"/>
          <w:szCs w:val="32"/>
        </w:rPr>
        <w:t>「內科支援設施BOT 案」</w:t>
      </w:r>
      <w:r w:rsidRPr="000F0400">
        <w:rPr>
          <w:rFonts w:hint="eastAsia"/>
        </w:rPr>
        <w:t>（94年間取得土地，迄106年5月25日始與民間機構簽訂BOT開發契約）、「內湖影視音產業園區設定地上權案」（94年間取得土地，迄未與民間機構簽約開發）及「市議會舊址設定地上權案」（96年開始閒置，迄106年10月25日始與民間機構簽訂設定地上權契約）等公私合作開發案</w:t>
      </w:r>
      <w:r w:rsidRPr="00E93D58">
        <w:rPr>
          <w:rFonts w:hint="eastAsia"/>
          <w:color w:val="000000"/>
        </w:rPr>
        <w:t>，核其決策反覆且規劃過程過於冗長，明顯</w:t>
      </w:r>
      <w:r w:rsidRPr="000F0400">
        <w:rPr>
          <w:rFonts w:hint="eastAsia"/>
        </w:rPr>
        <w:t>未能掌握現代產業及其市場需求快速變遷之特性；復以對公有土地之管理利用亦失諸消極，致大面積精華土地淪於閒置，實有行政效率不佳之缺失。</w:t>
      </w:r>
    </w:p>
    <w:p w:rsidR="009101BF" w:rsidRDefault="009101BF" w:rsidP="009101BF">
      <w:pPr>
        <w:pStyle w:val="3"/>
        <w:numPr>
          <w:ilvl w:val="0"/>
          <w:numId w:val="0"/>
        </w:numPr>
        <w:kinsoku w:val="0"/>
        <w:overflowPunct/>
        <w:autoSpaceDE/>
        <w:autoSpaceDN/>
        <w:ind w:left="1393"/>
      </w:pPr>
    </w:p>
    <w:p w:rsidR="00FE1848" w:rsidRPr="006813B9" w:rsidRDefault="00FE1848" w:rsidP="00FE1848">
      <w:pPr>
        <w:pStyle w:val="2"/>
        <w:kinsoku w:val="0"/>
        <w:overflowPunct/>
        <w:autoSpaceDE/>
        <w:autoSpaceDN/>
        <w:ind w:left="1047" w:hanging="697"/>
        <w:rPr>
          <w:b/>
          <w:szCs w:val="32"/>
        </w:rPr>
      </w:pPr>
      <w:r w:rsidRPr="00F7466E">
        <w:rPr>
          <w:rFonts w:hint="eastAsia"/>
          <w:b/>
        </w:rPr>
        <w:t>臺北市政府為於內湖科技園區建立「企業創新研發」及「新創聚落發展」之育成場域，前於106年5月25日與民間機構簽訂「臺北市內湖科技園區產業支援設施開發計畫興建營運移轉案」投資契約，將都市計畫規劃之</w:t>
      </w:r>
      <w:r w:rsidRPr="00F7466E">
        <w:rPr>
          <w:rFonts w:hAnsi="標楷體" w:hint="eastAsia"/>
          <w:b/>
          <w:szCs w:val="32"/>
        </w:rPr>
        <w:t>「</w:t>
      </w:r>
      <w:r w:rsidRPr="00F7466E">
        <w:rPr>
          <w:rFonts w:ascii="Times New Roman" w:hAnsi="Times New Roman"/>
          <w:b/>
          <w:szCs w:val="32"/>
        </w:rPr>
        <w:t>產業支援設施用地</w:t>
      </w:r>
      <w:r w:rsidRPr="00F7466E">
        <w:rPr>
          <w:rFonts w:hAnsi="標楷體" w:hint="eastAsia"/>
          <w:b/>
          <w:szCs w:val="32"/>
        </w:rPr>
        <w:t>」（1.5公頃）與「公共服務設施用地」（0.25公頃）</w:t>
      </w:r>
      <w:r w:rsidRPr="00F7466E">
        <w:rPr>
          <w:rFonts w:ascii="Times New Roman" w:hAnsi="Times New Roman" w:hint="eastAsia"/>
          <w:b/>
          <w:szCs w:val="32"/>
        </w:rPr>
        <w:t>交</w:t>
      </w:r>
      <w:r w:rsidRPr="00F7466E">
        <w:rPr>
          <w:rFonts w:hint="eastAsia"/>
          <w:b/>
          <w:szCs w:val="32"/>
        </w:rPr>
        <w:t>由民間開發</w:t>
      </w:r>
      <w:r w:rsidRPr="00F7466E">
        <w:rPr>
          <w:rFonts w:hint="eastAsia"/>
          <w:b/>
        </w:rPr>
        <w:t>，</w:t>
      </w:r>
      <w:r>
        <w:rPr>
          <w:rFonts w:hint="eastAsia"/>
          <w:b/>
        </w:rPr>
        <w:t>然該</w:t>
      </w:r>
      <w:r w:rsidRPr="00F7466E">
        <w:rPr>
          <w:rFonts w:hint="eastAsia"/>
          <w:b/>
        </w:rPr>
        <w:t>案投資計畫所規劃主體事業之實際樓地板面積僅占全案之18.44</w:t>
      </w:r>
      <w:r w:rsidRPr="00F7466E">
        <w:rPr>
          <w:rFonts w:hAnsi="標楷體" w:hint="eastAsia"/>
          <w:b/>
        </w:rPr>
        <w:t>％，復以投資人</w:t>
      </w:r>
      <w:r w:rsidR="006813B9">
        <w:rPr>
          <w:rFonts w:hAnsi="標楷體" w:hint="eastAsia"/>
          <w:b/>
        </w:rPr>
        <w:t>未</w:t>
      </w:r>
      <w:r w:rsidRPr="00F7466E">
        <w:rPr>
          <w:rFonts w:hAnsi="標楷體" w:hint="eastAsia"/>
          <w:b/>
        </w:rPr>
        <w:t>來僅經營附屬事業，而</w:t>
      </w:r>
      <w:r w:rsidR="006813B9">
        <w:rPr>
          <w:rFonts w:hAnsi="標楷體" w:hint="eastAsia"/>
          <w:b/>
        </w:rPr>
        <w:t>擬</w:t>
      </w:r>
      <w:r w:rsidRPr="00F7466E">
        <w:rPr>
          <w:rFonts w:hAnsi="標楷體" w:hint="eastAsia"/>
          <w:b/>
        </w:rPr>
        <w:t>將主體事業</w:t>
      </w:r>
      <w:r>
        <w:rPr>
          <w:rFonts w:hAnsi="標楷體" w:hint="eastAsia"/>
          <w:b/>
        </w:rPr>
        <w:t>再行</w:t>
      </w:r>
      <w:r w:rsidRPr="00F7466E">
        <w:rPr>
          <w:rFonts w:hAnsi="標楷體" w:hint="eastAsia"/>
          <w:b/>
        </w:rPr>
        <w:t>委外經營，</w:t>
      </w:r>
      <w:r w:rsidRPr="00F7466E">
        <w:rPr>
          <w:rFonts w:hAnsi="標楷體" w:hint="eastAsia"/>
          <w:b/>
        </w:rPr>
        <w:lastRenderedPageBreak/>
        <w:t>均</w:t>
      </w:r>
      <w:r w:rsidR="006813B9">
        <w:rPr>
          <w:rFonts w:hAnsi="標楷體" w:hint="eastAsia"/>
          <w:b/>
        </w:rPr>
        <w:t>增</w:t>
      </w:r>
      <w:r w:rsidRPr="00F7466E">
        <w:rPr>
          <w:rFonts w:hAnsi="標楷體" w:hint="eastAsia"/>
          <w:b/>
        </w:rPr>
        <w:t>本件BOT開發案公益性不足之疑慮，以及</w:t>
      </w:r>
      <w:r>
        <w:rPr>
          <w:rFonts w:hAnsi="標楷體" w:hint="eastAsia"/>
          <w:b/>
        </w:rPr>
        <w:t>該育成空間恐淪為</w:t>
      </w:r>
      <w:r w:rsidRPr="00F7466E">
        <w:rPr>
          <w:rFonts w:hAnsi="標楷體" w:hint="eastAsia"/>
          <w:b/>
        </w:rPr>
        <w:t>經營商辦</w:t>
      </w:r>
      <w:r>
        <w:rPr>
          <w:rFonts w:hAnsi="標楷體" w:hint="eastAsia"/>
          <w:b/>
        </w:rPr>
        <w:t>之附屬</w:t>
      </w:r>
      <w:r w:rsidRPr="00F7466E">
        <w:rPr>
          <w:rFonts w:hAnsi="標楷體" w:hint="eastAsia"/>
          <w:b/>
        </w:rPr>
        <w:t>事業</w:t>
      </w:r>
      <w:r>
        <w:rPr>
          <w:rFonts w:hAnsi="標楷體" w:hint="eastAsia"/>
          <w:b/>
        </w:rPr>
        <w:t>的</w:t>
      </w:r>
      <w:r w:rsidRPr="00F7466E">
        <w:rPr>
          <w:rFonts w:hAnsi="標楷體" w:hint="eastAsia"/>
          <w:b/>
        </w:rPr>
        <w:t>主從性矛盾。</w:t>
      </w:r>
      <w:r>
        <w:rPr>
          <w:rFonts w:hAnsi="標楷體" w:hint="eastAsia"/>
          <w:b/>
        </w:rPr>
        <w:t>茲</w:t>
      </w:r>
      <w:r w:rsidRPr="00F7466E">
        <w:rPr>
          <w:rFonts w:hint="eastAsia"/>
          <w:b/>
        </w:rPr>
        <w:t>為避免招致背離</w:t>
      </w:r>
      <w:r>
        <w:rPr>
          <w:rFonts w:hAnsi="標楷體" w:hint="eastAsia"/>
          <w:b/>
        </w:rPr>
        <w:t>「</w:t>
      </w:r>
      <w:r w:rsidRPr="00F7466E">
        <w:rPr>
          <w:rFonts w:hint="eastAsia"/>
          <w:b/>
        </w:rPr>
        <w:t>促進民間參與公共建設法</w:t>
      </w:r>
      <w:r>
        <w:rPr>
          <w:rFonts w:hAnsi="標楷體" w:hint="eastAsia"/>
          <w:b/>
        </w:rPr>
        <w:t>」</w:t>
      </w:r>
      <w:r w:rsidRPr="00F7466E">
        <w:rPr>
          <w:rFonts w:hint="eastAsia"/>
          <w:b/>
        </w:rPr>
        <w:t>首重「提升公共服務水準」之公益性立法宗旨，該府</w:t>
      </w:r>
      <w:r>
        <w:rPr>
          <w:rFonts w:hint="eastAsia"/>
          <w:b/>
        </w:rPr>
        <w:t>後續</w:t>
      </w:r>
      <w:r w:rsidRPr="00F7466E">
        <w:rPr>
          <w:rFonts w:hint="eastAsia"/>
          <w:b/>
        </w:rPr>
        <w:t>允宜注意本案附屬事業與主體事業之關聯性，並</w:t>
      </w:r>
      <w:r>
        <w:rPr>
          <w:rFonts w:hint="eastAsia"/>
          <w:b/>
        </w:rPr>
        <w:t>透過</w:t>
      </w:r>
      <w:r w:rsidRPr="00527E5E">
        <w:rPr>
          <w:rFonts w:hAnsi="標楷體" w:hint="eastAsia"/>
          <w:b/>
        </w:rPr>
        <w:t>「營運執行計畫書」之審核，</w:t>
      </w:r>
      <w:r w:rsidRPr="00527E5E">
        <w:rPr>
          <w:rFonts w:hint="eastAsia"/>
          <w:b/>
        </w:rPr>
        <w:t>加</w:t>
      </w:r>
      <w:r w:rsidRPr="00F7466E">
        <w:rPr>
          <w:rFonts w:hint="eastAsia"/>
          <w:b/>
        </w:rPr>
        <w:t>強對</w:t>
      </w:r>
      <w:r>
        <w:rPr>
          <w:rFonts w:hint="eastAsia"/>
          <w:b/>
        </w:rPr>
        <w:t>投資人</w:t>
      </w:r>
      <w:r w:rsidRPr="00F7466E">
        <w:rPr>
          <w:rFonts w:hint="eastAsia"/>
          <w:b/>
        </w:rPr>
        <w:t>經營附屬事業之監督。</w:t>
      </w:r>
    </w:p>
    <w:p w:rsidR="006813B9" w:rsidRPr="00F7466E" w:rsidRDefault="006813B9" w:rsidP="006813B9">
      <w:pPr>
        <w:pStyle w:val="2"/>
        <w:numPr>
          <w:ilvl w:val="0"/>
          <w:numId w:val="0"/>
        </w:numPr>
        <w:kinsoku w:val="0"/>
        <w:overflowPunct/>
        <w:autoSpaceDE/>
        <w:autoSpaceDN/>
        <w:ind w:left="1047"/>
        <w:rPr>
          <w:b/>
          <w:szCs w:val="32"/>
        </w:rPr>
      </w:pPr>
    </w:p>
    <w:p w:rsidR="00FE1848" w:rsidRDefault="00FE1848" w:rsidP="00FE1848">
      <w:pPr>
        <w:pStyle w:val="3"/>
        <w:kinsoku w:val="0"/>
        <w:overflowPunct/>
        <w:autoSpaceDE/>
        <w:autoSpaceDN/>
        <w:ind w:left="1393" w:hanging="697"/>
      </w:pPr>
      <w:r>
        <w:rPr>
          <w:rFonts w:hint="eastAsia"/>
        </w:rPr>
        <w:t>按</w:t>
      </w:r>
      <w:r w:rsidRPr="00E84468">
        <w:rPr>
          <w:rFonts w:hint="eastAsia"/>
        </w:rPr>
        <w:t>「為提升公共服務水準，加速社會經濟發展，促進民間參與公共建設，特制定本法。」</w:t>
      </w:r>
      <w:r>
        <w:rPr>
          <w:rFonts w:hint="eastAsia"/>
        </w:rPr>
        <w:t>為</w:t>
      </w:r>
      <w:r>
        <w:rPr>
          <w:rFonts w:hAnsi="標楷體" w:hint="eastAsia"/>
        </w:rPr>
        <w:t>「</w:t>
      </w:r>
      <w:r>
        <w:rPr>
          <w:rFonts w:hint="eastAsia"/>
        </w:rPr>
        <w:t>促進民間參與公共建設法</w:t>
      </w:r>
      <w:r>
        <w:rPr>
          <w:rFonts w:hAnsi="標楷體" w:hint="eastAsia"/>
        </w:rPr>
        <w:t>」</w:t>
      </w:r>
      <w:r>
        <w:rPr>
          <w:rFonts w:hint="eastAsia"/>
        </w:rPr>
        <w:t>第1條開宗明義所揭示。又同法第13條第1項及該法施行細則</w:t>
      </w:r>
      <w:r w:rsidRPr="00F81A45">
        <w:rPr>
          <w:rFonts w:hint="eastAsia"/>
        </w:rPr>
        <w:t>第34條第2</w:t>
      </w:r>
      <w:r>
        <w:rPr>
          <w:rFonts w:hint="eastAsia"/>
        </w:rPr>
        <w:t>項亦分別</w:t>
      </w:r>
      <w:r w:rsidRPr="00F81A45">
        <w:rPr>
          <w:rFonts w:hint="eastAsia"/>
        </w:rPr>
        <w:t>明定：</w:t>
      </w:r>
      <w:r>
        <w:rPr>
          <w:rFonts w:hAnsi="標楷體" w:hint="eastAsia"/>
        </w:rPr>
        <w:t>「</w:t>
      </w:r>
      <w:r w:rsidRPr="0079039A">
        <w:rPr>
          <w:rFonts w:hAnsi="標楷體" w:hint="eastAsia"/>
        </w:rPr>
        <w:t>本章所稱公共建設所需用地，係指經主辦機關核定之公共建設整體計畫所需之用地，含公共建設、附屬設施及附屬事業所需用地。</w:t>
      </w:r>
      <w:r>
        <w:rPr>
          <w:rFonts w:hAnsi="標楷體" w:hint="eastAsia"/>
        </w:rPr>
        <w:t>」</w:t>
      </w:r>
      <w:r>
        <w:rPr>
          <w:rFonts w:hint="eastAsia"/>
        </w:rPr>
        <w:t>、</w:t>
      </w:r>
      <w:r w:rsidRPr="00F81A45">
        <w:rPr>
          <w:rFonts w:hint="eastAsia"/>
        </w:rPr>
        <w:t>「附屬事業之開發經營，應以提高公共建設整體計畫財務可行性、增進公共服務品質或有效利用公共建設所需用地為目的。」</w:t>
      </w:r>
      <w:r>
        <w:rPr>
          <w:rFonts w:hint="eastAsia"/>
        </w:rPr>
        <w:t>是以依該法辦理之</w:t>
      </w:r>
      <w:r w:rsidRPr="00830101">
        <w:rPr>
          <w:rFonts w:hint="eastAsia"/>
        </w:rPr>
        <w:t>BOT開發案，雖基於財務可行性及增進民間誘因之考量，而許民</w:t>
      </w:r>
      <w:r w:rsidR="006813B9">
        <w:rPr>
          <w:rFonts w:hint="eastAsia"/>
        </w:rPr>
        <w:t>間</w:t>
      </w:r>
      <w:r w:rsidRPr="00830101">
        <w:rPr>
          <w:rFonts w:hint="eastAsia"/>
        </w:rPr>
        <w:t>機構開發經營附屬事業，然附屬事業</w:t>
      </w:r>
      <w:r>
        <w:rPr>
          <w:rFonts w:hint="eastAsia"/>
        </w:rPr>
        <w:t>之規模</w:t>
      </w:r>
      <w:r w:rsidRPr="00830101">
        <w:rPr>
          <w:rFonts w:hint="eastAsia"/>
        </w:rPr>
        <w:t>比例自應</w:t>
      </w:r>
      <w:r>
        <w:rPr>
          <w:rFonts w:hint="eastAsia"/>
        </w:rPr>
        <w:t>適當、衡平</w:t>
      </w:r>
      <w:r w:rsidRPr="00830101">
        <w:rPr>
          <w:rFonts w:hint="eastAsia"/>
        </w:rPr>
        <w:t>，並注意與主體事業間之關聯，以免背離</w:t>
      </w:r>
      <w:r>
        <w:rPr>
          <w:rFonts w:hAnsi="標楷體" w:hint="eastAsia"/>
        </w:rPr>
        <w:t>「</w:t>
      </w:r>
      <w:r w:rsidRPr="000D5672">
        <w:rPr>
          <w:rFonts w:hint="eastAsia"/>
        </w:rPr>
        <w:t>促進民間參與公共建設法</w:t>
      </w:r>
      <w:r>
        <w:rPr>
          <w:rFonts w:hAnsi="標楷體" w:hint="eastAsia"/>
        </w:rPr>
        <w:t>」</w:t>
      </w:r>
      <w:r>
        <w:rPr>
          <w:rFonts w:hint="eastAsia"/>
        </w:rPr>
        <w:t>有關</w:t>
      </w:r>
      <w:r w:rsidRPr="00830101">
        <w:rPr>
          <w:rFonts w:hint="eastAsia"/>
        </w:rPr>
        <w:t>「提升公共服務水準」之公益性立法宗旨</w:t>
      </w:r>
      <w:r>
        <w:rPr>
          <w:rFonts w:hint="eastAsia"/>
        </w:rPr>
        <w:t>，此與為活化利用公有土地，並無特定公共建設目的，而以追求土地最大收益為目標之招標設定地上權開發案尚屬有</w:t>
      </w:r>
      <w:r w:rsidR="006813B9">
        <w:rPr>
          <w:rFonts w:hint="eastAsia"/>
        </w:rPr>
        <w:t>間</w:t>
      </w:r>
      <w:r w:rsidRPr="00830101">
        <w:rPr>
          <w:rFonts w:hint="eastAsia"/>
        </w:rPr>
        <w:t>。</w:t>
      </w:r>
      <w:r>
        <w:rPr>
          <w:rFonts w:hint="eastAsia"/>
        </w:rPr>
        <w:t>有鑑於此，財政部前以</w:t>
      </w:r>
      <w:r w:rsidRPr="00381AF8">
        <w:rPr>
          <w:rFonts w:hint="eastAsia"/>
        </w:rPr>
        <w:t>105年12月19日財政部台財促字第</w:t>
      </w:r>
      <w:r w:rsidRPr="00381AF8">
        <w:rPr>
          <w:rFonts w:hAnsi="標楷體" w:hint="eastAsia"/>
        </w:rPr>
        <w:t>10525521140號函</w:t>
      </w:r>
      <w:r>
        <w:rPr>
          <w:rFonts w:hAnsi="標楷體" w:hint="eastAsia"/>
        </w:rPr>
        <w:t>頒「</w:t>
      </w:r>
      <w:r w:rsidRPr="00381AF8">
        <w:rPr>
          <w:rFonts w:hAnsi="標楷體" w:hint="eastAsia"/>
        </w:rPr>
        <w:t>機關辦理促進民間參與公共建設案件附屬事業規劃參考原則</w:t>
      </w:r>
      <w:r>
        <w:rPr>
          <w:rFonts w:hAnsi="標楷體" w:hint="eastAsia"/>
        </w:rPr>
        <w:t>」，並針對「</w:t>
      </w:r>
      <w:r w:rsidRPr="00866B7C">
        <w:rPr>
          <w:rFonts w:hAnsi="標楷體" w:hint="eastAsia"/>
        </w:rPr>
        <w:t>附屬事業規模</w:t>
      </w:r>
      <w:r>
        <w:rPr>
          <w:rFonts w:hAnsi="標楷體" w:hint="eastAsia"/>
        </w:rPr>
        <w:t>」，於第7點規定：「</w:t>
      </w:r>
      <w:r w:rsidRPr="0012095B">
        <w:rPr>
          <w:rFonts w:hAnsi="標楷體" w:hint="eastAsia"/>
        </w:rPr>
        <w:t>主辦機關規劃附屬事業之開發經營，宜就下列事項審慎評估其規模之合理性：</w:t>
      </w:r>
      <w:r w:rsidRPr="0012095B">
        <w:rPr>
          <w:rFonts w:hAnsi="標楷體"/>
        </w:rPr>
        <w:t xml:space="preserve"> (</w:t>
      </w:r>
      <w:r w:rsidRPr="0012095B">
        <w:rPr>
          <w:rFonts w:hAnsi="標楷體" w:hint="eastAsia"/>
        </w:rPr>
        <w:t>一</w:t>
      </w:r>
      <w:r w:rsidRPr="0012095B">
        <w:rPr>
          <w:rFonts w:hAnsi="標楷體"/>
        </w:rPr>
        <w:t>)</w:t>
      </w:r>
      <w:r w:rsidRPr="0012095B">
        <w:rPr>
          <w:rFonts w:hAnsi="標楷體" w:hint="eastAsia"/>
        </w:rPr>
        <w:t>符合公共建設推動目的。</w:t>
      </w:r>
      <w:r w:rsidRPr="0012095B">
        <w:rPr>
          <w:rFonts w:hAnsi="標楷體"/>
        </w:rPr>
        <w:t xml:space="preserve"> (</w:t>
      </w:r>
      <w:r w:rsidRPr="0012095B">
        <w:rPr>
          <w:rFonts w:hAnsi="標楷體" w:hint="eastAsia"/>
        </w:rPr>
        <w:t>二</w:t>
      </w:r>
      <w:r w:rsidRPr="0012095B">
        <w:rPr>
          <w:rFonts w:hAnsi="標楷體"/>
        </w:rPr>
        <w:t>)</w:t>
      </w:r>
      <w:r w:rsidRPr="0012095B">
        <w:rPr>
          <w:rFonts w:hAnsi="標楷體" w:hint="eastAsia"/>
        </w:rPr>
        <w:t>確保公共建設服務品質。</w:t>
      </w:r>
      <w:r w:rsidRPr="0012095B">
        <w:rPr>
          <w:rFonts w:hAnsi="標楷體"/>
        </w:rPr>
        <w:t>(</w:t>
      </w:r>
      <w:r w:rsidRPr="0012095B">
        <w:rPr>
          <w:rFonts w:hAnsi="標楷體" w:hint="eastAsia"/>
        </w:rPr>
        <w:t>三</w:t>
      </w:r>
      <w:r w:rsidRPr="0012095B">
        <w:rPr>
          <w:rFonts w:hAnsi="標楷體"/>
        </w:rPr>
        <w:t>)</w:t>
      </w:r>
      <w:r w:rsidRPr="0012095B">
        <w:rPr>
          <w:rFonts w:hAnsi="標楷體" w:hint="eastAsia"/>
        </w:rPr>
        <w:t>整體財務試算分析結果。</w:t>
      </w:r>
      <w:r w:rsidRPr="0012095B">
        <w:rPr>
          <w:rFonts w:hAnsi="標楷體"/>
        </w:rPr>
        <w:lastRenderedPageBreak/>
        <w:t>(</w:t>
      </w:r>
      <w:r w:rsidRPr="0012095B">
        <w:rPr>
          <w:rFonts w:hAnsi="標楷體" w:hint="eastAsia"/>
        </w:rPr>
        <w:t>四</w:t>
      </w:r>
      <w:r w:rsidRPr="0012095B">
        <w:rPr>
          <w:rFonts w:hAnsi="標楷體"/>
        </w:rPr>
        <w:t>)</w:t>
      </w:r>
      <w:r w:rsidRPr="0012095B">
        <w:rPr>
          <w:rFonts w:hAnsi="標楷體" w:hint="eastAsia"/>
        </w:rPr>
        <w:t>風險評估分析及配置。前項第</w:t>
      </w:r>
      <w:r w:rsidRPr="0012095B">
        <w:rPr>
          <w:rFonts w:hAnsi="標楷體"/>
        </w:rPr>
        <w:t>3</w:t>
      </w:r>
      <w:r w:rsidRPr="0012095B">
        <w:rPr>
          <w:rFonts w:hAnsi="標楷體" w:hint="eastAsia"/>
        </w:rPr>
        <w:t>款規定之整體財務試算，宜考量契約期間現金流量特性、民間合理投資報酬率、公共建設對外收費費率合理性等。附屬事業開發經營規模，主辦機關經評估不具合理性，宜研議採其他開發方式辦理之可行性。</w:t>
      </w:r>
      <w:r>
        <w:rPr>
          <w:rFonts w:hAnsi="標楷體" w:hint="eastAsia"/>
        </w:rPr>
        <w:t>」據以提示</w:t>
      </w:r>
      <w:r>
        <w:rPr>
          <w:rFonts w:hint="eastAsia"/>
        </w:rPr>
        <w:t>主辦機關規劃附屬事業時，應注意其投資規模之合理性，以免減損公共利益。</w:t>
      </w:r>
    </w:p>
    <w:p w:rsidR="006813B9" w:rsidRDefault="006813B9" w:rsidP="006813B9">
      <w:pPr>
        <w:pStyle w:val="3"/>
        <w:numPr>
          <w:ilvl w:val="0"/>
          <w:numId w:val="0"/>
        </w:numPr>
        <w:kinsoku w:val="0"/>
        <w:overflowPunct/>
        <w:autoSpaceDE/>
        <w:autoSpaceDN/>
        <w:ind w:left="1393"/>
      </w:pPr>
    </w:p>
    <w:p w:rsidR="00FE1848" w:rsidRPr="006813B9" w:rsidRDefault="00FE1848" w:rsidP="00FE1848">
      <w:pPr>
        <w:pStyle w:val="3"/>
        <w:kinsoku w:val="0"/>
        <w:overflowPunct/>
        <w:autoSpaceDE/>
        <w:autoSpaceDN/>
        <w:ind w:left="1393" w:hanging="697"/>
      </w:pPr>
      <w:r>
        <w:rPr>
          <w:rFonts w:hint="eastAsia"/>
        </w:rPr>
        <w:t>查本案</w:t>
      </w:r>
      <w:r>
        <w:rPr>
          <w:rFonts w:hAnsi="標楷體" w:hint="eastAsia"/>
        </w:rPr>
        <w:t>「</w:t>
      </w:r>
      <w:r w:rsidRPr="00C9539E">
        <w:rPr>
          <w:rFonts w:hint="eastAsia"/>
        </w:rPr>
        <w:t>內科支援設施</w:t>
      </w:r>
      <w:r>
        <w:rPr>
          <w:rFonts w:hint="eastAsia"/>
        </w:rPr>
        <w:t>BOT</w:t>
      </w:r>
      <w:r w:rsidRPr="00C9539E">
        <w:rPr>
          <w:rFonts w:hint="eastAsia"/>
        </w:rPr>
        <w:t>案</w:t>
      </w:r>
      <w:r>
        <w:rPr>
          <w:rFonts w:hAnsi="標楷體" w:hint="eastAsia"/>
        </w:rPr>
        <w:t>」</w:t>
      </w:r>
      <w:r>
        <w:rPr>
          <w:rFonts w:hint="eastAsia"/>
        </w:rPr>
        <w:t>開發基地包括</w:t>
      </w:r>
      <w:r w:rsidRPr="002D29AD">
        <w:rPr>
          <w:rFonts w:hint="eastAsia"/>
        </w:rPr>
        <w:t>「產業支援設施用地」（面積1.4989公頃）及「公共服務設施用地」（面積0.2553公頃）</w:t>
      </w:r>
      <w:r>
        <w:rPr>
          <w:rFonts w:hint="eastAsia"/>
        </w:rPr>
        <w:t>，依據臺北市政府</w:t>
      </w:r>
      <w:r w:rsidRPr="005463D2">
        <w:rPr>
          <w:rFonts w:hint="eastAsia"/>
        </w:rPr>
        <w:t>91年7月26日公告實施</w:t>
      </w:r>
      <w:r>
        <w:rPr>
          <w:rFonts w:hint="eastAsia"/>
        </w:rPr>
        <w:t>之</w:t>
      </w:r>
      <w:r w:rsidRPr="005463D2">
        <w:rPr>
          <w:rFonts w:hint="eastAsia"/>
        </w:rPr>
        <w:t>「變更臺北市『臺北內湖科技園區』（原內湖輕工業區）計畫案」</w:t>
      </w:r>
      <w:r>
        <w:rPr>
          <w:rFonts w:hint="eastAsia"/>
        </w:rPr>
        <w:t>，以及該府</w:t>
      </w:r>
      <w:r w:rsidRPr="00C46A8D">
        <w:rPr>
          <w:rFonts w:hint="eastAsia"/>
        </w:rPr>
        <w:t>103年7月7日公告實施</w:t>
      </w:r>
      <w:r>
        <w:rPr>
          <w:rFonts w:hint="eastAsia"/>
        </w:rPr>
        <w:t>之</w:t>
      </w:r>
      <w:r w:rsidRPr="00C46A8D">
        <w:rPr>
          <w:rFonts w:hint="eastAsia"/>
        </w:rPr>
        <w:t>「臺北市內湖區西湖段四小段6、6-1、及7地號之產業支援設施用地使用開發計畫」</w:t>
      </w:r>
      <w:r>
        <w:rPr>
          <w:rFonts w:hint="eastAsia"/>
        </w:rPr>
        <w:t>規定，</w:t>
      </w:r>
      <w:r w:rsidRPr="00C46A8D">
        <w:rPr>
          <w:rFonts w:hint="eastAsia"/>
        </w:rPr>
        <w:t>「公共服務設施用地」</w:t>
      </w:r>
      <w:r>
        <w:rPr>
          <w:rFonts w:hint="eastAsia"/>
        </w:rPr>
        <w:t>用途為</w:t>
      </w:r>
      <w:r w:rsidRPr="00431F89">
        <w:rPr>
          <w:rFonts w:hint="eastAsia"/>
        </w:rPr>
        <w:t>「供服務中心、休閒運動健康中心、文化會館、銀行、郵局、醫療、社會福利及其他相關服務性設施」使用</w:t>
      </w:r>
      <w:r>
        <w:rPr>
          <w:rFonts w:hint="eastAsia"/>
        </w:rPr>
        <w:t>；</w:t>
      </w:r>
      <w:r w:rsidRPr="00431F89">
        <w:rPr>
          <w:rFonts w:hint="eastAsia"/>
        </w:rPr>
        <w:t>「產業支援設施用地」</w:t>
      </w:r>
      <w:r>
        <w:rPr>
          <w:rFonts w:hint="eastAsia"/>
        </w:rPr>
        <w:t>則係供</w:t>
      </w:r>
      <w:r>
        <w:rPr>
          <w:rFonts w:hAnsi="標楷體" w:hint="eastAsia"/>
        </w:rPr>
        <w:t>「</w:t>
      </w:r>
      <w:r w:rsidRPr="00431F89">
        <w:rPr>
          <w:rFonts w:hint="eastAsia"/>
        </w:rPr>
        <w:t>產業創新研發中心或企業辦公室、育成加速中心、人才培育中心、共同工作空間或各式獨立辦公室、自造實驗空間、展示交流空間、生活服務中心</w:t>
      </w:r>
      <w:r>
        <w:rPr>
          <w:rFonts w:hint="eastAsia"/>
        </w:rPr>
        <w:t xml:space="preserve">（以生活實驗場域概念出發，提供服務中心、健身中心、醫療服務、展售中心、餐飲、零售、金融、娛樂，Maker </w:t>
      </w:r>
      <w:r>
        <w:t>Caf</w:t>
      </w:r>
      <w:r>
        <w:t>é</w:t>
      </w:r>
      <w:r>
        <w:rPr>
          <w:rFonts w:hint="eastAsia"/>
        </w:rPr>
        <w:t>、創業酒吧等設施）</w:t>
      </w:r>
      <w:r>
        <w:rPr>
          <w:rFonts w:hAnsi="標楷體" w:hint="eastAsia"/>
        </w:rPr>
        <w:t>」使用</w:t>
      </w:r>
      <w:r>
        <w:rPr>
          <w:rStyle w:val="aff1"/>
          <w:rFonts w:hAnsi="標楷體"/>
        </w:rPr>
        <w:footnoteReference w:id="13"/>
      </w:r>
      <w:r>
        <w:rPr>
          <w:rFonts w:hAnsi="標楷體" w:hint="eastAsia"/>
        </w:rPr>
        <w:t>。</w:t>
      </w:r>
    </w:p>
    <w:p w:rsidR="006813B9" w:rsidRDefault="006813B9" w:rsidP="006813B9">
      <w:pPr>
        <w:pStyle w:val="3"/>
        <w:numPr>
          <w:ilvl w:val="0"/>
          <w:numId w:val="0"/>
        </w:numPr>
        <w:kinsoku w:val="0"/>
        <w:overflowPunct/>
        <w:autoSpaceDE/>
        <w:autoSpaceDN/>
        <w:ind w:left="1393"/>
      </w:pPr>
    </w:p>
    <w:p w:rsidR="00FE1848" w:rsidRPr="00316326" w:rsidRDefault="00FE1848" w:rsidP="00FE1848">
      <w:pPr>
        <w:pStyle w:val="3"/>
        <w:kinsoku w:val="0"/>
        <w:overflowPunct/>
        <w:autoSpaceDE/>
        <w:autoSpaceDN/>
        <w:ind w:left="1393" w:hanging="697"/>
      </w:pPr>
      <w:r>
        <w:rPr>
          <w:rFonts w:hint="eastAsia"/>
        </w:rPr>
        <w:t>然查臺北市政府既已決定將前揭二處基地合併辦理</w:t>
      </w:r>
      <w:r w:rsidRPr="008C5EC1">
        <w:t>BOT</w:t>
      </w:r>
      <w:r>
        <w:rPr>
          <w:rFonts w:hint="eastAsia"/>
        </w:rPr>
        <w:t>開發，卻對於主體事業及附屬事業之比例，僅考量</w:t>
      </w:r>
      <w:r>
        <w:rPr>
          <w:rFonts w:hint="eastAsia"/>
        </w:rPr>
        <w:lastRenderedPageBreak/>
        <w:t>財務可行性及育成中心之適合規模</w:t>
      </w:r>
      <w:r>
        <w:rPr>
          <w:rStyle w:val="aff1"/>
        </w:rPr>
        <w:footnoteReference w:id="14"/>
      </w:r>
      <w:r>
        <w:rPr>
          <w:rFonts w:hint="eastAsia"/>
        </w:rPr>
        <w:t>，即於105年8月22日所公告之</w:t>
      </w:r>
      <w:r w:rsidRPr="0019148E">
        <w:rPr>
          <w:rFonts w:hint="eastAsia"/>
        </w:rPr>
        <w:t>內科支援設施BOT案</w:t>
      </w:r>
      <w:r>
        <w:rPr>
          <w:rFonts w:hint="eastAsia"/>
        </w:rPr>
        <w:t>申請須知第2.3.4.2條，規定</w:t>
      </w:r>
      <w:r w:rsidRPr="0019148E">
        <w:rPr>
          <w:rFonts w:hint="eastAsia"/>
        </w:rPr>
        <w:t>主體事業</w:t>
      </w:r>
      <w:r>
        <w:rPr>
          <w:rFonts w:hint="eastAsia"/>
        </w:rPr>
        <w:t>（即</w:t>
      </w:r>
      <w:r w:rsidRPr="0019148E">
        <w:rPr>
          <w:rFonts w:hint="eastAsia"/>
        </w:rPr>
        <w:t>育成中心、人才培育中心、</w:t>
      </w:r>
      <w:r>
        <w:rPr>
          <w:rFonts w:hint="eastAsia"/>
        </w:rPr>
        <w:t>創意交流發表空間、共創空間</w:t>
      </w:r>
      <w:r w:rsidRPr="0019148E">
        <w:rPr>
          <w:rFonts w:hint="eastAsia"/>
        </w:rPr>
        <w:t>空間</w:t>
      </w:r>
      <w:r>
        <w:rPr>
          <w:rFonts w:hint="eastAsia"/>
        </w:rPr>
        <w:t>等4項，簡稱育成空間）</w:t>
      </w:r>
      <w:r w:rsidRPr="0019148E">
        <w:rPr>
          <w:rFonts w:hint="eastAsia"/>
        </w:rPr>
        <w:t>「合計之最小興建容積樓地板面積，不得低於『產業支援設施用地』法定容積之</w:t>
      </w:r>
      <w:r>
        <w:rPr>
          <w:rFonts w:hint="eastAsia"/>
        </w:rPr>
        <w:t>30</w:t>
      </w:r>
      <w:r>
        <w:rPr>
          <w:rFonts w:hAnsi="標楷體" w:hint="eastAsia"/>
        </w:rPr>
        <w:t>％</w:t>
      </w:r>
      <w:r w:rsidRPr="0019148E">
        <w:rPr>
          <w:rFonts w:hint="eastAsia"/>
        </w:rPr>
        <w:t>」</w:t>
      </w:r>
      <w:r>
        <w:rPr>
          <w:rFonts w:hint="eastAsia"/>
        </w:rPr>
        <w:t>，並將上開文字列入該府嗣後於106年5月25日與投資人所簽訂之投資契約 (第6.2.2條)，至於對附屬事業之營運方式與內容，僅於契約第八章約定投資人應依都市計畫等規定辦理，並於後續提出</w:t>
      </w:r>
      <w:r w:rsidRPr="00BD68D8">
        <w:rPr>
          <w:rFonts w:hint="eastAsia"/>
        </w:rPr>
        <w:t>「營運執行計畫書」</w:t>
      </w:r>
      <w:r>
        <w:rPr>
          <w:rFonts w:hint="eastAsia"/>
        </w:rPr>
        <w:t>，致使該府對於附屬事業進</w:t>
      </w:r>
      <w:r w:rsidR="00316326">
        <w:rPr>
          <w:rFonts w:hint="eastAsia"/>
        </w:rPr>
        <w:t>度</w:t>
      </w:r>
      <w:r>
        <w:rPr>
          <w:rFonts w:hint="eastAsia"/>
        </w:rPr>
        <w:t>之掌控及支配力顯有不足，縱該府後續可依投資契約第7.3條之約定，於投資人提送</w:t>
      </w:r>
      <w:r>
        <w:rPr>
          <w:rFonts w:hAnsi="標楷體" w:hint="eastAsia"/>
        </w:rPr>
        <w:t>「營運執行計畫書」時進行審核，惟屆時恐生爭執。顯見</w:t>
      </w:r>
      <w:r w:rsidR="00316326">
        <w:rPr>
          <w:rFonts w:hAnsi="標楷體" w:hint="eastAsia"/>
        </w:rPr>
        <w:t>臺北市政</w:t>
      </w:r>
      <w:r>
        <w:rPr>
          <w:rFonts w:hAnsi="標楷體" w:hint="eastAsia"/>
        </w:rPr>
        <w:t>府對於本件</w:t>
      </w:r>
      <w:r w:rsidRPr="00930DBD">
        <w:rPr>
          <w:rFonts w:hAnsi="標楷體" w:hint="eastAsia"/>
        </w:rPr>
        <w:t>BOT開發案</w:t>
      </w:r>
      <w:r>
        <w:rPr>
          <w:rFonts w:hAnsi="標楷體" w:hint="eastAsia"/>
        </w:rPr>
        <w:t>之</w:t>
      </w:r>
      <w:r w:rsidRPr="00930DBD">
        <w:rPr>
          <w:rFonts w:hAnsi="標楷體" w:hint="eastAsia"/>
        </w:rPr>
        <w:t>公益性</w:t>
      </w:r>
      <w:r>
        <w:rPr>
          <w:rFonts w:hAnsi="標楷體" w:hint="eastAsia"/>
        </w:rPr>
        <w:t>，缺乏</w:t>
      </w:r>
      <w:r w:rsidR="00316326">
        <w:rPr>
          <w:rFonts w:hAnsi="標楷體" w:hint="eastAsia"/>
        </w:rPr>
        <w:t>核</w:t>
      </w:r>
      <w:r>
        <w:rPr>
          <w:rFonts w:hAnsi="標楷體" w:hint="eastAsia"/>
        </w:rPr>
        <w:t>心</w:t>
      </w:r>
      <w:r w:rsidR="00316326">
        <w:rPr>
          <w:rFonts w:hAnsi="標楷體" w:hint="eastAsia"/>
        </w:rPr>
        <w:t>理念</w:t>
      </w:r>
      <w:r>
        <w:rPr>
          <w:rFonts w:hAnsi="標楷體" w:hint="eastAsia"/>
        </w:rPr>
        <w:t>及必要之</w:t>
      </w:r>
      <w:r w:rsidRPr="00930DBD">
        <w:rPr>
          <w:rFonts w:hAnsi="標楷體" w:hint="eastAsia"/>
        </w:rPr>
        <w:t>論述</w:t>
      </w:r>
      <w:r>
        <w:rPr>
          <w:rFonts w:hAnsi="標楷體" w:hint="eastAsia"/>
        </w:rPr>
        <w:t>。</w:t>
      </w:r>
    </w:p>
    <w:p w:rsidR="00316326" w:rsidRPr="00930DBD" w:rsidRDefault="00316326" w:rsidP="00316326">
      <w:pPr>
        <w:pStyle w:val="3"/>
        <w:numPr>
          <w:ilvl w:val="0"/>
          <w:numId w:val="0"/>
        </w:numPr>
        <w:kinsoku w:val="0"/>
        <w:overflowPunct/>
        <w:autoSpaceDE/>
        <w:autoSpaceDN/>
        <w:ind w:left="1393"/>
      </w:pPr>
    </w:p>
    <w:p w:rsidR="00FE1848" w:rsidRPr="0004344D" w:rsidRDefault="00FE1848" w:rsidP="00FE1848">
      <w:pPr>
        <w:pStyle w:val="3"/>
        <w:kinsoku w:val="0"/>
        <w:overflowPunct/>
        <w:autoSpaceDE/>
        <w:autoSpaceDN/>
        <w:ind w:left="1393" w:hanging="697"/>
      </w:pPr>
      <w:r>
        <w:rPr>
          <w:rFonts w:hint="eastAsia"/>
        </w:rPr>
        <w:t>事實上，依據</w:t>
      </w:r>
      <w:r w:rsidRPr="00E11B53">
        <w:rPr>
          <w:rFonts w:hint="eastAsia"/>
        </w:rPr>
        <w:t>本案投資執行計畫書所載</w:t>
      </w:r>
      <w:r w:rsidR="004C04DC">
        <w:rPr>
          <w:rStyle w:val="aff1"/>
        </w:rPr>
        <w:footnoteReference w:id="15"/>
      </w:r>
      <w:r>
        <w:rPr>
          <w:rFonts w:hint="eastAsia"/>
        </w:rPr>
        <w:t>，本件BOT開發案共計興建A、B（以上均係地下3層、地上17層之建築，位於</w:t>
      </w:r>
      <w:r w:rsidRPr="00E11B53">
        <w:rPr>
          <w:rFonts w:hint="eastAsia"/>
        </w:rPr>
        <w:t>「產業支援設施用地」</w:t>
      </w:r>
      <w:r>
        <w:rPr>
          <w:rFonts w:hint="eastAsia"/>
        </w:rPr>
        <w:t>）、C（地下2層、地上13層，位於</w:t>
      </w:r>
      <w:r w:rsidRPr="009C0771">
        <w:rPr>
          <w:rFonts w:hint="eastAsia"/>
        </w:rPr>
        <w:t>「公共服務設施用地」</w:t>
      </w:r>
      <w:r>
        <w:rPr>
          <w:rFonts w:hint="eastAsia"/>
        </w:rPr>
        <w:t>）等3棟建物，而欲論述本件</w:t>
      </w:r>
      <w:r w:rsidRPr="009C0771">
        <w:t>BOT</w:t>
      </w:r>
      <w:r>
        <w:rPr>
          <w:rFonts w:hint="eastAsia"/>
        </w:rPr>
        <w:t>開發案之主體事業及附屬事業規模</w:t>
      </w:r>
      <w:r w:rsidRPr="009C0771">
        <w:rPr>
          <w:rFonts w:hint="eastAsia"/>
        </w:rPr>
        <w:t>比例</w:t>
      </w:r>
      <w:r>
        <w:rPr>
          <w:rFonts w:hint="eastAsia"/>
        </w:rPr>
        <w:t>，自應將</w:t>
      </w:r>
      <w:r w:rsidRPr="00624201">
        <w:rPr>
          <w:rFonts w:hint="eastAsia"/>
        </w:rPr>
        <w:t>「公共服務設施用地」</w:t>
      </w:r>
      <w:r>
        <w:rPr>
          <w:rFonts w:hint="eastAsia"/>
        </w:rPr>
        <w:t>上之C棟建物，以及</w:t>
      </w:r>
      <w:r w:rsidRPr="00624201">
        <w:rPr>
          <w:rFonts w:hint="eastAsia"/>
        </w:rPr>
        <w:t>A、B、C</w:t>
      </w:r>
      <w:r>
        <w:rPr>
          <w:rFonts w:hint="eastAsia"/>
        </w:rPr>
        <w:t>建物地下層停車空間之樓地板面積列入計算，亦即應以總樓地板面積計算，較符實情(因</w:t>
      </w:r>
      <w:r w:rsidRPr="00624201">
        <w:rPr>
          <w:rFonts w:hint="eastAsia"/>
        </w:rPr>
        <w:t>C棟建物，以及A、B、C建物地下層停車空間</w:t>
      </w:r>
      <w:r>
        <w:rPr>
          <w:rFonts w:hint="eastAsia"/>
        </w:rPr>
        <w:t>均具營利性質)，依此計算，本案主體事業之育成空間（</w:t>
      </w:r>
      <w:r w:rsidRPr="00D83AC2">
        <w:rPr>
          <w:rFonts w:hint="eastAsia"/>
        </w:rPr>
        <w:t>即育成中心、人才培育中心、創意交流發表空間、共創空間空</w:t>
      </w:r>
      <w:r w:rsidRPr="00D83AC2">
        <w:rPr>
          <w:rFonts w:hint="eastAsia"/>
        </w:rPr>
        <w:lastRenderedPageBreak/>
        <w:t>間</w:t>
      </w:r>
      <w:r>
        <w:rPr>
          <w:rFonts w:hint="eastAsia"/>
        </w:rPr>
        <w:t>）位於B棟1至10樓，其樓地板面積計21,328.90</w:t>
      </w:r>
      <w:r>
        <w:rPr>
          <w:rFonts w:hAnsi="標楷體" w:hint="eastAsia"/>
        </w:rPr>
        <w:t>㎡（6,451.99坪）</w:t>
      </w:r>
      <w:r>
        <w:rPr>
          <w:rFonts w:hint="eastAsia"/>
        </w:rPr>
        <w:t>，僅占3棟建物總樓地板面積115,688.11</w:t>
      </w:r>
      <w:r>
        <w:rPr>
          <w:rFonts w:hAnsi="標楷體" w:hint="eastAsia"/>
        </w:rPr>
        <w:t>㎡</w:t>
      </w:r>
      <w:r>
        <w:rPr>
          <w:rFonts w:hint="eastAsia"/>
        </w:rPr>
        <w:t>（34,995.65坪）之18.44</w:t>
      </w:r>
      <w:r>
        <w:rPr>
          <w:rFonts w:hAnsi="標楷體" w:hint="eastAsia"/>
        </w:rPr>
        <w:t>％，顯遠低於前揭</w:t>
      </w:r>
      <w:r w:rsidRPr="00D83AC2">
        <w:rPr>
          <w:rFonts w:hAnsi="標楷體" w:hint="eastAsia"/>
        </w:rPr>
        <w:t>30％</w:t>
      </w:r>
      <w:r>
        <w:rPr>
          <w:rFonts w:hAnsi="標楷體" w:hint="eastAsia"/>
        </w:rPr>
        <w:t>之比例；又</w:t>
      </w:r>
      <w:r>
        <w:rPr>
          <w:rFonts w:hint="eastAsia"/>
        </w:rPr>
        <w:t>本案投資人取得本件BOT開發案後，將來僅</w:t>
      </w:r>
      <w:r w:rsidRPr="00E13593">
        <w:rPr>
          <w:rFonts w:hint="eastAsia"/>
        </w:rPr>
        <w:t>自行經營</w:t>
      </w:r>
      <w:r>
        <w:rPr>
          <w:rFonts w:hint="eastAsia"/>
        </w:rPr>
        <w:t>附屬事業部分，並以</w:t>
      </w:r>
      <w:r w:rsidRPr="00E13593">
        <w:rPr>
          <w:rFonts w:hint="eastAsia"/>
        </w:rPr>
        <w:t>出租方式</w:t>
      </w:r>
      <w:r>
        <w:rPr>
          <w:rFonts w:hint="eastAsia"/>
        </w:rPr>
        <w:t>辦理，至於主體事業則將委由財團法人工業技術研究院經營管理</w:t>
      </w:r>
      <w:r>
        <w:rPr>
          <w:rStyle w:val="aff1"/>
        </w:rPr>
        <w:footnoteReference w:id="16"/>
      </w:r>
      <w:r>
        <w:rPr>
          <w:rFonts w:hAnsi="標楷體" w:hint="eastAsia"/>
        </w:rPr>
        <w:t>；復</w:t>
      </w:r>
      <w:r w:rsidR="00316326">
        <w:rPr>
          <w:rFonts w:hAnsi="標楷體" w:hint="eastAsia"/>
        </w:rPr>
        <w:t>加</w:t>
      </w:r>
      <w:r>
        <w:rPr>
          <w:rFonts w:hAnsi="標楷體" w:hint="eastAsia"/>
        </w:rPr>
        <w:t>本案</w:t>
      </w:r>
      <w:r>
        <w:rPr>
          <w:rFonts w:hint="eastAsia"/>
        </w:rPr>
        <w:t>附屬事業收入占全部之收入預估高達82</w:t>
      </w:r>
      <w:r>
        <w:rPr>
          <w:rFonts w:hAnsi="標楷體" w:hint="eastAsia"/>
        </w:rPr>
        <w:t>％</w:t>
      </w:r>
      <w:r w:rsidR="005C47A4">
        <w:rPr>
          <w:rStyle w:val="aff1"/>
          <w:rFonts w:hAnsi="標楷體"/>
        </w:rPr>
        <w:footnoteReference w:id="17"/>
      </w:r>
      <w:r>
        <w:rPr>
          <w:rFonts w:hAnsi="標楷體" w:hint="eastAsia"/>
        </w:rPr>
        <w:t>，在在凸顯本件BOT開發案公益性不足之疑慮，以及其主體事業</w:t>
      </w:r>
      <w:r w:rsidRPr="00527E5E">
        <w:rPr>
          <w:rFonts w:hAnsi="標楷體" w:hint="eastAsia"/>
        </w:rPr>
        <w:t>育成空間恐淪為經營商辦之附屬事業的主從性矛盾。</w:t>
      </w:r>
    </w:p>
    <w:p w:rsidR="0004344D" w:rsidRDefault="0004344D" w:rsidP="0004344D">
      <w:pPr>
        <w:pStyle w:val="3"/>
        <w:numPr>
          <w:ilvl w:val="0"/>
          <w:numId w:val="0"/>
        </w:numPr>
        <w:jc w:val="center"/>
        <w:rPr>
          <w:rFonts w:hAnsi="標楷體"/>
          <w:color w:val="FF0000"/>
          <w:szCs w:val="32"/>
        </w:rPr>
      </w:pPr>
      <w:r w:rsidRPr="00B85EB3">
        <w:rPr>
          <w:rFonts w:hAnsi="標楷體"/>
          <w:noProof/>
          <w:color w:val="FF0000"/>
          <w:szCs w:val="32"/>
        </w:rPr>
        <w:drawing>
          <wp:inline distT="0" distB="0" distL="0" distR="0" wp14:anchorId="3BC87270" wp14:editId="13DB0722">
            <wp:extent cx="3990975" cy="2695575"/>
            <wp:effectExtent l="0" t="0" r="9525" b="9525"/>
            <wp:docPr id="15" name="內容版面配置區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內容版面配置區 5"/>
                    <pic:cNvPicPr>
                      <a:picLocks noChangeAspect="1"/>
                    </pic:cNvPicPr>
                  </pic:nvPicPr>
                  <pic:blipFill rotWithShape="1">
                    <a:blip r:embed="rId11">
                      <a:extLst>
                        <a:ext uri="{28A0092B-C50C-407E-A947-70E740481C1C}">
                          <a14:useLocalDpi xmlns:a14="http://schemas.microsoft.com/office/drawing/2010/main" val="0"/>
                        </a:ext>
                      </a:extLst>
                    </a:blip>
                    <a:srcRect t="5157" r="13966" b="1816"/>
                    <a:stretch/>
                  </pic:blipFill>
                  <pic:spPr>
                    <a:xfrm>
                      <a:off x="0" y="0"/>
                      <a:ext cx="3995355" cy="2698533"/>
                    </a:xfrm>
                    <a:prstGeom prst="rect">
                      <a:avLst/>
                    </a:prstGeom>
                  </pic:spPr>
                </pic:pic>
              </a:graphicData>
            </a:graphic>
          </wp:inline>
        </w:drawing>
      </w:r>
    </w:p>
    <w:p w:rsidR="0004344D" w:rsidRPr="00676D04" w:rsidRDefault="0004344D" w:rsidP="0004344D">
      <w:pPr>
        <w:pStyle w:val="3"/>
        <w:numPr>
          <w:ilvl w:val="0"/>
          <w:numId w:val="0"/>
        </w:numPr>
        <w:jc w:val="center"/>
        <w:rPr>
          <w:rFonts w:hAnsi="標楷體"/>
          <w:b/>
          <w:sz w:val="28"/>
          <w:szCs w:val="28"/>
        </w:rPr>
      </w:pPr>
      <w:r w:rsidRPr="00676D04">
        <w:rPr>
          <w:rFonts w:hAnsi="標楷體" w:hint="eastAsia"/>
          <w:b/>
          <w:sz w:val="28"/>
          <w:szCs w:val="28"/>
        </w:rPr>
        <w:t xml:space="preserve">圖A3-1  </w:t>
      </w:r>
      <w:r w:rsidR="007D0BF1" w:rsidRPr="00676D04">
        <w:rPr>
          <w:rFonts w:ascii="新細明體" w:eastAsia="新細明體" w:hAnsi="新細明體" w:hint="eastAsia"/>
          <w:b/>
          <w:sz w:val="28"/>
          <w:szCs w:val="28"/>
        </w:rPr>
        <w:t>「</w:t>
      </w:r>
      <w:r w:rsidRPr="00676D04">
        <w:rPr>
          <w:rFonts w:hAnsi="標楷體"/>
          <w:b/>
          <w:sz w:val="28"/>
          <w:szCs w:val="28"/>
        </w:rPr>
        <w:t>內科支援設施BOT案</w:t>
      </w:r>
      <w:r w:rsidR="007D0BF1" w:rsidRPr="00676D04">
        <w:rPr>
          <w:rFonts w:ascii="新細明體" w:eastAsia="新細明體" w:hAnsi="新細明體" w:hint="eastAsia"/>
          <w:b/>
          <w:sz w:val="28"/>
          <w:szCs w:val="28"/>
        </w:rPr>
        <w:t>」</w:t>
      </w:r>
      <w:r w:rsidRPr="00676D04">
        <w:rPr>
          <w:rFonts w:hAnsi="標楷體" w:hint="eastAsia"/>
          <w:b/>
          <w:sz w:val="28"/>
          <w:szCs w:val="28"/>
        </w:rPr>
        <w:t>主體、附屬事業規劃圖</w:t>
      </w:r>
    </w:p>
    <w:p w:rsidR="0004344D" w:rsidRDefault="0004344D" w:rsidP="0004344D">
      <w:pPr>
        <w:pStyle w:val="3"/>
        <w:numPr>
          <w:ilvl w:val="0"/>
          <w:numId w:val="0"/>
        </w:numPr>
        <w:ind w:left="709"/>
        <w:rPr>
          <w:rFonts w:hAnsi="標楷體"/>
          <w:sz w:val="24"/>
          <w:szCs w:val="24"/>
        </w:rPr>
      </w:pPr>
      <w:r w:rsidRPr="00CA11CD">
        <w:rPr>
          <w:rFonts w:hAnsi="標楷體" w:hint="eastAsia"/>
          <w:sz w:val="24"/>
          <w:szCs w:val="24"/>
        </w:rPr>
        <w:t>資料來源：臺北市政府</w:t>
      </w:r>
      <w:r>
        <w:rPr>
          <w:rFonts w:hAnsi="標楷體" w:hint="eastAsia"/>
          <w:sz w:val="24"/>
          <w:szCs w:val="24"/>
        </w:rPr>
        <w:t>。</w:t>
      </w:r>
    </w:p>
    <w:p w:rsidR="0004344D" w:rsidRPr="00BA6A50" w:rsidRDefault="0004344D" w:rsidP="0004344D">
      <w:pPr>
        <w:pStyle w:val="3"/>
        <w:numPr>
          <w:ilvl w:val="0"/>
          <w:numId w:val="0"/>
        </w:numPr>
        <w:ind w:left="910"/>
        <w:rPr>
          <w:rFonts w:hAnsi="標楷體"/>
          <w:b/>
          <w:color w:val="FF0000"/>
          <w:sz w:val="28"/>
          <w:szCs w:val="28"/>
        </w:rPr>
      </w:pPr>
    </w:p>
    <w:p w:rsidR="0004344D" w:rsidRDefault="0004344D" w:rsidP="0004344D">
      <w:pPr>
        <w:pStyle w:val="3"/>
        <w:numPr>
          <w:ilvl w:val="0"/>
          <w:numId w:val="0"/>
        </w:numPr>
        <w:jc w:val="center"/>
        <w:rPr>
          <w:rFonts w:hAnsi="標楷體"/>
          <w:color w:val="FF0000"/>
          <w:szCs w:val="32"/>
        </w:rPr>
      </w:pPr>
      <w:r w:rsidRPr="00B85EB3">
        <w:rPr>
          <w:rFonts w:hAnsi="標楷體"/>
          <w:noProof/>
          <w:color w:val="FF0000"/>
          <w:szCs w:val="32"/>
        </w:rPr>
        <w:lastRenderedPageBreak/>
        <w:drawing>
          <wp:inline distT="0" distB="0" distL="0" distR="0" wp14:anchorId="54AD7206" wp14:editId="1CFC45BF">
            <wp:extent cx="3905250" cy="3357867"/>
            <wp:effectExtent l="0" t="0" r="0" b="0"/>
            <wp:docPr id="1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1"/>
                    <pic:cNvPicPr>
                      <a:picLocks noChangeAspect="1"/>
                    </pic:cNvPicPr>
                  </pic:nvPicPr>
                  <pic:blipFill rotWithShape="1">
                    <a:blip r:embed="rId12">
                      <a:extLst>
                        <a:ext uri="{28A0092B-C50C-407E-A947-70E740481C1C}">
                          <a14:useLocalDpi xmlns:a14="http://schemas.microsoft.com/office/drawing/2010/main" val="0"/>
                        </a:ext>
                      </a:extLst>
                    </a:blip>
                    <a:srcRect l="2380" r="4828"/>
                    <a:stretch/>
                  </pic:blipFill>
                  <pic:spPr>
                    <a:xfrm>
                      <a:off x="0" y="0"/>
                      <a:ext cx="3906380" cy="3358838"/>
                    </a:xfrm>
                    <a:prstGeom prst="rect">
                      <a:avLst/>
                    </a:prstGeom>
                  </pic:spPr>
                </pic:pic>
              </a:graphicData>
            </a:graphic>
          </wp:inline>
        </w:drawing>
      </w:r>
    </w:p>
    <w:p w:rsidR="0004344D" w:rsidRPr="00676D04" w:rsidRDefault="0004344D" w:rsidP="0004344D">
      <w:pPr>
        <w:pStyle w:val="3"/>
        <w:numPr>
          <w:ilvl w:val="0"/>
          <w:numId w:val="0"/>
        </w:numPr>
        <w:jc w:val="center"/>
        <w:rPr>
          <w:rFonts w:hAnsi="標楷體"/>
          <w:b/>
          <w:sz w:val="28"/>
          <w:szCs w:val="28"/>
        </w:rPr>
      </w:pPr>
      <w:r w:rsidRPr="00676D04">
        <w:rPr>
          <w:rFonts w:hAnsi="標楷體" w:hint="eastAsia"/>
          <w:b/>
          <w:sz w:val="28"/>
          <w:szCs w:val="28"/>
        </w:rPr>
        <w:t xml:space="preserve">圖A3-2  </w:t>
      </w:r>
      <w:r w:rsidR="007D0BF1" w:rsidRPr="00676D04">
        <w:rPr>
          <w:rFonts w:ascii="新細明體" w:eastAsia="新細明體" w:hAnsi="新細明體" w:hint="eastAsia"/>
          <w:b/>
          <w:sz w:val="28"/>
          <w:szCs w:val="28"/>
        </w:rPr>
        <w:t>「</w:t>
      </w:r>
      <w:r w:rsidRPr="00676D04">
        <w:rPr>
          <w:rFonts w:hAnsi="標楷體"/>
          <w:b/>
          <w:sz w:val="28"/>
          <w:szCs w:val="28"/>
        </w:rPr>
        <w:t>內科支援設施BOT案</w:t>
      </w:r>
      <w:r w:rsidR="007D0BF1" w:rsidRPr="00676D04">
        <w:rPr>
          <w:rFonts w:ascii="新細明體" w:eastAsia="新細明體" w:hAnsi="新細明體" w:hint="eastAsia"/>
          <w:b/>
          <w:sz w:val="28"/>
          <w:szCs w:val="28"/>
        </w:rPr>
        <w:t>」</w:t>
      </w:r>
      <w:r w:rsidRPr="00676D04">
        <w:rPr>
          <w:rFonts w:hAnsi="標楷體" w:hint="eastAsia"/>
          <w:b/>
          <w:sz w:val="28"/>
          <w:szCs w:val="28"/>
        </w:rPr>
        <w:t>主體事業規劃圖</w:t>
      </w:r>
    </w:p>
    <w:p w:rsidR="0004344D" w:rsidRDefault="0004344D" w:rsidP="0004344D">
      <w:pPr>
        <w:pStyle w:val="3"/>
        <w:numPr>
          <w:ilvl w:val="0"/>
          <w:numId w:val="0"/>
        </w:numPr>
        <w:ind w:left="709"/>
        <w:rPr>
          <w:rFonts w:hAnsi="標楷體"/>
          <w:sz w:val="24"/>
          <w:szCs w:val="24"/>
        </w:rPr>
      </w:pPr>
      <w:r w:rsidRPr="00CA11CD">
        <w:rPr>
          <w:rFonts w:hAnsi="標楷體" w:hint="eastAsia"/>
          <w:sz w:val="24"/>
          <w:szCs w:val="24"/>
        </w:rPr>
        <w:t>資料來源：臺北市政府</w:t>
      </w:r>
      <w:r>
        <w:rPr>
          <w:rFonts w:hAnsi="標楷體" w:hint="eastAsia"/>
          <w:sz w:val="24"/>
          <w:szCs w:val="24"/>
        </w:rPr>
        <w:t>。</w:t>
      </w:r>
    </w:p>
    <w:p w:rsidR="0049762B" w:rsidRDefault="0049762B" w:rsidP="0004344D">
      <w:pPr>
        <w:pStyle w:val="3"/>
        <w:numPr>
          <w:ilvl w:val="0"/>
          <w:numId w:val="0"/>
        </w:numPr>
        <w:ind w:left="709"/>
        <w:rPr>
          <w:rFonts w:hAnsi="標楷體"/>
          <w:sz w:val="24"/>
          <w:szCs w:val="24"/>
        </w:rPr>
      </w:pPr>
    </w:p>
    <w:p w:rsidR="00FE1848" w:rsidRPr="00E93D58" w:rsidRDefault="00FE1848" w:rsidP="00FE1848">
      <w:pPr>
        <w:pStyle w:val="3"/>
        <w:kinsoku w:val="0"/>
        <w:overflowPunct/>
        <w:autoSpaceDE/>
        <w:autoSpaceDN/>
        <w:ind w:left="1393" w:hanging="697"/>
        <w:rPr>
          <w:b/>
          <w:szCs w:val="32"/>
        </w:rPr>
      </w:pPr>
      <w:r>
        <w:rPr>
          <w:rFonts w:hint="eastAsia"/>
        </w:rPr>
        <w:t>綜上，</w:t>
      </w:r>
      <w:r w:rsidRPr="009A532C">
        <w:rPr>
          <w:rFonts w:hint="eastAsia"/>
        </w:rPr>
        <w:t>為避免招致背離促進民間參與公共建設法首重「提升公共服務水準」之公益性立法宗旨，</w:t>
      </w:r>
      <w:r>
        <w:rPr>
          <w:rFonts w:hint="eastAsia"/>
        </w:rPr>
        <w:t>臺北市</w:t>
      </w:r>
      <w:r w:rsidRPr="00527E5E">
        <w:rPr>
          <w:rFonts w:hint="eastAsia"/>
        </w:rPr>
        <w:t>府後續允宜注意本案附屬事業與主體事業之關聯性，並透過「營運執行計畫書」之審核，加強對投資人經營附屬事業之監督。</w:t>
      </w:r>
    </w:p>
    <w:p w:rsidR="00765305" w:rsidRDefault="00765305" w:rsidP="00FE1848">
      <w:pPr>
        <w:pStyle w:val="2"/>
        <w:numPr>
          <w:ilvl w:val="0"/>
          <w:numId w:val="0"/>
        </w:numPr>
        <w:ind w:left="1047"/>
        <w:rPr>
          <w:b/>
          <w:szCs w:val="32"/>
        </w:rPr>
      </w:pPr>
    </w:p>
    <w:p w:rsidR="00FE1848" w:rsidRPr="00392B29" w:rsidRDefault="00FE1848" w:rsidP="00FE1848">
      <w:pPr>
        <w:pStyle w:val="2"/>
        <w:kinsoku w:val="0"/>
        <w:overflowPunct/>
        <w:autoSpaceDE/>
        <w:autoSpaceDN/>
        <w:ind w:left="1047" w:hanging="697"/>
        <w:rPr>
          <w:b/>
          <w:szCs w:val="32"/>
        </w:rPr>
      </w:pPr>
      <w:r w:rsidRPr="00392B29">
        <w:rPr>
          <w:rFonts w:hint="eastAsia"/>
          <w:b/>
          <w:color w:val="000000"/>
          <w:szCs w:val="32"/>
          <w:lang w:eastAsia="zh-HK"/>
        </w:rPr>
        <w:t>依</w:t>
      </w:r>
      <w:r w:rsidRPr="00392B29">
        <w:rPr>
          <w:rFonts w:hint="eastAsia"/>
          <w:b/>
          <w:color w:val="000000"/>
          <w:szCs w:val="32"/>
        </w:rPr>
        <w:t>「臺北市內湖科技園區產業支援設施開發計畫興建營運移轉案」</w:t>
      </w:r>
      <w:r w:rsidRPr="00392B29">
        <w:rPr>
          <w:rFonts w:ascii="Times New Roman" w:hint="eastAsia"/>
          <w:b/>
          <w:color w:val="000000"/>
          <w:szCs w:val="32"/>
        </w:rPr>
        <w:t>得標之</w:t>
      </w:r>
      <w:r w:rsidRPr="00392B29">
        <w:rPr>
          <w:rFonts w:hAnsi="標楷體" w:hint="eastAsia"/>
          <w:b/>
          <w:color w:val="000000"/>
          <w:szCs w:val="32"/>
        </w:rPr>
        <w:t>民間投資人之投資計畫書，自</w:t>
      </w:r>
      <w:r w:rsidR="00316326" w:rsidRPr="00392B29">
        <w:rPr>
          <w:rFonts w:hAnsi="標楷體" w:hint="eastAsia"/>
          <w:b/>
          <w:color w:val="000000"/>
          <w:szCs w:val="32"/>
        </w:rPr>
        <w:t>開始</w:t>
      </w:r>
      <w:r w:rsidRPr="00392B29">
        <w:rPr>
          <w:rFonts w:hAnsi="標楷體" w:hint="eastAsia"/>
          <w:b/>
          <w:color w:val="000000"/>
          <w:szCs w:val="32"/>
        </w:rPr>
        <w:t>營運年度起，每年均</w:t>
      </w:r>
      <w:r w:rsidRPr="00392B29">
        <w:rPr>
          <w:rFonts w:hAnsi="標楷體" w:hint="eastAsia"/>
          <w:b/>
          <w:color w:val="000000"/>
          <w:szCs w:val="32"/>
          <w:lang w:eastAsia="zh-HK"/>
        </w:rPr>
        <w:t>有</w:t>
      </w:r>
      <w:r w:rsidRPr="00392B29">
        <w:rPr>
          <w:rFonts w:hAnsi="標楷體" w:hint="eastAsia"/>
          <w:b/>
          <w:color w:val="000000"/>
          <w:szCs w:val="32"/>
        </w:rPr>
        <w:t>淨現金流</w:t>
      </w:r>
      <w:r w:rsidRPr="00392B29">
        <w:rPr>
          <w:rFonts w:hAnsi="標楷體" w:hint="eastAsia"/>
          <w:b/>
          <w:color w:val="000000"/>
          <w:szCs w:val="32"/>
          <w:lang w:eastAsia="zh-HK"/>
        </w:rPr>
        <w:t>入</w:t>
      </w:r>
      <w:r w:rsidRPr="00392B29">
        <w:rPr>
          <w:rFonts w:hAnsi="標楷體" w:hint="eastAsia"/>
          <w:b/>
          <w:color w:val="000000"/>
          <w:szCs w:val="32"/>
        </w:rPr>
        <w:t>，</w:t>
      </w:r>
      <w:r w:rsidRPr="00392B29">
        <w:rPr>
          <w:rFonts w:hAnsi="標楷體" w:hint="eastAsia"/>
          <w:b/>
          <w:color w:val="000000"/>
          <w:szCs w:val="32"/>
          <w:lang w:eastAsia="zh-HK"/>
        </w:rPr>
        <w:t>且</w:t>
      </w:r>
      <w:r w:rsidRPr="00392B29">
        <w:rPr>
          <w:rFonts w:hAnsi="標楷體" w:hint="eastAsia"/>
          <w:b/>
          <w:color w:val="000000"/>
          <w:szCs w:val="32"/>
        </w:rPr>
        <w:t>可於契約期間內回收所投</w:t>
      </w:r>
      <w:r w:rsidRPr="00392B29">
        <w:rPr>
          <w:rFonts w:hAnsi="標楷體" w:hint="eastAsia"/>
          <w:b/>
          <w:szCs w:val="32"/>
        </w:rPr>
        <w:t>入資金，</w:t>
      </w:r>
      <w:r>
        <w:rPr>
          <w:rFonts w:hAnsi="標楷體" w:hint="eastAsia"/>
          <w:b/>
          <w:szCs w:val="32"/>
        </w:rPr>
        <w:t>尚</w:t>
      </w:r>
      <w:r w:rsidRPr="00392B29">
        <w:rPr>
          <w:rFonts w:hAnsi="標楷體" w:hint="eastAsia"/>
          <w:b/>
          <w:szCs w:val="32"/>
        </w:rPr>
        <w:t>符合民間參與之財務可行性</w:t>
      </w:r>
      <w:r>
        <w:rPr>
          <w:rFonts w:hAnsi="標楷體" w:hint="eastAsia"/>
          <w:b/>
          <w:szCs w:val="32"/>
        </w:rPr>
        <w:t>；</w:t>
      </w:r>
      <w:r w:rsidRPr="00392B29">
        <w:rPr>
          <w:rFonts w:hAnsi="標楷體" w:hint="eastAsia"/>
          <w:b/>
          <w:color w:val="000000"/>
          <w:szCs w:val="32"/>
          <w:lang w:eastAsia="zh-HK"/>
        </w:rPr>
        <w:t>然本</w:t>
      </w:r>
      <w:r w:rsidRPr="00392B29">
        <w:rPr>
          <w:rFonts w:hAnsi="標楷體" w:hint="eastAsia"/>
          <w:b/>
          <w:color w:val="000000"/>
          <w:szCs w:val="32"/>
        </w:rPr>
        <w:t>案</w:t>
      </w:r>
      <w:r w:rsidRPr="00392B29">
        <w:rPr>
          <w:rFonts w:hAnsi="標楷體" w:hint="eastAsia"/>
          <w:b/>
          <w:color w:val="000000"/>
          <w:szCs w:val="32"/>
          <w:lang w:eastAsia="zh-HK"/>
        </w:rPr>
        <w:t>投資人</w:t>
      </w:r>
      <w:r>
        <w:rPr>
          <w:rFonts w:hAnsi="標楷體" w:hint="eastAsia"/>
          <w:b/>
          <w:color w:val="000000"/>
          <w:szCs w:val="32"/>
          <w:lang w:eastAsia="zh-HK"/>
        </w:rPr>
        <w:t>預估</w:t>
      </w:r>
      <w:r w:rsidRPr="00392B29">
        <w:rPr>
          <w:rFonts w:hAnsi="標楷體" w:hint="eastAsia"/>
          <w:b/>
          <w:color w:val="000000"/>
          <w:szCs w:val="32"/>
        </w:rPr>
        <w:t>需</w:t>
      </w:r>
      <w:r w:rsidRPr="00392B29">
        <w:rPr>
          <w:rFonts w:hAnsi="標楷體" w:hint="eastAsia"/>
          <w:b/>
          <w:color w:val="000000"/>
          <w:szCs w:val="32"/>
          <w:lang w:eastAsia="zh-HK"/>
        </w:rPr>
        <w:t>要經</w:t>
      </w:r>
      <w:r w:rsidRPr="00392B29">
        <w:rPr>
          <w:rFonts w:hAnsi="標楷體" w:hint="eastAsia"/>
          <w:b/>
          <w:color w:val="000000"/>
          <w:szCs w:val="32"/>
        </w:rPr>
        <w:t>過</w:t>
      </w:r>
      <w:r w:rsidRPr="00392B29">
        <w:rPr>
          <w:rFonts w:hAnsi="標楷體" w:hint="eastAsia"/>
          <w:b/>
          <w:color w:val="000000"/>
          <w:szCs w:val="32"/>
          <w:lang w:eastAsia="zh-HK"/>
        </w:rPr>
        <w:t>一段相當長之時間，始能</w:t>
      </w:r>
      <w:r w:rsidRPr="00392B29">
        <w:rPr>
          <w:rFonts w:hAnsi="標楷體" w:hint="eastAsia"/>
          <w:b/>
          <w:color w:val="000000"/>
          <w:szCs w:val="32"/>
        </w:rPr>
        <w:t>回</w:t>
      </w:r>
      <w:r w:rsidRPr="00392B29">
        <w:rPr>
          <w:rFonts w:ascii="Times New Roman" w:hint="eastAsia"/>
          <w:b/>
          <w:color w:val="000000"/>
          <w:szCs w:val="32"/>
        </w:rPr>
        <w:t>收</w:t>
      </w:r>
      <w:r w:rsidRPr="00392B29">
        <w:rPr>
          <w:rFonts w:ascii="Times New Roman" w:hint="eastAsia"/>
          <w:b/>
          <w:color w:val="000000"/>
          <w:szCs w:val="32"/>
          <w:lang w:eastAsia="zh-HK"/>
        </w:rPr>
        <w:t>其投資</w:t>
      </w:r>
      <w:r w:rsidRPr="00392B29">
        <w:rPr>
          <w:rFonts w:ascii="Times New Roman" w:hint="eastAsia"/>
          <w:b/>
          <w:color w:val="000000"/>
          <w:szCs w:val="32"/>
        </w:rPr>
        <w:t>。為利本案順利成功，</w:t>
      </w:r>
      <w:r w:rsidRPr="00392B29">
        <w:rPr>
          <w:rFonts w:hint="eastAsia"/>
          <w:b/>
          <w:color w:val="000000"/>
          <w:szCs w:val="32"/>
        </w:rPr>
        <w:t>臺北市政府允宜持續關心</w:t>
      </w:r>
      <w:r w:rsidRPr="00392B29">
        <w:rPr>
          <w:rFonts w:ascii="Times New Roman" w:hint="eastAsia"/>
          <w:b/>
          <w:color w:val="000000"/>
          <w:szCs w:val="32"/>
        </w:rPr>
        <w:t>民間投資人之財務狀況及注意園區於營運期間之營業收支概況，</w:t>
      </w:r>
      <w:r w:rsidRPr="00392B29">
        <w:rPr>
          <w:rFonts w:ascii="Times New Roman" w:hint="eastAsia"/>
          <w:b/>
          <w:color w:val="000000"/>
          <w:szCs w:val="32"/>
          <w:lang w:eastAsia="zh-HK"/>
        </w:rPr>
        <w:t>並</w:t>
      </w:r>
      <w:r w:rsidRPr="00392B29">
        <w:rPr>
          <w:rFonts w:ascii="Times New Roman" w:hint="eastAsia"/>
          <w:b/>
          <w:color w:val="000000"/>
          <w:szCs w:val="32"/>
        </w:rPr>
        <w:t>加強與民間投資人之溝通，俾</w:t>
      </w:r>
      <w:r w:rsidRPr="001074FB">
        <w:rPr>
          <w:rFonts w:ascii="Times New Roman" w:hint="eastAsia"/>
          <w:b/>
          <w:color w:val="000000"/>
          <w:szCs w:val="32"/>
        </w:rPr>
        <w:t>利</w:t>
      </w:r>
      <w:r w:rsidRPr="001074FB">
        <w:rPr>
          <w:rFonts w:hint="eastAsia"/>
          <w:b/>
          <w:lang w:eastAsia="zh-HK"/>
        </w:rPr>
        <w:t>政</w:t>
      </w:r>
      <w:r w:rsidRPr="001074FB">
        <w:rPr>
          <w:rFonts w:hint="eastAsia"/>
          <w:b/>
        </w:rPr>
        <w:t>府</w:t>
      </w:r>
      <w:r w:rsidRPr="001074FB">
        <w:rPr>
          <w:rFonts w:hint="eastAsia"/>
          <w:b/>
          <w:lang w:eastAsia="zh-HK"/>
        </w:rPr>
        <w:t>及民間投資人</w:t>
      </w:r>
      <w:r w:rsidR="00316326">
        <w:rPr>
          <w:rFonts w:hint="eastAsia"/>
          <w:b/>
        </w:rPr>
        <w:t>雙贏</w:t>
      </w:r>
      <w:r w:rsidRPr="001074FB">
        <w:rPr>
          <w:rFonts w:hint="eastAsia"/>
          <w:b/>
          <w:lang w:eastAsia="zh-HK"/>
        </w:rPr>
        <w:t>，並</w:t>
      </w:r>
      <w:r w:rsidRPr="00392B29">
        <w:rPr>
          <w:rFonts w:ascii="Times New Roman" w:hint="eastAsia"/>
          <w:b/>
          <w:color w:val="000000"/>
          <w:szCs w:val="32"/>
        </w:rPr>
        <w:t>達成加值內湖科技園區產業群聚能量，促進內湖</w:t>
      </w:r>
      <w:r w:rsidRPr="00392B29">
        <w:rPr>
          <w:rFonts w:ascii="Times New Roman" w:hint="eastAsia"/>
          <w:b/>
          <w:color w:val="000000"/>
          <w:szCs w:val="32"/>
        </w:rPr>
        <w:lastRenderedPageBreak/>
        <w:t>科技園區之創新創業聚落發展等目標。</w:t>
      </w:r>
    </w:p>
    <w:p w:rsidR="00316326" w:rsidRPr="00316326" w:rsidRDefault="00316326" w:rsidP="00316326">
      <w:pPr>
        <w:pStyle w:val="3"/>
        <w:numPr>
          <w:ilvl w:val="0"/>
          <w:numId w:val="0"/>
        </w:numPr>
        <w:kinsoku w:val="0"/>
        <w:overflowPunct/>
        <w:autoSpaceDE/>
        <w:autoSpaceDN/>
        <w:ind w:left="1360"/>
        <w:rPr>
          <w:rFonts w:hAnsi="標楷體"/>
          <w:color w:val="000000"/>
          <w:szCs w:val="32"/>
        </w:rPr>
      </w:pPr>
    </w:p>
    <w:p w:rsidR="00FE1848" w:rsidRDefault="007E513C" w:rsidP="00FE1848">
      <w:pPr>
        <w:pStyle w:val="3"/>
        <w:kinsoku w:val="0"/>
        <w:overflowPunct/>
        <w:autoSpaceDE/>
        <w:autoSpaceDN/>
        <w:ind w:left="1360" w:hanging="680"/>
        <w:rPr>
          <w:rFonts w:hAnsi="標楷體"/>
          <w:color w:val="000000"/>
          <w:szCs w:val="32"/>
        </w:rPr>
      </w:pPr>
      <w:r>
        <w:rPr>
          <w:rFonts w:hAnsi="標楷體" w:hint="eastAsia"/>
        </w:rPr>
        <w:t>「</w:t>
      </w:r>
      <w:r w:rsidRPr="00B40797">
        <w:rPr>
          <w:rFonts w:hint="eastAsia"/>
          <w:szCs w:val="32"/>
        </w:rPr>
        <w:t>內科支援設施BOT案</w:t>
      </w:r>
      <w:r>
        <w:rPr>
          <w:rFonts w:hAnsi="標楷體" w:hint="eastAsia"/>
          <w:szCs w:val="32"/>
        </w:rPr>
        <w:t>」</w:t>
      </w:r>
      <w:r w:rsidR="00FE1848" w:rsidRPr="000C0C13">
        <w:rPr>
          <w:rFonts w:hAnsi="標楷體" w:hint="eastAsia"/>
          <w:color w:val="000000"/>
          <w:szCs w:val="32"/>
        </w:rPr>
        <w:t>，係採引進民間參與投資公共建設方式，財務規劃重點自應留意開發自償性及財務可行性等。</w:t>
      </w:r>
      <w:r w:rsidR="00FE1848">
        <w:rPr>
          <w:rFonts w:hAnsi="標楷體" w:hint="eastAsia"/>
          <w:color w:val="000000"/>
          <w:szCs w:val="32"/>
          <w:lang w:eastAsia="zh-HK"/>
        </w:rPr>
        <w:t>茲</w:t>
      </w:r>
      <w:r w:rsidR="00316326">
        <w:rPr>
          <w:rFonts w:hAnsi="標楷體" w:hint="eastAsia"/>
          <w:color w:val="000000"/>
          <w:szCs w:val="32"/>
          <w:lang w:eastAsia="zh-HK"/>
        </w:rPr>
        <w:t>摘錄</w:t>
      </w:r>
      <w:r w:rsidR="00FE1848" w:rsidRPr="00CF364A">
        <w:rPr>
          <w:rFonts w:hAnsi="標楷體" w:hint="eastAsia"/>
          <w:color w:val="000000"/>
          <w:szCs w:val="32"/>
        </w:rPr>
        <w:t>民間投資人之投資計畫書</w:t>
      </w:r>
      <w:r w:rsidR="00FE1848">
        <w:rPr>
          <w:rFonts w:hAnsi="標楷體" w:hint="eastAsia"/>
          <w:color w:val="000000"/>
          <w:szCs w:val="32"/>
          <w:lang w:eastAsia="zh-HK"/>
        </w:rPr>
        <w:t>如下：</w:t>
      </w:r>
    </w:p>
    <w:p w:rsidR="00FE1848" w:rsidRPr="00DD7066" w:rsidRDefault="00FE1848" w:rsidP="00E96993">
      <w:pPr>
        <w:pStyle w:val="4"/>
        <w:rPr>
          <w:color w:val="000000"/>
        </w:rPr>
      </w:pPr>
      <w:r w:rsidRPr="00DF55CC">
        <w:rPr>
          <w:rFonts w:hint="eastAsia"/>
          <w:kern w:val="0"/>
        </w:rPr>
        <w:t>重要</w:t>
      </w:r>
      <w:r w:rsidRPr="00E96993">
        <w:rPr>
          <w:rFonts w:hint="eastAsia"/>
        </w:rPr>
        <w:t>基本</w:t>
      </w:r>
      <w:r w:rsidRPr="00DF55CC">
        <w:rPr>
          <w:rFonts w:hint="eastAsia"/>
          <w:kern w:val="0"/>
        </w:rPr>
        <w:t>假設</w:t>
      </w:r>
      <w:r>
        <w:rPr>
          <w:rFonts w:hint="eastAsia"/>
          <w:kern w:val="0"/>
          <w:lang w:eastAsia="zh-HK"/>
        </w:rPr>
        <w:t>及</w:t>
      </w:r>
      <w:r w:rsidRPr="00DF55CC">
        <w:rPr>
          <w:rFonts w:hint="eastAsia"/>
          <w:kern w:val="0"/>
        </w:rPr>
        <w:t>參數：</w:t>
      </w:r>
    </w:p>
    <w:p w:rsidR="00FE1848" w:rsidRPr="001C6802" w:rsidRDefault="00FE1848" w:rsidP="00E96993">
      <w:pPr>
        <w:pStyle w:val="4"/>
        <w:numPr>
          <w:ilvl w:val="0"/>
          <w:numId w:val="0"/>
        </w:numPr>
        <w:ind w:left="1750" w:firstLineChars="189" w:firstLine="605"/>
        <w:rPr>
          <w:rFonts w:hAnsi="標楷體"/>
          <w:kern w:val="0"/>
          <w:szCs w:val="32"/>
        </w:rPr>
      </w:pPr>
      <w:r w:rsidRPr="00E96993">
        <w:rPr>
          <w:rFonts w:hAnsi="標楷體" w:hint="eastAsia"/>
          <w:kern w:val="0"/>
          <w:szCs w:val="32"/>
        </w:rPr>
        <w:t>由</w:t>
      </w:r>
      <w:r w:rsidRPr="00DD7066">
        <w:rPr>
          <w:rFonts w:hint="eastAsia"/>
          <w:kern w:val="0"/>
        </w:rPr>
        <w:t>於計畫之財務評估係建立於預測基礎上，計畫所設定之基本</w:t>
      </w:r>
      <w:r w:rsidRPr="001C6802">
        <w:rPr>
          <w:rFonts w:hAnsi="標楷體" w:hint="eastAsia"/>
          <w:kern w:val="0"/>
          <w:szCs w:val="32"/>
        </w:rPr>
        <w:t>假設與參數足以影響評估之結果及規劃方向。</w:t>
      </w:r>
      <w:r w:rsidR="00316326">
        <w:rPr>
          <w:rFonts w:hAnsi="標楷體" w:hint="eastAsia"/>
          <w:kern w:val="0"/>
          <w:szCs w:val="32"/>
        </w:rPr>
        <w:t>故</w:t>
      </w:r>
      <w:r w:rsidRPr="001C6802">
        <w:rPr>
          <w:rFonts w:hAnsi="標楷體" w:hint="eastAsia"/>
          <w:kern w:val="0"/>
          <w:szCs w:val="32"/>
        </w:rPr>
        <w:t>本案在財務可行性分析時所設定之主要基本假設與參數務求穩健並能符合實際情況。</w:t>
      </w:r>
      <w:r w:rsidR="00316326">
        <w:rPr>
          <w:rFonts w:hAnsi="標楷體" w:hint="eastAsia"/>
          <w:color w:val="000000"/>
          <w:szCs w:val="32"/>
          <w:lang w:eastAsia="zh-HK"/>
        </w:rPr>
        <w:t>茲摘錄</w:t>
      </w:r>
      <w:r w:rsidRPr="001C6802">
        <w:rPr>
          <w:rFonts w:hAnsi="標楷體" w:hint="eastAsia"/>
          <w:kern w:val="0"/>
          <w:szCs w:val="32"/>
        </w:rPr>
        <w:t>本財務計畫重要基本假設參數，</w:t>
      </w:r>
      <w:r w:rsidR="00316326">
        <w:rPr>
          <w:rFonts w:hAnsi="標楷體" w:hint="eastAsia"/>
          <w:kern w:val="0"/>
          <w:szCs w:val="32"/>
        </w:rPr>
        <w:t>如</w:t>
      </w:r>
      <w:r w:rsidR="001C6802" w:rsidRPr="001C6802">
        <w:rPr>
          <w:rFonts w:hAnsi="標楷體" w:cs="MicrosoftJhengHeiRegular" w:hint="eastAsia"/>
          <w:kern w:val="0"/>
          <w:szCs w:val="32"/>
        </w:rPr>
        <w:t>財務設算基期、財務試算年期、規劃興建期程、營運期程、土地租金、公告（申報）地價、物價上漲率、資本結構、融資年期及利率、股東預期報酬率（稅前）</w:t>
      </w:r>
      <w:r w:rsidR="001C6802">
        <w:rPr>
          <w:rFonts w:hAnsi="標楷體" w:cs="MicrosoftJhengHeiRegular" w:hint="eastAsia"/>
          <w:kern w:val="0"/>
          <w:szCs w:val="32"/>
        </w:rPr>
        <w:t>及</w:t>
      </w:r>
      <w:r w:rsidR="001C6802" w:rsidRPr="001C6802">
        <w:rPr>
          <w:rFonts w:hAnsi="標楷體" w:cs="MicrosoftJhengHeiRegular" w:hint="eastAsia"/>
          <w:kern w:val="0"/>
          <w:szCs w:val="32"/>
        </w:rPr>
        <w:t>折現率</w:t>
      </w:r>
      <w:r w:rsidR="001C6802">
        <w:rPr>
          <w:rFonts w:hAnsi="標楷體" w:cs="MicrosoftJhengHeiRegular" w:hint="eastAsia"/>
          <w:kern w:val="0"/>
          <w:szCs w:val="32"/>
        </w:rPr>
        <w:t>等項目於</w:t>
      </w:r>
      <w:r w:rsidRPr="001C6802">
        <w:rPr>
          <w:rFonts w:hAnsi="標楷體" w:hint="eastAsia"/>
          <w:kern w:val="0"/>
          <w:szCs w:val="32"/>
          <w:lang w:eastAsia="zh-HK"/>
        </w:rPr>
        <w:t>表</w:t>
      </w:r>
      <w:r w:rsidR="001C6802" w:rsidRPr="001C6802">
        <w:rPr>
          <w:rFonts w:hAnsi="標楷體" w:hint="eastAsia"/>
          <w:kern w:val="0"/>
          <w:szCs w:val="32"/>
        </w:rPr>
        <w:t>A</w:t>
      </w:r>
      <w:r w:rsidRPr="001C6802">
        <w:rPr>
          <w:rFonts w:hAnsi="標楷體" w:hint="eastAsia"/>
          <w:kern w:val="0"/>
          <w:szCs w:val="32"/>
          <w:lang w:eastAsia="zh-HK"/>
        </w:rPr>
        <w:t>1。</w:t>
      </w:r>
    </w:p>
    <w:p w:rsidR="00FE1848" w:rsidRPr="007E513C" w:rsidRDefault="00FE1848" w:rsidP="007E513C">
      <w:pPr>
        <w:pStyle w:val="4"/>
        <w:numPr>
          <w:ilvl w:val="0"/>
          <w:numId w:val="0"/>
        </w:numPr>
        <w:spacing w:afterLines="25" w:after="114"/>
        <w:ind w:rightChars="-25" w:right="-80"/>
        <w:jc w:val="center"/>
        <w:rPr>
          <w:b/>
          <w:kern w:val="0"/>
          <w:sz w:val="28"/>
          <w:szCs w:val="28"/>
        </w:rPr>
      </w:pPr>
      <w:r w:rsidRPr="007E513C">
        <w:rPr>
          <w:rFonts w:hint="eastAsia"/>
          <w:b/>
          <w:kern w:val="0"/>
          <w:sz w:val="28"/>
          <w:szCs w:val="28"/>
          <w:lang w:eastAsia="zh-HK"/>
        </w:rPr>
        <w:t>表</w:t>
      </w:r>
      <w:r w:rsidR="001C6802" w:rsidRPr="007E513C">
        <w:rPr>
          <w:rFonts w:hint="eastAsia"/>
          <w:b/>
          <w:kern w:val="0"/>
          <w:sz w:val="28"/>
          <w:szCs w:val="28"/>
        </w:rPr>
        <w:t>A</w:t>
      </w:r>
      <w:r w:rsidRPr="007E513C">
        <w:rPr>
          <w:rFonts w:hint="eastAsia"/>
          <w:b/>
          <w:kern w:val="0"/>
          <w:sz w:val="28"/>
          <w:szCs w:val="28"/>
          <w:lang w:eastAsia="zh-HK"/>
        </w:rPr>
        <w:t>1、</w:t>
      </w:r>
      <w:r w:rsidR="007E513C" w:rsidRPr="007E513C">
        <w:rPr>
          <w:rFonts w:hAnsi="標楷體" w:hint="eastAsia"/>
          <w:b/>
          <w:sz w:val="28"/>
          <w:szCs w:val="28"/>
        </w:rPr>
        <w:t>「</w:t>
      </w:r>
      <w:r w:rsidR="007E513C" w:rsidRPr="007E513C">
        <w:rPr>
          <w:rFonts w:hint="eastAsia"/>
          <w:b/>
          <w:sz w:val="28"/>
          <w:szCs w:val="28"/>
        </w:rPr>
        <w:t>內科支援設施BOT案</w:t>
      </w:r>
      <w:r w:rsidR="007E513C" w:rsidRPr="007E513C">
        <w:rPr>
          <w:rFonts w:hAnsi="標楷體" w:hint="eastAsia"/>
          <w:b/>
          <w:sz w:val="28"/>
          <w:szCs w:val="28"/>
        </w:rPr>
        <w:t>」</w:t>
      </w:r>
      <w:r w:rsidRPr="007E513C">
        <w:rPr>
          <w:rFonts w:hint="eastAsia"/>
          <w:b/>
          <w:kern w:val="0"/>
          <w:sz w:val="28"/>
          <w:szCs w:val="28"/>
          <w:lang w:eastAsia="zh-HK"/>
        </w:rPr>
        <w:t>財務計畫</w:t>
      </w:r>
      <w:r w:rsidRPr="007E513C">
        <w:rPr>
          <w:rFonts w:hint="eastAsia"/>
          <w:b/>
          <w:kern w:val="0"/>
          <w:sz w:val="28"/>
          <w:szCs w:val="28"/>
        </w:rPr>
        <w:t>重要基本假設</w:t>
      </w:r>
      <w:r w:rsidRPr="007E513C">
        <w:rPr>
          <w:rFonts w:hint="eastAsia"/>
          <w:b/>
          <w:kern w:val="0"/>
          <w:sz w:val="28"/>
          <w:szCs w:val="28"/>
          <w:lang w:eastAsia="zh-HK"/>
        </w:rPr>
        <w:t>及</w:t>
      </w:r>
      <w:r w:rsidRPr="007E513C">
        <w:rPr>
          <w:rFonts w:hint="eastAsia"/>
          <w:b/>
          <w:kern w:val="0"/>
          <w:sz w:val="28"/>
          <w:szCs w:val="28"/>
        </w:rPr>
        <w:t>參數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6117"/>
      </w:tblGrid>
      <w:tr w:rsidR="00FE1848" w:rsidRPr="00F31E84" w:rsidTr="00BD146A">
        <w:tc>
          <w:tcPr>
            <w:tcW w:w="2835" w:type="dxa"/>
            <w:vAlign w:val="center"/>
          </w:tcPr>
          <w:p w:rsidR="00FE1848" w:rsidRPr="00F31E84" w:rsidRDefault="00FE1848" w:rsidP="00BD146A">
            <w:pPr>
              <w:pStyle w:val="5"/>
              <w:numPr>
                <w:ilvl w:val="0"/>
                <w:numId w:val="0"/>
              </w:numPr>
              <w:spacing w:beforeLines="25" w:before="114" w:afterLines="25" w:after="114"/>
              <w:jc w:val="center"/>
              <w:rPr>
                <w:rFonts w:hAnsi="標楷體"/>
                <w:b/>
                <w:sz w:val="28"/>
                <w:szCs w:val="28"/>
              </w:rPr>
            </w:pPr>
            <w:r w:rsidRPr="00F31E84">
              <w:rPr>
                <w:rFonts w:hAnsi="標楷體" w:cs="MicrosoftJhengHeiRegular" w:hint="eastAsia"/>
                <w:b/>
                <w:kern w:val="0"/>
                <w:sz w:val="28"/>
                <w:szCs w:val="28"/>
              </w:rPr>
              <w:t>重要假設及參數</w:t>
            </w:r>
          </w:p>
        </w:tc>
        <w:tc>
          <w:tcPr>
            <w:tcW w:w="6117" w:type="dxa"/>
            <w:vAlign w:val="center"/>
          </w:tcPr>
          <w:p w:rsidR="00FE1848" w:rsidRPr="00F31E84" w:rsidRDefault="00FE1848" w:rsidP="00BD146A">
            <w:pPr>
              <w:pStyle w:val="5"/>
              <w:numPr>
                <w:ilvl w:val="0"/>
                <w:numId w:val="0"/>
              </w:numPr>
              <w:jc w:val="center"/>
              <w:rPr>
                <w:rFonts w:hAnsi="標楷體"/>
                <w:b/>
                <w:sz w:val="28"/>
                <w:szCs w:val="28"/>
              </w:rPr>
            </w:pPr>
            <w:r w:rsidRPr="00F31E84">
              <w:rPr>
                <w:rFonts w:hAnsi="標楷體" w:cs="MicrosoftJhengHeiRegular" w:hint="eastAsia"/>
                <w:b/>
                <w:kern w:val="0"/>
                <w:sz w:val="28"/>
                <w:szCs w:val="28"/>
              </w:rPr>
              <w:t>說</w:t>
            </w:r>
            <w:r w:rsidRPr="00F31E84">
              <w:rPr>
                <w:rFonts w:hAnsi="標楷體" w:cs="MicrosoftJhengHeiRegular"/>
                <w:b/>
                <w:kern w:val="0"/>
                <w:sz w:val="28"/>
                <w:szCs w:val="28"/>
              </w:rPr>
              <w:t xml:space="preserve"> </w:t>
            </w:r>
            <w:r w:rsidRPr="00F31E84">
              <w:rPr>
                <w:rFonts w:hAnsi="標楷體" w:cs="MicrosoftJhengHeiRegular" w:hint="eastAsia"/>
                <w:b/>
                <w:kern w:val="0"/>
                <w:sz w:val="28"/>
                <w:szCs w:val="28"/>
              </w:rPr>
              <w:t>明</w:t>
            </w:r>
          </w:p>
        </w:tc>
      </w:tr>
      <w:tr w:rsidR="00FE1848" w:rsidRPr="00F31E84" w:rsidTr="0004344D">
        <w:trPr>
          <w:trHeight w:val="552"/>
        </w:trPr>
        <w:tc>
          <w:tcPr>
            <w:tcW w:w="2835" w:type="dxa"/>
            <w:vAlign w:val="center"/>
          </w:tcPr>
          <w:p w:rsidR="00FE1848" w:rsidRPr="00F31E84" w:rsidRDefault="00FE1848" w:rsidP="0004344D">
            <w:pPr>
              <w:pStyle w:val="5"/>
              <w:numPr>
                <w:ilvl w:val="0"/>
                <w:numId w:val="0"/>
              </w:numPr>
              <w:rPr>
                <w:rFonts w:hAnsi="標楷體"/>
                <w:sz w:val="28"/>
                <w:szCs w:val="28"/>
              </w:rPr>
            </w:pPr>
            <w:r w:rsidRPr="00F31E84">
              <w:rPr>
                <w:rFonts w:hAnsi="標楷體" w:cs="MicrosoftJhengHeiRegular" w:hint="eastAsia"/>
                <w:kern w:val="0"/>
                <w:sz w:val="28"/>
                <w:szCs w:val="28"/>
              </w:rPr>
              <w:t>財務設算基期</w:t>
            </w:r>
          </w:p>
        </w:tc>
        <w:tc>
          <w:tcPr>
            <w:tcW w:w="6117" w:type="dxa"/>
            <w:vAlign w:val="center"/>
          </w:tcPr>
          <w:p w:rsidR="00FE1848" w:rsidRPr="00F31E84" w:rsidRDefault="00FE1848" w:rsidP="00BD146A">
            <w:pPr>
              <w:pStyle w:val="5"/>
              <w:numPr>
                <w:ilvl w:val="0"/>
                <w:numId w:val="0"/>
              </w:numPr>
              <w:rPr>
                <w:rFonts w:hAnsi="標楷體"/>
                <w:sz w:val="28"/>
                <w:szCs w:val="28"/>
              </w:rPr>
            </w:pPr>
            <w:r w:rsidRPr="00F31E84">
              <w:rPr>
                <w:rFonts w:hAnsi="標楷體" w:cs="MicrosoftJhengHeiRegular" w:hint="eastAsia"/>
                <w:kern w:val="0"/>
                <w:sz w:val="28"/>
                <w:szCs w:val="28"/>
              </w:rPr>
              <w:t>本案以</w:t>
            </w:r>
            <w:r w:rsidRPr="00F31E84">
              <w:rPr>
                <w:rFonts w:hAnsi="標楷體" w:cs="Arial"/>
                <w:kern w:val="0"/>
                <w:sz w:val="28"/>
                <w:szCs w:val="28"/>
              </w:rPr>
              <w:t>106</w:t>
            </w:r>
            <w:r w:rsidRPr="00F31E84">
              <w:rPr>
                <w:rFonts w:hAnsi="標楷體" w:cs="MicrosoftJhengHeiRegular" w:hint="eastAsia"/>
                <w:kern w:val="0"/>
                <w:sz w:val="28"/>
                <w:szCs w:val="28"/>
              </w:rPr>
              <w:t>年為財務評估之基期</w:t>
            </w:r>
          </w:p>
        </w:tc>
      </w:tr>
      <w:tr w:rsidR="00FE1848" w:rsidRPr="00F31E84" w:rsidTr="0004344D">
        <w:tc>
          <w:tcPr>
            <w:tcW w:w="2835" w:type="dxa"/>
            <w:vAlign w:val="center"/>
          </w:tcPr>
          <w:p w:rsidR="00FE1848" w:rsidRPr="00F31E84" w:rsidRDefault="00FE1848" w:rsidP="0004344D">
            <w:pPr>
              <w:pStyle w:val="5"/>
              <w:numPr>
                <w:ilvl w:val="0"/>
                <w:numId w:val="0"/>
              </w:numPr>
              <w:rPr>
                <w:rFonts w:hAnsi="標楷體"/>
                <w:sz w:val="28"/>
                <w:szCs w:val="28"/>
              </w:rPr>
            </w:pPr>
            <w:r w:rsidRPr="00F31E84">
              <w:rPr>
                <w:rFonts w:hAnsi="標楷體" w:cs="MicrosoftJhengHeiRegular" w:hint="eastAsia"/>
                <w:kern w:val="0"/>
                <w:sz w:val="28"/>
                <w:szCs w:val="28"/>
              </w:rPr>
              <w:t>財務試算年期</w:t>
            </w:r>
          </w:p>
        </w:tc>
        <w:tc>
          <w:tcPr>
            <w:tcW w:w="6117" w:type="dxa"/>
            <w:vAlign w:val="center"/>
          </w:tcPr>
          <w:p w:rsidR="00FE1848" w:rsidRPr="00F31E84" w:rsidRDefault="00FE1848" w:rsidP="00BD146A">
            <w:pPr>
              <w:pStyle w:val="5"/>
              <w:numPr>
                <w:ilvl w:val="0"/>
                <w:numId w:val="0"/>
              </w:numPr>
              <w:rPr>
                <w:rFonts w:hAnsi="標楷體"/>
                <w:sz w:val="28"/>
                <w:szCs w:val="28"/>
              </w:rPr>
            </w:pPr>
            <w:r w:rsidRPr="00F31E84">
              <w:rPr>
                <w:rFonts w:hAnsi="標楷體" w:cs="MicrosoftJhengHeiRegular" w:hint="eastAsia"/>
                <w:kern w:val="0"/>
                <w:sz w:val="28"/>
                <w:szCs w:val="28"/>
              </w:rPr>
              <w:t>自簽訂投資契約之日起算</w:t>
            </w:r>
            <w:r w:rsidRPr="00F31E84">
              <w:rPr>
                <w:rFonts w:hAnsi="標楷體" w:cs="Arial"/>
                <w:kern w:val="0"/>
                <w:sz w:val="28"/>
                <w:szCs w:val="28"/>
              </w:rPr>
              <w:t>50</w:t>
            </w:r>
            <w:r w:rsidRPr="00F31E84">
              <w:rPr>
                <w:rFonts w:hAnsi="標楷體" w:cs="MicrosoftJhengHeiRegular" w:hint="eastAsia"/>
                <w:kern w:val="0"/>
                <w:sz w:val="28"/>
                <w:szCs w:val="28"/>
              </w:rPr>
              <w:t>年（包含興建期及營運期）</w:t>
            </w:r>
          </w:p>
        </w:tc>
      </w:tr>
      <w:tr w:rsidR="00FE1848" w:rsidRPr="00F31E84" w:rsidTr="0004344D">
        <w:trPr>
          <w:trHeight w:val="513"/>
        </w:trPr>
        <w:tc>
          <w:tcPr>
            <w:tcW w:w="2835" w:type="dxa"/>
            <w:vAlign w:val="center"/>
          </w:tcPr>
          <w:p w:rsidR="00FE1848" w:rsidRPr="00F31E84" w:rsidRDefault="00FE1848" w:rsidP="0004344D">
            <w:pPr>
              <w:pStyle w:val="5"/>
              <w:numPr>
                <w:ilvl w:val="0"/>
                <w:numId w:val="0"/>
              </w:numPr>
              <w:rPr>
                <w:rFonts w:hAnsi="標楷體"/>
                <w:sz w:val="28"/>
                <w:szCs w:val="28"/>
              </w:rPr>
            </w:pPr>
            <w:r w:rsidRPr="00F31E84">
              <w:rPr>
                <w:rFonts w:hAnsi="標楷體" w:cs="MicrosoftJhengHeiRegular" w:hint="eastAsia"/>
                <w:kern w:val="0"/>
                <w:sz w:val="28"/>
                <w:szCs w:val="28"/>
              </w:rPr>
              <w:t>規劃興建期程</w:t>
            </w:r>
          </w:p>
        </w:tc>
        <w:tc>
          <w:tcPr>
            <w:tcW w:w="6117" w:type="dxa"/>
            <w:vAlign w:val="center"/>
          </w:tcPr>
          <w:p w:rsidR="00FE1848" w:rsidRPr="00F31E84" w:rsidRDefault="00FE1848" w:rsidP="00BD146A">
            <w:pPr>
              <w:pStyle w:val="5"/>
              <w:numPr>
                <w:ilvl w:val="0"/>
                <w:numId w:val="0"/>
              </w:numPr>
              <w:rPr>
                <w:rFonts w:hAnsi="標楷體"/>
                <w:sz w:val="28"/>
                <w:szCs w:val="28"/>
              </w:rPr>
            </w:pPr>
            <w:r w:rsidRPr="00F31E84">
              <w:rPr>
                <w:rFonts w:hAnsi="標楷體" w:cs="Arial"/>
                <w:kern w:val="0"/>
                <w:sz w:val="28"/>
                <w:szCs w:val="28"/>
              </w:rPr>
              <w:t>106</w:t>
            </w:r>
            <w:r w:rsidRPr="00F31E84">
              <w:rPr>
                <w:rFonts w:hAnsi="標楷體" w:cs="MicrosoftJhengHeiRegular" w:hint="eastAsia"/>
                <w:kern w:val="0"/>
                <w:sz w:val="28"/>
                <w:szCs w:val="28"/>
              </w:rPr>
              <w:t>年</w:t>
            </w:r>
            <w:r w:rsidRPr="00F31E84">
              <w:rPr>
                <w:rFonts w:hAnsi="標楷體" w:cs="Arial"/>
                <w:kern w:val="0"/>
                <w:sz w:val="28"/>
                <w:szCs w:val="28"/>
              </w:rPr>
              <w:t>~108</w:t>
            </w:r>
            <w:r w:rsidRPr="00F31E84">
              <w:rPr>
                <w:rFonts w:hAnsi="標楷體" w:cs="MicrosoftJhengHeiRegular" w:hint="eastAsia"/>
                <w:kern w:val="0"/>
                <w:sz w:val="28"/>
                <w:szCs w:val="28"/>
              </w:rPr>
              <w:t>年（</w:t>
            </w:r>
            <w:r w:rsidRPr="00F31E84">
              <w:rPr>
                <w:rFonts w:hAnsi="標楷體" w:cs="Arial"/>
                <w:kern w:val="0"/>
                <w:sz w:val="28"/>
                <w:szCs w:val="28"/>
              </w:rPr>
              <w:t>3</w:t>
            </w:r>
            <w:r w:rsidRPr="00F31E84">
              <w:rPr>
                <w:rFonts w:hAnsi="標楷體" w:cs="MicrosoftJhengHeiRegular" w:hint="eastAsia"/>
                <w:kern w:val="0"/>
                <w:sz w:val="28"/>
                <w:szCs w:val="28"/>
              </w:rPr>
              <w:t>年）</w:t>
            </w:r>
          </w:p>
        </w:tc>
      </w:tr>
      <w:tr w:rsidR="00FE1848" w:rsidRPr="00F31E84" w:rsidTr="0004344D">
        <w:trPr>
          <w:trHeight w:val="421"/>
        </w:trPr>
        <w:tc>
          <w:tcPr>
            <w:tcW w:w="2835" w:type="dxa"/>
            <w:vAlign w:val="center"/>
          </w:tcPr>
          <w:p w:rsidR="00FE1848" w:rsidRPr="00F31E84" w:rsidRDefault="00FE1848" w:rsidP="0004344D">
            <w:pPr>
              <w:pStyle w:val="5"/>
              <w:numPr>
                <w:ilvl w:val="0"/>
                <w:numId w:val="0"/>
              </w:numPr>
              <w:rPr>
                <w:rFonts w:hAnsi="標楷體"/>
                <w:sz w:val="28"/>
                <w:szCs w:val="28"/>
              </w:rPr>
            </w:pPr>
            <w:r w:rsidRPr="00F31E84">
              <w:rPr>
                <w:rFonts w:hAnsi="標楷體" w:cs="MicrosoftJhengHeiRegular" w:hint="eastAsia"/>
                <w:kern w:val="0"/>
                <w:sz w:val="28"/>
                <w:szCs w:val="28"/>
              </w:rPr>
              <w:t>營運期程</w:t>
            </w:r>
          </w:p>
        </w:tc>
        <w:tc>
          <w:tcPr>
            <w:tcW w:w="6117" w:type="dxa"/>
            <w:vAlign w:val="center"/>
          </w:tcPr>
          <w:p w:rsidR="00FE1848" w:rsidRPr="00F31E84" w:rsidRDefault="00FE1848" w:rsidP="00BD146A">
            <w:pPr>
              <w:pStyle w:val="5"/>
              <w:numPr>
                <w:ilvl w:val="0"/>
                <w:numId w:val="0"/>
              </w:numPr>
              <w:rPr>
                <w:rFonts w:hAnsi="標楷體"/>
                <w:sz w:val="28"/>
                <w:szCs w:val="28"/>
              </w:rPr>
            </w:pPr>
            <w:r w:rsidRPr="00F31E84">
              <w:rPr>
                <w:rFonts w:hAnsi="標楷體" w:cs="Arial"/>
                <w:kern w:val="0"/>
                <w:sz w:val="28"/>
                <w:szCs w:val="28"/>
              </w:rPr>
              <w:t>109</w:t>
            </w:r>
            <w:r w:rsidRPr="00F31E84">
              <w:rPr>
                <w:rFonts w:hAnsi="標楷體" w:cs="MicrosoftJhengHeiRegular" w:hint="eastAsia"/>
                <w:kern w:val="0"/>
                <w:sz w:val="28"/>
                <w:szCs w:val="28"/>
              </w:rPr>
              <w:t>年</w:t>
            </w:r>
            <w:r w:rsidRPr="00F31E84">
              <w:rPr>
                <w:rFonts w:hAnsi="標楷體" w:cs="Arial"/>
                <w:kern w:val="0"/>
                <w:sz w:val="28"/>
                <w:szCs w:val="28"/>
              </w:rPr>
              <w:t>~155</w:t>
            </w:r>
            <w:r w:rsidRPr="00F31E84">
              <w:rPr>
                <w:rFonts w:hAnsi="標楷體" w:cs="MicrosoftJhengHeiRegular" w:hint="eastAsia"/>
                <w:kern w:val="0"/>
                <w:sz w:val="28"/>
                <w:szCs w:val="28"/>
              </w:rPr>
              <w:t>年（</w:t>
            </w:r>
            <w:r w:rsidRPr="00F31E84">
              <w:rPr>
                <w:rFonts w:hAnsi="標楷體" w:cs="Arial"/>
                <w:kern w:val="0"/>
                <w:sz w:val="28"/>
                <w:szCs w:val="28"/>
              </w:rPr>
              <w:t>47</w:t>
            </w:r>
            <w:r w:rsidRPr="00F31E84">
              <w:rPr>
                <w:rFonts w:hAnsi="標楷體" w:cs="MicrosoftJhengHeiRegular" w:hint="eastAsia"/>
                <w:kern w:val="0"/>
                <w:sz w:val="28"/>
                <w:szCs w:val="28"/>
              </w:rPr>
              <w:t>年）</w:t>
            </w:r>
          </w:p>
        </w:tc>
      </w:tr>
      <w:tr w:rsidR="00FE1848" w:rsidRPr="00F31E84" w:rsidTr="0004344D">
        <w:tc>
          <w:tcPr>
            <w:tcW w:w="2835" w:type="dxa"/>
            <w:vAlign w:val="center"/>
          </w:tcPr>
          <w:p w:rsidR="00FE1848" w:rsidRPr="00F31E84" w:rsidRDefault="00FE1848" w:rsidP="0004344D">
            <w:pPr>
              <w:pStyle w:val="5"/>
              <w:numPr>
                <w:ilvl w:val="0"/>
                <w:numId w:val="0"/>
              </w:numPr>
              <w:rPr>
                <w:rFonts w:hAnsi="標楷體"/>
                <w:sz w:val="28"/>
                <w:szCs w:val="28"/>
              </w:rPr>
            </w:pPr>
            <w:r w:rsidRPr="00F31E84">
              <w:rPr>
                <w:rFonts w:hAnsi="標楷體" w:cs="MicrosoftJhengHeiRegular" w:hint="eastAsia"/>
                <w:kern w:val="0"/>
                <w:sz w:val="28"/>
                <w:szCs w:val="28"/>
              </w:rPr>
              <w:t>土地租金</w:t>
            </w:r>
          </w:p>
        </w:tc>
        <w:tc>
          <w:tcPr>
            <w:tcW w:w="6117" w:type="dxa"/>
            <w:vAlign w:val="center"/>
          </w:tcPr>
          <w:p w:rsidR="00FE1848" w:rsidRPr="00F31E84" w:rsidRDefault="00FE1848" w:rsidP="00BD146A">
            <w:pPr>
              <w:pStyle w:val="5"/>
              <w:numPr>
                <w:ilvl w:val="0"/>
                <w:numId w:val="0"/>
              </w:numPr>
              <w:rPr>
                <w:rFonts w:hAnsi="標楷體"/>
                <w:sz w:val="28"/>
                <w:szCs w:val="28"/>
              </w:rPr>
            </w:pPr>
            <w:r w:rsidRPr="00F31E84">
              <w:rPr>
                <w:rFonts w:hAnsi="標楷體" w:cs="MicrosoftJhengHeiRegular" w:hint="eastAsia"/>
                <w:kern w:val="0"/>
                <w:sz w:val="28"/>
                <w:szCs w:val="28"/>
              </w:rPr>
              <w:t>依設定地上權契約草案，興建期間土地租金按本基地依法應繳納之地價稅及其他費用計收租金；營運期間每年土地租金按政府核定之國有出租基地租金計收標準之6折計收。</w:t>
            </w:r>
          </w:p>
        </w:tc>
      </w:tr>
      <w:tr w:rsidR="00FE1848" w:rsidRPr="00F31E84" w:rsidTr="0004344D">
        <w:tc>
          <w:tcPr>
            <w:tcW w:w="2835" w:type="dxa"/>
            <w:vAlign w:val="center"/>
          </w:tcPr>
          <w:p w:rsidR="00FE1848" w:rsidRPr="00F31E84" w:rsidRDefault="00FE1848" w:rsidP="0004344D">
            <w:pPr>
              <w:pStyle w:val="5"/>
              <w:numPr>
                <w:ilvl w:val="0"/>
                <w:numId w:val="0"/>
              </w:numPr>
              <w:rPr>
                <w:rFonts w:hAnsi="標楷體"/>
                <w:sz w:val="28"/>
                <w:szCs w:val="28"/>
              </w:rPr>
            </w:pPr>
            <w:r w:rsidRPr="00F31E84">
              <w:rPr>
                <w:rFonts w:hAnsi="標楷體" w:cs="MicrosoftJhengHeiRegular" w:hint="eastAsia"/>
                <w:kern w:val="0"/>
                <w:sz w:val="28"/>
                <w:szCs w:val="28"/>
              </w:rPr>
              <w:t>公告（申報）地價</w:t>
            </w:r>
          </w:p>
        </w:tc>
        <w:tc>
          <w:tcPr>
            <w:tcW w:w="6117" w:type="dxa"/>
          </w:tcPr>
          <w:p w:rsidR="00FE1848" w:rsidRPr="00F31E84" w:rsidRDefault="00FE1848" w:rsidP="00BD146A">
            <w:pPr>
              <w:pStyle w:val="5"/>
              <w:numPr>
                <w:ilvl w:val="0"/>
                <w:numId w:val="0"/>
              </w:numPr>
              <w:rPr>
                <w:rFonts w:hAnsi="標楷體"/>
                <w:sz w:val="28"/>
                <w:szCs w:val="28"/>
              </w:rPr>
            </w:pPr>
            <w:r w:rsidRPr="00F31E84">
              <w:rPr>
                <w:rFonts w:hAnsi="標楷體" w:cs="Arial"/>
                <w:kern w:val="0"/>
                <w:sz w:val="28"/>
                <w:szCs w:val="28"/>
              </w:rPr>
              <w:t>105</w:t>
            </w:r>
            <w:r w:rsidRPr="00F31E84">
              <w:rPr>
                <w:rFonts w:hAnsi="標楷體" w:cs="MicrosoftJhengHeiRegular" w:hint="eastAsia"/>
                <w:kern w:val="0"/>
                <w:sz w:val="28"/>
                <w:szCs w:val="28"/>
              </w:rPr>
              <w:t>年基地範圍公告（申報）地價總額約為</w:t>
            </w:r>
            <w:r w:rsidRPr="00F31E84">
              <w:rPr>
                <w:rFonts w:hAnsi="標楷體" w:cs="Arial"/>
                <w:kern w:val="0"/>
                <w:sz w:val="28"/>
                <w:szCs w:val="28"/>
              </w:rPr>
              <w:t>14</w:t>
            </w:r>
            <w:r>
              <w:rPr>
                <w:rFonts w:hAnsi="標楷體" w:cs="Arial" w:hint="eastAsia"/>
                <w:kern w:val="0"/>
                <w:sz w:val="28"/>
                <w:szCs w:val="28"/>
              </w:rPr>
              <w:t>.</w:t>
            </w:r>
            <w:r w:rsidRPr="00F31E84">
              <w:rPr>
                <w:rFonts w:hAnsi="標楷體" w:cs="Arial"/>
                <w:kern w:val="0"/>
                <w:sz w:val="28"/>
                <w:szCs w:val="28"/>
              </w:rPr>
              <w:t>1</w:t>
            </w:r>
            <w:r>
              <w:rPr>
                <w:rFonts w:hAnsi="標楷體" w:cs="Arial" w:hint="eastAsia"/>
                <w:kern w:val="0"/>
                <w:sz w:val="28"/>
                <w:szCs w:val="28"/>
              </w:rPr>
              <w:t>5億</w:t>
            </w:r>
            <w:r w:rsidRPr="00F31E84">
              <w:rPr>
                <w:rFonts w:hAnsi="標楷體" w:cs="MicrosoftJhengHeiRegular" w:hint="eastAsia"/>
                <w:kern w:val="0"/>
                <w:sz w:val="28"/>
                <w:szCs w:val="28"/>
              </w:rPr>
              <w:t>元，假設</w:t>
            </w:r>
            <w:r w:rsidRPr="00F31E84">
              <w:rPr>
                <w:rFonts w:hAnsi="標楷體" w:cs="Arial"/>
                <w:kern w:val="0"/>
                <w:sz w:val="28"/>
                <w:szCs w:val="28"/>
              </w:rPr>
              <w:t xml:space="preserve">108 </w:t>
            </w:r>
            <w:r w:rsidRPr="00F31E84">
              <w:rPr>
                <w:rFonts w:hAnsi="標楷體" w:cs="MicrosoftJhengHeiRegular" w:hint="eastAsia"/>
                <w:kern w:val="0"/>
                <w:sz w:val="28"/>
                <w:szCs w:val="28"/>
              </w:rPr>
              <w:t>年調漲</w:t>
            </w:r>
            <w:r w:rsidRPr="00F31E84">
              <w:rPr>
                <w:rFonts w:hAnsi="標楷體" w:cs="Arial"/>
                <w:kern w:val="0"/>
                <w:sz w:val="28"/>
                <w:szCs w:val="28"/>
              </w:rPr>
              <w:t>15%</w:t>
            </w:r>
            <w:r w:rsidRPr="00F31E84">
              <w:rPr>
                <w:rFonts w:hAnsi="標楷體" w:cs="MicrosoftJhengHeiRegular" w:hint="eastAsia"/>
                <w:kern w:val="0"/>
                <w:sz w:val="28"/>
                <w:szCs w:val="28"/>
              </w:rPr>
              <w:t>，其後每3年調整</w:t>
            </w:r>
            <w:r w:rsidRPr="00F31E84">
              <w:rPr>
                <w:rFonts w:hAnsi="標楷體" w:cs="Arial"/>
                <w:kern w:val="0"/>
                <w:sz w:val="28"/>
                <w:szCs w:val="28"/>
              </w:rPr>
              <w:t>8%。</w:t>
            </w:r>
          </w:p>
        </w:tc>
      </w:tr>
      <w:tr w:rsidR="00FE1848" w:rsidRPr="00F31E84" w:rsidTr="0004344D">
        <w:trPr>
          <w:trHeight w:val="501"/>
        </w:trPr>
        <w:tc>
          <w:tcPr>
            <w:tcW w:w="2835" w:type="dxa"/>
            <w:vAlign w:val="center"/>
          </w:tcPr>
          <w:p w:rsidR="00FE1848" w:rsidRPr="00F31E84" w:rsidRDefault="00FE1848" w:rsidP="0004344D">
            <w:pPr>
              <w:pStyle w:val="5"/>
              <w:numPr>
                <w:ilvl w:val="0"/>
                <w:numId w:val="0"/>
              </w:numPr>
              <w:rPr>
                <w:rFonts w:hAnsi="標楷體"/>
                <w:sz w:val="28"/>
                <w:szCs w:val="28"/>
              </w:rPr>
            </w:pPr>
            <w:r w:rsidRPr="00F31E84">
              <w:rPr>
                <w:rFonts w:hAnsi="標楷體" w:cs="MicrosoftJhengHeiRegular" w:hint="eastAsia"/>
                <w:kern w:val="0"/>
                <w:sz w:val="28"/>
                <w:szCs w:val="28"/>
              </w:rPr>
              <w:t>物價上漲率</w:t>
            </w:r>
          </w:p>
        </w:tc>
        <w:tc>
          <w:tcPr>
            <w:tcW w:w="6117" w:type="dxa"/>
            <w:vAlign w:val="center"/>
          </w:tcPr>
          <w:p w:rsidR="00FE1848" w:rsidRPr="00F31E84" w:rsidRDefault="00FE1848" w:rsidP="001C6802">
            <w:pPr>
              <w:pStyle w:val="5"/>
              <w:numPr>
                <w:ilvl w:val="0"/>
                <w:numId w:val="0"/>
              </w:numPr>
              <w:rPr>
                <w:rFonts w:hAnsi="標楷體"/>
                <w:sz w:val="28"/>
                <w:szCs w:val="28"/>
              </w:rPr>
            </w:pPr>
            <w:r w:rsidRPr="00F31E84">
              <w:rPr>
                <w:rFonts w:hAnsi="標楷體" w:cs="MicrosoftJhengHeiRegular" w:hint="eastAsia"/>
                <w:kern w:val="0"/>
                <w:sz w:val="28"/>
                <w:szCs w:val="28"/>
              </w:rPr>
              <w:t>每年</w:t>
            </w:r>
            <w:r w:rsidRPr="00F31E84">
              <w:rPr>
                <w:rFonts w:hAnsi="標楷體" w:cs="Arial"/>
                <w:kern w:val="0"/>
                <w:sz w:val="28"/>
                <w:szCs w:val="28"/>
              </w:rPr>
              <w:t>1.2%。</w:t>
            </w:r>
          </w:p>
        </w:tc>
      </w:tr>
      <w:tr w:rsidR="00FE1848" w:rsidRPr="00F31E84" w:rsidTr="0004344D">
        <w:tc>
          <w:tcPr>
            <w:tcW w:w="2835" w:type="dxa"/>
            <w:vAlign w:val="center"/>
          </w:tcPr>
          <w:p w:rsidR="00FE1848" w:rsidRPr="00F31E84" w:rsidRDefault="00FE1848" w:rsidP="0004344D">
            <w:pPr>
              <w:pStyle w:val="5"/>
              <w:numPr>
                <w:ilvl w:val="0"/>
                <w:numId w:val="0"/>
              </w:numPr>
              <w:rPr>
                <w:rFonts w:hAnsi="標楷體" w:cs="MicrosoftJhengHeiRegular"/>
                <w:kern w:val="0"/>
                <w:sz w:val="28"/>
                <w:szCs w:val="28"/>
              </w:rPr>
            </w:pPr>
            <w:r w:rsidRPr="00F31E84">
              <w:rPr>
                <w:rFonts w:hAnsi="標楷體" w:cs="MicrosoftJhengHeiRegular" w:hint="eastAsia"/>
                <w:kern w:val="0"/>
                <w:sz w:val="28"/>
                <w:szCs w:val="28"/>
              </w:rPr>
              <w:t>資本結構</w:t>
            </w:r>
          </w:p>
        </w:tc>
        <w:tc>
          <w:tcPr>
            <w:tcW w:w="6117" w:type="dxa"/>
            <w:vAlign w:val="center"/>
          </w:tcPr>
          <w:p w:rsidR="00FE1848" w:rsidRPr="00F31E84" w:rsidRDefault="00FE1848" w:rsidP="00BD146A">
            <w:pPr>
              <w:pStyle w:val="5"/>
              <w:numPr>
                <w:ilvl w:val="0"/>
                <w:numId w:val="0"/>
              </w:numPr>
              <w:rPr>
                <w:rFonts w:hAnsi="標楷體" w:cs="MicrosoftJhengHeiRegular"/>
                <w:kern w:val="0"/>
                <w:sz w:val="28"/>
                <w:szCs w:val="28"/>
              </w:rPr>
            </w:pPr>
            <w:r w:rsidRPr="00F31E84">
              <w:rPr>
                <w:rFonts w:hAnsi="標楷體" w:cs="MicrosoftJhengHeiRegular" w:hint="eastAsia"/>
                <w:kern w:val="0"/>
                <w:sz w:val="28"/>
                <w:szCs w:val="28"/>
              </w:rPr>
              <w:t>設算興建期資金來源中自有資金與銀行貸款比約</w:t>
            </w:r>
            <w:r w:rsidRPr="00F31E84">
              <w:rPr>
                <w:rFonts w:hAnsi="標楷體" w:cs="MicrosoftJhengHeiRegular" w:hint="eastAsia"/>
                <w:kern w:val="0"/>
                <w:sz w:val="28"/>
                <w:szCs w:val="28"/>
              </w:rPr>
              <w:lastRenderedPageBreak/>
              <w:t>為</w:t>
            </w:r>
            <w:r w:rsidRPr="00F31E84">
              <w:rPr>
                <w:rFonts w:hAnsi="標楷體" w:cs="Arial"/>
                <w:kern w:val="0"/>
                <w:sz w:val="28"/>
                <w:szCs w:val="28"/>
              </w:rPr>
              <w:t>51.5%</w:t>
            </w:r>
            <w:r w:rsidRPr="00F31E84">
              <w:rPr>
                <w:rFonts w:hAnsi="標楷體" w:cs="MicrosoftJhengHeiRegular" w:hint="eastAsia"/>
                <w:kern w:val="0"/>
                <w:sz w:val="28"/>
                <w:szCs w:val="28"/>
              </w:rPr>
              <w:t>：</w:t>
            </w:r>
            <w:r w:rsidRPr="00F31E84">
              <w:rPr>
                <w:rFonts w:hAnsi="標楷體" w:cs="Arial"/>
                <w:kern w:val="0"/>
                <w:sz w:val="28"/>
                <w:szCs w:val="28"/>
              </w:rPr>
              <w:t>48.5%</w:t>
            </w:r>
            <w:r w:rsidRPr="00F31E84">
              <w:rPr>
                <w:rFonts w:hAnsi="標楷體" w:cs="MicrosoftJhengHeiRegular" w:hint="eastAsia"/>
                <w:kern w:val="0"/>
                <w:sz w:val="28"/>
                <w:szCs w:val="28"/>
              </w:rPr>
              <w:t>，即融資比例為工程費用、規劃設計費、開發權利金及營運設備之</w:t>
            </w:r>
            <w:r w:rsidRPr="00F31E84">
              <w:rPr>
                <w:rFonts w:hAnsi="標楷體" w:cs="Arial"/>
                <w:kern w:val="0"/>
                <w:sz w:val="28"/>
                <w:szCs w:val="28"/>
              </w:rPr>
              <w:t>50%。</w:t>
            </w:r>
          </w:p>
        </w:tc>
      </w:tr>
      <w:tr w:rsidR="00FE1848" w:rsidRPr="00F31E84" w:rsidTr="0004344D">
        <w:tc>
          <w:tcPr>
            <w:tcW w:w="2835" w:type="dxa"/>
            <w:vAlign w:val="center"/>
          </w:tcPr>
          <w:p w:rsidR="00FE1848" w:rsidRPr="00F31E84" w:rsidRDefault="00FE1848" w:rsidP="0004344D">
            <w:pPr>
              <w:pStyle w:val="5"/>
              <w:numPr>
                <w:ilvl w:val="0"/>
                <w:numId w:val="0"/>
              </w:numPr>
              <w:rPr>
                <w:rFonts w:hAnsi="標楷體" w:cs="MicrosoftJhengHeiRegular"/>
                <w:kern w:val="0"/>
                <w:sz w:val="28"/>
                <w:szCs w:val="28"/>
              </w:rPr>
            </w:pPr>
            <w:r w:rsidRPr="00F31E84">
              <w:rPr>
                <w:rFonts w:hAnsi="標楷體" w:cs="MicrosoftJhengHeiRegular" w:hint="eastAsia"/>
                <w:kern w:val="0"/>
                <w:sz w:val="28"/>
                <w:szCs w:val="28"/>
              </w:rPr>
              <w:lastRenderedPageBreak/>
              <w:t>融資年期及利率</w:t>
            </w:r>
          </w:p>
        </w:tc>
        <w:tc>
          <w:tcPr>
            <w:tcW w:w="6117" w:type="dxa"/>
            <w:vAlign w:val="center"/>
          </w:tcPr>
          <w:p w:rsidR="00FE1848" w:rsidRPr="00F31E84" w:rsidRDefault="00FE1848" w:rsidP="00BD146A">
            <w:pPr>
              <w:adjustRightInd w:val="0"/>
              <w:rPr>
                <w:rFonts w:hAnsi="標楷體" w:cs="MicrosoftJhengHeiRegular"/>
                <w:kern w:val="0"/>
                <w:sz w:val="28"/>
                <w:szCs w:val="28"/>
              </w:rPr>
            </w:pPr>
            <w:r w:rsidRPr="00F31E84">
              <w:rPr>
                <w:rFonts w:hAnsi="標楷體" w:cs="MicrosoftJhengHeiRegular" w:hint="eastAsia"/>
                <w:kern w:val="0"/>
                <w:sz w:val="28"/>
                <w:szCs w:val="28"/>
              </w:rPr>
              <w:t>本案初估融資規模約</w:t>
            </w:r>
            <w:r w:rsidRPr="00F31E84">
              <w:rPr>
                <w:rFonts w:hAnsi="標楷體" w:cs="Arial"/>
                <w:kern w:val="0"/>
                <w:sz w:val="28"/>
                <w:szCs w:val="28"/>
              </w:rPr>
              <w:t>23</w:t>
            </w:r>
            <w:r w:rsidRPr="00F31E84">
              <w:rPr>
                <w:rFonts w:hAnsi="標楷體" w:cs="MicrosoftJhengHeiRegular" w:hint="eastAsia"/>
                <w:kern w:val="0"/>
                <w:sz w:val="28"/>
                <w:szCs w:val="28"/>
              </w:rPr>
              <w:t>億元，融資利率假設為</w:t>
            </w:r>
            <w:r w:rsidRPr="00F31E84">
              <w:rPr>
                <w:rFonts w:hAnsi="標楷體" w:cs="Arial"/>
                <w:kern w:val="0"/>
                <w:sz w:val="28"/>
                <w:szCs w:val="28"/>
              </w:rPr>
              <w:t>3.0%</w:t>
            </w:r>
            <w:r w:rsidRPr="00F31E84">
              <w:rPr>
                <w:rFonts w:hAnsi="標楷體" w:cs="MicrosoftJhengHeiRegular" w:hint="eastAsia"/>
                <w:kern w:val="0"/>
                <w:sz w:val="28"/>
                <w:szCs w:val="28"/>
              </w:rPr>
              <w:t>、還款寬限期</w:t>
            </w:r>
            <w:r w:rsidRPr="00F31E84">
              <w:rPr>
                <w:rFonts w:hAnsi="標楷體" w:cs="Arial"/>
                <w:kern w:val="0"/>
                <w:sz w:val="28"/>
                <w:szCs w:val="28"/>
              </w:rPr>
              <w:t>5</w:t>
            </w:r>
            <w:r w:rsidRPr="00F31E84">
              <w:rPr>
                <w:rFonts w:hAnsi="標楷體" w:cs="MicrosoftJhengHeiRegular" w:hint="eastAsia"/>
                <w:kern w:val="0"/>
                <w:sz w:val="28"/>
                <w:szCs w:val="28"/>
              </w:rPr>
              <w:t>年（含興建期）；第</w:t>
            </w:r>
            <w:r w:rsidRPr="00F31E84">
              <w:rPr>
                <w:rFonts w:hAnsi="標楷體" w:cs="Arial"/>
                <w:kern w:val="0"/>
                <w:sz w:val="28"/>
                <w:szCs w:val="28"/>
              </w:rPr>
              <w:t>6~15</w:t>
            </w:r>
            <w:r w:rsidRPr="00F31E84">
              <w:rPr>
                <w:rFonts w:hAnsi="標楷體" w:cs="MicrosoftJhengHeiRegular" w:hint="eastAsia"/>
                <w:kern w:val="0"/>
                <w:sz w:val="28"/>
                <w:szCs w:val="28"/>
              </w:rPr>
              <w:t>年償款融資本金</w:t>
            </w:r>
            <w:r w:rsidRPr="00F31E84">
              <w:rPr>
                <w:rFonts w:hAnsi="標楷體" w:cs="Arial"/>
                <w:kern w:val="0"/>
                <w:sz w:val="28"/>
                <w:szCs w:val="28"/>
              </w:rPr>
              <w:t>50%</w:t>
            </w:r>
            <w:r w:rsidRPr="00F31E84">
              <w:rPr>
                <w:rFonts w:hAnsi="標楷體" w:cs="MicrosoftJhengHeiRegular" w:hint="eastAsia"/>
                <w:kern w:val="0"/>
                <w:sz w:val="28"/>
                <w:szCs w:val="28"/>
              </w:rPr>
              <w:t>；預估本金清償比例第</w:t>
            </w:r>
            <w:r w:rsidRPr="00F31E84">
              <w:rPr>
                <w:rFonts w:hAnsi="標楷體" w:cs="Arial"/>
                <w:kern w:val="0"/>
                <w:sz w:val="28"/>
                <w:szCs w:val="28"/>
              </w:rPr>
              <w:t>6</w:t>
            </w:r>
            <w:r w:rsidRPr="00F31E84">
              <w:rPr>
                <w:rFonts w:hAnsi="標楷體" w:cs="MicrosoftJhengHeiRegular" w:hint="eastAsia"/>
                <w:kern w:val="0"/>
                <w:sz w:val="28"/>
                <w:szCs w:val="28"/>
              </w:rPr>
              <w:t>年為</w:t>
            </w:r>
            <w:r w:rsidRPr="00F31E84">
              <w:rPr>
                <w:rFonts w:hAnsi="標楷體" w:cs="Arial"/>
                <w:kern w:val="0"/>
                <w:sz w:val="28"/>
                <w:szCs w:val="28"/>
              </w:rPr>
              <w:t>1%</w:t>
            </w:r>
            <w:r w:rsidRPr="00F31E84">
              <w:rPr>
                <w:rFonts w:hAnsi="標楷體" w:cs="MicrosoftJhengHeiRegular" w:hint="eastAsia"/>
                <w:kern w:val="0"/>
                <w:sz w:val="28"/>
                <w:szCs w:val="28"/>
              </w:rPr>
              <w:t>、第</w:t>
            </w:r>
            <w:r w:rsidRPr="00F31E84">
              <w:rPr>
                <w:rFonts w:hAnsi="標楷體" w:cs="Arial"/>
                <w:kern w:val="0"/>
                <w:sz w:val="28"/>
                <w:szCs w:val="28"/>
              </w:rPr>
              <w:t>7</w:t>
            </w:r>
            <w:r w:rsidRPr="00F31E84">
              <w:rPr>
                <w:rFonts w:hAnsi="標楷體" w:cs="MicrosoftJhengHeiRegular" w:hint="eastAsia"/>
                <w:kern w:val="0"/>
                <w:sz w:val="28"/>
                <w:szCs w:val="28"/>
              </w:rPr>
              <w:t>年為</w:t>
            </w:r>
            <w:r w:rsidRPr="00F31E84">
              <w:rPr>
                <w:rFonts w:hAnsi="標楷體" w:cs="Arial"/>
                <w:kern w:val="0"/>
                <w:sz w:val="28"/>
                <w:szCs w:val="28"/>
              </w:rPr>
              <w:t>2%</w:t>
            </w:r>
            <w:r w:rsidRPr="00F31E84">
              <w:rPr>
                <w:rFonts w:hAnsi="標楷體" w:cs="MicrosoftJhengHeiRegular" w:hint="eastAsia"/>
                <w:kern w:val="0"/>
                <w:sz w:val="28"/>
                <w:szCs w:val="28"/>
              </w:rPr>
              <w:t>、第</w:t>
            </w:r>
            <w:r w:rsidRPr="00F31E84">
              <w:rPr>
                <w:rFonts w:hAnsi="標楷體" w:cs="Arial"/>
                <w:kern w:val="0"/>
                <w:sz w:val="28"/>
                <w:szCs w:val="28"/>
              </w:rPr>
              <w:t>8</w:t>
            </w:r>
            <w:r w:rsidRPr="00F31E84">
              <w:rPr>
                <w:rFonts w:hAnsi="標楷體" w:cs="MicrosoftJhengHeiRegular" w:hint="eastAsia"/>
                <w:kern w:val="0"/>
                <w:sz w:val="28"/>
                <w:szCs w:val="28"/>
              </w:rPr>
              <w:t>年為</w:t>
            </w:r>
            <w:r w:rsidRPr="00F31E84">
              <w:rPr>
                <w:rFonts w:hAnsi="標楷體" w:cs="Arial"/>
                <w:kern w:val="0"/>
                <w:sz w:val="28"/>
                <w:szCs w:val="28"/>
              </w:rPr>
              <w:t>3%</w:t>
            </w:r>
            <w:r w:rsidRPr="00F31E84">
              <w:rPr>
                <w:rFonts w:hAnsi="標楷體" w:cs="MicrosoftJhengHeiRegular" w:hint="eastAsia"/>
                <w:kern w:val="0"/>
                <w:sz w:val="28"/>
                <w:szCs w:val="28"/>
              </w:rPr>
              <w:t>、第</w:t>
            </w:r>
            <w:r w:rsidRPr="00F31E84">
              <w:rPr>
                <w:rFonts w:hAnsi="標楷體" w:cs="Arial"/>
                <w:kern w:val="0"/>
                <w:sz w:val="28"/>
                <w:szCs w:val="28"/>
              </w:rPr>
              <w:t>9</w:t>
            </w:r>
            <w:r w:rsidRPr="00F31E84">
              <w:rPr>
                <w:rFonts w:hAnsi="標楷體" w:cs="MicrosoftJhengHeiRegular" w:hint="eastAsia"/>
                <w:kern w:val="0"/>
                <w:sz w:val="28"/>
                <w:szCs w:val="28"/>
              </w:rPr>
              <w:t>年為</w:t>
            </w:r>
            <w:r w:rsidRPr="00F31E84">
              <w:rPr>
                <w:rFonts w:hAnsi="標楷體" w:cs="Arial"/>
                <w:kern w:val="0"/>
                <w:sz w:val="28"/>
                <w:szCs w:val="28"/>
              </w:rPr>
              <w:t>4%</w:t>
            </w:r>
            <w:r w:rsidRPr="00F31E84">
              <w:rPr>
                <w:rFonts w:hAnsi="標楷體" w:cs="MicrosoftJhengHeiRegular" w:hint="eastAsia"/>
                <w:kern w:val="0"/>
                <w:sz w:val="28"/>
                <w:szCs w:val="28"/>
              </w:rPr>
              <w:t>、第</w:t>
            </w:r>
            <w:r w:rsidRPr="00F31E84">
              <w:rPr>
                <w:rFonts w:hAnsi="標楷體" w:cs="Arial"/>
                <w:kern w:val="0"/>
                <w:sz w:val="28"/>
                <w:szCs w:val="28"/>
              </w:rPr>
              <w:t>10</w:t>
            </w:r>
            <w:r w:rsidRPr="00F31E84">
              <w:rPr>
                <w:rFonts w:hAnsi="標楷體" w:cs="MicrosoftJhengHeiRegular" w:hint="eastAsia"/>
                <w:kern w:val="0"/>
                <w:sz w:val="28"/>
                <w:szCs w:val="28"/>
              </w:rPr>
              <w:t>年為</w:t>
            </w:r>
            <w:r w:rsidRPr="00F31E84">
              <w:rPr>
                <w:rFonts w:hAnsi="標楷體" w:cs="Arial"/>
                <w:kern w:val="0"/>
                <w:sz w:val="28"/>
                <w:szCs w:val="28"/>
              </w:rPr>
              <w:t>5%</w:t>
            </w:r>
            <w:r w:rsidRPr="00F31E84">
              <w:rPr>
                <w:rFonts w:hAnsi="標楷體" w:cs="MicrosoftJhengHeiRegular" w:hint="eastAsia"/>
                <w:kern w:val="0"/>
                <w:sz w:val="28"/>
                <w:szCs w:val="28"/>
              </w:rPr>
              <w:t>，第</w:t>
            </w:r>
            <w:r w:rsidRPr="00F31E84">
              <w:rPr>
                <w:rFonts w:hAnsi="標楷體" w:cs="Arial"/>
                <w:kern w:val="0"/>
                <w:sz w:val="28"/>
                <w:szCs w:val="28"/>
              </w:rPr>
              <w:t>11~15</w:t>
            </w:r>
            <w:r w:rsidRPr="00F31E84">
              <w:rPr>
                <w:rFonts w:hAnsi="標楷體" w:cs="MicrosoftJhengHeiRegular" w:hint="eastAsia"/>
                <w:kern w:val="0"/>
                <w:sz w:val="28"/>
                <w:szCs w:val="28"/>
              </w:rPr>
              <w:t>年為每年</w:t>
            </w:r>
            <w:r w:rsidRPr="00F31E84">
              <w:rPr>
                <w:rFonts w:hAnsi="標楷體" w:cs="Arial"/>
                <w:kern w:val="0"/>
                <w:sz w:val="28"/>
                <w:szCs w:val="28"/>
              </w:rPr>
              <w:t>7%</w:t>
            </w:r>
            <w:r w:rsidRPr="00F31E84">
              <w:rPr>
                <w:rFonts w:hAnsi="標楷體" w:cs="MicrosoftJhengHeiRegular" w:hint="eastAsia"/>
                <w:kern w:val="0"/>
                <w:sz w:val="28"/>
                <w:szCs w:val="28"/>
              </w:rPr>
              <w:t>。</w:t>
            </w:r>
          </w:p>
          <w:p w:rsidR="00FE1848" w:rsidRPr="00F31E84" w:rsidRDefault="00FE1848" w:rsidP="00BD146A">
            <w:pPr>
              <w:adjustRightInd w:val="0"/>
              <w:rPr>
                <w:rFonts w:hAnsi="標楷體" w:cs="MicrosoftJhengHeiRegular"/>
                <w:kern w:val="0"/>
                <w:sz w:val="28"/>
                <w:szCs w:val="28"/>
              </w:rPr>
            </w:pPr>
            <w:r w:rsidRPr="00F31E84">
              <w:rPr>
                <w:rFonts w:hAnsi="標楷體" w:cs="MicrosoftJhengHeiRegular" w:hint="eastAsia"/>
                <w:kern w:val="0"/>
                <w:sz w:val="28"/>
                <w:szCs w:val="28"/>
              </w:rPr>
              <w:t>剩餘</w:t>
            </w:r>
            <w:r w:rsidRPr="00F31E84">
              <w:rPr>
                <w:rFonts w:hAnsi="標楷體" w:cs="Arial"/>
                <w:kern w:val="0"/>
                <w:sz w:val="28"/>
                <w:szCs w:val="28"/>
              </w:rPr>
              <w:t>50%</w:t>
            </w:r>
            <w:r w:rsidRPr="00F31E84">
              <w:rPr>
                <w:rFonts w:hAnsi="標楷體" w:cs="MicrosoftJhengHeiRegular" w:hint="eastAsia"/>
                <w:kern w:val="0"/>
                <w:sz w:val="28"/>
                <w:szCs w:val="28"/>
              </w:rPr>
              <w:t>融資本金辦理再融資，再融資期間</w:t>
            </w:r>
            <w:r w:rsidRPr="00F31E84">
              <w:rPr>
                <w:rFonts w:hAnsi="標楷體" w:cs="Arial"/>
                <w:kern w:val="0"/>
                <w:sz w:val="28"/>
                <w:szCs w:val="28"/>
              </w:rPr>
              <w:t>10</w:t>
            </w:r>
            <w:r w:rsidRPr="00F31E84">
              <w:rPr>
                <w:rFonts w:hAnsi="標楷體" w:cs="MicrosoftJhengHeiRegular" w:hint="eastAsia"/>
                <w:kern w:val="0"/>
                <w:sz w:val="28"/>
                <w:szCs w:val="28"/>
              </w:rPr>
              <w:t>年，利率</w:t>
            </w:r>
            <w:r w:rsidRPr="00F31E84">
              <w:rPr>
                <w:rFonts w:hAnsi="標楷體" w:cs="Arial"/>
                <w:kern w:val="0"/>
                <w:sz w:val="28"/>
                <w:szCs w:val="28"/>
              </w:rPr>
              <w:t>3.0%</w:t>
            </w:r>
            <w:r w:rsidRPr="00F31E84">
              <w:rPr>
                <w:rFonts w:hAnsi="標楷體" w:cs="MicrosoftJhengHeiRegular" w:hint="eastAsia"/>
                <w:kern w:val="0"/>
                <w:sz w:val="28"/>
                <w:szCs w:val="28"/>
              </w:rPr>
              <w:t>，並以本利均等攤還方式還款。</w:t>
            </w:r>
          </w:p>
        </w:tc>
      </w:tr>
      <w:tr w:rsidR="00FE1848" w:rsidRPr="00F31E84" w:rsidTr="0004344D">
        <w:tc>
          <w:tcPr>
            <w:tcW w:w="2835" w:type="dxa"/>
            <w:vAlign w:val="center"/>
          </w:tcPr>
          <w:p w:rsidR="00FE1848" w:rsidRPr="00F31E84" w:rsidRDefault="00FE1848" w:rsidP="0004344D">
            <w:pPr>
              <w:pStyle w:val="5"/>
              <w:numPr>
                <w:ilvl w:val="0"/>
                <w:numId w:val="0"/>
              </w:numPr>
              <w:rPr>
                <w:rFonts w:hAnsi="標楷體" w:cs="MicrosoftJhengHeiRegular"/>
                <w:kern w:val="0"/>
                <w:sz w:val="28"/>
                <w:szCs w:val="28"/>
              </w:rPr>
            </w:pPr>
            <w:r w:rsidRPr="00F31E84">
              <w:rPr>
                <w:rFonts w:hAnsi="標楷體" w:cs="MicrosoftJhengHeiRegular" w:hint="eastAsia"/>
                <w:kern w:val="0"/>
                <w:sz w:val="28"/>
                <w:szCs w:val="28"/>
              </w:rPr>
              <w:t>股東預期報酬率</w:t>
            </w:r>
          </w:p>
          <w:p w:rsidR="00FE1848" w:rsidRPr="00F31E84" w:rsidRDefault="00FE1848" w:rsidP="0004344D">
            <w:pPr>
              <w:pStyle w:val="5"/>
              <w:numPr>
                <w:ilvl w:val="0"/>
                <w:numId w:val="0"/>
              </w:numPr>
              <w:rPr>
                <w:rFonts w:hAnsi="標楷體" w:cs="MicrosoftJhengHeiRegular"/>
                <w:kern w:val="0"/>
                <w:sz w:val="28"/>
                <w:szCs w:val="28"/>
              </w:rPr>
            </w:pPr>
            <w:r w:rsidRPr="00F31E84">
              <w:rPr>
                <w:rFonts w:hAnsi="標楷體" w:cs="MicrosoftJhengHeiRegular" w:hint="eastAsia"/>
                <w:kern w:val="0"/>
                <w:sz w:val="28"/>
                <w:szCs w:val="28"/>
              </w:rPr>
              <w:t>（稅前）</w:t>
            </w:r>
          </w:p>
        </w:tc>
        <w:tc>
          <w:tcPr>
            <w:tcW w:w="6117" w:type="dxa"/>
            <w:vAlign w:val="center"/>
          </w:tcPr>
          <w:p w:rsidR="00FE1848" w:rsidRPr="00F31E84" w:rsidRDefault="00FE1848" w:rsidP="00BD146A">
            <w:pPr>
              <w:pStyle w:val="5"/>
              <w:numPr>
                <w:ilvl w:val="0"/>
                <w:numId w:val="0"/>
              </w:numPr>
              <w:rPr>
                <w:rFonts w:hAnsi="標楷體" w:cs="MicrosoftJhengHeiRegular"/>
                <w:kern w:val="0"/>
                <w:sz w:val="28"/>
                <w:szCs w:val="28"/>
              </w:rPr>
            </w:pPr>
            <w:r w:rsidRPr="00F31E84">
              <w:rPr>
                <w:rFonts w:hAnsi="標楷體" w:cs="Arial"/>
                <w:kern w:val="0"/>
                <w:sz w:val="28"/>
                <w:szCs w:val="28"/>
              </w:rPr>
              <w:t>5.0%。</w:t>
            </w:r>
          </w:p>
        </w:tc>
      </w:tr>
      <w:tr w:rsidR="00FE1848" w:rsidRPr="00F31E84" w:rsidTr="0004344D">
        <w:tc>
          <w:tcPr>
            <w:tcW w:w="2835" w:type="dxa"/>
            <w:vAlign w:val="center"/>
          </w:tcPr>
          <w:p w:rsidR="00FE1848" w:rsidRPr="00F31E84" w:rsidRDefault="00FE1848" w:rsidP="0004344D">
            <w:pPr>
              <w:pStyle w:val="5"/>
              <w:numPr>
                <w:ilvl w:val="0"/>
                <w:numId w:val="0"/>
              </w:numPr>
              <w:rPr>
                <w:rFonts w:hAnsi="標楷體" w:cs="MicrosoftJhengHeiRegular"/>
                <w:kern w:val="0"/>
                <w:sz w:val="28"/>
                <w:szCs w:val="28"/>
              </w:rPr>
            </w:pPr>
            <w:r w:rsidRPr="00F31E84">
              <w:rPr>
                <w:rFonts w:hAnsi="標楷體" w:cs="MicrosoftJhengHeiRegular" w:hint="eastAsia"/>
                <w:kern w:val="0"/>
                <w:sz w:val="28"/>
                <w:szCs w:val="28"/>
              </w:rPr>
              <w:t>折現率</w:t>
            </w:r>
          </w:p>
        </w:tc>
        <w:tc>
          <w:tcPr>
            <w:tcW w:w="6117" w:type="dxa"/>
            <w:vAlign w:val="center"/>
          </w:tcPr>
          <w:p w:rsidR="00FE1848" w:rsidRPr="00F31E84" w:rsidRDefault="00FE1848" w:rsidP="00BD146A">
            <w:pPr>
              <w:adjustRightInd w:val="0"/>
              <w:rPr>
                <w:rFonts w:hAnsi="標楷體" w:cs="MicrosoftJhengHeiRegular"/>
                <w:kern w:val="0"/>
                <w:sz w:val="28"/>
                <w:szCs w:val="28"/>
              </w:rPr>
            </w:pPr>
            <w:r w:rsidRPr="00F31E84">
              <w:rPr>
                <w:rFonts w:hAnsi="標楷體" w:cs="MicrosoftJhengHeiRegular" w:hint="eastAsia"/>
                <w:kern w:val="0"/>
                <w:sz w:val="28"/>
                <w:szCs w:val="28"/>
              </w:rPr>
              <w:t>本案加權平均資金成本（</w:t>
            </w:r>
            <w:r w:rsidRPr="00F31E84">
              <w:rPr>
                <w:rFonts w:hAnsi="標楷體" w:cs="Arial"/>
                <w:kern w:val="0"/>
                <w:sz w:val="28"/>
                <w:szCs w:val="28"/>
              </w:rPr>
              <w:t>WACC</w:t>
            </w:r>
            <w:r w:rsidRPr="00F31E84">
              <w:rPr>
                <w:rFonts w:hAnsi="標楷體" w:cs="MicrosoftJhengHeiRegular" w:hint="eastAsia"/>
                <w:kern w:val="0"/>
                <w:sz w:val="28"/>
                <w:szCs w:val="28"/>
              </w:rPr>
              <w:t>）為：</w:t>
            </w:r>
          </w:p>
          <w:p w:rsidR="00FE1848" w:rsidRPr="00F31E84" w:rsidRDefault="00FE1848" w:rsidP="00BD146A">
            <w:pPr>
              <w:adjustRightInd w:val="0"/>
              <w:rPr>
                <w:rFonts w:hAnsi="標楷體" w:cs="MicrosoftJhengHeiRegular"/>
                <w:kern w:val="0"/>
                <w:sz w:val="28"/>
                <w:szCs w:val="28"/>
              </w:rPr>
            </w:pPr>
            <w:r w:rsidRPr="00F31E84">
              <w:rPr>
                <w:rFonts w:hAnsi="標楷體" w:cs="MicrosoftJhengHeiRegular" w:hint="eastAsia"/>
                <w:kern w:val="0"/>
                <w:sz w:val="28"/>
                <w:szCs w:val="28"/>
              </w:rPr>
              <w:t>權益資金比例</w:t>
            </w:r>
            <w:r w:rsidRPr="00F31E84">
              <w:rPr>
                <w:rFonts w:hAnsi="標楷體" w:cs="Arial"/>
                <w:kern w:val="0"/>
                <w:sz w:val="28"/>
                <w:szCs w:val="28"/>
              </w:rPr>
              <w:t>×</w:t>
            </w:r>
            <w:r w:rsidRPr="00F31E84">
              <w:rPr>
                <w:rFonts w:hAnsi="標楷體" w:cs="MicrosoftJhengHeiRegular" w:hint="eastAsia"/>
                <w:kern w:val="0"/>
                <w:sz w:val="28"/>
                <w:szCs w:val="28"/>
              </w:rPr>
              <w:t>權益資金成本＋負債比例</w:t>
            </w:r>
            <w:r w:rsidRPr="00F31E84">
              <w:rPr>
                <w:rFonts w:hAnsi="標楷體" w:cs="Arial"/>
                <w:kern w:val="0"/>
                <w:sz w:val="28"/>
                <w:szCs w:val="28"/>
              </w:rPr>
              <w:t>×</w:t>
            </w:r>
            <w:r w:rsidRPr="00F31E84">
              <w:rPr>
                <w:rFonts w:hAnsi="標楷體" w:cs="MicrosoftJhengHeiRegular" w:hint="eastAsia"/>
                <w:kern w:val="0"/>
                <w:sz w:val="28"/>
                <w:szCs w:val="28"/>
              </w:rPr>
              <w:t>負債成本</w:t>
            </w:r>
          </w:p>
          <w:p w:rsidR="00FE1848" w:rsidRPr="00F31E84" w:rsidRDefault="00FE1848" w:rsidP="00BD146A">
            <w:pPr>
              <w:adjustRightInd w:val="0"/>
              <w:rPr>
                <w:rFonts w:hAnsi="標楷體"/>
                <w:sz w:val="28"/>
                <w:szCs w:val="28"/>
              </w:rPr>
            </w:pPr>
            <w:r w:rsidRPr="00F31E84">
              <w:rPr>
                <w:rFonts w:hAnsi="標楷體" w:cs="MicrosoftJhengHeiRegular" w:hint="eastAsia"/>
                <w:sz w:val="28"/>
                <w:szCs w:val="28"/>
              </w:rPr>
              <w:t>＝</w:t>
            </w:r>
            <w:r w:rsidRPr="00F31E84">
              <w:rPr>
                <w:rFonts w:hAnsi="標楷體" w:cs="Arial"/>
                <w:sz w:val="28"/>
                <w:szCs w:val="28"/>
              </w:rPr>
              <w:t>51.5%×5.0%+48.5%×3.0%</w:t>
            </w:r>
            <w:r w:rsidRPr="00F31E84">
              <w:rPr>
                <w:rFonts w:hAnsi="標楷體" w:cs="MicrosoftJhengHeiRegular" w:hint="eastAsia"/>
                <w:sz w:val="28"/>
                <w:szCs w:val="28"/>
              </w:rPr>
              <w:t>＝</w:t>
            </w:r>
            <w:r w:rsidRPr="00F31E84">
              <w:rPr>
                <w:rFonts w:hAnsi="標楷體" w:cs="Arial"/>
                <w:sz w:val="28"/>
                <w:szCs w:val="28"/>
              </w:rPr>
              <w:t>4.03%。</w:t>
            </w:r>
          </w:p>
        </w:tc>
      </w:tr>
    </w:tbl>
    <w:p w:rsidR="00FE1848" w:rsidRDefault="00FE1848" w:rsidP="00FE1848">
      <w:pPr>
        <w:adjustRightInd w:val="0"/>
        <w:rPr>
          <w:rFonts w:hAnsi="標楷體" w:cs="MicrosoftJhengHeiRegular"/>
          <w:kern w:val="0"/>
          <w:sz w:val="24"/>
          <w:szCs w:val="24"/>
        </w:rPr>
      </w:pPr>
      <w:r w:rsidRPr="00131218">
        <w:rPr>
          <w:rFonts w:hAnsi="標楷體" w:cs="MicrosoftJhengHeiRegular" w:hint="eastAsia"/>
          <w:kern w:val="0"/>
          <w:sz w:val="24"/>
          <w:szCs w:val="24"/>
          <w:lang w:eastAsia="zh-HK"/>
        </w:rPr>
        <w:t>資料來源：</w:t>
      </w:r>
      <w:r>
        <w:rPr>
          <w:rFonts w:hAnsi="標楷體" w:cs="MicrosoftJhengHeiRegular" w:hint="eastAsia"/>
          <w:kern w:val="0"/>
          <w:sz w:val="24"/>
          <w:szCs w:val="24"/>
          <w:lang w:eastAsia="zh-HK"/>
        </w:rPr>
        <w:t>臺北市政府。</w:t>
      </w:r>
    </w:p>
    <w:p w:rsidR="007E513C" w:rsidRDefault="007E513C" w:rsidP="00FE1848">
      <w:pPr>
        <w:adjustRightInd w:val="0"/>
        <w:rPr>
          <w:rFonts w:hAnsi="標楷體" w:cs="MicrosoftJhengHeiRegular"/>
          <w:kern w:val="0"/>
          <w:sz w:val="24"/>
          <w:szCs w:val="24"/>
        </w:rPr>
      </w:pPr>
    </w:p>
    <w:p w:rsidR="00FE1848" w:rsidRDefault="00FE1848" w:rsidP="00E96993">
      <w:pPr>
        <w:pStyle w:val="4"/>
        <w:rPr>
          <w:kern w:val="0"/>
        </w:rPr>
      </w:pPr>
      <w:r w:rsidRPr="00131218">
        <w:rPr>
          <w:rFonts w:hint="eastAsia"/>
          <w:kern w:val="0"/>
        </w:rPr>
        <w:t>興建期間投入成本</w:t>
      </w:r>
    </w:p>
    <w:p w:rsidR="00FE1848" w:rsidRPr="003E76B1" w:rsidRDefault="00FE1848" w:rsidP="00E96993">
      <w:pPr>
        <w:pStyle w:val="4"/>
        <w:numPr>
          <w:ilvl w:val="0"/>
          <w:numId w:val="0"/>
        </w:numPr>
        <w:ind w:left="1750" w:firstLineChars="189" w:firstLine="605"/>
        <w:rPr>
          <w:kern w:val="0"/>
        </w:rPr>
      </w:pPr>
      <w:r w:rsidRPr="003E76B1">
        <w:rPr>
          <w:rFonts w:hint="eastAsia"/>
          <w:kern w:val="0"/>
        </w:rPr>
        <w:t>本案預計於興建期間之「投資總額」約為</w:t>
      </w:r>
      <w:r w:rsidRPr="003E76B1">
        <w:rPr>
          <w:kern w:val="0"/>
        </w:rPr>
        <w:t>47</w:t>
      </w:r>
      <w:r>
        <w:rPr>
          <w:rFonts w:hint="eastAsia"/>
          <w:kern w:val="0"/>
        </w:rPr>
        <w:t>.</w:t>
      </w:r>
      <w:r w:rsidRPr="003E76B1">
        <w:rPr>
          <w:kern w:val="0"/>
        </w:rPr>
        <w:t>9</w:t>
      </w:r>
      <w:r>
        <w:rPr>
          <w:rFonts w:hint="eastAsia"/>
          <w:kern w:val="0"/>
        </w:rPr>
        <w:t>0億</w:t>
      </w:r>
      <w:r w:rsidRPr="003E76B1">
        <w:rPr>
          <w:rFonts w:hint="eastAsia"/>
          <w:kern w:val="0"/>
        </w:rPr>
        <w:t>元，其中工程費用約</w:t>
      </w:r>
      <w:r w:rsidRPr="003E76B1">
        <w:rPr>
          <w:kern w:val="0"/>
        </w:rPr>
        <w:t>43</w:t>
      </w:r>
      <w:r>
        <w:rPr>
          <w:rFonts w:hint="eastAsia"/>
          <w:kern w:val="0"/>
        </w:rPr>
        <w:t>.</w:t>
      </w:r>
      <w:r w:rsidRPr="003E76B1">
        <w:rPr>
          <w:kern w:val="0"/>
        </w:rPr>
        <w:t>54</w:t>
      </w:r>
      <w:r>
        <w:rPr>
          <w:rFonts w:hint="eastAsia"/>
          <w:kern w:val="0"/>
        </w:rPr>
        <w:t>億</w:t>
      </w:r>
      <w:r w:rsidRPr="003E76B1">
        <w:rPr>
          <w:rFonts w:hint="eastAsia"/>
          <w:kern w:val="0"/>
        </w:rPr>
        <w:t>元、規劃設計費約</w:t>
      </w:r>
      <w:r w:rsidRPr="003E76B1">
        <w:rPr>
          <w:kern w:val="0"/>
        </w:rPr>
        <w:t>1</w:t>
      </w:r>
      <w:r>
        <w:rPr>
          <w:rFonts w:hint="eastAsia"/>
          <w:kern w:val="0"/>
        </w:rPr>
        <w:t>.</w:t>
      </w:r>
      <w:r w:rsidRPr="003E76B1">
        <w:rPr>
          <w:kern w:val="0"/>
        </w:rPr>
        <w:t>49</w:t>
      </w:r>
      <w:r>
        <w:rPr>
          <w:rFonts w:hint="eastAsia"/>
          <w:kern w:val="0"/>
        </w:rPr>
        <w:t>億</w:t>
      </w:r>
      <w:r w:rsidRPr="003E76B1">
        <w:rPr>
          <w:rFonts w:hint="eastAsia"/>
          <w:kern w:val="0"/>
        </w:rPr>
        <w:t>元、營運設備約</w:t>
      </w:r>
      <w:r>
        <w:rPr>
          <w:rFonts w:hint="eastAsia"/>
          <w:kern w:val="0"/>
        </w:rPr>
        <w:t>0.</w:t>
      </w:r>
      <w:r w:rsidRPr="003E76B1">
        <w:rPr>
          <w:kern w:val="0"/>
        </w:rPr>
        <w:t>37</w:t>
      </w:r>
      <w:r>
        <w:rPr>
          <w:rFonts w:hint="eastAsia"/>
          <w:kern w:val="0"/>
        </w:rPr>
        <w:t>億</w:t>
      </w:r>
      <w:r w:rsidRPr="003E76B1">
        <w:rPr>
          <w:rFonts w:hint="eastAsia"/>
          <w:kern w:val="0"/>
        </w:rPr>
        <w:t>元、開發權利金</w:t>
      </w:r>
      <w:r w:rsidRPr="003E76B1">
        <w:rPr>
          <w:kern w:val="0"/>
        </w:rPr>
        <w:t>1</w:t>
      </w:r>
      <w:r>
        <w:rPr>
          <w:rFonts w:hint="eastAsia"/>
          <w:kern w:val="0"/>
        </w:rPr>
        <w:t>.</w:t>
      </w:r>
      <w:r w:rsidRPr="003E76B1">
        <w:rPr>
          <w:kern w:val="0"/>
        </w:rPr>
        <w:t>05</w:t>
      </w:r>
      <w:r>
        <w:rPr>
          <w:rFonts w:hint="eastAsia"/>
          <w:kern w:val="0"/>
        </w:rPr>
        <w:t>億</w:t>
      </w:r>
      <w:r w:rsidRPr="003E76B1">
        <w:rPr>
          <w:rFonts w:hint="eastAsia"/>
          <w:kern w:val="0"/>
        </w:rPr>
        <w:t>元、利息資本化約</w:t>
      </w:r>
      <w:r>
        <w:rPr>
          <w:rFonts w:hint="eastAsia"/>
          <w:kern w:val="0"/>
        </w:rPr>
        <w:t>0.</w:t>
      </w:r>
      <w:r w:rsidRPr="003E76B1">
        <w:rPr>
          <w:kern w:val="0"/>
        </w:rPr>
        <w:t>89</w:t>
      </w:r>
      <w:r>
        <w:rPr>
          <w:rFonts w:hint="eastAsia"/>
          <w:kern w:val="0"/>
        </w:rPr>
        <w:t>億</w:t>
      </w:r>
      <w:r w:rsidRPr="003E76B1">
        <w:rPr>
          <w:rFonts w:hint="eastAsia"/>
          <w:kern w:val="0"/>
        </w:rPr>
        <w:t>元，及土地租金</w:t>
      </w:r>
      <w:r>
        <w:rPr>
          <w:rFonts w:hint="eastAsia"/>
          <w:kern w:val="0"/>
        </w:rPr>
        <w:t>0.</w:t>
      </w:r>
      <w:r w:rsidRPr="003E76B1">
        <w:rPr>
          <w:kern w:val="0"/>
        </w:rPr>
        <w:t>45</w:t>
      </w:r>
      <w:r>
        <w:rPr>
          <w:rFonts w:hint="eastAsia"/>
          <w:kern w:val="0"/>
        </w:rPr>
        <w:t>億</w:t>
      </w:r>
      <w:r w:rsidRPr="003E76B1">
        <w:rPr>
          <w:rFonts w:hint="eastAsia"/>
          <w:kern w:val="0"/>
        </w:rPr>
        <w:t>元</w:t>
      </w:r>
      <w:r>
        <w:rPr>
          <w:rFonts w:hint="eastAsia"/>
          <w:kern w:val="0"/>
        </w:rPr>
        <w:t>；</w:t>
      </w:r>
      <w:r w:rsidRPr="003E76B1">
        <w:rPr>
          <w:rFonts w:hint="eastAsia"/>
          <w:kern w:val="0"/>
        </w:rPr>
        <w:t>此外，本案預估將再投入相關前置開辦費用及履約保證金手續費等，</w:t>
      </w:r>
      <w:r>
        <w:rPr>
          <w:rFonts w:hint="eastAsia"/>
          <w:kern w:val="0"/>
        </w:rPr>
        <w:t>3</w:t>
      </w:r>
      <w:r>
        <w:rPr>
          <w:rFonts w:hint="eastAsia"/>
          <w:kern w:val="0"/>
          <w:lang w:eastAsia="zh-HK"/>
        </w:rPr>
        <w:t>年之</w:t>
      </w:r>
      <w:r w:rsidRPr="003E76B1">
        <w:rPr>
          <w:rFonts w:hint="eastAsia"/>
          <w:kern w:val="0"/>
        </w:rPr>
        <w:t>興建期間總投入成本約為</w:t>
      </w:r>
      <w:r w:rsidRPr="003E76B1">
        <w:rPr>
          <w:kern w:val="0"/>
        </w:rPr>
        <w:t>47.9</w:t>
      </w:r>
      <w:r>
        <w:rPr>
          <w:rFonts w:hint="eastAsia"/>
          <w:kern w:val="0"/>
        </w:rPr>
        <w:t>0</w:t>
      </w:r>
      <w:r w:rsidRPr="003E76B1">
        <w:rPr>
          <w:rFonts w:hint="eastAsia"/>
          <w:kern w:val="0"/>
        </w:rPr>
        <w:t>億元。</w:t>
      </w:r>
    </w:p>
    <w:p w:rsidR="00FE1848" w:rsidRDefault="00FE1848" w:rsidP="00E96993">
      <w:pPr>
        <w:pStyle w:val="4"/>
        <w:rPr>
          <w:kern w:val="0"/>
        </w:rPr>
      </w:pPr>
      <w:r w:rsidRPr="00131218">
        <w:rPr>
          <w:rFonts w:hint="eastAsia"/>
          <w:kern w:val="0"/>
        </w:rPr>
        <w:t>權利金給付計畫</w:t>
      </w:r>
    </w:p>
    <w:p w:rsidR="00FE1848" w:rsidRPr="004D3612" w:rsidRDefault="00FE1848" w:rsidP="00E96993">
      <w:pPr>
        <w:pStyle w:val="4"/>
        <w:numPr>
          <w:ilvl w:val="0"/>
          <w:numId w:val="0"/>
        </w:numPr>
        <w:ind w:left="1750" w:firstLineChars="189" w:firstLine="605"/>
        <w:rPr>
          <w:kern w:val="0"/>
        </w:rPr>
      </w:pPr>
      <w:r w:rsidRPr="004D3612">
        <w:rPr>
          <w:rFonts w:hint="eastAsia"/>
          <w:kern w:val="0"/>
        </w:rPr>
        <w:t>本案將依據契約規定支付權利金，其中包括開發權利金與營運權利金，分別說明如下</w:t>
      </w:r>
      <w:r>
        <w:rPr>
          <w:rFonts w:hint="eastAsia"/>
          <w:kern w:val="0"/>
        </w:rPr>
        <w:t>：</w:t>
      </w:r>
    </w:p>
    <w:p w:rsidR="00FE1848" w:rsidRPr="004D3612" w:rsidRDefault="00FE1848" w:rsidP="00E96993">
      <w:pPr>
        <w:pStyle w:val="5"/>
      </w:pPr>
      <w:r w:rsidRPr="004D3612">
        <w:rPr>
          <w:rFonts w:hint="eastAsia"/>
        </w:rPr>
        <w:t>開發權利金</w:t>
      </w:r>
    </w:p>
    <w:p w:rsidR="00FE1848" w:rsidRPr="004D3612" w:rsidRDefault="00FE1848" w:rsidP="00E96993">
      <w:pPr>
        <w:pStyle w:val="4"/>
        <w:numPr>
          <w:ilvl w:val="0"/>
          <w:numId w:val="0"/>
        </w:numPr>
        <w:ind w:left="2044" w:firstLineChars="196" w:firstLine="627"/>
        <w:rPr>
          <w:kern w:val="0"/>
        </w:rPr>
      </w:pPr>
      <w:r w:rsidRPr="004D3612">
        <w:rPr>
          <w:rFonts w:hint="eastAsia"/>
          <w:kern w:val="0"/>
        </w:rPr>
        <w:t>本案財務計畫之開發權利金依投標階段之權利金標單金額</w:t>
      </w:r>
      <w:r w:rsidRPr="004D3612">
        <w:rPr>
          <w:kern w:val="0"/>
        </w:rPr>
        <w:t>1</w:t>
      </w:r>
      <w:r>
        <w:rPr>
          <w:rFonts w:hint="eastAsia"/>
          <w:kern w:val="0"/>
        </w:rPr>
        <w:t>.</w:t>
      </w:r>
      <w:r w:rsidRPr="004D3612">
        <w:rPr>
          <w:kern w:val="0"/>
        </w:rPr>
        <w:t>05</w:t>
      </w:r>
      <w:r>
        <w:rPr>
          <w:rFonts w:hint="eastAsia"/>
          <w:kern w:val="0"/>
        </w:rPr>
        <w:t>億</w:t>
      </w:r>
      <w:r w:rsidRPr="004D3612">
        <w:rPr>
          <w:rFonts w:hint="eastAsia"/>
          <w:kern w:val="0"/>
        </w:rPr>
        <w:t>元設算。</w:t>
      </w:r>
    </w:p>
    <w:p w:rsidR="00FE1848" w:rsidRPr="004D3612" w:rsidRDefault="00FE1848" w:rsidP="00E96993">
      <w:pPr>
        <w:pStyle w:val="5"/>
        <w:rPr>
          <w:kern w:val="0"/>
        </w:rPr>
      </w:pPr>
      <w:r w:rsidRPr="004D3612">
        <w:rPr>
          <w:rFonts w:hint="eastAsia"/>
          <w:kern w:val="0"/>
        </w:rPr>
        <w:t>營運權利金</w:t>
      </w:r>
    </w:p>
    <w:p w:rsidR="00FE1848" w:rsidRPr="00131218" w:rsidRDefault="00FE1848" w:rsidP="00E96993">
      <w:pPr>
        <w:pStyle w:val="4"/>
        <w:numPr>
          <w:ilvl w:val="0"/>
          <w:numId w:val="0"/>
        </w:numPr>
        <w:ind w:left="2044" w:firstLineChars="196" w:firstLine="627"/>
        <w:rPr>
          <w:kern w:val="0"/>
        </w:rPr>
      </w:pPr>
      <w:r w:rsidRPr="004D3612">
        <w:rPr>
          <w:rFonts w:hint="eastAsia"/>
          <w:kern w:val="0"/>
        </w:rPr>
        <w:t>本案營運權利金係採分年繳付，以營運期間</w:t>
      </w:r>
      <w:r w:rsidRPr="004D3612">
        <w:rPr>
          <w:rFonts w:hint="eastAsia"/>
          <w:kern w:val="0"/>
        </w:rPr>
        <w:lastRenderedPageBreak/>
        <w:t>之營運權利金預估，採當年度之營運收入乘以</w:t>
      </w:r>
      <w:r w:rsidRPr="004D3612">
        <w:rPr>
          <w:kern w:val="0"/>
        </w:rPr>
        <w:t>2%</w:t>
      </w:r>
      <w:r w:rsidRPr="004D3612">
        <w:rPr>
          <w:rFonts w:hint="eastAsia"/>
          <w:kern w:val="0"/>
        </w:rPr>
        <w:t>或投標營運權利金之高值計算。</w:t>
      </w:r>
    </w:p>
    <w:p w:rsidR="00FE1848" w:rsidRDefault="00FE1848" w:rsidP="00E96993">
      <w:pPr>
        <w:pStyle w:val="4"/>
        <w:rPr>
          <w:kern w:val="0"/>
        </w:rPr>
      </w:pPr>
      <w:r>
        <w:rPr>
          <w:rFonts w:hint="eastAsia"/>
          <w:kern w:val="0"/>
          <w:lang w:eastAsia="zh-HK"/>
        </w:rPr>
        <w:t>年度損益概況</w:t>
      </w:r>
    </w:p>
    <w:p w:rsidR="00FE1848" w:rsidRDefault="00FE1848" w:rsidP="00E96993">
      <w:pPr>
        <w:pStyle w:val="4"/>
        <w:numPr>
          <w:ilvl w:val="0"/>
          <w:numId w:val="0"/>
        </w:numPr>
        <w:ind w:left="1750" w:firstLineChars="189" w:firstLine="605"/>
        <w:rPr>
          <w:kern w:val="0"/>
        </w:rPr>
      </w:pPr>
      <w:r>
        <w:rPr>
          <w:rFonts w:hint="eastAsia"/>
          <w:kern w:val="0"/>
          <w:lang w:eastAsia="zh-HK"/>
        </w:rPr>
        <w:t>依據預估之損益表，在第</w:t>
      </w:r>
      <w:r>
        <w:rPr>
          <w:rFonts w:hint="eastAsia"/>
          <w:kern w:val="0"/>
        </w:rPr>
        <w:t>1</w:t>
      </w:r>
      <w:r>
        <w:rPr>
          <w:rFonts w:hint="eastAsia"/>
          <w:kern w:val="0"/>
          <w:lang w:eastAsia="zh-HK"/>
        </w:rPr>
        <w:t>年至第7年各年</w:t>
      </w:r>
      <w:r>
        <w:rPr>
          <w:rFonts w:hint="eastAsia"/>
          <w:kern w:val="0"/>
        </w:rPr>
        <w:t>度</w:t>
      </w:r>
      <w:r>
        <w:rPr>
          <w:rFonts w:hint="eastAsia"/>
          <w:kern w:val="0"/>
          <w:lang w:eastAsia="zh-HK"/>
        </w:rPr>
        <w:t>之</w:t>
      </w:r>
      <w:r w:rsidRPr="004D3612">
        <w:rPr>
          <w:rFonts w:hint="eastAsia"/>
          <w:kern w:val="0"/>
        </w:rPr>
        <w:t>營運收入</w:t>
      </w:r>
      <w:r>
        <w:rPr>
          <w:rFonts w:hint="eastAsia"/>
          <w:kern w:val="0"/>
          <w:lang w:eastAsia="zh-HK"/>
        </w:rPr>
        <w:t>均不足以因應營運</w:t>
      </w:r>
      <w:r w:rsidRPr="004D3612">
        <w:rPr>
          <w:rFonts w:hint="eastAsia"/>
          <w:kern w:val="0"/>
        </w:rPr>
        <w:t>支出</w:t>
      </w:r>
      <w:r>
        <w:rPr>
          <w:rFonts w:hint="eastAsia"/>
          <w:kern w:val="0"/>
        </w:rPr>
        <w:t>，</w:t>
      </w:r>
      <w:r>
        <w:rPr>
          <w:rFonts w:hint="eastAsia"/>
          <w:kern w:val="0"/>
          <w:lang w:eastAsia="zh-HK"/>
        </w:rPr>
        <w:t>至第</w:t>
      </w:r>
      <w:r>
        <w:rPr>
          <w:rFonts w:hint="eastAsia"/>
          <w:kern w:val="0"/>
        </w:rPr>
        <w:t>8</w:t>
      </w:r>
      <w:r>
        <w:rPr>
          <w:rFonts w:hint="eastAsia"/>
          <w:kern w:val="0"/>
          <w:lang w:eastAsia="zh-HK"/>
        </w:rPr>
        <w:t>年始開</w:t>
      </w:r>
      <w:r>
        <w:rPr>
          <w:rFonts w:hint="eastAsia"/>
          <w:kern w:val="0"/>
        </w:rPr>
        <w:t>始</w:t>
      </w:r>
      <w:r>
        <w:rPr>
          <w:rFonts w:hint="eastAsia"/>
          <w:kern w:val="0"/>
          <w:lang w:eastAsia="zh-HK"/>
        </w:rPr>
        <w:t>出</w:t>
      </w:r>
      <w:r>
        <w:rPr>
          <w:rFonts w:hint="eastAsia"/>
          <w:kern w:val="0"/>
        </w:rPr>
        <w:t>現0.</w:t>
      </w:r>
      <w:r>
        <w:rPr>
          <w:rFonts w:hint="eastAsia"/>
          <w:kern w:val="0"/>
          <w:lang w:eastAsia="zh-HK"/>
        </w:rPr>
        <w:t>１</w:t>
      </w:r>
      <w:r>
        <w:rPr>
          <w:rFonts w:hint="eastAsia"/>
          <w:kern w:val="0"/>
        </w:rPr>
        <w:t>億元</w:t>
      </w:r>
      <w:r>
        <w:rPr>
          <w:rFonts w:hint="eastAsia"/>
          <w:kern w:val="0"/>
          <w:lang w:eastAsia="zh-HK"/>
        </w:rPr>
        <w:t>之營</w:t>
      </w:r>
      <w:r>
        <w:rPr>
          <w:rFonts w:hint="eastAsia"/>
          <w:kern w:val="0"/>
        </w:rPr>
        <w:t>業</w:t>
      </w:r>
      <w:r>
        <w:rPr>
          <w:rFonts w:hint="eastAsia"/>
          <w:kern w:val="0"/>
          <w:lang w:eastAsia="zh-HK"/>
        </w:rPr>
        <w:t>利</w:t>
      </w:r>
      <w:r>
        <w:rPr>
          <w:rFonts w:hint="eastAsia"/>
          <w:kern w:val="0"/>
        </w:rPr>
        <w:t>益。</w:t>
      </w:r>
      <w:r>
        <w:rPr>
          <w:rFonts w:hint="eastAsia"/>
          <w:kern w:val="0"/>
          <w:lang w:eastAsia="zh-HK"/>
        </w:rPr>
        <w:t>當年</w:t>
      </w:r>
      <w:r>
        <w:rPr>
          <w:rFonts w:hint="eastAsia"/>
          <w:kern w:val="0"/>
        </w:rPr>
        <w:t>度</w:t>
      </w:r>
      <w:r>
        <w:rPr>
          <w:rFonts w:hint="eastAsia"/>
          <w:kern w:val="0"/>
          <w:lang w:eastAsia="zh-HK"/>
        </w:rPr>
        <w:t>損益部</w:t>
      </w:r>
      <w:r>
        <w:rPr>
          <w:rFonts w:hint="eastAsia"/>
          <w:kern w:val="0"/>
        </w:rPr>
        <w:t>分</w:t>
      </w:r>
      <w:r>
        <w:rPr>
          <w:rFonts w:hint="eastAsia"/>
          <w:kern w:val="0"/>
          <w:lang w:eastAsia="zh-HK"/>
        </w:rPr>
        <w:t>，前</w:t>
      </w:r>
      <w:r>
        <w:rPr>
          <w:rFonts w:hint="eastAsia"/>
          <w:kern w:val="0"/>
        </w:rPr>
        <w:t>9</w:t>
      </w:r>
      <w:r>
        <w:rPr>
          <w:rFonts w:hint="eastAsia"/>
          <w:kern w:val="0"/>
          <w:lang w:eastAsia="zh-HK"/>
        </w:rPr>
        <w:t>年均呈</w:t>
      </w:r>
      <w:r>
        <w:rPr>
          <w:rFonts w:hint="eastAsia"/>
          <w:kern w:val="0"/>
        </w:rPr>
        <w:t>現</w:t>
      </w:r>
      <w:r>
        <w:rPr>
          <w:rFonts w:hint="eastAsia"/>
          <w:kern w:val="0"/>
          <w:lang w:eastAsia="zh-HK"/>
        </w:rPr>
        <w:t>虧</w:t>
      </w:r>
      <w:r>
        <w:rPr>
          <w:rFonts w:hint="eastAsia"/>
          <w:kern w:val="0"/>
        </w:rPr>
        <w:t>損</w:t>
      </w:r>
      <w:r>
        <w:rPr>
          <w:rFonts w:hint="eastAsia"/>
          <w:kern w:val="0"/>
          <w:lang w:eastAsia="zh-HK"/>
        </w:rPr>
        <w:t>狀</w:t>
      </w:r>
      <w:r>
        <w:rPr>
          <w:rFonts w:hint="eastAsia"/>
          <w:kern w:val="0"/>
        </w:rPr>
        <w:t>態</w:t>
      </w:r>
      <w:r>
        <w:rPr>
          <w:rFonts w:hint="eastAsia"/>
          <w:kern w:val="0"/>
          <w:lang w:eastAsia="zh-HK"/>
        </w:rPr>
        <w:t>，至第10年首次出現</w:t>
      </w:r>
      <w:r>
        <w:rPr>
          <w:rFonts w:hint="eastAsia"/>
          <w:kern w:val="0"/>
        </w:rPr>
        <w:t>0.06億</w:t>
      </w:r>
      <w:r>
        <w:rPr>
          <w:rFonts w:hint="eastAsia"/>
          <w:kern w:val="0"/>
          <w:lang w:eastAsia="zh-HK"/>
        </w:rPr>
        <w:t>元之獲利，至第17年年度獲利可望首次達1億元，至第26年年度獲利可望達2億元，至第50年年度獲利預估為2.8億元。</w:t>
      </w:r>
    </w:p>
    <w:p w:rsidR="00FE1848" w:rsidRPr="00F51809" w:rsidRDefault="00FE1848" w:rsidP="00E96993">
      <w:pPr>
        <w:pStyle w:val="4"/>
        <w:rPr>
          <w:kern w:val="0"/>
        </w:rPr>
      </w:pPr>
      <w:r>
        <w:rPr>
          <w:rFonts w:hint="eastAsia"/>
          <w:lang w:eastAsia="zh-HK"/>
        </w:rPr>
        <w:t>現金流量：</w:t>
      </w:r>
    </w:p>
    <w:p w:rsidR="00FE1848" w:rsidRDefault="00FE1848" w:rsidP="00E96993">
      <w:pPr>
        <w:pStyle w:val="4"/>
        <w:numPr>
          <w:ilvl w:val="0"/>
          <w:numId w:val="0"/>
        </w:numPr>
        <w:ind w:left="1750" w:firstLineChars="189" w:firstLine="605"/>
        <w:rPr>
          <w:kern w:val="0"/>
        </w:rPr>
      </w:pPr>
      <w:r>
        <w:rPr>
          <w:rFonts w:hint="eastAsia"/>
          <w:lang w:eastAsia="zh-HK"/>
        </w:rPr>
        <w:t>依據預估之現金流量表，前3年之稅後計</w:t>
      </w:r>
      <w:r>
        <w:rPr>
          <w:rFonts w:hint="eastAsia"/>
        </w:rPr>
        <w:t>畫</w:t>
      </w:r>
      <w:r>
        <w:rPr>
          <w:rFonts w:hint="eastAsia"/>
          <w:lang w:eastAsia="zh-HK"/>
        </w:rPr>
        <w:t>現金流量均為淨流出狀態，至第4年開始出現</w:t>
      </w:r>
      <w:r>
        <w:rPr>
          <w:rFonts w:hint="eastAsia"/>
        </w:rPr>
        <w:t>0.45億</w:t>
      </w:r>
      <w:r>
        <w:rPr>
          <w:rFonts w:hint="eastAsia"/>
          <w:lang w:eastAsia="zh-HK"/>
        </w:rPr>
        <w:t>元之淨流入；至第5年開始營業活動亦開始產生</w:t>
      </w:r>
      <w:r>
        <w:rPr>
          <w:rFonts w:hint="eastAsia"/>
        </w:rPr>
        <w:t>0.</w:t>
      </w:r>
      <w:r>
        <w:rPr>
          <w:rFonts w:hint="eastAsia"/>
          <w:lang w:eastAsia="zh-HK"/>
        </w:rPr>
        <w:t>1</w:t>
      </w:r>
      <w:r>
        <w:rPr>
          <w:rFonts w:hint="eastAsia"/>
        </w:rPr>
        <w:t>8億</w:t>
      </w:r>
      <w:r>
        <w:rPr>
          <w:rFonts w:hint="eastAsia"/>
          <w:lang w:eastAsia="zh-HK"/>
        </w:rPr>
        <w:t>元之淨現金流入。</w:t>
      </w:r>
    </w:p>
    <w:p w:rsidR="00FE1848" w:rsidRDefault="00FE1848" w:rsidP="00E96993">
      <w:pPr>
        <w:pStyle w:val="4"/>
        <w:rPr>
          <w:kern w:val="0"/>
        </w:rPr>
      </w:pPr>
      <w:r w:rsidRPr="00131218">
        <w:rPr>
          <w:rFonts w:hint="eastAsia"/>
          <w:kern w:val="0"/>
        </w:rPr>
        <w:t>投資效益分析</w:t>
      </w:r>
    </w:p>
    <w:p w:rsidR="00FE1848" w:rsidRDefault="00FE1848" w:rsidP="00E96993">
      <w:pPr>
        <w:pStyle w:val="4"/>
        <w:numPr>
          <w:ilvl w:val="0"/>
          <w:numId w:val="0"/>
        </w:numPr>
        <w:ind w:left="1750" w:firstLineChars="189" w:firstLine="605"/>
        <w:rPr>
          <w:kern w:val="0"/>
        </w:rPr>
      </w:pPr>
      <w:r w:rsidRPr="00131218">
        <w:rPr>
          <w:rFonts w:hint="eastAsia"/>
          <w:kern w:val="0"/>
        </w:rPr>
        <w:t>預估本案計畫淨現值及股權淨現值皆為正數，顯示無論從計畫觀點或股權觀點來看，本案財務計畫皆屬可行；以內部報酬率法評估財務效益，本案稅前折現率（</w:t>
      </w:r>
      <w:r w:rsidRPr="00131218">
        <w:rPr>
          <w:kern w:val="0"/>
        </w:rPr>
        <w:t>WACC</w:t>
      </w:r>
      <w:r w:rsidRPr="00131218">
        <w:rPr>
          <w:rFonts w:hint="eastAsia"/>
          <w:kern w:val="0"/>
        </w:rPr>
        <w:t>）為</w:t>
      </w:r>
      <w:r w:rsidRPr="00131218">
        <w:rPr>
          <w:kern w:val="0"/>
        </w:rPr>
        <w:t>4.03%</w:t>
      </w:r>
      <w:r w:rsidRPr="00131218">
        <w:rPr>
          <w:rFonts w:hint="eastAsia"/>
          <w:kern w:val="0"/>
        </w:rPr>
        <w:t>、股權內部要求報酬率為</w:t>
      </w:r>
      <w:r w:rsidRPr="00131218">
        <w:rPr>
          <w:kern w:val="0"/>
        </w:rPr>
        <w:t>5.0%</w:t>
      </w:r>
      <w:r w:rsidRPr="00131218">
        <w:rPr>
          <w:rFonts w:hint="eastAsia"/>
          <w:kern w:val="0"/>
        </w:rPr>
        <w:t>，各項財務效益指標如下表所示。經財務試算結果，本案各項財務效益指標如表</w:t>
      </w:r>
      <w:r w:rsidR="001C6802">
        <w:rPr>
          <w:rFonts w:hint="eastAsia"/>
          <w:kern w:val="0"/>
        </w:rPr>
        <w:t>A</w:t>
      </w:r>
      <w:r>
        <w:rPr>
          <w:rFonts w:hint="eastAsia"/>
          <w:kern w:val="0"/>
        </w:rPr>
        <w:t>2</w:t>
      </w:r>
      <w:r w:rsidRPr="00131218">
        <w:rPr>
          <w:rFonts w:hint="eastAsia"/>
          <w:kern w:val="0"/>
        </w:rPr>
        <w:t>。</w:t>
      </w:r>
    </w:p>
    <w:p w:rsidR="00FE1848" w:rsidRDefault="00FE1848" w:rsidP="00FE1848">
      <w:pPr>
        <w:pStyle w:val="4"/>
        <w:numPr>
          <w:ilvl w:val="0"/>
          <w:numId w:val="0"/>
        </w:numPr>
        <w:ind w:left="1741" w:firstLineChars="196" w:firstLine="627"/>
        <w:rPr>
          <w:kern w:val="0"/>
        </w:rPr>
      </w:pPr>
    </w:p>
    <w:p w:rsidR="00FE1848" w:rsidRPr="007E513C" w:rsidRDefault="00FE1848" w:rsidP="007E513C">
      <w:pPr>
        <w:pStyle w:val="4"/>
        <w:numPr>
          <w:ilvl w:val="0"/>
          <w:numId w:val="0"/>
        </w:numPr>
        <w:spacing w:afterLines="25" w:after="114"/>
        <w:ind w:rightChars="-25" w:right="-80"/>
        <w:jc w:val="center"/>
        <w:rPr>
          <w:b/>
          <w:kern w:val="0"/>
          <w:sz w:val="28"/>
          <w:szCs w:val="28"/>
        </w:rPr>
      </w:pPr>
      <w:r w:rsidRPr="00987F7D">
        <w:rPr>
          <w:rFonts w:hint="eastAsia"/>
          <w:b/>
          <w:kern w:val="0"/>
          <w:sz w:val="28"/>
          <w:szCs w:val="28"/>
        </w:rPr>
        <w:t>表</w:t>
      </w:r>
      <w:r w:rsidR="001C6802">
        <w:rPr>
          <w:rFonts w:hint="eastAsia"/>
          <w:b/>
          <w:kern w:val="0"/>
          <w:sz w:val="28"/>
          <w:szCs w:val="28"/>
        </w:rPr>
        <w:t>A</w:t>
      </w:r>
      <w:r w:rsidRPr="00383177">
        <w:rPr>
          <w:rFonts w:hint="eastAsia"/>
          <w:b/>
          <w:kern w:val="0"/>
          <w:sz w:val="28"/>
          <w:szCs w:val="28"/>
        </w:rPr>
        <w:t>2、</w:t>
      </w:r>
      <w:r w:rsidR="007E513C" w:rsidRPr="007E513C">
        <w:rPr>
          <w:rFonts w:hAnsi="標楷體" w:hint="eastAsia"/>
          <w:b/>
          <w:sz w:val="28"/>
          <w:szCs w:val="28"/>
        </w:rPr>
        <w:t>「</w:t>
      </w:r>
      <w:r w:rsidR="007E513C" w:rsidRPr="007E513C">
        <w:rPr>
          <w:rFonts w:hint="eastAsia"/>
          <w:b/>
          <w:sz w:val="28"/>
          <w:szCs w:val="28"/>
        </w:rPr>
        <w:t>內科支援設施BOT案</w:t>
      </w:r>
      <w:r w:rsidR="007E513C" w:rsidRPr="007E513C">
        <w:rPr>
          <w:rFonts w:hAnsi="標楷體" w:hint="eastAsia"/>
          <w:b/>
          <w:sz w:val="28"/>
          <w:szCs w:val="28"/>
        </w:rPr>
        <w:t>」</w:t>
      </w:r>
      <w:r w:rsidRPr="00383177">
        <w:rPr>
          <w:rFonts w:hint="eastAsia"/>
          <w:b/>
          <w:kern w:val="0"/>
          <w:sz w:val="28"/>
          <w:szCs w:val="28"/>
        </w:rPr>
        <w:t>財務效益指標</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2976"/>
        <w:gridCol w:w="2148"/>
      </w:tblGrid>
      <w:tr w:rsidR="00FE1848" w:rsidRPr="00F31E84" w:rsidTr="007E513C">
        <w:tc>
          <w:tcPr>
            <w:tcW w:w="3828" w:type="dxa"/>
            <w:tcBorders>
              <w:tl2br w:val="single" w:sz="4" w:space="0" w:color="auto"/>
            </w:tcBorders>
          </w:tcPr>
          <w:p w:rsidR="00FE1848" w:rsidRPr="00F31E84" w:rsidRDefault="00FE1848" w:rsidP="00BD146A">
            <w:pPr>
              <w:pStyle w:val="4"/>
              <w:numPr>
                <w:ilvl w:val="0"/>
                <w:numId w:val="0"/>
              </w:numPr>
              <w:jc w:val="right"/>
              <w:rPr>
                <w:rFonts w:hAnsi="標楷體"/>
                <w:kern w:val="0"/>
                <w:sz w:val="24"/>
                <w:szCs w:val="24"/>
              </w:rPr>
            </w:pPr>
            <w:r w:rsidRPr="00F31E84">
              <w:rPr>
                <w:rFonts w:hAnsi="標楷體" w:hint="eastAsia"/>
                <w:kern w:val="0"/>
                <w:sz w:val="24"/>
                <w:szCs w:val="24"/>
                <w:lang w:eastAsia="zh-HK"/>
              </w:rPr>
              <w:t>項目</w:t>
            </w:r>
          </w:p>
          <w:p w:rsidR="00FE1848" w:rsidRPr="00F31E84" w:rsidRDefault="00FE1848" w:rsidP="00BD146A">
            <w:pPr>
              <w:pStyle w:val="4"/>
              <w:numPr>
                <w:ilvl w:val="0"/>
                <w:numId w:val="0"/>
              </w:numPr>
              <w:rPr>
                <w:rFonts w:hAnsi="標楷體"/>
                <w:kern w:val="0"/>
                <w:sz w:val="24"/>
                <w:szCs w:val="24"/>
              </w:rPr>
            </w:pPr>
            <w:r w:rsidRPr="00F31E84">
              <w:rPr>
                <w:rFonts w:hint="eastAsia"/>
                <w:kern w:val="0"/>
                <w:sz w:val="24"/>
                <w:szCs w:val="24"/>
              </w:rPr>
              <w:t>財務效益指標</w:t>
            </w:r>
          </w:p>
        </w:tc>
        <w:tc>
          <w:tcPr>
            <w:tcW w:w="2976" w:type="dxa"/>
            <w:vAlign w:val="center"/>
          </w:tcPr>
          <w:p w:rsidR="00FE1848" w:rsidRPr="00F31E84" w:rsidRDefault="00FE1848" w:rsidP="00BD146A">
            <w:pPr>
              <w:pStyle w:val="4"/>
              <w:numPr>
                <w:ilvl w:val="0"/>
                <w:numId w:val="0"/>
              </w:numPr>
              <w:jc w:val="center"/>
              <w:rPr>
                <w:rFonts w:hAnsi="標楷體"/>
                <w:kern w:val="0"/>
                <w:sz w:val="28"/>
                <w:szCs w:val="28"/>
              </w:rPr>
            </w:pPr>
            <w:r w:rsidRPr="00F31E84">
              <w:rPr>
                <w:rFonts w:hAnsi="標楷體" w:cs="MicrosoftJhengHeiBold" w:hint="eastAsia"/>
                <w:b/>
                <w:bCs/>
                <w:kern w:val="0"/>
                <w:sz w:val="28"/>
                <w:szCs w:val="28"/>
              </w:rPr>
              <w:t>計畫</w:t>
            </w:r>
            <w:r w:rsidR="00316326">
              <w:rPr>
                <w:rFonts w:hAnsi="標楷體" w:cs="MicrosoftJhengHeiBold" w:hint="eastAsia"/>
                <w:b/>
                <w:bCs/>
                <w:kern w:val="0"/>
                <w:sz w:val="28"/>
                <w:szCs w:val="28"/>
              </w:rPr>
              <w:t>（</w:t>
            </w:r>
            <w:r w:rsidRPr="00F31E84">
              <w:rPr>
                <w:rFonts w:hAnsi="標楷體" w:cs="MicrosoftJhengHeiBold"/>
                <w:b/>
                <w:bCs/>
                <w:kern w:val="0"/>
                <w:sz w:val="28"/>
                <w:szCs w:val="28"/>
              </w:rPr>
              <w:t>Project</w:t>
            </w:r>
            <w:r w:rsidR="00316326">
              <w:rPr>
                <w:rFonts w:hAnsi="標楷體" w:cs="MicrosoftJhengHeiBold" w:hint="eastAsia"/>
                <w:b/>
                <w:bCs/>
                <w:kern w:val="0"/>
                <w:sz w:val="28"/>
                <w:szCs w:val="28"/>
              </w:rPr>
              <w:t>）</w:t>
            </w:r>
          </w:p>
        </w:tc>
        <w:tc>
          <w:tcPr>
            <w:tcW w:w="2148" w:type="dxa"/>
            <w:vAlign w:val="center"/>
          </w:tcPr>
          <w:p w:rsidR="00FE1848" w:rsidRPr="00F31E84" w:rsidRDefault="00FE1848" w:rsidP="00BD146A">
            <w:pPr>
              <w:pStyle w:val="4"/>
              <w:numPr>
                <w:ilvl w:val="0"/>
                <w:numId w:val="0"/>
              </w:numPr>
              <w:jc w:val="center"/>
              <w:rPr>
                <w:rFonts w:hAnsi="標楷體"/>
                <w:kern w:val="0"/>
                <w:sz w:val="28"/>
                <w:szCs w:val="28"/>
              </w:rPr>
            </w:pPr>
            <w:r w:rsidRPr="00F31E84">
              <w:rPr>
                <w:rFonts w:hAnsi="標楷體" w:cs="MicrosoftJhengHeiBold" w:hint="eastAsia"/>
                <w:b/>
                <w:bCs/>
                <w:kern w:val="0"/>
                <w:sz w:val="28"/>
                <w:szCs w:val="28"/>
              </w:rPr>
              <w:t>權益</w:t>
            </w:r>
            <w:r w:rsidR="00316326">
              <w:rPr>
                <w:rFonts w:hAnsi="標楷體" w:cs="MicrosoftJhengHeiBold" w:hint="eastAsia"/>
                <w:b/>
                <w:bCs/>
                <w:kern w:val="0"/>
                <w:sz w:val="28"/>
                <w:szCs w:val="28"/>
              </w:rPr>
              <w:t>（</w:t>
            </w:r>
            <w:r w:rsidRPr="00F31E84">
              <w:rPr>
                <w:rFonts w:hAnsi="標楷體" w:cs="MicrosoftJhengHeiBold"/>
                <w:b/>
                <w:bCs/>
                <w:kern w:val="0"/>
                <w:sz w:val="28"/>
                <w:szCs w:val="28"/>
              </w:rPr>
              <w:t>Equity</w:t>
            </w:r>
            <w:r w:rsidR="00316326">
              <w:rPr>
                <w:rFonts w:hAnsi="標楷體" w:cs="MicrosoftJhengHeiBold" w:hint="eastAsia"/>
                <w:b/>
                <w:bCs/>
                <w:kern w:val="0"/>
                <w:sz w:val="28"/>
                <w:szCs w:val="28"/>
              </w:rPr>
              <w:t>）</w:t>
            </w:r>
          </w:p>
        </w:tc>
      </w:tr>
      <w:tr w:rsidR="00FE1848" w:rsidRPr="00F31E84" w:rsidTr="007E513C">
        <w:tc>
          <w:tcPr>
            <w:tcW w:w="3828" w:type="dxa"/>
            <w:vAlign w:val="center"/>
          </w:tcPr>
          <w:p w:rsidR="00FE1848" w:rsidRPr="00F31E84" w:rsidRDefault="00FE1848" w:rsidP="00BD146A">
            <w:pPr>
              <w:pStyle w:val="4"/>
              <w:numPr>
                <w:ilvl w:val="0"/>
                <w:numId w:val="0"/>
              </w:numPr>
              <w:rPr>
                <w:rFonts w:hAnsi="標楷體"/>
                <w:kern w:val="0"/>
                <w:sz w:val="28"/>
                <w:szCs w:val="28"/>
              </w:rPr>
            </w:pPr>
            <w:r w:rsidRPr="00F31E84">
              <w:rPr>
                <w:rFonts w:hAnsi="標楷體" w:cs="MicrosoftJhengHeiRegular" w:hint="eastAsia"/>
                <w:kern w:val="0"/>
                <w:sz w:val="28"/>
                <w:szCs w:val="28"/>
              </w:rPr>
              <w:t>稅前淨現值</w:t>
            </w:r>
            <w:r w:rsidRPr="00F31E84">
              <w:rPr>
                <w:rFonts w:hAnsi="標楷體" w:cs="MicrosoftJhengHeiRegular"/>
                <w:kern w:val="0"/>
                <w:sz w:val="28"/>
                <w:szCs w:val="28"/>
              </w:rPr>
              <w:t xml:space="preserve">NPV </w:t>
            </w:r>
            <w:r w:rsidRPr="00F51809">
              <w:rPr>
                <w:rFonts w:hAnsi="標楷體" w:cs="MicrosoftJhengHeiRegular" w:hint="eastAsia"/>
                <w:kern w:val="0"/>
                <w:sz w:val="24"/>
                <w:szCs w:val="24"/>
              </w:rPr>
              <w:t>（</w:t>
            </w:r>
            <w:r w:rsidRPr="00F51809">
              <w:rPr>
                <w:rFonts w:hAnsi="標楷體" w:cs="MicrosoftJhengHeiRegular" w:hint="eastAsia"/>
                <w:kern w:val="0"/>
                <w:sz w:val="24"/>
                <w:szCs w:val="24"/>
                <w:lang w:eastAsia="zh-HK"/>
              </w:rPr>
              <w:t>億</w:t>
            </w:r>
            <w:r w:rsidRPr="00F51809">
              <w:rPr>
                <w:rFonts w:hAnsi="標楷體" w:cs="MicrosoftJhengHeiRegular" w:hint="eastAsia"/>
                <w:kern w:val="0"/>
                <w:sz w:val="24"/>
                <w:szCs w:val="24"/>
              </w:rPr>
              <w:t>元）</w:t>
            </w:r>
          </w:p>
        </w:tc>
        <w:tc>
          <w:tcPr>
            <w:tcW w:w="2976" w:type="dxa"/>
            <w:vAlign w:val="center"/>
          </w:tcPr>
          <w:p w:rsidR="00FE1848" w:rsidRPr="00F31E84" w:rsidRDefault="00FE1848" w:rsidP="00BD146A">
            <w:pPr>
              <w:pStyle w:val="4"/>
              <w:numPr>
                <w:ilvl w:val="0"/>
                <w:numId w:val="0"/>
              </w:numPr>
              <w:spacing w:beforeLines="25" w:before="114" w:afterLines="25" w:after="114"/>
              <w:jc w:val="center"/>
              <w:rPr>
                <w:rFonts w:hAnsi="標楷體"/>
                <w:kern w:val="0"/>
                <w:sz w:val="28"/>
                <w:szCs w:val="28"/>
              </w:rPr>
            </w:pPr>
            <w:r w:rsidRPr="00F31E84">
              <w:rPr>
                <w:rFonts w:hAnsi="標楷體" w:cs="MicrosoftJhengHeiRegular"/>
                <w:kern w:val="0"/>
                <w:sz w:val="28"/>
                <w:szCs w:val="28"/>
              </w:rPr>
              <w:t>5</w:t>
            </w:r>
            <w:r>
              <w:rPr>
                <w:rFonts w:hAnsi="標楷體" w:cs="MicrosoftJhengHeiRegular"/>
                <w:kern w:val="0"/>
                <w:sz w:val="28"/>
                <w:szCs w:val="28"/>
              </w:rPr>
              <w:t>.</w:t>
            </w:r>
            <w:r w:rsidRPr="00F31E84">
              <w:rPr>
                <w:rFonts w:hAnsi="標楷體" w:cs="MicrosoftJhengHeiRegular"/>
                <w:kern w:val="0"/>
                <w:sz w:val="28"/>
                <w:szCs w:val="28"/>
              </w:rPr>
              <w:t>09</w:t>
            </w:r>
          </w:p>
        </w:tc>
        <w:tc>
          <w:tcPr>
            <w:tcW w:w="2148" w:type="dxa"/>
            <w:vAlign w:val="center"/>
          </w:tcPr>
          <w:p w:rsidR="00FE1848" w:rsidRPr="00F31E84" w:rsidRDefault="00FE1848" w:rsidP="00BD146A">
            <w:pPr>
              <w:pStyle w:val="4"/>
              <w:numPr>
                <w:ilvl w:val="0"/>
                <w:numId w:val="0"/>
              </w:numPr>
              <w:jc w:val="center"/>
              <w:rPr>
                <w:rFonts w:hAnsi="標楷體"/>
                <w:kern w:val="0"/>
                <w:sz w:val="28"/>
                <w:szCs w:val="28"/>
              </w:rPr>
            </w:pPr>
            <w:r w:rsidRPr="00F51809">
              <w:rPr>
                <w:rFonts w:hAnsi="標楷體"/>
                <w:kern w:val="0"/>
                <w:sz w:val="28"/>
                <w:szCs w:val="28"/>
              </w:rPr>
              <w:t>0.02</w:t>
            </w:r>
          </w:p>
        </w:tc>
      </w:tr>
      <w:tr w:rsidR="00FE1848" w:rsidRPr="00F31E84" w:rsidTr="007E513C">
        <w:tc>
          <w:tcPr>
            <w:tcW w:w="3828" w:type="dxa"/>
            <w:vAlign w:val="center"/>
          </w:tcPr>
          <w:p w:rsidR="00FE1848" w:rsidRPr="00F31E84" w:rsidRDefault="00FE1848" w:rsidP="00BD146A">
            <w:pPr>
              <w:pStyle w:val="4"/>
              <w:numPr>
                <w:ilvl w:val="0"/>
                <w:numId w:val="0"/>
              </w:numPr>
              <w:rPr>
                <w:rFonts w:hAnsi="標楷體"/>
                <w:kern w:val="0"/>
                <w:sz w:val="28"/>
                <w:szCs w:val="28"/>
              </w:rPr>
            </w:pPr>
            <w:r w:rsidRPr="00F31E84">
              <w:rPr>
                <w:rFonts w:hAnsi="標楷體" w:cs="MicrosoftJhengHeiRegular" w:hint="eastAsia"/>
                <w:kern w:val="0"/>
                <w:sz w:val="28"/>
                <w:szCs w:val="28"/>
              </w:rPr>
              <w:t>稅後淨現值</w:t>
            </w:r>
            <w:r w:rsidRPr="00F31E84">
              <w:rPr>
                <w:rFonts w:hAnsi="標楷體" w:cs="MicrosoftJhengHeiRegular"/>
                <w:kern w:val="0"/>
                <w:sz w:val="28"/>
                <w:szCs w:val="28"/>
              </w:rPr>
              <w:t xml:space="preserve">NPV </w:t>
            </w:r>
            <w:r w:rsidRPr="00F51809">
              <w:rPr>
                <w:rFonts w:hAnsi="標楷體" w:cs="MicrosoftJhengHeiRegular" w:hint="eastAsia"/>
                <w:kern w:val="0"/>
                <w:sz w:val="24"/>
                <w:szCs w:val="24"/>
              </w:rPr>
              <w:t>（</w:t>
            </w:r>
            <w:r w:rsidRPr="00F51809">
              <w:rPr>
                <w:rFonts w:hAnsi="標楷體" w:cs="MicrosoftJhengHeiRegular" w:hint="eastAsia"/>
                <w:kern w:val="0"/>
                <w:sz w:val="24"/>
                <w:szCs w:val="24"/>
                <w:lang w:eastAsia="zh-HK"/>
              </w:rPr>
              <w:t>億</w:t>
            </w:r>
            <w:r w:rsidRPr="00F51809">
              <w:rPr>
                <w:rFonts w:hAnsi="標楷體" w:cs="MicrosoftJhengHeiRegular" w:hint="eastAsia"/>
                <w:kern w:val="0"/>
                <w:sz w:val="24"/>
                <w:szCs w:val="24"/>
              </w:rPr>
              <w:t>元）</w:t>
            </w:r>
            <w:r w:rsidRPr="00F31E84">
              <w:rPr>
                <w:rFonts w:hAnsi="標楷體" w:cs="MicrosoftJhengHeiRegular"/>
                <w:kern w:val="0"/>
                <w:sz w:val="28"/>
                <w:szCs w:val="28"/>
              </w:rPr>
              <w:t xml:space="preserve"> </w:t>
            </w:r>
          </w:p>
        </w:tc>
        <w:tc>
          <w:tcPr>
            <w:tcW w:w="2976" w:type="dxa"/>
            <w:vAlign w:val="center"/>
          </w:tcPr>
          <w:p w:rsidR="00FE1848" w:rsidRPr="00F31E84" w:rsidRDefault="00FE1848" w:rsidP="00BD146A">
            <w:pPr>
              <w:pStyle w:val="4"/>
              <w:numPr>
                <w:ilvl w:val="0"/>
                <w:numId w:val="0"/>
              </w:numPr>
              <w:spacing w:beforeLines="25" w:before="114" w:afterLines="25" w:after="114"/>
              <w:jc w:val="center"/>
              <w:rPr>
                <w:rFonts w:hAnsi="標楷體"/>
                <w:kern w:val="0"/>
                <w:sz w:val="28"/>
                <w:szCs w:val="28"/>
              </w:rPr>
            </w:pPr>
            <w:r w:rsidRPr="00F31E84">
              <w:rPr>
                <w:rFonts w:hAnsi="標楷體" w:cs="MicrosoftJhengHeiRegular"/>
                <w:kern w:val="0"/>
                <w:sz w:val="28"/>
                <w:szCs w:val="28"/>
              </w:rPr>
              <w:t>5</w:t>
            </w:r>
            <w:r>
              <w:rPr>
                <w:rFonts w:hAnsi="標楷體" w:cs="MicrosoftJhengHeiRegular"/>
                <w:kern w:val="0"/>
                <w:sz w:val="28"/>
                <w:szCs w:val="28"/>
              </w:rPr>
              <w:t>.</w:t>
            </w:r>
            <w:r w:rsidRPr="00F31E84">
              <w:rPr>
                <w:rFonts w:hAnsi="標楷體" w:cs="MicrosoftJhengHeiRegular"/>
                <w:kern w:val="0"/>
                <w:sz w:val="28"/>
                <w:szCs w:val="28"/>
              </w:rPr>
              <w:t>77</w:t>
            </w:r>
          </w:p>
        </w:tc>
        <w:tc>
          <w:tcPr>
            <w:tcW w:w="2148" w:type="dxa"/>
            <w:vAlign w:val="center"/>
          </w:tcPr>
          <w:p w:rsidR="00FE1848" w:rsidRPr="00F31E84" w:rsidRDefault="00FE1848" w:rsidP="00BD146A">
            <w:pPr>
              <w:pStyle w:val="4"/>
              <w:numPr>
                <w:ilvl w:val="0"/>
                <w:numId w:val="0"/>
              </w:numPr>
              <w:jc w:val="center"/>
              <w:rPr>
                <w:rFonts w:hAnsi="標楷體"/>
                <w:kern w:val="0"/>
                <w:sz w:val="28"/>
                <w:szCs w:val="28"/>
              </w:rPr>
            </w:pPr>
            <w:r w:rsidRPr="00F51809">
              <w:rPr>
                <w:rFonts w:hAnsi="標楷體"/>
                <w:kern w:val="0"/>
                <w:sz w:val="28"/>
                <w:szCs w:val="28"/>
              </w:rPr>
              <w:t>2.46</w:t>
            </w:r>
          </w:p>
        </w:tc>
      </w:tr>
      <w:tr w:rsidR="00FE1848" w:rsidRPr="00F31E84" w:rsidTr="007E513C">
        <w:tc>
          <w:tcPr>
            <w:tcW w:w="3828" w:type="dxa"/>
            <w:vAlign w:val="center"/>
          </w:tcPr>
          <w:p w:rsidR="00FE1848" w:rsidRPr="00F31E84" w:rsidRDefault="00FE1848" w:rsidP="00BD146A">
            <w:pPr>
              <w:pStyle w:val="4"/>
              <w:numPr>
                <w:ilvl w:val="0"/>
                <w:numId w:val="0"/>
              </w:numPr>
              <w:rPr>
                <w:rFonts w:hAnsi="標楷體"/>
                <w:kern w:val="0"/>
                <w:sz w:val="28"/>
                <w:szCs w:val="28"/>
              </w:rPr>
            </w:pPr>
            <w:r w:rsidRPr="00F31E84">
              <w:rPr>
                <w:rFonts w:hAnsi="標楷體" w:cs="MicrosoftJhengHeiRegular" w:hint="eastAsia"/>
                <w:kern w:val="0"/>
                <w:sz w:val="28"/>
                <w:szCs w:val="28"/>
              </w:rPr>
              <w:t>稅前內部報酬率</w:t>
            </w:r>
            <w:r w:rsidRPr="00F31E84">
              <w:rPr>
                <w:rFonts w:hAnsi="標楷體" w:cs="MicrosoftJhengHeiRegular"/>
                <w:kern w:val="0"/>
                <w:sz w:val="28"/>
                <w:szCs w:val="28"/>
              </w:rPr>
              <w:t>IRR</w:t>
            </w:r>
          </w:p>
        </w:tc>
        <w:tc>
          <w:tcPr>
            <w:tcW w:w="2976" w:type="dxa"/>
            <w:vAlign w:val="center"/>
          </w:tcPr>
          <w:p w:rsidR="00FE1848" w:rsidRPr="00F31E84" w:rsidRDefault="00FE1848" w:rsidP="00BD146A">
            <w:pPr>
              <w:pStyle w:val="4"/>
              <w:numPr>
                <w:ilvl w:val="0"/>
                <w:numId w:val="0"/>
              </w:numPr>
              <w:spacing w:beforeLines="25" w:before="114" w:afterLines="25" w:after="114"/>
              <w:jc w:val="center"/>
              <w:rPr>
                <w:rFonts w:hAnsi="標楷體"/>
                <w:kern w:val="0"/>
                <w:sz w:val="28"/>
                <w:szCs w:val="28"/>
              </w:rPr>
            </w:pPr>
            <w:r w:rsidRPr="00F31E84">
              <w:rPr>
                <w:rFonts w:hAnsi="標楷體" w:cs="MicrosoftJhengHeiRegular"/>
                <w:kern w:val="0"/>
                <w:sz w:val="28"/>
                <w:szCs w:val="28"/>
              </w:rPr>
              <w:t>4.55%</w:t>
            </w:r>
          </w:p>
        </w:tc>
        <w:tc>
          <w:tcPr>
            <w:tcW w:w="2148" w:type="dxa"/>
            <w:vAlign w:val="center"/>
          </w:tcPr>
          <w:p w:rsidR="00FE1848" w:rsidRPr="00F31E84" w:rsidRDefault="00FE1848" w:rsidP="00BD146A">
            <w:pPr>
              <w:pStyle w:val="4"/>
              <w:numPr>
                <w:ilvl w:val="0"/>
                <w:numId w:val="0"/>
              </w:numPr>
              <w:jc w:val="center"/>
              <w:rPr>
                <w:rFonts w:hAnsi="標楷體"/>
                <w:kern w:val="0"/>
                <w:sz w:val="28"/>
                <w:szCs w:val="28"/>
              </w:rPr>
            </w:pPr>
            <w:r w:rsidRPr="00F31E84">
              <w:rPr>
                <w:rFonts w:hAnsi="標楷體" w:cs="MicrosoftJhengHeiRegular"/>
                <w:kern w:val="0"/>
                <w:sz w:val="28"/>
                <w:szCs w:val="28"/>
              </w:rPr>
              <w:t>5.00%</w:t>
            </w:r>
          </w:p>
        </w:tc>
      </w:tr>
      <w:tr w:rsidR="00FE1848" w:rsidRPr="00F31E84" w:rsidTr="007E513C">
        <w:tc>
          <w:tcPr>
            <w:tcW w:w="3828" w:type="dxa"/>
            <w:vAlign w:val="center"/>
          </w:tcPr>
          <w:p w:rsidR="00FE1848" w:rsidRPr="00F31E84" w:rsidRDefault="00FE1848" w:rsidP="00BD146A">
            <w:pPr>
              <w:pStyle w:val="4"/>
              <w:numPr>
                <w:ilvl w:val="0"/>
                <w:numId w:val="0"/>
              </w:numPr>
              <w:rPr>
                <w:rFonts w:hAnsi="標楷體"/>
                <w:kern w:val="0"/>
                <w:sz w:val="28"/>
                <w:szCs w:val="28"/>
              </w:rPr>
            </w:pPr>
            <w:r w:rsidRPr="00F31E84">
              <w:rPr>
                <w:rFonts w:hAnsi="標楷體" w:cs="MicrosoftJhengHeiRegular" w:hint="eastAsia"/>
                <w:kern w:val="0"/>
                <w:sz w:val="28"/>
                <w:szCs w:val="28"/>
              </w:rPr>
              <w:lastRenderedPageBreak/>
              <w:t>稅後內部報酬率</w:t>
            </w:r>
            <w:r w:rsidRPr="00F31E84">
              <w:rPr>
                <w:rFonts w:hAnsi="標楷體" w:cs="MicrosoftJhengHeiRegular"/>
                <w:kern w:val="0"/>
                <w:sz w:val="28"/>
                <w:szCs w:val="28"/>
              </w:rPr>
              <w:t>IRR</w:t>
            </w:r>
          </w:p>
        </w:tc>
        <w:tc>
          <w:tcPr>
            <w:tcW w:w="2976" w:type="dxa"/>
            <w:vAlign w:val="center"/>
          </w:tcPr>
          <w:p w:rsidR="00FE1848" w:rsidRPr="00F31E84" w:rsidRDefault="00FE1848" w:rsidP="00BD146A">
            <w:pPr>
              <w:pStyle w:val="4"/>
              <w:numPr>
                <w:ilvl w:val="0"/>
                <w:numId w:val="0"/>
              </w:numPr>
              <w:spacing w:beforeLines="25" w:before="114" w:afterLines="25" w:after="114"/>
              <w:jc w:val="center"/>
              <w:rPr>
                <w:rFonts w:hAnsi="標楷體"/>
                <w:kern w:val="0"/>
                <w:sz w:val="28"/>
                <w:szCs w:val="28"/>
              </w:rPr>
            </w:pPr>
            <w:r w:rsidRPr="00F31E84">
              <w:rPr>
                <w:rFonts w:hAnsi="標楷體" w:cs="MicrosoftJhengHeiRegular"/>
                <w:kern w:val="0"/>
                <w:sz w:val="28"/>
                <w:szCs w:val="28"/>
              </w:rPr>
              <w:t>4.17%</w:t>
            </w:r>
          </w:p>
        </w:tc>
        <w:tc>
          <w:tcPr>
            <w:tcW w:w="2148" w:type="dxa"/>
            <w:vAlign w:val="center"/>
          </w:tcPr>
          <w:p w:rsidR="00FE1848" w:rsidRPr="00F31E84" w:rsidRDefault="00FE1848" w:rsidP="00BD146A">
            <w:pPr>
              <w:pStyle w:val="4"/>
              <w:numPr>
                <w:ilvl w:val="0"/>
                <w:numId w:val="0"/>
              </w:numPr>
              <w:jc w:val="center"/>
              <w:rPr>
                <w:rFonts w:hAnsi="標楷體"/>
                <w:kern w:val="0"/>
                <w:sz w:val="28"/>
                <w:szCs w:val="28"/>
              </w:rPr>
            </w:pPr>
            <w:r w:rsidRPr="00F31E84">
              <w:rPr>
                <w:rFonts w:hAnsi="標楷體" w:cs="MicrosoftJhengHeiRegular"/>
                <w:kern w:val="0"/>
                <w:sz w:val="28"/>
                <w:szCs w:val="28"/>
              </w:rPr>
              <w:t>4.52%</w:t>
            </w:r>
          </w:p>
        </w:tc>
      </w:tr>
      <w:tr w:rsidR="00FE1848" w:rsidRPr="00F31E84" w:rsidTr="007E513C">
        <w:tc>
          <w:tcPr>
            <w:tcW w:w="3828" w:type="dxa"/>
            <w:vAlign w:val="center"/>
          </w:tcPr>
          <w:p w:rsidR="007E513C" w:rsidRDefault="00FE1848" w:rsidP="00BD146A">
            <w:pPr>
              <w:pStyle w:val="4"/>
              <w:numPr>
                <w:ilvl w:val="0"/>
                <w:numId w:val="0"/>
              </w:numPr>
              <w:rPr>
                <w:rFonts w:hAnsi="標楷體" w:cs="MicrosoftJhengHeiRegular"/>
                <w:kern w:val="0"/>
                <w:sz w:val="28"/>
                <w:szCs w:val="28"/>
              </w:rPr>
            </w:pPr>
            <w:r w:rsidRPr="00F31E84">
              <w:rPr>
                <w:rFonts w:hAnsi="標楷體" w:cs="MicrosoftJhengHeiRegular" w:hint="eastAsia"/>
                <w:kern w:val="0"/>
                <w:sz w:val="28"/>
                <w:szCs w:val="28"/>
              </w:rPr>
              <w:t>稅後折現前還本年期</w:t>
            </w:r>
          </w:p>
          <w:p w:rsidR="00FE1848" w:rsidRPr="00F31E84" w:rsidRDefault="00FE1848" w:rsidP="00BD146A">
            <w:pPr>
              <w:pStyle w:val="4"/>
              <w:numPr>
                <w:ilvl w:val="0"/>
                <w:numId w:val="0"/>
              </w:numPr>
              <w:rPr>
                <w:rFonts w:hAnsi="標楷體"/>
                <w:kern w:val="0"/>
                <w:sz w:val="28"/>
                <w:szCs w:val="28"/>
              </w:rPr>
            </w:pPr>
            <w:r w:rsidRPr="00F31E84">
              <w:rPr>
                <w:rFonts w:hAnsi="標楷體" w:cs="MicrosoftJhengHeiRegular"/>
                <w:kern w:val="0"/>
                <w:sz w:val="28"/>
                <w:szCs w:val="28"/>
              </w:rPr>
              <w:t xml:space="preserve"> Pay-Back Period </w:t>
            </w:r>
          </w:p>
        </w:tc>
        <w:tc>
          <w:tcPr>
            <w:tcW w:w="2976" w:type="dxa"/>
            <w:vAlign w:val="center"/>
          </w:tcPr>
          <w:p w:rsidR="00FE1848" w:rsidRPr="00F31E84" w:rsidRDefault="00FE1848" w:rsidP="00BD146A">
            <w:pPr>
              <w:pStyle w:val="4"/>
              <w:numPr>
                <w:ilvl w:val="0"/>
                <w:numId w:val="0"/>
              </w:numPr>
              <w:spacing w:beforeLines="25" w:before="114" w:afterLines="25" w:after="114"/>
              <w:jc w:val="center"/>
              <w:rPr>
                <w:rFonts w:hAnsi="標楷體"/>
                <w:kern w:val="0"/>
                <w:sz w:val="28"/>
                <w:szCs w:val="28"/>
              </w:rPr>
            </w:pPr>
            <w:r w:rsidRPr="00F31E84">
              <w:rPr>
                <w:rFonts w:hAnsi="標楷體" w:cs="MicrosoftJhengHeiRegular"/>
                <w:kern w:val="0"/>
                <w:sz w:val="28"/>
                <w:szCs w:val="28"/>
              </w:rPr>
              <w:t>26</w:t>
            </w:r>
            <w:r w:rsidRPr="00F31E84">
              <w:rPr>
                <w:rFonts w:hAnsi="標楷體" w:cs="MicrosoftJhengHeiRegular" w:hint="eastAsia"/>
                <w:kern w:val="0"/>
                <w:sz w:val="28"/>
                <w:szCs w:val="28"/>
              </w:rPr>
              <w:t>年</w:t>
            </w:r>
          </w:p>
        </w:tc>
        <w:tc>
          <w:tcPr>
            <w:tcW w:w="2148" w:type="dxa"/>
            <w:vAlign w:val="center"/>
          </w:tcPr>
          <w:p w:rsidR="00FE1848" w:rsidRPr="00F31E84" w:rsidRDefault="00FE1848" w:rsidP="00BD146A">
            <w:pPr>
              <w:pStyle w:val="4"/>
              <w:numPr>
                <w:ilvl w:val="0"/>
                <w:numId w:val="0"/>
              </w:numPr>
              <w:jc w:val="center"/>
              <w:rPr>
                <w:rFonts w:hAnsi="標楷體"/>
                <w:kern w:val="0"/>
                <w:sz w:val="28"/>
                <w:szCs w:val="28"/>
              </w:rPr>
            </w:pPr>
            <w:r w:rsidRPr="00F31E84">
              <w:rPr>
                <w:rFonts w:hAnsi="標楷體" w:cs="MicrosoftJhengHeiRegular"/>
                <w:kern w:val="0"/>
                <w:sz w:val="28"/>
                <w:szCs w:val="28"/>
              </w:rPr>
              <w:t>29</w:t>
            </w:r>
            <w:r w:rsidRPr="00F31E84">
              <w:rPr>
                <w:rFonts w:hAnsi="標楷體" w:cs="MicrosoftJhengHeiRegular" w:hint="eastAsia"/>
                <w:kern w:val="0"/>
                <w:sz w:val="28"/>
                <w:szCs w:val="28"/>
              </w:rPr>
              <w:t>年</w:t>
            </w:r>
          </w:p>
        </w:tc>
      </w:tr>
      <w:tr w:rsidR="00FE1848" w:rsidRPr="00F31E84" w:rsidTr="007E513C">
        <w:tc>
          <w:tcPr>
            <w:tcW w:w="3828" w:type="dxa"/>
            <w:vAlign w:val="center"/>
          </w:tcPr>
          <w:p w:rsidR="007E513C" w:rsidRDefault="00FE1848" w:rsidP="00BD146A">
            <w:pPr>
              <w:pStyle w:val="4"/>
              <w:numPr>
                <w:ilvl w:val="0"/>
                <w:numId w:val="0"/>
              </w:numPr>
              <w:rPr>
                <w:rFonts w:hAnsi="標楷體" w:cs="MicrosoftJhengHeiRegular"/>
                <w:kern w:val="0"/>
                <w:sz w:val="28"/>
                <w:szCs w:val="28"/>
              </w:rPr>
            </w:pPr>
            <w:r w:rsidRPr="00F31E84">
              <w:rPr>
                <w:rFonts w:hAnsi="標楷體" w:cs="MicrosoftJhengHeiRegular" w:hint="eastAsia"/>
                <w:kern w:val="0"/>
                <w:sz w:val="28"/>
                <w:szCs w:val="28"/>
              </w:rPr>
              <w:t>稅後折現後還本年期</w:t>
            </w:r>
          </w:p>
          <w:p w:rsidR="00FE1848" w:rsidRPr="00F31E84" w:rsidRDefault="00FE1848" w:rsidP="00BD146A">
            <w:pPr>
              <w:pStyle w:val="4"/>
              <w:numPr>
                <w:ilvl w:val="0"/>
                <w:numId w:val="0"/>
              </w:numPr>
              <w:rPr>
                <w:rFonts w:hAnsi="標楷體"/>
                <w:kern w:val="0"/>
                <w:sz w:val="28"/>
                <w:szCs w:val="28"/>
              </w:rPr>
            </w:pPr>
            <w:r w:rsidRPr="00F31E84">
              <w:rPr>
                <w:rFonts w:hAnsi="標楷體" w:cs="MicrosoftJhengHeiRegular"/>
                <w:kern w:val="0"/>
                <w:sz w:val="28"/>
                <w:szCs w:val="28"/>
              </w:rPr>
              <w:t xml:space="preserve"> Pay-Back Period</w:t>
            </w:r>
            <w:r w:rsidRPr="00F31E84">
              <w:rPr>
                <w:rFonts w:hAnsi="標楷體" w:hint="eastAsia"/>
                <w:kern w:val="0"/>
                <w:sz w:val="28"/>
                <w:szCs w:val="28"/>
              </w:rPr>
              <w:t xml:space="preserve"> </w:t>
            </w:r>
          </w:p>
        </w:tc>
        <w:tc>
          <w:tcPr>
            <w:tcW w:w="2976" w:type="dxa"/>
            <w:vAlign w:val="center"/>
          </w:tcPr>
          <w:p w:rsidR="00FE1848" w:rsidRPr="00F31E84" w:rsidRDefault="00FE1848" w:rsidP="00BD146A">
            <w:pPr>
              <w:pStyle w:val="4"/>
              <w:numPr>
                <w:ilvl w:val="0"/>
                <w:numId w:val="0"/>
              </w:numPr>
              <w:spacing w:beforeLines="25" w:before="114" w:afterLines="25" w:after="114"/>
              <w:jc w:val="center"/>
              <w:rPr>
                <w:rFonts w:hAnsi="標楷體"/>
                <w:kern w:val="0"/>
                <w:sz w:val="28"/>
                <w:szCs w:val="28"/>
              </w:rPr>
            </w:pPr>
            <w:r w:rsidRPr="00F31E84">
              <w:rPr>
                <w:rFonts w:hAnsi="標楷體" w:cs="MicrosoftJhengHeiRegular"/>
                <w:kern w:val="0"/>
                <w:sz w:val="28"/>
                <w:szCs w:val="28"/>
              </w:rPr>
              <w:t>43</w:t>
            </w:r>
            <w:r w:rsidRPr="00F31E84">
              <w:rPr>
                <w:rFonts w:hAnsi="標楷體" w:cs="MicrosoftJhengHeiRegular" w:hint="eastAsia"/>
                <w:kern w:val="0"/>
                <w:sz w:val="28"/>
                <w:szCs w:val="28"/>
              </w:rPr>
              <w:t>年</w:t>
            </w:r>
          </w:p>
        </w:tc>
        <w:tc>
          <w:tcPr>
            <w:tcW w:w="2148" w:type="dxa"/>
            <w:vAlign w:val="center"/>
          </w:tcPr>
          <w:p w:rsidR="00FE1848" w:rsidRPr="00F31E84" w:rsidRDefault="00FE1848" w:rsidP="00BD146A">
            <w:pPr>
              <w:pStyle w:val="4"/>
              <w:numPr>
                <w:ilvl w:val="0"/>
                <w:numId w:val="0"/>
              </w:numPr>
              <w:jc w:val="center"/>
              <w:rPr>
                <w:rFonts w:hAnsi="標楷體"/>
                <w:kern w:val="0"/>
                <w:sz w:val="28"/>
                <w:szCs w:val="28"/>
              </w:rPr>
            </w:pPr>
            <w:r w:rsidRPr="00F31E84">
              <w:rPr>
                <w:rFonts w:hAnsi="標楷體" w:cs="MicrosoftJhengHeiRegular"/>
                <w:kern w:val="0"/>
                <w:sz w:val="28"/>
                <w:szCs w:val="28"/>
              </w:rPr>
              <w:t>46</w:t>
            </w:r>
            <w:r w:rsidRPr="00F31E84">
              <w:rPr>
                <w:rFonts w:hAnsi="標楷體" w:cs="MicrosoftJhengHeiRegular" w:hint="eastAsia"/>
                <w:kern w:val="0"/>
                <w:sz w:val="28"/>
                <w:szCs w:val="28"/>
              </w:rPr>
              <w:t>年</w:t>
            </w:r>
          </w:p>
        </w:tc>
      </w:tr>
    </w:tbl>
    <w:p w:rsidR="00FE1848" w:rsidRDefault="00FE1848" w:rsidP="007E513C">
      <w:pPr>
        <w:pStyle w:val="4"/>
        <w:numPr>
          <w:ilvl w:val="0"/>
          <w:numId w:val="0"/>
        </w:numPr>
        <w:rPr>
          <w:kern w:val="0"/>
        </w:rPr>
      </w:pPr>
      <w:r w:rsidRPr="00131218">
        <w:rPr>
          <w:rFonts w:hAnsi="標楷體" w:cs="MicrosoftJhengHeiRegular" w:hint="eastAsia"/>
          <w:kern w:val="0"/>
          <w:sz w:val="24"/>
          <w:szCs w:val="24"/>
          <w:lang w:eastAsia="zh-HK"/>
        </w:rPr>
        <w:t>資料來源：</w:t>
      </w:r>
      <w:r>
        <w:rPr>
          <w:rFonts w:hAnsi="標楷體" w:cs="MicrosoftJhengHeiRegular" w:hint="eastAsia"/>
          <w:kern w:val="0"/>
          <w:sz w:val="24"/>
          <w:szCs w:val="24"/>
          <w:lang w:eastAsia="zh-HK"/>
        </w:rPr>
        <w:t>臺北市政府。</w:t>
      </w:r>
    </w:p>
    <w:p w:rsidR="00FE1848" w:rsidRPr="00FF3496" w:rsidRDefault="00FE1848" w:rsidP="00FE1848">
      <w:pPr>
        <w:pStyle w:val="4"/>
        <w:numPr>
          <w:ilvl w:val="0"/>
          <w:numId w:val="0"/>
        </w:numPr>
      </w:pPr>
    </w:p>
    <w:p w:rsidR="00FE1848" w:rsidRDefault="00FE1848" w:rsidP="00FE1848">
      <w:pPr>
        <w:pStyle w:val="3"/>
        <w:kinsoku w:val="0"/>
        <w:overflowPunct/>
        <w:autoSpaceDE/>
        <w:autoSpaceDN/>
        <w:ind w:left="1360" w:hanging="680"/>
        <w:rPr>
          <w:rFonts w:ascii="Times New Roman"/>
          <w:color w:val="000000"/>
        </w:rPr>
      </w:pPr>
      <w:r w:rsidRPr="00A6082E">
        <w:rPr>
          <w:rFonts w:hAnsi="標楷體" w:hint="eastAsia"/>
          <w:color w:val="000000"/>
          <w:szCs w:val="32"/>
        </w:rPr>
        <w:t>依據</w:t>
      </w:r>
      <w:r w:rsidRPr="0070246D">
        <w:rPr>
          <w:rFonts w:hint="eastAsia"/>
        </w:rPr>
        <w:t>臺北市政府</w:t>
      </w:r>
      <w:r>
        <w:rPr>
          <w:rFonts w:hint="eastAsia"/>
        </w:rPr>
        <w:t>之說明，</w:t>
      </w:r>
      <w:r w:rsidRPr="00A6082E">
        <w:rPr>
          <w:rFonts w:hAnsi="標楷體" w:hint="eastAsia"/>
          <w:szCs w:val="32"/>
        </w:rPr>
        <w:t>本案</w:t>
      </w:r>
      <w:r w:rsidRPr="00A6082E">
        <w:rPr>
          <w:rFonts w:hAnsi="標楷體" w:hint="eastAsia"/>
          <w:szCs w:val="32"/>
          <w:lang w:eastAsia="zh-HK"/>
        </w:rPr>
        <w:t>係由</w:t>
      </w:r>
      <w:r w:rsidRPr="00A6082E">
        <w:rPr>
          <w:rFonts w:hAnsi="標楷體" w:hint="eastAsia"/>
          <w:szCs w:val="32"/>
        </w:rPr>
        <w:t>民間興建，</w:t>
      </w:r>
      <w:r w:rsidRPr="00A6082E">
        <w:rPr>
          <w:rFonts w:hint="eastAsia"/>
          <w:color w:val="000000"/>
          <w:szCs w:val="32"/>
        </w:rPr>
        <w:t>臺北市政</w:t>
      </w:r>
      <w:r w:rsidRPr="00A6082E">
        <w:rPr>
          <w:rFonts w:hAnsi="標楷體" w:hint="eastAsia"/>
          <w:szCs w:val="32"/>
        </w:rPr>
        <w:t>府得</w:t>
      </w:r>
      <w:r w:rsidR="00316326">
        <w:rPr>
          <w:rFonts w:hAnsi="標楷體" w:hint="eastAsia"/>
          <w:szCs w:val="32"/>
        </w:rPr>
        <w:t>以</w:t>
      </w:r>
      <w:r w:rsidRPr="00A6082E">
        <w:rPr>
          <w:rFonts w:hAnsi="標楷體" w:hint="eastAsia"/>
          <w:szCs w:val="32"/>
        </w:rPr>
        <w:t>節省48億</w:t>
      </w:r>
      <w:r w:rsidRPr="00A6082E">
        <w:rPr>
          <w:rFonts w:hAnsi="標楷體" w:hint="eastAsia"/>
          <w:szCs w:val="32"/>
          <w:lang w:eastAsia="zh-HK"/>
        </w:rPr>
        <w:t>元之</w:t>
      </w:r>
      <w:r w:rsidRPr="00A6082E">
        <w:rPr>
          <w:rFonts w:hAnsi="標楷體" w:hint="eastAsia"/>
          <w:szCs w:val="32"/>
        </w:rPr>
        <w:t>興建支出，於營運期時由民間投資人負責營運管理，該府亦得節省營運管理之相關成本(如人事、水電、清潔、保全、修繕、育成業務企劃等…)，</w:t>
      </w:r>
      <w:r w:rsidRPr="00A6082E">
        <w:rPr>
          <w:rFonts w:hAnsi="標楷體"/>
          <w:szCs w:val="32"/>
        </w:rPr>
        <w:t>民間投資人於契約期間</w:t>
      </w:r>
      <w:r w:rsidRPr="00A6082E">
        <w:rPr>
          <w:rFonts w:hAnsi="標楷體" w:hint="eastAsia"/>
          <w:szCs w:val="32"/>
        </w:rPr>
        <w:t>尚需</w:t>
      </w:r>
      <w:r w:rsidRPr="00A6082E">
        <w:rPr>
          <w:rFonts w:hAnsi="標楷體"/>
          <w:szCs w:val="32"/>
        </w:rPr>
        <w:t>投入相當</w:t>
      </w:r>
      <w:r w:rsidRPr="00A6082E">
        <w:rPr>
          <w:rFonts w:hAnsi="標楷體" w:hint="eastAsia"/>
          <w:szCs w:val="32"/>
        </w:rPr>
        <w:t>之場地維運</w:t>
      </w:r>
      <w:r w:rsidRPr="00A6082E">
        <w:rPr>
          <w:rFonts w:hAnsi="標楷體"/>
          <w:szCs w:val="32"/>
        </w:rPr>
        <w:t>、育成輔導</w:t>
      </w:r>
      <w:r w:rsidRPr="00A6082E">
        <w:rPr>
          <w:rFonts w:hAnsi="標楷體" w:hint="eastAsia"/>
          <w:szCs w:val="32"/>
        </w:rPr>
        <w:t>之</w:t>
      </w:r>
      <w:r w:rsidRPr="00A6082E">
        <w:rPr>
          <w:rFonts w:hAnsi="標楷體"/>
          <w:szCs w:val="32"/>
        </w:rPr>
        <w:t>專業人力與資源</w:t>
      </w:r>
      <w:r w:rsidRPr="00A6082E">
        <w:rPr>
          <w:rFonts w:hAnsi="標楷體" w:hint="eastAsia"/>
          <w:szCs w:val="32"/>
        </w:rPr>
        <w:t>等</w:t>
      </w:r>
      <w:r w:rsidRPr="00A6082E">
        <w:rPr>
          <w:rFonts w:hAnsi="標楷體"/>
          <w:szCs w:val="32"/>
        </w:rPr>
        <w:t>營運管理</w:t>
      </w:r>
      <w:r w:rsidRPr="00A6082E">
        <w:rPr>
          <w:rFonts w:hAnsi="標楷體" w:hint="eastAsia"/>
          <w:szCs w:val="32"/>
        </w:rPr>
        <w:t>費用。</w:t>
      </w:r>
      <w:r w:rsidRPr="00A6082E">
        <w:rPr>
          <w:rFonts w:hAnsi="標楷體" w:hint="eastAsia"/>
          <w:szCs w:val="32"/>
          <w:lang w:eastAsia="zh-HK"/>
        </w:rPr>
        <w:t>本案</w:t>
      </w:r>
      <w:r w:rsidRPr="00A6082E">
        <w:rPr>
          <w:rFonts w:hAnsi="標楷體" w:hint="eastAsia"/>
          <w:szCs w:val="32"/>
        </w:rPr>
        <w:t>契約期間預估可增加</w:t>
      </w:r>
      <w:r w:rsidRPr="00A6082E">
        <w:rPr>
          <w:rFonts w:hint="eastAsia"/>
          <w:color w:val="000000"/>
          <w:szCs w:val="32"/>
        </w:rPr>
        <w:t>臺北市政</w:t>
      </w:r>
      <w:r w:rsidRPr="00A6082E">
        <w:rPr>
          <w:rFonts w:hAnsi="標楷體" w:hint="eastAsia"/>
          <w:szCs w:val="32"/>
        </w:rPr>
        <w:t>府財政收入86.71億元</w:t>
      </w:r>
      <w:r>
        <w:rPr>
          <w:rStyle w:val="aff1"/>
          <w:rFonts w:hAnsi="標楷體"/>
          <w:szCs w:val="32"/>
        </w:rPr>
        <w:footnoteReference w:id="18"/>
      </w:r>
      <w:r w:rsidRPr="00A6082E">
        <w:rPr>
          <w:rFonts w:hAnsi="標楷體" w:hint="eastAsia"/>
          <w:szCs w:val="32"/>
        </w:rPr>
        <w:t>，包括：</w:t>
      </w:r>
      <w:r w:rsidRPr="00606E0F">
        <w:t>土地租</w:t>
      </w:r>
      <w:r w:rsidRPr="00A6082E">
        <w:rPr>
          <w:rFonts w:hAnsi="標楷體"/>
          <w:szCs w:val="32"/>
        </w:rPr>
        <w:t>金</w:t>
      </w:r>
      <w:r w:rsidRPr="00A6082E">
        <w:rPr>
          <w:rFonts w:hAnsi="標楷體" w:hint="eastAsia"/>
          <w:szCs w:val="32"/>
        </w:rPr>
        <w:t>（</w:t>
      </w:r>
      <w:r w:rsidRPr="00A6082E">
        <w:rPr>
          <w:rFonts w:hAnsi="標楷體"/>
          <w:szCs w:val="32"/>
        </w:rPr>
        <w:t>興建期3年</w:t>
      </w:r>
      <w:r w:rsidRPr="00A6082E">
        <w:rPr>
          <w:rFonts w:hAnsi="標楷體" w:hint="eastAsia"/>
          <w:szCs w:val="32"/>
        </w:rPr>
        <w:t>加上</w:t>
      </w:r>
      <w:r w:rsidRPr="00A6082E">
        <w:rPr>
          <w:rFonts w:hAnsi="標楷體"/>
          <w:szCs w:val="32"/>
        </w:rPr>
        <w:t>營運期47年</w:t>
      </w:r>
      <w:r w:rsidRPr="00A6082E">
        <w:rPr>
          <w:rFonts w:hAnsi="標楷體" w:hint="eastAsia"/>
          <w:szCs w:val="32"/>
        </w:rPr>
        <w:t>）</w:t>
      </w:r>
      <w:r w:rsidRPr="00A6082E">
        <w:rPr>
          <w:rFonts w:hAnsi="標楷體"/>
          <w:szCs w:val="32"/>
        </w:rPr>
        <w:t>44.36億元</w:t>
      </w:r>
      <w:r w:rsidRPr="00A6082E">
        <w:rPr>
          <w:rFonts w:ascii="新細明體" w:eastAsia="新細明體" w:hAnsi="新細明體" w:hint="eastAsia"/>
          <w:szCs w:val="32"/>
        </w:rPr>
        <w:t>、</w:t>
      </w:r>
      <w:r w:rsidRPr="00A6082E">
        <w:rPr>
          <w:rFonts w:hAnsi="標楷體"/>
          <w:szCs w:val="32"/>
        </w:rPr>
        <w:t>開發權利金1.05億元</w:t>
      </w:r>
      <w:r w:rsidRPr="00A6082E">
        <w:rPr>
          <w:rFonts w:ascii="新細明體" w:eastAsia="新細明體" w:hAnsi="新細明體" w:hint="eastAsia"/>
          <w:szCs w:val="32"/>
        </w:rPr>
        <w:t>、</w:t>
      </w:r>
      <w:r w:rsidRPr="00A6082E">
        <w:rPr>
          <w:rFonts w:hAnsi="標楷體"/>
          <w:szCs w:val="32"/>
        </w:rPr>
        <w:t>經營權利金</w:t>
      </w:r>
      <w:r w:rsidRPr="007D6C0F">
        <w:t>8.38億元</w:t>
      </w:r>
      <w:r w:rsidRPr="00A6082E">
        <w:rPr>
          <w:rFonts w:ascii="新細明體" w:eastAsia="新細明體" w:hAnsi="新細明體" w:hint="eastAsia"/>
        </w:rPr>
        <w:t>、</w:t>
      </w:r>
      <w:r w:rsidRPr="00A6082E">
        <w:rPr>
          <w:rFonts w:hAnsi="標楷體"/>
          <w:szCs w:val="32"/>
        </w:rPr>
        <w:t>房屋</w:t>
      </w:r>
      <w:r w:rsidRPr="007D6C0F">
        <w:t>稅</w:t>
      </w:r>
      <w:r w:rsidRPr="007D6C0F">
        <w:rPr>
          <w:rFonts w:hint="eastAsia"/>
        </w:rPr>
        <w:t>32.9</w:t>
      </w:r>
      <w:r>
        <w:rPr>
          <w:rFonts w:hint="eastAsia"/>
        </w:rPr>
        <w:t>2</w:t>
      </w:r>
      <w:r w:rsidRPr="007D6C0F">
        <w:rPr>
          <w:rFonts w:hint="eastAsia"/>
        </w:rPr>
        <w:t>億元</w:t>
      </w:r>
      <w:r>
        <w:rPr>
          <w:rFonts w:hint="eastAsia"/>
        </w:rPr>
        <w:t>。</w:t>
      </w:r>
      <w:r>
        <w:rPr>
          <w:rFonts w:hint="eastAsia"/>
          <w:lang w:eastAsia="zh-HK"/>
        </w:rPr>
        <w:t>至於</w:t>
      </w:r>
      <w:r w:rsidRPr="00A6082E">
        <w:rPr>
          <w:rFonts w:ascii="Times New Roman" w:hint="eastAsia"/>
        </w:rPr>
        <w:t>權利金</w:t>
      </w:r>
      <w:r>
        <w:rPr>
          <w:rFonts w:ascii="Times New Roman" w:hint="eastAsia"/>
          <w:lang w:eastAsia="zh-HK"/>
        </w:rPr>
        <w:t>部分</w:t>
      </w:r>
      <w:r>
        <w:rPr>
          <w:rFonts w:hint="eastAsia"/>
        </w:rPr>
        <w:t>，</w:t>
      </w:r>
      <w:r w:rsidRPr="00A6082E">
        <w:rPr>
          <w:rFonts w:ascii="Times New Roman" w:hint="eastAsia"/>
        </w:rPr>
        <w:t>本案權利金係依據</w:t>
      </w:r>
      <w:r w:rsidR="00316326">
        <w:rPr>
          <w:rFonts w:ascii="新細明體" w:eastAsia="新細明體" w:hAnsi="新細明體" w:hint="eastAsia"/>
        </w:rPr>
        <w:t>「</w:t>
      </w:r>
      <w:r w:rsidRPr="00A6082E">
        <w:rPr>
          <w:rFonts w:ascii="Times New Roman"/>
        </w:rPr>
        <w:t>促進民間參與公共建設案件權利金設定及調整參考原則</w:t>
      </w:r>
      <w:r w:rsidR="00316326">
        <w:rPr>
          <w:rFonts w:ascii="新細明體" w:eastAsia="新細明體" w:hAnsi="新細明體" w:hint="eastAsia"/>
        </w:rPr>
        <w:t>」</w:t>
      </w:r>
      <w:r w:rsidRPr="00A6082E">
        <w:rPr>
          <w:rFonts w:ascii="Times New Roman" w:hint="eastAsia"/>
        </w:rPr>
        <w:t>所訂，</w:t>
      </w:r>
      <w:r w:rsidRPr="00A6082E">
        <w:rPr>
          <w:rFonts w:hint="eastAsia"/>
        </w:rPr>
        <w:t>考量民間開發營運風險容受力及初期資金成本壓力，對權利金收取多採低開發權利金，再加上一定比例營運權利金方式，藉以創造民間與政府雙贏局面。因此本案測試不同收取額度，由測試結果，本案對民間而言獲益性甚低，為高風險投資計畫，因此，權利金底價訂定，宜保留部分利潤空間，再藉由甄審競爭機制，提高可收取權利金金額，同</w:t>
      </w:r>
      <w:r w:rsidRPr="00E05022">
        <w:rPr>
          <w:rFonts w:hint="eastAsia"/>
          <w:color w:val="000000"/>
        </w:rPr>
        <w:t>時於契約中訂定有關超額利潤回饋機制。故本案採營運權利金為營收2%、開發權利金為0.5億元作為計</w:t>
      </w:r>
      <w:r w:rsidRPr="00E05022">
        <w:rPr>
          <w:rFonts w:hint="eastAsia"/>
          <w:color w:val="000000"/>
        </w:rPr>
        <w:lastRenderedPageBreak/>
        <w:t>收底價。</w:t>
      </w:r>
      <w:r w:rsidRPr="00E05022">
        <w:rPr>
          <w:rFonts w:ascii="Times New Roman" w:hint="eastAsia"/>
          <w:color w:val="000000"/>
        </w:rPr>
        <w:t>本案權利金分為開發權利金及營運權利金，分述如下：</w:t>
      </w:r>
    </w:p>
    <w:p w:rsidR="00FE1848" w:rsidRPr="00E05022" w:rsidRDefault="00FE1848" w:rsidP="00E96993">
      <w:pPr>
        <w:pStyle w:val="4"/>
        <w:rPr>
          <w:color w:val="000000"/>
        </w:rPr>
      </w:pPr>
      <w:r w:rsidRPr="00E05022">
        <w:rPr>
          <w:rFonts w:hint="eastAsia"/>
          <w:color w:val="000000"/>
        </w:rPr>
        <w:t>開發</w:t>
      </w:r>
      <w:r w:rsidRPr="00E96993">
        <w:rPr>
          <w:rFonts w:hint="eastAsia"/>
        </w:rPr>
        <w:t>權利</w:t>
      </w:r>
      <w:r w:rsidRPr="00E05022">
        <w:rPr>
          <w:rFonts w:hint="eastAsia"/>
          <w:color w:val="000000"/>
        </w:rPr>
        <w:t>金：</w:t>
      </w:r>
    </w:p>
    <w:p w:rsidR="00FE1848" w:rsidRPr="00E05022" w:rsidRDefault="00FE1848" w:rsidP="00FE1848">
      <w:pPr>
        <w:pStyle w:val="4"/>
        <w:numPr>
          <w:ilvl w:val="0"/>
          <w:numId w:val="0"/>
        </w:numPr>
        <w:ind w:left="1701" w:firstLineChars="196" w:firstLine="627"/>
        <w:rPr>
          <w:rFonts w:hAnsi="標楷體"/>
          <w:bCs/>
          <w:color w:val="000000"/>
          <w:szCs w:val="32"/>
        </w:rPr>
      </w:pPr>
      <w:r w:rsidRPr="00E05022">
        <w:rPr>
          <w:rFonts w:ascii="Times New Roman" w:hint="eastAsia"/>
          <w:bCs/>
          <w:color w:val="000000"/>
          <w:szCs w:val="32"/>
        </w:rPr>
        <w:t>以「目標</w:t>
      </w:r>
      <w:r w:rsidRPr="00E05022">
        <w:rPr>
          <w:rFonts w:hAnsi="標楷體" w:hint="eastAsia"/>
          <w:bCs/>
          <w:color w:val="000000"/>
          <w:szCs w:val="32"/>
        </w:rPr>
        <w:t>搜尋法」設定民間投資人之合理內部報酬率，並以目標搜尋方式反推求得，經財務試算後以</w:t>
      </w:r>
      <w:r w:rsidRPr="00E05022">
        <w:rPr>
          <w:rFonts w:hint="eastAsia"/>
          <w:color w:val="000000"/>
        </w:rPr>
        <w:t>0.5億元</w:t>
      </w:r>
      <w:r w:rsidRPr="00E05022">
        <w:rPr>
          <w:rFonts w:hAnsi="標楷體" w:hint="eastAsia"/>
          <w:bCs/>
          <w:color w:val="000000"/>
          <w:szCs w:val="32"/>
        </w:rPr>
        <w:t>為底價。</w:t>
      </w:r>
    </w:p>
    <w:p w:rsidR="00FE1848" w:rsidRPr="00E05022" w:rsidRDefault="00FE1848" w:rsidP="00E96993">
      <w:pPr>
        <w:pStyle w:val="4"/>
        <w:rPr>
          <w:color w:val="000000"/>
        </w:rPr>
      </w:pPr>
      <w:r w:rsidRPr="00E96993">
        <w:t>營運</w:t>
      </w:r>
      <w:r w:rsidRPr="00E05022">
        <w:rPr>
          <w:color w:val="000000"/>
        </w:rPr>
        <w:t>權利金：</w:t>
      </w:r>
    </w:p>
    <w:p w:rsidR="00FE1848" w:rsidRPr="00E05022" w:rsidRDefault="00FE1848" w:rsidP="00E96993">
      <w:pPr>
        <w:pStyle w:val="5"/>
      </w:pPr>
      <w:r w:rsidRPr="00E05022">
        <w:t>以固定百分比方式，以當年度實際營業收入之2%為底價，由民間企業於投標時填具權利金報價單，營運期間每年度繳付之權利金不得低於報價單金額。</w:t>
      </w:r>
    </w:p>
    <w:p w:rsidR="00FE1848" w:rsidRPr="001C6802" w:rsidRDefault="00FE1848" w:rsidP="00E96993">
      <w:pPr>
        <w:pStyle w:val="5"/>
        <w:rPr>
          <w:rFonts w:ascii="Times New Roman"/>
          <w:color w:val="000000" w:themeColor="text1"/>
        </w:rPr>
      </w:pPr>
      <w:r w:rsidRPr="00E05022">
        <w:rPr>
          <w:color w:val="000000"/>
        </w:rPr>
        <w:t>依據</w:t>
      </w:r>
      <w:r w:rsidRPr="00E05022">
        <w:rPr>
          <w:rFonts w:hint="eastAsia"/>
          <w:color w:val="000000"/>
        </w:rPr>
        <w:t>臺北市政府</w:t>
      </w:r>
      <w:r w:rsidRPr="00E05022">
        <w:rPr>
          <w:color w:val="000000"/>
        </w:rPr>
        <w:t>BOT標準作業規定，本案契約訂有超額利潤機制約定：依超額利潤機制，當民間投資人實際</w:t>
      </w:r>
      <w:r w:rsidRPr="00E96993">
        <w:t>營業</w:t>
      </w:r>
      <w:r w:rsidRPr="00E05022">
        <w:rPr>
          <w:color w:val="000000"/>
        </w:rPr>
        <w:t>收入高於權利金所載當年度預估營業收入120%部分，將依加收級距對應加收百分比，收取累進之超額營運權利金，民間投資人營收越好，</w:t>
      </w:r>
      <w:r w:rsidRPr="00E05022">
        <w:rPr>
          <w:rFonts w:hint="eastAsia"/>
          <w:color w:val="000000"/>
        </w:rPr>
        <w:t>臺北市政府</w:t>
      </w:r>
      <w:r w:rsidRPr="00E05022">
        <w:rPr>
          <w:color w:val="000000"/>
        </w:rPr>
        <w:t>收益越高。且依SOP規定，</w:t>
      </w:r>
      <w:r w:rsidRPr="001C6802">
        <w:rPr>
          <w:color w:val="000000" w:themeColor="text1"/>
        </w:rPr>
        <w:t>先期規劃中相關之財務評估經</w:t>
      </w:r>
      <w:r w:rsidRPr="001C6802">
        <w:rPr>
          <w:rFonts w:ascii="Times New Roman"/>
          <w:color w:val="000000" w:themeColor="text1"/>
        </w:rPr>
        <w:t>由不動產估價師簽證確認，並經該相關領域專家學者審查。</w:t>
      </w:r>
    </w:p>
    <w:p w:rsidR="00316326" w:rsidRPr="00316326" w:rsidRDefault="00316326" w:rsidP="00316326">
      <w:pPr>
        <w:pStyle w:val="3"/>
        <w:numPr>
          <w:ilvl w:val="0"/>
          <w:numId w:val="0"/>
        </w:numPr>
        <w:kinsoku w:val="0"/>
        <w:overflowPunct/>
        <w:autoSpaceDE/>
        <w:autoSpaceDN/>
        <w:ind w:left="1360"/>
        <w:rPr>
          <w:rFonts w:hAnsi="標楷體"/>
          <w:color w:val="FF0000"/>
          <w:szCs w:val="32"/>
        </w:rPr>
      </w:pPr>
    </w:p>
    <w:p w:rsidR="00FE1848" w:rsidRPr="00E05022" w:rsidRDefault="00FE1848" w:rsidP="00FE1848">
      <w:pPr>
        <w:pStyle w:val="3"/>
        <w:kinsoku w:val="0"/>
        <w:overflowPunct/>
        <w:autoSpaceDE/>
        <w:autoSpaceDN/>
        <w:ind w:left="1360" w:hanging="680"/>
        <w:rPr>
          <w:rFonts w:hAnsi="標楷體"/>
          <w:color w:val="FF0000"/>
          <w:szCs w:val="32"/>
        </w:rPr>
      </w:pPr>
      <w:r w:rsidRPr="001C6802">
        <w:rPr>
          <w:rFonts w:ascii="Times New Roman" w:hint="eastAsia"/>
          <w:color w:val="000000" w:themeColor="text1"/>
          <w:szCs w:val="32"/>
          <w:lang w:eastAsia="zh-HK"/>
        </w:rPr>
        <w:t>據上，</w:t>
      </w:r>
      <w:r w:rsidRPr="001C6802">
        <w:rPr>
          <w:rFonts w:ascii="Times New Roman" w:hint="eastAsia"/>
          <w:color w:val="000000" w:themeColor="text1"/>
          <w:szCs w:val="32"/>
        </w:rPr>
        <w:t>依</w:t>
      </w:r>
      <w:r w:rsidRPr="001C6802">
        <w:rPr>
          <w:rFonts w:hAnsi="標楷體" w:hint="eastAsia"/>
          <w:color w:val="000000" w:themeColor="text1"/>
          <w:szCs w:val="32"/>
        </w:rPr>
        <w:t>據</w:t>
      </w:r>
      <w:r w:rsidR="00921A0C">
        <w:rPr>
          <w:rFonts w:hAnsi="標楷體" w:hint="eastAsia"/>
        </w:rPr>
        <w:t>「</w:t>
      </w:r>
      <w:r w:rsidR="00921A0C" w:rsidRPr="00B40797">
        <w:rPr>
          <w:rFonts w:hint="eastAsia"/>
          <w:szCs w:val="32"/>
        </w:rPr>
        <w:t>內科支援設施BOT案</w:t>
      </w:r>
      <w:r w:rsidR="00921A0C">
        <w:rPr>
          <w:rFonts w:hAnsi="標楷體" w:hint="eastAsia"/>
          <w:szCs w:val="32"/>
        </w:rPr>
        <w:t>」</w:t>
      </w:r>
      <w:r w:rsidRPr="001C6802">
        <w:rPr>
          <w:rFonts w:hAnsi="標楷體" w:hint="eastAsia"/>
          <w:color w:val="000000" w:themeColor="text1"/>
          <w:szCs w:val="32"/>
        </w:rPr>
        <w:t>，係採引進民間參與投資公共建設方式，自應留意財務規劃</w:t>
      </w:r>
      <w:r w:rsidRPr="001C6802">
        <w:rPr>
          <w:rFonts w:hAnsi="標楷體" w:hint="eastAsia"/>
          <w:color w:val="000000" w:themeColor="text1"/>
          <w:szCs w:val="32"/>
          <w:lang w:eastAsia="zh-HK"/>
        </w:rPr>
        <w:t>之</w:t>
      </w:r>
      <w:r w:rsidRPr="001C6802">
        <w:rPr>
          <w:rFonts w:hAnsi="標楷體" w:hint="eastAsia"/>
          <w:color w:val="000000" w:themeColor="text1"/>
          <w:szCs w:val="32"/>
        </w:rPr>
        <w:t>自償性及財務可行性等。</w:t>
      </w:r>
      <w:r w:rsidRPr="001C6802">
        <w:rPr>
          <w:rFonts w:hAnsi="標楷體" w:hint="eastAsia"/>
          <w:color w:val="000000" w:themeColor="text1"/>
          <w:szCs w:val="32"/>
          <w:lang w:eastAsia="zh-HK"/>
        </w:rPr>
        <w:t>據</w:t>
      </w:r>
      <w:r w:rsidRPr="001C6802">
        <w:rPr>
          <w:rFonts w:hAnsi="標楷體" w:hint="eastAsia"/>
          <w:color w:val="000000" w:themeColor="text1"/>
          <w:szCs w:val="32"/>
        </w:rPr>
        <w:t>得標</w:t>
      </w:r>
      <w:r w:rsidRPr="001C6802">
        <w:rPr>
          <w:rFonts w:hAnsi="標楷體" w:hint="eastAsia"/>
          <w:color w:val="000000" w:themeColor="text1"/>
          <w:szCs w:val="32"/>
          <w:lang w:eastAsia="zh-HK"/>
        </w:rPr>
        <w:t>之</w:t>
      </w:r>
      <w:r w:rsidRPr="001C6802">
        <w:rPr>
          <w:rFonts w:hAnsi="標楷體" w:hint="eastAsia"/>
          <w:color w:val="000000" w:themeColor="text1"/>
          <w:szCs w:val="32"/>
        </w:rPr>
        <w:t>民間投資人估計，本案</w:t>
      </w:r>
      <w:r w:rsidRPr="001C6802">
        <w:rPr>
          <w:rFonts w:hAnsi="標楷體" w:hint="eastAsia"/>
          <w:color w:val="000000" w:themeColor="text1"/>
          <w:szCs w:val="32"/>
          <w:lang w:eastAsia="zh-HK"/>
        </w:rPr>
        <w:t>於50年</w:t>
      </w:r>
      <w:r w:rsidRPr="001C6802">
        <w:rPr>
          <w:rFonts w:hAnsi="標楷體"/>
          <w:color w:val="000000" w:themeColor="text1"/>
          <w:szCs w:val="32"/>
        </w:rPr>
        <w:t>契約期間</w:t>
      </w:r>
      <w:r w:rsidRPr="001C6802">
        <w:rPr>
          <w:rFonts w:hAnsi="標楷體" w:hint="eastAsia"/>
          <w:color w:val="000000" w:themeColor="text1"/>
          <w:szCs w:val="32"/>
          <w:lang w:eastAsia="zh-HK"/>
        </w:rPr>
        <w:t>內，</w:t>
      </w:r>
      <w:r w:rsidRPr="001C6802">
        <w:rPr>
          <w:rFonts w:hAnsi="標楷體" w:hint="eastAsia"/>
          <w:color w:val="000000" w:themeColor="text1"/>
          <w:szCs w:val="32"/>
        </w:rPr>
        <w:t>投資人</w:t>
      </w:r>
      <w:r w:rsidRPr="001C6802">
        <w:rPr>
          <w:rFonts w:hAnsi="標楷體" w:hint="eastAsia"/>
          <w:color w:val="000000" w:themeColor="text1"/>
          <w:szCs w:val="32"/>
          <w:lang w:eastAsia="zh-HK"/>
        </w:rPr>
        <w:t>於3年之興建期間將</w:t>
      </w:r>
      <w:r w:rsidRPr="001C6802">
        <w:rPr>
          <w:rFonts w:hint="eastAsia"/>
          <w:color w:val="000000" w:themeColor="text1"/>
        </w:rPr>
        <w:t>投入</w:t>
      </w:r>
      <w:r w:rsidRPr="001C6802">
        <w:rPr>
          <w:color w:val="000000" w:themeColor="text1"/>
        </w:rPr>
        <w:t>47.9</w:t>
      </w:r>
      <w:r w:rsidRPr="001C6802">
        <w:rPr>
          <w:rFonts w:hint="eastAsia"/>
          <w:color w:val="000000" w:themeColor="text1"/>
        </w:rPr>
        <w:t>億元</w:t>
      </w:r>
      <w:r w:rsidRPr="001C6802">
        <w:rPr>
          <w:rFonts w:hint="eastAsia"/>
          <w:color w:val="000000" w:themeColor="text1"/>
          <w:lang w:eastAsia="zh-HK"/>
        </w:rPr>
        <w:t>之</w:t>
      </w:r>
      <w:r w:rsidRPr="001C6802">
        <w:rPr>
          <w:rFonts w:hint="eastAsia"/>
          <w:color w:val="000000" w:themeColor="text1"/>
        </w:rPr>
        <w:t>興建成本，</w:t>
      </w:r>
      <w:r w:rsidRPr="001C6802">
        <w:rPr>
          <w:rFonts w:hint="eastAsia"/>
          <w:color w:val="000000" w:themeColor="text1"/>
          <w:lang w:eastAsia="zh-HK"/>
        </w:rPr>
        <w:t>並取</w:t>
      </w:r>
      <w:r w:rsidRPr="001C6802">
        <w:rPr>
          <w:rFonts w:hint="eastAsia"/>
          <w:color w:val="000000" w:themeColor="text1"/>
        </w:rPr>
        <w:t>得</w:t>
      </w:r>
      <w:r w:rsidRPr="001C6802">
        <w:rPr>
          <w:rFonts w:hint="eastAsia"/>
          <w:color w:val="000000" w:themeColor="text1"/>
          <w:lang w:eastAsia="zh-HK"/>
        </w:rPr>
        <w:t>其經</w:t>
      </w:r>
      <w:r w:rsidRPr="001C6802">
        <w:rPr>
          <w:rFonts w:hint="eastAsia"/>
          <w:color w:val="000000" w:themeColor="text1"/>
        </w:rPr>
        <w:t>營</w:t>
      </w:r>
      <w:r w:rsidRPr="001C6802">
        <w:rPr>
          <w:rFonts w:hint="eastAsia"/>
          <w:color w:val="000000" w:themeColor="text1"/>
          <w:lang w:eastAsia="zh-HK"/>
        </w:rPr>
        <w:t>權；本案</w:t>
      </w:r>
      <w:r w:rsidRPr="001C6802">
        <w:rPr>
          <w:rFonts w:hint="eastAsia"/>
          <w:color w:val="000000" w:themeColor="text1"/>
        </w:rPr>
        <w:t>計畫之稅後淨現值（</w:t>
      </w:r>
      <w:r w:rsidRPr="001C6802">
        <w:rPr>
          <w:color w:val="000000" w:themeColor="text1"/>
        </w:rPr>
        <w:t>NPV）</w:t>
      </w:r>
      <w:r w:rsidRPr="001C6802">
        <w:rPr>
          <w:rFonts w:hint="eastAsia"/>
          <w:color w:val="000000" w:themeColor="text1"/>
          <w:lang w:eastAsia="zh-HK"/>
        </w:rPr>
        <w:t>估</w:t>
      </w:r>
      <w:r w:rsidRPr="001C6802">
        <w:rPr>
          <w:rFonts w:hint="eastAsia"/>
          <w:color w:val="000000" w:themeColor="text1"/>
        </w:rPr>
        <w:t>計</w:t>
      </w:r>
      <w:r w:rsidRPr="001C6802">
        <w:rPr>
          <w:rFonts w:hint="eastAsia"/>
          <w:color w:val="000000" w:themeColor="text1"/>
          <w:lang w:eastAsia="zh-HK"/>
        </w:rPr>
        <w:t>約</w:t>
      </w:r>
      <w:r w:rsidRPr="00E05022">
        <w:rPr>
          <w:rFonts w:hint="eastAsia"/>
          <w:color w:val="000000"/>
          <w:lang w:eastAsia="zh-HK"/>
        </w:rPr>
        <w:t>為</w:t>
      </w:r>
      <w:r w:rsidRPr="00E05022">
        <w:rPr>
          <w:color w:val="000000"/>
        </w:rPr>
        <w:t>5.77</w:t>
      </w:r>
      <w:r w:rsidRPr="00E05022">
        <w:rPr>
          <w:rFonts w:hint="eastAsia"/>
          <w:color w:val="000000"/>
          <w:lang w:eastAsia="zh-HK"/>
        </w:rPr>
        <w:t>億</w:t>
      </w:r>
      <w:r w:rsidRPr="00E05022">
        <w:rPr>
          <w:rFonts w:hint="eastAsia"/>
          <w:color w:val="000000"/>
        </w:rPr>
        <w:t>元，</w:t>
      </w:r>
      <w:r w:rsidRPr="00E05022">
        <w:rPr>
          <w:rFonts w:hint="eastAsia"/>
          <w:color w:val="000000"/>
          <w:lang w:eastAsia="zh-HK"/>
        </w:rPr>
        <w:t>對於投資人而言，係可回收全部投資金額並獲得利益之投資案。復</w:t>
      </w:r>
      <w:r w:rsidRPr="00E05022">
        <w:rPr>
          <w:rFonts w:ascii="Times New Roman" w:hint="eastAsia"/>
          <w:color w:val="000000"/>
          <w:szCs w:val="32"/>
          <w:lang w:eastAsia="zh-HK"/>
        </w:rPr>
        <w:t>依據</w:t>
      </w:r>
      <w:r w:rsidRPr="00E05022">
        <w:rPr>
          <w:rFonts w:hint="eastAsia"/>
          <w:color w:val="000000"/>
          <w:szCs w:val="32"/>
        </w:rPr>
        <w:t>臺北市政</w:t>
      </w:r>
      <w:r w:rsidRPr="00E05022">
        <w:rPr>
          <w:rFonts w:hAnsi="標楷體" w:hint="eastAsia"/>
          <w:color w:val="000000"/>
          <w:szCs w:val="32"/>
        </w:rPr>
        <w:t>府</w:t>
      </w:r>
      <w:r w:rsidRPr="00E05022">
        <w:rPr>
          <w:rFonts w:hAnsi="標楷體" w:hint="eastAsia"/>
          <w:color w:val="000000"/>
          <w:szCs w:val="32"/>
          <w:lang w:eastAsia="zh-HK"/>
        </w:rPr>
        <w:t>之估計，本案</w:t>
      </w:r>
      <w:r w:rsidRPr="00E05022">
        <w:rPr>
          <w:rFonts w:hAnsi="標楷體" w:hint="eastAsia"/>
          <w:color w:val="000000"/>
          <w:szCs w:val="32"/>
        </w:rPr>
        <w:t>契約期間預估可增加</w:t>
      </w:r>
      <w:r w:rsidRPr="00E05022">
        <w:rPr>
          <w:rFonts w:hAnsi="標楷體" w:hint="eastAsia"/>
          <w:color w:val="000000"/>
          <w:szCs w:val="32"/>
          <w:lang w:eastAsia="zh-HK"/>
        </w:rPr>
        <w:t>該</w:t>
      </w:r>
      <w:r w:rsidRPr="00E05022">
        <w:rPr>
          <w:rFonts w:hAnsi="標楷體" w:hint="eastAsia"/>
          <w:color w:val="000000"/>
          <w:szCs w:val="32"/>
        </w:rPr>
        <w:t>府財政收入86.71億元，包括：</w:t>
      </w:r>
      <w:r w:rsidRPr="00E05022">
        <w:rPr>
          <w:color w:val="000000"/>
        </w:rPr>
        <w:t>土地租</w:t>
      </w:r>
      <w:r w:rsidRPr="00E05022">
        <w:rPr>
          <w:rFonts w:hAnsi="標楷體"/>
          <w:color w:val="000000"/>
          <w:szCs w:val="32"/>
        </w:rPr>
        <w:t>金</w:t>
      </w:r>
      <w:r w:rsidRPr="00E05022">
        <w:rPr>
          <w:rFonts w:hAnsi="標楷體" w:hint="eastAsia"/>
          <w:color w:val="000000"/>
          <w:szCs w:val="32"/>
        </w:rPr>
        <w:t>（</w:t>
      </w:r>
      <w:r w:rsidRPr="00E05022">
        <w:rPr>
          <w:rFonts w:hAnsi="標楷體"/>
          <w:color w:val="000000"/>
          <w:szCs w:val="32"/>
        </w:rPr>
        <w:t>興建期3年</w:t>
      </w:r>
      <w:r w:rsidRPr="00E05022">
        <w:rPr>
          <w:rFonts w:hAnsi="標楷體" w:hint="eastAsia"/>
          <w:color w:val="000000"/>
          <w:szCs w:val="32"/>
        </w:rPr>
        <w:t>加上</w:t>
      </w:r>
      <w:r w:rsidRPr="00E05022">
        <w:rPr>
          <w:rFonts w:hAnsi="標楷體"/>
          <w:color w:val="000000"/>
          <w:szCs w:val="32"/>
        </w:rPr>
        <w:t>營運期47年</w:t>
      </w:r>
      <w:r w:rsidRPr="00E05022">
        <w:rPr>
          <w:rFonts w:hAnsi="標楷體" w:hint="eastAsia"/>
          <w:color w:val="000000"/>
          <w:szCs w:val="32"/>
        </w:rPr>
        <w:t>）</w:t>
      </w:r>
      <w:r w:rsidRPr="00E05022">
        <w:rPr>
          <w:rFonts w:hAnsi="標楷體"/>
          <w:color w:val="000000"/>
          <w:szCs w:val="32"/>
        </w:rPr>
        <w:t>44.36億元</w:t>
      </w:r>
      <w:r w:rsidRPr="00E05022">
        <w:rPr>
          <w:rFonts w:ascii="新細明體" w:eastAsia="新細明體" w:hAnsi="新細明體" w:hint="eastAsia"/>
          <w:color w:val="000000"/>
          <w:szCs w:val="32"/>
        </w:rPr>
        <w:t>、</w:t>
      </w:r>
      <w:r w:rsidRPr="00E05022">
        <w:rPr>
          <w:rFonts w:hAnsi="標楷體"/>
          <w:color w:val="000000"/>
          <w:szCs w:val="32"/>
        </w:rPr>
        <w:t>開發權利金1</w:t>
      </w:r>
      <w:r w:rsidRPr="00E05022">
        <w:rPr>
          <w:rFonts w:hAnsi="標楷體"/>
          <w:szCs w:val="32"/>
        </w:rPr>
        <w:t>.05億元</w:t>
      </w:r>
      <w:r w:rsidRPr="00E05022">
        <w:rPr>
          <w:rFonts w:ascii="新細明體" w:eastAsia="新細明體" w:hAnsi="新細明體" w:hint="eastAsia"/>
          <w:szCs w:val="32"/>
        </w:rPr>
        <w:t>、</w:t>
      </w:r>
      <w:r w:rsidRPr="00E05022">
        <w:rPr>
          <w:rFonts w:hAnsi="標楷體"/>
          <w:szCs w:val="32"/>
        </w:rPr>
        <w:lastRenderedPageBreak/>
        <w:t>經營權利金</w:t>
      </w:r>
      <w:r w:rsidRPr="007D6C0F">
        <w:t>8.38億元</w:t>
      </w:r>
      <w:r w:rsidRPr="00E05022">
        <w:rPr>
          <w:rFonts w:ascii="新細明體" w:eastAsia="新細明體" w:hAnsi="新細明體" w:hint="eastAsia"/>
        </w:rPr>
        <w:t>、</w:t>
      </w:r>
      <w:r w:rsidRPr="00E05022">
        <w:rPr>
          <w:rFonts w:hAnsi="標楷體"/>
          <w:szCs w:val="32"/>
        </w:rPr>
        <w:t>房屋</w:t>
      </w:r>
      <w:r w:rsidRPr="007D6C0F">
        <w:t>稅</w:t>
      </w:r>
      <w:r w:rsidRPr="007D6C0F">
        <w:rPr>
          <w:rFonts w:hint="eastAsia"/>
        </w:rPr>
        <w:t>32.9</w:t>
      </w:r>
      <w:r>
        <w:rPr>
          <w:rFonts w:hint="eastAsia"/>
        </w:rPr>
        <w:t>2</w:t>
      </w:r>
      <w:r w:rsidRPr="007D6C0F">
        <w:rPr>
          <w:rFonts w:hint="eastAsia"/>
        </w:rPr>
        <w:t>億元</w:t>
      </w:r>
      <w:r>
        <w:rPr>
          <w:rFonts w:hint="eastAsia"/>
        </w:rPr>
        <w:t>。</w:t>
      </w:r>
      <w:r>
        <w:rPr>
          <w:rFonts w:hint="eastAsia"/>
          <w:lang w:eastAsia="zh-HK"/>
        </w:rPr>
        <w:t>爰就財務面而言，本案若能順利</w:t>
      </w:r>
      <w:r>
        <w:rPr>
          <w:rFonts w:hint="eastAsia"/>
        </w:rPr>
        <w:t>成</w:t>
      </w:r>
      <w:r>
        <w:rPr>
          <w:rFonts w:hint="eastAsia"/>
          <w:lang w:eastAsia="zh-HK"/>
        </w:rPr>
        <w:t>功，政</w:t>
      </w:r>
      <w:r>
        <w:rPr>
          <w:rFonts w:hint="eastAsia"/>
        </w:rPr>
        <w:t>府</w:t>
      </w:r>
      <w:r>
        <w:rPr>
          <w:rFonts w:hint="eastAsia"/>
          <w:lang w:eastAsia="zh-HK"/>
        </w:rPr>
        <w:t>及民間投資人均可受惠，並為社會所稱許</w:t>
      </w:r>
      <w:r w:rsidRPr="00392B29">
        <w:rPr>
          <w:rFonts w:hint="eastAsia"/>
          <w:color w:val="000000"/>
          <w:szCs w:val="32"/>
        </w:rPr>
        <w:t>。</w:t>
      </w:r>
      <w:r w:rsidRPr="00392B29">
        <w:rPr>
          <w:rFonts w:hint="eastAsia"/>
          <w:color w:val="000000"/>
          <w:szCs w:val="32"/>
          <w:lang w:eastAsia="zh-HK"/>
        </w:rPr>
        <w:t>惟依本案</w:t>
      </w:r>
      <w:r w:rsidRPr="00392B29">
        <w:rPr>
          <w:rFonts w:hAnsi="標楷體" w:hint="eastAsia"/>
          <w:color w:val="000000"/>
          <w:szCs w:val="32"/>
        </w:rPr>
        <w:t>民間投資人之投資計畫書，</w:t>
      </w:r>
      <w:r w:rsidRPr="00392B29">
        <w:rPr>
          <w:rFonts w:hAnsi="標楷體" w:hint="eastAsia"/>
          <w:color w:val="000000"/>
          <w:szCs w:val="32"/>
          <w:lang w:eastAsia="zh-HK"/>
        </w:rPr>
        <w:t>雖</w:t>
      </w:r>
      <w:r w:rsidRPr="00392B29">
        <w:rPr>
          <w:rFonts w:hAnsi="標楷體" w:hint="eastAsia"/>
          <w:color w:val="000000"/>
          <w:szCs w:val="32"/>
        </w:rPr>
        <w:t>自營運開始年度起，每年均</w:t>
      </w:r>
      <w:r w:rsidRPr="00392B29">
        <w:rPr>
          <w:rFonts w:hAnsi="標楷體" w:hint="eastAsia"/>
          <w:color w:val="000000"/>
          <w:szCs w:val="32"/>
          <w:lang w:eastAsia="zh-HK"/>
        </w:rPr>
        <w:t>有</w:t>
      </w:r>
      <w:r w:rsidRPr="00392B29">
        <w:rPr>
          <w:rFonts w:hAnsi="標楷體" w:hint="eastAsia"/>
          <w:color w:val="000000"/>
          <w:szCs w:val="32"/>
        </w:rPr>
        <w:t>淨現金流</w:t>
      </w:r>
      <w:r w:rsidRPr="00392B29">
        <w:rPr>
          <w:rFonts w:hAnsi="標楷體" w:hint="eastAsia"/>
          <w:color w:val="000000"/>
          <w:szCs w:val="32"/>
          <w:lang w:eastAsia="zh-HK"/>
        </w:rPr>
        <w:t>入</w:t>
      </w:r>
      <w:r w:rsidRPr="00392B29">
        <w:rPr>
          <w:rFonts w:hAnsi="標楷體" w:hint="eastAsia"/>
          <w:color w:val="000000"/>
          <w:szCs w:val="32"/>
        </w:rPr>
        <w:t>，</w:t>
      </w:r>
      <w:r>
        <w:rPr>
          <w:rFonts w:hAnsi="標楷體" w:hint="eastAsia"/>
          <w:color w:val="000000"/>
          <w:szCs w:val="32"/>
          <w:lang w:eastAsia="zh-HK"/>
        </w:rPr>
        <w:t>且</w:t>
      </w:r>
      <w:r w:rsidRPr="00CF364A">
        <w:rPr>
          <w:rFonts w:hAnsi="標楷體" w:hint="eastAsia"/>
          <w:szCs w:val="32"/>
        </w:rPr>
        <w:t>尚可於契約期間內回收所投入資金，其餘財務指標，亦符合民間參與之財務可行性</w:t>
      </w:r>
      <w:r>
        <w:rPr>
          <w:rFonts w:hAnsi="標楷體" w:hint="eastAsia"/>
          <w:szCs w:val="32"/>
        </w:rPr>
        <w:t>，</w:t>
      </w:r>
      <w:r w:rsidRPr="00392B29">
        <w:rPr>
          <w:rFonts w:hAnsi="標楷體" w:hint="eastAsia"/>
          <w:color w:val="000000"/>
          <w:szCs w:val="32"/>
          <w:lang w:eastAsia="zh-HK"/>
        </w:rPr>
        <w:t>然本</w:t>
      </w:r>
      <w:r w:rsidRPr="00392B29">
        <w:rPr>
          <w:rFonts w:hAnsi="標楷體" w:hint="eastAsia"/>
          <w:color w:val="000000"/>
          <w:szCs w:val="32"/>
        </w:rPr>
        <w:t>案</w:t>
      </w:r>
      <w:r w:rsidRPr="00392B29">
        <w:rPr>
          <w:rFonts w:hAnsi="標楷體" w:cs="MicrosoftJhengHeiBold" w:hint="eastAsia"/>
          <w:bCs w:val="0"/>
          <w:color w:val="000000"/>
          <w:szCs w:val="32"/>
        </w:rPr>
        <w:t>計畫</w:t>
      </w:r>
      <w:r w:rsidRPr="00392B29">
        <w:rPr>
          <w:rFonts w:hAnsi="標楷體" w:cs="MicrosoftJhengHeiBold" w:hint="eastAsia"/>
          <w:bCs w:val="0"/>
          <w:color w:val="000000"/>
          <w:szCs w:val="32"/>
          <w:lang w:eastAsia="zh-HK"/>
        </w:rPr>
        <w:t>及</w:t>
      </w:r>
      <w:r w:rsidRPr="00392B29">
        <w:rPr>
          <w:rFonts w:hAnsi="標楷體" w:hint="eastAsia"/>
          <w:color w:val="000000"/>
          <w:szCs w:val="32"/>
        </w:rPr>
        <w:t>權益</w:t>
      </w:r>
      <w:r w:rsidRPr="00392B29">
        <w:rPr>
          <w:rFonts w:hAnsi="標楷體" w:hint="eastAsia"/>
          <w:color w:val="000000"/>
          <w:szCs w:val="32"/>
          <w:lang w:eastAsia="zh-HK"/>
        </w:rPr>
        <w:t>之</w:t>
      </w:r>
      <w:r w:rsidRPr="00392B29">
        <w:rPr>
          <w:rFonts w:hAnsi="標楷體" w:hint="eastAsia"/>
          <w:color w:val="000000"/>
          <w:szCs w:val="32"/>
        </w:rPr>
        <w:t>稅後折現後還本年期</w:t>
      </w:r>
      <w:r w:rsidRPr="00392B29">
        <w:rPr>
          <w:rFonts w:hAnsi="標楷體" w:hint="eastAsia"/>
          <w:color w:val="000000"/>
          <w:szCs w:val="32"/>
          <w:lang w:eastAsia="zh-HK"/>
        </w:rPr>
        <w:t>分別</w:t>
      </w:r>
      <w:r w:rsidRPr="00392B29">
        <w:rPr>
          <w:rFonts w:hAnsi="標楷體" w:hint="eastAsia"/>
          <w:color w:val="000000"/>
          <w:szCs w:val="32"/>
        </w:rPr>
        <w:t>為第43年</w:t>
      </w:r>
      <w:r w:rsidRPr="00392B29">
        <w:rPr>
          <w:rFonts w:hAnsi="標楷體" w:hint="eastAsia"/>
          <w:color w:val="000000"/>
          <w:szCs w:val="32"/>
          <w:lang w:eastAsia="zh-HK"/>
        </w:rPr>
        <w:t>及</w:t>
      </w:r>
      <w:r w:rsidRPr="00392B29">
        <w:rPr>
          <w:rFonts w:hAnsi="標楷體" w:hint="eastAsia"/>
          <w:color w:val="000000"/>
          <w:szCs w:val="32"/>
        </w:rPr>
        <w:t>第46年，</w:t>
      </w:r>
      <w:r w:rsidRPr="00392B29">
        <w:rPr>
          <w:rFonts w:hAnsi="標楷體" w:hint="eastAsia"/>
          <w:color w:val="000000"/>
          <w:szCs w:val="32"/>
          <w:lang w:eastAsia="zh-HK"/>
        </w:rPr>
        <w:t>顯示</w:t>
      </w:r>
      <w:r>
        <w:rPr>
          <w:rFonts w:hAnsi="標楷體" w:hint="eastAsia"/>
          <w:color w:val="000000"/>
          <w:szCs w:val="32"/>
          <w:lang w:eastAsia="zh-HK"/>
        </w:rPr>
        <w:t>投資人</w:t>
      </w:r>
      <w:r w:rsidRPr="00392B29">
        <w:rPr>
          <w:rFonts w:hAnsi="標楷體" w:hint="eastAsia"/>
          <w:color w:val="000000"/>
          <w:szCs w:val="32"/>
        </w:rPr>
        <w:t>需</w:t>
      </w:r>
      <w:r w:rsidRPr="00392B29">
        <w:rPr>
          <w:rFonts w:hAnsi="標楷體" w:hint="eastAsia"/>
          <w:color w:val="000000"/>
          <w:szCs w:val="32"/>
          <w:lang w:eastAsia="zh-HK"/>
        </w:rPr>
        <w:t>要</w:t>
      </w:r>
      <w:r>
        <w:rPr>
          <w:rFonts w:hAnsi="標楷體" w:hint="eastAsia"/>
          <w:color w:val="000000"/>
          <w:szCs w:val="32"/>
          <w:lang w:eastAsia="zh-HK"/>
        </w:rPr>
        <w:t>經</w:t>
      </w:r>
      <w:r>
        <w:rPr>
          <w:rFonts w:hAnsi="標楷體" w:hint="eastAsia"/>
          <w:color w:val="000000"/>
          <w:szCs w:val="32"/>
        </w:rPr>
        <w:t>過</w:t>
      </w:r>
      <w:r>
        <w:rPr>
          <w:rFonts w:hAnsi="標楷體" w:hint="eastAsia"/>
          <w:color w:val="000000"/>
          <w:szCs w:val="32"/>
          <w:lang w:eastAsia="zh-HK"/>
        </w:rPr>
        <w:t>一段相當長之時間，始能</w:t>
      </w:r>
      <w:r w:rsidRPr="00392B29">
        <w:rPr>
          <w:rFonts w:hAnsi="標楷體" w:hint="eastAsia"/>
          <w:color w:val="000000"/>
          <w:szCs w:val="32"/>
        </w:rPr>
        <w:t>回</w:t>
      </w:r>
      <w:r w:rsidRPr="00392B29">
        <w:rPr>
          <w:rFonts w:ascii="Times New Roman" w:hint="eastAsia"/>
          <w:color w:val="000000"/>
          <w:szCs w:val="32"/>
        </w:rPr>
        <w:t>收</w:t>
      </w:r>
      <w:r>
        <w:rPr>
          <w:rFonts w:ascii="Times New Roman" w:hint="eastAsia"/>
          <w:color w:val="000000"/>
          <w:szCs w:val="32"/>
          <w:lang w:eastAsia="zh-HK"/>
        </w:rPr>
        <w:t>其投資</w:t>
      </w:r>
      <w:r>
        <w:rPr>
          <w:rFonts w:ascii="Times New Roman" w:hint="eastAsia"/>
          <w:color w:val="000000"/>
          <w:szCs w:val="32"/>
        </w:rPr>
        <w:t>，資金之</w:t>
      </w:r>
      <w:r w:rsidRPr="00392B29">
        <w:rPr>
          <w:rFonts w:hAnsi="標楷體" w:hint="eastAsia"/>
          <w:color w:val="000000"/>
          <w:szCs w:val="32"/>
        </w:rPr>
        <w:t>回</w:t>
      </w:r>
      <w:r w:rsidRPr="00392B29">
        <w:rPr>
          <w:rFonts w:ascii="Times New Roman" w:hint="eastAsia"/>
          <w:color w:val="000000"/>
          <w:szCs w:val="32"/>
        </w:rPr>
        <w:t>收</w:t>
      </w:r>
      <w:r>
        <w:rPr>
          <w:rFonts w:ascii="Times New Roman" w:hint="eastAsia"/>
          <w:color w:val="000000"/>
          <w:szCs w:val="32"/>
        </w:rPr>
        <w:t>期間愈長，則潛在風險可能愈高</w:t>
      </w:r>
      <w:r w:rsidRPr="00392B29">
        <w:rPr>
          <w:rFonts w:ascii="Times New Roman" w:hint="eastAsia"/>
          <w:color w:val="000000"/>
          <w:szCs w:val="32"/>
        </w:rPr>
        <w:t>。為利本案順利成功，</w:t>
      </w:r>
      <w:r w:rsidRPr="00A6082E">
        <w:rPr>
          <w:rFonts w:hint="eastAsia"/>
        </w:rPr>
        <w:t>民間與政府雙贏</w:t>
      </w:r>
      <w:r>
        <w:rPr>
          <w:rFonts w:hint="eastAsia"/>
        </w:rPr>
        <w:t>，</w:t>
      </w:r>
      <w:r w:rsidRPr="00392B29">
        <w:rPr>
          <w:rFonts w:hint="eastAsia"/>
          <w:color w:val="000000"/>
          <w:szCs w:val="32"/>
        </w:rPr>
        <w:t>臺北市政府允宜持續關心</w:t>
      </w:r>
      <w:r w:rsidRPr="00392B29">
        <w:rPr>
          <w:rFonts w:ascii="Times New Roman" w:hint="eastAsia"/>
          <w:color w:val="000000"/>
          <w:szCs w:val="32"/>
        </w:rPr>
        <w:t>民間投資人之財務狀況及注意園區於營運期間之營業收支概況，</w:t>
      </w:r>
      <w:r>
        <w:rPr>
          <w:rFonts w:ascii="Times New Roman" w:hint="eastAsia"/>
          <w:color w:val="000000"/>
          <w:szCs w:val="32"/>
          <w:lang w:eastAsia="zh-HK"/>
        </w:rPr>
        <w:t>並</w:t>
      </w:r>
      <w:r w:rsidRPr="00392B29">
        <w:rPr>
          <w:rFonts w:ascii="Times New Roman" w:hint="eastAsia"/>
          <w:color w:val="000000"/>
          <w:szCs w:val="32"/>
        </w:rPr>
        <w:t>加強與民間投資人之溝通，俾利達成加值內湖科技園區產業群聚能量，</w:t>
      </w:r>
      <w:r w:rsidR="00316326">
        <w:rPr>
          <w:rFonts w:ascii="Times New Roman" w:hint="eastAsia"/>
          <w:color w:val="000000"/>
          <w:szCs w:val="32"/>
        </w:rPr>
        <w:t>落實</w:t>
      </w:r>
      <w:r w:rsidRPr="00392B29">
        <w:rPr>
          <w:rFonts w:ascii="Times New Roman" w:hint="eastAsia"/>
          <w:color w:val="000000"/>
          <w:szCs w:val="32"/>
        </w:rPr>
        <w:t>內湖科技園區之創新創業聚落發展等目標。</w:t>
      </w:r>
    </w:p>
    <w:p w:rsidR="00FE1848" w:rsidRPr="00D5050E" w:rsidRDefault="00FE1848" w:rsidP="00FE1848">
      <w:pPr>
        <w:pStyle w:val="3"/>
        <w:numPr>
          <w:ilvl w:val="0"/>
          <w:numId w:val="0"/>
        </w:numPr>
        <w:ind w:left="1393" w:hanging="697"/>
      </w:pPr>
    </w:p>
    <w:p w:rsidR="00BD146A" w:rsidRPr="00505626" w:rsidRDefault="00BD146A" w:rsidP="00BD146A">
      <w:pPr>
        <w:pStyle w:val="2"/>
        <w:kinsoku w:val="0"/>
        <w:overflowPunct/>
        <w:autoSpaceDE/>
        <w:autoSpaceDN/>
        <w:ind w:left="1047" w:hanging="697"/>
        <w:rPr>
          <w:b/>
        </w:rPr>
      </w:pPr>
      <w:r w:rsidRPr="007E5EC5">
        <w:rPr>
          <w:rFonts w:hint="eastAsia"/>
          <w:b/>
        </w:rPr>
        <w:t>臺北市政府於106年10月25日與民間機構簽訂設定地上權契約，將該市議會舊址基地</w:t>
      </w:r>
      <w:r>
        <w:rPr>
          <w:rFonts w:hint="eastAsia"/>
          <w:b/>
        </w:rPr>
        <w:t>及南側市有土地</w:t>
      </w:r>
      <w:r w:rsidRPr="007E5EC5">
        <w:rPr>
          <w:rFonts w:hint="eastAsia"/>
          <w:b/>
        </w:rPr>
        <w:t>交予民間機構(預定)興建</w:t>
      </w:r>
      <w:r>
        <w:rPr>
          <w:rFonts w:hint="eastAsia"/>
          <w:b/>
        </w:rPr>
        <w:t>2棟，分別為地上28</w:t>
      </w:r>
      <w:r w:rsidRPr="007E5EC5">
        <w:rPr>
          <w:rFonts w:hint="eastAsia"/>
          <w:b/>
        </w:rPr>
        <w:t>層旅館</w:t>
      </w:r>
      <w:r>
        <w:rPr>
          <w:rFonts w:hint="eastAsia"/>
          <w:b/>
        </w:rPr>
        <w:t>及地上17層辦公商業大樓(內含7樓層之</w:t>
      </w:r>
      <w:r w:rsidRPr="007E5EC5">
        <w:rPr>
          <w:rFonts w:hAnsi="標楷體" w:hint="eastAsia"/>
          <w:b/>
        </w:rPr>
        <w:t>「</w:t>
      </w:r>
      <w:r w:rsidRPr="007E5EC5">
        <w:rPr>
          <w:rFonts w:hint="eastAsia"/>
          <w:b/>
        </w:rPr>
        <w:t>臺北城博物館</w:t>
      </w:r>
      <w:r w:rsidRPr="007E5EC5">
        <w:rPr>
          <w:rFonts w:hAnsi="標楷體" w:hint="eastAsia"/>
          <w:b/>
        </w:rPr>
        <w:t>」</w:t>
      </w:r>
      <w:r w:rsidRPr="007E5EC5">
        <w:rPr>
          <w:rFonts w:hint="eastAsia"/>
          <w:b/>
        </w:rPr>
        <w:t>等設施</w:t>
      </w:r>
      <w:r>
        <w:rPr>
          <w:rFonts w:hint="eastAsia"/>
          <w:b/>
        </w:rPr>
        <w:t>)</w:t>
      </w:r>
      <w:r w:rsidRPr="007E5EC5">
        <w:rPr>
          <w:rFonts w:hint="eastAsia"/>
          <w:b/>
        </w:rPr>
        <w:t>，然因該基地</w:t>
      </w:r>
      <w:r>
        <w:rPr>
          <w:rFonts w:hint="eastAsia"/>
          <w:b/>
        </w:rPr>
        <w:t>深</w:t>
      </w:r>
      <w:r w:rsidRPr="007E5EC5">
        <w:rPr>
          <w:rFonts w:hint="eastAsia"/>
          <w:b/>
        </w:rPr>
        <w:t>具歷史</w:t>
      </w:r>
      <w:r w:rsidR="00316326">
        <w:rPr>
          <w:rFonts w:hint="eastAsia"/>
          <w:b/>
        </w:rPr>
        <w:t>紋理，</w:t>
      </w:r>
      <w:r w:rsidR="00E16332">
        <w:rPr>
          <w:rFonts w:hint="eastAsia"/>
          <w:b/>
        </w:rPr>
        <w:t>並</w:t>
      </w:r>
      <w:r w:rsidR="00316326">
        <w:rPr>
          <w:rFonts w:hint="eastAsia"/>
          <w:b/>
        </w:rPr>
        <w:t>位處商業與文化軸線之重要門戶位置，且</w:t>
      </w:r>
      <w:r>
        <w:rPr>
          <w:rFonts w:hint="eastAsia"/>
          <w:b/>
          <w:szCs w:val="32"/>
        </w:rPr>
        <w:t>隔中山南北路</w:t>
      </w:r>
      <w:r w:rsidR="00316326">
        <w:rPr>
          <w:rFonts w:hint="eastAsia"/>
          <w:b/>
          <w:szCs w:val="32"/>
        </w:rPr>
        <w:t>與</w:t>
      </w:r>
      <w:r w:rsidRPr="007E5EC5">
        <w:rPr>
          <w:rFonts w:hint="eastAsia"/>
          <w:b/>
          <w:szCs w:val="32"/>
        </w:rPr>
        <w:t>行政院(國定古蹟)</w:t>
      </w:r>
      <w:r>
        <w:rPr>
          <w:rFonts w:hint="eastAsia"/>
          <w:b/>
          <w:szCs w:val="32"/>
        </w:rPr>
        <w:t>、</w:t>
      </w:r>
      <w:r w:rsidRPr="007E5EC5">
        <w:rPr>
          <w:rFonts w:hint="eastAsia"/>
          <w:b/>
          <w:szCs w:val="32"/>
        </w:rPr>
        <w:t>監察院(國定古蹟)</w:t>
      </w:r>
      <w:r>
        <w:rPr>
          <w:rFonts w:hint="eastAsia"/>
          <w:b/>
          <w:szCs w:val="32"/>
        </w:rPr>
        <w:t>及</w:t>
      </w:r>
      <w:r w:rsidRPr="007E5EC5">
        <w:rPr>
          <w:rFonts w:hint="eastAsia"/>
          <w:b/>
          <w:szCs w:val="32"/>
        </w:rPr>
        <w:t>立法院(直轄市定古蹟)等法定古蹟</w:t>
      </w:r>
      <w:r w:rsidR="00316326">
        <w:rPr>
          <w:rFonts w:hint="eastAsia"/>
          <w:b/>
          <w:szCs w:val="32"/>
        </w:rPr>
        <w:t>遙遙相望</w:t>
      </w:r>
      <w:r w:rsidRPr="007E5EC5">
        <w:rPr>
          <w:rFonts w:hint="eastAsia"/>
          <w:b/>
          <w:szCs w:val="32"/>
        </w:rPr>
        <w:t>，</w:t>
      </w:r>
      <w:r w:rsidR="00316326" w:rsidRPr="007E5EC5">
        <w:rPr>
          <w:rFonts w:hint="eastAsia"/>
          <w:b/>
          <w:szCs w:val="32"/>
        </w:rPr>
        <w:t>臺北市政府</w:t>
      </w:r>
      <w:r w:rsidRPr="007E5EC5">
        <w:rPr>
          <w:rFonts w:hint="eastAsia"/>
          <w:b/>
          <w:szCs w:val="32"/>
        </w:rPr>
        <w:t>允宜注意本案對都市景觀</w:t>
      </w:r>
      <w:r>
        <w:rPr>
          <w:rFonts w:hint="eastAsia"/>
          <w:b/>
          <w:szCs w:val="32"/>
        </w:rPr>
        <w:t>、古蹟相容性</w:t>
      </w:r>
      <w:r w:rsidRPr="007E5EC5">
        <w:rPr>
          <w:rFonts w:hint="eastAsia"/>
          <w:b/>
          <w:szCs w:val="32"/>
        </w:rPr>
        <w:t>及周邊交通之衝擊</w:t>
      </w:r>
      <w:r>
        <w:rPr>
          <w:rFonts w:hint="eastAsia"/>
          <w:b/>
          <w:szCs w:val="32"/>
        </w:rPr>
        <w:t>等</w:t>
      </w:r>
      <w:r w:rsidR="003838DA">
        <w:rPr>
          <w:rFonts w:hint="eastAsia"/>
          <w:b/>
          <w:szCs w:val="32"/>
        </w:rPr>
        <w:t>節</w:t>
      </w:r>
      <w:r>
        <w:rPr>
          <w:rFonts w:hint="eastAsia"/>
          <w:b/>
          <w:szCs w:val="32"/>
        </w:rPr>
        <w:t>，密切監督得標人後續</w:t>
      </w:r>
      <w:r w:rsidRPr="007E5EC5">
        <w:rPr>
          <w:rFonts w:hint="eastAsia"/>
          <w:b/>
          <w:szCs w:val="32"/>
        </w:rPr>
        <w:t>開發事宜，並就</w:t>
      </w:r>
      <w:r>
        <w:rPr>
          <w:rFonts w:hint="eastAsia"/>
          <w:b/>
          <w:szCs w:val="32"/>
        </w:rPr>
        <w:t>案內「臺北城博物館」</w:t>
      </w:r>
      <w:r w:rsidRPr="007E5EC5">
        <w:rPr>
          <w:rFonts w:hint="eastAsia"/>
          <w:b/>
          <w:szCs w:val="32"/>
        </w:rPr>
        <w:t>內涵及其與</w:t>
      </w:r>
      <w:r>
        <w:rPr>
          <w:rFonts w:hint="eastAsia"/>
          <w:b/>
          <w:szCs w:val="32"/>
        </w:rPr>
        <w:t>本案</w:t>
      </w:r>
      <w:r w:rsidRPr="007E5EC5">
        <w:rPr>
          <w:rFonts w:hint="eastAsia"/>
          <w:b/>
          <w:szCs w:val="32"/>
        </w:rPr>
        <w:t>建築</w:t>
      </w:r>
      <w:r>
        <w:rPr>
          <w:rFonts w:hint="eastAsia"/>
          <w:b/>
          <w:szCs w:val="32"/>
        </w:rPr>
        <w:t>內外部空間</w:t>
      </w:r>
      <w:r w:rsidRPr="007E5EC5">
        <w:rPr>
          <w:rFonts w:hint="eastAsia"/>
          <w:b/>
          <w:szCs w:val="32"/>
        </w:rPr>
        <w:t>之</w:t>
      </w:r>
      <w:r>
        <w:rPr>
          <w:rFonts w:hint="eastAsia"/>
          <w:b/>
          <w:szCs w:val="32"/>
        </w:rPr>
        <w:t>融合，</w:t>
      </w:r>
      <w:r w:rsidRPr="007E5EC5">
        <w:rPr>
          <w:rFonts w:hint="eastAsia"/>
          <w:b/>
          <w:szCs w:val="32"/>
        </w:rPr>
        <w:t>妥</w:t>
      </w:r>
      <w:r>
        <w:rPr>
          <w:rFonts w:hint="eastAsia"/>
          <w:b/>
          <w:szCs w:val="32"/>
        </w:rPr>
        <w:t>提</w:t>
      </w:r>
      <w:r w:rsidRPr="007E5EC5">
        <w:rPr>
          <w:rFonts w:hint="eastAsia"/>
          <w:b/>
          <w:szCs w:val="32"/>
        </w:rPr>
        <w:t>規劃</w:t>
      </w:r>
      <w:r>
        <w:rPr>
          <w:rFonts w:hint="eastAsia"/>
          <w:b/>
          <w:szCs w:val="32"/>
        </w:rPr>
        <w:t>需求</w:t>
      </w:r>
      <w:r w:rsidRPr="007E5EC5">
        <w:rPr>
          <w:rFonts w:hint="eastAsia"/>
          <w:b/>
          <w:szCs w:val="32"/>
        </w:rPr>
        <w:t>。</w:t>
      </w:r>
    </w:p>
    <w:p w:rsidR="003838DA" w:rsidRDefault="003838DA" w:rsidP="003838DA">
      <w:pPr>
        <w:pStyle w:val="3"/>
        <w:numPr>
          <w:ilvl w:val="0"/>
          <w:numId w:val="0"/>
        </w:numPr>
        <w:kinsoku w:val="0"/>
        <w:overflowPunct/>
        <w:autoSpaceDE/>
        <w:autoSpaceDN/>
        <w:ind w:left="1393"/>
      </w:pPr>
    </w:p>
    <w:p w:rsidR="00BD146A" w:rsidRDefault="00BD146A" w:rsidP="00BD146A">
      <w:pPr>
        <w:pStyle w:val="3"/>
        <w:kinsoku w:val="0"/>
        <w:overflowPunct/>
        <w:autoSpaceDE/>
        <w:autoSpaceDN/>
        <w:ind w:left="1393" w:hanging="697"/>
      </w:pPr>
      <w:r w:rsidRPr="00190954">
        <w:rPr>
          <w:rFonts w:hint="eastAsia"/>
        </w:rPr>
        <w:t>臺北市議會舊址</w:t>
      </w:r>
      <w:r>
        <w:rPr>
          <w:rFonts w:hint="eastAsia"/>
        </w:rPr>
        <w:t>原係</w:t>
      </w:r>
      <w:r w:rsidRPr="00876AD8">
        <w:rPr>
          <w:rFonts w:hint="eastAsia"/>
        </w:rPr>
        <w:t>清朝時期艋舺貢生洪騰雲先生捐贈予清朝</w:t>
      </w:r>
      <w:r>
        <w:rPr>
          <w:rFonts w:hint="eastAsia"/>
        </w:rPr>
        <w:t>政府</w:t>
      </w:r>
      <w:r w:rsidRPr="00876AD8">
        <w:rPr>
          <w:rFonts w:hint="eastAsia"/>
        </w:rPr>
        <w:t>作為臺北府考棚之遺址，</w:t>
      </w:r>
      <w:r>
        <w:rPr>
          <w:rFonts w:hint="eastAsia"/>
        </w:rPr>
        <w:t>考棚</w:t>
      </w:r>
      <w:r w:rsidRPr="00876AD8">
        <w:rPr>
          <w:rFonts w:hint="eastAsia"/>
        </w:rPr>
        <w:t>於西元1880年落成(坐落位置為忠孝西路以南，中山南路以西</w:t>
      </w:r>
      <w:r w:rsidRPr="00876AD8">
        <w:rPr>
          <w:rFonts w:hint="eastAsia"/>
        </w:rPr>
        <w:lastRenderedPageBreak/>
        <w:t>，青島西路以北，公園路以東一帶)</w:t>
      </w:r>
      <w:r>
        <w:rPr>
          <w:rStyle w:val="aff1"/>
        </w:rPr>
        <w:footnoteReference w:id="19"/>
      </w:r>
      <w:r w:rsidRPr="00876AD8">
        <w:rPr>
          <w:rFonts w:hint="eastAsia"/>
        </w:rPr>
        <w:t>，日治時期曾被改建為軍營，國民政府遷臺後收歸為國民政府財產，</w:t>
      </w:r>
      <w:r>
        <w:rPr>
          <w:rFonts w:hint="eastAsia"/>
        </w:rPr>
        <w:t>嗣</w:t>
      </w:r>
      <w:r w:rsidRPr="00876AD8">
        <w:rPr>
          <w:rFonts w:hint="eastAsia"/>
        </w:rPr>
        <w:t>臺北市改制院轄市後，以該址為市議會會址</w:t>
      </w:r>
      <w:r w:rsidR="003838DA">
        <w:rPr>
          <w:rFonts w:hint="eastAsia"/>
        </w:rPr>
        <w:t>且</w:t>
      </w:r>
      <w:r w:rsidRPr="00876AD8">
        <w:rPr>
          <w:rFonts w:hint="eastAsia"/>
        </w:rPr>
        <w:t>於59年建築完成，</w:t>
      </w:r>
      <w:r>
        <w:rPr>
          <w:rFonts w:hint="eastAsia"/>
        </w:rPr>
        <w:t>並</w:t>
      </w:r>
      <w:r w:rsidRPr="00876AD8">
        <w:rPr>
          <w:rFonts w:hint="eastAsia"/>
        </w:rPr>
        <w:t>於72年4月立考棚碑在案</w:t>
      </w:r>
      <w:r>
        <w:rPr>
          <w:rStyle w:val="aff1"/>
        </w:rPr>
        <w:footnoteReference w:id="20"/>
      </w:r>
      <w:r>
        <w:rPr>
          <w:rFonts w:hint="eastAsia"/>
        </w:rPr>
        <w:t>，深具歷史意義</w:t>
      </w:r>
      <w:r>
        <w:rPr>
          <w:rStyle w:val="aff1"/>
        </w:rPr>
        <w:footnoteReference w:id="21"/>
      </w:r>
      <w:r w:rsidRPr="00876AD8">
        <w:rPr>
          <w:rFonts w:hint="eastAsia"/>
        </w:rPr>
        <w:t>。</w:t>
      </w:r>
    </w:p>
    <w:p w:rsidR="003838DA" w:rsidRDefault="003838DA" w:rsidP="003838DA">
      <w:pPr>
        <w:pStyle w:val="3"/>
        <w:numPr>
          <w:ilvl w:val="0"/>
          <w:numId w:val="0"/>
        </w:numPr>
        <w:kinsoku w:val="0"/>
        <w:overflowPunct/>
        <w:autoSpaceDE/>
        <w:autoSpaceDN/>
        <w:ind w:left="1393"/>
      </w:pPr>
    </w:p>
    <w:p w:rsidR="00BD146A" w:rsidRDefault="00BD146A" w:rsidP="00BD146A">
      <w:pPr>
        <w:pStyle w:val="3"/>
        <w:kinsoku w:val="0"/>
        <w:overflowPunct/>
        <w:autoSpaceDE/>
        <w:autoSpaceDN/>
        <w:ind w:left="1393" w:hanging="697"/>
      </w:pPr>
      <w:r>
        <w:rPr>
          <w:rFonts w:hint="eastAsia"/>
        </w:rPr>
        <w:t>次查本案</w:t>
      </w:r>
      <w:r w:rsidRPr="007529F3">
        <w:rPr>
          <w:rFonts w:hint="eastAsia"/>
        </w:rPr>
        <w:t>臺北市議會舊址</w:t>
      </w:r>
      <w:r>
        <w:rPr>
          <w:rFonts w:hint="eastAsia"/>
        </w:rPr>
        <w:t>位於中山南路與忠孝西路口，北接臺北車站特定專用區，西臨城中商業中心，南臨博愛特區，東為行政院、監察院、立法院等中央機關，並以忠孝東路銜接該市東區商業發展中心</w:t>
      </w:r>
      <w:r w:rsidR="003838DA">
        <w:rPr>
          <w:rFonts w:hint="eastAsia"/>
        </w:rPr>
        <w:t>，另以中山南北路連接中山藝文軸帶，因其位處臺北市核心區域，考量</w:t>
      </w:r>
      <w:r>
        <w:rPr>
          <w:rFonts w:hint="eastAsia"/>
        </w:rPr>
        <w:t>入口門戶意象地標之重要性，及整體都市發展，為形塑文化、觀光資訊交流之節點，提供外縣市及外國遊客諮詢等使用，加速臺北市國際化之推動，臺北市政府文化局爰將原址規劃作為國際城市交流觀光文化中心。案經臺北市政府於</w:t>
      </w:r>
      <w:r w:rsidRPr="00A533BD">
        <w:rPr>
          <w:rFonts w:hint="eastAsia"/>
        </w:rPr>
        <w:t>92年10月30日公告實</w:t>
      </w:r>
      <w:r>
        <w:rPr>
          <w:rFonts w:hint="eastAsia"/>
        </w:rPr>
        <w:t>施「變更臺北市中正區市議會舊址等行政區為文化觀光專用區計畫案」，將該基地原屬</w:t>
      </w:r>
      <w:r w:rsidRPr="00A533BD">
        <w:rPr>
          <w:rFonts w:hint="eastAsia"/>
        </w:rPr>
        <w:t>都市計畫「行政區」</w:t>
      </w:r>
      <w:r>
        <w:rPr>
          <w:rFonts w:hint="eastAsia"/>
        </w:rPr>
        <w:t>之使用分區，</w:t>
      </w:r>
      <w:r w:rsidRPr="00A533BD">
        <w:rPr>
          <w:rFonts w:hint="eastAsia"/>
        </w:rPr>
        <w:t>變更為「文化觀光專用區」</w:t>
      </w:r>
      <w:r>
        <w:rPr>
          <w:rFonts w:hint="eastAsia"/>
        </w:rPr>
        <w:t>，並規定該使用分區提供</w:t>
      </w:r>
      <w:r w:rsidRPr="004E4C1B">
        <w:rPr>
          <w:rFonts w:hint="eastAsia"/>
        </w:rPr>
        <w:t>文化產業展售處所及辦公空間、文化交流空間、多功能表演廳、多功能展示廳、會議室、討論室、交誼廳、文化觀光資訊服務窗口等使用之樓地板面積</w:t>
      </w:r>
      <w:r>
        <w:rPr>
          <w:rFonts w:hint="eastAsia"/>
        </w:rPr>
        <w:t>，不得少於總容積樓地板面積之3分之1，餘依該市土地使用分區管制規則</w:t>
      </w:r>
      <w:r>
        <w:rPr>
          <w:rStyle w:val="aff1"/>
        </w:rPr>
        <w:footnoteReference w:id="22"/>
      </w:r>
      <w:r>
        <w:rPr>
          <w:rFonts w:hint="eastAsia"/>
        </w:rPr>
        <w:t>第4</w:t>
      </w:r>
      <w:r w:rsidRPr="004E4C1B">
        <w:rPr>
          <w:rFonts w:hint="eastAsia"/>
        </w:rPr>
        <w:t>種商業區規定辦理</w:t>
      </w:r>
      <w:r>
        <w:rPr>
          <w:rFonts w:hint="eastAsia"/>
        </w:rPr>
        <w:t>，另該都市計畫案訂有</w:t>
      </w:r>
      <w:r>
        <w:rPr>
          <w:rFonts w:hAnsi="標楷體" w:hint="eastAsia"/>
        </w:rPr>
        <w:t>「臺北市中正區文化觀光專用區都市設計</w:t>
      </w:r>
      <w:r>
        <w:rPr>
          <w:rFonts w:hAnsi="標楷體" w:hint="eastAsia"/>
        </w:rPr>
        <w:lastRenderedPageBreak/>
        <w:t>管制要點」，規定本案申請建築時，須經「臺北市都市設計及土地使用開發許可審議委員會」審議通過，始得依法申請建造執照或施工</w:t>
      </w:r>
      <w:r w:rsidRPr="004E4C1B">
        <w:rPr>
          <w:rFonts w:hint="eastAsia"/>
        </w:rPr>
        <w:t>。</w:t>
      </w:r>
      <w:r>
        <w:rPr>
          <w:rFonts w:hint="eastAsia"/>
        </w:rPr>
        <w:t>嗣</w:t>
      </w:r>
      <w:r w:rsidRPr="00271A69">
        <w:rPr>
          <w:rFonts w:hint="eastAsia"/>
        </w:rPr>
        <w:t>104年8月25日</w:t>
      </w:r>
      <w:r>
        <w:rPr>
          <w:rFonts w:hint="eastAsia"/>
        </w:rPr>
        <w:t>，臺北市政府再</w:t>
      </w:r>
      <w:r w:rsidRPr="00271A69">
        <w:rPr>
          <w:rFonts w:hint="eastAsia"/>
        </w:rPr>
        <w:t>公告實施「變更臺北市中正區公園段三小段10、11地號等2筆土地第四種商業區為公園用地暨修訂文化觀光專用區(市議會舊址)土地使用分區管制規定細部計畫案」</w:t>
      </w:r>
      <w:r>
        <w:rPr>
          <w:rFonts w:hint="eastAsia"/>
        </w:rPr>
        <w:t>，基於</w:t>
      </w:r>
      <w:r w:rsidRPr="00271A69">
        <w:rPr>
          <w:rFonts w:hint="eastAsia"/>
        </w:rPr>
        <w:t>保留城市發展歷史記憶，</w:t>
      </w:r>
      <w:r>
        <w:rPr>
          <w:rFonts w:hint="eastAsia"/>
        </w:rPr>
        <w:t>規定</w:t>
      </w:r>
      <w:r>
        <w:rPr>
          <w:rFonts w:hAnsi="標楷體" w:hint="eastAsia"/>
        </w:rPr>
        <w:t>「</w:t>
      </w:r>
      <w:r w:rsidRPr="00271A69">
        <w:rPr>
          <w:rFonts w:hint="eastAsia"/>
        </w:rPr>
        <w:t>文化觀光專用區</w:t>
      </w:r>
      <w:r>
        <w:rPr>
          <w:rFonts w:hAnsi="標楷體" w:hint="eastAsia"/>
        </w:rPr>
        <w:t>」</w:t>
      </w:r>
      <w:r w:rsidRPr="00271A69">
        <w:rPr>
          <w:rFonts w:hint="eastAsia"/>
        </w:rPr>
        <w:t>應</w:t>
      </w:r>
      <w:r w:rsidR="003838DA">
        <w:rPr>
          <w:rFonts w:hint="eastAsia"/>
        </w:rPr>
        <w:t>以形</w:t>
      </w:r>
      <w:r w:rsidRPr="00271A69">
        <w:rPr>
          <w:rFonts w:hint="eastAsia"/>
        </w:rPr>
        <w:t>塑市議會歷史展示等空間為原則，並應設置考棚行署記念碑，以達到公有土地活化使用、促進地區發展、增加財稅收入及</w:t>
      </w:r>
      <w:r w:rsidR="003838DA">
        <w:rPr>
          <w:rFonts w:hint="eastAsia"/>
        </w:rPr>
        <w:t>形</w:t>
      </w:r>
      <w:r w:rsidRPr="00271A69">
        <w:rPr>
          <w:rFonts w:hint="eastAsia"/>
        </w:rPr>
        <w:t>塑城市發展願景等目標。</w:t>
      </w:r>
    </w:p>
    <w:p w:rsidR="003838DA" w:rsidRDefault="003838DA" w:rsidP="003838DA">
      <w:pPr>
        <w:pStyle w:val="3"/>
        <w:numPr>
          <w:ilvl w:val="0"/>
          <w:numId w:val="0"/>
        </w:numPr>
        <w:kinsoku w:val="0"/>
        <w:overflowPunct/>
        <w:autoSpaceDE/>
        <w:autoSpaceDN/>
        <w:ind w:left="1393"/>
      </w:pPr>
    </w:p>
    <w:p w:rsidR="00BD146A" w:rsidRPr="00F93B14" w:rsidRDefault="00BD146A" w:rsidP="00BD146A">
      <w:pPr>
        <w:pStyle w:val="3"/>
        <w:kinsoku w:val="0"/>
        <w:overflowPunct/>
        <w:autoSpaceDE/>
        <w:autoSpaceDN/>
        <w:ind w:left="1393" w:hanging="697"/>
      </w:pPr>
      <w:r>
        <w:rPr>
          <w:rFonts w:hint="eastAsia"/>
        </w:rPr>
        <w:t>案經台</w:t>
      </w:r>
      <w:r w:rsidR="003838DA">
        <w:rPr>
          <w:rFonts w:hint="eastAsia"/>
        </w:rPr>
        <w:t>北</w:t>
      </w:r>
      <w:r>
        <w:rPr>
          <w:rFonts w:hint="eastAsia"/>
        </w:rPr>
        <w:t>市政府6度招標，始於</w:t>
      </w:r>
      <w:r w:rsidRPr="001074A9">
        <w:rPr>
          <w:rFonts w:hint="eastAsia"/>
        </w:rPr>
        <w:t>106年10月25日與該得標合作聯盟</w:t>
      </w:r>
      <w:r>
        <w:rPr>
          <w:rStyle w:val="aff1"/>
        </w:rPr>
        <w:footnoteReference w:id="23"/>
      </w:r>
      <w:r w:rsidRPr="001074A9">
        <w:rPr>
          <w:rFonts w:hint="eastAsia"/>
        </w:rPr>
        <w:t>成立之專案公司「金毓泰股份有限公司」</w:t>
      </w:r>
      <w:r>
        <w:rPr>
          <w:rFonts w:hint="eastAsia"/>
        </w:rPr>
        <w:t>簽訂設定地上權契約（如前述）。其開發基地坐落中正區3小段1地號等13筆土地，分A基地（1筆土地，原市議會舊址，屬</w:t>
      </w:r>
      <w:r w:rsidRPr="00FF2C0B">
        <w:rPr>
          <w:rFonts w:hAnsi="標楷體" w:hint="eastAsia"/>
        </w:rPr>
        <w:t>「</w:t>
      </w:r>
      <w:r>
        <w:rPr>
          <w:rFonts w:hint="eastAsia"/>
        </w:rPr>
        <w:t>文化觀光專用區</w:t>
      </w:r>
      <w:r w:rsidRPr="00FF2C0B">
        <w:rPr>
          <w:rFonts w:hAnsi="標楷體" w:hint="eastAsia"/>
        </w:rPr>
        <w:t>」</w:t>
      </w:r>
      <w:r>
        <w:rPr>
          <w:rFonts w:hint="eastAsia"/>
        </w:rPr>
        <w:t>），以及中山南路2巷以南之E1基地（9筆，</w:t>
      </w:r>
      <w:r w:rsidRPr="00665DAD">
        <w:rPr>
          <w:rFonts w:hint="eastAsia"/>
        </w:rPr>
        <w:t>屬「文化觀光專用區」</w:t>
      </w:r>
      <w:r>
        <w:rPr>
          <w:rFonts w:hint="eastAsia"/>
        </w:rPr>
        <w:t>）、E2基地（3筆，屬</w:t>
      </w:r>
      <w:r w:rsidRPr="00FF2C0B">
        <w:rPr>
          <w:rFonts w:hAnsi="標楷體" w:hint="eastAsia"/>
        </w:rPr>
        <w:t>「第四種商業區」</w:t>
      </w:r>
      <w:r>
        <w:rPr>
          <w:rFonts w:hint="eastAsia"/>
        </w:rPr>
        <w:t>）共3基地。詢據臺北市政府相關人員表示，本案</w:t>
      </w:r>
      <w:r w:rsidRPr="00100589">
        <w:rPr>
          <w:rFonts w:hint="eastAsia"/>
        </w:rPr>
        <w:t>得標人應提供</w:t>
      </w:r>
      <w:r>
        <w:rPr>
          <w:rFonts w:hAnsi="標楷體" w:hint="eastAsia"/>
        </w:rPr>
        <w:t>「</w:t>
      </w:r>
      <w:r w:rsidRPr="00100589">
        <w:rPr>
          <w:rFonts w:hint="eastAsia"/>
        </w:rPr>
        <w:t>文化觀光專用區</w:t>
      </w:r>
      <w:r>
        <w:rPr>
          <w:rFonts w:hAnsi="標楷體" w:hint="eastAsia"/>
        </w:rPr>
        <w:t>」土地</w:t>
      </w:r>
      <w:r w:rsidRPr="00F93B14">
        <w:rPr>
          <w:rFonts w:hAnsi="標楷體" w:hint="eastAsia"/>
        </w:rPr>
        <w:t>開發總容積樓地板面積</w:t>
      </w:r>
      <w:r>
        <w:rPr>
          <w:rFonts w:hAnsi="標楷體" w:hint="eastAsia"/>
        </w:rPr>
        <w:t>40％</w:t>
      </w:r>
      <w:r w:rsidRPr="00F93B14">
        <w:rPr>
          <w:rFonts w:hAnsi="標楷體" w:hint="eastAsia"/>
        </w:rPr>
        <w:t>以上作為文化觀光設施使用</w:t>
      </w:r>
      <w:r>
        <w:rPr>
          <w:rFonts w:hAnsi="標楷體" w:hint="eastAsia"/>
        </w:rPr>
        <w:t>，其中</w:t>
      </w:r>
      <w:r w:rsidRPr="00F93B14">
        <w:rPr>
          <w:rFonts w:hAnsi="標楷體" w:hint="eastAsia"/>
        </w:rPr>
        <w:t>20</w:t>
      </w:r>
      <w:r>
        <w:rPr>
          <w:rFonts w:hAnsi="標楷體" w:hint="eastAsia"/>
        </w:rPr>
        <w:t>％供</w:t>
      </w:r>
      <w:r w:rsidRPr="00F93B14">
        <w:rPr>
          <w:rFonts w:hAnsi="標楷體" w:hint="eastAsia"/>
        </w:rPr>
        <w:t>興建「臺北城博物館」(含臺北城未來願景與歷史展示、舊市議會文物及考棚行署紀念碑等)，並無償提供該府使用；</w:t>
      </w:r>
      <w:r>
        <w:rPr>
          <w:rFonts w:hAnsi="標楷體" w:hint="eastAsia"/>
        </w:rPr>
        <w:t>另</w:t>
      </w:r>
      <w:r w:rsidRPr="00F93B14">
        <w:rPr>
          <w:rFonts w:hAnsi="標楷體" w:hint="eastAsia"/>
        </w:rPr>
        <w:t>20</w:t>
      </w:r>
      <w:r>
        <w:rPr>
          <w:rFonts w:hAnsi="標楷體" w:hint="eastAsia"/>
        </w:rPr>
        <w:t>％則應</w:t>
      </w:r>
      <w:r w:rsidRPr="00F93B14">
        <w:rPr>
          <w:rFonts w:hAnsi="標楷體" w:hint="eastAsia"/>
        </w:rPr>
        <w:t>依本案都市計畫細部計畫規定</w:t>
      </w:r>
      <w:r>
        <w:rPr>
          <w:rFonts w:hAnsi="標楷體" w:hint="eastAsia"/>
        </w:rPr>
        <w:t>，</w:t>
      </w:r>
      <w:r w:rsidRPr="00F93B14">
        <w:rPr>
          <w:rFonts w:hAnsi="標楷體" w:hint="eastAsia"/>
        </w:rPr>
        <w:t>設置其他相關文化觀光設施（如文化產業展售處所及辦公空間、文化交流空間、多功能表演廳、多功能展示廳、會議室、研討室、交誼廳、文化觀光資訊服務窗口暨附屬</w:t>
      </w:r>
      <w:r w:rsidRPr="00F93B14">
        <w:rPr>
          <w:rFonts w:hAnsi="標楷體" w:hint="eastAsia"/>
        </w:rPr>
        <w:lastRenderedPageBreak/>
        <w:t>支援性設施空間等），並由得標人自行經營管</w:t>
      </w:r>
      <w:r>
        <w:rPr>
          <w:rFonts w:hAnsi="標楷體" w:hint="eastAsia"/>
        </w:rPr>
        <w:t>理；又</w:t>
      </w:r>
      <w:r w:rsidRPr="00F93B14">
        <w:rPr>
          <w:rFonts w:hAnsi="標楷體" w:hint="eastAsia"/>
        </w:rPr>
        <w:t>「臺北城博物館」營運週轉金依簽約當期土地公告地價2％計算，得標人每年應繳付1,483萬元。</w:t>
      </w:r>
    </w:p>
    <w:p w:rsidR="0049762B" w:rsidRDefault="0049762B" w:rsidP="0049762B">
      <w:pPr>
        <w:jc w:val="center"/>
      </w:pPr>
      <w:r>
        <w:rPr>
          <w:noProof/>
        </w:rPr>
        <w:drawing>
          <wp:inline distT="0" distB="0" distL="0" distR="0" wp14:anchorId="150C63A4" wp14:editId="17574759">
            <wp:extent cx="5057775" cy="3404741"/>
            <wp:effectExtent l="0" t="0" r="0" b="5715"/>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73947" cy="3415628"/>
                    </a:xfrm>
                    <a:prstGeom prst="rect">
                      <a:avLst/>
                    </a:prstGeom>
                    <a:noFill/>
                  </pic:spPr>
                </pic:pic>
              </a:graphicData>
            </a:graphic>
          </wp:inline>
        </w:drawing>
      </w:r>
    </w:p>
    <w:p w:rsidR="0049762B" w:rsidRDefault="0049762B" w:rsidP="00CC499B">
      <w:pPr>
        <w:jc w:val="center"/>
        <w:rPr>
          <w:rFonts w:hAnsi="標楷體"/>
          <w:b/>
          <w:sz w:val="28"/>
          <w:szCs w:val="28"/>
        </w:rPr>
      </w:pPr>
      <w:r w:rsidRPr="0049762B">
        <w:rPr>
          <w:rFonts w:hAnsi="標楷體" w:hint="eastAsia"/>
          <w:b/>
          <w:sz w:val="28"/>
          <w:szCs w:val="28"/>
        </w:rPr>
        <w:t>圖</w:t>
      </w:r>
      <w:r w:rsidR="00B733E0">
        <w:rPr>
          <w:rFonts w:hAnsi="標楷體" w:hint="eastAsia"/>
          <w:b/>
          <w:sz w:val="28"/>
          <w:szCs w:val="28"/>
        </w:rPr>
        <w:t>A</w:t>
      </w:r>
      <w:r w:rsidRPr="0049762B">
        <w:rPr>
          <w:rFonts w:hAnsi="標楷體" w:hint="eastAsia"/>
          <w:b/>
          <w:sz w:val="28"/>
          <w:szCs w:val="28"/>
        </w:rPr>
        <w:t>4 「市議會舊址設定地上權案」基地位置圖</w:t>
      </w:r>
    </w:p>
    <w:p w:rsidR="00B733E0" w:rsidRPr="00B733E0" w:rsidRDefault="00B733E0" w:rsidP="00CC499B">
      <w:pPr>
        <w:pStyle w:val="3"/>
        <w:numPr>
          <w:ilvl w:val="0"/>
          <w:numId w:val="0"/>
        </w:numPr>
        <w:kinsoku w:val="0"/>
        <w:overflowPunct/>
        <w:autoSpaceDE/>
        <w:autoSpaceDN/>
        <w:spacing w:afterLines="100" w:after="457"/>
        <w:ind w:left="284"/>
        <w:rPr>
          <w:rFonts w:hAnsi="標楷體"/>
          <w:sz w:val="24"/>
          <w:szCs w:val="24"/>
        </w:rPr>
      </w:pPr>
      <w:r w:rsidRPr="00B733E0">
        <w:rPr>
          <w:rFonts w:hAnsi="標楷體" w:hint="eastAsia"/>
          <w:sz w:val="24"/>
          <w:szCs w:val="24"/>
        </w:rPr>
        <w:t>資料來源：</w:t>
      </w:r>
      <w:r w:rsidR="00AA6F46">
        <w:rPr>
          <w:rFonts w:hAnsi="標楷體" w:hint="eastAsia"/>
          <w:sz w:val="24"/>
          <w:szCs w:val="24"/>
        </w:rPr>
        <w:t>臺北市政府。</w:t>
      </w:r>
    </w:p>
    <w:p w:rsidR="0049762B" w:rsidRDefault="00676D04" w:rsidP="0049762B">
      <w:pPr>
        <w:jc w:val="center"/>
        <w:rPr>
          <w:rFonts w:hAnsi="標楷體"/>
          <w:szCs w:val="32"/>
        </w:rPr>
      </w:pPr>
      <w:r>
        <w:rPr>
          <w:rFonts w:hAnsi="標楷體"/>
          <w:noProof/>
          <w:szCs w:val="32"/>
        </w:rPr>
        <w:lastRenderedPageBreak/>
        <w:drawing>
          <wp:inline distT="0" distB="0" distL="0" distR="0">
            <wp:extent cx="5049570" cy="3738372"/>
            <wp:effectExtent l="0" t="0" r="0" b="0"/>
            <wp:docPr id="18" name="圖片 18" descr="C:\Users\mljung\Desktop\圖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ljung\Desktop\圖片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54728" cy="3742191"/>
                    </a:xfrm>
                    <a:prstGeom prst="rect">
                      <a:avLst/>
                    </a:prstGeom>
                    <a:noFill/>
                    <a:ln>
                      <a:noFill/>
                    </a:ln>
                  </pic:spPr>
                </pic:pic>
              </a:graphicData>
            </a:graphic>
          </wp:inline>
        </w:drawing>
      </w:r>
    </w:p>
    <w:p w:rsidR="0049762B" w:rsidRPr="0049762B" w:rsidRDefault="0049762B" w:rsidP="00CC499B">
      <w:pPr>
        <w:spacing w:beforeLines="25" w:before="114"/>
        <w:jc w:val="center"/>
        <w:rPr>
          <w:rFonts w:hAnsi="標楷體"/>
          <w:b/>
          <w:sz w:val="28"/>
          <w:szCs w:val="28"/>
        </w:rPr>
      </w:pPr>
      <w:r w:rsidRPr="0049762B">
        <w:rPr>
          <w:rFonts w:hAnsi="標楷體" w:hint="eastAsia"/>
          <w:b/>
          <w:sz w:val="28"/>
          <w:szCs w:val="28"/>
        </w:rPr>
        <w:t>圖</w:t>
      </w:r>
      <w:r w:rsidR="00B733E0">
        <w:rPr>
          <w:rFonts w:hAnsi="標楷體" w:hint="eastAsia"/>
          <w:b/>
          <w:sz w:val="28"/>
          <w:szCs w:val="28"/>
        </w:rPr>
        <w:t>A</w:t>
      </w:r>
      <w:r w:rsidRPr="0049762B">
        <w:rPr>
          <w:rFonts w:hAnsi="標楷體" w:hint="eastAsia"/>
          <w:b/>
          <w:sz w:val="28"/>
          <w:szCs w:val="28"/>
        </w:rPr>
        <w:t>5 「市議會舊址設定地上權案」建築規劃鳥瞰圖</w:t>
      </w:r>
    </w:p>
    <w:p w:rsidR="003838DA" w:rsidRDefault="00AA6F46" w:rsidP="00B733E0">
      <w:pPr>
        <w:pStyle w:val="3"/>
        <w:numPr>
          <w:ilvl w:val="0"/>
          <w:numId w:val="0"/>
        </w:numPr>
        <w:kinsoku w:val="0"/>
        <w:overflowPunct/>
        <w:autoSpaceDE/>
        <w:autoSpaceDN/>
        <w:ind w:left="284"/>
        <w:rPr>
          <w:rFonts w:hAnsi="標楷體"/>
          <w:sz w:val="24"/>
          <w:szCs w:val="24"/>
        </w:rPr>
      </w:pPr>
      <w:r w:rsidRPr="00AA6F46">
        <w:rPr>
          <w:rFonts w:hAnsi="標楷體" w:hint="eastAsia"/>
          <w:sz w:val="24"/>
          <w:szCs w:val="24"/>
        </w:rPr>
        <w:t>資料來源：本案投資興建計畫書草案，</w:t>
      </w:r>
      <w:r>
        <w:rPr>
          <w:rFonts w:hAnsi="標楷體" w:hint="eastAsia"/>
          <w:sz w:val="24"/>
          <w:szCs w:val="24"/>
        </w:rPr>
        <w:t>Ｐ</w:t>
      </w:r>
      <w:r w:rsidRPr="00AA6F46">
        <w:rPr>
          <w:rFonts w:hAnsi="標楷體" w:hint="eastAsia"/>
          <w:sz w:val="24"/>
          <w:szCs w:val="24"/>
        </w:rPr>
        <w:t>2-15</w:t>
      </w:r>
      <w:r>
        <w:rPr>
          <w:rFonts w:hAnsi="標楷體" w:hint="eastAsia"/>
          <w:sz w:val="24"/>
          <w:szCs w:val="24"/>
        </w:rPr>
        <w:t>。</w:t>
      </w:r>
    </w:p>
    <w:p w:rsidR="00BD146A" w:rsidRPr="00851AED" w:rsidRDefault="00BD146A" w:rsidP="00BD146A">
      <w:pPr>
        <w:pStyle w:val="3"/>
        <w:kinsoku w:val="0"/>
        <w:overflowPunct/>
        <w:autoSpaceDE/>
        <w:autoSpaceDN/>
        <w:ind w:left="1393" w:hanging="697"/>
      </w:pPr>
      <w:r>
        <w:rPr>
          <w:rFonts w:hint="eastAsia"/>
        </w:rPr>
        <w:t>然依據本案投資人所提投資興建計畫書（草案）所載，本案開發基地北側忠孝東路與中山南路轉角基地（即A基地），規劃興建地上高達28層、地下5層之建築，全棟作為旅館經營使用；南側青島西路與中山南路轉角基地（即</w:t>
      </w:r>
      <w:r w:rsidRPr="00B86460">
        <w:rPr>
          <w:rFonts w:hint="eastAsia"/>
        </w:rPr>
        <w:t>E1、E2基地</w:t>
      </w:r>
      <w:r>
        <w:rPr>
          <w:rFonts w:hint="eastAsia"/>
        </w:rPr>
        <w:t>），亦規劃地上17層、地下5層之建築，其中地上1層至地上7層供</w:t>
      </w:r>
      <w:r>
        <w:rPr>
          <w:rFonts w:hAnsi="標楷體" w:hint="eastAsia"/>
        </w:rPr>
        <w:t>「臺北城博物館」使用，其餘供辦公商業大樓使用。鑑於</w:t>
      </w:r>
      <w:r w:rsidRPr="00B57A67">
        <w:rPr>
          <w:rFonts w:hAnsi="標楷體" w:hint="eastAsia"/>
        </w:rPr>
        <w:t>本案</w:t>
      </w:r>
      <w:r w:rsidR="003838DA">
        <w:rPr>
          <w:rFonts w:hAnsi="標楷體" w:hint="eastAsia"/>
        </w:rPr>
        <w:t>開</w:t>
      </w:r>
      <w:r w:rsidRPr="00B57A67">
        <w:rPr>
          <w:rFonts w:hAnsi="標楷體" w:hint="eastAsia"/>
        </w:rPr>
        <w:t>發基地</w:t>
      </w:r>
      <w:r>
        <w:rPr>
          <w:rFonts w:hAnsi="標楷體" w:hint="eastAsia"/>
        </w:rPr>
        <w:t>深</w:t>
      </w:r>
      <w:r w:rsidRPr="00B57A67">
        <w:rPr>
          <w:rFonts w:hAnsi="標楷體" w:hint="eastAsia"/>
        </w:rPr>
        <w:t>具歷史意義，</w:t>
      </w:r>
      <w:r w:rsidRPr="00851AED">
        <w:rPr>
          <w:rFonts w:hint="eastAsia"/>
        </w:rPr>
        <w:t>且位處商業與文化軸線之重要門戶位置，</w:t>
      </w:r>
      <w:r w:rsidR="00CB0575" w:rsidRPr="00CB0575">
        <w:rPr>
          <w:rFonts w:hint="eastAsia"/>
        </w:rPr>
        <w:t>且</w:t>
      </w:r>
      <w:r w:rsidR="00CB0575" w:rsidRPr="00CB0575">
        <w:rPr>
          <w:rFonts w:hint="eastAsia"/>
          <w:szCs w:val="32"/>
        </w:rPr>
        <w:t>隔中山南北路與行政院(國定古蹟)、監察院(國定古蹟)及立法院(直轄市定古蹟)等法定古蹟遙遙相望，</w:t>
      </w:r>
      <w:r w:rsidR="003838DA" w:rsidRPr="00851AED">
        <w:rPr>
          <w:rFonts w:hint="eastAsia"/>
        </w:rPr>
        <w:t>臺北市政府</w:t>
      </w:r>
      <w:r w:rsidRPr="00851AED">
        <w:rPr>
          <w:rFonts w:hint="eastAsia"/>
        </w:rPr>
        <w:t>允宜注意本案對都市景觀、古蹟相容性及周邊交通之衝擊等，密切監督得標人後續開發事宜，並就案內「臺北城博物館」內涵及其與本案建築內外部空間之融合，妥提規劃需求。</w:t>
      </w:r>
    </w:p>
    <w:p w:rsidR="00FE1848" w:rsidRPr="00810BED" w:rsidRDefault="00FE1848" w:rsidP="00FE1848">
      <w:pPr>
        <w:pStyle w:val="2"/>
        <w:numPr>
          <w:ilvl w:val="0"/>
          <w:numId w:val="0"/>
        </w:numPr>
        <w:ind w:left="1047"/>
        <w:rPr>
          <w:b/>
        </w:rPr>
      </w:pPr>
    </w:p>
    <w:p w:rsidR="00FE1848" w:rsidRPr="005F6AE6" w:rsidRDefault="00FE1848" w:rsidP="00FE1848">
      <w:pPr>
        <w:pStyle w:val="2"/>
        <w:kinsoku w:val="0"/>
        <w:overflowPunct/>
        <w:autoSpaceDE/>
        <w:autoSpaceDN/>
        <w:ind w:left="1047" w:hanging="697"/>
        <w:rPr>
          <w:b/>
          <w:color w:val="000000"/>
          <w:szCs w:val="32"/>
        </w:rPr>
      </w:pPr>
      <w:r w:rsidRPr="005F6AE6">
        <w:rPr>
          <w:rFonts w:hint="eastAsia"/>
          <w:b/>
          <w:color w:val="000000"/>
          <w:szCs w:val="32"/>
        </w:rPr>
        <w:t>對於開發案之規劃內容，主辦機關應於審酌市場需求後，依據其願景及目標予以具體規劃，尤</w:t>
      </w:r>
      <w:r w:rsidR="008F2E92" w:rsidRPr="00C214C1">
        <w:rPr>
          <w:rFonts w:hint="eastAsia"/>
          <w:b/>
          <w:color w:val="000000"/>
          <w:szCs w:val="32"/>
        </w:rPr>
        <w:t>應慎重</w:t>
      </w:r>
      <w:r w:rsidR="008F2E92">
        <w:rPr>
          <w:rFonts w:hint="eastAsia"/>
          <w:b/>
          <w:color w:val="000000"/>
          <w:szCs w:val="32"/>
        </w:rPr>
        <w:t>首</w:t>
      </w:r>
      <w:r w:rsidRPr="005F6AE6">
        <w:rPr>
          <w:rFonts w:hint="eastAsia"/>
          <w:b/>
          <w:color w:val="000000"/>
          <w:szCs w:val="32"/>
        </w:rPr>
        <w:t>次招商之成敗</w:t>
      </w:r>
      <w:r w:rsidRPr="00C214C1">
        <w:rPr>
          <w:rFonts w:hint="eastAsia"/>
          <w:b/>
          <w:color w:val="000000"/>
          <w:szCs w:val="32"/>
        </w:rPr>
        <w:t>，明確規範投資人與政府之權利義務，訂出合理之權利金底價</w:t>
      </w:r>
      <w:r w:rsidRPr="005F6AE6">
        <w:rPr>
          <w:rFonts w:hint="eastAsia"/>
          <w:b/>
          <w:color w:val="000000"/>
          <w:szCs w:val="32"/>
        </w:rPr>
        <w:t>；一旦</w:t>
      </w:r>
      <w:r w:rsidR="00A0062F">
        <w:rPr>
          <w:rFonts w:hint="eastAsia"/>
          <w:b/>
          <w:color w:val="000000"/>
          <w:szCs w:val="32"/>
        </w:rPr>
        <w:t>首</w:t>
      </w:r>
      <w:r w:rsidRPr="005F6AE6">
        <w:rPr>
          <w:rFonts w:hint="eastAsia"/>
          <w:b/>
          <w:color w:val="000000"/>
          <w:szCs w:val="32"/>
        </w:rPr>
        <w:t>次招商不成時，後續勢必影響潛在投資人信心，則開發案之時效</w:t>
      </w:r>
      <w:r w:rsidR="00A0062F" w:rsidRPr="005F6AE6">
        <w:rPr>
          <w:rFonts w:hint="eastAsia"/>
          <w:b/>
          <w:color w:val="000000"/>
          <w:szCs w:val="32"/>
        </w:rPr>
        <w:t>將</w:t>
      </w:r>
      <w:r w:rsidRPr="005F6AE6">
        <w:rPr>
          <w:rFonts w:hint="eastAsia"/>
          <w:b/>
          <w:color w:val="000000"/>
          <w:szCs w:val="32"/>
        </w:rPr>
        <w:t>無可避免</w:t>
      </w:r>
      <w:r w:rsidR="0095207D" w:rsidRPr="0095207D">
        <w:rPr>
          <w:rFonts w:hint="eastAsia"/>
          <w:b/>
          <w:color w:val="000000"/>
          <w:szCs w:val="32"/>
        </w:rPr>
        <w:t>地</w:t>
      </w:r>
      <w:r w:rsidRPr="005F6AE6">
        <w:rPr>
          <w:rFonts w:hint="eastAsia"/>
          <w:b/>
          <w:color w:val="000000"/>
          <w:szCs w:val="32"/>
        </w:rPr>
        <w:t>遭延宕。以「市議會舊址設定地上權案」為例，其第1次招標時潛在投資人認為文化觀光設施之規</w:t>
      </w:r>
      <w:r w:rsidRPr="005F6AE6">
        <w:rPr>
          <w:rFonts w:hAnsi="標楷體" w:hint="eastAsia"/>
          <w:b/>
          <w:color w:val="000000"/>
          <w:szCs w:val="32"/>
        </w:rPr>
        <w:t>劃使用內容未臻明確</w:t>
      </w:r>
      <w:r>
        <w:rPr>
          <w:rFonts w:hint="eastAsia"/>
          <w:b/>
          <w:color w:val="000000"/>
          <w:szCs w:val="32"/>
          <w:lang w:eastAsia="zh-HK"/>
        </w:rPr>
        <w:t>等</w:t>
      </w:r>
      <w:r w:rsidRPr="005F6AE6">
        <w:rPr>
          <w:rFonts w:hint="eastAsia"/>
          <w:b/>
          <w:color w:val="000000"/>
          <w:szCs w:val="32"/>
        </w:rPr>
        <w:t>，以致</w:t>
      </w:r>
      <w:r w:rsidRPr="005F6AE6">
        <w:rPr>
          <w:rFonts w:hAnsi="標楷體" w:hint="eastAsia"/>
          <w:b/>
          <w:color w:val="000000"/>
          <w:szCs w:val="32"/>
        </w:rPr>
        <w:t>扼阻</w:t>
      </w:r>
      <w:r w:rsidR="00A0062F">
        <w:rPr>
          <w:rFonts w:hAnsi="標楷體" w:hint="eastAsia"/>
          <w:b/>
          <w:color w:val="000000"/>
          <w:szCs w:val="32"/>
        </w:rPr>
        <w:t>了</w:t>
      </w:r>
      <w:r w:rsidRPr="005F6AE6">
        <w:rPr>
          <w:rFonts w:hAnsi="標楷體" w:hint="eastAsia"/>
          <w:b/>
          <w:color w:val="000000"/>
          <w:szCs w:val="32"/>
        </w:rPr>
        <w:t>潛在投資人之投資意願並為導致該次招標作業流標之重要原因之一。</w:t>
      </w:r>
      <w:r w:rsidRPr="005F6AE6">
        <w:rPr>
          <w:rFonts w:hAnsi="標楷體" w:hint="eastAsia"/>
          <w:b/>
          <w:color w:val="000000"/>
          <w:szCs w:val="32"/>
          <w:lang w:eastAsia="zh-HK"/>
        </w:rPr>
        <w:t>此外</w:t>
      </w:r>
      <w:r w:rsidRPr="005F6AE6">
        <w:rPr>
          <w:rFonts w:hAnsi="標楷體" w:hint="eastAsia"/>
          <w:b/>
          <w:color w:val="000000"/>
          <w:szCs w:val="32"/>
        </w:rPr>
        <w:t>，</w:t>
      </w:r>
      <w:r w:rsidR="00A0062F" w:rsidRPr="005F6AE6">
        <w:rPr>
          <w:rFonts w:hAnsi="標楷體" w:cs="DFHeiStd-W3" w:hint="eastAsia"/>
          <w:b/>
          <w:szCs w:val="32"/>
        </w:rPr>
        <w:t>檢討</w:t>
      </w:r>
      <w:r>
        <w:rPr>
          <w:rFonts w:hAnsi="標楷體" w:cs="DFHeiStd-W3" w:hint="eastAsia"/>
          <w:b/>
          <w:szCs w:val="32"/>
          <w:lang w:eastAsia="zh-HK"/>
        </w:rPr>
        <w:t>該</w:t>
      </w:r>
      <w:r w:rsidRPr="005F6AE6">
        <w:rPr>
          <w:rFonts w:hint="eastAsia"/>
          <w:b/>
          <w:color w:val="000000"/>
          <w:szCs w:val="32"/>
        </w:rPr>
        <w:t>案</w:t>
      </w:r>
      <w:r w:rsidRPr="005F6AE6">
        <w:rPr>
          <w:rFonts w:hAnsi="標楷體" w:cs="DFHeiStd-W3" w:hint="eastAsia"/>
          <w:b/>
          <w:szCs w:val="32"/>
        </w:rPr>
        <w:t>歷次流標</w:t>
      </w:r>
      <w:r w:rsidR="00A0062F">
        <w:rPr>
          <w:rFonts w:hAnsi="標楷體" w:cs="DFHeiStd-W3" w:hint="eastAsia"/>
          <w:b/>
          <w:szCs w:val="32"/>
        </w:rPr>
        <w:t>原委</w:t>
      </w:r>
      <w:r w:rsidRPr="005F6AE6">
        <w:rPr>
          <w:rFonts w:hAnsi="標楷體" w:cs="DFHeiStd-W3" w:hint="eastAsia"/>
          <w:b/>
          <w:szCs w:val="32"/>
        </w:rPr>
        <w:t>，權利金底價過高為主要原因之一</w:t>
      </w:r>
      <w:r w:rsidR="00A0062F">
        <w:rPr>
          <w:rFonts w:hAnsi="標楷體" w:cs="DFHeiStd-W3" w:hint="eastAsia"/>
          <w:b/>
          <w:szCs w:val="32"/>
        </w:rPr>
        <w:t>；</w:t>
      </w:r>
      <w:r w:rsidRPr="005F6AE6">
        <w:rPr>
          <w:rFonts w:hAnsi="標楷體" w:cs="DFHeiStd-W3" w:hint="eastAsia"/>
          <w:b/>
          <w:szCs w:val="32"/>
        </w:rPr>
        <w:t>再度招標時權利金底價縱因招標規範變更或因投資環境改變而調降金</w:t>
      </w:r>
      <w:r w:rsidRPr="007706BA">
        <w:rPr>
          <w:rFonts w:hAnsi="標楷體" w:cs="DFHeiStd-W3" w:hint="eastAsia"/>
          <w:b/>
          <w:szCs w:val="32"/>
        </w:rPr>
        <w:t>額並予以分期</w:t>
      </w:r>
      <w:r w:rsidRPr="005F6AE6">
        <w:rPr>
          <w:rFonts w:hAnsi="標楷體" w:cs="DFHeiStd-W3" w:hint="eastAsia"/>
          <w:b/>
          <w:szCs w:val="32"/>
        </w:rPr>
        <w:t>，</w:t>
      </w:r>
      <w:r w:rsidRPr="005F6AE6">
        <w:rPr>
          <w:rFonts w:hAnsi="標楷體" w:cs="DFHeiStd-W3" w:hint="eastAsia"/>
          <w:b/>
          <w:szCs w:val="32"/>
          <w:lang w:eastAsia="zh-HK"/>
        </w:rPr>
        <w:t>恐</w:t>
      </w:r>
      <w:r w:rsidRPr="005F6AE6">
        <w:rPr>
          <w:rFonts w:hAnsi="標楷體" w:cs="DFHeiStd-W3" w:hint="eastAsia"/>
          <w:b/>
          <w:szCs w:val="32"/>
        </w:rPr>
        <w:t>亦難杜外界質疑決策過程，爰權利金底價之決策過程，似應再予</w:t>
      </w:r>
      <w:r w:rsidR="00A0062F">
        <w:rPr>
          <w:rFonts w:hAnsi="標楷體" w:cs="DFHeiStd-W3" w:hint="eastAsia"/>
          <w:b/>
          <w:szCs w:val="32"/>
        </w:rPr>
        <w:t>探</w:t>
      </w:r>
      <w:r w:rsidRPr="005F6AE6">
        <w:rPr>
          <w:rFonts w:hAnsi="標楷體" w:cs="DFHeiStd-W3" w:hint="eastAsia"/>
          <w:b/>
          <w:szCs w:val="32"/>
        </w:rPr>
        <w:t>究精進之道</w:t>
      </w:r>
      <w:r w:rsidRPr="005F6AE6">
        <w:rPr>
          <w:rFonts w:hAnsi="標楷體" w:hint="eastAsia"/>
          <w:b/>
          <w:color w:val="000000"/>
          <w:szCs w:val="32"/>
        </w:rPr>
        <w:t>。臺北市政府</w:t>
      </w:r>
      <w:r w:rsidR="00A0062F">
        <w:rPr>
          <w:rFonts w:hAnsi="標楷體" w:hint="eastAsia"/>
          <w:b/>
          <w:color w:val="000000"/>
          <w:szCs w:val="32"/>
        </w:rPr>
        <w:t>允</w:t>
      </w:r>
      <w:r w:rsidRPr="005F6AE6">
        <w:rPr>
          <w:rFonts w:hAnsi="標楷體" w:hint="eastAsia"/>
          <w:b/>
          <w:color w:val="000000"/>
          <w:szCs w:val="32"/>
        </w:rPr>
        <w:t>應以</w:t>
      </w:r>
      <w:r>
        <w:rPr>
          <w:rFonts w:hAnsi="標楷體" w:hint="eastAsia"/>
          <w:b/>
          <w:color w:val="000000"/>
          <w:szCs w:val="32"/>
          <w:lang w:eastAsia="zh-HK"/>
        </w:rPr>
        <w:t>相關</w:t>
      </w:r>
      <w:r w:rsidRPr="005F6AE6">
        <w:rPr>
          <w:rFonts w:hAnsi="標楷體" w:hint="eastAsia"/>
          <w:b/>
          <w:color w:val="000000"/>
          <w:szCs w:val="32"/>
        </w:rPr>
        <w:t>案</w:t>
      </w:r>
      <w:r>
        <w:rPr>
          <w:rFonts w:hAnsi="標楷體" w:hint="eastAsia"/>
          <w:b/>
          <w:color w:val="000000"/>
          <w:szCs w:val="32"/>
          <w:lang w:eastAsia="zh-HK"/>
        </w:rPr>
        <w:t>例</w:t>
      </w:r>
      <w:r w:rsidRPr="005F6AE6">
        <w:rPr>
          <w:rFonts w:hAnsi="標楷體" w:hint="eastAsia"/>
          <w:b/>
          <w:color w:val="000000"/>
          <w:szCs w:val="32"/>
        </w:rPr>
        <w:t>歷經多次之流標為</w:t>
      </w:r>
      <w:r w:rsidR="00CC499B">
        <w:rPr>
          <w:rFonts w:hAnsi="標楷體" w:hint="eastAsia"/>
          <w:b/>
          <w:color w:val="000000"/>
          <w:szCs w:val="32"/>
        </w:rPr>
        <w:t>戒</w:t>
      </w:r>
      <w:r w:rsidRPr="005F6AE6">
        <w:rPr>
          <w:rFonts w:hAnsi="標楷體" w:hint="eastAsia"/>
          <w:b/>
          <w:color w:val="000000"/>
          <w:szCs w:val="32"/>
        </w:rPr>
        <w:t>，汲取經驗，避</w:t>
      </w:r>
      <w:r w:rsidRPr="005F6AE6">
        <w:rPr>
          <w:rFonts w:hint="eastAsia"/>
          <w:b/>
          <w:color w:val="000000"/>
        </w:rPr>
        <w:t>免重蹈覆轍，俾有助於其他</w:t>
      </w:r>
      <w:r w:rsidRPr="005F6AE6">
        <w:rPr>
          <w:rFonts w:hint="eastAsia"/>
          <w:b/>
          <w:color w:val="000000"/>
          <w:szCs w:val="32"/>
        </w:rPr>
        <w:t>開發案之推動。</w:t>
      </w:r>
    </w:p>
    <w:p w:rsidR="00A0062F" w:rsidRDefault="00A0062F" w:rsidP="00A0062F">
      <w:pPr>
        <w:pStyle w:val="3"/>
        <w:numPr>
          <w:ilvl w:val="0"/>
          <w:numId w:val="0"/>
        </w:numPr>
        <w:kinsoku w:val="0"/>
        <w:overflowPunct/>
        <w:autoSpaceDE/>
        <w:autoSpaceDN/>
        <w:ind w:left="1360"/>
        <w:rPr>
          <w:color w:val="000000"/>
          <w:szCs w:val="32"/>
        </w:rPr>
      </w:pPr>
    </w:p>
    <w:p w:rsidR="00FE1848" w:rsidRPr="00822CBC" w:rsidRDefault="00FE1848" w:rsidP="00FE1848">
      <w:pPr>
        <w:pStyle w:val="3"/>
        <w:kinsoku w:val="0"/>
        <w:overflowPunct/>
        <w:autoSpaceDE/>
        <w:autoSpaceDN/>
        <w:ind w:left="1360" w:hanging="680"/>
        <w:rPr>
          <w:color w:val="000000"/>
          <w:szCs w:val="32"/>
        </w:rPr>
      </w:pPr>
      <w:r>
        <w:rPr>
          <w:rFonts w:hint="eastAsia"/>
          <w:color w:val="000000"/>
          <w:szCs w:val="32"/>
          <w:lang w:eastAsia="zh-HK"/>
        </w:rPr>
        <w:t>查</w:t>
      </w:r>
      <w:r w:rsidRPr="00477869">
        <w:rPr>
          <w:rFonts w:hint="eastAsia"/>
          <w:color w:val="000000"/>
          <w:szCs w:val="32"/>
        </w:rPr>
        <w:t>本案98年原規劃以BOT方式辦理開發，後經財務試</w:t>
      </w:r>
      <w:r w:rsidRPr="00477869">
        <w:rPr>
          <w:color w:val="000000"/>
          <w:szCs w:val="32"/>
        </w:rPr>
        <w:t>算結果</w:t>
      </w:r>
      <w:r w:rsidRPr="00477869">
        <w:rPr>
          <w:rFonts w:hint="eastAsia"/>
          <w:color w:val="000000"/>
          <w:szCs w:val="32"/>
        </w:rPr>
        <w:t>尚不具備</w:t>
      </w:r>
      <w:r w:rsidRPr="00477869">
        <w:rPr>
          <w:color w:val="000000"/>
          <w:szCs w:val="32"/>
        </w:rPr>
        <w:t>民間機構經營之財務</w:t>
      </w:r>
      <w:r w:rsidRPr="00477869">
        <w:rPr>
          <w:rFonts w:hint="eastAsia"/>
          <w:color w:val="000000"/>
          <w:szCs w:val="32"/>
        </w:rPr>
        <w:t>可行性及</w:t>
      </w:r>
      <w:r w:rsidRPr="00477869">
        <w:rPr>
          <w:color w:val="000000"/>
          <w:szCs w:val="32"/>
        </w:rPr>
        <w:t>投資誘因</w:t>
      </w:r>
      <w:r w:rsidRPr="00477869">
        <w:rPr>
          <w:rFonts w:hint="eastAsia"/>
          <w:color w:val="000000"/>
          <w:szCs w:val="32"/>
        </w:rPr>
        <w:t>，另透過</w:t>
      </w:r>
      <w:r w:rsidRPr="00477869">
        <w:rPr>
          <w:color w:val="000000"/>
          <w:szCs w:val="32"/>
        </w:rPr>
        <w:t>都市更新</w:t>
      </w:r>
      <w:r w:rsidRPr="00477869">
        <w:rPr>
          <w:rFonts w:hint="eastAsia"/>
          <w:color w:val="000000"/>
          <w:szCs w:val="32"/>
        </w:rPr>
        <w:t>之權利</w:t>
      </w:r>
      <w:r w:rsidRPr="00477869">
        <w:rPr>
          <w:color w:val="000000"/>
          <w:szCs w:val="32"/>
        </w:rPr>
        <w:t>變換</w:t>
      </w:r>
      <w:r w:rsidRPr="00477869">
        <w:rPr>
          <w:rFonts w:hint="eastAsia"/>
          <w:color w:val="000000"/>
          <w:szCs w:val="32"/>
        </w:rPr>
        <w:t>過</w:t>
      </w:r>
      <w:r w:rsidRPr="00477869">
        <w:rPr>
          <w:color w:val="000000"/>
          <w:szCs w:val="32"/>
        </w:rPr>
        <w:t>程</w:t>
      </w:r>
      <w:r w:rsidRPr="00477869">
        <w:rPr>
          <w:rFonts w:hint="eastAsia"/>
          <w:color w:val="000000"/>
          <w:szCs w:val="32"/>
        </w:rPr>
        <w:t>將</w:t>
      </w:r>
      <w:r w:rsidRPr="00477869">
        <w:rPr>
          <w:color w:val="000000"/>
          <w:szCs w:val="32"/>
        </w:rPr>
        <w:t>減少</w:t>
      </w:r>
      <w:r w:rsidRPr="00E05022">
        <w:rPr>
          <w:rFonts w:hint="eastAsia"/>
          <w:color w:val="000000"/>
          <w:szCs w:val="32"/>
        </w:rPr>
        <w:t>臺北市政</w:t>
      </w:r>
      <w:r w:rsidRPr="00E05022">
        <w:rPr>
          <w:rFonts w:hAnsi="標楷體" w:hint="eastAsia"/>
          <w:color w:val="000000"/>
          <w:szCs w:val="32"/>
        </w:rPr>
        <w:t>府</w:t>
      </w:r>
      <w:r w:rsidRPr="00477869">
        <w:rPr>
          <w:rFonts w:hint="eastAsia"/>
          <w:color w:val="000000"/>
          <w:szCs w:val="32"/>
        </w:rPr>
        <w:t>土地所有權</w:t>
      </w:r>
      <w:r w:rsidRPr="00477869">
        <w:rPr>
          <w:color w:val="000000"/>
          <w:szCs w:val="32"/>
        </w:rPr>
        <w:t>持分</w:t>
      </w:r>
      <w:r w:rsidRPr="00477869">
        <w:rPr>
          <w:rFonts w:hint="eastAsia"/>
          <w:color w:val="000000"/>
          <w:szCs w:val="32"/>
        </w:rPr>
        <w:t>，基於永續經營理</w:t>
      </w:r>
      <w:r w:rsidRPr="00477869">
        <w:rPr>
          <w:color w:val="000000"/>
          <w:szCs w:val="32"/>
        </w:rPr>
        <w:t>念</w:t>
      </w:r>
      <w:r w:rsidRPr="00477869">
        <w:rPr>
          <w:rFonts w:hint="eastAsia"/>
          <w:color w:val="000000"/>
          <w:szCs w:val="32"/>
        </w:rPr>
        <w:t>，</w:t>
      </w:r>
      <w:r w:rsidR="00A0062F" w:rsidRPr="00E05022">
        <w:rPr>
          <w:rFonts w:hint="eastAsia"/>
          <w:color w:val="000000"/>
          <w:szCs w:val="32"/>
        </w:rPr>
        <w:t>臺北市政</w:t>
      </w:r>
      <w:r w:rsidR="00A0062F" w:rsidRPr="00E05022">
        <w:rPr>
          <w:rFonts w:hAnsi="標楷體" w:hint="eastAsia"/>
          <w:color w:val="000000"/>
          <w:szCs w:val="32"/>
        </w:rPr>
        <w:t>府</w:t>
      </w:r>
      <w:r w:rsidRPr="00477869">
        <w:rPr>
          <w:rFonts w:hint="eastAsia"/>
          <w:color w:val="000000"/>
          <w:szCs w:val="32"/>
        </w:rPr>
        <w:t>於102年10月16日</w:t>
      </w:r>
      <w:r w:rsidRPr="00477869">
        <w:rPr>
          <w:color w:val="000000"/>
          <w:szCs w:val="32"/>
        </w:rPr>
        <w:t>邀集相關單位研商</w:t>
      </w:r>
      <w:r>
        <w:rPr>
          <w:rFonts w:hint="eastAsia"/>
          <w:color w:val="000000"/>
          <w:szCs w:val="32"/>
          <w:lang w:eastAsia="zh-HK"/>
        </w:rPr>
        <w:t>後</w:t>
      </w:r>
      <w:r w:rsidRPr="00477869">
        <w:rPr>
          <w:color w:val="000000"/>
          <w:szCs w:val="32"/>
        </w:rPr>
        <w:t>，</w:t>
      </w:r>
      <w:r w:rsidRPr="00477869">
        <w:rPr>
          <w:rFonts w:hint="eastAsia"/>
          <w:color w:val="000000"/>
          <w:szCs w:val="32"/>
        </w:rPr>
        <w:t>請</w:t>
      </w:r>
      <w:r w:rsidRPr="00477869">
        <w:rPr>
          <w:color w:val="000000"/>
          <w:szCs w:val="32"/>
        </w:rPr>
        <w:t>財政局研析本案採</w:t>
      </w:r>
      <w:r w:rsidRPr="00477869">
        <w:rPr>
          <w:rFonts w:hint="eastAsia"/>
          <w:color w:val="000000"/>
          <w:szCs w:val="32"/>
        </w:rPr>
        <w:t>BOT或</w:t>
      </w:r>
      <w:r w:rsidRPr="00477869">
        <w:rPr>
          <w:color w:val="000000"/>
          <w:szCs w:val="32"/>
        </w:rPr>
        <w:t>以設定地上權方式開發</w:t>
      </w:r>
      <w:r w:rsidRPr="00477869">
        <w:rPr>
          <w:rFonts w:hint="eastAsia"/>
          <w:color w:val="000000"/>
          <w:szCs w:val="32"/>
        </w:rPr>
        <w:t>。</w:t>
      </w:r>
      <w:r w:rsidRPr="00477869">
        <w:rPr>
          <w:color w:val="000000"/>
          <w:szCs w:val="32"/>
        </w:rPr>
        <w:t>財政局基於財務可行性及</w:t>
      </w:r>
      <w:r w:rsidRPr="00477869">
        <w:rPr>
          <w:rFonts w:hint="eastAsia"/>
          <w:color w:val="000000"/>
          <w:szCs w:val="32"/>
        </w:rPr>
        <w:t>市有土地開發效率等</w:t>
      </w:r>
      <w:r w:rsidRPr="00477869">
        <w:rPr>
          <w:color w:val="000000"/>
          <w:szCs w:val="32"/>
        </w:rPr>
        <w:t>因素</w:t>
      </w:r>
      <w:r w:rsidRPr="00477869">
        <w:rPr>
          <w:rFonts w:hint="eastAsia"/>
          <w:color w:val="000000"/>
          <w:szCs w:val="32"/>
        </w:rPr>
        <w:t>，</w:t>
      </w:r>
      <w:r>
        <w:rPr>
          <w:rFonts w:hint="eastAsia"/>
          <w:color w:val="000000"/>
          <w:szCs w:val="32"/>
        </w:rPr>
        <w:t>102</w:t>
      </w:r>
      <w:r w:rsidRPr="00477869">
        <w:rPr>
          <w:color w:val="000000"/>
          <w:szCs w:val="32"/>
        </w:rPr>
        <w:t>年</w:t>
      </w:r>
      <w:r w:rsidRPr="00477869">
        <w:rPr>
          <w:rFonts w:hint="eastAsia"/>
          <w:color w:val="000000"/>
          <w:szCs w:val="32"/>
        </w:rPr>
        <w:t>10月2</w:t>
      </w:r>
      <w:r w:rsidRPr="00477869">
        <w:rPr>
          <w:color w:val="000000"/>
          <w:szCs w:val="32"/>
        </w:rPr>
        <w:t>8</w:t>
      </w:r>
      <w:r w:rsidRPr="00477869">
        <w:rPr>
          <w:rFonts w:hint="eastAsia"/>
          <w:color w:val="000000"/>
          <w:szCs w:val="32"/>
        </w:rPr>
        <w:t>日簽報核准以設定地上權方式辦理開發。</w:t>
      </w:r>
      <w:r w:rsidRPr="00E05022">
        <w:rPr>
          <w:rFonts w:hint="eastAsia"/>
          <w:color w:val="000000"/>
          <w:szCs w:val="32"/>
        </w:rPr>
        <w:t>臺北市政</w:t>
      </w:r>
      <w:r w:rsidRPr="00E05022">
        <w:rPr>
          <w:rFonts w:hAnsi="標楷體" w:hint="eastAsia"/>
          <w:color w:val="000000"/>
          <w:szCs w:val="32"/>
        </w:rPr>
        <w:t>府</w:t>
      </w:r>
      <w:r w:rsidRPr="00822CBC">
        <w:rPr>
          <w:rFonts w:hint="eastAsia"/>
          <w:color w:val="000000"/>
          <w:szCs w:val="32"/>
        </w:rPr>
        <w:t>原</w:t>
      </w:r>
      <w:r w:rsidRPr="00822CBC">
        <w:rPr>
          <w:color w:val="000000"/>
          <w:szCs w:val="32"/>
        </w:rPr>
        <w:t>於92年10月30日公告實施「變更臺北市中正區市議會舊址等行政區為文化觀光專用區計畫案」，</w:t>
      </w:r>
      <w:r w:rsidRPr="00822CBC">
        <w:rPr>
          <w:rFonts w:hint="eastAsia"/>
          <w:color w:val="000000"/>
          <w:szCs w:val="32"/>
        </w:rPr>
        <w:t>本</w:t>
      </w:r>
      <w:r w:rsidRPr="00822CBC">
        <w:rPr>
          <w:color w:val="000000"/>
          <w:szCs w:val="32"/>
        </w:rPr>
        <w:t>案基地除供作文化觀光相關設施使用外，並得作為地區性商業服務機能等功能使用，以塑造忠孝東西路商業軸帶之延續性</w:t>
      </w:r>
      <w:r w:rsidR="00A0062F" w:rsidRPr="00676D04">
        <w:rPr>
          <w:rFonts w:hAnsi="標楷體" w:hint="eastAsia"/>
          <w:szCs w:val="32"/>
        </w:rPr>
        <w:t>，完整勾勒市府刻正積極推動之「西</w:t>
      </w:r>
      <w:r w:rsidR="00A0062F" w:rsidRPr="00676D04">
        <w:rPr>
          <w:rFonts w:hAnsi="標楷體" w:hint="eastAsia"/>
          <w:szCs w:val="32"/>
        </w:rPr>
        <w:lastRenderedPageBreak/>
        <w:t>區門戶」構想</w:t>
      </w:r>
      <w:r w:rsidRPr="00676D04">
        <w:rPr>
          <w:szCs w:val="32"/>
        </w:rPr>
        <w:t>；</w:t>
      </w:r>
      <w:r w:rsidRPr="00676D04">
        <w:rPr>
          <w:rFonts w:hint="eastAsia"/>
          <w:szCs w:val="32"/>
        </w:rPr>
        <w:t>該府另於</w:t>
      </w:r>
      <w:r w:rsidRPr="00676D04">
        <w:rPr>
          <w:szCs w:val="32"/>
        </w:rPr>
        <w:t>104</w:t>
      </w:r>
      <w:r w:rsidRPr="00822CBC">
        <w:rPr>
          <w:rFonts w:hint="eastAsia"/>
          <w:color w:val="000000"/>
          <w:szCs w:val="32"/>
        </w:rPr>
        <w:t>年8月25日公告實施「</w:t>
      </w:r>
      <w:r w:rsidRPr="00822CBC">
        <w:rPr>
          <w:color w:val="000000"/>
          <w:szCs w:val="32"/>
        </w:rPr>
        <w:t>變更臺北市中正區公園段三小段10、11地號等2筆土地第四種商業區為公園用地暨修訂文化觀光專用區(市議會舊址)土地使用分區管制規定細部計畫案</w:t>
      </w:r>
      <w:r w:rsidRPr="00822CBC">
        <w:rPr>
          <w:rFonts w:hint="eastAsia"/>
          <w:color w:val="000000"/>
          <w:szCs w:val="32"/>
        </w:rPr>
        <w:t>」規定，為保留城市發展歷史記憶，文化觀光專用區應</w:t>
      </w:r>
      <w:r w:rsidR="00A0062F">
        <w:rPr>
          <w:rFonts w:hint="eastAsia"/>
          <w:color w:val="000000"/>
          <w:szCs w:val="32"/>
        </w:rPr>
        <w:t>以形</w:t>
      </w:r>
      <w:r w:rsidRPr="00822CBC">
        <w:rPr>
          <w:rFonts w:hint="eastAsia"/>
          <w:color w:val="000000"/>
          <w:szCs w:val="32"/>
        </w:rPr>
        <w:t>塑市議會歷史空間為原則</w:t>
      </w:r>
      <w:r>
        <w:rPr>
          <w:rFonts w:hint="eastAsia"/>
          <w:color w:val="000000"/>
          <w:szCs w:val="32"/>
        </w:rPr>
        <w:t>，並應設置考棚行署</w:t>
      </w:r>
      <w:r>
        <w:rPr>
          <w:rFonts w:hint="eastAsia"/>
          <w:color w:val="000000"/>
          <w:szCs w:val="32"/>
          <w:lang w:eastAsia="zh-HK"/>
        </w:rPr>
        <w:t>紀</w:t>
      </w:r>
      <w:r w:rsidRPr="00822CBC">
        <w:rPr>
          <w:rFonts w:hint="eastAsia"/>
          <w:color w:val="000000"/>
          <w:szCs w:val="32"/>
        </w:rPr>
        <w:t>念碑，以</w:t>
      </w:r>
      <w:r w:rsidRPr="00822CBC">
        <w:rPr>
          <w:color w:val="000000"/>
          <w:szCs w:val="32"/>
        </w:rPr>
        <w:t>達公有土地活化使用、促進地區發展、增加財稅收入及塑</w:t>
      </w:r>
      <w:r w:rsidR="00A0062F">
        <w:rPr>
          <w:rFonts w:hint="eastAsia"/>
          <w:color w:val="000000"/>
          <w:szCs w:val="32"/>
        </w:rPr>
        <w:t>造</w:t>
      </w:r>
      <w:r w:rsidRPr="00822CBC">
        <w:rPr>
          <w:color w:val="000000"/>
          <w:szCs w:val="32"/>
        </w:rPr>
        <w:t>城市發展願景等目標</w:t>
      </w:r>
      <w:r w:rsidRPr="00822CBC">
        <w:rPr>
          <w:rFonts w:hint="eastAsia"/>
          <w:color w:val="000000"/>
          <w:szCs w:val="32"/>
        </w:rPr>
        <w:t>。</w:t>
      </w:r>
      <w:r w:rsidRPr="00FC5B6D">
        <w:rPr>
          <w:rFonts w:hint="eastAsia"/>
          <w:color w:val="000000"/>
          <w:szCs w:val="32"/>
        </w:rPr>
        <w:t>本案自103年8月起至今，歷經6次招商</w:t>
      </w:r>
      <w:r>
        <w:rPr>
          <w:rFonts w:hint="eastAsia"/>
          <w:color w:val="000000"/>
          <w:szCs w:val="32"/>
        </w:rPr>
        <w:t>，</w:t>
      </w:r>
      <w:r w:rsidRPr="00FC5B6D">
        <w:rPr>
          <w:rFonts w:hint="eastAsia"/>
          <w:color w:val="000000"/>
          <w:szCs w:val="32"/>
        </w:rPr>
        <w:t>分</w:t>
      </w:r>
      <w:r w:rsidRPr="00FC5B6D">
        <w:rPr>
          <w:color w:val="000000"/>
          <w:szCs w:val="32"/>
        </w:rPr>
        <w:t>別於</w:t>
      </w:r>
      <w:r w:rsidRPr="00FC5B6D">
        <w:rPr>
          <w:rFonts w:hint="eastAsia"/>
          <w:color w:val="000000"/>
          <w:szCs w:val="32"/>
        </w:rPr>
        <w:t>103年8月13日</w:t>
      </w:r>
      <w:r w:rsidRPr="00FC5B6D">
        <w:rPr>
          <w:color w:val="000000"/>
          <w:szCs w:val="32"/>
        </w:rPr>
        <w:t>、</w:t>
      </w:r>
      <w:r w:rsidRPr="00FC5B6D">
        <w:rPr>
          <w:rFonts w:hint="eastAsia"/>
          <w:color w:val="000000"/>
          <w:szCs w:val="32"/>
        </w:rPr>
        <w:t>103年9月29日</w:t>
      </w:r>
      <w:r w:rsidRPr="00FC5B6D">
        <w:rPr>
          <w:color w:val="000000"/>
          <w:szCs w:val="32"/>
        </w:rPr>
        <w:t>、</w:t>
      </w:r>
      <w:r w:rsidRPr="00FC5B6D">
        <w:rPr>
          <w:rFonts w:hint="eastAsia"/>
          <w:color w:val="000000"/>
          <w:szCs w:val="32"/>
        </w:rPr>
        <w:t>104年9月4日</w:t>
      </w:r>
      <w:r w:rsidRPr="00FC5B6D">
        <w:rPr>
          <w:color w:val="000000"/>
          <w:szCs w:val="32"/>
        </w:rPr>
        <w:t>、</w:t>
      </w:r>
      <w:r w:rsidRPr="00FC5B6D">
        <w:rPr>
          <w:rFonts w:hint="eastAsia"/>
          <w:color w:val="000000"/>
          <w:szCs w:val="32"/>
        </w:rPr>
        <w:t>105年3月2日</w:t>
      </w:r>
      <w:r w:rsidRPr="00FC5B6D">
        <w:rPr>
          <w:color w:val="000000"/>
          <w:szCs w:val="32"/>
        </w:rPr>
        <w:t>、</w:t>
      </w:r>
      <w:r w:rsidRPr="00FC5B6D">
        <w:rPr>
          <w:rFonts w:hint="eastAsia"/>
          <w:color w:val="000000"/>
          <w:szCs w:val="32"/>
        </w:rPr>
        <w:t>105年7月11日</w:t>
      </w:r>
      <w:r w:rsidRPr="00FC5B6D">
        <w:rPr>
          <w:color w:val="000000"/>
          <w:szCs w:val="32"/>
        </w:rPr>
        <w:t>、</w:t>
      </w:r>
      <w:r w:rsidRPr="00FC5B6D">
        <w:rPr>
          <w:rFonts w:hint="eastAsia"/>
          <w:color w:val="000000"/>
          <w:szCs w:val="32"/>
        </w:rPr>
        <w:t>106年5月11日</w:t>
      </w:r>
      <w:r>
        <w:rPr>
          <w:rFonts w:hint="eastAsia"/>
          <w:color w:val="000000"/>
          <w:szCs w:val="32"/>
          <w:lang w:eastAsia="zh-HK"/>
        </w:rPr>
        <w:t>辦理5次之招商</w:t>
      </w:r>
      <w:r w:rsidRPr="00FC5B6D">
        <w:rPr>
          <w:rFonts w:hint="eastAsia"/>
          <w:color w:val="000000"/>
          <w:szCs w:val="32"/>
        </w:rPr>
        <w:t>公</w:t>
      </w:r>
      <w:r w:rsidRPr="00FC5B6D">
        <w:rPr>
          <w:color w:val="000000"/>
          <w:szCs w:val="32"/>
        </w:rPr>
        <w:t>告</w:t>
      </w:r>
      <w:r w:rsidRPr="00FC5B6D">
        <w:rPr>
          <w:rFonts w:hint="eastAsia"/>
          <w:color w:val="000000"/>
          <w:szCs w:val="32"/>
        </w:rPr>
        <w:t>，</w:t>
      </w:r>
      <w:r>
        <w:rPr>
          <w:rFonts w:hint="eastAsia"/>
          <w:color w:val="000000"/>
          <w:szCs w:val="32"/>
          <w:lang w:eastAsia="zh-HK"/>
        </w:rPr>
        <w:t>惟</w:t>
      </w:r>
      <w:r w:rsidRPr="00FC5B6D">
        <w:rPr>
          <w:color w:val="000000"/>
          <w:szCs w:val="32"/>
        </w:rPr>
        <w:t>均</w:t>
      </w:r>
      <w:r w:rsidR="00A0062F">
        <w:rPr>
          <w:rFonts w:hint="eastAsia"/>
          <w:color w:val="000000"/>
          <w:szCs w:val="32"/>
        </w:rPr>
        <w:t>因</w:t>
      </w:r>
      <w:r w:rsidRPr="00FC5B6D">
        <w:rPr>
          <w:color w:val="000000"/>
          <w:szCs w:val="32"/>
        </w:rPr>
        <w:t>無人投標</w:t>
      </w:r>
      <w:r w:rsidRPr="00FC5B6D">
        <w:rPr>
          <w:rFonts w:hint="eastAsia"/>
          <w:color w:val="000000"/>
          <w:szCs w:val="32"/>
        </w:rPr>
        <w:t>而流標，第6次招商於106年8月10日截止</w:t>
      </w:r>
      <w:r w:rsidR="00E91309">
        <w:rPr>
          <w:rFonts w:hint="eastAsia"/>
          <w:color w:val="000000"/>
          <w:szCs w:val="32"/>
        </w:rPr>
        <w:t>，</w:t>
      </w:r>
      <w:r w:rsidRPr="00FC5B6D">
        <w:rPr>
          <w:rFonts w:hint="eastAsia"/>
          <w:color w:val="000000"/>
          <w:szCs w:val="32"/>
        </w:rPr>
        <w:t>計有1家廠商投標，</w:t>
      </w:r>
      <w:r>
        <w:rPr>
          <w:rFonts w:hint="eastAsia"/>
          <w:color w:val="000000"/>
          <w:szCs w:val="32"/>
          <w:lang w:eastAsia="zh-HK"/>
        </w:rPr>
        <w:t>同年</w:t>
      </w:r>
      <w:r w:rsidRPr="00FC5B6D">
        <w:rPr>
          <w:rFonts w:hint="eastAsia"/>
          <w:color w:val="000000"/>
          <w:szCs w:val="32"/>
        </w:rPr>
        <w:t>9月1日由</w:t>
      </w:r>
      <w:r w:rsidR="00805FFA">
        <w:rPr>
          <w:rFonts w:ascii="新細明體" w:eastAsia="新細明體" w:hAnsi="新細明體" w:hint="eastAsia"/>
          <w:color w:val="000000"/>
          <w:szCs w:val="32"/>
        </w:rPr>
        <w:t>「</w:t>
      </w:r>
      <w:r w:rsidRPr="00FC5B6D">
        <w:rPr>
          <w:rFonts w:hint="eastAsia"/>
          <w:color w:val="000000"/>
          <w:szCs w:val="32"/>
        </w:rPr>
        <w:t>豪</w:t>
      </w:r>
      <w:r w:rsidRPr="00FC5B6D">
        <w:rPr>
          <w:color w:val="000000"/>
          <w:szCs w:val="32"/>
        </w:rPr>
        <w:t>昱</w:t>
      </w:r>
      <w:r w:rsidRPr="00FC5B6D">
        <w:rPr>
          <w:rFonts w:hint="eastAsia"/>
          <w:color w:val="000000"/>
          <w:szCs w:val="32"/>
        </w:rPr>
        <w:t>營</w:t>
      </w:r>
      <w:r w:rsidRPr="00FC5B6D">
        <w:rPr>
          <w:color w:val="000000"/>
          <w:szCs w:val="32"/>
        </w:rPr>
        <w:t>造</w:t>
      </w:r>
      <w:r w:rsidRPr="00FC5B6D">
        <w:rPr>
          <w:rFonts w:hint="eastAsia"/>
          <w:color w:val="000000"/>
          <w:szCs w:val="32"/>
        </w:rPr>
        <w:t>股</w:t>
      </w:r>
      <w:r w:rsidRPr="00FC5B6D">
        <w:rPr>
          <w:color w:val="000000"/>
          <w:szCs w:val="32"/>
        </w:rPr>
        <w:t>份有限公司</w:t>
      </w:r>
      <w:r w:rsidR="00805FFA">
        <w:rPr>
          <w:rFonts w:ascii="新細明體" w:eastAsia="新細明體" w:hAnsi="新細明體" w:hint="eastAsia"/>
          <w:color w:val="000000"/>
          <w:szCs w:val="32"/>
        </w:rPr>
        <w:t>」</w:t>
      </w:r>
      <w:r w:rsidRPr="00FC5B6D">
        <w:rPr>
          <w:color w:val="000000"/>
          <w:szCs w:val="32"/>
        </w:rPr>
        <w:t>代表之</w:t>
      </w:r>
      <w:r w:rsidRPr="00FC5B6D">
        <w:rPr>
          <w:rFonts w:hint="eastAsia"/>
          <w:color w:val="000000"/>
          <w:szCs w:val="32"/>
        </w:rPr>
        <w:t>合作聯盟以投標權利金28.888億元得標，</w:t>
      </w:r>
      <w:r w:rsidRPr="00E05022">
        <w:rPr>
          <w:rFonts w:hint="eastAsia"/>
          <w:color w:val="000000"/>
          <w:szCs w:val="32"/>
        </w:rPr>
        <w:t>臺北市政</w:t>
      </w:r>
      <w:r w:rsidRPr="00E05022">
        <w:rPr>
          <w:rFonts w:hAnsi="標楷體" w:hint="eastAsia"/>
          <w:color w:val="000000"/>
          <w:szCs w:val="32"/>
        </w:rPr>
        <w:t>府</w:t>
      </w:r>
      <w:r w:rsidRPr="00FC5B6D">
        <w:rPr>
          <w:rFonts w:hint="eastAsia"/>
          <w:color w:val="000000"/>
          <w:szCs w:val="32"/>
        </w:rPr>
        <w:t>已於106年10月25日與該得標合作聯盟成立之專案公司(</w:t>
      </w:r>
      <w:r w:rsidR="00805FFA">
        <w:rPr>
          <w:rFonts w:ascii="新細明體" w:eastAsia="新細明體" w:hAnsi="新細明體" w:hint="eastAsia"/>
          <w:color w:val="000000"/>
          <w:szCs w:val="32"/>
        </w:rPr>
        <w:t>「</w:t>
      </w:r>
      <w:r w:rsidRPr="00FC5B6D">
        <w:rPr>
          <w:rFonts w:hint="eastAsia"/>
          <w:color w:val="000000"/>
          <w:szCs w:val="32"/>
        </w:rPr>
        <w:t>金</w:t>
      </w:r>
      <w:r w:rsidRPr="00FC5B6D">
        <w:rPr>
          <w:color w:val="000000"/>
          <w:szCs w:val="32"/>
        </w:rPr>
        <w:t>毓泰股份有限公司</w:t>
      </w:r>
      <w:r w:rsidR="00805FFA">
        <w:rPr>
          <w:rFonts w:ascii="新細明體" w:eastAsia="新細明體" w:hAnsi="新細明體" w:hint="eastAsia"/>
          <w:color w:val="000000"/>
          <w:szCs w:val="32"/>
        </w:rPr>
        <w:t>」</w:t>
      </w:r>
      <w:r w:rsidRPr="00FC5B6D">
        <w:rPr>
          <w:rFonts w:hint="eastAsia"/>
          <w:color w:val="000000"/>
          <w:szCs w:val="32"/>
        </w:rPr>
        <w:t>)簽訂設定地上權契約</w:t>
      </w:r>
      <w:r>
        <w:rPr>
          <w:rFonts w:hint="eastAsia"/>
          <w:color w:val="000000"/>
          <w:szCs w:val="32"/>
          <w:lang w:eastAsia="zh-HK"/>
        </w:rPr>
        <w:t>在案，然此距</w:t>
      </w:r>
      <w:r>
        <w:rPr>
          <w:rFonts w:hint="eastAsia"/>
          <w:color w:val="000000"/>
          <w:szCs w:val="32"/>
        </w:rPr>
        <w:t>98</w:t>
      </w:r>
      <w:r>
        <w:rPr>
          <w:rFonts w:hint="eastAsia"/>
          <w:color w:val="000000"/>
          <w:szCs w:val="32"/>
          <w:lang w:eastAsia="zh-HK"/>
        </w:rPr>
        <w:t>年已然經過</w:t>
      </w:r>
      <w:r>
        <w:rPr>
          <w:rFonts w:hint="eastAsia"/>
          <w:color w:val="000000"/>
          <w:szCs w:val="32"/>
        </w:rPr>
        <w:t>8</w:t>
      </w:r>
      <w:r>
        <w:rPr>
          <w:rFonts w:hint="eastAsia"/>
          <w:color w:val="000000"/>
          <w:szCs w:val="32"/>
          <w:lang w:eastAsia="zh-HK"/>
        </w:rPr>
        <w:t>年之久</w:t>
      </w:r>
      <w:r>
        <w:rPr>
          <w:rFonts w:hint="eastAsia"/>
          <w:color w:val="000000"/>
          <w:szCs w:val="32"/>
        </w:rPr>
        <w:t>，</w:t>
      </w:r>
      <w:r>
        <w:rPr>
          <w:rFonts w:hint="eastAsia"/>
          <w:color w:val="000000"/>
          <w:szCs w:val="32"/>
          <w:lang w:eastAsia="zh-HK"/>
        </w:rPr>
        <w:t>時效顯有延宕</w:t>
      </w:r>
      <w:r w:rsidRPr="00FC5B6D">
        <w:rPr>
          <w:rFonts w:hint="eastAsia"/>
          <w:color w:val="000000"/>
          <w:szCs w:val="32"/>
        </w:rPr>
        <w:t>。</w:t>
      </w:r>
    </w:p>
    <w:p w:rsidR="00E91309" w:rsidRDefault="00E91309" w:rsidP="00E91309">
      <w:pPr>
        <w:pStyle w:val="3"/>
        <w:numPr>
          <w:ilvl w:val="0"/>
          <w:numId w:val="0"/>
        </w:numPr>
        <w:kinsoku w:val="0"/>
        <w:overflowPunct/>
        <w:autoSpaceDE/>
        <w:autoSpaceDN/>
        <w:ind w:left="1360"/>
        <w:rPr>
          <w:color w:val="000000"/>
        </w:rPr>
      </w:pPr>
    </w:p>
    <w:p w:rsidR="00FE1848" w:rsidRDefault="00FE1848" w:rsidP="00FE1848">
      <w:pPr>
        <w:pStyle w:val="3"/>
        <w:kinsoku w:val="0"/>
        <w:overflowPunct/>
        <w:autoSpaceDE/>
        <w:autoSpaceDN/>
        <w:ind w:left="1360" w:hanging="680"/>
        <w:rPr>
          <w:color w:val="000000"/>
        </w:rPr>
      </w:pPr>
      <w:r>
        <w:rPr>
          <w:rFonts w:hint="eastAsia"/>
          <w:color w:val="000000"/>
          <w:lang w:eastAsia="zh-HK"/>
        </w:rPr>
        <w:t>本案雖已順利完成招商作業，</w:t>
      </w:r>
      <w:r w:rsidRPr="00447FF2">
        <w:rPr>
          <w:rFonts w:hint="eastAsia"/>
          <w:color w:val="000000"/>
          <w:lang w:eastAsia="zh-HK"/>
        </w:rPr>
        <w:t>臺北市政府</w:t>
      </w:r>
      <w:r>
        <w:rPr>
          <w:rFonts w:hint="eastAsia"/>
          <w:color w:val="000000"/>
          <w:lang w:eastAsia="zh-HK"/>
        </w:rPr>
        <w:t>檢討前5次之流標</w:t>
      </w:r>
      <w:r w:rsidRPr="00E44555">
        <w:rPr>
          <w:rFonts w:hint="eastAsia"/>
          <w:color w:val="000000"/>
          <w:lang w:eastAsia="zh-HK"/>
        </w:rPr>
        <w:t>原因</w:t>
      </w:r>
      <w:r>
        <w:rPr>
          <w:rFonts w:hint="eastAsia"/>
          <w:color w:val="000000"/>
          <w:lang w:eastAsia="zh-HK"/>
        </w:rPr>
        <w:t>，包括：</w:t>
      </w:r>
      <w:r w:rsidRPr="00447FF2">
        <w:rPr>
          <w:rFonts w:hint="eastAsia"/>
          <w:color w:val="000000"/>
          <w:lang w:eastAsia="zh-HK"/>
        </w:rPr>
        <w:t>「文化觀光設施之規劃使用內容未臻明確」、「市府就文化觀光設施之規劃使用內容之認定與審核結果具有不確定風險」、「權利金偏高」、「文化觀光設施部分影響整體開發效益」、「政策改變之政治風險高」、「公告地價將調漲，致租金成本增加」、「投資人與市府使用空間介面之權利義務未臻明確」、「房地產景氣低迷」、「無償提供市府使用之臺北城博物館須設置於面臨忠孝西路之低樓層精華地區」、「受保護樹木移植審查時程不易掌控」</w:t>
      </w:r>
      <w:r>
        <w:rPr>
          <w:rFonts w:hint="eastAsia"/>
          <w:color w:val="000000"/>
          <w:lang w:eastAsia="zh-HK"/>
        </w:rPr>
        <w:t>及</w:t>
      </w:r>
      <w:r w:rsidRPr="00447FF2">
        <w:rPr>
          <w:rFonts w:hint="eastAsia"/>
          <w:color w:val="000000"/>
          <w:lang w:eastAsia="zh-HK"/>
        </w:rPr>
        <w:t>「文化觀光專用區部分樓地板面積規範僅供非營利組織辦公使用」</w:t>
      </w:r>
      <w:r>
        <w:rPr>
          <w:rFonts w:hint="eastAsia"/>
          <w:color w:val="000000"/>
          <w:lang w:eastAsia="zh-HK"/>
        </w:rPr>
        <w:t>等，</w:t>
      </w:r>
      <w:r w:rsidR="007E513C">
        <w:rPr>
          <w:rFonts w:hint="eastAsia"/>
          <w:color w:val="000000"/>
        </w:rPr>
        <w:t>詳</w:t>
      </w:r>
      <w:r>
        <w:rPr>
          <w:rFonts w:hint="eastAsia"/>
          <w:color w:val="000000"/>
          <w:lang w:eastAsia="zh-HK"/>
        </w:rPr>
        <w:lastRenderedPageBreak/>
        <w:t>如表</w:t>
      </w:r>
      <w:r w:rsidR="001C6802">
        <w:rPr>
          <w:rFonts w:hint="eastAsia"/>
          <w:color w:val="000000"/>
        </w:rPr>
        <w:t>A</w:t>
      </w:r>
      <w:r>
        <w:rPr>
          <w:rFonts w:hint="eastAsia"/>
          <w:color w:val="000000"/>
        </w:rPr>
        <w:t>3</w:t>
      </w:r>
      <w:r>
        <w:rPr>
          <w:rFonts w:hint="eastAsia"/>
          <w:color w:val="000000"/>
          <w:lang w:eastAsia="zh-HK"/>
        </w:rPr>
        <w:t>。</w:t>
      </w:r>
    </w:p>
    <w:p w:rsidR="00FE1848" w:rsidRPr="00383177" w:rsidRDefault="00FE1848" w:rsidP="00FE1848">
      <w:pPr>
        <w:pStyle w:val="3"/>
        <w:numPr>
          <w:ilvl w:val="0"/>
          <w:numId w:val="0"/>
        </w:numPr>
        <w:ind w:left="1360"/>
        <w:rPr>
          <w:color w:val="000000"/>
        </w:rPr>
      </w:pPr>
    </w:p>
    <w:p w:rsidR="00FE1848" w:rsidRPr="001C6802" w:rsidRDefault="00FE1848" w:rsidP="001C6802">
      <w:pPr>
        <w:pStyle w:val="3"/>
        <w:numPr>
          <w:ilvl w:val="0"/>
          <w:numId w:val="0"/>
        </w:numPr>
        <w:spacing w:afterLines="50" w:after="228"/>
        <w:jc w:val="center"/>
        <w:rPr>
          <w:rFonts w:hAnsi="標楷體"/>
          <w:b/>
          <w:sz w:val="28"/>
          <w:szCs w:val="28"/>
        </w:rPr>
      </w:pPr>
      <w:r w:rsidRPr="00AE3B2D">
        <w:rPr>
          <w:rFonts w:hint="eastAsia"/>
          <w:b/>
          <w:color w:val="000000"/>
          <w:sz w:val="28"/>
          <w:szCs w:val="28"/>
          <w:lang w:eastAsia="zh-HK"/>
        </w:rPr>
        <w:t>表</w:t>
      </w:r>
      <w:r w:rsidR="001C6802">
        <w:rPr>
          <w:rFonts w:hint="eastAsia"/>
          <w:b/>
          <w:color w:val="000000"/>
          <w:sz w:val="28"/>
          <w:szCs w:val="28"/>
        </w:rPr>
        <w:t>A</w:t>
      </w:r>
      <w:r w:rsidRPr="0095207D">
        <w:rPr>
          <w:rFonts w:hAnsi="標楷體" w:hint="eastAsia"/>
          <w:b/>
          <w:sz w:val="28"/>
          <w:szCs w:val="28"/>
        </w:rPr>
        <w:t>3、</w:t>
      </w:r>
      <w:r w:rsidR="0095207D" w:rsidRPr="0095207D">
        <w:rPr>
          <w:rFonts w:hAnsi="標楷體" w:hint="eastAsia"/>
          <w:b/>
          <w:sz w:val="28"/>
          <w:szCs w:val="28"/>
        </w:rPr>
        <w:t>「市議會舊址設定地上權案」</w:t>
      </w:r>
      <w:r w:rsidRPr="00C214C1">
        <w:rPr>
          <w:rFonts w:hAnsi="標楷體" w:hint="eastAsia"/>
          <w:b/>
          <w:sz w:val="28"/>
          <w:szCs w:val="28"/>
        </w:rPr>
        <w:t>主要流標原因</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559"/>
        <w:gridCol w:w="5408"/>
      </w:tblGrid>
      <w:tr w:rsidR="00FE1848" w:rsidRPr="00C214C1" w:rsidTr="001C6802">
        <w:trPr>
          <w:trHeight w:val="974"/>
        </w:trPr>
        <w:tc>
          <w:tcPr>
            <w:tcW w:w="1985" w:type="dxa"/>
            <w:shd w:val="clear" w:color="auto" w:fill="auto"/>
            <w:vAlign w:val="center"/>
          </w:tcPr>
          <w:p w:rsidR="00FE1848" w:rsidRPr="00C214C1" w:rsidRDefault="00FE1848" w:rsidP="00BD146A">
            <w:pPr>
              <w:adjustRightInd w:val="0"/>
              <w:snapToGrid w:val="0"/>
              <w:jc w:val="center"/>
              <w:rPr>
                <w:rFonts w:hAnsi="標楷體"/>
                <w:b/>
                <w:sz w:val="28"/>
                <w:szCs w:val="28"/>
              </w:rPr>
            </w:pPr>
            <w:r w:rsidRPr="00C214C1">
              <w:rPr>
                <w:rFonts w:hAnsi="標楷體" w:hint="eastAsia"/>
                <w:b/>
                <w:sz w:val="28"/>
                <w:szCs w:val="28"/>
              </w:rPr>
              <w:t>招商次數</w:t>
            </w:r>
          </w:p>
          <w:p w:rsidR="00FE1848" w:rsidRPr="00C214C1" w:rsidRDefault="00FE1848" w:rsidP="00BD146A">
            <w:pPr>
              <w:adjustRightInd w:val="0"/>
              <w:snapToGrid w:val="0"/>
              <w:jc w:val="center"/>
              <w:rPr>
                <w:rFonts w:hAnsi="標楷體"/>
                <w:b/>
                <w:sz w:val="24"/>
                <w:szCs w:val="24"/>
              </w:rPr>
            </w:pPr>
            <w:r w:rsidRPr="00C214C1">
              <w:rPr>
                <w:rFonts w:hAnsi="標楷體" w:hint="eastAsia"/>
                <w:b/>
                <w:sz w:val="24"/>
                <w:szCs w:val="24"/>
              </w:rPr>
              <w:t>（招商期間）</w:t>
            </w:r>
          </w:p>
        </w:tc>
        <w:tc>
          <w:tcPr>
            <w:tcW w:w="1559" w:type="dxa"/>
            <w:shd w:val="clear" w:color="auto" w:fill="auto"/>
            <w:vAlign w:val="center"/>
          </w:tcPr>
          <w:p w:rsidR="00FE1848" w:rsidRPr="00C214C1" w:rsidRDefault="00FE1848" w:rsidP="00BD146A">
            <w:pPr>
              <w:adjustRightInd w:val="0"/>
              <w:snapToGrid w:val="0"/>
              <w:ind w:leftChars="-37" w:left="-118"/>
              <w:jc w:val="center"/>
              <w:rPr>
                <w:rFonts w:hAnsi="標楷體"/>
                <w:b/>
                <w:sz w:val="28"/>
                <w:szCs w:val="28"/>
              </w:rPr>
            </w:pPr>
            <w:r w:rsidRPr="00C214C1">
              <w:rPr>
                <w:rFonts w:hAnsi="標楷體" w:hint="eastAsia"/>
                <w:b/>
                <w:sz w:val="28"/>
                <w:szCs w:val="28"/>
              </w:rPr>
              <w:t>權利金</w:t>
            </w:r>
          </w:p>
          <w:p w:rsidR="00FE1848" w:rsidRPr="00C214C1" w:rsidRDefault="00FE1848" w:rsidP="00BD146A">
            <w:pPr>
              <w:adjustRightInd w:val="0"/>
              <w:snapToGrid w:val="0"/>
              <w:ind w:leftChars="-37" w:left="-118"/>
              <w:jc w:val="center"/>
              <w:rPr>
                <w:rFonts w:hAnsi="標楷體"/>
                <w:b/>
                <w:sz w:val="28"/>
                <w:szCs w:val="28"/>
              </w:rPr>
            </w:pPr>
            <w:r w:rsidRPr="00C214C1">
              <w:rPr>
                <w:rFonts w:hAnsi="標楷體" w:hint="eastAsia"/>
                <w:b/>
                <w:sz w:val="28"/>
                <w:szCs w:val="28"/>
              </w:rPr>
              <w:t>底價</w:t>
            </w:r>
          </w:p>
        </w:tc>
        <w:tc>
          <w:tcPr>
            <w:tcW w:w="5408" w:type="dxa"/>
            <w:shd w:val="clear" w:color="auto" w:fill="auto"/>
            <w:vAlign w:val="center"/>
          </w:tcPr>
          <w:p w:rsidR="00FE1848" w:rsidRPr="00C214C1" w:rsidRDefault="00FE1848" w:rsidP="00BD146A">
            <w:pPr>
              <w:adjustRightInd w:val="0"/>
              <w:snapToGrid w:val="0"/>
              <w:ind w:leftChars="-37" w:left="-118"/>
              <w:jc w:val="center"/>
              <w:rPr>
                <w:rFonts w:hAnsi="標楷體"/>
                <w:b/>
                <w:sz w:val="28"/>
                <w:szCs w:val="28"/>
              </w:rPr>
            </w:pPr>
            <w:r w:rsidRPr="00C214C1">
              <w:rPr>
                <w:rFonts w:hAnsi="標楷體" w:hint="eastAsia"/>
                <w:b/>
                <w:sz w:val="28"/>
                <w:szCs w:val="28"/>
              </w:rPr>
              <w:t>主要流標原因</w:t>
            </w:r>
          </w:p>
        </w:tc>
      </w:tr>
      <w:tr w:rsidR="00FE1848" w:rsidRPr="00C214C1" w:rsidTr="001C6802">
        <w:tc>
          <w:tcPr>
            <w:tcW w:w="1985" w:type="dxa"/>
            <w:shd w:val="clear" w:color="auto" w:fill="auto"/>
            <w:vAlign w:val="center"/>
          </w:tcPr>
          <w:p w:rsidR="00FE1848" w:rsidRPr="00C214C1" w:rsidRDefault="00FE1848" w:rsidP="00BD146A">
            <w:pPr>
              <w:adjustRightInd w:val="0"/>
              <w:snapToGrid w:val="0"/>
              <w:spacing w:line="276" w:lineRule="auto"/>
              <w:jc w:val="center"/>
              <w:rPr>
                <w:rFonts w:hAnsi="標楷體"/>
                <w:sz w:val="28"/>
                <w:szCs w:val="28"/>
              </w:rPr>
            </w:pPr>
            <w:r w:rsidRPr="00C214C1">
              <w:rPr>
                <w:rFonts w:hAnsi="標楷體" w:hint="eastAsia"/>
                <w:sz w:val="28"/>
                <w:szCs w:val="28"/>
              </w:rPr>
              <w:t>第一次流標</w:t>
            </w:r>
          </w:p>
          <w:p w:rsidR="00FE1848" w:rsidRPr="001C6802" w:rsidRDefault="00FE1848" w:rsidP="00BD146A">
            <w:pPr>
              <w:adjustRightInd w:val="0"/>
              <w:snapToGrid w:val="0"/>
              <w:spacing w:line="276" w:lineRule="auto"/>
              <w:ind w:leftChars="-31" w:left="-99" w:rightChars="-31" w:right="-99"/>
              <w:jc w:val="center"/>
              <w:rPr>
                <w:rFonts w:hAnsi="標楷體"/>
                <w:sz w:val="22"/>
                <w:szCs w:val="22"/>
              </w:rPr>
            </w:pPr>
            <w:r w:rsidRPr="001C6802">
              <w:rPr>
                <w:rFonts w:hAnsi="標楷體"/>
                <w:sz w:val="22"/>
                <w:szCs w:val="22"/>
              </w:rPr>
              <w:t>(</w:t>
            </w:r>
            <w:r w:rsidRPr="001C6802">
              <w:rPr>
                <w:rFonts w:hAnsi="標楷體" w:hint="eastAsia"/>
                <w:sz w:val="22"/>
                <w:szCs w:val="22"/>
              </w:rPr>
              <w:t>103/8/13-9/23</w:t>
            </w:r>
            <w:r w:rsidRPr="001C6802">
              <w:rPr>
                <w:rFonts w:hAnsi="標楷體"/>
                <w:sz w:val="22"/>
                <w:szCs w:val="22"/>
              </w:rPr>
              <w:t>)</w:t>
            </w:r>
          </w:p>
        </w:tc>
        <w:tc>
          <w:tcPr>
            <w:tcW w:w="1559" w:type="dxa"/>
            <w:shd w:val="clear" w:color="auto" w:fill="auto"/>
            <w:vAlign w:val="center"/>
          </w:tcPr>
          <w:p w:rsidR="00FE1848" w:rsidRPr="002B0885" w:rsidRDefault="00FE1848" w:rsidP="00BD146A">
            <w:pPr>
              <w:adjustRightInd w:val="0"/>
              <w:snapToGrid w:val="0"/>
              <w:spacing w:line="276" w:lineRule="auto"/>
              <w:ind w:left="-74" w:rightChars="-31" w:right="-99"/>
              <w:jc w:val="center"/>
              <w:rPr>
                <w:rFonts w:hAnsi="標楷體"/>
                <w:sz w:val="28"/>
                <w:szCs w:val="28"/>
              </w:rPr>
            </w:pPr>
            <w:r w:rsidRPr="002B0885">
              <w:rPr>
                <w:rFonts w:hAnsi="標楷體" w:hint="eastAsia"/>
                <w:sz w:val="28"/>
                <w:szCs w:val="28"/>
              </w:rPr>
              <w:t>60億元</w:t>
            </w:r>
          </w:p>
        </w:tc>
        <w:tc>
          <w:tcPr>
            <w:tcW w:w="5408" w:type="dxa"/>
            <w:shd w:val="clear" w:color="auto" w:fill="auto"/>
            <w:vAlign w:val="center"/>
          </w:tcPr>
          <w:p w:rsidR="00FE1848" w:rsidRPr="002B0885" w:rsidRDefault="00FE1848" w:rsidP="00FA75AA">
            <w:pPr>
              <w:numPr>
                <w:ilvl w:val="0"/>
                <w:numId w:val="14"/>
              </w:numPr>
              <w:overflowPunct/>
              <w:autoSpaceDE/>
              <w:autoSpaceDN/>
              <w:adjustRightInd w:val="0"/>
              <w:snapToGrid w:val="0"/>
              <w:ind w:left="296" w:hanging="296"/>
              <w:jc w:val="left"/>
              <w:rPr>
                <w:rFonts w:hAnsi="標楷體"/>
                <w:sz w:val="28"/>
                <w:szCs w:val="28"/>
              </w:rPr>
            </w:pPr>
            <w:r w:rsidRPr="002B0885">
              <w:rPr>
                <w:rFonts w:hAnsi="標楷體" w:hint="eastAsia"/>
                <w:sz w:val="28"/>
                <w:szCs w:val="28"/>
              </w:rPr>
              <w:t>文化觀光設施之規劃使用內容未臻明確。</w:t>
            </w:r>
          </w:p>
          <w:p w:rsidR="00FE1848" w:rsidRPr="002B0885" w:rsidRDefault="00FE1848" w:rsidP="00FA75AA">
            <w:pPr>
              <w:numPr>
                <w:ilvl w:val="0"/>
                <w:numId w:val="14"/>
              </w:numPr>
              <w:overflowPunct/>
              <w:autoSpaceDE/>
              <w:autoSpaceDN/>
              <w:adjustRightInd w:val="0"/>
              <w:snapToGrid w:val="0"/>
              <w:ind w:left="296" w:hanging="296"/>
              <w:jc w:val="left"/>
              <w:rPr>
                <w:rFonts w:hAnsi="標楷體"/>
                <w:sz w:val="28"/>
                <w:szCs w:val="28"/>
              </w:rPr>
            </w:pPr>
            <w:r w:rsidRPr="002B0885">
              <w:rPr>
                <w:rFonts w:hAnsi="標楷體" w:hint="eastAsia"/>
                <w:sz w:val="28"/>
                <w:szCs w:val="28"/>
                <w:lang w:eastAsia="zh-HK"/>
              </w:rPr>
              <w:t>市</w:t>
            </w:r>
            <w:r w:rsidRPr="002B0885">
              <w:rPr>
                <w:rFonts w:hAnsi="標楷體" w:hint="eastAsia"/>
                <w:sz w:val="28"/>
                <w:szCs w:val="28"/>
              </w:rPr>
              <w:t>府就文化觀光設施之規劃使用內容之認定與審核結果具有不確定風險。</w:t>
            </w:r>
          </w:p>
          <w:p w:rsidR="00FE1848" w:rsidRPr="002B0885" w:rsidRDefault="00FE1848" w:rsidP="00FA75AA">
            <w:pPr>
              <w:numPr>
                <w:ilvl w:val="0"/>
                <w:numId w:val="14"/>
              </w:numPr>
              <w:overflowPunct/>
              <w:autoSpaceDE/>
              <w:autoSpaceDN/>
              <w:adjustRightInd w:val="0"/>
              <w:snapToGrid w:val="0"/>
              <w:ind w:left="296" w:hanging="296"/>
              <w:jc w:val="left"/>
              <w:rPr>
                <w:rFonts w:hAnsi="標楷體"/>
                <w:sz w:val="28"/>
                <w:szCs w:val="28"/>
              </w:rPr>
            </w:pPr>
            <w:r w:rsidRPr="002B0885">
              <w:rPr>
                <w:rFonts w:hAnsi="標楷體" w:hint="eastAsia"/>
                <w:sz w:val="28"/>
                <w:szCs w:val="28"/>
              </w:rPr>
              <w:t>權利金偏高。</w:t>
            </w:r>
          </w:p>
        </w:tc>
      </w:tr>
      <w:tr w:rsidR="00FE1848" w:rsidRPr="00C214C1" w:rsidTr="001C6802">
        <w:tc>
          <w:tcPr>
            <w:tcW w:w="1985" w:type="dxa"/>
            <w:shd w:val="clear" w:color="auto" w:fill="auto"/>
            <w:vAlign w:val="center"/>
          </w:tcPr>
          <w:p w:rsidR="00FE1848" w:rsidRPr="00C214C1" w:rsidRDefault="00FE1848" w:rsidP="00BD146A">
            <w:pPr>
              <w:adjustRightInd w:val="0"/>
              <w:snapToGrid w:val="0"/>
              <w:spacing w:line="276" w:lineRule="auto"/>
              <w:ind w:leftChars="-31" w:left="-99" w:rightChars="-31" w:right="-99"/>
              <w:jc w:val="center"/>
              <w:rPr>
                <w:rFonts w:hAnsi="標楷體"/>
                <w:sz w:val="28"/>
                <w:szCs w:val="28"/>
              </w:rPr>
            </w:pPr>
            <w:r w:rsidRPr="00C214C1">
              <w:rPr>
                <w:rFonts w:hAnsi="標楷體" w:hint="eastAsia"/>
                <w:sz w:val="28"/>
                <w:szCs w:val="28"/>
              </w:rPr>
              <w:t>第二次流標</w:t>
            </w:r>
            <w:r w:rsidRPr="001C6802">
              <w:rPr>
                <w:rFonts w:hAnsi="標楷體"/>
                <w:sz w:val="22"/>
                <w:szCs w:val="22"/>
              </w:rPr>
              <w:t>(</w:t>
            </w:r>
            <w:r w:rsidRPr="001C6802">
              <w:rPr>
                <w:rFonts w:hAnsi="標楷體" w:hint="eastAsia"/>
                <w:sz w:val="22"/>
                <w:szCs w:val="22"/>
              </w:rPr>
              <w:t>103</w:t>
            </w:r>
            <w:r w:rsidRPr="001C6802">
              <w:rPr>
                <w:rFonts w:hAnsi="標楷體"/>
                <w:sz w:val="22"/>
                <w:szCs w:val="22"/>
              </w:rPr>
              <w:t>/</w:t>
            </w:r>
            <w:r w:rsidRPr="001C6802">
              <w:rPr>
                <w:rFonts w:hAnsi="標楷體" w:hint="eastAsia"/>
                <w:sz w:val="22"/>
                <w:szCs w:val="22"/>
              </w:rPr>
              <w:t>9</w:t>
            </w:r>
            <w:r w:rsidRPr="001C6802">
              <w:rPr>
                <w:rFonts w:hAnsi="標楷體"/>
                <w:sz w:val="22"/>
                <w:szCs w:val="22"/>
              </w:rPr>
              <w:t>/29-10/28)</w:t>
            </w:r>
          </w:p>
        </w:tc>
        <w:tc>
          <w:tcPr>
            <w:tcW w:w="1559" w:type="dxa"/>
            <w:shd w:val="clear" w:color="auto" w:fill="auto"/>
            <w:vAlign w:val="center"/>
          </w:tcPr>
          <w:p w:rsidR="00FE1848" w:rsidRPr="002B0885" w:rsidRDefault="00FE1848" w:rsidP="00BD146A">
            <w:pPr>
              <w:adjustRightInd w:val="0"/>
              <w:snapToGrid w:val="0"/>
              <w:spacing w:line="276" w:lineRule="auto"/>
              <w:ind w:left="-74" w:rightChars="-31" w:right="-99"/>
              <w:jc w:val="center"/>
              <w:rPr>
                <w:rFonts w:hAnsi="標楷體"/>
                <w:sz w:val="28"/>
                <w:szCs w:val="28"/>
              </w:rPr>
            </w:pPr>
            <w:r w:rsidRPr="002B0885">
              <w:rPr>
                <w:rFonts w:hAnsi="標楷體" w:hint="eastAsia"/>
                <w:sz w:val="28"/>
                <w:szCs w:val="28"/>
              </w:rPr>
              <w:t>60億元</w:t>
            </w:r>
          </w:p>
        </w:tc>
        <w:tc>
          <w:tcPr>
            <w:tcW w:w="5408" w:type="dxa"/>
            <w:shd w:val="clear" w:color="auto" w:fill="auto"/>
            <w:vAlign w:val="center"/>
          </w:tcPr>
          <w:p w:rsidR="00FE1848" w:rsidRPr="002B0885" w:rsidRDefault="00FE1848" w:rsidP="00FA75AA">
            <w:pPr>
              <w:numPr>
                <w:ilvl w:val="0"/>
                <w:numId w:val="15"/>
              </w:numPr>
              <w:overflowPunct/>
              <w:autoSpaceDE/>
              <w:autoSpaceDN/>
              <w:adjustRightInd w:val="0"/>
              <w:snapToGrid w:val="0"/>
              <w:ind w:left="296" w:hanging="296"/>
              <w:jc w:val="left"/>
              <w:rPr>
                <w:rFonts w:hAnsi="標楷體"/>
                <w:sz w:val="28"/>
                <w:szCs w:val="28"/>
              </w:rPr>
            </w:pPr>
            <w:r w:rsidRPr="002B0885">
              <w:rPr>
                <w:rFonts w:hAnsi="標楷體" w:hint="eastAsia"/>
                <w:sz w:val="28"/>
                <w:szCs w:val="28"/>
              </w:rPr>
              <w:t>文化觀光設施部分影響整體開發效益。</w:t>
            </w:r>
          </w:p>
          <w:p w:rsidR="00FE1848" w:rsidRPr="002B0885" w:rsidRDefault="00FE1848" w:rsidP="00FA75AA">
            <w:pPr>
              <w:numPr>
                <w:ilvl w:val="0"/>
                <w:numId w:val="15"/>
              </w:numPr>
              <w:overflowPunct/>
              <w:autoSpaceDE/>
              <w:autoSpaceDN/>
              <w:adjustRightInd w:val="0"/>
              <w:snapToGrid w:val="0"/>
              <w:ind w:left="296" w:hanging="296"/>
              <w:jc w:val="left"/>
              <w:rPr>
                <w:rFonts w:hAnsi="標楷體"/>
                <w:sz w:val="28"/>
                <w:szCs w:val="28"/>
              </w:rPr>
            </w:pPr>
            <w:r w:rsidRPr="002B0885">
              <w:rPr>
                <w:rFonts w:hAnsi="標楷體" w:hint="eastAsia"/>
                <w:sz w:val="28"/>
                <w:szCs w:val="28"/>
              </w:rPr>
              <w:t>權利金偏高。</w:t>
            </w:r>
          </w:p>
          <w:p w:rsidR="00FE1848" w:rsidRPr="002B0885" w:rsidRDefault="00FE1848" w:rsidP="00FA75AA">
            <w:pPr>
              <w:numPr>
                <w:ilvl w:val="0"/>
                <w:numId w:val="15"/>
              </w:numPr>
              <w:overflowPunct/>
              <w:autoSpaceDE/>
              <w:autoSpaceDN/>
              <w:adjustRightInd w:val="0"/>
              <w:snapToGrid w:val="0"/>
              <w:ind w:left="296" w:hanging="296"/>
              <w:jc w:val="left"/>
              <w:rPr>
                <w:rFonts w:hAnsi="標楷體"/>
                <w:sz w:val="28"/>
                <w:szCs w:val="28"/>
              </w:rPr>
            </w:pPr>
            <w:r w:rsidRPr="002B0885">
              <w:rPr>
                <w:rFonts w:hAnsi="標楷體" w:hint="eastAsia"/>
                <w:sz w:val="28"/>
                <w:szCs w:val="28"/>
              </w:rPr>
              <w:t>年底選情結果不確定，政策改變之政治風險高。</w:t>
            </w:r>
          </w:p>
          <w:p w:rsidR="00FE1848" w:rsidRPr="002B0885" w:rsidRDefault="00FE1848" w:rsidP="00FA75AA">
            <w:pPr>
              <w:numPr>
                <w:ilvl w:val="0"/>
                <w:numId w:val="15"/>
              </w:numPr>
              <w:overflowPunct/>
              <w:autoSpaceDE/>
              <w:autoSpaceDN/>
              <w:adjustRightInd w:val="0"/>
              <w:snapToGrid w:val="0"/>
              <w:ind w:left="296" w:hanging="296"/>
              <w:jc w:val="left"/>
              <w:rPr>
                <w:rFonts w:hAnsi="標楷體"/>
                <w:sz w:val="28"/>
                <w:szCs w:val="28"/>
              </w:rPr>
            </w:pPr>
            <w:r w:rsidRPr="002B0885">
              <w:rPr>
                <w:rFonts w:hAnsi="標楷體" w:hint="eastAsia"/>
                <w:sz w:val="28"/>
                <w:szCs w:val="28"/>
              </w:rPr>
              <w:t>類似公有土地釋出開發案件相互競合。</w:t>
            </w:r>
          </w:p>
        </w:tc>
      </w:tr>
      <w:tr w:rsidR="00FE1848" w:rsidRPr="00C214C1" w:rsidTr="001C6802">
        <w:tc>
          <w:tcPr>
            <w:tcW w:w="1985" w:type="dxa"/>
            <w:shd w:val="clear" w:color="auto" w:fill="auto"/>
            <w:vAlign w:val="center"/>
          </w:tcPr>
          <w:p w:rsidR="00FE1848" w:rsidRPr="00C214C1" w:rsidRDefault="00FE1848" w:rsidP="00BD146A">
            <w:pPr>
              <w:adjustRightInd w:val="0"/>
              <w:snapToGrid w:val="0"/>
              <w:spacing w:line="276" w:lineRule="auto"/>
              <w:jc w:val="center"/>
              <w:rPr>
                <w:rFonts w:hAnsi="標楷體"/>
                <w:sz w:val="28"/>
                <w:szCs w:val="28"/>
              </w:rPr>
            </w:pPr>
            <w:r w:rsidRPr="00C214C1">
              <w:rPr>
                <w:rFonts w:hAnsi="標楷體" w:hint="eastAsia"/>
                <w:sz w:val="28"/>
                <w:szCs w:val="28"/>
              </w:rPr>
              <w:t>第三次流標</w:t>
            </w:r>
          </w:p>
          <w:p w:rsidR="00FE1848" w:rsidRPr="00C214C1" w:rsidRDefault="00FE1848" w:rsidP="00BD146A">
            <w:pPr>
              <w:adjustRightInd w:val="0"/>
              <w:snapToGrid w:val="0"/>
              <w:spacing w:line="276" w:lineRule="auto"/>
              <w:jc w:val="center"/>
              <w:rPr>
                <w:rFonts w:hAnsi="標楷體"/>
                <w:sz w:val="24"/>
                <w:szCs w:val="24"/>
              </w:rPr>
            </w:pPr>
            <w:r w:rsidRPr="001C6802">
              <w:rPr>
                <w:rFonts w:hAnsi="標楷體"/>
                <w:sz w:val="22"/>
                <w:szCs w:val="22"/>
              </w:rPr>
              <w:t>(</w:t>
            </w:r>
            <w:r w:rsidRPr="001C6802">
              <w:rPr>
                <w:rFonts w:hAnsi="標楷體" w:hint="eastAsia"/>
                <w:sz w:val="22"/>
                <w:szCs w:val="22"/>
              </w:rPr>
              <w:t>104/</w:t>
            </w:r>
            <w:r w:rsidRPr="001C6802">
              <w:rPr>
                <w:rFonts w:hAnsi="標楷體"/>
                <w:sz w:val="22"/>
                <w:szCs w:val="22"/>
              </w:rPr>
              <w:t>9/4-</w:t>
            </w:r>
            <w:r w:rsidRPr="001C6802">
              <w:rPr>
                <w:rFonts w:hAnsi="標楷體" w:hint="eastAsia"/>
                <w:sz w:val="22"/>
                <w:szCs w:val="22"/>
              </w:rPr>
              <w:t>11/</w:t>
            </w:r>
            <w:r w:rsidRPr="001C6802">
              <w:rPr>
                <w:rFonts w:hAnsi="標楷體"/>
                <w:sz w:val="22"/>
                <w:szCs w:val="22"/>
              </w:rPr>
              <w:t>6)</w:t>
            </w:r>
          </w:p>
        </w:tc>
        <w:tc>
          <w:tcPr>
            <w:tcW w:w="1559" w:type="dxa"/>
            <w:shd w:val="clear" w:color="auto" w:fill="auto"/>
            <w:vAlign w:val="center"/>
          </w:tcPr>
          <w:p w:rsidR="00FE1848" w:rsidRPr="002B0885" w:rsidRDefault="00FE1848" w:rsidP="00BD146A">
            <w:pPr>
              <w:adjustRightInd w:val="0"/>
              <w:snapToGrid w:val="0"/>
              <w:spacing w:line="276" w:lineRule="auto"/>
              <w:ind w:left="-74" w:rightChars="-31" w:right="-99"/>
              <w:jc w:val="center"/>
              <w:rPr>
                <w:rFonts w:hAnsi="標楷體"/>
                <w:sz w:val="28"/>
                <w:szCs w:val="28"/>
              </w:rPr>
            </w:pPr>
            <w:r w:rsidRPr="002B0885">
              <w:rPr>
                <w:rFonts w:hAnsi="標楷體" w:hint="eastAsia"/>
                <w:sz w:val="28"/>
                <w:szCs w:val="28"/>
              </w:rPr>
              <w:t>32.28億元</w:t>
            </w:r>
          </w:p>
        </w:tc>
        <w:tc>
          <w:tcPr>
            <w:tcW w:w="5408" w:type="dxa"/>
            <w:shd w:val="clear" w:color="auto" w:fill="auto"/>
            <w:vAlign w:val="center"/>
          </w:tcPr>
          <w:p w:rsidR="00FE1848" w:rsidRPr="002B0885" w:rsidRDefault="00FE1848" w:rsidP="00FA75AA">
            <w:pPr>
              <w:numPr>
                <w:ilvl w:val="0"/>
                <w:numId w:val="16"/>
              </w:numPr>
              <w:overflowPunct/>
              <w:autoSpaceDE/>
              <w:autoSpaceDN/>
              <w:adjustRightInd w:val="0"/>
              <w:snapToGrid w:val="0"/>
              <w:ind w:left="296" w:hanging="296"/>
              <w:jc w:val="left"/>
              <w:rPr>
                <w:rFonts w:hAnsi="標楷體"/>
                <w:sz w:val="28"/>
                <w:szCs w:val="28"/>
              </w:rPr>
            </w:pPr>
            <w:r w:rsidRPr="002B0885">
              <w:rPr>
                <w:rFonts w:hAnsi="標楷體" w:hint="eastAsia"/>
                <w:sz w:val="28"/>
                <w:szCs w:val="28"/>
              </w:rPr>
              <w:t>經濟景氣低迷，權利金偏高。</w:t>
            </w:r>
          </w:p>
          <w:p w:rsidR="00FE1848" w:rsidRPr="002B0885" w:rsidRDefault="00FE1848" w:rsidP="00FA75AA">
            <w:pPr>
              <w:numPr>
                <w:ilvl w:val="0"/>
                <w:numId w:val="16"/>
              </w:numPr>
              <w:overflowPunct/>
              <w:autoSpaceDE/>
              <w:autoSpaceDN/>
              <w:adjustRightInd w:val="0"/>
              <w:snapToGrid w:val="0"/>
              <w:ind w:left="296" w:hanging="296"/>
              <w:jc w:val="left"/>
              <w:rPr>
                <w:rFonts w:hAnsi="標楷體"/>
                <w:sz w:val="28"/>
                <w:szCs w:val="28"/>
              </w:rPr>
            </w:pPr>
            <w:r w:rsidRPr="002B0885">
              <w:rPr>
                <w:rFonts w:hAnsi="標楷體" w:hint="eastAsia"/>
                <w:sz w:val="28"/>
                <w:szCs w:val="28"/>
              </w:rPr>
              <w:t>預期105年公告地價將調漲，致租金成本增加。</w:t>
            </w:r>
          </w:p>
        </w:tc>
      </w:tr>
      <w:tr w:rsidR="00FE1848" w:rsidRPr="00C214C1" w:rsidTr="001C6802">
        <w:tc>
          <w:tcPr>
            <w:tcW w:w="1985" w:type="dxa"/>
            <w:shd w:val="clear" w:color="auto" w:fill="auto"/>
            <w:vAlign w:val="center"/>
          </w:tcPr>
          <w:p w:rsidR="00FE1848" w:rsidRPr="00C214C1" w:rsidRDefault="00FE1848" w:rsidP="00BD146A">
            <w:pPr>
              <w:adjustRightInd w:val="0"/>
              <w:snapToGrid w:val="0"/>
              <w:spacing w:line="276" w:lineRule="auto"/>
              <w:jc w:val="center"/>
              <w:rPr>
                <w:rFonts w:hAnsi="標楷體"/>
                <w:sz w:val="28"/>
                <w:szCs w:val="28"/>
              </w:rPr>
            </w:pPr>
            <w:r w:rsidRPr="00C214C1">
              <w:rPr>
                <w:rFonts w:hAnsi="標楷體" w:hint="eastAsia"/>
                <w:sz w:val="28"/>
                <w:szCs w:val="28"/>
              </w:rPr>
              <w:t>第四次流標</w:t>
            </w:r>
          </w:p>
          <w:p w:rsidR="00FE1848" w:rsidRPr="001C6802" w:rsidRDefault="00FE1848" w:rsidP="00BD146A">
            <w:pPr>
              <w:adjustRightInd w:val="0"/>
              <w:snapToGrid w:val="0"/>
              <w:spacing w:line="276" w:lineRule="auto"/>
              <w:jc w:val="center"/>
              <w:rPr>
                <w:rFonts w:hAnsi="標楷體"/>
                <w:sz w:val="22"/>
                <w:szCs w:val="22"/>
              </w:rPr>
            </w:pPr>
            <w:r w:rsidRPr="001C6802">
              <w:rPr>
                <w:rFonts w:hAnsi="標楷體"/>
                <w:sz w:val="22"/>
                <w:szCs w:val="22"/>
              </w:rPr>
              <w:t>(</w:t>
            </w:r>
            <w:r w:rsidRPr="001C6802">
              <w:rPr>
                <w:rFonts w:hAnsi="標楷體" w:hint="eastAsia"/>
                <w:sz w:val="22"/>
                <w:szCs w:val="22"/>
              </w:rPr>
              <w:t>105/</w:t>
            </w:r>
            <w:r w:rsidRPr="001C6802">
              <w:rPr>
                <w:rFonts w:hAnsi="標楷體"/>
                <w:sz w:val="22"/>
                <w:szCs w:val="22"/>
              </w:rPr>
              <w:t>3/2</w:t>
            </w:r>
            <w:r w:rsidRPr="001C6802">
              <w:rPr>
                <w:rFonts w:hAnsi="標楷體" w:hint="eastAsia"/>
                <w:sz w:val="22"/>
                <w:szCs w:val="22"/>
              </w:rPr>
              <w:t>-</w:t>
            </w:r>
            <w:r w:rsidRPr="001C6802">
              <w:rPr>
                <w:rFonts w:hAnsi="標楷體"/>
                <w:sz w:val="22"/>
                <w:szCs w:val="22"/>
              </w:rPr>
              <w:t>5/3</w:t>
            </w:r>
            <w:r w:rsidRPr="001C6802">
              <w:rPr>
                <w:rFonts w:hAnsi="標楷體" w:hint="eastAsia"/>
                <w:sz w:val="22"/>
                <w:szCs w:val="22"/>
              </w:rPr>
              <w:t>)</w:t>
            </w:r>
          </w:p>
        </w:tc>
        <w:tc>
          <w:tcPr>
            <w:tcW w:w="1559" w:type="dxa"/>
            <w:shd w:val="clear" w:color="auto" w:fill="auto"/>
            <w:vAlign w:val="center"/>
          </w:tcPr>
          <w:p w:rsidR="00FE1848" w:rsidRPr="002B0885" w:rsidRDefault="00FE1848" w:rsidP="00BD146A">
            <w:pPr>
              <w:adjustRightInd w:val="0"/>
              <w:snapToGrid w:val="0"/>
              <w:spacing w:line="276" w:lineRule="auto"/>
              <w:ind w:left="-74" w:rightChars="-31" w:right="-99"/>
              <w:jc w:val="center"/>
              <w:rPr>
                <w:rFonts w:hAnsi="標楷體"/>
                <w:sz w:val="28"/>
                <w:szCs w:val="28"/>
              </w:rPr>
            </w:pPr>
            <w:r w:rsidRPr="002B0885">
              <w:rPr>
                <w:rFonts w:hAnsi="標楷體" w:hint="eastAsia"/>
                <w:sz w:val="28"/>
                <w:szCs w:val="28"/>
              </w:rPr>
              <w:t>26億元</w:t>
            </w:r>
          </w:p>
        </w:tc>
        <w:tc>
          <w:tcPr>
            <w:tcW w:w="5408" w:type="dxa"/>
            <w:shd w:val="clear" w:color="auto" w:fill="auto"/>
            <w:vAlign w:val="center"/>
          </w:tcPr>
          <w:p w:rsidR="00FE1848" w:rsidRPr="002B0885" w:rsidRDefault="00FE1848" w:rsidP="00FA75AA">
            <w:pPr>
              <w:numPr>
                <w:ilvl w:val="0"/>
                <w:numId w:val="17"/>
              </w:numPr>
              <w:overflowPunct/>
              <w:autoSpaceDE/>
              <w:autoSpaceDN/>
              <w:adjustRightInd w:val="0"/>
              <w:snapToGrid w:val="0"/>
              <w:ind w:left="296" w:hanging="296"/>
              <w:jc w:val="left"/>
              <w:rPr>
                <w:rFonts w:hAnsi="標楷體"/>
                <w:sz w:val="28"/>
                <w:szCs w:val="28"/>
              </w:rPr>
            </w:pPr>
            <w:r w:rsidRPr="002B0885">
              <w:rPr>
                <w:rFonts w:hAnsi="標楷體" w:hint="eastAsia"/>
                <w:sz w:val="28"/>
                <w:szCs w:val="28"/>
              </w:rPr>
              <w:t>105年度公告地價調漲幅度過大，造成投資人參與設定地上權案件財務不可預測之情況，及房地產景氣反轉。</w:t>
            </w:r>
          </w:p>
          <w:p w:rsidR="00FE1848" w:rsidRPr="002B0885" w:rsidRDefault="00FE1848" w:rsidP="00FA75AA">
            <w:pPr>
              <w:numPr>
                <w:ilvl w:val="0"/>
                <w:numId w:val="17"/>
              </w:numPr>
              <w:overflowPunct/>
              <w:autoSpaceDE/>
              <w:autoSpaceDN/>
              <w:adjustRightInd w:val="0"/>
              <w:snapToGrid w:val="0"/>
              <w:ind w:left="296" w:hanging="296"/>
              <w:jc w:val="left"/>
              <w:rPr>
                <w:rFonts w:hAnsi="標楷體"/>
                <w:sz w:val="28"/>
                <w:szCs w:val="28"/>
              </w:rPr>
            </w:pPr>
            <w:r w:rsidRPr="002B0885">
              <w:rPr>
                <w:rFonts w:hAnsi="標楷體" w:hint="eastAsia"/>
                <w:sz w:val="28"/>
                <w:szCs w:val="28"/>
              </w:rPr>
              <w:t>投資人與市府使用空間介面之權利義務未臻明確。</w:t>
            </w:r>
          </w:p>
        </w:tc>
      </w:tr>
      <w:tr w:rsidR="00FE1848" w:rsidRPr="00C214C1" w:rsidTr="001C6802">
        <w:tc>
          <w:tcPr>
            <w:tcW w:w="1985" w:type="dxa"/>
            <w:shd w:val="clear" w:color="auto" w:fill="auto"/>
            <w:vAlign w:val="center"/>
          </w:tcPr>
          <w:p w:rsidR="00FE1848" w:rsidRPr="00C214C1" w:rsidRDefault="00FE1848" w:rsidP="00BD146A">
            <w:pPr>
              <w:adjustRightInd w:val="0"/>
              <w:snapToGrid w:val="0"/>
              <w:spacing w:line="276" w:lineRule="auto"/>
              <w:jc w:val="center"/>
              <w:rPr>
                <w:rFonts w:hAnsi="標楷體"/>
                <w:sz w:val="28"/>
                <w:szCs w:val="28"/>
              </w:rPr>
            </w:pPr>
            <w:r w:rsidRPr="00C214C1">
              <w:rPr>
                <w:rFonts w:hAnsi="標楷體" w:hint="eastAsia"/>
                <w:sz w:val="28"/>
                <w:szCs w:val="28"/>
              </w:rPr>
              <w:t>第五次流標</w:t>
            </w:r>
            <w:r w:rsidRPr="001C6802">
              <w:rPr>
                <w:rFonts w:hAnsi="標楷體"/>
                <w:sz w:val="22"/>
                <w:szCs w:val="22"/>
              </w:rPr>
              <w:t>(</w:t>
            </w:r>
            <w:r w:rsidRPr="001C6802">
              <w:rPr>
                <w:rFonts w:hAnsi="標楷體" w:hint="eastAsia"/>
                <w:sz w:val="22"/>
                <w:szCs w:val="22"/>
              </w:rPr>
              <w:t>105/</w:t>
            </w:r>
            <w:r w:rsidRPr="001C6802">
              <w:rPr>
                <w:rFonts w:hAnsi="標楷體"/>
                <w:sz w:val="22"/>
                <w:szCs w:val="22"/>
              </w:rPr>
              <w:t>7/11-</w:t>
            </w:r>
            <w:r w:rsidRPr="001C6802">
              <w:rPr>
                <w:rFonts w:hAnsi="標楷體" w:hint="eastAsia"/>
                <w:sz w:val="22"/>
                <w:szCs w:val="22"/>
              </w:rPr>
              <w:t>9/</w:t>
            </w:r>
            <w:r w:rsidRPr="001C6802">
              <w:rPr>
                <w:rFonts w:hAnsi="標楷體"/>
                <w:sz w:val="22"/>
                <w:szCs w:val="22"/>
              </w:rPr>
              <w:t>8</w:t>
            </w:r>
            <w:r w:rsidRPr="001C6802">
              <w:rPr>
                <w:rFonts w:hAnsi="標楷體" w:hint="eastAsia"/>
                <w:sz w:val="22"/>
                <w:szCs w:val="22"/>
              </w:rPr>
              <w:t>)</w:t>
            </w:r>
          </w:p>
        </w:tc>
        <w:tc>
          <w:tcPr>
            <w:tcW w:w="1559" w:type="dxa"/>
            <w:shd w:val="clear" w:color="auto" w:fill="auto"/>
            <w:vAlign w:val="center"/>
          </w:tcPr>
          <w:p w:rsidR="00FE1848" w:rsidRPr="002B0885" w:rsidRDefault="00FE1848" w:rsidP="00BD146A">
            <w:pPr>
              <w:adjustRightInd w:val="0"/>
              <w:snapToGrid w:val="0"/>
              <w:spacing w:line="276" w:lineRule="auto"/>
              <w:ind w:left="-91" w:rightChars="-31" w:right="-99"/>
              <w:jc w:val="center"/>
              <w:rPr>
                <w:rFonts w:hAnsi="標楷體"/>
                <w:sz w:val="28"/>
                <w:szCs w:val="28"/>
              </w:rPr>
            </w:pPr>
            <w:r w:rsidRPr="002B0885">
              <w:rPr>
                <w:rFonts w:hAnsi="標楷體" w:hint="eastAsia"/>
                <w:sz w:val="28"/>
                <w:szCs w:val="28"/>
              </w:rPr>
              <w:t>28.088億元</w:t>
            </w:r>
          </w:p>
        </w:tc>
        <w:tc>
          <w:tcPr>
            <w:tcW w:w="5408" w:type="dxa"/>
            <w:shd w:val="clear" w:color="auto" w:fill="auto"/>
            <w:vAlign w:val="center"/>
          </w:tcPr>
          <w:p w:rsidR="00FE1848" w:rsidRPr="002B0885" w:rsidRDefault="00FE1848" w:rsidP="00FA75AA">
            <w:pPr>
              <w:numPr>
                <w:ilvl w:val="0"/>
                <w:numId w:val="18"/>
              </w:numPr>
              <w:overflowPunct/>
              <w:autoSpaceDE/>
              <w:autoSpaceDN/>
              <w:adjustRightInd w:val="0"/>
              <w:snapToGrid w:val="0"/>
              <w:ind w:left="296" w:hanging="296"/>
              <w:jc w:val="left"/>
              <w:rPr>
                <w:rFonts w:hAnsi="標楷體"/>
                <w:sz w:val="28"/>
                <w:szCs w:val="28"/>
              </w:rPr>
            </w:pPr>
            <w:r w:rsidRPr="002B0885">
              <w:rPr>
                <w:rFonts w:hAnsi="標楷體" w:hint="eastAsia"/>
                <w:sz w:val="28"/>
                <w:szCs w:val="28"/>
              </w:rPr>
              <w:t>房地產景氣低迷，廠商投資趨於保守及房地稅賦尚有不確定因素。</w:t>
            </w:r>
          </w:p>
          <w:p w:rsidR="00FE1848" w:rsidRPr="002B0885" w:rsidRDefault="00FE1848" w:rsidP="00FA75AA">
            <w:pPr>
              <w:numPr>
                <w:ilvl w:val="0"/>
                <w:numId w:val="18"/>
              </w:numPr>
              <w:overflowPunct/>
              <w:autoSpaceDE/>
              <w:autoSpaceDN/>
              <w:adjustRightInd w:val="0"/>
              <w:snapToGrid w:val="0"/>
              <w:ind w:left="296" w:hanging="296"/>
              <w:jc w:val="left"/>
              <w:rPr>
                <w:rFonts w:hAnsi="標楷體"/>
                <w:sz w:val="28"/>
                <w:szCs w:val="28"/>
              </w:rPr>
            </w:pPr>
            <w:r w:rsidRPr="002B0885">
              <w:rPr>
                <w:rFonts w:hAnsi="標楷體" w:hint="eastAsia"/>
                <w:sz w:val="28"/>
                <w:szCs w:val="28"/>
              </w:rPr>
              <w:t>無償提供市府使用之臺北城博物館須設置於面臨忠孝西路之低樓層(1樓~3樓)精華地區。</w:t>
            </w:r>
          </w:p>
          <w:p w:rsidR="00FE1848" w:rsidRPr="002B0885" w:rsidRDefault="00FE1848" w:rsidP="00FA75AA">
            <w:pPr>
              <w:numPr>
                <w:ilvl w:val="0"/>
                <w:numId w:val="18"/>
              </w:numPr>
              <w:overflowPunct/>
              <w:autoSpaceDE/>
              <w:autoSpaceDN/>
              <w:adjustRightInd w:val="0"/>
              <w:snapToGrid w:val="0"/>
              <w:ind w:left="296" w:hanging="296"/>
              <w:jc w:val="left"/>
              <w:rPr>
                <w:rFonts w:hAnsi="標楷體"/>
                <w:sz w:val="28"/>
                <w:szCs w:val="28"/>
              </w:rPr>
            </w:pPr>
            <w:r w:rsidRPr="002B0885">
              <w:rPr>
                <w:rFonts w:hAnsi="標楷體" w:hint="eastAsia"/>
                <w:sz w:val="28"/>
                <w:szCs w:val="28"/>
              </w:rPr>
              <w:t>受保護樹木移植審查時程不易掌控。</w:t>
            </w:r>
          </w:p>
          <w:p w:rsidR="00FE1848" w:rsidRPr="002B0885" w:rsidRDefault="00FE1848" w:rsidP="00FA75AA">
            <w:pPr>
              <w:numPr>
                <w:ilvl w:val="0"/>
                <w:numId w:val="18"/>
              </w:numPr>
              <w:overflowPunct/>
              <w:autoSpaceDE/>
              <w:autoSpaceDN/>
              <w:adjustRightInd w:val="0"/>
              <w:snapToGrid w:val="0"/>
              <w:ind w:left="296" w:hanging="296"/>
              <w:jc w:val="left"/>
              <w:rPr>
                <w:rFonts w:hAnsi="標楷體"/>
                <w:sz w:val="28"/>
                <w:szCs w:val="28"/>
              </w:rPr>
            </w:pPr>
            <w:r w:rsidRPr="002B0885">
              <w:rPr>
                <w:rFonts w:hAnsi="標楷體" w:hint="eastAsia"/>
                <w:sz w:val="28"/>
                <w:szCs w:val="28"/>
              </w:rPr>
              <w:t>文化觀光專用區部分樓地板面積規範僅供非營利組織辦公使用等限制，致影響投資人投標意願。</w:t>
            </w:r>
          </w:p>
        </w:tc>
      </w:tr>
    </w:tbl>
    <w:p w:rsidR="00FE1848" w:rsidRDefault="00FE1848" w:rsidP="00FE1848">
      <w:pPr>
        <w:pStyle w:val="3"/>
        <w:numPr>
          <w:ilvl w:val="0"/>
          <w:numId w:val="0"/>
        </w:numPr>
        <w:rPr>
          <w:rFonts w:hAnsi="標楷體" w:cs="MicrosoftJhengHeiRegular"/>
          <w:sz w:val="24"/>
          <w:szCs w:val="24"/>
        </w:rPr>
      </w:pPr>
      <w:r w:rsidRPr="00131218">
        <w:rPr>
          <w:rFonts w:hAnsi="標楷體" w:cs="MicrosoftJhengHeiRegular" w:hint="eastAsia"/>
          <w:sz w:val="24"/>
          <w:szCs w:val="24"/>
          <w:lang w:eastAsia="zh-HK"/>
        </w:rPr>
        <w:t>資料來源：</w:t>
      </w:r>
      <w:r>
        <w:rPr>
          <w:rFonts w:hAnsi="標楷體" w:cs="MicrosoftJhengHeiRegular" w:hint="eastAsia"/>
          <w:sz w:val="24"/>
          <w:szCs w:val="24"/>
          <w:lang w:eastAsia="zh-HK"/>
        </w:rPr>
        <w:t>臺北市政府。</w:t>
      </w:r>
    </w:p>
    <w:p w:rsidR="00FE1848" w:rsidRPr="00AE3B2D" w:rsidRDefault="00FE1848" w:rsidP="00FE1848">
      <w:pPr>
        <w:pStyle w:val="3"/>
        <w:numPr>
          <w:ilvl w:val="0"/>
          <w:numId w:val="0"/>
        </w:numPr>
        <w:rPr>
          <w:color w:val="000000"/>
        </w:rPr>
      </w:pPr>
    </w:p>
    <w:p w:rsidR="00FE1848" w:rsidRPr="00C214C1" w:rsidRDefault="00FE1848" w:rsidP="00FE1848">
      <w:pPr>
        <w:pStyle w:val="3"/>
        <w:kinsoku w:val="0"/>
        <w:overflowPunct/>
        <w:autoSpaceDE/>
        <w:autoSpaceDN/>
        <w:ind w:left="1360" w:hanging="680"/>
        <w:rPr>
          <w:color w:val="000000"/>
        </w:rPr>
      </w:pPr>
      <w:r w:rsidRPr="00B65761">
        <w:rPr>
          <w:rFonts w:hint="eastAsia"/>
          <w:color w:val="000000"/>
        </w:rPr>
        <w:lastRenderedPageBreak/>
        <w:t>由</w:t>
      </w:r>
      <w:r w:rsidR="0095207D" w:rsidRPr="00B65761">
        <w:rPr>
          <w:rFonts w:hint="eastAsia"/>
          <w:color w:val="000000"/>
          <w:lang w:eastAsia="zh-HK"/>
        </w:rPr>
        <w:t>臺北市政府檢討</w:t>
      </w:r>
      <w:r w:rsidRPr="00B65761">
        <w:rPr>
          <w:rFonts w:hint="eastAsia"/>
          <w:color w:val="000000"/>
        </w:rPr>
        <w:t>本案</w:t>
      </w:r>
      <w:r w:rsidRPr="00B65761">
        <w:rPr>
          <w:rFonts w:hint="eastAsia"/>
          <w:color w:val="000000"/>
          <w:lang w:eastAsia="zh-HK"/>
        </w:rPr>
        <w:t>前5次之流標情形</w:t>
      </w:r>
      <w:r w:rsidRPr="00B65761">
        <w:rPr>
          <w:rFonts w:hint="eastAsia"/>
          <w:color w:val="000000"/>
        </w:rPr>
        <w:t>可知，潛在投資人常因政府規劃內容不明確，或者要求投資人應承擔一些具公益性之義務，以及認為權利金偏高等因素</w:t>
      </w:r>
      <w:r w:rsidRPr="00C214C1">
        <w:rPr>
          <w:rFonts w:hint="eastAsia"/>
          <w:color w:val="000000"/>
        </w:rPr>
        <w:t>，考量其投資效益後，放棄爭取開發案</w:t>
      </w:r>
      <w:r w:rsidRPr="00C214C1">
        <w:rPr>
          <w:rFonts w:hint="eastAsia"/>
          <w:color w:val="000000"/>
          <w:szCs w:val="32"/>
        </w:rPr>
        <w:t>。對於開發案之規劃內容，主辦機關應於審酌市場需求後，依據其願景及目標予以具體規劃</w:t>
      </w:r>
      <w:r w:rsidRPr="00B65761">
        <w:rPr>
          <w:rFonts w:hint="eastAsia"/>
          <w:color w:val="000000"/>
          <w:szCs w:val="32"/>
        </w:rPr>
        <w:t>，尤</w:t>
      </w:r>
      <w:r w:rsidR="0095207D">
        <w:rPr>
          <w:rFonts w:hint="eastAsia"/>
          <w:color w:val="000000"/>
          <w:szCs w:val="32"/>
        </w:rPr>
        <w:t>應</w:t>
      </w:r>
      <w:r w:rsidR="0095207D" w:rsidRPr="00B65761">
        <w:rPr>
          <w:rFonts w:hint="eastAsia"/>
          <w:color w:val="000000"/>
          <w:szCs w:val="32"/>
        </w:rPr>
        <w:t>慎重</w:t>
      </w:r>
      <w:r w:rsidR="0095207D">
        <w:rPr>
          <w:rFonts w:hint="eastAsia"/>
          <w:color w:val="000000"/>
          <w:szCs w:val="32"/>
        </w:rPr>
        <w:t>首</w:t>
      </w:r>
      <w:r w:rsidRPr="00B65761">
        <w:rPr>
          <w:rFonts w:hint="eastAsia"/>
          <w:color w:val="000000"/>
          <w:szCs w:val="32"/>
        </w:rPr>
        <w:t>次招商之成敗，明確規範</w:t>
      </w:r>
      <w:r w:rsidRPr="00C214C1">
        <w:rPr>
          <w:rFonts w:hint="eastAsia"/>
          <w:color w:val="000000"/>
          <w:szCs w:val="32"/>
        </w:rPr>
        <w:t>投資人與政府之權利義務，訂出合理之權利金底價，以避免潛在投資人認為規劃不明，心存疑慮，或因考量投資效益而裹足不前；一旦</w:t>
      </w:r>
      <w:r w:rsidR="0095207D">
        <w:rPr>
          <w:rFonts w:hint="eastAsia"/>
          <w:color w:val="000000"/>
          <w:szCs w:val="32"/>
        </w:rPr>
        <w:t>首</w:t>
      </w:r>
      <w:r w:rsidRPr="00C214C1">
        <w:rPr>
          <w:rFonts w:hint="eastAsia"/>
          <w:color w:val="000000"/>
          <w:szCs w:val="32"/>
        </w:rPr>
        <w:t>次招商不成時，後續勢必影響潛在投資人信心，則</w:t>
      </w:r>
      <w:r w:rsidRPr="00B65761">
        <w:rPr>
          <w:rFonts w:hint="eastAsia"/>
          <w:color w:val="000000"/>
          <w:szCs w:val="32"/>
        </w:rPr>
        <w:t>開發案之時效</w:t>
      </w:r>
      <w:r w:rsidR="0095207D" w:rsidRPr="00B65761">
        <w:rPr>
          <w:rFonts w:hint="eastAsia"/>
          <w:color w:val="000000"/>
          <w:szCs w:val="32"/>
        </w:rPr>
        <w:t>將</w:t>
      </w:r>
      <w:r w:rsidRPr="00B65761">
        <w:rPr>
          <w:rFonts w:hint="eastAsia"/>
          <w:color w:val="000000"/>
          <w:szCs w:val="32"/>
        </w:rPr>
        <w:t>無可避免</w:t>
      </w:r>
      <w:r w:rsidR="0095207D">
        <w:rPr>
          <w:rFonts w:hint="eastAsia"/>
          <w:color w:val="000000"/>
          <w:szCs w:val="32"/>
        </w:rPr>
        <w:t>地</w:t>
      </w:r>
      <w:r w:rsidRPr="00B65761">
        <w:rPr>
          <w:rFonts w:hint="eastAsia"/>
          <w:color w:val="000000"/>
          <w:szCs w:val="32"/>
        </w:rPr>
        <w:t>遭</w:t>
      </w:r>
      <w:r w:rsidRPr="00C214C1">
        <w:rPr>
          <w:rFonts w:hint="eastAsia"/>
          <w:color w:val="000000"/>
          <w:szCs w:val="32"/>
        </w:rPr>
        <w:t>延宕</w:t>
      </w:r>
      <w:r>
        <w:rPr>
          <w:rFonts w:hint="eastAsia"/>
          <w:color w:val="000000"/>
          <w:szCs w:val="32"/>
        </w:rPr>
        <w:t>，</w:t>
      </w:r>
      <w:r w:rsidRPr="00C214C1">
        <w:rPr>
          <w:rFonts w:hint="eastAsia"/>
          <w:color w:val="000000"/>
          <w:szCs w:val="32"/>
        </w:rPr>
        <w:t>主辦機關</w:t>
      </w:r>
      <w:r>
        <w:rPr>
          <w:rFonts w:hint="eastAsia"/>
          <w:color w:val="000000"/>
          <w:szCs w:val="32"/>
        </w:rPr>
        <w:t>易陷入泥淖中</w:t>
      </w:r>
      <w:r w:rsidRPr="00C214C1">
        <w:rPr>
          <w:rFonts w:hint="eastAsia"/>
          <w:color w:val="000000"/>
          <w:szCs w:val="32"/>
        </w:rPr>
        <w:t>，</w:t>
      </w:r>
      <w:r>
        <w:rPr>
          <w:rFonts w:hint="eastAsia"/>
          <w:color w:val="000000"/>
          <w:szCs w:val="32"/>
        </w:rPr>
        <w:t>不斷</w:t>
      </w:r>
      <w:r w:rsidRPr="00C214C1">
        <w:rPr>
          <w:rFonts w:hint="eastAsia"/>
          <w:color w:val="000000"/>
          <w:szCs w:val="32"/>
        </w:rPr>
        <w:t>增加</w:t>
      </w:r>
      <w:r w:rsidRPr="00567FC4">
        <w:rPr>
          <w:rFonts w:hint="eastAsia"/>
          <w:color w:val="000000"/>
          <w:szCs w:val="32"/>
        </w:rPr>
        <w:t>與浪費</w:t>
      </w:r>
      <w:r w:rsidRPr="00C214C1">
        <w:rPr>
          <w:rFonts w:hint="eastAsia"/>
          <w:color w:val="000000"/>
          <w:szCs w:val="32"/>
        </w:rPr>
        <w:t>政府之行政成本。以本案為例，其</w:t>
      </w:r>
      <w:r w:rsidR="0095207D">
        <w:rPr>
          <w:rFonts w:hint="eastAsia"/>
          <w:color w:val="000000"/>
          <w:szCs w:val="32"/>
        </w:rPr>
        <w:t>首</w:t>
      </w:r>
      <w:r w:rsidRPr="00C214C1">
        <w:rPr>
          <w:rFonts w:hint="eastAsia"/>
          <w:color w:val="000000"/>
          <w:szCs w:val="32"/>
        </w:rPr>
        <w:t>次招標時招商文件規範得標人於本基地文化觀光專用區興建之建物，提供作為文化觀光產業展售處所及辦公空間</w:t>
      </w:r>
      <w:r w:rsidRPr="00C214C1">
        <w:rPr>
          <w:rFonts w:ascii="新細明體" w:eastAsia="新細明體" w:hAnsi="新細明體" w:hint="eastAsia"/>
          <w:color w:val="000000"/>
          <w:szCs w:val="32"/>
        </w:rPr>
        <w:t>、</w:t>
      </w:r>
      <w:r w:rsidRPr="00B65761">
        <w:rPr>
          <w:rFonts w:hint="eastAsia"/>
          <w:color w:val="000000"/>
          <w:szCs w:val="32"/>
        </w:rPr>
        <w:t>文化觀光交流空間</w:t>
      </w:r>
      <w:r w:rsidRPr="00B65761">
        <w:rPr>
          <w:rFonts w:ascii="新細明體" w:eastAsia="新細明體" w:hAnsi="新細明體" w:hint="eastAsia"/>
          <w:color w:val="000000"/>
          <w:szCs w:val="32"/>
        </w:rPr>
        <w:t>、</w:t>
      </w:r>
      <w:r w:rsidRPr="00B65761">
        <w:rPr>
          <w:rFonts w:hint="eastAsia"/>
          <w:color w:val="000000"/>
          <w:szCs w:val="32"/>
        </w:rPr>
        <w:t>多功能表演廳</w:t>
      </w:r>
      <w:r w:rsidRPr="00B65761">
        <w:rPr>
          <w:rFonts w:ascii="新細明體" w:eastAsia="新細明體" w:hAnsi="新細明體" w:hint="eastAsia"/>
          <w:color w:val="000000"/>
          <w:szCs w:val="32"/>
        </w:rPr>
        <w:t>、</w:t>
      </w:r>
      <w:r w:rsidRPr="00B65761">
        <w:rPr>
          <w:rFonts w:hint="eastAsia"/>
          <w:color w:val="000000"/>
          <w:szCs w:val="32"/>
        </w:rPr>
        <w:t>會議室</w:t>
      </w:r>
      <w:r w:rsidRPr="00B65761">
        <w:rPr>
          <w:rFonts w:ascii="新細明體" w:eastAsia="新細明體" w:hAnsi="新細明體" w:hint="eastAsia"/>
          <w:color w:val="000000"/>
          <w:szCs w:val="32"/>
        </w:rPr>
        <w:t>、</w:t>
      </w:r>
      <w:r w:rsidRPr="00B65761">
        <w:rPr>
          <w:rFonts w:hint="eastAsia"/>
          <w:color w:val="000000"/>
          <w:szCs w:val="32"/>
        </w:rPr>
        <w:t>研討室</w:t>
      </w:r>
      <w:r w:rsidRPr="00B65761">
        <w:rPr>
          <w:rFonts w:ascii="新細明體" w:eastAsia="新細明體" w:hAnsi="新細明體" w:hint="eastAsia"/>
          <w:color w:val="000000"/>
          <w:szCs w:val="32"/>
        </w:rPr>
        <w:t>、</w:t>
      </w:r>
      <w:r w:rsidRPr="00B65761">
        <w:rPr>
          <w:rFonts w:hint="eastAsia"/>
          <w:color w:val="000000"/>
          <w:szCs w:val="32"/>
        </w:rPr>
        <w:t>交誼廳</w:t>
      </w:r>
      <w:r w:rsidRPr="00B65761">
        <w:rPr>
          <w:rFonts w:ascii="新細明體" w:eastAsia="新細明體" w:hAnsi="新細明體" w:hint="eastAsia"/>
          <w:color w:val="000000"/>
          <w:szCs w:val="32"/>
        </w:rPr>
        <w:t>、</w:t>
      </w:r>
      <w:r w:rsidRPr="00B65761">
        <w:rPr>
          <w:rFonts w:hint="eastAsia"/>
          <w:color w:val="000000"/>
          <w:szCs w:val="32"/>
        </w:rPr>
        <w:t>文化觀光資訊服務窗口等使用之樓地板面積不得少於文化觀光專用區總樓地板面積之40％。其規劃內容應包括但不限於供作考棚行署紀念碑、傳統文、文獻或文物之典藏空間</w:t>
      </w:r>
      <w:r w:rsidRPr="00B65761">
        <w:rPr>
          <w:rFonts w:ascii="新細明體" w:eastAsia="新細明體" w:hAnsi="新細明體" w:hint="eastAsia"/>
          <w:color w:val="000000"/>
          <w:szCs w:val="32"/>
        </w:rPr>
        <w:t>、</w:t>
      </w:r>
      <w:r w:rsidRPr="00B65761">
        <w:rPr>
          <w:rFonts w:hint="eastAsia"/>
          <w:color w:val="000000"/>
          <w:szCs w:val="32"/>
        </w:rPr>
        <w:t>展示廳</w:t>
      </w:r>
      <w:r w:rsidRPr="00B65761">
        <w:rPr>
          <w:rFonts w:ascii="新細明體" w:eastAsia="新細明體" w:hAnsi="新細明體" w:hint="eastAsia"/>
          <w:color w:val="000000"/>
          <w:szCs w:val="32"/>
        </w:rPr>
        <w:t>、</w:t>
      </w:r>
      <w:r w:rsidRPr="00B65761">
        <w:rPr>
          <w:rFonts w:hint="eastAsia"/>
          <w:color w:val="000000"/>
          <w:szCs w:val="32"/>
        </w:rPr>
        <w:t>會議室或城市文化觀光交流中心、文化觀光資訊服務窗（兼具臺北文化觀光櫥窗功能）等使用。潛在投資人認為上開規範之用途不明確，增加投資風險，難以招商。該次招商文件復規範得標人應將文化觀光專用區供文化觀光使用之規劃使用內容先提送臺北市政府同意後，方得將建築設計提送該府都市設計及土地使用開發許可審議委員會審議。潛在投資人認為上開規範，將導致其無法明確得知臺北市政府是否同意其未來所規劃之文化觀光設施使用內容，面臨不確定之風險，且擔心後續與臺北市政府各權責機關（文化局及觀光傳播局）溝通與執行產生歧見，以致潛在投資人評估後認為投資風</w:t>
      </w:r>
      <w:r w:rsidRPr="00B65761">
        <w:rPr>
          <w:rFonts w:hint="eastAsia"/>
          <w:color w:val="000000"/>
          <w:szCs w:val="32"/>
        </w:rPr>
        <w:lastRenderedPageBreak/>
        <w:t>險難料而裹足不前。</w:t>
      </w:r>
      <w:r w:rsidRPr="00B65761">
        <w:rPr>
          <w:rFonts w:hAnsi="標楷體"/>
          <w:bCs w:val="0"/>
          <w:color w:val="000000"/>
          <w:szCs w:val="32"/>
        </w:rPr>
        <w:t>招標設定地上權案</w:t>
      </w:r>
      <w:r w:rsidRPr="00B65761">
        <w:rPr>
          <w:rFonts w:hAnsi="標楷體"/>
          <w:color w:val="000000"/>
          <w:szCs w:val="32"/>
        </w:rPr>
        <w:t>，</w:t>
      </w:r>
      <w:r w:rsidRPr="00B65761">
        <w:rPr>
          <w:rFonts w:hAnsi="標楷體" w:hint="eastAsia"/>
          <w:color w:val="000000"/>
          <w:szCs w:val="32"/>
        </w:rPr>
        <w:t>通常</w:t>
      </w:r>
      <w:r w:rsidRPr="00B65761">
        <w:rPr>
          <w:rFonts w:hAnsi="標楷體"/>
          <w:color w:val="000000"/>
          <w:szCs w:val="32"/>
        </w:rPr>
        <w:t>無特定公共建設目的</w:t>
      </w:r>
      <w:r w:rsidRPr="00B65761">
        <w:rPr>
          <w:rFonts w:hAnsi="標楷體" w:hint="eastAsia"/>
          <w:color w:val="000000"/>
          <w:szCs w:val="32"/>
        </w:rPr>
        <w:t>，惟本案</w:t>
      </w:r>
      <w:r w:rsidRPr="00B65761">
        <w:rPr>
          <w:rFonts w:hint="eastAsia"/>
          <w:color w:val="000000"/>
        </w:rPr>
        <w:t>要求投資人應承擔文化觀光之責任，自影響潛在投資人對權利金是否合理之判斷。此外，有關權利金部分，</w:t>
      </w:r>
      <w:r w:rsidRPr="00B65761">
        <w:rPr>
          <w:rFonts w:hAnsi="標楷體" w:cs="DFHeiStd-W3" w:hint="eastAsia"/>
          <w:szCs w:val="32"/>
        </w:rPr>
        <w:t>臺北市設定地上權招商案件之權利金底價，係由該府委託3</w:t>
      </w:r>
      <w:r w:rsidR="0095207D">
        <w:rPr>
          <w:rFonts w:hAnsi="標楷體" w:cs="DFHeiStd-W3" w:hint="eastAsia"/>
          <w:szCs w:val="32"/>
        </w:rPr>
        <w:t>家估價師事務所估定權利金，並</w:t>
      </w:r>
      <w:r w:rsidRPr="00B65761">
        <w:rPr>
          <w:rFonts w:hAnsi="標楷體" w:cs="DFHeiStd-W3" w:hint="eastAsia"/>
          <w:szCs w:val="32"/>
        </w:rPr>
        <w:t>經該府市有財產審議委員會審議後決定，過程</w:t>
      </w:r>
      <w:r w:rsidR="0095207D">
        <w:rPr>
          <w:rFonts w:hAnsi="標楷體" w:cs="DFHeiStd-W3" w:hint="eastAsia"/>
          <w:szCs w:val="32"/>
        </w:rPr>
        <w:t>誠然</w:t>
      </w:r>
      <w:r w:rsidRPr="00B65761">
        <w:rPr>
          <w:rFonts w:hAnsi="標楷體" w:cs="DFHeiStd-W3" w:hint="eastAsia"/>
          <w:szCs w:val="32"/>
        </w:rPr>
        <w:t>相當嚴謹</w:t>
      </w:r>
      <w:r w:rsidR="0095207D">
        <w:rPr>
          <w:rFonts w:hAnsi="標楷體" w:cs="DFHeiStd-W3" w:hint="eastAsia"/>
          <w:szCs w:val="32"/>
        </w:rPr>
        <w:t>，</w:t>
      </w:r>
      <w:r w:rsidRPr="00B65761">
        <w:rPr>
          <w:rFonts w:hAnsi="標楷體" w:cs="DFHeiStd-W3" w:hint="eastAsia"/>
          <w:szCs w:val="32"/>
        </w:rPr>
        <w:t>惟依上開歷次流標情形之檢討，權利金底價過高亦為招標案流標之主要原因之一</w:t>
      </w:r>
      <w:r>
        <w:rPr>
          <w:rFonts w:hAnsi="標楷體" w:cs="DFHeiStd-W3" w:hint="eastAsia"/>
          <w:szCs w:val="32"/>
        </w:rPr>
        <w:t>，</w:t>
      </w:r>
      <w:r w:rsidRPr="002B0885">
        <w:rPr>
          <w:rFonts w:hAnsi="標楷體" w:cs="DFHeiStd-W3" w:hint="eastAsia"/>
          <w:szCs w:val="32"/>
          <w:lang w:eastAsia="zh-HK"/>
        </w:rPr>
        <w:t>嗣</w:t>
      </w:r>
      <w:r>
        <w:rPr>
          <w:rFonts w:hAnsi="標楷體" w:cs="DFHeiStd-W3" w:hint="eastAsia"/>
          <w:szCs w:val="32"/>
        </w:rPr>
        <w:t>於再度招標時</w:t>
      </w:r>
      <w:r w:rsidRPr="00B65761">
        <w:rPr>
          <w:rFonts w:hAnsi="標楷體" w:cs="DFHeiStd-W3" w:hint="eastAsia"/>
          <w:szCs w:val="32"/>
        </w:rPr>
        <w:t>權利金底價</w:t>
      </w:r>
      <w:r>
        <w:rPr>
          <w:rFonts w:hAnsi="標楷體" w:cs="DFHeiStd-W3" w:hint="eastAsia"/>
          <w:szCs w:val="32"/>
        </w:rPr>
        <w:t>縱因招標規範變更或因投資環境改變而調降金額並予分期，</w:t>
      </w:r>
      <w:r>
        <w:rPr>
          <w:rFonts w:hAnsi="標楷體" w:cs="DFHeiStd-W3" w:hint="eastAsia"/>
          <w:szCs w:val="32"/>
          <w:lang w:eastAsia="zh-HK"/>
        </w:rPr>
        <w:t>恐</w:t>
      </w:r>
      <w:r>
        <w:rPr>
          <w:rFonts w:hAnsi="標楷體" w:cs="DFHeiStd-W3" w:hint="eastAsia"/>
          <w:szCs w:val="32"/>
        </w:rPr>
        <w:t>亦難杜外界</w:t>
      </w:r>
      <w:r w:rsidR="0095207D">
        <w:rPr>
          <w:rFonts w:hAnsi="標楷體" w:cs="DFHeiStd-W3" w:hint="eastAsia"/>
          <w:szCs w:val="32"/>
        </w:rPr>
        <w:t>對決策過程之</w:t>
      </w:r>
      <w:r>
        <w:rPr>
          <w:rFonts w:hAnsi="標楷體" w:cs="DFHeiStd-W3" w:hint="eastAsia"/>
          <w:szCs w:val="32"/>
        </w:rPr>
        <w:t>質疑</w:t>
      </w:r>
      <w:r w:rsidRPr="00B65761">
        <w:rPr>
          <w:rFonts w:hAnsi="標楷體" w:cs="DFHeiStd-W3" w:hint="eastAsia"/>
          <w:szCs w:val="32"/>
        </w:rPr>
        <w:t>，爰權利金底價之決策過程，似</w:t>
      </w:r>
      <w:r>
        <w:rPr>
          <w:rFonts w:hAnsi="標楷體" w:cs="DFHeiStd-W3" w:hint="eastAsia"/>
          <w:szCs w:val="32"/>
        </w:rPr>
        <w:t>應再</w:t>
      </w:r>
      <w:r w:rsidRPr="00B65761">
        <w:rPr>
          <w:rFonts w:hAnsi="標楷體" w:cs="DFHeiStd-W3" w:hint="eastAsia"/>
          <w:szCs w:val="32"/>
        </w:rPr>
        <w:t>予</w:t>
      </w:r>
      <w:r w:rsidR="0095207D">
        <w:rPr>
          <w:rFonts w:hAnsi="標楷體" w:cs="DFHeiStd-W3" w:hint="eastAsia"/>
          <w:szCs w:val="32"/>
        </w:rPr>
        <w:t>探</w:t>
      </w:r>
      <w:r w:rsidRPr="00B65761">
        <w:rPr>
          <w:rFonts w:hAnsi="標楷體" w:cs="DFHeiStd-W3" w:hint="eastAsia"/>
          <w:szCs w:val="32"/>
        </w:rPr>
        <w:t>究精進之道，</w:t>
      </w:r>
      <w:r>
        <w:rPr>
          <w:rFonts w:hAnsi="標楷體" w:cs="DFHeiStd-W3" w:hint="eastAsia"/>
          <w:szCs w:val="32"/>
        </w:rPr>
        <w:t>例如有無就擬招標內容精準地向</w:t>
      </w:r>
      <w:r w:rsidRPr="00354A52">
        <w:rPr>
          <w:rFonts w:hAnsi="標楷體" w:cs="DFHeiStd-W3" w:hint="eastAsia"/>
          <w:szCs w:val="32"/>
        </w:rPr>
        <w:t>所委託之估價師</w:t>
      </w:r>
      <w:r>
        <w:rPr>
          <w:rFonts w:hAnsi="標楷體" w:cs="DFHeiStd-W3" w:hint="eastAsia"/>
          <w:szCs w:val="32"/>
        </w:rPr>
        <w:t>妥適</w:t>
      </w:r>
      <w:r w:rsidRPr="00354A52">
        <w:rPr>
          <w:rFonts w:hAnsi="標楷體" w:cs="DFHeiStd-W3" w:hint="eastAsia"/>
          <w:szCs w:val="32"/>
        </w:rPr>
        <w:t>說明</w:t>
      </w:r>
      <w:r>
        <w:rPr>
          <w:rFonts w:hAnsi="標楷體" w:cs="DFHeiStd-W3" w:hint="eastAsia"/>
          <w:szCs w:val="32"/>
        </w:rPr>
        <w:t>以助其了解投資人之權</w:t>
      </w:r>
      <w:r w:rsidRPr="00354A52">
        <w:rPr>
          <w:rFonts w:hAnsi="標楷體" w:cs="DFHeiStd-W3" w:hint="eastAsia"/>
          <w:szCs w:val="32"/>
        </w:rPr>
        <w:t>利與義</w:t>
      </w:r>
      <w:r>
        <w:rPr>
          <w:rFonts w:hAnsi="標楷體" w:cs="DFHeiStd-W3" w:hint="eastAsia"/>
          <w:szCs w:val="32"/>
        </w:rPr>
        <w:t>務及可能面臨之風險</w:t>
      </w:r>
      <w:r w:rsidRPr="00354A52">
        <w:rPr>
          <w:rFonts w:hAnsi="標楷體" w:cs="DFHeiStd-W3" w:hint="eastAsia"/>
          <w:szCs w:val="32"/>
        </w:rPr>
        <w:t>、有無檢視估價師</w:t>
      </w:r>
      <w:r>
        <w:rPr>
          <w:rFonts w:hAnsi="標楷體" w:cs="DFHeiStd-W3" w:hint="eastAsia"/>
          <w:szCs w:val="32"/>
        </w:rPr>
        <w:t>之假設及估算是否允當等</w:t>
      </w:r>
      <w:r w:rsidRPr="00354A52">
        <w:rPr>
          <w:rFonts w:hAnsi="標楷體" w:cs="DFHeiStd-W3" w:hint="eastAsia"/>
          <w:szCs w:val="32"/>
        </w:rPr>
        <w:t>，</w:t>
      </w:r>
      <w:r>
        <w:rPr>
          <w:rFonts w:hAnsi="標楷體" w:cs="DFHeiStd-W3" w:hint="eastAsia"/>
          <w:szCs w:val="32"/>
        </w:rPr>
        <w:t>俾供</w:t>
      </w:r>
      <w:r w:rsidRPr="00B65761">
        <w:rPr>
          <w:rFonts w:hAnsi="標楷體" w:cs="DFHeiStd-W3" w:hint="eastAsia"/>
          <w:szCs w:val="32"/>
        </w:rPr>
        <w:t>該府市有財產審議委員會</w:t>
      </w:r>
      <w:r>
        <w:rPr>
          <w:rFonts w:hAnsi="標楷體" w:cs="DFHeiStd-W3" w:hint="eastAsia"/>
          <w:szCs w:val="32"/>
        </w:rPr>
        <w:t>據以形成最佳之決策，</w:t>
      </w:r>
      <w:r w:rsidRPr="00B65761">
        <w:rPr>
          <w:rFonts w:hAnsi="標楷體" w:cs="DFHeiStd-W3" w:hint="eastAsia"/>
          <w:szCs w:val="32"/>
        </w:rPr>
        <w:t>以符實需。</w:t>
      </w:r>
      <w:r w:rsidRPr="00DD5C20">
        <w:rPr>
          <w:rFonts w:hint="eastAsia"/>
          <w:color w:val="000000"/>
          <w:szCs w:val="32"/>
        </w:rPr>
        <w:t>「市議會舊址設定地上權案」</w:t>
      </w:r>
      <w:r>
        <w:rPr>
          <w:rFonts w:hint="eastAsia"/>
          <w:color w:val="000000"/>
          <w:lang w:eastAsia="zh-HK"/>
        </w:rPr>
        <w:t>雖</w:t>
      </w:r>
      <w:r>
        <w:rPr>
          <w:rFonts w:hint="eastAsia"/>
          <w:color w:val="000000"/>
        </w:rPr>
        <w:t>終於</w:t>
      </w:r>
      <w:r>
        <w:rPr>
          <w:rFonts w:hint="eastAsia"/>
          <w:color w:val="000000"/>
          <w:lang w:eastAsia="zh-HK"/>
        </w:rPr>
        <w:t>順利完成招商作業，</w:t>
      </w:r>
      <w:r>
        <w:rPr>
          <w:rFonts w:hint="eastAsia"/>
          <w:color w:val="000000"/>
        </w:rPr>
        <w:t>然</w:t>
      </w:r>
      <w:r w:rsidRPr="00354A52">
        <w:rPr>
          <w:rFonts w:hAnsi="標楷體" w:cs="DFHeiStd-W3" w:hint="eastAsia"/>
          <w:szCs w:val="32"/>
        </w:rPr>
        <w:t>臺北市政府應以本案</w:t>
      </w:r>
      <w:r>
        <w:rPr>
          <w:rFonts w:hAnsi="標楷體" w:cs="DFHeiStd-W3" w:hint="eastAsia"/>
          <w:szCs w:val="32"/>
        </w:rPr>
        <w:t>先前所</w:t>
      </w:r>
      <w:r w:rsidRPr="00354A52">
        <w:rPr>
          <w:rFonts w:hAnsi="標楷體" w:cs="DFHeiStd-W3" w:hint="eastAsia"/>
          <w:szCs w:val="32"/>
        </w:rPr>
        <w:t>歷經</w:t>
      </w:r>
      <w:r w:rsidRPr="00C214C1">
        <w:rPr>
          <w:rFonts w:hint="eastAsia"/>
          <w:color w:val="000000"/>
        </w:rPr>
        <w:t>多次</w:t>
      </w:r>
      <w:r>
        <w:rPr>
          <w:rFonts w:hint="eastAsia"/>
          <w:color w:val="000000"/>
        </w:rPr>
        <w:t>之</w:t>
      </w:r>
      <w:r w:rsidRPr="00C214C1">
        <w:rPr>
          <w:rFonts w:hint="eastAsia"/>
          <w:color w:val="000000"/>
        </w:rPr>
        <w:t>流標為</w:t>
      </w:r>
      <w:r w:rsidR="00CC499B" w:rsidRPr="00CC499B">
        <w:rPr>
          <w:rFonts w:hAnsi="標楷體" w:hint="eastAsia"/>
          <w:color w:val="000000"/>
          <w:szCs w:val="32"/>
        </w:rPr>
        <w:t>戒</w:t>
      </w:r>
      <w:r w:rsidRPr="00C214C1">
        <w:rPr>
          <w:rFonts w:hint="eastAsia"/>
          <w:color w:val="000000"/>
        </w:rPr>
        <w:t>，汲取相關經驗，</w:t>
      </w:r>
      <w:r w:rsidR="0095207D">
        <w:rPr>
          <w:rFonts w:hint="eastAsia"/>
          <w:color w:val="000000"/>
        </w:rPr>
        <w:t>避免重蹈覆轍</w:t>
      </w:r>
      <w:r w:rsidRPr="00C214C1">
        <w:rPr>
          <w:rFonts w:hint="eastAsia"/>
          <w:color w:val="000000"/>
          <w:szCs w:val="32"/>
        </w:rPr>
        <w:t>。</w:t>
      </w:r>
    </w:p>
    <w:p w:rsidR="00FE1848" w:rsidRDefault="00FE1848" w:rsidP="00FE1848">
      <w:pPr>
        <w:pStyle w:val="2"/>
        <w:numPr>
          <w:ilvl w:val="0"/>
          <w:numId w:val="0"/>
        </w:numPr>
        <w:ind w:left="1047"/>
        <w:rPr>
          <w:b/>
          <w:color w:val="000000"/>
          <w:szCs w:val="32"/>
        </w:rPr>
      </w:pPr>
    </w:p>
    <w:p w:rsidR="00FE1848" w:rsidRPr="001E0533" w:rsidRDefault="00FE1848" w:rsidP="00FE1848">
      <w:pPr>
        <w:pStyle w:val="2"/>
        <w:kinsoku w:val="0"/>
        <w:overflowPunct/>
        <w:autoSpaceDE/>
        <w:autoSpaceDN/>
        <w:ind w:left="1047" w:hanging="697"/>
        <w:rPr>
          <w:rFonts w:hAnsi="標楷體"/>
          <w:b/>
          <w:color w:val="FF0000"/>
          <w:szCs w:val="32"/>
        </w:rPr>
      </w:pPr>
      <w:r w:rsidRPr="00030CD4">
        <w:rPr>
          <w:rFonts w:hAnsi="標楷體"/>
          <w:b/>
          <w:color w:val="000000"/>
          <w:szCs w:val="32"/>
        </w:rPr>
        <w:t>促參BOT案</w:t>
      </w:r>
      <w:r w:rsidRPr="00030CD4">
        <w:rPr>
          <w:rFonts w:hAnsi="標楷體" w:hint="eastAsia"/>
          <w:b/>
          <w:color w:val="000000"/>
          <w:szCs w:val="32"/>
        </w:rPr>
        <w:t>係</w:t>
      </w:r>
      <w:r w:rsidRPr="00030CD4">
        <w:rPr>
          <w:rFonts w:hAnsi="標楷體"/>
          <w:b/>
          <w:color w:val="000000"/>
          <w:szCs w:val="32"/>
        </w:rPr>
        <w:t>政府與民間基於公共利益及公平合理原則，合作完成公共建設與公共服務</w:t>
      </w:r>
      <w:r w:rsidRPr="00030CD4">
        <w:rPr>
          <w:rFonts w:hAnsi="標楷體" w:hint="eastAsia"/>
          <w:b/>
          <w:color w:val="000000"/>
          <w:szCs w:val="32"/>
        </w:rPr>
        <w:t>，其</w:t>
      </w:r>
      <w:r w:rsidRPr="00030CD4">
        <w:rPr>
          <w:rFonts w:hAnsi="標楷體"/>
          <w:b/>
          <w:color w:val="000000"/>
          <w:szCs w:val="32"/>
        </w:rPr>
        <w:t>核心價值</w:t>
      </w:r>
      <w:r w:rsidRPr="00030CD4">
        <w:rPr>
          <w:rFonts w:hAnsi="標楷體" w:hint="eastAsia"/>
          <w:b/>
          <w:color w:val="000000"/>
          <w:szCs w:val="32"/>
        </w:rPr>
        <w:t>係為</w:t>
      </w:r>
      <w:r w:rsidRPr="00030CD4">
        <w:rPr>
          <w:rFonts w:hAnsi="標楷體"/>
          <w:b/>
          <w:color w:val="000000"/>
          <w:szCs w:val="32"/>
        </w:rPr>
        <w:t>提升公共服務水準，非以收取權利金為目的</w:t>
      </w:r>
      <w:r w:rsidRPr="00030CD4">
        <w:rPr>
          <w:rFonts w:hAnsi="標楷體" w:hint="eastAsia"/>
          <w:b/>
          <w:color w:val="000000"/>
          <w:szCs w:val="32"/>
        </w:rPr>
        <w:t>，況各</w:t>
      </w:r>
      <w:r w:rsidRPr="00030CD4">
        <w:rPr>
          <w:rFonts w:hAnsi="標楷體"/>
          <w:b/>
          <w:color w:val="000000"/>
          <w:szCs w:val="32"/>
        </w:rPr>
        <w:t>BOT</w:t>
      </w:r>
      <w:r w:rsidRPr="00030CD4">
        <w:rPr>
          <w:rFonts w:hAnsi="標楷體" w:hint="eastAsia"/>
          <w:b/>
          <w:color w:val="000000"/>
          <w:szCs w:val="32"/>
        </w:rPr>
        <w:t>案之預計目標及招商條件不同，有其特殊性，各</w:t>
      </w:r>
      <w:r w:rsidRPr="00030CD4">
        <w:rPr>
          <w:rFonts w:hAnsi="標楷體"/>
          <w:b/>
          <w:color w:val="000000"/>
          <w:szCs w:val="32"/>
        </w:rPr>
        <w:t>BOT</w:t>
      </w:r>
      <w:r w:rsidRPr="00030CD4">
        <w:rPr>
          <w:rFonts w:hAnsi="標楷體" w:hint="eastAsia"/>
          <w:b/>
          <w:color w:val="000000"/>
          <w:szCs w:val="32"/>
        </w:rPr>
        <w:t>案應</w:t>
      </w:r>
      <w:r w:rsidR="00805FFA">
        <w:rPr>
          <w:rFonts w:hAnsi="標楷體" w:hint="eastAsia"/>
          <w:b/>
          <w:color w:val="000000"/>
          <w:szCs w:val="32"/>
        </w:rPr>
        <w:t>以</w:t>
      </w:r>
      <w:r w:rsidRPr="00030CD4">
        <w:rPr>
          <w:rFonts w:hAnsi="標楷體" w:hint="eastAsia"/>
          <w:b/>
          <w:color w:val="000000"/>
          <w:szCs w:val="32"/>
        </w:rPr>
        <w:t>檢視其設定之目標及核心價值是否達成</w:t>
      </w:r>
      <w:r>
        <w:rPr>
          <w:rFonts w:hAnsi="標楷體" w:hint="eastAsia"/>
          <w:b/>
          <w:color w:val="000000"/>
          <w:szCs w:val="32"/>
          <w:lang w:eastAsia="zh-HK"/>
        </w:rPr>
        <w:t>為宜</w:t>
      </w:r>
      <w:r w:rsidRPr="00030CD4">
        <w:rPr>
          <w:rFonts w:hAnsi="標楷體" w:hint="eastAsia"/>
          <w:b/>
          <w:color w:val="000000"/>
          <w:szCs w:val="32"/>
        </w:rPr>
        <w:t>，於各</w:t>
      </w:r>
      <w:r w:rsidRPr="00030CD4">
        <w:rPr>
          <w:rFonts w:hAnsi="標楷體"/>
          <w:b/>
          <w:color w:val="000000"/>
          <w:szCs w:val="32"/>
        </w:rPr>
        <w:t>BOT</w:t>
      </w:r>
      <w:r w:rsidRPr="00030CD4">
        <w:rPr>
          <w:rFonts w:hAnsi="標楷體" w:hint="eastAsia"/>
          <w:b/>
          <w:color w:val="000000"/>
          <w:szCs w:val="32"/>
        </w:rPr>
        <w:t>案間進行比</w:t>
      </w:r>
      <w:r w:rsidRPr="001E0533">
        <w:rPr>
          <w:rFonts w:hAnsi="標楷體" w:hint="eastAsia"/>
          <w:b/>
          <w:color w:val="000000"/>
          <w:szCs w:val="32"/>
        </w:rPr>
        <w:t>較，易</w:t>
      </w:r>
      <w:r w:rsidR="00334870" w:rsidRPr="00334870">
        <w:rPr>
          <w:rFonts w:hAnsi="標楷體" w:hint="eastAsia"/>
          <w:b/>
          <w:color w:val="000000"/>
          <w:szCs w:val="32"/>
        </w:rPr>
        <w:t>生</w:t>
      </w:r>
      <w:r w:rsidRPr="001E0533">
        <w:rPr>
          <w:rFonts w:hAnsi="標楷體" w:hint="eastAsia"/>
          <w:b/>
          <w:color w:val="000000"/>
          <w:szCs w:val="32"/>
        </w:rPr>
        <w:t>誤解。</w:t>
      </w:r>
      <w:r>
        <w:rPr>
          <w:rFonts w:hAnsi="標楷體" w:hint="eastAsia"/>
          <w:b/>
          <w:color w:val="000000"/>
          <w:szCs w:val="32"/>
          <w:lang w:eastAsia="zh-HK"/>
        </w:rPr>
        <w:t>又</w:t>
      </w:r>
      <w:r w:rsidRPr="001E0533">
        <w:rPr>
          <w:rFonts w:hAnsi="標楷體"/>
          <w:b/>
          <w:bCs w:val="0"/>
          <w:color w:val="000000"/>
          <w:szCs w:val="32"/>
        </w:rPr>
        <w:t>招標設定地上權案</w:t>
      </w:r>
      <w:r w:rsidRPr="001E0533">
        <w:rPr>
          <w:rFonts w:hAnsi="標楷體" w:hint="eastAsia"/>
          <w:b/>
          <w:bCs w:val="0"/>
          <w:color w:val="000000"/>
          <w:szCs w:val="32"/>
        </w:rPr>
        <w:t>件基本上係</w:t>
      </w:r>
      <w:r w:rsidRPr="001E0533">
        <w:rPr>
          <w:rFonts w:hAnsi="標楷體"/>
          <w:b/>
          <w:color w:val="000000"/>
          <w:szCs w:val="32"/>
        </w:rPr>
        <w:t>以追求公有土地最大收益為目標，民間興辦之事業於符合個案基地所在都市計畫土地使用分區管制規定下追求利潤</w:t>
      </w:r>
      <w:r w:rsidRPr="001E0533">
        <w:rPr>
          <w:rFonts w:hAnsi="標楷體" w:hint="eastAsia"/>
          <w:b/>
          <w:color w:val="000000"/>
          <w:szCs w:val="32"/>
        </w:rPr>
        <w:t>，爰不宜僅以</w:t>
      </w:r>
      <w:r w:rsidRPr="001E0533">
        <w:rPr>
          <w:rFonts w:hAnsi="標楷體"/>
          <w:b/>
          <w:color w:val="000000"/>
          <w:szCs w:val="32"/>
        </w:rPr>
        <w:t>權利金</w:t>
      </w:r>
      <w:r w:rsidRPr="001E0533">
        <w:rPr>
          <w:rFonts w:hAnsi="標楷體" w:hint="eastAsia"/>
          <w:b/>
          <w:color w:val="000000"/>
          <w:szCs w:val="32"/>
        </w:rPr>
        <w:t>之多寡比較</w:t>
      </w:r>
      <w:r w:rsidRPr="001E0533">
        <w:rPr>
          <w:rFonts w:hAnsi="標楷體"/>
          <w:b/>
          <w:color w:val="000000"/>
          <w:szCs w:val="32"/>
        </w:rPr>
        <w:t>BOT</w:t>
      </w:r>
      <w:r w:rsidRPr="001E0533">
        <w:rPr>
          <w:rFonts w:hAnsi="標楷體" w:hint="eastAsia"/>
          <w:b/>
          <w:color w:val="000000"/>
          <w:szCs w:val="32"/>
        </w:rPr>
        <w:t>案</w:t>
      </w:r>
      <w:r w:rsidRPr="001E0533">
        <w:rPr>
          <w:rFonts w:hAnsi="標楷體"/>
          <w:b/>
          <w:color w:val="000000"/>
          <w:szCs w:val="32"/>
        </w:rPr>
        <w:t>與招標設定地上權案</w:t>
      </w:r>
      <w:r w:rsidRPr="001E0533">
        <w:rPr>
          <w:rFonts w:hAnsi="標楷體" w:hint="eastAsia"/>
          <w:b/>
          <w:color w:val="000000"/>
          <w:szCs w:val="32"/>
        </w:rPr>
        <w:t>後，即斷其優劣。然因權利金攸關政府及民間投資人之利益</w:t>
      </w:r>
      <w:r w:rsidRPr="00B96392">
        <w:rPr>
          <w:rFonts w:hAnsi="標楷體" w:hint="eastAsia"/>
          <w:b/>
          <w:color w:val="000000"/>
          <w:szCs w:val="32"/>
        </w:rPr>
        <w:t>且簡單易懂，</w:t>
      </w:r>
      <w:r>
        <w:rPr>
          <w:rFonts w:hAnsi="標楷體" w:hint="eastAsia"/>
          <w:b/>
          <w:color w:val="000000"/>
          <w:szCs w:val="32"/>
          <w:lang w:eastAsia="zh-HK"/>
        </w:rPr>
        <w:t>自</w:t>
      </w:r>
      <w:r w:rsidRPr="001E0533">
        <w:rPr>
          <w:rFonts w:hAnsi="標楷體" w:hint="eastAsia"/>
          <w:b/>
          <w:color w:val="000000"/>
          <w:szCs w:val="32"/>
        </w:rPr>
        <w:t>易成為各界據以比較不</w:t>
      </w:r>
      <w:r w:rsidRPr="001E0533">
        <w:rPr>
          <w:rFonts w:hAnsi="標楷體" w:hint="eastAsia"/>
          <w:b/>
          <w:color w:val="000000"/>
          <w:szCs w:val="32"/>
        </w:rPr>
        <w:lastRenderedPageBreak/>
        <w:t>同開發案之焦點。</w:t>
      </w:r>
      <w:r w:rsidRPr="00B96392">
        <w:rPr>
          <w:rFonts w:hAnsi="標楷體" w:hint="eastAsia"/>
          <w:b/>
          <w:color w:val="000000"/>
          <w:szCs w:val="32"/>
        </w:rPr>
        <w:t>政府各機關於辦理相關開發案時，自應慎重其事與適時向外界說明</w:t>
      </w:r>
      <w:r w:rsidRPr="00B96392">
        <w:rPr>
          <w:rFonts w:hAnsi="標楷體"/>
          <w:b/>
          <w:color w:val="000000"/>
          <w:szCs w:val="32"/>
        </w:rPr>
        <w:t>權利金</w:t>
      </w:r>
      <w:r w:rsidRPr="00B96392">
        <w:rPr>
          <w:rFonts w:hAnsi="標楷體" w:hint="eastAsia"/>
          <w:b/>
          <w:color w:val="000000"/>
          <w:szCs w:val="32"/>
        </w:rPr>
        <w:t>之決策過程及依據，以杜質疑。</w:t>
      </w:r>
    </w:p>
    <w:p w:rsidR="0095207D" w:rsidRDefault="0095207D" w:rsidP="0095207D">
      <w:pPr>
        <w:pStyle w:val="3"/>
        <w:numPr>
          <w:ilvl w:val="0"/>
          <w:numId w:val="0"/>
        </w:numPr>
        <w:kinsoku w:val="0"/>
        <w:overflowPunct/>
        <w:autoSpaceDE/>
        <w:autoSpaceDN/>
        <w:ind w:left="1360"/>
      </w:pPr>
    </w:p>
    <w:p w:rsidR="00FE1848" w:rsidRPr="00EC4844" w:rsidRDefault="00FE1848" w:rsidP="00FE1848">
      <w:pPr>
        <w:pStyle w:val="3"/>
        <w:kinsoku w:val="0"/>
        <w:overflowPunct/>
        <w:autoSpaceDE/>
        <w:autoSpaceDN/>
        <w:ind w:left="1360" w:hanging="680"/>
      </w:pPr>
      <w:r>
        <w:rPr>
          <w:rFonts w:hint="eastAsia"/>
        </w:rPr>
        <w:t>依據財政部之說明</w:t>
      </w:r>
      <w:r>
        <w:rPr>
          <w:rStyle w:val="aff1"/>
        </w:rPr>
        <w:footnoteReference w:id="24"/>
      </w:r>
      <w:r>
        <w:rPr>
          <w:rFonts w:hint="eastAsia"/>
        </w:rPr>
        <w:t>，</w:t>
      </w:r>
      <w:r w:rsidRPr="00B84E56">
        <w:rPr>
          <w:rFonts w:hAnsi="標楷體"/>
          <w:color w:val="000000"/>
          <w:szCs w:val="32"/>
        </w:rPr>
        <w:t>近年來，藉由民間投資興建公共建設，引進企業經營理念，以改善公共服務品質，已成為國際趨勢；而國內為減輕政府財政負擔，擴大公共建設投資以提振景氣，行政院將民間參與公共建設列為重要施政方向，新興公共建設計畫皆應先行評估民間參與可行性，凡具民間參與空間者，政府即不再編列預算，優先以民間參與方式辦理。為健全國內民間參與公共建設環境，</w:t>
      </w:r>
      <w:r>
        <w:rPr>
          <w:rFonts w:ascii="新細明體" w:eastAsia="新細明體" w:hAnsi="新細明體" w:hint="eastAsia"/>
          <w:color w:val="000000"/>
          <w:szCs w:val="32"/>
        </w:rPr>
        <w:t>「</w:t>
      </w:r>
      <w:r w:rsidRPr="00B84E56">
        <w:rPr>
          <w:rFonts w:hAnsi="標楷體"/>
          <w:color w:val="000000"/>
          <w:szCs w:val="32"/>
        </w:rPr>
        <w:t>促參法</w:t>
      </w:r>
      <w:r>
        <w:rPr>
          <w:rFonts w:ascii="新細明體" w:eastAsia="新細明體" w:hAnsi="新細明體" w:hint="eastAsia"/>
          <w:color w:val="000000"/>
          <w:szCs w:val="32"/>
        </w:rPr>
        <w:t>」</w:t>
      </w:r>
      <w:r w:rsidRPr="00B84E56">
        <w:rPr>
          <w:rFonts w:hAnsi="標楷體"/>
          <w:color w:val="000000"/>
          <w:szCs w:val="32"/>
        </w:rPr>
        <w:t>於 89 年 2 月 9 日經公布施行</w:t>
      </w:r>
      <w:r>
        <w:rPr>
          <w:rFonts w:hAnsi="標楷體" w:hint="eastAsia"/>
          <w:color w:val="000000"/>
          <w:szCs w:val="32"/>
        </w:rPr>
        <w:t>後，歷</w:t>
      </w:r>
      <w:r w:rsidRPr="00B84E56">
        <w:rPr>
          <w:rFonts w:hAnsi="標楷體"/>
          <w:color w:val="000000"/>
          <w:szCs w:val="32"/>
        </w:rPr>
        <w:t>經90年及104年</w:t>
      </w:r>
      <w:r>
        <w:rPr>
          <w:rFonts w:hAnsi="標楷體" w:hint="eastAsia"/>
          <w:color w:val="000000"/>
          <w:szCs w:val="32"/>
        </w:rPr>
        <w:t>2</w:t>
      </w:r>
      <w:r w:rsidRPr="00B84E56">
        <w:rPr>
          <w:rFonts w:hAnsi="標楷體"/>
          <w:color w:val="000000"/>
          <w:szCs w:val="32"/>
        </w:rPr>
        <w:t>次</w:t>
      </w:r>
      <w:r>
        <w:rPr>
          <w:rFonts w:hAnsi="標楷體" w:hint="eastAsia"/>
          <w:color w:val="000000"/>
          <w:szCs w:val="32"/>
        </w:rPr>
        <w:t>之</w:t>
      </w:r>
      <w:r w:rsidRPr="00B84E56">
        <w:rPr>
          <w:rFonts w:hAnsi="標楷體"/>
          <w:color w:val="000000"/>
          <w:szCs w:val="32"/>
        </w:rPr>
        <w:t>檢討修正，民間參與公共建設範圍包括：以公益性為主之交通運輸、文教、社會勞工福利設施，及商業性強之觀光遊憩、工商設施等 14項21類公共建設，放寬土地、籌資等法令限制，提供融資優惠、租稅減免等諸多誘因，並合理規範政府與民間機構間投資契約之權利義務，明定主辦機關甄審與監督程序。</w:t>
      </w:r>
      <w:r w:rsidR="003C76CF">
        <w:rPr>
          <w:rFonts w:ascii="新細明體" w:eastAsia="新細明體" w:hAnsi="新細明體" w:hint="eastAsia"/>
          <w:color w:val="000000"/>
          <w:szCs w:val="32"/>
        </w:rPr>
        <w:t>「</w:t>
      </w:r>
      <w:r w:rsidRPr="00B84E56">
        <w:rPr>
          <w:rFonts w:hAnsi="標楷體"/>
          <w:color w:val="000000"/>
          <w:szCs w:val="32"/>
        </w:rPr>
        <w:t>促參法</w:t>
      </w:r>
      <w:r w:rsidR="003C76CF">
        <w:rPr>
          <w:rFonts w:ascii="新細明體" w:eastAsia="新細明體" w:hAnsi="新細明體" w:hint="eastAsia"/>
          <w:color w:val="000000"/>
          <w:szCs w:val="32"/>
        </w:rPr>
        <w:t>」</w:t>
      </w:r>
      <w:r w:rsidRPr="00B84E56">
        <w:rPr>
          <w:rFonts w:hAnsi="標楷體"/>
          <w:color w:val="000000"/>
          <w:szCs w:val="32"/>
        </w:rPr>
        <w:t>立法與推動，</w:t>
      </w:r>
      <w:r>
        <w:rPr>
          <w:rFonts w:hAnsi="標楷體" w:hint="eastAsia"/>
          <w:color w:val="000000"/>
          <w:szCs w:val="32"/>
        </w:rPr>
        <w:t>係</w:t>
      </w:r>
      <w:r w:rsidRPr="00B84E56">
        <w:rPr>
          <w:rFonts w:hAnsi="標楷體"/>
          <w:color w:val="000000"/>
          <w:szCs w:val="32"/>
        </w:rPr>
        <w:t>展現政府再造創新精神，摒除傳統政府興辦公共建設可能遭致「與民爭利」質疑，從「為民興利」角度，開放民間共同參與開發國家資源</w:t>
      </w:r>
      <w:r w:rsidRPr="000C0C13">
        <w:rPr>
          <w:rFonts w:hAnsi="標楷體"/>
          <w:color w:val="000000"/>
          <w:szCs w:val="32"/>
        </w:rPr>
        <w:t>，在有效發掘民間產業商機的同時，提升公共建設服務效能，締造政府、企業與民眾「三贏」而共利、共榮局面。</w:t>
      </w:r>
    </w:p>
    <w:p w:rsidR="00334870" w:rsidRPr="00334870" w:rsidRDefault="00334870" w:rsidP="00334870">
      <w:pPr>
        <w:pStyle w:val="3"/>
        <w:numPr>
          <w:ilvl w:val="0"/>
          <w:numId w:val="0"/>
        </w:numPr>
        <w:kinsoku w:val="0"/>
        <w:overflowPunct/>
        <w:autoSpaceDE/>
        <w:autoSpaceDN/>
        <w:ind w:left="1360"/>
      </w:pPr>
    </w:p>
    <w:p w:rsidR="00FE1848" w:rsidRPr="00E96993" w:rsidRDefault="00FE1848" w:rsidP="00FE1848">
      <w:pPr>
        <w:pStyle w:val="3"/>
        <w:kinsoku w:val="0"/>
        <w:overflowPunct/>
        <w:autoSpaceDE/>
        <w:autoSpaceDN/>
        <w:ind w:left="1360" w:hanging="680"/>
      </w:pPr>
      <w:r>
        <w:rPr>
          <w:rFonts w:hAnsi="標楷體" w:hint="eastAsia"/>
          <w:color w:val="000000"/>
          <w:szCs w:val="32"/>
        </w:rPr>
        <w:t>關於</w:t>
      </w:r>
      <w:r w:rsidRPr="00B84E56">
        <w:rPr>
          <w:rFonts w:hAnsi="標楷體"/>
          <w:color w:val="000000"/>
          <w:szCs w:val="32"/>
        </w:rPr>
        <w:t>促進民間參與公共建設</w:t>
      </w:r>
      <w:r>
        <w:rPr>
          <w:rFonts w:hAnsi="標楷體" w:hint="eastAsia"/>
          <w:color w:val="000000"/>
          <w:szCs w:val="32"/>
        </w:rPr>
        <w:t>（下稱</w:t>
      </w:r>
      <w:r w:rsidRPr="000C0C13">
        <w:rPr>
          <w:rFonts w:hAnsi="標楷體" w:cs="新細明體"/>
          <w:color w:val="000000"/>
          <w:szCs w:val="32"/>
        </w:rPr>
        <w:t>促參</w:t>
      </w:r>
      <w:r>
        <w:rPr>
          <w:rFonts w:hAnsi="標楷體" w:cs="新細明體" w:hint="eastAsia"/>
          <w:color w:val="000000"/>
          <w:szCs w:val="32"/>
        </w:rPr>
        <w:t>）</w:t>
      </w:r>
      <w:r w:rsidRPr="000C0C13">
        <w:rPr>
          <w:rFonts w:hAnsi="標楷體" w:cs="新細明體"/>
          <w:color w:val="000000"/>
          <w:szCs w:val="32"/>
        </w:rPr>
        <w:t>案件是否應收取權利金</w:t>
      </w:r>
      <w:r>
        <w:rPr>
          <w:rFonts w:hAnsi="標楷體" w:cs="新細明體" w:hint="eastAsia"/>
          <w:color w:val="000000"/>
          <w:szCs w:val="32"/>
        </w:rPr>
        <w:t>，依財政部官方網站之說明，略以：</w:t>
      </w:r>
    </w:p>
    <w:p w:rsidR="00FE1848" w:rsidRDefault="00FE1848" w:rsidP="00E96993">
      <w:pPr>
        <w:pStyle w:val="4"/>
      </w:pPr>
      <w:r w:rsidRPr="00EC4844">
        <w:t>促參案之推動，係政府與民間基於公共利益及公平</w:t>
      </w:r>
      <w:r w:rsidRPr="00EC4844">
        <w:lastRenderedPageBreak/>
        <w:t>合理原則，以公私協力夥伴關係，合作完成公共建設與公共服務之提供。其核心價值為提升公共服務水準，並非以收取權利金為目的。</w:t>
      </w:r>
    </w:p>
    <w:p w:rsidR="00FE1848" w:rsidRDefault="00FE1848" w:rsidP="00E96993">
      <w:pPr>
        <w:pStyle w:val="4"/>
      </w:pPr>
      <w:r w:rsidRPr="00EC4844">
        <w:t>依</w:t>
      </w:r>
      <w:r>
        <w:rPr>
          <w:rFonts w:ascii="新細明體" w:eastAsia="新細明體" w:hAnsi="新細明體" w:hint="eastAsia"/>
        </w:rPr>
        <w:t>「</w:t>
      </w:r>
      <w:r w:rsidRPr="00EC4844">
        <w:t>促參法</w:t>
      </w:r>
      <w:r>
        <w:rPr>
          <w:rFonts w:ascii="新細明體" w:eastAsia="新細明體" w:hAnsi="新細明體" w:hint="eastAsia"/>
        </w:rPr>
        <w:t>」</w:t>
      </w:r>
      <w:r w:rsidRPr="00EC4844">
        <w:t>規定，主辦機關須收取土地租金，並可依個案特性決定是否收取權利金，爰主辦機關得基於推動個案之政策目標、民間機構使用機關財產情形及財務收支狀況，衡酌決定是否收取權利金。有關權利金之設定，應就權利金及租金分別估算，且應以支付足額土地租金後，始收取權利金。</w:t>
      </w:r>
    </w:p>
    <w:p w:rsidR="00FE1848" w:rsidRPr="00EC4844" w:rsidRDefault="00FE1848" w:rsidP="00E96993">
      <w:pPr>
        <w:pStyle w:val="4"/>
      </w:pPr>
      <w:r w:rsidRPr="00EC4844">
        <w:t>權利金收取額度須依個案之現金流量特性、民間合理投資報酬率、公共建設對外收費之費率合理性、公共建設資產價值及其機會成本等試算後設定。並得視營運情況檢討調整，其調整前提、時機、因子、方式與程序，應於投資契約</w:t>
      </w:r>
      <w:r w:rsidR="00334870">
        <w:rPr>
          <w:rFonts w:hint="eastAsia"/>
        </w:rPr>
        <w:t>中</w:t>
      </w:r>
      <w:r w:rsidRPr="00EC4844">
        <w:t>載明。</w:t>
      </w:r>
    </w:p>
    <w:p w:rsidR="00FE1848" w:rsidRDefault="00FE1848" w:rsidP="00E96993">
      <w:pPr>
        <w:pStyle w:val="3"/>
        <w:numPr>
          <w:ilvl w:val="0"/>
          <w:numId w:val="0"/>
        </w:numPr>
        <w:kinsoku w:val="0"/>
        <w:overflowPunct/>
        <w:autoSpaceDE/>
        <w:autoSpaceDN/>
        <w:ind w:left="1360" w:firstLineChars="197" w:firstLine="630"/>
        <w:rPr>
          <w:rFonts w:hAnsi="標楷體" w:cs="新細明體"/>
          <w:color w:val="000000"/>
          <w:szCs w:val="32"/>
        </w:rPr>
      </w:pPr>
      <w:r w:rsidRPr="00247F0A">
        <w:rPr>
          <w:rFonts w:hAnsi="標楷體" w:cs="新細明體"/>
          <w:color w:val="000000"/>
          <w:szCs w:val="32"/>
        </w:rPr>
        <w:t>財政部說明促參BOT案與招標設定地上權案辦理之目的不同，無法於同一基礎比較。</w:t>
      </w:r>
      <w:r>
        <w:rPr>
          <w:rFonts w:hAnsi="標楷體" w:cs="新細明體" w:hint="eastAsia"/>
          <w:color w:val="000000"/>
          <w:szCs w:val="32"/>
        </w:rPr>
        <w:t>為澄清社會各界疑慮，財政部對</w:t>
      </w:r>
      <w:r w:rsidRPr="00EC4844">
        <w:rPr>
          <w:rFonts w:hAnsi="標楷體" w:cs="新細明體"/>
          <w:color w:val="000000"/>
          <w:szCs w:val="32"/>
        </w:rPr>
        <w:t>促參BOT案</w:t>
      </w:r>
      <w:r w:rsidRPr="00EC4844">
        <w:rPr>
          <w:rFonts w:hAnsi="標楷體" w:cs="新細明體" w:hint="eastAsia"/>
          <w:color w:val="000000"/>
          <w:szCs w:val="32"/>
        </w:rPr>
        <w:t>與</w:t>
      </w:r>
      <w:r w:rsidRPr="00EC4844">
        <w:rPr>
          <w:rFonts w:hAnsi="標楷體" w:cs="新細明體"/>
          <w:color w:val="000000"/>
          <w:szCs w:val="32"/>
        </w:rPr>
        <w:t>招標設定地上權案</w:t>
      </w:r>
      <w:r w:rsidRPr="00EC4844">
        <w:rPr>
          <w:rFonts w:hAnsi="標楷體" w:cs="新細明體" w:hint="eastAsia"/>
          <w:color w:val="000000"/>
          <w:szCs w:val="32"/>
        </w:rPr>
        <w:t>，特別</w:t>
      </w:r>
      <w:r w:rsidR="00334870">
        <w:rPr>
          <w:rFonts w:hAnsi="標楷體" w:cs="新細明體" w:hint="eastAsia"/>
          <w:color w:val="000000"/>
          <w:szCs w:val="32"/>
        </w:rPr>
        <w:t>進行</w:t>
      </w:r>
      <w:r w:rsidRPr="00EC4844">
        <w:rPr>
          <w:rFonts w:hAnsi="標楷體" w:cs="新細明體" w:hint="eastAsia"/>
          <w:color w:val="000000"/>
          <w:szCs w:val="32"/>
        </w:rPr>
        <w:t>比較如表</w:t>
      </w:r>
      <w:r w:rsidR="001C6802">
        <w:rPr>
          <w:rFonts w:hAnsi="標楷體" w:cs="新細明體" w:hint="eastAsia"/>
          <w:color w:val="000000"/>
          <w:szCs w:val="32"/>
        </w:rPr>
        <w:t>A</w:t>
      </w:r>
      <w:r>
        <w:rPr>
          <w:rFonts w:hAnsi="標楷體" w:cs="新細明體" w:hint="eastAsia"/>
          <w:color w:val="000000"/>
          <w:szCs w:val="32"/>
        </w:rPr>
        <w:t>4</w:t>
      </w:r>
      <w:r w:rsidRPr="00EC4844">
        <w:rPr>
          <w:rFonts w:hAnsi="標楷體" w:cs="新細明體" w:hint="eastAsia"/>
          <w:color w:val="000000"/>
          <w:szCs w:val="32"/>
        </w:rPr>
        <w:t>。</w:t>
      </w:r>
    </w:p>
    <w:p w:rsidR="00FE1848" w:rsidRPr="00383177" w:rsidRDefault="00FE1848" w:rsidP="00FE1848">
      <w:pPr>
        <w:pStyle w:val="3"/>
        <w:numPr>
          <w:ilvl w:val="0"/>
          <w:numId w:val="0"/>
        </w:numPr>
        <w:ind w:left="1393" w:firstLineChars="195" w:firstLine="547"/>
        <w:rPr>
          <w:rFonts w:hAnsi="標楷體" w:cs="新細明體"/>
          <w:b/>
          <w:color w:val="000000"/>
          <w:sz w:val="28"/>
          <w:szCs w:val="28"/>
        </w:rPr>
      </w:pPr>
    </w:p>
    <w:p w:rsidR="00FE1848" w:rsidRPr="00383177" w:rsidRDefault="00FE1848" w:rsidP="00FF386C">
      <w:pPr>
        <w:pStyle w:val="3"/>
        <w:numPr>
          <w:ilvl w:val="0"/>
          <w:numId w:val="0"/>
        </w:numPr>
        <w:spacing w:afterLines="50" w:after="228"/>
        <w:ind w:left="6" w:firstLineChars="45" w:firstLine="126"/>
        <w:jc w:val="center"/>
        <w:rPr>
          <w:rFonts w:hAnsi="標楷體" w:cs="新細明體"/>
          <w:b/>
          <w:color w:val="000000"/>
          <w:sz w:val="28"/>
          <w:szCs w:val="28"/>
        </w:rPr>
      </w:pPr>
      <w:r w:rsidRPr="00013897">
        <w:rPr>
          <w:rFonts w:hAnsi="標楷體" w:cs="新細明體" w:hint="eastAsia"/>
          <w:b/>
          <w:color w:val="000000"/>
          <w:sz w:val="28"/>
          <w:szCs w:val="28"/>
        </w:rPr>
        <w:t>表</w:t>
      </w:r>
      <w:r w:rsidR="001C6802">
        <w:rPr>
          <w:rFonts w:hAnsi="標楷體" w:cs="新細明體" w:hint="eastAsia"/>
          <w:b/>
          <w:color w:val="000000"/>
          <w:sz w:val="28"/>
          <w:szCs w:val="28"/>
        </w:rPr>
        <w:t>A</w:t>
      </w:r>
      <w:r>
        <w:rPr>
          <w:rFonts w:hAnsi="標楷體" w:cs="新細明體" w:hint="eastAsia"/>
          <w:b/>
          <w:color w:val="000000"/>
          <w:sz w:val="28"/>
          <w:szCs w:val="28"/>
        </w:rPr>
        <w:t>4</w:t>
      </w:r>
      <w:r w:rsidRPr="00383177">
        <w:rPr>
          <w:rFonts w:hAnsi="標楷體" w:cs="新細明體" w:hint="eastAsia"/>
          <w:b/>
          <w:color w:val="000000"/>
          <w:sz w:val="28"/>
          <w:szCs w:val="28"/>
        </w:rPr>
        <w:t>、</w:t>
      </w:r>
      <w:r w:rsidRPr="00383177">
        <w:rPr>
          <w:rFonts w:hAnsi="標楷體" w:cs="新細明體"/>
          <w:b/>
          <w:color w:val="000000"/>
          <w:sz w:val="28"/>
          <w:szCs w:val="28"/>
        </w:rPr>
        <w:t>促參BOT案</w:t>
      </w:r>
      <w:r w:rsidRPr="00383177">
        <w:rPr>
          <w:rFonts w:hAnsi="標楷體" w:cs="新細明體" w:hint="eastAsia"/>
          <w:b/>
          <w:color w:val="000000"/>
          <w:sz w:val="28"/>
          <w:szCs w:val="28"/>
        </w:rPr>
        <w:t>與</w:t>
      </w:r>
      <w:r w:rsidRPr="00383177">
        <w:rPr>
          <w:rFonts w:hAnsi="標楷體" w:cs="新細明體"/>
          <w:b/>
          <w:color w:val="000000"/>
          <w:sz w:val="28"/>
          <w:szCs w:val="28"/>
        </w:rPr>
        <w:t>招標設定地上權案</w:t>
      </w:r>
      <w:r w:rsidRPr="00383177">
        <w:rPr>
          <w:rFonts w:hAnsi="標楷體" w:cs="新細明體" w:hint="eastAsia"/>
          <w:b/>
          <w:color w:val="000000"/>
          <w:sz w:val="28"/>
          <w:szCs w:val="28"/>
        </w:rPr>
        <w:t>之比較</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767"/>
        <w:gridCol w:w="3342"/>
      </w:tblGrid>
      <w:tr w:rsidR="00FE1848" w:rsidRPr="00030CD4" w:rsidTr="00FF386C">
        <w:tc>
          <w:tcPr>
            <w:tcW w:w="1701" w:type="dxa"/>
            <w:tcBorders>
              <w:tl2br w:val="single" w:sz="4" w:space="0" w:color="auto"/>
            </w:tcBorders>
            <w:shd w:val="clear" w:color="auto" w:fill="auto"/>
          </w:tcPr>
          <w:p w:rsidR="00FE1848" w:rsidRPr="002B0885" w:rsidRDefault="00FE1848" w:rsidP="00BD146A">
            <w:pPr>
              <w:pStyle w:val="2"/>
              <w:numPr>
                <w:ilvl w:val="0"/>
                <w:numId w:val="0"/>
              </w:numPr>
              <w:jc w:val="right"/>
              <w:rPr>
                <w:b/>
                <w:sz w:val="24"/>
                <w:szCs w:val="24"/>
              </w:rPr>
            </w:pPr>
            <w:r w:rsidRPr="002B0885">
              <w:rPr>
                <w:rFonts w:hint="eastAsia"/>
                <w:b/>
                <w:sz w:val="24"/>
                <w:szCs w:val="24"/>
              </w:rPr>
              <w:t>案件類別</w:t>
            </w:r>
          </w:p>
          <w:p w:rsidR="00FE1848" w:rsidRPr="002B0885" w:rsidRDefault="00FE1848" w:rsidP="00BD146A">
            <w:pPr>
              <w:pStyle w:val="2"/>
              <w:numPr>
                <w:ilvl w:val="0"/>
                <w:numId w:val="0"/>
              </w:numPr>
              <w:rPr>
                <w:b/>
                <w:sz w:val="24"/>
                <w:szCs w:val="24"/>
              </w:rPr>
            </w:pPr>
            <w:r w:rsidRPr="002B0885">
              <w:rPr>
                <w:rFonts w:hint="eastAsia"/>
                <w:b/>
                <w:sz w:val="24"/>
                <w:szCs w:val="24"/>
              </w:rPr>
              <w:t>項目</w:t>
            </w:r>
          </w:p>
        </w:tc>
        <w:tc>
          <w:tcPr>
            <w:tcW w:w="3767" w:type="dxa"/>
            <w:shd w:val="clear" w:color="auto" w:fill="auto"/>
            <w:vAlign w:val="center"/>
          </w:tcPr>
          <w:p w:rsidR="00FE1848" w:rsidRPr="00030CD4" w:rsidRDefault="00FE1848" w:rsidP="00BD146A">
            <w:pPr>
              <w:pStyle w:val="2"/>
              <w:numPr>
                <w:ilvl w:val="0"/>
                <w:numId w:val="0"/>
              </w:numPr>
              <w:jc w:val="center"/>
              <w:rPr>
                <w:sz w:val="28"/>
                <w:szCs w:val="28"/>
              </w:rPr>
            </w:pPr>
            <w:r w:rsidRPr="00030CD4">
              <w:rPr>
                <w:rFonts w:hAnsi="標楷體"/>
                <w:b/>
                <w:bCs w:val="0"/>
                <w:color w:val="000000"/>
                <w:sz w:val="28"/>
                <w:szCs w:val="28"/>
              </w:rPr>
              <w:t>促參BOT案</w:t>
            </w:r>
          </w:p>
        </w:tc>
        <w:tc>
          <w:tcPr>
            <w:tcW w:w="3342" w:type="dxa"/>
            <w:shd w:val="clear" w:color="auto" w:fill="auto"/>
            <w:vAlign w:val="center"/>
          </w:tcPr>
          <w:p w:rsidR="00FE1848" w:rsidRPr="00030CD4" w:rsidRDefault="00FE1848" w:rsidP="00BD146A">
            <w:pPr>
              <w:pStyle w:val="2"/>
              <w:numPr>
                <w:ilvl w:val="0"/>
                <w:numId w:val="0"/>
              </w:numPr>
              <w:jc w:val="center"/>
              <w:rPr>
                <w:sz w:val="28"/>
                <w:szCs w:val="28"/>
              </w:rPr>
            </w:pPr>
            <w:r w:rsidRPr="00030CD4">
              <w:rPr>
                <w:rFonts w:hAnsi="標楷體"/>
                <w:b/>
                <w:bCs w:val="0"/>
                <w:color w:val="000000"/>
                <w:sz w:val="28"/>
                <w:szCs w:val="28"/>
              </w:rPr>
              <w:t>招標設定地上權案</w:t>
            </w:r>
          </w:p>
        </w:tc>
      </w:tr>
      <w:tr w:rsidR="00FE1848" w:rsidRPr="00030CD4" w:rsidTr="00FF386C">
        <w:tc>
          <w:tcPr>
            <w:tcW w:w="1701" w:type="dxa"/>
            <w:shd w:val="clear" w:color="auto" w:fill="auto"/>
            <w:vAlign w:val="center"/>
          </w:tcPr>
          <w:p w:rsidR="00FE1848" w:rsidRPr="00E070BC" w:rsidRDefault="00FE1848" w:rsidP="00BD146A">
            <w:pPr>
              <w:pStyle w:val="2"/>
              <w:numPr>
                <w:ilvl w:val="0"/>
                <w:numId w:val="0"/>
              </w:numPr>
              <w:rPr>
                <w:color w:val="000000"/>
                <w:sz w:val="26"/>
                <w:szCs w:val="26"/>
              </w:rPr>
            </w:pPr>
            <w:r w:rsidRPr="00E070BC">
              <w:rPr>
                <w:rFonts w:hAnsi="標楷體"/>
                <w:color w:val="000000"/>
                <w:sz w:val="26"/>
                <w:szCs w:val="26"/>
              </w:rPr>
              <w:t>目的</w:t>
            </w:r>
          </w:p>
        </w:tc>
        <w:tc>
          <w:tcPr>
            <w:tcW w:w="3767" w:type="dxa"/>
            <w:shd w:val="clear" w:color="auto" w:fill="auto"/>
            <w:vAlign w:val="center"/>
          </w:tcPr>
          <w:p w:rsidR="00FE1848" w:rsidRPr="00E070BC" w:rsidRDefault="00FE1848" w:rsidP="00BD146A">
            <w:pPr>
              <w:pStyle w:val="2"/>
              <w:numPr>
                <w:ilvl w:val="0"/>
                <w:numId w:val="0"/>
              </w:numPr>
              <w:rPr>
                <w:sz w:val="26"/>
                <w:szCs w:val="26"/>
              </w:rPr>
            </w:pPr>
            <w:r w:rsidRPr="00E070BC">
              <w:rPr>
                <w:rFonts w:hAnsi="標楷體"/>
                <w:color w:val="000000"/>
                <w:sz w:val="26"/>
                <w:szCs w:val="26"/>
              </w:rPr>
              <w:t>政府與民間基於公共利益及公平合理原則，合作完成公共建設與公共服務之提供。</w:t>
            </w:r>
          </w:p>
        </w:tc>
        <w:tc>
          <w:tcPr>
            <w:tcW w:w="3342" w:type="dxa"/>
            <w:shd w:val="clear" w:color="auto" w:fill="auto"/>
            <w:vAlign w:val="center"/>
          </w:tcPr>
          <w:p w:rsidR="00FE1848" w:rsidRPr="00E070BC" w:rsidRDefault="00FE1848" w:rsidP="00BD146A">
            <w:pPr>
              <w:pStyle w:val="2"/>
              <w:numPr>
                <w:ilvl w:val="0"/>
                <w:numId w:val="0"/>
              </w:numPr>
              <w:rPr>
                <w:sz w:val="26"/>
                <w:szCs w:val="26"/>
              </w:rPr>
            </w:pPr>
            <w:r w:rsidRPr="00E070BC">
              <w:rPr>
                <w:rFonts w:hAnsi="標楷體"/>
                <w:color w:val="000000"/>
                <w:sz w:val="26"/>
                <w:szCs w:val="26"/>
              </w:rPr>
              <w:t>活化利用國(公)有非公用土地，無特定公共建設目的。</w:t>
            </w:r>
          </w:p>
        </w:tc>
      </w:tr>
      <w:tr w:rsidR="00FE1848" w:rsidRPr="00030CD4" w:rsidTr="00FF386C">
        <w:tc>
          <w:tcPr>
            <w:tcW w:w="1701" w:type="dxa"/>
            <w:shd w:val="clear" w:color="auto" w:fill="auto"/>
            <w:vAlign w:val="center"/>
          </w:tcPr>
          <w:p w:rsidR="00FE1848" w:rsidRPr="00E070BC" w:rsidRDefault="00FE1848" w:rsidP="00BD146A">
            <w:pPr>
              <w:pStyle w:val="2"/>
              <w:numPr>
                <w:ilvl w:val="0"/>
                <w:numId w:val="0"/>
              </w:numPr>
              <w:rPr>
                <w:color w:val="000000"/>
                <w:sz w:val="26"/>
                <w:szCs w:val="26"/>
              </w:rPr>
            </w:pPr>
            <w:r w:rsidRPr="00E070BC">
              <w:rPr>
                <w:rFonts w:hAnsi="標楷體"/>
                <w:color w:val="000000"/>
                <w:sz w:val="26"/>
                <w:szCs w:val="26"/>
              </w:rPr>
              <w:t>核心價值</w:t>
            </w:r>
          </w:p>
        </w:tc>
        <w:tc>
          <w:tcPr>
            <w:tcW w:w="3767" w:type="dxa"/>
            <w:shd w:val="clear" w:color="auto" w:fill="auto"/>
            <w:vAlign w:val="center"/>
          </w:tcPr>
          <w:p w:rsidR="00FE1848" w:rsidRPr="00E070BC" w:rsidRDefault="00FE1848" w:rsidP="00BD146A">
            <w:pPr>
              <w:pStyle w:val="2"/>
              <w:numPr>
                <w:ilvl w:val="0"/>
                <w:numId w:val="0"/>
              </w:numPr>
              <w:rPr>
                <w:sz w:val="26"/>
                <w:szCs w:val="26"/>
              </w:rPr>
            </w:pPr>
            <w:r w:rsidRPr="00E070BC">
              <w:rPr>
                <w:rFonts w:hAnsi="標楷體"/>
                <w:color w:val="000000"/>
                <w:sz w:val="26"/>
                <w:szCs w:val="26"/>
              </w:rPr>
              <w:t>提升公共服務水準，非以收取權利金為目的。</w:t>
            </w:r>
          </w:p>
        </w:tc>
        <w:tc>
          <w:tcPr>
            <w:tcW w:w="3342" w:type="dxa"/>
            <w:shd w:val="clear" w:color="auto" w:fill="auto"/>
            <w:vAlign w:val="center"/>
          </w:tcPr>
          <w:p w:rsidR="00FE1848" w:rsidRPr="00E070BC" w:rsidRDefault="00FE1848" w:rsidP="00BD146A">
            <w:pPr>
              <w:pStyle w:val="2"/>
              <w:numPr>
                <w:ilvl w:val="0"/>
                <w:numId w:val="0"/>
              </w:numPr>
              <w:rPr>
                <w:sz w:val="26"/>
                <w:szCs w:val="26"/>
              </w:rPr>
            </w:pPr>
            <w:r w:rsidRPr="00E070BC">
              <w:rPr>
                <w:rFonts w:hAnsi="標楷體"/>
                <w:color w:val="000000"/>
                <w:sz w:val="26"/>
                <w:szCs w:val="26"/>
              </w:rPr>
              <w:t>以追求國(公)有土地最大收益為目標，民間興辦之事業得於符合個案基地所在都市計畫土地使用分區管制規定下追求最大利潤。</w:t>
            </w:r>
          </w:p>
        </w:tc>
      </w:tr>
      <w:tr w:rsidR="00FE1848" w:rsidRPr="00030CD4" w:rsidTr="00FF386C">
        <w:tc>
          <w:tcPr>
            <w:tcW w:w="1701" w:type="dxa"/>
            <w:shd w:val="clear" w:color="auto" w:fill="auto"/>
            <w:vAlign w:val="center"/>
          </w:tcPr>
          <w:p w:rsidR="00FE1848" w:rsidRPr="00E070BC" w:rsidRDefault="00FE1848" w:rsidP="00BD146A">
            <w:pPr>
              <w:pStyle w:val="2"/>
              <w:numPr>
                <w:ilvl w:val="0"/>
                <w:numId w:val="0"/>
              </w:numPr>
              <w:rPr>
                <w:color w:val="000000"/>
                <w:sz w:val="26"/>
                <w:szCs w:val="26"/>
              </w:rPr>
            </w:pPr>
            <w:r w:rsidRPr="00E070BC">
              <w:rPr>
                <w:rFonts w:hAnsi="標楷體"/>
                <w:color w:val="000000"/>
                <w:sz w:val="26"/>
                <w:szCs w:val="26"/>
              </w:rPr>
              <w:t>招商(競標)條件</w:t>
            </w:r>
          </w:p>
        </w:tc>
        <w:tc>
          <w:tcPr>
            <w:tcW w:w="3767" w:type="dxa"/>
            <w:shd w:val="clear" w:color="auto" w:fill="auto"/>
            <w:vAlign w:val="center"/>
          </w:tcPr>
          <w:p w:rsidR="00FE1848" w:rsidRPr="00E070BC" w:rsidRDefault="00FE1848" w:rsidP="00BD146A">
            <w:pPr>
              <w:pStyle w:val="2"/>
              <w:numPr>
                <w:ilvl w:val="0"/>
                <w:numId w:val="0"/>
              </w:numPr>
              <w:rPr>
                <w:sz w:val="26"/>
                <w:szCs w:val="26"/>
              </w:rPr>
            </w:pPr>
            <w:r w:rsidRPr="00E070BC">
              <w:rPr>
                <w:rFonts w:hAnsi="標楷體"/>
                <w:color w:val="000000"/>
                <w:sz w:val="26"/>
                <w:szCs w:val="26"/>
              </w:rPr>
              <w:t>公告招商，公開評審，以「供公眾使用、促進公共利益」為原</w:t>
            </w:r>
            <w:r w:rsidRPr="00E070BC">
              <w:rPr>
                <w:rFonts w:hAnsi="標楷體"/>
                <w:color w:val="000000"/>
                <w:sz w:val="26"/>
                <w:szCs w:val="26"/>
              </w:rPr>
              <w:lastRenderedPageBreak/>
              <w:t>則，不以權利金為甄審唯一指標，通常採「最有利標」精神，由主辦機關組成甄審委員會，設定甄審項目標準，就申請人對公共建設興建、服務提供及權利金等財務面向綜合評審。</w:t>
            </w:r>
          </w:p>
        </w:tc>
        <w:tc>
          <w:tcPr>
            <w:tcW w:w="3342" w:type="dxa"/>
            <w:shd w:val="clear" w:color="auto" w:fill="auto"/>
            <w:vAlign w:val="center"/>
          </w:tcPr>
          <w:p w:rsidR="00FE1848" w:rsidRPr="00E070BC" w:rsidRDefault="00FE1848" w:rsidP="00BD146A">
            <w:pPr>
              <w:pStyle w:val="2"/>
              <w:numPr>
                <w:ilvl w:val="0"/>
                <w:numId w:val="0"/>
              </w:numPr>
              <w:rPr>
                <w:sz w:val="26"/>
                <w:szCs w:val="26"/>
              </w:rPr>
            </w:pPr>
            <w:r w:rsidRPr="00E070BC">
              <w:rPr>
                <w:rFonts w:hAnsi="標楷體"/>
                <w:color w:val="000000"/>
                <w:sz w:val="26"/>
                <w:szCs w:val="26"/>
              </w:rPr>
              <w:lastRenderedPageBreak/>
              <w:t>公開競標，以權利金最高為決標因素。</w:t>
            </w:r>
          </w:p>
        </w:tc>
      </w:tr>
    </w:tbl>
    <w:p w:rsidR="00FE1848" w:rsidRDefault="00FE1848" w:rsidP="00FF386C">
      <w:pPr>
        <w:pStyle w:val="2"/>
        <w:numPr>
          <w:ilvl w:val="0"/>
          <w:numId w:val="0"/>
        </w:numPr>
        <w:spacing w:line="300" w:lineRule="exact"/>
        <w:ind w:leftChars="41" w:left="1513" w:hangingChars="576" w:hanging="1382"/>
        <w:rPr>
          <w:sz w:val="24"/>
          <w:szCs w:val="24"/>
        </w:rPr>
      </w:pPr>
      <w:r w:rsidRPr="00EC4844">
        <w:rPr>
          <w:rFonts w:hint="eastAsia"/>
          <w:sz w:val="24"/>
          <w:szCs w:val="24"/>
        </w:rPr>
        <w:t>資料來源：財政部網站</w:t>
      </w:r>
      <w:r>
        <w:rPr>
          <w:rFonts w:hint="eastAsia"/>
          <w:sz w:val="24"/>
          <w:szCs w:val="24"/>
        </w:rPr>
        <w:t>，網址：</w:t>
      </w:r>
      <w:r w:rsidRPr="00013897">
        <w:rPr>
          <w:sz w:val="24"/>
          <w:szCs w:val="24"/>
        </w:rPr>
        <w:t>https://ppp.mof.gov.tw/PPP.Website/ Question/Display.aspx?id=32</w:t>
      </w:r>
      <w:r>
        <w:rPr>
          <w:rFonts w:hint="eastAsia"/>
          <w:sz w:val="24"/>
          <w:szCs w:val="24"/>
        </w:rPr>
        <w:t>。</w:t>
      </w:r>
    </w:p>
    <w:p w:rsidR="00805FFA" w:rsidRDefault="00805FFA" w:rsidP="00805FFA">
      <w:pPr>
        <w:pStyle w:val="3"/>
        <w:numPr>
          <w:ilvl w:val="0"/>
          <w:numId w:val="0"/>
        </w:numPr>
        <w:kinsoku w:val="0"/>
        <w:overflowPunct/>
        <w:autoSpaceDE/>
        <w:autoSpaceDN/>
        <w:ind w:left="1360"/>
        <w:rPr>
          <w:rFonts w:hAnsi="標楷體"/>
          <w:color w:val="000000"/>
          <w:szCs w:val="32"/>
        </w:rPr>
      </w:pPr>
    </w:p>
    <w:p w:rsidR="00FE1848" w:rsidRPr="00030CD4" w:rsidRDefault="00FE1848" w:rsidP="00FE1848">
      <w:pPr>
        <w:pStyle w:val="3"/>
        <w:kinsoku w:val="0"/>
        <w:overflowPunct/>
        <w:autoSpaceDE/>
        <w:autoSpaceDN/>
        <w:ind w:left="1360" w:hanging="680"/>
        <w:rPr>
          <w:rFonts w:hAnsi="標楷體"/>
          <w:color w:val="000000"/>
          <w:szCs w:val="32"/>
        </w:rPr>
      </w:pPr>
      <w:r w:rsidRPr="00030CD4">
        <w:rPr>
          <w:rFonts w:hAnsi="標楷體" w:hint="eastAsia"/>
          <w:color w:val="000000"/>
          <w:szCs w:val="32"/>
        </w:rPr>
        <w:t>經查，</w:t>
      </w:r>
      <w:r w:rsidRPr="00030CD4">
        <w:rPr>
          <w:rFonts w:ascii="新細明體" w:eastAsia="新細明體" w:hAnsi="新細明體" w:hint="eastAsia"/>
          <w:color w:val="000000"/>
          <w:szCs w:val="32"/>
        </w:rPr>
        <w:t>「</w:t>
      </w:r>
      <w:r w:rsidRPr="00030CD4">
        <w:rPr>
          <w:rFonts w:hAnsi="標楷體"/>
          <w:color w:val="000000"/>
          <w:szCs w:val="32"/>
        </w:rPr>
        <w:t>促參法</w:t>
      </w:r>
      <w:r w:rsidRPr="00030CD4">
        <w:rPr>
          <w:rFonts w:ascii="新細明體" w:eastAsia="新細明體" w:hAnsi="新細明體" w:hint="eastAsia"/>
          <w:color w:val="000000"/>
          <w:szCs w:val="32"/>
        </w:rPr>
        <w:t>」</w:t>
      </w:r>
      <w:r w:rsidRPr="00030CD4">
        <w:rPr>
          <w:rFonts w:hAnsi="標楷體" w:hint="eastAsia"/>
          <w:color w:val="000000"/>
          <w:szCs w:val="32"/>
        </w:rPr>
        <w:t>之</w:t>
      </w:r>
      <w:r w:rsidRPr="00030CD4">
        <w:rPr>
          <w:rFonts w:hAnsi="標楷體"/>
          <w:color w:val="000000"/>
          <w:szCs w:val="32"/>
        </w:rPr>
        <w:t>立法</w:t>
      </w:r>
      <w:r w:rsidRPr="00030CD4">
        <w:rPr>
          <w:rFonts w:hAnsi="標楷體" w:hint="eastAsia"/>
          <w:color w:val="000000"/>
          <w:szCs w:val="32"/>
        </w:rPr>
        <w:t>精神</w:t>
      </w:r>
      <w:r w:rsidRPr="00030CD4">
        <w:rPr>
          <w:rStyle w:val="aff1"/>
          <w:rFonts w:hAnsi="標楷體"/>
          <w:color w:val="000000"/>
          <w:szCs w:val="32"/>
        </w:rPr>
        <w:footnoteReference w:id="25"/>
      </w:r>
      <w:r w:rsidRPr="00030CD4">
        <w:rPr>
          <w:rFonts w:hAnsi="標楷體"/>
          <w:color w:val="000000"/>
          <w:szCs w:val="32"/>
        </w:rPr>
        <w:t>，</w:t>
      </w:r>
      <w:r w:rsidRPr="00030CD4">
        <w:rPr>
          <w:rFonts w:hAnsi="標楷體" w:hint="eastAsia"/>
          <w:color w:val="000000"/>
          <w:szCs w:val="32"/>
        </w:rPr>
        <w:t>係</w:t>
      </w:r>
      <w:r w:rsidRPr="00030CD4">
        <w:rPr>
          <w:rFonts w:hAnsi="標楷體"/>
          <w:color w:val="000000"/>
          <w:szCs w:val="32"/>
        </w:rPr>
        <w:t>秉持積極創新精神，從興利角度建立政府、民間之夥伴關係</w:t>
      </w:r>
      <w:r w:rsidRPr="00030CD4">
        <w:rPr>
          <w:rFonts w:hAnsi="標楷體" w:hint="eastAsia"/>
          <w:color w:val="000000"/>
          <w:szCs w:val="32"/>
        </w:rPr>
        <w:t>，</w:t>
      </w:r>
      <w:r w:rsidRPr="00030CD4">
        <w:rPr>
          <w:rFonts w:hAnsi="標楷體"/>
          <w:color w:val="000000"/>
          <w:szCs w:val="32"/>
        </w:rPr>
        <w:t>政府審慎規劃民間參與公共建設計畫</w:t>
      </w:r>
      <w:r w:rsidRPr="00030CD4">
        <w:rPr>
          <w:rFonts w:hAnsi="標楷體" w:hint="eastAsia"/>
          <w:color w:val="000000"/>
          <w:szCs w:val="32"/>
        </w:rPr>
        <w:t>後，</w:t>
      </w:r>
      <w:r w:rsidRPr="00030CD4">
        <w:rPr>
          <w:rFonts w:hAnsi="標楷體"/>
          <w:color w:val="000000"/>
          <w:szCs w:val="32"/>
        </w:rPr>
        <w:t>開放民間自行規劃申請參與公共建設，提供民間發掘商機、發揮創意之投資機會。</w:t>
      </w:r>
      <w:r w:rsidRPr="00030CD4">
        <w:rPr>
          <w:rFonts w:hAnsi="標楷體" w:hint="eastAsia"/>
          <w:color w:val="000000"/>
          <w:szCs w:val="32"/>
        </w:rPr>
        <w:t>由上開表</w:t>
      </w:r>
      <w:r w:rsidR="00334870">
        <w:rPr>
          <w:rFonts w:hAnsi="標楷體" w:cs="新細明體" w:hint="eastAsia"/>
          <w:color w:val="000000"/>
          <w:szCs w:val="32"/>
        </w:rPr>
        <w:t>A4</w:t>
      </w:r>
      <w:r w:rsidRPr="00030CD4">
        <w:rPr>
          <w:rFonts w:hAnsi="標楷體" w:hint="eastAsia"/>
          <w:color w:val="000000"/>
          <w:szCs w:val="32"/>
        </w:rPr>
        <w:t>可知，</w:t>
      </w:r>
      <w:r w:rsidRPr="00030CD4">
        <w:rPr>
          <w:rFonts w:hAnsi="標楷體"/>
          <w:color w:val="000000"/>
          <w:szCs w:val="32"/>
        </w:rPr>
        <w:t>促參BOT案</w:t>
      </w:r>
      <w:r w:rsidRPr="00030CD4">
        <w:rPr>
          <w:rFonts w:hAnsi="標楷體" w:hint="eastAsia"/>
          <w:color w:val="000000"/>
          <w:szCs w:val="32"/>
        </w:rPr>
        <w:t>係</w:t>
      </w:r>
      <w:r w:rsidRPr="00030CD4">
        <w:rPr>
          <w:rFonts w:hAnsi="標楷體"/>
          <w:color w:val="000000"/>
          <w:szCs w:val="32"/>
        </w:rPr>
        <w:t>政府與民間基於公共利益及公平合理原則，合作完成公共建設與公共服務之提供</w:t>
      </w:r>
      <w:r w:rsidRPr="00030CD4">
        <w:rPr>
          <w:rFonts w:hAnsi="標楷體" w:hint="eastAsia"/>
          <w:color w:val="000000"/>
          <w:szCs w:val="32"/>
        </w:rPr>
        <w:t>，其</w:t>
      </w:r>
      <w:r w:rsidRPr="00030CD4">
        <w:rPr>
          <w:rFonts w:hAnsi="標楷體"/>
          <w:color w:val="000000"/>
          <w:szCs w:val="32"/>
        </w:rPr>
        <w:t>核心價值</w:t>
      </w:r>
      <w:r w:rsidRPr="00030CD4">
        <w:rPr>
          <w:rFonts w:hAnsi="標楷體" w:hint="eastAsia"/>
          <w:color w:val="000000"/>
          <w:szCs w:val="32"/>
        </w:rPr>
        <w:t>係為</w:t>
      </w:r>
      <w:r w:rsidRPr="00030CD4">
        <w:rPr>
          <w:rFonts w:hAnsi="標楷體"/>
          <w:color w:val="000000"/>
          <w:szCs w:val="32"/>
        </w:rPr>
        <w:t>提升公共服務水準，非以收取權利金為目的</w:t>
      </w:r>
      <w:r w:rsidRPr="00030CD4">
        <w:rPr>
          <w:rFonts w:hAnsi="標楷體" w:hint="eastAsia"/>
          <w:color w:val="000000"/>
          <w:szCs w:val="32"/>
        </w:rPr>
        <w:t>，況</w:t>
      </w:r>
      <w:r w:rsidRPr="00CE2DF8">
        <w:rPr>
          <w:rFonts w:hAnsi="標楷體" w:hint="eastAsia"/>
          <w:color w:val="000000"/>
          <w:szCs w:val="32"/>
        </w:rPr>
        <w:t>各</w:t>
      </w:r>
      <w:r w:rsidRPr="00CE2DF8">
        <w:rPr>
          <w:rFonts w:hAnsi="標楷體"/>
          <w:color w:val="000000"/>
          <w:szCs w:val="32"/>
        </w:rPr>
        <w:t>BOT</w:t>
      </w:r>
      <w:r w:rsidRPr="00CE2DF8">
        <w:rPr>
          <w:rFonts w:hAnsi="標楷體" w:hint="eastAsia"/>
          <w:color w:val="000000"/>
          <w:szCs w:val="32"/>
        </w:rPr>
        <w:t>案</w:t>
      </w:r>
      <w:r>
        <w:rPr>
          <w:rFonts w:hAnsi="標楷體" w:hint="eastAsia"/>
          <w:color w:val="000000"/>
          <w:szCs w:val="32"/>
        </w:rPr>
        <w:t>之預計目標及招商條件不同，有其特殊性，各</w:t>
      </w:r>
      <w:r w:rsidRPr="00CE2DF8">
        <w:rPr>
          <w:rFonts w:hAnsi="標楷體"/>
          <w:color w:val="000000"/>
          <w:szCs w:val="32"/>
        </w:rPr>
        <w:t>BOT</w:t>
      </w:r>
      <w:r w:rsidRPr="00CE2DF8">
        <w:rPr>
          <w:rFonts w:hAnsi="標楷體" w:hint="eastAsia"/>
          <w:color w:val="000000"/>
          <w:szCs w:val="32"/>
        </w:rPr>
        <w:t>案</w:t>
      </w:r>
      <w:r>
        <w:rPr>
          <w:rFonts w:hAnsi="標楷體" w:hint="eastAsia"/>
          <w:color w:val="000000"/>
          <w:szCs w:val="32"/>
        </w:rPr>
        <w:t>應檢視其設定之目標及核心價值是否達成，於各</w:t>
      </w:r>
      <w:r w:rsidRPr="00CE2DF8">
        <w:rPr>
          <w:rFonts w:hAnsi="標楷體"/>
          <w:color w:val="000000"/>
          <w:szCs w:val="32"/>
        </w:rPr>
        <w:t>BOT</w:t>
      </w:r>
      <w:r w:rsidRPr="00CE2DF8">
        <w:rPr>
          <w:rFonts w:hAnsi="標楷體" w:hint="eastAsia"/>
          <w:color w:val="000000"/>
          <w:szCs w:val="32"/>
        </w:rPr>
        <w:t>案</w:t>
      </w:r>
      <w:r>
        <w:rPr>
          <w:rFonts w:hAnsi="標楷體" w:hint="eastAsia"/>
          <w:color w:val="000000"/>
          <w:szCs w:val="32"/>
        </w:rPr>
        <w:t>之間進行比較，易</w:t>
      </w:r>
      <w:r w:rsidR="00334870">
        <w:rPr>
          <w:rFonts w:hAnsi="標楷體" w:hint="eastAsia"/>
          <w:color w:val="000000"/>
          <w:szCs w:val="32"/>
        </w:rPr>
        <w:t>生</w:t>
      </w:r>
      <w:r>
        <w:rPr>
          <w:rFonts w:hAnsi="標楷體" w:hint="eastAsia"/>
          <w:color w:val="000000"/>
          <w:szCs w:val="32"/>
        </w:rPr>
        <w:t>誤解。</w:t>
      </w:r>
      <w:r>
        <w:rPr>
          <w:rFonts w:hAnsi="標楷體" w:hint="eastAsia"/>
          <w:color w:val="000000"/>
          <w:szCs w:val="32"/>
          <w:lang w:eastAsia="zh-HK"/>
        </w:rPr>
        <w:t>又</w:t>
      </w:r>
      <w:r w:rsidRPr="00030CD4">
        <w:rPr>
          <w:rFonts w:hAnsi="標楷體"/>
          <w:bCs w:val="0"/>
          <w:color w:val="000000"/>
          <w:szCs w:val="32"/>
        </w:rPr>
        <w:t>招標設定地上權案</w:t>
      </w:r>
      <w:r w:rsidRPr="00030CD4">
        <w:rPr>
          <w:rFonts w:hAnsi="標楷體" w:hint="eastAsia"/>
          <w:bCs w:val="0"/>
          <w:color w:val="000000"/>
          <w:szCs w:val="32"/>
        </w:rPr>
        <w:t>件基本上係</w:t>
      </w:r>
      <w:r w:rsidRPr="00030CD4">
        <w:rPr>
          <w:rFonts w:hAnsi="標楷體"/>
          <w:color w:val="000000"/>
          <w:szCs w:val="32"/>
        </w:rPr>
        <w:t>以追求公有土地最大收益為目標，</w:t>
      </w:r>
      <w:r w:rsidRPr="00C61B2A">
        <w:rPr>
          <w:rFonts w:hAnsi="標楷體" w:cs="DFHeiStd-W3" w:hint="eastAsia"/>
          <w:szCs w:val="32"/>
        </w:rPr>
        <w:t>期</w:t>
      </w:r>
      <w:r>
        <w:rPr>
          <w:rFonts w:hAnsi="標楷體" w:cs="DFHeiStd-W3" w:hint="eastAsia"/>
          <w:szCs w:val="32"/>
        </w:rPr>
        <w:t>待藉由</w:t>
      </w:r>
      <w:r w:rsidRPr="00C61B2A">
        <w:rPr>
          <w:rFonts w:hAnsi="標楷體" w:cs="DFHeiStd-W3" w:hint="eastAsia"/>
          <w:szCs w:val="32"/>
        </w:rPr>
        <w:t>引進民間投資，</w:t>
      </w:r>
      <w:r>
        <w:rPr>
          <w:rFonts w:hAnsi="標楷體" w:cs="DFHeiStd-W3" w:hint="eastAsia"/>
          <w:szCs w:val="32"/>
        </w:rPr>
        <w:t>同時</w:t>
      </w:r>
      <w:r w:rsidRPr="00C61B2A">
        <w:rPr>
          <w:rFonts w:hAnsi="標楷體" w:cs="DFHeiStd-W3" w:hint="eastAsia"/>
          <w:szCs w:val="32"/>
        </w:rPr>
        <w:t>達成提昇</w:t>
      </w:r>
      <w:r>
        <w:rPr>
          <w:rFonts w:hAnsi="標楷體" w:cs="DFHeiStd-W3" w:hint="eastAsia"/>
          <w:szCs w:val="32"/>
        </w:rPr>
        <w:t>公</w:t>
      </w:r>
      <w:r w:rsidRPr="00C61B2A">
        <w:rPr>
          <w:rFonts w:hAnsi="標楷體" w:cs="DFHeiStd-W3" w:hint="eastAsia"/>
          <w:szCs w:val="32"/>
        </w:rPr>
        <w:t>有土地利用、挹注</w:t>
      </w:r>
      <w:r>
        <w:rPr>
          <w:rFonts w:hAnsi="標楷體" w:cs="DFHeiStd-W3" w:hint="eastAsia"/>
          <w:szCs w:val="32"/>
        </w:rPr>
        <w:t>政</w:t>
      </w:r>
      <w:r w:rsidRPr="00C61B2A">
        <w:rPr>
          <w:rFonts w:hAnsi="標楷體" w:cs="DFHeiStd-W3" w:hint="eastAsia"/>
          <w:szCs w:val="32"/>
        </w:rPr>
        <w:t>府財政收益、建立公私合作、提昇社會經濟效益等</w:t>
      </w:r>
      <w:r>
        <w:rPr>
          <w:rFonts w:hAnsi="標楷體" w:cs="DFHeiStd-W3" w:hint="eastAsia"/>
          <w:szCs w:val="32"/>
        </w:rPr>
        <w:t>目標，</w:t>
      </w:r>
      <w:r w:rsidRPr="00030CD4">
        <w:rPr>
          <w:rFonts w:hAnsi="標楷體"/>
          <w:color w:val="000000"/>
          <w:szCs w:val="32"/>
        </w:rPr>
        <w:t>民間興辦之事業</w:t>
      </w:r>
      <w:r w:rsidRPr="00030CD4">
        <w:rPr>
          <w:rFonts w:hAnsi="標楷體" w:hint="eastAsia"/>
          <w:color w:val="000000"/>
          <w:szCs w:val="32"/>
        </w:rPr>
        <w:t>則</w:t>
      </w:r>
      <w:r w:rsidRPr="00030CD4">
        <w:rPr>
          <w:rFonts w:hAnsi="標楷體"/>
          <w:color w:val="000000"/>
          <w:szCs w:val="32"/>
        </w:rPr>
        <w:t>於符合個案基地所在都市計畫土地使用分區管制規定下追求利潤</w:t>
      </w:r>
      <w:r w:rsidRPr="00030CD4">
        <w:rPr>
          <w:rFonts w:hAnsi="標楷體" w:hint="eastAsia"/>
          <w:color w:val="000000"/>
          <w:szCs w:val="32"/>
        </w:rPr>
        <w:t>，爰不宜僅以</w:t>
      </w:r>
      <w:r w:rsidRPr="00030CD4">
        <w:rPr>
          <w:rFonts w:hAnsi="標楷體"/>
          <w:color w:val="000000"/>
          <w:szCs w:val="32"/>
        </w:rPr>
        <w:t>權利金</w:t>
      </w:r>
      <w:r w:rsidRPr="00030CD4">
        <w:rPr>
          <w:rFonts w:hAnsi="標楷體" w:hint="eastAsia"/>
          <w:color w:val="000000"/>
          <w:szCs w:val="32"/>
        </w:rPr>
        <w:t>之多寡比較</w:t>
      </w:r>
      <w:r w:rsidRPr="00030CD4">
        <w:rPr>
          <w:rFonts w:hAnsi="標楷體"/>
          <w:color w:val="000000"/>
          <w:szCs w:val="32"/>
        </w:rPr>
        <w:t>BOT</w:t>
      </w:r>
      <w:r w:rsidRPr="00030CD4">
        <w:rPr>
          <w:rFonts w:hAnsi="標楷體" w:hint="eastAsia"/>
          <w:color w:val="000000"/>
          <w:szCs w:val="32"/>
        </w:rPr>
        <w:t>案</w:t>
      </w:r>
      <w:r w:rsidRPr="00030CD4">
        <w:rPr>
          <w:rFonts w:hAnsi="標楷體"/>
          <w:color w:val="000000"/>
          <w:szCs w:val="32"/>
        </w:rPr>
        <w:t>與招標設定地上權案</w:t>
      </w:r>
      <w:r w:rsidRPr="00030CD4">
        <w:rPr>
          <w:rFonts w:hAnsi="標楷體" w:hint="eastAsia"/>
          <w:color w:val="000000"/>
          <w:szCs w:val="32"/>
        </w:rPr>
        <w:t>後，即斷其優劣。然不論是</w:t>
      </w:r>
      <w:r w:rsidRPr="001E0533">
        <w:rPr>
          <w:rFonts w:hAnsi="標楷體"/>
          <w:color w:val="000000"/>
          <w:szCs w:val="32"/>
        </w:rPr>
        <w:t>BOT</w:t>
      </w:r>
      <w:r w:rsidRPr="001E0533">
        <w:rPr>
          <w:rFonts w:hAnsi="標楷體" w:hint="eastAsia"/>
          <w:color w:val="000000"/>
          <w:szCs w:val="32"/>
        </w:rPr>
        <w:t>案</w:t>
      </w:r>
      <w:r>
        <w:rPr>
          <w:rFonts w:hAnsi="標楷體" w:hint="eastAsia"/>
          <w:color w:val="000000"/>
          <w:szCs w:val="32"/>
        </w:rPr>
        <w:t>抑或是</w:t>
      </w:r>
      <w:r w:rsidRPr="001E0533">
        <w:rPr>
          <w:rFonts w:hAnsi="標楷體"/>
          <w:color w:val="000000"/>
          <w:szCs w:val="32"/>
        </w:rPr>
        <w:t>招標設定地上權案</w:t>
      </w:r>
      <w:r>
        <w:rPr>
          <w:rFonts w:hAnsi="標楷體" w:hint="eastAsia"/>
          <w:color w:val="000000"/>
          <w:szCs w:val="32"/>
        </w:rPr>
        <w:t>，</w:t>
      </w:r>
      <w:r w:rsidRPr="00030CD4">
        <w:rPr>
          <w:rFonts w:hAnsi="標楷體" w:hint="eastAsia"/>
          <w:color w:val="000000"/>
          <w:szCs w:val="32"/>
        </w:rPr>
        <w:t>因權利金攸關政府及民間投資人之利益且簡單易懂，向為社會各界所關注，並易成為各界據以比較不同開發案之焦點，爰政府各機關於辦理相關開發案時，自應慎重其事與適時向外</w:t>
      </w:r>
      <w:r w:rsidRPr="00030CD4">
        <w:rPr>
          <w:rFonts w:hAnsi="標楷體" w:hint="eastAsia"/>
          <w:color w:val="000000"/>
          <w:szCs w:val="32"/>
        </w:rPr>
        <w:lastRenderedPageBreak/>
        <w:t>界說明</w:t>
      </w:r>
      <w:r w:rsidRPr="00B96392">
        <w:rPr>
          <w:rFonts w:hAnsi="標楷體"/>
          <w:color w:val="000000"/>
          <w:szCs w:val="32"/>
        </w:rPr>
        <w:t>權利金</w:t>
      </w:r>
      <w:r>
        <w:rPr>
          <w:rFonts w:hAnsi="標楷體" w:hint="eastAsia"/>
          <w:color w:val="000000"/>
          <w:szCs w:val="32"/>
        </w:rPr>
        <w:t>之</w:t>
      </w:r>
      <w:r w:rsidRPr="00030CD4">
        <w:rPr>
          <w:rFonts w:hAnsi="標楷體" w:hint="eastAsia"/>
          <w:color w:val="000000"/>
          <w:szCs w:val="32"/>
        </w:rPr>
        <w:t>決策過程及依據，以杜質疑。</w:t>
      </w:r>
    </w:p>
    <w:p w:rsidR="00FE1848" w:rsidRPr="000C0C13" w:rsidRDefault="00FE1848" w:rsidP="00FE1848">
      <w:pPr>
        <w:pStyle w:val="11"/>
        <w:ind w:leftChars="0" w:left="0" w:firstLineChars="0" w:firstLine="0"/>
        <w:rPr>
          <w:rFonts w:hAnsi="標楷體"/>
          <w:bCs/>
          <w:color w:val="000000"/>
          <w:szCs w:val="32"/>
        </w:rPr>
      </w:pPr>
    </w:p>
    <w:p w:rsidR="00FE1848" w:rsidRPr="000C0C13" w:rsidRDefault="00FE1848" w:rsidP="00FE1848">
      <w:pPr>
        <w:pStyle w:val="11"/>
        <w:ind w:leftChars="0" w:left="0" w:firstLineChars="0" w:firstLine="0"/>
        <w:rPr>
          <w:rFonts w:hAnsi="標楷體"/>
          <w:bCs/>
          <w:color w:val="000000"/>
          <w:szCs w:val="32"/>
        </w:rPr>
      </w:pPr>
    </w:p>
    <w:p w:rsidR="00FE1848" w:rsidRPr="00E070BC" w:rsidRDefault="00FE1848" w:rsidP="00FE1848">
      <w:pPr>
        <w:pStyle w:val="1"/>
        <w:kinsoku w:val="0"/>
        <w:overflowPunct/>
        <w:autoSpaceDE/>
        <w:autoSpaceDN/>
        <w:ind w:left="2380" w:hanging="2380"/>
        <w:rPr>
          <w:b/>
        </w:rPr>
      </w:pPr>
      <w:r>
        <w:br w:type="page"/>
      </w:r>
      <w:r w:rsidRPr="00E070BC">
        <w:rPr>
          <w:rFonts w:hint="eastAsia"/>
          <w:b/>
        </w:rPr>
        <w:lastRenderedPageBreak/>
        <w:t>處理辦法：</w:t>
      </w:r>
    </w:p>
    <w:p w:rsidR="00FE1848" w:rsidRDefault="00F2497B" w:rsidP="00FE1848">
      <w:pPr>
        <w:pStyle w:val="2"/>
        <w:kinsoku w:val="0"/>
        <w:overflowPunct/>
        <w:autoSpaceDE/>
        <w:autoSpaceDN/>
        <w:ind w:left="1020" w:hanging="680"/>
      </w:pPr>
      <w:r>
        <w:rPr>
          <w:rFonts w:hint="eastAsia"/>
        </w:rPr>
        <w:t>調查意見一至六</w:t>
      </w:r>
      <w:r w:rsidR="00FE1848">
        <w:rPr>
          <w:rFonts w:hint="eastAsia"/>
        </w:rPr>
        <w:t>，函請臺北市政府確實檢討改進見復。</w:t>
      </w:r>
    </w:p>
    <w:p w:rsidR="00FE1848" w:rsidRDefault="00FE1848" w:rsidP="00FE1848">
      <w:pPr>
        <w:pStyle w:val="2"/>
        <w:kinsoku w:val="0"/>
        <w:overflowPunct/>
        <w:autoSpaceDE/>
        <w:autoSpaceDN/>
        <w:ind w:left="1020" w:hanging="680"/>
      </w:pPr>
      <w:r>
        <w:rPr>
          <w:rFonts w:hint="eastAsia"/>
        </w:rPr>
        <w:t>調查意見一至六，函</w:t>
      </w:r>
      <w:r w:rsidRPr="00E96993">
        <w:rPr>
          <w:rFonts w:hint="eastAsia"/>
        </w:rPr>
        <w:t>復</w:t>
      </w:r>
      <w:r>
        <w:rPr>
          <w:rFonts w:hint="eastAsia"/>
        </w:rPr>
        <w:t>本案陳訴人。</w:t>
      </w:r>
    </w:p>
    <w:p w:rsidR="00FE1848" w:rsidRPr="00AA07B2" w:rsidRDefault="00FE1848" w:rsidP="00FE1848">
      <w:pPr>
        <w:pStyle w:val="2"/>
        <w:kinsoku w:val="0"/>
        <w:overflowPunct/>
        <w:autoSpaceDE/>
        <w:autoSpaceDN/>
        <w:ind w:left="1020" w:hanging="680"/>
      </w:pPr>
      <w:r>
        <w:rPr>
          <w:rFonts w:hint="eastAsia"/>
          <w:color w:val="000000"/>
        </w:rPr>
        <w:t>檢附派查函及相關附件，送請</w:t>
      </w:r>
      <w:r w:rsidR="00E96993">
        <w:rPr>
          <w:rFonts w:hint="eastAsia"/>
          <w:color w:val="000000"/>
        </w:rPr>
        <w:t>內政及少數民族</w:t>
      </w:r>
      <w:r w:rsidR="00E96993">
        <w:rPr>
          <w:rFonts w:ascii="新細明體" w:eastAsia="新細明體" w:hAnsi="新細明體" w:hint="eastAsia"/>
          <w:color w:val="000000"/>
        </w:rPr>
        <w:t>、</w:t>
      </w:r>
      <w:r>
        <w:rPr>
          <w:rFonts w:hint="eastAsia"/>
          <w:color w:val="000000"/>
        </w:rPr>
        <w:t>財政及經濟、教育及文化委員會</w:t>
      </w:r>
      <w:r>
        <w:rPr>
          <w:rFonts w:hAnsi="標楷體" w:hint="eastAsia"/>
          <w:color w:val="000000"/>
        </w:rPr>
        <w:t>聯席會議</w:t>
      </w:r>
      <w:r>
        <w:rPr>
          <w:rFonts w:hint="eastAsia"/>
          <w:color w:val="000000"/>
        </w:rPr>
        <w:t>處理。</w:t>
      </w:r>
    </w:p>
    <w:p w:rsidR="00AA07B2" w:rsidRDefault="00AA07B2" w:rsidP="00AA07B2">
      <w:pPr>
        <w:pStyle w:val="1"/>
        <w:numPr>
          <w:ilvl w:val="0"/>
          <w:numId w:val="0"/>
        </w:numPr>
        <w:ind w:left="2381" w:hanging="2381"/>
      </w:pPr>
    </w:p>
    <w:p w:rsidR="00AA07B2" w:rsidRDefault="00AA07B2" w:rsidP="00AA07B2">
      <w:pPr>
        <w:pStyle w:val="1"/>
        <w:numPr>
          <w:ilvl w:val="0"/>
          <w:numId w:val="0"/>
        </w:numPr>
        <w:ind w:left="2381" w:hanging="2381"/>
      </w:pPr>
    </w:p>
    <w:p w:rsidR="00AA07B2" w:rsidRPr="00AA07B2" w:rsidRDefault="00AA07B2" w:rsidP="00AA07B2">
      <w:pPr>
        <w:pStyle w:val="1"/>
        <w:numPr>
          <w:ilvl w:val="0"/>
          <w:numId w:val="0"/>
        </w:numPr>
        <w:ind w:left="2381" w:hanging="2381"/>
        <w:rPr>
          <w:rFonts w:hint="eastAsia"/>
          <w:sz w:val="40"/>
          <w:szCs w:val="40"/>
        </w:rPr>
      </w:pPr>
      <w:r>
        <w:rPr>
          <w:rFonts w:hint="eastAsia"/>
        </w:rPr>
        <w:t xml:space="preserve">              </w:t>
      </w:r>
      <w:r w:rsidRPr="00AA07B2">
        <w:rPr>
          <w:rFonts w:hint="eastAsia"/>
          <w:sz w:val="40"/>
          <w:szCs w:val="40"/>
        </w:rPr>
        <w:t xml:space="preserve"> </w:t>
      </w:r>
      <w:r>
        <w:rPr>
          <w:rFonts w:hint="eastAsia"/>
          <w:sz w:val="40"/>
          <w:szCs w:val="40"/>
        </w:rPr>
        <w:t xml:space="preserve">           </w:t>
      </w:r>
      <w:bookmarkStart w:id="50" w:name="_GoBack"/>
      <w:bookmarkEnd w:id="50"/>
      <w:r w:rsidRPr="00AA07B2">
        <w:rPr>
          <w:rFonts w:hint="eastAsia"/>
          <w:sz w:val="40"/>
          <w:szCs w:val="40"/>
        </w:rPr>
        <w:t xml:space="preserve"> 調查委員：陳小紅</w:t>
      </w:r>
    </w:p>
    <w:p w:rsidR="00E96993" w:rsidRDefault="00E96993" w:rsidP="00FE1848">
      <w:pPr>
        <w:pStyle w:val="aa"/>
        <w:kinsoku w:val="0"/>
        <w:spacing w:before="0" w:after="0"/>
        <w:ind w:leftChars="1100" w:left="3520"/>
        <w:rPr>
          <w:b w:val="0"/>
          <w:bCs/>
          <w:snapToGrid/>
          <w:spacing w:val="12"/>
          <w:kern w:val="0"/>
          <w:sz w:val="40"/>
        </w:rPr>
      </w:pPr>
    </w:p>
    <w:p w:rsidR="00FE1848" w:rsidRDefault="00FE1848" w:rsidP="00FE1848">
      <w:pPr>
        <w:pStyle w:val="aa"/>
        <w:kinsoku w:val="0"/>
        <w:spacing w:before="0" w:after="0"/>
        <w:ind w:leftChars="1100" w:left="3520" w:firstLineChars="500" w:firstLine="1920"/>
        <w:rPr>
          <w:b w:val="0"/>
          <w:bCs/>
          <w:snapToGrid/>
          <w:spacing w:val="12"/>
          <w:kern w:val="0"/>
        </w:rPr>
      </w:pPr>
    </w:p>
    <w:p w:rsidR="00FE1848" w:rsidRDefault="00FE1848" w:rsidP="00FE1848">
      <w:pPr>
        <w:pStyle w:val="aa"/>
        <w:kinsoku w:val="0"/>
        <w:spacing w:before="0" w:after="0"/>
        <w:ind w:leftChars="1100" w:left="3520" w:firstLineChars="500" w:firstLine="1920"/>
        <w:rPr>
          <w:b w:val="0"/>
          <w:bCs/>
          <w:snapToGrid/>
          <w:spacing w:val="12"/>
          <w:kern w:val="0"/>
        </w:rPr>
      </w:pPr>
    </w:p>
    <w:p w:rsidR="00FE1848" w:rsidRDefault="00FE1848" w:rsidP="00FE1848">
      <w:pPr>
        <w:pStyle w:val="aa"/>
        <w:kinsoku w:val="0"/>
        <w:spacing w:before="0" w:after="0"/>
        <w:ind w:leftChars="1100" w:left="3520" w:firstLineChars="500" w:firstLine="1920"/>
        <w:rPr>
          <w:b w:val="0"/>
          <w:bCs/>
          <w:snapToGrid/>
          <w:spacing w:val="12"/>
          <w:kern w:val="0"/>
        </w:rPr>
      </w:pPr>
    </w:p>
    <w:p w:rsidR="00FE1848" w:rsidRDefault="00FE1848" w:rsidP="00FE1848">
      <w:pPr>
        <w:pStyle w:val="aa"/>
        <w:kinsoku w:val="0"/>
        <w:spacing w:before="0" w:after="0"/>
        <w:ind w:leftChars="1100" w:left="3520" w:firstLineChars="500" w:firstLine="1920"/>
        <w:rPr>
          <w:b w:val="0"/>
          <w:bCs/>
          <w:snapToGrid/>
          <w:spacing w:val="12"/>
          <w:kern w:val="0"/>
        </w:rPr>
      </w:pPr>
    </w:p>
    <w:bookmarkEnd w:id="49"/>
    <w:p w:rsidR="00794916" w:rsidRPr="00F64E67" w:rsidRDefault="00794916" w:rsidP="00F64E67">
      <w:pPr>
        <w:widowControl/>
        <w:overflowPunct/>
        <w:autoSpaceDE/>
        <w:autoSpaceDN/>
        <w:spacing w:afterLines="50" w:after="228"/>
        <w:rPr>
          <w:bCs/>
        </w:rPr>
      </w:pPr>
    </w:p>
    <w:sectPr w:rsidR="00794916" w:rsidRPr="00F64E67" w:rsidSect="00F64E67">
      <w:footerReference w:type="default" r:id="rId15"/>
      <w:pgSz w:w="11907" w:h="16840" w:code="9"/>
      <w:pgMar w:top="1701" w:right="1418" w:bottom="1418" w:left="1418" w:header="851" w:footer="851" w:gutter="227"/>
      <w:cols w:space="425"/>
      <w:docGrid w:type="line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193F" w:rsidRDefault="00EF193F">
      <w:r>
        <w:separator/>
      </w:r>
    </w:p>
  </w:endnote>
  <w:endnote w:type="continuationSeparator" w:id="0">
    <w:p w:rsidR="00EF193F" w:rsidRDefault="00EF19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JhengHeiRegular">
    <w:altName w:val="Arial Unicode MS"/>
    <w:panose1 w:val="00000000000000000000"/>
    <w:charset w:val="88"/>
    <w:family w:val="auto"/>
    <w:notTrueType/>
    <w:pitch w:val="default"/>
    <w:sig w:usb0="00000001" w:usb1="08080000" w:usb2="00000010" w:usb3="00000000" w:csb0="00100000" w:csb1="00000000"/>
  </w:font>
  <w:font w:name="MicrosoftJhengHeiBold">
    <w:altName w:val="Arial Unicode MS"/>
    <w:panose1 w:val="00000000000000000000"/>
    <w:charset w:val="88"/>
    <w:family w:val="auto"/>
    <w:notTrueType/>
    <w:pitch w:val="default"/>
    <w:sig w:usb0="00000001" w:usb1="08080000" w:usb2="00000010" w:usb3="00000000" w:csb0="00100000" w:csb1="00000000"/>
  </w:font>
  <w:font w:name="DFHeiStd-W3">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4A95" w:rsidRDefault="00BA4A95">
    <w:pPr>
      <w:pStyle w:val="af7"/>
      <w:framePr w:wrap="around" w:vAnchor="text" w:hAnchor="margin" w:xAlign="center" w:y="1"/>
      <w:rPr>
        <w:rStyle w:val="ae"/>
        <w:sz w:val="24"/>
      </w:rPr>
    </w:pPr>
    <w:r>
      <w:rPr>
        <w:rStyle w:val="ae"/>
        <w:sz w:val="24"/>
      </w:rPr>
      <w:fldChar w:fldCharType="begin"/>
    </w:r>
    <w:r>
      <w:rPr>
        <w:rStyle w:val="ae"/>
        <w:sz w:val="24"/>
      </w:rPr>
      <w:instrText xml:space="preserve">PAGE  </w:instrText>
    </w:r>
    <w:r>
      <w:rPr>
        <w:rStyle w:val="ae"/>
        <w:sz w:val="24"/>
      </w:rPr>
      <w:fldChar w:fldCharType="separate"/>
    </w:r>
    <w:r w:rsidR="00AA07B2">
      <w:rPr>
        <w:rStyle w:val="ae"/>
        <w:noProof/>
        <w:sz w:val="24"/>
      </w:rPr>
      <w:t>34</w:t>
    </w:r>
    <w:r>
      <w:rPr>
        <w:rStyle w:val="ae"/>
        <w:sz w:val="24"/>
      </w:rPr>
      <w:fldChar w:fldCharType="end"/>
    </w:r>
  </w:p>
  <w:p w:rsidR="00BA4A95" w:rsidRDefault="00BA4A95">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193F" w:rsidRDefault="00EF193F">
      <w:r>
        <w:separator/>
      </w:r>
    </w:p>
  </w:footnote>
  <w:footnote w:type="continuationSeparator" w:id="0">
    <w:p w:rsidR="00EF193F" w:rsidRDefault="00EF193F">
      <w:r>
        <w:continuationSeparator/>
      </w:r>
    </w:p>
  </w:footnote>
  <w:footnote w:id="1">
    <w:p w:rsidR="00BA4A95" w:rsidRDefault="00BA4A95" w:rsidP="00FE1848">
      <w:pPr>
        <w:pStyle w:val="aff"/>
        <w:ind w:left="164" w:hangingChars="82" w:hanging="164"/>
        <w:jc w:val="both"/>
      </w:pPr>
      <w:r>
        <w:rPr>
          <w:rStyle w:val="aff1"/>
        </w:rPr>
        <w:footnoteRef/>
      </w:r>
      <w:r>
        <w:t xml:space="preserve"> </w:t>
      </w:r>
      <w:r w:rsidRPr="002B6D61">
        <w:rPr>
          <w:rFonts w:hint="eastAsia"/>
        </w:rPr>
        <w:t>Build-Operate-Transfer之簡稱</w:t>
      </w:r>
      <w:r>
        <w:rPr>
          <w:rFonts w:hint="eastAsia"/>
        </w:rPr>
        <w:t>，即依</w:t>
      </w:r>
      <w:r>
        <w:rPr>
          <w:rFonts w:ascii="新細明體" w:eastAsia="新細明體" w:hAnsi="新細明體" w:hint="eastAsia"/>
        </w:rPr>
        <w:t>「</w:t>
      </w:r>
      <w:r w:rsidRPr="00830101">
        <w:rPr>
          <w:rFonts w:hint="eastAsia"/>
        </w:rPr>
        <w:t>促進民間參與公共建設法</w:t>
      </w:r>
      <w:r>
        <w:rPr>
          <w:rFonts w:ascii="新細明體" w:eastAsia="新細明體" w:hAnsi="新細明體" w:hint="eastAsia"/>
        </w:rPr>
        <w:t>」</w:t>
      </w:r>
      <w:r>
        <w:rPr>
          <w:rFonts w:hint="eastAsia"/>
        </w:rPr>
        <w:t>第8條第1項第1款：</w:t>
      </w:r>
      <w:r>
        <w:rPr>
          <w:rFonts w:hAnsi="標楷體" w:hint="eastAsia"/>
        </w:rPr>
        <w:t>「</w:t>
      </w:r>
      <w:r w:rsidRPr="00830101">
        <w:rPr>
          <w:rFonts w:hAnsi="標楷體" w:hint="eastAsia"/>
        </w:rPr>
        <w:t>民間機構投資新建並為營運；營運期間屆滿後，移轉該建設之所有權予政府。</w:t>
      </w:r>
      <w:r>
        <w:rPr>
          <w:rFonts w:hAnsi="標楷體" w:hint="eastAsia"/>
        </w:rPr>
        <w:t>」</w:t>
      </w:r>
      <w:r>
        <w:rPr>
          <w:rFonts w:hint="eastAsia"/>
        </w:rPr>
        <w:t>規定所辦理之開發案。</w:t>
      </w:r>
    </w:p>
  </w:footnote>
  <w:footnote w:id="2">
    <w:p w:rsidR="00BA4A95" w:rsidRDefault="00BA4A95" w:rsidP="00FE1848">
      <w:pPr>
        <w:pStyle w:val="aff"/>
        <w:ind w:left="164" w:hangingChars="82" w:hanging="164"/>
        <w:jc w:val="both"/>
      </w:pPr>
      <w:r>
        <w:rPr>
          <w:rStyle w:val="aff1"/>
        </w:rPr>
        <w:footnoteRef/>
      </w:r>
      <w:r>
        <w:t xml:space="preserve"> </w:t>
      </w:r>
      <w:r>
        <w:rPr>
          <w:rFonts w:hint="eastAsia"/>
        </w:rPr>
        <w:t>依都市計畫書記載，</w:t>
      </w:r>
      <w:r>
        <w:rPr>
          <w:rFonts w:hAnsi="標楷體" w:hint="eastAsia"/>
        </w:rPr>
        <w:t>其具體使用計畫應由未來用地單位擬具使用開發計畫，經該市都市計畫委員會審議通過。</w:t>
      </w:r>
    </w:p>
  </w:footnote>
  <w:footnote w:id="3">
    <w:p w:rsidR="00BA4A95" w:rsidRDefault="00BA4A95" w:rsidP="00FE1848">
      <w:pPr>
        <w:pStyle w:val="aff"/>
        <w:ind w:left="164" w:hangingChars="82" w:hanging="164"/>
        <w:jc w:val="both"/>
      </w:pPr>
      <w:r>
        <w:rPr>
          <w:rStyle w:val="aff1"/>
        </w:rPr>
        <w:footnoteRef/>
      </w:r>
      <w:r>
        <w:t xml:space="preserve"> </w:t>
      </w:r>
      <w:r>
        <w:rPr>
          <w:rFonts w:hint="eastAsia"/>
        </w:rPr>
        <w:t>依都市計畫書記載，其用途為</w:t>
      </w:r>
      <w:r>
        <w:rPr>
          <w:rFonts w:hAnsi="標楷體" w:hint="eastAsia"/>
        </w:rPr>
        <w:t>「</w:t>
      </w:r>
      <w:r w:rsidRPr="00302499">
        <w:rPr>
          <w:rFonts w:hAnsi="標楷體" w:hint="eastAsia"/>
        </w:rPr>
        <w:t>供服務中心、休閒運動健康中心、文化會館、銀行、郵局、醫療、社會福利及其他相關服務性設施使用</w:t>
      </w:r>
      <w:r>
        <w:rPr>
          <w:rFonts w:hAnsi="標楷體" w:hint="eastAsia"/>
        </w:rPr>
        <w:t>」。</w:t>
      </w:r>
    </w:p>
  </w:footnote>
  <w:footnote w:id="4">
    <w:p w:rsidR="00BA4A95" w:rsidRDefault="00BA4A95" w:rsidP="00FE1848">
      <w:pPr>
        <w:pStyle w:val="aff"/>
        <w:ind w:left="164" w:hangingChars="82" w:hanging="164"/>
        <w:jc w:val="both"/>
      </w:pPr>
      <w:r>
        <w:rPr>
          <w:rStyle w:val="aff1"/>
        </w:rPr>
        <w:footnoteRef/>
      </w:r>
      <w:r>
        <w:t xml:space="preserve"> </w:t>
      </w:r>
      <w:r>
        <w:rPr>
          <w:rFonts w:hint="eastAsia"/>
        </w:rPr>
        <w:t>本案</w:t>
      </w:r>
      <w:r>
        <w:rPr>
          <w:rFonts w:hAnsi="標楷體" w:hint="eastAsia"/>
        </w:rPr>
        <w:t>「產業支援設施用地」</w:t>
      </w:r>
      <w:r>
        <w:rPr>
          <w:rFonts w:hint="eastAsia"/>
        </w:rPr>
        <w:t>(面積1.4989</w:t>
      </w:r>
      <w:r>
        <w:rPr>
          <w:rFonts w:hAnsi="標楷體" w:hint="eastAsia"/>
        </w:rPr>
        <w:t>公頃</w:t>
      </w:r>
      <w:r>
        <w:rPr>
          <w:rFonts w:hint="eastAsia"/>
        </w:rPr>
        <w:t>)</w:t>
      </w:r>
      <w:r>
        <w:rPr>
          <w:rFonts w:hAnsi="標楷體" w:hint="eastAsia"/>
        </w:rPr>
        <w:t>及「</w:t>
      </w:r>
      <w:r w:rsidRPr="00302499">
        <w:rPr>
          <w:rFonts w:hAnsi="標楷體" w:hint="eastAsia"/>
        </w:rPr>
        <w:t>公共服務設施用地</w:t>
      </w:r>
      <w:r>
        <w:rPr>
          <w:rFonts w:hAnsi="標楷體" w:hint="eastAsia"/>
        </w:rPr>
        <w:t>」（</w:t>
      </w:r>
      <w:r w:rsidRPr="00F46CD5">
        <w:rPr>
          <w:rFonts w:hAnsi="標楷體" w:hint="eastAsia"/>
        </w:rPr>
        <w:t>面積0.2553公頃</w:t>
      </w:r>
      <w:r>
        <w:rPr>
          <w:rFonts w:hAnsi="標楷體" w:hint="eastAsia"/>
        </w:rPr>
        <w:t>），106年公告土地現值總額高達新臺幣</w:t>
      </w:r>
      <w:r>
        <w:rPr>
          <w:rFonts w:hAnsi="標楷體"/>
        </w:rPr>
        <w:t>4</w:t>
      </w:r>
      <w:r w:rsidRPr="00BF3CFF">
        <w:rPr>
          <w:rFonts w:hAnsi="標楷體"/>
        </w:rPr>
        <w:t>9</w:t>
      </w:r>
      <w:r>
        <w:rPr>
          <w:rFonts w:hAnsi="標楷體" w:hint="eastAsia"/>
        </w:rPr>
        <w:t>億</w:t>
      </w:r>
      <w:r w:rsidRPr="00BF3CFF">
        <w:rPr>
          <w:rFonts w:hAnsi="標楷體"/>
        </w:rPr>
        <w:t>4,687</w:t>
      </w:r>
      <w:r>
        <w:rPr>
          <w:rFonts w:hAnsi="標楷體" w:hint="eastAsia"/>
        </w:rPr>
        <w:t>萬</w:t>
      </w:r>
      <w:r w:rsidRPr="00BF3CFF">
        <w:rPr>
          <w:rFonts w:hAnsi="標楷體"/>
        </w:rPr>
        <w:t>7,033</w:t>
      </w:r>
      <w:r>
        <w:rPr>
          <w:rFonts w:hAnsi="標楷體" w:hint="eastAsia"/>
        </w:rPr>
        <w:t>元。</w:t>
      </w:r>
    </w:p>
  </w:footnote>
  <w:footnote w:id="5">
    <w:p w:rsidR="00BA4A95" w:rsidRDefault="00BA4A95" w:rsidP="00FE1848">
      <w:pPr>
        <w:pStyle w:val="aff"/>
      </w:pPr>
      <w:r>
        <w:rPr>
          <w:rStyle w:val="aff1"/>
        </w:rPr>
        <w:footnoteRef/>
      </w:r>
      <w:r>
        <w:t xml:space="preserve"> </w:t>
      </w:r>
      <w:r>
        <w:rPr>
          <w:rFonts w:hint="eastAsia"/>
        </w:rPr>
        <w:t>取得過程如下：</w:t>
      </w:r>
    </w:p>
    <w:p w:rsidR="00BA4A95" w:rsidRDefault="00BA4A95" w:rsidP="00FE1848">
      <w:pPr>
        <w:pStyle w:val="aff"/>
        <w:ind w:leftChars="41" w:left="391" w:hangingChars="130" w:hanging="260"/>
        <w:jc w:val="both"/>
      </w:pPr>
      <w:r>
        <w:rPr>
          <w:rFonts w:hint="eastAsia"/>
        </w:rPr>
        <w:t>(1)</w:t>
      </w:r>
      <w:r w:rsidRPr="00CB6D3B">
        <w:rPr>
          <w:rFonts w:hint="eastAsia"/>
        </w:rPr>
        <w:t>6</w:t>
      </w:r>
      <w:r>
        <w:rPr>
          <w:rFonts w:hint="eastAsia"/>
        </w:rPr>
        <w:t>地號（2,144.06</w:t>
      </w:r>
      <w:r>
        <w:rPr>
          <w:rFonts w:hAnsi="標楷體" w:hint="eastAsia"/>
        </w:rPr>
        <w:t>㎡</w:t>
      </w:r>
      <w:r>
        <w:rPr>
          <w:rFonts w:hint="eastAsia"/>
        </w:rPr>
        <w:t>）：94年間向財政部國有財產署有償撥用取得。</w:t>
      </w:r>
    </w:p>
    <w:p w:rsidR="00BA4A95" w:rsidRDefault="00BA4A95" w:rsidP="00FE1848">
      <w:pPr>
        <w:pStyle w:val="aff"/>
        <w:ind w:leftChars="41" w:left="391" w:hangingChars="130" w:hanging="260"/>
        <w:jc w:val="both"/>
      </w:pPr>
      <w:r>
        <w:rPr>
          <w:rFonts w:hint="eastAsia"/>
        </w:rPr>
        <w:t>(2)</w:t>
      </w:r>
      <w:r w:rsidRPr="00CB6D3B">
        <w:rPr>
          <w:rFonts w:hint="eastAsia"/>
        </w:rPr>
        <w:t>6-1</w:t>
      </w:r>
      <w:r>
        <w:rPr>
          <w:rFonts w:hint="eastAsia"/>
        </w:rPr>
        <w:t>（1,305.45</w:t>
      </w:r>
      <w:r w:rsidRPr="00CB6D3B">
        <w:rPr>
          <w:rFonts w:hint="eastAsia"/>
        </w:rPr>
        <w:t>㎡</w:t>
      </w:r>
      <w:r>
        <w:rPr>
          <w:rFonts w:hint="eastAsia"/>
        </w:rPr>
        <w:t>）及</w:t>
      </w:r>
      <w:r w:rsidRPr="00CB6D3B">
        <w:rPr>
          <w:rFonts w:hint="eastAsia"/>
        </w:rPr>
        <w:t>7</w:t>
      </w:r>
      <w:r>
        <w:rPr>
          <w:rFonts w:hint="eastAsia"/>
        </w:rPr>
        <w:t>（11,539.64</w:t>
      </w:r>
      <w:r w:rsidRPr="00CB6D3B">
        <w:rPr>
          <w:rFonts w:hint="eastAsia"/>
        </w:rPr>
        <w:t>㎡</w:t>
      </w:r>
      <w:r>
        <w:rPr>
          <w:rFonts w:hint="eastAsia"/>
        </w:rPr>
        <w:t>）地號：94年間向臺北市政府地政處土地開發總隊購入。</w:t>
      </w:r>
    </w:p>
    <w:p w:rsidR="00BA4A95" w:rsidRDefault="00BA4A95" w:rsidP="00FE1848">
      <w:pPr>
        <w:pStyle w:val="aff"/>
        <w:ind w:leftChars="41" w:left="391" w:hangingChars="130" w:hanging="260"/>
        <w:jc w:val="both"/>
      </w:pPr>
      <w:r>
        <w:rPr>
          <w:rFonts w:hint="eastAsia"/>
        </w:rPr>
        <w:t>(3)</w:t>
      </w:r>
      <w:r w:rsidRPr="00CB6D3B">
        <w:rPr>
          <w:rFonts w:hint="eastAsia"/>
        </w:rPr>
        <w:t>2</w:t>
      </w:r>
      <w:r>
        <w:rPr>
          <w:rFonts w:hint="eastAsia"/>
        </w:rPr>
        <w:t>（1</w:t>
      </w:r>
      <w:r>
        <w:t>,</w:t>
      </w:r>
      <w:r>
        <w:rPr>
          <w:rFonts w:hint="eastAsia"/>
        </w:rPr>
        <w:t>145.96</w:t>
      </w:r>
      <w:r w:rsidRPr="00CB6D3B">
        <w:rPr>
          <w:rFonts w:hint="eastAsia"/>
        </w:rPr>
        <w:t>㎡</w:t>
      </w:r>
      <w:r>
        <w:rPr>
          <w:rFonts w:hint="eastAsia"/>
        </w:rPr>
        <w:t>）及</w:t>
      </w:r>
      <w:r w:rsidRPr="00CB6D3B">
        <w:rPr>
          <w:rFonts w:hint="eastAsia"/>
        </w:rPr>
        <w:t>3</w:t>
      </w:r>
      <w:r>
        <w:rPr>
          <w:rFonts w:hint="eastAsia"/>
        </w:rPr>
        <w:t>（1,407.20</w:t>
      </w:r>
      <w:r w:rsidRPr="00CB6D3B">
        <w:rPr>
          <w:rFonts w:hint="eastAsia"/>
        </w:rPr>
        <w:t>㎡</w:t>
      </w:r>
      <w:r>
        <w:rPr>
          <w:rFonts w:hint="eastAsia"/>
        </w:rPr>
        <w:t>）地號：原屬臺北市、新北市及中華民國共有，102年間向新北市政府及財政部國有財產署無償撥用其共有持分。</w:t>
      </w:r>
    </w:p>
  </w:footnote>
  <w:footnote w:id="6">
    <w:p w:rsidR="00BA4A95" w:rsidRPr="0019148E" w:rsidRDefault="00BA4A95" w:rsidP="003A0864">
      <w:pPr>
        <w:pStyle w:val="aff"/>
        <w:ind w:left="152" w:hangingChars="76" w:hanging="152"/>
        <w:jc w:val="both"/>
      </w:pPr>
      <w:r>
        <w:rPr>
          <w:rStyle w:val="aff1"/>
        </w:rPr>
        <w:footnoteRef/>
      </w:r>
      <w:r>
        <w:rPr>
          <w:rFonts w:hint="eastAsia"/>
        </w:rPr>
        <w:t xml:space="preserve"> </w:t>
      </w:r>
      <w:r w:rsidRPr="00D55E61">
        <w:rPr>
          <w:rFonts w:hint="eastAsia"/>
        </w:rPr>
        <w:t>據本案投資執行計畫書（106年12月定稿版）所載，</w:t>
      </w:r>
      <w:r>
        <w:rPr>
          <w:rFonts w:ascii="新細明體" w:eastAsia="新細明體" w:hAnsi="新細明體" w:hint="eastAsia"/>
        </w:rPr>
        <w:t>「</w:t>
      </w:r>
      <w:r w:rsidRPr="00D55E61">
        <w:rPr>
          <w:rFonts w:hint="eastAsia"/>
        </w:rPr>
        <w:t>宏匯瑞光股份有限公司</w:t>
      </w:r>
      <w:r>
        <w:rPr>
          <w:rFonts w:ascii="新細明體" w:eastAsia="新細明體" w:hAnsi="新細明體" w:hint="eastAsia"/>
        </w:rPr>
        <w:t>」</w:t>
      </w:r>
      <w:r>
        <w:rPr>
          <w:rFonts w:hint="eastAsia"/>
        </w:rPr>
        <w:t>係由</w:t>
      </w:r>
      <w:r w:rsidRPr="00D55E61">
        <w:rPr>
          <w:rFonts w:hint="eastAsia"/>
        </w:rPr>
        <w:t>藍天企業集團各事業體主要持股公司</w:t>
      </w:r>
      <w:r>
        <w:rPr>
          <w:rFonts w:hint="eastAsia"/>
        </w:rPr>
        <w:t>-</w:t>
      </w:r>
      <w:r w:rsidRPr="00D55E61">
        <w:rPr>
          <w:rFonts w:hint="eastAsia"/>
        </w:rPr>
        <w:t>創日科技、東菱投資、精元投資及華泰投資等4</w:t>
      </w:r>
      <w:r>
        <w:rPr>
          <w:rFonts w:hint="eastAsia"/>
        </w:rPr>
        <w:t>公司所籌組。</w:t>
      </w:r>
    </w:p>
  </w:footnote>
  <w:footnote w:id="7">
    <w:p w:rsidR="00BA4A95" w:rsidRPr="006163DF" w:rsidRDefault="00BA4A95" w:rsidP="00FE1848">
      <w:pPr>
        <w:pStyle w:val="aff"/>
        <w:ind w:left="164" w:hangingChars="82" w:hanging="164"/>
        <w:jc w:val="both"/>
      </w:pPr>
      <w:r w:rsidRPr="006163DF">
        <w:rPr>
          <w:rStyle w:val="aff1"/>
        </w:rPr>
        <w:footnoteRef/>
      </w:r>
      <w:r w:rsidRPr="006163DF">
        <w:t xml:space="preserve"> </w:t>
      </w:r>
      <w:r w:rsidRPr="006163DF">
        <w:rPr>
          <w:rFonts w:hint="eastAsia"/>
        </w:rPr>
        <w:t>北投士林科技園區（知識經濟產業）－大內湖科技園區（企業營運總部及研發中心）-南港軟體</w:t>
      </w:r>
      <w:r w:rsidRPr="006163DF">
        <w:rPr>
          <w:rFonts w:hAnsi="標楷體" w:hint="eastAsia"/>
        </w:rPr>
        <w:t>工業園區</w:t>
      </w:r>
      <w:r w:rsidRPr="006163DF">
        <w:rPr>
          <w:rFonts w:hint="eastAsia"/>
        </w:rPr>
        <w:t>（軟體工業及生物技術業）。</w:t>
      </w:r>
    </w:p>
  </w:footnote>
  <w:footnote w:id="8">
    <w:p w:rsidR="00BA4A95" w:rsidRPr="006163DF" w:rsidRDefault="00BA4A95" w:rsidP="00FE1848">
      <w:pPr>
        <w:pStyle w:val="aff"/>
        <w:wordWrap w:val="0"/>
        <w:ind w:left="164" w:hangingChars="82" w:hanging="164"/>
      </w:pPr>
      <w:r w:rsidRPr="006163DF">
        <w:rPr>
          <w:rStyle w:val="aff1"/>
        </w:rPr>
        <w:footnoteRef/>
      </w:r>
      <w:r w:rsidRPr="006163DF">
        <w:t xml:space="preserve"> </w:t>
      </w:r>
      <w:r w:rsidRPr="006163DF">
        <w:rPr>
          <w:rFonts w:hint="eastAsia"/>
        </w:rPr>
        <w:t>參見</w:t>
      </w:r>
      <w:r w:rsidRPr="006163DF">
        <w:rPr>
          <w:rFonts w:hAnsi="標楷體" w:hint="eastAsia"/>
        </w:rPr>
        <w:t>臺北市</w:t>
      </w:r>
      <w:r w:rsidRPr="006163DF">
        <w:rPr>
          <w:rFonts w:hint="eastAsia"/>
        </w:rPr>
        <w:t>政府產業發產局網站(</w:t>
      </w:r>
      <w:hyperlink r:id="rId1" w:history="1">
        <w:r w:rsidRPr="006163DF">
          <w:rPr>
            <w:rStyle w:val="af1"/>
            <w:color w:val="auto"/>
            <w:u w:val="none"/>
          </w:rPr>
          <w:t>http://www.doed.gov.taipei/News_Content.aspx?n=D8AA98C34376D153&amp;sms=28BB6CC9248C1740&amp;s=2CB1AD13CB600795</w:t>
        </w:r>
      </w:hyperlink>
      <w:r w:rsidRPr="006163DF">
        <w:rPr>
          <w:rFonts w:hint="eastAsia"/>
        </w:rPr>
        <w:t>)。</w:t>
      </w:r>
    </w:p>
  </w:footnote>
  <w:footnote w:id="9">
    <w:p w:rsidR="00BA4A95" w:rsidRPr="00790208" w:rsidRDefault="00BA4A95" w:rsidP="00FE1848">
      <w:pPr>
        <w:pStyle w:val="aff"/>
        <w:ind w:left="164" w:hangingChars="82" w:hanging="164"/>
        <w:jc w:val="both"/>
      </w:pPr>
      <w:r>
        <w:rPr>
          <w:rStyle w:val="aff1"/>
        </w:rPr>
        <w:footnoteRef/>
      </w:r>
      <w:r>
        <w:t xml:space="preserve"> </w:t>
      </w:r>
      <w:r>
        <w:rPr>
          <w:rFonts w:hint="eastAsia"/>
        </w:rPr>
        <w:t>該基地購地款之</w:t>
      </w:r>
      <w:r w:rsidRPr="00790208">
        <w:rPr>
          <w:rFonts w:hint="eastAsia"/>
        </w:rPr>
        <w:t>還款年期為107年至110年，每年需分年清償，並配合編列年度預算6億73,76萬750</w:t>
      </w:r>
      <w:r>
        <w:rPr>
          <w:rFonts w:hint="eastAsia"/>
        </w:rPr>
        <w:t>元償付，</w:t>
      </w:r>
      <w:r w:rsidRPr="00790208">
        <w:rPr>
          <w:rFonts w:hint="eastAsia"/>
        </w:rPr>
        <w:t>4年合計</w:t>
      </w:r>
      <w:r>
        <w:rPr>
          <w:rFonts w:hint="eastAsia"/>
        </w:rPr>
        <w:t>應</w:t>
      </w:r>
      <w:r w:rsidRPr="00790208">
        <w:rPr>
          <w:rFonts w:hint="eastAsia"/>
        </w:rPr>
        <w:t>清償26億9,504萬3,000元。</w:t>
      </w:r>
    </w:p>
  </w:footnote>
  <w:footnote w:id="10">
    <w:p w:rsidR="00BA4A95" w:rsidRDefault="00BA4A95" w:rsidP="00FE1848">
      <w:pPr>
        <w:pStyle w:val="aff"/>
      </w:pPr>
      <w:r>
        <w:rPr>
          <w:rStyle w:val="aff1"/>
        </w:rPr>
        <w:footnoteRef/>
      </w:r>
      <w:r>
        <w:rPr>
          <w:rFonts w:hint="eastAsia"/>
        </w:rPr>
        <w:t xml:space="preserve"> </w:t>
      </w:r>
      <w:r w:rsidRPr="00671AEE">
        <w:rPr>
          <w:rFonts w:hint="eastAsia"/>
        </w:rPr>
        <w:t>106年度公告土地現值總額為</w:t>
      </w:r>
      <w:r>
        <w:rPr>
          <w:rFonts w:hint="eastAsia"/>
        </w:rPr>
        <w:t>新臺幣</w:t>
      </w:r>
      <w:r w:rsidRPr="00671AEE">
        <w:rPr>
          <w:rFonts w:hint="eastAsia"/>
        </w:rPr>
        <w:t>41億8,095萬8,600</w:t>
      </w:r>
      <w:r>
        <w:rPr>
          <w:rFonts w:hint="eastAsia"/>
        </w:rPr>
        <w:t>元。</w:t>
      </w:r>
    </w:p>
  </w:footnote>
  <w:footnote w:id="11">
    <w:p w:rsidR="00BA4A95" w:rsidRDefault="00BA4A95" w:rsidP="00FE1848">
      <w:pPr>
        <w:pStyle w:val="aff"/>
      </w:pPr>
      <w:r>
        <w:rPr>
          <w:rStyle w:val="aff1"/>
        </w:rPr>
        <w:footnoteRef/>
      </w:r>
      <w:r>
        <w:t xml:space="preserve"> </w:t>
      </w:r>
      <w:r>
        <w:rPr>
          <w:rFonts w:hint="eastAsia"/>
        </w:rPr>
        <w:t>106年度公告土地現值總額為新臺幣</w:t>
      </w:r>
      <w:r>
        <w:t>3</w:t>
      </w:r>
      <w:r w:rsidRPr="00D17B51">
        <w:t>1</w:t>
      </w:r>
      <w:r>
        <w:rPr>
          <w:rFonts w:hint="eastAsia"/>
        </w:rPr>
        <w:t>億</w:t>
      </w:r>
      <w:r>
        <w:t>5</w:t>
      </w:r>
      <w:r>
        <w:rPr>
          <w:rFonts w:hint="eastAsia"/>
        </w:rPr>
        <w:t>,</w:t>
      </w:r>
      <w:r>
        <w:t>5</w:t>
      </w:r>
      <w:r w:rsidRPr="00D17B51">
        <w:t>58</w:t>
      </w:r>
      <w:r>
        <w:rPr>
          <w:rFonts w:hint="eastAsia"/>
        </w:rPr>
        <w:t>萬</w:t>
      </w:r>
      <w:r w:rsidRPr="00D17B51">
        <w:t>6,750</w:t>
      </w:r>
      <w:r>
        <w:rPr>
          <w:rFonts w:hint="eastAsia"/>
        </w:rPr>
        <w:t>元。</w:t>
      </w:r>
    </w:p>
  </w:footnote>
  <w:footnote w:id="12">
    <w:p w:rsidR="00BA4A95" w:rsidRDefault="00BA4A95" w:rsidP="00FE1848">
      <w:pPr>
        <w:pStyle w:val="aff"/>
      </w:pPr>
      <w:r>
        <w:rPr>
          <w:rStyle w:val="aff1"/>
        </w:rPr>
        <w:footnoteRef/>
      </w:r>
      <w:r>
        <w:t xml:space="preserve"> </w:t>
      </w:r>
      <w:r>
        <w:rPr>
          <w:rFonts w:hint="eastAsia"/>
        </w:rPr>
        <w:t>遭媒體諷為</w:t>
      </w:r>
      <w:r w:rsidRPr="00F245C9">
        <w:rPr>
          <w:rFonts w:hint="eastAsia"/>
        </w:rPr>
        <w:t>「百億鬼屋」</w:t>
      </w:r>
      <w:r>
        <w:rPr>
          <w:rFonts w:hint="eastAsia"/>
        </w:rPr>
        <w:t>。</w:t>
      </w:r>
    </w:p>
  </w:footnote>
  <w:footnote w:id="13">
    <w:p w:rsidR="00BA4A95" w:rsidRPr="00BD68D8" w:rsidRDefault="00BA4A95" w:rsidP="0004344D">
      <w:pPr>
        <w:pStyle w:val="aff"/>
        <w:ind w:left="202" w:hangingChars="101" w:hanging="202"/>
        <w:jc w:val="both"/>
      </w:pPr>
      <w:r>
        <w:rPr>
          <w:rStyle w:val="aff1"/>
        </w:rPr>
        <w:footnoteRef/>
      </w:r>
      <w:r>
        <w:rPr>
          <w:rFonts w:hint="eastAsia"/>
          <w:kern w:val="0"/>
        </w:rPr>
        <w:t xml:space="preserve"> 依都市計畫之規劃，本案開發基地，除容許供本案主體事業之育成空間（即育成中心、人才培育中心、創意交流發表空間、共創空間空間）使用外，亦得供其他商、辦等用途。</w:t>
      </w:r>
    </w:p>
  </w:footnote>
  <w:footnote w:id="14">
    <w:p w:rsidR="00BA4A95" w:rsidRDefault="00BA4A95" w:rsidP="0004344D">
      <w:pPr>
        <w:pStyle w:val="aff"/>
        <w:ind w:left="202" w:hangingChars="101" w:hanging="202"/>
        <w:jc w:val="both"/>
      </w:pPr>
      <w:r>
        <w:rPr>
          <w:rStyle w:val="aff1"/>
        </w:rPr>
        <w:footnoteRef/>
      </w:r>
      <w:r>
        <w:rPr>
          <w:rFonts w:hint="eastAsia"/>
        </w:rPr>
        <w:t xml:space="preserve"> 詢據該府相關</w:t>
      </w:r>
      <w:r w:rsidRPr="0004344D">
        <w:rPr>
          <w:rFonts w:hint="eastAsia"/>
          <w:kern w:val="0"/>
        </w:rPr>
        <w:t>人員</w:t>
      </w:r>
      <w:r>
        <w:rPr>
          <w:rFonts w:hint="eastAsia"/>
        </w:rPr>
        <w:t>指稱，</w:t>
      </w:r>
      <w:r w:rsidRPr="008C5EC1">
        <w:rPr>
          <w:rFonts w:hint="eastAsia"/>
        </w:rPr>
        <w:t>本案育成中心規模已為國內面積最大之育成中心</w:t>
      </w:r>
      <w:r>
        <w:rPr>
          <w:rFonts w:hint="eastAsia"/>
        </w:rPr>
        <w:t>，如再加大規模，恐不利於爾後之營運。</w:t>
      </w:r>
    </w:p>
  </w:footnote>
  <w:footnote w:id="15">
    <w:p w:rsidR="00BA4A95" w:rsidRPr="004C04DC" w:rsidRDefault="00BA4A95">
      <w:pPr>
        <w:pStyle w:val="aff"/>
      </w:pPr>
      <w:r>
        <w:rPr>
          <w:rStyle w:val="aff1"/>
        </w:rPr>
        <w:footnoteRef/>
      </w:r>
      <w:r>
        <w:t xml:space="preserve"> </w:t>
      </w:r>
      <w:r>
        <w:rPr>
          <w:rFonts w:hint="eastAsia"/>
        </w:rPr>
        <w:t>本案</w:t>
      </w:r>
      <w:r w:rsidRPr="00E11B53">
        <w:rPr>
          <w:rFonts w:hint="eastAsia"/>
        </w:rPr>
        <w:t>投資執行計畫書（106年12月定稿版）</w:t>
      </w:r>
      <w:r>
        <w:rPr>
          <w:rFonts w:hint="eastAsia"/>
        </w:rPr>
        <w:t>，P.3-19、3-20、4-20、4-21。</w:t>
      </w:r>
    </w:p>
  </w:footnote>
  <w:footnote w:id="16">
    <w:p w:rsidR="00BA4A95" w:rsidRDefault="00BA4A95" w:rsidP="00FE1848">
      <w:pPr>
        <w:pStyle w:val="aff"/>
        <w:ind w:left="228" w:hangingChars="114" w:hanging="228"/>
      </w:pPr>
      <w:r>
        <w:rPr>
          <w:rStyle w:val="aff1"/>
        </w:rPr>
        <w:footnoteRef/>
      </w:r>
      <w:r>
        <w:t xml:space="preserve"> </w:t>
      </w:r>
      <w:r w:rsidRPr="00D24DAF">
        <w:rPr>
          <w:rFonts w:hint="eastAsia"/>
        </w:rPr>
        <w:t>本案投資執行計畫書（106年12</w:t>
      </w:r>
      <w:r>
        <w:rPr>
          <w:rFonts w:hint="eastAsia"/>
        </w:rPr>
        <w:t>月定稿版</w:t>
      </w:r>
      <w:r w:rsidRPr="00D24DAF">
        <w:rPr>
          <w:rFonts w:hint="eastAsia"/>
        </w:rPr>
        <w:t>P.4-13、4-35參照，另投資人已取得財團法人工業技術研究院於105年10月20日出具之合作意願書</w:t>
      </w:r>
      <w:r>
        <w:rPr>
          <w:rFonts w:hint="eastAsia"/>
        </w:rPr>
        <w:t>。</w:t>
      </w:r>
    </w:p>
  </w:footnote>
  <w:footnote w:id="17">
    <w:p w:rsidR="00BA4A95" w:rsidRPr="005C47A4" w:rsidRDefault="00BA4A95">
      <w:pPr>
        <w:pStyle w:val="aff"/>
      </w:pPr>
      <w:r>
        <w:rPr>
          <w:rStyle w:val="aff1"/>
        </w:rPr>
        <w:footnoteRef/>
      </w:r>
      <w:r>
        <w:rPr>
          <w:rFonts w:hAnsi="標楷體" w:hint="eastAsia"/>
        </w:rPr>
        <w:t xml:space="preserve"> 以營運第11年為例，</w:t>
      </w:r>
      <w:r w:rsidRPr="00E13593">
        <w:rPr>
          <w:rFonts w:hAnsi="標楷體" w:hint="eastAsia"/>
        </w:rPr>
        <w:t>本案投資執行計畫書</w:t>
      </w:r>
      <w:r>
        <w:rPr>
          <w:rFonts w:hAnsi="標楷體" w:hint="eastAsia"/>
        </w:rPr>
        <w:t>附件5「預估財務報表」參照。</w:t>
      </w:r>
    </w:p>
  </w:footnote>
  <w:footnote w:id="18">
    <w:p w:rsidR="00BA4A95" w:rsidRDefault="00BA4A95" w:rsidP="00FE1848">
      <w:pPr>
        <w:pStyle w:val="aff"/>
        <w:ind w:left="164" w:hangingChars="82" w:hanging="164"/>
        <w:jc w:val="both"/>
      </w:pPr>
      <w:r w:rsidRPr="007D6C0F">
        <w:rPr>
          <w:rStyle w:val="aff1"/>
          <w:rFonts w:hAnsi="標楷體"/>
        </w:rPr>
        <w:footnoteRef/>
      </w:r>
      <w:r w:rsidRPr="007D6C0F">
        <w:rPr>
          <w:rFonts w:hAnsi="標楷體" w:hint="eastAsia"/>
        </w:rPr>
        <w:t xml:space="preserve"> 依據</w:t>
      </w:r>
      <w:r>
        <w:rPr>
          <w:rFonts w:ascii="新細明體" w:eastAsia="新細明體" w:hAnsi="新細明體" w:hint="eastAsia"/>
        </w:rPr>
        <w:t>「</w:t>
      </w:r>
      <w:r w:rsidRPr="007D6C0F">
        <w:rPr>
          <w:rFonts w:hAnsi="標楷體" w:hint="eastAsia"/>
        </w:rPr>
        <w:t>土地稅法</w:t>
      </w:r>
      <w:r>
        <w:rPr>
          <w:rFonts w:ascii="新細明體" w:eastAsia="新細明體" w:hAnsi="新細明體" w:hint="eastAsia"/>
        </w:rPr>
        <w:t>」</w:t>
      </w:r>
      <w:r w:rsidRPr="007D6C0F">
        <w:rPr>
          <w:rFonts w:hAnsi="標楷體" w:hint="eastAsia"/>
        </w:rPr>
        <w:t>規定土地所有權屬於公有或公同共有者，以管理機關或管理人為納稅義務人，因本案係以BOT方式辦理，臺北市政府仍持續持有土地，納稅義務人為土地管理機關臺北市政府產業發展局，民間投資人無需負擔地價稅。</w:t>
      </w:r>
    </w:p>
  </w:footnote>
  <w:footnote w:id="19">
    <w:p w:rsidR="00BA4A95" w:rsidRPr="00FF2C0B" w:rsidRDefault="00BA4A95" w:rsidP="00BD146A">
      <w:pPr>
        <w:pStyle w:val="aff"/>
        <w:ind w:left="228" w:hangingChars="114" w:hanging="228"/>
      </w:pPr>
      <w:r>
        <w:rPr>
          <w:rStyle w:val="aff1"/>
        </w:rPr>
        <w:footnoteRef/>
      </w:r>
      <w:r>
        <w:rPr>
          <w:rFonts w:hint="eastAsia"/>
        </w:rPr>
        <w:t xml:space="preserve"> </w:t>
      </w:r>
      <w:r w:rsidRPr="00FF2C0B">
        <w:rPr>
          <w:rFonts w:hint="eastAsia"/>
        </w:rPr>
        <w:t>清光緒13〈西元1887</w:t>
      </w:r>
      <w:r>
        <w:rPr>
          <w:rFonts w:hint="eastAsia"/>
        </w:rPr>
        <w:t>年</w:t>
      </w:r>
      <w:r w:rsidRPr="00FF2C0B">
        <w:rPr>
          <w:rFonts w:hint="eastAsia"/>
        </w:rPr>
        <w:t>〉，巡撫劉銘傳奏請建坊獎勵，清光緒14〈西元1888</w:t>
      </w:r>
      <w:r>
        <w:rPr>
          <w:rFonts w:hint="eastAsia"/>
        </w:rPr>
        <w:t>年</w:t>
      </w:r>
      <w:r w:rsidRPr="00FF2C0B">
        <w:rPr>
          <w:rFonts w:hint="eastAsia"/>
        </w:rPr>
        <w:t>〉年坊成，即為日治時期始遷移至二二八公園內現址之「急公好義坊」。</w:t>
      </w:r>
    </w:p>
  </w:footnote>
  <w:footnote w:id="20">
    <w:p w:rsidR="00BA4A95" w:rsidRDefault="00BA4A95" w:rsidP="00BD146A">
      <w:pPr>
        <w:pStyle w:val="aff"/>
        <w:ind w:left="228" w:hangingChars="114" w:hanging="228"/>
        <w:jc w:val="both"/>
      </w:pPr>
      <w:r>
        <w:rPr>
          <w:rStyle w:val="aff1"/>
        </w:rPr>
        <w:footnoteRef/>
      </w:r>
      <w:r>
        <w:t xml:space="preserve"> </w:t>
      </w:r>
      <w:r>
        <w:rPr>
          <w:rFonts w:hint="eastAsia"/>
        </w:rPr>
        <w:t>本段係臺北市政府相關人員到院接受詢問時，引述該府前文獻委員會之考證結果所為陳述。</w:t>
      </w:r>
    </w:p>
  </w:footnote>
  <w:footnote w:id="21">
    <w:p w:rsidR="00BA4A95" w:rsidRDefault="00BA4A95" w:rsidP="00BD146A">
      <w:pPr>
        <w:pStyle w:val="aff"/>
        <w:ind w:left="228" w:hangingChars="114" w:hanging="228"/>
        <w:jc w:val="both"/>
      </w:pPr>
      <w:r>
        <w:rPr>
          <w:rStyle w:val="aff1"/>
        </w:rPr>
        <w:footnoteRef/>
      </w:r>
      <w:r>
        <w:t xml:space="preserve"> </w:t>
      </w:r>
      <w:r>
        <w:rPr>
          <w:rFonts w:hint="eastAsia"/>
        </w:rPr>
        <w:t>據報載，捐贈人</w:t>
      </w:r>
      <w:r w:rsidRPr="00876AD8">
        <w:rPr>
          <w:rFonts w:hint="eastAsia"/>
        </w:rPr>
        <w:t>後代對於本案土地將以設定地上權方式交由私人開發為商業設施，似有微詞</w:t>
      </w:r>
      <w:r>
        <w:rPr>
          <w:rFonts w:hint="eastAsia"/>
        </w:rPr>
        <w:t>。茲</w:t>
      </w:r>
      <w:r w:rsidRPr="00706572">
        <w:rPr>
          <w:rFonts w:hint="eastAsia"/>
        </w:rPr>
        <w:t>臺北市政府相關人員到院接受詢問時</w:t>
      </w:r>
      <w:r>
        <w:rPr>
          <w:rFonts w:hint="eastAsia"/>
        </w:rPr>
        <w:t>表示，</w:t>
      </w:r>
      <w:r w:rsidRPr="00706572">
        <w:rPr>
          <w:rFonts w:hint="eastAsia"/>
        </w:rPr>
        <w:t>本案係以設定地上權方式辦理開發，土地權屬仍為</w:t>
      </w:r>
      <w:r>
        <w:rPr>
          <w:rFonts w:hint="eastAsia"/>
        </w:rPr>
        <w:t>該</w:t>
      </w:r>
      <w:r w:rsidRPr="00706572">
        <w:rPr>
          <w:rFonts w:hint="eastAsia"/>
        </w:rPr>
        <w:t>府所有並</w:t>
      </w:r>
      <w:r>
        <w:rPr>
          <w:rFonts w:hint="eastAsia"/>
        </w:rPr>
        <w:t>未</w:t>
      </w:r>
      <w:r w:rsidRPr="00706572">
        <w:rPr>
          <w:rFonts w:hint="eastAsia"/>
        </w:rPr>
        <w:t>出售</w:t>
      </w:r>
      <w:r>
        <w:rPr>
          <w:rFonts w:hint="eastAsia"/>
        </w:rPr>
        <w:t>，且都市計畫已劃定為</w:t>
      </w:r>
      <w:r>
        <w:rPr>
          <w:rFonts w:hAnsi="標楷體" w:hint="eastAsia"/>
        </w:rPr>
        <w:t>「</w:t>
      </w:r>
      <w:r w:rsidRPr="00706572">
        <w:rPr>
          <w:rFonts w:hAnsi="標楷體" w:hint="eastAsia"/>
        </w:rPr>
        <w:t>文化觀光專用區</w:t>
      </w:r>
      <w:r>
        <w:rPr>
          <w:rFonts w:hAnsi="標楷體" w:hint="eastAsia"/>
        </w:rPr>
        <w:t>」，據以規範相關用途。</w:t>
      </w:r>
    </w:p>
  </w:footnote>
  <w:footnote w:id="22">
    <w:p w:rsidR="00BA4A95" w:rsidRPr="009E63B0" w:rsidRDefault="00BA4A95" w:rsidP="00BD146A">
      <w:pPr>
        <w:pStyle w:val="aff"/>
      </w:pPr>
      <w:r>
        <w:rPr>
          <w:rStyle w:val="aff1"/>
        </w:rPr>
        <w:footnoteRef/>
      </w:r>
      <w:r>
        <w:t xml:space="preserve"> </w:t>
      </w:r>
      <w:r w:rsidRPr="009E63B0">
        <w:rPr>
          <w:rFonts w:hint="eastAsia"/>
        </w:rPr>
        <w:t>100年7月22</w:t>
      </w:r>
      <w:r>
        <w:rPr>
          <w:rFonts w:hint="eastAsia"/>
        </w:rPr>
        <w:t>日修正法規名稱為「臺北市土地使用分區管制自治條例」。</w:t>
      </w:r>
    </w:p>
  </w:footnote>
  <w:footnote w:id="23">
    <w:p w:rsidR="00BA4A95" w:rsidRDefault="00BA4A95" w:rsidP="00BD146A">
      <w:pPr>
        <w:pStyle w:val="aff"/>
        <w:ind w:left="228" w:hangingChars="114" w:hanging="228"/>
        <w:jc w:val="both"/>
      </w:pPr>
      <w:r>
        <w:rPr>
          <w:rStyle w:val="aff1"/>
        </w:rPr>
        <w:footnoteRef/>
      </w:r>
      <w:r>
        <w:t xml:space="preserve"> </w:t>
      </w:r>
      <w:r>
        <w:rPr>
          <w:rFonts w:hint="eastAsia"/>
        </w:rPr>
        <w:t>含豪昱營造股份有限公司、互立機電工程股份有限公司及海悅國際開發股份有限公司。另飯店經營指導，由老爺酒店集團負責。</w:t>
      </w:r>
    </w:p>
  </w:footnote>
  <w:footnote w:id="24">
    <w:p w:rsidR="00BA4A95" w:rsidRPr="006163DF" w:rsidRDefault="00BA4A95" w:rsidP="00FE1848">
      <w:pPr>
        <w:pStyle w:val="aff"/>
      </w:pPr>
      <w:r w:rsidRPr="006163DF">
        <w:rPr>
          <w:rStyle w:val="aff1"/>
        </w:rPr>
        <w:footnoteRef/>
      </w:r>
      <w:r w:rsidRPr="006163DF">
        <w:t xml:space="preserve"> </w:t>
      </w:r>
      <w:r w:rsidRPr="006163DF">
        <w:rPr>
          <w:rFonts w:hint="eastAsia"/>
        </w:rPr>
        <w:t>摘自財政部官方網站內容，網址：</w:t>
      </w:r>
      <w:hyperlink r:id="rId2" w:history="1">
        <w:r w:rsidRPr="006163DF">
          <w:rPr>
            <w:rStyle w:val="af1"/>
            <w:color w:val="auto"/>
            <w:u w:val="none"/>
          </w:rPr>
          <w:t>https://ppp.mof.gov.tw/PPP.Website/</w:t>
        </w:r>
      </w:hyperlink>
      <w:r w:rsidRPr="006163DF">
        <w:t>AboutMe/ Info1.</w:t>
      </w:r>
    </w:p>
    <w:p w:rsidR="00BA4A95" w:rsidRDefault="00BA4A95" w:rsidP="003C2E7D">
      <w:pPr>
        <w:pStyle w:val="aff"/>
        <w:ind w:firstLineChars="101" w:firstLine="202"/>
      </w:pPr>
      <w:r w:rsidRPr="00013897">
        <w:t>aspx</w:t>
      </w:r>
      <w:r>
        <w:rPr>
          <w:rFonts w:hint="eastAsia"/>
        </w:rPr>
        <w:t>。</w:t>
      </w:r>
    </w:p>
  </w:footnote>
  <w:footnote w:id="25">
    <w:p w:rsidR="00BA4A95" w:rsidRDefault="00BA4A95" w:rsidP="00FE1848">
      <w:pPr>
        <w:pStyle w:val="aff"/>
      </w:pPr>
      <w:r>
        <w:rPr>
          <w:rStyle w:val="aff1"/>
        </w:rPr>
        <w:footnoteRef/>
      </w:r>
      <w:r>
        <w:t xml:space="preserve"> </w:t>
      </w:r>
      <w:r>
        <w:rPr>
          <w:rFonts w:hint="eastAsia"/>
        </w:rPr>
        <w:t>詳見財政部網站對於</w:t>
      </w:r>
      <w:r w:rsidRPr="00CE2DF8">
        <w:rPr>
          <w:rFonts w:ascii="新細明體" w:eastAsia="新細明體" w:hAnsi="新細明體" w:hint="eastAsia"/>
          <w:color w:val="000000"/>
          <w:kern w:val="32"/>
          <w:szCs w:val="32"/>
        </w:rPr>
        <w:t>「</w:t>
      </w:r>
      <w:r w:rsidRPr="00CE2DF8">
        <w:rPr>
          <w:rFonts w:hAnsi="標楷體"/>
          <w:color w:val="000000"/>
          <w:szCs w:val="32"/>
        </w:rPr>
        <w:t>促參法</w:t>
      </w:r>
      <w:r w:rsidRPr="00CE2DF8">
        <w:rPr>
          <w:rFonts w:ascii="新細明體" w:eastAsia="新細明體" w:hAnsi="新細明體" w:hint="eastAsia"/>
          <w:color w:val="000000"/>
          <w:szCs w:val="32"/>
        </w:rPr>
        <w:t>」</w:t>
      </w:r>
      <w:r>
        <w:rPr>
          <w:rFonts w:hint="eastAsia"/>
        </w:rPr>
        <w:t>之相關說明。資料來源，同附註2。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613C6"/>
    <w:multiLevelType w:val="hybridMultilevel"/>
    <w:tmpl w:val="77EE7E4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78B1D39"/>
    <w:multiLevelType w:val="hybridMultilevel"/>
    <w:tmpl w:val="77EE7E4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088C1B1C"/>
    <w:multiLevelType w:val="hybridMultilevel"/>
    <w:tmpl w:val="55227330"/>
    <w:lvl w:ilvl="0" w:tplc="538A24F6">
      <w:start w:val="1"/>
      <w:numFmt w:val="decimal"/>
      <w:lvlText w:val="%1."/>
      <w:lvlJc w:val="left"/>
      <w:pPr>
        <w:ind w:left="480" w:hanging="480"/>
      </w:pPr>
      <w:rPr>
        <w:rFonts w:hAnsi="標楷體"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E353FE5"/>
    <w:multiLevelType w:val="hybridMultilevel"/>
    <w:tmpl w:val="6E262A7C"/>
    <w:lvl w:ilvl="0" w:tplc="F38491A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1522590"/>
    <w:multiLevelType w:val="hybridMultilevel"/>
    <w:tmpl w:val="75CC8BD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40E010C"/>
    <w:multiLevelType w:val="multilevel"/>
    <w:tmpl w:val="59FA55DE"/>
    <w:lvl w:ilvl="0">
      <w:start w:val="1"/>
      <w:numFmt w:val="ideographLegalTraditional"/>
      <w:pStyle w:val="1"/>
      <w:suff w:val="nothing"/>
      <w:lvlText w:val="%1、"/>
      <w:lvlJc w:val="left"/>
      <w:pPr>
        <w:ind w:left="2381" w:hanging="2381"/>
      </w:pPr>
      <w:rPr>
        <w:rFonts w:ascii="標楷體" w:eastAsia="標楷體" w:hint="eastAsia"/>
        <w:b/>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i w:val="0"/>
        <w:snapToGrid/>
        <w:color w:val="000000" w:themeColor="text1"/>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color w:val="000000" w:themeColor="text1"/>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221B1D5D"/>
    <w:multiLevelType w:val="hybridMultilevel"/>
    <w:tmpl w:val="E10C1EA4"/>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FCC6092"/>
    <w:multiLevelType w:val="hybridMultilevel"/>
    <w:tmpl w:val="F120FA58"/>
    <w:lvl w:ilvl="0" w:tplc="F2146B76">
      <w:start w:val="1"/>
      <w:numFmt w:val="decimal"/>
      <w:lvlText w:val="%1."/>
      <w:lvlJc w:val="left"/>
      <w:pPr>
        <w:ind w:left="495" w:hanging="495"/>
      </w:pPr>
      <w:rPr>
        <w:rFonts w:ascii="標楷體" w:eastAsia="標楷體" w:hAnsi="標楷體" w:cs="Times New Roman"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3B7B14F1"/>
    <w:multiLevelType w:val="hybridMultilevel"/>
    <w:tmpl w:val="C000700A"/>
    <w:lvl w:ilvl="0" w:tplc="0409000F">
      <w:start w:val="1"/>
      <w:numFmt w:val="decimal"/>
      <w:lvlText w:val="%1."/>
      <w:lvlJc w:val="left"/>
      <w:pPr>
        <w:ind w:left="1757" w:hanging="480"/>
      </w:pPr>
      <w:rPr>
        <w:rFonts w:hint="eastAsia"/>
        <w:spacing w:val="0"/>
        <w:kern w:val="0"/>
      </w:rPr>
    </w:lvl>
    <w:lvl w:ilvl="1" w:tplc="285E1300">
      <w:start w:val="1"/>
      <w:numFmt w:val="taiwaneseCountingThousand"/>
      <w:lvlText w:val="%2、"/>
      <w:lvlJc w:val="left"/>
      <w:pPr>
        <w:ind w:left="960" w:hanging="480"/>
      </w:pPr>
      <w:rPr>
        <w:rFonts w:hint="eastAsia"/>
        <w:spacing w:val="0"/>
        <w:kern w:val="0"/>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40D55E47"/>
    <w:multiLevelType w:val="hybridMultilevel"/>
    <w:tmpl w:val="6016B40A"/>
    <w:lvl w:ilvl="0" w:tplc="01264688">
      <w:start w:val="1"/>
      <w:numFmt w:val="decimal"/>
      <w:lvlText w:val="%1."/>
      <w:lvlJc w:val="left"/>
      <w:pPr>
        <w:ind w:left="465" w:hanging="465"/>
      </w:pPr>
      <w:rPr>
        <w:rFonts w:ascii="標楷體" w:eastAsia="標楷體" w:hAnsi="標楷體" w:cs="Times New Roman"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453F4B8B"/>
    <w:multiLevelType w:val="hybridMultilevel"/>
    <w:tmpl w:val="DA6C1DC0"/>
    <w:lvl w:ilvl="0" w:tplc="53F0A7CC">
      <w:start w:val="1"/>
      <w:numFmt w:val="decimal"/>
      <w:lvlText w:val="%1."/>
      <w:lvlJc w:val="left"/>
      <w:pPr>
        <w:ind w:left="390" w:hanging="390"/>
      </w:pPr>
      <w:rPr>
        <w:rFonts w:ascii="標楷體" w:hAnsi="標楷體" w:hint="default"/>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7037631"/>
    <w:multiLevelType w:val="hybridMultilevel"/>
    <w:tmpl w:val="4282D9C8"/>
    <w:lvl w:ilvl="0" w:tplc="A514812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98E19E3"/>
    <w:multiLevelType w:val="hybridMultilevel"/>
    <w:tmpl w:val="C000700A"/>
    <w:lvl w:ilvl="0" w:tplc="0409000F">
      <w:start w:val="1"/>
      <w:numFmt w:val="decimal"/>
      <w:lvlText w:val="%1."/>
      <w:lvlJc w:val="left"/>
      <w:pPr>
        <w:ind w:left="1757" w:hanging="480"/>
      </w:pPr>
      <w:rPr>
        <w:rFonts w:hint="eastAsia"/>
        <w:spacing w:val="0"/>
        <w:kern w:val="0"/>
      </w:rPr>
    </w:lvl>
    <w:lvl w:ilvl="1" w:tplc="285E1300">
      <w:start w:val="1"/>
      <w:numFmt w:val="taiwaneseCountingThousand"/>
      <w:lvlText w:val="%2、"/>
      <w:lvlJc w:val="left"/>
      <w:pPr>
        <w:ind w:left="960" w:hanging="480"/>
      </w:pPr>
      <w:rPr>
        <w:rFonts w:hint="eastAsia"/>
        <w:spacing w:val="0"/>
        <w:kern w:val="0"/>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68792902"/>
    <w:multiLevelType w:val="hybridMultilevel"/>
    <w:tmpl w:val="E10C1EA4"/>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68C52CFC"/>
    <w:multiLevelType w:val="hybridMultilevel"/>
    <w:tmpl w:val="8AF451C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6CCF7EEE"/>
    <w:multiLevelType w:val="hybridMultilevel"/>
    <w:tmpl w:val="8AF451C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772C3179"/>
    <w:multiLevelType w:val="hybridMultilevel"/>
    <w:tmpl w:val="75CC8BD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772F270B"/>
    <w:multiLevelType w:val="hybridMultilevel"/>
    <w:tmpl w:val="9B1C0460"/>
    <w:lvl w:ilvl="0" w:tplc="C7D271C8">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7C9A67F4"/>
    <w:multiLevelType w:val="hybridMultilevel"/>
    <w:tmpl w:val="57469DF0"/>
    <w:lvl w:ilvl="0" w:tplc="234EF15E">
      <w:start w:val="1"/>
      <w:numFmt w:val="decimal"/>
      <w:lvlText w:val="%1."/>
      <w:lvlJc w:val="left"/>
      <w:pPr>
        <w:ind w:left="510" w:hanging="510"/>
      </w:pPr>
      <w:rPr>
        <w:rFonts w:hint="default"/>
        <w:color w:val="000000" w:themeColor="text1"/>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4"/>
  </w:num>
  <w:num w:numId="2">
    <w:abstractNumId w:val="3"/>
  </w:num>
  <w:num w:numId="3">
    <w:abstractNumId w:val="12"/>
  </w:num>
  <w:num w:numId="4">
    <w:abstractNumId w:val="9"/>
  </w:num>
  <w:num w:numId="5">
    <w:abstractNumId w:val="22"/>
  </w:num>
  <w:num w:numId="6">
    <w:abstractNumId w:val="5"/>
  </w:num>
  <w:num w:numId="7">
    <w:abstractNumId w:val="20"/>
  </w:num>
  <w:num w:numId="8">
    <w:abstractNumId w:val="0"/>
  </w:num>
  <w:num w:numId="9">
    <w:abstractNumId w:val="10"/>
  </w:num>
  <w:num w:numId="10">
    <w:abstractNumId w:val="25"/>
  </w:num>
  <w:num w:numId="11">
    <w:abstractNumId w:val="15"/>
  </w:num>
  <w:num w:numId="12">
    <w:abstractNumId w:val="14"/>
  </w:num>
  <w:num w:numId="13">
    <w:abstractNumId w:val="24"/>
  </w:num>
  <w:num w:numId="14">
    <w:abstractNumId w:val="21"/>
  </w:num>
  <w:num w:numId="15">
    <w:abstractNumId w:val="23"/>
  </w:num>
  <w:num w:numId="16">
    <w:abstractNumId w:val="8"/>
  </w:num>
  <w:num w:numId="17">
    <w:abstractNumId w:val="1"/>
  </w:num>
  <w:num w:numId="18">
    <w:abstractNumId w:val="16"/>
  </w:num>
  <w:num w:numId="19">
    <w:abstractNumId w:val="17"/>
  </w:num>
  <w:num w:numId="20">
    <w:abstractNumId w:val="13"/>
  </w:num>
  <w:num w:numId="21">
    <w:abstractNumId w:val="7"/>
  </w:num>
  <w:num w:numId="22">
    <w:abstractNumId w:val="2"/>
  </w:num>
  <w:num w:numId="23">
    <w:abstractNumId w:val="18"/>
  </w:num>
  <w:num w:numId="24">
    <w:abstractNumId w:val="19"/>
  </w:num>
  <w:num w:numId="25">
    <w:abstractNumId w:val="11"/>
  </w:num>
  <w:num w:numId="26">
    <w:abstractNumId w:val="6"/>
  </w:num>
  <w:num w:numId="27">
    <w:abstractNumId w:val="6"/>
  </w:num>
  <w:num w:numId="28">
    <w:abstractNumId w:val="6"/>
  </w:num>
  <w:num w:numId="29">
    <w:abstractNumId w:val="6"/>
  </w:num>
  <w:num w:numId="30">
    <w:abstractNumId w:val="6"/>
  </w:num>
  <w:num w:numId="31">
    <w:abstractNumId w:val="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mirrorMargins/>
  <w:bordersDoNotSurroundHeader/>
  <w:bordersDoNotSurroundFooter/>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51"/>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38C9"/>
    <w:rsid w:val="00005578"/>
    <w:rsid w:val="0000559C"/>
    <w:rsid w:val="00006961"/>
    <w:rsid w:val="00010E5C"/>
    <w:rsid w:val="000112BF"/>
    <w:rsid w:val="00012233"/>
    <w:rsid w:val="00017318"/>
    <w:rsid w:val="00017B05"/>
    <w:rsid w:val="0002036D"/>
    <w:rsid w:val="00020F24"/>
    <w:rsid w:val="000246F7"/>
    <w:rsid w:val="000254CF"/>
    <w:rsid w:val="00025C91"/>
    <w:rsid w:val="00026A62"/>
    <w:rsid w:val="00026F7C"/>
    <w:rsid w:val="0003114D"/>
    <w:rsid w:val="00032156"/>
    <w:rsid w:val="00033EA0"/>
    <w:rsid w:val="000342AC"/>
    <w:rsid w:val="00036D76"/>
    <w:rsid w:val="00042040"/>
    <w:rsid w:val="0004344D"/>
    <w:rsid w:val="00051C34"/>
    <w:rsid w:val="00053A0E"/>
    <w:rsid w:val="00053D81"/>
    <w:rsid w:val="00057F32"/>
    <w:rsid w:val="00060C26"/>
    <w:rsid w:val="0006143B"/>
    <w:rsid w:val="00062A25"/>
    <w:rsid w:val="000637BC"/>
    <w:rsid w:val="000670F8"/>
    <w:rsid w:val="00073CB5"/>
    <w:rsid w:val="0007425C"/>
    <w:rsid w:val="00074F04"/>
    <w:rsid w:val="00077553"/>
    <w:rsid w:val="0008073A"/>
    <w:rsid w:val="000822E8"/>
    <w:rsid w:val="000825ED"/>
    <w:rsid w:val="0008282E"/>
    <w:rsid w:val="00084672"/>
    <w:rsid w:val="00084F6A"/>
    <w:rsid w:val="0008512E"/>
    <w:rsid w:val="000851A2"/>
    <w:rsid w:val="00087E7F"/>
    <w:rsid w:val="0009158C"/>
    <w:rsid w:val="00092E0F"/>
    <w:rsid w:val="0009352E"/>
    <w:rsid w:val="00093DED"/>
    <w:rsid w:val="00095CCC"/>
    <w:rsid w:val="000963D4"/>
    <w:rsid w:val="00096B96"/>
    <w:rsid w:val="00097FC4"/>
    <w:rsid w:val="000A059F"/>
    <w:rsid w:val="000A2F3F"/>
    <w:rsid w:val="000A3FCA"/>
    <w:rsid w:val="000A4974"/>
    <w:rsid w:val="000A7859"/>
    <w:rsid w:val="000B0B4A"/>
    <w:rsid w:val="000B2763"/>
    <w:rsid w:val="000B279A"/>
    <w:rsid w:val="000B3277"/>
    <w:rsid w:val="000B3451"/>
    <w:rsid w:val="000B40A1"/>
    <w:rsid w:val="000B61D2"/>
    <w:rsid w:val="000B61D6"/>
    <w:rsid w:val="000B61ED"/>
    <w:rsid w:val="000B6D77"/>
    <w:rsid w:val="000B70A7"/>
    <w:rsid w:val="000B73DD"/>
    <w:rsid w:val="000B7E8E"/>
    <w:rsid w:val="000C1B30"/>
    <w:rsid w:val="000C3C83"/>
    <w:rsid w:val="000C495F"/>
    <w:rsid w:val="000C64CE"/>
    <w:rsid w:val="000D0521"/>
    <w:rsid w:val="000D0524"/>
    <w:rsid w:val="000D4B40"/>
    <w:rsid w:val="000D600A"/>
    <w:rsid w:val="000D6425"/>
    <w:rsid w:val="000E0A6D"/>
    <w:rsid w:val="000E18CF"/>
    <w:rsid w:val="000E3E38"/>
    <w:rsid w:val="000E597B"/>
    <w:rsid w:val="000E6431"/>
    <w:rsid w:val="000E7DE9"/>
    <w:rsid w:val="000F1C6A"/>
    <w:rsid w:val="000F21A5"/>
    <w:rsid w:val="000F658C"/>
    <w:rsid w:val="000F65A2"/>
    <w:rsid w:val="00100261"/>
    <w:rsid w:val="0010296F"/>
    <w:rsid w:val="00102B9F"/>
    <w:rsid w:val="00106242"/>
    <w:rsid w:val="00111715"/>
    <w:rsid w:val="00112637"/>
    <w:rsid w:val="00112ABC"/>
    <w:rsid w:val="00114216"/>
    <w:rsid w:val="00115163"/>
    <w:rsid w:val="0012001E"/>
    <w:rsid w:val="00122DF0"/>
    <w:rsid w:val="00125632"/>
    <w:rsid w:val="00126A55"/>
    <w:rsid w:val="00133C68"/>
    <w:rsid w:val="00133F08"/>
    <w:rsid w:val="001345E6"/>
    <w:rsid w:val="0013460A"/>
    <w:rsid w:val="0013467E"/>
    <w:rsid w:val="0013526D"/>
    <w:rsid w:val="001378B0"/>
    <w:rsid w:val="00140552"/>
    <w:rsid w:val="00142E00"/>
    <w:rsid w:val="00145AF2"/>
    <w:rsid w:val="00146434"/>
    <w:rsid w:val="001475AA"/>
    <w:rsid w:val="0014769D"/>
    <w:rsid w:val="001476D3"/>
    <w:rsid w:val="00147984"/>
    <w:rsid w:val="001509EB"/>
    <w:rsid w:val="00152793"/>
    <w:rsid w:val="00153B7E"/>
    <w:rsid w:val="001545A9"/>
    <w:rsid w:val="00156D73"/>
    <w:rsid w:val="00161615"/>
    <w:rsid w:val="00162DAE"/>
    <w:rsid w:val="00163134"/>
    <w:rsid w:val="001637C7"/>
    <w:rsid w:val="0016425A"/>
    <w:rsid w:val="0016480E"/>
    <w:rsid w:val="00164A71"/>
    <w:rsid w:val="00164E90"/>
    <w:rsid w:val="001717F8"/>
    <w:rsid w:val="00174297"/>
    <w:rsid w:val="00174DA6"/>
    <w:rsid w:val="001779EC"/>
    <w:rsid w:val="00180E06"/>
    <w:rsid w:val="001817B3"/>
    <w:rsid w:val="00182526"/>
    <w:rsid w:val="00183014"/>
    <w:rsid w:val="001900B9"/>
    <w:rsid w:val="0019178B"/>
    <w:rsid w:val="0019585E"/>
    <w:rsid w:val="001959C2"/>
    <w:rsid w:val="00195EEE"/>
    <w:rsid w:val="00196046"/>
    <w:rsid w:val="001A11AA"/>
    <w:rsid w:val="001A4B1B"/>
    <w:rsid w:val="001A51E3"/>
    <w:rsid w:val="001A6073"/>
    <w:rsid w:val="001A6772"/>
    <w:rsid w:val="001A6EED"/>
    <w:rsid w:val="001A7968"/>
    <w:rsid w:val="001A7EB8"/>
    <w:rsid w:val="001B07F2"/>
    <w:rsid w:val="001B2E98"/>
    <w:rsid w:val="001B3483"/>
    <w:rsid w:val="001B3C1E"/>
    <w:rsid w:val="001B4494"/>
    <w:rsid w:val="001B5E90"/>
    <w:rsid w:val="001C0D8B"/>
    <w:rsid w:val="001C0DA8"/>
    <w:rsid w:val="001C24AC"/>
    <w:rsid w:val="001C57DD"/>
    <w:rsid w:val="001C6802"/>
    <w:rsid w:val="001D0A04"/>
    <w:rsid w:val="001D0CEC"/>
    <w:rsid w:val="001D18B5"/>
    <w:rsid w:val="001D4AD7"/>
    <w:rsid w:val="001D53AB"/>
    <w:rsid w:val="001D582C"/>
    <w:rsid w:val="001D7CBB"/>
    <w:rsid w:val="001E0D8A"/>
    <w:rsid w:val="001E1FEE"/>
    <w:rsid w:val="001E3097"/>
    <w:rsid w:val="001E559B"/>
    <w:rsid w:val="001E5DE2"/>
    <w:rsid w:val="001E67BA"/>
    <w:rsid w:val="001E6E30"/>
    <w:rsid w:val="001E74C2"/>
    <w:rsid w:val="001E7670"/>
    <w:rsid w:val="001F089B"/>
    <w:rsid w:val="001F10BE"/>
    <w:rsid w:val="001F2EFB"/>
    <w:rsid w:val="001F3DF0"/>
    <w:rsid w:val="001F4F82"/>
    <w:rsid w:val="001F5A48"/>
    <w:rsid w:val="001F6260"/>
    <w:rsid w:val="00200007"/>
    <w:rsid w:val="00200A4B"/>
    <w:rsid w:val="0020284A"/>
    <w:rsid w:val="002030A5"/>
    <w:rsid w:val="00203131"/>
    <w:rsid w:val="002043B9"/>
    <w:rsid w:val="002069C2"/>
    <w:rsid w:val="00207FAB"/>
    <w:rsid w:val="00210C47"/>
    <w:rsid w:val="00212E88"/>
    <w:rsid w:val="00213C9C"/>
    <w:rsid w:val="00217A64"/>
    <w:rsid w:val="0022009E"/>
    <w:rsid w:val="00222261"/>
    <w:rsid w:val="00223241"/>
    <w:rsid w:val="0022347A"/>
    <w:rsid w:val="0022425C"/>
    <w:rsid w:val="002246DE"/>
    <w:rsid w:val="00227BD9"/>
    <w:rsid w:val="00231BB9"/>
    <w:rsid w:val="002323B9"/>
    <w:rsid w:val="0023264F"/>
    <w:rsid w:val="00247A9A"/>
    <w:rsid w:val="0025009E"/>
    <w:rsid w:val="00252BC4"/>
    <w:rsid w:val="00254014"/>
    <w:rsid w:val="00254B39"/>
    <w:rsid w:val="0026267F"/>
    <w:rsid w:val="0026504D"/>
    <w:rsid w:val="002650C0"/>
    <w:rsid w:val="0026754C"/>
    <w:rsid w:val="00271DBA"/>
    <w:rsid w:val="00272249"/>
    <w:rsid w:val="002730C4"/>
    <w:rsid w:val="00273598"/>
    <w:rsid w:val="002736E8"/>
    <w:rsid w:val="00273A2F"/>
    <w:rsid w:val="0027468C"/>
    <w:rsid w:val="002759B4"/>
    <w:rsid w:val="00280986"/>
    <w:rsid w:val="00281ECE"/>
    <w:rsid w:val="002831C7"/>
    <w:rsid w:val="002840C6"/>
    <w:rsid w:val="00284258"/>
    <w:rsid w:val="00293CD3"/>
    <w:rsid w:val="00295174"/>
    <w:rsid w:val="00296172"/>
    <w:rsid w:val="00296B92"/>
    <w:rsid w:val="002A02DE"/>
    <w:rsid w:val="002A1918"/>
    <w:rsid w:val="002A2971"/>
    <w:rsid w:val="002A2C22"/>
    <w:rsid w:val="002A59C3"/>
    <w:rsid w:val="002A68E7"/>
    <w:rsid w:val="002B02EB"/>
    <w:rsid w:val="002B0D8B"/>
    <w:rsid w:val="002B0E4E"/>
    <w:rsid w:val="002B219D"/>
    <w:rsid w:val="002C0602"/>
    <w:rsid w:val="002C0AD4"/>
    <w:rsid w:val="002C3426"/>
    <w:rsid w:val="002C37E1"/>
    <w:rsid w:val="002C4F0F"/>
    <w:rsid w:val="002D20B4"/>
    <w:rsid w:val="002D26FF"/>
    <w:rsid w:val="002D3E31"/>
    <w:rsid w:val="002D3EED"/>
    <w:rsid w:val="002D5012"/>
    <w:rsid w:val="002D5C16"/>
    <w:rsid w:val="002D7359"/>
    <w:rsid w:val="002E01FD"/>
    <w:rsid w:val="002E15A1"/>
    <w:rsid w:val="002E161B"/>
    <w:rsid w:val="002E3F60"/>
    <w:rsid w:val="002E413B"/>
    <w:rsid w:val="002E4EFC"/>
    <w:rsid w:val="002E7B17"/>
    <w:rsid w:val="002F0F42"/>
    <w:rsid w:val="002F2476"/>
    <w:rsid w:val="002F2BDA"/>
    <w:rsid w:val="002F3DFF"/>
    <w:rsid w:val="002F5E05"/>
    <w:rsid w:val="002F5FD9"/>
    <w:rsid w:val="003039F2"/>
    <w:rsid w:val="00304981"/>
    <w:rsid w:val="00307A76"/>
    <w:rsid w:val="00310D6C"/>
    <w:rsid w:val="00311CEE"/>
    <w:rsid w:val="0031231A"/>
    <w:rsid w:val="00315A16"/>
    <w:rsid w:val="00315AD3"/>
    <w:rsid w:val="00316326"/>
    <w:rsid w:val="003163A7"/>
    <w:rsid w:val="00317053"/>
    <w:rsid w:val="00320B2C"/>
    <w:rsid w:val="0032109C"/>
    <w:rsid w:val="00322B45"/>
    <w:rsid w:val="00323809"/>
    <w:rsid w:val="00323892"/>
    <w:rsid w:val="00323D41"/>
    <w:rsid w:val="003250DF"/>
    <w:rsid w:val="00325414"/>
    <w:rsid w:val="00325737"/>
    <w:rsid w:val="0032677C"/>
    <w:rsid w:val="00327DB9"/>
    <w:rsid w:val="003302F1"/>
    <w:rsid w:val="00332396"/>
    <w:rsid w:val="00332D50"/>
    <w:rsid w:val="0033468B"/>
    <w:rsid w:val="00334870"/>
    <w:rsid w:val="003409EB"/>
    <w:rsid w:val="00343E39"/>
    <w:rsid w:val="0034470E"/>
    <w:rsid w:val="00347C8D"/>
    <w:rsid w:val="00350B5E"/>
    <w:rsid w:val="00352789"/>
    <w:rsid w:val="00352DB0"/>
    <w:rsid w:val="00352F06"/>
    <w:rsid w:val="00354397"/>
    <w:rsid w:val="00357B7E"/>
    <w:rsid w:val="00360808"/>
    <w:rsid w:val="00361063"/>
    <w:rsid w:val="0036268C"/>
    <w:rsid w:val="00364FE0"/>
    <w:rsid w:val="00366199"/>
    <w:rsid w:val="00366E92"/>
    <w:rsid w:val="003671B4"/>
    <w:rsid w:val="0037012B"/>
    <w:rsid w:val="0037094A"/>
    <w:rsid w:val="00371ED3"/>
    <w:rsid w:val="00372FFC"/>
    <w:rsid w:val="003741D9"/>
    <w:rsid w:val="0037728A"/>
    <w:rsid w:val="00380B7D"/>
    <w:rsid w:val="00381A99"/>
    <w:rsid w:val="00381FE7"/>
    <w:rsid w:val="003829C2"/>
    <w:rsid w:val="003830B2"/>
    <w:rsid w:val="003838DA"/>
    <w:rsid w:val="00384724"/>
    <w:rsid w:val="00384F38"/>
    <w:rsid w:val="00385669"/>
    <w:rsid w:val="003919B7"/>
    <w:rsid w:val="00391D57"/>
    <w:rsid w:val="00392292"/>
    <w:rsid w:val="00394F45"/>
    <w:rsid w:val="00397EB4"/>
    <w:rsid w:val="003A0864"/>
    <w:rsid w:val="003A23B4"/>
    <w:rsid w:val="003A2741"/>
    <w:rsid w:val="003A370D"/>
    <w:rsid w:val="003A52AF"/>
    <w:rsid w:val="003A5927"/>
    <w:rsid w:val="003A7757"/>
    <w:rsid w:val="003B1017"/>
    <w:rsid w:val="003B2198"/>
    <w:rsid w:val="003B3B94"/>
    <w:rsid w:val="003B3C07"/>
    <w:rsid w:val="003B4312"/>
    <w:rsid w:val="003B52B9"/>
    <w:rsid w:val="003B6081"/>
    <w:rsid w:val="003B6183"/>
    <w:rsid w:val="003B6775"/>
    <w:rsid w:val="003C05A6"/>
    <w:rsid w:val="003C0D69"/>
    <w:rsid w:val="003C12D0"/>
    <w:rsid w:val="003C1F68"/>
    <w:rsid w:val="003C2E7D"/>
    <w:rsid w:val="003C54BE"/>
    <w:rsid w:val="003C54F4"/>
    <w:rsid w:val="003C5FE2"/>
    <w:rsid w:val="003C76CF"/>
    <w:rsid w:val="003D05FB"/>
    <w:rsid w:val="003D0D79"/>
    <w:rsid w:val="003D1B16"/>
    <w:rsid w:val="003D45BF"/>
    <w:rsid w:val="003D4BF8"/>
    <w:rsid w:val="003D508A"/>
    <w:rsid w:val="003D537F"/>
    <w:rsid w:val="003D7B75"/>
    <w:rsid w:val="003E0208"/>
    <w:rsid w:val="003E092D"/>
    <w:rsid w:val="003E113B"/>
    <w:rsid w:val="003E4B57"/>
    <w:rsid w:val="003E6994"/>
    <w:rsid w:val="003E6E55"/>
    <w:rsid w:val="003E779C"/>
    <w:rsid w:val="003E7EE5"/>
    <w:rsid w:val="003F1D0D"/>
    <w:rsid w:val="003F27E1"/>
    <w:rsid w:val="003F437A"/>
    <w:rsid w:val="003F5C2B"/>
    <w:rsid w:val="00401778"/>
    <w:rsid w:val="00402240"/>
    <w:rsid w:val="0040226F"/>
    <w:rsid w:val="004023E9"/>
    <w:rsid w:val="0040454A"/>
    <w:rsid w:val="00404E46"/>
    <w:rsid w:val="00404FCE"/>
    <w:rsid w:val="004051CA"/>
    <w:rsid w:val="00405407"/>
    <w:rsid w:val="0040696C"/>
    <w:rsid w:val="00413F83"/>
    <w:rsid w:val="0041490C"/>
    <w:rsid w:val="00416191"/>
    <w:rsid w:val="00416721"/>
    <w:rsid w:val="0042085F"/>
    <w:rsid w:val="00421EF0"/>
    <w:rsid w:val="004224FA"/>
    <w:rsid w:val="00423135"/>
    <w:rsid w:val="00423D07"/>
    <w:rsid w:val="00423F12"/>
    <w:rsid w:val="00425540"/>
    <w:rsid w:val="00426B0C"/>
    <w:rsid w:val="00427936"/>
    <w:rsid w:val="00434FA5"/>
    <w:rsid w:val="0044346F"/>
    <w:rsid w:val="00445D0C"/>
    <w:rsid w:val="00450B29"/>
    <w:rsid w:val="004520AD"/>
    <w:rsid w:val="0045243A"/>
    <w:rsid w:val="0045502E"/>
    <w:rsid w:val="00456371"/>
    <w:rsid w:val="00457D7D"/>
    <w:rsid w:val="00462DE2"/>
    <w:rsid w:val="0046520A"/>
    <w:rsid w:val="004672AB"/>
    <w:rsid w:val="004714FE"/>
    <w:rsid w:val="004739F9"/>
    <w:rsid w:val="00476993"/>
    <w:rsid w:val="00477BAA"/>
    <w:rsid w:val="00481254"/>
    <w:rsid w:val="00481364"/>
    <w:rsid w:val="004828D1"/>
    <w:rsid w:val="00483D53"/>
    <w:rsid w:val="00484180"/>
    <w:rsid w:val="0048449A"/>
    <w:rsid w:val="0048704B"/>
    <w:rsid w:val="00490A56"/>
    <w:rsid w:val="004914C9"/>
    <w:rsid w:val="00495053"/>
    <w:rsid w:val="004963AC"/>
    <w:rsid w:val="0049762B"/>
    <w:rsid w:val="004A0B54"/>
    <w:rsid w:val="004A1F59"/>
    <w:rsid w:val="004A29BE"/>
    <w:rsid w:val="004A3225"/>
    <w:rsid w:val="004A33EE"/>
    <w:rsid w:val="004A3AA8"/>
    <w:rsid w:val="004A63E4"/>
    <w:rsid w:val="004A72B5"/>
    <w:rsid w:val="004A75F6"/>
    <w:rsid w:val="004B13C7"/>
    <w:rsid w:val="004B4B46"/>
    <w:rsid w:val="004B6231"/>
    <w:rsid w:val="004B778F"/>
    <w:rsid w:val="004C04DC"/>
    <w:rsid w:val="004C0609"/>
    <w:rsid w:val="004C10AF"/>
    <w:rsid w:val="004C355E"/>
    <w:rsid w:val="004C3639"/>
    <w:rsid w:val="004C6EA6"/>
    <w:rsid w:val="004C7FAA"/>
    <w:rsid w:val="004D141F"/>
    <w:rsid w:val="004D2742"/>
    <w:rsid w:val="004D43A4"/>
    <w:rsid w:val="004D6310"/>
    <w:rsid w:val="004E0062"/>
    <w:rsid w:val="004E05A1"/>
    <w:rsid w:val="004E14FE"/>
    <w:rsid w:val="004E19FB"/>
    <w:rsid w:val="004E1DD2"/>
    <w:rsid w:val="004E4C3D"/>
    <w:rsid w:val="004F2F94"/>
    <w:rsid w:val="004F5E57"/>
    <w:rsid w:val="004F6553"/>
    <w:rsid w:val="004F6710"/>
    <w:rsid w:val="004F771F"/>
    <w:rsid w:val="004F7986"/>
    <w:rsid w:val="004F7CD3"/>
    <w:rsid w:val="00500C3E"/>
    <w:rsid w:val="00502849"/>
    <w:rsid w:val="00504334"/>
    <w:rsid w:val="0050498D"/>
    <w:rsid w:val="00505F33"/>
    <w:rsid w:val="005075D4"/>
    <w:rsid w:val="00507763"/>
    <w:rsid w:val="00507F45"/>
    <w:rsid w:val="005104D7"/>
    <w:rsid w:val="00510B9E"/>
    <w:rsid w:val="005135E8"/>
    <w:rsid w:val="00517D98"/>
    <w:rsid w:val="005228AB"/>
    <w:rsid w:val="005247F2"/>
    <w:rsid w:val="00526DDA"/>
    <w:rsid w:val="00531F22"/>
    <w:rsid w:val="005337D5"/>
    <w:rsid w:val="00534828"/>
    <w:rsid w:val="00536104"/>
    <w:rsid w:val="00536BC2"/>
    <w:rsid w:val="00540F50"/>
    <w:rsid w:val="005425E1"/>
    <w:rsid w:val="005427C5"/>
    <w:rsid w:val="00542CF6"/>
    <w:rsid w:val="005457A1"/>
    <w:rsid w:val="00550900"/>
    <w:rsid w:val="00551865"/>
    <w:rsid w:val="00553871"/>
    <w:rsid w:val="00553C03"/>
    <w:rsid w:val="005540C9"/>
    <w:rsid w:val="00554676"/>
    <w:rsid w:val="0055533C"/>
    <w:rsid w:val="005608CA"/>
    <w:rsid w:val="00560A97"/>
    <w:rsid w:val="005625D7"/>
    <w:rsid w:val="00563692"/>
    <w:rsid w:val="00563A4C"/>
    <w:rsid w:val="00567C23"/>
    <w:rsid w:val="00571250"/>
    <w:rsid w:val="00571679"/>
    <w:rsid w:val="005716DE"/>
    <w:rsid w:val="00573E18"/>
    <w:rsid w:val="005844E7"/>
    <w:rsid w:val="00586722"/>
    <w:rsid w:val="00587C6A"/>
    <w:rsid w:val="005908B8"/>
    <w:rsid w:val="00592548"/>
    <w:rsid w:val="005925C7"/>
    <w:rsid w:val="00592A65"/>
    <w:rsid w:val="00593657"/>
    <w:rsid w:val="005939CC"/>
    <w:rsid w:val="00593F9E"/>
    <w:rsid w:val="0059512E"/>
    <w:rsid w:val="005A6DD2"/>
    <w:rsid w:val="005A6FAE"/>
    <w:rsid w:val="005A7EB0"/>
    <w:rsid w:val="005B00EA"/>
    <w:rsid w:val="005B45FA"/>
    <w:rsid w:val="005B5406"/>
    <w:rsid w:val="005C161E"/>
    <w:rsid w:val="005C1817"/>
    <w:rsid w:val="005C2638"/>
    <w:rsid w:val="005C385D"/>
    <w:rsid w:val="005C47A4"/>
    <w:rsid w:val="005C5A7B"/>
    <w:rsid w:val="005C65B0"/>
    <w:rsid w:val="005D3B20"/>
    <w:rsid w:val="005D5884"/>
    <w:rsid w:val="005E1458"/>
    <w:rsid w:val="005E4759"/>
    <w:rsid w:val="005E5C68"/>
    <w:rsid w:val="005E6141"/>
    <w:rsid w:val="005E617E"/>
    <w:rsid w:val="005E65C0"/>
    <w:rsid w:val="005E740D"/>
    <w:rsid w:val="005E7EF5"/>
    <w:rsid w:val="005F0390"/>
    <w:rsid w:val="005F1A86"/>
    <w:rsid w:val="005F2CDE"/>
    <w:rsid w:val="005F4144"/>
    <w:rsid w:val="005F42CC"/>
    <w:rsid w:val="005F6A14"/>
    <w:rsid w:val="005F764A"/>
    <w:rsid w:val="005F7944"/>
    <w:rsid w:val="00600C09"/>
    <w:rsid w:val="0060210C"/>
    <w:rsid w:val="00603E89"/>
    <w:rsid w:val="006072CD"/>
    <w:rsid w:val="00610D1C"/>
    <w:rsid w:val="006113C5"/>
    <w:rsid w:val="00612023"/>
    <w:rsid w:val="00614190"/>
    <w:rsid w:val="00615066"/>
    <w:rsid w:val="0061526B"/>
    <w:rsid w:val="006153EA"/>
    <w:rsid w:val="006159F9"/>
    <w:rsid w:val="006163DF"/>
    <w:rsid w:val="0061697D"/>
    <w:rsid w:val="006205D6"/>
    <w:rsid w:val="00621C18"/>
    <w:rsid w:val="00622A99"/>
    <w:rsid w:val="00622E67"/>
    <w:rsid w:val="00623123"/>
    <w:rsid w:val="006240CC"/>
    <w:rsid w:val="00626EDC"/>
    <w:rsid w:val="00633ABD"/>
    <w:rsid w:val="00635633"/>
    <w:rsid w:val="006470EC"/>
    <w:rsid w:val="00651D9A"/>
    <w:rsid w:val="00652F0B"/>
    <w:rsid w:val="006542D6"/>
    <w:rsid w:val="0065598E"/>
    <w:rsid w:val="00655AF2"/>
    <w:rsid w:val="00655BC5"/>
    <w:rsid w:val="006568BE"/>
    <w:rsid w:val="0066025D"/>
    <w:rsid w:val="0066091A"/>
    <w:rsid w:val="00676D04"/>
    <w:rsid w:val="006773EC"/>
    <w:rsid w:val="00680504"/>
    <w:rsid w:val="006813B9"/>
    <w:rsid w:val="00681B62"/>
    <w:rsid w:val="00681CD9"/>
    <w:rsid w:val="0068284D"/>
    <w:rsid w:val="00682A49"/>
    <w:rsid w:val="00683664"/>
    <w:rsid w:val="00683E30"/>
    <w:rsid w:val="00684897"/>
    <w:rsid w:val="00684E1A"/>
    <w:rsid w:val="00687024"/>
    <w:rsid w:val="006874E8"/>
    <w:rsid w:val="00690488"/>
    <w:rsid w:val="006935FB"/>
    <w:rsid w:val="00695E22"/>
    <w:rsid w:val="006A5C61"/>
    <w:rsid w:val="006B26FA"/>
    <w:rsid w:val="006B5E3F"/>
    <w:rsid w:val="006B6B9C"/>
    <w:rsid w:val="006B7093"/>
    <w:rsid w:val="006B7417"/>
    <w:rsid w:val="006B7DB3"/>
    <w:rsid w:val="006C0213"/>
    <w:rsid w:val="006C1BA3"/>
    <w:rsid w:val="006C1BA6"/>
    <w:rsid w:val="006C2771"/>
    <w:rsid w:val="006C3DE5"/>
    <w:rsid w:val="006C7BC9"/>
    <w:rsid w:val="006D2F0B"/>
    <w:rsid w:val="006D3691"/>
    <w:rsid w:val="006D53DE"/>
    <w:rsid w:val="006D5AC8"/>
    <w:rsid w:val="006D5D27"/>
    <w:rsid w:val="006E012D"/>
    <w:rsid w:val="006E5EF0"/>
    <w:rsid w:val="006F3563"/>
    <w:rsid w:val="006F42B9"/>
    <w:rsid w:val="006F4332"/>
    <w:rsid w:val="006F4CCB"/>
    <w:rsid w:val="006F6077"/>
    <w:rsid w:val="006F6103"/>
    <w:rsid w:val="00700214"/>
    <w:rsid w:val="00700305"/>
    <w:rsid w:val="00704269"/>
    <w:rsid w:val="00704E00"/>
    <w:rsid w:val="00707699"/>
    <w:rsid w:val="0071010F"/>
    <w:rsid w:val="007108BB"/>
    <w:rsid w:val="007124B7"/>
    <w:rsid w:val="00713254"/>
    <w:rsid w:val="00716D0F"/>
    <w:rsid w:val="0071761E"/>
    <w:rsid w:val="007209E7"/>
    <w:rsid w:val="00722BFF"/>
    <w:rsid w:val="00724ECB"/>
    <w:rsid w:val="00725F55"/>
    <w:rsid w:val="00726182"/>
    <w:rsid w:val="00727635"/>
    <w:rsid w:val="00732329"/>
    <w:rsid w:val="0073269F"/>
    <w:rsid w:val="007337CA"/>
    <w:rsid w:val="00734CE4"/>
    <w:rsid w:val="00734FEB"/>
    <w:rsid w:val="00735123"/>
    <w:rsid w:val="0073798A"/>
    <w:rsid w:val="00740747"/>
    <w:rsid w:val="00741837"/>
    <w:rsid w:val="007453E6"/>
    <w:rsid w:val="007463B6"/>
    <w:rsid w:val="00750A63"/>
    <w:rsid w:val="00753FA9"/>
    <w:rsid w:val="00756810"/>
    <w:rsid w:val="0075717F"/>
    <w:rsid w:val="007633F6"/>
    <w:rsid w:val="007633F9"/>
    <w:rsid w:val="00765305"/>
    <w:rsid w:val="00767E25"/>
    <w:rsid w:val="007724E2"/>
    <w:rsid w:val="0077309D"/>
    <w:rsid w:val="00774114"/>
    <w:rsid w:val="007750B3"/>
    <w:rsid w:val="0077549E"/>
    <w:rsid w:val="007774EE"/>
    <w:rsid w:val="00781081"/>
    <w:rsid w:val="00781822"/>
    <w:rsid w:val="00781A4D"/>
    <w:rsid w:val="00781D97"/>
    <w:rsid w:val="00783F21"/>
    <w:rsid w:val="00787159"/>
    <w:rsid w:val="007872C4"/>
    <w:rsid w:val="00787674"/>
    <w:rsid w:val="0079043A"/>
    <w:rsid w:val="00791668"/>
    <w:rsid w:val="00791AA1"/>
    <w:rsid w:val="00793C4A"/>
    <w:rsid w:val="00794916"/>
    <w:rsid w:val="0079563C"/>
    <w:rsid w:val="007A07AE"/>
    <w:rsid w:val="007A20E4"/>
    <w:rsid w:val="007A212C"/>
    <w:rsid w:val="007A3793"/>
    <w:rsid w:val="007A40A3"/>
    <w:rsid w:val="007A4891"/>
    <w:rsid w:val="007A79AA"/>
    <w:rsid w:val="007B15D0"/>
    <w:rsid w:val="007C0F55"/>
    <w:rsid w:val="007C174B"/>
    <w:rsid w:val="007C1BA2"/>
    <w:rsid w:val="007C256D"/>
    <w:rsid w:val="007C25DE"/>
    <w:rsid w:val="007C25F3"/>
    <w:rsid w:val="007C2B48"/>
    <w:rsid w:val="007C524F"/>
    <w:rsid w:val="007C560A"/>
    <w:rsid w:val="007C5894"/>
    <w:rsid w:val="007C6D9D"/>
    <w:rsid w:val="007C6F7A"/>
    <w:rsid w:val="007D0BF1"/>
    <w:rsid w:val="007D0C6A"/>
    <w:rsid w:val="007D11D1"/>
    <w:rsid w:val="007D12BA"/>
    <w:rsid w:val="007D20E9"/>
    <w:rsid w:val="007D70AD"/>
    <w:rsid w:val="007D7881"/>
    <w:rsid w:val="007D7E3A"/>
    <w:rsid w:val="007E0E10"/>
    <w:rsid w:val="007E1A54"/>
    <w:rsid w:val="007E1B2C"/>
    <w:rsid w:val="007E4768"/>
    <w:rsid w:val="007E513C"/>
    <w:rsid w:val="007E6656"/>
    <w:rsid w:val="007E694F"/>
    <w:rsid w:val="007E6DAB"/>
    <w:rsid w:val="007E777B"/>
    <w:rsid w:val="007E7B0F"/>
    <w:rsid w:val="007F0842"/>
    <w:rsid w:val="007F2070"/>
    <w:rsid w:val="007F57A6"/>
    <w:rsid w:val="007F7DA1"/>
    <w:rsid w:val="00800125"/>
    <w:rsid w:val="00801442"/>
    <w:rsid w:val="00802616"/>
    <w:rsid w:val="00803D49"/>
    <w:rsid w:val="00804BD7"/>
    <w:rsid w:val="008053F5"/>
    <w:rsid w:val="0080546B"/>
    <w:rsid w:val="00805BCB"/>
    <w:rsid w:val="00805FFA"/>
    <w:rsid w:val="00807AF7"/>
    <w:rsid w:val="00810198"/>
    <w:rsid w:val="0081450A"/>
    <w:rsid w:val="008152E3"/>
    <w:rsid w:val="00815DA8"/>
    <w:rsid w:val="0082194D"/>
    <w:rsid w:val="008221F9"/>
    <w:rsid w:val="00826EF5"/>
    <w:rsid w:val="00830EBA"/>
    <w:rsid w:val="00831693"/>
    <w:rsid w:val="00833B4C"/>
    <w:rsid w:val="00840104"/>
    <w:rsid w:val="00840C1F"/>
    <w:rsid w:val="00840D8C"/>
    <w:rsid w:val="008414BE"/>
    <w:rsid w:val="00841FC5"/>
    <w:rsid w:val="00845709"/>
    <w:rsid w:val="00846DF8"/>
    <w:rsid w:val="008472EE"/>
    <w:rsid w:val="0085032D"/>
    <w:rsid w:val="008507B1"/>
    <w:rsid w:val="00851E0C"/>
    <w:rsid w:val="008576BD"/>
    <w:rsid w:val="00857BA1"/>
    <w:rsid w:val="00860463"/>
    <w:rsid w:val="008619E6"/>
    <w:rsid w:val="00864610"/>
    <w:rsid w:val="00865F82"/>
    <w:rsid w:val="008678AD"/>
    <w:rsid w:val="00867CDE"/>
    <w:rsid w:val="00867EEA"/>
    <w:rsid w:val="008733DA"/>
    <w:rsid w:val="008733E7"/>
    <w:rsid w:val="008777C7"/>
    <w:rsid w:val="008807C8"/>
    <w:rsid w:val="00883486"/>
    <w:rsid w:val="0088352C"/>
    <w:rsid w:val="008850E4"/>
    <w:rsid w:val="00885516"/>
    <w:rsid w:val="00885E8F"/>
    <w:rsid w:val="00887DCE"/>
    <w:rsid w:val="0089050E"/>
    <w:rsid w:val="00891B04"/>
    <w:rsid w:val="0089202E"/>
    <w:rsid w:val="008939AB"/>
    <w:rsid w:val="00893ED3"/>
    <w:rsid w:val="00893EFE"/>
    <w:rsid w:val="00895492"/>
    <w:rsid w:val="00895AB8"/>
    <w:rsid w:val="008A12F5"/>
    <w:rsid w:val="008A46D3"/>
    <w:rsid w:val="008B0AF8"/>
    <w:rsid w:val="008B11F1"/>
    <w:rsid w:val="008B1587"/>
    <w:rsid w:val="008B1B01"/>
    <w:rsid w:val="008B3BCD"/>
    <w:rsid w:val="008B5C26"/>
    <w:rsid w:val="008B6DF8"/>
    <w:rsid w:val="008B75CC"/>
    <w:rsid w:val="008C035E"/>
    <w:rsid w:val="008C106C"/>
    <w:rsid w:val="008C10F1"/>
    <w:rsid w:val="008C1926"/>
    <w:rsid w:val="008C1E99"/>
    <w:rsid w:val="008C5747"/>
    <w:rsid w:val="008D0B8D"/>
    <w:rsid w:val="008D4FA8"/>
    <w:rsid w:val="008D60F2"/>
    <w:rsid w:val="008D6686"/>
    <w:rsid w:val="008D72BC"/>
    <w:rsid w:val="008D7AE3"/>
    <w:rsid w:val="008E0085"/>
    <w:rsid w:val="008E197A"/>
    <w:rsid w:val="008E1A39"/>
    <w:rsid w:val="008E215D"/>
    <w:rsid w:val="008E2AA6"/>
    <w:rsid w:val="008E2C42"/>
    <w:rsid w:val="008E311B"/>
    <w:rsid w:val="008E3587"/>
    <w:rsid w:val="008E3BD3"/>
    <w:rsid w:val="008E4576"/>
    <w:rsid w:val="008E5993"/>
    <w:rsid w:val="008E63AF"/>
    <w:rsid w:val="008E6DB8"/>
    <w:rsid w:val="008F09FD"/>
    <w:rsid w:val="008F2E92"/>
    <w:rsid w:val="008F46E7"/>
    <w:rsid w:val="008F648A"/>
    <w:rsid w:val="008F6F0B"/>
    <w:rsid w:val="008F7236"/>
    <w:rsid w:val="00901431"/>
    <w:rsid w:val="00904FF4"/>
    <w:rsid w:val="00905E70"/>
    <w:rsid w:val="00906153"/>
    <w:rsid w:val="00907BA7"/>
    <w:rsid w:val="009101BF"/>
    <w:rsid w:val="0091064E"/>
    <w:rsid w:val="00911FC5"/>
    <w:rsid w:val="009121CF"/>
    <w:rsid w:val="0091422E"/>
    <w:rsid w:val="00914FA2"/>
    <w:rsid w:val="00916775"/>
    <w:rsid w:val="00916D70"/>
    <w:rsid w:val="00920D31"/>
    <w:rsid w:val="00921A0C"/>
    <w:rsid w:val="00925A83"/>
    <w:rsid w:val="009303E7"/>
    <w:rsid w:val="00931A10"/>
    <w:rsid w:val="009332FD"/>
    <w:rsid w:val="0093508E"/>
    <w:rsid w:val="00936D69"/>
    <w:rsid w:val="00937192"/>
    <w:rsid w:val="00941524"/>
    <w:rsid w:val="00941D6E"/>
    <w:rsid w:val="00943564"/>
    <w:rsid w:val="00943E17"/>
    <w:rsid w:val="00947967"/>
    <w:rsid w:val="0095207D"/>
    <w:rsid w:val="00953C98"/>
    <w:rsid w:val="00953EA1"/>
    <w:rsid w:val="00955201"/>
    <w:rsid w:val="009569FC"/>
    <w:rsid w:val="009579B1"/>
    <w:rsid w:val="00960CC9"/>
    <w:rsid w:val="00961D9C"/>
    <w:rsid w:val="00962631"/>
    <w:rsid w:val="0096473A"/>
    <w:rsid w:val="00965200"/>
    <w:rsid w:val="00965F5A"/>
    <w:rsid w:val="009668B3"/>
    <w:rsid w:val="00967F57"/>
    <w:rsid w:val="00970872"/>
    <w:rsid w:val="00971471"/>
    <w:rsid w:val="00975BFD"/>
    <w:rsid w:val="00976352"/>
    <w:rsid w:val="009763AA"/>
    <w:rsid w:val="00977472"/>
    <w:rsid w:val="00980E28"/>
    <w:rsid w:val="009832FD"/>
    <w:rsid w:val="009849C2"/>
    <w:rsid w:val="00984D24"/>
    <w:rsid w:val="009858EB"/>
    <w:rsid w:val="009900D7"/>
    <w:rsid w:val="0099083D"/>
    <w:rsid w:val="009A1144"/>
    <w:rsid w:val="009A3B42"/>
    <w:rsid w:val="009A3F47"/>
    <w:rsid w:val="009A66BE"/>
    <w:rsid w:val="009B0046"/>
    <w:rsid w:val="009B11DD"/>
    <w:rsid w:val="009B37B4"/>
    <w:rsid w:val="009B4EC4"/>
    <w:rsid w:val="009B78C7"/>
    <w:rsid w:val="009B7C8E"/>
    <w:rsid w:val="009C1440"/>
    <w:rsid w:val="009C15CA"/>
    <w:rsid w:val="009C2107"/>
    <w:rsid w:val="009C2A65"/>
    <w:rsid w:val="009C4A02"/>
    <w:rsid w:val="009C5D9E"/>
    <w:rsid w:val="009C7384"/>
    <w:rsid w:val="009D08B1"/>
    <w:rsid w:val="009D1E66"/>
    <w:rsid w:val="009D2C3E"/>
    <w:rsid w:val="009D2D43"/>
    <w:rsid w:val="009D4094"/>
    <w:rsid w:val="009D4C2A"/>
    <w:rsid w:val="009D5CB3"/>
    <w:rsid w:val="009D74CC"/>
    <w:rsid w:val="009E0625"/>
    <w:rsid w:val="009E0B10"/>
    <w:rsid w:val="009E1DAF"/>
    <w:rsid w:val="009E3034"/>
    <w:rsid w:val="009E47D4"/>
    <w:rsid w:val="009E549F"/>
    <w:rsid w:val="009E7333"/>
    <w:rsid w:val="009F278E"/>
    <w:rsid w:val="009F28A8"/>
    <w:rsid w:val="009F2916"/>
    <w:rsid w:val="009F2FB8"/>
    <w:rsid w:val="009F473E"/>
    <w:rsid w:val="009F682A"/>
    <w:rsid w:val="00A0062F"/>
    <w:rsid w:val="00A022BE"/>
    <w:rsid w:val="00A04A78"/>
    <w:rsid w:val="00A0660C"/>
    <w:rsid w:val="00A07088"/>
    <w:rsid w:val="00A07B4B"/>
    <w:rsid w:val="00A121AB"/>
    <w:rsid w:val="00A13641"/>
    <w:rsid w:val="00A16D31"/>
    <w:rsid w:val="00A17A81"/>
    <w:rsid w:val="00A2201F"/>
    <w:rsid w:val="00A2297A"/>
    <w:rsid w:val="00A24302"/>
    <w:rsid w:val="00A24C95"/>
    <w:rsid w:val="00A2599A"/>
    <w:rsid w:val="00A26094"/>
    <w:rsid w:val="00A301BF"/>
    <w:rsid w:val="00A302B2"/>
    <w:rsid w:val="00A331B4"/>
    <w:rsid w:val="00A3351F"/>
    <w:rsid w:val="00A33F21"/>
    <w:rsid w:val="00A3484E"/>
    <w:rsid w:val="00A354EC"/>
    <w:rsid w:val="00A356D3"/>
    <w:rsid w:val="00A36ADA"/>
    <w:rsid w:val="00A3726D"/>
    <w:rsid w:val="00A40B38"/>
    <w:rsid w:val="00A40DB2"/>
    <w:rsid w:val="00A438D8"/>
    <w:rsid w:val="00A44265"/>
    <w:rsid w:val="00A4444A"/>
    <w:rsid w:val="00A45505"/>
    <w:rsid w:val="00A46C4F"/>
    <w:rsid w:val="00A46EC2"/>
    <w:rsid w:val="00A473F5"/>
    <w:rsid w:val="00A506DD"/>
    <w:rsid w:val="00A51F9D"/>
    <w:rsid w:val="00A52237"/>
    <w:rsid w:val="00A53AC9"/>
    <w:rsid w:val="00A5416A"/>
    <w:rsid w:val="00A55F4A"/>
    <w:rsid w:val="00A57725"/>
    <w:rsid w:val="00A57E8C"/>
    <w:rsid w:val="00A637A7"/>
    <w:rsid w:val="00A639F4"/>
    <w:rsid w:val="00A70324"/>
    <w:rsid w:val="00A75AD2"/>
    <w:rsid w:val="00A81A32"/>
    <w:rsid w:val="00A82011"/>
    <w:rsid w:val="00A835BD"/>
    <w:rsid w:val="00A83F26"/>
    <w:rsid w:val="00A841A2"/>
    <w:rsid w:val="00A92D6E"/>
    <w:rsid w:val="00A95DB1"/>
    <w:rsid w:val="00A95EF4"/>
    <w:rsid w:val="00A96EFA"/>
    <w:rsid w:val="00A97B13"/>
    <w:rsid w:val="00A97B15"/>
    <w:rsid w:val="00AA07B2"/>
    <w:rsid w:val="00AA2AD3"/>
    <w:rsid w:val="00AA2DF2"/>
    <w:rsid w:val="00AA42D5"/>
    <w:rsid w:val="00AA46AC"/>
    <w:rsid w:val="00AA4E95"/>
    <w:rsid w:val="00AA6F46"/>
    <w:rsid w:val="00AB0587"/>
    <w:rsid w:val="00AB1005"/>
    <w:rsid w:val="00AB255B"/>
    <w:rsid w:val="00AB2FAB"/>
    <w:rsid w:val="00AB30DC"/>
    <w:rsid w:val="00AB4A18"/>
    <w:rsid w:val="00AB5657"/>
    <w:rsid w:val="00AB5C14"/>
    <w:rsid w:val="00AC1EE7"/>
    <w:rsid w:val="00AC2088"/>
    <w:rsid w:val="00AC333F"/>
    <w:rsid w:val="00AC34D6"/>
    <w:rsid w:val="00AC519D"/>
    <w:rsid w:val="00AC585C"/>
    <w:rsid w:val="00AC6509"/>
    <w:rsid w:val="00AD1925"/>
    <w:rsid w:val="00AD5F70"/>
    <w:rsid w:val="00AE067D"/>
    <w:rsid w:val="00AE1B39"/>
    <w:rsid w:val="00AE3ABE"/>
    <w:rsid w:val="00AE3E76"/>
    <w:rsid w:val="00AE4178"/>
    <w:rsid w:val="00AE68C8"/>
    <w:rsid w:val="00AE74BC"/>
    <w:rsid w:val="00AE7726"/>
    <w:rsid w:val="00AE7E03"/>
    <w:rsid w:val="00AF1181"/>
    <w:rsid w:val="00AF2F79"/>
    <w:rsid w:val="00AF3ED4"/>
    <w:rsid w:val="00AF4653"/>
    <w:rsid w:val="00AF4765"/>
    <w:rsid w:val="00AF4E72"/>
    <w:rsid w:val="00AF4FB6"/>
    <w:rsid w:val="00AF5BF6"/>
    <w:rsid w:val="00AF6761"/>
    <w:rsid w:val="00AF6A84"/>
    <w:rsid w:val="00AF7DB7"/>
    <w:rsid w:val="00AF7EA6"/>
    <w:rsid w:val="00B01124"/>
    <w:rsid w:val="00B10192"/>
    <w:rsid w:val="00B1065B"/>
    <w:rsid w:val="00B10D02"/>
    <w:rsid w:val="00B12F27"/>
    <w:rsid w:val="00B1308C"/>
    <w:rsid w:val="00B201E2"/>
    <w:rsid w:val="00B21436"/>
    <w:rsid w:val="00B25B55"/>
    <w:rsid w:val="00B33B55"/>
    <w:rsid w:val="00B33F88"/>
    <w:rsid w:val="00B34977"/>
    <w:rsid w:val="00B4008F"/>
    <w:rsid w:val="00B43310"/>
    <w:rsid w:val="00B4380B"/>
    <w:rsid w:val="00B443E4"/>
    <w:rsid w:val="00B50427"/>
    <w:rsid w:val="00B51EDB"/>
    <w:rsid w:val="00B5484D"/>
    <w:rsid w:val="00B55897"/>
    <w:rsid w:val="00B563EA"/>
    <w:rsid w:val="00B5640E"/>
    <w:rsid w:val="00B56CDF"/>
    <w:rsid w:val="00B575AC"/>
    <w:rsid w:val="00B60E51"/>
    <w:rsid w:val="00B60F71"/>
    <w:rsid w:val="00B63A54"/>
    <w:rsid w:val="00B63D10"/>
    <w:rsid w:val="00B6657A"/>
    <w:rsid w:val="00B71A18"/>
    <w:rsid w:val="00B71EC2"/>
    <w:rsid w:val="00B72679"/>
    <w:rsid w:val="00B72E0D"/>
    <w:rsid w:val="00B72FD1"/>
    <w:rsid w:val="00B733E0"/>
    <w:rsid w:val="00B741AB"/>
    <w:rsid w:val="00B758F6"/>
    <w:rsid w:val="00B77D18"/>
    <w:rsid w:val="00B8120C"/>
    <w:rsid w:val="00B8313A"/>
    <w:rsid w:val="00B83DCA"/>
    <w:rsid w:val="00B85EB3"/>
    <w:rsid w:val="00B87FCB"/>
    <w:rsid w:val="00B91109"/>
    <w:rsid w:val="00B91B38"/>
    <w:rsid w:val="00B920AC"/>
    <w:rsid w:val="00B93503"/>
    <w:rsid w:val="00B93C35"/>
    <w:rsid w:val="00B9433D"/>
    <w:rsid w:val="00B9515A"/>
    <w:rsid w:val="00B96CD3"/>
    <w:rsid w:val="00B9762D"/>
    <w:rsid w:val="00BA31E8"/>
    <w:rsid w:val="00BA3A95"/>
    <w:rsid w:val="00BA4A95"/>
    <w:rsid w:val="00BA55E0"/>
    <w:rsid w:val="00BA6A50"/>
    <w:rsid w:val="00BA6BD4"/>
    <w:rsid w:val="00BA6C0B"/>
    <w:rsid w:val="00BA6C7A"/>
    <w:rsid w:val="00BA7804"/>
    <w:rsid w:val="00BB071F"/>
    <w:rsid w:val="00BB17D1"/>
    <w:rsid w:val="00BB3752"/>
    <w:rsid w:val="00BB6688"/>
    <w:rsid w:val="00BB7D50"/>
    <w:rsid w:val="00BC26D4"/>
    <w:rsid w:val="00BC463B"/>
    <w:rsid w:val="00BD146A"/>
    <w:rsid w:val="00BD1BA6"/>
    <w:rsid w:val="00BD5259"/>
    <w:rsid w:val="00BD7B6A"/>
    <w:rsid w:val="00BE0C80"/>
    <w:rsid w:val="00BE102C"/>
    <w:rsid w:val="00BE19F8"/>
    <w:rsid w:val="00BE3096"/>
    <w:rsid w:val="00BE3339"/>
    <w:rsid w:val="00BE5F4F"/>
    <w:rsid w:val="00BF00CF"/>
    <w:rsid w:val="00BF2A42"/>
    <w:rsid w:val="00BF65CE"/>
    <w:rsid w:val="00BF6E8B"/>
    <w:rsid w:val="00C02474"/>
    <w:rsid w:val="00C02B07"/>
    <w:rsid w:val="00C03D8C"/>
    <w:rsid w:val="00C055EC"/>
    <w:rsid w:val="00C05FEB"/>
    <w:rsid w:val="00C06969"/>
    <w:rsid w:val="00C075D7"/>
    <w:rsid w:val="00C10CCF"/>
    <w:rsid w:val="00C10DC9"/>
    <w:rsid w:val="00C12FB3"/>
    <w:rsid w:val="00C14CE1"/>
    <w:rsid w:val="00C151C9"/>
    <w:rsid w:val="00C1624C"/>
    <w:rsid w:val="00C17341"/>
    <w:rsid w:val="00C22592"/>
    <w:rsid w:val="00C22B93"/>
    <w:rsid w:val="00C24EEF"/>
    <w:rsid w:val="00C25CF6"/>
    <w:rsid w:val="00C26C36"/>
    <w:rsid w:val="00C2759B"/>
    <w:rsid w:val="00C32768"/>
    <w:rsid w:val="00C36E9F"/>
    <w:rsid w:val="00C40AEB"/>
    <w:rsid w:val="00C41EDB"/>
    <w:rsid w:val="00C431DF"/>
    <w:rsid w:val="00C4342F"/>
    <w:rsid w:val="00C44B8D"/>
    <w:rsid w:val="00C456BD"/>
    <w:rsid w:val="00C52E61"/>
    <w:rsid w:val="00C530DC"/>
    <w:rsid w:val="00C5350D"/>
    <w:rsid w:val="00C53663"/>
    <w:rsid w:val="00C54BCF"/>
    <w:rsid w:val="00C5625C"/>
    <w:rsid w:val="00C56CE1"/>
    <w:rsid w:val="00C6123C"/>
    <w:rsid w:val="00C61D15"/>
    <w:rsid w:val="00C620FC"/>
    <w:rsid w:val="00C6311A"/>
    <w:rsid w:val="00C634AA"/>
    <w:rsid w:val="00C7084D"/>
    <w:rsid w:val="00C70CA5"/>
    <w:rsid w:val="00C71538"/>
    <w:rsid w:val="00C71609"/>
    <w:rsid w:val="00C72CD4"/>
    <w:rsid w:val="00C7315E"/>
    <w:rsid w:val="00C75895"/>
    <w:rsid w:val="00C7609E"/>
    <w:rsid w:val="00C7619A"/>
    <w:rsid w:val="00C7758E"/>
    <w:rsid w:val="00C82CE6"/>
    <w:rsid w:val="00C83C9F"/>
    <w:rsid w:val="00C84D8E"/>
    <w:rsid w:val="00C87492"/>
    <w:rsid w:val="00C9322E"/>
    <w:rsid w:val="00C94840"/>
    <w:rsid w:val="00CA0BA4"/>
    <w:rsid w:val="00CA11CD"/>
    <w:rsid w:val="00CA1378"/>
    <w:rsid w:val="00CA4EE3"/>
    <w:rsid w:val="00CA6526"/>
    <w:rsid w:val="00CA780F"/>
    <w:rsid w:val="00CB027F"/>
    <w:rsid w:val="00CB0575"/>
    <w:rsid w:val="00CB1F81"/>
    <w:rsid w:val="00CB261F"/>
    <w:rsid w:val="00CB5065"/>
    <w:rsid w:val="00CB5E20"/>
    <w:rsid w:val="00CC03F1"/>
    <w:rsid w:val="00CC0EBB"/>
    <w:rsid w:val="00CC2472"/>
    <w:rsid w:val="00CC499B"/>
    <w:rsid w:val="00CC4BE2"/>
    <w:rsid w:val="00CC6297"/>
    <w:rsid w:val="00CC672A"/>
    <w:rsid w:val="00CC7569"/>
    <w:rsid w:val="00CC7690"/>
    <w:rsid w:val="00CD1986"/>
    <w:rsid w:val="00CD2237"/>
    <w:rsid w:val="00CD33DC"/>
    <w:rsid w:val="00CD5141"/>
    <w:rsid w:val="00CD54BF"/>
    <w:rsid w:val="00CD6E98"/>
    <w:rsid w:val="00CE2150"/>
    <w:rsid w:val="00CE4D5C"/>
    <w:rsid w:val="00CE4FAB"/>
    <w:rsid w:val="00CE55E6"/>
    <w:rsid w:val="00CF05DA"/>
    <w:rsid w:val="00CF1158"/>
    <w:rsid w:val="00CF38C5"/>
    <w:rsid w:val="00CF58EB"/>
    <w:rsid w:val="00CF6FEC"/>
    <w:rsid w:val="00D0106E"/>
    <w:rsid w:val="00D033E0"/>
    <w:rsid w:val="00D0468E"/>
    <w:rsid w:val="00D04D78"/>
    <w:rsid w:val="00D04FBB"/>
    <w:rsid w:val="00D0612C"/>
    <w:rsid w:val="00D06383"/>
    <w:rsid w:val="00D077ED"/>
    <w:rsid w:val="00D110C9"/>
    <w:rsid w:val="00D11CDB"/>
    <w:rsid w:val="00D12025"/>
    <w:rsid w:val="00D14010"/>
    <w:rsid w:val="00D16CED"/>
    <w:rsid w:val="00D20E85"/>
    <w:rsid w:val="00D23A9D"/>
    <w:rsid w:val="00D24014"/>
    <w:rsid w:val="00D24615"/>
    <w:rsid w:val="00D24BB3"/>
    <w:rsid w:val="00D25D96"/>
    <w:rsid w:val="00D25F5D"/>
    <w:rsid w:val="00D275C7"/>
    <w:rsid w:val="00D276A3"/>
    <w:rsid w:val="00D31200"/>
    <w:rsid w:val="00D334CB"/>
    <w:rsid w:val="00D37842"/>
    <w:rsid w:val="00D37D8F"/>
    <w:rsid w:val="00D408E1"/>
    <w:rsid w:val="00D42DC2"/>
    <w:rsid w:val="00D43AEB"/>
    <w:rsid w:val="00D43F1C"/>
    <w:rsid w:val="00D43F5B"/>
    <w:rsid w:val="00D45EA7"/>
    <w:rsid w:val="00D461E0"/>
    <w:rsid w:val="00D5174B"/>
    <w:rsid w:val="00D537E1"/>
    <w:rsid w:val="00D55BB2"/>
    <w:rsid w:val="00D57C4F"/>
    <w:rsid w:val="00D57D52"/>
    <w:rsid w:val="00D6091A"/>
    <w:rsid w:val="00D61ED8"/>
    <w:rsid w:val="00D64FA8"/>
    <w:rsid w:val="00D65354"/>
    <w:rsid w:val="00D6573F"/>
    <w:rsid w:val="00D65771"/>
    <w:rsid w:val="00D6605A"/>
    <w:rsid w:val="00D6695F"/>
    <w:rsid w:val="00D72710"/>
    <w:rsid w:val="00D7511E"/>
    <w:rsid w:val="00D75644"/>
    <w:rsid w:val="00D76715"/>
    <w:rsid w:val="00D8059A"/>
    <w:rsid w:val="00D81656"/>
    <w:rsid w:val="00D82DDA"/>
    <w:rsid w:val="00D83D87"/>
    <w:rsid w:val="00D84A6D"/>
    <w:rsid w:val="00D86A20"/>
    <w:rsid w:val="00D86A30"/>
    <w:rsid w:val="00D90361"/>
    <w:rsid w:val="00D91E27"/>
    <w:rsid w:val="00D93CEE"/>
    <w:rsid w:val="00D93E9F"/>
    <w:rsid w:val="00D96E0C"/>
    <w:rsid w:val="00D97CB4"/>
    <w:rsid w:val="00D97DD4"/>
    <w:rsid w:val="00DA06B1"/>
    <w:rsid w:val="00DA10D6"/>
    <w:rsid w:val="00DA1DDF"/>
    <w:rsid w:val="00DA5A8A"/>
    <w:rsid w:val="00DB1170"/>
    <w:rsid w:val="00DB1467"/>
    <w:rsid w:val="00DB26CD"/>
    <w:rsid w:val="00DB441C"/>
    <w:rsid w:val="00DB445F"/>
    <w:rsid w:val="00DB44AF"/>
    <w:rsid w:val="00DB46B9"/>
    <w:rsid w:val="00DB5FFF"/>
    <w:rsid w:val="00DB601E"/>
    <w:rsid w:val="00DB694D"/>
    <w:rsid w:val="00DC1F58"/>
    <w:rsid w:val="00DC2BFA"/>
    <w:rsid w:val="00DC339B"/>
    <w:rsid w:val="00DC384C"/>
    <w:rsid w:val="00DC5251"/>
    <w:rsid w:val="00DC5420"/>
    <w:rsid w:val="00DC5D40"/>
    <w:rsid w:val="00DC69A7"/>
    <w:rsid w:val="00DC69B8"/>
    <w:rsid w:val="00DC7BD8"/>
    <w:rsid w:val="00DD30E9"/>
    <w:rsid w:val="00DD44A0"/>
    <w:rsid w:val="00DD4F47"/>
    <w:rsid w:val="00DD5403"/>
    <w:rsid w:val="00DD6903"/>
    <w:rsid w:val="00DD7FBB"/>
    <w:rsid w:val="00DE0B9F"/>
    <w:rsid w:val="00DE2A9E"/>
    <w:rsid w:val="00DE2D63"/>
    <w:rsid w:val="00DE4238"/>
    <w:rsid w:val="00DE4693"/>
    <w:rsid w:val="00DE4C8A"/>
    <w:rsid w:val="00DE5342"/>
    <w:rsid w:val="00DE5511"/>
    <w:rsid w:val="00DE657F"/>
    <w:rsid w:val="00DE68CD"/>
    <w:rsid w:val="00DE7C34"/>
    <w:rsid w:val="00DF1218"/>
    <w:rsid w:val="00DF1EB0"/>
    <w:rsid w:val="00DF4302"/>
    <w:rsid w:val="00DF6462"/>
    <w:rsid w:val="00E01650"/>
    <w:rsid w:val="00E01BB0"/>
    <w:rsid w:val="00E02E1F"/>
    <w:rsid w:val="00E02FA0"/>
    <w:rsid w:val="00E036DC"/>
    <w:rsid w:val="00E070BC"/>
    <w:rsid w:val="00E10454"/>
    <w:rsid w:val="00E112E5"/>
    <w:rsid w:val="00E11D51"/>
    <w:rsid w:val="00E11DF3"/>
    <w:rsid w:val="00E122D8"/>
    <w:rsid w:val="00E12CC8"/>
    <w:rsid w:val="00E13ECB"/>
    <w:rsid w:val="00E15352"/>
    <w:rsid w:val="00E16332"/>
    <w:rsid w:val="00E21CC7"/>
    <w:rsid w:val="00E24C9D"/>
    <w:rsid w:val="00E24D9E"/>
    <w:rsid w:val="00E25540"/>
    <w:rsid w:val="00E25849"/>
    <w:rsid w:val="00E27ECF"/>
    <w:rsid w:val="00E311C2"/>
    <w:rsid w:val="00E3197E"/>
    <w:rsid w:val="00E31CC9"/>
    <w:rsid w:val="00E33609"/>
    <w:rsid w:val="00E342F8"/>
    <w:rsid w:val="00E351ED"/>
    <w:rsid w:val="00E364A8"/>
    <w:rsid w:val="00E44CD9"/>
    <w:rsid w:val="00E46537"/>
    <w:rsid w:val="00E470C7"/>
    <w:rsid w:val="00E53429"/>
    <w:rsid w:val="00E54F1A"/>
    <w:rsid w:val="00E6034B"/>
    <w:rsid w:val="00E636D5"/>
    <w:rsid w:val="00E63FAA"/>
    <w:rsid w:val="00E64E92"/>
    <w:rsid w:val="00E6538D"/>
    <w:rsid w:val="00E6549E"/>
    <w:rsid w:val="00E65EDE"/>
    <w:rsid w:val="00E70F81"/>
    <w:rsid w:val="00E74301"/>
    <w:rsid w:val="00E74FC1"/>
    <w:rsid w:val="00E77055"/>
    <w:rsid w:val="00E77460"/>
    <w:rsid w:val="00E82242"/>
    <w:rsid w:val="00E82F59"/>
    <w:rsid w:val="00E83ABC"/>
    <w:rsid w:val="00E844F2"/>
    <w:rsid w:val="00E86068"/>
    <w:rsid w:val="00E904F3"/>
    <w:rsid w:val="00E90AD0"/>
    <w:rsid w:val="00E91309"/>
    <w:rsid w:val="00E92582"/>
    <w:rsid w:val="00E92FCB"/>
    <w:rsid w:val="00E934A3"/>
    <w:rsid w:val="00E95D6C"/>
    <w:rsid w:val="00E96993"/>
    <w:rsid w:val="00E96F22"/>
    <w:rsid w:val="00EA0769"/>
    <w:rsid w:val="00EA147F"/>
    <w:rsid w:val="00EA16E7"/>
    <w:rsid w:val="00EA251F"/>
    <w:rsid w:val="00EA4A27"/>
    <w:rsid w:val="00EA4FA6"/>
    <w:rsid w:val="00EA7982"/>
    <w:rsid w:val="00EB08FD"/>
    <w:rsid w:val="00EB19D6"/>
    <w:rsid w:val="00EB1A25"/>
    <w:rsid w:val="00EB538C"/>
    <w:rsid w:val="00EC1F6C"/>
    <w:rsid w:val="00EC245C"/>
    <w:rsid w:val="00EC3EBB"/>
    <w:rsid w:val="00EC4003"/>
    <w:rsid w:val="00EC56C8"/>
    <w:rsid w:val="00EC6CD0"/>
    <w:rsid w:val="00EC7363"/>
    <w:rsid w:val="00EC7569"/>
    <w:rsid w:val="00ED0370"/>
    <w:rsid w:val="00ED03AB"/>
    <w:rsid w:val="00ED0CB6"/>
    <w:rsid w:val="00ED187A"/>
    <w:rsid w:val="00ED1963"/>
    <w:rsid w:val="00ED1B1E"/>
    <w:rsid w:val="00ED1CD4"/>
    <w:rsid w:val="00ED1D2B"/>
    <w:rsid w:val="00ED64B5"/>
    <w:rsid w:val="00ED7809"/>
    <w:rsid w:val="00EE105B"/>
    <w:rsid w:val="00EE7CCA"/>
    <w:rsid w:val="00EF052F"/>
    <w:rsid w:val="00EF193F"/>
    <w:rsid w:val="00EF1CD2"/>
    <w:rsid w:val="00EF2DE6"/>
    <w:rsid w:val="00EF5288"/>
    <w:rsid w:val="00EF63FC"/>
    <w:rsid w:val="00F035A5"/>
    <w:rsid w:val="00F03D52"/>
    <w:rsid w:val="00F061E6"/>
    <w:rsid w:val="00F10B55"/>
    <w:rsid w:val="00F12D7F"/>
    <w:rsid w:val="00F133EC"/>
    <w:rsid w:val="00F16A14"/>
    <w:rsid w:val="00F218B6"/>
    <w:rsid w:val="00F21C22"/>
    <w:rsid w:val="00F2497B"/>
    <w:rsid w:val="00F249CB"/>
    <w:rsid w:val="00F25555"/>
    <w:rsid w:val="00F261BF"/>
    <w:rsid w:val="00F27F17"/>
    <w:rsid w:val="00F30F17"/>
    <w:rsid w:val="00F344CD"/>
    <w:rsid w:val="00F362D7"/>
    <w:rsid w:val="00F37D7B"/>
    <w:rsid w:val="00F52220"/>
    <w:rsid w:val="00F5314C"/>
    <w:rsid w:val="00F54302"/>
    <w:rsid w:val="00F55FE6"/>
    <w:rsid w:val="00F5688C"/>
    <w:rsid w:val="00F60048"/>
    <w:rsid w:val="00F614B4"/>
    <w:rsid w:val="00F635DD"/>
    <w:rsid w:val="00F63A49"/>
    <w:rsid w:val="00F64E67"/>
    <w:rsid w:val="00F64F3F"/>
    <w:rsid w:val="00F6627B"/>
    <w:rsid w:val="00F66C12"/>
    <w:rsid w:val="00F66E77"/>
    <w:rsid w:val="00F7336E"/>
    <w:rsid w:val="00F734F2"/>
    <w:rsid w:val="00F73E17"/>
    <w:rsid w:val="00F75052"/>
    <w:rsid w:val="00F804D3"/>
    <w:rsid w:val="00F81200"/>
    <w:rsid w:val="00F816CB"/>
    <w:rsid w:val="00F81CD2"/>
    <w:rsid w:val="00F823D1"/>
    <w:rsid w:val="00F82641"/>
    <w:rsid w:val="00F86DCE"/>
    <w:rsid w:val="00F90F18"/>
    <w:rsid w:val="00F9272A"/>
    <w:rsid w:val="00F92F42"/>
    <w:rsid w:val="00F937E4"/>
    <w:rsid w:val="00F94D02"/>
    <w:rsid w:val="00F950E1"/>
    <w:rsid w:val="00F95EE7"/>
    <w:rsid w:val="00FA1976"/>
    <w:rsid w:val="00FA30FD"/>
    <w:rsid w:val="00FA39E6"/>
    <w:rsid w:val="00FA448D"/>
    <w:rsid w:val="00FA553C"/>
    <w:rsid w:val="00FA57E5"/>
    <w:rsid w:val="00FA75AA"/>
    <w:rsid w:val="00FA7BC9"/>
    <w:rsid w:val="00FB378E"/>
    <w:rsid w:val="00FB37F1"/>
    <w:rsid w:val="00FB3B29"/>
    <w:rsid w:val="00FB3F14"/>
    <w:rsid w:val="00FB4644"/>
    <w:rsid w:val="00FB47C0"/>
    <w:rsid w:val="00FB4BD7"/>
    <w:rsid w:val="00FB4CCB"/>
    <w:rsid w:val="00FB501B"/>
    <w:rsid w:val="00FB7770"/>
    <w:rsid w:val="00FC1395"/>
    <w:rsid w:val="00FC71E9"/>
    <w:rsid w:val="00FD2D07"/>
    <w:rsid w:val="00FD3B91"/>
    <w:rsid w:val="00FD4580"/>
    <w:rsid w:val="00FD5707"/>
    <w:rsid w:val="00FD576B"/>
    <w:rsid w:val="00FD579E"/>
    <w:rsid w:val="00FD61ED"/>
    <w:rsid w:val="00FD67A4"/>
    <w:rsid w:val="00FD6845"/>
    <w:rsid w:val="00FE1848"/>
    <w:rsid w:val="00FE4516"/>
    <w:rsid w:val="00FE64C8"/>
    <w:rsid w:val="00FF1778"/>
    <w:rsid w:val="00FF24D8"/>
    <w:rsid w:val="00FF386C"/>
    <w:rsid w:val="00FF40BD"/>
    <w:rsid w:val="00FF58A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2DBC24B-745F-4B73-ACCC-FC5BEA6D7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EC7569"/>
    <w:pPr>
      <w:widowControl w:val="0"/>
      <w:overflowPunct w:val="0"/>
      <w:autoSpaceDE w:val="0"/>
      <w:autoSpaceDN w:val="0"/>
      <w:jc w:val="both"/>
    </w:pPr>
    <w:rPr>
      <w:rFonts w:ascii="標楷體" w:eastAsia="標楷體"/>
      <w:kern w:val="2"/>
      <w:sz w:val="32"/>
    </w:rPr>
  </w:style>
  <w:style w:type="paragraph" w:styleId="1">
    <w:name w:val="heading 1"/>
    <w:basedOn w:val="a6"/>
    <w:link w:val="10"/>
    <w:qFormat/>
    <w:rsid w:val="00EC7569"/>
    <w:pPr>
      <w:numPr>
        <w:numId w:val="26"/>
      </w:numPr>
      <w:outlineLvl w:val="0"/>
    </w:pPr>
    <w:rPr>
      <w:rFonts w:hAnsi="Arial"/>
      <w:bCs/>
      <w:kern w:val="32"/>
      <w:szCs w:val="52"/>
    </w:rPr>
  </w:style>
  <w:style w:type="paragraph" w:styleId="2">
    <w:name w:val="heading 2"/>
    <w:basedOn w:val="a6"/>
    <w:link w:val="20"/>
    <w:qFormat/>
    <w:rsid w:val="00EC7569"/>
    <w:pPr>
      <w:numPr>
        <w:ilvl w:val="1"/>
        <w:numId w:val="26"/>
      </w:numPr>
      <w:outlineLvl w:val="1"/>
    </w:pPr>
    <w:rPr>
      <w:rFonts w:hAnsi="Arial"/>
      <w:bCs/>
      <w:kern w:val="32"/>
      <w:szCs w:val="48"/>
    </w:rPr>
  </w:style>
  <w:style w:type="paragraph" w:styleId="3">
    <w:name w:val="heading 3"/>
    <w:basedOn w:val="a6"/>
    <w:link w:val="30"/>
    <w:qFormat/>
    <w:rsid w:val="00EC7569"/>
    <w:pPr>
      <w:numPr>
        <w:ilvl w:val="2"/>
        <w:numId w:val="26"/>
      </w:numPr>
      <w:outlineLvl w:val="2"/>
    </w:pPr>
    <w:rPr>
      <w:rFonts w:hAnsi="Arial"/>
      <w:bCs/>
      <w:kern w:val="32"/>
      <w:szCs w:val="36"/>
    </w:rPr>
  </w:style>
  <w:style w:type="paragraph" w:styleId="4">
    <w:name w:val="heading 4"/>
    <w:basedOn w:val="a6"/>
    <w:link w:val="40"/>
    <w:qFormat/>
    <w:rsid w:val="00EC7569"/>
    <w:pPr>
      <w:numPr>
        <w:ilvl w:val="3"/>
        <w:numId w:val="26"/>
      </w:numPr>
      <w:outlineLvl w:val="3"/>
    </w:pPr>
    <w:rPr>
      <w:rFonts w:hAnsi="Arial"/>
      <w:kern w:val="32"/>
      <w:szCs w:val="36"/>
    </w:rPr>
  </w:style>
  <w:style w:type="paragraph" w:styleId="5">
    <w:name w:val="heading 5"/>
    <w:basedOn w:val="a6"/>
    <w:link w:val="50"/>
    <w:qFormat/>
    <w:rsid w:val="00EC7569"/>
    <w:pPr>
      <w:numPr>
        <w:ilvl w:val="4"/>
        <w:numId w:val="26"/>
      </w:numPr>
      <w:outlineLvl w:val="4"/>
    </w:pPr>
    <w:rPr>
      <w:rFonts w:hAnsi="Arial"/>
      <w:bCs/>
      <w:kern w:val="32"/>
      <w:szCs w:val="36"/>
    </w:rPr>
  </w:style>
  <w:style w:type="paragraph" w:styleId="6">
    <w:name w:val="heading 6"/>
    <w:basedOn w:val="a6"/>
    <w:link w:val="60"/>
    <w:qFormat/>
    <w:rsid w:val="00EC7569"/>
    <w:pPr>
      <w:numPr>
        <w:ilvl w:val="5"/>
        <w:numId w:val="26"/>
      </w:numPr>
      <w:tabs>
        <w:tab w:val="left" w:pos="2094"/>
      </w:tabs>
      <w:outlineLvl w:val="5"/>
    </w:pPr>
    <w:rPr>
      <w:rFonts w:hAnsi="Arial"/>
      <w:kern w:val="32"/>
      <w:szCs w:val="36"/>
    </w:rPr>
  </w:style>
  <w:style w:type="paragraph" w:styleId="7">
    <w:name w:val="heading 7"/>
    <w:basedOn w:val="a6"/>
    <w:link w:val="70"/>
    <w:qFormat/>
    <w:rsid w:val="00EC7569"/>
    <w:pPr>
      <w:numPr>
        <w:ilvl w:val="6"/>
        <w:numId w:val="26"/>
      </w:numPr>
      <w:outlineLvl w:val="6"/>
    </w:pPr>
    <w:rPr>
      <w:rFonts w:hAnsi="Arial"/>
      <w:bCs/>
      <w:kern w:val="32"/>
      <w:szCs w:val="36"/>
    </w:rPr>
  </w:style>
  <w:style w:type="paragraph" w:styleId="8">
    <w:name w:val="heading 8"/>
    <w:basedOn w:val="a6"/>
    <w:link w:val="80"/>
    <w:qFormat/>
    <w:rsid w:val="00EC7569"/>
    <w:pPr>
      <w:numPr>
        <w:ilvl w:val="7"/>
        <w:numId w:val="26"/>
      </w:numPr>
      <w:outlineLvl w:val="7"/>
    </w:pPr>
    <w:rPr>
      <w:rFonts w:hAnsi="Arial"/>
      <w:kern w:val="32"/>
      <w:szCs w:val="36"/>
    </w:rPr>
  </w:style>
  <w:style w:type="paragraph" w:styleId="9">
    <w:name w:val="heading 9"/>
    <w:basedOn w:val="a6"/>
    <w:link w:val="90"/>
    <w:uiPriority w:val="9"/>
    <w:unhideWhenUsed/>
    <w:qFormat/>
    <w:rsid w:val="00EC7569"/>
    <w:pPr>
      <w:numPr>
        <w:ilvl w:val="8"/>
        <w:numId w:val="26"/>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link w:val="ab"/>
    <w:semiHidden/>
    <w:rsid w:val="00EC7569"/>
    <w:pPr>
      <w:spacing w:before="720" w:after="720"/>
      <w:ind w:left="7371"/>
    </w:pPr>
    <w:rPr>
      <w:b/>
      <w:snapToGrid w:val="0"/>
      <w:spacing w:val="10"/>
      <w:sz w:val="36"/>
    </w:rPr>
  </w:style>
  <w:style w:type="paragraph" w:styleId="ac">
    <w:name w:val="endnote text"/>
    <w:basedOn w:val="a6"/>
    <w:link w:val="ad"/>
    <w:semiHidden/>
    <w:rsid w:val="00EC7569"/>
    <w:pPr>
      <w:kinsoku w:val="0"/>
      <w:autoSpaceDE/>
      <w:spacing w:before="240"/>
      <w:ind w:left="1021" w:hanging="1021"/>
    </w:pPr>
    <w:rPr>
      <w:snapToGrid w:val="0"/>
      <w:spacing w:val="10"/>
    </w:rPr>
  </w:style>
  <w:style w:type="paragraph" w:styleId="51">
    <w:name w:val="toc 5"/>
    <w:basedOn w:val="a6"/>
    <w:next w:val="a6"/>
    <w:autoRedefine/>
    <w:semiHidden/>
    <w:rsid w:val="00EC7569"/>
    <w:pPr>
      <w:ind w:leftChars="400" w:left="600" w:rightChars="200" w:right="200" w:hangingChars="200" w:hanging="200"/>
    </w:pPr>
  </w:style>
  <w:style w:type="character" w:styleId="ae">
    <w:name w:val="page number"/>
    <w:basedOn w:val="a7"/>
    <w:semiHidden/>
    <w:rsid w:val="00EC7569"/>
    <w:rPr>
      <w:rFonts w:ascii="標楷體" w:eastAsia="標楷體"/>
      <w:sz w:val="20"/>
    </w:rPr>
  </w:style>
  <w:style w:type="paragraph" w:styleId="61">
    <w:name w:val="toc 6"/>
    <w:basedOn w:val="a6"/>
    <w:next w:val="a6"/>
    <w:autoRedefine/>
    <w:semiHidden/>
    <w:rsid w:val="00EC7569"/>
    <w:pPr>
      <w:ind w:leftChars="500" w:left="500"/>
    </w:pPr>
  </w:style>
  <w:style w:type="paragraph" w:customStyle="1" w:styleId="11">
    <w:name w:val="段落樣式1"/>
    <w:basedOn w:val="a6"/>
    <w:qFormat/>
    <w:rsid w:val="00EC7569"/>
    <w:pPr>
      <w:tabs>
        <w:tab w:val="left" w:pos="567"/>
      </w:tabs>
      <w:ind w:leftChars="200" w:left="200" w:firstLineChars="200" w:firstLine="200"/>
    </w:pPr>
    <w:rPr>
      <w:kern w:val="32"/>
    </w:rPr>
  </w:style>
  <w:style w:type="paragraph" w:customStyle="1" w:styleId="21">
    <w:name w:val="段落樣式2"/>
    <w:basedOn w:val="a6"/>
    <w:qFormat/>
    <w:rsid w:val="00EC7569"/>
    <w:pPr>
      <w:tabs>
        <w:tab w:val="left" w:pos="567"/>
      </w:tabs>
      <w:ind w:leftChars="300" w:left="300" w:firstLineChars="200" w:firstLine="200"/>
    </w:pPr>
    <w:rPr>
      <w:kern w:val="32"/>
    </w:rPr>
  </w:style>
  <w:style w:type="paragraph" w:styleId="12">
    <w:name w:val="toc 1"/>
    <w:basedOn w:val="a6"/>
    <w:next w:val="a6"/>
    <w:autoRedefine/>
    <w:uiPriority w:val="39"/>
    <w:rsid w:val="00EC7569"/>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EC7569"/>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EC7569"/>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EC7569"/>
    <w:pPr>
      <w:kinsoku w:val="0"/>
      <w:ind w:leftChars="300" w:left="500" w:rightChars="200" w:right="200" w:hangingChars="200" w:hanging="200"/>
    </w:pPr>
  </w:style>
  <w:style w:type="paragraph" w:styleId="71">
    <w:name w:val="toc 7"/>
    <w:basedOn w:val="a6"/>
    <w:next w:val="a6"/>
    <w:autoRedefine/>
    <w:semiHidden/>
    <w:rsid w:val="00EC7569"/>
    <w:pPr>
      <w:ind w:leftChars="600" w:left="800" w:hangingChars="200" w:hanging="200"/>
    </w:pPr>
  </w:style>
  <w:style w:type="paragraph" w:styleId="81">
    <w:name w:val="toc 8"/>
    <w:basedOn w:val="a6"/>
    <w:next w:val="a6"/>
    <w:autoRedefine/>
    <w:semiHidden/>
    <w:rsid w:val="00EC7569"/>
    <w:pPr>
      <w:ind w:leftChars="700" w:left="900" w:hangingChars="200" w:hanging="200"/>
    </w:pPr>
  </w:style>
  <w:style w:type="paragraph" w:styleId="91">
    <w:name w:val="toc 9"/>
    <w:basedOn w:val="a6"/>
    <w:next w:val="a6"/>
    <w:autoRedefine/>
    <w:semiHidden/>
    <w:rsid w:val="00EC7569"/>
    <w:pPr>
      <w:ind w:leftChars="1600" w:left="3840"/>
    </w:pPr>
  </w:style>
  <w:style w:type="paragraph" w:styleId="af">
    <w:name w:val="header"/>
    <w:basedOn w:val="a6"/>
    <w:link w:val="af0"/>
    <w:semiHidden/>
    <w:rsid w:val="00EC7569"/>
    <w:pPr>
      <w:tabs>
        <w:tab w:val="center" w:pos="4153"/>
        <w:tab w:val="right" w:pos="8306"/>
      </w:tabs>
      <w:snapToGrid w:val="0"/>
    </w:pPr>
    <w:rPr>
      <w:sz w:val="20"/>
    </w:rPr>
  </w:style>
  <w:style w:type="paragraph" w:customStyle="1" w:styleId="32">
    <w:name w:val="段落樣式3"/>
    <w:basedOn w:val="21"/>
    <w:qFormat/>
    <w:rsid w:val="00EC7569"/>
    <w:pPr>
      <w:ind w:leftChars="400" w:left="400"/>
    </w:pPr>
  </w:style>
  <w:style w:type="character" w:styleId="af1">
    <w:name w:val="Hyperlink"/>
    <w:basedOn w:val="a7"/>
    <w:uiPriority w:val="99"/>
    <w:rsid w:val="00EC7569"/>
    <w:rPr>
      <w:color w:val="0000FF"/>
      <w:u w:val="single"/>
    </w:rPr>
  </w:style>
  <w:style w:type="paragraph" w:customStyle="1" w:styleId="af2">
    <w:name w:val="簽名日期"/>
    <w:basedOn w:val="a6"/>
    <w:rsid w:val="00EC7569"/>
    <w:pPr>
      <w:kinsoku w:val="0"/>
      <w:jc w:val="distribute"/>
    </w:pPr>
    <w:rPr>
      <w:kern w:val="0"/>
    </w:rPr>
  </w:style>
  <w:style w:type="paragraph" w:customStyle="1" w:styleId="0">
    <w:name w:val="段落樣式0"/>
    <w:basedOn w:val="21"/>
    <w:qFormat/>
    <w:rsid w:val="00EC7569"/>
    <w:pPr>
      <w:ind w:leftChars="200" w:left="200" w:firstLineChars="0" w:firstLine="0"/>
    </w:pPr>
  </w:style>
  <w:style w:type="paragraph" w:customStyle="1" w:styleId="af3">
    <w:name w:val="附件"/>
    <w:basedOn w:val="ac"/>
    <w:rsid w:val="00EC7569"/>
    <w:pPr>
      <w:spacing w:before="0"/>
      <w:ind w:left="1047" w:hangingChars="300" w:hanging="1047"/>
    </w:pPr>
    <w:rPr>
      <w:snapToGrid/>
      <w:spacing w:val="0"/>
      <w:kern w:val="0"/>
    </w:rPr>
  </w:style>
  <w:style w:type="paragraph" w:customStyle="1" w:styleId="42">
    <w:name w:val="段落樣式4"/>
    <w:basedOn w:val="32"/>
    <w:qFormat/>
    <w:rsid w:val="00EC7569"/>
    <w:pPr>
      <w:ind w:leftChars="500" w:left="500"/>
    </w:pPr>
  </w:style>
  <w:style w:type="paragraph" w:customStyle="1" w:styleId="52">
    <w:name w:val="段落樣式5"/>
    <w:basedOn w:val="42"/>
    <w:qFormat/>
    <w:rsid w:val="00EC7569"/>
    <w:pPr>
      <w:ind w:leftChars="600" w:left="600"/>
    </w:pPr>
  </w:style>
  <w:style w:type="paragraph" w:customStyle="1" w:styleId="62">
    <w:name w:val="段落樣式6"/>
    <w:basedOn w:val="52"/>
    <w:qFormat/>
    <w:rsid w:val="00EC7569"/>
    <w:pPr>
      <w:ind w:leftChars="700" w:left="700"/>
    </w:pPr>
  </w:style>
  <w:style w:type="paragraph" w:customStyle="1" w:styleId="72">
    <w:name w:val="段落樣式7"/>
    <w:basedOn w:val="62"/>
    <w:qFormat/>
    <w:rsid w:val="00EC7569"/>
    <w:pPr>
      <w:ind w:leftChars="800" w:left="800"/>
    </w:pPr>
  </w:style>
  <w:style w:type="paragraph" w:customStyle="1" w:styleId="82">
    <w:name w:val="段落樣式8"/>
    <w:basedOn w:val="72"/>
    <w:qFormat/>
    <w:rsid w:val="00EC7569"/>
    <w:pPr>
      <w:ind w:leftChars="900" w:left="900"/>
    </w:pPr>
  </w:style>
  <w:style w:type="paragraph" w:customStyle="1" w:styleId="a0">
    <w:name w:val="附表樣式"/>
    <w:basedOn w:val="a6"/>
    <w:qFormat/>
    <w:rsid w:val="00EC7569"/>
    <w:pPr>
      <w:keepNext/>
      <w:numPr>
        <w:numId w:val="21"/>
      </w:numPr>
      <w:outlineLvl w:val="0"/>
    </w:pPr>
    <w:rPr>
      <w:kern w:val="32"/>
    </w:rPr>
  </w:style>
  <w:style w:type="paragraph" w:styleId="af4">
    <w:name w:val="Body Text Indent"/>
    <w:basedOn w:val="a6"/>
    <w:link w:val="af5"/>
    <w:semiHidden/>
    <w:rsid w:val="00EC7569"/>
    <w:pPr>
      <w:ind w:left="698" w:hangingChars="200" w:hanging="698"/>
    </w:pPr>
  </w:style>
  <w:style w:type="paragraph" w:customStyle="1" w:styleId="af6">
    <w:name w:val="調查報告"/>
    <w:basedOn w:val="ac"/>
    <w:rsid w:val="00EC7569"/>
    <w:pPr>
      <w:adjustRightInd w:val="0"/>
      <w:spacing w:before="0"/>
      <w:ind w:left="0" w:firstLine="0"/>
      <w:jc w:val="center"/>
    </w:pPr>
    <w:rPr>
      <w:b/>
      <w:snapToGrid/>
      <w:spacing w:val="200"/>
      <w:kern w:val="0"/>
      <w:sz w:val="40"/>
    </w:rPr>
  </w:style>
  <w:style w:type="paragraph" w:customStyle="1" w:styleId="14">
    <w:name w:val="表格14"/>
    <w:basedOn w:val="a6"/>
    <w:rsid w:val="00EC7569"/>
    <w:pPr>
      <w:adjustRightInd w:val="0"/>
      <w:snapToGrid w:val="0"/>
      <w:spacing w:line="360" w:lineRule="exact"/>
    </w:pPr>
    <w:rPr>
      <w:snapToGrid w:val="0"/>
      <w:spacing w:val="-14"/>
      <w:kern w:val="0"/>
      <w:sz w:val="28"/>
    </w:rPr>
  </w:style>
  <w:style w:type="paragraph" w:customStyle="1" w:styleId="a">
    <w:name w:val="附圖樣式"/>
    <w:basedOn w:val="a6"/>
    <w:qFormat/>
    <w:rsid w:val="00EC7569"/>
    <w:pPr>
      <w:keepNext/>
      <w:numPr>
        <w:numId w:val="22"/>
      </w:numPr>
      <w:outlineLvl w:val="0"/>
    </w:pPr>
    <w:rPr>
      <w:kern w:val="32"/>
    </w:rPr>
  </w:style>
  <w:style w:type="paragraph" w:styleId="af7">
    <w:name w:val="footer"/>
    <w:basedOn w:val="a6"/>
    <w:link w:val="af8"/>
    <w:semiHidden/>
    <w:rsid w:val="00EC7569"/>
    <w:pPr>
      <w:tabs>
        <w:tab w:val="center" w:pos="4153"/>
        <w:tab w:val="right" w:pos="8306"/>
      </w:tabs>
      <w:snapToGrid w:val="0"/>
    </w:pPr>
    <w:rPr>
      <w:sz w:val="20"/>
    </w:rPr>
  </w:style>
  <w:style w:type="paragraph" w:styleId="af9">
    <w:name w:val="table of figures"/>
    <w:basedOn w:val="a6"/>
    <w:next w:val="a6"/>
    <w:semiHidden/>
    <w:rsid w:val="00EC7569"/>
    <w:pPr>
      <w:ind w:left="400" w:hangingChars="400" w:hanging="400"/>
    </w:pPr>
  </w:style>
  <w:style w:type="paragraph" w:customStyle="1" w:styleId="140">
    <w:name w:val="表格標題14"/>
    <w:basedOn w:val="a6"/>
    <w:rsid w:val="00EC7569"/>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EC7569"/>
    <w:pPr>
      <w:keepNext/>
      <w:widowControl w:val="0"/>
      <w:numPr>
        <w:numId w:val="19"/>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a">
    <w:name w:val="資料來源"/>
    <w:basedOn w:val="a6"/>
    <w:rsid w:val="00EC7569"/>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EC7569"/>
    <w:pPr>
      <w:numPr>
        <w:numId w:val="25"/>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b">
    <w:name w:val="Table Grid"/>
    <w:basedOn w:val="a8"/>
    <w:uiPriority w:val="59"/>
    <w:rsid w:val="00EC75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EC7569"/>
    <w:pPr>
      <w:spacing w:line="240" w:lineRule="exact"/>
    </w:pPr>
    <w:rPr>
      <w:sz w:val="24"/>
      <w:szCs w:val="24"/>
    </w:rPr>
  </w:style>
  <w:style w:type="paragraph" w:customStyle="1" w:styleId="121">
    <w:name w:val="表格12"/>
    <w:basedOn w:val="14"/>
    <w:rsid w:val="00EC7569"/>
    <w:pPr>
      <w:spacing w:line="300" w:lineRule="exact"/>
    </w:pPr>
    <w:rPr>
      <w:sz w:val="24"/>
      <w:szCs w:val="24"/>
    </w:rPr>
  </w:style>
  <w:style w:type="paragraph" w:customStyle="1" w:styleId="a4">
    <w:name w:val="附錄"/>
    <w:basedOn w:val="a6"/>
    <w:qFormat/>
    <w:rsid w:val="00EC7569"/>
    <w:pPr>
      <w:keepNext/>
      <w:numPr>
        <w:numId w:val="23"/>
      </w:numPr>
      <w:outlineLvl w:val="0"/>
    </w:pPr>
    <w:rPr>
      <w:kern w:val="32"/>
    </w:rPr>
  </w:style>
  <w:style w:type="paragraph" w:styleId="afc">
    <w:name w:val="List Paragraph"/>
    <w:basedOn w:val="a6"/>
    <w:uiPriority w:val="34"/>
    <w:qFormat/>
    <w:rsid w:val="00EC7569"/>
    <w:pPr>
      <w:ind w:leftChars="200" w:left="480"/>
    </w:pPr>
  </w:style>
  <w:style w:type="paragraph" w:styleId="afd">
    <w:name w:val="Balloon Text"/>
    <w:basedOn w:val="a6"/>
    <w:link w:val="afe"/>
    <w:uiPriority w:val="99"/>
    <w:semiHidden/>
    <w:unhideWhenUsed/>
    <w:rsid w:val="00EC7569"/>
    <w:rPr>
      <w:rFonts w:asciiTheme="majorHAnsi" w:eastAsiaTheme="majorEastAsia" w:hAnsiTheme="majorHAnsi" w:cstheme="majorBidi"/>
      <w:sz w:val="18"/>
      <w:szCs w:val="18"/>
    </w:rPr>
  </w:style>
  <w:style w:type="character" w:customStyle="1" w:styleId="afe">
    <w:name w:val="註解方塊文字 字元"/>
    <w:basedOn w:val="a7"/>
    <w:link w:val="afd"/>
    <w:uiPriority w:val="99"/>
    <w:semiHidden/>
    <w:rsid w:val="00EC7569"/>
    <w:rPr>
      <w:rFonts w:asciiTheme="majorHAnsi" w:eastAsiaTheme="majorEastAsia" w:hAnsiTheme="majorHAnsi" w:cstheme="majorBidi"/>
      <w:kern w:val="2"/>
      <w:sz w:val="18"/>
      <w:szCs w:val="18"/>
    </w:rPr>
  </w:style>
  <w:style w:type="paragraph" w:customStyle="1" w:styleId="a5">
    <w:name w:val="照片標題"/>
    <w:qFormat/>
    <w:rsid w:val="00EC7569"/>
    <w:pPr>
      <w:numPr>
        <w:numId w:val="24"/>
      </w:numPr>
      <w:adjustRightInd w:val="0"/>
      <w:snapToGrid w:val="0"/>
      <w:spacing w:before="40" w:after="240"/>
      <w:jc w:val="both"/>
    </w:pPr>
    <w:rPr>
      <w:rFonts w:ascii="標楷體" w:eastAsia="標楷體" w:hAnsi="華康楷書體W5(P)"/>
      <w:bCs/>
      <w:spacing w:val="-10"/>
      <w:kern w:val="28"/>
      <w:sz w:val="28"/>
      <w:szCs w:val="28"/>
    </w:rPr>
  </w:style>
  <w:style w:type="paragraph" w:customStyle="1" w:styleId="a2">
    <w:name w:val="附件樣式"/>
    <w:basedOn w:val="a6"/>
    <w:qFormat/>
    <w:rsid w:val="00EC7569"/>
    <w:pPr>
      <w:keepNext/>
      <w:numPr>
        <w:numId w:val="20"/>
      </w:numPr>
      <w:outlineLvl w:val="0"/>
    </w:pPr>
    <w:rPr>
      <w:kern w:val="32"/>
    </w:rPr>
  </w:style>
  <w:style w:type="character" w:customStyle="1" w:styleId="90">
    <w:name w:val="標題 9 字元"/>
    <w:basedOn w:val="a7"/>
    <w:link w:val="9"/>
    <w:uiPriority w:val="9"/>
    <w:rsid w:val="00EC7569"/>
    <w:rPr>
      <w:rFonts w:ascii="標楷體" w:eastAsia="標楷體" w:hAnsiTheme="majorHAnsi" w:cstheme="majorBidi"/>
      <w:kern w:val="32"/>
      <w:sz w:val="32"/>
      <w:szCs w:val="36"/>
    </w:rPr>
  </w:style>
  <w:style w:type="paragraph" w:customStyle="1" w:styleId="92">
    <w:name w:val="段落樣式9"/>
    <w:basedOn w:val="82"/>
    <w:qFormat/>
    <w:rsid w:val="00EC7569"/>
    <w:pPr>
      <w:ind w:leftChars="1000" w:left="1000"/>
    </w:pPr>
  </w:style>
  <w:style w:type="paragraph" w:styleId="aff">
    <w:name w:val="footnote text"/>
    <w:basedOn w:val="a6"/>
    <w:link w:val="aff0"/>
    <w:uiPriority w:val="99"/>
    <w:semiHidden/>
    <w:unhideWhenUsed/>
    <w:rsid w:val="00906153"/>
    <w:pPr>
      <w:snapToGrid w:val="0"/>
      <w:jc w:val="left"/>
    </w:pPr>
    <w:rPr>
      <w:sz w:val="20"/>
    </w:rPr>
  </w:style>
  <w:style w:type="character" w:customStyle="1" w:styleId="aff0">
    <w:name w:val="註腳文字 字元"/>
    <w:basedOn w:val="a7"/>
    <w:link w:val="aff"/>
    <w:uiPriority w:val="99"/>
    <w:semiHidden/>
    <w:rsid w:val="00906153"/>
    <w:rPr>
      <w:rFonts w:ascii="標楷體" w:eastAsia="標楷體"/>
      <w:kern w:val="2"/>
    </w:rPr>
  </w:style>
  <w:style w:type="character" w:styleId="aff1">
    <w:name w:val="footnote reference"/>
    <w:basedOn w:val="a7"/>
    <w:uiPriority w:val="99"/>
    <w:semiHidden/>
    <w:unhideWhenUsed/>
    <w:rsid w:val="00906153"/>
    <w:rPr>
      <w:vertAlign w:val="superscript"/>
    </w:rPr>
  </w:style>
  <w:style w:type="paragraph" w:customStyle="1" w:styleId="aff2">
    <w:name w:val="表樣式"/>
    <w:basedOn w:val="a6"/>
    <w:next w:val="a6"/>
    <w:rsid w:val="00FE1848"/>
    <w:pPr>
      <w:tabs>
        <w:tab w:val="num" w:pos="1440"/>
      </w:tabs>
      <w:overflowPunct/>
      <w:autoSpaceDE/>
      <w:autoSpaceDN/>
      <w:ind w:left="695" w:hanging="695"/>
    </w:pPr>
    <w:rPr>
      <w:kern w:val="0"/>
    </w:rPr>
  </w:style>
  <w:style w:type="character" w:styleId="aff3">
    <w:name w:val="Strong"/>
    <w:uiPriority w:val="22"/>
    <w:qFormat/>
    <w:rsid w:val="00FE1848"/>
    <w:rPr>
      <w:b/>
      <w:bCs/>
    </w:rPr>
  </w:style>
  <w:style w:type="paragraph" w:customStyle="1" w:styleId="aff4">
    <w:name w:val="圖樣式"/>
    <w:basedOn w:val="a6"/>
    <w:next w:val="a6"/>
    <w:rsid w:val="00FE1848"/>
    <w:pPr>
      <w:overflowPunct/>
      <w:autoSpaceDE/>
      <w:autoSpaceDN/>
      <w:ind w:left="400" w:hangingChars="400" w:hanging="400"/>
    </w:pPr>
  </w:style>
  <w:style w:type="paragraph" w:styleId="Web">
    <w:name w:val="Normal (Web)"/>
    <w:basedOn w:val="a6"/>
    <w:uiPriority w:val="99"/>
    <w:semiHidden/>
    <w:unhideWhenUsed/>
    <w:rsid w:val="00FE1848"/>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character" w:customStyle="1" w:styleId="af5">
    <w:name w:val="本文縮排 字元"/>
    <w:basedOn w:val="a7"/>
    <w:link w:val="af4"/>
    <w:semiHidden/>
    <w:rsid w:val="00EC7569"/>
    <w:rPr>
      <w:rFonts w:ascii="標楷體" w:eastAsia="標楷體"/>
      <w:kern w:val="2"/>
      <w:sz w:val="32"/>
    </w:rPr>
  </w:style>
  <w:style w:type="character" w:customStyle="1" w:styleId="ad">
    <w:name w:val="章節附註文字 字元"/>
    <w:basedOn w:val="a7"/>
    <w:link w:val="ac"/>
    <w:semiHidden/>
    <w:rsid w:val="00EC7569"/>
    <w:rPr>
      <w:rFonts w:ascii="標楷體" w:eastAsia="標楷體"/>
      <w:snapToGrid w:val="0"/>
      <w:spacing w:val="10"/>
      <w:kern w:val="2"/>
      <w:sz w:val="32"/>
    </w:rPr>
  </w:style>
  <w:style w:type="character" w:customStyle="1" w:styleId="af8">
    <w:name w:val="頁尾 字元"/>
    <w:basedOn w:val="a7"/>
    <w:link w:val="af7"/>
    <w:semiHidden/>
    <w:rsid w:val="00EC7569"/>
    <w:rPr>
      <w:rFonts w:ascii="標楷體" w:eastAsia="標楷體"/>
      <w:kern w:val="2"/>
    </w:rPr>
  </w:style>
  <w:style w:type="character" w:customStyle="1" w:styleId="af0">
    <w:name w:val="頁首 字元"/>
    <w:basedOn w:val="a7"/>
    <w:link w:val="af"/>
    <w:semiHidden/>
    <w:rsid w:val="00EC7569"/>
    <w:rPr>
      <w:rFonts w:ascii="標楷體" w:eastAsia="標楷體"/>
      <w:kern w:val="2"/>
    </w:rPr>
  </w:style>
  <w:style w:type="character" w:customStyle="1" w:styleId="10">
    <w:name w:val="標題 1 字元"/>
    <w:basedOn w:val="a7"/>
    <w:link w:val="1"/>
    <w:rsid w:val="00EC7569"/>
    <w:rPr>
      <w:rFonts w:ascii="標楷體" w:eastAsia="標楷體" w:hAnsi="Arial"/>
      <w:bCs/>
      <w:kern w:val="32"/>
      <w:sz w:val="32"/>
      <w:szCs w:val="52"/>
    </w:rPr>
  </w:style>
  <w:style w:type="character" w:customStyle="1" w:styleId="20">
    <w:name w:val="標題 2 字元"/>
    <w:basedOn w:val="a7"/>
    <w:link w:val="2"/>
    <w:rsid w:val="00EC7569"/>
    <w:rPr>
      <w:rFonts w:ascii="標楷體" w:eastAsia="標楷體" w:hAnsi="Arial"/>
      <w:bCs/>
      <w:kern w:val="32"/>
      <w:sz w:val="32"/>
      <w:szCs w:val="48"/>
    </w:rPr>
  </w:style>
  <w:style w:type="character" w:customStyle="1" w:styleId="30">
    <w:name w:val="標題 3 字元"/>
    <w:basedOn w:val="a7"/>
    <w:link w:val="3"/>
    <w:rsid w:val="00EC7569"/>
    <w:rPr>
      <w:rFonts w:ascii="標楷體" w:eastAsia="標楷體" w:hAnsi="Arial"/>
      <w:bCs/>
      <w:kern w:val="32"/>
      <w:sz w:val="32"/>
      <w:szCs w:val="36"/>
    </w:rPr>
  </w:style>
  <w:style w:type="character" w:customStyle="1" w:styleId="40">
    <w:name w:val="標題 4 字元"/>
    <w:basedOn w:val="a7"/>
    <w:link w:val="4"/>
    <w:rsid w:val="00EC7569"/>
    <w:rPr>
      <w:rFonts w:ascii="標楷體" w:eastAsia="標楷體" w:hAnsi="Arial"/>
      <w:kern w:val="32"/>
      <w:sz w:val="32"/>
      <w:szCs w:val="36"/>
    </w:rPr>
  </w:style>
  <w:style w:type="character" w:customStyle="1" w:styleId="50">
    <w:name w:val="標題 5 字元"/>
    <w:basedOn w:val="a7"/>
    <w:link w:val="5"/>
    <w:rsid w:val="00EC7569"/>
    <w:rPr>
      <w:rFonts w:ascii="標楷體" w:eastAsia="標楷體" w:hAnsi="Arial"/>
      <w:bCs/>
      <w:kern w:val="32"/>
      <w:sz w:val="32"/>
      <w:szCs w:val="36"/>
    </w:rPr>
  </w:style>
  <w:style w:type="character" w:customStyle="1" w:styleId="60">
    <w:name w:val="標題 6 字元"/>
    <w:basedOn w:val="a7"/>
    <w:link w:val="6"/>
    <w:rsid w:val="00EC7569"/>
    <w:rPr>
      <w:rFonts w:ascii="標楷體" w:eastAsia="標楷體" w:hAnsi="Arial"/>
      <w:kern w:val="32"/>
      <w:sz w:val="32"/>
      <w:szCs w:val="36"/>
    </w:rPr>
  </w:style>
  <w:style w:type="character" w:customStyle="1" w:styleId="70">
    <w:name w:val="標題 7 字元"/>
    <w:basedOn w:val="a7"/>
    <w:link w:val="7"/>
    <w:rsid w:val="00EC7569"/>
    <w:rPr>
      <w:rFonts w:ascii="標楷體" w:eastAsia="標楷體" w:hAnsi="Arial"/>
      <w:bCs/>
      <w:kern w:val="32"/>
      <w:sz w:val="32"/>
      <w:szCs w:val="36"/>
    </w:rPr>
  </w:style>
  <w:style w:type="character" w:customStyle="1" w:styleId="80">
    <w:name w:val="標題 8 字元"/>
    <w:basedOn w:val="a7"/>
    <w:link w:val="8"/>
    <w:rsid w:val="00EC7569"/>
    <w:rPr>
      <w:rFonts w:ascii="標楷體" w:eastAsia="標楷體" w:hAnsi="Arial"/>
      <w:kern w:val="32"/>
      <w:sz w:val="32"/>
      <w:szCs w:val="36"/>
    </w:rPr>
  </w:style>
  <w:style w:type="character" w:customStyle="1" w:styleId="ab">
    <w:name w:val="簽名 字元"/>
    <w:basedOn w:val="a7"/>
    <w:link w:val="aa"/>
    <w:semiHidden/>
    <w:rsid w:val="00EC7569"/>
    <w:rPr>
      <w:rFonts w:ascii="標楷體" w:eastAsia="標楷體"/>
      <w:b/>
      <w:snapToGrid w:val="0"/>
      <w:spacing w:val="10"/>
      <w:kern w:val="2"/>
      <w:sz w:val="36"/>
    </w:rPr>
  </w:style>
  <w:style w:type="paragraph" w:styleId="aff5">
    <w:name w:val="Plain Text"/>
    <w:basedOn w:val="a6"/>
    <w:link w:val="aff6"/>
    <w:uiPriority w:val="99"/>
    <w:semiHidden/>
    <w:unhideWhenUsed/>
    <w:rsid w:val="00EC7569"/>
    <w:pPr>
      <w:overflowPunct/>
      <w:autoSpaceDE/>
      <w:autoSpaceDN/>
      <w:jc w:val="left"/>
    </w:pPr>
    <w:rPr>
      <w:rFonts w:ascii="Calibri" w:hAnsi="Courier New" w:cs="Courier New"/>
      <w:color w:val="244061" w:themeColor="accent1" w:themeShade="80"/>
      <w:kern w:val="0"/>
      <w:sz w:val="28"/>
      <w:szCs w:val="24"/>
    </w:rPr>
  </w:style>
  <w:style w:type="character" w:customStyle="1" w:styleId="aff6">
    <w:name w:val="純文字 字元"/>
    <w:basedOn w:val="a7"/>
    <w:link w:val="aff5"/>
    <w:uiPriority w:val="99"/>
    <w:semiHidden/>
    <w:rsid w:val="00EC7569"/>
    <w:rPr>
      <w:rFonts w:ascii="Calibri" w:eastAsia="標楷體" w:hAnsi="Courier New" w:cs="Courier New"/>
      <w:color w:val="244061" w:themeColor="accent1" w:themeShade="80"/>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743532">
      <w:bodyDiv w:val="1"/>
      <w:marLeft w:val="0"/>
      <w:marRight w:val="0"/>
      <w:marTop w:val="0"/>
      <w:marBottom w:val="0"/>
      <w:divBdr>
        <w:top w:val="none" w:sz="0" w:space="0" w:color="auto"/>
        <w:left w:val="none" w:sz="0" w:space="0" w:color="auto"/>
        <w:bottom w:val="none" w:sz="0" w:space="0" w:color="auto"/>
        <w:right w:val="none" w:sz="0" w:space="0" w:color="auto"/>
      </w:divBdr>
      <w:divsChild>
        <w:div w:id="479228953">
          <w:marLeft w:val="446"/>
          <w:marRight w:val="0"/>
          <w:marTop w:val="0"/>
          <w:marBottom w:val="0"/>
          <w:divBdr>
            <w:top w:val="none" w:sz="0" w:space="0" w:color="auto"/>
            <w:left w:val="none" w:sz="0" w:space="0" w:color="auto"/>
            <w:bottom w:val="none" w:sz="0" w:space="0" w:color="auto"/>
            <w:right w:val="none" w:sz="0" w:space="0" w:color="auto"/>
          </w:divBdr>
        </w:div>
      </w:divsChild>
    </w:div>
    <w:div w:id="338966476">
      <w:bodyDiv w:val="1"/>
      <w:marLeft w:val="0"/>
      <w:marRight w:val="0"/>
      <w:marTop w:val="0"/>
      <w:marBottom w:val="0"/>
      <w:divBdr>
        <w:top w:val="none" w:sz="0" w:space="0" w:color="auto"/>
        <w:left w:val="none" w:sz="0" w:space="0" w:color="auto"/>
        <w:bottom w:val="none" w:sz="0" w:space="0" w:color="auto"/>
        <w:right w:val="none" w:sz="0" w:space="0" w:color="auto"/>
      </w:divBdr>
      <w:divsChild>
        <w:div w:id="1707295022">
          <w:marLeft w:val="446"/>
          <w:marRight w:val="0"/>
          <w:marTop w:val="0"/>
          <w:marBottom w:val="0"/>
          <w:divBdr>
            <w:top w:val="none" w:sz="0" w:space="0" w:color="auto"/>
            <w:left w:val="none" w:sz="0" w:space="0" w:color="auto"/>
            <w:bottom w:val="none" w:sz="0" w:space="0" w:color="auto"/>
            <w:right w:val="none" w:sz="0" w:space="0" w:color="auto"/>
          </w:divBdr>
        </w:div>
      </w:divsChild>
    </w:div>
    <w:div w:id="583806966">
      <w:bodyDiv w:val="1"/>
      <w:marLeft w:val="0"/>
      <w:marRight w:val="0"/>
      <w:marTop w:val="0"/>
      <w:marBottom w:val="0"/>
      <w:divBdr>
        <w:top w:val="none" w:sz="0" w:space="0" w:color="auto"/>
        <w:left w:val="none" w:sz="0" w:space="0" w:color="auto"/>
        <w:bottom w:val="none" w:sz="0" w:space="0" w:color="auto"/>
        <w:right w:val="none" w:sz="0" w:space="0" w:color="auto"/>
      </w:divBdr>
    </w:div>
    <w:div w:id="663703018">
      <w:bodyDiv w:val="1"/>
      <w:marLeft w:val="0"/>
      <w:marRight w:val="0"/>
      <w:marTop w:val="0"/>
      <w:marBottom w:val="0"/>
      <w:divBdr>
        <w:top w:val="none" w:sz="0" w:space="0" w:color="auto"/>
        <w:left w:val="none" w:sz="0" w:space="0" w:color="auto"/>
        <w:bottom w:val="none" w:sz="0" w:space="0" w:color="auto"/>
        <w:right w:val="none" w:sz="0" w:space="0" w:color="auto"/>
      </w:divBdr>
    </w:div>
    <w:div w:id="1812399750">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_rels/footnotes.xml.rels><?xml version="1.0" encoding="UTF-8" standalone="yes"?>
<Relationships xmlns="http://schemas.openxmlformats.org/package/2006/relationships"><Relationship Id="rId2" Type="http://schemas.openxmlformats.org/officeDocument/2006/relationships/hyperlink" Target="https://ppp.mof.gov.tw/PPP.Website/" TargetMode="External"/><Relationship Id="rId1" Type="http://schemas.openxmlformats.org/officeDocument/2006/relationships/hyperlink" Target="http://www.doed.gov.taipei/News_Content.aspx?n=D8AA98C34376D153&amp;sms=28BB6CC9248C1740&amp;s=2CB1AD13CB600795"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A19EE7-D116-4D37-B2C9-FEAFCED4D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0</TotalTime>
  <Pages>35</Pages>
  <Words>2770</Words>
  <Characters>15789</Characters>
  <Application>Microsoft Office Word</Application>
  <DocSecurity>0</DocSecurity>
  <Lines>131</Lines>
  <Paragraphs>37</Paragraphs>
  <ScaleCrop>false</ScaleCrop>
  <Company>cy</Company>
  <LinksUpToDate>false</LinksUpToDate>
  <CharactersWithSpaces>18522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容梅玲</dc:creator>
  <cp:lastModifiedBy>曾莉雯</cp:lastModifiedBy>
  <cp:revision>2</cp:revision>
  <cp:lastPrinted>2018-02-06T02:26:00Z</cp:lastPrinted>
  <dcterms:created xsi:type="dcterms:W3CDTF">2019-04-18T02:31:00Z</dcterms:created>
  <dcterms:modified xsi:type="dcterms:W3CDTF">2019-04-18T02:31:00Z</dcterms:modified>
</cp:coreProperties>
</file>