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F7D72" w:rsidRDefault="00A4015F" w:rsidP="00F37D7B">
      <w:pPr>
        <w:pStyle w:val="af2"/>
      </w:pPr>
      <w:r w:rsidRPr="00DF7D72">
        <w:rPr>
          <w:rFonts w:hint="eastAsia"/>
        </w:rPr>
        <w:t>調查報告</w:t>
      </w:r>
    </w:p>
    <w:p w:rsidR="00E25849" w:rsidRPr="00DF7D72" w:rsidRDefault="00E25849" w:rsidP="003B694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F7D7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B6944" w:rsidRPr="00DF7D72">
        <w:rPr>
          <w:rFonts w:hint="eastAsia"/>
        </w:rPr>
        <w:t>芬普尼毒蛋風暴延燒，行政院農業委員會共採檢1,453間蛋雞場，多達45間蛋雞場遭驗出殘留芬普尼超標，問題蛋超過155萬顆以上，引發食安問題，其發生始末究係如何？後續之回收處理是否完全？又針對蛋雞之防疫、畜舍、飼養管理、用藥安全、飼料添加物的使用，是否合乎安全衛生，相關之規範是否周全？對農畜產品相關之TAP或QRCORD等認證標章之稽核是否流於寬鬆？另6萬顆芬普尼雞蛋流向不明，究竟上市之雞蛋是否已然安全，對業界調貨換蛋致影響溯源的做法，有無防弊的機制？均有深入了解之必要案。</w:t>
      </w:r>
    </w:p>
    <w:p w:rsidR="00E25849" w:rsidRPr="00DF7D72" w:rsidRDefault="008F36E2"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DF7D7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36707" w:rsidRPr="00DF7D72" w:rsidRDefault="00836707" w:rsidP="00836707">
      <w:pPr>
        <w:pStyle w:val="10"/>
        <w:ind w:left="680" w:firstLine="680"/>
      </w:pPr>
      <w:bookmarkStart w:id="50" w:name="_Toc524902730"/>
      <w:r w:rsidRPr="00DF7D72">
        <w:rPr>
          <w:rFonts w:hint="eastAsia"/>
        </w:rPr>
        <w:t>民國（下同）106年8月4日媒體報導歐洲雞蛋檢出芬普尼</w:t>
      </w:r>
      <w:r w:rsidR="00093E34" w:rsidRPr="00DF7D72">
        <w:rPr>
          <w:rFonts w:hAnsi="標楷體" w:cs="Arial"/>
          <w:spacing w:val="12"/>
          <w:szCs w:val="32"/>
        </w:rPr>
        <w:t>(fipronil</w:t>
      </w:r>
      <w:r w:rsidR="00093E34" w:rsidRPr="00DF7D72">
        <w:rPr>
          <w:rFonts w:hAnsi="標楷體" w:cs="Arial" w:hint="eastAsia"/>
          <w:spacing w:val="12"/>
          <w:szCs w:val="32"/>
        </w:rPr>
        <w:t>，下同</w:t>
      </w:r>
      <w:r w:rsidR="00093E34" w:rsidRPr="00DF7D72">
        <w:rPr>
          <w:rFonts w:hAnsi="標楷體" w:cs="Arial"/>
          <w:spacing w:val="12"/>
          <w:szCs w:val="32"/>
        </w:rPr>
        <w:t>)</w:t>
      </w:r>
      <w:r w:rsidRPr="00DF7D72">
        <w:rPr>
          <w:rFonts w:hint="eastAsia"/>
        </w:rPr>
        <w:t>殘留不合規定，</w:t>
      </w:r>
      <w:r w:rsidR="00093E34" w:rsidRPr="00DF7D72">
        <w:rPr>
          <w:rFonts w:hint="eastAsia"/>
        </w:rPr>
        <w:t>我國也爆發此事件，而行政院農業委員會（下稱農委會）共採檢1,453間蛋雞場</w:t>
      </w:r>
      <w:r w:rsidR="00BB3D98" w:rsidRPr="00DF7D72">
        <w:rPr>
          <w:rStyle w:val="aff"/>
        </w:rPr>
        <w:footnoteReference w:id="1"/>
      </w:r>
      <w:r w:rsidR="00093E34" w:rsidRPr="00DF7D72">
        <w:rPr>
          <w:rFonts w:hint="eastAsia"/>
        </w:rPr>
        <w:t>，多達45間蛋雞場遭驗出殘留芬普尼超標，問題蛋超過155萬顆以上，引發食安問題，其發生始末究係如何？後續之回收處理是否完全？又針對蛋雞之防疫、畜舍、飼養管理、用藥安全、飼料添加物的使用，是否合乎安全衛生，相關之規範是否周全？對農畜產品相關之</w:t>
      </w:r>
      <w:r w:rsidR="00BB3D98" w:rsidRPr="00DF7D72">
        <w:rPr>
          <w:rFonts w:hint="eastAsia"/>
        </w:rPr>
        <w:t>產銷履歷</w:t>
      </w:r>
      <w:r w:rsidR="00093E34" w:rsidRPr="00DF7D72">
        <w:rPr>
          <w:rFonts w:hint="eastAsia"/>
        </w:rPr>
        <w:t>或</w:t>
      </w:r>
      <w:r w:rsidR="00BB3D98" w:rsidRPr="00DF7D72">
        <w:rPr>
          <w:rFonts w:hint="eastAsia"/>
        </w:rPr>
        <w:t>溯源管理制度</w:t>
      </w:r>
      <w:r w:rsidR="00093E34" w:rsidRPr="00DF7D72">
        <w:rPr>
          <w:rFonts w:hint="eastAsia"/>
        </w:rPr>
        <w:t>等認證標章之稽核是否流於寬鬆？且6萬顆芬普尼雞蛋流向不明，究竟上市之雞蛋是否已然安全，對業界調貨換蛋致影響溯源的做法，有無防</w:t>
      </w:r>
      <w:r w:rsidR="00093E34" w:rsidRPr="00DF7D72">
        <w:rPr>
          <w:rFonts w:hint="eastAsia"/>
        </w:rPr>
        <w:lastRenderedPageBreak/>
        <w:t>弊的機制？另同年9月18日臺北市政府衛生局（下稱臺北市衛生局）發布新聞表示，所抽檢市售雞蛋驗出</w:t>
      </w:r>
      <w:r w:rsidR="00093E34" w:rsidRPr="00DF7D72">
        <w:rPr>
          <w:rFonts w:hAnsi="標楷體" w:hint="eastAsia"/>
          <w:szCs w:val="32"/>
        </w:rPr>
        <w:t>芬普尼</w:t>
      </w:r>
      <w:r w:rsidR="00093E34" w:rsidRPr="00DF7D72">
        <w:rPr>
          <w:rFonts w:hint="eastAsia"/>
        </w:rPr>
        <w:t>10ppb，究相關抽驗檢測及芬普尼毒蛋於市面流通與管制情形為何？均有</w:t>
      </w:r>
      <w:r w:rsidRPr="00DF7D72">
        <w:rPr>
          <w:rFonts w:hint="eastAsia"/>
        </w:rPr>
        <w:t>究明之必要。</w:t>
      </w:r>
    </w:p>
    <w:p w:rsidR="00836707" w:rsidRPr="00DF7D72" w:rsidRDefault="00836707" w:rsidP="00836707">
      <w:pPr>
        <w:pStyle w:val="10"/>
        <w:ind w:left="680" w:firstLine="680"/>
      </w:pPr>
      <w:r w:rsidRPr="00DF7D72">
        <w:rPr>
          <w:rFonts w:hint="eastAsia"/>
        </w:rPr>
        <w:t>案經函請農委會、衛生福利部（下稱衛福部）、臺北市衛生局等機關提供卷證資料，並於106年11月27日諮詢專家學者，再於106年12月8日詢問農委會黃金城副主任委員及所屬畜牧處（下稱畜牧處）、藥物毒物試驗所（下稱藥毒所）、動植物防疫檢疫局（下稱防檢局）、衛福部食品藥物管理署（下稱食藥署）及所屬中區管理中心等相關人員，現據機關查復及詢問前後提供卷證等資料</w:t>
      </w:r>
      <w:r w:rsidRPr="00DF7D72">
        <w:rPr>
          <w:rStyle w:val="aff"/>
        </w:rPr>
        <w:footnoteReference w:id="2"/>
      </w:r>
      <w:r w:rsidRPr="00DF7D72">
        <w:rPr>
          <w:rFonts w:hint="eastAsia"/>
        </w:rPr>
        <w:t>，已調查竣事，茲臚列調查意見如下：</w:t>
      </w:r>
    </w:p>
    <w:p w:rsidR="007A2AB7" w:rsidRPr="00DF7D72" w:rsidRDefault="007A2AB7" w:rsidP="007A2AB7">
      <w:pPr>
        <w:pStyle w:val="2"/>
        <w:rPr>
          <w:b/>
        </w:rPr>
      </w:pPr>
      <w:bookmarkStart w:id="51" w:name="_Toc421794873"/>
      <w:bookmarkStart w:id="52" w:name="_Toc422834158"/>
      <w:r w:rsidRPr="00DF7D72">
        <w:rPr>
          <w:rFonts w:hint="eastAsia"/>
          <w:b/>
        </w:rPr>
        <w:t>對於本次雞蛋遭芬普尼污染事件，食藥署僅抽檢10件雞蛋樣品，且抽檢對象均為銷售通路末端之超市賣場，復均屬盒裝蛋品，未涵蓋零售蛋商及散裝雞蛋等，爰不論樣品數及抽樣範圍均有疑義，其代表性明顯不足，該署於此情形下竟率先於106年8月18日發布新聞稿表示市售蛋品無檢出芬普尼，致民眾誤以為安全無虞，惟2日後(8月20日)農委會卻發現蛋雞場雞蛋有芬普尼污染情事，日後更擴大檢出多達44件不合格案件，</w:t>
      </w:r>
      <w:r w:rsidR="00CF584A" w:rsidRPr="00DF7D72">
        <w:rPr>
          <w:rFonts w:hint="eastAsia"/>
          <w:b/>
        </w:rPr>
        <w:t>凸顯</w:t>
      </w:r>
      <w:r w:rsidRPr="00DF7D72">
        <w:rPr>
          <w:rFonts w:hint="eastAsia"/>
          <w:b/>
        </w:rPr>
        <w:t>食藥署</w:t>
      </w:r>
      <w:r w:rsidR="00CF584A" w:rsidRPr="00DF7D72">
        <w:rPr>
          <w:rFonts w:hint="eastAsia"/>
          <w:b/>
        </w:rPr>
        <w:t>前抽檢之作為</w:t>
      </w:r>
      <w:r w:rsidRPr="00DF7D72">
        <w:rPr>
          <w:rFonts w:hint="eastAsia"/>
          <w:b/>
        </w:rPr>
        <w:t>草率不周；另農委會雖進行全國蛋雞場芬普尼檢驗，並於8月25日公布抽檢結果及對於檢出場進行移動管制等後續處理事宜，惟9月14日市場端仍檢出有遭芬普尼污染之雞蛋，顯見該會針對此事件所採行之全面抽檢方式及後續處理結果，仍未能免除國人食入遭芬普尼污染雞蛋的風</w:t>
      </w:r>
      <w:r w:rsidRPr="00DF7D72">
        <w:rPr>
          <w:rFonts w:hint="eastAsia"/>
          <w:b/>
        </w:rPr>
        <w:lastRenderedPageBreak/>
        <w:t>險，均有待檢討改善。</w:t>
      </w:r>
    </w:p>
    <w:p w:rsidR="001500F7" w:rsidRPr="00DF7D72" w:rsidRDefault="008A7126" w:rsidP="008A7126">
      <w:pPr>
        <w:pStyle w:val="3"/>
      </w:pPr>
      <w:r w:rsidRPr="00DF7D72">
        <w:rPr>
          <w:rFonts w:hint="eastAsia"/>
        </w:rPr>
        <w:t>106年8月</w:t>
      </w:r>
      <w:r w:rsidR="00AE76E7" w:rsidRPr="00DF7D72">
        <w:rPr>
          <w:rFonts w:hint="eastAsia"/>
        </w:rPr>
        <w:t>歐洲國家陸續爆發雞蛋遭芬普尼污染之事件，據衛福部查復，</w:t>
      </w:r>
      <w:r w:rsidR="00441576" w:rsidRPr="00DF7D72">
        <w:rPr>
          <w:rFonts w:hint="eastAsia"/>
        </w:rPr>
        <w:t>主要國家為德國、比利時及荷蘭</w:t>
      </w:r>
      <w:r w:rsidR="00022769" w:rsidRPr="00DF7D72">
        <w:rPr>
          <w:rFonts w:hint="eastAsia"/>
        </w:rPr>
        <w:t>，且</w:t>
      </w:r>
      <w:r w:rsidR="00AE76E7" w:rsidRPr="00DF7D72">
        <w:rPr>
          <w:rFonts w:hint="eastAsia"/>
        </w:rPr>
        <w:t>截至西元2017年9月5日止，歐盟28個會員國中共有26國雞蛋製品遭芬普尼污染，加上美國、俄羅斯、南非、南韓、瑞士、香港、阿拉伯聯合大公國、烏克蘭</w:t>
      </w:r>
      <w:r w:rsidR="00022769" w:rsidRPr="00DF7D72">
        <w:rPr>
          <w:rFonts w:hint="eastAsia"/>
        </w:rPr>
        <w:t>、</w:t>
      </w:r>
      <w:r w:rsidR="00AE76E7" w:rsidRPr="00DF7D72">
        <w:rPr>
          <w:rFonts w:hint="eastAsia"/>
        </w:rPr>
        <w:t>土耳其</w:t>
      </w:r>
      <w:r w:rsidR="00022769" w:rsidRPr="00DF7D72">
        <w:rPr>
          <w:rFonts w:hint="eastAsia"/>
        </w:rPr>
        <w:t>……</w:t>
      </w:r>
      <w:r w:rsidR="00AE76E7" w:rsidRPr="00DF7D72">
        <w:rPr>
          <w:rFonts w:hint="eastAsia"/>
        </w:rPr>
        <w:t>等非歐盟19國，共計45國雞蛋製品</w:t>
      </w:r>
      <w:r w:rsidR="00441576" w:rsidRPr="00DF7D72">
        <w:rPr>
          <w:rFonts w:hint="eastAsia"/>
        </w:rPr>
        <w:t>遭芬普尼污染</w:t>
      </w:r>
      <w:r w:rsidR="00441576" w:rsidRPr="00DF7D72">
        <w:rPr>
          <w:rStyle w:val="aff"/>
        </w:rPr>
        <w:footnoteReference w:id="3"/>
      </w:r>
      <w:r w:rsidR="00441576" w:rsidRPr="00DF7D72">
        <w:rPr>
          <w:rFonts w:hint="eastAsia"/>
        </w:rPr>
        <w:t>。我國食藥署及農委會鑑此，分別展開監測</w:t>
      </w:r>
      <w:r w:rsidR="003E1889" w:rsidRPr="00DF7D72">
        <w:rPr>
          <w:rFonts w:hint="eastAsia"/>
        </w:rPr>
        <w:t>計畫</w:t>
      </w:r>
      <w:r w:rsidR="00441576" w:rsidRPr="00DF7D72">
        <w:rPr>
          <w:rFonts w:hint="eastAsia"/>
        </w:rPr>
        <w:t>，以釐清國內蛋雞場及市場端雞蛋遭芬普尼污染之情形。</w:t>
      </w:r>
    </w:p>
    <w:p w:rsidR="00C93C22" w:rsidRDefault="00441576" w:rsidP="005F3AD2">
      <w:pPr>
        <w:pStyle w:val="3"/>
      </w:pPr>
      <w:r w:rsidRPr="00DF7D72">
        <w:rPr>
          <w:rFonts w:hint="eastAsia"/>
        </w:rPr>
        <w:t>按</w:t>
      </w:r>
      <w:r w:rsidRPr="00DF7D72">
        <w:t>「動物產品中農藥殘留容許量標準」</w:t>
      </w:r>
      <w:r w:rsidRPr="00DF7D72">
        <w:rPr>
          <w:rFonts w:hint="eastAsia"/>
        </w:rPr>
        <w:t>第3條規定，雞蛋不得檢出芬普尼，食藥署於106年8月16日啟動</w:t>
      </w:r>
      <w:r w:rsidR="00A01664" w:rsidRPr="00DF7D72">
        <w:t>抽驗</w:t>
      </w:r>
      <w:r w:rsidR="003E1889" w:rsidRPr="00DF7D72">
        <w:rPr>
          <w:rFonts w:hint="eastAsia"/>
        </w:rPr>
        <w:t>作業</w:t>
      </w:r>
      <w:r w:rsidR="00A01664" w:rsidRPr="00DF7D72">
        <w:rPr>
          <w:rFonts w:hint="eastAsia"/>
        </w:rPr>
        <w:t>，於</w:t>
      </w:r>
      <w:r w:rsidR="00A01664" w:rsidRPr="00DF7D72">
        <w:t>北</w:t>
      </w:r>
      <w:r w:rsidR="00A01664" w:rsidRPr="00DF7D72">
        <w:rPr>
          <w:rFonts w:hint="eastAsia"/>
        </w:rPr>
        <w:t>、</w:t>
      </w:r>
      <w:r w:rsidR="00A01664" w:rsidRPr="00DF7D72">
        <w:t>中</w:t>
      </w:r>
      <w:r w:rsidR="00A01664" w:rsidRPr="00DF7D72">
        <w:rPr>
          <w:rFonts w:hint="eastAsia"/>
        </w:rPr>
        <w:t>、</w:t>
      </w:r>
      <w:r w:rsidR="00A01664" w:rsidRPr="00DF7D72">
        <w:t>南</w:t>
      </w:r>
      <w:r w:rsidR="00A01664" w:rsidRPr="00DF7D72">
        <w:rPr>
          <w:rFonts w:hint="eastAsia"/>
        </w:rPr>
        <w:t>3</w:t>
      </w:r>
      <w:r w:rsidR="00A01664" w:rsidRPr="00DF7D72">
        <w:t>區共計抽驗10件</w:t>
      </w:r>
      <w:r w:rsidR="00A01664" w:rsidRPr="00DF7D72">
        <w:rPr>
          <w:rFonts w:hint="eastAsia"/>
        </w:rPr>
        <w:t>，所抽檢對象主要為農會、超市及購物中心等</w:t>
      </w:r>
      <w:r w:rsidR="00022769" w:rsidRPr="00DF7D72">
        <w:rPr>
          <w:rFonts w:hint="eastAsia"/>
        </w:rPr>
        <w:t>(如</w:t>
      </w:r>
      <w:r w:rsidR="00E16B90">
        <w:rPr>
          <w:rFonts w:hint="eastAsia"/>
        </w:rPr>
        <w:t>附表</w:t>
      </w:r>
      <w:r w:rsidR="00022769" w:rsidRPr="00DF7D72">
        <w:rPr>
          <w:rFonts w:hint="eastAsia"/>
        </w:rPr>
        <w:t>所示)</w:t>
      </w:r>
      <w:r w:rsidR="00A01664" w:rsidRPr="00DF7D72">
        <w:rPr>
          <w:rFonts w:hint="eastAsia"/>
        </w:rPr>
        <w:t>，且</w:t>
      </w:r>
      <w:r w:rsidR="00C93C22" w:rsidRPr="00DF7D72">
        <w:rPr>
          <w:rFonts w:hint="eastAsia"/>
        </w:rPr>
        <w:t>均為盒裝雞蛋，而檢驗結果均未驗出芬普尼，爰食藥署於106年8月18日發布新聞稿表示：「</w:t>
      </w:r>
      <w:r w:rsidRPr="00DF7D72">
        <w:t>為消除民眾疑慮，使民眾安心食用雞蛋，食藥署展現高效率，106年8月16日啟動抽驗專案，僅僅2天之內完成抽樣、檢驗方法確效試驗評估、檢驗方法公開，充分展現國家級實驗室的軟實力，並經實驗室人員徹夜努力，原本預計8月23日才會有結果，現於8月18日即完成檢驗，10件雞蛋之檢驗結果皆未檢出芬普尼。</w:t>
      </w:r>
      <w:r w:rsidR="005F3AD2" w:rsidRPr="00DF7D72">
        <w:rPr>
          <w:rFonts w:hint="eastAsia"/>
        </w:rPr>
        <w:t>食藥署未來持續關注各種國際相關輿情並預做因應，積極展現維護民眾食安之決心，戮力把關國人飲食安全。</w:t>
      </w:r>
      <w:r w:rsidR="00C93C22" w:rsidRPr="00DF7D72">
        <w:rPr>
          <w:rFonts w:hint="eastAsia"/>
        </w:rPr>
        <w:t>」</w:t>
      </w:r>
    </w:p>
    <w:p w:rsidR="00E16B90" w:rsidRPr="00E16B90" w:rsidRDefault="00E16B90" w:rsidP="00E16B90">
      <w:pPr>
        <w:pStyle w:val="3"/>
        <w:numPr>
          <w:ilvl w:val="0"/>
          <w:numId w:val="0"/>
        </w:numPr>
        <w:ind w:left="1361" w:hanging="1361"/>
        <w:rPr>
          <w:sz w:val="28"/>
          <w:szCs w:val="28"/>
        </w:rPr>
      </w:pPr>
      <w:r w:rsidRPr="00E16B90">
        <w:rPr>
          <w:rFonts w:hint="eastAsia"/>
          <w:sz w:val="28"/>
          <w:szCs w:val="28"/>
        </w:rPr>
        <w:t>附表 衛福部於106年8月16日抽驗雞蛋之品名、廠商及來源牧場</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7"/>
        <w:gridCol w:w="2261"/>
        <w:gridCol w:w="3068"/>
        <w:gridCol w:w="2835"/>
      </w:tblGrid>
      <w:tr w:rsidR="00DF7D72" w:rsidRPr="00DF7D72" w:rsidTr="00E16B90">
        <w:trPr>
          <w:trHeight w:val="20"/>
          <w:tblHeader/>
        </w:trPr>
        <w:tc>
          <w:tcPr>
            <w:tcW w:w="767" w:type="dxa"/>
            <w:shd w:val="clear" w:color="auto" w:fill="auto"/>
            <w:noWrap/>
            <w:vAlign w:val="center"/>
            <w:hideMark/>
          </w:tcPr>
          <w:p w:rsidR="00C93C22" w:rsidRPr="00DF7D72" w:rsidRDefault="00C93C22" w:rsidP="00E16B90">
            <w:pPr>
              <w:widowControl/>
              <w:snapToGrid w:val="0"/>
              <w:jc w:val="center"/>
              <w:rPr>
                <w:rFonts w:ascii="Times New Roman"/>
                <w:bCs/>
                <w:kern w:val="0"/>
                <w:sz w:val="28"/>
                <w:szCs w:val="28"/>
              </w:rPr>
            </w:pPr>
            <w:r w:rsidRPr="00DF7D72">
              <w:rPr>
                <w:rFonts w:ascii="Times New Roman"/>
                <w:bCs/>
                <w:kern w:val="0"/>
                <w:sz w:val="28"/>
                <w:szCs w:val="28"/>
              </w:rPr>
              <w:t>序號</w:t>
            </w:r>
          </w:p>
        </w:tc>
        <w:tc>
          <w:tcPr>
            <w:tcW w:w="2261" w:type="dxa"/>
            <w:shd w:val="clear" w:color="auto" w:fill="auto"/>
            <w:noWrap/>
            <w:vAlign w:val="center"/>
            <w:hideMark/>
          </w:tcPr>
          <w:p w:rsidR="00C93C22" w:rsidRPr="00DF7D72" w:rsidRDefault="00C93C22" w:rsidP="00E16B90">
            <w:pPr>
              <w:widowControl/>
              <w:snapToGrid w:val="0"/>
              <w:jc w:val="center"/>
              <w:rPr>
                <w:rFonts w:ascii="Times New Roman"/>
                <w:bCs/>
                <w:kern w:val="0"/>
                <w:sz w:val="28"/>
                <w:szCs w:val="28"/>
              </w:rPr>
            </w:pPr>
            <w:r w:rsidRPr="00DF7D72">
              <w:rPr>
                <w:rFonts w:ascii="Times New Roman"/>
                <w:bCs/>
                <w:kern w:val="0"/>
                <w:sz w:val="28"/>
                <w:szCs w:val="28"/>
              </w:rPr>
              <w:t>品名</w:t>
            </w:r>
          </w:p>
        </w:tc>
        <w:tc>
          <w:tcPr>
            <w:tcW w:w="3068" w:type="dxa"/>
            <w:shd w:val="clear" w:color="auto" w:fill="auto"/>
            <w:noWrap/>
            <w:vAlign w:val="center"/>
            <w:hideMark/>
          </w:tcPr>
          <w:p w:rsidR="00C93C22" w:rsidRPr="00DF7D72" w:rsidRDefault="00C93C22" w:rsidP="00E16B90">
            <w:pPr>
              <w:widowControl/>
              <w:snapToGrid w:val="0"/>
              <w:jc w:val="center"/>
              <w:rPr>
                <w:rFonts w:ascii="Times New Roman"/>
                <w:bCs/>
                <w:kern w:val="0"/>
                <w:sz w:val="28"/>
                <w:szCs w:val="28"/>
              </w:rPr>
            </w:pPr>
            <w:r w:rsidRPr="00DF7D72">
              <w:rPr>
                <w:rFonts w:ascii="Times New Roman"/>
                <w:bCs/>
                <w:kern w:val="0"/>
                <w:sz w:val="28"/>
                <w:szCs w:val="28"/>
              </w:rPr>
              <w:t>受檢廠商</w:t>
            </w:r>
          </w:p>
        </w:tc>
        <w:tc>
          <w:tcPr>
            <w:tcW w:w="2835" w:type="dxa"/>
            <w:shd w:val="clear" w:color="auto" w:fill="auto"/>
            <w:noWrap/>
            <w:vAlign w:val="center"/>
            <w:hideMark/>
          </w:tcPr>
          <w:p w:rsidR="00C93C22" w:rsidRPr="00DF7D72" w:rsidRDefault="00C93C22" w:rsidP="00E16B90">
            <w:pPr>
              <w:widowControl/>
              <w:snapToGrid w:val="0"/>
              <w:jc w:val="center"/>
              <w:rPr>
                <w:rFonts w:ascii="Times New Roman"/>
                <w:bCs/>
                <w:kern w:val="0"/>
                <w:sz w:val="28"/>
                <w:szCs w:val="28"/>
              </w:rPr>
            </w:pPr>
            <w:r w:rsidRPr="00DF7D72">
              <w:rPr>
                <w:rFonts w:ascii="Times New Roman"/>
                <w:bCs/>
                <w:kern w:val="0"/>
                <w:sz w:val="28"/>
                <w:szCs w:val="28"/>
              </w:rPr>
              <w:t>來源</w:t>
            </w:r>
            <w:r w:rsidRPr="00DF7D72">
              <w:rPr>
                <w:rFonts w:ascii="Times New Roman" w:hint="eastAsia"/>
                <w:bCs/>
                <w:kern w:val="0"/>
                <w:sz w:val="28"/>
                <w:szCs w:val="28"/>
              </w:rPr>
              <w:t>牧場</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1</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顏氏畜牧場黃金養生蛋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hint="eastAsia"/>
                <w:kern w:val="0"/>
                <w:sz w:val="28"/>
                <w:szCs w:val="28"/>
              </w:rPr>
              <w:t>臺</w:t>
            </w:r>
            <w:r w:rsidRPr="00DF7D72">
              <w:rPr>
                <w:rFonts w:ascii="Times New Roman"/>
                <w:kern w:val="0"/>
                <w:sz w:val="28"/>
                <w:szCs w:val="28"/>
              </w:rPr>
              <w:t>北市南港區農會</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北市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顏氏畜牧場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桃園市</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lastRenderedPageBreak/>
              <w:t>2</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紅仁機能蛋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hint="eastAsia"/>
                <w:kern w:val="0"/>
                <w:sz w:val="28"/>
                <w:szCs w:val="28"/>
              </w:rPr>
              <w:t>臺</w:t>
            </w:r>
            <w:r w:rsidRPr="00DF7D72">
              <w:rPr>
                <w:rFonts w:ascii="Times New Roman"/>
                <w:kern w:val="0"/>
                <w:sz w:val="28"/>
                <w:szCs w:val="28"/>
              </w:rPr>
              <w:t>北市南港區農會</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北市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宏昇畜牧場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桃園市</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3</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土雞兒機能優質紅蛋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hint="eastAsia"/>
                <w:kern w:val="0"/>
                <w:sz w:val="28"/>
                <w:szCs w:val="28"/>
              </w:rPr>
              <w:t>臺</w:t>
            </w:r>
            <w:r w:rsidRPr="00DF7D72">
              <w:rPr>
                <w:rFonts w:ascii="Times New Roman"/>
                <w:kern w:val="0"/>
                <w:sz w:val="28"/>
                <w:szCs w:val="28"/>
              </w:rPr>
              <w:t>北市內湖區農會</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北市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綠生活畜牧場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彰化縣</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4</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養生紅麴蛋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hint="eastAsia"/>
                <w:kern w:val="0"/>
                <w:sz w:val="28"/>
                <w:szCs w:val="28"/>
              </w:rPr>
              <w:t>臺</w:t>
            </w:r>
            <w:r w:rsidRPr="00DF7D72">
              <w:rPr>
                <w:rFonts w:ascii="Times New Roman"/>
                <w:kern w:val="0"/>
                <w:sz w:val="28"/>
                <w:szCs w:val="28"/>
              </w:rPr>
              <w:t>北市內湖區農會</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北市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人行牧場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彰化縣</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5</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盤古蛋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高雄農會超市</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高雄市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牧大畜牧場第三分場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南市</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6</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嵨芯集精選白蛋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大樂購物中心</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高雄市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呈昊畜牧場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雲林縣</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7</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優質蛋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賀康生鮮超市</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高雄市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蔡榮良畜牧場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高雄市</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8</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益鮮紅蛋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惠康百貨股份有限公司苗栗二分公司</w:t>
            </w:r>
            <w:r w:rsidRPr="00DF7D72">
              <w:rPr>
                <w:rFonts w:ascii="Times New Roman"/>
                <w:kern w:val="0"/>
                <w:sz w:val="28"/>
                <w:szCs w:val="28"/>
              </w:rPr>
              <w:t>(</w:t>
            </w:r>
            <w:r w:rsidRPr="00DF7D72">
              <w:rPr>
                <w:rFonts w:ascii="Times New Roman"/>
                <w:kern w:val="0"/>
                <w:sz w:val="28"/>
                <w:szCs w:val="28"/>
              </w:rPr>
              <w:t>苗栗縣</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新鹿野牧場</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彰化縣</w:t>
            </w:r>
            <w:r w:rsidRPr="00DF7D72">
              <w:rPr>
                <w:rFonts w:ascii="Times New Roman"/>
                <w:kern w:val="0"/>
                <w:sz w:val="28"/>
                <w:szCs w:val="28"/>
              </w:rPr>
              <w:t>)</w:t>
            </w:r>
          </w:p>
        </w:tc>
      </w:tr>
      <w:tr w:rsidR="00DF7D7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9</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幸福牧場幸福好蛋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台灣楓康超市股份有限公司</w:t>
            </w:r>
            <w:r w:rsidRPr="00DF7D72">
              <w:rPr>
                <w:rFonts w:ascii="Times New Roman"/>
                <w:kern w:val="0"/>
                <w:sz w:val="28"/>
                <w:szCs w:val="28"/>
              </w:rPr>
              <w:t>(</w:t>
            </w:r>
            <w:r w:rsidRPr="00DF7D72">
              <w:rPr>
                <w:rFonts w:ascii="Times New Roman"/>
                <w:kern w:val="0"/>
                <w:sz w:val="28"/>
                <w:szCs w:val="28"/>
              </w:rPr>
              <w:t>彰化縣</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幸福牧場有限公司</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kern w:val="0"/>
                <w:sz w:val="28"/>
                <w:szCs w:val="28"/>
              </w:rPr>
              <w:t>桃園市</w:t>
            </w:r>
            <w:r w:rsidRPr="00DF7D72">
              <w:rPr>
                <w:rFonts w:ascii="Times New Roman"/>
                <w:kern w:val="0"/>
                <w:sz w:val="28"/>
                <w:szCs w:val="28"/>
              </w:rPr>
              <w:t>)</w:t>
            </w:r>
          </w:p>
        </w:tc>
      </w:tr>
      <w:tr w:rsidR="00C93C22" w:rsidRPr="00DF7D72" w:rsidTr="00E16B90">
        <w:trPr>
          <w:trHeight w:val="20"/>
        </w:trPr>
        <w:tc>
          <w:tcPr>
            <w:tcW w:w="767" w:type="dxa"/>
            <w:shd w:val="clear" w:color="auto" w:fill="auto"/>
            <w:noWrap/>
            <w:vAlign w:val="center"/>
            <w:hideMark/>
          </w:tcPr>
          <w:p w:rsidR="00C93C22" w:rsidRPr="00DF7D72" w:rsidRDefault="00C93C22" w:rsidP="00E16B90">
            <w:pPr>
              <w:widowControl/>
              <w:snapToGrid w:val="0"/>
              <w:jc w:val="center"/>
              <w:rPr>
                <w:rFonts w:ascii="Times New Roman"/>
                <w:kern w:val="0"/>
                <w:sz w:val="28"/>
                <w:szCs w:val="28"/>
              </w:rPr>
            </w:pPr>
            <w:r w:rsidRPr="00DF7D72">
              <w:rPr>
                <w:rFonts w:ascii="Times New Roman"/>
                <w:kern w:val="0"/>
                <w:sz w:val="28"/>
                <w:szCs w:val="28"/>
              </w:rPr>
              <w:t>10</w:t>
            </w:r>
          </w:p>
        </w:tc>
        <w:tc>
          <w:tcPr>
            <w:tcW w:w="2261"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優質紅殼蛋</w:t>
            </w:r>
          </w:p>
        </w:tc>
        <w:tc>
          <w:tcPr>
            <w:tcW w:w="3068"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大買家股份有限公司</w:t>
            </w:r>
          </w:p>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中市</w:t>
            </w:r>
            <w:r w:rsidRPr="00DF7D72">
              <w:rPr>
                <w:rFonts w:ascii="Times New Roman"/>
                <w:kern w:val="0"/>
                <w:sz w:val="28"/>
                <w:szCs w:val="28"/>
              </w:rPr>
              <w:t>)</w:t>
            </w:r>
          </w:p>
        </w:tc>
        <w:tc>
          <w:tcPr>
            <w:tcW w:w="2835" w:type="dxa"/>
            <w:shd w:val="clear" w:color="auto" w:fill="auto"/>
            <w:noWrap/>
            <w:vAlign w:val="center"/>
            <w:hideMark/>
          </w:tcPr>
          <w:p w:rsidR="00C93C22" w:rsidRPr="00DF7D72" w:rsidRDefault="00C93C22" w:rsidP="00E16B90">
            <w:pPr>
              <w:widowControl/>
              <w:snapToGrid w:val="0"/>
              <w:jc w:val="left"/>
              <w:rPr>
                <w:rFonts w:ascii="Times New Roman"/>
                <w:kern w:val="0"/>
                <w:sz w:val="28"/>
                <w:szCs w:val="28"/>
              </w:rPr>
            </w:pPr>
            <w:r w:rsidRPr="00DF7D72">
              <w:rPr>
                <w:rFonts w:ascii="Times New Roman"/>
                <w:kern w:val="0"/>
                <w:sz w:val="28"/>
                <w:szCs w:val="28"/>
              </w:rPr>
              <w:t>香草園生活事業股份有限公司</w:t>
            </w:r>
            <w:r w:rsidRPr="00DF7D72">
              <w:rPr>
                <w:rFonts w:ascii="Times New Roman"/>
                <w:kern w:val="0"/>
                <w:sz w:val="28"/>
                <w:szCs w:val="28"/>
              </w:rPr>
              <w:t>(</w:t>
            </w:r>
            <w:r w:rsidRPr="00DF7D72">
              <w:rPr>
                <w:rFonts w:ascii="Times New Roman" w:hint="eastAsia"/>
                <w:kern w:val="0"/>
                <w:sz w:val="28"/>
                <w:szCs w:val="28"/>
              </w:rPr>
              <w:t>臺</w:t>
            </w:r>
            <w:r w:rsidRPr="00DF7D72">
              <w:rPr>
                <w:rFonts w:ascii="Times New Roman"/>
                <w:kern w:val="0"/>
                <w:sz w:val="28"/>
                <w:szCs w:val="28"/>
              </w:rPr>
              <w:t>南市</w:t>
            </w:r>
            <w:r w:rsidRPr="00DF7D72">
              <w:rPr>
                <w:rFonts w:ascii="Times New Roman"/>
                <w:kern w:val="0"/>
                <w:sz w:val="28"/>
                <w:szCs w:val="28"/>
              </w:rPr>
              <w:t>)</w:t>
            </w:r>
          </w:p>
        </w:tc>
      </w:tr>
    </w:tbl>
    <w:p w:rsidR="00C93C22" w:rsidRDefault="00E16B90" w:rsidP="00E16B90">
      <w:pPr>
        <w:pStyle w:val="3"/>
        <w:numPr>
          <w:ilvl w:val="0"/>
          <w:numId w:val="0"/>
        </w:numPr>
        <w:rPr>
          <w:sz w:val="24"/>
          <w:szCs w:val="24"/>
        </w:rPr>
      </w:pPr>
      <w:r w:rsidRPr="00E16B90">
        <w:rPr>
          <w:rFonts w:hint="eastAsia"/>
          <w:sz w:val="24"/>
          <w:szCs w:val="24"/>
        </w:rPr>
        <w:t>資料來源：衛福部。</w:t>
      </w:r>
    </w:p>
    <w:p w:rsidR="00E16B90" w:rsidRPr="00E16B90" w:rsidRDefault="00E16B90" w:rsidP="00E16B90">
      <w:pPr>
        <w:pStyle w:val="3"/>
        <w:numPr>
          <w:ilvl w:val="0"/>
          <w:numId w:val="0"/>
        </w:numPr>
        <w:rPr>
          <w:sz w:val="24"/>
          <w:szCs w:val="24"/>
        </w:rPr>
      </w:pPr>
    </w:p>
    <w:p w:rsidR="00441576" w:rsidRPr="00DF7D72" w:rsidRDefault="0019562E" w:rsidP="005F3AD2">
      <w:pPr>
        <w:pStyle w:val="3"/>
      </w:pPr>
      <w:r w:rsidRPr="00DF7D72">
        <w:rPr>
          <w:rFonts w:hint="eastAsia"/>
        </w:rPr>
        <w:t>另農委會為瞭解蛋雞場端是否遭芬普尼污染，</w:t>
      </w:r>
      <w:r w:rsidR="003937A6" w:rsidRPr="00DF7D72">
        <w:rPr>
          <w:rFonts w:hint="eastAsia"/>
        </w:rPr>
        <w:t>於106年8月7日啟動檢驗，截至8月20日共完成45件檢驗，其中3件驗出芬普尼，</w:t>
      </w:r>
      <w:r w:rsidR="0091680F" w:rsidRPr="00DF7D72">
        <w:rPr>
          <w:rFonts w:hint="eastAsia"/>
        </w:rPr>
        <w:t>爰於8月21日與衛福部、行政院環境保護署組成跨部會小組，召開雞蛋遭芬普尼污染事件跨部會工作會議，其中決議農委會負責現有蛋雞場全面檢測等事宜，該會旋即函知各縣市政府畜產及動物防疫單位，24小時完成雞蛋採樣送驗，該會於8月25日發布新聞稿表示</w:t>
      </w:r>
      <w:r w:rsidR="005F3AD2" w:rsidRPr="00DF7D72">
        <w:rPr>
          <w:rFonts w:hint="eastAsia"/>
        </w:rPr>
        <w:t>：「截至本(25)日下午17時止，全國蛋雞場均已完成採樣，全部已送驗計1,451件，已全數檢驗完畢，不合格計44件，不合格率約3%……</w:t>
      </w:r>
      <w:r w:rsidR="00022769" w:rsidRPr="00DF7D72">
        <w:rPr>
          <w:rFonts w:hint="eastAsia"/>
        </w:rPr>
        <w:t>，</w:t>
      </w:r>
      <w:r w:rsidR="005F3AD2" w:rsidRPr="00DF7D72">
        <w:rPr>
          <w:rFonts w:hint="eastAsia"/>
        </w:rPr>
        <w:t>跨部會小組針對昨日不合格之</w:t>
      </w:r>
      <w:r w:rsidR="005F3AD2" w:rsidRPr="00DF7D72">
        <w:rPr>
          <w:rFonts w:hint="eastAsia"/>
        </w:rPr>
        <w:lastRenderedPageBreak/>
        <w:t>15場蛋雞場已會同地方政府及衛生、環保單位進行移動管制及雞蛋下架封存，截至本日中午12時止，畜牧場及通路目前已封存雞蛋計30,814公斤(約513,566顆)。」</w:t>
      </w:r>
      <w:r w:rsidR="005A6AA7" w:rsidRPr="00DF7D72">
        <w:rPr>
          <w:rFonts w:hint="eastAsia"/>
        </w:rPr>
        <w:t>是</w:t>
      </w:r>
      <w:r w:rsidR="005F3AD2" w:rsidRPr="00DF7D72">
        <w:rPr>
          <w:rFonts w:hint="eastAsia"/>
        </w:rPr>
        <w:t>農委會於106年8月7日啟動蛋雞場端之檢驗，於8月20日已發現有3件檢出芬普尼之案例，亦即食藥署於8月18日公布</w:t>
      </w:r>
      <w:r w:rsidR="005A6AA7" w:rsidRPr="00DF7D72">
        <w:t>市售雞蛋未檢出芬普尼，</w:t>
      </w:r>
      <w:r w:rsidR="005A6AA7" w:rsidRPr="00DF7D72">
        <w:rPr>
          <w:rFonts w:hint="eastAsia"/>
        </w:rPr>
        <w:t>民眾可以放心食用，</w:t>
      </w:r>
      <w:r w:rsidR="005A6AA7" w:rsidRPr="00DF7D72">
        <w:t>2</w:t>
      </w:r>
      <w:r w:rsidR="005A6AA7" w:rsidRPr="00DF7D72">
        <w:rPr>
          <w:rFonts w:hint="eastAsia"/>
        </w:rPr>
        <w:t>日之後農委會已發現蛋雞場端雞蛋有遭芬普尼污染之情事，顯見食藥署公布的結果未盡符合實情。</w:t>
      </w:r>
    </w:p>
    <w:p w:rsidR="00A44BE8" w:rsidRPr="00DF7D72" w:rsidRDefault="00AC1C34" w:rsidP="00AC1C34">
      <w:pPr>
        <w:pStyle w:val="3"/>
      </w:pPr>
      <w:r w:rsidRPr="00DF7D72">
        <w:rPr>
          <w:rFonts w:hint="eastAsia"/>
        </w:rPr>
        <w:t>至食藥署抽檢10件樣品之代表性問題，詢據食藥署林金富副署長表示略以：依統計學原則採樣數至少為30件，但此次芬普尼事件發生時，想要快速瞭解市面上雞蛋有無問題，且當時同步快速確定檢驗方法，因為取10件是第一波採樣，且以往被要求</w:t>
      </w:r>
      <w:r w:rsidR="00022769" w:rsidRPr="00DF7D72">
        <w:rPr>
          <w:rFonts w:hint="eastAsia"/>
        </w:rPr>
        <w:t>檢驗結果須馬上</w:t>
      </w:r>
      <w:r w:rsidRPr="00DF7D72">
        <w:rPr>
          <w:rFonts w:hint="eastAsia"/>
        </w:rPr>
        <w:t>公布，但完成第一波檢驗後，3部會署會議決議由農委會主政，從源頭全面檢測，</w:t>
      </w:r>
      <w:r w:rsidR="00022769" w:rsidRPr="00DF7D72">
        <w:rPr>
          <w:rFonts w:hint="eastAsia"/>
        </w:rPr>
        <w:t>故該署</w:t>
      </w:r>
      <w:r w:rsidRPr="00DF7D72">
        <w:rPr>
          <w:rFonts w:hint="eastAsia"/>
        </w:rPr>
        <w:t>不再</w:t>
      </w:r>
      <w:r w:rsidR="00022769" w:rsidRPr="00DF7D72">
        <w:rPr>
          <w:rFonts w:hint="eastAsia"/>
        </w:rPr>
        <w:t>執行</w:t>
      </w:r>
      <w:r w:rsidRPr="00DF7D72">
        <w:rPr>
          <w:rFonts w:hint="eastAsia"/>
        </w:rPr>
        <w:t>後市場端抽驗雞蛋。惟據農委會農業統計年報，105年國內雞蛋產量達7,339,753千顆，平均每日產量約2,010萬顆，如此龐大數量，</w:t>
      </w:r>
      <w:r w:rsidR="00022769" w:rsidRPr="00DF7D72">
        <w:rPr>
          <w:rFonts w:hint="eastAsia"/>
        </w:rPr>
        <w:t>食藥署</w:t>
      </w:r>
      <w:r w:rsidRPr="00DF7D72">
        <w:rPr>
          <w:rFonts w:hint="eastAsia"/>
        </w:rPr>
        <w:t>僅以10件樣品檢驗並據以公布，洵有欠當，再且</w:t>
      </w:r>
      <w:r w:rsidR="008044E7" w:rsidRPr="00DF7D72">
        <w:rPr>
          <w:rFonts w:hint="eastAsia"/>
        </w:rPr>
        <w:t>即</w:t>
      </w:r>
      <w:r w:rsidRPr="00DF7D72">
        <w:rPr>
          <w:rFonts w:hint="eastAsia"/>
        </w:rPr>
        <w:t>使如</w:t>
      </w:r>
      <w:r w:rsidR="00022769" w:rsidRPr="00DF7D72">
        <w:rPr>
          <w:rFonts w:hint="eastAsia"/>
        </w:rPr>
        <w:t>該</w:t>
      </w:r>
      <w:r w:rsidRPr="00DF7D72">
        <w:rPr>
          <w:rFonts w:hint="eastAsia"/>
        </w:rPr>
        <w:t>署所稱此為第一波採樣，後續將再</w:t>
      </w:r>
      <w:r w:rsidR="00A44BE8" w:rsidRPr="00DF7D72">
        <w:rPr>
          <w:rFonts w:hint="eastAsia"/>
        </w:rPr>
        <w:t>另採集樣品，惟該署並未於新聞稿同時說明，以讓民眾知悉此僅為極有限樣品之檢驗結果，且將有後續檢驗以確實釐清，復此</w:t>
      </w:r>
      <w:r w:rsidR="005A6AA7" w:rsidRPr="00DF7D72">
        <w:rPr>
          <w:rFonts w:hint="eastAsia"/>
        </w:rPr>
        <w:t>10</w:t>
      </w:r>
      <w:r w:rsidR="00A44BE8" w:rsidRPr="00DF7D72">
        <w:rPr>
          <w:rFonts w:hint="eastAsia"/>
        </w:rPr>
        <w:t>件樣品之</w:t>
      </w:r>
      <w:r w:rsidR="005A6AA7" w:rsidRPr="00DF7D72">
        <w:rPr>
          <w:rFonts w:hint="eastAsia"/>
        </w:rPr>
        <w:t>抽</w:t>
      </w:r>
      <w:r w:rsidR="00022769" w:rsidRPr="00DF7D72">
        <w:rPr>
          <w:rFonts w:hint="eastAsia"/>
        </w:rPr>
        <w:t>檢</w:t>
      </w:r>
      <w:r w:rsidR="005A6AA7" w:rsidRPr="00DF7D72">
        <w:rPr>
          <w:rFonts w:hint="eastAsia"/>
        </w:rPr>
        <w:t>對象均為銷售通路末端之超市、購物中心等賣場，且均為盒裝蛋品，未涵蓋零售蛋商及散裝雞蛋</w:t>
      </w:r>
      <w:r w:rsidR="00841229" w:rsidRPr="00DF7D72">
        <w:rPr>
          <w:rFonts w:hint="eastAsia"/>
        </w:rPr>
        <w:t>，</w:t>
      </w:r>
      <w:r w:rsidR="00A44BE8" w:rsidRPr="00DF7D72">
        <w:rPr>
          <w:rFonts w:hint="eastAsia"/>
        </w:rPr>
        <w:t>故不論樣品數及抽樣範圍，其代表性均有疑義，檢驗結果當難</w:t>
      </w:r>
      <w:r w:rsidR="00CF53A5" w:rsidRPr="00DF7D72">
        <w:rPr>
          <w:rFonts w:hint="eastAsia"/>
        </w:rPr>
        <w:t>接近母群體，故食藥署以此結果發布新聞稿，確有未洽。</w:t>
      </w:r>
    </w:p>
    <w:p w:rsidR="004F081E" w:rsidRPr="00DF7D72" w:rsidRDefault="00CF53A5" w:rsidP="004F081E">
      <w:pPr>
        <w:pStyle w:val="3"/>
      </w:pPr>
      <w:r w:rsidRPr="00DF7D72">
        <w:rPr>
          <w:rFonts w:hint="eastAsia"/>
        </w:rPr>
        <w:t>再查臺北市政府衛生局</w:t>
      </w:r>
      <w:r w:rsidR="00426B9B" w:rsidRPr="00DF7D72">
        <w:rPr>
          <w:rFonts w:hint="eastAsia"/>
        </w:rPr>
        <w:t>於106年9月18日發布新聞稿表示：「臺北市政府衛生局8月底率先全國成立專</w:t>
      </w:r>
      <w:r w:rsidR="00426B9B" w:rsidRPr="00DF7D72">
        <w:rPr>
          <w:rFonts w:hint="eastAsia"/>
        </w:rPr>
        <w:lastRenderedPageBreak/>
        <w:t>案，抽驗市售雞蛋，依照衛生福利部食藥署公告</w:t>
      </w:r>
      <w:r w:rsidR="00426B9B" w:rsidRPr="00DF7D72">
        <w:rPr>
          <w:rFonts w:hAnsi="標楷體" w:hint="eastAsia"/>
        </w:rPr>
        <w:t>『</w:t>
      </w:r>
      <w:r w:rsidR="00426B9B" w:rsidRPr="00DF7D72">
        <w:rPr>
          <w:rFonts w:hint="eastAsia"/>
        </w:rPr>
        <w:t>雞肉及雞蛋中殘留農藥檢驗方法</w:t>
      </w:r>
      <w:r w:rsidR="00426B9B" w:rsidRPr="00DF7D72">
        <w:rPr>
          <w:rFonts w:hAnsi="標楷體" w:hint="eastAsia"/>
        </w:rPr>
        <w:t>』</w:t>
      </w:r>
      <w:r w:rsidR="00426B9B" w:rsidRPr="00DF7D72">
        <w:rPr>
          <w:rFonts w:hint="eastAsia"/>
        </w:rPr>
        <w:t>檢驗芬普尼，抽驗地點包括超商超市大賣場、營養午餐、蛋批發行，共抽驗45件來自全國41個牧場雞蛋(詳如抽驗名冊)，其中1件臺南市振崑畜牧場（雞蛋保鮮日期：106年9月29日），檢出芬普尼10ppb(標準：不得檢出，定量極限5ppb)不符規定，已要求批發商永吉蛋行全面下架，並立即通知臺南市政府採樣確認及蛋品管制移動。」</w:t>
      </w:r>
      <w:r w:rsidR="004F081E" w:rsidRPr="00DF7D72">
        <w:rPr>
          <w:rFonts w:hint="eastAsia"/>
        </w:rPr>
        <w:t>續</w:t>
      </w:r>
      <w:r w:rsidR="009840CD" w:rsidRPr="00DF7D72">
        <w:rPr>
          <w:rFonts w:hint="eastAsia"/>
        </w:rPr>
        <w:t>查農委會於106年8月21日啟動全國蛋雞場檢驗後，臺南市政府動物防疫保護處於8月22日即前往振崑畜牧場採樣並送驗，當時結果未檢出芬普尼，而臺北市政府衛生局於9月12日抽驗市售蛋品，並於9月14日得知</w:t>
      </w:r>
      <w:r w:rsidR="004F081E" w:rsidRPr="00DF7D72">
        <w:rPr>
          <w:rFonts w:hint="eastAsia"/>
        </w:rPr>
        <w:t>該畜牧場所生產之雞蛋驗出芬普尼後，旋即於當日(9月14日)函知臺南市政府衛生局及臺南市政府農業局，並副知農委會、食藥署及臺南市政府等機關，臺南市動物防疫保護處即於同日(9月14日)前往該畜牧場進行移動管制及用藥稽查，之後該處於9月19日配合臺灣臺南地方法院檢察署偵查發現，該畜牧場曾使用農藥「法台寶」。是農委會雖於106年8月25日公布全國蛋雞場均已完成採樣，全部已送驗計1,451件，已全數檢驗完畢，不合格計44件，針對不合格之15場蛋雞場已會同地方政府及衛生、環保單位進行移動管制及雞蛋下架封存，惟於市場端仍發現含有芬普尼之不合格蛋品情事。</w:t>
      </w:r>
    </w:p>
    <w:p w:rsidR="004E38EB" w:rsidRPr="00DF7D72" w:rsidRDefault="009840CD" w:rsidP="008044E7">
      <w:pPr>
        <w:pStyle w:val="3"/>
      </w:pPr>
      <w:r w:rsidRPr="00DF7D72">
        <w:rPr>
          <w:rFonts w:hint="eastAsia"/>
        </w:rPr>
        <w:t>此問題據農委會</w:t>
      </w:r>
      <w:r w:rsidR="004F081E" w:rsidRPr="00DF7D72">
        <w:rPr>
          <w:rFonts w:hint="eastAsia"/>
        </w:rPr>
        <w:t>查復</w:t>
      </w:r>
      <w:r w:rsidR="004E38EB" w:rsidRPr="00DF7D72">
        <w:rPr>
          <w:rFonts w:hint="eastAsia"/>
        </w:rPr>
        <w:t>，研判可能原因為雞隻間個體差異，雖然採樣方式為每棟籠舍分散式隨機各採1至2顆蛋，共採10顆，但因該場有3萬隻雞，雞隻間的代謝有個體差異造成誤差，雞隻代謝可能因飼養日齡長短不同、個體對藥物代謝速率不同、攝入的</w:t>
      </w:r>
      <w:r w:rsidR="004E38EB" w:rsidRPr="00DF7D72">
        <w:rPr>
          <w:rFonts w:hint="eastAsia"/>
        </w:rPr>
        <w:lastRenderedPageBreak/>
        <w:t>藥物含量不同而造成個體殘留量差異</w:t>
      </w:r>
      <w:r w:rsidR="004E38EB" w:rsidRPr="00DF7D72">
        <w:rPr>
          <w:rStyle w:val="aff"/>
        </w:rPr>
        <w:footnoteReference w:id="4"/>
      </w:r>
      <w:r w:rsidR="004E38EB" w:rsidRPr="00DF7D72">
        <w:rPr>
          <w:rFonts w:hint="eastAsia"/>
        </w:rPr>
        <w:t>。</w:t>
      </w:r>
      <w:r w:rsidR="00C76BC0" w:rsidRPr="00DF7D72">
        <w:rPr>
          <w:rFonts w:hint="eastAsia"/>
        </w:rPr>
        <w:t>惟農委會針對此次事件所進行全國蛋雞場之抽驗，</w:t>
      </w:r>
      <w:r w:rsidR="00B53966" w:rsidRPr="00DF7D72">
        <w:rPr>
          <w:rFonts w:hint="eastAsia"/>
        </w:rPr>
        <w:t>截至106年8月25日止，</w:t>
      </w:r>
      <w:r w:rsidR="00C76BC0" w:rsidRPr="00DF7D72">
        <w:rPr>
          <w:rFonts w:hint="eastAsia"/>
        </w:rPr>
        <w:t>共抽檢</w:t>
      </w:r>
      <w:r w:rsidR="00B3721D" w:rsidRPr="00DF7D72">
        <w:rPr>
          <w:rFonts w:hint="eastAsia"/>
        </w:rPr>
        <w:t>數量達</w:t>
      </w:r>
      <w:r w:rsidR="00B53966" w:rsidRPr="00DF7D72">
        <w:rPr>
          <w:rFonts w:hint="eastAsia"/>
        </w:rPr>
        <w:t>1,451件</w:t>
      </w:r>
      <w:r w:rsidR="00595912" w:rsidRPr="00DF7D72">
        <w:rPr>
          <w:rFonts w:hint="eastAsia"/>
        </w:rPr>
        <w:t>(場)</w:t>
      </w:r>
      <w:r w:rsidR="00B53966" w:rsidRPr="00DF7D72">
        <w:rPr>
          <w:rFonts w:hint="eastAsia"/>
        </w:rPr>
        <w:t>，</w:t>
      </w:r>
      <w:r w:rsidR="00C76BC0" w:rsidRPr="00DF7D72">
        <w:rPr>
          <w:rFonts w:hint="eastAsia"/>
        </w:rPr>
        <w:t>且</w:t>
      </w:r>
      <w:r w:rsidR="00A14514" w:rsidRPr="00DF7D72">
        <w:rPr>
          <w:rFonts w:hint="eastAsia"/>
        </w:rPr>
        <w:t>均為</w:t>
      </w:r>
      <w:r w:rsidR="000D1261" w:rsidRPr="00DF7D72">
        <w:rPr>
          <w:rFonts w:hint="eastAsia"/>
        </w:rPr>
        <w:t>依規定</w:t>
      </w:r>
      <w:r w:rsidR="00A14514" w:rsidRPr="00DF7D72">
        <w:rPr>
          <w:rFonts w:hint="eastAsia"/>
        </w:rPr>
        <w:t>登記者，亦即</w:t>
      </w:r>
      <w:r w:rsidR="00B53966" w:rsidRPr="00DF7D72">
        <w:rPr>
          <w:rFonts w:hint="eastAsia"/>
        </w:rPr>
        <w:t>抽檢對象均為雞隻</w:t>
      </w:r>
      <w:r w:rsidR="00A14514" w:rsidRPr="00DF7D72">
        <w:rPr>
          <w:rFonts w:hint="eastAsia"/>
        </w:rPr>
        <w:t>養殖規模超過500隻以上，</w:t>
      </w:r>
      <w:r w:rsidR="00FB0328" w:rsidRPr="00DF7D72">
        <w:rPr>
          <w:rFonts w:hint="eastAsia"/>
        </w:rPr>
        <w:t>或為依畜牧法第43條第2項</w:t>
      </w:r>
      <w:r w:rsidR="000D1261" w:rsidRPr="00DF7D72">
        <w:rPr>
          <w:rStyle w:val="aff"/>
        </w:rPr>
        <w:footnoteReference w:id="5"/>
      </w:r>
      <w:r w:rsidR="00FB0328" w:rsidRPr="00DF7D72">
        <w:rPr>
          <w:rFonts w:hint="eastAsia"/>
        </w:rPr>
        <w:t>所辦理之畜禽飼養登記其養殖規模達3,000隻以上</w:t>
      </w:r>
      <w:r w:rsidR="000D1261" w:rsidRPr="00DF7D72">
        <w:rPr>
          <w:rFonts w:hint="eastAsia"/>
        </w:rPr>
        <w:t>者</w:t>
      </w:r>
      <w:r w:rsidR="00FB0328" w:rsidRPr="00DF7D72">
        <w:rPr>
          <w:rFonts w:hint="eastAsia"/>
        </w:rPr>
        <w:t>，倘</w:t>
      </w:r>
      <w:r w:rsidR="00A14514" w:rsidRPr="00DF7D72">
        <w:rPr>
          <w:rFonts w:hint="eastAsia"/>
        </w:rPr>
        <w:t>依農委會所稱</w:t>
      </w:r>
      <w:r w:rsidR="00B53966" w:rsidRPr="00DF7D72">
        <w:rPr>
          <w:rFonts w:hint="eastAsia"/>
        </w:rPr>
        <w:t>因雞隻數量過多，而雞隻間的代謝有個體差異，致芬普尼於個體殘留量有差異，則</w:t>
      </w:r>
      <w:r w:rsidR="00FB0328" w:rsidRPr="00DF7D72">
        <w:rPr>
          <w:rFonts w:hint="eastAsia"/>
        </w:rPr>
        <w:t>此次</w:t>
      </w:r>
      <w:r w:rsidR="00B3721D" w:rsidRPr="00DF7D72">
        <w:rPr>
          <w:rFonts w:hint="eastAsia"/>
        </w:rPr>
        <w:t>所</w:t>
      </w:r>
      <w:r w:rsidR="00B53966" w:rsidRPr="00DF7D72">
        <w:rPr>
          <w:rFonts w:hint="eastAsia"/>
        </w:rPr>
        <w:t>抽檢</w:t>
      </w:r>
      <w:r w:rsidR="00B3721D" w:rsidRPr="00DF7D72">
        <w:rPr>
          <w:rFonts w:hint="eastAsia"/>
        </w:rPr>
        <w:t>之1,451場的</w:t>
      </w:r>
      <w:r w:rsidR="00B53966" w:rsidRPr="00DF7D72">
        <w:rPr>
          <w:rFonts w:hint="eastAsia"/>
        </w:rPr>
        <w:t>結果</w:t>
      </w:r>
      <w:r w:rsidR="00B3721D" w:rsidRPr="00DF7D72">
        <w:rPr>
          <w:rFonts w:hint="eastAsia"/>
        </w:rPr>
        <w:t>，</w:t>
      </w:r>
      <w:r w:rsidR="00B53966" w:rsidRPr="00DF7D72">
        <w:rPr>
          <w:rFonts w:hint="eastAsia"/>
        </w:rPr>
        <w:t>豈不均無準確性及可靠性，故農委會針對此事件所採行之抽檢方式及</w:t>
      </w:r>
      <w:r w:rsidR="008044E7" w:rsidRPr="00DF7D72">
        <w:rPr>
          <w:rFonts w:hint="eastAsia"/>
        </w:rPr>
        <w:t>後續處理</w:t>
      </w:r>
      <w:r w:rsidR="00B53966" w:rsidRPr="00DF7D72">
        <w:rPr>
          <w:rFonts w:hint="eastAsia"/>
        </w:rPr>
        <w:t>結果，仍未能免除國人</w:t>
      </w:r>
      <w:r w:rsidR="008044E7" w:rsidRPr="00DF7D72">
        <w:rPr>
          <w:rFonts w:hint="eastAsia"/>
        </w:rPr>
        <w:t>於市面上購得</w:t>
      </w:r>
      <w:r w:rsidR="00B53966" w:rsidRPr="00DF7D72">
        <w:rPr>
          <w:rFonts w:hint="eastAsia"/>
        </w:rPr>
        <w:t>遭芬普尼污染雞蛋之風險，有待檢討改善。</w:t>
      </w:r>
    </w:p>
    <w:p w:rsidR="008044E7" w:rsidRPr="00DF7D72" w:rsidRDefault="008044E7" w:rsidP="00595912">
      <w:pPr>
        <w:pStyle w:val="3"/>
      </w:pPr>
      <w:r w:rsidRPr="00DF7D72">
        <w:rPr>
          <w:rFonts w:hint="eastAsia"/>
        </w:rPr>
        <w:t>綜上，</w:t>
      </w:r>
      <w:r w:rsidR="007A2AB7" w:rsidRPr="00DF7D72">
        <w:rPr>
          <w:rFonts w:hint="eastAsia"/>
        </w:rPr>
        <w:t>對於本次雞蛋遭芬普尼污染事件，</w:t>
      </w:r>
      <w:r w:rsidRPr="00DF7D72">
        <w:rPr>
          <w:rFonts w:hint="eastAsia"/>
        </w:rPr>
        <w:t>食藥署僅抽檢10件雞蛋樣品，且抽檢對象均為銷售通路末端之超市賣場，復均屬盒裝蛋品，未涵蓋零售蛋商及散裝雞蛋等，</w:t>
      </w:r>
      <w:r w:rsidR="00CA4F04" w:rsidRPr="00DF7D72">
        <w:rPr>
          <w:rFonts w:hint="eastAsia"/>
        </w:rPr>
        <w:t>爰</w:t>
      </w:r>
      <w:r w:rsidR="00912396" w:rsidRPr="00DF7D72">
        <w:rPr>
          <w:rFonts w:hint="eastAsia"/>
        </w:rPr>
        <w:t>不論</w:t>
      </w:r>
      <w:r w:rsidRPr="00DF7D72">
        <w:rPr>
          <w:rFonts w:hint="eastAsia"/>
        </w:rPr>
        <w:t>樣品數及抽樣範圍</w:t>
      </w:r>
      <w:r w:rsidR="00CA4F04" w:rsidRPr="00DF7D72">
        <w:rPr>
          <w:rFonts w:hint="eastAsia"/>
        </w:rPr>
        <w:t>均有疑義，</w:t>
      </w:r>
      <w:r w:rsidRPr="00DF7D72">
        <w:rPr>
          <w:rFonts w:hint="eastAsia"/>
        </w:rPr>
        <w:t>其代表性</w:t>
      </w:r>
      <w:r w:rsidR="00CA4F04" w:rsidRPr="00DF7D72">
        <w:rPr>
          <w:rFonts w:hint="eastAsia"/>
        </w:rPr>
        <w:t>明顯不足</w:t>
      </w:r>
      <w:r w:rsidRPr="00DF7D72">
        <w:rPr>
          <w:rFonts w:hint="eastAsia"/>
        </w:rPr>
        <w:t>，</w:t>
      </w:r>
      <w:r w:rsidR="00CA4F04" w:rsidRPr="00DF7D72">
        <w:rPr>
          <w:rFonts w:hint="eastAsia"/>
        </w:rPr>
        <w:t>該署於此情形下竟率先</w:t>
      </w:r>
      <w:r w:rsidR="00912396" w:rsidRPr="00DF7D72">
        <w:rPr>
          <w:rFonts w:hint="eastAsia"/>
        </w:rPr>
        <w:t>於106年8月18日</w:t>
      </w:r>
      <w:r w:rsidRPr="00DF7D72">
        <w:rPr>
          <w:rFonts w:hint="eastAsia"/>
        </w:rPr>
        <w:t>發布新聞稿表示市售蛋品無檢出芬普尼，</w:t>
      </w:r>
      <w:r w:rsidR="00912396" w:rsidRPr="00DF7D72">
        <w:rPr>
          <w:rFonts w:hint="eastAsia"/>
        </w:rPr>
        <w:t>致民眾誤以為安全無虞，惟2日後(8月20日)農委會卻發現蛋雞場雞蛋有芬普尼污染情事</w:t>
      </w:r>
      <w:r w:rsidR="00CA4F04" w:rsidRPr="00DF7D72">
        <w:rPr>
          <w:rFonts w:hint="eastAsia"/>
        </w:rPr>
        <w:t>，日後更擴大檢出多達44件不合格案件，</w:t>
      </w:r>
      <w:r w:rsidR="00595912" w:rsidRPr="00DF7D72">
        <w:rPr>
          <w:rFonts w:hint="eastAsia"/>
        </w:rPr>
        <w:t>凸顯食藥署前抽檢之作為草率不周</w:t>
      </w:r>
      <w:r w:rsidR="00CA4F04" w:rsidRPr="00DF7D72">
        <w:rPr>
          <w:rFonts w:hint="eastAsia"/>
        </w:rPr>
        <w:t>；另農委會雖進行全國蛋雞場芬普尼檢驗，並於8月25日公布抽檢結果及對於檢出場進行移動管制等後續處理事宜，惟</w:t>
      </w:r>
      <w:r w:rsidR="007A2AB7" w:rsidRPr="00DF7D72">
        <w:rPr>
          <w:rFonts w:hint="eastAsia"/>
        </w:rPr>
        <w:t>9月14日市場端仍檢出有遭芬普尼污染之雞蛋，顯見該會針對此事件所採行之全面抽檢方式及後續處理結果，仍未能</w:t>
      </w:r>
      <w:r w:rsidR="007A2AB7" w:rsidRPr="00DF7D72">
        <w:rPr>
          <w:rFonts w:hint="eastAsia"/>
        </w:rPr>
        <w:lastRenderedPageBreak/>
        <w:t>免除國人食入遭芬普尼污染雞蛋的風險，均有待檢討改善。</w:t>
      </w:r>
    </w:p>
    <w:p w:rsidR="00073CB5" w:rsidRPr="00DF7D72" w:rsidRDefault="00836707" w:rsidP="00DE4238">
      <w:pPr>
        <w:pStyle w:val="2"/>
        <w:rPr>
          <w:b/>
        </w:rPr>
      </w:pPr>
      <w:r w:rsidRPr="00DF7D72">
        <w:rPr>
          <w:rFonts w:hint="eastAsia"/>
          <w:b/>
        </w:rPr>
        <w:t>農委會</w:t>
      </w:r>
      <w:r w:rsidR="00D3722A" w:rsidRPr="00DF7D72">
        <w:rPr>
          <w:rFonts w:hint="eastAsia"/>
          <w:b/>
        </w:rPr>
        <w:t>未能掌握</w:t>
      </w:r>
      <w:r w:rsidR="00E13C49" w:rsidRPr="00DF7D72">
        <w:rPr>
          <w:rFonts w:hint="eastAsia"/>
          <w:b/>
        </w:rPr>
        <w:t>國內</w:t>
      </w:r>
      <w:r w:rsidRPr="00DF7D72">
        <w:rPr>
          <w:rFonts w:hint="eastAsia"/>
          <w:b/>
        </w:rPr>
        <w:t>蛋雞場</w:t>
      </w:r>
      <w:r w:rsidR="002D7271" w:rsidRPr="00DF7D72">
        <w:rPr>
          <w:rFonts w:hint="eastAsia"/>
          <w:b/>
        </w:rPr>
        <w:t>早有</w:t>
      </w:r>
      <w:r w:rsidR="00E13C49" w:rsidRPr="00DF7D72">
        <w:rPr>
          <w:rFonts w:hint="eastAsia"/>
          <w:b/>
        </w:rPr>
        <w:t>違法使用</w:t>
      </w:r>
      <w:bookmarkEnd w:id="51"/>
      <w:bookmarkEnd w:id="52"/>
      <w:r w:rsidR="002A76A8" w:rsidRPr="00DF7D72">
        <w:rPr>
          <w:rFonts w:hint="eastAsia"/>
          <w:b/>
        </w:rPr>
        <w:t>含芬普尼農藥</w:t>
      </w:r>
      <w:r w:rsidR="00E13C49" w:rsidRPr="00DF7D72">
        <w:rPr>
          <w:rFonts w:hint="eastAsia"/>
          <w:b/>
        </w:rPr>
        <w:t>之情事</w:t>
      </w:r>
      <w:r w:rsidR="002A76A8" w:rsidRPr="00DF7D72">
        <w:rPr>
          <w:rFonts w:hint="eastAsia"/>
          <w:b/>
        </w:rPr>
        <w:t>，</w:t>
      </w:r>
      <w:r w:rsidR="002D7271" w:rsidRPr="00DF7D72">
        <w:rPr>
          <w:rFonts w:hint="eastAsia"/>
          <w:b/>
        </w:rPr>
        <w:t>至</w:t>
      </w:r>
      <w:r w:rsidR="002A76A8" w:rsidRPr="00DF7D72">
        <w:rPr>
          <w:rFonts w:hint="eastAsia"/>
          <w:b/>
        </w:rPr>
        <w:t>此事件</w:t>
      </w:r>
      <w:r w:rsidR="002D7271" w:rsidRPr="00DF7D72">
        <w:rPr>
          <w:rFonts w:hint="eastAsia"/>
          <w:b/>
        </w:rPr>
        <w:t>爆發</w:t>
      </w:r>
      <w:r w:rsidR="002A76A8" w:rsidRPr="00DF7D72">
        <w:rPr>
          <w:rFonts w:hint="eastAsia"/>
          <w:b/>
        </w:rPr>
        <w:t>後始清查</w:t>
      </w:r>
      <w:r w:rsidR="002D7271" w:rsidRPr="00DF7D72">
        <w:rPr>
          <w:rFonts w:hint="eastAsia"/>
          <w:b/>
        </w:rPr>
        <w:t>發現</w:t>
      </w:r>
      <w:r w:rsidR="002A76A8" w:rsidRPr="00DF7D72">
        <w:rPr>
          <w:rFonts w:hint="eastAsia"/>
          <w:b/>
        </w:rPr>
        <w:t>，</w:t>
      </w:r>
      <w:r w:rsidR="002D7271" w:rsidRPr="00DF7D72">
        <w:rPr>
          <w:rFonts w:hint="eastAsia"/>
          <w:b/>
        </w:rPr>
        <w:t>而</w:t>
      </w:r>
      <w:r w:rsidR="00D3722A" w:rsidRPr="00DF7D72">
        <w:rPr>
          <w:rFonts w:hint="eastAsia"/>
          <w:b/>
        </w:rPr>
        <w:t>迄今仍有部分蛋雞場</w:t>
      </w:r>
      <w:r w:rsidR="002A76A8" w:rsidRPr="00DF7D72">
        <w:rPr>
          <w:rFonts w:hint="eastAsia"/>
          <w:b/>
        </w:rPr>
        <w:t>查無</w:t>
      </w:r>
      <w:r w:rsidR="00D3722A" w:rsidRPr="00DF7D72">
        <w:rPr>
          <w:rFonts w:hint="eastAsia"/>
          <w:b/>
        </w:rPr>
        <w:t>該</w:t>
      </w:r>
      <w:r w:rsidR="002A76A8" w:rsidRPr="00DF7D72">
        <w:rPr>
          <w:rFonts w:hint="eastAsia"/>
          <w:b/>
        </w:rPr>
        <w:t>農藥來源，</w:t>
      </w:r>
      <w:r w:rsidR="00D3722A" w:rsidRPr="00DF7D72">
        <w:rPr>
          <w:rFonts w:hint="eastAsia"/>
          <w:b/>
        </w:rPr>
        <w:t>甚且</w:t>
      </w:r>
      <w:r w:rsidR="00C76841" w:rsidRPr="00DF7D72">
        <w:rPr>
          <w:rFonts w:hint="eastAsia"/>
          <w:b/>
        </w:rPr>
        <w:t>蛋雞場</w:t>
      </w:r>
      <w:r w:rsidR="00D3722A" w:rsidRPr="00DF7D72">
        <w:rPr>
          <w:rFonts w:hint="eastAsia"/>
          <w:b/>
        </w:rPr>
        <w:t>內留存有其他農藥</w:t>
      </w:r>
      <w:r w:rsidR="00691E68" w:rsidRPr="00DF7D72">
        <w:rPr>
          <w:rFonts w:hint="eastAsia"/>
          <w:b/>
        </w:rPr>
        <w:t>，</w:t>
      </w:r>
      <w:r w:rsidR="00E13C49" w:rsidRPr="00DF7D72">
        <w:rPr>
          <w:rFonts w:hint="eastAsia"/>
          <w:b/>
        </w:rPr>
        <w:t>凸顯該會對於農藥誤用或濫用情形，</w:t>
      </w:r>
      <w:r w:rsidR="002A76A8" w:rsidRPr="00DF7D72">
        <w:rPr>
          <w:rFonts w:hint="eastAsia"/>
          <w:b/>
        </w:rPr>
        <w:t>管理失當</w:t>
      </w:r>
      <w:r w:rsidR="007E1ED3" w:rsidRPr="00DF7D72">
        <w:rPr>
          <w:rFonts w:hint="eastAsia"/>
          <w:b/>
        </w:rPr>
        <w:t>，核有怠失。</w:t>
      </w:r>
    </w:p>
    <w:p w:rsidR="00896B44" w:rsidRPr="00DF7D72" w:rsidRDefault="00896B44" w:rsidP="002D7271">
      <w:pPr>
        <w:pStyle w:val="3"/>
      </w:pPr>
      <w:r w:rsidRPr="00DF7D72">
        <w:rPr>
          <w:rFonts w:hint="eastAsia"/>
        </w:rPr>
        <w:t>按動物用藥品管理法第1條規定：</w:t>
      </w:r>
      <w:r w:rsidRPr="00DF7D72">
        <w:rPr>
          <w:rFonts w:hAnsi="標楷體" w:hint="eastAsia"/>
        </w:rPr>
        <w:t>「</w:t>
      </w:r>
      <w:r w:rsidRPr="00DF7D72">
        <w:rPr>
          <w:rFonts w:hint="eastAsia"/>
        </w:rPr>
        <w:t>為增進動物用藥品品質，維護動物健康，健全畜牧事業發展，特制定本法。</w:t>
      </w:r>
      <w:r w:rsidRPr="00DF7D72">
        <w:rPr>
          <w:rFonts w:hAnsi="標楷體" w:hint="eastAsia"/>
        </w:rPr>
        <w:t>」</w:t>
      </w:r>
      <w:r w:rsidRPr="00DF7D72">
        <w:rPr>
          <w:rFonts w:hint="eastAsia"/>
        </w:rPr>
        <w:t>農藥管理法第1條規定：</w:t>
      </w:r>
      <w:r w:rsidRPr="00DF7D72">
        <w:rPr>
          <w:rFonts w:hAnsi="標楷體" w:hint="eastAsia"/>
        </w:rPr>
        <w:t>「為保護農業生產及生態環境，防除有害生物，防止農藥危害，加強農藥管理，健全農藥產業發展，並增進農產品安全，特制定本法。」爰此，動物用藥及農藥之使用目的、範疇等各有規定，而</w:t>
      </w:r>
      <w:r w:rsidR="000B1A76" w:rsidRPr="00DF7D72">
        <w:rPr>
          <w:rFonts w:hint="eastAsia"/>
        </w:rPr>
        <w:t>蛋雞場之用藥規定應依據動物用藥品管理法及</w:t>
      </w:r>
      <w:r w:rsidRPr="00DF7D72">
        <w:rPr>
          <w:rFonts w:hint="eastAsia"/>
        </w:rPr>
        <w:t>其</w:t>
      </w:r>
      <w:r w:rsidR="000B1A76" w:rsidRPr="00DF7D72">
        <w:rPr>
          <w:rFonts w:hint="eastAsia"/>
        </w:rPr>
        <w:t>相關規定</w:t>
      </w:r>
      <w:r w:rsidRPr="00DF7D72">
        <w:rPr>
          <w:rStyle w:val="aff"/>
        </w:rPr>
        <w:footnoteReference w:id="6"/>
      </w:r>
      <w:r w:rsidRPr="00DF7D72">
        <w:rPr>
          <w:rFonts w:hint="eastAsia"/>
        </w:rPr>
        <w:t>使用。</w:t>
      </w:r>
      <w:r w:rsidR="007E1ED3" w:rsidRPr="00DF7D72">
        <w:rPr>
          <w:rFonts w:hint="eastAsia"/>
        </w:rPr>
        <w:t>次按</w:t>
      </w:r>
      <w:r w:rsidRPr="00DF7D72">
        <w:rPr>
          <w:rFonts w:hint="eastAsia"/>
        </w:rPr>
        <w:t>動物用藥殘留標準第</w:t>
      </w:r>
      <w:r w:rsidRPr="00DF7D72">
        <w:t>3</w:t>
      </w:r>
      <w:r w:rsidRPr="00DF7D72">
        <w:rPr>
          <w:rFonts w:hint="eastAsia"/>
        </w:rPr>
        <w:t>條表列</w:t>
      </w:r>
      <w:r w:rsidRPr="00DF7D72">
        <w:rPr>
          <w:rFonts w:hint="eastAsia"/>
          <w:kern w:val="2"/>
          <w:szCs w:val="24"/>
        </w:rPr>
        <w:t>藥品品目並</w:t>
      </w:r>
      <w:r w:rsidR="002D7271" w:rsidRPr="00DF7D72">
        <w:rPr>
          <w:rFonts w:hint="eastAsia"/>
          <w:kern w:val="2"/>
          <w:szCs w:val="24"/>
        </w:rPr>
        <w:t>未列</w:t>
      </w:r>
      <w:r w:rsidRPr="00DF7D72">
        <w:rPr>
          <w:rFonts w:hint="eastAsia"/>
          <w:kern w:val="2"/>
          <w:szCs w:val="24"/>
        </w:rPr>
        <w:t>芬普尼，另農藥殘留容許量標準第3條附表一農藥殘留容許量標準表中，</w:t>
      </w:r>
      <w:r w:rsidRPr="00DF7D72">
        <w:rPr>
          <w:rFonts w:hint="eastAsia"/>
        </w:rPr>
        <w:t>芬普尼</w:t>
      </w:r>
      <w:r w:rsidR="00037EC0" w:rsidRPr="00DF7D72">
        <w:rPr>
          <w:rFonts w:hint="eastAsia"/>
        </w:rPr>
        <w:t>係作為殺蟲劑使用，並僅列為大麥</w:t>
      </w:r>
      <w:r w:rsidR="00B3721D" w:rsidRPr="00DF7D72">
        <w:rPr>
          <w:rFonts w:hint="eastAsia"/>
        </w:rPr>
        <w:t>、玉米……</w:t>
      </w:r>
      <w:r w:rsidR="00037EC0" w:rsidRPr="00DF7D72">
        <w:rPr>
          <w:rFonts w:hint="eastAsia"/>
        </w:rPr>
        <w:t>等相關作物中訂有殘留標準</w:t>
      </w:r>
      <w:r w:rsidR="002D7271" w:rsidRPr="00DF7D72">
        <w:rPr>
          <w:rFonts w:hint="eastAsia"/>
        </w:rPr>
        <w:t>，而動物產品中農藥殘留容許量標準第3條表中亦未列芬普尼。基此，</w:t>
      </w:r>
      <w:r w:rsidR="00037EC0" w:rsidRPr="00DF7D72">
        <w:rPr>
          <w:rFonts w:hint="eastAsia"/>
        </w:rPr>
        <w:t>含芬普尼之農藥僅得於特定作物中使用</w:t>
      </w:r>
      <w:r w:rsidR="007E1ED3" w:rsidRPr="00DF7D72">
        <w:rPr>
          <w:rFonts w:hint="eastAsia"/>
        </w:rPr>
        <w:t>，</w:t>
      </w:r>
      <w:r w:rsidR="00CD21F1" w:rsidRPr="00DF7D72">
        <w:rPr>
          <w:rFonts w:hint="eastAsia"/>
        </w:rPr>
        <w:t>且</w:t>
      </w:r>
      <w:r w:rsidR="007E1ED3" w:rsidRPr="00DF7D72">
        <w:rPr>
          <w:rFonts w:hint="eastAsia"/>
        </w:rPr>
        <w:t>依不同劑型及其含量有不同的使用範圍</w:t>
      </w:r>
      <w:r w:rsidR="00037EC0" w:rsidRPr="00DF7D72">
        <w:rPr>
          <w:rFonts w:hint="eastAsia"/>
        </w:rPr>
        <w:t>，蛋雞場</w:t>
      </w:r>
      <w:r w:rsidR="007E1ED3" w:rsidRPr="00DF7D72">
        <w:rPr>
          <w:rFonts w:hint="eastAsia"/>
        </w:rPr>
        <w:t>亦</w:t>
      </w:r>
      <w:r w:rsidR="00037EC0" w:rsidRPr="00DF7D72">
        <w:rPr>
          <w:rFonts w:hint="eastAsia"/>
        </w:rPr>
        <w:t>不應使用動物用藥以外之農藥</w:t>
      </w:r>
      <w:r w:rsidR="006C4D5C" w:rsidRPr="00DF7D72">
        <w:rPr>
          <w:rFonts w:hint="eastAsia"/>
        </w:rPr>
        <w:t>，</w:t>
      </w:r>
      <w:r w:rsidR="00037EC0" w:rsidRPr="00DF7D72">
        <w:rPr>
          <w:rFonts w:hint="eastAsia"/>
        </w:rPr>
        <w:t>自無疑義，</w:t>
      </w:r>
      <w:r w:rsidR="00CD21F1" w:rsidRPr="00DF7D72">
        <w:rPr>
          <w:rFonts w:hint="eastAsia"/>
        </w:rPr>
        <w:t>此</w:t>
      </w:r>
      <w:r w:rsidR="00037EC0" w:rsidRPr="00DF7D72">
        <w:rPr>
          <w:rFonts w:hint="eastAsia"/>
        </w:rPr>
        <w:t>並有農委會防檢局於本院詢問時表示：</w:t>
      </w:r>
      <w:r w:rsidR="00037EC0" w:rsidRPr="00DF7D72">
        <w:rPr>
          <w:rFonts w:hAnsi="標楷體" w:hint="eastAsia"/>
        </w:rPr>
        <w:t>「農藥用在牧場都是非法，只有動物用藥才可以</w:t>
      </w:r>
      <w:r w:rsidR="00E13C49" w:rsidRPr="00DF7D72">
        <w:rPr>
          <w:rFonts w:hAnsi="標楷體" w:hint="eastAsia"/>
        </w:rPr>
        <w:t>。</w:t>
      </w:r>
      <w:r w:rsidR="00037EC0" w:rsidRPr="00DF7D72">
        <w:rPr>
          <w:rFonts w:hAnsi="標楷體" w:hint="eastAsia"/>
        </w:rPr>
        <w:t>」等語</w:t>
      </w:r>
      <w:r w:rsidR="006C4D5C" w:rsidRPr="00DF7D72">
        <w:rPr>
          <w:rFonts w:hAnsi="標楷體" w:hint="eastAsia"/>
        </w:rPr>
        <w:t>益明</w:t>
      </w:r>
      <w:r w:rsidR="00037EC0" w:rsidRPr="00DF7D72">
        <w:rPr>
          <w:rFonts w:hAnsi="標楷體" w:hint="eastAsia"/>
        </w:rPr>
        <w:t>。</w:t>
      </w:r>
    </w:p>
    <w:p w:rsidR="002D184F" w:rsidRPr="00DF7D72" w:rsidRDefault="00351787" w:rsidP="00CF0543">
      <w:pPr>
        <w:pStyle w:val="3"/>
      </w:pPr>
      <w:r w:rsidRPr="00DF7D72">
        <w:rPr>
          <w:rFonts w:hint="eastAsia"/>
        </w:rPr>
        <w:t>106年8月歐洲國家陸續爆發雞蛋遭芬普尼污染之事</w:t>
      </w:r>
      <w:r w:rsidRPr="00DF7D72">
        <w:rPr>
          <w:rFonts w:hint="eastAsia"/>
        </w:rPr>
        <w:lastRenderedPageBreak/>
        <w:t>件，農委會展開專案監測計畫以釐清國內蛋雞場雞蛋遭芬普尼污染之情形，而依農委會查復，</w:t>
      </w:r>
      <w:r w:rsidR="007E1ED3" w:rsidRPr="00DF7D72">
        <w:rPr>
          <w:rFonts w:hint="eastAsia"/>
        </w:rPr>
        <w:t>本事件雞農取得芬普尼之來源及使用情形，經芬普尼檢出場轄區直轄市及縣(市)政府訪查，臺中市高</w:t>
      </w:r>
      <w:r w:rsidR="007E1ED3" w:rsidRPr="00DF7D72">
        <w:rPr>
          <w:rFonts w:hAnsi="標楷體" w:hint="eastAsia"/>
        </w:rPr>
        <w:t>○</w:t>
      </w:r>
      <w:r w:rsidR="007E1ED3" w:rsidRPr="00DF7D72">
        <w:rPr>
          <w:rFonts w:hint="eastAsia"/>
        </w:rPr>
        <w:t>畜牧場雞農供稱係將農藥</w:t>
      </w:r>
      <w:r w:rsidR="00E13C49" w:rsidRPr="00DF7D72">
        <w:rPr>
          <w:rFonts w:ascii="新細明體" w:eastAsia="新細明體" w:hAnsi="新細明體" w:hint="eastAsia"/>
        </w:rPr>
        <w:t>「</w:t>
      </w:r>
      <w:r w:rsidR="007E1ED3" w:rsidRPr="00DF7D72">
        <w:rPr>
          <w:rFonts w:hint="eastAsia"/>
        </w:rPr>
        <w:t>戰將</w:t>
      </w:r>
      <w:r w:rsidR="00E13C49" w:rsidRPr="00DF7D72">
        <w:rPr>
          <w:rFonts w:hAnsi="標楷體" w:hint="eastAsia"/>
        </w:rPr>
        <w:t>」</w:t>
      </w:r>
      <w:r w:rsidR="007E1ED3" w:rsidRPr="00DF7D72">
        <w:rPr>
          <w:rFonts w:hint="eastAsia"/>
        </w:rPr>
        <w:t>(芬普尼，0.3%粒劑)泡水再用於噴灑屋前所種的果樹和蔬菜，因噴完還剩餘少量，</w:t>
      </w:r>
      <w:r w:rsidR="00E13C49" w:rsidRPr="00DF7D72">
        <w:rPr>
          <w:rFonts w:hint="eastAsia"/>
        </w:rPr>
        <w:t>爰</w:t>
      </w:r>
      <w:r w:rsidR="007E1ED3" w:rsidRPr="00DF7D72">
        <w:rPr>
          <w:rFonts w:hint="eastAsia"/>
        </w:rPr>
        <w:t>將剩下的部分噴灑於禽舍前的水溝。部分雞農使用4.95%芬普尼水懸劑於禽舍環境或雞隻除蟲。雞農係經由賣藥業務推銷或至農藥行購買取得。又據該會檢附芬普尼檢出之蛋雞場訪查紀錄</w:t>
      </w:r>
      <w:r w:rsidR="00954688" w:rsidRPr="00DF7D72">
        <w:rPr>
          <w:rFonts w:hint="eastAsia"/>
        </w:rPr>
        <w:t>分別摘錄</w:t>
      </w:r>
      <w:r w:rsidR="007E1ED3" w:rsidRPr="00DF7D72">
        <w:rPr>
          <w:rFonts w:hint="eastAsia"/>
        </w:rPr>
        <w:t>：</w:t>
      </w:r>
      <w:r w:rsidR="007E1ED3" w:rsidRPr="00DF7D72">
        <w:rPr>
          <w:rFonts w:hAnsi="標楷體" w:hint="eastAsia"/>
        </w:rPr>
        <w:t>「向屏東一商人購買，藥商建議1,000倍使用於雞隻身上」、「</w:t>
      </w:r>
      <w:r w:rsidR="007E1ED3" w:rsidRPr="00DF7D72">
        <w:rPr>
          <w:rFonts w:hint="eastAsia"/>
        </w:rPr>
        <w:t>法台寶(芬普尼)4.95%懸浮乳劑稀釋1,000倍，噴霧在畜舍黑色圍網上，朋友調取(</w:t>
      </w:r>
      <w:r w:rsidR="00087BDD">
        <w:rPr>
          <w:rFonts w:hint="eastAsia"/>
        </w:rPr>
        <w:t>不記得</w:t>
      </w:r>
      <w:r w:rsidR="007E1ED3" w:rsidRPr="00DF7D72">
        <w:rPr>
          <w:rFonts w:hint="eastAsia"/>
        </w:rPr>
        <w:t>販售農藥行名稱)</w:t>
      </w:r>
      <w:r w:rsidR="007E1ED3" w:rsidRPr="00DF7D72">
        <w:rPr>
          <w:rFonts w:hAnsi="標楷體" w:hint="eastAsia"/>
        </w:rPr>
        <w:t>」、「</w:t>
      </w:r>
      <w:r w:rsidR="007E1ED3" w:rsidRPr="00DF7D72">
        <w:rPr>
          <w:rFonts w:hint="eastAsia"/>
        </w:rPr>
        <w:t>三年前有人到該場販售</w:t>
      </w:r>
      <w:r w:rsidR="000B2690" w:rsidRPr="00DF7D72">
        <w:rPr>
          <w:rFonts w:hAnsi="標楷體" w:hint="eastAsia"/>
        </w:rPr>
        <w:t>『</w:t>
      </w:r>
      <w:r w:rsidR="007E1ED3" w:rsidRPr="00DF7D72">
        <w:rPr>
          <w:rFonts w:hint="eastAsia"/>
        </w:rPr>
        <w:t>德國寶</w:t>
      </w:r>
      <w:r w:rsidR="00454997" w:rsidRPr="00DF7D72">
        <w:rPr>
          <w:rFonts w:hAnsi="標楷體" w:hint="eastAsia"/>
        </w:rPr>
        <w:t>』</w:t>
      </w:r>
      <w:r w:rsidR="007E1ED3" w:rsidRPr="00DF7D72">
        <w:rPr>
          <w:rFonts w:hint="eastAsia"/>
        </w:rPr>
        <w:t>(芬普尼水懸劑)，每400</w:t>
      </w:r>
      <w:r w:rsidR="000B2690" w:rsidRPr="00DF7D72">
        <w:rPr>
          <w:rFonts w:hint="eastAsia"/>
        </w:rPr>
        <w:t>毫升</w:t>
      </w:r>
      <w:r w:rsidR="007E1ED3" w:rsidRPr="00DF7D72">
        <w:rPr>
          <w:rFonts w:hint="eastAsia"/>
        </w:rPr>
        <w:t>芬普尼調配150</w:t>
      </w:r>
      <w:r w:rsidR="000B2690" w:rsidRPr="00DF7D72">
        <w:rPr>
          <w:rFonts w:hint="eastAsia"/>
        </w:rPr>
        <w:t>公升</w:t>
      </w:r>
      <w:r w:rsidR="007E1ED3" w:rsidRPr="00DF7D72">
        <w:rPr>
          <w:rFonts w:hint="eastAsia"/>
        </w:rPr>
        <w:t>水噴灑於雞隻共泄腔，除蝨子</w:t>
      </w:r>
      <w:r w:rsidR="007E1ED3" w:rsidRPr="00DF7D72">
        <w:rPr>
          <w:rFonts w:hAnsi="標楷體" w:hint="eastAsia"/>
        </w:rPr>
        <w:t>」、「</w:t>
      </w:r>
      <w:r w:rsidR="007E1ED3" w:rsidRPr="00DF7D72">
        <w:rPr>
          <w:rFonts w:hint="eastAsia"/>
        </w:rPr>
        <w:t>至農藥行購買除雞蝨藥品，農藥行宣稱對蚊蟲、雞蝨等無脊椎動物有效</w:t>
      </w:r>
      <w:r w:rsidR="007E1ED3" w:rsidRPr="00DF7D72">
        <w:rPr>
          <w:rFonts w:hAnsi="標楷體" w:hint="eastAsia"/>
        </w:rPr>
        <w:t>」、「</w:t>
      </w:r>
      <w:r w:rsidR="00954688" w:rsidRPr="00DF7D72">
        <w:rPr>
          <w:rFonts w:hint="eastAsia"/>
        </w:rPr>
        <w:t>場內有2罐未使用之除雞蝨用藥，5</w:t>
      </w:r>
      <w:r w:rsidR="000B2690" w:rsidRPr="00DF7D72">
        <w:rPr>
          <w:rFonts w:hint="eastAsia"/>
        </w:rPr>
        <w:t>至</w:t>
      </w:r>
      <w:r w:rsidR="00954688" w:rsidRPr="00DF7D72">
        <w:rPr>
          <w:rFonts w:hint="eastAsia"/>
        </w:rPr>
        <w:t>6年前農藥行購買，藥物名稱(SUPPLE MENTAL AGENT 606)、劑型(白色塑膠罐裝米白色稠狀液體)、用在噴灑雞糞除蚊蠅，除雞蝨施用，現場藥物送驗為芬普尼</w:t>
      </w:r>
      <w:r w:rsidR="007E1ED3" w:rsidRPr="00DF7D72">
        <w:rPr>
          <w:rFonts w:hAnsi="標楷體" w:hint="eastAsia"/>
        </w:rPr>
        <w:t>」</w:t>
      </w:r>
      <w:r w:rsidR="00954688" w:rsidRPr="00DF7D72">
        <w:rPr>
          <w:rFonts w:hAnsi="標楷體" w:hint="eastAsia"/>
        </w:rPr>
        <w:t>等內容，可證蛋雞場內</w:t>
      </w:r>
      <w:r w:rsidR="00194DEA" w:rsidRPr="00DF7D72">
        <w:rPr>
          <w:rFonts w:hAnsi="標楷體" w:hint="eastAsia"/>
        </w:rPr>
        <w:t>多有噴灑農藥</w:t>
      </w:r>
      <w:r w:rsidR="00076B2C" w:rsidRPr="00DF7D72">
        <w:rPr>
          <w:rFonts w:hAnsi="標楷體" w:hint="eastAsia"/>
        </w:rPr>
        <w:t>用於</w:t>
      </w:r>
      <w:r w:rsidR="00194DEA" w:rsidRPr="00DF7D72">
        <w:rPr>
          <w:rFonts w:hAnsi="標楷體" w:hint="eastAsia"/>
        </w:rPr>
        <w:t>牧場內或雞隻上，作為</w:t>
      </w:r>
      <w:r w:rsidR="00076B2C" w:rsidRPr="00DF7D72">
        <w:rPr>
          <w:rFonts w:hAnsi="標楷體" w:hint="eastAsia"/>
        </w:rPr>
        <w:t>除蟲</w:t>
      </w:r>
      <w:r w:rsidR="00194DEA" w:rsidRPr="00DF7D72">
        <w:rPr>
          <w:rFonts w:hAnsi="標楷體" w:hint="eastAsia"/>
        </w:rPr>
        <w:t>或</w:t>
      </w:r>
      <w:r w:rsidR="00076B2C" w:rsidRPr="00DF7D72">
        <w:rPr>
          <w:rFonts w:hAnsi="標楷體" w:hint="eastAsia"/>
        </w:rPr>
        <w:t>除</w:t>
      </w:r>
      <w:r w:rsidR="00076B2C" w:rsidRPr="00DF7D72">
        <w:rPr>
          <w:rFonts w:hint="eastAsia"/>
        </w:rPr>
        <w:t>蝨使用</w:t>
      </w:r>
      <w:r w:rsidR="00194DEA" w:rsidRPr="00DF7D72">
        <w:rPr>
          <w:rFonts w:hint="eastAsia"/>
        </w:rPr>
        <w:t>，</w:t>
      </w:r>
      <w:r w:rsidRPr="00DF7D72">
        <w:rPr>
          <w:rFonts w:hint="eastAsia"/>
        </w:rPr>
        <w:t>且</w:t>
      </w:r>
      <w:r w:rsidR="00FC3AB0" w:rsidRPr="00DF7D72">
        <w:rPr>
          <w:rFonts w:hint="eastAsia"/>
        </w:rPr>
        <w:t>案例</w:t>
      </w:r>
      <w:r w:rsidR="009F1BD7" w:rsidRPr="00DF7D72">
        <w:rPr>
          <w:rFonts w:hint="eastAsia"/>
        </w:rPr>
        <w:t>蛋雞場使用</w:t>
      </w:r>
      <w:r w:rsidRPr="00DF7D72">
        <w:rPr>
          <w:rFonts w:hAnsi="標楷體" w:hint="eastAsia"/>
        </w:rPr>
        <w:t>含芬普尼之農藥，至少</w:t>
      </w:r>
      <w:r w:rsidR="009F1BD7" w:rsidRPr="00DF7D72">
        <w:rPr>
          <w:rFonts w:hAnsi="標楷體" w:hint="eastAsia"/>
        </w:rPr>
        <w:t>已有5年以上，顯有國內蛋雞場早有使用該農藥之慣行，與法令規範顯未相符，農委會對此竟未能掌握且毫無所悉，且於事件爆發後始進行清查，</w:t>
      </w:r>
      <w:r w:rsidR="00FC3AB0" w:rsidRPr="00DF7D72">
        <w:rPr>
          <w:rFonts w:hAnsi="標楷體" w:hint="eastAsia"/>
        </w:rPr>
        <w:t>由各案例蛋雞場供述內容</w:t>
      </w:r>
      <w:r w:rsidR="005E0CAA" w:rsidRPr="00DF7D72">
        <w:rPr>
          <w:rFonts w:hAnsi="標楷體" w:hint="eastAsia"/>
        </w:rPr>
        <w:t>更可得知</w:t>
      </w:r>
      <w:r w:rsidR="00FC3AB0" w:rsidRPr="00DF7D72">
        <w:rPr>
          <w:rFonts w:hAnsi="標楷體" w:hint="eastAsia"/>
        </w:rPr>
        <w:t>，實則已無法續追農藥來源</w:t>
      </w:r>
      <w:r w:rsidR="002D184F" w:rsidRPr="00DF7D72">
        <w:rPr>
          <w:rFonts w:hAnsi="標楷體" w:hint="eastAsia"/>
        </w:rPr>
        <w:t>，此有該會查復：「</w:t>
      </w:r>
      <w:r w:rsidR="002D184F" w:rsidRPr="00DF7D72">
        <w:rPr>
          <w:rFonts w:hint="eastAsia"/>
        </w:rPr>
        <w:t>案例編號1</w:t>
      </w:r>
      <w:r w:rsidR="002D184F" w:rsidRPr="00DF7D72">
        <w:rPr>
          <w:rFonts w:hAnsi="標楷體" w:hint="eastAsia"/>
        </w:rPr>
        <w:t>『</w:t>
      </w:r>
      <w:r w:rsidR="002D184F" w:rsidRPr="00DF7D72">
        <w:rPr>
          <w:rFonts w:hint="eastAsia"/>
        </w:rPr>
        <w:t>高</w:t>
      </w:r>
      <w:r w:rsidR="009B5DCB" w:rsidRPr="00DF7D72">
        <w:rPr>
          <w:rFonts w:hAnsi="標楷體" w:hint="eastAsia"/>
        </w:rPr>
        <w:t>○</w:t>
      </w:r>
      <w:r w:rsidR="002D184F" w:rsidRPr="00DF7D72">
        <w:rPr>
          <w:rFonts w:hint="eastAsia"/>
        </w:rPr>
        <w:t>畜牧場</w:t>
      </w:r>
      <w:r w:rsidR="002D184F" w:rsidRPr="00DF7D72">
        <w:rPr>
          <w:rFonts w:hAnsi="標楷體" w:hint="eastAsia"/>
        </w:rPr>
        <w:t>』</w:t>
      </w:r>
      <w:r w:rsidR="002D184F" w:rsidRPr="00DF7D72">
        <w:rPr>
          <w:rFonts w:hint="eastAsia"/>
        </w:rPr>
        <w:t>：臺中市政府業於106年8月31日訪談該場施姓負責人，其表示是在臺</w:t>
      </w:r>
      <w:r w:rsidR="002D184F" w:rsidRPr="00DF7D72">
        <w:rPr>
          <w:rFonts w:hint="eastAsia"/>
        </w:rPr>
        <w:lastRenderedPageBreak/>
        <w:t>中市北屯區的</w:t>
      </w:r>
      <w:r w:rsidR="002D184F" w:rsidRPr="00DF7D72">
        <w:rPr>
          <w:rFonts w:hAnsi="標楷體" w:hint="eastAsia"/>
        </w:rPr>
        <w:t>『</w:t>
      </w:r>
      <w:r w:rsidR="002D184F" w:rsidRPr="00DF7D72">
        <w:rPr>
          <w:rFonts w:hint="eastAsia"/>
        </w:rPr>
        <w:t>興</w:t>
      </w:r>
      <w:r w:rsidR="00CF0543" w:rsidRPr="00DF7D72">
        <w:rPr>
          <w:rFonts w:hAnsi="標楷體" w:hint="eastAsia"/>
        </w:rPr>
        <w:t>○</w:t>
      </w:r>
      <w:r w:rsidR="002D184F" w:rsidRPr="00DF7D72">
        <w:rPr>
          <w:rFonts w:hint="eastAsia"/>
        </w:rPr>
        <w:t>農藥行</w:t>
      </w:r>
      <w:r w:rsidR="002D184F" w:rsidRPr="00DF7D72">
        <w:rPr>
          <w:rFonts w:hAnsi="標楷體" w:hint="eastAsia"/>
        </w:rPr>
        <w:t>』</w:t>
      </w:r>
      <w:r w:rsidR="002D184F" w:rsidRPr="00DF7D72">
        <w:rPr>
          <w:rFonts w:hint="eastAsia"/>
        </w:rPr>
        <w:t>購買的，僅知道在東山路上，其餘並不清楚。並表示因買的量小，故直接付款，並未拿任何單據，且農藥瓶已丟棄。因負責人無法確實提供相關資料，故臺中市政府查無</w:t>
      </w:r>
      <w:r w:rsidR="002D184F" w:rsidRPr="00DF7D72">
        <w:rPr>
          <w:rFonts w:hAnsi="標楷體" w:hint="eastAsia"/>
        </w:rPr>
        <w:t>『</w:t>
      </w:r>
      <w:r w:rsidR="002D184F" w:rsidRPr="00DF7D72">
        <w:rPr>
          <w:rFonts w:hint="eastAsia"/>
        </w:rPr>
        <w:t>興</w:t>
      </w:r>
      <w:r w:rsidR="00B3721D" w:rsidRPr="00DF7D72">
        <w:rPr>
          <w:rFonts w:hAnsi="標楷體" w:hint="eastAsia"/>
        </w:rPr>
        <w:t>○</w:t>
      </w:r>
      <w:r w:rsidR="002D184F" w:rsidRPr="00DF7D72">
        <w:rPr>
          <w:rFonts w:hint="eastAsia"/>
        </w:rPr>
        <w:t>農藥行</w:t>
      </w:r>
      <w:r w:rsidR="002D184F" w:rsidRPr="00DF7D72">
        <w:rPr>
          <w:rFonts w:hAnsi="標楷體" w:hint="eastAsia"/>
        </w:rPr>
        <w:t>』</w:t>
      </w:r>
      <w:r w:rsidR="002D184F" w:rsidRPr="00DF7D72">
        <w:rPr>
          <w:rFonts w:hint="eastAsia"/>
        </w:rPr>
        <w:t>。</w:t>
      </w:r>
      <w:r w:rsidR="002D184F" w:rsidRPr="00DF7D72">
        <w:rPr>
          <w:rFonts w:hAnsi="標楷體" w:hint="eastAsia"/>
        </w:rPr>
        <w:t>」、「</w:t>
      </w:r>
      <w:r w:rsidR="002D184F" w:rsidRPr="00DF7D72">
        <w:rPr>
          <w:rFonts w:hint="eastAsia"/>
        </w:rPr>
        <w:t>案例編號3</w:t>
      </w:r>
      <w:r w:rsidR="009B5DCB" w:rsidRPr="00DF7D72">
        <w:rPr>
          <w:rFonts w:hAnsi="標楷體" w:hint="eastAsia"/>
        </w:rPr>
        <w:t>『</w:t>
      </w:r>
      <w:r w:rsidR="002D184F" w:rsidRPr="00DF7D72">
        <w:rPr>
          <w:rFonts w:hint="eastAsia"/>
        </w:rPr>
        <w:t>連</w:t>
      </w:r>
      <w:r w:rsidR="009B5DCB" w:rsidRPr="00DF7D72">
        <w:rPr>
          <w:rFonts w:hAnsi="標楷體" w:hint="eastAsia"/>
        </w:rPr>
        <w:t>○</w:t>
      </w:r>
      <w:r w:rsidR="002D184F" w:rsidRPr="00DF7D72">
        <w:rPr>
          <w:rFonts w:hint="eastAsia"/>
        </w:rPr>
        <w:t>牧場</w:t>
      </w:r>
      <w:r w:rsidR="009B5DCB" w:rsidRPr="00DF7D72">
        <w:rPr>
          <w:rFonts w:hAnsi="標楷體" w:hint="eastAsia"/>
        </w:rPr>
        <w:t>』</w:t>
      </w:r>
      <w:r w:rsidR="002D184F" w:rsidRPr="00DF7D72">
        <w:rPr>
          <w:rFonts w:hint="eastAsia"/>
        </w:rPr>
        <w:t>：曾姓當事人於106年8月21日向彰化縣動物防疫所表示：紅蓋白瓶身罐裝不明物係向屏東陳姓商人購得，本案由</w:t>
      </w:r>
      <w:r w:rsidR="00454997" w:rsidRPr="00DF7D72">
        <w:rPr>
          <w:rFonts w:hint="eastAsia"/>
        </w:rPr>
        <w:t>臺灣彰化地方法院檢察署</w:t>
      </w:r>
      <w:r w:rsidR="002D184F" w:rsidRPr="00DF7D72">
        <w:rPr>
          <w:rFonts w:hint="eastAsia"/>
        </w:rPr>
        <w:t>詢問當事人後，案件移請臺灣屏東地方法院檢察署針對陳姓商人後續辦理中。</w:t>
      </w:r>
      <w:r w:rsidR="009B5DCB" w:rsidRPr="00DF7D72">
        <w:rPr>
          <w:rFonts w:hAnsi="標楷體" w:hint="eastAsia"/>
        </w:rPr>
        <w:t>」、「</w:t>
      </w:r>
      <w:r w:rsidR="002D184F" w:rsidRPr="00DF7D72">
        <w:rPr>
          <w:rFonts w:hint="eastAsia"/>
        </w:rPr>
        <w:t>案例編號13</w:t>
      </w:r>
      <w:r w:rsidR="009B5DCB" w:rsidRPr="00DF7D72">
        <w:rPr>
          <w:rFonts w:hAnsi="標楷體" w:hint="eastAsia"/>
        </w:rPr>
        <w:t>『</w:t>
      </w:r>
      <w:r w:rsidR="002D184F" w:rsidRPr="00DF7D72">
        <w:rPr>
          <w:rFonts w:hint="eastAsia"/>
        </w:rPr>
        <w:t>欣</w:t>
      </w:r>
      <w:r w:rsidR="009B5DCB" w:rsidRPr="00DF7D72">
        <w:rPr>
          <w:rFonts w:hAnsi="標楷體" w:hint="eastAsia"/>
        </w:rPr>
        <w:t>○</w:t>
      </w:r>
      <w:r w:rsidR="002D184F" w:rsidRPr="00DF7D72">
        <w:rPr>
          <w:rFonts w:hint="eastAsia"/>
        </w:rPr>
        <w:t>畜牧場</w:t>
      </w:r>
      <w:r w:rsidR="009B5DCB" w:rsidRPr="00DF7D72">
        <w:rPr>
          <w:rFonts w:hAnsi="標楷體" w:hint="eastAsia"/>
        </w:rPr>
        <w:t>』</w:t>
      </w:r>
      <w:r w:rsidR="002D184F" w:rsidRPr="00DF7D72">
        <w:rPr>
          <w:rFonts w:hint="eastAsia"/>
        </w:rPr>
        <w:t>：洪姓當事人於106年8月25日向彰化縣動物防疫所表示：牧場曾使用未標示白色瓶身（疑似含芬普尼成分）不明罐裝物，係向動物藥品販賣業</w:t>
      </w:r>
      <w:r w:rsidR="009B5DCB" w:rsidRPr="00DF7D72">
        <w:rPr>
          <w:rFonts w:hAnsi="標楷體" w:hint="eastAsia"/>
        </w:rPr>
        <w:t>『</w:t>
      </w:r>
      <w:r w:rsidR="002D184F" w:rsidRPr="00DF7D72">
        <w:rPr>
          <w:rFonts w:hint="eastAsia"/>
        </w:rPr>
        <w:t>益</w:t>
      </w:r>
      <w:r w:rsidR="009B5DCB" w:rsidRPr="00DF7D72">
        <w:rPr>
          <w:rFonts w:hAnsi="標楷體" w:hint="eastAsia"/>
        </w:rPr>
        <w:t>○</w:t>
      </w:r>
      <w:r w:rsidR="002D184F" w:rsidRPr="00DF7D72">
        <w:rPr>
          <w:rFonts w:hint="eastAsia"/>
        </w:rPr>
        <w:t>行</w:t>
      </w:r>
      <w:r w:rsidR="009B5DCB" w:rsidRPr="00DF7D72">
        <w:rPr>
          <w:rFonts w:hAnsi="標楷體" w:hint="eastAsia"/>
        </w:rPr>
        <w:t>』</w:t>
      </w:r>
      <w:r w:rsidR="002D184F" w:rsidRPr="00DF7D72">
        <w:rPr>
          <w:rFonts w:hint="eastAsia"/>
        </w:rPr>
        <w:t>購買，該不明罐裝物藥品是否定義為農藥，仍有待釐清；此外，該牧場業者亦曾使用購自</w:t>
      </w:r>
      <w:r w:rsidR="009B5DCB" w:rsidRPr="00DF7D72">
        <w:rPr>
          <w:rFonts w:hAnsi="標楷體" w:hint="eastAsia"/>
        </w:rPr>
        <w:t>『</w:t>
      </w:r>
      <w:r w:rsidR="002D184F" w:rsidRPr="00DF7D72">
        <w:rPr>
          <w:rFonts w:hint="eastAsia"/>
        </w:rPr>
        <w:t>健</w:t>
      </w:r>
      <w:r w:rsidR="009B5DCB" w:rsidRPr="00DF7D72">
        <w:rPr>
          <w:rFonts w:hAnsi="標楷體" w:hint="eastAsia"/>
        </w:rPr>
        <w:t>○</w:t>
      </w:r>
      <w:r w:rsidR="002D184F" w:rsidRPr="00DF7D72">
        <w:rPr>
          <w:rFonts w:hint="eastAsia"/>
        </w:rPr>
        <w:t>農藥行</w:t>
      </w:r>
      <w:r w:rsidR="009B5DCB" w:rsidRPr="00DF7D72">
        <w:rPr>
          <w:rFonts w:hAnsi="標楷體" w:hint="eastAsia"/>
        </w:rPr>
        <w:t>』</w:t>
      </w:r>
      <w:r w:rsidR="002D184F" w:rsidRPr="00DF7D72">
        <w:rPr>
          <w:rFonts w:hint="eastAsia"/>
        </w:rPr>
        <w:t>的偽農藥</w:t>
      </w:r>
      <w:r w:rsidR="003D3CC4" w:rsidRPr="00DF7D72">
        <w:rPr>
          <w:rFonts w:hAnsi="標楷體" w:hint="eastAsia"/>
        </w:rPr>
        <w:t>『</w:t>
      </w:r>
      <w:r w:rsidR="002D184F" w:rsidRPr="00DF7D72">
        <w:rPr>
          <w:rFonts w:hint="eastAsia"/>
        </w:rPr>
        <w:t>卡有淨</w:t>
      </w:r>
      <w:r w:rsidR="003D3CC4" w:rsidRPr="00DF7D72">
        <w:rPr>
          <w:rFonts w:hAnsi="標楷體" w:hint="eastAsia"/>
        </w:rPr>
        <w:t>』</w:t>
      </w:r>
      <w:r w:rsidR="002D184F" w:rsidRPr="00DF7D72">
        <w:rPr>
          <w:rFonts w:hint="eastAsia"/>
        </w:rPr>
        <w:t>，臺灣彰化地方法院檢察署分別針對</w:t>
      </w:r>
      <w:r w:rsidR="009B5DCB" w:rsidRPr="00DF7D72">
        <w:rPr>
          <w:rFonts w:hAnsi="標楷體" w:hint="eastAsia"/>
        </w:rPr>
        <w:t>『</w:t>
      </w:r>
      <w:r w:rsidR="002D184F" w:rsidRPr="00DF7D72">
        <w:rPr>
          <w:rFonts w:hint="eastAsia"/>
        </w:rPr>
        <w:t>益</w:t>
      </w:r>
      <w:r w:rsidR="009B5DCB" w:rsidRPr="00DF7D72">
        <w:rPr>
          <w:rFonts w:hAnsi="標楷體" w:hint="eastAsia"/>
        </w:rPr>
        <w:t>○</w:t>
      </w:r>
      <w:r w:rsidR="002D184F" w:rsidRPr="00DF7D72">
        <w:rPr>
          <w:rFonts w:hint="eastAsia"/>
        </w:rPr>
        <w:t>行</w:t>
      </w:r>
      <w:r w:rsidR="009B5DCB" w:rsidRPr="00DF7D72">
        <w:rPr>
          <w:rFonts w:hAnsi="標楷體" w:hint="eastAsia"/>
        </w:rPr>
        <w:t>』</w:t>
      </w:r>
      <w:r w:rsidR="002D184F" w:rsidRPr="00DF7D72">
        <w:rPr>
          <w:rFonts w:hint="eastAsia"/>
        </w:rPr>
        <w:t>及</w:t>
      </w:r>
      <w:r w:rsidR="009B5DCB" w:rsidRPr="00DF7D72">
        <w:rPr>
          <w:rFonts w:hAnsi="標楷體" w:hint="eastAsia"/>
        </w:rPr>
        <w:t>『</w:t>
      </w:r>
      <w:r w:rsidR="002D184F" w:rsidRPr="00DF7D72">
        <w:rPr>
          <w:rFonts w:hint="eastAsia"/>
        </w:rPr>
        <w:t>健</w:t>
      </w:r>
      <w:r w:rsidR="009B5DCB" w:rsidRPr="00DF7D72">
        <w:rPr>
          <w:rFonts w:hAnsi="標楷體" w:hint="eastAsia"/>
        </w:rPr>
        <w:t>○</w:t>
      </w:r>
      <w:r w:rsidR="002D184F" w:rsidRPr="00DF7D72">
        <w:rPr>
          <w:rFonts w:hint="eastAsia"/>
        </w:rPr>
        <w:t>農藥行</w:t>
      </w:r>
      <w:r w:rsidR="009B5DCB" w:rsidRPr="00DF7D72">
        <w:rPr>
          <w:rFonts w:hAnsi="標楷體" w:hint="eastAsia"/>
        </w:rPr>
        <w:t>』</w:t>
      </w:r>
      <w:r w:rsidR="002D184F" w:rsidRPr="00DF7D72">
        <w:rPr>
          <w:rFonts w:hint="eastAsia"/>
        </w:rPr>
        <w:t>後續偵辦中。</w:t>
      </w:r>
      <w:r w:rsidR="009B5DCB" w:rsidRPr="00DF7D72">
        <w:rPr>
          <w:rFonts w:hAnsi="標楷體" w:hint="eastAsia"/>
        </w:rPr>
        <w:t>」、「</w:t>
      </w:r>
      <w:r w:rsidR="002D184F" w:rsidRPr="00DF7D72">
        <w:rPr>
          <w:rFonts w:hint="eastAsia"/>
        </w:rPr>
        <w:t>案例編號16</w:t>
      </w:r>
      <w:r w:rsidR="009B5DCB" w:rsidRPr="00DF7D72">
        <w:rPr>
          <w:rFonts w:hAnsi="標楷體" w:hint="eastAsia"/>
        </w:rPr>
        <w:t>『</w:t>
      </w:r>
      <w:r w:rsidR="002D184F" w:rsidRPr="00DF7D72">
        <w:rPr>
          <w:rFonts w:hint="eastAsia"/>
        </w:rPr>
        <w:t>八</w:t>
      </w:r>
      <w:r w:rsidR="009B5DCB" w:rsidRPr="00DF7D72">
        <w:rPr>
          <w:rFonts w:hAnsi="標楷體" w:hint="eastAsia"/>
        </w:rPr>
        <w:t>○</w:t>
      </w:r>
      <w:r w:rsidR="002D184F" w:rsidRPr="00DF7D72">
        <w:rPr>
          <w:rFonts w:hint="eastAsia"/>
        </w:rPr>
        <w:t>牧場</w:t>
      </w:r>
      <w:r w:rsidR="009B5DCB" w:rsidRPr="00DF7D72">
        <w:rPr>
          <w:rFonts w:hAnsi="標楷體" w:hint="eastAsia"/>
        </w:rPr>
        <w:t>』</w:t>
      </w:r>
      <w:r w:rsidR="002D184F" w:rsidRPr="00DF7D72">
        <w:rPr>
          <w:rFonts w:hint="eastAsia"/>
        </w:rPr>
        <w:t>：農藥為向朋友調取(不記的販售農藥行名稱)。</w:t>
      </w:r>
      <w:r w:rsidR="009B5DCB" w:rsidRPr="00DF7D72">
        <w:rPr>
          <w:rFonts w:hAnsi="標楷體" w:hint="eastAsia"/>
        </w:rPr>
        <w:t>」、「</w:t>
      </w:r>
      <w:r w:rsidR="002D184F" w:rsidRPr="00DF7D72">
        <w:rPr>
          <w:rFonts w:hint="eastAsia"/>
        </w:rPr>
        <w:t>案例編號24</w:t>
      </w:r>
      <w:r w:rsidR="009B5DCB" w:rsidRPr="00DF7D72">
        <w:rPr>
          <w:rFonts w:hAnsi="標楷體" w:hint="eastAsia"/>
        </w:rPr>
        <w:t>『</w:t>
      </w:r>
      <w:r w:rsidR="002D184F" w:rsidRPr="00DF7D72">
        <w:rPr>
          <w:rFonts w:hint="eastAsia"/>
        </w:rPr>
        <w:t>廣</w:t>
      </w:r>
      <w:r w:rsidR="009B5DCB" w:rsidRPr="00DF7D72">
        <w:rPr>
          <w:rFonts w:hAnsi="標楷體" w:hint="eastAsia"/>
        </w:rPr>
        <w:t>○</w:t>
      </w:r>
      <w:r w:rsidR="002D184F" w:rsidRPr="00DF7D72">
        <w:rPr>
          <w:rFonts w:hint="eastAsia"/>
        </w:rPr>
        <w:t>雞場</w:t>
      </w:r>
      <w:r w:rsidR="009B5DCB" w:rsidRPr="00DF7D72">
        <w:rPr>
          <w:rFonts w:hAnsi="標楷體" w:hint="eastAsia"/>
        </w:rPr>
        <w:t>』</w:t>
      </w:r>
      <w:r w:rsidR="002D184F" w:rsidRPr="00DF7D72">
        <w:rPr>
          <w:rFonts w:hint="eastAsia"/>
        </w:rPr>
        <w:t>、25</w:t>
      </w:r>
      <w:r w:rsidR="009B5DCB" w:rsidRPr="00DF7D72">
        <w:rPr>
          <w:rFonts w:hAnsi="標楷體" w:hint="eastAsia"/>
        </w:rPr>
        <w:t>『</w:t>
      </w:r>
      <w:r w:rsidR="002D184F" w:rsidRPr="00DF7D72">
        <w:rPr>
          <w:rFonts w:hint="eastAsia"/>
        </w:rPr>
        <w:t>沈</w:t>
      </w:r>
      <w:r w:rsidR="009B5DCB" w:rsidRPr="00DF7D72">
        <w:rPr>
          <w:rFonts w:hAnsi="標楷體" w:hint="eastAsia"/>
        </w:rPr>
        <w:t>○○</w:t>
      </w:r>
      <w:r w:rsidR="002D184F" w:rsidRPr="00DF7D72">
        <w:rPr>
          <w:rFonts w:hint="eastAsia"/>
        </w:rPr>
        <w:t>牧場</w:t>
      </w:r>
      <w:r w:rsidR="009B5DCB" w:rsidRPr="00DF7D72">
        <w:rPr>
          <w:rFonts w:hAnsi="標楷體" w:hint="eastAsia"/>
        </w:rPr>
        <w:t>』</w:t>
      </w:r>
      <w:r w:rsidR="002D184F" w:rsidRPr="00DF7D72">
        <w:rPr>
          <w:rFonts w:hint="eastAsia"/>
        </w:rPr>
        <w:t>及26</w:t>
      </w:r>
      <w:r w:rsidR="009B5DCB" w:rsidRPr="00DF7D72">
        <w:rPr>
          <w:rFonts w:hAnsi="標楷體" w:hint="eastAsia"/>
        </w:rPr>
        <w:t>『</w:t>
      </w:r>
      <w:r w:rsidR="002D184F" w:rsidRPr="00DF7D72">
        <w:rPr>
          <w:rFonts w:hint="eastAsia"/>
        </w:rPr>
        <w:t>錦</w:t>
      </w:r>
      <w:r w:rsidR="009B5DCB" w:rsidRPr="00DF7D72">
        <w:rPr>
          <w:rFonts w:hAnsi="標楷體" w:hint="eastAsia"/>
        </w:rPr>
        <w:t>○</w:t>
      </w:r>
      <w:r w:rsidR="002D184F" w:rsidRPr="00DF7D72">
        <w:rPr>
          <w:rFonts w:hint="eastAsia"/>
        </w:rPr>
        <w:t>牧場</w:t>
      </w:r>
      <w:r w:rsidR="009B5DCB" w:rsidRPr="00DF7D72">
        <w:rPr>
          <w:rFonts w:hAnsi="標楷體" w:hint="eastAsia"/>
        </w:rPr>
        <w:t>』</w:t>
      </w:r>
      <w:r w:rsidR="002D184F" w:rsidRPr="00DF7D72">
        <w:rPr>
          <w:rFonts w:hint="eastAsia"/>
        </w:rPr>
        <w:t>：農委會表示經臺南市政府調查，該3場畜牧場均表示不清楚業務身分，亦無業務員之聯繫方式。</w:t>
      </w:r>
      <w:r w:rsidR="009B5DCB" w:rsidRPr="00DF7D72">
        <w:rPr>
          <w:rFonts w:hAnsi="標楷體" w:hint="eastAsia"/>
        </w:rPr>
        <w:t>」</w:t>
      </w:r>
      <w:r w:rsidR="00220EAB" w:rsidRPr="00DF7D72">
        <w:rPr>
          <w:rFonts w:hAnsi="標楷體" w:hint="eastAsia"/>
        </w:rPr>
        <w:t>，以及該會於本院詢問時答復：「</w:t>
      </w:r>
      <w:r w:rsidR="00CF0543" w:rsidRPr="00DF7D72">
        <w:rPr>
          <w:rFonts w:hAnsi="標楷體" w:hint="eastAsia"/>
        </w:rPr>
        <w:t>（問：案例1臺中市政府查無『</w:t>
      </w:r>
      <w:r w:rsidR="00CF0543" w:rsidRPr="00DF7D72">
        <w:rPr>
          <w:rFonts w:hint="eastAsia"/>
        </w:rPr>
        <w:t>興</w:t>
      </w:r>
      <w:r w:rsidR="00CF0543" w:rsidRPr="00DF7D72">
        <w:rPr>
          <w:rFonts w:hAnsi="標楷體" w:hint="eastAsia"/>
        </w:rPr>
        <w:t>○</w:t>
      </w:r>
      <w:r w:rsidR="00CF0543" w:rsidRPr="00DF7D72">
        <w:rPr>
          <w:rFonts w:hint="eastAsia"/>
        </w:rPr>
        <w:t>農藥行</w:t>
      </w:r>
      <w:r w:rsidR="00CF0543" w:rsidRPr="00DF7D72">
        <w:rPr>
          <w:rFonts w:hAnsi="標楷體" w:hint="eastAsia"/>
        </w:rPr>
        <w:t>』，應如何處置？）這就有難處了，這包括部門間的聯繫管道，在中間橫向聯繫仍待加強。</w:t>
      </w:r>
      <w:r w:rsidR="00220EAB" w:rsidRPr="00DF7D72">
        <w:rPr>
          <w:rFonts w:hAnsi="標楷體" w:hint="eastAsia"/>
        </w:rPr>
        <w:t>」</w:t>
      </w:r>
      <w:r w:rsidR="00CF0543" w:rsidRPr="00DF7D72">
        <w:rPr>
          <w:rFonts w:hAnsi="標楷體" w:hint="eastAsia"/>
        </w:rPr>
        <w:t>、「(問：案例3</w:t>
      </w:r>
      <w:r w:rsidR="003D3CC4" w:rsidRPr="00DF7D72">
        <w:rPr>
          <w:rFonts w:hAnsi="標楷體" w:hint="eastAsia"/>
        </w:rPr>
        <w:t>『商人』</w:t>
      </w:r>
      <w:r w:rsidR="00CF0543" w:rsidRPr="00DF7D72">
        <w:rPr>
          <w:rFonts w:hAnsi="標楷體" w:hint="eastAsia"/>
        </w:rPr>
        <w:t>是否為農藥販賣業者？)該案件已進入司法，就沒有再詳加瞭解，依目前資訊該商人為農藥業者。」、「(問：案例13蛋雞場為何會向動物藥品販賣業者購買此不明藥物？是否可販賣此芬普尼藥物？)這些是業者自己供述，如果假定是，當然</w:t>
      </w:r>
      <w:r w:rsidR="00CF0543" w:rsidRPr="00DF7D72">
        <w:rPr>
          <w:rFonts w:hAnsi="標楷體" w:hint="eastAsia"/>
        </w:rPr>
        <w:lastRenderedPageBreak/>
        <w:t>就不可販賣。」、「(問：案例場24、25及26係業務向牧場推銷，是否知悉？)過去處理情形就可知道類似供述，如果個案就有難處，但終究有生產及貯存地點，可以去查。就個別案件要查農藥上游就有困難。」</w:t>
      </w:r>
      <w:r w:rsidR="009B5DCB" w:rsidRPr="00DF7D72">
        <w:rPr>
          <w:rFonts w:hAnsi="標楷體" w:hint="eastAsia"/>
        </w:rPr>
        <w:t>等內容在卷可稽。</w:t>
      </w:r>
    </w:p>
    <w:p w:rsidR="002A76A8" w:rsidRPr="00DF7D72" w:rsidRDefault="0003006C" w:rsidP="002D184F">
      <w:pPr>
        <w:pStyle w:val="3"/>
      </w:pPr>
      <w:r w:rsidRPr="00DF7D72">
        <w:rPr>
          <w:rFonts w:hint="eastAsia"/>
        </w:rPr>
        <w:t>續以，</w:t>
      </w:r>
      <w:r w:rsidR="002D184F" w:rsidRPr="00DF7D72">
        <w:rPr>
          <w:rFonts w:hint="eastAsia"/>
        </w:rPr>
        <w:t>值此事件清查蛋雞場使用藥品時，</w:t>
      </w:r>
      <w:r w:rsidR="00194DEA" w:rsidRPr="00DF7D72">
        <w:rPr>
          <w:rFonts w:hint="eastAsia"/>
        </w:rPr>
        <w:t>農委會</w:t>
      </w:r>
      <w:r w:rsidR="00194DEA" w:rsidRPr="00DF7D72">
        <w:t>依據雞蛋檢出芬普尼轄區</w:t>
      </w:r>
      <w:r w:rsidR="00194DEA" w:rsidRPr="00DF7D72">
        <w:rPr>
          <w:rFonts w:hint="eastAsia"/>
        </w:rPr>
        <w:t>直轄市及</w:t>
      </w:r>
      <w:r w:rsidR="00194DEA" w:rsidRPr="00DF7D72">
        <w:t>縣</w:t>
      </w:r>
      <w:r w:rsidR="00194DEA" w:rsidRPr="00DF7D72">
        <w:rPr>
          <w:rFonts w:hint="eastAsia"/>
        </w:rPr>
        <w:t>(</w:t>
      </w:r>
      <w:r w:rsidR="00194DEA" w:rsidRPr="00DF7D72">
        <w:t>市</w:t>
      </w:r>
      <w:r w:rsidR="00194DEA" w:rsidRPr="00DF7D72">
        <w:rPr>
          <w:rFonts w:hint="eastAsia"/>
        </w:rPr>
        <w:t>)</w:t>
      </w:r>
      <w:r w:rsidR="00194DEA" w:rsidRPr="00DF7D72">
        <w:t>政府</w:t>
      </w:r>
      <w:r w:rsidR="00194DEA" w:rsidRPr="00DF7D72">
        <w:rPr>
          <w:rFonts w:hint="eastAsia"/>
        </w:rPr>
        <w:t>訪談</w:t>
      </w:r>
      <w:r w:rsidR="00FD50C5" w:rsidRPr="00DF7D72">
        <w:rPr>
          <w:rFonts w:hint="eastAsia"/>
        </w:rPr>
        <w:t>紀</w:t>
      </w:r>
      <w:r w:rsidR="00194DEA" w:rsidRPr="00DF7D72">
        <w:rPr>
          <w:rFonts w:hint="eastAsia"/>
        </w:rPr>
        <w:t>錄</w:t>
      </w:r>
      <w:r w:rsidR="00194DEA" w:rsidRPr="00DF7D72">
        <w:t>及現場樣本送藥毒所檢驗結果，</w:t>
      </w:r>
      <w:r w:rsidR="00363A59" w:rsidRPr="00DF7D72">
        <w:rPr>
          <w:rFonts w:hint="eastAsia"/>
        </w:rPr>
        <w:t>發現</w:t>
      </w:r>
      <w:r w:rsidR="00EF26DB" w:rsidRPr="00DF7D72">
        <w:rPr>
          <w:rFonts w:hint="eastAsia"/>
        </w:rPr>
        <w:t>有</w:t>
      </w:r>
      <w:r w:rsidR="00194DEA" w:rsidRPr="00DF7D72">
        <w:t>使用</w:t>
      </w:r>
      <w:r w:rsidR="00194DEA" w:rsidRPr="00DF7D72">
        <w:rPr>
          <w:rFonts w:hint="eastAsia"/>
        </w:rPr>
        <w:t>其他藥劑</w:t>
      </w:r>
      <w:r w:rsidR="00194DEA" w:rsidRPr="00DF7D72">
        <w:t>情形</w:t>
      </w:r>
      <w:r w:rsidR="00194DEA" w:rsidRPr="00DF7D72">
        <w:rPr>
          <w:rFonts w:hint="eastAsia"/>
        </w:rPr>
        <w:t>，包括達特南(dinotefuran,殺蟲劑)、陶斯松(chlorpyrifos,殺蟲劑)、丁基滅必蝨(fenobucarb,殺蟲劑)、賽洛寧(lambda-cyhalothrin,殺蟲劑)、賽滅寧(cypermethrin,殺蟲劑)、安丹(propoxur,殺蟲劑)、中草藥除蝨寶(Artanmite)、百滅寧(permethrin,</w:t>
      </w:r>
      <w:r w:rsidR="001D0D3C" w:rsidRPr="00DF7D72">
        <w:rPr>
          <w:rFonts w:hint="eastAsia"/>
        </w:rPr>
        <w:t>殺蟲劑</w:t>
      </w:r>
      <w:r w:rsidR="00194DEA" w:rsidRPr="00DF7D72">
        <w:rPr>
          <w:rFonts w:hint="eastAsia"/>
        </w:rPr>
        <w:t>)等</w:t>
      </w:r>
      <w:r w:rsidR="00272A07" w:rsidRPr="00DF7D72">
        <w:rPr>
          <w:rFonts w:hint="eastAsia"/>
        </w:rPr>
        <w:t>。</w:t>
      </w:r>
      <w:r w:rsidR="00EF26DB" w:rsidRPr="00DF7D72">
        <w:rPr>
          <w:rFonts w:hint="eastAsia"/>
        </w:rPr>
        <w:t>綜觀所列藥品多為</w:t>
      </w:r>
      <w:r w:rsidR="00194DEA" w:rsidRPr="00DF7D72">
        <w:rPr>
          <w:rFonts w:hint="eastAsia"/>
        </w:rPr>
        <w:t>各類農藥（殺蟲劑）</w:t>
      </w:r>
      <w:r w:rsidR="00EF26DB" w:rsidRPr="00DF7D72">
        <w:rPr>
          <w:rFonts w:hint="eastAsia"/>
        </w:rPr>
        <w:t>，益證蛋雞場</w:t>
      </w:r>
      <w:r w:rsidR="005E0CAA" w:rsidRPr="00DF7D72">
        <w:rPr>
          <w:rFonts w:hint="eastAsia"/>
        </w:rPr>
        <w:t>農藥</w:t>
      </w:r>
      <w:r w:rsidR="009B5DCB" w:rsidRPr="00DF7D72">
        <w:rPr>
          <w:rFonts w:hint="eastAsia"/>
        </w:rPr>
        <w:t>濫用情形嚴重</w:t>
      </w:r>
      <w:r w:rsidR="00194DEA" w:rsidRPr="00DF7D72">
        <w:rPr>
          <w:rFonts w:hint="eastAsia"/>
        </w:rPr>
        <w:t>，</w:t>
      </w:r>
      <w:r w:rsidR="005E0CAA" w:rsidRPr="00DF7D72">
        <w:rPr>
          <w:rFonts w:hint="eastAsia"/>
        </w:rPr>
        <w:t>而所列藥品清單</w:t>
      </w:r>
      <w:r w:rsidR="005E0CAA" w:rsidRPr="00DF7D72">
        <w:rPr>
          <w:rFonts w:hint="eastAsia"/>
          <w:szCs w:val="32"/>
        </w:rPr>
        <w:t>農藥的使用範圍為農作物</w:t>
      </w:r>
      <w:r w:rsidR="005E0CAA" w:rsidRPr="00DF7D72">
        <w:rPr>
          <w:rFonts w:hint="eastAsia"/>
        </w:rPr>
        <w:t>，農委會</w:t>
      </w:r>
      <w:r w:rsidR="009B5DCB" w:rsidRPr="00DF7D72">
        <w:rPr>
          <w:rFonts w:hint="eastAsia"/>
        </w:rPr>
        <w:t>雖</w:t>
      </w:r>
      <w:r w:rsidR="005E0CAA" w:rsidRPr="00DF7D72">
        <w:rPr>
          <w:rFonts w:hint="eastAsia"/>
        </w:rPr>
        <w:t>表示</w:t>
      </w:r>
      <w:r w:rsidR="005E0CAA" w:rsidRPr="00DF7D72">
        <w:rPr>
          <w:rFonts w:hint="eastAsia"/>
          <w:szCs w:val="32"/>
        </w:rPr>
        <w:t>部分雞農供稱非用於雞隻，係</w:t>
      </w:r>
      <w:r w:rsidR="00454997" w:rsidRPr="00DF7D72">
        <w:rPr>
          <w:rFonts w:hint="eastAsia"/>
          <w:szCs w:val="32"/>
        </w:rPr>
        <w:t>作</w:t>
      </w:r>
      <w:r w:rsidR="005E0CAA" w:rsidRPr="00DF7D72">
        <w:rPr>
          <w:rFonts w:hint="eastAsia"/>
          <w:szCs w:val="32"/>
        </w:rPr>
        <w:t>環境除蟲使用，並由轄區地方政府續處，但</w:t>
      </w:r>
      <w:r w:rsidR="002D184F" w:rsidRPr="00DF7D72">
        <w:rPr>
          <w:rFonts w:hint="eastAsia"/>
          <w:szCs w:val="32"/>
        </w:rPr>
        <w:t>農委會</w:t>
      </w:r>
      <w:r w:rsidR="005E0CAA" w:rsidRPr="00DF7D72">
        <w:rPr>
          <w:rFonts w:hint="eastAsia"/>
          <w:szCs w:val="32"/>
        </w:rPr>
        <w:t>所復各地方政府之辦理情形為：</w:t>
      </w:r>
      <w:r w:rsidR="005E0CAA" w:rsidRPr="00DF7D72">
        <w:rPr>
          <w:rFonts w:hAnsi="標楷體" w:hint="eastAsia"/>
          <w:szCs w:val="32"/>
        </w:rPr>
        <w:t>「</w:t>
      </w:r>
      <w:r w:rsidR="005E0CAA" w:rsidRPr="00DF7D72">
        <w:rPr>
          <w:rFonts w:hint="eastAsia"/>
          <w:szCs w:val="32"/>
        </w:rPr>
        <w:t>臺南市政府：為該府農業</w:t>
      </w:r>
      <w:r w:rsidR="00454997" w:rsidRPr="00DF7D72">
        <w:rPr>
          <w:rFonts w:hint="eastAsia"/>
          <w:szCs w:val="32"/>
        </w:rPr>
        <w:t>局</w:t>
      </w:r>
      <w:r w:rsidR="005E0CAA" w:rsidRPr="00DF7D72">
        <w:rPr>
          <w:rFonts w:hint="eastAsia"/>
          <w:szCs w:val="32"/>
        </w:rPr>
        <w:t>處辦中</w:t>
      </w:r>
      <w:r w:rsidR="005E0CAA" w:rsidRPr="00DF7D72">
        <w:rPr>
          <w:rFonts w:hAnsi="標楷體" w:hint="eastAsia"/>
          <w:szCs w:val="32"/>
        </w:rPr>
        <w:t>」</w:t>
      </w:r>
      <w:r w:rsidR="005E0CAA" w:rsidRPr="00DF7D72">
        <w:rPr>
          <w:rFonts w:hint="eastAsia"/>
          <w:szCs w:val="32"/>
        </w:rPr>
        <w:t>、</w:t>
      </w:r>
      <w:r w:rsidR="005E0CAA" w:rsidRPr="00DF7D72">
        <w:rPr>
          <w:rFonts w:hAnsi="標楷體" w:hint="eastAsia"/>
          <w:szCs w:val="32"/>
        </w:rPr>
        <w:t>「</w:t>
      </w:r>
      <w:r w:rsidR="005E0CAA" w:rsidRPr="00DF7D72">
        <w:rPr>
          <w:rFonts w:hint="eastAsia"/>
          <w:szCs w:val="32"/>
        </w:rPr>
        <w:t>彰化縣政府：倘牧場業者確實將芬普尼以外之農藥直接使用於雞隻身上，則會與違法使用芬普尼併案裁罰，目前查處中</w:t>
      </w:r>
      <w:r w:rsidR="005E0CAA" w:rsidRPr="00DF7D72">
        <w:rPr>
          <w:rFonts w:hAnsi="標楷體" w:hint="eastAsia"/>
          <w:szCs w:val="32"/>
        </w:rPr>
        <w:t>」、「</w:t>
      </w:r>
      <w:r w:rsidR="005E0CAA" w:rsidRPr="00DF7D72">
        <w:rPr>
          <w:rFonts w:hint="eastAsia"/>
        </w:rPr>
        <w:t>屏東縣動物防疫所106年11月24日屏縣動防字第10680069800號函表示，雞農違法使用農藥防治雞蝨案尚在簽核中，預計106年底前完成行政裁處事宜。</w:t>
      </w:r>
      <w:r w:rsidR="005E0CAA" w:rsidRPr="00DF7D72">
        <w:rPr>
          <w:rFonts w:hAnsi="標楷體" w:hint="eastAsia"/>
          <w:szCs w:val="32"/>
        </w:rPr>
        <w:t>」等</w:t>
      </w:r>
      <w:r w:rsidR="002D184F" w:rsidRPr="00DF7D72">
        <w:rPr>
          <w:rFonts w:hAnsi="標楷體" w:hint="eastAsia"/>
          <w:szCs w:val="32"/>
        </w:rPr>
        <w:t>云云</w:t>
      </w:r>
      <w:r w:rsidR="005E0CAA" w:rsidRPr="00DF7D72">
        <w:rPr>
          <w:rFonts w:hAnsi="標楷體" w:hint="eastAsia"/>
          <w:szCs w:val="32"/>
        </w:rPr>
        <w:t>，</w:t>
      </w:r>
      <w:r w:rsidR="002D184F" w:rsidRPr="00DF7D72">
        <w:rPr>
          <w:rFonts w:hAnsi="標楷體" w:hint="eastAsia"/>
          <w:szCs w:val="32"/>
        </w:rPr>
        <w:t>可知</w:t>
      </w:r>
      <w:r w:rsidR="005E0CAA" w:rsidRPr="00DF7D72">
        <w:rPr>
          <w:rFonts w:hint="eastAsia"/>
        </w:rPr>
        <w:t>農委會於本</w:t>
      </w:r>
      <w:r w:rsidR="002D184F" w:rsidRPr="00DF7D72">
        <w:rPr>
          <w:rFonts w:hint="eastAsia"/>
        </w:rPr>
        <w:t>案調查期間，蛋雞場農藥使用</w:t>
      </w:r>
      <w:r w:rsidR="009B5DCB" w:rsidRPr="00DF7D72">
        <w:rPr>
          <w:rFonts w:hint="eastAsia"/>
        </w:rPr>
        <w:t>仍</w:t>
      </w:r>
      <w:r w:rsidR="005E0CAA" w:rsidRPr="00DF7D72">
        <w:rPr>
          <w:rFonts w:hint="eastAsia"/>
        </w:rPr>
        <w:t>由各案例場地方主管機關</w:t>
      </w:r>
      <w:r w:rsidR="002D184F" w:rsidRPr="00DF7D72">
        <w:rPr>
          <w:rFonts w:hint="eastAsia"/>
        </w:rPr>
        <w:t>續處</w:t>
      </w:r>
      <w:r w:rsidR="005E0CAA" w:rsidRPr="00DF7D72">
        <w:rPr>
          <w:rFonts w:hint="eastAsia"/>
        </w:rPr>
        <w:t>，</w:t>
      </w:r>
      <w:r w:rsidR="009B5DCB" w:rsidRPr="00DF7D72">
        <w:rPr>
          <w:rFonts w:hint="eastAsia"/>
        </w:rPr>
        <w:t>本事件自發生後已近半年，</w:t>
      </w:r>
      <w:r w:rsidR="005E0CAA" w:rsidRPr="00DF7D72">
        <w:rPr>
          <w:rFonts w:hint="eastAsia"/>
        </w:rPr>
        <w:t>但</w:t>
      </w:r>
      <w:r w:rsidR="009B5DCB" w:rsidRPr="00DF7D72">
        <w:rPr>
          <w:rFonts w:hint="eastAsia"/>
        </w:rPr>
        <w:t>該會</w:t>
      </w:r>
      <w:r w:rsidR="005E0CAA" w:rsidRPr="00DF7D72">
        <w:rPr>
          <w:rFonts w:hint="eastAsia"/>
        </w:rPr>
        <w:t>卻未能</w:t>
      </w:r>
      <w:r w:rsidR="009B5DCB" w:rsidRPr="00DF7D72">
        <w:rPr>
          <w:rFonts w:hint="eastAsia"/>
        </w:rPr>
        <w:t>積極</w:t>
      </w:r>
      <w:r w:rsidR="005E0CAA" w:rsidRPr="00DF7D72">
        <w:rPr>
          <w:rFonts w:hint="eastAsia"/>
        </w:rPr>
        <w:t>督促各該主管機關查明</w:t>
      </w:r>
      <w:r w:rsidR="009B5DCB" w:rsidRPr="00DF7D72">
        <w:rPr>
          <w:rFonts w:hint="eastAsia"/>
        </w:rPr>
        <w:t>蛋雞場取得及使用</w:t>
      </w:r>
      <w:r w:rsidR="005E0CAA" w:rsidRPr="00DF7D72">
        <w:rPr>
          <w:rFonts w:hint="eastAsia"/>
        </w:rPr>
        <w:t>農藥</w:t>
      </w:r>
      <w:r w:rsidR="009B5DCB" w:rsidRPr="00DF7D72">
        <w:rPr>
          <w:rFonts w:hint="eastAsia"/>
        </w:rPr>
        <w:t>之情形</w:t>
      </w:r>
      <w:r w:rsidR="005E0CAA" w:rsidRPr="00DF7D72">
        <w:rPr>
          <w:rFonts w:hint="eastAsia"/>
        </w:rPr>
        <w:t>，</w:t>
      </w:r>
      <w:r w:rsidR="009B5DCB" w:rsidRPr="00DF7D72">
        <w:rPr>
          <w:rFonts w:hint="eastAsia"/>
        </w:rPr>
        <w:t>以杜絕農藥非法使用，實有未當。</w:t>
      </w:r>
    </w:p>
    <w:p w:rsidR="00363A59" w:rsidRPr="00DF7D72" w:rsidRDefault="009B5DCB" w:rsidP="00363A59">
      <w:pPr>
        <w:pStyle w:val="3"/>
      </w:pPr>
      <w:r w:rsidRPr="00DF7D72">
        <w:rPr>
          <w:rFonts w:hint="eastAsia"/>
        </w:rPr>
        <w:lastRenderedPageBreak/>
        <w:t>綜上，</w:t>
      </w:r>
      <w:r w:rsidR="00363A59" w:rsidRPr="00DF7D72">
        <w:rPr>
          <w:rFonts w:hint="eastAsia"/>
        </w:rPr>
        <w:t>農委會未能掌握國內蛋雞場早有違法使用含芬普尼農藥之情事，至此事件爆發後始清查發現，而迄今仍有部分蛋雞場查無該農藥來源，甚且蛋雞場內留存有其他農藥，凸顯該會對於農藥誤用或濫用情形，管理失當，核有怠失。</w:t>
      </w:r>
    </w:p>
    <w:p w:rsidR="00BD318F" w:rsidRPr="00DF7D72" w:rsidRDefault="000318EB" w:rsidP="000318EB">
      <w:pPr>
        <w:pStyle w:val="2"/>
      </w:pPr>
      <w:r w:rsidRPr="00DF7D72">
        <w:rPr>
          <w:rFonts w:hint="eastAsia"/>
          <w:b/>
        </w:rPr>
        <w:t>農委會對於農藥管理法中要求販賣業者應詢問購買者用途、開具販售證明及流向查核等管理措施，</w:t>
      </w:r>
      <w:r w:rsidR="00061717" w:rsidRPr="00DF7D72">
        <w:rPr>
          <w:rFonts w:hint="eastAsia"/>
          <w:b/>
        </w:rPr>
        <w:t>惟</w:t>
      </w:r>
      <w:r w:rsidRPr="00DF7D72">
        <w:rPr>
          <w:rFonts w:hint="eastAsia"/>
          <w:b/>
        </w:rPr>
        <w:t>怠</w:t>
      </w:r>
      <w:r w:rsidR="00061717" w:rsidRPr="00DF7D72">
        <w:rPr>
          <w:rFonts w:hint="eastAsia"/>
          <w:b/>
        </w:rPr>
        <w:t>未就其相關配套措施</w:t>
      </w:r>
      <w:r w:rsidRPr="00DF7D72">
        <w:rPr>
          <w:rFonts w:ascii="新細明體" w:eastAsia="新細明體" w:hAnsi="新細明體" w:hint="eastAsia"/>
          <w:b/>
        </w:rPr>
        <w:t>「</w:t>
      </w:r>
      <w:r w:rsidRPr="00DF7D72">
        <w:rPr>
          <w:rFonts w:hint="eastAsia"/>
          <w:b/>
        </w:rPr>
        <w:t>農藥販賣管理資訊系統</w:t>
      </w:r>
      <w:r w:rsidRPr="00DF7D72">
        <w:rPr>
          <w:rFonts w:hAnsi="標楷體" w:hint="eastAsia"/>
          <w:b/>
        </w:rPr>
        <w:t>」</w:t>
      </w:r>
      <w:r w:rsidR="00061717" w:rsidRPr="00DF7D72">
        <w:rPr>
          <w:rFonts w:hAnsi="標楷體" w:hint="eastAsia"/>
          <w:b/>
        </w:rPr>
        <w:t>為積極推動</w:t>
      </w:r>
      <w:r w:rsidRPr="00DF7D72">
        <w:rPr>
          <w:rFonts w:hint="eastAsia"/>
          <w:b/>
        </w:rPr>
        <w:t>及強化稽查作為，致該法所規定之相關機制，無法確實落實，</w:t>
      </w:r>
      <w:r w:rsidR="002A4BD1" w:rsidRPr="00DF7D72">
        <w:rPr>
          <w:rFonts w:hint="eastAsia"/>
          <w:b/>
        </w:rPr>
        <w:t>衍生</w:t>
      </w:r>
      <w:r w:rsidRPr="00DF7D72">
        <w:rPr>
          <w:rFonts w:hint="eastAsia"/>
          <w:b/>
        </w:rPr>
        <w:t>農藥流於非法使用，允應檢討改進。</w:t>
      </w:r>
    </w:p>
    <w:p w:rsidR="006258A7" w:rsidRPr="00DF7D72" w:rsidRDefault="00FB2035" w:rsidP="00272A07">
      <w:pPr>
        <w:pStyle w:val="3"/>
      </w:pPr>
      <w:r w:rsidRPr="00DF7D72">
        <w:rPr>
          <w:rFonts w:hint="eastAsia"/>
        </w:rPr>
        <w:t>依農藥管理法第29條第1項第8款及第9款分別規定：</w:t>
      </w:r>
      <w:r w:rsidRPr="00DF7D72">
        <w:rPr>
          <w:rFonts w:hAnsi="標楷體" w:hint="eastAsia"/>
        </w:rPr>
        <w:t>「</w:t>
      </w:r>
      <w:r w:rsidRPr="00DF7D72">
        <w:rPr>
          <w:rFonts w:hint="eastAsia"/>
        </w:rPr>
        <w:t>詢問購買者之用途，非為核准登記之使用方法或範圍者，不得販賣。</w:t>
      </w:r>
      <w:r w:rsidRPr="00DF7D72">
        <w:rPr>
          <w:rFonts w:hAnsi="標楷體" w:hint="eastAsia"/>
        </w:rPr>
        <w:t>」</w:t>
      </w:r>
      <w:r w:rsidR="006258A7" w:rsidRPr="00DF7D72">
        <w:rPr>
          <w:rFonts w:hAnsi="標楷體" w:hint="eastAsia"/>
        </w:rPr>
        <w:t>、</w:t>
      </w:r>
      <w:r w:rsidRPr="00DF7D72">
        <w:rPr>
          <w:rFonts w:hAnsi="標楷體" w:hint="eastAsia"/>
        </w:rPr>
        <w:t>「開具載明農藥之名稱、數量與其使用範圍、購買者及販賣業者資訊之販售證明予購買者。」</w:t>
      </w:r>
      <w:r w:rsidR="006258A7" w:rsidRPr="00DF7D72">
        <w:rPr>
          <w:rFonts w:hAnsi="標楷體" w:hint="eastAsia"/>
        </w:rPr>
        <w:t>其中第8款</w:t>
      </w:r>
      <w:r w:rsidRPr="00DF7D72">
        <w:rPr>
          <w:rFonts w:hint="eastAsia"/>
        </w:rPr>
        <w:t>規定</w:t>
      </w:r>
      <w:r w:rsidR="006258A7" w:rsidRPr="00DF7D72">
        <w:rPr>
          <w:rFonts w:hint="eastAsia"/>
        </w:rPr>
        <w:t>係</w:t>
      </w:r>
      <w:r w:rsidRPr="00DF7D72">
        <w:rPr>
          <w:rFonts w:hint="eastAsia"/>
        </w:rPr>
        <w:t>原列於農藥管理法第32條第1項第3款，僅適用於規範販賣劇毒性成品農藥之業者</w:t>
      </w:r>
      <w:r w:rsidR="006258A7" w:rsidRPr="00DF7D72">
        <w:rPr>
          <w:rFonts w:hint="eastAsia"/>
        </w:rPr>
        <w:t>，</w:t>
      </w:r>
      <w:r w:rsidRPr="00DF7D72">
        <w:rPr>
          <w:rFonts w:hint="eastAsia"/>
        </w:rPr>
        <w:t>農委會為加強農藥管理，於103年12月24日修正農藥管理法時，將該條文移列為同法第29條第1項第8款，作為所有農藥販賣業者應遵守之規定，以避免發生農藥誤用或濫用情形。</w:t>
      </w:r>
      <w:r w:rsidR="006258A7" w:rsidRPr="00DF7D72">
        <w:rPr>
          <w:rFonts w:hint="eastAsia"/>
        </w:rPr>
        <w:t>又依農藥管理法第53條第2項規定，該法103年12月9日修正之日起1年內為宣導期，對於違反第29條第9款規定者，應加強宣導，不適用前項裁罰之規定</w:t>
      </w:r>
      <w:r w:rsidR="000F3331" w:rsidRPr="00DF7D72">
        <w:rPr>
          <w:rFonts w:hint="eastAsia"/>
        </w:rPr>
        <w:t>，</w:t>
      </w:r>
      <w:r w:rsidR="006258A7" w:rsidRPr="00DF7D72">
        <w:rPr>
          <w:rFonts w:hint="eastAsia"/>
        </w:rPr>
        <w:t>農委會自宣導期起，向農藥販賣業者宣導開具農藥販售證明相關規定</w:t>
      </w:r>
      <w:r w:rsidR="006258A7" w:rsidRPr="00DF7D72">
        <w:rPr>
          <w:rStyle w:val="aff"/>
        </w:rPr>
        <w:footnoteReference w:id="7"/>
      </w:r>
      <w:r w:rsidR="000F3331" w:rsidRPr="00DF7D72">
        <w:rPr>
          <w:rFonts w:hint="eastAsia"/>
        </w:rPr>
        <w:t>。</w:t>
      </w:r>
      <w:r w:rsidR="00C20E5B" w:rsidRPr="00DF7D72">
        <w:rPr>
          <w:rFonts w:hint="eastAsia"/>
        </w:rPr>
        <w:t>次依農藥管理法第35條規定：</w:t>
      </w:r>
      <w:r w:rsidR="00C20E5B" w:rsidRPr="00DF7D72">
        <w:rPr>
          <w:rFonts w:hAnsi="標楷體" w:hint="eastAsia"/>
        </w:rPr>
        <w:t>「</w:t>
      </w:r>
      <w:r w:rsidR="00272A07" w:rsidRPr="00DF7D72">
        <w:rPr>
          <w:rFonts w:hAnsi="標楷體" w:hint="eastAsia"/>
        </w:rPr>
        <w:t>(第1</w:t>
      </w:r>
      <w:r w:rsidR="00272A07" w:rsidRPr="00DF7D72">
        <w:rPr>
          <w:rFonts w:hAnsi="標楷體" w:hint="eastAsia"/>
        </w:rPr>
        <w:lastRenderedPageBreak/>
        <w:t>項)</w:t>
      </w:r>
      <w:r w:rsidR="00C20E5B" w:rsidRPr="00DF7D72">
        <w:rPr>
          <w:rFonts w:hAnsi="標楷體" w:hint="eastAsia"/>
        </w:rPr>
        <w:t>農藥生產業或販賣業者，應就農藥種類分別記載其生產、輸入、購入、銷售之數量及交易對象，以備主管機關查核。</w:t>
      </w:r>
      <w:r w:rsidR="00272A07" w:rsidRPr="00DF7D72">
        <w:rPr>
          <w:rFonts w:hAnsi="標楷體" w:hint="eastAsia"/>
        </w:rPr>
        <w:t>(第2項)前項記載資料應保存</w:t>
      </w:r>
      <w:r w:rsidR="006A08E9" w:rsidRPr="00DF7D72">
        <w:rPr>
          <w:rFonts w:hAnsi="標楷體" w:hint="eastAsia"/>
        </w:rPr>
        <w:t>3</w:t>
      </w:r>
      <w:r w:rsidR="00272A07" w:rsidRPr="00DF7D72">
        <w:rPr>
          <w:rFonts w:hAnsi="標楷體" w:hint="eastAsia"/>
        </w:rPr>
        <w:t>年，並應定期陳報主管機關，其格式、內容、頻率及方式，由中央主管機關公告之。</w:t>
      </w:r>
      <w:r w:rsidR="00C20E5B" w:rsidRPr="00DF7D72">
        <w:rPr>
          <w:rFonts w:hAnsi="標楷體" w:hint="eastAsia"/>
        </w:rPr>
        <w:t>」是農藥販賣業者應詢問</w:t>
      </w:r>
      <w:r w:rsidR="00DD5AB9" w:rsidRPr="00DF7D72">
        <w:rPr>
          <w:rFonts w:hAnsi="標楷體" w:hint="eastAsia"/>
        </w:rPr>
        <w:t>並確認購買者</w:t>
      </w:r>
      <w:r w:rsidR="00272A07" w:rsidRPr="00DF7D72">
        <w:rPr>
          <w:rFonts w:hAnsi="標楷體" w:hint="eastAsia"/>
        </w:rPr>
        <w:t>購買農藥之</w:t>
      </w:r>
      <w:r w:rsidR="00DD5AB9" w:rsidRPr="00DF7D72">
        <w:rPr>
          <w:rFonts w:hAnsi="標楷體" w:hint="eastAsia"/>
        </w:rPr>
        <w:t>用途、開具販售證明並紀錄相關交易對象等，</w:t>
      </w:r>
      <w:r w:rsidR="00272A07" w:rsidRPr="00DF7D72">
        <w:rPr>
          <w:rFonts w:hAnsi="標楷體" w:hint="eastAsia"/>
        </w:rPr>
        <w:t>該等資料應定期陳報主管機關，</w:t>
      </w:r>
      <w:r w:rsidR="00DD5AB9" w:rsidRPr="00DF7D72">
        <w:rPr>
          <w:rFonts w:hAnsi="標楷體" w:hint="eastAsia"/>
        </w:rPr>
        <w:t>以供查核農藥流向。</w:t>
      </w:r>
    </w:p>
    <w:p w:rsidR="00FB2035" w:rsidRPr="00DF7D72" w:rsidRDefault="00DD5AB9" w:rsidP="00FB2035">
      <w:pPr>
        <w:pStyle w:val="3"/>
      </w:pPr>
      <w:r w:rsidRPr="00DF7D72">
        <w:rPr>
          <w:rFonts w:hint="eastAsia"/>
        </w:rPr>
        <w:t>農委會查復，</w:t>
      </w:r>
      <w:r w:rsidR="00FB2035" w:rsidRPr="00DF7D72">
        <w:rPr>
          <w:rFonts w:hint="eastAsia"/>
        </w:rPr>
        <w:t>鑑於</w:t>
      </w:r>
      <w:r w:rsidRPr="00DF7D72">
        <w:rPr>
          <w:rFonts w:hint="eastAsia"/>
        </w:rPr>
        <w:t>該</w:t>
      </w:r>
      <w:r w:rsidR="00FB2035" w:rsidRPr="00DF7D72">
        <w:rPr>
          <w:rFonts w:hint="eastAsia"/>
        </w:rPr>
        <w:t>會防檢局或地方政府辦理農藥檢查時，針對農藥販賣業者是否有遵守「詢問購買者用途」之規定，在事實認定及現場蒐證上確有困難，爰將農藥販賣業者該項義務連同農藥管理法第29條第1項第9款規定「開具載明農藥之名稱、數量與其使用範圍、購買者及販賣業者資訊之販售證明予購買者」一併查處。</w:t>
      </w:r>
      <w:r w:rsidRPr="00DF7D72">
        <w:rPr>
          <w:rFonts w:hint="eastAsia"/>
        </w:rPr>
        <w:t>又</w:t>
      </w:r>
      <w:r w:rsidR="00FB2035" w:rsidRPr="00DF7D72">
        <w:rPr>
          <w:rFonts w:hint="eastAsia"/>
        </w:rPr>
        <w:t>該會曾於查獲農民違規使用農藥時，農民經常辯稱是農藥販賣業者違規推薦，復經訪談農藥販賣業者，又獲答覆並未違規推薦，係農民未依規定使用所致。</w:t>
      </w:r>
      <w:r w:rsidRPr="00DF7D72">
        <w:rPr>
          <w:rFonts w:hint="eastAsia"/>
        </w:rPr>
        <w:t>該會於103年修正農藥管理法時增訂第29條第9款之規定，即</w:t>
      </w:r>
      <w:r w:rsidR="00FB2035" w:rsidRPr="00DF7D72">
        <w:rPr>
          <w:rFonts w:hint="eastAsia"/>
        </w:rPr>
        <w:t>為釐清農民與農藥販賣業者間之責任，藉由開具農藥販售證明之措施，改正農藥販賣業者違規推薦農藥，以及農民未依使用方法及範圍施藥之情形。</w:t>
      </w:r>
      <w:r w:rsidRPr="00DF7D72">
        <w:rPr>
          <w:rFonts w:hint="eastAsia"/>
        </w:rPr>
        <w:t>而農藥芬普尼並非農委會公告之劇毒性成品農藥，且畜牧業者亦可能另有農地種植農作物及防治相關植物有害生物之用藥需求，因此依現行規定，只要年滿18歲，並向農藥販賣業者提供用途及購買者資訊，即可購買取得非劇毒性成品農藥。</w:t>
      </w:r>
    </w:p>
    <w:p w:rsidR="00FB2035" w:rsidRPr="00DF7D72" w:rsidRDefault="00DD5AB9" w:rsidP="002A4BD1">
      <w:pPr>
        <w:pStyle w:val="3"/>
      </w:pPr>
      <w:r w:rsidRPr="00DF7D72">
        <w:rPr>
          <w:rFonts w:hint="eastAsia"/>
        </w:rPr>
        <w:t>再者，</w:t>
      </w:r>
      <w:r w:rsidR="00FB2035" w:rsidRPr="00DF7D72">
        <w:rPr>
          <w:rFonts w:hint="eastAsia"/>
        </w:rPr>
        <w:t>農藥管理法中無強制要求農藥販賣業者開具</w:t>
      </w:r>
      <w:r w:rsidR="00FB2035" w:rsidRPr="00DF7D72">
        <w:rPr>
          <w:rFonts w:hint="eastAsia"/>
        </w:rPr>
        <w:lastRenderedPageBreak/>
        <w:t>販售證明時應留有複本，但目前農藥販賣業者大多使用三聯式之紙本開具販售證明，均留有存根聯備查。農委會另建置有農藥販賣管理資訊系統（</w:t>
      </w:r>
      <w:r w:rsidR="00CE58BF" w:rsidRPr="00DF7D72">
        <w:rPr>
          <w:rFonts w:hint="eastAsia"/>
        </w:rPr>
        <w:t>該會於農藥販賣業者建置</w:t>
      </w:r>
      <w:r w:rsidR="002A4BD1" w:rsidRPr="00DF7D72">
        <w:rPr>
          <w:rFonts w:hint="eastAsia"/>
        </w:rPr>
        <w:t>point-of-sale 銷售點管理系統，下稱POS系統</w:t>
      </w:r>
      <w:r w:rsidR="00FB2035" w:rsidRPr="00DF7D72">
        <w:rPr>
          <w:rFonts w:hint="eastAsia"/>
        </w:rPr>
        <w:t>），免費提供農藥販賣業者下載安裝，每筆銷售資訊均可存檔，並可供列印農藥販售證明應用。因此該會及地方政府執行農藥檢查時，亦可藉由查詢該業者POS系統上之紀錄，或查閱業者依農藥管理法第29條第6款</w:t>
      </w:r>
      <w:r w:rsidR="00272A07" w:rsidRPr="00DF7D72">
        <w:rPr>
          <w:rStyle w:val="aff"/>
        </w:rPr>
        <w:footnoteReference w:id="8"/>
      </w:r>
      <w:r w:rsidR="00FB2035" w:rsidRPr="00DF7D72">
        <w:rPr>
          <w:rFonts w:hint="eastAsia"/>
        </w:rPr>
        <w:t>規定所備置之簿冊內容等方式辦理。</w:t>
      </w:r>
      <w:r w:rsidRPr="00DF7D72">
        <w:rPr>
          <w:rFonts w:hint="eastAsia"/>
        </w:rPr>
        <w:t>另</w:t>
      </w:r>
      <w:r w:rsidR="00FB2035" w:rsidRPr="00DF7D72">
        <w:rPr>
          <w:rFonts w:hint="eastAsia"/>
        </w:rPr>
        <w:t>為強化農藥流向管理機制，</w:t>
      </w:r>
      <w:r w:rsidRPr="00DF7D72">
        <w:rPr>
          <w:rFonts w:hint="eastAsia"/>
        </w:rPr>
        <w:t>該會</w:t>
      </w:r>
      <w:r w:rsidR="00FB2035" w:rsidRPr="00DF7D72">
        <w:rPr>
          <w:rFonts w:hint="eastAsia"/>
        </w:rPr>
        <w:t>依據農藥管理法第35條之規定，於105年4月27日公告定期陳報資料之格式、內容、頻率及方式，並於同年7月15日公告修正部分定期陳報格式，並自106年1月起，農藥生產業者或販賣業者應就農藥種類分別記載其進銷貨數量及交易對象等資料，定期陳報主管機關，以確認農藥之流向。</w:t>
      </w:r>
      <w:r w:rsidRPr="00DF7D72">
        <w:rPr>
          <w:rFonts w:hint="eastAsia"/>
        </w:rPr>
        <w:t>該會</w:t>
      </w:r>
      <w:r w:rsidR="00362D7D" w:rsidRPr="00DF7D72">
        <w:rPr>
          <w:rFonts w:hint="eastAsia"/>
        </w:rPr>
        <w:t>續</w:t>
      </w:r>
      <w:r w:rsidRPr="00DF7D72">
        <w:rPr>
          <w:rFonts w:hint="eastAsia"/>
        </w:rPr>
        <w:t>表示，</w:t>
      </w:r>
      <w:r w:rsidR="00FB2035" w:rsidRPr="00DF7D72">
        <w:rPr>
          <w:rFonts w:hint="eastAsia"/>
        </w:rPr>
        <w:t>針對定期陳報相關議題亦多次與植物保護相關公會與業者代表進行政策溝通，並派員於各地方政府辦理之農藥管理人員複訓講習會中對農藥販賣業者進行宣導及系統操作示範，同時強化POS系統相關功能，提供業者免費下載，以利業者定期陳報應用</w:t>
      </w:r>
      <w:r w:rsidR="00272A07" w:rsidRPr="00DF7D72">
        <w:rPr>
          <w:rFonts w:hint="eastAsia"/>
        </w:rPr>
        <w:t>；</w:t>
      </w:r>
      <w:r w:rsidRPr="00DF7D72">
        <w:rPr>
          <w:rFonts w:hint="eastAsia"/>
        </w:rPr>
        <w:t>並</w:t>
      </w:r>
      <w:r w:rsidR="00FB2035" w:rsidRPr="00DF7D72">
        <w:rPr>
          <w:rFonts w:hint="eastAsia"/>
        </w:rPr>
        <w:t>將自107年起全面要求農藥生產業者或販賣業者透過網路辦理定期陳報作業，不再收取紙本資料，屆時可藉由直接查詢業者系統上之陳報紀錄，以掌握其生產或銷售之數量與流向</w:t>
      </w:r>
      <w:r w:rsidR="00272A07" w:rsidRPr="00DF7D72">
        <w:rPr>
          <w:rFonts w:hint="eastAsia"/>
        </w:rPr>
        <w:t>等語</w:t>
      </w:r>
      <w:r w:rsidR="00FB2035" w:rsidRPr="00DF7D72">
        <w:rPr>
          <w:rFonts w:hint="eastAsia"/>
        </w:rPr>
        <w:t>。</w:t>
      </w:r>
    </w:p>
    <w:p w:rsidR="00220EAB" w:rsidRPr="00DF7D72" w:rsidRDefault="00DD5AB9" w:rsidP="00C246B3">
      <w:pPr>
        <w:pStyle w:val="3"/>
      </w:pPr>
      <w:r w:rsidRPr="00DF7D72">
        <w:rPr>
          <w:rFonts w:hint="eastAsia"/>
        </w:rPr>
        <w:t>惟查，</w:t>
      </w:r>
      <w:r w:rsidR="00FB2035" w:rsidRPr="00DF7D72">
        <w:rPr>
          <w:rFonts w:hint="eastAsia"/>
        </w:rPr>
        <w:t>農委會</w:t>
      </w:r>
      <w:r w:rsidR="00D94B01" w:rsidRPr="00DF7D72">
        <w:rPr>
          <w:rFonts w:hint="eastAsia"/>
        </w:rPr>
        <w:t>所建置之POS系統</w:t>
      </w:r>
      <w:r w:rsidR="0042078B" w:rsidRPr="00DF7D72">
        <w:rPr>
          <w:rFonts w:hint="eastAsia"/>
        </w:rPr>
        <w:t>（824家）</w:t>
      </w:r>
      <w:r w:rsidR="00D94B01" w:rsidRPr="00DF7D72">
        <w:rPr>
          <w:rFonts w:hint="eastAsia"/>
        </w:rPr>
        <w:t>並加計利用Web Service直接上傳銷售資料至該會防檢局資</w:t>
      </w:r>
      <w:r w:rsidR="00D94B01" w:rsidRPr="00DF7D72">
        <w:rPr>
          <w:rFonts w:hint="eastAsia"/>
        </w:rPr>
        <w:lastRenderedPageBreak/>
        <w:t>料庫之業者，共計1,111家，僅占全國農藥販賣業者家數3,503家之31.7%，涵蓋率甚低</w:t>
      </w:r>
      <w:r w:rsidR="00C246B3" w:rsidRPr="00DF7D72">
        <w:rPr>
          <w:rFonts w:hint="eastAsia"/>
        </w:rPr>
        <w:t>，於本院詢問時仍僅稱：</w:t>
      </w:r>
      <w:r w:rsidR="00C246B3" w:rsidRPr="00DF7D72">
        <w:rPr>
          <w:rFonts w:hAnsi="標楷體" w:hint="eastAsia"/>
        </w:rPr>
        <w:t>「推動時商家不願意配合，會持續加強辦理。」</w:t>
      </w:r>
      <w:r w:rsidR="000D29F0" w:rsidRPr="00DF7D72">
        <w:rPr>
          <w:rFonts w:hAnsi="標楷體" w:hint="eastAsia"/>
        </w:rPr>
        <w:t>並</w:t>
      </w:r>
      <w:r w:rsidR="00C246B3" w:rsidRPr="00DF7D72">
        <w:rPr>
          <w:rFonts w:hAnsi="標楷體" w:hint="eastAsia"/>
        </w:rPr>
        <w:t>無強化</w:t>
      </w:r>
      <w:r w:rsidR="00363A59" w:rsidRPr="00DF7D72">
        <w:rPr>
          <w:rFonts w:hAnsi="標楷體" w:hint="eastAsia"/>
        </w:rPr>
        <w:t>之</w:t>
      </w:r>
      <w:r w:rsidR="00C246B3" w:rsidRPr="00DF7D72">
        <w:rPr>
          <w:rFonts w:hAnsi="標楷體" w:hint="eastAsia"/>
        </w:rPr>
        <w:t>作為</w:t>
      </w:r>
      <w:r w:rsidR="00D94B01" w:rsidRPr="00DF7D72">
        <w:rPr>
          <w:rFonts w:hint="eastAsia"/>
        </w:rPr>
        <w:t>，造成</w:t>
      </w:r>
      <w:r w:rsidR="00C246B3" w:rsidRPr="00DF7D72">
        <w:rPr>
          <w:rFonts w:hint="eastAsia"/>
        </w:rPr>
        <w:t>農藥販賣業者以</w:t>
      </w:r>
      <w:r w:rsidR="009C1AB0" w:rsidRPr="00DF7D72">
        <w:rPr>
          <w:rFonts w:hint="eastAsia"/>
        </w:rPr>
        <w:t>紙本紀錄及陳報</w:t>
      </w:r>
      <w:r w:rsidR="00C246B3" w:rsidRPr="00DF7D72">
        <w:rPr>
          <w:rFonts w:hint="eastAsia"/>
        </w:rPr>
        <w:t>所衍生之管理</w:t>
      </w:r>
      <w:r w:rsidR="009C1AB0" w:rsidRPr="00DF7D72">
        <w:rPr>
          <w:rFonts w:hint="eastAsia"/>
        </w:rPr>
        <w:t>漏洞。而農委會</w:t>
      </w:r>
      <w:r w:rsidR="00FB2035" w:rsidRPr="00DF7D72">
        <w:rPr>
          <w:rFonts w:hint="eastAsia"/>
        </w:rPr>
        <w:t>為落實開具農藥販售證明措施，</w:t>
      </w:r>
      <w:r w:rsidR="009C1AB0" w:rsidRPr="00DF7D72">
        <w:rPr>
          <w:rFonts w:hint="eastAsia"/>
        </w:rPr>
        <w:t>稱</w:t>
      </w:r>
      <w:r w:rsidR="00FB2035" w:rsidRPr="00DF7D72">
        <w:rPr>
          <w:rFonts w:hint="eastAsia"/>
        </w:rPr>
        <w:t>加強辦理農藥聯合檢查工作</w:t>
      </w:r>
      <w:r w:rsidR="009C1AB0" w:rsidRPr="00DF7D72">
        <w:rPr>
          <w:rFonts w:hint="eastAsia"/>
        </w:rPr>
        <w:t>，然查該會</w:t>
      </w:r>
      <w:r w:rsidR="00FB2035" w:rsidRPr="00DF7D72">
        <w:rPr>
          <w:rFonts w:hint="eastAsia"/>
        </w:rPr>
        <w:t>105年防檢局會同所屬分局及各地方政府辦理第1次農藥聯合檢查作業，總計動員69人次，檢查農藥販賣業者42家</w:t>
      </w:r>
      <w:r w:rsidR="009C1AB0" w:rsidRPr="00DF7D72">
        <w:rPr>
          <w:rFonts w:hint="eastAsia"/>
        </w:rPr>
        <w:t>，僅</w:t>
      </w:r>
      <w:r w:rsidR="00FB2035" w:rsidRPr="00DF7D72">
        <w:rPr>
          <w:rFonts w:hint="eastAsia"/>
          <w:lang w:val="x-none" w:eastAsia="x-none"/>
        </w:rPr>
        <w:t>約</w:t>
      </w:r>
      <w:r w:rsidR="00FB2035" w:rsidRPr="00DF7D72">
        <w:rPr>
          <w:rFonts w:hint="eastAsia"/>
          <w:lang w:val="x-none"/>
        </w:rPr>
        <w:t>占</w:t>
      </w:r>
      <w:r w:rsidR="00FB2035" w:rsidRPr="00DF7D72">
        <w:rPr>
          <w:rFonts w:hint="eastAsia"/>
          <w:lang w:val="x-none" w:eastAsia="x-none"/>
        </w:rPr>
        <w:t>整體之1.2%</w:t>
      </w:r>
      <w:r w:rsidR="00FB2035" w:rsidRPr="00DF7D72">
        <w:rPr>
          <w:rFonts w:hint="eastAsia"/>
        </w:rPr>
        <w:t>；106年辦理第2次農藥聯合檢查作業，總計動員66人次，檢查農藥販賣業者63家</w:t>
      </w:r>
      <w:r w:rsidR="009C1AB0" w:rsidRPr="00DF7D72">
        <w:rPr>
          <w:rFonts w:hint="eastAsia"/>
        </w:rPr>
        <w:t>，亦僅</w:t>
      </w:r>
      <w:r w:rsidR="00FB2035" w:rsidRPr="00DF7D72">
        <w:rPr>
          <w:rFonts w:hint="eastAsia"/>
          <w:lang w:val="x-none" w:eastAsia="x-none"/>
        </w:rPr>
        <w:t>約</w:t>
      </w:r>
      <w:r w:rsidR="00FB2035" w:rsidRPr="00DF7D72">
        <w:rPr>
          <w:rFonts w:hint="eastAsia"/>
          <w:lang w:val="x-none"/>
        </w:rPr>
        <w:t>占</w:t>
      </w:r>
      <w:r w:rsidR="00FB2035" w:rsidRPr="00DF7D72">
        <w:rPr>
          <w:rFonts w:hint="eastAsia"/>
          <w:lang w:val="x-none" w:eastAsia="x-none"/>
        </w:rPr>
        <w:t>整體之1.8%</w:t>
      </w:r>
      <w:r w:rsidR="009229C2" w:rsidRPr="00DF7D72">
        <w:rPr>
          <w:rFonts w:hint="eastAsia"/>
          <w:lang w:val="x-none"/>
        </w:rPr>
        <w:t>。針對此問題，農委會說明，雖然農藥聯合檢查之涵蓋率偏低，但該</w:t>
      </w:r>
      <w:r w:rsidR="00FB2035" w:rsidRPr="00DF7D72">
        <w:rPr>
          <w:rFonts w:hint="eastAsia"/>
        </w:rPr>
        <w:t>會</w:t>
      </w:r>
      <w:r w:rsidR="00FB2035" w:rsidRPr="00DF7D72">
        <w:rPr>
          <w:rFonts w:hint="eastAsia"/>
          <w:lang w:val="x-none" w:eastAsia="x-none"/>
        </w:rPr>
        <w:t>依據農藥檢查辦法第2條所訂定之</w:t>
      </w:r>
      <w:r w:rsidR="009229C2" w:rsidRPr="00DF7D72">
        <w:rPr>
          <w:rFonts w:hint="eastAsia"/>
          <w:lang w:val="x-none" w:eastAsia="x-none"/>
        </w:rPr>
        <w:t>年度</w:t>
      </w:r>
      <w:r w:rsidR="00FB2035" w:rsidRPr="00DF7D72">
        <w:rPr>
          <w:rFonts w:hint="eastAsia"/>
          <w:lang w:val="x-none" w:eastAsia="x-none"/>
        </w:rPr>
        <w:t>農藥檢查「農藥管理及品質管制計畫」中，規定各地方政府執行農藥檢查之家數，每年全國合計應執行1,000家次，涵蓋率約</w:t>
      </w:r>
      <w:r w:rsidR="009229C2" w:rsidRPr="00DF7D72">
        <w:rPr>
          <w:rFonts w:hint="eastAsia"/>
          <w:lang w:val="x-none"/>
        </w:rPr>
        <w:t>可達</w:t>
      </w:r>
      <w:r w:rsidR="00FB2035" w:rsidRPr="00DF7D72">
        <w:rPr>
          <w:rFonts w:hint="eastAsia"/>
          <w:lang w:val="x-none" w:eastAsia="x-none"/>
        </w:rPr>
        <w:t>28%</w:t>
      </w:r>
      <w:r w:rsidR="009229C2" w:rsidRPr="00DF7D72">
        <w:rPr>
          <w:rFonts w:hint="eastAsia"/>
          <w:lang w:val="x-none"/>
        </w:rPr>
        <w:t>等語</w:t>
      </w:r>
      <w:r w:rsidR="00220EAB" w:rsidRPr="00DF7D72">
        <w:rPr>
          <w:rFonts w:hint="eastAsia"/>
          <w:lang w:val="x-none"/>
        </w:rPr>
        <w:t>。</w:t>
      </w:r>
      <w:r w:rsidR="002F21DD" w:rsidRPr="00DF7D72">
        <w:rPr>
          <w:rFonts w:hint="eastAsia"/>
          <w:lang w:val="x-none"/>
        </w:rPr>
        <w:t>然</w:t>
      </w:r>
      <w:r w:rsidR="00FB2035" w:rsidRPr="00DF7D72">
        <w:rPr>
          <w:rFonts w:hint="eastAsia"/>
        </w:rPr>
        <w:t>自105年1月1日起至106年6月30日止，</w:t>
      </w:r>
      <w:r w:rsidR="00220EAB" w:rsidRPr="00DF7D72">
        <w:rPr>
          <w:rFonts w:hint="eastAsia"/>
        </w:rPr>
        <w:t>各地方政府</w:t>
      </w:r>
      <w:r w:rsidR="009229C2" w:rsidRPr="00DF7D72">
        <w:rPr>
          <w:rFonts w:hint="eastAsia"/>
        </w:rPr>
        <w:t>不論</w:t>
      </w:r>
      <w:r w:rsidR="002F21DD" w:rsidRPr="00DF7D72">
        <w:rPr>
          <w:rFonts w:hint="eastAsia"/>
        </w:rPr>
        <w:t>係與防檢局執行之聯合檢查，抑或自行辦理之年度農藥檢查，</w:t>
      </w:r>
      <w:r w:rsidR="00220EAB" w:rsidRPr="00DF7D72">
        <w:rPr>
          <w:rFonts w:hint="eastAsia"/>
        </w:rPr>
        <w:t>總計檢查農藥販賣業者計1,289家次，裁處案29件，其中未開具販售證明之裁處案計12件，</w:t>
      </w:r>
      <w:r w:rsidR="002F21DD" w:rsidRPr="00DF7D72">
        <w:rPr>
          <w:rFonts w:hint="eastAsia"/>
          <w:lang w:val="x-none"/>
        </w:rPr>
        <w:t>但</w:t>
      </w:r>
      <w:r w:rsidR="00DA46F6" w:rsidRPr="00DF7D72">
        <w:rPr>
          <w:rFonts w:hint="eastAsia"/>
          <w:lang w:val="x-none"/>
        </w:rPr>
        <w:t>此</w:t>
      </w:r>
      <w:r w:rsidR="002F21DD" w:rsidRPr="00DF7D72">
        <w:rPr>
          <w:rFonts w:hint="eastAsia"/>
          <w:lang w:val="x-none"/>
        </w:rPr>
        <w:t>等</w:t>
      </w:r>
      <w:r w:rsidR="00FB2035" w:rsidRPr="00DF7D72">
        <w:rPr>
          <w:rFonts w:hint="eastAsia"/>
          <w:lang w:val="x-none" w:eastAsia="x-none"/>
        </w:rPr>
        <w:t>農藥販賣業者未開具販售證明之裁處案</w:t>
      </w:r>
      <w:r w:rsidR="002F21DD" w:rsidRPr="00DF7D72">
        <w:rPr>
          <w:rFonts w:hint="eastAsia"/>
          <w:lang w:val="x-none"/>
        </w:rPr>
        <w:t>件</w:t>
      </w:r>
      <w:r w:rsidR="00FB2035" w:rsidRPr="00DF7D72">
        <w:rPr>
          <w:rFonts w:hint="eastAsia"/>
          <w:lang w:val="x-none" w:eastAsia="x-none"/>
        </w:rPr>
        <w:t>，係由民眾檢舉、執行</w:t>
      </w:r>
      <w:r w:rsidR="002F21DD" w:rsidRPr="00DF7D72">
        <w:rPr>
          <w:rFonts w:hint="eastAsia"/>
          <w:lang w:val="x-none"/>
        </w:rPr>
        <w:t>年度</w:t>
      </w:r>
      <w:r w:rsidR="00FB2035" w:rsidRPr="00DF7D72">
        <w:rPr>
          <w:rFonts w:hint="eastAsia"/>
          <w:lang w:val="x-none" w:eastAsia="x-none"/>
        </w:rPr>
        <w:t>或聯合農藥檢查、以及農產品農藥殘留不合格案後續追蹤所</w:t>
      </w:r>
      <w:r w:rsidR="002F21DD" w:rsidRPr="00DF7D72">
        <w:rPr>
          <w:rFonts w:hint="eastAsia"/>
          <w:lang w:val="x-none"/>
        </w:rPr>
        <w:t>發現</w:t>
      </w:r>
      <w:r w:rsidR="00FB2035" w:rsidRPr="00DF7D72">
        <w:rPr>
          <w:rFonts w:hint="eastAsia"/>
          <w:lang w:val="x-none" w:eastAsia="x-none"/>
        </w:rPr>
        <w:t>，</w:t>
      </w:r>
      <w:r w:rsidR="002F21DD" w:rsidRPr="00DF7D72">
        <w:rPr>
          <w:rFonts w:hint="eastAsia"/>
          <w:lang w:val="x-none"/>
        </w:rPr>
        <w:t>並</w:t>
      </w:r>
      <w:r w:rsidR="00DA46F6" w:rsidRPr="00DF7D72">
        <w:rPr>
          <w:rFonts w:hint="eastAsia"/>
          <w:lang w:val="x-none"/>
        </w:rPr>
        <w:t>非</w:t>
      </w:r>
      <w:r w:rsidR="002F21DD" w:rsidRPr="00DF7D72">
        <w:rPr>
          <w:rFonts w:hint="eastAsia"/>
          <w:lang w:val="x-none"/>
        </w:rPr>
        <w:t>防檢局與地方政府聯合檢</w:t>
      </w:r>
      <w:r w:rsidR="00DA46F6" w:rsidRPr="00DF7D72">
        <w:rPr>
          <w:rFonts w:hint="eastAsia"/>
          <w:lang w:val="x-none"/>
        </w:rPr>
        <w:t>查</w:t>
      </w:r>
      <w:r w:rsidR="002F21DD" w:rsidRPr="00DF7D72">
        <w:rPr>
          <w:rFonts w:hint="eastAsia"/>
          <w:lang w:val="x-none"/>
        </w:rPr>
        <w:t>或地方政府自行辦理年度檢查</w:t>
      </w:r>
      <w:r w:rsidR="00DA46F6" w:rsidRPr="00DF7D72">
        <w:rPr>
          <w:rFonts w:hint="eastAsia"/>
          <w:lang w:val="x-none"/>
        </w:rPr>
        <w:t>時所發現</w:t>
      </w:r>
      <w:r w:rsidR="00FB2035" w:rsidRPr="00DF7D72">
        <w:rPr>
          <w:rFonts w:hint="eastAsia"/>
          <w:lang w:val="x-none" w:eastAsia="x-none"/>
        </w:rPr>
        <w:t>。</w:t>
      </w:r>
      <w:r w:rsidR="00E77E5E" w:rsidRPr="00DF7D72">
        <w:rPr>
          <w:rFonts w:hint="eastAsia"/>
          <w:lang w:val="x-none"/>
        </w:rPr>
        <w:t>綜言之</w:t>
      </w:r>
      <w:r w:rsidR="002F21DD" w:rsidRPr="00DF7D72">
        <w:rPr>
          <w:rFonts w:hint="eastAsia"/>
          <w:lang w:val="x-none"/>
        </w:rPr>
        <w:t>，</w:t>
      </w:r>
      <w:r w:rsidR="002A4BD1" w:rsidRPr="00DF7D72">
        <w:rPr>
          <w:rFonts w:hint="eastAsia"/>
          <w:lang w:val="x-none"/>
        </w:rPr>
        <w:t>農委會未積極推動科學方式之</w:t>
      </w:r>
      <w:r w:rsidR="008F26D8" w:rsidRPr="00DF7D72">
        <w:rPr>
          <w:rFonts w:hint="eastAsia"/>
          <w:lang w:val="x-none"/>
        </w:rPr>
        <w:t>管理作為，</w:t>
      </w:r>
      <w:r w:rsidR="0042078B" w:rsidRPr="00DF7D72">
        <w:rPr>
          <w:rFonts w:hint="eastAsia"/>
          <w:lang w:val="x-none"/>
        </w:rPr>
        <w:t>所規劃建置</w:t>
      </w:r>
      <w:r w:rsidR="008F26D8" w:rsidRPr="00DF7D72">
        <w:rPr>
          <w:rFonts w:hint="eastAsia"/>
          <w:lang w:val="x-none"/>
        </w:rPr>
        <w:t>之</w:t>
      </w:r>
      <w:r w:rsidR="00E77E5E" w:rsidRPr="00DF7D72">
        <w:rPr>
          <w:rFonts w:hint="eastAsia"/>
          <w:lang w:val="x-none"/>
        </w:rPr>
        <w:t>POS</w:t>
      </w:r>
      <w:r w:rsidR="002A4BD1" w:rsidRPr="00DF7D72">
        <w:rPr>
          <w:rFonts w:hint="eastAsia"/>
          <w:lang w:val="x-none"/>
        </w:rPr>
        <w:t>系統</w:t>
      </w:r>
      <w:r w:rsidR="008F26D8" w:rsidRPr="00DF7D72">
        <w:rPr>
          <w:rFonts w:hint="eastAsia"/>
          <w:lang w:val="x-none"/>
        </w:rPr>
        <w:t>比</w:t>
      </w:r>
      <w:r w:rsidR="00E77E5E" w:rsidRPr="00DF7D72">
        <w:rPr>
          <w:rFonts w:hint="eastAsia"/>
          <w:lang w:val="x-none"/>
        </w:rPr>
        <w:t>率</w:t>
      </w:r>
      <w:r w:rsidR="0042078B" w:rsidRPr="00DF7D72">
        <w:rPr>
          <w:rFonts w:hint="eastAsia"/>
          <w:lang w:val="x-none"/>
        </w:rPr>
        <w:t>不及</w:t>
      </w:r>
      <w:r w:rsidR="00E77E5E" w:rsidRPr="00DF7D72">
        <w:rPr>
          <w:rFonts w:hint="eastAsia"/>
          <w:lang w:val="x-none"/>
        </w:rPr>
        <w:t>3成，</w:t>
      </w:r>
      <w:r w:rsidR="008F26D8" w:rsidRPr="00DF7D72">
        <w:rPr>
          <w:rFonts w:hint="eastAsia"/>
          <w:lang w:val="x-none"/>
        </w:rPr>
        <w:t>以致</w:t>
      </w:r>
      <w:r w:rsidR="00E77E5E" w:rsidRPr="00DF7D72">
        <w:rPr>
          <w:rFonts w:hint="eastAsia"/>
          <w:lang w:val="x-none"/>
        </w:rPr>
        <w:t>聯合檢查或地方政府自行辦理之年度檢查，均</w:t>
      </w:r>
      <w:r w:rsidR="008F26D8" w:rsidRPr="00DF7D72">
        <w:rPr>
          <w:rFonts w:hint="eastAsia"/>
          <w:lang w:val="x-none"/>
        </w:rPr>
        <w:t>難以</w:t>
      </w:r>
      <w:r w:rsidR="00E77E5E" w:rsidRPr="00DF7D72">
        <w:rPr>
          <w:rFonts w:hint="eastAsia"/>
          <w:lang w:val="x-none"/>
        </w:rPr>
        <w:t>發掘未</w:t>
      </w:r>
      <w:r w:rsidR="00E77E5E" w:rsidRPr="00DF7D72">
        <w:rPr>
          <w:rFonts w:hint="eastAsia"/>
          <w:lang w:val="x-none" w:eastAsia="x-none"/>
        </w:rPr>
        <w:t>開具販售證明</w:t>
      </w:r>
      <w:r w:rsidR="00E77E5E" w:rsidRPr="00DF7D72">
        <w:rPr>
          <w:rFonts w:hint="eastAsia"/>
          <w:lang w:val="x-none"/>
        </w:rPr>
        <w:t>之不法個案，反而必須藉由其他管道始能查知，是</w:t>
      </w:r>
      <w:r w:rsidR="00E77E5E" w:rsidRPr="00DF7D72">
        <w:rPr>
          <w:rFonts w:hint="eastAsia"/>
        </w:rPr>
        <w:t>農委</w:t>
      </w:r>
      <w:r w:rsidR="00C246B3" w:rsidRPr="00DF7D72">
        <w:rPr>
          <w:rFonts w:hint="eastAsia"/>
          <w:lang w:val="x-none"/>
        </w:rPr>
        <w:t>會</w:t>
      </w:r>
      <w:r w:rsidR="00E77E5E" w:rsidRPr="00DF7D72">
        <w:rPr>
          <w:rFonts w:hint="eastAsia"/>
          <w:lang w:val="x-none"/>
        </w:rPr>
        <w:t>雖</w:t>
      </w:r>
      <w:r w:rsidR="00C246B3" w:rsidRPr="00DF7D72">
        <w:rPr>
          <w:rFonts w:hint="eastAsia"/>
          <w:lang w:val="x-none"/>
        </w:rPr>
        <w:t>早已知悉「農藥販賣業者是否有遵守『詢問購買</w:t>
      </w:r>
      <w:r w:rsidR="00C246B3" w:rsidRPr="00DF7D72">
        <w:rPr>
          <w:rFonts w:hint="eastAsia"/>
          <w:lang w:val="x-none"/>
        </w:rPr>
        <w:lastRenderedPageBreak/>
        <w:t>者用途』之規定，在事實認定及現場蒐證上確有困難」</w:t>
      </w:r>
      <w:r w:rsidR="00C246B3" w:rsidRPr="00DF7D72">
        <w:rPr>
          <w:rFonts w:hAnsi="標楷體" w:hint="eastAsia"/>
          <w:lang w:val="x-none"/>
        </w:rPr>
        <w:t>，卻未能積極</w:t>
      </w:r>
      <w:r w:rsidR="000318EB" w:rsidRPr="00DF7D72">
        <w:rPr>
          <w:rFonts w:hAnsi="標楷體" w:hint="eastAsia"/>
          <w:lang w:val="x-none"/>
        </w:rPr>
        <w:t>提高</w:t>
      </w:r>
      <w:r w:rsidR="00E77E5E" w:rsidRPr="00DF7D72">
        <w:rPr>
          <w:rFonts w:hAnsi="標楷體" w:hint="eastAsia"/>
          <w:lang w:val="x-none"/>
        </w:rPr>
        <w:t>POS</w:t>
      </w:r>
      <w:r w:rsidR="002A4BD1" w:rsidRPr="00DF7D72">
        <w:rPr>
          <w:rFonts w:hint="eastAsia"/>
          <w:lang w:val="x-none"/>
        </w:rPr>
        <w:t>系統</w:t>
      </w:r>
      <w:r w:rsidR="008F26D8" w:rsidRPr="00DF7D72">
        <w:rPr>
          <w:rFonts w:hint="eastAsia"/>
          <w:lang w:val="x-none"/>
        </w:rPr>
        <w:t>普及率並</w:t>
      </w:r>
      <w:r w:rsidR="00E77E5E" w:rsidRPr="00DF7D72">
        <w:rPr>
          <w:rFonts w:hAnsi="標楷體" w:hint="eastAsia"/>
          <w:lang w:val="x-none"/>
        </w:rPr>
        <w:t>強化</w:t>
      </w:r>
      <w:r w:rsidR="000318EB" w:rsidRPr="00DF7D72">
        <w:rPr>
          <w:rFonts w:hAnsi="標楷體" w:hint="eastAsia"/>
          <w:lang w:val="x-none"/>
        </w:rPr>
        <w:t>稽查</w:t>
      </w:r>
      <w:r w:rsidR="00C246B3" w:rsidRPr="00DF7D72">
        <w:rPr>
          <w:rFonts w:hAnsi="標楷體" w:hint="eastAsia"/>
          <w:lang w:val="x-none"/>
        </w:rPr>
        <w:t>作為，本事件發生蛋雞場農藥違法使用</w:t>
      </w:r>
      <w:r w:rsidR="000318EB" w:rsidRPr="00DF7D72">
        <w:rPr>
          <w:rFonts w:hAnsi="標楷體" w:hint="eastAsia"/>
          <w:lang w:val="x-none"/>
        </w:rPr>
        <w:t>，顯非偶然</w:t>
      </w:r>
      <w:r w:rsidR="00C246B3" w:rsidRPr="00DF7D72">
        <w:rPr>
          <w:rFonts w:hAnsi="標楷體" w:hint="eastAsia"/>
          <w:lang w:val="x-none"/>
        </w:rPr>
        <w:t>，難謂允當。</w:t>
      </w:r>
    </w:p>
    <w:p w:rsidR="00FB2035" w:rsidRPr="00DF7D72" w:rsidRDefault="000318EB" w:rsidP="00526CFF">
      <w:pPr>
        <w:pStyle w:val="3"/>
      </w:pPr>
      <w:r w:rsidRPr="00DF7D72">
        <w:rPr>
          <w:rFonts w:hint="eastAsia"/>
        </w:rPr>
        <w:t>綜上，</w:t>
      </w:r>
      <w:r w:rsidR="00061717" w:rsidRPr="00DF7D72">
        <w:rPr>
          <w:rFonts w:hint="eastAsia"/>
        </w:rPr>
        <w:t>農委會對於農藥管理法中要求販賣業者應詢問購買者用途、開具販售證明及流向查核等管理措施，惟怠未就其相關配套措施</w:t>
      </w:r>
      <w:r w:rsidR="00061717" w:rsidRPr="00DF7D72">
        <w:rPr>
          <w:rFonts w:ascii="新細明體" w:eastAsia="新細明體" w:hAnsi="新細明體" w:hint="eastAsia"/>
        </w:rPr>
        <w:t>「</w:t>
      </w:r>
      <w:r w:rsidR="00061717" w:rsidRPr="00DF7D72">
        <w:rPr>
          <w:rFonts w:hint="eastAsia"/>
        </w:rPr>
        <w:t>POS系統</w:t>
      </w:r>
      <w:r w:rsidR="00061717" w:rsidRPr="00DF7D72">
        <w:rPr>
          <w:rFonts w:hAnsi="標楷體" w:hint="eastAsia"/>
        </w:rPr>
        <w:t>」為積極推動</w:t>
      </w:r>
      <w:r w:rsidR="00061717" w:rsidRPr="00DF7D72">
        <w:rPr>
          <w:rFonts w:hint="eastAsia"/>
        </w:rPr>
        <w:t>及強化稽查作為，致該法所規定之相關機制，無法確實落實，衍生農藥流於非法使用，允應檢討改進。</w:t>
      </w:r>
    </w:p>
    <w:p w:rsidR="002A76A8" w:rsidRPr="00DF7D72" w:rsidRDefault="006E6DE7" w:rsidP="00DE4238">
      <w:pPr>
        <w:pStyle w:val="2"/>
        <w:rPr>
          <w:rFonts w:hAnsi="標楷體"/>
          <w:b/>
        </w:rPr>
      </w:pPr>
      <w:r w:rsidRPr="00DF7D72">
        <w:rPr>
          <w:rFonts w:hAnsi="標楷體" w:cs="細明體" w:hint="eastAsia"/>
          <w:b/>
        </w:rPr>
        <w:t>畜牧法自87年制定公布施行迄今已近20年，當時即已規定畜牧場應設置或有特約獸醫師，惟</w:t>
      </w:r>
      <w:r w:rsidR="00DA46F6" w:rsidRPr="00DF7D72">
        <w:rPr>
          <w:rFonts w:hAnsi="標楷體" w:cs="細明體" w:hint="eastAsia"/>
          <w:b/>
        </w:rPr>
        <w:t>至</w:t>
      </w:r>
      <w:r w:rsidRPr="00DF7D72">
        <w:rPr>
          <w:rFonts w:hAnsi="標楷體" w:cs="細明體" w:hint="eastAsia"/>
          <w:b/>
        </w:rPr>
        <w:t>今約有超過半數之畜牧場，仍未依法辦理之，農委會竟長期坐視</w:t>
      </w:r>
      <w:r w:rsidR="000318EB" w:rsidRPr="00DF7D72">
        <w:rPr>
          <w:rFonts w:hAnsi="標楷體" w:cs="細明體" w:hint="eastAsia"/>
          <w:b/>
        </w:rPr>
        <w:t>該</w:t>
      </w:r>
      <w:r w:rsidRPr="00DF7D72">
        <w:rPr>
          <w:rFonts w:hAnsi="標楷體" w:cs="細明體" w:hint="eastAsia"/>
          <w:b/>
        </w:rPr>
        <w:t>違法情事，未能提出具體解決方案，甚無法掌握畜牧場設置或特約獸醫師之實情，致該規定形同虛設，未能發揮畜牧場衛生管理之效，確有怠失。</w:t>
      </w:r>
    </w:p>
    <w:p w:rsidR="002A76A8" w:rsidRPr="00DF7D72" w:rsidRDefault="007A2AB7" w:rsidP="000815B0">
      <w:pPr>
        <w:pStyle w:val="3"/>
        <w:rPr>
          <w:rFonts w:hAnsi="標楷體"/>
        </w:rPr>
      </w:pPr>
      <w:r w:rsidRPr="00DF7D72">
        <w:rPr>
          <w:rFonts w:hAnsi="標楷體" w:hint="eastAsia"/>
        </w:rPr>
        <w:t>按</w:t>
      </w:r>
      <w:r w:rsidR="00BD318F" w:rsidRPr="00DF7D72">
        <w:rPr>
          <w:rFonts w:hAnsi="標楷體" w:hint="eastAsia"/>
        </w:rPr>
        <w:t>畜牧法</w:t>
      </w:r>
      <w:r w:rsidR="000815B0" w:rsidRPr="00DF7D72">
        <w:rPr>
          <w:rFonts w:hAnsi="標楷體" w:hint="eastAsia"/>
        </w:rPr>
        <w:t>第3條第1款至第3款及第4條分別規定：「本法用詞，定義如下：一、家畜：係指牛、羊、馬、豬、鹿、兔及其他經中央主管機關指定之動物。二、家禽：係指雞、鴨、鵝、火雞及其他經中央主管機關指定之動物。三、畜牧場：係指飼養家畜、家禽達第</w:t>
      </w:r>
      <w:r w:rsidR="008F26D8" w:rsidRPr="00DF7D72">
        <w:rPr>
          <w:rFonts w:hAnsi="標楷體" w:hint="eastAsia"/>
        </w:rPr>
        <w:t>4</w:t>
      </w:r>
      <w:r w:rsidR="000815B0" w:rsidRPr="00DF7D72">
        <w:rPr>
          <w:rFonts w:hAnsi="標楷體" w:hint="eastAsia"/>
        </w:rPr>
        <w:t>條所訂規模之場所。」、「飼養家畜、家禽達中央主管機關指定之飼養規模以上者，應申請畜牧場登記。」同法第9條規定：「畜牧場應置獸醫師或有特約獸醫師，負責畜牧場之畜禽衛生管理，遇有家畜、家禽發病率達百分之</w:t>
      </w:r>
      <w:r w:rsidR="00526CFF" w:rsidRPr="00DF7D72">
        <w:rPr>
          <w:rFonts w:hAnsi="標楷體" w:hint="eastAsia"/>
        </w:rPr>
        <w:t>10</w:t>
      </w:r>
      <w:r w:rsidR="000815B0" w:rsidRPr="00DF7D72">
        <w:rPr>
          <w:rFonts w:hAnsi="標楷體" w:hint="eastAsia"/>
        </w:rPr>
        <w:t>以上時，獸醫師應於</w:t>
      </w:r>
      <w:r w:rsidR="00526CFF" w:rsidRPr="00DF7D72">
        <w:rPr>
          <w:rFonts w:hAnsi="標楷體" w:hint="eastAsia"/>
        </w:rPr>
        <w:t>24</w:t>
      </w:r>
      <w:r w:rsidR="000815B0" w:rsidRPr="00DF7D72">
        <w:rPr>
          <w:rFonts w:hAnsi="標楷體" w:hint="eastAsia"/>
        </w:rPr>
        <w:t>小時內報告當地主管機關。」</w:t>
      </w:r>
      <w:r w:rsidR="00DC0F5D" w:rsidRPr="00DF7D72">
        <w:rPr>
          <w:rFonts w:hAnsi="標楷體" w:hint="eastAsia"/>
        </w:rPr>
        <w:t>，該條於</w:t>
      </w:r>
      <w:r w:rsidR="00DC0F5D" w:rsidRPr="00DF7D72">
        <w:rPr>
          <w:rFonts w:hint="eastAsia"/>
        </w:rPr>
        <w:t>87年5月29日制定理由</w:t>
      </w:r>
      <w:r w:rsidR="00DC0F5D" w:rsidRPr="00DF7D72">
        <w:rPr>
          <w:rStyle w:val="aff"/>
          <w:rFonts w:hAnsi="標楷體"/>
        </w:rPr>
        <w:footnoteReference w:id="9"/>
      </w:r>
      <w:r w:rsidR="00DC0F5D" w:rsidRPr="00DF7D72">
        <w:rPr>
          <w:rFonts w:hint="eastAsia"/>
        </w:rPr>
        <w:t>為：</w:t>
      </w:r>
      <w:r w:rsidR="00DC0F5D" w:rsidRPr="00DF7D72">
        <w:rPr>
          <w:rFonts w:hAnsi="標楷體" w:hint="eastAsia"/>
        </w:rPr>
        <w:t>「一、疾病之防治，須從防微杜漸着</w:t>
      </w:r>
      <w:r w:rsidR="00DC0F5D" w:rsidRPr="00DF7D72">
        <w:rPr>
          <w:rFonts w:hAnsi="標楷體" w:hint="eastAsia"/>
        </w:rPr>
        <w:lastRenderedPageBreak/>
        <w:t>手，由有執業執照之獸醫師負責畜牧場之衛生管理實屬必須。</w:t>
      </w:r>
      <w:r w:rsidR="00DC0F5D" w:rsidRPr="00DF7D72">
        <w:rPr>
          <w:rFonts w:hAnsi="標楷體"/>
        </w:rPr>
        <w:t>……</w:t>
      </w:r>
      <w:r w:rsidR="00DC0F5D" w:rsidRPr="00DF7D72">
        <w:rPr>
          <w:rFonts w:hAnsi="標楷體" w:hint="eastAsia"/>
        </w:rPr>
        <w:t>」</w:t>
      </w:r>
      <w:r w:rsidR="000815B0" w:rsidRPr="00DF7D72">
        <w:rPr>
          <w:rFonts w:hAnsi="標楷體" w:hint="eastAsia"/>
        </w:rPr>
        <w:t>爰此，國內畜牧場</w:t>
      </w:r>
      <w:r w:rsidR="00FB0328" w:rsidRPr="00DF7D72">
        <w:rPr>
          <w:rFonts w:hAnsi="標楷體" w:hint="eastAsia"/>
        </w:rPr>
        <w:t>(含家畜、家禽)</w:t>
      </w:r>
      <w:r w:rsidR="000815B0" w:rsidRPr="00DF7D72">
        <w:rPr>
          <w:rFonts w:hAnsi="標楷體" w:hint="eastAsia"/>
        </w:rPr>
        <w:t>達一定規模以上者，應置獸醫師或特約獸醫師，以負責畜牧場之畜禽衛生管理。</w:t>
      </w:r>
    </w:p>
    <w:p w:rsidR="00646F87" w:rsidRPr="00DF7D72" w:rsidRDefault="000815B0" w:rsidP="00A370B6">
      <w:pPr>
        <w:pStyle w:val="3"/>
        <w:rPr>
          <w:rFonts w:hAnsi="標楷體"/>
        </w:rPr>
      </w:pPr>
      <w:r w:rsidRPr="00DF7D72">
        <w:rPr>
          <w:rFonts w:hAnsi="標楷體" w:hint="eastAsia"/>
        </w:rPr>
        <w:t>查截至106年6月底止，國內核准登記之畜牧場計15,560場，其中家禽場為7,423場，</w:t>
      </w:r>
      <w:r w:rsidR="00FB0328" w:rsidRPr="00DF7D72">
        <w:rPr>
          <w:rFonts w:hAnsi="標楷體" w:hint="eastAsia"/>
        </w:rPr>
        <w:t>惟關於101年至106年6月底止各年度該等畜牧場依畜牧法第9條規定設置獸醫師或特約獸醫師之情形，農委會竟查復表示：「</w:t>
      </w:r>
      <w:r w:rsidR="00646F87" w:rsidRPr="00DF7D72">
        <w:rPr>
          <w:rFonts w:hAnsi="標楷體" w:hint="eastAsia"/>
        </w:rPr>
        <w:t>因部分畜牧場之聘僱獸醫師或有特約獸醫師屬多年合約，又於農委會畜牧場登記系統，畜牧場聘僱獸醫師之新合約會覆蓋其舊合約，爰無法提供分年度資料，查101年至106年6月底止有設置獸醫師或特約獸醫師之家禽畜牧場為8,205場。</w:t>
      </w:r>
      <w:r w:rsidR="00D77CF6" w:rsidRPr="00DF7D72">
        <w:rPr>
          <w:rFonts w:hAnsi="標楷體" w:hint="eastAsia"/>
        </w:rPr>
        <w:t>」</w:t>
      </w:r>
      <w:r w:rsidR="00EF0151" w:rsidRPr="00DF7D72">
        <w:rPr>
          <w:rFonts w:hAnsi="標楷體" w:hint="eastAsia"/>
        </w:rPr>
        <w:t>然</w:t>
      </w:r>
      <w:r w:rsidR="00D77CF6" w:rsidRPr="00DF7D72">
        <w:rPr>
          <w:rFonts w:hAnsi="標楷體" w:hint="eastAsia"/>
        </w:rPr>
        <w:t>家禽畜牧場數僅有7,423場，何以有設置獸醫師或特約獸醫師之家禽畜牧場</w:t>
      </w:r>
      <w:r w:rsidR="00F743B0" w:rsidRPr="00DF7D72">
        <w:rPr>
          <w:rFonts w:hAnsi="標楷體" w:hint="eastAsia"/>
        </w:rPr>
        <w:t>會</w:t>
      </w:r>
      <w:r w:rsidR="00D77CF6" w:rsidRPr="00DF7D72">
        <w:rPr>
          <w:rFonts w:hAnsi="標楷體" w:hint="eastAsia"/>
        </w:rPr>
        <w:t>超出</w:t>
      </w:r>
      <w:r w:rsidR="00F743B0" w:rsidRPr="00DF7D72">
        <w:rPr>
          <w:rFonts w:hAnsi="標楷體" w:hint="eastAsia"/>
        </w:rPr>
        <w:t>7,423場(</w:t>
      </w:r>
      <w:r w:rsidR="00D77CF6" w:rsidRPr="00DF7D72">
        <w:rPr>
          <w:rFonts w:hAnsi="標楷體" w:hint="eastAsia"/>
        </w:rPr>
        <w:t>為8,205場</w:t>
      </w:r>
      <w:r w:rsidR="00F743B0" w:rsidRPr="00DF7D72">
        <w:rPr>
          <w:rFonts w:hAnsi="標楷體" w:hint="eastAsia"/>
        </w:rPr>
        <w:t>)，</w:t>
      </w:r>
      <w:r w:rsidR="00402A2F" w:rsidRPr="00DF7D72">
        <w:rPr>
          <w:rFonts w:hAnsi="標楷體" w:hint="eastAsia"/>
        </w:rPr>
        <w:t>且何以無法提供各年度資料，據</w:t>
      </w:r>
      <w:r w:rsidR="00F743B0" w:rsidRPr="00DF7D72">
        <w:rPr>
          <w:rFonts w:hAnsi="標楷體" w:hint="eastAsia"/>
        </w:rPr>
        <w:t>農委會進一步查復說明：「查8,205場家禽畜牧場係指101年至106年6月底止有設置獸醫師或特約獸醫師之歷年累積場數。依據『畜牧法』第9條前段規定，畜牧場應置獸醫師或有特約獸醫師，又查該規定並未要求畜牧場須主動通報主管機關其獸醫師聘僱合約之異動情形，囿於地方政府人力有限，現階段尚無法逐一清查畜牧場獸醫師聘僱合約更新之情形。」顯見國內畜牧場是否依法設置或特約獸醫師，農委會</w:t>
      </w:r>
      <w:r w:rsidR="00595FDA" w:rsidRPr="00DF7D72">
        <w:rPr>
          <w:rFonts w:hAnsi="標楷體" w:hint="eastAsia"/>
        </w:rPr>
        <w:t>怠未確實掌握，</w:t>
      </w:r>
      <w:r w:rsidR="00342410" w:rsidRPr="00DF7D72">
        <w:rPr>
          <w:rFonts w:hAnsi="標楷體" w:hint="eastAsia"/>
        </w:rPr>
        <w:t>至其所</w:t>
      </w:r>
      <w:r w:rsidR="00F743B0" w:rsidRPr="00DF7D72">
        <w:rPr>
          <w:rFonts w:hAnsi="標楷體" w:hint="eastAsia"/>
        </w:rPr>
        <w:t>稱畜牧法並無規定畜牧場須主動通報主管機關其獸醫師設置或特約情形</w:t>
      </w:r>
      <w:r w:rsidR="00342410" w:rsidRPr="00DF7D72">
        <w:rPr>
          <w:rFonts w:hAnsi="標楷體" w:hint="eastAsia"/>
        </w:rPr>
        <w:t>乙節，該法</w:t>
      </w:r>
      <w:r w:rsidR="008F26D8" w:rsidRPr="00DF7D72">
        <w:rPr>
          <w:rFonts w:hAnsi="標楷體" w:hint="eastAsia"/>
        </w:rPr>
        <w:t>既早已</w:t>
      </w:r>
      <w:r w:rsidR="00342410" w:rsidRPr="00DF7D72">
        <w:rPr>
          <w:rFonts w:hAnsi="標楷體" w:hint="eastAsia"/>
        </w:rPr>
        <w:t>明定畜牧場應置獸醫師或有特約獸醫師，</w:t>
      </w:r>
      <w:r w:rsidR="008F26D8" w:rsidRPr="00DF7D72">
        <w:rPr>
          <w:rFonts w:hAnsi="標楷體" w:hint="eastAsia"/>
        </w:rPr>
        <w:t>農委會</w:t>
      </w:r>
      <w:r w:rsidR="00B7200D" w:rsidRPr="00DF7D72">
        <w:rPr>
          <w:rFonts w:hAnsi="標楷體" w:hint="eastAsia"/>
        </w:rPr>
        <w:t>自</w:t>
      </w:r>
      <w:r w:rsidR="008F26D8" w:rsidRPr="00DF7D72">
        <w:rPr>
          <w:rFonts w:hAnsi="標楷體" w:hint="eastAsia"/>
        </w:rPr>
        <w:t>應</w:t>
      </w:r>
      <w:r w:rsidR="00061717" w:rsidRPr="00DF7D72">
        <w:rPr>
          <w:rFonts w:hAnsi="標楷體" w:hint="eastAsia"/>
        </w:rPr>
        <w:t>檢視</w:t>
      </w:r>
      <w:r w:rsidR="00B7200D" w:rsidRPr="00DF7D72">
        <w:rPr>
          <w:rFonts w:hAnsi="標楷體" w:hint="eastAsia"/>
        </w:rPr>
        <w:t>畜牧場</w:t>
      </w:r>
      <w:r w:rsidR="00061717" w:rsidRPr="00DF7D72">
        <w:rPr>
          <w:rFonts w:hAnsi="標楷體" w:hint="eastAsia"/>
        </w:rPr>
        <w:t>是否</w:t>
      </w:r>
      <w:r w:rsidR="00B7200D" w:rsidRPr="00DF7D72">
        <w:rPr>
          <w:rFonts w:hAnsi="標楷體" w:hint="eastAsia"/>
        </w:rPr>
        <w:t>依法設置，</w:t>
      </w:r>
      <w:r w:rsidR="00342410" w:rsidRPr="00DF7D72">
        <w:rPr>
          <w:rFonts w:hAnsi="標楷體" w:hint="eastAsia"/>
        </w:rPr>
        <w:t>且</w:t>
      </w:r>
      <w:r w:rsidR="00061717" w:rsidRPr="00DF7D72">
        <w:rPr>
          <w:rFonts w:hAnsi="標楷體" w:hint="eastAsia"/>
        </w:rPr>
        <w:t>檢視作為亦不當僅</w:t>
      </w:r>
      <w:r w:rsidR="002E0A2F">
        <w:rPr>
          <w:rFonts w:hAnsi="標楷體" w:hint="eastAsia"/>
        </w:rPr>
        <w:t>侷</w:t>
      </w:r>
      <w:r w:rsidR="00061717" w:rsidRPr="00DF7D72">
        <w:rPr>
          <w:rFonts w:hAnsi="標楷體" w:hint="eastAsia"/>
        </w:rPr>
        <w:t>限於</w:t>
      </w:r>
      <w:r w:rsidR="00B7200D" w:rsidRPr="00DF7D72">
        <w:rPr>
          <w:rFonts w:hAnsi="標楷體" w:hint="eastAsia"/>
        </w:rPr>
        <w:t>由</w:t>
      </w:r>
      <w:r w:rsidR="00342410" w:rsidRPr="00DF7D72">
        <w:rPr>
          <w:rFonts w:hAnsi="標楷體" w:hint="eastAsia"/>
        </w:rPr>
        <w:t>畜牧場主動通報</w:t>
      </w:r>
      <w:r w:rsidR="00A370B6" w:rsidRPr="00DF7D72">
        <w:rPr>
          <w:rFonts w:hAnsi="標楷體" w:hint="eastAsia"/>
        </w:rPr>
        <w:t>之方式，是農委會不</w:t>
      </w:r>
      <w:r w:rsidR="002E0A2F">
        <w:rPr>
          <w:rFonts w:hAnsi="標楷體" w:hint="eastAsia"/>
        </w:rPr>
        <w:t>應</w:t>
      </w:r>
      <w:r w:rsidR="00A370B6" w:rsidRPr="00DF7D72">
        <w:rPr>
          <w:rFonts w:hAnsi="標楷體" w:hint="eastAsia"/>
        </w:rPr>
        <w:t>以此而</w:t>
      </w:r>
      <w:r w:rsidR="00342410" w:rsidRPr="00DF7D72">
        <w:rPr>
          <w:rFonts w:hAnsi="標楷體" w:hint="eastAsia"/>
        </w:rPr>
        <w:t>推卸管理之責</w:t>
      </w:r>
      <w:r w:rsidR="00F743B0" w:rsidRPr="00DF7D72">
        <w:rPr>
          <w:rFonts w:hAnsi="標楷體" w:hint="eastAsia"/>
        </w:rPr>
        <w:t>。</w:t>
      </w:r>
    </w:p>
    <w:p w:rsidR="005D6607" w:rsidRPr="00DF7D72" w:rsidRDefault="00595FDA" w:rsidP="005D7AC3">
      <w:pPr>
        <w:pStyle w:val="3"/>
        <w:rPr>
          <w:rFonts w:hAnsi="標楷體" w:cs="細明體"/>
        </w:rPr>
      </w:pPr>
      <w:r w:rsidRPr="00DF7D72">
        <w:rPr>
          <w:rFonts w:hAnsi="標楷體" w:hint="eastAsia"/>
        </w:rPr>
        <w:lastRenderedPageBreak/>
        <w:t>嗣農委會於本院詢問時表示：畜牧法雖有規定畜牧場應設置或特約獸醫師，但專精家禽、家畜之獸醫師不足，目前畜牧場約16,000場，約有一半是沒有依法設置或特約獸醫師</w:t>
      </w:r>
      <w:r w:rsidR="00D03281" w:rsidRPr="00DF7D72">
        <w:rPr>
          <w:rFonts w:hAnsi="標楷體" w:hint="eastAsia"/>
        </w:rPr>
        <w:t>等語。復據該會函復說明，</w:t>
      </w:r>
      <w:r w:rsidRPr="00DF7D72">
        <w:rPr>
          <w:rFonts w:hAnsi="標楷體" w:hint="eastAsia"/>
        </w:rPr>
        <w:t>該會於102年8月15日曾函請中華民國獸醫師公會全國聯合會提供會員名單、應聘畜牧場服務收費標準及服務合約之定型稿等相關資料</w:t>
      </w:r>
      <w:r w:rsidR="00D03281" w:rsidRPr="00DF7D72">
        <w:rPr>
          <w:rFonts w:hAnsi="標楷體" w:hint="eastAsia"/>
        </w:rPr>
        <w:t>，並將該等資料函請各地方政府轉知轄內畜牧場參用；另於102年12月12日召開「研商畜牧場聘任獸醫師媒合事宜會議」，並於</w:t>
      </w:r>
      <w:r w:rsidR="00596256" w:rsidRPr="00DF7D72">
        <w:rPr>
          <w:rFonts w:hAnsi="標楷體" w:hint="eastAsia"/>
        </w:rPr>
        <w:t>會中請各產業團體協助宣導</w:t>
      </w:r>
      <w:r w:rsidR="00596256" w:rsidRPr="00DF7D72">
        <w:rPr>
          <w:rFonts w:hAnsi="標楷體" w:hint="eastAsia"/>
          <w:lang w:val="x-none" w:eastAsia="x-none"/>
        </w:rPr>
        <w:t>相關規定並積極協助所屬會員辦理特約獸醫師媒合，以團簽方式聯合聘任事宜</w:t>
      </w:r>
      <w:r w:rsidR="00596256" w:rsidRPr="00DF7D72">
        <w:rPr>
          <w:rFonts w:hAnsi="標楷體" w:hint="eastAsia"/>
          <w:lang w:val="x-none"/>
        </w:rPr>
        <w:t>；於103年8月11日以農牧字第1030043180號函請各直轄市、縣市政府稽查畜牧場聘置獸醫師之情形</w:t>
      </w:r>
      <w:r w:rsidR="00596256" w:rsidRPr="00DF7D72">
        <w:rPr>
          <w:rStyle w:val="aff"/>
          <w:rFonts w:hAnsi="標楷體"/>
          <w:lang w:val="x-none"/>
        </w:rPr>
        <w:footnoteReference w:id="10"/>
      </w:r>
      <w:r w:rsidR="00596256" w:rsidRPr="00DF7D72">
        <w:rPr>
          <w:rFonts w:hAnsi="標楷體" w:hint="eastAsia"/>
          <w:lang w:val="x-none"/>
        </w:rPr>
        <w:t>。農委會雖於102年有辦理上開媒合及請地方政府稽查之作為，惟仍未能持續追蹤瞭解執行情形及結果，致現無法掌握各畜牧場設置或特約獸醫師情形，</w:t>
      </w:r>
      <w:r w:rsidR="005828D3" w:rsidRPr="00DF7D72">
        <w:rPr>
          <w:rFonts w:hAnsi="標楷體" w:hint="eastAsia"/>
          <w:lang w:val="x-none"/>
        </w:rPr>
        <w:t>且雖稱專精家禽、家畜之獸醫師人力不足，</w:t>
      </w:r>
      <w:r w:rsidR="005D6607" w:rsidRPr="00DF7D72">
        <w:rPr>
          <w:rFonts w:hAnsi="標楷體" w:hint="eastAsia"/>
          <w:lang w:val="x-none"/>
        </w:rPr>
        <w:t>然</w:t>
      </w:r>
      <w:r w:rsidR="005828D3" w:rsidRPr="00DF7D72">
        <w:rPr>
          <w:rFonts w:hAnsi="標楷體" w:hint="eastAsia"/>
          <w:lang w:val="x-none"/>
        </w:rPr>
        <w:t>怠未盤點各地區畜牧場需求及獸醫師人力狀況，</w:t>
      </w:r>
      <w:r w:rsidR="005D6607" w:rsidRPr="00DF7D72">
        <w:rPr>
          <w:rFonts w:hAnsi="標楷體" w:hint="eastAsia"/>
          <w:lang w:val="x-none"/>
        </w:rPr>
        <w:t>並進一步研謀具體解決方案，</w:t>
      </w:r>
      <w:r w:rsidR="005828D3" w:rsidRPr="00DF7D72">
        <w:rPr>
          <w:rFonts w:hAnsi="標楷體" w:hint="eastAsia"/>
          <w:lang w:val="x-none"/>
        </w:rPr>
        <w:t>復依畜牧法第9條及相關規定，並無要求所設置或特約須為專精家禽、家畜之獸醫師</w:t>
      </w:r>
      <w:r w:rsidR="005D6607" w:rsidRPr="00DF7D72">
        <w:rPr>
          <w:rFonts w:hAnsi="標楷體" w:hint="eastAsia"/>
          <w:lang w:val="x-none"/>
        </w:rPr>
        <w:t>，再者，畜牧法自87年6月24日經</w:t>
      </w:r>
      <w:r w:rsidR="005D6607" w:rsidRPr="00DF7D72">
        <w:rPr>
          <w:rFonts w:hAnsi="標楷體" w:cs="細明體" w:hint="eastAsia"/>
        </w:rPr>
        <w:t>總統（87）華總（一）義字第8700123980號令制定公布施行</w:t>
      </w:r>
      <w:r w:rsidR="00471DD7" w:rsidRPr="00DF7D72">
        <w:rPr>
          <w:rFonts w:hAnsi="標楷體" w:cs="細明體" w:hint="eastAsia"/>
        </w:rPr>
        <w:t>時</w:t>
      </w:r>
      <w:r w:rsidR="005D7AC3" w:rsidRPr="00DF7D72">
        <w:rPr>
          <w:rFonts w:hAnsi="標楷體" w:cs="細明體" w:hint="eastAsia"/>
        </w:rPr>
        <w:t>，即已規定畜牧場應置獸醫師或有特約獸醫師，負責畜牧場之畜禽衛生管理，亦即該規定施行迄今已近20年，農委會卻坐視畜牧場未依法辦理</w:t>
      </w:r>
      <w:r w:rsidR="00471DD7" w:rsidRPr="00DF7D72">
        <w:rPr>
          <w:rFonts w:hAnsi="標楷體" w:cs="細明體" w:hint="eastAsia"/>
        </w:rPr>
        <w:t>；</w:t>
      </w:r>
      <w:r w:rsidR="00816331" w:rsidRPr="00DF7D72">
        <w:rPr>
          <w:rFonts w:hAnsi="標楷體" w:cs="細明體" w:hint="eastAsia"/>
        </w:rPr>
        <w:t>又</w:t>
      </w:r>
      <w:r w:rsidR="009D71D0" w:rsidRPr="00DF7D72">
        <w:rPr>
          <w:rFonts w:hAnsi="標楷體" w:cs="細明體" w:hint="eastAsia"/>
        </w:rPr>
        <w:t>再查101至106年全國裁罰家禽畜牧場違反畜牧法第9條未聘置獸醫師案件數僅3件（101年2件、104年1件），該會雖表示「畜牧場經地</w:t>
      </w:r>
      <w:r w:rsidR="009D71D0" w:rsidRPr="00DF7D72">
        <w:rPr>
          <w:rFonts w:hAnsi="標楷體" w:cs="細明體" w:hint="eastAsia"/>
        </w:rPr>
        <w:lastRenderedPageBreak/>
        <w:t>方政府稽核及輔導後，於改善期限內多能提出已簽訂之獸醫師合約影本供參，爰鮮少有畜牧場違反畜牧法第9條之裁罰案例」</w:t>
      </w:r>
      <w:r w:rsidR="005D7AC3" w:rsidRPr="00DF7D72">
        <w:rPr>
          <w:rFonts w:hAnsi="標楷體" w:cs="細明體" w:hint="eastAsia"/>
        </w:rPr>
        <w:t>，</w:t>
      </w:r>
      <w:r w:rsidR="00816331" w:rsidRPr="00DF7D72">
        <w:rPr>
          <w:rFonts w:hAnsi="標楷體" w:cs="細明體" w:hint="eastAsia"/>
        </w:rPr>
        <w:t>更</w:t>
      </w:r>
      <w:r w:rsidR="008A73F3" w:rsidRPr="00DF7D72">
        <w:rPr>
          <w:rFonts w:hint="eastAsia"/>
        </w:rPr>
        <w:t>凸顯</w:t>
      </w:r>
      <w:r w:rsidR="009D71D0" w:rsidRPr="00DF7D72">
        <w:rPr>
          <w:rFonts w:hAnsi="標楷體" w:cs="細明體" w:hint="eastAsia"/>
        </w:rPr>
        <w:t>該會未能掌握實情</w:t>
      </w:r>
      <w:r w:rsidR="00471DD7" w:rsidRPr="00DF7D72">
        <w:rPr>
          <w:rFonts w:hAnsi="標楷體" w:cs="細明體" w:hint="eastAsia"/>
        </w:rPr>
        <w:t>及疏於管理</w:t>
      </w:r>
      <w:r w:rsidR="009D71D0" w:rsidRPr="00DF7D72">
        <w:rPr>
          <w:rFonts w:hAnsi="標楷體" w:cs="細明體" w:hint="eastAsia"/>
        </w:rPr>
        <w:t>，</w:t>
      </w:r>
      <w:r w:rsidR="005D7AC3" w:rsidRPr="00DF7D72">
        <w:rPr>
          <w:rFonts w:hAnsi="標楷體" w:cs="細明體" w:hint="eastAsia"/>
        </w:rPr>
        <w:t>確有怠失。</w:t>
      </w:r>
    </w:p>
    <w:p w:rsidR="005D7AC3" w:rsidRPr="00DF7D72" w:rsidRDefault="005D7AC3" w:rsidP="005D7AC3">
      <w:pPr>
        <w:pStyle w:val="3"/>
        <w:rPr>
          <w:rFonts w:hAnsi="標楷體" w:cs="細明體"/>
        </w:rPr>
      </w:pPr>
      <w:r w:rsidRPr="00DF7D72">
        <w:rPr>
          <w:rFonts w:hAnsi="標楷體" w:cs="細明體" w:hint="eastAsia"/>
        </w:rPr>
        <w:t>據上，畜牧法自87年制定公布施行迄今已近20年，當時即已規定畜牧場應設置或有特約獸醫師，惟迄今約有超過半數之畜牧場，</w:t>
      </w:r>
      <w:r w:rsidR="006E6DE7" w:rsidRPr="00DF7D72">
        <w:rPr>
          <w:rFonts w:hAnsi="標楷體" w:cs="細明體" w:hint="eastAsia"/>
        </w:rPr>
        <w:t>仍</w:t>
      </w:r>
      <w:r w:rsidRPr="00DF7D72">
        <w:rPr>
          <w:rFonts w:hAnsi="標楷體" w:cs="細明體" w:hint="eastAsia"/>
        </w:rPr>
        <w:t>未依法辦理之，農委會竟長期坐視此違法情事，未能提出具體解決</w:t>
      </w:r>
      <w:r w:rsidR="006E6DE7" w:rsidRPr="00DF7D72">
        <w:rPr>
          <w:rFonts w:hAnsi="標楷體" w:cs="細明體" w:hint="eastAsia"/>
        </w:rPr>
        <w:t>方案</w:t>
      </w:r>
      <w:r w:rsidRPr="00DF7D72">
        <w:rPr>
          <w:rFonts w:hAnsi="標楷體" w:cs="細明體" w:hint="eastAsia"/>
        </w:rPr>
        <w:t>，甚無法掌握</w:t>
      </w:r>
      <w:r w:rsidR="006E6DE7" w:rsidRPr="00DF7D72">
        <w:rPr>
          <w:rFonts w:hAnsi="標楷體" w:cs="細明體" w:hint="eastAsia"/>
        </w:rPr>
        <w:t>畜牧場設置或特約獸醫師之實情，致該規定形同虛設，未能發揮畜牧場衛生管理之效，確有怠失。</w:t>
      </w:r>
    </w:p>
    <w:p w:rsidR="00BD318F" w:rsidRPr="00DF7D72" w:rsidRDefault="00816331" w:rsidP="00BD318F">
      <w:pPr>
        <w:pStyle w:val="2"/>
        <w:rPr>
          <w:b/>
        </w:rPr>
      </w:pPr>
      <w:r w:rsidRPr="00DF7D72">
        <w:rPr>
          <w:rFonts w:hint="eastAsia"/>
          <w:b/>
        </w:rPr>
        <w:t>農委會對於蛋雞場禽舍所應具備之</w:t>
      </w:r>
      <w:r w:rsidR="007A2AB7" w:rsidRPr="00DF7D72">
        <w:rPr>
          <w:rFonts w:hint="eastAsia"/>
          <w:b/>
        </w:rPr>
        <w:t>環境衛生管理</w:t>
      </w:r>
      <w:r w:rsidR="00BD318F" w:rsidRPr="00DF7D72">
        <w:rPr>
          <w:rFonts w:hint="eastAsia"/>
          <w:b/>
        </w:rPr>
        <w:t>，</w:t>
      </w:r>
      <w:r w:rsidR="0021624B" w:rsidRPr="00DF7D72">
        <w:rPr>
          <w:rFonts w:hint="eastAsia"/>
          <w:b/>
        </w:rPr>
        <w:t>未加以規範，卻</w:t>
      </w:r>
      <w:r w:rsidRPr="00DF7D72">
        <w:rPr>
          <w:rFonts w:hint="eastAsia"/>
          <w:b/>
        </w:rPr>
        <w:t>僅於</w:t>
      </w:r>
      <w:r w:rsidRPr="00DF7D72">
        <w:rPr>
          <w:rFonts w:hint="eastAsia"/>
          <w:b/>
          <w:szCs w:val="32"/>
        </w:rPr>
        <w:t>產銷履歷驗證</w:t>
      </w:r>
      <w:r w:rsidR="00471DD7" w:rsidRPr="00DF7D72">
        <w:rPr>
          <w:rFonts w:hint="eastAsia"/>
          <w:b/>
          <w:szCs w:val="32"/>
        </w:rPr>
        <w:t>及</w:t>
      </w:r>
      <w:r w:rsidRPr="00DF7D72">
        <w:rPr>
          <w:rFonts w:hint="eastAsia"/>
          <w:b/>
          <w:szCs w:val="32"/>
        </w:rPr>
        <w:t>優良農產品</w:t>
      </w:r>
      <w:r w:rsidR="00A370B6" w:rsidRPr="00DF7D72">
        <w:rPr>
          <w:rFonts w:hint="eastAsia"/>
          <w:b/>
          <w:szCs w:val="32"/>
        </w:rPr>
        <w:t>等2項</w:t>
      </w:r>
      <w:r w:rsidR="00C52292" w:rsidRPr="00DF7D72">
        <w:rPr>
          <w:rFonts w:hint="eastAsia"/>
          <w:b/>
          <w:szCs w:val="32"/>
        </w:rPr>
        <w:t>自願性</w:t>
      </w:r>
      <w:r w:rsidRPr="00DF7D72">
        <w:rPr>
          <w:rFonts w:hint="eastAsia"/>
          <w:b/>
          <w:szCs w:val="32"/>
        </w:rPr>
        <w:t>驗證</w:t>
      </w:r>
      <w:r w:rsidR="00A370B6" w:rsidRPr="00DF7D72">
        <w:rPr>
          <w:rFonts w:hint="eastAsia"/>
          <w:b/>
          <w:szCs w:val="32"/>
        </w:rPr>
        <w:t>制度中，將禽舍環境衛生納為查核項目</w:t>
      </w:r>
      <w:r w:rsidRPr="00DF7D72">
        <w:rPr>
          <w:rFonts w:hint="eastAsia"/>
          <w:b/>
          <w:szCs w:val="32"/>
        </w:rPr>
        <w:t>，</w:t>
      </w:r>
      <w:r w:rsidR="00A370B6" w:rsidRPr="00DF7D72">
        <w:rPr>
          <w:rFonts w:hint="eastAsia"/>
          <w:b/>
          <w:szCs w:val="32"/>
        </w:rPr>
        <w:t>而</w:t>
      </w:r>
      <w:r w:rsidR="006E64D9" w:rsidRPr="00DF7D72">
        <w:rPr>
          <w:rFonts w:hint="eastAsia"/>
          <w:b/>
          <w:szCs w:val="32"/>
        </w:rPr>
        <w:t>本</w:t>
      </w:r>
      <w:r w:rsidRPr="00DF7D72">
        <w:rPr>
          <w:rFonts w:hint="eastAsia"/>
          <w:b/>
          <w:szCs w:val="32"/>
        </w:rPr>
        <w:t>事件中具</w:t>
      </w:r>
      <w:r w:rsidR="00471DD7" w:rsidRPr="00DF7D72">
        <w:rPr>
          <w:rFonts w:hint="eastAsia"/>
          <w:b/>
          <w:szCs w:val="32"/>
        </w:rPr>
        <w:t>該等</w:t>
      </w:r>
      <w:r w:rsidRPr="00DF7D72">
        <w:rPr>
          <w:rFonts w:hint="eastAsia"/>
          <w:b/>
          <w:szCs w:val="32"/>
        </w:rPr>
        <w:t>驗證之蛋雞場均未檢出芬普尼，但其</w:t>
      </w:r>
      <w:r w:rsidR="001B03CF" w:rsidRPr="00DF7D72">
        <w:rPr>
          <w:rFonts w:hint="eastAsia"/>
          <w:b/>
          <w:szCs w:val="32"/>
        </w:rPr>
        <w:t>家數有限且</w:t>
      </w:r>
      <w:r w:rsidRPr="00DF7D72">
        <w:rPr>
          <w:rFonts w:hint="eastAsia"/>
          <w:b/>
          <w:szCs w:val="32"/>
        </w:rPr>
        <w:t>雞蛋產量僅占國內整體產量之1成，</w:t>
      </w:r>
      <w:r w:rsidR="00A370B6" w:rsidRPr="00DF7D72">
        <w:rPr>
          <w:rFonts w:hint="eastAsia"/>
          <w:b/>
          <w:szCs w:val="32"/>
        </w:rPr>
        <w:t>是</w:t>
      </w:r>
      <w:r w:rsidRPr="00DF7D72">
        <w:rPr>
          <w:rFonts w:hint="eastAsia"/>
          <w:b/>
          <w:szCs w:val="32"/>
        </w:rPr>
        <w:t>該會允應加強推動</w:t>
      </w:r>
      <w:r w:rsidR="001B03CF" w:rsidRPr="00DF7D72">
        <w:rPr>
          <w:rFonts w:hint="eastAsia"/>
          <w:b/>
          <w:szCs w:val="32"/>
        </w:rPr>
        <w:t>蛋品驗證制度，並</w:t>
      </w:r>
      <w:r w:rsidR="00471DD7" w:rsidRPr="00DF7D72">
        <w:rPr>
          <w:rFonts w:hint="eastAsia"/>
          <w:b/>
          <w:szCs w:val="32"/>
        </w:rPr>
        <w:t>全面</w:t>
      </w:r>
      <w:r w:rsidR="001B03CF" w:rsidRPr="00DF7D72">
        <w:rPr>
          <w:rFonts w:hint="eastAsia"/>
          <w:b/>
          <w:szCs w:val="32"/>
        </w:rPr>
        <w:t>建立</w:t>
      </w:r>
      <w:r w:rsidR="00C52292" w:rsidRPr="00DF7D72">
        <w:rPr>
          <w:rFonts w:hint="eastAsia"/>
          <w:b/>
          <w:szCs w:val="32"/>
        </w:rPr>
        <w:t>蛋雞場</w:t>
      </w:r>
      <w:r w:rsidR="001B03CF" w:rsidRPr="00DF7D72">
        <w:rPr>
          <w:rFonts w:hint="eastAsia"/>
          <w:b/>
        </w:rPr>
        <w:t>之</w:t>
      </w:r>
      <w:r w:rsidR="00C52292" w:rsidRPr="00DF7D72">
        <w:rPr>
          <w:rFonts w:hint="eastAsia"/>
          <w:b/>
        </w:rPr>
        <w:t>環境</w:t>
      </w:r>
      <w:r w:rsidR="00BD318F" w:rsidRPr="00DF7D72">
        <w:rPr>
          <w:rFonts w:hint="eastAsia"/>
          <w:b/>
        </w:rPr>
        <w:t>衛生管理</w:t>
      </w:r>
      <w:r w:rsidR="001B03CF" w:rsidRPr="00DF7D72">
        <w:rPr>
          <w:rFonts w:hint="eastAsia"/>
          <w:b/>
        </w:rPr>
        <w:t>措施，</w:t>
      </w:r>
      <w:r w:rsidR="00C52292" w:rsidRPr="00DF7D72">
        <w:rPr>
          <w:rFonts w:hint="eastAsia"/>
          <w:b/>
        </w:rPr>
        <w:t>俾自生產端始即避免農藥噴灑或防止其他污染源之進入，以根</w:t>
      </w:r>
      <w:r w:rsidR="00DF304D" w:rsidRPr="00DF7D72">
        <w:rPr>
          <w:rFonts w:hint="eastAsia"/>
          <w:b/>
        </w:rPr>
        <w:t>本解決</w:t>
      </w:r>
      <w:r w:rsidR="00C52292" w:rsidRPr="00DF7D72">
        <w:rPr>
          <w:rFonts w:hint="eastAsia"/>
          <w:b/>
        </w:rPr>
        <w:t>因</w:t>
      </w:r>
      <w:r w:rsidR="00DF304D" w:rsidRPr="00DF7D72">
        <w:rPr>
          <w:rFonts w:hint="eastAsia"/>
          <w:b/>
        </w:rPr>
        <w:t>飼養</w:t>
      </w:r>
      <w:r w:rsidR="00C52292" w:rsidRPr="00DF7D72">
        <w:rPr>
          <w:rFonts w:hint="eastAsia"/>
          <w:b/>
        </w:rPr>
        <w:t>環境不佳而濫用農藥之問題</w:t>
      </w:r>
      <w:r w:rsidR="0021624B" w:rsidRPr="00DF7D72">
        <w:rPr>
          <w:rFonts w:hint="eastAsia"/>
          <w:b/>
        </w:rPr>
        <w:t>。</w:t>
      </w:r>
    </w:p>
    <w:p w:rsidR="007A2AB7" w:rsidRPr="00DF7D72" w:rsidRDefault="000456D7" w:rsidP="00653FC0">
      <w:pPr>
        <w:pStyle w:val="3"/>
      </w:pPr>
      <w:r w:rsidRPr="00DF7D72">
        <w:rPr>
          <w:rFonts w:hint="eastAsia"/>
        </w:rPr>
        <w:t>按畜牧法之立法目的為管理輔導畜牧事業，防範畜牧污染</w:t>
      </w:r>
      <w:r w:rsidR="00A2192A" w:rsidRPr="00DF7D72">
        <w:rPr>
          <w:rFonts w:hint="eastAsia"/>
        </w:rPr>
        <w:t>及</w:t>
      </w:r>
      <w:r w:rsidRPr="00DF7D72">
        <w:rPr>
          <w:rFonts w:hint="eastAsia"/>
        </w:rPr>
        <w:t>促進畜牧事業之發展。</w:t>
      </w:r>
      <w:r w:rsidR="00A2192A" w:rsidRPr="00DF7D72">
        <w:rPr>
          <w:rFonts w:hint="eastAsia"/>
        </w:rPr>
        <w:t>復按同法第2條</w:t>
      </w:r>
      <w:r w:rsidR="00653FC0" w:rsidRPr="00DF7D72">
        <w:rPr>
          <w:rFonts w:hint="eastAsia"/>
        </w:rPr>
        <w:t>、第4條第1項、第9條及第10條規定：「本法所稱主管機關：在中央為行政院農業委員會；在直轄市為直轄市政府；在縣(市)為縣(市)政府。」、「飼養家畜、家禽達中央主管機關指定之飼養規模以上者，應申請畜牧場登記。」、「畜牧場應置獸醫師或有特約獸醫師，負責畜牧場之畜禽衛生管理，遇有家畜、家禽發病率達百分之</w:t>
      </w:r>
      <w:r w:rsidR="009D71D0" w:rsidRPr="00DF7D72">
        <w:rPr>
          <w:rFonts w:hint="eastAsia"/>
        </w:rPr>
        <w:t>10</w:t>
      </w:r>
      <w:r w:rsidR="00653FC0" w:rsidRPr="00DF7D72">
        <w:rPr>
          <w:rFonts w:hint="eastAsia"/>
        </w:rPr>
        <w:t>以上時，獸醫師應於</w:t>
      </w:r>
      <w:r w:rsidR="009D71D0" w:rsidRPr="00DF7D72">
        <w:rPr>
          <w:rFonts w:hint="eastAsia"/>
        </w:rPr>
        <w:t>24</w:t>
      </w:r>
      <w:r w:rsidR="00653FC0" w:rsidRPr="00DF7D72">
        <w:rPr>
          <w:rFonts w:hint="eastAsia"/>
        </w:rPr>
        <w:t>小時內報告當地主管機關。」、「主管機關得會同有關機關</w:t>
      </w:r>
      <w:r w:rsidR="00653FC0" w:rsidRPr="00DF7D72">
        <w:rPr>
          <w:rFonts w:hint="eastAsia"/>
        </w:rPr>
        <w:lastRenderedPageBreak/>
        <w:t>檢查畜牧場或飼養戶之規模、畜牧設施、疾病防疫措施及有關紀錄。畜牧場或飼養戶無正當理由不得規避、妨害或拒絕。檢查人員執行任務時，應出示身分證明文件。」爰此，農委會對於畜牧場之禽畜衛生管理及疾病防疫等負有管理之責，</w:t>
      </w:r>
      <w:r w:rsidR="00C52292" w:rsidRPr="00DF7D72">
        <w:rPr>
          <w:rFonts w:hint="eastAsia"/>
        </w:rPr>
        <w:t>自應採行相關管理措施</w:t>
      </w:r>
      <w:r w:rsidR="00653FC0" w:rsidRPr="00DF7D72">
        <w:rPr>
          <w:rFonts w:hint="eastAsia"/>
        </w:rPr>
        <w:t>，</w:t>
      </w:r>
      <w:r w:rsidR="00C52292" w:rsidRPr="00DF7D72">
        <w:rPr>
          <w:rFonts w:hint="eastAsia"/>
        </w:rPr>
        <w:t>以</w:t>
      </w:r>
      <w:r w:rsidR="00653FC0" w:rsidRPr="00DF7D72">
        <w:rPr>
          <w:rFonts w:hint="eastAsia"/>
        </w:rPr>
        <w:t>防範衛生污染與疾病。</w:t>
      </w:r>
    </w:p>
    <w:p w:rsidR="00D50DCF" w:rsidRPr="00DF7D72" w:rsidRDefault="00653FC0" w:rsidP="008431E5">
      <w:pPr>
        <w:pStyle w:val="3"/>
      </w:pPr>
      <w:r w:rsidRPr="00DF7D72">
        <w:rPr>
          <w:rFonts w:hint="eastAsia"/>
        </w:rPr>
        <w:t>本次遭芬普尼污染雞蛋事件，起源</w:t>
      </w:r>
      <w:r w:rsidR="006B5A35" w:rsidRPr="00DF7D72">
        <w:rPr>
          <w:rFonts w:hint="eastAsia"/>
        </w:rPr>
        <w:t>於蛋雞場環境</w:t>
      </w:r>
      <w:r w:rsidR="00F92411" w:rsidRPr="00DF7D72">
        <w:rPr>
          <w:rFonts w:hint="eastAsia"/>
        </w:rPr>
        <w:t>不佳，雞隻感染雞蝨等病蟲害，</w:t>
      </w:r>
      <w:r w:rsidR="006B5A35" w:rsidRPr="00DF7D72">
        <w:rPr>
          <w:rFonts w:hint="eastAsia"/>
        </w:rPr>
        <w:t>致飼主違法使用芬普尼</w:t>
      </w:r>
      <w:r w:rsidR="00F92411" w:rsidRPr="00DF7D72">
        <w:rPr>
          <w:rFonts w:hint="eastAsia"/>
        </w:rPr>
        <w:t>於雞隻身上或周遭環境，使雞蛋遭污染；惟關於蛋雞場環境衛生管理措施，農委會查復</w:t>
      </w:r>
      <w:r w:rsidR="0089232D" w:rsidRPr="00DF7D72">
        <w:rPr>
          <w:rStyle w:val="aff"/>
          <w:rFonts w:hAnsi="標楷體"/>
        </w:rPr>
        <w:footnoteReference w:id="11"/>
      </w:r>
      <w:r w:rsidR="00F92411" w:rsidRPr="00DF7D72">
        <w:rPr>
          <w:rFonts w:hint="eastAsia"/>
        </w:rPr>
        <w:t>：「無禽舍環境衛生管理措施。衛生管理係指一般的環境清潔，而防檢局主要是負責動物防疫、生物安全</w:t>
      </w:r>
      <w:r w:rsidR="00D50DCF" w:rsidRPr="00DF7D72">
        <w:rPr>
          <w:rFonts w:hint="eastAsia"/>
        </w:rPr>
        <w:t>，例如動物傳染病防治條例</w:t>
      </w:r>
      <w:r w:rsidR="00F92411" w:rsidRPr="00DF7D72">
        <w:rPr>
          <w:rFonts w:hint="eastAsia"/>
        </w:rPr>
        <w:t>。」</w:t>
      </w:r>
      <w:r w:rsidR="00D50DCF" w:rsidRPr="00DF7D72">
        <w:rPr>
          <w:rFonts w:hint="eastAsia"/>
        </w:rPr>
        <w:t>然畜牧場環境衛生</w:t>
      </w:r>
      <w:r w:rsidR="008222E0" w:rsidRPr="00DF7D72">
        <w:rPr>
          <w:rFonts w:hint="eastAsia"/>
        </w:rPr>
        <w:t>與</w:t>
      </w:r>
      <w:r w:rsidR="00047421" w:rsidRPr="00DF7D72">
        <w:rPr>
          <w:rFonts w:hint="eastAsia"/>
        </w:rPr>
        <w:t>禽畜疾病有關，甚可能為疾病之肇因，而禽畜疾病攸關其</w:t>
      </w:r>
      <w:r w:rsidR="00D50DCF" w:rsidRPr="00DF7D72">
        <w:rPr>
          <w:rFonts w:hint="eastAsia"/>
        </w:rPr>
        <w:t>健康，</w:t>
      </w:r>
      <w:r w:rsidR="00047421" w:rsidRPr="00DF7D72">
        <w:rPr>
          <w:rFonts w:hint="eastAsia"/>
        </w:rPr>
        <w:t>當然更</w:t>
      </w:r>
      <w:r w:rsidR="00D50DCF" w:rsidRPr="00DF7D72">
        <w:rPr>
          <w:rFonts w:hint="eastAsia"/>
        </w:rPr>
        <w:t>直接影響民眾飲食安全，</w:t>
      </w:r>
      <w:r w:rsidR="0025047A" w:rsidRPr="00DF7D72">
        <w:rPr>
          <w:rFonts w:hint="eastAsia"/>
        </w:rPr>
        <w:t>農委會</w:t>
      </w:r>
      <w:r w:rsidR="00047421" w:rsidRPr="00DF7D72">
        <w:rPr>
          <w:rFonts w:hint="eastAsia"/>
        </w:rPr>
        <w:t>自應重視</w:t>
      </w:r>
      <w:r w:rsidR="0089232D" w:rsidRPr="00DF7D72">
        <w:rPr>
          <w:rFonts w:hint="eastAsia"/>
        </w:rPr>
        <w:t>；</w:t>
      </w:r>
      <w:r w:rsidR="0025047A" w:rsidRPr="00DF7D72">
        <w:rPr>
          <w:rFonts w:hint="eastAsia"/>
        </w:rPr>
        <w:t>再</w:t>
      </w:r>
      <w:r w:rsidR="00D50DCF" w:rsidRPr="00DF7D72">
        <w:rPr>
          <w:rFonts w:hint="eastAsia"/>
        </w:rPr>
        <w:t>且</w:t>
      </w:r>
      <w:r w:rsidR="0025047A" w:rsidRPr="00DF7D72">
        <w:rPr>
          <w:rFonts w:hint="eastAsia"/>
        </w:rPr>
        <w:t>，</w:t>
      </w:r>
      <w:r w:rsidR="00D50DCF" w:rsidRPr="00DF7D72">
        <w:rPr>
          <w:rFonts w:hint="eastAsia"/>
        </w:rPr>
        <w:t>畜牧法</w:t>
      </w:r>
      <w:r w:rsidR="0025047A" w:rsidRPr="00DF7D72">
        <w:rPr>
          <w:rFonts w:hint="eastAsia"/>
        </w:rPr>
        <w:t>之立法目的為管理輔導畜牧事業，防範畜牧污染及促進畜牧事業之發展，且該法定有</w:t>
      </w:r>
      <w:hyperlink r:id="rId9" w:history="1">
        <w:r w:rsidR="00D50DCF" w:rsidRPr="00DF7D72">
          <w:t>畜牧場登記及管理</w:t>
        </w:r>
      </w:hyperlink>
      <w:r w:rsidR="0025047A" w:rsidRPr="00DF7D72">
        <w:rPr>
          <w:rFonts w:hint="eastAsia"/>
        </w:rPr>
        <w:t>相關規定</w:t>
      </w:r>
      <w:r w:rsidR="008222E0" w:rsidRPr="00DF7D72">
        <w:rPr>
          <w:rFonts w:hint="eastAsia"/>
        </w:rPr>
        <w:t>，</w:t>
      </w:r>
      <w:r w:rsidR="0025047A" w:rsidRPr="00DF7D72">
        <w:rPr>
          <w:rFonts w:hint="eastAsia"/>
        </w:rPr>
        <w:t>故除動物傳染病</w:t>
      </w:r>
      <w:r w:rsidR="008431E5" w:rsidRPr="00DF7D72">
        <w:rPr>
          <w:rFonts w:hint="eastAsia"/>
        </w:rPr>
        <w:t>之環境衛生防疫管理屬動物傳染病防治條例規範外，一般畜牧場</w:t>
      </w:r>
      <w:r w:rsidR="0025047A" w:rsidRPr="00DF7D72">
        <w:rPr>
          <w:rFonts w:hint="eastAsia"/>
        </w:rPr>
        <w:t>環境衛生應屬</w:t>
      </w:r>
      <w:r w:rsidR="008431E5" w:rsidRPr="00DF7D72">
        <w:rPr>
          <w:rFonts w:hint="eastAsia"/>
        </w:rPr>
        <w:t>畜牧業務</w:t>
      </w:r>
      <w:r w:rsidR="0025047A" w:rsidRPr="00DF7D72">
        <w:rPr>
          <w:rFonts w:hint="eastAsia"/>
        </w:rPr>
        <w:t>管理範</w:t>
      </w:r>
      <w:r w:rsidR="008431E5" w:rsidRPr="00DF7D72">
        <w:rPr>
          <w:rFonts w:hint="eastAsia"/>
        </w:rPr>
        <w:t>疇</w:t>
      </w:r>
      <w:r w:rsidR="0025047A" w:rsidRPr="00DF7D72">
        <w:rPr>
          <w:rFonts w:hint="eastAsia"/>
        </w:rPr>
        <w:t>，</w:t>
      </w:r>
      <w:r w:rsidR="008431E5" w:rsidRPr="00DF7D72">
        <w:rPr>
          <w:rFonts w:hint="eastAsia"/>
        </w:rPr>
        <w:t>惟農委會</w:t>
      </w:r>
      <w:r w:rsidR="001E6818" w:rsidRPr="00DF7D72">
        <w:rPr>
          <w:rFonts w:hint="eastAsia"/>
        </w:rPr>
        <w:t>卻</w:t>
      </w:r>
      <w:r w:rsidR="008431E5" w:rsidRPr="00DF7D72">
        <w:rPr>
          <w:rFonts w:hint="eastAsia"/>
        </w:rPr>
        <w:t>未</w:t>
      </w:r>
      <w:r w:rsidR="001E6818" w:rsidRPr="00DF7D72">
        <w:rPr>
          <w:rFonts w:hint="eastAsia"/>
        </w:rPr>
        <w:t>採行</w:t>
      </w:r>
      <w:r w:rsidR="008431E5" w:rsidRPr="00DF7D72">
        <w:rPr>
          <w:rFonts w:hint="eastAsia"/>
        </w:rPr>
        <w:t>相關管理措施，</w:t>
      </w:r>
      <w:r w:rsidR="001E6818" w:rsidRPr="00DF7D72">
        <w:rPr>
          <w:rFonts w:hint="eastAsia"/>
        </w:rPr>
        <w:t>自應檢討改進</w:t>
      </w:r>
      <w:r w:rsidR="008431E5" w:rsidRPr="00DF7D72">
        <w:rPr>
          <w:rFonts w:hint="eastAsia"/>
        </w:rPr>
        <w:t>。</w:t>
      </w:r>
    </w:p>
    <w:p w:rsidR="006E6DE7" w:rsidRPr="00DF7D72" w:rsidRDefault="0095328E" w:rsidP="00C123D6">
      <w:pPr>
        <w:pStyle w:val="3"/>
        <w:rPr>
          <w:b/>
        </w:rPr>
      </w:pPr>
      <w:r w:rsidRPr="00DF7D72">
        <w:rPr>
          <w:rFonts w:hint="eastAsia"/>
        </w:rPr>
        <w:t>復查</w:t>
      </w:r>
      <w:r w:rsidR="008C0C3D" w:rsidRPr="00DF7D72">
        <w:rPr>
          <w:rFonts w:hint="eastAsia"/>
        </w:rPr>
        <w:t>農</w:t>
      </w:r>
      <w:r w:rsidR="008431E5" w:rsidRPr="00DF7D72">
        <w:rPr>
          <w:rFonts w:hint="eastAsia"/>
        </w:rPr>
        <w:t>委會雖未訂定畜牧場環境衛生管理規定及措施，惟</w:t>
      </w:r>
      <w:r w:rsidR="008C0C3D" w:rsidRPr="00DF7D72">
        <w:rPr>
          <w:rFonts w:hint="eastAsia"/>
        </w:rPr>
        <w:t>據</w:t>
      </w:r>
      <w:r w:rsidR="008431E5" w:rsidRPr="00DF7D72">
        <w:rPr>
          <w:rFonts w:hint="eastAsia"/>
        </w:rPr>
        <w:t>其所推廣之</w:t>
      </w:r>
      <w:r w:rsidR="00770D31" w:rsidRPr="00DF7D72">
        <w:rPr>
          <w:rFonts w:hint="eastAsia"/>
        </w:rPr>
        <w:t>臺灣良好農業規範（</w:t>
      </w:r>
      <w:r w:rsidR="00C123D6" w:rsidRPr="00DF7D72">
        <w:t>Taiwan Good Agricultural Practice</w:t>
      </w:r>
      <w:r w:rsidR="00C123D6" w:rsidRPr="00DF7D72">
        <w:rPr>
          <w:rFonts w:hint="eastAsia"/>
        </w:rPr>
        <w:t>,</w:t>
      </w:r>
      <w:r w:rsidR="00CE58BF" w:rsidRPr="00DF7D72">
        <w:rPr>
          <w:rFonts w:hint="eastAsia"/>
        </w:rPr>
        <w:t xml:space="preserve"> </w:t>
      </w:r>
      <w:r w:rsidR="00770D31" w:rsidRPr="00DF7D72">
        <w:t>TGAP</w:t>
      </w:r>
      <w:r w:rsidR="00770D31" w:rsidRPr="00DF7D72">
        <w:rPr>
          <w:rFonts w:hint="eastAsia"/>
        </w:rPr>
        <w:t>）</w:t>
      </w:r>
      <w:r w:rsidR="00770D31" w:rsidRPr="00DF7D72">
        <w:t>-</w:t>
      </w:r>
      <w:r w:rsidR="00770D31" w:rsidRPr="00DF7D72">
        <w:rPr>
          <w:rFonts w:hint="eastAsia"/>
        </w:rPr>
        <w:t>家禽：蛋用篇</w:t>
      </w:r>
      <w:r w:rsidR="008C0C3D" w:rsidRPr="00DF7D72">
        <w:rPr>
          <w:rFonts w:hint="eastAsia"/>
        </w:rPr>
        <w:t>中訂有</w:t>
      </w:r>
      <w:r w:rsidR="008C0C3D" w:rsidRPr="00DF7D72">
        <w:rPr>
          <w:rFonts w:ascii="新細明體" w:hAnsi="新細明體" w:hint="eastAsia"/>
        </w:rPr>
        <w:t>「</w:t>
      </w:r>
      <w:r w:rsidR="008C0C3D" w:rsidRPr="00DF7D72">
        <w:rPr>
          <w:rFonts w:hint="eastAsia"/>
        </w:rPr>
        <w:t>標準作業流程」，其</w:t>
      </w:r>
      <w:r w:rsidR="008C0C3D" w:rsidRPr="00DF7D72">
        <w:rPr>
          <w:rFonts w:ascii="新細明體" w:hAnsi="新細明體" w:hint="eastAsia"/>
        </w:rPr>
        <w:t>「</w:t>
      </w:r>
      <w:r w:rsidR="008C0C3D" w:rsidRPr="00DF7D72">
        <w:rPr>
          <w:rFonts w:hint="eastAsia"/>
        </w:rPr>
        <w:t>生產作業」之</w:t>
      </w:r>
      <w:r w:rsidR="008C0C3D" w:rsidRPr="00DF7D72">
        <w:rPr>
          <w:rFonts w:ascii="新細明體" w:hAnsi="新細明體" w:hint="eastAsia"/>
        </w:rPr>
        <w:t>「</w:t>
      </w:r>
      <w:r w:rsidR="008C0C3D" w:rsidRPr="00DF7D72">
        <w:rPr>
          <w:rFonts w:hint="eastAsia"/>
        </w:rPr>
        <w:t>9.禽舍內外定期實施清潔與消毒，並遵守消毒劑與清潔劑使用說明及規定」</w:t>
      </w:r>
      <w:r w:rsidR="00770D31" w:rsidRPr="00DF7D72">
        <w:rPr>
          <w:rFonts w:hint="eastAsia"/>
        </w:rPr>
        <w:t>，且就各生產流程訂有風險</w:t>
      </w:r>
      <w:r w:rsidR="00770D31" w:rsidRPr="00DF7D72">
        <w:rPr>
          <w:rFonts w:hint="eastAsia"/>
        </w:rPr>
        <w:lastRenderedPageBreak/>
        <w:t>管理表，另優良農產品</w:t>
      </w:r>
      <w:r w:rsidR="00471DD7" w:rsidRPr="00DF7D72">
        <w:rPr>
          <w:rFonts w:hint="eastAsia"/>
        </w:rPr>
        <w:t>(</w:t>
      </w:r>
      <w:r w:rsidR="00C123D6" w:rsidRPr="00DF7D72">
        <w:t>Certified Agricultural Standards</w:t>
      </w:r>
      <w:r w:rsidR="00C123D6" w:rsidRPr="00DF7D72">
        <w:rPr>
          <w:rFonts w:hint="eastAsia"/>
        </w:rPr>
        <w:t xml:space="preserve">, </w:t>
      </w:r>
      <w:r w:rsidR="00471DD7" w:rsidRPr="00DF7D72">
        <w:rPr>
          <w:rFonts w:hint="eastAsia"/>
        </w:rPr>
        <w:t>CAS)</w:t>
      </w:r>
      <w:r w:rsidR="00770D31" w:rsidRPr="00DF7D72">
        <w:rPr>
          <w:rFonts w:hint="eastAsia"/>
        </w:rPr>
        <w:t>蛋品項目驗證基準中對於廠區環境及相關設施等加以規範，再查本次驗出芬普尼殘留不合格名單，並未有</w:t>
      </w:r>
      <w:r w:rsidR="00471DD7" w:rsidRPr="00DF7D72">
        <w:rPr>
          <w:rFonts w:hint="eastAsia"/>
        </w:rPr>
        <w:t>優良農產品(CAS)</w:t>
      </w:r>
      <w:r w:rsidR="00770D31" w:rsidRPr="00DF7D72">
        <w:rPr>
          <w:rFonts w:hint="eastAsia"/>
        </w:rPr>
        <w:t>或產銷履歷驗證之畜牧場。顯見蛋雞場良好之環境與衛生管理為安全生產之基礎，加以規範為具可行性並有其必要性，但是截至106年6月止，通過</w:t>
      </w:r>
      <w:r w:rsidR="00471DD7" w:rsidRPr="00DF7D72">
        <w:rPr>
          <w:rFonts w:hint="eastAsia"/>
        </w:rPr>
        <w:t>優良農產品(CAS)</w:t>
      </w:r>
      <w:r w:rsidR="00770D31" w:rsidRPr="00DF7D72">
        <w:rPr>
          <w:rFonts w:hint="eastAsia"/>
        </w:rPr>
        <w:t>驗證之蛋雞業者計有18場，通過產銷履歷驗證者50家，二者合計僅54家</w:t>
      </w:r>
      <w:r w:rsidR="00770D31" w:rsidRPr="00DF7D72">
        <w:rPr>
          <w:rStyle w:val="aff"/>
        </w:rPr>
        <w:footnoteReference w:id="12"/>
      </w:r>
      <w:r w:rsidR="00770D31" w:rsidRPr="00DF7D72">
        <w:rPr>
          <w:rFonts w:hint="eastAsia"/>
        </w:rPr>
        <w:t>，而核准登計之蛋雞場總家數為2,009家，</w:t>
      </w:r>
      <w:r w:rsidR="004A4E84" w:rsidRPr="00DF7D72">
        <w:rPr>
          <w:rFonts w:hint="eastAsia"/>
        </w:rPr>
        <w:t>意謂前2項</w:t>
      </w:r>
      <w:r w:rsidR="00770D31" w:rsidRPr="00DF7D72">
        <w:rPr>
          <w:rFonts w:hint="eastAsia"/>
        </w:rPr>
        <w:t>驗</w:t>
      </w:r>
      <w:r w:rsidR="004A4E84" w:rsidRPr="00DF7D72">
        <w:rPr>
          <w:rFonts w:hint="eastAsia"/>
        </w:rPr>
        <w:t>證</w:t>
      </w:r>
      <w:r w:rsidR="00770D31" w:rsidRPr="00DF7D72">
        <w:rPr>
          <w:rFonts w:hint="eastAsia"/>
        </w:rPr>
        <w:t>之蛋雞場比率極低(2.7%)</w:t>
      </w:r>
      <w:r w:rsidR="001F4771" w:rsidRPr="00DF7D72">
        <w:rPr>
          <w:rFonts w:hint="eastAsia"/>
        </w:rPr>
        <w:t>；</w:t>
      </w:r>
      <w:r w:rsidR="004A4E84" w:rsidRPr="00DF7D72">
        <w:rPr>
          <w:rFonts w:hint="eastAsia"/>
        </w:rPr>
        <w:t>另</w:t>
      </w:r>
      <w:r w:rsidR="00AE4259" w:rsidRPr="00DF7D72">
        <w:rPr>
          <w:rFonts w:hint="eastAsia"/>
        </w:rPr>
        <w:t>以生產量而言，</w:t>
      </w:r>
      <w:r w:rsidR="00AE4259" w:rsidRPr="00DF7D72">
        <w:rPr>
          <w:rFonts w:hint="eastAsia"/>
          <w:szCs w:val="32"/>
        </w:rPr>
        <w:t>產銷履歷驗證及</w:t>
      </w:r>
      <w:r w:rsidR="001F4771" w:rsidRPr="00DF7D72">
        <w:rPr>
          <w:rFonts w:hint="eastAsia"/>
        </w:rPr>
        <w:t>優良農產品(CAS)</w:t>
      </w:r>
      <w:r w:rsidR="00AE4259" w:rsidRPr="00DF7D72">
        <w:rPr>
          <w:rFonts w:hint="eastAsia"/>
          <w:szCs w:val="32"/>
        </w:rPr>
        <w:t>驗證之雞蛋產量約每日1萬箱，亦</w:t>
      </w:r>
      <w:r w:rsidR="004A4E84" w:rsidRPr="00DF7D72">
        <w:rPr>
          <w:rFonts w:hint="eastAsia"/>
          <w:szCs w:val="32"/>
        </w:rPr>
        <w:t>僅</w:t>
      </w:r>
      <w:r w:rsidR="00AE4259" w:rsidRPr="00DF7D72">
        <w:rPr>
          <w:rFonts w:hint="eastAsia"/>
          <w:szCs w:val="32"/>
        </w:rPr>
        <w:t>占國內整體雞蛋每日生產量約10萬箱之1成</w:t>
      </w:r>
      <w:r w:rsidR="004A4E84" w:rsidRPr="00DF7D72">
        <w:rPr>
          <w:rFonts w:hint="eastAsia"/>
          <w:szCs w:val="32"/>
        </w:rPr>
        <w:t>，顯然蛋品驗證制度仍有待積極推動；於此同時，對於</w:t>
      </w:r>
      <w:r w:rsidR="00770D31" w:rsidRPr="00DF7D72">
        <w:rPr>
          <w:rFonts w:hint="eastAsia"/>
        </w:rPr>
        <w:t>對於其他絕大多數之蛋雞場及未達登記規模者，農委會</w:t>
      </w:r>
      <w:r w:rsidR="004A4E84" w:rsidRPr="00DF7D72">
        <w:rPr>
          <w:rFonts w:hint="eastAsia"/>
        </w:rPr>
        <w:t>更應正視其</w:t>
      </w:r>
      <w:r w:rsidR="00770D31" w:rsidRPr="00DF7D72">
        <w:rPr>
          <w:rFonts w:hint="eastAsia"/>
        </w:rPr>
        <w:t>環境衛生問題</w:t>
      </w:r>
      <w:r w:rsidR="004A4E84" w:rsidRPr="00DF7D72">
        <w:rPr>
          <w:rFonts w:hint="eastAsia"/>
        </w:rPr>
        <w:t>，並要求建立衛生管理制度，以根本改善其環境不佳而藥品濫用之疑慮。</w:t>
      </w:r>
    </w:p>
    <w:p w:rsidR="00DF304D" w:rsidRPr="00DF7D72" w:rsidRDefault="00DF304D" w:rsidP="008431E5">
      <w:pPr>
        <w:pStyle w:val="3"/>
      </w:pPr>
      <w:r w:rsidRPr="00DF7D72">
        <w:rPr>
          <w:rFonts w:hint="eastAsia"/>
        </w:rPr>
        <w:t>綜上，農委會對於蛋雞場禽舍所應具備之環境衛生管理，未加以規範，卻僅於</w:t>
      </w:r>
      <w:r w:rsidRPr="00DF7D72">
        <w:rPr>
          <w:rFonts w:hint="eastAsia"/>
          <w:szCs w:val="32"/>
        </w:rPr>
        <w:t>產銷履歷驗證及優良農產品</w:t>
      </w:r>
      <w:r w:rsidRPr="00DF7D72">
        <w:rPr>
          <w:rFonts w:hint="eastAsia"/>
        </w:rPr>
        <w:t>(CAS)</w:t>
      </w:r>
      <w:r w:rsidRPr="00DF7D72">
        <w:rPr>
          <w:rFonts w:hint="eastAsia"/>
          <w:szCs w:val="32"/>
        </w:rPr>
        <w:t>等2項自願性驗證制度中，將禽舍環境衛生納為查核項目，而本事件中具該等驗證之蛋雞場均未檢出芬普尼，但其家數有限且雞蛋產量僅占國內整體產量之1成，是該會允應加強推動蛋品驗證制度，並全面建立蛋雞場</w:t>
      </w:r>
      <w:r w:rsidRPr="00DF7D72">
        <w:rPr>
          <w:rFonts w:hint="eastAsia"/>
        </w:rPr>
        <w:t>之環境衛生管理措施，俾自生產端始即避免農藥噴灑或防止其他污染源之進入，以根本解決因飼養環境不佳而濫用農藥之問題。</w:t>
      </w:r>
    </w:p>
    <w:p w:rsidR="00836707" w:rsidRPr="00DF7D72" w:rsidRDefault="00B76BC1" w:rsidP="00BB3D98">
      <w:pPr>
        <w:pStyle w:val="2"/>
        <w:rPr>
          <w:b/>
        </w:rPr>
      </w:pPr>
      <w:r w:rsidRPr="00DF7D72">
        <w:rPr>
          <w:rFonts w:hint="eastAsia"/>
          <w:b/>
        </w:rPr>
        <w:t>農委會</w:t>
      </w:r>
      <w:r w:rsidR="001F4771" w:rsidRPr="00DF7D72">
        <w:rPr>
          <w:rFonts w:hint="eastAsia"/>
          <w:b/>
        </w:rPr>
        <w:t>雖</w:t>
      </w:r>
      <w:r w:rsidR="001E6818" w:rsidRPr="00DF7D72">
        <w:rPr>
          <w:rFonts w:hint="eastAsia"/>
          <w:b/>
        </w:rPr>
        <w:t>有</w:t>
      </w:r>
      <w:r w:rsidRPr="00DF7D72">
        <w:rPr>
          <w:rFonts w:hint="eastAsia"/>
          <w:b/>
        </w:rPr>
        <w:t>推動雞蛋溯源標示制度</w:t>
      </w:r>
      <w:r w:rsidR="00E0195D" w:rsidRPr="00DF7D72">
        <w:rPr>
          <w:rFonts w:hint="eastAsia"/>
          <w:b/>
        </w:rPr>
        <w:t>，然本事件</w:t>
      </w:r>
      <w:r w:rsidR="002904D8" w:rsidRPr="00DF7D72">
        <w:rPr>
          <w:rFonts w:hint="eastAsia"/>
          <w:b/>
        </w:rPr>
        <w:t>之初</w:t>
      </w:r>
      <w:r w:rsidR="00DF304D" w:rsidRPr="00DF7D72">
        <w:rPr>
          <w:rFonts w:hint="eastAsia"/>
          <w:b/>
        </w:rPr>
        <w:t>仍</w:t>
      </w:r>
      <w:r w:rsidR="00E0195D" w:rsidRPr="00DF7D72">
        <w:rPr>
          <w:rFonts w:hint="eastAsia"/>
          <w:b/>
        </w:rPr>
        <w:lastRenderedPageBreak/>
        <w:t>發生有蛋商換蛋致流向不明</w:t>
      </w:r>
      <w:r w:rsidR="00643511" w:rsidRPr="00DF7D72">
        <w:rPr>
          <w:rFonts w:hint="eastAsia"/>
          <w:b/>
        </w:rPr>
        <w:t>情事</w:t>
      </w:r>
      <w:r w:rsidR="00E0195D" w:rsidRPr="00DF7D72">
        <w:rPr>
          <w:rFonts w:hint="eastAsia"/>
          <w:b/>
        </w:rPr>
        <w:t>，</w:t>
      </w:r>
      <w:r w:rsidR="00643511" w:rsidRPr="00DF7D72">
        <w:rPr>
          <w:rFonts w:hint="eastAsia"/>
          <w:b/>
        </w:rPr>
        <w:t>嗣後</w:t>
      </w:r>
      <w:r w:rsidR="001F4771" w:rsidRPr="00DF7D72">
        <w:rPr>
          <w:rFonts w:hint="eastAsia"/>
          <w:b/>
        </w:rPr>
        <w:t>雖經業者發現而得以追蹤其流向</w:t>
      </w:r>
      <w:r w:rsidR="00BB3D98" w:rsidRPr="00DF7D72">
        <w:rPr>
          <w:rFonts w:hint="eastAsia"/>
          <w:b/>
        </w:rPr>
        <w:t>，但已</w:t>
      </w:r>
      <w:r w:rsidR="001F4771" w:rsidRPr="00DF7D72">
        <w:rPr>
          <w:rFonts w:hint="eastAsia"/>
          <w:b/>
        </w:rPr>
        <w:t>凸</w:t>
      </w:r>
      <w:r w:rsidR="00643511" w:rsidRPr="00DF7D72">
        <w:rPr>
          <w:rFonts w:hint="eastAsia"/>
          <w:b/>
        </w:rPr>
        <w:t>顯雞蛋溯源之盲點，</w:t>
      </w:r>
      <w:r w:rsidR="002A4447" w:rsidRPr="00DF7D72">
        <w:rPr>
          <w:rFonts w:hint="eastAsia"/>
          <w:b/>
        </w:rPr>
        <w:t>該會</w:t>
      </w:r>
      <w:r w:rsidR="00DF304D" w:rsidRPr="00DF7D72">
        <w:rPr>
          <w:rFonts w:hint="eastAsia"/>
          <w:b/>
        </w:rPr>
        <w:t>及</w:t>
      </w:r>
      <w:r w:rsidR="001327EF" w:rsidRPr="00DF7D72">
        <w:rPr>
          <w:rFonts w:hint="eastAsia"/>
          <w:b/>
        </w:rPr>
        <w:t>食藥署</w:t>
      </w:r>
      <w:r w:rsidR="00DF304D" w:rsidRPr="00DF7D72">
        <w:rPr>
          <w:rFonts w:hint="eastAsia"/>
          <w:b/>
        </w:rPr>
        <w:t>分別</w:t>
      </w:r>
      <w:r w:rsidR="001327EF" w:rsidRPr="00DF7D72">
        <w:rPr>
          <w:rFonts w:hint="eastAsia"/>
          <w:b/>
        </w:rPr>
        <w:t>負責牧場</w:t>
      </w:r>
      <w:r w:rsidR="00643511" w:rsidRPr="00DF7D72">
        <w:rPr>
          <w:rFonts w:hint="eastAsia"/>
          <w:b/>
        </w:rPr>
        <w:t>端</w:t>
      </w:r>
      <w:r w:rsidR="001327EF" w:rsidRPr="00DF7D72">
        <w:rPr>
          <w:rFonts w:hint="eastAsia"/>
          <w:b/>
        </w:rPr>
        <w:t>及後市場</w:t>
      </w:r>
      <w:r w:rsidR="00643511" w:rsidRPr="00DF7D72">
        <w:rPr>
          <w:rFonts w:hint="eastAsia"/>
          <w:b/>
        </w:rPr>
        <w:t>端（</w:t>
      </w:r>
      <w:r w:rsidR="001327EF" w:rsidRPr="00DF7D72">
        <w:rPr>
          <w:rFonts w:hint="eastAsia"/>
          <w:b/>
        </w:rPr>
        <w:t>通路及零</w:t>
      </w:r>
      <w:r w:rsidR="00643511" w:rsidRPr="00DF7D72">
        <w:rPr>
          <w:rFonts w:hint="eastAsia"/>
          <w:b/>
        </w:rPr>
        <w:t>售</w:t>
      </w:r>
      <w:r w:rsidR="001327EF" w:rsidRPr="00DF7D72">
        <w:rPr>
          <w:rFonts w:hint="eastAsia"/>
          <w:b/>
        </w:rPr>
        <w:t>市場</w:t>
      </w:r>
      <w:r w:rsidR="00643511" w:rsidRPr="00DF7D72">
        <w:rPr>
          <w:rFonts w:hint="eastAsia"/>
          <w:b/>
        </w:rPr>
        <w:t>）</w:t>
      </w:r>
      <w:r w:rsidR="00DF304D" w:rsidRPr="00DF7D72">
        <w:rPr>
          <w:rFonts w:hint="eastAsia"/>
          <w:b/>
        </w:rPr>
        <w:t>之流向追蹤確認</w:t>
      </w:r>
      <w:r w:rsidR="001327EF" w:rsidRPr="00DF7D72">
        <w:rPr>
          <w:rFonts w:hint="eastAsia"/>
          <w:b/>
        </w:rPr>
        <w:t>，</w:t>
      </w:r>
      <w:r w:rsidR="00DF304D" w:rsidRPr="00DF7D72">
        <w:rPr>
          <w:rFonts w:hint="eastAsia"/>
          <w:b/>
        </w:rPr>
        <w:t>自</w:t>
      </w:r>
      <w:r w:rsidR="00643511" w:rsidRPr="00DF7D72">
        <w:rPr>
          <w:rFonts w:hint="eastAsia"/>
          <w:b/>
        </w:rPr>
        <w:t>應正視並</w:t>
      </w:r>
      <w:r w:rsidR="001327EF" w:rsidRPr="00DF7D72">
        <w:rPr>
          <w:rFonts w:hint="eastAsia"/>
          <w:b/>
        </w:rPr>
        <w:t>檢討溯源管理及流向紀錄等</w:t>
      </w:r>
      <w:r w:rsidR="002F0074" w:rsidRPr="00DF7D72">
        <w:rPr>
          <w:rFonts w:hint="eastAsia"/>
          <w:b/>
        </w:rPr>
        <w:t>制度</w:t>
      </w:r>
      <w:r w:rsidR="001327EF" w:rsidRPr="00DF7D72">
        <w:rPr>
          <w:rFonts w:hint="eastAsia"/>
          <w:b/>
        </w:rPr>
        <w:t>，</w:t>
      </w:r>
      <w:r w:rsidR="002F0074" w:rsidRPr="00DF7D72">
        <w:rPr>
          <w:rFonts w:hint="eastAsia"/>
          <w:b/>
        </w:rPr>
        <w:t>確保可</w:t>
      </w:r>
      <w:r w:rsidR="00B55733" w:rsidRPr="00DF7D72">
        <w:rPr>
          <w:rFonts w:hint="eastAsia"/>
          <w:b/>
        </w:rPr>
        <w:t>及時追查其</w:t>
      </w:r>
      <w:r w:rsidR="002F0074" w:rsidRPr="00DF7D72">
        <w:rPr>
          <w:rFonts w:hint="eastAsia"/>
          <w:b/>
        </w:rPr>
        <w:t>產品</w:t>
      </w:r>
      <w:r w:rsidR="00B55733" w:rsidRPr="00DF7D72">
        <w:rPr>
          <w:rFonts w:hint="eastAsia"/>
          <w:b/>
        </w:rPr>
        <w:t>流向，</w:t>
      </w:r>
      <w:r w:rsidR="002F0074" w:rsidRPr="00DF7D72">
        <w:rPr>
          <w:rFonts w:hint="eastAsia"/>
          <w:b/>
        </w:rPr>
        <w:t>以</w:t>
      </w:r>
      <w:r w:rsidR="001327EF" w:rsidRPr="00DF7D72">
        <w:rPr>
          <w:rFonts w:hint="eastAsia"/>
          <w:b/>
        </w:rPr>
        <w:t>免</w:t>
      </w:r>
      <w:r w:rsidR="002F0074" w:rsidRPr="00DF7D72">
        <w:rPr>
          <w:rFonts w:hint="eastAsia"/>
          <w:b/>
        </w:rPr>
        <w:t>徒增</w:t>
      </w:r>
      <w:r w:rsidR="00DF304D" w:rsidRPr="00DF7D72">
        <w:rPr>
          <w:rFonts w:hint="eastAsia"/>
          <w:b/>
        </w:rPr>
        <w:t>消費者</w:t>
      </w:r>
      <w:r w:rsidR="00B55733" w:rsidRPr="00DF7D72">
        <w:rPr>
          <w:rFonts w:hint="eastAsia"/>
          <w:b/>
        </w:rPr>
        <w:t>食安疑慮。</w:t>
      </w:r>
    </w:p>
    <w:p w:rsidR="0042078B" w:rsidRPr="00DF7D72" w:rsidRDefault="00B76BC1" w:rsidP="001F4771">
      <w:pPr>
        <w:pStyle w:val="3"/>
        <w:rPr>
          <w:strike/>
        </w:rPr>
      </w:pPr>
      <w:r w:rsidRPr="00DF7D72">
        <w:rPr>
          <w:rFonts w:hint="eastAsia"/>
        </w:rPr>
        <w:t>農委會</w:t>
      </w:r>
      <w:r w:rsidR="001F4771" w:rsidRPr="00DF7D72">
        <w:rPr>
          <w:rFonts w:hint="eastAsia"/>
        </w:rPr>
        <w:t>鑑</w:t>
      </w:r>
      <w:r w:rsidRPr="00DF7D72">
        <w:rPr>
          <w:rFonts w:hint="eastAsia"/>
        </w:rPr>
        <w:t>於雞蛋為國人飲食消費之重要民生物品，為提升蛋品品質及維護國人健康，針對過去散裝零售蛋，每逢市售蛋品查有雞蛋藥物殘留不符規定案件，無法於包材上追溯雞蛋來源畜牧場，以加強案例場源頭管理與輔導工作，</w:t>
      </w:r>
      <w:r w:rsidR="002A4447" w:rsidRPr="00DF7D72">
        <w:rPr>
          <w:rFonts w:hint="eastAsia"/>
        </w:rPr>
        <w:t>爰</w:t>
      </w:r>
      <w:r w:rsidRPr="00DF7D72">
        <w:rPr>
          <w:rFonts w:hint="eastAsia"/>
        </w:rPr>
        <w:t>自104年9月1日起，全面推動散裝雞蛋溯源標示制度，蛋雞場所產散裝雞蛋必須逐箱黏貼雞蛋溯源標籤貼紙，始能交付運輸或蛋商業者，溯源標籤標示有來源畜牧場名稱、二維條碼（QR code）、畜牧場個別溯源碼及保鮮日期，消費者亦可即時透過手機掃描或至臺灣雞蛋溯源系統查詢網站（http://www.Tafte–poultry.org.</w:t>
      </w:r>
      <w:r w:rsidR="008A73F3" w:rsidRPr="00DF7D72">
        <w:rPr>
          <w:rFonts w:hint="eastAsia"/>
        </w:rPr>
        <w:t xml:space="preserve"> </w:t>
      </w:r>
      <w:r w:rsidRPr="00DF7D72">
        <w:rPr>
          <w:rFonts w:hint="eastAsia"/>
        </w:rPr>
        <w:t>tw），查詢雞蛋來源畜牧場相關資訊。</w:t>
      </w:r>
    </w:p>
    <w:p w:rsidR="00D25FA7" w:rsidRPr="00DF7D72" w:rsidRDefault="00E0195D" w:rsidP="001F4771">
      <w:pPr>
        <w:pStyle w:val="3"/>
        <w:rPr>
          <w:strike/>
        </w:rPr>
      </w:pPr>
      <w:r w:rsidRPr="00DF7D72">
        <w:rPr>
          <w:rFonts w:hint="eastAsia"/>
        </w:rPr>
        <w:t>農委會表示，</w:t>
      </w:r>
      <w:r w:rsidR="00B76BC1" w:rsidRPr="00DF7D72">
        <w:rPr>
          <w:rFonts w:hint="eastAsia"/>
          <w:lang w:val="x-none" w:eastAsia="x-none"/>
        </w:rPr>
        <w:t>雞蛋溯源管理制度屬於計畫形式辦理</w:t>
      </w:r>
      <w:r w:rsidR="002A4447" w:rsidRPr="00DF7D72">
        <w:rPr>
          <w:rFonts w:hint="eastAsia"/>
          <w:lang w:val="x-none"/>
        </w:rPr>
        <w:t>(</w:t>
      </w:r>
      <w:r w:rsidR="00DF304D" w:rsidRPr="00DF7D72">
        <w:rPr>
          <w:rFonts w:hint="eastAsia"/>
          <w:lang w:val="x-none"/>
        </w:rPr>
        <w:t>即</w:t>
      </w:r>
      <w:r w:rsidR="002A4447" w:rsidRPr="00DF7D72">
        <w:rPr>
          <w:rFonts w:hint="eastAsia"/>
          <w:lang w:val="x-none"/>
        </w:rPr>
        <w:t>無法源</w:t>
      </w:r>
      <w:r w:rsidR="00DF304D" w:rsidRPr="00DF7D72">
        <w:rPr>
          <w:rFonts w:hint="eastAsia"/>
          <w:lang w:val="x-none"/>
        </w:rPr>
        <w:t>依據</w:t>
      </w:r>
      <w:r w:rsidR="002A4447" w:rsidRPr="00DF7D72">
        <w:rPr>
          <w:rFonts w:hint="eastAsia"/>
          <w:lang w:val="x-none"/>
        </w:rPr>
        <w:t>)</w:t>
      </w:r>
      <w:r w:rsidR="00B76BC1" w:rsidRPr="00DF7D72">
        <w:rPr>
          <w:rFonts w:hint="eastAsia"/>
          <w:lang w:val="x-none" w:eastAsia="x-none"/>
        </w:rPr>
        <w:t>，規範蛋雞場於出場前應</w:t>
      </w:r>
      <w:r w:rsidR="00B76BC1" w:rsidRPr="00DF7D72">
        <w:rPr>
          <w:rFonts w:hint="eastAsia"/>
          <w:lang w:val="x-none"/>
        </w:rPr>
        <w:t>以</w:t>
      </w:r>
      <w:r w:rsidR="00B76BC1" w:rsidRPr="00DF7D72">
        <w:rPr>
          <w:rFonts w:hint="eastAsia"/>
          <w:lang w:val="x-none" w:eastAsia="x-none"/>
        </w:rPr>
        <w:t>箱為單位黏貼溯源貼紙，且一箱只能黏貼一張，不得重</w:t>
      </w:r>
      <w:r w:rsidR="002A4447" w:rsidRPr="00DF7D72">
        <w:rPr>
          <w:rFonts w:hint="eastAsia"/>
          <w:lang w:val="x-none"/>
        </w:rPr>
        <w:t>複</w:t>
      </w:r>
      <w:r w:rsidR="00B76BC1" w:rsidRPr="00DF7D72">
        <w:rPr>
          <w:rFonts w:hint="eastAsia"/>
          <w:lang w:val="x-none" w:eastAsia="x-none"/>
        </w:rPr>
        <w:t>黏貼，並應黏貼於固定位置</w:t>
      </w:r>
      <w:r w:rsidR="002A4447" w:rsidRPr="00DF7D72">
        <w:rPr>
          <w:rFonts w:hint="eastAsia"/>
          <w:lang w:val="x-none"/>
        </w:rPr>
        <w:t>；</w:t>
      </w:r>
      <w:r w:rsidR="00043036" w:rsidRPr="00DF7D72">
        <w:rPr>
          <w:rFonts w:hint="eastAsia"/>
          <w:lang w:val="x-none"/>
        </w:rPr>
        <w:t>該制度</w:t>
      </w:r>
      <w:r w:rsidRPr="00DF7D72">
        <w:rPr>
          <w:rFonts w:hint="eastAsia"/>
          <w:lang w:val="x-none" w:eastAsia="x-none"/>
        </w:rPr>
        <w:t>屬於計畫形式</w:t>
      </w:r>
      <w:r w:rsidR="00B76BC1" w:rsidRPr="00DF7D72">
        <w:rPr>
          <w:rFonts w:hint="eastAsia"/>
          <w:lang w:val="x-none" w:eastAsia="x-none"/>
        </w:rPr>
        <w:t>雖無行政罰則，</w:t>
      </w:r>
      <w:r w:rsidR="00B76BC1" w:rsidRPr="00DF7D72">
        <w:rPr>
          <w:rFonts w:hint="eastAsia"/>
          <w:lang w:val="x-none"/>
        </w:rPr>
        <w:t>經</w:t>
      </w:r>
      <w:r w:rsidR="00B76BC1" w:rsidRPr="00DF7D72">
        <w:rPr>
          <w:rFonts w:hint="eastAsia"/>
          <w:lang w:val="x-none" w:eastAsia="x-none"/>
        </w:rPr>
        <w:t>輔導推動下，與蛋商取得共識對未貼標籤貼紙之雞蛋，蛋商不予收蛋，且蛋商也考量食安事件流向管制責任，不願貿然收受未黏貼溯源貼紙蛋雞場之雞蛋，故蛋雞場均領有溯源貼紙可追溯來源畜牧場</w:t>
      </w:r>
      <w:r w:rsidR="002A4447" w:rsidRPr="00DF7D72">
        <w:rPr>
          <w:rFonts w:hint="eastAsia"/>
          <w:lang w:val="x-none"/>
        </w:rPr>
        <w:t>；另</w:t>
      </w:r>
      <w:r w:rsidR="00043036" w:rsidRPr="00DF7D72">
        <w:rPr>
          <w:rFonts w:hint="eastAsia"/>
          <w:lang w:val="x-none"/>
        </w:rPr>
        <w:t>蛋雞</w:t>
      </w:r>
      <w:r w:rsidR="00B76BC1" w:rsidRPr="00DF7D72">
        <w:rPr>
          <w:rFonts w:hint="eastAsia"/>
          <w:lang w:val="x-none" w:eastAsia="x-none"/>
        </w:rPr>
        <w:t>場內生產之雞蛋均為自家生產之雞蛋，為單一來源，標籤由中華民國養雞協會逐一寄送，具有專一性，故無所謂互換標籤之可能性</w:t>
      </w:r>
      <w:r w:rsidR="002A4447" w:rsidRPr="00DF7D72">
        <w:rPr>
          <w:rFonts w:hint="eastAsia"/>
          <w:lang w:val="x-none"/>
        </w:rPr>
        <w:t>；</w:t>
      </w:r>
      <w:r w:rsidR="00043036" w:rsidRPr="00DF7D72">
        <w:rPr>
          <w:rFonts w:hint="eastAsia"/>
          <w:lang w:val="x-none"/>
        </w:rPr>
        <w:t>該</w:t>
      </w:r>
      <w:r w:rsidR="00B76BC1" w:rsidRPr="00DF7D72">
        <w:rPr>
          <w:rFonts w:hint="eastAsia"/>
          <w:lang w:val="x-none" w:eastAsia="x-none"/>
        </w:rPr>
        <w:t>會要求蛋雞場黏貼之溯</w:t>
      </w:r>
      <w:r w:rsidR="00B76BC1" w:rsidRPr="00DF7D72">
        <w:rPr>
          <w:rFonts w:hint="eastAsia"/>
          <w:lang w:val="x-none" w:eastAsia="x-none"/>
        </w:rPr>
        <w:lastRenderedPageBreak/>
        <w:t>源貼紙，具有相當程度之黏性，不容易隨意撕下，且將貼紙撕除時容易造成破損，另貼紙背面具有防偽標示，業者無法任意進行仿造</w:t>
      </w:r>
      <w:r w:rsidR="00E01ACD" w:rsidRPr="00DF7D72">
        <w:rPr>
          <w:rFonts w:hint="eastAsia"/>
          <w:lang w:val="x-none"/>
        </w:rPr>
        <w:t>；</w:t>
      </w:r>
      <w:r w:rsidR="001F4771" w:rsidRPr="00DF7D72">
        <w:rPr>
          <w:rFonts w:hint="eastAsia"/>
          <w:lang w:val="x-none"/>
        </w:rPr>
        <w:t>惟實際執行上，</w:t>
      </w:r>
      <w:r w:rsidR="002A4447" w:rsidRPr="00DF7D72">
        <w:rPr>
          <w:rFonts w:hint="eastAsia"/>
          <w:lang w:val="x-none"/>
        </w:rPr>
        <w:t>仍</w:t>
      </w:r>
      <w:r w:rsidR="001F4771" w:rsidRPr="00DF7D72">
        <w:rPr>
          <w:rFonts w:hint="eastAsia"/>
          <w:lang w:val="x-none"/>
        </w:rPr>
        <w:t>發現</w:t>
      </w:r>
      <w:r w:rsidR="00B76BC1" w:rsidRPr="00DF7D72">
        <w:rPr>
          <w:rFonts w:hint="eastAsia"/>
          <w:lang w:val="x-none" w:eastAsia="x-none"/>
        </w:rPr>
        <w:t>有未黏貼溯源標籤、重</w:t>
      </w:r>
      <w:r w:rsidR="002A4447" w:rsidRPr="00DF7D72">
        <w:rPr>
          <w:rFonts w:hint="eastAsia"/>
          <w:lang w:val="x-none"/>
        </w:rPr>
        <w:t>複</w:t>
      </w:r>
      <w:r w:rsidR="00B76BC1" w:rsidRPr="00DF7D72">
        <w:rPr>
          <w:rFonts w:hint="eastAsia"/>
          <w:lang w:val="x-none" w:eastAsia="x-none"/>
        </w:rPr>
        <w:t>黏貼、標示內容不完整及黏貼位置不正確等缺失，</w:t>
      </w:r>
      <w:r w:rsidR="00B76BC1" w:rsidRPr="00DF7D72">
        <w:rPr>
          <w:rFonts w:hint="eastAsia"/>
          <w:lang w:val="x-none"/>
        </w:rPr>
        <w:t>農委</w:t>
      </w:r>
      <w:r w:rsidR="00B76BC1" w:rsidRPr="00DF7D72">
        <w:rPr>
          <w:rFonts w:hint="eastAsia"/>
          <w:lang w:val="x-none" w:eastAsia="x-none"/>
        </w:rPr>
        <w:t>會除透過</w:t>
      </w:r>
      <w:r w:rsidR="001F4771" w:rsidRPr="00DF7D72">
        <w:rPr>
          <w:rFonts w:hint="eastAsia"/>
          <w:lang w:val="x-none" w:eastAsia="x-none"/>
        </w:rPr>
        <w:t>財團法人中央畜產會</w:t>
      </w:r>
      <w:r w:rsidR="00B76BC1" w:rsidRPr="00DF7D72">
        <w:rPr>
          <w:rFonts w:hint="eastAsia"/>
          <w:lang w:val="x-none" w:eastAsia="x-none"/>
        </w:rPr>
        <w:t>、中華民國養雞協會進行例行性查核外，</w:t>
      </w:r>
      <w:r w:rsidR="00B76BC1" w:rsidRPr="00DF7D72">
        <w:rPr>
          <w:rFonts w:hint="eastAsia"/>
          <w:lang w:val="x-none"/>
        </w:rPr>
        <w:t>106</w:t>
      </w:r>
      <w:r w:rsidR="00B76BC1" w:rsidRPr="00DF7D72">
        <w:rPr>
          <w:rFonts w:hint="eastAsia"/>
          <w:lang w:val="x-none" w:eastAsia="x-none"/>
        </w:rPr>
        <w:t>年度為加強管理及輔導，亦請地方政府加入協助畜牧場端雞蛋溯源貼紙黏貼情形之查核，辦理行政檢查輔導工作，務求落實一蛋箱一標籤之溯源標籤管理制度，於</w:t>
      </w:r>
      <w:r w:rsidR="00B76BC1" w:rsidRPr="00DF7D72">
        <w:rPr>
          <w:rFonts w:hint="eastAsia"/>
          <w:lang w:val="x-none"/>
        </w:rPr>
        <w:t>106</w:t>
      </w:r>
      <w:r w:rsidR="00B76BC1" w:rsidRPr="00DF7D72">
        <w:rPr>
          <w:rFonts w:hint="eastAsia"/>
          <w:lang w:val="x-none" w:eastAsia="x-none"/>
        </w:rPr>
        <w:t>年8月份以後，黏貼情形已大幅改善</w:t>
      </w:r>
      <w:r w:rsidR="00E01ACD" w:rsidRPr="00DF7D72">
        <w:rPr>
          <w:rFonts w:hint="eastAsia"/>
          <w:lang w:val="x-none"/>
        </w:rPr>
        <w:t>等語</w:t>
      </w:r>
      <w:r w:rsidR="00B76BC1" w:rsidRPr="00DF7D72">
        <w:rPr>
          <w:rFonts w:hint="eastAsia"/>
          <w:lang w:val="x-none" w:eastAsia="x-none"/>
        </w:rPr>
        <w:t>。</w:t>
      </w:r>
    </w:p>
    <w:p w:rsidR="00E0195D" w:rsidRPr="00DF7D72" w:rsidRDefault="00043036" w:rsidP="00043036">
      <w:pPr>
        <w:pStyle w:val="3"/>
      </w:pPr>
      <w:r w:rsidRPr="00DF7D72">
        <w:rPr>
          <w:rFonts w:hint="eastAsia"/>
        </w:rPr>
        <w:t>惟據</w:t>
      </w:r>
      <w:r w:rsidR="00E0195D" w:rsidRPr="00DF7D72">
        <w:rPr>
          <w:rFonts w:hint="eastAsia"/>
        </w:rPr>
        <w:t>農委會查復</w:t>
      </w:r>
      <w:r w:rsidR="00643511" w:rsidRPr="00DF7D72">
        <w:rPr>
          <w:rFonts w:hint="eastAsia"/>
        </w:rPr>
        <w:t>，</w:t>
      </w:r>
      <w:r w:rsidR="00E0195D" w:rsidRPr="00DF7D72">
        <w:rPr>
          <w:rFonts w:hint="eastAsia"/>
        </w:rPr>
        <w:t>該會與食藥署各司其職進行分工，食藥署</w:t>
      </w:r>
      <w:r w:rsidR="00643511" w:rsidRPr="00DF7D72">
        <w:rPr>
          <w:rFonts w:hint="eastAsia"/>
        </w:rPr>
        <w:t>於本</w:t>
      </w:r>
      <w:r w:rsidR="00E01ACD" w:rsidRPr="00DF7D72">
        <w:rPr>
          <w:rFonts w:hint="eastAsia"/>
        </w:rPr>
        <w:t>事件</w:t>
      </w:r>
      <w:r w:rsidR="00E0195D" w:rsidRPr="00DF7D72">
        <w:rPr>
          <w:rFonts w:hint="eastAsia"/>
        </w:rPr>
        <w:t>追查不合格蛋品流向時，發現彰化縣欣</w:t>
      </w:r>
      <w:r w:rsidR="002904D8" w:rsidRPr="00DF7D72">
        <w:rPr>
          <w:rFonts w:hAnsi="標楷體" w:hint="eastAsia"/>
        </w:rPr>
        <w:t>○</w:t>
      </w:r>
      <w:r w:rsidR="00E0195D" w:rsidRPr="00DF7D72">
        <w:rPr>
          <w:rFonts w:hint="eastAsia"/>
        </w:rPr>
        <w:t>畜牧場下游「萇</w:t>
      </w:r>
      <w:r w:rsidR="002904D8" w:rsidRPr="00DF7D72">
        <w:rPr>
          <w:rFonts w:hAnsi="標楷體" w:hint="eastAsia"/>
        </w:rPr>
        <w:t>○○</w:t>
      </w:r>
      <w:r w:rsidR="00E0195D" w:rsidRPr="00DF7D72">
        <w:rPr>
          <w:rFonts w:hint="eastAsia"/>
        </w:rPr>
        <w:t>安蛋品有限公司」約3,600公斤(約60,000顆)雞蛋與嘉義縣「鑫</w:t>
      </w:r>
      <w:r w:rsidR="002904D8" w:rsidRPr="00DF7D72">
        <w:rPr>
          <w:rFonts w:hAnsi="標楷體" w:hint="eastAsia"/>
        </w:rPr>
        <w:t>○○</w:t>
      </w:r>
      <w:r w:rsidR="00E0195D" w:rsidRPr="00DF7D72">
        <w:rPr>
          <w:rFonts w:hint="eastAsia"/>
        </w:rPr>
        <w:t>蛋品有限公司」有換蛋情事，因「鑫</w:t>
      </w:r>
      <w:r w:rsidR="002904D8" w:rsidRPr="00DF7D72">
        <w:rPr>
          <w:rFonts w:hAnsi="標楷體" w:hint="eastAsia"/>
        </w:rPr>
        <w:t>○○</w:t>
      </w:r>
      <w:r w:rsidR="00E0195D" w:rsidRPr="00DF7D72">
        <w:rPr>
          <w:rFonts w:hint="eastAsia"/>
        </w:rPr>
        <w:t>蛋品有限公司」為南區鮮蛋聯合轉運中心，該公司無法交代流向，</w:t>
      </w:r>
      <w:r w:rsidR="001F4771" w:rsidRPr="00DF7D72">
        <w:rPr>
          <w:rFonts w:hint="eastAsia"/>
        </w:rPr>
        <w:t>交</w:t>
      </w:r>
      <w:r w:rsidR="00E0195D" w:rsidRPr="00DF7D72">
        <w:rPr>
          <w:rFonts w:hint="eastAsia"/>
        </w:rPr>
        <w:t>由嘉義縣衛生局移請</w:t>
      </w:r>
      <w:r w:rsidR="00E0195D" w:rsidRPr="00DF7D72">
        <w:rPr>
          <w:rStyle w:val="aff"/>
        </w:rPr>
        <w:footnoteReference w:id="13"/>
      </w:r>
      <w:r w:rsidR="00CB3BCD" w:rsidRPr="00DF7D72">
        <w:rPr>
          <w:rFonts w:hint="eastAsia"/>
        </w:rPr>
        <w:t>法務部調查局嘉義縣</w:t>
      </w:r>
      <w:r w:rsidR="00E0195D" w:rsidRPr="00DF7D72">
        <w:rPr>
          <w:rFonts w:hint="eastAsia"/>
        </w:rPr>
        <w:t>調查站釐清載蛋之下游貨主</w:t>
      </w:r>
      <w:r w:rsidR="00E01ACD" w:rsidRPr="00DF7D72">
        <w:rPr>
          <w:rFonts w:hint="eastAsia"/>
        </w:rPr>
        <w:t>；</w:t>
      </w:r>
      <w:r w:rsidR="00E0195D" w:rsidRPr="00DF7D72">
        <w:rPr>
          <w:rFonts w:hint="eastAsia"/>
        </w:rPr>
        <w:t>另「鑫</w:t>
      </w:r>
      <w:r w:rsidR="002904D8" w:rsidRPr="00DF7D72">
        <w:rPr>
          <w:rFonts w:hAnsi="標楷體" w:hint="eastAsia"/>
        </w:rPr>
        <w:t>○○</w:t>
      </w:r>
      <w:r w:rsidR="00E0195D" w:rsidRPr="00DF7D72">
        <w:rPr>
          <w:rFonts w:hint="eastAsia"/>
        </w:rPr>
        <w:t>蛋品有限公司」因無法提供下游交易對象，涉嫌違反食品安全衛生管理法第47條第11款，衛生單位得對其依法處新臺幣3萬元以上300萬元以下罰鍰。</w:t>
      </w:r>
    </w:p>
    <w:p w:rsidR="00E0195D" w:rsidRPr="00DF7D72" w:rsidRDefault="002904D8" w:rsidP="00043036">
      <w:pPr>
        <w:pStyle w:val="3"/>
      </w:pPr>
      <w:r w:rsidRPr="00DF7D72">
        <w:rPr>
          <w:rFonts w:ascii="Times New Roman" w:hAnsi="Times New Roman" w:hint="eastAsia"/>
          <w:szCs w:val="32"/>
        </w:rPr>
        <w:t>嗣後</w:t>
      </w:r>
      <w:r w:rsidR="00E0195D" w:rsidRPr="00DF7D72">
        <w:rPr>
          <w:rFonts w:ascii="Times New Roman" w:hAnsi="Times New Roman" w:hint="eastAsia"/>
          <w:szCs w:val="32"/>
        </w:rPr>
        <w:t>食藥署表示，本案經</w:t>
      </w:r>
      <w:r w:rsidR="00E0195D" w:rsidRPr="00DF7D72">
        <w:rPr>
          <w:rFonts w:hint="eastAsia"/>
        </w:rPr>
        <w:t>苗栗縣賴姓蛋行業者於</w:t>
      </w:r>
      <w:r w:rsidR="00E01ACD" w:rsidRPr="00DF7D72">
        <w:rPr>
          <w:rFonts w:hint="eastAsia"/>
        </w:rPr>
        <w:t>106年</w:t>
      </w:r>
      <w:r w:rsidR="00E0195D" w:rsidRPr="00DF7D72">
        <w:rPr>
          <w:rFonts w:hint="eastAsia"/>
        </w:rPr>
        <w:t>8月31日約17</w:t>
      </w:r>
      <w:r w:rsidR="001F4771" w:rsidRPr="00DF7D72">
        <w:rPr>
          <w:rFonts w:hint="eastAsia"/>
        </w:rPr>
        <w:t>至</w:t>
      </w:r>
      <w:r w:rsidR="00E0195D" w:rsidRPr="00DF7D72">
        <w:rPr>
          <w:rFonts w:hint="eastAsia"/>
        </w:rPr>
        <w:t>18時至其倉庫取貨，發現倉庫內有雞蛋外籃之QR code為欣</w:t>
      </w:r>
      <w:r w:rsidRPr="00DF7D72">
        <w:rPr>
          <w:rFonts w:hAnsi="標楷體" w:hint="eastAsia"/>
        </w:rPr>
        <w:t>○</w:t>
      </w:r>
      <w:r w:rsidR="00E0195D" w:rsidRPr="00DF7D72">
        <w:rPr>
          <w:rFonts w:hint="eastAsia"/>
        </w:rPr>
        <w:t>畜牧場之蛋品，隨即通知上游業者「鑫</w:t>
      </w:r>
      <w:r w:rsidRPr="00DF7D72">
        <w:rPr>
          <w:rFonts w:hAnsi="標楷體" w:hint="eastAsia"/>
        </w:rPr>
        <w:t>○○</w:t>
      </w:r>
      <w:r w:rsidR="00E0195D" w:rsidRPr="00DF7D72">
        <w:rPr>
          <w:rFonts w:hint="eastAsia"/>
        </w:rPr>
        <w:t>蛋品有限公司」。嘉義縣衛生局後續於106年8月31日晚間11時接獲「鑫</w:t>
      </w:r>
      <w:r w:rsidRPr="00DF7D72">
        <w:rPr>
          <w:rFonts w:hAnsi="標楷體" w:hint="eastAsia"/>
        </w:rPr>
        <w:t>○○</w:t>
      </w:r>
      <w:r w:rsidR="00E0195D" w:rsidRPr="00DF7D72">
        <w:rPr>
          <w:rFonts w:hint="eastAsia"/>
        </w:rPr>
        <w:t>蛋品有限公司」民雄倉庫負責人通報，於苗栗縣竹南鎮賴</w:t>
      </w:r>
      <w:r w:rsidR="00E0195D" w:rsidRPr="00DF7D72">
        <w:rPr>
          <w:rFonts w:hint="eastAsia"/>
        </w:rPr>
        <w:lastRenderedPageBreak/>
        <w:t>姓蛋商倉庫發現蛋品，嘉義縣衛生局遂於106年9月1日配合政風人員並會同苗栗縣政府衛生局前往賴姓蛋商倉庫查核，確認現場210箱(20台斤/箱)蛋品為欣</w:t>
      </w:r>
      <w:r w:rsidR="00E01ACD" w:rsidRPr="00DF7D72">
        <w:rPr>
          <w:rFonts w:hAnsi="標楷體" w:hint="eastAsia"/>
        </w:rPr>
        <w:t>○</w:t>
      </w:r>
      <w:r w:rsidR="00E0195D" w:rsidRPr="00DF7D72">
        <w:rPr>
          <w:rFonts w:hint="eastAsia"/>
        </w:rPr>
        <w:t>畜牧場蛋品，爰由苗栗縣衛生局現場予以封存，並退回桃園市「萇</w:t>
      </w:r>
      <w:r w:rsidR="00643511" w:rsidRPr="00DF7D72">
        <w:rPr>
          <w:rFonts w:hAnsi="標楷體" w:hint="eastAsia"/>
        </w:rPr>
        <w:t>○○</w:t>
      </w:r>
      <w:r w:rsidR="00E0195D" w:rsidRPr="00DF7D72">
        <w:rPr>
          <w:rFonts w:hint="eastAsia"/>
        </w:rPr>
        <w:t>安蛋品有限公司」。惟退運過程中，工作人員不慎將15箱雞蛋打破，爰退回數量為完整195箱及破損15箱蛋品。嘉義縣衛生局並就找到蛋品流向乙事發布新聞稿，指出本案交易模式以蛋換蛋，因無任何交易憑單，僅有電話紀錄，全案除移請</w:t>
      </w:r>
      <w:r w:rsidR="00114D24" w:rsidRPr="00DF7D72">
        <w:rPr>
          <w:rFonts w:hint="eastAsia"/>
        </w:rPr>
        <w:t>法務部調查局</w:t>
      </w:r>
      <w:r w:rsidR="00E0195D" w:rsidRPr="00DF7D72">
        <w:rPr>
          <w:rFonts w:hint="eastAsia"/>
        </w:rPr>
        <w:t>嘉義縣調查站協助偵辦，另畜牧處表示會與蛋雞場業者開會檢討包括換蛋造成溯源的問題</w:t>
      </w:r>
      <w:r w:rsidR="00102E66" w:rsidRPr="00DF7D72">
        <w:rPr>
          <w:rFonts w:hint="eastAsia"/>
        </w:rPr>
        <w:t>等云云</w:t>
      </w:r>
      <w:r w:rsidR="00E0195D" w:rsidRPr="00DF7D72">
        <w:rPr>
          <w:rFonts w:hint="eastAsia"/>
        </w:rPr>
        <w:t>。</w:t>
      </w:r>
      <w:r w:rsidR="00CD2602" w:rsidRPr="00DF7D72">
        <w:rPr>
          <w:rFonts w:hint="eastAsia"/>
        </w:rPr>
        <w:t>顯示本事件蛋品流向不明係</w:t>
      </w:r>
      <w:r w:rsidR="00D27BA1" w:rsidRPr="00DF7D72">
        <w:rPr>
          <w:rFonts w:hint="eastAsia"/>
        </w:rPr>
        <w:t>經</w:t>
      </w:r>
      <w:r w:rsidR="00CD2602" w:rsidRPr="00DF7D72">
        <w:rPr>
          <w:rFonts w:hint="eastAsia"/>
        </w:rPr>
        <w:t>相關業者自行發現，交易模式更無從追查，</w:t>
      </w:r>
      <w:r w:rsidR="00D27BA1" w:rsidRPr="00DF7D72">
        <w:rPr>
          <w:rFonts w:hint="eastAsia"/>
        </w:rPr>
        <w:t>地方政府</w:t>
      </w:r>
      <w:r w:rsidR="00CD2602" w:rsidRPr="00DF7D72">
        <w:rPr>
          <w:rFonts w:hint="eastAsia"/>
        </w:rPr>
        <w:t>移由檢調協助，農委會事後與業者檢討蛋品交易之作業模式，在在顯示</w:t>
      </w:r>
      <w:r w:rsidR="00D27BA1" w:rsidRPr="00DF7D72">
        <w:rPr>
          <w:rFonts w:hint="eastAsia"/>
        </w:rPr>
        <w:t>該會推動</w:t>
      </w:r>
      <w:r w:rsidR="00CD2602" w:rsidRPr="00DF7D72">
        <w:rPr>
          <w:rFonts w:hint="eastAsia"/>
        </w:rPr>
        <w:t>雞蛋溯源制度之盲點。</w:t>
      </w:r>
    </w:p>
    <w:p w:rsidR="002F0074" w:rsidRPr="00DF7D72" w:rsidRDefault="002904D8" w:rsidP="002904D8">
      <w:pPr>
        <w:pStyle w:val="3"/>
      </w:pPr>
      <w:r w:rsidRPr="00DF7D72">
        <w:rPr>
          <w:rFonts w:hint="eastAsia"/>
        </w:rPr>
        <w:t>揆諸本事件蛋商換蛋</w:t>
      </w:r>
      <w:r w:rsidR="00643511" w:rsidRPr="00DF7D72">
        <w:rPr>
          <w:rFonts w:hint="eastAsia"/>
        </w:rPr>
        <w:t>衍生蛋品</w:t>
      </w:r>
      <w:r w:rsidRPr="00DF7D72">
        <w:rPr>
          <w:rFonts w:hint="eastAsia"/>
        </w:rPr>
        <w:t>溯源</w:t>
      </w:r>
      <w:r w:rsidR="00643511" w:rsidRPr="00DF7D72">
        <w:rPr>
          <w:rFonts w:hint="eastAsia"/>
        </w:rPr>
        <w:t>有中斷或未能及時追查，甚且仍賴檢調偵辦</w:t>
      </w:r>
      <w:r w:rsidR="0024535C" w:rsidRPr="00DF7D72">
        <w:rPr>
          <w:rFonts w:hint="eastAsia"/>
        </w:rPr>
        <w:t>；而本事件前</w:t>
      </w:r>
      <w:r w:rsidR="00916B15" w:rsidRPr="00DF7D72">
        <w:rPr>
          <w:rFonts w:hint="eastAsia"/>
        </w:rPr>
        <w:t>於106年4月</w:t>
      </w:r>
      <w:r w:rsidR="0024535C" w:rsidRPr="00DF7D72">
        <w:rPr>
          <w:rFonts w:hint="eastAsia"/>
        </w:rPr>
        <w:t>所發生之戴奧辛污染雞蛋事件</w:t>
      </w:r>
      <w:r w:rsidR="00916B15" w:rsidRPr="00DF7D72">
        <w:rPr>
          <w:rStyle w:val="aff"/>
        </w:rPr>
        <w:footnoteReference w:id="14"/>
      </w:r>
      <w:r w:rsidR="00916B15" w:rsidRPr="00DF7D72">
        <w:rPr>
          <w:rFonts w:hint="eastAsia"/>
        </w:rPr>
        <w:t>，</w:t>
      </w:r>
      <w:r w:rsidR="00C31B77" w:rsidRPr="00DF7D72">
        <w:rPr>
          <w:rFonts w:hint="eastAsia"/>
        </w:rPr>
        <w:t>即已</w:t>
      </w:r>
      <w:r w:rsidR="0024535C" w:rsidRPr="00DF7D72">
        <w:rPr>
          <w:rFonts w:hint="eastAsia"/>
        </w:rPr>
        <w:t>有雞蛋無法確認來源</w:t>
      </w:r>
      <w:r w:rsidR="00916B15" w:rsidRPr="00DF7D72">
        <w:rPr>
          <w:rFonts w:hint="eastAsia"/>
        </w:rPr>
        <w:t>牧場</w:t>
      </w:r>
      <w:r w:rsidR="0024535C" w:rsidRPr="00DF7D72">
        <w:rPr>
          <w:rFonts w:hint="eastAsia"/>
        </w:rPr>
        <w:t>，</w:t>
      </w:r>
      <w:r w:rsidR="00C31B77" w:rsidRPr="00DF7D72">
        <w:rPr>
          <w:rFonts w:hint="eastAsia"/>
        </w:rPr>
        <w:t>豈料於4個月後（即本事件106年8月）再</w:t>
      </w:r>
      <w:r w:rsidR="00921996" w:rsidRPr="00DF7D72">
        <w:rPr>
          <w:rFonts w:hint="eastAsia"/>
        </w:rPr>
        <w:t>度</w:t>
      </w:r>
      <w:r w:rsidR="00C31B77" w:rsidRPr="00DF7D72">
        <w:rPr>
          <w:rFonts w:hint="eastAsia"/>
        </w:rPr>
        <w:t>發生蛋品</w:t>
      </w:r>
      <w:r w:rsidR="00916B15" w:rsidRPr="00DF7D72">
        <w:rPr>
          <w:rFonts w:hint="eastAsia"/>
        </w:rPr>
        <w:t>運送</w:t>
      </w:r>
      <w:r w:rsidR="00C31B77" w:rsidRPr="00DF7D72">
        <w:rPr>
          <w:rFonts w:hint="eastAsia"/>
        </w:rPr>
        <w:t>下游</w:t>
      </w:r>
      <w:r w:rsidR="00921996" w:rsidRPr="00DF7D72">
        <w:rPr>
          <w:rFonts w:hint="eastAsia"/>
        </w:rPr>
        <w:t>貨主</w:t>
      </w:r>
      <w:r w:rsidR="00C31B77" w:rsidRPr="00DF7D72">
        <w:rPr>
          <w:rFonts w:hint="eastAsia"/>
        </w:rPr>
        <w:t>不明</w:t>
      </w:r>
      <w:r w:rsidR="00102E66" w:rsidRPr="00DF7D72">
        <w:rPr>
          <w:rFonts w:hint="eastAsia"/>
        </w:rPr>
        <w:t>情形</w:t>
      </w:r>
      <w:r w:rsidR="00C31B77" w:rsidRPr="00DF7D72">
        <w:rPr>
          <w:rFonts w:hint="eastAsia"/>
        </w:rPr>
        <w:t>，顯然</w:t>
      </w:r>
      <w:r w:rsidR="00916B15" w:rsidRPr="00DF7D72">
        <w:rPr>
          <w:rFonts w:hint="eastAsia"/>
        </w:rPr>
        <w:t>雞蛋溯源標示制度</w:t>
      </w:r>
      <w:r w:rsidR="00CE58BF" w:rsidRPr="00DF7D72">
        <w:rPr>
          <w:rFonts w:hint="eastAsia"/>
        </w:rPr>
        <w:t>推動迄今竟</w:t>
      </w:r>
      <w:r w:rsidR="00916B15" w:rsidRPr="00DF7D72">
        <w:rPr>
          <w:rFonts w:hint="eastAsia"/>
        </w:rPr>
        <w:t>無法追查其上下游之流向。</w:t>
      </w:r>
      <w:r w:rsidR="00643511" w:rsidRPr="00DF7D72">
        <w:rPr>
          <w:rFonts w:hint="eastAsia"/>
        </w:rPr>
        <w:t>而</w:t>
      </w:r>
      <w:r w:rsidRPr="00DF7D72">
        <w:rPr>
          <w:rFonts w:hint="eastAsia"/>
        </w:rPr>
        <w:t>農委會、食藥署</w:t>
      </w:r>
      <w:r w:rsidR="00916B15" w:rsidRPr="00DF7D72">
        <w:rPr>
          <w:rFonts w:hint="eastAsia"/>
        </w:rPr>
        <w:t>於本事件均</w:t>
      </w:r>
      <w:r w:rsidRPr="00DF7D72">
        <w:rPr>
          <w:rFonts w:hint="eastAsia"/>
        </w:rPr>
        <w:t>表示蛋商基於商業需要，偶有換蛋情事，屬正常之商業行為，惟應清楚交代雞蛋來源及流向，該會並已籲請蛋商換蛋應以「箱」為單位，不得於箱籃中隨意挑選，破壞雞蛋溯源系統。然而換蛋之交易模式由來己久，其係為商品尺寸齊一及販售之目的，除非自牧場端</w:t>
      </w:r>
      <w:r w:rsidRPr="00DF7D72">
        <w:rPr>
          <w:rFonts w:hint="eastAsia"/>
        </w:rPr>
        <w:lastRenderedPageBreak/>
        <w:t>即已分類，否則難以確保蛋商係以「箱」為單位進行更換</w:t>
      </w:r>
      <w:r w:rsidR="001327EF" w:rsidRPr="00DF7D72">
        <w:rPr>
          <w:rFonts w:hint="eastAsia"/>
        </w:rPr>
        <w:t>，且據本案諮詢專家學者亦表示</w:t>
      </w:r>
      <w:r w:rsidR="001327EF" w:rsidRPr="00DF7D72">
        <w:rPr>
          <w:rFonts w:hAnsi="標楷體" w:hint="eastAsia"/>
        </w:rPr>
        <w:t>「</w:t>
      </w:r>
      <w:r w:rsidR="001327EF" w:rsidRPr="00DF7D72">
        <w:rPr>
          <w:rFonts w:hint="eastAsia"/>
        </w:rPr>
        <w:t>合理上換蛋是要一箱一箱換，而事實上可能一顆一顆換</w:t>
      </w:r>
      <w:r w:rsidR="001327EF" w:rsidRPr="00DF7D72">
        <w:rPr>
          <w:rFonts w:hAnsi="標楷體" w:hint="eastAsia"/>
        </w:rPr>
        <w:t>」</w:t>
      </w:r>
      <w:r w:rsidR="000F212A" w:rsidRPr="00DF7D72">
        <w:rPr>
          <w:rFonts w:hint="eastAsia"/>
        </w:rPr>
        <w:t>；</w:t>
      </w:r>
      <w:r w:rsidR="00643511" w:rsidRPr="00DF7D72">
        <w:rPr>
          <w:rFonts w:hint="eastAsia"/>
        </w:rPr>
        <w:t>再者，本案換蛋</w:t>
      </w:r>
      <w:r w:rsidR="001327EF" w:rsidRPr="00DF7D72">
        <w:rPr>
          <w:rFonts w:hint="eastAsia"/>
        </w:rPr>
        <w:t>交易模式</w:t>
      </w:r>
      <w:r w:rsidR="00643511" w:rsidRPr="00DF7D72">
        <w:rPr>
          <w:rFonts w:hint="eastAsia"/>
        </w:rPr>
        <w:t>僅有電話紀錄，實際換蛋方式及其數量等，</w:t>
      </w:r>
      <w:r w:rsidR="001327EF" w:rsidRPr="00DF7D72">
        <w:rPr>
          <w:rFonts w:hint="eastAsia"/>
        </w:rPr>
        <w:t>更難以追查</w:t>
      </w:r>
      <w:r w:rsidR="00643511" w:rsidRPr="00DF7D72">
        <w:rPr>
          <w:rFonts w:hint="eastAsia"/>
        </w:rPr>
        <w:t>確認</w:t>
      </w:r>
      <w:r w:rsidR="002F0074" w:rsidRPr="00DF7D72">
        <w:rPr>
          <w:rFonts w:hint="eastAsia"/>
        </w:rPr>
        <w:t>。農委會及食藥署分別負責牧場端及後市場端（通路及零售市場）</w:t>
      </w:r>
      <w:r w:rsidR="00916B15" w:rsidRPr="00DF7D72">
        <w:rPr>
          <w:rFonts w:hint="eastAsia"/>
        </w:rPr>
        <w:t>之流向追蹤確認</w:t>
      </w:r>
      <w:r w:rsidR="002F0074" w:rsidRPr="00DF7D72">
        <w:rPr>
          <w:rFonts w:hint="eastAsia"/>
        </w:rPr>
        <w:t>，</w:t>
      </w:r>
      <w:r w:rsidR="00916B15" w:rsidRPr="00DF7D72">
        <w:rPr>
          <w:rFonts w:hint="eastAsia"/>
        </w:rPr>
        <w:t>自應正視並檢討溯源管理及流向紀錄等制度，確保可及時追查其產品流向，以免徒增消費者食安疑慮。</w:t>
      </w:r>
    </w:p>
    <w:p w:rsidR="00D25FA7" w:rsidRPr="00DF7D72" w:rsidRDefault="00CF4D52" w:rsidP="00DE4238">
      <w:pPr>
        <w:pStyle w:val="2"/>
        <w:rPr>
          <w:b/>
        </w:rPr>
      </w:pPr>
      <w:r w:rsidRPr="00DF7D72">
        <w:rPr>
          <w:rFonts w:hint="eastAsia"/>
          <w:b/>
        </w:rPr>
        <w:t>衛福部</w:t>
      </w:r>
      <w:r w:rsidR="00D25FA7" w:rsidRPr="00DF7D72">
        <w:rPr>
          <w:rFonts w:hint="eastAsia"/>
          <w:b/>
        </w:rPr>
        <w:t>與農委會</w:t>
      </w:r>
      <w:r w:rsidR="00BB3D98" w:rsidRPr="00DF7D72">
        <w:rPr>
          <w:rFonts w:hint="eastAsia"/>
          <w:b/>
        </w:rPr>
        <w:t>已</w:t>
      </w:r>
      <w:r w:rsidR="00D25FA7" w:rsidRPr="00DF7D72">
        <w:rPr>
          <w:rFonts w:hint="eastAsia"/>
          <w:b/>
        </w:rPr>
        <w:t>於</w:t>
      </w:r>
      <w:r w:rsidRPr="00DF7D72">
        <w:rPr>
          <w:rFonts w:hint="eastAsia"/>
          <w:b/>
        </w:rPr>
        <w:t>106年11月27日召開「食品衛生安全與營養諮議會」、「農藥技術諮議會」</w:t>
      </w:r>
      <w:r w:rsidR="00D25FA7" w:rsidRPr="00DF7D72">
        <w:rPr>
          <w:rFonts w:hint="eastAsia"/>
          <w:b/>
        </w:rPr>
        <w:t>聯席會議</w:t>
      </w:r>
      <w:r w:rsidRPr="00DF7D72">
        <w:rPr>
          <w:rFonts w:hint="eastAsia"/>
          <w:b/>
        </w:rPr>
        <w:t>，決議</w:t>
      </w:r>
      <w:r w:rsidR="00D25FA7" w:rsidRPr="00DF7D72">
        <w:rPr>
          <w:rFonts w:hint="eastAsia"/>
          <w:b/>
        </w:rPr>
        <w:t>雞蛋殘留芬普尼標準為10ppb</w:t>
      </w:r>
      <w:r w:rsidR="00AA4B49" w:rsidRPr="00DF7D72">
        <w:rPr>
          <w:rFonts w:hint="eastAsia"/>
          <w:b/>
        </w:rPr>
        <w:t>，同時刪除</w:t>
      </w:r>
      <w:r w:rsidRPr="00DF7D72">
        <w:rPr>
          <w:rFonts w:hint="eastAsia"/>
          <w:b/>
        </w:rPr>
        <w:t>芬普尼於</w:t>
      </w:r>
      <w:r w:rsidR="00AA4B49" w:rsidRPr="00DF7D72">
        <w:rPr>
          <w:rFonts w:hint="eastAsia"/>
          <w:b/>
        </w:rPr>
        <w:t>其他5樣蔬果之殘留標準，</w:t>
      </w:r>
      <w:r w:rsidR="00A04C86" w:rsidRPr="00DF7D72">
        <w:rPr>
          <w:rFonts w:hint="eastAsia"/>
          <w:b/>
        </w:rPr>
        <w:t>即使</w:t>
      </w:r>
      <w:r w:rsidR="000C582B" w:rsidRPr="00DF7D72">
        <w:rPr>
          <w:rFonts w:hint="eastAsia"/>
          <w:b/>
        </w:rPr>
        <w:t>已</w:t>
      </w:r>
      <w:r w:rsidR="00A04C86" w:rsidRPr="00DF7D72">
        <w:rPr>
          <w:rFonts w:hint="eastAsia"/>
          <w:b/>
        </w:rPr>
        <w:t>獲致共識，但仍</w:t>
      </w:r>
      <w:r w:rsidR="00BB3D98" w:rsidRPr="00DF7D72">
        <w:rPr>
          <w:rFonts w:hint="eastAsia"/>
          <w:b/>
        </w:rPr>
        <w:t>應</w:t>
      </w:r>
      <w:r w:rsidRPr="00DF7D72">
        <w:rPr>
          <w:rFonts w:hint="eastAsia"/>
          <w:b/>
        </w:rPr>
        <w:t>持</w:t>
      </w:r>
      <w:r w:rsidR="00160A36" w:rsidRPr="00DF7D72">
        <w:rPr>
          <w:rFonts w:hint="eastAsia"/>
          <w:b/>
        </w:rPr>
        <w:t>續</w:t>
      </w:r>
      <w:r w:rsidRPr="00DF7D72">
        <w:rPr>
          <w:rFonts w:hint="eastAsia"/>
          <w:b/>
        </w:rPr>
        <w:t>檢討其他可能之芬普尼來源，確保國人</w:t>
      </w:r>
      <w:r w:rsidR="00226AAB" w:rsidRPr="00DF7D72">
        <w:rPr>
          <w:rFonts w:hint="eastAsia"/>
          <w:b/>
        </w:rPr>
        <w:t>攝取風險不致超出</w:t>
      </w:r>
      <w:r w:rsidRPr="00DF7D72">
        <w:rPr>
          <w:rFonts w:hint="eastAsia"/>
          <w:b/>
        </w:rPr>
        <w:t>每日容許攝食量</w:t>
      </w:r>
      <w:r w:rsidR="00160A36" w:rsidRPr="00DF7D72">
        <w:rPr>
          <w:rFonts w:hint="eastAsia"/>
          <w:b/>
        </w:rPr>
        <w:t>標準。</w:t>
      </w:r>
    </w:p>
    <w:p w:rsidR="00073CB5" w:rsidRPr="00DF7D72" w:rsidRDefault="000B20AE" w:rsidP="00AD5F06">
      <w:pPr>
        <w:pStyle w:val="3"/>
      </w:pPr>
      <w:r w:rsidRPr="00DF7D72">
        <w:rPr>
          <w:rFonts w:hint="eastAsia"/>
        </w:rPr>
        <w:t>本事件發生</w:t>
      </w:r>
      <w:r w:rsidR="00160A36" w:rsidRPr="00DF7D72">
        <w:rPr>
          <w:rFonts w:hint="eastAsia"/>
        </w:rPr>
        <w:t>之初</w:t>
      </w:r>
      <w:r w:rsidRPr="00DF7D72">
        <w:rPr>
          <w:rFonts w:hint="eastAsia"/>
        </w:rPr>
        <w:t>，</w:t>
      </w:r>
      <w:r w:rsidR="00130413" w:rsidRPr="00DF7D72">
        <w:rPr>
          <w:rFonts w:hint="eastAsia"/>
        </w:rPr>
        <w:t>食藥署</w:t>
      </w:r>
      <w:r w:rsidR="00160A36" w:rsidRPr="00DF7D72">
        <w:rPr>
          <w:rFonts w:hint="eastAsia"/>
        </w:rPr>
        <w:t>依據歐盟法規</w:t>
      </w:r>
      <w:r w:rsidR="00226AAB" w:rsidRPr="00DF7D72">
        <w:rPr>
          <w:rStyle w:val="aff"/>
        </w:rPr>
        <w:footnoteReference w:id="15"/>
      </w:r>
      <w:r w:rsidR="00160A36" w:rsidRPr="00DF7D72">
        <w:rPr>
          <w:rFonts w:hint="eastAsia"/>
        </w:rPr>
        <w:t>訂定</w:t>
      </w:r>
      <w:r w:rsidRPr="00DF7D72">
        <w:rPr>
          <w:rFonts w:hint="eastAsia"/>
        </w:rPr>
        <w:t>雞蛋</w:t>
      </w:r>
      <w:r w:rsidR="00160A36" w:rsidRPr="00DF7D72">
        <w:rPr>
          <w:rFonts w:hint="eastAsia"/>
        </w:rPr>
        <w:t>芬普尼</w:t>
      </w:r>
      <w:r w:rsidRPr="00DF7D72">
        <w:rPr>
          <w:rFonts w:hint="eastAsia"/>
        </w:rPr>
        <w:t>定量極限值為5ppb</w:t>
      </w:r>
      <w:r w:rsidR="00130413" w:rsidRPr="00DF7D72">
        <w:rPr>
          <w:rStyle w:val="aff"/>
        </w:rPr>
        <w:footnoteReference w:id="16"/>
      </w:r>
      <w:r w:rsidR="00AD5F06" w:rsidRPr="00DF7D72">
        <w:rPr>
          <w:rFonts w:hint="eastAsia"/>
        </w:rPr>
        <w:t>。又據農委會查復，國際上農藥殘留農產品容許量標準之訂定原則主要係考量各種暴露來源以評估是否會有殘留之可能，並非單以監測背景值資料評估是否須訂定農藥殘留</w:t>
      </w:r>
      <w:r w:rsidR="00AD5F06" w:rsidRPr="00DF7D72">
        <w:rPr>
          <w:rFonts w:hint="eastAsia"/>
        </w:rPr>
        <w:lastRenderedPageBreak/>
        <w:t>容許量。動物性產品中農藥殘留之評估，根據飼料作物有該藥物之合法使用方法及具相關容許量標準，則該農藥即有殘留於相關飼料作物之風險，再被產食動物攝入，最後再經由消費者食入可能殘留芬普尼之動物產品，那麼即需要評估是否訂定容許量標準。而衛福部則表示，歐盟訂定雞蛋中芬普尼之殘留容許量(5 ppb)，主要係合併考量各項農作物之用藥需求，及植物產品與動物產品中殘留之芬普尼，進行攝食安全評估，並訂定適當之限量標準，確保消費者農藥之總攝入量不超過每日容許攝入量為原則。由於歐盟目前並未核准飼料作物可使用芬普尼，故雞隻由飼料中攝入芬普尼之機率較低，因此以檢驗方法之定量極限作為雞蛋中芬普尼殘留容許量標準。我國因飼料作物多為進口，進口國之飼料作物如核准使用芬普尼，則雞隻由膳食飼料即可能攝入之殘留農藥芬普尼，經代謝後進入蛋品中，可能造成蛋品中含有芬普尼殘留，故歐盟標準不一定適用臺灣之實際狀況。</w:t>
      </w:r>
    </w:p>
    <w:p w:rsidR="000B20AE" w:rsidRPr="00DF7D72" w:rsidRDefault="000B20AE" w:rsidP="00146E52">
      <w:pPr>
        <w:pStyle w:val="3"/>
      </w:pPr>
      <w:r w:rsidRPr="00DF7D72">
        <w:rPr>
          <w:rFonts w:hint="eastAsia"/>
        </w:rPr>
        <w:t>為因應國內雞蛋檢出農用藥劑芬普尼引起各界關注，行政院於106年9月21日責令衛福部、農委會儘速完成雞蛋芬普尼殘留量標準訂定的法定程序，使畜牧業者能有所遵循，食藥署於106年9月22日接獲藥毒所提供芬普尼於動物產品殘留容許量標準評估報告，於106年10月3日送請食品衛生安全與營養諮議會書面審查，並於106年11月27日召開衛生福利部「食品衛生安全與營養諮議會」與防檢局「農藥技術諮議會」聯席會議討論。該評估報告針對家禽蛋中芬普尼之建議容許量為0.01 ppm</w:t>
      </w:r>
      <w:r w:rsidR="00A04C86" w:rsidRPr="00DF7D72">
        <w:rPr>
          <w:rStyle w:val="aff"/>
        </w:rPr>
        <w:footnoteReference w:id="17"/>
      </w:r>
      <w:r w:rsidRPr="00DF7D72">
        <w:rPr>
          <w:rFonts w:hint="eastAsia"/>
        </w:rPr>
        <w:t>，依國人每</w:t>
      </w:r>
      <w:r w:rsidRPr="00DF7D72">
        <w:rPr>
          <w:rFonts w:hint="eastAsia"/>
        </w:rPr>
        <w:lastRenderedPageBreak/>
        <w:t>人每日平均取食量及60公斤成人進行評估，芬普尼於家禽蛋之估算總攝取量約2.47%</w:t>
      </w:r>
      <w:r w:rsidR="00102E66" w:rsidRPr="00DF7D72">
        <w:rPr>
          <w:rFonts w:hint="eastAsia"/>
        </w:rPr>
        <w:t xml:space="preserve"> </w:t>
      </w:r>
      <w:r w:rsidRPr="00DF7D72">
        <w:rPr>
          <w:rFonts w:hint="eastAsia"/>
        </w:rPr>
        <w:t>ADI</w:t>
      </w:r>
      <w:r w:rsidR="00A9659C" w:rsidRPr="00DF7D72">
        <w:rPr>
          <w:rFonts w:hint="eastAsia"/>
        </w:rPr>
        <w:t>（Acceptable Daily Intake, ADI）</w:t>
      </w:r>
      <w:r w:rsidRPr="00DF7D72">
        <w:rPr>
          <w:rFonts w:hint="eastAsia"/>
        </w:rPr>
        <w:t>，食藥署另將刪除芬普尼於紅豆、包葉菜類、茄子、小黃瓜及芒果等5品項之殘留容許量，與刪除後之植物性產品之估算總攝取量合計為35.82%</w:t>
      </w:r>
      <w:r w:rsidR="00A9659C" w:rsidRPr="00DF7D72">
        <w:rPr>
          <w:rFonts w:hint="eastAsia"/>
        </w:rPr>
        <w:t xml:space="preserve"> ADI</w:t>
      </w:r>
      <w:r w:rsidR="00A04C86" w:rsidRPr="00DF7D72">
        <w:rPr>
          <w:rStyle w:val="aff"/>
        </w:rPr>
        <w:footnoteReference w:id="18"/>
      </w:r>
      <w:r w:rsidRPr="00DF7D72">
        <w:rPr>
          <w:rFonts w:hint="eastAsia"/>
        </w:rPr>
        <w:t>。經與會委員充分溝通討論，依據現行科學證據，考量飼料中芬普尼殘留之可能性，委員同意增訂家禽蛋中芬普尼之殘留容許量為0.01 ppm；另請農委會持續追查國內蛋品檢出芬普尼之來源及原因，以消除消費者疑義</w:t>
      </w:r>
      <w:r w:rsidRPr="00DF7D72">
        <w:rPr>
          <w:rStyle w:val="aff"/>
        </w:rPr>
        <w:footnoteReference w:id="19"/>
      </w:r>
      <w:r w:rsidRPr="00DF7D72">
        <w:rPr>
          <w:rFonts w:hint="eastAsia"/>
        </w:rPr>
        <w:t>。食藥署後續將依行政程序預告禽蛋中芬普尼殘留容許量標準草案，廣徵各界意見。</w:t>
      </w:r>
    </w:p>
    <w:p w:rsidR="000B20AE" w:rsidRPr="00DF7D72" w:rsidRDefault="00146E52" w:rsidP="006A08E9">
      <w:pPr>
        <w:pStyle w:val="3"/>
      </w:pPr>
      <w:r w:rsidRPr="00DF7D72">
        <w:rPr>
          <w:rFonts w:hint="eastAsia"/>
        </w:rPr>
        <w:t>據本院諮詢專家學者表示略以</w:t>
      </w:r>
      <w:r w:rsidR="00BF20D0" w:rsidRPr="00DF7D72">
        <w:rPr>
          <w:rFonts w:hint="eastAsia"/>
        </w:rPr>
        <w:t>：</w:t>
      </w:r>
      <w:r w:rsidR="00785A7C" w:rsidRPr="00DF7D72">
        <w:rPr>
          <w:rFonts w:hint="eastAsia"/>
        </w:rPr>
        <w:t>歐盟於2006年之</w:t>
      </w:r>
      <w:r w:rsidR="006A08E9" w:rsidRPr="00DF7D72">
        <w:rPr>
          <w:rFonts w:hint="eastAsia"/>
        </w:rPr>
        <w:t>雞蛋芬普尼</w:t>
      </w:r>
      <w:r w:rsidR="00785A7C" w:rsidRPr="00DF7D72">
        <w:rPr>
          <w:rFonts w:hint="eastAsia"/>
        </w:rPr>
        <w:t>殘留標準為20ppb，2014年調整為15ppb，調整原因就是以ADI來考量</w:t>
      </w:r>
      <w:r w:rsidR="006A08E9" w:rsidRPr="00DF7D72">
        <w:rPr>
          <w:rFonts w:hint="eastAsia"/>
        </w:rPr>
        <w:t>，係因2012年德國針對馬鈴薯蟲害而申請緊急使用，故逐步調降殘留標準至2017年為5ppb，且</w:t>
      </w:r>
      <w:r w:rsidR="00785A7C" w:rsidRPr="00DF7D72">
        <w:rPr>
          <w:rFonts w:hint="eastAsia"/>
        </w:rPr>
        <w:t>標準調降</w:t>
      </w:r>
      <w:r w:rsidR="006A08E9" w:rsidRPr="00DF7D72">
        <w:rPr>
          <w:rFonts w:hint="eastAsia"/>
        </w:rPr>
        <w:t>同時</w:t>
      </w:r>
      <w:r w:rsidR="00785A7C" w:rsidRPr="00DF7D72">
        <w:rPr>
          <w:rFonts w:hint="eastAsia"/>
        </w:rPr>
        <w:t>考量</w:t>
      </w:r>
      <w:r w:rsidR="006A08E9" w:rsidRPr="00DF7D72">
        <w:rPr>
          <w:rFonts w:hint="eastAsia"/>
        </w:rPr>
        <w:t>以</w:t>
      </w:r>
      <w:r w:rsidR="00785A7C" w:rsidRPr="00DF7D72">
        <w:rPr>
          <w:rFonts w:hint="eastAsia"/>
        </w:rPr>
        <w:t>時間來</w:t>
      </w:r>
      <w:r w:rsidR="006A08E9" w:rsidRPr="00DF7D72">
        <w:rPr>
          <w:rFonts w:hint="eastAsia"/>
        </w:rPr>
        <w:t>降解</w:t>
      </w:r>
      <w:r w:rsidR="00785A7C" w:rsidRPr="00DF7D72">
        <w:rPr>
          <w:rFonts w:hint="eastAsia"/>
        </w:rPr>
        <w:t>環境中所殘留的</w:t>
      </w:r>
      <w:r w:rsidR="006A08E9" w:rsidRPr="00DF7D72">
        <w:rPr>
          <w:rFonts w:hint="eastAsia"/>
        </w:rPr>
        <w:t>芬普尼</w:t>
      </w:r>
      <w:r w:rsidR="00785A7C" w:rsidRPr="00DF7D72">
        <w:rPr>
          <w:rFonts w:hint="eastAsia"/>
        </w:rPr>
        <w:t>，</w:t>
      </w:r>
      <w:r w:rsidR="006A08E9" w:rsidRPr="00DF7D72">
        <w:rPr>
          <w:rFonts w:hint="eastAsia"/>
        </w:rPr>
        <w:t>例如</w:t>
      </w:r>
      <w:r w:rsidR="00785A7C" w:rsidRPr="00DF7D72">
        <w:rPr>
          <w:rFonts w:hint="eastAsia"/>
        </w:rPr>
        <w:t>在2014時禁止玉米或部分作物使用芬普尼，故須有各</w:t>
      </w:r>
      <w:r w:rsidR="006A08E9" w:rsidRPr="00DF7D72">
        <w:rPr>
          <w:rFonts w:hint="eastAsia"/>
        </w:rPr>
        <w:t>項</w:t>
      </w:r>
      <w:r w:rsidR="00785A7C" w:rsidRPr="00DF7D72">
        <w:rPr>
          <w:rFonts w:hint="eastAsia"/>
        </w:rPr>
        <w:t>配套措施</w:t>
      </w:r>
      <w:r w:rsidR="006A08E9" w:rsidRPr="00DF7D72">
        <w:rPr>
          <w:rFonts w:hint="eastAsia"/>
        </w:rPr>
        <w:t>；</w:t>
      </w:r>
      <w:r w:rsidR="00785A7C" w:rsidRPr="00DF7D72">
        <w:rPr>
          <w:rFonts w:hint="eastAsia"/>
        </w:rPr>
        <w:t>日本</w:t>
      </w:r>
      <w:r w:rsidR="006A08E9" w:rsidRPr="00DF7D72">
        <w:rPr>
          <w:rFonts w:hint="eastAsia"/>
        </w:rPr>
        <w:t>禁止</w:t>
      </w:r>
      <w:r w:rsidR="00785A7C" w:rsidRPr="00DF7D72">
        <w:rPr>
          <w:rFonts w:hint="eastAsia"/>
        </w:rPr>
        <w:t>芬普尼於田間使用，但因進品飼料給雞隻食用，故仍可能於雞蛋中殘留，</w:t>
      </w:r>
      <w:r w:rsidR="006A08E9" w:rsidRPr="00DF7D72">
        <w:rPr>
          <w:rFonts w:hint="eastAsia"/>
        </w:rPr>
        <w:t>雖</w:t>
      </w:r>
      <w:r w:rsidR="00785A7C" w:rsidRPr="00DF7D72">
        <w:rPr>
          <w:rFonts w:hint="eastAsia"/>
        </w:rPr>
        <w:t>不影響食安，</w:t>
      </w:r>
      <w:r w:rsidR="006A08E9" w:rsidRPr="00DF7D72">
        <w:rPr>
          <w:rFonts w:hint="eastAsia"/>
        </w:rPr>
        <w:t>但</w:t>
      </w:r>
      <w:r w:rsidR="00785A7C" w:rsidRPr="00DF7D72">
        <w:rPr>
          <w:rFonts w:hint="eastAsia"/>
        </w:rPr>
        <w:t>仍</w:t>
      </w:r>
      <w:r w:rsidR="006A08E9" w:rsidRPr="00DF7D72">
        <w:rPr>
          <w:rFonts w:hint="eastAsia"/>
        </w:rPr>
        <w:t>有</w:t>
      </w:r>
      <w:r w:rsidR="00785A7C" w:rsidRPr="00DF7D72">
        <w:rPr>
          <w:rFonts w:hint="eastAsia"/>
        </w:rPr>
        <w:t>訂</w:t>
      </w:r>
      <w:r w:rsidR="006A08E9" w:rsidRPr="00DF7D72">
        <w:rPr>
          <w:rFonts w:hint="eastAsia"/>
        </w:rPr>
        <w:t>殘留</w:t>
      </w:r>
      <w:r w:rsidR="00785A7C" w:rsidRPr="00DF7D72">
        <w:rPr>
          <w:rFonts w:hint="eastAsia"/>
        </w:rPr>
        <w:t>標準</w:t>
      </w:r>
      <w:r w:rsidR="006A08E9" w:rsidRPr="00DF7D72">
        <w:rPr>
          <w:rFonts w:hint="eastAsia"/>
        </w:rPr>
        <w:t>；</w:t>
      </w:r>
      <w:r w:rsidR="00785A7C" w:rsidRPr="00DF7D72">
        <w:rPr>
          <w:rFonts w:hint="eastAsia"/>
        </w:rPr>
        <w:t>農委會已禁止芬普尼水懸劑，全世界雖然禁止，但很多作物上仍有殘留標準，係因芬普尼為環境用藥而無法禁止等語</w:t>
      </w:r>
      <w:r w:rsidR="006A08E9" w:rsidRPr="00DF7D72">
        <w:rPr>
          <w:rFonts w:hint="eastAsia"/>
        </w:rPr>
        <w:t>。</w:t>
      </w:r>
      <w:r w:rsidR="00785A7C" w:rsidRPr="00DF7D72">
        <w:rPr>
          <w:rFonts w:hint="eastAsia"/>
        </w:rPr>
        <w:t>基此，雞蛋芬普</w:t>
      </w:r>
      <w:r w:rsidR="00785A7C" w:rsidRPr="00DF7D72">
        <w:rPr>
          <w:rFonts w:hint="eastAsia"/>
        </w:rPr>
        <w:lastRenderedPageBreak/>
        <w:t>尼之殘留標準允應整體考量其</w:t>
      </w:r>
      <w:r w:rsidR="00785A7C" w:rsidRPr="00DF7D72">
        <w:rPr>
          <w:rFonts w:hAnsi="標楷體" w:hint="eastAsia"/>
        </w:rPr>
        <w:t>環境及飼料等可能來源，同時兼顧每日容許攝食量之風險值，而衛福部與農委會既已於106年11月27日召開「食品衛生安全與營養諮議會」、「農藥技術諮議會」聯席會議，決議雞蛋殘留芬普尼標準為10ppb，同時刪除芬普尼於其他5樣蔬果之殘留標準，</w:t>
      </w:r>
      <w:r w:rsidR="00BF20D0" w:rsidRPr="00DF7D72">
        <w:rPr>
          <w:rFonts w:hint="eastAsia"/>
        </w:rPr>
        <w:t>即使獲致共識，</w:t>
      </w:r>
      <w:r w:rsidR="00061717" w:rsidRPr="00DF7D72">
        <w:rPr>
          <w:rFonts w:hint="eastAsia"/>
        </w:rPr>
        <w:t>仍</w:t>
      </w:r>
      <w:r w:rsidR="00BB3D98" w:rsidRPr="00DF7D72">
        <w:rPr>
          <w:rFonts w:hAnsi="標楷體" w:hint="eastAsia"/>
        </w:rPr>
        <w:t>應</w:t>
      </w:r>
      <w:r w:rsidR="00785A7C" w:rsidRPr="00DF7D72">
        <w:rPr>
          <w:rFonts w:hAnsi="標楷體" w:hint="eastAsia"/>
        </w:rPr>
        <w:t>持續檢討其他可能之芬普尼來源，</w:t>
      </w:r>
      <w:r w:rsidR="003A71C3" w:rsidRPr="00DF7D72">
        <w:rPr>
          <w:rFonts w:hAnsi="標楷體" w:hint="eastAsia"/>
        </w:rPr>
        <w:t>避免類此不應存在於食品中卻未能察知的情形再度發生，以</w:t>
      </w:r>
      <w:r w:rsidR="00785A7C" w:rsidRPr="00DF7D72">
        <w:rPr>
          <w:rFonts w:hAnsi="標楷體" w:hint="eastAsia"/>
        </w:rPr>
        <w:t>確保國人攝取風險不致超出每日容許攝食量（ADI）標準。</w:t>
      </w:r>
    </w:p>
    <w:p w:rsidR="003A5927" w:rsidRPr="00DF7D72" w:rsidRDefault="003A5927" w:rsidP="003A5927">
      <w:pPr>
        <w:pStyle w:val="31"/>
        <w:ind w:leftChars="0" w:left="0" w:firstLineChars="0" w:firstLine="0"/>
      </w:pPr>
    </w:p>
    <w:p w:rsidR="00E25849" w:rsidRPr="00DF7D72"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rsidRPr="00DF7D72">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DF7D72">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9244FC" w:rsidRPr="00DF7D72" w:rsidRDefault="009244FC" w:rsidP="00FB7770">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DF7D72">
        <w:rPr>
          <w:rFonts w:hint="eastAsia"/>
        </w:rPr>
        <w:t>調查意見</w:t>
      </w:r>
      <w:r w:rsidR="00205B2E" w:rsidRPr="00DF7D72">
        <w:rPr>
          <w:rFonts w:hint="eastAsia"/>
        </w:rPr>
        <w:t>二、四</w:t>
      </w:r>
      <w:r w:rsidRPr="00DF7D72">
        <w:rPr>
          <w:rFonts w:hint="eastAsia"/>
        </w:rPr>
        <w:t>，提案糾正行政院農業委員會</w:t>
      </w:r>
      <w:bookmarkEnd w:id="80"/>
      <w:bookmarkEnd w:id="81"/>
      <w:bookmarkEnd w:id="82"/>
      <w:bookmarkEnd w:id="83"/>
      <w:bookmarkEnd w:id="84"/>
      <w:bookmarkEnd w:id="85"/>
      <w:bookmarkEnd w:id="86"/>
      <w:r w:rsidRPr="00DF7D72">
        <w:rPr>
          <w:rFonts w:hint="eastAsia"/>
        </w:rPr>
        <w:t>。</w:t>
      </w:r>
    </w:p>
    <w:p w:rsidR="009244FC" w:rsidRPr="00DF7D72" w:rsidRDefault="009244FC">
      <w:pPr>
        <w:pStyle w:val="2"/>
      </w:pPr>
      <w:bookmarkStart w:id="106" w:name="_Toc421794877"/>
      <w:bookmarkStart w:id="107" w:name="_Toc421795443"/>
      <w:bookmarkStart w:id="108" w:name="_Toc421796024"/>
      <w:bookmarkStart w:id="109" w:name="_Toc422728959"/>
      <w:bookmarkStart w:id="110" w:name="_Toc422834162"/>
      <w:r w:rsidRPr="00DF7D72">
        <w:rPr>
          <w:rFonts w:hint="eastAsia"/>
        </w:rPr>
        <w:t>調查意見</w:t>
      </w:r>
      <w:r w:rsidR="00205B2E" w:rsidRPr="00DF7D72">
        <w:rPr>
          <w:rFonts w:hint="eastAsia"/>
        </w:rPr>
        <w:t>一、三、</w:t>
      </w:r>
      <w:r w:rsidR="008F36E2" w:rsidRPr="00DF7D72">
        <w:rPr>
          <w:rFonts w:hint="eastAsia"/>
        </w:rPr>
        <w:t>五</w:t>
      </w:r>
      <w:r w:rsidRPr="00DF7D72">
        <w:rPr>
          <w:rFonts w:hint="eastAsia"/>
        </w:rPr>
        <w:t>至</w:t>
      </w:r>
      <w:r w:rsidR="008F36E2" w:rsidRPr="00DF7D72">
        <w:rPr>
          <w:rFonts w:hint="eastAsia"/>
        </w:rPr>
        <w:t>七</w:t>
      </w:r>
      <w:r w:rsidRPr="00DF7D72">
        <w:rPr>
          <w:rFonts w:hint="eastAsia"/>
        </w:rPr>
        <w:t>，函請行政院督促行政院農業委員會、衛生福利部確實檢討改進。</w:t>
      </w:r>
      <w:bookmarkEnd w:id="87"/>
      <w:bookmarkEnd w:id="88"/>
      <w:bookmarkEnd w:id="89"/>
      <w:bookmarkEnd w:id="90"/>
      <w:bookmarkEnd w:id="91"/>
      <w:bookmarkEnd w:id="92"/>
      <w:bookmarkEnd w:id="93"/>
      <w:bookmarkEnd w:id="94"/>
      <w:bookmarkEnd w:id="106"/>
      <w:bookmarkEnd w:id="107"/>
      <w:bookmarkEnd w:id="108"/>
      <w:bookmarkEnd w:id="109"/>
      <w:bookmarkEnd w:id="110"/>
    </w:p>
    <w:p w:rsidR="009244FC" w:rsidRPr="00DF7D72" w:rsidRDefault="009244FC" w:rsidP="00F804D3">
      <w:pPr>
        <w:pStyle w:val="2"/>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bookmarkStart w:id="120" w:name="_Toc69556899"/>
      <w:bookmarkStart w:id="121" w:name="_Toc69556948"/>
      <w:bookmarkStart w:id="122" w:name="_Toc69609822"/>
      <w:r w:rsidRPr="00DF7D72">
        <w:rPr>
          <w:rFonts w:hint="eastAsia"/>
        </w:rPr>
        <w:t>案由、調查意見及處理辦法上網公布。</w:t>
      </w:r>
      <w:bookmarkEnd w:id="111"/>
      <w:bookmarkEnd w:id="112"/>
      <w:bookmarkEnd w:id="113"/>
      <w:bookmarkEnd w:id="114"/>
      <w:bookmarkEnd w:id="115"/>
      <w:bookmarkEnd w:id="116"/>
      <w:bookmarkEnd w:id="117"/>
    </w:p>
    <w:p w:rsidR="00E25849" w:rsidRPr="00DF7D72" w:rsidRDefault="009244FC">
      <w:pPr>
        <w:pStyle w:val="2"/>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95"/>
      <w:bookmarkEnd w:id="96"/>
      <w:bookmarkEnd w:id="97"/>
      <w:bookmarkEnd w:id="98"/>
      <w:bookmarkEnd w:id="99"/>
      <w:bookmarkEnd w:id="100"/>
      <w:bookmarkEnd w:id="101"/>
      <w:bookmarkEnd w:id="102"/>
      <w:bookmarkEnd w:id="103"/>
      <w:bookmarkEnd w:id="104"/>
      <w:bookmarkEnd w:id="105"/>
      <w:bookmarkEnd w:id="118"/>
      <w:bookmarkEnd w:id="119"/>
      <w:bookmarkEnd w:id="120"/>
      <w:bookmarkEnd w:id="121"/>
      <w:bookmarkEnd w:id="122"/>
      <w:r w:rsidRPr="00DF7D72">
        <w:rPr>
          <w:rFonts w:hint="eastAsia"/>
        </w:rPr>
        <w:t>檢附派查函及相關附件，送請</w:t>
      </w:r>
      <w:r w:rsidR="00114D24" w:rsidRPr="00DF7D72">
        <w:rPr>
          <w:rFonts w:hint="eastAsia"/>
        </w:rPr>
        <w:t>財政及經濟、</w:t>
      </w:r>
      <w:r w:rsidR="00714898" w:rsidRPr="00DF7D72">
        <w:rPr>
          <w:rFonts w:hint="eastAsia"/>
        </w:rPr>
        <w:t>內政及少數民族</w:t>
      </w:r>
      <w:r w:rsidRPr="00DF7D72">
        <w:rPr>
          <w:rFonts w:hint="eastAsia"/>
        </w:rPr>
        <w:t>委員會</w:t>
      </w:r>
      <w:r w:rsidR="00114D24" w:rsidRPr="00DF7D72">
        <w:rPr>
          <w:rFonts w:hint="eastAsia"/>
        </w:rPr>
        <w:t>聯席會議</w:t>
      </w:r>
      <w:r w:rsidRPr="00DF7D72">
        <w:rPr>
          <w:rFonts w:hint="eastAsia"/>
        </w:rPr>
        <w:t>處理。</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E25849" w:rsidRPr="00DF7D72" w:rsidRDefault="00E25849" w:rsidP="00ED1963">
      <w:pPr>
        <w:pStyle w:val="aa"/>
        <w:spacing w:beforeLines="150" w:before="685" w:after="0"/>
        <w:ind w:leftChars="1100" w:left="3742"/>
        <w:rPr>
          <w:rFonts w:ascii="Times New Roman"/>
          <w:b w:val="0"/>
          <w:bCs/>
          <w:snapToGrid/>
          <w:spacing w:val="0"/>
          <w:kern w:val="0"/>
          <w:sz w:val="40"/>
        </w:rPr>
      </w:pPr>
      <w:r w:rsidRPr="00DF7D72">
        <w:rPr>
          <w:rFonts w:hint="eastAsia"/>
          <w:b w:val="0"/>
          <w:bCs/>
          <w:snapToGrid/>
          <w:spacing w:val="12"/>
          <w:kern w:val="0"/>
          <w:sz w:val="40"/>
        </w:rPr>
        <w:t>調查委員：</w:t>
      </w:r>
      <w:r w:rsidR="003978AC">
        <w:rPr>
          <w:rFonts w:hint="eastAsia"/>
          <w:b w:val="0"/>
          <w:bCs/>
          <w:snapToGrid/>
          <w:spacing w:val="12"/>
          <w:kern w:val="0"/>
          <w:sz w:val="40"/>
        </w:rPr>
        <w:t>楊美鈴</w:t>
      </w:r>
    </w:p>
    <w:p w:rsidR="00E25849" w:rsidRPr="003978AC" w:rsidRDefault="003978AC">
      <w:pPr>
        <w:pStyle w:val="aa"/>
        <w:spacing w:before="0" w:after="0"/>
        <w:ind w:leftChars="1100" w:left="3742" w:firstLineChars="500" w:firstLine="2221"/>
        <w:rPr>
          <w:b w:val="0"/>
          <w:bCs/>
          <w:snapToGrid/>
          <w:spacing w:val="12"/>
          <w:kern w:val="0"/>
          <w:sz w:val="40"/>
          <w:szCs w:val="40"/>
        </w:rPr>
      </w:pPr>
      <w:r w:rsidRPr="003978AC">
        <w:rPr>
          <w:rFonts w:hint="eastAsia"/>
          <w:b w:val="0"/>
          <w:bCs/>
          <w:snapToGrid/>
          <w:spacing w:val="12"/>
          <w:kern w:val="0"/>
          <w:sz w:val="40"/>
          <w:szCs w:val="40"/>
        </w:rPr>
        <w:t>仉桂美</w:t>
      </w:r>
    </w:p>
    <w:p w:rsidR="00E636B5" w:rsidRPr="003978AC" w:rsidRDefault="003978AC">
      <w:pPr>
        <w:pStyle w:val="aa"/>
        <w:spacing w:before="0" w:after="0"/>
        <w:ind w:leftChars="1100" w:left="3742" w:firstLineChars="500" w:firstLine="2221"/>
        <w:rPr>
          <w:b w:val="0"/>
          <w:bCs/>
          <w:snapToGrid/>
          <w:spacing w:val="12"/>
          <w:kern w:val="0"/>
          <w:sz w:val="40"/>
          <w:szCs w:val="40"/>
        </w:rPr>
      </w:pPr>
      <w:r w:rsidRPr="003978AC">
        <w:rPr>
          <w:rFonts w:hint="eastAsia"/>
          <w:b w:val="0"/>
          <w:bCs/>
          <w:snapToGrid/>
          <w:spacing w:val="12"/>
          <w:kern w:val="0"/>
          <w:sz w:val="40"/>
          <w:szCs w:val="40"/>
        </w:rPr>
        <w:t>王美玉</w:t>
      </w:r>
    </w:p>
    <w:p w:rsidR="00DB1170" w:rsidRPr="00DF7D72" w:rsidRDefault="00DB1170">
      <w:pPr>
        <w:pStyle w:val="aa"/>
        <w:spacing w:before="0" w:after="0"/>
        <w:ind w:leftChars="1100" w:left="3742" w:firstLineChars="500" w:firstLine="2021"/>
        <w:rPr>
          <w:b w:val="0"/>
          <w:bCs/>
          <w:snapToGrid/>
          <w:spacing w:val="12"/>
          <w:kern w:val="0"/>
        </w:rPr>
      </w:pPr>
    </w:p>
    <w:p w:rsidR="00E25849" w:rsidRPr="00DF7D72" w:rsidRDefault="00E25849">
      <w:pPr>
        <w:pStyle w:val="aa"/>
        <w:spacing w:before="0" w:after="0"/>
        <w:ind w:leftChars="1100" w:left="3742" w:firstLineChars="500" w:firstLine="2021"/>
        <w:rPr>
          <w:b w:val="0"/>
          <w:bCs/>
          <w:snapToGrid/>
          <w:spacing w:val="12"/>
          <w:kern w:val="0"/>
        </w:rPr>
      </w:pPr>
    </w:p>
    <w:p w:rsidR="00E25849" w:rsidRPr="00DF7D72" w:rsidRDefault="00E25849">
      <w:pPr>
        <w:pStyle w:val="af"/>
        <w:rPr>
          <w:rFonts w:hAnsi="標楷體"/>
          <w:bCs/>
        </w:rPr>
      </w:pPr>
      <w:r w:rsidRPr="00DF7D72">
        <w:rPr>
          <w:rFonts w:hAnsi="標楷體" w:hint="eastAsia"/>
          <w:bCs/>
        </w:rPr>
        <w:t>中</w:t>
      </w:r>
      <w:r w:rsidR="00B5484D" w:rsidRPr="00DF7D72">
        <w:rPr>
          <w:rFonts w:hAnsi="標楷體" w:hint="eastAsia"/>
          <w:bCs/>
        </w:rPr>
        <w:t xml:space="preserve">  </w:t>
      </w:r>
      <w:r w:rsidRPr="00DF7D72">
        <w:rPr>
          <w:rFonts w:hAnsi="標楷體" w:hint="eastAsia"/>
          <w:bCs/>
        </w:rPr>
        <w:t>華</w:t>
      </w:r>
      <w:r w:rsidR="00B5484D" w:rsidRPr="00DF7D72">
        <w:rPr>
          <w:rFonts w:hAnsi="標楷體" w:hint="eastAsia"/>
          <w:bCs/>
        </w:rPr>
        <w:t xml:space="preserve">  </w:t>
      </w:r>
      <w:r w:rsidRPr="00DF7D72">
        <w:rPr>
          <w:rFonts w:hAnsi="標楷體" w:hint="eastAsia"/>
          <w:bCs/>
        </w:rPr>
        <w:t>民</w:t>
      </w:r>
      <w:r w:rsidR="00B5484D" w:rsidRPr="00DF7D72">
        <w:rPr>
          <w:rFonts w:hAnsi="標楷體" w:hint="eastAsia"/>
          <w:bCs/>
        </w:rPr>
        <w:t xml:space="preserve">  </w:t>
      </w:r>
      <w:r w:rsidRPr="00DF7D72">
        <w:rPr>
          <w:rFonts w:hAnsi="標楷體" w:hint="eastAsia"/>
          <w:bCs/>
        </w:rPr>
        <w:t xml:space="preserve">國　</w:t>
      </w:r>
      <w:r w:rsidR="001E74C2" w:rsidRPr="00DF7D72">
        <w:rPr>
          <w:rFonts w:hAnsi="標楷體" w:hint="eastAsia"/>
          <w:bCs/>
        </w:rPr>
        <w:t>10</w:t>
      </w:r>
      <w:r w:rsidR="00714898" w:rsidRPr="00DF7D72">
        <w:rPr>
          <w:rFonts w:hAnsi="標楷體" w:hint="eastAsia"/>
          <w:bCs/>
        </w:rPr>
        <w:t>7</w:t>
      </w:r>
      <w:r w:rsidRPr="00DF7D72">
        <w:rPr>
          <w:rFonts w:hAnsi="標楷體" w:hint="eastAsia"/>
          <w:bCs/>
        </w:rPr>
        <w:t xml:space="preserve">　年　</w:t>
      </w:r>
      <w:r w:rsidR="003978AC">
        <w:rPr>
          <w:rFonts w:hAnsi="標楷體" w:hint="eastAsia"/>
          <w:bCs/>
        </w:rPr>
        <w:t>2</w:t>
      </w:r>
      <w:r w:rsidRPr="00DF7D72">
        <w:rPr>
          <w:rFonts w:hAnsi="標楷體" w:hint="eastAsia"/>
          <w:bCs/>
        </w:rPr>
        <w:t xml:space="preserve">　月　</w:t>
      </w:r>
      <w:r w:rsidR="003978AC">
        <w:rPr>
          <w:rFonts w:hAnsi="標楷體" w:hint="eastAsia"/>
          <w:bCs/>
        </w:rPr>
        <w:t>7</w:t>
      </w:r>
      <w:r w:rsidRPr="00DF7D72">
        <w:rPr>
          <w:rFonts w:hAnsi="標楷體" w:hint="eastAsia"/>
          <w:bCs/>
        </w:rPr>
        <w:t xml:space="preserve">　日</w:t>
      </w:r>
    </w:p>
    <w:p w:rsidR="00416721" w:rsidRPr="00DF7D72" w:rsidRDefault="00416721">
      <w:pPr>
        <w:widowControl/>
        <w:overflowPunct/>
        <w:autoSpaceDE/>
        <w:autoSpaceDN/>
        <w:jc w:val="left"/>
        <w:rPr>
          <w:bCs/>
          <w:kern w:val="0"/>
        </w:rPr>
      </w:pPr>
    </w:p>
    <w:sectPr w:rsidR="00416721" w:rsidRPr="00DF7D7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91" w:rsidRDefault="004B0A91">
      <w:r>
        <w:separator/>
      </w:r>
    </w:p>
  </w:endnote>
  <w:endnote w:type="continuationSeparator" w:id="0">
    <w:p w:rsidR="004B0A91" w:rsidRDefault="004B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C" w:rsidRDefault="00A9659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82E40">
      <w:rPr>
        <w:rStyle w:val="ac"/>
        <w:noProof/>
        <w:sz w:val="24"/>
      </w:rPr>
      <w:t>28</w:t>
    </w:r>
    <w:r>
      <w:rPr>
        <w:rStyle w:val="ac"/>
        <w:sz w:val="24"/>
      </w:rPr>
      <w:fldChar w:fldCharType="end"/>
    </w:r>
  </w:p>
  <w:p w:rsidR="00A9659C" w:rsidRDefault="00A965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91" w:rsidRDefault="004B0A91">
      <w:r>
        <w:separator/>
      </w:r>
    </w:p>
  </w:footnote>
  <w:footnote w:type="continuationSeparator" w:id="0">
    <w:p w:rsidR="004B0A91" w:rsidRDefault="004B0A91">
      <w:r>
        <w:continuationSeparator/>
      </w:r>
    </w:p>
  </w:footnote>
  <w:footnote w:id="1">
    <w:p w:rsidR="00A9659C" w:rsidRPr="003D3CC4" w:rsidRDefault="00A9659C" w:rsidP="006F23EB">
      <w:pPr>
        <w:pStyle w:val="afd"/>
      </w:pPr>
      <w:r w:rsidRPr="003D3CC4">
        <w:rPr>
          <w:rStyle w:val="aff"/>
        </w:rPr>
        <w:footnoteRef/>
      </w:r>
      <w:r w:rsidRPr="003D3CC4">
        <w:t xml:space="preserve"> </w:t>
      </w:r>
      <w:r w:rsidRPr="003D3CC4">
        <w:rPr>
          <w:rFonts w:hint="eastAsia"/>
        </w:rPr>
        <w:t>按畜牧法第3條及農委會公告「應申請畜牧場登記之家畜家禽飼養規模」(104年4月28日修正)規定，畜牧場係指飼養家畜(牛40頭以上、馬20頭以上、鹿40頭以上、羊100頭以上、豬20頭以上或兔400隻以上)、家禽(500隻以上)之場所。本案所稱「蛋雞場」係屬畜牧場之一。</w:t>
      </w:r>
    </w:p>
  </w:footnote>
  <w:footnote w:id="2">
    <w:p w:rsidR="00A9659C" w:rsidRDefault="00A9659C" w:rsidP="00836707">
      <w:pPr>
        <w:pStyle w:val="afd"/>
      </w:pPr>
      <w:r>
        <w:rPr>
          <w:rStyle w:val="aff"/>
        </w:rPr>
        <w:footnoteRef/>
      </w:r>
      <w:r>
        <w:t xml:space="preserve"> </w:t>
      </w:r>
      <w:r>
        <w:rPr>
          <w:rFonts w:hint="eastAsia"/>
        </w:rPr>
        <w:t>農委會106年10月12日農防字1060237245</w:t>
      </w:r>
      <w:r w:rsidRPr="00152113">
        <w:rPr>
          <w:rFonts w:hint="eastAsia"/>
        </w:rPr>
        <w:t>號函</w:t>
      </w:r>
      <w:r>
        <w:rPr>
          <w:rFonts w:hint="eastAsia"/>
        </w:rPr>
        <w:t>、同年月20日農防字第1060239909號函、同</w:t>
      </w:r>
      <w:r w:rsidRPr="00F15AF8">
        <w:rPr>
          <w:rFonts w:hint="eastAsia"/>
        </w:rPr>
        <w:t>年12月1日農防字第1061419086號</w:t>
      </w:r>
      <w:r w:rsidRPr="00015064">
        <w:rPr>
          <w:rFonts w:hint="eastAsia"/>
        </w:rPr>
        <w:t>函、107年1月2日農防字第1061473688號函</w:t>
      </w:r>
      <w:r>
        <w:rPr>
          <w:rFonts w:hint="eastAsia"/>
        </w:rPr>
        <w:t>，</w:t>
      </w:r>
      <w:r w:rsidRPr="00152113">
        <w:rPr>
          <w:rFonts w:hint="eastAsia"/>
        </w:rPr>
        <w:t>衛福部106年</w:t>
      </w:r>
      <w:r>
        <w:rPr>
          <w:rFonts w:hint="eastAsia"/>
        </w:rPr>
        <w:t>10</w:t>
      </w:r>
      <w:r w:rsidRPr="00152113">
        <w:rPr>
          <w:rFonts w:hint="eastAsia"/>
        </w:rPr>
        <w:t>月</w:t>
      </w:r>
      <w:r>
        <w:rPr>
          <w:rFonts w:hint="eastAsia"/>
        </w:rPr>
        <w:t>13</w:t>
      </w:r>
      <w:r w:rsidRPr="00152113">
        <w:rPr>
          <w:rFonts w:hint="eastAsia"/>
        </w:rPr>
        <w:t>日衛授食字第</w:t>
      </w:r>
      <w:r>
        <w:rPr>
          <w:rFonts w:hint="eastAsia"/>
        </w:rPr>
        <w:t>1069905461</w:t>
      </w:r>
      <w:r w:rsidRPr="00152113">
        <w:rPr>
          <w:rFonts w:hint="eastAsia"/>
        </w:rPr>
        <w:t>號函</w:t>
      </w:r>
      <w:r>
        <w:rPr>
          <w:rFonts w:hint="eastAsia"/>
        </w:rPr>
        <w:t>、</w:t>
      </w:r>
      <w:r w:rsidRPr="00524983">
        <w:rPr>
          <w:rFonts w:hint="eastAsia"/>
        </w:rPr>
        <w:t>食藥署同年12月4日FDA食字第1066063972號函</w:t>
      </w:r>
      <w:r>
        <w:rPr>
          <w:rFonts w:hint="eastAsia"/>
        </w:rPr>
        <w:t>，臺北市衛生局106年10月20日北市衛授食藥字第10648313000號函。</w:t>
      </w:r>
    </w:p>
  </w:footnote>
  <w:footnote w:id="3">
    <w:p w:rsidR="00A9659C" w:rsidRDefault="00A9659C" w:rsidP="00441576">
      <w:pPr>
        <w:pStyle w:val="afd"/>
      </w:pPr>
      <w:r>
        <w:rPr>
          <w:rStyle w:val="aff"/>
        </w:rPr>
        <w:footnoteRef/>
      </w:r>
      <w:r>
        <w:t xml:space="preserve"> </w:t>
      </w:r>
      <w:r>
        <w:rPr>
          <w:rFonts w:hint="eastAsia"/>
        </w:rPr>
        <w:t>衛福部106年10月13日衛授食字第1069905461號函。</w:t>
      </w:r>
    </w:p>
  </w:footnote>
  <w:footnote w:id="4">
    <w:p w:rsidR="00A9659C" w:rsidRPr="00DF7D72" w:rsidRDefault="00A9659C">
      <w:pPr>
        <w:pStyle w:val="afd"/>
      </w:pPr>
      <w:r>
        <w:rPr>
          <w:rStyle w:val="aff"/>
        </w:rPr>
        <w:footnoteRef/>
      </w:r>
      <w:r>
        <w:t xml:space="preserve"> </w:t>
      </w:r>
      <w:r>
        <w:rPr>
          <w:rFonts w:hint="eastAsia"/>
        </w:rPr>
        <w:t>農委會10</w:t>
      </w:r>
      <w:r w:rsidRPr="00DF7D72">
        <w:rPr>
          <w:rFonts w:hint="eastAsia"/>
        </w:rPr>
        <w:t>6年10月20日農防字第1060239909號函。</w:t>
      </w:r>
    </w:p>
  </w:footnote>
  <w:footnote w:id="5">
    <w:p w:rsidR="00A9659C" w:rsidRPr="00DF7D72" w:rsidRDefault="00A9659C" w:rsidP="00B3721D">
      <w:pPr>
        <w:pStyle w:val="afd"/>
      </w:pPr>
      <w:r w:rsidRPr="00DF7D72">
        <w:rPr>
          <w:rStyle w:val="aff"/>
        </w:rPr>
        <w:footnoteRef/>
      </w:r>
      <w:r w:rsidRPr="00DF7D72">
        <w:t xml:space="preserve"> </w:t>
      </w:r>
      <w:r w:rsidRPr="00DF7D72">
        <w:rPr>
          <w:rFonts w:hint="eastAsia"/>
        </w:rPr>
        <w:t>畜牧法第43條第2項規定：「本法修正前飼養家畜、家禽，已達第</w:t>
      </w:r>
      <w:r w:rsidR="00B241E3" w:rsidRPr="00DF7D72">
        <w:rPr>
          <w:rFonts w:hint="eastAsia"/>
        </w:rPr>
        <w:t>4</w:t>
      </w:r>
      <w:r w:rsidRPr="00DF7D72">
        <w:rPr>
          <w:rFonts w:hint="eastAsia"/>
        </w:rPr>
        <w:t>條規定之規模，而未能依本法規定辦理畜牧場登記證書者，應辦理畜禽飼養登記；其登記管理辦法，由中央主管機關定之。」該法第4條規定於99年11月24日修正公布。</w:t>
      </w:r>
    </w:p>
  </w:footnote>
  <w:footnote w:id="6">
    <w:p w:rsidR="00A9659C" w:rsidRPr="00896B44" w:rsidRDefault="00A9659C">
      <w:pPr>
        <w:pStyle w:val="afd"/>
      </w:pPr>
      <w:r>
        <w:rPr>
          <w:rStyle w:val="aff"/>
        </w:rPr>
        <w:footnoteRef/>
      </w:r>
      <w:r>
        <w:t xml:space="preserve"> </w:t>
      </w:r>
      <w:r>
        <w:rPr>
          <w:rFonts w:hint="eastAsia"/>
        </w:rPr>
        <w:t>包括：</w:t>
      </w:r>
      <w:r w:rsidRPr="00896B44">
        <w:rPr>
          <w:rFonts w:hint="eastAsia"/>
        </w:rPr>
        <w:t>動物用藥品使用準則、含藥物飼料添加物使用規範規定、獸醫師(佐)處方藥品販賣及使用管理辦法</w:t>
      </w:r>
      <w:r>
        <w:rPr>
          <w:rFonts w:hint="eastAsia"/>
        </w:rPr>
        <w:t>等。</w:t>
      </w:r>
    </w:p>
  </w:footnote>
  <w:footnote w:id="7">
    <w:p w:rsidR="00A9659C" w:rsidRPr="006258A7" w:rsidRDefault="00A9659C" w:rsidP="006258A7">
      <w:pPr>
        <w:pStyle w:val="afd"/>
      </w:pPr>
      <w:r>
        <w:rPr>
          <w:rStyle w:val="aff"/>
        </w:rPr>
        <w:footnoteRef/>
      </w:r>
      <w:r>
        <w:t xml:space="preserve"> </w:t>
      </w:r>
      <w:r>
        <w:rPr>
          <w:rFonts w:hint="eastAsia"/>
        </w:rPr>
        <w:t>包括：1、於農藥管理人員資格訓練及在職訓練中安排農藥管理法規課程，向農藥管理人員說明法規新增之義務與罰則。2、建置農藥販賣管理資訊系統，補助周邊掃描器等器材，以利業者安裝及開具販售證明應用；並於農藥管理人員在職訓練中安排課程，提供系統操作說明與示範教學。3、製作農藥販售證明範本及未開具農藥販售證明勸導單（宣導期用）置於防檢局農藥資訊服務網，分別供業者及地方政府下載應用。4、</w:t>
      </w:r>
      <w:r w:rsidRPr="006258A7">
        <w:rPr>
          <w:rFonts w:hint="eastAsia"/>
        </w:rPr>
        <w:t>製作開具農藥販售證明宣導單張及海報，發送各相關單位宣導應用。</w:t>
      </w:r>
    </w:p>
  </w:footnote>
  <w:footnote w:id="8">
    <w:p w:rsidR="00A9659C" w:rsidRPr="00272A07" w:rsidRDefault="00A9659C" w:rsidP="00272A07">
      <w:pPr>
        <w:pStyle w:val="afd"/>
      </w:pPr>
      <w:r>
        <w:rPr>
          <w:rStyle w:val="aff"/>
        </w:rPr>
        <w:footnoteRef/>
      </w:r>
      <w:r w:rsidR="000201AC" w:rsidRPr="00DF7D72">
        <w:rPr>
          <w:rFonts w:hint="eastAsia"/>
        </w:rPr>
        <w:t xml:space="preserve"> </w:t>
      </w:r>
      <w:r w:rsidRPr="00DF7D72">
        <w:rPr>
          <w:rFonts w:hint="eastAsia"/>
        </w:rPr>
        <w:t>農藥管理法第29條第6款規定</w:t>
      </w:r>
      <w:r w:rsidR="000201AC" w:rsidRPr="00DF7D72">
        <w:rPr>
          <w:rFonts w:hint="eastAsia"/>
        </w:rPr>
        <w:t>：</w:t>
      </w:r>
      <w:r w:rsidR="000201AC" w:rsidRPr="00DF7D72">
        <w:rPr>
          <w:rFonts w:hAnsi="標楷體" w:hint="eastAsia"/>
        </w:rPr>
        <w:t>「</w:t>
      </w:r>
      <w:r w:rsidRPr="00DF7D72">
        <w:rPr>
          <w:rFonts w:hint="eastAsia"/>
        </w:rPr>
        <w:t>農藥販賣業者應備置簿冊或採行其他經中央主管機關公告之方式，登記購買者姓名、住址、年齡、聯絡方式、購買農藥之名稱及數量，並保存3年。</w:t>
      </w:r>
      <w:r w:rsidR="000201AC" w:rsidRPr="00DF7D72">
        <w:rPr>
          <w:rFonts w:hAnsi="標楷體" w:hint="eastAsia"/>
        </w:rPr>
        <w:t>」</w:t>
      </w:r>
    </w:p>
  </w:footnote>
  <w:footnote w:id="9">
    <w:p w:rsidR="00A9659C" w:rsidRPr="003D3CC4" w:rsidRDefault="00A9659C" w:rsidP="00DC0F5D">
      <w:pPr>
        <w:pStyle w:val="afd"/>
      </w:pPr>
      <w:r w:rsidRPr="003D3CC4">
        <w:rPr>
          <w:rStyle w:val="aff"/>
        </w:rPr>
        <w:footnoteRef/>
      </w:r>
      <w:r w:rsidRPr="003D3CC4">
        <w:t xml:space="preserve"> </w:t>
      </w:r>
      <w:r w:rsidRPr="003D3CC4">
        <w:rPr>
          <w:rFonts w:hint="eastAsia"/>
        </w:rPr>
        <w:t>立法院法律系統，畜牧法於87年5月29日制定，87年6月24日公布，該法第9條迄未修正。</w:t>
      </w:r>
    </w:p>
  </w:footnote>
  <w:footnote w:id="10">
    <w:p w:rsidR="00A9659C" w:rsidRDefault="00A9659C">
      <w:pPr>
        <w:pStyle w:val="afd"/>
      </w:pPr>
      <w:r>
        <w:rPr>
          <w:rStyle w:val="aff"/>
        </w:rPr>
        <w:footnoteRef/>
      </w:r>
      <w:r>
        <w:t xml:space="preserve"> </w:t>
      </w:r>
      <w:r>
        <w:rPr>
          <w:rFonts w:hint="eastAsia"/>
        </w:rPr>
        <w:t>農委會106年12月1日農防字第1061419086號函。</w:t>
      </w:r>
    </w:p>
  </w:footnote>
  <w:footnote w:id="11">
    <w:p w:rsidR="00A9659C" w:rsidRDefault="00A9659C" w:rsidP="0089232D">
      <w:pPr>
        <w:pStyle w:val="afd"/>
      </w:pPr>
      <w:r>
        <w:rPr>
          <w:rStyle w:val="aff"/>
        </w:rPr>
        <w:footnoteRef/>
      </w:r>
      <w:r>
        <w:t xml:space="preserve"> </w:t>
      </w:r>
      <w:r>
        <w:rPr>
          <w:rFonts w:hint="eastAsia"/>
        </w:rPr>
        <w:t>農委會106年10月12日農防字第1060237245號函。</w:t>
      </w:r>
    </w:p>
  </w:footnote>
  <w:footnote w:id="12">
    <w:p w:rsidR="00A9659C" w:rsidRPr="00770D31" w:rsidRDefault="00A9659C">
      <w:pPr>
        <w:pStyle w:val="afd"/>
      </w:pPr>
      <w:r>
        <w:rPr>
          <w:rStyle w:val="aff"/>
        </w:rPr>
        <w:footnoteRef/>
      </w:r>
      <w:r>
        <w:t xml:space="preserve"> </w:t>
      </w:r>
      <w:r>
        <w:rPr>
          <w:rFonts w:hint="eastAsia"/>
        </w:rPr>
        <w:t>部分</w:t>
      </w:r>
      <w:r w:rsidRPr="008C0C3D">
        <w:rPr>
          <w:rFonts w:hint="eastAsia"/>
        </w:rPr>
        <w:t>蛋雞</w:t>
      </w:r>
      <w:r>
        <w:rPr>
          <w:rFonts w:hint="eastAsia"/>
        </w:rPr>
        <w:t>業者同時取得</w:t>
      </w:r>
      <w:r w:rsidRPr="008C0C3D">
        <w:rPr>
          <w:rFonts w:hint="eastAsia"/>
        </w:rPr>
        <w:t>CAS驗證</w:t>
      </w:r>
      <w:r>
        <w:rPr>
          <w:rFonts w:hint="eastAsia"/>
        </w:rPr>
        <w:t>及</w:t>
      </w:r>
      <w:r w:rsidRPr="008C0C3D">
        <w:rPr>
          <w:rFonts w:hint="eastAsia"/>
        </w:rPr>
        <w:t>產銷履歷驗證</w:t>
      </w:r>
      <w:r>
        <w:rPr>
          <w:rFonts w:hint="eastAsia"/>
        </w:rPr>
        <w:t>。</w:t>
      </w:r>
    </w:p>
  </w:footnote>
  <w:footnote w:id="13">
    <w:p w:rsidR="00A9659C" w:rsidRDefault="00A9659C" w:rsidP="00E0195D">
      <w:pPr>
        <w:pStyle w:val="afd"/>
      </w:pPr>
      <w:r>
        <w:rPr>
          <w:rStyle w:val="aff"/>
        </w:rPr>
        <w:footnoteRef/>
      </w:r>
      <w:r>
        <w:t xml:space="preserve"> </w:t>
      </w:r>
      <w:r>
        <w:rPr>
          <w:rFonts w:hint="eastAsia"/>
        </w:rPr>
        <w:t>嘉義縣衛生局</w:t>
      </w:r>
      <w:r w:rsidRPr="00E64CC6">
        <w:rPr>
          <w:rFonts w:hint="eastAsia"/>
        </w:rPr>
        <w:t>106年8月30日嘉衛藥食字第1060023601號函</w:t>
      </w:r>
      <w:r>
        <w:rPr>
          <w:rFonts w:hint="eastAsia"/>
        </w:rPr>
        <w:t>。</w:t>
      </w:r>
    </w:p>
  </w:footnote>
  <w:footnote w:id="14">
    <w:p w:rsidR="00916B15" w:rsidRPr="00DF7D72" w:rsidRDefault="00916B15" w:rsidP="00916B15">
      <w:pPr>
        <w:pStyle w:val="afd"/>
      </w:pPr>
      <w:r w:rsidRPr="00DF7D72">
        <w:rPr>
          <w:rStyle w:val="aff"/>
        </w:rPr>
        <w:footnoteRef/>
      </w:r>
      <w:r w:rsidRPr="00DF7D72">
        <w:t xml:space="preserve"> </w:t>
      </w:r>
      <w:r w:rsidRPr="00DF7D72">
        <w:rPr>
          <w:rFonts w:hint="eastAsia"/>
        </w:rPr>
        <w:t>本院調查案號106財調0045。</w:t>
      </w:r>
    </w:p>
  </w:footnote>
  <w:footnote w:id="15">
    <w:p w:rsidR="00A9659C" w:rsidRPr="00226AAB" w:rsidRDefault="00A9659C" w:rsidP="00226AAB">
      <w:pPr>
        <w:pStyle w:val="afd"/>
        <w:jc w:val="both"/>
      </w:pPr>
      <w:r w:rsidRPr="00DF7D72">
        <w:rPr>
          <w:rStyle w:val="aff"/>
        </w:rPr>
        <w:footnoteRef/>
      </w:r>
      <w:r w:rsidRPr="00DF7D72">
        <w:rPr>
          <w:rFonts w:hint="eastAsia"/>
        </w:rPr>
        <w:t xml:space="preserve"> 歐盟於2006年訂定雞蛋的芬普尼限量標準為20ppb，之後在2014年歐盟委員會將容許量調降，主因是2012年德國</w:t>
      </w:r>
      <w:r w:rsidRPr="00226AAB">
        <w:rPr>
          <w:rFonts w:hint="eastAsia"/>
        </w:rPr>
        <w:t>提出芬普尼緊急授權在馬鈴薯的使用申請，在緊急授權情況(emergency authorization)下，其長期攝取風險將提高至149% ADI，其中又以牛奶殘留占重要比例(116%到119%，依歐盟不同國家計算)，為降低其風險，決定將飼料作物包括芥藍(kale)及包心菜(head cabbage)停止使用範圍，因此影響其家禽攝食負擔，在未包括馬鈴薯後將由0.007 ppm降到0.004 ppm，因此歐盟以其家禽攝食負擔計算評估芬普尼於家禽蛋類實際殘留量於合法使用下將小於其定量極限值(5ppb)。</w:t>
      </w:r>
    </w:p>
  </w:footnote>
  <w:footnote w:id="16">
    <w:p w:rsidR="00A9659C" w:rsidRPr="00130413" w:rsidRDefault="00A9659C" w:rsidP="00146E52">
      <w:pPr>
        <w:pStyle w:val="afd"/>
        <w:jc w:val="both"/>
      </w:pPr>
      <w:r>
        <w:rPr>
          <w:rStyle w:val="aff"/>
        </w:rPr>
        <w:footnoteRef/>
      </w:r>
      <w:r>
        <w:t xml:space="preserve"> </w:t>
      </w:r>
      <w:r>
        <w:rPr>
          <w:rFonts w:hint="eastAsia"/>
        </w:rPr>
        <w:t>依</w:t>
      </w:r>
      <w:r w:rsidRPr="00130413">
        <w:rPr>
          <w:rFonts w:hint="eastAsia"/>
        </w:rPr>
        <w:t>動物產品中農藥殘留容許量標準105年03月18日部授食字第1051300758號令修正</w:t>
      </w:r>
      <w:r>
        <w:rPr>
          <w:rFonts w:hint="eastAsia"/>
        </w:rPr>
        <w:t>）</w:t>
      </w:r>
      <w:r w:rsidRPr="00130413">
        <w:rPr>
          <w:rFonts w:hint="eastAsia"/>
        </w:rPr>
        <w:t>第</w:t>
      </w:r>
      <w:r>
        <w:rPr>
          <w:rFonts w:hint="eastAsia"/>
        </w:rPr>
        <w:t>3</w:t>
      </w:r>
      <w:r w:rsidRPr="00130413">
        <w:rPr>
          <w:rFonts w:hint="eastAsia"/>
        </w:rPr>
        <w:t>條</w:t>
      </w:r>
      <w:r>
        <w:rPr>
          <w:rFonts w:hint="eastAsia"/>
        </w:rPr>
        <w:t>規定：</w:t>
      </w:r>
      <w:r>
        <w:rPr>
          <w:rFonts w:hAnsi="標楷體" w:hint="eastAsia"/>
        </w:rPr>
        <w:t>「</w:t>
      </w:r>
      <w:r w:rsidRPr="00130413">
        <w:rPr>
          <w:rFonts w:hint="eastAsia"/>
        </w:rPr>
        <w:t>動物產品中之農藥殘留量應符合下列規定，本表中未列者，不得檢出：</w:t>
      </w:r>
      <w:r w:rsidRPr="00130413">
        <w:rPr>
          <w:rFonts w:hAnsi="標楷體"/>
        </w:rPr>
        <w:t>……</w:t>
      </w:r>
      <w:r>
        <w:rPr>
          <w:rFonts w:hAnsi="標楷體" w:hint="eastAsia"/>
        </w:rPr>
        <w:t>」。食藥署</w:t>
      </w:r>
      <w:r w:rsidRPr="00130413">
        <w:rPr>
          <w:rFonts w:hAnsi="標楷體" w:hint="eastAsia"/>
        </w:rPr>
        <w:t>依據106年9月7日召開之「國產雞蛋驗出芬普尼事件跨部會處理小組第2次專家諮詢會議」決議，有關雞蛋、雞肉、雞脂肪及相關產品之農藥芬普尼殘留容許量，農委會將對國內蛋雞場進行實際施用芬普尼情形之背景值調查，列入107年度相關計畫項下辦理，預計於</w:t>
      </w:r>
      <w:r>
        <w:rPr>
          <w:rFonts w:hAnsi="標楷體" w:hint="eastAsia"/>
        </w:rPr>
        <w:t>1</w:t>
      </w:r>
      <w:r w:rsidRPr="00130413">
        <w:rPr>
          <w:rFonts w:hAnsi="標楷體" w:hint="eastAsia"/>
        </w:rPr>
        <w:t>年內完成，俟完成背景值等資料調查後，作為是否訂定芬普尼殘留容許量之參考依據。「雞肉及雞蛋中殘留農藥檢驗方法-芬普尼及其代謝物之檢驗」係分析芬普尼及其代謝物fipronil sulfone，檢驗結果以兩者之總量計，定量極限為0.005ppm，與歐盟一致。</w:t>
      </w:r>
    </w:p>
  </w:footnote>
  <w:footnote w:id="17">
    <w:p w:rsidR="00A04C86" w:rsidRPr="00DF7D72" w:rsidRDefault="00A04C86" w:rsidP="00A04C86">
      <w:pPr>
        <w:pStyle w:val="afd"/>
      </w:pPr>
      <w:r w:rsidRPr="00DF7D72">
        <w:rPr>
          <w:rStyle w:val="aff"/>
        </w:rPr>
        <w:footnoteRef/>
      </w:r>
      <w:r w:rsidRPr="00DF7D72">
        <w:t xml:space="preserve"> </w:t>
      </w:r>
      <w:r w:rsidRPr="00DF7D72">
        <w:rPr>
          <w:rFonts w:hint="eastAsia"/>
        </w:rPr>
        <w:t>依農委會藥毒所</w:t>
      </w:r>
      <w:r w:rsidRPr="00DF7D72">
        <w:rPr>
          <w:rFonts w:hAnsi="標楷體" w:hint="eastAsia"/>
        </w:rPr>
        <w:t>「</w:t>
      </w:r>
      <w:r w:rsidRPr="00DF7D72">
        <w:rPr>
          <w:rFonts w:hint="eastAsia"/>
        </w:rPr>
        <w:t>芬普尼增訂家禽蛋類容許量標準之評估報告</w:t>
      </w:r>
      <w:r w:rsidRPr="00DF7D72">
        <w:rPr>
          <w:rFonts w:hAnsi="標楷體" w:hint="eastAsia"/>
        </w:rPr>
        <w:t>」</w:t>
      </w:r>
      <w:r w:rsidRPr="00DF7D72">
        <w:rPr>
          <w:rFonts w:hint="eastAsia"/>
        </w:rPr>
        <w:t>所載，芬普尼於各國家禽蛋類公告容許量包括Codex 0.02 ppm、美國(US)0.03ppm、歐盟(EU)0.005 ppm、澳洲(AUS) 0.02 ppm 及日本(JP) 0.02 ppm。</w:t>
      </w:r>
    </w:p>
  </w:footnote>
  <w:footnote w:id="18">
    <w:p w:rsidR="00A04C86" w:rsidRPr="00DF7D72" w:rsidRDefault="00A04C86">
      <w:pPr>
        <w:pStyle w:val="afd"/>
      </w:pPr>
      <w:r w:rsidRPr="00DF7D72">
        <w:rPr>
          <w:rStyle w:val="aff"/>
        </w:rPr>
        <w:footnoteRef/>
      </w:r>
      <w:r w:rsidRPr="00DF7D72">
        <w:rPr>
          <w:rFonts w:hint="eastAsia"/>
        </w:rPr>
        <w:t xml:space="preserve"> 同上註評估報告所示，芬普尼每日可接受攝量（ADI）值於我國目前建議引用數值為0.0002 mg/kg bw/day（2000）。依芬普尼於禽蛋之建議容許量0.01 ppm，國人每人每日平均取食禽蛋量0.02967kg及60公斤成人進行評估，可得芬普尼於家禽蛋之估算總攝取量約2.47% ADI。</w:t>
      </w:r>
    </w:p>
  </w:footnote>
  <w:footnote w:id="19">
    <w:p w:rsidR="00A9659C" w:rsidRPr="00DF7D72" w:rsidRDefault="00A9659C" w:rsidP="000B20AE">
      <w:pPr>
        <w:pStyle w:val="afd"/>
      </w:pPr>
      <w:r w:rsidRPr="00DF7D72">
        <w:rPr>
          <w:rStyle w:val="aff"/>
        </w:rPr>
        <w:footnoteRef/>
      </w:r>
      <w:r w:rsidRPr="00DF7D72">
        <w:t xml:space="preserve"> </w:t>
      </w:r>
      <w:r w:rsidRPr="00DF7D72">
        <w:rPr>
          <w:rFonts w:hint="eastAsia"/>
        </w:rPr>
        <w:t>食藥署106年11月27日新聞稿「衛福部與農委會諮議會聯席會議討論農藥殘留容許量標準」。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507"/>
    <w:multiLevelType w:val="hybridMultilevel"/>
    <w:tmpl w:val="17185738"/>
    <w:lvl w:ilvl="0" w:tplc="58A29682">
      <w:start w:val="1"/>
      <w:numFmt w:val="decimal"/>
      <w:lvlText w:val="%1."/>
      <w:lvlJc w:val="left"/>
      <w:pPr>
        <w:tabs>
          <w:tab w:val="num" w:pos="720"/>
        </w:tabs>
        <w:ind w:left="720" w:hanging="360"/>
      </w:pPr>
    </w:lvl>
    <w:lvl w:ilvl="1" w:tplc="A07C3B1E">
      <w:start w:val="1"/>
      <w:numFmt w:val="decimal"/>
      <w:lvlText w:val="%2."/>
      <w:lvlJc w:val="left"/>
      <w:pPr>
        <w:tabs>
          <w:tab w:val="num" w:pos="1440"/>
        </w:tabs>
        <w:ind w:left="1440" w:hanging="360"/>
      </w:pPr>
    </w:lvl>
    <w:lvl w:ilvl="2" w:tplc="5D5C0E4A">
      <w:start w:val="1"/>
      <w:numFmt w:val="decimal"/>
      <w:lvlText w:val="%3."/>
      <w:lvlJc w:val="left"/>
      <w:pPr>
        <w:tabs>
          <w:tab w:val="num" w:pos="2160"/>
        </w:tabs>
        <w:ind w:left="2160" w:hanging="360"/>
      </w:pPr>
    </w:lvl>
    <w:lvl w:ilvl="3" w:tplc="9F4462D8">
      <w:start w:val="1"/>
      <w:numFmt w:val="decimal"/>
      <w:lvlText w:val="%4."/>
      <w:lvlJc w:val="left"/>
      <w:pPr>
        <w:tabs>
          <w:tab w:val="num" w:pos="2880"/>
        </w:tabs>
        <w:ind w:left="2880" w:hanging="360"/>
      </w:pPr>
    </w:lvl>
    <w:lvl w:ilvl="4" w:tplc="92486A60">
      <w:start w:val="1"/>
      <w:numFmt w:val="decimal"/>
      <w:lvlText w:val="%5."/>
      <w:lvlJc w:val="left"/>
      <w:pPr>
        <w:tabs>
          <w:tab w:val="num" w:pos="3600"/>
        </w:tabs>
        <w:ind w:left="3600" w:hanging="360"/>
      </w:pPr>
    </w:lvl>
    <w:lvl w:ilvl="5" w:tplc="6D3E63CC">
      <w:start w:val="1"/>
      <w:numFmt w:val="decimal"/>
      <w:lvlText w:val="%6."/>
      <w:lvlJc w:val="left"/>
      <w:pPr>
        <w:tabs>
          <w:tab w:val="num" w:pos="4320"/>
        </w:tabs>
        <w:ind w:left="4320" w:hanging="360"/>
      </w:pPr>
    </w:lvl>
    <w:lvl w:ilvl="6" w:tplc="E2C64F84">
      <w:start w:val="1"/>
      <w:numFmt w:val="decimal"/>
      <w:lvlText w:val="%7."/>
      <w:lvlJc w:val="left"/>
      <w:pPr>
        <w:tabs>
          <w:tab w:val="num" w:pos="5040"/>
        </w:tabs>
        <w:ind w:left="5040" w:hanging="360"/>
      </w:pPr>
    </w:lvl>
    <w:lvl w:ilvl="7" w:tplc="FE14EFE8">
      <w:start w:val="1"/>
      <w:numFmt w:val="decimal"/>
      <w:lvlText w:val="%8."/>
      <w:lvlJc w:val="left"/>
      <w:pPr>
        <w:tabs>
          <w:tab w:val="num" w:pos="5760"/>
        </w:tabs>
        <w:ind w:left="5760" w:hanging="360"/>
      </w:pPr>
    </w:lvl>
    <w:lvl w:ilvl="8" w:tplc="25DE04B2">
      <w:start w:val="1"/>
      <w:numFmt w:val="decimal"/>
      <w:lvlText w:val="%9."/>
      <w:lvlJc w:val="left"/>
      <w:pPr>
        <w:tabs>
          <w:tab w:val="num" w:pos="6480"/>
        </w:tabs>
        <w:ind w:left="6480" w:hanging="360"/>
      </w:pPr>
    </w:lvl>
  </w:abstractNum>
  <w:abstractNum w:abstractNumId="1" w15:restartNumberingAfterBreak="0">
    <w:nsid w:val="03E218B6"/>
    <w:multiLevelType w:val="hybridMultilevel"/>
    <w:tmpl w:val="6D607568"/>
    <w:lvl w:ilvl="0" w:tplc="7CC65ECA">
      <w:start w:val="1"/>
      <w:numFmt w:val="decimal"/>
      <w:lvlText w:val="%1."/>
      <w:lvlJc w:val="left"/>
      <w:pPr>
        <w:tabs>
          <w:tab w:val="num" w:pos="720"/>
        </w:tabs>
        <w:ind w:left="720" w:hanging="360"/>
      </w:pPr>
    </w:lvl>
    <w:lvl w:ilvl="1" w:tplc="090C8070">
      <w:start w:val="1"/>
      <w:numFmt w:val="decimal"/>
      <w:lvlText w:val="%2."/>
      <w:lvlJc w:val="left"/>
      <w:pPr>
        <w:tabs>
          <w:tab w:val="num" w:pos="1440"/>
        </w:tabs>
        <w:ind w:left="1440" w:hanging="360"/>
      </w:pPr>
    </w:lvl>
    <w:lvl w:ilvl="2" w:tplc="C4C40AE2">
      <w:start w:val="1"/>
      <w:numFmt w:val="decimal"/>
      <w:lvlText w:val="%3."/>
      <w:lvlJc w:val="left"/>
      <w:pPr>
        <w:tabs>
          <w:tab w:val="num" w:pos="2160"/>
        </w:tabs>
        <w:ind w:left="2160" w:hanging="360"/>
      </w:pPr>
    </w:lvl>
    <w:lvl w:ilvl="3" w:tplc="DE4A3C5A">
      <w:start w:val="1"/>
      <w:numFmt w:val="decimal"/>
      <w:lvlText w:val="%4."/>
      <w:lvlJc w:val="left"/>
      <w:pPr>
        <w:tabs>
          <w:tab w:val="num" w:pos="2880"/>
        </w:tabs>
        <w:ind w:left="2880" w:hanging="360"/>
      </w:pPr>
    </w:lvl>
    <w:lvl w:ilvl="4" w:tplc="B8BEF93C">
      <w:start w:val="1"/>
      <w:numFmt w:val="decimal"/>
      <w:lvlText w:val="%5."/>
      <w:lvlJc w:val="left"/>
      <w:pPr>
        <w:tabs>
          <w:tab w:val="num" w:pos="3600"/>
        </w:tabs>
        <w:ind w:left="3600" w:hanging="360"/>
      </w:pPr>
    </w:lvl>
    <w:lvl w:ilvl="5" w:tplc="35F2EEF8">
      <w:start w:val="1"/>
      <w:numFmt w:val="decimal"/>
      <w:lvlText w:val="%6."/>
      <w:lvlJc w:val="left"/>
      <w:pPr>
        <w:tabs>
          <w:tab w:val="num" w:pos="4320"/>
        </w:tabs>
        <w:ind w:left="4320" w:hanging="360"/>
      </w:pPr>
    </w:lvl>
    <w:lvl w:ilvl="6" w:tplc="4F04BE16">
      <w:start w:val="1"/>
      <w:numFmt w:val="decimal"/>
      <w:lvlText w:val="%7."/>
      <w:lvlJc w:val="left"/>
      <w:pPr>
        <w:tabs>
          <w:tab w:val="num" w:pos="5040"/>
        </w:tabs>
        <w:ind w:left="5040" w:hanging="360"/>
      </w:pPr>
    </w:lvl>
    <w:lvl w:ilvl="7" w:tplc="DEDC269E">
      <w:start w:val="1"/>
      <w:numFmt w:val="decimal"/>
      <w:lvlText w:val="%8."/>
      <w:lvlJc w:val="left"/>
      <w:pPr>
        <w:tabs>
          <w:tab w:val="num" w:pos="5760"/>
        </w:tabs>
        <w:ind w:left="5760" w:hanging="360"/>
      </w:pPr>
    </w:lvl>
    <w:lvl w:ilvl="8" w:tplc="FC5AD4E8">
      <w:start w:val="1"/>
      <w:numFmt w:val="decimal"/>
      <w:lvlText w:val="%9."/>
      <w:lvlJc w:val="left"/>
      <w:pPr>
        <w:tabs>
          <w:tab w:val="num" w:pos="6480"/>
        </w:tabs>
        <w:ind w:left="6480" w:hanging="360"/>
      </w:pPr>
    </w:lvl>
  </w:abstractNum>
  <w:abstractNum w:abstractNumId="2" w15:restartNumberingAfterBreak="0">
    <w:nsid w:val="08182C09"/>
    <w:multiLevelType w:val="hybridMultilevel"/>
    <w:tmpl w:val="2FE82CDA"/>
    <w:lvl w:ilvl="0" w:tplc="137E2220">
      <w:start w:val="1"/>
      <w:numFmt w:val="decimal"/>
      <w:lvlText w:val="%1."/>
      <w:lvlJc w:val="left"/>
      <w:pPr>
        <w:tabs>
          <w:tab w:val="num" w:pos="720"/>
        </w:tabs>
        <w:ind w:left="720" w:hanging="360"/>
      </w:pPr>
    </w:lvl>
    <w:lvl w:ilvl="1" w:tplc="AF5E38A8">
      <w:start w:val="1"/>
      <w:numFmt w:val="decimal"/>
      <w:lvlText w:val="%2."/>
      <w:lvlJc w:val="left"/>
      <w:pPr>
        <w:tabs>
          <w:tab w:val="num" w:pos="1440"/>
        </w:tabs>
        <w:ind w:left="1440" w:hanging="360"/>
      </w:pPr>
    </w:lvl>
    <w:lvl w:ilvl="2" w:tplc="D5A6F236">
      <w:start w:val="1"/>
      <w:numFmt w:val="decimal"/>
      <w:lvlText w:val="%3."/>
      <w:lvlJc w:val="left"/>
      <w:pPr>
        <w:tabs>
          <w:tab w:val="num" w:pos="2160"/>
        </w:tabs>
        <w:ind w:left="2160" w:hanging="360"/>
      </w:pPr>
    </w:lvl>
    <w:lvl w:ilvl="3" w:tplc="C3809596">
      <w:start w:val="1"/>
      <w:numFmt w:val="decimal"/>
      <w:lvlText w:val="%4."/>
      <w:lvlJc w:val="left"/>
      <w:pPr>
        <w:tabs>
          <w:tab w:val="num" w:pos="2880"/>
        </w:tabs>
        <w:ind w:left="2880" w:hanging="360"/>
      </w:pPr>
    </w:lvl>
    <w:lvl w:ilvl="4" w:tplc="1152CCBE">
      <w:start w:val="1"/>
      <w:numFmt w:val="decimal"/>
      <w:lvlText w:val="%5."/>
      <w:lvlJc w:val="left"/>
      <w:pPr>
        <w:tabs>
          <w:tab w:val="num" w:pos="3600"/>
        </w:tabs>
        <w:ind w:left="3600" w:hanging="360"/>
      </w:pPr>
    </w:lvl>
    <w:lvl w:ilvl="5" w:tplc="0A9C4FEC">
      <w:start w:val="1"/>
      <w:numFmt w:val="decimal"/>
      <w:lvlText w:val="%6."/>
      <w:lvlJc w:val="left"/>
      <w:pPr>
        <w:tabs>
          <w:tab w:val="num" w:pos="4320"/>
        </w:tabs>
        <w:ind w:left="4320" w:hanging="360"/>
      </w:pPr>
    </w:lvl>
    <w:lvl w:ilvl="6" w:tplc="A8F66A96">
      <w:start w:val="1"/>
      <w:numFmt w:val="decimal"/>
      <w:lvlText w:val="%7."/>
      <w:lvlJc w:val="left"/>
      <w:pPr>
        <w:tabs>
          <w:tab w:val="num" w:pos="5040"/>
        </w:tabs>
        <w:ind w:left="5040" w:hanging="360"/>
      </w:pPr>
    </w:lvl>
    <w:lvl w:ilvl="7" w:tplc="68D2AF08">
      <w:start w:val="1"/>
      <w:numFmt w:val="decimal"/>
      <w:lvlText w:val="%8."/>
      <w:lvlJc w:val="left"/>
      <w:pPr>
        <w:tabs>
          <w:tab w:val="num" w:pos="5760"/>
        </w:tabs>
        <w:ind w:left="5760" w:hanging="360"/>
      </w:pPr>
    </w:lvl>
    <w:lvl w:ilvl="8" w:tplc="620CF0F2">
      <w:start w:val="1"/>
      <w:numFmt w:val="decimal"/>
      <w:lvlText w:val="%9."/>
      <w:lvlJc w:val="left"/>
      <w:pPr>
        <w:tabs>
          <w:tab w:val="num" w:pos="6480"/>
        </w:tabs>
        <w:ind w:left="6480" w:hanging="36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1C76C6"/>
    <w:multiLevelType w:val="hybridMultilevel"/>
    <w:tmpl w:val="6D607568"/>
    <w:lvl w:ilvl="0" w:tplc="7CC65ECA">
      <w:start w:val="1"/>
      <w:numFmt w:val="decimal"/>
      <w:lvlText w:val="%1."/>
      <w:lvlJc w:val="left"/>
      <w:pPr>
        <w:tabs>
          <w:tab w:val="num" w:pos="720"/>
        </w:tabs>
        <w:ind w:left="720" w:hanging="360"/>
      </w:pPr>
    </w:lvl>
    <w:lvl w:ilvl="1" w:tplc="090C8070">
      <w:start w:val="1"/>
      <w:numFmt w:val="decimal"/>
      <w:lvlText w:val="%2."/>
      <w:lvlJc w:val="left"/>
      <w:pPr>
        <w:tabs>
          <w:tab w:val="num" w:pos="1440"/>
        </w:tabs>
        <w:ind w:left="1440" w:hanging="360"/>
      </w:pPr>
    </w:lvl>
    <w:lvl w:ilvl="2" w:tplc="C4C40AE2">
      <w:start w:val="1"/>
      <w:numFmt w:val="decimal"/>
      <w:lvlText w:val="%3."/>
      <w:lvlJc w:val="left"/>
      <w:pPr>
        <w:tabs>
          <w:tab w:val="num" w:pos="2160"/>
        </w:tabs>
        <w:ind w:left="2160" w:hanging="360"/>
      </w:pPr>
    </w:lvl>
    <w:lvl w:ilvl="3" w:tplc="DE4A3C5A">
      <w:start w:val="1"/>
      <w:numFmt w:val="decimal"/>
      <w:lvlText w:val="%4."/>
      <w:lvlJc w:val="left"/>
      <w:pPr>
        <w:tabs>
          <w:tab w:val="num" w:pos="2880"/>
        </w:tabs>
        <w:ind w:left="2880" w:hanging="360"/>
      </w:pPr>
    </w:lvl>
    <w:lvl w:ilvl="4" w:tplc="B8BEF93C">
      <w:start w:val="1"/>
      <w:numFmt w:val="decimal"/>
      <w:lvlText w:val="%5."/>
      <w:lvlJc w:val="left"/>
      <w:pPr>
        <w:tabs>
          <w:tab w:val="num" w:pos="3600"/>
        </w:tabs>
        <w:ind w:left="3600" w:hanging="360"/>
      </w:pPr>
    </w:lvl>
    <w:lvl w:ilvl="5" w:tplc="35F2EEF8">
      <w:start w:val="1"/>
      <w:numFmt w:val="decimal"/>
      <w:lvlText w:val="%6."/>
      <w:lvlJc w:val="left"/>
      <w:pPr>
        <w:tabs>
          <w:tab w:val="num" w:pos="4320"/>
        </w:tabs>
        <w:ind w:left="4320" w:hanging="360"/>
      </w:pPr>
    </w:lvl>
    <w:lvl w:ilvl="6" w:tplc="4F04BE16">
      <w:start w:val="1"/>
      <w:numFmt w:val="decimal"/>
      <w:lvlText w:val="%7."/>
      <w:lvlJc w:val="left"/>
      <w:pPr>
        <w:tabs>
          <w:tab w:val="num" w:pos="5040"/>
        </w:tabs>
        <w:ind w:left="5040" w:hanging="360"/>
      </w:pPr>
    </w:lvl>
    <w:lvl w:ilvl="7" w:tplc="DEDC269E">
      <w:start w:val="1"/>
      <w:numFmt w:val="decimal"/>
      <w:lvlText w:val="%8."/>
      <w:lvlJc w:val="left"/>
      <w:pPr>
        <w:tabs>
          <w:tab w:val="num" w:pos="5760"/>
        </w:tabs>
        <w:ind w:left="5760" w:hanging="360"/>
      </w:pPr>
    </w:lvl>
    <w:lvl w:ilvl="8" w:tplc="FC5AD4E8">
      <w:start w:val="1"/>
      <w:numFmt w:val="decimal"/>
      <w:lvlText w:val="%9."/>
      <w:lvlJc w:val="left"/>
      <w:pPr>
        <w:tabs>
          <w:tab w:val="num" w:pos="6480"/>
        </w:tabs>
        <w:ind w:left="6480" w:hanging="360"/>
      </w:pPr>
    </w:lvl>
  </w:abstractNum>
  <w:abstractNum w:abstractNumId="5" w15:restartNumberingAfterBreak="0">
    <w:nsid w:val="11924950"/>
    <w:multiLevelType w:val="hybridMultilevel"/>
    <w:tmpl w:val="803AAE58"/>
    <w:lvl w:ilvl="0" w:tplc="DCCAEB04">
      <w:start w:val="1"/>
      <w:numFmt w:val="decimal"/>
      <w:lvlText w:val="%1."/>
      <w:lvlJc w:val="left"/>
      <w:pPr>
        <w:tabs>
          <w:tab w:val="num" w:pos="720"/>
        </w:tabs>
        <w:ind w:left="720" w:hanging="360"/>
      </w:pPr>
    </w:lvl>
    <w:lvl w:ilvl="1" w:tplc="7BF033BC">
      <w:start w:val="1"/>
      <w:numFmt w:val="decimal"/>
      <w:lvlText w:val="%2."/>
      <w:lvlJc w:val="left"/>
      <w:pPr>
        <w:tabs>
          <w:tab w:val="num" w:pos="1440"/>
        </w:tabs>
        <w:ind w:left="1440" w:hanging="360"/>
      </w:pPr>
    </w:lvl>
    <w:lvl w:ilvl="2" w:tplc="2F647CE0">
      <w:start w:val="1"/>
      <w:numFmt w:val="decimal"/>
      <w:lvlText w:val="%3."/>
      <w:lvlJc w:val="left"/>
      <w:pPr>
        <w:tabs>
          <w:tab w:val="num" w:pos="2160"/>
        </w:tabs>
        <w:ind w:left="2160" w:hanging="360"/>
      </w:pPr>
    </w:lvl>
    <w:lvl w:ilvl="3" w:tplc="FD8CA254">
      <w:start w:val="1"/>
      <w:numFmt w:val="decimal"/>
      <w:lvlText w:val="%4."/>
      <w:lvlJc w:val="left"/>
      <w:pPr>
        <w:tabs>
          <w:tab w:val="num" w:pos="2880"/>
        </w:tabs>
        <w:ind w:left="2880" w:hanging="360"/>
      </w:pPr>
    </w:lvl>
    <w:lvl w:ilvl="4" w:tplc="018E065A">
      <w:start w:val="1"/>
      <w:numFmt w:val="decimal"/>
      <w:lvlText w:val="%5."/>
      <w:lvlJc w:val="left"/>
      <w:pPr>
        <w:tabs>
          <w:tab w:val="num" w:pos="3600"/>
        </w:tabs>
        <w:ind w:left="3600" w:hanging="360"/>
      </w:pPr>
    </w:lvl>
    <w:lvl w:ilvl="5" w:tplc="1DCA5358">
      <w:start w:val="1"/>
      <w:numFmt w:val="decimal"/>
      <w:lvlText w:val="%6."/>
      <w:lvlJc w:val="left"/>
      <w:pPr>
        <w:tabs>
          <w:tab w:val="num" w:pos="4320"/>
        </w:tabs>
        <w:ind w:left="4320" w:hanging="360"/>
      </w:pPr>
    </w:lvl>
    <w:lvl w:ilvl="6" w:tplc="B65EAA48">
      <w:start w:val="1"/>
      <w:numFmt w:val="decimal"/>
      <w:lvlText w:val="%7."/>
      <w:lvlJc w:val="left"/>
      <w:pPr>
        <w:tabs>
          <w:tab w:val="num" w:pos="5040"/>
        </w:tabs>
        <w:ind w:left="5040" w:hanging="360"/>
      </w:pPr>
    </w:lvl>
    <w:lvl w:ilvl="7" w:tplc="220C96FE">
      <w:start w:val="1"/>
      <w:numFmt w:val="decimal"/>
      <w:lvlText w:val="%8."/>
      <w:lvlJc w:val="left"/>
      <w:pPr>
        <w:tabs>
          <w:tab w:val="num" w:pos="5760"/>
        </w:tabs>
        <w:ind w:left="5760" w:hanging="360"/>
      </w:pPr>
    </w:lvl>
    <w:lvl w:ilvl="8" w:tplc="23B2D806">
      <w:start w:val="1"/>
      <w:numFmt w:val="decimal"/>
      <w:lvlText w:val="%9."/>
      <w:lvlJc w:val="left"/>
      <w:pPr>
        <w:tabs>
          <w:tab w:val="num" w:pos="6480"/>
        </w:tabs>
        <w:ind w:left="6480" w:hanging="360"/>
      </w:pPr>
    </w:lvl>
  </w:abstractNum>
  <w:abstractNum w:abstractNumId="6" w15:restartNumberingAfterBreak="0">
    <w:nsid w:val="12603296"/>
    <w:multiLevelType w:val="hybridMultilevel"/>
    <w:tmpl w:val="ACBC5A60"/>
    <w:lvl w:ilvl="0" w:tplc="77B85D0E">
      <w:start w:val="1"/>
      <w:numFmt w:val="decimal"/>
      <w:lvlText w:val="%1."/>
      <w:lvlJc w:val="left"/>
      <w:pPr>
        <w:tabs>
          <w:tab w:val="num" w:pos="720"/>
        </w:tabs>
        <w:ind w:left="720" w:hanging="360"/>
      </w:pPr>
    </w:lvl>
    <w:lvl w:ilvl="1" w:tplc="7E74969A">
      <w:start w:val="1"/>
      <w:numFmt w:val="decimal"/>
      <w:lvlText w:val="%2."/>
      <w:lvlJc w:val="left"/>
      <w:pPr>
        <w:tabs>
          <w:tab w:val="num" w:pos="1440"/>
        </w:tabs>
        <w:ind w:left="1440" w:hanging="360"/>
      </w:pPr>
    </w:lvl>
    <w:lvl w:ilvl="2" w:tplc="2D06B940">
      <w:start w:val="1"/>
      <w:numFmt w:val="decimal"/>
      <w:lvlText w:val="%3."/>
      <w:lvlJc w:val="left"/>
      <w:pPr>
        <w:tabs>
          <w:tab w:val="num" w:pos="2160"/>
        </w:tabs>
        <w:ind w:left="2160" w:hanging="360"/>
      </w:pPr>
    </w:lvl>
    <w:lvl w:ilvl="3" w:tplc="7CA8D4F2">
      <w:start w:val="1"/>
      <w:numFmt w:val="decimal"/>
      <w:lvlText w:val="%4."/>
      <w:lvlJc w:val="left"/>
      <w:pPr>
        <w:tabs>
          <w:tab w:val="num" w:pos="2880"/>
        </w:tabs>
        <w:ind w:left="2880" w:hanging="360"/>
      </w:pPr>
    </w:lvl>
    <w:lvl w:ilvl="4" w:tplc="F9F82418">
      <w:start w:val="1"/>
      <w:numFmt w:val="decimal"/>
      <w:lvlText w:val="%5."/>
      <w:lvlJc w:val="left"/>
      <w:pPr>
        <w:tabs>
          <w:tab w:val="num" w:pos="3600"/>
        </w:tabs>
        <w:ind w:left="3600" w:hanging="360"/>
      </w:pPr>
    </w:lvl>
    <w:lvl w:ilvl="5" w:tplc="183C2254">
      <w:start w:val="1"/>
      <w:numFmt w:val="decimal"/>
      <w:lvlText w:val="%6."/>
      <w:lvlJc w:val="left"/>
      <w:pPr>
        <w:tabs>
          <w:tab w:val="num" w:pos="4320"/>
        </w:tabs>
        <w:ind w:left="4320" w:hanging="360"/>
      </w:pPr>
    </w:lvl>
    <w:lvl w:ilvl="6" w:tplc="73FAAC8C">
      <w:start w:val="1"/>
      <w:numFmt w:val="decimal"/>
      <w:lvlText w:val="%7."/>
      <w:lvlJc w:val="left"/>
      <w:pPr>
        <w:tabs>
          <w:tab w:val="num" w:pos="5040"/>
        </w:tabs>
        <w:ind w:left="5040" w:hanging="360"/>
      </w:pPr>
    </w:lvl>
    <w:lvl w:ilvl="7" w:tplc="229883A0">
      <w:start w:val="1"/>
      <w:numFmt w:val="decimal"/>
      <w:lvlText w:val="%8."/>
      <w:lvlJc w:val="left"/>
      <w:pPr>
        <w:tabs>
          <w:tab w:val="num" w:pos="5760"/>
        </w:tabs>
        <w:ind w:left="5760" w:hanging="360"/>
      </w:pPr>
    </w:lvl>
    <w:lvl w:ilvl="8" w:tplc="182256E0">
      <w:start w:val="1"/>
      <w:numFmt w:val="decimal"/>
      <w:lvlText w:val="%9."/>
      <w:lvlJc w:val="left"/>
      <w:pPr>
        <w:tabs>
          <w:tab w:val="num" w:pos="6480"/>
        </w:tabs>
        <w:ind w:left="6480" w:hanging="360"/>
      </w:pPr>
    </w:lvl>
  </w:abstractNum>
  <w:abstractNum w:abstractNumId="7" w15:restartNumberingAfterBreak="0">
    <w:nsid w:val="140E010C"/>
    <w:multiLevelType w:val="multilevel"/>
    <w:tmpl w:val="A93283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4777C3"/>
    <w:multiLevelType w:val="hybridMultilevel"/>
    <w:tmpl w:val="42EE049E"/>
    <w:lvl w:ilvl="0" w:tplc="7A70841E">
      <w:start w:val="1"/>
      <w:numFmt w:val="decimal"/>
      <w:lvlText w:val="%1."/>
      <w:lvlJc w:val="left"/>
      <w:pPr>
        <w:tabs>
          <w:tab w:val="num" w:pos="720"/>
        </w:tabs>
        <w:ind w:left="720" w:hanging="360"/>
      </w:pPr>
    </w:lvl>
    <w:lvl w:ilvl="1" w:tplc="E6EA2D00">
      <w:start w:val="1"/>
      <w:numFmt w:val="decimal"/>
      <w:lvlText w:val="%2."/>
      <w:lvlJc w:val="left"/>
      <w:pPr>
        <w:tabs>
          <w:tab w:val="num" w:pos="1440"/>
        </w:tabs>
        <w:ind w:left="1440" w:hanging="360"/>
      </w:pPr>
    </w:lvl>
    <w:lvl w:ilvl="2" w:tplc="B54A4BE0">
      <w:start w:val="1"/>
      <w:numFmt w:val="decimal"/>
      <w:lvlText w:val="%3."/>
      <w:lvlJc w:val="left"/>
      <w:pPr>
        <w:tabs>
          <w:tab w:val="num" w:pos="2160"/>
        </w:tabs>
        <w:ind w:left="2160" w:hanging="360"/>
      </w:pPr>
    </w:lvl>
    <w:lvl w:ilvl="3" w:tplc="3116978A">
      <w:start w:val="1"/>
      <w:numFmt w:val="decimal"/>
      <w:lvlText w:val="%4."/>
      <w:lvlJc w:val="left"/>
      <w:pPr>
        <w:tabs>
          <w:tab w:val="num" w:pos="2880"/>
        </w:tabs>
        <w:ind w:left="2880" w:hanging="360"/>
      </w:pPr>
    </w:lvl>
    <w:lvl w:ilvl="4" w:tplc="17D0FD26">
      <w:start w:val="1"/>
      <w:numFmt w:val="decimal"/>
      <w:lvlText w:val="%5."/>
      <w:lvlJc w:val="left"/>
      <w:pPr>
        <w:tabs>
          <w:tab w:val="num" w:pos="3600"/>
        </w:tabs>
        <w:ind w:left="3600" w:hanging="360"/>
      </w:pPr>
    </w:lvl>
    <w:lvl w:ilvl="5" w:tplc="36BA06AE">
      <w:start w:val="1"/>
      <w:numFmt w:val="decimal"/>
      <w:lvlText w:val="%6."/>
      <w:lvlJc w:val="left"/>
      <w:pPr>
        <w:tabs>
          <w:tab w:val="num" w:pos="4320"/>
        </w:tabs>
        <w:ind w:left="4320" w:hanging="360"/>
      </w:pPr>
    </w:lvl>
    <w:lvl w:ilvl="6" w:tplc="7EE49964">
      <w:start w:val="1"/>
      <w:numFmt w:val="decimal"/>
      <w:lvlText w:val="%7."/>
      <w:lvlJc w:val="left"/>
      <w:pPr>
        <w:tabs>
          <w:tab w:val="num" w:pos="5040"/>
        </w:tabs>
        <w:ind w:left="5040" w:hanging="360"/>
      </w:pPr>
    </w:lvl>
    <w:lvl w:ilvl="7" w:tplc="234C7636">
      <w:start w:val="1"/>
      <w:numFmt w:val="decimal"/>
      <w:lvlText w:val="%8."/>
      <w:lvlJc w:val="left"/>
      <w:pPr>
        <w:tabs>
          <w:tab w:val="num" w:pos="5760"/>
        </w:tabs>
        <w:ind w:left="5760" w:hanging="360"/>
      </w:pPr>
    </w:lvl>
    <w:lvl w:ilvl="8" w:tplc="71F06114">
      <w:start w:val="1"/>
      <w:numFmt w:val="decimal"/>
      <w:lvlText w:val="%9."/>
      <w:lvlJc w:val="left"/>
      <w:pPr>
        <w:tabs>
          <w:tab w:val="num" w:pos="6480"/>
        </w:tabs>
        <w:ind w:left="6480" w:hanging="360"/>
      </w:pPr>
    </w:lvl>
  </w:abstractNum>
  <w:abstractNum w:abstractNumId="9" w15:restartNumberingAfterBreak="0">
    <w:nsid w:val="168513AC"/>
    <w:multiLevelType w:val="hybridMultilevel"/>
    <w:tmpl w:val="E67A70A2"/>
    <w:lvl w:ilvl="0" w:tplc="7234B4E4">
      <w:start w:val="1"/>
      <w:numFmt w:val="decimal"/>
      <w:lvlText w:val="%1."/>
      <w:lvlJc w:val="left"/>
      <w:pPr>
        <w:tabs>
          <w:tab w:val="num" w:pos="720"/>
        </w:tabs>
        <w:ind w:left="720" w:hanging="360"/>
      </w:pPr>
    </w:lvl>
    <w:lvl w:ilvl="1" w:tplc="3650E426">
      <w:start w:val="1"/>
      <w:numFmt w:val="decimal"/>
      <w:lvlText w:val="%2."/>
      <w:lvlJc w:val="left"/>
      <w:pPr>
        <w:tabs>
          <w:tab w:val="num" w:pos="1440"/>
        </w:tabs>
        <w:ind w:left="1440" w:hanging="360"/>
      </w:pPr>
    </w:lvl>
    <w:lvl w:ilvl="2" w:tplc="20D84B7A">
      <w:start w:val="1"/>
      <w:numFmt w:val="decimal"/>
      <w:lvlText w:val="%3."/>
      <w:lvlJc w:val="left"/>
      <w:pPr>
        <w:tabs>
          <w:tab w:val="num" w:pos="2160"/>
        </w:tabs>
        <w:ind w:left="2160" w:hanging="360"/>
      </w:pPr>
    </w:lvl>
    <w:lvl w:ilvl="3" w:tplc="E2E27362">
      <w:start w:val="1"/>
      <w:numFmt w:val="decimal"/>
      <w:lvlText w:val="%4."/>
      <w:lvlJc w:val="left"/>
      <w:pPr>
        <w:tabs>
          <w:tab w:val="num" w:pos="2880"/>
        </w:tabs>
        <w:ind w:left="2880" w:hanging="360"/>
      </w:pPr>
    </w:lvl>
    <w:lvl w:ilvl="4" w:tplc="0F36D0B8">
      <w:start w:val="1"/>
      <w:numFmt w:val="decimal"/>
      <w:lvlText w:val="%5."/>
      <w:lvlJc w:val="left"/>
      <w:pPr>
        <w:tabs>
          <w:tab w:val="num" w:pos="3600"/>
        </w:tabs>
        <w:ind w:left="3600" w:hanging="360"/>
      </w:pPr>
    </w:lvl>
    <w:lvl w:ilvl="5" w:tplc="B34E5648">
      <w:start w:val="1"/>
      <w:numFmt w:val="decimal"/>
      <w:lvlText w:val="%6."/>
      <w:lvlJc w:val="left"/>
      <w:pPr>
        <w:tabs>
          <w:tab w:val="num" w:pos="4320"/>
        </w:tabs>
        <w:ind w:left="4320" w:hanging="360"/>
      </w:pPr>
    </w:lvl>
    <w:lvl w:ilvl="6" w:tplc="95E62794">
      <w:start w:val="1"/>
      <w:numFmt w:val="decimal"/>
      <w:lvlText w:val="%7."/>
      <w:lvlJc w:val="left"/>
      <w:pPr>
        <w:tabs>
          <w:tab w:val="num" w:pos="5040"/>
        </w:tabs>
        <w:ind w:left="5040" w:hanging="360"/>
      </w:pPr>
    </w:lvl>
    <w:lvl w:ilvl="7" w:tplc="D3AE3636">
      <w:start w:val="1"/>
      <w:numFmt w:val="decimal"/>
      <w:lvlText w:val="%8."/>
      <w:lvlJc w:val="left"/>
      <w:pPr>
        <w:tabs>
          <w:tab w:val="num" w:pos="5760"/>
        </w:tabs>
        <w:ind w:left="5760" w:hanging="360"/>
      </w:pPr>
    </w:lvl>
    <w:lvl w:ilvl="8" w:tplc="233C251E">
      <w:start w:val="1"/>
      <w:numFmt w:val="decimal"/>
      <w:lvlText w:val="%9."/>
      <w:lvlJc w:val="left"/>
      <w:pPr>
        <w:tabs>
          <w:tab w:val="num" w:pos="6480"/>
        </w:tabs>
        <w:ind w:left="6480" w:hanging="360"/>
      </w:pPr>
    </w:lvl>
  </w:abstractNum>
  <w:abstractNum w:abstractNumId="10" w15:restartNumberingAfterBreak="0">
    <w:nsid w:val="18540CEB"/>
    <w:multiLevelType w:val="hybridMultilevel"/>
    <w:tmpl w:val="7B3C166A"/>
    <w:lvl w:ilvl="0" w:tplc="600ABBEC">
      <w:start w:val="1"/>
      <w:numFmt w:val="decimal"/>
      <w:lvlText w:val="%1."/>
      <w:lvlJc w:val="left"/>
      <w:pPr>
        <w:tabs>
          <w:tab w:val="num" w:pos="720"/>
        </w:tabs>
        <w:ind w:left="720" w:hanging="360"/>
      </w:pPr>
    </w:lvl>
    <w:lvl w:ilvl="1" w:tplc="F5CEA4BC">
      <w:start w:val="1"/>
      <w:numFmt w:val="decimal"/>
      <w:lvlText w:val="%2."/>
      <w:lvlJc w:val="left"/>
      <w:pPr>
        <w:tabs>
          <w:tab w:val="num" w:pos="1440"/>
        </w:tabs>
        <w:ind w:left="1440" w:hanging="360"/>
      </w:pPr>
    </w:lvl>
    <w:lvl w:ilvl="2" w:tplc="321E1AA2">
      <w:start w:val="1"/>
      <w:numFmt w:val="decimal"/>
      <w:lvlText w:val="%3."/>
      <w:lvlJc w:val="left"/>
      <w:pPr>
        <w:tabs>
          <w:tab w:val="num" w:pos="2160"/>
        </w:tabs>
        <w:ind w:left="2160" w:hanging="360"/>
      </w:pPr>
    </w:lvl>
    <w:lvl w:ilvl="3" w:tplc="1652AA62">
      <w:start w:val="1"/>
      <w:numFmt w:val="decimal"/>
      <w:lvlText w:val="%4."/>
      <w:lvlJc w:val="left"/>
      <w:pPr>
        <w:tabs>
          <w:tab w:val="num" w:pos="2880"/>
        </w:tabs>
        <w:ind w:left="2880" w:hanging="360"/>
      </w:pPr>
    </w:lvl>
    <w:lvl w:ilvl="4" w:tplc="E6B8DF42">
      <w:start w:val="1"/>
      <w:numFmt w:val="decimal"/>
      <w:lvlText w:val="%5."/>
      <w:lvlJc w:val="left"/>
      <w:pPr>
        <w:tabs>
          <w:tab w:val="num" w:pos="3600"/>
        </w:tabs>
        <w:ind w:left="3600" w:hanging="360"/>
      </w:pPr>
    </w:lvl>
    <w:lvl w:ilvl="5" w:tplc="63842D98">
      <w:start w:val="1"/>
      <w:numFmt w:val="decimal"/>
      <w:lvlText w:val="%6."/>
      <w:lvlJc w:val="left"/>
      <w:pPr>
        <w:tabs>
          <w:tab w:val="num" w:pos="4320"/>
        </w:tabs>
        <w:ind w:left="4320" w:hanging="360"/>
      </w:pPr>
    </w:lvl>
    <w:lvl w:ilvl="6" w:tplc="91329B96">
      <w:start w:val="1"/>
      <w:numFmt w:val="decimal"/>
      <w:lvlText w:val="%7."/>
      <w:lvlJc w:val="left"/>
      <w:pPr>
        <w:tabs>
          <w:tab w:val="num" w:pos="5040"/>
        </w:tabs>
        <w:ind w:left="5040" w:hanging="360"/>
      </w:pPr>
    </w:lvl>
    <w:lvl w:ilvl="7" w:tplc="6540CCAC">
      <w:start w:val="1"/>
      <w:numFmt w:val="decimal"/>
      <w:lvlText w:val="%8."/>
      <w:lvlJc w:val="left"/>
      <w:pPr>
        <w:tabs>
          <w:tab w:val="num" w:pos="5760"/>
        </w:tabs>
        <w:ind w:left="5760" w:hanging="360"/>
      </w:pPr>
    </w:lvl>
    <w:lvl w:ilvl="8" w:tplc="6B0C13B2">
      <w:start w:val="1"/>
      <w:numFmt w:val="decimal"/>
      <w:lvlText w:val="%9."/>
      <w:lvlJc w:val="left"/>
      <w:pPr>
        <w:tabs>
          <w:tab w:val="num" w:pos="6480"/>
        </w:tabs>
        <w:ind w:left="6480" w:hanging="360"/>
      </w:pPr>
    </w:lvl>
  </w:abstractNum>
  <w:abstractNum w:abstractNumId="1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2C0D28"/>
    <w:multiLevelType w:val="hybridMultilevel"/>
    <w:tmpl w:val="751890D8"/>
    <w:lvl w:ilvl="0" w:tplc="62B2B2E4">
      <w:start w:val="1"/>
      <w:numFmt w:val="ideographLegalTraditional"/>
      <w:lvlText w:val="%1、"/>
      <w:lvlJc w:val="left"/>
      <w:pPr>
        <w:ind w:left="1572" w:hanging="720"/>
      </w:pPr>
      <w:rPr>
        <w:rFonts w:hint="default"/>
        <w:b/>
        <w:lang w:val="x-none"/>
      </w:rPr>
    </w:lvl>
    <w:lvl w:ilvl="1" w:tplc="4142F6B4">
      <w:start w:val="1"/>
      <w:numFmt w:val="taiwaneseCountingThousand"/>
      <w:lvlText w:val="%2、"/>
      <w:lvlJc w:val="left"/>
      <w:pPr>
        <w:ind w:left="1758" w:hanging="480"/>
      </w:pPr>
      <w:rPr>
        <w:rFonts w:ascii="標楷體" w:eastAsia="標楷體" w:hAnsi="標楷體" w:hint="eastAsia"/>
        <w:b w:val="0"/>
        <w:sz w:val="32"/>
        <w:szCs w:val="32"/>
        <w:lang w:val="en-US"/>
      </w:rPr>
    </w:lvl>
    <w:lvl w:ilvl="2" w:tplc="0824C022">
      <w:start w:val="1"/>
      <w:numFmt w:val="taiwaneseCountingThousand"/>
      <w:lvlText w:val="(%3)"/>
      <w:lvlJc w:val="left"/>
      <w:pPr>
        <w:ind w:left="2325" w:hanging="480"/>
      </w:pPr>
      <w:rPr>
        <w:rFonts w:hint="eastAsia"/>
        <w:sz w:val="32"/>
        <w:szCs w:val="32"/>
      </w:rPr>
    </w:lvl>
    <w:lvl w:ilvl="3" w:tplc="0409000F">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26746E0C"/>
    <w:multiLevelType w:val="hybridMultilevel"/>
    <w:tmpl w:val="3E6E6F60"/>
    <w:lvl w:ilvl="0" w:tplc="A7A26EF6">
      <w:start w:val="1"/>
      <w:numFmt w:val="taiwaneseCountingThousand"/>
      <w:lvlText w:val="%1、"/>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BFE50DD"/>
    <w:multiLevelType w:val="hybridMultilevel"/>
    <w:tmpl w:val="9826943C"/>
    <w:lvl w:ilvl="0" w:tplc="38CEA334">
      <w:start w:val="1"/>
      <w:numFmt w:val="taiwaneseCountingThousand"/>
      <w:suff w:val="nothing"/>
      <w:lvlText w:val="%1、"/>
      <w:lvlJc w:val="left"/>
      <w:pPr>
        <w:ind w:left="5300" w:hanging="480"/>
      </w:pPr>
      <w:rPr>
        <w:rFonts w:ascii="標楷體" w:eastAsia="標楷體" w:hAnsi="標楷體" w:hint="default"/>
        <w:sz w:val="32"/>
        <w:szCs w:val="32"/>
        <w:lang w:val="en-US"/>
      </w:rPr>
    </w:lvl>
    <w:lvl w:ilvl="1" w:tplc="04090019">
      <w:start w:val="1"/>
      <w:numFmt w:val="ideographTraditional"/>
      <w:lvlText w:val="%2、"/>
      <w:lvlJc w:val="left"/>
      <w:pPr>
        <w:tabs>
          <w:tab w:val="num" w:pos="960"/>
        </w:tabs>
        <w:ind w:left="960" w:hanging="480"/>
      </w:pPr>
    </w:lvl>
    <w:lvl w:ilvl="2" w:tplc="A404BA22">
      <w:start w:val="1"/>
      <w:numFmt w:val="taiwaneseCountingThousand"/>
      <w:lvlText w:val="（%3）"/>
      <w:lvlJc w:val="left"/>
      <w:pPr>
        <w:tabs>
          <w:tab w:val="num" w:pos="2040"/>
        </w:tabs>
        <w:ind w:left="2040" w:hanging="10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6633FE"/>
    <w:multiLevelType w:val="hybridMultilevel"/>
    <w:tmpl w:val="C7C20B44"/>
    <w:lvl w:ilvl="0" w:tplc="6B168720">
      <w:start w:val="1"/>
      <w:numFmt w:val="decimal"/>
      <w:lvlText w:val="%1."/>
      <w:lvlJc w:val="left"/>
      <w:pPr>
        <w:tabs>
          <w:tab w:val="num" w:pos="720"/>
        </w:tabs>
        <w:ind w:left="720" w:hanging="360"/>
      </w:pPr>
    </w:lvl>
    <w:lvl w:ilvl="1" w:tplc="4EA804A8">
      <w:start w:val="1"/>
      <w:numFmt w:val="decimal"/>
      <w:lvlText w:val="%2."/>
      <w:lvlJc w:val="left"/>
      <w:pPr>
        <w:tabs>
          <w:tab w:val="num" w:pos="1440"/>
        </w:tabs>
        <w:ind w:left="1440" w:hanging="360"/>
      </w:pPr>
    </w:lvl>
    <w:lvl w:ilvl="2" w:tplc="1972943E">
      <w:start w:val="1"/>
      <w:numFmt w:val="decimal"/>
      <w:lvlText w:val="%3."/>
      <w:lvlJc w:val="left"/>
      <w:pPr>
        <w:tabs>
          <w:tab w:val="num" w:pos="2160"/>
        </w:tabs>
        <w:ind w:left="2160" w:hanging="360"/>
      </w:pPr>
    </w:lvl>
    <w:lvl w:ilvl="3" w:tplc="BD842706">
      <w:start w:val="1"/>
      <w:numFmt w:val="decimal"/>
      <w:lvlText w:val="%4."/>
      <w:lvlJc w:val="left"/>
      <w:pPr>
        <w:tabs>
          <w:tab w:val="num" w:pos="2880"/>
        </w:tabs>
        <w:ind w:left="2880" w:hanging="360"/>
      </w:pPr>
    </w:lvl>
    <w:lvl w:ilvl="4" w:tplc="999A1EEE">
      <w:start w:val="1"/>
      <w:numFmt w:val="decimal"/>
      <w:lvlText w:val="%5."/>
      <w:lvlJc w:val="left"/>
      <w:pPr>
        <w:tabs>
          <w:tab w:val="num" w:pos="3600"/>
        </w:tabs>
        <w:ind w:left="3600" w:hanging="360"/>
      </w:pPr>
    </w:lvl>
    <w:lvl w:ilvl="5" w:tplc="E26A8AA4">
      <w:start w:val="1"/>
      <w:numFmt w:val="decimal"/>
      <w:lvlText w:val="%6."/>
      <w:lvlJc w:val="left"/>
      <w:pPr>
        <w:tabs>
          <w:tab w:val="num" w:pos="4320"/>
        </w:tabs>
        <w:ind w:left="4320" w:hanging="360"/>
      </w:pPr>
    </w:lvl>
    <w:lvl w:ilvl="6" w:tplc="4872911C">
      <w:start w:val="1"/>
      <w:numFmt w:val="decimal"/>
      <w:lvlText w:val="%7."/>
      <w:lvlJc w:val="left"/>
      <w:pPr>
        <w:tabs>
          <w:tab w:val="num" w:pos="5040"/>
        </w:tabs>
        <w:ind w:left="5040" w:hanging="360"/>
      </w:pPr>
    </w:lvl>
    <w:lvl w:ilvl="7" w:tplc="605ADDDE">
      <w:start w:val="1"/>
      <w:numFmt w:val="decimal"/>
      <w:lvlText w:val="%8."/>
      <w:lvlJc w:val="left"/>
      <w:pPr>
        <w:tabs>
          <w:tab w:val="num" w:pos="5760"/>
        </w:tabs>
        <w:ind w:left="5760" w:hanging="360"/>
      </w:pPr>
    </w:lvl>
    <w:lvl w:ilvl="8" w:tplc="2C02CFA4">
      <w:start w:val="1"/>
      <w:numFmt w:val="decimal"/>
      <w:lvlText w:val="%9."/>
      <w:lvlJc w:val="left"/>
      <w:pPr>
        <w:tabs>
          <w:tab w:val="num" w:pos="6480"/>
        </w:tabs>
        <w:ind w:left="6480" w:hanging="360"/>
      </w:pPr>
    </w:lvl>
  </w:abstractNum>
  <w:abstractNum w:abstractNumId="21" w15:restartNumberingAfterBreak="0">
    <w:nsid w:val="56925756"/>
    <w:multiLevelType w:val="hybridMultilevel"/>
    <w:tmpl w:val="9EF471A4"/>
    <w:lvl w:ilvl="0" w:tplc="091274B8">
      <w:start w:val="1"/>
      <w:numFmt w:val="decimal"/>
      <w:lvlText w:val="%1."/>
      <w:lvlJc w:val="left"/>
      <w:pPr>
        <w:tabs>
          <w:tab w:val="num" w:pos="720"/>
        </w:tabs>
        <w:ind w:left="720" w:hanging="360"/>
      </w:pPr>
    </w:lvl>
    <w:lvl w:ilvl="1" w:tplc="374A74DC">
      <w:start w:val="1"/>
      <w:numFmt w:val="decimal"/>
      <w:lvlText w:val="%2."/>
      <w:lvlJc w:val="left"/>
      <w:pPr>
        <w:tabs>
          <w:tab w:val="num" w:pos="1440"/>
        </w:tabs>
        <w:ind w:left="1440" w:hanging="360"/>
      </w:pPr>
    </w:lvl>
    <w:lvl w:ilvl="2" w:tplc="BDF29B4C">
      <w:start w:val="1"/>
      <w:numFmt w:val="decimal"/>
      <w:lvlText w:val="%3."/>
      <w:lvlJc w:val="left"/>
      <w:pPr>
        <w:tabs>
          <w:tab w:val="num" w:pos="2160"/>
        </w:tabs>
        <w:ind w:left="2160" w:hanging="360"/>
      </w:pPr>
    </w:lvl>
    <w:lvl w:ilvl="3" w:tplc="3F9C9EE8">
      <w:start w:val="1"/>
      <w:numFmt w:val="decimal"/>
      <w:lvlText w:val="%4."/>
      <w:lvlJc w:val="left"/>
      <w:pPr>
        <w:tabs>
          <w:tab w:val="num" w:pos="2880"/>
        </w:tabs>
        <w:ind w:left="2880" w:hanging="360"/>
      </w:pPr>
    </w:lvl>
    <w:lvl w:ilvl="4" w:tplc="CC48919E">
      <w:start w:val="1"/>
      <w:numFmt w:val="decimal"/>
      <w:lvlText w:val="%5."/>
      <w:lvlJc w:val="left"/>
      <w:pPr>
        <w:tabs>
          <w:tab w:val="num" w:pos="3600"/>
        </w:tabs>
        <w:ind w:left="3600" w:hanging="360"/>
      </w:pPr>
    </w:lvl>
    <w:lvl w:ilvl="5" w:tplc="D3BC522E">
      <w:start w:val="1"/>
      <w:numFmt w:val="decimal"/>
      <w:lvlText w:val="%6."/>
      <w:lvlJc w:val="left"/>
      <w:pPr>
        <w:tabs>
          <w:tab w:val="num" w:pos="4320"/>
        </w:tabs>
        <w:ind w:left="4320" w:hanging="360"/>
      </w:pPr>
    </w:lvl>
    <w:lvl w:ilvl="6" w:tplc="062C4808">
      <w:start w:val="1"/>
      <w:numFmt w:val="decimal"/>
      <w:lvlText w:val="%7."/>
      <w:lvlJc w:val="left"/>
      <w:pPr>
        <w:tabs>
          <w:tab w:val="num" w:pos="5040"/>
        </w:tabs>
        <w:ind w:left="5040" w:hanging="360"/>
      </w:pPr>
    </w:lvl>
    <w:lvl w:ilvl="7" w:tplc="DFF8E48A">
      <w:start w:val="1"/>
      <w:numFmt w:val="decimal"/>
      <w:lvlText w:val="%8."/>
      <w:lvlJc w:val="left"/>
      <w:pPr>
        <w:tabs>
          <w:tab w:val="num" w:pos="5760"/>
        </w:tabs>
        <w:ind w:left="5760" w:hanging="360"/>
      </w:pPr>
    </w:lvl>
    <w:lvl w:ilvl="8" w:tplc="07827F88">
      <w:start w:val="1"/>
      <w:numFmt w:val="decimal"/>
      <w:lvlText w:val="%9."/>
      <w:lvlJc w:val="left"/>
      <w:pPr>
        <w:tabs>
          <w:tab w:val="num" w:pos="6480"/>
        </w:tabs>
        <w:ind w:left="6480" w:hanging="36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B219E8"/>
    <w:multiLevelType w:val="hybridMultilevel"/>
    <w:tmpl w:val="02CEF32C"/>
    <w:lvl w:ilvl="0" w:tplc="6ACEC848">
      <w:start w:val="1"/>
      <w:numFmt w:val="decimal"/>
      <w:lvlText w:val="%1."/>
      <w:lvlJc w:val="left"/>
      <w:pPr>
        <w:tabs>
          <w:tab w:val="num" w:pos="720"/>
        </w:tabs>
        <w:ind w:left="720" w:hanging="360"/>
      </w:pPr>
    </w:lvl>
    <w:lvl w:ilvl="1" w:tplc="028C337A">
      <w:start w:val="1"/>
      <w:numFmt w:val="decimal"/>
      <w:lvlText w:val="%2."/>
      <w:lvlJc w:val="left"/>
      <w:pPr>
        <w:tabs>
          <w:tab w:val="num" w:pos="1440"/>
        </w:tabs>
        <w:ind w:left="1440" w:hanging="360"/>
      </w:pPr>
    </w:lvl>
    <w:lvl w:ilvl="2" w:tplc="5456CF22">
      <w:start w:val="1"/>
      <w:numFmt w:val="decimal"/>
      <w:lvlText w:val="%3."/>
      <w:lvlJc w:val="left"/>
      <w:pPr>
        <w:tabs>
          <w:tab w:val="num" w:pos="2160"/>
        </w:tabs>
        <w:ind w:left="2160" w:hanging="360"/>
      </w:pPr>
    </w:lvl>
    <w:lvl w:ilvl="3" w:tplc="EBA0DD60">
      <w:start w:val="1"/>
      <w:numFmt w:val="decimal"/>
      <w:lvlText w:val="%4."/>
      <w:lvlJc w:val="left"/>
      <w:pPr>
        <w:tabs>
          <w:tab w:val="num" w:pos="2880"/>
        </w:tabs>
        <w:ind w:left="2880" w:hanging="360"/>
      </w:pPr>
    </w:lvl>
    <w:lvl w:ilvl="4" w:tplc="564893D6">
      <w:start w:val="1"/>
      <w:numFmt w:val="decimal"/>
      <w:lvlText w:val="%5."/>
      <w:lvlJc w:val="left"/>
      <w:pPr>
        <w:tabs>
          <w:tab w:val="num" w:pos="3600"/>
        </w:tabs>
        <w:ind w:left="3600" w:hanging="360"/>
      </w:pPr>
    </w:lvl>
    <w:lvl w:ilvl="5" w:tplc="256C07A4">
      <w:start w:val="1"/>
      <w:numFmt w:val="decimal"/>
      <w:lvlText w:val="%6."/>
      <w:lvlJc w:val="left"/>
      <w:pPr>
        <w:tabs>
          <w:tab w:val="num" w:pos="4320"/>
        </w:tabs>
        <w:ind w:left="4320" w:hanging="360"/>
      </w:pPr>
    </w:lvl>
    <w:lvl w:ilvl="6" w:tplc="65B2B818">
      <w:start w:val="1"/>
      <w:numFmt w:val="decimal"/>
      <w:lvlText w:val="%7."/>
      <w:lvlJc w:val="left"/>
      <w:pPr>
        <w:tabs>
          <w:tab w:val="num" w:pos="5040"/>
        </w:tabs>
        <w:ind w:left="5040" w:hanging="360"/>
      </w:pPr>
    </w:lvl>
    <w:lvl w:ilvl="7" w:tplc="03180530">
      <w:start w:val="1"/>
      <w:numFmt w:val="decimal"/>
      <w:lvlText w:val="%8."/>
      <w:lvlJc w:val="left"/>
      <w:pPr>
        <w:tabs>
          <w:tab w:val="num" w:pos="5760"/>
        </w:tabs>
        <w:ind w:left="5760" w:hanging="360"/>
      </w:pPr>
    </w:lvl>
    <w:lvl w:ilvl="8" w:tplc="62D89186">
      <w:start w:val="1"/>
      <w:numFmt w:val="decimal"/>
      <w:lvlText w:val="%9."/>
      <w:lvlJc w:val="left"/>
      <w:pPr>
        <w:tabs>
          <w:tab w:val="num" w:pos="6480"/>
        </w:tabs>
        <w:ind w:left="6480" w:hanging="360"/>
      </w:pPr>
    </w:lvl>
  </w:abstractNum>
  <w:abstractNum w:abstractNumId="24" w15:restartNumberingAfterBreak="0">
    <w:nsid w:val="621E548A"/>
    <w:multiLevelType w:val="hybridMultilevel"/>
    <w:tmpl w:val="DD2A3DEA"/>
    <w:lvl w:ilvl="0" w:tplc="838C1CA4">
      <w:start w:val="1"/>
      <w:numFmt w:val="decimal"/>
      <w:lvlText w:val="%1."/>
      <w:lvlJc w:val="left"/>
      <w:pPr>
        <w:tabs>
          <w:tab w:val="num" w:pos="720"/>
        </w:tabs>
        <w:ind w:left="720" w:hanging="360"/>
      </w:pPr>
    </w:lvl>
    <w:lvl w:ilvl="1" w:tplc="29F8583E">
      <w:start w:val="1"/>
      <w:numFmt w:val="decimal"/>
      <w:lvlText w:val="%2."/>
      <w:lvlJc w:val="left"/>
      <w:pPr>
        <w:tabs>
          <w:tab w:val="num" w:pos="1440"/>
        </w:tabs>
        <w:ind w:left="1440" w:hanging="360"/>
      </w:pPr>
    </w:lvl>
    <w:lvl w:ilvl="2" w:tplc="CCD47FFC">
      <w:start w:val="1"/>
      <w:numFmt w:val="decimal"/>
      <w:lvlText w:val="%3."/>
      <w:lvlJc w:val="left"/>
      <w:pPr>
        <w:tabs>
          <w:tab w:val="num" w:pos="2160"/>
        </w:tabs>
        <w:ind w:left="2160" w:hanging="360"/>
      </w:pPr>
    </w:lvl>
    <w:lvl w:ilvl="3" w:tplc="7AB85B1E">
      <w:start w:val="1"/>
      <w:numFmt w:val="decimal"/>
      <w:lvlText w:val="%4."/>
      <w:lvlJc w:val="left"/>
      <w:pPr>
        <w:tabs>
          <w:tab w:val="num" w:pos="2880"/>
        </w:tabs>
        <w:ind w:left="2880" w:hanging="360"/>
      </w:pPr>
    </w:lvl>
    <w:lvl w:ilvl="4" w:tplc="0D9ED682">
      <w:start w:val="1"/>
      <w:numFmt w:val="decimal"/>
      <w:lvlText w:val="%5."/>
      <w:lvlJc w:val="left"/>
      <w:pPr>
        <w:tabs>
          <w:tab w:val="num" w:pos="3600"/>
        </w:tabs>
        <w:ind w:left="3600" w:hanging="360"/>
      </w:pPr>
    </w:lvl>
    <w:lvl w:ilvl="5" w:tplc="E2B4B324">
      <w:start w:val="1"/>
      <w:numFmt w:val="decimal"/>
      <w:lvlText w:val="%6."/>
      <w:lvlJc w:val="left"/>
      <w:pPr>
        <w:tabs>
          <w:tab w:val="num" w:pos="4320"/>
        </w:tabs>
        <w:ind w:left="4320" w:hanging="360"/>
      </w:pPr>
    </w:lvl>
    <w:lvl w:ilvl="6" w:tplc="DAC423CA">
      <w:start w:val="1"/>
      <w:numFmt w:val="decimal"/>
      <w:lvlText w:val="%7."/>
      <w:lvlJc w:val="left"/>
      <w:pPr>
        <w:tabs>
          <w:tab w:val="num" w:pos="5040"/>
        </w:tabs>
        <w:ind w:left="5040" w:hanging="360"/>
      </w:pPr>
    </w:lvl>
    <w:lvl w:ilvl="7" w:tplc="3DDC88D6">
      <w:start w:val="1"/>
      <w:numFmt w:val="decimal"/>
      <w:lvlText w:val="%8."/>
      <w:lvlJc w:val="left"/>
      <w:pPr>
        <w:tabs>
          <w:tab w:val="num" w:pos="5760"/>
        </w:tabs>
        <w:ind w:left="5760" w:hanging="360"/>
      </w:pPr>
    </w:lvl>
    <w:lvl w:ilvl="8" w:tplc="0B5E96A4">
      <w:start w:val="1"/>
      <w:numFmt w:val="decimal"/>
      <w:lvlText w:val="%9."/>
      <w:lvlJc w:val="left"/>
      <w:pPr>
        <w:tabs>
          <w:tab w:val="num" w:pos="6480"/>
        </w:tabs>
        <w:ind w:left="6480" w:hanging="360"/>
      </w:pPr>
    </w:lvl>
  </w:abstractNum>
  <w:abstractNum w:abstractNumId="25" w15:restartNumberingAfterBreak="0">
    <w:nsid w:val="62546A4A"/>
    <w:multiLevelType w:val="hybridMultilevel"/>
    <w:tmpl w:val="E0C44700"/>
    <w:lvl w:ilvl="0" w:tplc="60CE231C">
      <w:start w:val="1"/>
      <w:numFmt w:val="decimal"/>
      <w:lvlText w:val="%1."/>
      <w:lvlJc w:val="left"/>
      <w:pPr>
        <w:tabs>
          <w:tab w:val="num" w:pos="720"/>
        </w:tabs>
        <w:ind w:left="720" w:hanging="360"/>
      </w:pPr>
    </w:lvl>
    <w:lvl w:ilvl="1" w:tplc="76144572">
      <w:start w:val="1"/>
      <w:numFmt w:val="decimal"/>
      <w:lvlText w:val="%2."/>
      <w:lvlJc w:val="left"/>
      <w:pPr>
        <w:tabs>
          <w:tab w:val="num" w:pos="1440"/>
        </w:tabs>
        <w:ind w:left="1440" w:hanging="360"/>
      </w:pPr>
    </w:lvl>
    <w:lvl w:ilvl="2" w:tplc="92649456">
      <w:start w:val="1"/>
      <w:numFmt w:val="decimal"/>
      <w:lvlText w:val="%3."/>
      <w:lvlJc w:val="left"/>
      <w:pPr>
        <w:tabs>
          <w:tab w:val="num" w:pos="2160"/>
        </w:tabs>
        <w:ind w:left="2160" w:hanging="360"/>
      </w:pPr>
    </w:lvl>
    <w:lvl w:ilvl="3" w:tplc="10DE7EE0">
      <w:start w:val="1"/>
      <w:numFmt w:val="decimal"/>
      <w:lvlText w:val="%4."/>
      <w:lvlJc w:val="left"/>
      <w:pPr>
        <w:tabs>
          <w:tab w:val="num" w:pos="2880"/>
        </w:tabs>
        <w:ind w:left="2880" w:hanging="360"/>
      </w:pPr>
    </w:lvl>
    <w:lvl w:ilvl="4" w:tplc="C7188174">
      <w:start w:val="1"/>
      <w:numFmt w:val="decimal"/>
      <w:lvlText w:val="%5."/>
      <w:lvlJc w:val="left"/>
      <w:pPr>
        <w:tabs>
          <w:tab w:val="num" w:pos="3600"/>
        </w:tabs>
        <w:ind w:left="3600" w:hanging="360"/>
      </w:pPr>
    </w:lvl>
    <w:lvl w:ilvl="5" w:tplc="C706B962">
      <w:start w:val="1"/>
      <w:numFmt w:val="decimal"/>
      <w:lvlText w:val="%6."/>
      <w:lvlJc w:val="left"/>
      <w:pPr>
        <w:tabs>
          <w:tab w:val="num" w:pos="4320"/>
        </w:tabs>
        <w:ind w:left="4320" w:hanging="360"/>
      </w:pPr>
    </w:lvl>
    <w:lvl w:ilvl="6" w:tplc="57D6395E">
      <w:start w:val="1"/>
      <w:numFmt w:val="decimal"/>
      <w:lvlText w:val="%7."/>
      <w:lvlJc w:val="left"/>
      <w:pPr>
        <w:tabs>
          <w:tab w:val="num" w:pos="5040"/>
        </w:tabs>
        <w:ind w:left="5040" w:hanging="360"/>
      </w:pPr>
    </w:lvl>
    <w:lvl w:ilvl="7" w:tplc="14AA3920">
      <w:start w:val="1"/>
      <w:numFmt w:val="decimal"/>
      <w:lvlText w:val="%8."/>
      <w:lvlJc w:val="left"/>
      <w:pPr>
        <w:tabs>
          <w:tab w:val="num" w:pos="5760"/>
        </w:tabs>
        <w:ind w:left="5760" w:hanging="360"/>
      </w:pPr>
    </w:lvl>
    <w:lvl w:ilvl="8" w:tplc="134485EE">
      <w:start w:val="1"/>
      <w:numFmt w:val="decimal"/>
      <w:lvlText w:val="%9."/>
      <w:lvlJc w:val="left"/>
      <w:pPr>
        <w:tabs>
          <w:tab w:val="num" w:pos="6480"/>
        </w:tabs>
        <w:ind w:left="6480" w:hanging="360"/>
      </w:pPr>
    </w:lvl>
  </w:abstractNum>
  <w:abstractNum w:abstractNumId="26" w15:restartNumberingAfterBreak="0">
    <w:nsid w:val="6B4162E4"/>
    <w:multiLevelType w:val="hybridMultilevel"/>
    <w:tmpl w:val="42EE049E"/>
    <w:lvl w:ilvl="0" w:tplc="7A70841E">
      <w:start w:val="1"/>
      <w:numFmt w:val="decimal"/>
      <w:lvlText w:val="%1."/>
      <w:lvlJc w:val="left"/>
      <w:pPr>
        <w:tabs>
          <w:tab w:val="num" w:pos="720"/>
        </w:tabs>
        <w:ind w:left="720" w:hanging="360"/>
      </w:pPr>
    </w:lvl>
    <w:lvl w:ilvl="1" w:tplc="E6EA2D00">
      <w:start w:val="1"/>
      <w:numFmt w:val="decimal"/>
      <w:lvlText w:val="%2."/>
      <w:lvlJc w:val="left"/>
      <w:pPr>
        <w:tabs>
          <w:tab w:val="num" w:pos="1440"/>
        </w:tabs>
        <w:ind w:left="1440" w:hanging="360"/>
      </w:pPr>
    </w:lvl>
    <w:lvl w:ilvl="2" w:tplc="B54A4BE0">
      <w:start w:val="1"/>
      <w:numFmt w:val="decimal"/>
      <w:lvlText w:val="%3."/>
      <w:lvlJc w:val="left"/>
      <w:pPr>
        <w:tabs>
          <w:tab w:val="num" w:pos="2160"/>
        </w:tabs>
        <w:ind w:left="2160" w:hanging="360"/>
      </w:pPr>
    </w:lvl>
    <w:lvl w:ilvl="3" w:tplc="3116978A">
      <w:start w:val="1"/>
      <w:numFmt w:val="decimal"/>
      <w:lvlText w:val="%4."/>
      <w:lvlJc w:val="left"/>
      <w:pPr>
        <w:tabs>
          <w:tab w:val="num" w:pos="2880"/>
        </w:tabs>
        <w:ind w:left="2880" w:hanging="360"/>
      </w:pPr>
    </w:lvl>
    <w:lvl w:ilvl="4" w:tplc="17D0FD26">
      <w:start w:val="1"/>
      <w:numFmt w:val="decimal"/>
      <w:lvlText w:val="%5."/>
      <w:lvlJc w:val="left"/>
      <w:pPr>
        <w:tabs>
          <w:tab w:val="num" w:pos="3600"/>
        </w:tabs>
        <w:ind w:left="3600" w:hanging="360"/>
      </w:pPr>
    </w:lvl>
    <w:lvl w:ilvl="5" w:tplc="36BA06AE">
      <w:start w:val="1"/>
      <w:numFmt w:val="decimal"/>
      <w:lvlText w:val="%6."/>
      <w:lvlJc w:val="left"/>
      <w:pPr>
        <w:tabs>
          <w:tab w:val="num" w:pos="4320"/>
        </w:tabs>
        <w:ind w:left="4320" w:hanging="360"/>
      </w:pPr>
    </w:lvl>
    <w:lvl w:ilvl="6" w:tplc="7EE49964">
      <w:start w:val="1"/>
      <w:numFmt w:val="decimal"/>
      <w:lvlText w:val="%7."/>
      <w:lvlJc w:val="left"/>
      <w:pPr>
        <w:tabs>
          <w:tab w:val="num" w:pos="5040"/>
        </w:tabs>
        <w:ind w:left="5040" w:hanging="360"/>
      </w:pPr>
    </w:lvl>
    <w:lvl w:ilvl="7" w:tplc="234C7636">
      <w:start w:val="1"/>
      <w:numFmt w:val="decimal"/>
      <w:lvlText w:val="%8."/>
      <w:lvlJc w:val="left"/>
      <w:pPr>
        <w:tabs>
          <w:tab w:val="num" w:pos="5760"/>
        </w:tabs>
        <w:ind w:left="5760" w:hanging="360"/>
      </w:pPr>
    </w:lvl>
    <w:lvl w:ilvl="8" w:tplc="71F06114">
      <w:start w:val="1"/>
      <w:numFmt w:val="decimal"/>
      <w:lvlText w:val="%9."/>
      <w:lvlJc w:val="left"/>
      <w:pPr>
        <w:tabs>
          <w:tab w:val="num" w:pos="6480"/>
        </w:tabs>
        <w:ind w:left="6480" w:hanging="360"/>
      </w:pPr>
    </w:lvl>
  </w:abstractNum>
  <w:abstractNum w:abstractNumId="27" w15:restartNumberingAfterBreak="0">
    <w:nsid w:val="6BF73249"/>
    <w:multiLevelType w:val="hybridMultilevel"/>
    <w:tmpl w:val="AB3C9B3C"/>
    <w:lvl w:ilvl="0" w:tplc="C978B602">
      <w:start w:val="1"/>
      <w:numFmt w:val="decimal"/>
      <w:lvlText w:val="%1."/>
      <w:lvlJc w:val="left"/>
      <w:pPr>
        <w:tabs>
          <w:tab w:val="num" w:pos="720"/>
        </w:tabs>
        <w:ind w:left="720" w:hanging="360"/>
      </w:pPr>
    </w:lvl>
    <w:lvl w:ilvl="1" w:tplc="1A4893B4">
      <w:start w:val="1"/>
      <w:numFmt w:val="decimal"/>
      <w:lvlText w:val="%2."/>
      <w:lvlJc w:val="left"/>
      <w:pPr>
        <w:tabs>
          <w:tab w:val="num" w:pos="1440"/>
        </w:tabs>
        <w:ind w:left="1440" w:hanging="360"/>
      </w:pPr>
    </w:lvl>
    <w:lvl w:ilvl="2" w:tplc="E61073B4">
      <w:start w:val="1"/>
      <w:numFmt w:val="decimal"/>
      <w:lvlText w:val="%3."/>
      <w:lvlJc w:val="left"/>
      <w:pPr>
        <w:tabs>
          <w:tab w:val="num" w:pos="2160"/>
        </w:tabs>
        <w:ind w:left="2160" w:hanging="360"/>
      </w:pPr>
    </w:lvl>
    <w:lvl w:ilvl="3" w:tplc="3EA6DCC2">
      <w:start w:val="1"/>
      <w:numFmt w:val="decimal"/>
      <w:lvlText w:val="%4."/>
      <w:lvlJc w:val="left"/>
      <w:pPr>
        <w:tabs>
          <w:tab w:val="num" w:pos="2880"/>
        </w:tabs>
        <w:ind w:left="2880" w:hanging="360"/>
      </w:pPr>
    </w:lvl>
    <w:lvl w:ilvl="4" w:tplc="778222B4">
      <w:start w:val="1"/>
      <w:numFmt w:val="decimal"/>
      <w:lvlText w:val="%5."/>
      <w:lvlJc w:val="left"/>
      <w:pPr>
        <w:tabs>
          <w:tab w:val="num" w:pos="3600"/>
        </w:tabs>
        <w:ind w:left="3600" w:hanging="360"/>
      </w:pPr>
    </w:lvl>
    <w:lvl w:ilvl="5" w:tplc="B2C48C8C">
      <w:start w:val="1"/>
      <w:numFmt w:val="decimal"/>
      <w:lvlText w:val="%6."/>
      <w:lvlJc w:val="left"/>
      <w:pPr>
        <w:tabs>
          <w:tab w:val="num" w:pos="4320"/>
        </w:tabs>
        <w:ind w:left="4320" w:hanging="360"/>
      </w:pPr>
    </w:lvl>
    <w:lvl w:ilvl="6" w:tplc="71FC73EE">
      <w:start w:val="1"/>
      <w:numFmt w:val="decimal"/>
      <w:lvlText w:val="%7."/>
      <w:lvlJc w:val="left"/>
      <w:pPr>
        <w:tabs>
          <w:tab w:val="num" w:pos="5040"/>
        </w:tabs>
        <w:ind w:left="5040" w:hanging="360"/>
      </w:pPr>
    </w:lvl>
    <w:lvl w:ilvl="7" w:tplc="EF3695FA">
      <w:start w:val="1"/>
      <w:numFmt w:val="decimal"/>
      <w:lvlText w:val="%8."/>
      <w:lvlJc w:val="left"/>
      <w:pPr>
        <w:tabs>
          <w:tab w:val="num" w:pos="5760"/>
        </w:tabs>
        <w:ind w:left="5760" w:hanging="360"/>
      </w:pPr>
    </w:lvl>
    <w:lvl w:ilvl="8" w:tplc="2D962FC0">
      <w:start w:val="1"/>
      <w:numFmt w:val="decimal"/>
      <w:lvlText w:val="%9."/>
      <w:lvlJc w:val="left"/>
      <w:pPr>
        <w:tabs>
          <w:tab w:val="num" w:pos="6480"/>
        </w:tabs>
        <w:ind w:left="6480" w:hanging="360"/>
      </w:pPr>
    </w:lvl>
  </w:abstractNum>
  <w:num w:numId="1">
    <w:abstractNumId w:val="11"/>
  </w:num>
  <w:num w:numId="2">
    <w:abstractNumId w:val="3"/>
  </w:num>
  <w:num w:numId="3">
    <w:abstractNumId w:val="11"/>
    <w:lvlOverride w:ilvl="0">
      <w:startOverride w:val="1"/>
    </w:lvlOverride>
  </w:num>
  <w:num w:numId="4">
    <w:abstractNumId w:val="18"/>
  </w:num>
  <w:num w:numId="5">
    <w:abstractNumId w:val="16"/>
  </w:num>
  <w:num w:numId="6">
    <w:abstractNumId w:val="19"/>
  </w:num>
  <w:num w:numId="7">
    <w:abstractNumId w:val="7"/>
  </w:num>
  <w:num w:numId="8">
    <w:abstractNumId w:val="22"/>
  </w:num>
  <w:num w:numId="9">
    <w:abstractNumId w:val="1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num>
  <w:num w:numId="29">
    <w:abstractNumId w:val="13"/>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385"/>
    <w:rsid w:val="00015064"/>
    <w:rsid w:val="00017318"/>
    <w:rsid w:val="000201AC"/>
    <w:rsid w:val="00022769"/>
    <w:rsid w:val="000246F7"/>
    <w:rsid w:val="0003006C"/>
    <w:rsid w:val="0003114D"/>
    <w:rsid w:val="000318EB"/>
    <w:rsid w:val="00032A64"/>
    <w:rsid w:val="00036D76"/>
    <w:rsid w:val="00037EC0"/>
    <w:rsid w:val="00042A6C"/>
    <w:rsid w:val="00043036"/>
    <w:rsid w:val="000456D7"/>
    <w:rsid w:val="00047421"/>
    <w:rsid w:val="00051F56"/>
    <w:rsid w:val="00054ED8"/>
    <w:rsid w:val="00057F32"/>
    <w:rsid w:val="00061717"/>
    <w:rsid w:val="00062A25"/>
    <w:rsid w:val="00064013"/>
    <w:rsid w:val="00071972"/>
    <w:rsid w:val="00073CB5"/>
    <w:rsid w:val="0007425C"/>
    <w:rsid w:val="00076B2C"/>
    <w:rsid w:val="00077553"/>
    <w:rsid w:val="000815B0"/>
    <w:rsid w:val="000851A2"/>
    <w:rsid w:val="00087BDD"/>
    <w:rsid w:val="0009352E"/>
    <w:rsid w:val="00093E34"/>
    <w:rsid w:val="00094D79"/>
    <w:rsid w:val="00096B96"/>
    <w:rsid w:val="00096C44"/>
    <w:rsid w:val="000A2F3F"/>
    <w:rsid w:val="000B0B4A"/>
    <w:rsid w:val="000B1A76"/>
    <w:rsid w:val="000B20AE"/>
    <w:rsid w:val="000B2690"/>
    <w:rsid w:val="000B279A"/>
    <w:rsid w:val="000B61D2"/>
    <w:rsid w:val="000B70A7"/>
    <w:rsid w:val="000B73DD"/>
    <w:rsid w:val="000C495F"/>
    <w:rsid w:val="000C582B"/>
    <w:rsid w:val="000C5ECD"/>
    <w:rsid w:val="000D1261"/>
    <w:rsid w:val="000D29F0"/>
    <w:rsid w:val="000E0C48"/>
    <w:rsid w:val="000E6431"/>
    <w:rsid w:val="000F0E7A"/>
    <w:rsid w:val="000F212A"/>
    <w:rsid w:val="000F21A5"/>
    <w:rsid w:val="000F3331"/>
    <w:rsid w:val="00102B9F"/>
    <w:rsid w:val="00102E66"/>
    <w:rsid w:val="00112637"/>
    <w:rsid w:val="00112ABC"/>
    <w:rsid w:val="001134C9"/>
    <w:rsid w:val="00114D24"/>
    <w:rsid w:val="0012001E"/>
    <w:rsid w:val="00126A55"/>
    <w:rsid w:val="00130413"/>
    <w:rsid w:val="001305DD"/>
    <w:rsid w:val="001327EF"/>
    <w:rsid w:val="00133F08"/>
    <w:rsid w:val="001345E6"/>
    <w:rsid w:val="00136B1A"/>
    <w:rsid w:val="001378B0"/>
    <w:rsid w:val="00142E00"/>
    <w:rsid w:val="00145476"/>
    <w:rsid w:val="00145F9E"/>
    <w:rsid w:val="00146E52"/>
    <w:rsid w:val="001500F7"/>
    <w:rsid w:val="00152019"/>
    <w:rsid w:val="00152793"/>
    <w:rsid w:val="00153B7E"/>
    <w:rsid w:val="001545A9"/>
    <w:rsid w:val="00160A36"/>
    <w:rsid w:val="001637C7"/>
    <w:rsid w:val="0016480E"/>
    <w:rsid w:val="00170F54"/>
    <w:rsid w:val="00174297"/>
    <w:rsid w:val="00180E06"/>
    <w:rsid w:val="001817B3"/>
    <w:rsid w:val="00183014"/>
    <w:rsid w:val="00194DEA"/>
    <w:rsid w:val="0019562E"/>
    <w:rsid w:val="001959C2"/>
    <w:rsid w:val="001A0795"/>
    <w:rsid w:val="001A51E3"/>
    <w:rsid w:val="001A7968"/>
    <w:rsid w:val="001B03CF"/>
    <w:rsid w:val="001B2E98"/>
    <w:rsid w:val="001B3483"/>
    <w:rsid w:val="001B3823"/>
    <w:rsid w:val="001B3C1E"/>
    <w:rsid w:val="001B4494"/>
    <w:rsid w:val="001B5FFD"/>
    <w:rsid w:val="001C0D8B"/>
    <w:rsid w:val="001C0DA8"/>
    <w:rsid w:val="001C2EC6"/>
    <w:rsid w:val="001D0D3C"/>
    <w:rsid w:val="001D4AD7"/>
    <w:rsid w:val="001D7E7D"/>
    <w:rsid w:val="001E0C33"/>
    <w:rsid w:val="001E0D8A"/>
    <w:rsid w:val="001E67BA"/>
    <w:rsid w:val="001E6818"/>
    <w:rsid w:val="001E74C2"/>
    <w:rsid w:val="001F109D"/>
    <w:rsid w:val="001F4771"/>
    <w:rsid w:val="001F4F82"/>
    <w:rsid w:val="001F5A48"/>
    <w:rsid w:val="001F6260"/>
    <w:rsid w:val="00200007"/>
    <w:rsid w:val="00200DFC"/>
    <w:rsid w:val="002030A5"/>
    <w:rsid w:val="00203131"/>
    <w:rsid w:val="00205B2E"/>
    <w:rsid w:val="00212E88"/>
    <w:rsid w:val="00213C9C"/>
    <w:rsid w:val="0021624B"/>
    <w:rsid w:val="0022009E"/>
    <w:rsid w:val="00220EAB"/>
    <w:rsid w:val="00223241"/>
    <w:rsid w:val="002235B2"/>
    <w:rsid w:val="0022425C"/>
    <w:rsid w:val="002246DE"/>
    <w:rsid w:val="00226AAB"/>
    <w:rsid w:val="0024535C"/>
    <w:rsid w:val="0025047A"/>
    <w:rsid w:val="00252BC4"/>
    <w:rsid w:val="00254014"/>
    <w:rsid w:val="00254B39"/>
    <w:rsid w:val="0026504D"/>
    <w:rsid w:val="00270ACB"/>
    <w:rsid w:val="00272A07"/>
    <w:rsid w:val="00273A2F"/>
    <w:rsid w:val="00280986"/>
    <w:rsid w:val="002815C1"/>
    <w:rsid w:val="00281ECE"/>
    <w:rsid w:val="002831C7"/>
    <w:rsid w:val="002840C6"/>
    <w:rsid w:val="002904D8"/>
    <w:rsid w:val="00295174"/>
    <w:rsid w:val="00296172"/>
    <w:rsid w:val="00296B92"/>
    <w:rsid w:val="002A2C22"/>
    <w:rsid w:val="002A4447"/>
    <w:rsid w:val="002A4BD1"/>
    <w:rsid w:val="002A76A8"/>
    <w:rsid w:val="002B02EB"/>
    <w:rsid w:val="002C0602"/>
    <w:rsid w:val="002D184F"/>
    <w:rsid w:val="002D5C16"/>
    <w:rsid w:val="002D7271"/>
    <w:rsid w:val="002E0A2F"/>
    <w:rsid w:val="002E0D4E"/>
    <w:rsid w:val="002F0074"/>
    <w:rsid w:val="002F21DD"/>
    <w:rsid w:val="002F2476"/>
    <w:rsid w:val="002F2C82"/>
    <w:rsid w:val="002F3DFF"/>
    <w:rsid w:val="002F48CE"/>
    <w:rsid w:val="002F5E05"/>
    <w:rsid w:val="00300C16"/>
    <w:rsid w:val="003017F3"/>
    <w:rsid w:val="00307A76"/>
    <w:rsid w:val="00315A16"/>
    <w:rsid w:val="00317053"/>
    <w:rsid w:val="0032109C"/>
    <w:rsid w:val="00322B45"/>
    <w:rsid w:val="00323809"/>
    <w:rsid w:val="00323D41"/>
    <w:rsid w:val="00324341"/>
    <w:rsid w:val="00325414"/>
    <w:rsid w:val="003302F1"/>
    <w:rsid w:val="00332440"/>
    <w:rsid w:val="00333737"/>
    <w:rsid w:val="00335AB9"/>
    <w:rsid w:val="00336EF6"/>
    <w:rsid w:val="00342410"/>
    <w:rsid w:val="00342F26"/>
    <w:rsid w:val="0034470E"/>
    <w:rsid w:val="00345BCE"/>
    <w:rsid w:val="00351787"/>
    <w:rsid w:val="00352DB0"/>
    <w:rsid w:val="00354B0B"/>
    <w:rsid w:val="00361063"/>
    <w:rsid w:val="00362D7D"/>
    <w:rsid w:val="00363A59"/>
    <w:rsid w:val="0037094A"/>
    <w:rsid w:val="00371ED3"/>
    <w:rsid w:val="00372FFC"/>
    <w:rsid w:val="003749DE"/>
    <w:rsid w:val="0037728A"/>
    <w:rsid w:val="00380B7D"/>
    <w:rsid w:val="00381A99"/>
    <w:rsid w:val="003829C2"/>
    <w:rsid w:val="003830B2"/>
    <w:rsid w:val="00384724"/>
    <w:rsid w:val="00384C56"/>
    <w:rsid w:val="003919B7"/>
    <w:rsid w:val="00391BD1"/>
    <w:rsid w:val="00391D57"/>
    <w:rsid w:val="00392292"/>
    <w:rsid w:val="003937A6"/>
    <w:rsid w:val="00394F45"/>
    <w:rsid w:val="003978AC"/>
    <w:rsid w:val="003A14B9"/>
    <w:rsid w:val="003A5927"/>
    <w:rsid w:val="003A71C3"/>
    <w:rsid w:val="003B1017"/>
    <w:rsid w:val="003B3C07"/>
    <w:rsid w:val="003B6081"/>
    <w:rsid w:val="003B6775"/>
    <w:rsid w:val="003B6944"/>
    <w:rsid w:val="003C5FE2"/>
    <w:rsid w:val="003C6B11"/>
    <w:rsid w:val="003D05FB"/>
    <w:rsid w:val="003D1B16"/>
    <w:rsid w:val="003D3CC4"/>
    <w:rsid w:val="003D45BF"/>
    <w:rsid w:val="003D508A"/>
    <w:rsid w:val="003D537F"/>
    <w:rsid w:val="003D60C5"/>
    <w:rsid w:val="003D7B75"/>
    <w:rsid w:val="003E0208"/>
    <w:rsid w:val="003E1889"/>
    <w:rsid w:val="003E1C48"/>
    <w:rsid w:val="003E4B57"/>
    <w:rsid w:val="003F1593"/>
    <w:rsid w:val="003F27E1"/>
    <w:rsid w:val="003F294B"/>
    <w:rsid w:val="003F437A"/>
    <w:rsid w:val="003F5C2B"/>
    <w:rsid w:val="003F6FBE"/>
    <w:rsid w:val="003F72BE"/>
    <w:rsid w:val="003F7C61"/>
    <w:rsid w:val="00402240"/>
    <w:rsid w:val="004023E9"/>
    <w:rsid w:val="00402A2F"/>
    <w:rsid w:val="0040454A"/>
    <w:rsid w:val="00413F83"/>
    <w:rsid w:val="0041490C"/>
    <w:rsid w:val="00416191"/>
    <w:rsid w:val="00416721"/>
    <w:rsid w:val="00416AA8"/>
    <w:rsid w:val="00417AA3"/>
    <w:rsid w:val="00417AF9"/>
    <w:rsid w:val="0042078B"/>
    <w:rsid w:val="00421EF0"/>
    <w:rsid w:val="004224FA"/>
    <w:rsid w:val="00423D07"/>
    <w:rsid w:val="00426B9B"/>
    <w:rsid w:val="00427936"/>
    <w:rsid w:val="00430021"/>
    <w:rsid w:val="00441576"/>
    <w:rsid w:val="0044346F"/>
    <w:rsid w:val="0045117F"/>
    <w:rsid w:val="00451A43"/>
    <w:rsid w:val="004537FC"/>
    <w:rsid w:val="00453FF6"/>
    <w:rsid w:val="00454997"/>
    <w:rsid w:val="00457D23"/>
    <w:rsid w:val="0046520A"/>
    <w:rsid w:val="0046660D"/>
    <w:rsid w:val="004672AB"/>
    <w:rsid w:val="004714FE"/>
    <w:rsid w:val="00471DD7"/>
    <w:rsid w:val="00477B34"/>
    <w:rsid w:val="00477BAA"/>
    <w:rsid w:val="004803BD"/>
    <w:rsid w:val="004823F3"/>
    <w:rsid w:val="00484217"/>
    <w:rsid w:val="004913CC"/>
    <w:rsid w:val="004944F3"/>
    <w:rsid w:val="00495053"/>
    <w:rsid w:val="004A1F59"/>
    <w:rsid w:val="004A29BE"/>
    <w:rsid w:val="004A3225"/>
    <w:rsid w:val="004A33EE"/>
    <w:rsid w:val="004A3AA8"/>
    <w:rsid w:val="004A4E84"/>
    <w:rsid w:val="004B0A91"/>
    <w:rsid w:val="004B13C7"/>
    <w:rsid w:val="004B3042"/>
    <w:rsid w:val="004B778F"/>
    <w:rsid w:val="004C0609"/>
    <w:rsid w:val="004C65DC"/>
    <w:rsid w:val="004D141F"/>
    <w:rsid w:val="004D2742"/>
    <w:rsid w:val="004D6310"/>
    <w:rsid w:val="004E0062"/>
    <w:rsid w:val="004E05A1"/>
    <w:rsid w:val="004E0816"/>
    <w:rsid w:val="004E38EB"/>
    <w:rsid w:val="004E480E"/>
    <w:rsid w:val="004E563D"/>
    <w:rsid w:val="004E6157"/>
    <w:rsid w:val="004F045F"/>
    <w:rsid w:val="004F081E"/>
    <w:rsid w:val="004F1CB0"/>
    <w:rsid w:val="004F209E"/>
    <w:rsid w:val="004F472A"/>
    <w:rsid w:val="004F5E57"/>
    <w:rsid w:val="004F6580"/>
    <w:rsid w:val="004F6710"/>
    <w:rsid w:val="00500C3E"/>
    <w:rsid w:val="00502849"/>
    <w:rsid w:val="00504334"/>
    <w:rsid w:val="005046E1"/>
    <w:rsid w:val="0050498D"/>
    <w:rsid w:val="00506AD7"/>
    <w:rsid w:val="005104D7"/>
    <w:rsid w:val="00510B9E"/>
    <w:rsid w:val="0051494A"/>
    <w:rsid w:val="0051548D"/>
    <w:rsid w:val="00516F4E"/>
    <w:rsid w:val="00524983"/>
    <w:rsid w:val="00526CFF"/>
    <w:rsid w:val="00531A46"/>
    <w:rsid w:val="00536BC2"/>
    <w:rsid w:val="005425E1"/>
    <w:rsid w:val="005427C5"/>
    <w:rsid w:val="00542CF6"/>
    <w:rsid w:val="005512DE"/>
    <w:rsid w:val="00553C03"/>
    <w:rsid w:val="00556E4D"/>
    <w:rsid w:val="00560B80"/>
    <w:rsid w:val="00563692"/>
    <w:rsid w:val="00571679"/>
    <w:rsid w:val="005724D5"/>
    <w:rsid w:val="00577C9F"/>
    <w:rsid w:val="005828D3"/>
    <w:rsid w:val="005844E7"/>
    <w:rsid w:val="005907F0"/>
    <w:rsid w:val="005908B8"/>
    <w:rsid w:val="0059512E"/>
    <w:rsid w:val="00595912"/>
    <w:rsid w:val="00595FDA"/>
    <w:rsid w:val="00596256"/>
    <w:rsid w:val="005A4C0B"/>
    <w:rsid w:val="005A6AA7"/>
    <w:rsid w:val="005A6DD2"/>
    <w:rsid w:val="005B4B80"/>
    <w:rsid w:val="005C0ED5"/>
    <w:rsid w:val="005C385D"/>
    <w:rsid w:val="005D3B20"/>
    <w:rsid w:val="005D57B6"/>
    <w:rsid w:val="005D6607"/>
    <w:rsid w:val="005D6C57"/>
    <w:rsid w:val="005D7AC3"/>
    <w:rsid w:val="005E0CAA"/>
    <w:rsid w:val="005E18AB"/>
    <w:rsid w:val="005E42FE"/>
    <w:rsid w:val="005E4759"/>
    <w:rsid w:val="005E5C68"/>
    <w:rsid w:val="005E65C0"/>
    <w:rsid w:val="005F0390"/>
    <w:rsid w:val="005F3AD2"/>
    <w:rsid w:val="006072CD"/>
    <w:rsid w:val="00607D94"/>
    <w:rsid w:val="00612023"/>
    <w:rsid w:val="00614190"/>
    <w:rsid w:val="00617A43"/>
    <w:rsid w:val="00622A99"/>
    <w:rsid w:val="00622E67"/>
    <w:rsid w:val="006233EE"/>
    <w:rsid w:val="006258A7"/>
    <w:rsid w:val="00626B57"/>
    <w:rsid w:val="00626EDC"/>
    <w:rsid w:val="00643511"/>
    <w:rsid w:val="006464CE"/>
    <w:rsid w:val="00646F87"/>
    <w:rsid w:val="006470EC"/>
    <w:rsid w:val="00653FC0"/>
    <w:rsid w:val="006542D6"/>
    <w:rsid w:val="00655529"/>
    <w:rsid w:val="0065598E"/>
    <w:rsid w:val="00655AF2"/>
    <w:rsid w:val="00655BC5"/>
    <w:rsid w:val="006568BE"/>
    <w:rsid w:val="00656E1B"/>
    <w:rsid w:val="0066025D"/>
    <w:rsid w:val="0066091A"/>
    <w:rsid w:val="0067474E"/>
    <w:rsid w:val="006773EC"/>
    <w:rsid w:val="006777AC"/>
    <w:rsid w:val="0067792C"/>
    <w:rsid w:val="00680504"/>
    <w:rsid w:val="00681CD9"/>
    <w:rsid w:val="00683E30"/>
    <w:rsid w:val="00685A5D"/>
    <w:rsid w:val="00687024"/>
    <w:rsid w:val="00691E68"/>
    <w:rsid w:val="00695E22"/>
    <w:rsid w:val="006A08E9"/>
    <w:rsid w:val="006B1B0E"/>
    <w:rsid w:val="006B4E4B"/>
    <w:rsid w:val="006B5A35"/>
    <w:rsid w:val="006B7093"/>
    <w:rsid w:val="006B7417"/>
    <w:rsid w:val="006C2596"/>
    <w:rsid w:val="006C4D5C"/>
    <w:rsid w:val="006D3691"/>
    <w:rsid w:val="006D5637"/>
    <w:rsid w:val="006E1C9A"/>
    <w:rsid w:val="006E5EF0"/>
    <w:rsid w:val="006E64D9"/>
    <w:rsid w:val="006E6DE7"/>
    <w:rsid w:val="006F23EB"/>
    <w:rsid w:val="006F3563"/>
    <w:rsid w:val="006F42B9"/>
    <w:rsid w:val="006F52F7"/>
    <w:rsid w:val="006F6103"/>
    <w:rsid w:val="00701D41"/>
    <w:rsid w:val="00704E00"/>
    <w:rsid w:val="00714898"/>
    <w:rsid w:val="007209E7"/>
    <w:rsid w:val="00726182"/>
    <w:rsid w:val="00727635"/>
    <w:rsid w:val="00732329"/>
    <w:rsid w:val="007337CA"/>
    <w:rsid w:val="00734CE4"/>
    <w:rsid w:val="00735123"/>
    <w:rsid w:val="007374F8"/>
    <w:rsid w:val="00741837"/>
    <w:rsid w:val="007453E6"/>
    <w:rsid w:val="0075191D"/>
    <w:rsid w:val="00753FE7"/>
    <w:rsid w:val="00755E01"/>
    <w:rsid w:val="00763F97"/>
    <w:rsid w:val="00770D31"/>
    <w:rsid w:val="0077309D"/>
    <w:rsid w:val="007774EE"/>
    <w:rsid w:val="00780E96"/>
    <w:rsid w:val="00781822"/>
    <w:rsid w:val="00783F21"/>
    <w:rsid w:val="00785A7C"/>
    <w:rsid w:val="00787159"/>
    <w:rsid w:val="00787C31"/>
    <w:rsid w:val="0079043A"/>
    <w:rsid w:val="00791668"/>
    <w:rsid w:val="00791AA1"/>
    <w:rsid w:val="00791B68"/>
    <w:rsid w:val="0079509E"/>
    <w:rsid w:val="007A2AB7"/>
    <w:rsid w:val="007A3793"/>
    <w:rsid w:val="007B2A29"/>
    <w:rsid w:val="007B4F97"/>
    <w:rsid w:val="007C1BA2"/>
    <w:rsid w:val="007C2B48"/>
    <w:rsid w:val="007C5031"/>
    <w:rsid w:val="007D0BB3"/>
    <w:rsid w:val="007D20E9"/>
    <w:rsid w:val="007D24B0"/>
    <w:rsid w:val="007D7881"/>
    <w:rsid w:val="007D7E3A"/>
    <w:rsid w:val="007E0E10"/>
    <w:rsid w:val="007E1ED3"/>
    <w:rsid w:val="007E4768"/>
    <w:rsid w:val="007E777B"/>
    <w:rsid w:val="007F2070"/>
    <w:rsid w:val="00804222"/>
    <w:rsid w:val="008044E7"/>
    <w:rsid w:val="008053F5"/>
    <w:rsid w:val="00807AF7"/>
    <w:rsid w:val="00810198"/>
    <w:rsid w:val="00815DA8"/>
    <w:rsid w:val="00816331"/>
    <w:rsid w:val="0082194D"/>
    <w:rsid w:val="008221F9"/>
    <w:rsid w:val="008222E0"/>
    <w:rsid w:val="0082584E"/>
    <w:rsid w:val="00826EF5"/>
    <w:rsid w:val="00831693"/>
    <w:rsid w:val="00836707"/>
    <w:rsid w:val="00837B14"/>
    <w:rsid w:val="00840104"/>
    <w:rsid w:val="00840858"/>
    <w:rsid w:val="00840C1F"/>
    <w:rsid w:val="00841229"/>
    <w:rsid w:val="00841C1C"/>
    <w:rsid w:val="00841FC5"/>
    <w:rsid w:val="008431E5"/>
    <w:rsid w:val="008453A3"/>
    <w:rsid w:val="00845709"/>
    <w:rsid w:val="008475F1"/>
    <w:rsid w:val="00852E81"/>
    <w:rsid w:val="00856685"/>
    <w:rsid w:val="008576BD"/>
    <w:rsid w:val="00860463"/>
    <w:rsid w:val="00864D9A"/>
    <w:rsid w:val="00866317"/>
    <w:rsid w:val="0086712A"/>
    <w:rsid w:val="008733DA"/>
    <w:rsid w:val="008808D3"/>
    <w:rsid w:val="00882E40"/>
    <w:rsid w:val="008850E4"/>
    <w:rsid w:val="00886708"/>
    <w:rsid w:val="0089232D"/>
    <w:rsid w:val="008939AB"/>
    <w:rsid w:val="00896B44"/>
    <w:rsid w:val="008A12F5"/>
    <w:rsid w:val="008A6309"/>
    <w:rsid w:val="008A7126"/>
    <w:rsid w:val="008A73F3"/>
    <w:rsid w:val="008A7E2C"/>
    <w:rsid w:val="008B1587"/>
    <w:rsid w:val="008B1B01"/>
    <w:rsid w:val="008B3BCD"/>
    <w:rsid w:val="008B6DF8"/>
    <w:rsid w:val="008C0C3D"/>
    <w:rsid w:val="008C106C"/>
    <w:rsid w:val="008C10F1"/>
    <w:rsid w:val="008C1926"/>
    <w:rsid w:val="008C1E99"/>
    <w:rsid w:val="008C2BF1"/>
    <w:rsid w:val="008C7A07"/>
    <w:rsid w:val="008D1E1D"/>
    <w:rsid w:val="008D47D3"/>
    <w:rsid w:val="008E0085"/>
    <w:rsid w:val="008E2AA6"/>
    <w:rsid w:val="008E311B"/>
    <w:rsid w:val="008F26D8"/>
    <w:rsid w:val="008F36E2"/>
    <w:rsid w:val="008F46E7"/>
    <w:rsid w:val="008F6F0B"/>
    <w:rsid w:val="00907BA7"/>
    <w:rsid w:val="0091064E"/>
    <w:rsid w:val="0091123A"/>
    <w:rsid w:val="00911FC5"/>
    <w:rsid w:val="00912396"/>
    <w:rsid w:val="0091680F"/>
    <w:rsid w:val="00916B15"/>
    <w:rsid w:val="00921996"/>
    <w:rsid w:val="009229C2"/>
    <w:rsid w:val="00923D67"/>
    <w:rsid w:val="009244FC"/>
    <w:rsid w:val="00931A10"/>
    <w:rsid w:val="009428B1"/>
    <w:rsid w:val="00947967"/>
    <w:rsid w:val="0095328E"/>
    <w:rsid w:val="00954688"/>
    <w:rsid w:val="00955201"/>
    <w:rsid w:val="00956FB5"/>
    <w:rsid w:val="00965200"/>
    <w:rsid w:val="009668B3"/>
    <w:rsid w:val="00971471"/>
    <w:rsid w:val="00974812"/>
    <w:rsid w:val="009840CD"/>
    <w:rsid w:val="009849C2"/>
    <w:rsid w:val="00984D24"/>
    <w:rsid w:val="009858EB"/>
    <w:rsid w:val="009902A9"/>
    <w:rsid w:val="0099047B"/>
    <w:rsid w:val="009A1278"/>
    <w:rsid w:val="009A1B7A"/>
    <w:rsid w:val="009A3F47"/>
    <w:rsid w:val="009A40A7"/>
    <w:rsid w:val="009A51D1"/>
    <w:rsid w:val="009A623B"/>
    <w:rsid w:val="009B0046"/>
    <w:rsid w:val="009B5DCB"/>
    <w:rsid w:val="009C1440"/>
    <w:rsid w:val="009C1AB0"/>
    <w:rsid w:val="009C1E8C"/>
    <w:rsid w:val="009C2107"/>
    <w:rsid w:val="009C33FF"/>
    <w:rsid w:val="009C5D9E"/>
    <w:rsid w:val="009C6CA2"/>
    <w:rsid w:val="009D2A85"/>
    <w:rsid w:val="009D2C3E"/>
    <w:rsid w:val="009D3B32"/>
    <w:rsid w:val="009D71D0"/>
    <w:rsid w:val="009E0625"/>
    <w:rsid w:val="009E3034"/>
    <w:rsid w:val="009E549F"/>
    <w:rsid w:val="009F1BD7"/>
    <w:rsid w:val="009F28A8"/>
    <w:rsid w:val="009F473E"/>
    <w:rsid w:val="009F682A"/>
    <w:rsid w:val="009F76D3"/>
    <w:rsid w:val="00A01664"/>
    <w:rsid w:val="00A022BE"/>
    <w:rsid w:val="00A04C86"/>
    <w:rsid w:val="00A07B4B"/>
    <w:rsid w:val="00A12A2B"/>
    <w:rsid w:val="00A14514"/>
    <w:rsid w:val="00A2192A"/>
    <w:rsid w:val="00A24C95"/>
    <w:rsid w:val="00A2599A"/>
    <w:rsid w:val="00A26094"/>
    <w:rsid w:val="00A263B2"/>
    <w:rsid w:val="00A301BF"/>
    <w:rsid w:val="00A302B2"/>
    <w:rsid w:val="00A320AF"/>
    <w:rsid w:val="00A331B4"/>
    <w:rsid w:val="00A34225"/>
    <w:rsid w:val="00A3484E"/>
    <w:rsid w:val="00A356D3"/>
    <w:rsid w:val="00A36ADA"/>
    <w:rsid w:val="00A370B6"/>
    <w:rsid w:val="00A377B7"/>
    <w:rsid w:val="00A37A53"/>
    <w:rsid w:val="00A4015F"/>
    <w:rsid w:val="00A438D8"/>
    <w:rsid w:val="00A443EF"/>
    <w:rsid w:val="00A44BE8"/>
    <w:rsid w:val="00A473F5"/>
    <w:rsid w:val="00A51F9D"/>
    <w:rsid w:val="00A5416A"/>
    <w:rsid w:val="00A62B55"/>
    <w:rsid w:val="00A639F4"/>
    <w:rsid w:val="00A81A32"/>
    <w:rsid w:val="00A82253"/>
    <w:rsid w:val="00A83491"/>
    <w:rsid w:val="00A835BD"/>
    <w:rsid w:val="00A868F6"/>
    <w:rsid w:val="00A9602F"/>
    <w:rsid w:val="00A9659C"/>
    <w:rsid w:val="00A97B15"/>
    <w:rsid w:val="00AA1557"/>
    <w:rsid w:val="00AA42D5"/>
    <w:rsid w:val="00AA4390"/>
    <w:rsid w:val="00AA4B49"/>
    <w:rsid w:val="00AB0AF0"/>
    <w:rsid w:val="00AB2FAB"/>
    <w:rsid w:val="00AB5C14"/>
    <w:rsid w:val="00AC06E5"/>
    <w:rsid w:val="00AC1C34"/>
    <w:rsid w:val="00AC1EE7"/>
    <w:rsid w:val="00AC2513"/>
    <w:rsid w:val="00AC333F"/>
    <w:rsid w:val="00AC585C"/>
    <w:rsid w:val="00AD1925"/>
    <w:rsid w:val="00AD5068"/>
    <w:rsid w:val="00AD5F06"/>
    <w:rsid w:val="00AD68FD"/>
    <w:rsid w:val="00AE067D"/>
    <w:rsid w:val="00AE4259"/>
    <w:rsid w:val="00AE76E7"/>
    <w:rsid w:val="00AF077F"/>
    <w:rsid w:val="00AF1181"/>
    <w:rsid w:val="00AF189B"/>
    <w:rsid w:val="00AF2F79"/>
    <w:rsid w:val="00AF4653"/>
    <w:rsid w:val="00AF7556"/>
    <w:rsid w:val="00AF7DB7"/>
    <w:rsid w:val="00B10D02"/>
    <w:rsid w:val="00B12F1F"/>
    <w:rsid w:val="00B13A8A"/>
    <w:rsid w:val="00B13AA0"/>
    <w:rsid w:val="00B201E2"/>
    <w:rsid w:val="00B241E3"/>
    <w:rsid w:val="00B2451E"/>
    <w:rsid w:val="00B276CD"/>
    <w:rsid w:val="00B3721D"/>
    <w:rsid w:val="00B41230"/>
    <w:rsid w:val="00B443E4"/>
    <w:rsid w:val="00B53966"/>
    <w:rsid w:val="00B5484D"/>
    <w:rsid w:val="00B55733"/>
    <w:rsid w:val="00B563EA"/>
    <w:rsid w:val="00B56CDF"/>
    <w:rsid w:val="00B60E51"/>
    <w:rsid w:val="00B63A54"/>
    <w:rsid w:val="00B7143B"/>
    <w:rsid w:val="00B7200D"/>
    <w:rsid w:val="00B76BC1"/>
    <w:rsid w:val="00B77720"/>
    <w:rsid w:val="00B77D18"/>
    <w:rsid w:val="00B8313A"/>
    <w:rsid w:val="00B852C0"/>
    <w:rsid w:val="00B85D61"/>
    <w:rsid w:val="00B9161E"/>
    <w:rsid w:val="00B93503"/>
    <w:rsid w:val="00BA31E8"/>
    <w:rsid w:val="00BA55E0"/>
    <w:rsid w:val="00BA6BD4"/>
    <w:rsid w:val="00BA6C7A"/>
    <w:rsid w:val="00BB17D1"/>
    <w:rsid w:val="00BB3752"/>
    <w:rsid w:val="00BB3D98"/>
    <w:rsid w:val="00BB6688"/>
    <w:rsid w:val="00BC26D4"/>
    <w:rsid w:val="00BD318F"/>
    <w:rsid w:val="00BD43D0"/>
    <w:rsid w:val="00BD64AE"/>
    <w:rsid w:val="00BD6ADF"/>
    <w:rsid w:val="00BE0C80"/>
    <w:rsid w:val="00BE3AE2"/>
    <w:rsid w:val="00BF20D0"/>
    <w:rsid w:val="00BF2A42"/>
    <w:rsid w:val="00BF4B1B"/>
    <w:rsid w:val="00C03D8C"/>
    <w:rsid w:val="00C055EC"/>
    <w:rsid w:val="00C10DC9"/>
    <w:rsid w:val="00C123D6"/>
    <w:rsid w:val="00C12FB3"/>
    <w:rsid w:val="00C13CA4"/>
    <w:rsid w:val="00C1563E"/>
    <w:rsid w:val="00C17341"/>
    <w:rsid w:val="00C20E5B"/>
    <w:rsid w:val="00C23A34"/>
    <w:rsid w:val="00C246B3"/>
    <w:rsid w:val="00C24EEF"/>
    <w:rsid w:val="00C25CF6"/>
    <w:rsid w:val="00C26C36"/>
    <w:rsid w:val="00C26E7E"/>
    <w:rsid w:val="00C31B77"/>
    <w:rsid w:val="00C32768"/>
    <w:rsid w:val="00C431DF"/>
    <w:rsid w:val="00C456BD"/>
    <w:rsid w:val="00C52292"/>
    <w:rsid w:val="00C530DC"/>
    <w:rsid w:val="00C5350D"/>
    <w:rsid w:val="00C6123C"/>
    <w:rsid w:val="00C6311A"/>
    <w:rsid w:val="00C7084D"/>
    <w:rsid w:val="00C7315E"/>
    <w:rsid w:val="00C74343"/>
    <w:rsid w:val="00C75895"/>
    <w:rsid w:val="00C75E49"/>
    <w:rsid w:val="00C76841"/>
    <w:rsid w:val="00C76BC0"/>
    <w:rsid w:val="00C83C9F"/>
    <w:rsid w:val="00C87888"/>
    <w:rsid w:val="00C93078"/>
    <w:rsid w:val="00C93C22"/>
    <w:rsid w:val="00C93EEC"/>
    <w:rsid w:val="00C94840"/>
    <w:rsid w:val="00CA4EE3"/>
    <w:rsid w:val="00CA4F04"/>
    <w:rsid w:val="00CB027F"/>
    <w:rsid w:val="00CB3BCD"/>
    <w:rsid w:val="00CC0EBB"/>
    <w:rsid w:val="00CC466E"/>
    <w:rsid w:val="00CC6297"/>
    <w:rsid w:val="00CC7690"/>
    <w:rsid w:val="00CD1986"/>
    <w:rsid w:val="00CD21F1"/>
    <w:rsid w:val="00CD2602"/>
    <w:rsid w:val="00CD54BF"/>
    <w:rsid w:val="00CD7B28"/>
    <w:rsid w:val="00CE44BB"/>
    <w:rsid w:val="00CE4D5C"/>
    <w:rsid w:val="00CE58BF"/>
    <w:rsid w:val="00CF0543"/>
    <w:rsid w:val="00CF05DA"/>
    <w:rsid w:val="00CF29A7"/>
    <w:rsid w:val="00CF4C9C"/>
    <w:rsid w:val="00CF4D52"/>
    <w:rsid w:val="00CF53A5"/>
    <w:rsid w:val="00CF584A"/>
    <w:rsid w:val="00CF58EB"/>
    <w:rsid w:val="00CF6FEC"/>
    <w:rsid w:val="00D0106E"/>
    <w:rsid w:val="00D03281"/>
    <w:rsid w:val="00D06383"/>
    <w:rsid w:val="00D20E85"/>
    <w:rsid w:val="00D24615"/>
    <w:rsid w:val="00D25FA7"/>
    <w:rsid w:val="00D27BA1"/>
    <w:rsid w:val="00D34DA3"/>
    <w:rsid w:val="00D3722A"/>
    <w:rsid w:val="00D37842"/>
    <w:rsid w:val="00D37B99"/>
    <w:rsid w:val="00D42DC2"/>
    <w:rsid w:val="00D4302B"/>
    <w:rsid w:val="00D50DCF"/>
    <w:rsid w:val="00D52271"/>
    <w:rsid w:val="00D537E1"/>
    <w:rsid w:val="00D55BB2"/>
    <w:rsid w:val="00D5609A"/>
    <w:rsid w:val="00D6091A"/>
    <w:rsid w:val="00D656C4"/>
    <w:rsid w:val="00D6605A"/>
    <w:rsid w:val="00D6695F"/>
    <w:rsid w:val="00D75644"/>
    <w:rsid w:val="00D77CF6"/>
    <w:rsid w:val="00D81656"/>
    <w:rsid w:val="00D83D87"/>
    <w:rsid w:val="00D84340"/>
    <w:rsid w:val="00D84A6D"/>
    <w:rsid w:val="00D86A30"/>
    <w:rsid w:val="00D94B01"/>
    <w:rsid w:val="00D97CB4"/>
    <w:rsid w:val="00D97DD4"/>
    <w:rsid w:val="00DA46F6"/>
    <w:rsid w:val="00DA5A8A"/>
    <w:rsid w:val="00DA74D7"/>
    <w:rsid w:val="00DB1170"/>
    <w:rsid w:val="00DB26CD"/>
    <w:rsid w:val="00DB441C"/>
    <w:rsid w:val="00DB44AF"/>
    <w:rsid w:val="00DB4569"/>
    <w:rsid w:val="00DC0F5D"/>
    <w:rsid w:val="00DC1F58"/>
    <w:rsid w:val="00DC21D2"/>
    <w:rsid w:val="00DC339B"/>
    <w:rsid w:val="00DC40F5"/>
    <w:rsid w:val="00DC5D40"/>
    <w:rsid w:val="00DC69A7"/>
    <w:rsid w:val="00DD025B"/>
    <w:rsid w:val="00DD30E9"/>
    <w:rsid w:val="00DD4F47"/>
    <w:rsid w:val="00DD5AB9"/>
    <w:rsid w:val="00DD7FBB"/>
    <w:rsid w:val="00DE0B9F"/>
    <w:rsid w:val="00DE24E1"/>
    <w:rsid w:val="00DE2A9E"/>
    <w:rsid w:val="00DE4238"/>
    <w:rsid w:val="00DE657F"/>
    <w:rsid w:val="00DF1218"/>
    <w:rsid w:val="00DF304D"/>
    <w:rsid w:val="00DF6462"/>
    <w:rsid w:val="00DF7D72"/>
    <w:rsid w:val="00E0195D"/>
    <w:rsid w:val="00E01ACD"/>
    <w:rsid w:val="00E02FA0"/>
    <w:rsid w:val="00E036DC"/>
    <w:rsid w:val="00E10454"/>
    <w:rsid w:val="00E112E5"/>
    <w:rsid w:val="00E122D8"/>
    <w:rsid w:val="00E12CC8"/>
    <w:rsid w:val="00E13C49"/>
    <w:rsid w:val="00E15352"/>
    <w:rsid w:val="00E16B90"/>
    <w:rsid w:val="00E21CC7"/>
    <w:rsid w:val="00E24D9E"/>
    <w:rsid w:val="00E25849"/>
    <w:rsid w:val="00E3197E"/>
    <w:rsid w:val="00E342F8"/>
    <w:rsid w:val="00E351ED"/>
    <w:rsid w:val="00E460B4"/>
    <w:rsid w:val="00E52EA2"/>
    <w:rsid w:val="00E6034B"/>
    <w:rsid w:val="00E636B5"/>
    <w:rsid w:val="00E64095"/>
    <w:rsid w:val="00E64CC6"/>
    <w:rsid w:val="00E6549E"/>
    <w:rsid w:val="00E65EDE"/>
    <w:rsid w:val="00E67B25"/>
    <w:rsid w:val="00E70F81"/>
    <w:rsid w:val="00E7592E"/>
    <w:rsid w:val="00E77055"/>
    <w:rsid w:val="00E77460"/>
    <w:rsid w:val="00E777D7"/>
    <w:rsid w:val="00E77E5E"/>
    <w:rsid w:val="00E81C23"/>
    <w:rsid w:val="00E83ABC"/>
    <w:rsid w:val="00E84358"/>
    <w:rsid w:val="00E844F2"/>
    <w:rsid w:val="00E90AD0"/>
    <w:rsid w:val="00E92FCB"/>
    <w:rsid w:val="00E93AE3"/>
    <w:rsid w:val="00EA147F"/>
    <w:rsid w:val="00EA4A27"/>
    <w:rsid w:val="00EA4FA6"/>
    <w:rsid w:val="00EA7BD6"/>
    <w:rsid w:val="00EB08AE"/>
    <w:rsid w:val="00EB1A25"/>
    <w:rsid w:val="00EB3B2A"/>
    <w:rsid w:val="00EC7363"/>
    <w:rsid w:val="00ED03AB"/>
    <w:rsid w:val="00ED1963"/>
    <w:rsid w:val="00ED1CD4"/>
    <w:rsid w:val="00ED1D2B"/>
    <w:rsid w:val="00ED54FA"/>
    <w:rsid w:val="00ED64B5"/>
    <w:rsid w:val="00ED7BCC"/>
    <w:rsid w:val="00EE48A8"/>
    <w:rsid w:val="00EE7CCA"/>
    <w:rsid w:val="00EF0151"/>
    <w:rsid w:val="00EF26DB"/>
    <w:rsid w:val="00EF69C4"/>
    <w:rsid w:val="00F03F01"/>
    <w:rsid w:val="00F15AF8"/>
    <w:rsid w:val="00F16A14"/>
    <w:rsid w:val="00F23EB3"/>
    <w:rsid w:val="00F352B6"/>
    <w:rsid w:val="00F362D7"/>
    <w:rsid w:val="00F37D7B"/>
    <w:rsid w:val="00F40276"/>
    <w:rsid w:val="00F507A3"/>
    <w:rsid w:val="00F5314C"/>
    <w:rsid w:val="00F5484F"/>
    <w:rsid w:val="00F5688C"/>
    <w:rsid w:val="00F60048"/>
    <w:rsid w:val="00F635DD"/>
    <w:rsid w:val="00F6627B"/>
    <w:rsid w:val="00F66C98"/>
    <w:rsid w:val="00F66D03"/>
    <w:rsid w:val="00F7336E"/>
    <w:rsid w:val="00F734F2"/>
    <w:rsid w:val="00F743B0"/>
    <w:rsid w:val="00F75052"/>
    <w:rsid w:val="00F804D3"/>
    <w:rsid w:val="00F816CB"/>
    <w:rsid w:val="00F81CD2"/>
    <w:rsid w:val="00F82641"/>
    <w:rsid w:val="00F86B9F"/>
    <w:rsid w:val="00F90F18"/>
    <w:rsid w:val="00F92411"/>
    <w:rsid w:val="00F937E4"/>
    <w:rsid w:val="00F95EE7"/>
    <w:rsid w:val="00FA1FE7"/>
    <w:rsid w:val="00FA39E6"/>
    <w:rsid w:val="00FA7BC9"/>
    <w:rsid w:val="00FB0328"/>
    <w:rsid w:val="00FB2035"/>
    <w:rsid w:val="00FB378E"/>
    <w:rsid w:val="00FB37F1"/>
    <w:rsid w:val="00FB47C0"/>
    <w:rsid w:val="00FB501B"/>
    <w:rsid w:val="00FB7770"/>
    <w:rsid w:val="00FC248A"/>
    <w:rsid w:val="00FC3AB0"/>
    <w:rsid w:val="00FD3B91"/>
    <w:rsid w:val="00FD50C5"/>
    <w:rsid w:val="00FD576B"/>
    <w:rsid w:val="00FD579E"/>
    <w:rsid w:val="00FD6845"/>
    <w:rsid w:val="00FD7B19"/>
    <w:rsid w:val="00FE4516"/>
    <w:rsid w:val="00FE5FE8"/>
    <w:rsid w:val="00FE64C8"/>
    <w:rsid w:val="00FE6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8FE40B-7552-4651-A19A-DB517F84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3B6944"/>
    <w:pPr>
      <w:snapToGrid w:val="0"/>
      <w:jc w:val="left"/>
    </w:pPr>
    <w:rPr>
      <w:sz w:val="20"/>
    </w:rPr>
  </w:style>
  <w:style w:type="character" w:customStyle="1" w:styleId="afe">
    <w:name w:val="註腳文字 字元"/>
    <w:basedOn w:val="a7"/>
    <w:link w:val="afd"/>
    <w:uiPriority w:val="99"/>
    <w:rsid w:val="003B6944"/>
    <w:rPr>
      <w:rFonts w:ascii="標楷體" w:eastAsia="標楷體"/>
      <w:kern w:val="2"/>
    </w:rPr>
  </w:style>
  <w:style w:type="character" w:styleId="aff">
    <w:name w:val="footnote reference"/>
    <w:basedOn w:val="a7"/>
    <w:uiPriority w:val="99"/>
    <w:semiHidden/>
    <w:unhideWhenUsed/>
    <w:rsid w:val="003B6944"/>
    <w:rPr>
      <w:vertAlign w:val="superscript"/>
    </w:rPr>
  </w:style>
  <w:style w:type="character" w:customStyle="1" w:styleId="af8">
    <w:name w:val="清單段落 字元"/>
    <w:link w:val="af7"/>
    <w:uiPriority w:val="34"/>
    <w:locked/>
    <w:rsid w:val="00841C1C"/>
    <w:rPr>
      <w:rFonts w:ascii="標楷體" w:eastAsia="標楷體"/>
      <w:kern w:val="2"/>
      <w:sz w:val="32"/>
    </w:rPr>
  </w:style>
  <w:style w:type="paragraph" w:customStyle="1" w:styleId="Default">
    <w:name w:val="Default"/>
    <w:rsid w:val="005512DE"/>
    <w:pPr>
      <w:widowControl w:val="0"/>
      <w:autoSpaceDE w:val="0"/>
      <w:autoSpaceDN w:val="0"/>
      <w:adjustRightInd w:val="0"/>
    </w:pPr>
    <w:rPr>
      <w:rFonts w:ascii="標楷體" w:eastAsia="標楷體" w:cs="標楷體"/>
      <w:color w:val="000000"/>
      <w:sz w:val="24"/>
      <w:szCs w:val="24"/>
    </w:rPr>
  </w:style>
  <w:style w:type="character" w:customStyle="1" w:styleId="fdtitle">
    <w:name w:val="fdtitle"/>
    <w:basedOn w:val="a7"/>
    <w:rsid w:val="005A6AA7"/>
  </w:style>
  <w:style w:type="paragraph" w:styleId="HTML">
    <w:name w:val="HTML Preformatted"/>
    <w:basedOn w:val="a6"/>
    <w:link w:val="HTML0"/>
    <w:uiPriority w:val="99"/>
    <w:unhideWhenUsed/>
    <w:rsid w:val="000815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815B0"/>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095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30823486">
      <w:bodyDiv w:val="1"/>
      <w:marLeft w:val="0"/>
      <w:marRight w:val="0"/>
      <w:marTop w:val="0"/>
      <w:marBottom w:val="0"/>
      <w:divBdr>
        <w:top w:val="none" w:sz="0" w:space="0" w:color="auto"/>
        <w:left w:val="none" w:sz="0" w:space="0" w:color="auto"/>
        <w:bottom w:val="none" w:sz="0" w:space="0" w:color="auto"/>
        <w:right w:val="none" w:sz="0" w:space="0" w:color="auto"/>
      </w:divBdr>
    </w:div>
    <w:div w:id="198778086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aw.moj.gov.tw/LawClass/LawParaDeatilIf.aspx?Pcode=M0060023&amp;LCNOS=+++4+++&amp;LCC=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A0F54-F62F-4998-9D48-DD2B5B1D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29</Pages>
  <Words>8057</Words>
  <Characters>9266</Characters>
  <Application>Microsoft Office Word</Application>
  <DocSecurity>0</DocSecurity>
  <Lines>402</Lines>
  <Paragraphs>168</Paragraphs>
  <ScaleCrop>false</ScaleCrop>
  <Company>cy</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3</cp:revision>
  <cp:lastPrinted>2015-06-11T03:52:00Z</cp:lastPrinted>
  <dcterms:created xsi:type="dcterms:W3CDTF">2018-02-07T07:28:00Z</dcterms:created>
  <dcterms:modified xsi:type="dcterms:W3CDTF">2018-02-07T07:29:00Z</dcterms:modified>
</cp:coreProperties>
</file>