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C5E9F" w:rsidRDefault="00D75644" w:rsidP="00F37D7B">
      <w:pPr>
        <w:pStyle w:val="af5"/>
        <w:rPr>
          <w:color w:val="000000" w:themeColor="text1"/>
        </w:rPr>
      </w:pPr>
      <w:r w:rsidRPr="006C5E9F">
        <w:rPr>
          <w:rFonts w:hint="eastAsia"/>
          <w:color w:val="000000" w:themeColor="text1"/>
        </w:rPr>
        <w:t>調查報告</w:t>
      </w:r>
    </w:p>
    <w:p w:rsidR="00EA61C5" w:rsidRPr="006C5E9F" w:rsidRDefault="00EA61C5" w:rsidP="006C1364">
      <w:pPr>
        <w:pStyle w:val="1"/>
        <w:rPr>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6C5E9F">
        <w:rPr>
          <w:rFonts w:hint="eastAsia"/>
          <w:b/>
          <w:color w:val="000000" w:themeColor="text1"/>
        </w:rPr>
        <w:t>案　　由：</w:t>
      </w:r>
      <w:r w:rsidRPr="006C5E9F">
        <w:rPr>
          <w:color w:val="000000" w:themeColor="text1"/>
        </w:rPr>
        <w:t>據訴，臺灣臺北地方法院檢察署檢察官</w:t>
      </w:r>
      <w:r w:rsidR="00803AAF">
        <w:rPr>
          <w:rFonts w:hint="eastAsia"/>
          <w:color w:val="000000" w:themeColor="text1"/>
        </w:rPr>
        <w:t>張○堯</w:t>
      </w:r>
      <w:r w:rsidRPr="006C5E9F">
        <w:rPr>
          <w:color w:val="000000" w:themeColor="text1"/>
        </w:rPr>
        <w:t>偵辦</w:t>
      </w:r>
      <w:r w:rsidR="00803AAF">
        <w:rPr>
          <w:color w:val="000000" w:themeColor="text1"/>
        </w:rPr>
        <w:t>曾</w:t>
      </w:r>
      <w:r w:rsidR="00803AAF">
        <w:rPr>
          <w:rFonts w:ascii="新細明體" w:eastAsia="新細明體" w:hAnsi="新細明體" w:hint="eastAsia"/>
          <w:color w:val="000000" w:themeColor="text1"/>
        </w:rPr>
        <w:t>○</w:t>
      </w:r>
      <w:r w:rsidR="00803AAF">
        <w:rPr>
          <w:color w:val="000000" w:themeColor="text1"/>
        </w:rPr>
        <w:t>榮</w:t>
      </w:r>
      <w:r w:rsidRPr="006C5E9F">
        <w:rPr>
          <w:color w:val="000000" w:themeColor="text1"/>
        </w:rPr>
        <w:t>涉嫌違反「銀行法」案件，以不相當之保證金額，率予交保，致曾君棄保潛逃；另偵辦</w:t>
      </w:r>
      <w:r w:rsidR="00803AAF">
        <w:rPr>
          <w:color w:val="000000" w:themeColor="text1"/>
        </w:rPr>
        <w:t>徐</w:t>
      </w:r>
      <w:r w:rsidR="00803AAF">
        <w:rPr>
          <w:rFonts w:ascii="新細明體" w:eastAsia="新細明體" w:hAnsi="新細明體" w:hint="eastAsia"/>
          <w:color w:val="000000" w:themeColor="text1"/>
        </w:rPr>
        <w:t>○</w:t>
      </w:r>
      <w:bookmarkStart w:id="24" w:name="_GoBack"/>
      <w:bookmarkEnd w:id="24"/>
      <w:r w:rsidR="00803AAF">
        <w:rPr>
          <w:color w:val="000000" w:themeColor="text1"/>
        </w:rPr>
        <w:t>倫</w:t>
      </w:r>
      <w:r w:rsidRPr="006C5E9F">
        <w:rPr>
          <w:color w:val="000000" w:themeColor="text1"/>
        </w:rPr>
        <w:t>等人被訴「銀行法」案件，未詳查事證，率以103年度偵字第2398號為不起訴處分，均涉有違失等情案。</w:t>
      </w:r>
    </w:p>
    <w:p w:rsidR="00EA61C5" w:rsidRPr="006C5E9F" w:rsidRDefault="00EA61C5" w:rsidP="00EA61C5">
      <w:pPr>
        <w:pStyle w:val="1"/>
        <w:numPr>
          <w:ilvl w:val="0"/>
          <w:numId w:val="1"/>
        </w:numPr>
        <w:kinsoku w:val="0"/>
        <w:overflowPunct/>
        <w:autoSpaceDE/>
        <w:autoSpaceDN/>
        <w:ind w:left="2380" w:hanging="2380"/>
        <w:rPr>
          <w:b/>
          <w:color w:val="000000" w:themeColor="text1"/>
        </w:rPr>
      </w:pPr>
      <w:r w:rsidRPr="006C5E9F">
        <w:rPr>
          <w:rFonts w:hint="eastAsia"/>
          <w:b/>
          <w:color w:val="000000" w:themeColor="text1"/>
        </w:rPr>
        <w:t>調查意見：</w:t>
      </w:r>
    </w:p>
    <w:p w:rsidR="00434388" w:rsidRPr="006C5E9F" w:rsidRDefault="00434388" w:rsidP="00434388">
      <w:pPr>
        <w:tabs>
          <w:tab w:val="left" w:pos="567"/>
        </w:tabs>
        <w:kinsoku w:val="0"/>
        <w:ind w:leftChars="200" w:left="680" w:firstLineChars="200" w:firstLine="680"/>
        <w:rPr>
          <w:bCs/>
          <w:color w:val="000000" w:themeColor="text1"/>
          <w:kern w:val="0"/>
        </w:rPr>
      </w:pPr>
      <w:r w:rsidRPr="006C5E9F">
        <w:rPr>
          <w:rFonts w:hAnsi="標楷體" w:hint="eastAsia"/>
          <w:color w:val="000000" w:themeColor="text1"/>
        </w:rPr>
        <w:t>有關「</w:t>
      </w:r>
      <w:r w:rsidRPr="006C5E9F">
        <w:rPr>
          <w:color w:val="000000" w:themeColor="text1"/>
        </w:rPr>
        <w:t>據訴，臺灣臺北地方法院檢察署檢察官</w:t>
      </w:r>
      <w:r>
        <w:rPr>
          <w:rFonts w:hint="eastAsia"/>
          <w:color w:val="000000" w:themeColor="text1"/>
        </w:rPr>
        <w:t>張○堯</w:t>
      </w:r>
      <w:r w:rsidRPr="006C5E9F">
        <w:rPr>
          <w:color w:val="000000" w:themeColor="text1"/>
        </w:rPr>
        <w:t>偵辦</w:t>
      </w:r>
      <w:r>
        <w:rPr>
          <w:color w:val="000000" w:themeColor="text1"/>
        </w:rPr>
        <w:t>曾</w:t>
      </w:r>
      <w:r w:rsidRPr="001A3715">
        <w:rPr>
          <w:rFonts w:hint="eastAsia"/>
          <w:color w:val="000000" w:themeColor="text1"/>
        </w:rPr>
        <w:t>○</w:t>
      </w:r>
      <w:r>
        <w:rPr>
          <w:color w:val="000000" w:themeColor="text1"/>
        </w:rPr>
        <w:t>榮</w:t>
      </w:r>
      <w:r w:rsidRPr="006C5E9F">
        <w:rPr>
          <w:color w:val="000000" w:themeColor="text1"/>
        </w:rPr>
        <w:t>涉嫌違反</w:t>
      </w:r>
      <w:r w:rsidRPr="006C5E9F">
        <w:rPr>
          <w:rFonts w:hint="eastAsia"/>
          <w:color w:val="000000" w:themeColor="text1"/>
        </w:rPr>
        <w:t>『</w:t>
      </w:r>
      <w:r w:rsidRPr="006C5E9F">
        <w:rPr>
          <w:color w:val="000000" w:themeColor="text1"/>
        </w:rPr>
        <w:t>銀行法</w:t>
      </w:r>
      <w:r w:rsidRPr="006C5E9F">
        <w:rPr>
          <w:rFonts w:hint="eastAsia"/>
          <w:color w:val="000000" w:themeColor="text1"/>
        </w:rPr>
        <w:t>』</w:t>
      </w:r>
      <w:r w:rsidRPr="006C5E9F">
        <w:rPr>
          <w:color w:val="000000" w:themeColor="text1"/>
        </w:rPr>
        <w:t>案件，以不相當之保證金額，率予交保，致曾君棄保潛逃；另偵辦</w:t>
      </w:r>
      <w:r>
        <w:rPr>
          <w:color w:val="000000" w:themeColor="text1"/>
        </w:rPr>
        <w:t>徐</w:t>
      </w:r>
      <w:r w:rsidRPr="001A3715">
        <w:rPr>
          <w:rFonts w:hint="eastAsia"/>
          <w:color w:val="000000" w:themeColor="text1"/>
        </w:rPr>
        <w:t>○</w:t>
      </w:r>
      <w:r>
        <w:rPr>
          <w:color w:val="000000" w:themeColor="text1"/>
        </w:rPr>
        <w:t>倫</w:t>
      </w:r>
      <w:r w:rsidRPr="006C5E9F">
        <w:rPr>
          <w:color w:val="000000" w:themeColor="text1"/>
        </w:rPr>
        <w:t>等人被訴</w:t>
      </w:r>
      <w:r w:rsidRPr="006C5E9F">
        <w:rPr>
          <w:rFonts w:hint="eastAsia"/>
          <w:color w:val="000000" w:themeColor="text1"/>
        </w:rPr>
        <w:t>『</w:t>
      </w:r>
      <w:r w:rsidRPr="006C5E9F">
        <w:rPr>
          <w:color w:val="000000" w:themeColor="text1"/>
        </w:rPr>
        <w:t>銀行法</w:t>
      </w:r>
      <w:r w:rsidRPr="006C5E9F">
        <w:rPr>
          <w:rFonts w:hint="eastAsia"/>
          <w:color w:val="000000" w:themeColor="text1"/>
        </w:rPr>
        <w:t>』</w:t>
      </w:r>
      <w:r w:rsidRPr="006C5E9F">
        <w:rPr>
          <w:color w:val="000000" w:themeColor="text1"/>
        </w:rPr>
        <w:t>案件，未詳查事證，率以103年度偵字第2398號為不起訴處分，均涉有違失等情</w:t>
      </w:r>
      <w:r w:rsidRPr="006C5E9F">
        <w:rPr>
          <w:rFonts w:ascii="新細明體" w:eastAsia="新細明體" w:hAnsi="新細明體" w:hint="eastAsia"/>
          <w:color w:val="000000" w:themeColor="text1"/>
        </w:rPr>
        <w:t>」</w:t>
      </w:r>
      <w:r w:rsidRPr="006C5E9F">
        <w:rPr>
          <w:color w:val="000000" w:themeColor="text1"/>
        </w:rPr>
        <w:t>案</w:t>
      </w:r>
      <w:r w:rsidRPr="006C5E9F">
        <w:rPr>
          <w:rFonts w:ascii="新細明體" w:eastAsia="新細明體" w:hAnsi="新細明體" w:hint="eastAsia"/>
          <w:color w:val="000000" w:themeColor="text1"/>
        </w:rPr>
        <w:t>，</w:t>
      </w:r>
      <w:r w:rsidRPr="006C5E9F">
        <w:rPr>
          <w:rFonts w:hint="eastAsia"/>
          <w:bCs/>
          <w:color w:val="000000" w:themeColor="text1"/>
          <w:kern w:val="0"/>
        </w:rPr>
        <w:t>經向臺灣高等法院調閱相關偵審案卷，並函請法務部說明及檢送相關案卷到院，案經法務部民國（下同）106年8月29日以法檢字第10600619440號函復說明，「惟不起訴處分等相關案卷因另分案偵辦中暫不宜提供。」另臺灣高等法院函復本案全卷共645宗，因被告提起上訴未便提供偵查卷宗影本。嗣經函請最高法院同意後，於106年10月25日派員赴最高法院調閱並影印相關卷證資料，復於同年12月14日詢問法務部檢察司司長林</w:t>
      </w:r>
      <w:r w:rsidRPr="0005432B">
        <w:rPr>
          <w:rFonts w:hint="eastAsia"/>
          <w:bCs/>
          <w:color w:val="000000" w:themeColor="text1"/>
          <w:kern w:val="0"/>
        </w:rPr>
        <w:t>○</w:t>
      </w:r>
      <w:r w:rsidRPr="006C5E9F">
        <w:rPr>
          <w:rFonts w:hint="eastAsia"/>
          <w:bCs/>
          <w:color w:val="000000" w:themeColor="text1"/>
          <w:kern w:val="0"/>
        </w:rPr>
        <w:t>樑、調部辦事檢察官郭</w:t>
      </w:r>
      <w:r w:rsidRPr="0005432B">
        <w:rPr>
          <w:rFonts w:hint="eastAsia"/>
          <w:bCs/>
          <w:color w:val="000000" w:themeColor="text1"/>
          <w:kern w:val="0"/>
        </w:rPr>
        <w:t>○</w:t>
      </w:r>
      <w:r w:rsidRPr="006C5E9F">
        <w:rPr>
          <w:rFonts w:hint="eastAsia"/>
          <w:bCs/>
          <w:color w:val="000000" w:themeColor="text1"/>
          <w:kern w:val="0"/>
        </w:rPr>
        <w:t>豪、臺灣臺北地方法院檢察署（下稱臺北地檢署）襄閱主任檢察官周</w:t>
      </w:r>
      <w:r w:rsidRPr="0005432B">
        <w:rPr>
          <w:rFonts w:hint="eastAsia"/>
          <w:bCs/>
          <w:color w:val="000000" w:themeColor="text1"/>
          <w:kern w:val="0"/>
        </w:rPr>
        <w:t>○</w:t>
      </w:r>
      <w:r w:rsidRPr="006C5E9F">
        <w:rPr>
          <w:rFonts w:hint="eastAsia"/>
          <w:bCs/>
          <w:color w:val="000000" w:themeColor="text1"/>
          <w:kern w:val="0"/>
        </w:rPr>
        <w:t>榆，</w:t>
      </w:r>
      <w:r w:rsidRPr="006C5E9F">
        <w:rPr>
          <w:rFonts w:hint="eastAsia"/>
          <w:color w:val="000000" w:themeColor="text1"/>
        </w:rPr>
        <w:t>茲將調查意見分述如下</w:t>
      </w:r>
      <w:r w:rsidRPr="006C5E9F">
        <w:rPr>
          <w:rFonts w:hint="eastAsia"/>
          <w:bCs/>
          <w:color w:val="000000" w:themeColor="text1"/>
          <w:kern w:val="0"/>
        </w:rPr>
        <w:t>：</w:t>
      </w:r>
    </w:p>
    <w:p w:rsidR="00434388" w:rsidRPr="006C5E9F" w:rsidRDefault="00434388" w:rsidP="00434388">
      <w:pPr>
        <w:pStyle w:val="2"/>
        <w:numPr>
          <w:ilvl w:val="1"/>
          <w:numId w:val="1"/>
        </w:numPr>
        <w:spacing w:beforeLines="100" w:before="457"/>
        <w:ind w:left="1020" w:hanging="680"/>
        <w:rPr>
          <w:b/>
          <w:color w:val="000000" w:themeColor="text1"/>
        </w:rPr>
      </w:pPr>
      <w:bookmarkStart w:id="25" w:name="_Toc525066147"/>
      <w:bookmarkStart w:id="26" w:name="_Toc525070838"/>
      <w:bookmarkStart w:id="27" w:name="_Toc525938378"/>
      <w:bookmarkStart w:id="28" w:name="_Toc525939226"/>
      <w:bookmarkStart w:id="29" w:name="_Toc525939731"/>
      <w:bookmarkStart w:id="30" w:name="_Toc529218271"/>
      <w:bookmarkStart w:id="31" w:name="_Toc529222688"/>
      <w:bookmarkStart w:id="32" w:name="_Toc529223110"/>
      <w:bookmarkStart w:id="33" w:name="_Toc529223861"/>
      <w:bookmarkStart w:id="34" w:name="_Toc529228264"/>
      <w:bookmarkStart w:id="35" w:name="_Toc2400394"/>
      <w:bookmarkStart w:id="36" w:name="_Toc4316188"/>
      <w:bookmarkStart w:id="37" w:name="_Toc4473329"/>
      <w:bookmarkStart w:id="38" w:name="_Toc69556896"/>
      <w:bookmarkStart w:id="39" w:name="_Toc69556945"/>
      <w:bookmarkStart w:id="40" w:name="_Toc69609819"/>
      <w:r w:rsidRPr="006C5E9F">
        <w:rPr>
          <w:rFonts w:hint="eastAsia"/>
          <w:b/>
          <w:color w:val="000000" w:themeColor="text1"/>
        </w:rPr>
        <w:t>臺北地檢署檢察官辦理102年度偵字第500號等案件，於103年2月20日函復法院同意被告</w:t>
      </w:r>
      <w:r>
        <w:rPr>
          <w:rFonts w:hint="eastAsia"/>
          <w:b/>
          <w:color w:val="000000" w:themeColor="text1"/>
        </w:rPr>
        <w:t>曾○榮</w:t>
      </w:r>
      <w:r w:rsidRPr="006C5E9F">
        <w:rPr>
          <w:rFonts w:hint="eastAsia"/>
          <w:b/>
          <w:color w:val="000000" w:themeColor="text1"/>
        </w:rPr>
        <w:t>交保時，已知本案受害投資人眾多且犯罪所得金額高達新臺幣（下同）數十億元之鉅，卻同意以顯不相當之100萬元保證金交保，與一般大眾期待似有落差</w:t>
      </w:r>
      <w:r w:rsidRPr="006C5E9F">
        <w:rPr>
          <w:rFonts w:ascii="新細明體" w:eastAsia="新細明體" w:hAnsi="新細明體" w:hint="eastAsia"/>
          <w:b/>
          <w:color w:val="000000" w:themeColor="text1"/>
        </w:rPr>
        <w:t>，</w:t>
      </w:r>
      <w:r w:rsidRPr="006C5E9F">
        <w:rPr>
          <w:rFonts w:hint="eastAsia"/>
          <w:b/>
          <w:color w:val="000000" w:themeColor="text1"/>
        </w:rPr>
        <w:t>確有未</w:t>
      </w:r>
      <w:r w:rsidRPr="006C5E9F">
        <w:rPr>
          <w:rFonts w:hint="eastAsia"/>
          <w:b/>
          <w:color w:val="000000" w:themeColor="text1"/>
        </w:rPr>
        <w:lastRenderedPageBreak/>
        <w:t>當。又近年來，金融衍生性商品日新月異，經濟犯罪樣態不斷推陳出新，犯罪所得金額常高達數十億元之鉅，為避免檢察官於個案衡酌交保金額高低時，因無相對之參考標準，而為不相當之交保金額，法務部允宜研究建置重大經濟犯罪案件之涉案金額及交保金額相關統計資料，以供檢察官衡酌個案交保金額之參考。</w:t>
      </w:r>
    </w:p>
    <w:p w:rsidR="00434388" w:rsidRPr="006C5E9F" w:rsidRDefault="00434388" w:rsidP="00434388">
      <w:pPr>
        <w:pStyle w:val="3"/>
        <w:numPr>
          <w:ilvl w:val="2"/>
          <w:numId w:val="1"/>
        </w:numPr>
        <w:rPr>
          <w:color w:val="000000" w:themeColor="text1"/>
        </w:rPr>
      </w:pPr>
      <w:r w:rsidRPr="006C5E9F">
        <w:rPr>
          <w:rFonts w:hint="eastAsia"/>
          <w:color w:val="000000" w:themeColor="text1"/>
        </w:rPr>
        <w:t>按「刑事訴訟法」第110條規定：「被告及得為其輔佐人之人或辯護人，得隨時具保，向法院聲請停止羈押。檢察官於偵查中得聲請法院命被告具保停止羈押。前2項具保停止羈押之審查，準用第107條第3項之規定。偵查中法院為具保停止羈押之決定時，除有第114條及本條第2項之情形者外，應徵詢檢察官之意見。」又檢察官逕命被告具保者，應指定保證金額，其保證金額須審酌被告所涉罪嫌、犯罪情節、所生危害及被告之身分、資力、犯罪所得等事項，「刑事訴訟法」第93條第3項、第228條第4項及「檢察機關辦理刑事訴訟案件應行注意事項」第40點分別定有明文。</w:t>
      </w:r>
    </w:p>
    <w:p w:rsidR="00434388" w:rsidRPr="006C5E9F" w:rsidRDefault="00434388" w:rsidP="00434388">
      <w:pPr>
        <w:pStyle w:val="3"/>
        <w:numPr>
          <w:ilvl w:val="2"/>
          <w:numId w:val="1"/>
        </w:numPr>
      </w:pPr>
      <w:r w:rsidRPr="006C5E9F">
        <w:rPr>
          <w:rFonts w:hint="eastAsia"/>
        </w:rPr>
        <w:t>緣</w:t>
      </w:r>
      <w:r>
        <w:rPr>
          <w:rFonts w:hint="eastAsia"/>
        </w:rPr>
        <w:t>曾○榮</w:t>
      </w:r>
      <w:r w:rsidRPr="006C5E9F">
        <w:rPr>
          <w:rFonts w:hint="eastAsia"/>
        </w:rPr>
        <w:t>於100年7月1日登記設立「寶德資訊有限公司」（下稱「寶德公司」），並與鄒</w:t>
      </w:r>
      <w:r w:rsidRPr="00671D70">
        <w:rPr>
          <w:rFonts w:hint="eastAsia"/>
        </w:rPr>
        <w:t>○</w:t>
      </w:r>
      <w:r w:rsidRPr="006C5E9F">
        <w:rPr>
          <w:rFonts w:hint="eastAsia"/>
        </w:rPr>
        <w:t>羽、鄒</w:t>
      </w:r>
      <w:r w:rsidRPr="00671D70">
        <w:rPr>
          <w:rFonts w:hint="eastAsia"/>
        </w:rPr>
        <w:t>○</w:t>
      </w:r>
      <w:r w:rsidRPr="006C5E9F">
        <w:rPr>
          <w:rFonts w:hint="eastAsia"/>
        </w:rPr>
        <w:t>香（2人違反「銀行法」案件另案偵辦中）合作，由鄒</w:t>
      </w:r>
      <w:r w:rsidRPr="00671D70">
        <w:rPr>
          <w:rFonts w:hint="eastAsia"/>
        </w:rPr>
        <w:t>○</w:t>
      </w:r>
      <w:r w:rsidRPr="006C5E9F">
        <w:rPr>
          <w:rFonts w:hint="eastAsia"/>
        </w:rPr>
        <w:t>羽、鄒</w:t>
      </w:r>
      <w:r w:rsidRPr="00671D70">
        <w:rPr>
          <w:rFonts w:hint="eastAsia"/>
        </w:rPr>
        <w:t>○</w:t>
      </w:r>
      <w:r w:rsidRPr="006C5E9F">
        <w:rPr>
          <w:rFonts w:hint="eastAsia"/>
        </w:rPr>
        <w:t>香負責找圈購之未上市、櫃公司股票，及鄒春香找來之游</w:t>
      </w:r>
      <w:r w:rsidRPr="00671D70">
        <w:rPr>
          <w:rFonts w:hint="eastAsia"/>
          <w:color w:val="000000" w:themeColor="text1"/>
        </w:rPr>
        <w:t>○</w:t>
      </w:r>
      <w:r w:rsidRPr="006C5E9F">
        <w:rPr>
          <w:rFonts w:hint="eastAsia"/>
        </w:rPr>
        <w:t>珠（違反「銀行法」案件另案偵辦中）負責招攬業務，</w:t>
      </w:r>
      <w:r>
        <w:rPr>
          <w:rFonts w:hint="eastAsia"/>
        </w:rPr>
        <w:t>曾○榮</w:t>
      </w:r>
      <w:r w:rsidRPr="006C5E9F">
        <w:rPr>
          <w:rFonts w:hint="eastAsia"/>
        </w:rPr>
        <w:t>提供其個人帳戶給鄒</w:t>
      </w:r>
      <w:r w:rsidRPr="003D1839">
        <w:rPr>
          <w:rFonts w:hint="eastAsia"/>
        </w:rPr>
        <w:t>○</w:t>
      </w:r>
      <w:r w:rsidRPr="006C5E9F">
        <w:rPr>
          <w:rFonts w:hint="eastAsia"/>
        </w:rPr>
        <w:t>羽、鄒</w:t>
      </w:r>
      <w:r w:rsidRPr="003D1839">
        <w:rPr>
          <w:rFonts w:hint="eastAsia"/>
        </w:rPr>
        <w:t>○</w:t>
      </w:r>
      <w:r w:rsidRPr="006C5E9F">
        <w:rPr>
          <w:rFonts w:hint="eastAsia"/>
        </w:rPr>
        <w:t>香，供投資人匯入投資款，及以「寶德公司」作為營業據點，由曾</w:t>
      </w:r>
      <w:r w:rsidRPr="00671D70">
        <w:rPr>
          <w:rFonts w:hint="eastAsia"/>
        </w:rPr>
        <w:t>○</w:t>
      </w:r>
      <w:r w:rsidRPr="006C5E9F">
        <w:rPr>
          <w:rFonts w:hint="eastAsia"/>
        </w:rPr>
        <w:t>榮負責與投資人簽訂協議書</w:t>
      </w:r>
      <w:r w:rsidRPr="006C5E9F">
        <w:rPr>
          <w:rFonts w:hAnsi="標楷體" w:hint="eastAsia"/>
        </w:rPr>
        <w:t>（如附件）</w:t>
      </w:r>
      <w:r w:rsidRPr="006C5E9F">
        <w:rPr>
          <w:rFonts w:hint="eastAsia"/>
        </w:rPr>
        <w:t>，共同對外招攬投資人投資圈購股票</w:t>
      </w:r>
      <w:r w:rsidRPr="006C5E9F">
        <w:rPr>
          <w:rFonts w:ascii="新細明體" w:eastAsia="新細明體" w:hAnsi="新細明體" w:hint="eastAsia"/>
        </w:rPr>
        <w:t>。</w:t>
      </w:r>
      <w:r w:rsidRPr="006C5E9F">
        <w:rPr>
          <w:rFonts w:hint="eastAsia"/>
        </w:rPr>
        <w:t>101年9月6日法務部調查局臺北市調查處（下稱臺北市調處）前往「寶德公司」搜索後，</w:t>
      </w:r>
      <w:r>
        <w:rPr>
          <w:rFonts w:hint="eastAsia"/>
        </w:rPr>
        <w:t>曾○榮</w:t>
      </w:r>
      <w:r w:rsidRPr="006C5E9F">
        <w:rPr>
          <w:rFonts w:hint="eastAsia"/>
        </w:rPr>
        <w:lastRenderedPageBreak/>
        <w:t>為免投資款均為鄒</w:t>
      </w:r>
      <w:r w:rsidRPr="00671D70">
        <w:rPr>
          <w:rFonts w:hint="eastAsia"/>
        </w:rPr>
        <w:t>○</w:t>
      </w:r>
      <w:r w:rsidRPr="006C5E9F">
        <w:rPr>
          <w:rFonts w:hint="eastAsia"/>
        </w:rPr>
        <w:t>羽、鄒</w:t>
      </w:r>
      <w:r w:rsidRPr="00671D70">
        <w:rPr>
          <w:rFonts w:hint="eastAsia"/>
        </w:rPr>
        <w:t>○</w:t>
      </w:r>
      <w:r w:rsidRPr="006C5E9F">
        <w:rPr>
          <w:rFonts w:hint="eastAsia"/>
        </w:rPr>
        <w:t>香掌控，於101年9月下旬改向經營「宅吉便不動產有限公司」（下稱「宅吉便公司」）從事房地產仲介之</w:t>
      </w:r>
      <w:r>
        <w:rPr>
          <w:rFonts w:hint="eastAsia"/>
        </w:rPr>
        <w:t>姚○丞</w:t>
      </w:r>
      <w:r w:rsidRPr="006C5E9F">
        <w:rPr>
          <w:rFonts w:hint="eastAsia"/>
        </w:rPr>
        <w:t>商借「宅吉便公司」帳戶及</w:t>
      </w:r>
      <w:r>
        <w:rPr>
          <w:rFonts w:hint="eastAsia"/>
        </w:rPr>
        <w:t>姚○丞</w:t>
      </w:r>
      <w:r w:rsidRPr="006C5E9F">
        <w:rPr>
          <w:rFonts w:hint="eastAsia"/>
        </w:rPr>
        <w:t>個人帳戶供投資人匯入投資款用，及由</w:t>
      </w:r>
      <w:r>
        <w:rPr>
          <w:rFonts w:hint="eastAsia"/>
        </w:rPr>
        <w:t>姚○丞</w:t>
      </w:r>
      <w:r w:rsidRPr="006C5E9F">
        <w:rPr>
          <w:rFonts w:hint="eastAsia"/>
        </w:rPr>
        <w:t>出名與投資人簽訂共同投資合作書、合作決定書</w:t>
      </w:r>
      <w:r w:rsidRPr="006C5E9F">
        <w:rPr>
          <w:rFonts w:ascii="新細明體" w:eastAsia="新細明體" w:hAnsi="新細明體" w:hint="eastAsia"/>
        </w:rPr>
        <w:t>。</w:t>
      </w:r>
      <w:r w:rsidRPr="006C5E9F">
        <w:rPr>
          <w:rFonts w:hint="eastAsia"/>
        </w:rPr>
        <w:t>另又於102年3月間商請</w:t>
      </w:r>
      <w:r>
        <w:rPr>
          <w:rFonts w:hint="eastAsia"/>
        </w:rPr>
        <w:t>梁○</w:t>
      </w:r>
      <w:r w:rsidRPr="006C5E9F">
        <w:rPr>
          <w:rFonts w:hint="eastAsia"/>
        </w:rPr>
        <w:t>出面登記設立「雙盈行銷實業有限公司」（下稱「雙盈公司」），及以「雙盈公司」向華泰商業銀行、新光商業銀行慶城分行開立帳戶供其使用，收取投資人投資款，並由</w:t>
      </w:r>
      <w:r>
        <w:rPr>
          <w:rFonts w:hint="eastAsia"/>
        </w:rPr>
        <w:t>梁○</w:t>
      </w:r>
      <w:r w:rsidRPr="006C5E9F">
        <w:rPr>
          <w:rFonts w:hint="eastAsia"/>
        </w:rPr>
        <w:t>以「雙盈公司」負責人代表「雙盈公司」與投資人簽訂合購確認、約定條款，更於約定之102年4月12日出金日鄒</w:t>
      </w:r>
      <w:r w:rsidRPr="001A3715">
        <w:rPr>
          <w:rFonts w:hint="eastAsia"/>
        </w:rPr>
        <w:t>○</w:t>
      </w:r>
      <w:r w:rsidRPr="006C5E9F">
        <w:rPr>
          <w:rFonts w:hint="eastAsia"/>
        </w:rPr>
        <w:t>羽、鄒</w:t>
      </w:r>
      <w:r w:rsidRPr="001A3715">
        <w:rPr>
          <w:rFonts w:hint="eastAsia"/>
        </w:rPr>
        <w:t>○</w:t>
      </w:r>
      <w:r w:rsidRPr="006C5E9F">
        <w:rPr>
          <w:rFonts w:hint="eastAsia"/>
        </w:rPr>
        <w:t>香未匯款給投資人攜款潛逃後，旋即由</w:t>
      </w:r>
      <w:r>
        <w:rPr>
          <w:rFonts w:hint="eastAsia"/>
        </w:rPr>
        <w:t>曾○榮</w:t>
      </w:r>
      <w:r w:rsidRPr="006C5E9F">
        <w:rPr>
          <w:rFonts w:hint="eastAsia"/>
        </w:rPr>
        <w:t>主導對外招攬投資人投資圈購股票業務。並僱用同有犯意聯絡之杜</w:t>
      </w:r>
      <w:r w:rsidRPr="001A3715">
        <w:rPr>
          <w:rFonts w:hint="eastAsia"/>
        </w:rPr>
        <w:t>○</w:t>
      </w:r>
      <w:r w:rsidRPr="006C5E9F">
        <w:rPr>
          <w:rFonts w:hint="eastAsia"/>
        </w:rPr>
        <w:t>珊、陳</w:t>
      </w:r>
      <w:r w:rsidRPr="001A3715">
        <w:rPr>
          <w:rFonts w:hint="eastAsia"/>
        </w:rPr>
        <w:t>○</w:t>
      </w:r>
      <w:r w:rsidRPr="006C5E9F">
        <w:rPr>
          <w:rFonts w:hint="eastAsia"/>
        </w:rPr>
        <w:t>宇等負責計算總帳、準備業務獎金及至銀行匯款、提款等，陳</w:t>
      </w:r>
      <w:r w:rsidRPr="001A3715">
        <w:rPr>
          <w:rFonts w:hint="eastAsia"/>
        </w:rPr>
        <w:t>○</w:t>
      </w:r>
      <w:r w:rsidRPr="006C5E9F">
        <w:rPr>
          <w:rFonts w:hint="eastAsia"/>
        </w:rPr>
        <w:t>亮、馮</w:t>
      </w:r>
      <w:r w:rsidRPr="001A3715">
        <w:rPr>
          <w:rFonts w:hint="eastAsia"/>
        </w:rPr>
        <w:t>○</w:t>
      </w:r>
      <w:r w:rsidRPr="006C5E9F">
        <w:rPr>
          <w:rFonts w:hint="eastAsia"/>
        </w:rPr>
        <w:t>塵等人負責管理業務人員，劉</w:t>
      </w:r>
      <w:r w:rsidRPr="001A3715">
        <w:rPr>
          <w:rFonts w:hint="eastAsia"/>
        </w:rPr>
        <w:t>○</w:t>
      </w:r>
      <w:r w:rsidRPr="006C5E9F">
        <w:rPr>
          <w:rFonts w:hint="eastAsia"/>
        </w:rPr>
        <w:t>均</w:t>
      </w:r>
      <w:r w:rsidRPr="006C5E9F">
        <w:rPr>
          <w:rFonts w:hAnsi="標楷體" w:hint="eastAsia"/>
        </w:rPr>
        <w:t>（原名</w:t>
      </w:r>
      <w:r w:rsidRPr="006C5E9F">
        <w:rPr>
          <w:rFonts w:hint="eastAsia"/>
        </w:rPr>
        <w:t>劉</w:t>
      </w:r>
      <w:r w:rsidRPr="001A3715">
        <w:rPr>
          <w:rFonts w:hint="eastAsia"/>
        </w:rPr>
        <w:t>○</w:t>
      </w:r>
      <w:r w:rsidRPr="006C5E9F">
        <w:rPr>
          <w:rFonts w:hint="eastAsia"/>
        </w:rPr>
        <w:t>鳳</w:t>
      </w:r>
      <w:r w:rsidRPr="006C5E9F">
        <w:rPr>
          <w:rFonts w:hAnsi="標楷體" w:hint="eastAsia"/>
        </w:rPr>
        <w:t>）</w:t>
      </w:r>
      <w:r w:rsidRPr="006C5E9F">
        <w:rPr>
          <w:rFonts w:hint="eastAsia"/>
        </w:rPr>
        <w:t>、陳</w:t>
      </w:r>
      <w:r w:rsidRPr="001A3715">
        <w:rPr>
          <w:rFonts w:hint="eastAsia"/>
        </w:rPr>
        <w:t>○</w:t>
      </w:r>
      <w:r w:rsidRPr="006C5E9F">
        <w:rPr>
          <w:rFonts w:hint="eastAsia"/>
        </w:rPr>
        <w:t>如等人擔任各點辦公室之行政人員，負責文書作業，包括製作協議書、聯繫業務人員及與杜</w:t>
      </w:r>
      <w:r w:rsidRPr="001A3715">
        <w:rPr>
          <w:rFonts w:hint="eastAsia"/>
        </w:rPr>
        <w:t>○</w:t>
      </w:r>
      <w:r w:rsidRPr="006C5E9F">
        <w:rPr>
          <w:rFonts w:hint="eastAsia"/>
        </w:rPr>
        <w:t>珊對帳，林</w:t>
      </w:r>
      <w:r w:rsidRPr="001A3715">
        <w:rPr>
          <w:rFonts w:hint="eastAsia"/>
        </w:rPr>
        <w:t>○</w:t>
      </w:r>
      <w:r w:rsidRPr="006C5E9F">
        <w:rPr>
          <w:rFonts w:hint="eastAsia"/>
        </w:rPr>
        <w:t>珍、蘇</w:t>
      </w:r>
      <w:r w:rsidRPr="003D1839">
        <w:rPr>
          <w:rFonts w:hint="eastAsia"/>
        </w:rPr>
        <w:t>○</w:t>
      </w:r>
      <w:r w:rsidRPr="006C5E9F">
        <w:rPr>
          <w:rFonts w:hint="eastAsia"/>
        </w:rPr>
        <w:t>玲等人為業務人員之組長，負責對外招攬不特定人士進行投資。案經告訴人告發及臺北市調處移送偵辦，由臺北地檢署以103年7月11日102年度偵字第500號等提起公訴，臺灣臺北地方法院（下稱臺北地院）104年8月19日103年度金重訴字第18號為</w:t>
      </w:r>
      <w:r>
        <w:rPr>
          <w:rFonts w:hint="eastAsia"/>
        </w:rPr>
        <w:t>姚○丞</w:t>
      </w:r>
      <w:r w:rsidRPr="006C5E9F">
        <w:rPr>
          <w:rFonts w:hint="eastAsia"/>
        </w:rPr>
        <w:t>等10人有罪判決（</w:t>
      </w:r>
      <w:r>
        <w:rPr>
          <w:rFonts w:hint="eastAsia"/>
        </w:rPr>
        <w:t>曾○榮</w:t>
      </w:r>
      <w:r w:rsidRPr="006C5E9F">
        <w:rPr>
          <w:rFonts w:hint="eastAsia"/>
        </w:rPr>
        <w:t>通緝中；待緝獲後另行審結）。嗣臺北地檢署檢察官提起上訴，臺灣高等法院106年3月3日104年度金上重訴字第35號判決</w:t>
      </w:r>
      <w:r w:rsidRPr="006C5E9F">
        <w:rPr>
          <w:rFonts w:hAnsi="標楷體" w:hint="eastAsia"/>
        </w:rPr>
        <w:t>﹕</w:t>
      </w:r>
      <w:r w:rsidRPr="006C5E9F">
        <w:rPr>
          <w:rFonts w:hint="eastAsia"/>
        </w:rPr>
        <w:t>原判決撤銷，</w:t>
      </w:r>
      <w:r>
        <w:rPr>
          <w:rFonts w:hint="eastAsia"/>
        </w:rPr>
        <w:t>姚○丞</w:t>
      </w:r>
      <w:r w:rsidRPr="006C5E9F">
        <w:rPr>
          <w:rFonts w:hint="eastAsia"/>
        </w:rPr>
        <w:t>，處有期徒刑11年6月；</w:t>
      </w:r>
      <w:r>
        <w:rPr>
          <w:rFonts w:hint="eastAsia"/>
        </w:rPr>
        <w:t>梁○</w:t>
      </w:r>
      <w:r w:rsidRPr="006C5E9F">
        <w:rPr>
          <w:rFonts w:hint="eastAsia"/>
        </w:rPr>
        <w:t>處有期徒刑11年9月；陳</w:t>
      </w:r>
      <w:r w:rsidRPr="003D1839">
        <w:rPr>
          <w:rFonts w:hint="eastAsia"/>
        </w:rPr>
        <w:t>○</w:t>
      </w:r>
      <w:r w:rsidRPr="006C5E9F">
        <w:rPr>
          <w:rFonts w:hint="eastAsia"/>
        </w:rPr>
        <w:t>處有期徒刑12年；馮</w:t>
      </w:r>
      <w:r w:rsidRPr="003D1839">
        <w:rPr>
          <w:rFonts w:hint="eastAsia"/>
        </w:rPr>
        <w:t>○</w:t>
      </w:r>
      <w:r w:rsidRPr="006C5E9F">
        <w:rPr>
          <w:rFonts w:hint="eastAsia"/>
        </w:rPr>
        <w:t>塵</w:t>
      </w:r>
      <w:r w:rsidRPr="006C5E9F">
        <w:rPr>
          <w:rFonts w:ascii="新細明體" w:eastAsia="新細明體" w:hAnsi="新細明體" w:hint="eastAsia"/>
        </w:rPr>
        <w:t>，</w:t>
      </w:r>
      <w:r w:rsidRPr="006C5E9F">
        <w:rPr>
          <w:rFonts w:hint="eastAsia"/>
        </w:rPr>
        <w:t>累犯</w:t>
      </w:r>
      <w:r w:rsidRPr="006C5E9F">
        <w:rPr>
          <w:rFonts w:ascii="新細明體" w:eastAsia="新細明體" w:hAnsi="新細明體" w:hint="eastAsia"/>
        </w:rPr>
        <w:t>，</w:t>
      </w:r>
      <w:r w:rsidRPr="006C5E9F">
        <w:rPr>
          <w:rFonts w:hint="eastAsia"/>
        </w:rPr>
        <w:t>處有期徒刑11年；林</w:t>
      </w:r>
      <w:r w:rsidRPr="003D1839">
        <w:rPr>
          <w:rFonts w:hint="eastAsia"/>
        </w:rPr>
        <w:t>○</w:t>
      </w:r>
      <w:r w:rsidRPr="006C5E9F">
        <w:rPr>
          <w:rFonts w:hint="eastAsia"/>
        </w:rPr>
        <w:t>珍，處</w:t>
      </w:r>
      <w:r w:rsidRPr="006C5E9F">
        <w:rPr>
          <w:rFonts w:hint="eastAsia"/>
        </w:rPr>
        <w:lastRenderedPageBreak/>
        <w:t>有期徒刑8年；蘇</w:t>
      </w:r>
      <w:r w:rsidRPr="003D1839">
        <w:rPr>
          <w:rFonts w:hint="eastAsia"/>
        </w:rPr>
        <w:t>○</w:t>
      </w:r>
      <w:r w:rsidRPr="006C5E9F">
        <w:rPr>
          <w:rFonts w:hint="eastAsia"/>
        </w:rPr>
        <w:t>芯處有期徒刑9年；</w:t>
      </w:r>
      <w:r>
        <w:rPr>
          <w:rFonts w:hint="eastAsia"/>
        </w:rPr>
        <w:t>杜○珊</w:t>
      </w:r>
      <w:r w:rsidRPr="006C5E9F">
        <w:rPr>
          <w:rFonts w:hint="eastAsia"/>
        </w:rPr>
        <w:t>處有期徒刑2年、緩刑4年；劉</w:t>
      </w:r>
      <w:r w:rsidRPr="007F1420">
        <w:rPr>
          <w:rFonts w:hint="eastAsia"/>
        </w:rPr>
        <w:t>○</w:t>
      </w:r>
      <w:r w:rsidRPr="006C5E9F">
        <w:rPr>
          <w:rFonts w:hint="eastAsia"/>
        </w:rPr>
        <w:t>均處有期徒刑2年、緩刑4年；陳</w:t>
      </w:r>
      <w:r w:rsidRPr="007F1420">
        <w:rPr>
          <w:rFonts w:hint="eastAsia"/>
        </w:rPr>
        <w:t>○</w:t>
      </w:r>
      <w:r w:rsidRPr="006C5E9F">
        <w:rPr>
          <w:rFonts w:hint="eastAsia"/>
        </w:rPr>
        <w:t>如處有期徒刑2年、緩刑3年；陳</w:t>
      </w:r>
      <w:r w:rsidRPr="007F1420">
        <w:rPr>
          <w:rFonts w:hint="eastAsia"/>
        </w:rPr>
        <w:t>○</w:t>
      </w:r>
      <w:r w:rsidRPr="006C5E9F">
        <w:rPr>
          <w:rFonts w:hint="eastAsia"/>
        </w:rPr>
        <w:t>宇處有期徒刑1年10月、緩刑3年。目前上訴最高法院審理中。</w:t>
      </w:r>
    </w:p>
    <w:p w:rsidR="00434388" w:rsidRPr="006C5E9F" w:rsidRDefault="00434388" w:rsidP="00434388">
      <w:pPr>
        <w:pStyle w:val="3"/>
        <w:numPr>
          <w:ilvl w:val="2"/>
          <w:numId w:val="1"/>
        </w:numPr>
        <w:rPr>
          <w:color w:val="000000" w:themeColor="text1"/>
        </w:rPr>
      </w:pPr>
      <w:r w:rsidRPr="006C5E9F">
        <w:rPr>
          <w:rFonts w:hint="eastAsia"/>
          <w:color w:val="000000" w:themeColor="text1"/>
        </w:rPr>
        <w:t>有關陳訴人陳訴</w:t>
      </w:r>
      <w:r w:rsidRPr="006C5E9F">
        <w:rPr>
          <w:rFonts w:hAnsi="標楷體" w:hint="eastAsia"/>
          <w:color w:val="000000" w:themeColor="text1"/>
        </w:rPr>
        <w:t>：</w:t>
      </w:r>
      <w:r w:rsidRPr="006C5E9F">
        <w:rPr>
          <w:rFonts w:hint="eastAsia"/>
          <w:color w:val="000000" w:themeColor="text1"/>
        </w:rPr>
        <w:t>臺北地檢署檢察官偵辦</w:t>
      </w:r>
      <w:r>
        <w:rPr>
          <w:rFonts w:hint="eastAsia"/>
          <w:color w:val="000000" w:themeColor="text1"/>
        </w:rPr>
        <w:t>曾○榮</w:t>
      </w:r>
      <w:r w:rsidRPr="006C5E9F">
        <w:rPr>
          <w:rFonts w:hint="eastAsia"/>
          <w:color w:val="000000" w:themeColor="text1"/>
        </w:rPr>
        <w:t>涉嫌違反「銀行法」案件時，於103年2月20日以不相當之100萬元保證金額，率予同意交保，致曾君棄保潛逃一節</w:t>
      </w:r>
      <w:r w:rsidRPr="006C5E9F">
        <w:rPr>
          <w:rFonts w:ascii="新細明體" w:eastAsia="新細明體" w:hAnsi="新細明體" w:hint="eastAsia"/>
          <w:color w:val="000000" w:themeColor="text1"/>
        </w:rPr>
        <w:t>，</w:t>
      </w:r>
      <w:r w:rsidRPr="006C5E9F">
        <w:rPr>
          <w:rFonts w:hint="eastAsia"/>
          <w:color w:val="000000" w:themeColor="text1"/>
        </w:rPr>
        <w:t>法務部查復說明略以</w:t>
      </w:r>
      <w:r w:rsidRPr="006C5E9F">
        <w:rPr>
          <w:rFonts w:hAnsi="標楷體" w:hint="eastAsia"/>
          <w:color w:val="000000" w:themeColor="text1"/>
        </w:rPr>
        <w:t>：</w:t>
      </w:r>
      <w:r w:rsidRPr="006C5E9F">
        <w:rPr>
          <w:rFonts w:hint="eastAsia"/>
          <w:color w:val="000000" w:themeColor="text1"/>
        </w:rPr>
        <w:t xml:space="preserve"> </w:t>
      </w:r>
    </w:p>
    <w:p w:rsidR="00434388" w:rsidRPr="006C5E9F" w:rsidRDefault="00434388" w:rsidP="00434388">
      <w:pPr>
        <w:pStyle w:val="4"/>
        <w:numPr>
          <w:ilvl w:val="3"/>
          <w:numId w:val="1"/>
        </w:numPr>
        <w:rPr>
          <w:color w:val="000000" w:themeColor="text1"/>
        </w:rPr>
      </w:pPr>
      <w:r w:rsidRPr="006C5E9F">
        <w:rPr>
          <w:rFonts w:hint="eastAsia"/>
          <w:color w:val="000000" w:themeColor="text1"/>
        </w:rPr>
        <w:t>本案被告</w:t>
      </w:r>
      <w:r>
        <w:rPr>
          <w:rFonts w:hint="eastAsia"/>
          <w:color w:val="000000" w:themeColor="text1"/>
        </w:rPr>
        <w:t>曾○榮</w:t>
      </w:r>
      <w:r w:rsidRPr="006C5E9F">
        <w:rPr>
          <w:rFonts w:hint="eastAsia"/>
          <w:color w:val="000000" w:themeColor="text1"/>
        </w:rPr>
        <w:t>於羈押後，即有眾多投資人，分別以電話向臺北地檢署政風室陳情或遞陳情狀之方式，請求儘速釐清案情讓投資人取回投資款項，而被告</w:t>
      </w:r>
      <w:r>
        <w:rPr>
          <w:rFonts w:hint="eastAsia"/>
          <w:color w:val="000000" w:themeColor="text1"/>
        </w:rPr>
        <w:t>曾○榮</w:t>
      </w:r>
      <w:r w:rsidRPr="006C5E9F">
        <w:rPr>
          <w:rFonts w:hint="eastAsia"/>
          <w:color w:val="000000" w:themeColor="text1"/>
        </w:rPr>
        <w:t>亦於103年1月間，即以「動過心導管手術、罹患糖尿病、高血壓需要長期服藥控制」為由，向法院聲請具保停止羈押，經法院徵詢檢察官意見，檢察官以「本案尚在傳喚相關被告及證人，且被告並未提出病歷證明」，表達不同意被告具保停止羈押之意見。嗣被告</w:t>
      </w:r>
      <w:r>
        <w:rPr>
          <w:rFonts w:hint="eastAsia"/>
          <w:color w:val="000000" w:themeColor="text1"/>
        </w:rPr>
        <w:t>曾○榮</w:t>
      </w:r>
      <w:r w:rsidRPr="006C5E9F">
        <w:rPr>
          <w:rFonts w:hint="eastAsia"/>
          <w:color w:val="000000" w:themeColor="text1"/>
        </w:rPr>
        <w:t>又於103年2月間再度向法院聲請具保停止羈押，經法院徵詢檢察官意見後，考量本案被告</w:t>
      </w:r>
      <w:r>
        <w:rPr>
          <w:rFonts w:hint="eastAsia"/>
          <w:color w:val="000000" w:themeColor="text1"/>
        </w:rPr>
        <w:t>曾○榮</w:t>
      </w:r>
      <w:r w:rsidRPr="006C5E9F">
        <w:rPr>
          <w:rFonts w:hint="eastAsia"/>
          <w:color w:val="000000" w:themeColor="text1"/>
        </w:rPr>
        <w:t>於偵查時均坦承相關事實，充分配合調查，且罹患上開疾病，而被告於向法院聲請具保停止羈押時，更委由律師提出具體之清償計畫（詳如表3）表示將儘速清償投資人之投資款，而被告自103年1月6日起羈押，已近2個月羈押之期限，其犯後態度尚佳，且為使投資人能迅速獲得賠償，避免投資人因被告</w:t>
      </w:r>
      <w:r>
        <w:rPr>
          <w:rFonts w:hint="eastAsia"/>
          <w:color w:val="000000" w:themeColor="text1"/>
        </w:rPr>
        <w:t>曾○榮</w:t>
      </w:r>
      <w:r w:rsidRPr="006C5E9F">
        <w:rPr>
          <w:rFonts w:hint="eastAsia"/>
          <w:color w:val="000000" w:themeColor="text1"/>
        </w:rPr>
        <w:t>羈押後求償無門而蒙受巨大損失，造成社會問題，以及被告身體狀況不佳，為免長期羈押造成不測，乃於法院徵詢對於被告具保停止羈押之聲請有何意見時，表示</w:t>
      </w:r>
      <w:r w:rsidRPr="006C5E9F">
        <w:rPr>
          <w:rFonts w:hint="eastAsia"/>
          <w:color w:val="000000" w:themeColor="text1"/>
        </w:rPr>
        <w:lastRenderedPageBreak/>
        <w:t>同意。又，因偵查之始已自相關被告等人及公司銀行帳戶內，扣得款項共計4億餘元，其中被告</w:t>
      </w:r>
      <w:r>
        <w:rPr>
          <w:rFonts w:hint="eastAsia"/>
          <w:color w:val="000000" w:themeColor="text1"/>
        </w:rPr>
        <w:t>曾○榮</w:t>
      </w:r>
      <w:r w:rsidRPr="006C5E9F">
        <w:rPr>
          <w:rFonts w:hint="eastAsia"/>
          <w:color w:val="000000" w:themeColor="text1"/>
        </w:rPr>
        <w:t>住處僅扣得60萬元，帳戶內亦僅有28萬餘元，尚難認被告</w:t>
      </w:r>
      <w:r>
        <w:rPr>
          <w:rFonts w:hint="eastAsia"/>
          <w:color w:val="000000" w:themeColor="text1"/>
        </w:rPr>
        <w:t>曾○榮</w:t>
      </w:r>
      <w:r w:rsidRPr="006C5E9F">
        <w:rPr>
          <w:rFonts w:hint="eastAsia"/>
          <w:color w:val="000000" w:themeColor="text1"/>
        </w:rPr>
        <w:t>之資力雄厚，而應予要求更鉅額之保證金。且同案被告有多人，更難認全係被告</w:t>
      </w:r>
      <w:r>
        <w:rPr>
          <w:rFonts w:hint="eastAsia"/>
          <w:color w:val="000000" w:themeColor="text1"/>
        </w:rPr>
        <w:t>曾○榮</w:t>
      </w:r>
      <w:r w:rsidRPr="006C5E9F">
        <w:rPr>
          <w:rFonts w:hint="eastAsia"/>
          <w:color w:val="000000" w:themeColor="text1"/>
        </w:rPr>
        <w:t>1人擁有全部之犯罪所得，且被告並無逃亡之虞，因此乃建議法院得以100萬元交保，並限制出境出海，而此僅係檢察官對於具保停止羈押及保證金額之意見表達，法院並不受拘束，仍有其自由之裁量權。嗣法院審酌檢察官之上開意見後，乃裁定被告以100萬元具保停止羈押，此除係法院依法行使職權外，亦表示法院認為檢察官之上開意見係屬適當，而同意為相同之裁定。</w:t>
      </w:r>
    </w:p>
    <w:p w:rsidR="00434388" w:rsidRPr="006C5E9F" w:rsidRDefault="00434388" w:rsidP="00434388">
      <w:pPr>
        <w:pStyle w:val="a1"/>
        <w:ind w:left="1361" w:hanging="681"/>
        <w:jc w:val="center"/>
        <w:rPr>
          <w:b/>
          <w:color w:val="000000" w:themeColor="text1"/>
        </w:rPr>
      </w:pPr>
      <w:r>
        <w:rPr>
          <w:rFonts w:hAnsi="標楷體" w:hint="eastAsia"/>
          <w:b/>
          <w:color w:val="000000" w:themeColor="text1"/>
        </w:rPr>
        <w:t>曾○榮</w:t>
      </w:r>
      <w:r w:rsidRPr="006C5E9F">
        <w:rPr>
          <w:rFonts w:hint="eastAsia"/>
          <w:b/>
          <w:color w:val="000000" w:themeColor="text1"/>
        </w:rPr>
        <w:t>償債款項明細表</w:t>
      </w:r>
    </w:p>
    <w:p w:rsidR="00434388" w:rsidRPr="006C5E9F" w:rsidRDefault="00434388" w:rsidP="00434388">
      <w:pPr>
        <w:pStyle w:val="3"/>
        <w:numPr>
          <w:ilvl w:val="0"/>
          <w:numId w:val="0"/>
        </w:numPr>
        <w:ind w:left="696"/>
        <w:rPr>
          <w:color w:val="000000" w:themeColor="text1"/>
          <w:sz w:val="24"/>
          <w:szCs w:val="24"/>
        </w:rPr>
      </w:pPr>
      <w:r w:rsidRPr="006C5E9F">
        <w:rPr>
          <w:rFonts w:hint="eastAsia"/>
          <w:color w:val="000000" w:themeColor="text1"/>
        </w:rPr>
        <w:t xml:space="preserve">                                     </w:t>
      </w:r>
      <w:r w:rsidRPr="006C5E9F">
        <w:rPr>
          <w:rFonts w:hint="eastAsia"/>
          <w:color w:val="000000" w:themeColor="text1"/>
          <w:sz w:val="24"/>
          <w:szCs w:val="24"/>
        </w:rPr>
        <w:t>單位：新臺幣元</w:t>
      </w:r>
    </w:p>
    <w:tbl>
      <w:tblPr>
        <w:tblStyle w:val="afa"/>
        <w:tblW w:w="9073" w:type="dxa"/>
        <w:tblInd w:w="-34" w:type="dxa"/>
        <w:tblLook w:val="04A0" w:firstRow="1" w:lastRow="0" w:firstColumn="1" w:lastColumn="0" w:noHBand="0" w:noVBand="1"/>
      </w:tblPr>
      <w:tblGrid>
        <w:gridCol w:w="1272"/>
        <w:gridCol w:w="2149"/>
        <w:gridCol w:w="1966"/>
        <w:gridCol w:w="1779"/>
        <w:gridCol w:w="1907"/>
      </w:tblGrid>
      <w:tr w:rsidR="00434388" w:rsidRPr="006C5E9F" w:rsidTr="000971A9">
        <w:tc>
          <w:tcPr>
            <w:tcW w:w="3421" w:type="dxa"/>
            <w:gridSpan w:val="2"/>
            <w:tcBorders>
              <w:top w:val="single" w:sz="8" w:space="0" w:color="auto"/>
              <w:left w:val="single" w:sz="8" w:space="0" w:color="auto"/>
              <w:bottom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項目</w:t>
            </w:r>
          </w:p>
        </w:tc>
        <w:tc>
          <w:tcPr>
            <w:tcW w:w="1966" w:type="dxa"/>
            <w:tcBorders>
              <w:top w:val="single" w:sz="8" w:space="0" w:color="auto"/>
              <w:bottom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金額</w:t>
            </w:r>
          </w:p>
        </w:tc>
        <w:tc>
          <w:tcPr>
            <w:tcW w:w="3686" w:type="dxa"/>
            <w:gridSpan w:val="2"/>
            <w:tcBorders>
              <w:top w:val="single" w:sz="8" w:space="0" w:color="auto"/>
              <w:bottom w:val="single" w:sz="8" w:space="0" w:color="auto"/>
              <w:right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備註</w:t>
            </w:r>
          </w:p>
        </w:tc>
      </w:tr>
      <w:tr w:rsidR="00434388" w:rsidRPr="006C5E9F" w:rsidTr="000971A9">
        <w:tc>
          <w:tcPr>
            <w:tcW w:w="3421" w:type="dxa"/>
            <w:gridSpan w:val="2"/>
            <w:tcBorders>
              <w:top w:val="single" w:sz="8" w:space="0" w:color="auto"/>
              <w:lef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應歸還債權金額-</w:t>
            </w:r>
            <w:r>
              <w:rPr>
                <w:rFonts w:hint="eastAsia"/>
                <w:color w:val="000000" w:themeColor="text1"/>
                <w:sz w:val="24"/>
                <w:szCs w:val="24"/>
              </w:rPr>
              <w:t>姚○丞</w:t>
            </w:r>
            <w:r w:rsidRPr="006C5E9F">
              <w:rPr>
                <w:rFonts w:hint="eastAsia"/>
                <w:color w:val="000000" w:themeColor="text1"/>
                <w:sz w:val="24"/>
                <w:szCs w:val="24"/>
              </w:rPr>
              <w:t>帳戶</w:t>
            </w:r>
          </w:p>
        </w:tc>
        <w:tc>
          <w:tcPr>
            <w:tcW w:w="1966" w:type="dxa"/>
            <w:tcBorders>
              <w:top w:val="single" w:sz="8"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842,890,000</w:t>
            </w:r>
          </w:p>
        </w:tc>
        <w:tc>
          <w:tcPr>
            <w:tcW w:w="3686" w:type="dxa"/>
            <w:gridSpan w:val="2"/>
            <w:vMerge w:val="restart"/>
            <w:tcBorders>
              <w:top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謝</w:t>
            </w:r>
            <w:r w:rsidRPr="007F1420">
              <w:rPr>
                <w:rFonts w:hint="eastAsia"/>
                <w:color w:val="000000" w:themeColor="text1"/>
                <w:sz w:val="24"/>
                <w:szCs w:val="24"/>
              </w:rPr>
              <w:t>○</w:t>
            </w:r>
            <w:r w:rsidRPr="006C5E9F">
              <w:rPr>
                <w:rFonts w:hint="eastAsia"/>
                <w:color w:val="000000" w:themeColor="text1"/>
                <w:sz w:val="24"/>
                <w:szCs w:val="24"/>
              </w:rPr>
              <w:t>雲等人投資</w:t>
            </w:r>
          </w:p>
        </w:tc>
      </w:tr>
      <w:tr w:rsidR="00434388" w:rsidRPr="006C5E9F" w:rsidTr="000971A9">
        <w:tc>
          <w:tcPr>
            <w:tcW w:w="3421" w:type="dxa"/>
            <w:gridSpan w:val="2"/>
            <w:tcBorders>
              <w:left w:val="single" w:sz="8" w:space="0" w:color="auto"/>
              <w:bottom w:val="double" w:sz="12"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應歸還債權金額-雙盈公司帳戶</w:t>
            </w:r>
          </w:p>
        </w:tc>
        <w:tc>
          <w:tcPr>
            <w:tcW w:w="1966" w:type="dxa"/>
            <w:tcBorders>
              <w:bottom w:val="double" w:sz="12"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2,031,793,500</w:t>
            </w:r>
          </w:p>
        </w:tc>
        <w:tc>
          <w:tcPr>
            <w:tcW w:w="3686" w:type="dxa"/>
            <w:gridSpan w:val="2"/>
            <w:vMerge/>
            <w:tcBorders>
              <w:bottom w:val="double" w:sz="12"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1272" w:type="dxa"/>
            <w:vMerge w:val="restart"/>
            <w:tcBorders>
              <w:top w:val="double" w:sz="12" w:space="0" w:color="auto"/>
              <w:lef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償債金額-</w:t>
            </w:r>
            <w:r>
              <w:rPr>
                <w:rFonts w:hint="eastAsia"/>
                <w:color w:val="000000" w:themeColor="text1"/>
                <w:sz w:val="24"/>
                <w:szCs w:val="24"/>
              </w:rPr>
              <w:t>姚○丞</w:t>
            </w:r>
            <w:r w:rsidRPr="006C5E9F">
              <w:rPr>
                <w:rFonts w:hint="eastAsia"/>
                <w:color w:val="000000" w:themeColor="text1"/>
                <w:sz w:val="24"/>
                <w:szCs w:val="24"/>
              </w:rPr>
              <w:t>帳戶</w:t>
            </w:r>
          </w:p>
        </w:tc>
        <w:tc>
          <w:tcPr>
            <w:tcW w:w="2149" w:type="dxa"/>
            <w:tcBorders>
              <w:top w:val="double" w:sz="12"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凍結之銀行存款</w:t>
            </w:r>
          </w:p>
        </w:tc>
        <w:tc>
          <w:tcPr>
            <w:tcW w:w="1966" w:type="dxa"/>
            <w:tcBorders>
              <w:top w:val="double" w:sz="12"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192,064,546</w:t>
            </w:r>
          </w:p>
        </w:tc>
        <w:tc>
          <w:tcPr>
            <w:tcW w:w="3686" w:type="dxa"/>
            <w:gridSpan w:val="2"/>
            <w:tcBorders>
              <w:top w:val="double" w:sz="12"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彰銀、合庫、中信、富邦</w:t>
            </w:r>
          </w:p>
        </w:tc>
      </w:tr>
      <w:tr w:rsidR="00434388" w:rsidRPr="006C5E9F" w:rsidTr="000971A9">
        <w:tc>
          <w:tcPr>
            <w:tcW w:w="1272" w:type="dxa"/>
            <w:vMerge/>
            <w:tcBorders>
              <w:left w:val="single" w:sz="8" w:space="0" w:color="auto"/>
              <w:bottom w:val="single" w:sz="8" w:space="0" w:color="auto"/>
            </w:tcBorders>
          </w:tcPr>
          <w:p w:rsidR="00434388" w:rsidRPr="006C5E9F" w:rsidRDefault="00434388" w:rsidP="000971A9">
            <w:pPr>
              <w:pStyle w:val="1"/>
              <w:numPr>
                <w:ilvl w:val="0"/>
                <w:numId w:val="0"/>
              </w:numPr>
              <w:rPr>
                <w:color w:val="000000" w:themeColor="text1"/>
                <w:sz w:val="24"/>
                <w:szCs w:val="24"/>
              </w:rPr>
            </w:pPr>
          </w:p>
        </w:tc>
        <w:tc>
          <w:tcPr>
            <w:tcW w:w="2149" w:type="dxa"/>
            <w:tcBorders>
              <w:bottom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已發放業務獎金</w:t>
            </w:r>
          </w:p>
        </w:tc>
        <w:tc>
          <w:tcPr>
            <w:tcW w:w="1966" w:type="dxa"/>
            <w:tcBorders>
              <w:bottom w:val="single" w:sz="8"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60,603,360</w:t>
            </w:r>
          </w:p>
        </w:tc>
        <w:tc>
          <w:tcPr>
            <w:tcW w:w="3686" w:type="dxa"/>
            <w:gridSpan w:val="2"/>
            <w:tcBorders>
              <w:bottom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1272" w:type="dxa"/>
            <w:vMerge w:val="restart"/>
            <w:tcBorders>
              <w:top w:val="single" w:sz="8" w:space="0" w:color="auto"/>
              <w:lef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償債金額-雙盈公司帳戶</w:t>
            </w:r>
          </w:p>
        </w:tc>
        <w:tc>
          <w:tcPr>
            <w:tcW w:w="2149" w:type="dxa"/>
            <w:tcBorders>
              <w:top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凍結之銀行存款</w:t>
            </w:r>
          </w:p>
        </w:tc>
        <w:tc>
          <w:tcPr>
            <w:tcW w:w="1966" w:type="dxa"/>
            <w:tcBorders>
              <w:top w:val="single" w:sz="8"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323,845,101</w:t>
            </w:r>
          </w:p>
        </w:tc>
        <w:tc>
          <w:tcPr>
            <w:tcW w:w="3686" w:type="dxa"/>
            <w:gridSpan w:val="2"/>
            <w:tcBorders>
              <w:top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華泰、新光、日盛</w:t>
            </w:r>
          </w:p>
        </w:tc>
      </w:tr>
      <w:tr w:rsidR="00434388" w:rsidRPr="006C5E9F" w:rsidTr="000971A9">
        <w:tc>
          <w:tcPr>
            <w:tcW w:w="1272" w:type="dxa"/>
            <w:vMerge/>
            <w:tcBorders>
              <w:left w:val="single" w:sz="8" w:space="0" w:color="auto"/>
            </w:tcBorders>
          </w:tcPr>
          <w:p w:rsidR="00434388" w:rsidRPr="006C5E9F" w:rsidRDefault="00434388" w:rsidP="000971A9">
            <w:pPr>
              <w:pStyle w:val="1"/>
              <w:numPr>
                <w:ilvl w:val="0"/>
                <w:numId w:val="0"/>
              </w:numPr>
              <w:rPr>
                <w:color w:val="000000" w:themeColor="text1"/>
                <w:sz w:val="24"/>
                <w:szCs w:val="24"/>
              </w:rPr>
            </w:pPr>
          </w:p>
        </w:tc>
        <w:tc>
          <w:tcPr>
            <w:tcW w:w="2149" w:type="dxa"/>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搜走的手頭現金</w:t>
            </w:r>
          </w:p>
        </w:tc>
        <w:tc>
          <w:tcPr>
            <w:tcW w:w="1966" w:type="dxa"/>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10,000,000</w:t>
            </w:r>
          </w:p>
        </w:tc>
        <w:tc>
          <w:tcPr>
            <w:tcW w:w="3686" w:type="dxa"/>
            <w:gridSpan w:val="2"/>
            <w:tcBorders>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1272" w:type="dxa"/>
            <w:vMerge/>
            <w:tcBorders>
              <w:left w:val="single" w:sz="8" w:space="0" w:color="auto"/>
              <w:bottom w:val="single" w:sz="8" w:space="0" w:color="auto"/>
            </w:tcBorders>
          </w:tcPr>
          <w:p w:rsidR="00434388" w:rsidRPr="006C5E9F" w:rsidRDefault="00434388" w:rsidP="000971A9">
            <w:pPr>
              <w:pStyle w:val="1"/>
              <w:numPr>
                <w:ilvl w:val="0"/>
                <w:numId w:val="0"/>
              </w:numPr>
              <w:rPr>
                <w:color w:val="000000" w:themeColor="text1"/>
                <w:sz w:val="24"/>
                <w:szCs w:val="24"/>
              </w:rPr>
            </w:pPr>
          </w:p>
        </w:tc>
        <w:tc>
          <w:tcPr>
            <w:tcW w:w="2149" w:type="dxa"/>
            <w:tcBorders>
              <w:bottom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已發放業務獎金</w:t>
            </w:r>
          </w:p>
        </w:tc>
        <w:tc>
          <w:tcPr>
            <w:tcW w:w="1966" w:type="dxa"/>
            <w:tcBorders>
              <w:bottom w:val="single" w:sz="8"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128,336,730</w:t>
            </w:r>
          </w:p>
        </w:tc>
        <w:tc>
          <w:tcPr>
            <w:tcW w:w="3686" w:type="dxa"/>
            <w:gridSpan w:val="2"/>
            <w:tcBorders>
              <w:bottom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1272" w:type="dxa"/>
            <w:vMerge w:val="restart"/>
            <w:tcBorders>
              <w:top w:val="single" w:sz="8" w:space="0" w:color="auto"/>
              <w:lef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償債金額-其他</w:t>
            </w:r>
          </w:p>
        </w:tc>
        <w:tc>
          <w:tcPr>
            <w:tcW w:w="2149" w:type="dxa"/>
            <w:tcBorders>
              <w:top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收回海外投資款</w:t>
            </w:r>
          </w:p>
        </w:tc>
        <w:tc>
          <w:tcPr>
            <w:tcW w:w="1966" w:type="dxa"/>
            <w:tcBorders>
              <w:top w:val="single" w:sz="8"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100,000,000</w:t>
            </w:r>
          </w:p>
        </w:tc>
        <w:tc>
          <w:tcPr>
            <w:tcW w:w="3686" w:type="dxa"/>
            <w:gridSpan w:val="2"/>
            <w:tcBorders>
              <w:top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1272" w:type="dxa"/>
            <w:vMerge/>
            <w:tcBorders>
              <w:left w:val="single" w:sz="8" w:space="0" w:color="auto"/>
            </w:tcBorders>
          </w:tcPr>
          <w:p w:rsidR="00434388" w:rsidRPr="006C5E9F" w:rsidRDefault="00434388" w:rsidP="000971A9">
            <w:pPr>
              <w:pStyle w:val="1"/>
              <w:numPr>
                <w:ilvl w:val="0"/>
                <w:numId w:val="0"/>
              </w:numPr>
              <w:rPr>
                <w:color w:val="000000" w:themeColor="text1"/>
                <w:sz w:val="24"/>
                <w:szCs w:val="24"/>
              </w:rPr>
            </w:pPr>
          </w:p>
        </w:tc>
        <w:tc>
          <w:tcPr>
            <w:tcW w:w="2149" w:type="dxa"/>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應追回之投資款</w:t>
            </w:r>
          </w:p>
        </w:tc>
        <w:tc>
          <w:tcPr>
            <w:tcW w:w="1966" w:type="dxa"/>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670,000,000</w:t>
            </w:r>
          </w:p>
        </w:tc>
        <w:tc>
          <w:tcPr>
            <w:tcW w:w="3686" w:type="dxa"/>
            <w:gridSpan w:val="2"/>
            <w:tcBorders>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鄒</w:t>
            </w:r>
            <w:r w:rsidRPr="007F1420">
              <w:rPr>
                <w:rFonts w:hint="eastAsia"/>
                <w:color w:val="000000" w:themeColor="text1"/>
                <w:sz w:val="24"/>
                <w:szCs w:val="24"/>
              </w:rPr>
              <w:t>○</w:t>
            </w:r>
            <w:r w:rsidRPr="006C5E9F">
              <w:rPr>
                <w:rFonts w:hint="eastAsia"/>
                <w:color w:val="000000" w:themeColor="text1"/>
                <w:sz w:val="24"/>
                <w:szCs w:val="24"/>
              </w:rPr>
              <w:t>香、鄒</w:t>
            </w:r>
            <w:r w:rsidRPr="007F1420">
              <w:rPr>
                <w:rFonts w:hint="eastAsia"/>
                <w:color w:val="000000" w:themeColor="text1"/>
                <w:sz w:val="24"/>
                <w:szCs w:val="24"/>
              </w:rPr>
              <w:t>○</w:t>
            </w:r>
            <w:r w:rsidRPr="006C5E9F">
              <w:rPr>
                <w:rFonts w:hint="eastAsia"/>
                <w:color w:val="000000" w:themeColor="text1"/>
                <w:sz w:val="24"/>
                <w:szCs w:val="24"/>
              </w:rPr>
              <w:t>羽（初估之金額）</w:t>
            </w:r>
          </w:p>
        </w:tc>
      </w:tr>
      <w:tr w:rsidR="00434388" w:rsidRPr="006C5E9F" w:rsidTr="000971A9">
        <w:tc>
          <w:tcPr>
            <w:tcW w:w="1272" w:type="dxa"/>
            <w:vMerge/>
            <w:tcBorders>
              <w:left w:val="single" w:sz="8" w:space="0" w:color="auto"/>
              <w:bottom w:val="single" w:sz="8" w:space="0" w:color="auto"/>
            </w:tcBorders>
          </w:tcPr>
          <w:p w:rsidR="00434388" w:rsidRPr="006C5E9F" w:rsidRDefault="00434388" w:rsidP="000971A9">
            <w:pPr>
              <w:pStyle w:val="1"/>
              <w:numPr>
                <w:ilvl w:val="0"/>
                <w:numId w:val="0"/>
              </w:numPr>
              <w:rPr>
                <w:color w:val="000000" w:themeColor="text1"/>
                <w:sz w:val="24"/>
                <w:szCs w:val="24"/>
              </w:rPr>
            </w:pPr>
          </w:p>
        </w:tc>
        <w:tc>
          <w:tcPr>
            <w:tcW w:w="2149" w:type="dxa"/>
            <w:tcBorders>
              <w:bottom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國內收回之投資、借款</w:t>
            </w:r>
          </w:p>
        </w:tc>
        <w:tc>
          <w:tcPr>
            <w:tcW w:w="1966" w:type="dxa"/>
            <w:tcBorders>
              <w:bottom w:val="single" w:sz="8" w:space="0" w:color="auto"/>
            </w:tcBorders>
            <w:vAlign w:val="center"/>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50,000,000</w:t>
            </w:r>
          </w:p>
        </w:tc>
        <w:tc>
          <w:tcPr>
            <w:tcW w:w="3686" w:type="dxa"/>
            <w:gridSpan w:val="2"/>
            <w:tcBorders>
              <w:bottom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9073" w:type="dxa"/>
            <w:gridSpan w:val="5"/>
            <w:tcBorders>
              <w:top w:val="single" w:sz="8" w:space="0" w:color="auto"/>
              <w:left w:val="single" w:sz="8" w:space="0" w:color="auto"/>
              <w:bottom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p>
        </w:tc>
      </w:tr>
      <w:tr w:rsidR="00434388" w:rsidRPr="006C5E9F" w:rsidTr="000971A9">
        <w:tc>
          <w:tcPr>
            <w:tcW w:w="1272" w:type="dxa"/>
            <w:tcBorders>
              <w:top w:val="single" w:sz="8" w:space="0" w:color="auto"/>
              <w:left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帳戶</w:t>
            </w:r>
          </w:p>
        </w:tc>
        <w:tc>
          <w:tcPr>
            <w:tcW w:w="2149" w:type="dxa"/>
            <w:tcBorders>
              <w:top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Pr>
                <w:rFonts w:hint="eastAsia"/>
                <w:b/>
                <w:color w:val="000000" w:themeColor="text1"/>
                <w:sz w:val="24"/>
                <w:szCs w:val="24"/>
              </w:rPr>
              <w:t>姚○丞</w:t>
            </w:r>
          </w:p>
        </w:tc>
        <w:tc>
          <w:tcPr>
            <w:tcW w:w="1966" w:type="dxa"/>
            <w:tcBorders>
              <w:top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雙盈公司</w:t>
            </w:r>
          </w:p>
        </w:tc>
        <w:tc>
          <w:tcPr>
            <w:tcW w:w="1779" w:type="dxa"/>
            <w:tcBorders>
              <w:top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其他</w:t>
            </w:r>
          </w:p>
        </w:tc>
        <w:tc>
          <w:tcPr>
            <w:tcW w:w="1907" w:type="dxa"/>
            <w:tcBorders>
              <w:top w:val="single" w:sz="8" w:space="0" w:color="auto"/>
              <w:right w:val="single" w:sz="8" w:space="0" w:color="auto"/>
            </w:tcBorders>
          </w:tcPr>
          <w:p w:rsidR="00434388" w:rsidRPr="006C5E9F" w:rsidRDefault="00434388" w:rsidP="000971A9">
            <w:pPr>
              <w:pStyle w:val="1"/>
              <w:numPr>
                <w:ilvl w:val="0"/>
                <w:numId w:val="0"/>
              </w:numPr>
              <w:jc w:val="center"/>
              <w:rPr>
                <w:b/>
                <w:color w:val="000000" w:themeColor="text1"/>
                <w:sz w:val="24"/>
                <w:szCs w:val="24"/>
              </w:rPr>
            </w:pPr>
            <w:r w:rsidRPr="006C5E9F">
              <w:rPr>
                <w:rFonts w:hint="eastAsia"/>
                <w:b/>
                <w:color w:val="000000" w:themeColor="text1"/>
                <w:sz w:val="24"/>
                <w:szCs w:val="24"/>
              </w:rPr>
              <w:t>總額</w:t>
            </w:r>
          </w:p>
        </w:tc>
      </w:tr>
      <w:tr w:rsidR="00434388" w:rsidRPr="006C5E9F" w:rsidTr="000971A9">
        <w:tc>
          <w:tcPr>
            <w:tcW w:w="1272" w:type="dxa"/>
            <w:tcBorders>
              <w:lef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應歸還</w:t>
            </w:r>
          </w:p>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債權金額</w:t>
            </w:r>
          </w:p>
        </w:tc>
        <w:tc>
          <w:tcPr>
            <w:tcW w:w="2149" w:type="dxa"/>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842,890,000</w:t>
            </w:r>
          </w:p>
        </w:tc>
        <w:tc>
          <w:tcPr>
            <w:tcW w:w="1966" w:type="dxa"/>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2,031,793,500</w:t>
            </w:r>
          </w:p>
        </w:tc>
        <w:tc>
          <w:tcPr>
            <w:tcW w:w="1779" w:type="dxa"/>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0</w:t>
            </w:r>
          </w:p>
        </w:tc>
        <w:tc>
          <w:tcPr>
            <w:tcW w:w="1907" w:type="dxa"/>
            <w:tcBorders>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2,874,683,500</w:t>
            </w:r>
          </w:p>
        </w:tc>
      </w:tr>
      <w:tr w:rsidR="00434388" w:rsidRPr="006C5E9F" w:rsidTr="000971A9">
        <w:tc>
          <w:tcPr>
            <w:tcW w:w="1272" w:type="dxa"/>
            <w:tcBorders>
              <w:lef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lastRenderedPageBreak/>
              <w:t>償債金額</w:t>
            </w:r>
          </w:p>
        </w:tc>
        <w:tc>
          <w:tcPr>
            <w:tcW w:w="2149" w:type="dxa"/>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252,667,906</w:t>
            </w:r>
          </w:p>
        </w:tc>
        <w:tc>
          <w:tcPr>
            <w:tcW w:w="1966" w:type="dxa"/>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462,181,831</w:t>
            </w:r>
          </w:p>
        </w:tc>
        <w:tc>
          <w:tcPr>
            <w:tcW w:w="1779" w:type="dxa"/>
          </w:tcPr>
          <w:p w:rsidR="00434388" w:rsidRPr="006C5E9F" w:rsidRDefault="00434388" w:rsidP="000971A9">
            <w:pPr>
              <w:pStyle w:val="1"/>
              <w:numPr>
                <w:ilvl w:val="0"/>
                <w:numId w:val="0"/>
              </w:numPr>
              <w:jc w:val="right"/>
              <w:rPr>
                <w:color w:val="000000" w:themeColor="text1"/>
                <w:sz w:val="24"/>
                <w:szCs w:val="24"/>
              </w:rPr>
            </w:pPr>
            <w:r w:rsidRPr="006C5E9F">
              <w:rPr>
                <w:rFonts w:hint="eastAsia"/>
                <w:color w:val="000000" w:themeColor="text1"/>
                <w:sz w:val="24"/>
                <w:szCs w:val="24"/>
              </w:rPr>
              <w:t>820,000,000</w:t>
            </w:r>
          </w:p>
        </w:tc>
        <w:tc>
          <w:tcPr>
            <w:tcW w:w="1907" w:type="dxa"/>
            <w:tcBorders>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1,534,849,737</w:t>
            </w:r>
          </w:p>
        </w:tc>
      </w:tr>
      <w:tr w:rsidR="00434388" w:rsidRPr="006C5E9F" w:rsidTr="000971A9">
        <w:tc>
          <w:tcPr>
            <w:tcW w:w="5387" w:type="dxa"/>
            <w:gridSpan w:val="3"/>
            <w:tcBorders>
              <w:left w:val="single" w:sz="8" w:space="0" w:color="auto"/>
              <w:bottom w:val="single" w:sz="8" w:space="0" w:color="auto"/>
            </w:tcBorders>
          </w:tcPr>
          <w:p w:rsidR="00434388" w:rsidRPr="006C5E9F" w:rsidRDefault="00434388" w:rsidP="000971A9">
            <w:pPr>
              <w:pStyle w:val="1"/>
              <w:numPr>
                <w:ilvl w:val="0"/>
                <w:numId w:val="0"/>
              </w:numPr>
              <w:rPr>
                <w:color w:val="000000" w:themeColor="text1"/>
                <w:sz w:val="24"/>
                <w:szCs w:val="24"/>
              </w:rPr>
            </w:pPr>
          </w:p>
        </w:tc>
        <w:tc>
          <w:tcPr>
            <w:tcW w:w="1779" w:type="dxa"/>
            <w:tcBorders>
              <w:bottom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償債金額百分比</w:t>
            </w:r>
          </w:p>
        </w:tc>
        <w:tc>
          <w:tcPr>
            <w:tcW w:w="1907" w:type="dxa"/>
            <w:tcBorders>
              <w:bottom w:val="single" w:sz="8" w:space="0" w:color="auto"/>
              <w:right w:val="single" w:sz="8" w:space="0" w:color="auto"/>
            </w:tcBorders>
          </w:tcPr>
          <w:p w:rsidR="00434388" w:rsidRPr="006C5E9F" w:rsidRDefault="00434388" w:rsidP="000971A9">
            <w:pPr>
              <w:pStyle w:val="1"/>
              <w:numPr>
                <w:ilvl w:val="0"/>
                <w:numId w:val="0"/>
              </w:numPr>
              <w:rPr>
                <w:color w:val="000000" w:themeColor="text1"/>
                <w:sz w:val="24"/>
                <w:szCs w:val="24"/>
              </w:rPr>
            </w:pPr>
            <w:r w:rsidRPr="006C5E9F">
              <w:rPr>
                <w:rFonts w:hint="eastAsia"/>
                <w:color w:val="000000" w:themeColor="text1"/>
                <w:sz w:val="24"/>
                <w:szCs w:val="24"/>
              </w:rPr>
              <w:t>53.39%</w:t>
            </w:r>
          </w:p>
        </w:tc>
      </w:tr>
    </w:tbl>
    <w:p w:rsidR="00434388" w:rsidRPr="006C5E9F" w:rsidRDefault="00434388" w:rsidP="00434388">
      <w:pPr>
        <w:pStyle w:val="2"/>
        <w:numPr>
          <w:ilvl w:val="0"/>
          <w:numId w:val="0"/>
        </w:numPr>
        <w:ind w:leftChars="-52" w:left="39" w:hangingChars="83" w:hanging="216"/>
        <w:rPr>
          <w:color w:val="000000" w:themeColor="text1"/>
          <w:sz w:val="24"/>
          <w:szCs w:val="24"/>
        </w:rPr>
      </w:pPr>
      <w:r w:rsidRPr="006C5E9F">
        <w:rPr>
          <w:rFonts w:hint="eastAsia"/>
          <w:color w:val="000000" w:themeColor="text1"/>
          <w:sz w:val="24"/>
          <w:szCs w:val="24"/>
        </w:rPr>
        <w:t>資料來源：臺北地檢署偵查卷證。</w:t>
      </w:r>
    </w:p>
    <w:p w:rsidR="00434388" w:rsidRPr="006C5E9F" w:rsidRDefault="00434388" w:rsidP="00434388">
      <w:pPr>
        <w:pStyle w:val="1"/>
        <w:numPr>
          <w:ilvl w:val="0"/>
          <w:numId w:val="0"/>
        </w:numPr>
        <w:ind w:left="2381" w:hanging="2381"/>
        <w:rPr>
          <w:color w:val="000000" w:themeColor="text1"/>
        </w:rPr>
      </w:pPr>
    </w:p>
    <w:p w:rsidR="00434388" w:rsidRPr="006C5E9F" w:rsidRDefault="00434388" w:rsidP="00434388">
      <w:pPr>
        <w:pStyle w:val="4"/>
        <w:numPr>
          <w:ilvl w:val="3"/>
          <w:numId w:val="1"/>
        </w:numPr>
        <w:rPr>
          <w:color w:val="000000" w:themeColor="text1"/>
        </w:rPr>
      </w:pPr>
      <w:r w:rsidRPr="006C5E9F">
        <w:rPr>
          <w:rFonts w:hint="eastAsia"/>
          <w:color w:val="000000" w:themeColor="text1"/>
        </w:rPr>
        <w:t>本案起訴書縱記載犯罪所得達64億餘元，惟該金額係偵查中逐步查知而計算之結果，並非案件啟動偵查時，即已知犯罪所得金額為何？承辦檢察官同意具保金額時，尚不知犯罪所得之確切金額，且起訴書亦記載已扣得投資款4億餘元，而當時本案被告</w:t>
      </w:r>
      <w:r>
        <w:rPr>
          <w:rFonts w:hint="eastAsia"/>
          <w:color w:val="000000" w:themeColor="text1"/>
        </w:rPr>
        <w:t>曾○榮</w:t>
      </w:r>
      <w:r w:rsidRPr="006C5E9F">
        <w:rPr>
          <w:rFonts w:hint="eastAsia"/>
          <w:color w:val="000000" w:themeColor="text1"/>
        </w:rPr>
        <w:t>係以身體狀況請求停止羈押，檢察官以犯罪情節、所生危害及被告之身分等因素考量後，始同意以100萬元具保，認尚屬妥適。另臺北地檢署統計室表示該署並無檢察官偵辦重大經濟犯罪案件之涉案金額及交保金額之統計表，縱有統計表，惟因各個犯罪情節不同，亦難為參考之標準。又法務部刑案資料庫中並無重大經濟犯罪案件之涉案金額及交保金額資料之建置</w:t>
      </w:r>
      <w:r w:rsidRPr="006C5E9F">
        <w:rPr>
          <w:rFonts w:ascii="新細明體" w:eastAsia="新細明體" w:hAnsi="新細明體" w:hint="eastAsia"/>
          <w:color w:val="000000" w:themeColor="text1"/>
        </w:rPr>
        <w:t>。</w:t>
      </w:r>
    </w:p>
    <w:p w:rsidR="00434388" w:rsidRPr="006C5E9F" w:rsidRDefault="00434388" w:rsidP="00434388">
      <w:pPr>
        <w:pStyle w:val="3"/>
        <w:numPr>
          <w:ilvl w:val="2"/>
          <w:numId w:val="1"/>
        </w:numPr>
      </w:pPr>
      <w:r w:rsidRPr="006C5E9F">
        <w:rPr>
          <w:rFonts w:hint="eastAsia"/>
        </w:rPr>
        <w:t>按「檢察機關辦理刑事訴訟案件應行注意事項」第40點規定，檢察官逕命被告具保者，指定保證金額須審酌被告所涉罪嫌、犯罪情節、所生危害及被告之身分、資力、犯罪所得等事項。惟查</w:t>
      </w:r>
      <w:r w:rsidRPr="006C5E9F">
        <w:rPr>
          <w:rFonts w:ascii="新細明體" w:eastAsia="新細明體" w:hAnsi="新細明體" w:hint="eastAsia"/>
        </w:rPr>
        <w:t>，</w:t>
      </w:r>
      <w:r w:rsidRPr="006C5E9F">
        <w:rPr>
          <w:rFonts w:hint="eastAsia"/>
        </w:rPr>
        <w:t>本案檢察官103年1月6日函送臺北地院之被告</w:t>
      </w:r>
      <w:r>
        <w:rPr>
          <w:rFonts w:hint="eastAsia"/>
        </w:rPr>
        <w:t>曾○榮</w:t>
      </w:r>
      <w:r w:rsidRPr="006C5E9F">
        <w:rPr>
          <w:rFonts w:hint="eastAsia"/>
        </w:rPr>
        <w:t>羈押聲請書中曾敘明：「被告等人迄今已獲利逾新台幣1億元」，又被告</w:t>
      </w:r>
      <w:r>
        <w:rPr>
          <w:rFonts w:hint="eastAsia"/>
        </w:rPr>
        <w:t>曾○榮</w:t>
      </w:r>
      <w:r w:rsidRPr="006C5E9F">
        <w:rPr>
          <w:rFonts w:hint="eastAsia"/>
        </w:rPr>
        <w:t>委任蔡</w:t>
      </w:r>
      <w:r w:rsidRPr="0005432B">
        <w:rPr>
          <w:rFonts w:hint="eastAsia"/>
          <w:color w:val="000000" w:themeColor="text1"/>
        </w:rPr>
        <w:t>○</w:t>
      </w:r>
      <w:r w:rsidRPr="006C5E9F">
        <w:rPr>
          <w:rFonts w:hint="eastAsia"/>
        </w:rPr>
        <w:t>強律師於103年2月14日函送臺北地檢署請求同意具保停止羈押之陳報狀中亦曾敘明：「按目前可掌握之資訊所整理之自1月6日帳戶遭凍結而違約未償還之投資人名單、債權金額以及擬籌措用以清償投資人之資金來源以</w:t>
      </w:r>
      <w:r w:rsidRPr="006C5E9F">
        <w:rPr>
          <w:rFonts w:hint="eastAsia"/>
        </w:rPr>
        <w:lastRenderedPageBreak/>
        <w:t>及金額詳如附件（應歸還金額28億7,468萬3,500元，註：金額同起訴書證據清單第33項之投資人投資明細表）請檢座鑒核。由於所有投資人入款之投資資金均是由被告</w:t>
      </w:r>
      <w:r>
        <w:rPr>
          <w:rFonts w:hint="eastAsia"/>
        </w:rPr>
        <w:t>曾○榮</w:t>
      </w:r>
      <w:r w:rsidRPr="006C5E9F">
        <w:rPr>
          <w:rFonts w:hint="eastAsia"/>
        </w:rPr>
        <w:t>統籌調配……。」本案臺北地檢署係於103年7月11日始提起公訴，而被告</w:t>
      </w:r>
      <w:r>
        <w:rPr>
          <w:rFonts w:hint="eastAsia"/>
        </w:rPr>
        <w:t>曾○榮</w:t>
      </w:r>
      <w:r w:rsidRPr="006C5E9F">
        <w:rPr>
          <w:rFonts w:hint="eastAsia"/>
        </w:rPr>
        <w:t>雖經臺北地院於103年2月24日開庭訊問被告後，諭知准予100萬元具保，惟當時本案係由檢察官偵查中，有無羈押之必要，理應檢察官較為清楚，因此臺北地院依「刑事訴訟法」第110條規定</w:t>
      </w:r>
      <w:r w:rsidRPr="006C5E9F">
        <w:rPr>
          <w:rFonts w:ascii="新細明體" w:eastAsia="新細明體" w:hAnsi="新細明體" w:hint="eastAsia"/>
        </w:rPr>
        <w:t>，</w:t>
      </w:r>
      <w:r w:rsidRPr="006C5E9F">
        <w:rPr>
          <w:rFonts w:hint="eastAsia"/>
        </w:rPr>
        <w:t>徵詢檢察官之意見，而臺北地檢署檢察官知曉本案受害投資人眾多且犯罪所得金額高達數十億元之鉅，卻仍於103年2月20日函復法院同意以100萬元保證金額交保，顯不相當</w:t>
      </w:r>
      <w:r w:rsidRPr="006C5E9F">
        <w:rPr>
          <w:rFonts w:ascii="新細明體" w:eastAsia="新細明體" w:hAnsi="新細明體" w:hint="eastAsia"/>
        </w:rPr>
        <w:t>，</w:t>
      </w:r>
      <w:r w:rsidRPr="006C5E9F">
        <w:rPr>
          <w:rFonts w:hint="eastAsia"/>
        </w:rPr>
        <w:t>與一般大眾期待似有落差</w:t>
      </w:r>
      <w:r w:rsidRPr="006C5E9F">
        <w:rPr>
          <w:rFonts w:ascii="新細明體" w:eastAsia="新細明體" w:hAnsi="新細明體" w:hint="eastAsia"/>
        </w:rPr>
        <w:t>，</w:t>
      </w:r>
      <w:r w:rsidRPr="006C5E9F">
        <w:rPr>
          <w:rFonts w:hint="eastAsia"/>
        </w:rPr>
        <w:t>確有未當</w:t>
      </w:r>
      <w:r w:rsidRPr="006C5E9F">
        <w:rPr>
          <w:rFonts w:ascii="新細明體" w:eastAsia="新細明體" w:hAnsi="新細明體" w:hint="eastAsia"/>
        </w:rPr>
        <w:t>。</w:t>
      </w:r>
    </w:p>
    <w:p w:rsidR="00434388" w:rsidRPr="006C5E9F" w:rsidRDefault="00434388" w:rsidP="00434388">
      <w:pPr>
        <w:pStyle w:val="3"/>
        <w:numPr>
          <w:ilvl w:val="2"/>
          <w:numId w:val="1"/>
        </w:numPr>
        <w:rPr>
          <w:color w:val="000000" w:themeColor="text1"/>
        </w:rPr>
      </w:pPr>
      <w:r w:rsidRPr="006C5E9F">
        <w:rPr>
          <w:rFonts w:hint="eastAsia"/>
          <w:color w:val="000000" w:themeColor="text1"/>
        </w:rPr>
        <w:t>綜上，本案檢察官於103年2月20日函復法院同意被告</w:t>
      </w:r>
      <w:r>
        <w:rPr>
          <w:rFonts w:hint="eastAsia"/>
          <w:color w:val="000000" w:themeColor="text1"/>
        </w:rPr>
        <w:t>曾○榮</w:t>
      </w:r>
      <w:r w:rsidRPr="006C5E9F">
        <w:rPr>
          <w:rFonts w:hint="eastAsia"/>
          <w:color w:val="000000" w:themeColor="text1"/>
        </w:rPr>
        <w:t>交保時，已知本案受害投資人眾多且犯罪所得金額達數十億元之鉅，卻同意以顯不相當之100萬元保證金額交保，與一般大眾期待似有落差</w:t>
      </w:r>
      <w:r w:rsidRPr="006C5E9F">
        <w:rPr>
          <w:rFonts w:ascii="新細明體" w:eastAsia="新細明體" w:hAnsi="新細明體" w:hint="eastAsia"/>
          <w:color w:val="000000" w:themeColor="text1"/>
        </w:rPr>
        <w:t>，</w:t>
      </w:r>
      <w:r w:rsidRPr="006C5E9F">
        <w:rPr>
          <w:rFonts w:hint="eastAsia"/>
          <w:color w:val="000000" w:themeColor="text1"/>
        </w:rPr>
        <w:t>確有未當。又近年來，金融衍生性商品日新月異，經濟犯罪樣態不斷推陳出新，犯罪所得金額常高達數十億元之鉅，為避免檢察官於衡酌個案交保金額高低時，因無相對之參考標準</w:t>
      </w:r>
      <w:r w:rsidRPr="006C5E9F">
        <w:rPr>
          <w:rFonts w:ascii="新細明體" w:eastAsia="新細明體" w:hAnsi="新細明體" w:hint="eastAsia"/>
          <w:color w:val="000000" w:themeColor="text1"/>
        </w:rPr>
        <w:t>，</w:t>
      </w:r>
      <w:r w:rsidRPr="006C5E9F">
        <w:rPr>
          <w:rFonts w:hint="eastAsia"/>
          <w:color w:val="000000" w:themeColor="text1"/>
        </w:rPr>
        <w:t>而為不相當之交保金額，法務部允宜研究建置重大經濟犯罪案件之涉案金額及交保金額相關統計資料，以供檢察官為個案衡酌交保金額之參考</w:t>
      </w:r>
      <w:r w:rsidRPr="006C5E9F">
        <w:rPr>
          <w:rFonts w:ascii="新細明體" w:eastAsia="新細明體" w:hAnsi="新細明體" w:hint="eastAsia"/>
          <w:color w:val="000000" w:themeColor="text1"/>
        </w:rPr>
        <w:t>。</w:t>
      </w:r>
    </w:p>
    <w:p w:rsidR="00434388" w:rsidRPr="006C5E9F" w:rsidRDefault="00434388" w:rsidP="00434388">
      <w:pPr>
        <w:pStyle w:val="2"/>
        <w:numPr>
          <w:ilvl w:val="1"/>
          <w:numId w:val="1"/>
        </w:numPr>
        <w:spacing w:beforeLines="100" w:before="457"/>
        <w:ind w:left="1020" w:hanging="680"/>
        <w:rPr>
          <w:b/>
          <w:color w:val="000000" w:themeColor="text1"/>
        </w:rPr>
      </w:pPr>
      <w:r w:rsidRPr="006C5E9F">
        <w:rPr>
          <w:rFonts w:hint="eastAsia"/>
          <w:b/>
          <w:color w:val="000000" w:themeColor="text1"/>
        </w:rPr>
        <w:t>本案受害投資人眾多且犯罪所得金額達數十億元之鉅，為對社會治安、經濟秩序有重大危害之刑事案件，檢察機關卻未依「防範刑事案件被告逃匿聯繫作業要點」辦理，核有未當。又為有效阻絕被告逃匿情</w:t>
      </w:r>
      <w:r w:rsidRPr="006C5E9F">
        <w:rPr>
          <w:rFonts w:hint="eastAsia"/>
          <w:b/>
          <w:color w:val="000000" w:themeColor="text1"/>
        </w:rPr>
        <w:lastRenderedPageBreak/>
        <w:t>事發生，「刑事訴訟法」相關之修正，仍有賴有關機關持續推動，法務部於「刑事訴訟法」修正前，並應督飭所屬妥採有效防範作為，以資因應。</w:t>
      </w:r>
    </w:p>
    <w:p w:rsidR="00434388" w:rsidRPr="006C5E9F" w:rsidRDefault="00434388" w:rsidP="00434388">
      <w:pPr>
        <w:pStyle w:val="3"/>
        <w:numPr>
          <w:ilvl w:val="2"/>
          <w:numId w:val="1"/>
        </w:numPr>
        <w:rPr>
          <w:color w:val="000000" w:themeColor="text1"/>
        </w:rPr>
      </w:pPr>
      <w:r w:rsidRPr="006C5E9F">
        <w:rPr>
          <w:rFonts w:hint="eastAsia"/>
          <w:color w:val="000000" w:themeColor="text1"/>
        </w:rPr>
        <w:t>有關陳訴人陳訴</w:t>
      </w:r>
      <w:r w:rsidRPr="006C5E9F">
        <w:rPr>
          <w:rFonts w:hAnsi="標楷體" w:hint="eastAsia"/>
          <w:color w:val="000000" w:themeColor="text1"/>
        </w:rPr>
        <w:t>：</w:t>
      </w:r>
      <w:r w:rsidRPr="006C5E9F">
        <w:rPr>
          <w:rFonts w:hint="eastAsia"/>
          <w:color w:val="000000" w:themeColor="text1"/>
        </w:rPr>
        <w:t>臺北地檢署檢察官偵辦</w:t>
      </w:r>
      <w:r>
        <w:rPr>
          <w:rFonts w:hint="eastAsia"/>
          <w:color w:val="000000" w:themeColor="text1"/>
        </w:rPr>
        <w:t>曾○榮</w:t>
      </w:r>
      <w:r w:rsidRPr="006C5E9F">
        <w:rPr>
          <w:rFonts w:hint="eastAsia"/>
          <w:color w:val="000000" w:themeColor="text1"/>
        </w:rPr>
        <w:t>涉嫌違反「銀行法」案件，率予同意交保後，無任何積極防逃措施</w:t>
      </w:r>
      <w:r w:rsidRPr="006C5E9F">
        <w:rPr>
          <w:rFonts w:ascii="新細明體" w:eastAsia="新細明體" w:hAnsi="新細明體" w:hint="eastAsia"/>
          <w:color w:val="000000" w:themeColor="text1"/>
        </w:rPr>
        <w:t>，</w:t>
      </w:r>
      <w:r>
        <w:rPr>
          <w:rFonts w:hint="eastAsia"/>
          <w:color w:val="000000" w:themeColor="text1"/>
        </w:rPr>
        <w:t>曾○榮</w:t>
      </w:r>
      <w:r w:rsidRPr="006C5E9F">
        <w:rPr>
          <w:rFonts w:hint="eastAsia"/>
          <w:color w:val="000000" w:themeColor="text1"/>
        </w:rPr>
        <w:t>隨後即棄保潛逃，使3千多位受害者求償無門一節</w:t>
      </w:r>
      <w:r w:rsidRPr="006C5E9F">
        <w:rPr>
          <w:rFonts w:ascii="新細明體" w:eastAsia="新細明體" w:hAnsi="新細明體" w:hint="eastAsia"/>
          <w:color w:val="000000" w:themeColor="text1"/>
        </w:rPr>
        <w:t>，</w:t>
      </w:r>
      <w:r w:rsidRPr="006C5E9F">
        <w:rPr>
          <w:rFonts w:hint="eastAsia"/>
          <w:color w:val="000000" w:themeColor="text1"/>
        </w:rPr>
        <w:t>法務部查復說明略以</w:t>
      </w:r>
      <w:r w:rsidRPr="006C5E9F">
        <w:rPr>
          <w:rFonts w:hAnsi="標楷體" w:hint="eastAsia"/>
          <w:color w:val="000000" w:themeColor="text1"/>
        </w:rPr>
        <w:t>﹕</w:t>
      </w:r>
    </w:p>
    <w:p w:rsidR="00434388" w:rsidRPr="006C5E9F" w:rsidRDefault="00434388" w:rsidP="00434388">
      <w:pPr>
        <w:pStyle w:val="4"/>
        <w:numPr>
          <w:ilvl w:val="3"/>
          <w:numId w:val="1"/>
        </w:numPr>
        <w:rPr>
          <w:color w:val="000000" w:themeColor="text1"/>
        </w:rPr>
      </w:pPr>
      <w:r w:rsidRPr="006C5E9F">
        <w:rPr>
          <w:rFonts w:hint="eastAsia"/>
          <w:color w:val="000000" w:themeColor="text1"/>
        </w:rPr>
        <w:t>被告</w:t>
      </w:r>
      <w:r>
        <w:rPr>
          <w:rFonts w:hint="eastAsia"/>
          <w:color w:val="000000" w:themeColor="text1"/>
        </w:rPr>
        <w:t>曾○榮</w:t>
      </w:r>
      <w:r w:rsidRPr="006C5E9F">
        <w:rPr>
          <w:rFonts w:hint="eastAsia"/>
          <w:color w:val="000000" w:themeColor="text1"/>
        </w:rPr>
        <w:t>於103年2月24日經法院當庭釋放    後，隨即由法院予以限制出境、出海，至103年7月11日起訴前，此5個月的期間，經檢察官分別於103年3月18日、6月9日及6月18日多次傳喚，均有遵期到庭，並未曾有請假、拒不到庭或試圖逃亡之情事發生。故在偵查之時，被告並無逃亡之虞。且被告於103年7月11日經檢察官提起公訴後，相關案件即改由法院審理及主導，檢察官已無任何偵查或強制處分之權力，被告於103年8月29日法院召開準備程序庭仍有到庭，被告係於起訴後4個月，因在法院審理過程中傳喚未到庭，始由法院於103年11月25日發布通緝。檢察機關並無任何疏失。</w:t>
      </w:r>
    </w:p>
    <w:p w:rsidR="00434388" w:rsidRPr="006C5E9F" w:rsidRDefault="00434388" w:rsidP="00434388">
      <w:pPr>
        <w:pStyle w:val="4"/>
        <w:numPr>
          <w:ilvl w:val="3"/>
          <w:numId w:val="1"/>
        </w:numPr>
        <w:rPr>
          <w:color w:val="000000" w:themeColor="text1"/>
        </w:rPr>
      </w:pPr>
      <w:r w:rsidRPr="006C5E9F">
        <w:rPr>
          <w:rFonts w:hint="eastAsia"/>
          <w:color w:val="000000" w:themeColor="text1"/>
        </w:rPr>
        <w:t>被告</w:t>
      </w:r>
      <w:r>
        <w:rPr>
          <w:rFonts w:hint="eastAsia"/>
          <w:color w:val="000000" w:themeColor="text1"/>
        </w:rPr>
        <w:t>曾○榮</w:t>
      </w:r>
      <w:r w:rsidRPr="006C5E9F">
        <w:rPr>
          <w:rFonts w:hint="eastAsia"/>
          <w:color w:val="000000" w:themeColor="text1"/>
        </w:rPr>
        <w:t>育有1女及1子，因被告與其配偶於97年12月10日離婚，當時約定由配偶行使負擔未成年子女權利義務，目前其前配偶及子均設籍在新北市板橋區民生路；女兒則設籍在新北市板橋區文化路，研判被告</w:t>
      </w:r>
      <w:r>
        <w:rPr>
          <w:rFonts w:hint="eastAsia"/>
          <w:color w:val="000000" w:themeColor="text1"/>
        </w:rPr>
        <w:t>曾○榮</w:t>
      </w:r>
      <w:r w:rsidRPr="006C5E9F">
        <w:rPr>
          <w:rFonts w:hint="eastAsia"/>
          <w:color w:val="000000" w:themeColor="text1"/>
        </w:rPr>
        <w:t>應係個人潛逃。被告</w:t>
      </w:r>
      <w:r>
        <w:rPr>
          <w:rFonts w:hint="eastAsia"/>
          <w:color w:val="000000" w:themeColor="text1"/>
        </w:rPr>
        <w:t>曾○榮</w:t>
      </w:r>
      <w:r w:rsidRPr="006C5E9F">
        <w:rPr>
          <w:rFonts w:hint="eastAsia"/>
          <w:color w:val="000000" w:themeColor="text1"/>
        </w:rPr>
        <w:t>因經限制出境、出海，故查無其合法之出、入境資料，是被告究竟有無以非法方式出境或僅係躲藏於國內，目前尚無從得知。然因其棄保潛逃，業經法院於103年11月25日發布通緝中。</w:t>
      </w:r>
    </w:p>
    <w:p w:rsidR="00434388" w:rsidRPr="006C5E9F" w:rsidRDefault="00434388" w:rsidP="00434388">
      <w:pPr>
        <w:pStyle w:val="4"/>
        <w:numPr>
          <w:ilvl w:val="3"/>
          <w:numId w:val="1"/>
        </w:numPr>
        <w:rPr>
          <w:color w:val="000000" w:themeColor="text1"/>
        </w:rPr>
      </w:pPr>
      <w:r w:rsidRPr="006C5E9F">
        <w:rPr>
          <w:rFonts w:hint="eastAsia"/>
          <w:color w:val="000000" w:themeColor="text1"/>
        </w:rPr>
        <w:t>偵查中之羈押期限為2個月，必要時得向法院聲</w:t>
      </w:r>
      <w:r w:rsidRPr="006C5E9F">
        <w:rPr>
          <w:rFonts w:hint="eastAsia"/>
          <w:color w:val="000000" w:themeColor="text1"/>
        </w:rPr>
        <w:lastRenderedPageBreak/>
        <w:t>請延長1次，是偵查中之羈押最長不得逾4個月，若遇龐雜及被告、證人人數眾多之案件，未能於4個月內偵查終結，即便前已羈押之被告仍需予以釋放。檢警為避免遭批評、騷擾或被指侵害被告人權，只能就被告無隱私或合理期待之行為或生活情形，進行必要之觀察及動態掌握，然此耗費許多人力、物力，也造成檢警執行之頗大壓力，且效果有限，倘遇有心之被告欲棄保潛逃，目前要有效防堵實屬不易。</w:t>
      </w:r>
    </w:p>
    <w:p w:rsidR="00434388" w:rsidRPr="006C5E9F" w:rsidRDefault="00434388" w:rsidP="00434388">
      <w:pPr>
        <w:pStyle w:val="4"/>
        <w:numPr>
          <w:ilvl w:val="3"/>
          <w:numId w:val="1"/>
        </w:numPr>
        <w:rPr>
          <w:color w:val="000000" w:themeColor="text1"/>
        </w:rPr>
      </w:pPr>
      <w:r w:rsidRPr="006C5E9F">
        <w:rPr>
          <w:rFonts w:hint="eastAsia"/>
          <w:color w:val="000000" w:themeColor="text1"/>
        </w:rPr>
        <w:t>法務部前於93年1月8日頒訂「防範刑事案件被告逃匿聯繫作業要點」，然依原要點規定，僅能由司法警察機關派員對監控對象之外部公開活動進行目視觀察及行蹤掌握，無法監控其室內隱私活動、無權要求對象透露行蹤，是受監控者如蓄意逃脫，極為容易，因此自適用以來，徒然耗費龐大人力、物力，效果卻甚為薄弱，再者，判決確定前之偵查、審理階段，對「確保追訴」及「確保審判」，「刑事訴訟法」第93條、第101條及第101條之1均已分別規定，檢察官偵查或法院審理期間，如認被告有逃亡之虞者，自應分別依上開規定由檢察官聲請或由法院依職權羈押，而非捨本逐末，啟動耗損資源而無實際效果之所謂防逃機制，次以適用之案件不宜浮濫，考量經法院判處重刑者其逃亡動機相對較高，故105年4月20日修正該要點為「防範刑事判決確定案件受刑人逃匿聯繫作業要點」，且限於判處死刑、無期徒刑或10年以上有期徒刑確定者，始有適用，避免司法警察人力無謂虛耗。為阻絕被告逃匿，關鍵應修正「刑事訴訟法」相關規定，非著墨於上開行政規則，該部就此已向司法院提出修法建議，司</w:t>
      </w:r>
      <w:r w:rsidRPr="006C5E9F">
        <w:rPr>
          <w:rFonts w:hint="eastAsia"/>
          <w:color w:val="000000" w:themeColor="text1"/>
        </w:rPr>
        <w:lastRenderedPageBreak/>
        <w:t>法院就此已參採該部意見研提「刑事訴訟法」條文修正草案（條文對照表詳如附表二），並以106年10月18日院臺廳刑一字第1060027689號函送行政院，刻由行政院會銜中。</w:t>
      </w:r>
    </w:p>
    <w:p w:rsidR="00434388" w:rsidRPr="006C5E9F" w:rsidRDefault="00434388" w:rsidP="00434388">
      <w:pPr>
        <w:pStyle w:val="3"/>
        <w:numPr>
          <w:ilvl w:val="2"/>
          <w:numId w:val="1"/>
        </w:numPr>
        <w:rPr>
          <w:color w:val="000000" w:themeColor="text1"/>
        </w:rPr>
      </w:pPr>
      <w:r w:rsidRPr="006C5E9F">
        <w:rPr>
          <w:rFonts w:hint="eastAsia"/>
          <w:color w:val="000000" w:themeColor="text1"/>
        </w:rPr>
        <w:t>惟查</w:t>
      </w:r>
      <w:r w:rsidRPr="006C5E9F">
        <w:rPr>
          <w:rFonts w:ascii="新細明體" w:eastAsia="新細明體" w:hAnsi="新細明體" w:hint="eastAsia"/>
          <w:color w:val="000000" w:themeColor="text1"/>
        </w:rPr>
        <w:t>，</w:t>
      </w:r>
      <w:r w:rsidRPr="006C5E9F">
        <w:rPr>
          <w:rFonts w:hint="eastAsia"/>
          <w:color w:val="000000" w:themeColor="text1"/>
        </w:rPr>
        <w:t>法務部為加強防範刑事案件被告之逃匿，訂有「防範刑事案件被告逃匿聯繫作業要點」（l05年4月20日修正為「防範刑事判決確定案件受刑人逃匿聯繫作業要點」），依該要點第2點規定：「一、二審檢察署檢察長對於嚴重侵害國家或社會法益或於社會治安、經濟秩序有重大危害之刑事案件，於偵查、審理期間及執行前認被告有逃匿之虞者，應即層報最高法院檢察署檢察總長。前項案件經最高法院檢察署檢察總長審核後，認有必要時，應將案件建檔列管，並得指示相關檢察署檢察長，確實掌握該案件於偵查及各審級審理終結之情形，並定期提報偵查、審理進度。……」第5點規定：「前點之專案檢察官得指揮司法警察機關派員對前開刑事案件被告，就無隱私或秘密合理期待之行為或生活情形，進行必要之觀察及動態掌握，並隨時向檢察官報告觀察及動態掌握情形。司法警察機關依前項觀察及動態掌握之結果，認前開刑事案件被告有逃匿之虞時，應即報請指揮之專案檢察官為適當之處置。」本案被告</w:t>
      </w:r>
      <w:r>
        <w:rPr>
          <w:rFonts w:hint="eastAsia"/>
          <w:color w:val="000000" w:themeColor="text1"/>
        </w:rPr>
        <w:t>曾○榮</w:t>
      </w:r>
      <w:r w:rsidRPr="006C5E9F">
        <w:rPr>
          <w:rFonts w:hint="eastAsia"/>
          <w:color w:val="000000" w:themeColor="text1"/>
        </w:rPr>
        <w:t>請求同意具保停止羈押之陳報狀中即已敘明：「按目前可掌握之資訊所整理之自1月6日帳戶遭凍結而違約未償還之投資人名單、債權金額以及擬籌措用以清償投資人之資金來源以及金額詳如附件（應歸還金額28億7,468萬3,500元）</w:t>
      </w:r>
      <w:r w:rsidRPr="006C5E9F">
        <w:rPr>
          <w:rFonts w:ascii="新細明體" w:eastAsia="新細明體" w:hAnsi="新細明體" w:hint="eastAsia"/>
          <w:color w:val="000000" w:themeColor="text1"/>
        </w:rPr>
        <w:t>」</w:t>
      </w:r>
      <w:r w:rsidRPr="006C5E9F">
        <w:rPr>
          <w:rFonts w:hint="eastAsia"/>
          <w:color w:val="000000" w:themeColor="text1"/>
        </w:rPr>
        <w:t>，顯見本案受害投資人眾多且犯罪所得金額達數十億元之鉅，為對於社會治安、經濟秩序有重大危害之刑事案件，檢察機關卻未依「防範刑</w:t>
      </w:r>
      <w:r w:rsidRPr="006C5E9F">
        <w:rPr>
          <w:rFonts w:hint="eastAsia"/>
          <w:color w:val="000000" w:themeColor="text1"/>
        </w:rPr>
        <w:lastRenderedPageBreak/>
        <w:t>事案件被告逃匿聯繫作業要點」辦理，核有未當。又為有效阻絕被告逃匿情事發生，依法務部說明已向司法院提出修正「刑事訴訟法」相關規定之建議，司法院亦已參採該部意見而研提「刑事訴訟法」條文修正草案，刻由行政院會銜中。惟相關「刑事訴訟法」之修正，仍</w:t>
      </w:r>
      <w:r w:rsidRPr="006C5E9F">
        <w:rPr>
          <w:rFonts w:hint="eastAsia"/>
          <w:color w:val="000000" w:themeColor="text1"/>
          <w:szCs w:val="48"/>
        </w:rPr>
        <w:t>有賴</w:t>
      </w:r>
      <w:r w:rsidRPr="006C5E9F">
        <w:rPr>
          <w:rFonts w:hint="eastAsia"/>
          <w:color w:val="000000" w:themeColor="text1"/>
        </w:rPr>
        <w:t>相關機關</w:t>
      </w:r>
      <w:r w:rsidRPr="006C5E9F">
        <w:rPr>
          <w:rFonts w:hint="eastAsia"/>
          <w:color w:val="000000" w:themeColor="text1"/>
          <w:szCs w:val="48"/>
        </w:rPr>
        <w:t>持續推動</w:t>
      </w:r>
      <w:r w:rsidRPr="006C5E9F">
        <w:rPr>
          <w:rFonts w:ascii="新細明體" w:eastAsia="新細明體" w:hAnsi="新細明體" w:hint="eastAsia"/>
          <w:color w:val="000000" w:themeColor="text1"/>
          <w:szCs w:val="48"/>
        </w:rPr>
        <w:t>，</w:t>
      </w:r>
      <w:r w:rsidRPr="006C5E9F">
        <w:rPr>
          <w:rFonts w:hint="eastAsia"/>
          <w:color w:val="000000" w:themeColor="text1"/>
        </w:rPr>
        <w:t>法務部於相關「刑事訴訟法」修正前，並應督飭所屬妥採有效防範作為，以資因應</w:t>
      </w:r>
      <w:r w:rsidRPr="006C5E9F">
        <w:rPr>
          <w:rFonts w:ascii="新細明體" w:eastAsia="新細明體" w:hAnsi="新細明體" w:hint="eastAsia"/>
          <w:color w:val="000000" w:themeColor="text1"/>
        </w:rPr>
        <w:t>。</w:t>
      </w:r>
    </w:p>
    <w:p w:rsidR="00434388" w:rsidRPr="006C5E9F" w:rsidRDefault="00434388" w:rsidP="00434388">
      <w:pPr>
        <w:pStyle w:val="3"/>
        <w:numPr>
          <w:ilvl w:val="2"/>
          <w:numId w:val="1"/>
        </w:numPr>
        <w:rPr>
          <w:color w:val="000000" w:themeColor="text1"/>
        </w:rPr>
      </w:pPr>
      <w:r w:rsidRPr="006C5E9F">
        <w:rPr>
          <w:rFonts w:hint="eastAsia"/>
          <w:color w:val="000000" w:themeColor="text1"/>
        </w:rPr>
        <w:t>綜上，本案受害投資人眾多且犯罪所得金額達數十億元之鉅，為對社會治安、經濟秩序有重大危害之刑事案件，檢察機關卻未依「防範刑事案件被告逃匿聯繫作業要點」辦理，核有未當。又為有效阻絕被告逃匿情事發生，依法務部說明已向司法院提出修正「刑事訴訟法」相關規定之建議，司法院亦已參採該部意見而研提「刑事訴訟法」條文修正草案，刻由行政院會銜中。惟相關修正，仍</w:t>
      </w:r>
      <w:r w:rsidRPr="006C5E9F">
        <w:rPr>
          <w:rFonts w:hint="eastAsia"/>
          <w:color w:val="000000" w:themeColor="text1"/>
          <w:szCs w:val="48"/>
        </w:rPr>
        <w:t>有賴持續推動</w:t>
      </w:r>
      <w:r w:rsidRPr="006C5E9F">
        <w:rPr>
          <w:rFonts w:ascii="新細明體" w:eastAsia="新細明體" w:hAnsi="新細明體" w:hint="eastAsia"/>
          <w:color w:val="000000" w:themeColor="text1"/>
          <w:szCs w:val="48"/>
        </w:rPr>
        <w:t>，</w:t>
      </w:r>
      <w:r w:rsidRPr="006C5E9F">
        <w:rPr>
          <w:rFonts w:hint="eastAsia"/>
          <w:color w:val="000000" w:themeColor="text1"/>
        </w:rPr>
        <w:t>法務部於「刑事訴訟法」相關修正前，並應督飭所屬妥採有效防範作為，以資因應。</w:t>
      </w:r>
    </w:p>
    <w:p w:rsidR="00434388" w:rsidRPr="006C5E9F" w:rsidRDefault="00434388" w:rsidP="00434388">
      <w:pPr>
        <w:pStyle w:val="2"/>
        <w:numPr>
          <w:ilvl w:val="1"/>
          <w:numId w:val="1"/>
        </w:numPr>
        <w:spacing w:beforeLines="100" w:before="457"/>
        <w:ind w:left="1020" w:hanging="680"/>
        <w:rPr>
          <w:b/>
          <w:color w:val="000000" w:themeColor="text1"/>
        </w:rPr>
      </w:pPr>
      <w:r w:rsidRPr="006C5E9F">
        <w:rPr>
          <w:rFonts w:hint="eastAsia"/>
          <w:b/>
          <w:color w:val="000000" w:themeColor="text1"/>
        </w:rPr>
        <w:t>有關臺北地檢署檢察官偵辦</w:t>
      </w:r>
      <w:r>
        <w:rPr>
          <w:rFonts w:hint="eastAsia"/>
          <w:b/>
          <w:color w:val="000000" w:themeColor="text1"/>
        </w:rPr>
        <w:t>曾○榮</w:t>
      </w:r>
      <w:r w:rsidRPr="006C5E9F">
        <w:rPr>
          <w:rFonts w:hint="eastAsia"/>
          <w:b/>
          <w:color w:val="000000" w:themeColor="text1"/>
        </w:rPr>
        <w:t>涉嫌違反「銀行法」案件，原定102年12月5日執行搜索，因考量主嫌不在國內，若貿然執行搜索，可能致主嫌得知搜索後拒不返國或有湮滅、偽造、變造證據等可能，始指示暫緩執行搜索。惟另於103年1月6日執行搜索扣押，並於當日經訊問並逮捕犯罪嫌疑人</w:t>
      </w:r>
      <w:r>
        <w:rPr>
          <w:rFonts w:hint="eastAsia"/>
          <w:b/>
          <w:color w:val="000000" w:themeColor="text1"/>
        </w:rPr>
        <w:t>曾○榮</w:t>
      </w:r>
      <w:r w:rsidRPr="006C5E9F">
        <w:rPr>
          <w:rFonts w:hint="eastAsia"/>
          <w:b/>
          <w:color w:val="000000" w:themeColor="text1"/>
        </w:rPr>
        <w:t>後，向臺北地院聲請羈押獲准，並據以於103年7月11日提起公訴在案，尚難認該暫緩執行搜索有何違失之處。</w:t>
      </w:r>
    </w:p>
    <w:p w:rsidR="00434388" w:rsidRPr="006C5E9F" w:rsidRDefault="00434388" w:rsidP="00434388">
      <w:pPr>
        <w:pStyle w:val="3"/>
        <w:numPr>
          <w:ilvl w:val="2"/>
          <w:numId w:val="1"/>
        </w:numPr>
        <w:rPr>
          <w:color w:val="000000" w:themeColor="text1"/>
        </w:rPr>
      </w:pPr>
      <w:r w:rsidRPr="006C5E9F">
        <w:rPr>
          <w:rFonts w:hint="eastAsia"/>
          <w:color w:val="000000" w:themeColor="text1"/>
        </w:rPr>
        <w:t>有關陳訴人陳訴：臺北地檢署檢察官偵辦</w:t>
      </w:r>
      <w:r>
        <w:rPr>
          <w:rFonts w:hint="eastAsia"/>
          <w:color w:val="000000" w:themeColor="text1"/>
        </w:rPr>
        <w:t>曾○榮</w:t>
      </w:r>
      <w:r w:rsidRPr="006C5E9F">
        <w:rPr>
          <w:rFonts w:hint="eastAsia"/>
          <w:color w:val="000000" w:themeColor="text1"/>
        </w:rPr>
        <w:t>涉嫌違反「銀行法」案件，原定搜索期間102年12月5日，卻無故延後至103年1月6日，致犯罪嫌疑人早</w:t>
      </w:r>
      <w:r w:rsidRPr="006C5E9F">
        <w:rPr>
          <w:rFonts w:hint="eastAsia"/>
          <w:color w:val="000000" w:themeColor="text1"/>
        </w:rPr>
        <w:lastRenderedPageBreak/>
        <w:t>已知情，預作準備，有公務人員違法洩密瀆職之嫌一節，法務部查復說明略以：臺北地檢署檢察官對於搜索何時執行，係依據案情之發展，審慎評估後所為之判斷與決定。目前檢調機關均可由內網單一窗口查知個人入出境情形，本案即在臺北市調處調查官查知主嫌自102年11月27日出境後，迄至同年12月4日均未入境，乃向檢察官請示是否如期執行搜索？因主嫌不在國內仍貿然執行搜索，可能致主嫌得知搜索後拒不返國或有湮滅、偽造、變造證據等可能，始暫緩執行搜索。</w:t>
      </w:r>
    </w:p>
    <w:p w:rsidR="00434388" w:rsidRPr="006C5E9F" w:rsidRDefault="00434388" w:rsidP="00434388">
      <w:pPr>
        <w:pStyle w:val="3"/>
        <w:numPr>
          <w:ilvl w:val="2"/>
          <w:numId w:val="1"/>
        </w:numPr>
        <w:rPr>
          <w:color w:val="000000" w:themeColor="text1"/>
        </w:rPr>
      </w:pPr>
      <w:r w:rsidRPr="006C5E9F">
        <w:rPr>
          <w:rFonts w:hint="eastAsia"/>
          <w:color w:val="000000" w:themeColor="text1"/>
        </w:rPr>
        <w:t>經查</w:t>
      </w:r>
      <w:r w:rsidRPr="006C5E9F">
        <w:rPr>
          <w:rFonts w:ascii="新細明體" w:eastAsia="新細明體" w:hAnsi="新細明體" w:hint="eastAsia"/>
          <w:color w:val="000000" w:themeColor="text1"/>
        </w:rPr>
        <w:t>，</w:t>
      </w:r>
      <w:r w:rsidRPr="006C5E9F">
        <w:rPr>
          <w:rFonts w:hint="eastAsia"/>
          <w:color w:val="000000" w:themeColor="text1"/>
        </w:rPr>
        <w:t>有關臺北地檢署檢察官偵辦</w:t>
      </w:r>
      <w:r>
        <w:rPr>
          <w:rFonts w:hint="eastAsia"/>
          <w:color w:val="000000" w:themeColor="text1"/>
        </w:rPr>
        <w:t>曾○榮</w:t>
      </w:r>
      <w:r w:rsidRPr="006C5E9F">
        <w:rPr>
          <w:rFonts w:hint="eastAsia"/>
          <w:color w:val="000000" w:themeColor="text1"/>
        </w:rPr>
        <w:t>涉嫌違反「銀行法」案件，原定102年12月5日執行搜索之搜索票聲請書</w:t>
      </w:r>
      <w:r w:rsidRPr="006C5E9F">
        <w:rPr>
          <w:rFonts w:ascii="新細明體" w:eastAsia="新細明體" w:hAnsi="新細明體" w:hint="eastAsia"/>
          <w:color w:val="000000" w:themeColor="text1"/>
        </w:rPr>
        <w:t>，</w:t>
      </w:r>
      <w:r w:rsidRPr="006C5E9F">
        <w:rPr>
          <w:rFonts w:hint="eastAsia"/>
          <w:color w:val="000000" w:themeColor="text1"/>
        </w:rPr>
        <w:t>係由臺北市調處以搜索票聲請書報由臺北地檢署檢察官向臺北地院聲請核發搜索票，預定搜索犯罪嫌疑人</w:t>
      </w:r>
      <w:r>
        <w:rPr>
          <w:rFonts w:hint="eastAsia"/>
          <w:color w:val="000000" w:themeColor="text1"/>
        </w:rPr>
        <w:t>曾○榮</w:t>
      </w:r>
      <w:r w:rsidRPr="006C5E9F">
        <w:rPr>
          <w:rFonts w:hint="eastAsia"/>
          <w:color w:val="000000" w:themeColor="text1"/>
        </w:rPr>
        <w:t>等之住所及營業據點等處，該院法官於102年12月3日核發102年聲搜字第002040號搜索票，准許自102年12月5日起迄同月6日止執行搜索。又依臺北市調處102年12月4日公務電話紀錄所示，調查官向檢察官</w:t>
      </w:r>
      <w:r w:rsidR="00803AAF">
        <w:rPr>
          <w:rFonts w:hint="eastAsia"/>
          <w:color w:val="000000" w:themeColor="text1"/>
        </w:rPr>
        <w:t>張○堯</w:t>
      </w:r>
      <w:r w:rsidRPr="006C5E9F">
        <w:rPr>
          <w:rFonts w:hint="eastAsia"/>
          <w:color w:val="000000" w:themeColor="text1"/>
        </w:rPr>
        <w:t>請示略以:該案主嫌</w:t>
      </w:r>
      <w:r>
        <w:rPr>
          <w:rFonts w:hint="eastAsia"/>
          <w:color w:val="000000" w:themeColor="text1"/>
        </w:rPr>
        <w:t>曾○榮</w:t>
      </w:r>
      <w:r w:rsidRPr="006C5E9F">
        <w:rPr>
          <w:rFonts w:hint="eastAsia"/>
          <w:color w:val="000000" w:themeColor="text1"/>
        </w:rPr>
        <w:t>自11月27日出境尚未入境，是否如期執行搜索?張檢察官以主嫌不在國內指示暫緩執行，待</w:t>
      </w:r>
      <w:r>
        <w:rPr>
          <w:rFonts w:hint="eastAsia"/>
          <w:color w:val="000000" w:themeColor="text1"/>
        </w:rPr>
        <w:t>曾○榮</w:t>
      </w:r>
      <w:r w:rsidRPr="006C5E9F">
        <w:rPr>
          <w:rFonts w:hint="eastAsia"/>
          <w:color w:val="000000" w:themeColor="text1"/>
        </w:rPr>
        <w:t>入境再研議執行時間。調查官遂將已聲請之搜索票檢還臺北地院。又臺北市調處於103年1月2日報由臺北地檢署檢察官向臺北地院聲請核發搜索票，預定搜索犯罪嫌疑人</w:t>
      </w:r>
      <w:r>
        <w:rPr>
          <w:rFonts w:hint="eastAsia"/>
          <w:color w:val="000000" w:themeColor="text1"/>
        </w:rPr>
        <w:t>曾○榮</w:t>
      </w:r>
      <w:r w:rsidRPr="006C5E9F">
        <w:rPr>
          <w:rFonts w:hint="eastAsia"/>
          <w:color w:val="000000" w:themeColor="text1"/>
        </w:rPr>
        <w:t>等之住所或營業據點等處，臺北地院法官於103年l月2日核發103 年聲搜字第000001號搜索票，准許自103年1月6日起迄同月7日止執行搜索，該處遂於103年1月6日上午10時50分起迄同日12時10分止執行搜索扣押，在場之受搜索人</w:t>
      </w:r>
      <w:r>
        <w:rPr>
          <w:rFonts w:hint="eastAsia"/>
          <w:color w:val="000000" w:themeColor="text1"/>
        </w:rPr>
        <w:t>曾○榮</w:t>
      </w:r>
      <w:r w:rsidRPr="006C5E9F">
        <w:rPr>
          <w:rFonts w:hint="eastAsia"/>
          <w:color w:val="000000" w:themeColor="text1"/>
        </w:rPr>
        <w:t>當場在搜索筆錄、扣押</w:t>
      </w:r>
      <w:r w:rsidRPr="006C5E9F">
        <w:rPr>
          <w:rFonts w:hint="eastAsia"/>
          <w:color w:val="000000" w:themeColor="text1"/>
        </w:rPr>
        <w:lastRenderedPageBreak/>
        <w:t>筆錄簽名確認。</w:t>
      </w:r>
      <w:r>
        <w:rPr>
          <w:rFonts w:hint="eastAsia"/>
          <w:color w:val="000000" w:themeColor="text1"/>
        </w:rPr>
        <w:t>曾○榮</w:t>
      </w:r>
      <w:r w:rsidRPr="006C5E9F">
        <w:rPr>
          <w:rFonts w:hint="eastAsia"/>
          <w:color w:val="000000" w:themeColor="text1"/>
        </w:rPr>
        <w:t>因涉嫌違反「銀行法」，於當日經訊問並逮捕後，檢察官於當日向臺北地院聲請羈押，經臺北地院裁定准予羈押</w:t>
      </w:r>
      <w:r w:rsidRPr="006C5E9F">
        <w:rPr>
          <w:rFonts w:ascii="新細明體" w:eastAsia="新細明體" w:hAnsi="新細明體" w:hint="eastAsia"/>
          <w:color w:val="000000" w:themeColor="text1"/>
        </w:rPr>
        <w:t>。</w:t>
      </w:r>
    </w:p>
    <w:p w:rsidR="00434388" w:rsidRPr="006C5E9F" w:rsidRDefault="00434388" w:rsidP="00434388">
      <w:pPr>
        <w:pStyle w:val="3"/>
        <w:numPr>
          <w:ilvl w:val="2"/>
          <w:numId w:val="1"/>
        </w:numPr>
        <w:rPr>
          <w:color w:val="000000" w:themeColor="text1"/>
        </w:rPr>
      </w:pPr>
      <w:r w:rsidRPr="006C5E9F">
        <w:rPr>
          <w:rFonts w:hint="eastAsia"/>
          <w:color w:val="000000" w:themeColor="text1"/>
        </w:rPr>
        <w:t>綜上</w:t>
      </w:r>
      <w:r w:rsidRPr="006C5E9F">
        <w:rPr>
          <w:rFonts w:ascii="新細明體" w:eastAsia="新細明體" w:hAnsi="新細明體" w:hint="eastAsia"/>
          <w:color w:val="000000" w:themeColor="text1"/>
        </w:rPr>
        <w:t>，</w:t>
      </w:r>
      <w:r w:rsidRPr="006C5E9F">
        <w:rPr>
          <w:rFonts w:hint="eastAsia"/>
          <w:color w:val="000000" w:themeColor="text1"/>
        </w:rPr>
        <w:t>有關臺北地檢署檢察官偵辦</w:t>
      </w:r>
      <w:r>
        <w:rPr>
          <w:rFonts w:hint="eastAsia"/>
          <w:color w:val="000000" w:themeColor="text1"/>
        </w:rPr>
        <w:t>曾○榮</w:t>
      </w:r>
      <w:r w:rsidRPr="006C5E9F">
        <w:rPr>
          <w:rFonts w:hint="eastAsia"/>
          <w:color w:val="000000" w:themeColor="text1"/>
        </w:rPr>
        <w:t>涉嫌違反「銀行法」案件，原定102年12月5日執行搜索</w:t>
      </w:r>
      <w:r w:rsidRPr="006C5E9F">
        <w:rPr>
          <w:rFonts w:ascii="新細明體" w:eastAsia="新細明體" w:hAnsi="新細明體" w:hint="eastAsia"/>
          <w:color w:val="000000" w:themeColor="text1"/>
        </w:rPr>
        <w:t>，</w:t>
      </w:r>
      <w:r w:rsidRPr="006C5E9F">
        <w:rPr>
          <w:rFonts w:hint="eastAsia"/>
          <w:color w:val="000000" w:themeColor="text1"/>
        </w:rPr>
        <w:t>因考量主嫌不在國內，若貿然執行搜索，可能使主嫌得知搜索後拒不返國或有湮滅、偽造、變造證據等可能，故指示暫緩執行搜索。惟另於103年1月6日執行搜索扣押，並於當日經訊問並逮捕犯罪嫌疑人</w:t>
      </w:r>
      <w:r>
        <w:rPr>
          <w:rFonts w:hint="eastAsia"/>
          <w:color w:val="000000" w:themeColor="text1"/>
        </w:rPr>
        <w:t>曾○榮</w:t>
      </w:r>
      <w:r w:rsidRPr="006C5E9F">
        <w:rPr>
          <w:rFonts w:hint="eastAsia"/>
          <w:color w:val="000000" w:themeColor="text1"/>
        </w:rPr>
        <w:t>後，向臺北地院聲請羈押獲准</w:t>
      </w:r>
      <w:r w:rsidRPr="006C5E9F">
        <w:rPr>
          <w:rFonts w:ascii="新細明體" w:eastAsia="新細明體" w:hAnsi="新細明體" w:hint="eastAsia"/>
          <w:color w:val="000000" w:themeColor="text1"/>
        </w:rPr>
        <w:t>，</w:t>
      </w:r>
      <w:r w:rsidRPr="006C5E9F">
        <w:rPr>
          <w:rFonts w:hint="eastAsia"/>
          <w:color w:val="000000" w:themeColor="text1"/>
        </w:rPr>
        <w:t>嗣據以於103年7月11日提起公訴在案，尚難認該暫緩執行搜索有違失。</w:t>
      </w:r>
    </w:p>
    <w:p w:rsidR="00434388" w:rsidRPr="006C5E9F" w:rsidRDefault="00434388" w:rsidP="00434388">
      <w:pPr>
        <w:pStyle w:val="2"/>
        <w:numPr>
          <w:ilvl w:val="1"/>
          <w:numId w:val="1"/>
        </w:numPr>
        <w:spacing w:beforeLines="100" w:before="457"/>
        <w:ind w:left="1020" w:hanging="680"/>
        <w:rPr>
          <w:b/>
          <w:color w:val="000000" w:themeColor="text1"/>
        </w:rPr>
      </w:pPr>
      <w:r w:rsidRPr="006C5E9F">
        <w:rPr>
          <w:rFonts w:hint="eastAsia"/>
          <w:b/>
          <w:color w:val="000000" w:themeColor="text1"/>
        </w:rPr>
        <w:t>有關臺北地檢署檢察官1</w:t>
      </w:r>
      <w:r w:rsidRPr="006C5E9F">
        <w:rPr>
          <w:b/>
          <w:color w:val="000000" w:themeColor="text1"/>
        </w:rPr>
        <w:t>O3</w:t>
      </w:r>
      <w:r w:rsidRPr="006C5E9F">
        <w:rPr>
          <w:rFonts w:hint="eastAsia"/>
          <w:b/>
          <w:color w:val="000000" w:themeColor="text1"/>
        </w:rPr>
        <w:t>年度偵字第</w:t>
      </w:r>
      <w:r w:rsidRPr="006C5E9F">
        <w:rPr>
          <w:b/>
          <w:color w:val="000000" w:themeColor="text1"/>
        </w:rPr>
        <w:t>2398</w:t>
      </w:r>
      <w:r w:rsidRPr="006C5E9F">
        <w:rPr>
          <w:rFonts w:hint="eastAsia"/>
          <w:b/>
          <w:color w:val="000000" w:themeColor="text1"/>
        </w:rPr>
        <w:t>號不起訴處分，本案承辦檢察官經調查後，依相關共同被告之證詞</w:t>
      </w:r>
      <w:r w:rsidRPr="006C5E9F">
        <w:rPr>
          <w:rFonts w:ascii="新細明體" w:eastAsia="新細明體" w:hAnsi="新細明體" w:hint="eastAsia"/>
          <w:b/>
          <w:color w:val="000000" w:themeColor="text1"/>
        </w:rPr>
        <w:t>，</w:t>
      </w:r>
      <w:r w:rsidRPr="006C5E9F">
        <w:rPr>
          <w:rFonts w:hint="eastAsia"/>
          <w:b/>
          <w:color w:val="000000" w:themeColor="text1"/>
        </w:rPr>
        <w:t>及查無任何投資人係透過該被告等人招攬而投資之證據，而認被告</w:t>
      </w:r>
      <w:r>
        <w:rPr>
          <w:rFonts w:hint="eastAsia"/>
          <w:b/>
          <w:color w:val="000000" w:themeColor="text1"/>
        </w:rPr>
        <w:t>徐○倫</w:t>
      </w:r>
      <w:r w:rsidRPr="006C5E9F">
        <w:rPr>
          <w:rFonts w:hint="eastAsia"/>
          <w:b/>
          <w:color w:val="000000" w:themeColor="text1"/>
        </w:rPr>
        <w:t>等5人未參與同案被告</w:t>
      </w:r>
      <w:r>
        <w:rPr>
          <w:rFonts w:hint="eastAsia"/>
          <w:b/>
          <w:color w:val="000000" w:themeColor="text1"/>
        </w:rPr>
        <w:t>曾○榮</w:t>
      </w:r>
      <w:r w:rsidRPr="006C5E9F">
        <w:rPr>
          <w:rFonts w:hint="eastAsia"/>
          <w:b/>
          <w:color w:val="000000" w:themeColor="text1"/>
        </w:rPr>
        <w:t>等人所經營之吸金方案之招攬行為，已將不構成犯罪之理由逐一詳載於處分書，且依職權送臺灣高等法院檢察署再議，並經臺灣高等法院檢察署以103年</w:t>
      </w:r>
      <w:r w:rsidRPr="006C5E9F">
        <w:rPr>
          <w:b/>
          <w:color w:val="000000" w:themeColor="text1"/>
        </w:rPr>
        <w:t>11</w:t>
      </w:r>
      <w:r w:rsidRPr="006C5E9F">
        <w:rPr>
          <w:rFonts w:hint="eastAsia"/>
          <w:b/>
          <w:color w:val="000000" w:themeColor="text1"/>
        </w:rPr>
        <w:t>月</w:t>
      </w:r>
      <w:r w:rsidRPr="006C5E9F">
        <w:rPr>
          <w:b/>
          <w:color w:val="000000" w:themeColor="text1"/>
        </w:rPr>
        <w:t>4</w:t>
      </w:r>
      <w:r w:rsidRPr="006C5E9F">
        <w:rPr>
          <w:rFonts w:hint="eastAsia"/>
          <w:b/>
          <w:color w:val="000000" w:themeColor="text1"/>
        </w:rPr>
        <w:t>日</w:t>
      </w:r>
      <w:r w:rsidRPr="006C5E9F">
        <w:rPr>
          <w:b/>
          <w:color w:val="000000" w:themeColor="text1"/>
        </w:rPr>
        <w:t>103</w:t>
      </w:r>
      <w:r w:rsidRPr="006C5E9F">
        <w:rPr>
          <w:rFonts w:hint="eastAsia"/>
          <w:b/>
          <w:color w:val="000000" w:themeColor="text1"/>
        </w:rPr>
        <w:t>年度上聲議字第14678號駁回再議確定，尚難</w:t>
      </w:r>
      <w:r w:rsidRPr="006C5E9F">
        <w:rPr>
          <w:rFonts w:hint="eastAsia"/>
          <w:b/>
          <w:bCs w:val="0"/>
          <w:color w:val="000000" w:themeColor="text1"/>
        </w:rPr>
        <w:t>認有未善</w:t>
      </w:r>
      <w:r w:rsidRPr="006C5E9F">
        <w:rPr>
          <w:rFonts w:hint="eastAsia"/>
          <w:b/>
          <w:color w:val="000000" w:themeColor="text1"/>
        </w:rPr>
        <w:t>盡詳實調查之</w:t>
      </w:r>
      <w:r w:rsidRPr="006C5E9F">
        <w:rPr>
          <w:rFonts w:hint="eastAsia"/>
          <w:b/>
          <w:bCs w:val="0"/>
          <w:color w:val="000000" w:themeColor="text1"/>
        </w:rPr>
        <w:t>違失</w:t>
      </w:r>
      <w:r w:rsidRPr="006C5E9F">
        <w:rPr>
          <w:rFonts w:ascii="新細明體" w:eastAsia="新細明體" w:hAnsi="新細明體" w:hint="eastAsia"/>
          <w:b/>
          <w:bCs w:val="0"/>
          <w:color w:val="000000" w:themeColor="text1"/>
        </w:rPr>
        <w:t>。</w:t>
      </w:r>
    </w:p>
    <w:p w:rsidR="00434388" w:rsidRPr="006C5E9F" w:rsidRDefault="00434388" w:rsidP="00434388">
      <w:pPr>
        <w:pStyle w:val="3"/>
        <w:numPr>
          <w:ilvl w:val="2"/>
          <w:numId w:val="1"/>
        </w:numPr>
        <w:rPr>
          <w:rFonts w:ascii="Times New Roman" w:hAnsi="Times New Roman"/>
          <w:color w:val="000000" w:themeColor="text1"/>
        </w:rPr>
      </w:pPr>
      <w:r w:rsidRPr="006C5E9F">
        <w:rPr>
          <w:rFonts w:ascii="Times New Roman" w:hAnsi="Times New Roman"/>
          <w:color w:val="000000" w:themeColor="text1"/>
        </w:rPr>
        <w:t>按犯罪事實應依證據認定之，無證據不得認定犯罪事實</w:t>
      </w:r>
      <w:r w:rsidRPr="006C5E9F">
        <w:rPr>
          <w:rFonts w:ascii="Times New Roman" w:hAnsi="Times New Roman" w:hint="eastAsia"/>
          <w:color w:val="000000" w:themeColor="text1"/>
        </w:rPr>
        <w:t>，「</w:t>
      </w:r>
      <w:r w:rsidRPr="006C5E9F">
        <w:rPr>
          <w:rFonts w:ascii="Times New Roman" w:hAnsi="Times New Roman"/>
          <w:color w:val="000000" w:themeColor="text1"/>
        </w:rPr>
        <w:t>刑事訴訟法</w:t>
      </w:r>
      <w:r w:rsidRPr="006C5E9F">
        <w:rPr>
          <w:rFonts w:ascii="Times New Roman" w:hAnsi="Times New Roman" w:hint="eastAsia"/>
          <w:color w:val="000000" w:themeColor="text1"/>
        </w:rPr>
        <w:t>」</w:t>
      </w:r>
      <w:r w:rsidRPr="006C5E9F">
        <w:rPr>
          <w:rFonts w:ascii="Times New Roman" w:hAnsi="Times New Roman"/>
          <w:color w:val="000000" w:themeColor="text1"/>
        </w:rPr>
        <w:t>第</w:t>
      </w:r>
      <w:r w:rsidRPr="006C5E9F">
        <w:rPr>
          <w:rFonts w:ascii="Times New Roman" w:hAnsi="Times New Roman"/>
          <w:color w:val="000000" w:themeColor="text1"/>
        </w:rPr>
        <w:t>154</w:t>
      </w:r>
      <w:r w:rsidRPr="006C5E9F">
        <w:rPr>
          <w:rFonts w:ascii="Times New Roman" w:hAnsi="Times New Roman"/>
          <w:color w:val="000000" w:themeColor="text1"/>
        </w:rPr>
        <w:t>條第</w:t>
      </w:r>
      <w:r w:rsidRPr="006C5E9F">
        <w:rPr>
          <w:rFonts w:ascii="Times New Roman" w:hAnsi="Times New Roman"/>
          <w:color w:val="000000" w:themeColor="text1"/>
        </w:rPr>
        <w:t>2</w:t>
      </w:r>
      <w:r w:rsidRPr="006C5E9F">
        <w:rPr>
          <w:rFonts w:ascii="Times New Roman" w:hAnsi="Times New Roman"/>
          <w:color w:val="000000" w:themeColor="text1"/>
        </w:rPr>
        <w:t>項定有明文；</w:t>
      </w:r>
      <w:r w:rsidRPr="006C5E9F">
        <w:rPr>
          <w:rFonts w:ascii="Times New Roman" w:hAnsi="Times New Roman" w:hint="eastAsia"/>
          <w:color w:val="000000" w:themeColor="text1"/>
        </w:rPr>
        <w:t>另同法</w:t>
      </w:r>
      <w:r w:rsidRPr="006C5E9F">
        <w:rPr>
          <w:rFonts w:ascii="Times New Roman" w:hAnsi="Times New Roman"/>
          <w:color w:val="000000" w:themeColor="text1"/>
        </w:rPr>
        <w:t>第</w:t>
      </w:r>
      <w:r w:rsidRPr="006C5E9F">
        <w:rPr>
          <w:rFonts w:ascii="Times New Roman" w:hAnsi="Times New Roman"/>
          <w:color w:val="000000" w:themeColor="text1"/>
        </w:rPr>
        <w:t>251</w:t>
      </w:r>
      <w:r w:rsidRPr="006C5E9F">
        <w:rPr>
          <w:rFonts w:ascii="Times New Roman" w:hAnsi="Times New Roman"/>
          <w:color w:val="000000" w:themeColor="text1"/>
        </w:rPr>
        <w:t>條第</w:t>
      </w:r>
      <w:r w:rsidRPr="006C5E9F">
        <w:rPr>
          <w:rFonts w:ascii="Times New Roman" w:hAnsi="Times New Roman"/>
          <w:color w:val="000000" w:themeColor="text1"/>
        </w:rPr>
        <w:t>1</w:t>
      </w:r>
      <w:r w:rsidRPr="006C5E9F">
        <w:rPr>
          <w:rFonts w:ascii="Times New Roman" w:hAnsi="Times New Roman"/>
          <w:color w:val="000000" w:themeColor="text1"/>
        </w:rPr>
        <w:t>項規定：「檢察官依偵查所得之證據，足認被告有犯罪嫌疑者，應提起公訴。」第</w:t>
      </w:r>
      <w:r w:rsidRPr="006C5E9F">
        <w:rPr>
          <w:rFonts w:ascii="Times New Roman" w:hAnsi="Times New Roman"/>
          <w:color w:val="000000" w:themeColor="text1"/>
        </w:rPr>
        <w:t>25</w:t>
      </w:r>
      <w:r w:rsidRPr="006C5E9F">
        <w:rPr>
          <w:rFonts w:ascii="Times New Roman" w:hAnsi="Times New Roman" w:hint="eastAsia"/>
          <w:color w:val="000000" w:themeColor="text1"/>
        </w:rPr>
        <w:t>2</w:t>
      </w:r>
      <w:r w:rsidRPr="006C5E9F">
        <w:rPr>
          <w:rFonts w:ascii="Times New Roman" w:hAnsi="Times New Roman"/>
          <w:color w:val="000000" w:themeColor="text1"/>
        </w:rPr>
        <w:t>條第</w:t>
      </w:r>
      <w:r w:rsidRPr="006C5E9F">
        <w:rPr>
          <w:rFonts w:ascii="Times New Roman" w:hAnsi="Times New Roman"/>
          <w:color w:val="000000" w:themeColor="text1"/>
        </w:rPr>
        <w:t>1</w:t>
      </w:r>
      <w:r w:rsidRPr="006C5E9F">
        <w:rPr>
          <w:rFonts w:ascii="Times New Roman" w:hAnsi="Times New Roman" w:hint="eastAsia"/>
          <w:color w:val="000000" w:themeColor="text1"/>
        </w:rPr>
        <w:t>0</w:t>
      </w:r>
      <w:r w:rsidRPr="006C5E9F">
        <w:rPr>
          <w:rFonts w:ascii="Times New Roman" w:hAnsi="Times New Roman" w:hint="eastAsia"/>
          <w:color w:val="000000" w:themeColor="text1"/>
        </w:rPr>
        <w:t>款</w:t>
      </w:r>
      <w:r w:rsidRPr="006C5E9F">
        <w:rPr>
          <w:rFonts w:ascii="Times New Roman" w:hAnsi="Times New Roman"/>
          <w:color w:val="000000" w:themeColor="text1"/>
        </w:rPr>
        <w:t>規定：「</w:t>
      </w:r>
      <w:r w:rsidRPr="006C5E9F">
        <w:rPr>
          <w:rFonts w:hint="eastAsia"/>
          <w:color w:val="000000" w:themeColor="text1"/>
        </w:rPr>
        <w:t>案件有左列情形之一者，應為不起訴之處分：</w:t>
      </w:r>
      <w:r w:rsidRPr="006C5E9F">
        <w:rPr>
          <w:rFonts w:hAnsi="標楷體" w:hint="eastAsia"/>
          <w:color w:val="000000" w:themeColor="text1"/>
        </w:rPr>
        <w:t>……</w:t>
      </w:r>
      <w:r w:rsidRPr="006C5E9F">
        <w:rPr>
          <w:rFonts w:ascii="Times New Roman" w:hAnsi="Times New Roman" w:hint="eastAsia"/>
          <w:color w:val="000000" w:themeColor="text1"/>
        </w:rPr>
        <w:t>10</w:t>
      </w:r>
      <w:r w:rsidRPr="006C5E9F">
        <w:rPr>
          <w:rFonts w:ascii="新細明體" w:eastAsia="新細明體" w:hAnsi="新細明體" w:hint="eastAsia"/>
          <w:color w:val="000000" w:themeColor="text1"/>
        </w:rPr>
        <w:t>、</w:t>
      </w:r>
      <w:r w:rsidRPr="006C5E9F">
        <w:rPr>
          <w:rFonts w:hint="eastAsia"/>
          <w:color w:val="000000" w:themeColor="text1"/>
        </w:rPr>
        <w:t>犯罪嫌疑不足者。</w:t>
      </w:r>
      <w:r w:rsidRPr="006C5E9F">
        <w:rPr>
          <w:rFonts w:ascii="Times New Roman" w:hAnsi="Times New Roman"/>
          <w:color w:val="000000" w:themeColor="text1"/>
        </w:rPr>
        <w:t>」由上開法條規範可知，犯罪事實應依「證據」認定之</w:t>
      </w:r>
      <w:r w:rsidRPr="006C5E9F">
        <w:rPr>
          <w:rFonts w:ascii="Times New Roman" w:hAnsi="Times New Roman" w:hint="eastAsia"/>
          <w:color w:val="000000" w:themeColor="text1"/>
        </w:rPr>
        <w:t>，</w:t>
      </w:r>
      <w:r w:rsidRPr="006C5E9F">
        <w:rPr>
          <w:rFonts w:ascii="Times New Roman" w:hAnsi="Times New Roman"/>
          <w:color w:val="000000" w:themeColor="text1"/>
        </w:rPr>
        <w:t>檢察官依偵查所得之</w:t>
      </w:r>
      <w:r w:rsidRPr="006C5E9F">
        <w:rPr>
          <w:rFonts w:ascii="Times New Roman" w:hAnsi="Times New Roman" w:hint="eastAsia"/>
          <w:color w:val="000000" w:themeColor="text1"/>
        </w:rPr>
        <w:t>「</w:t>
      </w:r>
      <w:r w:rsidRPr="006C5E9F">
        <w:rPr>
          <w:rFonts w:ascii="Times New Roman" w:hAnsi="Times New Roman"/>
          <w:color w:val="000000" w:themeColor="text1"/>
        </w:rPr>
        <w:t>證據</w:t>
      </w:r>
      <w:r w:rsidRPr="006C5E9F">
        <w:rPr>
          <w:rFonts w:ascii="Times New Roman" w:hAnsi="Times New Roman" w:hint="eastAsia"/>
          <w:color w:val="000000" w:themeColor="text1"/>
        </w:rPr>
        <w:t>」</w:t>
      </w:r>
      <w:r w:rsidRPr="006C5E9F">
        <w:rPr>
          <w:rFonts w:ascii="Times New Roman" w:hAnsi="Times New Roman"/>
          <w:color w:val="000000" w:themeColor="text1"/>
        </w:rPr>
        <w:t>，足認被告有犯罪嫌疑</w:t>
      </w:r>
      <w:r w:rsidRPr="006C5E9F">
        <w:rPr>
          <w:rFonts w:ascii="Times New Roman" w:hAnsi="Times New Roman"/>
          <w:color w:val="000000" w:themeColor="text1"/>
        </w:rPr>
        <w:lastRenderedPageBreak/>
        <w:t>者，</w:t>
      </w:r>
      <w:r w:rsidRPr="006C5E9F">
        <w:rPr>
          <w:rFonts w:ascii="Times New Roman" w:hAnsi="Times New Roman" w:hint="eastAsia"/>
          <w:color w:val="000000" w:themeColor="text1"/>
        </w:rPr>
        <w:t>即</w:t>
      </w:r>
      <w:r w:rsidRPr="006C5E9F">
        <w:rPr>
          <w:rFonts w:ascii="Times New Roman" w:hAnsi="Times New Roman"/>
          <w:color w:val="000000" w:themeColor="text1"/>
        </w:rPr>
        <w:t>應</w:t>
      </w:r>
      <w:r w:rsidRPr="006C5E9F">
        <w:rPr>
          <w:rFonts w:ascii="Times New Roman" w:hAnsi="Times New Roman" w:hint="eastAsia"/>
          <w:color w:val="000000" w:themeColor="text1"/>
        </w:rPr>
        <w:t>依法</w:t>
      </w:r>
      <w:r w:rsidRPr="006C5E9F">
        <w:rPr>
          <w:rFonts w:ascii="Times New Roman" w:hAnsi="Times New Roman"/>
          <w:color w:val="000000" w:themeColor="text1"/>
        </w:rPr>
        <w:t>提起公訴。</w:t>
      </w:r>
      <w:r w:rsidRPr="006C5E9F">
        <w:rPr>
          <w:rFonts w:ascii="Times New Roman" w:hAnsi="Times New Roman" w:hint="eastAsia"/>
          <w:color w:val="000000" w:themeColor="text1"/>
        </w:rPr>
        <w:t>惟如</w:t>
      </w:r>
      <w:r w:rsidRPr="006C5E9F">
        <w:rPr>
          <w:rFonts w:ascii="Times New Roman" w:hAnsi="Times New Roman"/>
          <w:color w:val="000000" w:themeColor="text1"/>
        </w:rPr>
        <w:t>沒有「證據」</w:t>
      </w:r>
      <w:r w:rsidRPr="006C5E9F">
        <w:rPr>
          <w:rFonts w:ascii="Times New Roman" w:hAnsi="Times New Roman" w:hint="eastAsia"/>
          <w:color w:val="000000" w:themeColor="text1"/>
        </w:rPr>
        <w:t>足以</w:t>
      </w:r>
      <w:r w:rsidRPr="006C5E9F">
        <w:rPr>
          <w:rFonts w:ascii="Times New Roman" w:hAnsi="Times New Roman"/>
          <w:color w:val="000000" w:themeColor="text1"/>
        </w:rPr>
        <w:t>認定被告有犯罪事實</w:t>
      </w:r>
      <w:r w:rsidRPr="006C5E9F">
        <w:rPr>
          <w:rFonts w:ascii="Times New Roman" w:hAnsi="Times New Roman" w:hint="eastAsia"/>
          <w:color w:val="000000" w:themeColor="text1"/>
        </w:rPr>
        <w:t>，則</w:t>
      </w:r>
      <w:r w:rsidRPr="006C5E9F">
        <w:rPr>
          <w:rFonts w:ascii="Times New Roman" w:hAnsi="Times New Roman"/>
          <w:color w:val="000000" w:themeColor="text1"/>
        </w:rPr>
        <w:t>應</w:t>
      </w:r>
      <w:r w:rsidRPr="006C5E9F">
        <w:rPr>
          <w:rFonts w:ascii="Times New Roman" w:hAnsi="Times New Roman" w:hint="eastAsia"/>
          <w:color w:val="000000" w:themeColor="text1"/>
        </w:rPr>
        <w:t>依法</w:t>
      </w:r>
      <w:r w:rsidRPr="006C5E9F">
        <w:rPr>
          <w:rFonts w:hint="eastAsia"/>
          <w:color w:val="000000" w:themeColor="text1"/>
        </w:rPr>
        <w:t>為不起訴之處分</w:t>
      </w:r>
      <w:r w:rsidRPr="006C5E9F">
        <w:rPr>
          <w:rFonts w:ascii="Times New Roman" w:hAnsi="Times New Roman"/>
          <w:color w:val="000000" w:themeColor="text1"/>
        </w:rPr>
        <w:t>。</w:t>
      </w:r>
      <w:r w:rsidRPr="006C5E9F">
        <w:rPr>
          <w:rFonts w:hint="eastAsia"/>
          <w:color w:val="000000" w:themeColor="text1"/>
        </w:rPr>
        <w:t>又認定不利於被告之事實，須依積極證據，茍積極證據不足為不利於被告事實之認定時，即應為有利於被告之認定，更不必有何有利之證據，最高法院著有</w:t>
      </w:r>
      <w:r w:rsidRPr="006C5E9F">
        <w:rPr>
          <w:color w:val="000000" w:themeColor="text1"/>
        </w:rPr>
        <w:t>30</w:t>
      </w:r>
      <w:r w:rsidRPr="006C5E9F">
        <w:rPr>
          <w:rFonts w:hint="eastAsia"/>
          <w:color w:val="000000" w:themeColor="text1"/>
        </w:rPr>
        <w:t>年上字第</w:t>
      </w:r>
      <w:r w:rsidRPr="006C5E9F">
        <w:rPr>
          <w:color w:val="000000" w:themeColor="text1"/>
        </w:rPr>
        <w:t>816</w:t>
      </w:r>
      <w:r w:rsidRPr="006C5E9F">
        <w:rPr>
          <w:rFonts w:hint="eastAsia"/>
          <w:color w:val="000000" w:themeColor="text1"/>
        </w:rPr>
        <w:t>號判例足資參照。</w:t>
      </w:r>
    </w:p>
    <w:p w:rsidR="00434388" w:rsidRPr="006C5E9F" w:rsidRDefault="00434388" w:rsidP="00434388">
      <w:pPr>
        <w:pStyle w:val="3"/>
        <w:numPr>
          <w:ilvl w:val="2"/>
          <w:numId w:val="1"/>
        </w:numPr>
      </w:pPr>
      <w:r w:rsidRPr="006C5E9F">
        <w:t>經查，</w:t>
      </w:r>
      <w:r w:rsidRPr="006C5E9F">
        <w:rPr>
          <w:rFonts w:hint="eastAsia"/>
        </w:rPr>
        <w:t>有關臺北地檢署檢察官103年度偵字第2398號不起訴處分書，關於徐</w:t>
      </w:r>
      <w:r w:rsidRPr="007F1420">
        <w:rPr>
          <w:rFonts w:hint="eastAsia"/>
          <w:color w:val="000000" w:themeColor="text1"/>
        </w:rPr>
        <w:t>○</w:t>
      </w:r>
      <w:r w:rsidRPr="006C5E9F">
        <w:rPr>
          <w:rFonts w:hint="eastAsia"/>
        </w:rPr>
        <w:t>倫、李</w:t>
      </w:r>
      <w:r w:rsidRPr="007F1420">
        <w:rPr>
          <w:rFonts w:hint="eastAsia"/>
        </w:rPr>
        <w:t>○</w:t>
      </w:r>
      <w:r w:rsidRPr="006C5E9F">
        <w:rPr>
          <w:rFonts w:hint="eastAsia"/>
        </w:rPr>
        <w:t>慈、吳</w:t>
      </w:r>
      <w:r w:rsidRPr="007F1420">
        <w:rPr>
          <w:rFonts w:hint="eastAsia"/>
        </w:rPr>
        <w:t>○</w:t>
      </w:r>
      <w:r w:rsidRPr="006C5E9F">
        <w:rPr>
          <w:rFonts w:hint="eastAsia"/>
        </w:rPr>
        <w:t>男、梁</w:t>
      </w:r>
      <w:r w:rsidRPr="007F1420">
        <w:rPr>
          <w:rFonts w:hint="eastAsia"/>
        </w:rPr>
        <w:t>○</w:t>
      </w:r>
      <w:r w:rsidRPr="006C5E9F">
        <w:rPr>
          <w:rFonts w:hint="eastAsia"/>
        </w:rPr>
        <w:t>智及黃</w:t>
      </w:r>
      <w:r w:rsidRPr="007F1420">
        <w:rPr>
          <w:rFonts w:hint="eastAsia"/>
        </w:rPr>
        <w:t>○</w:t>
      </w:r>
      <w:r w:rsidRPr="006C5E9F">
        <w:rPr>
          <w:rFonts w:hint="eastAsia"/>
        </w:rPr>
        <w:t>慈等5人被訴違反「銀行法」案件，不起訴理由</w:t>
      </w:r>
      <w:r w:rsidRPr="006C5E9F">
        <w:t>略以</w:t>
      </w:r>
      <w:r w:rsidRPr="006C5E9F">
        <w:rPr>
          <w:rFonts w:hint="eastAsia"/>
        </w:rPr>
        <w:t>：「訊據被告徐</w:t>
      </w:r>
      <w:r w:rsidRPr="007F1420">
        <w:rPr>
          <w:rFonts w:hint="eastAsia"/>
        </w:rPr>
        <w:t>○</w:t>
      </w:r>
      <w:r w:rsidRPr="006C5E9F">
        <w:rPr>
          <w:rFonts w:hint="eastAsia"/>
        </w:rPr>
        <w:t>倫、李</w:t>
      </w:r>
      <w:r w:rsidRPr="007F1420">
        <w:rPr>
          <w:rFonts w:hint="eastAsia"/>
        </w:rPr>
        <w:t>○</w:t>
      </w:r>
      <w:r w:rsidRPr="006C5E9F">
        <w:rPr>
          <w:rFonts w:hint="eastAsia"/>
        </w:rPr>
        <w:t>慈、吳</w:t>
      </w:r>
      <w:r w:rsidRPr="007F1420">
        <w:rPr>
          <w:rFonts w:hint="eastAsia"/>
        </w:rPr>
        <w:t>○</w:t>
      </w:r>
      <w:r w:rsidRPr="006C5E9F">
        <w:rPr>
          <w:rFonts w:hint="eastAsia"/>
        </w:rPr>
        <w:t>男、梁</w:t>
      </w:r>
      <w:r w:rsidRPr="007F1420">
        <w:rPr>
          <w:rFonts w:hint="eastAsia"/>
        </w:rPr>
        <w:t>○</w:t>
      </w:r>
      <w:r w:rsidRPr="006C5E9F">
        <w:rPr>
          <w:rFonts w:hint="eastAsia"/>
        </w:rPr>
        <w:t>智及黃</w:t>
      </w:r>
      <w:r w:rsidRPr="007F1420">
        <w:rPr>
          <w:rFonts w:hint="eastAsia"/>
        </w:rPr>
        <w:t>○</w:t>
      </w:r>
      <w:r w:rsidRPr="006C5E9F">
        <w:rPr>
          <w:rFonts w:hint="eastAsia"/>
        </w:rPr>
        <w:t>慈均堅詞否認有何違反『銀行法』之犯行，被告</w:t>
      </w:r>
      <w:r>
        <w:rPr>
          <w:rFonts w:hint="eastAsia"/>
        </w:rPr>
        <w:t>徐○倫</w:t>
      </w:r>
      <w:r w:rsidRPr="006C5E9F">
        <w:rPr>
          <w:rFonts w:hint="eastAsia"/>
        </w:rPr>
        <w:t>辯稱：伊係『銀河紅利股份有限公司』之實際負責人，從事國際型渡假城內的賭廳或開發業務，與</w:t>
      </w:r>
      <w:r>
        <w:rPr>
          <w:rFonts w:hint="eastAsia"/>
        </w:rPr>
        <w:t>曾○榮</w:t>
      </w:r>
      <w:r w:rsidRPr="006C5E9F">
        <w:rPr>
          <w:rFonts w:hint="eastAsia"/>
        </w:rPr>
        <w:t>係朋友，</w:t>
      </w:r>
      <w:r>
        <w:rPr>
          <w:rFonts w:hint="eastAsia"/>
        </w:rPr>
        <w:t>曾○榮</w:t>
      </w:r>
      <w:r w:rsidRPr="006C5E9F">
        <w:rPr>
          <w:rFonts w:hint="eastAsia"/>
        </w:rPr>
        <w:t>會帶朋友去澳門、越南或新加坡賭博，他們輸了，伊會代付，回到台灣</w:t>
      </w:r>
      <w:r>
        <w:rPr>
          <w:rFonts w:hint="eastAsia"/>
        </w:rPr>
        <w:t>曾○榮</w:t>
      </w:r>
      <w:r w:rsidRPr="006C5E9F">
        <w:rPr>
          <w:rFonts w:hint="eastAsia"/>
        </w:rPr>
        <w:t>就必須把錢還伊，所以才會跟</w:t>
      </w:r>
      <w:r>
        <w:rPr>
          <w:rFonts w:hint="eastAsia"/>
        </w:rPr>
        <w:t>曾○榮</w:t>
      </w:r>
      <w:r w:rsidRPr="006C5E9F">
        <w:rPr>
          <w:rFonts w:hint="eastAsia"/>
        </w:rPr>
        <w:t>有金錢往來等語</w:t>
      </w:r>
      <w:r w:rsidRPr="006C5E9F">
        <w:rPr>
          <w:rFonts w:ascii="新細明體" w:eastAsia="新細明體" w:hAnsi="新細明體" w:hint="eastAsia"/>
        </w:rPr>
        <w:t>；</w:t>
      </w:r>
      <w:r w:rsidRPr="006C5E9F">
        <w:rPr>
          <w:rFonts w:hint="eastAsia"/>
        </w:rPr>
        <w:t>被告李</w:t>
      </w:r>
      <w:r w:rsidRPr="007F1420">
        <w:rPr>
          <w:rFonts w:hint="eastAsia"/>
        </w:rPr>
        <w:t>○</w:t>
      </w:r>
      <w:r w:rsidRPr="006C5E9F">
        <w:rPr>
          <w:rFonts w:hint="eastAsia"/>
        </w:rPr>
        <w:t>慈辯稱</w:t>
      </w:r>
      <w:r w:rsidRPr="006C5E9F">
        <w:rPr>
          <w:rFonts w:hAnsi="標楷體" w:hint="eastAsia"/>
        </w:rPr>
        <w:t>：</w:t>
      </w:r>
      <w:r w:rsidRPr="006C5E9F">
        <w:rPr>
          <w:rFonts w:hint="eastAsia"/>
        </w:rPr>
        <w:t>伊受僱於徐</w:t>
      </w:r>
      <w:r w:rsidRPr="007F1420">
        <w:rPr>
          <w:rFonts w:hint="eastAsia"/>
        </w:rPr>
        <w:t>○</w:t>
      </w:r>
      <w:r w:rsidRPr="006C5E9F">
        <w:rPr>
          <w:rFonts w:hint="eastAsia"/>
        </w:rPr>
        <w:t>倫擔任行政助理，並負責管帳，並未與</w:t>
      </w:r>
      <w:r>
        <w:rPr>
          <w:rFonts w:hint="eastAsia"/>
        </w:rPr>
        <w:t>曾○榮</w:t>
      </w:r>
      <w:r w:rsidRPr="006C5E9F">
        <w:rPr>
          <w:rFonts w:hint="eastAsia"/>
        </w:rPr>
        <w:t>等人共同招攬不特定人士投資等語</w:t>
      </w:r>
      <w:r w:rsidRPr="006C5E9F">
        <w:rPr>
          <w:rFonts w:ascii="新細明體" w:eastAsia="新細明體" w:hAnsi="新細明體" w:hint="eastAsia"/>
        </w:rPr>
        <w:t>；</w:t>
      </w:r>
      <w:r w:rsidRPr="006C5E9F">
        <w:rPr>
          <w:rFonts w:hint="eastAsia"/>
        </w:rPr>
        <w:t>被告吳</w:t>
      </w:r>
      <w:r w:rsidRPr="007F1420">
        <w:rPr>
          <w:rFonts w:hint="eastAsia"/>
        </w:rPr>
        <w:t>○</w:t>
      </w:r>
      <w:r w:rsidRPr="006C5E9F">
        <w:rPr>
          <w:rFonts w:hint="eastAsia"/>
        </w:rPr>
        <w:t>男辯稱：係向被告徐</w:t>
      </w:r>
      <w:r w:rsidRPr="007F1420">
        <w:rPr>
          <w:rFonts w:hint="eastAsia"/>
        </w:rPr>
        <w:t>○</w:t>
      </w:r>
      <w:r w:rsidRPr="006C5E9F">
        <w:rPr>
          <w:rFonts w:hint="eastAsia"/>
        </w:rPr>
        <w:t>倫借款，並未與</w:t>
      </w:r>
      <w:r>
        <w:rPr>
          <w:rFonts w:hint="eastAsia"/>
        </w:rPr>
        <w:t>曾○榮</w:t>
      </w:r>
      <w:r w:rsidRPr="006C5E9F">
        <w:rPr>
          <w:rFonts w:hint="eastAsia"/>
        </w:rPr>
        <w:t>等人共同招攬不特定人士投資等語</w:t>
      </w:r>
      <w:r w:rsidRPr="006C5E9F">
        <w:rPr>
          <w:rFonts w:ascii="新細明體" w:eastAsia="新細明體" w:hAnsi="新細明體" w:hint="eastAsia"/>
        </w:rPr>
        <w:t>；</w:t>
      </w:r>
      <w:r w:rsidRPr="006C5E9F">
        <w:rPr>
          <w:rFonts w:hint="eastAsia"/>
        </w:rPr>
        <w:t>被告梁</w:t>
      </w:r>
      <w:r w:rsidRPr="007F1420">
        <w:rPr>
          <w:rFonts w:hint="eastAsia"/>
        </w:rPr>
        <w:t>○</w:t>
      </w:r>
      <w:r w:rsidRPr="006C5E9F">
        <w:rPr>
          <w:rFonts w:hint="eastAsia"/>
        </w:rPr>
        <w:t>智辯稱：伊並未與</w:t>
      </w:r>
      <w:r>
        <w:rPr>
          <w:rFonts w:hint="eastAsia"/>
        </w:rPr>
        <w:t>曾○榮</w:t>
      </w:r>
      <w:r w:rsidRPr="006C5E9F">
        <w:rPr>
          <w:rFonts w:hint="eastAsia"/>
        </w:rPr>
        <w:t>等人共同招攬他人投資圈購股票，伊僅係與黃</w:t>
      </w:r>
      <w:r w:rsidRPr="007F1420">
        <w:rPr>
          <w:rFonts w:hint="eastAsia"/>
        </w:rPr>
        <w:t>○</w:t>
      </w:r>
      <w:r w:rsidRPr="006C5E9F">
        <w:rPr>
          <w:rFonts w:hint="eastAsia"/>
        </w:rPr>
        <w:t>慈合開</w:t>
      </w:r>
      <w:r w:rsidRPr="006C5E9F">
        <w:rPr>
          <w:rFonts w:ascii="新細明體" w:eastAsia="新細明體" w:hAnsi="新細明體" w:hint="eastAsia"/>
        </w:rPr>
        <w:t>『</w:t>
      </w:r>
      <w:r w:rsidRPr="006C5E9F">
        <w:rPr>
          <w:rFonts w:hint="eastAsia"/>
        </w:rPr>
        <w:t>昇亞公司</w:t>
      </w:r>
      <w:r w:rsidRPr="006C5E9F">
        <w:rPr>
          <w:rFonts w:ascii="新細明體" w:eastAsia="新細明體" w:hAnsi="新細明體" w:hint="eastAsia"/>
        </w:rPr>
        <w:t>』</w:t>
      </w:r>
      <w:r w:rsidRPr="006C5E9F">
        <w:rPr>
          <w:rFonts w:hint="eastAsia"/>
        </w:rPr>
        <w:t>找人共同投資圈購股票，但買賣盈虧自負，有少數是賠錢等語；被告黃</w:t>
      </w:r>
      <w:r w:rsidRPr="007F1420">
        <w:rPr>
          <w:rFonts w:hint="eastAsia"/>
        </w:rPr>
        <w:t>○</w:t>
      </w:r>
      <w:r w:rsidRPr="006C5E9F">
        <w:rPr>
          <w:rFonts w:hint="eastAsia"/>
        </w:rPr>
        <w:t>慈辯稱：伊與梁</w:t>
      </w:r>
      <w:r w:rsidRPr="007F1420">
        <w:rPr>
          <w:rFonts w:hint="eastAsia"/>
        </w:rPr>
        <w:t>○</w:t>
      </w:r>
      <w:r w:rsidRPr="006C5E9F">
        <w:rPr>
          <w:rFonts w:hint="eastAsia"/>
        </w:rPr>
        <w:t>智係朋友，</w:t>
      </w:r>
      <w:r w:rsidRPr="006C5E9F">
        <w:rPr>
          <w:rFonts w:ascii="新細明體" w:eastAsia="新細明體" w:hAnsi="新細明體" w:hint="eastAsia"/>
        </w:rPr>
        <w:t>『</w:t>
      </w:r>
      <w:r w:rsidRPr="006C5E9F">
        <w:rPr>
          <w:rFonts w:hint="eastAsia"/>
        </w:rPr>
        <w:t>昇亞公司</w:t>
      </w:r>
      <w:r w:rsidRPr="006C5E9F">
        <w:rPr>
          <w:rFonts w:ascii="新細明體" w:eastAsia="新細明體" w:hAnsi="新細明體" w:hint="eastAsia"/>
        </w:rPr>
        <w:t>』</w:t>
      </w:r>
      <w:r w:rsidRPr="006C5E9F">
        <w:rPr>
          <w:rFonts w:hint="eastAsia"/>
        </w:rPr>
        <w:t>係梁</w:t>
      </w:r>
      <w:r w:rsidRPr="007F1420">
        <w:rPr>
          <w:rFonts w:hint="eastAsia"/>
        </w:rPr>
        <w:t>○</w:t>
      </w:r>
      <w:r w:rsidRPr="006C5E9F">
        <w:rPr>
          <w:rFonts w:hint="eastAsia"/>
        </w:rPr>
        <w:t>智擔任實際負責人，並未與</w:t>
      </w:r>
      <w:r>
        <w:rPr>
          <w:rFonts w:hint="eastAsia"/>
        </w:rPr>
        <w:t>曾○榮</w:t>
      </w:r>
      <w:r w:rsidRPr="006C5E9F">
        <w:rPr>
          <w:rFonts w:hint="eastAsia"/>
        </w:rPr>
        <w:t>等人共同吸金等語。經查：同案被告</w:t>
      </w:r>
      <w:r>
        <w:rPr>
          <w:rFonts w:hint="eastAsia"/>
        </w:rPr>
        <w:t>曾○榮</w:t>
      </w:r>
      <w:r w:rsidRPr="006C5E9F">
        <w:rPr>
          <w:rFonts w:hint="eastAsia"/>
        </w:rPr>
        <w:t>供稱被告</w:t>
      </w:r>
      <w:r>
        <w:rPr>
          <w:rFonts w:hint="eastAsia"/>
        </w:rPr>
        <w:t>徐○倫</w:t>
      </w:r>
      <w:r w:rsidRPr="006C5E9F">
        <w:rPr>
          <w:rFonts w:hint="eastAsia"/>
        </w:rPr>
        <w:t>等人並未參與招攬不特定人士投資之義務，核與被告</w:t>
      </w:r>
      <w:r>
        <w:rPr>
          <w:rFonts w:hint="eastAsia"/>
        </w:rPr>
        <w:t>徐○倫</w:t>
      </w:r>
      <w:r w:rsidRPr="006C5E9F">
        <w:rPr>
          <w:rFonts w:hint="eastAsia"/>
        </w:rPr>
        <w:t>等人前揭所辯相符；且查無任何投資人係透過被告</w:t>
      </w:r>
      <w:r>
        <w:rPr>
          <w:rFonts w:hint="eastAsia"/>
        </w:rPr>
        <w:t>徐○倫</w:t>
      </w:r>
      <w:r w:rsidRPr="006C5E9F">
        <w:rPr>
          <w:rFonts w:hint="eastAsia"/>
        </w:rPr>
        <w:t>等人招攬而投資，復查</w:t>
      </w:r>
      <w:r w:rsidRPr="006C5E9F">
        <w:rPr>
          <w:rFonts w:hint="eastAsia"/>
        </w:rPr>
        <w:lastRenderedPageBreak/>
        <w:t>無被告</w:t>
      </w:r>
      <w:r>
        <w:rPr>
          <w:rFonts w:hint="eastAsia"/>
        </w:rPr>
        <w:t>黃○慈</w:t>
      </w:r>
      <w:r w:rsidRPr="006C5E9F">
        <w:rPr>
          <w:rFonts w:hint="eastAsia"/>
        </w:rPr>
        <w:t>或</w:t>
      </w:r>
      <w:r>
        <w:rPr>
          <w:rFonts w:hint="eastAsia"/>
        </w:rPr>
        <w:t>梁○智</w:t>
      </w:r>
      <w:r w:rsidRPr="006C5E9F">
        <w:rPr>
          <w:rFonts w:hint="eastAsia"/>
        </w:rPr>
        <w:t>招攬他人投資有約定或給付與本金顯不相當之紅利，是被告</w:t>
      </w:r>
      <w:r>
        <w:rPr>
          <w:rFonts w:hint="eastAsia"/>
        </w:rPr>
        <w:t>徐○倫</w:t>
      </w:r>
      <w:r w:rsidRPr="006C5E9F">
        <w:rPr>
          <w:rFonts w:hint="eastAsia"/>
        </w:rPr>
        <w:t>等5人所辯未參與同案被告</w:t>
      </w:r>
      <w:r>
        <w:rPr>
          <w:rFonts w:hint="eastAsia"/>
        </w:rPr>
        <w:t>曾○榮</w:t>
      </w:r>
      <w:r w:rsidRPr="006C5E9F">
        <w:rPr>
          <w:rFonts w:hint="eastAsia"/>
        </w:rPr>
        <w:t>等人所經營之上開吸金方案之招攬等語，尚非無稽，故尚難率認被告</w:t>
      </w:r>
      <w:r>
        <w:rPr>
          <w:rFonts w:hint="eastAsia"/>
        </w:rPr>
        <w:t>徐○倫</w:t>
      </w:r>
      <w:r w:rsidRPr="006C5E9F">
        <w:rPr>
          <w:rFonts w:hint="eastAsia"/>
        </w:rPr>
        <w:t>等5人與同案被告</w:t>
      </w:r>
      <w:r>
        <w:rPr>
          <w:rFonts w:hint="eastAsia"/>
        </w:rPr>
        <w:t>曾○榮</w:t>
      </w:r>
      <w:r w:rsidRPr="006C5E9F">
        <w:rPr>
          <w:rFonts w:hint="eastAsia"/>
        </w:rPr>
        <w:t>等人間具有何犯意聯絡或行為分擔，自難令渠等擔負上開罪責。綜上所述，被告等所辯，尚非無據，應堪採信。此外復查無其他積極證據足認被告</w:t>
      </w:r>
      <w:r>
        <w:rPr>
          <w:rFonts w:hint="eastAsia"/>
        </w:rPr>
        <w:t>徐○倫</w:t>
      </w:r>
      <w:r w:rsidRPr="006C5E9F">
        <w:rPr>
          <w:rFonts w:hint="eastAsia"/>
        </w:rPr>
        <w:t>等5人有何上開犯行，應認被告</w:t>
      </w:r>
      <w:r>
        <w:rPr>
          <w:rFonts w:hint="eastAsia"/>
        </w:rPr>
        <w:t>徐○倫</w:t>
      </w:r>
      <w:r w:rsidRPr="006C5E9F">
        <w:rPr>
          <w:rFonts w:hint="eastAsia"/>
        </w:rPr>
        <w:t>等5人犯罪嫌疑不足。」</w:t>
      </w:r>
    </w:p>
    <w:p w:rsidR="00434388" w:rsidRPr="006C5E9F" w:rsidRDefault="00434388" w:rsidP="00434388">
      <w:pPr>
        <w:pStyle w:val="3"/>
        <w:numPr>
          <w:ilvl w:val="2"/>
          <w:numId w:val="1"/>
        </w:numPr>
        <w:rPr>
          <w:color w:val="000000" w:themeColor="text1"/>
        </w:rPr>
      </w:pPr>
      <w:r w:rsidRPr="006C5E9F">
        <w:rPr>
          <w:rFonts w:hint="eastAsia"/>
          <w:color w:val="000000" w:themeColor="text1"/>
        </w:rPr>
        <w:t>又本案嗣經本院於106年10月25日派員赴最高法院調閱本案偵審相關卷證資料，並據法務部查復說明略以</w:t>
      </w:r>
      <w:r w:rsidRPr="006C5E9F">
        <w:rPr>
          <w:rFonts w:hAnsi="標楷體" w:hint="eastAsia"/>
          <w:color w:val="000000" w:themeColor="text1"/>
        </w:rPr>
        <w:t>：「</w:t>
      </w:r>
      <w:r w:rsidRPr="006C5E9F">
        <w:rPr>
          <w:rFonts w:hint="eastAsia"/>
          <w:color w:val="000000" w:themeColor="text1"/>
        </w:rPr>
        <w:t>同案被告</w:t>
      </w:r>
      <w:r>
        <w:rPr>
          <w:rFonts w:hint="eastAsia"/>
          <w:color w:val="000000" w:themeColor="text1"/>
        </w:rPr>
        <w:t>曾○榮</w:t>
      </w:r>
      <w:r w:rsidRPr="006C5E9F">
        <w:rPr>
          <w:rFonts w:hint="eastAsia"/>
          <w:color w:val="000000" w:themeColor="text1"/>
        </w:rPr>
        <w:t>供稱被告</w:t>
      </w:r>
      <w:r>
        <w:rPr>
          <w:rFonts w:hint="eastAsia"/>
          <w:color w:val="000000" w:themeColor="text1"/>
        </w:rPr>
        <w:t>徐○倫</w:t>
      </w:r>
      <w:r w:rsidRPr="006C5E9F">
        <w:rPr>
          <w:rFonts w:hint="eastAsia"/>
          <w:color w:val="000000" w:themeColor="text1"/>
        </w:rPr>
        <w:t>等並未參與招攬不特定人士投資，且查無任何投資人係透過被告</w:t>
      </w:r>
      <w:r>
        <w:rPr>
          <w:rFonts w:hint="eastAsia"/>
          <w:color w:val="000000" w:themeColor="text1"/>
        </w:rPr>
        <w:t>徐○倫</w:t>
      </w:r>
      <w:r w:rsidRPr="006C5E9F">
        <w:rPr>
          <w:rFonts w:hint="eastAsia"/>
          <w:color w:val="000000" w:themeColor="text1"/>
        </w:rPr>
        <w:t>等人招攬而投資，復查無被告</w:t>
      </w:r>
      <w:r>
        <w:rPr>
          <w:rFonts w:hint="eastAsia"/>
          <w:color w:val="000000" w:themeColor="text1"/>
        </w:rPr>
        <w:t>黃○慈</w:t>
      </w:r>
      <w:r w:rsidRPr="006C5E9F">
        <w:rPr>
          <w:rFonts w:hint="eastAsia"/>
          <w:color w:val="000000" w:themeColor="text1"/>
        </w:rPr>
        <w:t>或</w:t>
      </w:r>
      <w:r>
        <w:rPr>
          <w:rFonts w:hint="eastAsia"/>
          <w:color w:val="000000" w:themeColor="text1"/>
        </w:rPr>
        <w:t>梁○智</w:t>
      </w:r>
      <w:r w:rsidRPr="006C5E9F">
        <w:rPr>
          <w:rFonts w:hint="eastAsia"/>
          <w:color w:val="000000" w:themeColor="text1"/>
        </w:rPr>
        <w:t>招攬他人投資有約定或給付與本金顯不相當之紅利，足認被告</w:t>
      </w:r>
      <w:r>
        <w:rPr>
          <w:rFonts w:hint="eastAsia"/>
          <w:color w:val="000000" w:themeColor="text1"/>
        </w:rPr>
        <w:t>徐○倫</w:t>
      </w:r>
      <w:r w:rsidRPr="006C5E9F">
        <w:rPr>
          <w:rFonts w:hint="eastAsia"/>
          <w:color w:val="000000" w:themeColor="text1"/>
        </w:rPr>
        <w:t>等5人未參與同案被告</w:t>
      </w:r>
      <w:r>
        <w:rPr>
          <w:rFonts w:hint="eastAsia"/>
          <w:color w:val="000000" w:themeColor="text1"/>
        </w:rPr>
        <w:t>曾○榮</w:t>
      </w:r>
      <w:r w:rsidRPr="006C5E9F">
        <w:rPr>
          <w:rFonts w:hint="eastAsia"/>
          <w:color w:val="000000" w:themeColor="text1"/>
        </w:rPr>
        <w:t>等人所經營之吸金方案之招攬行為尚非無稽，而無犯意聯絡或行為分擔。經臺北地檢署檢察官於</w:t>
      </w:r>
      <w:r w:rsidRPr="006C5E9F">
        <w:rPr>
          <w:color w:val="000000" w:themeColor="text1"/>
        </w:rPr>
        <w:t>103</w:t>
      </w:r>
      <w:r w:rsidRPr="006C5E9F">
        <w:rPr>
          <w:rFonts w:hint="eastAsia"/>
          <w:color w:val="000000" w:themeColor="text1"/>
        </w:rPr>
        <w:t>年</w:t>
      </w:r>
      <w:r w:rsidRPr="006C5E9F">
        <w:rPr>
          <w:color w:val="000000" w:themeColor="text1"/>
        </w:rPr>
        <w:t>7</w:t>
      </w:r>
      <w:r w:rsidRPr="006C5E9F">
        <w:rPr>
          <w:rFonts w:hint="eastAsia"/>
          <w:color w:val="000000" w:themeColor="text1"/>
        </w:rPr>
        <w:t>月</w:t>
      </w:r>
      <w:r w:rsidRPr="006C5E9F">
        <w:rPr>
          <w:color w:val="000000" w:themeColor="text1"/>
        </w:rPr>
        <w:t>11</w:t>
      </w:r>
      <w:r w:rsidRPr="006C5E9F">
        <w:rPr>
          <w:rFonts w:hint="eastAsia"/>
          <w:color w:val="000000" w:themeColor="text1"/>
        </w:rPr>
        <w:t>日以1</w:t>
      </w:r>
      <w:r w:rsidRPr="006C5E9F">
        <w:rPr>
          <w:color w:val="000000" w:themeColor="text1"/>
        </w:rPr>
        <w:t>O3</w:t>
      </w:r>
      <w:r w:rsidRPr="006C5E9F">
        <w:rPr>
          <w:rFonts w:hint="eastAsia"/>
          <w:color w:val="000000" w:themeColor="text1"/>
        </w:rPr>
        <w:t>年度偵字第</w:t>
      </w:r>
      <w:r w:rsidRPr="006C5E9F">
        <w:rPr>
          <w:color w:val="000000" w:themeColor="text1"/>
        </w:rPr>
        <w:t>2398</w:t>
      </w:r>
      <w:r w:rsidRPr="006C5E9F">
        <w:rPr>
          <w:rFonts w:hint="eastAsia"/>
          <w:color w:val="000000" w:themeColor="text1"/>
        </w:rPr>
        <w:t>號等為不起訴處分，經依職權送臺灣高等法院檢察署再議，而於同年</w:t>
      </w:r>
      <w:r w:rsidRPr="006C5E9F">
        <w:rPr>
          <w:color w:val="000000" w:themeColor="text1"/>
        </w:rPr>
        <w:t>11</w:t>
      </w:r>
      <w:r w:rsidRPr="006C5E9F">
        <w:rPr>
          <w:rFonts w:hint="eastAsia"/>
          <w:color w:val="000000" w:themeColor="text1"/>
        </w:rPr>
        <w:t>月</w:t>
      </w:r>
      <w:r w:rsidRPr="006C5E9F">
        <w:rPr>
          <w:color w:val="000000" w:themeColor="text1"/>
        </w:rPr>
        <w:t>4</w:t>
      </w:r>
      <w:r w:rsidRPr="006C5E9F">
        <w:rPr>
          <w:rFonts w:hint="eastAsia"/>
          <w:color w:val="000000" w:themeColor="text1"/>
        </w:rPr>
        <w:t>日以</w:t>
      </w:r>
      <w:r w:rsidRPr="006C5E9F">
        <w:rPr>
          <w:color w:val="000000" w:themeColor="text1"/>
        </w:rPr>
        <w:t>103</w:t>
      </w:r>
      <w:r w:rsidRPr="006C5E9F">
        <w:rPr>
          <w:rFonts w:hint="eastAsia"/>
          <w:color w:val="000000" w:themeColor="text1"/>
        </w:rPr>
        <w:t>年度上聲議字第14678號駁回再議確定。承辦檢察官經詳實調查後，已將不構成犯罪之理由逐一詳載於處分書，尚難僅因與陳情人之主張有不同，即認承辦檢察官偵辦案件有何違失</w:t>
      </w:r>
      <w:r w:rsidRPr="006C5E9F">
        <w:rPr>
          <w:rFonts w:ascii="新細明體" w:eastAsia="新細明體" w:hAnsi="新細明體" w:hint="eastAsia"/>
          <w:color w:val="000000" w:themeColor="text1"/>
        </w:rPr>
        <w:t>」</w:t>
      </w:r>
      <w:r w:rsidRPr="006C5E9F">
        <w:rPr>
          <w:rFonts w:hint="eastAsia"/>
          <w:color w:val="000000" w:themeColor="text1"/>
        </w:rPr>
        <w:t>。</w:t>
      </w:r>
    </w:p>
    <w:p w:rsidR="00434388" w:rsidRPr="00496907" w:rsidRDefault="00434388" w:rsidP="00434388">
      <w:pPr>
        <w:pStyle w:val="3"/>
        <w:widowControl/>
        <w:numPr>
          <w:ilvl w:val="2"/>
          <w:numId w:val="1"/>
        </w:numPr>
        <w:rPr>
          <w:color w:val="000000" w:themeColor="text1"/>
          <w:kern w:val="0"/>
          <w:sz w:val="24"/>
          <w:szCs w:val="24"/>
        </w:rPr>
      </w:pPr>
      <w:r w:rsidRPr="00496907">
        <w:rPr>
          <w:rFonts w:hint="eastAsia"/>
          <w:color w:val="000000" w:themeColor="text1"/>
        </w:rPr>
        <w:t>綜上</w:t>
      </w:r>
      <w:r w:rsidRPr="00496907">
        <w:rPr>
          <w:rFonts w:ascii="新細明體" w:eastAsia="新細明體" w:hAnsi="新細明體" w:hint="eastAsia"/>
          <w:color w:val="000000" w:themeColor="text1"/>
        </w:rPr>
        <w:t>，</w:t>
      </w:r>
      <w:r w:rsidRPr="00496907">
        <w:rPr>
          <w:rFonts w:hint="eastAsia"/>
          <w:color w:val="000000" w:themeColor="text1"/>
        </w:rPr>
        <w:t>有關臺北地檢署檢察官1</w:t>
      </w:r>
      <w:r w:rsidRPr="00496907">
        <w:rPr>
          <w:color w:val="000000" w:themeColor="text1"/>
        </w:rPr>
        <w:t>O3</w:t>
      </w:r>
      <w:r w:rsidRPr="00496907">
        <w:rPr>
          <w:rFonts w:hint="eastAsia"/>
          <w:color w:val="000000" w:themeColor="text1"/>
        </w:rPr>
        <w:t>年度偵字第</w:t>
      </w:r>
      <w:r w:rsidRPr="00496907">
        <w:rPr>
          <w:color w:val="000000" w:themeColor="text1"/>
        </w:rPr>
        <w:t>2398</w:t>
      </w:r>
      <w:r w:rsidRPr="00496907">
        <w:rPr>
          <w:rFonts w:hint="eastAsia"/>
          <w:color w:val="000000" w:themeColor="text1"/>
        </w:rPr>
        <w:t>號不起訴處分，本案承辦檢察官經調查後，依相關共同被告之證詞</w:t>
      </w:r>
      <w:r w:rsidRPr="00496907">
        <w:rPr>
          <w:rFonts w:ascii="新細明體" w:eastAsia="新細明體" w:hAnsi="新細明體" w:hint="eastAsia"/>
          <w:color w:val="000000" w:themeColor="text1"/>
        </w:rPr>
        <w:t>，</w:t>
      </w:r>
      <w:r w:rsidRPr="00496907">
        <w:rPr>
          <w:rFonts w:hint="eastAsia"/>
          <w:color w:val="000000" w:themeColor="text1"/>
        </w:rPr>
        <w:t>及查無任何投資人係透過該被告等人招攬而投資之證據，而認被告徐○倫等5人未參與同案被告曾○榮等人所經營之吸金方案之招</w:t>
      </w:r>
      <w:r w:rsidRPr="00496907">
        <w:rPr>
          <w:rFonts w:hint="eastAsia"/>
          <w:color w:val="000000" w:themeColor="text1"/>
        </w:rPr>
        <w:lastRenderedPageBreak/>
        <w:t>攬行為，已將不構成犯罪之理由逐一詳載於處分書，且依職權送臺灣高等法院檢察署再議，並經臺灣高等法院檢察署以103年</w:t>
      </w:r>
      <w:r w:rsidRPr="00496907">
        <w:rPr>
          <w:color w:val="000000" w:themeColor="text1"/>
        </w:rPr>
        <w:t>11</w:t>
      </w:r>
      <w:r w:rsidRPr="00496907">
        <w:rPr>
          <w:rFonts w:hint="eastAsia"/>
          <w:color w:val="000000" w:themeColor="text1"/>
        </w:rPr>
        <w:t>月</w:t>
      </w:r>
      <w:r w:rsidRPr="00496907">
        <w:rPr>
          <w:color w:val="000000" w:themeColor="text1"/>
        </w:rPr>
        <w:t>4</w:t>
      </w:r>
      <w:r w:rsidRPr="00496907">
        <w:rPr>
          <w:rFonts w:hint="eastAsia"/>
          <w:color w:val="000000" w:themeColor="text1"/>
        </w:rPr>
        <w:t>日</w:t>
      </w:r>
      <w:r w:rsidRPr="00496907">
        <w:rPr>
          <w:color w:val="000000" w:themeColor="text1"/>
        </w:rPr>
        <w:t>103</w:t>
      </w:r>
      <w:r w:rsidRPr="00496907">
        <w:rPr>
          <w:rFonts w:hint="eastAsia"/>
          <w:color w:val="000000" w:themeColor="text1"/>
        </w:rPr>
        <w:t>年度上聲議字第14678號駁回再議確定，尚難</w:t>
      </w:r>
      <w:r w:rsidRPr="00496907">
        <w:rPr>
          <w:rFonts w:hint="eastAsia"/>
          <w:bCs w:val="0"/>
          <w:color w:val="000000" w:themeColor="text1"/>
        </w:rPr>
        <w:t>認有未善</w:t>
      </w:r>
      <w:r w:rsidRPr="00496907">
        <w:rPr>
          <w:rFonts w:hint="eastAsia"/>
          <w:color w:val="000000" w:themeColor="text1"/>
        </w:rPr>
        <w:t>盡詳實調查之</w:t>
      </w:r>
      <w:r w:rsidRPr="00496907">
        <w:rPr>
          <w:rFonts w:hint="eastAsia"/>
          <w:bCs w:val="0"/>
          <w:color w:val="000000" w:themeColor="text1"/>
        </w:rPr>
        <w:t>違失</w:t>
      </w:r>
      <w:r w:rsidRPr="00496907">
        <w:rPr>
          <w:rFonts w:ascii="新細明體" w:eastAsia="新細明體" w:hAnsi="新細明體" w:hint="eastAsia"/>
          <w:bCs w:val="0"/>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434388" w:rsidRPr="006C5E9F" w:rsidRDefault="00434388" w:rsidP="00434388">
      <w:pPr>
        <w:pStyle w:val="1"/>
        <w:numPr>
          <w:ilvl w:val="0"/>
          <w:numId w:val="1"/>
        </w:numPr>
        <w:kinsoku w:val="0"/>
        <w:overflowPunct/>
        <w:autoSpaceDE/>
        <w:autoSpaceDN/>
        <w:ind w:left="2380" w:hanging="2380"/>
        <w:rPr>
          <w:b/>
          <w:color w:val="000000" w:themeColor="text1"/>
        </w:rPr>
      </w:pPr>
      <w:r w:rsidRPr="006C5E9F">
        <w:rPr>
          <w:rFonts w:hint="eastAsia"/>
          <w:b/>
          <w:color w:val="000000" w:themeColor="text1"/>
        </w:rPr>
        <w:t>處理辦法：</w:t>
      </w:r>
    </w:p>
    <w:p w:rsidR="00434388" w:rsidRPr="006C5E9F" w:rsidRDefault="00434388" w:rsidP="00434388">
      <w:pPr>
        <w:pStyle w:val="2"/>
        <w:numPr>
          <w:ilvl w:val="1"/>
          <w:numId w:val="1"/>
        </w:numPr>
        <w:kinsoku w:val="0"/>
        <w:overflowPunct/>
        <w:autoSpaceDE/>
        <w:autoSpaceDN/>
        <w:ind w:left="1045" w:hanging="697"/>
        <w:rPr>
          <w:color w:val="000000" w:themeColor="text1"/>
        </w:rPr>
      </w:pPr>
      <w:r w:rsidRPr="006C5E9F">
        <w:rPr>
          <w:rFonts w:hint="eastAsia"/>
          <w:color w:val="000000" w:themeColor="text1"/>
        </w:rPr>
        <w:t>調查意見一至二，函請法務部確實檢討改進見復。</w:t>
      </w:r>
    </w:p>
    <w:p w:rsidR="00434388" w:rsidRPr="006C5E9F" w:rsidRDefault="00434388" w:rsidP="00434388">
      <w:pPr>
        <w:pStyle w:val="2"/>
        <w:numPr>
          <w:ilvl w:val="1"/>
          <w:numId w:val="1"/>
        </w:numPr>
        <w:kinsoku w:val="0"/>
        <w:overflowPunct/>
        <w:autoSpaceDE/>
        <w:autoSpaceDN/>
        <w:ind w:left="1045" w:hanging="697"/>
        <w:rPr>
          <w:color w:val="000000" w:themeColor="text1"/>
        </w:rPr>
      </w:pPr>
      <w:r w:rsidRPr="006C5E9F">
        <w:rPr>
          <w:rFonts w:hint="eastAsia"/>
          <w:color w:val="000000" w:themeColor="text1"/>
        </w:rPr>
        <w:t>調查意見，函復本案陳訴人。</w:t>
      </w:r>
    </w:p>
    <w:p w:rsidR="00434388" w:rsidRPr="006C5E9F" w:rsidRDefault="00434388" w:rsidP="00434388">
      <w:pPr>
        <w:pStyle w:val="2"/>
        <w:numPr>
          <w:ilvl w:val="1"/>
          <w:numId w:val="1"/>
        </w:numPr>
        <w:kinsoku w:val="0"/>
        <w:overflowPunct/>
        <w:autoSpaceDE/>
        <w:autoSpaceDN/>
        <w:ind w:left="1045" w:hanging="697"/>
        <w:rPr>
          <w:color w:val="000000" w:themeColor="text1"/>
        </w:rPr>
      </w:pPr>
      <w:r w:rsidRPr="006C5E9F">
        <w:rPr>
          <w:rFonts w:hint="eastAsia"/>
          <w:color w:val="000000" w:themeColor="text1"/>
        </w:rPr>
        <w:t>檢附派查函及相關附件，送請司法及獄政委員會處理。</w:t>
      </w:r>
    </w:p>
    <w:p w:rsidR="00434388" w:rsidRPr="006C5E9F" w:rsidRDefault="00434388" w:rsidP="00434388">
      <w:pPr>
        <w:kinsoku w:val="0"/>
        <w:ind w:leftChars="1100" w:left="3742"/>
        <w:rPr>
          <w:bCs/>
          <w:color w:val="000000" w:themeColor="text1"/>
          <w:kern w:val="0"/>
          <w:sz w:val="40"/>
        </w:rPr>
      </w:pPr>
      <w:r w:rsidRPr="006C5E9F">
        <w:rPr>
          <w:rFonts w:hint="eastAsia"/>
          <w:bCs/>
          <w:color w:val="000000" w:themeColor="text1"/>
          <w:spacing w:val="12"/>
          <w:kern w:val="0"/>
          <w:sz w:val="40"/>
        </w:rPr>
        <w:t>調查委員：</w:t>
      </w:r>
      <w:r w:rsidR="00496907">
        <w:rPr>
          <w:rFonts w:hint="eastAsia"/>
          <w:bCs/>
          <w:color w:val="000000" w:themeColor="text1"/>
          <w:spacing w:val="12"/>
          <w:kern w:val="0"/>
          <w:sz w:val="40"/>
        </w:rPr>
        <w:t>陳小紅</w:t>
      </w: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p w:rsidR="00434388" w:rsidRPr="006C5E9F" w:rsidRDefault="00434388" w:rsidP="00434388">
      <w:pPr>
        <w:kinsoku w:val="0"/>
        <w:ind w:leftChars="1100" w:left="3742" w:firstLineChars="500" w:firstLine="2021"/>
        <w:rPr>
          <w:bCs/>
          <w:color w:val="000000" w:themeColor="text1"/>
          <w:spacing w:val="12"/>
          <w:kern w:val="0"/>
          <w:sz w:val="36"/>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434388" w:rsidRPr="006C5E9F" w:rsidRDefault="00434388" w:rsidP="00434388">
      <w:pPr>
        <w:kinsoku w:val="0"/>
        <w:ind w:leftChars="1100" w:left="3742" w:firstLineChars="500" w:firstLine="2021"/>
        <w:rPr>
          <w:bCs/>
          <w:color w:val="000000" w:themeColor="text1"/>
          <w:spacing w:val="12"/>
          <w:kern w:val="0"/>
          <w:sz w:val="36"/>
        </w:rPr>
      </w:pPr>
    </w:p>
    <w:sectPr w:rsidR="00434388" w:rsidRPr="006C5E9F" w:rsidSect="00E136B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8D" w:rsidRDefault="0066778D">
      <w:r>
        <w:separator/>
      </w:r>
    </w:p>
  </w:endnote>
  <w:endnote w:type="continuationSeparator" w:id="0">
    <w:p w:rsidR="0066778D" w:rsidRDefault="0066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6"/>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03AAF">
      <w:rPr>
        <w:rStyle w:val="ac"/>
        <w:noProof/>
        <w:sz w:val="24"/>
      </w:rPr>
      <w:t>16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8D" w:rsidRDefault="0066778D">
      <w:r>
        <w:separator/>
      </w:r>
    </w:p>
  </w:footnote>
  <w:footnote w:type="continuationSeparator" w:id="0">
    <w:p w:rsidR="0066778D" w:rsidRDefault="00667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A7EABBC"/>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3D089C"/>
    <w:multiLevelType w:val="multilevel"/>
    <w:tmpl w:val="0B7A82BE"/>
    <w:lvl w:ilvl="0">
      <w:start w:val="1"/>
      <w:numFmt w:val="taiwaneseCountingThousand"/>
      <w:lvlText w:val="%1、"/>
      <w:lvlJc w:val="left"/>
      <w:pPr>
        <w:ind w:left="480"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603AF"/>
    <w:multiLevelType w:val="hybridMultilevel"/>
    <w:tmpl w:val="5846E788"/>
    <w:lvl w:ilvl="0" w:tplc="0409000B">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4118A7CA"/>
    <w:lvl w:ilvl="0" w:tplc="8152CC74">
      <w:start w:val="1"/>
      <w:numFmt w:val="decimal"/>
      <w:pStyle w:val="a1"/>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2"/>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3"/>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3"/>
    <w:lvlOverride w:ilvl="0">
      <w:startOverride w:val="1"/>
    </w:lvlOverride>
  </w:num>
  <w:num w:numId="5">
    <w:abstractNumId w:val="8"/>
  </w:num>
  <w:num w:numId="6">
    <w:abstractNumId w:val="6"/>
  </w:num>
  <w:num w:numId="7">
    <w:abstractNumId w:val="9"/>
  </w:num>
  <w:num w:numId="8">
    <w:abstractNumId w:val="1"/>
  </w:num>
  <w:num w:numId="9">
    <w:abstractNumId w:val="1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8"/>
  </w:num>
  <w:num w:numId="22">
    <w:abstractNumId w:val="1"/>
  </w:num>
  <w:num w:numId="23">
    <w:abstractNumId w:val="1"/>
  </w:num>
  <w:num w:numId="24">
    <w:abstractNumId w:val="1"/>
  </w:num>
  <w:num w:numId="25">
    <w:abstractNumId w:val="1"/>
  </w:num>
  <w:num w:numId="26">
    <w:abstractNumId w:val="1"/>
  </w:num>
  <w:num w:numId="27">
    <w:abstractNumId w:val="8"/>
  </w:num>
  <w:num w:numId="28">
    <w:abstractNumId w:val="1"/>
  </w:num>
  <w:num w:numId="29">
    <w:abstractNumId w:val="2"/>
  </w:num>
  <w:num w:numId="30">
    <w:abstractNumId w:val="1"/>
  </w:num>
  <w:num w:numId="31">
    <w:abstractNumId w:val="1"/>
  </w:num>
  <w:num w:numId="32">
    <w:abstractNumId w:val="1"/>
  </w:num>
  <w:num w:numId="33">
    <w:abstractNumId w:val="1"/>
  </w:num>
  <w:num w:numId="3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B12"/>
    <w:rsid w:val="000246F7"/>
    <w:rsid w:val="0003114D"/>
    <w:rsid w:val="00036D76"/>
    <w:rsid w:val="00057F32"/>
    <w:rsid w:val="00062A25"/>
    <w:rsid w:val="00065CFE"/>
    <w:rsid w:val="00073CB5"/>
    <w:rsid w:val="0007425C"/>
    <w:rsid w:val="00077553"/>
    <w:rsid w:val="00084933"/>
    <w:rsid w:val="000851A2"/>
    <w:rsid w:val="000874FC"/>
    <w:rsid w:val="0009352E"/>
    <w:rsid w:val="00096B96"/>
    <w:rsid w:val="000A2F3F"/>
    <w:rsid w:val="000A3B50"/>
    <w:rsid w:val="000A6CF5"/>
    <w:rsid w:val="000B0B4A"/>
    <w:rsid w:val="000B279A"/>
    <w:rsid w:val="000B6084"/>
    <w:rsid w:val="000B61D2"/>
    <w:rsid w:val="000B70A7"/>
    <w:rsid w:val="000B73DD"/>
    <w:rsid w:val="000C495F"/>
    <w:rsid w:val="000E6431"/>
    <w:rsid w:val="000F0A62"/>
    <w:rsid w:val="000F21A5"/>
    <w:rsid w:val="00102B9F"/>
    <w:rsid w:val="00112637"/>
    <w:rsid w:val="00112ABC"/>
    <w:rsid w:val="00113653"/>
    <w:rsid w:val="00117FA8"/>
    <w:rsid w:val="0012001E"/>
    <w:rsid w:val="00123BCC"/>
    <w:rsid w:val="00126A55"/>
    <w:rsid w:val="00133F08"/>
    <w:rsid w:val="001345E6"/>
    <w:rsid w:val="001378B0"/>
    <w:rsid w:val="00142E00"/>
    <w:rsid w:val="00152793"/>
    <w:rsid w:val="00153B7E"/>
    <w:rsid w:val="001545A9"/>
    <w:rsid w:val="001637C7"/>
    <w:rsid w:val="0016480E"/>
    <w:rsid w:val="00172726"/>
    <w:rsid w:val="00174297"/>
    <w:rsid w:val="00180E06"/>
    <w:rsid w:val="001817B3"/>
    <w:rsid w:val="00183014"/>
    <w:rsid w:val="001959C2"/>
    <w:rsid w:val="00197DE2"/>
    <w:rsid w:val="001A09C3"/>
    <w:rsid w:val="001A4684"/>
    <w:rsid w:val="001A51E3"/>
    <w:rsid w:val="001A7968"/>
    <w:rsid w:val="001B2E98"/>
    <w:rsid w:val="001B3483"/>
    <w:rsid w:val="001B3C1E"/>
    <w:rsid w:val="001B4494"/>
    <w:rsid w:val="001C0D8B"/>
    <w:rsid w:val="001C0DA8"/>
    <w:rsid w:val="001D2732"/>
    <w:rsid w:val="001D4AD7"/>
    <w:rsid w:val="001D528E"/>
    <w:rsid w:val="001E0D0D"/>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0140"/>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D4C1D"/>
    <w:rsid w:val="002D5C16"/>
    <w:rsid w:val="002F2476"/>
    <w:rsid w:val="002F3DFF"/>
    <w:rsid w:val="002F443D"/>
    <w:rsid w:val="002F5E05"/>
    <w:rsid w:val="00307A76"/>
    <w:rsid w:val="00310A27"/>
    <w:rsid w:val="00315A16"/>
    <w:rsid w:val="00317053"/>
    <w:rsid w:val="0032109C"/>
    <w:rsid w:val="00322B45"/>
    <w:rsid w:val="00323809"/>
    <w:rsid w:val="00323D41"/>
    <w:rsid w:val="00325414"/>
    <w:rsid w:val="003302F1"/>
    <w:rsid w:val="0034470E"/>
    <w:rsid w:val="003474B0"/>
    <w:rsid w:val="00352DB0"/>
    <w:rsid w:val="00361063"/>
    <w:rsid w:val="0037094A"/>
    <w:rsid w:val="00371ED3"/>
    <w:rsid w:val="00372FFC"/>
    <w:rsid w:val="0037728A"/>
    <w:rsid w:val="00380B7D"/>
    <w:rsid w:val="00381A99"/>
    <w:rsid w:val="003829C2"/>
    <w:rsid w:val="003830B2"/>
    <w:rsid w:val="00384724"/>
    <w:rsid w:val="00391273"/>
    <w:rsid w:val="003919B7"/>
    <w:rsid w:val="00391D57"/>
    <w:rsid w:val="00392292"/>
    <w:rsid w:val="0039286D"/>
    <w:rsid w:val="00394F45"/>
    <w:rsid w:val="003A5927"/>
    <w:rsid w:val="003B1017"/>
    <w:rsid w:val="003B3C07"/>
    <w:rsid w:val="003B6081"/>
    <w:rsid w:val="003B6775"/>
    <w:rsid w:val="003B7E38"/>
    <w:rsid w:val="003C5ACA"/>
    <w:rsid w:val="003C5FE2"/>
    <w:rsid w:val="003D05FB"/>
    <w:rsid w:val="003D1B16"/>
    <w:rsid w:val="003D45BF"/>
    <w:rsid w:val="003D508A"/>
    <w:rsid w:val="003D537F"/>
    <w:rsid w:val="003D5551"/>
    <w:rsid w:val="003D77D4"/>
    <w:rsid w:val="003D7B75"/>
    <w:rsid w:val="003E011B"/>
    <w:rsid w:val="003E0208"/>
    <w:rsid w:val="003E4B57"/>
    <w:rsid w:val="003F1475"/>
    <w:rsid w:val="003F27E1"/>
    <w:rsid w:val="003F437A"/>
    <w:rsid w:val="003F5C2B"/>
    <w:rsid w:val="00402240"/>
    <w:rsid w:val="004023E9"/>
    <w:rsid w:val="0040454A"/>
    <w:rsid w:val="00412E8D"/>
    <w:rsid w:val="00413F83"/>
    <w:rsid w:val="00414625"/>
    <w:rsid w:val="0041490C"/>
    <w:rsid w:val="00416191"/>
    <w:rsid w:val="00416721"/>
    <w:rsid w:val="0042154F"/>
    <w:rsid w:val="00421EF0"/>
    <w:rsid w:val="004224FA"/>
    <w:rsid w:val="00423D07"/>
    <w:rsid w:val="00427936"/>
    <w:rsid w:val="00430E93"/>
    <w:rsid w:val="00430F87"/>
    <w:rsid w:val="00434388"/>
    <w:rsid w:val="0044346F"/>
    <w:rsid w:val="00453FF6"/>
    <w:rsid w:val="00456F77"/>
    <w:rsid w:val="0046149E"/>
    <w:rsid w:val="0046520A"/>
    <w:rsid w:val="004672AB"/>
    <w:rsid w:val="004714FE"/>
    <w:rsid w:val="00477BAA"/>
    <w:rsid w:val="00487440"/>
    <w:rsid w:val="00495053"/>
    <w:rsid w:val="00496907"/>
    <w:rsid w:val="004A0423"/>
    <w:rsid w:val="004A1F59"/>
    <w:rsid w:val="004A29BE"/>
    <w:rsid w:val="004A3225"/>
    <w:rsid w:val="004A33EE"/>
    <w:rsid w:val="004A3AA8"/>
    <w:rsid w:val="004A5E31"/>
    <w:rsid w:val="004B13C7"/>
    <w:rsid w:val="004B778F"/>
    <w:rsid w:val="004C0609"/>
    <w:rsid w:val="004C4809"/>
    <w:rsid w:val="004D141F"/>
    <w:rsid w:val="004D2742"/>
    <w:rsid w:val="004D6310"/>
    <w:rsid w:val="004E0062"/>
    <w:rsid w:val="004E05A1"/>
    <w:rsid w:val="004E7B0D"/>
    <w:rsid w:val="004F1318"/>
    <w:rsid w:val="004F472A"/>
    <w:rsid w:val="004F5E57"/>
    <w:rsid w:val="004F6710"/>
    <w:rsid w:val="00500C3E"/>
    <w:rsid w:val="00501B34"/>
    <w:rsid w:val="00501CCB"/>
    <w:rsid w:val="00502849"/>
    <w:rsid w:val="00504334"/>
    <w:rsid w:val="0050498D"/>
    <w:rsid w:val="005104D7"/>
    <w:rsid w:val="00510B9E"/>
    <w:rsid w:val="00536BC2"/>
    <w:rsid w:val="005425E1"/>
    <w:rsid w:val="005427C5"/>
    <w:rsid w:val="0054298E"/>
    <w:rsid w:val="00542CF6"/>
    <w:rsid w:val="00550DF8"/>
    <w:rsid w:val="00553C03"/>
    <w:rsid w:val="00563692"/>
    <w:rsid w:val="00571679"/>
    <w:rsid w:val="005729A4"/>
    <w:rsid w:val="0057345C"/>
    <w:rsid w:val="005844E7"/>
    <w:rsid w:val="005908B8"/>
    <w:rsid w:val="0059512E"/>
    <w:rsid w:val="005A6DD2"/>
    <w:rsid w:val="005C385D"/>
    <w:rsid w:val="005D3B20"/>
    <w:rsid w:val="005E0A38"/>
    <w:rsid w:val="005E4759"/>
    <w:rsid w:val="005E5C68"/>
    <w:rsid w:val="005E65C0"/>
    <w:rsid w:val="005F0390"/>
    <w:rsid w:val="006023E6"/>
    <w:rsid w:val="006058CF"/>
    <w:rsid w:val="006072CD"/>
    <w:rsid w:val="00612023"/>
    <w:rsid w:val="00614190"/>
    <w:rsid w:val="0062194A"/>
    <w:rsid w:val="00622A99"/>
    <w:rsid w:val="00622E67"/>
    <w:rsid w:val="00626B57"/>
    <w:rsid w:val="00626EDC"/>
    <w:rsid w:val="00637AFE"/>
    <w:rsid w:val="006470EC"/>
    <w:rsid w:val="0064715E"/>
    <w:rsid w:val="00652DB9"/>
    <w:rsid w:val="006536E4"/>
    <w:rsid w:val="006542D6"/>
    <w:rsid w:val="0065598E"/>
    <w:rsid w:val="00655AF2"/>
    <w:rsid w:val="00655BC5"/>
    <w:rsid w:val="006568BE"/>
    <w:rsid w:val="0066025D"/>
    <w:rsid w:val="0066091A"/>
    <w:rsid w:val="0066778D"/>
    <w:rsid w:val="00671D70"/>
    <w:rsid w:val="00673781"/>
    <w:rsid w:val="006761ED"/>
    <w:rsid w:val="006773EC"/>
    <w:rsid w:val="00680504"/>
    <w:rsid w:val="00681CD9"/>
    <w:rsid w:val="00683E30"/>
    <w:rsid w:val="00687024"/>
    <w:rsid w:val="00695E22"/>
    <w:rsid w:val="006B7093"/>
    <w:rsid w:val="006B7417"/>
    <w:rsid w:val="006C1364"/>
    <w:rsid w:val="006C5E9F"/>
    <w:rsid w:val="006D3691"/>
    <w:rsid w:val="006E5EF0"/>
    <w:rsid w:val="006F3563"/>
    <w:rsid w:val="006F42B9"/>
    <w:rsid w:val="006F6103"/>
    <w:rsid w:val="00704E00"/>
    <w:rsid w:val="007209E7"/>
    <w:rsid w:val="00723E97"/>
    <w:rsid w:val="00726182"/>
    <w:rsid w:val="00727635"/>
    <w:rsid w:val="00732329"/>
    <w:rsid w:val="007337CA"/>
    <w:rsid w:val="00734CE4"/>
    <w:rsid w:val="00735123"/>
    <w:rsid w:val="00741837"/>
    <w:rsid w:val="007453E6"/>
    <w:rsid w:val="00766B20"/>
    <w:rsid w:val="0077309D"/>
    <w:rsid w:val="007774EE"/>
    <w:rsid w:val="00781822"/>
    <w:rsid w:val="00783F21"/>
    <w:rsid w:val="00784DE6"/>
    <w:rsid w:val="00787159"/>
    <w:rsid w:val="0079043A"/>
    <w:rsid w:val="00791668"/>
    <w:rsid w:val="00791AA1"/>
    <w:rsid w:val="007A3793"/>
    <w:rsid w:val="007B7011"/>
    <w:rsid w:val="007C1BA2"/>
    <w:rsid w:val="007C2B48"/>
    <w:rsid w:val="007D20E9"/>
    <w:rsid w:val="007D7881"/>
    <w:rsid w:val="007D7E3A"/>
    <w:rsid w:val="007E0E10"/>
    <w:rsid w:val="007E4768"/>
    <w:rsid w:val="007E530D"/>
    <w:rsid w:val="007E777B"/>
    <w:rsid w:val="007F2070"/>
    <w:rsid w:val="00803AAF"/>
    <w:rsid w:val="008053F5"/>
    <w:rsid w:val="00807AF7"/>
    <w:rsid w:val="00810198"/>
    <w:rsid w:val="00811BAF"/>
    <w:rsid w:val="00815DA8"/>
    <w:rsid w:val="0082194D"/>
    <w:rsid w:val="008221F9"/>
    <w:rsid w:val="00826EF5"/>
    <w:rsid w:val="00831693"/>
    <w:rsid w:val="00840104"/>
    <w:rsid w:val="00840C1F"/>
    <w:rsid w:val="008411C9"/>
    <w:rsid w:val="00841FC5"/>
    <w:rsid w:val="00845709"/>
    <w:rsid w:val="008576BD"/>
    <w:rsid w:val="00860463"/>
    <w:rsid w:val="008733DA"/>
    <w:rsid w:val="008850E4"/>
    <w:rsid w:val="008939AB"/>
    <w:rsid w:val="008A12F5"/>
    <w:rsid w:val="008B1587"/>
    <w:rsid w:val="008B1B01"/>
    <w:rsid w:val="008B3BCD"/>
    <w:rsid w:val="008B6DF8"/>
    <w:rsid w:val="008C106C"/>
    <w:rsid w:val="008C10F1"/>
    <w:rsid w:val="008C1926"/>
    <w:rsid w:val="008C1E99"/>
    <w:rsid w:val="008D21E2"/>
    <w:rsid w:val="008D4103"/>
    <w:rsid w:val="008E0085"/>
    <w:rsid w:val="008E2AA6"/>
    <w:rsid w:val="008E311B"/>
    <w:rsid w:val="008E6613"/>
    <w:rsid w:val="008F46E7"/>
    <w:rsid w:val="008F6F0B"/>
    <w:rsid w:val="00903711"/>
    <w:rsid w:val="00907BA7"/>
    <w:rsid w:val="0091064E"/>
    <w:rsid w:val="00911FC5"/>
    <w:rsid w:val="00915036"/>
    <w:rsid w:val="009217D8"/>
    <w:rsid w:val="00931A10"/>
    <w:rsid w:val="00944C4B"/>
    <w:rsid w:val="00947967"/>
    <w:rsid w:val="009531E3"/>
    <w:rsid w:val="00955201"/>
    <w:rsid w:val="00965200"/>
    <w:rsid w:val="009668B3"/>
    <w:rsid w:val="00971471"/>
    <w:rsid w:val="009845D8"/>
    <w:rsid w:val="009849C2"/>
    <w:rsid w:val="00984D24"/>
    <w:rsid w:val="009858EB"/>
    <w:rsid w:val="009929FF"/>
    <w:rsid w:val="009A1414"/>
    <w:rsid w:val="009A3F47"/>
    <w:rsid w:val="009B0046"/>
    <w:rsid w:val="009B4B63"/>
    <w:rsid w:val="009C1440"/>
    <w:rsid w:val="009C2107"/>
    <w:rsid w:val="009C5D9E"/>
    <w:rsid w:val="009D2C3E"/>
    <w:rsid w:val="009E0625"/>
    <w:rsid w:val="009E0F72"/>
    <w:rsid w:val="009E3034"/>
    <w:rsid w:val="009E549F"/>
    <w:rsid w:val="009F28A8"/>
    <w:rsid w:val="009F473E"/>
    <w:rsid w:val="009F682A"/>
    <w:rsid w:val="00A022BE"/>
    <w:rsid w:val="00A07B4B"/>
    <w:rsid w:val="00A07FDD"/>
    <w:rsid w:val="00A24C95"/>
    <w:rsid w:val="00A2599A"/>
    <w:rsid w:val="00A26094"/>
    <w:rsid w:val="00A301BF"/>
    <w:rsid w:val="00A302B2"/>
    <w:rsid w:val="00A331B4"/>
    <w:rsid w:val="00A3484E"/>
    <w:rsid w:val="00A34D1C"/>
    <w:rsid w:val="00A356D3"/>
    <w:rsid w:val="00A36ADA"/>
    <w:rsid w:val="00A438D8"/>
    <w:rsid w:val="00A473F5"/>
    <w:rsid w:val="00A51F9D"/>
    <w:rsid w:val="00A5416A"/>
    <w:rsid w:val="00A60624"/>
    <w:rsid w:val="00A639F4"/>
    <w:rsid w:val="00A81A32"/>
    <w:rsid w:val="00A835BD"/>
    <w:rsid w:val="00A83DAE"/>
    <w:rsid w:val="00A97B15"/>
    <w:rsid w:val="00AA42D5"/>
    <w:rsid w:val="00AB2FAB"/>
    <w:rsid w:val="00AB5C14"/>
    <w:rsid w:val="00AB5E0D"/>
    <w:rsid w:val="00AC1EE7"/>
    <w:rsid w:val="00AC333F"/>
    <w:rsid w:val="00AC585C"/>
    <w:rsid w:val="00AD1925"/>
    <w:rsid w:val="00AE067D"/>
    <w:rsid w:val="00AE3451"/>
    <w:rsid w:val="00AF1181"/>
    <w:rsid w:val="00AF2F79"/>
    <w:rsid w:val="00AF4653"/>
    <w:rsid w:val="00AF7DB7"/>
    <w:rsid w:val="00B10D02"/>
    <w:rsid w:val="00B201E2"/>
    <w:rsid w:val="00B419EC"/>
    <w:rsid w:val="00B443E4"/>
    <w:rsid w:val="00B5484D"/>
    <w:rsid w:val="00B563EA"/>
    <w:rsid w:val="00B56CDF"/>
    <w:rsid w:val="00B60E51"/>
    <w:rsid w:val="00B63A54"/>
    <w:rsid w:val="00B63FCF"/>
    <w:rsid w:val="00B77D18"/>
    <w:rsid w:val="00B8313A"/>
    <w:rsid w:val="00B9039B"/>
    <w:rsid w:val="00B93503"/>
    <w:rsid w:val="00BA31E8"/>
    <w:rsid w:val="00BA55E0"/>
    <w:rsid w:val="00BA6BD4"/>
    <w:rsid w:val="00BA6C7A"/>
    <w:rsid w:val="00BB17D1"/>
    <w:rsid w:val="00BB3752"/>
    <w:rsid w:val="00BB6688"/>
    <w:rsid w:val="00BC26D4"/>
    <w:rsid w:val="00BD1E5F"/>
    <w:rsid w:val="00BE0C80"/>
    <w:rsid w:val="00BF2A42"/>
    <w:rsid w:val="00C03D8C"/>
    <w:rsid w:val="00C055EC"/>
    <w:rsid w:val="00C10DC9"/>
    <w:rsid w:val="00C12FB3"/>
    <w:rsid w:val="00C17341"/>
    <w:rsid w:val="00C24EEF"/>
    <w:rsid w:val="00C25CF6"/>
    <w:rsid w:val="00C26C36"/>
    <w:rsid w:val="00C32768"/>
    <w:rsid w:val="00C41418"/>
    <w:rsid w:val="00C431DF"/>
    <w:rsid w:val="00C456BD"/>
    <w:rsid w:val="00C530DC"/>
    <w:rsid w:val="00C5350D"/>
    <w:rsid w:val="00C53DC4"/>
    <w:rsid w:val="00C57D8A"/>
    <w:rsid w:val="00C6123C"/>
    <w:rsid w:val="00C6311A"/>
    <w:rsid w:val="00C677E7"/>
    <w:rsid w:val="00C7084D"/>
    <w:rsid w:val="00C7315E"/>
    <w:rsid w:val="00C75895"/>
    <w:rsid w:val="00C83C9F"/>
    <w:rsid w:val="00C94840"/>
    <w:rsid w:val="00C95B74"/>
    <w:rsid w:val="00CA4EE3"/>
    <w:rsid w:val="00CB027F"/>
    <w:rsid w:val="00CC0EBB"/>
    <w:rsid w:val="00CC35D9"/>
    <w:rsid w:val="00CC6297"/>
    <w:rsid w:val="00CC7690"/>
    <w:rsid w:val="00CD1986"/>
    <w:rsid w:val="00CD54BF"/>
    <w:rsid w:val="00CE4D5C"/>
    <w:rsid w:val="00CF05DA"/>
    <w:rsid w:val="00CF58EB"/>
    <w:rsid w:val="00CF6FEC"/>
    <w:rsid w:val="00D0106E"/>
    <w:rsid w:val="00D02F47"/>
    <w:rsid w:val="00D06383"/>
    <w:rsid w:val="00D20E85"/>
    <w:rsid w:val="00D24615"/>
    <w:rsid w:val="00D37842"/>
    <w:rsid w:val="00D42DC2"/>
    <w:rsid w:val="00D4302B"/>
    <w:rsid w:val="00D537E1"/>
    <w:rsid w:val="00D55BB2"/>
    <w:rsid w:val="00D566F1"/>
    <w:rsid w:val="00D56794"/>
    <w:rsid w:val="00D57007"/>
    <w:rsid w:val="00D6091A"/>
    <w:rsid w:val="00D6605A"/>
    <w:rsid w:val="00D6695F"/>
    <w:rsid w:val="00D75644"/>
    <w:rsid w:val="00D81656"/>
    <w:rsid w:val="00D83D87"/>
    <w:rsid w:val="00D84A6D"/>
    <w:rsid w:val="00D86A30"/>
    <w:rsid w:val="00D97CB4"/>
    <w:rsid w:val="00D97DD4"/>
    <w:rsid w:val="00DA3D11"/>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4F2F"/>
    <w:rsid w:val="00DF6462"/>
    <w:rsid w:val="00E0010F"/>
    <w:rsid w:val="00E02FA0"/>
    <w:rsid w:val="00E036DC"/>
    <w:rsid w:val="00E10454"/>
    <w:rsid w:val="00E112E5"/>
    <w:rsid w:val="00E11783"/>
    <w:rsid w:val="00E122D8"/>
    <w:rsid w:val="00E12CC8"/>
    <w:rsid w:val="00E136B1"/>
    <w:rsid w:val="00E15352"/>
    <w:rsid w:val="00E21CC7"/>
    <w:rsid w:val="00E24D9E"/>
    <w:rsid w:val="00E25849"/>
    <w:rsid w:val="00E3197E"/>
    <w:rsid w:val="00E342F8"/>
    <w:rsid w:val="00E351ED"/>
    <w:rsid w:val="00E47AFA"/>
    <w:rsid w:val="00E6034B"/>
    <w:rsid w:val="00E635E3"/>
    <w:rsid w:val="00E6549E"/>
    <w:rsid w:val="00E65EDE"/>
    <w:rsid w:val="00E70F81"/>
    <w:rsid w:val="00E77055"/>
    <w:rsid w:val="00E77460"/>
    <w:rsid w:val="00E81F52"/>
    <w:rsid w:val="00E83ABC"/>
    <w:rsid w:val="00E844F2"/>
    <w:rsid w:val="00E90AD0"/>
    <w:rsid w:val="00E92FCB"/>
    <w:rsid w:val="00E93006"/>
    <w:rsid w:val="00E9462D"/>
    <w:rsid w:val="00EA147F"/>
    <w:rsid w:val="00EA4A27"/>
    <w:rsid w:val="00EA4FA6"/>
    <w:rsid w:val="00EA61C5"/>
    <w:rsid w:val="00EB1A25"/>
    <w:rsid w:val="00EB71C3"/>
    <w:rsid w:val="00EC7363"/>
    <w:rsid w:val="00ED03AB"/>
    <w:rsid w:val="00ED1963"/>
    <w:rsid w:val="00ED1CD4"/>
    <w:rsid w:val="00ED1D2B"/>
    <w:rsid w:val="00ED64B5"/>
    <w:rsid w:val="00EE5323"/>
    <w:rsid w:val="00EE7CCA"/>
    <w:rsid w:val="00F0465C"/>
    <w:rsid w:val="00F13541"/>
    <w:rsid w:val="00F16A14"/>
    <w:rsid w:val="00F362D7"/>
    <w:rsid w:val="00F37D7B"/>
    <w:rsid w:val="00F420C6"/>
    <w:rsid w:val="00F5314C"/>
    <w:rsid w:val="00F5688C"/>
    <w:rsid w:val="00F60048"/>
    <w:rsid w:val="00F635DD"/>
    <w:rsid w:val="00F6627B"/>
    <w:rsid w:val="00F7336E"/>
    <w:rsid w:val="00F734F2"/>
    <w:rsid w:val="00F75052"/>
    <w:rsid w:val="00F804D3"/>
    <w:rsid w:val="00F816CB"/>
    <w:rsid w:val="00F81CD2"/>
    <w:rsid w:val="00F82641"/>
    <w:rsid w:val="00F82765"/>
    <w:rsid w:val="00F90F18"/>
    <w:rsid w:val="00F937E4"/>
    <w:rsid w:val="00F95EE7"/>
    <w:rsid w:val="00FA39E6"/>
    <w:rsid w:val="00FA7BC9"/>
    <w:rsid w:val="00FB22AF"/>
    <w:rsid w:val="00FB378E"/>
    <w:rsid w:val="00FB37F1"/>
    <w:rsid w:val="00FB47C0"/>
    <w:rsid w:val="00FB501B"/>
    <w:rsid w:val="00FB5D05"/>
    <w:rsid w:val="00FB7770"/>
    <w:rsid w:val="00FD2135"/>
    <w:rsid w:val="00FD3B91"/>
    <w:rsid w:val="00FD576B"/>
    <w:rsid w:val="00FD579E"/>
    <w:rsid w:val="00FD6845"/>
    <w:rsid w:val="00FE4516"/>
    <w:rsid w:val="00FE4E17"/>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8B693B-E57B-4A85-90F0-500CD085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15036"/>
    <w:pPr>
      <w:widowControl w:val="0"/>
      <w:overflowPunct w:val="0"/>
      <w:autoSpaceDE w:val="0"/>
      <w:autoSpaceDN w:val="0"/>
      <w:jc w:val="both"/>
    </w:pPr>
    <w:rPr>
      <w:rFonts w:ascii="標楷體" w:eastAsia="標楷體"/>
      <w:kern w:val="2"/>
      <w:sz w:val="32"/>
    </w:rPr>
  </w:style>
  <w:style w:type="paragraph" w:styleId="1">
    <w:name w:val="heading 1"/>
    <w:basedOn w:val="a4"/>
    <w:link w:val="10"/>
    <w:qFormat/>
    <w:rsid w:val="004F5E57"/>
    <w:pPr>
      <w:numPr>
        <w:numId w:val="8"/>
      </w:numPr>
      <w:outlineLvl w:val="0"/>
    </w:pPr>
    <w:rPr>
      <w:rFonts w:hAnsi="Arial"/>
      <w:bCs/>
      <w:kern w:val="32"/>
      <w:szCs w:val="52"/>
    </w:rPr>
  </w:style>
  <w:style w:type="paragraph" w:styleId="2">
    <w:name w:val="heading 2"/>
    <w:basedOn w:val="a4"/>
    <w:link w:val="20"/>
    <w:qFormat/>
    <w:rsid w:val="004F5E57"/>
    <w:pPr>
      <w:numPr>
        <w:ilvl w:val="1"/>
        <w:numId w:val="8"/>
      </w:numPr>
      <w:outlineLvl w:val="1"/>
    </w:pPr>
    <w:rPr>
      <w:rFonts w:hAnsi="Arial"/>
      <w:bCs/>
      <w:kern w:val="32"/>
      <w:szCs w:val="48"/>
    </w:rPr>
  </w:style>
  <w:style w:type="paragraph" w:styleId="3">
    <w:name w:val="heading 3"/>
    <w:aliases w:val="(一)"/>
    <w:basedOn w:val="a4"/>
    <w:link w:val="30"/>
    <w:qFormat/>
    <w:rsid w:val="004F5E57"/>
    <w:pPr>
      <w:numPr>
        <w:ilvl w:val="2"/>
        <w:numId w:val="8"/>
      </w:numPr>
      <w:outlineLvl w:val="2"/>
    </w:pPr>
    <w:rPr>
      <w:rFonts w:hAnsi="Arial"/>
      <w:bCs/>
      <w:kern w:val="32"/>
      <w:szCs w:val="36"/>
    </w:rPr>
  </w:style>
  <w:style w:type="paragraph" w:styleId="4">
    <w:name w:val="heading 4"/>
    <w:aliases w:val="表格"/>
    <w:basedOn w:val="a4"/>
    <w:link w:val="40"/>
    <w:qFormat/>
    <w:rsid w:val="004F5E57"/>
    <w:pPr>
      <w:numPr>
        <w:ilvl w:val="3"/>
        <w:numId w:val="8"/>
      </w:numPr>
      <w:outlineLvl w:val="3"/>
    </w:pPr>
    <w:rPr>
      <w:rFonts w:hAnsi="Arial"/>
      <w:kern w:val="32"/>
      <w:szCs w:val="36"/>
    </w:rPr>
  </w:style>
  <w:style w:type="paragraph" w:styleId="5">
    <w:name w:val="heading 5"/>
    <w:basedOn w:val="a4"/>
    <w:link w:val="50"/>
    <w:qFormat/>
    <w:rsid w:val="004F5E57"/>
    <w:pPr>
      <w:numPr>
        <w:ilvl w:val="4"/>
        <w:numId w:val="8"/>
      </w:numPr>
      <w:outlineLvl w:val="4"/>
    </w:pPr>
    <w:rPr>
      <w:rFonts w:hAnsi="Arial"/>
      <w:bCs/>
      <w:kern w:val="32"/>
      <w:szCs w:val="36"/>
    </w:rPr>
  </w:style>
  <w:style w:type="paragraph" w:styleId="6">
    <w:name w:val="heading 6"/>
    <w:basedOn w:val="a4"/>
    <w:link w:val="60"/>
    <w:qFormat/>
    <w:rsid w:val="004F5E57"/>
    <w:pPr>
      <w:numPr>
        <w:ilvl w:val="5"/>
        <w:numId w:val="8"/>
      </w:numPr>
      <w:tabs>
        <w:tab w:val="left" w:pos="2094"/>
      </w:tabs>
      <w:outlineLvl w:val="5"/>
    </w:pPr>
    <w:rPr>
      <w:rFonts w:hAnsi="Arial"/>
      <w:kern w:val="32"/>
      <w:szCs w:val="36"/>
    </w:rPr>
  </w:style>
  <w:style w:type="paragraph" w:styleId="7">
    <w:name w:val="heading 7"/>
    <w:basedOn w:val="a4"/>
    <w:link w:val="70"/>
    <w:qFormat/>
    <w:rsid w:val="004F5E57"/>
    <w:pPr>
      <w:numPr>
        <w:ilvl w:val="6"/>
        <w:numId w:val="8"/>
      </w:numPr>
      <w:outlineLvl w:val="6"/>
    </w:pPr>
    <w:rPr>
      <w:rFonts w:hAnsi="Arial"/>
      <w:bCs/>
      <w:kern w:val="32"/>
      <w:szCs w:val="36"/>
    </w:rPr>
  </w:style>
  <w:style w:type="paragraph" w:styleId="8">
    <w:name w:val="heading 8"/>
    <w:basedOn w:val="a4"/>
    <w:link w:val="80"/>
    <w:qFormat/>
    <w:rsid w:val="004F5E57"/>
    <w:pPr>
      <w:numPr>
        <w:ilvl w:val="7"/>
        <w:numId w:val="8"/>
      </w:numPr>
      <w:outlineLvl w:val="7"/>
    </w:pPr>
    <w:rPr>
      <w:rFonts w:hAnsi="Arial"/>
      <w:kern w:val="32"/>
      <w:szCs w:val="36"/>
    </w:rPr>
  </w:style>
  <w:style w:type="paragraph" w:styleId="9">
    <w:name w:val="heading 9"/>
    <w:basedOn w:val="a4"/>
    <w:link w:val="90"/>
    <w:uiPriority w:val="9"/>
    <w:unhideWhenUsed/>
    <w:qFormat/>
    <w:rsid w:val="00C055EC"/>
    <w:pPr>
      <w:numPr>
        <w:ilvl w:val="8"/>
        <w:numId w:val="8"/>
      </w:numPr>
      <w:outlineLvl w:val="8"/>
    </w:pPr>
    <w:rPr>
      <w:rFonts w:hAnsiTheme="majorHAnsi" w:cstheme="majorBidi"/>
      <w:kern w:val="32"/>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Signature"/>
    <w:basedOn w:val="a4"/>
    <w:link w:val="a9"/>
    <w:semiHidden/>
    <w:rsid w:val="004E0062"/>
    <w:pPr>
      <w:spacing w:before="720" w:after="720"/>
      <w:ind w:left="7371"/>
    </w:pPr>
    <w:rPr>
      <w:b/>
      <w:snapToGrid w:val="0"/>
      <w:spacing w:val="10"/>
      <w:sz w:val="36"/>
    </w:rPr>
  </w:style>
  <w:style w:type="paragraph" w:styleId="aa">
    <w:name w:val="endnote text"/>
    <w:basedOn w:val="a4"/>
    <w:link w:val="ab"/>
    <w:semiHidden/>
    <w:rsid w:val="004E0062"/>
    <w:pPr>
      <w:kinsoku w:val="0"/>
      <w:autoSpaceDE/>
      <w:spacing w:before="240"/>
      <w:ind w:left="1021" w:hanging="1021"/>
    </w:pPr>
    <w:rPr>
      <w:snapToGrid w:val="0"/>
      <w:spacing w:val="10"/>
    </w:rPr>
  </w:style>
  <w:style w:type="paragraph" w:styleId="51">
    <w:name w:val="toc 5"/>
    <w:basedOn w:val="a4"/>
    <w:next w:val="a4"/>
    <w:autoRedefine/>
    <w:semiHidden/>
    <w:rsid w:val="004E0062"/>
    <w:pPr>
      <w:ind w:leftChars="400" w:left="600" w:rightChars="200" w:right="200" w:hangingChars="200" w:hanging="200"/>
    </w:pPr>
  </w:style>
  <w:style w:type="character" w:styleId="ac">
    <w:name w:val="page number"/>
    <w:basedOn w:val="a5"/>
    <w:semiHidden/>
    <w:rsid w:val="004E0062"/>
    <w:rPr>
      <w:rFonts w:ascii="標楷體" w:eastAsia="標楷體"/>
      <w:sz w:val="20"/>
    </w:rPr>
  </w:style>
  <w:style w:type="paragraph" w:styleId="61">
    <w:name w:val="toc 6"/>
    <w:basedOn w:val="a4"/>
    <w:next w:val="a4"/>
    <w:autoRedefine/>
    <w:semiHidden/>
    <w:rsid w:val="004E0062"/>
    <w:pPr>
      <w:ind w:leftChars="500" w:left="500"/>
    </w:pPr>
  </w:style>
  <w:style w:type="paragraph" w:customStyle="1" w:styleId="11">
    <w:name w:val="段落樣式1"/>
    <w:basedOn w:val="a4"/>
    <w:qFormat/>
    <w:rsid w:val="004F5E57"/>
    <w:pPr>
      <w:tabs>
        <w:tab w:val="left" w:pos="567"/>
      </w:tabs>
      <w:ind w:leftChars="200" w:left="200" w:firstLineChars="200" w:firstLine="200"/>
    </w:pPr>
    <w:rPr>
      <w:kern w:val="32"/>
    </w:rPr>
  </w:style>
  <w:style w:type="paragraph" w:customStyle="1" w:styleId="21">
    <w:name w:val="段落樣式2"/>
    <w:basedOn w:val="a4"/>
    <w:qFormat/>
    <w:rsid w:val="004F5E57"/>
    <w:pPr>
      <w:tabs>
        <w:tab w:val="left" w:pos="567"/>
      </w:tabs>
      <w:ind w:leftChars="300" w:left="300" w:firstLineChars="200" w:firstLine="200"/>
    </w:pPr>
    <w:rPr>
      <w:kern w:val="32"/>
    </w:rPr>
  </w:style>
  <w:style w:type="paragraph" w:styleId="12">
    <w:name w:val="toc 1"/>
    <w:basedOn w:val="a4"/>
    <w:next w:val="a4"/>
    <w:autoRedefine/>
    <w:rsid w:val="00CC7690"/>
    <w:pPr>
      <w:tabs>
        <w:tab w:val="right" w:leader="hyphen" w:pos="8834"/>
      </w:tabs>
      <w:kinsoku w:val="0"/>
      <w:ind w:left="400" w:rightChars="100" w:right="100" w:hangingChars="400" w:hanging="400"/>
    </w:pPr>
    <w:rPr>
      <w:noProof/>
      <w:szCs w:val="32"/>
    </w:rPr>
  </w:style>
  <w:style w:type="paragraph" w:styleId="22">
    <w:name w:val="toc 2"/>
    <w:basedOn w:val="a4"/>
    <w:next w:val="a4"/>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4"/>
    <w:next w:val="a4"/>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4"/>
    <w:next w:val="a4"/>
    <w:autoRedefine/>
    <w:semiHidden/>
    <w:rsid w:val="004E0062"/>
    <w:pPr>
      <w:kinsoku w:val="0"/>
      <w:ind w:leftChars="300" w:left="500" w:rightChars="200" w:right="200" w:hangingChars="200" w:hanging="200"/>
    </w:pPr>
  </w:style>
  <w:style w:type="paragraph" w:styleId="71">
    <w:name w:val="toc 7"/>
    <w:basedOn w:val="a4"/>
    <w:next w:val="a4"/>
    <w:autoRedefine/>
    <w:semiHidden/>
    <w:rsid w:val="004E0062"/>
    <w:pPr>
      <w:ind w:leftChars="600" w:left="800" w:hangingChars="200" w:hanging="200"/>
    </w:pPr>
  </w:style>
  <w:style w:type="paragraph" w:styleId="81">
    <w:name w:val="toc 8"/>
    <w:basedOn w:val="a4"/>
    <w:next w:val="a4"/>
    <w:autoRedefine/>
    <w:semiHidden/>
    <w:rsid w:val="004E0062"/>
    <w:pPr>
      <w:ind w:leftChars="700" w:left="900" w:hangingChars="200" w:hanging="200"/>
    </w:pPr>
  </w:style>
  <w:style w:type="paragraph" w:styleId="91">
    <w:name w:val="toc 9"/>
    <w:basedOn w:val="a4"/>
    <w:next w:val="a4"/>
    <w:autoRedefine/>
    <w:semiHidden/>
    <w:rsid w:val="004E0062"/>
    <w:pPr>
      <w:ind w:leftChars="1600" w:left="3840"/>
    </w:pPr>
  </w:style>
  <w:style w:type="paragraph" w:styleId="ad">
    <w:name w:val="header"/>
    <w:basedOn w:val="a4"/>
    <w:link w:val="ae"/>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5"/>
    <w:rsid w:val="004E0062"/>
    <w:rPr>
      <w:color w:val="0000FF"/>
      <w:u w:val="single"/>
    </w:rPr>
  </w:style>
  <w:style w:type="paragraph" w:customStyle="1" w:styleId="af0">
    <w:name w:val="簽名日期"/>
    <w:basedOn w:val="a4"/>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f2">
    <w:name w:val="附表樣式"/>
    <w:basedOn w:val="a4"/>
    <w:qFormat/>
    <w:rsid w:val="00B77D18"/>
    <w:pPr>
      <w:keepNext/>
      <w:outlineLvl w:val="0"/>
    </w:pPr>
    <w:rPr>
      <w:kern w:val="32"/>
    </w:rPr>
  </w:style>
  <w:style w:type="paragraph" w:styleId="af3">
    <w:name w:val="Body Text Indent"/>
    <w:basedOn w:val="a4"/>
    <w:link w:val="af4"/>
    <w:semiHidden/>
    <w:rsid w:val="004E0062"/>
    <w:pPr>
      <w:ind w:left="698" w:hangingChars="200" w:hanging="698"/>
    </w:pPr>
  </w:style>
  <w:style w:type="paragraph" w:customStyle="1" w:styleId="af5">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4"/>
    <w:rsid w:val="006072CD"/>
    <w:pPr>
      <w:adjustRightInd w:val="0"/>
      <w:snapToGrid w:val="0"/>
      <w:spacing w:line="360" w:lineRule="exact"/>
    </w:pPr>
    <w:rPr>
      <w:snapToGrid w:val="0"/>
      <w:spacing w:val="-14"/>
      <w:kern w:val="0"/>
      <w:sz w:val="28"/>
    </w:rPr>
  </w:style>
  <w:style w:type="paragraph" w:customStyle="1" w:styleId="a">
    <w:name w:val="附圖樣式"/>
    <w:basedOn w:val="a4"/>
    <w:qFormat/>
    <w:rsid w:val="00B77D18"/>
    <w:pPr>
      <w:keepNext/>
      <w:numPr>
        <w:numId w:val="3"/>
      </w:numPr>
      <w:tabs>
        <w:tab w:val="clear" w:pos="1440"/>
      </w:tabs>
      <w:ind w:left="400" w:hangingChars="400" w:hanging="400"/>
      <w:outlineLvl w:val="0"/>
    </w:pPr>
    <w:rPr>
      <w:kern w:val="32"/>
    </w:rPr>
  </w:style>
  <w:style w:type="paragraph" w:styleId="af6">
    <w:name w:val="footer"/>
    <w:basedOn w:val="a4"/>
    <w:link w:val="af7"/>
    <w:semiHidden/>
    <w:rsid w:val="004E0062"/>
    <w:pPr>
      <w:tabs>
        <w:tab w:val="center" w:pos="4153"/>
        <w:tab w:val="right" w:pos="8306"/>
      </w:tabs>
      <w:snapToGrid w:val="0"/>
    </w:pPr>
    <w:rPr>
      <w:sz w:val="20"/>
    </w:rPr>
  </w:style>
  <w:style w:type="paragraph" w:styleId="af8">
    <w:name w:val="table of figures"/>
    <w:basedOn w:val="a4"/>
    <w:next w:val="a4"/>
    <w:semiHidden/>
    <w:rsid w:val="004E0062"/>
    <w:pPr>
      <w:ind w:left="400" w:hangingChars="400" w:hanging="400"/>
    </w:pPr>
  </w:style>
  <w:style w:type="paragraph" w:customStyle="1" w:styleId="140">
    <w:name w:val="表格標題14"/>
    <w:basedOn w:val="a4"/>
    <w:rsid w:val="00E15352"/>
    <w:pPr>
      <w:keepNext/>
      <w:adjustRightInd w:val="0"/>
      <w:snapToGrid w:val="0"/>
      <w:spacing w:before="40" w:after="40" w:line="320" w:lineRule="exact"/>
      <w:jc w:val="center"/>
    </w:pPr>
    <w:rPr>
      <w:snapToGrid w:val="0"/>
      <w:spacing w:val="-10"/>
      <w:kern w:val="0"/>
      <w:sz w:val="28"/>
    </w:rPr>
  </w:style>
  <w:style w:type="paragraph" w:customStyle="1" w:styleId="a1">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4"/>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4"/>
    <w:qFormat/>
    <w:rsid w:val="00860463"/>
    <w:pPr>
      <w:numPr>
        <w:numId w:val="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6"/>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2">
    <w:name w:val="附錄"/>
    <w:basedOn w:val="a4"/>
    <w:qFormat/>
    <w:rsid w:val="00B77D18"/>
    <w:pPr>
      <w:keepNext/>
      <w:numPr>
        <w:numId w:val="7"/>
      </w:numPr>
      <w:ind w:left="350" w:hangingChars="350" w:hanging="350"/>
      <w:outlineLvl w:val="0"/>
    </w:pPr>
    <w:rPr>
      <w:kern w:val="32"/>
    </w:rPr>
  </w:style>
  <w:style w:type="paragraph" w:styleId="afb">
    <w:name w:val="List Paragraph"/>
    <w:basedOn w:val="a4"/>
    <w:uiPriority w:val="34"/>
    <w:qFormat/>
    <w:rsid w:val="00687024"/>
    <w:pPr>
      <w:ind w:leftChars="200" w:left="480"/>
    </w:pPr>
  </w:style>
  <w:style w:type="paragraph" w:styleId="afc">
    <w:name w:val="Balloon Text"/>
    <w:basedOn w:val="a4"/>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5"/>
    <w:link w:val="afc"/>
    <w:uiPriority w:val="99"/>
    <w:semiHidden/>
    <w:rsid w:val="00C530DC"/>
    <w:rPr>
      <w:rFonts w:asciiTheme="majorHAnsi" w:eastAsiaTheme="majorEastAsia" w:hAnsiTheme="majorHAnsi" w:cstheme="majorBidi"/>
      <w:kern w:val="2"/>
      <w:sz w:val="18"/>
      <w:szCs w:val="18"/>
    </w:rPr>
  </w:style>
  <w:style w:type="paragraph" w:customStyle="1" w:styleId="a3">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e">
    <w:name w:val="附件樣式"/>
    <w:basedOn w:val="a4"/>
    <w:qFormat/>
    <w:rsid w:val="00B77D18"/>
    <w:pPr>
      <w:keepNext/>
      <w:outlineLvl w:val="0"/>
    </w:pPr>
    <w:rPr>
      <w:kern w:val="32"/>
    </w:rPr>
  </w:style>
  <w:style w:type="character" w:customStyle="1" w:styleId="90">
    <w:name w:val="標題 9 字元"/>
    <w:basedOn w:val="a5"/>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4"/>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5"/>
    <w:link w:val="aff"/>
    <w:uiPriority w:val="99"/>
    <w:semiHidden/>
    <w:rsid w:val="004F472A"/>
    <w:rPr>
      <w:rFonts w:ascii="Calibri" w:eastAsia="標楷體" w:hAnsi="Courier New" w:cs="Courier New"/>
      <w:color w:val="244061" w:themeColor="accent1" w:themeShade="80"/>
      <w:sz w:val="28"/>
      <w:szCs w:val="24"/>
    </w:rPr>
  </w:style>
  <w:style w:type="character" w:customStyle="1" w:styleId="10">
    <w:name w:val="標題 1 字元"/>
    <w:basedOn w:val="a5"/>
    <w:link w:val="1"/>
    <w:rsid w:val="00EA61C5"/>
    <w:rPr>
      <w:rFonts w:ascii="標楷體" w:eastAsia="標楷體" w:hAnsi="Arial"/>
      <w:bCs/>
      <w:kern w:val="32"/>
      <w:sz w:val="32"/>
      <w:szCs w:val="52"/>
    </w:rPr>
  </w:style>
  <w:style w:type="character" w:customStyle="1" w:styleId="20">
    <w:name w:val="標題 2 字元"/>
    <w:basedOn w:val="a5"/>
    <w:link w:val="2"/>
    <w:rsid w:val="00EA61C5"/>
    <w:rPr>
      <w:rFonts w:ascii="標楷體" w:eastAsia="標楷體" w:hAnsi="Arial"/>
      <w:bCs/>
      <w:kern w:val="32"/>
      <w:sz w:val="32"/>
      <w:szCs w:val="48"/>
    </w:rPr>
  </w:style>
  <w:style w:type="character" w:customStyle="1" w:styleId="30">
    <w:name w:val="標題 3 字元"/>
    <w:aliases w:val="(一) 字元"/>
    <w:basedOn w:val="a5"/>
    <w:link w:val="3"/>
    <w:rsid w:val="00EA61C5"/>
    <w:rPr>
      <w:rFonts w:ascii="標楷體" w:eastAsia="標楷體" w:hAnsi="Arial"/>
      <w:bCs/>
      <w:kern w:val="32"/>
      <w:sz w:val="32"/>
      <w:szCs w:val="36"/>
    </w:rPr>
  </w:style>
  <w:style w:type="character" w:customStyle="1" w:styleId="40">
    <w:name w:val="標題 4 字元"/>
    <w:aliases w:val="表格 字元"/>
    <w:basedOn w:val="a5"/>
    <w:link w:val="4"/>
    <w:rsid w:val="00EA61C5"/>
    <w:rPr>
      <w:rFonts w:ascii="標楷體" w:eastAsia="標楷體" w:hAnsi="Arial"/>
      <w:kern w:val="32"/>
      <w:sz w:val="32"/>
      <w:szCs w:val="36"/>
    </w:rPr>
  </w:style>
  <w:style w:type="character" w:customStyle="1" w:styleId="50">
    <w:name w:val="標題 5 字元"/>
    <w:basedOn w:val="a5"/>
    <w:link w:val="5"/>
    <w:rsid w:val="00EA61C5"/>
    <w:rPr>
      <w:rFonts w:ascii="標楷體" w:eastAsia="標楷體" w:hAnsi="Arial"/>
      <w:bCs/>
      <w:kern w:val="32"/>
      <w:sz w:val="32"/>
      <w:szCs w:val="36"/>
    </w:rPr>
  </w:style>
  <w:style w:type="character" w:customStyle="1" w:styleId="60">
    <w:name w:val="標題 6 字元"/>
    <w:basedOn w:val="a5"/>
    <w:link w:val="6"/>
    <w:rsid w:val="00EA61C5"/>
    <w:rPr>
      <w:rFonts w:ascii="標楷體" w:eastAsia="標楷體" w:hAnsi="Arial"/>
      <w:kern w:val="32"/>
      <w:sz w:val="32"/>
      <w:szCs w:val="36"/>
    </w:rPr>
  </w:style>
  <w:style w:type="character" w:customStyle="1" w:styleId="70">
    <w:name w:val="標題 7 字元"/>
    <w:basedOn w:val="a5"/>
    <w:link w:val="7"/>
    <w:rsid w:val="00EA61C5"/>
    <w:rPr>
      <w:rFonts w:ascii="標楷體" w:eastAsia="標楷體" w:hAnsi="Arial"/>
      <w:bCs/>
      <w:kern w:val="32"/>
      <w:sz w:val="32"/>
      <w:szCs w:val="36"/>
    </w:rPr>
  </w:style>
  <w:style w:type="character" w:customStyle="1" w:styleId="80">
    <w:name w:val="標題 8 字元"/>
    <w:basedOn w:val="a5"/>
    <w:link w:val="8"/>
    <w:rsid w:val="00EA61C5"/>
    <w:rPr>
      <w:rFonts w:ascii="標楷體" w:eastAsia="標楷體" w:hAnsi="Arial"/>
      <w:kern w:val="32"/>
      <w:sz w:val="32"/>
      <w:szCs w:val="36"/>
    </w:rPr>
  </w:style>
  <w:style w:type="character" w:customStyle="1" w:styleId="a9">
    <w:name w:val="簽名 字元"/>
    <w:basedOn w:val="a5"/>
    <w:link w:val="a8"/>
    <w:semiHidden/>
    <w:rsid w:val="00EA61C5"/>
    <w:rPr>
      <w:rFonts w:ascii="標楷體" w:eastAsia="標楷體"/>
      <w:b/>
      <w:snapToGrid w:val="0"/>
      <w:spacing w:val="10"/>
      <w:kern w:val="2"/>
      <w:sz w:val="36"/>
    </w:rPr>
  </w:style>
  <w:style w:type="character" w:customStyle="1" w:styleId="ab">
    <w:name w:val="章節附註文字 字元"/>
    <w:basedOn w:val="a5"/>
    <w:link w:val="aa"/>
    <w:semiHidden/>
    <w:rsid w:val="00EA61C5"/>
    <w:rPr>
      <w:rFonts w:ascii="標楷體" w:eastAsia="標楷體"/>
      <w:snapToGrid w:val="0"/>
      <w:spacing w:val="10"/>
      <w:kern w:val="2"/>
      <w:sz w:val="32"/>
    </w:rPr>
  </w:style>
  <w:style w:type="character" w:customStyle="1" w:styleId="ae">
    <w:name w:val="頁首 字元"/>
    <w:basedOn w:val="a5"/>
    <w:link w:val="ad"/>
    <w:semiHidden/>
    <w:rsid w:val="00EA61C5"/>
    <w:rPr>
      <w:rFonts w:ascii="標楷體" w:eastAsia="標楷體"/>
      <w:kern w:val="2"/>
    </w:rPr>
  </w:style>
  <w:style w:type="paragraph" w:customStyle="1" w:styleId="aff1">
    <w:name w:val="表樣式"/>
    <w:basedOn w:val="a4"/>
    <w:next w:val="a4"/>
    <w:rsid w:val="00EA61C5"/>
    <w:pPr>
      <w:tabs>
        <w:tab w:val="num" w:pos="1440"/>
      </w:tabs>
      <w:overflowPunct/>
      <w:autoSpaceDE/>
      <w:autoSpaceDN/>
      <w:ind w:left="695" w:hanging="695"/>
    </w:pPr>
    <w:rPr>
      <w:kern w:val="0"/>
    </w:rPr>
  </w:style>
  <w:style w:type="character" w:customStyle="1" w:styleId="af4">
    <w:name w:val="本文縮排 字元"/>
    <w:basedOn w:val="a5"/>
    <w:link w:val="af3"/>
    <w:semiHidden/>
    <w:rsid w:val="00EA61C5"/>
    <w:rPr>
      <w:rFonts w:ascii="標楷體" w:eastAsia="標楷體"/>
      <w:kern w:val="2"/>
      <w:sz w:val="32"/>
    </w:rPr>
  </w:style>
  <w:style w:type="paragraph" w:customStyle="1" w:styleId="aff2">
    <w:name w:val="圖樣式"/>
    <w:basedOn w:val="a4"/>
    <w:next w:val="a4"/>
    <w:rsid w:val="00EA61C5"/>
    <w:pPr>
      <w:overflowPunct/>
      <w:autoSpaceDE/>
      <w:autoSpaceDN/>
      <w:ind w:left="400" w:hangingChars="400" w:hanging="400"/>
    </w:pPr>
  </w:style>
  <w:style w:type="character" w:customStyle="1" w:styleId="af7">
    <w:name w:val="頁尾 字元"/>
    <w:basedOn w:val="a5"/>
    <w:link w:val="af6"/>
    <w:semiHidden/>
    <w:rsid w:val="00EA61C5"/>
    <w:rPr>
      <w:rFonts w:ascii="標楷體" w:eastAsia="標楷體"/>
      <w:kern w:val="2"/>
    </w:rPr>
  </w:style>
  <w:style w:type="paragraph" w:styleId="aff3">
    <w:name w:val="footnote text"/>
    <w:basedOn w:val="a4"/>
    <w:link w:val="aff4"/>
    <w:uiPriority w:val="99"/>
    <w:semiHidden/>
    <w:unhideWhenUsed/>
    <w:rsid w:val="00EA61C5"/>
    <w:pPr>
      <w:overflowPunct/>
      <w:autoSpaceDE/>
      <w:autoSpaceDN/>
      <w:snapToGrid w:val="0"/>
      <w:jc w:val="left"/>
    </w:pPr>
    <w:rPr>
      <w:rFonts w:ascii="Times New Roman"/>
      <w:sz w:val="20"/>
    </w:rPr>
  </w:style>
  <w:style w:type="character" w:customStyle="1" w:styleId="aff4">
    <w:name w:val="註腳文字 字元"/>
    <w:basedOn w:val="a5"/>
    <w:link w:val="aff3"/>
    <w:uiPriority w:val="99"/>
    <w:semiHidden/>
    <w:rsid w:val="00EA61C5"/>
    <w:rPr>
      <w:rFonts w:eastAsia="標楷體"/>
      <w:kern w:val="2"/>
    </w:rPr>
  </w:style>
  <w:style w:type="character" w:styleId="aff5">
    <w:name w:val="footnote reference"/>
    <w:basedOn w:val="a5"/>
    <w:uiPriority w:val="99"/>
    <w:semiHidden/>
    <w:unhideWhenUsed/>
    <w:rsid w:val="00EA61C5"/>
    <w:rPr>
      <w:vertAlign w:val="superscript"/>
    </w:rPr>
  </w:style>
  <w:style w:type="paragraph" w:styleId="HTML">
    <w:name w:val="HTML Preformatted"/>
    <w:basedOn w:val="a4"/>
    <w:link w:val="HTML0"/>
    <w:uiPriority w:val="99"/>
    <w:unhideWhenUsed/>
    <w:rsid w:val="00EA61C5"/>
    <w:pPr>
      <w:overflowPunct/>
      <w:autoSpaceDE/>
      <w:autoSpaceDN/>
      <w:jc w:val="left"/>
    </w:pPr>
    <w:rPr>
      <w:rFonts w:ascii="Courier New" w:hAnsi="Courier New" w:cs="Courier New"/>
      <w:sz w:val="20"/>
    </w:rPr>
  </w:style>
  <w:style w:type="character" w:customStyle="1" w:styleId="HTML0">
    <w:name w:val="HTML 預設格式 字元"/>
    <w:basedOn w:val="a5"/>
    <w:link w:val="HTML"/>
    <w:uiPriority w:val="99"/>
    <w:rsid w:val="00EA61C5"/>
    <w:rPr>
      <w:rFonts w:ascii="Courier New" w:eastAsia="標楷體" w:hAnsi="Courier New" w:cs="Courier New"/>
      <w:kern w:val="2"/>
    </w:rPr>
  </w:style>
  <w:style w:type="paragraph" w:styleId="Web">
    <w:name w:val="Normal (Web)"/>
    <w:basedOn w:val="a4"/>
    <w:uiPriority w:val="99"/>
    <w:semiHidden/>
    <w:unhideWhenUsed/>
    <w:rsid w:val="00EA61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gc">
    <w:name w:val="_tgc"/>
    <w:basedOn w:val="a5"/>
    <w:rsid w:val="00EA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0E86-FEB2-45F7-BD25-8ACC11D7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1493</Words>
  <Characters>8512</Characters>
  <Application>Microsoft Office Word</Application>
  <DocSecurity>0</DocSecurity>
  <Lines>70</Lines>
  <Paragraphs>19</Paragraphs>
  <ScaleCrop>false</ScaleCrop>
  <Company>cy</Company>
  <LinksUpToDate>false</LinksUpToDate>
  <CharactersWithSpaces>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王增華</cp:lastModifiedBy>
  <cp:revision>2</cp:revision>
  <cp:lastPrinted>2018-01-10T06:14:00Z</cp:lastPrinted>
  <dcterms:created xsi:type="dcterms:W3CDTF">2018-01-11T09:26:00Z</dcterms:created>
  <dcterms:modified xsi:type="dcterms:W3CDTF">2018-01-11T09:26:00Z</dcterms:modified>
</cp:coreProperties>
</file>