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2BA" w:rsidRPr="005C0958" w:rsidRDefault="002F7484">
      <w:pPr>
        <w:pStyle w:val="a6"/>
        <w:kinsoku w:val="0"/>
        <w:spacing w:before="0"/>
        <w:ind w:leftChars="700" w:left="2381" w:firstLine="0"/>
        <w:rPr>
          <w:b/>
          <w:bCs/>
          <w:snapToGrid/>
          <w:color w:val="000000" w:themeColor="text1"/>
          <w:spacing w:val="200"/>
          <w:kern w:val="0"/>
          <w:sz w:val="40"/>
        </w:rPr>
      </w:pPr>
      <w:r w:rsidRPr="005C0958">
        <w:rPr>
          <w:rFonts w:hint="eastAsia"/>
          <w:b/>
          <w:bCs/>
          <w:snapToGrid/>
          <w:color w:val="000000" w:themeColor="text1"/>
          <w:spacing w:val="200"/>
          <w:kern w:val="0"/>
          <w:sz w:val="40"/>
        </w:rPr>
        <w:t>調查</w:t>
      </w:r>
      <w:r w:rsidR="00014552" w:rsidRPr="005C0958">
        <w:rPr>
          <w:rFonts w:hint="eastAsia"/>
          <w:b/>
          <w:bCs/>
          <w:snapToGrid/>
          <w:color w:val="000000" w:themeColor="text1"/>
          <w:spacing w:val="200"/>
          <w:kern w:val="0"/>
          <w:sz w:val="40"/>
        </w:rPr>
        <w:t>報告</w:t>
      </w:r>
    </w:p>
    <w:p w:rsidR="00AE52BA" w:rsidRPr="005C0958" w:rsidRDefault="002F7484" w:rsidP="00272628">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C095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72628" w:rsidRPr="005C0958">
        <w:rPr>
          <w:rFonts w:hint="eastAsia"/>
          <w:color w:val="000000" w:themeColor="text1"/>
        </w:rPr>
        <w:t>據悉，法學界學者呼籲，現行調度司法警察條例係規定警察與檢察官及法官間的關係，惟該條例早於行憲前即已制定，條例內容迄今已有所不宜，應予廢止。茲因法律應與時俱進，如該條例與晚近修正之刑事訴訟法或刑事妥速審判法等相關法律之內容有部分重疊，或實務運作機制已經調整，主管機關法務部即應有所因應。究該條例能否順應實需？有深入調查之必要案。</w:t>
      </w:r>
    </w:p>
    <w:p w:rsidR="004B6A36" w:rsidRPr="005C0958" w:rsidRDefault="004B6A36" w:rsidP="004B6A36">
      <w:pPr>
        <w:pStyle w:val="1"/>
        <w:ind w:left="2380" w:hanging="2380"/>
        <w:rPr>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5C0958">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B6A36" w:rsidRPr="005C0958" w:rsidRDefault="004B6A36" w:rsidP="00663FFD">
      <w:pPr>
        <w:pStyle w:val="10"/>
        <w:spacing w:line="440" w:lineRule="exact"/>
        <w:ind w:left="680" w:firstLine="680"/>
        <w:rPr>
          <w:bCs/>
          <w:color w:val="000000" w:themeColor="text1"/>
        </w:rPr>
      </w:pPr>
      <w:bookmarkStart w:id="45" w:name="_Toc524902730"/>
      <w:r w:rsidRPr="005C0958">
        <w:rPr>
          <w:rFonts w:hint="eastAsia"/>
          <w:bCs/>
          <w:color w:val="000000" w:themeColor="text1"/>
        </w:rPr>
        <w:t>調度司法警察條例（下稱本條例）係規範警察與檢察官及法官合作模式之重要法律，</w:t>
      </w:r>
      <w:r w:rsidR="00DC3BF3" w:rsidRPr="005C0958">
        <w:rPr>
          <w:rFonts w:hint="eastAsia"/>
          <w:bCs/>
          <w:color w:val="000000" w:themeColor="text1"/>
        </w:rPr>
        <w:t>經彙整實務發生之諸多事例，認為</w:t>
      </w:r>
      <w:r w:rsidRPr="005C0958">
        <w:rPr>
          <w:rFonts w:hint="eastAsia"/>
          <w:bCs/>
          <w:color w:val="000000" w:themeColor="text1"/>
        </w:rPr>
        <w:t>本條例</w:t>
      </w:r>
      <w:r w:rsidR="00DC3BF3" w:rsidRPr="005C0958">
        <w:rPr>
          <w:rFonts w:hint="eastAsia"/>
          <w:bCs/>
          <w:color w:val="000000" w:themeColor="text1"/>
        </w:rPr>
        <w:t>因</w:t>
      </w:r>
      <w:r w:rsidRPr="005C0958">
        <w:rPr>
          <w:rFonts w:hint="eastAsia"/>
          <w:bCs/>
          <w:color w:val="000000" w:themeColor="text1"/>
        </w:rPr>
        <w:t>未能與時俱進，與實務運作脫節，</w:t>
      </w:r>
      <w:r w:rsidR="00DC3BF3" w:rsidRPr="005C0958">
        <w:rPr>
          <w:rFonts w:hint="eastAsia"/>
          <w:bCs/>
          <w:color w:val="000000" w:themeColor="text1"/>
        </w:rPr>
        <w:t>已</w:t>
      </w:r>
      <w:r w:rsidRPr="005C0958">
        <w:rPr>
          <w:rFonts w:hint="eastAsia"/>
          <w:bCs/>
          <w:color w:val="000000" w:themeColor="text1"/>
        </w:rPr>
        <w:t>產生法</w:t>
      </w:r>
      <w:r w:rsidR="00B737E4" w:rsidRPr="005C0958">
        <w:rPr>
          <w:rFonts w:hint="eastAsia"/>
          <w:bCs/>
          <w:color w:val="000000" w:themeColor="text1"/>
        </w:rPr>
        <w:t>官</w:t>
      </w:r>
      <w:r w:rsidRPr="005C0958">
        <w:rPr>
          <w:rFonts w:hint="eastAsia"/>
          <w:bCs/>
          <w:color w:val="000000" w:themeColor="text1"/>
        </w:rPr>
        <w:t>、檢察官、警察間合作聯繫</w:t>
      </w:r>
      <w:r w:rsidR="00DB17BE" w:rsidRPr="005C0958">
        <w:rPr>
          <w:rFonts w:hint="eastAsia"/>
          <w:bCs/>
          <w:color w:val="000000" w:themeColor="text1"/>
        </w:rPr>
        <w:t>之</w:t>
      </w:r>
      <w:r w:rsidRPr="005C0958">
        <w:rPr>
          <w:rFonts w:hint="eastAsia"/>
          <w:bCs/>
          <w:color w:val="000000" w:themeColor="text1"/>
        </w:rPr>
        <w:t>窒礙</w:t>
      </w:r>
      <w:r w:rsidR="00DC3BF3" w:rsidRPr="005C0958">
        <w:rPr>
          <w:rFonts w:hint="eastAsia"/>
          <w:bCs/>
          <w:color w:val="000000" w:themeColor="text1"/>
        </w:rPr>
        <w:t>，爰立案</w:t>
      </w:r>
      <w:r w:rsidR="00DB17BE" w:rsidRPr="005C0958">
        <w:rPr>
          <w:rFonts w:hint="eastAsia"/>
          <w:bCs/>
          <w:color w:val="000000" w:themeColor="text1"/>
        </w:rPr>
        <w:t>調查，</w:t>
      </w:r>
      <w:r w:rsidR="00DC3BF3" w:rsidRPr="005C0958">
        <w:rPr>
          <w:rFonts w:hint="eastAsia"/>
          <w:bCs/>
          <w:color w:val="000000" w:themeColor="text1"/>
        </w:rPr>
        <w:t>從法制面及實務面</w:t>
      </w:r>
      <w:r w:rsidR="007C257B" w:rsidRPr="005C0958">
        <w:rPr>
          <w:rFonts w:hint="eastAsia"/>
          <w:bCs/>
          <w:color w:val="000000" w:themeColor="text1"/>
        </w:rPr>
        <w:t>進行</w:t>
      </w:r>
      <w:r w:rsidR="00DC3BF3" w:rsidRPr="005C0958">
        <w:rPr>
          <w:rFonts w:hint="eastAsia"/>
          <w:bCs/>
          <w:color w:val="000000" w:themeColor="text1"/>
        </w:rPr>
        <w:t>瞭解</w:t>
      </w:r>
      <w:r w:rsidRPr="005C0958">
        <w:rPr>
          <w:rFonts w:hint="eastAsia"/>
          <w:bCs/>
          <w:color w:val="000000" w:themeColor="text1"/>
        </w:rPr>
        <w:t>。經函請法務部、內政部</w:t>
      </w:r>
      <w:r w:rsidR="008E5C70" w:rsidRPr="005C0958">
        <w:rPr>
          <w:rFonts w:hint="eastAsia"/>
          <w:bCs/>
          <w:color w:val="000000" w:themeColor="text1"/>
        </w:rPr>
        <w:t>等機關</w:t>
      </w:r>
      <w:r w:rsidRPr="005C0958">
        <w:rPr>
          <w:rFonts w:hint="eastAsia"/>
          <w:bCs/>
          <w:color w:val="000000" w:themeColor="text1"/>
        </w:rPr>
        <w:t>提供相關卷證資料，諮詢</w:t>
      </w:r>
      <w:r w:rsidR="002535EA" w:rsidRPr="005C0958">
        <w:rPr>
          <w:rFonts w:hint="eastAsia"/>
          <w:bCs/>
          <w:color w:val="000000" w:themeColor="text1"/>
        </w:rPr>
        <w:t>國立</w:t>
      </w:r>
      <w:r w:rsidRPr="005C0958">
        <w:rPr>
          <w:rFonts w:hint="eastAsia"/>
          <w:bCs/>
          <w:color w:val="000000" w:themeColor="text1"/>
        </w:rPr>
        <w:t>政治大學許政賢教授、法官協會代表汪怡君法官及陳明呈法官、檢察官協會代表施慶堂主任檢察官及李海龍檢察官、退休警察人員協會代表林奕昌秘書長，並約詢司法院、法務部、內政部</w:t>
      </w:r>
      <w:r w:rsidR="00F33F06" w:rsidRPr="005C0958">
        <w:rPr>
          <w:rFonts w:hint="eastAsia"/>
          <w:bCs/>
          <w:color w:val="000000" w:themeColor="text1"/>
        </w:rPr>
        <w:t>、</w:t>
      </w:r>
      <w:r w:rsidRPr="005C0958">
        <w:rPr>
          <w:rFonts w:hint="eastAsia"/>
          <w:bCs/>
          <w:color w:val="000000" w:themeColor="text1"/>
        </w:rPr>
        <w:t>國防部、憲兵指揮部、</w:t>
      </w:r>
      <w:r w:rsidR="004912B6" w:rsidRPr="005C0958">
        <w:rPr>
          <w:rFonts w:hint="eastAsia"/>
          <w:color w:val="000000" w:themeColor="text1"/>
        </w:rPr>
        <w:t>行政院海岸巡防署（下稱海巡署）</w:t>
      </w:r>
      <w:r w:rsidRPr="005C0958">
        <w:rPr>
          <w:rFonts w:hint="eastAsia"/>
          <w:bCs/>
          <w:color w:val="000000" w:themeColor="text1"/>
        </w:rPr>
        <w:t>、法務部調查局、法務部廉政署等機關代表，已調查完畢，調查意見如下：</w:t>
      </w:r>
    </w:p>
    <w:p w:rsidR="004B6A36" w:rsidRPr="005C0958" w:rsidRDefault="004B6A36" w:rsidP="004B6A36">
      <w:pPr>
        <w:pStyle w:val="2"/>
        <w:rPr>
          <w:b/>
          <w:color w:val="000000" w:themeColor="text1"/>
        </w:rPr>
      </w:pPr>
      <w:r w:rsidRPr="005C0958">
        <w:rPr>
          <w:rFonts w:hint="eastAsia"/>
          <w:b/>
          <w:color w:val="000000" w:themeColor="text1"/>
        </w:rPr>
        <w:t>依我國刑事訴訟現制，檢察官為犯罪偵查之主體，</w:t>
      </w:r>
      <w:r w:rsidR="00E93995" w:rsidRPr="005C0958">
        <w:rPr>
          <w:rFonts w:hint="eastAsia"/>
          <w:b/>
          <w:color w:val="000000" w:themeColor="text1"/>
        </w:rPr>
        <w:t>檢警在司法體系架構中具有從屬性</w:t>
      </w:r>
      <w:r w:rsidRPr="005C0958">
        <w:rPr>
          <w:rFonts w:hint="eastAsia"/>
          <w:b/>
          <w:color w:val="000000" w:themeColor="text1"/>
        </w:rPr>
        <w:t>，而各項作用法中復散見警察應協助執行各項司法任務之規定。調度司法警察條例具有</w:t>
      </w:r>
      <w:r w:rsidR="00E93995" w:rsidRPr="005C0958">
        <w:rPr>
          <w:rFonts w:hint="eastAsia"/>
          <w:b/>
          <w:color w:val="000000" w:themeColor="text1"/>
        </w:rPr>
        <w:t>融合</w:t>
      </w:r>
      <w:r w:rsidRPr="005C0958">
        <w:rPr>
          <w:rFonts w:hint="eastAsia"/>
          <w:b/>
          <w:color w:val="000000" w:themeColor="text1"/>
        </w:rPr>
        <w:t>不同隸屬機關共同執行職務之價值目的</w:t>
      </w:r>
      <w:r w:rsidR="006D27D5" w:rsidRPr="005C0958">
        <w:rPr>
          <w:rFonts w:hint="eastAsia"/>
          <w:b/>
          <w:color w:val="000000" w:themeColor="text1"/>
        </w:rPr>
        <w:t>，</w:t>
      </w:r>
      <w:r w:rsidRPr="005C0958">
        <w:rPr>
          <w:rFonts w:hint="eastAsia"/>
          <w:b/>
          <w:color w:val="000000" w:themeColor="text1"/>
        </w:rPr>
        <w:t>然該條例部分內容陳舊不合時宜，實務運作層面更導致檢警關係之對立緊張，亟待檢討修正。主</w:t>
      </w:r>
      <w:r w:rsidRPr="005C0958">
        <w:rPr>
          <w:rFonts w:hint="eastAsia"/>
          <w:b/>
          <w:color w:val="000000" w:themeColor="text1"/>
        </w:rPr>
        <w:lastRenderedPageBreak/>
        <w:t>管機關法務部宜考量實務運作窒礙之處，本諸機關對等及相互尊重之原則，建立妥適的協調機制，防止權力濫用，並賦予</w:t>
      </w:r>
      <w:r w:rsidR="001B5FCC" w:rsidRPr="005C0958">
        <w:rPr>
          <w:rFonts w:hint="eastAsia"/>
          <w:b/>
          <w:color w:val="000000" w:themeColor="text1"/>
        </w:rPr>
        <w:t>本條例</w:t>
      </w:r>
      <w:r w:rsidRPr="005C0958">
        <w:rPr>
          <w:rFonts w:hint="eastAsia"/>
          <w:b/>
          <w:color w:val="000000" w:themeColor="text1"/>
        </w:rPr>
        <w:t>權力制衡及維護實質正當程序之積極意義。司法院、法務部及內政部更應拋棄本位立場，共同建構符合人民期待的院、檢、警關係。</w:t>
      </w:r>
    </w:p>
    <w:p w:rsidR="00DC3BF3" w:rsidRPr="005C0958" w:rsidRDefault="00DC3BF3" w:rsidP="00DC3BF3">
      <w:pPr>
        <w:pStyle w:val="21"/>
        <w:ind w:left="1020" w:firstLine="680"/>
        <w:rPr>
          <w:b/>
          <w:color w:val="000000" w:themeColor="text1"/>
        </w:rPr>
      </w:pPr>
      <w:r w:rsidRPr="005C0958">
        <w:rPr>
          <w:rFonts w:hint="eastAsia"/>
          <w:color w:val="000000" w:themeColor="text1"/>
        </w:rPr>
        <w:t>本條例自民國（下同）34年行憲前公布施行以來，僅於69年配合審檢分隸修正第12條、第13條條文，相關用語如「設治局長」、「警保處長」、「警士」、「保安機關」、「警察廳長」等，均非現行法制用語，又本條例明定縣市首長、區長、鄉鎮長亦屬司法警察官，有協助及接受檢察官、法官之命令及指揮執行職務之責，亦顯已不合時宜。立法委員多次提案修正或廢除本條例。主管機關法務部雖於102年10月9日提出修正草案，但所提草案如擴大檢察官指令權之適用範圍及維持直接獎懲權等內容，與內政部逕予廢止之建議南轅北轍，毫無交集。經內政部將反對意見陳報行政院後，行政院於103年11月介入協調，然因爭議過大，遂將法務部所提修正草案保留，擱置實質之修正內容，僅最小幅度修正不合時宜之用語，於105年2月1日函請立法院審議，因屆期不連續，該修法草案於105年7月12日經立法院同意撤回。又開南大學鄭善印教授於106年4月26日投書媒體，主張廢止本條例，回歸刑事訴訟法或刑事妥速審判法等法律。有關本條例之制度設計緣由及實務運作所產</w:t>
      </w:r>
      <w:r w:rsidR="007C257B" w:rsidRPr="005C0958">
        <w:rPr>
          <w:rFonts w:hint="eastAsia"/>
          <w:color w:val="000000" w:themeColor="text1"/>
        </w:rPr>
        <w:t>生</w:t>
      </w:r>
      <w:r w:rsidRPr="005C0958">
        <w:rPr>
          <w:rFonts w:hint="eastAsia"/>
          <w:color w:val="000000" w:themeColor="text1"/>
        </w:rPr>
        <w:t>之相關爭議，茲分述如下：</w:t>
      </w:r>
    </w:p>
    <w:p w:rsidR="004B6A36" w:rsidRPr="00EE6B2E" w:rsidRDefault="004B6A36" w:rsidP="007C257B">
      <w:pPr>
        <w:pStyle w:val="3"/>
        <w:rPr>
          <w:b/>
          <w:color w:val="000000" w:themeColor="text1"/>
        </w:rPr>
      </w:pPr>
      <w:r w:rsidRPr="00EE6B2E">
        <w:rPr>
          <w:rFonts w:hint="eastAsia"/>
          <w:b/>
          <w:color w:val="000000" w:themeColor="text1"/>
        </w:rPr>
        <w:t>依法院組織法及警察法，法官、檢察官及司法警察無隸屬關係，各有其法定任務。而我國刑事訴訟現制以檢察官為偵查主體，司法警察為偵查輔助機關，檢警在犯罪偵查</w:t>
      </w:r>
      <w:r w:rsidR="00E93995" w:rsidRPr="00EE6B2E">
        <w:rPr>
          <w:rFonts w:hint="eastAsia"/>
          <w:b/>
          <w:color w:val="000000" w:themeColor="text1"/>
        </w:rPr>
        <w:t>架構中</w:t>
      </w:r>
      <w:r w:rsidRPr="00EE6B2E">
        <w:rPr>
          <w:rFonts w:hint="eastAsia"/>
          <w:b/>
          <w:color w:val="000000" w:themeColor="text1"/>
        </w:rPr>
        <w:t>具有從屬</w:t>
      </w:r>
      <w:r w:rsidR="00E93995" w:rsidRPr="00EE6B2E">
        <w:rPr>
          <w:rFonts w:hint="eastAsia"/>
          <w:b/>
          <w:color w:val="000000" w:themeColor="text1"/>
        </w:rPr>
        <w:t>性</w:t>
      </w:r>
      <w:r w:rsidRPr="00EE6B2E">
        <w:rPr>
          <w:rFonts w:hint="eastAsia"/>
          <w:b/>
          <w:color w:val="000000" w:themeColor="text1"/>
        </w:rPr>
        <w:t>，且警察輔助及協助執行各項司法任務之規定，復散見於各項法</w:t>
      </w:r>
      <w:r w:rsidRPr="00EE6B2E">
        <w:rPr>
          <w:rFonts w:hint="eastAsia"/>
          <w:b/>
          <w:color w:val="000000" w:themeColor="text1"/>
        </w:rPr>
        <w:lastRenderedPageBreak/>
        <w:t>令，調度司法警察條例</w:t>
      </w:r>
      <w:r w:rsidR="007C257B" w:rsidRPr="00EE6B2E">
        <w:rPr>
          <w:rFonts w:hint="eastAsia"/>
          <w:b/>
          <w:color w:val="000000" w:themeColor="text1"/>
        </w:rPr>
        <w:t>具有融合不同隸屬機關共同執行職務之價值目的</w:t>
      </w:r>
      <w:r w:rsidRPr="00EE6B2E">
        <w:rPr>
          <w:rFonts w:hint="eastAsia"/>
          <w:b/>
          <w:color w:val="000000" w:themeColor="text1"/>
        </w:rPr>
        <w:t>：</w:t>
      </w:r>
    </w:p>
    <w:p w:rsidR="004B6A36" w:rsidRPr="005C0958" w:rsidRDefault="004B6A36" w:rsidP="00663FFD">
      <w:pPr>
        <w:pStyle w:val="4"/>
        <w:spacing w:line="440" w:lineRule="exact"/>
        <w:ind w:left="1701" w:hanging="680"/>
        <w:rPr>
          <w:color w:val="000000" w:themeColor="text1"/>
        </w:rPr>
      </w:pPr>
      <w:r w:rsidRPr="005C0958">
        <w:rPr>
          <w:rFonts w:hint="eastAsia"/>
          <w:color w:val="000000" w:themeColor="text1"/>
        </w:rPr>
        <w:t>依法院組織法第2條規定：「法院審判民事、刑事及其他法律規定訴訟案件，並依法管轄非訟事件。」第60條規定：「檢察官之職權如左：一、實施偵查、提起公訴、實行公訴、協助自訴、擔當自訴及指揮刑事裁判之執行。二、其他法令所定職務之執行。」警察法第9條規定：「警察依法行使左列職權：……三、協助偵查犯罪。四、執行搜索、扣押、拘提及逮捕。五、行政執行。……八、其他應執行法令事項。」又司法警察機關除依警察法及其施行細則所定之警察機關外，尚涵蓋依刑事訴訟法第229條至</w:t>
      </w:r>
      <w:r w:rsidR="004912B6" w:rsidRPr="005C0958">
        <w:rPr>
          <w:rFonts w:hint="eastAsia"/>
          <w:color w:val="000000" w:themeColor="text1"/>
        </w:rPr>
        <w:t>第</w:t>
      </w:r>
      <w:r w:rsidRPr="005C0958">
        <w:rPr>
          <w:rFonts w:hint="eastAsia"/>
          <w:color w:val="000000" w:themeColor="text1"/>
        </w:rPr>
        <w:t>231條規定之憲兵及依法令關於特定事項得行司法警察（官）職權者，即法務部調查局</w:t>
      </w:r>
      <w:r w:rsidRPr="005C0958">
        <w:rPr>
          <w:rStyle w:val="af3"/>
          <w:color w:val="000000" w:themeColor="text1"/>
        </w:rPr>
        <w:footnoteReference w:id="1"/>
      </w:r>
      <w:r w:rsidRPr="005C0958">
        <w:rPr>
          <w:rFonts w:hint="eastAsia"/>
          <w:color w:val="000000" w:themeColor="text1"/>
        </w:rPr>
        <w:t>、</w:t>
      </w:r>
      <w:r w:rsidR="004912B6" w:rsidRPr="005C0958">
        <w:rPr>
          <w:rFonts w:hint="eastAsia"/>
          <w:color w:val="000000" w:themeColor="text1"/>
        </w:rPr>
        <w:t>海巡署</w:t>
      </w:r>
      <w:r w:rsidRPr="005C0958">
        <w:rPr>
          <w:rStyle w:val="af3"/>
          <w:color w:val="000000" w:themeColor="text1"/>
        </w:rPr>
        <w:footnoteReference w:id="2"/>
      </w:r>
      <w:r w:rsidRPr="005C0958">
        <w:rPr>
          <w:rFonts w:hint="eastAsia"/>
          <w:color w:val="000000" w:themeColor="text1"/>
        </w:rPr>
        <w:t>、內政部移民署</w:t>
      </w:r>
      <w:r w:rsidRPr="005C0958">
        <w:rPr>
          <w:rStyle w:val="af3"/>
          <w:color w:val="000000" w:themeColor="text1"/>
        </w:rPr>
        <w:footnoteReference w:id="3"/>
      </w:r>
      <w:r w:rsidRPr="005C0958">
        <w:rPr>
          <w:rFonts w:hint="eastAsia"/>
          <w:color w:val="000000" w:themeColor="text1"/>
        </w:rPr>
        <w:t>、法務部廉政署等機構，而檢察機關所屬之檢察事務官於處理特定事務時，亦具有司法警察身分</w:t>
      </w:r>
      <w:r w:rsidRPr="005C0958">
        <w:rPr>
          <w:rStyle w:val="af3"/>
          <w:color w:val="000000" w:themeColor="text1"/>
        </w:rPr>
        <w:footnoteReference w:id="4"/>
      </w:r>
      <w:r w:rsidRPr="005C0958">
        <w:rPr>
          <w:rFonts w:hint="eastAsia"/>
          <w:color w:val="000000" w:themeColor="text1"/>
        </w:rPr>
        <w:t>。足見在權力分立架構下，各該司法及警察機關有各自組織法明定之職權。</w:t>
      </w:r>
    </w:p>
    <w:p w:rsidR="004B6A36" w:rsidRPr="005C0958" w:rsidRDefault="004B6A36" w:rsidP="004B6A36">
      <w:pPr>
        <w:pStyle w:val="4"/>
        <w:ind w:left="1700" w:hanging="680"/>
        <w:rPr>
          <w:color w:val="000000" w:themeColor="text1"/>
        </w:rPr>
      </w:pPr>
      <w:r w:rsidRPr="005C0958">
        <w:rPr>
          <w:rFonts w:hint="eastAsia"/>
          <w:color w:val="000000" w:themeColor="text1"/>
        </w:rPr>
        <w:t>依刑事訴訟法第228條至</w:t>
      </w:r>
      <w:r w:rsidR="004912B6" w:rsidRPr="005C0958">
        <w:rPr>
          <w:rFonts w:hint="eastAsia"/>
          <w:color w:val="000000" w:themeColor="text1"/>
        </w:rPr>
        <w:t>第</w:t>
      </w:r>
      <w:r w:rsidRPr="005C0958">
        <w:rPr>
          <w:rFonts w:hint="eastAsia"/>
          <w:color w:val="000000" w:themeColor="text1"/>
        </w:rPr>
        <w:t>231條之1、警察法</w:t>
      </w:r>
      <w:r w:rsidRPr="005C0958">
        <w:rPr>
          <w:rFonts w:hint="eastAsia"/>
          <w:color w:val="000000" w:themeColor="text1"/>
        </w:rPr>
        <w:lastRenderedPageBreak/>
        <w:t>第6條、第14條等規定，我國犯罪偵查機關係以檢察官為主，司法警察（官）為偵查輔助機關。此時，法院組織法第76條規定：「檢察官得調度司法警察，法官於辦理刑事案件時，亦同。調度司法警察條例另定之。」因此，調度司法警察條例規定檢察官因辦理偵查執行事件，法官於辦理刑事案件時，得指揮命令司法警察（官）及依法令關於特定事項得執行司法警察官或司法警察職務之人員。又，其他準用本條例之法律命令亦不在少數，例如司法院大法官審理案件法</w:t>
      </w:r>
      <w:r w:rsidRPr="005C0958">
        <w:rPr>
          <w:rStyle w:val="af3"/>
          <w:color w:val="000000" w:themeColor="text1"/>
        </w:rPr>
        <w:footnoteReference w:id="5"/>
      </w:r>
      <w:r w:rsidRPr="005C0958">
        <w:rPr>
          <w:rFonts w:hint="eastAsia"/>
          <w:color w:val="000000" w:themeColor="text1"/>
        </w:rPr>
        <w:t>、公職人員選舉罷免法</w:t>
      </w:r>
      <w:r w:rsidRPr="005C0958">
        <w:rPr>
          <w:rStyle w:val="af3"/>
          <w:color w:val="000000" w:themeColor="text1"/>
        </w:rPr>
        <w:footnoteReference w:id="6"/>
      </w:r>
      <w:r w:rsidRPr="005C0958">
        <w:rPr>
          <w:rFonts w:hint="eastAsia"/>
          <w:color w:val="000000" w:themeColor="text1"/>
        </w:rPr>
        <w:t>、少年法院（庭）與司法警察機關處理少年事件聯繫辦法</w:t>
      </w:r>
      <w:r w:rsidRPr="005C0958">
        <w:rPr>
          <w:rStyle w:val="af3"/>
          <w:color w:val="000000" w:themeColor="text1"/>
        </w:rPr>
        <w:footnoteReference w:id="7"/>
      </w:r>
      <w:r w:rsidRPr="005C0958">
        <w:rPr>
          <w:rFonts w:hint="eastAsia"/>
          <w:color w:val="000000" w:themeColor="text1"/>
        </w:rPr>
        <w:t>……等。另從個別作用法觀之，如證人保護法所定執行證人保護書內容、隨身保護證人之人身安全等</w:t>
      </w:r>
      <w:r w:rsidR="001B5FCC" w:rsidRPr="005C0958">
        <w:rPr>
          <w:rFonts w:hint="eastAsia"/>
          <w:color w:val="000000" w:themeColor="text1"/>
        </w:rPr>
        <w:t>；</w:t>
      </w:r>
      <w:r w:rsidRPr="005C0958">
        <w:rPr>
          <w:rFonts w:hint="eastAsia"/>
          <w:color w:val="000000" w:themeColor="text1"/>
        </w:rPr>
        <w:t>性侵害犯罪防治法</w:t>
      </w:r>
      <w:r w:rsidR="001B5FCC" w:rsidRPr="005C0958">
        <w:rPr>
          <w:rFonts w:hint="eastAsia"/>
          <w:color w:val="000000" w:themeColor="text1"/>
        </w:rPr>
        <w:t>所定提供通報、被害人緊急救援、協助驗傷、取證、加害人查訪等；</w:t>
      </w:r>
      <w:r w:rsidRPr="005C0958">
        <w:rPr>
          <w:rFonts w:hint="eastAsia"/>
          <w:color w:val="000000" w:themeColor="text1"/>
        </w:rPr>
        <w:t>強制執行法有關查封、點交、排除占用、調查占用關係</w:t>
      </w:r>
      <w:r w:rsidR="001B5FCC" w:rsidRPr="005C0958">
        <w:rPr>
          <w:rFonts w:hint="eastAsia"/>
          <w:color w:val="000000" w:themeColor="text1"/>
        </w:rPr>
        <w:t>等</w:t>
      </w:r>
      <w:r w:rsidRPr="005C0958">
        <w:rPr>
          <w:rFonts w:hint="eastAsia"/>
          <w:color w:val="000000" w:themeColor="text1"/>
        </w:rPr>
        <w:t>；家事事件</w:t>
      </w:r>
      <w:r w:rsidR="001B5FCC" w:rsidRPr="005C0958">
        <w:rPr>
          <w:rFonts w:hint="eastAsia"/>
          <w:color w:val="000000" w:themeColor="text1"/>
        </w:rPr>
        <w:t>法協助調查財產狀況、交付子女</w:t>
      </w:r>
      <w:r w:rsidRPr="005C0958">
        <w:rPr>
          <w:rFonts w:hint="eastAsia"/>
          <w:color w:val="000000" w:themeColor="text1"/>
        </w:rPr>
        <w:t>等，警察機關依法應</w:t>
      </w:r>
      <w:r w:rsidR="001B5FCC" w:rsidRPr="005C0958">
        <w:rPr>
          <w:rFonts w:hint="eastAsia"/>
          <w:color w:val="000000" w:themeColor="text1"/>
        </w:rPr>
        <w:t>執行職務之</w:t>
      </w:r>
      <w:r w:rsidRPr="005C0958">
        <w:rPr>
          <w:rFonts w:hint="eastAsia"/>
          <w:color w:val="000000" w:themeColor="text1"/>
        </w:rPr>
        <w:t>規定，散見於各別法律中。</w:t>
      </w:r>
    </w:p>
    <w:p w:rsidR="004B6A36" w:rsidRPr="005C0958" w:rsidRDefault="004B6A36" w:rsidP="004B6A36">
      <w:pPr>
        <w:pStyle w:val="4"/>
        <w:ind w:left="1700" w:hanging="680"/>
        <w:rPr>
          <w:color w:val="000000" w:themeColor="text1"/>
        </w:rPr>
      </w:pPr>
      <w:r w:rsidRPr="005C0958">
        <w:rPr>
          <w:rFonts w:hint="eastAsia"/>
          <w:color w:val="000000" w:themeColor="text1"/>
        </w:rPr>
        <w:t>本案諮詢法官協會代表指出，在法院任務複雜化的情況下，司法機關協調警察以公權力協助之事項增加，本條例與其認為是不合時宜的法律，不如視為組織法與作用法之黏著劑，藉由統括性之規定，使作用法中的職務行使規定在未列明於組織法時，得順利發揮其功用等語。</w:t>
      </w:r>
      <w:r w:rsidR="00E93995" w:rsidRPr="005C0958">
        <w:rPr>
          <w:rFonts w:hint="eastAsia"/>
          <w:color w:val="000000" w:themeColor="text1"/>
        </w:rPr>
        <w:t>本院初步研究</w:t>
      </w:r>
      <w:r w:rsidR="00E93995" w:rsidRPr="005C0958">
        <w:rPr>
          <w:rFonts w:hint="eastAsia"/>
          <w:color w:val="000000" w:themeColor="text1"/>
        </w:rPr>
        <w:lastRenderedPageBreak/>
        <w:t>之見解與上開說法相同，認為</w:t>
      </w:r>
      <w:r w:rsidRPr="005C0958">
        <w:rPr>
          <w:rFonts w:hint="eastAsia"/>
          <w:color w:val="000000" w:themeColor="text1"/>
        </w:rPr>
        <w:t>調度司法警察條例為</w:t>
      </w:r>
      <w:r w:rsidR="00E93995" w:rsidRPr="005C0958">
        <w:rPr>
          <w:rFonts w:hint="eastAsia"/>
          <w:color w:val="000000" w:themeColor="text1"/>
        </w:rPr>
        <w:t>融</w:t>
      </w:r>
      <w:r w:rsidRPr="005C0958">
        <w:rPr>
          <w:rFonts w:hint="eastAsia"/>
          <w:color w:val="000000" w:themeColor="text1"/>
        </w:rPr>
        <w:t>合院、檢、警在任務上之從屬關係及組織上隸屬關係不同，依警察人員階級設計「指揮」、「命令」、「協助」之不同，並授權訂定「檢察官與司法警察機關執行職務聯繫辦法」</w:t>
      </w:r>
      <w:r w:rsidR="003D37DF" w:rsidRPr="005C0958">
        <w:rPr>
          <w:rFonts w:hint="eastAsia"/>
          <w:color w:val="000000" w:themeColor="text1"/>
        </w:rPr>
        <w:t>（下稱檢警聯繫辦法）</w:t>
      </w:r>
      <w:r w:rsidRPr="005C0958">
        <w:rPr>
          <w:rFonts w:hint="eastAsia"/>
          <w:color w:val="000000" w:themeColor="text1"/>
        </w:rPr>
        <w:t>，建立院、檢、警合作與溝通之機制。由此觀之，調度司法警察條例具有</w:t>
      </w:r>
      <w:r w:rsidR="00E93995" w:rsidRPr="005C0958">
        <w:rPr>
          <w:rFonts w:hint="eastAsia"/>
          <w:color w:val="000000" w:themeColor="text1"/>
        </w:rPr>
        <w:t>融</w:t>
      </w:r>
      <w:r w:rsidRPr="005C0958">
        <w:rPr>
          <w:rFonts w:hint="eastAsia"/>
          <w:color w:val="000000" w:themeColor="text1"/>
        </w:rPr>
        <w:t>合不同隸屬機關間共同執行職務之價值目的。</w:t>
      </w:r>
    </w:p>
    <w:p w:rsidR="004B6A36" w:rsidRPr="005C0958" w:rsidRDefault="004B6A36" w:rsidP="004B6A36">
      <w:pPr>
        <w:pStyle w:val="3"/>
        <w:ind w:left="1360" w:hanging="680"/>
        <w:rPr>
          <w:b/>
          <w:color w:val="000000" w:themeColor="text1"/>
        </w:rPr>
      </w:pPr>
      <w:r w:rsidRPr="005C0958">
        <w:rPr>
          <w:rFonts w:hint="eastAsia"/>
          <w:b/>
          <w:color w:val="000000" w:themeColor="text1"/>
        </w:rPr>
        <w:t>內政部主張「調度司法警察條例」應予廢止，其立論基礎無非以檢警的「合作關係」取代「指揮監督權」，配套建立微罪分流之「雙偵查主體」制度，以減化警察業務回歸本職工作，有其法理及實務運作之依據，或可作為未來檢警關係發展之參考。但</w:t>
      </w:r>
      <w:r w:rsidR="00385B11" w:rsidRPr="005C0958">
        <w:rPr>
          <w:rFonts w:hint="eastAsia"/>
          <w:b/>
          <w:color w:val="000000" w:themeColor="text1"/>
        </w:rPr>
        <w:t>如僅</w:t>
      </w:r>
      <w:r w:rsidRPr="005C0958">
        <w:rPr>
          <w:rFonts w:hint="eastAsia"/>
          <w:b/>
          <w:color w:val="000000" w:themeColor="text1"/>
        </w:rPr>
        <w:t>依刑事訴訟法、刑事妥速審判法、少年事件處理法等規定為之，其他司法協助事項依行政程序法之行政協助為之，將掛一漏萬，不利於整體司法任務之遂行：</w:t>
      </w:r>
    </w:p>
    <w:p w:rsidR="004B6A36" w:rsidRPr="005C0958" w:rsidRDefault="004B6A36" w:rsidP="004B6A36">
      <w:pPr>
        <w:pStyle w:val="4"/>
        <w:rPr>
          <w:color w:val="000000" w:themeColor="text1"/>
        </w:rPr>
      </w:pPr>
      <w:r w:rsidRPr="005C0958">
        <w:rPr>
          <w:rFonts w:hint="eastAsia"/>
          <w:color w:val="000000" w:themeColor="text1"/>
        </w:rPr>
        <w:t>內政部建議廢止調度司法警察條例，並修正法院組織法第76條第1項：「法官及檢察官與司法警察之關係，依刑事訴訟法及相關法令之規定。」第2項：「法院及檢察機關與司法警察機關執行職務聯繫辦法，由司法院會同行政院定之。」其理由略以：</w:t>
      </w:r>
    </w:p>
    <w:p w:rsidR="004B6A36" w:rsidRPr="005C0958" w:rsidRDefault="004B6A36" w:rsidP="004B6A36">
      <w:pPr>
        <w:pStyle w:val="5"/>
        <w:ind w:left="2041" w:hanging="680"/>
        <w:rPr>
          <w:color w:val="000000" w:themeColor="text1"/>
        </w:rPr>
      </w:pPr>
      <w:r w:rsidRPr="005C0958">
        <w:rPr>
          <w:rFonts w:hint="eastAsia"/>
          <w:color w:val="000000" w:themeColor="text1"/>
        </w:rPr>
        <w:t>該條例屬軍政、訓政時期舊威權時代之產物，背離現代民主法律思潮，已不合時宜。</w:t>
      </w:r>
    </w:p>
    <w:p w:rsidR="004B6A36" w:rsidRPr="005C0958" w:rsidRDefault="004B6A36" w:rsidP="004B6A36">
      <w:pPr>
        <w:pStyle w:val="5"/>
        <w:ind w:left="2041" w:hanging="680"/>
        <w:rPr>
          <w:color w:val="000000" w:themeColor="text1"/>
        </w:rPr>
      </w:pPr>
      <w:r w:rsidRPr="005C0958">
        <w:rPr>
          <w:rFonts w:hint="eastAsia"/>
          <w:color w:val="000000" w:themeColor="text1"/>
        </w:rPr>
        <w:t>比較各國檢警關係之立法例，檢察官與司法警察多為各自獨立之偵查機關，日本刑事訴訟法第192條規定兩者間就偵查作為須相互協力；德國檢察官雖得對警察指揮命令，但人員部分限於職司偵查犯罪職務之司法警察；事項則限</w:t>
      </w:r>
      <w:r w:rsidRPr="005C0958">
        <w:rPr>
          <w:rFonts w:hint="eastAsia"/>
          <w:color w:val="000000" w:themeColor="text1"/>
        </w:rPr>
        <w:lastRenderedPageBreak/>
        <w:t>於犯罪偵查事項，相關程序以行政命令訂定（該國「刑事訴訟程序與罰鍰程序準則」），類似我國之</w:t>
      </w:r>
      <w:r w:rsidR="00780BA2" w:rsidRPr="005C0958">
        <w:rPr>
          <w:rFonts w:hint="eastAsia"/>
          <w:color w:val="000000" w:themeColor="text1"/>
        </w:rPr>
        <w:t>「檢察官與司法警察機關執行職務聯繫辦法」。</w:t>
      </w:r>
    </w:p>
    <w:p w:rsidR="004B6A36" w:rsidRPr="005C0958" w:rsidRDefault="004B6A36" w:rsidP="004B6A36">
      <w:pPr>
        <w:pStyle w:val="5"/>
        <w:ind w:left="2041" w:hanging="680"/>
        <w:rPr>
          <w:color w:val="000000" w:themeColor="text1"/>
        </w:rPr>
      </w:pPr>
      <w:r w:rsidRPr="005C0958">
        <w:rPr>
          <w:rFonts w:hint="eastAsia"/>
          <w:color w:val="000000" w:themeColor="text1"/>
        </w:rPr>
        <w:t>刑事訴訟法第229條、第230條及第231條已就偵查中之檢警關係詳為規範，較本條例更為具體；而法官辦理刑事案件，適用本條例指揮司法警察，有違公平法院之精神，如法官為發現真實依職權調查時，亦有相關條文可資適用，因此院檢警關係應回歸刑事訴訟法、刑事妥速審判法統一規範。</w:t>
      </w:r>
    </w:p>
    <w:p w:rsidR="004B6A36" w:rsidRPr="005C0958" w:rsidRDefault="004B6A36" w:rsidP="004B6A36">
      <w:pPr>
        <w:pStyle w:val="5"/>
        <w:ind w:left="2041" w:hanging="680"/>
        <w:rPr>
          <w:color w:val="000000" w:themeColor="text1"/>
        </w:rPr>
      </w:pPr>
      <w:r w:rsidRPr="005C0958">
        <w:rPr>
          <w:rFonts w:hint="eastAsia"/>
          <w:color w:val="000000" w:themeColor="text1"/>
        </w:rPr>
        <w:t>非屬偵查、審理等司法核心之事項，如需警察機關協助者，應回歸職務協助之規定。</w:t>
      </w:r>
    </w:p>
    <w:p w:rsidR="004B6A36" w:rsidRPr="005C0958" w:rsidRDefault="004B6A36" w:rsidP="004B6A36">
      <w:pPr>
        <w:pStyle w:val="4"/>
        <w:rPr>
          <w:color w:val="000000" w:themeColor="text1"/>
        </w:rPr>
      </w:pPr>
      <w:r w:rsidRPr="005C0958">
        <w:rPr>
          <w:rFonts w:hint="eastAsia"/>
          <w:color w:val="000000" w:themeColor="text1"/>
        </w:rPr>
        <w:t>惟綜據學者專家及各機關意見，本條例不宜逕予廢止或限制其適用範圍為「搜索、扣押、拘提與逮捕」，茲分述如下：</w:t>
      </w:r>
    </w:p>
    <w:p w:rsidR="004B6A36" w:rsidRPr="005C0958" w:rsidRDefault="004B6A36" w:rsidP="004B6A36">
      <w:pPr>
        <w:pStyle w:val="5"/>
        <w:rPr>
          <w:color w:val="000000" w:themeColor="text1"/>
        </w:rPr>
      </w:pPr>
      <w:r w:rsidRPr="005C0958">
        <w:rPr>
          <w:rFonts w:hint="eastAsia"/>
          <w:color w:val="000000" w:themeColor="text1"/>
        </w:rPr>
        <w:t>諮詢學者專家表示，探討本條例之存廢，涉及偵查主體歸屬的核心問題，組織法上檢察官與警察雖不相隸屬，但我國未採雙偵查主體制，刑事訴訟法規定偵查主體為檢察官，檢警係輔助而非單純的協助關係，該法第229條之下，就檢警關係規定協助、指揮、命令</w:t>
      </w:r>
      <w:r w:rsidR="002535EA" w:rsidRPr="005C0958">
        <w:rPr>
          <w:rFonts w:hint="eastAsia"/>
          <w:color w:val="000000" w:themeColor="text1"/>
        </w:rPr>
        <w:t>3</w:t>
      </w:r>
      <w:r w:rsidRPr="005C0958">
        <w:rPr>
          <w:rFonts w:hint="eastAsia"/>
          <w:color w:val="000000" w:themeColor="text1"/>
        </w:rPr>
        <w:t>種層級，已考量行政編制位階的尊重。故在現行刑事訴訟法架構未有變更之下，只要警察具有司法警察身分，在功能上及任務上即須接受檢察官的指揮監督，此一連結，檢察官指揮司法警察遂行其任務，具有其正當性等語。另據法官協會代表指出：目前政府分工細緻，整合卻發生困難</w:t>
      </w:r>
      <w:r w:rsidR="00E93995" w:rsidRPr="005C0958">
        <w:rPr>
          <w:rFonts w:hint="eastAsia"/>
          <w:color w:val="000000" w:themeColor="text1"/>
        </w:rPr>
        <w:t>，</w:t>
      </w:r>
      <w:r w:rsidRPr="005C0958">
        <w:rPr>
          <w:rFonts w:hint="eastAsia"/>
          <w:color w:val="000000" w:themeColor="text1"/>
        </w:rPr>
        <w:t>如家暴、兒虐之通報、毒品案件之查報、社會安全網之職務分工中，涉及各部會權責，</w:t>
      </w:r>
      <w:r w:rsidRPr="005C0958">
        <w:rPr>
          <w:rFonts w:hint="eastAsia"/>
          <w:color w:val="000000" w:themeColor="text1"/>
        </w:rPr>
        <w:lastRenderedPageBreak/>
        <w:t>跨越組織法所定之權限</w:t>
      </w:r>
      <w:r w:rsidR="00E93995" w:rsidRPr="005C0958">
        <w:rPr>
          <w:rFonts w:hint="eastAsia"/>
          <w:color w:val="000000" w:themeColor="text1"/>
        </w:rPr>
        <w:t>，</w:t>
      </w:r>
      <w:r w:rsidRPr="005C0958">
        <w:rPr>
          <w:rFonts w:hint="eastAsia"/>
          <w:color w:val="000000" w:themeColor="text1"/>
        </w:rPr>
        <w:t>為避免各自為政，須有統合指揮權限方能使業務順暢執行</w:t>
      </w:r>
      <w:r w:rsidR="00E93995" w:rsidRPr="005C0958">
        <w:rPr>
          <w:rFonts w:hint="eastAsia"/>
          <w:color w:val="000000" w:themeColor="text1"/>
        </w:rPr>
        <w:t>，</w:t>
      </w:r>
      <w:r w:rsidRPr="005C0958">
        <w:rPr>
          <w:rFonts w:hint="eastAsia"/>
          <w:color w:val="000000" w:themeColor="text1"/>
        </w:rPr>
        <w:t>本條例係法院組織法授權，具有統合性存在的價值，其目的在使警察機關與法院、檢察機關聯繫更為順暢等語，</w:t>
      </w:r>
      <w:r w:rsidR="00E93995" w:rsidRPr="005C0958">
        <w:rPr>
          <w:rFonts w:hint="eastAsia"/>
          <w:color w:val="000000" w:themeColor="text1"/>
        </w:rPr>
        <w:t>本院初</w:t>
      </w:r>
      <w:r w:rsidR="004E3256" w:rsidRPr="005C0958">
        <w:rPr>
          <w:rFonts w:hint="eastAsia"/>
          <w:color w:val="000000" w:themeColor="text1"/>
        </w:rPr>
        <w:t>步</w:t>
      </w:r>
      <w:r w:rsidR="00E93995" w:rsidRPr="005C0958">
        <w:rPr>
          <w:rFonts w:hint="eastAsia"/>
          <w:color w:val="000000" w:themeColor="text1"/>
        </w:rPr>
        <w:t>研究後，</w:t>
      </w:r>
      <w:r w:rsidRPr="005C0958">
        <w:rPr>
          <w:rFonts w:hint="eastAsia"/>
          <w:color w:val="000000" w:themeColor="text1"/>
        </w:rPr>
        <w:t>贊同</w:t>
      </w:r>
      <w:r w:rsidR="00E93995" w:rsidRPr="005C0958">
        <w:rPr>
          <w:rFonts w:hint="eastAsia"/>
          <w:color w:val="000000" w:themeColor="text1"/>
        </w:rPr>
        <w:t>法官協會之上開意見。同時亦認</w:t>
      </w:r>
      <w:r w:rsidRPr="005C0958">
        <w:rPr>
          <w:rFonts w:hint="eastAsia"/>
          <w:color w:val="000000" w:themeColor="text1"/>
        </w:rPr>
        <w:t>內政部主張院、檢、警在行政體制上無隸屬關係，故僅能適用職務協助而無指揮監督權限等語，尚乏堅強的論據。</w:t>
      </w:r>
    </w:p>
    <w:p w:rsidR="004B6A36" w:rsidRPr="005C0958" w:rsidRDefault="004B6A36" w:rsidP="004B6A36">
      <w:pPr>
        <w:pStyle w:val="5"/>
        <w:rPr>
          <w:color w:val="000000" w:themeColor="text1"/>
        </w:rPr>
      </w:pPr>
      <w:r w:rsidRPr="005C0958">
        <w:rPr>
          <w:rFonts w:hint="eastAsia"/>
          <w:color w:val="000000" w:themeColor="text1"/>
        </w:rPr>
        <w:t>詢據同為司法警察機關之法務部調查局指出，偵查方法可分為任意偵查與強制偵查，前者有法律規定者（如通知犯罪嫌疑人、任意提出或留置扣押物等），亦有法無明文規定者（如跟監、攝影或誘捕偵查等）；後者僅限於法有明文始得實行（例如通訊監察等）。若司法警察（官）協助範圍僅限於「搜索、扣押、拘提與逮捕」，而不包含任意偵查或者其他法定強制偵查方法，恐有違刑事訴訟法第228條第2項之規定，亦難以有效遂行犯罪偵查；其次，其他檢察官或法院調查證據（如鑑定、勘驗），或遂行偵查、審判之必要措施（如解送可能逃亡或劫囚的重大刑事犯）等語。</w:t>
      </w:r>
      <w:r w:rsidR="00E93995" w:rsidRPr="005C0958">
        <w:rPr>
          <w:rFonts w:hint="eastAsia"/>
          <w:color w:val="000000" w:themeColor="text1"/>
        </w:rPr>
        <w:t>因法務部調查局亦執掌第一線司法工作，所述即為實務現象，自屬可採，故</w:t>
      </w:r>
      <w:r w:rsidRPr="005C0958">
        <w:rPr>
          <w:rFonts w:hint="eastAsia"/>
          <w:color w:val="000000" w:themeColor="text1"/>
        </w:rPr>
        <w:t>自實務運作層面觀之，為有效遂行刑事訴訟程序，難以認為司法警察（官）可以完全置身事外。</w:t>
      </w:r>
    </w:p>
    <w:p w:rsidR="004B6A36" w:rsidRPr="005C0958" w:rsidRDefault="004B6A36" w:rsidP="004B6A36">
      <w:pPr>
        <w:pStyle w:val="5"/>
        <w:rPr>
          <w:color w:val="000000" w:themeColor="text1"/>
        </w:rPr>
      </w:pPr>
      <w:r w:rsidRPr="005C0958">
        <w:rPr>
          <w:rFonts w:hint="eastAsia"/>
          <w:color w:val="000000" w:themeColor="text1"/>
        </w:rPr>
        <w:t>另從德</w:t>
      </w:r>
      <w:r w:rsidR="00E93995" w:rsidRPr="005C0958">
        <w:rPr>
          <w:rFonts w:hint="eastAsia"/>
          <w:color w:val="000000" w:themeColor="text1"/>
        </w:rPr>
        <w:t>、</w:t>
      </w:r>
      <w:r w:rsidRPr="005C0958">
        <w:rPr>
          <w:rFonts w:hint="eastAsia"/>
          <w:color w:val="000000" w:themeColor="text1"/>
        </w:rPr>
        <w:t>日立法例觀之，日本刑事訴訟法第189條第2項：「司法警察職員知悉犯罪時，偵查犯人及證據。」同法第191條第1項：「檢察官於認為必要時，得自行偵查犯罪。」從而日本法制與我國不同，採雙偵查主體制，檢警係</w:t>
      </w:r>
      <w:r w:rsidRPr="005C0958">
        <w:rPr>
          <w:rFonts w:hint="eastAsia"/>
          <w:color w:val="000000" w:themeColor="text1"/>
        </w:rPr>
        <w:lastRenderedPageBreak/>
        <w:t>相互協助而非我國之輔助關係</w:t>
      </w:r>
      <w:r w:rsidRPr="005C0958">
        <w:rPr>
          <w:rStyle w:val="af3"/>
          <w:color w:val="000000" w:themeColor="text1"/>
        </w:rPr>
        <w:footnoteReference w:id="8"/>
      </w:r>
      <w:r w:rsidRPr="005C0958">
        <w:rPr>
          <w:rFonts w:hint="eastAsia"/>
          <w:color w:val="000000" w:themeColor="text1"/>
        </w:rPr>
        <w:t>。即便如此，日本檢察官對於司法警察仍有一般準則性之「指示權」、管轄區域內協助偵查之「一般指揮權」，以及自行偵查犯罪之「具體指揮權」</w:t>
      </w:r>
      <w:r w:rsidRPr="005C0958">
        <w:rPr>
          <w:rStyle w:val="af3"/>
          <w:color w:val="000000" w:themeColor="text1"/>
        </w:rPr>
        <w:footnoteReference w:id="9"/>
      </w:r>
      <w:r w:rsidRPr="005C0958">
        <w:rPr>
          <w:rFonts w:hint="eastAsia"/>
          <w:color w:val="000000" w:themeColor="text1"/>
        </w:rPr>
        <w:t>，同時為確保司法警察切實履行指示權與指揮權</w:t>
      </w:r>
      <w:r w:rsidRPr="005C0958">
        <w:rPr>
          <w:rStyle w:val="af3"/>
          <w:color w:val="000000" w:themeColor="text1"/>
        </w:rPr>
        <w:footnoteReference w:id="10"/>
      </w:r>
      <w:r w:rsidRPr="005C0958">
        <w:rPr>
          <w:rFonts w:hint="eastAsia"/>
          <w:color w:val="000000" w:themeColor="text1"/>
        </w:rPr>
        <w:t>，明定檢察官之懲戒罷免建議權</w:t>
      </w:r>
      <w:r w:rsidRPr="005C0958">
        <w:rPr>
          <w:rStyle w:val="af3"/>
          <w:color w:val="000000" w:themeColor="text1"/>
        </w:rPr>
        <w:footnoteReference w:id="11"/>
      </w:r>
      <w:r w:rsidRPr="005C0958">
        <w:rPr>
          <w:rFonts w:hint="eastAsia"/>
          <w:color w:val="000000" w:themeColor="text1"/>
        </w:rPr>
        <w:t>。德國與我國現行制度相似，以檢察官為偵查主體，指揮並監督警察人員從事犯罪偵查。且因檢、警於行政組織上不相隸屬，德國檢察官從事犯罪追訴，實施偵查作為上，對於偵查輔助機關之警察機關有指令權，該國刑事訴訟法第161條第1項規定：「警察機關及警察人員有義務執行檢察官之囑託或委託。」</w:t>
      </w:r>
      <w:r w:rsidR="00E93995" w:rsidRPr="005C0958">
        <w:rPr>
          <w:rFonts w:hint="eastAsia"/>
          <w:color w:val="000000" w:themeColor="text1"/>
        </w:rPr>
        <w:t>上述國家均為法治先進國家，其立法例自足作為他山之石，用以借鏡。</w:t>
      </w:r>
      <w:r w:rsidRPr="005C0958">
        <w:rPr>
          <w:rFonts w:hint="eastAsia"/>
          <w:color w:val="000000" w:themeColor="text1"/>
        </w:rPr>
        <w:t>足見只要法官、檢察官負有調查證據、偵查犯罪之權責，基於發現實體真實之刑事訴訟目的，對於司法警察（官）</w:t>
      </w:r>
      <w:r w:rsidR="00E93995" w:rsidRPr="005C0958">
        <w:rPr>
          <w:rFonts w:hint="eastAsia"/>
          <w:color w:val="000000" w:themeColor="text1"/>
        </w:rPr>
        <w:t>具有</w:t>
      </w:r>
      <w:r w:rsidRPr="005C0958">
        <w:rPr>
          <w:rFonts w:hint="eastAsia"/>
          <w:color w:val="000000" w:themeColor="text1"/>
        </w:rPr>
        <w:t>相當的指揮命令及獎懲建議權限</w:t>
      </w:r>
      <w:r w:rsidR="00E93995" w:rsidRPr="005C0958">
        <w:rPr>
          <w:rFonts w:hint="eastAsia"/>
          <w:color w:val="000000" w:themeColor="text1"/>
        </w:rPr>
        <w:t>，</w:t>
      </w:r>
      <w:r w:rsidRPr="005C0958">
        <w:rPr>
          <w:rFonts w:hint="eastAsia"/>
          <w:color w:val="000000" w:themeColor="text1"/>
        </w:rPr>
        <w:t>仍有其必要性。</w:t>
      </w:r>
    </w:p>
    <w:p w:rsidR="004B6A36" w:rsidRPr="005C0958" w:rsidRDefault="004B6A36" w:rsidP="004B6A36">
      <w:pPr>
        <w:pStyle w:val="5"/>
        <w:rPr>
          <w:color w:val="000000" w:themeColor="text1"/>
        </w:rPr>
      </w:pPr>
      <w:r w:rsidRPr="005C0958">
        <w:rPr>
          <w:rFonts w:hint="eastAsia"/>
          <w:color w:val="000000" w:themeColor="text1"/>
        </w:rPr>
        <w:t>按國家為達成其公共任務，為避免因機關分立造成事實上或法律上行使職權之困難，各機關相互間負有行政協助之義務。行政程序法</w:t>
      </w:r>
      <w:r w:rsidR="00E93995" w:rsidRPr="005C0958">
        <w:rPr>
          <w:rFonts w:hint="eastAsia"/>
          <w:color w:val="000000" w:themeColor="text1"/>
        </w:rPr>
        <w:t>於</w:t>
      </w:r>
      <w:r w:rsidRPr="005C0958">
        <w:rPr>
          <w:rFonts w:hint="eastAsia"/>
          <w:color w:val="000000" w:themeColor="text1"/>
        </w:rPr>
        <w:t>第</w:t>
      </w:r>
      <w:r w:rsidRPr="005C0958">
        <w:rPr>
          <w:rFonts w:hint="eastAsia"/>
          <w:color w:val="000000" w:themeColor="text1"/>
        </w:rPr>
        <w:lastRenderedPageBreak/>
        <w:t>19條第1項規定：「行政機關為發揮共同一體之行政機能，應於其權限範圍內互相協助。」</w:t>
      </w:r>
      <w:r w:rsidR="00E93995" w:rsidRPr="005C0958">
        <w:rPr>
          <w:rFonts w:hint="eastAsia"/>
          <w:color w:val="000000" w:themeColor="text1"/>
        </w:rPr>
        <w:t>即</w:t>
      </w:r>
      <w:r w:rsidRPr="005C0958">
        <w:rPr>
          <w:rFonts w:hint="eastAsia"/>
          <w:color w:val="000000" w:themeColor="text1"/>
        </w:rPr>
        <w:t>揭示行政協助義務之原則</w:t>
      </w:r>
      <w:r w:rsidR="00E93995" w:rsidRPr="005C0958">
        <w:rPr>
          <w:rFonts w:hint="eastAsia"/>
          <w:color w:val="000000" w:themeColor="text1"/>
        </w:rPr>
        <w:t>。</w:t>
      </w:r>
      <w:r w:rsidRPr="005C0958">
        <w:rPr>
          <w:rFonts w:hint="eastAsia"/>
          <w:color w:val="000000" w:themeColor="text1"/>
        </w:rPr>
        <w:t>而行政協助之要件包括：因法律上或事實上之原因，不能獨自執行職務、不能獨自調查執行職務所必要認定之事實、必要之文書資料為被請求機關所持有者、被請求機關協助執行，顯較經濟、職務上有正當理由須請求協助等</w:t>
      </w:r>
      <w:r w:rsidR="00E93995" w:rsidRPr="005C0958">
        <w:rPr>
          <w:rFonts w:hint="eastAsia"/>
          <w:color w:val="000000" w:themeColor="text1"/>
        </w:rPr>
        <w:t>；</w:t>
      </w:r>
      <w:r w:rsidRPr="005C0958">
        <w:rPr>
          <w:rFonts w:hint="eastAsia"/>
          <w:color w:val="000000" w:themeColor="text1"/>
        </w:rPr>
        <w:t>且行政協助之請求除緊急情形外，應以書面為之，行政程序法第19條第2、3項定有明文。學者指出：職務協助除危害狀況外，應由被協助機關主動請求後方作為，且屬臨時性質，在完成其任務後，應即結束其協助工作，且若因實施職務協助，自身之任務將受重大妨害，或不合經濟性原則時，得依裁量決定是否拒絕職務協助。亦即職務協助需符合被動性、臨時性、個案性、輔助性等要件。然而警察依刑事訴訟法、調度司法警察條例及警察法規定，「協助」檢察官偵查犯罪，</w:t>
      </w:r>
      <w:r w:rsidR="00020860" w:rsidRPr="005C0958">
        <w:rPr>
          <w:rFonts w:hint="eastAsia"/>
          <w:color w:val="000000" w:themeColor="text1"/>
        </w:rPr>
        <w:t>係</w:t>
      </w:r>
      <w:r w:rsidRPr="005C0958">
        <w:rPr>
          <w:rFonts w:hint="eastAsia"/>
          <w:color w:val="000000" w:themeColor="text1"/>
        </w:rPr>
        <w:t>本</w:t>
      </w:r>
      <w:r w:rsidR="00E93995" w:rsidRPr="005C0958">
        <w:rPr>
          <w:rFonts w:hint="eastAsia"/>
          <w:color w:val="000000" w:themeColor="text1"/>
        </w:rPr>
        <w:t>於</w:t>
      </w:r>
      <w:r w:rsidRPr="005C0958">
        <w:rPr>
          <w:rFonts w:hint="eastAsia"/>
          <w:color w:val="000000" w:themeColor="text1"/>
        </w:rPr>
        <w:t>法定職權</w:t>
      </w:r>
      <w:r w:rsidR="00020860" w:rsidRPr="005C0958">
        <w:rPr>
          <w:rFonts w:hint="eastAsia"/>
          <w:color w:val="000000" w:themeColor="text1"/>
        </w:rPr>
        <w:t>主動</w:t>
      </w:r>
      <w:r w:rsidR="00E93995" w:rsidRPr="005C0958">
        <w:rPr>
          <w:rFonts w:hint="eastAsia"/>
          <w:color w:val="000000" w:themeColor="text1"/>
        </w:rPr>
        <w:t>執行</w:t>
      </w:r>
      <w:r w:rsidRPr="005C0958">
        <w:rPr>
          <w:rFonts w:hint="eastAsia"/>
          <w:color w:val="000000" w:themeColor="text1"/>
        </w:rPr>
        <w:t>任務，非屬職務協助</w:t>
      </w:r>
      <w:r w:rsidRPr="005C0958">
        <w:rPr>
          <w:rStyle w:val="af3"/>
          <w:color w:val="000000" w:themeColor="text1"/>
        </w:rPr>
        <w:footnoteReference w:id="12"/>
      </w:r>
      <w:r w:rsidRPr="005C0958">
        <w:rPr>
          <w:rFonts w:hint="eastAsia"/>
          <w:color w:val="000000" w:themeColor="text1"/>
        </w:rPr>
        <w:t>。因此內政部主張非屬偵查、審理等司法核心之事項，如需警察機關協助者，應回歸職務協助之規定乙節，與警察任務應保障人權、維護治安並主動防止危害之要求，容有扞格，且不利於整體司法任務之遂行，</w:t>
      </w:r>
      <w:r w:rsidR="00E93995" w:rsidRPr="005C0958">
        <w:rPr>
          <w:rFonts w:hint="eastAsia"/>
          <w:color w:val="000000" w:themeColor="text1"/>
        </w:rPr>
        <w:t>故該主張</w:t>
      </w:r>
      <w:r w:rsidRPr="005C0958">
        <w:rPr>
          <w:rFonts w:hint="eastAsia"/>
          <w:color w:val="000000" w:themeColor="text1"/>
        </w:rPr>
        <w:t>仍有斟酌之必要。</w:t>
      </w:r>
    </w:p>
    <w:p w:rsidR="004B6A36" w:rsidRPr="005C0958" w:rsidRDefault="004B6A36" w:rsidP="004B6A36">
      <w:pPr>
        <w:pStyle w:val="4"/>
        <w:rPr>
          <w:color w:val="000000" w:themeColor="text1"/>
        </w:rPr>
      </w:pPr>
      <w:r w:rsidRPr="005C0958">
        <w:rPr>
          <w:rFonts w:hint="eastAsia"/>
          <w:color w:val="000000" w:themeColor="text1"/>
        </w:rPr>
        <w:t>綜上，內政部於「司法改革國是會議」中，除提出「廢除調度司法警察條例」外，並配套提出「微罪案件檢警分流」、「司法文書統一郵務送達」、</w:t>
      </w:r>
      <w:r w:rsidRPr="005C0958">
        <w:rPr>
          <w:rFonts w:hint="eastAsia"/>
          <w:color w:val="000000" w:themeColor="text1"/>
        </w:rPr>
        <w:lastRenderedPageBreak/>
        <w:t>「通緝犯之解送及戒護」，主張從法制面減少警察擔負之勤務項目，增加維護治安的能量。其立論基礎無非以檢警的「合作關係」取代「指揮監督權」，配套建立微罪分流之「雙偵查主體」制度，減化警察業務，回歸本職工作。</w:t>
      </w:r>
      <w:r w:rsidR="00E93995" w:rsidRPr="005C0958">
        <w:rPr>
          <w:rFonts w:hint="eastAsia"/>
          <w:color w:val="000000" w:themeColor="text1"/>
        </w:rPr>
        <w:t>雖</w:t>
      </w:r>
      <w:r w:rsidRPr="005C0958">
        <w:rPr>
          <w:rFonts w:hint="eastAsia"/>
          <w:color w:val="000000" w:themeColor="text1"/>
        </w:rPr>
        <w:t>有其法理及實務運作之依據，或可作為未來檢警關係發展之參考。但在我國刑事訴訟現制仍採檢察官為犯罪偵查主體，司法警察屬偵查輔助機關之從屬架構下，</w:t>
      </w:r>
      <w:r w:rsidR="00E93995" w:rsidRPr="005C0958">
        <w:rPr>
          <w:rFonts w:hint="eastAsia"/>
          <w:color w:val="000000" w:themeColor="text1"/>
        </w:rPr>
        <w:t>如</w:t>
      </w:r>
      <w:r w:rsidR="007C257B" w:rsidRPr="005C0958">
        <w:rPr>
          <w:rFonts w:hint="eastAsia"/>
          <w:color w:val="000000" w:themeColor="text1"/>
        </w:rPr>
        <w:t>僅</w:t>
      </w:r>
      <w:r w:rsidRPr="005C0958">
        <w:rPr>
          <w:rFonts w:hint="eastAsia"/>
          <w:color w:val="000000" w:themeColor="text1"/>
        </w:rPr>
        <w:t>分別依刑事訴訟法、刑事妥速審判法、少年事件處理法等規定為之，其他司法協助事項依行政程序法之行政協助為之，將掛一漏萬，不利於整體司法任務之遂行。而行政院於104年9月22日召開本條例修正草案會議中，行政院法規會亦強調本條例並無中央法規標準法第21條所定法規廢止之原因或事由，且其授權之法院組織法第76條第1項規定仍然存在，須有技術性、細節性之相關規範，經與會人員充分討論後，決議仍應保留「調度司法警察條例」。因此本條例</w:t>
      </w:r>
      <w:r w:rsidR="007C257B" w:rsidRPr="005C0958">
        <w:rPr>
          <w:rFonts w:hint="eastAsia"/>
          <w:color w:val="000000" w:themeColor="text1"/>
        </w:rPr>
        <w:t>未來走向</w:t>
      </w:r>
      <w:r w:rsidRPr="005C0958">
        <w:rPr>
          <w:rFonts w:hint="eastAsia"/>
          <w:color w:val="000000" w:themeColor="text1"/>
        </w:rPr>
        <w:t>確有再行妥慎研議之必要。</w:t>
      </w:r>
    </w:p>
    <w:p w:rsidR="004B6A36" w:rsidRPr="005C0958" w:rsidRDefault="004B6A36" w:rsidP="004B6A36">
      <w:pPr>
        <w:pStyle w:val="3"/>
        <w:ind w:left="1360" w:hanging="680"/>
        <w:rPr>
          <w:color w:val="000000" w:themeColor="text1"/>
        </w:rPr>
      </w:pPr>
      <w:r w:rsidRPr="005C0958">
        <w:rPr>
          <w:rFonts w:hint="eastAsia"/>
          <w:b/>
          <w:color w:val="000000" w:themeColor="text1"/>
        </w:rPr>
        <w:t>本條例以概括及不對等之框架，廣泛授予檢察官指揮全國各司法警察機關人員之指令權，固然可收如臂使指之效，但欠缺防止權力濫用之機制，係實務上檢警關係對立緊張的主要因素。雖有學者專家主張宜類型化區分偵查、審理以外非屬司法核心事項之指揮監督範圍及程序，然囿於立法技術及實務運作，尚有困難之處。本條例如維持現行規定之架構，必須檢討院檢機關有無濫用本條例之情形，並由程序面強化協調及申訴機制。</w:t>
      </w:r>
    </w:p>
    <w:p w:rsidR="004B6A36" w:rsidRPr="005C0958" w:rsidRDefault="004B6A36" w:rsidP="004B6A36">
      <w:pPr>
        <w:pStyle w:val="4"/>
        <w:rPr>
          <w:color w:val="000000" w:themeColor="text1"/>
        </w:rPr>
      </w:pPr>
      <w:r w:rsidRPr="005C0958">
        <w:rPr>
          <w:rFonts w:hint="eastAsia"/>
          <w:color w:val="000000" w:themeColor="text1"/>
        </w:rPr>
        <w:t>本條例第1條及第9條規定：「檢察官因辦理偵查執行事件，有指揮司法警察官、命令司法警察</w:t>
      </w:r>
      <w:r w:rsidRPr="005C0958">
        <w:rPr>
          <w:rFonts w:hint="eastAsia"/>
          <w:color w:val="000000" w:themeColor="text1"/>
        </w:rPr>
        <w:lastRenderedPageBreak/>
        <w:t>之權，推事於辦理刑事案件時亦同」；「司法警察受檢察官、推事之指揮命令者，應即照辦，不得藉詞延擱</w:t>
      </w:r>
      <w:r w:rsidR="002535EA" w:rsidRPr="005C0958">
        <w:rPr>
          <w:rFonts w:hint="eastAsia"/>
          <w:color w:val="000000" w:themeColor="text1"/>
        </w:rPr>
        <w:t>。</w:t>
      </w:r>
      <w:r w:rsidRPr="005C0958">
        <w:rPr>
          <w:rFonts w:hint="eastAsia"/>
          <w:color w:val="000000" w:themeColor="text1"/>
        </w:rPr>
        <w:t>」又其授權訂定之檢警聯繫辦法規定，司法警察機關為協助檢察官偵查犯罪，應配合檢察官辦理專責案件之需要，設立專責小組，辦理指定之案件，並接受檢察官之調度指揮。由上開規定觀之，本條例係以概括及不對等之框架，廣泛授予法官、檢察官指揮全國各警察機關人員之指令權。</w:t>
      </w:r>
    </w:p>
    <w:p w:rsidR="004B6A36" w:rsidRPr="005C0958" w:rsidRDefault="004B6A36" w:rsidP="004B6A36">
      <w:pPr>
        <w:pStyle w:val="4"/>
        <w:rPr>
          <w:color w:val="000000" w:themeColor="text1"/>
        </w:rPr>
      </w:pPr>
      <w:r w:rsidRPr="005C0958">
        <w:rPr>
          <w:rFonts w:hint="eastAsia"/>
          <w:color w:val="000000" w:themeColor="text1"/>
        </w:rPr>
        <w:t>內政部指出：警察本職主要在維護治安與交通，傳統警察工作包山包海，須協助一般行政機關執行貫徹公權力，但法制上卻居於次要地位，還要接受上命下從不平等的關係，毫無執法工作尊嚴。並表示德國法檢察官對警察進行指揮之範圍，限於各邦依組織法所定職司偵查犯罪職務之司法警察，與我國全國所有警察人員皆得視為司法警察不同，如授權檢察官於偵查核心以外事項指揮司法警察，等同廣泛授權檢察官得任意指揮全國警察人員；又，內政部與法務部無上下級隸屬關係，兩機關間就刑事案件之偵查執行應屬合作關係</w:t>
      </w:r>
      <w:r w:rsidR="005C1476" w:rsidRPr="005C0958">
        <w:rPr>
          <w:rFonts w:hint="eastAsia"/>
          <w:color w:val="000000" w:themeColor="text1"/>
        </w:rPr>
        <w:t>，</w:t>
      </w:r>
      <w:r w:rsidRPr="005C0958">
        <w:rPr>
          <w:rFonts w:hint="eastAsia"/>
          <w:color w:val="000000" w:themeColor="text1"/>
        </w:rPr>
        <w:t>檢察官倘仍依本條例概括式且不對等的法律框架下所為之指令，地方警察機關難以拒絕不合理之要求等語。另本院諮詢學者專家指出，不宜將法院或檢察官權限範圍內的所有任務，均理解為廣義的司法權，均得依本條例指揮命令警察，目前法務部修正草案將檢察官權限範圍內之事項全都列入本條例指令權範疇，勢必引起警察機關不滿情緒。而應思考如何在兼顧實務彈性需求的前提下，不過度增加警察機關在法定職權以外之負擔等語。另學者亦指出：檢警並無行政系</w:t>
      </w:r>
      <w:r w:rsidRPr="005C0958">
        <w:rPr>
          <w:rFonts w:hint="eastAsia"/>
          <w:color w:val="000000" w:themeColor="text1"/>
        </w:rPr>
        <w:lastRenderedPageBreak/>
        <w:t>統之隸屬關係，檢察機關僅得就犯罪偵查之業務範圍，對執行犯罪偵查任務之特定警察人員有指揮命令之權。亦即兩者之從屬關係應限於特定工作範圍及特定人員</w:t>
      </w:r>
      <w:r w:rsidRPr="005C0958">
        <w:rPr>
          <w:rStyle w:val="af3"/>
          <w:color w:val="000000" w:themeColor="text1"/>
        </w:rPr>
        <w:footnoteReference w:id="13"/>
      </w:r>
      <w:r w:rsidRPr="005C0958">
        <w:rPr>
          <w:rFonts w:hint="eastAsia"/>
          <w:color w:val="000000" w:themeColor="text1"/>
        </w:rPr>
        <w:t>。上開建議無論從行政機關應相互尊重、權力間</w:t>
      </w:r>
      <w:r w:rsidR="005C1476" w:rsidRPr="005C0958">
        <w:rPr>
          <w:rFonts w:hint="eastAsia"/>
          <w:color w:val="000000" w:themeColor="text1"/>
        </w:rPr>
        <w:t>應互相</w:t>
      </w:r>
      <w:r w:rsidRPr="005C0958">
        <w:rPr>
          <w:rFonts w:hint="eastAsia"/>
          <w:color w:val="000000" w:themeColor="text1"/>
        </w:rPr>
        <w:t>制衡以防止濫用，或參考我國檢警關係繼受之德國法制</w:t>
      </w:r>
      <w:r w:rsidR="005C1476" w:rsidRPr="005C0958">
        <w:rPr>
          <w:rFonts w:hint="eastAsia"/>
          <w:color w:val="000000" w:themeColor="text1"/>
        </w:rPr>
        <w:t>等</w:t>
      </w:r>
      <w:r w:rsidRPr="005C0958">
        <w:rPr>
          <w:rFonts w:hint="eastAsia"/>
          <w:color w:val="000000" w:themeColor="text1"/>
        </w:rPr>
        <w:t>觀點，均有所據，值得法務部研議修法之參考。</w:t>
      </w:r>
    </w:p>
    <w:p w:rsidR="004B6A36" w:rsidRPr="005C0958" w:rsidRDefault="004B6A36" w:rsidP="004B6A36">
      <w:pPr>
        <w:pStyle w:val="4"/>
        <w:rPr>
          <w:color w:val="000000" w:themeColor="text1"/>
        </w:rPr>
      </w:pPr>
      <w:r w:rsidRPr="005C0958">
        <w:rPr>
          <w:rFonts w:hint="eastAsia"/>
          <w:color w:val="000000" w:themeColor="text1"/>
        </w:rPr>
        <w:t>有關本條例授權過於空泛之質疑，學者雖有建議就偵查及審理以外非屬司法核心事項，類型化區分指揮監督之範圍及程序。然詢據法務部表示，因檢察官及法官任務繁多，甚難將非屬司法核心工作一一列舉指揮監督之範圍及程序，</w:t>
      </w:r>
      <w:r w:rsidR="005C1476" w:rsidRPr="005C0958">
        <w:rPr>
          <w:rFonts w:hint="eastAsia"/>
          <w:color w:val="000000" w:themeColor="text1"/>
        </w:rPr>
        <w:t>故</w:t>
      </w:r>
      <w:r w:rsidRPr="005C0958">
        <w:rPr>
          <w:rFonts w:hint="eastAsia"/>
          <w:color w:val="000000" w:themeColor="text1"/>
        </w:rPr>
        <w:t>在立法技術及實務運作有困難之處。詢據各司法警察機關亦表示，實務運作上因各項勤務繁雜、牽涉層面過廣，恐有執行之窒礙等語。對此，檢察官協會代表特別指出，調度司法警察條例的重點應放在檢方如何避免濫用本條例，建議可透過檢警聯繫會議，檢警經由會商共同界定合理界限，並主張權力濫用時須有合理的解決途徑</w:t>
      </w:r>
      <w:r w:rsidR="005C1476" w:rsidRPr="005C0958">
        <w:rPr>
          <w:rFonts w:hint="eastAsia"/>
          <w:color w:val="000000" w:themeColor="text1"/>
        </w:rPr>
        <w:t>等語</w:t>
      </w:r>
      <w:r w:rsidRPr="005C0958">
        <w:rPr>
          <w:rFonts w:hint="eastAsia"/>
          <w:color w:val="000000" w:themeColor="text1"/>
        </w:rPr>
        <w:t>。法務部亦表示，本條例宜維持現行概括規定，但未來將加強檢討濫用本條例之情形，並強化檢警聯繫會議功能、建立權力濫用及協調機制等語。</w:t>
      </w:r>
      <w:r w:rsidR="005C1476" w:rsidRPr="005C0958">
        <w:rPr>
          <w:rFonts w:hint="eastAsia"/>
          <w:color w:val="000000" w:themeColor="text1"/>
        </w:rPr>
        <w:t>前述檢察官協會從自我節制之立場及法務部稱未來將檢討檢方是否濫用權力等意見，均屬的論，本院認均</w:t>
      </w:r>
      <w:r w:rsidRPr="005C0958">
        <w:rPr>
          <w:rFonts w:hint="eastAsia"/>
          <w:color w:val="000000" w:themeColor="text1"/>
        </w:rPr>
        <w:t>應落實檢討。</w:t>
      </w:r>
    </w:p>
    <w:p w:rsidR="004B6A36" w:rsidRPr="005C0958" w:rsidRDefault="004B6A36" w:rsidP="004B6A36">
      <w:pPr>
        <w:pStyle w:val="3"/>
        <w:rPr>
          <w:b/>
          <w:color w:val="000000" w:themeColor="text1"/>
        </w:rPr>
      </w:pPr>
      <w:r w:rsidRPr="005C0958">
        <w:rPr>
          <w:rFonts w:hint="eastAsia"/>
          <w:b/>
          <w:color w:val="000000" w:themeColor="text1"/>
        </w:rPr>
        <w:t>現有檢警聯繫會議得否作為爭議解決及協調機制，</w:t>
      </w:r>
      <w:r w:rsidR="00020860" w:rsidRPr="005C0958">
        <w:rPr>
          <w:rFonts w:hint="eastAsia"/>
          <w:b/>
          <w:color w:val="000000" w:themeColor="text1"/>
        </w:rPr>
        <w:t>能否有效化解</w:t>
      </w:r>
      <w:r w:rsidRPr="005C0958">
        <w:rPr>
          <w:rFonts w:hint="eastAsia"/>
          <w:b/>
          <w:color w:val="000000" w:themeColor="text1"/>
        </w:rPr>
        <w:t>法務部及內政部之見解歧異，</w:t>
      </w:r>
      <w:r w:rsidR="00020860" w:rsidRPr="005C0958">
        <w:rPr>
          <w:rFonts w:hint="eastAsia"/>
          <w:b/>
          <w:color w:val="000000" w:themeColor="text1"/>
        </w:rPr>
        <w:t>兩機關</w:t>
      </w:r>
      <w:r w:rsidRPr="005C0958">
        <w:rPr>
          <w:rFonts w:hint="eastAsia"/>
          <w:b/>
          <w:color w:val="000000" w:themeColor="text1"/>
        </w:rPr>
        <w:t>允宜審慎研議，</w:t>
      </w:r>
      <w:r w:rsidR="00020860" w:rsidRPr="005C0958">
        <w:rPr>
          <w:rFonts w:hint="eastAsia"/>
          <w:b/>
          <w:color w:val="000000" w:themeColor="text1"/>
        </w:rPr>
        <w:t>以維護檢警關係之良性發展，</w:t>
      </w:r>
      <w:r w:rsidRPr="005C0958">
        <w:rPr>
          <w:rFonts w:hint="eastAsia"/>
          <w:b/>
          <w:color w:val="000000" w:themeColor="text1"/>
        </w:rPr>
        <w:t>建</w:t>
      </w:r>
      <w:r w:rsidRPr="005C0958">
        <w:rPr>
          <w:rFonts w:hint="eastAsia"/>
          <w:b/>
          <w:color w:val="000000" w:themeColor="text1"/>
        </w:rPr>
        <w:lastRenderedPageBreak/>
        <w:t>立合理的協調及監督機制：</w:t>
      </w:r>
    </w:p>
    <w:p w:rsidR="004B6A36" w:rsidRPr="005C0958" w:rsidRDefault="004B6A36" w:rsidP="004B6A36">
      <w:pPr>
        <w:pStyle w:val="4"/>
        <w:rPr>
          <w:color w:val="000000" w:themeColor="text1"/>
        </w:rPr>
      </w:pPr>
      <w:r w:rsidRPr="005C0958">
        <w:rPr>
          <w:rFonts w:hint="eastAsia"/>
          <w:color w:val="000000" w:themeColor="text1"/>
        </w:rPr>
        <w:t>經查，目前檢警關係的協調合作模式方面，除廉政署有駐署檢察官制度</w:t>
      </w:r>
      <w:r w:rsidRPr="005C0958">
        <w:rPr>
          <w:rStyle w:val="af3"/>
          <w:color w:val="000000" w:themeColor="text1"/>
        </w:rPr>
        <w:footnoteReference w:id="14"/>
      </w:r>
      <w:r w:rsidRPr="005C0958">
        <w:rPr>
          <w:rFonts w:hint="eastAsia"/>
          <w:color w:val="000000" w:themeColor="text1"/>
        </w:rPr>
        <w:t>，運作良好之外，其他司法警察機關的聯繫機制運作，主要係依據本條例第10條授權訂定之</w:t>
      </w:r>
      <w:r w:rsidR="00780BA2" w:rsidRPr="005C0958">
        <w:rPr>
          <w:rFonts w:hint="eastAsia"/>
          <w:color w:val="000000" w:themeColor="text1"/>
        </w:rPr>
        <w:t>檢警聯繫辦法</w:t>
      </w:r>
      <w:r w:rsidRPr="005C0958">
        <w:rPr>
          <w:rFonts w:hint="eastAsia"/>
          <w:color w:val="000000" w:themeColor="text1"/>
        </w:rPr>
        <w:t>行之。依該辦法規定，每年各地區檢警聯繫會議由法院院長、地檢署檢察長、司法警察機關首長、法</w:t>
      </w:r>
      <w:r w:rsidR="00020860" w:rsidRPr="005C0958">
        <w:rPr>
          <w:rFonts w:hint="eastAsia"/>
          <w:color w:val="000000" w:themeColor="text1"/>
        </w:rPr>
        <w:t>律</w:t>
      </w:r>
      <w:r w:rsidRPr="005C0958">
        <w:rPr>
          <w:rFonts w:hint="eastAsia"/>
          <w:color w:val="000000" w:themeColor="text1"/>
        </w:rPr>
        <w:t>扶</w:t>
      </w:r>
      <w:r w:rsidR="00020860" w:rsidRPr="005C0958">
        <w:rPr>
          <w:rFonts w:hint="eastAsia"/>
          <w:color w:val="000000" w:themeColor="text1"/>
        </w:rPr>
        <w:t>助</w:t>
      </w:r>
      <w:r w:rsidRPr="005C0958">
        <w:rPr>
          <w:rFonts w:hint="eastAsia"/>
          <w:color w:val="000000" w:themeColor="text1"/>
        </w:rPr>
        <w:t>機構代表共同與會</w:t>
      </w:r>
      <w:r w:rsidR="00020860" w:rsidRPr="005C0958">
        <w:rPr>
          <w:rFonts w:hint="eastAsia"/>
          <w:color w:val="000000" w:themeColor="text1"/>
        </w:rPr>
        <w:t>，</w:t>
      </w:r>
      <w:r w:rsidRPr="005C0958">
        <w:rPr>
          <w:rFonts w:hint="eastAsia"/>
          <w:color w:val="000000" w:themeColor="text1"/>
        </w:rPr>
        <w:t>研議解決實務遭遇問題，法務部及內政部皆表示，一般刑事案件之偵查執行協調</w:t>
      </w:r>
      <w:r w:rsidR="00020860" w:rsidRPr="005C0958">
        <w:rPr>
          <w:rFonts w:hint="eastAsia"/>
          <w:color w:val="000000" w:themeColor="text1"/>
        </w:rPr>
        <w:t>，</w:t>
      </w:r>
      <w:r w:rsidRPr="005C0958">
        <w:rPr>
          <w:rFonts w:hint="eastAsia"/>
          <w:color w:val="000000" w:themeColor="text1"/>
        </w:rPr>
        <w:t>可於該會議上溝通達成共識。</w:t>
      </w:r>
    </w:p>
    <w:p w:rsidR="004B6A36" w:rsidRPr="005C0958" w:rsidRDefault="004B6A36" w:rsidP="004B6A36">
      <w:pPr>
        <w:pStyle w:val="4"/>
        <w:rPr>
          <w:color w:val="000000" w:themeColor="text1"/>
        </w:rPr>
      </w:pPr>
      <w:r w:rsidRPr="005C0958">
        <w:rPr>
          <w:rFonts w:hint="eastAsia"/>
          <w:color w:val="000000" w:themeColor="text1"/>
        </w:rPr>
        <w:t>惟現有檢警聯繫會議得否作為爭議解決及協調機制乙節，法務部表示適用本條例如有爭議，機關首長得透過檢警聯繫會議或地區檢警聯席會議提案解決。惟內政部表示，未曾聽聞地區檢警聯席會議曾就本條例之運作及修正</w:t>
      </w:r>
      <w:r w:rsidR="00020860" w:rsidRPr="005C0958">
        <w:rPr>
          <w:rFonts w:hint="eastAsia"/>
          <w:color w:val="000000" w:themeColor="text1"/>
        </w:rPr>
        <w:t>，</w:t>
      </w:r>
      <w:r w:rsidRPr="005C0958">
        <w:rPr>
          <w:rFonts w:hint="eastAsia"/>
          <w:color w:val="000000" w:themeColor="text1"/>
        </w:rPr>
        <w:t>提出建議或進行意見交流。該署並指出，刑事案件之偵查常需報檢察官指揮，在刑案之偵辦壓力下，實難與指揮者協調溝通，致常唯命是從</w:t>
      </w:r>
      <w:r w:rsidR="00020860" w:rsidRPr="005C0958">
        <w:rPr>
          <w:rFonts w:hint="eastAsia"/>
          <w:color w:val="000000" w:themeColor="text1"/>
        </w:rPr>
        <w:t>地</w:t>
      </w:r>
      <w:r w:rsidRPr="005C0958">
        <w:rPr>
          <w:rFonts w:hint="eastAsia"/>
          <w:color w:val="000000" w:themeColor="text1"/>
        </w:rPr>
        <w:t>配合，又本條例之概括式規定如仍存在，其權力即掌握於法</w:t>
      </w:r>
      <w:r w:rsidR="00020860" w:rsidRPr="005C0958">
        <w:rPr>
          <w:rFonts w:hint="eastAsia"/>
          <w:color w:val="000000" w:themeColor="text1"/>
        </w:rPr>
        <w:t>官</w:t>
      </w:r>
      <w:r w:rsidRPr="005C0958">
        <w:rPr>
          <w:rFonts w:hint="eastAsia"/>
          <w:color w:val="000000" w:themeColor="text1"/>
        </w:rPr>
        <w:t>、檢察官依概括式且不對等法律框架下之指令，地方警察機關難以拒絕不合理之要求。難以期待警察機關能無所窒礙的於協調會中反映濫用權力之情形等語。法務部調查局則建議參考公務員服務法第17條及刑事訴訟法第9條之規定，在本條例中增</w:t>
      </w:r>
      <w:r w:rsidR="002535EA" w:rsidRPr="005C0958">
        <w:rPr>
          <w:rFonts w:hint="eastAsia"/>
          <w:color w:val="000000" w:themeColor="text1"/>
        </w:rPr>
        <w:t>訂</w:t>
      </w:r>
      <w:r w:rsidRPr="005C0958">
        <w:rPr>
          <w:rFonts w:hint="eastAsia"/>
          <w:color w:val="000000" w:themeColor="text1"/>
        </w:rPr>
        <w:t>法官、檢察官之指令與職務</w:t>
      </w:r>
      <w:r w:rsidRPr="005C0958">
        <w:rPr>
          <w:rFonts w:hint="eastAsia"/>
          <w:color w:val="000000" w:themeColor="text1"/>
        </w:rPr>
        <w:lastRenderedPageBreak/>
        <w:t>無關或執行顯有困難時，相互協調及向上級院檢申訴之機制</w:t>
      </w:r>
      <w:r w:rsidR="00020860" w:rsidRPr="005C0958">
        <w:rPr>
          <w:rFonts w:hint="eastAsia"/>
          <w:color w:val="000000" w:themeColor="text1"/>
        </w:rPr>
        <w:t>等語，本院認為此意見</w:t>
      </w:r>
      <w:r w:rsidRPr="005C0958">
        <w:rPr>
          <w:rFonts w:hint="eastAsia"/>
          <w:color w:val="000000" w:themeColor="text1"/>
        </w:rPr>
        <w:t>應值得法務部參考。</w:t>
      </w:r>
    </w:p>
    <w:p w:rsidR="004B6A36" w:rsidRPr="005C0958" w:rsidRDefault="004B6A36" w:rsidP="004B6A36">
      <w:pPr>
        <w:pStyle w:val="4"/>
        <w:ind w:left="1700" w:hanging="680"/>
        <w:rPr>
          <w:color w:val="000000" w:themeColor="text1"/>
        </w:rPr>
      </w:pPr>
      <w:r w:rsidRPr="005C0958">
        <w:rPr>
          <w:rFonts w:hint="eastAsia"/>
          <w:color w:val="000000" w:themeColor="text1"/>
        </w:rPr>
        <w:t>綜上，警察身居犯罪偵查、保護被害人的第一線，絕大部分之偵查工作係由司法警察調查移送，為整體刑事司法體系不可或缺的一環，直接影響犯罪嫌疑人及被害人的權益，進而連動檢察官的偵查作為及法官的審判程序。在本條例尚未修正及增</w:t>
      </w:r>
      <w:r w:rsidR="002535EA" w:rsidRPr="005C0958">
        <w:rPr>
          <w:rFonts w:hint="eastAsia"/>
          <w:color w:val="000000" w:themeColor="text1"/>
        </w:rPr>
        <w:t>訂</w:t>
      </w:r>
      <w:r w:rsidRPr="005C0958">
        <w:rPr>
          <w:rFonts w:hint="eastAsia"/>
          <w:color w:val="000000" w:themeColor="text1"/>
        </w:rPr>
        <w:t>爭議解決及協調機制前，院、檢機關依本條例運用權力時，須有所節制。如現行檢警聯繫會報尚不足以達到落實發揮監督及協調功能</w:t>
      </w:r>
      <w:r w:rsidR="00020860" w:rsidRPr="005C0958">
        <w:rPr>
          <w:rFonts w:hint="eastAsia"/>
          <w:color w:val="000000" w:themeColor="text1"/>
        </w:rPr>
        <w:t>，</w:t>
      </w:r>
      <w:r w:rsidRPr="005C0958">
        <w:rPr>
          <w:rFonts w:hint="eastAsia"/>
          <w:color w:val="000000" w:themeColor="text1"/>
        </w:rPr>
        <w:t>為避免機關間的對立緊張關係，法務部及內政部允應共同審慎研議合理的協調以及監督機制，從程序面防止權力濫用，以維護檢警關係之良性發展。</w:t>
      </w:r>
      <w:r w:rsidRPr="005C0958">
        <w:rPr>
          <w:rFonts w:hint="eastAsia"/>
          <w:color w:val="000000" w:themeColor="text1"/>
        </w:rPr>
        <w:tab/>
      </w:r>
    </w:p>
    <w:p w:rsidR="004B6A36" w:rsidRPr="005C0958" w:rsidRDefault="004B6A36" w:rsidP="004B6A36">
      <w:pPr>
        <w:pStyle w:val="3"/>
        <w:rPr>
          <w:b/>
          <w:color w:val="000000" w:themeColor="text1"/>
        </w:rPr>
      </w:pPr>
      <w:r w:rsidRPr="005C0958">
        <w:rPr>
          <w:rFonts w:hint="eastAsia"/>
          <w:b/>
          <w:color w:val="000000" w:themeColor="text1"/>
        </w:rPr>
        <w:t>小結</w:t>
      </w:r>
      <w:r w:rsidR="00DD5881" w:rsidRPr="005C0958">
        <w:rPr>
          <w:rFonts w:hint="eastAsia"/>
          <w:color w:val="000000" w:themeColor="text1"/>
        </w:rPr>
        <w:t>：</w:t>
      </w:r>
    </w:p>
    <w:p w:rsidR="004B6A36" w:rsidRPr="005C0958" w:rsidRDefault="004B6A36" w:rsidP="004B6A36">
      <w:pPr>
        <w:pStyle w:val="32"/>
        <w:ind w:left="1361" w:firstLine="680"/>
        <w:rPr>
          <w:color w:val="000000" w:themeColor="text1"/>
        </w:rPr>
      </w:pPr>
      <w:r w:rsidRPr="005C0958">
        <w:rPr>
          <w:rFonts w:hint="eastAsia"/>
          <w:color w:val="000000" w:themeColor="text1"/>
        </w:rPr>
        <w:t>檢討本條例應否廢除或修正，</w:t>
      </w:r>
      <w:r w:rsidR="004C70F8" w:rsidRPr="005C0958">
        <w:rPr>
          <w:rFonts w:hint="eastAsia"/>
          <w:color w:val="000000" w:themeColor="text1"/>
        </w:rPr>
        <w:t>需</w:t>
      </w:r>
      <w:r w:rsidRPr="005C0958">
        <w:rPr>
          <w:rFonts w:hint="eastAsia"/>
          <w:color w:val="000000" w:themeColor="text1"/>
        </w:rPr>
        <w:t>從制度設計之緣由、實務運作現況及民眾對未來政府治理之期待，多方加以衡酌考量。本案諮詢</w:t>
      </w:r>
      <w:r w:rsidR="002535EA" w:rsidRPr="005C0958">
        <w:rPr>
          <w:rFonts w:hint="eastAsia"/>
          <w:color w:val="000000" w:themeColor="text1"/>
        </w:rPr>
        <w:t>國立</w:t>
      </w:r>
      <w:r w:rsidRPr="005C0958">
        <w:rPr>
          <w:rFonts w:hint="eastAsia"/>
          <w:color w:val="000000" w:themeColor="text1"/>
        </w:rPr>
        <w:t>政治大學許政賢教授表示，法院組織法係於21年10月28日制定公布，並自24年7月1日施行。當時即</w:t>
      </w:r>
      <w:r w:rsidR="004C70F8" w:rsidRPr="005C0958">
        <w:rPr>
          <w:rFonts w:hint="eastAsia"/>
          <w:color w:val="000000" w:themeColor="text1"/>
        </w:rPr>
        <w:t>定</w:t>
      </w:r>
      <w:r w:rsidRPr="005C0958">
        <w:rPr>
          <w:rFonts w:hint="eastAsia"/>
          <w:color w:val="000000" w:themeColor="text1"/>
        </w:rPr>
        <w:t>有「調度警察章程」。法院組織法於34年修法時，規定「調度司法警察條例，另以法律定之」，而調度司法警察條例之立法與法院組織法修正不超過</w:t>
      </w:r>
      <w:r w:rsidR="002535EA" w:rsidRPr="005C0958">
        <w:rPr>
          <w:rFonts w:hint="eastAsia"/>
          <w:color w:val="000000" w:themeColor="text1"/>
        </w:rPr>
        <w:t>1</w:t>
      </w:r>
      <w:r w:rsidR="003D37DF" w:rsidRPr="005C0958">
        <w:rPr>
          <w:rFonts w:hint="eastAsia"/>
          <w:color w:val="000000" w:themeColor="text1"/>
        </w:rPr>
        <w:t>個月。可見本條例在制度設計上，係整體考量法官</w:t>
      </w:r>
      <w:r w:rsidRPr="005C0958">
        <w:rPr>
          <w:rFonts w:hint="eastAsia"/>
          <w:color w:val="000000" w:themeColor="text1"/>
        </w:rPr>
        <w:t>、檢察官及警察在司法任務中之地位及權力分配關係。誠如李震山前大法官指出：權力分配應屬手段，不應單獨成為檢警關係問題論述之核心，倒是任務分配是否足以達成民主體制之維護、實質正當之合法程序、基本人權之保障、法正義追求之目的，方是重點之所在。檢察官作為偵查主體，具有</w:t>
      </w:r>
      <w:r w:rsidRPr="005C0958">
        <w:rPr>
          <w:rFonts w:hint="eastAsia"/>
          <w:color w:val="000000" w:themeColor="text1"/>
        </w:rPr>
        <w:lastRenderedPageBreak/>
        <w:t>指揮司法警察蒐證方向及過程以追訴犯罪，及監督警調偵辦過程之適法性等目的。鑑於偵查手段具有基本權利侵害性，制度設計寓有避免權力集中及制衡之意義，故檢警機關應摒棄本位，從人權保障、法正義追求、維護實質正當之合法程序等目的加以思考</w:t>
      </w:r>
      <w:r w:rsidRPr="005C0958">
        <w:rPr>
          <w:rStyle w:val="af3"/>
          <w:color w:val="000000" w:themeColor="text1"/>
        </w:rPr>
        <w:footnoteReference w:id="15"/>
      </w:r>
      <w:r w:rsidRPr="005C0958">
        <w:rPr>
          <w:rFonts w:hint="eastAsia"/>
          <w:color w:val="000000" w:themeColor="text1"/>
        </w:rPr>
        <w:t>。基此，在現行刑事訴訟基本架構下，綜據多數諮詢學者、司法院、法務部及調查局之見解，應認為檢察官、法官之指揮命令權與獎懲制度仍有必要。但本條例之部分內容陳舊不合時宜，相關機關在</w:t>
      </w:r>
      <w:r w:rsidR="007C257B" w:rsidRPr="005C0958">
        <w:rPr>
          <w:rFonts w:hint="eastAsia"/>
          <w:color w:val="000000" w:themeColor="text1"/>
        </w:rPr>
        <w:t>思考院、檢、警三方關係</w:t>
      </w:r>
      <w:r w:rsidRPr="005C0958">
        <w:rPr>
          <w:rFonts w:hint="eastAsia"/>
          <w:color w:val="000000" w:themeColor="text1"/>
        </w:rPr>
        <w:t>之際，應捐棄本位立場，本諸機關對等及相互尊重之原則，體察現代法治國家權力制衡及維護實質正當程序之基本要求，賦予該條例積極之意義。</w:t>
      </w:r>
      <w:r w:rsidRPr="005C0958">
        <w:rPr>
          <w:rFonts w:hint="eastAsia"/>
          <w:color w:val="000000" w:themeColor="text1"/>
        </w:rPr>
        <w:tab/>
      </w:r>
    </w:p>
    <w:p w:rsidR="004B6A36" w:rsidRPr="005C0958" w:rsidRDefault="004B6A36" w:rsidP="004B6A36">
      <w:pPr>
        <w:pStyle w:val="2"/>
        <w:rPr>
          <w:color w:val="000000" w:themeColor="text1"/>
        </w:rPr>
      </w:pPr>
      <w:r w:rsidRPr="005C0958">
        <w:rPr>
          <w:rFonts w:hint="eastAsia"/>
          <w:color w:val="000000" w:themeColor="text1"/>
        </w:rPr>
        <w:tab/>
      </w:r>
      <w:r w:rsidRPr="005C0958">
        <w:rPr>
          <w:rFonts w:hint="eastAsia"/>
          <w:b/>
          <w:color w:val="000000" w:themeColor="text1"/>
        </w:rPr>
        <w:t>檢討實務上司法警察機關對於本條例之各項主要爭議事項，其中檢察機關要求司法警察機關耗費龐大人力執行無實效之防逃監控等情，仍有待檢討改善；自104年迄今各警察機關仍有210人次借調或支援各檢察機關偵辦案件；又部分檢察機關未基於個案實際需求，通案要求司法警察補充法警人力，為值庭、戒護、解送被告等勤務，</w:t>
      </w:r>
      <w:r w:rsidR="00020860" w:rsidRPr="005C0958">
        <w:rPr>
          <w:rFonts w:hint="eastAsia"/>
          <w:b/>
          <w:color w:val="000000" w:themeColor="text1"/>
        </w:rPr>
        <w:t>均</w:t>
      </w:r>
      <w:r w:rsidRPr="005C0958">
        <w:rPr>
          <w:rFonts w:hint="eastAsia"/>
          <w:b/>
          <w:color w:val="000000" w:themeColor="text1"/>
        </w:rPr>
        <w:t>有未洽；此外，部分院檢機關要求警察機關長途解送觸犯微罪之通緝犯，及指示警察機關編排大量警力長期戒護留置鑑定之被告等個案，固屬司法核心職權事項之合法行使，但院檢行使其調度司法警察權之際，仍宜考量警力的合理負擔及兼顧被告權益，採取達成司法任務之最小勞費方式行之。</w:t>
      </w:r>
    </w:p>
    <w:p w:rsidR="00AD1C0F" w:rsidRPr="005C0958" w:rsidRDefault="00AD1C0F" w:rsidP="00AD1C0F">
      <w:pPr>
        <w:pStyle w:val="3"/>
        <w:numPr>
          <w:ilvl w:val="0"/>
          <w:numId w:val="0"/>
        </w:numPr>
        <w:ind w:leftChars="305" w:left="1037" w:firstLineChars="200" w:firstLine="680"/>
        <w:rPr>
          <w:color w:val="000000" w:themeColor="text1"/>
        </w:rPr>
      </w:pPr>
      <w:r w:rsidRPr="005C0958">
        <w:rPr>
          <w:rFonts w:hint="eastAsia"/>
          <w:color w:val="000000" w:themeColor="text1"/>
        </w:rPr>
        <w:t>歸納目前司法警察機關對於本條例之具體爭議，略有：(一)受判決人傳喚到案執行前，要求移送機</w:t>
      </w:r>
      <w:r w:rsidRPr="005C0958">
        <w:rPr>
          <w:rFonts w:hint="eastAsia"/>
          <w:color w:val="000000" w:themeColor="text1"/>
        </w:rPr>
        <w:lastRenderedPageBreak/>
        <w:t>關執行無實效之「防逃動態掌握、同行監督」勤務；(二)檢察機關長期借調司法警察駐署協助偵辦案件； (三)各地檢署因法警人力不足，要求司法警察於移送被告後，為值庭、戒護、解送被告等勤務。(四)指示警察機關長途解送觸犯微罪之通緝犯，及指示警察機關編排大量警力長期戒護留置鑑定之被告等</w:t>
      </w:r>
      <w:r w:rsidR="002535EA" w:rsidRPr="005C0958">
        <w:rPr>
          <w:rFonts w:hint="eastAsia"/>
          <w:color w:val="000000" w:themeColor="text1"/>
        </w:rPr>
        <w:t>4</w:t>
      </w:r>
      <w:r w:rsidRPr="005C0958">
        <w:rPr>
          <w:rFonts w:hint="eastAsia"/>
          <w:color w:val="000000" w:themeColor="text1"/>
        </w:rPr>
        <w:t>項爭議。</w:t>
      </w:r>
      <w:r w:rsidR="0045386E" w:rsidRPr="005C0958">
        <w:rPr>
          <w:rFonts w:hint="eastAsia"/>
          <w:color w:val="000000" w:themeColor="text1"/>
        </w:rPr>
        <w:t>內政部表示，相關爭議對於警察人力所造成之排擠、壓力確係各警察機關反</w:t>
      </w:r>
      <w:r w:rsidR="002535EA" w:rsidRPr="005C0958">
        <w:rPr>
          <w:rFonts w:hint="eastAsia"/>
          <w:color w:val="000000" w:themeColor="text1"/>
        </w:rPr>
        <w:t>映</w:t>
      </w:r>
      <w:r w:rsidR="0045386E" w:rsidRPr="005C0958">
        <w:rPr>
          <w:rFonts w:hint="eastAsia"/>
          <w:color w:val="000000" w:themeColor="text1"/>
        </w:rPr>
        <w:t>最為迫切需解決的問題，茲分述如下：</w:t>
      </w:r>
    </w:p>
    <w:p w:rsidR="004B6A36" w:rsidRPr="005C0958" w:rsidRDefault="004B6A36" w:rsidP="004B6A36">
      <w:pPr>
        <w:pStyle w:val="3"/>
        <w:rPr>
          <w:b/>
          <w:color w:val="000000" w:themeColor="text1"/>
        </w:rPr>
      </w:pPr>
      <w:r w:rsidRPr="005C0958">
        <w:rPr>
          <w:rFonts w:hint="eastAsia"/>
          <w:b/>
          <w:color w:val="000000" w:themeColor="text1"/>
        </w:rPr>
        <w:t>有關檢察機關指揮司法警察執行無實效之防逃監控，徒耗龐大警力等情，雖經本院多次函請改善及提案糾正，司法院亦提出刑事訴訟法防逃修正草案並函法官於審理程序中隨時審酌保釋條件，惟司法警察機關目前仍需投入大量警力執行防逃勤務。法務部允宜參採各司法警察機關之建議，切實檢討現行運作情形，強化分工協調及提升執行效能：</w:t>
      </w:r>
    </w:p>
    <w:p w:rsidR="004B6A36" w:rsidRPr="005C0958" w:rsidRDefault="004B6A36" w:rsidP="004B6A36">
      <w:pPr>
        <w:pStyle w:val="4"/>
        <w:rPr>
          <w:color w:val="000000" w:themeColor="text1"/>
        </w:rPr>
      </w:pPr>
      <w:r w:rsidRPr="005C0958">
        <w:rPr>
          <w:rFonts w:hint="eastAsia"/>
          <w:color w:val="000000" w:themeColor="text1"/>
        </w:rPr>
        <w:t>長期以來，社會矚目之重大政商要犯屢屢於發監執行</w:t>
      </w:r>
      <w:r w:rsidR="006652DE" w:rsidRPr="005C0958">
        <w:rPr>
          <w:rFonts w:hint="eastAsia"/>
          <w:color w:val="000000" w:themeColor="text1"/>
        </w:rPr>
        <w:t>前</w:t>
      </w:r>
      <w:r w:rsidRPr="005C0958">
        <w:rPr>
          <w:rFonts w:hint="eastAsia"/>
          <w:color w:val="000000" w:themeColor="text1"/>
        </w:rPr>
        <w:t>潛逃無蹤，引發民怨甚深，打擊司法威信，其根本問題在於刑事訴訟法欠缺防逃及監控條款所致。然各地檢署逕依本條例及法務部訂頒之「防範刑事案件被告逃匿聯繫作業要點」（105年4月修正並更名為「防範刑事判決確定案件受刑人逃匿聯繫作業要點」，下稱防逃作業要點），指揮原移送之司法警察機關編排大量警力，對受確定判決但尚未報告入監之被告，執行24小時之「觀察及動態掌握」、「同行監督」。然因相關勤務僅能目視監控，欠缺強制力，無法防範被告逃匿，徒然浪費龐大警力，本院早於99年8月4</w:t>
      </w:r>
      <w:r w:rsidRPr="005C0958">
        <w:rPr>
          <w:rFonts w:hint="eastAsia"/>
          <w:color w:val="000000" w:themeColor="text1"/>
        </w:rPr>
        <w:lastRenderedPageBreak/>
        <w:t>日函請相關機關檢討改善</w:t>
      </w:r>
      <w:r w:rsidRPr="005C0958">
        <w:rPr>
          <w:rStyle w:val="af3"/>
          <w:color w:val="000000" w:themeColor="text1"/>
        </w:rPr>
        <w:footnoteReference w:id="16"/>
      </w:r>
      <w:r w:rsidRPr="005C0958">
        <w:rPr>
          <w:rFonts w:hint="eastAsia"/>
          <w:color w:val="000000" w:themeColor="text1"/>
        </w:rPr>
        <w:t>，並於104年10月14日提案糾正法務部</w:t>
      </w:r>
      <w:r w:rsidRPr="005C0958">
        <w:rPr>
          <w:rStyle w:val="af3"/>
          <w:color w:val="000000" w:themeColor="text1"/>
        </w:rPr>
        <w:footnoteReference w:id="17"/>
      </w:r>
      <w:r w:rsidRPr="005C0958">
        <w:rPr>
          <w:rFonts w:hint="eastAsia"/>
          <w:color w:val="000000" w:themeColor="text1"/>
        </w:rPr>
        <w:t>，請司法院及法務部審酌修法及</w:t>
      </w:r>
      <w:r w:rsidR="00020860" w:rsidRPr="005C0958">
        <w:rPr>
          <w:rFonts w:hint="eastAsia"/>
          <w:color w:val="000000" w:themeColor="text1"/>
        </w:rPr>
        <w:t>檢討改進</w:t>
      </w:r>
      <w:r w:rsidRPr="005C0958">
        <w:rPr>
          <w:rFonts w:hint="eastAsia"/>
          <w:color w:val="000000" w:themeColor="text1"/>
        </w:rPr>
        <w:t>執行方式。</w:t>
      </w:r>
    </w:p>
    <w:p w:rsidR="004B6A36" w:rsidRPr="005C0958" w:rsidRDefault="004B6A36" w:rsidP="004B6A36">
      <w:pPr>
        <w:pStyle w:val="4"/>
        <w:rPr>
          <w:color w:val="000000" w:themeColor="text1"/>
        </w:rPr>
      </w:pPr>
      <w:r w:rsidRPr="005C0958">
        <w:rPr>
          <w:rFonts w:hint="eastAsia"/>
          <w:color w:val="000000" w:themeColor="text1"/>
        </w:rPr>
        <w:t>104年11月間發生涉貪之臺灣高雄地方法院</w:t>
      </w:r>
      <w:r w:rsidR="00ED03B3" w:rsidRPr="005C0958">
        <w:rPr>
          <w:rFonts w:hint="eastAsia"/>
          <w:color w:val="000000" w:themeColor="text1"/>
        </w:rPr>
        <w:t>檢察署</w:t>
      </w:r>
      <w:r w:rsidRPr="005C0958">
        <w:rPr>
          <w:rFonts w:hint="eastAsia"/>
          <w:color w:val="000000" w:themeColor="text1"/>
        </w:rPr>
        <w:t>前檢察官</w:t>
      </w:r>
      <w:r w:rsidR="009B3CF7" w:rsidRPr="005C0958">
        <w:rPr>
          <w:rFonts w:hint="eastAsia"/>
          <w:color w:val="000000" w:themeColor="text1"/>
        </w:rPr>
        <w:t>井</w:t>
      </w:r>
      <w:r w:rsidR="00F725C6" w:rsidRPr="005C0958">
        <w:rPr>
          <w:rFonts w:hint="eastAsia"/>
          <w:color w:val="000000" w:themeColor="text1"/>
        </w:rPr>
        <w:t>樹</w:t>
      </w:r>
      <w:r w:rsidR="009B3CF7" w:rsidRPr="005C0958">
        <w:rPr>
          <w:rFonts w:hint="eastAsia"/>
          <w:color w:val="000000" w:themeColor="text1"/>
        </w:rPr>
        <w:t>華（原名</w:t>
      </w:r>
      <w:r w:rsidRPr="005C0958">
        <w:rPr>
          <w:rFonts w:hint="eastAsia"/>
          <w:color w:val="000000" w:themeColor="text1"/>
        </w:rPr>
        <w:t>井</w:t>
      </w:r>
      <w:r w:rsidR="00F725C6" w:rsidRPr="005C0958">
        <w:rPr>
          <w:rFonts w:hint="eastAsia"/>
          <w:color w:val="000000" w:themeColor="text1"/>
        </w:rPr>
        <w:t>天</w:t>
      </w:r>
      <w:r w:rsidRPr="005C0958">
        <w:rPr>
          <w:rFonts w:hint="eastAsia"/>
          <w:color w:val="000000" w:themeColor="text1"/>
        </w:rPr>
        <w:t>博</w:t>
      </w:r>
      <w:r w:rsidR="009B3CF7" w:rsidRPr="005C0958">
        <w:rPr>
          <w:rFonts w:hint="eastAsia"/>
          <w:color w:val="000000" w:themeColor="text1"/>
        </w:rPr>
        <w:t>）</w:t>
      </w:r>
      <w:r w:rsidRPr="005C0958">
        <w:rPr>
          <w:rFonts w:hint="eastAsia"/>
          <w:color w:val="000000" w:themeColor="text1"/>
        </w:rPr>
        <w:t>潛逃案，本院調查後建議司法院研議修正刑事訴訟法增加羈押替代處分及科技設備監控條文</w:t>
      </w:r>
      <w:r w:rsidRPr="005C0958">
        <w:rPr>
          <w:rStyle w:val="af3"/>
          <w:color w:val="000000" w:themeColor="text1"/>
        </w:rPr>
        <w:footnoteReference w:id="18"/>
      </w:r>
      <w:r w:rsidRPr="005C0958">
        <w:rPr>
          <w:rFonts w:hint="eastAsia"/>
          <w:color w:val="000000" w:themeColor="text1"/>
        </w:rPr>
        <w:t>，督促法官於重大刑事案件言詞辯論終結時，重新審酌被告保釋條件，及建立重大刑案被告移轉不動產通報機制。經司法院檢討研議</w:t>
      </w:r>
      <w:r w:rsidR="004E3256" w:rsidRPr="005C0958">
        <w:rPr>
          <w:rFonts w:hint="eastAsia"/>
          <w:color w:val="000000" w:themeColor="text1"/>
        </w:rPr>
        <w:t>並</w:t>
      </w:r>
      <w:r w:rsidRPr="005C0958">
        <w:rPr>
          <w:rFonts w:hint="eastAsia"/>
          <w:color w:val="000000" w:themeColor="text1"/>
        </w:rPr>
        <w:t>彙整審、檢、辯、學</w:t>
      </w:r>
      <w:r w:rsidR="004E3256" w:rsidRPr="005C0958">
        <w:rPr>
          <w:rFonts w:hint="eastAsia"/>
          <w:color w:val="000000" w:themeColor="text1"/>
        </w:rPr>
        <w:t>及</w:t>
      </w:r>
      <w:r w:rsidRPr="005C0958">
        <w:rPr>
          <w:rFonts w:hint="eastAsia"/>
          <w:color w:val="000000" w:themeColor="text1"/>
        </w:rPr>
        <w:t>相關機關意見後，於106年10月11日於院會通過刑事訴訟法第116條之2、第117條、第456條、第468條等修正案</w:t>
      </w:r>
      <w:r w:rsidRPr="005C0958">
        <w:rPr>
          <w:rStyle w:val="af3"/>
          <w:color w:val="000000" w:themeColor="text1"/>
        </w:rPr>
        <w:footnoteReference w:id="19"/>
      </w:r>
      <w:r w:rsidRPr="005C0958">
        <w:rPr>
          <w:rFonts w:hint="eastAsia"/>
          <w:color w:val="000000" w:themeColor="text1"/>
        </w:rPr>
        <w:t>，函請行政院會銜送立法院審議。另指示各法院於審理程序進行中，應隨時依個案情狀妥適審酌原定保釋條件，是以重大政商要犯潛逃的問題</w:t>
      </w:r>
      <w:r w:rsidR="00020860" w:rsidRPr="005C0958">
        <w:rPr>
          <w:rFonts w:hint="eastAsia"/>
          <w:color w:val="000000" w:themeColor="text1"/>
        </w:rPr>
        <w:t>，</w:t>
      </w:r>
      <w:r w:rsidRPr="005C0958">
        <w:rPr>
          <w:rFonts w:hint="eastAsia"/>
          <w:color w:val="000000" w:themeColor="text1"/>
        </w:rPr>
        <w:t>在制度面已獲致初步改善。</w:t>
      </w:r>
    </w:p>
    <w:p w:rsidR="004B6A36" w:rsidRPr="005C0958" w:rsidRDefault="004B6A36" w:rsidP="004B6A36">
      <w:pPr>
        <w:pStyle w:val="4"/>
        <w:rPr>
          <w:color w:val="000000" w:themeColor="text1"/>
        </w:rPr>
      </w:pPr>
      <w:r w:rsidRPr="005C0958">
        <w:rPr>
          <w:rFonts w:hint="eastAsia"/>
          <w:color w:val="000000" w:themeColor="text1"/>
        </w:rPr>
        <w:lastRenderedPageBreak/>
        <w:t>又本院於104年8月提案糾正現行防逃執行方式成效不佳，徒耗司法資源後，法務部雖於105年4月20日修正防逃作業要點，將防逃機制限於判決確定及10年以上徒刑之案件，但刪除應由檢察總長或檢察長召集相關司法警察機關辦理之規定</w:t>
      </w:r>
      <w:r w:rsidR="00020860" w:rsidRPr="005C0958">
        <w:rPr>
          <w:rFonts w:hint="eastAsia"/>
          <w:color w:val="000000" w:themeColor="text1"/>
        </w:rPr>
        <w:t>，顯屬不當</w:t>
      </w:r>
      <w:r w:rsidRPr="005C0958">
        <w:rPr>
          <w:rFonts w:hint="eastAsia"/>
          <w:color w:val="000000" w:themeColor="text1"/>
        </w:rPr>
        <w:t>。據</w:t>
      </w:r>
      <w:r w:rsidR="00F33F06" w:rsidRPr="005C0958">
        <w:rPr>
          <w:rFonts w:hint="eastAsia"/>
          <w:color w:val="000000" w:themeColor="text1"/>
        </w:rPr>
        <w:t>內政部</w:t>
      </w:r>
      <w:r w:rsidR="00BB4580" w:rsidRPr="005C0958">
        <w:rPr>
          <w:rFonts w:hint="eastAsia"/>
          <w:color w:val="000000" w:themeColor="text1"/>
        </w:rPr>
        <w:t>警政署</w:t>
      </w:r>
      <w:r w:rsidR="00F33F06" w:rsidRPr="005C0958">
        <w:rPr>
          <w:rFonts w:hint="eastAsia"/>
          <w:color w:val="000000" w:themeColor="text1"/>
        </w:rPr>
        <w:t>（下稱警政署）</w:t>
      </w:r>
      <w:r w:rsidRPr="005C0958">
        <w:rPr>
          <w:rFonts w:hint="eastAsia"/>
          <w:color w:val="000000" w:themeColor="text1"/>
        </w:rPr>
        <w:t>表示，自105年4月20日</w:t>
      </w:r>
      <w:r w:rsidR="00B853C2" w:rsidRPr="005C0958">
        <w:rPr>
          <w:rFonts w:hint="eastAsia"/>
          <w:color w:val="000000" w:themeColor="text1"/>
        </w:rPr>
        <w:t>法務部修正防逃作業要點</w:t>
      </w:r>
      <w:r w:rsidRPr="005C0958">
        <w:rPr>
          <w:rFonts w:hint="eastAsia"/>
          <w:color w:val="000000" w:themeColor="text1"/>
        </w:rPr>
        <w:t>以來</w:t>
      </w:r>
      <w:r w:rsidR="00B853C2" w:rsidRPr="005C0958">
        <w:rPr>
          <w:rFonts w:hint="eastAsia"/>
          <w:color w:val="000000" w:themeColor="text1"/>
        </w:rPr>
        <w:t>，</w:t>
      </w:r>
      <w:r w:rsidRPr="005C0958">
        <w:rPr>
          <w:rFonts w:hint="eastAsia"/>
          <w:color w:val="000000" w:themeColor="text1"/>
        </w:rPr>
        <w:t>警察機關執行防逃監控之案件數計32件，使用警力有</w:t>
      </w:r>
      <w:r w:rsidR="004912B6" w:rsidRPr="005C0958">
        <w:rPr>
          <w:rFonts w:hint="eastAsia"/>
          <w:color w:val="000000" w:themeColor="text1"/>
        </w:rPr>
        <w:t>記</w:t>
      </w:r>
      <w:r w:rsidRPr="005C0958">
        <w:rPr>
          <w:rFonts w:hint="eastAsia"/>
          <w:color w:val="000000" w:themeColor="text1"/>
        </w:rPr>
        <w:t>錄人次者</w:t>
      </w:r>
      <w:r w:rsidR="00B853C2" w:rsidRPr="005C0958">
        <w:rPr>
          <w:rFonts w:hint="eastAsia"/>
          <w:color w:val="000000" w:themeColor="text1"/>
        </w:rPr>
        <w:t>計</w:t>
      </w:r>
      <w:r w:rsidRPr="005C0958">
        <w:rPr>
          <w:rFonts w:hint="eastAsia"/>
          <w:color w:val="000000" w:themeColor="text1"/>
        </w:rPr>
        <w:t>3,085人次；法務部調查局表示防逃監控之案件數計10件，使用警力1,245人次。顯示目前執行防逃監控之案件及</w:t>
      </w:r>
      <w:r w:rsidR="00B853C2" w:rsidRPr="005C0958">
        <w:rPr>
          <w:rFonts w:hint="eastAsia"/>
          <w:color w:val="000000" w:themeColor="text1"/>
        </w:rPr>
        <w:t>使用</w:t>
      </w:r>
      <w:r w:rsidRPr="005C0958">
        <w:rPr>
          <w:rFonts w:hint="eastAsia"/>
          <w:color w:val="000000" w:themeColor="text1"/>
        </w:rPr>
        <w:t>警力雖有降低，但各司法警察機關仍需投入大量人力執行防逃勤務。</w:t>
      </w:r>
    </w:p>
    <w:p w:rsidR="004B6A36" w:rsidRPr="005C0958" w:rsidRDefault="004B6A36" w:rsidP="00014552">
      <w:pPr>
        <w:pStyle w:val="4"/>
        <w:tabs>
          <w:tab w:val="left" w:pos="7088"/>
        </w:tabs>
        <w:rPr>
          <w:color w:val="000000" w:themeColor="text1"/>
        </w:rPr>
      </w:pPr>
      <w:r w:rsidRPr="005C0958">
        <w:rPr>
          <w:rFonts w:hint="eastAsia"/>
          <w:color w:val="000000" w:themeColor="text1"/>
        </w:rPr>
        <w:t>綜上，調度司法警察條例第1條明定檢察官於辦理執行事件，有指揮命令司法警察之權。司法院雖已研定刑事訴訟法之防逃機制條文並送請立法院審議，然在立法通過前，為能確保刑之執行，檢察機關審酌個案需要，指揮司法警察機關執行防逃專案，屬其司法權之核心事項，各司法警察機關基於職責自應予配合。惟各司法警察機關一再反映各檢察機關指揮命令之指令，未衡量有效達成確保被告之目的，或僅以一紙公文行之，或未妥適協調各司法警察機關進行分工，造成其負擔沈重並嚴重排擠維護治安、偵查等本職工作之推展。法務部廉政署並建議法務部宜參酌臺灣基隆地方法院檢察署於受刑人黃</w:t>
      </w:r>
      <w:r w:rsidR="00F725C6" w:rsidRPr="005C0958">
        <w:rPr>
          <w:rFonts w:hint="eastAsia"/>
          <w:color w:val="000000" w:themeColor="text1"/>
        </w:rPr>
        <w:t>景</w:t>
      </w:r>
      <w:r w:rsidRPr="005C0958">
        <w:rPr>
          <w:rFonts w:hint="eastAsia"/>
          <w:color w:val="000000" w:themeColor="text1"/>
        </w:rPr>
        <w:t>泰防逃專案之具體作法，要求各檢察機關預先召開協調會議進行研商，以強化分工協調及執行效能。</w:t>
      </w:r>
      <w:r w:rsidR="00BC30A6" w:rsidRPr="005C0958">
        <w:rPr>
          <w:rFonts w:hint="eastAsia"/>
          <w:color w:val="000000" w:themeColor="text1"/>
        </w:rPr>
        <w:t>以上諸情形，</w:t>
      </w:r>
      <w:r w:rsidRPr="005C0958">
        <w:rPr>
          <w:rFonts w:hint="eastAsia"/>
          <w:color w:val="000000" w:themeColor="text1"/>
        </w:rPr>
        <w:t>法務部</w:t>
      </w:r>
      <w:r w:rsidR="00BC30A6" w:rsidRPr="005C0958">
        <w:rPr>
          <w:rFonts w:hint="eastAsia"/>
          <w:color w:val="000000" w:themeColor="text1"/>
        </w:rPr>
        <w:t>不能諉責，</w:t>
      </w:r>
      <w:r w:rsidRPr="005C0958">
        <w:rPr>
          <w:rFonts w:hint="eastAsia"/>
          <w:color w:val="000000" w:themeColor="text1"/>
        </w:rPr>
        <w:t>允宜參酌各司法警察機關之建議，切實檢討現行運作情形，以求</w:t>
      </w:r>
      <w:r w:rsidR="00BC30A6" w:rsidRPr="005C0958">
        <w:rPr>
          <w:rFonts w:hint="eastAsia"/>
          <w:color w:val="000000" w:themeColor="text1"/>
        </w:rPr>
        <w:t>周</w:t>
      </w:r>
      <w:r w:rsidR="00BC30A6" w:rsidRPr="005C0958">
        <w:rPr>
          <w:rFonts w:hint="eastAsia"/>
          <w:color w:val="000000" w:themeColor="text1"/>
        </w:rPr>
        <w:lastRenderedPageBreak/>
        <w:t>全</w:t>
      </w:r>
      <w:r w:rsidRPr="005C0958">
        <w:rPr>
          <w:rFonts w:hint="eastAsia"/>
          <w:color w:val="000000" w:themeColor="text1"/>
        </w:rPr>
        <w:t>。</w:t>
      </w:r>
    </w:p>
    <w:p w:rsidR="004B6A36" w:rsidRPr="005C0958" w:rsidRDefault="00B853C2" w:rsidP="00B853C2">
      <w:pPr>
        <w:pStyle w:val="3"/>
        <w:rPr>
          <w:color w:val="000000" w:themeColor="text1"/>
        </w:rPr>
      </w:pPr>
      <w:r w:rsidRPr="005C0958">
        <w:rPr>
          <w:rFonts w:hint="eastAsia"/>
          <w:b/>
          <w:color w:val="000000" w:themeColor="text1"/>
        </w:rPr>
        <w:t>法務部雖於103年8月發函禁止各地檢署長期借調司法警察至地檢署辦案，惟據內政部查復，</w:t>
      </w:r>
      <w:r w:rsidR="004B6A36" w:rsidRPr="005C0958">
        <w:rPr>
          <w:rFonts w:hint="eastAsia"/>
          <w:b/>
          <w:color w:val="000000" w:themeColor="text1"/>
        </w:rPr>
        <w:t>104年迄今檢察機關借調司法警察機關人員駐署協助偵辦案件</w:t>
      </w:r>
      <w:r w:rsidRPr="005C0958">
        <w:rPr>
          <w:rFonts w:hint="eastAsia"/>
          <w:b/>
          <w:color w:val="000000" w:themeColor="text1"/>
        </w:rPr>
        <w:t>計210人次，</w:t>
      </w:r>
      <w:r w:rsidR="004B6A36" w:rsidRPr="005C0958">
        <w:rPr>
          <w:rFonts w:hint="eastAsia"/>
          <w:b/>
          <w:color w:val="000000" w:themeColor="text1"/>
        </w:rPr>
        <w:t>法務部允宜加以瞭解是否符合相關規定：</w:t>
      </w:r>
    </w:p>
    <w:p w:rsidR="004B6A36" w:rsidRPr="005C0958" w:rsidRDefault="004B6A36" w:rsidP="004B6A36">
      <w:pPr>
        <w:pStyle w:val="32"/>
        <w:ind w:left="1361" w:firstLine="680"/>
        <w:rPr>
          <w:color w:val="000000" w:themeColor="text1"/>
        </w:rPr>
      </w:pPr>
      <w:r w:rsidRPr="005C0958">
        <w:rPr>
          <w:rFonts w:hint="eastAsia"/>
          <w:color w:val="000000" w:themeColor="text1"/>
        </w:rPr>
        <w:t>按法院組織法第63條之1第1項規定：「高等法院以下各級法院及其分院檢察署為辦理重大貪瀆、經濟犯罪、嚴重危害社會秩序案件需要，得借調相關機關之專業人員協助偵查。」</w:t>
      </w:r>
      <w:r w:rsidRPr="005C0958">
        <w:rPr>
          <w:rStyle w:val="af3"/>
          <w:color w:val="000000" w:themeColor="text1"/>
        </w:rPr>
        <w:footnoteReference w:id="20"/>
      </w:r>
      <w:r w:rsidRPr="005C0958">
        <w:rPr>
          <w:rFonts w:hint="eastAsia"/>
          <w:color w:val="000000" w:themeColor="text1"/>
        </w:rPr>
        <w:t>明定檢察機關在偵辦特定案件時，得借調相關機關之專業人員。惟檢察機關時有未依該條規定，逕依本條例之指令權，長期借調司法警察機關人員駐署辦公等情事。詢據法務部表示，該部於103年8月26日發函禁止各地檢署長期借調司法警察至地檢署辦案，並經臺灣高等法院檢察署於103年9月3日發函各地檢署遵照辦理。又行政院於104年9月22日開會協調，請內政部提供名單核對辦理借調司法警察之歸建事宜，法務部表示除最高法院檢察署特別偵查組依法院組織法第63條之1第3項規定調度之司法警察16人外，已無類似情形。惟據</w:t>
      </w:r>
      <w:r w:rsidR="00BB4580" w:rsidRPr="005C0958">
        <w:rPr>
          <w:rFonts w:hint="eastAsia"/>
          <w:color w:val="000000" w:themeColor="text1"/>
        </w:rPr>
        <w:t>警政署</w:t>
      </w:r>
      <w:r w:rsidRPr="005C0958">
        <w:rPr>
          <w:rFonts w:hint="eastAsia"/>
          <w:color w:val="000000" w:themeColor="text1"/>
        </w:rPr>
        <w:t>書面資料，統計自104年1月1日迄今，仍有12個警察機關分別借調或支援（含長期借調或專案支援）各檢察機關或廉政署計34件，有記錄人次者共210人次，其法令依據除依法院組織法第63條之1第1項外，亦有依調度司法警察條例第7條、刑事訴訟法第228條第2項辦理之情形。</w:t>
      </w:r>
      <w:r w:rsidR="00BC30A6" w:rsidRPr="005C0958">
        <w:rPr>
          <w:rFonts w:hint="eastAsia"/>
          <w:color w:val="000000" w:themeColor="text1"/>
        </w:rPr>
        <w:t>上開情形與法務部內部之人事資訊是否不符？</w:t>
      </w:r>
      <w:r w:rsidRPr="005C0958">
        <w:rPr>
          <w:rFonts w:hint="eastAsia"/>
          <w:color w:val="000000" w:themeColor="text1"/>
        </w:rPr>
        <w:t>法務部允宜</w:t>
      </w:r>
      <w:r w:rsidRPr="005C0958">
        <w:rPr>
          <w:rFonts w:hint="eastAsia"/>
          <w:color w:val="000000" w:themeColor="text1"/>
        </w:rPr>
        <w:lastRenderedPageBreak/>
        <w:t xml:space="preserve">協調內政部提供相關人員借調或支援之資料，瞭解是否符合法院組織法之規定。 </w:t>
      </w:r>
    </w:p>
    <w:p w:rsidR="004B6A36" w:rsidRPr="005C0958" w:rsidRDefault="004B6A36" w:rsidP="004B6A36">
      <w:pPr>
        <w:pStyle w:val="3"/>
        <w:rPr>
          <w:b/>
          <w:color w:val="000000" w:themeColor="text1"/>
        </w:rPr>
      </w:pPr>
      <w:r w:rsidRPr="005C0958">
        <w:rPr>
          <w:rFonts w:hint="eastAsia"/>
          <w:b/>
          <w:color w:val="000000" w:themeColor="text1"/>
        </w:rPr>
        <w:t>司法警察機關並無補充檢察機關法警人力不足之義務，部分檢察機關不區分案件性質及個案需求，通案指示移送機關之司法警察應依值日法警之要求，為夜間值庭、戒護、解送被告等勤務，洵有未洽，允宜檢討改善：</w:t>
      </w:r>
    </w:p>
    <w:p w:rsidR="004B6A36" w:rsidRPr="005C0958" w:rsidRDefault="004B6A36" w:rsidP="004B6A36">
      <w:pPr>
        <w:pStyle w:val="4"/>
        <w:rPr>
          <w:color w:val="000000" w:themeColor="text1"/>
        </w:rPr>
      </w:pPr>
      <w:r w:rsidRPr="005C0958">
        <w:rPr>
          <w:rFonts w:hint="eastAsia"/>
          <w:color w:val="000000" w:themeColor="text1"/>
        </w:rPr>
        <w:t>按法警職司值庭、執行、警衛、解送人犯及有關司法警察事務，法院組織法第23條第3項、第69條第1項定有明文。有關司法警察支援法警之時機及聯繫程序，臺灣高等法院訂頒之「法警執行職務應行注意事項」及「加強審判安全警衛措施要點」規定：各法院對於重大或矚目案件，被告有參與幫派或有發生劫犯、擾亂法庭秩序之虞或同案被告多人等情形時，應請派員警支援戒護，看守所距離法院較遠者，提訊人犯途中並得洽請警察機關派警備車沿途護送。各法院與當地警察機關協調發生困難時，應即報請上級機關處理之。足見相關指令權之行使，應基於個案實際需求及案件性質行之，並應協調警察機關建立妥適的聯繫機制，不宜通案概括或再授權由值日法警行之。</w:t>
      </w:r>
    </w:p>
    <w:p w:rsidR="004B6A36" w:rsidRPr="005C0958" w:rsidRDefault="004B6A36" w:rsidP="004E3256">
      <w:pPr>
        <w:pStyle w:val="4"/>
        <w:spacing w:line="440" w:lineRule="exact"/>
        <w:ind w:left="1740" w:hanging="697"/>
        <w:rPr>
          <w:color w:val="000000" w:themeColor="text1"/>
        </w:rPr>
      </w:pPr>
      <w:r w:rsidRPr="005C0958">
        <w:rPr>
          <w:rFonts w:hint="eastAsia"/>
          <w:color w:val="000000" w:themeColor="text1"/>
        </w:rPr>
        <w:t>經查，部分檢察機關因法警人力不足，未區分案件性質及個案需求，通案指示</w:t>
      </w:r>
      <w:r w:rsidR="00C265F6" w:rsidRPr="005C0958">
        <w:rPr>
          <w:rFonts w:hint="eastAsia"/>
          <w:color w:val="000000" w:themeColor="text1"/>
        </w:rPr>
        <w:t>司法警察於</w:t>
      </w:r>
      <w:r w:rsidRPr="005C0958">
        <w:rPr>
          <w:rFonts w:hint="eastAsia"/>
          <w:color w:val="000000" w:themeColor="text1"/>
        </w:rPr>
        <w:t>夜間移送犯罪嫌疑人</w:t>
      </w:r>
      <w:r w:rsidR="00C265F6" w:rsidRPr="005C0958">
        <w:rPr>
          <w:rFonts w:hint="eastAsia"/>
          <w:color w:val="000000" w:themeColor="text1"/>
        </w:rPr>
        <w:t>時，</w:t>
      </w:r>
      <w:r w:rsidRPr="005C0958">
        <w:rPr>
          <w:rFonts w:hint="eastAsia"/>
          <w:color w:val="000000" w:themeColor="text1"/>
        </w:rPr>
        <w:t>應依據值日法警要求，在地檢署候審室等待至檢察官訊問結束，認無羈押必要始得離開；如被告需羈押或入監，則員警須續行將犯罪嫌疑人解送至看守所或監獄，並執行夜間值庭、戒護、解送被告等法警勤務之情事。例如臺灣高雄地方法院檢察署訂頒「所轄司法警察機</w:t>
      </w:r>
      <w:r w:rsidRPr="005C0958">
        <w:rPr>
          <w:rFonts w:hint="eastAsia"/>
          <w:color w:val="000000" w:themeColor="text1"/>
        </w:rPr>
        <w:lastRenderedPageBreak/>
        <w:t>關處理移送人犯應行注意要點」，規定警察機關解送現行犯或通緝犯至該署如逾下午10時者，應待內勤檢察官指示負責解送人員無協助戒護之必要始得離去。如有羈押或送監執行之必要者，該警察機關應協助解送至看守所或監獄（見該要點第9點）。另據警察機關反映，臺灣臺中地方法院檢察署及臺灣嘉義地方法院檢察署，遇有警察機關夜間解送人犯至該署時，其法警室亦皆以法警人力欠缺為由，請求員警協助戒護刑事被告至檢察官開庭結束，如遇需聲請羈押案件則需戒護至法官開庭結束後再載送被告至臺中看守所辦理羈押，惟皆由檢察官口頭諭知或法警口頭告知；臺灣宜蘭地方法院檢察署時常要求宜蘭縣政府警察局指派員警至法院偵查庭執行戒護勤務，均以電話通知，無相關協調聯繫文書。</w:t>
      </w:r>
    </w:p>
    <w:p w:rsidR="004B6A36" w:rsidRPr="005C0958" w:rsidRDefault="004B6A36" w:rsidP="004E3256">
      <w:pPr>
        <w:pStyle w:val="4"/>
        <w:spacing w:line="440" w:lineRule="exact"/>
        <w:ind w:left="1740" w:hanging="697"/>
        <w:rPr>
          <w:color w:val="000000" w:themeColor="text1"/>
        </w:rPr>
      </w:pPr>
      <w:r w:rsidRPr="005C0958">
        <w:rPr>
          <w:rFonts w:hint="eastAsia"/>
          <w:color w:val="000000" w:themeColor="text1"/>
        </w:rPr>
        <w:t>對此，法務部主張各檢察機關於辦理偵查案件遇有法警等行政支援人力不足，得</w:t>
      </w:r>
      <w:r w:rsidR="00F44656" w:rsidRPr="005C0958">
        <w:rPr>
          <w:rFonts w:hint="eastAsia"/>
          <w:color w:val="000000" w:themeColor="text1"/>
        </w:rPr>
        <w:t>援</w:t>
      </w:r>
      <w:r w:rsidRPr="005C0958">
        <w:rPr>
          <w:rFonts w:hint="eastAsia"/>
          <w:color w:val="000000" w:themeColor="text1"/>
        </w:rPr>
        <w:t>引本條例及檢警聯繫辦法之規定，指揮警察加以補足等語。惟詢據警政署表示，犯罪嫌疑人或被告經解送至地檢署後，相關戒護及後續解送工作即屬地檢署法警勤務範疇，不該任意移轉由警察負擔。表示承辦員警自跟監、埋伏、逮捕等勤務開始，迄後續詢問、調查、辦理移送作業等，往往耗時達24小時以上，既不合理亦容易衍生戒護安全問題。該爭議雖已多次於相關會議反</w:t>
      </w:r>
      <w:r w:rsidR="00ED03B3" w:rsidRPr="005C0958">
        <w:rPr>
          <w:rFonts w:hint="eastAsia"/>
          <w:color w:val="000000" w:themeColor="text1"/>
        </w:rPr>
        <w:t>映</w:t>
      </w:r>
      <w:r w:rsidRPr="005C0958">
        <w:rPr>
          <w:rFonts w:hint="eastAsia"/>
          <w:color w:val="000000" w:themeColor="text1"/>
        </w:rPr>
        <w:t>，惟各地檢署皆以其警力不足，深夜解送過程較具危險性，要求警察機關配合，長久以往，皆為不合理之要求，影響警察維護治安之本職工作等語。</w:t>
      </w:r>
    </w:p>
    <w:p w:rsidR="004B6A36" w:rsidRPr="005C0958" w:rsidRDefault="004B6A36" w:rsidP="004E3256">
      <w:pPr>
        <w:pStyle w:val="4"/>
        <w:spacing w:line="440" w:lineRule="exact"/>
        <w:ind w:left="1740" w:hanging="697"/>
        <w:rPr>
          <w:color w:val="000000" w:themeColor="text1"/>
        </w:rPr>
      </w:pPr>
      <w:r w:rsidRPr="005C0958">
        <w:rPr>
          <w:rFonts w:hint="eastAsia"/>
          <w:color w:val="000000" w:themeColor="text1"/>
        </w:rPr>
        <w:t>質言之，隨著政府事務分工繁雜化及業務項目之增加，各機關均有人力窘迫及經費不足之問題，此時應思考如何妥適簡化勤業務，運用既有資源</w:t>
      </w:r>
      <w:r w:rsidRPr="005C0958">
        <w:rPr>
          <w:rFonts w:hint="eastAsia"/>
          <w:color w:val="000000" w:themeColor="text1"/>
        </w:rPr>
        <w:lastRenderedPageBreak/>
        <w:t>及合理編配所屬人力達成法定任務。且據</w:t>
      </w:r>
      <w:r w:rsidR="00BB4580" w:rsidRPr="005C0958">
        <w:rPr>
          <w:rFonts w:hint="eastAsia"/>
          <w:color w:val="000000" w:themeColor="text1"/>
        </w:rPr>
        <w:t>警政署</w:t>
      </w:r>
      <w:r w:rsidRPr="005C0958">
        <w:rPr>
          <w:rFonts w:hint="eastAsia"/>
          <w:color w:val="000000" w:themeColor="text1"/>
        </w:rPr>
        <w:t>表示，目前基層刑事人員亦面臨缺額嚴重之問題。該署於104年間雖曾大幅減化警察協辦業務，警察機關對其他行政機關主管之法令勤務，除有急迫或執行障礙等情況，原則上不予會同執行。即便如此，目前各警察機關依法令得或應受其他行政機關請求協助之事項仍高達186種，造成精進警察偵查作為之困境，為提升刑事人員士氣及意願，該署推動業務工作簡化，期能改善警察工作辛勞等語。</w:t>
      </w:r>
      <w:r w:rsidR="00F44656" w:rsidRPr="005C0958">
        <w:rPr>
          <w:rFonts w:hint="eastAsia"/>
          <w:color w:val="000000" w:themeColor="text1"/>
        </w:rPr>
        <w:t>本院認內政部所述當屬實情，</w:t>
      </w:r>
      <w:r w:rsidRPr="005C0958">
        <w:rPr>
          <w:rFonts w:hint="eastAsia"/>
          <w:color w:val="000000" w:themeColor="text1"/>
        </w:rPr>
        <w:t>而部分檢察機關之法警人力不足，長遠觀之，屬其本身應從組織面加以克服改變之事項，如短期內運作確有困難，亦應依案件性質及個案需求，循檢警聯繫機制，本諸機關對等之原則行之。</w:t>
      </w:r>
      <w:r w:rsidR="00F44656" w:rsidRPr="005C0958">
        <w:rPr>
          <w:rFonts w:hint="eastAsia"/>
          <w:color w:val="000000" w:themeColor="text1"/>
        </w:rPr>
        <w:t>故</w:t>
      </w:r>
      <w:r w:rsidRPr="005C0958">
        <w:rPr>
          <w:rFonts w:hint="eastAsia"/>
          <w:color w:val="000000" w:themeColor="text1"/>
        </w:rPr>
        <w:t>目前部分檢察機關逕訂頒規定或通案指示司法警察為夜間值庭、戒護、解送被告等勤務，似未充分尊重司法警察機關之權責，易令人質疑為權力濫用，洵有未洽。又檢察機關有關法警執行職務之注意事項及要點欠缺前開規定，容有疏漏，均亟待檢討改善。</w:t>
      </w:r>
    </w:p>
    <w:p w:rsidR="004B6A36" w:rsidRPr="005C0958" w:rsidRDefault="004B6A36" w:rsidP="004B6A36">
      <w:pPr>
        <w:pStyle w:val="3"/>
        <w:rPr>
          <w:b/>
          <w:color w:val="000000" w:themeColor="text1"/>
        </w:rPr>
      </w:pPr>
      <w:r w:rsidRPr="005C0958">
        <w:rPr>
          <w:rFonts w:hint="eastAsia"/>
          <w:b/>
          <w:color w:val="000000" w:themeColor="text1"/>
        </w:rPr>
        <w:t>通緝犯</w:t>
      </w:r>
      <w:r w:rsidR="00B853C2" w:rsidRPr="005C0958">
        <w:rPr>
          <w:rFonts w:hint="eastAsia"/>
          <w:b/>
          <w:color w:val="000000" w:themeColor="text1"/>
        </w:rPr>
        <w:t>解送處所</w:t>
      </w:r>
      <w:r w:rsidRPr="005C0958">
        <w:rPr>
          <w:rFonts w:hint="eastAsia"/>
          <w:b/>
          <w:color w:val="000000" w:themeColor="text1"/>
        </w:rPr>
        <w:t>及</w:t>
      </w:r>
      <w:r w:rsidR="00B853C2" w:rsidRPr="005C0958">
        <w:rPr>
          <w:rFonts w:hint="eastAsia"/>
          <w:b/>
          <w:color w:val="000000" w:themeColor="text1"/>
        </w:rPr>
        <w:t>裁定</w:t>
      </w:r>
      <w:r w:rsidRPr="005C0958">
        <w:rPr>
          <w:rFonts w:hint="eastAsia"/>
          <w:b/>
          <w:color w:val="000000" w:themeColor="text1"/>
        </w:rPr>
        <w:t>留置鑑定等</w:t>
      </w:r>
      <w:r w:rsidR="00B853C2" w:rsidRPr="005C0958">
        <w:rPr>
          <w:rFonts w:hint="eastAsia"/>
          <w:b/>
          <w:color w:val="000000" w:themeColor="text1"/>
        </w:rPr>
        <w:t>，</w:t>
      </w:r>
      <w:r w:rsidRPr="005C0958">
        <w:rPr>
          <w:rFonts w:hint="eastAsia"/>
          <w:b/>
          <w:color w:val="000000" w:themeColor="text1"/>
        </w:rPr>
        <w:t>屬偵查審判之司法核心事項，司法警察有受法官、檢察官指揮命令執行相關勤務之義務。惟院檢於行使指令權之際，仍宜考量警力的合理負擔，並採取能達成司法任務之最小勞費方式行之，以維護院檢警關係的良性互動。</w:t>
      </w:r>
    </w:p>
    <w:p w:rsidR="004B6A36" w:rsidRPr="005C0958" w:rsidRDefault="004B6A36" w:rsidP="004B6A36">
      <w:pPr>
        <w:pStyle w:val="4"/>
        <w:rPr>
          <w:color w:val="000000" w:themeColor="text1"/>
        </w:rPr>
      </w:pPr>
      <w:r w:rsidRPr="005C0958">
        <w:rPr>
          <w:rFonts w:hint="eastAsia"/>
          <w:color w:val="000000" w:themeColor="text1"/>
        </w:rPr>
        <w:t>按刑事訴訟法第91條規定：「拘提或因通緝逮捕之被告，應即解送指定之處所；如24小時內不能達到指定之處所者，應分別其命拘提或通緝者為法院或檢察官，先行解送較近之法院或檢察機</w:t>
      </w:r>
      <w:r w:rsidRPr="005C0958">
        <w:rPr>
          <w:rFonts w:hint="eastAsia"/>
          <w:color w:val="000000" w:themeColor="text1"/>
        </w:rPr>
        <w:lastRenderedPageBreak/>
        <w:t>關，訊問其人有無錯誤。」警察機關查捕逃犯作業規定警察人員查獲逃犯，經複查無訛後，應即移（解）送原通（查）尋機關或指定之處所。又刑事訴訟法第203條之2第1項、第3項規定：執行鑑定留置，應由司法警察將被告送入留置處所。又執行鑑定留置有必要時，法院或檢察官得依職權或依留置處所管理人員之聲請，命司法警察看守被告。</w:t>
      </w:r>
    </w:p>
    <w:p w:rsidR="004B6A36" w:rsidRPr="005C0958" w:rsidRDefault="004B6A36" w:rsidP="004B6A36">
      <w:pPr>
        <w:pStyle w:val="4"/>
        <w:rPr>
          <w:color w:val="000000" w:themeColor="text1"/>
        </w:rPr>
      </w:pPr>
      <w:r w:rsidRPr="005C0958">
        <w:rPr>
          <w:rFonts w:hint="eastAsia"/>
          <w:color w:val="000000" w:themeColor="text1"/>
        </w:rPr>
        <w:t>報載，檢察官以「落網地的地檢署及法院並無管轄權」為由，對於案情單純、顯無羈押必要之輕罪案件通緝犯，指示須解送回原發布通緝之地檢署，致司法警察及被告必須長途奔波，但開庭10分鐘就飭回</w:t>
      </w:r>
      <w:r w:rsidRPr="005C0958">
        <w:rPr>
          <w:rStyle w:val="af3"/>
          <w:color w:val="000000" w:themeColor="text1"/>
        </w:rPr>
        <w:footnoteReference w:id="21"/>
      </w:r>
      <w:r w:rsidRPr="005C0958">
        <w:rPr>
          <w:rFonts w:hint="eastAsia"/>
          <w:color w:val="000000" w:themeColor="text1"/>
        </w:rPr>
        <w:t>。另據</w:t>
      </w:r>
      <w:r w:rsidR="00BB4580" w:rsidRPr="005C0958">
        <w:rPr>
          <w:rFonts w:hint="eastAsia"/>
          <w:color w:val="000000" w:themeColor="text1"/>
        </w:rPr>
        <w:t>警政署</w:t>
      </w:r>
      <w:r w:rsidRPr="005C0958">
        <w:rPr>
          <w:rFonts w:hint="eastAsia"/>
          <w:color w:val="000000" w:themeColor="text1"/>
        </w:rPr>
        <w:t>反映，警察機關耗費大量警力執行法官留置鑑定之裁定，例如嘉義地方法院審理「醃頭案」，法官指揮警察機關戒護被告進行精神鑑定案，由臺北市政府警察局支援相關戒護作為，臺北市政府警察局中正一分局及刑事警察大隊於102年10月28日至11月8日止共計10日，動用警力共105人次。</w:t>
      </w:r>
    </w:p>
    <w:p w:rsidR="004B6A36" w:rsidRPr="005C0958" w:rsidRDefault="004B6A36" w:rsidP="004B6A36">
      <w:pPr>
        <w:pStyle w:val="4"/>
        <w:rPr>
          <w:color w:val="000000" w:themeColor="text1"/>
        </w:rPr>
      </w:pPr>
      <w:r w:rsidRPr="005C0958">
        <w:rPr>
          <w:rFonts w:hint="eastAsia"/>
          <w:color w:val="000000" w:themeColor="text1"/>
        </w:rPr>
        <w:t>經查，現有緝獲通緝犯之案件，無論是否微罪，原則上由逮捕之警察機關解送至發布通緝機關，該人犯如屬</w:t>
      </w:r>
      <w:r w:rsidR="003B7E8E" w:rsidRPr="005C0958">
        <w:rPr>
          <w:rFonts w:hint="eastAsia"/>
          <w:color w:val="000000" w:themeColor="text1"/>
        </w:rPr>
        <w:t>2</w:t>
      </w:r>
      <w:r w:rsidRPr="005C0958">
        <w:rPr>
          <w:rFonts w:hint="eastAsia"/>
          <w:color w:val="000000" w:themeColor="text1"/>
        </w:rPr>
        <w:t>案或</w:t>
      </w:r>
      <w:r w:rsidR="003B7E8E" w:rsidRPr="005C0958">
        <w:rPr>
          <w:rFonts w:hint="eastAsia"/>
          <w:color w:val="000000" w:themeColor="text1"/>
        </w:rPr>
        <w:t>2</w:t>
      </w:r>
      <w:r w:rsidRPr="005C0958">
        <w:rPr>
          <w:rFonts w:hint="eastAsia"/>
          <w:color w:val="000000" w:themeColor="text1"/>
        </w:rPr>
        <w:t>機關以上通緝時，原則上先行解送至通緝文號為執字（已定讞應執行者）之機關，並通知其他通緝機關並於移送書內說明。如同時執字或緝字（應查緝者），多解送至最近之法院或地檢署。故警政署建議法院或檢察署如審酌個案情形認為適當者，宜囑託訊問或運用遠距訊問方式，以兼顧當事人權益，減少警</w:t>
      </w:r>
      <w:r w:rsidRPr="005C0958">
        <w:rPr>
          <w:rFonts w:hint="eastAsia"/>
          <w:color w:val="000000" w:themeColor="text1"/>
        </w:rPr>
        <w:lastRenderedPageBreak/>
        <w:t>察長途解送通緝犯風險等語。</w:t>
      </w:r>
    </w:p>
    <w:p w:rsidR="004B6A36" w:rsidRPr="005C0958" w:rsidRDefault="004B6A36" w:rsidP="004B6A36">
      <w:pPr>
        <w:pStyle w:val="4"/>
        <w:rPr>
          <w:color w:val="000000" w:themeColor="text1"/>
        </w:rPr>
      </w:pPr>
      <w:r w:rsidRPr="005C0958">
        <w:rPr>
          <w:rFonts w:hint="eastAsia"/>
          <w:color w:val="000000" w:themeColor="text1"/>
        </w:rPr>
        <w:t>綜上，解送通緝犯及留置鑑定等屬偵查審判之司法核心事項，司法警察有受法官、檢察官指揮命令執行相關勤務之義務。惟詢據移民署表示，所屬四大收容所已與所屬法院協調完成，有關外來人口收容聲請事件，除案情特殊外皆由法院以視訊方式審理等語。是以院檢於行使指令權之際，仍宜考量警力的合理負擔，宜妥善運用遠距訊問或囑託訊問等方式，並依個案需求，採取達成司法任務之最小勞費方式行之，以維護院檢警關係的良性互動。</w:t>
      </w:r>
    </w:p>
    <w:p w:rsidR="00EB7A33" w:rsidRPr="005C0958" w:rsidRDefault="009533AD" w:rsidP="00EB7A33">
      <w:pPr>
        <w:pStyle w:val="2"/>
        <w:rPr>
          <w:color w:val="000000" w:themeColor="text1"/>
        </w:rPr>
      </w:pPr>
      <w:r w:rsidRPr="005C0958">
        <w:rPr>
          <w:rFonts w:hint="eastAsia"/>
          <w:b/>
          <w:color w:val="000000" w:themeColor="text1"/>
        </w:rPr>
        <w:t>本條例逕予獎懲之規定，恐有侵越機關人事管理之行政權核心之虞，</w:t>
      </w:r>
      <w:r w:rsidR="00EB7A33" w:rsidRPr="005C0958">
        <w:rPr>
          <w:rFonts w:hint="eastAsia"/>
          <w:b/>
          <w:color w:val="000000" w:themeColor="text1"/>
        </w:rPr>
        <w:t>然</w:t>
      </w:r>
      <w:r w:rsidRPr="005C0958">
        <w:rPr>
          <w:rFonts w:hint="eastAsia"/>
          <w:b/>
          <w:color w:val="000000" w:themeColor="text1"/>
        </w:rPr>
        <w:t>為確保指揮命令權之實效性，宜保留相當之獎懲制度並以建議方式為之</w:t>
      </w:r>
      <w:r w:rsidR="004B6A36" w:rsidRPr="005C0958">
        <w:rPr>
          <w:rFonts w:hint="eastAsia"/>
          <w:b/>
          <w:color w:val="000000" w:themeColor="text1"/>
        </w:rPr>
        <w:t>；又</w:t>
      </w:r>
      <w:r w:rsidR="00EB7A33" w:rsidRPr="005C0958">
        <w:rPr>
          <w:rFonts w:hint="eastAsia"/>
          <w:b/>
          <w:color w:val="000000" w:themeColor="text1"/>
        </w:rPr>
        <w:t>本條例第7條雖規定檢察官、法官請求協助或指揮命令時，得以書面或提示指揮證以言詞行之，然指揮證早已廢除，實務運作方式有逕以電話或口頭行之，為明確權責及執行依據，非無參酌各司法警察機關建議，研議採取書面或補行書面等要式行為之必要</w:t>
      </w:r>
      <w:r w:rsidR="00EB7A33" w:rsidRPr="005C0958">
        <w:rPr>
          <w:rFonts w:hint="eastAsia"/>
          <w:color w:val="000000" w:themeColor="text1"/>
        </w:rPr>
        <w:t>。</w:t>
      </w:r>
    </w:p>
    <w:p w:rsidR="004B6A36" w:rsidRPr="005C0958" w:rsidRDefault="004B6A36" w:rsidP="004B6A36">
      <w:pPr>
        <w:pStyle w:val="3"/>
        <w:ind w:left="1360" w:hanging="680"/>
        <w:rPr>
          <w:color w:val="000000" w:themeColor="text1"/>
        </w:rPr>
      </w:pPr>
      <w:r w:rsidRPr="005C0958">
        <w:rPr>
          <w:rFonts w:hint="eastAsia"/>
          <w:b/>
          <w:color w:val="000000" w:themeColor="text1"/>
        </w:rPr>
        <w:t>內政部雖認為本條例獎懲之規定應予刪除，然為確保指揮命令權之實效性，本條例仍應規定相當之獎懲制度，但宜以建議方式為之：</w:t>
      </w:r>
    </w:p>
    <w:p w:rsidR="004B6A36" w:rsidRPr="005C0958" w:rsidRDefault="004B6A36" w:rsidP="004B6A36">
      <w:pPr>
        <w:pStyle w:val="4"/>
        <w:rPr>
          <w:color w:val="000000" w:themeColor="text1"/>
        </w:rPr>
      </w:pPr>
      <w:r w:rsidRPr="005C0958">
        <w:rPr>
          <w:rFonts w:hint="eastAsia"/>
          <w:color w:val="000000" w:themeColor="text1"/>
        </w:rPr>
        <w:t>本條例第11條至第13條規定：檢察長或法院院長對於辦理該條例之司法警察，得「逕予嘉獎、記功、記大功或申誡、記過、記大過，其廢弛職務情節重大者，並得函請該管長官予以撤職或其他處分」，且逕行獎懲事件「應通知受獎懲人之主管長官外，應陳報法務部或司法院，並分送主管銓敘機關登記。」對於辦理該條例之司法警察官，得「陳請上級檢察長官或法務部，或由該管</w:t>
      </w:r>
      <w:r w:rsidRPr="005C0958">
        <w:rPr>
          <w:rFonts w:hint="eastAsia"/>
          <w:color w:val="000000" w:themeColor="text1"/>
        </w:rPr>
        <w:lastRenderedPageBreak/>
        <w:t>法院院長陳請上級法院或司法院，轉請其該管長官予以獎懲，該管長官應即切實辦理函復。」</w:t>
      </w:r>
    </w:p>
    <w:p w:rsidR="004B6A36" w:rsidRPr="005C0958" w:rsidRDefault="004B6A36" w:rsidP="004B6A36">
      <w:pPr>
        <w:pStyle w:val="4"/>
        <w:rPr>
          <w:color w:val="000000" w:themeColor="text1"/>
        </w:rPr>
      </w:pPr>
      <w:r w:rsidRPr="005C0958">
        <w:rPr>
          <w:rFonts w:hint="eastAsia"/>
          <w:color w:val="000000" w:themeColor="text1"/>
        </w:rPr>
        <w:t>法務部函復表示，依中央法規標準法第16條規定，法規對其他法規所規定之同一事項而為特別規定者，應優先適用之。本條例第11條及第12條規定，係檢察長或院長對依法「指揮、命令」之司法警察（官）執行職務所生之法定獎懲權，應屬公務人員考績法之特別法，優先於考績法之適用。惟內政部持不同意見，認為人事獎懲應適用公務人員考績法及主管機關所定之人事獎懲規定辦理。</w:t>
      </w:r>
      <w:r w:rsidR="00EB7A33" w:rsidRPr="005C0958">
        <w:rPr>
          <w:rFonts w:hint="eastAsia"/>
          <w:color w:val="000000" w:themeColor="text1"/>
        </w:rPr>
        <w:t>另</w:t>
      </w:r>
      <w:r w:rsidRPr="005C0958">
        <w:rPr>
          <w:rFonts w:hint="eastAsia"/>
          <w:color w:val="000000" w:themeColor="text1"/>
        </w:rPr>
        <w:t>依日本刑事訴訟法第194條係規定檢察機關向警察機關提出獎懲之「建議權」</w:t>
      </w:r>
      <w:r w:rsidRPr="005C0958">
        <w:rPr>
          <w:rStyle w:val="af3"/>
          <w:color w:val="000000" w:themeColor="text1"/>
        </w:rPr>
        <w:footnoteReference w:id="22"/>
      </w:r>
      <w:r w:rsidRPr="005C0958">
        <w:rPr>
          <w:rFonts w:hint="eastAsia"/>
          <w:color w:val="000000" w:themeColor="text1"/>
        </w:rPr>
        <w:t>，逕予獎懲規定無存在之必要，避免紊亂行政獎懲申訴管道，宜僅敘明具體奬懲事由，由其隸屬機關考量個人平時考核及個案事件情節輕重依本身獎懲相關規定辦理即可等語。諮詢法官協會代表指出：公部門領域之獎懲屬傳統人事行政的核心領域，與任用相結合，</w:t>
      </w:r>
      <w:r w:rsidR="00FC67E8" w:rsidRPr="005C0958">
        <w:rPr>
          <w:rFonts w:hint="eastAsia"/>
          <w:color w:val="000000" w:themeColor="text1"/>
        </w:rPr>
        <w:t>警察人員之任用依警察人員人事條例，而非依司法人員人事</w:t>
      </w:r>
      <w:r w:rsidR="00ED03B3" w:rsidRPr="005C0958">
        <w:rPr>
          <w:rFonts w:hint="eastAsia"/>
          <w:color w:val="000000" w:themeColor="text1"/>
        </w:rPr>
        <w:t>條例，</w:t>
      </w:r>
      <w:r w:rsidRPr="005C0958">
        <w:rPr>
          <w:rFonts w:hint="eastAsia"/>
          <w:color w:val="000000" w:themeColor="text1"/>
        </w:rPr>
        <w:t>因此司法機關對於警察機關無獎懲核定權。但獎懲建議權</w:t>
      </w:r>
      <w:r w:rsidR="00ED03B3" w:rsidRPr="005C0958">
        <w:rPr>
          <w:rFonts w:hint="eastAsia"/>
          <w:color w:val="000000" w:themeColor="text1"/>
        </w:rPr>
        <w:t>須與業務結合</w:t>
      </w:r>
      <w:r w:rsidRPr="005C0958">
        <w:rPr>
          <w:rFonts w:hint="eastAsia"/>
          <w:color w:val="000000" w:themeColor="text1"/>
        </w:rPr>
        <w:t>，經由個案考核及建立透明之監督機制，以避免機關間逾越權限等語。另諮詢檢察官協會代表，亦認為法務部修正草案</w:t>
      </w:r>
      <w:r w:rsidR="00DB17BE" w:rsidRPr="005C0958">
        <w:rPr>
          <w:rStyle w:val="af3"/>
          <w:color w:val="000000" w:themeColor="text1"/>
        </w:rPr>
        <w:footnoteReference w:id="23"/>
      </w:r>
      <w:r w:rsidRPr="005C0958">
        <w:rPr>
          <w:rFonts w:hint="eastAsia"/>
          <w:color w:val="000000" w:themeColor="text1"/>
        </w:rPr>
        <w:t>之文字未盡妥適，不符建議性質及機關相互尊重之原</w:t>
      </w:r>
      <w:r w:rsidRPr="005C0958">
        <w:rPr>
          <w:rFonts w:hint="eastAsia"/>
          <w:color w:val="000000" w:themeColor="text1"/>
        </w:rPr>
        <w:lastRenderedPageBreak/>
        <w:t>則，建議法務部考量調整。</w:t>
      </w:r>
    </w:p>
    <w:p w:rsidR="004B6A36" w:rsidRPr="005C0958" w:rsidRDefault="004B6A36" w:rsidP="004B6A36">
      <w:pPr>
        <w:pStyle w:val="4"/>
        <w:rPr>
          <w:color w:val="000000" w:themeColor="text1"/>
        </w:rPr>
      </w:pPr>
      <w:r w:rsidRPr="005C0958">
        <w:rPr>
          <w:rFonts w:hint="eastAsia"/>
          <w:color w:val="000000" w:themeColor="text1"/>
        </w:rPr>
        <w:t>實務運作情形，經警政署發函調查各警察機關</w:t>
      </w:r>
      <w:r w:rsidR="00EB7A33" w:rsidRPr="005C0958">
        <w:rPr>
          <w:rFonts w:hint="eastAsia"/>
          <w:color w:val="000000" w:themeColor="text1"/>
        </w:rPr>
        <w:t>獎懲情形，</w:t>
      </w:r>
      <w:r w:rsidRPr="005C0958">
        <w:rPr>
          <w:rFonts w:hint="eastAsia"/>
          <w:color w:val="000000" w:themeColor="text1"/>
        </w:rPr>
        <w:t>近3年並無逕依本條例第11條及聯繫辦法第25條規定辦理獎懲之案例，</w:t>
      </w:r>
      <w:r w:rsidR="00EB7A33" w:rsidRPr="005C0958">
        <w:rPr>
          <w:rFonts w:hint="eastAsia"/>
          <w:color w:val="000000" w:themeColor="text1"/>
        </w:rPr>
        <w:t>法</w:t>
      </w:r>
      <w:r w:rsidRPr="005C0958">
        <w:rPr>
          <w:rFonts w:hint="eastAsia"/>
          <w:color w:val="000000" w:themeColor="text1"/>
        </w:rPr>
        <w:t>院</w:t>
      </w:r>
      <w:r w:rsidR="00EB7A33" w:rsidRPr="005C0958">
        <w:rPr>
          <w:rFonts w:hint="eastAsia"/>
          <w:color w:val="000000" w:themeColor="text1"/>
        </w:rPr>
        <w:t>及</w:t>
      </w:r>
      <w:r w:rsidRPr="005C0958">
        <w:rPr>
          <w:rFonts w:hint="eastAsia"/>
          <w:color w:val="000000" w:themeColor="text1"/>
        </w:rPr>
        <w:t>檢</w:t>
      </w:r>
      <w:r w:rsidR="00EB7A33" w:rsidRPr="005C0958">
        <w:rPr>
          <w:rFonts w:hint="eastAsia"/>
          <w:color w:val="000000" w:themeColor="text1"/>
        </w:rPr>
        <w:t>察機關</w:t>
      </w:r>
      <w:r w:rsidRPr="005C0958">
        <w:rPr>
          <w:rFonts w:hint="eastAsia"/>
          <w:color w:val="000000" w:themeColor="text1"/>
        </w:rPr>
        <w:t>皆為以函文建議員警隸屬機關核予獎懲。法務部亦表示所屬檢察長並無依本條例行使逕予獎懲權</w:t>
      </w:r>
      <w:r w:rsidR="00F44656" w:rsidRPr="005C0958">
        <w:rPr>
          <w:rFonts w:hint="eastAsia"/>
          <w:color w:val="000000" w:themeColor="text1"/>
        </w:rPr>
        <w:t>。以上所述，均可認為</w:t>
      </w:r>
      <w:r w:rsidRPr="005C0958">
        <w:rPr>
          <w:rFonts w:hint="eastAsia"/>
          <w:color w:val="000000" w:themeColor="text1"/>
        </w:rPr>
        <w:t>本條例現行逕予獎懲之規定</w:t>
      </w:r>
      <w:r w:rsidR="00EB7A33" w:rsidRPr="005C0958">
        <w:rPr>
          <w:rFonts w:hint="eastAsia"/>
          <w:color w:val="000000" w:themeColor="text1"/>
        </w:rPr>
        <w:t>並</w:t>
      </w:r>
      <w:r w:rsidRPr="005C0958">
        <w:rPr>
          <w:rFonts w:hint="eastAsia"/>
          <w:color w:val="000000" w:themeColor="text1"/>
        </w:rPr>
        <w:t>無實際</w:t>
      </w:r>
      <w:r w:rsidR="00EB7A33" w:rsidRPr="005C0958">
        <w:rPr>
          <w:rFonts w:hint="eastAsia"/>
          <w:color w:val="000000" w:themeColor="text1"/>
        </w:rPr>
        <w:t>之</w:t>
      </w:r>
      <w:r w:rsidRPr="005C0958">
        <w:rPr>
          <w:rFonts w:hint="eastAsia"/>
          <w:color w:val="000000" w:themeColor="text1"/>
        </w:rPr>
        <w:t>需要。參酌</w:t>
      </w:r>
      <w:r w:rsidR="00EB7A33" w:rsidRPr="005C0958">
        <w:rPr>
          <w:rFonts w:hint="eastAsia"/>
          <w:color w:val="000000" w:themeColor="text1"/>
        </w:rPr>
        <w:t>內政部、學者專家意見及</w:t>
      </w:r>
      <w:r w:rsidRPr="005C0958">
        <w:rPr>
          <w:rFonts w:hint="eastAsia"/>
          <w:color w:val="000000" w:themeColor="text1"/>
        </w:rPr>
        <w:t>日本立法例，</w:t>
      </w:r>
      <w:r w:rsidR="00EB7A33" w:rsidRPr="005C0958">
        <w:rPr>
          <w:rFonts w:hint="eastAsia"/>
          <w:color w:val="000000" w:themeColor="text1"/>
        </w:rPr>
        <w:t>為</w:t>
      </w:r>
      <w:r w:rsidRPr="005C0958">
        <w:rPr>
          <w:rFonts w:hint="eastAsia"/>
          <w:color w:val="000000" w:themeColor="text1"/>
        </w:rPr>
        <w:t>確保指揮命令權之實效性，</w:t>
      </w:r>
      <w:r w:rsidR="00DB17BE" w:rsidRPr="005C0958">
        <w:rPr>
          <w:rFonts w:hint="eastAsia"/>
          <w:color w:val="000000" w:themeColor="text1"/>
        </w:rPr>
        <w:t>院、檢、警間</w:t>
      </w:r>
      <w:r w:rsidR="004B02A2" w:rsidRPr="005C0958">
        <w:rPr>
          <w:rFonts w:hint="eastAsia"/>
          <w:color w:val="000000" w:themeColor="text1"/>
        </w:rPr>
        <w:t>似</w:t>
      </w:r>
      <w:r w:rsidRPr="005C0958">
        <w:rPr>
          <w:rFonts w:hint="eastAsia"/>
          <w:color w:val="000000" w:themeColor="text1"/>
        </w:rPr>
        <w:t>仍應配套</w:t>
      </w:r>
      <w:r w:rsidR="00DB17BE" w:rsidRPr="005C0958">
        <w:rPr>
          <w:rFonts w:hint="eastAsia"/>
          <w:color w:val="000000" w:themeColor="text1"/>
        </w:rPr>
        <w:t>保留</w:t>
      </w:r>
      <w:r w:rsidRPr="005C0958">
        <w:rPr>
          <w:rFonts w:hint="eastAsia"/>
          <w:color w:val="000000" w:themeColor="text1"/>
        </w:rPr>
        <w:t>相當之獎懲制度，但宜以建議方式為之，以避免侵越機關權責及人事管理之行政權核心事項。</w:t>
      </w:r>
    </w:p>
    <w:p w:rsidR="004B6A36" w:rsidRPr="005C0958" w:rsidRDefault="004B6A36" w:rsidP="004B6A36">
      <w:pPr>
        <w:pStyle w:val="3"/>
        <w:ind w:left="1360" w:hanging="680"/>
        <w:rPr>
          <w:color w:val="000000" w:themeColor="text1"/>
        </w:rPr>
      </w:pPr>
      <w:r w:rsidRPr="005C0958">
        <w:rPr>
          <w:rFonts w:hint="eastAsia"/>
          <w:b/>
          <w:color w:val="000000" w:themeColor="text1"/>
        </w:rPr>
        <w:t>調度司法警察條例第7條雖規定檢察官、法官請求協助或指揮命令時，得以書面或提示指揮證以言詞行之，然指揮證早</w:t>
      </w:r>
      <w:r w:rsidR="00F44656" w:rsidRPr="005C0958">
        <w:rPr>
          <w:rFonts w:hint="eastAsia"/>
          <w:b/>
          <w:color w:val="000000" w:themeColor="text1"/>
        </w:rPr>
        <w:t>於91年</w:t>
      </w:r>
      <w:r w:rsidRPr="005C0958">
        <w:rPr>
          <w:rFonts w:hint="eastAsia"/>
          <w:b/>
          <w:color w:val="000000" w:themeColor="text1"/>
        </w:rPr>
        <w:t>廢除，</w:t>
      </w:r>
      <w:r w:rsidR="00FD7F00" w:rsidRPr="005C0958">
        <w:rPr>
          <w:rFonts w:hint="eastAsia"/>
          <w:b/>
          <w:color w:val="000000" w:themeColor="text1"/>
        </w:rPr>
        <w:t>為明確權責及執行依據，法官、檢察官行使</w:t>
      </w:r>
      <w:r w:rsidR="00E62F4B" w:rsidRPr="005C0958">
        <w:rPr>
          <w:rFonts w:hint="eastAsia"/>
          <w:b/>
          <w:color w:val="000000" w:themeColor="text1"/>
        </w:rPr>
        <w:t>指令權之程序</w:t>
      </w:r>
      <w:r w:rsidRPr="005C0958">
        <w:rPr>
          <w:rFonts w:hint="eastAsia"/>
          <w:b/>
          <w:color w:val="000000" w:themeColor="text1"/>
        </w:rPr>
        <w:t>，非無</w:t>
      </w:r>
      <w:r w:rsidR="009533AD" w:rsidRPr="005C0958">
        <w:rPr>
          <w:rFonts w:hint="eastAsia"/>
          <w:b/>
          <w:color w:val="000000" w:themeColor="text1"/>
        </w:rPr>
        <w:t>參酌各司法警察機關建議，</w:t>
      </w:r>
      <w:r w:rsidRPr="005C0958">
        <w:rPr>
          <w:rFonts w:hint="eastAsia"/>
          <w:b/>
          <w:color w:val="000000" w:themeColor="text1"/>
        </w:rPr>
        <w:t>再行檢討的必要</w:t>
      </w:r>
      <w:r w:rsidRPr="005C0958">
        <w:rPr>
          <w:rFonts w:hint="eastAsia"/>
          <w:color w:val="000000" w:themeColor="text1"/>
        </w:rPr>
        <w:t>。</w:t>
      </w:r>
    </w:p>
    <w:p w:rsidR="004E3256" w:rsidRPr="005C0958" w:rsidRDefault="004B6A36" w:rsidP="00020860">
      <w:pPr>
        <w:pStyle w:val="4"/>
        <w:numPr>
          <w:ilvl w:val="0"/>
          <w:numId w:val="0"/>
        </w:numPr>
        <w:ind w:leftChars="407" w:left="1384"/>
        <w:rPr>
          <w:color w:val="000000" w:themeColor="text1"/>
        </w:rPr>
      </w:pPr>
      <w:r w:rsidRPr="005C0958">
        <w:rPr>
          <w:rFonts w:hint="eastAsia"/>
          <w:color w:val="000000" w:themeColor="text1"/>
        </w:rPr>
        <w:t xml:space="preserve">    本條例第7條規定：「檢察官、推事請求協助或為指揮命令時，得以書面或提示指揮證以言詞行之；必要時得以電話行之。」第8條規定：「指揮證由行政院制定頒行之。」</w:t>
      </w:r>
      <w:r w:rsidR="00850D3F" w:rsidRPr="005C0958">
        <w:rPr>
          <w:rFonts w:hint="eastAsia"/>
          <w:color w:val="000000" w:themeColor="text1"/>
        </w:rPr>
        <w:t>法務部於修正草案刪除提示指揮證之規定，維持「得以書面或言詞行之；必要時得以電話行之」。</w:t>
      </w:r>
    </w:p>
    <w:p w:rsidR="004B6A36" w:rsidRPr="005C0958" w:rsidRDefault="00850D3F" w:rsidP="004E3256">
      <w:pPr>
        <w:pStyle w:val="4"/>
        <w:numPr>
          <w:ilvl w:val="0"/>
          <w:numId w:val="0"/>
        </w:numPr>
        <w:ind w:leftChars="407" w:left="1384" w:firstLineChars="200" w:firstLine="680"/>
        <w:rPr>
          <w:color w:val="000000" w:themeColor="text1"/>
        </w:rPr>
      </w:pPr>
      <w:r w:rsidRPr="005C0958">
        <w:rPr>
          <w:rFonts w:hint="eastAsia"/>
          <w:color w:val="000000" w:themeColor="text1"/>
        </w:rPr>
        <w:t>經查，</w:t>
      </w:r>
      <w:r w:rsidR="00F44656" w:rsidRPr="005C0958">
        <w:rPr>
          <w:rFonts w:hint="eastAsia"/>
          <w:color w:val="000000" w:themeColor="text1"/>
        </w:rPr>
        <w:t>行政院依本條例訂定之「檢察官推事指揮司法警察證細則」</w:t>
      </w:r>
      <w:r w:rsidR="00B9510F" w:rsidRPr="005C0958">
        <w:rPr>
          <w:rFonts w:hint="eastAsia"/>
          <w:color w:val="000000" w:themeColor="text1"/>
        </w:rPr>
        <w:t>，</w:t>
      </w:r>
      <w:r w:rsidR="00F44656" w:rsidRPr="005C0958">
        <w:rPr>
          <w:rFonts w:hint="eastAsia"/>
          <w:color w:val="000000" w:themeColor="text1"/>
        </w:rPr>
        <w:t>業於91年11月4日廢止</w:t>
      </w:r>
      <w:r w:rsidR="00F44656" w:rsidRPr="005C0958">
        <w:rPr>
          <w:rStyle w:val="af3"/>
          <w:color w:val="000000" w:themeColor="text1"/>
        </w:rPr>
        <w:footnoteReference w:id="24"/>
      </w:r>
      <w:r w:rsidR="00F44656" w:rsidRPr="005C0958">
        <w:rPr>
          <w:rFonts w:hint="eastAsia"/>
          <w:color w:val="000000" w:themeColor="text1"/>
        </w:rPr>
        <w:t>。</w:t>
      </w:r>
      <w:r w:rsidR="00BB4580" w:rsidRPr="005C0958">
        <w:rPr>
          <w:rFonts w:hint="eastAsia"/>
          <w:color w:val="000000" w:themeColor="text1"/>
        </w:rPr>
        <w:t>警政署</w:t>
      </w:r>
      <w:r w:rsidRPr="005C0958">
        <w:rPr>
          <w:rFonts w:hint="eastAsia"/>
          <w:color w:val="000000" w:themeColor="text1"/>
        </w:rPr>
        <w:t>、海巡署、法務部調查局等司法警察機關</w:t>
      </w:r>
      <w:r w:rsidR="004B6A36" w:rsidRPr="005C0958">
        <w:rPr>
          <w:rFonts w:hint="eastAsia"/>
          <w:color w:val="000000" w:themeColor="text1"/>
        </w:rPr>
        <w:t>表示</w:t>
      </w:r>
      <w:r w:rsidRPr="005C0958">
        <w:rPr>
          <w:rFonts w:hint="eastAsia"/>
          <w:color w:val="000000" w:themeColor="text1"/>
        </w:rPr>
        <w:t>：實務早已停止使用指揮證，</w:t>
      </w:r>
      <w:r w:rsidR="004B6A36" w:rsidRPr="005C0958">
        <w:rPr>
          <w:rFonts w:hint="eastAsia"/>
          <w:color w:val="000000" w:themeColor="text1"/>
        </w:rPr>
        <w:t>法官、檢察官以言</w:t>
      </w:r>
      <w:r w:rsidR="004B6A36" w:rsidRPr="005C0958">
        <w:rPr>
          <w:rFonts w:hint="eastAsia"/>
          <w:color w:val="000000" w:themeColor="text1"/>
        </w:rPr>
        <w:lastRenderedPageBreak/>
        <w:t>詞請求協助或指揮命令司法警察（官），</w:t>
      </w:r>
      <w:r w:rsidRPr="005C0958">
        <w:rPr>
          <w:rFonts w:hint="eastAsia"/>
          <w:color w:val="000000" w:themeColor="text1"/>
        </w:rPr>
        <w:t>雖</w:t>
      </w:r>
      <w:r w:rsidR="004B6A36" w:rsidRPr="005C0958">
        <w:rPr>
          <w:rFonts w:hint="eastAsia"/>
          <w:color w:val="000000" w:themeColor="text1"/>
        </w:rPr>
        <w:t>未曾發生身分辨識錯誤之情況，但為明確權責及執行依據，法官、檢察官指揮命令或請求司法警察協助時，應有採取書面或3日內補行書面程序等要式行為之必要等語。為避免權力濫用，法務部自有再行檢討的必要。</w:t>
      </w:r>
    </w:p>
    <w:p w:rsidR="004B6A36" w:rsidRPr="005C0958" w:rsidRDefault="004B6A36" w:rsidP="004B6A36">
      <w:pPr>
        <w:pStyle w:val="1"/>
        <w:ind w:left="2380" w:hanging="2380"/>
        <w:rPr>
          <w:color w:val="000000" w:themeColor="text1"/>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5C0958">
        <w:rPr>
          <w:color w:val="000000" w:themeColor="text1"/>
        </w:rP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sidRPr="005C0958">
        <w:rPr>
          <w:rFonts w:hint="eastAsia"/>
          <w:color w:val="000000" w:themeColor="text1"/>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533AD" w:rsidRPr="005C0958" w:rsidRDefault="004B6A36" w:rsidP="004B6A36">
      <w:pPr>
        <w:pStyle w:val="2"/>
        <w:ind w:left="1020" w:hanging="680"/>
        <w:rPr>
          <w:color w:val="000000" w:themeColor="text1"/>
        </w:rPr>
      </w:pPr>
      <w:bookmarkStart w:id="68" w:name="_Toc524895649"/>
      <w:bookmarkStart w:id="69" w:name="_Toc524896195"/>
      <w:bookmarkStart w:id="70" w:name="_Toc524896225"/>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8"/>
      <w:bookmarkEnd w:id="69"/>
      <w:bookmarkEnd w:id="70"/>
      <w:r w:rsidRPr="005C0958">
        <w:rPr>
          <w:rFonts w:hint="eastAsia"/>
          <w:color w:val="000000" w:themeColor="text1"/>
        </w:rPr>
        <w:t>調查意見</w:t>
      </w:r>
      <w:r w:rsidR="000F3891" w:rsidRPr="005C0958">
        <w:rPr>
          <w:rFonts w:hint="eastAsia"/>
          <w:color w:val="000000" w:themeColor="text1"/>
        </w:rPr>
        <w:t>，</w:t>
      </w:r>
      <w:r w:rsidRPr="005C0958">
        <w:rPr>
          <w:rFonts w:hint="eastAsia"/>
          <w:color w:val="000000" w:themeColor="text1"/>
        </w:rPr>
        <w:t>函請</w:t>
      </w:r>
      <w:r w:rsidR="000F3891" w:rsidRPr="005C0958">
        <w:rPr>
          <w:rFonts w:hint="eastAsia"/>
          <w:color w:val="000000" w:themeColor="text1"/>
        </w:rPr>
        <w:t>司法院、法務部、內政部</w:t>
      </w:r>
      <w:r w:rsidR="00DB17BE" w:rsidRPr="005C0958">
        <w:rPr>
          <w:rFonts w:hint="eastAsia"/>
          <w:color w:val="000000" w:themeColor="text1"/>
        </w:rPr>
        <w:t>慎審研議</w:t>
      </w:r>
      <w:r w:rsidR="009533AD" w:rsidRPr="005C0958">
        <w:rPr>
          <w:rFonts w:hint="eastAsia"/>
          <w:color w:val="000000" w:themeColor="text1"/>
        </w:rPr>
        <w:t>。</w:t>
      </w:r>
    </w:p>
    <w:p w:rsidR="004B6A36" w:rsidRPr="005C0958" w:rsidRDefault="009533AD" w:rsidP="004B6A36">
      <w:pPr>
        <w:pStyle w:val="2"/>
        <w:ind w:left="1020" w:hanging="680"/>
        <w:rPr>
          <w:color w:val="000000" w:themeColor="text1"/>
        </w:rPr>
      </w:pPr>
      <w:r w:rsidRPr="005C0958">
        <w:rPr>
          <w:rFonts w:hint="eastAsia"/>
          <w:color w:val="000000" w:themeColor="text1"/>
        </w:rPr>
        <w:t>調查意見，函請</w:t>
      </w:r>
      <w:r w:rsidR="000F3891" w:rsidRPr="005C0958">
        <w:rPr>
          <w:rFonts w:hint="eastAsia"/>
          <w:color w:val="000000" w:themeColor="text1"/>
        </w:rPr>
        <w:t>國防部、行政院海岸巡防署、法務部調查局、法務部廉政署參酌</w:t>
      </w:r>
      <w:r w:rsidR="004B6A36" w:rsidRPr="005C0958">
        <w:rPr>
          <w:rFonts w:hint="eastAsia"/>
          <w:color w:val="000000" w:themeColor="text1"/>
        </w:rPr>
        <w:t>。</w:t>
      </w:r>
      <w:bookmarkEnd w:id="71"/>
      <w:bookmarkEnd w:id="72"/>
      <w:bookmarkEnd w:id="73"/>
      <w:bookmarkEnd w:id="74"/>
      <w:bookmarkEnd w:id="75"/>
      <w:bookmarkEnd w:id="76"/>
      <w:bookmarkEnd w:id="77"/>
      <w:bookmarkEnd w:id="78"/>
    </w:p>
    <w:bookmarkEnd w:id="79"/>
    <w:bookmarkEnd w:id="80"/>
    <w:bookmarkEnd w:id="81"/>
    <w:bookmarkEnd w:id="82"/>
    <w:bookmarkEnd w:id="83"/>
    <w:bookmarkEnd w:id="84"/>
    <w:bookmarkEnd w:id="85"/>
    <w:bookmarkEnd w:id="86"/>
    <w:bookmarkEnd w:id="87"/>
    <w:bookmarkEnd w:id="88"/>
    <w:bookmarkEnd w:id="89"/>
    <w:p w:rsidR="00FD7F00" w:rsidRPr="005C0958" w:rsidRDefault="00FD7F00" w:rsidP="00BF0589">
      <w:pPr>
        <w:pStyle w:val="1"/>
        <w:numPr>
          <w:ilvl w:val="0"/>
          <w:numId w:val="0"/>
        </w:numPr>
        <w:rPr>
          <w:color w:val="000000" w:themeColor="text1"/>
        </w:rPr>
      </w:pPr>
    </w:p>
    <w:p w:rsidR="004B6A36" w:rsidRPr="005C0958" w:rsidRDefault="004B6A36" w:rsidP="00A74EEF">
      <w:pPr>
        <w:pStyle w:val="a5"/>
        <w:kinsoku w:val="0"/>
        <w:spacing w:before="0" w:after="0"/>
        <w:ind w:leftChars="1100" w:left="3742"/>
        <w:jc w:val="both"/>
        <w:rPr>
          <w:bCs/>
          <w:color w:val="000000" w:themeColor="text1"/>
        </w:rPr>
      </w:pPr>
      <w:r w:rsidRPr="005C0958">
        <w:rPr>
          <w:rFonts w:hint="eastAsia"/>
          <w:b w:val="0"/>
          <w:bCs/>
          <w:snapToGrid/>
          <w:color w:val="000000" w:themeColor="text1"/>
          <w:spacing w:val="12"/>
          <w:kern w:val="0"/>
          <w:sz w:val="40"/>
        </w:rPr>
        <w:t>調查委員：</w:t>
      </w:r>
      <w:r w:rsidR="00BF0589" w:rsidRPr="005C0958">
        <w:rPr>
          <w:rFonts w:hint="eastAsia"/>
          <w:b w:val="0"/>
          <w:bCs/>
          <w:snapToGrid/>
          <w:color w:val="000000" w:themeColor="text1"/>
          <w:spacing w:val="12"/>
          <w:kern w:val="0"/>
          <w:sz w:val="40"/>
        </w:rPr>
        <w:t>林委員雅鋒</w:t>
      </w:r>
      <w:bookmarkStart w:id="90" w:name="_GoBack"/>
      <w:bookmarkEnd w:id="90"/>
    </w:p>
    <w:sectPr w:rsidR="004B6A36" w:rsidRPr="005C0958" w:rsidSect="00AE52BA">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D40" w:rsidRDefault="00B00D40">
      <w:r>
        <w:separator/>
      </w:r>
    </w:p>
  </w:endnote>
  <w:endnote w:type="continuationSeparator" w:id="0">
    <w:p w:rsidR="00B00D40" w:rsidRDefault="00B0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F3" w:rsidRDefault="00DC3BF3">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A74EEF">
      <w:rPr>
        <w:rStyle w:val="a7"/>
        <w:noProof/>
        <w:sz w:val="24"/>
      </w:rPr>
      <w:t>27</w:t>
    </w:r>
    <w:r>
      <w:rPr>
        <w:rStyle w:val="a7"/>
        <w:sz w:val="24"/>
      </w:rPr>
      <w:fldChar w:fldCharType="end"/>
    </w:r>
  </w:p>
  <w:p w:rsidR="00DC3BF3" w:rsidRDefault="00DC3BF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D40" w:rsidRDefault="00B00D40">
      <w:r>
        <w:separator/>
      </w:r>
    </w:p>
  </w:footnote>
  <w:footnote w:type="continuationSeparator" w:id="0">
    <w:p w:rsidR="00B00D40" w:rsidRDefault="00B00D40">
      <w:r>
        <w:continuationSeparator/>
      </w:r>
    </w:p>
  </w:footnote>
  <w:footnote w:id="1">
    <w:p w:rsidR="00DC3BF3" w:rsidRPr="006E44DE" w:rsidRDefault="00DC3BF3" w:rsidP="004B6A36">
      <w:pPr>
        <w:pStyle w:val="af1"/>
        <w:rPr>
          <w:color w:val="000000" w:themeColor="text1"/>
        </w:rPr>
      </w:pPr>
      <w:r w:rsidRPr="006E44DE">
        <w:rPr>
          <w:rStyle w:val="af3"/>
          <w:color w:val="000000" w:themeColor="text1"/>
        </w:rPr>
        <w:footnoteRef/>
      </w:r>
      <w:r w:rsidRPr="006E44DE">
        <w:rPr>
          <w:color w:val="000000" w:themeColor="text1"/>
        </w:rPr>
        <w:t>依據「法務部調查局組織條例」第</w:t>
      </w:r>
      <w:r w:rsidRPr="006E44DE">
        <w:rPr>
          <w:rFonts w:hint="eastAsia"/>
          <w:color w:val="000000" w:themeColor="text1"/>
        </w:rPr>
        <w:t>23</w:t>
      </w:r>
      <w:r w:rsidRPr="006E44DE">
        <w:rPr>
          <w:color w:val="000000" w:themeColor="text1"/>
        </w:rPr>
        <w:t>條規定：「本局局長、副局長及主管業務單位薦任職以上人員，於執行犯罪調查職務時，分別視同刑事訟訴法第</w:t>
      </w:r>
      <w:r w:rsidRPr="006E44DE">
        <w:rPr>
          <w:rFonts w:hint="eastAsia"/>
          <w:color w:val="000000" w:themeColor="text1"/>
        </w:rPr>
        <w:t>229</w:t>
      </w:r>
      <w:r w:rsidRPr="006E44DE">
        <w:rPr>
          <w:color w:val="000000" w:themeColor="text1"/>
        </w:rPr>
        <w:t>條之司法警察官。本局所屬省（市）縣（市）調查、保防機構主管及主辦業務之薦任職以上人員，於執行犯罪調查職務時，分別視同刑事訴訟法第</w:t>
      </w:r>
      <w:r w:rsidRPr="006E44DE">
        <w:rPr>
          <w:rFonts w:hint="eastAsia"/>
          <w:color w:val="000000" w:themeColor="text1"/>
        </w:rPr>
        <w:t>229</w:t>
      </w:r>
      <w:r w:rsidRPr="006E44DE">
        <w:rPr>
          <w:color w:val="000000" w:themeColor="text1"/>
        </w:rPr>
        <w:t>條、第</w:t>
      </w:r>
      <w:r w:rsidRPr="006E44DE">
        <w:rPr>
          <w:rFonts w:hint="eastAsia"/>
          <w:color w:val="000000" w:themeColor="text1"/>
        </w:rPr>
        <w:t>230</w:t>
      </w:r>
      <w:r w:rsidRPr="006E44DE">
        <w:rPr>
          <w:color w:val="000000" w:themeColor="text1"/>
        </w:rPr>
        <w:t>條之司法警察官。本局委任職人員，負有特定調查、保防任務者，於執行犯罪調查職務時，視同刑事訴訟法第</w:t>
      </w:r>
      <w:r w:rsidRPr="006E44DE">
        <w:rPr>
          <w:rFonts w:hint="eastAsia"/>
          <w:color w:val="000000" w:themeColor="text1"/>
        </w:rPr>
        <w:t>231</w:t>
      </w:r>
      <w:r w:rsidRPr="006E44DE">
        <w:rPr>
          <w:color w:val="000000" w:themeColor="text1"/>
        </w:rPr>
        <w:t>條之司法警察。」</w:t>
      </w:r>
    </w:p>
  </w:footnote>
  <w:footnote w:id="2">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依海岸巡防法第</w:t>
      </w:r>
      <w:r w:rsidRPr="006E44DE">
        <w:rPr>
          <w:rFonts w:hint="eastAsia"/>
          <w:color w:val="000000" w:themeColor="text1"/>
        </w:rPr>
        <w:t>10</w:t>
      </w:r>
      <w:r w:rsidRPr="006E44DE">
        <w:rPr>
          <w:rFonts w:hint="eastAsia"/>
          <w:color w:val="000000" w:themeColor="text1"/>
        </w:rPr>
        <w:t>條規定，巡防機關主管業務之簡任職、上校、警監、關務監以上人員，執行第</w:t>
      </w:r>
      <w:r w:rsidRPr="006E44DE">
        <w:rPr>
          <w:rFonts w:hint="eastAsia"/>
          <w:color w:val="000000" w:themeColor="text1"/>
        </w:rPr>
        <w:t>4</w:t>
      </w:r>
      <w:r w:rsidRPr="006E44DE">
        <w:rPr>
          <w:rFonts w:hint="eastAsia"/>
          <w:color w:val="000000" w:themeColor="text1"/>
        </w:rPr>
        <w:t>條所定犯罪調查職務時，視同刑事訴訟法第</w:t>
      </w:r>
      <w:r w:rsidRPr="006E44DE">
        <w:rPr>
          <w:rFonts w:hint="eastAsia"/>
          <w:color w:val="000000" w:themeColor="text1"/>
        </w:rPr>
        <w:t>229</w:t>
      </w:r>
      <w:r w:rsidRPr="006E44DE">
        <w:rPr>
          <w:rFonts w:hint="eastAsia"/>
          <w:color w:val="000000" w:themeColor="text1"/>
        </w:rPr>
        <w:t>條之司法警察官。</w:t>
      </w:r>
    </w:p>
    <w:p w:rsidR="00DC3BF3" w:rsidRPr="006E44DE" w:rsidRDefault="00DC3BF3" w:rsidP="004B6A36">
      <w:pPr>
        <w:pStyle w:val="af1"/>
        <w:rPr>
          <w:color w:val="000000" w:themeColor="text1"/>
        </w:rPr>
      </w:pPr>
      <w:r w:rsidRPr="006E44DE">
        <w:rPr>
          <w:rFonts w:hint="eastAsia"/>
          <w:color w:val="000000" w:themeColor="text1"/>
        </w:rPr>
        <w:t>前項以外巡防機關主管業務之薦任職、上尉、警正、高級關務員以上人員，執行第</w:t>
      </w:r>
      <w:r w:rsidRPr="006E44DE">
        <w:rPr>
          <w:rFonts w:hint="eastAsia"/>
          <w:color w:val="000000" w:themeColor="text1"/>
        </w:rPr>
        <w:t>4</w:t>
      </w:r>
      <w:r w:rsidRPr="006E44DE">
        <w:rPr>
          <w:rFonts w:hint="eastAsia"/>
          <w:color w:val="000000" w:themeColor="text1"/>
        </w:rPr>
        <w:t>條所定犯罪調查職務時，視同刑事訴訟法第</w:t>
      </w:r>
      <w:r w:rsidRPr="006E44DE">
        <w:rPr>
          <w:rFonts w:hint="eastAsia"/>
          <w:color w:val="000000" w:themeColor="text1"/>
        </w:rPr>
        <w:t>230</w:t>
      </w:r>
      <w:r w:rsidRPr="006E44DE">
        <w:rPr>
          <w:rFonts w:hint="eastAsia"/>
          <w:color w:val="000000" w:themeColor="text1"/>
        </w:rPr>
        <w:t>條之司法警察官。</w:t>
      </w:r>
    </w:p>
  </w:footnote>
  <w:footnote w:id="3">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依入出國及移民法第</w:t>
      </w:r>
      <w:r w:rsidRPr="006E44DE">
        <w:rPr>
          <w:rFonts w:hint="eastAsia"/>
          <w:color w:val="000000" w:themeColor="text1"/>
        </w:rPr>
        <w:t>89</w:t>
      </w:r>
      <w:r w:rsidRPr="006E44DE">
        <w:rPr>
          <w:rFonts w:hint="eastAsia"/>
          <w:color w:val="000000" w:themeColor="text1"/>
        </w:rPr>
        <w:t>條規定，移民署所屬辦理入出國及移民業務之薦任職或相當薦任職以上人員，於執行非法入出國及移民犯罪調查職務時，分別視同刑事訴訟法第</w:t>
      </w:r>
      <w:r w:rsidRPr="006E44DE">
        <w:rPr>
          <w:rFonts w:hint="eastAsia"/>
          <w:color w:val="000000" w:themeColor="text1"/>
        </w:rPr>
        <w:t>229</w:t>
      </w:r>
      <w:r w:rsidRPr="006E44DE">
        <w:rPr>
          <w:rFonts w:hint="eastAsia"/>
          <w:color w:val="000000" w:themeColor="text1"/>
        </w:rPr>
        <w:t>、</w:t>
      </w:r>
      <w:r w:rsidRPr="006E44DE">
        <w:rPr>
          <w:rFonts w:hint="eastAsia"/>
          <w:color w:val="000000" w:themeColor="text1"/>
        </w:rPr>
        <w:t>230</w:t>
      </w:r>
      <w:r w:rsidRPr="006E44DE">
        <w:rPr>
          <w:rFonts w:hint="eastAsia"/>
          <w:color w:val="000000" w:themeColor="text1"/>
        </w:rPr>
        <w:t>條之司法警察官。其委任職或相當委任職人員，視同刑事訴訟法第</w:t>
      </w:r>
      <w:r w:rsidRPr="006E44DE">
        <w:rPr>
          <w:rFonts w:hint="eastAsia"/>
          <w:color w:val="000000" w:themeColor="text1"/>
        </w:rPr>
        <w:t>231</w:t>
      </w:r>
      <w:r w:rsidRPr="006E44DE">
        <w:rPr>
          <w:rFonts w:hint="eastAsia"/>
          <w:color w:val="000000" w:themeColor="text1"/>
        </w:rPr>
        <w:t>條司法警察。即移民署人員辦理外來人口違反入出國及移民管理相關法令且於犯罪調查職務時，始具司法警察</w:t>
      </w:r>
      <w:r w:rsidRPr="006E44DE">
        <w:rPr>
          <w:rFonts w:hint="eastAsia"/>
          <w:color w:val="000000" w:themeColor="text1"/>
        </w:rPr>
        <w:t>(</w:t>
      </w:r>
      <w:r w:rsidRPr="006E44DE">
        <w:rPr>
          <w:rFonts w:hint="eastAsia"/>
          <w:color w:val="000000" w:themeColor="text1"/>
        </w:rPr>
        <w:t>官</w:t>
      </w:r>
      <w:r w:rsidRPr="006E44DE">
        <w:rPr>
          <w:rFonts w:hint="eastAsia"/>
          <w:color w:val="000000" w:themeColor="text1"/>
        </w:rPr>
        <w:t>)</w:t>
      </w:r>
      <w:r w:rsidRPr="006E44DE">
        <w:rPr>
          <w:rFonts w:hint="eastAsia"/>
          <w:color w:val="000000" w:themeColor="text1"/>
        </w:rPr>
        <w:t>之身分，並按刑事訴訟法第</w:t>
      </w:r>
      <w:r w:rsidRPr="006E44DE">
        <w:rPr>
          <w:rFonts w:hint="eastAsia"/>
          <w:color w:val="000000" w:themeColor="text1"/>
        </w:rPr>
        <w:t>229</w:t>
      </w:r>
      <w:r w:rsidRPr="006E44DE">
        <w:rPr>
          <w:rFonts w:hint="eastAsia"/>
          <w:color w:val="000000" w:themeColor="text1"/>
        </w:rPr>
        <w:t>條至第</w:t>
      </w:r>
      <w:r w:rsidRPr="006E44DE">
        <w:rPr>
          <w:rFonts w:hint="eastAsia"/>
          <w:color w:val="000000" w:themeColor="text1"/>
        </w:rPr>
        <w:t>231</w:t>
      </w:r>
      <w:r w:rsidRPr="006E44DE">
        <w:rPr>
          <w:rFonts w:hint="eastAsia"/>
          <w:color w:val="000000" w:themeColor="text1"/>
        </w:rPr>
        <w:t>條規定，受檢察官指揮、命令，偵查犯罪。</w:t>
      </w:r>
    </w:p>
  </w:footnote>
  <w:footnote w:id="4">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依法院組織法第</w:t>
      </w:r>
      <w:r w:rsidRPr="006E44DE">
        <w:rPr>
          <w:rFonts w:hint="eastAsia"/>
          <w:color w:val="000000" w:themeColor="text1"/>
        </w:rPr>
        <w:t>66</w:t>
      </w:r>
      <w:r w:rsidRPr="006E44DE">
        <w:rPr>
          <w:rFonts w:hint="eastAsia"/>
          <w:color w:val="000000" w:themeColor="text1"/>
        </w:rPr>
        <w:t>條之</w:t>
      </w:r>
      <w:r w:rsidRPr="006E44DE">
        <w:rPr>
          <w:rFonts w:hint="eastAsia"/>
          <w:color w:val="000000" w:themeColor="text1"/>
        </w:rPr>
        <w:t>3</w:t>
      </w:r>
      <w:r w:rsidRPr="006E44DE">
        <w:rPr>
          <w:rFonts w:hint="eastAsia"/>
          <w:color w:val="000000" w:themeColor="text1"/>
        </w:rPr>
        <w:t>規定，檢察事務官處理搜索、扣押、勘驗或執行拘提及詢問告訴人、告發人、被告、證人或鑑定人，視為刑事訴訟法第</w:t>
      </w:r>
      <w:r w:rsidRPr="006E44DE">
        <w:rPr>
          <w:rFonts w:hint="eastAsia"/>
          <w:color w:val="000000" w:themeColor="text1"/>
        </w:rPr>
        <w:t>230</w:t>
      </w:r>
      <w:r w:rsidRPr="006E44DE">
        <w:rPr>
          <w:rFonts w:hint="eastAsia"/>
          <w:color w:val="000000" w:themeColor="text1"/>
        </w:rPr>
        <w:t>條第</w:t>
      </w:r>
      <w:r w:rsidRPr="006E44DE">
        <w:rPr>
          <w:rFonts w:hint="eastAsia"/>
          <w:color w:val="000000" w:themeColor="text1"/>
        </w:rPr>
        <w:t>1</w:t>
      </w:r>
      <w:r w:rsidRPr="006E44DE">
        <w:rPr>
          <w:rFonts w:hint="eastAsia"/>
          <w:color w:val="000000" w:themeColor="text1"/>
        </w:rPr>
        <w:t>項之司法警察官。</w:t>
      </w:r>
    </w:p>
  </w:footnote>
  <w:footnote w:id="5">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司法院大法官審理案件法第</w:t>
      </w:r>
      <w:r w:rsidRPr="006E44DE">
        <w:rPr>
          <w:rFonts w:hint="eastAsia"/>
          <w:color w:val="000000" w:themeColor="text1"/>
        </w:rPr>
        <w:t>23</w:t>
      </w:r>
      <w:r w:rsidRPr="006E44DE">
        <w:rPr>
          <w:rFonts w:hint="eastAsia"/>
          <w:color w:val="000000" w:themeColor="text1"/>
        </w:rPr>
        <w:t>條第</w:t>
      </w:r>
      <w:r w:rsidRPr="006E44DE">
        <w:rPr>
          <w:rFonts w:hint="eastAsia"/>
          <w:color w:val="000000" w:themeColor="text1"/>
        </w:rPr>
        <w:t>2</w:t>
      </w:r>
      <w:r w:rsidRPr="006E44DE">
        <w:rPr>
          <w:rFonts w:hint="eastAsia"/>
          <w:color w:val="000000" w:themeColor="text1"/>
        </w:rPr>
        <w:t>項規定，憲法法庭得囑託檢察官或調度司法警察為搜索、扣押及調度司法警察為搜索、扣押。並準用刑事訴訟法及調度司法警察條例有關之規定。</w:t>
      </w:r>
    </w:p>
  </w:footnote>
  <w:footnote w:id="6">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公職人員選舉罷免法第</w:t>
      </w:r>
      <w:r w:rsidRPr="006E44DE">
        <w:rPr>
          <w:rFonts w:hint="eastAsia"/>
          <w:color w:val="000000" w:themeColor="text1"/>
        </w:rPr>
        <w:t>115</w:t>
      </w:r>
      <w:r w:rsidRPr="006E44DE">
        <w:rPr>
          <w:rFonts w:hint="eastAsia"/>
          <w:color w:val="000000" w:themeColor="text1"/>
        </w:rPr>
        <w:t>條規定，公職人員選舉案件之偵查，檢察官得依刑事訴訟法及調度司法警察條例等規定，指揮司法警察人員為之。</w:t>
      </w:r>
    </w:p>
  </w:footnote>
  <w:footnote w:id="7">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少年法院（庭）與司法警察機關處理少年事件聯繫辦法第</w:t>
      </w:r>
      <w:r w:rsidRPr="006E44DE">
        <w:rPr>
          <w:rFonts w:hint="eastAsia"/>
          <w:color w:val="000000" w:themeColor="text1"/>
        </w:rPr>
        <w:t>20</w:t>
      </w:r>
      <w:r w:rsidRPr="006E44DE">
        <w:rPr>
          <w:rFonts w:hint="eastAsia"/>
          <w:color w:val="000000" w:themeColor="text1"/>
        </w:rPr>
        <w:t>條及第</w:t>
      </w:r>
      <w:r w:rsidRPr="006E44DE">
        <w:rPr>
          <w:rFonts w:hint="eastAsia"/>
          <w:color w:val="000000" w:themeColor="text1"/>
        </w:rPr>
        <w:t>21</w:t>
      </w:r>
      <w:r w:rsidRPr="006E44DE">
        <w:rPr>
          <w:rFonts w:hint="eastAsia"/>
          <w:color w:val="000000" w:themeColor="text1"/>
        </w:rPr>
        <w:t>條規定，少年法院（庭）法官處理少年保護事件，得準用調度司法警察條例之規定，該管法院院長並應依本條例之規定，切實獎懲。</w:t>
      </w:r>
    </w:p>
  </w:footnote>
  <w:footnote w:id="8">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日本刑事訴訟法第</w:t>
      </w:r>
      <w:r w:rsidRPr="006E44DE">
        <w:rPr>
          <w:rFonts w:hint="eastAsia"/>
          <w:color w:val="000000" w:themeColor="text1"/>
        </w:rPr>
        <w:t>192</w:t>
      </w:r>
      <w:r w:rsidRPr="006E44DE">
        <w:rPr>
          <w:rFonts w:hint="eastAsia"/>
          <w:color w:val="000000" w:themeColor="text1"/>
        </w:rPr>
        <w:t>條：「檢察官與都道府縣公安委員會及司法警察職員，關於偵查應相互協助。」</w:t>
      </w:r>
    </w:p>
  </w:footnote>
  <w:footnote w:id="9">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日本刑事訴訟法第</w:t>
      </w:r>
      <w:r w:rsidRPr="006E44DE">
        <w:rPr>
          <w:rFonts w:hint="eastAsia"/>
          <w:color w:val="000000" w:themeColor="text1"/>
        </w:rPr>
        <w:t>193</w:t>
      </w:r>
      <w:r w:rsidRPr="006E44DE">
        <w:rPr>
          <w:rFonts w:hint="eastAsia"/>
          <w:color w:val="000000" w:themeColor="text1"/>
        </w:rPr>
        <w:t>條：「（第</w:t>
      </w:r>
      <w:r w:rsidRPr="006E44DE">
        <w:rPr>
          <w:rFonts w:hint="eastAsia"/>
          <w:color w:val="000000" w:themeColor="text1"/>
        </w:rPr>
        <w:t>1</w:t>
      </w:r>
      <w:r w:rsidRPr="006E44DE">
        <w:rPr>
          <w:rFonts w:hint="eastAsia"/>
          <w:color w:val="000000" w:themeColor="text1"/>
        </w:rPr>
        <w:t>項）檢察官依管轄區域，對於司法警察職員關於偵查得為必要的一般性指示。本項指示，乃為適切偵查及其他確保進行公訴，制訂相關必要事項之一般性準則而實施。（第</w:t>
      </w:r>
      <w:r w:rsidRPr="006E44DE">
        <w:rPr>
          <w:rFonts w:hint="eastAsia"/>
          <w:color w:val="000000" w:themeColor="text1"/>
        </w:rPr>
        <w:t>2</w:t>
      </w:r>
      <w:r w:rsidRPr="006E44DE">
        <w:rPr>
          <w:rFonts w:hint="eastAsia"/>
          <w:color w:val="000000" w:themeColor="text1"/>
        </w:rPr>
        <w:t>項）檢察官依管轄區域對於司法警察職員，得為要求協助偵查必要之一般性指揮。（第</w:t>
      </w:r>
      <w:r w:rsidRPr="006E44DE">
        <w:rPr>
          <w:rFonts w:hint="eastAsia"/>
          <w:color w:val="000000" w:themeColor="text1"/>
        </w:rPr>
        <w:t>3</w:t>
      </w:r>
      <w:r w:rsidRPr="006E44DE">
        <w:rPr>
          <w:rFonts w:hint="eastAsia"/>
          <w:color w:val="000000" w:themeColor="text1"/>
        </w:rPr>
        <w:t>項）檢察官在自行偵查犯罪之情形，於必要時得指揮司法警察職員輔助偵查。（第</w:t>
      </w:r>
      <w:r w:rsidRPr="006E44DE">
        <w:rPr>
          <w:rFonts w:hint="eastAsia"/>
          <w:color w:val="000000" w:themeColor="text1"/>
        </w:rPr>
        <w:t>4</w:t>
      </w:r>
      <w:r w:rsidRPr="006E44DE">
        <w:rPr>
          <w:rFonts w:hint="eastAsia"/>
          <w:color w:val="000000" w:themeColor="text1"/>
        </w:rPr>
        <w:t>項）在前</w:t>
      </w:r>
      <w:r w:rsidRPr="006E44DE">
        <w:rPr>
          <w:rFonts w:hint="eastAsia"/>
          <w:color w:val="000000" w:themeColor="text1"/>
        </w:rPr>
        <w:t>3</w:t>
      </w:r>
      <w:r w:rsidRPr="006E44DE">
        <w:rPr>
          <w:rFonts w:hint="eastAsia"/>
          <w:color w:val="000000" w:themeColor="text1"/>
        </w:rPr>
        <w:t>項情形，司法警察應服從檢察官之指示或指揮。」</w:t>
      </w:r>
    </w:p>
  </w:footnote>
  <w:footnote w:id="10">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松尾浩也監修，条解刑事訴訟法，弘文堂，</w:t>
      </w:r>
      <w:r w:rsidRPr="006E44DE">
        <w:rPr>
          <w:color w:val="000000" w:themeColor="text1"/>
        </w:rPr>
        <w:t>2009</w:t>
      </w:r>
      <w:r w:rsidRPr="006E44DE">
        <w:rPr>
          <w:rFonts w:hint="eastAsia"/>
          <w:color w:val="000000" w:themeColor="text1"/>
        </w:rPr>
        <w:t>年</w:t>
      </w:r>
      <w:r w:rsidRPr="006E44DE">
        <w:rPr>
          <w:color w:val="000000" w:themeColor="text1"/>
        </w:rPr>
        <w:t>12</w:t>
      </w:r>
      <w:r w:rsidRPr="006E44DE">
        <w:rPr>
          <w:rFonts w:hint="eastAsia"/>
          <w:color w:val="000000" w:themeColor="text1"/>
        </w:rPr>
        <w:t>月，四版，</w:t>
      </w:r>
      <w:r w:rsidRPr="006E44DE">
        <w:rPr>
          <w:color w:val="000000" w:themeColor="text1"/>
        </w:rPr>
        <w:t>366</w:t>
      </w:r>
      <w:r w:rsidRPr="006E44DE">
        <w:rPr>
          <w:rFonts w:hint="eastAsia"/>
          <w:color w:val="000000" w:themeColor="text1"/>
        </w:rPr>
        <w:t>頁。</w:t>
      </w:r>
    </w:p>
  </w:footnote>
  <w:footnote w:id="11">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日本刑事訴訟法第</w:t>
      </w:r>
      <w:r w:rsidRPr="006E44DE">
        <w:rPr>
          <w:rFonts w:hint="eastAsia"/>
          <w:color w:val="000000" w:themeColor="text1"/>
        </w:rPr>
        <w:t>194</w:t>
      </w:r>
      <w:r w:rsidRPr="006E44DE">
        <w:rPr>
          <w:rFonts w:hint="eastAsia"/>
          <w:color w:val="000000" w:themeColor="text1"/>
        </w:rPr>
        <w:t>條：「檢察總長、檢察長於司法警察職員無正當理由不服從檢察官之指示或指揮之情形而認有必要時，對於屬於警察官之司法警察職員得向國家公安委員會或都道府縣公安委員會，非屬警察官之司法警察職員得向對該人有懲戒或罷免權限者，分別追訴懲戒或罷免。國家公安委員會、都道府縣公安委員會，或非屬警察官之司法警察職員而有懲戒或罷免權限者，認為有前項追訴於之理由時，應依其他法律規定對受追訴者懲戒或罷免。」</w:t>
      </w:r>
    </w:p>
  </w:footnote>
  <w:footnote w:id="12">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李震山，警察行政法論</w:t>
      </w:r>
      <w:r w:rsidRPr="006E44DE">
        <w:rPr>
          <w:rFonts w:hint="eastAsia"/>
          <w:color w:val="000000" w:themeColor="text1"/>
        </w:rPr>
        <w:t>-</w:t>
      </w:r>
      <w:r w:rsidRPr="006E44DE">
        <w:rPr>
          <w:rFonts w:hint="eastAsia"/>
          <w:color w:val="000000" w:themeColor="text1"/>
        </w:rPr>
        <w:t>自由與秩序之折衝，元照，</w:t>
      </w:r>
      <w:r w:rsidRPr="006E44DE">
        <w:rPr>
          <w:rFonts w:hint="eastAsia"/>
          <w:color w:val="000000" w:themeColor="text1"/>
        </w:rPr>
        <w:t xml:space="preserve"> 2</w:t>
      </w:r>
      <w:r w:rsidRPr="006E44DE">
        <w:rPr>
          <w:rFonts w:hint="eastAsia"/>
          <w:color w:val="000000" w:themeColor="text1"/>
        </w:rPr>
        <w:t>版，</w:t>
      </w:r>
      <w:r w:rsidRPr="006E44DE">
        <w:rPr>
          <w:rFonts w:hint="eastAsia"/>
          <w:color w:val="000000" w:themeColor="text1"/>
        </w:rPr>
        <w:t>2009</w:t>
      </w:r>
      <w:r w:rsidRPr="006E44DE">
        <w:rPr>
          <w:rFonts w:hint="eastAsia"/>
          <w:color w:val="000000" w:themeColor="text1"/>
        </w:rPr>
        <w:t>年</w:t>
      </w:r>
      <w:r w:rsidRPr="006E44DE">
        <w:rPr>
          <w:rFonts w:hint="eastAsia"/>
          <w:color w:val="000000" w:themeColor="text1"/>
        </w:rPr>
        <w:t>8</w:t>
      </w:r>
      <w:r w:rsidRPr="006E44DE">
        <w:rPr>
          <w:rFonts w:hint="eastAsia"/>
          <w:color w:val="000000" w:themeColor="text1"/>
        </w:rPr>
        <w:t>月，第</w:t>
      </w:r>
      <w:r w:rsidRPr="006E44DE">
        <w:rPr>
          <w:rFonts w:hint="eastAsia"/>
          <w:color w:val="000000" w:themeColor="text1"/>
        </w:rPr>
        <w:t>339</w:t>
      </w:r>
      <w:r w:rsidRPr="006E44DE">
        <w:rPr>
          <w:rFonts w:hint="eastAsia"/>
          <w:color w:val="000000" w:themeColor="text1"/>
        </w:rPr>
        <w:t>頁。</w:t>
      </w:r>
    </w:p>
  </w:footnote>
  <w:footnote w:id="13">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李震山，警察任務法論，增訂四版，</w:t>
      </w:r>
      <w:r w:rsidRPr="006E44DE">
        <w:rPr>
          <w:rFonts w:hint="eastAsia"/>
          <w:color w:val="000000" w:themeColor="text1"/>
        </w:rPr>
        <w:t>1998</w:t>
      </w:r>
      <w:r w:rsidRPr="006E44DE">
        <w:rPr>
          <w:rFonts w:hint="eastAsia"/>
          <w:color w:val="000000" w:themeColor="text1"/>
        </w:rPr>
        <w:t>年，登文書局，第</w:t>
      </w:r>
      <w:r w:rsidRPr="006E44DE">
        <w:rPr>
          <w:rFonts w:hint="eastAsia"/>
          <w:color w:val="000000" w:themeColor="text1"/>
        </w:rPr>
        <w:t>167</w:t>
      </w:r>
      <w:r w:rsidRPr="006E44DE">
        <w:rPr>
          <w:rFonts w:hint="eastAsia"/>
          <w:color w:val="000000" w:themeColor="text1"/>
        </w:rPr>
        <w:t>頁。</w:t>
      </w:r>
    </w:p>
  </w:footnote>
  <w:footnote w:id="14">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法務部為強化廉政肅貪業務執行成效，並統合廉政署與各級法院檢察署之聯繫協調，以提昇貪瀆犯罪偵辦效能，頒訂「法務部遴選檢察官派駐法務部廉政署辦理肅貪業務要點」，遴選具領導及溝通協調能力，並熟稔貪瀆及相關犯罪偵查實務之資深績優（主任）檢察官，派駐該署辦理下列肅貪業務：</w:t>
      </w:r>
      <w:r w:rsidRPr="006E44DE">
        <w:rPr>
          <w:rFonts w:hint="eastAsia"/>
          <w:color w:val="000000" w:themeColor="text1"/>
        </w:rPr>
        <w:t>1</w:t>
      </w:r>
      <w:r w:rsidRPr="006E44DE">
        <w:rPr>
          <w:rFonts w:hint="eastAsia"/>
          <w:color w:val="000000" w:themeColor="text1"/>
        </w:rPr>
        <w:t>、貪瀆犯罪之法律諮詢，</w:t>
      </w:r>
      <w:r w:rsidRPr="006E44DE">
        <w:rPr>
          <w:rFonts w:hint="eastAsia"/>
          <w:color w:val="000000" w:themeColor="text1"/>
        </w:rPr>
        <w:t>2</w:t>
      </w:r>
      <w:r w:rsidRPr="006E44DE">
        <w:rPr>
          <w:rFonts w:hint="eastAsia"/>
          <w:color w:val="000000" w:themeColor="text1"/>
        </w:rPr>
        <w:t>、指導肅貪案件之期前蒐證，</w:t>
      </w:r>
      <w:r w:rsidRPr="006E44DE">
        <w:rPr>
          <w:rFonts w:hint="eastAsia"/>
          <w:color w:val="000000" w:themeColor="text1"/>
        </w:rPr>
        <w:t>3</w:t>
      </w:r>
      <w:r w:rsidRPr="006E44DE">
        <w:rPr>
          <w:rFonts w:hint="eastAsia"/>
          <w:color w:val="000000" w:themeColor="text1"/>
        </w:rPr>
        <w:t>、指揮該署辦理肅貪業務人員進行貪瀆案件之犯罪調查，</w:t>
      </w:r>
      <w:r w:rsidRPr="006E44DE">
        <w:rPr>
          <w:rFonts w:hint="eastAsia"/>
          <w:color w:val="000000" w:themeColor="text1"/>
        </w:rPr>
        <w:t>4</w:t>
      </w:r>
      <w:r w:rsidRPr="006E44DE">
        <w:rPr>
          <w:rFonts w:hint="eastAsia"/>
          <w:color w:val="000000" w:themeColor="text1"/>
        </w:rPr>
        <w:t>、該署與其他司法警察機關就同一案件進行調查時之協調統合。目前各級檢察署派駐該署署本部及各地區調查組辦理肅貪業務之檢察官共計</w:t>
      </w:r>
      <w:r w:rsidRPr="006E44DE">
        <w:rPr>
          <w:rFonts w:hint="eastAsia"/>
          <w:color w:val="000000" w:themeColor="text1"/>
        </w:rPr>
        <w:t>17</w:t>
      </w:r>
      <w:r w:rsidRPr="006E44DE">
        <w:rPr>
          <w:rFonts w:hint="eastAsia"/>
          <w:color w:val="000000" w:themeColor="text1"/>
        </w:rPr>
        <w:t>名。至未派駐檢察官至該署之檢察署，亦指派肅貪專責檢察官作為與該署之聯繫窗口。</w:t>
      </w:r>
    </w:p>
  </w:footnote>
  <w:footnote w:id="15">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李震山，警察行政法論</w:t>
      </w:r>
      <w:r w:rsidRPr="006E44DE">
        <w:rPr>
          <w:rFonts w:hint="eastAsia"/>
          <w:color w:val="000000" w:themeColor="text1"/>
        </w:rPr>
        <w:t>-</w:t>
      </w:r>
      <w:r w:rsidRPr="006E44DE">
        <w:rPr>
          <w:rFonts w:hint="eastAsia"/>
          <w:color w:val="000000" w:themeColor="text1"/>
        </w:rPr>
        <w:t>自由與秩序之折衝，元照，</w:t>
      </w:r>
      <w:r w:rsidRPr="006E44DE">
        <w:rPr>
          <w:rFonts w:hint="eastAsia"/>
          <w:color w:val="000000" w:themeColor="text1"/>
        </w:rPr>
        <w:t xml:space="preserve"> 2</w:t>
      </w:r>
      <w:r w:rsidRPr="006E44DE">
        <w:rPr>
          <w:rFonts w:hint="eastAsia"/>
          <w:color w:val="000000" w:themeColor="text1"/>
        </w:rPr>
        <w:t>版，</w:t>
      </w:r>
      <w:r w:rsidRPr="006E44DE">
        <w:rPr>
          <w:rFonts w:hint="eastAsia"/>
          <w:color w:val="000000" w:themeColor="text1"/>
        </w:rPr>
        <w:t>2009</w:t>
      </w:r>
      <w:r w:rsidRPr="006E44DE">
        <w:rPr>
          <w:rFonts w:hint="eastAsia"/>
          <w:color w:val="000000" w:themeColor="text1"/>
        </w:rPr>
        <w:t>年</w:t>
      </w:r>
      <w:r w:rsidRPr="006E44DE">
        <w:rPr>
          <w:rFonts w:hint="eastAsia"/>
          <w:color w:val="000000" w:themeColor="text1"/>
        </w:rPr>
        <w:t>8</w:t>
      </w:r>
      <w:r w:rsidRPr="006E44DE">
        <w:rPr>
          <w:rFonts w:hint="eastAsia"/>
          <w:color w:val="000000" w:themeColor="text1"/>
        </w:rPr>
        <w:t>月，第</w:t>
      </w:r>
      <w:r w:rsidRPr="006E44DE">
        <w:rPr>
          <w:rFonts w:hint="eastAsia"/>
          <w:color w:val="000000" w:themeColor="text1"/>
        </w:rPr>
        <w:t>344-347</w:t>
      </w:r>
      <w:r w:rsidRPr="006E44DE">
        <w:rPr>
          <w:rFonts w:hint="eastAsia"/>
          <w:color w:val="000000" w:themeColor="text1"/>
        </w:rPr>
        <w:t>頁。</w:t>
      </w:r>
    </w:p>
  </w:footnote>
  <w:footnote w:id="16">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函請檢討改善理由略以：「同行監督」方式之監控，欠缺法源依據，實際上難以防範被告脫逃，無從確保被告到場，徒耗龐大治安資源，排擠司法警察機關正常勤務運作，損及政府形象，顯有未當。</w:t>
      </w:r>
    </w:p>
  </w:footnote>
  <w:footnote w:id="17">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糾正理由略以：法務部放任各檢察機關未經檢察總長審核，逕依院檢聯繫通報機制，濫行啟動防逃機制，致第一線辦案之檢警調人員不堪負荷，嚴重排擠治安能量，並影響有啟動防逃必要案件之執行成效，核有違失。</w:t>
      </w:r>
    </w:p>
  </w:footnote>
  <w:footnote w:id="18">
    <w:p w:rsidR="00DC3BF3" w:rsidRPr="006E44DE" w:rsidRDefault="00DC3BF3" w:rsidP="004B6A36">
      <w:pPr>
        <w:pStyle w:val="af1"/>
        <w:rPr>
          <w:color w:val="000000" w:themeColor="text1"/>
        </w:rPr>
      </w:pPr>
      <w:r w:rsidRPr="00F725C6">
        <w:rPr>
          <w:rStyle w:val="af3"/>
          <w:color w:val="000000" w:themeColor="text1"/>
        </w:rPr>
        <w:footnoteRef/>
      </w:r>
      <w:r w:rsidR="004B02A2" w:rsidRPr="00F725C6">
        <w:rPr>
          <w:rFonts w:hint="eastAsia"/>
          <w:color w:val="000000" w:themeColor="text1"/>
        </w:rPr>
        <w:t>井</w:t>
      </w:r>
      <w:r w:rsidR="00F725C6" w:rsidRPr="00F725C6">
        <w:rPr>
          <w:rFonts w:hint="eastAsia"/>
          <w:color w:val="000000" w:themeColor="text1"/>
        </w:rPr>
        <w:t>樹</w:t>
      </w:r>
      <w:r w:rsidR="004B02A2" w:rsidRPr="00F725C6">
        <w:rPr>
          <w:rFonts w:hint="eastAsia"/>
          <w:color w:val="000000" w:themeColor="text1"/>
        </w:rPr>
        <w:t>華</w:t>
      </w:r>
      <w:r w:rsidRPr="00F725C6">
        <w:rPr>
          <w:rFonts w:hint="eastAsia"/>
          <w:color w:val="000000" w:themeColor="text1"/>
        </w:rPr>
        <w:t>潛逃案，本院建議司法院宜推動下列修法事項：</w:t>
      </w:r>
      <w:r w:rsidRPr="00F725C6">
        <w:rPr>
          <w:rFonts w:hint="eastAsia"/>
          <w:color w:val="000000" w:themeColor="text1"/>
        </w:rPr>
        <w:t>1.</w:t>
      </w:r>
      <w:r w:rsidRPr="00F725C6">
        <w:rPr>
          <w:rFonts w:hint="eastAsia"/>
          <w:color w:val="000000" w:themeColor="text1"/>
        </w:rPr>
        <w:tab/>
      </w:r>
      <w:r w:rsidRPr="00F725C6">
        <w:rPr>
          <w:rFonts w:hint="eastAsia"/>
          <w:color w:val="000000" w:themeColor="text1"/>
        </w:rPr>
        <w:t>刑事訴訟法充實羈押替代處分之</w:t>
      </w:r>
      <w:r w:rsidRPr="006E44DE">
        <w:rPr>
          <w:rFonts w:hint="eastAsia"/>
          <w:color w:val="000000" w:themeColor="text1"/>
        </w:rPr>
        <w:t>配套措施，積極研議科技設備監控、增列被告處分特定財產之通報機制的可行性。（所涉條文：刑事訴訟法第</w:t>
      </w:r>
      <w:r w:rsidRPr="006E44DE">
        <w:rPr>
          <w:rFonts w:hint="eastAsia"/>
          <w:color w:val="000000" w:themeColor="text1"/>
        </w:rPr>
        <w:t>116</w:t>
      </w:r>
      <w:r w:rsidRPr="006E44DE">
        <w:rPr>
          <w:rFonts w:hint="eastAsia"/>
          <w:color w:val="000000" w:themeColor="text1"/>
        </w:rPr>
        <w:t>條之</w:t>
      </w:r>
      <w:r w:rsidRPr="006E44DE">
        <w:rPr>
          <w:rFonts w:hint="eastAsia"/>
          <w:color w:val="000000" w:themeColor="text1"/>
        </w:rPr>
        <w:t>2</w:t>
      </w:r>
      <w:r w:rsidRPr="006E44DE">
        <w:rPr>
          <w:rFonts w:hint="eastAsia"/>
          <w:color w:val="000000" w:themeColor="text1"/>
        </w:rPr>
        <w:t>、第</w:t>
      </w:r>
      <w:r w:rsidRPr="006E44DE">
        <w:rPr>
          <w:rFonts w:hint="eastAsia"/>
          <w:color w:val="000000" w:themeColor="text1"/>
        </w:rPr>
        <w:t>117</w:t>
      </w:r>
      <w:r w:rsidRPr="006E44DE">
        <w:rPr>
          <w:rFonts w:hint="eastAsia"/>
          <w:color w:val="000000" w:themeColor="text1"/>
        </w:rPr>
        <w:t>條）</w:t>
      </w:r>
      <w:r w:rsidRPr="006E44DE">
        <w:rPr>
          <w:rFonts w:hint="eastAsia"/>
          <w:color w:val="000000" w:themeColor="text1"/>
        </w:rPr>
        <w:t>2.</w:t>
      </w:r>
      <w:r w:rsidRPr="006E44DE">
        <w:rPr>
          <w:rFonts w:hint="eastAsia"/>
          <w:color w:val="000000" w:themeColor="text1"/>
        </w:rPr>
        <w:tab/>
      </w:r>
      <w:r w:rsidRPr="006E44DE">
        <w:rPr>
          <w:rFonts w:hint="eastAsia"/>
          <w:color w:val="000000" w:themeColor="text1"/>
        </w:rPr>
        <w:t>司法院應思考強化法官審理社會矚目重大刑事案件，於言詞辯論終結或宣判時強制被告到庭，依據相關事證及被告受重罪判決後逃亡風險升高等事實，重行審酌被告保釋條件，積極審慎做出符合法律與社會期待司法正義的決定。（所涉條文：刑事訴訟法第</w:t>
      </w:r>
      <w:r w:rsidRPr="006E44DE">
        <w:rPr>
          <w:rFonts w:hint="eastAsia"/>
          <w:color w:val="000000" w:themeColor="text1"/>
        </w:rPr>
        <w:t>312</w:t>
      </w:r>
      <w:r w:rsidRPr="006E44DE">
        <w:rPr>
          <w:rFonts w:hint="eastAsia"/>
          <w:color w:val="000000" w:themeColor="text1"/>
        </w:rPr>
        <w:t>、</w:t>
      </w:r>
      <w:r w:rsidRPr="006E44DE">
        <w:rPr>
          <w:rFonts w:hint="eastAsia"/>
          <w:color w:val="000000" w:themeColor="text1"/>
        </w:rPr>
        <w:t>313</w:t>
      </w:r>
      <w:r w:rsidRPr="006E44DE">
        <w:rPr>
          <w:rFonts w:hint="eastAsia"/>
          <w:color w:val="000000" w:themeColor="text1"/>
        </w:rPr>
        <w:t>條）</w:t>
      </w:r>
      <w:r w:rsidRPr="006E44DE">
        <w:rPr>
          <w:rFonts w:hint="eastAsia"/>
          <w:color w:val="000000" w:themeColor="text1"/>
        </w:rPr>
        <w:t>3.</w:t>
      </w:r>
      <w:r w:rsidRPr="006E44DE">
        <w:rPr>
          <w:rFonts w:hint="eastAsia"/>
          <w:color w:val="000000" w:themeColor="text1"/>
        </w:rPr>
        <w:tab/>
      </w:r>
      <w:r w:rsidRPr="006E44DE">
        <w:rPr>
          <w:rFonts w:hint="eastAsia"/>
          <w:color w:val="000000" w:themeColor="text1"/>
        </w:rPr>
        <w:t>修訂「法院辦理刑事訴訟應行注意事項」第</w:t>
      </w:r>
      <w:r w:rsidRPr="006E44DE">
        <w:rPr>
          <w:rFonts w:hint="eastAsia"/>
          <w:color w:val="000000" w:themeColor="text1"/>
        </w:rPr>
        <w:t>54</w:t>
      </w:r>
      <w:r w:rsidRPr="006E44DE">
        <w:rPr>
          <w:rFonts w:hint="eastAsia"/>
          <w:color w:val="000000" w:themeColor="text1"/>
        </w:rPr>
        <w:t>點（建議增列檢察官對已起訴之案件有聲請羈押被告之權）。</w:t>
      </w:r>
    </w:p>
  </w:footnote>
  <w:footnote w:id="19">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刑事訴訟法修正草案略以：第</w:t>
      </w:r>
      <w:r w:rsidRPr="006E44DE">
        <w:rPr>
          <w:rFonts w:hint="eastAsia"/>
          <w:color w:val="000000" w:themeColor="text1"/>
        </w:rPr>
        <w:t>116</w:t>
      </w:r>
      <w:r w:rsidRPr="006E44DE">
        <w:rPr>
          <w:rFonts w:hint="eastAsia"/>
          <w:color w:val="000000" w:themeColor="text1"/>
        </w:rPr>
        <w:t>條之</w:t>
      </w:r>
      <w:r w:rsidRPr="006E44DE">
        <w:rPr>
          <w:rFonts w:hint="eastAsia"/>
          <w:color w:val="000000" w:themeColor="text1"/>
        </w:rPr>
        <w:t>2</w:t>
      </w:r>
      <w:r w:rsidRPr="006E44DE">
        <w:rPr>
          <w:rFonts w:hint="eastAsia"/>
          <w:color w:val="000000" w:themeColor="text1"/>
        </w:rPr>
        <w:t>：強化羈押替代處分措施，修正條文明定對於停止羈押之被告，法院得命被告：一、接受適當之科技設備監控。二、未經許可，不得離開住、居所或一定區域。三、交付護照、旅行文件。四、不得就特定財產為一定之處分。草案第</w:t>
      </w:r>
      <w:r w:rsidRPr="006E44DE">
        <w:rPr>
          <w:rFonts w:hint="eastAsia"/>
          <w:color w:val="000000" w:themeColor="text1"/>
        </w:rPr>
        <w:t>117</w:t>
      </w:r>
      <w:r w:rsidRPr="006E44DE">
        <w:rPr>
          <w:rFonts w:hint="eastAsia"/>
          <w:color w:val="000000" w:themeColor="text1"/>
        </w:rPr>
        <w:t>條：對於宣判一定刑度之被告，法院應進行羈押必要性之審查。草案第</w:t>
      </w:r>
      <w:r w:rsidRPr="006E44DE">
        <w:rPr>
          <w:rFonts w:hint="eastAsia"/>
          <w:color w:val="000000" w:themeColor="text1"/>
        </w:rPr>
        <w:t>312</w:t>
      </w:r>
      <w:r w:rsidRPr="006E44DE">
        <w:rPr>
          <w:rFonts w:hint="eastAsia"/>
          <w:color w:val="000000" w:themeColor="text1"/>
        </w:rPr>
        <w:t>、</w:t>
      </w:r>
      <w:r w:rsidRPr="006E44DE">
        <w:rPr>
          <w:rFonts w:hint="eastAsia"/>
          <w:color w:val="000000" w:themeColor="text1"/>
        </w:rPr>
        <w:t>313</w:t>
      </w:r>
      <w:r w:rsidRPr="006E44DE">
        <w:rPr>
          <w:rFonts w:hint="eastAsia"/>
          <w:color w:val="000000" w:themeColor="text1"/>
        </w:rPr>
        <w:t>條：被告宣判期日應到庭，無正當理由未到庭，而法院仍宣告重罪之案件，得逕予拘提並限制住居。草案第</w:t>
      </w:r>
      <w:r w:rsidRPr="006E44DE">
        <w:rPr>
          <w:rFonts w:hint="eastAsia"/>
          <w:color w:val="000000" w:themeColor="text1"/>
        </w:rPr>
        <w:t>456</w:t>
      </w:r>
      <w:r w:rsidRPr="006E44DE">
        <w:rPr>
          <w:rFonts w:hint="eastAsia"/>
          <w:color w:val="000000" w:themeColor="text1"/>
        </w:rPr>
        <w:t>、</w:t>
      </w:r>
      <w:r w:rsidRPr="006E44DE">
        <w:rPr>
          <w:rFonts w:hint="eastAsia"/>
          <w:color w:val="000000" w:themeColor="text1"/>
        </w:rPr>
        <w:t>468</w:t>
      </w:r>
      <w:r w:rsidRPr="006E44DE">
        <w:rPr>
          <w:rFonts w:hint="eastAsia"/>
          <w:color w:val="000000" w:themeColor="text1"/>
        </w:rPr>
        <w:t>條檢察官執行之防逃規定（檢察官得於卷宗送送前執行、得不經傳喚逕行拘提並限制住居）。</w:t>
      </w:r>
    </w:p>
  </w:footnote>
  <w:footnote w:id="20">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106</w:t>
      </w:r>
      <w:r w:rsidRPr="006E44DE">
        <w:rPr>
          <w:rFonts w:hint="eastAsia"/>
          <w:color w:val="000000" w:themeColor="text1"/>
        </w:rPr>
        <w:t>年</w:t>
      </w:r>
      <w:r w:rsidRPr="006E44DE">
        <w:rPr>
          <w:rFonts w:hint="eastAsia"/>
          <w:color w:val="000000" w:themeColor="text1"/>
        </w:rPr>
        <w:t>1</w:t>
      </w:r>
      <w:r w:rsidRPr="006E44DE">
        <w:rPr>
          <w:rFonts w:hint="eastAsia"/>
          <w:color w:val="000000" w:themeColor="text1"/>
        </w:rPr>
        <w:t>月</w:t>
      </w:r>
      <w:r w:rsidRPr="006E44DE">
        <w:rPr>
          <w:rFonts w:hint="eastAsia"/>
          <w:color w:val="000000" w:themeColor="text1"/>
        </w:rPr>
        <w:t>1</w:t>
      </w:r>
      <w:r w:rsidRPr="006E44DE">
        <w:rPr>
          <w:rFonts w:hint="eastAsia"/>
          <w:color w:val="000000" w:themeColor="text1"/>
        </w:rPr>
        <w:t>日特別偵查組廢除前，法院組織法第</w:t>
      </w:r>
      <w:r w:rsidRPr="006E44DE">
        <w:rPr>
          <w:rFonts w:hint="eastAsia"/>
          <w:color w:val="000000" w:themeColor="text1"/>
        </w:rPr>
        <w:t>63</w:t>
      </w:r>
      <w:r w:rsidRPr="006E44DE">
        <w:rPr>
          <w:rFonts w:hint="eastAsia"/>
          <w:color w:val="000000" w:themeColor="text1"/>
        </w:rPr>
        <w:t>條之</w:t>
      </w:r>
      <w:r w:rsidRPr="006E44DE">
        <w:rPr>
          <w:rFonts w:hint="eastAsia"/>
          <w:color w:val="000000" w:themeColor="text1"/>
        </w:rPr>
        <w:t>1</w:t>
      </w:r>
      <w:r w:rsidRPr="006E44DE">
        <w:rPr>
          <w:rFonts w:hint="eastAsia"/>
          <w:color w:val="000000" w:themeColor="text1"/>
        </w:rPr>
        <w:t>第</w:t>
      </w:r>
      <w:r w:rsidRPr="006E44DE">
        <w:rPr>
          <w:rFonts w:hint="eastAsia"/>
          <w:color w:val="000000" w:themeColor="text1"/>
        </w:rPr>
        <w:t>3</w:t>
      </w:r>
      <w:r w:rsidRPr="006E44DE">
        <w:rPr>
          <w:rFonts w:hint="eastAsia"/>
          <w:color w:val="000000" w:themeColor="text1"/>
        </w:rPr>
        <w:t>項規定：「特別偵查組為辦案需要，得借調相關機關之專業人員協助偵查。」</w:t>
      </w:r>
    </w:p>
  </w:footnote>
  <w:footnote w:id="21">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參見自由時報</w:t>
      </w:r>
      <w:r w:rsidRPr="006E44DE">
        <w:rPr>
          <w:rFonts w:hint="eastAsia"/>
          <w:color w:val="000000" w:themeColor="text1"/>
        </w:rPr>
        <w:t>106</w:t>
      </w:r>
      <w:r w:rsidRPr="006E44DE">
        <w:rPr>
          <w:rFonts w:hint="eastAsia"/>
          <w:color w:val="000000" w:themeColor="text1"/>
        </w:rPr>
        <w:t>年</w:t>
      </w:r>
      <w:r w:rsidRPr="006E44DE">
        <w:rPr>
          <w:rFonts w:hint="eastAsia"/>
          <w:color w:val="000000" w:themeColor="text1"/>
        </w:rPr>
        <w:t>10</w:t>
      </w:r>
      <w:r w:rsidRPr="006E44DE">
        <w:rPr>
          <w:rFonts w:hint="eastAsia"/>
          <w:color w:val="000000" w:themeColor="text1"/>
        </w:rPr>
        <w:t>月</w:t>
      </w:r>
      <w:r w:rsidRPr="006E44DE">
        <w:rPr>
          <w:rFonts w:hint="eastAsia"/>
          <w:color w:val="000000" w:themeColor="text1"/>
        </w:rPr>
        <w:t>19</w:t>
      </w:r>
      <w:r w:rsidRPr="006E44DE">
        <w:rPr>
          <w:rFonts w:hint="eastAsia"/>
          <w:color w:val="000000" w:themeColor="text1"/>
        </w:rPr>
        <w:t>日報導，「微罪送通緝犯</w:t>
      </w:r>
      <w:r w:rsidRPr="006E44DE">
        <w:rPr>
          <w:rFonts w:hint="eastAsia"/>
          <w:color w:val="000000" w:themeColor="text1"/>
        </w:rPr>
        <w:t>600</w:t>
      </w:r>
      <w:r w:rsidRPr="006E44DE">
        <w:rPr>
          <w:rFonts w:hint="eastAsia"/>
          <w:color w:val="000000" w:themeColor="text1"/>
        </w:rPr>
        <w:t>公里，台南警反彈了」。</w:t>
      </w:r>
    </w:p>
  </w:footnote>
  <w:footnote w:id="22">
    <w:p w:rsidR="00DC3BF3" w:rsidRPr="006E44DE" w:rsidRDefault="00DC3BF3" w:rsidP="004B6A36">
      <w:pPr>
        <w:pStyle w:val="af1"/>
        <w:rPr>
          <w:color w:val="000000" w:themeColor="text1"/>
        </w:rPr>
      </w:pPr>
      <w:r w:rsidRPr="006E44DE">
        <w:rPr>
          <w:rStyle w:val="af3"/>
          <w:color w:val="000000" w:themeColor="text1"/>
        </w:rPr>
        <w:footnoteRef/>
      </w:r>
      <w:r w:rsidRPr="006E44DE">
        <w:rPr>
          <w:rFonts w:hint="eastAsia"/>
          <w:color w:val="000000" w:themeColor="text1"/>
        </w:rPr>
        <w:t>日本刑事訴訟法第</w:t>
      </w:r>
      <w:r w:rsidRPr="006E44DE">
        <w:rPr>
          <w:rFonts w:hint="eastAsia"/>
          <w:color w:val="000000" w:themeColor="text1"/>
        </w:rPr>
        <w:t>194</w:t>
      </w:r>
      <w:r w:rsidRPr="006E44DE">
        <w:rPr>
          <w:rFonts w:hint="eastAsia"/>
          <w:color w:val="000000" w:themeColor="text1"/>
        </w:rPr>
        <w:t>條係規定：「檢察總長、高等檢察廳長或地方檢察廳長於司法警察無正當理由不服從檢察官之指示或指揮之情形而認有必要時，對於警察官之司法警察職員得向國家公安委員會或都道府縣公安委員會，提出懲戒或罷免之追訴；對於非為警察官之司法警察職員得向對該人有懲戒或罷免權限者，提出之。」又</w:t>
      </w:r>
      <w:r w:rsidRPr="006E44DE">
        <w:rPr>
          <w:rFonts w:hint="eastAsia"/>
          <w:color w:val="000000" w:themeColor="text1"/>
        </w:rPr>
        <w:t>1954</w:t>
      </w:r>
      <w:r w:rsidRPr="006E44DE">
        <w:rPr>
          <w:rFonts w:hint="eastAsia"/>
          <w:color w:val="000000" w:themeColor="text1"/>
        </w:rPr>
        <w:t>年日本制訂本條文迄今，但實際上卻無以該法律懲戒司法警察的案例。參照伊藤榮樹他編，『註釋刑事訴訟法』三卷，第</w:t>
      </w:r>
      <w:r w:rsidRPr="006E44DE">
        <w:rPr>
          <w:rFonts w:hint="eastAsia"/>
          <w:color w:val="000000" w:themeColor="text1"/>
        </w:rPr>
        <w:t>66</w:t>
      </w:r>
      <w:r w:rsidRPr="006E44DE">
        <w:rPr>
          <w:rFonts w:hint="eastAsia"/>
          <w:color w:val="000000" w:themeColor="text1"/>
        </w:rPr>
        <w:t>頁。轉引自林裕順，論偵查程序中檢警關係應有的定位，月旦法學，</w:t>
      </w:r>
      <w:r w:rsidRPr="006E44DE">
        <w:rPr>
          <w:rFonts w:hint="eastAsia"/>
          <w:color w:val="000000" w:themeColor="text1"/>
        </w:rPr>
        <w:t>74</w:t>
      </w:r>
      <w:r w:rsidRPr="006E44DE">
        <w:rPr>
          <w:rFonts w:hint="eastAsia"/>
          <w:color w:val="000000" w:themeColor="text1"/>
        </w:rPr>
        <w:t>期。</w:t>
      </w:r>
    </w:p>
  </w:footnote>
  <w:footnote w:id="23">
    <w:p w:rsidR="00DB17BE" w:rsidRPr="006E44DE" w:rsidRDefault="00DB17BE">
      <w:pPr>
        <w:pStyle w:val="af1"/>
        <w:rPr>
          <w:color w:val="000000" w:themeColor="text1"/>
        </w:rPr>
      </w:pPr>
      <w:r w:rsidRPr="006E44DE">
        <w:rPr>
          <w:rStyle w:val="af3"/>
          <w:color w:val="000000" w:themeColor="text1"/>
        </w:rPr>
        <w:footnoteRef/>
      </w:r>
      <w:r w:rsidRPr="006E44DE">
        <w:rPr>
          <w:rFonts w:hint="eastAsia"/>
          <w:color w:val="000000" w:themeColor="text1"/>
        </w:rPr>
        <w:t>法務部所提修正草案第</w:t>
      </w:r>
      <w:r w:rsidRPr="006E44DE">
        <w:rPr>
          <w:rFonts w:hint="eastAsia"/>
          <w:color w:val="000000" w:themeColor="text1"/>
        </w:rPr>
        <w:t>8</w:t>
      </w:r>
      <w:r w:rsidRPr="006E44DE">
        <w:rPr>
          <w:rFonts w:hint="eastAsia"/>
          <w:color w:val="000000" w:themeColor="text1"/>
        </w:rPr>
        <w:t>條規定：「檢察長或法院院長得函請警察機關長官予以獎懲，該管長官應即切實辦理函復。」仍維持本條例逕予獎懲之規定。</w:t>
      </w:r>
    </w:p>
  </w:footnote>
  <w:footnote w:id="24">
    <w:p w:rsidR="00DC3BF3" w:rsidRPr="006E44DE" w:rsidRDefault="00DC3BF3">
      <w:pPr>
        <w:pStyle w:val="af1"/>
        <w:rPr>
          <w:color w:val="000000" w:themeColor="text1"/>
        </w:rPr>
      </w:pPr>
      <w:r w:rsidRPr="006E44DE">
        <w:rPr>
          <w:rStyle w:val="af3"/>
          <w:color w:val="000000" w:themeColor="text1"/>
        </w:rPr>
        <w:footnoteRef/>
      </w:r>
      <w:r w:rsidRPr="006E44DE">
        <w:rPr>
          <w:color w:val="000000" w:themeColor="text1"/>
        </w:rPr>
        <w:t xml:space="preserve"> </w:t>
      </w:r>
      <w:r w:rsidRPr="006E44DE">
        <w:rPr>
          <w:rFonts w:hint="eastAsia"/>
          <w:color w:val="000000" w:themeColor="text1"/>
        </w:rPr>
        <w:t>「檢察官推事指揮司法警察證細則」係行政院於</w:t>
      </w:r>
      <w:r w:rsidRPr="006E44DE">
        <w:rPr>
          <w:rFonts w:hint="eastAsia"/>
          <w:color w:val="000000" w:themeColor="text1"/>
        </w:rPr>
        <w:t>34</w:t>
      </w:r>
      <w:r w:rsidRPr="006E44DE">
        <w:rPr>
          <w:rFonts w:hint="eastAsia"/>
          <w:color w:val="000000" w:themeColor="text1"/>
        </w:rPr>
        <w:t>年</w:t>
      </w:r>
      <w:r w:rsidRPr="006E44DE">
        <w:rPr>
          <w:rFonts w:hint="eastAsia"/>
          <w:color w:val="000000" w:themeColor="text1"/>
        </w:rPr>
        <w:t>11</w:t>
      </w:r>
      <w:r w:rsidRPr="006E44DE">
        <w:rPr>
          <w:rFonts w:hint="eastAsia"/>
          <w:color w:val="000000" w:themeColor="text1"/>
        </w:rPr>
        <w:t>月</w:t>
      </w:r>
      <w:r w:rsidRPr="006E44DE">
        <w:rPr>
          <w:rFonts w:hint="eastAsia"/>
          <w:color w:val="000000" w:themeColor="text1"/>
        </w:rPr>
        <w:t>9</w:t>
      </w:r>
      <w:r w:rsidRPr="006E44DE">
        <w:rPr>
          <w:rFonts w:hint="eastAsia"/>
          <w:color w:val="000000" w:themeColor="text1"/>
        </w:rPr>
        <w:t>日以行政院（</w:t>
      </w:r>
      <w:r w:rsidRPr="006E44DE">
        <w:rPr>
          <w:rFonts w:hint="eastAsia"/>
          <w:color w:val="000000" w:themeColor="text1"/>
        </w:rPr>
        <w:t>34</w:t>
      </w:r>
      <w:r w:rsidRPr="006E44DE">
        <w:rPr>
          <w:rFonts w:hint="eastAsia"/>
          <w:color w:val="000000" w:themeColor="text1"/>
        </w:rPr>
        <w:t>）平捌字第</w:t>
      </w:r>
      <w:r w:rsidRPr="006E44DE">
        <w:rPr>
          <w:rFonts w:hint="eastAsia"/>
          <w:color w:val="000000" w:themeColor="text1"/>
        </w:rPr>
        <w:t>24807</w:t>
      </w:r>
      <w:r w:rsidRPr="006E44DE">
        <w:rPr>
          <w:rFonts w:hint="eastAsia"/>
          <w:color w:val="000000" w:themeColor="text1"/>
        </w:rPr>
        <w:t>號令訂定發布；</w:t>
      </w:r>
      <w:r w:rsidRPr="006E44DE">
        <w:rPr>
          <w:rFonts w:hint="eastAsia"/>
          <w:color w:val="000000" w:themeColor="text1"/>
        </w:rPr>
        <w:t>91</w:t>
      </w:r>
      <w:r w:rsidRPr="006E44DE">
        <w:rPr>
          <w:rFonts w:hint="eastAsia"/>
          <w:color w:val="000000" w:themeColor="text1"/>
        </w:rPr>
        <w:t>年</w:t>
      </w:r>
      <w:r w:rsidRPr="006E44DE">
        <w:rPr>
          <w:rFonts w:hint="eastAsia"/>
          <w:color w:val="000000" w:themeColor="text1"/>
        </w:rPr>
        <w:t>11</w:t>
      </w:r>
      <w:r w:rsidRPr="006E44DE">
        <w:rPr>
          <w:rFonts w:hint="eastAsia"/>
          <w:color w:val="000000" w:themeColor="text1"/>
        </w:rPr>
        <w:t>月</w:t>
      </w:r>
      <w:r w:rsidRPr="006E44DE">
        <w:rPr>
          <w:rFonts w:hint="eastAsia"/>
          <w:color w:val="000000" w:themeColor="text1"/>
        </w:rPr>
        <w:t>4</w:t>
      </w:r>
      <w:r w:rsidRPr="006E44DE">
        <w:rPr>
          <w:rFonts w:hint="eastAsia"/>
          <w:color w:val="000000" w:themeColor="text1"/>
        </w:rPr>
        <w:t>日以行政院院臺法字第</w:t>
      </w:r>
      <w:r w:rsidRPr="006E44DE">
        <w:rPr>
          <w:rFonts w:hint="eastAsia"/>
          <w:color w:val="000000" w:themeColor="text1"/>
        </w:rPr>
        <w:t>0910056418</w:t>
      </w:r>
      <w:r w:rsidRPr="006E44DE">
        <w:rPr>
          <w:rFonts w:hint="eastAsia"/>
          <w:color w:val="000000" w:themeColor="text1"/>
        </w:rPr>
        <w:t>號令、司法院（</w:t>
      </w:r>
      <w:r w:rsidRPr="006E44DE">
        <w:rPr>
          <w:rFonts w:hint="eastAsia"/>
          <w:color w:val="000000" w:themeColor="text1"/>
        </w:rPr>
        <w:t>91</w:t>
      </w:r>
      <w:r w:rsidRPr="006E44DE">
        <w:rPr>
          <w:rFonts w:hint="eastAsia"/>
          <w:color w:val="000000" w:themeColor="text1"/>
        </w:rPr>
        <w:t>）院台人二字第</w:t>
      </w:r>
      <w:r w:rsidRPr="006E44DE">
        <w:rPr>
          <w:rFonts w:hint="eastAsia"/>
          <w:color w:val="000000" w:themeColor="text1"/>
        </w:rPr>
        <w:t>27244</w:t>
      </w:r>
      <w:r w:rsidRPr="006E44DE">
        <w:rPr>
          <w:rFonts w:hint="eastAsia"/>
          <w:color w:val="000000" w:themeColor="text1"/>
        </w:rPr>
        <w:t>號令會銜發布廢止。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163241"/>
    <w:multiLevelType w:val="hybridMultilevel"/>
    <w:tmpl w:val="E8F0D65C"/>
    <w:lvl w:ilvl="0" w:tplc="4BA8C60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25CD6D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ttachedTemplate r:id="rId1"/>
  <w:doNotTrackMove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2628"/>
    <w:rsid w:val="000018F2"/>
    <w:rsid w:val="00004EAF"/>
    <w:rsid w:val="00007B2C"/>
    <w:rsid w:val="00014552"/>
    <w:rsid w:val="00016BB2"/>
    <w:rsid w:val="00020860"/>
    <w:rsid w:val="000272C7"/>
    <w:rsid w:val="000320CC"/>
    <w:rsid w:val="000421D8"/>
    <w:rsid w:val="00047F04"/>
    <w:rsid w:val="00081B64"/>
    <w:rsid w:val="00082010"/>
    <w:rsid w:val="00082AA4"/>
    <w:rsid w:val="000879EF"/>
    <w:rsid w:val="00096B2B"/>
    <w:rsid w:val="000B6A5C"/>
    <w:rsid w:val="000D4888"/>
    <w:rsid w:val="000D4F70"/>
    <w:rsid w:val="000E1228"/>
    <w:rsid w:val="000F31BA"/>
    <w:rsid w:val="000F3814"/>
    <w:rsid w:val="000F3891"/>
    <w:rsid w:val="00166BD4"/>
    <w:rsid w:val="00176B61"/>
    <w:rsid w:val="00186BEF"/>
    <w:rsid w:val="00186F58"/>
    <w:rsid w:val="00192B58"/>
    <w:rsid w:val="001948BB"/>
    <w:rsid w:val="001B21BF"/>
    <w:rsid w:val="001B5FCC"/>
    <w:rsid w:val="001D32FD"/>
    <w:rsid w:val="002103A8"/>
    <w:rsid w:val="00215028"/>
    <w:rsid w:val="00215641"/>
    <w:rsid w:val="00216A57"/>
    <w:rsid w:val="002210A1"/>
    <w:rsid w:val="002535EA"/>
    <w:rsid w:val="00265F57"/>
    <w:rsid w:val="00270D5C"/>
    <w:rsid w:val="00272628"/>
    <w:rsid w:val="002B01F9"/>
    <w:rsid w:val="002B0C36"/>
    <w:rsid w:val="002B63DF"/>
    <w:rsid w:val="002B77C2"/>
    <w:rsid w:val="002D28E5"/>
    <w:rsid w:val="002E03A1"/>
    <w:rsid w:val="002E45A8"/>
    <w:rsid w:val="002F7484"/>
    <w:rsid w:val="00304DB2"/>
    <w:rsid w:val="00306E99"/>
    <w:rsid w:val="00310C51"/>
    <w:rsid w:val="00313427"/>
    <w:rsid w:val="00334E5B"/>
    <w:rsid w:val="00363B7B"/>
    <w:rsid w:val="00384114"/>
    <w:rsid w:val="00384F67"/>
    <w:rsid w:val="00385B11"/>
    <w:rsid w:val="00387DD6"/>
    <w:rsid w:val="0039196E"/>
    <w:rsid w:val="00397A19"/>
    <w:rsid w:val="003B7E8E"/>
    <w:rsid w:val="003D37DF"/>
    <w:rsid w:val="003E4422"/>
    <w:rsid w:val="003E6862"/>
    <w:rsid w:val="003F35A8"/>
    <w:rsid w:val="00421FCA"/>
    <w:rsid w:val="00422199"/>
    <w:rsid w:val="00425379"/>
    <w:rsid w:val="0044702D"/>
    <w:rsid w:val="0045386E"/>
    <w:rsid w:val="0048185B"/>
    <w:rsid w:val="00482367"/>
    <w:rsid w:val="004912B6"/>
    <w:rsid w:val="004B02A2"/>
    <w:rsid w:val="004B6A36"/>
    <w:rsid w:val="004C31A1"/>
    <w:rsid w:val="004C70F8"/>
    <w:rsid w:val="004C7F99"/>
    <w:rsid w:val="004E0FC8"/>
    <w:rsid w:val="004E3256"/>
    <w:rsid w:val="004E7E1E"/>
    <w:rsid w:val="0051436C"/>
    <w:rsid w:val="00545082"/>
    <w:rsid w:val="00561E24"/>
    <w:rsid w:val="005723A9"/>
    <w:rsid w:val="00593A6B"/>
    <w:rsid w:val="005A0A08"/>
    <w:rsid w:val="005B20EA"/>
    <w:rsid w:val="005C0958"/>
    <w:rsid w:val="005C0FCF"/>
    <w:rsid w:val="005C1476"/>
    <w:rsid w:val="005C6773"/>
    <w:rsid w:val="005C73E6"/>
    <w:rsid w:val="006272D1"/>
    <w:rsid w:val="006338CE"/>
    <w:rsid w:val="0064538F"/>
    <w:rsid w:val="0065411A"/>
    <w:rsid w:val="006561BB"/>
    <w:rsid w:val="00663FFD"/>
    <w:rsid w:val="006652DE"/>
    <w:rsid w:val="00671282"/>
    <w:rsid w:val="006812C7"/>
    <w:rsid w:val="006B3F78"/>
    <w:rsid w:val="006C5FE3"/>
    <w:rsid w:val="006D27D5"/>
    <w:rsid w:val="006E44DE"/>
    <w:rsid w:val="006F7A6E"/>
    <w:rsid w:val="0070770D"/>
    <w:rsid w:val="0071036C"/>
    <w:rsid w:val="007109C6"/>
    <w:rsid w:val="0071329E"/>
    <w:rsid w:val="007331CC"/>
    <w:rsid w:val="00755131"/>
    <w:rsid w:val="0077319A"/>
    <w:rsid w:val="00780BA2"/>
    <w:rsid w:val="0078224F"/>
    <w:rsid w:val="00792264"/>
    <w:rsid w:val="007C03F9"/>
    <w:rsid w:val="007C257B"/>
    <w:rsid w:val="007F7190"/>
    <w:rsid w:val="00801D79"/>
    <w:rsid w:val="00837857"/>
    <w:rsid w:val="00850D3F"/>
    <w:rsid w:val="00861C2D"/>
    <w:rsid w:val="00867A14"/>
    <w:rsid w:val="008719DC"/>
    <w:rsid w:val="008747B3"/>
    <w:rsid w:val="008813A3"/>
    <w:rsid w:val="00893B02"/>
    <w:rsid w:val="008A1A8C"/>
    <w:rsid w:val="008A7E00"/>
    <w:rsid w:val="008C5BF2"/>
    <w:rsid w:val="008E0AE1"/>
    <w:rsid w:val="008E5C70"/>
    <w:rsid w:val="008E5ED2"/>
    <w:rsid w:val="008E7F4C"/>
    <w:rsid w:val="00905388"/>
    <w:rsid w:val="00907F86"/>
    <w:rsid w:val="00920131"/>
    <w:rsid w:val="00923D31"/>
    <w:rsid w:val="00924D58"/>
    <w:rsid w:val="00935EC2"/>
    <w:rsid w:val="009533AD"/>
    <w:rsid w:val="009565A4"/>
    <w:rsid w:val="0096476E"/>
    <w:rsid w:val="0097514F"/>
    <w:rsid w:val="00975D23"/>
    <w:rsid w:val="00984577"/>
    <w:rsid w:val="009B3CF7"/>
    <w:rsid w:val="009C608F"/>
    <w:rsid w:val="009D168A"/>
    <w:rsid w:val="009E3584"/>
    <w:rsid w:val="009E4471"/>
    <w:rsid w:val="009E4656"/>
    <w:rsid w:val="009F2406"/>
    <w:rsid w:val="00A0688D"/>
    <w:rsid w:val="00A06961"/>
    <w:rsid w:val="00A10C1D"/>
    <w:rsid w:val="00A21AAD"/>
    <w:rsid w:val="00A25A45"/>
    <w:rsid w:val="00A55517"/>
    <w:rsid w:val="00A74EEF"/>
    <w:rsid w:val="00A76450"/>
    <w:rsid w:val="00AC0E01"/>
    <w:rsid w:val="00AD1C0F"/>
    <w:rsid w:val="00AD7682"/>
    <w:rsid w:val="00AE52BA"/>
    <w:rsid w:val="00B004EF"/>
    <w:rsid w:val="00B00D40"/>
    <w:rsid w:val="00B0266E"/>
    <w:rsid w:val="00B0300E"/>
    <w:rsid w:val="00B06806"/>
    <w:rsid w:val="00B56142"/>
    <w:rsid w:val="00B635D3"/>
    <w:rsid w:val="00B737E4"/>
    <w:rsid w:val="00B80DD8"/>
    <w:rsid w:val="00B8188A"/>
    <w:rsid w:val="00B834CC"/>
    <w:rsid w:val="00B853C2"/>
    <w:rsid w:val="00B85D71"/>
    <w:rsid w:val="00B9510F"/>
    <w:rsid w:val="00B97700"/>
    <w:rsid w:val="00BA1B89"/>
    <w:rsid w:val="00BA3A14"/>
    <w:rsid w:val="00BB3386"/>
    <w:rsid w:val="00BB4580"/>
    <w:rsid w:val="00BC30A6"/>
    <w:rsid w:val="00BC653E"/>
    <w:rsid w:val="00BE64B9"/>
    <w:rsid w:val="00BF0589"/>
    <w:rsid w:val="00C034DD"/>
    <w:rsid w:val="00C171C9"/>
    <w:rsid w:val="00C265F6"/>
    <w:rsid w:val="00C3757A"/>
    <w:rsid w:val="00C64B30"/>
    <w:rsid w:val="00C7064B"/>
    <w:rsid w:val="00CA6FF4"/>
    <w:rsid w:val="00CC2ADB"/>
    <w:rsid w:val="00CC6879"/>
    <w:rsid w:val="00CC71A3"/>
    <w:rsid w:val="00CF4BB3"/>
    <w:rsid w:val="00D31855"/>
    <w:rsid w:val="00D34476"/>
    <w:rsid w:val="00D66E6A"/>
    <w:rsid w:val="00D7394A"/>
    <w:rsid w:val="00D7483E"/>
    <w:rsid w:val="00D903CF"/>
    <w:rsid w:val="00DA7DFC"/>
    <w:rsid w:val="00DB17BE"/>
    <w:rsid w:val="00DC3BF3"/>
    <w:rsid w:val="00DD1F5B"/>
    <w:rsid w:val="00DD3970"/>
    <w:rsid w:val="00DD5881"/>
    <w:rsid w:val="00DE21F3"/>
    <w:rsid w:val="00DF4E07"/>
    <w:rsid w:val="00E02BCC"/>
    <w:rsid w:val="00E14C66"/>
    <w:rsid w:val="00E22E53"/>
    <w:rsid w:val="00E50080"/>
    <w:rsid w:val="00E546BB"/>
    <w:rsid w:val="00E627B6"/>
    <w:rsid w:val="00E62F4B"/>
    <w:rsid w:val="00E93995"/>
    <w:rsid w:val="00EA4034"/>
    <w:rsid w:val="00EA5FB1"/>
    <w:rsid w:val="00EB7A33"/>
    <w:rsid w:val="00EC4F18"/>
    <w:rsid w:val="00ED03B3"/>
    <w:rsid w:val="00EE1295"/>
    <w:rsid w:val="00EE62F2"/>
    <w:rsid w:val="00EE6B2E"/>
    <w:rsid w:val="00F112A5"/>
    <w:rsid w:val="00F25457"/>
    <w:rsid w:val="00F33F06"/>
    <w:rsid w:val="00F44656"/>
    <w:rsid w:val="00F725C6"/>
    <w:rsid w:val="00F77706"/>
    <w:rsid w:val="00F92308"/>
    <w:rsid w:val="00F9249B"/>
    <w:rsid w:val="00FA02F7"/>
    <w:rsid w:val="00FA05DF"/>
    <w:rsid w:val="00FB49D7"/>
    <w:rsid w:val="00FC67E8"/>
    <w:rsid w:val="00FD71C0"/>
    <w:rsid w:val="00FD7F00"/>
    <w:rsid w:val="00FE788D"/>
    <w:rsid w:val="00FF6F0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E1E1C-2F89-41AB-8898-CCFD2DF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E52BA"/>
    <w:pPr>
      <w:widowControl w:val="0"/>
    </w:pPr>
    <w:rPr>
      <w:rFonts w:eastAsia="標楷體"/>
      <w:kern w:val="2"/>
      <w:sz w:val="32"/>
    </w:rPr>
  </w:style>
  <w:style w:type="paragraph" w:styleId="1">
    <w:name w:val="heading 1"/>
    <w:basedOn w:val="a1"/>
    <w:qFormat/>
    <w:rsid w:val="00AE52BA"/>
    <w:pPr>
      <w:numPr>
        <w:numId w:val="1"/>
      </w:numPr>
      <w:kinsoku w:val="0"/>
      <w:jc w:val="both"/>
      <w:outlineLvl w:val="0"/>
    </w:pPr>
    <w:rPr>
      <w:rFonts w:ascii="標楷體" w:hAnsi="Arial"/>
      <w:bCs/>
      <w:kern w:val="0"/>
      <w:szCs w:val="52"/>
    </w:rPr>
  </w:style>
  <w:style w:type="paragraph" w:styleId="2">
    <w:name w:val="heading 2"/>
    <w:basedOn w:val="a1"/>
    <w:link w:val="20"/>
    <w:qFormat/>
    <w:rsid w:val="00AE52BA"/>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AE52BA"/>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AE52BA"/>
    <w:pPr>
      <w:numPr>
        <w:ilvl w:val="3"/>
        <w:numId w:val="1"/>
      </w:numPr>
      <w:jc w:val="both"/>
      <w:outlineLvl w:val="3"/>
    </w:pPr>
    <w:rPr>
      <w:rFonts w:ascii="標楷體" w:hAnsi="Arial"/>
      <w:szCs w:val="36"/>
    </w:rPr>
  </w:style>
  <w:style w:type="paragraph" w:styleId="5">
    <w:name w:val="heading 5"/>
    <w:basedOn w:val="a1"/>
    <w:qFormat/>
    <w:rsid w:val="00AE52BA"/>
    <w:pPr>
      <w:numPr>
        <w:ilvl w:val="4"/>
        <w:numId w:val="1"/>
      </w:numPr>
      <w:kinsoku w:val="0"/>
      <w:jc w:val="both"/>
      <w:outlineLvl w:val="4"/>
    </w:pPr>
    <w:rPr>
      <w:rFonts w:ascii="標楷體" w:hAnsi="Arial"/>
      <w:bCs/>
      <w:szCs w:val="36"/>
    </w:rPr>
  </w:style>
  <w:style w:type="paragraph" w:styleId="6">
    <w:name w:val="heading 6"/>
    <w:basedOn w:val="a1"/>
    <w:qFormat/>
    <w:rsid w:val="00AE52BA"/>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AE52BA"/>
    <w:pPr>
      <w:numPr>
        <w:ilvl w:val="6"/>
        <w:numId w:val="1"/>
      </w:numPr>
      <w:kinsoku w:val="0"/>
      <w:jc w:val="both"/>
      <w:outlineLvl w:val="6"/>
    </w:pPr>
    <w:rPr>
      <w:rFonts w:ascii="標楷體" w:hAnsi="Arial"/>
      <w:bCs/>
      <w:szCs w:val="36"/>
    </w:rPr>
  </w:style>
  <w:style w:type="paragraph" w:styleId="8">
    <w:name w:val="heading 8"/>
    <w:basedOn w:val="a1"/>
    <w:qFormat/>
    <w:rsid w:val="00AE52BA"/>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E52BA"/>
    <w:pPr>
      <w:spacing w:before="720" w:after="720"/>
      <w:ind w:left="7371"/>
    </w:pPr>
    <w:rPr>
      <w:rFonts w:ascii="標楷體"/>
      <w:b/>
      <w:snapToGrid w:val="0"/>
      <w:spacing w:val="10"/>
      <w:sz w:val="36"/>
    </w:rPr>
  </w:style>
  <w:style w:type="paragraph" w:styleId="a6">
    <w:name w:val="endnote text"/>
    <w:basedOn w:val="a1"/>
    <w:semiHidden/>
    <w:rsid w:val="00AE52BA"/>
    <w:pPr>
      <w:spacing w:before="240"/>
      <w:ind w:left="1021" w:hanging="1021"/>
      <w:jc w:val="both"/>
    </w:pPr>
    <w:rPr>
      <w:rFonts w:ascii="標楷體"/>
      <w:snapToGrid w:val="0"/>
      <w:spacing w:val="10"/>
    </w:rPr>
  </w:style>
  <w:style w:type="paragraph" w:styleId="50">
    <w:name w:val="toc 5"/>
    <w:basedOn w:val="a1"/>
    <w:next w:val="a1"/>
    <w:autoRedefine/>
    <w:semiHidden/>
    <w:rsid w:val="00AE52BA"/>
    <w:pPr>
      <w:ind w:leftChars="400" w:left="600" w:rightChars="200" w:right="200" w:hangingChars="200" w:hanging="200"/>
    </w:pPr>
    <w:rPr>
      <w:rFonts w:ascii="標楷體"/>
    </w:rPr>
  </w:style>
  <w:style w:type="character" w:styleId="a7">
    <w:name w:val="page number"/>
    <w:basedOn w:val="a2"/>
    <w:semiHidden/>
    <w:rsid w:val="00AE52BA"/>
    <w:rPr>
      <w:rFonts w:ascii="標楷體" w:eastAsia="標楷體"/>
      <w:sz w:val="20"/>
    </w:rPr>
  </w:style>
  <w:style w:type="paragraph" w:styleId="60">
    <w:name w:val="toc 6"/>
    <w:basedOn w:val="a1"/>
    <w:next w:val="a1"/>
    <w:autoRedefine/>
    <w:semiHidden/>
    <w:rsid w:val="00AE52BA"/>
    <w:pPr>
      <w:ind w:leftChars="500" w:left="500"/>
    </w:pPr>
    <w:rPr>
      <w:rFonts w:ascii="標楷體"/>
    </w:rPr>
  </w:style>
  <w:style w:type="paragraph" w:customStyle="1" w:styleId="10">
    <w:name w:val="段落樣式1"/>
    <w:basedOn w:val="a1"/>
    <w:rsid w:val="00AE52BA"/>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AE52BA"/>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AE52BA"/>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AE52BA"/>
    <w:pPr>
      <w:kinsoku w:val="0"/>
      <w:ind w:leftChars="100" w:left="300" w:rightChars="200" w:right="200" w:hangingChars="200" w:hanging="200"/>
    </w:pPr>
    <w:rPr>
      <w:rFonts w:ascii="標楷體"/>
      <w:noProof/>
    </w:rPr>
  </w:style>
  <w:style w:type="paragraph" w:styleId="31">
    <w:name w:val="toc 3"/>
    <w:basedOn w:val="a1"/>
    <w:next w:val="a1"/>
    <w:autoRedefine/>
    <w:semiHidden/>
    <w:rsid w:val="00AE52BA"/>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AE52BA"/>
    <w:pPr>
      <w:kinsoku w:val="0"/>
      <w:ind w:leftChars="300" w:left="500" w:rightChars="200" w:right="200" w:hangingChars="200" w:hanging="200"/>
      <w:jc w:val="both"/>
    </w:pPr>
    <w:rPr>
      <w:rFonts w:ascii="標楷體"/>
    </w:rPr>
  </w:style>
  <w:style w:type="paragraph" w:styleId="70">
    <w:name w:val="toc 7"/>
    <w:basedOn w:val="a1"/>
    <w:next w:val="a1"/>
    <w:autoRedefine/>
    <w:semiHidden/>
    <w:rsid w:val="00AE52BA"/>
    <w:pPr>
      <w:ind w:leftChars="600" w:left="800" w:hangingChars="200" w:hanging="200"/>
    </w:pPr>
    <w:rPr>
      <w:rFonts w:ascii="標楷體"/>
    </w:rPr>
  </w:style>
  <w:style w:type="paragraph" w:styleId="80">
    <w:name w:val="toc 8"/>
    <w:basedOn w:val="a1"/>
    <w:next w:val="a1"/>
    <w:autoRedefine/>
    <w:semiHidden/>
    <w:rsid w:val="00AE52BA"/>
    <w:pPr>
      <w:ind w:leftChars="700" w:left="900" w:hangingChars="200" w:hanging="200"/>
    </w:pPr>
    <w:rPr>
      <w:rFonts w:ascii="標楷體"/>
    </w:rPr>
  </w:style>
  <w:style w:type="paragraph" w:styleId="9">
    <w:name w:val="toc 9"/>
    <w:basedOn w:val="a1"/>
    <w:next w:val="a1"/>
    <w:autoRedefine/>
    <w:semiHidden/>
    <w:rsid w:val="00AE52BA"/>
    <w:pPr>
      <w:ind w:leftChars="1600" w:left="3840"/>
    </w:pPr>
  </w:style>
  <w:style w:type="paragraph" w:styleId="a8">
    <w:name w:val="header"/>
    <w:basedOn w:val="a1"/>
    <w:semiHidden/>
    <w:rsid w:val="00AE52BA"/>
    <w:pPr>
      <w:tabs>
        <w:tab w:val="center" w:pos="4153"/>
        <w:tab w:val="right" w:pos="8306"/>
      </w:tabs>
      <w:snapToGrid w:val="0"/>
    </w:pPr>
    <w:rPr>
      <w:sz w:val="20"/>
    </w:rPr>
  </w:style>
  <w:style w:type="paragraph" w:customStyle="1" w:styleId="32">
    <w:name w:val="段落樣式3"/>
    <w:basedOn w:val="21"/>
    <w:rsid w:val="00AE52BA"/>
    <w:pPr>
      <w:ind w:leftChars="400" w:left="400"/>
    </w:pPr>
  </w:style>
  <w:style w:type="character" w:styleId="a9">
    <w:name w:val="Hyperlink"/>
    <w:basedOn w:val="a2"/>
    <w:semiHidden/>
    <w:rsid w:val="00AE52BA"/>
    <w:rPr>
      <w:color w:val="0000FF"/>
      <w:u w:val="single"/>
    </w:rPr>
  </w:style>
  <w:style w:type="paragraph" w:customStyle="1" w:styleId="aa">
    <w:name w:val="簽名日期"/>
    <w:basedOn w:val="a1"/>
    <w:rsid w:val="00AE52BA"/>
    <w:pPr>
      <w:kinsoku w:val="0"/>
      <w:jc w:val="distribute"/>
    </w:pPr>
    <w:rPr>
      <w:kern w:val="0"/>
    </w:rPr>
  </w:style>
  <w:style w:type="paragraph" w:customStyle="1" w:styleId="0">
    <w:name w:val="段落樣式0"/>
    <w:basedOn w:val="21"/>
    <w:rsid w:val="00AE52BA"/>
    <w:pPr>
      <w:ind w:leftChars="200" w:left="200" w:firstLineChars="0" w:firstLine="0"/>
    </w:pPr>
  </w:style>
  <w:style w:type="paragraph" w:customStyle="1" w:styleId="ab">
    <w:name w:val="附件"/>
    <w:basedOn w:val="a6"/>
    <w:rsid w:val="00AE52BA"/>
    <w:pPr>
      <w:kinsoku w:val="0"/>
      <w:spacing w:before="0"/>
      <w:ind w:left="1047" w:hangingChars="300" w:hanging="1047"/>
    </w:pPr>
    <w:rPr>
      <w:snapToGrid/>
      <w:spacing w:val="0"/>
      <w:kern w:val="0"/>
    </w:rPr>
  </w:style>
  <w:style w:type="paragraph" w:customStyle="1" w:styleId="42">
    <w:name w:val="段落樣式4"/>
    <w:basedOn w:val="32"/>
    <w:rsid w:val="00AE52BA"/>
    <w:pPr>
      <w:ind w:leftChars="500" w:left="500"/>
    </w:pPr>
  </w:style>
  <w:style w:type="paragraph" w:customStyle="1" w:styleId="51">
    <w:name w:val="段落樣式5"/>
    <w:basedOn w:val="42"/>
    <w:rsid w:val="00AE52BA"/>
    <w:pPr>
      <w:ind w:leftChars="600" w:left="600"/>
    </w:pPr>
  </w:style>
  <w:style w:type="paragraph" w:customStyle="1" w:styleId="61">
    <w:name w:val="段落樣式6"/>
    <w:basedOn w:val="51"/>
    <w:rsid w:val="00AE52BA"/>
    <w:pPr>
      <w:ind w:leftChars="700" w:left="700"/>
    </w:pPr>
  </w:style>
  <w:style w:type="paragraph" w:customStyle="1" w:styleId="71">
    <w:name w:val="段落樣式7"/>
    <w:basedOn w:val="61"/>
    <w:rsid w:val="00AE52BA"/>
  </w:style>
  <w:style w:type="paragraph" w:customStyle="1" w:styleId="81">
    <w:name w:val="段落樣式8"/>
    <w:basedOn w:val="71"/>
    <w:rsid w:val="00AE52BA"/>
    <w:pPr>
      <w:ind w:leftChars="800" w:left="800"/>
    </w:pPr>
  </w:style>
  <w:style w:type="paragraph" w:customStyle="1" w:styleId="a0">
    <w:name w:val="表樣式"/>
    <w:basedOn w:val="a1"/>
    <w:next w:val="a1"/>
    <w:rsid w:val="00AE52BA"/>
    <w:pPr>
      <w:numPr>
        <w:numId w:val="2"/>
      </w:numPr>
      <w:jc w:val="both"/>
    </w:pPr>
    <w:rPr>
      <w:rFonts w:ascii="標楷體"/>
      <w:kern w:val="0"/>
    </w:rPr>
  </w:style>
  <w:style w:type="paragraph" w:styleId="ac">
    <w:name w:val="Body Text Indent"/>
    <w:basedOn w:val="a1"/>
    <w:semiHidden/>
    <w:rsid w:val="00AE52BA"/>
    <w:pPr>
      <w:ind w:left="698" w:hangingChars="200" w:hanging="698"/>
    </w:pPr>
  </w:style>
  <w:style w:type="paragraph" w:customStyle="1" w:styleId="ad">
    <w:name w:val="調查報告"/>
    <w:basedOn w:val="a6"/>
    <w:rsid w:val="00AE52BA"/>
    <w:pPr>
      <w:kinsoku w:val="0"/>
      <w:spacing w:before="0"/>
      <w:ind w:left="1701" w:firstLine="0"/>
    </w:pPr>
    <w:rPr>
      <w:b/>
      <w:snapToGrid/>
      <w:spacing w:val="200"/>
      <w:kern w:val="0"/>
      <w:sz w:val="36"/>
    </w:rPr>
  </w:style>
  <w:style w:type="paragraph" w:customStyle="1" w:styleId="a">
    <w:name w:val="圖樣式"/>
    <w:basedOn w:val="a1"/>
    <w:next w:val="a1"/>
    <w:rsid w:val="00AE52BA"/>
    <w:pPr>
      <w:numPr>
        <w:numId w:val="3"/>
      </w:numPr>
      <w:tabs>
        <w:tab w:val="clear" w:pos="1440"/>
      </w:tabs>
      <w:ind w:left="400" w:hangingChars="400" w:hanging="400"/>
      <w:jc w:val="both"/>
    </w:pPr>
    <w:rPr>
      <w:rFonts w:ascii="標楷體"/>
    </w:rPr>
  </w:style>
  <w:style w:type="paragraph" w:styleId="ae">
    <w:name w:val="footer"/>
    <w:basedOn w:val="a1"/>
    <w:semiHidden/>
    <w:rsid w:val="00AE52BA"/>
    <w:pPr>
      <w:tabs>
        <w:tab w:val="center" w:pos="4153"/>
        <w:tab w:val="right" w:pos="8306"/>
      </w:tabs>
      <w:snapToGrid w:val="0"/>
    </w:pPr>
    <w:rPr>
      <w:sz w:val="20"/>
    </w:rPr>
  </w:style>
  <w:style w:type="paragraph" w:styleId="af">
    <w:name w:val="table of figures"/>
    <w:basedOn w:val="a1"/>
    <w:next w:val="a1"/>
    <w:semiHidden/>
    <w:rsid w:val="00AE52BA"/>
    <w:pPr>
      <w:ind w:left="400" w:hangingChars="400" w:hanging="400"/>
    </w:pPr>
  </w:style>
  <w:style w:type="paragraph" w:styleId="af0">
    <w:name w:val="List Paragraph"/>
    <w:basedOn w:val="a1"/>
    <w:uiPriority w:val="34"/>
    <w:qFormat/>
    <w:rsid w:val="002103A8"/>
    <w:pPr>
      <w:ind w:leftChars="200" w:left="480"/>
    </w:pPr>
    <w:rPr>
      <w:rFonts w:asciiTheme="minorHAnsi" w:eastAsiaTheme="minorEastAsia" w:hAnsiTheme="minorHAnsi" w:cstheme="minorBidi"/>
      <w:sz w:val="24"/>
      <w:szCs w:val="22"/>
    </w:rPr>
  </w:style>
  <w:style w:type="paragraph" w:styleId="af1">
    <w:name w:val="footnote text"/>
    <w:basedOn w:val="a1"/>
    <w:link w:val="af2"/>
    <w:uiPriority w:val="99"/>
    <w:unhideWhenUsed/>
    <w:rsid w:val="00935EC2"/>
    <w:pPr>
      <w:snapToGrid w:val="0"/>
    </w:pPr>
    <w:rPr>
      <w:sz w:val="20"/>
    </w:rPr>
  </w:style>
  <w:style w:type="character" w:customStyle="1" w:styleId="af2">
    <w:name w:val="註腳文字 字元"/>
    <w:basedOn w:val="a2"/>
    <w:link w:val="af1"/>
    <w:uiPriority w:val="99"/>
    <w:rsid w:val="00935EC2"/>
    <w:rPr>
      <w:rFonts w:eastAsia="標楷體"/>
      <w:kern w:val="2"/>
    </w:rPr>
  </w:style>
  <w:style w:type="character" w:styleId="af3">
    <w:name w:val="footnote reference"/>
    <w:basedOn w:val="a2"/>
    <w:uiPriority w:val="99"/>
    <w:semiHidden/>
    <w:unhideWhenUsed/>
    <w:rsid w:val="00935EC2"/>
    <w:rPr>
      <w:vertAlign w:val="superscript"/>
    </w:rPr>
  </w:style>
  <w:style w:type="table" w:styleId="af4">
    <w:name w:val="Table Grid"/>
    <w:basedOn w:val="a3"/>
    <w:uiPriority w:val="59"/>
    <w:rsid w:val="00194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1948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1948BB"/>
    <w:rPr>
      <w:rFonts w:ascii="細明體" w:eastAsia="細明體" w:hAnsi="細明體" w:cs="細明體"/>
      <w:sz w:val="24"/>
      <w:szCs w:val="24"/>
    </w:rPr>
  </w:style>
  <w:style w:type="character" w:customStyle="1" w:styleId="20">
    <w:name w:val="標題 2 字元"/>
    <w:link w:val="2"/>
    <w:rsid w:val="00363B7B"/>
    <w:rPr>
      <w:rFonts w:ascii="標楷體" w:eastAsia="標楷體" w:hAnsi="Arial"/>
      <w:bCs/>
      <w:sz w:val="32"/>
      <w:szCs w:val="48"/>
    </w:rPr>
  </w:style>
  <w:style w:type="character" w:customStyle="1" w:styleId="30">
    <w:name w:val="標題 3 字元"/>
    <w:link w:val="3"/>
    <w:rsid w:val="00363B7B"/>
    <w:rPr>
      <w:rFonts w:ascii="標楷體" w:eastAsia="標楷體" w:hAnsi="Arial"/>
      <w:bCs/>
      <w:sz w:val="32"/>
      <w:szCs w:val="36"/>
    </w:rPr>
  </w:style>
  <w:style w:type="character" w:customStyle="1" w:styleId="40">
    <w:name w:val="標題 4 字元"/>
    <w:link w:val="4"/>
    <w:rsid w:val="00363B7B"/>
    <w:rPr>
      <w:rFonts w:ascii="標楷體" w:eastAsia="標楷體" w:hAnsi="Arial"/>
      <w:kern w:val="2"/>
      <w:sz w:val="32"/>
      <w:szCs w:val="36"/>
    </w:rPr>
  </w:style>
  <w:style w:type="paragraph" w:styleId="af5">
    <w:name w:val="Balloon Text"/>
    <w:basedOn w:val="a1"/>
    <w:link w:val="af6"/>
    <w:uiPriority w:val="99"/>
    <w:semiHidden/>
    <w:unhideWhenUsed/>
    <w:rsid w:val="0077319A"/>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7731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70D8-BF50-4654-859F-EA7A58F7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TotalTime>
  <Pages>28</Pages>
  <Words>2230</Words>
  <Characters>12711</Characters>
  <Application>Microsoft Office Word</Application>
  <DocSecurity>0</DocSecurity>
  <Lines>105</Lines>
  <Paragraphs>29</Paragraphs>
  <ScaleCrop>false</ScaleCrop>
  <Company>cy</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8</cp:revision>
  <cp:lastPrinted>2018-01-10T03:37:00Z</cp:lastPrinted>
  <dcterms:created xsi:type="dcterms:W3CDTF">2018-01-10T07:15:00Z</dcterms:created>
  <dcterms:modified xsi:type="dcterms:W3CDTF">2018-01-11T01:46:00Z</dcterms:modified>
</cp:coreProperties>
</file>