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15" w:rsidRPr="00BB72CE" w:rsidRDefault="00B36D15" w:rsidP="00B36D15">
      <w:pPr>
        <w:pStyle w:val="af7"/>
        <w:rPr>
          <w:rFonts w:hAnsi="標楷體"/>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r w:rsidRPr="00BB72CE">
        <w:rPr>
          <w:rFonts w:hAnsi="標楷體" w:hint="eastAsia"/>
        </w:rPr>
        <w:t>監察院106年度通案性案件調查研究報告</w:t>
      </w:r>
      <w:r w:rsidR="005B6471">
        <w:rPr>
          <w:rFonts w:hAnsi="標楷體" w:hint="eastAsia"/>
        </w:rPr>
        <w:t>(摘要)</w:t>
      </w:r>
    </w:p>
    <w:p w:rsidR="00E25849" w:rsidRPr="00BB72CE" w:rsidRDefault="009D26EF" w:rsidP="003453AE">
      <w:pPr>
        <w:pStyle w:val="1"/>
        <w:ind w:left="1622" w:hanging="1622"/>
        <w:rPr>
          <w:rFonts w:hAnsi="標楷體"/>
        </w:rPr>
      </w:pPr>
      <w:bookmarkStart w:id="23" w:name="_Toc499802867"/>
      <w:r w:rsidRPr="00BB72CE">
        <w:rPr>
          <w:rFonts w:hAnsi="標楷體" w:hint="eastAsia"/>
        </w:rPr>
        <w:t>題目</w:t>
      </w:r>
      <w:bookmarkEnd w:id="0"/>
      <w:bookmarkEnd w:id="1"/>
      <w:bookmarkEnd w:id="2"/>
      <w:bookmarkEnd w:id="3"/>
      <w:bookmarkEnd w:id="4"/>
      <w:bookmarkEnd w:id="5"/>
      <w:bookmarkEnd w:id="6"/>
      <w:bookmarkEnd w:id="7"/>
      <w:bookmarkEnd w:id="8"/>
      <w:r w:rsidR="00E25849" w:rsidRPr="00BB72CE">
        <w:rPr>
          <w:rFonts w:hAnsi="標楷體"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CA38BF" w:rsidRPr="00BB72CE">
        <w:rPr>
          <w:rFonts w:hAnsi="標楷體"/>
        </w:rPr>
        <w:fldChar w:fldCharType="begin"/>
      </w:r>
      <w:r w:rsidR="00CA38BF" w:rsidRPr="00BB72CE">
        <w:rPr>
          <w:rFonts w:hAnsi="標楷體"/>
        </w:rPr>
        <w:instrText xml:space="preserve"> MERGEFIELD </w:instrText>
      </w:r>
      <w:r w:rsidR="00CA38BF" w:rsidRPr="00BB72CE">
        <w:rPr>
          <w:rFonts w:hAnsi="標楷體" w:hint="eastAsia"/>
        </w:rPr>
        <w:instrText>案由</w:instrText>
      </w:r>
      <w:r w:rsidR="00CA38BF" w:rsidRPr="00BB72CE">
        <w:rPr>
          <w:rFonts w:hAnsi="標楷體"/>
        </w:rPr>
        <w:instrText xml:space="preserve"> </w:instrText>
      </w:r>
      <w:r w:rsidR="00CA38BF" w:rsidRPr="00BB72CE">
        <w:rPr>
          <w:rFonts w:hAnsi="標楷體"/>
        </w:rPr>
        <w:fldChar w:fldCharType="separate"/>
      </w:r>
      <w:r w:rsidR="00074F18" w:rsidRPr="00BB72CE">
        <w:rPr>
          <w:rFonts w:hAnsi="標楷體" w:hint="eastAsia"/>
          <w:noProof/>
        </w:rPr>
        <w:t>我國精緻農業發展方向及推動情形</w:t>
      </w:r>
      <w:bookmarkEnd w:id="23"/>
      <w:r w:rsidR="00CA38BF" w:rsidRPr="00BB72CE">
        <w:rPr>
          <w:rFonts w:hAnsi="標楷體"/>
        </w:rPr>
        <w:fldChar w:fldCharType="end"/>
      </w:r>
      <w:bookmarkEnd w:id="22"/>
    </w:p>
    <w:p w:rsidR="003F520B" w:rsidRPr="00BB72CE" w:rsidRDefault="003A4D18" w:rsidP="003453AE">
      <w:pPr>
        <w:pStyle w:val="1"/>
        <w:numPr>
          <w:ilvl w:val="0"/>
          <w:numId w:val="1"/>
        </w:numPr>
        <w:kinsoku w:val="0"/>
        <w:overflowPunct/>
        <w:autoSpaceDE/>
        <w:autoSpaceDN/>
        <w:ind w:left="2381" w:hangingChars="700" w:hanging="2381"/>
        <w:rPr>
          <w:rFonts w:hAnsi="標楷體"/>
        </w:rPr>
      </w:pPr>
      <w:bookmarkStart w:id="24" w:name="_Toc499802981"/>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BB72CE">
        <w:rPr>
          <w:rFonts w:hAnsi="標楷體" w:hint="eastAsia"/>
        </w:rPr>
        <w:t>結論與建議</w:t>
      </w:r>
      <w:bookmarkEnd w:id="24"/>
    </w:p>
    <w:p w:rsidR="00380C38" w:rsidRPr="00BB72CE" w:rsidRDefault="00310C23" w:rsidP="00380C38">
      <w:pPr>
        <w:pStyle w:val="2"/>
        <w:numPr>
          <w:ilvl w:val="1"/>
          <w:numId w:val="1"/>
        </w:numPr>
        <w:rPr>
          <w:rFonts w:hAnsi="標楷體"/>
          <w:b/>
        </w:rPr>
      </w:pPr>
      <w:bookmarkStart w:id="35" w:name="_Toc499802982"/>
      <w:bookmarkStart w:id="36" w:name="_Toc485389814"/>
      <w:bookmarkStart w:id="37" w:name="_Toc485395408"/>
      <w:r w:rsidRPr="00BB72CE">
        <w:rPr>
          <w:rFonts w:hAnsi="標楷體" w:hint="eastAsia"/>
          <w:b/>
          <w:bCs w:val="0"/>
          <w:szCs w:val="32"/>
        </w:rPr>
        <w:t>農委會</w:t>
      </w:r>
      <w:r w:rsidR="001757F4" w:rsidRPr="00BB72CE">
        <w:rPr>
          <w:rFonts w:hAnsi="標楷體" w:hint="eastAsia"/>
          <w:b/>
          <w:bCs w:val="0"/>
          <w:szCs w:val="32"/>
        </w:rPr>
        <w:t>98至101年</w:t>
      </w:r>
      <w:r w:rsidRPr="00BB72CE">
        <w:rPr>
          <w:rFonts w:hAnsi="標楷體" w:hint="eastAsia"/>
          <w:b/>
          <w:bCs w:val="0"/>
          <w:szCs w:val="32"/>
        </w:rPr>
        <w:t>辦理「</w:t>
      </w:r>
      <w:r w:rsidR="00464991" w:rsidRPr="00BB72CE">
        <w:rPr>
          <w:rFonts w:hAnsi="標楷體" w:hint="eastAsia"/>
          <w:b/>
          <w:bCs w:val="0"/>
          <w:szCs w:val="32"/>
        </w:rPr>
        <w:t>精緻農業健康卓越方案</w:t>
      </w:r>
      <w:r w:rsidRPr="00BB72CE">
        <w:rPr>
          <w:rFonts w:hAnsi="標楷體" w:hint="eastAsia"/>
          <w:b/>
          <w:bCs w:val="0"/>
          <w:szCs w:val="32"/>
        </w:rPr>
        <w:t>」</w:t>
      </w:r>
      <w:r w:rsidR="001757F4" w:rsidRPr="00BB72CE">
        <w:rPr>
          <w:rFonts w:hAnsi="標楷體" w:hint="eastAsia"/>
          <w:b/>
          <w:bCs w:val="0"/>
          <w:szCs w:val="32"/>
        </w:rPr>
        <w:t>，</w:t>
      </w:r>
      <w:r w:rsidRPr="00BB72CE">
        <w:rPr>
          <w:rFonts w:hAnsi="標楷體" w:hint="eastAsia"/>
          <w:b/>
          <w:bCs w:val="0"/>
          <w:szCs w:val="32"/>
        </w:rPr>
        <w:t>以健康、卓越及樂活農業為3大主軸，共計投入162億餘元，執行20項相關計畫，惟其中樂活農業投入</w:t>
      </w:r>
      <w:r w:rsidR="00464991" w:rsidRPr="00BB72CE">
        <w:rPr>
          <w:rFonts w:hAnsi="標楷體" w:hint="eastAsia"/>
          <w:b/>
          <w:bCs w:val="0"/>
          <w:szCs w:val="32"/>
        </w:rPr>
        <w:t>金</w:t>
      </w:r>
      <w:r w:rsidRPr="00BB72CE">
        <w:rPr>
          <w:rFonts w:hAnsi="標楷體" w:hint="eastAsia"/>
          <w:b/>
          <w:bCs w:val="0"/>
          <w:szCs w:val="32"/>
        </w:rPr>
        <w:t>額</w:t>
      </w:r>
      <w:r w:rsidRPr="00BB72CE">
        <w:rPr>
          <w:rFonts w:hAnsi="標楷體" w:hint="eastAsia"/>
          <w:b/>
        </w:rPr>
        <w:t>達</w:t>
      </w:r>
      <w:r w:rsidR="001757F4" w:rsidRPr="00BB72CE">
        <w:rPr>
          <w:rFonts w:hAnsi="標楷體" w:hint="eastAsia"/>
          <w:b/>
          <w:bCs w:val="0"/>
          <w:szCs w:val="32"/>
        </w:rPr>
        <w:t>97.35億餘元，占全部經費之</w:t>
      </w:r>
      <w:r w:rsidR="00C52365">
        <w:rPr>
          <w:rFonts w:hAnsi="標楷體" w:hint="eastAsia"/>
          <w:b/>
          <w:bCs w:val="0"/>
          <w:szCs w:val="32"/>
        </w:rPr>
        <w:t>6</w:t>
      </w:r>
      <w:r w:rsidR="001757F4" w:rsidRPr="00BB72CE">
        <w:rPr>
          <w:rFonts w:hAnsi="標楷體" w:hint="eastAsia"/>
          <w:b/>
          <w:bCs w:val="0"/>
          <w:szCs w:val="32"/>
        </w:rPr>
        <w:t>成左右，然所創造產值僅占全部產值之</w:t>
      </w:r>
      <w:r w:rsidR="00C52365">
        <w:rPr>
          <w:rFonts w:hAnsi="標楷體" w:hint="eastAsia"/>
          <w:b/>
          <w:bCs w:val="0"/>
          <w:szCs w:val="32"/>
        </w:rPr>
        <w:t>2</w:t>
      </w:r>
      <w:r w:rsidR="001757F4" w:rsidRPr="00BB72CE">
        <w:rPr>
          <w:rFonts w:hAnsi="標楷體" w:hint="eastAsia"/>
          <w:b/>
          <w:bCs w:val="0"/>
          <w:szCs w:val="32"/>
        </w:rPr>
        <w:t>成左右，</w:t>
      </w:r>
      <w:r w:rsidR="00464991" w:rsidRPr="00BB72CE">
        <w:rPr>
          <w:rFonts w:hAnsi="標楷體" w:hint="eastAsia"/>
          <w:b/>
          <w:bCs w:val="0"/>
          <w:szCs w:val="32"/>
        </w:rPr>
        <w:t>即</w:t>
      </w:r>
      <w:r w:rsidR="00B56B6E" w:rsidRPr="00BB72CE">
        <w:rPr>
          <w:rFonts w:hAnsi="標楷體" w:hint="eastAsia"/>
          <w:b/>
          <w:bCs w:val="0"/>
          <w:szCs w:val="32"/>
        </w:rPr>
        <w:t>投入經費最高，但產值最少，本</w:t>
      </w:r>
      <w:r w:rsidR="00464991" w:rsidRPr="00BB72CE">
        <w:rPr>
          <w:rFonts w:hAnsi="標楷體" w:hint="eastAsia"/>
          <w:b/>
          <w:bCs w:val="0"/>
          <w:szCs w:val="32"/>
        </w:rPr>
        <w:t>案</w:t>
      </w:r>
      <w:r w:rsidR="00F16DAC" w:rsidRPr="00BB72CE">
        <w:rPr>
          <w:rFonts w:hAnsi="標楷體" w:hint="eastAsia"/>
          <w:b/>
          <w:bCs w:val="0"/>
          <w:szCs w:val="32"/>
        </w:rPr>
        <w:t>經實地</w:t>
      </w:r>
      <w:r w:rsidR="00B56B6E" w:rsidRPr="00BB72CE">
        <w:rPr>
          <w:rFonts w:hAnsi="標楷體" w:hint="eastAsia"/>
          <w:b/>
          <w:bCs w:val="0"/>
          <w:szCs w:val="32"/>
        </w:rPr>
        <w:t>履勘確實發現</w:t>
      </w:r>
      <w:r w:rsidR="001757F4" w:rsidRPr="00BB72CE">
        <w:rPr>
          <w:rFonts w:hAnsi="標楷體" w:hint="eastAsia"/>
          <w:b/>
          <w:bCs w:val="0"/>
          <w:szCs w:val="32"/>
        </w:rPr>
        <w:t>樂活農業相關產業經營有其困境及難</w:t>
      </w:r>
      <w:r w:rsidR="00F16DAC" w:rsidRPr="00BB72CE">
        <w:rPr>
          <w:rFonts w:hAnsi="標楷體" w:hint="eastAsia"/>
          <w:b/>
          <w:bCs w:val="0"/>
          <w:szCs w:val="32"/>
        </w:rPr>
        <w:t>以</w:t>
      </w:r>
      <w:r w:rsidR="001757F4" w:rsidRPr="00BB72CE">
        <w:rPr>
          <w:rFonts w:hAnsi="標楷體" w:hint="eastAsia"/>
          <w:b/>
          <w:bCs w:val="0"/>
          <w:szCs w:val="32"/>
        </w:rPr>
        <w:t>創造產值之情況，</w:t>
      </w:r>
      <w:r w:rsidR="00F16DAC" w:rsidRPr="00BB72CE">
        <w:rPr>
          <w:rFonts w:hAnsi="標楷體" w:hint="eastAsia"/>
          <w:b/>
          <w:bCs w:val="0"/>
          <w:szCs w:val="32"/>
        </w:rPr>
        <w:t>農委</w:t>
      </w:r>
      <w:r w:rsidR="001757F4" w:rsidRPr="00BB72CE">
        <w:rPr>
          <w:rFonts w:hAnsi="標楷體" w:hint="eastAsia"/>
          <w:b/>
          <w:bCs w:val="0"/>
          <w:szCs w:val="32"/>
        </w:rPr>
        <w:t>會宜</w:t>
      </w:r>
      <w:r w:rsidR="00F16DAC" w:rsidRPr="00BB72CE">
        <w:rPr>
          <w:rFonts w:hAnsi="標楷體" w:hint="eastAsia"/>
          <w:b/>
          <w:bCs w:val="0"/>
          <w:szCs w:val="32"/>
        </w:rPr>
        <w:t>考量</w:t>
      </w:r>
      <w:r w:rsidR="001757F4" w:rsidRPr="00BB72CE">
        <w:rPr>
          <w:rFonts w:hAnsi="標楷體" w:hint="eastAsia"/>
          <w:b/>
          <w:bCs w:val="0"/>
          <w:szCs w:val="32"/>
        </w:rPr>
        <w:t>將此經驗納入後續推動「新農業創新推動方案」及其他樂活農業相關計畫參考，協助</w:t>
      </w:r>
      <w:r w:rsidR="00F16DAC" w:rsidRPr="00BB72CE">
        <w:rPr>
          <w:rFonts w:hAnsi="標楷體" w:hint="eastAsia"/>
          <w:b/>
          <w:bCs w:val="0"/>
          <w:szCs w:val="32"/>
        </w:rPr>
        <w:t>該些產業</w:t>
      </w:r>
      <w:r w:rsidR="001757F4" w:rsidRPr="00BB72CE">
        <w:rPr>
          <w:rFonts w:hAnsi="標楷體" w:hint="eastAsia"/>
          <w:b/>
          <w:bCs w:val="0"/>
          <w:szCs w:val="32"/>
        </w:rPr>
        <w:t>突破</w:t>
      </w:r>
      <w:r w:rsidR="00B56B6E" w:rsidRPr="00BB72CE">
        <w:rPr>
          <w:rFonts w:hAnsi="標楷體" w:hint="eastAsia"/>
          <w:b/>
          <w:bCs w:val="0"/>
          <w:szCs w:val="32"/>
        </w:rPr>
        <w:t>困境</w:t>
      </w:r>
      <w:r w:rsidR="001757F4" w:rsidRPr="00BB72CE">
        <w:rPr>
          <w:rFonts w:hAnsi="標楷體" w:hint="eastAsia"/>
          <w:b/>
          <w:bCs w:val="0"/>
          <w:szCs w:val="32"/>
        </w:rPr>
        <w:t>並開創產值，</w:t>
      </w:r>
      <w:r w:rsidR="00B56B6E" w:rsidRPr="00BB72CE">
        <w:rPr>
          <w:rFonts w:hAnsi="標楷體" w:hint="eastAsia"/>
          <w:b/>
          <w:bCs w:val="0"/>
          <w:szCs w:val="32"/>
        </w:rPr>
        <w:t>避免</w:t>
      </w:r>
      <w:r w:rsidR="00F16DAC" w:rsidRPr="00BB72CE">
        <w:rPr>
          <w:rFonts w:hAnsi="標楷體" w:hint="eastAsia"/>
          <w:b/>
          <w:bCs w:val="0"/>
          <w:szCs w:val="32"/>
        </w:rPr>
        <w:t>已投入之經費，</w:t>
      </w:r>
      <w:r w:rsidR="00B56B6E" w:rsidRPr="00BB72CE">
        <w:rPr>
          <w:rFonts w:hAnsi="標楷體" w:hint="eastAsia"/>
          <w:b/>
          <w:bCs w:val="0"/>
          <w:szCs w:val="32"/>
        </w:rPr>
        <w:t>只見曇花一現之短暫成效，</w:t>
      </w:r>
      <w:r w:rsidR="00F16DAC" w:rsidRPr="00BB72CE">
        <w:rPr>
          <w:rFonts w:hAnsi="標楷體" w:hint="eastAsia"/>
          <w:b/>
          <w:bCs w:val="0"/>
          <w:szCs w:val="32"/>
        </w:rPr>
        <w:t>以輔導</w:t>
      </w:r>
      <w:r w:rsidR="00B56B6E" w:rsidRPr="00BB72CE">
        <w:rPr>
          <w:rFonts w:hAnsi="標楷體" w:hint="eastAsia"/>
          <w:b/>
          <w:bCs w:val="0"/>
          <w:szCs w:val="32"/>
        </w:rPr>
        <w:t>其</w:t>
      </w:r>
      <w:r w:rsidR="001757F4" w:rsidRPr="00BB72CE">
        <w:rPr>
          <w:rFonts w:hAnsi="標楷體" w:hint="eastAsia"/>
          <w:b/>
          <w:bCs w:val="0"/>
          <w:szCs w:val="32"/>
        </w:rPr>
        <w:t>得自力更生及</w:t>
      </w:r>
      <w:r w:rsidR="001757F4" w:rsidRPr="00BB72CE">
        <w:rPr>
          <w:rFonts w:hAnsi="標楷體" w:hint="eastAsia"/>
          <w:b/>
        </w:rPr>
        <w:t>永續發展</w:t>
      </w:r>
      <w:r w:rsidR="00B56B6E" w:rsidRPr="00BB72CE">
        <w:rPr>
          <w:rFonts w:hAnsi="標楷體" w:hint="eastAsia"/>
          <w:b/>
        </w:rPr>
        <w:t>為目標。</w:t>
      </w:r>
      <w:bookmarkEnd w:id="35"/>
    </w:p>
    <w:p w:rsidR="0038097F" w:rsidRPr="00BB72CE" w:rsidRDefault="00380C38" w:rsidP="0038097F">
      <w:pPr>
        <w:pStyle w:val="3"/>
        <w:rPr>
          <w:rFonts w:hAnsi="標楷體"/>
        </w:rPr>
      </w:pPr>
      <w:bookmarkStart w:id="38" w:name="_Toc499139398"/>
      <w:bookmarkStart w:id="39" w:name="_Toc499802983"/>
      <w:r w:rsidRPr="00BB72CE">
        <w:rPr>
          <w:rFonts w:hAnsi="標楷體" w:hint="eastAsia"/>
        </w:rPr>
        <w:t>農委會</w:t>
      </w:r>
      <w:r w:rsidR="00BD1A5F" w:rsidRPr="00BB72CE">
        <w:rPr>
          <w:rFonts w:hAnsi="標楷體" w:hint="eastAsia"/>
        </w:rPr>
        <w:t>為因應全球化及國際經貿自由化，確保農業永續發展，基於健康、效率、永續經營的施政理念，提出「精緻農業方案」，該方案於98年5月7日經行政院院會通過，是行政院推出生技、觀光、綠能、醫療照護、精緻農業及文創等</w:t>
      </w:r>
      <w:r w:rsidR="00EC7F6D" w:rsidRPr="00BB72CE">
        <w:rPr>
          <w:rFonts w:hAnsi="標楷體" w:hint="eastAsia"/>
        </w:rPr>
        <w:t>6</w:t>
      </w:r>
      <w:r w:rsidR="00BD1A5F" w:rsidRPr="00BB72CE">
        <w:rPr>
          <w:rFonts w:hAnsi="標楷體" w:hint="eastAsia"/>
        </w:rPr>
        <w:t>大新興產業之一</w:t>
      </w:r>
      <w:r w:rsidR="0038097F" w:rsidRPr="00BB72CE">
        <w:rPr>
          <w:rFonts w:hAnsi="標楷體" w:hint="eastAsia"/>
        </w:rPr>
        <w:t>。該方案3大主軸及願景如下：</w:t>
      </w:r>
      <w:bookmarkEnd w:id="38"/>
      <w:bookmarkEnd w:id="39"/>
    </w:p>
    <w:p w:rsidR="0038097F" w:rsidRPr="00BB72CE" w:rsidRDefault="0038097F" w:rsidP="0038097F">
      <w:pPr>
        <w:pStyle w:val="4"/>
        <w:rPr>
          <w:rFonts w:hAnsi="標楷體"/>
        </w:rPr>
      </w:pPr>
      <w:r w:rsidRPr="00BB72CE">
        <w:rPr>
          <w:rFonts w:hAnsi="標楷體" w:hint="eastAsia"/>
        </w:rPr>
        <w:t>健康農業－深化安全驗證，打造健康無毒島</w:t>
      </w:r>
    </w:p>
    <w:p w:rsidR="0038097F" w:rsidRPr="00BB72CE" w:rsidRDefault="0038097F" w:rsidP="0038097F">
      <w:pPr>
        <w:pStyle w:val="5"/>
        <w:numPr>
          <w:ilvl w:val="0"/>
          <w:numId w:val="0"/>
        </w:numPr>
        <w:ind w:leftChars="500" w:left="1701"/>
        <w:rPr>
          <w:rFonts w:hAnsi="標楷體"/>
        </w:rPr>
      </w:pPr>
      <w:r w:rsidRPr="00BB72CE">
        <w:rPr>
          <w:rFonts w:hAnsi="標楷體" w:hint="eastAsia"/>
        </w:rPr>
        <w:t xml:space="preserve">　　健康農業推動作物健康管理模式，建立農產品安全無縫管理體系，透過多元的農產品認驗證制度，讓農民能依其發展需求與產品通路做最適選擇，以擴大推展安全驗證，並循序漸進與國際接軌。輔導農民由吉園圃</w:t>
      </w:r>
      <w:r w:rsidR="00464991" w:rsidRPr="00BB72CE">
        <w:rPr>
          <w:rFonts w:hAnsi="標楷體" w:hint="eastAsia"/>
        </w:rPr>
        <w:t>安全蔬果</w:t>
      </w:r>
      <w:r w:rsidRPr="00BB72CE">
        <w:rPr>
          <w:rFonts w:hAnsi="標楷體" w:hint="eastAsia"/>
        </w:rPr>
        <w:t>、產銷履歷</w:t>
      </w:r>
      <w:r w:rsidR="00BB1A2A" w:rsidRPr="00BB72CE">
        <w:rPr>
          <w:rFonts w:hAnsi="標楷體" w:hint="eastAsia"/>
        </w:rPr>
        <w:t>農產品</w:t>
      </w:r>
      <w:r w:rsidR="00EC7F6D" w:rsidRPr="00BB72CE">
        <w:rPr>
          <w:rFonts w:hAnsi="標楷體" w:hint="eastAsia"/>
        </w:rPr>
        <w:t>(TAP)</w:t>
      </w:r>
      <w:r w:rsidRPr="00BB72CE">
        <w:rPr>
          <w:rFonts w:hAnsi="標楷體" w:hint="eastAsia"/>
        </w:rPr>
        <w:t>、有機</w:t>
      </w:r>
      <w:r w:rsidR="00BB1A2A" w:rsidRPr="00BB72CE">
        <w:rPr>
          <w:rFonts w:hAnsi="標楷體" w:hint="eastAsia"/>
        </w:rPr>
        <w:t>農產品</w:t>
      </w:r>
      <w:r w:rsidRPr="00BB72CE">
        <w:rPr>
          <w:rFonts w:hAnsi="標楷體" w:hint="eastAsia"/>
        </w:rPr>
        <w:t>及</w:t>
      </w:r>
      <w:r w:rsidR="00464991" w:rsidRPr="00BB72CE">
        <w:rPr>
          <w:rFonts w:hAnsi="標楷體" w:hint="eastAsia"/>
        </w:rPr>
        <w:t>台</w:t>
      </w:r>
      <w:r w:rsidRPr="00BB72CE">
        <w:rPr>
          <w:rFonts w:hAnsi="標楷體"/>
        </w:rPr>
        <w:t>灣優良農產品標章</w:t>
      </w:r>
      <w:r w:rsidR="00EC7F6D" w:rsidRPr="00BB72CE">
        <w:rPr>
          <w:rFonts w:hAnsi="標楷體" w:hint="eastAsia"/>
        </w:rPr>
        <w:t>(CAS)</w:t>
      </w:r>
      <w:r w:rsidRPr="00BB72CE">
        <w:rPr>
          <w:rFonts w:hAnsi="標楷體" w:hint="eastAsia"/>
        </w:rPr>
        <w:t>之優良農產品，建立農產品安全無縫管理體系，逐步邁向無毒農業島的理想。</w:t>
      </w:r>
    </w:p>
    <w:p w:rsidR="0038097F" w:rsidRPr="00BB72CE" w:rsidRDefault="0038097F" w:rsidP="0038097F">
      <w:pPr>
        <w:pStyle w:val="4"/>
        <w:rPr>
          <w:rFonts w:hAnsi="標楷體"/>
        </w:rPr>
      </w:pPr>
      <w:r w:rsidRPr="00BB72CE">
        <w:rPr>
          <w:rFonts w:hAnsi="標楷體" w:hint="eastAsia"/>
        </w:rPr>
        <w:lastRenderedPageBreak/>
        <w:t>卓越農業－領先科技研發，打造卓越農科島</w:t>
      </w:r>
    </w:p>
    <w:p w:rsidR="0038097F" w:rsidRPr="00BB72CE" w:rsidRDefault="0038097F" w:rsidP="0038097F">
      <w:pPr>
        <w:pStyle w:val="5"/>
        <w:numPr>
          <w:ilvl w:val="0"/>
          <w:numId w:val="0"/>
        </w:numPr>
        <w:ind w:leftChars="500" w:left="1701"/>
        <w:rPr>
          <w:rFonts w:hAnsi="標楷體"/>
        </w:rPr>
      </w:pPr>
      <w:r w:rsidRPr="00BB72CE">
        <w:rPr>
          <w:rFonts w:hAnsi="標楷體" w:hint="eastAsia"/>
        </w:rPr>
        <w:t xml:space="preserve">　　臺灣農業技術水準卓越，卓越農業利用臺灣農業科技研發優勢，結合優越地理條件，建立植物品種智財權保護制度，發展蘭花、農業生物技術、觀賞魚、石斑魚、植物種苗及種禽畜等6大重點產業，打造卓越農科島的理想。</w:t>
      </w:r>
    </w:p>
    <w:p w:rsidR="0038097F" w:rsidRPr="00BB72CE" w:rsidRDefault="0038097F" w:rsidP="0038097F">
      <w:pPr>
        <w:pStyle w:val="4"/>
        <w:rPr>
          <w:rFonts w:hAnsi="標楷體"/>
        </w:rPr>
      </w:pPr>
      <w:r w:rsidRPr="00BB72CE">
        <w:rPr>
          <w:rFonts w:hAnsi="標楷體" w:hint="eastAsia"/>
        </w:rPr>
        <w:t>樂活農業－重塑農村風情，打造樂活休閒島</w:t>
      </w:r>
    </w:p>
    <w:p w:rsidR="0038097F" w:rsidRPr="00BB72CE" w:rsidRDefault="0038097F" w:rsidP="0038097F">
      <w:pPr>
        <w:pStyle w:val="5"/>
        <w:numPr>
          <w:ilvl w:val="0"/>
          <w:numId w:val="0"/>
        </w:numPr>
        <w:ind w:leftChars="500" w:left="1701"/>
        <w:rPr>
          <w:rFonts w:hAnsi="標楷體"/>
        </w:rPr>
      </w:pPr>
      <w:r w:rsidRPr="00BB72CE">
        <w:rPr>
          <w:rFonts w:hAnsi="標楷體" w:hint="eastAsia"/>
        </w:rPr>
        <w:t xml:space="preserve">　　樂活農業</w:t>
      </w:r>
      <w:r w:rsidR="00EC7F6D" w:rsidRPr="00BB72CE">
        <w:rPr>
          <w:rFonts w:hAnsi="標楷體" w:hint="eastAsia"/>
        </w:rPr>
        <w:t>包含</w:t>
      </w:r>
      <w:r w:rsidRPr="00BB72CE">
        <w:rPr>
          <w:rFonts w:hAnsi="標楷體" w:hint="eastAsia"/>
        </w:rPr>
        <w:t>農業深度旅遊及農業精品。農業深度旅遊</w:t>
      </w:r>
      <w:r w:rsidR="00EC7F6D" w:rsidRPr="00BB72CE">
        <w:rPr>
          <w:rFonts w:hAnsi="標楷體" w:hint="eastAsia"/>
        </w:rPr>
        <w:t>則涵括</w:t>
      </w:r>
      <w:r w:rsidRPr="00BB72CE">
        <w:rPr>
          <w:rFonts w:hAnsi="標楷體" w:hint="eastAsia"/>
        </w:rPr>
        <w:t>森林生態旅遊、休閒產業與農村旅遊、海岸漁業旅遊。農業精品透過設計、調製、包裝</w:t>
      </w:r>
      <w:r w:rsidR="00EC7F6D" w:rsidRPr="00BB72CE">
        <w:rPr>
          <w:rFonts w:hAnsi="標楷體" w:hint="eastAsia"/>
        </w:rPr>
        <w:t>及</w:t>
      </w:r>
      <w:r w:rsidRPr="00BB72CE">
        <w:rPr>
          <w:rFonts w:hAnsi="標楷體" w:hint="eastAsia"/>
        </w:rPr>
        <w:t>行銷</w:t>
      </w:r>
      <w:r w:rsidR="00EC7F6D" w:rsidRPr="00BB72CE">
        <w:rPr>
          <w:rFonts w:hAnsi="標楷體" w:hint="eastAsia"/>
        </w:rPr>
        <w:t>等</w:t>
      </w:r>
      <w:r w:rsidRPr="00BB72CE">
        <w:rPr>
          <w:rFonts w:hAnsi="標楷體" w:hint="eastAsia"/>
        </w:rPr>
        <w:t>，塑造農產品具機能性、高附加價值、友善環境等精品形象，推動臺灣名茶、農村美酒、經典好米、竹製精品、金鑽水產及優質畜產等6項，重塑農村風情，打造樂活休閒島。</w:t>
      </w:r>
    </w:p>
    <w:p w:rsidR="00A5733F" w:rsidRPr="00BB72CE" w:rsidRDefault="00377505" w:rsidP="00377505">
      <w:pPr>
        <w:pStyle w:val="3"/>
        <w:rPr>
          <w:rFonts w:hAnsi="標楷體"/>
        </w:rPr>
      </w:pPr>
      <w:bookmarkStart w:id="40" w:name="_Toc499139399"/>
      <w:bookmarkStart w:id="41" w:name="_Toc499802984"/>
      <w:r w:rsidRPr="00BB72CE">
        <w:rPr>
          <w:rFonts w:hAnsi="標楷體" w:hint="eastAsia"/>
        </w:rPr>
        <w:t>據農委會資料</w:t>
      </w:r>
      <w:r w:rsidR="005A5F0B" w:rsidRPr="00BB72CE">
        <w:rPr>
          <w:rStyle w:val="aff5"/>
          <w:rFonts w:hAnsi="標楷體"/>
        </w:rPr>
        <w:footnoteReference w:id="1"/>
      </w:r>
      <w:r w:rsidRPr="00BB72CE">
        <w:rPr>
          <w:rFonts w:hAnsi="標楷體" w:hint="eastAsia"/>
        </w:rPr>
        <w:t>，</w:t>
      </w:r>
      <w:r w:rsidR="005A5F0B" w:rsidRPr="00BB72CE">
        <w:rPr>
          <w:rFonts w:hAnsi="標楷體" w:hint="eastAsia"/>
        </w:rPr>
        <w:t>98</w:t>
      </w:r>
      <w:r w:rsidR="004B428B" w:rsidRPr="00BB72CE">
        <w:rPr>
          <w:rFonts w:hAnsi="標楷體" w:hint="eastAsia"/>
        </w:rPr>
        <w:t>至</w:t>
      </w:r>
      <w:r w:rsidR="005A5F0B" w:rsidRPr="00BB72CE">
        <w:rPr>
          <w:rFonts w:hAnsi="標楷體" w:hint="eastAsia"/>
        </w:rPr>
        <w:t>101年</w:t>
      </w:r>
      <w:r w:rsidRPr="00BB72CE">
        <w:rPr>
          <w:rFonts w:hAnsi="標楷體" w:hint="eastAsia"/>
        </w:rPr>
        <w:t>「精緻農業方案」</w:t>
      </w:r>
      <w:r w:rsidR="00A5733F" w:rsidRPr="00BB72CE">
        <w:rPr>
          <w:rFonts w:hAnsi="標楷體" w:hint="eastAsia"/>
        </w:rPr>
        <w:t>決</w:t>
      </w:r>
      <w:r w:rsidR="00A5733F" w:rsidRPr="00BB72CE">
        <w:rPr>
          <w:rFonts w:hAnsi="標楷體" w:hint="eastAsia"/>
          <w:bCs w:val="0"/>
          <w:szCs w:val="32"/>
        </w:rPr>
        <w:t>算數分別為</w:t>
      </w:r>
      <w:r w:rsidR="00787ABE" w:rsidRPr="00BB72CE">
        <w:rPr>
          <w:rFonts w:hAnsi="標楷體" w:hint="eastAsia"/>
        </w:rPr>
        <w:t>新臺幣</w:t>
      </w:r>
      <w:r w:rsidR="00F311CE" w:rsidRPr="00BB72CE">
        <w:rPr>
          <w:rFonts w:hAnsi="標楷體" w:hint="eastAsia"/>
        </w:rPr>
        <w:t>（</w:t>
      </w:r>
      <w:r w:rsidR="00787ABE" w:rsidRPr="00BB72CE">
        <w:rPr>
          <w:rFonts w:hAnsi="標楷體" w:hint="eastAsia"/>
        </w:rPr>
        <w:t>下同</w:t>
      </w:r>
      <w:r w:rsidR="00F311CE" w:rsidRPr="00BB72CE">
        <w:rPr>
          <w:rFonts w:hAnsi="標楷體" w:hint="eastAsia"/>
        </w:rPr>
        <w:t>）</w:t>
      </w:r>
      <w:r w:rsidR="00A5733F" w:rsidRPr="00BB72CE">
        <w:rPr>
          <w:rFonts w:hAnsi="標楷體" w:hint="eastAsia"/>
          <w:bCs w:val="0"/>
          <w:szCs w:val="32"/>
        </w:rPr>
        <w:t>2,842,295、3,868,338、5,394,363及4,148,957千元，4年合計16,253,953千元</w:t>
      </w:r>
      <w:r w:rsidR="0027505A" w:rsidRPr="00BB72CE">
        <w:rPr>
          <w:rFonts w:hAnsi="標楷體" w:hint="eastAsia"/>
          <w:bCs w:val="0"/>
          <w:szCs w:val="32"/>
        </w:rPr>
        <w:t>，其中以樂活農業投入經費最高達</w:t>
      </w:r>
      <w:r w:rsidR="00787ABE" w:rsidRPr="00BB72CE">
        <w:rPr>
          <w:rFonts w:hAnsi="標楷體"/>
          <w:bCs w:val="0"/>
          <w:szCs w:val="32"/>
        </w:rPr>
        <w:t>9,735,363</w:t>
      </w:r>
      <w:r w:rsidR="00787ABE" w:rsidRPr="00BB72CE">
        <w:rPr>
          <w:rFonts w:hAnsi="標楷體" w:hint="eastAsia"/>
          <w:bCs w:val="0"/>
          <w:szCs w:val="32"/>
        </w:rPr>
        <w:t>千元，占全部經費之六成左右</w:t>
      </w:r>
      <w:r w:rsidR="00F311CE" w:rsidRPr="00BB72CE">
        <w:rPr>
          <w:rFonts w:hAnsi="標楷體" w:hint="eastAsia"/>
          <w:bCs w:val="0"/>
          <w:szCs w:val="32"/>
        </w:rPr>
        <w:t>（</w:t>
      </w:r>
      <w:r w:rsidR="00A5733F" w:rsidRPr="00BB72CE">
        <w:rPr>
          <w:rFonts w:hAnsi="標楷體" w:hint="eastAsia"/>
          <w:bCs w:val="0"/>
          <w:szCs w:val="32"/>
        </w:rPr>
        <w:t>詳如下表</w:t>
      </w:r>
      <w:r w:rsidR="0006090B" w:rsidRPr="00BB72CE">
        <w:rPr>
          <w:rFonts w:hAnsi="標楷體" w:hint="eastAsia"/>
          <w:bCs w:val="0"/>
          <w:szCs w:val="32"/>
        </w:rPr>
        <w:t>1</w:t>
      </w:r>
      <w:r w:rsidR="00CC2B9C" w:rsidRPr="00BB72CE">
        <w:rPr>
          <w:rFonts w:hAnsi="標楷體" w:hint="eastAsia"/>
          <w:bCs w:val="0"/>
          <w:szCs w:val="32"/>
        </w:rPr>
        <w:t>7</w:t>
      </w:r>
      <w:r w:rsidR="00F311CE" w:rsidRPr="00BB72CE">
        <w:rPr>
          <w:rFonts w:hAnsi="標楷體" w:hint="eastAsia"/>
          <w:bCs w:val="0"/>
          <w:szCs w:val="32"/>
        </w:rPr>
        <w:t>）</w:t>
      </w:r>
      <w:r w:rsidR="00A5733F" w:rsidRPr="00BB72CE">
        <w:rPr>
          <w:rFonts w:hAnsi="標楷體" w:hint="eastAsia"/>
          <w:bCs w:val="0"/>
          <w:szCs w:val="32"/>
        </w:rPr>
        <w:t>。</w:t>
      </w:r>
      <w:bookmarkEnd w:id="40"/>
      <w:bookmarkEnd w:id="41"/>
    </w:p>
    <w:p w:rsidR="00253DF5" w:rsidRPr="00BB72CE" w:rsidRDefault="00787ABE" w:rsidP="00253DF5">
      <w:pPr>
        <w:pStyle w:val="a4"/>
        <w:jc w:val="center"/>
        <w:rPr>
          <w:rFonts w:hAnsi="標楷體"/>
          <w:sz w:val="24"/>
          <w:szCs w:val="24"/>
        </w:rPr>
      </w:pPr>
      <w:bookmarkStart w:id="42" w:name="_Toc499803985"/>
      <w:r w:rsidRPr="00BB72CE">
        <w:rPr>
          <w:rFonts w:hAnsi="標楷體" w:hint="eastAsia"/>
        </w:rPr>
        <w:t>98至101年度精緻農業方案各計畫之決算數</w:t>
      </w:r>
      <w:r w:rsidR="00F311CE" w:rsidRPr="00BB72CE">
        <w:rPr>
          <w:rFonts w:hAnsi="標楷體" w:hint="eastAsia"/>
        </w:rPr>
        <w:t>（</w:t>
      </w:r>
      <w:r w:rsidR="00253DF5" w:rsidRPr="00BB72CE">
        <w:rPr>
          <w:rFonts w:hAnsi="標楷體" w:hint="eastAsia"/>
          <w:sz w:val="24"/>
          <w:szCs w:val="24"/>
        </w:rPr>
        <w:t>單位：千元</w:t>
      </w:r>
      <w:r w:rsidR="00F311CE" w:rsidRPr="00BB72CE">
        <w:rPr>
          <w:rFonts w:hAnsi="標楷體" w:hint="eastAsia"/>
          <w:sz w:val="24"/>
          <w:szCs w:val="24"/>
        </w:rPr>
        <w:t>）</w:t>
      </w:r>
      <w:bookmarkEnd w:id="42"/>
    </w:p>
    <w:tbl>
      <w:tblPr>
        <w:tblW w:w="9214" w:type="dxa"/>
        <w:tblInd w:w="170" w:type="dxa"/>
        <w:tblLayout w:type="fixed"/>
        <w:tblCellMar>
          <w:left w:w="28" w:type="dxa"/>
          <w:right w:w="28" w:type="dxa"/>
        </w:tblCellMar>
        <w:tblLook w:val="04A0" w:firstRow="1" w:lastRow="0" w:firstColumn="1" w:lastColumn="0" w:noHBand="0" w:noVBand="1"/>
      </w:tblPr>
      <w:tblGrid>
        <w:gridCol w:w="1844"/>
        <w:gridCol w:w="1453"/>
        <w:gridCol w:w="1453"/>
        <w:gridCol w:w="1453"/>
        <w:gridCol w:w="1453"/>
        <w:gridCol w:w="1558"/>
      </w:tblGrid>
      <w:tr w:rsidR="004B428B" w:rsidRPr="00BB72CE" w:rsidTr="004B428B">
        <w:trPr>
          <w:trHeight w:val="459"/>
        </w:trPr>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428B" w:rsidRPr="00BB72CE" w:rsidRDefault="00787ABE" w:rsidP="004B428B">
            <w:pPr>
              <w:pStyle w:val="14"/>
            </w:pPr>
            <w:r w:rsidRPr="00BB72CE">
              <w:rPr>
                <w:rFonts w:hint="eastAsia"/>
              </w:rPr>
              <w:t>主要推動計畫</w:t>
            </w:r>
          </w:p>
          <w:p w:rsidR="00787ABE" w:rsidRPr="00BB72CE" w:rsidRDefault="00787ABE" w:rsidP="004B428B">
            <w:pPr>
              <w:pStyle w:val="14"/>
              <w:jc w:val="center"/>
            </w:pPr>
            <w:r w:rsidRPr="00BB72CE">
              <w:rPr>
                <w:rFonts w:hint="eastAsia"/>
              </w:rPr>
              <w:t>類別</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787ABE" w:rsidRPr="00BB72CE" w:rsidRDefault="00787ABE" w:rsidP="004B428B">
            <w:pPr>
              <w:pStyle w:val="14"/>
              <w:jc w:val="center"/>
            </w:pPr>
            <w:r w:rsidRPr="00BB72CE">
              <w:rPr>
                <w:rFonts w:hint="eastAsia"/>
              </w:rPr>
              <w:t>98年</w:t>
            </w:r>
            <w:r w:rsidR="00A34F13" w:rsidRPr="00BB72CE">
              <w:rPr>
                <w:rFonts w:hint="eastAsia"/>
              </w:rPr>
              <w:t>度</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787ABE" w:rsidRPr="00BB72CE" w:rsidRDefault="00787ABE" w:rsidP="004B428B">
            <w:pPr>
              <w:pStyle w:val="14"/>
              <w:jc w:val="center"/>
            </w:pPr>
            <w:r w:rsidRPr="00BB72CE">
              <w:rPr>
                <w:rFonts w:hint="eastAsia"/>
              </w:rPr>
              <w:t>99年</w:t>
            </w:r>
            <w:r w:rsidR="00A34F13" w:rsidRPr="00BB72CE">
              <w:rPr>
                <w:rFonts w:hint="eastAsia"/>
              </w:rPr>
              <w:t>度</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787ABE" w:rsidRPr="00BB72CE" w:rsidRDefault="00787ABE" w:rsidP="004B428B">
            <w:pPr>
              <w:pStyle w:val="14"/>
              <w:jc w:val="center"/>
            </w:pPr>
            <w:r w:rsidRPr="00BB72CE">
              <w:rPr>
                <w:rFonts w:hint="eastAsia"/>
              </w:rPr>
              <w:t>100年</w:t>
            </w:r>
            <w:r w:rsidR="00A34F13" w:rsidRPr="00BB72CE">
              <w:rPr>
                <w:rFonts w:hint="eastAsia"/>
              </w:rPr>
              <w:t>度</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787ABE" w:rsidRPr="00BB72CE" w:rsidRDefault="00787ABE" w:rsidP="004B428B">
            <w:pPr>
              <w:pStyle w:val="14"/>
              <w:jc w:val="center"/>
            </w:pPr>
            <w:r w:rsidRPr="00BB72CE">
              <w:rPr>
                <w:rFonts w:hint="eastAsia"/>
              </w:rPr>
              <w:t>101年</w:t>
            </w:r>
            <w:r w:rsidR="00A34F13" w:rsidRPr="00BB72CE">
              <w:rPr>
                <w:rFonts w:hint="eastAsia"/>
              </w:rPr>
              <w:t>度</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7ABE" w:rsidRPr="00BB72CE" w:rsidRDefault="004B428B" w:rsidP="004B428B">
            <w:pPr>
              <w:pStyle w:val="14"/>
              <w:jc w:val="center"/>
              <w:rPr>
                <w:bCs/>
              </w:rPr>
            </w:pPr>
            <w:r w:rsidRPr="00BB72CE">
              <w:rPr>
                <w:rFonts w:hint="eastAsia"/>
                <w:bCs/>
              </w:rPr>
              <w:t>98至</w:t>
            </w:r>
            <w:r w:rsidR="00787ABE" w:rsidRPr="00BB72CE">
              <w:rPr>
                <w:rFonts w:hint="eastAsia"/>
                <w:bCs/>
              </w:rPr>
              <w:t>101</w:t>
            </w:r>
            <w:r w:rsidRPr="00BB72CE">
              <w:rPr>
                <w:rFonts w:hint="eastAsia"/>
                <w:bCs/>
              </w:rPr>
              <w:t>年</w:t>
            </w:r>
            <w:r w:rsidR="00A34F13" w:rsidRPr="00BB72CE">
              <w:rPr>
                <w:rFonts w:hint="eastAsia"/>
                <w:bCs/>
              </w:rPr>
              <w:t>度</w:t>
            </w:r>
            <w:r w:rsidR="00787ABE" w:rsidRPr="00BB72CE">
              <w:rPr>
                <w:rFonts w:hint="eastAsia"/>
                <w:bCs/>
              </w:rPr>
              <w:br/>
              <w:t>合計</w:t>
            </w:r>
          </w:p>
        </w:tc>
      </w:tr>
      <w:tr w:rsidR="004B428B" w:rsidRPr="00BB72CE" w:rsidTr="004B428B">
        <w:trPr>
          <w:trHeight w:val="330"/>
        </w:trPr>
        <w:tc>
          <w:tcPr>
            <w:tcW w:w="1844" w:type="dxa"/>
            <w:vMerge/>
            <w:tcBorders>
              <w:top w:val="single" w:sz="4" w:space="0" w:color="auto"/>
              <w:left w:val="single" w:sz="4" w:space="0" w:color="auto"/>
              <w:bottom w:val="single" w:sz="4" w:space="0" w:color="000000"/>
              <w:right w:val="single" w:sz="4" w:space="0" w:color="auto"/>
            </w:tcBorders>
            <w:vAlign w:val="center"/>
            <w:hideMark/>
          </w:tcPr>
          <w:p w:rsidR="00787ABE" w:rsidRPr="00BB72CE" w:rsidRDefault="00787ABE" w:rsidP="004B428B">
            <w:pPr>
              <w:pStyle w:val="14"/>
            </w:pPr>
          </w:p>
        </w:tc>
        <w:tc>
          <w:tcPr>
            <w:tcW w:w="1453" w:type="dxa"/>
            <w:tcBorders>
              <w:top w:val="nil"/>
              <w:left w:val="nil"/>
              <w:bottom w:val="single" w:sz="4" w:space="0" w:color="auto"/>
              <w:right w:val="single" w:sz="4" w:space="0" w:color="auto"/>
            </w:tcBorders>
            <w:shd w:val="clear" w:color="auto" w:fill="auto"/>
            <w:vAlign w:val="center"/>
            <w:hideMark/>
          </w:tcPr>
          <w:p w:rsidR="00787ABE" w:rsidRPr="00BB72CE" w:rsidRDefault="00787ABE" w:rsidP="004B428B">
            <w:pPr>
              <w:pStyle w:val="14"/>
              <w:jc w:val="center"/>
            </w:pPr>
            <w:r w:rsidRPr="00BB72CE">
              <w:rPr>
                <w:rFonts w:hint="eastAsia"/>
              </w:rPr>
              <w:t>決算數</w:t>
            </w:r>
          </w:p>
        </w:tc>
        <w:tc>
          <w:tcPr>
            <w:tcW w:w="1453" w:type="dxa"/>
            <w:tcBorders>
              <w:top w:val="nil"/>
              <w:left w:val="nil"/>
              <w:bottom w:val="single" w:sz="4" w:space="0" w:color="auto"/>
              <w:right w:val="single" w:sz="4" w:space="0" w:color="auto"/>
            </w:tcBorders>
            <w:shd w:val="clear" w:color="auto" w:fill="auto"/>
            <w:vAlign w:val="center"/>
            <w:hideMark/>
          </w:tcPr>
          <w:p w:rsidR="00787ABE" w:rsidRPr="00BB72CE" w:rsidRDefault="00787ABE" w:rsidP="004B428B">
            <w:pPr>
              <w:pStyle w:val="14"/>
              <w:jc w:val="center"/>
            </w:pPr>
            <w:r w:rsidRPr="00BB72CE">
              <w:rPr>
                <w:rFonts w:hint="eastAsia"/>
              </w:rPr>
              <w:t>決算數</w:t>
            </w:r>
          </w:p>
        </w:tc>
        <w:tc>
          <w:tcPr>
            <w:tcW w:w="1453" w:type="dxa"/>
            <w:tcBorders>
              <w:top w:val="nil"/>
              <w:left w:val="nil"/>
              <w:bottom w:val="single" w:sz="4" w:space="0" w:color="auto"/>
              <w:right w:val="single" w:sz="4" w:space="0" w:color="auto"/>
            </w:tcBorders>
            <w:shd w:val="clear" w:color="auto" w:fill="auto"/>
            <w:vAlign w:val="center"/>
            <w:hideMark/>
          </w:tcPr>
          <w:p w:rsidR="00787ABE" w:rsidRPr="00BB72CE" w:rsidRDefault="00787ABE" w:rsidP="004B428B">
            <w:pPr>
              <w:pStyle w:val="14"/>
              <w:jc w:val="center"/>
            </w:pPr>
            <w:r w:rsidRPr="00BB72CE">
              <w:rPr>
                <w:rFonts w:hint="eastAsia"/>
              </w:rPr>
              <w:t>決算數</w:t>
            </w:r>
          </w:p>
        </w:tc>
        <w:tc>
          <w:tcPr>
            <w:tcW w:w="1453" w:type="dxa"/>
            <w:tcBorders>
              <w:top w:val="nil"/>
              <w:left w:val="nil"/>
              <w:bottom w:val="single" w:sz="4" w:space="0" w:color="auto"/>
              <w:right w:val="single" w:sz="4" w:space="0" w:color="auto"/>
            </w:tcBorders>
            <w:shd w:val="clear" w:color="auto" w:fill="auto"/>
            <w:vAlign w:val="center"/>
            <w:hideMark/>
          </w:tcPr>
          <w:p w:rsidR="00787ABE" w:rsidRPr="00BB72CE" w:rsidRDefault="00787ABE" w:rsidP="004B428B">
            <w:pPr>
              <w:pStyle w:val="14"/>
              <w:jc w:val="center"/>
            </w:pPr>
            <w:r w:rsidRPr="00BB72CE">
              <w:rPr>
                <w:rFonts w:hint="eastAsia"/>
              </w:rPr>
              <w:t>決算數</w:t>
            </w: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787ABE" w:rsidRPr="00BB72CE" w:rsidRDefault="00787ABE" w:rsidP="004B428B">
            <w:pPr>
              <w:pStyle w:val="14"/>
              <w:jc w:val="center"/>
              <w:rPr>
                <w:bCs/>
              </w:rPr>
            </w:pPr>
          </w:p>
        </w:tc>
      </w:tr>
      <w:tr w:rsidR="004B428B" w:rsidRPr="00BB72CE" w:rsidTr="004B428B">
        <w:trPr>
          <w:trHeight w:val="45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87ABE" w:rsidRPr="00BB72CE" w:rsidRDefault="00787ABE" w:rsidP="004B428B">
            <w:pPr>
              <w:pStyle w:val="14"/>
              <w:rPr>
                <w:bCs/>
              </w:rPr>
            </w:pPr>
            <w:r w:rsidRPr="00BB72CE">
              <w:rPr>
                <w:rFonts w:hint="eastAsia"/>
                <w:bCs/>
              </w:rPr>
              <w:t>合計</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2,842,295</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3,868,338</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5,394,363</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4,148,957</w:t>
            </w:r>
          </w:p>
        </w:tc>
        <w:tc>
          <w:tcPr>
            <w:tcW w:w="1558"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16,253,953</w:t>
            </w:r>
          </w:p>
        </w:tc>
      </w:tr>
      <w:tr w:rsidR="004B428B" w:rsidRPr="00BB72CE" w:rsidTr="004B428B">
        <w:trPr>
          <w:trHeight w:val="45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87ABE" w:rsidRPr="00BB72CE" w:rsidRDefault="00787ABE" w:rsidP="004B428B">
            <w:pPr>
              <w:pStyle w:val="14"/>
              <w:rPr>
                <w:bCs/>
              </w:rPr>
            </w:pPr>
            <w:r w:rsidRPr="00BB72CE">
              <w:rPr>
                <w:rFonts w:hint="eastAsia"/>
                <w:bCs/>
              </w:rPr>
              <w:t>健康農業</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614,858</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677,561</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757,023</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722,203</w:t>
            </w:r>
          </w:p>
        </w:tc>
        <w:tc>
          <w:tcPr>
            <w:tcW w:w="1558"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2,771,645</w:t>
            </w:r>
          </w:p>
        </w:tc>
      </w:tr>
      <w:tr w:rsidR="004B428B" w:rsidRPr="00BB72CE" w:rsidTr="004B428B">
        <w:trPr>
          <w:trHeight w:val="45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87ABE" w:rsidRPr="00BB72CE" w:rsidRDefault="00787ABE" w:rsidP="004B428B">
            <w:pPr>
              <w:pStyle w:val="14"/>
              <w:rPr>
                <w:bCs/>
              </w:rPr>
            </w:pPr>
            <w:r w:rsidRPr="00BB72CE">
              <w:rPr>
                <w:rFonts w:hint="eastAsia"/>
                <w:bCs/>
              </w:rPr>
              <w:t>卓越農業</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506,238</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930,893</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1,304,318</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1,005,496</w:t>
            </w:r>
          </w:p>
        </w:tc>
        <w:tc>
          <w:tcPr>
            <w:tcW w:w="1558"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3,746,945</w:t>
            </w:r>
          </w:p>
        </w:tc>
      </w:tr>
      <w:tr w:rsidR="004B428B" w:rsidRPr="00BB72CE" w:rsidTr="004B428B">
        <w:trPr>
          <w:trHeight w:val="45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87ABE" w:rsidRPr="00BB72CE" w:rsidRDefault="00787ABE" w:rsidP="004B428B">
            <w:pPr>
              <w:pStyle w:val="14"/>
              <w:rPr>
                <w:bCs/>
              </w:rPr>
            </w:pPr>
            <w:r w:rsidRPr="00BB72CE">
              <w:rPr>
                <w:rFonts w:hint="eastAsia"/>
                <w:bCs/>
              </w:rPr>
              <w:t>樂活農業</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1,721,199</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2,259,884</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3,333,022</w:t>
            </w:r>
          </w:p>
        </w:tc>
        <w:tc>
          <w:tcPr>
            <w:tcW w:w="1453"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2,421,258</w:t>
            </w:r>
          </w:p>
        </w:tc>
        <w:tc>
          <w:tcPr>
            <w:tcW w:w="1558" w:type="dxa"/>
            <w:tcBorders>
              <w:top w:val="nil"/>
              <w:left w:val="nil"/>
              <w:bottom w:val="single" w:sz="4" w:space="0" w:color="auto"/>
              <w:right w:val="single" w:sz="4" w:space="0" w:color="auto"/>
            </w:tcBorders>
            <w:shd w:val="clear" w:color="auto" w:fill="auto"/>
            <w:noWrap/>
            <w:vAlign w:val="center"/>
            <w:hideMark/>
          </w:tcPr>
          <w:p w:rsidR="00787ABE" w:rsidRPr="00BB72CE" w:rsidRDefault="00787ABE" w:rsidP="004B428B">
            <w:pPr>
              <w:pStyle w:val="14"/>
              <w:jc w:val="right"/>
              <w:rPr>
                <w:bCs/>
              </w:rPr>
            </w:pPr>
            <w:r w:rsidRPr="00BB72CE">
              <w:rPr>
                <w:bCs/>
              </w:rPr>
              <w:t>9,735,363</w:t>
            </w:r>
          </w:p>
        </w:tc>
      </w:tr>
    </w:tbl>
    <w:p w:rsidR="00787ABE" w:rsidRPr="00BB72CE" w:rsidRDefault="00787ABE" w:rsidP="00B92662">
      <w:pPr>
        <w:ind w:leftChars="100" w:left="340"/>
        <w:rPr>
          <w:sz w:val="24"/>
          <w:szCs w:val="24"/>
        </w:rPr>
      </w:pPr>
      <w:r w:rsidRPr="00BB72CE">
        <w:rPr>
          <w:rFonts w:hint="eastAsia"/>
          <w:sz w:val="24"/>
          <w:szCs w:val="24"/>
        </w:rPr>
        <w:t>資料來源：農委會。</w:t>
      </w:r>
    </w:p>
    <w:p w:rsidR="007E1275" w:rsidRPr="00BB72CE" w:rsidRDefault="007E1275" w:rsidP="00787ABE">
      <w:pPr>
        <w:pStyle w:val="3"/>
        <w:numPr>
          <w:ilvl w:val="0"/>
          <w:numId w:val="0"/>
        </w:numPr>
        <w:ind w:left="1361"/>
        <w:rPr>
          <w:rFonts w:hAnsi="標楷體"/>
        </w:rPr>
      </w:pPr>
    </w:p>
    <w:p w:rsidR="00787ABE" w:rsidRPr="00BB72CE" w:rsidRDefault="00787ABE" w:rsidP="00DD0108">
      <w:pPr>
        <w:pStyle w:val="32"/>
        <w:ind w:left="1361" w:firstLine="664"/>
        <w:rPr>
          <w:spacing w:val="-4"/>
        </w:rPr>
      </w:pPr>
      <w:r w:rsidRPr="00BB72CE">
        <w:rPr>
          <w:rFonts w:hint="eastAsia"/>
          <w:spacing w:val="-4"/>
        </w:rPr>
        <w:lastRenderedPageBreak/>
        <w:t>至執行成效，</w:t>
      </w:r>
      <w:r w:rsidR="00F90479">
        <w:rPr>
          <w:rFonts w:hint="eastAsia"/>
          <w:spacing w:val="-4"/>
        </w:rPr>
        <w:t>農委會表示</w:t>
      </w:r>
      <w:r w:rsidRPr="00BB72CE">
        <w:rPr>
          <w:rFonts w:hint="eastAsia"/>
          <w:spacing w:val="-4"/>
        </w:rPr>
        <w:t>該計畫自98年5月起推動以來，截至101年產值</w:t>
      </w:r>
      <w:r w:rsidR="007E1275" w:rsidRPr="00BB72CE">
        <w:rPr>
          <w:rFonts w:hint="eastAsia"/>
          <w:spacing w:val="-4"/>
        </w:rPr>
        <w:t>計</w:t>
      </w:r>
      <w:r w:rsidRPr="00BB72CE">
        <w:rPr>
          <w:rFonts w:hint="eastAsia"/>
          <w:spacing w:val="-4"/>
        </w:rPr>
        <w:t>1,345億元，較97年</w:t>
      </w:r>
      <w:r w:rsidR="00F311CE" w:rsidRPr="00BB72CE">
        <w:rPr>
          <w:rFonts w:hint="eastAsia"/>
          <w:spacing w:val="-4"/>
        </w:rPr>
        <w:t>（</w:t>
      </w:r>
      <w:r w:rsidRPr="00BB72CE">
        <w:rPr>
          <w:rFonts w:hint="eastAsia"/>
          <w:spacing w:val="-4"/>
        </w:rPr>
        <w:t>方案推動前</w:t>
      </w:r>
      <w:r w:rsidR="00F311CE" w:rsidRPr="00BB72CE">
        <w:rPr>
          <w:rFonts w:hint="eastAsia"/>
          <w:spacing w:val="-4"/>
        </w:rPr>
        <w:t>）</w:t>
      </w:r>
      <w:r w:rsidRPr="00BB72CE">
        <w:rPr>
          <w:rFonts w:hint="eastAsia"/>
          <w:spacing w:val="-4"/>
        </w:rPr>
        <w:t>成長44.0</w:t>
      </w:r>
      <w:r w:rsidR="00577C26" w:rsidRPr="00BB72CE">
        <w:rPr>
          <w:rFonts w:hint="eastAsia"/>
          <w:spacing w:val="-4"/>
        </w:rPr>
        <w:t>%</w:t>
      </w:r>
      <w:r w:rsidRPr="00BB72CE">
        <w:rPr>
          <w:rFonts w:hint="eastAsia"/>
          <w:spacing w:val="-4"/>
        </w:rPr>
        <w:t>，與100年相較亦有8.5</w:t>
      </w:r>
      <w:r w:rsidR="00577C26" w:rsidRPr="00BB72CE">
        <w:rPr>
          <w:rFonts w:hint="eastAsia"/>
          <w:spacing w:val="-4"/>
        </w:rPr>
        <w:t>%</w:t>
      </w:r>
      <w:r w:rsidRPr="00BB72CE">
        <w:rPr>
          <w:rFonts w:hint="eastAsia"/>
          <w:spacing w:val="-4"/>
        </w:rPr>
        <w:t>的成長</w:t>
      </w:r>
      <w:r w:rsidR="00F311CE" w:rsidRPr="00BB72CE">
        <w:rPr>
          <w:rFonts w:hint="eastAsia"/>
          <w:spacing w:val="-4"/>
        </w:rPr>
        <w:t>（</w:t>
      </w:r>
      <w:r w:rsidRPr="00BB72CE">
        <w:rPr>
          <w:rFonts w:hint="eastAsia"/>
          <w:spacing w:val="-4"/>
        </w:rPr>
        <w:t>如下表</w:t>
      </w:r>
      <w:r w:rsidR="0006090B" w:rsidRPr="00BB72CE">
        <w:rPr>
          <w:rFonts w:hint="eastAsia"/>
          <w:spacing w:val="-4"/>
        </w:rPr>
        <w:t>1</w:t>
      </w:r>
      <w:r w:rsidR="00CC2B9C" w:rsidRPr="00BB72CE">
        <w:rPr>
          <w:rFonts w:hint="eastAsia"/>
          <w:spacing w:val="-4"/>
        </w:rPr>
        <w:t>8</w:t>
      </w:r>
      <w:r w:rsidR="00F311CE" w:rsidRPr="00BB72CE">
        <w:rPr>
          <w:rFonts w:hint="eastAsia"/>
          <w:spacing w:val="-4"/>
        </w:rPr>
        <w:t>）</w:t>
      </w:r>
      <w:r w:rsidRPr="00BB72CE">
        <w:rPr>
          <w:rFonts w:hint="eastAsia"/>
          <w:spacing w:val="-4"/>
        </w:rPr>
        <w:t>。</w:t>
      </w:r>
    </w:p>
    <w:p w:rsidR="00787ABE" w:rsidRPr="00BB72CE" w:rsidRDefault="00787ABE" w:rsidP="00787ABE">
      <w:pPr>
        <w:pStyle w:val="a4"/>
        <w:jc w:val="center"/>
        <w:rPr>
          <w:rFonts w:hAnsi="標楷體"/>
        </w:rPr>
      </w:pPr>
      <w:bookmarkStart w:id="43" w:name="_Toc499803986"/>
      <w:r w:rsidRPr="00BB72CE">
        <w:rPr>
          <w:rFonts w:hAnsi="標楷體" w:hint="eastAsia"/>
        </w:rPr>
        <w:t>精緻農業方案產值</w:t>
      </w:r>
      <w:r w:rsidR="00F311CE" w:rsidRPr="00BB72CE">
        <w:rPr>
          <w:rFonts w:hAnsi="標楷體" w:hint="eastAsia"/>
          <w:sz w:val="24"/>
          <w:szCs w:val="24"/>
        </w:rPr>
        <w:t>（</w:t>
      </w:r>
      <w:r w:rsidRPr="00BB72CE">
        <w:rPr>
          <w:rFonts w:hAnsi="標楷體" w:hint="eastAsia"/>
          <w:sz w:val="24"/>
          <w:szCs w:val="24"/>
        </w:rPr>
        <w:t>單位：億元</w:t>
      </w:r>
      <w:r w:rsidR="00F311CE" w:rsidRPr="00BB72CE">
        <w:rPr>
          <w:rFonts w:hAnsi="標楷體" w:hint="eastAsia"/>
          <w:sz w:val="24"/>
          <w:szCs w:val="24"/>
        </w:rPr>
        <w:t>）</w:t>
      </w:r>
      <w:bookmarkEnd w:id="43"/>
    </w:p>
    <w:tbl>
      <w:tblPr>
        <w:tblStyle w:val="13"/>
        <w:tblW w:w="9171" w:type="dxa"/>
        <w:jc w:val="center"/>
        <w:tblCellMar>
          <w:left w:w="28" w:type="dxa"/>
          <w:right w:w="28" w:type="dxa"/>
        </w:tblCellMar>
        <w:tblLook w:val="04A0" w:firstRow="1" w:lastRow="0" w:firstColumn="1" w:lastColumn="0" w:noHBand="0" w:noVBand="1"/>
      </w:tblPr>
      <w:tblGrid>
        <w:gridCol w:w="1247"/>
        <w:gridCol w:w="1570"/>
        <w:gridCol w:w="2118"/>
        <w:gridCol w:w="2118"/>
        <w:gridCol w:w="2118"/>
      </w:tblGrid>
      <w:tr w:rsidR="0006090B" w:rsidRPr="00BB72CE" w:rsidTr="0006090B">
        <w:trPr>
          <w:tblHeader/>
          <w:jc w:val="center"/>
        </w:trPr>
        <w:tc>
          <w:tcPr>
            <w:tcW w:w="1247" w:type="dxa"/>
            <w:tcBorders>
              <w:top w:val="single" w:sz="4" w:space="0" w:color="auto"/>
            </w:tcBorders>
            <w:vAlign w:val="center"/>
          </w:tcPr>
          <w:p w:rsidR="0006090B" w:rsidRPr="00BB72CE" w:rsidRDefault="0006090B" w:rsidP="0006090B">
            <w:pPr>
              <w:pStyle w:val="14"/>
              <w:jc w:val="center"/>
            </w:pPr>
            <w:r w:rsidRPr="00BB72CE">
              <w:rPr>
                <w:rFonts w:hint="eastAsia"/>
              </w:rPr>
              <w:t>主軸</w:t>
            </w:r>
          </w:p>
        </w:tc>
        <w:tc>
          <w:tcPr>
            <w:tcW w:w="0" w:type="auto"/>
            <w:tcBorders>
              <w:top w:val="single" w:sz="4" w:space="0" w:color="auto"/>
            </w:tcBorders>
            <w:vAlign w:val="center"/>
          </w:tcPr>
          <w:p w:rsidR="0006090B" w:rsidRPr="00BB72CE" w:rsidRDefault="0006090B" w:rsidP="0006090B">
            <w:pPr>
              <w:pStyle w:val="14"/>
              <w:jc w:val="center"/>
            </w:pPr>
            <w:r w:rsidRPr="00BB72CE">
              <w:rPr>
                <w:rFonts w:hint="eastAsia"/>
              </w:rPr>
              <w:t>98年</w:t>
            </w:r>
          </w:p>
          <w:p w:rsidR="0006090B" w:rsidRPr="00BB72CE" w:rsidRDefault="0006090B" w:rsidP="0006090B">
            <w:pPr>
              <w:pStyle w:val="14"/>
              <w:jc w:val="center"/>
            </w:pPr>
            <w:r w:rsidRPr="00BB72CE">
              <w:rPr>
                <w:rFonts w:hint="eastAsia"/>
              </w:rPr>
              <w:t>目標/實際</w:t>
            </w:r>
          </w:p>
        </w:tc>
        <w:tc>
          <w:tcPr>
            <w:tcW w:w="0" w:type="auto"/>
            <w:tcBorders>
              <w:top w:val="single" w:sz="4" w:space="0" w:color="auto"/>
            </w:tcBorders>
            <w:vAlign w:val="center"/>
          </w:tcPr>
          <w:p w:rsidR="0006090B" w:rsidRPr="00BB72CE" w:rsidRDefault="0006090B" w:rsidP="0006090B">
            <w:pPr>
              <w:pStyle w:val="14"/>
              <w:jc w:val="center"/>
            </w:pPr>
            <w:r w:rsidRPr="00BB72CE">
              <w:rPr>
                <w:rFonts w:hint="eastAsia"/>
              </w:rPr>
              <w:t>99年</w:t>
            </w:r>
          </w:p>
          <w:p w:rsidR="0006090B" w:rsidRPr="00BB72CE" w:rsidRDefault="0006090B" w:rsidP="0006090B">
            <w:pPr>
              <w:pStyle w:val="14"/>
              <w:jc w:val="center"/>
            </w:pPr>
            <w:r w:rsidRPr="00BB72CE">
              <w:rPr>
                <w:rFonts w:hint="eastAsia"/>
              </w:rPr>
              <w:t>目標/實際</w:t>
            </w:r>
          </w:p>
        </w:tc>
        <w:tc>
          <w:tcPr>
            <w:tcW w:w="0" w:type="auto"/>
            <w:tcBorders>
              <w:top w:val="single" w:sz="4" w:space="0" w:color="auto"/>
            </w:tcBorders>
            <w:vAlign w:val="center"/>
          </w:tcPr>
          <w:p w:rsidR="0006090B" w:rsidRPr="00BB72CE" w:rsidRDefault="0006090B" w:rsidP="0006090B">
            <w:pPr>
              <w:pStyle w:val="14"/>
              <w:jc w:val="center"/>
            </w:pPr>
            <w:r w:rsidRPr="00BB72CE">
              <w:rPr>
                <w:rFonts w:hint="eastAsia"/>
              </w:rPr>
              <w:t>100年</w:t>
            </w:r>
          </w:p>
          <w:p w:rsidR="0006090B" w:rsidRPr="00BB72CE" w:rsidRDefault="0006090B" w:rsidP="0006090B">
            <w:pPr>
              <w:pStyle w:val="14"/>
              <w:jc w:val="center"/>
            </w:pPr>
            <w:r w:rsidRPr="00BB72CE">
              <w:rPr>
                <w:rFonts w:hint="eastAsia"/>
              </w:rPr>
              <w:t>目標/實際</w:t>
            </w:r>
          </w:p>
        </w:tc>
        <w:tc>
          <w:tcPr>
            <w:tcW w:w="0" w:type="auto"/>
            <w:tcBorders>
              <w:top w:val="single" w:sz="4" w:space="0" w:color="auto"/>
            </w:tcBorders>
            <w:vAlign w:val="center"/>
          </w:tcPr>
          <w:p w:rsidR="0006090B" w:rsidRPr="00BB72CE" w:rsidRDefault="0006090B" w:rsidP="0006090B">
            <w:pPr>
              <w:pStyle w:val="14"/>
              <w:jc w:val="center"/>
            </w:pPr>
            <w:r w:rsidRPr="00BB72CE">
              <w:rPr>
                <w:rFonts w:hint="eastAsia"/>
              </w:rPr>
              <w:t>101年</w:t>
            </w:r>
          </w:p>
          <w:p w:rsidR="0006090B" w:rsidRPr="00BB72CE" w:rsidRDefault="0006090B" w:rsidP="0006090B">
            <w:pPr>
              <w:pStyle w:val="14"/>
              <w:jc w:val="center"/>
            </w:pPr>
            <w:r w:rsidRPr="00BB72CE">
              <w:rPr>
                <w:rFonts w:hint="eastAsia"/>
              </w:rPr>
              <w:t>目標/實際</w:t>
            </w:r>
          </w:p>
        </w:tc>
      </w:tr>
      <w:tr w:rsidR="0006090B" w:rsidRPr="00BB72CE" w:rsidTr="0006090B">
        <w:trPr>
          <w:jc w:val="center"/>
        </w:trPr>
        <w:tc>
          <w:tcPr>
            <w:tcW w:w="1247" w:type="dxa"/>
            <w:vAlign w:val="center"/>
          </w:tcPr>
          <w:p w:rsidR="0006090B" w:rsidRPr="00BB72CE" w:rsidRDefault="0006090B" w:rsidP="0006090B">
            <w:pPr>
              <w:pStyle w:val="14"/>
              <w:jc w:val="center"/>
            </w:pPr>
            <w:r w:rsidRPr="00BB72CE">
              <w:rPr>
                <w:rFonts w:hint="eastAsia"/>
              </w:rPr>
              <w:t>健康農業</w:t>
            </w:r>
          </w:p>
        </w:tc>
        <w:tc>
          <w:tcPr>
            <w:tcW w:w="0" w:type="auto"/>
            <w:vAlign w:val="center"/>
          </w:tcPr>
          <w:p w:rsidR="0006090B" w:rsidRPr="00BB72CE" w:rsidRDefault="0006090B" w:rsidP="0006090B">
            <w:pPr>
              <w:pStyle w:val="14"/>
              <w:jc w:val="center"/>
            </w:pPr>
            <w:r w:rsidRPr="00BB72CE">
              <w:rPr>
                <w:rFonts w:hint="eastAsia"/>
              </w:rPr>
              <w:t>568.9/570.8</w:t>
            </w:r>
          </w:p>
        </w:tc>
        <w:tc>
          <w:tcPr>
            <w:tcW w:w="0" w:type="auto"/>
            <w:vAlign w:val="center"/>
          </w:tcPr>
          <w:p w:rsidR="0006090B" w:rsidRPr="00BB72CE" w:rsidRDefault="0006090B" w:rsidP="0006090B">
            <w:pPr>
              <w:pStyle w:val="14"/>
              <w:jc w:val="center"/>
            </w:pPr>
            <w:r w:rsidRPr="00BB72CE">
              <w:rPr>
                <w:rFonts w:hint="eastAsia"/>
              </w:rPr>
              <w:t>604.0/　610.4</w:t>
            </w:r>
          </w:p>
        </w:tc>
        <w:tc>
          <w:tcPr>
            <w:tcW w:w="0" w:type="auto"/>
            <w:vAlign w:val="center"/>
          </w:tcPr>
          <w:p w:rsidR="0006090B" w:rsidRPr="00BB72CE" w:rsidRDefault="0006090B" w:rsidP="0006090B">
            <w:pPr>
              <w:pStyle w:val="14"/>
              <w:jc w:val="center"/>
            </w:pPr>
            <w:r w:rsidRPr="00BB72CE">
              <w:rPr>
                <w:rFonts w:hint="eastAsia"/>
              </w:rPr>
              <w:t>647.8/　684.7</w:t>
            </w:r>
          </w:p>
        </w:tc>
        <w:tc>
          <w:tcPr>
            <w:tcW w:w="0" w:type="auto"/>
            <w:vAlign w:val="center"/>
          </w:tcPr>
          <w:p w:rsidR="0006090B" w:rsidRPr="00BB72CE" w:rsidRDefault="0006090B" w:rsidP="0006090B">
            <w:pPr>
              <w:pStyle w:val="14"/>
              <w:jc w:val="center"/>
            </w:pPr>
            <w:r w:rsidRPr="00BB72CE">
              <w:rPr>
                <w:rFonts w:hint="eastAsia"/>
              </w:rPr>
              <w:t>732.2/　702.7</w:t>
            </w:r>
          </w:p>
        </w:tc>
      </w:tr>
      <w:tr w:rsidR="0006090B" w:rsidRPr="00BB72CE" w:rsidTr="0006090B">
        <w:trPr>
          <w:jc w:val="center"/>
        </w:trPr>
        <w:tc>
          <w:tcPr>
            <w:tcW w:w="1247" w:type="dxa"/>
            <w:vAlign w:val="center"/>
          </w:tcPr>
          <w:p w:rsidR="0006090B" w:rsidRPr="00BB72CE" w:rsidRDefault="0006090B" w:rsidP="0006090B">
            <w:pPr>
              <w:pStyle w:val="14"/>
              <w:jc w:val="center"/>
            </w:pPr>
            <w:r w:rsidRPr="00BB72CE">
              <w:rPr>
                <w:rFonts w:hint="eastAsia"/>
              </w:rPr>
              <w:t>卓越農業</w:t>
            </w:r>
          </w:p>
        </w:tc>
        <w:tc>
          <w:tcPr>
            <w:tcW w:w="0" w:type="auto"/>
            <w:vAlign w:val="center"/>
          </w:tcPr>
          <w:p w:rsidR="0006090B" w:rsidRPr="00BB72CE" w:rsidRDefault="0006090B" w:rsidP="0006090B">
            <w:pPr>
              <w:pStyle w:val="14"/>
              <w:jc w:val="center"/>
            </w:pPr>
            <w:r w:rsidRPr="00BB72CE">
              <w:rPr>
                <w:rFonts w:hint="eastAsia"/>
              </w:rPr>
              <w:t>197.5/208.2</w:t>
            </w:r>
          </w:p>
        </w:tc>
        <w:tc>
          <w:tcPr>
            <w:tcW w:w="0" w:type="auto"/>
            <w:vAlign w:val="center"/>
          </w:tcPr>
          <w:p w:rsidR="0006090B" w:rsidRPr="00BB72CE" w:rsidRDefault="0006090B" w:rsidP="0006090B">
            <w:pPr>
              <w:pStyle w:val="14"/>
              <w:jc w:val="center"/>
            </w:pPr>
            <w:r w:rsidRPr="00BB72CE">
              <w:rPr>
                <w:rFonts w:hint="eastAsia"/>
              </w:rPr>
              <w:t>223.8/　240.7</w:t>
            </w:r>
          </w:p>
        </w:tc>
        <w:tc>
          <w:tcPr>
            <w:tcW w:w="0" w:type="auto"/>
            <w:vAlign w:val="center"/>
          </w:tcPr>
          <w:p w:rsidR="0006090B" w:rsidRPr="00BB72CE" w:rsidRDefault="0006090B" w:rsidP="0006090B">
            <w:pPr>
              <w:pStyle w:val="14"/>
              <w:jc w:val="center"/>
            </w:pPr>
            <w:r w:rsidRPr="00BB72CE">
              <w:rPr>
                <w:rFonts w:hint="eastAsia"/>
              </w:rPr>
              <w:t>262.7/　286.8</w:t>
            </w:r>
          </w:p>
        </w:tc>
        <w:tc>
          <w:tcPr>
            <w:tcW w:w="0" w:type="auto"/>
            <w:vAlign w:val="center"/>
          </w:tcPr>
          <w:p w:rsidR="0006090B" w:rsidRPr="00BB72CE" w:rsidRDefault="0006090B" w:rsidP="0006090B">
            <w:pPr>
              <w:pStyle w:val="14"/>
              <w:jc w:val="center"/>
            </w:pPr>
            <w:r w:rsidRPr="00BB72CE">
              <w:rPr>
                <w:rFonts w:hint="eastAsia"/>
              </w:rPr>
              <w:t>302.4/　335.3</w:t>
            </w:r>
          </w:p>
        </w:tc>
      </w:tr>
      <w:tr w:rsidR="0006090B" w:rsidRPr="00BB72CE" w:rsidTr="0006090B">
        <w:trPr>
          <w:jc w:val="center"/>
        </w:trPr>
        <w:tc>
          <w:tcPr>
            <w:tcW w:w="1247" w:type="dxa"/>
            <w:vAlign w:val="center"/>
          </w:tcPr>
          <w:p w:rsidR="0006090B" w:rsidRPr="00BB72CE" w:rsidRDefault="0006090B" w:rsidP="0006090B">
            <w:pPr>
              <w:pStyle w:val="14"/>
              <w:jc w:val="center"/>
            </w:pPr>
            <w:r w:rsidRPr="00BB72CE">
              <w:rPr>
                <w:rFonts w:hint="eastAsia"/>
              </w:rPr>
              <w:t>樂活農業</w:t>
            </w:r>
          </w:p>
        </w:tc>
        <w:tc>
          <w:tcPr>
            <w:tcW w:w="0" w:type="auto"/>
            <w:vAlign w:val="center"/>
          </w:tcPr>
          <w:p w:rsidR="0006090B" w:rsidRPr="00BB72CE" w:rsidRDefault="0006090B" w:rsidP="0006090B">
            <w:pPr>
              <w:pStyle w:val="14"/>
              <w:jc w:val="center"/>
            </w:pPr>
            <w:r w:rsidRPr="00BB72CE">
              <w:rPr>
                <w:rFonts w:hint="eastAsia"/>
              </w:rPr>
              <w:t>217.5/195.5</w:t>
            </w:r>
          </w:p>
        </w:tc>
        <w:tc>
          <w:tcPr>
            <w:tcW w:w="0" w:type="auto"/>
            <w:vAlign w:val="center"/>
          </w:tcPr>
          <w:p w:rsidR="0006090B" w:rsidRPr="00BB72CE" w:rsidRDefault="0006090B" w:rsidP="0006090B">
            <w:pPr>
              <w:pStyle w:val="14"/>
              <w:jc w:val="center"/>
            </w:pPr>
            <w:r w:rsidRPr="00BB72CE">
              <w:rPr>
                <w:rFonts w:hint="eastAsia"/>
              </w:rPr>
              <w:t>241.3/　222.5</w:t>
            </w:r>
          </w:p>
        </w:tc>
        <w:tc>
          <w:tcPr>
            <w:tcW w:w="0" w:type="auto"/>
            <w:vAlign w:val="center"/>
          </w:tcPr>
          <w:p w:rsidR="0006090B" w:rsidRPr="00BB72CE" w:rsidRDefault="0006090B" w:rsidP="0006090B">
            <w:pPr>
              <w:pStyle w:val="14"/>
              <w:jc w:val="center"/>
            </w:pPr>
            <w:r w:rsidRPr="00BB72CE">
              <w:rPr>
                <w:rFonts w:hint="eastAsia"/>
              </w:rPr>
              <w:t>268.4/　268.3</w:t>
            </w:r>
          </w:p>
        </w:tc>
        <w:tc>
          <w:tcPr>
            <w:tcW w:w="0" w:type="auto"/>
            <w:vAlign w:val="center"/>
          </w:tcPr>
          <w:p w:rsidR="0006090B" w:rsidRPr="00BB72CE" w:rsidRDefault="0006090B" w:rsidP="0006090B">
            <w:pPr>
              <w:pStyle w:val="14"/>
              <w:jc w:val="center"/>
            </w:pPr>
            <w:r w:rsidRPr="00BB72CE">
              <w:rPr>
                <w:rFonts w:hint="eastAsia"/>
              </w:rPr>
              <w:t>302.1/　306.9</w:t>
            </w:r>
          </w:p>
        </w:tc>
      </w:tr>
      <w:tr w:rsidR="0006090B" w:rsidRPr="00BB72CE" w:rsidTr="0006090B">
        <w:trPr>
          <w:jc w:val="center"/>
        </w:trPr>
        <w:tc>
          <w:tcPr>
            <w:tcW w:w="1247" w:type="dxa"/>
            <w:vAlign w:val="center"/>
          </w:tcPr>
          <w:p w:rsidR="0006090B" w:rsidRPr="00BB72CE" w:rsidRDefault="0006090B" w:rsidP="0006090B">
            <w:pPr>
              <w:pStyle w:val="14"/>
              <w:jc w:val="center"/>
            </w:pPr>
            <w:r w:rsidRPr="00BB72CE">
              <w:rPr>
                <w:rFonts w:hint="eastAsia"/>
              </w:rPr>
              <w:t>合計</w:t>
            </w:r>
          </w:p>
        </w:tc>
        <w:tc>
          <w:tcPr>
            <w:tcW w:w="0" w:type="auto"/>
            <w:vAlign w:val="center"/>
          </w:tcPr>
          <w:p w:rsidR="0006090B" w:rsidRPr="00BB72CE" w:rsidRDefault="0006090B" w:rsidP="0006090B">
            <w:pPr>
              <w:pStyle w:val="14"/>
              <w:jc w:val="center"/>
            </w:pPr>
            <w:r w:rsidRPr="00BB72CE">
              <w:rPr>
                <w:rFonts w:hint="eastAsia"/>
              </w:rPr>
              <w:t>983.9/974.5</w:t>
            </w:r>
          </w:p>
        </w:tc>
        <w:tc>
          <w:tcPr>
            <w:tcW w:w="0" w:type="auto"/>
            <w:vAlign w:val="center"/>
          </w:tcPr>
          <w:p w:rsidR="0006090B" w:rsidRPr="00BB72CE" w:rsidRDefault="0006090B" w:rsidP="0006090B">
            <w:pPr>
              <w:pStyle w:val="14"/>
              <w:jc w:val="center"/>
            </w:pPr>
            <w:r w:rsidRPr="00BB72CE">
              <w:rPr>
                <w:rFonts w:hint="eastAsia"/>
              </w:rPr>
              <w:t>1,069.1/1,073.6</w:t>
            </w:r>
          </w:p>
        </w:tc>
        <w:tc>
          <w:tcPr>
            <w:tcW w:w="0" w:type="auto"/>
            <w:vAlign w:val="center"/>
          </w:tcPr>
          <w:p w:rsidR="0006090B" w:rsidRPr="00BB72CE" w:rsidRDefault="0006090B" w:rsidP="0006090B">
            <w:pPr>
              <w:pStyle w:val="14"/>
              <w:jc w:val="center"/>
            </w:pPr>
            <w:r w:rsidRPr="00BB72CE">
              <w:rPr>
                <w:rFonts w:hint="eastAsia"/>
              </w:rPr>
              <w:t>1,178.9/1,239.8</w:t>
            </w:r>
          </w:p>
        </w:tc>
        <w:tc>
          <w:tcPr>
            <w:tcW w:w="0" w:type="auto"/>
            <w:vAlign w:val="center"/>
          </w:tcPr>
          <w:p w:rsidR="0006090B" w:rsidRPr="00BB72CE" w:rsidRDefault="0006090B" w:rsidP="0006090B">
            <w:pPr>
              <w:pStyle w:val="14"/>
              <w:jc w:val="center"/>
            </w:pPr>
            <w:r w:rsidRPr="00BB72CE">
              <w:rPr>
                <w:rFonts w:hint="eastAsia"/>
              </w:rPr>
              <w:t>1,336.7/1,344.9</w:t>
            </w:r>
          </w:p>
        </w:tc>
      </w:tr>
    </w:tbl>
    <w:p w:rsidR="00787ABE" w:rsidRPr="00BB72CE" w:rsidRDefault="00787ABE" w:rsidP="0006090B">
      <w:pPr>
        <w:pStyle w:val="4"/>
        <w:numPr>
          <w:ilvl w:val="0"/>
          <w:numId w:val="0"/>
        </w:numPr>
        <w:rPr>
          <w:rFonts w:hAnsi="標楷體"/>
          <w:sz w:val="24"/>
          <w:szCs w:val="24"/>
        </w:rPr>
      </w:pPr>
      <w:r w:rsidRPr="00BB72CE">
        <w:rPr>
          <w:rFonts w:hAnsi="標楷體" w:hint="eastAsia"/>
          <w:sz w:val="24"/>
          <w:szCs w:val="24"/>
        </w:rPr>
        <w:t>資料來源：農委會。</w:t>
      </w:r>
    </w:p>
    <w:p w:rsidR="00787ABE" w:rsidRPr="00BB72CE" w:rsidRDefault="00787ABE" w:rsidP="00787ABE">
      <w:pPr>
        <w:pStyle w:val="3"/>
        <w:numPr>
          <w:ilvl w:val="0"/>
          <w:numId w:val="0"/>
        </w:numPr>
        <w:ind w:left="1361"/>
        <w:rPr>
          <w:rFonts w:hAnsi="標楷體"/>
        </w:rPr>
      </w:pPr>
    </w:p>
    <w:p w:rsidR="00680979" w:rsidRPr="00BB72CE" w:rsidRDefault="00464991" w:rsidP="007E1275">
      <w:pPr>
        <w:pStyle w:val="3"/>
        <w:rPr>
          <w:rFonts w:hAnsi="標楷體"/>
          <w:spacing w:val="-6"/>
        </w:rPr>
      </w:pPr>
      <w:bookmarkStart w:id="44" w:name="_Toc499139400"/>
      <w:bookmarkStart w:id="45" w:name="_Toc499802985"/>
      <w:r w:rsidRPr="00BB72CE">
        <w:rPr>
          <w:rFonts w:hAnsi="標楷體" w:hint="eastAsia"/>
          <w:spacing w:val="-6"/>
        </w:rPr>
        <w:t>查</w:t>
      </w:r>
      <w:r w:rsidR="002E5974" w:rsidRPr="00BB72CE">
        <w:rPr>
          <w:rFonts w:hAnsi="標楷體" w:hint="eastAsia"/>
          <w:spacing w:val="-6"/>
        </w:rPr>
        <w:t>「精緻農業方案」3大主軸之決</w:t>
      </w:r>
      <w:r w:rsidR="002E5974" w:rsidRPr="00BB72CE">
        <w:rPr>
          <w:rFonts w:hAnsi="標楷體" w:hint="eastAsia"/>
          <w:bCs w:val="0"/>
          <w:spacing w:val="-6"/>
          <w:szCs w:val="32"/>
        </w:rPr>
        <w:t>算數，以樂活農業投入經費最高，98</w:t>
      </w:r>
      <w:r w:rsidR="004B428B" w:rsidRPr="00BB72CE">
        <w:rPr>
          <w:rFonts w:hAnsi="標楷體" w:hint="eastAsia"/>
          <w:bCs w:val="0"/>
          <w:spacing w:val="-6"/>
          <w:szCs w:val="32"/>
        </w:rPr>
        <w:t>至</w:t>
      </w:r>
      <w:r w:rsidR="002E5974" w:rsidRPr="00BB72CE">
        <w:rPr>
          <w:rFonts w:hAnsi="標楷體" w:hint="eastAsia"/>
          <w:bCs w:val="0"/>
          <w:spacing w:val="-6"/>
          <w:szCs w:val="32"/>
        </w:rPr>
        <w:t>101年各年度分別為17.21、22.59、33.33及24.21億餘元，4年總計97.35億餘元，占全部經費</w:t>
      </w:r>
      <w:r w:rsidR="00F16DAC" w:rsidRPr="00BB72CE">
        <w:rPr>
          <w:rFonts w:hAnsi="標楷體" w:hint="eastAsia"/>
          <w:bCs w:val="0"/>
          <w:spacing w:val="-6"/>
          <w:szCs w:val="32"/>
        </w:rPr>
        <w:t>162.53億</w:t>
      </w:r>
      <w:r w:rsidR="002E5974" w:rsidRPr="00BB72CE">
        <w:rPr>
          <w:rFonts w:hAnsi="標楷體" w:hint="eastAsia"/>
          <w:bCs w:val="0"/>
          <w:spacing w:val="-6"/>
          <w:szCs w:val="32"/>
        </w:rPr>
        <w:t>之</w:t>
      </w:r>
      <w:r w:rsidR="00C52365">
        <w:rPr>
          <w:rFonts w:hAnsi="標楷體" w:hint="eastAsia"/>
          <w:bCs w:val="0"/>
          <w:spacing w:val="-6"/>
          <w:szCs w:val="32"/>
        </w:rPr>
        <w:t>6</w:t>
      </w:r>
      <w:r w:rsidR="002E5974" w:rsidRPr="00BB72CE">
        <w:rPr>
          <w:rFonts w:hAnsi="標楷體" w:hint="eastAsia"/>
          <w:bCs w:val="0"/>
          <w:spacing w:val="-6"/>
          <w:szCs w:val="32"/>
        </w:rPr>
        <w:t>成左右</w:t>
      </w:r>
      <w:r w:rsidR="00CE672A" w:rsidRPr="00BB72CE">
        <w:rPr>
          <w:rFonts w:hAnsi="標楷體" w:hint="eastAsia"/>
          <w:bCs w:val="0"/>
          <w:spacing w:val="-6"/>
          <w:szCs w:val="32"/>
        </w:rPr>
        <w:t>；</w:t>
      </w:r>
      <w:r w:rsidR="002E5974" w:rsidRPr="00BB72CE">
        <w:rPr>
          <w:rFonts w:hAnsi="標楷體" w:hint="eastAsia"/>
          <w:bCs w:val="0"/>
          <w:spacing w:val="-6"/>
          <w:szCs w:val="32"/>
        </w:rPr>
        <w:t>然其各年度實際產值分別為195.5、222.5、268.3及306.9億元，4年總計</w:t>
      </w:r>
      <w:r w:rsidR="00CE672A" w:rsidRPr="00BB72CE">
        <w:rPr>
          <w:rFonts w:hAnsi="標楷體" w:hint="eastAsia"/>
          <w:bCs w:val="0"/>
          <w:spacing w:val="-6"/>
          <w:szCs w:val="32"/>
        </w:rPr>
        <w:t>993.2</w:t>
      </w:r>
      <w:r w:rsidR="002E5974" w:rsidRPr="00BB72CE">
        <w:rPr>
          <w:rFonts w:hAnsi="標楷體" w:hint="eastAsia"/>
          <w:bCs w:val="0"/>
          <w:spacing w:val="-6"/>
          <w:szCs w:val="32"/>
        </w:rPr>
        <w:t>億餘元，</w:t>
      </w:r>
      <w:r w:rsidR="00CE672A" w:rsidRPr="00BB72CE">
        <w:rPr>
          <w:rFonts w:hAnsi="標楷體" w:hint="eastAsia"/>
          <w:bCs w:val="0"/>
          <w:spacing w:val="-6"/>
          <w:szCs w:val="32"/>
        </w:rPr>
        <w:t>僅占全部產值</w:t>
      </w:r>
      <w:r w:rsidR="00BB39A0" w:rsidRPr="00BB72CE">
        <w:rPr>
          <w:rFonts w:hAnsi="標楷體" w:hint="eastAsia"/>
          <w:bCs w:val="0"/>
          <w:spacing w:val="-6"/>
          <w:szCs w:val="32"/>
        </w:rPr>
        <w:t>4632.8億</w:t>
      </w:r>
      <w:r w:rsidR="00C52365">
        <w:rPr>
          <w:rFonts w:hAnsi="標楷體" w:hint="eastAsia"/>
          <w:bCs w:val="0"/>
          <w:spacing w:val="-6"/>
          <w:szCs w:val="32"/>
        </w:rPr>
        <w:t>之2</w:t>
      </w:r>
      <w:r w:rsidR="00CE672A" w:rsidRPr="00BB72CE">
        <w:rPr>
          <w:rFonts w:hAnsi="標楷體" w:hint="eastAsia"/>
          <w:bCs w:val="0"/>
          <w:spacing w:val="-6"/>
          <w:szCs w:val="32"/>
        </w:rPr>
        <w:t>成左右</w:t>
      </w:r>
      <w:r w:rsidR="00680979" w:rsidRPr="00BB72CE">
        <w:rPr>
          <w:rFonts w:hAnsi="標楷體" w:hint="eastAsia"/>
          <w:bCs w:val="0"/>
          <w:spacing w:val="-6"/>
          <w:szCs w:val="32"/>
        </w:rPr>
        <w:t>，低於健康農業及卓越農業之產值；換言之，樂活農業投入之經費最高，但所創造之產值最低。</w:t>
      </w:r>
      <w:bookmarkEnd w:id="44"/>
      <w:bookmarkEnd w:id="45"/>
    </w:p>
    <w:p w:rsidR="00680979" w:rsidRPr="00BB72CE" w:rsidRDefault="00680979" w:rsidP="00BD776F">
      <w:pPr>
        <w:pStyle w:val="3"/>
        <w:rPr>
          <w:rFonts w:hAnsi="標楷體"/>
        </w:rPr>
      </w:pPr>
      <w:bookmarkStart w:id="46" w:name="_Toc499139401"/>
      <w:bookmarkStart w:id="47" w:name="_Toc499802986"/>
      <w:r w:rsidRPr="00BB72CE">
        <w:rPr>
          <w:rFonts w:hAnsi="標楷體" w:hint="eastAsia"/>
        </w:rPr>
        <w:t>本院為瞭解</w:t>
      </w:r>
      <w:r w:rsidR="00EE7C07" w:rsidRPr="00BB72CE">
        <w:rPr>
          <w:rFonts w:hAnsi="標楷體" w:hint="eastAsia"/>
        </w:rPr>
        <w:t>我國</w:t>
      </w:r>
      <w:r w:rsidRPr="00BB72CE">
        <w:rPr>
          <w:rFonts w:hAnsi="標楷體" w:hint="eastAsia"/>
        </w:rPr>
        <w:t>精緻農業推動情形，</w:t>
      </w:r>
      <w:r w:rsidR="00EE7C07" w:rsidRPr="00BB72CE">
        <w:rPr>
          <w:rFonts w:hAnsi="標楷體" w:hint="eastAsia"/>
        </w:rPr>
        <w:t>分別</w:t>
      </w:r>
      <w:r w:rsidRPr="00BB72CE">
        <w:rPr>
          <w:rFonts w:hAnsi="標楷體" w:hint="eastAsia"/>
        </w:rPr>
        <w:t>赴苗栗縣</w:t>
      </w:r>
      <w:r w:rsidR="00BB39A0" w:rsidRPr="00BB72CE">
        <w:rPr>
          <w:rFonts w:hAnsi="標楷體" w:hint="eastAsia"/>
        </w:rPr>
        <w:t>履勘</w:t>
      </w:r>
      <w:r w:rsidRPr="00BB72CE">
        <w:rPr>
          <w:rFonts w:hAnsi="標楷體" w:hint="eastAsia"/>
        </w:rPr>
        <w:t>「山腳社區藺草產業」及</w:t>
      </w:r>
      <w:r w:rsidR="00BB39A0" w:rsidRPr="00BB72CE">
        <w:rPr>
          <w:rFonts w:hint="eastAsia"/>
          <w:bCs w:val="0"/>
        </w:rPr>
        <w:t>花蓮縣</w:t>
      </w:r>
      <w:r w:rsidRPr="00BB72CE">
        <w:rPr>
          <w:rFonts w:hAnsi="標楷體" w:hint="eastAsia"/>
        </w:rPr>
        <w:t>「林田山林業文化園區」</w:t>
      </w:r>
      <w:r w:rsidR="00EE7C07" w:rsidRPr="00BB72CE">
        <w:rPr>
          <w:rFonts w:hAnsi="標楷體" w:hint="eastAsia"/>
        </w:rPr>
        <w:t>，</w:t>
      </w:r>
      <w:r w:rsidR="00BB39A0" w:rsidRPr="00BB72CE">
        <w:rPr>
          <w:rFonts w:hAnsi="標楷體" w:hint="eastAsia"/>
        </w:rPr>
        <w:t>前者</w:t>
      </w:r>
      <w:r w:rsidR="00EE7C07" w:rsidRPr="00BB72CE">
        <w:rPr>
          <w:rFonts w:hAnsi="標楷體" w:hint="eastAsia"/>
        </w:rPr>
        <w:t>為</w:t>
      </w:r>
      <w:r w:rsidRPr="00BB72CE">
        <w:rPr>
          <w:rFonts w:hAnsi="標楷體" w:hint="eastAsia"/>
        </w:rPr>
        <w:t>農村再造</w:t>
      </w:r>
      <w:r w:rsidR="00BB39A0" w:rsidRPr="00BB72CE">
        <w:rPr>
          <w:rFonts w:hAnsi="標楷體" w:hint="eastAsia"/>
        </w:rPr>
        <w:t>所輔導之產業，關係到山腳社區藺草文化的保存，後者則為森林生態休閒旅遊及林業文化，</w:t>
      </w:r>
      <w:r w:rsidR="00EE7C07" w:rsidRPr="00BB72CE">
        <w:rPr>
          <w:rFonts w:hAnsi="標楷體" w:hint="eastAsia"/>
        </w:rPr>
        <w:t>性</w:t>
      </w:r>
      <w:r w:rsidR="00464991" w:rsidRPr="00BB72CE">
        <w:rPr>
          <w:rFonts w:hAnsi="標楷體" w:hint="eastAsia"/>
        </w:rPr>
        <w:t>質</w:t>
      </w:r>
      <w:r w:rsidR="00BB39A0" w:rsidRPr="00BB72CE">
        <w:rPr>
          <w:rFonts w:hAnsi="標楷體" w:hint="eastAsia"/>
        </w:rPr>
        <w:t>上</w:t>
      </w:r>
      <w:r w:rsidR="00EE7C07" w:rsidRPr="00BB72CE">
        <w:rPr>
          <w:rFonts w:hAnsi="標楷體" w:hint="eastAsia"/>
        </w:rPr>
        <w:t>屬樂活農業範疇，現勘過程中</w:t>
      </w:r>
      <w:r w:rsidR="00EE7C07" w:rsidRPr="00BB72CE">
        <w:rPr>
          <w:rFonts w:hAnsi="標楷體" w:hint="eastAsia"/>
          <w:bCs w:val="0"/>
          <w:szCs w:val="32"/>
        </w:rPr>
        <w:t>台灣藺草學會</w:t>
      </w:r>
      <w:r w:rsidR="00285D66" w:rsidRPr="00BB72CE">
        <w:rPr>
          <w:rFonts w:hAnsi="標楷體" w:hint="eastAsia"/>
          <w:bCs w:val="0"/>
          <w:szCs w:val="32"/>
        </w:rPr>
        <w:t>黃</w:t>
      </w:r>
      <w:r w:rsidR="00EE7C07" w:rsidRPr="00BB72CE">
        <w:rPr>
          <w:rFonts w:hAnsi="標楷體" w:hint="eastAsia"/>
          <w:bCs w:val="0"/>
          <w:szCs w:val="32"/>
        </w:rPr>
        <w:t>理事長</w:t>
      </w:r>
      <w:r w:rsidR="00F311CE" w:rsidRPr="00BB72CE">
        <w:rPr>
          <w:rFonts w:hAnsi="標楷體" w:hint="eastAsia"/>
          <w:bCs w:val="0"/>
          <w:szCs w:val="32"/>
        </w:rPr>
        <w:t>（</w:t>
      </w:r>
      <w:r w:rsidR="00EE7C07" w:rsidRPr="00BB72CE">
        <w:rPr>
          <w:rFonts w:hAnsi="標楷體" w:hint="eastAsia"/>
          <w:bCs w:val="0"/>
          <w:szCs w:val="32"/>
        </w:rPr>
        <w:t>同時是苗栗縣苑裡鎮山腳社區發展協會總幹事</w:t>
      </w:r>
      <w:r w:rsidR="00F311CE" w:rsidRPr="00BB72CE">
        <w:rPr>
          <w:rFonts w:hAnsi="標楷體" w:hint="eastAsia"/>
          <w:bCs w:val="0"/>
          <w:szCs w:val="32"/>
        </w:rPr>
        <w:t>）</w:t>
      </w:r>
      <w:r w:rsidR="00EE7C07" w:rsidRPr="00BB72CE">
        <w:rPr>
          <w:rFonts w:hAnsi="標楷體" w:hint="eastAsia"/>
          <w:bCs w:val="0"/>
          <w:szCs w:val="32"/>
        </w:rPr>
        <w:t>表示</w:t>
      </w:r>
      <w:r w:rsidR="00285D66" w:rsidRPr="00BB72CE">
        <w:rPr>
          <w:rFonts w:hAnsi="標楷體" w:hint="eastAsia"/>
          <w:bCs w:val="0"/>
          <w:szCs w:val="32"/>
        </w:rPr>
        <w:t>略以</w:t>
      </w:r>
      <w:r w:rsidR="00EE7C07" w:rsidRPr="00BB72CE">
        <w:rPr>
          <w:rFonts w:hAnsi="標楷體" w:hint="eastAsia"/>
          <w:bCs w:val="0"/>
          <w:szCs w:val="32"/>
        </w:rPr>
        <w:t>，</w:t>
      </w:r>
      <w:r w:rsidR="00524CD7" w:rsidRPr="00BB72CE">
        <w:rPr>
          <w:rFonts w:hAnsi="標楷體" w:hint="eastAsia"/>
          <w:bCs w:val="0"/>
          <w:szCs w:val="32"/>
        </w:rPr>
        <w:t>以草帽為例，編織約需3至5天，售價約僅750元，</w:t>
      </w:r>
      <w:r w:rsidR="00285D66" w:rsidRPr="00BB72CE">
        <w:rPr>
          <w:rFonts w:hAnsi="標楷體" w:hint="eastAsia"/>
          <w:bCs w:val="0"/>
          <w:szCs w:val="32"/>
        </w:rPr>
        <w:t>藺草產品產值無法提高，且社區資源有限，尚需改善此困境</w:t>
      </w:r>
      <w:r w:rsidR="00AA09EE" w:rsidRPr="00BB72CE">
        <w:rPr>
          <w:rFonts w:hAnsi="標楷體" w:hint="eastAsia"/>
          <w:bCs w:val="0"/>
          <w:szCs w:val="32"/>
        </w:rPr>
        <w:t>；</w:t>
      </w:r>
      <w:r w:rsidR="00285D66" w:rsidRPr="00BB72CE">
        <w:rPr>
          <w:rFonts w:hAnsi="標楷體" w:hint="eastAsia"/>
          <w:bCs w:val="0"/>
          <w:szCs w:val="32"/>
        </w:rPr>
        <w:t>另</w:t>
      </w:r>
      <w:r w:rsidR="00285D66" w:rsidRPr="00BB72CE">
        <w:rPr>
          <w:rFonts w:hAnsi="標楷體" w:hint="eastAsia"/>
        </w:rPr>
        <w:t>林</w:t>
      </w:r>
      <w:r w:rsidR="00285D66" w:rsidRPr="00BB72CE">
        <w:rPr>
          <w:rFonts w:hAnsi="標楷體" w:hint="eastAsia"/>
        </w:rPr>
        <w:lastRenderedPageBreak/>
        <w:t>田山社區發展協會林理事長亦說明略以，沒有完善工作環境及工作機會，很難吸引年輕人回到林田山。</w:t>
      </w:r>
      <w:r w:rsidR="002457BD" w:rsidRPr="00BB72CE">
        <w:rPr>
          <w:rFonts w:hAnsi="標楷體" w:hint="eastAsia"/>
        </w:rPr>
        <w:t>顯見</w:t>
      </w:r>
      <w:r w:rsidR="00285D66" w:rsidRPr="00BB72CE">
        <w:rPr>
          <w:rFonts w:hAnsi="標楷體" w:hint="eastAsia"/>
        </w:rPr>
        <w:t>其確實</w:t>
      </w:r>
      <w:r w:rsidR="00EE7C07" w:rsidRPr="00BB72CE">
        <w:rPr>
          <w:rFonts w:hAnsi="標楷體" w:hint="eastAsia"/>
          <w:bCs w:val="0"/>
          <w:szCs w:val="32"/>
        </w:rPr>
        <w:t>均有發展困境及</w:t>
      </w:r>
      <w:r w:rsidRPr="00BB72CE">
        <w:rPr>
          <w:rFonts w:hAnsi="標楷體" w:hint="eastAsia"/>
          <w:bCs w:val="0"/>
          <w:szCs w:val="32"/>
        </w:rPr>
        <w:t>難</w:t>
      </w:r>
      <w:r w:rsidR="00BB39A0" w:rsidRPr="00BB72CE">
        <w:rPr>
          <w:rFonts w:hAnsi="標楷體" w:hint="eastAsia"/>
          <w:bCs w:val="0"/>
          <w:szCs w:val="32"/>
        </w:rPr>
        <w:t>以</w:t>
      </w:r>
      <w:r w:rsidRPr="00BB72CE">
        <w:rPr>
          <w:rFonts w:hAnsi="標楷體" w:hint="eastAsia"/>
          <w:bCs w:val="0"/>
          <w:szCs w:val="32"/>
        </w:rPr>
        <w:t>創造產值之情形</w:t>
      </w:r>
      <w:r w:rsidR="001B7013" w:rsidRPr="00BB72CE">
        <w:rPr>
          <w:rFonts w:hAnsi="標楷體" w:hint="eastAsia"/>
          <w:bCs w:val="0"/>
          <w:szCs w:val="32"/>
        </w:rPr>
        <w:t>，此印證農委會所推動</w:t>
      </w:r>
      <w:r w:rsidR="001B7013" w:rsidRPr="00BB72CE">
        <w:rPr>
          <w:rFonts w:hAnsi="標楷體" w:hint="eastAsia"/>
        </w:rPr>
        <w:t>「精緻農業方案」</w:t>
      </w:r>
      <w:r w:rsidR="00BB39A0" w:rsidRPr="00BB72CE">
        <w:rPr>
          <w:rFonts w:hAnsi="標楷體" w:hint="eastAsia"/>
        </w:rPr>
        <w:t>中，</w:t>
      </w:r>
      <w:r w:rsidR="001B7013" w:rsidRPr="00BB72CE">
        <w:rPr>
          <w:rFonts w:hAnsi="標楷體" w:hint="eastAsia"/>
        </w:rPr>
        <w:t>樂活農業所創造產值最低之</w:t>
      </w:r>
      <w:r w:rsidR="002457BD" w:rsidRPr="00BB72CE">
        <w:rPr>
          <w:rFonts w:hAnsi="標楷體" w:hint="eastAsia"/>
        </w:rPr>
        <w:t>情況</w:t>
      </w:r>
      <w:r w:rsidR="00EE7C07" w:rsidRPr="00BB72CE">
        <w:rPr>
          <w:rFonts w:hAnsi="標楷體" w:hint="eastAsia"/>
          <w:bCs w:val="0"/>
          <w:szCs w:val="32"/>
        </w:rPr>
        <w:t>。</w:t>
      </w:r>
      <w:bookmarkEnd w:id="46"/>
      <w:bookmarkEnd w:id="47"/>
    </w:p>
    <w:p w:rsidR="00B20EB4" w:rsidRPr="00BB72CE" w:rsidRDefault="00680979" w:rsidP="00093AE8">
      <w:pPr>
        <w:pStyle w:val="3"/>
        <w:rPr>
          <w:rFonts w:hAnsi="標楷體"/>
        </w:rPr>
      </w:pPr>
      <w:bookmarkStart w:id="48" w:name="_Toc499139402"/>
      <w:bookmarkStart w:id="49" w:name="_Toc499802987"/>
      <w:r w:rsidRPr="00BB72CE">
        <w:rPr>
          <w:rFonts w:hAnsi="標楷體" w:hint="eastAsia"/>
        </w:rPr>
        <w:t>農委會</w:t>
      </w:r>
      <w:r w:rsidR="00BB39A0" w:rsidRPr="00BB72CE">
        <w:rPr>
          <w:rFonts w:hAnsi="標楷體" w:hint="eastAsia"/>
        </w:rPr>
        <w:t>雖</w:t>
      </w:r>
      <w:r w:rsidRPr="00BB72CE">
        <w:rPr>
          <w:rFonts w:hAnsi="標楷體" w:hint="eastAsia"/>
        </w:rPr>
        <w:t>表示，樂活農業各年度所創造之就業人數為7,452、7,703、9,738及11,846人，且除創造產值及就業人數外，尚有推動樂活農業所產之不可量化效益，包括活絡農村及提升整體產業效能等</w:t>
      </w:r>
      <w:r w:rsidR="0044051C" w:rsidRPr="00BB72CE">
        <w:rPr>
          <w:rFonts w:hAnsi="標楷體" w:hint="eastAsia"/>
        </w:rPr>
        <w:t>語。</w:t>
      </w:r>
      <w:r w:rsidR="002457BD" w:rsidRPr="00BB72CE">
        <w:rPr>
          <w:rFonts w:hAnsi="標楷體" w:hint="eastAsia"/>
        </w:rPr>
        <w:t>惟產值為</w:t>
      </w:r>
      <w:r w:rsidR="00286C88" w:rsidRPr="00BB72CE">
        <w:rPr>
          <w:rFonts w:hAnsi="標楷體" w:hint="eastAsia"/>
        </w:rPr>
        <w:t>產業得否生存的</w:t>
      </w:r>
      <w:r w:rsidR="00464991" w:rsidRPr="00BB72CE">
        <w:rPr>
          <w:rFonts w:hAnsi="標楷體" w:hint="eastAsia"/>
        </w:rPr>
        <w:t>關鍵</w:t>
      </w:r>
      <w:r w:rsidR="00286C88" w:rsidRPr="00BB72CE">
        <w:rPr>
          <w:rFonts w:hAnsi="標楷體" w:hint="eastAsia"/>
        </w:rPr>
        <w:t>因素，也是產業經營的動力，既農委會已投入大量經費扶植，為避免只見</w:t>
      </w:r>
      <w:r w:rsidR="001757F4" w:rsidRPr="00BB72CE">
        <w:rPr>
          <w:rFonts w:hAnsi="標楷體" w:hint="eastAsia"/>
        </w:rPr>
        <w:t>曇花一現</w:t>
      </w:r>
      <w:r w:rsidR="00286C88" w:rsidRPr="00BB72CE">
        <w:rPr>
          <w:rFonts w:hAnsi="標楷體" w:hint="eastAsia"/>
        </w:rPr>
        <w:t>之短暫成效，自應協助</w:t>
      </w:r>
      <w:r w:rsidR="00093AE8" w:rsidRPr="00BB72CE">
        <w:rPr>
          <w:rFonts w:hAnsi="標楷體" w:hint="eastAsia"/>
        </w:rPr>
        <w:t>該些陷入困境之農業產業，輔導其得以</w:t>
      </w:r>
      <w:r w:rsidR="00286C88" w:rsidRPr="00BB72CE">
        <w:rPr>
          <w:rFonts w:hAnsi="標楷體" w:hint="eastAsia"/>
        </w:rPr>
        <w:t>力更生及永續發展</w:t>
      </w:r>
      <w:r w:rsidR="0044051C" w:rsidRPr="00BB72CE">
        <w:rPr>
          <w:rFonts w:hAnsi="標楷體" w:hint="eastAsia"/>
        </w:rPr>
        <w:t>，使政府預算發揮最大效益及目的。農委</w:t>
      </w:r>
      <w:r w:rsidR="00286C88" w:rsidRPr="00BB72CE">
        <w:rPr>
          <w:rFonts w:hAnsi="標楷體" w:hint="eastAsia"/>
        </w:rPr>
        <w:t>會「精緻農業方案」</w:t>
      </w:r>
      <w:r w:rsidR="0044051C" w:rsidRPr="00BB72CE">
        <w:rPr>
          <w:rFonts w:hAnsi="標楷體" w:hint="eastAsia"/>
        </w:rPr>
        <w:t>於101年屆期後，賡續辦理</w:t>
      </w:r>
      <w:r w:rsidR="00BB1A2A" w:rsidRPr="00BB72CE">
        <w:rPr>
          <w:rFonts w:hAnsi="標楷體" w:hint="eastAsia"/>
        </w:rPr>
        <w:t>「黃金十年國家願景-活力經濟」施政主軸之一的「樂活農業」</w:t>
      </w:r>
      <w:r w:rsidR="0044051C" w:rsidRPr="00BB72CE">
        <w:rPr>
          <w:rFonts w:hAnsi="標楷體" w:hint="eastAsia"/>
        </w:rPr>
        <w:t>方案，</w:t>
      </w:r>
      <w:r w:rsidR="00B20EB4" w:rsidRPr="00BB72CE">
        <w:rPr>
          <w:rFonts w:hAnsi="標楷體" w:hint="eastAsia"/>
        </w:rPr>
        <w:t>並將「精緻農業方案」重要內涵併入之，</w:t>
      </w:r>
      <w:r w:rsidR="0044051C" w:rsidRPr="00BB72CE">
        <w:rPr>
          <w:rFonts w:hAnsi="標楷體" w:hint="eastAsia"/>
        </w:rPr>
        <w:t>以年輕化、有活力、高競爭力且所得穩定之樂活農業為主軸，</w:t>
      </w:r>
      <w:r w:rsidR="00093AE8" w:rsidRPr="00BB72CE">
        <w:rPr>
          <w:rFonts w:hAnsi="標楷體" w:hint="eastAsia"/>
        </w:rPr>
        <w:t>目前</w:t>
      </w:r>
      <w:r w:rsidR="00B20EB4" w:rsidRPr="00BB72CE">
        <w:rPr>
          <w:rFonts w:hAnsi="標楷體" w:hint="eastAsia"/>
        </w:rPr>
        <w:t>政府推動「5+2」產業創新計畫，</w:t>
      </w:r>
      <w:r w:rsidR="00A45885" w:rsidRPr="00BB72CE">
        <w:rPr>
          <w:rFonts w:hAnsi="標楷體" w:hint="eastAsia"/>
        </w:rPr>
        <w:t>農委會</w:t>
      </w:r>
      <w:r w:rsidR="00B20EB4" w:rsidRPr="00BB72CE">
        <w:rPr>
          <w:rFonts w:hAnsi="標楷體" w:hint="eastAsia"/>
        </w:rPr>
        <w:t>於106至109年</w:t>
      </w:r>
      <w:r w:rsidR="00A45885" w:rsidRPr="00BB72CE">
        <w:rPr>
          <w:rFonts w:hAnsi="標楷體" w:hint="eastAsia"/>
        </w:rPr>
        <w:t>辦理</w:t>
      </w:r>
      <w:r w:rsidR="00B20EB4" w:rsidRPr="00BB72CE">
        <w:rPr>
          <w:rFonts w:hAnsi="標楷體"/>
        </w:rPr>
        <w:t>「新農業創新推動方案」</w:t>
      </w:r>
      <w:r w:rsidR="00A45885" w:rsidRPr="00BB72CE">
        <w:rPr>
          <w:rFonts w:hAnsi="標楷體" w:hint="eastAsia"/>
        </w:rPr>
        <w:t>，冀讓</w:t>
      </w:r>
      <w:r w:rsidR="00A45885" w:rsidRPr="00BB72CE">
        <w:rPr>
          <w:rFonts w:hAnsi="標楷體"/>
        </w:rPr>
        <w:t>農業成為兼顧生產、生活、生態的產業</w:t>
      </w:r>
      <w:r w:rsidR="00167B21" w:rsidRPr="00BB72CE">
        <w:rPr>
          <w:rFonts w:hAnsi="標楷體" w:hint="eastAsia"/>
        </w:rPr>
        <w:t>，</w:t>
      </w:r>
      <w:r w:rsidR="00093AE8" w:rsidRPr="00BB72CE">
        <w:rPr>
          <w:rFonts w:hAnsi="標楷體" w:hint="eastAsia"/>
        </w:rPr>
        <w:t>由其所各自強調之「高競爭力且所得穩定」及「兼顧生產」的主軸，得知</w:t>
      </w:r>
      <w:r w:rsidR="00167B21" w:rsidRPr="00BB72CE">
        <w:rPr>
          <w:rFonts w:hAnsi="標楷體" w:hint="eastAsia"/>
        </w:rPr>
        <w:t>創造產值</w:t>
      </w:r>
      <w:r w:rsidR="00A45885" w:rsidRPr="00BB72CE">
        <w:rPr>
          <w:rFonts w:hAnsi="標楷體" w:hint="eastAsia"/>
        </w:rPr>
        <w:t>有其必要性。故農委會</w:t>
      </w:r>
      <w:r w:rsidR="00310C23" w:rsidRPr="00BB72CE">
        <w:rPr>
          <w:rFonts w:hAnsi="標楷體" w:hint="eastAsia"/>
        </w:rPr>
        <w:t>宜就前辦理「精緻農業方案」之樂活農業投入經費最多但產值最低之經驗，檢討輔導及創造產值之措施，納入後續所推動之「新農業創新推動方案」及其他樂活農業相關計畫中，以求樂活農業產業得以自力更生及永續發展，使政府預算發揮最大效益及目的。</w:t>
      </w:r>
      <w:bookmarkEnd w:id="48"/>
      <w:bookmarkEnd w:id="49"/>
    </w:p>
    <w:p w:rsidR="00C136FA" w:rsidRPr="00BB72CE" w:rsidRDefault="00C136FA" w:rsidP="00C136FA">
      <w:pPr>
        <w:pStyle w:val="2"/>
        <w:numPr>
          <w:ilvl w:val="1"/>
          <w:numId w:val="1"/>
        </w:numPr>
        <w:rPr>
          <w:b/>
        </w:rPr>
      </w:pPr>
      <w:bookmarkStart w:id="50" w:name="_Toc499802988"/>
      <w:r w:rsidRPr="00BB72CE">
        <w:rPr>
          <w:rFonts w:hint="eastAsia"/>
          <w:b/>
        </w:rPr>
        <w:t>為</w:t>
      </w:r>
      <w:r w:rsidRPr="00BB72CE">
        <w:rPr>
          <w:rFonts w:hint="eastAsia"/>
          <w:b/>
          <w:szCs w:val="36"/>
        </w:rPr>
        <w:t>提高</w:t>
      </w:r>
      <w:r w:rsidRPr="00BB72CE">
        <w:rPr>
          <w:rFonts w:hint="eastAsia"/>
          <w:b/>
        </w:rPr>
        <w:t>休閒農業</w:t>
      </w:r>
      <w:r w:rsidRPr="00BB72CE">
        <w:rPr>
          <w:rFonts w:hint="eastAsia"/>
          <w:b/>
          <w:szCs w:val="36"/>
        </w:rPr>
        <w:t>之價值與</w:t>
      </w:r>
      <w:r w:rsidRPr="00BB72CE">
        <w:rPr>
          <w:rFonts w:hint="eastAsia"/>
          <w:b/>
        </w:rPr>
        <w:t>魅力，</w:t>
      </w:r>
      <w:r w:rsidRPr="00BB72CE">
        <w:rPr>
          <w:rFonts w:hint="eastAsia"/>
          <w:b/>
          <w:szCs w:val="36"/>
        </w:rPr>
        <w:t>增進農村經濟與農民收益</w:t>
      </w:r>
      <w:r w:rsidRPr="00BB72CE">
        <w:rPr>
          <w:rFonts w:hint="eastAsia"/>
          <w:b/>
        </w:rPr>
        <w:t>，農委會宜加強</w:t>
      </w:r>
      <w:r w:rsidRPr="00BB72CE">
        <w:rPr>
          <w:rFonts w:hint="eastAsia"/>
          <w:b/>
          <w:lang w:eastAsia="zh-HK"/>
        </w:rPr>
        <w:t>盤點及</w:t>
      </w:r>
      <w:r w:rsidRPr="00BB72CE">
        <w:rPr>
          <w:rFonts w:hint="eastAsia"/>
          <w:b/>
        </w:rPr>
        <w:t>整合</w:t>
      </w:r>
      <w:r w:rsidRPr="00BB72CE">
        <w:rPr>
          <w:rFonts w:hint="eastAsia"/>
          <w:b/>
          <w:lang w:eastAsia="zh-HK"/>
        </w:rPr>
        <w:t>公私部門</w:t>
      </w:r>
      <w:r w:rsidRPr="00BB72CE">
        <w:rPr>
          <w:rFonts w:hint="eastAsia"/>
          <w:b/>
        </w:rPr>
        <w:t>（交通部觀</w:t>
      </w:r>
      <w:r w:rsidRPr="00BB72CE">
        <w:rPr>
          <w:rFonts w:hint="eastAsia"/>
          <w:b/>
        </w:rPr>
        <w:lastRenderedPageBreak/>
        <w:t>光局、原住民族委員會、</w:t>
      </w:r>
      <w:r w:rsidRPr="00BB72CE">
        <w:rPr>
          <w:rFonts w:hint="eastAsia"/>
          <w:b/>
          <w:lang w:eastAsia="zh-HK"/>
        </w:rPr>
        <w:t>文化部、地方政府</w:t>
      </w:r>
      <w:r w:rsidRPr="00BB72CE">
        <w:rPr>
          <w:rFonts w:hint="eastAsia"/>
          <w:b/>
        </w:rPr>
        <w:t>、民間團體及運輸業者等）相關資源，輔導業者開發結合</w:t>
      </w:r>
      <w:r w:rsidRPr="00BB72CE">
        <w:rPr>
          <w:b/>
        </w:rPr>
        <w:t>農業六級化成果</w:t>
      </w:r>
      <w:r w:rsidRPr="00BB72CE">
        <w:rPr>
          <w:rFonts w:hint="eastAsia"/>
          <w:b/>
        </w:rPr>
        <w:t>及</w:t>
      </w:r>
      <w:r w:rsidRPr="00BB72CE">
        <w:rPr>
          <w:rFonts w:hint="eastAsia"/>
          <w:b/>
          <w:lang w:eastAsia="zh-HK"/>
        </w:rPr>
        <w:t>富涵</w:t>
      </w:r>
      <w:r w:rsidRPr="00BB72CE">
        <w:rPr>
          <w:rFonts w:hint="eastAsia"/>
          <w:b/>
        </w:rPr>
        <w:t>在地文化、人文故事底蘊</w:t>
      </w:r>
      <w:r w:rsidRPr="00BB72CE">
        <w:rPr>
          <w:rFonts w:hint="eastAsia"/>
          <w:b/>
          <w:lang w:eastAsia="zh-HK"/>
        </w:rPr>
        <w:t>之</w:t>
      </w:r>
      <w:r w:rsidRPr="00BB72CE">
        <w:rPr>
          <w:rFonts w:hint="eastAsia"/>
          <w:b/>
        </w:rPr>
        <w:t>休閒農業商品，</w:t>
      </w:r>
      <w:r w:rsidRPr="00BB72CE">
        <w:rPr>
          <w:rFonts w:hint="eastAsia"/>
          <w:b/>
          <w:lang w:eastAsia="zh-HK"/>
        </w:rPr>
        <w:t>進而</w:t>
      </w:r>
      <w:r w:rsidRPr="00BB72CE">
        <w:rPr>
          <w:rFonts w:hint="eastAsia"/>
          <w:b/>
        </w:rPr>
        <w:t>形成區域農遊帶，</w:t>
      </w:r>
      <w:r w:rsidRPr="00BB72CE">
        <w:rPr>
          <w:rFonts w:hint="eastAsia"/>
          <w:b/>
          <w:lang w:eastAsia="zh-HK"/>
        </w:rPr>
        <w:t>並</w:t>
      </w:r>
      <w:r w:rsidRPr="00BB72CE">
        <w:rPr>
          <w:rFonts w:hint="eastAsia"/>
          <w:b/>
        </w:rPr>
        <w:t>積極發掘國內、外不同客群所隸屬或相關之社會團體、公司福利委員會、學校機關、教育機構等單位之消費需求，精準行銷，</w:t>
      </w:r>
      <w:r w:rsidRPr="00BB72CE">
        <w:rPr>
          <w:rFonts w:hint="eastAsia"/>
          <w:b/>
          <w:lang w:eastAsia="zh-HK"/>
        </w:rPr>
        <w:t>且允</w:t>
      </w:r>
      <w:r w:rsidRPr="00BB72CE">
        <w:rPr>
          <w:rFonts w:hint="eastAsia"/>
          <w:b/>
        </w:rPr>
        <w:t>宜透過部會協調，</w:t>
      </w:r>
      <w:r w:rsidRPr="00BB72CE">
        <w:rPr>
          <w:b/>
        </w:rPr>
        <w:t>適度修正放寬發展觀光條例規定</w:t>
      </w:r>
      <w:r w:rsidRPr="00BB72CE">
        <w:rPr>
          <w:rFonts w:hint="eastAsia"/>
          <w:b/>
        </w:rPr>
        <w:t>，拓展</w:t>
      </w:r>
      <w:r w:rsidRPr="00BB72CE">
        <w:rPr>
          <w:b/>
        </w:rPr>
        <w:t>農</w:t>
      </w:r>
      <w:r w:rsidRPr="00BB72CE">
        <w:rPr>
          <w:rFonts w:hint="eastAsia"/>
          <w:b/>
        </w:rPr>
        <w:t>業</w:t>
      </w:r>
      <w:r w:rsidRPr="00BB72CE">
        <w:rPr>
          <w:b/>
        </w:rPr>
        <w:t>旅遊行銷通路</w:t>
      </w:r>
      <w:r w:rsidR="000B5A48">
        <w:rPr>
          <w:rFonts w:hint="eastAsia"/>
          <w:b/>
        </w:rPr>
        <w:t>，帶動地區經濟發展。又</w:t>
      </w:r>
      <w:r w:rsidRPr="00BB72CE">
        <w:rPr>
          <w:rFonts w:hint="eastAsia"/>
          <w:b/>
        </w:rPr>
        <w:t>為</w:t>
      </w:r>
      <w:r w:rsidRPr="00BB72CE">
        <w:rPr>
          <w:b/>
        </w:rPr>
        <w:t>確保</w:t>
      </w:r>
      <w:r w:rsidRPr="00BB72CE">
        <w:rPr>
          <w:rFonts w:hint="eastAsia"/>
          <w:b/>
        </w:rPr>
        <w:t>休閒農業區之</w:t>
      </w:r>
      <w:r w:rsidRPr="00BB72CE">
        <w:rPr>
          <w:b/>
        </w:rPr>
        <w:t>品質，</w:t>
      </w:r>
      <w:r w:rsidRPr="00BB72CE">
        <w:rPr>
          <w:rFonts w:hint="eastAsia"/>
          <w:b/>
        </w:rPr>
        <w:t>農委會宜滾動修正</w:t>
      </w:r>
      <w:r w:rsidRPr="00BB72CE">
        <w:rPr>
          <w:b/>
        </w:rPr>
        <w:t>「</w:t>
      </w:r>
      <w:r w:rsidRPr="00BB72CE">
        <w:rPr>
          <w:rFonts w:hint="eastAsia"/>
          <w:b/>
        </w:rPr>
        <w:t>休閒農業輔導管理辦法」，強化休閒農業區營運效能及各地方政府之督導作為，並</w:t>
      </w:r>
      <w:r w:rsidRPr="00BB72CE">
        <w:rPr>
          <w:b/>
        </w:rPr>
        <w:t>落實退場機制。</w:t>
      </w:r>
      <w:r w:rsidRPr="00BB72CE">
        <w:rPr>
          <w:rFonts w:hint="eastAsia"/>
          <w:b/>
        </w:rPr>
        <w:t>此外，</w:t>
      </w:r>
      <w:r w:rsidRPr="00BB72CE">
        <w:rPr>
          <w:rFonts w:hint="eastAsia"/>
          <w:b/>
          <w:lang w:eastAsia="zh-HK"/>
        </w:rPr>
        <w:t>農委會</w:t>
      </w:r>
      <w:r w:rsidRPr="00BB72CE">
        <w:rPr>
          <w:rFonts w:hint="eastAsia"/>
          <w:b/>
        </w:rPr>
        <w:t>除了</w:t>
      </w:r>
      <w:r w:rsidRPr="00BB72CE">
        <w:rPr>
          <w:b/>
        </w:rPr>
        <w:t>擴大田媽媽申請條件</w:t>
      </w:r>
      <w:r w:rsidRPr="00BB72CE">
        <w:rPr>
          <w:rFonts w:hint="eastAsia"/>
          <w:b/>
        </w:rPr>
        <w:t>之外</w:t>
      </w:r>
      <w:r w:rsidRPr="00BB72CE">
        <w:rPr>
          <w:b/>
        </w:rPr>
        <w:t>，</w:t>
      </w:r>
      <w:r w:rsidRPr="00BB72CE">
        <w:rPr>
          <w:rFonts w:hint="eastAsia"/>
          <w:b/>
        </w:rPr>
        <w:t>宜協助班員提升食品安全衛生相關法令與觀念，增進</w:t>
      </w:r>
      <w:r w:rsidRPr="00BB72CE">
        <w:rPr>
          <w:b/>
        </w:rPr>
        <w:t>田媽媽</w:t>
      </w:r>
      <w:r w:rsidRPr="00BB72CE">
        <w:rPr>
          <w:rFonts w:hint="eastAsia"/>
          <w:b/>
        </w:rPr>
        <w:t>之</w:t>
      </w:r>
      <w:r w:rsidRPr="00BB72CE">
        <w:rPr>
          <w:b/>
        </w:rPr>
        <w:t>品牌形象</w:t>
      </w:r>
      <w:r w:rsidRPr="00BB72CE">
        <w:rPr>
          <w:rFonts w:hint="eastAsia"/>
          <w:b/>
        </w:rPr>
        <w:t>及永續經營。</w:t>
      </w:r>
      <w:bookmarkEnd w:id="50"/>
    </w:p>
    <w:p w:rsidR="00C136FA" w:rsidRPr="00BB72CE" w:rsidRDefault="00C136FA" w:rsidP="00C136FA">
      <w:pPr>
        <w:pStyle w:val="3"/>
        <w:numPr>
          <w:ilvl w:val="2"/>
          <w:numId w:val="1"/>
        </w:numPr>
      </w:pPr>
      <w:bookmarkStart w:id="51" w:name="_Toc499802989"/>
      <w:r w:rsidRPr="00BB72CE">
        <w:rPr>
          <w:rFonts w:hint="eastAsia"/>
        </w:rPr>
        <w:t>農委會依據</w:t>
      </w:r>
      <w:r w:rsidRPr="00BB72CE">
        <w:t>農業發展條例第</w:t>
      </w:r>
      <w:r w:rsidRPr="00BB72CE">
        <w:rPr>
          <w:rFonts w:hint="eastAsia"/>
        </w:rPr>
        <w:t>63</w:t>
      </w:r>
      <w:r w:rsidRPr="00BB72CE">
        <w:t>條</w:t>
      </w:r>
      <w:r w:rsidRPr="00BB72CE">
        <w:rPr>
          <w:rFonts w:hint="eastAsia"/>
        </w:rPr>
        <w:t>規定，訂定「</w:t>
      </w:r>
      <w:r w:rsidRPr="00BB72CE">
        <w:t>休閒農業輔導</w:t>
      </w:r>
      <w:r w:rsidRPr="00BB72CE">
        <w:rPr>
          <w:rFonts w:hint="eastAsia"/>
        </w:rPr>
        <w:t>管理</w:t>
      </w:r>
      <w:r w:rsidRPr="00BB72CE">
        <w:t>辦法</w:t>
      </w:r>
      <w:r w:rsidRPr="00BB72CE">
        <w:rPr>
          <w:rFonts w:hint="eastAsia"/>
        </w:rPr>
        <w:t>」作</w:t>
      </w:r>
      <w:r w:rsidRPr="00BB72CE">
        <w:t>為推動休閒農業之法令依據</w:t>
      </w:r>
      <w:r w:rsidRPr="00BB72CE">
        <w:rPr>
          <w:rFonts w:hint="eastAsia"/>
        </w:rPr>
        <w:t>。按具有地區農業特色、豐富景觀資源、豐富生態及保存價值之文化資產等條件之地區，得規劃為休閒農業區；休閒農業區由當地直轄市或縣（市）主管機關擬具規劃書，報請農委會劃定；直轄市或</w:t>
      </w:r>
      <w:r w:rsidRPr="00BB72CE">
        <w:rPr>
          <w:rFonts w:hint="eastAsia"/>
          <w:spacing w:val="-6"/>
        </w:rPr>
        <w:t>縣（市）主管機關對轄內休閒農業區，應每5年進行通盤檢討1次，其檢討內容應包含軟體營運及硬體建設之短、中、長期規劃，並得適時修正規劃書報農委會備查；休閒農業區經評鑑為丁等者，直轄市或縣（市）主管機關應擬具輔導計畫協助該休閒農業區改善，經再次評鑑仍為丁等者，由農委會公告廢止該休閒農業區之劃定。「</w:t>
      </w:r>
      <w:r w:rsidRPr="00BB72CE">
        <w:rPr>
          <w:spacing w:val="-6"/>
        </w:rPr>
        <w:t>休閒農業輔導</w:t>
      </w:r>
      <w:r w:rsidRPr="00BB72CE">
        <w:rPr>
          <w:rFonts w:hint="eastAsia"/>
          <w:spacing w:val="-6"/>
        </w:rPr>
        <w:t>管理</w:t>
      </w:r>
      <w:r w:rsidRPr="00BB72CE">
        <w:rPr>
          <w:spacing w:val="-6"/>
        </w:rPr>
        <w:t>辦法</w:t>
      </w:r>
      <w:r w:rsidRPr="00BB72CE">
        <w:rPr>
          <w:rFonts w:hint="eastAsia"/>
          <w:spacing w:val="-6"/>
        </w:rPr>
        <w:t>」第4條、第5條、第8條之1第2項及第4項定有明文。</w:t>
      </w:r>
      <w:bookmarkEnd w:id="51"/>
    </w:p>
    <w:p w:rsidR="00C136FA" w:rsidRPr="00BB72CE" w:rsidRDefault="00C136FA" w:rsidP="00C136FA">
      <w:pPr>
        <w:pStyle w:val="3"/>
        <w:numPr>
          <w:ilvl w:val="2"/>
          <w:numId w:val="1"/>
        </w:numPr>
        <w:spacing w:line="480" w:lineRule="exact"/>
        <w:rPr>
          <w:sz w:val="28"/>
          <w:szCs w:val="28"/>
        </w:rPr>
      </w:pPr>
      <w:bookmarkStart w:id="52" w:name="_Toc499802990"/>
      <w:r w:rsidRPr="00BB72CE">
        <w:rPr>
          <w:rFonts w:hint="eastAsia"/>
        </w:rPr>
        <w:t>鑑於休閒農業為結合農業三生（農業生產、農民生</w:t>
      </w:r>
      <w:r w:rsidRPr="00BB72CE">
        <w:rPr>
          <w:rFonts w:hint="eastAsia"/>
        </w:rPr>
        <w:lastRenderedPageBreak/>
        <w:t>活及農村生態）發展之加值型產業，</w:t>
      </w:r>
      <w:r w:rsidRPr="00BB72CE">
        <w:t>遊客</w:t>
      </w:r>
      <w:r w:rsidRPr="00BB72CE">
        <w:rPr>
          <w:rFonts w:hint="eastAsia"/>
        </w:rPr>
        <w:t>可藉由農業旅遊提供的五感</w:t>
      </w:r>
      <w:r w:rsidRPr="00BB72CE">
        <w:t>（視覺、嗅覺、聽覺、味覺及觸覺）</w:t>
      </w:r>
      <w:r w:rsidRPr="00BB72CE">
        <w:rPr>
          <w:rFonts w:hint="eastAsia"/>
        </w:rPr>
        <w:t>體驗，</w:t>
      </w:r>
      <w:r w:rsidR="00D158C3" w:rsidRPr="00BB72CE">
        <w:rPr>
          <w:rFonts w:hint="eastAsia"/>
        </w:rPr>
        <w:t>瞭</w:t>
      </w:r>
      <w:r w:rsidRPr="00BB72CE">
        <w:rPr>
          <w:rFonts w:hint="eastAsia"/>
        </w:rPr>
        <w:t>解並認同農業，成為觀光產業新亮點。因此，為推廣休閒農業，促進農業六級化（一級生產、二級加工及三級體驗服務），農委會已輔導辦理休閒農業區評鑑、休閒農場服務認證、田媽媽評鑑、校外教育體驗場域遴選等，提升服務內涵及品質之措施，</w:t>
      </w:r>
      <w:r w:rsidRPr="00BB72CE">
        <w:t>至106年9月底累計公告劃定休閒農業區82處、核發許可登記證休閒農場398家及輔導成立田媽媽農村料理班134家</w:t>
      </w:r>
      <w:r w:rsidRPr="00BB72CE">
        <w:rPr>
          <w:rFonts w:hint="eastAsia"/>
        </w:rPr>
        <w:t>、伴手農遊棧點、農業伴手等，提供遊客食、宿、遊、購、娛、育等服務，並</w:t>
      </w:r>
      <w:r w:rsidRPr="00BB72CE">
        <w:t>推動</w:t>
      </w:r>
      <w:r w:rsidRPr="00BB72CE">
        <w:rPr>
          <w:rFonts w:hint="eastAsia"/>
        </w:rPr>
        <w:t>休閒農業</w:t>
      </w:r>
      <w:r w:rsidRPr="00BB72CE">
        <w:t>朝向區域化、特色化及主題化發展，整合農林漁牧產業旅遊資源，包</w:t>
      </w:r>
      <w:r w:rsidRPr="00BB72CE">
        <w:rPr>
          <w:rFonts w:hint="eastAsia"/>
        </w:rPr>
        <w:t>括</w:t>
      </w:r>
      <w:r w:rsidRPr="00BB72CE">
        <w:t>農村再生社區、農村酒莊、農業伴手展售點、亮點茶莊、休閒漁村或漁港、森林遊樂區、自然教育中心、平地森林園區、林業文化園區等，及</w:t>
      </w:r>
      <w:r w:rsidRPr="00BB72CE">
        <w:rPr>
          <w:rFonts w:hint="eastAsia"/>
        </w:rPr>
        <w:t>整合</w:t>
      </w:r>
      <w:r w:rsidRPr="00BB72CE">
        <w:t>鄰近觀光、文化等產業或旅遊資源，結合季節農（漁）業體驗及農（漁）村節慶活動，開發四季特色主題農業遊程，例如</w:t>
      </w:r>
      <w:r w:rsidRPr="00BB72CE">
        <w:rPr>
          <w:rFonts w:hint="eastAsia"/>
        </w:rPr>
        <w:t>：</w:t>
      </w:r>
      <w:r w:rsidRPr="00BB72CE">
        <w:t>水果旅行、食材鮮旅行、食農體驗教育遊程、一日農夫、會議旅行、漁村小旅行、海洋生態、賞鯨魚釣等深度主題旅遊，每年包裝主題遊程商品約達300</w:t>
      </w:r>
      <w:r w:rsidR="00D158C3" w:rsidRPr="00BB72CE">
        <w:rPr>
          <w:rFonts w:hint="eastAsia"/>
          <w:bCs w:val="0"/>
        </w:rPr>
        <w:t>種</w:t>
      </w:r>
      <w:r w:rsidRPr="00BB72CE">
        <w:t>以上。據</w:t>
      </w:r>
      <w:r w:rsidRPr="00BB72CE">
        <w:rPr>
          <w:rFonts w:hint="eastAsia"/>
        </w:rPr>
        <w:t>農委</w:t>
      </w:r>
      <w:r w:rsidRPr="00BB72CE">
        <w:t>會委託辦理「農業旅遊經濟效益評估計畫」調查結果，103至105年度，全國休閒農業分別吸引2千萬、2.45千萬及2.55千萬人次參與，創造102、105及106億元產值。</w:t>
      </w:r>
      <w:bookmarkEnd w:id="52"/>
    </w:p>
    <w:p w:rsidR="00C136FA" w:rsidRPr="00BB72CE" w:rsidRDefault="00C136FA" w:rsidP="00C136FA">
      <w:pPr>
        <w:pStyle w:val="3"/>
        <w:numPr>
          <w:ilvl w:val="2"/>
          <w:numId w:val="1"/>
        </w:numPr>
      </w:pPr>
      <w:bookmarkStart w:id="53" w:name="_Toc499802991"/>
      <w:r w:rsidRPr="00BB72CE">
        <w:rPr>
          <w:rFonts w:hint="eastAsia"/>
          <w:lang w:eastAsia="zh-HK"/>
        </w:rPr>
        <w:t>然而，</w:t>
      </w:r>
      <w:r w:rsidRPr="00BB72CE">
        <w:rPr>
          <w:rFonts w:hint="eastAsia"/>
        </w:rPr>
        <w:t>在休閒農業相關輔導及推廣等方面，農委會表示</w:t>
      </w:r>
      <w:r w:rsidRPr="00BB72CE">
        <w:t>所面臨之</w:t>
      </w:r>
      <w:r w:rsidRPr="00BB72CE">
        <w:rPr>
          <w:rFonts w:hint="eastAsia"/>
        </w:rPr>
        <w:t>主要</w:t>
      </w:r>
      <w:r w:rsidRPr="00BB72CE">
        <w:t>問題及因應</w:t>
      </w:r>
      <w:r w:rsidRPr="00BB72CE">
        <w:rPr>
          <w:rFonts w:hint="eastAsia"/>
        </w:rPr>
        <w:t>措施</w:t>
      </w:r>
      <w:r w:rsidRPr="00BB72CE">
        <w:t>如下：</w:t>
      </w:r>
      <w:bookmarkEnd w:id="53"/>
    </w:p>
    <w:p w:rsidR="00C136FA" w:rsidRPr="00BB72CE" w:rsidRDefault="00C136FA" w:rsidP="00C136FA">
      <w:pPr>
        <w:pStyle w:val="4"/>
        <w:numPr>
          <w:ilvl w:val="3"/>
          <w:numId w:val="1"/>
        </w:numPr>
      </w:pPr>
      <w:r w:rsidRPr="00BB72CE">
        <w:t>休閒農業</w:t>
      </w:r>
    </w:p>
    <w:p w:rsidR="00C136FA" w:rsidRPr="00BB72CE" w:rsidRDefault="00C136FA" w:rsidP="00C136FA">
      <w:pPr>
        <w:pStyle w:val="5"/>
        <w:numPr>
          <w:ilvl w:val="4"/>
          <w:numId w:val="1"/>
        </w:numPr>
      </w:pPr>
      <w:r w:rsidRPr="00BB72CE">
        <w:lastRenderedPageBreak/>
        <w:t>觀光旅遊蓬勃發展，惟農村文化與農業特色仍須保存及堅持，需輔導整合業者共同推出以多面向農產業之相關農業體驗為主的旅遊型態，以強化農業深度旅遊，增加遊客重遊機會，與一般觀光市場有效區隔。</w:t>
      </w:r>
    </w:p>
    <w:p w:rsidR="00C136FA" w:rsidRPr="00BB72CE" w:rsidRDefault="00C136FA" w:rsidP="00C136FA">
      <w:pPr>
        <w:pStyle w:val="5"/>
        <w:numPr>
          <w:ilvl w:val="4"/>
          <w:numId w:val="1"/>
        </w:numPr>
      </w:pPr>
      <w:r w:rsidRPr="00BB72CE">
        <w:t>休閒農業業者面臨非假日及淡季客源不足問題，仍需持續透過邀請國內外媒體採訪、業者參訪及辦理各項主題推廣活動，以拓展國內外旅遊市場，協助業者解決客源不足問題。</w:t>
      </w:r>
    </w:p>
    <w:p w:rsidR="00C136FA" w:rsidRPr="00BB72CE" w:rsidRDefault="00C136FA" w:rsidP="00C136FA">
      <w:pPr>
        <w:pStyle w:val="5"/>
        <w:numPr>
          <w:ilvl w:val="4"/>
          <w:numId w:val="1"/>
        </w:numPr>
      </w:pPr>
      <w:r w:rsidRPr="00BB72CE">
        <w:t>因應網路科技日新月異，考量國內外遊客大多以網路獲取旅遊資訊，著重互動。</w:t>
      </w:r>
      <w:r w:rsidRPr="00BB72CE">
        <w:rPr>
          <w:rFonts w:hint="eastAsia"/>
        </w:rPr>
        <w:t>未來將</w:t>
      </w:r>
      <w:r w:rsidRPr="00BB72CE">
        <w:t>加強規劃新媒體行銷方式，包含優化相關網站模組，擴大網頁服務族群，利用臉書FB直播、伴手農產品開箱等影片，介紹農業旅遊中各式元素，貼近遊客視角，提升市場接受度。近期展開新興社群媒體Instagram的經營，以農遊體驗、田園美食等主題，透過精美圖像吸引年輕族群與國外旅客的目光，帶動農遊社群服務</w:t>
      </w:r>
      <w:r w:rsidR="007756D1">
        <w:t>平臺</w:t>
      </w:r>
      <w:r w:rsidRPr="00BB72CE">
        <w:t>，加深農業旅遊的品牌印象</w:t>
      </w:r>
      <w:r w:rsidRPr="00BB72CE">
        <w:rPr>
          <w:rFonts w:hint="eastAsia"/>
        </w:rPr>
        <w:t>。</w:t>
      </w:r>
    </w:p>
    <w:p w:rsidR="00C136FA" w:rsidRPr="00BB72CE" w:rsidRDefault="00C136FA" w:rsidP="00C136FA">
      <w:pPr>
        <w:pStyle w:val="5"/>
        <w:numPr>
          <w:ilvl w:val="4"/>
          <w:numId w:val="1"/>
        </w:numPr>
      </w:pPr>
      <w:r w:rsidRPr="00BB72CE">
        <w:t>休閒農業成本較一般景點觀光成本高，然依據發展觀光條例規定，地方組織、社區協會或個別農民無法販售農業旅遊</w:t>
      </w:r>
      <w:r w:rsidRPr="00BB72CE">
        <w:rPr>
          <w:rFonts w:hint="eastAsia"/>
          <w:lang w:eastAsia="zh-HK"/>
        </w:rPr>
        <w:t>行</w:t>
      </w:r>
      <w:r w:rsidRPr="00BB72CE">
        <w:t>程，導致農業旅遊行銷與通路成本較觀光旅遊高，仍須以農業旅遊產品獨特性突破價格戰之困境。</w:t>
      </w:r>
    </w:p>
    <w:p w:rsidR="00C136FA" w:rsidRPr="00BB72CE" w:rsidRDefault="00C136FA" w:rsidP="00C136FA">
      <w:pPr>
        <w:pStyle w:val="4"/>
        <w:numPr>
          <w:ilvl w:val="3"/>
          <w:numId w:val="1"/>
        </w:numPr>
        <w:rPr>
          <w:bCs/>
        </w:rPr>
      </w:pPr>
      <w:r w:rsidRPr="00BB72CE">
        <w:rPr>
          <w:rFonts w:hAnsi="標楷體" w:hint="eastAsia"/>
        </w:rPr>
        <w:t>休閒農業區、休閒農場、</w:t>
      </w:r>
      <w:r w:rsidRPr="00BB72CE">
        <w:rPr>
          <w:rFonts w:hint="eastAsia"/>
        </w:rPr>
        <w:t>田媽媽</w:t>
      </w:r>
    </w:p>
    <w:p w:rsidR="00C136FA" w:rsidRPr="00BB72CE" w:rsidRDefault="00C136FA" w:rsidP="00C136FA">
      <w:pPr>
        <w:pStyle w:val="5"/>
        <w:numPr>
          <w:ilvl w:val="4"/>
          <w:numId w:val="1"/>
        </w:numPr>
      </w:pPr>
      <w:r w:rsidRPr="00BB72CE">
        <w:rPr>
          <w:rFonts w:hint="eastAsia"/>
        </w:rPr>
        <w:t>各地農業資源條件不同，各縣（市）政府之輔導量亦有差異，如何轉化業者經營與合作理念，全面輔導提升與帶動各區經濟發展，尚待努力。為此，農委會依據</w:t>
      </w:r>
      <w:r w:rsidRPr="00BB72CE">
        <w:t>「</w:t>
      </w:r>
      <w:r w:rsidRPr="00BB72CE">
        <w:rPr>
          <w:rFonts w:hint="eastAsia"/>
        </w:rPr>
        <w:t>休閒農業輔導管理辦法</w:t>
      </w:r>
      <w:r w:rsidRPr="00BB72CE">
        <w:t>」</w:t>
      </w:r>
      <w:r w:rsidRPr="00BB72CE">
        <w:rPr>
          <w:rFonts w:hint="eastAsia"/>
        </w:rPr>
        <w:t>規定，每2年辦理休閒農業區評鑑，並</w:t>
      </w:r>
      <w:r w:rsidRPr="00BB72CE">
        <w:t>持續督導</w:t>
      </w:r>
      <w:r w:rsidRPr="00BB72CE">
        <w:lastRenderedPageBreak/>
        <w:t>地方政府應依法輔導轄內</w:t>
      </w:r>
      <w:r w:rsidRPr="00BB72CE">
        <w:rPr>
          <w:rFonts w:hint="eastAsia"/>
        </w:rPr>
        <w:t>休閒農業區</w:t>
      </w:r>
      <w:r w:rsidRPr="00BB72CE">
        <w:t>每5年進行1次通盤檢討</w:t>
      </w:r>
      <w:r w:rsidRPr="00BB72CE">
        <w:rPr>
          <w:rFonts w:hint="eastAsia"/>
        </w:rPr>
        <w:t>。農委會分年研議休閒農業區輔導計畫研提原則，協助地方政府研提年度計畫，補助經費亦依評鑑成績給予分級分類輔導，以輔導休閒農業區組織規劃發展藍圖及執行計畫工作。例如：宜蘭縣、苗栗縣等縣農遊商品開發已趨成熟，則加強其國外行銷，兼併推廣國內外遊客；又桃園市、新北市等2市仍以凝聚業者共識、加速組織運作效能及開發資源為重點工作。</w:t>
      </w:r>
    </w:p>
    <w:p w:rsidR="00C136FA" w:rsidRPr="00BB72CE" w:rsidRDefault="00C136FA" w:rsidP="00C136FA">
      <w:pPr>
        <w:pStyle w:val="5"/>
        <w:numPr>
          <w:ilvl w:val="4"/>
          <w:numId w:val="1"/>
        </w:numPr>
      </w:pPr>
      <w:r w:rsidRPr="00BB72CE">
        <w:t>休閒農場服務素質參差不齊或同質性偏高，需藉由服務認證輔導及管理機制，協助農場業者找出服務缺失，以提升農場服務水平，進而提高競爭力。</w:t>
      </w:r>
    </w:p>
    <w:p w:rsidR="00C136FA" w:rsidRPr="00BB72CE" w:rsidRDefault="00C136FA" w:rsidP="00C136FA">
      <w:pPr>
        <w:pStyle w:val="5"/>
        <w:numPr>
          <w:ilvl w:val="4"/>
          <w:numId w:val="1"/>
        </w:numPr>
      </w:pPr>
      <w:r w:rsidRPr="00BB72CE">
        <w:t>農村婦女田媽媽</w:t>
      </w:r>
      <w:r w:rsidRPr="00BB72CE">
        <w:rPr>
          <w:rFonts w:hint="eastAsia"/>
        </w:rPr>
        <w:t>之</w:t>
      </w:r>
      <w:r w:rsidRPr="00BB72CE">
        <w:t>班數</w:t>
      </w:r>
      <w:r w:rsidRPr="00BB72CE">
        <w:rPr>
          <w:rFonts w:hint="eastAsia"/>
        </w:rPr>
        <w:t>及</w:t>
      </w:r>
      <w:r w:rsidRPr="00BB72CE">
        <w:t>班員趨向穩定</w:t>
      </w:r>
      <w:r w:rsidRPr="00BB72CE">
        <w:rPr>
          <w:rFonts w:hint="eastAsia"/>
        </w:rPr>
        <w:t>，部分班員不熟諳食品安全衛生相關規定，輔導位於休閒農業區範圍內、或積極參與農業旅遊推廣、與具有開發新興料理之休閒農場，加入田媽媽行列，並輔導田媽媽強化衛生條件。</w:t>
      </w:r>
    </w:p>
    <w:p w:rsidR="00C136FA" w:rsidRPr="00BB72CE" w:rsidRDefault="00C136FA" w:rsidP="00C136FA">
      <w:pPr>
        <w:pStyle w:val="3"/>
        <w:numPr>
          <w:ilvl w:val="2"/>
          <w:numId w:val="1"/>
        </w:numPr>
      </w:pPr>
      <w:bookmarkStart w:id="54" w:name="_Toc499802992"/>
      <w:r w:rsidRPr="00BB72CE">
        <w:rPr>
          <w:rFonts w:hint="eastAsia"/>
        </w:rPr>
        <w:t>綜上，</w:t>
      </w:r>
      <w:r w:rsidRPr="00BB72CE">
        <w:t>休閒農業發展</w:t>
      </w:r>
      <w:r w:rsidRPr="00BB72CE">
        <w:rPr>
          <w:rFonts w:hint="eastAsia"/>
        </w:rPr>
        <w:t>係</w:t>
      </w:r>
      <w:r w:rsidRPr="00BB72CE">
        <w:t>以農業一級</w:t>
      </w:r>
      <w:r w:rsidRPr="00BB72CE">
        <w:rPr>
          <w:rFonts w:hint="eastAsia"/>
        </w:rPr>
        <w:t>生產</w:t>
      </w:r>
      <w:r w:rsidRPr="00BB72CE">
        <w:t>為基礎，進而升級而發展出具備二級</w:t>
      </w:r>
      <w:r w:rsidRPr="00BB72CE">
        <w:rPr>
          <w:rFonts w:hint="eastAsia"/>
        </w:rPr>
        <w:t>加工</w:t>
      </w:r>
      <w:r w:rsidRPr="00BB72CE">
        <w:t>，乃至三級</w:t>
      </w:r>
      <w:r w:rsidRPr="00BB72CE">
        <w:rPr>
          <w:rFonts w:hint="eastAsia"/>
        </w:rPr>
        <w:t>體驗服務等屬</w:t>
      </w:r>
      <w:r w:rsidRPr="00BB72CE">
        <w:t>性</w:t>
      </w:r>
      <w:r w:rsidRPr="00BB72CE">
        <w:rPr>
          <w:rFonts w:hint="eastAsia"/>
        </w:rPr>
        <w:t>之</w:t>
      </w:r>
      <w:r w:rsidRPr="00BB72CE">
        <w:t>六級化產業內涵。</w:t>
      </w:r>
      <w:r w:rsidRPr="00BB72CE">
        <w:rPr>
          <w:rFonts w:hint="eastAsia"/>
        </w:rPr>
        <w:t>休閒農業之推廣，於行政院</w:t>
      </w:r>
      <w:r w:rsidRPr="00BB72CE">
        <w:t>98</w:t>
      </w:r>
      <w:r w:rsidRPr="00BB72CE">
        <w:rPr>
          <w:rFonts w:hint="eastAsia"/>
        </w:rPr>
        <w:t>年核定</w:t>
      </w:r>
      <w:r w:rsidRPr="00BB72CE">
        <w:t>「精緻農業方案」</w:t>
      </w:r>
      <w:r w:rsidRPr="00BB72CE">
        <w:rPr>
          <w:rFonts w:hint="eastAsia"/>
        </w:rPr>
        <w:t>後更為具體化；</w:t>
      </w:r>
      <w:r w:rsidRPr="00BB72CE">
        <w:t>102</w:t>
      </w:r>
      <w:r w:rsidRPr="00BB72CE">
        <w:rPr>
          <w:rFonts w:hint="eastAsia"/>
        </w:rPr>
        <w:t>年核定「黃金十年－樂活農業」方案續推農業旅遊；</w:t>
      </w:r>
      <w:r w:rsidRPr="00BB72CE">
        <w:t>106</w:t>
      </w:r>
      <w:r w:rsidRPr="00BB72CE">
        <w:rPr>
          <w:rFonts w:hint="eastAsia"/>
        </w:rPr>
        <w:t>年度</w:t>
      </w:r>
      <w:r w:rsidRPr="00BB72CE">
        <w:rPr>
          <w:rFonts w:ascii="新細明體" w:eastAsia="新細明體" w:hAnsi="新細明體" w:hint="eastAsia"/>
        </w:rPr>
        <w:t>「</w:t>
      </w:r>
      <w:r w:rsidRPr="00BB72CE">
        <w:rPr>
          <w:rFonts w:hint="eastAsia"/>
        </w:rPr>
        <w:t>新農業創新推動方案</w:t>
      </w:r>
      <w:r w:rsidRPr="00BB72CE">
        <w:rPr>
          <w:rFonts w:hAnsi="標楷體" w:hint="eastAsia"/>
        </w:rPr>
        <w:t>」</w:t>
      </w:r>
      <w:r w:rsidRPr="00BB72CE">
        <w:rPr>
          <w:rFonts w:hint="eastAsia"/>
        </w:rPr>
        <w:t>項下，以農業新典範、農業安全體系及農業行銷能力</w:t>
      </w:r>
      <w:r w:rsidRPr="00BB72CE">
        <w:t>3</w:t>
      </w:r>
      <w:r w:rsidRPr="00BB72CE">
        <w:rPr>
          <w:rFonts w:hint="eastAsia"/>
        </w:rPr>
        <w:t>大主軸，推展各項重點政策，其中農業旅遊是創新臺灣農業價值，提升農民收益的重要工作之一。</w:t>
      </w:r>
      <w:r w:rsidRPr="00BB72CE">
        <w:rPr>
          <w:rFonts w:hint="eastAsia"/>
          <w:lang w:eastAsia="zh-HK"/>
        </w:rPr>
        <w:t>爰</w:t>
      </w:r>
      <w:r w:rsidRPr="00BB72CE">
        <w:rPr>
          <w:rFonts w:hint="eastAsia"/>
        </w:rPr>
        <w:t>為提高休閒農業之價值與魅力，農委會宜加強盤點及整合</w:t>
      </w:r>
      <w:r w:rsidRPr="00BB72CE">
        <w:rPr>
          <w:rFonts w:hint="eastAsia"/>
          <w:lang w:eastAsia="zh-HK"/>
        </w:rPr>
        <w:t>公私部門</w:t>
      </w:r>
      <w:r w:rsidRPr="00BB72CE">
        <w:rPr>
          <w:rFonts w:hint="eastAsia"/>
        </w:rPr>
        <w:t>（交通部觀光局、原住民族委員會、文化部</w:t>
      </w:r>
      <w:r w:rsidRPr="00BB72CE">
        <w:rPr>
          <w:rFonts w:hint="eastAsia"/>
          <w:lang w:eastAsia="zh-HK"/>
        </w:rPr>
        <w:t>、地方</w:t>
      </w:r>
      <w:r w:rsidRPr="00BB72CE">
        <w:rPr>
          <w:rFonts w:hint="eastAsia"/>
          <w:lang w:eastAsia="zh-HK"/>
        </w:rPr>
        <w:lastRenderedPageBreak/>
        <w:t>政府</w:t>
      </w:r>
      <w:r w:rsidRPr="00BB72CE">
        <w:rPr>
          <w:rFonts w:hint="eastAsia"/>
        </w:rPr>
        <w:t>、民間團體及運輸業者等）相關資源，輔導業者開發結合</w:t>
      </w:r>
      <w:r w:rsidRPr="00BB72CE">
        <w:t>農業六級化成果</w:t>
      </w:r>
      <w:r w:rsidRPr="00BB72CE">
        <w:rPr>
          <w:rFonts w:hint="eastAsia"/>
        </w:rPr>
        <w:t>及蘊涵在地文化、人文故事</w:t>
      </w:r>
      <w:r w:rsidRPr="00BB72CE">
        <w:rPr>
          <w:rFonts w:hint="eastAsia"/>
          <w:lang w:eastAsia="zh-HK"/>
        </w:rPr>
        <w:t>之</w:t>
      </w:r>
      <w:r w:rsidRPr="00BB72CE">
        <w:rPr>
          <w:rFonts w:hint="eastAsia"/>
        </w:rPr>
        <w:t>休閒農業商品，</w:t>
      </w:r>
      <w:r w:rsidRPr="00BB72CE">
        <w:rPr>
          <w:rFonts w:hint="eastAsia"/>
          <w:lang w:eastAsia="zh-HK"/>
        </w:rPr>
        <w:t>進而</w:t>
      </w:r>
      <w:r w:rsidRPr="00BB72CE">
        <w:rPr>
          <w:rFonts w:hint="eastAsia"/>
        </w:rPr>
        <w:t>形成區域農遊帶，並積極發掘國內、外不同客群所隸屬或相關之社會團體、公司福利委員會、學校機關、教育機構等單位之消費需求，精準行銷，</w:t>
      </w:r>
      <w:r w:rsidRPr="00BB72CE">
        <w:rPr>
          <w:rFonts w:hint="eastAsia"/>
          <w:lang w:eastAsia="zh-HK"/>
        </w:rPr>
        <w:t>且允宜</w:t>
      </w:r>
      <w:r w:rsidRPr="00BB72CE">
        <w:rPr>
          <w:rFonts w:hint="eastAsia"/>
        </w:rPr>
        <w:t>透過部會協調，適度</w:t>
      </w:r>
      <w:r w:rsidRPr="00BB72CE">
        <w:t>修正發展觀光條例</w:t>
      </w:r>
      <w:r w:rsidRPr="00BB72CE">
        <w:rPr>
          <w:rFonts w:hint="eastAsia"/>
        </w:rPr>
        <w:t>規定，活絡農</w:t>
      </w:r>
      <w:r w:rsidRPr="00BB72CE">
        <w:rPr>
          <w:rFonts w:hint="eastAsia"/>
          <w:lang w:eastAsia="zh-HK"/>
        </w:rPr>
        <w:t>業</w:t>
      </w:r>
      <w:r w:rsidRPr="00BB72CE">
        <w:rPr>
          <w:rFonts w:hint="eastAsia"/>
        </w:rPr>
        <w:t>旅遊，帶動地區經濟發展。又，</w:t>
      </w:r>
      <w:r w:rsidRPr="00BB72CE">
        <w:rPr>
          <w:rFonts w:hint="eastAsia"/>
          <w:lang w:eastAsia="zh-HK"/>
        </w:rPr>
        <w:t>為</w:t>
      </w:r>
      <w:r w:rsidRPr="00BB72CE">
        <w:t>確保</w:t>
      </w:r>
      <w:r w:rsidRPr="00BB72CE">
        <w:rPr>
          <w:rFonts w:hint="eastAsia"/>
        </w:rPr>
        <w:t>休閒農業區之</w:t>
      </w:r>
      <w:r w:rsidRPr="00BB72CE">
        <w:t>品質，</w:t>
      </w:r>
      <w:r w:rsidRPr="00BB72CE">
        <w:rPr>
          <w:rFonts w:hint="eastAsia"/>
        </w:rPr>
        <w:t>農委會宜滾動修正</w:t>
      </w:r>
      <w:r w:rsidRPr="00BB72CE">
        <w:t>「</w:t>
      </w:r>
      <w:r w:rsidRPr="00BB72CE">
        <w:rPr>
          <w:rFonts w:hint="eastAsia"/>
        </w:rPr>
        <w:t>休閒農業輔導管理辦法」，強化休閒農業區營運效能及各地方政府之督導作為，並</w:t>
      </w:r>
      <w:r w:rsidRPr="00BB72CE">
        <w:t>落實退場機制。</w:t>
      </w:r>
      <w:r w:rsidRPr="00BB72CE">
        <w:rPr>
          <w:rFonts w:hint="eastAsia"/>
          <w:lang w:eastAsia="zh-HK"/>
        </w:rPr>
        <w:t>此外</w:t>
      </w:r>
      <w:r w:rsidRPr="00BB72CE">
        <w:rPr>
          <w:rFonts w:hint="eastAsia"/>
        </w:rPr>
        <w:t>，</w:t>
      </w:r>
      <w:r w:rsidRPr="00BB72CE">
        <w:t>為</w:t>
      </w:r>
      <w:r w:rsidRPr="00BB72CE">
        <w:rPr>
          <w:rFonts w:hint="eastAsia"/>
        </w:rPr>
        <w:t>增進</w:t>
      </w:r>
      <w:r w:rsidRPr="00BB72CE">
        <w:t>田媽媽</w:t>
      </w:r>
      <w:r w:rsidRPr="00BB72CE">
        <w:rPr>
          <w:rFonts w:hint="eastAsia"/>
        </w:rPr>
        <w:t>之</w:t>
      </w:r>
      <w:r w:rsidRPr="00BB72CE">
        <w:t>品牌形象</w:t>
      </w:r>
      <w:r w:rsidRPr="00BB72CE">
        <w:rPr>
          <w:rFonts w:hint="eastAsia"/>
        </w:rPr>
        <w:t>及永續經營</w:t>
      </w:r>
      <w:r w:rsidRPr="00BB72CE">
        <w:t>，</w:t>
      </w:r>
      <w:r w:rsidRPr="00BB72CE">
        <w:rPr>
          <w:rFonts w:hint="eastAsia"/>
        </w:rPr>
        <w:t>農委會除了</w:t>
      </w:r>
      <w:r w:rsidRPr="00BB72CE">
        <w:t>擴大田媽媽申請條件</w:t>
      </w:r>
      <w:r w:rsidRPr="00BB72CE">
        <w:rPr>
          <w:rFonts w:hint="eastAsia"/>
        </w:rPr>
        <w:t>之外</w:t>
      </w:r>
      <w:r w:rsidRPr="00BB72CE">
        <w:t>，</w:t>
      </w:r>
      <w:r w:rsidRPr="00BB72CE">
        <w:rPr>
          <w:rFonts w:hint="eastAsia"/>
        </w:rPr>
        <w:t>宜協助班員提升食品安全衛生相關法令與觀念，增進農村經濟與農民收益。</w:t>
      </w:r>
      <w:bookmarkEnd w:id="54"/>
    </w:p>
    <w:p w:rsidR="00C136FA" w:rsidRPr="00BB72CE" w:rsidRDefault="00C136FA" w:rsidP="00C136FA">
      <w:pPr>
        <w:pStyle w:val="2"/>
        <w:numPr>
          <w:ilvl w:val="1"/>
          <w:numId w:val="1"/>
        </w:numPr>
        <w:rPr>
          <w:rFonts w:hAnsi="標楷體"/>
          <w:b/>
        </w:rPr>
      </w:pPr>
      <w:bookmarkStart w:id="55" w:name="_Toc499802993"/>
      <w:r w:rsidRPr="00BB72CE">
        <w:rPr>
          <w:rFonts w:hAnsi="標楷體" w:hint="eastAsia"/>
          <w:b/>
        </w:rPr>
        <w:t>農委會自78年起陸續推動台灣優良農產品</w:t>
      </w:r>
      <w:r w:rsidR="00AA09EE" w:rsidRPr="00BB72CE">
        <w:rPr>
          <w:rFonts w:hAnsi="標楷體" w:hint="eastAsia"/>
          <w:b/>
        </w:rPr>
        <w:t>(CAS)</w:t>
      </w:r>
      <w:r w:rsidRPr="00BB72CE">
        <w:rPr>
          <w:rFonts w:hAnsi="標楷體" w:hint="eastAsia"/>
          <w:b/>
        </w:rPr>
        <w:t>、產銷履歷農產品</w:t>
      </w:r>
      <w:r w:rsidR="00AA09EE" w:rsidRPr="00BB72CE">
        <w:rPr>
          <w:rFonts w:hAnsi="標楷體" w:hint="eastAsia"/>
          <w:b/>
        </w:rPr>
        <w:t>(TAP)</w:t>
      </w:r>
      <w:r w:rsidRPr="00BB72CE">
        <w:rPr>
          <w:rFonts w:hAnsi="標楷體" w:hint="eastAsia"/>
          <w:b/>
        </w:rPr>
        <w:t>、吉園圃安全蔬果及有機農產品標章，且98年</w:t>
      </w:r>
      <w:r w:rsidR="00AA09EE" w:rsidRPr="00BB72CE">
        <w:rPr>
          <w:rFonts w:hAnsi="標楷體" w:hint="eastAsia"/>
          <w:b/>
        </w:rPr>
        <w:t>推動之「精緻農業健康卓越方案」，以健康農業</w:t>
      </w:r>
      <w:r w:rsidRPr="00BB72CE">
        <w:rPr>
          <w:rFonts w:hAnsi="標楷體" w:hint="eastAsia"/>
          <w:b/>
        </w:rPr>
        <w:t>為該方案之3大願景之一，執行該4項標章制度，惟105年5月20日之後的</w:t>
      </w:r>
      <w:r w:rsidRPr="00BB72CE">
        <w:rPr>
          <w:rFonts w:hAnsi="標楷體"/>
          <w:b/>
        </w:rPr>
        <w:t>「新農業創新推動方案」</w:t>
      </w:r>
      <w:r w:rsidRPr="00BB72CE">
        <w:rPr>
          <w:rFonts w:hAnsi="標楷體" w:hint="eastAsia"/>
          <w:b/>
        </w:rPr>
        <w:t>，朝向將吉園圃安全蔬果、台灣優良農產品</w:t>
      </w:r>
      <w:r w:rsidR="0090493B" w:rsidRPr="00BB72CE">
        <w:rPr>
          <w:rFonts w:hAnsi="標楷體" w:hint="eastAsia"/>
          <w:b/>
        </w:rPr>
        <w:t>(CAS)</w:t>
      </w:r>
      <w:r w:rsidRPr="00BB72CE">
        <w:rPr>
          <w:rFonts w:hAnsi="標楷體" w:hint="eastAsia"/>
          <w:b/>
        </w:rPr>
        <w:t>及產銷履歷農產品</w:t>
      </w:r>
      <w:r w:rsidR="0090493B" w:rsidRPr="00BB72CE">
        <w:rPr>
          <w:rFonts w:hAnsi="標楷體" w:hint="eastAsia"/>
          <w:b/>
        </w:rPr>
        <w:t>(TAP)</w:t>
      </w:r>
      <w:r w:rsidRPr="00BB72CE">
        <w:rPr>
          <w:rFonts w:hAnsi="標楷體" w:hint="eastAsia"/>
          <w:b/>
        </w:rPr>
        <w:t>標章整合為TGAP之方式進行推動，其為使消費者易於辨識之立意係屬良善，然各標章推行有年且各有使用目的及範圍，整合恐涉及限縮原驗證範圍、增加業者成本及喪失國際市場等疑慮，自宜審慎評估將事；另該會所規劃TGAP驗證範圍涉及「食品」領域，允宜考量如何與現行</w:t>
      </w:r>
      <w:r w:rsidR="0090493B" w:rsidRPr="00BB72CE">
        <w:rPr>
          <w:rFonts w:hAnsi="標楷體" w:hint="eastAsia"/>
          <w:b/>
        </w:rPr>
        <w:t>台灣優良食品(</w:t>
      </w:r>
      <w:r w:rsidRPr="00BB72CE">
        <w:rPr>
          <w:rFonts w:hAnsi="標楷體" w:hint="eastAsia"/>
          <w:b/>
        </w:rPr>
        <w:t>TQF</w:t>
      </w:r>
      <w:r w:rsidR="0090493B" w:rsidRPr="00BB72CE">
        <w:rPr>
          <w:rFonts w:hAnsi="標楷體" w:hint="eastAsia"/>
          <w:b/>
        </w:rPr>
        <w:t>)</w:t>
      </w:r>
      <w:r w:rsidRPr="00BB72CE">
        <w:rPr>
          <w:rFonts w:hAnsi="標楷體" w:hint="eastAsia"/>
          <w:b/>
        </w:rPr>
        <w:t>驗證制度之相輔相成，共求保護消費者飲食安全與促進產品外銷，復應避免消費者混淆，而失整合之目的。</w:t>
      </w:r>
      <w:bookmarkEnd w:id="55"/>
    </w:p>
    <w:p w:rsidR="00C136FA" w:rsidRPr="00BB72CE" w:rsidRDefault="00C136FA" w:rsidP="008C62D7">
      <w:pPr>
        <w:pStyle w:val="3"/>
      </w:pPr>
      <w:bookmarkStart w:id="56" w:name="_Toc499802994"/>
      <w:r w:rsidRPr="00BB72CE">
        <w:t>農產品生產及驗證管理法</w:t>
      </w:r>
      <w:r w:rsidRPr="00BB72CE">
        <w:rPr>
          <w:rFonts w:hint="eastAsia"/>
        </w:rPr>
        <w:t>自</w:t>
      </w:r>
      <w:r w:rsidRPr="00BB72CE">
        <w:t>96年1月29日公布施行</w:t>
      </w:r>
      <w:r w:rsidRPr="00BB72CE">
        <w:rPr>
          <w:rFonts w:hint="eastAsia"/>
        </w:rPr>
        <w:lastRenderedPageBreak/>
        <w:t>後</w:t>
      </w:r>
      <w:r w:rsidRPr="00BB72CE">
        <w:t>，</w:t>
      </w:r>
      <w:r w:rsidRPr="00BB72CE">
        <w:rPr>
          <w:rFonts w:hint="eastAsia"/>
        </w:rPr>
        <w:t>農委會</w:t>
      </w:r>
      <w:r w:rsidRPr="00BB72CE">
        <w:t>依據</w:t>
      </w:r>
      <w:r w:rsidRPr="00BB72CE">
        <w:rPr>
          <w:rFonts w:hint="eastAsia"/>
        </w:rPr>
        <w:t>該法</w:t>
      </w:r>
      <w:r w:rsidRPr="00BB72CE">
        <w:t>訂定發布「有機農產品及有機農產加工品驗證管理辦法」、「進口有機農產品及有機農產加工品管理辦法」、「產銷履歷農產品驗證管理辦法」、「優良農產品驗證管理辦法」、「農產品驗證機構管理辦法」</w:t>
      </w:r>
      <w:r w:rsidR="00890A25" w:rsidRPr="00BB72CE">
        <w:rPr>
          <w:rFonts w:hint="eastAsia"/>
        </w:rPr>
        <w:t>等</w:t>
      </w:r>
      <w:r w:rsidRPr="00BB72CE">
        <w:t>相關子法</w:t>
      </w:r>
      <w:r w:rsidRPr="00BB72CE">
        <w:rPr>
          <w:rFonts w:hint="eastAsia"/>
        </w:rPr>
        <w:t>，而目前該會所推動之標章制度，包括「吉園圃安全蔬果」、「台灣優良農產品(CAS)」、「有機農產品」及「產銷履歷農產品」等4項，茲說明該4項標章如下：</w:t>
      </w:r>
      <w:bookmarkEnd w:id="56"/>
    </w:p>
    <w:p w:rsidR="00C136FA" w:rsidRPr="00BB72CE" w:rsidRDefault="00C136FA" w:rsidP="00C136FA">
      <w:pPr>
        <w:pStyle w:val="4"/>
        <w:numPr>
          <w:ilvl w:val="3"/>
          <w:numId w:val="1"/>
        </w:numPr>
        <w:rPr>
          <w:rFonts w:hAnsi="標楷體"/>
        </w:rPr>
      </w:pPr>
      <w:r w:rsidRPr="00BB72CE">
        <w:rPr>
          <w:rFonts w:hAnsi="標楷體" w:hint="eastAsia"/>
          <w:bCs/>
          <w:szCs w:val="32"/>
        </w:rPr>
        <w:t>吉園圃安全蔬果</w:t>
      </w:r>
    </w:p>
    <w:p w:rsidR="00C136FA" w:rsidRPr="00BB72CE" w:rsidRDefault="00C136FA" w:rsidP="00C136FA">
      <w:pPr>
        <w:pStyle w:val="4"/>
        <w:numPr>
          <w:ilvl w:val="0"/>
          <w:numId w:val="0"/>
        </w:numPr>
        <w:ind w:left="1701" w:firstLineChars="208" w:firstLine="708"/>
        <w:rPr>
          <w:rFonts w:hAnsi="標楷體"/>
          <w:szCs w:val="32"/>
        </w:rPr>
      </w:pPr>
      <w:r w:rsidRPr="00BB72CE">
        <w:rPr>
          <w:rFonts w:hAnsi="標楷體" w:hint="eastAsia"/>
          <w:bCs/>
          <w:szCs w:val="32"/>
        </w:rPr>
        <w:t>農委會訂定</w:t>
      </w:r>
      <w:r w:rsidRPr="00BB72CE">
        <w:rPr>
          <w:rFonts w:hAnsi="標楷體" w:hint="eastAsia"/>
          <w:szCs w:val="32"/>
        </w:rPr>
        <w:t>「吉園圃安全蔬果標章管理作業規範」，其標章審查機制係由該會農糧署各區分署受理申請及召開審查會，審查合於規定者同意其使用該標章，尚非以驗證方式辨理該標章之使用管理。</w:t>
      </w:r>
    </w:p>
    <w:p w:rsidR="00C136FA" w:rsidRPr="00BB72CE" w:rsidRDefault="00C136FA" w:rsidP="00C136FA">
      <w:pPr>
        <w:pStyle w:val="4"/>
        <w:numPr>
          <w:ilvl w:val="3"/>
          <w:numId w:val="1"/>
        </w:numPr>
        <w:rPr>
          <w:rFonts w:hAnsi="標楷體"/>
        </w:rPr>
      </w:pPr>
      <w:r w:rsidRPr="00BB72CE">
        <w:rPr>
          <w:rFonts w:hAnsi="標楷體" w:hint="eastAsia"/>
        </w:rPr>
        <w:t>台灣優良農產品(CAS)</w:t>
      </w:r>
    </w:p>
    <w:p w:rsidR="00C136FA" w:rsidRPr="00BB72CE" w:rsidRDefault="00C136FA" w:rsidP="00C136FA">
      <w:pPr>
        <w:pStyle w:val="4"/>
        <w:numPr>
          <w:ilvl w:val="0"/>
          <w:numId w:val="0"/>
        </w:numPr>
        <w:ind w:left="1701" w:firstLineChars="208" w:firstLine="708"/>
        <w:rPr>
          <w:rFonts w:hAnsi="標楷體"/>
        </w:rPr>
      </w:pPr>
      <w:r w:rsidRPr="00BB72CE">
        <w:rPr>
          <w:rFonts w:hAnsi="標楷體" w:hint="eastAsia"/>
          <w:szCs w:val="32"/>
        </w:rPr>
        <w:t>「台灣優良農產品」係以使用臺灣在地食材為主原料，透過三級品管制度確保產品品質衛生安全，並經財團法人台灣優良農產品發展協會等驗證機構驗證通過者，方能貼標銷售。</w:t>
      </w:r>
      <w:r w:rsidRPr="00BB72CE">
        <w:rPr>
          <w:rFonts w:hAnsi="標楷體" w:hint="eastAsia"/>
        </w:rPr>
        <w:t>該驗證之目的在於提升國產農水畜林產品及其加工品的品質水準與附加價值，保障生產者和消費大眾共同權益。</w:t>
      </w:r>
    </w:p>
    <w:p w:rsidR="00C136FA" w:rsidRPr="00BB72CE" w:rsidRDefault="00C136FA" w:rsidP="00C136FA">
      <w:pPr>
        <w:pStyle w:val="4"/>
        <w:numPr>
          <w:ilvl w:val="3"/>
          <w:numId w:val="1"/>
        </w:numPr>
        <w:rPr>
          <w:rFonts w:hAnsi="標楷體"/>
        </w:rPr>
      </w:pPr>
      <w:r w:rsidRPr="00BB72CE">
        <w:rPr>
          <w:rFonts w:hAnsi="標楷體" w:hint="eastAsia"/>
          <w:bCs/>
          <w:szCs w:val="32"/>
        </w:rPr>
        <w:t>有機農產品</w:t>
      </w:r>
    </w:p>
    <w:p w:rsidR="00C136FA" w:rsidRPr="00BB72CE" w:rsidRDefault="00C136FA" w:rsidP="00C136FA">
      <w:pPr>
        <w:pStyle w:val="4"/>
        <w:numPr>
          <w:ilvl w:val="0"/>
          <w:numId w:val="0"/>
        </w:numPr>
        <w:ind w:leftChars="501" w:left="1704" w:firstLineChars="207" w:firstLine="704"/>
        <w:rPr>
          <w:rFonts w:hAnsi="標楷體"/>
        </w:rPr>
      </w:pPr>
      <w:r w:rsidRPr="00BB72CE">
        <w:rPr>
          <w:rFonts w:hAnsi="標楷體" w:hint="eastAsia"/>
        </w:rPr>
        <w:t>有機農業係不使用合成化學物質，強調水土資源保育與生態平衡之管理系統，並達到生產自然安全農產品，其生產過程之土壤、水質、資材使用、收穫調製及包裝儲存等環節，均須經有機驗證機構稽核及檢測，符合有機驗證基準規定。</w:t>
      </w:r>
    </w:p>
    <w:p w:rsidR="00C136FA" w:rsidRPr="00BB72CE" w:rsidRDefault="00C136FA" w:rsidP="00324E9F">
      <w:pPr>
        <w:pStyle w:val="4"/>
        <w:numPr>
          <w:ilvl w:val="3"/>
          <w:numId w:val="1"/>
        </w:numPr>
        <w:rPr>
          <w:rFonts w:hAnsi="標楷體"/>
        </w:rPr>
      </w:pPr>
      <w:r w:rsidRPr="00BB72CE">
        <w:rPr>
          <w:rFonts w:hAnsi="標楷體" w:hint="eastAsia"/>
          <w:bCs/>
          <w:szCs w:val="32"/>
        </w:rPr>
        <w:t>產銷履歷農產品</w:t>
      </w:r>
      <w:r w:rsidR="0090493B" w:rsidRPr="00BB72CE">
        <w:rPr>
          <w:rFonts w:hAnsi="標楷體" w:hint="eastAsia"/>
          <w:bCs/>
          <w:szCs w:val="32"/>
        </w:rPr>
        <w:t>(TAP)</w:t>
      </w:r>
    </w:p>
    <w:p w:rsidR="00C136FA" w:rsidRPr="00BB72CE" w:rsidRDefault="00C136FA" w:rsidP="00C136FA">
      <w:pPr>
        <w:pStyle w:val="4"/>
        <w:numPr>
          <w:ilvl w:val="0"/>
          <w:numId w:val="0"/>
        </w:numPr>
        <w:ind w:leftChars="501" w:left="1704" w:firstLineChars="207" w:firstLine="704"/>
        <w:rPr>
          <w:rFonts w:hAnsi="標楷體"/>
        </w:rPr>
      </w:pPr>
      <w:r w:rsidRPr="00BB72CE">
        <w:rPr>
          <w:rFonts w:hAnsi="標楷體" w:hint="eastAsia"/>
        </w:rPr>
        <w:t>農產品產銷履歷驗證制度係輔導農產品業</w:t>
      </w:r>
      <w:r w:rsidRPr="00BB72CE">
        <w:rPr>
          <w:rFonts w:hAnsi="標楷體" w:hint="eastAsia"/>
        </w:rPr>
        <w:lastRenderedPageBreak/>
        <w:t>者依據臺灣良好農業規範（TGAP）等作業基準，以合乎風險管理、農業永續之農法，生產安全具可追溯性之農產品，經第三方驗證機構驗證通過後，始可使用標章及提供相關查詢服務。此自願性農產品產銷履歷制度結合了良好農業規範及履歷追溯系統，亦即除有相關生產履歷資訊外，同時也具備「檢查與驗證」制度，確保農產品食用安全。</w:t>
      </w:r>
    </w:p>
    <w:p w:rsidR="00C136FA" w:rsidRPr="00BB72CE" w:rsidRDefault="00C136FA" w:rsidP="00C136FA">
      <w:pPr>
        <w:pStyle w:val="3"/>
        <w:numPr>
          <w:ilvl w:val="2"/>
          <w:numId w:val="1"/>
        </w:numPr>
        <w:rPr>
          <w:rFonts w:hAnsi="標楷體"/>
        </w:rPr>
      </w:pPr>
      <w:bookmarkStart w:id="57" w:name="_Toc499802995"/>
      <w:r w:rsidRPr="00BB72CE">
        <w:rPr>
          <w:rFonts w:hAnsi="標楷體" w:hint="eastAsia"/>
        </w:rPr>
        <w:t>農委會為增進民眾飲食健康，積極推動上開標章制度，且98年推動之「精緻農業方案」中，以健康農業為該方案之3大主軸之一，即透過建構作物健康管理模式，推動上開4項標章制度，建立從農場到餐桌可追溯生產供應體系，強化安全把關並深化安全認驗證；且繼該方案後，農委會推動「黃金十年國家願景-活力經濟」施政主軸之一的「樂活農業」，其願景為彰顯農業多元價值與形塑活力樂活農業，而施政目標包括：「</w:t>
      </w:r>
      <w:r w:rsidRPr="00BB72CE">
        <w:rPr>
          <w:rFonts w:hAnsi="標楷體"/>
          <w:bCs w:val="0"/>
        </w:rPr>
        <w:t>多元推動健康農業四神湯，照顧消費者飲食健康</w:t>
      </w:r>
      <w:r w:rsidRPr="00BB72CE">
        <w:rPr>
          <w:rFonts w:hAnsi="標楷體" w:hint="eastAsia"/>
          <w:bCs w:val="0"/>
        </w:rPr>
        <w:t>」，亦即持續推動4章制度。至推展成效，</w:t>
      </w:r>
      <w:r w:rsidRPr="00BB72CE">
        <w:rPr>
          <w:rFonts w:hAnsi="標楷體" w:hint="eastAsia"/>
          <w:bCs w:val="0"/>
          <w:szCs w:val="32"/>
        </w:rPr>
        <w:t>其中「台灣優良農產品」、「有機農產品」及「產銷履歷農產品」屬須經第三方驗證者，其近年驗證情形，</w:t>
      </w:r>
      <w:r w:rsidRPr="00BB72CE">
        <w:rPr>
          <w:rFonts w:hAnsi="標楷體" w:hint="eastAsia"/>
          <w:bCs w:val="0"/>
        </w:rPr>
        <w:t>據農委會表示如下</w:t>
      </w:r>
      <w:r w:rsidRPr="00BB72CE">
        <w:rPr>
          <w:rStyle w:val="aff5"/>
          <w:rFonts w:hAnsi="標楷體"/>
          <w:bCs w:val="0"/>
        </w:rPr>
        <w:footnoteReference w:id="2"/>
      </w:r>
      <w:r w:rsidRPr="00BB72CE">
        <w:rPr>
          <w:rFonts w:hAnsi="標楷體" w:hint="eastAsia"/>
          <w:bCs w:val="0"/>
        </w:rPr>
        <w:t>：</w:t>
      </w:r>
      <w:bookmarkEnd w:id="57"/>
    </w:p>
    <w:p w:rsidR="00C136FA" w:rsidRPr="00BB72CE" w:rsidRDefault="00C136FA" w:rsidP="00C136FA">
      <w:pPr>
        <w:pStyle w:val="4"/>
        <w:numPr>
          <w:ilvl w:val="3"/>
          <w:numId w:val="1"/>
        </w:numPr>
        <w:rPr>
          <w:rFonts w:hAnsi="標楷體"/>
        </w:rPr>
      </w:pPr>
      <w:r w:rsidRPr="00BB72CE">
        <w:rPr>
          <w:rFonts w:hAnsi="標楷體" w:hint="eastAsia"/>
        </w:rPr>
        <w:t>有機農產品</w:t>
      </w:r>
    </w:p>
    <w:p w:rsidR="00C136FA" w:rsidRPr="00BB72CE" w:rsidRDefault="00C136FA" w:rsidP="00C136FA">
      <w:pPr>
        <w:pStyle w:val="5"/>
        <w:numPr>
          <w:ilvl w:val="0"/>
          <w:numId w:val="0"/>
        </w:numPr>
        <w:ind w:leftChars="500" w:left="1701"/>
        <w:rPr>
          <w:rFonts w:hAnsi="標楷體"/>
        </w:rPr>
      </w:pPr>
      <w:r w:rsidRPr="00BB72CE">
        <w:rPr>
          <w:rFonts w:hAnsi="標楷體" w:hint="eastAsia"/>
        </w:rPr>
        <w:t xml:space="preserve">　　至105年底已認證12家有機農糧產品驗證機構，累計通過有機驗證農戶2,932戶，面積6,784公頃，較96年面積1,928公頃，增加3.5倍；有機水產品則為藻類，於105年底已有5家廠商通過驗證，並生產35項產品。</w:t>
      </w:r>
    </w:p>
    <w:p w:rsidR="00C136FA" w:rsidRPr="00BB72CE" w:rsidRDefault="00C136FA" w:rsidP="00C136FA">
      <w:pPr>
        <w:pStyle w:val="4"/>
        <w:numPr>
          <w:ilvl w:val="3"/>
          <w:numId w:val="1"/>
        </w:numPr>
        <w:rPr>
          <w:rFonts w:hAnsi="標楷體"/>
        </w:rPr>
      </w:pPr>
      <w:r w:rsidRPr="00BB72CE">
        <w:rPr>
          <w:rFonts w:hAnsi="標楷體" w:hint="eastAsia"/>
        </w:rPr>
        <w:t>台灣優良農產品(CAS)</w:t>
      </w:r>
    </w:p>
    <w:p w:rsidR="00C136FA" w:rsidRPr="00BB72CE" w:rsidRDefault="00C136FA" w:rsidP="00C136FA">
      <w:pPr>
        <w:pStyle w:val="5"/>
        <w:numPr>
          <w:ilvl w:val="0"/>
          <w:numId w:val="0"/>
        </w:numPr>
        <w:ind w:leftChars="500" w:left="1701"/>
        <w:rPr>
          <w:rFonts w:hAnsi="標楷體"/>
          <w:spacing w:val="-6"/>
        </w:rPr>
      </w:pPr>
      <w:r w:rsidRPr="00BB72CE">
        <w:rPr>
          <w:rFonts w:hAnsi="標楷體" w:hint="eastAsia"/>
        </w:rPr>
        <w:lastRenderedPageBreak/>
        <w:t xml:space="preserve">　　</w:t>
      </w:r>
      <w:r w:rsidRPr="00BB72CE">
        <w:rPr>
          <w:rFonts w:hAnsi="標楷體" w:hint="eastAsia"/>
          <w:spacing w:val="-6"/>
        </w:rPr>
        <w:t>至105年底止，驗證品項計有肉品、冷凍食品、果蔬汁、食米等16大類，取得驗證農產品達655項，105年產值約為459億元</w:t>
      </w:r>
      <w:r w:rsidRPr="00BB72CE">
        <w:rPr>
          <w:rStyle w:val="aff5"/>
          <w:rFonts w:hAnsi="標楷體"/>
          <w:spacing w:val="-6"/>
        </w:rPr>
        <w:footnoteReference w:id="3"/>
      </w:r>
      <w:r w:rsidRPr="00BB72CE">
        <w:rPr>
          <w:rFonts w:hAnsi="標楷體" w:hint="eastAsia"/>
          <w:spacing w:val="-6"/>
        </w:rPr>
        <w:t>。101至105年驗證產品年產值分別為516.6億元、469.7億元、459.7億元、408.4億元及458.6億元。</w:t>
      </w:r>
    </w:p>
    <w:p w:rsidR="00C136FA" w:rsidRPr="00BB72CE" w:rsidRDefault="00C136FA" w:rsidP="00C136FA">
      <w:pPr>
        <w:pStyle w:val="4"/>
        <w:numPr>
          <w:ilvl w:val="3"/>
          <w:numId w:val="1"/>
        </w:numPr>
        <w:rPr>
          <w:rFonts w:hAnsi="標楷體"/>
        </w:rPr>
      </w:pPr>
      <w:r w:rsidRPr="00BB72CE">
        <w:rPr>
          <w:rFonts w:hAnsi="標楷體" w:hint="eastAsia"/>
        </w:rPr>
        <w:t>產銷履歷農產品</w:t>
      </w:r>
    </w:p>
    <w:p w:rsidR="00C136FA" w:rsidRPr="00BB72CE" w:rsidRDefault="00C136FA" w:rsidP="00C136FA">
      <w:pPr>
        <w:pStyle w:val="5"/>
        <w:numPr>
          <w:ilvl w:val="0"/>
          <w:numId w:val="0"/>
        </w:numPr>
        <w:ind w:leftChars="500" w:left="1701"/>
        <w:rPr>
          <w:rFonts w:hAnsi="標楷體"/>
        </w:rPr>
      </w:pPr>
      <w:r w:rsidRPr="00BB72CE">
        <w:rPr>
          <w:rFonts w:hAnsi="標楷體" w:hint="eastAsia"/>
        </w:rPr>
        <w:t xml:space="preserve">　　至105年底止，農糧產品累計通過驗證農戶924戶，面積9,994公頃，水產品部分則有563戶通過驗證，畜禽產品則有191戶通過驗證，產值合計逾60億元</w:t>
      </w:r>
    </w:p>
    <w:p w:rsidR="00C136FA" w:rsidRPr="00BB72CE" w:rsidRDefault="00C136FA" w:rsidP="00C136FA">
      <w:pPr>
        <w:pStyle w:val="42"/>
        <w:ind w:leftChars="300" w:left="1020" w:firstLine="680"/>
      </w:pPr>
      <w:r w:rsidRPr="00BB72CE">
        <w:rPr>
          <w:rFonts w:hint="eastAsia"/>
        </w:rPr>
        <w:t>至近5年（101至105年）各年度推廣概況，其中有機農產品中，以占大宗之有機農糧產品論，各年度有機耕作面積分別為5,554、5,561、6,071、6,490及6,784公頃，呈逐年成長現象；另產銷履歷農糧產品</w:t>
      </w:r>
      <w:r w:rsidR="0090493B" w:rsidRPr="00BB72CE">
        <w:rPr>
          <w:rFonts w:hint="eastAsia"/>
        </w:rPr>
        <w:t>(TAP)</w:t>
      </w:r>
      <w:r w:rsidRPr="00BB72CE">
        <w:rPr>
          <w:rFonts w:hint="eastAsia"/>
        </w:rPr>
        <w:t>各年度通過驗證戶數分別為264、310、470、669及924戶，而面積分別為3,984、4,382、7,139、8,265及9,994公頃，有大幅成長趨勢；台灣優良農產品(CAS)部分，各年度產值分別為516.6、469.7、459.7、408.4及458.6億元，自101至104年呈減少現象，而105年則略提升至458.6億元，近5年平均產值高達462億元以上（詳如下表1</w:t>
      </w:r>
      <w:r w:rsidR="00CC2B9C" w:rsidRPr="00BB72CE">
        <w:rPr>
          <w:rFonts w:hint="eastAsia"/>
        </w:rPr>
        <w:t>9</w:t>
      </w:r>
      <w:r w:rsidRPr="00BB72CE">
        <w:rPr>
          <w:rFonts w:hint="eastAsia"/>
        </w:rPr>
        <w:t>）。整體而言，近年農委會所推動之有機農產品、產銷履歷農產品</w:t>
      </w:r>
      <w:r w:rsidR="0090493B" w:rsidRPr="00BB72CE">
        <w:rPr>
          <w:rFonts w:hint="eastAsia"/>
        </w:rPr>
        <w:t>(TAP)</w:t>
      </w:r>
      <w:r w:rsidRPr="00BB72CE">
        <w:rPr>
          <w:rFonts w:hint="eastAsia"/>
        </w:rPr>
        <w:t>驗證之面積範圍逐年增加，另台灣優良農產品(CAS)產值平均也達462億元以上，顯見農產品驗證標章制度頗具成效。</w:t>
      </w:r>
    </w:p>
    <w:p w:rsidR="00C136FA" w:rsidRPr="00BB72CE" w:rsidRDefault="00C136FA" w:rsidP="00DD0108">
      <w:pPr>
        <w:pStyle w:val="a4"/>
        <w:jc w:val="center"/>
      </w:pPr>
      <w:bookmarkStart w:id="58" w:name="_Toc499803987"/>
      <w:r w:rsidRPr="00BB72CE">
        <w:rPr>
          <w:rFonts w:hint="eastAsia"/>
        </w:rPr>
        <w:t xml:space="preserve">101至105年驗證農產品執行成果   </w:t>
      </w:r>
      <w:r w:rsidR="005C25D5" w:rsidRPr="00BB72CE">
        <w:rPr>
          <w:rFonts w:hint="eastAsia"/>
        </w:rPr>
        <w:t xml:space="preserve">    </w:t>
      </w:r>
      <w:r w:rsidRPr="00BB72CE">
        <w:rPr>
          <w:rFonts w:hint="eastAsia"/>
          <w:sz w:val="24"/>
          <w:szCs w:val="24"/>
        </w:rPr>
        <w:t>（單位：戶、公頃、億元）</w:t>
      </w:r>
      <w:bookmarkEnd w:id="58"/>
    </w:p>
    <w:tbl>
      <w:tblPr>
        <w:tblStyle w:val="afc"/>
        <w:tblW w:w="0" w:type="auto"/>
        <w:jc w:val="center"/>
        <w:tblCellMar>
          <w:left w:w="28" w:type="dxa"/>
          <w:right w:w="28" w:type="dxa"/>
        </w:tblCellMar>
        <w:tblLook w:val="04A0" w:firstRow="1" w:lastRow="0" w:firstColumn="1" w:lastColumn="0" w:noHBand="0" w:noVBand="1"/>
      </w:tblPr>
      <w:tblGrid>
        <w:gridCol w:w="1671"/>
        <w:gridCol w:w="1569"/>
        <w:gridCol w:w="907"/>
        <w:gridCol w:w="907"/>
        <w:gridCol w:w="907"/>
        <w:gridCol w:w="907"/>
        <w:gridCol w:w="907"/>
      </w:tblGrid>
      <w:tr w:rsidR="00C136FA" w:rsidRPr="00BB72CE" w:rsidTr="00C9605D">
        <w:trPr>
          <w:trHeight w:val="283"/>
          <w:tblHeader/>
          <w:jc w:val="center"/>
        </w:trPr>
        <w:tc>
          <w:tcPr>
            <w:tcW w:w="1671" w:type="dxa"/>
            <w:vAlign w:val="center"/>
          </w:tcPr>
          <w:p w:rsidR="00C136FA" w:rsidRPr="00BB72CE" w:rsidRDefault="00C136FA" w:rsidP="00C9605D">
            <w:pPr>
              <w:pStyle w:val="14"/>
              <w:spacing w:line="280" w:lineRule="exact"/>
              <w:jc w:val="center"/>
              <w:rPr>
                <w:szCs w:val="28"/>
              </w:rPr>
            </w:pPr>
            <w:r w:rsidRPr="00BB72CE">
              <w:rPr>
                <w:rFonts w:hint="eastAsia"/>
                <w:szCs w:val="28"/>
              </w:rPr>
              <w:t>標章</w:t>
            </w:r>
          </w:p>
        </w:tc>
        <w:tc>
          <w:tcPr>
            <w:tcW w:w="0" w:type="auto"/>
            <w:vAlign w:val="center"/>
          </w:tcPr>
          <w:p w:rsidR="00C136FA" w:rsidRPr="00BB72CE" w:rsidRDefault="00C136FA" w:rsidP="00C9605D">
            <w:pPr>
              <w:pStyle w:val="14"/>
              <w:spacing w:line="280" w:lineRule="exact"/>
              <w:jc w:val="center"/>
              <w:rPr>
                <w:szCs w:val="28"/>
              </w:rPr>
            </w:pPr>
            <w:r w:rsidRPr="00BB72CE">
              <w:rPr>
                <w:rFonts w:hint="eastAsia"/>
                <w:szCs w:val="28"/>
              </w:rPr>
              <w:t>成果指標</w:t>
            </w:r>
          </w:p>
        </w:tc>
        <w:tc>
          <w:tcPr>
            <w:tcW w:w="907" w:type="dxa"/>
            <w:vAlign w:val="center"/>
          </w:tcPr>
          <w:p w:rsidR="00C136FA" w:rsidRPr="00BB72CE" w:rsidRDefault="00C136FA" w:rsidP="00C9605D">
            <w:pPr>
              <w:pStyle w:val="14"/>
              <w:spacing w:line="280" w:lineRule="exact"/>
              <w:jc w:val="center"/>
              <w:rPr>
                <w:szCs w:val="28"/>
              </w:rPr>
            </w:pPr>
            <w:r w:rsidRPr="00BB72CE">
              <w:rPr>
                <w:rFonts w:hint="eastAsia"/>
                <w:szCs w:val="28"/>
              </w:rPr>
              <w:t>101年</w:t>
            </w:r>
          </w:p>
        </w:tc>
        <w:tc>
          <w:tcPr>
            <w:tcW w:w="907" w:type="dxa"/>
            <w:vAlign w:val="center"/>
          </w:tcPr>
          <w:p w:rsidR="00C136FA" w:rsidRPr="00BB72CE" w:rsidRDefault="00C136FA" w:rsidP="00C9605D">
            <w:pPr>
              <w:pStyle w:val="14"/>
              <w:spacing w:line="280" w:lineRule="exact"/>
              <w:jc w:val="center"/>
              <w:rPr>
                <w:szCs w:val="28"/>
              </w:rPr>
            </w:pPr>
            <w:r w:rsidRPr="00BB72CE">
              <w:rPr>
                <w:rFonts w:hint="eastAsia"/>
                <w:szCs w:val="28"/>
              </w:rPr>
              <w:t>102年</w:t>
            </w:r>
          </w:p>
        </w:tc>
        <w:tc>
          <w:tcPr>
            <w:tcW w:w="907" w:type="dxa"/>
            <w:vAlign w:val="center"/>
          </w:tcPr>
          <w:p w:rsidR="00C136FA" w:rsidRPr="00BB72CE" w:rsidRDefault="00C136FA" w:rsidP="00C9605D">
            <w:pPr>
              <w:pStyle w:val="14"/>
              <w:spacing w:line="280" w:lineRule="exact"/>
              <w:jc w:val="center"/>
              <w:rPr>
                <w:szCs w:val="28"/>
              </w:rPr>
            </w:pPr>
            <w:r w:rsidRPr="00BB72CE">
              <w:rPr>
                <w:rFonts w:hint="eastAsia"/>
                <w:szCs w:val="28"/>
              </w:rPr>
              <w:t>103年</w:t>
            </w:r>
          </w:p>
        </w:tc>
        <w:tc>
          <w:tcPr>
            <w:tcW w:w="907" w:type="dxa"/>
            <w:vAlign w:val="center"/>
          </w:tcPr>
          <w:p w:rsidR="00C136FA" w:rsidRPr="00BB72CE" w:rsidRDefault="00C136FA" w:rsidP="00C9605D">
            <w:pPr>
              <w:pStyle w:val="14"/>
              <w:spacing w:line="280" w:lineRule="exact"/>
              <w:jc w:val="center"/>
              <w:rPr>
                <w:szCs w:val="28"/>
              </w:rPr>
            </w:pPr>
            <w:r w:rsidRPr="00BB72CE">
              <w:rPr>
                <w:rFonts w:hint="eastAsia"/>
                <w:szCs w:val="28"/>
              </w:rPr>
              <w:t>104年</w:t>
            </w:r>
          </w:p>
        </w:tc>
        <w:tc>
          <w:tcPr>
            <w:tcW w:w="907" w:type="dxa"/>
            <w:vAlign w:val="center"/>
          </w:tcPr>
          <w:p w:rsidR="00C136FA" w:rsidRPr="00BB72CE" w:rsidRDefault="00C136FA" w:rsidP="00C9605D">
            <w:pPr>
              <w:pStyle w:val="14"/>
              <w:spacing w:line="280" w:lineRule="exact"/>
              <w:jc w:val="center"/>
              <w:rPr>
                <w:szCs w:val="28"/>
              </w:rPr>
            </w:pPr>
            <w:r w:rsidRPr="00BB72CE">
              <w:rPr>
                <w:rFonts w:hint="eastAsia"/>
                <w:szCs w:val="28"/>
              </w:rPr>
              <w:t>105年</w:t>
            </w:r>
          </w:p>
        </w:tc>
      </w:tr>
      <w:tr w:rsidR="00C136FA" w:rsidRPr="00BB72CE" w:rsidTr="00C9605D">
        <w:trPr>
          <w:trHeight w:val="283"/>
          <w:jc w:val="center"/>
        </w:trPr>
        <w:tc>
          <w:tcPr>
            <w:tcW w:w="1671" w:type="dxa"/>
            <w:vMerge w:val="restart"/>
            <w:vAlign w:val="center"/>
          </w:tcPr>
          <w:p w:rsidR="00C136FA" w:rsidRPr="00BB72CE" w:rsidRDefault="00C136FA" w:rsidP="00C9605D">
            <w:pPr>
              <w:pStyle w:val="14"/>
              <w:spacing w:line="280" w:lineRule="exact"/>
              <w:rPr>
                <w:szCs w:val="28"/>
              </w:rPr>
            </w:pPr>
            <w:r w:rsidRPr="00BB72CE">
              <w:rPr>
                <w:rFonts w:hint="eastAsia"/>
                <w:szCs w:val="28"/>
              </w:rPr>
              <w:t>有機農糧產品</w:t>
            </w:r>
          </w:p>
        </w:tc>
        <w:tc>
          <w:tcPr>
            <w:tcW w:w="0" w:type="auto"/>
            <w:vAlign w:val="center"/>
          </w:tcPr>
          <w:p w:rsidR="00C136FA" w:rsidRPr="00BB72CE" w:rsidRDefault="00C136FA" w:rsidP="00C9605D">
            <w:pPr>
              <w:pStyle w:val="14"/>
              <w:spacing w:line="280" w:lineRule="exact"/>
              <w:rPr>
                <w:szCs w:val="28"/>
              </w:rPr>
            </w:pPr>
            <w:r w:rsidRPr="00BB72CE">
              <w:rPr>
                <w:rFonts w:hint="eastAsia"/>
                <w:szCs w:val="28"/>
              </w:rPr>
              <w:t>農戶數</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2,625</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2,786</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3,038</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2,598</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2,932</w:t>
            </w:r>
          </w:p>
        </w:tc>
      </w:tr>
      <w:tr w:rsidR="00C136FA" w:rsidRPr="00BB72CE" w:rsidTr="00C9605D">
        <w:trPr>
          <w:trHeight w:val="283"/>
          <w:jc w:val="center"/>
        </w:trPr>
        <w:tc>
          <w:tcPr>
            <w:tcW w:w="1671" w:type="dxa"/>
            <w:vMerge/>
            <w:vAlign w:val="center"/>
          </w:tcPr>
          <w:p w:rsidR="00C136FA" w:rsidRPr="00BB72CE" w:rsidRDefault="00C136FA" w:rsidP="00C9605D">
            <w:pPr>
              <w:pStyle w:val="14"/>
              <w:spacing w:line="280" w:lineRule="exact"/>
              <w:rPr>
                <w:szCs w:val="28"/>
              </w:rPr>
            </w:pPr>
          </w:p>
        </w:tc>
        <w:tc>
          <w:tcPr>
            <w:tcW w:w="0" w:type="auto"/>
            <w:vAlign w:val="center"/>
          </w:tcPr>
          <w:p w:rsidR="00C136FA" w:rsidRPr="00BB72CE" w:rsidRDefault="00C136FA" w:rsidP="00C9605D">
            <w:pPr>
              <w:pStyle w:val="14"/>
              <w:spacing w:line="280" w:lineRule="exact"/>
              <w:rPr>
                <w:szCs w:val="28"/>
              </w:rPr>
            </w:pPr>
            <w:r w:rsidRPr="00BB72CE">
              <w:rPr>
                <w:rFonts w:hint="eastAsia"/>
                <w:szCs w:val="28"/>
              </w:rPr>
              <w:t>面積</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5,554</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5,561</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6,071</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6,490</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6,784</w:t>
            </w:r>
          </w:p>
        </w:tc>
      </w:tr>
      <w:tr w:rsidR="00C136FA" w:rsidRPr="00BB72CE" w:rsidTr="00C9605D">
        <w:trPr>
          <w:trHeight w:val="283"/>
          <w:jc w:val="center"/>
        </w:trPr>
        <w:tc>
          <w:tcPr>
            <w:tcW w:w="1671" w:type="dxa"/>
            <w:vMerge w:val="restart"/>
            <w:vAlign w:val="center"/>
          </w:tcPr>
          <w:p w:rsidR="00C136FA" w:rsidRPr="00BB72CE" w:rsidRDefault="00C136FA" w:rsidP="00C9605D">
            <w:pPr>
              <w:pStyle w:val="14"/>
              <w:spacing w:line="280" w:lineRule="exact"/>
              <w:rPr>
                <w:szCs w:val="28"/>
              </w:rPr>
            </w:pPr>
            <w:r w:rsidRPr="00BB72CE">
              <w:rPr>
                <w:rFonts w:hint="eastAsia"/>
                <w:szCs w:val="28"/>
              </w:rPr>
              <w:t>有機藻類</w:t>
            </w:r>
          </w:p>
        </w:tc>
        <w:tc>
          <w:tcPr>
            <w:tcW w:w="0" w:type="auto"/>
            <w:vAlign w:val="center"/>
          </w:tcPr>
          <w:p w:rsidR="00C136FA" w:rsidRPr="00BB72CE" w:rsidRDefault="00C136FA" w:rsidP="00C9605D">
            <w:pPr>
              <w:pStyle w:val="14"/>
              <w:spacing w:line="280" w:lineRule="exact"/>
              <w:rPr>
                <w:szCs w:val="28"/>
              </w:rPr>
            </w:pPr>
            <w:r w:rsidRPr="00BB72CE">
              <w:rPr>
                <w:rFonts w:hint="eastAsia"/>
                <w:szCs w:val="28"/>
              </w:rPr>
              <w:t>廠商數</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8</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8</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10</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5</w:t>
            </w:r>
          </w:p>
        </w:tc>
      </w:tr>
      <w:tr w:rsidR="00C136FA" w:rsidRPr="00BB72CE" w:rsidTr="00C9605D">
        <w:trPr>
          <w:trHeight w:val="283"/>
          <w:jc w:val="center"/>
        </w:trPr>
        <w:tc>
          <w:tcPr>
            <w:tcW w:w="1671" w:type="dxa"/>
            <w:vMerge/>
            <w:vAlign w:val="center"/>
          </w:tcPr>
          <w:p w:rsidR="00C136FA" w:rsidRPr="00BB72CE" w:rsidRDefault="00C136FA" w:rsidP="00C9605D">
            <w:pPr>
              <w:pStyle w:val="14"/>
              <w:spacing w:line="280" w:lineRule="exact"/>
              <w:rPr>
                <w:szCs w:val="28"/>
              </w:rPr>
            </w:pPr>
          </w:p>
        </w:tc>
        <w:tc>
          <w:tcPr>
            <w:tcW w:w="0" w:type="auto"/>
            <w:vAlign w:val="center"/>
          </w:tcPr>
          <w:p w:rsidR="00C136FA" w:rsidRPr="00BB72CE" w:rsidRDefault="00C136FA" w:rsidP="00C9605D">
            <w:pPr>
              <w:pStyle w:val="14"/>
              <w:spacing w:line="280" w:lineRule="exact"/>
              <w:rPr>
                <w:szCs w:val="28"/>
              </w:rPr>
            </w:pPr>
            <w:r w:rsidRPr="00BB72CE">
              <w:rPr>
                <w:rFonts w:hint="eastAsia"/>
                <w:szCs w:val="28"/>
              </w:rPr>
              <w:t>產品數</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68</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75</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605</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52</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35</w:t>
            </w:r>
          </w:p>
        </w:tc>
      </w:tr>
      <w:tr w:rsidR="00C136FA" w:rsidRPr="00BB72CE" w:rsidTr="00C9605D">
        <w:trPr>
          <w:trHeight w:val="283"/>
          <w:jc w:val="center"/>
        </w:trPr>
        <w:tc>
          <w:tcPr>
            <w:tcW w:w="1671" w:type="dxa"/>
            <w:vMerge w:val="restart"/>
            <w:vAlign w:val="center"/>
          </w:tcPr>
          <w:p w:rsidR="00C136FA" w:rsidRPr="00BB72CE" w:rsidRDefault="00C136FA" w:rsidP="00C9605D">
            <w:pPr>
              <w:pStyle w:val="14"/>
              <w:spacing w:line="280" w:lineRule="exact"/>
              <w:rPr>
                <w:szCs w:val="28"/>
              </w:rPr>
            </w:pPr>
            <w:r w:rsidRPr="00BB72CE">
              <w:rPr>
                <w:rFonts w:hint="eastAsia"/>
                <w:szCs w:val="28"/>
              </w:rPr>
              <w:t>產銷履歷</w:t>
            </w:r>
          </w:p>
          <w:p w:rsidR="00C136FA" w:rsidRPr="00BB72CE" w:rsidRDefault="00C136FA" w:rsidP="00C9605D">
            <w:pPr>
              <w:pStyle w:val="14"/>
              <w:spacing w:line="280" w:lineRule="exact"/>
              <w:rPr>
                <w:szCs w:val="28"/>
              </w:rPr>
            </w:pPr>
            <w:r w:rsidRPr="00BB72CE">
              <w:rPr>
                <w:rFonts w:hint="eastAsia"/>
                <w:szCs w:val="28"/>
              </w:rPr>
              <w:t>農糧產品</w:t>
            </w:r>
          </w:p>
        </w:tc>
        <w:tc>
          <w:tcPr>
            <w:tcW w:w="0" w:type="auto"/>
            <w:vAlign w:val="center"/>
          </w:tcPr>
          <w:p w:rsidR="00C136FA" w:rsidRPr="00BB72CE" w:rsidRDefault="00C136FA" w:rsidP="00C9605D">
            <w:pPr>
              <w:pStyle w:val="14"/>
              <w:spacing w:line="280" w:lineRule="exact"/>
              <w:rPr>
                <w:szCs w:val="28"/>
              </w:rPr>
            </w:pPr>
            <w:r w:rsidRPr="00BB72CE">
              <w:rPr>
                <w:rFonts w:hint="eastAsia"/>
                <w:szCs w:val="28"/>
              </w:rPr>
              <w:t>通過驗證戶數</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264</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310</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470</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669</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924</w:t>
            </w:r>
          </w:p>
        </w:tc>
      </w:tr>
      <w:tr w:rsidR="00C136FA" w:rsidRPr="00BB72CE" w:rsidTr="00C9605D">
        <w:trPr>
          <w:trHeight w:val="283"/>
          <w:jc w:val="center"/>
        </w:trPr>
        <w:tc>
          <w:tcPr>
            <w:tcW w:w="1671" w:type="dxa"/>
            <w:vMerge/>
          </w:tcPr>
          <w:p w:rsidR="00C136FA" w:rsidRPr="00BB72CE" w:rsidRDefault="00C136FA" w:rsidP="00C9605D">
            <w:pPr>
              <w:pStyle w:val="14"/>
              <w:spacing w:line="280" w:lineRule="exact"/>
              <w:rPr>
                <w:szCs w:val="28"/>
              </w:rPr>
            </w:pPr>
          </w:p>
        </w:tc>
        <w:tc>
          <w:tcPr>
            <w:tcW w:w="0" w:type="auto"/>
            <w:vAlign w:val="center"/>
          </w:tcPr>
          <w:p w:rsidR="00C136FA" w:rsidRPr="00BB72CE" w:rsidRDefault="00C136FA" w:rsidP="00C9605D">
            <w:pPr>
              <w:pStyle w:val="14"/>
              <w:spacing w:line="280" w:lineRule="exact"/>
              <w:rPr>
                <w:szCs w:val="28"/>
              </w:rPr>
            </w:pPr>
            <w:r w:rsidRPr="00BB72CE">
              <w:rPr>
                <w:rFonts w:hint="eastAsia"/>
                <w:szCs w:val="28"/>
              </w:rPr>
              <w:t>面積</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3,984</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4,382</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7,139</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8,265</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9,994</w:t>
            </w:r>
          </w:p>
        </w:tc>
      </w:tr>
      <w:tr w:rsidR="00C136FA" w:rsidRPr="00BB72CE" w:rsidTr="00C9605D">
        <w:trPr>
          <w:trHeight w:val="283"/>
          <w:jc w:val="center"/>
        </w:trPr>
        <w:tc>
          <w:tcPr>
            <w:tcW w:w="1671" w:type="dxa"/>
            <w:vAlign w:val="center"/>
          </w:tcPr>
          <w:p w:rsidR="00C136FA" w:rsidRPr="00BB72CE" w:rsidRDefault="00C136FA" w:rsidP="00C9605D">
            <w:pPr>
              <w:pStyle w:val="14"/>
              <w:spacing w:line="280" w:lineRule="exact"/>
              <w:rPr>
                <w:szCs w:val="28"/>
              </w:rPr>
            </w:pPr>
            <w:r w:rsidRPr="00BB72CE">
              <w:rPr>
                <w:rFonts w:hint="eastAsia"/>
                <w:szCs w:val="28"/>
              </w:rPr>
              <w:t>產銷履歷</w:t>
            </w:r>
          </w:p>
          <w:p w:rsidR="00C136FA" w:rsidRPr="00BB72CE" w:rsidRDefault="00C136FA" w:rsidP="00C9605D">
            <w:pPr>
              <w:pStyle w:val="14"/>
              <w:spacing w:line="280" w:lineRule="exact"/>
              <w:rPr>
                <w:szCs w:val="28"/>
              </w:rPr>
            </w:pPr>
            <w:r w:rsidRPr="00BB72CE">
              <w:rPr>
                <w:rFonts w:hint="eastAsia"/>
                <w:szCs w:val="28"/>
              </w:rPr>
              <w:t>水產品</w:t>
            </w:r>
          </w:p>
        </w:tc>
        <w:tc>
          <w:tcPr>
            <w:tcW w:w="0" w:type="auto"/>
            <w:vAlign w:val="center"/>
          </w:tcPr>
          <w:p w:rsidR="00C136FA" w:rsidRPr="00BB72CE" w:rsidRDefault="00C136FA" w:rsidP="00C9605D">
            <w:pPr>
              <w:pStyle w:val="14"/>
              <w:spacing w:line="280" w:lineRule="exact"/>
              <w:rPr>
                <w:szCs w:val="28"/>
              </w:rPr>
            </w:pPr>
            <w:r w:rsidRPr="00BB72CE">
              <w:rPr>
                <w:rFonts w:hint="eastAsia"/>
                <w:szCs w:val="28"/>
              </w:rPr>
              <w:t>通過驗證戶數</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507</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580</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650</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676</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563</w:t>
            </w:r>
          </w:p>
        </w:tc>
      </w:tr>
      <w:tr w:rsidR="00C136FA" w:rsidRPr="00BB72CE" w:rsidTr="00C9605D">
        <w:trPr>
          <w:trHeight w:val="283"/>
          <w:jc w:val="center"/>
        </w:trPr>
        <w:tc>
          <w:tcPr>
            <w:tcW w:w="1671" w:type="dxa"/>
            <w:vAlign w:val="center"/>
          </w:tcPr>
          <w:p w:rsidR="00C136FA" w:rsidRPr="00BB72CE" w:rsidRDefault="00C136FA" w:rsidP="00C9605D">
            <w:pPr>
              <w:pStyle w:val="14"/>
              <w:spacing w:line="280" w:lineRule="exact"/>
              <w:rPr>
                <w:szCs w:val="28"/>
              </w:rPr>
            </w:pPr>
            <w:r w:rsidRPr="00BB72CE">
              <w:rPr>
                <w:rFonts w:hint="eastAsia"/>
                <w:szCs w:val="28"/>
              </w:rPr>
              <w:t>優良農產品</w:t>
            </w:r>
          </w:p>
        </w:tc>
        <w:tc>
          <w:tcPr>
            <w:tcW w:w="0" w:type="auto"/>
            <w:vAlign w:val="center"/>
          </w:tcPr>
          <w:p w:rsidR="00C136FA" w:rsidRPr="00BB72CE" w:rsidRDefault="00C136FA" w:rsidP="00C9605D">
            <w:pPr>
              <w:pStyle w:val="14"/>
              <w:spacing w:line="280" w:lineRule="exact"/>
              <w:rPr>
                <w:szCs w:val="28"/>
              </w:rPr>
            </w:pPr>
            <w:r w:rsidRPr="00BB72CE">
              <w:rPr>
                <w:rFonts w:hint="eastAsia"/>
                <w:szCs w:val="28"/>
              </w:rPr>
              <w:t>產值</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516.6</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469.7</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459.7</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408.4</w:t>
            </w:r>
          </w:p>
        </w:tc>
        <w:tc>
          <w:tcPr>
            <w:tcW w:w="907" w:type="dxa"/>
            <w:vAlign w:val="center"/>
          </w:tcPr>
          <w:p w:rsidR="00C136FA" w:rsidRPr="00BB72CE" w:rsidRDefault="00C136FA" w:rsidP="00C9605D">
            <w:pPr>
              <w:pStyle w:val="14"/>
              <w:spacing w:line="280" w:lineRule="exact"/>
              <w:jc w:val="right"/>
              <w:rPr>
                <w:szCs w:val="28"/>
              </w:rPr>
            </w:pPr>
            <w:r w:rsidRPr="00BB72CE">
              <w:rPr>
                <w:rFonts w:hint="eastAsia"/>
                <w:szCs w:val="28"/>
              </w:rPr>
              <w:t>458.6</w:t>
            </w:r>
          </w:p>
        </w:tc>
      </w:tr>
    </w:tbl>
    <w:p w:rsidR="00C136FA" w:rsidRPr="00BB72CE" w:rsidRDefault="00C136FA" w:rsidP="00C136FA">
      <w:pPr>
        <w:pStyle w:val="5"/>
        <w:numPr>
          <w:ilvl w:val="0"/>
          <w:numId w:val="0"/>
        </w:numPr>
        <w:ind w:leftChars="200" w:left="680"/>
        <w:rPr>
          <w:rFonts w:hAnsi="標楷體"/>
          <w:sz w:val="24"/>
          <w:szCs w:val="24"/>
        </w:rPr>
      </w:pPr>
      <w:r w:rsidRPr="00BB72CE">
        <w:rPr>
          <w:rFonts w:hAnsi="標楷體" w:hint="eastAsia"/>
          <w:sz w:val="24"/>
          <w:szCs w:val="24"/>
        </w:rPr>
        <w:t>資料來源：農委會。</w:t>
      </w:r>
    </w:p>
    <w:p w:rsidR="0090493B" w:rsidRPr="00BB72CE" w:rsidRDefault="0090493B" w:rsidP="00C136FA">
      <w:pPr>
        <w:pStyle w:val="5"/>
        <w:numPr>
          <w:ilvl w:val="0"/>
          <w:numId w:val="0"/>
        </w:numPr>
        <w:ind w:leftChars="200" w:left="680"/>
        <w:rPr>
          <w:rFonts w:hAnsi="標楷體"/>
          <w:sz w:val="24"/>
          <w:szCs w:val="24"/>
        </w:rPr>
      </w:pPr>
    </w:p>
    <w:p w:rsidR="00C136FA" w:rsidRPr="00BB72CE" w:rsidRDefault="00C136FA" w:rsidP="00C136FA">
      <w:pPr>
        <w:pStyle w:val="3"/>
        <w:numPr>
          <w:ilvl w:val="2"/>
          <w:numId w:val="1"/>
        </w:numPr>
        <w:rPr>
          <w:rFonts w:hAnsi="標楷體"/>
        </w:rPr>
      </w:pPr>
      <w:bookmarkStart w:id="59" w:name="_Toc499802996"/>
      <w:r w:rsidRPr="00BB72CE">
        <w:rPr>
          <w:rFonts w:hAnsi="標楷體" w:hint="eastAsia"/>
        </w:rPr>
        <w:t>惟行政院於105年12月8日經第3526次院會通過</w:t>
      </w:r>
      <w:r w:rsidRPr="00BB72CE">
        <w:rPr>
          <w:rFonts w:hAnsi="標楷體"/>
        </w:rPr>
        <w:t>「新農業創新推動方案」</w:t>
      </w:r>
      <w:r w:rsidRPr="00BB72CE">
        <w:rPr>
          <w:rFonts w:hAnsi="標楷體" w:hint="eastAsia"/>
        </w:rPr>
        <w:t>，該方案以創新、就業、分配及永續為原則，且以「建立農業新典範」、「建構農業安全體系」及「提升農業行銷能力」等為3大主軸，並推動10項重點政策，其中「建構農業安全體系」的2</w:t>
      </w:r>
      <w:r w:rsidR="0090493B" w:rsidRPr="00BB72CE">
        <w:rPr>
          <w:rFonts w:hAnsi="標楷體" w:hint="eastAsia"/>
        </w:rPr>
        <w:t>項重點政策之一即為「確保農產品安全」，而所執行策略重點為整合吉園圃安全蔬果、</w:t>
      </w:r>
      <w:r w:rsidRPr="00BB72CE">
        <w:rPr>
          <w:rFonts w:hAnsi="標楷體" w:hint="eastAsia"/>
        </w:rPr>
        <w:t>台灣優良農產品(CAS)</w:t>
      </w:r>
      <w:r w:rsidR="0090493B" w:rsidRPr="00BB72CE">
        <w:rPr>
          <w:rFonts w:hAnsi="標楷體" w:hint="eastAsia"/>
        </w:rPr>
        <w:t>及</w:t>
      </w:r>
      <w:r w:rsidRPr="00BB72CE">
        <w:rPr>
          <w:rFonts w:hAnsi="標楷體" w:hint="eastAsia"/>
        </w:rPr>
        <w:t>產銷履歷農產品</w:t>
      </w:r>
      <w:r w:rsidR="0090493B" w:rsidRPr="00BB72CE">
        <w:rPr>
          <w:rFonts w:hAnsi="標楷體" w:hint="eastAsia"/>
        </w:rPr>
        <w:t>(TAP)</w:t>
      </w:r>
      <w:r w:rsidRPr="00BB72CE">
        <w:rPr>
          <w:rFonts w:hAnsi="標楷體" w:hint="eastAsia"/>
        </w:rPr>
        <w:t>標章，並預計於4年內整合為消費者可信任之單一標章制度，且與國外認證接軌。至於整合現有標章之緣由，農委會說明略以</w:t>
      </w:r>
      <w:r w:rsidRPr="00BB72CE">
        <w:rPr>
          <w:rStyle w:val="aff5"/>
          <w:rFonts w:hAnsi="標楷體"/>
        </w:rPr>
        <w:footnoteReference w:id="4"/>
      </w:r>
      <w:r w:rsidRPr="00BB72CE">
        <w:rPr>
          <w:rFonts w:hAnsi="標楷體" w:hint="eastAsia"/>
        </w:rPr>
        <w:t>，</w:t>
      </w:r>
      <w:r w:rsidRPr="00BB72CE">
        <w:rPr>
          <w:rFonts w:hAnsi="標楷體" w:hint="eastAsia"/>
          <w:bCs w:val="0"/>
          <w:szCs w:val="32"/>
        </w:rPr>
        <w:t>現行各項農產品標章所依循之法規及其標章圖樣、制度內容、認驗證機制等有所不同，使消費者較難明確瞭解各標章代表之意涵及其價值，亦導致經營業者難以選擇參與何項標章制度，實不利上述標章制度推動目的之達成，故為使農產品標章制度充分發揮功能，業已於105年9月啟動農產品標章整合規劃，規劃內容係以消費者角度出發，研擬整合之事宜，冀使消費者易於瞭解且可信賴、可確保農產品安全品質及與國際接軌之農產品標章制度。</w:t>
      </w:r>
      <w:bookmarkEnd w:id="59"/>
    </w:p>
    <w:p w:rsidR="00C136FA" w:rsidRPr="00BB72CE" w:rsidRDefault="00C136FA" w:rsidP="00C136FA">
      <w:pPr>
        <w:pStyle w:val="3"/>
        <w:numPr>
          <w:ilvl w:val="2"/>
          <w:numId w:val="1"/>
        </w:numPr>
        <w:rPr>
          <w:rFonts w:hAnsi="標楷體"/>
        </w:rPr>
      </w:pPr>
      <w:bookmarkStart w:id="60" w:name="_Toc499802997"/>
      <w:r w:rsidRPr="00BB72CE">
        <w:rPr>
          <w:rFonts w:hAnsi="標楷體" w:hint="eastAsia"/>
          <w:szCs w:val="32"/>
        </w:rPr>
        <w:lastRenderedPageBreak/>
        <w:t>另關於目前整合規劃及進度，農委會表示略以</w:t>
      </w:r>
      <w:r w:rsidRPr="00BB72CE">
        <w:rPr>
          <w:rStyle w:val="aff5"/>
          <w:rFonts w:hAnsi="標楷體"/>
          <w:szCs w:val="32"/>
        </w:rPr>
        <w:footnoteReference w:id="5"/>
      </w:r>
      <w:r w:rsidRPr="00BB72CE">
        <w:rPr>
          <w:rFonts w:hAnsi="標楷體" w:hint="eastAsia"/>
          <w:szCs w:val="32"/>
        </w:rPr>
        <w:t>，規劃整合成2項標章，一是</w:t>
      </w:r>
      <w:r w:rsidRPr="00BB72CE">
        <w:rPr>
          <w:rFonts w:hAnsi="標楷體" w:hint="eastAsia"/>
          <w:bCs w:val="0"/>
          <w:szCs w:val="32"/>
        </w:rPr>
        <w:t>採有機農法，強調不使用化學品的「有機農產品標章」，另一是採慣行農法，並要求合理合法使用相關資材的「台灣良好農業規範(TGAP)標章」，相關具體作法及進度如下：</w:t>
      </w:r>
      <w:bookmarkEnd w:id="60"/>
    </w:p>
    <w:p w:rsidR="00C136FA" w:rsidRPr="00BB72CE" w:rsidRDefault="00C136FA" w:rsidP="00C136FA">
      <w:pPr>
        <w:pStyle w:val="4"/>
        <w:numPr>
          <w:ilvl w:val="3"/>
          <w:numId w:val="1"/>
        </w:numPr>
        <w:rPr>
          <w:rFonts w:hAnsi="標楷體"/>
        </w:rPr>
      </w:pPr>
      <w:r w:rsidRPr="00BB72CE">
        <w:rPr>
          <w:rFonts w:hAnsi="標楷體"/>
        </w:rPr>
        <w:t>有機農產品標章：</w:t>
      </w:r>
    </w:p>
    <w:p w:rsidR="00C136FA" w:rsidRPr="00BB72CE" w:rsidRDefault="00C136FA" w:rsidP="00C136FA">
      <w:pPr>
        <w:pStyle w:val="5"/>
        <w:numPr>
          <w:ilvl w:val="4"/>
          <w:numId w:val="1"/>
        </w:numPr>
        <w:rPr>
          <w:rFonts w:hAnsi="標楷體"/>
        </w:rPr>
      </w:pPr>
      <w:r w:rsidRPr="00BB72CE">
        <w:rPr>
          <w:rFonts w:hAnsi="標楷體"/>
        </w:rPr>
        <w:t>因有機農產品產製過程有其特殊性，且將制定有機農業促進法，將依該法持續推動；惟現行有機農產品標章圖式與</w:t>
      </w:r>
      <w:r w:rsidRPr="00BB72CE">
        <w:rPr>
          <w:rFonts w:hAnsi="標楷體" w:hint="eastAsia"/>
        </w:rPr>
        <w:t>台灣優良農產品</w:t>
      </w:r>
      <w:r w:rsidRPr="00BB72CE">
        <w:rPr>
          <w:rFonts w:hAnsi="標楷體"/>
        </w:rPr>
        <w:t>標章圖式相近，各界反</w:t>
      </w:r>
      <w:r w:rsidRPr="00BB72CE">
        <w:rPr>
          <w:rFonts w:hAnsi="標楷體" w:hint="eastAsia"/>
        </w:rPr>
        <w:t>應</w:t>
      </w:r>
      <w:r w:rsidRPr="00BB72CE">
        <w:rPr>
          <w:rFonts w:hAnsi="標楷體"/>
        </w:rPr>
        <w:t>辨識不易</w:t>
      </w:r>
      <w:r w:rsidRPr="00BB72CE">
        <w:rPr>
          <w:rFonts w:hAnsi="標楷體" w:hint="eastAsia"/>
        </w:rPr>
        <w:t>，故將重新設計有機農產品標章</w:t>
      </w:r>
      <w:r w:rsidRPr="00BB72CE">
        <w:rPr>
          <w:rFonts w:hAnsi="標楷體"/>
        </w:rPr>
        <w:t>。</w:t>
      </w:r>
    </w:p>
    <w:p w:rsidR="00C136FA" w:rsidRPr="00BB72CE" w:rsidRDefault="00C136FA" w:rsidP="00C136FA">
      <w:pPr>
        <w:pStyle w:val="5"/>
        <w:numPr>
          <w:ilvl w:val="4"/>
          <w:numId w:val="1"/>
        </w:numPr>
        <w:rPr>
          <w:rFonts w:hAnsi="標楷體"/>
        </w:rPr>
      </w:pPr>
      <w:r w:rsidRPr="00BB72CE">
        <w:rPr>
          <w:rFonts w:hAnsi="標楷體" w:hint="eastAsia"/>
        </w:rPr>
        <w:t>至</w:t>
      </w:r>
      <w:r w:rsidRPr="00BB72CE">
        <w:rPr>
          <w:rFonts w:hAnsi="標楷體"/>
        </w:rPr>
        <w:t>執行進度，</w:t>
      </w:r>
      <w:r w:rsidRPr="00BB72CE">
        <w:rPr>
          <w:rFonts w:hAnsi="標楷體" w:hint="eastAsia"/>
        </w:rPr>
        <w:t>農委</w:t>
      </w:r>
      <w:r w:rsidRPr="00BB72CE">
        <w:rPr>
          <w:rFonts w:hAnsi="標楷體"/>
        </w:rPr>
        <w:t>會農糧署</w:t>
      </w:r>
      <w:r w:rsidRPr="00BB72CE">
        <w:rPr>
          <w:rFonts w:hAnsi="標楷體" w:hint="eastAsia"/>
        </w:rPr>
        <w:t>已</w:t>
      </w:r>
      <w:r w:rsidRPr="00BB72CE">
        <w:rPr>
          <w:rFonts w:hAnsi="標楷體"/>
        </w:rPr>
        <w:t>重新設計有機農產品標章，並完成上網徵詢各界意見，</w:t>
      </w:r>
      <w:r w:rsidRPr="00BB72CE">
        <w:rPr>
          <w:rFonts w:hAnsi="標楷體" w:hint="eastAsia"/>
        </w:rPr>
        <w:t>決定後將</w:t>
      </w:r>
      <w:r w:rsidRPr="00BB72CE">
        <w:rPr>
          <w:rFonts w:hAnsi="標楷體"/>
        </w:rPr>
        <w:t>加強宣導標章圖式更新。</w:t>
      </w:r>
    </w:p>
    <w:p w:rsidR="00C136FA" w:rsidRPr="00BB72CE" w:rsidRDefault="00C136FA" w:rsidP="00C136FA">
      <w:pPr>
        <w:pStyle w:val="4"/>
        <w:numPr>
          <w:ilvl w:val="3"/>
          <w:numId w:val="1"/>
        </w:numPr>
        <w:rPr>
          <w:rFonts w:hAnsi="標楷體"/>
        </w:rPr>
      </w:pPr>
      <w:r w:rsidRPr="00BB72CE">
        <w:rPr>
          <w:rFonts w:hAnsi="標楷體"/>
        </w:rPr>
        <w:t>TGAP標章：</w:t>
      </w:r>
    </w:p>
    <w:p w:rsidR="00C136FA" w:rsidRPr="00BB72CE" w:rsidRDefault="00C136FA" w:rsidP="00C136FA">
      <w:pPr>
        <w:pStyle w:val="5"/>
        <w:numPr>
          <w:ilvl w:val="4"/>
          <w:numId w:val="1"/>
        </w:numPr>
        <w:rPr>
          <w:rFonts w:hAnsi="標楷體"/>
        </w:rPr>
      </w:pPr>
      <w:r w:rsidRPr="00BB72CE">
        <w:rPr>
          <w:rFonts w:hAnsi="標楷體"/>
        </w:rPr>
        <w:t>整合方向朝融入吉園圃安全蔬果標章、</w:t>
      </w:r>
      <w:r w:rsidRPr="00BB72CE">
        <w:rPr>
          <w:rFonts w:hAnsi="標楷體" w:hint="eastAsia"/>
        </w:rPr>
        <w:t>台灣</w:t>
      </w:r>
      <w:r w:rsidRPr="00BB72CE">
        <w:rPr>
          <w:rFonts w:hAnsi="標楷體"/>
        </w:rPr>
        <w:t>優良農產品標章</w:t>
      </w:r>
      <w:r w:rsidRPr="00BB72CE">
        <w:rPr>
          <w:rFonts w:hAnsi="標楷體" w:hint="eastAsia"/>
        </w:rPr>
        <w:t>(CAS)</w:t>
      </w:r>
      <w:r w:rsidRPr="00BB72CE">
        <w:rPr>
          <w:rFonts w:hAnsi="標楷體"/>
        </w:rPr>
        <w:t>及產銷履歷農產品標章之優點，整合為TGAP標章，並與國際接軌；標章適用範圍涵蓋初級農產品及初級加工農產品，及政策所需之特定食品品項，且將TGAP標章驗證範圍提升為「全程驗證」，含括生產階段及加工階段。</w:t>
      </w:r>
    </w:p>
    <w:p w:rsidR="00C136FA" w:rsidRPr="00BB72CE" w:rsidRDefault="00C136FA" w:rsidP="00C136FA">
      <w:pPr>
        <w:pStyle w:val="5"/>
        <w:numPr>
          <w:ilvl w:val="4"/>
          <w:numId w:val="1"/>
        </w:numPr>
        <w:rPr>
          <w:rFonts w:hAnsi="標楷體"/>
        </w:rPr>
      </w:pPr>
      <w:r w:rsidRPr="00BB72CE">
        <w:rPr>
          <w:rFonts w:hAnsi="標楷體" w:hint="eastAsia"/>
        </w:rPr>
        <w:t>至</w:t>
      </w:r>
      <w:r w:rsidRPr="00BB72CE">
        <w:rPr>
          <w:rFonts w:hAnsi="標楷體"/>
        </w:rPr>
        <w:t>執行進度，已討論</w:t>
      </w:r>
      <w:r w:rsidRPr="00BB72CE">
        <w:rPr>
          <w:rFonts w:hAnsi="標楷體" w:hint="eastAsia"/>
        </w:rPr>
        <w:t>獲致</w:t>
      </w:r>
      <w:r w:rsidRPr="00BB72CE">
        <w:rPr>
          <w:rFonts w:hAnsi="標楷體"/>
        </w:rPr>
        <w:t>農漁畜各類產品驗證基準須納入</w:t>
      </w:r>
      <w:r w:rsidRPr="00BB72CE">
        <w:rPr>
          <w:rFonts w:hAnsi="標楷體" w:hint="eastAsia"/>
        </w:rPr>
        <w:t>之</w:t>
      </w:r>
      <w:r w:rsidRPr="00BB72CE">
        <w:rPr>
          <w:rFonts w:hAnsi="標楷體"/>
        </w:rPr>
        <w:t>項目，後續將由</w:t>
      </w:r>
      <w:r w:rsidRPr="00BB72CE">
        <w:rPr>
          <w:rFonts w:hAnsi="標楷體" w:hint="eastAsia"/>
        </w:rPr>
        <w:t>農委</w:t>
      </w:r>
      <w:r w:rsidRPr="00BB72CE">
        <w:rPr>
          <w:rFonts w:hAnsi="標楷體"/>
        </w:rPr>
        <w:t>會各產業機關（單位）訂定實質的內容，亦同步辦理相關法規修正、規範訂定及人員培訓等細部工作，預計於109年完成整合。</w:t>
      </w:r>
    </w:p>
    <w:p w:rsidR="00C136FA" w:rsidRPr="00BB72CE" w:rsidRDefault="00C136FA" w:rsidP="00C136FA">
      <w:pPr>
        <w:pStyle w:val="3"/>
        <w:numPr>
          <w:ilvl w:val="2"/>
          <w:numId w:val="1"/>
        </w:numPr>
      </w:pPr>
      <w:bookmarkStart w:id="61" w:name="_Toc499802998"/>
      <w:r w:rsidRPr="00BB72CE">
        <w:rPr>
          <w:rFonts w:hint="eastAsia"/>
          <w:szCs w:val="32"/>
        </w:rPr>
        <w:t>惟4章制度已推行多年，尤其</w:t>
      </w:r>
      <w:r w:rsidRPr="00BB72CE">
        <w:rPr>
          <w:rFonts w:hint="eastAsia"/>
        </w:rPr>
        <w:t>台灣優良農產品(CAS)</w:t>
      </w:r>
      <w:r w:rsidRPr="00BB72CE">
        <w:lastRenderedPageBreak/>
        <w:t>標章</w:t>
      </w:r>
      <w:r w:rsidRPr="00BB72CE">
        <w:rPr>
          <w:rFonts w:hint="eastAsia"/>
        </w:rPr>
        <w:t>自78年即開始推動，迄今已近30年之久，其驗證品項已擴增至16大類，且105年度取得驗證農產品達655項，產值約達459億元；再者，台灣優良農產品(CAS)</w:t>
      </w:r>
      <w:r w:rsidRPr="00BB72CE">
        <w:t>標章</w:t>
      </w:r>
      <w:r w:rsidRPr="00BB72CE">
        <w:rPr>
          <w:rFonts w:hint="eastAsia"/>
        </w:rPr>
        <w:t>於公元2011年在中國大陸完成註冊獲證</w:t>
      </w:r>
      <w:r w:rsidRPr="00BB72CE">
        <w:rPr>
          <w:rStyle w:val="aff5"/>
          <w:rFonts w:hAnsi="標楷體"/>
        </w:rPr>
        <w:footnoteReference w:id="6"/>
      </w:r>
      <w:r w:rsidRPr="00BB72CE">
        <w:rPr>
          <w:rFonts w:hint="eastAsia"/>
        </w:rPr>
        <w:t>，中國大陸認為該標章之驗證管理及追查制度具嚴謹度，因此會要求我國業者取得該驗證標章，亦即獲台灣優良農產品</w:t>
      </w:r>
      <w:r w:rsidRPr="00BB72CE">
        <w:t>標章</w:t>
      </w:r>
      <w:r w:rsidRPr="00BB72CE">
        <w:rPr>
          <w:rFonts w:hint="eastAsia"/>
        </w:rPr>
        <w:t>(CAS)之農產品，有助於中國大陸市場之拓展。然現農委會推行標章整合，原已獲得國際認可之標章將廢止，此不但將使耕耘許久的成果落空，且要國際市場重新認可新制度，洵屬不</w:t>
      </w:r>
      <w:r w:rsidR="0090493B" w:rsidRPr="00BB72CE">
        <w:rPr>
          <w:rFonts w:hint="eastAsia"/>
        </w:rPr>
        <w:t>易，故勢必將影響業者原有國際市場。另各標章有其特色及範圍，其中吉園圃安全蔬果標章及產銷履歷農產品標章</w:t>
      </w:r>
      <w:r w:rsidRPr="00BB72CE">
        <w:rPr>
          <w:rFonts w:hint="eastAsia"/>
        </w:rPr>
        <w:t>整合上較無衝突，但「台灣優良農產品標章(CAS)」係以使用</w:t>
      </w:r>
      <w:r w:rsidRPr="00BB72CE">
        <w:rPr>
          <w:rFonts w:hint="eastAsia"/>
          <w:spacing w:val="-4"/>
        </w:rPr>
        <w:t>國產原料為重要訴求及精神，現整合後除要求農產品須使用國產原料外，其所使用之原料理應也要符合產銷履歷規定者，如此，原料供應端恐有採購困難及成本增加之問題，故不同特色之標章整合，恐限縮原驗證範圍、增加業者成本及</w:t>
      </w:r>
      <w:r w:rsidRPr="00BB72CE">
        <w:rPr>
          <w:rFonts w:hAnsi="標楷體" w:hint="eastAsia"/>
          <w:spacing w:val="-4"/>
        </w:rPr>
        <w:t>喪失國際市場之虞</w:t>
      </w:r>
      <w:r w:rsidRPr="00BB72CE">
        <w:rPr>
          <w:rFonts w:hint="eastAsia"/>
          <w:spacing w:val="-4"/>
        </w:rPr>
        <w:t>。</w:t>
      </w:r>
      <w:bookmarkEnd w:id="61"/>
    </w:p>
    <w:p w:rsidR="00C136FA" w:rsidRPr="00BB72CE" w:rsidRDefault="00C136FA" w:rsidP="00C136FA">
      <w:pPr>
        <w:pStyle w:val="3"/>
        <w:numPr>
          <w:ilvl w:val="2"/>
          <w:numId w:val="1"/>
        </w:numPr>
        <w:ind w:left="1418"/>
        <w:rPr>
          <w:rFonts w:hAnsi="標楷體"/>
        </w:rPr>
      </w:pPr>
      <w:bookmarkStart w:id="62" w:name="_Toc499802999"/>
      <w:r w:rsidRPr="00BB72CE">
        <w:rPr>
          <w:rFonts w:hAnsi="標楷體" w:hint="eastAsia"/>
        </w:rPr>
        <w:t>另農委會表示，未來</w:t>
      </w:r>
      <w:r w:rsidRPr="00BB72CE">
        <w:rPr>
          <w:rFonts w:hAnsi="標楷體"/>
        </w:rPr>
        <w:t>TGAP標章適用範圍涵蓋初級農產品及初級加工農產品，及政策所需之特定食品</w:t>
      </w:r>
      <w:r w:rsidRPr="00BB72CE">
        <w:rPr>
          <w:rFonts w:hAnsi="標楷體" w:hint="eastAsia"/>
        </w:rPr>
        <w:t>；至於「</w:t>
      </w:r>
      <w:r w:rsidRPr="00BB72CE">
        <w:rPr>
          <w:rFonts w:hAnsi="標楷體"/>
        </w:rPr>
        <w:t>初級加工農產品</w:t>
      </w:r>
      <w:r w:rsidRPr="00BB72CE">
        <w:rPr>
          <w:rFonts w:hAnsi="標楷體" w:hint="eastAsia"/>
        </w:rPr>
        <w:t>」及「</w:t>
      </w:r>
      <w:r w:rsidRPr="00BB72CE">
        <w:rPr>
          <w:rFonts w:hAnsi="標楷體"/>
        </w:rPr>
        <w:t>特定食品品項</w:t>
      </w:r>
      <w:r w:rsidRPr="00BB72CE">
        <w:rPr>
          <w:rFonts w:hAnsi="標楷體" w:hint="eastAsia"/>
        </w:rPr>
        <w:t>」之定義及範圍，農委會表示</w:t>
      </w:r>
      <w:r w:rsidRPr="00BB72CE">
        <w:rPr>
          <w:rStyle w:val="aff5"/>
          <w:rFonts w:hAnsi="標楷體"/>
        </w:rPr>
        <w:footnoteReference w:id="7"/>
      </w:r>
      <w:r w:rsidRPr="00BB72CE">
        <w:rPr>
          <w:rFonts w:hAnsi="標楷體" w:hint="eastAsia"/>
        </w:rPr>
        <w:t>，「初級加工農產品」代表未涉質變加工的農產品，如食米、截切蔬菜、屠宰分切之畜禽肉品或三去三清水產品等，另「複合型加工農產品」則是涉及質變加工，屬於消費市場普</w:t>
      </w:r>
      <w:r w:rsidRPr="00BB72CE">
        <w:rPr>
          <w:rFonts w:hAnsi="標楷體" w:hint="eastAsia"/>
        </w:rPr>
        <w:lastRenderedPageBreak/>
        <w:t>遍認知之「食品」，如醃製蔬菜、豆奶、火腿、臘肉、培根、裹粉魚排或魚罐頭等，未來TGAP標章適用範圍所稱政策所需之「特定食品」品項，為前述所稱之「複合型加工農產品」，且與該會政策需求相關之特定品項，例如：國產大豆進到加工廠製作成豆奶，豆奶有助於提升國內原料之供給，故豆奶則屬於前述所稱「特定食品」品項，該等產品將配合農產品標章制度共同行銷推廣，並可強化使用國產原料之食品的「安全」。審諸農委會上開說明，顯見未來TGAP標章適用範圍將觸及食品領域。</w:t>
      </w:r>
      <w:bookmarkEnd w:id="62"/>
    </w:p>
    <w:p w:rsidR="00C136FA" w:rsidRPr="00BB72CE" w:rsidRDefault="00C136FA" w:rsidP="00C136FA">
      <w:pPr>
        <w:pStyle w:val="3"/>
        <w:numPr>
          <w:ilvl w:val="2"/>
          <w:numId w:val="1"/>
        </w:numPr>
        <w:ind w:left="1418"/>
        <w:rPr>
          <w:rFonts w:hAnsi="標楷體"/>
        </w:rPr>
      </w:pPr>
      <w:bookmarkStart w:id="63" w:name="_Toc499803000"/>
      <w:r w:rsidRPr="00BB72CE">
        <w:rPr>
          <w:rFonts w:hAnsi="標楷體" w:hint="eastAsia"/>
        </w:rPr>
        <w:t>惟食品標章除「健康食品」外，尚有台灣優良食品標章制度（TQF），係由台灣優良食品發展協會為強化食品業者自主管理之體制，確保加工食品品質、安全與衛生，其主要驗證重點在於製程之安全衛生，惟TGAP驗證同樣包含產品之安全與衛生項目，且TQF亦同樣規劃與國際驗證制度接軌，故農委會TGAP驗證範圍之「食品」部分，係與TQF驗證範圍相同，均針對加工食品，雖核心驗證重點不同，但同樣訴求產品安全與衛生，且同謀與國際驗證制度接軌，是農委會所規劃之TGAP驗證範圍既然涉及「食品」領域，允宜考量如何與現行TQF驗證制度之相輔相成，共求保護消費者飲食安全與促進產品外銷，復應避免消費者混淆，而失整合之目的。</w:t>
      </w:r>
      <w:bookmarkEnd w:id="63"/>
    </w:p>
    <w:p w:rsidR="00C136FA" w:rsidRPr="00BB72CE" w:rsidRDefault="00C136FA" w:rsidP="00C136FA">
      <w:pPr>
        <w:pStyle w:val="3"/>
        <w:numPr>
          <w:ilvl w:val="2"/>
          <w:numId w:val="1"/>
        </w:numPr>
        <w:rPr>
          <w:rFonts w:hAnsi="標楷體"/>
        </w:rPr>
      </w:pPr>
      <w:bookmarkStart w:id="64" w:name="_Toc499803001"/>
      <w:r w:rsidRPr="00BB72CE">
        <w:rPr>
          <w:rFonts w:hAnsi="標楷體" w:hint="eastAsia"/>
        </w:rPr>
        <w:t>綜上，農委會自78年起陸續推動台灣優良農產品(CAS)、產銷履歷農產品、吉園圃安全蔬果及有機農產品標章，且98年推動之「精緻農業健康卓越方案」，以健康農業為該方案之3大願景之一，執行該4項標章制度，惟</w:t>
      </w:r>
      <w:r w:rsidR="00DD04C8" w:rsidRPr="00BB72CE">
        <w:rPr>
          <w:rFonts w:hAnsi="標楷體" w:hint="eastAsia"/>
        </w:rPr>
        <w:t>105年5月20日之後推動的</w:t>
      </w:r>
      <w:r w:rsidRPr="00BB72CE">
        <w:rPr>
          <w:rFonts w:hAnsi="標楷體" w:hint="eastAsia"/>
        </w:rPr>
        <w:t>「新農業創新推動方案」，主張將吉園圃安全蔬果、台灣優良農產品(CAS)及產銷履歷農產品標章整合為TGAP，</w:t>
      </w:r>
      <w:r w:rsidRPr="00BB72CE">
        <w:rPr>
          <w:rFonts w:hAnsi="標楷體" w:hint="eastAsia"/>
        </w:rPr>
        <w:lastRenderedPageBreak/>
        <w:t>其為使消費者易於辨識之立意係屬良善，然各標章推行有年且各有使用目的及範圍，整合恐限縮原驗證範圍、增加業者成本及喪失國際市場；另該會所規劃TGAP驗證範圍涉及「食品」領域，允宜考量如何與現行TQF驗證制度之相輔相成，共求保護消費者飲食安全與促進產品外銷，復應避免消費者混淆，而失整合之目的。</w:t>
      </w:r>
      <w:bookmarkEnd w:id="64"/>
    </w:p>
    <w:p w:rsidR="00EC69F9" w:rsidRPr="00BB72CE" w:rsidRDefault="00EC69F9" w:rsidP="00EC69F9">
      <w:pPr>
        <w:pStyle w:val="2"/>
        <w:numPr>
          <w:ilvl w:val="1"/>
          <w:numId w:val="1"/>
        </w:numPr>
        <w:rPr>
          <w:rFonts w:hAnsi="標楷體"/>
          <w:b/>
        </w:rPr>
      </w:pPr>
      <w:bookmarkStart w:id="65" w:name="_Toc499803002"/>
      <w:r w:rsidRPr="00BB72CE">
        <w:rPr>
          <w:rFonts w:hAnsi="標楷體" w:hint="eastAsia"/>
          <w:b/>
        </w:rPr>
        <w:t>我國推動有機農業已逾20年，自96年農產品生產及驗證管理法公布後，正式導入驗證制度，通過有機驗證之耕作面積大幅成長，惟102年以後呈趨緩現象，而花蓮地區對有機農業之推廣，以聚落方式結合自然環境、文化資源、休閒農業及觀光產業等多元素發展，賦予有機農業新價值，此方式值擴大推廣，以期突破有機農業發展停滯不前之狀況；另農委會於106年推動「友善環境耕作」，並首度納為輔導與補助對象，然其與有機農業之補貼審查強度、驗證有無及法源依據迥異，將使農民捨棄有機農業而選擇友善環境耕作，此勢必衝擊有機農業之發展，且與該會刻正研擬之有機農業法目的似有未符，又該會將「友善環境耕作」納入有機農業法草案中，惟欠缺定義及認定標準，難謂有實質意義；另我國農藥使用需求量高，且目前絕大數仍為採用使用農藥之慣行農法耕作，其正確及合理使用農藥之督管措施，均有待農委會深入檢討及研議。</w:t>
      </w:r>
      <w:bookmarkEnd w:id="65"/>
    </w:p>
    <w:p w:rsidR="00EC69F9" w:rsidRPr="00BB72CE" w:rsidRDefault="00EC69F9" w:rsidP="00EC69F9">
      <w:pPr>
        <w:pStyle w:val="3"/>
        <w:numPr>
          <w:ilvl w:val="2"/>
          <w:numId w:val="1"/>
        </w:numPr>
        <w:rPr>
          <w:rFonts w:hAnsi="標楷體"/>
        </w:rPr>
      </w:pPr>
      <w:bookmarkStart w:id="66" w:name="_Toc499803003"/>
      <w:r w:rsidRPr="00BB72CE">
        <w:rPr>
          <w:rFonts w:hAnsi="標楷體" w:hint="eastAsia"/>
        </w:rPr>
        <w:t>農委會自85年起即開始推動有機栽培，歷經籌備、試作及推廣等階段發展，嗣農產品生產及驗證管理法於96年1月29日公布，該會依該法第5條第2項規定，訂定</w:t>
      </w:r>
      <w:r w:rsidRPr="00BB72CE">
        <w:rPr>
          <w:rFonts w:hAnsi="標楷體"/>
        </w:rPr>
        <w:t>「有機農產品及有機農產加工品驗證管理辦法」</w:t>
      </w:r>
      <w:r w:rsidRPr="00BB72CE">
        <w:rPr>
          <w:rFonts w:hAnsi="標楷體" w:hint="eastAsia"/>
        </w:rPr>
        <w:t>，並據以推動有機農業。至推動成效，據農委會提供資料，自93至106年9月底止，通過有機驗證</w:t>
      </w:r>
      <w:r w:rsidRPr="00BB72CE">
        <w:rPr>
          <w:rFonts w:hAnsi="標楷體" w:hint="eastAsia"/>
        </w:rPr>
        <w:lastRenderedPageBreak/>
        <w:t>之耕作面積從</w:t>
      </w:r>
      <w:r w:rsidRPr="00BB72CE">
        <w:rPr>
          <w:rFonts w:hAnsi="標楷體" w:hint="eastAsia"/>
          <w:bCs w:val="0"/>
        </w:rPr>
        <w:t>1,246</w:t>
      </w:r>
      <w:r w:rsidRPr="00BB72CE">
        <w:rPr>
          <w:rFonts w:hAnsi="標楷體" w:hint="eastAsia"/>
        </w:rPr>
        <w:t>公頃逐年成長至</w:t>
      </w:r>
      <w:r w:rsidRPr="00BB72CE">
        <w:rPr>
          <w:rFonts w:hAnsi="標楷體" w:hint="eastAsia"/>
          <w:bCs w:val="0"/>
        </w:rPr>
        <w:t>7,282公頃，擴增6倍之多；驗證合格農戶數自953戶增加至3,116戶，增加3倍之多；而96年通過有機驗證面積</w:t>
      </w:r>
      <w:r w:rsidRPr="00BB72CE">
        <w:rPr>
          <w:rFonts w:hAnsi="標楷體" w:hint="eastAsia"/>
        </w:rPr>
        <w:t>占該年度可耕地面積比率為0.14</w:t>
      </w:r>
      <w:r w:rsidRPr="00BB72CE">
        <w:rPr>
          <w:rFonts w:hAnsi="標楷體"/>
        </w:rPr>
        <w:t>%</w:t>
      </w:r>
      <w:r w:rsidRPr="00BB72CE">
        <w:rPr>
          <w:rFonts w:hAnsi="標楷體" w:hint="eastAsia"/>
        </w:rPr>
        <w:t>，至106年9月底止已增加至0.91</w:t>
      </w:r>
      <w:r w:rsidRPr="00BB72CE">
        <w:rPr>
          <w:rFonts w:hAnsi="標楷體"/>
        </w:rPr>
        <w:t>%</w:t>
      </w:r>
      <w:r w:rsidRPr="00BB72CE">
        <w:rPr>
          <w:rFonts w:hAnsi="標楷體" w:hint="eastAsia"/>
        </w:rPr>
        <w:t>，詳如下表</w:t>
      </w:r>
      <w:r w:rsidR="00CA6C63" w:rsidRPr="00BB72CE">
        <w:rPr>
          <w:rFonts w:hAnsi="標楷體" w:hint="eastAsia"/>
        </w:rPr>
        <w:t>20</w:t>
      </w:r>
      <w:r w:rsidRPr="00BB72CE">
        <w:rPr>
          <w:rFonts w:hAnsi="標楷體" w:hint="eastAsia"/>
        </w:rPr>
        <w:t>。</w:t>
      </w:r>
      <w:bookmarkEnd w:id="66"/>
    </w:p>
    <w:p w:rsidR="005C25D5" w:rsidRPr="00BB72CE" w:rsidRDefault="00EC69F9" w:rsidP="005C25D5">
      <w:pPr>
        <w:pStyle w:val="a4"/>
        <w:ind w:left="709" w:firstLine="142"/>
        <w:jc w:val="left"/>
        <w:rPr>
          <w:sz w:val="24"/>
          <w:szCs w:val="24"/>
        </w:rPr>
      </w:pPr>
      <w:bookmarkStart w:id="67" w:name="_Toc499803988"/>
      <w:r w:rsidRPr="00BB72CE">
        <w:rPr>
          <w:rFonts w:hint="eastAsia"/>
          <w:spacing w:val="0"/>
        </w:rPr>
        <w:t>96至106年9月底止通過有機驗證之農戶數及面積</w:t>
      </w:r>
      <w:bookmarkEnd w:id="67"/>
      <w:r w:rsidR="005C25D5" w:rsidRPr="00BB72CE">
        <w:rPr>
          <w:rFonts w:hint="eastAsia"/>
          <w:spacing w:val="0"/>
        </w:rPr>
        <w:t xml:space="preserve"> </w:t>
      </w:r>
    </w:p>
    <w:p w:rsidR="00EC69F9" w:rsidRPr="00BB72CE" w:rsidRDefault="005C25D5" w:rsidP="005C25D5">
      <w:pPr>
        <w:rPr>
          <w:sz w:val="24"/>
          <w:szCs w:val="24"/>
        </w:rPr>
      </w:pPr>
      <w:r w:rsidRPr="00BB72CE">
        <w:rPr>
          <w:rFonts w:hint="eastAsia"/>
        </w:rPr>
        <w:t xml:space="preserve">                            </w:t>
      </w:r>
      <w:r w:rsidRPr="00BB72CE">
        <w:rPr>
          <w:rFonts w:hint="eastAsia"/>
          <w:sz w:val="24"/>
          <w:szCs w:val="24"/>
        </w:rPr>
        <w:t>(單位：戶、公頃、萬公頃、%)</w:t>
      </w: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60"/>
        <w:gridCol w:w="1373"/>
        <w:gridCol w:w="1984"/>
        <w:gridCol w:w="2152"/>
      </w:tblGrid>
      <w:tr w:rsidR="00EC69F9" w:rsidRPr="00BB72CE" w:rsidTr="007952A1">
        <w:trPr>
          <w:trHeight w:val="20"/>
          <w:tblHeader/>
          <w:jc w:val="center"/>
        </w:trPr>
        <w:tc>
          <w:tcPr>
            <w:tcW w:w="1271" w:type="dxa"/>
            <w:vAlign w:val="center"/>
          </w:tcPr>
          <w:p w:rsidR="00EC69F9" w:rsidRPr="00BB72CE" w:rsidRDefault="00EC69F9" w:rsidP="003051A1">
            <w:pPr>
              <w:pStyle w:val="14"/>
              <w:jc w:val="center"/>
            </w:pPr>
            <w:r w:rsidRPr="00BB72CE">
              <w:t>年度</w:t>
            </w:r>
          </w:p>
        </w:tc>
        <w:tc>
          <w:tcPr>
            <w:tcW w:w="1160" w:type="dxa"/>
            <w:vAlign w:val="center"/>
          </w:tcPr>
          <w:p w:rsidR="00EC69F9" w:rsidRPr="00BB72CE" w:rsidRDefault="00EC69F9" w:rsidP="003051A1">
            <w:pPr>
              <w:pStyle w:val="14"/>
              <w:jc w:val="center"/>
            </w:pPr>
            <w:r w:rsidRPr="00BB72CE">
              <w:t>農戶數</w:t>
            </w:r>
          </w:p>
          <w:p w:rsidR="00EC69F9" w:rsidRPr="00BB72CE" w:rsidRDefault="00EC69F9" w:rsidP="003051A1">
            <w:pPr>
              <w:pStyle w:val="14"/>
              <w:jc w:val="center"/>
            </w:pPr>
            <w:r w:rsidRPr="00BB72CE">
              <w:rPr>
                <w:rFonts w:hint="eastAsia"/>
              </w:rPr>
              <w:t>(戶)</w:t>
            </w:r>
          </w:p>
        </w:tc>
        <w:tc>
          <w:tcPr>
            <w:tcW w:w="1373" w:type="dxa"/>
            <w:vAlign w:val="center"/>
          </w:tcPr>
          <w:p w:rsidR="00EC69F9" w:rsidRPr="00BB72CE" w:rsidRDefault="00EC69F9" w:rsidP="003051A1">
            <w:pPr>
              <w:pStyle w:val="14"/>
              <w:jc w:val="center"/>
            </w:pPr>
            <w:r w:rsidRPr="00BB72CE">
              <w:t>有機面積</w:t>
            </w:r>
          </w:p>
          <w:p w:rsidR="00EC69F9" w:rsidRPr="00BB72CE" w:rsidRDefault="00EC69F9" w:rsidP="003051A1">
            <w:pPr>
              <w:pStyle w:val="14"/>
              <w:jc w:val="center"/>
            </w:pPr>
            <w:r w:rsidRPr="00BB72CE">
              <w:t>（公頃）</w:t>
            </w:r>
          </w:p>
        </w:tc>
        <w:tc>
          <w:tcPr>
            <w:tcW w:w="1984" w:type="dxa"/>
            <w:vAlign w:val="center"/>
          </w:tcPr>
          <w:p w:rsidR="00EC69F9" w:rsidRPr="00BB72CE" w:rsidRDefault="00EC69F9" w:rsidP="003051A1">
            <w:pPr>
              <w:pStyle w:val="14"/>
              <w:jc w:val="center"/>
            </w:pPr>
            <w:r w:rsidRPr="00BB72CE">
              <w:t>占可耕地面積</w:t>
            </w:r>
          </w:p>
          <w:p w:rsidR="00EC69F9" w:rsidRPr="00BB72CE" w:rsidRDefault="00EC69F9" w:rsidP="003051A1">
            <w:pPr>
              <w:pStyle w:val="14"/>
              <w:jc w:val="center"/>
            </w:pPr>
            <w:r w:rsidRPr="00BB72CE">
              <w:t>（萬公頃）</w:t>
            </w:r>
          </w:p>
        </w:tc>
        <w:tc>
          <w:tcPr>
            <w:tcW w:w="2152" w:type="dxa"/>
            <w:vAlign w:val="center"/>
          </w:tcPr>
          <w:p w:rsidR="00EC69F9" w:rsidRPr="00BB72CE" w:rsidRDefault="00EC69F9" w:rsidP="003051A1">
            <w:pPr>
              <w:pStyle w:val="14"/>
              <w:jc w:val="center"/>
            </w:pPr>
            <w:r w:rsidRPr="00BB72CE">
              <w:t>占可耕地面積比率</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rPr>
                <w:rFonts w:hint="eastAsia"/>
              </w:rPr>
              <w:t>93</w:t>
            </w:r>
          </w:p>
        </w:tc>
        <w:tc>
          <w:tcPr>
            <w:tcW w:w="1160" w:type="dxa"/>
            <w:vAlign w:val="center"/>
          </w:tcPr>
          <w:p w:rsidR="00EC69F9" w:rsidRPr="00BB72CE" w:rsidRDefault="00EC69F9" w:rsidP="003051A1">
            <w:pPr>
              <w:pStyle w:val="14"/>
              <w:jc w:val="right"/>
              <w:rPr>
                <w:bCs/>
              </w:rPr>
            </w:pPr>
            <w:r w:rsidRPr="00BB72CE">
              <w:rPr>
                <w:rFonts w:hint="eastAsia"/>
                <w:bCs/>
              </w:rPr>
              <w:t>953</w:t>
            </w:r>
          </w:p>
        </w:tc>
        <w:tc>
          <w:tcPr>
            <w:tcW w:w="1373" w:type="dxa"/>
            <w:vAlign w:val="center"/>
          </w:tcPr>
          <w:p w:rsidR="00EC69F9" w:rsidRPr="00BB72CE" w:rsidRDefault="00EC69F9" w:rsidP="003051A1">
            <w:pPr>
              <w:pStyle w:val="14"/>
              <w:jc w:val="right"/>
              <w:rPr>
                <w:bCs/>
              </w:rPr>
            </w:pPr>
            <w:r w:rsidRPr="00BB72CE">
              <w:rPr>
                <w:rFonts w:hint="eastAsia"/>
                <w:bCs/>
              </w:rPr>
              <w:t>1,246</w:t>
            </w:r>
          </w:p>
        </w:tc>
        <w:tc>
          <w:tcPr>
            <w:tcW w:w="1984" w:type="dxa"/>
            <w:vAlign w:val="center"/>
          </w:tcPr>
          <w:p w:rsidR="00EC69F9" w:rsidRPr="00BB72CE" w:rsidRDefault="00EC69F9" w:rsidP="003051A1">
            <w:pPr>
              <w:pStyle w:val="14"/>
              <w:jc w:val="right"/>
              <w:rPr>
                <w:bCs/>
              </w:rPr>
            </w:pPr>
            <w:r w:rsidRPr="00BB72CE">
              <w:rPr>
                <w:rFonts w:hint="eastAsia"/>
                <w:bCs/>
              </w:rPr>
              <w:t>83.5</w:t>
            </w:r>
          </w:p>
        </w:tc>
        <w:tc>
          <w:tcPr>
            <w:tcW w:w="2152" w:type="dxa"/>
            <w:vAlign w:val="center"/>
          </w:tcPr>
          <w:p w:rsidR="00EC69F9" w:rsidRPr="00BB72CE" w:rsidRDefault="00EC69F9" w:rsidP="003051A1">
            <w:pPr>
              <w:pStyle w:val="14"/>
              <w:jc w:val="right"/>
              <w:rPr>
                <w:bCs/>
              </w:rPr>
            </w:pPr>
            <w:r w:rsidRPr="00BB72CE">
              <w:rPr>
                <w:rFonts w:hint="eastAsia"/>
                <w:bCs/>
              </w:rPr>
              <w:t>0.14</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rPr>
                <w:rFonts w:hint="eastAsia"/>
              </w:rPr>
              <w:t>94</w:t>
            </w:r>
          </w:p>
        </w:tc>
        <w:tc>
          <w:tcPr>
            <w:tcW w:w="1160" w:type="dxa"/>
            <w:vAlign w:val="center"/>
          </w:tcPr>
          <w:p w:rsidR="00EC69F9" w:rsidRPr="00BB72CE" w:rsidRDefault="00EC69F9" w:rsidP="003051A1">
            <w:pPr>
              <w:pStyle w:val="14"/>
              <w:jc w:val="right"/>
              <w:rPr>
                <w:bCs/>
              </w:rPr>
            </w:pPr>
            <w:r w:rsidRPr="00BB72CE">
              <w:rPr>
                <w:rFonts w:hint="eastAsia"/>
                <w:bCs/>
              </w:rPr>
              <w:t>952</w:t>
            </w:r>
          </w:p>
        </w:tc>
        <w:tc>
          <w:tcPr>
            <w:tcW w:w="1373" w:type="dxa"/>
            <w:vAlign w:val="center"/>
          </w:tcPr>
          <w:p w:rsidR="00EC69F9" w:rsidRPr="00BB72CE" w:rsidRDefault="00EC69F9" w:rsidP="003051A1">
            <w:pPr>
              <w:pStyle w:val="14"/>
              <w:jc w:val="right"/>
              <w:rPr>
                <w:bCs/>
              </w:rPr>
            </w:pPr>
            <w:r w:rsidRPr="00BB72CE">
              <w:rPr>
                <w:rFonts w:hint="eastAsia"/>
                <w:bCs/>
              </w:rPr>
              <w:t>1,335</w:t>
            </w:r>
          </w:p>
        </w:tc>
        <w:tc>
          <w:tcPr>
            <w:tcW w:w="1984" w:type="dxa"/>
            <w:vAlign w:val="center"/>
          </w:tcPr>
          <w:p w:rsidR="00EC69F9" w:rsidRPr="00BB72CE" w:rsidRDefault="00EC69F9" w:rsidP="003051A1">
            <w:pPr>
              <w:pStyle w:val="14"/>
              <w:jc w:val="right"/>
              <w:rPr>
                <w:bCs/>
              </w:rPr>
            </w:pPr>
            <w:r w:rsidRPr="00BB72CE">
              <w:rPr>
                <w:rFonts w:hint="eastAsia"/>
                <w:bCs/>
              </w:rPr>
              <w:t>83.3</w:t>
            </w:r>
          </w:p>
        </w:tc>
        <w:tc>
          <w:tcPr>
            <w:tcW w:w="2152" w:type="dxa"/>
            <w:vAlign w:val="center"/>
          </w:tcPr>
          <w:p w:rsidR="00EC69F9" w:rsidRPr="00BB72CE" w:rsidRDefault="00EC69F9" w:rsidP="003051A1">
            <w:pPr>
              <w:pStyle w:val="14"/>
              <w:jc w:val="right"/>
              <w:rPr>
                <w:bCs/>
              </w:rPr>
            </w:pPr>
            <w:r w:rsidRPr="00BB72CE">
              <w:rPr>
                <w:rFonts w:hint="eastAsia"/>
                <w:bCs/>
              </w:rPr>
              <w:t>0.16</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rPr>
                <w:rFonts w:hint="eastAsia"/>
              </w:rPr>
              <w:t>95</w:t>
            </w:r>
          </w:p>
        </w:tc>
        <w:tc>
          <w:tcPr>
            <w:tcW w:w="1160" w:type="dxa"/>
            <w:vAlign w:val="center"/>
          </w:tcPr>
          <w:p w:rsidR="00EC69F9" w:rsidRPr="00BB72CE" w:rsidRDefault="00EC69F9" w:rsidP="003051A1">
            <w:pPr>
              <w:pStyle w:val="14"/>
              <w:jc w:val="right"/>
              <w:rPr>
                <w:bCs/>
              </w:rPr>
            </w:pPr>
            <w:r w:rsidRPr="00BB72CE">
              <w:rPr>
                <w:rFonts w:hint="eastAsia"/>
                <w:bCs/>
              </w:rPr>
              <w:t>898</w:t>
            </w:r>
          </w:p>
        </w:tc>
        <w:tc>
          <w:tcPr>
            <w:tcW w:w="1373" w:type="dxa"/>
            <w:vAlign w:val="center"/>
          </w:tcPr>
          <w:p w:rsidR="00EC69F9" w:rsidRPr="00BB72CE" w:rsidRDefault="00EC69F9" w:rsidP="003051A1">
            <w:pPr>
              <w:pStyle w:val="14"/>
              <w:jc w:val="right"/>
              <w:rPr>
                <w:bCs/>
              </w:rPr>
            </w:pPr>
            <w:r w:rsidRPr="00BB72CE">
              <w:rPr>
                <w:rFonts w:hint="eastAsia"/>
                <w:bCs/>
              </w:rPr>
              <w:t>1,364</w:t>
            </w:r>
          </w:p>
        </w:tc>
        <w:tc>
          <w:tcPr>
            <w:tcW w:w="1984" w:type="dxa"/>
            <w:vAlign w:val="center"/>
          </w:tcPr>
          <w:p w:rsidR="00EC69F9" w:rsidRPr="00BB72CE" w:rsidRDefault="00EC69F9" w:rsidP="003051A1">
            <w:pPr>
              <w:pStyle w:val="14"/>
              <w:jc w:val="right"/>
              <w:rPr>
                <w:bCs/>
              </w:rPr>
            </w:pPr>
            <w:r w:rsidRPr="00BB72CE">
              <w:rPr>
                <w:rFonts w:hint="eastAsia"/>
                <w:bCs/>
              </w:rPr>
              <w:t>82.9</w:t>
            </w:r>
          </w:p>
        </w:tc>
        <w:tc>
          <w:tcPr>
            <w:tcW w:w="2152" w:type="dxa"/>
            <w:vAlign w:val="center"/>
          </w:tcPr>
          <w:p w:rsidR="00EC69F9" w:rsidRPr="00BB72CE" w:rsidRDefault="00EC69F9" w:rsidP="003051A1">
            <w:pPr>
              <w:pStyle w:val="14"/>
              <w:jc w:val="right"/>
              <w:rPr>
                <w:bCs/>
              </w:rPr>
            </w:pPr>
            <w:r w:rsidRPr="00BB72CE">
              <w:rPr>
                <w:rFonts w:hint="eastAsia"/>
                <w:bCs/>
              </w:rPr>
              <w:t>0.16</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96</w:t>
            </w:r>
          </w:p>
        </w:tc>
        <w:tc>
          <w:tcPr>
            <w:tcW w:w="1160" w:type="dxa"/>
            <w:vAlign w:val="center"/>
          </w:tcPr>
          <w:p w:rsidR="00EC69F9" w:rsidRPr="00BB72CE" w:rsidRDefault="00EC69F9" w:rsidP="003051A1">
            <w:pPr>
              <w:pStyle w:val="14"/>
              <w:jc w:val="right"/>
              <w:rPr>
                <w:bCs/>
              </w:rPr>
            </w:pPr>
            <w:r w:rsidRPr="00BB72CE">
              <w:rPr>
                <w:bCs/>
              </w:rPr>
              <w:t>936</w:t>
            </w:r>
          </w:p>
        </w:tc>
        <w:tc>
          <w:tcPr>
            <w:tcW w:w="1373" w:type="dxa"/>
            <w:vAlign w:val="center"/>
          </w:tcPr>
          <w:p w:rsidR="00EC69F9" w:rsidRPr="00BB72CE" w:rsidRDefault="00EC69F9" w:rsidP="003051A1">
            <w:pPr>
              <w:pStyle w:val="14"/>
              <w:jc w:val="right"/>
              <w:rPr>
                <w:bCs/>
              </w:rPr>
            </w:pPr>
            <w:r w:rsidRPr="00BB72CE">
              <w:rPr>
                <w:bCs/>
              </w:rPr>
              <w:t>2,013</w:t>
            </w:r>
          </w:p>
        </w:tc>
        <w:tc>
          <w:tcPr>
            <w:tcW w:w="1984" w:type="dxa"/>
            <w:vAlign w:val="center"/>
          </w:tcPr>
          <w:p w:rsidR="00EC69F9" w:rsidRPr="00BB72CE" w:rsidRDefault="00EC69F9" w:rsidP="003051A1">
            <w:pPr>
              <w:pStyle w:val="14"/>
              <w:jc w:val="right"/>
              <w:rPr>
                <w:bCs/>
              </w:rPr>
            </w:pPr>
            <w:r w:rsidRPr="00BB72CE">
              <w:rPr>
                <w:bCs/>
              </w:rPr>
              <w:t>82.5</w:t>
            </w:r>
          </w:p>
        </w:tc>
        <w:tc>
          <w:tcPr>
            <w:tcW w:w="2152" w:type="dxa"/>
            <w:vAlign w:val="center"/>
          </w:tcPr>
          <w:p w:rsidR="00EC69F9" w:rsidRPr="00BB72CE" w:rsidRDefault="00EC69F9" w:rsidP="003051A1">
            <w:pPr>
              <w:pStyle w:val="14"/>
              <w:jc w:val="right"/>
              <w:rPr>
                <w:bCs/>
              </w:rPr>
            </w:pPr>
            <w:r w:rsidRPr="00BB72CE">
              <w:rPr>
                <w:bCs/>
              </w:rPr>
              <w:t>0.24</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97</w:t>
            </w:r>
          </w:p>
        </w:tc>
        <w:tc>
          <w:tcPr>
            <w:tcW w:w="1160" w:type="dxa"/>
            <w:vAlign w:val="center"/>
          </w:tcPr>
          <w:p w:rsidR="00EC69F9" w:rsidRPr="00BB72CE" w:rsidRDefault="00EC69F9" w:rsidP="003051A1">
            <w:pPr>
              <w:pStyle w:val="14"/>
              <w:jc w:val="right"/>
              <w:rPr>
                <w:bCs/>
              </w:rPr>
            </w:pPr>
            <w:r w:rsidRPr="00BB72CE">
              <w:rPr>
                <w:bCs/>
              </w:rPr>
              <w:t>978</w:t>
            </w:r>
          </w:p>
        </w:tc>
        <w:tc>
          <w:tcPr>
            <w:tcW w:w="1373" w:type="dxa"/>
            <w:vAlign w:val="center"/>
          </w:tcPr>
          <w:p w:rsidR="00EC69F9" w:rsidRPr="00BB72CE" w:rsidRDefault="00EC69F9" w:rsidP="003051A1">
            <w:pPr>
              <w:pStyle w:val="14"/>
              <w:jc w:val="right"/>
              <w:rPr>
                <w:bCs/>
              </w:rPr>
            </w:pPr>
            <w:r w:rsidRPr="00BB72CE">
              <w:rPr>
                <w:bCs/>
              </w:rPr>
              <w:t>2,356</w:t>
            </w:r>
          </w:p>
        </w:tc>
        <w:tc>
          <w:tcPr>
            <w:tcW w:w="1984" w:type="dxa"/>
            <w:vAlign w:val="center"/>
          </w:tcPr>
          <w:p w:rsidR="00EC69F9" w:rsidRPr="00BB72CE" w:rsidRDefault="00EC69F9" w:rsidP="003051A1">
            <w:pPr>
              <w:pStyle w:val="14"/>
              <w:jc w:val="right"/>
              <w:rPr>
                <w:bCs/>
              </w:rPr>
            </w:pPr>
            <w:r w:rsidRPr="00BB72CE">
              <w:rPr>
                <w:bCs/>
              </w:rPr>
              <w:t>82.2</w:t>
            </w:r>
          </w:p>
        </w:tc>
        <w:tc>
          <w:tcPr>
            <w:tcW w:w="2152" w:type="dxa"/>
            <w:vAlign w:val="center"/>
          </w:tcPr>
          <w:p w:rsidR="00EC69F9" w:rsidRPr="00BB72CE" w:rsidRDefault="00EC69F9" w:rsidP="003051A1">
            <w:pPr>
              <w:pStyle w:val="14"/>
              <w:jc w:val="right"/>
              <w:rPr>
                <w:bCs/>
              </w:rPr>
            </w:pPr>
            <w:r w:rsidRPr="00BB72CE">
              <w:rPr>
                <w:bCs/>
              </w:rPr>
              <w:t>0.28</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98</w:t>
            </w:r>
          </w:p>
        </w:tc>
        <w:tc>
          <w:tcPr>
            <w:tcW w:w="1160" w:type="dxa"/>
            <w:vAlign w:val="center"/>
          </w:tcPr>
          <w:p w:rsidR="00EC69F9" w:rsidRPr="00BB72CE" w:rsidRDefault="00EC69F9" w:rsidP="003051A1">
            <w:pPr>
              <w:pStyle w:val="14"/>
              <w:jc w:val="right"/>
            </w:pPr>
            <w:r w:rsidRPr="00BB72CE">
              <w:t>1,277</w:t>
            </w:r>
          </w:p>
        </w:tc>
        <w:tc>
          <w:tcPr>
            <w:tcW w:w="1373" w:type="dxa"/>
            <w:vAlign w:val="center"/>
          </w:tcPr>
          <w:p w:rsidR="00EC69F9" w:rsidRPr="00BB72CE" w:rsidRDefault="00EC69F9" w:rsidP="003051A1">
            <w:pPr>
              <w:pStyle w:val="14"/>
              <w:jc w:val="right"/>
            </w:pPr>
            <w:r w:rsidRPr="00BB72CE">
              <w:t>2,960</w:t>
            </w:r>
          </w:p>
        </w:tc>
        <w:tc>
          <w:tcPr>
            <w:tcW w:w="1984" w:type="dxa"/>
            <w:vAlign w:val="center"/>
          </w:tcPr>
          <w:p w:rsidR="00EC69F9" w:rsidRPr="00BB72CE" w:rsidRDefault="00EC69F9" w:rsidP="003051A1">
            <w:pPr>
              <w:pStyle w:val="14"/>
              <w:jc w:val="right"/>
            </w:pPr>
            <w:r w:rsidRPr="00BB72CE">
              <w:t>81.5</w:t>
            </w:r>
          </w:p>
        </w:tc>
        <w:tc>
          <w:tcPr>
            <w:tcW w:w="2152" w:type="dxa"/>
            <w:vAlign w:val="center"/>
          </w:tcPr>
          <w:p w:rsidR="00EC69F9" w:rsidRPr="00BB72CE" w:rsidRDefault="00EC69F9" w:rsidP="003051A1">
            <w:pPr>
              <w:pStyle w:val="14"/>
              <w:jc w:val="right"/>
            </w:pPr>
            <w:r w:rsidRPr="00BB72CE">
              <w:t>0.36%</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99</w:t>
            </w:r>
          </w:p>
        </w:tc>
        <w:tc>
          <w:tcPr>
            <w:tcW w:w="1160" w:type="dxa"/>
            <w:vAlign w:val="center"/>
          </w:tcPr>
          <w:p w:rsidR="00EC69F9" w:rsidRPr="00BB72CE" w:rsidRDefault="00EC69F9" w:rsidP="003051A1">
            <w:pPr>
              <w:pStyle w:val="14"/>
              <w:jc w:val="right"/>
            </w:pPr>
            <w:r w:rsidRPr="00BB72CE">
              <w:t>1,778</w:t>
            </w:r>
          </w:p>
        </w:tc>
        <w:tc>
          <w:tcPr>
            <w:tcW w:w="1373" w:type="dxa"/>
            <w:vAlign w:val="center"/>
          </w:tcPr>
          <w:p w:rsidR="00EC69F9" w:rsidRPr="00BB72CE" w:rsidRDefault="00EC69F9" w:rsidP="003051A1">
            <w:pPr>
              <w:pStyle w:val="14"/>
              <w:jc w:val="right"/>
            </w:pPr>
            <w:r w:rsidRPr="00BB72CE">
              <w:t>4,034</w:t>
            </w:r>
          </w:p>
        </w:tc>
        <w:tc>
          <w:tcPr>
            <w:tcW w:w="1984" w:type="dxa"/>
            <w:vAlign w:val="center"/>
          </w:tcPr>
          <w:p w:rsidR="00EC69F9" w:rsidRPr="00BB72CE" w:rsidRDefault="00EC69F9" w:rsidP="003051A1">
            <w:pPr>
              <w:pStyle w:val="14"/>
              <w:jc w:val="right"/>
            </w:pPr>
            <w:r w:rsidRPr="00BB72CE">
              <w:t>81.3</w:t>
            </w:r>
          </w:p>
        </w:tc>
        <w:tc>
          <w:tcPr>
            <w:tcW w:w="2152" w:type="dxa"/>
            <w:vAlign w:val="center"/>
          </w:tcPr>
          <w:p w:rsidR="00EC69F9" w:rsidRPr="00BB72CE" w:rsidRDefault="00EC69F9" w:rsidP="003051A1">
            <w:pPr>
              <w:pStyle w:val="14"/>
              <w:jc w:val="right"/>
            </w:pPr>
            <w:r w:rsidRPr="00BB72CE">
              <w:t>0.49%</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100</w:t>
            </w:r>
          </w:p>
        </w:tc>
        <w:tc>
          <w:tcPr>
            <w:tcW w:w="1160" w:type="dxa"/>
            <w:vAlign w:val="center"/>
          </w:tcPr>
          <w:p w:rsidR="00EC69F9" w:rsidRPr="00BB72CE" w:rsidRDefault="00EC69F9" w:rsidP="003051A1">
            <w:pPr>
              <w:pStyle w:val="14"/>
              <w:jc w:val="right"/>
            </w:pPr>
            <w:r w:rsidRPr="00BB72CE">
              <w:t>2,300</w:t>
            </w:r>
          </w:p>
        </w:tc>
        <w:tc>
          <w:tcPr>
            <w:tcW w:w="1373" w:type="dxa"/>
            <w:vAlign w:val="center"/>
          </w:tcPr>
          <w:p w:rsidR="00EC69F9" w:rsidRPr="00BB72CE" w:rsidRDefault="00EC69F9" w:rsidP="003051A1">
            <w:pPr>
              <w:pStyle w:val="14"/>
              <w:jc w:val="right"/>
            </w:pPr>
            <w:r w:rsidRPr="00BB72CE">
              <w:t>5,015</w:t>
            </w:r>
          </w:p>
        </w:tc>
        <w:tc>
          <w:tcPr>
            <w:tcW w:w="1984" w:type="dxa"/>
            <w:vAlign w:val="center"/>
          </w:tcPr>
          <w:p w:rsidR="00EC69F9" w:rsidRPr="00BB72CE" w:rsidRDefault="00EC69F9" w:rsidP="003051A1">
            <w:pPr>
              <w:pStyle w:val="14"/>
              <w:jc w:val="right"/>
            </w:pPr>
            <w:r w:rsidRPr="00BB72CE">
              <w:t>80.8</w:t>
            </w:r>
          </w:p>
        </w:tc>
        <w:tc>
          <w:tcPr>
            <w:tcW w:w="2152" w:type="dxa"/>
            <w:vAlign w:val="center"/>
          </w:tcPr>
          <w:p w:rsidR="00EC69F9" w:rsidRPr="00BB72CE" w:rsidRDefault="00EC69F9" w:rsidP="003051A1">
            <w:pPr>
              <w:pStyle w:val="14"/>
              <w:jc w:val="right"/>
            </w:pPr>
            <w:r w:rsidRPr="00BB72CE">
              <w:t>0.62%</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101</w:t>
            </w:r>
          </w:p>
        </w:tc>
        <w:tc>
          <w:tcPr>
            <w:tcW w:w="1160" w:type="dxa"/>
            <w:vAlign w:val="center"/>
          </w:tcPr>
          <w:p w:rsidR="00EC69F9" w:rsidRPr="00BB72CE" w:rsidRDefault="00EC69F9" w:rsidP="003051A1">
            <w:pPr>
              <w:pStyle w:val="14"/>
              <w:jc w:val="right"/>
              <w:rPr>
                <w:bCs/>
              </w:rPr>
            </w:pPr>
            <w:r w:rsidRPr="00BB72CE">
              <w:rPr>
                <w:bCs/>
              </w:rPr>
              <w:t>2,625</w:t>
            </w:r>
          </w:p>
        </w:tc>
        <w:tc>
          <w:tcPr>
            <w:tcW w:w="1373" w:type="dxa"/>
            <w:vAlign w:val="center"/>
          </w:tcPr>
          <w:p w:rsidR="00EC69F9" w:rsidRPr="00BB72CE" w:rsidRDefault="00EC69F9" w:rsidP="003051A1">
            <w:pPr>
              <w:pStyle w:val="14"/>
              <w:jc w:val="right"/>
              <w:rPr>
                <w:bCs/>
              </w:rPr>
            </w:pPr>
            <w:r w:rsidRPr="00BB72CE">
              <w:rPr>
                <w:bCs/>
              </w:rPr>
              <w:t>5,558</w:t>
            </w:r>
          </w:p>
        </w:tc>
        <w:tc>
          <w:tcPr>
            <w:tcW w:w="1984" w:type="dxa"/>
            <w:vAlign w:val="center"/>
          </w:tcPr>
          <w:p w:rsidR="00EC69F9" w:rsidRPr="00BB72CE" w:rsidRDefault="00EC69F9" w:rsidP="003051A1">
            <w:pPr>
              <w:pStyle w:val="14"/>
              <w:jc w:val="right"/>
              <w:rPr>
                <w:bCs/>
              </w:rPr>
            </w:pPr>
            <w:r w:rsidRPr="00BB72CE">
              <w:rPr>
                <w:bCs/>
              </w:rPr>
              <w:t>80.2</w:t>
            </w:r>
          </w:p>
        </w:tc>
        <w:tc>
          <w:tcPr>
            <w:tcW w:w="2152" w:type="dxa"/>
            <w:vAlign w:val="center"/>
          </w:tcPr>
          <w:p w:rsidR="00EC69F9" w:rsidRPr="00BB72CE" w:rsidRDefault="00EC69F9" w:rsidP="003051A1">
            <w:pPr>
              <w:pStyle w:val="14"/>
              <w:jc w:val="right"/>
              <w:rPr>
                <w:bCs/>
              </w:rPr>
            </w:pPr>
            <w:r w:rsidRPr="00BB72CE">
              <w:rPr>
                <w:bCs/>
              </w:rPr>
              <w:t>0.69</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102</w:t>
            </w:r>
          </w:p>
        </w:tc>
        <w:tc>
          <w:tcPr>
            <w:tcW w:w="1160" w:type="dxa"/>
            <w:vAlign w:val="center"/>
          </w:tcPr>
          <w:p w:rsidR="00EC69F9" w:rsidRPr="00BB72CE" w:rsidRDefault="00EC69F9" w:rsidP="003051A1">
            <w:pPr>
              <w:pStyle w:val="14"/>
              <w:jc w:val="right"/>
              <w:rPr>
                <w:bCs/>
              </w:rPr>
            </w:pPr>
            <w:r w:rsidRPr="00BB72CE">
              <w:rPr>
                <w:bCs/>
              </w:rPr>
              <w:t>2,988</w:t>
            </w:r>
          </w:p>
        </w:tc>
        <w:tc>
          <w:tcPr>
            <w:tcW w:w="1373" w:type="dxa"/>
            <w:vAlign w:val="center"/>
          </w:tcPr>
          <w:p w:rsidR="00EC69F9" w:rsidRPr="00BB72CE" w:rsidRDefault="00EC69F9" w:rsidP="003051A1">
            <w:pPr>
              <w:pStyle w:val="14"/>
              <w:jc w:val="right"/>
              <w:rPr>
                <w:bCs/>
              </w:rPr>
            </w:pPr>
            <w:r w:rsidRPr="00BB72CE">
              <w:rPr>
                <w:bCs/>
              </w:rPr>
              <w:t>5,951</w:t>
            </w:r>
          </w:p>
        </w:tc>
        <w:tc>
          <w:tcPr>
            <w:tcW w:w="1984" w:type="dxa"/>
            <w:vAlign w:val="center"/>
          </w:tcPr>
          <w:p w:rsidR="00EC69F9" w:rsidRPr="00BB72CE" w:rsidRDefault="00EC69F9" w:rsidP="003051A1">
            <w:pPr>
              <w:pStyle w:val="14"/>
              <w:jc w:val="right"/>
              <w:rPr>
                <w:bCs/>
              </w:rPr>
            </w:pPr>
            <w:r w:rsidRPr="00BB72CE">
              <w:rPr>
                <w:bCs/>
              </w:rPr>
              <w:t>79.9</w:t>
            </w:r>
          </w:p>
        </w:tc>
        <w:tc>
          <w:tcPr>
            <w:tcW w:w="2152" w:type="dxa"/>
            <w:vAlign w:val="center"/>
          </w:tcPr>
          <w:p w:rsidR="00EC69F9" w:rsidRPr="00BB72CE" w:rsidRDefault="00EC69F9" w:rsidP="003051A1">
            <w:pPr>
              <w:pStyle w:val="14"/>
              <w:jc w:val="right"/>
              <w:rPr>
                <w:bCs/>
              </w:rPr>
            </w:pPr>
            <w:r w:rsidRPr="00BB72CE">
              <w:rPr>
                <w:bCs/>
              </w:rPr>
              <w:t>0.74</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103</w:t>
            </w:r>
          </w:p>
        </w:tc>
        <w:tc>
          <w:tcPr>
            <w:tcW w:w="1160" w:type="dxa"/>
            <w:vAlign w:val="center"/>
          </w:tcPr>
          <w:p w:rsidR="00EC69F9" w:rsidRPr="00BB72CE" w:rsidRDefault="00EC69F9" w:rsidP="003051A1">
            <w:pPr>
              <w:pStyle w:val="14"/>
              <w:jc w:val="right"/>
              <w:rPr>
                <w:bCs/>
              </w:rPr>
            </w:pPr>
            <w:r w:rsidRPr="00BB72CE">
              <w:rPr>
                <w:bCs/>
              </w:rPr>
              <w:t>3,038</w:t>
            </w:r>
          </w:p>
        </w:tc>
        <w:tc>
          <w:tcPr>
            <w:tcW w:w="1373" w:type="dxa"/>
            <w:vAlign w:val="center"/>
          </w:tcPr>
          <w:p w:rsidR="00EC69F9" w:rsidRPr="00BB72CE" w:rsidRDefault="00EC69F9" w:rsidP="003051A1">
            <w:pPr>
              <w:pStyle w:val="14"/>
              <w:jc w:val="right"/>
              <w:rPr>
                <w:bCs/>
              </w:rPr>
            </w:pPr>
            <w:r w:rsidRPr="00BB72CE">
              <w:rPr>
                <w:bCs/>
              </w:rPr>
              <w:t>6,071</w:t>
            </w:r>
          </w:p>
        </w:tc>
        <w:tc>
          <w:tcPr>
            <w:tcW w:w="1984" w:type="dxa"/>
            <w:vAlign w:val="center"/>
          </w:tcPr>
          <w:p w:rsidR="00EC69F9" w:rsidRPr="00BB72CE" w:rsidRDefault="00EC69F9" w:rsidP="003051A1">
            <w:pPr>
              <w:pStyle w:val="14"/>
              <w:jc w:val="right"/>
              <w:rPr>
                <w:bCs/>
              </w:rPr>
            </w:pPr>
            <w:r w:rsidRPr="00BB72CE">
              <w:rPr>
                <w:bCs/>
              </w:rPr>
              <w:t>79.9</w:t>
            </w:r>
          </w:p>
        </w:tc>
        <w:tc>
          <w:tcPr>
            <w:tcW w:w="2152" w:type="dxa"/>
            <w:vAlign w:val="center"/>
          </w:tcPr>
          <w:p w:rsidR="00EC69F9" w:rsidRPr="00BB72CE" w:rsidRDefault="00EC69F9" w:rsidP="003051A1">
            <w:pPr>
              <w:pStyle w:val="14"/>
              <w:jc w:val="right"/>
              <w:rPr>
                <w:bCs/>
              </w:rPr>
            </w:pPr>
            <w:r w:rsidRPr="00BB72CE">
              <w:rPr>
                <w:bCs/>
              </w:rPr>
              <w:t>0.75</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104</w:t>
            </w:r>
          </w:p>
        </w:tc>
        <w:tc>
          <w:tcPr>
            <w:tcW w:w="1160" w:type="dxa"/>
            <w:vAlign w:val="center"/>
          </w:tcPr>
          <w:p w:rsidR="00EC69F9" w:rsidRPr="00BB72CE" w:rsidRDefault="00EC69F9" w:rsidP="003051A1">
            <w:pPr>
              <w:pStyle w:val="14"/>
              <w:jc w:val="right"/>
              <w:rPr>
                <w:bCs/>
              </w:rPr>
            </w:pPr>
            <w:r w:rsidRPr="00BB72CE">
              <w:rPr>
                <w:bCs/>
              </w:rPr>
              <w:t>2,598</w:t>
            </w:r>
          </w:p>
        </w:tc>
        <w:tc>
          <w:tcPr>
            <w:tcW w:w="1373" w:type="dxa"/>
            <w:vAlign w:val="center"/>
          </w:tcPr>
          <w:p w:rsidR="00EC69F9" w:rsidRPr="00BB72CE" w:rsidRDefault="00EC69F9" w:rsidP="003051A1">
            <w:pPr>
              <w:pStyle w:val="14"/>
              <w:jc w:val="right"/>
              <w:rPr>
                <w:bCs/>
              </w:rPr>
            </w:pPr>
            <w:r w:rsidRPr="00BB72CE">
              <w:rPr>
                <w:bCs/>
              </w:rPr>
              <w:t>6,490</w:t>
            </w:r>
          </w:p>
        </w:tc>
        <w:tc>
          <w:tcPr>
            <w:tcW w:w="1984" w:type="dxa"/>
            <w:vAlign w:val="center"/>
          </w:tcPr>
          <w:p w:rsidR="00EC69F9" w:rsidRPr="00BB72CE" w:rsidRDefault="00EC69F9" w:rsidP="003051A1">
            <w:pPr>
              <w:pStyle w:val="14"/>
              <w:jc w:val="right"/>
              <w:rPr>
                <w:bCs/>
              </w:rPr>
            </w:pPr>
            <w:r w:rsidRPr="00BB72CE">
              <w:rPr>
                <w:bCs/>
              </w:rPr>
              <w:t>79.6</w:t>
            </w:r>
          </w:p>
        </w:tc>
        <w:tc>
          <w:tcPr>
            <w:tcW w:w="2152" w:type="dxa"/>
            <w:vAlign w:val="center"/>
          </w:tcPr>
          <w:p w:rsidR="00EC69F9" w:rsidRPr="00BB72CE" w:rsidRDefault="00EC69F9" w:rsidP="003051A1">
            <w:pPr>
              <w:pStyle w:val="14"/>
              <w:jc w:val="right"/>
              <w:rPr>
                <w:bCs/>
              </w:rPr>
            </w:pPr>
            <w:r w:rsidRPr="00BB72CE">
              <w:rPr>
                <w:bCs/>
              </w:rPr>
              <w:t>0.81</w:t>
            </w:r>
            <w:r w:rsidRPr="00BB72CE">
              <w:t>%</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t>105</w:t>
            </w:r>
          </w:p>
        </w:tc>
        <w:tc>
          <w:tcPr>
            <w:tcW w:w="1160" w:type="dxa"/>
            <w:vAlign w:val="center"/>
          </w:tcPr>
          <w:p w:rsidR="00EC69F9" w:rsidRPr="00BB72CE" w:rsidRDefault="00EC69F9" w:rsidP="003051A1">
            <w:pPr>
              <w:pStyle w:val="14"/>
              <w:jc w:val="right"/>
            </w:pPr>
            <w:r w:rsidRPr="00BB72CE">
              <w:t>2,932</w:t>
            </w:r>
          </w:p>
        </w:tc>
        <w:tc>
          <w:tcPr>
            <w:tcW w:w="1373" w:type="dxa"/>
            <w:vAlign w:val="center"/>
          </w:tcPr>
          <w:p w:rsidR="00EC69F9" w:rsidRPr="00BB72CE" w:rsidRDefault="00EC69F9" w:rsidP="003051A1">
            <w:pPr>
              <w:pStyle w:val="14"/>
              <w:jc w:val="right"/>
            </w:pPr>
            <w:r w:rsidRPr="00BB72CE">
              <w:t>6,784</w:t>
            </w:r>
          </w:p>
        </w:tc>
        <w:tc>
          <w:tcPr>
            <w:tcW w:w="1984" w:type="dxa"/>
            <w:vAlign w:val="center"/>
          </w:tcPr>
          <w:p w:rsidR="00EC69F9" w:rsidRPr="00BB72CE" w:rsidRDefault="00EC69F9" w:rsidP="003051A1">
            <w:pPr>
              <w:pStyle w:val="14"/>
              <w:jc w:val="right"/>
            </w:pPr>
            <w:r w:rsidRPr="00BB72CE">
              <w:t>79.4</w:t>
            </w:r>
          </w:p>
        </w:tc>
        <w:tc>
          <w:tcPr>
            <w:tcW w:w="2152" w:type="dxa"/>
            <w:vAlign w:val="center"/>
          </w:tcPr>
          <w:p w:rsidR="00EC69F9" w:rsidRPr="00BB72CE" w:rsidRDefault="00EC69F9" w:rsidP="003051A1">
            <w:pPr>
              <w:pStyle w:val="14"/>
              <w:jc w:val="right"/>
            </w:pPr>
            <w:r w:rsidRPr="00BB72CE">
              <w:t>0.85%</w:t>
            </w:r>
          </w:p>
        </w:tc>
      </w:tr>
      <w:tr w:rsidR="00EC69F9" w:rsidRPr="00BB72CE" w:rsidTr="003051A1">
        <w:trPr>
          <w:trHeight w:val="20"/>
          <w:jc w:val="center"/>
        </w:trPr>
        <w:tc>
          <w:tcPr>
            <w:tcW w:w="1271" w:type="dxa"/>
            <w:vAlign w:val="center"/>
          </w:tcPr>
          <w:p w:rsidR="00EC69F9" w:rsidRPr="00BB72CE" w:rsidRDefault="00EC69F9" w:rsidP="003051A1">
            <w:pPr>
              <w:pStyle w:val="14"/>
              <w:jc w:val="center"/>
            </w:pPr>
            <w:r w:rsidRPr="00BB72CE">
              <w:rPr>
                <w:bCs/>
              </w:rPr>
              <w:t>106</w:t>
            </w:r>
            <w:r w:rsidRPr="00BB72CE">
              <w:rPr>
                <w:rFonts w:hint="eastAsia"/>
                <w:bCs/>
              </w:rPr>
              <w:t>年9月</w:t>
            </w:r>
          </w:p>
        </w:tc>
        <w:tc>
          <w:tcPr>
            <w:tcW w:w="1160" w:type="dxa"/>
            <w:vAlign w:val="center"/>
          </w:tcPr>
          <w:p w:rsidR="00EC69F9" w:rsidRPr="00BB72CE" w:rsidRDefault="00EC69F9" w:rsidP="003051A1">
            <w:pPr>
              <w:pStyle w:val="14"/>
              <w:jc w:val="right"/>
            </w:pPr>
            <w:r w:rsidRPr="00BB72CE">
              <w:t>3,116</w:t>
            </w:r>
          </w:p>
        </w:tc>
        <w:tc>
          <w:tcPr>
            <w:tcW w:w="1373" w:type="dxa"/>
            <w:vAlign w:val="center"/>
          </w:tcPr>
          <w:p w:rsidR="00EC69F9" w:rsidRPr="00BB72CE" w:rsidRDefault="00EC69F9" w:rsidP="003051A1">
            <w:pPr>
              <w:pStyle w:val="14"/>
              <w:jc w:val="right"/>
            </w:pPr>
            <w:r w:rsidRPr="00BB72CE">
              <w:t>7,282</w:t>
            </w:r>
          </w:p>
        </w:tc>
        <w:tc>
          <w:tcPr>
            <w:tcW w:w="1984" w:type="dxa"/>
            <w:vAlign w:val="center"/>
          </w:tcPr>
          <w:p w:rsidR="00EC69F9" w:rsidRPr="00BB72CE" w:rsidRDefault="00EC69F9" w:rsidP="003051A1">
            <w:pPr>
              <w:pStyle w:val="14"/>
              <w:jc w:val="right"/>
            </w:pPr>
            <w:r w:rsidRPr="00BB72CE">
              <w:t>79.4</w:t>
            </w:r>
          </w:p>
        </w:tc>
        <w:tc>
          <w:tcPr>
            <w:tcW w:w="2152" w:type="dxa"/>
            <w:vAlign w:val="center"/>
          </w:tcPr>
          <w:p w:rsidR="00EC69F9" w:rsidRPr="00BB72CE" w:rsidRDefault="00EC69F9" w:rsidP="003051A1">
            <w:pPr>
              <w:pStyle w:val="14"/>
              <w:jc w:val="right"/>
            </w:pPr>
            <w:r w:rsidRPr="00BB72CE">
              <w:t>0.91%</w:t>
            </w:r>
          </w:p>
        </w:tc>
      </w:tr>
    </w:tbl>
    <w:p w:rsidR="00EC69F9" w:rsidRPr="00BB72CE" w:rsidRDefault="00EC69F9" w:rsidP="00EC69F9">
      <w:pPr>
        <w:snapToGrid w:val="0"/>
        <w:ind w:leftChars="150" w:left="510"/>
        <w:rPr>
          <w:sz w:val="24"/>
          <w:szCs w:val="24"/>
        </w:rPr>
      </w:pPr>
      <w:r w:rsidRPr="00BB72CE">
        <w:rPr>
          <w:rFonts w:hint="eastAsia"/>
          <w:sz w:val="24"/>
          <w:szCs w:val="24"/>
        </w:rPr>
        <w:t>註：104年</w:t>
      </w:r>
      <w:r w:rsidRPr="00BB72CE">
        <w:rPr>
          <w:sz w:val="24"/>
          <w:szCs w:val="24"/>
        </w:rPr>
        <w:t>集團產銷班以1戶計算</w:t>
      </w:r>
      <w:r w:rsidRPr="00BB72CE">
        <w:rPr>
          <w:rFonts w:hint="eastAsia"/>
          <w:sz w:val="24"/>
          <w:szCs w:val="24"/>
        </w:rPr>
        <w:t>。</w:t>
      </w:r>
    </w:p>
    <w:p w:rsidR="00EC69F9" w:rsidRPr="00BB72CE" w:rsidRDefault="00EC69F9" w:rsidP="00EC69F9">
      <w:pPr>
        <w:ind w:leftChars="150" w:left="510"/>
        <w:rPr>
          <w:sz w:val="24"/>
          <w:szCs w:val="24"/>
        </w:rPr>
      </w:pPr>
      <w:r w:rsidRPr="00BB72CE">
        <w:rPr>
          <w:rFonts w:hint="eastAsia"/>
          <w:sz w:val="24"/>
          <w:szCs w:val="24"/>
        </w:rPr>
        <w:t>資料來源：農委會。</w:t>
      </w:r>
    </w:p>
    <w:p w:rsidR="00EC69F9" w:rsidRPr="00BB72CE" w:rsidRDefault="00EC69F9" w:rsidP="00EC69F9"/>
    <w:p w:rsidR="00EC69F9" w:rsidRPr="00BB72CE" w:rsidRDefault="00EC69F9" w:rsidP="00EC69F9">
      <w:pPr>
        <w:pStyle w:val="3"/>
        <w:numPr>
          <w:ilvl w:val="2"/>
          <w:numId w:val="1"/>
        </w:numPr>
        <w:rPr>
          <w:rFonts w:hAnsi="標楷體"/>
        </w:rPr>
      </w:pPr>
      <w:bookmarkStart w:id="68" w:name="_Toc499803004"/>
      <w:r w:rsidRPr="00BB72CE">
        <w:rPr>
          <w:rFonts w:hAnsi="標楷體" w:hint="eastAsia"/>
        </w:rPr>
        <w:t>雖有機農業推動大幅成長，惟以96年1月29日農產品生產及驗證管理法公布後至102年間之成長較為明顯，102年後則呈趨緩現象，顯見近年有機農業發展有待突破之處。本案赴花蓮履勘有機農業發展現況得知，農委會花蓮區農業改良場推動有機栽培約20年，轄區經驗證通過之面積約1,950公頃，占全國比率約三成，為全國第一，其中水稻面積約1,930公</w:t>
      </w:r>
      <w:r w:rsidRPr="00BB72CE">
        <w:rPr>
          <w:rFonts w:hAnsi="標楷體" w:hint="eastAsia"/>
        </w:rPr>
        <w:lastRenderedPageBreak/>
        <w:t>頃，占全國有機水稻比率達</w:t>
      </w:r>
      <w:r w:rsidR="006C2C4E" w:rsidRPr="00BB72CE">
        <w:rPr>
          <w:rFonts w:hAnsi="標楷體" w:hint="eastAsia"/>
        </w:rPr>
        <w:t>6</w:t>
      </w:r>
      <w:r w:rsidRPr="00BB72CE">
        <w:rPr>
          <w:rFonts w:hAnsi="標楷體" w:hint="eastAsia"/>
        </w:rPr>
        <w:t>成；而該場有機農業發展分為3階段，80至93年間為有機農業技術建置與推廣，93至102年為有機產業六級化，102年後則發展生態服務型農業，推動「有機樂活聚落」，結合各區有機農業資源與人力、自然環境、文化資源、休閒農業及觀光產業等，使有機村產業呈多樣面貌，活絡地方經濟。由於政府推動有機農業發展已逾20年，多年來積極追求有機耕作面積及農戶數之增長，近年成長已趨緩，而花蓮地區有機農業之推廣，以聚落方式結合多元素發展，賦予有機農業新價值，此方式值擴大推廣，以期突破有機農業發展停滯不前之狀況。</w:t>
      </w:r>
      <w:bookmarkEnd w:id="68"/>
    </w:p>
    <w:p w:rsidR="00EC69F9" w:rsidRPr="00BB72CE" w:rsidRDefault="00EC69F9" w:rsidP="00EC69F9">
      <w:pPr>
        <w:pStyle w:val="3"/>
        <w:numPr>
          <w:ilvl w:val="2"/>
          <w:numId w:val="1"/>
        </w:numPr>
        <w:rPr>
          <w:rFonts w:hAnsi="標楷體"/>
          <w:sz w:val="28"/>
        </w:rPr>
      </w:pPr>
      <w:bookmarkStart w:id="69" w:name="_Toc499803005"/>
      <w:r w:rsidRPr="00BB72CE">
        <w:rPr>
          <w:rFonts w:hAnsi="標楷體" w:hint="eastAsia"/>
        </w:rPr>
        <w:t>另農委會表示，為擴大農業對環境友善效益，爰推廣「友善環境耕作」，此為新農業創新推動方案之重要政策項目，該會並於106年5月5日訂定發布</w:t>
      </w:r>
      <w:r w:rsidRPr="00BB72CE">
        <w:rPr>
          <w:rFonts w:hAnsi="標楷體"/>
        </w:rPr>
        <w:t>「友善環境耕作推廣團體審認要點」及「有機及友善環境耕作補貼要點」</w:t>
      </w:r>
      <w:r w:rsidRPr="00BB72CE">
        <w:rPr>
          <w:rFonts w:hAnsi="標楷體" w:hint="eastAsia"/>
        </w:rPr>
        <w:t>，要</w:t>
      </w:r>
      <w:r w:rsidRPr="00BB72CE">
        <w:rPr>
          <w:rFonts w:hAnsi="標楷體"/>
        </w:rPr>
        <w:t>點中規定所推廣之農法只要符合農業友善環境及資源永續利用，生產過程不使用合成化學物質、基因改造生物及其產品者，都可向</w:t>
      </w:r>
      <w:r w:rsidRPr="00BB72CE">
        <w:rPr>
          <w:rFonts w:hAnsi="標楷體" w:hint="eastAsia"/>
        </w:rPr>
        <w:t>該</w:t>
      </w:r>
      <w:r w:rsidRPr="00BB72CE">
        <w:rPr>
          <w:rFonts w:hAnsi="標楷體"/>
        </w:rPr>
        <w:t>會申請審認為友善環境耕作推廣團體，經該團體登錄及稽核管理有案農友，即可認定為友善耕作農友</w:t>
      </w:r>
      <w:r w:rsidRPr="00BB72CE">
        <w:rPr>
          <w:rFonts w:hAnsi="標楷體" w:hint="eastAsia"/>
        </w:rPr>
        <w:t>而</w:t>
      </w:r>
      <w:r w:rsidRPr="00BB72CE">
        <w:rPr>
          <w:rFonts w:hAnsi="標楷體"/>
        </w:rPr>
        <w:t>納入輔導</w:t>
      </w:r>
      <w:r w:rsidRPr="00BB72CE">
        <w:rPr>
          <w:rFonts w:hAnsi="標楷體" w:hint="eastAsia"/>
        </w:rPr>
        <w:t>；補貼措施係秉綠色給付概念，採對地補貼方式，給予農友生態獎勵給付及收益減損補貼，按有機或友善耕作農地面積每年每公頃補貼農友3至8萬元，支持農業轉型友善環境生產。申言之，農業生產方式大致分為有機及慣行農法，但有機耕作之農產品，須經過第三方驗證通過後，才可以「有機農產品」名義販售，惟許多農民因驗證基準嚴格、驗證費用等因素而未加入有機農業驗證，但生產過程仍遵循不使用化學合成物質及其他保護環境之</w:t>
      </w:r>
      <w:r w:rsidRPr="00BB72CE">
        <w:rPr>
          <w:rFonts w:hAnsi="標楷體" w:hint="eastAsia"/>
        </w:rPr>
        <w:lastRenderedPageBreak/>
        <w:t>耕作方式，此即屬於「友善環境耕作」。</w:t>
      </w:r>
      <w:bookmarkEnd w:id="69"/>
    </w:p>
    <w:p w:rsidR="00EC69F9" w:rsidRPr="00BB72CE" w:rsidRDefault="00EC69F9" w:rsidP="00EC69F9">
      <w:pPr>
        <w:pStyle w:val="3"/>
        <w:numPr>
          <w:ilvl w:val="2"/>
          <w:numId w:val="1"/>
        </w:numPr>
        <w:rPr>
          <w:rFonts w:hAnsi="標楷體"/>
        </w:rPr>
      </w:pPr>
      <w:bookmarkStart w:id="70" w:name="_Toc499803006"/>
      <w:r w:rsidRPr="00BB72CE">
        <w:rPr>
          <w:rFonts w:hAnsi="標楷體" w:hint="eastAsia"/>
        </w:rPr>
        <w:t>惟農委會鑑於現行農產品生產及驗證管理法僅強調驗證與管理，欠缺輔導面向規定，故為促進有機農業發展及增進有機農產品品質，爰刻正研擬有機農業</w:t>
      </w:r>
      <w:r w:rsidR="006C2C4E" w:rsidRPr="00BB72CE">
        <w:rPr>
          <w:rFonts w:hAnsi="標楷體" w:hint="eastAsia"/>
        </w:rPr>
        <w:t>促進</w:t>
      </w:r>
      <w:r w:rsidRPr="00BB72CE">
        <w:rPr>
          <w:rFonts w:hAnsi="標楷體" w:hint="eastAsia"/>
        </w:rPr>
        <w:t>法草案，草案條文維持對有機農產品之管理規範，同時增納對有機農業之輔導，包含主管機關每4年訂定有機農業促進方案、鼓勵設置有機農業促進區，提供有機產銷技術、設備、資材、資金貸款及資訊平臺，並推廣學校、軍隊等機關團體及企業組織優先採購在地有機農產品等。然農委會106年首度將友善環境耕作納入輔導與補助對象，而其與有機農業之補貼審查強度、驗證有無及兩者法源依據迥異，將使農民捨棄有機農業而選擇友善環境耕作，此亦可由農委會說明近年有機農業發展趨緩之因素為農民認為驗證過於嚴謹、驗證費用過高等實情得以推論，故推動友善環境耕作勢必衝擊有機耕作面積及農民戶數之拓展，此與該會現研擬有機農業</w:t>
      </w:r>
      <w:r w:rsidR="006C2C4E" w:rsidRPr="00BB72CE">
        <w:rPr>
          <w:rFonts w:hAnsi="標楷體" w:hint="eastAsia"/>
        </w:rPr>
        <w:t>促進</w:t>
      </w:r>
      <w:r w:rsidRPr="00BB72CE">
        <w:rPr>
          <w:rFonts w:hAnsi="標楷體" w:hint="eastAsia"/>
        </w:rPr>
        <w:t>法為促進有機農業發展之目的似有未符。再者，農委會雖表示，有機農業</w:t>
      </w:r>
      <w:r w:rsidR="006C2C4E" w:rsidRPr="00BB72CE">
        <w:rPr>
          <w:rFonts w:hAnsi="標楷體" w:hint="eastAsia"/>
        </w:rPr>
        <w:t>促進</w:t>
      </w:r>
      <w:r w:rsidRPr="00BB72CE">
        <w:rPr>
          <w:rFonts w:hAnsi="標楷體" w:hint="eastAsia"/>
        </w:rPr>
        <w:t>法草案有規定主管機關應推廣符合友善環境要求之有機農業，亦即該會將友善環境耕作納入該法範圍，惟欠缺「友善」之定義及「符合」之認定標準，又為符合有機農業品之驗證，其不使用化學合成品之基本要求，本質上早已符合友善環境，故該會所稱主管機關應推廣「符合友善環境要求」之有機農業，除將有機農業與友善環境耕作混為一談外，難謂有實質意義。</w:t>
      </w:r>
      <w:bookmarkEnd w:id="70"/>
    </w:p>
    <w:p w:rsidR="00EC69F9" w:rsidRPr="00BB72CE" w:rsidRDefault="00EC69F9" w:rsidP="00CA6C63">
      <w:pPr>
        <w:pStyle w:val="3"/>
      </w:pPr>
      <w:bookmarkStart w:id="71" w:name="_Toc499803007"/>
      <w:r w:rsidRPr="00BB72CE">
        <w:rPr>
          <w:rFonts w:hint="eastAsia"/>
        </w:rPr>
        <w:t>另有機農業及友善環境耕作之基本要求為不使用農</w:t>
      </w:r>
      <w:r w:rsidRPr="00BB72CE">
        <w:rPr>
          <w:rFonts w:hint="eastAsia"/>
        </w:rPr>
        <w:lastRenderedPageBreak/>
        <w:t>藥，惟有關我國農藥產銷情形</w:t>
      </w:r>
      <w:r w:rsidRPr="00BB72CE">
        <w:rPr>
          <w:rStyle w:val="aff5"/>
          <w:rFonts w:hAnsi="標楷體"/>
        </w:rPr>
        <w:footnoteReference w:id="8"/>
      </w:r>
      <w:r w:rsidRPr="00BB72CE">
        <w:rPr>
          <w:rFonts w:hint="eastAsia"/>
        </w:rPr>
        <w:t>，103至105年各年度生產量分別為21,805、18,739及13,717公噸，其中內銷量分別達8,796、7,870及7,606公噸，而各年度進口量分別為12,215、10,195及11,838公噸，即國內各年度農藥使用需求量（內銷量+進口量）分別為21,011、18,065及19,444公噸，平均達19,507公噸；另依據國立中興大學曾德賜教授所發表之文章指出</w:t>
      </w:r>
      <w:r w:rsidRPr="00BB72CE">
        <w:rPr>
          <w:rStyle w:val="aff5"/>
          <w:rFonts w:hAnsi="標楷體"/>
        </w:rPr>
        <w:footnoteReference w:id="9"/>
      </w:r>
      <w:r w:rsidRPr="00BB72CE">
        <w:rPr>
          <w:rFonts w:hint="eastAsia"/>
        </w:rPr>
        <w:t>：</w:t>
      </w:r>
      <w:r w:rsidRPr="00BB72CE">
        <w:rPr>
          <w:rFonts w:ascii="新細明體" w:eastAsia="新細明體" w:hAnsi="新細明體" w:hint="eastAsia"/>
        </w:rPr>
        <w:t>「……</w:t>
      </w:r>
      <w:r w:rsidR="00CA6C63" w:rsidRPr="00BB72CE">
        <w:rPr>
          <w:rFonts w:hint="eastAsia"/>
        </w:rPr>
        <w:t>臺</w:t>
      </w:r>
      <w:r w:rsidRPr="00BB72CE">
        <w:rPr>
          <w:rFonts w:hint="eastAsia"/>
        </w:rPr>
        <w:t>灣每年有90億元的農藥在市面上流通，每公頃農藥用量達17公斤，再與印度研究相比，</w:t>
      </w:r>
      <w:r w:rsidR="00CA6C63" w:rsidRPr="00BB72CE">
        <w:rPr>
          <w:rFonts w:hint="eastAsia"/>
        </w:rPr>
        <w:t>臺</w:t>
      </w:r>
      <w:r w:rsidRPr="00BB72CE">
        <w:rPr>
          <w:rFonts w:hint="eastAsia"/>
        </w:rPr>
        <w:t>灣不僅勝過全球單位用量平均的0.5公斤、美國的2.25、歐洲的2.5公斤、韓國的6.6公斤、甚至是日本的11公斤……。」</w:t>
      </w:r>
      <w:r w:rsidR="00CA6C63" w:rsidRPr="00BB72CE">
        <w:rPr>
          <w:rFonts w:hint="eastAsia"/>
          <w:bCs w:val="0"/>
        </w:rPr>
        <w:t>復農委會林聰賢主任委員於106年9月15日中央研究院「農產品安全的展望」專題演講</w:t>
      </w:r>
      <w:r w:rsidR="00D158C3" w:rsidRPr="00BB72CE">
        <w:rPr>
          <w:rFonts w:hint="eastAsia"/>
          <w:bCs w:val="0"/>
        </w:rPr>
        <w:t>後</w:t>
      </w:r>
      <w:r w:rsidR="00CA6C63" w:rsidRPr="00BB72CE">
        <w:rPr>
          <w:rFonts w:hint="eastAsia"/>
          <w:bCs w:val="0"/>
        </w:rPr>
        <w:t>表示</w:t>
      </w:r>
      <w:r w:rsidR="004F5EA1" w:rsidRPr="00BB72CE">
        <w:rPr>
          <w:rStyle w:val="aff5"/>
          <w:bCs w:val="0"/>
        </w:rPr>
        <w:footnoteReference w:id="10"/>
      </w:r>
      <w:r w:rsidR="00CA6C63" w:rsidRPr="00BB72CE">
        <w:rPr>
          <w:rFonts w:hint="eastAsia"/>
          <w:bCs w:val="0"/>
        </w:rPr>
        <w:t>：</w:t>
      </w:r>
      <w:r w:rsidR="004F5EA1" w:rsidRPr="00BB72CE">
        <w:rPr>
          <w:rFonts w:hint="eastAsia"/>
          <w:bCs w:val="0"/>
        </w:rPr>
        <w:t>「針對如此龐大的使用量，將會以合理用藥為前提，訂定總目標，在2027年逐步實現農藥使用量減半的目標，如此才能讓國人對農產品的安全更有信心……。」</w:t>
      </w:r>
      <w:r w:rsidRPr="00BB72CE">
        <w:rPr>
          <w:rFonts w:hint="eastAsia"/>
        </w:rPr>
        <w:t>顯見我國農藥使用量</w:t>
      </w:r>
      <w:r w:rsidR="004F5EA1" w:rsidRPr="00BB72CE">
        <w:rPr>
          <w:rFonts w:hint="eastAsia"/>
        </w:rPr>
        <w:t>確實</w:t>
      </w:r>
      <w:r w:rsidRPr="00BB72CE">
        <w:rPr>
          <w:rFonts w:hint="eastAsia"/>
        </w:rPr>
        <w:t>驚人，而我國有機農業已推動逾20年，然截至106年9月止，有機耕作面積占</w:t>
      </w:r>
      <w:r w:rsidRPr="00BB72CE">
        <w:t>可耕地面積比率</w:t>
      </w:r>
      <w:r w:rsidRPr="00BB72CE">
        <w:rPr>
          <w:rFonts w:hint="eastAsia"/>
        </w:rPr>
        <w:t>僅0.91</w:t>
      </w:r>
      <w:r w:rsidRPr="00BB72CE">
        <w:t>%</w:t>
      </w:r>
      <w:r w:rsidRPr="00BB72CE">
        <w:rPr>
          <w:rFonts w:hint="eastAsia"/>
        </w:rPr>
        <w:t>，不及1%，故絕大數為採行使用農藥之慣行農法。審諸上情，既然農藥使用難以避免，且整體使用量高，故農委會對於有機及友善環境耕作以外占絕大多數比率之慣行農法，應正視並採行正確及合理用藥之督管措施。</w:t>
      </w:r>
      <w:bookmarkEnd w:id="71"/>
    </w:p>
    <w:p w:rsidR="00EC69F9" w:rsidRPr="00BB72CE" w:rsidRDefault="00EC69F9" w:rsidP="00D158C3">
      <w:pPr>
        <w:pStyle w:val="3"/>
        <w:numPr>
          <w:ilvl w:val="2"/>
          <w:numId w:val="1"/>
        </w:numPr>
        <w:spacing w:line="460" w:lineRule="exact"/>
        <w:ind w:left="1360" w:hanging="680"/>
        <w:rPr>
          <w:rFonts w:hAnsi="標楷體"/>
        </w:rPr>
      </w:pPr>
      <w:bookmarkStart w:id="72" w:name="_Toc499803008"/>
      <w:r w:rsidRPr="00BB72CE">
        <w:rPr>
          <w:rFonts w:hAnsi="標楷體" w:hint="eastAsia"/>
          <w:spacing w:val="-3"/>
        </w:rPr>
        <w:t>據上，我國推動有機農業已逾</w:t>
      </w:r>
      <w:r w:rsidRPr="00BB72CE">
        <w:rPr>
          <w:rFonts w:hAnsi="標楷體"/>
          <w:spacing w:val="-3"/>
        </w:rPr>
        <w:t>20</w:t>
      </w:r>
      <w:r w:rsidRPr="00BB72CE">
        <w:rPr>
          <w:rFonts w:hAnsi="標楷體" w:hint="eastAsia"/>
          <w:spacing w:val="-3"/>
        </w:rPr>
        <w:t>年，通過有機驗證之</w:t>
      </w:r>
      <w:r w:rsidRPr="00BB72CE">
        <w:rPr>
          <w:rFonts w:hAnsi="標楷體" w:hint="eastAsia"/>
          <w:spacing w:val="-3"/>
        </w:rPr>
        <w:lastRenderedPageBreak/>
        <w:t>耕作面積及農戶數雖逐年成長，惟</w:t>
      </w:r>
      <w:r w:rsidRPr="00BB72CE">
        <w:rPr>
          <w:rFonts w:hAnsi="標楷體"/>
          <w:spacing w:val="-3"/>
        </w:rPr>
        <w:t>102</w:t>
      </w:r>
      <w:r w:rsidRPr="00BB72CE">
        <w:rPr>
          <w:rFonts w:hAnsi="標楷體" w:hint="eastAsia"/>
          <w:spacing w:val="-3"/>
        </w:rPr>
        <w:t>年以後呈趨緩現象，而花蓮地區對有機農業之推廣，以聚落方式結合自然環境、文化資源、休閒農業及觀光產業等多元素發展，賦予有機農業新價值，此方式值擴大推廣，以期突破有機農業發展停滯不前之狀況；</w:t>
      </w:r>
      <w:r w:rsidRPr="00BB72CE">
        <w:rPr>
          <w:rFonts w:hAnsi="標楷體" w:hint="eastAsia"/>
          <w:spacing w:val="-4"/>
        </w:rPr>
        <w:t>復農委會於</w:t>
      </w:r>
      <w:r w:rsidRPr="00BB72CE">
        <w:rPr>
          <w:rFonts w:hAnsi="標楷體"/>
          <w:spacing w:val="-4"/>
        </w:rPr>
        <w:t>106</w:t>
      </w:r>
      <w:r w:rsidRPr="00BB72CE">
        <w:rPr>
          <w:rFonts w:hAnsi="標楷體" w:hint="eastAsia"/>
          <w:spacing w:val="-4"/>
        </w:rPr>
        <w:t>年推動「友善環境耕作」，並首度納入輔導與補助對象，然其與有機農業之補貼審查強度、驗證有無及兩者法源依據迥異，將使農民捨棄有機農業而選擇友善環境耕作，此勢必衝擊有機農業之發展，且與該會刻正研擬之有機農業法目的似有未符，</w:t>
      </w:r>
      <w:r w:rsidRPr="00BB72CE">
        <w:rPr>
          <w:rFonts w:hAnsi="標楷體" w:hint="eastAsia"/>
          <w:spacing w:val="-3"/>
        </w:rPr>
        <w:t>又該</w:t>
      </w:r>
      <w:r w:rsidRPr="00BB72CE">
        <w:rPr>
          <w:rFonts w:hAnsi="標楷體" w:hint="eastAsia"/>
          <w:spacing w:val="-4"/>
        </w:rPr>
        <w:t>會將「友善環境耕作」納入有機農業法草案中，惟欠缺定義及認定標準，難謂有實質意義；另我國農藥使用需求量高，且目前絕大數仍為採用使用農藥之慣行農法耕作，其正確及合理使用農藥之督管措施，均有待農委會深入檢討及研議。</w:t>
      </w:r>
      <w:bookmarkEnd w:id="72"/>
    </w:p>
    <w:p w:rsidR="000A01B3" w:rsidRPr="00BB72CE" w:rsidRDefault="0086558C" w:rsidP="000A01B3">
      <w:pPr>
        <w:pStyle w:val="2"/>
        <w:rPr>
          <w:rFonts w:hAnsi="標楷體"/>
          <w:b/>
        </w:rPr>
      </w:pPr>
      <w:bookmarkStart w:id="73" w:name="_Toc499803009"/>
      <w:r w:rsidRPr="00BB72CE">
        <w:rPr>
          <w:rFonts w:hAnsi="標楷體" w:hint="eastAsia"/>
          <w:b/>
        </w:rPr>
        <w:t>韓國農林畜產食品部所屬「韓國農水產物流通公社」</w:t>
      </w:r>
      <w:r w:rsidR="000A01B3" w:rsidRPr="00BB72CE">
        <w:rPr>
          <w:rFonts w:hAnsi="標楷體" w:hint="eastAsia"/>
          <w:b/>
        </w:rPr>
        <w:t>近年致力於推廣韓國農水產品至世界各地，其對於</w:t>
      </w:r>
      <w:r w:rsidRPr="00BB72CE">
        <w:rPr>
          <w:rFonts w:hAnsi="標楷體" w:hint="eastAsia"/>
          <w:b/>
        </w:rPr>
        <w:t>業者</w:t>
      </w:r>
      <w:r w:rsidR="000A01B3" w:rsidRPr="00BB72CE">
        <w:rPr>
          <w:rFonts w:hAnsi="標楷體" w:hint="eastAsia"/>
          <w:b/>
        </w:rPr>
        <w:t>之輔導及支援方式，係</w:t>
      </w:r>
      <w:r w:rsidR="00093AE8" w:rsidRPr="00BB72CE">
        <w:rPr>
          <w:rFonts w:hAnsi="標楷體" w:hint="eastAsia"/>
          <w:b/>
        </w:rPr>
        <w:t>從</w:t>
      </w:r>
      <w:r w:rsidR="000A01B3" w:rsidRPr="00BB72CE">
        <w:rPr>
          <w:rFonts w:hAnsi="標楷體" w:hint="eastAsia"/>
          <w:b/>
        </w:rPr>
        <w:t>生產</w:t>
      </w:r>
      <w:r w:rsidR="00093AE8" w:rsidRPr="00BB72CE">
        <w:rPr>
          <w:rFonts w:hAnsi="標楷體" w:hint="eastAsia"/>
          <w:b/>
        </w:rPr>
        <w:t>開始</w:t>
      </w:r>
      <w:r w:rsidR="000A01B3" w:rsidRPr="00BB72CE">
        <w:rPr>
          <w:rFonts w:hAnsi="標楷體" w:hint="eastAsia"/>
          <w:b/>
        </w:rPr>
        <w:t>至行銷各階段全程統包協助</w:t>
      </w:r>
      <w:r w:rsidRPr="00BB72CE">
        <w:rPr>
          <w:rFonts w:hAnsi="標楷體" w:hint="eastAsia"/>
          <w:b/>
        </w:rPr>
        <w:t>，使該國農水產食品順利拓展至世界各地，甚至成為韓國經濟主力</w:t>
      </w:r>
      <w:r w:rsidR="00167B21" w:rsidRPr="00BB72CE">
        <w:rPr>
          <w:rFonts w:hAnsi="標楷體" w:hint="eastAsia"/>
          <w:b/>
        </w:rPr>
        <w:t>；</w:t>
      </w:r>
      <w:r w:rsidR="000A01B3" w:rsidRPr="00BB72CE">
        <w:rPr>
          <w:rFonts w:hAnsi="標楷體" w:hint="eastAsia"/>
          <w:b/>
        </w:rPr>
        <w:t>反觀我國，對於農產品之國際行銷，缺乏</w:t>
      </w:r>
      <w:r w:rsidRPr="00BB72CE">
        <w:rPr>
          <w:rFonts w:hAnsi="標楷體" w:hint="eastAsia"/>
          <w:b/>
        </w:rPr>
        <w:t>類似此公社之</w:t>
      </w:r>
      <w:r w:rsidR="000A01B3" w:rsidRPr="00BB72CE">
        <w:rPr>
          <w:rFonts w:hAnsi="標楷體" w:hint="eastAsia"/>
          <w:b/>
        </w:rPr>
        <w:t>角色</w:t>
      </w:r>
      <w:r w:rsidR="00167B21" w:rsidRPr="00BB72CE">
        <w:rPr>
          <w:rFonts w:hAnsi="標楷體" w:hint="eastAsia"/>
          <w:b/>
        </w:rPr>
        <w:t>與功能的</w:t>
      </w:r>
      <w:r w:rsidR="000A01B3" w:rsidRPr="00BB72CE">
        <w:rPr>
          <w:rFonts w:hAnsi="標楷體" w:hint="eastAsia"/>
          <w:b/>
        </w:rPr>
        <w:t>政府單位，致難有效及全面</w:t>
      </w:r>
      <w:r w:rsidRPr="00BB72CE">
        <w:rPr>
          <w:rFonts w:hAnsi="標楷體" w:hint="eastAsia"/>
          <w:b/>
        </w:rPr>
        <w:t>開拓我農產品外銷</w:t>
      </w:r>
      <w:r w:rsidR="000A01B3" w:rsidRPr="00BB72CE">
        <w:rPr>
          <w:rFonts w:hAnsi="標楷體" w:hint="eastAsia"/>
          <w:b/>
        </w:rPr>
        <w:t>，</w:t>
      </w:r>
      <w:r w:rsidRPr="00BB72CE">
        <w:rPr>
          <w:rFonts w:hAnsi="標楷體" w:hint="eastAsia"/>
          <w:b/>
        </w:rPr>
        <w:t>韓國</w:t>
      </w:r>
      <w:r w:rsidR="00957392" w:rsidRPr="00BB72CE">
        <w:rPr>
          <w:rFonts w:hAnsi="標楷體" w:hint="eastAsia"/>
          <w:b/>
        </w:rPr>
        <w:t>行銷</w:t>
      </w:r>
      <w:r w:rsidRPr="00BB72CE">
        <w:rPr>
          <w:rFonts w:hAnsi="標楷體" w:hint="eastAsia"/>
          <w:b/>
        </w:rPr>
        <w:t>策略及模式，深值我國參考</w:t>
      </w:r>
      <w:r w:rsidR="000A01B3" w:rsidRPr="00BB72CE">
        <w:rPr>
          <w:rFonts w:hAnsi="標楷體" w:hint="eastAsia"/>
          <w:b/>
        </w:rPr>
        <w:t>。</w:t>
      </w:r>
      <w:bookmarkEnd w:id="73"/>
    </w:p>
    <w:p w:rsidR="006141F7" w:rsidRPr="00BB72CE" w:rsidRDefault="006141F7" w:rsidP="00890A25">
      <w:pPr>
        <w:pStyle w:val="3"/>
      </w:pPr>
      <w:bookmarkStart w:id="74" w:name="_Toc499139404"/>
      <w:bookmarkStart w:id="75" w:name="_Toc499803010"/>
      <w:r w:rsidRPr="00BB72CE">
        <w:rPr>
          <w:rFonts w:hint="eastAsia"/>
        </w:rPr>
        <w:t>韓國農業結構及農業發展，與我國</w:t>
      </w:r>
      <w:r w:rsidR="00167B21" w:rsidRPr="00BB72CE">
        <w:rPr>
          <w:rFonts w:hint="eastAsia"/>
        </w:rPr>
        <w:t>有許多相似處，例如：農業</w:t>
      </w:r>
      <w:r w:rsidRPr="00BB72CE">
        <w:rPr>
          <w:rFonts w:hint="eastAsia"/>
        </w:rPr>
        <w:t>為國家早期發展的經濟基礎產業，由農、林、漁、牧業組成、均以稻米為主食，麵食類仰賴進口、可耕作面積均偏小，先後加入</w:t>
      </w:r>
      <w:r w:rsidRPr="00BB72CE">
        <w:rPr>
          <w:spacing w:val="20"/>
        </w:rPr>
        <w:t>世界貿易組織</w:t>
      </w:r>
      <w:r w:rsidR="00A02472" w:rsidRPr="00BB72CE">
        <w:rPr>
          <w:rFonts w:hint="eastAsia"/>
          <w:spacing w:val="20"/>
        </w:rPr>
        <w:t>…</w:t>
      </w:r>
      <w:r w:rsidR="00890A25" w:rsidRPr="00BB72CE">
        <w:rPr>
          <w:rFonts w:hAnsi="標楷體" w:hint="eastAsia"/>
          <w:spacing w:val="20"/>
        </w:rPr>
        <w:t>…</w:t>
      </w:r>
      <w:r w:rsidRPr="00BB72CE">
        <w:rPr>
          <w:rFonts w:hint="eastAsia"/>
        </w:rPr>
        <w:t>，因此該國農業發展走向</w:t>
      </w:r>
      <w:r w:rsidR="00167B21" w:rsidRPr="00BB72CE">
        <w:rPr>
          <w:rFonts w:hint="eastAsia"/>
        </w:rPr>
        <w:t>及策略</w:t>
      </w:r>
      <w:r w:rsidRPr="00BB72CE">
        <w:rPr>
          <w:rFonts w:hint="eastAsia"/>
        </w:rPr>
        <w:t>，深值我國參考，尤其韓國</w:t>
      </w:r>
      <w:r w:rsidR="002E4055" w:rsidRPr="00BB72CE">
        <w:rPr>
          <w:rFonts w:hint="eastAsia"/>
        </w:rPr>
        <w:t>於公元1995年左右即開啟國際貿易</w:t>
      </w:r>
      <w:r w:rsidR="002E4055" w:rsidRPr="00BB72CE">
        <w:rPr>
          <w:rFonts w:hint="eastAsia"/>
        </w:rPr>
        <w:lastRenderedPageBreak/>
        <w:t>大門，早我國面臨國際市場多元化與自由化的衝擊，</w:t>
      </w:r>
      <w:r w:rsidR="004266E4" w:rsidRPr="00BB72CE">
        <w:rPr>
          <w:rFonts w:hint="eastAsia"/>
        </w:rPr>
        <w:t>理當遭遇相當困境及瓶頸，</w:t>
      </w:r>
      <w:r w:rsidR="002E4055" w:rsidRPr="00BB72CE">
        <w:rPr>
          <w:rFonts w:hint="eastAsia"/>
        </w:rPr>
        <w:t>惟該國農水產食品出口值卻仍逐年成長，公元2016年出口值甚已達2007年的2倍以上，</w:t>
      </w:r>
      <w:r w:rsidR="004266E4" w:rsidRPr="00BB72CE">
        <w:rPr>
          <w:rFonts w:hint="eastAsia"/>
        </w:rPr>
        <w:t>故</w:t>
      </w:r>
      <w:r w:rsidR="002E4055" w:rsidRPr="00BB72CE">
        <w:rPr>
          <w:rFonts w:hint="eastAsia"/>
        </w:rPr>
        <w:t>韓國農業近年</w:t>
      </w:r>
      <w:r w:rsidR="004266E4" w:rsidRPr="00BB72CE">
        <w:rPr>
          <w:rFonts w:hint="eastAsia"/>
        </w:rPr>
        <w:t>農產品外銷</w:t>
      </w:r>
      <w:r w:rsidR="002E4055" w:rsidRPr="00BB72CE">
        <w:rPr>
          <w:rFonts w:hint="eastAsia"/>
        </w:rPr>
        <w:t>發展之</w:t>
      </w:r>
      <w:r w:rsidR="004266E4" w:rsidRPr="00BB72CE">
        <w:rPr>
          <w:rFonts w:hint="eastAsia"/>
        </w:rPr>
        <w:t>策略及長處，值深入瞭解。</w:t>
      </w:r>
      <w:bookmarkEnd w:id="74"/>
      <w:bookmarkEnd w:id="75"/>
    </w:p>
    <w:p w:rsidR="004A2F5C" w:rsidRPr="00BB72CE" w:rsidRDefault="004266E4" w:rsidP="004A2F5C">
      <w:pPr>
        <w:pStyle w:val="3"/>
        <w:rPr>
          <w:rFonts w:hAnsi="標楷體"/>
        </w:rPr>
      </w:pPr>
      <w:bookmarkStart w:id="76" w:name="_Toc499139405"/>
      <w:bookmarkStart w:id="77" w:name="_Toc499803011"/>
      <w:r w:rsidRPr="00BB72CE">
        <w:rPr>
          <w:rFonts w:hAnsi="標楷體" w:hint="eastAsia"/>
        </w:rPr>
        <w:t>韓國農林畜產食品部</w:t>
      </w:r>
      <w:r w:rsidR="00F311CE" w:rsidRPr="00BB72CE">
        <w:rPr>
          <w:rFonts w:hAnsi="標楷體" w:hint="eastAsia"/>
        </w:rPr>
        <w:t>（</w:t>
      </w:r>
      <w:r w:rsidRPr="00BB72CE">
        <w:rPr>
          <w:rFonts w:hAnsi="標楷體" w:hint="eastAsia"/>
        </w:rPr>
        <w:t>農業中央主管機關</w:t>
      </w:r>
      <w:r w:rsidR="00F311CE" w:rsidRPr="00BB72CE">
        <w:rPr>
          <w:rFonts w:hAnsi="標楷體" w:hint="eastAsia"/>
        </w:rPr>
        <w:t>）</w:t>
      </w:r>
      <w:r w:rsidRPr="00BB72CE">
        <w:rPr>
          <w:rFonts w:hAnsi="標楷體" w:hint="eastAsia"/>
        </w:rPr>
        <w:t xml:space="preserve"> 所屬「韓國農水產物流通公社」</w:t>
      </w:r>
      <w:r w:rsidR="00F311CE" w:rsidRPr="00BB72CE">
        <w:rPr>
          <w:rFonts w:hAnsi="標楷體" w:hint="eastAsia"/>
        </w:rPr>
        <w:t>（</w:t>
      </w:r>
      <w:r w:rsidRPr="00BB72CE">
        <w:rPr>
          <w:rFonts w:hAnsi="標楷體" w:hint="eastAsia"/>
        </w:rPr>
        <w:t>Korea Agro Trade, aT</w:t>
      </w:r>
      <w:r w:rsidR="00F311CE" w:rsidRPr="00BB72CE">
        <w:rPr>
          <w:rFonts w:hAnsi="標楷體" w:hint="eastAsia"/>
        </w:rPr>
        <w:t>）</w:t>
      </w:r>
      <w:r w:rsidRPr="00BB72CE">
        <w:rPr>
          <w:rFonts w:hAnsi="標楷體" w:hint="eastAsia"/>
        </w:rPr>
        <w:t xml:space="preserve"> 成立於公元1967年，</w:t>
      </w:r>
      <w:r w:rsidR="001919BA" w:rsidRPr="00BB72CE">
        <w:rPr>
          <w:rFonts w:hAnsi="標楷體" w:hint="eastAsia"/>
        </w:rPr>
        <w:t>係由民間商人組成之團體</w:t>
      </w:r>
      <w:r w:rsidRPr="00BB72CE">
        <w:rPr>
          <w:rFonts w:hAnsi="標楷體" w:hint="eastAsia"/>
        </w:rPr>
        <w:t>，目的是為</w:t>
      </w:r>
      <w:r w:rsidR="00DC4A5D" w:rsidRPr="00BB72CE">
        <w:rPr>
          <w:rFonts w:hAnsi="標楷體" w:hint="eastAsia"/>
        </w:rPr>
        <w:t>改善農民收入</w:t>
      </w:r>
      <w:r w:rsidR="00116F42" w:rsidRPr="00BB72CE">
        <w:rPr>
          <w:rFonts w:hAnsi="標楷體" w:hint="eastAsia"/>
        </w:rPr>
        <w:t>，</w:t>
      </w:r>
      <w:r w:rsidR="001919BA" w:rsidRPr="00BB72CE">
        <w:rPr>
          <w:rFonts w:hAnsi="標楷體" w:hint="eastAsia"/>
        </w:rPr>
        <w:t>經一連擴編</w:t>
      </w:r>
      <w:r w:rsidR="000D651A" w:rsidRPr="00BB72CE">
        <w:rPr>
          <w:rFonts w:hAnsi="標楷體" w:hint="eastAsia"/>
        </w:rPr>
        <w:t>及組改</w:t>
      </w:r>
      <w:r w:rsidR="001919BA" w:rsidRPr="00BB72CE">
        <w:rPr>
          <w:rFonts w:hAnsi="標楷體" w:hint="eastAsia"/>
        </w:rPr>
        <w:t>，</w:t>
      </w:r>
      <w:r w:rsidR="00116F42" w:rsidRPr="00BB72CE">
        <w:rPr>
          <w:rFonts w:hAnsi="標楷體" w:hint="eastAsia"/>
        </w:rPr>
        <w:t>於</w:t>
      </w:r>
      <w:r w:rsidR="00DC4A5D" w:rsidRPr="00BB72CE">
        <w:rPr>
          <w:rFonts w:hAnsi="標楷體" w:hint="eastAsia"/>
        </w:rPr>
        <w:t>公</w:t>
      </w:r>
      <w:r w:rsidRPr="00BB72CE">
        <w:rPr>
          <w:rFonts w:hAnsi="標楷體" w:hint="eastAsia"/>
        </w:rPr>
        <w:t>元2012年正式改名為「韓國農水產</w:t>
      </w:r>
      <w:r w:rsidR="00DC4A5D" w:rsidRPr="00BB72CE">
        <w:rPr>
          <w:rFonts w:hAnsi="標楷體" w:hint="eastAsia"/>
        </w:rPr>
        <w:t>物</w:t>
      </w:r>
      <w:r w:rsidRPr="00BB72CE">
        <w:rPr>
          <w:rFonts w:hAnsi="標楷體" w:hint="eastAsia"/>
        </w:rPr>
        <w:t>流通公社」，</w:t>
      </w:r>
      <w:r w:rsidR="000D651A" w:rsidRPr="00BB72CE">
        <w:rPr>
          <w:rFonts w:hAnsi="標楷體" w:hint="eastAsia"/>
        </w:rPr>
        <w:t>為扶植</w:t>
      </w:r>
      <w:r w:rsidR="00167B21" w:rsidRPr="00BB72CE">
        <w:rPr>
          <w:rFonts w:hAnsi="標楷體" w:hint="eastAsia"/>
        </w:rPr>
        <w:t>韓國</w:t>
      </w:r>
      <w:r w:rsidR="000D651A" w:rsidRPr="00BB72CE">
        <w:rPr>
          <w:rFonts w:hAnsi="標楷體" w:hint="eastAsia"/>
        </w:rPr>
        <w:t>農水產食品產業之專業公營機構。近年該公社致力於推展韓國農水產食品至海外市場，</w:t>
      </w:r>
      <w:r w:rsidR="004A2F5C" w:rsidRPr="00BB72CE">
        <w:rPr>
          <w:rFonts w:hAnsi="標楷體" w:hint="eastAsia"/>
        </w:rPr>
        <w:t>是</w:t>
      </w:r>
      <w:r w:rsidR="00C10D55" w:rsidRPr="00BB72CE">
        <w:rPr>
          <w:rFonts w:hAnsi="標楷體" w:hint="eastAsia"/>
        </w:rPr>
        <w:t>韓國食品推向世界之</w:t>
      </w:r>
      <w:r w:rsidR="004A2F5C" w:rsidRPr="00BB72CE">
        <w:rPr>
          <w:rFonts w:hAnsi="標楷體" w:hint="eastAsia"/>
        </w:rPr>
        <w:t>重要</w:t>
      </w:r>
      <w:r w:rsidR="00C10D55" w:rsidRPr="00BB72CE">
        <w:rPr>
          <w:rFonts w:hAnsi="標楷體" w:hint="eastAsia"/>
        </w:rPr>
        <w:t>支持</w:t>
      </w:r>
      <w:r w:rsidR="007756D1">
        <w:rPr>
          <w:rFonts w:hAnsi="標楷體" w:hint="eastAsia"/>
        </w:rPr>
        <w:t>平臺</w:t>
      </w:r>
      <w:r w:rsidR="004A2F5C" w:rsidRPr="00BB72CE">
        <w:rPr>
          <w:rFonts w:hAnsi="標楷體" w:hint="eastAsia"/>
        </w:rPr>
        <w:t>，</w:t>
      </w:r>
      <w:r w:rsidR="00C10D55" w:rsidRPr="00BB72CE">
        <w:rPr>
          <w:rFonts w:hAnsi="標楷體" w:hint="eastAsia"/>
        </w:rPr>
        <w:t>引領韓國食品全球化</w:t>
      </w:r>
      <w:r w:rsidR="004A2F5C" w:rsidRPr="00BB72CE">
        <w:rPr>
          <w:rFonts w:hAnsi="標楷體" w:hint="eastAsia"/>
        </w:rPr>
        <w:t>。本案經拜會該公社更進一步得知，為促進出口，該公社認為應先培養龍頭企業，以</w:t>
      </w:r>
      <w:r w:rsidR="00C10D55" w:rsidRPr="00BB72CE">
        <w:rPr>
          <w:rFonts w:hAnsi="標楷體" w:hint="eastAsia"/>
        </w:rPr>
        <w:t>因應急遽變化之貿易環境</w:t>
      </w:r>
      <w:r w:rsidR="004A2F5C" w:rsidRPr="00BB72CE">
        <w:rPr>
          <w:rFonts w:hAnsi="標楷體" w:hint="eastAsia"/>
        </w:rPr>
        <w:t>，再者為發掘具有潛力之中小企業，支持其產品出口；其自農水產</w:t>
      </w:r>
      <w:r w:rsidR="00BB1A2A" w:rsidRPr="00BB72CE">
        <w:rPr>
          <w:rFonts w:hAnsi="標楷體" w:hint="eastAsia"/>
        </w:rPr>
        <w:t>品生產階段即開始協助，後續包括商品化、運送及通關、海外行銷及</w:t>
      </w:r>
      <w:r w:rsidR="004A2F5C" w:rsidRPr="00BB72CE">
        <w:rPr>
          <w:rFonts w:hAnsi="標楷體" w:hint="eastAsia"/>
        </w:rPr>
        <w:t>消費等各階段，亦均提供相關支援，即自生產至行銷均全面性支援，茲就支援項目及內容略述如下：</w:t>
      </w:r>
      <w:bookmarkEnd w:id="76"/>
      <w:bookmarkEnd w:id="77"/>
    </w:p>
    <w:p w:rsidR="004A2F5C" w:rsidRPr="00BB72CE" w:rsidRDefault="004A2F5C" w:rsidP="003A4D18">
      <w:pPr>
        <w:pStyle w:val="4"/>
        <w:rPr>
          <w:rFonts w:hAnsi="標楷體"/>
        </w:rPr>
      </w:pPr>
      <w:r w:rsidRPr="00BB72CE">
        <w:rPr>
          <w:rFonts w:hAnsi="標楷體" w:hint="eastAsia"/>
        </w:rPr>
        <w:t>生產</w:t>
      </w:r>
    </w:p>
    <w:p w:rsidR="004A2F5C" w:rsidRPr="00BB72CE" w:rsidRDefault="004A2F5C" w:rsidP="003A4D18">
      <w:pPr>
        <w:pStyle w:val="5"/>
        <w:rPr>
          <w:rFonts w:hAnsi="標楷體"/>
        </w:rPr>
      </w:pPr>
      <w:r w:rsidRPr="00BB72CE">
        <w:rPr>
          <w:rFonts w:hAnsi="標楷體" w:hint="eastAsia"/>
        </w:rPr>
        <w:t>建構出口初期階段組織基礎</w:t>
      </w:r>
    </w:p>
    <w:p w:rsidR="004A2F5C" w:rsidRPr="00BB72CE" w:rsidRDefault="004A2F5C" w:rsidP="003A4D18">
      <w:pPr>
        <w:pStyle w:val="72"/>
        <w:ind w:leftChars="583" w:left="1983" w:firstLine="680"/>
        <w:rPr>
          <w:rFonts w:hAnsi="標楷體"/>
        </w:rPr>
      </w:pPr>
      <w:r w:rsidRPr="00BB72CE">
        <w:rPr>
          <w:rFonts w:hAnsi="標楷體" w:hint="eastAsia"/>
        </w:rPr>
        <w:t>培育個別項目生產者組織及加強與出口專業生產園區之契約栽培。主要內容包括：支援建構契約栽培基礎、建立共同品牌、支援產品品質改善及研發、建構品質管理系統，例如：GLOBAL GAP認證及其他安全性檢驗。</w:t>
      </w:r>
    </w:p>
    <w:p w:rsidR="004A2F5C" w:rsidRPr="00BB72CE" w:rsidRDefault="004A2F5C" w:rsidP="003A4D18">
      <w:pPr>
        <w:pStyle w:val="5"/>
        <w:rPr>
          <w:rFonts w:hAnsi="標楷體"/>
        </w:rPr>
      </w:pPr>
      <w:r w:rsidRPr="00BB72CE">
        <w:rPr>
          <w:rFonts w:hAnsi="標楷體" w:hint="eastAsia"/>
        </w:rPr>
        <w:t>安全性管理</w:t>
      </w:r>
    </w:p>
    <w:p w:rsidR="004A2F5C" w:rsidRPr="00BB72CE" w:rsidRDefault="004A2F5C" w:rsidP="003A4D18">
      <w:pPr>
        <w:pStyle w:val="72"/>
        <w:ind w:leftChars="583" w:left="1983" w:firstLine="680"/>
        <w:rPr>
          <w:rFonts w:hAnsi="標楷體"/>
        </w:rPr>
      </w:pPr>
      <w:r w:rsidRPr="00BB72CE">
        <w:rPr>
          <w:rFonts w:hAnsi="標楷體" w:hint="eastAsia"/>
        </w:rPr>
        <w:t>確保國內農水產食品之安全，以因應輸銷國家之非關稅貿易障礙</w:t>
      </w:r>
      <w:r w:rsidR="00BB1A2A" w:rsidRPr="00BB72CE">
        <w:rPr>
          <w:rFonts w:hAnsi="標楷體" w:hint="eastAsia"/>
        </w:rPr>
        <w:t>；</w:t>
      </w:r>
      <w:r w:rsidRPr="00BB72CE">
        <w:rPr>
          <w:rFonts w:hAnsi="標楷體" w:hint="eastAsia"/>
        </w:rPr>
        <w:t>此部分</w:t>
      </w:r>
      <w:r w:rsidR="00BB1A2A" w:rsidRPr="00BB72CE">
        <w:rPr>
          <w:rFonts w:hAnsi="標楷體" w:hint="eastAsia"/>
        </w:rPr>
        <w:t>會</w:t>
      </w:r>
      <w:r w:rsidRPr="00BB72CE">
        <w:rPr>
          <w:rFonts w:hAnsi="標楷體" w:hint="eastAsia"/>
        </w:rPr>
        <w:t>支援農藥殘</w:t>
      </w:r>
      <w:r w:rsidRPr="00BB72CE">
        <w:rPr>
          <w:rFonts w:hAnsi="標楷體" w:hint="eastAsia"/>
        </w:rPr>
        <w:lastRenderedPageBreak/>
        <w:t>留及衛生檢驗費用。</w:t>
      </w:r>
    </w:p>
    <w:p w:rsidR="004A2F5C" w:rsidRPr="00BB72CE" w:rsidRDefault="004A2F5C" w:rsidP="003A4D18">
      <w:pPr>
        <w:pStyle w:val="4"/>
        <w:rPr>
          <w:rFonts w:hAnsi="標楷體"/>
        </w:rPr>
      </w:pPr>
      <w:r w:rsidRPr="00BB72CE">
        <w:rPr>
          <w:rFonts w:hAnsi="標楷體" w:hint="eastAsia"/>
        </w:rPr>
        <w:t>商品化</w:t>
      </w:r>
    </w:p>
    <w:p w:rsidR="004A2F5C" w:rsidRPr="00BB72CE" w:rsidRDefault="004A2F5C" w:rsidP="003A4D18">
      <w:pPr>
        <w:pStyle w:val="5"/>
        <w:rPr>
          <w:rFonts w:hAnsi="標楷體"/>
        </w:rPr>
      </w:pPr>
      <w:r w:rsidRPr="00BB72CE">
        <w:rPr>
          <w:rFonts w:hAnsi="標楷體" w:hint="eastAsia"/>
        </w:rPr>
        <w:t>支援出口商品化</w:t>
      </w:r>
    </w:p>
    <w:p w:rsidR="004A2F5C" w:rsidRPr="00BB72CE" w:rsidRDefault="004A2F5C" w:rsidP="003A4D18">
      <w:pPr>
        <w:pStyle w:val="72"/>
        <w:ind w:leftChars="583" w:left="1983" w:firstLine="680"/>
        <w:rPr>
          <w:rFonts w:hAnsi="標楷體"/>
        </w:rPr>
      </w:pPr>
      <w:r w:rsidRPr="00BB72CE">
        <w:rPr>
          <w:rFonts w:hAnsi="標楷體" w:hint="eastAsia"/>
        </w:rPr>
        <w:t>發掘有潛力出口之高附加價值產品，拓展海外市場及增加出口。主要內容包括：支援商品研發、改善及市場測試之費用，以及海外行銷費用。</w:t>
      </w:r>
    </w:p>
    <w:p w:rsidR="004A2F5C" w:rsidRPr="00BB72CE" w:rsidRDefault="004A2F5C" w:rsidP="003A4D18">
      <w:pPr>
        <w:pStyle w:val="5"/>
        <w:rPr>
          <w:rFonts w:hAnsi="標楷體"/>
        </w:rPr>
      </w:pPr>
      <w:r w:rsidRPr="00BB72CE">
        <w:rPr>
          <w:rFonts w:hAnsi="標楷體" w:hint="eastAsia"/>
        </w:rPr>
        <w:t>培育個別品牌</w:t>
      </w:r>
    </w:p>
    <w:p w:rsidR="004A2F5C" w:rsidRPr="00BB72CE" w:rsidRDefault="004A2F5C" w:rsidP="003A4D18">
      <w:pPr>
        <w:pStyle w:val="72"/>
        <w:ind w:leftChars="583" w:left="1983" w:firstLine="680"/>
        <w:rPr>
          <w:rFonts w:hAnsi="標楷體"/>
        </w:rPr>
      </w:pPr>
      <w:r w:rsidRPr="00BB72CE">
        <w:rPr>
          <w:rFonts w:hAnsi="標楷體" w:hint="eastAsia"/>
        </w:rPr>
        <w:t>提高農家所得間之連接性及出口產品之競爭力。主要內容包括：支援品牌註冊、諮詢及行銷費用，以助拓展目標市場。</w:t>
      </w:r>
    </w:p>
    <w:p w:rsidR="004A2F5C" w:rsidRPr="00BB72CE" w:rsidRDefault="004A2F5C" w:rsidP="003A4D18">
      <w:pPr>
        <w:pStyle w:val="4"/>
        <w:rPr>
          <w:rFonts w:hAnsi="標楷體"/>
        </w:rPr>
      </w:pPr>
      <w:r w:rsidRPr="00BB72CE">
        <w:rPr>
          <w:rFonts w:hAnsi="標楷體" w:hint="eastAsia"/>
        </w:rPr>
        <w:t>運送及海關</w:t>
      </w:r>
    </w:p>
    <w:p w:rsidR="004A2F5C" w:rsidRPr="00BB72CE" w:rsidRDefault="004A2F5C" w:rsidP="003A4D18">
      <w:pPr>
        <w:pStyle w:val="5"/>
        <w:rPr>
          <w:rFonts w:hAnsi="標楷體"/>
        </w:rPr>
      </w:pPr>
      <w:r w:rsidRPr="00BB72CE">
        <w:rPr>
          <w:rFonts w:hAnsi="標楷體" w:hint="eastAsia"/>
        </w:rPr>
        <w:t>當地化支援業務</w:t>
      </w:r>
    </w:p>
    <w:p w:rsidR="004A2F5C" w:rsidRPr="00BB72CE" w:rsidRDefault="004A2F5C" w:rsidP="003A4D18">
      <w:pPr>
        <w:pStyle w:val="72"/>
        <w:ind w:leftChars="625" w:left="2126" w:firstLine="680"/>
        <w:rPr>
          <w:rFonts w:hAnsi="標楷體"/>
        </w:rPr>
      </w:pPr>
      <w:r w:rsidRPr="00BB72CE">
        <w:rPr>
          <w:rFonts w:hAnsi="標楷體" w:hint="eastAsia"/>
        </w:rPr>
        <w:t>為解決主要輸銷國家之通關障礙及拓展市場，在輸銷國當地建立相關支援體系。主要內容包括：解決關於輸銷國之法規、通關、食品安全檢驗及動植物防疫檢疫措施</w:t>
      </w:r>
      <w:r w:rsidR="00F311CE" w:rsidRPr="00BB72CE">
        <w:rPr>
          <w:rFonts w:hAnsi="標楷體" w:hint="eastAsia"/>
        </w:rPr>
        <w:t>（</w:t>
      </w:r>
      <w:r w:rsidRPr="00BB72CE">
        <w:rPr>
          <w:rFonts w:hAnsi="標楷體" w:hint="eastAsia"/>
        </w:rPr>
        <w:t>Sanitary and Phytosanitary Measures</w:t>
      </w:r>
      <w:r w:rsidR="00F311CE" w:rsidRPr="00BB72CE">
        <w:rPr>
          <w:rFonts w:hAnsi="標楷體"/>
        </w:rPr>
        <w:t>）</w:t>
      </w:r>
      <w:r w:rsidRPr="00BB72CE">
        <w:rPr>
          <w:rFonts w:hAnsi="標楷體" w:hint="eastAsia"/>
        </w:rPr>
        <w:t>等非關稅貿易障礙；另協助分析當地生產及消費市場資訊，以發掘有潛力之出口產品。</w:t>
      </w:r>
    </w:p>
    <w:p w:rsidR="004A2F5C" w:rsidRPr="00BB72CE" w:rsidRDefault="004A2F5C" w:rsidP="003A4D18">
      <w:pPr>
        <w:pStyle w:val="5"/>
        <w:rPr>
          <w:rFonts w:hAnsi="標楷體"/>
        </w:rPr>
      </w:pPr>
      <w:r w:rsidRPr="00BB72CE">
        <w:rPr>
          <w:rFonts w:hAnsi="標楷體" w:hint="eastAsia"/>
        </w:rPr>
        <w:t>建立海外共同物流中心</w:t>
      </w:r>
    </w:p>
    <w:p w:rsidR="004A2F5C" w:rsidRPr="00BB72CE" w:rsidRDefault="004A2F5C" w:rsidP="003A4D18">
      <w:pPr>
        <w:pStyle w:val="72"/>
        <w:ind w:leftChars="625" w:left="2126" w:firstLine="680"/>
        <w:rPr>
          <w:rFonts w:hAnsi="標楷體"/>
        </w:rPr>
      </w:pPr>
      <w:r w:rsidRPr="00BB72CE">
        <w:rPr>
          <w:rFonts w:hAnsi="標楷體" w:hint="eastAsia"/>
        </w:rPr>
        <w:t>建立冷藏、冷凍物流中心及物流鏈，穩定供應高品質之農水產食品。</w:t>
      </w:r>
    </w:p>
    <w:p w:rsidR="004A2F5C" w:rsidRPr="00BB72CE" w:rsidRDefault="004A2F5C" w:rsidP="003A4D18">
      <w:pPr>
        <w:pStyle w:val="4"/>
        <w:rPr>
          <w:rFonts w:hAnsi="標楷體"/>
        </w:rPr>
      </w:pPr>
      <w:r w:rsidRPr="00BB72CE">
        <w:rPr>
          <w:rFonts w:hAnsi="標楷體" w:hint="eastAsia"/>
        </w:rPr>
        <w:t>海外行銷</w:t>
      </w:r>
    </w:p>
    <w:p w:rsidR="004A2F5C" w:rsidRPr="00BB72CE" w:rsidRDefault="004A2F5C" w:rsidP="003A4D18">
      <w:pPr>
        <w:pStyle w:val="5"/>
        <w:rPr>
          <w:rFonts w:hAnsi="標楷體"/>
        </w:rPr>
      </w:pPr>
      <w:r w:rsidRPr="00BB72CE">
        <w:rPr>
          <w:rFonts w:hAnsi="標楷體" w:hint="eastAsia"/>
        </w:rPr>
        <w:t>積極參與國際食品展</w:t>
      </w:r>
    </w:p>
    <w:p w:rsidR="004A2F5C" w:rsidRPr="00BB72CE" w:rsidRDefault="004A2F5C" w:rsidP="003A4D18">
      <w:pPr>
        <w:pStyle w:val="72"/>
        <w:ind w:leftChars="625" w:left="2126" w:firstLine="680"/>
        <w:rPr>
          <w:rFonts w:hAnsi="標楷體"/>
        </w:rPr>
      </w:pPr>
      <w:r w:rsidRPr="00BB72CE">
        <w:rPr>
          <w:rFonts w:hAnsi="標楷體" w:hint="eastAsia"/>
        </w:rPr>
        <w:t>延攬農水產食品業者，以國家主題館方式參加海外食品展。主要支援內容包括攤位租金、裝置及展覽等相關事項。</w:t>
      </w:r>
    </w:p>
    <w:p w:rsidR="004A2F5C" w:rsidRPr="00BB72CE" w:rsidRDefault="004A2F5C" w:rsidP="003A4D18">
      <w:pPr>
        <w:pStyle w:val="5"/>
        <w:rPr>
          <w:rFonts w:hAnsi="標楷體"/>
        </w:rPr>
      </w:pPr>
      <w:r w:rsidRPr="00BB72CE">
        <w:rPr>
          <w:rFonts w:hAnsi="標楷體" w:hint="eastAsia"/>
        </w:rPr>
        <w:t>與海外大型流通賣場連結</w:t>
      </w:r>
    </w:p>
    <w:p w:rsidR="004A2F5C" w:rsidRPr="00BB72CE" w:rsidRDefault="004A2F5C" w:rsidP="003A4D18">
      <w:pPr>
        <w:pStyle w:val="72"/>
        <w:ind w:leftChars="625" w:left="2126" w:firstLine="680"/>
        <w:rPr>
          <w:rFonts w:hAnsi="標楷體"/>
        </w:rPr>
      </w:pPr>
      <w:r w:rsidRPr="00BB72CE">
        <w:rPr>
          <w:rFonts w:hAnsi="標楷體" w:hint="eastAsia"/>
        </w:rPr>
        <w:t>與海外大型流通賣場連結以進行促銷活</w:t>
      </w:r>
      <w:r w:rsidRPr="00BB72CE">
        <w:rPr>
          <w:rFonts w:hAnsi="標楷體" w:hint="eastAsia"/>
        </w:rPr>
        <w:lastRenderedPageBreak/>
        <w:t>動，包括試吃、宣傳及推廣等</w:t>
      </w:r>
      <w:r w:rsidR="00BB1A2A" w:rsidRPr="00BB72CE">
        <w:rPr>
          <w:rFonts w:hAnsi="標楷體" w:hint="eastAsia"/>
        </w:rPr>
        <w:t>；</w:t>
      </w:r>
      <w:r w:rsidRPr="00BB72CE">
        <w:rPr>
          <w:rFonts w:hAnsi="標楷體" w:hint="eastAsia"/>
        </w:rPr>
        <w:t>此部分主要支援行銷及促銷費用。</w:t>
      </w:r>
    </w:p>
    <w:p w:rsidR="004A2F5C" w:rsidRPr="00BB72CE" w:rsidRDefault="004A2F5C" w:rsidP="003A4D18">
      <w:pPr>
        <w:pStyle w:val="5"/>
        <w:rPr>
          <w:rFonts w:hAnsi="標楷體"/>
        </w:rPr>
      </w:pPr>
      <w:r w:rsidRPr="00BB72CE">
        <w:rPr>
          <w:rFonts w:hAnsi="標楷體" w:hint="eastAsia"/>
        </w:rPr>
        <w:t>辦理K-FOOD Fair及提供媒合服務</w:t>
      </w:r>
    </w:p>
    <w:p w:rsidR="004A2F5C" w:rsidRPr="00BB72CE" w:rsidRDefault="004A2F5C" w:rsidP="003A4D18">
      <w:pPr>
        <w:pStyle w:val="72"/>
        <w:ind w:leftChars="625" w:left="2126" w:firstLine="680"/>
        <w:rPr>
          <w:rFonts w:hAnsi="標楷體"/>
        </w:rPr>
      </w:pPr>
      <w:r w:rsidRPr="00BB72CE">
        <w:rPr>
          <w:rFonts w:hAnsi="標楷體" w:hint="eastAsia"/>
        </w:rPr>
        <w:t>藉由辦理出口洽談會、消費者體驗活動等，邀請海外買主到韓國進行貿易洽商，以擴大韓國農水產食品出口</w:t>
      </w:r>
      <w:r w:rsidR="00BB1A2A" w:rsidRPr="00BB72CE">
        <w:rPr>
          <w:rFonts w:hAnsi="標楷體" w:hint="eastAsia"/>
        </w:rPr>
        <w:t>；</w:t>
      </w:r>
      <w:r w:rsidRPr="00BB72CE">
        <w:rPr>
          <w:rFonts w:hAnsi="標楷體" w:hint="eastAsia"/>
        </w:rPr>
        <w:t>此部分</w:t>
      </w:r>
      <w:r w:rsidR="00BB1A2A" w:rsidRPr="00BB72CE">
        <w:rPr>
          <w:rFonts w:hAnsi="標楷體" w:hint="eastAsia"/>
        </w:rPr>
        <w:t>會</w:t>
      </w:r>
      <w:r w:rsidRPr="00BB72CE">
        <w:rPr>
          <w:rFonts w:hAnsi="標楷體" w:hint="eastAsia"/>
        </w:rPr>
        <w:t>支援參加K-FOOD Fair之相關費用。</w:t>
      </w:r>
    </w:p>
    <w:p w:rsidR="009C30B6" w:rsidRPr="00BB72CE" w:rsidRDefault="00250C44" w:rsidP="00890A25">
      <w:pPr>
        <w:pStyle w:val="3"/>
      </w:pPr>
      <w:bookmarkStart w:id="78" w:name="_Toc499139406"/>
      <w:bookmarkStart w:id="79" w:name="_Toc499803012"/>
      <w:r w:rsidRPr="00BB72CE">
        <w:rPr>
          <w:rFonts w:hint="eastAsia"/>
        </w:rPr>
        <w:t>反觀我國農產品外銷情形，</w:t>
      </w:r>
      <w:r w:rsidR="00380C38" w:rsidRPr="00BB72CE">
        <w:rPr>
          <w:rFonts w:hint="eastAsia"/>
        </w:rPr>
        <w:t>業者</w:t>
      </w:r>
      <w:r w:rsidR="00A815C7" w:rsidRPr="00BB72CE">
        <w:rPr>
          <w:rFonts w:hint="eastAsia"/>
        </w:rPr>
        <w:t>將農產品外銷至輸銷國，</w:t>
      </w:r>
      <w:r w:rsidR="00D62CCA" w:rsidRPr="00BB72CE">
        <w:rPr>
          <w:rFonts w:hint="eastAsia"/>
        </w:rPr>
        <w:t>於</w:t>
      </w:r>
      <w:r w:rsidR="00A815C7" w:rsidRPr="00BB72CE">
        <w:rPr>
          <w:rFonts w:hint="eastAsia"/>
        </w:rPr>
        <w:t>生產、商品化、物流及行銷等各階段，通常得靠自己尋謀方法及管道，或透過相關產業協會協助，政府機關除有零星且不同階段之輔導個案外，未有一統整的</w:t>
      </w:r>
      <w:r w:rsidR="00D62CCA" w:rsidRPr="00BB72CE">
        <w:rPr>
          <w:rFonts w:hint="eastAsia"/>
        </w:rPr>
        <w:t>協助</w:t>
      </w:r>
      <w:r w:rsidR="007756D1">
        <w:rPr>
          <w:rFonts w:hint="eastAsia"/>
        </w:rPr>
        <w:t>平臺</w:t>
      </w:r>
      <w:r w:rsidR="00A815C7" w:rsidRPr="00BB72CE">
        <w:rPr>
          <w:rFonts w:hint="eastAsia"/>
        </w:rPr>
        <w:t>及</w:t>
      </w:r>
      <w:r w:rsidR="00D62CCA" w:rsidRPr="00BB72CE">
        <w:rPr>
          <w:rFonts w:hint="eastAsia"/>
        </w:rPr>
        <w:t>全方位支持</w:t>
      </w:r>
      <w:r w:rsidR="00380C38" w:rsidRPr="00BB72CE">
        <w:rPr>
          <w:rFonts w:hint="eastAsia"/>
        </w:rPr>
        <w:t>；本案赴韓國考察時間為106年5月15日至20日，適逢「2017年首爾國際食品展」，在駐韓國臺北代表部石定大使安排及協助下，赴</w:t>
      </w:r>
      <w:r w:rsidR="00380C38" w:rsidRPr="00BB72CE">
        <w:t>韓國國際展覽中心</w:t>
      </w:r>
      <w:r w:rsidR="00F311CE" w:rsidRPr="00BB72CE">
        <w:rPr>
          <w:rFonts w:hint="eastAsia"/>
        </w:rPr>
        <w:t>（</w:t>
      </w:r>
      <w:r w:rsidR="00380C38" w:rsidRPr="00BB72CE">
        <w:t>Korea International Exhibition Center</w:t>
      </w:r>
      <w:r w:rsidR="00380C38" w:rsidRPr="00BB72CE">
        <w:rPr>
          <w:rFonts w:hint="eastAsia"/>
        </w:rPr>
        <w:t>, KINTEX</w:t>
      </w:r>
      <w:r w:rsidR="00F311CE" w:rsidRPr="00BB72CE">
        <w:rPr>
          <w:rFonts w:hint="eastAsia"/>
        </w:rPr>
        <w:t>）</w:t>
      </w:r>
      <w:r w:rsidR="00380C38" w:rsidRPr="00BB72CE">
        <w:rPr>
          <w:rFonts w:hint="eastAsia"/>
        </w:rPr>
        <w:t>參訪，實地瞭解國內食品業者於海外行銷之現況及相關困境，過程發現業者為符合韓國食品相關管理規定，必須自行克服問題，例如小包裝凝膠食品包裝之「開口」不得大於1.5公分、畜產及加工品不能輸銷韓國爰改採用魚漿為原料</w:t>
      </w:r>
      <w:r w:rsidR="00A02472" w:rsidRPr="00BB72CE">
        <w:rPr>
          <w:rFonts w:hint="eastAsia"/>
        </w:rPr>
        <w:t>…</w:t>
      </w:r>
      <w:r w:rsidR="00890A25" w:rsidRPr="00BB72CE">
        <w:rPr>
          <w:rFonts w:hAnsi="標楷體" w:hint="eastAsia"/>
        </w:rPr>
        <w:t>…</w:t>
      </w:r>
      <w:r w:rsidR="00380C38" w:rsidRPr="00BB72CE">
        <w:rPr>
          <w:rFonts w:hint="eastAsia"/>
        </w:rPr>
        <w:t>，農委會或其他政府機關對此些規定及因應措施，</w:t>
      </w:r>
      <w:r w:rsidR="00BB1A2A" w:rsidRPr="00BB72CE">
        <w:rPr>
          <w:rFonts w:hint="eastAsia"/>
        </w:rPr>
        <w:t>並</w:t>
      </w:r>
      <w:r w:rsidR="00380C38" w:rsidRPr="00BB72CE">
        <w:rPr>
          <w:rFonts w:hint="eastAsia"/>
        </w:rPr>
        <w:t>無相關輔導，此可印證我國農產品外銷業者通常</w:t>
      </w:r>
      <w:r w:rsidR="00BB1A2A" w:rsidRPr="00BB72CE">
        <w:rPr>
          <w:rFonts w:hint="eastAsia"/>
        </w:rPr>
        <w:t>得</w:t>
      </w:r>
      <w:r w:rsidR="00380C38" w:rsidRPr="00BB72CE">
        <w:rPr>
          <w:rFonts w:hint="eastAsia"/>
        </w:rPr>
        <w:t>自行獨自開闖市場</w:t>
      </w:r>
      <w:r w:rsidR="00BB1A2A" w:rsidRPr="00BB72CE">
        <w:rPr>
          <w:rFonts w:hint="eastAsia"/>
        </w:rPr>
        <w:t>之情</w:t>
      </w:r>
      <w:r w:rsidR="006C2C4E" w:rsidRPr="00BB72CE">
        <w:rPr>
          <w:rFonts w:hint="eastAsia"/>
        </w:rPr>
        <w:t>形</w:t>
      </w:r>
      <w:r w:rsidR="00380C38" w:rsidRPr="00BB72CE">
        <w:rPr>
          <w:rFonts w:hint="eastAsia"/>
        </w:rPr>
        <w:t>。另</w:t>
      </w:r>
      <w:r w:rsidR="00D62CCA" w:rsidRPr="00BB72CE">
        <w:rPr>
          <w:rFonts w:hint="eastAsia"/>
        </w:rPr>
        <w:t>農委會於105年</w:t>
      </w:r>
      <w:r w:rsidR="00F73E6E" w:rsidRPr="00BB72CE">
        <w:rPr>
          <w:rFonts w:hint="eastAsia"/>
        </w:rPr>
        <w:t>12月5日輔導成立台農發公司，該會期該公司能結合各方經驗及力量，協助我國農業重新調整產銷供應鏈，改善供貨體系，並藉由整合業者資源以國家隊方式，建立外銷管道</w:t>
      </w:r>
      <w:r w:rsidR="00BB1A2A" w:rsidRPr="00BB72CE">
        <w:rPr>
          <w:rFonts w:hint="eastAsia"/>
        </w:rPr>
        <w:t>。</w:t>
      </w:r>
      <w:r w:rsidR="00F73E6E" w:rsidRPr="00BB72CE">
        <w:rPr>
          <w:rFonts w:hint="eastAsia"/>
        </w:rPr>
        <w:t>此促進出口業務之概念與</w:t>
      </w:r>
      <w:r w:rsidR="006C2C4E" w:rsidRPr="00BB72CE">
        <w:rPr>
          <w:rFonts w:hint="eastAsia"/>
        </w:rPr>
        <w:t>韓國</w:t>
      </w:r>
      <w:r w:rsidR="00F73E6E" w:rsidRPr="00BB72CE">
        <w:rPr>
          <w:rFonts w:hint="eastAsia"/>
        </w:rPr>
        <w:t>aT認為</w:t>
      </w:r>
      <w:r w:rsidR="00392A32" w:rsidRPr="00BB72CE">
        <w:rPr>
          <w:rFonts w:hint="eastAsia"/>
        </w:rPr>
        <w:t>：「</w:t>
      </w:r>
      <w:r w:rsidR="00F73E6E" w:rsidRPr="00BB72CE">
        <w:rPr>
          <w:rFonts w:hint="eastAsia"/>
        </w:rPr>
        <w:t>應先培養龍頭企業，以因應急遽變化之貿易環境，再發掘具有潛力之中小企業，支持其產品出口</w:t>
      </w:r>
      <w:r w:rsidR="00392A32" w:rsidRPr="00BB72CE">
        <w:rPr>
          <w:rFonts w:hint="eastAsia"/>
        </w:rPr>
        <w:t>」之想法</w:t>
      </w:r>
      <w:r w:rsidR="00392A32" w:rsidRPr="00BB72CE">
        <w:rPr>
          <w:rFonts w:hint="eastAsia"/>
        </w:rPr>
        <w:lastRenderedPageBreak/>
        <w:t>一致</w:t>
      </w:r>
      <w:r w:rsidR="00380C38" w:rsidRPr="00BB72CE">
        <w:rPr>
          <w:rFonts w:hint="eastAsia"/>
        </w:rPr>
        <w:t>；</w:t>
      </w:r>
      <w:r w:rsidR="00392A32" w:rsidRPr="00BB72CE">
        <w:rPr>
          <w:rFonts w:hint="eastAsia"/>
        </w:rPr>
        <w:t>惟</w:t>
      </w:r>
      <w:r w:rsidR="00AB3A8F" w:rsidRPr="00BB72CE">
        <w:rPr>
          <w:rFonts w:hint="eastAsia"/>
        </w:rPr>
        <w:t>該公司</w:t>
      </w:r>
      <w:r w:rsidR="00CC5A6C" w:rsidRPr="00BB72CE">
        <w:rPr>
          <w:rFonts w:hint="eastAsia"/>
        </w:rPr>
        <w:t>目前</w:t>
      </w:r>
      <w:r w:rsidR="00AB3A8F" w:rsidRPr="00BB72CE">
        <w:rPr>
          <w:rFonts w:hint="eastAsia"/>
        </w:rPr>
        <w:t>之角色與任務，</w:t>
      </w:r>
      <w:r w:rsidR="00CC5A6C" w:rsidRPr="00BB72CE">
        <w:rPr>
          <w:rFonts w:hint="eastAsia"/>
        </w:rPr>
        <w:t>係選定1至2項主力產品發展契作制度，建構具備「供貨穩定」及「品質確保」之農產品外銷供應體系，再帶領志同道合的業者，拓展海外新興市場，此不論規模、範圍、輔導</w:t>
      </w:r>
      <w:r w:rsidR="00244E7D" w:rsidRPr="00BB72CE">
        <w:rPr>
          <w:rFonts w:hint="eastAsia"/>
        </w:rPr>
        <w:t>及資金支援程度，</w:t>
      </w:r>
      <w:r w:rsidR="00AB3A8F" w:rsidRPr="00BB72CE">
        <w:rPr>
          <w:rFonts w:hint="eastAsia"/>
        </w:rPr>
        <w:t>與</w:t>
      </w:r>
      <w:r w:rsidR="00392A32" w:rsidRPr="00BB72CE">
        <w:rPr>
          <w:rFonts w:hint="eastAsia"/>
        </w:rPr>
        <w:t>aT</w:t>
      </w:r>
      <w:r w:rsidR="001D1EBD" w:rsidRPr="00BB72CE">
        <w:rPr>
          <w:rFonts w:hint="eastAsia"/>
        </w:rPr>
        <w:t>提供業者</w:t>
      </w:r>
      <w:r w:rsidR="00244E7D" w:rsidRPr="00BB72CE">
        <w:rPr>
          <w:rFonts w:hint="eastAsia"/>
        </w:rPr>
        <w:t>從</w:t>
      </w:r>
      <w:r w:rsidR="00392A32" w:rsidRPr="00BB72CE">
        <w:rPr>
          <w:rFonts w:hint="eastAsia"/>
        </w:rPr>
        <w:t>產地生產至</w:t>
      </w:r>
      <w:r w:rsidR="00AB3A8F" w:rsidRPr="00BB72CE">
        <w:rPr>
          <w:rFonts w:hint="eastAsia"/>
        </w:rPr>
        <w:t>行銷</w:t>
      </w:r>
      <w:r w:rsidR="00392A32" w:rsidRPr="00BB72CE">
        <w:rPr>
          <w:rFonts w:hint="eastAsia"/>
        </w:rPr>
        <w:t>之全方位</w:t>
      </w:r>
      <w:r w:rsidR="00244E7D" w:rsidRPr="00BB72CE">
        <w:rPr>
          <w:rFonts w:hint="eastAsia"/>
        </w:rPr>
        <w:t>輔導與</w:t>
      </w:r>
      <w:r w:rsidR="00392A32" w:rsidRPr="00BB72CE">
        <w:rPr>
          <w:rFonts w:hint="eastAsia"/>
        </w:rPr>
        <w:t>支持</w:t>
      </w:r>
      <w:r w:rsidR="001D1EBD" w:rsidRPr="00BB72CE">
        <w:rPr>
          <w:rFonts w:hint="eastAsia"/>
        </w:rPr>
        <w:t>，</w:t>
      </w:r>
      <w:r w:rsidR="00244E7D" w:rsidRPr="00BB72CE">
        <w:rPr>
          <w:rFonts w:hint="eastAsia"/>
        </w:rPr>
        <w:t>甚至在主要輸銷國成立分公司或辦事處駐點耕耘之作法，</w:t>
      </w:r>
      <w:r w:rsidR="00AB3A8F" w:rsidRPr="00BB72CE">
        <w:rPr>
          <w:rFonts w:hint="eastAsia"/>
        </w:rPr>
        <w:t>相距甚大。</w:t>
      </w:r>
      <w:bookmarkEnd w:id="78"/>
      <w:bookmarkEnd w:id="79"/>
    </w:p>
    <w:p w:rsidR="0086558C" w:rsidRPr="00BB72CE" w:rsidRDefault="00380C38" w:rsidP="0086558C">
      <w:pPr>
        <w:pStyle w:val="3"/>
        <w:rPr>
          <w:rFonts w:hAnsi="標楷體"/>
        </w:rPr>
      </w:pPr>
      <w:bookmarkStart w:id="80" w:name="_Toc499139407"/>
      <w:bookmarkStart w:id="81" w:name="_Toc499803013"/>
      <w:r w:rsidRPr="00BB72CE">
        <w:rPr>
          <w:rFonts w:hAnsi="標楷體" w:hint="eastAsia"/>
        </w:rPr>
        <w:t>韓國</w:t>
      </w:r>
      <w:r w:rsidR="00AB3A8F" w:rsidRPr="00BB72CE">
        <w:rPr>
          <w:rFonts w:hAnsi="標楷體" w:hint="eastAsia"/>
        </w:rPr>
        <w:t>aT對於農水產食品行銷之</w:t>
      </w:r>
      <w:r w:rsidR="001D1EBD" w:rsidRPr="00BB72CE">
        <w:rPr>
          <w:rFonts w:hAnsi="標楷體" w:hint="eastAsia"/>
        </w:rPr>
        <w:t>資金、輔導、技術及服務全部到位，使韓國農水產食品在短短幾年內，成功行銷全世界各角落，公元2007至2016年各年度韓國農水產食品出口值分別為37.6、45.0、48.1、58.8、76.9、80.1、78.8、82.5、80.3及86.0億美元，</w:t>
      </w:r>
      <w:r w:rsidR="00AB3A8F" w:rsidRPr="00BB72CE">
        <w:rPr>
          <w:rFonts w:hAnsi="標楷體" w:hint="eastAsia"/>
        </w:rPr>
        <w:t>2016年出口值已達2007年的2倍以上，</w:t>
      </w:r>
      <w:r w:rsidR="001D1EBD" w:rsidRPr="00BB72CE">
        <w:rPr>
          <w:rFonts w:hAnsi="標楷體" w:hint="eastAsia"/>
        </w:rPr>
        <w:t>此</w:t>
      </w:r>
      <w:r w:rsidR="00244E7D" w:rsidRPr="00BB72CE">
        <w:rPr>
          <w:rFonts w:hAnsi="標楷體" w:hint="eastAsia"/>
        </w:rPr>
        <w:t>一</w:t>
      </w:r>
      <w:r w:rsidR="001D1EBD" w:rsidRPr="00BB72CE">
        <w:rPr>
          <w:rFonts w:hAnsi="標楷體" w:hint="eastAsia"/>
        </w:rPr>
        <w:t>成長趨勢</w:t>
      </w:r>
      <w:r w:rsidR="00244E7D" w:rsidRPr="00BB72CE">
        <w:rPr>
          <w:rFonts w:hAnsi="標楷體" w:hint="eastAsia"/>
        </w:rPr>
        <w:t>確</w:t>
      </w:r>
      <w:r w:rsidR="001D1EBD" w:rsidRPr="00BB72CE">
        <w:rPr>
          <w:rFonts w:hAnsi="標楷體" w:hint="eastAsia"/>
        </w:rPr>
        <w:t>令人</w:t>
      </w:r>
      <w:r w:rsidR="00AB3A8F" w:rsidRPr="00BB72CE">
        <w:rPr>
          <w:rFonts w:hAnsi="標楷體" w:hint="eastAsia"/>
        </w:rPr>
        <w:t>讚</w:t>
      </w:r>
      <w:r w:rsidR="00BB1A2A" w:rsidRPr="00BB72CE">
        <w:rPr>
          <w:rFonts w:hAnsi="標楷體" w:hint="eastAsia"/>
        </w:rPr>
        <w:t>佩，</w:t>
      </w:r>
      <w:r w:rsidR="00AB3A8F" w:rsidRPr="00BB72CE">
        <w:rPr>
          <w:rFonts w:hAnsi="標楷體" w:hint="eastAsia"/>
        </w:rPr>
        <w:t>而我國尚缺乏</w:t>
      </w:r>
      <w:r w:rsidR="0086558C" w:rsidRPr="00BB72CE">
        <w:rPr>
          <w:rFonts w:hAnsi="標楷體" w:hint="eastAsia"/>
        </w:rPr>
        <w:t>類似</w:t>
      </w:r>
      <w:r w:rsidR="00AB3A8F" w:rsidRPr="00BB72CE">
        <w:rPr>
          <w:rFonts w:hAnsi="標楷體" w:hint="eastAsia"/>
        </w:rPr>
        <w:t>aT角色</w:t>
      </w:r>
      <w:r w:rsidR="0086558C" w:rsidRPr="00BB72CE">
        <w:rPr>
          <w:rFonts w:hAnsi="標楷體" w:hint="eastAsia"/>
        </w:rPr>
        <w:t>與功能</w:t>
      </w:r>
      <w:r w:rsidR="00AB3A8F" w:rsidRPr="00BB72CE">
        <w:rPr>
          <w:rFonts w:hAnsi="標楷體" w:hint="eastAsia"/>
        </w:rPr>
        <w:t>的政府機關，</w:t>
      </w:r>
      <w:r w:rsidR="0086558C" w:rsidRPr="00BB72CE">
        <w:rPr>
          <w:rFonts w:hAnsi="標楷體" w:hint="eastAsia"/>
        </w:rPr>
        <w:t>致難有效及全面開拓我農產品外銷，韓國</w:t>
      </w:r>
      <w:r w:rsidR="00957392" w:rsidRPr="00BB72CE">
        <w:rPr>
          <w:rFonts w:hAnsi="標楷體" w:hint="eastAsia"/>
        </w:rPr>
        <w:t>行銷</w:t>
      </w:r>
      <w:r w:rsidR="0086558C" w:rsidRPr="00BB72CE">
        <w:rPr>
          <w:rFonts w:hAnsi="標楷體" w:hint="eastAsia"/>
        </w:rPr>
        <w:t>策略及模式，深值我國參考。</w:t>
      </w:r>
      <w:bookmarkEnd w:id="80"/>
      <w:bookmarkEnd w:id="81"/>
    </w:p>
    <w:p w:rsidR="00A50DFB" w:rsidRPr="00BB72CE" w:rsidRDefault="00A50DFB" w:rsidP="00A50DFB">
      <w:pPr>
        <w:pStyle w:val="2"/>
        <w:numPr>
          <w:ilvl w:val="1"/>
          <w:numId w:val="1"/>
        </w:numPr>
        <w:rPr>
          <w:b/>
        </w:rPr>
      </w:pPr>
      <w:bookmarkStart w:id="82" w:name="_Toc499803014"/>
      <w:bookmarkStart w:id="83" w:name="_Toc479844914"/>
      <w:r w:rsidRPr="00BB72CE">
        <w:rPr>
          <w:rFonts w:hint="eastAsia"/>
          <w:b/>
          <w:spacing w:val="20"/>
        </w:rPr>
        <w:t>囿於現行國內農產品外銷</w:t>
      </w:r>
      <w:r w:rsidRPr="00BB72CE">
        <w:rPr>
          <w:b/>
          <w:spacing w:val="20"/>
        </w:rPr>
        <w:t>冷鏈保鮮</w:t>
      </w:r>
      <w:r w:rsidRPr="00BB72CE">
        <w:rPr>
          <w:rFonts w:hint="eastAsia"/>
          <w:b/>
          <w:spacing w:val="20"/>
        </w:rPr>
        <w:t>物流</w:t>
      </w:r>
      <w:r w:rsidRPr="00BB72CE">
        <w:rPr>
          <w:b/>
          <w:spacing w:val="20"/>
        </w:rPr>
        <w:t>設施</w:t>
      </w:r>
      <w:r w:rsidRPr="00BB72CE">
        <w:rPr>
          <w:rFonts w:hint="eastAsia"/>
          <w:b/>
          <w:spacing w:val="20"/>
        </w:rPr>
        <w:t>尚未建置完備及</w:t>
      </w:r>
      <w:r w:rsidRPr="00BB72CE">
        <w:rPr>
          <w:b/>
          <w:spacing w:val="20"/>
        </w:rPr>
        <w:t>病蟲檢疫處理技術</w:t>
      </w:r>
      <w:r w:rsidRPr="00BB72CE">
        <w:rPr>
          <w:rFonts w:hint="eastAsia"/>
          <w:b/>
          <w:spacing w:val="20"/>
        </w:rPr>
        <w:t>尚待精進之條件下，相對而言，臺灣農產食品及加工品較具外銷優勢，且</w:t>
      </w:r>
      <w:r w:rsidRPr="00BB72CE">
        <w:rPr>
          <w:b/>
          <w:spacing w:val="20"/>
        </w:rPr>
        <w:t>有利於提高</w:t>
      </w:r>
      <w:r w:rsidRPr="00BB72CE">
        <w:rPr>
          <w:rFonts w:hint="eastAsia"/>
          <w:b/>
          <w:spacing w:val="20"/>
        </w:rPr>
        <w:t>農</w:t>
      </w:r>
      <w:r w:rsidRPr="00BB72CE">
        <w:rPr>
          <w:b/>
          <w:spacing w:val="20"/>
        </w:rPr>
        <w:t>產品附加價值</w:t>
      </w:r>
      <w:r w:rsidRPr="00BB72CE">
        <w:rPr>
          <w:rFonts w:hint="eastAsia"/>
          <w:b/>
          <w:spacing w:val="20"/>
        </w:rPr>
        <w:t>，農委</w:t>
      </w:r>
      <w:r w:rsidRPr="00BB72CE">
        <w:rPr>
          <w:b/>
          <w:spacing w:val="20"/>
        </w:rPr>
        <w:t>會</w:t>
      </w:r>
      <w:r w:rsidRPr="00BB72CE">
        <w:rPr>
          <w:rFonts w:hint="eastAsia"/>
          <w:b/>
          <w:spacing w:val="20"/>
        </w:rPr>
        <w:t>應協助相關業者拓展外銷</w:t>
      </w:r>
      <w:r w:rsidRPr="00BB72CE">
        <w:rPr>
          <w:b/>
          <w:spacing w:val="20"/>
        </w:rPr>
        <w:t>通路與市場</w:t>
      </w:r>
      <w:r w:rsidRPr="00BB72CE">
        <w:rPr>
          <w:rFonts w:hint="eastAsia"/>
          <w:b/>
        </w:rPr>
        <w:t>；又農委會輔導業者強化聯合品牌於海外行銷推廣的同時，應借鏡日本、韓國行銷「和食」、「韓食」之模式，</w:t>
      </w:r>
      <w:r w:rsidRPr="00BB72CE">
        <w:rPr>
          <w:b/>
        </w:rPr>
        <w:t>以</w:t>
      </w:r>
      <w:r w:rsidRPr="00BB72CE">
        <w:rPr>
          <w:rFonts w:hint="eastAsia"/>
          <w:b/>
        </w:rPr>
        <w:t>國內</w:t>
      </w:r>
      <w:r w:rsidRPr="00BB72CE">
        <w:rPr>
          <w:b/>
        </w:rPr>
        <w:t>具特色的飲食文化定位為基礎</w:t>
      </w:r>
      <w:r w:rsidRPr="00BB72CE">
        <w:rPr>
          <w:rFonts w:hint="eastAsia"/>
          <w:b/>
        </w:rPr>
        <w:t>，</w:t>
      </w:r>
      <w:r w:rsidRPr="00BB72CE">
        <w:rPr>
          <w:b/>
        </w:rPr>
        <w:t>帶動</w:t>
      </w:r>
      <w:r w:rsidRPr="00BB72CE">
        <w:rPr>
          <w:rFonts w:hint="eastAsia"/>
          <w:b/>
        </w:rPr>
        <w:t>臺灣</w:t>
      </w:r>
      <w:r w:rsidRPr="00BB72CE">
        <w:rPr>
          <w:b/>
        </w:rPr>
        <w:t>農產品</w:t>
      </w:r>
      <w:r w:rsidRPr="00BB72CE">
        <w:rPr>
          <w:rFonts w:hint="eastAsia"/>
          <w:b/>
        </w:rPr>
        <w:t>、食品及加工品</w:t>
      </w:r>
      <w:r w:rsidRPr="00BB72CE">
        <w:rPr>
          <w:b/>
        </w:rPr>
        <w:t>輸出</w:t>
      </w:r>
      <w:r w:rsidRPr="00BB72CE">
        <w:rPr>
          <w:rFonts w:hint="eastAsia"/>
          <w:b/>
        </w:rPr>
        <w:t>，俾</w:t>
      </w:r>
      <w:r w:rsidRPr="00BB72CE">
        <w:rPr>
          <w:b/>
        </w:rPr>
        <w:t>有效提高農產品在海外之知名度及外銷實績</w:t>
      </w:r>
      <w:r w:rsidRPr="00BB72CE">
        <w:rPr>
          <w:rFonts w:hint="eastAsia"/>
          <w:b/>
        </w:rPr>
        <w:t>。</w:t>
      </w:r>
      <w:bookmarkEnd w:id="82"/>
    </w:p>
    <w:p w:rsidR="00A50DFB" w:rsidRPr="00BB72CE" w:rsidRDefault="00A50DFB" w:rsidP="00A50DFB">
      <w:pPr>
        <w:pStyle w:val="3"/>
        <w:numPr>
          <w:ilvl w:val="2"/>
          <w:numId w:val="1"/>
        </w:numPr>
      </w:pPr>
      <w:bookmarkStart w:id="84" w:name="_Toc499803015"/>
      <w:r w:rsidRPr="00BB72CE">
        <w:rPr>
          <w:rFonts w:hint="eastAsia"/>
          <w:lang w:eastAsia="zh-HK"/>
        </w:rPr>
        <w:t>農委會</w:t>
      </w:r>
      <w:r w:rsidRPr="00BB72CE">
        <w:rPr>
          <w:rFonts w:hint="eastAsia"/>
        </w:rPr>
        <w:t>對於農產食品及加工品</w:t>
      </w:r>
      <w:r w:rsidRPr="00BB72CE">
        <w:rPr>
          <w:rFonts w:hint="eastAsia"/>
          <w:lang w:eastAsia="zh-HK"/>
        </w:rPr>
        <w:t>之</w:t>
      </w:r>
      <w:r w:rsidRPr="00BB72CE">
        <w:rPr>
          <w:rFonts w:hint="eastAsia"/>
        </w:rPr>
        <w:t>具體外銷輔導重點，</w:t>
      </w:r>
      <w:r w:rsidRPr="00BB72CE">
        <w:rPr>
          <w:rFonts w:hint="eastAsia"/>
          <w:lang w:eastAsia="zh-HK"/>
        </w:rPr>
        <w:t>係</w:t>
      </w:r>
      <w:r w:rsidRPr="00BB72CE">
        <w:rPr>
          <w:rFonts w:hint="eastAsia"/>
        </w:rPr>
        <w:t>輔導農會、合作社（場）等農民團體設置農產品加工廠每年至少10處，並依實際發展需求，協助改善硬體設施（備），擴大產製量能，提升產品品</w:t>
      </w:r>
      <w:r w:rsidRPr="00BB72CE">
        <w:rPr>
          <w:rFonts w:hint="eastAsia"/>
        </w:rPr>
        <w:lastRenderedPageBreak/>
        <w:t>質，並持續輔導取得產銷履歷驗證，以區隔產品市場，加強外銷通路行銷，說明如下：</w:t>
      </w:r>
      <w:bookmarkEnd w:id="84"/>
    </w:p>
    <w:p w:rsidR="00A50DFB" w:rsidRPr="00BB72CE" w:rsidRDefault="00A50DFB" w:rsidP="00A50DFB">
      <w:pPr>
        <w:pStyle w:val="4"/>
        <w:numPr>
          <w:ilvl w:val="3"/>
          <w:numId w:val="1"/>
        </w:numPr>
      </w:pPr>
      <w:r w:rsidRPr="00BB72CE">
        <w:rPr>
          <w:rFonts w:hint="eastAsia"/>
        </w:rPr>
        <w:t>穩定原料供應：為穩定農產原料供應來源，將輔導農民團體及加工業者提高與農戶契作或以</w:t>
      </w:r>
      <w:r w:rsidRPr="00BB72CE">
        <w:t>農業合作社</w:t>
      </w:r>
      <w:r w:rsidRPr="00BB72CE">
        <w:rPr>
          <w:rFonts w:hint="eastAsia"/>
        </w:rPr>
        <w:t>之間互助合作方式供應農產原料，並於盛產期間依實際需求，媒合農產原料供應。</w:t>
      </w:r>
    </w:p>
    <w:p w:rsidR="00A50DFB" w:rsidRPr="00BB72CE" w:rsidRDefault="00A50DFB" w:rsidP="00A50DFB">
      <w:pPr>
        <w:pStyle w:val="4"/>
        <w:numPr>
          <w:ilvl w:val="3"/>
          <w:numId w:val="1"/>
        </w:numPr>
      </w:pPr>
      <w:r w:rsidRPr="00BB72CE">
        <w:rPr>
          <w:rFonts w:hint="eastAsia"/>
        </w:rPr>
        <w:t>產製技術改良及製程省工化：運用科技計畫洽請學研專家針對加工技術及延長保鮮期進行研究，促進長期加工使用，並依市場需求開發多元農產加工品，另遴選具規模及發展潛力之農民團</w:t>
      </w:r>
      <w:r w:rsidRPr="00BB72CE">
        <w:rPr>
          <w:rFonts w:hint="eastAsia"/>
          <w:spacing w:val="-4"/>
        </w:rPr>
        <w:t>體，依實際發展需求，參酌補助基準，協助改善硬體設施（備），以擴大產製量能，提升產品品質。</w:t>
      </w:r>
    </w:p>
    <w:p w:rsidR="00A50DFB" w:rsidRPr="00BB72CE" w:rsidRDefault="00A50DFB" w:rsidP="00A50DFB">
      <w:pPr>
        <w:pStyle w:val="4"/>
        <w:numPr>
          <w:ilvl w:val="3"/>
          <w:numId w:val="1"/>
        </w:numPr>
      </w:pPr>
      <w:r w:rsidRPr="00BB72CE">
        <w:rPr>
          <w:rFonts w:hint="eastAsia"/>
        </w:rPr>
        <w:t>強化產品推廣行銷：輔導加工業者取得ISO 22000及產銷履歷驗證，以區隔產品市場，並針對成效優良者，協助於展售會、超商量販、網路電通等現代通路行銷。</w:t>
      </w:r>
    </w:p>
    <w:p w:rsidR="00A50DFB" w:rsidRPr="00BB72CE" w:rsidRDefault="00A50DFB" w:rsidP="00A50DFB">
      <w:pPr>
        <w:pStyle w:val="32"/>
        <w:ind w:left="1361" w:firstLine="680"/>
      </w:pPr>
      <w:r w:rsidRPr="00BB72CE">
        <w:rPr>
          <w:rFonts w:hint="eastAsia"/>
        </w:rPr>
        <w:t>此外，</w:t>
      </w:r>
      <w:r w:rsidRPr="00BB72CE">
        <w:rPr>
          <w:rFonts w:hint="eastAsia"/>
          <w:lang w:eastAsia="zh-HK"/>
        </w:rPr>
        <w:t>農委會</w:t>
      </w:r>
      <w:r w:rsidRPr="00BB72CE">
        <w:rPr>
          <w:rFonts w:hint="eastAsia"/>
        </w:rPr>
        <w:t>為增進臺灣農產食品及加工品外銷競爭力，於104年辦理「確具外銷潛力之菁英加工食品生產者及其品項」甄選活動，以培訓種子球員的概念，精選菁英加工食品生產者，並輔導該等廠商採用臺灣特色農產原料為農產品創新加值，赴海外參展。</w:t>
      </w:r>
    </w:p>
    <w:p w:rsidR="00A50DFB" w:rsidRPr="00BB72CE" w:rsidRDefault="00A50DFB" w:rsidP="00A50DFB">
      <w:pPr>
        <w:pStyle w:val="3"/>
        <w:numPr>
          <w:ilvl w:val="2"/>
          <w:numId w:val="1"/>
        </w:numPr>
        <w:rPr>
          <w:rFonts w:hAnsi="標楷體"/>
          <w:spacing w:val="-4"/>
        </w:rPr>
      </w:pPr>
      <w:bookmarkStart w:id="85" w:name="_Toc499803016"/>
      <w:r w:rsidRPr="00BB72CE">
        <w:rPr>
          <w:rStyle w:val="40"/>
          <w:spacing w:val="-4"/>
        </w:rPr>
        <w:t>農產</w:t>
      </w:r>
      <w:r w:rsidRPr="00BB72CE">
        <w:rPr>
          <w:rStyle w:val="40"/>
          <w:rFonts w:hint="eastAsia"/>
          <w:spacing w:val="-4"/>
        </w:rPr>
        <w:t>品</w:t>
      </w:r>
      <w:r w:rsidRPr="00BB72CE">
        <w:rPr>
          <w:rStyle w:val="40"/>
          <w:spacing w:val="-4"/>
        </w:rPr>
        <w:t>外銷</w:t>
      </w:r>
      <w:r w:rsidRPr="00BB72CE">
        <w:rPr>
          <w:rStyle w:val="40"/>
          <w:rFonts w:hint="eastAsia"/>
          <w:spacing w:val="-4"/>
        </w:rPr>
        <w:t>首重品質，惟我國</w:t>
      </w:r>
      <w:r w:rsidRPr="00BB72CE">
        <w:rPr>
          <w:rStyle w:val="40"/>
          <w:spacing w:val="-4"/>
        </w:rPr>
        <w:t>冷鏈保鮮</w:t>
      </w:r>
      <w:r w:rsidRPr="00BB72CE">
        <w:rPr>
          <w:rStyle w:val="40"/>
          <w:rFonts w:hint="eastAsia"/>
          <w:spacing w:val="-4"/>
        </w:rPr>
        <w:t>物流</w:t>
      </w:r>
      <w:r w:rsidRPr="00BB72CE">
        <w:rPr>
          <w:rStyle w:val="40"/>
          <w:spacing w:val="-4"/>
        </w:rPr>
        <w:t>設施</w:t>
      </w:r>
      <w:r w:rsidRPr="00BB72CE">
        <w:rPr>
          <w:rStyle w:val="40"/>
          <w:rFonts w:hint="eastAsia"/>
          <w:spacing w:val="-4"/>
        </w:rPr>
        <w:t>尚未建置完備，農委</w:t>
      </w:r>
      <w:r w:rsidRPr="00BB72CE">
        <w:rPr>
          <w:rStyle w:val="40"/>
          <w:spacing w:val="-4"/>
        </w:rPr>
        <w:t>會目前</w:t>
      </w:r>
      <w:r w:rsidRPr="00BB72CE">
        <w:rPr>
          <w:rStyle w:val="40"/>
          <w:rFonts w:hint="eastAsia"/>
          <w:spacing w:val="-4"/>
        </w:rPr>
        <w:t>係以</w:t>
      </w:r>
      <w:r w:rsidRPr="00BB72CE">
        <w:rPr>
          <w:rStyle w:val="40"/>
          <w:spacing w:val="-4"/>
        </w:rPr>
        <w:t>計畫輔導各外銷農民團體逐年建立相關冷鏈機具設備</w:t>
      </w:r>
      <w:r w:rsidRPr="00BB72CE">
        <w:rPr>
          <w:rStyle w:val="40"/>
          <w:rFonts w:hint="eastAsia"/>
          <w:spacing w:val="-4"/>
        </w:rPr>
        <w:t>，而國內</w:t>
      </w:r>
      <w:r w:rsidRPr="00BB72CE">
        <w:rPr>
          <w:rStyle w:val="40"/>
          <w:spacing w:val="-4"/>
        </w:rPr>
        <w:t>病蟲檢疫處理技術</w:t>
      </w:r>
      <w:r w:rsidRPr="00BB72CE">
        <w:rPr>
          <w:rStyle w:val="40"/>
          <w:rFonts w:hint="eastAsia"/>
          <w:spacing w:val="-4"/>
        </w:rPr>
        <w:t>亦須精進。至於，</w:t>
      </w:r>
      <w:r w:rsidRPr="00BB72CE">
        <w:rPr>
          <w:rFonts w:hint="eastAsia"/>
          <w:spacing w:val="-4"/>
          <w:lang w:eastAsia="zh-HK"/>
        </w:rPr>
        <w:t>本案諮詢專家學者</w:t>
      </w:r>
      <w:r w:rsidRPr="00BB72CE">
        <w:rPr>
          <w:rFonts w:hint="eastAsia"/>
          <w:spacing w:val="-4"/>
        </w:rPr>
        <w:t>則</w:t>
      </w:r>
      <w:r w:rsidRPr="00BB72CE">
        <w:rPr>
          <w:rFonts w:hint="eastAsia"/>
          <w:spacing w:val="-4"/>
          <w:lang w:eastAsia="zh-HK"/>
        </w:rPr>
        <w:t>表示，</w:t>
      </w:r>
      <w:r w:rsidRPr="00BB72CE">
        <w:rPr>
          <w:rFonts w:hint="eastAsia"/>
          <w:spacing w:val="-4"/>
        </w:rPr>
        <w:t>我國農產食品及加工品</w:t>
      </w:r>
      <w:r w:rsidRPr="00BB72CE">
        <w:rPr>
          <w:rFonts w:hint="eastAsia"/>
          <w:spacing w:val="-4"/>
          <w:lang w:eastAsia="zh-HK"/>
        </w:rPr>
        <w:t>極具外銷潛力</w:t>
      </w:r>
      <w:r w:rsidRPr="00BB72CE">
        <w:rPr>
          <w:rFonts w:hint="eastAsia"/>
          <w:spacing w:val="-4"/>
        </w:rPr>
        <w:t>，相關意見如下：</w:t>
      </w:r>
      <w:bookmarkEnd w:id="85"/>
    </w:p>
    <w:p w:rsidR="00A50DFB" w:rsidRPr="00BB72CE" w:rsidRDefault="00A50DFB" w:rsidP="00A50DFB">
      <w:pPr>
        <w:pStyle w:val="4"/>
        <w:numPr>
          <w:ilvl w:val="3"/>
          <w:numId w:val="1"/>
        </w:numPr>
        <w:rPr>
          <w:rFonts w:hAnsi="標楷體"/>
        </w:rPr>
      </w:pPr>
      <w:r w:rsidRPr="00BB72CE">
        <w:rPr>
          <w:rFonts w:hint="eastAsia"/>
        </w:rPr>
        <w:t>農產食品及加工品的</w:t>
      </w:r>
      <w:r w:rsidRPr="00BB72CE">
        <w:rPr>
          <w:rFonts w:hint="eastAsia"/>
          <w:lang w:eastAsia="zh-HK"/>
        </w:rPr>
        <w:t>外銷產值</w:t>
      </w:r>
      <w:r w:rsidRPr="00BB72CE">
        <w:rPr>
          <w:rFonts w:hint="eastAsia"/>
        </w:rPr>
        <w:t>一直在成長，如中國大陸、東南亞國家等</w:t>
      </w:r>
      <w:r w:rsidRPr="00BB72CE">
        <w:rPr>
          <w:rFonts w:hint="eastAsia"/>
          <w:lang w:eastAsia="zh-HK"/>
        </w:rPr>
        <w:t>購</w:t>
      </w:r>
      <w:r w:rsidRPr="00BB72CE">
        <w:rPr>
          <w:rFonts w:hint="eastAsia"/>
        </w:rPr>
        <w:t>買</w:t>
      </w:r>
      <w:r w:rsidRPr="00BB72CE">
        <w:rPr>
          <w:rFonts w:hint="eastAsia"/>
          <w:lang w:eastAsia="zh-HK"/>
        </w:rPr>
        <w:t>意願</w:t>
      </w:r>
      <w:r w:rsidRPr="00BB72CE">
        <w:rPr>
          <w:rFonts w:hint="eastAsia"/>
        </w:rPr>
        <w:t>很高。</w:t>
      </w:r>
    </w:p>
    <w:p w:rsidR="00A50DFB" w:rsidRPr="00BB72CE" w:rsidRDefault="00A50DFB" w:rsidP="00A50DFB">
      <w:pPr>
        <w:pStyle w:val="4"/>
        <w:numPr>
          <w:ilvl w:val="3"/>
          <w:numId w:val="1"/>
        </w:numPr>
        <w:rPr>
          <w:rFonts w:hAnsi="標楷體"/>
        </w:rPr>
      </w:pPr>
      <w:r w:rsidRPr="00BB72CE">
        <w:rPr>
          <w:rFonts w:hint="eastAsia"/>
        </w:rPr>
        <w:t>珍珠奶茶在海外開店有4,000家，若國內農產品</w:t>
      </w:r>
      <w:r w:rsidRPr="00BB72CE">
        <w:lastRenderedPageBreak/>
        <w:t>生產</w:t>
      </w:r>
      <w:r w:rsidRPr="00BB72CE">
        <w:rPr>
          <w:rFonts w:hint="eastAsia"/>
        </w:rPr>
        <w:t>過剩時，可以製作成珍珠奶茶的配料（如芒果口味、香蕉口味等）進行銷售。再者，外銷農產加工品，</w:t>
      </w:r>
      <w:r w:rsidRPr="00BB72CE">
        <w:t>農產品</w:t>
      </w:r>
      <w:r w:rsidRPr="00BB72CE">
        <w:rPr>
          <w:rFonts w:hint="eastAsia"/>
        </w:rPr>
        <w:t>產值</w:t>
      </w:r>
      <w:r w:rsidRPr="00BB72CE">
        <w:t>也有正面效益</w:t>
      </w:r>
      <w:r w:rsidRPr="00BB72CE">
        <w:rPr>
          <w:rFonts w:hint="eastAsia"/>
        </w:rPr>
        <w:t>，如鳳梨出口有檢疫保鮮的問題，但加工製成鳳梨酥，對於鳳梨之外銷產值有很大的幫助。</w:t>
      </w:r>
    </w:p>
    <w:p w:rsidR="00A50DFB" w:rsidRPr="00BB72CE" w:rsidRDefault="00A50DFB" w:rsidP="00A50DFB">
      <w:pPr>
        <w:pStyle w:val="4"/>
        <w:numPr>
          <w:ilvl w:val="3"/>
          <w:numId w:val="1"/>
        </w:numPr>
      </w:pPr>
      <w:r w:rsidRPr="00BB72CE">
        <w:t>拓展外銷</w:t>
      </w:r>
      <w:r w:rsidRPr="00BB72CE">
        <w:rPr>
          <w:rFonts w:hint="eastAsia"/>
        </w:rPr>
        <w:t>要透過</w:t>
      </w:r>
      <w:r w:rsidRPr="00BB72CE">
        <w:t>團隊合作</w:t>
      </w:r>
      <w:r w:rsidRPr="00BB72CE">
        <w:rPr>
          <w:rFonts w:hint="eastAsia"/>
        </w:rPr>
        <w:t>，不要單打獨鬥，如鳳梨酥的廠商家數有二、三百家，口味可以有很多種變化，所</w:t>
      </w:r>
      <w:r w:rsidRPr="00BB72CE">
        <w:rPr>
          <w:rFonts w:hAnsi="標楷體" w:hint="eastAsia"/>
        </w:rPr>
        <w:t>以在海外推廣時，是以整個產業的概念在行銷。</w:t>
      </w:r>
    </w:p>
    <w:p w:rsidR="00A50DFB" w:rsidRPr="00BB72CE" w:rsidRDefault="004C69C3" w:rsidP="00A50DFB">
      <w:pPr>
        <w:pStyle w:val="3"/>
        <w:numPr>
          <w:ilvl w:val="2"/>
          <w:numId w:val="1"/>
        </w:numPr>
      </w:pPr>
      <w:bookmarkStart w:id="86" w:name="_Toc499803017"/>
      <w:r w:rsidRPr="00BB72CE">
        <w:rPr>
          <w:rFonts w:hint="eastAsia"/>
          <w:kern w:val="0"/>
        </w:rPr>
        <w:t>另</w:t>
      </w:r>
      <w:r w:rsidR="00A50DFB" w:rsidRPr="00BB72CE">
        <w:rPr>
          <w:rFonts w:hint="eastAsia"/>
          <w:kern w:val="0"/>
        </w:rPr>
        <w:t>由於國內具外銷能量的農產食品業者目前對品牌觀念不足，</w:t>
      </w:r>
      <w:r w:rsidR="00A50DFB" w:rsidRPr="00BB72CE">
        <w:rPr>
          <w:rFonts w:hint="eastAsia"/>
          <w:lang w:eastAsia="zh-HK"/>
        </w:rPr>
        <w:t>農委會</w:t>
      </w:r>
      <w:r w:rsidR="00A50DFB" w:rsidRPr="00BB72CE">
        <w:t>為協助農產外銷業者經營品牌，</w:t>
      </w:r>
      <w:r w:rsidR="00A50DFB" w:rsidRPr="00BB72CE">
        <w:rPr>
          <w:rFonts w:hint="eastAsia"/>
        </w:rPr>
        <w:t>105年首次匯集歷年受品牌輔導的外銷業者，以TGA（Taiwan Good Argiculture）聯合品牌方式赴海外拓展，與中國大陸實體及網路通路洽商合作，提高與海外通路洽商議價能力，並協助業者拓展國外市場。惟參酌日本及韓國之作法</w:t>
      </w:r>
      <w:r w:rsidR="00A50DFB" w:rsidRPr="00BB72CE">
        <w:t>，日本</w:t>
      </w:r>
      <w:r w:rsidR="00A50DFB" w:rsidRPr="00BB72CE">
        <w:rPr>
          <w:rFonts w:hint="eastAsia"/>
        </w:rPr>
        <w:t>在</w:t>
      </w:r>
      <w:r w:rsidR="00A50DFB" w:rsidRPr="00BB72CE">
        <w:t>國際上不斷行銷「和食」，韓國</w:t>
      </w:r>
      <w:r w:rsidR="00A50DFB" w:rsidRPr="00BB72CE">
        <w:rPr>
          <w:rFonts w:hint="eastAsia"/>
        </w:rPr>
        <w:t>為</w:t>
      </w:r>
      <w:r w:rsidR="00A50DFB" w:rsidRPr="00BB72CE">
        <w:t>強打「韓食」</w:t>
      </w:r>
      <w:r w:rsidR="00A50DFB" w:rsidRPr="00BB72CE">
        <w:rPr>
          <w:rFonts w:hint="eastAsia"/>
        </w:rPr>
        <w:t>，兩國皆是</w:t>
      </w:r>
      <w:r w:rsidR="00A50DFB" w:rsidRPr="00BB72CE">
        <w:t>將農業、飲食</w:t>
      </w:r>
      <w:r w:rsidR="00A50DFB" w:rsidRPr="00BB72CE">
        <w:rPr>
          <w:rFonts w:hint="eastAsia"/>
        </w:rPr>
        <w:t>、戲劇，</w:t>
      </w:r>
      <w:r w:rsidR="00A50DFB" w:rsidRPr="00BB72CE">
        <w:t>甚至</w:t>
      </w:r>
      <w:r w:rsidR="00A50DFB" w:rsidRPr="00BB72CE">
        <w:rPr>
          <w:rFonts w:hint="eastAsia"/>
        </w:rPr>
        <w:t>食</w:t>
      </w:r>
      <w:r w:rsidR="00A50DFB" w:rsidRPr="00BB72CE">
        <w:t>皿等工藝</w:t>
      </w:r>
      <w:r w:rsidR="00A50DFB" w:rsidRPr="00BB72CE">
        <w:rPr>
          <w:rFonts w:hint="eastAsia"/>
        </w:rPr>
        <w:t>，</w:t>
      </w:r>
      <w:r w:rsidR="00A50DFB" w:rsidRPr="00BB72CE">
        <w:t>與國家文化結合，藉此</w:t>
      </w:r>
      <w:r w:rsidR="00A50DFB" w:rsidRPr="00BB72CE">
        <w:rPr>
          <w:rFonts w:hint="eastAsia"/>
        </w:rPr>
        <w:t>輸出</w:t>
      </w:r>
      <w:r w:rsidR="00A50DFB" w:rsidRPr="00BB72CE">
        <w:t>農產品</w:t>
      </w:r>
      <w:r w:rsidR="00A50DFB" w:rsidRPr="00BB72CE">
        <w:rPr>
          <w:rFonts w:hint="eastAsia"/>
        </w:rPr>
        <w:t>、</w:t>
      </w:r>
      <w:r w:rsidR="00A50DFB" w:rsidRPr="00BB72CE">
        <w:t>飲食</w:t>
      </w:r>
      <w:r w:rsidR="00A50DFB" w:rsidRPr="00BB72CE">
        <w:rPr>
          <w:rFonts w:hint="eastAsia"/>
        </w:rPr>
        <w:t>、</w:t>
      </w:r>
      <w:r w:rsidR="00A50DFB" w:rsidRPr="00BB72CE">
        <w:t>文</w:t>
      </w:r>
      <w:r w:rsidR="00A50DFB" w:rsidRPr="00BB72CE">
        <w:rPr>
          <w:rFonts w:hint="eastAsia"/>
        </w:rPr>
        <w:t>化等軟實力，如</w:t>
      </w:r>
      <w:r w:rsidR="00A50DFB" w:rsidRPr="00BB72CE">
        <w:t>「和食」</w:t>
      </w:r>
      <w:r w:rsidR="00A50DFB" w:rsidRPr="00BB72CE">
        <w:rPr>
          <w:rFonts w:hint="eastAsia"/>
        </w:rPr>
        <w:t>102</w:t>
      </w:r>
      <w:r w:rsidR="00A50DFB" w:rsidRPr="00BB72CE">
        <w:t>年</w:t>
      </w:r>
      <w:r w:rsidR="00A50DFB" w:rsidRPr="00BB72CE">
        <w:rPr>
          <w:rFonts w:hint="eastAsia"/>
        </w:rPr>
        <w:t>已</w:t>
      </w:r>
      <w:r w:rsidR="00A50DFB" w:rsidRPr="00BB72CE">
        <w:t>取得聯合國世界無形文化遺產</w:t>
      </w:r>
      <w:r w:rsidR="00A50DFB" w:rsidRPr="00BB72CE">
        <w:rPr>
          <w:rFonts w:hint="eastAsia"/>
        </w:rPr>
        <w:t>之</w:t>
      </w:r>
      <w:r w:rsidR="00A50DFB" w:rsidRPr="00BB72CE">
        <w:t>認證資格</w:t>
      </w:r>
      <w:r w:rsidR="00A50DFB" w:rsidRPr="00BB72CE">
        <w:rPr>
          <w:rFonts w:hint="eastAsia"/>
        </w:rPr>
        <w:t>，因此，政府應</w:t>
      </w:r>
      <w:r w:rsidR="00A50DFB" w:rsidRPr="00BB72CE">
        <w:t>在海外發揚</w:t>
      </w:r>
      <w:r w:rsidR="00A50DFB" w:rsidRPr="00BB72CE">
        <w:rPr>
          <w:rFonts w:hint="eastAsia"/>
        </w:rPr>
        <w:t>及</w:t>
      </w:r>
      <w:r w:rsidR="00A50DFB" w:rsidRPr="00BB72CE">
        <w:t>推廣</w:t>
      </w:r>
      <w:r w:rsidR="00A50DFB" w:rsidRPr="00BB72CE">
        <w:rPr>
          <w:rFonts w:hint="eastAsia"/>
        </w:rPr>
        <w:t>臺灣特有的飲</w:t>
      </w:r>
      <w:r w:rsidR="00A50DFB" w:rsidRPr="00BB72CE">
        <w:t>食文化</w:t>
      </w:r>
      <w:r w:rsidR="00A50DFB" w:rsidRPr="00BB72CE">
        <w:rPr>
          <w:rFonts w:hint="eastAsia"/>
        </w:rPr>
        <w:t>，進而拓展國內</w:t>
      </w:r>
      <w:r w:rsidR="00A50DFB" w:rsidRPr="00BB72CE">
        <w:t>農產品外銷。</w:t>
      </w:r>
      <w:bookmarkEnd w:id="86"/>
    </w:p>
    <w:p w:rsidR="00A50DFB" w:rsidRPr="00BB72CE" w:rsidRDefault="00A50DFB" w:rsidP="00A50DFB">
      <w:pPr>
        <w:pStyle w:val="3"/>
        <w:numPr>
          <w:ilvl w:val="2"/>
          <w:numId w:val="1"/>
        </w:numPr>
      </w:pPr>
      <w:bookmarkStart w:id="87" w:name="_Toc499803018"/>
      <w:r w:rsidRPr="00BB72CE">
        <w:rPr>
          <w:rFonts w:hint="eastAsia"/>
        </w:rPr>
        <w:t>綜上，我國</w:t>
      </w:r>
      <w:r w:rsidRPr="00BB72CE">
        <w:t>隨著91</w:t>
      </w:r>
      <w:r w:rsidRPr="00BB72CE">
        <w:rPr>
          <w:rFonts w:hint="eastAsia"/>
        </w:rPr>
        <w:t>年</w:t>
      </w:r>
      <w:r w:rsidRPr="00BB72CE">
        <w:t>成為</w:t>
      </w:r>
      <w:r w:rsidRPr="00BB72CE">
        <w:rPr>
          <w:rFonts w:hint="eastAsia"/>
        </w:rPr>
        <w:t>WTO</w:t>
      </w:r>
      <w:r w:rsidRPr="00BB72CE">
        <w:t>第144個會員後</w:t>
      </w:r>
      <w:r w:rsidRPr="00BB72CE">
        <w:rPr>
          <w:rFonts w:hint="eastAsia"/>
        </w:rPr>
        <w:t>，</w:t>
      </w:r>
      <w:r w:rsidRPr="00BB72CE">
        <w:t>面對市場開放壓力，</w:t>
      </w:r>
      <w:r w:rsidRPr="00BB72CE">
        <w:rPr>
          <w:rFonts w:hint="eastAsia"/>
        </w:rPr>
        <w:t>農委會</w:t>
      </w:r>
      <w:r w:rsidRPr="00BB72CE">
        <w:t>推動農產品國際行銷係以「立足臺灣、全球佈局」原則，積極拓展國際市場</w:t>
      </w:r>
      <w:r w:rsidRPr="00BB72CE">
        <w:rPr>
          <w:rFonts w:hint="eastAsia"/>
        </w:rPr>
        <w:t>。</w:t>
      </w:r>
      <w:r w:rsidRPr="00BB72CE">
        <w:t>惟受到土地及人力資源限制，臺灣農業長期以來係以供應內需為主</w:t>
      </w:r>
      <w:r w:rsidR="006C2C4E" w:rsidRPr="00BB72CE">
        <w:rPr>
          <w:rFonts w:hint="eastAsia"/>
        </w:rPr>
        <w:t>，加上</w:t>
      </w:r>
      <w:r w:rsidRPr="00BB72CE">
        <w:rPr>
          <w:rStyle w:val="40"/>
          <w:rFonts w:hint="eastAsia"/>
        </w:rPr>
        <w:t>礙於國內</w:t>
      </w:r>
      <w:r w:rsidRPr="00BB72CE">
        <w:rPr>
          <w:rStyle w:val="40"/>
        </w:rPr>
        <w:t>生鮮產品外銷之冷鏈運輸與病蟲檢疫仍待精進</w:t>
      </w:r>
      <w:r w:rsidRPr="00BB72CE">
        <w:rPr>
          <w:rFonts w:hint="eastAsia"/>
        </w:rPr>
        <w:t>，相對而言，臺灣農產食品及加工品</w:t>
      </w:r>
      <w:r w:rsidRPr="00BB72CE">
        <w:t>有利於提高</w:t>
      </w:r>
      <w:r w:rsidRPr="00BB72CE">
        <w:rPr>
          <w:rFonts w:hint="eastAsia"/>
        </w:rPr>
        <w:t>農</w:t>
      </w:r>
      <w:r w:rsidRPr="00BB72CE">
        <w:t>產品附加價值</w:t>
      </w:r>
      <w:r w:rsidRPr="00BB72CE">
        <w:rPr>
          <w:rFonts w:hint="eastAsia"/>
        </w:rPr>
        <w:t>，且較具外銷優勢，農委</w:t>
      </w:r>
      <w:r w:rsidRPr="00BB72CE">
        <w:t>會</w:t>
      </w:r>
      <w:r w:rsidRPr="00BB72CE">
        <w:rPr>
          <w:rFonts w:hint="eastAsia"/>
        </w:rPr>
        <w:t>應協助業者拓展外銷</w:t>
      </w:r>
      <w:r w:rsidRPr="00BB72CE">
        <w:t>通路與市</w:t>
      </w:r>
      <w:r w:rsidRPr="00BB72CE">
        <w:lastRenderedPageBreak/>
        <w:t>場</w:t>
      </w:r>
      <w:r w:rsidRPr="00BB72CE">
        <w:rPr>
          <w:rFonts w:hint="eastAsia"/>
        </w:rPr>
        <w:t>，又農委會輔導業者強化聯合品牌於海外行銷推廣的同時，應借鏡日本、韓國行銷「和食」、「韓食」之模式，</w:t>
      </w:r>
      <w:r w:rsidRPr="00BB72CE">
        <w:t>以</w:t>
      </w:r>
      <w:r w:rsidRPr="00BB72CE">
        <w:rPr>
          <w:rFonts w:hint="eastAsia"/>
        </w:rPr>
        <w:t>國內</w:t>
      </w:r>
      <w:r w:rsidRPr="00BB72CE">
        <w:t>具特色的飲食文化定位為基礎</w:t>
      </w:r>
      <w:r w:rsidRPr="00BB72CE">
        <w:rPr>
          <w:rFonts w:hint="eastAsia"/>
        </w:rPr>
        <w:t>，</w:t>
      </w:r>
      <w:r w:rsidRPr="00BB72CE">
        <w:t>帶動</w:t>
      </w:r>
      <w:r w:rsidRPr="00BB72CE">
        <w:rPr>
          <w:rFonts w:hint="eastAsia"/>
        </w:rPr>
        <w:t>臺灣</w:t>
      </w:r>
      <w:r w:rsidRPr="00BB72CE">
        <w:t>農產品</w:t>
      </w:r>
      <w:r w:rsidRPr="00BB72CE">
        <w:rPr>
          <w:rFonts w:hint="eastAsia"/>
        </w:rPr>
        <w:t>、食品及加工品</w:t>
      </w:r>
      <w:r w:rsidRPr="00BB72CE">
        <w:t>輸出</w:t>
      </w:r>
      <w:r w:rsidRPr="00BB72CE">
        <w:rPr>
          <w:rFonts w:hint="eastAsia"/>
        </w:rPr>
        <w:t>，俾</w:t>
      </w:r>
      <w:r w:rsidRPr="00BB72CE">
        <w:t>有效提高農產品在海外之知名度及外銷實績</w:t>
      </w:r>
      <w:r w:rsidRPr="00BB72CE">
        <w:rPr>
          <w:rFonts w:hint="eastAsia"/>
        </w:rPr>
        <w:t>。</w:t>
      </w:r>
      <w:bookmarkEnd w:id="87"/>
    </w:p>
    <w:p w:rsidR="00C9605D" w:rsidRPr="00434752" w:rsidRDefault="00C9605D" w:rsidP="00C9605D">
      <w:pPr>
        <w:pStyle w:val="2"/>
        <w:numPr>
          <w:ilvl w:val="1"/>
          <w:numId w:val="1"/>
        </w:numPr>
        <w:rPr>
          <w:b/>
          <w:spacing w:val="-2"/>
        </w:rPr>
      </w:pPr>
      <w:bookmarkStart w:id="88" w:name="_Toc499803019"/>
      <w:r w:rsidRPr="00434752">
        <w:rPr>
          <w:rFonts w:hint="eastAsia"/>
          <w:b/>
          <w:spacing w:val="-2"/>
        </w:rPr>
        <w:t>農委會101至105年輔導</w:t>
      </w:r>
      <w:r w:rsidRPr="00434752">
        <w:rPr>
          <w:b/>
          <w:spacing w:val="-2"/>
        </w:rPr>
        <w:t>農會發展農村經濟事業計畫</w:t>
      </w:r>
      <w:r w:rsidRPr="00434752">
        <w:rPr>
          <w:rFonts w:hint="eastAsia"/>
          <w:b/>
          <w:spacing w:val="-2"/>
        </w:rPr>
        <w:t>，對於農會收入有顯著經濟效益，惟在創造</w:t>
      </w:r>
      <w:r w:rsidRPr="00434752">
        <w:rPr>
          <w:b/>
          <w:spacing w:val="-2"/>
        </w:rPr>
        <w:t>農村經濟產值</w:t>
      </w:r>
      <w:r w:rsidRPr="00434752">
        <w:rPr>
          <w:rFonts w:hint="eastAsia"/>
          <w:b/>
          <w:spacing w:val="-2"/>
        </w:rPr>
        <w:t>方面，未如農會收入有顯著提升，顯見農委會仍需多加努力輔導農會帶動農村經濟持續</w:t>
      </w:r>
      <w:r w:rsidRPr="00434752">
        <w:rPr>
          <w:rFonts w:hint="eastAsia"/>
          <w:b/>
          <w:spacing w:val="-2"/>
          <w:szCs w:val="36"/>
        </w:rPr>
        <w:t>成長</w:t>
      </w:r>
      <w:r w:rsidRPr="00434752">
        <w:rPr>
          <w:rFonts w:hint="eastAsia"/>
          <w:b/>
          <w:spacing w:val="-2"/>
        </w:rPr>
        <w:t>；再者，我國目前各級農會經濟事業連結、合作強度低，農委會應積極輔導農會依其所在區域，善用在地優勢，區隔鄉村型農會及都市型農會之角色定位，連結直轄市、縣市及全國農會作為整合之集貨、物流、供銷</w:t>
      </w:r>
      <w:r w:rsidR="007756D1">
        <w:rPr>
          <w:rFonts w:hint="eastAsia"/>
          <w:b/>
          <w:spacing w:val="-2"/>
        </w:rPr>
        <w:t>平臺</w:t>
      </w:r>
      <w:r w:rsidRPr="00434752">
        <w:rPr>
          <w:rFonts w:hint="eastAsia"/>
          <w:b/>
          <w:spacing w:val="-2"/>
        </w:rPr>
        <w:t>，落實各級農會經濟事業發展與串連整合實效。</w:t>
      </w:r>
      <w:bookmarkEnd w:id="88"/>
    </w:p>
    <w:p w:rsidR="00C9605D" w:rsidRPr="00BB72CE" w:rsidRDefault="00C9605D" w:rsidP="00C9605D">
      <w:pPr>
        <w:pStyle w:val="3"/>
        <w:numPr>
          <w:ilvl w:val="2"/>
          <w:numId w:val="1"/>
        </w:numPr>
        <w:ind w:left="1360" w:hanging="680"/>
      </w:pPr>
      <w:bookmarkStart w:id="89" w:name="_Toc499803020"/>
      <w:r w:rsidRPr="00BB72CE">
        <w:rPr>
          <w:rFonts w:hint="eastAsia"/>
        </w:rPr>
        <w:t>按農會法第1條規定，農會以保障農民權益，提高農民知識技能，促進農業現代化，增加生產收益，改善農民生活，發展農村經濟為宗旨。同法第14條規定</w:t>
      </w:r>
      <w:r w:rsidRPr="00BB72CE">
        <w:rPr>
          <w:spacing w:val="20"/>
        </w:rPr>
        <w:t>，農會肩負</w:t>
      </w:r>
      <w:r w:rsidRPr="00BB72CE">
        <w:rPr>
          <w:rFonts w:hint="eastAsia"/>
        </w:rPr>
        <w:t>農畜產品之運銷、倉儲、加工、製造、輸出入及批發、零售市場之經營；農業生產資材之進出口、加工、製造、配售及會員生活用品之供銷；農業倉庫及會員共同利用事業；農村副業及農村工業之倡導；農村文化、醫療衛生、福利及救濟事業；農業旅遊及農村休閒事業</w:t>
      </w:r>
      <w:r w:rsidRPr="00BB72CE">
        <w:rPr>
          <w:rFonts w:hint="eastAsia"/>
          <w:spacing w:val="20"/>
        </w:rPr>
        <w:t>等等</w:t>
      </w:r>
      <w:r w:rsidRPr="00BB72CE">
        <w:rPr>
          <w:spacing w:val="20"/>
        </w:rPr>
        <w:t>21項任務。</w:t>
      </w:r>
      <w:bookmarkEnd w:id="89"/>
    </w:p>
    <w:p w:rsidR="00C9605D" w:rsidRPr="00BB72CE" w:rsidRDefault="00C9605D" w:rsidP="00C9605D">
      <w:pPr>
        <w:pStyle w:val="3"/>
        <w:numPr>
          <w:ilvl w:val="2"/>
          <w:numId w:val="1"/>
        </w:numPr>
      </w:pPr>
      <w:bookmarkStart w:id="90" w:name="_Toc499803021"/>
      <w:r w:rsidRPr="00BB72CE">
        <w:rPr>
          <w:rFonts w:hint="eastAsia"/>
        </w:rPr>
        <w:t>農委會為協助經營困難農會，自95年起，擬定計畫輔導補助農會發展經濟業務，並</w:t>
      </w:r>
      <w:r w:rsidRPr="00BB72CE">
        <w:t>每年遴選農會，輔導其運用在地產業資源，與農村社區、新世代農業經營者合作，創新開發農村經濟事業、市場通路、提升區域產業服務量能，促進農村經濟事業發展</w:t>
      </w:r>
      <w:r w:rsidRPr="00BB72CE">
        <w:rPr>
          <w:rFonts w:hint="eastAsia"/>
        </w:rPr>
        <w:t>，</w:t>
      </w:r>
      <w:r w:rsidRPr="00BB72CE">
        <w:rPr>
          <w:rFonts w:hint="eastAsia"/>
          <w:spacing w:val="20"/>
        </w:rPr>
        <w:t>而</w:t>
      </w:r>
      <w:r w:rsidRPr="00BB72CE">
        <w:rPr>
          <w:rFonts w:hint="eastAsia"/>
        </w:rPr>
        <w:t>農會</w:t>
      </w:r>
      <w:r w:rsidRPr="00BB72CE">
        <w:t>為加強行銷農漁產品，建構品牌形象及開發產銷通路，每年均選拔農漁會百大精品、辦理大型</w:t>
      </w:r>
      <w:r w:rsidRPr="00BB72CE">
        <w:lastRenderedPageBreak/>
        <w:t>行銷活動，將農漁精品介紹給各大企業及消費大眾作為採購贈禮參考。</w:t>
      </w:r>
      <w:r w:rsidRPr="00BB72CE">
        <w:rPr>
          <w:rFonts w:hint="eastAsia"/>
        </w:rPr>
        <w:t>其中，101至105年農委會投</w:t>
      </w:r>
      <w:r w:rsidRPr="00BB72CE">
        <w:rPr>
          <w:rStyle w:val="40"/>
          <w:rFonts w:hint="eastAsia"/>
        </w:rPr>
        <w:t>入經費分別為15,327、13,647、7,258及6,280千元，增加農會收入各為</w:t>
      </w:r>
      <w:r w:rsidRPr="00BB72CE">
        <w:rPr>
          <w:rStyle w:val="40"/>
        </w:rPr>
        <w:t>30,000、47,400、25,000</w:t>
      </w:r>
      <w:r w:rsidRPr="00BB72CE">
        <w:rPr>
          <w:rStyle w:val="40"/>
          <w:rFonts w:hint="eastAsia"/>
        </w:rPr>
        <w:t>及</w:t>
      </w:r>
      <w:r w:rsidRPr="00BB72CE">
        <w:rPr>
          <w:rStyle w:val="40"/>
        </w:rPr>
        <w:t>31,500</w:t>
      </w:r>
      <w:r w:rsidRPr="00BB72CE">
        <w:rPr>
          <w:rStyle w:val="40"/>
          <w:rFonts w:hint="eastAsia"/>
        </w:rPr>
        <w:t>千元，然而，所增加農村經濟產值僅介於6,000至9,800千元之間，即</w:t>
      </w:r>
      <w:r w:rsidRPr="00BB72CE">
        <w:rPr>
          <w:rFonts w:hint="eastAsia"/>
        </w:rPr>
        <w:t>農委會輔導農會所開創之農村經濟產值，未如農會收入有顯著提升，甚而101至102年農村經濟產值之增加未及於農委會輔導經費之投入（如表21），顯見農委會仍需多加努力輔導農會帶動</w:t>
      </w:r>
      <w:r w:rsidRPr="00BB72CE">
        <w:t>農村經濟</w:t>
      </w:r>
      <w:r w:rsidRPr="00BB72CE">
        <w:rPr>
          <w:rFonts w:hint="eastAsia"/>
        </w:rPr>
        <w:t>向上提升。</w:t>
      </w:r>
      <w:bookmarkEnd w:id="90"/>
    </w:p>
    <w:p w:rsidR="00EC69F9" w:rsidRPr="00BB72CE" w:rsidRDefault="00EC69F9" w:rsidP="00EC69F9">
      <w:pPr>
        <w:pStyle w:val="a4"/>
        <w:ind w:left="1700" w:right="680" w:hanging="680"/>
        <w:jc w:val="center"/>
        <w:rPr>
          <w:spacing w:val="-18"/>
        </w:rPr>
      </w:pPr>
      <w:bookmarkStart w:id="91" w:name="_Toc499803989"/>
      <w:r w:rsidRPr="00BB72CE">
        <w:rPr>
          <w:spacing w:val="-18"/>
        </w:rPr>
        <w:t>輔導農會發展農村經濟事業計畫投入經費及產值效益</w:t>
      </w:r>
      <w:bookmarkEnd w:id="91"/>
    </w:p>
    <w:p w:rsidR="005C25D5" w:rsidRPr="00BB72CE" w:rsidRDefault="005C25D5" w:rsidP="005F624B">
      <w:pPr>
        <w:jc w:val="right"/>
        <w:rPr>
          <w:sz w:val="24"/>
          <w:szCs w:val="24"/>
        </w:rPr>
      </w:pPr>
      <w:r w:rsidRPr="00BB72CE">
        <w:rPr>
          <w:rFonts w:hint="eastAsia"/>
          <w:sz w:val="24"/>
          <w:szCs w:val="24"/>
        </w:rPr>
        <w:t>(單位：家、千元)</w:t>
      </w:r>
    </w:p>
    <w:tbl>
      <w:tblPr>
        <w:tblStyle w:val="afc"/>
        <w:tblW w:w="8749" w:type="dxa"/>
        <w:tblInd w:w="250" w:type="dxa"/>
        <w:tblLayout w:type="fixed"/>
        <w:tblCellMar>
          <w:left w:w="28" w:type="dxa"/>
          <w:right w:w="28" w:type="dxa"/>
        </w:tblCellMar>
        <w:tblLook w:val="01E0" w:firstRow="1" w:lastRow="1" w:firstColumn="1" w:lastColumn="1" w:noHBand="0" w:noVBand="0"/>
      </w:tblPr>
      <w:tblGrid>
        <w:gridCol w:w="1196"/>
        <w:gridCol w:w="1843"/>
        <w:gridCol w:w="850"/>
        <w:gridCol w:w="851"/>
        <w:gridCol w:w="850"/>
        <w:gridCol w:w="1053"/>
        <w:gridCol w:w="1053"/>
        <w:gridCol w:w="1053"/>
      </w:tblGrid>
      <w:tr w:rsidR="00EC69F9" w:rsidRPr="00BB72CE" w:rsidTr="003051A1">
        <w:trPr>
          <w:trHeight w:val="20"/>
        </w:trPr>
        <w:tc>
          <w:tcPr>
            <w:tcW w:w="3039" w:type="dxa"/>
            <w:gridSpan w:val="2"/>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rPr>
                <w:sz w:val="28"/>
                <w:szCs w:val="28"/>
              </w:rPr>
            </w:pPr>
            <w:r w:rsidRPr="00BB72CE">
              <w:rPr>
                <w:rFonts w:hint="eastAsia"/>
                <w:sz w:val="28"/>
                <w:szCs w:val="28"/>
              </w:rPr>
              <w:t>年度</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101</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102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103</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104</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105</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106</w:t>
            </w:r>
          </w:p>
        </w:tc>
      </w:tr>
      <w:tr w:rsidR="00EC69F9" w:rsidRPr="00BB72CE" w:rsidTr="003051A1">
        <w:trPr>
          <w:trHeight w:val="20"/>
        </w:trPr>
        <w:tc>
          <w:tcPr>
            <w:tcW w:w="3039" w:type="dxa"/>
            <w:gridSpan w:val="2"/>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rPr>
                <w:sz w:val="28"/>
                <w:szCs w:val="28"/>
              </w:rPr>
            </w:pPr>
            <w:r w:rsidRPr="00BB72CE">
              <w:rPr>
                <w:rFonts w:hint="eastAsia"/>
                <w:sz w:val="28"/>
                <w:szCs w:val="28"/>
              </w:rPr>
              <w:t>輔導家數</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12</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13</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28</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27</w:t>
            </w:r>
          </w:p>
        </w:tc>
      </w:tr>
      <w:tr w:rsidR="00EC69F9" w:rsidRPr="00BB72CE" w:rsidTr="003051A1">
        <w:trPr>
          <w:trHeight w:val="20"/>
        </w:trPr>
        <w:tc>
          <w:tcPr>
            <w:tcW w:w="1196" w:type="dxa"/>
            <w:vMerge w:val="restart"/>
            <w:tcBorders>
              <w:top w:val="single" w:sz="4" w:space="0" w:color="auto"/>
              <w:left w:val="single" w:sz="4" w:space="0" w:color="auto"/>
              <w:right w:val="single" w:sz="4" w:space="0" w:color="auto"/>
            </w:tcBorders>
            <w:vAlign w:val="center"/>
            <w:hideMark/>
          </w:tcPr>
          <w:p w:rsidR="00EC69F9" w:rsidRPr="00BB72CE" w:rsidRDefault="00EC69F9" w:rsidP="003051A1">
            <w:pPr>
              <w:pStyle w:val="121"/>
              <w:rPr>
                <w:sz w:val="28"/>
                <w:szCs w:val="28"/>
              </w:rPr>
            </w:pPr>
            <w:r w:rsidRPr="00BB72CE">
              <w:rPr>
                <w:rFonts w:hint="eastAsia"/>
                <w:sz w:val="28"/>
                <w:szCs w:val="28"/>
              </w:rPr>
              <w:t>投入經費</w:t>
            </w:r>
          </w:p>
          <w:p w:rsidR="00EC69F9" w:rsidRPr="00BB72CE" w:rsidRDefault="00EC69F9" w:rsidP="003051A1">
            <w:pPr>
              <w:pStyle w:val="121"/>
              <w:rPr>
                <w:sz w:val="28"/>
                <w:szCs w:val="28"/>
              </w:rPr>
            </w:pPr>
            <w:r w:rsidRPr="00BB72CE">
              <w:rPr>
                <w:sz w:val="28"/>
                <w:szCs w:val="28"/>
              </w:rPr>
              <w:t>（</w:t>
            </w:r>
            <w:r w:rsidRPr="00BB72CE">
              <w:rPr>
                <w:rFonts w:hint="eastAsia"/>
                <w:sz w:val="28"/>
                <w:szCs w:val="28"/>
              </w:rPr>
              <w:t>千元</w:t>
            </w:r>
            <w:r w:rsidRPr="00BB72CE">
              <w:rPr>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rPr>
                <w:sz w:val="28"/>
                <w:szCs w:val="28"/>
              </w:rPr>
            </w:pPr>
            <w:r w:rsidRPr="00BB72CE">
              <w:rPr>
                <w:rFonts w:hint="eastAsia"/>
                <w:sz w:val="28"/>
                <w:szCs w:val="28"/>
              </w:rPr>
              <w:t>計畫補助</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6,987</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5,526</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5,600</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5,200</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17,048</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18,200</w:t>
            </w:r>
          </w:p>
        </w:tc>
      </w:tr>
      <w:tr w:rsidR="00EC69F9" w:rsidRPr="00BB72CE" w:rsidTr="003051A1">
        <w:trPr>
          <w:trHeight w:val="20"/>
        </w:trPr>
        <w:tc>
          <w:tcPr>
            <w:tcW w:w="1196" w:type="dxa"/>
            <w:vMerge/>
            <w:tcBorders>
              <w:left w:val="single" w:sz="4" w:space="0" w:color="auto"/>
              <w:right w:val="single" w:sz="4" w:space="0" w:color="auto"/>
            </w:tcBorders>
            <w:vAlign w:val="center"/>
            <w:hideMark/>
          </w:tcPr>
          <w:p w:rsidR="00EC69F9" w:rsidRPr="00BB72CE" w:rsidRDefault="00EC69F9" w:rsidP="003051A1">
            <w:pPr>
              <w:pStyle w:val="121"/>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rPr>
                <w:sz w:val="28"/>
                <w:szCs w:val="28"/>
              </w:rPr>
            </w:pPr>
            <w:r w:rsidRPr="00BB72CE">
              <w:rPr>
                <w:rFonts w:hint="eastAsia"/>
                <w:sz w:val="28"/>
                <w:szCs w:val="28"/>
              </w:rPr>
              <w:t>陪伴輔導</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8,340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8,121</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1,658</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1,080</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1,500</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1,800</w:t>
            </w:r>
          </w:p>
        </w:tc>
      </w:tr>
      <w:tr w:rsidR="00EC69F9" w:rsidRPr="00BB72CE" w:rsidTr="003051A1">
        <w:trPr>
          <w:trHeight w:val="20"/>
        </w:trPr>
        <w:tc>
          <w:tcPr>
            <w:tcW w:w="1196" w:type="dxa"/>
            <w:vMerge/>
            <w:tcBorders>
              <w:left w:val="single" w:sz="4" w:space="0" w:color="auto"/>
              <w:bottom w:val="single" w:sz="4" w:space="0" w:color="auto"/>
              <w:right w:val="single" w:sz="4" w:space="0" w:color="auto"/>
            </w:tcBorders>
            <w:vAlign w:val="center"/>
          </w:tcPr>
          <w:p w:rsidR="00EC69F9" w:rsidRPr="00BB72CE" w:rsidRDefault="00EC69F9" w:rsidP="003051A1">
            <w:pPr>
              <w:pStyle w:val="121"/>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C69F9" w:rsidRPr="00BB72CE" w:rsidRDefault="00EC69F9" w:rsidP="003051A1">
            <w:pPr>
              <w:pStyle w:val="121"/>
              <w:rPr>
                <w:sz w:val="28"/>
                <w:szCs w:val="28"/>
              </w:rPr>
            </w:pPr>
            <w:r w:rsidRPr="00BB72CE">
              <w:rPr>
                <w:rFonts w:hint="eastAsia"/>
                <w:sz w:val="28"/>
                <w:szCs w:val="28"/>
              </w:rPr>
              <w:t xml:space="preserve">　小計</w:t>
            </w:r>
          </w:p>
        </w:tc>
        <w:tc>
          <w:tcPr>
            <w:tcW w:w="850" w:type="dxa"/>
            <w:tcBorders>
              <w:top w:val="single" w:sz="4" w:space="0" w:color="auto"/>
              <w:left w:val="single" w:sz="4" w:space="0" w:color="auto"/>
              <w:bottom w:val="single" w:sz="4" w:space="0" w:color="auto"/>
              <w:right w:val="single" w:sz="4" w:space="0" w:color="auto"/>
            </w:tcBorders>
            <w:vAlign w:val="center"/>
          </w:tcPr>
          <w:p w:rsidR="00EC69F9" w:rsidRPr="00BB72CE" w:rsidRDefault="00EC69F9" w:rsidP="003051A1">
            <w:pPr>
              <w:pStyle w:val="121"/>
              <w:jc w:val="right"/>
              <w:rPr>
                <w:sz w:val="28"/>
                <w:szCs w:val="28"/>
              </w:rPr>
            </w:pPr>
            <w:r w:rsidRPr="00BB72CE">
              <w:rPr>
                <w:rFonts w:hint="eastAsia"/>
                <w:sz w:val="28"/>
                <w:szCs w:val="28"/>
              </w:rPr>
              <w:t>15,327</w:t>
            </w:r>
          </w:p>
        </w:tc>
        <w:tc>
          <w:tcPr>
            <w:tcW w:w="851" w:type="dxa"/>
            <w:tcBorders>
              <w:top w:val="single" w:sz="4" w:space="0" w:color="auto"/>
              <w:left w:val="single" w:sz="4" w:space="0" w:color="auto"/>
              <w:bottom w:val="single" w:sz="4" w:space="0" w:color="auto"/>
              <w:right w:val="single" w:sz="4" w:space="0" w:color="auto"/>
            </w:tcBorders>
            <w:vAlign w:val="center"/>
          </w:tcPr>
          <w:p w:rsidR="00EC69F9" w:rsidRPr="00BB72CE" w:rsidRDefault="00EC69F9" w:rsidP="003051A1">
            <w:pPr>
              <w:pStyle w:val="121"/>
              <w:jc w:val="right"/>
              <w:rPr>
                <w:sz w:val="28"/>
                <w:szCs w:val="28"/>
              </w:rPr>
            </w:pPr>
            <w:r w:rsidRPr="00BB72CE">
              <w:rPr>
                <w:rFonts w:hint="eastAsia"/>
                <w:sz w:val="28"/>
                <w:szCs w:val="28"/>
              </w:rPr>
              <w:t>13,647</w:t>
            </w:r>
          </w:p>
        </w:tc>
        <w:tc>
          <w:tcPr>
            <w:tcW w:w="850" w:type="dxa"/>
            <w:tcBorders>
              <w:top w:val="single" w:sz="4" w:space="0" w:color="auto"/>
              <w:left w:val="single" w:sz="4" w:space="0" w:color="auto"/>
              <w:bottom w:val="single" w:sz="4" w:space="0" w:color="auto"/>
              <w:right w:val="single" w:sz="4" w:space="0" w:color="auto"/>
            </w:tcBorders>
            <w:vAlign w:val="center"/>
          </w:tcPr>
          <w:p w:rsidR="00EC69F9" w:rsidRPr="00BB72CE" w:rsidRDefault="00EC69F9" w:rsidP="003051A1">
            <w:pPr>
              <w:pStyle w:val="121"/>
              <w:jc w:val="right"/>
              <w:rPr>
                <w:sz w:val="28"/>
                <w:szCs w:val="28"/>
              </w:rPr>
            </w:pPr>
            <w:r w:rsidRPr="00BB72CE">
              <w:rPr>
                <w:rFonts w:hint="eastAsia"/>
                <w:sz w:val="28"/>
                <w:szCs w:val="28"/>
              </w:rPr>
              <w:t>7,258</w:t>
            </w:r>
          </w:p>
        </w:tc>
        <w:tc>
          <w:tcPr>
            <w:tcW w:w="1053" w:type="dxa"/>
            <w:tcBorders>
              <w:top w:val="single" w:sz="4" w:space="0" w:color="auto"/>
              <w:left w:val="single" w:sz="4" w:space="0" w:color="auto"/>
              <w:bottom w:val="single" w:sz="4" w:space="0" w:color="auto"/>
              <w:right w:val="single" w:sz="4" w:space="0" w:color="auto"/>
            </w:tcBorders>
            <w:vAlign w:val="center"/>
          </w:tcPr>
          <w:p w:rsidR="00EC69F9" w:rsidRPr="00BB72CE" w:rsidRDefault="00EC69F9" w:rsidP="003051A1">
            <w:pPr>
              <w:pStyle w:val="121"/>
              <w:jc w:val="right"/>
              <w:rPr>
                <w:sz w:val="28"/>
                <w:szCs w:val="28"/>
              </w:rPr>
            </w:pPr>
            <w:r w:rsidRPr="00BB72CE">
              <w:rPr>
                <w:rFonts w:hint="eastAsia"/>
                <w:sz w:val="28"/>
                <w:szCs w:val="28"/>
              </w:rPr>
              <w:t>6,280</w:t>
            </w:r>
          </w:p>
        </w:tc>
        <w:tc>
          <w:tcPr>
            <w:tcW w:w="1053" w:type="dxa"/>
            <w:tcBorders>
              <w:top w:val="single" w:sz="4" w:space="0" w:color="auto"/>
              <w:left w:val="single" w:sz="4" w:space="0" w:color="auto"/>
              <w:bottom w:val="single" w:sz="4" w:space="0" w:color="auto"/>
              <w:right w:val="single" w:sz="4" w:space="0" w:color="auto"/>
            </w:tcBorders>
            <w:vAlign w:val="center"/>
          </w:tcPr>
          <w:p w:rsidR="00EC69F9" w:rsidRPr="00BB72CE" w:rsidRDefault="00EC69F9" w:rsidP="003051A1">
            <w:pPr>
              <w:pStyle w:val="121"/>
              <w:jc w:val="right"/>
              <w:rPr>
                <w:sz w:val="28"/>
                <w:szCs w:val="28"/>
              </w:rPr>
            </w:pPr>
            <w:r w:rsidRPr="00BB72CE">
              <w:rPr>
                <w:rFonts w:hint="eastAsia"/>
                <w:sz w:val="28"/>
                <w:szCs w:val="28"/>
              </w:rPr>
              <w:t>18,548</w:t>
            </w:r>
          </w:p>
        </w:tc>
        <w:tc>
          <w:tcPr>
            <w:tcW w:w="1053" w:type="dxa"/>
            <w:tcBorders>
              <w:top w:val="single" w:sz="4" w:space="0" w:color="auto"/>
              <w:left w:val="single" w:sz="4" w:space="0" w:color="auto"/>
              <w:bottom w:val="single" w:sz="4" w:space="0" w:color="auto"/>
              <w:right w:val="single" w:sz="4" w:space="0" w:color="auto"/>
            </w:tcBorders>
            <w:vAlign w:val="center"/>
          </w:tcPr>
          <w:p w:rsidR="00EC69F9" w:rsidRPr="00BB72CE" w:rsidRDefault="00EC69F9" w:rsidP="003051A1">
            <w:pPr>
              <w:pStyle w:val="121"/>
              <w:jc w:val="right"/>
              <w:rPr>
                <w:sz w:val="28"/>
                <w:szCs w:val="28"/>
              </w:rPr>
            </w:pPr>
            <w:r w:rsidRPr="00BB72CE">
              <w:rPr>
                <w:rFonts w:hint="eastAsia"/>
                <w:sz w:val="28"/>
                <w:szCs w:val="28"/>
              </w:rPr>
              <w:t>20,000</w:t>
            </w:r>
          </w:p>
        </w:tc>
      </w:tr>
      <w:tr w:rsidR="00EC69F9" w:rsidRPr="00BB72CE" w:rsidTr="003051A1">
        <w:trPr>
          <w:trHeight w:val="20"/>
        </w:trPr>
        <w:tc>
          <w:tcPr>
            <w:tcW w:w="3039" w:type="dxa"/>
            <w:gridSpan w:val="2"/>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rPr>
                <w:sz w:val="28"/>
                <w:szCs w:val="28"/>
              </w:rPr>
            </w:pPr>
            <w:r w:rsidRPr="00BB72CE">
              <w:rPr>
                <w:rFonts w:hint="eastAsia"/>
                <w:sz w:val="28"/>
                <w:szCs w:val="28"/>
              </w:rPr>
              <w:t>增加農會收入</w:t>
            </w:r>
            <w:r w:rsidRPr="00BB72CE">
              <w:rPr>
                <w:sz w:val="28"/>
                <w:szCs w:val="28"/>
              </w:rPr>
              <w:t>（</w:t>
            </w:r>
            <w:r w:rsidRPr="00BB72CE">
              <w:rPr>
                <w:rFonts w:hint="eastAsia"/>
                <w:sz w:val="28"/>
                <w:szCs w:val="28"/>
              </w:rPr>
              <w:t>千元</w:t>
            </w:r>
            <w:r w:rsidRPr="00BB72CE">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30,000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47,400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25,000</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31,500</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5F624B" w:rsidP="003051A1">
            <w:pPr>
              <w:pStyle w:val="121"/>
              <w:jc w:val="right"/>
              <w:rPr>
                <w:sz w:val="28"/>
                <w:szCs w:val="28"/>
              </w:rPr>
            </w:pPr>
            <w:r w:rsidRPr="00BB72CE">
              <w:rPr>
                <w:rFonts w:hint="eastAsia"/>
              </w:rPr>
              <w:t>-</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w:t>
            </w:r>
          </w:p>
        </w:tc>
      </w:tr>
      <w:tr w:rsidR="00EC69F9" w:rsidRPr="00BB72CE" w:rsidTr="003051A1">
        <w:trPr>
          <w:trHeight w:val="20"/>
        </w:trPr>
        <w:tc>
          <w:tcPr>
            <w:tcW w:w="3039" w:type="dxa"/>
            <w:gridSpan w:val="2"/>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rPr>
                <w:sz w:val="28"/>
                <w:szCs w:val="28"/>
              </w:rPr>
            </w:pPr>
            <w:r w:rsidRPr="00BB72CE">
              <w:rPr>
                <w:rFonts w:hint="eastAsia"/>
                <w:sz w:val="28"/>
                <w:szCs w:val="28"/>
              </w:rPr>
              <w:t>增加農村經濟產值</w:t>
            </w:r>
            <w:r w:rsidRPr="00BB72CE">
              <w:rPr>
                <w:sz w:val="28"/>
                <w:szCs w:val="28"/>
              </w:rPr>
              <w:t>（</w:t>
            </w:r>
            <w:r w:rsidRPr="00BB72CE">
              <w:rPr>
                <w:rFonts w:hint="eastAsia"/>
                <w:sz w:val="28"/>
                <w:szCs w:val="28"/>
              </w:rPr>
              <w:t>千元</w:t>
            </w:r>
            <w:r w:rsidRPr="00BB72CE">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6,000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7,200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8,000</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9,800</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5F624B" w:rsidP="003051A1">
            <w:pPr>
              <w:pStyle w:val="121"/>
              <w:jc w:val="right"/>
              <w:rPr>
                <w:sz w:val="28"/>
                <w:szCs w:val="28"/>
              </w:rPr>
            </w:pPr>
            <w:r w:rsidRPr="00BB72CE">
              <w:rPr>
                <w:rFonts w:hint="eastAsia"/>
              </w:rPr>
              <w:t>-</w:t>
            </w:r>
          </w:p>
        </w:tc>
        <w:tc>
          <w:tcPr>
            <w:tcW w:w="1053" w:type="dxa"/>
            <w:tcBorders>
              <w:top w:val="single" w:sz="4" w:space="0" w:color="auto"/>
              <w:left w:val="single" w:sz="4" w:space="0" w:color="auto"/>
              <w:bottom w:val="single" w:sz="4" w:space="0" w:color="auto"/>
              <w:right w:val="single" w:sz="4" w:space="0" w:color="auto"/>
            </w:tcBorders>
            <w:vAlign w:val="center"/>
            <w:hideMark/>
          </w:tcPr>
          <w:p w:rsidR="00EC69F9" w:rsidRPr="00BB72CE" w:rsidRDefault="00EC69F9" w:rsidP="003051A1">
            <w:pPr>
              <w:pStyle w:val="121"/>
              <w:jc w:val="right"/>
              <w:rPr>
                <w:sz w:val="28"/>
                <w:szCs w:val="28"/>
              </w:rPr>
            </w:pPr>
            <w:r w:rsidRPr="00BB72CE">
              <w:rPr>
                <w:sz w:val="28"/>
                <w:szCs w:val="28"/>
              </w:rPr>
              <w:t>-</w:t>
            </w:r>
          </w:p>
        </w:tc>
      </w:tr>
    </w:tbl>
    <w:p w:rsidR="005F624B" w:rsidRPr="00BB72CE" w:rsidRDefault="005C25D5" w:rsidP="005F624B">
      <w:pPr>
        <w:spacing w:line="300" w:lineRule="exact"/>
        <w:ind w:left="567" w:hangingChars="218" w:hanging="567"/>
        <w:rPr>
          <w:sz w:val="24"/>
          <w:szCs w:val="24"/>
        </w:rPr>
      </w:pPr>
      <w:r w:rsidRPr="00BB72CE">
        <w:rPr>
          <w:rFonts w:hint="eastAsia"/>
          <w:sz w:val="24"/>
          <w:szCs w:val="24"/>
        </w:rPr>
        <w:t xml:space="preserve"> </w:t>
      </w:r>
      <w:r w:rsidR="005F624B" w:rsidRPr="00BB72CE">
        <w:rPr>
          <w:rFonts w:hint="eastAsia"/>
          <w:sz w:val="24"/>
          <w:szCs w:val="24"/>
        </w:rPr>
        <w:t>註：截至106年10月止，105</w:t>
      </w:r>
      <w:r w:rsidR="00354E1F" w:rsidRPr="00BB72CE">
        <w:rPr>
          <w:rFonts w:hint="eastAsia"/>
          <w:sz w:val="24"/>
          <w:szCs w:val="24"/>
        </w:rPr>
        <w:t>年、106</w:t>
      </w:r>
      <w:r w:rsidR="005F624B" w:rsidRPr="00BB72CE">
        <w:rPr>
          <w:rFonts w:hint="eastAsia"/>
          <w:sz w:val="24"/>
          <w:szCs w:val="24"/>
        </w:rPr>
        <w:t>年增加農會收入及農村經濟價值農委會仍調查中，故尚無相關數據。</w:t>
      </w:r>
    </w:p>
    <w:p w:rsidR="00EC69F9" w:rsidRPr="00BB72CE" w:rsidRDefault="005C25D5" w:rsidP="005F624B">
      <w:pPr>
        <w:spacing w:line="300" w:lineRule="exact"/>
        <w:ind w:firstLineChars="54" w:firstLine="140"/>
        <w:rPr>
          <w:sz w:val="24"/>
          <w:szCs w:val="24"/>
        </w:rPr>
      </w:pPr>
      <w:r w:rsidRPr="00BB72CE">
        <w:rPr>
          <w:rFonts w:hint="eastAsia"/>
          <w:sz w:val="24"/>
          <w:szCs w:val="24"/>
        </w:rPr>
        <w:t>資料來源：農委會</w:t>
      </w:r>
    </w:p>
    <w:p w:rsidR="005C25D5" w:rsidRPr="00BB72CE" w:rsidRDefault="005C25D5" w:rsidP="00EC69F9">
      <w:pPr>
        <w:rPr>
          <w:sz w:val="24"/>
          <w:szCs w:val="24"/>
        </w:rPr>
      </w:pPr>
    </w:p>
    <w:p w:rsidR="00C9605D" w:rsidRPr="00BB72CE" w:rsidRDefault="00C9605D" w:rsidP="00C9605D">
      <w:pPr>
        <w:pStyle w:val="3"/>
        <w:numPr>
          <w:ilvl w:val="2"/>
          <w:numId w:val="1"/>
        </w:numPr>
      </w:pPr>
      <w:bookmarkStart w:id="92" w:name="_Toc499803022"/>
      <w:bookmarkEnd w:id="83"/>
      <w:r w:rsidRPr="00BB72CE">
        <w:rPr>
          <w:rFonts w:hint="eastAsia"/>
        </w:rPr>
        <w:t>另韓國農協中央會</w:t>
      </w:r>
      <w:r w:rsidRPr="00BB72CE">
        <w:rPr>
          <w:rStyle w:val="aff5"/>
        </w:rPr>
        <w:footnoteReference w:id="11"/>
      </w:r>
      <w:r w:rsidRPr="00BB72CE">
        <w:rPr>
          <w:rFonts w:hint="eastAsia"/>
        </w:rPr>
        <w:t>經濟事業體強大，掌握其身處消費地及與各農協、組合會員關係之優勢，建立行銷、物流體系，並持續擴充其事業能量，提高農協組合會員交貨服務量</w:t>
      </w:r>
      <w:r w:rsidRPr="00BB72CE">
        <w:rPr>
          <w:rStyle w:val="aff5"/>
        </w:rPr>
        <w:footnoteReference w:id="12"/>
      </w:r>
      <w:r w:rsidRPr="00BB72CE">
        <w:rPr>
          <w:rFonts w:hint="eastAsia"/>
        </w:rPr>
        <w:t>，反觀</w:t>
      </w:r>
      <w:r w:rsidRPr="00BB72CE">
        <w:t>我國目前各級農會經濟事業連結、合作強度低</w:t>
      </w:r>
      <w:r w:rsidRPr="00BB72CE">
        <w:rPr>
          <w:rFonts w:hint="eastAsia"/>
        </w:rPr>
        <w:t>，</w:t>
      </w:r>
      <w:r w:rsidRPr="00BB72CE">
        <w:rPr>
          <w:rFonts w:hint="eastAsia"/>
          <w:lang w:eastAsia="zh-HK"/>
        </w:rPr>
        <w:t>農委會</w:t>
      </w:r>
      <w:r w:rsidRPr="00BB72CE">
        <w:t>為持續強化區域農業產業服務量能，擬定精進策略如下：</w:t>
      </w:r>
      <w:bookmarkEnd w:id="92"/>
    </w:p>
    <w:p w:rsidR="00C9605D" w:rsidRPr="00BB72CE" w:rsidRDefault="00C9605D" w:rsidP="00C9605D">
      <w:pPr>
        <w:pStyle w:val="4"/>
        <w:numPr>
          <w:ilvl w:val="3"/>
          <w:numId w:val="1"/>
        </w:numPr>
      </w:pPr>
      <w:r w:rsidRPr="00BB72CE">
        <w:t>明確農會定位：針對鄉村型農會將盤點並強化其</w:t>
      </w:r>
      <w:r w:rsidRPr="00BB72CE">
        <w:lastRenderedPageBreak/>
        <w:t>推廣輔導能力，以支援及確保經濟事業特色化發展；針對都市型農會，應善用身處消費地之優勢，強化其整合行銷能力，</w:t>
      </w:r>
      <w:r w:rsidRPr="00BB72CE">
        <w:rPr>
          <w:rStyle w:val="30"/>
        </w:rPr>
        <w:t>並</w:t>
      </w:r>
      <w:r w:rsidRPr="00BB72CE">
        <w:t>逐步輔導直轄市、縣市及全國農會作為整合之集貨、物流、供銷</w:t>
      </w:r>
      <w:r w:rsidR="007756D1">
        <w:t>平臺</w:t>
      </w:r>
      <w:r w:rsidRPr="00BB72CE">
        <w:t>進行連結。</w:t>
      </w:r>
    </w:p>
    <w:p w:rsidR="00C9605D" w:rsidRPr="00BB72CE" w:rsidRDefault="00C9605D" w:rsidP="00C9605D">
      <w:pPr>
        <w:pStyle w:val="4"/>
        <w:numPr>
          <w:ilvl w:val="3"/>
          <w:numId w:val="1"/>
        </w:numPr>
      </w:pPr>
      <w:r w:rsidRPr="00BB72CE">
        <w:t>法規滾動調適：因應產業轉型及市場變遷，修訂發布</w:t>
      </w:r>
      <w:r w:rsidRPr="00BB72CE">
        <w:rPr>
          <w:rFonts w:hint="eastAsia"/>
          <w:spacing w:val="20"/>
        </w:rPr>
        <w:t>「</w:t>
      </w:r>
      <w:r w:rsidRPr="00BB72CE">
        <w:t>農會考核辦法</w:t>
      </w:r>
      <w:r w:rsidRPr="00BB72CE">
        <w:rPr>
          <w:rFonts w:hint="eastAsia"/>
          <w:spacing w:val="20"/>
        </w:rPr>
        <w:t>」</w:t>
      </w:r>
      <w:r w:rsidRPr="00BB72CE">
        <w:t>，將經濟事業經營與獲利能力列為重要考核之項目。另將滾動式檢討相關法規，期加強農會經濟事業發展體質。</w:t>
      </w:r>
    </w:p>
    <w:p w:rsidR="00C9605D" w:rsidRPr="00BB72CE" w:rsidRDefault="00C9605D" w:rsidP="00C9605D">
      <w:pPr>
        <w:pStyle w:val="4"/>
        <w:numPr>
          <w:ilvl w:val="3"/>
          <w:numId w:val="1"/>
        </w:numPr>
      </w:pPr>
      <w:r w:rsidRPr="00BB72CE">
        <w:t>計畫策略支持：組成產業輔導團隊，輔導農會發展農村經濟事業，自106年度起以一條龍式輔導措施進行產業輔導</w:t>
      </w:r>
      <w:r w:rsidRPr="00BB72CE">
        <w:rPr>
          <w:rFonts w:hint="eastAsia"/>
        </w:rPr>
        <w:t>，說明如下：</w:t>
      </w:r>
    </w:p>
    <w:p w:rsidR="00C9605D" w:rsidRPr="00BB72CE" w:rsidRDefault="00C9605D" w:rsidP="00C9605D">
      <w:pPr>
        <w:pStyle w:val="5"/>
        <w:numPr>
          <w:ilvl w:val="4"/>
          <w:numId w:val="1"/>
        </w:numPr>
      </w:pPr>
      <w:r w:rsidRPr="00BB72CE">
        <w:t>養成：對有意願之農會，提供必要的診斷及輔導資源，協助研擬具實效之經濟事業發展計畫，爭取計畫補助及輔導。</w:t>
      </w:r>
    </w:p>
    <w:p w:rsidR="00C9605D" w:rsidRPr="00BB72CE" w:rsidRDefault="00C9605D" w:rsidP="00C9605D">
      <w:pPr>
        <w:pStyle w:val="5"/>
        <w:numPr>
          <w:ilvl w:val="4"/>
          <w:numId w:val="1"/>
        </w:numPr>
      </w:pPr>
      <w:r w:rsidRPr="00BB72CE">
        <w:t>陪伴：對具實效之農會經濟事業計畫給予部分補助，並於計畫執行期間提供產業專家之陪伴輔導，並予管考。</w:t>
      </w:r>
    </w:p>
    <w:p w:rsidR="00C9605D" w:rsidRPr="00BB72CE" w:rsidRDefault="00C9605D" w:rsidP="00C9605D">
      <w:pPr>
        <w:pStyle w:val="5"/>
        <w:numPr>
          <w:ilvl w:val="4"/>
          <w:numId w:val="1"/>
        </w:numPr>
      </w:pPr>
      <w:r w:rsidRPr="00BB72CE">
        <w:t>檢核：補助計畫執行後，持續2年輔導及追蹤，以確保經濟事業推動績效。並藉由成果發表活動（如農漁會百大精品展、臺灣美食展等），提供通路媒合機會。</w:t>
      </w:r>
    </w:p>
    <w:p w:rsidR="00C9605D" w:rsidRPr="00BB72CE" w:rsidRDefault="00C9605D" w:rsidP="00C9605D">
      <w:pPr>
        <w:pStyle w:val="3"/>
        <w:numPr>
          <w:ilvl w:val="2"/>
          <w:numId w:val="1"/>
        </w:numPr>
      </w:pPr>
      <w:bookmarkStart w:id="93" w:name="_Toc499803023"/>
      <w:r w:rsidRPr="00BB72CE">
        <w:rPr>
          <w:rFonts w:hint="eastAsia"/>
          <w:lang w:eastAsia="zh-HK"/>
        </w:rPr>
        <w:t>據</w:t>
      </w:r>
      <w:r w:rsidRPr="00BB72CE">
        <w:rPr>
          <w:rFonts w:hint="eastAsia"/>
        </w:rPr>
        <w:t>農委會表示，考量</w:t>
      </w:r>
      <w:r w:rsidRPr="00BB72CE">
        <w:t>輔導農會發展農村經濟事業計畫</w:t>
      </w:r>
      <w:r w:rsidRPr="00BB72CE">
        <w:rPr>
          <w:rFonts w:hint="eastAsia"/>
        </w:rPr>
        <w:t>具推動績效，農會申請意願極高，爰檢視計畫核心及</w:t>
      </w:r>
      <w:r w:rsidRPr="00BB72CE">
        <w:rPr>
          <w:rFonts w:hint="eastAsia"/>
          <w:spacing w:val="20"/>
        </w:rPr>
        <w:t>「</w:t>
      </w:r>
      <w:r w:rsidRPr="00BB72CE">
        <w:rPr>
          <w:rFonts w:hint="eastAsia"/>
        </w:rPr>
        <w:t>農會法</w:t>
      </w:r>
      <w:r w:rsidRPr="00BB72CE">
        <w:rPr>
          <w:rFonts w:hint="eastAsia"/>
          <w:spacing w:val="20"/>
        </w:rPr>
        <w:t>」</w:t>
      </w:r>
      <w:r w:rsidRPr="00BB72CE">
        <w:rPr>
          <w:rFonts w:hint="eastAsia"/>
        </w:rPr>
        <w:t>對於農會任務定位，納入農村再生第二期實施計畫，擴大計畫規模（從104年輔導補助13家農會，提升為105年輔導補助28家農會與106年輔導補助27家農會），並加強輔導農會整合在地農村社區資源發展經濟事業，落實農會創造農村經濟收益之任務，且為有效掌握計畫執行績效，該計畫</w:t>
      </w:r>
      <w:r w:rsidRPr="00BB72CE">
        <w:rPr>
          <w:rFonts w:hint="eastAsia"/>
        </w:rPr>
        <w:lastRenderedPageBreak/>
        <w:t>分3年擬定</w:t>
      </w:r>
      <w:r w:rsidRPr="00BB72CE">
        <w:rPr>
          <w:rStyle w:val="st1"/>
          <w:rFonts w:ascii="Arial" w:cs="Arial"/>
        </w:rPr>
        <w:t>關鍵績效指標</w:t>
      </w:r>
      <w:r w:rsidRPr="00BB72CE">
        <w:rPr>
          <w:rStyle w:val="st1"/>
          <w:rFonts w:ascii="Arial" w:cs="Arial" w:hint="eastAsia"/>
        </w:rPr>
        <w:t>（</w:t>
      </w:r>
      <w:r w:rsidRPr="00BB72CE">
        <w:rPr>
          <w:rFonts w:hint="eastAsia"/>
        </w:rPr>
        <w:t>KPI)，包括創造農村經濟產值、創造就業機會數、創造農會經濟收益等，由受輔導農會按月填報推動績效，計畫結束後，並持續2年追蹤經濟事業推動情形。</w:t>
      </w:r>
      <w:bookmarkEnd w:id="93"/>
    </w:p>
    <w:p w:rsidR="00C9605D" w:rsidRPr="00BB72CE" w:rsidRDefault="00C9605D" w:rsidP="00C9605D">
      <w:pPr>
        <w:pStyle w:val="3"/>
        <w:numPr>
          <w:ilvl w:val="2"/>
          <w:numId w:val="1"/>
        </w:numPr>
      </w:pPr>
      <w:bookmarkStart w:id="94" w:name="_Toc499803024"/>
      <w:r w:rsidRPr="00BB72CE">
        <w:rPr>
          <w:rFonts w:hint="eastAsia"/>
        </w:rPr>
        <w:t>綜上，農委會101至105年</w:t>
      </w:r>
      <w:r w:rsidRPr="00BB72CE">
        <w:t>輔導農會發展農村經濟事業計畫</w:t>
      </w:r>
      <w:r w:rsidRPr="00BB72CE">
        <w:rPr>
          <w:rFonts w:hint="eastAsia"/>
        </w:rPr>
        <w:t>相關投</w:t>
      </w:r>
      <w:r w:rsidRPr="00BB72CE">
        <w:rPr>
          <w:rStyle w:val="40"/>
          <w:rFonts w:hint="eastAsia"/>
        </w:rPr>
        <w:t>入經費分別為15,327、13,647、7,258及6,280千元，增加農會收入各為</w:t>
      </w:r>
      <w:r w:rsidRPr="00BB72CE">
        <w:rPr>
          <w:rStyle w:val="40"/>
        </w:rPr>
        <w:t>30,000、47,400、25,000</w:t>
      </w:r>
      <w:r w:rsidRPr="00BB72CE">
        <w:rPr>
          <w:rStyle w:val="40"/>
          <w:rFonts w:hint="eastAsia"/>
        </w:rPr>
        <w:t>及</w:t>
      </w:r>
      <w:r w:rsidRPr="00BB72CE">
        <w:rPr>
          <w:rStyle w:val="40"/>
        </w:rPr>
        <w:t>31,500</w:t>
      </w:r>
      <w:r w:rsidRPr="00BB72CE">
        <w:rPr>
          <w:rStyle w:val="40"/>
          <w:rFonts w:hint="eastAsia"/>
        </w:rPr>
        <w:t>千元，然而，所增加農村經濟產值僅介於6,000至9,800千元之間，即</w:t>
      </w:r>
      <w:r w:rsidRPr="00BB72CE">
        <w:rPr>
          <w:rFonts w:hint="eastAsia"/>
        </w:rPr>
        <w:t>農委會輔導農會所開創之農村經濟產值，未如農會收入</w:t>
      </w:r>
      <w:r w:rsidRPr="00BB72CE">
        <w:rPr>
          <w:rStyle w:val="40"/>
          <w:rFonts w:hint="eastAsia"/>
        </w:rPr>
        <w:t>有極大助</w:t>
      </w:r>
      <w:r w:rsidRPr="00BB72CE">
        <w:rPr>
          <w:rStyle w:val="40"/>
          <w:rFonts w:hint="eastAsia"/>
          <w:spacing w:val="-4"/>
        </w:rPr>
        <w:t>益</w:t>
      </w:r>
      <w:r w:rsidRPr="00BB72CE">
        <w:rPr>
          <w:rFonts w:hint="eastAsia"/>
          <w:spacing w:val="-4"/>
        </w:rPr>
        <w:t>，甚至未及於農委會輔導經費之投入（如101至102年），顯見農委會仍需多加努力輔導農會帶動農村經濟持續成長</w:t>
      </w:r>
      <w:r w:rsidRPr="00BB72CE">
        <w:rPr>
          <w:rStyle w:val="40"/>
          <w:rFonts w:hint="eastAsia"/>
          <w:spacing w:val="-4"/>
        </w:rPr>
        <w:t>；此外，我國目前各級農會經濟事業連結、合作強度低，農委會自應依其擬定之精進策略積極輔導農會依其所在區域，善用在地優勢，區隔鄉</w:t>
      </w:r>
      <w:r w:rsidRPr="00BB72CE">
        <w:rPr>
          <w:rFonts w:hint="eastAsia"/>
          <w:spacing w:val="-4"/>
        </w:rPr>
        <w:t>村型農會及都市型農會之角色定位，連結直轄市、縣市及全國農會作為整合之集貨、物流、供銷</w:t>
      </w:r>
      <w:r w:rsidR="007756D1">
        <w:rPr>
          <w:rFonts w:hint="eastAsia"/>
          <w:spacing w:val="-4"/>
        </w:rPr>
        <w:t>平臺</w:t>
      </w:r>
      <w:r w:rsidRPr="00BB72CE">
        <w:rPr>
          <w:rFonts w:hint="eastAsia"/>
          <w:spacing w:val="-4"/>
        </w:rPr>
        <w:t>，落實各級農會經濟事業發展與串連整合實效。</w:t>
      </w:r>
      <w:bookmarkEnd w:id="94"/>
    </w:p>
    <w:p w:rsidR="00354E1F" w:rsidRPr="00BB72CE" w:rsidRDefault="00354E1F" w:rsidP="00354E1F">
      <w:pPr>
        <w:pStyle w:val="2"/>
        <w:numPr>
          <w:ilvl w:val="1"/>
          <w:numId w:val="1"/>
        </w:numPr>
        <w:rPr>
          <w:rFonts w:hAnsi="標楷體"/>
          <w:b/>
        </w:rPr>
      </w:pPr>
      <w:bookmarkStart w:id="95" w:name="_Toc499803025"/>
      <w:r w:rsidRPr="00BB72CE">
        <w:rPr>
          <w:rStyle w:val="40"/>
          <w:rFonts w:hint="eastAsia"/>
          <w:b/>
        </w:rPr>
        <w:t>農委會105年提出「</w:t>
      </w:r>
      <w:r w:rsidRPr="00BB72CE">
        <w:rPr>
          <w:rStyle w:val="40"/>
          <w:b/>
        </w:rPr>
        <w:t>新農業創新推動方案」</w:t>
      </w:r>
      <w:r w:rsidRPr="00BB72CE">
        <w:rPr>
          <w:rStyle w:val="40"/>
          <w:rFonts w:hint="eastAsia"/>
          <w:b/>
        </w:rPr>
        <w:t>之</w:t>
      </w:r>
      <w:r w:rsidRPr="00BB72CE">
        <w:rPr>
          <w:rStyle w:val="20"/>
          <w:rFonts w:hint="eastAsia"/>
          <w:b/>
        </w:rPr>
        <w:t>重點</w:t>
      </w:r>
      <w:r w:rsidRPr="00BB72CE">
        <w:rPr>
          <w:rStyle w:val="40"/>
          <w:rFonts w:hint="eastAsia"/>
          <w:b/>
        </w:rPr>
        <w:t>政策</w:t>
      </w:r>
      <w:r w:rsidRPr="00BB72CE">
        <w:rPr>
          <w:rStyle w:val="40"/>
          <w:b/>
        </w:rPr>
        <w:t>，</w:t>
      </w:r>
      <w:r w:rsidRPr="00BB72CE">
        <w:rPr>
          <w:rStyle w:val="40"/>
          <w:rFonts w:hint="eastAsia"/>
          <w:b/>
        </w:rPr>
        <w:t>包括</w:t>
      </w:r>
      <w:r w:rsidRPr="00BB72CE">
        <w:rPr>
          <w:rStyle w:val="40"/>
          <w:b/>
        </w:rPr>
        <w:t>預計至109年</w:t>
      </w:r>
      <w:r w:rsidRPr="00BB72CE">
        <w:rPr>
          <w:rStyle w:val="40"/>
          <w:rFonts w:hint="eastAsia"/>
          <w:b/>
        </w:rPr>
        <w:t>專業農家</w:t>
      </w:r>
      <w:r w:rsidRPr="00BB72CE">
        <w:rPr>
          <w:rStyle w:val="40"/>
          <w:b/>
        </w:rPr>
        <w:t>所得達180萬元</w:t>
      </w:r>
      <w:r w:rsidRPr="00BB72CE">
        <w:rPr>
          <w:rStyle w:val="40"/>
          <w:rFonts w:hint="eastAsia"/>
          <w:b/>
        </w:rPr>
        <w:t>，農委會所框定屬於專業農家之</w:t>
      </w:r>
      <w:r w:rsidRPr="00BB72CE">
        <w:rPr>
          <w:rStyle w:val="20"/>
          <w:rFonts w:hint="eastAsia"/>
          <w:b/>
        </w:rPr>
        <w:t>大型</w:t>
      </w:r>
      <w:r w:rsidRPr="00BB72CE">
        <w:rPr>
          <w:rStyle w:val="20"/>
          <w:b/>
        </w:rPr>
        <w:t>農</w:t>
      </w:r>
      <w:r w:rsidRPr="00BB72CE">
        <w:rPr>
          <w:rStyle w:val="20"/>
          <w:rFonts w:hint="eastAsia"/>
          <w:b/>
        </w:rPr>
        <w:t>家，其104年</w:t>
      </w:r>
      <w:r w:rsidRPr="00BB72CE">
        <w:rPr>
          <w:rStyle w:val="20"/>
          <w:b/>
        </w:rPr>
        <w:t>每戶</w:t>
      </w:r>
      <w:r w:rsidRPr="00BB72CE">
        <w:rPr>
          <w:rStyle w:val="40"/>
          <w:b/>
          <w:bCs w:val="0"/>
        </w:rPr>
        <w:t>所得總額</w:t>
      </w:r>
      <w:r w:rsidRPr="00BB72CE">
        <w:rPr>
          <w:rStyle w:val="40"/>
          <w:rFonts w:hint="eastAsia"/>
          <w:b/>
          <w:bCs w:val="0"/>
        </w:rPr>
        <w:t>已</w:t>
      </w:r>
      <w:r w:rsidRPr="00BB72CE">
        <w:rPr>
          <w:rStyle w:val="40"/>
          <w:b/>
        </w:rPr>
        <w:t>達180萬元</w:t>
      </w:r>
      <w:r w:rsidRPr="00BB72CE">
        <w:rPr>
          <w:rStyle w:val="40"/>
          <w:rFonts w:hint="eastAsia"/>
          <w:b/>
        </w:rPr>
        <w:t>，政策目標設定有欠周詳；又</w:t>
      </w:r>
      <w:r w:rsidRPr="00BB72CE">
        <w:rPr>
          <w:rStyle w:val="40"/>
          <w:rFonts w:hint="eastAsia"/>
          <w:b/>
          <w:bCs w:val="0"/>
        </w:rPr>
        <w:t>主力農家</w:t>
      </w:r>
      <w:r w:rsidRPr="00BB72CE">
        <w:rPr>
          <w:rStyle w:val="40"/>
          <w:b/>
          <w:bCs w:val="0"/>
        </w:rPr>
        <w:t>「</w:t>
      </w:r>
      <w:r w:rsidRPr="00BB72CE">
        <w:rPr>
          <w:rStyle w:val="40"/>
          <w:rFonts w:hint="eastAsia"/>
          <w:b/>
          <w:bCs w:val="0"/>
        </w:rPr>
        <w:t>稻作業</w:t>
      </w:r>
      <w:r w:rsidRPr="00BB72CE">
        <w:rPr>
          <w:rStyle w:val="40"/>
          <w:b/>
          <w:bCs w:val="0"/>
        </w:rPr>
        <w:t>」</w:t>
      </w:r>
      <w:r w:rsidRPr="00BB72CE">
        <w:rPr>
          <w:rStyle w:val="40"/>
          <w:rFonts w:hint="eastAsia"/>
          <w:b/>
          <w:bCs w:val="0"/>
        </w:rPr>
        <w:t>、</w:t>
      </w:r>
      <w:r w:rsidRPr="00BB72CE">
        <w:rPr>
          <w:rStyle w:val="40"/>
          <w:b/>
          <w:bCs w:val="0"/>
        </w:rPr>
        <w:t>「果樹栽培業」</w:t>
      </w:r>
      <w:r w:rsidRPr="00BB72CE">
        <w:rPr>
          <w:rStyle w:val="40"/>
          <w:rFonts w:hint="eastAsia"/>
          <w:b/>
          <w:bCs w:val="0"/>
        </w:rPr>
        <w:t>及</w:t>
      </w:r>
      <w:r w:rsidRPr="00BB72CE">
        <w:rPr>
          <w:rStyle w:val="40"/>
          <w:b/>
          <w:bCs w:val="0"/>
        </w:rPr>
        <w:t>「雜糧及特作栽培業」</w:t>
      </w:r>
      <w:r w:rsidRPr="00BB72CE">
        <w:rPr>
          <w:rStyle w:val="40"/>
          <w:rFonts w:hint="eastAsia"/>
          <w:b/>
          <w:bCs w:val="0"/>
        </w:rPr>
        <w:t>105年</w:t>
      </w:r>
      <w:r w:rsidRPr="00BB72CE">
        <w:rPr>
          <w:rStyle w:val="40"/>
          <w:b/>
          <w:bCs w:val="0"/>
        </w:rPr>
        <w:t>平均每戶所得總額</w:t>
      </w:r>
      <w:r w:rsidRPr="00BB72CE">
        <w:rPr>
          <w:rStyle w:val="40"/>
          <w:rFonts w:hint="eastAsia"/>
          <w:b/>
          <w:bCs w:val="0"/>
        </w:rPr>
        <w:t>雖達115.2、115.5及117.3萬元，然而</w:t>
      </w:r>
      <w:r w:rsidRPr="00BB72CE">
        <w:rPr>
          <w:rStyle w:val="20"/>
          <w:rFonts w:hint="eastAsia"/>
          <w:b/>
        </w:rPr>
        <w:t>其中</w:t>
      </w:r>
      <w:r w:rsidRPr="00BB72CE">
        <w:rPr>
          <w:rStyle w:val="20"/>
          <w:b/>
        </w:rPr>
        <w:t>戶內所得來自農業所得</w:t>
      </w:r>
      <w:r w:rsidRPr="00BB72CE">
        <w:rPr>
          <w:rStyle w:val="20"/>
          <w:rFonts w:hint="eastAsia"/>
          <w:b/>
        </w:rPr>
        <w:t>分別僅有27.9、29.8及41.2</w:t>
      </w:r>
      <w:r w:rsidRPr="00BB72CE">
        <w:rPr>
          <w:rStyle w:val="20"/>
          <w:b/>
        </w:rPr>
        <w:t>萬元</w:t>
      </w:r>
      <w:r w:rsidRPr="00BB72CE">
        <w:rPr>
          <w:rStyle w:val="20"/>
          <w:rFonts w:hint="eastAsia"/>
          <w:b/>
        </w:rPr>
        <w:t>，</w:t>
      </w:r>
      <w:r w:rsidRPr="00BB72CE">
        <w:rPr>
          <w:rStyle w:val="40"/>
          <w:rFonts w:hint="eastAsia"/>
          <w:b/>
          <w:bCs w:val="0"/>
        </w:rPr>
        <w:t>顯示</w:t>
      </w:r>
      <w:r w:rsidRPr="00BB72CE">
        <w:rPr>
          <w:rStyle w:val="40"/>
          <w:rFonts w:hint="eastAsia"/>
          <w:b/>
        </w:rPr>
        <w:t>主力農家中，</w:t>
      </w:r>
      <w:r w:rsidRPr="00BB72CE">
        <w:rPr>
          <w:rStyle w:val="40"/>
          <w:rFonts w:hint="eastAsia"/>
          <w:b/>
          <w:bCs w:val="0"/>
        </w:rPr>
        <w:t>不少</w:t>
      </w:r>
      <w:r w:rsidRPr="00BB72CE">
        <w:rPr>
          <w:rStyle w:val="40"/>
          <w:b/>
          <w:bCs w:val="0"/>
        </w:rPr>
        <w:t>「</w:t>
      </w:r>
      <w:r w:rsidRPr="00BB72CE">
        <w:rPr>
          <w:rStyle w:val="40"/>
          <w:rFonts w:hint="eastAsia"/>
          <w:b/>
          <w:bCs w:val="0"/>
        </w:rPr>
        <w:t>稻作業</w:t>
      </w:r>
      <w:r w:rsidRPr="00BB72CE">
        <w:rPr>
          <w:rStyle w:val="40"/>
          <w:b/>
          <w:bCs w:val="0"/>
        </w:rPr>
        <w:t>」</w:t>
      </w:r>
      <w:r w:rsidRPr="00BB72CE">
        <w:rPr>
          <w:rStyle w:val="40"/>
          <w:rFonts w:hint="eastAsia"/>
          <w:b/>
          <w:bCs w:val="0"/>
        </w:rPr>
        <w:t>、</w:t>
      </w:r>
      <w:r w:rsidRPr="00BB72CE">
        <w:rPr>
          <w:rStyle w:val="40"/>
          <w:b/>
          <w:bCs w:val="0"/>
        </w:rPr>
        <w:t>「果樹栽培業</w:t>
      </w:r>
      <w:r w:rsidRPr="00BB72CE">
        <w:rPr>
          <w:rStyle w:val="40"/>
          <w:b/>
        </w:rPr>
        <w:t>」</w:t>
      </w:r>
      <w:r w:rsidRPr="00BB72CE">
        <w:rPr>
          <w:rStyle w:val="40"/>
          <w:rFonts w:hint="eastAsia"/>
          <w:b/>
        </w:rPr>
        <w:t>及</w:t>
      </w:r>
      <w:r w:rsidRPr="00BB72CE">
        <w:rPr>
          <w:rStyle w:val="40"/>
          <w:b/>
        </w:rPr>
        <w:t>「雜糧及特作栽培業」</w:t>
      </w:r>
      <w:r w:rsidRPr="00BB72CE">
        <w:rPr>
          <w:rStyle w:val="40"/>
          <w:rFonts w:hint="eastAsia"/>
          <w:b/>
        </w:rPr>
        <w:t>之農業經營所得偏低，亟待農委會協助相關業者產業升級與加值，以</w:t>
      </w:r>
      <w:r w:rsidRPr="00BB72CE">
        <w:rPr>
          <w:rStyle w:val="40"/>
          <w:b/>
        </w:rPr>
        <w:t>建構吸引青年從農</w:t>
      </w:r>
      <w:r w:rsidRPr="00BB72CE">
        <w:rPr>
          <w:rStyle w:val="40"/>
          <w:rFonts w:hint="eastAsia"/>
          <w:b/>
        </w:rPr>
        <w:t>之</w:t>
      </w:r>
      <w:r w:rsidRPr="00BB72CE">
        <w:rPr>
          <w:rStyle w:val="40"/>
          <w:b/>
        </w:rPr>
        <w:t>環境</w:t>
      </w:r>
      <w:r w:rsidRPr="00BB72CE">
        <w:rPr>
          <w:rStyle w:val="40"/>
          <w:rFonts w:hint="eastAsia"/>
          <w:b/>
        </w:rPr>
        <w:t>。</w:t>
      </w:r>
      <w:bookmarkEnd w:id="95"/>
    </w:p>
    <w:p w:rsidR="00354E1F" w:rsidRPr="00BB72CE" w:rsidRDefault="00354E1F" w:rsidP="00AF4BFC">
      <w:pPr>
        <w:pStyle w:val="3"/>
        <w:numPr>
          <w:ilvl w:val="2"/>
          <w:numId w:val="12"/>
        </w:numPr>
      </w:pPr>
      <w:bookmarkStart w:id="96" w:name="_Toc499803026"/>
      <w:r w:rsidRPr="00BB72CE">
        <w:rPr>
          <w:rFonts w:hint="eastAsia"/>
        </w:rPr>
        <w:t>農委會為瞭解以農業為主業，且農產品生產規模足</w:t>
      </w:r>
      <w:r w:rsidRPr="00BB72CE">
        <w:rPr>
          <w:rFonts w:hint="eastAsia"/>
        </w:rPr>
        <w:lastRenderedPageBreak/>
        <w:t>以長期維繫對外銷售之主力農家所得概況</w:t>
      </w:r>
      <w:r w:rsidRPr="00BB72CE">
        <w:rPr>
          <w:rStyle w:val="20"/>
          <w:rFonts w:hint="eastAsia"/>
        </w:rPr>
        <w:t>，自103</w:t>
      </w:r>
      <w:r w:rsidRPr="00BB72CE">
        <w:rPr>
          <w:rStyle w:val="20"/>
          <w:rFonts w:hint="eastAsia"/>
          <w:spacing w:val="-4"/>
        </w:rPr>
        <w:t>年起</w:t>
      </w:r>
      <w:r w:rsidRPr="00BB72CE">
        <w:rPr>
          <w:rFonts w:hint="eastAsia"/>
          <w:bCs w:val="0"/>
          <w:spacing w:val="-4"/>
        </w:rPr>
        <w:t>按年辦理主力農家、微型及高齡農家之所得調查</w:t>
      </w:r>
      <w:r w:rsidRPr="00BB72CE">
        <w:rPr>
          <w:rFonts w:hint="eastAsia"/>
          <w:spacing w:val="-4"/>
        </w:rPr>
        <w:t>，供為農業施政及產業輔導之參據。農委會為區隔</w:t>
      </w:r>
      <w:r w:rsidRPr="00BB72CE">
        <w:rPr>
          <w:rFonts w:hint="eastAsia"/>
          <w:bCs w:val="0"/>
          <w:spacing w:val="-4"/>
        </w:rPr>
        <w:t>主力農家、微型及高齡農家，</w:t>
      </w:r>
      <w:r w:rsidRPr="00BB72CE">
        <w:rPr>
          <w:rFonts w:hint="eastAsia"/>
          <w:spacing w:val="-4"/>
        </w:rPr>
        <w:t>首先將我國農戶先依經營者行業、年齡及初級農產品年銷售額等，分成「戶內有農業為主業農戶」、「全以他業為主業農戶」，其中「戶內有農業為主業農戶」再依戶內從農者年齡分為高齡農戶及非高齡農戶，並進一步將非高齡農戶的初級農畜產品年銷售額未達20萬元之自給農、嗜好農、假日農，泛稱為微型農戶；銷售額若達20萬元者則認定為主力農家，並視銷售規模多寡區分為大、中、小型農戶，相關定義說明如下：</w:t>
      </w:r>
      <w:bookmarkEnd w:id="96"/>
    </w:p>
    <w:p w:rsidR="00354E1F" w:rsidRPr="00BB72CE" w:rsidRDefault="00354E1F" w:rsidP="00354E1F">
      <w:pPr>
        <w:pStyle w:val="4"/>
        <w:numPr>
          <w:ilvl w:val="3"/>
          <w:numId w:val="1"/>
        </w:numPr>
      </w:pPr>
      <w:r w:rsidRPr="00BB72CE">
        <w:rPr>
          <w:rFonts w:hint="eastAsia"/>
        </w:rPr>
        <w:t>高齡農家：係指符合農業普查標準之農牧戶，其戶內從農者均為65歲以上。</w:t>
      </w:r>
    </w:p>
    <w:p w:rsidR="00354E1F" w:rsidRPr="00BB72CE" w:rsidRDefault="00354E1F" w:rsidP="00354E1F">
      <w:pPr>
        <w:pStyle w:val="4"/>
        <w:numPr>
          <w:ilvl w:val="3"/>
          <w:numId w:val="1"/>
        </w:numPr>
      </w:pPr>
      <w:r w:rsidRPr="00BB72CE">
        <w:rPr>
          <w:rFonts w:hint="eastAsia"/>
        </w:rPr>
        <w:t>微型農家：係指符合農業普查標準之農牧戶，其戶內至少有一位非高齡（65歲以下）從</w:t>
      </w:r>
      <w:r w:rsidRPr="00BB72CE">
        <w:rPr>
          <w:rFonts w:hint="eastAsia"/>
          <w:kern w:val="0"/>
        </w:rPr>
        <w:t>農者，且初級農產品年銷售額未達</w:t>
      </w:r>
      <w:r w:rsidRPr="00BB72CE">
        <w:rPr>
          <w:rFonts w:hint="eastAsia"/>
        </w:rPr>
        <w:t>20萬元。</w:t>
      </w:r>
    </w:p>
    <w:p w:rsidR="00354E1F" w:rsidRPr="00BB72CE" w:rsidRDefault="00354E1F" w:rsidP="00354E1F">
      <w:pPr>
        <w:pStyle w:val="4"/>
        <w:numPr>
          <w:ilvl w:val="3"/>
          <w:numId w:val="1"/>
        </w:numPr>
      </w:pPr>
      <w:r w:rsidRPr="00BB72CE">
        <w:rPr>
          <w:rFonts w:hint="eastAsia"/>
        </w:rPr>
        <w:t>主力農家：指符合農業普查標準之農牧戶，其戶內至少有一位非高齡</w:t>
      </w:r>
      <w:r w:rsidRPr="00BB72CE">
        <w:t>（65</w:t>
      </w:r>
      <w:r w:rsidRPr="00BB72CE">
        <w:rPr>
          <w:rFonts w:hint="eastAsia"/>
        </w:rPr>
        <w:t>歲以下</w:t>
      </w:r>
      <w:r w:rsidRPr="00BB72CE">
        <w:t>）</w:t>
      </w:r>
      <w:r w:rsidRPr="00BB72CE">
        <w:rPr>
          <w:rFonts w:hint="eastAsia"/>
        </w:rPr>
        <w:t>從農者，且初級農產品年銷售額可達</w:t>
      </w:r>
      <w:r w:rsidRPr="00BB72CE">
        <w:t>20</w:t>
      </w:r>
      <w:r w:rsidRPr="00BB72CE">
        <w:rPr>
          <w:rFonts w:hint="eastAsia"/>
        </w:rPr>
        <w:t>萬元以上。</w:t>
      </w:r>
    </w:p>
    <w:p w:rsidR="00354E1F" w:rsidRPr="00BB72CE" w:rsidRDefault="00354E1F" w:rsidP="00354E1F">
      <w:pPr>
        <w:pStyle w:val="5"/>
        <w:numPr>
          <w:ilvl w:val="4"/>
          <w:numId w:val="1"/>
        </w:numPr>
      </w:pPr>
      <w:r w:rsidRPr="00BB72CE">
        <w:rPr>
          <w:rFonts w:hint="eastAsia"/>
        </w:rPr>
        <w:t>大型農家：農耕業年銷售額</w:t>
      </w:r>
      <w:r w:rsidRPr="00BB72CE">
        <w:t>180</w:t>
      </w:r>
      <w:r w:rsidRPr="00BB72CE">
        <w:rPr>
          <w:rFonts w:hint="eastAsia"/>
        </w:rPr>
        <w:t>萬元以上、畜牧業年銷售額</w:t>
      </w:r>
      <w:r w:rsidRPr="00BB72CE">
        <w:t>500</w:t>
      </w:r>
      <w:r w:rsidRPr="00BB72CE">
        <w:rPr>
          <w:rFonts w:hint="eastAsia"/>
        </w:rPr>
        <w:t>萬元以上。</w:t>
      </w:r>
    </w:p>
    <w:p w:rsidR="00354E1F" w:rsidRPr="00BB72CE" w:rsidRDefault="00354E1F" w:rsidP="00354E1F">
      <w:pPr>
        <w:pStyle w:val="5"/>
        <w:numPr>
          <w:ilvl w:val="4"/>
          <w:numId w:val="1"/>
        </w:numPr>
      </w:pPr>
      <w:r w:rsidRPr="00BB72CE">
        <w:rPr>
          <w:rFonts w:hint="eastAsia"/>
        </w:rPr>
        <w:t>中型農家：農耕業年銷售額</w:t>
      </w:r>
      <w:r w:rsidRPr="00BB72CE">
        <w:t>70</w:t>
      </w:r>
      <w:r w:rsidRPr="00BB72CE">
        <w:rPr>
          <w:rFonts w:hint="eastAsia"/>
        </w:rPr>
        <w:t>萬元至未滿</w:t>
      </w:r>
      <w:r w:rsidRPr="00BB72CE">
        <w:t>180</w:t>
      </w:r>
      <w:r w:rsidRPr="00BB72CE">
        <w:rPr>
          <w:rFonts w:hint="eastAsia"/>
        </w:rPr>
        <w:t>萬元、畜牧業年銷售額</w:t>
      </w:r>
      <w:r w:rsidRPr="00BB72CE">
        <w:t>150</w:t>
      </w:r>
      <w:r w:rsidRPr="00BB72CE">
        <w:rPr>
          <w:rFonts w:hint="eastAsia"/>
        </w:rPr>
        <w:t>萬元至未滿</w:t>
      </w:r>
      <w:r w:rsidRPr="00BB72CE">
        <w:t>500</w:t>
      </w:r>
      <w:r w:rsidRPr="00BB72CE">
        <w:rPr>
          <w:rFonts w:hint="eastAsia"/>
        </w:rPr>
        <w:t>萬元。</w:t>
      </w:r>
    </w:p>
    <w:p w:rsidR="00354E1F" w:rsidRPr="00BB72CE" w:rsidRDefault="00354E1F" w:rsidP="00354E1F">
      <w:pPr>
        <w:pStyle w:val="5"/>
        <w:numPr>
          <w:ilvl w:val="4"/>
          <w:numId w:val="1"/>
        </w:numPr>
      </w:pPr>
      <w:r w:rsidRPr="00BB72CE">
        <w:rPr>
          <w:rFonts w:hint="eastAsia"/>
        </w:rPr>
        <w:t>小型農家：農耕業年銷售額</w:t>
      </w:r>
      <w:r w:rsidRPr="00BB72CE">
        <w:t>20</w:t>
      </w:r>
      <w:r w:rsidRPr="00BB72CE">
        <w:rPr>
          <w:rFonts w:hint="eastAsia"/>
        </w:rPr>
        <w:t>萬元至未滿</w:t>
      </w:r>
      <w:r w:rsidRPr="00BB72CE">
        <w:t>70</w:t>
      </w:r>
      <w:r w:rsidRPr="00BB72CE">
        <w:rPr>
          <w:rFonts w:hint="eastAsia"/>
        </w:rPr>
        <w:t>萬元、畜牧業年銷售額</w:t>
      </w:r>
      <w:r w:rsidRPr="00BB72CE">
        <w:t>20</w:t>
      </w:r>
      <w:r w:rsidRPr="00BB72CE">
        <w:rPr>
          <w:rFonts w:hint="eastAsia"/>
        </w:rPr>
        <w:t>萬元至未滿</w:t>
      </w:r>
      <w:r w:rsidRPr="00BB72CE">
        <w:t>150</w:t>
      </w:r>
      <w:r w:rsidRPr="00BB72CE">
        <w:rPr>
          <w:rFonts w:hint="eastAsia"/>
        </w:rPr>
        <w:t>萬元。</w:t>
      </w:r>
    </w:p>
    <w:p w:rsidR="00354E1F" w:rsidRPr="00BB72CE" w:rsidRDefault="00354E1F" w:rsidP="00354E1F">
      <w:pPr>
        <w:pStyle w:val="3"/>
        <w:numPr>
          <w:ilvl w:val="2"/>
          <w:numId w:val="1"/>
        </w:numPr>
        <w:rPr>
          <w:spacing w:val="-4"/>
        </w:rPr>
      </w:pPr>
      <w:bookmarkStart w:id="97" w:name="_Toc499803027"/>
      <w:r w:rsidRPr="00BB72CE">
        <w:rPr>
          <w:rStyle w:val="40"/>
          <w:rFonts w:hint="eastAsia"/>
          <w:spacing w:val="-4"/>
        </w:rPr>
        <w:t>農委會105年提出「</w:t>
      </w:r>
      <w:r w:rsidRPr="00BB72CE">
        <w:rPr>
          <w:rStyle w:val="40"/>
          <w:spacing w:val="-4"/>
        </w:rPr>
        <w:t>新農業創新推動方案」</w:t>
      </w:r>
      <w:r w:rsidRPr="00BB72CE">
        <w:rPr>
          <w:rStyle w:val="40"/>
          <w:rFonts w:hint="eastAsia"/>
          <w:spacing w:val="-4"/>
        </w:rPr>
        <w:t>之重點政策</w:t>
      </w:r>
      <w:r w:rsidRPr="00BB72CE">
        <w:rPr>
          <w:rStyle w:val="40"/>
          <w:spacing w:val="-4"/>
        </w:rPr>
        <w:t>，</w:t>
      </w:r>
      <w:r w:rsidRPr="00BB72CE">
        <w:rPr>
          <w:rStyle w:val="40"/>
          <w:rFonts w:hint="eastAsia"/>
          <w:spacing w:val="-4"/>
        </w:rPr>
        <w:t>包括</w:t>
      </w:r>
      <w:r w:rsidRPr="00BB72CE">
        <w:rPr>
          <w:rStyle w:val="40"/>
          <w:spacing w:val="-4"/>
        </w:rPr>
        <w:t>規劃10年</w:t>
      </w:r>
      <w:r w:rsidRPr="00BB72CE">
        <w:rPr>
          <w:rStyle w:val="40"/>
          <w:rFonts w:hint="eastAsia"/>
          <w:spacing w:val="-4"/>
        </w:rPr>
        <w:t>內系統性培育</w:t>
      </w:r>
      <w:r w:rsidRPr="00BB72CE">
        <w:rPr>
          <w:rStyle w:val="40"/>
          <w:spacing w:val="-4"/>
        </w:rPr>
        <w:t>3萬名</w:t>
      </w:r>
      <w:r w:rsidRPr="00BB72CE">
        <w:rPr>
          <w:rStyle w:val="40"/>
          <w:rFonts w:hint="eastAsia"/>
          <w:spacing w:val="-4"/>
        </w:rPr>
        <w:t>青年農民，並</w:t>
      </w:r>
      <w:r w:rsidRPr="00BB72CE">
        <w:rPr>
          <w:rStyle w:val="40"/>
          <w:spacing w:val="-4"/>
        </w:rPr>
        <w:t>增加專業農</w:t>
      </w:r>
      <w:r w:rsidRPr="00BB72CE">
        <w:rPr>
          <w:rStyle w:val="40"/>
          <w:rFonts w:hint="eastAsia"/>
          <w:spacing w:val="-4"/>
        </w:rPr>
        <w:t>家</w:t>
      </w:r>
      <w:r w:rsidRPr="00BB72CE">
        <w:rPr>
          <w:rStyle w:val="40"/>
          <w:spacing w:val="-4"/>
        </w:rPr>
        <w:t>所得</w:t>
      </w:r>
      <w:r w:rsidRPr="00BB72CE">
        <w:rPr>
          <w:rStyle w:val="40"/>
          <w:rFonts w:hint="eastAsia"/>
          <w:spacing w:val="-4"/>
        </w:rPr>
        <w:t>，</w:t>
      </w:r>
      <w:r w:rsidRPr="00BB72CE">
        <w:rPr>
          <w:rStyle w:val="40"/>
          <w:spacing w:val="-4"/>
        </w:rPr>
        <w:t>預計至109年</w:t>
      </w:r>
      <w:r w:rsidRPr="00BB72CE">
        <w:rPr>
          <w:rStyle w:val="40"/>
          <w:rFonts w:hint="eastAsia"/>
          <w:spacing w:val="-4"/>
        </w:rPr>
        <w:t>專業農家</w:t>
      </w:r>
      <w:r w:rsidRPr="00BB72CE">
        <w:rPr>
          <w:rStyle w:val="40"/>
          <w:spacing w:val="-4"/>
        </w:rPr>
        <w:t>所得達180萬元。</w:t>
      </w:r>
      <w:r w:rsidRPr="00BB72CE">
        <w:rPr>
          <w:rStyle w:val="40"/>
          <w:rFonts w:hint="eastAsia"/>
          <w:spacing w:val="-4"/>
        </w:rPr>
        <w:t>其中，農委會框定之專業農家，係指上開主力</w:t>
      </w:r>
      <w:r w:rsidRPr="00BB72CE">
        <w:rPr>
          <w:rStyle w:val="40"/>
          <w:rFonts w:hint="eastAsia"/>
          <w:spacing w:val="-4"/>
        </w:rPr>
        <w:lastRenderedPageBreak/>
        <w:t>農家中所稱中、大型農家，即年平均銷售收入可達70萬元以上之農耕戶，以及可達150萬元以上之畜牧農戶，此類農家</w:t>
      </w:r>
      <w:r w:rsidRPr="00BB72CE">
        <w:rPr>
          <w:rStyle w:val="40"/>
          <w:spacing w:val="-4"/>
        </w:rPr>
        <w:t>係符合主力農家定義之農牧戶中，</w:t>
      </w:r>
      <w:r w:rsidRPr="00BB72CE">
        <w:rPr>
          <w:rStyle w:val="40"/>
          <w:rFonts w:hint="eastAsia"/>
          <w:spacing w:val="-4"/>
        </w:rPr>
        <w:t>具戶內</w:t>
      </w:r>
      <w:r w:rsidRPr="00BB72CE">
        <w:rPr>
          <w:rFonts w:hint="eastAsia"/>
          <w:spacing w:val="-4"/>
        </w:rPr>
        <w:t>從農人數多、農業所得占比較高等特質，多數係以農業為主業或具備農委會輔導推展為專業農戶潛質之農牧戶。</w:t>
      </w:r>
      <w:r w:rsidRPr="00BB72CE">
        <w:rPr>
          <w:rFonts w:hint="eastAsia"/>
          <w:spacing w:val="-4"/>
          <w:lang w:eastAsia="zh-HK"/>
        </w:rPr>
        <w:t>農委會</w:t>
      </w:r>
      <w:r w:rsidRPr="00BB72CE">
        <w:rPr>
          <w:spacing w:val="-4"/>
        </w:rPr>
        <w:t>依</w:t>
      </w:r>
      <w:r w:rsidRPr="00BB72CE">
        <w:rPr>
          <w:rFonts w:hint="eastAsia"/>
          <w:spacing w:val="-4"/>
          <w:lang w:eastAsia="zh-HK"/>
        </w:rPr>
        <w:t>照</w:t>
      </w:r>
      <w:r w:rsidRPr="00BB72CE">
        <w:rPr>
          <w:spacing w:val="-4"/>
        </w:rPr>
        <w:t>99年農業普查資料推估，主力農家戶數約21萬戶</w:t>
      </w:r>
      <w:r w:rsidRPr="00BB72CE">
        <w:rPr>
          <w:spacing w:val="-4"/>
          <w:vertAlign w:val="superscript"/>
        </w:rPr>
        <w:footnoteReference w:id="13"/>
      </w:r>
      <w:r w:rsidRPr="00BB72CE">
        <w:rPr>
          <w:spacing w:val="-4"/>
        </w:rPr>
        <w:t>，</w:t>
      </w:r>
      <w:r w:rsidRPr="00BB72CE">
        <w:rPr>
          <w:rFonts w:hint="eastAsia"/>
          <w:spacing w:val="-4"/>
        </w:rPr>
        <w:t>專業農家</w:t>
      </w:r>
      <w:r w:rsidRPr="00BB72CE">
        <w:rPr>
          <w:spacing w:val="-4"/>
        </w:rPr>
        <w:t>約8萬戶。</w:t>
      </w:r>
      <w:bookmarkEnd w:id="97"/>
    </w:p>
    <w:p w:rsidR="00354E1F" w:rsidRPr="00BB72CE" w:rsidRDefault="00354E1F" w:rsidP="00354E1F">
      <w:pPr>
        <w:pStyle w:val="3"/>
        <w:numPr>
          <w:ilvl w:val="2"/>
          <w:numId w:val="1"/>
        </w:numPr>
        <w:ind w:left="1360" w:hanging="680"/>
        <w:rPr>
          <w:rStyle w:val="40"/>
          <w:spacing w:val="-4"/>
        </w:rPr>
      </w:pPr>
      <w:bookmarkStart w:id="98" w:name="_Toc499803028"/>
      <w:r w:rsidRPr="00BB72CE">
        <w:rPr>
          <w:rFonts w:hint="eastAsia"/>
          <w:spacing w:val="-4"/>
        </w:rPr>
        <w:t>次查，</w:t>
      </w:r>
      <w:r w:rsidRPr="00BB72CE">
        <w:rPr>
          <w:rStyle w:val="40"/>
          <w:rFonts w:hint="eastAsia"/>
          <w:spacing w:val="-4"/>
        </w:rPr>
        <w:t>專業</w:t>
      </w:r>
      <w:r w:rsidRPr="00BB72CE">
        <w:rPr>
          <w:rFonts w:hint="eastAsia"/>
          <w:spacing w:val="-4"/>
        </w:rPr>
        <w:t>農家所得包括農業及相關收入（含自家初級農產品銷售、農產品加工、農村民宿、</w:t>
      </w:r>
      <w:r w:rsidRPr="00BB72CE">
        <w:rPr>
          <w:rStyle w:val="40"/>
          <w:rFonts w:hint="eastAsia"/>
          <w:spacing w:val="-4"/>
        </w:rPr>
        <w:t>餐</w:t>
      </w:r>
      <w:r w:rsidRPr="00BB72CE">
        <w:rPr>
          <w:rFonts w:hint="eastAsia"/>
          <w:spacing w:val="-4"/>
        </w:rPr>
        <w:t>飲及商品販售自產農產品等扣除成本後之淨收入）、受僱人員報酬、非農業之產業主所得、財產所得、自用住宅設算租金收入、經常移轉收入及雜項收入等。根據農委會106</w:t>
      </w:r>
      <w:r w:rsidRPr="00BB72CE">
        <w:rPr>
          <w:rStyle w:val="20"/>
          <w:rFonts w:hint="eastAsia"/>
          <w:spacing w:val="-4"/>
        </w:rPr>
        <w:t>年8月31日提出</w:t>
      </w:r>
      <w:r w:rsidRPr="00BB72CE">
        <w:rPr>
          <w:rStyle w:val="20"/>
          <w:spacing w:val="-4"/>
        </w:rPr>
        <w:t>105年主力農家所得調查結果</w:t>
      </w:r>
      <w:r w:rsidRPr="00BB72CE">
        <w:rPr>
          <w:rStyle w:val="20"/>
          <w:rFonts w:hint="eastAsia"/>
          <w:spacing w:val="-4"/>
        </w:rPr>
        <w:t>所示，104至105年大型</w:t>
      </w:r>
      <w:r w:rsidRPr="00BB72CE">
        <w:rPr>
          <w:rStyle w:val="20"/>
          <w:spacing w:val="-4"/>
        </w:rPr>
        <w:t>農家每戶所得總額</w:t>
      </w:r>
      <w:r w:rsidRPr="00BB72CE">
        <w:rPr>
          <w:rStyle w:val="20"/>
          <w:rFonts w:hint="eastAsia"/>
          <w:spacing w:val="-4"/>
        </w:rPr>
        <w:t>皆已</w:t>
      </w:r>
      <w:r w:rsidRPr="00BB72CE">
        <w:rPr>
          <w:rStyle w:val="40"/>
          <w:spacing w:val="-4"/>
        </w:rPr>
        <w:t>達180萬元</w:t>
      </w:r>
      <w:r w:rsidRPr="00BB72CE">
        <w:rPr>
          <w:rStyle w:val="40"/>
          <w:rFonts w:hint="eastAsia"/>
          <w:spacing w:val="-4"/>
        </w:rPr>
        <w:t>，如下所述，可見農委會設定包括大型農家在內</w:t>
      </w:r>
      <w:r w:rsidRPr="00BB72CE">
        <w:rPr>
          <w:rStyle w:val="40"/>
          <w:spacing w:val="-4"/>
        </w:rPr>
        <w:t>109年</w:t>
      </w:r>
      <w:r w:rsidRPr="00BB72CE">
        <w:rPr>
          <w:rStyle w:val="40"/>
          <w:rFonts w:hint="eastAsia"/>
          <w:spacing w:val="-4"/>
        </w:rPr>
        <w:t>農家</w:t>
      </w:r>
      <w:r w:rsidRPr="00BB72CE">
        <w:rPr>
          <w:rStyle w:val="40"/>
          <w:spacing w:val="-4"/>
        </w:rPr>
        <w:t>所得達180萬元</w:t>
      </w:r>
      <w:r w:rsidRPr="00BB72CE">
        <w:rPr>
          <w:rStyle w:val="40"/>
          <w:rFonts w:hint="eastAsia"/>
          <w:spacing w:val="-4"/>
        </w:rPr>
        <w:t>之政策目標，未盡周詳。</w:t>
      </w:r>
      <w:bookmarkEnd w:id="98"/>
    </w:p>
    <w:p w:rsidR="00354E1F" w:rsidRPr="00BB72CE" w:rsidRDefault="00354E1F" w:rsidP="00354E1F">
      <w:pPr>
        <w:pStyle w:val="4"/>
        <w:numPr>
          <w:ilvl w:val="3"/>
          <w:numId w:val="1"/>
        </w:numPr>
      </w:pPr>
      <w:bookmarkStart w:id="99" w:name="_Toc499803029"/>
      <w:r w:rsidRPr="00BB72CE">
        <w:rPr>
          <w:rStyle w:val="20"/>
          <w:rFonts w:hint="eastAsia"/>
        </w:rPr>
        <w:t>104</w:t>
      </w:r>
      <w:r w:rsidRPr="00BB72CE">
        <w:rPr>
          <w:rStyle w:val="20"/>
        </w:rPr>
        <w:t>年</w:t>
      </w:r>
      <w:bookmarkEnd w:id="99"/>
      <w:r w:rsidRPr="00BB72CE">
        <w:rPr>
          <w:rStyle w:val="40"/>
          <w:rFonts w:hint="eastAsia"/>
        </w:rPr>
        <w:t>專業農家所得</w:t>
      </w:r>
    </w:p>
    <w:p w:rsidR="00354E1F" w:rsidRPr="00BB72CE" w:rsidRDefault="00354E1F" w:rsidP="00354E1F">
      <w:pPr>
        <w:pStyle w:val="5"/>
        <w:numPr>
          <w:ilvl w:val="4"/>
          <w:numId w:val="1"/>
        </w:numPr>
      </w:pPr>
      <w:bookmarkStart w:id="100" w:name="_Toc499803030"/>
      <w:r w:rsidRPr="00BB72CE">
        <w:rPr>
          <w:rStyle w:val="20"/>
          <w:rFonts w:hint="eastAsia"/>
        </w:rPr>
        <w:t>大型</w:t>
      </w:r>
      <w:r w:rsidRPr="00BB72CE">
        <w:rPr>
          <w:rStyle w:val="20"/>
        </w:rPr>
        <w:t>農家每戶所得總額</w:t>
      </w:r>
      <w:r w:rsidRPr="00BB72CE">
        <w:rPr>
          <w:rStyle w:val="20"/>
          <w:rFonts w:hint="eastAsia"/>
        </w:rPr>
        <w:t>217</w:t>
      </w:r>
      <w:r w:rsidRPr="00BB72CE">
        <w:rPr>
          <w:rStyle w:val="20"/>
        </w:rPr>
        <w:t>.</w:t>
      </w:r>
      <w:r w:rsidRPr="00BB72CE">
        <w:rPr>
          <w:rStyle w:val="20"/>
          <w:rFonts w:hint="eastAsia"/>
        </w:rPr>
        <w:t>8</w:t>
      </w:r>
      <w:r w:rsidRPr="00BB72CE">
        <w:rPr>
          <w:rStyle w:val="20"/>
        </w:rPr>
        <w:t>萬元，其中戶內所得</w:t>
      </w:r>
      <w:bookmarkEnd w:id="100"/>
      <w:r w:rsidRPr="00BB72CE">
        <w:t>來自農業所得</w:t>
      </w:r>
      <w:r w:rsidRPr="00BB72CE">
        <w:rPr>
          <w:rFonts w:hint="eastAsia"/>
        </w:rPr>
        <w:t>146.4</w:t>
      </w:r>
      <w:r w:rsidRPr="00BB72CE">
        <w:t>萬元</w:t>
      </w:r>
      <w:r w:rsidRPr="00BB72CE">
        <w:rPr>
          <w:rFonts w:hint="eastAsia"/>
        </w:rPr>
        <w:t>（</w:t>
      </w:r>
      <w:r w:rsidRPr="00BB72CE">
        <w:t>占</w:t>
      </w:r>
      <w:r w:rsidRPr="00BB72CE">
        <w:rPr>
          <w:rFonts w:hint="eastAsia"/>
        </w:rPr>
        <w:t>67.2</w:t>
      </w:r>
      <w:r w:rsidRPr="00BB72CE">
        <w:t>%</w:t>
      </w:r>
      <w:r w:rsidRPr="00BB72CE">
        <w:rPr>
          <w:rFonts w:hint="eastAsia"/>
        </w:rPr>
        <w:t>）</w:t>
      </w:r>
      <w:r w:rsidRPr="00BB72CE">
        <w:t>、</w:t>
      </w:r>
      <w:r w:rsidRPr="00BB72CE">
        <w:rPr>
          <w:rFonts w:hint="eastAsia"/>
        </w:rPr>
        <w:t>受僱人員報酬及從政府移轉收入等非農業所得71.3萬（</w:t>
      </w:r>
      <w:r w:rsidRPr="00BB72CE">
        <w:t>占</w:t>
      </w:r>
      <w:r w:rsidRPr="00BB72CE">
        <w:rPr>
          <w:rFonts w:hint="eastAsia"/>
        </w:rPr>
        <w:t>32.8</w:t>
      </w:r>
      <w:r w:rsidRPr="00BB72CE">
        <w:t>%</w:t>
      </w:r>
      <w:r w:rsidRPr="00BB72CE">
        <w:rPr>
          <w:rFonts w:hint="eastAsia"/>
        </w:rPr>
        <w:t>）；平均每戶就業人數2.9人/戶、從農人數2.3人/戶、從農平均年齡54.1歲。</w:t>
      </w:r>
    </w:p>
    <w:p w:rsidR="00354E1F" w:rsidRPr="00BB72CE" w:rsidRDefault="00354E1F" w:rsidP="00354E1F">
      <w:pPr>
        <w:pStyle w:val="5"/>
        <w:numPr>
          <w:ilvl w:val="4"/>
          <w:numId w:val="1"/>
        </w:numPr>
        <w:rPr>
          <w:rStyle w:val="20"/>
          <w:spacing w:val="-4"/>
          <w:szCs w:val="36"/>
        </w:rPr>
      </w:pPr>
      <w:r w:rsidRPr="00BB72CE">
        <w:rPr>
          <w:rFonts w:hint="eastAsia"/>
          <w:spacing w:val="-4"/>
        </w:rPr>
        <w:t>中型</w:t>
      </w:r>
      <w:r w:rsidRPr="00BB72CE">
        <w:rPr>
          <w:spacing w:val="-4"/>
        </w:rPr>
        <w:t>農家</w:t>
      </w:r>
      <w:r w:rsidRPr="00BB72CE">
        <w:rPr>
          <w:rStyle w:val="20"/>
          <w:spacing w:val="-4"/>
        </w:rPr>
        <w:t>每戶所得總額</w:t>
      </w:r>
      <w:r w:rsidRPr="00BB72CE">
        <w:rPr>
          <w:rStyle w:val="20"/>
          <w:rFonts w:hint="eastAsia"/>
          <w:spacing w:val="-4"/>
        </w:rPr>
        <w:t>131.1</w:t>
      </w:r>
      <w:r w:rsidRPr="00BB72CE">
        <w:rPr>
          <w:rStyle w:val="20"/>
          <w:spacing w:val="-4"/>
        </w:rPr>
        <w:t>萬元，其中戶內所得來自農業所得</w:t>
      </w:r>
      <w:r w:rsidRPr="00BB72CE">
        <w:rPr>
          <w:rStyle w:val="20"/>
          <w:rFonts w:hint="eastAsia"/>
          <w:spacing w:val="-4"/>
        </w:rPr>
        <w:t>60.1</w:t>
      </w:r>
      <w:r w:rsidRPr="00BB72CE">
        <w:rPr>
          <w:rStyle w:val="20"/>
          <w:spacing w:val="-4"/>
        </w:rPr>
        <w:t>萬元</w:t>
      </w:r>
      <w:r w:rsidRPr="00BB72CE">
        <w:rPr>
          <w:rStyle w:val="20"/>
          <w:rFonts w:hint="eastAsia"/>
          <w:spacing w:val="-4"/>
        </w:rPr>
        <w:t>（</w:t>
      </w:r>
      <w:r w:rsidRPr="00BB72CE">
        <w:rPr>
          <w:rStyle w:val="20"/>
          <w:spacing w:val="-4"/>
        </w:rPr>
        <w:t>占</w:t>
      </w:r>
      <w:r w:rsidRPr="00BB72CE">
        <w:rPr>
          <w:rStyle w:val="20"/>
          <w:rFonts w:hint="eastAsia"/>
          <w:spacing w:val="-4"/>
        </w:rPr>
        <w:t>45.8</w:t>
      </w:r>
      <w:r w:rsidRPr="00BB72CE">
        <w:rPr>
          <w:rStyle w:val="20"/>
          <w:spacing w:val="-4"/>
        </w:rPr>
        <w:t>%</w:t>
      </w:r>
      <w:r w:rsidRPr="00BB72CE">
        <w:rPr>
          <w:rStyle w:val="20"/>
          <w:rFonts w:hint="eastAsia"/>
          <w:spacing w:val="-4"/>
        </w:rPr>
        <w:t>）</w:t>
      </w:r>
      <w:r w:rsidRPr="00BB72CE">
        <w:rPr>
          <w:rStyle w:val="20"/>
          <w:spacing w:val="-4"/>
        </w:rPr>
        <w:t>、</w:t>
      </w:r>
      <w:r w:rsidRPr="00BB72CE">
        <w:rPr>
          <w:rStyle w:val="20"/>
          <w:rFonts w:hint="eastAsia"/>
          <w:spacing w:val="-4"/>
        </w:rPr>
        <w:t>非農業所得71萬</w:t>
      </w:r>
      <w:r w:rsidRPr="00BB72CE">
        <w:rPr>
          <w:rFonts w:hint="eastAsia"/>
          <w:spacing w:val="-4"/>
        </w:rPr>
        <w:t>（</w:t>
      </w:r>
      <w:r w:rsidRPr="00BB72CE">
        <w:rPr>
          <w:spacing w:val="-4"/>
        </w:rPr>
        <w:t>占</w:t>
      </w:r>
      <w:r w:rsidRPr="00BB72CE">
        <w:rPr>
          <w:rFonts w:hint="eastAsia"/>
          <w:spacing w:val="-4"/>
        </w:rPr>
        <w:t>54.2</w:t>
      </w:r>
      <w:r w:rsidRPr="00BB72CE">
        <w:rPr>
          <w:spacing w:val="-4"/>
        </w:rPr>
        <w:t>%</w:t>
      </w:r>
      <w:r w:rsidRPr="00BB72CE">
        <w:rPr>
          <w:rFonts w:hint="eastAsia"/>
          <w:spacing w:val="-4"/>
        </w:rPr>
        <w:t>）；平均每戶就業人口2.8人/戶、從農人數2.1人/戶、從農平均年齡56歲。</w:t>
      </w:r>
    </w:p>
    <w:p w:rsidR="00354E1F" w:rsidRPr="00BB72CE" w:rsidRDefault="00354E1F" w:rsidP="00354E1F">
      <w:pPr>
        <w:pStyle w:val="4"/>
        <w:numPr>
          <w:ilvl w:val="3"/>
          <w:numId w:val="1"/>
        </w:numPr>
      </w:pPr>
      <w:bookmarkStart w:id="101" w:name="_Toc499803031"/>
      <w:r w:rsidRPr="00BB72CE">
        <w:rPr>
          <w:rStyle w:val="20"/>
          <w:rFonts w:hint="eastAsia"/>
        </w:rPr>
        <w:t>105</w:t>
      </w:r>
      <w:r w:rsidRPr="00BB72CE">
        <w:rPr>
          <w:rStyle w:val="20"/>
        </w:rPr>
        <w:t>年</w:t>
      </w:r>
      <w:bookmarkEnd w:id="101"/>
      <w:r w:rsidRPr="00BB72CE">
        <w:rPr>
          <w:rStyle w:val="40"/>
          <w:rFonts w:hint="eastAsia"/>
        </w:rPr>
        <w:t>專業農家所得</w:t>
      </w:r>
    </w:p>
    <w:p w:rsidR="00354E1F" w:rsidRPr="00BB72CE" w:rsidRDefault="00354E1F" w:rsidP="00354E1F">
      <w:pPr>
        <w:pStyle w:val="5"/>
        <w:numPr>
          <w:ilvl w:val="4"/>
          <w:numId w:val="1"/>
        </w:numPr>
        <w:rPr>
          <w:rStyle w:val="20"/>
          <w:szCs w:val="36"/>
        </w:rPr>
      </w:pPr>
      <w:bookmarkStart w:id="102" w:name="_Toc499803032"/>
      <w:r w:rsidRPr="00BB72CE">
        <w:rPr>
          <w:rStyle w:val="20"/>
          <w:rFonts w:hint="eastAsia"/>
        </w:rPr>
        <w:lastRenderedPageBreak/>
        <w:t>大型</w:t>
      </w:r>
      <w:r w:rsidRPr="00BB72CE">
        <w:rPr>
          <w:rStyle w:val="20"/>
        </w:rPr>
        <w:t>農家</w:t>
      </w:r>
      <w:bookmarkEnd w:id="102"/>
      <w:r w:rsidRPr="00BB72CE">
        <w:t>每戶所得總額</w:t>
      </w:r>
      <w:r w:rsidRPr="00BB72CE">
        <w:rPr>
          <w:rFonts w:hint="eastAsia"/>
        </w:rPr>
        <w:t>208</w:t>
      </w:r>
      <w:r w:rsidRPr="00BB72CE">
        <w:t>.</w:t>
      </w:r>
      <w:r w:rsidRPr="00BB72CE">
        <w:rPr>
          <w:rFonts w:hint="eastAsia"/>
        </w:rPr>
        <w:t>1</w:t>
      </w:r>
      <w:r w:rsidRPr="00BB72CE">
        <w:t>萬元，較10</w:t>
      </w:r>
      <w:r w:rsidRPr="00BB72CE">
        <w:rPr>
          <w:rFonts w:hint="eastAsia"/>
        </w:rPr>
        <w:t>4</w:t>
      </w:r>
      <w:r w:rsidRPr="00BB72CE">
        <w:t>年</w:t>
      </w:r>
      <w:r w:rsidRPr="00BB72CE">
        <w:rPr>
          <w:rFonts w:hint="eastAsia"/>
        </w:rPr>
        <w:t>減少9</w:t>
      </w:r>
      <w:r w:rsidRPr="00BB72CE">
        <w:t>.</w:t>
      </w:r>
      <w:r w:rsidRPr="00BB72CE">
        <w:rPr>
          <w:rFonts w:hint="eastAsia"/>
        </w:rPr>
        <w:t>6</w:t>
      </w:r>
      <w:r w:rsidRPr="00BB72CE">
        <w:t>萬元</w:t>
      </w:r>
      <w:r w:rsidRPr="00BB72CE">
        <w:rPr>
          <w:rFonts w:hint="eastAsia"/>
        </w:rPr>
        <w:t>（降幅4.4</w:t>
      </w:r>
      <w:r w:rsidRPr="00BB72CE">
        <w:t>%</w:t>
      </w:r>
      <w:r w:rsidRPr="00BB72CE">
        <w:rPr>
          <w:rFonts w:hint="eastAsia"/>
        </w:rPr>
        <w:t>）</w:t>
      </w:r>
      <w:r w:rsidRPr="00BB72CE">
        <w:t>，</w:t>
      </w:r>
      <w:r w:rsidRPr="00BB72CE">
        <w:rPr>
          <w:rFonts w:hint="eastAsia"/>
        </w:rPr>
        <w:t>主因係105年超強寒流及連續風災之</w:t>
      </w:r>
      <w:r w:rsidRPr="00BB72CE">
        <w:t>災後農耕業復耕成本增加</w:t>
      </w:r>
      <w:r w:rsidRPr="00BB72CE">
        <w:rPr>
          <w:rFonts w:hint="eastAsia"/>
        </w:rPr>
        <w:t>，以</w:t>
      </w:r>
      <w:r w:rsidRPr="00BB72CE">
        <w:t>及畜牧業</w:t>
      </w:r>
      <w:r w:rsidRPr="00BB72CE">
        <w:rPr>
          <w:rFonts w:hint="eastAsia"/>
        </w:rPr>
        <w:t>之</w:t>
      </w:r>
      <w:r w:rsidRPr="00BB72CE">
        <w:t>雞、鴨、羊等價格下跌</w:t>
      </w:r>
      <w:r w:rsidRPr="00BB72CE">
        <w:rPr>
          <w:rFonts w:hint="eastAsia"/>
        </w:rPr>
        <w:t>所致，</w:t>
      </w:r>
      <w:r w:rsidRPr="00BB72CE">
        <w:t>其中戶內所得來自農業所得</w:t>
      </w:r>
      <w:r w:rsidRPr="00BB72CE">
        <w:rPr>
          <w:rFonts w:hint="eastAsia"/>
        </w:rPr>
        <w:t>136.9</w:t>
      </w:r>
      <w:r w:rsidRPr="00BB72CE">
        <w:t>萬元</w:t>
      </w:r>
      <w:r w:rsidRPr="00BB72CE">
        <w:rPr>
          <w:rFonts w:hint="eastAsia"/>
        </w:rPr>
        <w:t>（</w:t>
      </w:r>
      <w:r w:rsidRPr="00BB72CE">
        <w:t>占</w:t>
      </w:r>
      <w:r w:rsidRPr="00BB72CE">
        <w:rPr>
          <w:rFonts w:hint="eastAsia"/>
        </w:rPr>
        <w:t>65.8</w:t>
      </w:r>
      <w:r w:rsidRPr="00BB72CE">
        <w:t>%</w:t>
      </w:r>
      <w:r w:rsidRPr="00BB72CE">
        <w:rPr>
          <w:rFonts w:hint="eastAsia"/>
        </w:rPr>
        <w:t>）</w:t>
      </w:r>
      <w:r w:rsidRPr="00BB72CE">
        <w:t>、</w:t>
      </w:r>
      <w:r w:rsidRPr="00BB72CE">
        <w:rPr>
          <w:rFonts w:hint="eastAsia"/>
        </w:rPr>
        <w:t>非農業所得71.2萬（</w:t>
      </w:r>
      <w:r w:rsidRPr="00BB72CE">
        <w:t>占</w:t>
      </w:r>
      <w:r w:rsidRPr="00BB72CE">
        <w:rPr>
          <w:rFonts w:hint="eastAsia"/>
        </w:rPr>
        <w:t>34.2</w:t>
      </w:r>
      <w:r w:rsidRPr="00BB72CE">
        <w:t>%</w:t>
      </w:r>
      <w:r w:rsidRPr="00BB72CE">
        <w:rPr>
          <w:rFonts w:hint="eastAsia"/>
        </w:rPr>
        <w:t>）。</w:t>
      </w:r>
    </w:p>
    <w:p w:rsidR="00354E1F" w:rsidRPr="00BB72CE" w:rsidRDefault="00354E1F" w:rsidP="00354E1F">
      <w:pPr>
        <w:pStyle w:val="5"/>
        <w:numPr>
          <w:ilvl w:val="4"/>
          <w:numId w:val="1"/>
        </w:numPr>
        <w:rPr>
          <w:rStyle w:val="20"/>
          <w:spacing w:val="-6"/>
          <w:szCs w:val="36"/>
        </w:rPr>
      </w:pPr>
      <w:bookmarkStart w:id="103" w:name="_Toc499803033"/>
      <w:r w:rsidRPr="00BB72CE">
        <w:rPr>
          <w:rStyle w:val="20"/>
          <w:rFonts w:hint="eastAsia"/>
          <w:spacing w:val="-6"/>
        </w:rPr>
        <w:t>中型</w:t>
      </w:r>
      <w:r w:rsidRPr="00BB72CE">
        <w:rPr>
          <w:rStyle w:val="20"/>
          <w:spacing w:val="-6"/>
        </w:rPr>
        <w:t>農家每戶所得總額</w:t>
      </w:r>
      <w:r w:rsidRPr="00BB72CE">
        <w:rPr>
          <w:rStyle w:val="20"/>
          <w:rFonts w:hint="eastAsia"/>
          <w:spacing w:val="-6"/>
        </w:rPr>
        <w:t>138.6</w:t>
      </w:r>
      <w:r w:rsidRPr="00BB72CE">
        <w:rPr>
          <w:rStyle w:val="20"/>
          <w:spacing w:val="-6"/>
        </w:rPr>
        <w:t>萬元，較10</w:t>
      </w:r>
      <w:r w:rsidRPr="00BB72CE">
        <w:rPr>
          <w:rStyle w:val="20"/>
          <w:rFonts w:hint="eastAsia"/>
          <w:spacing w:val="-6"/>
        </w:rPr>
        <w:t>4</w:t>
      </w:r>
      <w:r w:rsidRPr="00BB72CE">
        <w:rPr>
          <w:rStyle w:val="20"/>
          <w:spacing w:val="-6"/>
        </w:rPr>
        <w:t>年</w:t>
      </w:r>
      <w:r w:rsidRPr="00BB72CE">
        <w:rPr>
          <w:rStyle w:val="20"/>
          <w:rFonts w:hint="eastAsia"/>
          <w:spacing w:val="-6"/>
        </w:rPr>
        <w:t>增加7.5</w:t>
      </w:r>
      <w:r w:rsidRPr="00BB72CE">
        <w:rPr>
          <w:rStyle w:val="20"/>
          <w:spacing w:val="-6"/>
        </w:rPr>
        <w:t>萬元</w:t>
      </w:r>
      <w:bookmarkEnd w:id="103"/>
      <w:r w:rsidRPr="00BB72CE">
        <w:rPr>
          <w:rFonts w:hint="eastAsia"/>
          <w:spacing w:val="-6"/>
        </w:rPr>
        <w:t>（增幅5.7</w:t>
      </w:r>
      <w:r w:rsidRPr="00BB72CE">
        <w:rPr>
          <w:spacing w:val="-6"/>
        </w:rPr>
        <w:t>%</w:t>
      </w:r>
      <w:r w:rsidRPr="00BB72CE">
        <w:rPr>
          <w:rFonts w:hint="eastAsia"/>
          <w:spacing w:val="-6"/>
        </w:rPr>
        <w:t>）</w:t>
      </w:r>
      <w:r w:rsidRPr="00BB72CE">
        <w:rPr>
          <w:spacing w:val="-6"/>
        </w:rPr>
        <w:t>，則受僱人員薪資報酬、產業主其他非農業營業淨收入及從政府移轉收入</w:t>
      </w:r>
      <w:r w:rsidRPr="00BB72CE">
        <w:rPr>
          <w:rFonts w:hint="eastAsia"/>
          <w:spacing w:val="-6"/>
        </w:rPr>
        <w:t>等</w:t>
      </w:r>
      <w:r w:rsidRPr="00BB72CE">
        <w:rPr>
          <w:spacing w:val="-6"/>
        </w:rPr>
        <w:t>增加</w:t>
      </w:r>
      <w:r w:rsidRPr="00BB72CE">
        <w:rPr>
          <w:rFonts w:hint="eastAsia"/>
          <w:spacing w:val="-6"/>
        </w:rPr>
        <w:t>等影響</w:t>
      </w:r>
      <w:r w:rsidRPr="00BB72CE">
        <w:rPr>
          <w:spacing w:val="-6"/>
        </w:rPr>
        <w:t>，</w:t>
      </w:r>
      <w:r w:rsidRPr="00BB72CE">
        <w:rPr>
          <w:rStyle w:val="20"/>
          <w:spacing w:val="-6"/>
        </w:rPr>
        <w:t>其中戶內所得來自農業所得</w:t>
      </w:r>
      <w:r w:rsidRPr="00BB72CE">
        <w:rPr>
          <w:rStyle w:val="20"/>
          <w:rFonts w:hint="eastAsia"/>
          <w:spacing w:val="-6"/>
        </w:rPr>
        <w:t>60.1</w:t>
      </w:r>
      <w:r w:rsidRPr="00BB72CE">
        <w:rPr>
          <w:rStyle w:val="20"/>
          <w:spacing w:val="-6"/>
        </w:rPr>
        <w:t>萬元</w:t>
      </w:r>
      <w:r w:rsidRPr="00BB72CE">
        <w:rPr>
          <w:rStyle w:val="20"/>
          <w:rFonts w:hint="eastAsia"/>
          <w:spacing w:val="-6"/>
        </w:rPr>
        <w:t>（</w:t>
      </w:r>
      <w:r w:rsidRPr="00BB72CE">
        <w:rPr>
          <w:rStyle w:val="20"/>
          <w:spacing w:val="-6"/>
        </w:rPr>
        <w:t>占</w:t>
      </w:r>
      <w:r w:rsidRPr="00BB72CE">
        <w:rPr>
          <w:rStyle w:val="20"/>
          <w:rFonts w:hint="eastAsia"/>
          <w:spacing w:val="-6"/>
        </w:rPr>
        <w:t>43.4</w:t>
      </w:r>
      <w:r w:rsidRPr="00BB72CE">
        <w:rPr>
          <w:rStyle w:val="20"/>
          <w:spacing w:val="-6"/>
        </w:rPr>
        <w:t>%</w:t>
      </w:r>
      <w:r w:rsidRPr="00BB72CE">
        <w:rPr>
          <w:rStyle w:val="20"/>
          <w:rFonts w:hint="eastAsia"/>
          <w:spacing w:val="-6"/>
        </w:rPr>
        <w:t>）</w:t>
      </w:r>
      <w:r w:rsidRPr="00BB72CE">
        <w:rPr>
          <w:rStyle w:val="20"/>
          <w:spacing w:val="-6"/>
        </w:rPr>
        <w:t>、</w:t>
      </w:r>
      <w:r w:rsidRPr="00BB72CE">
        <w:rPr>
          <w:rStyle w:val="20"/>
          <w:rFonts w:hint="eastAsia"/>
          <w:spacing w:val="-6"/>
        </w:rPr>
        <w:t>非農業所得78.5萬</w:t>
      </w:r>
      <w:r w:rsidRPr="00BB72CE">
        <w:rPr>
          <w:rFonts w:hint="eastAsia"/>
          <w:spacing w:val="-6"/>
        </w:rPr>
        <w:t>（</w:t>
      </w:r>
      <w:r w:rsidRPr="00BB72CE">
        <w:rPr>
          <w:spacing w:val="-6"/>
        </w:rPr>
        <w:t>占</w:t>
      </w:r>
      <w:r w:rsidRPr="00BB72CE">
        <w:rPr>
          <w:rFonts w:hint="eastAsia"/>
          <w:spacing w:val="-6"/>
        </w:rPr>
        <w:t>56.6</w:t>
      </w:r>
      <w:r w:rsidRPr="00BB72CE">
        <w:rPr>
          <w:spacing w:val="-6"/>
        </w:rPr>
        <w:t>%</w:t>
      </w:r>
      <w:r w:rsidRPr="00BB72CE">
        <w:rPr>
          <w:rFonts w:hint="eastAsia"/>
          <w:spacing w:val="-6"/>
        </w:rPr>
        <w:t>）。</w:t>
      </w:r>
    </w:p>
    <w:p w:rsidR="00354E1F" w:rsidRPr="00BB72CE" w:rsidRDefault="00354E1F" w:rsidP="00354E1F">
      <w:pPr>
        <w:pStyle w:val="3"/>
        <w:numPr>
          <w:ilvl w:val="2"/>
          <w:numId w:val="1"/>
        </w:numPr>
      </w:pPr>
      <w:bookmarkStart w:id="104" w:name="_Toc499803034"/>
      <w:r w:rsidRPr="00BB72CE">
        <w:rPr>
          <w:rStyle w:val="20"/>
          <w:rFonts w:hint="eastAsia"/>
        </w:rPr>
        <w:t>另查，觀察</w:t>
      </w:r>
      <w:r w:rsidRPr="00BB72CE">
        <w:rPr>
          <w:rStyle w:val="20"/>
        </w:rPr>
        <w:t>105年</w:t>
      </w:r>
      <w:r w:rsidRPr="00BB72CE">
        <w:rPr>
          <w:rStyle w:val="20"/>
          <w:rFonts w:hint="eastAsia"/>
        </w:rPr>
        <w:t>主力農家</w:t>
      </w:r>
      <w:r w:rsidRPr="00BB72CE">
        <w:rPr>
          <w:rStyle w:val="20"/>
        </w:rPr>
        <w:t>各產業別所得，以畜牧業因規模經濟效益，平均每戶所得總額較農耕業為高，其中「豬飼育業」達235.6萬元居各產業別之冠，其次為「雞飼育業」每戶所得總額211.1萬元，農耕業中則以涵蓋花卉、菇菌類等「其他農作栽培業」192.0萬</w:t>
      </w:r>
      <w:r w:rsidRPr="00BB72CE">
        <w:rPr>
          <w:rStyle w:val="20"/>
          <w:rFonts w:hint="eastAsia"/>
        </w:rPr>
        <w:t>元</w:t>
      </w:r>
      <w:r w:rsidRPr="00BB72CE">
        <w:rPr>
          <w:rStyle w:val="20"/>
        </w:rPr>
        <w:t>最高</w:t>
      </w:r>
      <w:r w:rsidRPr="00BB72CE">
        <w:rPr>
          <w:rStyle w:val="20"/>
          <w:rFonts w:hint="eastAsia"/>
        </w:rPr>
        <w:t>；又查，</w:t>
      </w:r>
      <w:r w:rsidRPr="00BB72CE">
        <w:rPr>
          <w:rStyle w:val="20"/>
        </w:rPr>
        <w:t>農耕業中「</w:t>
      </w:r>
      <w:r w:rsidRPr="00BB72CE">
        <w:rPr>
          <w:rStyle w:val="20"/>
          <w:rFonts w:hint="eastAsia"/>
        </w:rPr>
        <w:t>稻作業</w:t>
      </w:r>
      <w:r w:rsidRPr="00BB72CE">
        <w:rPr>
          <w:rStyle w:val="20"/>
        </w:rPr>
        <w:t>」</w:t>
      </w:r>
      <w:r w:rsidRPr="00BB72CE">
        <w:rPr>
          <w:rStyle w:val="20"/>
          <w:rFonts w:hint="eastAsia"/>
        </w:rPr>
        <w:t>、</w:t>
      </w:r>
      <w:r w:rsidRPr="00BB72CE">
        <w:rPr>
          <w:rStyle w:val="20"/>
        </w:rPr>
        <w:t>「果樹栽培業」</w:t>
      </w:r>
      <w:r w:rsidRPr="00BB72CE">
        <w:rPr>
          <w:rStyle w:val="20"/>
          <w:rFonts w:hint="eastAsia"/>
        </w:rPr>
        <w:t>及</w:t>
      </w:r>
      <w:r w:rsidRPr="00BB72CE">
        <w:rPr>
          <w:rStyle w:val="20"/>
        </w:rPr>
        <w:t>「雜糧及特作栽培業」</w:t>
      </w:r>
      <w:r w:rsidRPr="00BB72CE">
        <w:rPr>
          <w:rStyle w:val="20"/>
          <w:rFonts w:hint="eastAsia"/>
        </w:rPr>
        <w:t>之</w:t>
      </w:r>
      <w:r w:rsidRPr="00BB72CE">
        <w:rPr>
          <w:rStyle w:val="20"/>
        </w:rPr>
        <w:t>平均每戶所得總額</w:t>
      </w:r>
      <w:r w:rsidRPr="00BB72CE">
        <w:rPr>
          <w:rStyle w:val="40"/>
          <w:rFonts w:hint="eastAsia"/>
          <w:bCs w:val="0"/>
        </w:rPr>
        <w:t>為</w:t>
      </w:r>
      <w:r w:rsidRPr="00BB72CE">
        <w:rPr>
          <w:rStyle w:val="20"/>
          <w:rFonts w:hint="eastAsia"/>
        </w:rPr>
        <w:t>115.2、115.5及117.3萬元，其中</w:t>
      </w:r>
      <w:r w:rsidRPr="00BB72CE">
        <w:rPr>
          <w:rStyle w:val="20"/>
        </w:rPr>
        <w:t>戶內所得來自農業所得</w:t>
      </w:r>
      <w:r w:rsidRPr="00BB72CE">
        <w:rPr>
          <w:rStyle w:val="20"/>
          <w:rFonts w:hint="eastAsia"/>
        </w:rPr>
        <w:t>分別為27.9、29.8及41.2</w:t>
      </w:r>
      <w:r w:rsidRPr="00BB72CE">
        <w:rPr>
          <w:rStyle w:val="20"/>
        </w:rPr>
        <w:t>萬元</w:t>
      </w:r>
      <w:r w:rsidRPr="00BB72CE">
        <w:rPr>
          <w:rStyle w:val="20"/>
          <w:rFonts w:hint="eastAsia"/>
        </w:rPr>
        <w:t>（</w:t>
      </w:r>
      <w:r w:rsidRPr="00BB72CE">
        <w:rPr>
          <w:rStyle w:val="40"/>
          <w:bCs w:val="0"/>
        </w:rPr>
        <w:t>占</w:t>
      </w:r>
      <w:r w:rsidRPr="00BB72CE">
        <w:rPr>
          <w:rStyle w:val="40"/>
          <w:rFonts w:hint="eastAsia"/>
          <w:bCs w:val="0"/>
        </w:rPr>
        <w:t>24.2</w:t>
      </w:r>
      <w:r w:rsidRPr="00BB72CE">
        <w:rPr>
          <w:rStyle w:val="40"/>
          <w:bCs w:val="0"/>
        </w:rPr>
        <w:t>%</w:t>
      </w:r>
      <w:r w:rsidRPr="00BB72CE">
        <w:rPr>
          <w:rStyle w:val="40"/>
          <w:rFonts w:hint="eastAsia"/>
          <w:bCs w:val="0"/>
        </w:rPr>
        <w:t>、25.5</w:t>
      </w:r>
      <w:r w:rsidRPr="00BB72CE">
        <w:rPr>
          <w:rStyle w:val="40"/>
          <w:bCs w:val="0"/>
        </w:rPr>
        <w:t>%</w:t>
      </w:r>
      <w:r w:rsidRPr="00BB72CE">
        <w:rPr>
          <w:rStyle w:val="40"/>
          <w:rFonts w:hint="eastAsia"/>
          <w:bCs w:val="0"/>
        </w:rPr>
        <w:t>及35.7</w:t>
      </w:r>
      <w:r w:rsidRPr="00BB72CE">
        <w:rPr>
          <w:rStyle w:val="40"/>
          <w:bCs w:val="0"/>
        </w:rPr>
        <w:t>%</w:t>
      </w:r>
      <w:r w:rsidRPr="00BB72CE">
        <w:rPr>
          <w:rStyle w:val="20"/>
          <w:rFonts w:hint="eastAsia"/>
        </w:rPr>
        <w:t>），顯示不少</w:t>
      </w:r>
      <w:r w:rsidRPr="00BB72CE">
        <w:rPr>
          <w:rStyle w:val="20"/>
        </w:rPr>
        <w:t>「</w:t>
      </w:r>
      <w:r w:rsidRPr="00BB72CE">
        <w:rPr>
          <w:rStyle w:val="20"/>
          <w:rFonts w:hint="eastAsia"/>
        </w:rPr>
        <w:t>稻作業</w:t>
      </w:r>
      <w:r w:rsidRPr="00BB72CE">
        <w:rPr>
          <w:rStyle w:val="20"/>
        </w:rPr>
        <w:t>」</w:t>
      </w:r>
      <w:r w:rsidRPr="00BB72CE">
        <w:rPr>
          <w:rStyle w:val="20"/>
          <w:rFonts w:hint="eastAsia"/>
        </w:rPr>
        <w:t>、</w:t>
      </w:r>
      <w:r w:rsidRPr="00BB72CE">
        <w:rPr>
          <w:rStyle w:val="20"/>
        </w:rPr>
        <w:t>「果樹栽培業</w:t>
      </w:r>
      <w:r w:rsidRPr="00BB72CE">
        <w:t>」</w:t>
      </w:r>
      <w:r w:rsidRPr="00BB72CE">
        <w:rPr>
          <w:rFonts w:hint="eastAsia"/>
        </w:rPr>
        <w:t>及</w:t>
      </w:r>
      <w:r w:rsidRPr="00BB72CE">
        <w:t>「雜糧及特作栽培業」</w:t>
      </w:r>
      <w:r w:rsidRPr="00BB72CE">
        <w:rPr>
          <w:rFonts w:hint="eastAsia"/>
        </w:rPr>
        <w:t>等相關主力農家之農業經營所得偏低。</w:t>
      </w:r>
      <w:bookmarkEnd w:id="104"/>
    </w:p>
    <w:p w:rsidR="00354E1F" w:rsidRPr="00BB72CE" w:rsidRDefault="00354E1F" w:rsidP="00354E1F">
      <w:pPr>
        <w:pStyle w:val="3"/>
        <w:numPr>
          <w:ilvl w:val="2"/>
          <w:numId w:val="1"/>
        </w:numPr>
        <w:ind w:left="1360" w:hanging="680"/>
      </w:pPr>
      <w:bookmarkStart w:id="105" w:name="_Toc499803035"/>
      <w:r w:rsidRPr="00BB72CE">
        <w:rPr>
          <w:rFonts w:hint="eastAsia"/>
        </w:rPr>
        <w:t>綜上，</w:t>
      </w:r>
      <w:r w:rsidRPr="00BB72CE">
        <w:rPr>
          <w:rStyle w:val="40"/>
          <w:rFonts w:hint="eastAsia"/>
        </w:rPr>
        <w:t>農委會105年提出「</w:t>
      </w:r>
      <w:r w:rsidRPr="00BB72CE">
        <w:rPr>
          <w:rStyle w:val="40"/>
        </w:rPr>
        <w:t>新農業創新推動方案」</w:t>
      </w:r>
      <w:r w:rsidRPr="00BB72CE">
        <w:rPr>
          <w:rStyle w:val="40"/>
          <w:rFonts w:hint="eastAsia"/>
        </w:rPr>
        <w:t>之</w:t>
      </w:r>
      <w:r w:rsidRPr="00BB72CE">
        <w:rPr>
          <w:rStyle w:val="20"/>
          <w:rFonts w:hint="eastAsia"/>
        </w:rPr>
        <w:t>重點</w:t>
      </w:r>
      <w:r w:rsidRPr="00BB72CE">
        <w:rPr>
          <w:rStyle w:val="40"/>
          <w:rFonts w:hint="eastAsia"/>
        </w:rPr>
        <w:t>政策</w:t>
      </w:r>
      <w:r w:rsidRPr="00BB72CE">
        <w:rPr>
          <w:rStyle w:val="40"/>
        </w:rPr>
        <w:t>，</w:t>
      </w:r>
      <w:r w:rsidRPr="00BB72CE">
        <w:rPr>
          <w:rStyle w:val="40"/>
          <w:rFonts w:hint="eastAsia"/>
        </w:rPr>
        <w:t>包括</w:t>
      </w:r>
      <w:r w:rsidRPr="00BB72CE">
        <w:rPr>
          <w:rStyle w:val="40"/>
        </w:rPr>
        <w:t>預計至109年</w:t>
      </w:r>
      <w:r w:rsidRPr="00BB72CE">
        <w:rPr>
          <w:rStyle w:val="40"/>
          <w:rFonts w:hint="eastAsia"/>
        </w:rPr>
        <w:t>專業農家</w:t>
      </w:r>
      <w:r w:rsidRPr="00BB72CE">
        <w:rPr>
          <w:rStyle w:val="40"/>
        </w:rPr>
        <w:t>所得達180萬元</w:t>
      </w:r>
      <w:r w:rsidRPr="00BB72CE">
        <w:rPr>
          <w:rStyle w:val="40"/>
          <w:rFonts w:hint="eastAsia"/>
        </w:rPr>
        <w:t>，惟根據農委會</w:t>
      </w:r>
      <w:r w:rsidRPr="00BB72CE">
        <w:rPr>
          <w:rStyle w:val="20"/>
        </w:rPr>
        <w:t>105年主力農家所得調查結果</w:t>
      </w:r>
      <w:r w:rsidRPr="00BB72CE">
        <w:rPr>
          <w:rStyle w:val="20"/>
          <w:rFonts w:hint="eastAsia"/>
        </w:rPr>
        <w:t>所示，</w:t>
      </w:r>
      <w:r w:rsidRPr="00BB72CE">
        <w:rPr>
          <w:rStyle w:val="40"/>
          <w:rFonts w:hint="eastAsia"/>
        </w:rPr>
        <w:t>農委會所框定屬於專業農家之</w:t>
      </w:r>
      <w:r w:rsidRPr="00BB72CE">
        <w:rPr>
          <w:rStyle w:val="20"/>
          <w:rFonts w:hint="eastAsia"/>
        </w:rPr>
        <w:t>大型</w:t>
      </w:r>
      <w:r w:rsidRPr="00BB72CE">
        <w:rPr>
          <w:rStyle w:val="20"/>
        </w:rPr>
        <w:t>農</w:t>
      </w:r>
      <w:r w:rsidRPr="00BB72CE">
        <w:rPr>
          <w:rStyle w:val="20"/>
          <w:rFonts w:hint="eastAsia"/>
        </w:rPr>
        <w:t>家，其104年</w:t>
      </w:r>
      <w:r w:rsidRPr="00BB72CE">
        <w:rPr>
          <w:rStyle w:val="20"/>
        </w:rPr>
        <w:t>每戶</w:t>
      </w:r>
      <w:r w:rsidRPr="00BB72CE">
        <w:rPr>
          <w:rStyle w:val="40"/>
          <w:bCs w:val="0"/>
        </w:rPr>
        <w:t>所得總額</w:t>
      </w:r>
      <w:r w:rsidRPr="00BB72CE">
        <w:rPr>
          <w:rStyle w:val="40"/>
          <w:rFonts w:hint="eastAsia"/>
          <w:bCs w:val="0"/>
        </w:rPr>
        <w:t>已</w:t>
      </w:r>
      <w:r w:rsidRPr="00BB72CE">
        <w:rPr>
          <w:rStyle w:val="40"/>
        </w:rPr>
        <w:t>達180萬元</w:t>
      </w:r>
      <w:r w:rsidRPr="00BB72CE">
        <w:rPr>
          <w:rStyle w:val="40"/>
          <w:rFonts w:hint="eastAsia"/>
        </w:rPr>
        <w:t>，足見政策目標之設定有欠周詳；又有關主力農家</w:t>
      </w:r>
      <w:r w:rsidRPr="00BB72CE">
        <w:rPr>
          <w:rStyle w:val="40"/>
          <w:bCs w:val="0"/>
        </w:rPr>
        <w:t>「</w:t>
      </w:r>
      <w:r w:rsidRPr="00BB72CE">
        <w:rPr>
          <w:rStyle w:val="40"/>
          <w:rFonts w:hint="eastAsia"/>
          <w:bCs w:val="0"/>
        </w:rPr>
        <w:t>稻作業</w:t>
      </w:r>
      <w:r w:rsidRPr="00BB72CE">
        <w:rPr>
          <w:rStyle w:val="40"/>
          <w:bCs w:val="0"/>
        </w:rPr>
        <w:t>」</w:t>
      </w:r>
      <w:r w:rsidRPr="00BB72CE">
        <w:rPr>
          <w:rStyle w:val="40"/>
          <w:rFonts w:hint="eastAsia"/>
          <w:bCs w:val="0"/>
        </w:rPr>
        <w:t>、</w:t>
      </w:r>
      <w:r w:rsidRPr="00BB72CE">
        <w:rPr>
          <w:rStyle w:val="40"/>
          <w:bCs w:val="0"/>
        </w:rPr>
        <w:t>「果樹栽培業」</w:t>
      </w:r>
      <w:r w:rsidRPr="00BB72CE">
        <w:rPr>
          <w:rStyle w:val="40"/>
          <w:rFonts w:hint="eastAsia"/>
          <w:bCs w:val="0"/>
        </w:rPr>
        <w:t>及</w:t>
      </w:r>
      <w:r w:rsidRPr="00BB72CE">
        <w:rPr>
          <w:rStyle w:val="40"/>
          <w:bCs w:val="0"/>
        </w:rPr>
        <w:t>「雜糧及特作栽培業」</w:t>
      </w:r>
      <w:r w:rsidRPr="00BB72CE">
        <w:rPr>
          <w:rStyle w:val="40"/>
          <w:rFonts w:hint="eastAsia"/>
          <w:bCs w:val="0"/>
        </w:rPr>
        <w:t>之</w:t>
      </w:r>
      <w:r w:rsidRPr="00BB72CE">
        <w:rPr>
          <w:rStyle w:val="40"/>
          <w:bCs w:val="0"/>
        </w:rPr>
        <w:t>平均每戶所得總額</w:t>
      </w:r>
      <w:r w:rsidRPr="00BB72CE">
        <w:rPr>
          <w:rStyle w:val="40"/>
          <w:rFonts w:hint="eastAsia"/>
          <w:bCs w:val="0"/>
        </w:rPr>
        <w:lastRenderedPageBreak/>
        <w:t>雖為115.2、115.5及117.3萬元，惟其中</w:t>
      </w:r>
      <w:r w:rsidRPr="00BB72CE">
        <w:rPr>
          <w:rStyle w:val="20"/>
        </w:rPr>
        <w:t>戶內所得來自農業所得</w:t>
      </w:r>
      <w:r w:rsidRPr="00BB72CE">
        <w:rPr>
          <w:rStyle w:val="20"/>
          <w:rFonts w:hint="eastAsia"/>
        </w:rPr>
        <w:t>分別僅27.9、29.8及41.2</w:t>
      </w:r>
      <w:r w:rsidRPr="00BB72CE">
        <w:rPr>
          <w:rStyle w:val="20"/>
        </w:rPr>
        <w:t>萬元</w:t>
      </w:r>
      <w:r w:rsidRPr="00BB72CE">
        <w:rPr>
          <w:rStyle w:val="20"/>
          <w:rFonts w:hint="eastAsia"/>
        </w:rPr>
        <w:t>（只</w:t>
      </w:r>
      <w:r w:rsidRPr="00BB72CE">
        <w:rPr>
          <w:rStyle w:val="40"/>
          <w:bCs w:val="0"/>
        </w:rPr>
        <w:t>占</w:t>
      </w:r>
      <w:r w:rsidRPr="00BB72CE">
        <w:rPr>
          <w:rStyle w:val="40"/>
          <w:rFonts w:hint="eastAsia"/>
          <w:bCs w:val="0"/>
        </w:rPr>
        <w:t>24.2</w:t>
      </w:r>
      <w:r w:rsidRPr="00BB72CE">
        <w:rPr>
          <w:rStyle w:val="40"/>
          <w:bCs w:val="0"/>
        </w:rPr>
        <w:t>%</w:t>
      </w:r>
      <w:r w:rsidRPr="00BB72CE">
        <w:rPr>
          <w:rStyle w:val="40"/>
          <w:rFonts w:hint="eastAsia"/>
          <w:bCs w:val="0"/>
        </w:rPr>
        <w:t>、25.5</w:t>
      </w:r>
      <w:r w:rsidRPr="00BB72CE">
        <w:rPr>
          <w:rStyle w:val="40"/>
          <w:bCs w:val="0"/>
        </w:rPr>
        <w:t>%</w:t>
      </w:r>
      <w:r w:rsidRPr="00BB72CE">
        <w:rPr>
          <w:rStyle w:val="40"/>
          <w:rFonts w:hint="eastAsia"/>
          <w:bCs w:val="0"/>
        </w:rPr>
        <w:t>及35.7</w:t>
      </w:r>
      <w:r w:rsidRPr="00BB72CE">
        <w:rPr>
          <w:rStyle w:val="40"/>
          <w:bCs w:val="0"/>
        </w:rPr>
        <w:t>%</w:t>
      </w:r>
      <w:r w:rsidRPr="00BB72CE">
        <w:rPr>
          <w:rStyle w:val="20"/>
          <w:rFonts w:hint="eastAsia"/>
        </w:rPr>
        <w:t>），</w:t>
      </w:r>
      <w:r w:rsidRPr="00BB72CE">
        <w:rPr>
          <w:rStyle w:val="40"/>
          <w:rFonts w:hint="eastAsia"/>
          <w:bCs w:val="0"/>
        </w:rPr>
        <w:t>顯示</w:t>
      </w:r>
      <w:r w:rsidRPr="00BB72CE">
        <w:rPr>
          <w:rStyle w:val="40"/>
          <w:rFonts w:hint="eastAsia"/>
        </w:rPr>
        <w:t>主力農家中</w:t>
      </w:r>
      <w:r w:rsidRPr="00BB72CE">
        <w:rPr>
          <w:rStyle w:val="40"/>
          <w:rFonts w:hint="eastAsia"/>
          <w:bCs w:val="0"/>
        </w:rPr>
        <w:t>不少</w:t>
      </w:r>
      <w:r w:rsidRPr="00BB72CE">
        <w:rPr>
          <w:rStyle w:val="40"/>
          <w:bCs w:val="0"/>
        </w:rPr>
        <w:t>「</w:t>
      </w:r>
      <w:r w:rsidRPr="00BB72CE">
        <w:rPr>
          <w:rStyle w:val="40"/>
          <w:rFonts w:hint="eastAsia"/>
          <w:bCs w:val="0"/>
        </w:rPr>
        <w:t>稻作業</w:t>
      </w:r>
      <w:r w:rsidRPr="00BB72CE">
        <w:rPr>
          <w:rStyle w:val="40"/>
          <w:bCs w:val="0"/>
        </w:rPr>
        <w:t>」</w:t>
      </w:r>
      <w:r w:rsidRPr="00BB72CE">
        <w:rPr>
          <w:rStyle w:val="40"/>
          <w:rFonts w:hint="eastAsia"/>
          <w:bCs w:val="0"/>
        </w:rPr>
        <w:t>、</w:t>
      </w:r>
      <w:r w:rsidRPr="00BB72CE">
        <w:rPr>
          <w:rStyle w:val="40"/>
          <w:bCs w:val="0"/>
        </w:rPr>
        <w:t>「果樹栽培業</w:t>
      </w:r>
      <w:r w:rsidRPr="00BB72CE">
        <w:rPr>
          <w:rStyle w:val="40"/>
        </w:rPr>
        <w:t>」</w:t>
      </w:r>
      <w:r w:rsidRPr="00BB72CE">
        <w:rPr>
          <w:rStyle w:val="40"/>
          <w:rFonts w:hint="eastAsia"/>
        </w:rPr>
        <w:t>及</w:t>
      </w:r>
      <w:r w:rsidRPr="00BB72CE">
        <w:rPr>
          <w:rStyle w:val="40"/>
        </w:rPr>
        <w:t>「雜糧及特作栽培業」</w:t>
      </w:r>
      <w:r w:rsidRPr="00BB72CE">
        <w:rPr>
          <w:rStyle w:val="40"/>
          <w:rFonts w:hint="eastAsia"/>
        </w:rPr>
        <w:t>之農業經營所得偏低，亟待農委會協助相關業者產業升級與加值，以</w:t>
      </w:r>
      <w:r w:rsidRPr="00BB72CE">
        <w:rPr>
          <w:rStyle w:val="40"/>
        </w:rPr>
        <w:t>建構吸引青年從農的環境</w:t>
      </w:r>
      <w:r w:rsidRPr="00BB72CE">
        <w:rPr>
          <w:rStyle w:val="40"/>
          <w:rFonts w:hint="eastAsia"/>
        </w:rPr>
        <w:t>。</w:t>
      </w:r>
      <w:bookmarkEnd w:id="105"/>
    </w:p>
    <w:p w:rsidR="00E063FA" w:rsidRPr="00BB72CE" w:rsidRDefault="00BD776F" w:rsidP="00CF23C1">
      <w:pPr>
        <w:pStyle w:val="2"/>
        <w:numPr>
          <w:ilvl w:val="1"/>
          <w:numId w:val="1"/>
        </w:numPr>
        <w:rPr>
          <w:rFonts w:hAnsi="標楷體"/>
          <w:b/>
        </w:rPr>
      </w:pPr>
      <w:bookmarkStart w:id="106" w:name="_Toc499803036"/>
      <w:r w:rsidRPr="00BB72CE">
        <w:rPr>
          <w:rFonts w:hAnsi="標楷體" w:hint="eastAsia"/>
          <w:b/>
        </w:rPr>
        <w:t>有關我國農業缺工問題，勞動部雖曾辦理</w:t>
      </w:r>
      <w:r w:rsidRPr="00BB72CE">
        <w:rPr>
          <w:rFonts w:hAnsi="標楷體"/>
          <w:b/>
          <w:szCs w:val="32"/>
        </w:rPr>
        <w:t>「鼓勵國民從事農業工作就業獎勵試辦計畫」</w:t>
      </w:r>
      <w:r w:rsidRPr="00BB72CE">
        <w:rPr>
          <w:rFonts w:hAnsi="標楷體" w:hint="eastAsia"/>
          <w:b/>
          <w:szCs w:val="32"/>
        </w:rPr>
        <w:t>，結果新增</w:t>
      </w:r>
      <w:r w:rsidRPr="00BB72CE">
        <w:rPr>
          <w:rFonts w:hAnsi="標楷體" w:hint="eastAsia"/>
          <w:b/>
        </w:rPr>
        <w:t>在職農務人員322人，惟該計畫屆期後至106年10月31日止，僅餘204人持續從事農務工作，相較農委會估計我國</w:t>
      </w:r>
      <w:r w:rsidRPr="00BB72CE">
        <w:rPr>
          <w:rFonts w:hAnsi="標楷體" w:hint="eastAsia"/>
          <w:b/>
          <w:szCs w:val="32"/>
        </w:rPr>
        <w:t>農糧產業全年性缺工約有1萬1,000人，而季節性缺工每月約有9萬人之人數，其</w:t>
      </w:r>
      <w:r w:rsidR="00587E59" w:rsidRPr="00BB72CE">
        <w:rPr>
          <w:rFonts w:hAnsi="標楷體" w:hint="eastAsia"/>
          <w:b/>
          <w:szCs w:val="32"/>
        </w:rPr>
        <w:t>改善幅度相當有限；復農委會雖續推動</w:t>
      </w:r>
      <w:r w:rsidR="008D3A88">
        <w:rPr>
          <w:rFonts w:hAnsi="標楷體" w:hint="eastAsia"/>
          <w:b/>
        </w:rPr>
        <w:t>舒</w:t>
      </w:r>
      <w:r w:rsidRPr="00BB72CE">
        <w:rPr>
          <w:rFonts w:hAnsi="標楷體" w:hint="eastAsia"/>
          <w:b/>
        </w:rPr>
        <w:t>緩農業季節性缺工措施，勞動部也因應公告指定農、林、漁、牧業為得適用4週彈性工時之行業，且勞動條件均適用勞動基準法各該規定，</w:t>
      </w:r>
      <w:r w:rsidR="00C60625" w:rsidRPr="00BB72CE">
        <w:rPr>
          <w:rFonts w:hAnsi="標楷體" w:hint="eastAsia"/>
          <w:b/>
        </w:rPr>
        <w:t>然</w:t>
      </w:r>
      <w:r w:rsidRPr="00BB72CE">
        <w:rPr>
          <w:rFonts w:hAnsi="標楷體" w:hint="eastAsia"/>
          <w:b/>
        </w:rPr>
        <w:t>近期陸續有</w:t>
      </w:r>
      <w:r w:rsidR="00C60625" w:rsidRPr="00BB72CE">
        <w:rPr>
          <w:rFonts w:hAnsi="標楷體" w:hint="eastAsia"/>
          <w:b/>
        </w:rPr>
        <w:t>農業師傅培訓費賠償、</w:t>
      </w:r>
      <w:r w:rsidRPr="00BB72CE">
        <w:rPr>
          <w:rFonts w:hAnsi="標楷體" w:hint="eastAsia"/>
          <w:b/>
        </w:rPr>
        <w:t>工時認定、資遣費求償等勞資爭議相關情事發生</w:t>
      </w:r>
      <w:r w:rsidR="00C60625" w:rsidRPr="00BB72CE">
        <w:rPr>
          <w:rFonts w:hAnsi="標楷體" w:hint="eastAsia"/>
          <w:b/>
        </w:rPr>
        <w:t>；</w:t>
      </w:r>
      <w:r w:rsidRPr="00BB72CE">
        <w:rPr>
          <w:rFonts w:hAnsi="標楷體" w:hint="eastAsia"/>
          <w:b/>
        </w:rPr>
        <w:t>此等關於農業缺工、</w:t>
      </w:r>
      <w:r w:rsidR="008D3A88">
        <w:rPr>
          <w:rFonts w:hAnsi="標楷體" w:hint="eastAsia"/>
          <w:b/>
        </w:rPr>
        <w:t>舒</w:t>
      </w:r>
      <w:r w:rsidRPr="00BB72CE">
        <w:rPr>
          <w:rFonts w:hAnsi="標楷體" w:hint="eastAsia"/>
          <w:b/>
        </w:rPr>
        <w:t>緩季節性缺工措施及所衍生勞資爭議之情事，均有待農委會及勞動部正視並妥謀因應方案。</w:t>
      </w:r>
      <w:bookmarkEnd w:id="106"/>
    </w:p>
    <w:p w:rsidR="00AB573B" w:rsidRPr="00BB72CE" w:rsidRDefault="00AB573B" w:rsidP="00AB573B">
      <w:pPr>
        <w:pStyle w:val="3"/>
        <w:rPr>
          <w:rFonts w:hAnsi="標楷體"/>
          <w:spacing w:val="-4"/>
        </w:rPr>
      </w:pPr>
      <w:bookmarkStart w:id="107" w:name="_Toc499139425"/>
      <w:bookmarkStart w:id="108" w:name="_Toc499803037"/>
      <w:r w:rsidRPr="00BB72CE">
        <w:rPr>
          <w:rFonts w:hAnsi="標楷體" w:hint="eastAsia"/>
          <w:spacing w:val="-4"/>
        </w:rPr>
        <w:t>按農業發展條例第2條規定：「本條例所稱主管機關︰在中央為行政院農業委員會……」同法第59條規定：「為因應農業國際化自由化之衝擊，提高農業競爭力，加速調整農業結構，應建立獎勵老年農民離農退休，引進年輕專業農民參與農業生產之制度。」另按就業服務法第6條第1項規定：「本法所稱主管機關：在中央為勞動部；……」同法第16條及第21條分別規定：「公立就業服務機構應蒐集、整理、分析其業務區域內之薪資變動、人力供需及未來展望等資料，提供就業市場資訊。」「政府應依就業與失業狀況相關調查資料，策訂人力供需調節措施，促進人力資源有</w:t>
      </w:r>
      <w:r w:rsidRPr="00BB72CE">
        <w:rPr>
          <w:rFonts w:hAnsi="標楷體" w:hint="eastAsia"/>
          <w:spacing w:val="-4"/>
        </w:rPr>
        <w:lastRenderedPageBreak/>
        <w:t>效運用及國民就業。」爰此，農委會與勞動部應充分掌握國內農業生產人力結構及供需資訊，對於農業人口老化及缺工問題妥為因應。</w:t>
      </w:r>
      <w:bookmarkEnd w:id="107"/>
      <w:bookmarkEnd w:id="108"/>
    </w:p>
    <w:p w:rsidR="00AB573B" w:rsidRPr="00BB72CE" w:rsidRDefault="00AB573B" w:rsidP="00AB573B">
      <w:pPr>
        <w:pStyle w:val="3"/>
        <w:rPr>
          <w:rFonts w:hAnsi="標楷體"/>
        </w:rPr>
      </w:pPr>
      <w:bookmarkStart w:id="109" w:name="_Toc499139426"/>
      <w:bookmarkStart w:id="110" w:name="_Toc499803038"/>
      <w:r w:rsidRPr="00BB72CE">
        <w:rPr>
          <w:rFonts w:hAnsi="標楷體" w:hint="eastAsia"/>
        </w:rPr>
        <w:t>查91</w:t>
      </w:r>
      <w:r w:rsidR="004B428B" w:rsidRPr="00BB72CE">
        <w:rPr>
          <w:rFonts w:hAnsi="標楷體" w:hint="eastAsia"/>
        </w:rPr>
        <w:t>至</w:t>
      </w:r>
      <w:r w:rsidRPr="00BB72CE">
        <w:rPr>
          <w:rFonts w:hAnsi="標楷體" w:hint="eastAsia"/>
        </w:rPr>
        <w:t>105年各年度我國農業</w:t>
      </w:r>
      <w:r w:rsidR="005C6315" w:rsidRPr="00BB72CE">
        <w:rPr>
          <w:rFonts w:hAnsi="標楷體" w:hint="eastAsia"/>
        </w:rPr>
        <w:t>從</w:t>
      </w:r>
      <w:r w:rsidRPr="00BB72CE">
        <w:rPr>
          <w:rFonts w:hAnsi="標楷體" w:hint="eastAsia"/>
        </w:rPr>
        <w:t>業人口數分別</w:t>
      </w:r>
      <w:r w:rsidR="00354E1F" w:rsidRPr="00BB72CE">
        <w:rPr>
          <w:rFonts w:hAnsi="標楷體" w:hint="eastAsia"/>
        </w:rPr>
        <w:t>為</w:t>
      </w:r>
      <w:r w:rsidRPr="00BB72CE">
        <w:rPr>
          <w:rFonts w:hAnsi="標楷體" w:hint="eastAsia"/>
        </w:rPr>
        <w:t>70萬9,000人、69萬6,000人、64萬2,000人、59萬人、55萬4,000人、54萬3,000人、53萬5,000人、54萬3,000人、55萬人、54萬2,000人、54萬4,000人、54萬4,000人、54萬8,000人、55萬5,000人、55萬7,000人</w:t>
      </w:r>
      <w:r w:rsidRPr="00BB72CE">
        <w:rPr>
          <w:rStyle w:val="aff5"/>
          <w:rFonts w:hAnsi="標楷體"/>
        </w:rPr>
        <w:footnoteReference w:id="14"/>
      </w:r>
      <w:r w:rsidRPr="00BB72CE">
        <w:rPr>
          <w:rFonts w:hAnsi="標楷體" w:hint="eastAsia"/>
        </w:rPr>
        <w:t>，顯見91</w:t>
      </w:r>
      <w:r w:rsidR="004B428B" w:rsidRPr="00BB72CE">
        <w:rPr>
          <w:rFonts w:hAnsi="標楷體" w:hint="eastAsia"/>
        </w:rPr>
        <w:t>至</w:t>
      </w:r>
      <w:r w:rsidRPr="00BB72CE">
        <w:rPr>
          <w:rFonts w:hAnsi="標楷體" w:hint="eastAsia"/>
        </w:rPr>
        <w:t>94年間，我國農業就業人口數大幅減少，95年後則維持在55萬人左右，並無增加</w:t>
      </w:r>
      <w:r w:rsidR="005C6315" w:rsidRPr="00BB72CE">
        <w:rPr>
          <w:rFonts w:hAnsi="標楷體" w:hint="eastAsia"/>
        </w:rPr>
        <w:t>；另101至105年各年度農業從業人之平均年齡分別為53.32、53.29、53.54、53.46及53.01歲，如以農保投保者計算，其平均年齡更高，各年度平均年齡分別為63.49、64.06、64.71、65.37及65.85歲，且呈逐年增長現象。</w:t>
      </w:r>
      <w:bookmarkEnd w:id="109"/>
      <w:bookmarkEnd w:id="110"/>
      <w:r w:rsidR="005C6315" w:rsidRPr="00BB72CE">
        <w:rPr>
          <w:rFonts w:hAnsi="標楷體" w:hint="eastAsia"/>
        </w:rPr>
        <w:t xml:space="preserve"> </w:t>
      </w:r>
    </w:p>
    <w:p w:rsidR="00414E03" w:rsidRPr="00BB72CE" w:rsidRDefault="00816A50" w:rsidP="006D4565">
      <w:pPr>
        <w:pStyle w:val="3"/>
        <w:rPr>
          <w:rFonts w:hAnsi="標楷體"/>
        </w:rPr>
      </w:pPr>
      <w:bookmarkStart w:id="111" w:name="_Toc499139427"/>
      <w:bookmarkStart w:id="112" w:name="_Toc499803039"/>
      <w:r w:rsidRPr="00BB72CE">
        <w:rPr>
          <w:rFonts w:hAnsi="標楷體" w:hint="eastAsia"/>
        </w:rPr>
        <w:t>任何農業產業及政策的推動，端賴充足的勞動人力，</w:t>
      </w:r>
      <w:r w:rsidR="003A6A51" w:rsidRPr="00BB72CE">
        <w:rPr>
          <w:rFonts w:hAnsi="標楷體" w:hint="eastAsia"/>
        </w:rPr>
        <w:t>農委會所推動之</w:t>
      </w:r>
      <w:r w:rsidR="003A6A51" w:rsidRPr="00BB72CE">
        <w:rPr>
          <w:rFonts w:ascii="新細明體" w:eastAsia="新細明體" w:hAnsi="新細明體" w:hint="eastAsia"/>
        </w:rPr>
        <w:t>「</w:t>
      </w:r>
      <w:r w:rsidR="003A6A51" w:rsidRPr="00BB72CE">
        <w:rPr>
          <w:rFonts w:hAnsi="標楷體" w:hint="eastAsia"/>
        </w:rPr>
        <w:t>精緻農業方案」中之卓越農業，主要發展蘭花、農業生物技術、觀賞魚、石斑魚、植物種苗及種禽畜等6大重點產業；惟</w:t>
      </w:r>
      <w:r w:rsidR="00414E03" w:rsidRPr="00BB72CE">
        <w:rPr>
          <w:rFonts w:hAnsi="標楷體" w:hint="eastAsia"/>
        </w:rPr>
        <w:t>本院前調查發現</w:t>
      </w:r>
      <w:r w:rsidR="006D4565" w:rsidRPr="00BB72CE">
        <w:rPr>
          <w:rStyle w:val="aff5"/>
          <w:rFonts w:hAnsi="標楷體"/>
        </w:rPr>
        <w:footnoteReference w:id="15"/>
      </w:r>
      <w:r w:rsidR="00414E03" w:rsidRPr="00BB72CE">
        <w:rPr>
          <w:rFonts w:hAnsi="標楷體" w:hint="eastAsia"/>
        </w:rPr>
        <w:t>，石斑魚養殖產業</w:t>
      </w:r>
      <w:r w:rsidR="003A6A51" w:rsidRPr="00BB72CE">
        <w:rPr>
          <w:rFonts w:hAnsi="標楷體" w:hint="eastAsia"/>
        </w:rPr>
        <w:t>一直面臨農業缺工問題</w:t>
      </w:r>
      <w:r w:rsidR="00414E03" w:rsidRPr="00BB72CE">
        <w:rPr>
          <w:rFonts w:hAnsi="標楷體" w:hint="eastAsia"/>
        </w:rPr>
        <w:t>，台灣區冷凍水產工業同業公會亦</w:t>
      </w:r>
      <w:r w:rsidR="003A6A51" w:rsidRPr="00BB72CE">
        <w:rPr>
          <w:rFonts w:hAnsi="標楷體" w:hint="eastAsia"/>
        </w:rPr>
        <w:t>提出</w:t>
      </w:r>
      <w:r w:rsidR="00414E03" w:rsidRPr="00BB72CE">
        <w:rPr>
          <w:rFonts w:hAnsi="標楷體" w:hint="eastAsia"/>
        </w:rPr>
        <w:t>，該產業之</w:t>
      </w:r>
      <w:r w:rsidR="00414E03" w:rsidRPr="00BB72CE">
        <w:rPr>
          <w:rFonts w:hAnsi="標楷體" w:hint="eastAsia"/>
          <w:szCs w:val="32"/>
        </w:rPr>
        <w:t>外勞核配比率不足</w:t>
      </w:r>
      <w:r w:rsidR="003A6A51" w:rsidRPr="00BB72CE">
        <w:rPr>
          <w:rFonts w:hAnsi="標楷體" w:hint="eastAsia"/>
          <w:szCs w:val="32"/>
        </w:rPr>
        <w:t>，希望政府提高核配比率</w:t>
      </w:r>
      <w:r w:rsidR="00414E03" w:rsidRPr="00BB72CE">
        <w:rPr>
          <w:rFonts w:hAnsi="標楷體" w:hint="eastAsia"/>
          <w:szCs w:val="32"/>
        </w:rPr>
        <w:t>；復蘭花產業方面，</w:t>
      </w:r>
      <w:r w:rsidR="00414E03" w:rsidRPr="00BB72CE">
        <w:rPr>
          <w:rFonts w:hAnsi="標楷體" w:hint="eastAsia"/>
        </w:rPr>
        <w:t>社團法人台灣蘭花產業發展協會也表示，蘭花換盆、搬運及組織培養都需要人工，但現都面臨農業勞動力短缺問題。且農委會曾就乳牛飼育</w:t>
      </w:r>
      <w:r w:rsidR="00414E03" w:rsidRPr="00BB72CE">
        <w:rPr>
          <w:rFonts w:hAnsi="標楷體" w:hint="eastAsia"/>
        </w:rPr>
        <w:lastRenderedPageBreak/>
        <w:t>業、食用菌菇類栽培業、蘭花栽培業、茶與果樹栽培業等因農業人口老化且不易招募本國勞工，向勞動部提出聘僱農業外勞。是以，</w:t>
      </w:r>
      <w:r w:rsidR="006D4565" w:rsidRPr="00BB72CE">
        <w:rPr>
          <w:rFonts w:hAnsi="標楷體" w:hint="eastAsia"/>
        </w:rPr>
        <w:t>國內</w:t>
      </w:r>
      <w:r w:rsidR="00414E03" w:rsidRPr="00BB72CE">
        <w:rPr>
          <w:rFonts w:hAnsi="標楷體" w:hint="eastAsia"/>
        </w:rPr>
        <w:t>眾多農產業均面臨</w:t>
      </w:r>
      <w:r w:rsidR="006D4565" w:rsidRPr="00BB72CE">
        <w:rPr>
          <w:rFonts w:hAnsi="標楷體" w:hint="eastAsia"/>
        </w:rPr>
        <w:t>嚴重</w:t>
      </w:r>
      <w:r w:rsidR="00414E03" w:rsidRPr="00BB72CE">
        <w:rPr>
          <w:rFonts w:hAnsi="標楷體" w:hint="eastAsia"/>
        </w:rPr>
        <w:t>缺工問題。</w:t>
      </w:r>
      <w:bookmarkEnd w:id="111"/>
      <w:bookmarkEnd w:id="112"/>
    </w:p>
    <w:p w:rsidR="006D4565" w:rsidRPr="00BB72CE" w:rsidRDefault="006D4565" w:rsidP="00DC6A21">
      <w:pPr>
        <w:pStyle w:val="3"/>
        <w:rPr>
          <w:rFonts w:hAnsi="標楷體"/>
        </w:rPr>
      </w:pPr>
      <w:bookmarkStart w:id="113" w:name="_Toc499139428"/>
      <w:bookmarkStart w:id="114" w:name="_Toc499803040"/>
      <w:r w:rsidRPr="00BB72CE">
        <w:rPr>
          <w:rFonts w:hAnsi="標楷體" w:hint="eastAsia"/>
        </w:rPr>
        <w:t>勞動部為促進國民就業及協助</w:t>
      </w:r>
      <w:r w:rsidR="008D3A88">
        <w:rPr>
          <w:rFonts w:hAnsi="標楷體" w:hint="eastAsia"/>
        </w:rPr>
        <w:t>舒</w:t>
      </w:r>
      <w:r w:rsidRPr="00BB72CE">
        <w:rPr>
          <w:rFonts w:hAnsi="標楷體" w:hint="eastAsia"/>
        </w:rPr>
        <w:t>緩農業缺工現象，曾於105年1月1日至106年6月30日辦理</w:t>
      </w:r>
      <w:r w:rsidRPr="00BB72CE">
        <w:rPr>
          <w:rFonts w:hAnsi="標楷體"/>
          <w:szCs w:val="32"/>
        </w:rPr>
        <w:t>「鼓勵國民從事農業工作就業獎勵試辦計畫」</w:t>
      </w:r>
      <w:r w:rsidRPr="00BB72CE">
        <w:rPr>
          <w:rFonts w:hAnsi="標楷體" w:hint="eastAsia"/>
          <w:szCs w:val="32"/>
        </w:rPr>
        <w:t>，以農委會</w:t>
      </w:r>
      <w:r w:rsidR="00B374E1" w:rsidRPr="00BB72CE">
        <w:rPr>
          <w:rFonts w:hAnsi="標楷體" w:hint="eastAsia"/>
          <w:szCs w:val="32"/>
        </w:rPr>
        <w:t>所</w:t>
      </w:r>
      <w:r w:rsidRPr="00BB72CE">
        <w:rPr>
          <w:rFonts w:hAnsi="標楷體" w:hint="eastAsia"/>
          <w:szCs w:val="32"/>
        </w:rPr>
        <w:t>反應缺工</w:t>
      </w:r>
      <w:r w:rsidR="008F5B6E" w:rsidRPr="00BB72CE">
        <w:rPr>
          <w:rFonts w:hAnsi="標楷體" w:hint="eastAsia"/>
          <w:szCs w:val="32"/>
        </w:rPr>
        <w:t>較為嚴重之乳</w:t>
      </w:r>
      <w:r w:rsidR="008F5B6E" w:rsidRPr="00BB72CE">
        <w:rPr>
          <w:rFonts w:hAnsi="標楷體" w:hint="eastAsia"/>
        </w:rPr>
        <w:t>牛飼育、菌菇栽培業、蘭花栽培、茶、果樹栽培等為主要範圍，</w:t>
      </w:r>
      <w:r w:rsidR="00FC2BA8" w:rsidRPr="00BB72CE">
        <w:rPr>
          <w:rFonts w:hAnsi="標楷體" w:hint="eastAsia"/>
        </w:rPr>
        <w:t>依農務人員工作</w:t>
      </w:r>
      <w:r w:rsidR="00FC2BA8" w:rsidRPr="00BB72CE">
        <w:rPr>
          <w:rFonts w:hAnsi="標楷體" w:hint="eastAsia"/>
          <w:spacing w:val="4"/>
        </w:rPr>
        <w:t>時數，核發每月最高8,000元之就業服務獎勵及每月最高2,000元之交通津貼，最長發給12個月，</w:t>
      </w:r>
      <w:r w:rsidR="008F5B6E" w:rsidRPr="00BB72CE">
        <w:rPr>
          <w:rFonts w:hAnsi="標楷體" w:hint="eastAsia"/>
          <w:spacing w:val="4"/>
        </w:rPr>
        <w:t>結果</w:t>
      </w:r>
      <w:r w:rsidR="00BB137F" w:rsidRPr="00BB72CE">
        <w:rPr>
          <w:rFonts w:hAnsi="標楷體" w:hint="eastAsia"/>
          <w:spacing w:val="4"/>
        </w:rPr>
        <w:t>計16個用人單位成立農業服務團，核定398個農務人員補助名額，至執行計畫屆期日止，在職農務人員為322人</w:t>
      </w:r>
      <w:r w:rsidR="003051A1" w:rsidRPr="00BB72CE">
        <w:rPr>
          <w:rFonts w:hAnsi="標楷體" w:hint="eastAsia"/>
          <w:spacing w:val="4"/>
        </w:rPr>
        <w:t>，累計上工人數為582人</w:t>
      </w:r>
      <w:r w:rsidR="00BB137F" w:rsidRPr="00BB72CE">
        <w:rPr>
          <w:rFonts w:hAnsi="標楷體" w:hint="eastAsia"/>
          <w:spacing w:val="4"/>
        </w:rPr>
        <w:t>。惟查</w:t>
      </w:r>
      <w:r w:rsidR="00DC6A21" w:rsidRPr="00BB72CE">
        <w:rPr>
          <w:rFonts w:hAnsi="標楷體" w:hint="eastAsia"/>
          <w:spacing w:val="4"/>
        </w:rPr>
        <w:t>自計畫屆期後，在職農務人員因個人就業服務意願，僅剩295人</w:t>
      </w:r>
      <w:r w:rsidR="003051A1" w:rsidRPr="00BB72CE">
        <w:rPr>
          <w:rFonts w:hAnsi="標楷體" w:hint="eastAsia"/>
          <w:spacing w:val="4"/>
        </w:rPr>
        <w:t>願意</w:t>
      </w:r>
      <w:r w:rsidR="00184ACB" w:rsidRPr="00BB72CE">
        <w:rPr>
          <w:rFonts w:hAnsi="標楷體" w:hint="eastAsia"/>
          <w:spacing w:val="4"/>
        </w:rPr>
        <w:t>接</w:t>
      </w:r>
      <w:r w:rsidR="00DC6A21" w:rsidRPr="00BB72CE">
        <w:rPr>
          <w:rFonts w:hAnsi="標楷體" w:hint="eastAsia"/>
          <w:spacing w:val="4"/>
        </w:rPr>
        <w:t>受</w:t>
      </w:r>
      <w:r w:rsidR="003051A1" w:rsidRPr="00BB72CE">
        <w:rPr>
          <w:rFonts w:hAnsi="標楷體" w:hint="eastAsia"/>
          <w:spacing w:val="4"/>
        </w:rPr>
        <w:t>後續就業服務</w:t>
      </w:r>
      <w:r w:rsidR="00DC6A21" w:rsidRPr="00BB72CE">
        <w:rPr>
          <w:rFonts w:hAnsi="標楷體" w:hint="eastAsia"/>
          <w:spacing w:val="4"/>
        </w:rPr>
        <w:t>，自106年7月1日至10月31日止，又僅剩204人持續從事農務工作，其中37人由原用人單位持續進用，工作天數約為30至95天。</w:t>
      </w:r>
      <w:r w:rsidR="00B374E1" w:rsidRPr="00BB72CE">
        <w:rPr>
          <w:rFonts w:hAnsi="標楷體" w:hint="eastAsia"/>
          <w:spacing w:val="4"/>
        </w:rPr>
        <w:t>嗣後勞動部表示，</w:t>
      </w:r>
      <w:r w:rsidR="00FC2BA8" w:rsidRPr="00BB72CE">
        <w:rPr>
          <w:rFonts w:hAnsi="標楷體" w:hint="eastAsia"/>
          <w:spacing w:val="4"/>
        </w:rPr>
        <w:t>基於行政一體及</w:t>
      </w:r>
      <w:r w:rsidR="00B374E1" w:rsidRPr="00BB72CE">
        <w:rPr>
          <w:rFonts w:hAnsi="標楷體" w:hint="eastAsia"/>
          <w:spacing w:val="4"/>
        </w:rPr>
        <w:t>為</w:t>
      </w:r>
      <w:r w:rsidR="00FC2BA8" w:rsidRPr="00BB72CE">
        <w:rPr>
          <w:rFonts w:hAnsi="標楷體" w:hint="eastAsia"/>
          <w:spacing w:val="4"/>
        </w:rPr>
        <w:t>發揮連結農業資源</w:t>
      </w:r>
      <w:r w:rsidR="008D3A88">
        <w:rPr>
          <w:rFonts w:hAnsi="標楷體" w:hint="eastAsia"/>
          <w:spacing w:val="4"/>
        </w:rPr>
        <w:t>舒</w:t>
      </w:r>
      <w:r w:rsidR="00FC2BA8" w:rsidRPr="00BB72CE">
        <w:rPr>
          <w:rFonts w:hAnsi="標楷體" w:hint="eastAsia"/>
          <w:spacing w:val="4"/>
        </w:rPr>
        <w:t>緩農業缺工綜效，</w:t>
      </w:r>
      <w:r w:rsidR="00B374E1" w:rsidRPr="00BB72CE">
        <w:rPr>
          <w:rFonts w:hAnsi="標楷體" w:hint="eastAsia"/>
          <w:spacing w:val="4"/>
        </w:rPr>
        <w:t>該</w:t>
      </w:r>
      <w:r w:rsidR="00DC6A21" w:rsidRPr="00BB72CE">
        <w:rPr>
          <w:rFonts w:hAnsi="標楷體" w:hint="eastAsia"/>
          <w:spacing w:val="4"/>
        </w:rPr>
        <w:t>試辦計畫</w:t>
      </w:r>
      <w:r w:rsidR="00FC2BA8" w:rsidRPr="00BB72CE">
        <w:rPr>
          <w:rFonts w:hAnsi="標楷體" w:hint="eastAsia"/>
          <w:spacing w:val="4"/>
        </w:rPr>
        <w:t>屆期不予續辦，農業人力運用計畫由農委會統籌辦理。</w:t>
      </w:r>
      <w:bookmarkEnd w:id="113"/>
      <w:bookmarkEnd w:id="114"/>
    </w:p>
    <w:p w:rsidR="003567D3" w:rsidRPr="00BB72CE" w:rsidRDefault="00B374E1" w:rsidP="00F51BB3">
      <w:pPr>
        <w:pStyle w:val="3"/>
        <w:rPr>
          <w:rFonts w:hAnsi="標楷體"/>
        </w:rPr>
      </w:pPr>
      <w:bookmarkStart w:id="115" w:name="_Toc499139429"/>
      <w:bookmarkStart w:id="116" w:name="_Toc499803041"/>
      <w:r w:rsidRPr="00BB72CE">
        <w:rPr>
          <w:rFonts w:hAnsi="標楷體" w:hint="eastAsia"/>
        </w:rPr>
        <w:t>農委會</w:t>
      </w:r>
      <w:r w:rsidR="00F51BB3" w:rsidRPr="00BB72CE">
        <w:rPr>
          <w:rFonts w:hAnsi="標楷體" w:hint="eastAsia"/>
        </w:rPr>
        <w:t>說明</w:t>
      </w:r>
      <w:r w:rsidR="00F51BB3" w:rsidRPr="00BB72CE">
        <w:rPr>
          <w:rStyle w:val="aff5"/>
          <w:rFonts w:hAnsi="標楷體"/>
        </w:rPr>
        <w:footnoteReference w:id="16"/>
      </w:r>
      <w:r w:rsidR="00F51BB3" w:rsidRPr="00BB72CE">
        <w:rPr>
          <w:rFonts w:hAnsi="標楷體" w:hint="eastAsia"/>
        </w:rPr>
        <w:t>，</w:t>
      </w:r>
      <w:r w:rsidR="00F51BB3" w:rsidRPr="00BB72CE">
        <w:rPr>
          <w:rFonts w:hAnsi="標楷體" w:hint="eastAsia"/>
          <w:szCs w:val="32"/>
        </w:rPr>
        <w:t>農糧產業全年性缺工約有1萬1,000人，而季節性缺工更為嚴重，每月約有9萬人，為</w:t>
      </w:r>
      <w:r w:rsidR="008D3A88">
        <w:rPr>
          <w:rFonts w:hAnsi="標楷體" w:hint="eastAsia"/>
        </w:rPr>
        <w:t>舒</w:t>
      </w:r>
      <w:r w:rsidR="00F51BB3" w:rsidRPr="00BB72CE">
        <w:rPr>
          <w:rFonts w:hAnsi="標楷體" w:hint="eastAsia"/>
        </w:rPr>
        <w:t>緩農業季節性缺工情形，拓增新勞動力，</w:t>
      </w:r>
      <w:r w:rsidR="003567D3" w:rsidRPr="00BB72CE">
        <w:rPr>
          <w:rFonts w:hAnsi="標楷體" w:hint="eastAsia"/>
        </w:rPr>
        <w:t>推動</w:t>
      </w:r>
      <w:r w:rsidR="00B547B8" w:rsidRPr="00BB72CE">
        <w:rPr>
          <w:rFonts w:hAnsi="標楷體" w:hint="eastAsia"/>
        </w:rPr>
        <w:t>農</w:t>
      </w:r>
      <w:r w:rsidR="00B547B8" w:rsidRPr="00BB72CE">
        <w:rPr>
          <w:rFonts w:hAnsi="標楷體"/>
          <w:bCs w:val="0"/>
        </w:rPr>
        <w:t>業專業技術團</w:t>
      </w:r>
      <w:r w:rsidR="00B547B8" w:rsidRPr="00BB72CE">
        <w:rPr>
          <w:rFonts w:hAnsi="標楷體" w:hint="eastAsia"/>
          <w:bCs w:val="0"/>
        </w:rPr>
        <w:t>、</w:t>
      </w:r>
      <w:r w:rsidR="00B547B8" w:rsidRPr="00BB72CE">
        <w:rPr>
          <w:rFonts w:hAnsi="標楷體" w:hint="eastAsia"/>
        </w:rPr>
        <w:t>農業耕新團及其他輔助</w:t>
      </w:r>
      <w:r w:rsidR="003567D3" w:rsidRPr="00BB72CE">
        <w:rPr>
          <w:rFonts w:hAnsi="標楷體" w:hint="eastAsia"/>
        </w:rPr>
        <w:t>措施</w:t>
      </w:r>
      <w:r w:rsidR="00B547B8" w:rsidRPr="00BB72CE">
        <w:rPr>
          <w:rFonts w:hAnsi="標楷體" w:hint="eastAsia"/>
        </w:rPr>
        <w:t>，自106年4月至8月，已累計成立11團農業技術團、15團農業耕新團及6團外役監團，略述如下</w:t>
      </w:r>
      <w:r w:rsidR="003567D3" w:rsidRPr="00BB72CE">
        <w:rPr>
          <w:rFonts w:hAnsi="標楷體" w:hint="eastAsia"/>
        </w:rPr>
        <w:t>：</w:t>
      </w:r>
      <w:bookmarkEnd w:id="115"/>
      <w:bookmarkEnd w:id="116"/>
    </w:p>
    <w:p w:rsidR="00B547B8" w:rsidRPr="00BB72CE" w:rsidRDefault="003567D3" w:rsidP="00B547B8">
      <w:pPr>
        <w:pStyle w:val="4"/>
        <w:rPr>
          <w:rFonts w:hAnsi="標楷體"/>
          <w:bCs/>
        </w:rPr>
      </w:pPr>
      <w:r w:rsidRPr="00BB72CE">
        <w:rPr>
          <w:rFonts w:hAnsi="標楷體"/>
          <w:bCs/>
        </w:rPr>
        <w:lastRenderedPageBreak/>
        <w:t>訓練並僱用青壯年為農業師傅，並成立農業專業技術團，調派至農場協助高技術農事工作，改善高經濟價值產業缺工情形。</w:t>
      </w:r>
      <w:r w:rsidR="00B547B8" w:rsidRPr="00BB72CE">
        <w:rPr>
          <w:rFonts w:hAnsi="標楷體" w:hint="eastAsia"/>
          <w:bCs/>
        </w:rPr>
        <w:t>截至106年9月止，平均執行率95</w:t>
      </w:r>
      <w:r w:rsidR="00577C26" w:rsidRPr="00BB72CE">
        <w:rPr>
          <w:rFonts w:hAnsi="標楷體" w:hint="eastAsia"/>
          <w:bCs/>
        </w:rPr>
        <w:t>%</w:t>
      </w:r>
      <w:r w:rsidR="00B547B8" w:rsidRPr="00BB72CE">
        <w:rPr>
          <w:rFonts w:hAnsi="標楷體" w:hint="eastAsia"/>
          <w:bCs/>
        </w:rPr>
        <w:t>、累計服務1,210家農場、平均月應領金額42,384元，工作22天以上完全領取獎勵金</w:t>
      </w:r>
      <w:r w:rsidR="00F311CE" w:rsidRPr="00BB72CE">
        <w:rPr>
          <w:rFonts w:hAnsi="標楷體" w:hint="eastAsia"/>
          <w:bCs/>
        </w:rPr>
        <w:t>（</w:t>
      </w:r>
      <w:r w:rsidR="00B547B8" w:rsidRPr="00BB72CE">
        <w:rPr>
          <w:rFonts w:hAnsi="標楷體" w:hint="eastAsia"/>
          <w:bCs/>
        </w:rPr>
        <w:t>18,800元</w:t>
      </w:r>
      <w:r w:rsidR="00F311CE" w:rsidRPr="00BB72CE">
        <w:rPr>
          <w:rFonts w:hAnsi="標楷體" w:hint="eastAsia"/>
          <w:bCs/>
        </w:rPr>
        <w:t>）</w:t>
      </w:r>
      <w:r w:rsidR="00B547B8" w:rsidRPr="00BB72CE">
        <w:rPr>
          <w:rFonts w:hAnsi="標楷體" w:hint="eastAsia"/>
          <w:bCs/>
        </w:rPr>
        <w:t>之平均月應領金額47,684元。</w:t>
      </w:r>
    </w:p>
    <w:p w:rsidR="00B547B8" w:rsidRPr="00BB72CE" w:rsidRDefault="003567D3" w:rsidP="00B547B8">
      <w:pPr>
        <w:pStyle w:val="4"/>
        <w:rPr>
          <w:rFonts w:hAnsi="標楷體"/>
          <w:bCs/>
        </w:rPr>
      </w:pPr>
      <w:r w:rsidRPr="00BB72CE">
        <w:rPr>
          <w:rFonts w:hAnsi="標楷體" w:hint="eastAsia"/>
          <w:bCs/>
        </w:rPr>
        <w:t>透過NGO團體積極擴增新勞動力來源，招募農村婦女、待役中青年、轉業、失業人口及新</w:t>
      </w:r>
      <w:r w:rsidR="00F311CE" w:rsidRPr="00BB72CE">
        <w:rPr>
          <w:rFonts w:hAnsi="標楷體" w:hint="eastAsia"/>
          <w:bCs/>
        </w:rPr>
        <w:t>（</w:t>
      </w:r>
      <w:r w:rsidRPr="00BB72CE">
        <w:rPr>
          <w:rFonts w:hAnsi="標楷體" w:hint="eastAsia"/>
          <w:bCs/>
        </w:rPr>
        <w:t>原</w:t>
      </w:r>
      <w:r w:rsidR="00F311CE" w:rsidRPr="00BB72CE">
        <w:rPr>
          <w:rFonts w:hAnsi="標楷體" w:hint="eastAsia"/>
          <w:bCs/>
        </w:rPr>
        <w:t>）</w:t>
      </w:r>
      <w:r w:rsidRPr="00BB72CE">
        <w:rPr>
          <w:rFonts w:hAnsi="標楷體" w:hint="eastAsia"/>
          <w:bCs/>
        </w:rPr>
        <w:t>住民組成農業耕新團，並讓農業勞工享有勞健保等福利。</w:t>
      </w:r>
      <w:r w:rsidR="00B547B8" w:rsidRPr="00BB72CE">
        <w:rPr>
          <w:rFonts w:hAnsi="標楷體" w:hint="eastAsia"/>
          <w:bCs/>
        </w:rPr>
        <w:t>截至106年9月止，平均執行率92</w:t>
      </w:r>
      <w:r w:rsidR="00577C26" w:rsidRPr="00BB72CE">
        <w:rPr>
          <w:rFonts w:hAnsi="標楷體" w:hint="eastAsia"/>
          <w:bCs/>
        </w:rPr>
        <w:t>%</w:t>
      </w:r>
      <w:r w:rsidR="00B547B8" w:rsidRPr="00BB72CE">
        <w:rPr>
          <w:rFonts w:hAnsi="標楷體" w:hint="eastAsia"/>
          <w:bCs/>
        </w:rPr>
        <w:t>、累計服務815家農場、平均月應領金額27,573元，工作22天以上完全領取獎勵金</w:t>
      </w:r>
      <w:r w:rsidR="00F311CE" w:rsidRPr="00BB72CE">
        <w:rPr>
          <w:rFonts w:hAnsi="標楷體" w:hint="eastAsia"/>
          <w:bCs/>
        </w:rPr>
        <w:t>（</w:t>
      </w:r>
      <w:r w:rsidR="00B547B8" w:rsidRPr="00BB72CE">
        <w:rPr>
          <w:rFonts w:hAnsi="標楷體" w:hint="eastAsia"/>
          <w:bCs/>
        </w:rPr>
        <w:t>8,800元</w:t>
      </w:r>
      <w:r w:rsidR="00F311CE" w:rsidRPr="00BB72CE">
        <w:rPr>
          <w:rFonts w:hAnsi="標楷體" w:hint="eastAsia"/>
          <w:bCs/>
        </w:rPr>
        <w:t>）</w:t>
      </w:r>
      <w:r w:rsidR="00B547B8" w:rsidRPr="00BB72CE">
        <w:rPr>
          <w:rFonts w:hAnsi="標楷體" w:hint="eastAsia"/>
          <w:bCs/>
        </w:rPr>
        <w:t>之平均月應領金額35,888元。</w:t>
      </w:r>
    </w:p>
    <w:p w:rsidR="00B547B8" w:rsidRPr="00BB72CE" w:rsidRDefault="003567D3" w:rsidP="00B547B8">
      <w:pPr>
        <w:pStyle w:val="4"/>
        <w:numPr>
          <w:ilvl w:val="3"/>
          <w:numId w:val="1"/>
        </w:numPr>
        <w:rPr>
          <w:rFonts w:hAnsi="標楷體"/>
          <w:bCs/>
        </w:rPr>
      </w:pPr>
      <w:r w:rsidRPr="00BB72CE">
        <w:rPr>
          <w:rFonts w:hAnsi="標楷體" w:hint="eastAsia"/>
          <w:bCs/>
        </w:rPr>
        <w:t>輔助措施：運用外役監受刑人協助改善農業缺工，及招募民眾或企業員工成立假日農夫團，協助提供不具專業技術、無危險疑慮之簡易農事工作。</w:t>
      </w:r>
      <w:r w:rsidR="00B547B8" w:rsidRPr="00BB72CE">
        <w:rPr>
          <w:rFonts w:hAnsi="標楷體" w:hint="eastAsia"/>
          <w:bCs/>
        </w:rPr>
        <w:t>截至106年9月止，平均執行率91</w:t>
      </w:r>
      <w:r w:rsidR="00577C26" w:rsidRPr="00BB72CE">
        <w:rPr>
          <w:rFonts w:hAnsi="標楷體" w:hint="eastAsia"/>
          <w:bCs/>
        </w:rPr>
        <w:t>%</w:t>
      </w:r>
      <w:r w:rsidR="00B547B8" w:rsidRPr="00BB72CE">
        <w:rPr>
          <w:rFonts w:hAnsi="標楷體" w:hint="eastAsia"/>
          <w:bCs/>
        </w:rPr>
        <w:t>，累計服務88家農場。</w:t>
      </w:r>
    </w:p>
    <w:p w:rsidR="00BB1294" w:rsidRPr="00BB72CE" w:rsidRDefault="00BB1294" w:rsidP="003D07CA">
      <w:pPr>
        <w:pStyle w:val="3"/>
      </w:pPr>
      <w:bookmarkStart w:id="117" w:name="_Toc499803042"/>
      <w:bookmarkStart w:id="118" w:name="_Toc499139430"/>
      <w:r w:rsidRPr="00BB72CE">
        <w:rPr>
          <w:rFonts w:hint="eastAsia"/>
        </w:rPr>
        <w:t>綜觀上開措施執行率雖皆達90%以上，惟究是否</w:t>
      </w:r>
      <w:r w:rsidR="008D3C99" w:rsidRPr="00BB72CE">
        <w:rPr>
          <w:rFonts w:hint="eastAsia"/>
        </w:rPr>
        <w:t>可根本解決農業缺工問題</w:t>
      </w:r>
      <w:r w:rsidR="008E3974" w:rsidRPr="00BB72CE">
        <w:rPr>
          <w:rFonts w:hint="eastAsia"/>
        </w:rPr>
        <w:t>；據媒體報導</w:t>
      </w:r>
      <w:r w:rsidR="008E3974" w:rsidRPr="00BB72CE">
        <w:rPr>
          <w:rStyle w:val="aff5"/>
        </w:rPr>
        <w:footnoteReference w:id="17"/>
      </w:r>
      <w:r w:rsidR="008E3974" w:rsidRPr="00BB72CE">
        <w:rPr>
          <w:rFonts w:hint="eastAsia"/>
        </w:rPr>
        <w:t>，</w:t>
      </w:r>
      <w:r w:rsidR="000C310D" w:rsidRPr="00BB72CE">
        <w:rPr>
          <w:rFonts w:hint="eastAsia"/>
        </w:rPr>
        <w:t>日本</w:t>
      </w:r>
      <w:r w:rsidR="008E3974" w:rsidRPr="00BB72CE">
        <w:rPr>
          <w:rFonts w:hint="eastAsia"/>
        </w:rPr>
        <w:t>德島縣於</w:t>
      </w:r>
      <w:r w:rsidR="000C310D" w:rsidRPr="00BB72CE">
        <w:rPr>
          <w:rFonts w:hint="eastAsia"/>
        </w:rPr>
        <w:t>公元2017年11月19日</w:t>
      </w:r>
      <w:r w:rsidR="008E3974" w:rsidRPr="00BB72CE">
        <w:rPr>
          <w:rFonts w:hint="eastAsia"/>
        </w:rPr>
        <w:t>舉辦</w:t>
      </w:r>
      <w:r w:rsidR="000C310D" w:rsidRPr="00BB72CE">
        <w:rPr>
          <w:rFonts w:hint="eastAsia"/>
        </w:rPr>
        <w:t>「農林漁業人才確保與農水省政策檢討」研討會</w:t>
      </w:r>
      <w:r w:rsidR="008E3974" w:rsidRPr="00BB72CE">
        <w:rPr>
          <w:rFonts w:hint="eastAsia"/>
        </w:rPr>
        <w:t>，參加人員包括中央政府官員、地方農協及業者，久松達央</w:t>
      </w:r>
      <w:r w:rsidR="003D07CA" w:rsidRPr="00BB72CE">
        <w:rPr>
          <w:rFonts w:hint="eastAsia"/>
        </w:rPr>
        <w:t>先生</w:t>
      </w:r>
      <w:r w:rsidR="008E3974" w:rsidRPr="00BB72CE">
        <w:rPr>
          <w:rFonts w:hint="eastAsia"/>
        </w:rPr>
        <w:t>於會中表示：「政府這些農業人材培育政策是相當失敗的一件事…。」久松</w:t>
      </w:r>
      <w:r w:rsidR="003D07CA" w:rsidRPr="00BB72CE">
        <w:rPr>
          <w:rFonts w:hint="eastAsia"/>
        </w:rPr>
        <w:t>先生</w:t>
      </w:r>
      <w:r w:rsidR="008E3974" w:rsidRPr="00BB72CE">
        <w:rPr>
          <w:rFonts w:hint="eastAsia"/>
        </w:rPr>
        <w:t>認為務農就跟開公司一樣，如果無法獨立營運，補助期限一到，你也就跟著出局，以政府的角度來說，你把補助金拿去養了一批沒有競爭力，陣亡率奇高無比的「農業生力軍」，這種政</w:t>
      </w:r>
      <w:r w:rsidR="008E3974" w:rsidRPr="00BB72CE">
        <w:rPr>
          <w:rFonts w:hint="eastAsia"/>
        </w:rPr>
        <w:lastRenderedPageBreak/>
        <w:t>策實在有被檢討的必要；看多了這些因為補助金而來，又因補助結束而離去的人們，久松</w:t>
      </w:r>
      <w:r w:rsidR="00ED3C6B" w:rsidRPr="00BB72CE">
        <w:rPr>
          <w:rFonts w:hint="eastAsia"/>
        </w:rPr>
        <w:t>先生</w:t>
      </w:r>
      <w:r w:rsidR="008E3974" w:rsidRPr="00BB72CE">
        <w:rPr>
          <w:rFonts w:hint="eastAsia"/>
        </w:rPr>
        <w:t>把這些案例歸納出一個公式「独立就農は討ち死にモデル」。</w:t>
      </w:r>
      <w:r w:rsidR="003D07CA" w:rsidRPr="00BB72CE">
        <w:rPr>
          <w:rFonts w:hint="eastAsia"/>
        </w:rPr>
        <w:t>我國勞動部</w:t>
      </w:r>
      <w:r w:rsidR="003D07CA" w:rsidRPr="00BB72CE">
        <w:rPr>
          <w:rFonts w:hAnsi="標楷體" w:hint="eastAsia"/>
        </w:rPr>
        <w:t>辦理</w:t>
      </w:r>
      <w:r w:rsidR="003D07CA" w:rsidRPr="00BB72CE">
        <w:rPr>
          <w:rFonts w:hAnsi="標楷體"/>
          <w:szCs w:val="32"/>
        </w:rPr>
        <w:t>「鼓勵國民從事農業工作就業獎勵試辦計畫」</w:t>
      </w:r>
      <w:r w:rsidR="003D07CA" w:rsidRPr="00BB72CE">
        <w:rPr>
          <w:rFonts w:hAnsi="標楷體" w:hint="eastAsia"/>
          <w:szCs w:val="32"/>
        </w:rPr>
        <w:t>，計畫期間</w:t>
      </w:r>
      <w:r w:rsidR="003D07CA" w:rsidRPr="00BB72CE">
        <w:rPr>
          <w:rFonts w:hAnsi="標楷體" w:hint="eastAsia"/>
        </w:rPr>
        <w:t>累計上工人數為582人，惟自計畫屆期後，至106年10月31日止，約僅剩下</w:t>
      </w:r>
      <w:r w:rsidR="00354E1F" w:rsidRPr="00BB72CE">
        <w:rPr>
          <w:rFonts w:hAnsi="標楷體" w:hint="eastAsia"/>
        </w:rPr>
        <w:t>3</w:t>
      </w:r>
      <w:r w:rsidR="003D07CA" w:rsidRPr="00BB72CE">
        <w:rPr>
          <w:rFonts w:hAnsi="標楷體" w:hint="eastAsia"/>
        </w:rPr>
        <w:t>成</w:t>
      </w:r>
      <w:r w:rsidR="00354E1F" w:rsidRPr="00BB72CE">
        <w:rPr>
          <w:rFonts w:hAnsi="標楷體" w:hint="eastAsia"/>
        </w:rPr>
        <w:t>5</w:t>
      </w:r>
      <w:r w:rsidR="003D07CA" w:rsidRPr="00BB72CE">
        <w:rPr>
          <w:rFonts w:hAnsi="標楷體" w:hint="eastAsia"/>
        </w:rPr>
        <w:t>(204人)繼續從事農務工作，此實情正可印證久松先生</w:t>
      </w:r>
      <w:r w:rsidR="00A25E4E" w:rsidRPr="00BB72CE">
        <w:rPr>
          <w:rFonts w:hAnsi="標楷體" w:hint="eastAsia"/>
        </w:rPr>
        <w:t>上開</w:t>
      </w:r>
      <w:r w:rsidR="003D07CA" w:rsidRPr="00BB72CE">
        <w:rPr>
          <w:rFonts w:hint="eastAsia"/>
        </w:rPr>
        <w:t>意見，</w:t>
      </w:r>
      <w:r w:rsidR="00A25E4E" w:rsidRPr="00BB72CE">
        <w:rPr>
          <w:rFonts w:hint="eastAsia"/>
        </w:rPr>
        <w:t>故</w:t>
      </w:r>
      <w:r w:rsidR="003D07CA" w:rsidRPr="00BB72CE">
        <w:rPr>
          <w:rFonts w:hint="eastAsia"/>
        </w:rPr>
        <w:t>不論日本或臺灣，</w:t>
      </w:r>
      <w:r w:rsidR="00A25E4E" w:rsidRPr="00BB72CE">
        <w:rPr>
          <w:rFonts w:hint="eastAsia"/>
        </w:rPr>
        <w:t>吸引農工或人才之政策，都可能隨計畫補助截止而失效，有待農委會深思並納為檢討。</w:t>
      </w:r>
      <w:bookmarkEnd w:id="117"/>
    </w:p>
    <w:p w:rsidR="00A50DFB" w:rsidRPr="00BB72CE" w:rsidRDefault="00BB1294" w:rsidP="00890A25">
      <w:pPr>
        <w:pStyle w:val="3"/>
      </w:pPr>
      <w:bookmarkStart w:id="119" w:name="_Toc499803043"/>
      <w:r w:rsidRPr="00BB72CE">
        <w:rPr>
          <w:rFonts w:hint="eastAsia"/>
        </w:rPr>
        <w:t>至於上開</w:t>
      </w:r>
      <w:r w:rsidR="00D2293E">
        <w:rPr>
          <w:rFonts w:hint="eastAsia"/>
        </w:rPr>
        <w:t>舒</w:t>
      </w:r>
      <w:r w:rsidRPr="00BB72CE">
        <w:rPr>
          <w:rFonts w:hint="eastAsia"/>
        </w:rPr>
        <w:t>緩農業季節性缺工措施適用勞動基準法情形，依該法第3條第1項第1款規定，農、林、漁、牧業自73年8月1日起適用之，勞動部表示</w:t>
      </w:r>
      <w:r w:rsidRPr="00BB72CE">
        <w:rPr>
          <w:rStyle w:val="aff5"/>
          <w:rFonts w:hAnsi="標楷體"/>
        </w:rPr>
        <w:footnoteReference w:id="18"/>
      </w:r>
      <w:r w:rsidRPr="00BB72CE">
        <w:rPr>
          <w:rFonts w:hint="eastAsia"/>
        </w:rPr>
        <w:t>，考量農、林、漁、牧業工作性質受到物產之季節性週期及天候因素影響，處理作業具有即時性及特殊性，且相關產物多與民生息息相關，該部於106年7月25日公告指定農、林、漁、牧業為得適用4週彈性工時之行業。爰此，依現行規定，農、林、漁、牧業可依產業特性需求，經勞資雙方協商採行2、4及8週彈性工時，以為因應，另其勞動條件包括：延長工作時間之工資、一例一休、休假、特別休假…</w:t>
      </w:r>
      <w:r w:rsidRPr="00BB72CE">
        <w:rPr>
          <w:rFonts w:hAnsi="標楷體" w:hint="eastAsia"/>
        </w:rPr>
        <w:t>…</w:t>
      </w:r>
      <w:r w:rsidRPr="00BB72CE">
        <w:rPr>
          <w:rFonts w:hint="eastAsia"/>
        </w:rPr>
        <w:t>，亦依各該條文規定辦理，與經勞資雙方協商採行之彈性工時係相互搭配。惟近期陸續有勞資爭議相關情事發生，例如依約定農業師傅每日工作時間須達8小時，而中午時段天氣炎熱不克務農，爰工作時間須往後挪移至滿8小時為止，因最後下班時間太晚而提出離職，卻須賠償訓練費，亦即農業專業技術培訓費爭議事宜；另苗栗縣及桃園市亦有勞方（務</w:t>
      </w:r>
      <w:r w:rsidRPr="00BB72CE">
        <w:rPr>
          <w:rFonts w:hint="eastAsia"/>
        </w:rPr>
        <w:lastRenderedPageBreak/>
        <w:t>農者）與資方雙方對於工作時間認定歧異、請求資遣費等引發爭議之案例</w:t>
      </w:r>
      <w:r w:rsidR="00A50DFB" w:rsidRPr="00BB72CE">
        <w:rPr>
          <w:rFonts w:hint="eastAsia"/>
        </w:rPr>
        <w:t>；且106年11月28日媒體亦報導</w:t>
      </w:r>
      <w:r w:rsidR="00A50DFB" w:rsidRPr="00BB72CE">
        <w:rPr>
          <w:rStyle w:val="aff5"/>
        </w:rPr>
        <w:footnoteReference w:id="19"/>
      </w:r>
      <w:r w:rsidR="00A50DFB" w:rsidRPr="00BB72CE">
        <w:rPr>
          <w:rFonts w:hint="eastAsia"/>
        </w:rPr>
        <w:t>：</w:t>
      </w:r>
      <w:r w:rsidR="00A50DFB" w:rsidRPr="00BB72CE">
        <w:rPr>
          <w:rFonts w:ascii="新細明體" w:eastAsia="新細明體" w:hAnsi="新細明體" w:hint="eastAsia"/>
        </w:rPr>
        <w:t>「</w:t>
      </w:r>
      <w:r w:rsidR="00A50DFB" w:rsidRPr="00BB72CE">
        <w:rPr>
          <w:rFonts w:hint="eastAsia"/>
        </w:rPr>
        <w:t>農業缺工嚴重，但農民要合法僱工也不容易，特別是一例一休之後，不少農民缺乏勞動基準法知識，頻頻出現勞資糾紛。</w:t>
      </w:r>
      <w:r w:rsidR="00A50DFB" w:rsidRPr="00BB72CE">
        <w:rPr>
          <w:rFonts w:hAnsi="標楷體" w:hint="eastAsia"/>
        </w:rPr>
        <w:t>」</w:t>
      </w:r>
      <w:bookmarkEnd w:id="119"/>
    </w:p>
    <w:p w:rsidR="00A02818" w:rsidRPr="00BB72CE" w:rsidRDefault="00DC6A21" w:rsidP="00A02818">
      <w:pPr>
        <w:pStyle w:val="3"/>
        <w:rPr>
          <w:rFonts w:hAnsi="標楷體"/>
        </w:rPr>
      </w:pPr>
      <w:bookmarkStart w:id="120" w:name="_Toc499139431"/>
      <w:bookmarkStart w:id="121" w:name="_Toc499803044"/>
      <w:bookmarkEnd w:id="118"/>
      <w:r w:rsidRPr="00BB72CE">
        <w:rPr>
          <w:rFonts w:hAnsi="標楷體" w:hint="eastAsia"/>
        </w:rPr>
        <w:t>綜上，</w:t>
      </w:r>
      <w:r w:rsidR="00A02818" w:rsidRPr="00BB72CE">
        <w:rPr>
          <w:rFonts w:hAnsi="標楷體" w:hint="eastAsia"/>
        </w:rPr>
        <w:t>我國</w:t>
      </w:r>
      <w:r w:rsidR="00A02818" w:rsidRPr="00BB72CE">
        <w:rPr>
          <w:rFonts w:hAnsi="標楷體" w:hint="eastAsia"/>
          <w:szCs w:val="32"/>
        </w:rPr>
        <w:t>農糧產業全年性缺工約有1萬1,000人，而季節性缺工更為嚴重，每月約有9萬人，而</w:t>
      </w:r>
      <w:r w:rsidR="00BB137F" w:rsidRPr="00BB72CE">
        <w:rPr>
          <w:rFonts w:hAnsi="標楷體" w:hint="eastAsia"/>
        </w:rPr>
        <w:t>勞動部曾辦理</w:t>
      </w:r>
      <w:r w:rsidRPr="00BB72CE">
        <w:rPr>
          <w:rFonts w:hAnsi="標楷體"/>
          <w:szCs w:val="32"/>
        </w:rPr>
        <w:t>「鼓勵國民從事農業工作就業獎勵試辦計</w:t>
      </w:r>
      <w:r w:rsidRPr="00BB72CE">
        <w:rPr>
          <w:rFonts w:hAnsi="標楷體"/>
          <w:spacing w:val="-4"/>
          <w:szCs w:val="32"/>
        </w:rPr>
        <w:t>畫」</w:t>
      </w:r>
      <w:r w:rsidRPr="00BB72CE">
        <w:rPr>
          <w:rFonts w:hAnsi="標楷體" w:hint="eastAsia"/>
          <w:spacing w:val="-4"/>
          <w:szCs w:val="32"/>
        </w:rPr>
        <w:t>，</w:t>
      </w:r>
      <w:r w:rsidRPr="00BB72CE">
        <w:rPr>
          <w:rFonts w:hAnsi="標楷體" w:hint="eastAsia"/>
          <w:spacing w:val="-4"/>
        </w:rPr>
        <w:t>至執行計畫106年6月30日屆期止，在職農務人員為322人，累計上工人數</w:t>
      </w:r>
      <w:r w:rsidR="00A02818" w:rsidRPr="00BB72CE">
        <w:rPr>
          <w:rFonts w:hAnsi="標楷體" w:hint="eastAsia"/>
          <w:spacing w:val="-4"/>
        </w:rPr>
        <w:t>僅有</w:t>
      </w:r>
      <w:r w:rsidRPr="00BB72CE">
        <w:rPr>
          <w:rFonts w:hAnsi="標楷體" w:hint="eastAsia"/>
          <w:spacing w:val="-4"/>
        </w:rPr>
        <w:t>582人，惟該計畫屆期後</w:t>
      </w:r>
      <w:r w:rsidR="00A02818" w:rsidRPr="00BB72CE">
        <w:rPr>
          <w:rFonts w:hAnsi="標楷體" w:hint="eastAsia"/>
          <w:spacing w:val="-4"/>
        </w:rPr>
        <w:t>至106年10月31日止，又只剩204人持續從事農務工作，顯見對於農業缺工問題，改善幅度有限；嗣後農委會推動</w:t>
      </w:r>
      <w:r w:rsidR="00D2293E">
        <w:rPr>
          <w:rFonts w:hAnsi="標楷體" w:hint="eastAsia"/>
          <w:spacing w:val="-4"/>
        </w:rPr>
        <w:t>舒</w:t>
      </w:r>
      <w:r w:rsidR="00A02818" w:rsidRPr="00BB72CE">
        <w:rPr>
          <w:rFonts w:hAnsi="標楷體" w:hint="eastAsia"/>
          <w:spacing w:val="-4"/>
        </w:rPr>
        <w:t>緩農業季節性缺工措施，勞動部也因應公告指定農、林、漁、牧業為得適用4週彈性工時之行業，且勞動條件均適用勞動基準法各該規定，惟近期陸續有工時認定、農業師傅培訓費賠償、資遣費求償等勞資爭議相關情事發生，此等關於農業缺工、</w:t>
      </w:r>
      <w:r w:rsidR="00D2293E">
        <w:rPr>
          <w:rFonts w:hAnsi="標楷體" w:hint="eastAsia"/>
          <w:spacing w:val="-4"/>
        </w:rPr>
        <w:t>舒</w:t>
      </w:r>
      <w:r w:rsidR="00524CD7" w:rsidRPr="00BB72CE">
        <w:rPr>
          <w:rFonts w:hAnsi="標楷體" w:hint="eastAsia"/>
          <w:spacing w:val="-4"/>
        </w:rPr>
        <w:t>緩季節性缺工措施</w:t>
      </w:r>
      <w:r w:rsidR="00A02818" w:rsidRPr="00BB72CE">
        <w:rPr>
          <w:rFonts w:hAnsi="標楷體" w:hint="eastAsia"/>
          <w:spacing w:val="-4"/>
        </w:rPr>
        <w:t>及</w:t>
      </w:r>
      <w:r w:rsidR="00524CD7" w:rsidRPr="00BB72CE">
        <w:rPr>
          <w:rFonts w:hAnsi="標楷體" w:hint="eastAsia"/>
          <w:spacing w:val="-4"/>
        </w:rPr>
        <w:t>所衍生</w:t>
      </w:r>
      <w:r w:rsidR="00A02818" w:rsidRPr="00BB72CE">
        <w:rPr>
          <w:rFonts w:hAnsi="標楷體" w:hint="eastAsia"/>
          <w:spacing w:val="-4"/>
        </w:rPr>
        <w:t>勞資</w:t>
      </w:r>
      <w:r w:rsidR="00524CD7" w:rsidRPr="00BB72CE">
        <w:rPr>
          <w:rFonts w:hAnsi="標楷體" w:hint="eastAsia"/>
          <w:spacing w:val="-4"/>
        </w:rPr>
        <w:t>爭議之情事，均有待農委會及勞動部正視並妥謀因應方案。</w:t>
      </w:r>
      <w:bookmarkEnd w:id="120"/>
      <w:bookmarkEnd w:id="121"/>
    </w:p>
    <w:p w:rsidR="00354E1F" w:rsidRPr="00BB72CE" w:rsidRDefault="00354E1F" w:rsidP="00354E1F">
      <w:pPr>
        <w:pStyle w:val="2"/>
        <w:numPr>
          <w:ilvl w:val="1"/>
          <w:numId w:val="1"/>
        </w:numPr>
        <w:rPr>
          <w:b/>
        </w:rPr>
      </w:pPr>
      <w:bookmarkStart w:id="122" w:name="_Toc499803045"/>
      <w:r w:rsidRPr="00BB72CE">
        <w:rPr>
          <w:rFonts w:hint="eastAsia"/>
          <w:b/>
        </w:rPr>
        <w:t>我國</w:t>
      </w:r>
      <w:r w:rsidRPr="00BB72CE">
        <w:rPr>
          <w:b/>
        </w:rPr>
        <w:t>糧食自給率</w:t>
      </w:r>
      <w:r w:rsidRPr="00BB72CE">
        <w:rPr>
          <w:rFonts w:hint="eastAsia"/>
          <w:b/>
        </w:rPr>
        <w:t>偏低，99年降至31.2%，時隔6年，</w:t>
      </w:r>
      <w:r w:rsidRPr="00BB72CE">
        <w:rPr>
          <w:b/>
        </w:rPr>
        <w:t>10</w:t>
      </w:r>
      <w:r w:rsidRPr="00BB72CE">
        <w:rPr>
          <w:rFonts w:hint="eastAsia"/>
          <w:b/>
        </w:rPr>
        <w:t>5</w:t>
      </w:r>
      <w:r w:rsidRPr="00BB72CE">
        <w:rPr>
          <w:b/>
        </w:rPr>
        <w:t>年</w:t>
      </w:r>
      <w:r w:rsidRPr="00BB72CE">
        <w:rPr>
          <w:rFonts w:hint="eastAsia"/>
          <w:b/>
        </w:rPr>
        <w:t>仍僅</w:t>
      </w:r>
      <w:r w:rsidRPr="00BB72CE">
        <w:rPr>
          <w:b/>
        </w:rPr>
        <w:t>3</w:t>
      </w:r>
      <w:r w:rsidRPr="00BB72CE">
        <w:rPr>
          <w:rFonts w:hint="eastAsia"/>
          <w:b/>
        </w:rPr>
        <w:t>1%，難以提升，為達成109</w:t>
      </w:r>
      <w:r w:rsidRPr="00BB72CE">
        <w:rPr>
          <w:b/>
        </w:rPr>
        <w:t>年糧食自給率40%</w:t>
      </w:r>
      <w:r w:rsidRPr="00BB72CE">
        <w:rPr>
          <w:rFonts w:hint="eastAsia"/>
          <w:b/>
        </w:rPr>
        <w:t>之設定</w:t>
      </w:r>
      <w:r w:rsidRPr="00BB72CE">
        <w:rPr>
          <w:b/>
        </w:rPr>
        <w:t>目標</w:t>
      </w:r>
      <w:r w:rsidRPr="00BB72CE">
        <w:rPr>
          <w:rFonts w:hint="eastAsia"/>
          <w:b/>
        </w:rPr>
        <w:t>，並促進農業及農村永續發展，農委會除了鼓勵農民種植進口替代作物，增加國內雜糧供給之外，亟應強化食農教育之踐行及相關立法之推動，引導全民對國產農產品及在地飲食文化之認同、信賴與支持，以增加農民之收益，創造農業發展之利基。</w:t>
      </w:r>
      <w:bookmarkEnd w:id="122"/>
    </w:p>
    <w:p w:rsidR="00354E1F" w:rsidRPr="00BB72CE" w:rsidRDefault="00354E1F" w:rsidP="00354E1F">
      <w:pPr>
        <w:pStyle w:val="3"/>
        <w:numPr>
          <w:ilvl w:val="2"/>
          <w:numId w:val="1"/>
        </w:numPr>
      </w:pPr>
      <w:bookmarkStart w:id="123" w:name="_Toc499803046"/>
      <w:r w:rsidRPr="00BB72CE">
        <w:t>糧食安全</w:t>
      </w:r>
      <w:r w:rsidRPr="00BB72CE">
        <w:rPr>
          <w:rFonts w:hint="eastAsia"/>
        </w:rPr>
        <w:t>為國家安全之一環，糧食自給率係衡量糧食安全的指標之一，自給率愈高代表糧食安全程度</w:t>
      </w:r>
      <w:r w:rsidRPr="00BB72CE">
        <w:rPr>
          <w:rFonts w:hint="eastAsia"/>
        </w:rPr>
        <w:lastRenderedPageBreak/>
        <w:t>愈高，然而，我國</w:t>
      </w:r>
      <w:r w:rsidRPr="00BB72CE">
        <w:t>糧食自給率</w:t>
      </w:r>
      <w:r w:rsidRPr="00BB72CE">
        <w:rPr>
          <w:rFonts w:hint="eastAsia"/>
        </w:rPr>
        <w:t>偏低，大幅仰賴進口供應，</w:t>
      </w:r>
      <w:r w:rsidRPr="00BB72CE">
        <w:t>於83年跌破4成，</w:t>
      </w:r>
      <w:r w:rsidRPr="00BB72CE">
        <w:rPr>
          <w:rFonts w:hint="eastAsia"/>
        </w:rPr>
        <w:t>為38.4%，</w:t>
      </w:r>
      <w:r w:rsidRPr="00BB72CE">
        <w:t>其後持續下滑</w:t>
      </w:r>
      <w:r w:rsidRPr="00BB72CE">
        <w:rPr>
          <w:rFonts w:hint="eastAsia"/>
        </w:rPr>
        <w:t>，至99年降至31.2%。</w:t>
      </w:r>
      <w:r w:rsidRPr="00BB72CE">
        <w:t>農委會為確保我國糧食安全於</w:t>
      </w:r>
      <w:r w:rsidRPr="00BB72CE">
        <w:rPr>
          <w:rFonts w:hint="eastAsia"/>
        </w:rPr>
        <w:t>100年</w:t>
      </w:r>
      <w:r w:rsidRPr="00BB72CE">
        <w:t>5月10、11日「全國糧食安全會議」，訂定我國</w:t>
      </w:r>
      <w:r w:rsidRPr="00BB72CE">
        <w:rPr>
          <w:rFonts w:hint="eastAsia"/>
        </w:rPr>
        <w:t>109</w:t>
      </w:r>
      <w:r w:rsidRPr="00BB72CE">
        <w:t>年糧食自給率目標為40%，</w:t>
      </w:r>
      <w:r w:rsidRPr="00BB72CE">
        <w:rPr>
          <w:rFonts w:hint="eastAsia"/>
        </w:rPr>
        <w:t>並</w:t>
      </w:r>
      <w:r w:rsidRPr="00BB72CE">
        <w:t>積極推行活化農地政策，增產</w:t>
      </w:r>
      <w:r w:rsidRPr="00BB72CE">
        <w:rPr>
          <w:rFonts w:hint="eastAsia"/>
        </w:rPr>
        <w:t>進口替代</w:t>
      </w:r>
      <w:r w:rsidRPr="00BB72CE">
        <w:t>糧食作物，</w:t>
      </w:r>
      <w:r w:rsidRPr="00BB72CE">
        <w:rPr>
          <w:rFonts w:hint="eastAsia"/>
        </w:rPr>
        <w:t>促使</w:t>
      </w:r>
      <w:r w:rsidRPr="00BB72CE">
        <w:t>糧食自給率小幅回</w:t>
      </w:r>
      <w:r w:rsidRPr="00BB72CE">
        <w:rPr>
          <w:rFonts w:hint="eastAsia"/>
        </w:rPr>
        <w:t>升，103年為34%，惟</w:t>
      </w:r>
      <w:r w:rsidRPr="00BB72CE">
        <w:t>10</w:t>
      </w:r>
      <w:r w:rsidRPr="00BB72CE">
        <w:rPr>
          <w:rFonts w:hint="eastAsia"/>
        </w:rPr>
        <w:t>5</w:t>
      </w:r>
      <w:r w:rsidRPr="00BB72CE">
        <w:t>年</w:t>
      </w:r>
      <w:r w:rsidRPr="00BB72CE">
        <w:rPr>
          <w:rFonts w:hint="eastAsia"/>
        </w:rPr>
        <w:t>仍跌至</w:t>
      </w:r>
      <w:r w:rsidRPr="00BB72CE">
        <w:t>3</w:t>
      </w:r>
      <w:r w:rsidRPr="00BB72CE">
        <w:rPr>
          <w:rFonts w:hint="eastAsia"/>
        </w:rPr>
        <w:t>1%。</w:t>
      </w:r>
      <w:bookmarkEnd w:id="123"/>
    </w:p>
    <w:p w:rsidR="00354E1F" w:rsidRPr="00BB72CE" w:rsidRDefault="00354E1F" w:rsidP="00354E1F">
      <w:pPr>
        <w:pStyle w:val="3"/>
        <w:numPr>
          <w:ilvl w:val="2"/>
          <w:numId w:val="1"/>
        </w:numPr>
      </w:pPr>
      <w:bookmarkStart w:id="124" w:name="_Toc499803047"/>
      <w:r w:rsidRPr="00BB72CE">
        <w:rPr>
          <w:rFonts w:hint="eastAsia"/>
        </w:rPr>
        <w:t>農</w:t>
      </w:r>
      <w:r w:rsidRPr="00BB72CE">
        <w:rPr>
          <w:rStyle w:val="40"/>
          <w:rFonts w:hint="eastAsia"/>
        </w:rPr>
        <w:t>委會</w:t>
      </w:r>
      <w:r w:rsidRPr="00BB72CE">
        <w:rPr>
          <w:rStyle w:val="40"/>
        </w:rPr>
        <w:t>「精緻農業</w:t>
      </w:r>
      <w:r w:rsidRPr="00BB72CE">
        <w:rPr>
          <w:rStyle w:val="40"/>
          <w:rFonts w:hint="eastAsia"/>
        </w:rPr>
        <w:t>方案</w:t>
      </w:r>
      <w:r w:rsidRPr="00BB72CE">
        <w:rPr>
          <w:rStyle w:val="40"/>
        </w:rPr>
        <w:t>」</w:t>
      </w:r>
      <w:r w:rsidRPr="00BB72CE">
        <w:rPr>
          <w:rStyle w:val="40"/>
          <w:rFonts w:hint="eastAsia"/>
        </w:rPr>
        <w:t>三大主軸之一的</w:t>
      </w:r>
      <w:r w:rsidRPr="00BB72CE">
        <w:rPr>
          <w:rStyle w:val="40"/>
        </w:rPr>
        <w:t>「健康農業」</w:t>
      </w:r>
      <w:r w:rsidRPr="00BB72CE">
        <w:rPr>
          <w:rStyle w:val="40"/>
          <w:rFonts w:hint="eastAsia"/>
        </w:rPr>
        <w:t>，</w:t>
      </w:r>
      <w:r w:rsidRPr="00BB72CE">
        <w:rPr>
          <w:rStyle w:val="40"/>
        </w:rPr>
        <w:t>以嚴選製造、在地生產、在地消費、健康安全</w:t>
      </w:r>
      <w:r w:rsidRPr="00BB72CE">
        <w:rPr>
          <w:rStyle w:val="40"/>
          <w:rFonts w:hint="eastAsia"/>
        </w:rPr>
        <w:t>之</w:t>
      </w:r>
      <w:r w:rsidRPr="00BB72CE">
        <w:rPr>
          <w:rStyle w:val="40"/>
        </w:rPr>
        <w:t>農產品</w:t>
      </w:r>
      <w:r w:rsidRPr="00BB72CE">
        <w:rPr>
          <w:rStyle w:val="40"/>
          <w:rFonts w:hint="eastAsia"/>
        </w:rPr>
        <w:t>作為訴求，</w:t>
      </w:r>
      <w:r w:rsidRPr="00BB72CE">
        <w:rPr>
          <w:rStyle w:val="40"/>
        </w:rPr>
        <w:t>實現</w:t>
      </w:r>
      <w:r w:rsidRPr="00BB72CE">
        <w:rPr>
          <w:rStyle w:val="40"/>
          <w:rFonts w:hint="eastAsia"/>
        </w:rPr>
        <w:t>臺</w:t>
      </w:r>
      <w:r w:rsidRPr="00BB72CE">
        <w:rPr>
          <w:rStyle w:val="40"/>
        </w:rPr>
        <w:t>灣農業成為全民共享</w:t>
      </w:r>
      <w:r w:rsidRPr="00BB72CE">
        <w:rPr>
          <w:rStyle w:val="40"/>
          <w:rFonts w:hint="eastAsia"/>
        </w:rPr>
        <w:t>之</w:t>
      </w:r>
      <w:r w:rsidRPr="00BB72CE">
        <w:rPr>
          <w:rStyle w:val="40"/>
        </w:rPr>
        <w:t>健康產業。</w:t>
      </w:r>
      <w:r w:rsidRPr="00BB72CE">
        <w:rPr>
          <w:rStyle w:val="40"/>
          <w:rFonts w:hint="eastAsia"/>
        </w:rPr>
        <w:t>至於，食農教育係培養國民基本農業生產、消費及飲食調理知能及實踐，增進飲食與農業連結之各種教育活動，</w:t>
      </w:r>
      <w:r w:rsidRPr="00BB72CE">
        <w:rPr>
          <w:rStyle w:val="40"/>
        </w:rPr>
        <w:t>涵蓋在地生產、在地消費、食品安全、健康飲食、糧食安全等相關知識，</w:t>
      </w:r>
      <w:r w:rsidRPr="00BB72CE">
        <w:rPr>
          <w:rStyle w:val="40"/>
          <w:rFonts w:hint="eastAsia"/>
        </w:rPr>
        <w:t>強化</w:t>
      </w:r>
      <w:r w:rsidRPr="00BB72CE">
        <w:rPr>
          <w:rStyle w:val="40"/>
        </w:rPr>
        <w:t>國人認識農業多元價值</w:t>
      </w:r>
      <w:r w:rsidRPr="00BB72CE">
        <w:rPr>
          <w:rStyle w:val="40"/>
          <w:rFonts w:hint="eastAsia"/>
        </w:rPr>
        <w:t>，亦與</w:t>
      </w:r>
      <w:r w:rsidRPr="00BB72CE">
        <w:rPr>
          <w:rStyle w:val="40"/>
        </w:rPr>
        <w:t>「健康農業」</w:t>
      </w:r>
      <w:r w:rsidRPr="00BB72CE">
        <w:rPr>
          <w:rStyle w:val="40"/>
          <w:rFonts w:hint="eastAsia"/>
        </w:rPr>
        <w:t>息息相關</w:t>
      </w:r>
      <w:r w:rsidRPr="00BB72CE">
        <w:rPr>
          <w:rStyle w:val="40"/>
        </w:rPr>
        <w:t>。</w:t>
      </w:r>
      <w:r w:rsidRPr="00BB72CE">
        <w:rPr>
          <w:rStyle w:val="40"/>
          <w:rFonts w:hint="eastAsia"/>
        </w:rPr>
        <w:t>日本、韓國</w:t>
      </w:r>
      <w:r w:rsidRPr="00BB72CE">
        <w:rPr>
          <w:rStyle w:val="40"/>
        </w:rPr>
        <w:t>為</w:t>
      </w:r>
      <w:r w:rsidRPr="00BB72CE">
        <w:rPr>
          <w:rStyle w:val="40"/>
          <w:rFonts w:hint="eastAsia"/>
        </w:rPr>
        <w:t>提振國內消費市場對國產品之支持</w:t>
      </w:r>
      <w:r w:rsidRPr="00BB72CE">
        <w:rPr>
          <w:rFonts w:hint="eastAsia"/>
        </w:rPr>
        <w:t>，制定農業基本法，立法目標主要著重糧食安全或環境永續，甚至農業發展，並將食農教育概念納入法律，每隔5年制定相關推動基本計畫。在農產品運銷模式上，日、韓兩國藉由食農教育，發展出「身土不二」（意即「當地人要吃當地生產的食物」）、「地產地消」（意即</w:t>
      </w:r>
      <w:r w:rsidRPr="00BB72CE">
        <w:t>「在地生產，在地消費」</w:t>
      </w:r>
      <w:r w:rsidRPr="00BB72CE">
        <w:rPr>
          <w:rFonts w:hint="eastAsia"/>
        </w:rPr>
        <w:t>）之銷售模式，係指農民採在地銷售農產品的方式與消費者接觸，透過介紹自有特色及優質農產品進而達成促成銷售，上開模式係有別於一般傳統的銷售模式，農民不再只有單純從事生產工作，還需要額外具有初級加工、包裝（二級產業），以及行銷、銷售（三級產業）之能力。農民透過培養初級加工、行銷與銷售之能力，農民屬於自家產品之專業經理人，不僅需要顧好產品品質，更需要精心包裝產品與推廣銷</w:t>
      </w:r>
      <w:r w:rsidRPr="00BB72CE">
        <w:rPr>
          <w:rFonts w:hint="eastAsia"/>
        </w:rPr>
        <w:lastRenderedPageBreak/>
        <w:t>售，省略中間商的收購，賺取的收入均回饋到農民自身，所得也因此提高。</w:t>
      </w:r>
      <w:bookmarkEnd w:id="124"/>
    </w:p>
    <w:p w:rsidR="00354E1F" w:rsidRPr="00BB72CE" w:rsidRDefault="00354E1F" w:rsidP="00354E1F">
      <w:pPr>
        <w:pStyle w:val="3"/>
        <w:numPr>
          <w:ilvl w:val="2"/>
          <w:numId w:val="1"/>
        </w:numPr>
      </w:pPr>
      <w:bookmarkStart w:id="125" w:name="_Toc499803048"/>
      <w:r w:rsidRPr="00BB72CE">
        <w:rPr>
          <w:rFonts w:hint="eastAsia"/>
        </w:rPr>
        <w:t>農委會借鏡日、韓兩國之作法，亦開拓國產農產品之多元行銷通路，相關具體作法如下：</w:t>
      </w:r>
      <w:bookmarkEnd w:id="125"/>
    </w:p>
    <w:p w:rsidR="00354E1F" w:rsidRPr="00BB72CE" w:rsidRDefault="00354E1F" w:rsidP="00354E1F">
      <w:pPr>
        <w:pStyle w:val="4"/>
        <w:numPr>
          <w:ilvl w:val="3"/>
          <w:numId w:val="1"/>
        </w:numPr>
      </w:pPr>
      <w:r w:rsidRPr="00BB72CE">
        <w:rPr>
          <w:rFonts w:hint="eastAsia"/>
        </w:rPr>
        <w:t>輔導假日農民市集、道農市集、社區小舖、社區市集、農夫市集與農民直銷站，將優質國產農產品穩定呈現於消費者面前，鼓勵國人踴躍採購。</w:t>
      </w:r>
    </w:p>
    <w:p w:rsidR="00354E1F" w:rsidRPr="00BB72CE" w:rsidRDefault="00354E1F" w:rsidP="00354E1F">
      <w:pPr>
        <w:pStyle w:val="5"/>
        <w:numPr>
          <w:ilvl w:val="4"/>
          <w:numId w:val="1"/>
        </w:numPr>
        <w:rPr>
          <w:spacing w:val="-8"/>
        </w:rPr>
      </w:pPr>
      <w:r w:rsidRPr="00BB72CE">
        <w:rPr>
          <w:rFonts w:hint="eastAsia"/>
          <w:spacing w:val="-8"/>
        </w:rPr>
        <w:t>假日農民市集(如臺北希望廣場、圓山花博廣場)</w:t>
      </w:r>
    </w:p>
    <w:p w:rsidR="00354E1F" w:rsidRPr="00BB72CE" w:rsidRDefault="00354E1F" w:rsidP="00354E1F">
      <w:pPr>
        <w:pStyle w:val="6"/>
        <w:numPr>
          <w:ilvl w:val="5"/>
          <w:numId w:val="1"/>
        </w:numPr>
      </w:pPr>
      <w:r w:rsidRPr="00BB72CE">
        <w:rPr>
          <w:rFonts w:hint="eastAsia"/>
        </w:rPr>
        <w:t>於都會區設置臺北希望廣場(自90年起設立)、花博農民市集(自102年起設立)等假日市集，由全國各直轄市、縣(市)農民至都會區行銷當季特色農產品，透過農民與消費者面對面，深化都會區消費者對於國產農產品認同與支持。</w:t>
      </w:r>
    </w:p>
    <w:p w:rsidR="00354E1F" w:rsidRPr="00BB72CE" w:rsidRDefault="00354E1F" w:rsidP="00354E1F">
      <w:pPr>
        <w:pStyle w:val="6"/>
        <w:numPr>
          <w:ilvl w:val="5"/>
          <w:numId w:val="1"/>
        </w:numPr>
      </w:pPr>
      <w:r w:rsidRPr="00BB72CE">
        <w:rPr>
          <w:rFonts w:hint="eastAsia"/>
        </w:rPr>
        <w:t>臺北希望廣場及圓山花博廣場</w:t>
      </w:r>
      <w:r w:rsidRPr="00BB72CE">
        <w:t>102</w:t>
      </w:r>
      <w:r w:rsidRPr="00BB72CE">
        <w:rPr>
          <w:rFonts w:hint="eastAsia"/>
        </w:rPr>
        <w:t>年農產品銷售金額</w:t>
      </w:r>
      <w:r w:rsidRPr="00BB72CE">
        <w:t>2.2</w:t>
      </w:r>
      <w:r w:rsidRPr="00BB72CE">
        <w:rPr>
          <w:rFonts w:hint="eastAsia"/>
        </w:rPr>
        <w:t>億元，</w:t>
      </w:r>
      <w:r w:rsidRPr="00BB72CE">
        <w:t>103</w:t>
      </w:r>
      <w:r w:rsidRPr="00BB72CE">
        <w:rPr>
          <w:rFonts w:hint="eastAsia"/>
        </w:rPr>
        <w:t>年</w:t>
      </w:r>
      <w:r w:rsidRPr="00BB72CE">
        <w:t>3.1</w:t>
      </w:r>
      <w:r w:rsidRPr="00BB72CE">
        <w:rPr>
          <w:rFonts w:hint="eastAsia"/>
        </w:rPr>
        <w:t>億元，</w:t>
      </w:r>
      <w:r w:rsidRPr="00BB72CE">
        <w:t>104</w:t>
      </w:r>
      <w:r w:rsidRPr="00BB72CE">
        <w:rPr>
          <w:rFonts w:hint="eastAsia"/>
        </w:rPr>
        <w:t>年</w:t>
      </w:r>
      <w:r w:rsidRPr="00BB72CE">
        <w:t>1.8</w:t>
      </w:r>
      <w:r w:rsidRPr="00BB72CE">
        <w:rPr>
          <w:rFonts w:hint="eastAsia"/>
        </w:rPr>
        <w:t>億元</w:t>
      </w:r>
      <w:r w:rsidRPr="00BB72CE">
        <w:t>(</w:t>
      </w:r>
      <w:r w:rsidRPr="00BB72CE">
        <w:rPr>
          <w:rFonts w:hint="eastAsia"/>
        </w:rPr>
        <w:t>因希望廣場遷移，致展售場次減少</w:t>
      </w:r>
      <w:r w:rsidRPr="00BB72CE">
        <w:t>)</w:t>
      </w:r>
      <w:r w:rsidRPr="00BB72CE">
        <w:rPr>
          <w:rFonts w:hint="eastAsia"/>
        </w:rPr>
        <w:t>，</w:t>
      </w:r>
      <w:r w:rsidRPr="00BB72CE">
        <w:t>105</w:t>
      </w:r>
      <w:r w:rsidRPr="00BB72CE">
        <w:rPr>
          <w:rFonts w:hint="eastAsia"/>
        </w:rPr>
        <w:t>年</w:t>
      </w:r>
      <w:r w:rsidRPr="00BB72CE">
        <w:t>3.5</w:t>
      </w:r>
      <w:r w:rsidRPr="00BB72CE">
        <w:rPr>
          <w:rFonts w:hint="eastAsia"/>
        </w:rPr>
        <w:t>億元，</w:t>
      </w:r>
      <w:r w:rsidRPr="00BB72CE">
        <w:t>106</w:t>
      </w:r>
      <w:r w:rsidRPr="00BB72CE">
        <w:rPr>
          <w:rFonts w:hint="eastAsia"/>
        </w:rPr>
        <w:t>年截至</w:t>
      </w:r>
      <w:r w:rsidRPr="00BB72CE">
        <w:t>9</w:t>
      </w:r>
      <w:r w:rsidRPr="00BB72CE">
        <w:rPr>
          <w:rFonts w:hint="eastAsia"/>
        </w:rPr>
        <w:t>月約</w:t>
      </w:r>
      <w:r w:rsidRPr="00BB72CE">
        <w:t>3</w:t>
      </w:r>
      <w:r w:rsidRPr="00BB72CE">
        <w:rPr>
          <w:rFonts w:hint="eastAsia"/>
        </w:rPr>
        <w:t>億元，該市集因定期展售臺灣各地當季特色農產品，新鮮直送的優質農產品，深受臺北都會地區消費者喜愛，行銷效益佳，也是農民極為喜愛參加的市集。</w:t>
      </w:r>
    </w:p>
    <w:p w:rsidR="00354E1F" w:rsidRPr="00BB72CE" w:rsidRDefault="00354E1F" w:rsidP="00354E1F">
      <w:pPr>
        <w:pStyle w:val="5"/>
        <w:numPr>
          <w:ilvl w:val="4"/>
          <w:numId w:val="1"/>
        </w:numPr>
      </w:pPr>
      <w:r w:rsidRPr="00BB72CE">
        <w:rPr>
          <w:rFonts w:hint="eastAsia"/>
        </w:rPr>
        <w:t>社區小舖、社區市集、農夫市集與農民直銷站</w:t>
      </w:r>
    </w:p>
    <w:p w:rsidR="00354E1F" w:rsidRPr="00BB72CE" w:rsidRDefault="00354E1F" w:rsidP="00354E1F">
      <w:pPr>
        <w:pStyle w:val="6"/>
        <w:numPr>
          <w:ilvl w:val="5"/>
          <w:numId w:val="1"/>
        </w:numPr>
      </w:pPr>
      <w:r w:rsidRPr="00BB72CE">
        <w:rPr>
          <w:rFonts w:hint="eastAsia"/>
        </w:rPr>
        <w:t>為提供消費者新鮮、安全、友善、高品質、及具地方特色之農產品，農委會於</w:t>
      </w:r>
      <w:r w:rsidRPr="00BB72CE">
        <w:t>102</w:t>
      </w:r>
      <w:r w:rsidRPr="00BB72CE">
        <w:rPr>
          <w:rFonts w:hint="eastAsia"/>
        </w:rPr>
        <w:t>年起，開始試辦輔導設置「農夫市集」及「農民直銷站」。另於</w:t>
      </w:r>
      <w:r w:rsidRPr="00BB72CE">
        <w:t>104</w:t>
      </w:r>
      <w:r w:rsidRPr="00BB72CE">
        <w:rPr>
          <w:rFonts w:hint="eastAsia"/>
        </w:rPr>
        <w:t>年起為結合農村社區加強農特產品銷售之推動，</w:t>
      </w:r>
      <w:r w:rsidRPr="00BB72CE">
        <w:rPr>
          <w:rFonts w:hint="eastAsia"/>
          <w:lang w:eastAsia="zh-HK"/>
        </w:rPr>
        <w:t>以</w:t>
      </w:r>
      <w:r w:rsidRPr="00BB72CE">
        <w:rPr>
          <w:rFonts w:hint="eastAsia"/>
        </w:rPr>
        <w:t>利農產品在生產當地即可銷售給當地消費者，形成在地供應模式，因此依農民數多寡、設置地點、室內空間規</w:t>
      </w:r>
      <w:r w:rsidRPr="00BB72CE">
        <w:rPr>
          <w:rFonts w:hint="eastAsia"/>
        </w:rPr>
        <w:lastRenderedPageBreak/>
        <w:t>劃及需求，輔導辦理社區小舖、社區市集、農民直銷站、農夫市集</w:t>
      </w:r>
      <w:r w:rsidRPr="00BB72CE">
        <w:rPr>
          <w:rFonts w:hint="eastAsia"/>
          <w:lang w:eastAsia="zh-HK"/>
        </w:rPr>
        <w:t>之</w:t>
      </w:r>
      <w:r w:rsidRPr="00BB72CE">
        <w:rPr>
          <w:rFonts w:hint="eastAsia"/>
        </w:rPr>
        <w:t>設置與經營，透過各級農會結合農村社區，規劃設置場域或利用舊有建築物，或運用農會超市、展售中心等，成為行銷或推廣與銷售該社區農特產品據點，由農民以當日或當季自產之生鮮農產品或初級加工品，自行訂價並擔負產品安全責任，透過面對面互動，將安心直接傳送給消費者。</w:t>
      </w:r>
    </w:p>
    <w:p w:rsidR="00354E1F" w:rsidRPr="00BB72CE" w:rsidRDefault="00354E1F" w:rsidP="00354E1F">
      <w:pPr>
        <w:pStyle w:val="6"/>
        <w:numPr>
          <w:ilvl w:val="5"/>
          <w:numId w:val="1"/>
        </w:numPr>
      </w:pPr>
      <w:r w:rsidRPr="00BB72CE">
        <w:rPr>
          <w:rFonts w:hint="eastAsia"/>
        </w:rPr>
        <w:t>社區小舖、社區市集、農夫市集與農民直銷站</w:t>
      </w:r>
      <w:r w:rsidRPr="00BB72CE">
        <w:t>105</w:t>
      </w:r>
      <w:r w:rsidRPr="00BB72CE">
        <w:rPr>
          <w:rFonts w:hint="eastAsia"/>
        </w:rPr>
        <w:t>年底已結合農民數超過</w:t>
      </w:r>
      <w:r w:rsidRPr="00BB72CE">
        <w:t>1,000</w:t>
      </w:r>
      <w:r w:rsidRPr="00BB72CE">
        <w:rPr>
          <w:rFonts w:hint="eastAsia"/>
        </w:rPr>
        <w:t>人，並創造出數位年收入百萬農民，體系已創造超過億元以上銷售金額。截至</w:t>
      </w:r>
      <w:r w:rsidRPr="00BB72CE">
        <w:t>106</w:t>
      </w:r>
      <w:r w:rsidRPr="00BB72CE">
        <w:rPr>
          <w:rFonts w:hint="eastAsia"/>
        </w:rPr>
        <w:t>年</w:t>
      </w:r>
      <w:r w:rsidRPr="00BB72CE">
        <w:t>9</w:t>
      </w:r>
      <w:r w:rsidRPr="00BB72CE">
        <w:rPr>
          <w:rFonts w:hint="eastAsia"/>
        </w:rPr>
        <w:t>月已輔導設置農夫市集</w:t>
      </w:r>
      <w:r w:rsidRPr="00BB72CE">
        <w:t>3</w:t>
      </w:r>
      <w:r w:rsidRPr="00BB72CE">
        <w:rPr>
          <w:rFonts w:hint="eastAsia"/>
        </w:rPr>
        <w:t>處、農民直銷站</w:t>
      </w:r>
      <w:r w:rsidRPr="00BB72CE">
        <w:t>11</w:t>
      </w:r>
      <w:r w:rsidRPr="00BB72CE">
        <w:rPr>
          <w:rFonts w:hint="eastAsia"/>
        </w:rPr>
        <w:t>處，社區小舖及市集</w:t>
      </w:r>
      <w:r w:rsidRPr="00BB72CE">
        <w:t>34</w:t>
      </w:r>
      <w:r w:rsidRPr="00BB72CE">
        <w:rPr>
          <w:rFonts w:hint="eastAsia"/>
        </w:rPr>
        <w:t>處，農民可在產地供貨，就近服務在地消費者，縮短生產者與消費者距離，有助於社區支持在地農業。</w:t>
      </w:r>
    </w:p>
    <w:p w:rsidR="00354E1F" w:rsidRPr="00BB72CE" w:rsidRDefault="00354E1F" w:rsidP="00354E1F">
      <w:pPr>
        <w:pStyle w:val="5"/>
        <w:numPr>
          <w:ilvl w:val="4"/>
          <w:numId w:val="1"/>
        </w:numPr>
      </w:pPr>
      <w:r w:rsidRPr="00BB72CE">
        <w:rPr>
          <w:rFonts w:hint="eastAsia"/>
        </w:rPr>
        <w:t>道農市集</w:t>
      </w:r>
    </w:p>
    <w:p w:rsidR="00354E1F" w:rsidRPr="00BB72CE" w:rsidRDefault="00354E1F" w:rsidP="00354E1F">
      <w:pPr>
        <w:pStyle w:val="6"/>
        <w:numPr>
          <w:ilvl w:val="5"/>
          <w:numId w:val="1"/>
        </w:numPr>
      </w:pPr>
      <w:r w:rsidRPr="00BB72CE">
        <w:rPr>
          <w:rFonts w:hint="eastAsia"/>
        </w:rPr>
        <w:t>南北往返的旅客是促進區域間特色農產品交流的重要角色，國道服務區是宣傳地產地消最佳地點，故</w:t>
      </w:r>
      <w:r w:rsidRPr="00BB72CE">
        <w:rPr>
          <w:rFonts w:hint="eastAsia"/>
          <w:lang w:eastAsia="zh-HK"/>
        </w:rPr>
        <w:t>農委會</w:t>
      </w:r>
      <w:r w:rsidRPr="00BB72CE">
        <w:rPr>
          <w:rFonts w:hint="eastAsia"/>
        </w:rPr>
        <w:t>自</w:t>
      </w:r>
      <w:r w:rsidRPr="00BB72CE">
        <w:t>104</w:t>
      </w:r>
      <w:r w:rsidRPr="00BB72CE">
        <w:rPr>
          <w:rFonts w:hint="eastAsia"/>
        </w:rPr>
        <w:t>年</w:t>
      </w:r>
      <w:r w:rsidRPr="00BB72CE">
        <w:t>9</w:t>
      </w:r>
      <w:r w:rsidRPr="00BB72CE">
        <w:rPr>
          <w:rFonts w:hint="eastAsia"/>
        </w:rPr>
        <w:t>月下旬與南仁湖企業經營之國道服務區合作，每站設置</w:t>
      </w:r>
      <w:r w:rsidRPr="00BB72CE">
        <w:t>2</w:t>
      </w:r>
      <w:r w:rsidRPr="00BB72CE">
        <w:rPr>
          <w:rFonts w:hint="eastAsia"/>
          <w:lang w:eastAsia="zh-HK"/>
        </w:rPr>
        <w:t>至</w:t>
      </w:r>
      <w:r w:rsidRPr="00BB72CE">
        <w:t>3</w:t>
      </w:r>
      <w:r w:rsidRPr="00BB72CE">
        <w:rPr>
          <w:rFonts w:hint="eastAsia"/>
        </w:rPr>
        <w:t>攤，結合附近農民辦理道農市集，農民可就近行銷新鮮國產優質蔬果，降低運輸成本，並藉由生產者與消費者直接互動，推廣地產地消，創造農產品行銷利基。</w:t>
      </w:r>
    </w:p>
    <w:p w:rsidR="00354E1F" w:rsidRPr="00BB72CE" w:rsidRDefault="00354E1F" w:rsidP="00354E1F">
      <w:pPr>
        <w:pStyle w:val="6"/>
        <w:numPr>
          <w:ilvl w:val="5"/>
          <w:numId w:val="1"/>
        </w:numPr>
      </w:pPr>
      <w:r w:rsidRPr="00BB72CE">
        <w:rPr>
          <w:rFonts w:hint="eastAsia"/>
        </w:rPr>
        <w:t>道農市集營業額逐年成長，</w:t>
      </w:r>
      <w:r w:rsidRPr="00BB72CE">
        <w:t>104</w:t>
      </w:r>
      <w:r w:rsidRPr="00BB72CE">
        <w:rPr>
          <w:rFonts w:hint="eastAsia"/>
        </w:rPr>
        <w:t>年銷售金額約</w:t>
      </w:r>
      <w:r w:rsidRPr="00BB72CE">
        <w:t>320</w:t>
      </w:r>
      <w:r w:rsidRPr="00BB72CE">
        <w:rPr>
          <w:rFonts w:hint="eastAsia"/>
        </w:rPr>
        <w:t>萬元，</w:t>
      </w:r>
      <w:r w:rsidRPr="00BB72CE">
        <w:t>105</w:t>
      </w:r>
      <w:r w:rsidRPr="00BB72CE">
        <w:rPr>
          <w:rFonts w:hint="eastAsia"/>
        </w:rPr>
        <w:t>年</w:t>
      </w:r>
      <w:r w:rsidRPr="00BB72CE">
        <w:t>1,400</w:t>
      </w:r>
      <w:r w:rsidRPr="00BB72CE">
        <w:rPr>
          <w:rFonts w:hint="eastAsia"/>
        </w:rPr>
        <w:t>萬，</w:t>
      </w:r>
      <w:r w:rsidRPr="00BB72CE">
        <w:t>106</w:t>
      </w:r>
      <w:r w:rsidRPr="00BB72CE">
        <w:rPr>
          <w:rFonts w:hint="eastAsia"/>
        </w:rPr>
        <w:t>年截至</w:t>
      </w:r>
      <w:r w:rsidRPr="00BB72CE">
        <w:t>9</w:t>
      </w:r>
      <w:r w:rsidRPr="00BB72CE">
        <w:rPr>
          <w:rFonts w:hint="eastAsia"/>
        </w:rPr>
        <w:t>月底已逾</w:t>
      </w:r>
      <w:r w:rsidRPr="00BB72CE">
        <w:t>1,000</w:t>
      </w:r>
      <w:r w:rsidRPr="00BB72CE">
        <w:rPr>
          <w:rFonts w:hint="eastAsia"/>
        </w:rPr>
        <w:t>萬元，區域間農產品交流效果佳，農民可就近銷售，降低碳足跡，對於地產地</w:t>
      </w:r>
      <w:r w:rsidRPr="00BB72CE">
        <w:rPr>
          <w:rFonts w:hint="eastAsia"/>
        </w:rPr>
        <w:lastRenderedPageBreak/>
        <w:t>消極有助益。</w:t>
      </w:r>
    </w:p>
    <w:p w:rsidR="00354E1F" w:rsidRPr="00BB72CE" w:rsidRDefault="00354E1F" w:rsidP="00354E1F">
      <w:pPr>
        <w:pStyle w:val="4"/>
        <w:numPr>
          <w:ilvl w:val="3"/>
          <w:numId w:val="1"/>
        </w:numPr>
      </w:pPr>
      <w:r w:rsidRPr="00BB72CE">
        <w:rPr>
          <w:rFonts w:hint="eastAsia"/>
        </w:rPr>
        <w:t>輔導產地農民團體於農產品量產期間辦理展售活動，透過地方展售活動拓展鄉鎮優質蔬果知名度，鼓勵國人吃當季，食在地，提供當令優質蔬果銷售管道，逐步教育民眾在農產品量產期間食用當季在地優質農產品。</w:t>
      </w:r>
    </w:p>
    <w:p w:rsidR="00354E1F" w:rsidRPr="00BB72CE" w:rsidRDefault="00354E1F" w:rsidP="00354E1F">
      <w:pPr>
        <w:pStyle w:val="4"/>
        <w:numPr>
          <w:ilvl w:val="3"/>
          <w:numId w:val="1"/>
        </w:numPr>
      </w:pPr>
      <w:r w:rsidRPr="00BB72CE">
        <w:rPr>
          <w:rFonts w:hint="eastAsia"/>
        </w:rPr>
        <w:t>學校營養午餐亦可作為農業地產地消之實踐，</w:t>
      </w:r>
      <w:r w:rsidRPr="00BB72CE">
        <w:rPr>
          <w:rFonts w:hint="eastAsia"/>
          <w:kern w:val="0"/>
        </w:rPr>
        <w:t>農委會自</w:t>
      </w:r>
      <w:r w:rsidRPr="00BB72CE">
        <w:rPr>
          <w:rFonts w:hint="eastAsia"/>
        </w:rPr>
        <w:t>106年2月起於</w:t>
      </w:r>
      <w:r w:rsidRPr="00BB72CE">
        <w:t>新竹縣、新竹市</w:t>
      </w:r>
      <w:r w:rsidRPr="00BB72CE">
        <w:rPr>
          <w:rFonts w:hint="eastAsia"/>
        </w:rPr>
        <w:t>、臺中市、臺南市、臺東縣、宜蘭縣等6縣市試辦學校營養午餐採購4章1Q(CAS優良農產品、CAS有機農產品、GAP吉園圃安全蔬果、TAP產銷履歷等4種標章，及QR Code生產追溯條碼)之國產生鮮食材</w:t>
      </w:r>
      <w:r w:rsidRPr="00BB72CE">
        <w:t>，</w:t>
      </w:r>
      <w:r w:rsidRPr="00BB72CE">
        <w:rPr>
          <w:rFonts w:hint="eastAsia"/>
        </w:rPr>
        <w:t>強化學校午餐營養品質與衛生安全管理，</w:t>
      </w:r>
      <w:r w:rsidRPr="00BB72CE">
        <w:t>106</w:t>
      </w:r>
      <w:r w:rsidRPr="00BB72CE">
        <w:rPr>
          <w:rFonts w:hint="eastAsia"/>
        </w:rPr>
        <w:t>年8月起</w:t>
      </w:r>
      <w:r w:rsidRPr="00BB72CE">
        <w:t>擴大至</w:t>
      </w:r>
      <w:r w:rsidRPr="00BB72CE">
        <w:rPr>
          <w:rFonts w:hint="eastAsia"/>
        </w:rPr>
        <w:t>臺灣</w:t>
      </w:r>
      <w:r w:rsidRPr="00BB72CE">
        <w:t>本島各縣市及澎湖縣</w:t>
      </w:r>
      <w:r w:rsidRPr="00BB72CE">
        <w:rPr>
          <w:rFonts w:hint="eastAsia"/>
        </w:rPr>
        <w:t>試辦，107年8月</w:t>
      </w:r>
      <w:r w:rsidRPr="00BB72CE">
        <w:t>則將</w:t>
      </w:r>
      <w:r w:rsidRPr="00BB72CE">
        <w:rPr>
          <w:rFonts w:hint="eastAsia"/>
        </w:rPr>
        <w:t>全國試辦，預計自108年</w:t>
      </w:r>
      <w:r w:rsidRPr="00BB72CE">
        <w:t>2</w:t>
      </w:r>
      <w:r w:rsidRPr="00BB72CE">
        <w:rPr>
          <w:rFonts w:hint="eastAsia"/>
        </w:rPr>
        <w:t>月起正式</w:t>
      </w:r>
      <w:r w:rsidRPr="00BB72CE">
        <w:t>實施</w:t>
      </w:r>
      <w:r w:rsidRPr="00BB72CE">
        <w:rPr>
          <w:rFonts w:hint="eastAsia"/>
        </w:rPr>
        <w:t>。惟學校午餐採用在地食材在執行上面臨些許挑戰，包括因牽涉範圍從中央跨部會到地方、學校與供應業者，整合不易，而各縣市的供餐模式與每餐價格也大不相同。是以，為促使</w:t>
      </w:r>
      <w:r w:rsidRPr="00BB72CE">
        <w:t>學校午餐採用在地食材</w:t>
      </w:r>
      <w:r w:rsidRPr="00BB72CE">
        <w:rPr>
          <w:rFonts w:hint="eastAsia"/>
        </w:rPr>
        <w:t>能順利推行，須透過中央跨部會合作，與地方、學校及廠商之間不斷的溝通協調</w:t>
      </w:r>
      <w:r w:rsidRPr="00BB72CE">
        <w:rPr>
          <w:rStyle w:val="aff5"/>
        </w:rPr>
        <w:footnoteReference w:id="20"/>
      </w:r>
      <w:r w:rsidRPr="00BB72CE">
        <w:rPr>
          <w:rFonts w:hint="eastAsia"/>
        </w:rPr>
        <w:t>。</w:t>
      </w:r>
    </w:p>
    <w:p w:rsidR="00354E1F" w:rsidRPr="00BB72CE" w:rsidRDefault="00354E1F" w:rsidP="00354E1F">
      <w:pPr>
        <w:pStyle w:val="3"/>
        <w:numPr>
          <w:ilvl w:val="2"/>
          <w:numId w:val="1"/>
        </w:numPr>
      </w:pPr>
      <w:bookmarkStart w:id="126" w:name="_Toc499803049"/>
      <w:r w:rsidRPr="00BB72CE">
        <w:rPr>
          <w:rFonts w:hint="eastAsia"/>
        </w:rPr>
        <w:t>茲以日、韓</w:t>
      </w:r>
      <w:r w:rsidRPr="00BB72CE">
        <w:rPr>
          <w:rFonts w:hint="eastAsia"/>
          <w:lang w:eastAsia="zh-HK"/>
        </w:rPr>
        <w:t>兩</w:t>
      </w:r>
      <w:r w:rsidRPr="00BB72CE">
        <w:rPr>
          <w:rFonts w:hint="eastAsia"/>
        </w:rPr>
        <w:t>國正</w:t>
      </w:r>
      <w:r w:rsidRPr="00BB72CE">
        <w:rPr>
          <w:rFonts w:hint="eastAsia"/>
          <w:lang w:eastAsia="zh-HK"/>
        </w:rPr>
        <w:t>積極、有系統地</w:t>
      </w:r>
      <w:r w:rsidRPr="00BB72CE">
        <w:rPr>
          <w:rFonts w:hint="eastAsia"/>
        </w:rPr>
        <w:t>大力推動食農教育，</w:t>
      </w:r>
      <w:r w:rsidRPr="00BB72CE">
        <w:rPr>
          <w:rFonts w:hint="eastAsia"/>
          <w:lang w:eastAsia="zh-HK"/>
        </w:rPr>
        <w:t>且</w:t>
      </w:r>
      <w:r w:rsidRPr="00BB72CE">
        <w:rPr>
          <w:rFonts w:hint="eastAsia"/>
        </w:rPr>
        <w:t>推動模式相當廣泛，不僅</w:t>
      </w:r>
      <w:r w:rsidRPr="00BB72CE">
        <w:rPr>
          <w:rFonts w:hint="eastAsia"/>
          <w:lang w:eastAsia="zh-HK"/>
        </w:rPr>
        <w:t>分別</w:t>
      </w:r>
      <w:r w:rsidRPr="00BB72CE">
        <w:rPr>
          <w:rFonts w:hint="eastAsia"/>
        </w:rPr>
        <w:t>依對象(一般消費者、農民、農業推廣人員)、地區範圍(家庭、學校、幼兒園、地區性)等</w:t>
      </w:r>
      <w:r w:rsidRPr="00BB72CE">
        <w:rPr>
          <w:rFonts w:hint="eastAsia"/>
          <w:lang w:eastAsia="zh-HK"/>
        </w:rPr>
        <w:t>差異</w:t>
      </w:r>
      <w:r w:rsidRPr="00BB72CE">
        <w:rPr>
          <w:rFonts w:hint="eastAsia"/>
        </w:rPr>
        <w:t>，規劃不同推進目標、策略，並強調生產者、消費者間交流與農業對環境多元貢獻</w:t>
      </w:r>
      <w:r w:rsidRPr="00BB72CE">
        <w:rPr>
          <w:rStyle w:val="aff5"/>
        </w:rPr>
        <w:footnoteReference w:id="21"/>
      </w:r>
      <w:r w:rsidRPr="00BB72CE">
        <w:rPr>
          <w:rFonts w:hint="eastAsia"/>
        </w:rPr>
        <w:t>，值得我國參採，</w:t>
      </w:r>
      <w:r w:rsidRPr="00BB72CE">
        <w:t>概述如下</w:t>
      </w:r>
      <w:r w:rsidRPr="00BB72CE">
        <w:rPr>
          <w:rFonts w:hint="eastAsia"/>
        </w:rPr>
        <w:t>：</w:t>
      </w:r>
      <w:bookmarkEnd w:id="126"/>
    </w:p>
    <w:p w:rsidR="00354E1F" w:rsidRPr="00BB72CE" w:rsidRDefault="00354E1F" w:rsidP="00354E1F">
      <w:pPr>
        <w:pStyle w:val="4"/>
        <w:numPr>
          <w:ilvl w:val="3"/>
          <w:numId w:val="1"/>
        </w:numPr>
        <w:rPr>
          <w:sz w:val="27"/>
          <w:szCs w:val="27"/>
        </w:rPr>
      </w:pPr>
      <w:r w:rsidRPr="00BB72CE">
        <w:lastRenderedPageBreak/>
        <w:t>為促進國民身心健康，依不同年齡層、對象(如孕婦)、健康狀態，設計規劃健康飲食推廣活動。</w:t>
      </w:r>
    </w:p>
    <w:p w:rsidR="00354E1F" w:rsidRPr="00BB72CE" w:rsidRDefault="00354E1F" w:rsidP="00354E1F">
      <w:pPr>
        <w:pStyle w:val="4"/>
        <w:numPr>
          <w:ilvl w:val="3"/>
          <w:numId w:val="1"/>
        </w:numPr>
      </w:pPr>
      <w:r w:rsidRPr="00BB72CE">
        <w:t>促進對食物生產之瞭解與感恩，所以透過依照不同年齡層規劃體驗活動，讓其參與生產、加工到消費等各樣過程，讓其瞭解、尊重環境與生命。</w:t>
      </w:r>
    </w:p>
    <w:p w:rsidR="00354E1F" w:rsidRPr="00BB72CE" w:rsidRDefault="00354E1F" w:rsidP="00354E1F">
      <w:pPr>
        <w:pStyle w:val="4"/>
        <w:numPr>
          <w:ilvl w:val="3"/>
          <w:numId w:val="1"/>
        </w:numPr>
      </w:pPr>
      <w:r w:rsidRPr="00BB72CE">
        <w:t>為利於食育運動展開，廣泛</w:t>
      </w:r>
      <w:r w:rsidRPr="00BB72CE">
        <w:rPr>
          <w:rFonts w:hint="eastAsia"/>
        </w:rPr>
        <w:t>地</w:t>
      </w:r>
      <w:r w:rsidRPr="00BB72CE">
        <w:t>召募志工、團體或訓練基層農協、農民做為種子，並以國民、消費者均可理解的觀點進行說明，及規劃多樣化體驗活動、飲食教育的推動方針與內容，讓國民、民間團體等，不管在家庭、學校、幼兒園或任何地區，都可以容易自主的參與，並且熱情的實踐，甚至主動規劃辦理，成為真正的國民運動。</w:t>
      </w:r>
    </w:p>
    <w:p w:rsidR="00354E1F" w:rsidRPr="00BB72CE" w:rsidRDefault="00354E1F" w:rsidP="00354E1F">
      <w:pPr>
        <w:pStyle w:val="4"/>
        <w:numPr>
          <w:ilvl w:val="3"/>
          <w:numId w:val="1"/>
        </w:numPr>
      </w:pPr>
      <w:r w:rsidRPr="00BB72CE">
        <w:t>強調傳統、在地飲食等文化對於農業生產、環境調和與保護的重要性。</w:t>
      </w:r>
    </w:p>
    <w:p w:rsidR="00354E1F" w:rsidRPr="00BB72CE" w:rsidRDefault="00354E1F" w:rsidP="00354E1F">
      <w:pPr>
        <w:pStyle w:val="4"/>
        <w:numPr>
          <w:ilvl w:val="3"/>
          <w:numId w:val="1"/>
        </w:numPr>
        <w:rPr>
          <w:sz w:val="27"/>
          <w:szCs w:val="27"/>
        </w:rPr>
      </w:pPr>
      <w:r w:rsidRPr="00BB72CE">
        <w:t>應確保食品安全性及清楚之標示，讓消費者得以安心享用，並加強消費者、生產者、利害關係團體及行政機關間</w:t>
      </w:r>
      <w:r w:rsidRPr="00BB72CE">
        <w:rPr>
          <w:rFonts w:hint="eastAsia"/>
        </w:rPr>
        <w:t>之</w:t>
      </w:r>
      <w:r w:rsidRPr="00BB72CE">
        <w:t>意見交流，間接引導農民以更友善環境的方式進行生產，以提升農產品的安全性及對環境的保護。</w:t>
      </w:r>
    </w:p>
    <w:p w:rsidR="00354E1F" w:rsidRPr="00BB72CE" w:rsidRDefault="00354E1F" w:rsidP="00354E1F">
      <w:pPr>
        <w:pStyle w:val="32"/>
        <w:ind w:left="1361" w:firstLine="680"/>
      </w:pPr>
      <w:r w:rsidRPr="00BB72CE">
        <w:rPr>
          <w:rFonts w:hint="eastAsia"/>
        </w:rPr>
        <w:t>此外，據農委會表示，食農教育之推動困境主要包括各界對於食農教育體現在飲食教育</w:t>
      </w:r>
      <w:r w:rsidRPr="00BB72CE">
        <w:rPr>
          <w:rStyle w:val="aff5"/>
        </w:rPr>
        <w:footnoteReference w:id="22"/>
      </w:r>
      <w:r w:rsidRPr="00BB72CE">
        <w:rPr>
          <w:rFonts w:hint="eastAsia"/>
        </w:rPr>
        <w:t>、環境教育與農業教育領域之定義與實施方法，各有其主張，食農教育推動之教案及推廣人力培訓機制亦尚待建置。再者，學校雖已有列入推廣食農教育，但尚未普及，且食農教育法目前仍處於</w:t>
      </w:r>
      <w:r w:rsidRPr="00BB72CE">
        <w:t>草案</w:t>
      </w:r>
      <w:r w:rsidRPr="00BB72CE">
        <w:rPr>
          <w:rFonts w:hint="eastAsia"/>
        </w:rPr>
        <w:t>草擬階段，惟為提高全民對在地農業之認同及支持，農委會應強化食農教育之踐行及相關立法之推動，以確保糧食安全，並對從農人員致以敬意。</w:t>
      </w:r>
    </w:p>
    <w:p w:rsidR="00354E1F" w:rsidRPr="00BB72CE" w:rsidRDefault="00354E1F" w:rsidP="00280B54">
      <w:pPr>
        <w:pStyle w:val="3"/>
        <w:numPr>
          <w:ilvl w:val="2"/>
          <w:numId w:val="1"/>
        </w:numPr>
        <w:spacing w:line="438" w:lineRule="exact"/>
        <w:ind w:left="1360" w:hanging="680"/>
      </w:pPr>
      <w:bookmarkStart w:id="127" w:name="_Toc499803050"/>
      <w:r w:rsidRPr="00BB72CE">
        <w:rPr>
          <w:rFonts w:hint="eastAsia"/>
        </w:rPr>
        <w:lastRenderedPageBreak/>
        <w:t>綜上，農業為飲食之根本，國人食用在地國產農產品，不僅可保新鮮，且減少食物里程及碳足跡，有助節能減碳。然而，我國</w:t>
      </w:r>
      <w:r w:rsidRPr="00BB72CE">
        <w:t>糧食自給率</w:t>
      </w:r>
      <w:r w:rsidRPr="00BB72CE">
        <w:rPr>
          <w:rFonts w:hint="eastAsia"/>
        </w:rPr>
        <w:t>偏低，99年降至31.2%，時隔6年，</w:t>
      </w:r>
      <w:r w:rsidRPr="00BB72CE">
        <w:t>10</w:t>
      </w:r>
      <w:r w:rsidRPr="00BB72CE">
        <w:rPr>
          <w:rFonts w:hint="eastAsia"/>
        </w:rPr>
        <w:t>5</w:t>
      </w:r>
      <w:r w:rsidRPr="00BB72CE">
        <w:t>年</w:t>
      </w:r>
      <w:r w:rsidRPr="00BB72CE">
        <w:rPr>
          <w:rFonts w:hint="eastAsia"/>
        </w:rPr>
        <w:t>仍僅</w:t>
      </w:r>
      <w:r w:rsidRPr="00BB72CE">
        <w:t>3</w:t>
      </w:r>
      <w:r w:rsidRPr="00BB72CE">
        <w:rPr>
          <w:rFonts w:hint="eastAsia"/>
        </w:rPr>
        <w:t>1%，難以提升，109</w:t>
      </w:r>
      <w:r w:rsidRPr="00BB72CE">
        <w:t>年糧食自給率</w:t>
      </w:r>
      <w:r w:rsidRPr="00BB72CE">
        <w:rPr>
          <w:rFonts w:hint="eastAsia"/>
        </w:rPr>
        <w:t>達</w:t>
      </w:r>
      <w:r w:rsidRPr="00BB72CE">
        <w:t>40%</w:t>
      </w:r>
      <w:r w:rsidRPr="00BB72CE">
        <w:rPr>
          <w:rFonts w:hint="eastAsia"/>
        </w:rPr>
        <w:t>之</w:t>
      </w:r>
      <w:r w:rsidRPr="00BB72CE">
        <w:t>目標</w:t>
      </w:r>
      <w:r w:rsidRPr="00BB72CE">
        <w:rPr>
          <w:rFonts w:hint="eastAsia"/>
        </w:rPr>
        <w:t>，恐不易</w:t>
      </w:r>
      <w:r w:rsidRPr="00BB72CE">
        <w:t>達成</w:t>
      </w:r>
      <w:r w:rsidRPr="00BB72CE">
        <w:rPr>
          <w:rFonts w:hint="eastAsia"/>
        </w:rPr>
        <w:t>，農委會除了鼓勵農民種植進口替代作物，增加國內雜糧供給之外，亟應強化食農教育之踐行及相關立法之推動，增進民眾對於國產農產品及在地飲食文化之認同、信賴與支持，提高糧食自給率，增加農村就業機會，以促進農業永續發展。</w:t>
      </w:r>
      <w:bookmarkEnd w:id="127"/>
    </w:p>
    <w:p w:rsidR="009328F8" w:rsidRDefault="009328F8" w:rsidP="005B6471">
      <w:pPr>
        <w:pStyle w:val="3"/>
        <w:numPr>
          <w:ilvl w:val="0"/>
          <w:numId w:val="0"/>
        </w:numPr>
        <w:ind w:left="1361"/>
      </w:pPr>
    </w:p>
    <w:p w:rsidR="0021462E" w:rsidRDefault="0021462E" w:rsidP="0021462E">
      <w:pPr>
        <w:pStyle w:val="3"/>
        <w:numPr>
          <w:ilvl w:val="0"/>
          <w:numId w:val="0"/>
        </w:numPr>
        <w:ind w:left="1361" w:hanging="681"/>
      </w:pPr>
    </w:p>
    <w:p w:rsidR="0021462E" w:rsidRDefault="0021462E" w:rsidP="0021462E">
      <w:pPr>
        <w:pStyle w:val="3"/>
        <w:numPr>
          <w:ilvl w:val="0"/>
          <w:numId w:val="0"/>
        </w:numPr>
        <w:ind w:left="1361" w:hanging="681"/>
      </w:pPr>
    </w:p>
    <w:p w:rsidR="0021462E" w:rsidRDefault="0021462E" w:rsidP="0021462E">
      <w:pPr>
        <w:pStyle w:val="3"/>
        <w:numPr>
          <w:ilvl w:val="0"/>
          <w:numId w:val="0"/>
        </w:numPr>
        <w:ind w:left="1361" w:hanging="681"/>
      </w:pPr>
    </w:p>
    <w:p w:rsidR="0021462E" w:rsidRPr="0021462E" w:rsidRDefault="0021462E" w:rsidP="0021462E">
      <w:pPr>
        <w:pStyle w:val="3"/>
        <w:numPr>
          <w:ilvl w:val="0"/>
          <w:numId w:val="0"/>
        </w:numPr>
        <w:ind w:left="1560" w:hanging="1560"/>
        <w:rPr>
          <w:rFonts w:hint="eastAsia"/>
          <w:b/>
          <w:szCs w:val="32"/>
        </w:rPr>
        <w:sectPr w:rsidR="0021462E" w:rsidRPr="0021462E" w:rsidSect="003E5169">
          <w:footerReference w:type="default" r:id="rId9"/>
          <w:pgSz w:w="11907" w:h="16840" w:code="9"/>
          <w:pgMar w:top="1701" w:right="1418" w:bottom="1418" w:left="1418" w:header="851" w:footer="851" w:gutter="227"/>
          <w:cols w:space="425"/>
          <w:docGrid w:type="linesAndChars" w:linePitch="457" w:charSpace="4127"/>
        </w:sectPr>
      </w:pPr>
      <w:r w:rsidRPr="0021462E">
        <w:rPr>
          <w:rFonts w:hint="eastAsia"/>
          <w:b/>
          <w:szCs w:val="32"/>
        </w:rPr>
        <w:t>調查研究委員：</w:t>
      </w:r>
      <w:r w:rsidRPr="0021462E">
        <w:rPr>
          <w:b/>
          <w:szCs w:val="32"/>
        </w:rPr>
        <w:t>楊美鈴、章仁香、方萬富</w:t>
      </w:r>
      <w:bookmarkStart w:id="128" w:name="_GoBack"/>
      <w:bookmarkEnd w:id="128"/>
      <w:r w:rsidRPr="0021462E">
        <w:rPr>
          <w:b/>
          <w:szCs w:val="32"/>
        </w:rPr>
        <w:t>、劉德勳、李月德</w:t>
      </w:r>
    </w:p>
    <w:bookmarkEnd w:id="25"/>
    <w:bookmarkEnd w:id="26"/>
    <w:bookmarkEnd w:id="27"/>
    <w:bookmarkEnd w:id="28"/>
    <w:bookmarkEnd w:id="29"/>
    <w:bookmarkEnd w:id="30"/>
    <w:bookmarkEnd w:id="31"/>
    <w:bookmarkEnd w:id="32"/>
    <w:bookmarkEnd w:id="33"/>
    <w:bookmarkEnd w:id="34"/>
    <w:bookmarkEnd w:id="36"/>
    <w:bookmarkEnd w:id="37"/>
    <w:p w:rsidR="000103B3" w:rsidRPr="00BB72CE" w:rsidRDefault="000103B3" w:rsidP="005B6471">
      <w:pPr>
        <w:pStyle w:val="a0"/>
        <w:numPr>
          <w:ilvl w:val="0"/>
          <w:numId w:val="0"/>
        </w:numPr>
        <w:rPr>
          <w:rFonts w:hAnsi="標楷體"/>
        </w:rPr>
      </w:pPr>
    </w:p>
    <w:sectPr w:rsidR="000103B3" w:rsidRPr="00BB72CE" w:rsidSect="00C05D62">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6A7" w:rsidRDefault="00C406A7">
      <w:r>
        <w:separator/>
      </w:r>
    </w:p>
  </w:endnote>
  <w:endnote w:type="continuationSeparator" w:id="0">
    <w:p w:rsidR="00C406A7" w:rsidRDefault="00C4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7C" w:rsidRDefault="00EC737C">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21462E">
      <w:rPr>
        <w:rStyle w:val="af"/>
        <w:noProof/>
        <w:sz w:val="24"/>
      </w:rPr>
      <w:t>47</w:t>
    </w:r>
    <w:r>
      <w:rPr>
        <w:rStyle w:val="af"/>
        <w:sz w:val="24"/>
      </w:rPr>
      <w:fldChar w:fldCharType="end"/>
    </w:r>
  </w:p>
  <w:p w:rsidR="00EC737C" w:rsidRDefault="00EC737C">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7C" w:rsidRDefault="00EC737C">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21462E">
      <w:rPr>
        <w:rStyle w:val="af"/>
        <w:noProof/>
        <w:sz w:val="24"/>
      </w:rPr>
      <w:t>48</w:t>
    </w:r>
    <w:r>
      <w:rPr>
        <w:rStyle w:val="af"/>
        <w:sz w:val="24"/>
      </w:rPr>
      <w:fldChar w:fldCharType="end"/>
    </w:r>
  </w:p>
  <w:p w:rsidR="00EC737C" w:rsidRDefault="00EC737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6A7" w:rsidRDefault="00C406A7">
      <w:r>
        <w:separator/>
      </w:r>
    </w:p>
  </w:footnote>
  <w:footnote w:type="continuationSeparator" w:id="0">
    <w:p w:rsidR="00C406A7" w:rsidRDefault="00C406A7">
      <w:r>
        <w:continuationSeparator/>
      </w:r>
    </w:p>
  </w:footnote>
  <w:footnote w:id="1">
    <w:p w:rsidR="00EC737C" w:rsidRDefault="00EC737C">
      <w:pPr>
        <w:pStyle w:val="aff3"/>
      </w:pPr>
      <w:r>
        <w:rPr>
          <w:rStyle w:val="aff5"/>
        </w:rPr>
        <w:footnoteRef/>
      </w:r>
      <w:r>
        <w:t xml:space="preserve"> </w:t>
      </w:r>
      <w:r>
        <w:rPr>
          <w:rFonts w:hint="eastAsia"/>
        </w:rPr>
        <w:t>農委會於106年3月23日赴本院簡報所提供之資料。</w:t>
      </w:r>
    </w:p>
  </w:footnote>
  <w:footnote w:id="2">
    <w:p w:rsidR="00EC737C" w:rsidRPr="00753003" w:rsidRDefault="00EC737C" w:rsidP="00C9605D">
      <w:pPr>
        <w:pStyle w:val="aff3"/>
        <w:spacing w:line="240" w:lineRule="exact"/>
        <w:ind w:left="165" w:hangingChars="75" w:hanging="165"/>
      </w:pPr>
      <w:r>
        <w:rPr>
          <w:rStyle w:val="aff5"/>
        </w:rPr>
        <w:footnoteRef/>
      </w:r>
      <w:r>
        <w:rPr>
          <w:rFonts w:hint="eastAsia"/>
        </w:rPr>
        <w:t xml:space="preserve"> 農委會於106年3月23日赴本院簡報所提供之資料。</w:t>
      </w:r>
    </w:p>
  </w:footnote>
  <w:footnote w:id="3">
    <w:p w:rsidR="00EC737C" w:rsidRPr="00030D29" w:rsidRDefault="00EC737C" w:rsidP="00C9605D">
      <w:pPr>
        <w:pStyle w:val="aff3"/>
        <w:spacing w:line="240" w:lineRule="exact"/>
        <w:ind w:left="165" w:hangingChars="75" w:hanging="165"/>
      </w:pPr>
      <w:r>
        <w:rPr>
          <w:rStyle w:val="aff5"/>
        </w:rPr>
        <w:footnoteRef/>
      </w:r>
      <w:r>
        <w:t xml:space="preserve"> </w:t>
      </w:r>
      <w:r>
        <w:rPr>
          <w:rFonts w:hint="eastAsia"/>
        </w:rPr>
        <w:t>本院</w:t>
      </w:r>
      <w:r w:rsidRPr="00030D29">
        <w:rPr>
          <w:rFonts w:hAnsi="標楷體" w:hint="eastAsia"/>
        </w:rPr>
        <w:t>「據審計部104年度中央政府總決算審核報告，行政院農業委員會賡續推動各項產業調整對策與拓展農產品國際行銷，惟農產品仍持續發生貿易入超，國際行銷拓展計畫整體表現未如預期等情案。</w:t>
      </w:r>
      <w:r>
        <w:rPr>
          <w:rFonts w:hAnsi="標楷體" w:hint="eastAsia"/>
        </w:rPr>
        <w:t>」調查報告（派查字號：</w:t>
      </w:r>
      <w:r w:rsidRPr="00030D29">
        <w:rPr>
          <w:rFonts w:hAnsi="標楷體" w:hint="eastAsia"/>
        </w:rPr>
        <w:t>105</w:t>
      </w:r>
      <w:r>
        <w:rPr>
          <w:rFonts w:hint="eastAsia"/>
        </w:rPr>
        <w:t>年10月18日院台調壹字第1050800207號）。</w:t>
      </w:r>
    </w:p>
  </w:footnote>
  <w:footnote w:id="4">
    <w:p w:rsidR="00EC737C" w:rsidRDefault="00EC737C" w:rsidP="00C9605D">
      <w:pPr>
        <w:pStyle w:val="aff3"/>
        <w:spacing w:line="240" w:lineRule="exact"/>
        <w:ind w:left="165" w:hangingChars="75" w:hanging="165"/>
      </w:pPr>
      <w:r>
        <w:rPr>
          <w:rStyle w:val="aff5"/>
        </w:rPr>
        <w:footnoteRef/>
      </w:r>
      <w:r>
        <w:rPr>
          <w:rFonts w:hint="eastAsia"/>
        </w:rPr>
        <w:t xml:space="preserve"> 農委會於</w:t>
      </w:r>
      <w:r w:rsidRPr="009062D0">
        <w:rPr>
          <w:rFonts w:hAnsi="標楷體" w:hint="eastAsia"/>
        </w:rPr>
        <w:t>106</w:t>
      </w:r>
      <w:r>
        <w:rPr>
          <w:rFonts w:hint="eastAsia"/>
        </w:rPr>
        <w:t>年3月23日赴本院簡報所提供之資料。</w:t>
      </w:r>
    </w:p>
  </w:footnote>
  <w:footnote w:id="5">
    <w:p w:rsidR="00EC737C" w:rsidRDefault="00EC737C" w:rsidP="00C9605D">
      <w:pPr>
        <w:pStyle w:val="aff3"/>
        <w:spacing w:line="240" w:lineRule="exact"/>
        <w:ind w:left="165" w:hangingChars="75" w:hanging="165"/>
      </w:pPr>
      <w:r>
        <w:rPr>
          <w:rStyle w:val="aff5"/>
        </w:rPr>
        <w:footnoteRef/>
      </w:r>
      <w:r>
        <w:t xml:space="preserve"> </w:t>
      </w:r>
      <w:r>
        <w:rPr>
          <w:rFonts w:hint="eastAsia"/>
        </w:rPr>
        <w:t>農委會於10月26日赴本院座談之簡報及書面資料。</w:t>
      </w:r>
    </w:p>
  </w:footnote>
  <w:footnote w:id="6">
    <w:p w:rsidR="00EC737C" w:rsidRDefault="00EC737C" w:rsidP="001D1918">
      <w:pPr>
        <w:pStyle w:val="aff3"/>
        <w:ind w:left="242" w:hangingChars="110" w:hanging="242"/>
      </w:pPr>
      <w:r>
        <w:rPr>
          <w:rStyle w:val="aff5"/>
        </w:rPr>
        <w:footnoteRef/>
      </w:r>
      <w:r>
        <w:rPr>
          <w:rFonts w:hint="eastAsia"/>
        </w:rPr>
        <w:t xml:space="preserve"> 本院</w:t>
      </w:r>
      <w:r w:rsidRPr="00030D29">
        <w:rPr>
          <w:rFonts w:hAnsi="標楷體" w:hint="eastAsia"/>
        </w:rPr>
        <w:t>「據審計部104年度中央政府總決算審核報告，行政院農業委員會賡續推動各項產業調整對策與拓展農產品國際行銷，惟農產品仍持續發生貿易入超，國際行銷拓展計畫整體表現未如預期等情案。</w:t>
      </w:r>
      <w:r>
        <w:rPr>
          <w:rFonts w:hAnsi="標楷體" w:hint="eastAsia"/>
        </w:rPr>
        <w:t>」調查報告（派查字號：</w:t>
      </w:r>
      <w:r w:rsidRPr="00030D29">
        <w:rPr>
          <w:rFonts w:hAnsi="標楷體" w:hint="eastAsia"/>
        </w:rPr>
        <w:t>105</w:t>
      </w:r>
      <w:r>
        <w:rPr>
          <w:rFonts w:hint="eastAsia"/>
        </w:rPr>
        <w:t>年10月18日院台調壹字第1050800207號）。</w:t>
      </w:r>
    </w:p>
  </w:footnote>
  <w:footnote w:id="7">
    <w:p w:rsidR="00EC737C" w:rsidRDefault="00EC737C" w:rsidP="001D1918">
      <w:pPr>
        <w:pStyle w:val="aff3"/>
        <w:ind w:left="242" w:hangingChars="110" w:hanging="242"/>
      </w:pPr>
      <w:r>
        <w:rPr>
          <w:rStyle w:val="aff5"/>
        </w:rPr>
        <w:footnoteRef/>
      </w:r>
      <w:r>
        <w:t xml:space="preserve"> </w:t>
      </w:r>
      <w:r>
        <w:rPr>
          <w:rFonts w:hint="eastAsia"/>
        </w:rPr>
        <w:t>農委會於106年10月26日座談會後補充之資料。</w:t>
      </w:r>
    </w:p>
  </w:footnote>
  <w:footnote w:id="8">
    <w:p w:rsidR="00EC737C" w:rsidRPr="009C0127" w:rsidRDefault="00EC737C" w:rsidP="009C0127">
      <w:pPr>
        <w:pStyle w:val="aff3"/>
        <w:wordWrap w:val="0"/>
        <w:ind w:left="242" w:hangingChars="110" w:hanging="242"/>
        <w:rPr>
          <w:spacing w:val="-10"/>
        </w:rPr>
      </w:pPr>
      <w:r>
        <w:rPr>
          <w:rStyle w:val="aff5"/>
        </w:rPr>
        <w:footnoteRef/>
      </w:r>
      <w:r>
        <w:t xml:space="preserve"> </w:t>
      </w:r>
      <w:r w:rsidR="0048515A" w:rsidRPr="009C0127">
        <w:rPr>
          <w:rFonts w:hint="eastAsia"/>
          <w:spacing w:val="-10"/>
        </w:rPr>
        <w:t>農委會動植物防疫檢疫局。農藥產銷量值統計。106年11月14日，取自：https://pesticide.baphiq.gov.tw/web/Insecticides_MenuItem9_4S.aspx</w:t>
      </w:r>
    </w:p>
  </w:footnote>
  <w:footnote w:id="9">
    <w:p w:rsidR="00EC737C" w:rsidRPr="00ED60E1" w:rsidRDefault="00EC737C" w:rsidP="00C9605D">
      <w:pPr>
        <w:pStyle w:val="aff3"/>
        <w:spacing w:line="240" w:lineRule="exact"/>
        <w:ind w:left="242" w:hangingChars="110" w:hanging="242"/>
      </w:pPr>
      <w:r>
        <w:rPr>
          <w:rStyle w:val="aff5"/>
        </w:rPr>
        <w:footnoteRef/>
      </w:r>
      <w:r>
        <w:rPr>
          <w:rFonts w:hint="eastAsia"/>
        </w:rPr>
        <w:t xml:space="preserve"> </w:t>
      </w:r>
      <w:r w:rsidR="0048515A" w:rsidRPr="0044566A">
        <w:rPr>
          <w:rFonts w:hint="eastAsia"/>
          <w:spacing w:val="-10"/>
        </w:rPr>
        <w:t>孔德廉(106年9月8日)。臺灣農藥單位面積用量世界冠軍 植病權威曾德賜：植物醫師加處方箋 解決用藥困境。106年11月14日，取自：https://www.newsmarket.com.tw/blog/100092/</w:t>
      </w:r>
    </w:p>
  </w:footnote>
  <w:footnote w:id="10">
    <w:p w:rsidR="00EC737C" w:rsidRPr="009C0127" w:rsidRDefault="00EC737C" w:rsidP="009C0127">
      <w:pPr>
        <w:pStyle w:val="aff3"/>
        <w:ind w:left="284" w:hangingChars="129" w:hanging="284"/>
        <w:rPr>
          <w:spacing w:val="-10"/>
        </w:rPr>
      </w:pPr>
      <w:r>
        <w:rPr>
          <w:rStyle w:val="aff5"/>
        </w:rPr>
        <w:footnoteRef/>
      </w:r>
      <w:r>
        <w:rPr>
          <w:rFonts w:hint="eastAsia"/>
        </w:rPr>
        <w:t xml:space="preserve"> </w:t>
      </w:r>
      <w:r w:rsidR="0044566A" w:rsidRPr="0044566A">
        <w:rPr>
          <w:rFonts w:hint="eastAsia"/>
          <w:spacing w:val="-10"/>
        </w:rPr>
        <w:t>孔德廉(106年9月15日)。農委會宣示十年內農藥使用減半 防檢局：找出替代方案、降低農藥取得便利性。106年11月23日，取自：https://www.newsmarket.com.tw/blog/100359/</w:t>
      </w:r>
    </w:p>
  </w:footnote>
  <w:footnote w:id="11">
    <w:p w:rsidR="00EC737C" w:rsidRPr="00940116" w:rsidRDefault="00EC737C" w:rsidP="00C9605D">
      <w:pPr>
        <w:pStyle w:val="aff3"/>
        <w:ind w:left="242" w:hangingChars="110" w:hanging="242"/>
      </w:pPr>
      <w:r w:rsidRPr="00940116">
        <w:rPr>
          <w:rStyle w:val="aff5"/>
        </w:rPr>
        <w:footnoteRef/>
      </w:r>
      <w:r w:rsidRPr="00940116">
        <w:t xml:space="preserve"> </w:t>
      </w:r>
      <w:r w:rsidRPr="00940116">
        <w:rPr>
          <w:rFonts w:hint="eastAsia"/>
        </w:rPr>
        <w:t>韓國韓國農協中央會類似我國「中華民國農會」，</w:t>
      </w:r>
      <w:r w:rsidRPr="00940116">
        <w:t>為各級農會組織體系的最上級農會。</w:t>
      </w:r>
    </w:p>
  </w:footnote>
  <w:footnote w:id="12">
    <w:p w:rsidR="00EC737C" w:rsidRPr="00940116" w:rsidRDefault="00EC737C" w:rsidP="00C9605D">
      <w:pPr>
        <w:pStyle w:val="aff3"/>
        <w:ind w:left="242" w:hangingChars="110" w:hanging="242"/>
      </w:pPr>
      <w:r w:rsidRPr="00940116">
        <w:rPr>
          <w:rStyle w:val="aff5"/>
        </w:rPr>
        <w:footnoteRef/>
      </w:r>
      <w:r w:rsidRPr="00940116">
        <w:rPr>
          <w:rFonts w:hint="eastAsia"/>
        </w:rPr>
        <w:t xml:space="preserve"> </w:t>
      </w:r>
      <w:r w:rsidR="00104373" w:rsidRPr="00104373">
        <w:rPr>
          <w:rFonts w:hint="eastAsia"/>
        </w:rPr>
        <w:t>張致盛、陳怡任、楊欣佳(105年1月22日)。韓國青年農民培育措施及農協組織架構、事業發展考察。公務出國報告。</w:t>
      </w:r>
    </w:p>
  </w:footnote>
  <w:footnote w:id="13">
    <w:p w:rsidR="00EC737C" w:rsidRDefault="00EC737C" w:rsidP="00354E1F">
      <w:pPr>
        <w:pStyle w:val="aff3"/>
        <w:ind w:left="242" w:hangingChars="110" w:hanging="242"/>
      </w:pPr>
      <w:r>
        <w:rPr>
          <w:rStyle w:val="aff5"/>
        </w:rPr>
        <w:footnoteRef/>
      </w:r>
      <w:r>
        <w:rPr>
          <w:rFonts w:ascii="Times New Roman" w:hint="eastAsia"/>
        </w:rPr>
        <w:t xml:space="preserve"> </w:t>
      </w:r>
      <w:r w:rsidRPr="00461183">
        <w:rPr>
          <w:rFonts w:hint="eastAsia"/>
        </w:rPr>
        <w:t>主力農家戶</w:t>
      </w:r>
      <w:r w:rsidRPr="00461183">
        <w:rPr>
          <w:rFonts w:ascii="Times New Roman" w:hint="eastAsia"/>
        </w:rPr>
        <w:t>數</w:t>
      </w:r>
      <w:r w:rsidRPr="00CB5EFC">
        <w:rPr>
          <w:rFonts w:ascii="Times New Roman" w:hint="eastAsia"/>
        </w:rPr>
        <w:t>係農委會以</w:t>
      </w:r>
      <w:r w:rsidRPr="00C9605D">
        <w:rPr>
          <w:rFonts w:hint="eastAsia"/>
        </w:rPr>
        <w:t>符合</w:t>
      </w:r>
      <w:r w:rsidRPr="00CB5EFC">
        <w:rPr>
          <w:rFonts w:ascii="Times New Roman" w:hint="eastAsia"/>
        </w:rPr>
        <w:t>農業普查標準之農牧戶中，再依「銷售額規模」、「農地面積」或「從農天數」等判定因子，推估而得</w:t>
      </w:r>
      <w:r w:rsidRPr="00CB5EFC">
        <w:rPr>
          <w:rFonts w:hint="eastAsia"/>
        </w:rPr>
        <w:t>。</w:t>
      </w:r>
    </w:p>
  </w:footnote>
  <w:footnote w:id="14">
    <w:p w:rsidR="00EC737C" w:rsidRPr="00C9605D" w:rsidRDefault="00EC737C" w:rsidP="001D1918">
      <w:pPr>
        <w:pStyle w:val="aff3"/>
        <w:ind w:left="242" w:hangingChars="110" w:hanging="242"/>
      </w:pPr>
      <w:r>
        <w:rPr>
          <w:rStyle w:val="aff5"/>
        </w:rPr>
        <w:footnoteRef/>
      </w:r>
      <w:r>
        <w:t xml:space="preserve"> </w:t>
      </w:r>
      <w:r>
        <w:rPr>
          <w:rFonts w:hint="eastAsia"/>
        </w:rPr>
        <w:t>農委會統計資料。查詢路徑：農委會/統計資料查詢/動態查詢/勞動力統計/農業就業人口；</w:t>
      </w:r>
      <w:r w:rsidRPr="009062D0">
        <w:rPr>
          <w:rFonts w:hAnsi="標楷體" w:hint="eastAsia"/>
        </w:rPr>
        <w:t>查詢</w:t>
      </w:r>
      <w:r w:rsidRPr="00C9605D">
        <w:rPr>
          <w:rFonts w:hint="eastAsia"/>
        </w:rPr>
        <w:t>日</w:t>
      </w:r>
      <w:r w:rsidRPr="00C9605D">
        <w:rPr>
          <w:rStyle w:val="j-title-breadcrumb"/>
          <w:rFonts w:hint="eastAsia"/>
          <w:lang w:val="en"/>
        </w:rPr>
        <w:t>期</w:t>
      </w:r>
      <w:r w:rsidRPr="00C9605D">
        <w:rPr>
          <w:rFonts w:hint="eastAsia"/>
        </w:rPr>
        <w:t>：106年4月17日。</w:t>
      </w:r>
    </w:p>
  </w:footnote>
  <w:footnote w:id="15">
    <w:p w:rsidR="00EC737C" w:rsidRDefault="00EC737C" w:rsidP="00C9605D">
      <w:pPr>
        <w:pStyle w:val="aff3"/>
        <w:spacing w:line="240" w:lineRule="exact"/>
        <w:ind w:left="242" w:hangingChars="110" w:hanging="242"/>
      </w:pPr>
      <w:r w:rsidRPr="00C9605D">
        <w:rPr>
          <w:rStyle w:val="aff5"/>
        </w:rPr>
        <w:footnoteRef/>
      </w:r>
      <w:r w:rsidRPr="00C9605D">
        <w:rPr>
          <w:rFonts w:hint="eastAsia"/>
        </w:rPr>
        <w:t xml:space="preserve"> 本院</w:t>
      </w:r>
      <w:r w:rsidRPr="00C9605D">
        <w:rPr>
          <w:rFonts w:hAnsi="標楷體" w:hint="eastAsia"/>
        </w:rPr>
        <w:t>「據審計部104年度中央政府總決算審核報告，行政院農業委員會賡續推動各項產業調整對策與拓展</w:t>
      </w:r>
      <w:r w:rsidRPr="00C9605D">
        <w:rPr>
          <w:rStyle w:val="j-title-breadcrumb"/>
          <w:rFonts w:hint="eastAsia"/>
          <w:lang w:val="en"/>
        </w:rPr>
        <w:t>農產品</w:t>
      </w:r>
      <w:r w:rsidRPr="00C9605D">
        <w:rPr>
          <w:rFonts w:hAnsi="標楷體" w:hint="eastAsia"/>
        </w:rPr>
        <w:t>國際行銷，惟農產品仍持續發生貿易入超，國際行銷拓展計畫整體表現未如預期等情案。」調查</w:t>
      </w:r>
      <w:r>
        <w:rPr>
          <w:rFonts w:hAnsi="標楷體" w:hint="eastAsia"/>
        </w:rPr>
        <w:t>報告（派查字號：</w:t>
      </w:r>
      <w:r w:rsidRPr="00030D29">
        <w:rPr>
          <w:rFonts w:hAnsi="標楷體" w:hint="eastAsia"/>
        </w:rPr>
        <w:t>105</w:t>
      </w:r>
      <w:r>
        <w:rPr>
          <w:rFonts w:hint="eastAsia"/>
        </w:rPr>
        <w:t>年10月18日院台調壹字第1050800207號）。</w:t>
      </w:r>
    </w:p>
  </w:footnote>
  <w:footnote w:id="16">
    <w:p w:rsidR="00EC737C" w:rsidRDefault="00EC737C" w:rsidP="00C9605D">
      <w:pPr>
        <w:pStyle w:val="aff3"/>
        <w:spacing w:line="240" w:lineRule="exact"/>
        <w:ind w:left="242" w:hangingChars="110" w:hanging="242"/>
      </w:pPr>
      <w:r>
        <w:rPr>
          <w:rStyle w:val="aff5"/>
        </w:rPr>
        <w:footnoteRef/>
      </w:r>
      <w:r>
        <w:rPr>
          <w:rFonts w:hint="eastAsia"/>
        </w:rPr>
        <w:t xml:space="preserve"> 農委會於10月26日赴本院座談之簡報及書面資料。</w:t>
      </w:r>
    </w:p>
  </w:footnote>
  <w:footnote w:id="17">
    <w:p w:rsidR="00EC737C" w:rsidRPr="00E53897" w:rsidRDefault="00EC737C" w:rsidP="00E53897">
      <w:pPr>
        <w:pStyle w:val="aff3"/>
        <w:wordWrap w:val="0"/>
        <w:spacing w:line="240" w:lineRule="exact"/>
        <w:ind w:left="242" w:hangingChars="110" w:hanging="242"/>
      </w:pPr>
      <w:r w:rsidRPr="00E53897">
        <w:rPr>
          <w:rStyle w:val="aff5"/>
        </w:rPr>
        <w:footnoteRef/>
      </w:r>
      <w:r w:rsidR="00E53897" w:rsidRPr="00E53897">
        <w:rPr>
          <w:rFonts w:hint="eastAsia"/>
        </w:rPr>
        <w:t xml:space="preserve"> </w:t>
      </w:r>
      <w:r w:rsidRPr="00E53897">
        <w:rPr>
          <w:rFonts w:hint="eastAsia"/>
        </w:rPr>
        <w:t>一級嘴砲技術士</w:t>
      </w:r>
      <w:r w:rsidR="00E53897">
        <w:rPr>
          <w:rFonts w:hint="eastAsia"/>
        </w:rPr>
        <w:t>(</w:t>
      </w:r>
      <w:r w:rsidR="00E53897" w:rsidRPr="00E53897">
        <w:rPr>
          <w:rFonts w:hint="eastAsia"/>
        </w:rPr>
        <w:t>106年11月23日</w:t>
      </w:r>
      <w:r w:rsidR="00E53897">
        <w:rPr>
          <w:rFonts w:hint="eastAsia"/>
        </w:rPr>
        <w:t>)</w:t>
      </w:r>
      <w:r w:rsidRPr="00E53897">
        <w:rPr>
          <w:rFonts w:hint="eastAsia"/>
        </w:rPr>
        <w:t>。</w:t>
      </w:r>
      <w:r w:rsidRPr="00E53897">
        <w:t>小農通往天國的倒數計時</w:t>
      </w:r>
      <w:r w:rsidRPr="00E53897">
        <w:rPr>
          <w:rFonts w:hint="eastAsia"/>
        </w:rPr>
        <w:t>。</w:t>
      </w:r>
      <w:r w:rsidR="002D302C" w:rsidRPr="00E53897">
        <w:rPr>
          <w:rFonts w:hint="eastAsia"/>
        </w:rPr>
        <w:t>106年11月2</w:t>
      </w:r>
      <w:r w:rsidR="002D302C">
        <w:rPr>
          <w:rFonts w:hint="eastAsia"/>
        </w:rPr>
        <w:t>8</w:t>
      </w:r>
      <w:r w:rsidR="002D302C" w:rsidRPr="00E53897">
        <w:rPr>
          <w:rFonts w:hint="eastAsia"/>
        </w:rPr>
        <w:t>日</w:t>
      </w:r>
      <w:r w:rsidRPr="00E53897">
        <w:rPr>
          <w:rFonts w:hint="eastAsia"/>
        </w:rPr>
        <w:t>，取自：</w:t>
      </w:r>
      <w:r w:rsidRPr="00E53897">
        <w:t>http://talk.ltn.com.tw/article/breakingnews/2262878</w:t>
      </w:r>
    </w:p>
  </w:footnote>
  <w:footnote w:id="18">
    <w:p w:rsidR="00EC737C" w:rsidRDefault="00EC737C" w:rsidP="00C9605D">
      <w:pPr>
        <w:pStyle w:val="aff3"/>
        <w:spacing w:line="240" w:lineRule="exact"/>
        <w:ind w:left="242" w:hangingChars="110" w:hanging="242"/>
      </w:pPr>
      <w:r>
        <w:rPr>
          <w:rStyle w:val="aff5"/>
        </w:rPr>
        <w:footnoteRef/>
      </w:r>
      <w:r>
        <w:rPr>
          <w:rFonts w:hint="eastAsia"/>
        </w:rPr>
        <w:t xml:space="preserve"> 勞動部於105年10月26日赴本院座談提供之書面資料。</w:t>
      </w:r>
    </w:p>
  </w:footnote>
  <w:footnote w:id="19">
    <w:p w:rsidR="00EC737C" w:rsidRPr="002D302C" w:rsidRDefault="00EC737C" w:rsidP="00C9605D">
      <w:pPr>
        <w:pStyle w:val="aff3"/>
        <w:spacing w:line="240" w:lineRule="exact"/>
        <w:ind w:left="242" w:hangingChars="110" w:hanging="242"/>
      </w:pPr>
      <w:r>
        <w:rPr>
          <w:rStyle w:val="aff5"/>
        </w:rPr>
        <w:footnoteRef/>
      </w:r>
      <w:r>
        <w:rPr>
          <w:rFonts w:hint="eastAsia"/>
          <w:color w:val="FF0000"/>
        </w:rPr>
        <w:t xml:space="preserve"> </w:t>
      </w:r>
      <w:r w:rsidRPr="002D302C">
        <w:rPr>
          <w:rStyle w:val="af2"/>
          <w:rFonts w:hint="eastAsia"/>
          <w:color w:val="auto"/>
          <w:u w:val="none"/>
        </w:rPr>
        <w:t>彭宣雅(106年11月28日)。農業雇工亂象多 有人領1個月薪水落跑。聯合晚報，A4</w:t>
      </w:r>
      <w:r w:rsidR="002D302C">
        <w:rPr>
          <w:rStyle w:val="af2"/>
          <w:rFonts w:hint="eastAsia"/>
          <w:color w:val="auto"/>
          <w:u w:val="none"/>
        </w:rPr>
        <w:t>版</w:t>
      </w:r>
      <w:r w:rsidRPr="002D302C">
        <w:rPr>
          <w:rStyle w:val="af2"/>
          <w:rFonts w:hint="eastAsia"/>
          <w:color w:val="auto"/>
          <w:u w:val="none"/>
        </w:rPr>
        <w:t>。</w:t>
      </w:r>
    </w:p>
  </w:footnote>
  <w:footnote w:id="20">
    <w:p w:rsidR="00EC737C" w:rsidRPr="00F96EC1" w:rsidRDefault="00EC737C" w:rsidP="00E46AA2">
      <w:pPr>
        <w:pStyle w:val="aff3"/>
        <w:wordWrap w:val="0"/>
        <w:spacing w:line="240" w:lineRule="exact"/>
        <w:ind w:left="242" w:hangingChars="110" w:hanging="242"/>
      </w:pPr>
      <w:r>
        <w:rPr>
          <w:rStyle w:val="aff5"/>
        </w:rPr>
        <w:footnoteRef/>
      </w:r>
      <w:r>
        <w:rPr>
          <w:rStyle w:val="j-title-breadcrumb"/>
          <w:rFonts w:hint="eastAsia"/>
          <w:color w:val="FF00FF"/>
          <w:lang w:val="en"/>
        </w:rPr>
        <w:t xml:space="preserve"> </w:t>
      </w:r>
      <w:r w:rsidR="00F96EC1" w:rsidRPr="00F96EC1">
        <w:rPr>
          <w:rStyle w:val="j-title-breadcrumb"/>
          <w:rFonts w:hint="eastAsia"/>
          <w:lang w:val="en"/>
        </w:rPr>
        <w:t>農委會(106年11月9日)。推動學校午餐採用在地食材。106年11月28日，取自：https://www.slideshare.net/OpenMic1/20171109-81780289</w:t>
      </w:r>
    </w:p>
  </w:footnote>
  <w:footnote w:id="21">
    <w:p w:rsidR="00EC737C" w:rsidRPr="00F96EC1" w:rsidRDefault="00EC737C" w:rsidP="00C9605D">
      <w:pPr>
        <w:pStyle w:val="aff3"/>
        <w:spacing w:line="240" w:lineRule="exact"/>
        <w:ind w:left="242" w:hangingChars="110" w:hanging="242"/>
      </w:pPr>
      <w:r w:rsidRPr="00F96EC1">
        <w:rPr>
          <w:rStyle w:val="aff5"/>
        </w:rPr>
        <w:footnoteRef/>
      </w:r>
      <w:r w:rsidRPr="00F96EC1">
        <w:rPr>
          <w:rFonts w:hint="eastAsia"/>
        </w:rPr>
        <w:t xml:space="preserve"> 張致盛、陳怡任、楊欣佳(105年1月22日)。韓國青年農民培育措施及農協組織架構、事業發展考察。公務出國報告。</w:t>
      </w:r>
    </w:p>
  </w:footnote>
  <w:footnote w:id="22">
    <w:p w:rsidR="00EC737C" w:rsidRDefault="00EC737C" w:rsidP="00C9605D">
      <w:pPr>
        <w:pStyle w:val="aff3"/>
        <w:spacing w:line="240" w:lineRule="exact"/>
        <w:ind w:left="242" w:hangingChars="110" w:hanging="242"/>
      </w:pPr>
      <w:r>
        <w:rPr>
          <w:rStyle w:val="aff5"/>
        </w:rPr>
        <w:footnoteRef/>
      </w:r>
      <w:r>
        <w:t xml:space="preserve"> </w:t>
      </w:r>
      <w:r w:rsidRPr="0094385D">
        <w:rPr>
          <w:rFonts w:hint="eastAsia"/>
        </w:rPr>
        <w:t>飲食教育</w:t>
      </w:r>
      <w:r>
        <w:rPr>
          <w:rFonts w:hint="eastAsia"/>
        </w:rPr>
        <w:t>包含營養、家政、健康、食品教育等。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ECC96C4"/>
    <w:lvl w:ilvl="0">
      <w:start w:val="1"/>
      <w:numFmt w:val="bullet"/>
      <w:pStyle w:val="a"/>
      <w:lvlText w:val=""/>
      <w:lvlJc w:val="left"/>
      <w:pPr>
        <w:tabs>
          <w:tab w:val="num" w:pos="882"/>
        </w:tabs>
        <w:ind w:leftChars="200" w:left="882"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21AB67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EF726A7E">
      <w:start w:val="1"/>
      <w:numFmt w:val="decimal"/>
      <w:pStyle w:val="a4"/>
      <w:lvlText w:val="表%1　"/>
      <w:lvlJc w:val="left"/>
      <w:pPr>
        <w:ind w:left="5159"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
  </w:num>
  <w:num w:numId="3">
    <w:abstractNumId w:val="0"/>
  </w:num>
  <w:num w:numId="4">
    <w:abstractNumId w:val="6"/>
  </w:num>
  <w:num w:numId="5">
    <w:abstractNumId w:val="5"/>
  </w:num>
  <w:num w:numId="6">
    <w:abstractNumId w:val="3"/>
  </w:num>
  <w:num w:numId="7">
    <w:abstractNumId w:val="1"/>
  </w:num>
  <w:num w:numId="8">
    <w:abstractNumId w:val="7"/>
  </w:num>
  <w:num w:numId="9">
    <w:abstractNumId w:val="8"/>
  </w:num>
  <w:num w:numId="10">
    <w:abstractNumId w:val="4"/>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0976"/>
    <w:rsid w:val="000035B3"/>
    <w:rsid w:val="00006961"/>
    <w:rsid w:val="00007A56"/>
    <w:rsid w:val="00007E63"/>
    <w:rsid w:val="000103B3"/>
    <w:rsid w:val="000112BF"/>
    <w:rsid w:val="00012233"/>
    <w:rsid w:val="000172C0"/>
    <w:rsid w:val="00017318"/>
    <w:rsid w:val="00020274"/>
    <w:rsid w:val="000246F7"/>
    <w:rsid w:val="00025C1E"/>
    <w:rsid w:val="0003064C"/>
    <w:rsid w:val="00030D29"/>
    <w:rsid w:val="0003114D"/>
    <w:rsid w:val="00035D70"/>
    <w:rsid w:val="000364B1"/>
    <w:rsid w:val="00036D76"/>
    <w:rsid w:val="00037F43"/>
    <w:rsid w:val="000407ED"/>
    <w:rsid w:val="00045F59"/>
    <w:rsid w:val="000505C1"/>
    <w:rsid w:val="0005263D"/>
    <w:rsid w:val="00057F32"/>
    <w:rsid w:val="0006090B"/>
    <w:rsid w:val="00062A25"/>
    <w:rsid w:val="00073CB5"/>
    <w:rsid w:val="0007425C"/>
    <w:rsid w:val="00074E50"/>
    <w:rsid w:val="00074F18"/>
    <w:rsid w:val="000750FE"/>
    <w:rsid w:val="000755E4"/>
    <w:rsid w:val="00075EF3"/>
    <w:rsid w:val="000761E4"/>
    <w:rsid w:val="00077553"/>
    <w:rsid w:val="000806D3"/>
    <w:rsid w:val="00082167"/>
    <w:rsid w:val="000851A2"/>
    <w:rsid w:val="00086A7D"/>
    <w:rsid w:val="00087E29"/>
    <w:rsid w:val="0009352E"/>
    <w:rsid w:val="00093AE8"/>
    <w:rsid w:val="00094613"/>
    <w:rsid w:val="00095EC3"/>
    <w:rsid w:val="00096B96"/>
    <w:rsid w:val="000A01B3"/>
    <w:rsid w:val="000A2F3F"/>
    <w:rsid w:val="000A4181"/>
    <w:rsid w:val="000A64C8"/>
    <w:rsid w:val="000A6831"/>
    <w:rsid w:val="000A6BE5"/>
    <w:rsid w:val="000B0B4A"/>
    <w:rsid w:val="000B273C"/>
    <w:rsid w:val="000B279A"/>
    <w:rsid w:val="000B5A48"/>
    <w:rsid w:val="000B61D2"/>
    <w:rsid w:val="000B64E7"/>
    <w:rsid w:val="000B70A7"/>
    <w:rsid w:val="000B73DD"/>
    <w:rsid w:val="000C2ED3"/>
    <w:rsid w:val="000C310D"/>
    <w:rsid w:val="000C3543"/>
    <w:rsid w:val="000C44A1"/>
    <w:rsid w:val="000C495F"/>
    <w:rsid w:val="000C5C0F"/>
    <w:rsid w:val="000C6E92"/>
    <w:rsid w:val="000D0FD7"/>
    <w:rsid w:val="000D500D"/>
    <w:rsid w:val="000D651A"/>
    <w:rsid w:val="000D774D"/>
    <w:rsid w:val="000E6127"/>
    <w:rsid w:val="000E6431"/>
    <w:rsid w:val="000F21A5"/>
    <w:rsid w:val="000F6250"/>
    <w:rsid w:val="00102B9F"/>
    <w:rsid w:val="001042A8"/>
    <w:rsid w:val="00104373"/>
    <w:rsid w:val="00105369"/>
    <w:rsid w:val="00106CAF"/>
    <w:rsid w:val="001119FA"/>
    <w:rsid w:val="00112637"/>
    <w:rsid w:val="00112ABC"/>
    <w:rsid w:val="00116F42"/>
    <w:rsid w:val="0012001E"/>
    <w:rsid w:val="00126A55"/>
    <w:rsid w:val="00126F4C"/>
    <w:rsid w:val="001273E1"/>
    <w:rsid w:val="00132C42"/>
    <w:rsid w:val="00133F08"/>
    <w:rsid w:val="001345E6"/>
    <w:rsid w:val="001378B0"/>
    <w:rsid w:val="00137B42"/>
    <w:rsid w:val="00141917"/>
    <w:rsid w:val="00142E00"/>
    <w:rsid w:val="00144D7F"/>
    <w:rsid w:val="00144EB5"/>
    <w:rsid w:val="00152793"/>
    <w:rsid w:val="00153618"/>
    <w:rsid w:val="00153B7E"/>
    <w:rsid w:val="001545A9"/>
    <w:rsid w:val="00155EBC"/>
    <w:rsid w:val="001615BE"/>
    <w:rsid w:val="001637C7"/>
    <w:rsid w:val="0016480E"/>
    <w:rsid w:val="00167102"/>
    <w:rsid w:val="00167B21"/>
    <w:rsid w:val="00170279"/>
    <w:rsid w:val="00170DD0"/>
    <w:rsid w:val="00173D18"/>
    <w:rsid w:val="00174297"/>
    <w:rsid w:val="0017503B"/>
    <w:rsid w:val="001757F4"/>
    <w:rsid w:val="00180E06"/>
    <w:rsid w:val="001817B3"/>
    <w:rsid w:val="00181E89"/>
    <w:rsid w:val="00183014"/>
    <w:rsid w:val="00183312"/>
    <w:rsid w:val="00183C1E"/>
    <w:rsid w:val="00184ACB"/>
    <w:rsid w:val="00186132"/>
    <w:rsid w:val="00186720"/>
    <w:rsid w:val="001919BA"/>
    <w:rsid w:val="001959C2"/>
    <w:rsid w:val="001A120F"/>
    <w:rsid w:val="001A51E3"/>
    <w:rsid w:val="001A5A2D"/>
    <w:rsid w:val="001A7968"/>
    <w:rsid w:val="001B2E98"/>
    <w:rsid w:val="001B3483"/>
    <w:rsid w:val="001B3C1E"/>
    <w:rsid w:val="001B4494"/>
    <w:rsid w:val="001B636E"/>
    <w:rsid w:val="001B6FC1"/>
    <w:rsid w:val="001B7013"/>
    <w:rsid w:val="001B7204"/>
    <w:rsid w:val="001C0D8B"/>
    <w:rsid w:val="001C0DA8"/>
    <w:rsid w:val="001C10F0"/>
    <w:rsid w:val="001C3EC2"/>
    <w:rsid w:val="001C4956"/>
    <w:rsid w:val="001C701F"/>
    <w:rsid w:val="001C79EC"/>
    <w:rsid w:val="001D087F"/>
    <w:rsid w:val="001D179F"/>
    <w:rsid w:val="001D1918"/>
    <w:rsid w:val="001D1EBD"/>
    <w:rsid w:val="001D26FC"/>
    <w:rsid w:val="001D4AD7"/>
    <w:rsid w:val="001D5E2A"/>
    <w:rsid w:val="001D65A0"/>
    <w:rsid w:val="001E026E"/>
    <w:rsid w:val="001E0D8A"/>
    <w:rsid w:val="001E446E"/>
    <w:rsid w:val="001E4D46"/>
    <w:rsid w:val="001E63E4"/>
    <w:rsid w:val="001E67BA"/>
    <w:rsid w:val="001E7331"/>
    <w:rsid w:val="001E74C2"/>
    <w:rsid w:val="001E78D3"/>
    <w:rsid w:val="001F005E"/>
    <w:rsid w:val="001F0EC1"/>
    <w:rsid w:val="001F1BC8"/>
    <w:rsid w:val="001F2FDB"/>
    <w:rsid w:val="001F35FD"/>
    <w:rsid w:val="001F4F82"/>
    <w:rsid w:val="001F599A"/>
    <w:rsid w:val="001F5A48"/>
    <w:rsid w:val="001F6260"/>
    <w:rsid w:val="00200007"/>
    <w:rsid w:val="002030A5"/>
    <w:rsid w:val="00203131"/>
    <w:rsid w:val="00203EFC"/>
    <w:rsid w:val="00203F45"/>
    <w:rsid w:val="00211A68"/>
    <w:rsid w:val="00212E88"/>
    <w:rsid w:val="0021305A"/>
    <w:rsid w:val="00213C9C"/>
    <w:rsid w:val="0021462E"/>
    <w:rsid w:val="0022009E"/>
    <w:rsid w:val="0022115F"/>
    <w:rsid w:val="00221BF6"/>
    <w:rsid w:val="00222701"/>
    <w:rsid w:val="00222B04"/>
    <w:rsid w:val="00223241"/>
    <w:rsid w:val="0022425C"/>
    <w:rsid w:val="002246DE"/>
    <w:rsid w:val="0023627B"/>
    <w:rsid w:val="002400E1"/>
    <w:rsid w:val="00243A34"/>
    <w:rsid w:val="00244E7D"/>
    <w:rsid w:val="002457BD"/>
    <w:rsid w:val="00250C44"/>
    <w:rsid w:val="002511D5"/>
    <w:rsid w:val="00251B85"/>
    <w:rsid w:val="00252436"/>
    <w:rsid w:val="00252BC4"/>
    <w:rsid w:val="00253DF5"/>
    <w:rsid w:val="00254014"/>
    <w:rsid w:val="00254B39"/>
    <w:rsid w:val="00256468"/>
    <w:rsid w:val="002567D1"/>
    <w:rsid w:val="002570CC"/>
    <w:rsid w:val="00260BE2"/>
    <w:rsid w:val="00260C71"/>
    <w:rsid w:val="0026261C"/>
    <w:rsid w:val="0026504D"/>
    <w:rsid w:val="0026773E"/>
    <w:rsid w:val="00270248"/>
    <w:rsid w:val="00271943"/>
    <w:rsid w:val="0027215B"/>
    <w:rsid w:val="00273A2F"/>
    <w:rsid w:val="00274047"/>
    <w:rsid w:val="0027505A"/>
    <w:rsid w:val="00280986"/>
    <w:rsid w:val="00280B54"/>
    <w:rsid w:val="00281ECE"/>
    <w:rsid w:val="00282625"/>
    <w:rsid w:val="002831C7"/>
    <w:rsid w:val="002840C6"/>
    <w:rsid w:val="0028432E"/>
    <w:rsid w:val="002852F7"/>
    <w:rsid w:val="00285D66"/>
    <w:rsid w:val="00286C88"/>
    <w:rsid w:val="0029135B"/>
    <w:rsid w:val="00295174"/>
    <w:rsid w:val="002953B0"/>
    <w:rsid w:val="00296172"/>
    <w:rsid w:val="00296285"/>
    <w:rsid w:val="0029689A"/>
    <w:rsid w:val="00296B92"/>
    <w:rsid w:val="00297050"/>
    <w:rsid w:val="00297712"/>
    <w:rsid w:val="002A2C22"/>
    <w:rsid w:val="002B02EB"/>
    <w:rsid w:val="002B0875"/>
    <w:rsid w:val="002B3230"/>
    <w:rsid w:val="002B612D"/>
    <w:rsid w:val="002C0602"/>
    <w:rsid w:val="002C0DAE"/>
    <w:rsid w:val="002C22B3"/>
    <w:rsid w:val="002C5F42"/>
    <w:rsid w:val="002D302C"/>
    <w:rsid w:val="002D5AB3"/>
    <w:rsid w:val="002D5C16"/>
    <w:rsid w:val="002D61B8"/>
    <w:rsid w:val="002E1AEB"/>
    <w:rsid w:val="002E3ACD"/>
    <w:rsid w:val="002E4055"/>
    <w:rsid w:val="002E4FEA"/>
    <w:rsid w:val="002E5974"/>
    <w:rsid w:val="002F0039"/>
    <w:rsid w:val="002F2379"/>
    <w:rsid w:val="002F2476"/>
    <w:rsid w:val="002F3B76"/>
    <w:rsid w:val="002F3DFF"/>
    <w:rsid w:val="002F5E05"/>
    <w:rsid w:val="002F7740"/>
    <w:rsid w:val="003051A1"/>
    <w:rsid w:val="00307A76"/>
    <w:rsid w:val="00310C23"/>
    <w:rsid w:val="0031305B"/>
    <w:rsid w:val="00313D34"/>
    <w:rsid w:val="00315261"/>
    <w:rsid w:val="00315A16"/>
    <w:rsid w:val="00317053"/>
    <w:rsid w:val="003201CB"/>
    <w:rsid w:val="0032109C"/>
    <w:rsid w:val="00321532"/>
    <w:rsid w:val="00322B45"/>
    <w:rsid w:val="00323809"/>
    <w:rsid w:val="00323D41"/>
    <w:rsid w:val="00324E9F"/>
    <w:rsid w:val="00325414"/>
    <w:rsid w:val="00326518"/>
    <w:rsid w:val="003302F1"/>
    <w:rsid w:val="003309EA"/>
    <w:rsid w:val="00331D44"/>
    <w:rsid w:val="00331F4D"/>
    <w:rsid w:val="00332FD1"/>
    <w:rsid w:val="00336EE5"/>
    <w:rsid w:val="003370E7"/>
    <w:rsid w:val="0034108F"/>
    <w:rsid w:val="0034184D"/>
    <w:rsid w:val="00342C21"/>
    <w:rsid w:val="0034470E"/>
    <w:rsid w:val="00344857"/>
    <w:rsid w:val="003453AE"/>
    <w:rsid w:val="00346A94"/>
    <w:rsid w:val="00352AE7"/>
    <w:rsid w:val="00352DB0"/>
    <w:rsid w:val="00354E1F"/>
    <w:rsid w:val="00355A47"/>
    <w:rsid w:val="003567D3"/>
    <w:rsid w:val="00361063"/>
    <w:rsid w:val="00362C74"/>
    <w:rsid w:val="0037094A"/>
    <w:rsid w:val="00370972"/>
    <w:rsid w:val="00371ED3"/>
    <w:rsid w:val="00372FFC"/>
    <w:rsid w:val="00374185"/>
    <w:rsid w:val="00375D2E"/>
    <w:rsid w:val="0037728A"/>
    <w:rsid w:val="00377505"/>
    <w:rsid w:val="0038097F"/>
    <w:rsid w:val="00380ACE"/>
    <w:rsid w:val="00380B7D"/>
    <w:rsid w:val="00380C38"/>
    <w:rsid w:val="00381A99"/>
    <w:rsid w:val="003829C2"/>
    <w:rsid w:val="00382C0D"/>
    <w:rsid w:val="003830B2"/>
    <w:rsid w:val="00384724"/>
    <w:rsid w:val="0038637D"/>
    <w:rsid w:val="00387205"/>
    <w:rsid w:val="003902B7"/>
    <w:rsid w:val="0039180D"/>
    <w:rsid w:val="003919B7"/>
    <w:rsid w:val="00391D57"/>
    <w:rsid w:val="00392292"/>
    <w:rsid w:val="003925AB"/>
    <w:rsid w:val="00392A32"/>
    <w:rsid w:val="00395E3C"/>
    <w:rsid w:val="00397958"/>
    <w:rsid w:val="003A1C4A"/>
    <w:rsid w:val="003A2115"/>
    <w:rsid w:val="003A4D18"/>
    <w:rsid w:val="003A5438"/>
    <w:rsid w:val="003A5927"/>
    <w:rsid w:val="003A6A51"/>
    <w:rsid w:val="003A7381"/>
    <w:rsid w:val="003A7D3E"/>
    <w:rsid w:val="003B0260"/>
    <w:rsid w:val="003B0903"/>
    <w:rsid w:val="003B0F21"/>
    <w:rsid w:val="003B1017"/>
    <w:rsid w:val="003B29C5"/>
    <w:rsid w:val="003B3C07"/>
    <w:rsid w:val="003B5F2B"/>
    <w:rsid w:val="003B6081"/>
    <w:rsid w:val="003B64FA"/>
    <w:rsid w:val="003B6775"/>
    <w:rsid w:val="003B7035"/>
    <w:rsid w:val="003C0210"/>
    <w:rsid w:val="003C18E9"/>
    <w:rsid w:val="003C1B96"/>
    <w:rsid w:val="003C5F02"/>
    <w:rsid w:val="003C5FE2"/>
    <w:rsid w:val="003C78A0"/>
    <w:rsid w:val="003D05FB"/>
    <w:rsid w:val="003D07CA"/>
    <w:rsid w:val="003D1477"/>
    <w:rsid w:val="003D1B16"/>
    <w:rsid w:val="003D45BF"/>
    <w:rsid w:val="003D508A"/>
    <w:rsid w:val="003D537F"/>
    <w:rsid w:val="003D7B75"/>
    <w:rsid w:val="003E0208"/>
    <w:rsid w:val="003E28F1"/>
    <w:rsid w:val="003E4B57"/>
    <w:rsid w:val="003E4F75"/>
    <w:rsid w:val="003E5169"/>
    <w:rsid w:val="003F199B"/>
    <w:rsid w:val="003F27E1"/>
    <w:rsid w:val="003F437A"/>
    <w:rsid w:val="003F520B"/>
    <w:rsid w:val="003F54CD"/>
    <w:rsid w:val="003F5C2B"/>
    <w:rsid w:val="003F6013"/>
    <w:rsid w:val="003F610F"/>
    <w:rsid w:val="00402240"/>
    <w:rsid w:val="004023E9"/>
    <w:rsid w:val="0040454A"/>
    <w:rsid w:val="0040519B"/>
    <w:rsid w:val="00413F83"/>
    <w:rsid w:val="0041490C"/>
    <w:rsid w:val="00414E03"/>
    <w:rsid w:val="00416191"/>
    <w:rsid w:val="00416721"/>
    <w:rsid w:val="00416DAD"/>
    <w:rsid w:val="00417107"/>
    <w:rsid w:val="004214DD"/>
    <w:rsid w:val="00421EF0"/>
    <w:rsid w:val="004224FA"/>
    <w:rsid w:val="0042278D"/>
    <w:rsid w:val="00423D07"/>
    <w:rsid w:val="004266E4"/>
    <w:rsid w:val="00427936"/>
    <w:rsid w:val="00427FA6"/>
    <w:rsid w:val="00430E12"/>
    <w:rsid w:val="00431021"/>
    <w:rsid w:val="0043357C"/>
    <w:rsid w:val="004345D6"/>
    <w:rsid w:val="00434752"/>
    <w:rsid w:val="0044051C"/>
    <w:rsid w:val="0044346F"/>
    <w:rsid w:val="00444E59"/>
    <w:rsid w:val="0044566A"/>
    <w:rsid w:val="00447B36"/>
    <w:rsid w:val="00451990"/>
    <w:rsid w:val="004552FD"/>
    <w:rsid w:val="00457010"/>
    <w:rsid w:val="00457B24"/>
    <w:rsid w:val="00461FBE"/>
    <w:rsid w:val="00462C30"/>
    <w:rsid w:val="00464810"/>
    <w:rsid w:val="00464991"/>
    <w:rsid w:val="00464D8F"/>
    <w:rsid w:val="0046520A"/>
    <w:rsid w:val="00465661"/>
    <w:rsid w:val="004672AB"/>
    <w:rsid w:val="004714FE"/>
    <w:rsid w:val="0047595B"/>
    <w:rsid w:val="00477BAA"/>
    <w:rsid w:val="00484F2E"/>
    <w:rsid w:val="0048515A"/>
    <w:rsid w:val="00490104"/>
    <w:rsid w:val="0049141E"/>
    <w:rsid w:val="00492A64"/>
    <w:rsid w:val="004946E5"/>
    <w:rsid w:val="00495053"/>
    <w:rsid w:val="004A1F59"/>
    <w:rsid w:val="004A29BE"/>
    <w:rsid w:val="004A2F5C"/>
    <w:rsid w:val="004A3225"/>
    <w:rsid w:val="004A33EE"/>
    <w:rsid w:val="004A3AA8"/>
    <w:rsid w:val="004B13C7"/>
    <w:rsid w:val="004B2C32"/>
    <w:rsid w:val="004B428B"/>
    <w:rsid w:val="004B778F"/>
    <w:rsid w:val="004C0609"/>
    <w:rsid w:val="004C07DD"/>
    <w:rsid w:val="004C694B"/>
    <w:rsid w:val="004C69C3"/>
    <w:rsid w:val="004C7EB7"/>
    <w:rsid w:val="004D141F"/>
    <w:rsid w:val="004D2742"/>
    <w:rsid w:val="004D4178"/>
    <w:rsid w:val="004D48A8"/>
    <w:rsid w:val="004D6310"/>
    <w:rsid w:val="004D7BFE"/>
    <w:rsid w:val="004E0062"/>
    <w:rsid w:val="004E05A1"/>
    <w:rsid w:val="004E2544"/>
    <w:rsid w:val="004E548E"/>
    <w:rsid w:val="004E76D8"/>
    <w:rsid w:val="004E7F43"/>
    <w:rsid w:val="004F0349"/>
    <w:rsid w:val="004F1741"/>
    <w:rsid w:val="004F3256"/>
    <w:rsid w:val="004F3362"/>
    <w:rsid w:val="004F556D"/>
    <w:rsid w:val="004F5E57"/>
    <w:rsid w:val="004F5EA1"/>
    <w:rsid w:val="004F6710"/>
    <w:rsid w:val="00500C3E"/>
    <w:rsid w:val="00501BD8"/>
    <w:rsid w:val="00502849"/>
    <w:rsid w:val="00504334"/>
    <w:rsid w:val="0050498D"/>
    <w:rsid w:val="005104D7"/>
    <w:rsid w:val="00510B9E"/>
    <w:rsid w:val="00512FBF"/>
    <w:rsid w:val="005146E4"/>
    <w:rsid w:val="00523CB6"/>
    <w:rsid w:val="00523D3E"/>
    <w:rsid w:val="00524CD7"/>
    <w:rsid w:val="0052716C"/>
    <w:rsid w:val="005277C7"/>
    <w:rsid w:val="005334A8"/>
    <w:rsid w:val="00534312"/>
    <w:rsid w:val="005345ED"/>
    <w:rsid w:val="00536BC2"/>
    <w:rsid w:val="005370D2"/>
    <w:rsid w:val="005425E1"/>
    <w:rsid w:val="005427C5"/>
    <w:rsid w:val="00542CF6"/>
    <w:rsid w:val="00545AC3"/>
    <w:rsid w:val="00546EA8"/>
    <w:rsid w:val="005518A0"/>
    <w:rsid w:val="00553C03"/>
    <w:rsid w:val="00557509"/>
    <w:rsid w:val="00563692"/>
    <w:rsid w:val="00564068"/>
    <w:rsid w:val="00570C21"/>
    <w:rsid w:val="00571679"/>
    <w:rsid w:val="00572856"/>
    <w:rsid w:val="00572868"/>
    <w:rsid w:val="005738BF"/>
    <w:rsid w:val="0057610A"/>
    <w:rsid w:val="00576433"/>
    <w:rsid w:val="00576F5F"/>
    <w:rsid w:val="00577C26"/>
    <w:rsid w:val="00583003"/>
    <w:rsid w:val="005844E7"/>
    <w:rsid w:val="00584B95"/>
    <w:rsid w:val="00585DD5"/>
    <w:rsid w:val="00586DE8"/>
    <w:rsid w:val="00587E59"/>
    <w:rsid w:val="005905B8"/>
    <w:rsid w:val="005908B8"/>
    <w:rsid w:val="00591D0E"/>
    <w:rsid w:val="0059512E"/>
    <w:rsid w:val="00597D9E"/>
    <w:rsid w:val="005A2208"/>
    <w:rsid w:val="005A5F0B"/>
    <w:rsid w:val="005A67B3"/>
    <w:rsid w:val="005A6DD2"/>
    <w:rsid w:val="005B0DA3"/>
    <w:rsid w:val="005B18D3"/>
    <w:rsid w:val="005B427E"/>
    <w:rsid w:val="005B4881"/>
    <w:rsid w:val="005B4E58"/>
    <w:rsid w:val="005B55D7"/>
    <w:rsid w:val="005B6471"/>
    <w:rsid w:val="005C0038"/>
    <w:rsid w:val="005C25D5"/>
    <w:rsid w:val="005C324C"/>
    <w:rsid w:val="005C385D"/>
    <w:rsid w:val="005C6315"/>
    <w:rsid w:val="005D3B20"/>
    <w:rsid w:val="005D40DF"/>
    <w:rsid w:val="005D788A"/>
    <w:rsid w:val="005E12ED"/>
    <w:rsid w:val="005E4759"/>
    <w:rsid w:val="005E509C"/>
    <w:rsid w:val="005E5AC8"/>
    <w:rsid w:val="005E5C68"/>
    <w:rsid w:val="005E65C0"/>
    <w:rsid w:val="005E6B6C"/>
    <w:rsid w:val="005F0390"/>
    <w:rsid w:val="005F3C9F"/>
    <w:rsid w:val="005F5BBD"/>
    <w:rsid w:val="005F624B"/>
    <w:rsid w:val="005F706F"/>
    <w:rsid w:val="00601205"/>
    <w:rsid w:val="00601C2E"/>
    <w:rsid w:val="006058E0"/>
    <w:rsid w:val="006071A3"/>
    <w:rsid w:val="006072CD"/>
    <w:rsid w:val="006108B5"/>
    <w:rsid w:val="00611D2A"/>
    <w:rsid w:val="00612023"/>
    <w:rsid w:val="00614190"/>
    <w:rsid w:val="006141F7"/>
    <w:rsid w:val="00622A99"/>
    <w:rsid w:val="00622E67"/>
    <w:rsid w:val="00623651"/>
    <w:rsid w:val="0062548B"/>
    <w:rsid w:val="00626864"/>
    <w:rsid w:val="00626EDC"/>
    <w:rsid w:val="00627FDF"/>
    <w:rsid w:val="00632258"/>
    <w:rsid w:val="006347CD"/>
    <w:rsid w:val="00642779"/>
    <w:rsid w:val="006432BF"/>
    <w:rsid w:val="0064399F"/>
    <w:rsid w:val="00645B85"/>
    <w:rsid w:val="00645DE2"/>
    <w:rsid w:val="006470EC"/>
    <w:rsid w:val="00650603"/>
    <w:rsid w:val="006542D6"/>
    <w:rsid w:val="006555FB"/>
    <w:rsid w:val="0065598E"/>
    <w:rsid w:val="00655AF2"/>
    <w:rsid w:val="00655BC5"/>
    <w:rsid w:val="006568BE"/>
    <w:rsid w:val="006577D6"/>
    <w:rsid w:val="0066025D"/>
    <w:rsid w:val="0066091A"/>
    <w:rsid w:val="00663955"/>
    <w:rsid w:val="0066518E"/>
    <w:rsid w:val="006740DF"/>
    <w:rsid w:val="006773EC"/>
    <w:rsid w:val="00680504"/>
    <w:rsid w:val="00680979"/>
    <w:rsid w:val="00681CD9"/>
    <w:rsid w:val="00682AF3"/>
    <w:rsid w:val="00683092"/>
    <w:rsid w:val="00683889"/>
    <w:rsid w:val="00683D69"/>
    <w:rsid w:val="00683E30"/>
    <w:rsid w:val="00687024"/>
    <w:rsid w:val="00691A32"/>
    <w:rsid w:val="00692440"/>
    <w:rsid w:val="00695E22"/>
    <w:rsid w:val="006A2245"/>
    <w:rsid w:val="006A5CDB"/>
    <w:rsid w:val="006A61B3"/>
    <w:rsid w:val="006B136C"/>
    <w:rsid w:val="006B30B5"/>
    <w:rsid w:val="006B386F"/>
    <w:rsid w:val="006B5509"/>
    <w:rsid w:val="006B6652"/>
    <w:rsid w:val="006B7093"/>
    <w:rsid w:val="006B7417"/>
    <w:rsid w:val="006C2C4E"/>
    <w:rsid w:val="006C4B68"/>
    <w:rsid w:val="006C4CFE"/>
    <w:rsid w:val="006D1727"/>
    <w:rsid w:val="006D3691"/>
    <w:rsid w:val="006D4303"/>
    <w:rsid w:val="006D4565"/>
    <w:rsid w:val="006D5A14"/>
    <w:rsid w:val="006E44F5"/>
    <w:rsid w:val="006E4555"/>
    <w:rsid w:val="006E5EF0"/>
    <w:rsid w:val="006E734F"/>
    <w:rsid w:val="006F0DC3"/>
    <w:rsid w:val="006F33E3"/>
    <w:rsid w:val="006F3563"/>
    <w:rsid w:val="006F42B9"/>
    <w:rsid w:val="006F5476"/>
    <w:rsid w:val="006F55D0"/>
    <w:rsid w:val="006F5D1D"/>
    <w:rsid w:val="006F6103"/>
    <w:rsid w:val="006F6F4C"/>
    <w:rsid w:val="00700F68"/>
    <w:rsid w:val="00701948"/>
    <w:rsid w:val="00704E00"/>
    <w:rsid w:val="00710099"/>
    <w:rsid w:val="00717AB0"/>
    <w:rsid w:val="007209E7"/>
    <w:rsid w:val="0072195C"/>
    <w:rsid w:val="00722041"/>
    <w:rsid w:val="00722265"/>
    <w:rsid w:val="00724C08"/>
    <w:rsid w:val="00725185"/>
    <w:rsid w:val="00726182"/>
    <w:rsid w:val="00727635"/>
    <w:rsid w:val="00727F00"/>
    <w:rsid w:val="0073093D"/>
    <w:rsid w:val="00732329"/>
    <w:rsid w:val="00732348"/>
    <w:rsid w:val="00732B1C"/>
    <w:rsid w:val="007337CA"/>
    <w:rsid w:val="00734CE4"/>
    <w:rsid w:val="00735123"/>
    <w:rsid w:val="0073724B"/>
    <w:rsid w:val="00741837"/>
    <w:rsid w:val="007453E6"/>
    <w:rsid w:val="00751E9D"/>
    <w:rsid w:val="00753003"/>
    <w:rsid w:val="00757122"/>
    <w:rsid w:val="00765155"/>
    <w:rsid w:val="00766602"/>
    <w:rsid w:val="0076757A"/>
    <w:rsid w:val="00771C8F"/>
    <w:rsid w:val="007725EC"/>
    <w:rsid w:val="00772887"/>
    <w:rsid w:val="0077309D"/>
    <w:rsid w:val="00773618"/>
    <w:rsid w:val="007756D1"/>
    <w:rsid w:val="007774EE"/>
    <w:rsid w:val="00780F8A"/>
    <w:rsid w:val="00781822"/>
    <w:rsid w:val="00781C62"/>
    <w:rsid w:val="007826B9"/>
    <w:rsid w:val="00782C5B"/>
    <w:rsid w:val="007834AC"/>
    <w:rsid w:val="00783F21"/>
    <w:rsid w:val="00787159"/>
    <w:rsid w:val="00787937"/>
    <w:rsid w:val="0078798A"/>
    <w:rsid w:val="00787ABE"/>
    <w:rsid w:val="0079043A"/>
    <w:rsid w:val="00791668"/>
    <w:rsid w:val="00791AA1"/>
    <w:rsid w:val="00793CBF"/>
    <w:rsid w:val="007952A1"/>
    <w:rsid w:val="00795FD1"/>
    <w:rsid w:val="00797EF5"/>
    <w:rsid w:val="007A24DF"/>
    <w:rsid w:val="007A3793"/>
    <w:rsid w:val="007A609B"/>
    <w:rsid w:val="007B237A"/>
    <w:rsid w:val="007B50B0"/>
    <w:rsid w:val="007B6AF7"/>
    <w:rsid w:val="007C051F"/>
    <w:rsid w:val="007C1B8C"/>
    <w:rsid w:val="007C1BA2"/>
    <w:rsid w:val="007C2167"/>
    <w:rsid w:val="007C2B48"/>
    <w:rsid w:val="007C3475"/>
    <w:rsid w:val="007C4646"/>
    <w:rsid w:val="007D0AA9"/>
    <w:rsid w:val="007D20E9"/>
    <w:rsid w:val="007D229E"/>
    <w:rsid w:val="007D2A76"/>
    <w:rsid w:val="007D5047"/>
    <w:rsid w:val="007D73ED"/>
    <w:rsid w:val="007D7881"/>
    <w:rsid w:val="007D7E3A"/>
    <w:rsid w:val="007E0E10"/>
    <w:rsid w:val="007E1275"/>
    <w:rsid w:val="007E3827"/>
    <w:rsid w:val="007E4621"/>
    <w:rsid w:val="007E4768"/>
    <w:rsid w:val="007E777B"/>
    <w:rsid w:val="007E7AF6"/>
    <w:rsid w:val="007F2070"/>
    <w:rsid w:val="007F210F"/>
    <w:rsid w:val="007F6A24"/>
    <w:rsid w:val="007F762D"/>
    <w:rsid w:val="007F77A8"/>
    <w:rsid w:val="00803B50"/>
    <w:rsid w:val="00803EB3"/>
    <w:rsid w:val="008053F5"/>
    <w:rsid w:val="00805F0C"/>
    <w:rsid w:val="00807AF7"/>
    <w:rsid w:val="00810198"/>
    <w:rsid w:val="00815DA8"/>
    <w:rsid w:val="00816A50"/>
    <w:rsid w:val="0082194D"/>
    <w:rsid w:val="008221F9"/>
    <w:rsid w:val="0082248E"/>
    <w:rsid w:val="00823141"/>
    <w:rsid w:val="00825A4B"/>
    <w:rsid w:val="00826EF5"/>
    <w:rsid w:val="0083103A"/>
    <w:rsid w:val="00831693"/>
    <w:rsid w:val="00835093"/>
    <w:rsid w:val="00840104"/>
    <w:rsid w:val="00840C1F"/>
    <w:rsid w:val="00841FC5"/>
    <w:rsid w:val="008436B1"/>
    <w:rsid w:val="008452C7"/>
    <w:rsid w:val="00845709"/>
    <w:rsid w:val="00850944"/>
    <w:rsid w:val="00855EE9"/>
    <w:rsid w:val="008576BD"/>
    <w:rsid w:val="00860463"/>
    <w:rsid w:val="0086244C"/>
    <w:rsid w:val="008641BA"/>
    <w:rsid w:val="0086558C"/>
    <w:rsid w:val="008665DB"/>
    <w:rsid w:val="00867BB8"/>
    <w:rsid w:val="008733DA"/>
    <w:rsid w:val="008762CC"/>
    <w:rsid w:val="00877E66"/>
    <w:rsid w:val="00882418"/>
    <w:rsid w:val="008850E4"/>
    <w:rsid w:val="0088639A"/>
    <w:rsid w:val="00890A25"/>
    <w:rsid w:val="00892AC8"/>
    <w:rsid w:val="008939AB"/>
    <w:rsid w:val="0089409C"/>
    <w:rsid w:val="00897C38"/>
    <w:rsid w:val="00897C5E"/>
    <w:rsid w:val="008A12F5"/>
    <w:rsid w:val="008A2DFE"/>
    <w:rsid w:val="008A330A"/>
    <w:rsid w:val="008A5EDF"/>
    <w:rsid w:val="008B1587"/>
    <w:rsid w:val="008B1B01"/>
    <w:rsid w:val="008B3BCD"/>
    <w:rsid w:val="008B494B"/>
    <w:rsid w:val="008B6DF8"/>
    <w:rsid w:val="008B7099"/>
    <w:rsid w:val="008C106C"/>
    <w:rsid w:val="008C10F1"/>
    <w:rsid w:val="008C1926"/>
    <w:rsid w:val="008C1E99"/>
    <w:rsid w:val="008C315F"/>
    <w:rsid w:val="008C44AB"/>
    <w:rsid w:val="008C55DE"/>
    <w:rsid w:val="008C5EBD"/>
    <w:rsid w:val="008C62D7"/>
    <w:rsid w:val="008C7D1C"/>
    <w:rsid w:val="008C7E02"/>
    <w:rsid w:val="008D2321"/>
    <w:rsid w:val="008D3A88"/>
    <w:rsid w:val="008D3C99"/>
    <w:rsid w:val="008D4644"/>
    <w:rsid w:val="008D494D"/>
    <w:rsid w:val="008D5032"/>
    <w:rsid w:val="008D5BA2"/>
    <w:rsid w:val="008D60EC"/>
    <w:rsid w:val="008D7FD5"/>
    <w:rsid w:val="008E0085"/>
    <w:rsid w:val="008E2AA6"/>
    <w:rsid w:val="008E311B"/>
    <w:rsid w:val="008E3974"/>
    <w:rsid w:val="008F20FC"/>
    <w:rsid w:val="008F46E7"/>
    <w:rsid w:val="008F4E9E"/>
    <w:rsid w:val="008F56AE"/>
    <w:rsid w:val="008F5B6E"/>
    <w:rsid w:val="008F6120"/>
    <w:rsid w:val="008F6882"/>
    <w:rsid w:val="008F6F0B"/>
    <w:rsid w:val="0090493B"/>
    <w:rsid w:val="009050EF"/>
    <w:rsid w:val="009062D0"/>
    <w:rsid w:val="009062DB"/>
    <w:rsid w:val="00906EDA"/>
    <w:rsid w:val="0090717E"/>
    <w:rsid w:val="00907BA7"/>
    <w:rsid w:val="009100EA"/>
    <w:rsid w:val="0091064E"/>
    <w:rsid w:val="00911FC5"/>
    <w:rsid w:val="00912215"/>
    <w:rsid w:val="00913597"/>
    <w:rsid w:val="0091457D"/>
    <w:rsid w:val="00914B9B"/>
    <w:rsid w:val="009200A9"/>
    <w:rsid w:val="009209F2"/>
    <w:rsid w:val="00920DDB"/>
    <w:rsid w:val="00920F1A"/>
    <w:rsid w:val="00925958"/>
    <w:rsid w:val="009265BA"/>
    <w:rsid w:val="00926655"/>
    <w:rsid w:val="00931A10"/>
    <w:rsid w:val="009322BA"/>
    <w:rsid w:val="009328F8"/>
    <w:rsid w:val="00932957"/>
    <w:rsid w:val="00935C34"/>
    <w:rsid w:val="00940116"/>
    <w:rsid w:val="00943C45"/>
    <w:rsid w:val="00944117"/>
    <w:rsid w:val="00944BE9"/>
    <w:rsid w:val="009468F8"/>
    <w:rsid w:val="0094706B"/>
    <w:rsid w:val="00947967"/>
    <w:rsid w:val="009501F0"/>
    <w:rsid w:val="00950B5E"/>
    <w:rsid w:val="009517C6"/>
    <w:rsid w:val="00954D66"/>
    <w:rsid w:val="00955201"/>
    <w:rsid w:val="00957392"/>
    <w:rsid w:val="0096071A"/>
    <w:rsid w:val="00964A2F"/>
    <w:rsid w:val="00965200"/>
    <w:rsid w:val="009668B3"/>
    <w:rsid w:val="0096743B"/>
    <w:rsid w:val="009677A6"/>
    <w:rsid w:val="00971156"/>
    <w:rsid w:val="00971471"/>
    <w:rsid w:val="00971510"/>
    <w:rsid w:val="0097167D"/>
    <w:rsid w:val="009716C3"/>
    <w:rsid w:val="00971883"/>
    <w:rsid w:val="00972BDB"/>
    <w:rsid w:val="00972EF8"/>
    <w:rsid w:val="0097408E"/>
    <w:rsid w:val="00981CE4"/>
    <w:rsid w:val="00984387"/>
    <w:rsid w:val="00984796"/>
    <w:rsid w:val="009849C2"/>
    <w:rsid w:val="00984D24"/>
    <w:rsid w:val="009853F3"/>
    <w:rsid w:val="009858EB"/>
    <w:rsid w:val="00992F3C"/>
    <w:rsid w:val="00994CC1"/>
    <w:rsid w:val="009957EE"/>
    <w:rsid w:val="009962B1"/>
    <w:rsid w:val="009A01A3"/>
    <w:rsid w:val="009A3F47"/>
    <w:rsid w:val="009A785F"/>
    <w:rsid w:val="009B0046"/>
    <w:rsid w:val="009B04BE"/>
    <w:rsid w:val="009B3A51"/>
    <w:rsid w:val="009B6AB3"/>
    <w:rsid w:val="009C0127"/>
    <w:rsid w:val="009C1440"/>
    <w:rsid w:val="009C199C"/>
    <w:rsid w:val="009C2107"/>
    <w:rsid w:val="009C30B6"/>
    <w:rsid w:val="009C3921"/>
    <w:rsid w:val="009C5D9E"/>
    <w:rsid w:val="009C6081"/>
    <w:rsid w:val="009C7DA4"/>
    <w:rsid w:val="009D26EF"/>
    <w:rsid w:val="009D2C3E"/>
    <w:rsid w:val="009D310E"/>
    <w:rsid w:val="009E0625"/>
    <w:rsid w:val="009E3034"/>
    <w:rsid w:val="009E4A65"/>
    <w:rsid w:val="009E549F"/>
    <w:rsid w:val="009E6C5B"/>
    <w:rsid w:val="009E6DC5"/>
    <w:rsid w:val="009E6E2B"/>
    <w:rsid w:val="009F2322"/>
    <w:rsid w:val="009F28A8"/>
    <w:rsid w:val="009F2DB9"/>
    <w:rsid w:val="009F36A5"/>
    <w:rsid w:val="009F473E"/>
    <w:rsid w:val="009F4784"/>
    <w:rsid w:val="009F67C5"/>
    <w:rsid w:val="009F680B"/>
    <w:rsid w:val="009F682A"/>
    <w:rsid w:val="009F7987"/>
    <w:rsid w:val="00A01A05"/>
    <w:rsid w:val="00A022BE"/>
    <w:rsid w:val="00A02472"/>
    <w:rsid w:val="00A02818"/>
    <w:rsid w:val="00A07B4B"/>
    <w:rsid w:val="00A10493"/>
    <w:rsid w:val="00A17076"/>
    <w:rsid w:val="00A20A6E"/>
    <w:rsid w:val="00A21A04"/>
    <w:rsid w:val="00A2266A"/>
    <w:rsid w:val="00A22721"/>
    <w:rsid w:val="00A24C95"/>
    <w:rsid w:val="00A251DB"/>
    <w:rsid w:val="00A2599A"/>
    <w:rsid w:val="00A25E4E"/>
    <w:rsid w:val="00A26094"/>
    <w:rsid w:val="00A268D1"/>
    <w:rsid w:val="00A301BF"/>
    <w:rsid w:val="00A302B2"/>
    <w:rsid w:val="00A30E64"/>
    <w:rsid w:val="00A32766"/>
    <w:rsid w:val="00A331B4"/>
    <w:rsid w:val="00A33F03"/>
    <w:rsid w:val="00A3473B"/>
    <w:rsid w:val="00A3484E"/>
    <w:rsid w:val="00A34F13"/>
    <w:rsid w:val="00A356D3"/>
    <w:rsid w:val="00A36ADA"/>
    <w:rsid w:val="00A40CBC"/>
    <w:rsid w:val="00A41387"/>
    <w:rsid w:val="00A438D8"/>
    <w:rsid w:val="00A44C92"/>
    <w:rsid w:val="00A45885"/>
    <w:rsid w:val="00A473F5"/>
    <w:rsid w:val="00A508C6"/>
    <w:rsid w:val="00A50DFB"/>
    <w:rsid w:val="00A51F9D"/>
    <w:rsid w:val="00A52EDF"/>
    <w:rsid w:val="00A5416A"/>
    <w:rsid w:val="00A54FF0"/>
    <w:rsid w:val="00A56614"/>
    <w:rsid w:val="00A5733F"/>
    <w:rsid w:val="00A61128"/>
    <w:rsid w:val="00A639F4"/>
    <w:rsid w:val="00A64ECF"/>
    <w:rsid w:val="00A67B13"/>
    <w:rsid w:val="00A72CDA"/>
    <w:rsid w:val="00A7503F"/>
    <w:rsid w:val="00A7756E"/>
    <w:rsid w:val="00A815C7"/>
    <w:rsid w:val="00A81A32"/>
    <w:rsid w:val="00A835BD"/>
    <w:rsid w:val="00A97B15"/>
    <w:rsid w:val="00AA09EE"/>
    <w:rsid w:val="00AA42D5"/>
    <w:rsid w:val="00AA678D"/>
    <w:rsid w:val="00AA7BB8"/>
    <w:rsid w:val="00AB22F5"/>
    <w:rsid w:val="00AB2FAB"/>
    <w:rsid w:val="00AB394E"/>
    <w:rsid w:val="00AB3A8F"/>
    <w:rsid w:val="00AB573B"/>
    <w:rsid w:val="00AB5C14"/>
    <w:rsid w:val="00AB6C3C"/>
    <w:rsid w:val="00AB7038"/>
    <w:rsid w:val="00AB77FC"/>
    <w:rsid w:val="00AC0A87"/>
    <w:rsid w:val="00AC1E2F"/>
    <w:rsid w:val="00AC1EE7"/>
    <w:rsid w:val="00AC333F"/>
    <w:rsid w:val="00AC585C"/>
    <w:rsid w:val="00AC62D6"/>
    <w:rsid w:val="00AC6E19"/>
    <w:rsid w:val="00AD1925"/>
    <w:rsid w:val="00AD2E62"/>
    <w:rsid w:val="00AD65A5"/>
    <w:rsid w:val="00AD7A17"/>
    <w:rsid w:val="00AD7FCE"/>
    <w:rsid w:val="00AE067D"/>
    <w:rsid w:val="00AE11A0"/>
    <w:rsid w:val="00AE2172"/>
    <w:rsid w:val="00AE38E6"/>
    <w:rsid w:val="00AE721A"/>
    <w:rsid w:val="00AF1084"/>
    <w:rsid w:val="00AF1181"/>
    <w:rsid w:val="00AF27B2"/>
    <w:rsid w:val="00AF2F79"/>
    <w:rsid w:val="00AF384F"/>
    <w:rsid w:val="00AF4653"/>
    <w:rsid w:val="00AF4BFC"/>
    <w:rsid w:val="00AF552D"/>
    <w:rsid w:val="00AF7DB7"/>
    <w:rsid w:val="00B05CF5"/>
    <w:rsid w:val="00B06436"/>
    <w:rsid w:val="00B10D02"/>
    <w:rsid w:val="00B15357"/>
    <w:rsid w:val="00B1681B"/>
    <w:rsid w:val="00B201E2"/>
    <w:rsid w:val="00B20EB4"/>
    <w:rsid w:val="00B21255"/>
    <w:rsid w:val="00B31994"/>
    <w:rsid w:val="00B36D15"/>
    <w:rsid w:val="00B374E1"/>
    <w:rsid w:val="00B443E4"/>
    <w:rsid w:val="00B47891"/>
    <w:rsid w:val="00B51630"/>
    <w:rsid w:val="00B51C9E"/>
    <w:rsid w:val="00B547B8"/>
    <w:rsid w:val="00B5484D"/>
    <w:rsid w:val="00B55D1F"/>
    <w:rsid w:val="00B563EA"/>
    <w:rsid w:val="00B56B6E"/>
    <w:rsid w:val="00B56CDF"/>
    <w:rsid w:val="00B575F5"/>
    <w:rsid w:val="00B57E03"/>
    <w:rsid w:val="00B60E51"/>
    <w:rsid w:val="00B63A54"/>
    <w:rsid w:val="00B65759"/>
    <w:rsid w:val="00B65AE4"/>
    <w:rsid w:val="00B70AD9"/>
    <w:rsid w:val="00B719F5"/>
    <w:rsid w:val="00B73078"/>
    <w:rsid w:val="00B77D18"/>
    <w:rsid w:val="00B80385"/>
    <w:rsid w:val="00B803F1"/>
    <w:rsid w:val="00B80A5A"/>
    <w:rsid w:val="00B81602"/>
    <w:rsid w:val="00B8313A"/>
    <w:rsid w:val="00B833D3"/>
    <w:rsid w:val="00B847F4"/>
    <w:rsid w:val="00B855D4"/>
    <w:rsid w:val="00B86158"/>
    <w:rsid w:val="00B87F45"/>
    <w:rsid w:val="00B91991"/>
    <w:rsid w:val="00B920AB"/>
    <w:rsid w:val="00B92662"/>
    <w:rsid w:val="00B93503"/>
    <w:rsid w:val="00B9491A"/>
    <w:rsid w:val="00BA00FA"/>
    <w:rsid w:val="00BA1657"/>
    <w:rsid w:val="00BA31E8"/>
    <w:rsid w:val="00BA5398"/>
    <w:rsid w:val="00BA55E0"/>
    <w:rsid w:val="00BA58B1"/>
    <w:rsid w:val="00BA6BD4"/>
    <w:rsid w:val="00BA6C7A"/>
    <w:rsid w:val="00BA7AF3"/>
    <w:rsid w:val="00BB0533"/>
    <w:rsid w:val="00BB1294"/>
    <w:rsid w:val="00BB137F"/>
    <w:rsid w:val="00BB17D1"/>
    <w:rsid w:val="00BB1A2A"/>
    <w:rsid w:val="00BB2701"/>
    <w:rsid w:val="00BB3752"/>
    <w:rsid w:val="00BB39A0"/>
    <w:rsid w:val="00BB6688"/>
    <w:rsid w:val="00BB72CE"/>
    <w:rsid w:val="00BC26D4"/>
    <w:rsid w:val="00BC2B9D"/>
    <w:rsid w:val="00BC39B5"/>
    <w:rsid w:val="00BC6FE2"/>
    <w:rsid w:val="00BD1A5F"/>
    <w:rsid w:val="00BD776F"/>
    <w:rsid w:val="00BD7A14"/>
    <w:rsid w:val="00BE05C7"/>
    <w:rsid w:val="00BE0C80"/>
    <w:rsid w:val="00BE0F77"/>
    <w:rsid w:val="00BE2CF4"/>
    <w:rsid w:val="00BE6435"/>
    <w:rsid w:val="00BE6DF4"/>
    <w:rsid w:val="00BE7026"/>
    <w:rsid w:val="00BE71AA"/>
    <w:rsid w:val="00BF05F9"/>
    <w:rsid w:val="00BF144A"/>
    <w:rsid w:val="00BF16B6"/>
    <w:rsid w:val="00BF17C5"/>
    <w:rsid w:val="00BF2A42"/>
    <w:rsid w:val="00BF2C21"/>
    <w:rsid w:val="00BF4B3D"/>
    <w:rsid w:val="00C0197F"/>
    <w:rsid w:val="00C03D8C"/>
    <w:rsid w:val="00C04540"/>
    <w:rsid w:val="00C055EC"/>
    <w:rsid w:val="00C05D62"/>
    <w:rsid w:val="00C06A91"/>
    <w:rsid w:val="00C10D55"/>
    <w:rsid w:val="00C10DC9"/>
    <w:rsid w:val="00C12FB3"/>
    <w:rsid w:val="00C136FA"/>
    <w:rsid w:val="00C1451C"/>
    <w:rsid w:val="00C16DBE"/>
    <w:rsid w:val="00C17341"/>
    <w:rsid w:val="00C204FC"/>
    <w:rsid w:val="00C214E7"/>
    <w:rsid w:val="00C2317A"/>
    <w:rsid w:val="00C23AF4"/>
    <w:rsid w:val="00C24EEF"/>
    <w:rsid w:val="00C25CF6"/>
    <w:rsid w:val="00C26C36"/>
    <w:rsid w:val="00C31304"/>
    <w:rsid w:val="00C32768"/>
    <w:rsid w:val="00C36955"/>
    <w:rsid w:val="00C37641"/>
    <w:rsid w:val="00C37AF2"/>
    <w:rsid w:val="00C406A7"/>
    <w:rsid w:val="00C4210D"/>
    <w:rsid w:val="00C431DF"/>
    <w:rsid w:val="00C43BAD"/>
    <w:rsid w:val="00C44187"/>
    <w:rsid w:val="00C456BD"/>
    <w:rsid w:val="00C45E97"/>
    <w:rsid w:val="00C52365"/>
    <w:rsid w:val="00C530DC"/>
    <w:rsid w:val="00C5350D"/>
    <w:rsid w:val="00C53F25"/>
    <w:rsid w:val="00C60625"/>
    <w:rsid w:val="00C608C2"/>
    <w:rsid w:val="00C6123C"/>
    <w:rsid w:val="00C62FC7"/>
    <w:rsid w:val="00C6311A"/>
    <w:rsid w:val="00C64847"/>
    <w:rsid w:val="00C7084D"/>
    <w:rsid w:val="00C7315E"/>
    <w:rsid w:val="00C75035"/>
    <w:rsid w:val="00C75895"/>
    <w:rsid w:val="00C836B8"/>
    <w:rsid w:val="00C83C9F"/>
    <w:rsid w:val="00C8402C"/>
    <w:rsid w:val="00C84F0F"/>
    <w:rsid w:val="00C8546E"/>
    <w:rsid w:val="00C877D4"/>
    <w:rsid w:val="00C94840"/>
    <w:rsid w:val="00C9605D"/>
    <w:rsid w:val="00CA38BF"/>
    <w:rsid w:val="00CA49EC"/>
    <w:rsid w:val="00CA4EE3"/>
    <w:rsid w:val="00CA6168"/>
    <w:rsid w:val="00CA6C63"/>
    <w:rsid w:val="00CB027F"/>
    <w:rsid w:val="00CB3262"/>
    <w:rsid w:val="00CB398D"/>
    <w:rsid w:val="00CC0EBB"/>
    <w:rsid w:val="00CC13A1"/>
    <w:rsid w:val="00CC236B"/>
    <w:rsid w:val="00CC2599"/>
    <w:rsid w:val="00CC2621"/>
    <w:rsid w:val="00CC2B9C"/>
    <w:rsid w:val="00CC5A6C"/>
    <w:rsid w:val="00CC6297"/>
    <w:rsid w:val="00CC645B"/>
    <w:rsid w:val="00CC7690"/>
    <w:rsid w:val="00CD0CE7"/>
    <w:rsid w:val="00CD1540"/>
    <w:rsid w:val="00CD190D"/>
    <w:rsid w:val="00CD1986"/>
    <w:rsid w:val="00CD3FE7"/>
    <w:rsid w:val="00CD421B"/>
    <w:rsid w:val="00CD54BF"/>
    <w:rsid w:val="00CD7403"/>
    <w:rsid w:val="00CE4D5C"/>
    <w:rsid w:val="00CE672A"/>
    <w:rsid w:val="00CF05DA"/>
    <w:rsid w:val="00CF23C1"/>
    <w:rsid w:val="00CF2749"/>
    <w:rsid w:val="00CF58EB"/>
    <w:rsid w:val="00CF5C0F"/>
    <w:rsid w:val="00CF693D"/>
    <w:rsid w:val="00CF6FEC"/>
    <w:rsid w:val="00CF717E"/>
    <w:rsid w:val="00D0106E"/>
    <w:rsid w:val="00D02379"/>
    <w:rsid w:val="00D035C0"/>
    <w:rsid w:val="00D05414"/>
    <w:rsid w:val="00D054E1"/>
    <w:rsid w:val="00D06383"/>
    <w:rsid w:val="00D066B0"/>
    <w:rsid w:val="00D0796E"/>
    <w:rsid w:val="00D105EA"/>
    <w:rsid w:val="00D137DD"/>
    <w:rsid w:val="00D154B0"/>
    <w:rsid w:val="00D158C3"/>
    <w:rsid w:val="00D16652"/>
    <w:rsid w:val="00D16BD6"/>
    <w:rsid w:val="00D20E85"/>
    <w:rsid w:val="00D21E55"/>
    <w:rsid w:val="00D2293E"/>
    <w:rsid w:val="00D23CB2"/>
    <w:rsid w:val="00D24615"/>
    <w:rsid w:val="00D30265"/>
    <w:rsid w:val="00D33CD1"/>
    <w:rsid w:val="00D3658C"/>
    <w:rsid w:val="00D37842"/>
    <w:rsid w:val="00D4051E"/>
    <w:rsid w:val="00D40D8E"/>
    <w:rsid w:val="00D42DC2"/>
    <w:rsid w:val="00D448D8"/>
    <w:rsid w:val="00D45323"/>
    <w:rsid w:val="00D45453"/>
    <w:rsid w:val="00D50C71"/>
    <w:rsid w:val="00D537E1"/>
    <w:rsid w:val="00D540BB"/>
    <w:rsid w:val="00D55BB2"/>
    <w:rsid w:val="00D57B34"/>
    <w:rsid w:val="00D6091A"/>
    <w:rsid w:val="00D619A7"/>
    <w:rsid w:val="00D62CCA"/>
    <w:rsid w:val="00D64776"/>
    <w:rsid w:val="00D648EC"/>
    <w:rsid w:val="00D649A6"/>
    <w:rsid w:val="00D65907"/>
    <w:rsid w:val="00D6605A"/>
    <w:rsid w:val="00D6695F"/>
    <w:rsid w:val="00D71138"/>
    <w:rsid w:val="00D74FDB"/>
    <w:rsid w:val="00D75644"/>
    <w:rsid w:val="00D80107"/>
    <w:rsid w:val="00D81656"/>
    <w:rsid w:val="00D81DED"/>
    <w:rsid w:val="00D83D87"/>
    <w:rsid w:val="00D84A6D"/>
    <w:rsid w:val="00D85441"/>
    <w:rsid w:val="00D85E46"/>
    <w:rsid w:val="00D86A30"/>
    <w:rsid w:val="00D9090A"/>
    <w:rsid w:val="00D93A27"/>
    <w:rsid w:val="00D96C92"/>
    <w:rsid w:val="00D96E00"/>
    <w:rsid w:val="00D972C5"/>
    <w:rsid w:val="00D97CB4"/>
    <w:rsid w:val="00D97DD4"/>
    <w:rsid w:val="00DA1FDC"/>
    <w:rsid w:val="00DA1FFD"/>
    <w:rsid w:val="00DA223F"/>
    <w:rsid w:val="00DA31EA"/>
    <w:rsid w:val="00DA5A8A"/>
    <w:rsid w:val="00DA6D1A"/>
    <w:rsid w:val="00DA7F8B"/>
    <w:rsid w:val="00DB0842"/>
    <w:rsid w:val="00DB1170"/>
    <w:rsid w:val="00DB26CD"/>
    <w:rsid w:val="00DB441C"/>
    <w:rsid w:val="00DB44AF"/>
    <w:rsid w:val="00DB60FE"/>
    <w:rsid w:val="00DB7E77"/>
    <w:rsid w:val="00DC1F58"/>
    <w:rsid w:val="00DC339B"/>
    <w:rsid w:val="00DC3D08"/>
    <w:rsid w:val="00DC4A5D"/>
    <w:rsid w:val="00DC5D40"/>
    <w:rsid w:val="00DC647B"/>
    <w:rsid w:val="00DC69A7"/>
    <w:rsid w:val="00DC6A21"/>
    <w:rsid w:val="00DD0108"/>
    <w:rsid w:val="00DD04C8"/>
    <w:rsid w:val="00DD301C"/>
    <w:rsid w:val="00DD30E9"/>
    <w:rsid w:val="00DD3C3A"/>
    <w:rsid w:val="00DD4071"/>
    <w:rsid w:val="00DD432E"/>
    <w:rsid w:val="00DD4F47"/>
    <w:rsid w:val="00DD5473"/>
    <w:rsid w:val="00DD5746"/>
    <w:rsid w:val="00DD5B4C"/>
    <w:rsid w:val="00DD618D"/>
    <w:rsid w:val="00DD79B2"/>
    <w:rsid w:val="00DD7FBB"/>
    <w:rsid w:val="00DE0B9F"/>
    <w:rsid w:val="00DE1AE2"/>
    <w:rsid w:val="00DE2A9E"/>
    <w:rsid w:val="00DE4238"/>
    <w:rsid w:val="00DE50E1"/>
    <w:rsid w:val="00DE5F34"/>
    <w:rsid w:val="00DE657F"/>
    <w:rsid w:val="00DE6C59"/>
    <w:rsid w:val="00DE7390"/>
    <w:rsid w:val="00DF1218"/>
    <w:rsid w:val="00DF1772"/>
    <w:rsid w:val="00DF2115"/>
    <w:rsid w:val="00DF6334"/>
    <w:rsid w:val="00DF639B"/>
    <w:rsid w:val="00DF6462"/>
    <w:rsid w:val="00E02FA0"/>
    <w:rsid w:val="00E03105"/>
    <w:rsid w:val="00E036DC"/>
    <w:rsid w:val="00E063FA"/>
    <w:rsid w:val="00E07B26"/>
    <w:rsid w:val="00E10454"/>
    <w:rsid w:val="00E106CF"/>
    <w:rsid w:val="00E112E5"/>
    <w:rsid w:val="00E122D8"/>
    <w:rsid w:val="00E124A0"/>
    <w:rsid w:val="00E12CC8"/>
    <w:rsid w:val="00E13A02"/>
    <w:rsid w:val="00E14C2A"/>
    <w:rsid w:val="00E15352"/>
    <w:rsid w:val="00E15770"/>
    <w:rsid w:val="00E1661C"/>
    <w:rsid w:val="00E21CC7"/>
    <w:rsid w:val="00E220FE"/>
    <w:rsid w:val="00E228DF"/>
    <w:rsid w:val="00E22BF8"/>
    <w:rsid w:val="00E2460D"/>
    <w:rsid w:val="00E24D9E"/>
    <w:rsid w:val="00E25849"/>
    <w:rsid w:val="00E266DF"/>
    <w:rsid w:val="00E26B80"/>
    <w:rsid w:val="00E26DF7"/>
    <w:rsid w:val="00E2720A"/>
    <w:rsid w:val="00E27B0F"/>
    <w:rsid w:val="00E3197E"/>
    <w:rsid w:val="00E342F8"/>
    <w:rsid w:val="00E350EB"/>
    <w:rsid w:val="00E351ED"/>
    <w:rsid w:val="00E36CD4"/>
    <w:rsid w:val="00E42577"/>
    <w:rsid w:val="00E436AD"/>
    <w:rsid w:val="00E455C2"/>
    <w:rsid w:val="00E46AA2"/>
    <w:rsid w:val="00E477B4"/>
    <w:rsid w:val="00E52F06"/>
    <w:rsid w:val="00E5369C"/>
    <w:rsid w:val="00E53897"/>
    <w:rsid w:val="00E6034B"/>
    <w:rsid w:val="00E6439B"/>
    <w:rsid w:val="00E6549E"/>
    <w:rsid w:val="00E65EDE"/>
    <w:rsid w:val="00E667B5"/>
    <w:rsid w:val="00E675E4"/>
    <w:rsid w:val="00E70F81"/>
    <w:rsid w:val="00E72308"/>
    <w:rsid w:val="00E77034"/>
    <w:rsid w:val="00E77055"/>
    <w:rsid w:val="00E77460"/>
    <w:rsid w:val="00E82CA0"/>
    <w:rsid w:val="00E83ABC"/>
    <w:rsid w:val="00E844F2"/>
    <w:rsid w:val="00E85B2D"/>
    <w:rsid w:val="00E87BA3"/>
    <w:rsid w:val="00E900CF"/>
    <w:rsid w:val="00E90AD0"/>
    <w:rsid w:val="00E91B0B"/>
    <w:rsid w:val="00E92FCB"/>
    <w:rsid w:val="00E93968"/>
    <w:rsid w:val="00E96BAB"/>
    <w:rsid w:val="00E96EB3"/>
    <w:rsid w:val="00EA0550"/>
    <w:rsid w:val="00EA147F"/>
    <w:rsid w:val="00EA24E6"/>
    <w:rsid w:val="00EA48A6"/>
    <w:rsid w:val="00EA4A27"/>
    <w:rsid w:val="00EA4FA6"/>
    <w:rsid w:val="00EA60FD"/>
    <w:rsid w:val="00EB0A0C"/>
    <w:rsid w:val="00EB1A25"/>
    <w:rsid w:val="00EB3337"/>
    <w:rsid w:val="00EB7BFD"/>
    <w:rsid w:val="00EC5439"/>
    <w:rsid w:val="00EC5607"/>
    <w:rsid w:val="00EC6867"/>
    <w:rsid w:val="00EC69F9"/>
    <w:rsid w:val="00EC7363"/>
    <w:rsid w:val="00EC737C"/>
    <w:rsid w:val="00EC7F6D"/>
    <w:rsid w:val="00ED03AB"/>
    <w:rsid w:val="00ED14E7"/>
    <w:rsid w:val="00ED1963"/>
    <w:rsid w:val="00ED1CD4"/>
    <w:rsid w:val="00ED1D2B"/>
    <w:rsid w:val="00ED2981"/>
    <w:rsid w:val="00ED3C6B"/>
    <w:rsid w:val="00ED60E1"/>
    <w:rsid w:val="00ED64B5"/>
    <w:rsid w:val="00EE035D"/>
    <w:rsid w:val="00EE16F4"/>
    <w:rsid w:val="00EE275D"/>
    <w:rsid w:val="00EE6444"/>
    <w:rsid w:val="00EE7C07"/>
    <w:rsid w:val="00EE7CCA"/>
    <w:rsid w:val="00EF1698"/>
    <w:rsid w:val="00EF238E"/>
    <w:rsid w:val="00EF2F17"/>
    <w:rsid w:val="00EF7D3C"/>
    <w:rsid w:val="00F01DD5"/>
    <w:rsid w:val="00F04CF0"/>
    <w:rsid w:val="00F11322"/>
    <w:rsid w:val="00F14316"/>
    <w:rsid w:val="00F16016"/>
    <w:rsid w:val="00F1661D"/>
    <w:rsid w:val="00F16A14"/>
    <w:rsid w:val="00F16DAC"/>
    <w:rsid w:val="00F16E57"/>
    <w:rsid w:val="00F205F8"/>
    <w:rsid w:val="00F232D4"/>
    <w:rsid w:val="00F25194"/>
    <w:rsid w:val="00F311CE"/>
    <w:rsid w:val="00F337CF"/>
    <w:rsid w:val="00F34339"/>
    <w:rsid w:val="00F362D7"/>
    <w:rsid w:val="00F36311"/>
    <w:rsid w:val="00F37D7B"/>
    <w:rsid w:val="00F37F82"/>
    <w:rsid w:val="00F4159D"/>
    <w:rsid w:val="00F42A6D"/>
    <w:rsid w:val="00F4554C"/>
    <w:rsid w:val="00F45756"/>
    <w:rsid w:val="00F4764F"/>
    <w:rsid w:val="00F51BB3"/>
    <w:rsid w:val="00F5314C"/>
    <w:rsid w:val="00F5688C"/>
    <w:rsid w:val="00F57286"/>
    <w:rsid w:val="00F60048"/>
    <w:rsid w:val="00F635DD"/>
    <w:rsid w:val="00F63BD8"/>
    <w:rsid w:val="00F64420"/>
    <w:rsid w:val="00F6627B"/>
    <w:rsid w:val="00F67A8E"/>
    <w:rsid w:val="00F71B6C"/>
    <w:rsid w:val="00F7336E"/>
    <w:rsid w:val="00F734F2"/>
    <w:rsid w:val="00F73E6E"/>
    <w:rsid w:val="00F75052"/>
    <w:rsid w:val="00F804D3"/>
    <w:rsid w:val="00F816CB"/>
    <w:rsid w:val="00F81CD2"/>
    <w:rsid w:val="00F82641"/>
    <w:rsid w:val="00F82DD4"/>
    <w:rsid w:val="00F838A7"/>
    <w:rsid w:val="00F839FB"/>
    <w:rsid w:val="00F90479"/>
    <w:rsid w:val="00F90F18"/>
    <w:rsid w:val="00F93081"/>
    <w:rsid w:val="00F937E4"/>
    <w:rsid w:val="00F95EE7"/>
    <w:rsid w:val="00F96BD1"/>
    <w:rsid w:val="00F96EC1"/>
    <w:rsid w:val="00F9725C"/>
    <w:rsid w:val="00F97A72"/>
    <w:rsid w:val="00F97C2E"/>
    <w:rsid w:val="00FA2F17"/>
    <w:rsid w:val="00FA3099"/>
    <w:rsid w:val="00FA39E6"/>
    <w:rsid w:val="00FA5C9A"/>
    <w:rsid w:val="00FA7503"/>
    <w:rsid w:val="00FA7BC9"/>
    <w:rsid w:val="00FB1CD0"/>
    <w:rsid w:val="00FB2F22"/>
    <w:rsid w:val="00FB2F2B"/>
    <w:rsid w:val="00FB378E"/>
    <w:rsid w:val="00FB37F1"/>
    <w:rsid w:val="00FB38FD"/>
    <w:rsid w:val="00FB47C0"/>
    <w:rsid w:val="00FB4D90"/>
    <w:rsid w:val="00FB501B"/>
    <w:rsid w:val="00FB7770"/>
    <w:rsid w:val="00FC08F1"/>
    <w:rsid w:val="00FC0EC3"/>
    <w:rsid w:val="00FC1CF8"/>
    <w:rsid w:val="00FC2862"/>
    <w:rsid w:val="00FC2923"/>
    <w:rsid w:val="00FC2BA8"/>
    <w:rsid w:val="00FC3025"/>
    <w:rsid w:val="00FC3BE6"/>
    <w:rsid w:val="00FC59F0"/>
    <w:rsid w:val="00FC777C"/>
    <w:rsid w:val="00FC7E87"/>
    <w:rsid w:val="00FD0114"/>
    <w:rsid w:val="00FD0B07"/>
    <w:rsid w:val="00FD3B91"/>
    <w:rsid w:val="00FD576B"/>
    <w:rsid w:val="00FD579E"/>
    <w:rsid w:val="00FD6472"/>
    <w:rsid w:val="00FD6845"/>
    <w:rsid w:val="00FD7553"/>
    <w:rsid w:val="00FE072A"/>
    <w:rsid w:val="00FE07DC"/>
    <w:rsid w:val="00FE08DD"/>
    <w:rsid w:val="00FE2D01"/>
    <w:rsid w:val="00FE4516"/>
    <w:rsid w:val="00FE54C6"/>
    <w:rsid w:val="00FE64C8"/>
    <w:rsid w:val="00FE7DCD"/>
    <w:rsid w:val="00FF1290"/>
    <w:rsid w:val="00FF161D"/>
    <w:rsid w:val="00FF18ED"/>
    <w:rsid w:val="00FF548C"/>
    <w:rsid w:val="00FF54EA"/>
    <w:rsid w:val="00FF6E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136FA"/>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28432E"/>
    <w:pPr>
      <w:numPr>
        <w:numId w:val="11"/>
      </w:numPr>
      <w:outlineLvl w:val="0"/>
    </w:pPr>
    <w:rPr>
      <w:rFonts w:hAnsi="Arial"/>
      <w:bCs/>
      <w:kern w:val="32"/>
      <w:szCs w:val="52"/>
    </w:rPr>
  </w:style>
  <w:style w:type="paragraph" w:styleId="2">
    <w:name w:val="heading 2"/>
    <w:basedOn w:val="a7"/>
    <w:link w:val="20"/>
    <w:qFormat/>
    <w:rsid w:val="0028432E"/>
    <w:pPr>
      <w:numPr>
        <w:ilvl w:val="1"/>
        <w:numId w:val="11"/>
      </w:numPr>
      <w:outlineLvl w:val="1"/>
    </w:pPr>
    <w:rPr>
      <w:rFonts w:hAnsi="Arial"/>
      <w:bCs/>
      <w:kern w:val="32"/>
      <w:szCs w:val="48"/>
    </w:rPr>
  </w:style>
  <w:style w:type="paragraph" w:styleId="3">
    <w:name w:val="heading 3"/>
    <w:basedOn w:val="a7"/>
    <w:link w:val="30"/>
    <w:qFormat/>
    <w:rsid w:val="0028432E"/>
    <w:pPr>
      <w:numPr>
        <w:ilvl w:val="2"/>
        <w:numId w:val="11"/>
      </w:numPr>
      <w:outlineLvl w:val="2"/>
    </w:pPr>
    <w:rPr>
      <w:rFonts w:hAnsi="Arial"/>
      <w:bCs/>
      <w:kern w:val="32"/>
      <w:szCs w:val="36"/>
    </w:rPr>
  </w:style>
  <w:style w:type="paragraph" w:styleId="4">
    <w:name w:val="heading 4"/>
    <w:basedOn w:val="a7"/>
    <w:link w:val="40"/>
    <w:qFormat/>
    <w:rsid w:val="0028432E"/>
    <w:pPr>
      <w:numPr>
        <w:ilvl w:val="3"/>
        <w:numId w:val="11"/>
      </w:numPr>
      <w:outlineLvl w:val="3"/>
    </w:pPr>
    <w:rPr>
      <w:rFonts w:hAnsi="Arial"/>
      <w:kern w:val="32"/>
      <w:szCs w:val="36"/>
    </w:rPr>
  </w:style>
  <w:style w:type="paragraph" w:styleId="5">
    <w:name w:val="heading 5"/>
    <w:basedOn w:val="a7"/>
    <w:link w:val="50"/>
    <w:qFormat/>
    <w:rsid w:val="0028432E"/>
    <w:pPr>
      <w:numPr>
        <w:ilvl w:val="4"/>
        <w:numId w:val="11"/>
      </w:numPr>
      <w:outlineLvl w:val="4"/>
    </w:pPr>
    <w:rPr>
      <w:rFonts w:hAnsi="Arial"/>
      <w:bCs/>
      <w:kern w:val="32"/>
      <w:szCs w:val="36"/>
    </w:rPr>
  </w:style>
  <w:style w:type="paragraph" w:styleId="6">
    <w:name w:val="heading 6"/>
    <w:basedOn w:val="a7"/>
    <w:link w:val="60"/>
    <w:qFormat/>
    <w:rsid w:val="0028432E"/>
    <w:pPr>
      <w:numPr>
        <w:ilvl w:val="5"/>
        <w:numId w:val="11"/>
      </w:numPr>
      <w:tabs>
        <w:tab w:val="left" w:pos="2094"/>
      </w:tabs>
      <w:outlineLvl w:val="5"/>
    </w:pPr>
    <w:rPr>
      <w:rFonts w:hAnsi="Arial"/>
      <w:kern w:val="32"/>
      <w:szCs w:val="36"/>
    </w:rPr>
  </w:style>
  <w:style w:type="paragraph" w:styleId="7">
    <w:name w:val="heading 7"/>
    <w:basedOn w:val="a7"/>
    <w:link w:val="70"/>
    <w:qFormat/>
    <w:rsid w:val="0028432E"/>
    <w:pPr>
      <w:numPr>
        <w:ilvl w:val="6"/>
        <w:numId w:val="11"/>
      </w:numPr>
      <w:outlineLvl w:val="6"/>
    </w:pPr>
    <w:rPr>
      <w:rFonts w:hAnsi="Arial"/>
      <w:bCs/>
      <w:kern w:val="32"/>
      <w:szCs w:val="36"/>
    </w:rPr>
  </w:style>
  <w:style w:type="paragraph" w:styleId="8">
    <w:name w:val="heading 8"/>
    <w:basedOn w:val="a7"/>
    <w:link w:val="80"/>
    <w:qFormat/>
    <w:rsid w:val="0028432E"/>
    <w:pPr>
      <w:numPr>
        <w:ilvl w:val="7"/>
        <w:numId w:val="11"/>
      </w:numPr>
      <w:outlineLvl w:val="7"/>
    </w:pPr>
    <w:rPr>
      <w:rFonts w:hAnsi="Arial"/>
      <w:kern w:val="32"/>
      <w:szCs w:val="36"/>
    </w:rPr>
  </w:style>
  <w:style w:type="paragraph" w:styleId="9">
    <w:name w:val="heading 9"/>
    <w:basedOn w:val="a7"/>
    <w:link w:val="90"/>
    <w:uiPriority w:val="9"/>
    <w:unhideWhenUsed/>
    <w:qFormat/>
    <w:rsid w:val="0028432E"/>
    <w:pPr>
      <w:numPr>
        <w:ilvl w:val="8"/>
        <w:numId w:val="1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rsid w:val="0028432E"/>
    <w:pPr>
      <w:snapToGrid w:val="0"/>
      <w:spacing w:before="480" w:after="720"/>
      <w:ind w:left="4423"/>
    </w:pPr>
    <w:rPr>
      <w:b/>
      <w:snapToGrid w:val="0"/>
      <w:spacing w:val="12"/>
      <w:sz w:val="36"/>
    </w:rPr>
  </w:style>
  <w:style w:type="paragraph" w:styleId="ad">
    <w:name w:val="endnote text"/>
    <w:basedOn w:val="a7"/>
    <w:link w:val="ae"/>
    <w:semiHidden/>
    <w:rsid w:val="0028432E"/>
    <w:pPr>
      <w:kinsoku w:val="0"/>
      <w:autoSpaceDE/>
      <w:spacing w:before="240"/>
      <w:ind w:left="1021" w:hanging="1021"/>
    </w:pPr>
    <w:rPr>
      <w:snapToGrid w:val="0"/>
      <w:spacing w:val="10"/>
    </w:rPr>
  </w:style>
  <w:style w:type="paragraph" w:styleId="51">
    <w:name w:val="toc 5"/>
    <w:basedOn w:val="a7"/>
    <w:next w:val="a7"/>
    <w:autoRedefine/>
    <w:uiPriority w:val="39"/>
    <w:rsid w:val="0028432E"/>
    <w:pPr>
      <w:ind w:leftChars="400" w:left="600" w:rightChars="200" w:right="200" w:hangingChars="200" w:hanging="200"/>
    </w:pPr>
  </w:style>
  <w:style w:type="character" w:styleId="af">
    <w:name w:val="page number"/>
    <w:basedOn w:val="a8"/>
    <w:semiHidden/>
    <w:rsid w:val="0028432E"/>
    <w:rPr>
      <w:rFonts w:ascii="標楷體" w:eastAsia="標楷體"/>
      <w:sz w:val="20"/>
    </w:rPr>
  </w:style>
  <w:style w:type="paragraph" w:styleId="61">
    <w:name w:val="toc 6"/>
    <w:basedOn w:val="a7"/>
    <w:next w:val="a7"/>
    <w:autoRedefine/>
    <w:uiPriority w:val="39"/>
    <w:rsid w:val="0028432E"/>
    <w:pPr>
      <w:ind w:leftChars="500" w:left="500"/>
    </w:pPr>
  </w:style>
  <w:style w:type="paragraph" w:customStyle="1" w:styleId="11">
    <w:name w:val="段落樣式1"/>
    <w:basedOn w:val="a7"/>
    <w:qFormat/>
    <w:rsid w:val="0028432E"/>
    <w:pPr>
      <w:tabs>
        <w:tab w:val="left" w:pos="567"/>
      </w:tabs>
      <w:ind w:leftChars="200" w:left="200" w:firstLineChars="200" w:firstLine="200"/>
    </w:pPr>
    <w:rPr>
      <w:kern w:val="32"/>
    </w:rPr>
  </w:style>
  <w:style w:type="paragraph" w:customStyle="1" w:styleId="21">
    <w:name w:val="段落樣式2"/>
    <w:basedOn w:val="a7"/>
    <w:qFormat/>
    <w:rsid w:val="0028432E"/>
    <w:pPr>
      <w:tabs>
        <w:tab w:val="left" w:pos="567"/>
      </w:tabs>
      <w:ind w:leftChars="300" w:left="300" w:firstLineChars="200" w:firstLine="200"/>
    </w:pPr>
    <w:rPr>
      <w:kern w:val="32"/>
    </w:rPr>
  </w:style>
  <w:style w:type="paragraph" w:styleId="12">
    <w:name w:val="toc 1"/>
    <w:basedOn w:val="a7"/>
    <w:next w:val="a7"/>
    <w:autoRedefine/>
    <w:uiPriority w:val="39"/>
    <w:rsid w:val="00B1681B"/>
    <w:pPr>
      <w:tabs>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28432E"/>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28432E"/>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28432E"/>
    <w:pPr>
      <w:kinsoku w:val="0"/>
      <w:ind w:leftChars="300" w:left="500" w:rightChars="200" w:right="200" w:hangingChars="200" w:hanging="200"/>
    </w:pPr>
  </w:style>
  <w:style w:type="paragraph" w:styleId="71">
    <w:name w:val="toc 7"/>
    <w:basedOn w:val="a7"/>
    <w:next w:val="a7"/>
    <w:autoRedefine/>
    <w:uiPriority w:val="39"/>
    <w:rsid w:val="0028432E"/>
    <w:pPr>
      <w:ind w:leftChars="600" w:left="800" w:hangingChars="200" w:hanging="200"/>
    </w:pPr>
  </w:style>
  <w:style w:type="paragraph" w:styleId="81">
    <w:name w:val="toc 8"/>
    <w:basedOn w:val="a7"/>
    <w:next w:val="a7"/>
    <w:autoRedefine/>
    <w:uiPriority w:val="39"/>
    <w:rsid w:val="0028432E"/>
    <w:pPr>
      <w:ind w:leftChars="700" w:left="900" w:hangingChars="200" w:hanging="200"/>
    </w:pPr>
  </w:style>
  <w:style w:type="paragraph" w:styleId="91">
    <w:name w:val="toc 9"/>
    <w:basedOn w:val="a7"/>
    <w:next w:val="a7"/>
    <w:autoRedefine/>
    <w:uiPriority w:val="39"/>
    <w:rsid w:val="0028432E"/>
    <w:pPr>
      <w:ind w:leftChars="1600" w:left="3840"/>
    </w:pPr>
  </w:style>
  <w:style w:type="paragraph" w:styleId="af0">
    <w:name w:val="header"/>
    <w:basedOn w:val="a7"/>
    <w:link w:val="af1"/>
    <w:semiHidden/>
    <w:rsid w:val="0028432E"/>
    <w:pPr>
      <w:tabs>
        <w:tab w:val="center" w:pos="4153"/>
        <w:tab w:val="right" w:pos="8306"/>
      </w:tabs>
      <w:snapToGrid w:val="0"/>
    </w:pPr>
    <w:rPr>
      <w:sz w:val="20"/>
    </w:rPr>
  </w:style>
  <w:style w:type="paragraph" w:customStyle="1" w:styleId="32">
    <w:name w:val="段落樣式3"/>
    <w:basedOn w:val="21"/>
    <w:qFormat/>
    <w:rsid w:val="0028432E"/>
    <w:pPr>
      <w:ind w:leftChars="400" w:left="400"/>
    </w:pPr>
  </w:style>
  <w:style w:type="character" w:styleId="af2">
    <w:name w:val="Hyperlink"/>
    <w:basedOn w:val="a8"/>
    <w:uiPriority w:val="99"/>
    <w:rsid w:val="0028432E"/>
    <w:rPr>
      <w:color w:val="0000FF"/>
      <w:u w:val="single"/>
    </w:rPr>
  </w:style>
  <w:style w:type="paragraph" w:customStyle="1" w:styleId="af3">
    <w:name w:val="簽名日期"/>
    <w:basedOn w:val="a7"/>
    <w:rsid w:val="0028432E"/>
    <w:pPr>
      <w:kinsoku w:val="0"/>
      <w:jc w:val="distribute"/>
    </w:pPr>
    <w:rPr>
      <w:kern w:val="0"/>
    </w:rPr>
  </w:style>
  <w:style w:type="paragraph" w:customStyle="1" w:styleId="0">
    <w:name w:val="段落樣式0"/>
    <w:basedOn w:val="21"/>
    <w:qFormat/>
    <w:rsid w:val="0028432E"/>
    <w:pPr>
      <w:ind w:leftChars="200" w:left="200" w:firstLineChars="0" w:firstLine="0"/>
    </w:pPr>
  </w:style>
  <w:style w:type="paragraph" w:customStyle="1" w:styleId="af4">
    <w:name w:val="附件"/>
    <w:basedOn w:val="ad"/>
    <w:rsid w:val="0028432E"/>
    <w:pPr>
      <w:spacing w:before="0"/>
      <w:ind w:left="1047" w:hangingChars="300" w:hanging="1047"/>
    </w:pPr>
    <w:rPr>
      <w:snapToGrid/>
      <w:spacing w:val="0"/>
      <w:kern w:val="0"/>
    </w:rPr>
  </w:style>
  <w:style w:type="paragraph" w:customStyle="1" w:styleId="42">
    <w:name w:val="段落樣式4"/>
    <w:basedOn w:val="32"/>
    <w:qFormat/>
    <w:rsid w:val="0028432E"/>
    <w:pPr>
      <w:ind w:leftChars="500" w:left="500"/>
    </w:pPr>
  </w:style>
  <w:style w:type="paragraph" w:customStyle="1" w:styleId="52">
    <w:name w:val="段落樣式5"/>
    <w:basedOn w:val="42"/>
    <w:qFormat/>
    <w:rsid w:val="0028432E"/>
    <w:pPr>
      <w:ind w:leftChars="600" w:left="600"/>
    </w:pPr>
  </w:style>
  <w:style w:type="paragraph" w:customStyle="1" w:styleId="62">
    <w:name w:val="段落樣式6"/>
    <w:basedOn w:val="52"/>
    <w:qFormat/>
    <w:rsid w:val="0028432E"/>
    <w:pPr>
      <w:ind w:leftChars="700" w:left="700"/>
    </w:pPr>
  </w:style>
  <w:style w:type="paragraph" w:customStyle="1" w:styleId="72">
    <w:name w:val="段落樣式7"/>
    <w:basedOn w:val="62"/>
    <w:qFormat/>
    <w:rsid w:val="0028432E"/>
    <w:pPr>
      <w:ind w:leftChars="800" w:left="800"/>
    </w:pPr>
  </w:style>
  <w:style w:type="paragraph" w:customStyle="1" w:styleId="82">
    <w:name w:val="段落樣式8"/>
    <w:basedOn w:val="72"/>
    <w:qFormat/>
    <w:rsid w:val="0028432E"/>
    <w:pPr>
      <w:ind w:leftChars="900" w:left="900"/>
    </w:pPr>
  </w:style>
  <w:style w:type="paragraph" w:customStyle="1" w:styleId="a1">
    <w:name w:val="附表樣式"/>
    <w:basedOn w:val="a7"/>
    <w:qFormat/>
    <w:rsid w:val="0028432E"/>
    <w:pPr>
      <w:keepNext/>
      <w:numPr>
        <w:numId w:val="6"/>
      </w:numPr>
      <w:outlineLvl w:val="0"/>
    </w:pPr>
    <w:rPr>
      <w:kern w:val="32"/>
    </w:rPr>
  </w:style>
  <w:style w:type="paragraph" w:styleId="af5">
    <w:name w:val="Body Text Indent"/>
    <w:basedOn w:val="a7"/>
    <w:link w:val="af6"/>
    <w:semiHidden/>
    <w:rsid w:val="0028432E"/>
    <w:pPr>
      <w:ind w:left="698" w:hangingChars="200" w:hanging="698"/>
    </w:pPr>
  </w:style>
  <w:style w:type="paragraph" w:customStyle="1" w:styleId="af7">
    <w:name w:val="調查報告"/>
    <w:basedOn w:val="ad"/>
    <w:rsid w:val="0028432E"/>
    <w:pPr>
      <w:adjustRightInd w:val="0"/>
      <w:spacing w:before="0"/>
      <w:ind w:left="0" w:firstLine="0"/>
      <w:jc w:val="center"/>
    </w:pPr>
    <w:rPr>
      <w:b/>
      <w:snapToGrid/>
      <w:spacing w:val="20"/>
      <w:kern w:val="0"/>
      <w:sz w:val="36"/>
    </w:rPr>
  </w:style>
  <w:style w:type="paragraph" w:customStyle="1" w:styleId="14">
    <w:name w:val="表格14"/>
    <w:basedOn w:val="a7"/>
    <w:rsid w:val="0028432E"/>
    <w:pPr>
      <w:adjustRightInd w:val="0"/>
      <w:snapToGrid w:val="0"/>
      <w:spacing w:line="360" w:lineRule="exact"/>
    </w:pPr>
    <w:rPr>
      <w:snapToGrid w:val="0"/>
      <w:spacing w:val="-14"/>
      <w:kern w:val="0"/>
      <w:sz w:val="28"/>
    </w:rPr>
  </w:style>
  <w:style w:type="paragraph" w:customStyle="1" w:styleId="a0">
    <w:name w:val="附圖樣式"/>
    <w:basedOn w:val="a7"/>
    <w:qFormat/>
    <w:rsid w:val="0028432E"/>
    <w:pPr>
      <w:keepNext/>
      <w:numPr>
        <w:numId w:val="7"/>
      </w:numPr>
      <w:outlineLvl w:val="0"/>
    </w:pPr>
    <w:rPr>
      <w:kern w:val="32"/>
    </w:rPr>
  </w:style>
  <w:style w:type="paragraph" w:styleId="af8">
    <w:name w:val="footer"/>
    <w:basedOn w:val="a7"/>
    <w:link w:val="af9"/>
    <w:semiHidden/>
    <w:rsid w:val="0028432E"/>
    <w:pPr>
      <w:tabs>
        <w:tab w:val="center" w:pos="4153"/>
        <w:tab w:val="right" w:pos="8306"/>
      </w:tabs>
      <w:snapToGrid w:val="0"/>
    </w:pPr>
    <w:rPr>
      <w:sz w:val="20"/>
    </w:rPr>
  </w:style>
  <w:style w:type="paragraph" w:styleId="afa">
    <w:name w:val="table of figures"/>
    <w:basedOn w:val="a7"/>
    <w:next w:val="a7"/>
    <w:uiPriority w:val="99"/>
    <w:rsid w:val="0028432E"/>
    <w:pPr>
      <w:ind w:left="400" w:hangingChars="400" w:hanging="400"/>
    </w:pPr>
  </w:style>
  <w:style w:type="paragraph" w:customStyle="1" w:styleId="140">
    <w:name w:val="表格標題14"/>
    <w:basedOn w:val="a7"/>
    <w:rsid w:val="0028432E"/>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28432E"/>
    <w:pPr>
      <w:keepNext/>
      <w:widowControl w:val="0"/>
      <w:numPr>
        <w:numId w:val="4"/>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28432E"/>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28432E"/>
    <w:pPr>
      <w:numPr>
        <w:numId w:val="1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39"/>
    <w:rsid w:val="00284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28432E"/>
    <w:pPr>
      <w:spacing w:line="240" w:lineRule="exact"/>
    </w:pPr>
    <w:rPr>
      <w:sz w:val="24"/>
      <w:szCs w:val="24"/>
    </w:rPr>
  </w:style>
  <w:style w:type="paragraph" w:customStyle="1" w:styleId="121">
    <w:name w:val="表格12"/>
    <w:basedOn w:val="14"/>
    <w:rsid w:val="0028432E"/>
    <w:pPr>
      <w:spacing w:line="300" w:lineRule="exact"/>
    </w:pPr>
    <w:rPr>
      <w:sz w:val="24"/>
      <w:szCs w:val="24"/>
    </w:rPr>
  </w:style>
  <w:style w:type="paragraph" w:customStyle="1" w:styleId="a5">
    <w:name w:val="附錄"/>
    <w:basedOn w:val="a7"/>
    <w:qFormat/>
    <w:rsid w:val="0028432E"/>
    <w:pPr>
      <w:keepNext/>
      <w:numPr>
        <w:numId w:val="8"/>
      </w:numPr>
      <w:outlineLvl w:val="0"/>
    </w:pPr>
    <w:rPr>
      <w:kern w:val="32"/>
    </w:rPr>
  </w:style>
  <w:style w:type="paragraph" w:styleId="afd">
    <w:name w:val="List Paragraph"/>
    <w:basedOn w:val="a7"/>
    <w:uiPriority w:val="34"/>
    <w:qFormat/>
    <w:rsid w:val="0028432E"/>
    <w:pPr>
      <w:ind w:leftChars="200" w:left="480"/>
    </w:pPr>
  </w:style>
  <w:style w:type="paragraph" w:styleId="afe">
    <w:name w:val="Balloon Text"/>
    <w:basedOn w:val="a7"/>
    <w:link w:val="aff"/>
    <w:uiPriority w:val="99"/>
    <w:semiHidden/>
    <w:unhideWhenUsed/>
    <w:rsid w:val="0028432E"/>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28432E"/>
    <w:rPr>
      <w:rFonts w:asciiTheme="majorHAnsi" w:eastAsiaTheme="majorEastAsia" w:hAnsiTheme="majorHAnsi" w:cstheme="majorBidi"/>
      <w:kern w:val="2"/>
      <w:sz w:val="18"/>
      <w:szCs w:val="18"/>
    </w:rPr>
  </w:style>
  <w:style w:type="paragraph" w:customStyle="1" w:styleId="a6">
    <w:name w:val="照片標題"/>
    <w:qFormat/>
    <w:rsid w:val="0028432E"/>
    <w:pPr>
      <w:numPr>
        <w:numId w:val="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28432E"/>
    <w:pPr>
      <w:keepNext/>
      <w:numPr>
        <w:numId w:val="5"/>
      </w:numPr>
      <w:outlineLvl w:val="0"/>
    </w:pPr>
    <w:rPr>
      <w:kern w:val="32"/>
    </w:rPr>
  </w:style>
  <w:style w:type="character" w:customStyle="1" w:styleId="90">
    <w:name w:val="標題 9 字元"/>
    <w:basedOn w:val="a8"/>
    <w:link w:val="9"/>
    <w:uiPriority w:val="9"/>
    <w:rsid w:val="0028432E"/>
    <w:rPr>
      <w:rFonts w:ascii="標楷體" w:eastAsia="標楷體" w:hAnsiTheme="majorHAnsi" w:cstheme="majorBidi"/>
      <w:kern w:val="32"/>
      <w:sz w:val="32"/>
      <w:szCs w:val="36"/>
    </w:rPr>
  </w:style>
  <w:style w:type="paragraph" w:customStyle="1" w:styleId="92">
    <w:name w:val="段落樣式9"/>
    <w:basedOn w:val="82"/>
    <w:qFormat/>
    <w:rsid w:val="0028432E"/>
    <w:pPr>
      <w:ind w:leftChars="1000" w:left="1000"/>
    </w:pPr>
  </w:style>
  <w:style w:type="table" w:customStyle="1" w:styleId="13">
    <w:name w:val="表格格線1"/>
    <w:basedOn w:val="a9"/>
    <w:next w:val="afc"/>
    <w:rsid w:val="006F0DC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8"/>
    <w:uiPriority w:val="20"/>
    <w:qFormat/>
    <w:rsid w:val="00751E9D"/>
    <w:rPr>
      <w:b w:val="0"/>
      <w:bCs w:val="0"/>
      <w:i w:val="0"/>
      <w:iCs w:val="0"/>
      <w:color w:val="DD4B39"/>
    </w:rPr>
  </w:style>
  <w:style w:type="character" w:customStyle="1" w:styleId="st1">
    <w:name w:val="st1"/>
    <w:basedOn w:val="a8"/>
    <w:rsid w:val="00751E9D"/>
  </w:style>
  <w:style w:type="character" w:customStyle="1" w:styleId="10">
    <w:name w:val="標題 1 字元"/>
    <w:basedOn w:val="a8"/>
    <w:link w:val="1"/>
    <w:rsid w:val="0028432E"/>
    <w:rPr>
      <w:rFonts w:ascii="標楷體" w:eastAsia="標楷體" w:hAnsi="Arial"/>
      <w:bCs/>
      <w:kern w:val="32"/>
      <w:sz w:val="32"/>
      <w:szCs w:val="52"/>
    </w:rPr>
  </w:style>
  <w:style w:type="character" w:customStyle="1" w:styleId="20">
    <w:name w:val="標題 2 字元"/>
    <w:basedOn w:val="a8"/>
    <w:link w:val="2"/>
    <w:rsid w:val="0028432E"/>
    <w:rPr>
      <w:rFonts w:ascii="標楷體" w:eastAsia="標楷體" w:hAnsi="Arial"/>
      <w:bCs/>
      <w:kern w:val="32"/>
      <w:sz w:val="32"/>
      <w:szCs w:val="48"/>
    </w:rPr>
  </w:style>
  <w:style w:type="character" w:customStyle="1" w:styleId="30">
    <w:name w:val="標題 3 字元"/>
    <w:basedOn w:val="a8"/>
    <w:link w:val="3"/>
    <w:rsid w:val="0028432E"/>
    <w:rPr>
      <w:rFonts w:ascii="標楷體" w:eastAsia="標楷體" w:hAnsi="Arial"/>
      <w:bCs/>
      <w:kern w:val="32"/>
      <w:sz w:val="32"/>
      <w:szCs w:val="36"/>
    </w:rPr>
  </w:style>
  <w:style w:type="paragraph" w:customStyle="1" w:styleId="93">
    <w:name w:val="標題9"/>
    <w:basedOn w:val="a7"/>
    <w:rsid w:val="00572856"/>
    <w:pPr>
      <w:tabs>
        <w:tab w:val="num" w:pos="6195"/>
      </w:tabs>
      <w:overflowPunct/>
      <w:autoSpaceDE/>
      <w:autoSpaceDN/>
      <w:ind w:left="5015" w:hanging="1700"/>
      <w:jc w:val="left"/>
    </w:pPr>
    <w:rPr>
      <w:rFonts w:ascii="Times New Roman"/>
    </w:rPr>
  </w:style>
  <w:style w:type="character" w:customStyle="1" w:styleId="af6">
    <w:name w:val="本文縮排 字元"/>
    <w:basedOn w:val="a8"/>
    <w:link w:val="af5"/>
    <w:semiHidden/>
    <w:rsid w:val="0028432E"/>
    <w:rPr>
      <w:rFonts w:ascii="標楷體" w:eastAsia="標楷體"/>
      <w:kern w:val="2"/>
      <w:sz w:val="32"/>
    </w:rPr>
  </w:style>
  <w:style w:type="character" w:customStyle="1" w:styleId="ac">
    <w:name w:val="簽名 字元"/>
    <w:basedOn w:val="a8"/>
    <w:link w:val="ab"/>
    <w:rsid w:val="0028432E"/>
    <w:rPr>
      <w:rFonts w:ascii="標楷體" w:eastAsia="標楷體"/>
      <w:b/>
      <w:snapToGrid w:val="0"/>
      <w:spacing w:val="12"/>
      <w:kern w:val="2"/>
      <w:sz w:val="36"/>
    </w:rPr>
  </w:style>
  <w:style w:type="paragraph" w:customStyle="1" w:styleId="aff1">
    <w:name w:val="協查人員"/>
    <w:basedOn w:val="ab"/>
    <w:qFormat/>
    <w:rsid w:val="0028432E"/>
    <w:pPr>
      <w:spacing w:beforeLines="50" w:before="228" w:after="0"/>
      <w:ind w:leftChars="1100" w:left="3742"/>
      <w:jc w:val="left"/>
    </w:pPr>
    <w:rPr>
      <w:bCs/>
      <w:snapToGrid/>
      <w:kern w:val="0"/>
      <w:szCs w:val="36"/>
    </w:rPr>
  </w:style>
  <w:style w:type="character" w:customStyle="1" w:styleId="ae">
    <w:name w:val="章節附註文字 字元"/>
    <w:basedOn w:val="a8"/>
    <w:link w:val="ad"/>
    <w:semiHidden/>
    <w:rsid w:val="0028432E"/>
    <w:rPr>
      <w:rFonts w:ascii="標楷體" w:eastAsia="標楷體"/>
      <w:snapToGrid w:val="0"/>
      <w:spacing w:val="10"/>
      <w:kern w:val="2"/>
      <w:sz w:val="32"/>
    </w:rPr>
  </w:style>
  <w:style w:type="character" w:customStyle="1" w:styleId="af9">
    <w:name w:val="頁尾 字元"/>
    <w:basedOn w:val="a8"/>
    <w:link w:val="af8"/>
    <w:semiHidden/>
    <w:rsid w:val="0028432E"/>
    <w:rPr>
      <w:rFonts w:ascii="標楷體" w:eastAsia="標楷體"/>
      <w:kern w:val="2"/>
    </w:rPr>
  </w:style>
  <w:style w:type="character" w:customStyle="1" w:styleId="af1">
    <w:name w:val="頁首 字元"/>
    <w:basedOn w:val="a8"/>
    <w:link w:val="af0"/>
    <w:semiHidden/>
    <w:rsid w:val="0028432E"/>
    <w:rPr>
      <w:rFonts w:ascii="標楷體" w:eastAsia="標楷體"/>
      <w:kern w:val="2"/>
    </w:rPr>
  </w:style>
  <w:style w:type="character" w:customStyle="1" w:styleId="40">
    <w:name w:val="標題 4 字元"/>
    <w:basedOn w:val="a8"/>
    <w:link w:val="4"/>
    <w:rsid w:val="0028432E"/>
    <w:rPr>
      <w:rFonts w:ascii="標楷體" w:eastAsia="標楷體" w:hAnsi="Arial"/>
      <w:kern w:val="32"/>
      <w:sz w:val="32"/>
      <w:szCs w:val="36"/>
    </w:rPr>
  </w:style>
  <w:style w:type="character" w:customStyle="1" w:styleId="50">
    <w:name w:val="標題 5 字元"/>
    <w:basedOn w:val="a8"/>
    <w:link w:val="5"/>
    <w:rsid w:val="0028432E"/>
    <w:rPr>
      <w:rFonts w:ascii="標楷體" w:eastAsia="標楷體" w:hAnsi="Arial"/>
      <w:bCs/>
      <w:kern w:val="32"/>
      <w:sz w:val="32"/>
      <w:szCs w:val="36"/>
    </w:rPr>
  </w:style>
  <w:style w:type="character" w:customStyle="1" w:styleId="60">
    <w:name w:val="標題 6 字元"/>
    <w:basedOn w:val="a8"/>
    <w:link w:val="6"/>
    <w:rsid w:val="0028432E"/>
    <w:rPr>
      <w:rFonts w:ascii="標楷體" w:eastAsia="標楷體" w:hAnsi="Arial"/>
      <w:kern w:val="32"/>
      <w:sz w:val="32"/>
      <w:szCs w:val="36"/>
    </w:rPr>
  </w:style>
  <w:style w:type="character" w:customStyle="1" w:styleId="70">
    <w:name w:val="標題 7 字元"/>
    <w:basedOn w:val="a8"/>
    <w:link w:val="7"/>
    <w:rsid w:val="0028432E"/>
    <w:rPr>
      <w:rFonts w:ascii="標楷體" w:eastAsia="標楷體" w:hAnsi="Arial"/>
      <w:bCs/>
      <w:kern w:val="32"/>
      <w:sz w:val="32"/>
      <w:szCs w:val="36"/>
    </w:rPr>
  </w:style>
  <w:style w:type="character" w:customStyle="1" w:styleId="80">
    <w:name w:val="標題 8 字元"/>
    <w:basedOn w:val="a8"/>
    <w:link w:val="8"/>
    <w:rsid w:val="0028432E"/>
    <w:rPr>
      <w:rFonts w:ascii="標楷體" w:eastAsia="標楷體" w:hAnsi="Arial"/>
      <w:kern w:val="32"/>
      <w:sz w:val="32"/>
      <w:szCs w:val="36"/>
    </w:rPr>
  </w:style>
  <w:style w:type="paragraph" w:customStyle="1" w:styleId="aff2">
    <w:name w:val="調查委員"/>
    <w:basedOn w:val="ab"/>
    <w:qFormat/>
    <w:rsid w:val="0028432E"/>
    <w:pPr>
      <w:spacing w:before="0" w:after="0"/>
      <w:ind w:left="0"/>
      <w:jc w:val="left"/>
    </w:pPr>
    <w:rPr>
      <w:b w:val="0"/>
      <w:bCs/>
      <w:szCs w:val="28"/>
    </w:rPr>
  </w:style>
  <w:style w:type="paragraph" w:styleId="aff3">
    <w:name w:val="footnote text"/>
    <w:basedOn w:val="a7"/>
    <w:link w:val="aff4"/>
    <w:semiHidden/>
    <w:unhideWhenUsed/>
    <w:rsid w:val="00BF17C5"/>
    <w:pPr>
      <w:snapToGrid w:val="0"/>
      <w:jc w:val="left"/>
    </w:pPr>
    <w:rPr>
      <w:sz w:val="20"/>
    </w:rPr>
  </w:style>
  <w:style w:type="character" w:customStyle="1" w:styleId="aff4">
    <w:name w:val="註腳文字 字元"/>
    <w:basedOn w:val="a8"/>
    <w:link w:val="aff3"/>
    <w:semiHidden/>
    <w:rsid w:val="00BF17C5"/>
    <w:rPr>
      <w:rFonts w:ascii="標楷體" w:eastAsia="標楷體"/>
      <w:kern w:val="2"/>
    </w:rPr>
  </w:style>
  <w:style w:type="character" w:styleId="aff5">
    <w:name w:val="footnote reference"/>
    <w:basedOn w:val="a8"/>
    <w:semiHidden/>
    <w:unhideWhenUsed/>
    <w:rsid w:val="00BF17C5"/>
    <w:rPr>
      <w:vertAlign w:val="superscript"/>
    </w:rPr>
  </w:style>
  <w:style w:type="character" w:customStyle="1" w:styleId="bt121">
    <w:name w:val="bt121"/>
    <w:basedOn w:val="a8"/>
    <w:rsid w:val="00597D9E"/>
    <w:rPr>
      <w:rFonts w:ascii="Arial" w:hAnsi="Arial" w:cs="Arial" w:hint="default"/>
      <w:color w:val="8F8F8E"/>
      <w:sz w:val="18"/>
      <w:szCs w:val="18"/>
    </w:rPr>
  </w:style>
  <w:style w:type="paragraph" w:styleId="a">
    <w:name w:val="List Bullet"/>
    <w:basedOn w:val="a7"/>
    <w:uiPriority w:val="99"/>
    <w:unhideWhenUsed/>
    <w:rsid w:val="00AE721A"/>
    <w:pPr>
      <w:numPr>
        <w:numId w:val="3"/>
      </w:numPr>
      <w:contextualSpacing/>
    </w:pPr>
  </w:style>
  <w:style w:type="character" w:styleId="aff6">
    <w:name w:val="Strong"/>
    <w:basedOn w:val="a8"/>
    <w:uiPriority w:val="22"/>
    <w:qFormat/>
    <w:rsid w:val="00AE721A"/>
    <w:rPr>
      <w:b/>
      <w:bCs/>
    </w:rPr>
  </w:style>
  <w:style w:type="paragraph" w:styleId="Web">
    <w:name w:val="Normal (Web)"/>
    <w:basedOn w:val="a7"/>
    <w:uiPriority w:val="99"/>
    <w:semiHidden/>
    <w:unhideWhenUsed/>
    <w:rsid w:val="0075300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7">
    <w:name w:val="分項段落"/>
    <w:basedOn w:val="a7"/>
    <w:rsid w:val="001F35FD"/>
    <w:pPr>
      <w:overflowPunct/>
      <w:autoSpaceDE/>
      <w:autoSpaceDN/>
      <w:jc w:val="left"/>
    </w:pPr>
    <w:rPr>
      <w:rFonts w:ascii="Times New Roman" w:eastAsia="新細明體"/>
      <w:sz w:val="24"/>
    </w:rPr>
  </w:style>
  <w:style w:type="character" w:customStyle="1" w:styleId="aff8">
    <w:name w:val="目錄 字元"/>
    <w:basedOn w:val="a8"/>
    <w:link w:val="aff9"/>
    <w:locked/>
    <w:rsid w:val="00BA1657"/>
    <w:rPr>
      <w:rFonts w:ascii="標楷體" w:eastAsia="標楷體"/>
      <w:b/>
      <w:sz w:val="32"/>
    </w:rPr>
  </w:style>
  <w:style w:type="paragraph" w:customStyle="1" w:styleId="aff9">
    <w:name w:val="目錄"/>
    <w:basedOn w:val="a7"/>
    <w:link w:val="aff8"/>
    <w:qFormat/>
    <w:rsid w:val="00BA1657"/>
    <w:pPr>
      <w:spacing w:line="520" w:lineRule="exact"/>
    </w:pPr>
    <w:rPr>
      <w:b/>
      <w:kern w:val="0"/>
    </w:rPr>
  </w:style>
  <w:style w:type="character" w:styleId="affa">
    <w:name w:val="FollowedHyperlink"/>
    <w:basedOn w:val="a8"/>
    <w:uiPriority w:val="99"/>
    <w:semiHidden/>
    <w:unhideWhenUsed/>
    <w:rsid w:val="00BE71AA"/>
    <w:rPr>
      <w:color w:val="800080" w:themeColor="followedHyperlink"/>
      <w:u w:val="single"/>
    </w:rPr>
  </w:style>
  <w:style w:type="character" w:customStyle="1" w:styleId="j-title-breadcrumb">
    <w:name w:val="j-title-breadcrumb"/>
    <w:basedOn w:val="a8"/>
    <w:rsid w:val="00354E1F"/>
  </w:style>
  <w:style w:type="character" w:styleId="affb">
    <w:name w:val="Placeholder Text"/>
    <w:basedOn w:val="a8"/>
    <w:uiPriority w:val="99"/>
    <w:semiHidden/>
    <w:rsid w:val="009853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0216">
      <w:bodyDiv w:val="1"/>
      <w:marLeft w:val="0"/>
      <w:marRight w:val="0"/>
      <w:marTop w:val="0"/>
      <w:marBottom w:val="0"/>
      <w:divBdr>
        <w:top w:val="none" w:sz="0" w:space="0" w:color="auto"/>
        <w:left w:val="none" w:sz="0" w:space="0" w:color="auto"/>
        <w:bottom w:val="none" w:sz="0" w:space="0" w:color="auto"/>
        <w:right w:val="none" w:sz="0" w:space="0" w:color="auto"/>
      </w:divBdr>
    </w:div>
    <w:div w:id="112942502">
      <w:bodyDiv w:val="1"/>
      <w:marLeft w:val="0"/>
      <w:marRight w:val="0"/>
      <w:marTop w:val="0"/>
      <w:marBottom w:val="0"/>
      <w:divBdr>
        <w:top w:val="none" w:sz="0" w:space="0" w:color="auto"/>
        <w:left w:val="none" w:sz="0" w:space="0" w:color="auto"/>
        <w:bottom w:val="none" w:sz="0" w:space="0" w:color="auto"/>
        <w:right w:val="none" w:sz="0" w:space="0" w:color="auto"/>
      </w:divBdr>
    </w:div>
    <w:div w:id="142047730">
      <w:bodyDiv w:val="1"/>
      <w:marLeft w:val="0"/>
      <w:marRight w:val="0"/>
      <w:marTop w:val="0"/>
      <w:marBottom w:val="0"/>
      <w:divBdr>
        <w:top w:val="none" w:sz="0" w:space="0" w:color="auto"/>
        <w:left w:val="none" w:sz="0" w:space="0" w:color="auto"/>
        <w:bottom w:val="none" w:sz="0" w:space="0" w:color="auto"/>
        <w:right w:val="none" w:sz="0" w:space="0" w:color="auto"/>
      </w:divBdr>
    </w:div>
    <w:div w:id="396635272">
      <w:bodyDiv w:val="1"/>
      <w:marLeft w:val="0"/>
      <w:marRight w:val="0"/>
      <w:marTop w:val="0"/>
      <w:marBottom w:val="0"/>
      <w:divBdr>
        <w:top w:val="none" w:sz="0" w:space="0" w:color="auto"/>
        <w:left w:val="none" w:sz="0" w:space="0" w:color="auto"/>
        <w:bottom w:val="none" w:sz="0" w:space="0" w:color="auto"/>
        <w:right w:val="none" w:sz="0" w:space="0" w:color="auto"/>
      </w:divBdr>
    </w:div>
    <w:div w:id="432214757">
      <w:bodyDiv w:val="1"/>
      <w:marLeft w:val="0"/>
      <w:marRight w:val="0"/>
      <w:marTop w:val="0"/>
      <w:marBottom w:val="0"/>
      <w:divBdr>
        <w:top w:val="none" w:sz="0" w:space="0" w:color="auto"/>
        <w:left w:val="none" w:sz="0" w:space="0" w:color="auto"/>
        <w:bottom w:val="none" w:sz="0" w:space="0" w:color="auto"/>
        <w:right w:val="none" w:sz="0" w:space="0" w:color="auto"/>
      </w:divBdr>
    </w:div>
    <w:div w:id="465703050">
      <w:bodyDiv w:val="1"/>
      <w:marLeft w:val="0"/>
      <w:marRight w:val="0"/>
      <w:marTop w:val="0"/>
      <w:marBottom w:val="0"/>
      <w:divBdr>
        <w:top w:val="none" w:sz="0" w:space="0" w:color="auto"/>
        <w:left w:val="none" w:sz="0" w:space="0" w:color="auto"/>
        <w:bottom w:val="none" w:sz="0" w:space="0" w:color="auto"/>
        <w:right w:val="none" w:sz="0" w:space="0" w:color="auto"/>
      </w:divBdr>
    </w:div>
    <w:div w:id="482435228">
      <w:bodyDiv w:val="1"/>
      <w:marLeft w:val="0"/>
      <w:marRight w:val="0"/>
      <w:marTop w:val="0"/>
      <w:marBottom w:val="0"/>
      <w:divBdr>
        <w:top w:val="none" w:sz="0" w:space="0" w:color="auto"/>
        <w:left w:val="none" w:sz="0" w:space="0" w:color="auto"/>
        <w:bottom w:val="none" w:sz="0" w:space="0" w:color="auto"/>
        <w:right w:val="none" w:sz="0" w:space="0" w:color="auto"/>
      </w:divBdr>
    </w:div>
    <w:div w:id="564875285">
      <w:bodyDiv w:val="1"/>
      <w:marLeft w:val="0"/>
      <w:marRight w:val="0"/>
      <w:marTop w:val="0"/>
      <w:marBottom w:val="0"/>
      <w:divBdr>
        <w:top w:val="none" w:sz="0" w:space="0" w:color="auto"/>
        <w:left w:val="none" w:sz="0" w:space="0" w:color="auto"/>
        <w:bottom w:val="none" w:sz="0" w:space="0" w:color="auto"/>
        <w:right w:val="none" w:sz="0" w:space="0" w:color="auto"/>
      </w:divBdr>
      <w:divsChild>
        <w:div w:id="102304850">
          <w:marLeft w:val="0"/>
          <w:marRight w:val="0"/>
          <w:marTop w:val="0"/>
          <w:marBottom w:val="0"/>
          <w:divBdr>
            <w:top w:val="none" w:sz="0" w:space="0" w:color="auto"/>
            <w:left w:val="none" w:sz="0" w:space="0" w:color="auto"/>
            <w:bottom w:val="none" w:sz="0" w:space="0" w:color="auto"/>
            <w:right w:val="none" w:sz="0" w:space="0" w:color="auto"/>
          </w:divBdr>
          <w:divsChild>
            <w:div w:id="1389451697">
              <w:marLeft w:val="0"/>
              <w:marRight w:val="0"/>
              <w:marTop w:val="0"/>
              <w:marBottom w:val="0"/>
              <w:divBdr>
                <w:top w:val="none" w:sz="0" w:space="0" w:color="auto"/>
                <w:left w:val="none" w:sz="0" w:space="0" w:color="auto"/>
                <w:bottom w:val="none" w:sz="0" w:space="0" w:color="auto"/>
                <w:right w:val="none" w:sz="0" w:space="0" w:color="auto"/>
              </w:divBdr>
              <w:divsChild>
                <w:div w:id="716859064">
                  <w:marLeft w:val="0"/>
                  <w:marRight w:val="0"/>
                  <w:marTop w:val="0"/>
                  <w:marBottom w:val="0"/>
                  <w:divBdr>
                    <w:top w:val="none" w:sz="0" w:space="0" w:color="auto"/>
                    <w:left w:val="none" w:sz="0" w:space="0" w:color="auto"/>
                    <w:bottom w:val="none" w:sz="0" w:space="0" w:color="auto"/>
                    <w:right w:val="none" w:sz="0" w:space="0" w:color="auto"/>
                  </w:divBdr>
                  <w:divsChild>
                    <w:div w:id="1657878773">
                      <w:marLeft w:val="0"/>
                      <w:marRight w:val="0"/>
                      <w:marTop w:val="0"/>
                      <w:marBottom w:val="0"/>
                      <w:divBdr>
                        <w:top w:val="none" w:sz="0" w:space="0" w:color="auto"/>
                        <w:left w:val="none" w:sz="0" w:space="0" w:color="auto"/>
                        <w:bottom w:val="none" w:sz="0" w:space="0" w:color="auto"/>
                        <w:right w:val="none" w:sz="0" w:space="0" w:color="auto"/>
                      </w:divBdr>
                      <w:divsChild>
                        <w:div w:id="1328099304">
                          <w:marLeft w:val="0"/>
                          <w:marRight w:val="2"/>
                          <w:marTop w:val="0"/>
                          <w:marBottom w:val="30"/>
                          <w:divBdr>
                            <w:top w:val="none" w:sz="0" w:space="0" w:color="auto"/>
                            <w:left w:val="none" w:sz="0" w:space="0" w:color="auto"/>
                            <w:bottom w:val="none" w:sz="0" w:space="0" w:color="auto"/>
                            <w:right w:val="none" w:sz="0" w:space="0" w:color="auto"/>
                          </w:divBdr>
                          <w:divsChild>
                            <w:div w:id="7222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45969">
      <w:bodyDiv w:val="1"/>
      <w:marLeft w:val="0"/>
      <w:marRight w:val="0"/>
      <w:marTop w:val="0"/>
      <w:marBottom w:val="0"/>
      <w:divBdr>
        <w:top w:val="none" w:sz="0" w:space="0" w:color="auto"/>
        <w:left w:val="none" w:sz="0" w:space="0" w:color="auto"/>
        <w:bottom w:val="none" w:sz="0" w:space="0" w:color="auto"/>
        <w:right w:val="none" w:sz="0" w:space="0" w:color="auto"/>
      </w:divBdr>
    </w:div>
    <w:div w:id="640773807">
      <w:bodyDiv w:val="1"/>
      <w:marLeft w:val="0"/>
      <w:marRight w:val="0"/>
      <w:marTop w:val="0"/>
      <w:marBottom w:val="0"/>
      <w:divBdr>
        <w:top w:val="none" w:sz="0" w:space="0" w:color="auto"/>
        <w:left w:val="none" w:sz="0" w:space="0" w:color="auto"/>
        <w:bottom w:val="none" w:sz="0" w:space="0" w:color="auto"/>
        <w:right w:val="none" w:sz="0" w:space="0" w:color="auto"/>
      </w:divBdr>
    </w:div>
    <w:div w:id="697776179">
      <w:bodyDiv w:val="1"/>
      <w:marLeft w:val="0"/>
      <w:marRight w:val="0"/>
      <w:marTop w:val="0"/>
      <w:marBottom w:val="0"/>
      <w:divBdr>
        <w:top w:val="none" w:sz="0" w:space="0" w:color="auto"/>
        <w:left w:val="none" w:sz="0" w:space="0" w:color="auto"/>
        <w:bottom w:val="none" w:sz="0" w:space="0" w:color="auto"/>
        <w:right w:val="none" w:sz="0" w:space="0" w:color="auto"/>
      </w:divBdr>
    </w:div>
    <w:div w:id="907419434">
      <w:bodyDiv w:val="1"/>
      <w:marLeft w:val="0"/>
      <w:marRight w:val="0"/>
      <w:marTop w:val="0"/>
      <w:marBottom w:val="0"/>
      <w:divBdr>
        <w:top w:val="none" w:sz="0" w:space="0" w:color="auto"/>
        <w:left w:val="none" w:sz="0" w:space="0" w:color="auto"/>
        <w:bottom w:val="none" w:sz="0" w:space="0" w:color="auto"/>
        <w:right w:val="none" w:sz="0" w:space="0" w:color="auto"/>
      </w:divBdr>
    </w:div>
    <w:div w:id="907614156">
      <w:bodyDiv w:val="1"/>
      <w:marLeft w:val="0"/>
      <w:marRight w:val="0"/>
      <w:marTop w:val="0"/>
      <w:marBottom w:val="0"/>
      <w:divBdr>
        <w:top w:val="none" w:sz="0" w:space="0" w:color="auto"/>
        <w:left w:val="none" w:sz="0" w:space="0" w:color="auto"/>
        <w:bottom w:val="none" w:sz="0" w:space="0" w:color="auto"/>
        <w:right w:val="none" w:sz="0" w:space="0" w:color="auto"/>
      </w:divBdr>
    </w:div>
    <w:div w:id="953291811">
      <w:bodyDiv w:val="1"/>
      <w:marLeft w:val="0"/>
      <w:marRight w:val="0"/>
      <w:marTop w:val="0"/>
      <w:marBottom w:val="0"/>
      <w:divBdr>
        <w:top w:val="none" w:sz="0" w:space="0" w:color="auto"/>
        <w:left w:val="none" w:sz="0" w:space="0" w:color="auto"/>
        <w:bottom w:val="none" w:sz="0" w:space="0" w:color="auto"/>
        <w:right w:val="none" w:sz="0" w:space="0" w:color="auto"/>
      </w:divBdr>
    </w:div>
    <w:div w:id="1036270714">
      <w:bodyDiv w:val="1"/>
      <w:marLeft w:val="0"/>
      <w:marRight w:val="0"/>
      <w:marTop w:val="0"/>
      <w:marBottom w:val="0"/>
      <w:divBdr>
        <w:top w:val="none" w:sz="0" w:space="0" w:color="auto"/>
        <w:left w:val="none" w:sz="0" w:space="0" w:color="auto"/>
        <w:bottom w:val="none" w:sz="0" w:space="0" w:color="auto"/>
        <w:right w:val="none" w:sz="0" w:space="0" w:color="auto"/>
      </w:divBdr>
    </w:div>
    <w:div w:id="1209220525">
      <w:bodyDiv w:val="1"/>
      <w:marLeft w:val="0"/>
      <w:marRight w:val="0"/>
      <w:marTop w:val="0"/>
      <w:marBottom w:val="0"/>
      <w:divBdr>
        <w:top w:val="none" w:sz="0" w:space="0" w:color="auto"/>
        <w:left w:val="none" w:sz="0" w:space="0" w:color="auto"/>
        <w:bottom w:val="none" w:sz="0" w:space="0" w:color="auto"/>
        <w:right w:val="none" w:sz="0" w:space="0" w:color="auto"/>
      </w:divBdr>
    </w:div>
    <w:div w:id="1296372145">
      <w:bodyDiv w:val="1"/>
      <w:marLeft w:val="0"/>
      <w:marRight w:val="0"/>
      <w:marTop w:val="0"/>
      <w:marBottom w:val="0"/>
      <w:divBdr>
        <w:top w:val="none" w:sz="0" w:space="0" w:color="auto"/>
        <w:left w:val="none" w:sz="0" w:space="0" w:color="auto"/>
        <w:bottom w:val="none" w:sz="0" w:space="0" w:color="auto"/>
        <w:right w:val="none" w:sz="0" w:space="0" w:color="auto"/>
      </w:divBdr>
    </w:div>
    <w:div w:id="1321272185">
      <w:bodyDiv w:val="1"/>
      <w:marLeft w:val="0"/>
      <w:marRight w:val="0"/>
      <w:marTop w:val="0"/>
      <w:marBottom w:val="0"/>
      <w:divBdr>
        <w:top w:val="none" w:sz="0" w:space="0" w:color="auto"/>
        <w:left w:val="none" w:sz="0" w:space="0" w:color="auto"/>
        <w:bottom w:val="none" w:sz="0" w:space="0" w:color="auto"/>
        <w:right w:val="none" w:sz="0" w:space="0" w:color="auto"/>
      </w:divBdr>
    </w:div>
    <w:div w:id="1347827839">
      <w:bodyDiv w:val="1"/>
      <w:marLeft w:val="0"/>
      <w:marRight w:val="0"/>
      <w:marTop w:val="0"/>
      <w:marBottom w:val="0"/>
      <w:divBdr>
        <w:top w:val="none" w:sz="0" w:space="0" w:color="auto"/>
        <w:left w:val="none" w:sz="0" w:space="0" w:color="auto"/>
        <w:bottom w:val="none" w:sz="0" w:space="0" w:color="auto"/>
        <w:right w:val="none" w:sz="0" w:space="0" w:color="auto"/>
      </w:divBdr>
    </w:div>
    <w:div w:id="1359694036">
      <w:bodyDiv w:val="1"/>
      <w:marLeft w:val="0"/>
      <w:marRight w:val="0"/>
      <w:marTop w:val="0"/>
      <w:marBottom w:val="0"/>
      <w:divBdr>
        <w:top w:val="none" w:sz="0" w:space="0" w:color="auto"/>
        <w:left w:val="none" w:sz="0" w:space="0" w:color="auto"/>
        <w:bottom w:val="none" w:sz="0" w:space="0" w:color="auto"/>
        <w:right w:val="none" w:sz="0" w:space="0" w:color="auto"/>
      </w:divBdr>
    </w:div>
    <w:div w:id="1454009846">
      <w:bodyDiv w:val="1"/>
      <w:marLeft w:val="0"/>
      <w:marRight w:val="0"/>
      <w:marTop w:val="0"/>
      <w:marBottom w:val="0"/>
      <w:divBdr>
        <w:top w:val="none" w:sz="0" w:space="0" w:color="auto"/>
        <w:left w:val="none" w:sz="0" w:space="0" w:color="auto"/>
        <w:bottom w:val="none" w:sz="0" w:space="0" w:color="auto"/>
        <w:right w:val="none" w:sz="0" w:space="0" w:color="auto"/>
      </w:divBdr>
    </w:div>
    <w:div w:id="1465734805">
      <w:bodyDiv w:val="1"/>
      <w:marLeft w:val="0"/>
      <w:marRight w:val="0"/>
      <w:marTop w:val="0"/>
      <w:marBottom w:val="0"/>
      <w:divBdr>
        <w:top w:val="none" w:sz="0" w:space="0" w:color="auto"/>
        <w:left w:val="none" w:sz="0" w:space="0" w:color="auto"/>
        <w:bottom w:val="none" w:sz="0" w:space="0" w:color="auto"/>
        <w:right w:val="none" w:sz="0" w:space="0" w:color="auto"/>
      </w:divBdr>
    </w:div>
    <w:div w:id="1476800940">
      <w:bodyDiv w:val="1"/>
      <w:marLeft w:val="0"/>
      <w:marRight w:val="0"/>
      <w:marTop w:val="0"/>
      <w:marBottom w:val="0"/>
      <w:divBdr>
        <w:top w:val="none" w:sz="0" w:space="0" w:color="auto"/>
        <w:left w:val="none" w:sz="0" w:space="0" w:color="auto"/>
        <w:bottom w:val="none" w:sz="0" w:space="0" w:color="auto"/>
        <w:right w:val="none" w:sz="0" w:space="0" w:color="auto"/>
      </w:divBdr>
    </w:div>
    <w:div w:id="1694959216">
      <w:bodyDiv w:val="1"/>
      <w:marLeft w:val="0"/>
      <w:marRight w:val="0"/>
      <w:marTop w:val="0"/>
      <w:marBottom w:val="0"/>
      <w:divBdr>
        <w:top w:val="none" w:sz="0" w:space="0" w:color="auto"/>
        <w:left w:val="none" w:sz="0" w:space="0" w:color="auto"/>
        <w:bottom w:val="none" w:sz="0" w:space="0" w:color="auto"/>
        <w:right w:val="none" w:sz="0" w:space="0" w:color="auto"/>
      </w:divBdr>
    </w:div>
    <w:div w:id="1814053866">
      <w:bodyDiv w:val="1"/>
      <w:marLeft w:val="0"/>
      <w:marRight w:val="0"/>
      <w:marTop w:val="0"/>
      <w:marBottom w:val="0"/>
      <w:divBdr>
        <w:top w:val="none" w:sz="0" w:space="0" w:color="auto"/>
        <w:left w:val="none" w:sz="0" w:space="0" w:color="auto"/>
        <w:bottom w:val="none" w:sz="0" w:space="0" w:color="auto"/>
        <w:right w:val="none" w:sz="0" w:space="0" w:color="auto"/>
      </w:divBdr>
    </w:div>
    <w:div w:id="1855725833">
      <w:bodyDiv w:val="1"/>
      <w:marLeft w:val="0"/>
      <w:marRight w:val="0"/>
      <w:marTop w:val="0"/>
      <w:marBottom w:val="0"/>
      <w:divBdr>
        <w:top w:val="none" w:sz="0" w:space="0" w:color="auto"/>
        <w:left w:val="none" w:sz="0" w:space="0" w:color="auto"/>
        <w:bottom w:val="none" w:sz="0" w:space="0" w:color="auto"/>
        <w:right w:val="none" w:sz="0" w:space="0" w:color="auto"/>
      </w:divBdr>
    </w:div>
    <w:div w:id="1867674968">
      <w:bodyDiv w:val="1"/>
      <w:marLeft w:val="0"/>
      <w:marRight w:val="0"/>
      <w:marTop w:val="0"/>
      <w:marBottom w:val="0"/>
      <w:divBdr>
        <w:top w:val="none" w:sz="0" w:space="0" w:color="auto"/>
        <w:left w:val="none" w:sz="0" w:space="0" w:color="auto"/>
        <w:bottom w:val="none" w:sz="0" w:space="0" w:color="auto"/>
        <w:right w:val="none" w:sz="0" w:space="0" w:color="auto"/>
      </w:divBdr>
    </w:div>
    <w:div w:id="1880164983">
      <w:bodyDiv w:val="1"/>
      <w:marLeft w:val="0"/>
      <w:marRight w:val="0"/>
      <w:marTop w:val="0"/>
      <w:marBottom w:val="0"/>
      <w:divBdr>
        <w:top w:val="none" w:sz="0" w:space="0" w:color="auto"/>
        <w:left w:val="none" w:sz="0" w:space="0" w:color="auto"/>
        <w:bottom w:val="none" w:sz="0" w:space="0" w:color="auto"/>
        <w:right w:val="none" w:sz="0" w:space="0" w:color="auto"/>
      </w:divBdr>
    </w:div>
    <w:div w:id="1966504136">
      <w:bodyDiv w:val="1"/>
      <w:marLeft w:val="0"/>
      <w:marRight w:val="0"/>
      <w:marTop w:val="0"/>
      <w:marBottom w:val="0"/>
      <w:divBdr>
        <w:top w:val="none" w:sz="0" w:space="0" w:color="auto"/>
        <w:left w:val="none" w:sz="0" w:space="0" w:color="auto"/>
        <w:bottom w:val="none" w:sz="0" w:space="0" w:color="auto"/>
        <w:right w:val="none" w:sz="0" w:space="0" w:color="auto"/>
      </w:divBdr>
    </w:div>
    <w:div w:id="1987970310">
      <w:bodyDiv w:val="1"/>
      <w:marLeft w:val="0"/>
      <w:marRight w:val="0"/>
      <w:marTop w:val="0"/>
      <w:marBottom w:val="0"/>
      <w:divBdr>
        <w:top w:val="none" w:sz="0" w:space="0" w:color="auto"/>
        <w:left w:val="none" w:sz="0" w:space="0" w:color="auto"/>
        <w:bottom w:val="none" w:sz="0" w:space="0" w:color="auto"/>
        <w:right w:val="none" w:sz="0" w:space="0" w:color="auto"/>
      </w:divBdr>
      <w:divsChild>
        <w:div w:id="618687061">
          <w:marLeft w:val="0"/>
          <w:marRight w:val="0"/>
          <w:marTop w:val="0"/>
          <w:marBottom w:val="0"/>
          <w:divBdr>
            <w:top w:val="none" w:sz="0" w:space="0" w:color="auto"/>
            <w:left w:val="none" w:sz="0" w:space="0" w:color="auto"/>
            <w:bottom w:val="none" w:sz="0" w:space="0" w:color="auto"/>
            <w:right w:val="none" w:sz="0" w:space="0" w:color="auto"/>
          </w:divBdr>
          <w:divsChild>
            <w:div w:id="853688028">
              <w:marLeft w:val="0"/>
              <w:marRight w:val="0"/>
              <w:marTop w:val="0"/>
              <w:marBottom w:val="0"/>
              <w:divBdr>
                <w:top w:val="none" w:sz="0" w:space="0" w:color="auto"/>
                <w:left w:val="none" w:sz="0" w:space="0" w:color="auto"/>
                <w:bottom w:val="none" w:sz="0" w:space="0" w:color="auto"/>
                <w:right w:val="none" w:sz="0" w:space="0" w:color="auto"/>
              </w:divBdr>
              <w:divsChild>
                <w:div w:id="1079211865">
                  <w:marLeft w:val="0"/>
                  <w:marRight w:val="0"/>
                  <w:marTop w:val="0"/>
                  <w:marBottom w:val="0"/>
                  <w:divBdr>
                    <w:top w:val="none" w:sz="0" w:space="0" w:color="auto"/>
                    <w:left w:val="none" w:sz="0" w:space="0" w:color="auto"/>
                    <w:bottom w:val="none" w:sz="0" w:space="0" w:color="auto"/>
                    <w:right w:val="none" w:sz="0" w:space="0" w:color="auto"/>
                  </w:divBdr>
                  <w:divsChild>
                    <w:div w:id="1507013387">
                      <w:marLeft w:val="0"/>
                      <w:marRight w:val="0"/>
                      <w:marTop w:val="0"/>
                      <w:marBottom w:val="0"/>
                      <w:divBdr>
                        <w:top w:val="none" w:sz="0" w:space="0" w:color="auto"/>
                        <w:left w:val="none" w:sz="0" w:space="0" w:color="auto"/>
                        <w:bottom w:val="none" w:sz="0" w:space="0" w:color="auto"/>
                        <w:right w:val="none" w:sz="0" w:space="0" w:color="auto"/>
                      </w:divBdr>
                      <w:divsChild>
                        <w:div w:id="50617876">
                          <w:marLeft w:val="0"/>
                          <w:marRight w:val="2"/>
                          <w:marTop w:val="0"/>
                          <w:marBottom w:val="30"/>
                          <w:divBdr>
                            <w:top w:val="none" w:sz="0" w:space="0" w:color="auto"/>
                            <w:left w:val="none" w:sz="0" w:space="0" w:color="auto"/>
                            <w:bottom w:val="none" w:sz="0" w:space="0" w:color="auto"/>
                            <w:right w:val="none" w:sz="0" w:space="0" w:color="auto"/>
                          </w:divBdr>
                          <w:divsChild>
                            <w:div w:id="866910929">
                              <w:marLeft w:val="0"/>
                              <w:marRight w:val="225"/>
                              <w:marTop w:val="0"/>
                              <w:marBottom w:val="0"/>
                              <w:divBdr>
                                <w:top w:val="none" w:sz="0" w:space="0" w:color="auto"/>
                                <w:left w:val="none" w:sz="0" w:space="0" w:color="auto"/>
                                <w:bottom w:val="none" w:sz="0" w:space="0" w:color="auto"/>
                                <w:right w:val="none" w:sz="0" w:space="0" w:color="auto"/>
                              </w:divBdr>
                              <w:divsChild>
                                <w:div w:id="7631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551130">
      <w:bodyDiv w:val="1"/>
      <w:marLeft w:val="0"/>
      <w:marRight w:val="0"/>
      <w:marTop w:val="0"/>
      <w:marBottom w:val="0"/>
      <w:divBdr>
        <w:top w:val="none" w:sz="0" w:space="0" w:color="auto"/>
        <w:left w:val="none" w:sz="0" w:space="0" w:color="auto"/>
        <w:bottom w:val="none" w:sz="0" w:space="0" w:color="auto"/>
        <w:right w:val="none" w:sz="0" w:space="0" w:color="auto"/>
      </w:divBdr>
    </w:div>
    <w:div w:id="2027365216">
      <w:bodyDiv w:val="1"/>
      <w:marLeft w:val="0"/>
      <w:marRight w:val="0"/>
      <w:marTop w:val="0"/>
      <w:marBottom w:val="0"/>
      <w:divBdr>
        <w:top w:val="none" w:sz="0" w:space="0" w:color="auto"/>
        <w:left w:val="none" w:sz="0" w:space="0" w:color="auto"/>
        <w:bottom w:val="none" w:sz="0" w:space="0" w:color="auto"/>
        <w:right w:val="none" w:sz="0" w:space="0" w:color="auto"/>
      </w:divBdr>
    </w:div>
    <w:div w:id="207450501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83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2975-4ED9-4BD9-A3F9-B20FFE3D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4429</Words>
  <Characters>25248</Characters>
  <Application>Microsoft Office Word</Application>
  <DocSecurity>0</DocSecurity>
  <Lines>210</Lines>
  <Paragraphs>59</Paragraphs>
  <ScaleCrop>false</ScaleCrop>
  <LinksUpToDate>false</LinksUpToDate>
  <CharactersWithSpaces>29618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2019-04-09T07:03:00Z</dcterms:created>
  <dcterms:modified xsi:type="dcterms:W3CDTF">2019-04-09T07:03:00Z</dcterms:modified>
</cp:coreProperties>
</file>