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BF4552" w:rsidRDefault="00BF39C8" w:rsidP="00BF39C8">
      <w:pPr>
        <w:pStyle w:val="af3"/>
        <w:rPr>
          <w:rFonts w:hAnsi="標楷體"/>
        </w:rPr>
      </w:pPr>
      <w:r w:rsidRPr="00BF4552">
        <w:rPr>
          <w:rFonts w:hAnsi="標楷體" w:hint="eastAsia"/>
        </w:rPr>
        <w:t>調查</w:t>
      </w:r>
      <w:r w:rsidR="006601AB" w:rsidRPr="00BF4552">
        <w:rPr>
          <w:rFonts w:hAnsi="標楷體" w:hint="eastAsia"/>
        </w:rPr>
        <w:t>報告</w:t>
      </w:r>
    </w:p>
    <w:p w:rsidR="00E25849" w:rsidRPr="00BF4552" w:rsidRDefault="00E25849" w:rsidP="009D28B5">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54528041"/>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494985655"/>
      <w:r w:rsidRPr="00BF455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7F45D2" w:rsidRPr="00BF4552">
        <w:t>據訴，</w:t>
      </w:r>
      <w:r w:rsidR="007F45D2" w:rsidRPr="00BF4552">
        <w:rPr>
          <w:rFonts w:hAnsi="標楷體" w:hint="eastAsia"/>
        </w:rPr>
        <w:t>渠等未於規定期限內升等，遭國立臺北科技大學不予續聘，雖經教育部訴願決定不續聘處分撤銷；然該校認為依據大學法第19條規定</w:t>
      </w:r>
      <w:r w:rsidR="007F45D2" w:rsidRPr="00BF4552">
        <w:t>，</w:t>
      </w:r>
      <w:r w:rsidR="007F45D2" w:rsidRPr="00BF4552">
        <w:rPr>
          <w:rFonts w:hint="eastAsia"/>
        </w:rPr>
        <w:t>該校得</w:t>
      </w:r>
      <w:r w:rsidR="007F45D2" w:rsidRPr="00BF4552">
        <w:t>基於學術研究發展需要另定教師權利義務規定</w:t>
      </w:r>
      <w:r w:rsidR="007F45D2" w:rsidRPr="00BF4552">
        <w:rPr>
          <w:rFonts w:hint="eastAsia"/>
        </w:rPr>
        <w:t>。該校</w:t>
      </w:r>
      <w:r w:rsidR="007F45D2" w:rsidRPr="00BF4552">
        <w:rPr>
          <w:rFonts w:hAnsi="標楷體" w:hint="eastAsia"/>
        </w:rPr>
        <w:t>於學校章則列有教師權利義務，該師未符相關規定。究大學法第19條與教師法第14條之法律關係為何？相關問題均有深入探究之必要案。</w:t>
      </w:r>
      <w:bookmarkEnd w:id="25"/>
    </w:p>
    <w:p w:rsidR="006E7157" w:rsidRPr="00BF4552" w:rsidRDefault="00DF1E56" w:rsidP="006E7157">
      <w:pPr>
        <w:pStyle w:val="1"/>
      </w:pPr>
      <w:bookmarkStart w:id="26" w:name="_Toc494985678"/>
      <w:bookmarkStart w:id="27" w:name="_Toc525070834"/>
      <w:bookmarkStart w:id="28" w:name="_Toc525938374"/>
      <w:bookmarkStart w:id="29" w:name="_Toc525939222"/>
      <w:bookmarkStart w:id="30" w:name="_Toc525939727"/>
      <w:bookmarkStart w:id="31" w:name="_Toc525066144"/>
      <w:bookmarkStart w:id="32" w:name="_Toc524892372"/>
      <w:r w:rsidRPr="00BF4552">
        <w:rPr>
          <w:rFonts w:hint="eastAsia"/>
        </w:rPr>
        <w:t>調查意見</w:t>
      </w:r>
      <w:bookmarkEnd w:id="26"/>
    </w:p>
    <w:p w:rsidR="00E57CF8" w:rsidRPr="00BF4552" w:rsidRDefault="0085071F" w:rsidP="00DF1E56">
      <w:pPr>
        <w:pStyle w:val="2"/>
        <w:overflowPunct/>
        <w:autoSpaceDE/>
        <w:autoSpaceDN/>
        <w:ind w:left="1020" w:hanging="680"/>
        <w:rPr>
          <w:b/>
        </w:rPr>
      </w:pPr>
      <w:bookmarkStart w:id="33" w:name="_Toc494985679"/>
      <w:r w:rsidRPr="00BF4552">
        <w:rPr>
          <w:rFonts w:hint="eastAsia"/>
          <w:b/>
        </w:rPr>
        <w:t>大學法第19條與教師法第14條</w:t>
      </w:r>
      <w:r w:rsidR="00D77F78" w:rsidRPr="00BF4552">
        <w:rPr>
          <w:rFonts w:hint="eastAsia"/>
          <w:b/>
        </w:rPr>
        <w:t>第1項</w:t>
      </w:r>
      <w:r w:rsidR="00A84C4B" w:rsidRPr="00BF4552">
        <w:rPr>
          <w:rFonts w:hint="eastAsia"/>
          <w:b/>
        </w:rPr>
        <w:t>第14款</w:t>
      </w:r>
      <w:r w:rsidR="00D77F78" w:rsidRPr="00BF4552">
        <w:rPr>
          <w:rFonts w:hint="eastAsia"/>
          <w:b/>
        </w:rPr>
        <w:t>及第14條之1</w:t>
      </w:r>
      <w:r w:rsidRPr="00BF4552">
        <w:rPr>
          <w:rFonts w:hint="eastAsia"/>
          <w:b/>
        </w:rPr>
        <w:t>規定間之</w:t>
      </w:r>
      <w:r w:rsidR="00D77F78" w:rsidRPr="00BF4552">
        <w:rPr>
          <w:rFonts w:hint="eastAsia"/>
          <w:b/>
        </w:rPr>
        <w:t>法條競合</w:t>
      </w:r>
      <w:r w:rsidR="00D77F78" w:rsidRPr="00BF4552">
        <w:rPr>
          <w:rFonts w:cs="標楷體" w:hint="eastAsia"/>
          <w:b/>
          <w:kern w:val="0"/>
          <w:szCs w:val="32"/>
          <w:lang w:val="zh-TW"/>
        </w:rPr>
        <w:t>爭議</w:t>
      </w:r>
      <w:r w:rsidRPr="00BF4552">
        <w:rPr>
          <w:rFonts w:hint="eastAsia"/>
          <w:b/>
        </w:rPr>
        <w:t>，教育部</w:t>
      </w:r>
      <w:r w:rsidR="00DA5895" w:rsidRPr="00BF4552">
        <w:rPr>
          <w:rFonts w:hint="eastAsia"/>
          <w:b/>
        </w:rPr>
        <w:t>雖</w:t>
      </w:r>
      <w:r w:rsidR="00D77F78" w:rsidRPr="00BF4552">
        <w:rPr>
          <w:rFonts w:hint="eastAsia"/>
          <w:b/>
        </w:rPr>
        <w:t>已多次</w:t>
      </w:r>
      <w:r w:rsidR="00DA5895" w:rsidRPr="00BF4552">
        <w:rPr>
          <w:rFonts w:hint="eastAsia"/>
          <w:b/>
        </w:rPr>
        <w:t>召集相關會議研商</w:t>
      </w:r>
      <w:r w:rsidR="00872BA0" w:rsidRPr="00BF4552">
        <w:rPr>
          <w:rFonts w:hint="eastAsia"/>
          <w:b/>
        </w:rPr>
        <w:t>解決之道</w:t>
      </w:r>
      <w:r w:rsidR="00DA5895" w:rsidRPr="00BF4552">
        <w:rPr>
          <w:rFonts w:hint="eastAsia"/>
          <w:b/>
        </w:rPr>
        <w:t>，</w:t>
      </w:r>
      <w:r w:rsidR="00B03A5E" w:rsidRPr="00BF4552">
        <w:rPr>
          <w:rFonts w:hint="eastAsia"/>
          <w:b/>
        </w:rPr>
        <w:t>惟</w:t>
      </w:r>
      <w:r w:rsidR="00DA5895" w:rsidRPr="00BF4552">
        <w:rPr>
          <w:rFonts w:hint="eastAsia"/>
          <w:b/>
        </w:rPr>
        <w:t>仍乏積極之具體因應作為與配套措施，</w:t>
      </w:r>
      <w:r w:rsidR="00CF1631" w:rsidRPr="00BF4552">
        <w:rPr>
          <w:rFonts w:hint="eastAsia"/>
          <w:b/>
        </w:rPr>
        <w:t>以協助大學</w:t>
      </w:r>
      <w:r w:rsidR="00B54630" w:rsidRPr="00BF4552">
        <w:rPr>
          <w:rFonts w:hint="eastAsia"/>
          <w:b/>
        </w:rPr>
        <w:t>處理</w:t>
      </w:r>
      <w:r w:rsidR="00B54630" w:rsidRPr="00BF4552">
        <w:rPr>
          <w:rFonts w:cs="標楷體" w:hint="eastAsia"/>
          <w:b/>
          <w:kern w:val="0"/>
          <w:szCs w:val="32"/>
          <w:lang w:val="zh-TW"/>
        </w:rPr>
        <w:t>停聘或不續聘個案之法條適用問題，</w:t>
      </w:r>
      <w:r w:rsidR="00DA5895" w:rsidRPr="00BF4552">
        <w:rPr>
          <w:rFonts w:hint="eastAsia"/>
          <w:b/>
        </w:rPr>
        <w:t>核有不當</w:t>
      </w:r>
      <w:r w:rsidR="002460C7" w:rsidRPr="00BF4552">
        <w:rPr>
          <w:rFonts w:hAnsi="標楷體" w:hint="eastAsia"/>
          <w:b/>
        </w:rPr>
        <w:t>。</w:t>
      </w:r>
      <w:bookmarkEnd w:id="33"/>
    </w:p>
    <w:p w:rsidR="00FA60BD" w:rsidRPr="00BF4552" w:rsidRDefault="00FA60BD" w:rsidP="003663C6">
      <w:pPr>
        <w:pStyle w:val="3"/>
      </w:pPr>
      <w:r w:rsidRPr="00BF4552">
        <w:rPr>
          <w:rFonts w:hint="eastAsia"/>
        </w:rPr>
        <w:t>教師不續聘之法令依據及其立法目的</w:t>
      </w:r>
      <w:r w:rsidR="001B40DB" w:rsidRPr="00BF4552">
        <w:rPr>
          <w:rFonts w:hAnsi="標楷體" w:hint="eastAsia"/>
        </w:rPr>
        <w:t>：</w:t>
      </w:r>
    </w:p>
    <w:p w:rsidR="00FA60BD" w:rsidRPr="00BF4552" w:rsidRDefault="00FA60BD" w:rsidP="00DF2AE9">
      <w:pPr>
        <w:pStyle w:val="4"/>
        <w:rPr>
          <w:bCs/>
          <w:color w:val="auto"/>
        </w:rPr>
      </w:pPr>
      <w:r w:rsidRPr="00BF4552">
        <w:rPr>
          <w:rFonts w:hint="eastAsia"/>
          <w:color w:val="auto"/>
        </w:rPr>
        <w:t>教師法：</w:t>
      </w:r>
    </w:p>
    <w:p w:rsidR="00FA60BD" w:rsidRPr="00BF4552" w:rsidRDefault="00FA60BD" w:rsidP="00441162">
      <w:pPr>
        <w:pStyle w:val="5"/>
        <w:rPr>
          <w:color w:val="auto"/>
        </w:rPr>
      </w:pPr>
      <w:r w:rsidRPr="00BF4552">
        <w:rPr>
          <w:rFonts w:hint="eastAsia"/>
          <w:color w:val="auto"/>
        </w:rPr>
        <w:t>第14條第1項規定：「教師聘任後除有下列各款之一者外，不得解聘、停聘或不續聘：……13、行為違反相關法令，經有關機關查證屬實。14、教學不力或不能勝任工作有具體事實；或違反聘約情節重大。</w:t>
      </w:r>
      <w:r w:rsidR="002460C7" w:rsidRPr="00BF4552">
        <w:rPr>
          <w:rFonts w:hAnsi="標楷體" w:hint="eastAsia"/>
          <w:color w:val="auto"/>
        </w:rPr>
        <w:t>」</w:t>
      </w:r>
      <w:r w:rsidR="002460C7" w:rsidRPr="00BF4552">
        <w:rPr>
          <w:rFonts w:hint="eastAsia"/>
          <w:color w:val="auto"/>
        </w:rPr>
        <w:t>及</w:t>
      </w:r>
      <w:r w:rsidRPr="00BF4552">
        <w:rPr>
          <w:rFonts w:hint="eastAsia"/>
          <w:color w:val="auto"/>
        </w:rPr>
        <w:t>第2項</w:t>
      </w:r>
      <w:r w:rsidR="002460C7" w:rsidRPr="00BF4552">
        <w:rPr>
          <w:rFonts w:hint="eastAsia"/>
          <w:color w:val="auto"/>
        </w:rPr>
        <w:t>規定</w:t>
      </w:r>
      <w:r w:rsidR="002460C7" w:rsidRPr="00BF4552">
        <w:rPr>
          <w:rFonts w:hAnsi="標楷體" w:hint="eastAsia"/>
          <w:color w:val="auto"/>
        </w:rPr>
        <w:t>：「</w:t>
      </w:r>
      <w:r w:rsidRPr="00BF4552">
        <w:rPr>
          <w:rFonts w:hint="eastAsia"/>
          <w:color w:val="auto"/>
        </w:rPr>
        <w:t>教師有前項第12款至第14款規定情事之一者，應經教師評審委員會</w:t>
      </w:r>
      <w:r w:rsidR="002460C7" w:rsidRPr="00BF4552">
        <w:rPr>
          <w:rFonts w:hint="eastAsia"/>
          <w:color w:val="auto"/>
        </w:rPr>
        <w:t>(下稱教評會)</w:t>
      </w:r>
      <w:r w:rsidRPr="00BF4552">
        <w:rPr>
          <w:rFonts w:hint="eastAsia"/>
          <w:color w:val="auto"/>
        </w:rPr>
        <w:t>委員3分之2以上出席及出席委員3分之2以上之審議通過……。」</w:t>
      </w:r>
    </w:p>
    <w:p w:rsidR="00FA60BD" w:rsidRPr="00BF4552" w:rsidRDefault="00FA60BD" w:rsidP="00441162">
      <w:pPr>
        <w:pStyle w:val="5"/>
        <w:rPr>
          <w:color w:val="auto"/>
        </w:rPr>
      </w:pPr>
      <w:r w:rsidRPr="00BF4552">
        <w:rPr>
          <w:rFonts w:hint="eastAsia"/>
          <w:color w:val="auto"/>
        </w:rPr>
        <w:t>第14條之1第2項規定：「教師解聘、停聘或不續聘案於主管教育行政機關核准前，其聘約期限屆滿者，學校應予暫時繼續聘任</w:t>
      </w:r>
      <w:r w:rsidR="002460C7" w:rsidRPr="00BF4552">
        <w:rPr>
          <w:rFonts w:hint="eastAsia"/>
          <w:color w:val="auto"/>
        </w:rPr>
        <w:t>。</w:t>
      </w:r>
      <w:r w:rsidRPr="00BF4552">
        <w:rPr>
          <w:rFonts w:hint="eastAsia"/>
          <w:color w:val="auto"/>
        </w:rPr>
        <w:t>」</w:t>
      </w:r>
    </w:p>
    <w:p w:rsidR="00FA60BD" w:rsidRPr="00BF4552" w:rsidRDefault="00FA60BD" w:rsidP="00441162">
      <w:pPr>
        <w:pStyle w:val="5"/>
        <w:rPr>
          <w:color w:val="auto"/>
        </w:rPr>
      </w:pPr>
      <w:r w:rsidRPr="00BF4552">
        <w:rPr>
          <w:rFonts w:hint="eastAsia"/>
          <w:color w:val="auto"/>
          <w:lang w:val="zh-TW"/>
        </w:rPr>
        <w:t>詢據教育部表示，教師法第</w:t>
      </w:r>
      <w:r w:rsidRPr="00BF4552">
        <w:rPr>
          <w:color w:val="auto"/>
          <w:lang w:val="zh-TW"/>
        </w:rPr>
        <w:t>14</w:t>
      </w:r>
      <w:r w:rsidRPr="00BF4552">
        <w:rPr>
          <w:rFonts w:hint="eastAsia"/>
          <w:color w:val="auto"/>
          <w:lang w:val="zh-TW"/>
        </w:rPr>
        <w:t>條立法目的係該條</w:t>
      </w:r>
      <w:r w:rsidRPr="00BF4552">
        <w:rPr>
          <w:rFonts w:hint="eastAsia"/>
          <w:color w:val="auto"/>
          <w:lang w:val="zh-TW"/>
        </w:rPr>
        <w:lastRenderedPageBreak/>
        <w:t>規定不得聘任為教師及解聘、停聘或不續聘之條件，以保障教師工作權</w:t>
      </w:r>
      <w:r w:rsidR="002460C7" w:rsidRPr="00BF4552">
        <w:rPr>
          <w:rFonts w:hAnsi="標楷體" w:hint="eastAsia"/>
          <w:color w:val="auto"/>
          <w:lang w:val="zh-TW"/>
        </w:rPr>
        <w:t>；</w:t>
      </w:r>
      <w:r w:rsidRPr="00BF4552">
        <w:rPr>
          <w:rFonts w:hint="eastAsia"/>
          <w:color w:val="auto"/>
          <w:lang w:val="zh-TW"/>
        </w:rPr>
        <w:t>教師是否有教師法第</w:t>
      </w:r>
      <w:r w:rsidRPr="00BF4552">
        <w:rPr>
          <w:color w:val="auto"/>
          <w:lang w:val="zh-TW"/>
        </w:rPr>
        <w:t>14</w:t>
      </w:r>
      <w:r w:rsidRPr="00BF4552">
        <w:rPr>
          <w:rFonts w:hint="eastAsia"/>
          <w:color w:val="auto"/>
          <w:lang w:val="zh-TW"/>
        </w:rPr>
        <w:t>條第</w:t>
      </w:r>
      <w:r w:rsidRPr="00BF4552">
        <w:rPr>
          <w:color w:val="auto"/>
          <w:lang w:val="zh-TW"/>
        </w:rPr>
        <w:t>1</w:t>
      </w:r>
      <w:r w:rsidRPr="00BF4552">
        <w:rPr>
          <w:rFonts w:hint="eastAsia"/>
          <w:color w:val="auto"/>
          <w:lang w:val="zh-TW"/>
        </w:rPr>
        <w:t>項第</w:t>
      </w:r>
      <w:r w:rsidRPr="00BF4552">
        <w:rPr>
          <w:color w:val="auto"/>
          <w:lang w:val="zh-TW"/>
        </w:rPr>
        <w:t>14</w:t>
      </w:r>
      <w:r w:rsidRPr="00BF4552">
        <w:rPr>
          <w:rFonts w:hint="eastAsia"/>
          <w:color w:val="auto"/>
          <w:lang w:val="zh-TW"/>
        </w:rPr>
        <w:t>款所定之情事，應由學校教評會審酌認定。</w:t>
      </w:r>
      <w:r w:rsidR="002460C7" w:rsidRPr="00BF4552">
        <w:rPr>
          <w:rFonts w:hint="eastAsia"/>
          <w:color w:val="auto"/>
        </w:rPr>
        <w:t>又大學法第19條明定除依教師法規定外，得基於學術研究發展需要，另定教師停聘或不續聘之規定。</w:t>
      </w:r>
    </w:p>
    <w:p w:rsidR="00FA60BD" w:rsidRPr="00BF4552" w:rsidRDefault="00FA60BD" w:rsidP="00DF2AE9">
      <w:pPr>
        <w:pStyle w:val="4"/>
        <w:rPr>
          <w:color w:val="auto"/>
        </w:rPr>
      </w:pPr>
      <w:r w:rsidRPr="00BF4552">
        <w:rPr>
          <w:rFonts w:hint="eastAsia"/>
          <w:color w:val="auto"/>
        </w:rPr>
        <w:t>大學法：</w:t>
      </w:r>
    </w:p>
    <w:p w:rsidR="00FA60BD" w:rsidRPr="00BF4552" w:rsidRDefault="00FA60BD" w:rsidP="00441162">
      <w:pPr>
        <w:pStyle w:val="5"/>
        <w:rPr>
          <w:color w:val="auto"/>
        </w:rPr>
      </w:pPr>
      <w:r w:rsidRPr="00BF4552">
        <w:rPr>
          <w:rFonts w:hint="eastAsia"/>
          <w:color w:val="auto"/>
        </w:rPr>
        <w:t>大學法第1條第2項規定，大學應受學術自由之保障，並在法律規定範圍內，享有自治權。</w:t>
      </w:r>
    </w:p>
    <w:p w:rsidR="00FA60BD" w:rsidRPr="00BF4552" w:rsidRDefault="00FA60BD" w:rsidP="00441162">
      <w:pPr>
        <w:pStyle w:val="5"/>
        <w:rPr>
          <w:color w:val="auto"/>
        </w:rPr>
      </w:pPr>
      <w:r w:rsidRPr="00BF4552">
        <w:rPr>
          <w:rFonts w:hint="eastAsia"/>
          <w:color w:val="auto"/>
        </w:rPr>
        <w:t>第19條規定：「大學除依教師法規定外，得於學校章則中增列教師權利義務，並得基於學術研究發展需要，另定教師停聘或不續聘之規定，經校務會議審議通過後實施，並納入聘約。」</w:t>
      </w:r>
    </w:p>
    <w:p w:rsidR="00FA60BD" w:rsidRPr="00BF4552" w:rsidRDefault="00FA60BD" w:rsidP="00441162">
      <w:pPr>
        <w:pStyle w:val="5"/>
        <w:rPr>
          <w:color w:val="auto"/>
        </w:rPr>
      </w:pPr>
      <w:r w:rsidRPr="00BF4552">
        <w:rPr>
          <w:rFonts w:hint="eastAsia"/>
          <w:color w:val="auto"/>
        </w:rPr>
        <w:t>第20條規定：「大學教師之聘任、升等、停聘、解聘、不續聘及資遣原因之認定等事項，應經教師評審委員會審議。學校教師評審委員會之分級、組成方式及運作規定，經校務會議審議通過後實施。」</w:t>
      </w:r>
    </w:p>
    <w:p w:rsidR="00FA60BD" w:rsidRPr="00BF4552" w:rsidRDefault="00FA60BD" w:rsidP="00441162">
      <w:pPr>
        <w:pStyle w:val="5"/>
        <w:rPr>
          <w:rFonts w:hAnsi="標楷體"/>
          <w:color w:val="auto"/>
        </w:rPr>
      </w:pPr>
      <w:r w:rsidRPr="00BF4552">
        <w:rPr>
          <w:rFonts w:hint="eastAsia"/>
          <w:color w:val="auto"/>
          <w:lang w:val="zh-TW"/>
        </w:rPr>
        <w:t>詢據教育部，大學法第</w:t>
      </w:r>
      <w:r w:rsidRPr="00BF4552">
        <w:rPr>
          <w:color w:val="auto"/>
          <w:lang w:val="zh-TW"/>
        </w:rPr>
        <w:t>19</w:t>
      </w:r>
      <w:r w:rsidRPr="00BF4552">
        <w:rPr>
          <w:rFonts w:hint="eastAsia"/>
          <w:color w:val="auto"/>
          <w:lang w:val="zh-TW"/>
        </w:rPr>
        <w:t>條於</w:t>
      </w:r>
      <w:r w:rsidRPr="00BF4552">
        <w:rPr>
          <w:color w:val="auto"/>
          <w:lang w:val="zh-TW"/>
        </w:rPr>
        <w:t>94</w:t>
      </w:r>
      <w:r w:rsidRPr="00BF4552">
        <w:rPr>
          <w:rFonts w:hint="eastAsia"/>
          <w:color w:val="auto"/>
          <w:lang w:val="zh-TW"/>
        </w:rPr>
        <w:t>年</w:t>
      </w:r>
      <w:r w:rsidRPr="00BF4552">
        <w:rPr>
          <w:color w:val="auto"/>
          <w:lang w:val="zh-TW"/>
        </w:rPr>
        <w:t>12</w:t>
      </w:r>
      <w:r w:rsidRPr="00BF4552">
        <w:rPr>
          <w:rFonts w:hint="eastAsia"/>
          <w:color w:val="auto"/>
          <w:lang w:val="zh-TW"/>
        </w:rPr>
        <w:t>月</w:t>
      </w:r>
      <w:r w:rsidRPr="00BF4552">
        <w:rPr>
          <w:color w:val="auto"/>
          <w:lang w:val="zh-TW"/>
        </w:rPr>
        <w:t>13</w:t>
      </w:r>
      <w:r w:rsidRPr="00BF4552">
        <w:rPr>
          <w:rFonts w:hint="eastAsia"/>
          <w:color w:val="auto"/>
          <w:lang w:val="zh-TW"/>
        </w:rPr>
        <w:t>日全文修正迄今尚無任何修正；大學法第</w:t>
      </w:r>
      <w:r w:rsidRPr="00BF4552">
        <w:rPr>
          <w:color w:val="auto"/>
          <w:lang w:val="zh-TW"/>
        </w:rPr>
        <w:t>19</w:t>
      </w:r>
      <w:r w:rsidRPr="00BF4552">
        <w:rPr>
          <w:rFonts w:hint="eastAsia"/>
          <w:color w:val="auto"/>
          <w:lang w:val="zh-TW"/>
        </w:rPr>
        <w:t>條之立法目的為：「大學追求研究發展，大學教師之權利義務本異於一般中小學教師，故有關大學教師之權利義務，除教師法相關規定外，並得於學校章則中增列之，但不得違反大學教學、研究與服務之目的。本於大學追求卓越之要求，對於初聘與續聘之教師，除依教師法規定外，並得於學校章則中</w:t>
      </w:r>
      <w:r w:rsidR="00213DF9" w:rsidRPr="00BF4552">
        <w:rPr>
          <w:rFonts w:hint="eastAsia"/>
          <w:color w:val="auto"/>
          <w:lang w:val="zh-TW"/>
        </w:rPr>
        <w:t>增訂</w:t>
      </w:r>
      <w:r w:rsidRPr="00BF4552">
        <w:rPr>
          <w:rFonts w:hint="eastAsia"/>
          <w:color w:val="auto"/>
          <w:lang w:val="zh-TW"/>
        </w:rPr>
        <w:t>停聘或不續聘之事由及程序。有關之事由與程序，應經各大學校務會議通過。」</w:t>
      </w:r>
      <w:r w:rsidR="00213DF9" w:rsidRPr="00BF4552">
        <w:rPr>
          <w:rFonts w:hint="eastAsia"/>
          <w:color w:val="auto"/>
          <w:lang w:val="zh-TW"/>
        </w:rPr>
        <w:t>有關</w:t>
      </w:r>
      <w:r w:rsidRPr="00BF4552">
        <w:rPr>
          <w:rFonts w:hint="eastAsia"/>
          <w:color w:val="auto"/>
          <w:lang w:val="zh-TW"/>
        </w:rPr>
        <w:t>大學法第19條實務</w:t>
      </w:r>
      <w:r w:rsidR="00213DF9" w:rsidRPr="00BF4552">
        <w:rPr>
          <w:rFonts w:hint="eastAsia"/>
          <w:color w:val="auto"/>
          <w:lang w:val="zh-TW"/>
        </w:rPr>
        <w:t>之</w:t>
      </w:r>
      <w:r w:rsidRPr="00BF4552">
        <w:rPr>
          <w:rFonts w:hint="eastAsia"/>
          <w:color w:val="auto"/>
          <w:lang w:val="zh-TW"/>
        </w:rPr>
        <w:t>認定程序，乃依大學法第</w:t>
      </w:r>
      <w:r w:rsidRPr="00BF4552">
        <w:rPr>
          <w:color w:val="auto"/>
          <w:lang w:val="zh-TW"/>
        </w:rPr>
        <w:t>20</w:t>
      </w:r>
      <w:r w:rsidRPr="00BF4552">
        <w:rPr>
          <w:rFonts w:hint="eastAsia"/>
          <w:color w:val="auto"/>
          <w:lang w:val="zh-TW"/>
        </w:rPr>
        <w:t>條規定，應由學校教師評審委員會審酌認定。基此，</w:t>
      </w:r>
      <w:r w:rsidRPr="00BF4552">
        <w:rPr>
          <w:rFonts w:hint="eastAsia"/>
          <w:color w:val="auto"/>
          <w:lang w:val="zh-TW"/>
        </w:rPr>
        <w:lastRenderedPageBreak/>
        <w:t>大學為追求卓越之要求，即賦予大學得於學校章則</w:t>
      </w:r>
      <w:r w:rsidR="00213DF9" w:rsidRPr="00BF4552">
        <w:rPr>
          <w:rFonts w:hint="eastAsia"/>
          <w:color w:val="auto"/>
          <w:lang w:val="zh-TW"/>
        </w:rPr>
        <w:t>增訂</w:t>
      </w:r>
      <w:r w:rsidRPr="00BF4552">
        <w:rPr>
          <w:rFonts w:hint="eastAsia"/>
          <w:color w:val="auto"/>
          <w:lang w:val="zh-TW"/>
        </w:rPr>
        <w:t>不續聘教師之事由及程序，於法律規定範圍內，自享有自治權；又大學教師之權利義務既異於一般中小學教師，其基於學校研究發展需要所另定之不續聘事由及程序，既經校務會議審議通過，並納入聘約，藉以提升教師之素質及專業能力。</w:t>
      </w:r>
    </w:p>
    <w:p w:rsidR="00B54630" w:rsidRPr="00BF4552" w:rsidRDefault="00FA60BD" w:rsidP="00441162">
      <w:pPr>
        <w:pStyle w:val="5"/>
        <w:rPr>
          <w:color w:val="auto"/>
        </w:rPr>
      </w:pPr>
      <w:r w:rsidRPr="00BF4552">
        <w:rPr>
          <w:rFonts w:hAnsi="標楷體" w:hint="eastAsia"/>
          <w:color w:val="auto"/>
        </w:rPr>
        <w:t>教育部99年</w:t>
      </w:r>
      <w:r w:rsidRPr="00BF4552">
        <w:rPr>
          <w:rFonts w:hint="eastAsia"/>
          <w:color w:val="auto"/>
          <w:lang w:val="zh-TW"/>
        </w:rPr>
        <w:t>7月21日台人</w:t>
      </w:r>
      <w:r w:rsidRPr="00BF4552">
        <w:rPr>
          <w:color w:val="auto"/>
          <w:lang w:val="zh-TW"/>
        </w:rPr>
        <w:t>(</w:t>
      </w:r>
      <w:r w:rsidRPr="00BF4552">
        <w:rPr>
          <w:rFonts w:hint="eastAsia"/>
          <w:color w:val="auto"/>
          <w:lang w:val="zh-TW"/>
        </w:rPr>
        <w:t>二</w:t>
      </w:r>
      <w:r w:rsidRPr="00BF4552">
        <w:rPr>
          <w:color w:val="auto"/>
          <w:lang w:val="zh-TW"/>
        </w:rPr>
        <w:t>)</w:t>
      </w:r>
      <w:r w:rsidRPr="00BF4552">
        <w:rPr>
          <w:rFonts w:hint="eastAsia"/>
          <w:color w:val="auto"/>
          <w:lang w:val="zh-TW"/>
        </w:rPr>
        <w:t>字第</w:t>
      </w:r>
      <w:r w:rsidRPr="00BF4552">
        <w:rPr>
          <w:color w:val="auto"/>
          <w:lang w:val="zh-TW"/>
        </w:rPr>
        <w:t>0990119182</w:t>
      </w:r>
      <w:r w:rsidRPr="00BF4552">
        <w:rPr>
          <w:rFonts w:hint="eastAsia"/>
          <w:color w:val="auto"/>
          <w:lang w:val="zh-TW"/>
        </w:rPr>
        <w:t>號函略以：基於大學法第19條之立法理由及大學自主，學校固得於章則中增列教師之權利義務、停聘或不續聘之事由及程序，惟所增訂之規定尚不得違反相關法規之規定；另大學法第19條既已授權大學得訂定停聘或不續聘之事由，大學所訂其他涉教師權利義務較輕之處置或措施，如未違反大學教學、研究與服務之目的，且經校務會議審議通過者，應屬自主範圍。</w:t>
      </w:r>
    </w:p>
    <w:p w:rsidR="008E6186" w:rsidRPr="00BF4552" w:rsidRDefault="00477314" w:rsidP="003663C6">
      <w:pPr>
        <w:pStyle w:val="3"/>
      </w:pPr>
      <w:r w:rsidRPr="00BF4552">
        <w:rPr>
          <w:rFonts w:hint="eastAsia"/>
        </w:rPr>
        <w:t>有關</w:t>
      </w:r>
      <w:r w:rsidR="00A06A27" w:rsidRPr="00BF4552">
        <w:rPr>
          <w:rFonts w:hint="eastAsia"/>
        </w:rPr>
        <w:t>大學法第19條與教師法第14條</w:t>
      </w:r>
      <w:r w:rsidR="00A84C4B" w:rsidRPr="00BF4552">
        <w:rPr>
          <w:rFonts w:hint="eastAsia"/>
        </w:rPr>
        <w:t>等</w:t>
      </w:r>
      <w:r w:rsidRPr="00BF4552">
        <w:rPr>
          <w:rFonts w:hint="eastAsia"/>
        </w:rPr>
        <w:t>規定間之適用</w:t>
      </w:r>
      <w:r w:rsidR="0085071F" w:rsidRPr="00BF4552">
        <w:rPr>
          <w:rFonts w:hint="eastAsia"/>
        </w:rPr>
        <w:t>問題</w:t>
      </w:r>
      <w:r w:rsidR="008E6186" w:rsidRPr="00BF4552">
        <w:rPr>
          <w:rFonts w:hint="eastAsia"/>
        </w:rPr>
        <w:t>：</w:t>
      </w:r>
    </w:p>
    <w:p w:rsidR="005F51C8" w:rsidRPr="00BF4552" w:rsidRDefault="00477314" w:rsidP="00DF2AE9">
      <w:pPr>
        <w:pStyle w:val="4"/>
        <w:rPr>
          <w:color w:val="auto"/>
        </w:rPr>
      </w:pPr>
      <w:r w:rsidRPr="00BF4552">
        <w:rPr>
          <w:rFonts w:hint="eastAsia"/>
          <w:color w:val="auto"/>
        </w:rPr>
        <w:t>有</w:t>
      </w:r>
      <w:r w:rsidR="00EF4A05" w:rsidRPr="00BF4552">
        <w:rPr>
          <w:rFonts w:hint="eastAsia"/>
          <w:color w:val="auto"/>
        </w:rPr>
        <w:t>主張</w:t>
      </w:r>
      <w:r w:rsidR="005F51C8" w:rsidRPr="00BF4552">
        <w:rPr>
          <w:rFonts w:hint="eastAsia"/>
          <w:color w:val="auto"/>
        </w:rPr>
        <w:t>大學法第19條</w:t>
      </w:r>
      <w:r w:rsidRPr="00BF4552">
        <w:rPr>
          <w:rFonts w:hint="eastAsia"/>
          <w:color w:val="auto"/>
        </w:rPr>
        <w:t>為教師法第14條</w:t>
      </w:r>
      <w:r w:rsidR="0085071F" w:rsidRPr="00BF4552">
        <w:rPr>
          <w:rFonts w:hint="eastAsia"/>
          <w:color w:val="auto"/>
        </w:rPr>
        <w:t>等</w:t>
      </w:r>
      <w:r w:rsidRPr="00BF4552">
        <w:rPr>
          <w:rFonts w:hint="eastAsia"/>
          <w:color w:val="auto"/>
        </w:rPr>
        <w:t>之特別規定，</w:t>
      </w:r>
      <w:r w:rsidR="005F51C8" w:rsidRPr="00BF4552">
        <w:rPr>
          <w:rFonts w:hint="eastAsia"/>
          <w:color w:val="auto"/>
        </w:rPr>
        <w:t>應優先適用</w:t>
      </w:r>
      <w:r w:rsidR="005A3837" w:rsidRPr="00BF4552">
        <w:rPr>
          <w:rFonts w:hint="eastAsia"/>
          <w:color w:val="auto"/>
        </w:rPr>
        <w:t>之觀點</w:t>
      </w:r>
      <w:r w:rsidR="005F51C8" w:rsidRPr="00BF4552">
        <w:rPr>
          <w:rFonts w:hint="eastAsia"/>
          <w:color w:val="auto"/>
        </w:rPr>
        <w:t>：</w:t>
      </w:r>
    </w:p>
    <w:p w:rsidR="00793ECA" w:rsidRPr="00BF4552" w:rsidRDefault="00793ECA" w:rsidP="00441162">
      <w:pPr>
        <w:pStyle w:val="5"/>
        <w:rPr>
          <w:color w:val="auto"/>
        </w:rPr>
      </w:pPr>
      <w:r w:rsidRPr="00BF4552">
        <w:rPr>
          <w:rFonts w:hint="eastAsia"/>
          <w:color w:val="auto"/>
        </w:rPr>
        <w:t>從法本質論</w:t>
      </w:r>
      <w:r w:rsidRPr="00BF4552">
        <w:rPr>
          <w:rFonts w:hAnsi="標楷體" w:hint="eastAsia"/>
          <w:color w:val="auto"/>
        </w:rPr>
        <w:t>，</w:t>
      </w:r>
      <w:r w:rsidRPr="00BF4552">
        <w:rPr>
          <w:rFonts w:hint="eastAsia"/>
          <w:color w:val="auto"/>
        </w:rPr>
        <w:t>以限期升等條款要求大學教授於期限內提出升等證明自己居於大學教授之適格性</w:t>
      </w:r>
      <w:r w:rsidRPr="00BF4552">
        <w:rPr>
          <w:rFonts w:hAnsi="標楷體" w:hint="eastAsia"/>
          <w:color w:val="auto"/>
        </w:rPr>
        <w:t>，</w:t>
      </w:r>
      <w:r w:rsidRPr="00BF4552">
        <w:rPr>
          <w:rFonts w:hint="eastAsia"/>
          <w:color w:val="auto"/>
        </w:rPr>
        <w:t>具有正當性</w:t>
      </w:r>
      <w:r w:rsidRPr="00BF4552">
        <w:rPr>
          <w:rFonts w:hAnsi="標楷體" w:hint="eastAsia"/>
          <w:color w:val="auto"/>
        </w:rPr>
        <w:t>。</w:t>
      </w:r>
      <w:r w:rsidRPr="00BF4552">
        <w:rPr>
          <w:rFonts w:hint="eastAsia"/>
          <w:color w:val="auto"/>
          <w:lang w:val="zh-TW"/>
        </w:rPr>
        <w:t>限期升等條款訂定是因學術能力要求</w:t>
      </w:r>
      <w:r w:rsidRPr="00BF4552">
        <w:rPr>
          <w:rFonts w:hAnsi="標楷體" w:hint="eastAsia"/>
          <w:color w:val="auto"/>
          <w:lang w:val="zh-TW"/>
        </w:rPr>
        <w:t>，</w:t>
      </w:r>
      <w:r w:rsidRPr="00BF4552">
        <w:rPr>
          <w:rFonts w:hint="eastAsia"/>
          <w:color w:val="auto"/>
          <w:lang w:val="zh-TW"/>
        </w:rPr>
        <w:t>屬學術自主範圍</w:t>
      </w:r>
      <w:r w:rsidRPr="00BF4552">
        <w:rPr>
          <w:rFonts w:hAnsi="標楷體" w:hint="eastAsia"/>
          <w:color w:val="auto"/>
          <w:lang w:val="zh-TW"/>
        </w:rPr>
        <w:t>，</w:t>
      </w:r>
      <w:r w:rsidRPr="00BF4552">
        <w:rPr>
          <w:rFonts w:hint="eastAsia"/>
          <w:color w:val="auto"/>
          <w:lang w:val="zh-TW"/>
        </w:rPr>
        <w:t>基於學術發展所需要</w:t>
      </w:r>
      <w:r w:rsidRPr="00BF4552">
        <w:rPr>
          <w:rFonts w:hAnsi="標楷體" w:hint="eastAsia"/>
          <w:color w:val="auto"/>
          <w:lang w:val="zh-TW"/>
        </w:rPr>
        <w:t>，</w:t>
      </w:r>
      <w:r w:rsidRPr="00BF4552">
        <w:rPr>
          <w:rFonts w:hint="eastAsia"/>
          <w:color w:val="auto"/>
          <w:lang w:val="zh-TW"/>
        </w:rPr>
        <w:t>屬大學法第19條所提之</w:t>
      </w:r>
      <w:r w:rsidRPr="00BF4552">
        <w:rPr>
          <w:rFonts w:hAnsi="標楷體" w:hint="eastAsia"/>
          <w:color w:val="auto"/>
          <w:lang w:val="zh-TW"/>
        </w:rPr>
        <w:t>「另訂停聘不續聘」規定，故於立法論上賦予大學自治權可另訂之自由，</w:t>
      </w:r>
      <w:r w:rsidRPr="00BF4552">
        <w:rPr>
          <w:rFonts w:hint="eastAsia"/>
          <w:color w:val="auto"/>
          <w:lang w:val="zh-TW"/>
        </w:rPr>
        <w:t>教師違反限期升等本身即屬於</w:t>
      </w:r>
      <w:r w:rsidRPr="00BF4552">
        <w:rPr>
          <w:rFonts w:hAnsi="標楷體" w:hint="eastAsia"/>
          <w:color w:val="auto"/>
          <w:lang w:val="zh-TW"/>
        </w:rPr>
        <w:t>「違反契約</w:t>
      </w:r>
      <w:r w:rsidRPr="00BF4552">
        <w:rPr>
          <w:rFonts w:hint="eastAsia"/>
          <w:color w:val="auto"/>
          <w:lang w:val="zh-TW"/>
        </w:rPr>
        <w:t>情節重大</w:t>
      </w:r>
      <w:r w:rsidRPr="00BF4552">
        <w:rPr>
          <w:rFonts w:hAnsi="標楷體" w:hint="eastAsia"/>
          <w:color w:val="auto"/>
          <w:lang w:val="zh-TW"/>
        </w:rPr>
        <w:t>」，可構成獨立解聘事由，不需再加上其</w:t>
      </w:r>
      <w:r w:rsidRPr="00BF4552">
        <w:rPr>
          <w:rFonts w:hAnsi="標楷體" w:hint="eastAsia"/>
          <w:color w:val="auto"/>
          <w:lang w:val="zh-TW"/>
        </w:rPr>
        <w:lastRenderedPageBreak/>
        <w:t>他事實。</w:t>
      </w:r>
      <w:r w:rsidRPr="00BF4552">
        <w:rPr>
          <w:rStyle w:val="aff2"/>
          <w:rFonts w:hAnsi="標楷體" w:cs="標楷體"/>
          <w:color w:val="auto"/>
          <w:kern w:val="0"/>
          <w:szCs w:val="32"/>
          <w:lang w:val="zh-TW"/>
        </w:rPr>
        <w:footnoteReference w:id="1"/>
      </w:r>
    </w:p>
    <w:p w:rsidR="00DE322D" w:rsidRPr="00BF4552" w:rsidRDefault="00DE322D" w:rsidP="00441162">
      <w:pPr>
        <w:pStyle w:val="5"/>
        <w:rPr>
          <w:color w:val="auto"/>
        </w:rPr>
      </w:pPr>
      <w:r w:rsidRPr="00BF4552">
        <w:rPr>
          <w:rFonts w:hint="eastAsia"/>
          <w:color w:val="auto"/>
        </w:rPr>
        <w:t>91年修正大學法時</w:t>
      </w:r>
      <w:r w:rsidRPr="00BF4552">
        <w:rPr>
          <w:rFonts w:hAnsi="標楷體" w:hint="eastAsia"/>
          <w:color w:val="auto"/>
        </w:rPr>
        <w:t>，</w:t>
      </w:r>
      <w:r w:rsidRPr="00BF4552">
        <w:rPr>
          <w:rFonts w:hint="eastAsia"/>
          <w:color w:val="auto"/>
        </w:rPr>
        <w:t>從大學法修正研究小組建議修正草案</w:t>
      </w:r>
      <w:r w:rsidRPr="00BF4552">
        <w:rPr>
          <w:rFonts w:hAnsi="標楷體" w:hint="eastAsia"/>
          <w:color w:val="auto"/>
        </w:rPr>
        <w:t>、92年</w:t>
      </w:r>
      <w:r w:rsidRPr="00BF4552">
        <w:rPr>
          <w:rFonts w:hint="eastAsia"/>
          <w:color w:val="auto"/>
        </w:rPr>
        <w:t>行政院院會通過版到94年立法院三讀通過版</w:t>
      </w:r>
      <w:r w:rsidRPr="00BF4552">
        <w:rPr>
          <w:rFonts w:hAnsi="標楷體" w:hint="eastAsia"/>
          <w:color w:val="auto"/>
        </w:rPr>
        <w:t>，現行大學法</w:t>
      </w:r>
      <w:r w:rsidRPr="00BF4552">
        <w:rPr>
          <w:rFonts w:hint="eastAsia"/>
          <w:color w:val="auto"/>
        </w:rPr>
        <w:t>第19條規定之文字大致相同</w:t>
      </w:r>
      <w:r w:rsidRPr="00BF4552">
        <w:rPr>
          <w:rFonts w:hAnsi="標楷體" w:hint="eastAsia"/>
          <w:color w:val="auto"/>
        </w:rPr>
        <w:t>，</w:t>
      </w:r>
      <w:r w:rsidRPr="00BF4552">
        <w:rPr>
          <w:rFonts w:hint="eastAsia"/>
          <w:color w:val="auto"/>
        </w:rPr>
        <w:t>且立法理由皆未有改變</w:t>
      </w:r>
      <w:r w:rsidRPr="00BF4552">
        <w:rPr>
          <w:rFonts w:hAnsi="標楷體" w:hint="eastAsia"/>
          <w:color w:val="auto"/>
        </w:rPr>
        <w:t>。</w:t>
      </w:r>
      <w:r w:rsidR="00215CE7" w:rsidRPr="00BF4552">
        <w:rPr>
          <w:rFonts w:hint="eastAsia"/>
          <w:color w:val="auto"/>
        </w:rPr>
        <w:t>從立法意旨來看</w:t>
      </w:r>
      <w:r w:rsidRPr="00BF4552">
        <w:rPr>
          <w:rFonts w:hAnsi="標楷體" w:hint="eastAsia"/>
          <w:color w:val="auto"/>
        </w:rPr>
        <w:t>，</w:t>
      </w:r>
      <w:r w:rsidR="001F63A2" w:rsidRPr="00BF4552">
        <w:rPr>
          <w:rFonts w:hint="eastAsia"/>
          <w:color w:val="auto"/>
        </w:rPr>
        <w:t>當初增訂大學法第19條係因考量到教師法內關於解聘、停聘或不續聘事由與程序規定，有些不太適合專科以上學校，故當時經過許多大學討論後，提出應於大學法增列此條款，且該條當初於立法院並未有任</w:t>
      </w:r>
      <w:r w:rsidR="00215CE7" w:rsidRPr="00BF4552">
        <w:rPr>
          <w:rFonts w:hint="eastAsia"/>
          <w:color w:val="auto"/>
        </w:rPr>
        <w:t>何爭議即通過，所以倘僅用文義解釋理解該條文</w:t>
      </w:r>
      <w:r w:rsidR="001F63A2" w:rsidRPr="00BF4552">
        <w:rPr>
          <w:rFonts w:hint="eastAsia"/>
          <w:color w:val="auto"/>
        </w:rPr>
        <w:t>，</w:t>
      </w:r>
      <w:r w:rsidR="00215CE7" w:rsidRPr="00BF4552">
        <w:rPr>
          <w:rFonts w:hint="eastAsia"/>
          <w:color w:val="auto"/>
        </w:rPr>
        <w:t>會與當初立法目的有所差異。</w:t>
      </w:r>
      <w:r w:rsidR="00542F70" w:rsidRPr="00BF4552">
        <w:rPr>
          <w:rFonts w:hint="eastAsia"/>
          <w:color w:val="auto"/>
        </w:rPr>
        <w:t>是以，該條立法</w:t>
      </w:r>
      <w:r w:rsidR="00E632BF" w:rsidRPr="00BF4552">
        <w:rPr>
          <w:rFonts w:hint="eastAsia"/>
          <w:color w:val="auto"/>
        </w:rPr>
        <w:t>理由提到，</w:t>
      </w:r>
      <w:r w:rsidR="00E632BF" w:rsidRPr="00BF4552">
        <w:rPr>
          <w:rFonts w:cs="標楷體" w:hint="eastAsia"/>
          <w:color w:val="auto"/>
          <w:kern w:val="0"/>
          <w:szCs w:val="32"/>
          <w:lang w:val="zh-TW"/>
        </w:rPr>
        <w:t>大學追求研究發展，大學教師之權利義務本異於一般中小學教師，因此要有特別規定，而允許大學在教師法</w:t>
      </w:r>
      <w:r w:rsidR="005A3837" w:rsidRPr="00BF4552">
        <w:rPr>
          <w:rFonts w:cs="標楷體" w:hint="eastAsia"/>
          <w:color w:val="auto"/>
          <w:kern w:val="0"/>
          <w:szCs w:val="32"/>
          <w:lang w:val="zh-TW"/>
        </w:rPr>
        <w:t>第14條</w:t>
      </w:r>
      <w:r w:rsidR="00E632BF" w:rsidRPr="00BF4552">
        <w:rPr>
          <w:rFonts w:cs="標楷體" w:hint="eastAsia"/>
          <w:color w:val="auto"/>
          <w:kern w:val="0"/>
          <w:szCs w:val="32"/>
          <w:lang w:val="zh-TW"/>
        </w:rPr>
        <w:t>之法定事由以外，另外與教師訂立權利義務，以及增訂停聘或不續聘之事由，這本身就是</w:t>
      </w:r>
      <w:r w:rsidR="005A3837" w:rsidRPr="00BF4552">
        <w:rPr>
          <w:rFonts w:cs="標楷體" w:hint="eastAsia"/>
          <w:color w:val="auto"/>
          <w:kern w:val="0"/>
          <w:szCs w:val="32"/>
          <w:lang w:val="zh-TW"/>
        </w:rPr>
        <w:t>基於</w:t>
      </w:r>
      <w:r w:rsidR="00E632BF" w:rsidRPr="00BF4552">
        <w:rPr>
          <w:rFonts w:cs="標楷體" w:hint="eastAsia"/>
          <w:color w:val="auto"/>
          <w:kern w:val="0"/>
          <w:szCs w:val="32"/>
          <w:lang w:val="zh-TW"/>
        </w:rPr>
        <w:t>立法者之立法意旨，尊重並保障大學之人事自主權，而排除僅能依教師法第14條第1項各款之事由及同條之</w:t>
      </w:r>
      <w:r w:rsidR="00BA2A60" w:rsidRPr="00BF4552">
        <w:rPr>
          <w:rFonts w:cs="標楷體" w:hint="eastAsia"/>
          <w:color w:val="auto"/>
          <w:kern w:val="0"/>
          <w:szCs w:val="32"/>
          <w:lang w:val="zh-TW"/>
        </w:rPr>
        <w:t>程序規定來不續聘及停聘教師之限制，讓大學在停聘及不續聘教師之事由及程序上能由大學自主決定。</w:t>
      </w:r>
      <w:r w:rsidR="00BE3588" w:rsidRPr="00BF4552">
        <w:rPr>
          <w:rFonts w:cs="標楷體" w:hint="eastAsia"/>
          <w:color w:val="auto"/>
          <w:kern w:val="0"/>
          <w:szCs w:val="32"/>
          <w:lang w:val="zh-TW"/>
        </w:rPr>
        <w:t>又大學法第19條立法理由也提到，本於大學追求卓越之要求，大學除依教師法規定外，得於學校章則中增列教師停聘、不續聘之事由及程序，而立法理由所提及之「事由及程序」雖然最後未在該條之條文中出現，但事實上各版本之立法理由中皆包括停聘或不續聘之事由及程序。因此，大學法中有關教</w:t>
      </w:r>
      <w:r w:rsidR="00845089" w:rsidRPr="00BF4552">
        <w:rPr>
          <w:rFonts w:cs="標楷體" w:hint="eastAsia"/>
          <w:color w:val="auto"/>
          <w:kern w:val="0"/>
          <w:szCs w:val="32"/>
          <w:lang w:val="zh-TW"/>
        </w:rPr>
        <w:t>師聘任、停聘及不續聘之規定係屬於教師法之特別規</w:t>
      </w:r>
      <w:r w:rsidR="00845089" w:rsidRPr="00BF4552">
        <w:rPr>
          <w:rFonts w:cs="標楷體" w:hint="eastAsia"/>
          <w:color w:val="auto"/>
          <w:kern w:val="0"/>
          <w:szCs w:val="32"/>
          <w:lang w:val="zh-TW"/>
        </w:rPr>
        <w:lastRenderedPageBreak/>
        <w:t>定，使大學得</w:t>
      </w:r>
      <w:r w:rsidR="00EE2A9A" w:rsidRPr="00BF4552">
        <w:rPr>
          <w:rFonts w:cs="標楷體" w:hint="eastAsia"/>
          <w:color w:val="auto"/>
          <w:kern w:val="0"/>
          <w:szCs w:val="32"/>
          <w:lang w:val="zh-TW"/>
        </w:rPr>
        <w:t>依大學法第19條規定</w:t>
      </w:r>
      <w:r w:rsidR="00845089" w:rsidRPr="00BF4552">
        <w:rPr>
          <w:rFonts w:cs="標楷體" w:hint="eastAsia"/>
          <w:color w:val="auto"/>
          <w:kern w:val="0"/>
          <w:szCs w:val="32"/>
          <w:lang w:val="zh-TW"/>
        </w:rPr>
        <w:t>與教師另外約定</w:t>
      </w:r>
      <w:r w:rsidR="00EE2A9A" w:rsidRPr="00BF4552">
        <w:rPr>
          <w:rFonts w:cs="標楷體" w:hint="eastAsia"/>
          <w:color w:val="auto"/>
          <w:kern w:val="0"/>
          <w:szCs w:val="32"/>
          <w:lang w:val="zh-TW"/>
        </w:rPr>
        <w:t>停聘及不續聘之要件</w:t>
      </w:r>
      <w:r w:rsidR="00845089" w:rsidRPr="00BF4552">
        <w:rPr>
          <w:rFonts w:cs="標楷體" w:hint="eastAsia"/>
          <w:color w:val="auto"/>
          <w:kern w:val="0"/>
          <w:szCs w:val="32"/>
          <w:lang w:val="zh-TW"/>
        </w:rPr>
        <w:t>，</w:t>
      </w:r>
      <w:r w:rsidR="00EE2A9A" w:rsidRPr="00BF4552">
        <w:rPr>
          <w:rFonts w:cs="標楷體" w:hint="eastAsia"/>
          <w:color w:val="auto"/>
          <w:kern w:val="0"/>
          <w:szCs w:val="32"/>
          <w:lang w:val="zh-TW"/>
        </w:rPr>
        <w:t>而無須回頭適用教師法</w:t>
      </w:r>
      <w:r w:rsidR="00AC6F6F" w:rsidRPr="00BF4552">
        <w:rPr>
          <w:rFonts w:cs="標楷體" w:hint="eastAsia"/>
          <w:color w:val="auto"/>
          <w:kern w:val="0"/>
          <w:szCs w:val="32"/>
          <w:lang w:val="zh-TW"/>
        </w:rPr>
        <w:t>第14條第1項第14款</w:t>
      </w:r>
      <w:r w:rsidR="00E951FF" w:rsidRPr="00BF4552">
        <w:rPr>
          <w:rFonts w:cs="標楷體" w:hint="eastAsia"/>
          <w:color w:val="auto"/>
          <w:kern w:val="0"/>
          <w:szCs w:val="32"/>
          <w:lang w:val="zh-TW"/>
        </w:rPr>
        <w:t>後段規定</w:t>
      </w:r>
      <w:r w:rsidR="00EE2A9A" w:rsidRPr="00BF4552">
        <w:rPr>
          <w:rFonts w:cs="標楷體" w:hint="eastAsia"/>
          <w:color w:val="auto"/>
          <w:kern w:val="0"/>
          <w:szCs w:val="32"/>
          <w:lang w:val="zh-TW"/>
        </w:rPr>
        <w:t>，與「違反聘約情節重大」之事由重新連結在</w:t>
      </w:r>
      <w:r w:rsidR="008B5EBB" w:rsidRPr="00BF4552">
        <w:rPr>
          <w:rFonts w:cs="標楷體" w:hint="eastAsia"/>
          <w:color w:val="auto"/>
          <w:kern w:val="0"/>
          <w:szCs w:val="32"/>
          <w:lang w:val="zh-TW"/>
        </w:rPr>
        <w:t>一</w:t>
      </w:r>
      <w:r w:rsidR="00EE2A9A" w:rsidRPr="00BF4552">
        <w:rPr>
          <w:rFonts w:cs="標楷體" w:hint="eastAsia"/>
          <w:color w:val="auto"/>
          <w:kern w:val="0"/>
          <w:szCs w:val="32"/>
          <w:lang w:val="zh-TW"/>
        </w:rPr>
        <w:t>起。</w:t>
      </w:r>
      <w:r w:rsidR="00793ECA" w:rsidRPr="00BF4552">
        <w:rPr>
          <w:rStyle w:val="aff2"/>
          <w:rFonts w:cs="標楷體"/>
          <w:color w:val="auto"/>
          <w:kern w:val="0"/>
          <w:szCs w:val="32"/>
          <w:lang w:val="zh-TW"/>
        </w:rPr>
        <w:footnoteReference w:id="2"/>
      </w:r>
    </w:p>
    <w:p w:rsidR="00EE2A9A" w:rsidRPr="00BF4552" w:rsidRDefault="0028174B" w:rsidP="00441162">
      <w:pPr>
        <w:pStyle w:val="5"/>
        <w:rPr>
          <w:color w:val="auto"/>
        </w:rPr>
      </w:pPr>
      <w:r w:rsidRPr="00BF4552">
        <w:rPr>
          <w:rFonts w:hint="eastAsia"/>
          <w:color w:val="auto"/>
        </w:rPr>
        <w:t>為釐清大學法第19條與教師法第14條法律適用之問題，本院曾舉辦2</w:t>
      </w:r>
      <w:r w:rsidR="00F37A59" w:rsidRPr="00BF4552">
        <w:rPr>
          <w:rFonts w:hint="eastAsia"/>
          <w:color w:val="auto"/>
        </w:rPr>
        <w:t>場諮詢會議，出席之專家學者多數採大學法第19條優先適用</w:t>
      </w:r>
      <w:r w:rsidRPr="00BF4552">
        <w:rPr>
          <w:rFonts w:hint="eastAsia"/>
          <w:color w:val="auto"/>
        </w:rPr>
        <w:t>見解</w:t>
      </w:r>
      <w:r w:rsidRPr="00BF4552">
        <w:rPr>
          <w:rFonts w:hAnsi="標楷體" w:hint="eastAsia"/>
          <w:color w:val="auto"/>
        </w:rPr>
        <w:t>，意見彙整如下：</w:t>
      </w:r>
      <w:r w:rsidR="00793ECA" w:rsidRPr="00BF4552">
        <w:rPr>
          <w:color w:val="auto"/>
        </w:rPr>
        <w:t xml:space="preserve"> </w:t>
      </w:r>
    </w:p>
    <w:p w:rsidR="0028174B" w:rsidRPr="00BF4552" w:rsidRDefault="0028174B" w:rsidP="009F1CB3">
      <w:pPr>
        <w:pStyle w:val="6"/>
        <w:numPr>
          <w:ilvl w:val="0"/>
          <w:numId w:val="23"/>
        </w:numPr>
        <w:ind w:left="2310" w:hanging="546"/>
        <w:rPr>
          <w:color w:val="auto"/>
        </w:rPr>
      </w:pPr>
      <w:r w:rsidRPr="00BF4552">
        <w:rPr>
          <w:rFonts w:hint="eastAsia"/>
          <w:color w:val="auto"/>
        </w:rPr>
        <w:t>當年大學法修法時，修法小組即有建議在教師法第14條以外，還可以另定停聘或不續聘的「事由及程序」，也就是說不要被教師法第14條綁住，教師法第14條的規定主要針對高中以下的教師，與大學追求卓越的目標不一樣。大學法第19條是該法91年修正時新增草案條文，經行政院92年核定、到94年立法通過版，條文內容皆沒有太大改變。當時立法的思考就是要讓大學法第19條變成教師法第14條以外的特別規定。</w:t>
      </w:r>
      <w:r w:rsidR="005361A2" w:rsidRPr="00BF4552">
        <w:rPr>
          <w:rFonts w:hint="eastAsia"/>
          <w:color w:val="auto"/>
        </w:rPr>
        <w:t>以最高行政法院的幾個判決來看，很多學校以大學法第19條來停聘或不續聘，處理時卻又不單純只引大學法第19條，而是還另外引用教師法第14條說教師違反聘約情節重大，因此學校之後就需再去證明「情節重大」，肇致爭議。如果依大學法第19條的目的，學校以經校務會議審議通過的聘約來要求教師，違反該聘約內容本身在校園裡就是情節重大，僅按大學法第19條來看，不需要另外連結教師法第14條來審情節重大。限期升等應是客觀事實，升等了續</w:t>
      </w:r>
      <w:r w:rsidR="005361A2" w:rsidRPr="00BF4552">
        <w:rPr>
          <w:rFonts w:hint="eastAsia"/>
          <w:color w:val="auto"/>
        </w:rPr>
        <w:lastRenderedPageBreak/>
        <w:t>聘的條件就成就了，應該很簡單，不需要以情節重大與否為構成要件。</w:t>
      </w:r>
    </w:p>
    <w:p w:rsidR="005361A2" w:rsidRPr="00BF4552" w:rsidRDefault="005361A2" w:rsidP="009F1CB3">
      <w:pPr>
        <w:pStyle w:val="6"/>
        <w:numPr>
          <w:ilvl w:val="0"/>
          <w:numId w:val="23"/>
        </w:numPr>
        <w:ind w:left="2268" w:hanging="567"/>
        <w:rPr>
          <w:color w:val="auto"/>
        </w:rPr>
      </w:pPr>
      <w:r w:rsidRPr="00BF4552">
        <w:rPr>
          <w:rFonts w:hint="eastAsia"/>
          <w:color w:val="auto"/>
        </w:rPr>
        <w:t>教師法第14條一開頭即寫「教師聘任後除有下列各款之一者外，不得解聘、停聘或不續聘……」等文字，大學法第19條要排除的就是教師法第14條第1項全部的14款，大學法第19條甚至提到「事由及程序」都可以另定，也就是它可以視為第15款，讓大學法第19條不受限於教師法第14條，所以大學法第19條的確是大學不續聘教師的特別規定。</w:t>
      </w:r>
    </w:p>
    <w:p w:rsidR="00D011FF" w:rsidRPr="00BF4552" w:rsidRDefault="00D011FF" w:rsidP="009F1CB3">
      <w:pPr>
        <w:pStyle w:val="6"/>
        <w:numPr>
          <w:ilvl w:val="0"/>
          <w:numId w:val="23"/>
        </w:numPr>
        <w:ind w:left="2268" w:hanging="567"/>
        <w:rPr>
          <w:color w:val="auto"/>
        </w:rPr>
      </w:pPr>
      <w:r w:rsidRPr="00BF4552">
        <w:rPr>
          <w:rFonts w:hint="eastAsia"/>
          <w:color w:val="auto"/>
        </w:rPr>
        <w:t>大學法第19條的目的是要變成教師法的特別法，但大學法第19條的條文文字寫得非常不好，過於平鋪直述，寫到「納入聘約。」就沒有了。大學法第19條的第一句「大學除依教師法規定外」，立法者很明顯的沒有要大學法連結到教師法上面。</w:t>
      </w:r>
    </w:p>
    <w:p w:rsidR="005361A2" w:rsidRPr="00BF4552" w:rsidRDefault="00D011FF" w:rsidP="00A84C4B">
      <w:pPr>
        <w:pStyle w:val="6"/>
        <w:numPr>
          <w:ilvl w:val="0"/>
          <w:numId w:val="23"/>
        </w:numPr>
        <w:ind w:left="2268" w:hanging="567"/>
        <w:rPr>
          <w:color w:val="auto"/>
        </w:rPr>
      </w:pPr>
      <w:r w:rsidRPr="00BF4552">
        <w:rPr>
          <w:rFonts w:hint="eastAsia"/>
          <w:color w:val="auto"/>
        </w:rPr>
        <w:t>以制度面言之，大學法第19條在教師法第14條之後，當初草擬時本來就以「特別法」</w:t>
      </w:r>
      <w:r w:rsidRPr="00BF4552">
        <w:rPr>
          <w:color w:val="auto"/>
        </w:rPr>
        <w:t>來</w:t>
      </w:r>
      <w:r w:rsidRPr="00BF4552">
        <w:rPr>
          <w:rFonts w:hint="eastAsia"/>
          <w:color w:val="auto"/>
        </w:rPr>
        <w:t>設計的，所以明白規定條文，「除教師法規定外，可以另外定停聘不續聘規定」，這規定本來就是針對限期升等訂定的。但可能在立法妥協上沒有明確排除教師法第14條適用，所以變成法解釋論問題，行政法院就認為，</w:t>
      </w:r>
      <w:r w:rsidRPr="00BF4552">
        <w:rPr>
          <w:color w:val="auto"/>
        </w:rPr>
        <w:t>違反限期升等</w:t>
      </w:r>
      <w:r w:rsidRPr="00BF4552">
        <w:rPr>
          <w:rFonts w:hint="eastAsia"/>
          <w:color w:val="auto"/>
        </w:rPr>
        <w:t>條款固然</w:t>
      </w:r>
      <w:r w:rsidRPr="00BF4552">
        <w:rPr>
          <w:color w:val="auto"/>
        </w:rPr>
        <w:t>已經違反</w:t>
      </w:r>
      <w:r w:rsidRPr="00BF4552">
        <w:rPr>
          <w:rFonts w:hint="eastAsia"/>
          <w:color w:val="auto"/>
        </w:rPr>
        <w:t>聘約</w:t>
      </w:r>
      <w:r w:rsidRPr="00BF4552">
        <w:rPr>
          <w:color w:val="auto"/>
        </w:rPr>
        <w:t>，但還</w:t>
      </w:r>
      <w:r w:rsidRPr="00BF4552">
        <w:rPr>
          <w:rFonts w:hint="eastAsia"/>
          <w:color w:val="auto"/>
        </w:rPr>
        <w:t>要看「情節重大與否」。其實以立法意旨，限期未升等本身就是情節重大，但當初法條沒規定清楚，變成法解釋論問題。</w:t>
      </w:r>
    </w:p>
    <w:p w:rsidR="00A84C4B" w:rsidRPr="00BF4552" w:rsidRDefault="00A84C4B" w:rsidP="00A84C4B">
      <w:pPr>
        <w:pStyle w:val="6"/>
        <w:numPr>
          <w:ilvl w:val="0"/>
          <w:numId w:val="23"/>
        </w:numPr>
        <w:ind w:left="2268" w:hanging="567"/>
        <w:rPr>
          <w:color w:val="auto"/>
        </w:rPr>
      </w:pPr>
      <w:r w:rsidRPr="00BF4552">
        <w:rPr>
          <w:rFonts w:hint="eastAsia"/>
          <w:color w:val="auto"/>
        </w:rPr>
        <w:t>大學法第19條跟教師法第14條是典型的特別法與普通法的關係。大學法第19條是委任立法，條文很清楚，授權大學在教師法第14條</w:t>
      </w:r>
      <w:r w:rsidRPr="00BF4552">
        <w:rPr>
          <w:rFonts w:hint="eastAsia"/>
          <w:color w:val="auto"/>
        </w:rPr>
        <w:lastRenderedPageBreak/>
        <w:t>的事由以外，基於學術研究發展需要，另定教師停聘或不續聘之規定，點出大學教育和中小學教育不同，以及大學教師和中小學教師跟學校的法律關係不一樣，因為大學有學術自由和大學自治問題，行政法院未充分理解這部分的立法理由。大學法明定有追求卓越</w:t>
      </w:r>
      <w:r w:rsidRPr="00BF4552">
        <w:rPr>
          <w:rFonts w:hAnsi="標楷體" w:hint="eastAsia"/>
          <w:color w:val="auto"/>
        </w:rPr>
        <w:t>、</w:t>
      </w:r>
      <w:r w:rsidRPr="00BF4552">
        <w:rPr>
          <w:rFonts w:hint="eastAsia"/>
          <w:color w:val="auto"/>
        </w:rPr>
        <w:t>學術研究的需要，點出大學任務與中小學不同，因此中小學有部定課綱，但大學不能有公定課綱；中小學教師有師資培養過程，但大學教師的聘任只衡量學術資格，這些問題的核心要回到學術自由和大學自治。</w:t>
      </w:r>
    </w:p>
    <w:p w:rsidR="00A84C4B" w:rsidRPr="00BF4552" w:rsidRDefault="00A84C4B" w:rsidP="00A84C4B">
      <w:pPr>
        <w:pStyle w:val="6"/>
        <w:numPr>
          <w:ilvl w:val="0"/>
          <w:numId w:val="23"/>
        </w:numPr>
        <w:ind w:left="2268" w:hanging="567"/>
        <w:rPr>
          <w:color w:val="auto"/>
        </w:rPr>
      </w:pPr>
      <w:r w:rsidRPr="00BF4552">
        <w:rPr>
          <w:rFonts w:hint="eastAsia"/>
          <w:color w:val="auto"/>
        </w:rPr>
        <w:t>教師法第14條原來的第8款就是現在的第14款，裡面有一個微妙變化，新舊條款使用一模一樣的文字，但標點符號不一樣，變成</w:t>
      </w:r>
      <w:r w:rsidRPr="00BF4552">
        <w:rPr>
          <w:rFonts w:hAnsi="標楷體" w:hint="eastAsia"/>
          <w:color w:val="auto"/>
        </w:rPr>
        <w:t>「；</w:t>
      </w:r>
      <w:r w:rsidRPr="00BF4552">
        <w:rPr>
          <w:rFonts w:hAnsi="標楷體"/>
          <w:color w:val="auto"/>
        </w:rPr>
        <w:t>(分號)</w:t>
      </w:r>
      <w:r w:rsidRPr="00BF4552">
        <w:rPr>
          <w:rFonts w:hAnsi="標楷體" w:hint="eastAsia"/>
          <w:color w:val="auto"/>
        </w:rPr>
        <w:t>」</w:t>
      </w:r>
      <w:r w:rsidRPr="00BF4552">
        <w:rPr>
          <w:rFonts w:hint="eastAsia"/>
          <w:color w:val="auto"/>
        </w:rPr>
        <w:t>，也就是變成另外一個獨立的事由，即「違反聘約情節重大」。因此前面教學不力或不能勝任工作的就不必考慮情節是否重大，因為是獨立事實。同樣，大學法第19條授權學校另定章則，立法理由很清楚說明大學教師和中小學教師的權利義務不同。許多大學依據此一立法授權，把教師未能定期升等列為不續聘的獨立事由，這完全在授權立法範圍，不應該與其他違反聘約情事掛在一起。行政法院的見解只考量教師的工作權，卻未考量大學的特殊性。</w:t>
      </w:r>
    </w:p>
    <w:p w:rsidR="00A84C4B" w:rsidRPr="00BF4552" w:rsidRDefault="00A84C4B" w:rsidP="00A84C4B">
      <w:pPr>
        <w:pStyle w:val="6"/>
        <w:numPr>
          <w:ilvl w:val="0"/>
          <w:numId w:val="23"/>
        </w:numPr>
        <w:ind w:left="2268" w:hanging="567"/>
        <w:rPr>
          <w:color w:val="auto"/>
        </w:rPr>
      </w:pPr>
      <w:r w:rsidRPr="00BF4552">
        <w:rPr>
          <w:rFonts w:hint="eastAsia"/>
          <w:color w:val="auto"/>
        </w:rPr>
        <w:t>教師之聘任依法就有初聘</w:t>
      </w:r>
      <w:r w:rsidRPr="00BF4552">
        <w:rPr>
          <w:rFonts w:hAnsi="標楷體" w:hint="eastAsia"/>
          <w:color w:val="auto"/>
        </w:rPr>
        <w:t>、</w:t>
      </w:r>
      <w:r w:rsidRPr="00BF4552">
        <w:rPr>
          <w:rFonts w:hint="eastAsia"/>
          <w:color w:val="auto"/>
        </w:rPr>
        <w:t>續聘</w:t>
      </w:r>
      <w:r w:rsidRPr="00BF4552">
        <w:rPr>
          <w:rFonts w:hAnsi="標楷體" w:hint="eastAsia"/>
          <w:color w:val="auto"/>
        </w:rPr>
        <w:t>、</w:t>
      </w:r>
      <w:r w:rsidRPr="00BF4552">
        <w:rPr>
          <w:rFonts w:hint="eastAsia"/>
          <w:color w:val="auto"/>
        </w:rPr>
        <w:t>長聘之區別，基於契約自由及學術自由原則，應可定期審查。如果照行政法院的判決意旨，會造成大學教授都是不定期的終身聘用，似與法制不符，否則法令就該修正。</w:t>
      </w:r>
    </w:p>
    <w:p w:rsidR="00A84C4B" w:rsidRPr="00BF4552" w:rsidRDefault="00A84C4B" w:rsidP="00A84C4B">
      <w:pPr>
        <w:pStyle w:val="6"/>
        <w:numPr>
          <w:ilvl w:val="0"/>
          <w:numId w:val="23"/>
        </w:numPr>
        <w:ind w:left="2268" w:hanging="567"/>
        <w:rPr>
          <w:color w:val="auto"/>
        </w:rPr>
      </w:pPr>
      <w:r w:rsidRPr="00BF4552">
        <w:rPr>
          <w:rFonts w:hint="eastAsia"/>
          <w:color w:val="auto"/>
        </w:rPr>
        <w:lastRenderedPageBreak/>
        <w:t>從大學本質言，大學是國家培養高等人才之機制，也牽涉與國外競爭，如果未給予追求卓越的空間，過度強調教師工作權益，對於培養人才有所阻礙。如果以行政法院判決，也有人認為變成大學教師終身制，已非國際主流作法，應保障大學在教學組織等都有自治空間，當然也非脫離法律</w:t>
      </w:r>
      <w:r w:rsidRPr="00BF4552">
        <w:rPr>
          <w:rFonts w:hAnsi="標楷體" w:hint="eastAsia"/>
          <w:color w:val="auto"/>
        </w:rPr>
        <w:t>。</w:t>
      </w:r>
      <w:r w:rsidRPr="00BF4552">
        <w:rPr>
          <w:rFonts w:hint="eastAsia"/>
          <w:color w:val="auto"/>
        </w:rPr>
        <w:t>大學法第19條在94年增訂的理由確實提到大學教師本異於中小學教師</w:t>
      </w:r>
      <w:r w:rsidRPr="00BF4552">
        <w:rPr>
          <w:rFonts w:hAnsi="標楷體" w:hint="eastAsia"/>
          <w:color w:val="auto"/>
        </w:rPr>
        <w:t>……</w:t>
      </w:r>
      <w:r w:rsidRPr="00BF4552">
        <w:rPr>
          <w:rFonts w:hint="eastAsia"/>
          <w:color w:val="auto"/>
        </w:rPr>
        <w:t>得增訂</w:t>
      </w:r>
      <w:r w:rsidRPr="00BF4552">
        <w:rPr>
          <w:rFonts w:hAnsi="標楷體" w:hint="eastAsia"/>
          <w:color w:val="auto"/>
        </w:rPr>
        <w:t>……</w:t>
      </w:r>
      <w:r w:rsidRPr="00BF4552">
        <w:rPr>
          <w:rFonts w:hint="eastAsia"/>
          <w:color w:val="auto"/>
        </w:rPr>
        <w:t>等語，講得很清楚，創設大學獨立停聘或不續聘的理由。但目前行政法院實務不採這個見解，反認為最終要回到教師法第14條的框架內，無論條文如何都不該導出這個結果，甚至有法院認為教師法才是特別法，這個解釋很奇怪。因為光從適用族群來看，大學法當然是特別法無誤。</w:t>
      </w:r>
    </w:p>
    <w:p w:rsidR="008E6186" w:rsidRPr="00BF4552" w:rsidRDefault="00920867" w:rsidP="00DF2AE9">
      <w:pPr>
        <w:pStyle w:val="4"/>
        <w:rPr>
          <w:color w:val="auto"/>
        </w:rPr>
      </w:pPr>
      <w:r w:rsidRPr="00BF4552">
        <w:rPr>
          <w:rFonts w:hint="eastAsia"/>
          <w:color w:val="auto"/>
        </w:rPr>
        <w:t>大學法第19條與教師法第14條</w:t>
      </w:r>
      <w:r w:rsidR="00477314" w:rsidRPr="00BF4552">
        <w:rPr>
          <w:rFonts w:hint="eastAsia"/>
          <w:color w:val="auto"/>
        </w:rPr>
        <w:t>規定</w:t>
      </w:r>
      <w:r w:rsidRPr="00BF4552">
        <w:rPr>
          <w:rFonts w:hint="eastAsia"/>
          <w:color w:val="auto"/>
        </w:rPr>
        <w:t>應為平等地位</w:t>
      </w:r>
      <w:r w:rsidR="005F51C8" w:rsidRPr="00BF4552">
        <w:rPr>
          <w:rFonts w:hint="eastAsia"/>
          <w:color w:val="auto"/>
        </w:rPr>
        <w:t>之觀點：</w:t>
      </w:r>
    </w:p>
    <w:p w:rsidR="00A86E81" w:rsidRPr="00BF4552" w:rsidRDefault="00C24260" w:rsidP="00441162">
      <w:pPr>
        <w:pStyle w:val="5"/>
        <w:rPr>
          <w:color w:val="auto"/>
        </w:rPr>
      </w:pPr>
      <w:r w:rsidRPr="00BF4552">
        <w:rPr>
          <w:rFonts w:hint="eastAsia"/>
          <w:color w:val="auto"/>
        </w:rPr>
        <w:t>大學法第19條</w:t>
      </w:r>
      <w:r w:rsidR="00876F45" w:rsidRPr="00BF4552">
        <w:rPr>
          <w:rFonts w:hint="eastAsia"/>
          <w:color w:val="auto"/>
        </w:rPr>
        <w:t>並非</w:t>
      </w:r>
      <w:r w:rsidRPr="00BF4552">
        <w:rPr>
          <w:rFonts w:hint="eastAsia"/>
          <w:color w:val="auto"/>
        </w:rPr>
        <w:t>教師法</w:t>
      </w:r>
      <w:r w:rsidR="00876F45" w:rsidRPr="00BF4552">
        <w:rPr>
          <w:rFonts w:hint="eastAsia"/>
          <w:color w:val="auto"/>
        </w:rPr>
        <w:t>有關</w:t>
      </w:r>
      <w:r w:rsidRPr="00BF4552">
        <w:rPr>
          <w:rFonts w:hint="eastAsia"/>
          <w:color w:val="auto"/>
        </w:rPr>
        <w:t>停聘或不續聘之</w:t>
      </w:r>
      <w:r w:rsidR="00876F45" w:rsidRPr="00BF4552">
        <w:rPr>
          <w:rFonts w:hint="eastAsia"/>
          <w:color w:val="auto"/>
        </w:rPr>
        <w:t>特別</w:t>
      </w:r>
      <w:r w:rsidRPr="00BF4552">
        <w:rPr>
          <w:rFonts w:hint="eastAsia"/>
          <w:color w:val="auto"/>
        </w:rPr>
        <w:t>規定，</w:t>
      </w:r>
      <w:r w:rsidR="00876F45" w:rsidRPr="00BF4552">
        <w:rPr>
          <w:rFonts w:hint="eastAsia"/>
          <w:color w:val="auto"/>
        </w:rPr>
        <w:t>至少該法非意圖擺脫教</w:t>
      </w:r>
      <w:r w:rsidR="001B40DB" w:rsidRPr="00BF4552">
        <w:rPr>
          <w:rFonts w:hint="eastAsia"/>
          <w:color w:val="auto"/>
        </w:rPr>
        <w:t>師</w:t>
      </w:r>
      <w:r w:rsidR="00876F45" w:rsidRPr="00BF4552">
        <w:rPr>
          <w:rFonts w:hint="eastAsia"/>
          <w:color w:val="auto"/>
        </w:rPr>
        <w:t>法所建立之實體與程序保障的特別法</w:t>
      </w:r>
      <w:r w:rsidR="00876F45" w:rsidRPr="00BF4552">
        <w:rPr>
          <w:rFonts w:hAnsi="標楷體" w:hint="eastAsia"/>
          <w:color w:val="auto"/>
        </w:rPr>
        <w:t>，</w:t>
      </w:r>
      <w:r w:rsidRPr="00BF4552">
        <w:rPr>
          <w:rFonts w:hint="eastAsia"/>
          <w:color w:val="auto"/>
        </w:rPr>
        <w:t>大學法第19條與教師法第14條應為平等地位，大學法第19條不可以掏空或甚至</w:t>
      </w:r>
      <w:r w:rsidR="00795157" w:rsidRPr="00BF4552">
        <w:rPr>
          <w:rFonts w:hint="eastAsia"/>
          <w:color w:val="auto"/>
        </w:rPr>
        <w:t>取代教師法的規定</w:t>
      </w:r>
      <w:r w:rsidR="00A86E81" w:rsidRPr="00BF4552">
        <w:rPr>
          <w:rFonts w:hint="eastAsia"/>
          <w:color w:val="auto"/>
        </w:rPr>
        <w:t>。</w:t>
      </w:r>
      <w:r w:rsidR="00876F45" w:rsidRPr="00BF4552">
        <w:rPr>
          <w:rFonts w:hint="eastAsia"/>
          <w:color w:val="auto"/>
        </w:rPr>
        <w:t>故教評會有關限期升等所做之決定</w:t>
      </w:r>
      <w:r w:rsidR="00876F45" w:rsidRPr="00BF4552">
        <w:rPr>
          <w:rFonts w:hAnsi="標楷體" w:hint="eastAsia"/>
          <w:color w:val="auto"/>
        </w:rPr>
        <w:t>，</w:t>
      </w:r>
      <w:r w:rsidR="00876F45" w:rsidRPr="00BF4552">
        <w:rPr>
          <w:rFonts w:hint="eastAsia"/>
          <w:color w:val="auto"/>
        </w:rPr>
        <w:t>仍應報請教育主管機關核准</w:t>
      </w:r>
      <w:r w:rsidR="00876F45" w:rsidRPr="00BF4552">
        <w:rPr>
          <w:rFonts w:hAnsi="標楷體" w:hint="eastAsia"/>
          <w:color w:val="auto"/>
        </w:rPr>
        <w:t>。</w:t>
      </w:r>
      <w:r w:rsidR="00876F45" w:rsidRPr="00BF4552">
        <w:rPr>
          <w:rStyle w:val="aff2"/>
          <w:rFonts w:hAnsi="標楷體"/>
          <w:color w:val="auto"/>
        </w:rPr>
        <w:footnoteReference w:id="3"/>
      </w:r>
    </w:p>
    <w:p w:rsidR="00876F45" w:rsidRPr="00BF4552" w:rsidRDefault="00876F45" w:rsidP="00441162">
      <w:pPr>
        <w:pStyle w:val="5"/>
        <w:rPr>
          <w:color w:val="auto"/>
        </w:rPr>
      </w:pPr>
      <w:r w:rsidRPr="00BF4552">
        <w:rPr>
          <w:rFonts w:hint="eastAsia"/>
          <w:color w:val="auto"/>
        </w:rPr>
        <w:t>因大學法之適用對象是大學</w:t>
      </w:r>
      <w:r w:rsidRPr="00BF4552">
        <w:rPr>
          <w:rFonts w:hAnsi="標楷體" w:hint="eastAsia"/>
          <w:color w:val="auto"/>
        </w:rPr>
        <w:t>，</w:t>
      </w:r>
      <w:r w:rsidRPr="00BF4552">
        <w:rPr>
          <w:rFonts w:hint="eastAsia"/>
          <w:color w:val="auto"/>
        </w:rPr>
        <w:t>教師法之適用對象是針對教師之權利</w:t>
      </w:r>
      <w:r w:rsidRPr="00BF4552">
        <w:rPr>
          <w:rFonts w:hAnsi="標楷體" w:hint="eastAsia"/>
          <w:color w:val="auto"/>
        </w:rPr>
        <w:t>，</w:t>
      </w:r>
      <w:r w:rsidRPr="00BF4552">
        <w:rPr>
          <w:rFonts w:hint="eastAsia"/>
          <w:color w:val="auto"/>
        </w:rPr>
        <w:t>二者權利標的不同</w:t>
      </w:r>
      <w:r w:rsidRPr="00BF4552">
        <w:rPr>
          <w:rFonts w:hAnsi="標楷體" w:hint="eastAsia"/>
          <w:color w:val="auto"/>
        </w:rPr>
        <w:t>，故</w:t>
      </w:r>
      <w:r w:rsidRPr="00BF4552">
        <w:rPr>
          <w:rFonts w:hint="eastAsia"/>
          <w:color w:val="auto"/>
        </w:rPr>
        <w:t>大學法第19條不是教師法第14條第1</w:t>
      </w:r>
      <w:r w:rsidR="0034497E" w:rsidRPr="00BF4552">
        <w:rPr>
          <w:rFonts w:hint="eastAsia"/>
          <w:color w:val="auto"/>
        </w:rPr>
        <w:t>項第14款之特別</w:t>
      </w:r>
      <w:r w:rsidR="0034497E" w:rsidRPr="00BF4552">
        <w:rPr>
          <w:rFonts w:hint="eastAsia"/>
          <w:color w:val="auto"/>
        </w:rPr>
        <w:lastRenderedPageBreak/>
        <w:t>法</w:t>
      </w:r>
      <w:r w:rsidR="0034497E" w:rsidRPr="00BF4552">
        <w:rPr>
          <w:rFonts w:hAnsi="標楷體" w:hint="eastAsia"/>
          <w:color w:val="auto"/>
        </w:rPr>
        <w:t>。</w:t>
      </w:r>
      <w:r w:rsidR="0034497E" w:rsidRPr="00BF4552">
        <w:rPr>
          <w:rStyle w:val="aff2"/>
          <w:rFonts w:hAnsi="標楷體"/>
          <w:color w:val="auto"/>
        </w:rPr>
        <w:footnoteReference w:id="4"/>
      </w:r>
    </w:p>
    <w:p w:rsidR="005F51C8" w:rsidRPr="00BF4552" w:rsidRDefault="0034497E" w:rsidP="00441162">
      <w:pPr>
        <w:pStyle w:val="5"/>
        <w:rPr>
          <w:color w:val="auto"/>
        </w:rPr>
      </w:pPr>
      <w:r w:rsidRPr="00BF4552">
        <w:rPr>
          <w:rFonts w:hint="eastAsia"/>
          <w:color w:val="auto"/>
        </w:rPr>
        <w:t>大學以教師違反聘約規定的義務為由，擬將其解聘、停聘或不續聘時，仍應受「情節重大」的限制</w:t>
      </w:r>
      <w:r w:rsidRPr="00BF4552">
        <w:rPr>
          <w:rFonts w:hAnsi="標楷體" w:hint="eastAsia"/>
          <w:color w:val="auto"/>
        </w:rPr>
        <w:t>。</w:t>
      </w:r>
      <w:r w:rsidRPr="00BF4552">
        <w:rPr>
          <w:rFonts w:hint="eastAsia"/>
          <w:color w:val="auto"/>
        </w:rPr>
        <w:t>就此而言，大學法第19條的適用僅係受到教師法第14條第1項第14款的節制，並未被架空，俾免濫用契約自由與大學自治，而兼顧教師的工作權與講學自由，始為合憲性解釋。而依教師法第14條之1規定</w:t>
      </w:r>
      <w:r w:rsidRPr="00BF4552">
        <w:rPr>
          <w:rFonts w:hAnsi="標楷體" w:hint="eastAsia"/>
          <w:color w:val="auto"/>
        </w:rPr>
        <w:t>，</w:t>
      </w:r>
      <w:r w:rsidRPr="00BF4552">
        <w:rPr>
          <w:rFonts w:hint="eastAsia"/>
          <w:color w:val="auto"/>
        </w:rPr>
        <w:t>教評會作成不續聘決議後應報請教育部核准</w:t>
      </w:r>
      <w:r w:rsidRPr="00BF4552">
        <w:rPr>
          <w:rFonts w:hAnsi="標楷體" w:hint="eastAsia"/>
          <w:color w:val="auto"/>
        </w:rPr>
        <w:t>，</w:t>
      </w:r>
      <w:r w:rsidRPr="00BF4552">
        <w:rPr>
          <w:rFonts w:hint="eastAsia"/>
          <w:color w:val="auto"/>
        </w:rPr>
        <w:t>援引大學法第19條亦無法迴避此法定必要程序</w:t>
      </w:r>
      <w:r w:rsidRPr="00BF4552">
        <w:rPr>
          <w:rFonts w:hAnsi="標楷體" w:hint="eastAsia"/>
          <w:color w:val="auto"/>
        </w:rPr>
        <w:t>，</w:t>
      </w:r>
      <w:r w:rsidRPr="00BF4552">
        <w:rPr>
          <w:rFonts w:hint="eastAsia"/>
          <w:color w:val="auto"/>
        </w:rPr>
        <w:t>蓋大學法第19條並未明文排除教師法第14條之1的適用</w:t>
      </w:r>
      <w:r w:rsidR="00202A0A" w:rsidRPr="00BF4552">
        <w:rPr>
          <w:rFonts w:hint="eastAsia"/>
          <w:color w:val="auto"/>
        </w:rPr>
        <w:t>。</w:t>
      </w:r>
      <w:r w:rsidRPr="00BF4552">
        <w:rPr>
          <w:rStyle w:val="aff2"/>
          <w:color w:val="auto"/>
        </w:rPr>
        <w:footnoteReference w:id="5"/>
      </w:r>
    </w:p>
    <w:p w:rsidR="0034497E" w:rsidRPr="00BF4552" w:rsidRDefault="0034497E" w:rsidP="00441162">
      <w:pPr>
        <w:pStyle w:val="5"/>
        <w:rPr>
          <w:color w:val="auto"/>
        </w:rPr>
      </w:pPr>
      <w:r w:rsidRPr="00BF4552">
        <w:rPr>
          <w:rFonts w:hint="eastAsia"/>
          <w:color w:val="auto"/>
        </w:rPr>
        <w:t>出席之</w:t>
      </w:r>
      <w:r w:rsidR="008F06A1" w:rsidRPr="00BF4552">
        <w:rPr>
          <w:rFonts w:hint="eastAsia"/>
          <w:color w:val="auto"/>
        </w:rPr>
        <w:t>部分</w:t>
      </w:r>
      <w:r w:rsidRPr="00BF4552">
        <w:rPr>
          <w:rFonts w:hint="eastAsia"/>
          <w:color w:val="auto"/>
        </w:rPr>
        <w:t>專家學者</w:t>
      </w:r>
      <w:r w:rsidR="008F06A1" w:rsidRPr="00BF4552">
        <w:rPr>
          <w:rFonts w:hint="eastAsia"/>
          <w:color w:val="auto"/>
        </w:rPr>
        <w:t>不採</w:t>
      </w:r>
      <w:r w:rsidRPr="00BF4552">
        <w:rPr>
          <w:rFonts w:hint="eastAsia"/>
          <w:color w:val="auto"/>
        </w:rPr>
        <w:t>大學法第19條優先適用</w:t>
      </w:r>
      <w:r w:rsidR="008F06A1" w:rsidRPr="00BF4552">
        <w:rPr>
          <w:rFonts w:hint="eastAsia"/>
          <w:color w:val="auto"/>
        </w:rPr>
        <w:t>之</w:t>
      </w:r>
      <w:r w:rsidRPr="00BF4552">
        <w:rPr>
          <w:rFonts w:hint="eastAsia"/>
          <w:color w:val="auto"/>
        </w:rPr>
        <w:t>見解</w:t>
      </w:r>
      <w:r w:rsidRPr="00BF4552">
        <w:rPr>
          <w:rFonts w:hAnsi="標楷體" w:hint="eastAsia"/>
          <w:color w:val="auto"/>
        </w:rPr>
        <w:t>，意見彙整如下：</w:t>
      </w:r>
    </w:p>
    <w:p w:rsidR="008F06A1" w:rsidRPr="00BF4552" w:rsidRDefault="008F06A1" w:rsidP="009F1CB3">
      <w:pPr>
        <w:pStyle w:val="6"/>
        <w:numPr>
          <w:ilvl w:val="0"/>
          <w:numId w:val="24"/>
        </w:numPr>
        <w:ind w:left="2254" w:hanging="504"/>
        <w:rPr>
          <w:color w:val="auto"/>
        </w:rPr>
      </w:pPr>
      <w:r w:rsidRPr="00BF4552">
        <w:rPr>
          <w:rFonts w:hint="eastAsia"/>
          <w:color w:val="auto"/>
        </w:rPr>
        <w:t>大學法第19條與教師法第14條，兩者間雖然沒有特別法的關係，但大學法第19條的文字反映不出其立法目的，大學法第19條設計要給學校能停聘或不續聘教師的工具也不限於限期升等。</w:t>
      </w:r>
    </w:p>
    <w:p w:rsidR="00D011FF" w:rsidRPr="00BF4552" w:rsidRDefault="00D011FF" w:rsidP="009F1CB3">
      <w:pPr>
        <w:pStyle w:val="6"/>
        <w:numPr>
          <w:ilvl w:val="0"/>
          <w:numId w:val="24"/>
        </w:numPr>
        <w:ind w:left="2254" w:hanging="504"/>
        <w:rPr>
          <w:color w:val="auto"/>
        </w:rPr>
      </w:pPr>
      <w:r w:rsidRPr="00BF4552">
        <w:rPr>
          <w:rFonts w:hint="eastAsia"/>
          <w:color w:val="auto"/>
        </w:rPr>
        <w:t>教師法第14條有解聘，大學法第19條沒有，兩個法令即為不同的設計。從最高行政法院105年的判決來看，要符合四個審查標準；法院提到正當法律程序的問題，就表示法院不認為大學法第19條單獨成立，而是認為大學法第19條還是要扣回到教師法第14條。</w:t>
      </w:r>
    </w:p>
    <w:p w:rsidR="00202A0A" w:rsidRPr="00BF4552" w:rsidRDefault="00202A0A" w:rsidP="00441162">
      <w:pPr>
        <w:pStyle w:val="5"/>
        <w:rPr>
          <w:color w:val="auto"/>
        </w:rPr>
      </w:pPr>
      <w:r w:rsidRPr="00BF4552">
        <w:rPr>
          <w:rFonts w:hint="eastAsia"/>
          <w:color w:val="auto"/>
        </w:rPr>
        <w:t>上開見解為近年來</w:t>
      </w:r>
      <w:r w:rsidR="00B03A5E" w:rsidRPr="00BF4552">
        <w:rPr>
          <w:rFonts w:hint="eastAsia"/>
          <w:color w:val="auto"/>
        </w:rPr>
        <w:t>多數</w:t>
      </w:r>
      <w:r w:rsidR="00A01308" w:rsidRPr="00BF4552">
        <w:rPr>
          <w:rFonts w:hint="eastAsia"/>
          <w:color w:val="auto"/>
        </w:rPr>
        <w:t>最高行政法院</w:t>
      </w:r>
      <w:r w:rsidRPr="00BF4552">
        <w:rPr>
          <w:rFonts w:hint="eastAsia"/>
          <w:color w:val="auto"/>
        </w:rPr>
        <w:t>判決所採取之見解。</w:t>
      </w:r>
    </w:p>
    <w:p w:rsidR="00D011FF" w:rsidRPr="00BF4552" w:rsidRDefault="00D011FF" w:rsidP="003663C6">
      <w:pPr>
        <w:pStyle w:val="3"/>
      </w:pPr>
      <w:r w:rsidRPr="00BF4552">
        <w:rPr>
          <w:rFonts w:hint="eastAsia"/>
        </w:rPr>
        <w:lastRenderedPageBreak/>
        <w:t>據司法院相關解釋及本院諮詢專家學者多數觀點指出大學法第19條應為教師法第14條第1項規定之特別規定</w:t>
      </w:r>
      <w:r w:rsidRPr="00BF4552">
        <w:rPr>
          <w:rFonts w:hAnsi="標楷體" w:hint="eastAsia"/>
        </w:rPr>
        <w:t>：</w:t>
      </w:r>
    </w:p>
    <w:p w:rsidR="00D011FF" w:rsidRPr="00BF4552" w:rsidRDefault="006E35B9" w:rsidP="00D011FF">
      <w:pPr>
        <w:pStyle w:val="4"/>
        <w:rPr>
          <w:color w:val="auto"/>
        </w:rPr>
      </w:pPr>
      <w:r w:rsidRPr="00BF4552">
        <w:rPr>
          <w:rFonts w:hint="eastAsia"/>
          <w:color w:val="auto"/>
        </w:rPr>
        <w:t>經查</w:t>
      </w:r>
      <w:r w:rsidRPr="00BF4552">
        <w:rPr>
          <w:color w:val="auto"/>
        </w:rPr>
        <w:t>憲法第</w:t>
      </w:r>
      <w:r w:rsidRPr="00BF4552">
        <w:rPr>
          <w:rFonts w:hint="eastAsia"/>
          <w:color w:val="auto"/>
        </w:rPr>
        <w:t>11</w:t>
      </w:r>
      <w:r w:rsidRPr="00BF4552">
        <w:rPr>
          <w:color w:val="auto"/>
        </w:rPr>
        <w:t>條關於講學自由之規定，係對學術自由之制度性保障；就大學教育而言，應包含研究自由、教學自由及學習自由等事項。大學法第</w:t>
      </w:r>
      <w:r w:rsidRPr="00BF4552">
        <w:rPr>
          <w:rFonts w:hint="eastAsia"/>
          <w:color w:val="auto"/>
        </w:rPr>
        <w:t>1</w:t>
      </w:r>
      <w:r w:rsidRPr="00BF4552">
        <w:rPr>
          <w:color w:val="auto"/>
        </w:rPr>
        <w:t>條第</w:t>
      </w:r>
      <w:r w:rsidRPr="00BF4552">
        <w:rPr>
          <w:rFonts w:hint="eastAsia"/>
          <w:color w:val="auto"/>
        </w:rPr>
        <w:t>2</w:t>
      </w:r>
      <w:r w:rsidRPr="00BF4552">
        <w:rPr>
          <w:color w:val="auto"/>
        </w:rPr>
        <w:t>項規定：「大學應受學術自由之保障，並在法律規定範圍內，享有自治權」，其自治權之範圍，應包含直接涉及研究與教學之學術重要事項</w:t>
      </w:r>
      <w:r w:rsidRPr="00BF4552">
        <w:rPr>
          <w:rFonts w:hint="eastAsia"/>
          <w:color w:val="auto"/>
        </w:rPr>
        <w:t>。又</w:t>
      </w:r>
      <w:r w:rsidRPr="00BF4552">
        <w:rPr>
          <w:color w:val="auto"/>
          <w:kern w:val="0"/>
        </w:rPr>
        <w:t>學術自由之保障，應自大學組織及其他建制方面，加以確保，亦即為制度性之保障。為保障大學之學術自由，應承認大學自治之制度，對於研究、教學及學習等活動，擔保其不受不當之干涉，使大學享有組織經營之自治權能，個人享有學術自由</w:t>
      </w:r>
      <w:r w:rsidRPr="00BF4552">
        <w:rPr>
          <w:rFonts w:hint="eastAsia"/>
          <w:color w:val="auto"/>
          <w:kern w:val="0"/>
        </w:rPr>
        <w:t>。</w:t>
      </w:r>
      <w:r w:rsidRPr="00BF4552">
        <w:rPr>
          <w:color w:val="auto"/>
          <w:kern w:val="0"/>
        </w:rPr>
        <w:t>大學內部組織、教師聘任及資格評量，亦為大學之自治權限，尤應杜絕外來之不當干涉</w:t>
      </w:r>
      <w:r w:rsidR="00EF32F4" w:rsidRPr="00BF4552">
        <w:rPr>
          <w:rFonts w:hint="eastAsia"/>
          <w:color w:val="auto"/>
        </w:rPr>
        <w:t>(</w:t>
      </w:r>
      <w:r w:rsidRPr="00BF4552">
        <w:rPr>
          <w:rFonts w:hint="eastAsia"/>
          <w:color w:val="auto"/>
        </w:rPr>
        <w:t>釋字第380號解釋參照</w:t>
      </w:r>
      <w:r w:rsidR="00EF32F4" w:rsidRPr="00BF4552">
        <w:rPr>
          <w:rFonts w:hint="eastAsia"/>
          <w:color w:val="auto"/>
        </w:rPr>
        <w:t>)</w:t>
      </w:r>
      <w:r w:rsidRPr="00BF4552">
        <w:rPr>
          <w:rFonts w:hint="eastAsia"/>
          <w:color w:val="auto"/>
        </w:rPr>
        <w:t>。此外，</w:t>
      </w:r>
      <w:r w:rsidRPr="00BF4552">
        <w:rPr>
          <w:color w:val="auto"/>
        </w:rPr>
        <w:t>為避免學術自由受國家不當干預，不僅行政監督應受相當之限制，立法機關亦僅得在合理範圍內對大學事務加以規範，受理行政爭訟之機關審理行政爭訟事件，亦應本於維護大學自治之原則，對大學之專業判斷予以適度之尊重</w:t>
      </w:r>
      <w:r w:rsidR="00EF32F4" w:rsidRPr="00BF4552">
        <w:rPr>
          <w:rFonts w:hint="eastAsia"/>
          <w:color w:val="auto"/>
        </w:rPr>
        <w:t>(</w:t>
      </w:r>
      <w:r w:rsidRPr="00BF4552">
        <w:rPr>
          <w:rFonts w:hint="eastAsia"/>
          <w:color w:val="auto"/>
        </w:rPr>
        <w:t>釋字第684號解釋參照</w:t>
      </w:r>
      <w:r w:rsidR="00EF32F4" w:rsidRPr="00BF4552">
        <w:rPr>
          <w:rFonts w:hint="eastAsia"/>
          <w:color w:val="auto"/>
        </w:rPr>
        <w:t>)</w:t>
      </w:r>
      <w:r w:rsidR="00D011FF" w:rsidRPr="00BF4552">
        <w:rPr>
          <w:rFonts w:hAnsi="標楷體" w:hint="eastAsia"/>
          <w:color w:val="auto"/>
        </w:rPr>
        <w:t>。</w:t>
      </w:r>
    </w:p>
    <w:p w:rsidR="00D011FF" w:rsidRPr="00BF4552" w:rsidRDefault="00E401BD" w:rsidP="00D011FF">
      <w:pPr>
        <w:pStyle w:val="4"/>
        <w:rPr>
          <w:color w:val="auto"/>
        </w:rPr>
      </w:pPr>
      <w:r w:rsidRPr="00BF4552">
        <w:rPr>
          <w:rFonts w:hint="eastAsia"/>
          <w:color w:val="auto"/>
        </w:rPr>
        <w:t>如同本案有諮詢專家學者指出：並非大學訂定的章則法院都不能碰。但法院如認為學校的章則過於抽象或不合法，應僅能進行合憲性或合法性審查，至於妥當性或合適性審查，應回歸學術自由的專業性判斷。</w:t>
      </w:r>
      <w:r w:rsidR="006E35B9" w:rsidRPr="00BF4552">
        <w:rPr>
          <w:rFonts w:cs="標楷體" w:hint="eastAsia"/>
          <w:color w:val="auto"/>
          <w:kern w:val="0"/>
          <w:lang w:val="zh-TW"/>
        </w:rPr>
        <w:t>基於上開</w:t>
      </w:r>
      <w:r w:rsidR="006E35B9" w:rsidRPr="00BF4552">
        <w:rPr>
          <w:color w:val="auto"/>
        </w:rPr>
        <w:t>憲法第</w:t>
      </w:r>
      <w:r w:rsidR="006E35B9" w:rsidRPr="00BF4552">
        <w:rPr>
          <w:rFonts w:hint="eastAsia"/>
          <w:color w:val="auto"/>
        </w:rPr>
        <w:t>11</w:t>
      </w:r>
      <w:r w:rsidR="006E35B9" w:rsidRPr="00BF4552">
        <w:rPr>
          <w:color w:val="auto"/>
        </w:rPr>
        <w:t>條關於講學自由之規定，對學術自由之制度性保障</w:t>
      </w:r>
      <w:r w:rsidR="006E35B9" w:rsidRPr="00BF4552">
        <w:rPr>
          <w:rFonts w:hint="eastAsia"/>
          <w:color w:val="auto"/>
        </w:rPr>
        <w:t>，</w:t>
      </w:r>
      <w:r w:rsidR="006E35B9" w:rsidRPr="00BF4552">
        <w:rPr>
          <w:color w:val="auto"/>
        </w:rPr>
        <w:t>大學對於教學、研究與學習之事項，享有自治權，其自治事項範圍除內部組織、課程設計、研究內容、學力評鑑、考試規則</w:t>
      </w:r>
      <w:r w:rsidR="006E35B9" w:rsidRPr="00BF4552">
        <w:rPr>
          <w:color w:val="auto"/>
        </w:rPr>
        <w:lastRenderedPageBreak/>
        <w:t>及畢業條件等外</w:t>
      </w:r>
      <w:r w:rsidR="006E35B9" w:rsidRPr="00BF4552">
        <w:rPr>
          <w:rFonts w:hint="eastAsia"/>
          <w:color w:val="auto"/>
        </w:rPr>
        <w:t>，自</w:t>
      </w:r>
      <w:r w:rsidR="006E35B9" w:rsidRPr="00BF4552">
        <w:rPr>
          <w:color w:val="auto"/>
        </w:rPr>
        <w:t>亦包括</w:t>
      </w:r>
      <w:r w:rsidR="005109CE" w:rsidRPr="00BF4552">
        <w:rPr>
          <w:rFonts w:hint="eastAsia"/>
          <w:color w:val="auto"/>
        </w:rPr>
        <w:t>教師任用上之自主決策權，亦即大學得基於教學、研究、服務之整體發展需要，將教師之學術研究能力與成果之要求，明文約定於聘約中，此即大學法第19條所規定：大學得</w:t>
      </w:r>
      <w:r w:rsidR="006E35B9" w:rsidRPr="00BF4552">
        <w:rPr>
          <w:rFonts w:hint="eastAsia"/>
          <w:color w:val="auto"/>
        </w:rPr>
        <w:t>基於學術研究發展需要，另定教師停聘或不續聘之規定，經校務會議審議通過後實施，並納入聘約</w:t>
      </w:r>
      <w:r w:rsidR="006E35B9" w:rsidRPr="00BF4552">
        <w:rPr>
          <w:color w:val="auto"/>
        </w:rPr>
        <w:t>，俾大學得藉以篩選</w:t>
      </w:r>
      <w:r w:rsidR="006E35B9" w:rsidRPr="00BF4552">
        <w:rPr>
          <w:rFonts w:hint="eastAsia"/>
          <w:color w:val="auto"/>
        </w:rPr>
        <w:t>老師</w:t>
      </w:r>
      <w:r w:rsidR="006E35B9" w:rsidRPr="00BF4552">
        <w:rPr>
          <w:color w:val="auto"/>
        </w:rPr>
        <w:t>，維繫學校品質，提升競爭力，並發展特色，實現</w:t>
      </w:r>
      <w:r w:rsidR="006E35B9" w:rsidRPr="00BF4552">
        <w:rPr>
          <w:color w:val="auto"/>
          <w:kern w:val="0"/>
        </w:rPr>
        <w:t>大學以研究學術、培育人才、提升文化、服務社會、促進國家發展為宗旨</w:t>
      </w:r>
      <w:r w:rsidR="00EF32F4" w:rsidRPr="00BF4552">
        <w:rPr>
          <w:rFonts w:hint="eastAsia"/>
          <w:color w:val="auto"/>
          <w:kern w:val="0"/>
        </w:rPr>
        <w:t>(</w:t>
      </w:r>
      <w:r w:rsidR="006E35B9" w:rsidRPr="00BF4552">
        <w:rPr>
          <w:color w:val="auto"/>
          <w:kern w:val="0"/>
        </w:rPr>
        <w:t>大學法第</w:t>
      </w:r>
      <w:r w:rsidR="006E35B9" w:rsidRPr="00BF4552">
        <w:rPr>
          <w:rFonts w:hint="eastAsia"/>
          <w:color w:val="auto"/>
          <w:kern w:val="0"/>
        </w:rPr>
        <w:t>1</w:t>
      </w:r>
      <w:r w:rsidR="006E35B9" w:rsidRPr="00BF4552">
        <w:rPr>
          <w:color w:val="auto"/>
          <w:kern w:val="0"/>
        </w:rPr>
        <w:t>條第</w:t>
      </w:r>
      <w:r w:rsidR="006E35B9" w:rsidRPr="00BF4552">
        <w:rPr>
          <w:rFonts w:hint="eastAsia"/>
          <w:color w:val="auto"/>
          <w:kern w:val="0"/>
        </w:rPr>
        <w:t>1</w:t>
      </w:r>
      <w:r w:rsidR="006E35B9" w:rsidRPr="00BF4552">
        <w:rPr>
          <w:color w:val="auto"/>
          <w:kern w:val="0"/>
        </w:rPr>
        <w:t>項</w:t>
      </w:r>
      <w:r w:rsidR="00EF32F4" w:rsidRPr="00BF4552">
        <w:rPr>
          <w:rFonts w:hint="eastAsia"/>
          <w:color w:val="auto"/>
          <w:kern w:val="0"/>
        </w:rPr>
        <w:t>)</w:t>
      </w:r>
      <w:r w:rsidR="006E35B9" w:rsidRPr="00BF4552">
        <w:rPr>
          <w:rFonts w:hint="eastAsia"/>
          <w:color w:val="auto"/>
          <w:kern w:val="0"/>
        </w:rPr>
        <w:t>之</w:t>
      </w:r>
      <w:r w:rsidR="006E35B9" w:rsidRPr="00BF4552">
        <w:rPr>
          <w:color w:val="auto"/>
        </w:rPr>
        <w:t>教育理念。</w:t>
      </w:r>
    </w:p>
    <w:p w:rsidR="006E35B9" w:rsidRPr="00BF4552" w:rsidRDefault="002B6C3F" w:rsidP="00D011FF">
      <w:pPr>
        <w:pStyle w:val="4"/>
        <w:rPr>
          <w:color w:val="auto"/>
        </w:rPr>
      </w:pPr>
      <w:r w:rsidRPr="00BF4552">
        <w:rPr>
          <w:rFonts w:hint="eastAsia"/>
          <w:color w:val="auto"/>
        </w:rPr>
        <w:t>因此，大學法第19條即有讓大學藉由特</w:t>
      </w:r>
      <w:r w:rsidR="00D011FF" w:rsidRPr="00BF4552">
        <w:rPr>
          <w:rFonts w:hint="eastAsia"/>
          <w:color w:val="auto"/>
        </w:rPr>
        <w:t>別</w:t>
      </w:r>
      <w:r w:rsidRPr="00BF4552">
        <w:rPr>
          <w:rFonts w:hint="eastAsia"/>
          <w:color w:val="auto"/>
        </w:rPr>
        <w:t>規定來引導教師從事研究或追求卓越之立法目的，應為教師法第14條</w:t>
      </w:r>
      <w:r w:rsidR="00D011FF" w:rsidRPr="00BF4552">
        <w:rPr>
          <w:rFonts w:hint="eastAsia"/>
          <w:color w:val="auto"/>
        </w:rPr>
        <w:t>第1項</w:t>
      </w:r>
      <w:r w:rsidRPr="00BF4552">
        <w:rPr>
          <w:rFonts w:hint="eastAsia"/>
          <w:color w:val="auto"/>
        </w:rPr>
        <w:t>規定之特別規定，並屬於大學</w:t>
      </w:r>
      <w:r w:rsidRPr="00BF4552">
        <w:rPr>
          <w:color w:val="auto"/>
        </w:rPr>
        <w:t>自治事項範圍</w:t>
      </w:r>
      <w:r w:rsidR="005109CE" w:rsidRPr="00BF4552">
        <w:rPr>
          <w:rFonts w:hint="eastAsia"/>
          <w:color w:val="auto"/>
        </w:rPr>
        <w:t>，而為鞏固大學學術自由之基石</w:t>
      </w:r>
      <w:r w:rsidR="001F2C33" w:rsidRPr="00BF4552">
        <w:rPr>
          <w:rFonts w:hint="eastAsia"/>
          <w:color w:val="auto"/>
        </w:rPr>
        <w:t>。如果大學依大學法第19條規定</w:t>
      </w:r>
      <w:r w:rsidR="005C53ED" w:rsidRPr="00BF4552">
        <w:rPr>
          <w:rFonts w:hint="eastAsia"/>
          <w:color w:val="auto"/>
        </w:rPr>
        <w:t>經校務會議通過之章則並</w:t>
      </w:r>
      <w:r w:rsidR="001F2C33" w:rsidRPr="00BF4552">
        <w:rPr>
          <w:rFonts w:hint="eastAsia"/>
          <w:color w:val="auto"/>
        </w:rPr>
        <w:t>與教師</w:t>
      </w:r>
      <w:r w:rsidR="005C53ED" w:rsidRPr="00BF4552">
        <w:rPr>
          <w:rFonts w:hint="eastAsia"/>
          <w:color w:val="auto"/>
        </w:rPr>
        <w:t>於聘約中</w:t>
      </w:r>
      <w:r w:rsidR="001F2C33" w:rsidRPr="00BF4552">
        <w:rPr>
          <w:rFonts w:hint="eastAsia"/>
          <w:color w:val="auto"/>
        </w:rPr>
        <w:t>約定</w:t>
      </w:r>
      <w:r w:rsidR="009C1130" w:rsidRPr="00BF4552">
        <w:rPr>
          <w:rFonts w:hint="eastAsia"/>
          <w:color w:val="auto"/>
        </w:rPr>
        <w:t>其權利義務內容，最後</w:t>
      </w:r>
      <w:r w:rsidR="005C53ED" w:rsidRPr="00BF4552">
        <w:rPr>
          <w:rFonts w:hint="eastAsia"/>
          <w:color w:val="auto"/>
        </w:rPr>
        <w:t>仍須連結</w:t>
      </w:r>
      <w:r w:rsidR="009C1130" w:rsidRPr="00BF4552">
        <w:rPr>
          <w:rFonts w:hint="eastAsia"/>
          <w:color w:val="auto"/>
        </w:rPr>
        <w:t>教師法第14條</w:t>
      </w:r>
      <w:r w:rsidR="005C53ED" w:rsidRPr="00BF4552">
        <w:rPr>
          <w:rFonts w:hint="eastAsia"/>
          <w:color w:val="auto"/>
        </w:rPr>
        <w:t>第1項之</w:t>
      </w:r>
      <w:r w:rsidR="009C1130" w:rsidRPr="00BF4552">
        <w:rPr>
          <w:rFonts w:hint="eastAsia"/>
          <w:color w:val="auto"/>
        </w:rPr>
        <w:t>規定</w:t>
      </w:r>
      <w:r w:rsidR="005C53ED" w:rsidRPr="00BF4552">
        <w:rPr>
          <w:rFonts w:hint="eastAsia"/>
          <w:color w:val="auto"/>
        </w:rPr>
        <w:t>加以解釋</w:t>
      </w:r>
      <w:r w:rsidR="009C1130" w:rsidRPr="00BF4552">
        <w:rPr>
          <w:rFonts w:hint="eastAsia"/>
          <w:color w:val="auto"/>
        </w:rPr>
        <w:t>，則大學法第19條便失其立法目的與功能。</w:t>
      </w:r>
    </w:p>
    <w:p w:rsidR="00B605A3" w:rsidRPr="00BF4552" w:rsidRDefault="009C1130" w:rsidP="003663C6">
      <w:pPr>
        <w:pStyle w:val="3"/>
      </w:pPr>
      <w:r w:rsidRPr="00BF4552">
        <w:rPr>
          <w:rFonts w:hint="eastAsia"/>
        </w:rPr>
        <w:t>惟因大學法第19條對於大學教師停聘或不續聘之事由及程序欠缺明確之規定，致生該條與教師法第14條</w:t>
      </w:r>
      <w:r w:rsidR="00B605A3" w:rsidRPr="00BF4552">
        <w:rPr>
          <w:rFonts w:hint="eastAsia"/>
        </w:rPr>
        <w:t>第1項</w:t>
      </w:r>
      <w:r w:rsidRPr="00BF4552">
        <w:rPr>
          <w:rFonts w:hint="eastAsia"/>
        </w:rPr>
        <w:t>規定間</w:t>
      </w:r>
      <w:r w:rsidR="00DB2057" w:rsidRPr="00BF4552">
        <w:rPr>
          <w:rFonts w:hint="eastAsia"/>
        </w:rPr>
        <w:t>適用</w:t>
      </w:r>
      <w:r w:rsidRPr="00BF4552">
        <w:rPr>
          <w:rFonts w:hint="eastAsia"/>
        </w:rPr>
        <w:t>之爭議</w:t>
      </w:r>
      <w:r w:rsidR="00B605A3" w:rsidRPr="00BF4552">
        <w:rPr>
          <w:rFonts w:hAnsi="標楷體" w:hint="eastAsia"/>
        </w:rPr>
        <w:t>，</w:t>
      </w:r>
      <w:r w:rsidR="00B605A3" w:rsidRPr="00BF4552">
        <w:rPr>
          <w:rFonts w:hint="eastAsia"/>
        </w:rPr>
        <w:t>本案諮詢專家學者指出</w:t>
      </w:r>
      <w:r w:rsidR="00B605A3" w:rsidRPr="00BF4552">
        <w:rPr>
          <w:rFonts w:hAnsi="標楷體" w:hint="eastAsia"/>
        </w:rPr>
        <w:t>：</w:t>
      </w:r>
    </w:p>
    <w:p w:rsidR="00B605A3" w:rsidRPr="00BF4552" w:rsidRDefault="00086742" w:rsidP="00B605A3">
      <w:pPr>
        <w:pStyle w:val="4"/>
        <w:rPr>
          <w:color w:val="auto"/>
        </w:rPr>
      </w:pPr>
      <w:r w:rsidRPr="00BF4552">
        <w:rPr>
          <w:rFonts w:hint="eastAsia"/>
          <w:color w:val="auto"/>
        </w:rPr>
        <w:t>大學法第19條的目的是要變成教師法的特別法，但大學法第19條的條文文字寫得不</w:t>
      </w:r>
      <w:r w:rsidR="00B605A3" w:rsidRPr="00BF4552">
        <w:rPr>
          <w:rFonts w:hint="eastAsia"/>
          <w:color w:val="auto"/>
        </w:rPr>
        <w:t>完整</w:t>
      </w:r>
      <w:r w:rsidRPr="00BF4552">
        <w:rPr>
          <w:rFonts w:hint="eastAsia"/>
          <w:color w:val="auto"/>
        </w:rPr>
        <w:t>，寫到「納入聘約。」就沒有了</w:t>
      </w:r>
      <w:r w:rsidR="004D05AA" w:rsidRPr="00BF4552">
        <w:rPr>
          <w:rFonts w:hint="eastAsia"/>
          <w:color w:val="auto"/>
        </w:rPr>
        <w:t>；</w:t>
      </w:r>
      <w:r w:rsidR="005C3813" w:rsidRPr="00BF4552">
        <w:rPr>
          <w:rFonts w:hint="eastAsia"/>
          <w:color w:val="auto"/>
        </w:rPr>
        <w:t>大學法第19條如修改為「違反聘約並得視為情節重大」，可以跟教師法</w:t>
      </w:r>
      <w:r w:rsidR="00EF32F4" w:rsidRPr="00BF4552">
        <w:rPr>
          <w:rFonts w:hint="eastAsia"/>
          <w:color w:val="auto"/>
        </w:rPr>
        <w:t>第</w:t>
      </w:r>
      <w:r w:rsidR="005C3813" w:rsidRPr="00BF4552">
        <w:rPr>
          <w:rFonts w:hint="eastAsia"/>
          <w:color w:val="auto"/>
        </w:rPr>
        <w:t>14條連結，應可以解套</w:t>
      </w:r>
      <w:r w:rsidR="00B605A3" w:rsidRPr="00BF4552">
        <w:rPr>
          <w:rFonts w:hAnsi="標楷體" w:hint="eastAsia"/>
          <w:color w:val="auto"/>
        </w:rPr>
        <w:t>。</w:t>
      </w:r>
    </w:p>
    <w:p w:rsidR="00B605A3" w:rsidRPr="00BF4552" w:rsidRDefault="005B35E8" w:rsidP="00B605A3">
      <w:pPr>
        <w:pStyle w:val="4"/>
        <w:rPr>
          <w:color w:val="auto"/>
        </w:rPr>
      </w:pPr>
      <w:r w:rsidRPr="00BF4552">
        <w:rPr>
          <w:rFonts w:hint="eastAsia"/>
          <w:color w:val="auto"/>
        </w:rPr>
        <w:t>大學法</w:t>
      </w:r>
      <w:r w:rsidR="004867C4" w:rsidRPr="00BF4552">
        <w:rPr>
          <w:rFonts w:hint="eastAsia"/>
          <w:color w:val="auto"/>
        </w:rPr>
        <w:t>第</w:t>
      </w:r>
      <w:r w:rsidRPr="00BF4552">
        <w:rPr>
          <w:rFonts w:hint="eastAsia"/>
          <w:color w:val="auto"/>
        </w:rPr>
        <w:t>19條制定的時間點係在教師法第14條之後，當初草擬大學法</w:t>
      </w:r>
      <w:r w:rsidR="004867C4" w:rsidRPr="00BF4552">
        <w:rPr>
          <w:rFonts w:hint="eastAsia"/>
          <w:color w:val="auto"/>
        </w:rPr>
        <w:t>第</w:t>
      </w:r>
      <w:r w:rsidRPr="00BF4552">
        <w:rPr>
          <w:rFonts w:hint="eastAsia"/>
          <w:color w:val="auto"/>
        </w:rPr>
        <w:t>19條本來就以「特別法」來設計的，所以該條明白規定，除教師法規定外，可</w:t>
      </w:r>
      <w:r w:rsidRPr="00BF4552">
        <w:rPr>
          <w:rFonts w:hint="eastAsia"/>
          <w:color w:val="auto"/>
        </w:rPr>
        <w:lastRenderedPageBreak/>
        <w:t>以另外定停聘、不續聘規定，這規定本來就是針對限期升等訂定的。但可能在立法妥協上沒有明確排除教師法</w:t>
      </w:r>
      <w:r w:rsidR="004867C4" w:rsidRPr="00BF4552">
        <w:rPr>
          <w:rFonts w:hint="eastAsia"/>
          <w:color w:val="auto"/>
        </w:rPr>
        <w:t>第</w:t>
      </w:r>
      <w:r w:rsidRPr="00BF4552">
        <w:rPr>
          <w:rFonts w:hint="eastAsia"/>
          <w:color w:val="auto"/>
        </w:rPr>
        <w:t>14條適用，所以變成法解釋論問題</w:t>
      </w:r>
      <w:r w:rsidR="004867C4" w:rsidRPr="00BF4552">
        <w:rPr>
          <w:rFonts w:hint="eastAsia"/>
          <w:color w:val="auto"/>
        </w:rPr>
        <w:t>。</w:t>
      </w:r>
    </w:p>
    <w:p w:rsidR="00EF32F4" w:rsidRPr="00BF4552" w:rsidRDefault="005B35E8" w:rsidP="00B605A3">
      <w:pPr>
        <w:pStyle w:val="4"/>
        <w:rPr>
          <w:color w:val="auto"/>
        </w:rPr>
      </w:pPr>
      <w:r w:rsidRPr="00BF4552">
        <w:rPr>
          <w:rFonts w:hint="eastAsia"/>
          <w:color w:val="auto"/>
        </w:rPr>
        <w:t>大學法</w:t>
      </w:r>
      <w:r w:rsidR="004867C4" w:rsidRPr="00BF4552">
        <w:rPr>
          <w:rFonts w:hint="eastAsia"/>
          <w:color w:val="auto"/>
        </w:rPr>
        <w:t>第</w:t>
      </w:r>
      <w:r w:rsidRPr="00BF4552">
        <w:rPr>
          <w:rFonts w:hint="eastAsia"/>
          <w:color w:val="auto"/>
        </w:rPr>
        <w:t>19條也有排除教師法規定</w:t>
      </w:r>
      <w:r w:rsidR="004D534E" w:rsidRPr="00BF4552">
        <w:rPr>
          <w:rFonts w:hint="eastAsia"/>
          <w:color w:val="auto"/>
        </w:rPr>
        <w:t>之文字</w:t>
      </w:r>
      <w:r w:rsidRPr="00BF4552">
        <w:rPr>
          <w:rFonts w:hint="eastAsia"/>
          <w:color w:val="auto"/>
        </w:rPr>
        <w:t>，並非完全沒寫，只是沒有訂定相關程序，應該要有程序規定，尤其學校不是法律專家</w:t>
      </w:r>
      <w:r w:rsidR="00ED7D53" w:rsidRPr="00BF4552">
        <w:rPr>
          <w:rFonts w:hint="eastAsia"/>
          <w:color w:val="auto"/>
        </w:rPr>
        <w:t>；大學法第19條對於程序部分沒有規定，如果</w:t>
      </w:r>
      <w:r w:rsidR="00A50D26" w:rsidRPr="00BF4552">
        <w:rPr>
          <w:rFonts w:hint="eastAsia"/>
          <w:color w:val="auto"/>
        </w:rPr>
        <w:t>有教師該當</w:t>
      </w:r>
      <w:r w:rsidR="004971AD" w:rsidRPr="00BF4552">
        <w:rPr>
          <w:rFonts w:hint="eastAsia"/>
          <w:color w:val="auto"/>
        </w:rPr>
        <w:t>停聘或不續聘之規定</w:t>
      </w:r>
      <w:r w:rsidR="00ED7D53" w:rsidRPr="00BF4552">
        <w:rPr>
          <w:rFonts w:hint="eastAsia"/>
          <w:color w:val="auto"/>
        </w:rPr>
        <w:t>事由，</w:t>
      </w:r>
      <w:r w:rsidR="00A50D26" w:rsidRPr="00BF4552">
        <w:rPr>
          <w:rFonts w:hint="eastAsia"/>
          <w:color w:val="auto"/>
        </w:rPr>
        <w:t>大學法第19條並</w:t>
      </w:r>
      <w:r w:rsidR="00ED7D53" w:rsidRPr="00BF4552">
        <w:rPr>
          <w:rFonts w:hint="eastAsia"/>
          <w:color w:val="auto"/>
        </w:rPr>
        <w:t>沒有說明個案的程序應怎麼走。因此程序上，贊同可以回歸教師法，</w:t>
      </w:r>
      <w:r w:rsidR="00A50D26" w:rsidRPr="00BF4552">
        <w:rPr>
          <w:rFonts w:hint="eastAsia"/>
          <w:color w:val="auto"/>
        </w:rPr>
        <w:t>例如</w:t>
      </w:r>
      <w:r w:rsidR="00ED7D53" w:rsidRPr="00BF4552">
        <w:rPr>
          <w:rFonts w:hint="eastAsia"/>
          <w:color w:val="auto"/>
        </w:rPr>
        <w:t>最終回到</w:t>
      </w:r>
      <w:r w:rsidR="00A50D26" w:rsidRPr="00BF4552">
        <w:rPr>
          <w:rFonts w:hint="eastAsia"/>
          <w:color w:val="auto"/>
        </w:rPr>
        <w:t>由</w:t>
      </w:r>
      <w:r w:rsidR="00ED7D53" w:rsidRPr="00BF4552">
        <w:rPr>
          <w:rFonts w:hint="eastAsia"/>
          <w:color w:val="auto"/>
        </w:rPr>
        <w:t>教育部核定。</w:t>
      </w:r>
      <w:r w:rsidR="00A50D26" w:rsidRPr="00BF4552">
        <w:rPr>
          <w:rFonts w:hint="eastAsia"/>
          <w:color w:val="auto"/>
        </w:rPr>
        <w:t>惟</w:t>
      </w:r>
      <w:r w:rsidR="00ED7D53" w:rsidRPr="00BF4552">
        <w:rPr>
          <w:rFonts w:hint="eastAsia"/>
          <w:color w:val="auto"/>
        </w:rPr>
        <w:t>核定有不同層次，</w:t>
      </w:r>
      <w:r w:rsidR="00EF32F4" w:rsidRPr="00BF4552">
        <w:rPr>
          <w:rFonts w:hint="eastAsia"/>
          <w:color w:val="auto"/>
        </w:rPr>
        <w:t>例</w:t>
      </w:r>
      <w:r w:rsidR="00ED7D53" w:rsidRPr="00BF4552">
        <w:rPr>
          <w:rFonts w:hint="eastAsia"/>
          <w:color w:val="auto"/>
        </w:rPr>
        <w:t>如土地徵收的核定</w:t>
      </w:r>
      <w:r w:rsidR="00A50D26" w:rsidRPr="00BF4552">
        <w:rPr>
          <w:rFonts w:hint="eastAsia"/>
          <w:color w:val="auto"/>
        </w:rPr>
        <w:t>是</w:t>
      </w:r>
      <w:r w:rsidR="004D534E" w:rsidRPr="00BF4552">
        <w:rPr>
          <w:rFonts w:hint="eastAsia"/>
          <w:color w:val="auto"/>
        </w:rPr>
        <w:t>主管機關</w:t>
      </w:r>
      <w:r w:rsidR="00A50D26" w:rsidRPr="00BF4552">
        <w:rPr>
          <w:rFonts w:hint="eastAsia"/>
          <w:color w:val="auto"/>
        </w:rPr>
        <w:t>擁有</w:t>
      </w:r>
      <w:r w:rsidR="00ED7D53" w:rsidRPr="00BF4552">
        <w:rPr>
          <w:rFonts w:hint="eastAsia"/>
          <w:color w:val="auto"/>
        </w:rPr>
        <w:t>實質</w:t>
      </w:r>
      <w:r w:rsidR="00A50D26" w:rsidRPr="00BF4552">
        <w:rPr>
          <w:rFonts w:hint="eastAsia"/>
          <w:color w:val="auto"/>
        </w:rPr>
        <w:t>的</w:t>
      </w:r>
      <w:r w:rsidR="00ED7D53" w:rsidRPr="00BF4552">
        <w:rPr>
          <w:rFonts w:hint="eastAsia"/>
          <w:color w:val="auto"/>
        </w:rPr>
        <w:t>決定權，</w:t>
      </w:r>
      <w:r w:rsidR="00A50D26" w:rsidRPr="00BF4552">
        <w:rPr>
          <w:rFonts w:hint="eastAsia"/>
          <w:color w:val="auto"/>
        </w:rPr>
        <w:t>但教育部的核定</w:t>
      </w:r>
      <w:r w:rsidR="00ED7D53" w:rsidRPr="00BF4552">
        <w:rPr>
          <w:rFonts w:hint="eastAsia"/>
          <w:color w:val="auto"/>
        </w:rPr>
        <w:t>僅是檢視要件是否符合的核定，這種情況下較不會傷害大學自治主導權和自主權</w:t>
      </w:r>
      <w:r w:rsidR="00A50D26" w:rsidRPr="00BF4552">
        <w:rPr>
          <w:rFonts w:hint="eastAsia"/>
          <w:color w:val="auto"/>
        </w:rPr>
        <w:t>等</w:t>
      </w:r>
      <w:r w:rsidR="00ED7D53" w:rsidRPr="00BF4552">
        <w:rPr>
          <w:rFonts w:hint="eastAsia"/>
          <w:color w:val="auto"/>
        </w:rPr>
        <w:t>。</w:t>
      </w:r>
    </w:p>
    <w:p w:rsidR="006E35B9" w:rsidRPr="00BF4552" w:rsidRDefault="00A50D26" w:rsidP="003663C6">
      <w:pPr>
        <w:pStyle w:val="3"/>
      </w:pPr>
      <w:r w:rsidRPr="00BF4552">
        <w:rPr>
          <w:rFonts w:hint="eastAsia"/>
        </w:rPr>
        <w:t>教育部對於</w:t>
      </w:r>
      <w:r w:rsidR="00B605A3" w:rsidRPr="00BF4552">
        <w:rPr>
          <w:rFonts w:hint="eastAsia"/>
        </w:rPr>
        <w:t>近來</w:t>
      </w:r>
      <w:r w:rsidRPr="00BF4552">
        <w:rPr>
          <w:rFonts w:cs="標楷體" w:hint="eastAsia"/>
          <w:kern w:val="0"/>
          <w:szCs w:val="32"/>
          <w:lang w:val="zh-TW"/>
        </w:rPr>
        <w:t>實務上所生</w:t>
      </w:r>
      <w:r w:rsidRPr="00BF4552">
        <w:rPr>
          <w:rFonts w:hint="eastAsia"/>
        </w:rPr>
        <w:t>大學法第19條與教師法第14條</w:t>
      </w:r>
      <w:r w:rsidR="00B605A3" w:rsidRPr="00BF4552">
        <w:rPr>
          <w:rFonts w:hint="eastAsia"/>
        </w:rPr>
        <w:t>第1項</w:t>
      </w:r>
      <w:r w:rsidR="004E23B7" w:rsidRPr="00BF4552">
        <w:rPr>
          <w:rFonts w:hAnsi="標楷體" w:hint="eastAsia"/>
        </w:rPr>
        <w:t>及第14條之1</w:t>
      </w:r>
      <w:r w:rsidRPr="00BF4552">
        <w:rPr>
          <w:rFonts w:hint="eastAsia"/>
        </w:rPr>
        <w:t>等規定間之適用爭議，曾召開下列的研商會議</w:t>
      </w:r>
      <w:r w:rsidR="004E23B7" w:rsidRPr="00BF4552">
        <w:rPr>
          <w:rFonts w:hint="eastAsia"/>
        </w:rPr>
        <w:t>及函詢司法院意見</w:t>
      </w:r>
      <w:r w:rsidRPr="00BF4552">
        <w:rPr>
          <w:rFonts w:hint="eastAsia"/>
        </w:rPr>
        <w:t>：</w:t>
      </w:r>
    </w:p>
    <w:p w:rsidR="0017118B" w:rsidRPr="00BF4552" w:rsidRDefault="0017118B" w:rsidP="00DF2AE9">
      <w:pPr>
        <w:pStyle w:val="4"/>
        <w:rPr>
          <w:color w:val="auto"/>
        </w:rPr>
      </w:pPr>
      <w:r w:rsidRPr="00BF4552">
        <w:rPr>
          <w:rFonts w:hint="eastAsia"/>
          <w:color w:val="auto"/>
        </w:rPr>
        <w:t>該部105年9月29日諮詢臺灣大學法學院學者意見摘要：</w:t>
      </w:r>
    </w:p>
    <w:p w:rsidR="0017118B" w:rsidRPr="00BF4552" w:rsidRDefault="0017118B" w:rsidP="00441162">
      <w:pPr>
        <w:pStyle w:val="5"/>
        <w:rPr>
          <w:color w:val="auto"/>
        </w:rPr>
      </w:pPr>
      <w:r w:rsidRPr="00BF4552">
        <w:rPr>
          <w:rFonts w:hint="eastAsia"/>
          <w:color w:val="auto"/>
        </w:rPr>
        <w:t>短期作法：以教師法第14條第1項第14款規定作為解決不適任教師停聘、不續聘之依據。</w:t>
      </w:r>
    </w:p>
    <w:p w:rsidR="0017118B" w:rsidRPr="00BF4552" w:rsidRDefault="0017118B" w:rsidP="009F1CB3">
      <w:pPr>
        <w:pStyle w:val="6"/>
        <w:numPr>
          <w:ilvl w:val="0"/>
          <w:numId w:val="25"/>
        </w:numPr>
        <w:ind w:left="2296" w:hanging="560"/>
        <w:rPr>
          <w:color w:val="auto"/>
        </w:rPr>
      </w:pPr>
      <w:r w:rsidRPr="00BF4552">
        <w:rPr>
          <w:rFonts w:hint="eastAsia"/>
          <w:color w:val="auto"/>
        </w:rPr>
        <w:t>由教育部進行宣導，建議學校以教師法第14條第1項第14款前段規定：「教學不力或不能勝任工作有具體事實」作為依據，避免陷入「違反聘約情節重大」論述問題。</w:t>
      </w:r>
    </w:p>
    <w:p w:rsidR="00EF32F4" w:rsidRPr="00BF4552" w:rsidRDefault="00EF32F4" w:rsidP="009F1CB3">
      <w:pPr>
        <w:pStyle w:val="6"/>
        <w:numPr>
          <w:ilvl w:val="0"/>
          <w:numId w:val="25"/>
        </w:numPr>
        <w:ind w:left="2296" w:hanging="560"/>
        <w:rPr>
          <w:color w:val="auto"/>
        </w:rPr>
      </w:pPr>
      <w:r w:rsidRPr="00BF4552">
        <w:rPr>
          <w:rFonts w:hint="eastAsia"/>
          <w:color w:val="auto"/>
        </w:rPr>
        <w:t>倘學校係以教師法第14條第1項第14款後段規定：「違反聘約情節重大」辦理者，請教育部人事處提供範例，協助學校加強論述。</w:t>
      </w:r>
    </w:p>
    <w:p w:rsidR="0017118B" w:rsidRPr="00BF4552" w:rsidRDefault="0017118B" w:rsidP="00441162">
      <w:pPr>
        <w:pStyle w:val="5"/>
        <w:rPr>
          <w:color w:val="auto"/>
        </w:rPr>
      </w:pPr>
      <w:r w:rsidRPr="00BF4552">
        <w:rPr>
          <w:rFonts w:hint="eastAsia"/>
          <w:color w:val="auto"/>
        </w:rPr>
        <w:t>中長期作法：修正大學法以解決法規適用疑義。</w:t>
      </w:r>
    </w:p>
    <w:p w:rsidR="0017118B" w:rsidRPr="00BF4552" w:rsidRDefault="0017118B" w:rsidP="009F1CB3">
      <w:pPr>
        <w:pStyle w:val="6"/>
        <w:numPr>
          <w:ilvl w:val="0"/>
          <w:numId w:val="26"/>
        </w:numPr>
        <w:ind w:left="2296" w:hanging="560"/>
        <w:rPr>
          <w:color w:val="auto"/>
        </w:rPr>
      </w:pPr>
      <w:r w:rsidRPr="00BF4552">
        <w:rPr>
          <w:rFonts w:hint="eastAsia"/>
          <w:color w:val="auto"/>
        </w:rPr>
        <w:t>擬召開相關座談會，徵詢各方意見共識，以</w:t>
      </w:r>
      <w:r w:rsidR="004D534E" w:rsidRPr="00BF4552">
        <w:rPr>
          <w:rFonts w:hint="eastAsia"/>
          <w:color w:val="auto"/>
        </w:rPr>
        <w:t>作為</w:t>
      </w:r>
      <w:r w:rsidRPr="00BF4552">
        <w:rPr>
          <w:rFonts w:hint="eastAsia"/>
          <w:color w:val="auto"/>
        </w:rPr>
        <w:t>修法依據。</w:t>
      </w:r>
    </w:p>
    <w:p w:rsidR="00EF32F4" w:rsidRPr="00BF4552" w:rsidRDefault="00EF32F4" w:rsidP="009F1CB3">
      <w:pPr>
        <w:pStyle w:val="6"/>
        <w:numPr>
          <w:ilvl w:val="0"/>
          <w:numId w:val="26"/>
        </w:numPr>
        <w:ind w:left="2296" w:hanging="560"/>
        <w:rPr>
          <w:color w:val="auto"/>
        </w:rPr>
      </w:pPr>
      <w:r w:rsidRPr="00BF4552">
        <w:rPr>
          <w:rFonts w:hint="eastAsia"/>
          <w:color w:val="auto"/>
        </w:rPr>
        <w:lastRenderedPageBreak/>
        <w:t>由教育部研議修正大學法第19條，刪除後段規定之「納入聘約」文字，避免與教師法第14條後段規定「違反聘約情節重大」產生連結。</w:t>
      </w:r>
    </w:p>
    <w:p w:rsidR="0017118B" w:rsidRPr="00BF4552" w:rsidRDefault="0017118B" w:rsidP="00DF2AE9">
      <w:pPr>
        <w:pStyle w:val="4"/>
        <w:rPr>
          <w:color w:val="auto"/>
        </w:rPr>
      </w:pPr>
      <w:r w:rsidRPr="00BF4552">
        <w:rPr>
          <w:rFonts w:hint="eastAsia"/>
          <w:color w:val="auto"/>
        </w:rPr>
        <w:t>106年1月25日於教育部召開「研商大學法第19條與適用教師限期升等制度會議」，決議略以</w:t>
      </w:r>
      <w:r w:rsidR="004B7F6E" w:rsidRPr="00BF4552">
        <w:rPr>
          <w:rFonts w:hint="eastAsia"/>
          <w:color w:val="auto"/>
        </w:rPr>
        <w:t>，未來工作方向</w:t>
      </w:r>
      <w:r w:rsidRPr="00BF4552">
        <w:rPr>
          <w:rFonts w:hint="eastAsia"/>
          <w:color w:val="auto"/>
        </w:rPr>
        <w:t>：</w:t>
      </w:r>
    </w:p>
    <w:p w:rsidR="0017118B" w:rsidRPr="00BF4552" w:rsidRDefault="0017118B" w:rsidP="00441162">
      <w:pPr>
        <w:pStyle w:val="5"/>
        <w:rPr>
          <w:color w:val="auto"/>
        </w:rPr>
      </w:pPr>
      <w:r w:rsidRPr="00BF4552">
        <w:rPr>
          <w:rFonts w:hint="eastAsia"/>
          <w:color w:val="auto"/>
        </w:rPr>
        <w:t>短期工作：訂定大學法第19條參考原則。</w:t>
      </w:r>
    </w:p>
    <w:p w:rsidR="0017118B" w:rsidRPr="00BF4552" w:rsidRDefault="0017118B" w:rsidP="009F1CB3">
      <w:pPr>
        <w:pStyle w:val="6"/>
        <w:numPr>
          <w:ilvl w:val="0"/>
          <w:numId w:val="27"/>
        </w:numPr>
        <w:ind w:left="2268" w:hanging="518"/>
        <w:rPr>
          <w:color w:val="auto"/>
        </w:rPr>
      </w:pPr>
      <w:r w:rsidRPr="00BF4552">
        <w:rPr>
          <w:rFonts w:hint="eastAsia"/>
          <w:color w:val="auto"/>
        </w:rPr>
        <w:t>參考原則之訂定，在程序方面，參酌最高行政法院實務見解，要求學校應依教師法第14條之規定報部核定。</w:t>
      </w:r>
    </w:p>
    <w:p w:rsidR="00EF32F4" w:rsidRPr="00BF4552" w:rsidRDefault="00EF32F4" w:rsidP="009F1CB3">
      <w:pPr>
        <w:pStyle w:val="6"/>
        <w:numPr>
          <w:ilvl w:val="0"/>
          <w:numId w:val="27"/>
        </w:numPr>
        <w:ind w:left="2268" w:hanging="518"/>
        <w:rPr>
          <w:color w:val="auto"/>
        </w:rPr>
      </w:pPr>
      <w:r w:rsidRPr="00BF4552">
        <w:rPr>
          <w:rFonts w:hint="eastAsia"/>
          <w:color w:val="auto"/>
        </w:rPr>
        <w:t>在事由面向，在大學法第19條完成增修前，仍應符合教師法第14條情節重大之要件，並於參考原則中規範應考量特殊情形、生病、育嬰期間延長，並給予1~2年的輔導措施、教師之教學與研究情形應整體考量。</w:t>
      </w:r>
    </w:p>
    <w:p w:rsidR="00C23C11" w:rsidRPr="00BF4552" w:rsidRDefault="00C23C11" w:rsidP="009F1CB3">
      <w:pPr>
        <w:pStyle w:val="6"/>
        <w:numPr>
          <w:ilvl w:val="0"/>
          <w:numId w:val="27"/>
        </w:numPr>
        <w:ind w:left="2268" w:hanging="546"/>
        <w:rPr>
          <w:color w:val="auto"/>
        </w:rPr>
      </w:pPr>
      <w:r w:rsidRPr="00BF4552">
        <w:rPr>
          <w:rFonts w:hint="eastAsia"/>
          <w:color w:val="auto"/>
        </w:rPr>
        <w:t>為回歸大學自主原則，於參考原則中，應明定各院、系所提出教師解聘、不續聘案前，應進行專案評估報告，俾利各級教師評審委員會審議。並於教師聘任契約中，加註學校為提升學術發展、追求卓越賦予教師於教學、研究、服務與輔導的責任，以作為屆期不升等，違反聘約情節重大解聘、不續聘依據。</w:t>
      </w:r>
    </w:p>
    <w:p w:rsidR="00C23C11" w:rsidRPr="00BF4552" w:rsidRDefault="00C23C11" w:rsidP="009F1CB3">
      <w:pPr>
        <w:pStyle w:val="6"/>
        <w:numPr>
          <w:ilvl w:val="0"/>
          <w:numId w:val="27"/>
        </w:numPr>
        <w:ind w:left="2296" w:hanging="595"/>
        <w:rPr>
          <w:color w:val="auto"/>
        </w:rPr>
      </w:pPr>
      <w:r w:rsidRPr="00BF4552">
        <w:rPr>
          <w:rFonts w:hint="eastAsia"/>
          <w:color w:val="auto"/>
        </w:rPr>
        <w:t>參考原則之訂定應兼納教師法第14條所定之程序與依據，以及大學法第19條追求卓越之精神。</w:t>
      </w:r>
    </w:p>
    <w:p w:rsidR="00C23C11" w:rsidRPr="00BF4552" w:rsidRDefault="00C23C11" w:rsidP="009F1CB3">
      <w:pPr>
        <w:pStyle w:val="6"/>
        <w:numPr>
          <w:ilvl w:val="0"/>
          <w:numId w:val="27"/>
        </w:numPr>
        <w:ind w:left="2296" w:hanging="595"/>
        <w:rPr>
          <w:color w:val="auto"/>
        </w:rPr>
      </w:pPr>
      <w:r w:rsidRPr="00BF4552">
        <w:rPr>
          <w:rFonts w:hint="eastAsia"/>
          <w:color w:val="auto"/>
        </w:rPr>
        <w:t>嗣參考原則草案完成後，商請相關法學專家學者、行政法院法官提供意見。</w:t>
      </w:r>
    </w:p>
    <w:p w:rsidR="0017118B" w:rsidRPr="00BF4552" w:rsidRDefault="0017118B" w:rsidP="00441162">
      <w:pPr>
        <w:pStyle w:val="5"/>
        <w:rPr>
          <w:color w:val="auto"/>
        </w:rPr>
      </w:pPr>
      <w:r w:rsidRPr="00BF4552">
        <w:rPr>
          <w:rFonts w:hint="eastAsia"/>
          <w:color w:val="auto"/>
        </w:rPr>
        <w:t>中長期作法</w:t>
      </w:r>
      <w:r w:rsidR="004E23B7" w:rsidRPr="00BF4552">
        <w:rPr>
          <w:rFonts w:hAnsi="標楷體" w:hint="eastAsia"/>
          <w:color w:val="auto"/>
        </w:rPr>
        <w:t>：</w:t>
      </w:r>
    </w:p>
    <w:p w:rsidR="0017118B" w:rsidRPr="00BF4552" w:rsidRDefault="0017118B" w:rsidP="009F1CB3">
      <w:pPr>
        <w:pStyle w:val="6"/>
        <w:numPr>
          <w:ilvl w:val="0"/>
          <w:numId w:val="28"/>
        </w:numPr>
        <w:ind w:left="2296" w:hanging="546"/>
        <w:rPr>
          <w:color w:val="auto"/>
        </w:rPr>
      </w:pPr>
      <w:r w:rsidRPr="00BF4552">
        <w:rPr>
          <w:rFonts w:hint="eastAsia"/>
          <w:color w:val="auto"/>
        </w:rPr>
        <w:lastRenderedPageBreak/>
        <w:t>增修大學法第19條規定，將屆期不升等列為解聘、不續聘依據。</w:t>
      </w:r>
    </w:p>
    <w:p w:rsidR="00C23C11" w:rsidRPr="00BF4552" w:rsidRDefault="00C23C11" w:rsidP="009F1CB3">
      <w:pPr>
        <w:pStyle w:val="6"/>
        <w:numPr>
          <w:ilvl w:val="0"/>
          <w:numId w:val="28"/>
        </w:numPr>
        <w:ind w:left="2296" w:hanging="546"/>
        <w:rPr>
          <w:color w:val="auto"/>
        </w:rPr>
      </w:pPr>
      <w:r w:rsidRPr="00BF4552">
        <w:rPr>
          <w:rFonts w:hint="eastAsia"/>
          <w:color w:val="auto"/>
        </w:rPr>
        <w:t>若臺大法學院</w:t>
      </w:r>
      <w:r w:rsidR="001C5179" w:rsidRPr="00BF4552">
        <w:rPr>
          <w:rFonts w:hint="eastAsia"/>
          <w:color w:val="auto"/>
        </w:rPr>
        <w:t>某</w:t>
      </w:r>
      <w:r w:rsidRPr="00BF4552">
        <w:rPr>
          <w:rFonts w:hint="eastAsia"/>
          <w:color w:val="auto"/>
        </w:rPr>
        <w:t>教師限期升等行政訴訟結果為學校敗訴，則建議學校聲請大法官釋憲。</w:t>
      </w:r>
    </w:p>
    <w:p w:rsidR="0017118B" w:rsidRPr="00BF4552" w:rsidRDefault="0017118B" w:rsidP="00DF2AE9">
      <w:pPr>
        <w:pStyle w:val="4"/>
        <w:rPr>
          <w:color w:val="auto"/>
        </w:rPr>
      </w:pPr>
      <w:r w:rsidRPr="00BF4552">
        <w:rPr>
          <w:rFonts w:hint="eastAsia"/>
          <w:color w:val="auto"/>
        </w:rPr>
        <w:t>106年4月10日召開「研商大學校院依據大學法第19條規定之後續處理作業會議」。決議略以：</w:t>
      </w:r>
    </w:p>
    <w:p w:rsidR="0017118B" w:rsidRPr="00BF4552" w:rsidRDefault="0017118B" w:rsidP="00441162">
      <w:pPr>
        <w:pStyle w:val="5"/>
        <w:rPr>
          <w:color w:val="auto"/>
        </w:rPr>
      </w:pPr>
      <w:r w:rsidRPr="00BF4552">
        <w:rPr>
          <w:rFonts w:hint="eastAsia"/>
          <w:color w:val="auto"/>
        </w:rPr>
        <w:t>請高教司儘速修正大學法第19條規定，考量學校現場實務需求，可以單條修正為優先。另過渡時期，請高教司儘速修正發布大學依大學法第19條辦理教師不續聘作業參考原則。</w:t>
      </w:r>
    </w:p>
    <w:p w:rsidR="0017118B" w:rsidRPr="00BF4552" w:rsidRDefault="0017118B" w:rsidP="00441162">
      <w:pPr>
        <w:pStyle w:val="5"/>
        <w:rPr>
          <w:color w:val="auto"/>
        </w:rPr>
      </w:pPr>
      <w:r w:rsidRPr="00BF4552">
        <w:rPr>
          <w:rFonts w:hint="eastAsia"/>
          <w:color w:val="auto"/>
        </w:rPr>
        <w:t>請人事處研議修正教師法第14條或第15條之可行性，並朝保留教師任教年資等條件，以降低對教師衝擊。</w:t>
      </w:r>
    </w:p>
    <w:p w:rsidR="0017118B" w:rsidRPr="00BF4552" w:rsidRDefault="0017118B" w:rsidP="00441162">
      <w:pPr>
        <w:pStyle w:val="5"/>
        <w:rPr>
          <w:color w:val="auto"/>
        </w:rPr>
      </w:pPr>
      <w:r w:rsidRPr="00BF4552">
        <w:rPr>
          <w:rFonts w:hint="eastAsia"/>
          <w:color w:val="auto"/>
        </w:rPr>
        <w:t>請技職司依高教司目前所擬大學依大學法第19條辦理教師不續聘作業參考原則方向，研擬回復相關</w:t>
      </w:r>
      <w:r w:rsidR="00A80780" w:rsidRPr="00BF4552">
        <w:rPr>
          <w:rFonts w:hint="eastAsia"/>
          <w:color w:val="auto"/>
        </w:rPr>
        <w:t>學校</w:t>
      </w:r>
      <w:r w:rsidRPr="00BF4552">
        <w:rPr>
          <w:rFonts w:hint="eastAsia"/>
          <w:color w:val="auto"/>
        </w:rPr>
        <w:t>疑義。</w:t>
      </w:r>
    </w:p>
    <w:p w:rsidR="0017118B" w:rsidRPr="00BF4552" w:rsidRDefault="0017118B" w:rsidP="00441162">
      <w:pPr>
        <w:pStyle w:val="5"/>
        <w:rPr>
          <w:color w:val="auto"/>
        </w:rPr>
      </w:pPr>
      <w:r w:rsidRPr="00BF4552">
        <w:rPr>
          <w:rFonts w:hint="eastAsia"/>
          <w:color w:val="auto"/>
        </w:rPr>
        <w:t>請技職司依該部訴願會</w:t>
      </w:r>
      <w:r w:rsidR="00D93869" w:rsidRPr="00BF4552">
        <w:rPr>
          <w:rFonts w:hint="eastAsia"/>
          <w:color w:val="auto"/>
        </w:rPr>
        <w:t>之</w:t>
      </w:r>
      <w:r w:rsidRPr="00BF4552">
        <w:rPr>
          <w:rFonts w:hint="eastAsia"/>
          <w:color w:val="auto"/>
        </w:rPr>
        <w:t>訴願決定，函請國立臺北科技大學儘速召開教師評審委員會審議。</w:t>
      </w:r>
    </w:p>
    <w:p w:rsidR="0017118B" w:rsidRPr="00BF4552" w:rsidRDefault="00E839B1" w:rsidP="00DF2AE9">
      <w:pPr>
        <w:pStyle w:val="4"/>
        <w:rPr>
          <w:color w:val="auto"/>
        </w:rPr>
      </w:pPr>
      <w:r w:rsidRPr="00BF4552">
        <w:rPr>
          <w:rFonts w:hint="eastAsia"/>
          <w:color w:val="auto"/>
        </w:rPr>
        <w:t>此外，</w:t>
      </w:r>
      <w:r w:rsidR="0017118B" w:rsidRPr="00BF4552">
        <w:rPr>
          <w:rFonts w:hint="eastAsia"/>
          <w:color w:val="auto"/>
        </w:rPr>
        <w:t>教育部考量大學法第</w:t>
      </w:r>
      <w:r w:rsidR="0017118B" w:rsidRPr="00BF4552">
        <w:rPr>
          <w:color w:val="auto"/>
        </w:rPr>
        <w:t>19</w:t>
      </w:r>
      <w:r w:rsidR="0017118B" w:rsidRPr="00BF4552">
        <w:rPr>
          <w:rFonts w:hint="eastAsia"/>
          <w:color w:val="auto"/>
        </w:rPr>
        <w:t>條與教師法第</w:t>
      </w:r>
      <w:r w:rsidR="0017118B" w:rsidRPr="00BF4552">
        <w:rPr>
          <w:color w:val="auto"/>
        </w:rPr>
        <w:t>14</w:t>
      </w:r>
      <w:r w:rsidR="0017118B" w:rsidRPr="00BF4552">
        <w:rPr>
          <w:rFonts w:hint="eastAsia"/>
          <w:color w:val="auto"/>
        </w:rPr>
        <w:t>條針對教師不續聘之立法意旨並不相同，教育部針對</w:t>
      </w:r>
      <w:r w:rsidR="00D93869" w:rsidRPr="00BF4552">
        <w:rPr>
          <w:rFonts w:hint="eastAsia"/>
          <w:color w:val="auto"/>
        </w:rPr>
        <w:t>行政</w:t>
      </w:r>
      <w:r w:rsidR="0017118B" w:rsidRPr="00BF4552">
        <w:rPr>
          <w:rFonts w:hint="eastAsia"/>
          <w:color w:val="auto"/>
        </w:rPr>
        <w:t>法院判決所提要件及正當法律程序，擬將大學法第19條與教師法第14條第1項第14款後段有關「違反聘約」且「情節重大」要件及第14條之1有關「報部核准」之程序分流處理，爰於106年7月5日函請司法院提供法制見解</w:t>
      </w:r>
      <w:r w:rsidR="00D93869" w:rsidRPr="00BF4552">
        <w:rPr>
          <w:rFonts w:hAnsi="標楷體" w:hint="eastAsia"/>
          <w:color w:val="auto"/>
        </w:rPr>
        <w:t>，</w:t>
      </w:r>
      <w:r w:rsidR="00D93869" w:rsidRPr="00BF4552">
        <w:rPr>
          <w:rFonts w:hint="eastAsia"/>
          <w:color w:val="auto"/>
        </w:rPr>
        <w:t>經</w:t>
      </w:r>
      <w:r w:rsidR="003009E8" w:rsidRPr="00BF4552">
        <w:rPr>
          <w:rFonts w:hint="eastAsia"/>
          <w:color w:val="auto"/>
        </w:rPr>
        <w:t>司法院106年7月14日函復</w:t>
      </w:r>
      <w:r w:rsidR="00D93869" w:rsidRPr="00BF4552">
        <w:rPr>
          <w:rFonts w:hAnsi="標楷體" w:hint="eastAsia"/>
          <w:color w:val="auto"/>
        </w:rPr>
        <w:t>，</w:t>
      </w:r>
      <w:r w:rsidR="003009E8" w:rsidRPr="00BF4552">
        <w:rPr>
          <w:rFonts w:hint="eastAsia"/>
          <w:color w:val="auto"/>
        </w:rPr>
        <w:t>重點如下</w:t>
      </w:r>
      <w:r w:rsidR="003009E8" w:rsidRPr="00BF4552">
        <w:rPr>
          <w:rFonts w:hAnsi="標楷體" w:hint="eastAsia"/>
          <w:color w:val="auto"/>
        </w:rPr>
        <w:t>：</w:t>
      </w:r>
    </w:p>
    <w:p w:rsidR="00D93869" w:rsidRPr="00BF4552" w:rsidRDefault="00D93869" w:rsidP="00441162">
      <w:pPr>
        <w:pStyle w:val="5"/>
        <w:rPr>
          <w:color w:val="auto"/>
        </w:rPr>
      </w:pPr>
      <w:r w:rsidRPr="00BF4552">
        <w:rPr>
          <w:rFonts w:hint="eastAsia"/>
          <w:color w:val="auto"/>
        </w:rPr>
        <w:t>按憲法第15條：「人民之生存權、工作權及財產權，應予保障。」依教師法第14條第1項規定，教師聘任後，除有該項各款法定事由之一者外，不得解聘、停聘或不續聘，既係為維護公益(包</w:t>
      </w:r>
      <w:r w:rsidRPr="00BF4552">
        <w:rPr>
          <w:rFonts w:hint="eastAsia"/>
          <w:color w:val="auto"/>
        </w:rPr>
        <w:lastRenderedPageBreak/>
        <w:t>括教師工作權及講學自由)，而對學校是否終止、停止聘任教師之契約，以及是否繼續簽訂聘任教師之契約之自由與權利，所為公法上限制，其中教師法第14條第1項第14款將「違反聘約」與「情節重大」並列的目的，即係以「情節重大」作為平衡尊重契約自由(或大學自治)與維護教師工作權(或講學自由)之緩衝機制。大學法第19條雖有規定，但大學以教師違反聘約規定的義務為由，擬將其解聘、停聘或不續聘時，仍應受「情節重大」的限制，俾免濫用契約自由與大學自治，而兼顧教師的工作權與講學自由，以上意旨迭經最高行政法院多次判決闡述在案。</w:t>
      </w:r>
    </w:p>
    <w:p w:rsidR="0017118B" w:rsidRPr="00BF4552" w:rsidRDefault="0017118B" w:rsidP="00441162">
      <w:pPr>
        <w:pStyle w:val="5"/>
        <w:rPr>
          <w:color w:val="auto"/>
        </w:rPr>
      </w:pPr>
      <w:r w:rsidRPr="00BF4552">
        <w:rPr>
          <w:rFonts w:hint="eastAsia"/>
          <w:color w:val="auto"/>
        </w:rPr>
        <w:t>有關擬透過行政指導方式，賦予大學依大學法第19條規定本於權責逕予不續聘教師，而與教師法分流處理：</w:t>
      </w:r>
    </w:p>
    <w:p w:rsidR="0017118B" w:rsidRPr="00BF4552" w:rsidRDefault="0017118B" w:rsidP="009F1CB3">
      <w:pPr>
        <w:pStyle w:val="6"/>
        <w:numPr>
          <w:ilvl w:val="0"/>
          <w:numId w:val="29"/>
        </w:numPr>
        <w:ind w:left="2268" w:hanging="567"/>
        <w:rPr>
          <w:color w:val="auto"/>
        </w:rPr>
      </w:pPr>
      <w:r w:rsidRPr="00BF4552">
        <w:rPr>
          <w:rFonts w:hint="eastAsia"/>
          <w:color w:val="auto"/>
        </w:rPr>
        <w:t>教師之聘任將授權各大學自行處理，固能充分尊重大學自治之權利，惟對於任意訂立不利教師個人權益聘約之大學，似乏公權力介入監督之機制，未來對是否終止、停止或續簽聘任教師之契約，如依大學法規定辦理，法律解釋上若認即不受前述教師法相關規定之限制，是否符合最高行政法院判決一再揭示之「避免濫用契約自由與大學自治，兼顧教師的工作權與講學自由」等意旨</w:t>
      </w:r>
      <w:r w:rsidR="00D93869" w:rsidRPr="00BF4552">
        <w:rPr>
          <w:rFonts w:hAnsi="標楷體" w:hint="eastAsia"/>
          <w:color w:val="auto"/>
        </w:rPr>
        <w:t>，</w:t>
      </w:r>
      <w:r w:rsidRPr="00BF4552">
        <w:rPr>
          <w:rFonts w:hint="eastAsia"/>
          <w:color w:val="auto"/>
        </w:rPr>
        <w:t>容非無疑。</w:t>
      </w:r>
    </w:p>
    <w:p w:rsidR="00106243" w:rsidRPr="00BF4552" w:rsidRDefault="00106243" w:rsidP="009F1CB3">
      <w:pPr>
        <w:pStyle w:val="6"/>
        <w:numPr>
          <w:ilvl w:val="0"/>
          <w:numId w:val="29"/>
        </w:numPr>
        <w:ind w:left="2268" w:hanging="567"/>
        <w:rPr>
          <w:color w:val="auto"/>
        </w:rPr>
      </w:pPr>
      <w:r w:rsidRPr="00BF4552">
        <w:rPr>
          <w:rFonts w:hint="eastAsia"/>
          <w:color w:val="auto"/>
        </w:rPr>
        <w:t>對於大學教師違反聘約之行為，雖同時該當教師法與大學法之規定，然大學如選擇依據大學法第19條辦理不續聘案，若因此即認可不受教師法第14條第1項第14款「違反聘約情節重大」之限制，復無庸報教育部核准，如</w:t>
      </w:r>
      <w:r w:rsidRPr="00BF4552">
        <w:rPr>
          <w:rFonts w:hint="eastAsia"/>
          <w:color w:val="auto"/>
        </w:rPr>
        <w:lastRenderedPageBreak/>
        <w:t>此是否可能架空教師法規定，使大學教師於過去案例完全喪失適用教師法規定之可能性？</w:t>
      </w:r>
    </w:p>
    <w:p w:rsidR="0017118B" w:rsidRPr="00BF4552" w:rsidRDefault="0017118B" w:rsidP="00441162">
      <w:pPr>
        <w:pStyle w:val="5"/>
        <w:rPr>
          <w:color w:val="auto"/>
        </w:rPr>
      </w:pPr>
      <w:r w:rsidRPr="00BF4552">
        <w:rPr>
          <w:rFonts w:hint="eastAsia"/>
          <w:color w:val="auto"/>
        </w:rPr>
        <w:t>基於上開司法院提供意見，該部將啟動大學法修法，並將學校執行過程應審查公益性、必要性、符合比例原則及符合正當法律程序等要件及完備相關輔導機制納入修法參考，排除教師法之適用，俾與教師法第14條第1項第14款後段有關「違反聘約」且「情節重大」要件及第14條之1有關「報部核准」之程序，分流處理，俾確保大學自治。</w:t>
      </w:r>
    </w:p>
    <w:p w:rsidR="00B54630" w:rsidRPr="00BF4552" w:rsidRDefault="001B40DB" w:rsidP="003663C6">
      <w:pPr>
        <w:pStyle w:val="3"/>
      </w:pPr>
      <w:r w:rsidRPr="00BF4552">
        <w:rPr>
          <w:rFonts w:hint="eastAsia"/>
        </w:rPr>
        <w:t>綜</w:t>
      </w:r>
      <w:r w:rsidR="00600AE6" w:rsidRPr="00BF4552">
        <w:rPr>
          <w:rFonts w:hint="eastAsia"/>
        </w:rPr>
        <w:t>上，</w:t>
      </w:r>
      <w:r w:rsidR="00872BA0" w:rsidRPr="00BF4552">
        <w:rPr>
          <w:rFonts w:hint="eastAsia"/>
        </w:rPr>
        <w:t>大學法第19條與教師法第14條第1項第14款及第14條之1規定間之法條競合</w:t>
      </w:r>
      <w:r w:rsidR="00872BA0" w:rsidRPr="00BF4552">
        <w:rPr>
          <w:rFonts w:cs="標楷體" w:hint="eastAsia"/>
          <w:kern w:val="0"/>
          <w:szCs w:val="32"/>
          <w:lang w:val="zh-TW"/>
        </w:rPr>
        <w:t>爭議</w:t>
      </w:r>
      <w:r w:rsidR="00872BA0" w:rsidRPr="00BF4552">
        <w:rPr>
          <w:rFonts w:hint="eastAsia"/>
        </w:rPr>
        <w:t>，教育部雖已多次召集相關會議研商解決之道，惟仍乏積極之具體因應作為與配套措施，以協助大學處理</w:t>
      </w:r>
      <w:r w:rsidR="00872BA0" w:rsidRPr="00BF4552">
        <w:rPr>
          <w:rFonts w:cs="標楷體" w:hint="eastAsia"/>
          <w:kern w:val="0"/>
          <w:szCs w:val="32"/>
          <w:lang w:val="zh-TW"/>
        </w:rPr>
        <w:t>停聘或不續聘個案之法條適用問題，</w:t>
      </w:r>
      <w:r w:rsidR="00872BA0" w:rsidRPr="00BF4552">
        <w:rPr>
          <w:rFonts w:hint="eastAsia"/>
        </w:rPr>
        <w:t>核有不當</w:t>
      </w:r>
      <w:r w:rsidR="00351104" w:rsidRPr="00BF4552">
        <w:rPr>
          <w:rFonts w:hint="eastAsia"/>
        </w:rPr>
        <w:t>。</w:t>
      </w:r>
    </w:p>
    <w:p w:rsidR="00606C2B" w:rsidRPr="00BF4552" w:rsidRDefault="00606C2B" w:rsidP="00606C2B">
      <w:pPr>
        <w:pStyle w:val="2"/>
        <w:overflowPunct/>
        <w:autoSpaceDE/>
        <w:autoSpaceDN/>
        <w:ind w:left="1020" w:hanging="680"/>
        <w:rPr>
          <w:b/>
        </w:rPr>
      </w:pPr>
      <w:bookmarkStart w:id="34" w:name="_Toc494985680"/>
      <w:r w:rsidRPr="00BF4552">
        <w:rPr>
          <w:rFonts w:hint="eastAsia"/>
          <w:b/>
        </w:rPr>
        <w:t>大學法第19條規定施行迄今已10餘年，目前全國雖有107所大專校院依此條文</w:t>
      </w:r>
      <w:r w:rsidR="00A80780" w:rsidRPr="00BF4552">
        <w:rPr>
          <w:rFonts w:hint="eastAsia"/>
          <w:b/>
        </w:rPr>
        <w:t>訂</w:t>
      </w:r>
      <w:r w:rsidRPr="00BF4552">
        <w:rPr>
          <w:rFonts w:hint="eastAsia"/>
          <w:b/>
        </w:rPr>
        <w:t>有教師限期升等相關規定，惟部分學校未予落實，近年亦出現學校陸續廢止限期升等制度之情形，教育部允應正視學校實務運作情形；況教育部處理本件北科大不續聘案程序混亂，於法律或準則性規定完成修正前，仍應儘速檢討改善現行配套措施，</w:t>
      </w:r>
      <w:r w:rsidR="005510B5" w:rsidRPr="00BF4552">
        <w:rPr>
          <w:rFonts w:hint="eastAsia"/>
          <w:b/>
        </w:rPr>
        <w:t>以符合</w:t>
      </w:r>
      <w:r w:rsidR="005510B5" w:rsidRPr="00BF4552">
        <w:rPr>
          <w:rFonts w:hint="eastAsia"/>
          <w:b/>
          <w:kern w:val="0"/>
        </w:rPr>
        <w:t>該條之立法意旨並加以具體落實</w:t>
      </w:r>
      <w:r w:rsidRPr="00BF4552">
        <w:rPr>
          <w:rFonts w:hAnsi="標楷體" w:hint="eastAsia"/>
          <w:b/>
        </w:rPr>
        <w:t>。</w:t>
      </w:r>
      <w:bookmarkEnd w:id="34"/>
    </w:p>
    <w:p w:rsidR="00606C2B" w:rsidRPr="00BF4552" w:rsidRDefault="00606C2B" w:rsidP="00606C2B">
      <w:pPr>
        <w:pStyle w:val="3"/>
      </w:pPr>
      <w:r w:rsidRPr="00BF4552">
        <w:rPr>
          <w:rFonts w:hint="eastAsia"/>
        </w:rPr>
        <w:t>94年12月28日大學法修正增訂第19條規定</w:t>
      </w:r>
      <w:r w:rsidRPr="00BF4552">
        <w:rPr>
          <w:rFonts w:hAnsi="標楷體" w:hint="eastAsia"/>
        </w:rPr>
        <w:t>，</w:t>
      </w:r>
      <w:r w:rsidRPr="00BF4552">
        <w:rPr>
          <w:rFonts w:hint="eastAsia"/>
        </w:rPr>
        <w:t>究其</w:t>
      </w:r>
      <w:r w:rsidRPr="00BF4552">
        <w:rPr>
          <w:rFonts w:hint="eastAsia"/>
          <w:lang w:val="zh-TW"/>
        </w:rPr>
        <w:t>立法目的：「大學追求研究發展，大學教師之權利義務本異於一般中小學教師，故有關大學教師之權利義務，除教師法相關規定外，並得於學校章則中增列之，但不得違反大學教學、研究與服務之目的。本於大學追求卓越之要求，對於初聘與</w:t>
      </w:r>
      <w:r w:rsidRPr="00BF4552">
        <w:rPr>
          <w:rFonts w:hint="eastAsia"/>
          <w:lang w:val="zh-TW"/>
        </w:rPr>
        <w:lastRenderedPageBreak/>
        <w:t>續聘之教師，除依教師法規定外，並得於學校章則中增訂停聘或不續聘之事由及程序。有關之事由與程序，應經各大學校務會議通過。」基此，大學為追求卓越之要求，即賦予大學得於學校章則增訂不續聘教師之事由及程序，於法律規定範圍內，自享有自治權；</w:t>
      </w:r>
      <w:r w:rsidRPr="00BF4552">
        <w:rPr>
          <w:rFonts w:hint="eastAsia"/>
        </w:rPr>
        <w:t>爰各公私立大專校院基於維護學術品質等因素，透過校務會議等決議機制將教師限期升等之標準及期限納入聘約。</w:t>
      </w:r>
    </w:p>
    <w:p w:rsidR="00606C2B" w:rsidRPr="00BF4552" w:rsidRDefault="00606C2B" w:rsidP="00606C2B">
      <w:pPr>
        <w:pStyle w:val="3"/>
      </w:pPr>
      <w:r w:rsidRPr="00BF4552">
        <w:rPr>
          <w:rFonts w:hint="eastAsia"/>
        </w:rPr>
        <w:t>北科大校內相關辦法及聘約：</w:t>
      </w:r>
    </w:p>
    <w:p w:rsidR="00606C2B" w:rsidRPr="00BF4552" w:rsidRDefault="00606C2B" w:rsidP="00606C2B">
      <w:pPr>
        <w:pStyle w:val="4"/>
        <w:rPr>
          <w:rFonts w:hAnsi="標楷體"/>
          <w:color w:val="auto"/>
          <w:sz w:val="28"/>
          <w:szCs w:val="28"/>
        </w:rPr>
      </w:pPr>
      <w:r w:rsidRPr="00BF4552">
        <w:rPr>
          <w:rFonts w:hint="eastAsia"/>
          <w:color w:val="auto"/>
        </w:rPr>
        <w:t>查北科大新聘教師限期升等辦法第3條規定略以：「新聘講師、助理教授須於起聘6年內，副教授須於起聘8年內通過校教評會之升等評審。」同辦法第4條規定略以：「未於前條期限升等通過者，依下列規定辦理：二、95學年度第2學期起新聘之講師、助理教授、副教授，未於規定期限升等者，視為不符本校教學、研究及服務整體發展需要，影響校務發展重大，依大學法第19條規定，不再續聘。」</w:t>
      </w:r>
    </w:p>
    <w:p w:rsidR="00606C2B" w:rsidRPr="00BF4552" w:rsidRDefault="00606C2B" w:rsidP="00606C2B">
      <w:pPr>
        <w:pStyle w:val="4"/>
        <w:rPr>
          <w:rFonts w:hAnsi="標楷體"/>
          <w:color w:val="auto"/>
          <w:sz w:val="28"/>
          <w:szCs w:val="28"/>
        </w:rPr>
      </w:pPr>
      <w:r w:rsidRPr="00BF4552">
        <w:rPr>
          <w:rFonts w:hint="eastAsia"/>
          <w:color w:val="auto"/>
        </w:rPr>
        <w:t>復按該校教師聘約第14點規定：「86學年度起新聘教師須限期升等，並依本校『新聘教師限期升等辦法』規定辦理，新聘講師、助理教授須於起聘6年內，副教授須於起聘8年內通過校教評會之升等評審，其中95學年度第2學期起之新聘教師，未於前述規定期限升等者，視為不符本校教學、研究及服務整體發展需要，影響校務發展重大，依大學法第19條規定，不再續聘。」</w:t>
      </w:r>
    </w:p>
    <w:p w:rsidR="00606C2B" w:rsidRPr="00BF4552" w:rsidRDefault="00606C2B" w:rsidP="00606C2B">
      <w:pPr>
        <w:pStyle w:val="4"/>
        <w:rPr>
          <w:rFonts w:hAnsi="標楷體"/>
          <w:color w:val="auto"/>
          <w:sz w:val="28"/>
          <w:szCs w:val="28"/>
        </w:rPr>
      </w:pPr>
      <w:r w:rsidRPr="00BF4552">
        <w:rPr>
          <w:rFonts w:hint="eastAsia"/>
          <w:color w:val="auto"/>
        </w:rPr>
        <w:t>該校教</w:t>
      </w:r>
      <w:r w:rsidRPr="00BF4552">
        <w:rPr>
          <w:color w:val="auto"/>
        </w:rPr>
        <w:t>師聘任暨升等審查辦法第</w:t>
      </w:r>
      <w:r w:rsidRPr="00BF4552">
        <w:rPr>
          <w:rFonts w:hint="eastAsia"/>
          <w:color w:val="auto"/>
        </w:rPr>
        <w:t>18條第2項規定</w:t>
      </w:r>
      <w:r w:rsidRPr="00BF4552">
        <w:rPr>
          <w:color w:val="auto"/>
        </w:rPr>
        <w:t>：</w:t>
      </w:r>
      <w:r w:rsidRPr="00BF4552">
        <w:rPr>
          <w:rFonts w:hint="eastAsia"/>
          <w:color w:val="auto"/>
        </w:rPr>
        <w:t>「教師有下列情事之一者，逕由校教評會審議通過，第一、二款解聘案陳請校長核定後函報教育部核定；第三款不續聘案陳請校長核定後即不予續聘：三、本校95學年度第2學期起新聘教師未依本</w:t>
      </w:r>
      <w:r w:rsidRPr="00BF4552">
        <w:rPr>
          <w:rFonts w:hint="eastAsia"/>
          <w:color w:val="auto"/>
        </w:rPr>
        <w:lastRenderedPageBreak/>
        <w:t>校新聘教師限期升等辦法規定升等之不續聘案。」該校據此辦理新聘教師限期升等及不續聘之校內流程事項，惟教育部尚未定有大學法第19條相關程序要件。</w:t>
      </w:r>
    </w:p>
    <w:p w:rsidR="00606C2B" w:rsidRPr="00BF4552" w:rsidRDefault="00606C2B" w:rsidP="00606C2B">
      <w:pPr>
        <w:pStyle w:val="3"/>
      </w:pPr>
      <w:r w:rsidRPr="00BF4552">
        <w:rPr>
          <w:rFonts w:hint="eastAsia"/>
        </w:rPr>
        <w:t>爰本案北科大認依大學法第19條</w:t>
      </w:r>
      <w:r w:rsidRPr="00BF4552">
        <w:rPr>
          <w:rFonts w:hAnsi="標楷體" w:hint="eastAsia"/>
        </w:rPr>
        <w:t>、</w:t>
      </w:r>
      <w:r w:rsidRPr="00BF4552">
        <w:rPr>
          <w:rFonts w:hint="eastAsia"/>
        </w:rPr>
        <w:t>上述校內辦法及教師聘約</w:t>
      </w:r>
      <w:r w:rsidRPr="00BF4552">
        <w:rPr>
          <w:rFonts w:hAnsi="標楷體" w:hint="eastAsia"/>
          <w:sz w:val="28"/>
          <w:szCs w:val="28"/>
        </w:rPr>
        <w:t>，</w:t>
      </w:r>
      <w:r w:rsidRPr="00BF4552">
        <w:rPr>
          <w:rFonts w:hint="eastAsia"/>
        </w:rPr>
        <w:t>針對新聘教師未</w:t>
      </w:r>
      <w:r w:rsidRPr="00BF4552">
        <w:t>於</w:t>
      </w:r>
      <w:r w:rsidRPr="00BF4552">
        <w:rPr>
          <w:rFonts w:hint="eastAsia"/>
        </w:rPr>
        <w:t>6至8年不等之期限內通過升等者，核予不續聘處分，是該校就本案A</w:t>
      </w:r>
      <w:r w:rsidRPr="00BF4552">
        <w:rPr>
          <w:rFonts w:hAnsi="標楷體" w:hint="eastAsia"/>
        </w:rPr>
        <w:t>、</w:t>
      </w:r>
      <w:r w:rsidRPr="00BF4552">
        <w:rPr>
          <w:rFonts w:hint="eastAsia"/>
        </w:rPr>
        <w:t>B二師之不續聘案件流程業經校教評會通過後隨即行函報教育部待核定，惟相關報部流程之規定闕如，況教育部亦未積極進行指導，做法前後分歧，茲分述如后：</w:t>
      </w:r>
    </w:p>
    <w:p w:rsidR="00606C2B" w:rsidRPr="00BF4552" w:rsidRDefault="00D300B4" w:rsidP="00606C2B">
      <w:pPr>
        <w:pStyle w:val="4"/>
        <w:rPr>
          <w:color w:val="auto"/>
        </w:rPr>
      </w:pPr>
      <w:r w:rsidRPr="00BF4552">
        <w:rPr>
          <w:rFonts w:hint="eastAsia"/>
          <w:color w:val="auto"/>
        </w:rPr>
        <w:t>本案</w:t>
      </w:r>
      <w:r w:rsidR="00606C2B" w:rsidRPr="00BF4552">
        <w:rPr>
          <w:rFonts w:hint="eastAsia"/>
          <w:color w:val="auto"/>
        </w:rPr>
        <w:t>A君經北科大教評會決議不予續聘案</w:t>
      </w:r>
      <w:r w:rsidRPr="00BF4552">
        <w:rPr>
          <w:rFonts w:hint="eastAsia"/>
          <w:color w:val="auto"/>
        </w:rPr>
        <w:t>部分</w:t>
      </w:r>
      <w:r w:rsidR="00606C2B" w:rsidRPr="00BF4552">
        <w:rPr>
          <w:rFonts w:hAnsi="標楷體" w:hint="eastAsia"/>
          <w:color w:val="auto"/>
        </w:rPr>
        <w:t>：</w:t>
      </w:r>
    </w:p>
    <w:p w:rsidR="00606C2B" w:rsidRPr="00BF4552" w:rsidRDefault="00606C2B" w:rsidP="00606C2B">
      <w:pPr>
        <w:pStyle w:val="5"/>
        <w:rPr>
          <w:color w:val="auto"/>
        </w:rPr>
      </w:pPr>
      <w:r w:rsidRPr="00BF4552">
        <w:rPr>
          <w:rFonts w:hint="eastAsia"/>
          <w:color w:val="auto"/>
        </w:rPr>
        <w:t>該校以105年7月18日北科大人字第1050800772號函報教育部</w:t>
      </w:r>
      <w:r w:rsidRPr="00BF4552">
        <w:rPr>
          <w:rStyle w:val="aff2"/>
          <w:color w:val="auto"/>
        </w:rPr>
        <w:footnoteReference w:id="6"/>
      </w:r>
      <w:r w:rsidRPr="00BF4552">
        <w:rPr>
          <w:rFonts w:hint="eastAsia"/>
          <w:color w:val="auto"/>
        </w:rPr>
        <w:t>備查，該函並稱「依據大學法第19條</w:t>
      </w:r>
      <w:r w:rsidRPr="00BF4552">
        <w:rPr>
          <w:rFonts w:hAnsi="標楷體" w:hint="eastAsia"/>
          <w:color w:val="auto"/>
        </w:rPr>
        <w:t>……</w:t>
      </w:r>
      <w:r w:rsidRPr="00BF4552">
        <w:rPr>
          <w:rFonts w:hint="eastAsia"/>
          <w:color w:val="auto"/>
        </w:rPr>
        <w:t>，又依該校教師聘任暨升等審查辦法第18條規定</w:t>
      </w:r>
      <w:r w:rsidRPr="00BF4552">
        <w:rPr>
          <w:rFonts w:hAnsi="標楷體" w:hint="eastAsia"/>
          <w:color w:val="auto"/>
        </w:rPr>
        <w:t>……</w:t>
      </w:r>
      <w:r w:rsidRPr="00BF4552">
        <w:rPr>
          <w:rFonts w:hint="eastAsia"/>
          <w:color w:val="auto"/>
        </w:rPr>
        <w:t>，A君於校外審未通過，與該校相關規定不符，爰經該校104學年度第2學期第3次教師評審委員會議決議不予續聘；併檢陳『專科以上學校教師解聘、停聘或不續聘檢覈表、事實表及相關資料各</w:t>
      </w:r>
      <w:r w:rsidRPr="00BF4552">
        <w:rPr>
          <w:color w:val="auto"/>
        </w:rPr>
        <w:t>1</w:t>
      </w:r>
      <w:r w:rsidRPr="00BF4552">
        <w:rPr>
          <w:rFonts w:hint="eastAsia"/>
          <w:color w:val="auto"/>
        </w:rPr>
        <w:t>份』」等；該部以105年8月9日臺教人(三)字第1050101375號函復該校，即請該校說明「此不</w:t>
      </w:r>
      <w:r w:rsidRPr="00BF4552">
        <w:rPr>
          <w:color w:val="auto"/>
        </w:rPr>
        <w:t>續聘案</w:t>
      </w:r>
      <w:r w:rsidRPr="00BF4552">
        <w:rPr>
          <w:rFonts w:hint="eastAsia"/>
          <w:color w:val="auto"/>
        </w:rPr>
        <w:t>適</w:t>
      </w:r>
      <w:r w:rsidRPr="00BF4552">
        <w:rPr>
          <w:color w:val="auto"/>
        </w:rPr>
        <w:t>用教師法第</w:t>
      </w:r>
      <w:r w:rsidRPr="00BF4552">
        <w:rPr>
          <w:rFonts w:hint="eastAsia"/>
          <w:color w:val="auto"/>
        </w:rPr>
        <w:t>14條</w:t>
      </w:r>
      <w:r w:rsidRPr="00BF4552">
        <w:rPr>
          <w:color w:val="auto"/>
        </w:rPr>
        <w:t>第</w:t>
      </w:r>
      <w:r w:rsidRPr="00BF4552">
        <w:rPr>
          <w:rFonts w:hint="eastAsia"/>
          <w:color w:val="auto"/>
        </w:rPr>
        <w:t>1項</w:t>
      </w:r>
      <w:r w:rsidRPr="00BF4552">
        <w:rPr>
          <w:color w:val="auto"/>
        </w:rPr>
        <w:t>何款之規定</w:t>
      </w:r>
      <w:r w:rsidRPr="00BF4552">
        <w:rPr>
          <w:rFonts w:hint="eastAsia"/>
          <w:color w:val="auto"/>
        </w:rPr>
        <w:t>」、「所報『專科以上學校教師解聘、停聘或不續聘檢覈表』未記載教評會審議階段是否給予當事人陳述意見機會，請補正。」等事項。</w:t>
      </w:r>
    </w:p>
    <w:p w:rsidR="00606C2B" w:rsidRPr="00BF4552" w:rsidRDefault="00606C2B" w:rsidP="00606C2B">
      <w:pPr>
        <w:pStyle w:val="5"/>
        <w:rPr>
          <w:color w:val="auto"/>
        </w:rPr>
      </w:pPr>
      <w:r w:rsidRPr="00BF4552">
        <w:rPr>
          <w:rFonts w:hint="eastAsia"/>
          <w:color w:val="auto"/>
        </w:rPr>
        <w:t>該校又於同年8月31日</w:t>
      </w:r>
      <w:r w:rsidRPr="00BF4552">
        <w:rPr>
          <w:rStyle w:val="aff2"/>
          <w:color w:val="auto"/>
        </w:rPr>
        <w:footnoteReference w:id="7"/>
      </w:r>
      <w:r w:rsidRPr="00BF4552">
        <w:rPr>
          <w:rFonts w:hint="eastAsia"/>
          <w:color w:val="auto"/>
        </w:rPr>
        <w:t>函報他案到部，並說明「業依大學法第19條授權規定該校教師聘任相</w:t>
      </w:r>
      <w:r w:rsidRPr="00BF4552">
        <w:rPr>
          <w:rFonts w:hint="eastAsia"/>
          <w:color w:val="auto"/>
        </w:rPr>
        <w:lastRenderedPageBreak/>
        <w:t>關辦法，大學法並未規定須報部核定，嗣後類此案件將不再陳報教育部」等語。惟教育部仍以同年9月29日臺教技(三)字第1050134518號函以：「依大學法第19條辦理之停聘或不續聘於事由及程序上，應經校務會議審議通過後實施，並將該事由及程序納入聘約始為合法，查北科大前於105年7月18日函報案，檢附之校內章則未明定法源依據及違反前開規定所處停聘或不續聘之事由及程序，並未將前開事由及程序明訂於教師聘約內容中」等語。</w:t>
      </w:r>
    </w:p>
    <w:p w:rsidR="00606C2B" w:rsidRPr="00BF4552" w:rsidRDefault="00606C2B" w:rsidP="00606C2B">
      <w:pPr>
        <w:pStyle w:val="5"/>
        <w:rPr>
          <w:color w:val="auto"/>
        </w:rPr>
      </w:pPr>
      <w:r w:rsidRPr="00BF4552">
        <w:rPr>
          <w:rFonts w:hint="eastAsia"/>
          <w:color w:val="auto"/>
        </w:rPr>
        <w:t>後該校陸續回應教育部，並以同年12月5日北科大人字第1050002283號函說明：該校係依大學法第19條及相關之該校規定辦理，非依教師法第14條不續聘A君等語。</w:t>
      </w:r>
    </w:p>
    <w:p w:rsidR="00606C2B" w:rsidRPr="00BF4552" w:rsidRDefault="00606C2B" w:rsidP="00606C2B">
      <w:pPr>
        <w:pStyle w:val="5"/>
        <w:rPr>
          <w:color w:val="auto"/>
        </w:rPr>
      </w:pPr>
      <w:r w:rsidRPr="00BF4552">
        <w:rPr>
          <w:rFonts w:hint="eastAsia"/>
          <w:color w:val="auto"/>
        </w:rPr>
        <w:t>觀此歷程，北科大初次雖函報教育部其以大學法第19條不續聘A君，卻隨函檢陳適用於教師法第14條不續聘程序之表件，程序已見錯亂，而教育部收到北科大函文後，忽略北科大來函所述之不續聘依據乃大學法第19條，詎逕予認定該校係依「教師法第14條」規定辦理不續聘，進而要求該校釐清此案是否符合教師法所定程序要件，無論學校或教育部之處理程序，均</w:t>
      </w:r>
      <w:r w:rsidR="009B66B3" w:rsidRPr="00BF4552">
        <w:rPr>
          <w:rFonts w:hint="eastAsia"/>
          <w:color w:val="auto"/>
        </w:rPr>
        <w:t>見</w:t>
      </w:r>
      <w:r w:rsidRPr="00BF4552">
        <w:rPr>
          <w:rFonts w:hint="eastAsia"/>
          <w:color w:val="auto"/>
        </w:rPr>
        <w:t>混亂。</w:t>
      </w:r>
    </w:p>
    <w:p w:rsidR="00606C2B" w:rsidRPr="00BF4552" w:rsidRDefault="00606C2B" w:rsidP="001B7B0C">
      <w:pPr>
        <w:pStyle w:val="4"/>
      </w:pPr>
      <w:r w:rsidRPr="00BF4552">
        <w:rPr>
          <w:rFonts w:hint="eastAsia"/>
        </w:rPr>
        <w:t>另</w:t>
      </w:r>
      <w:r w:rsidR="00D300B4" w:rsidRPr="00BF4552">
        <w:rPr>
          <w:rFonts w:hint="eastAsia"/>
        </w:rPr>
        <w:t>本案</w:t>
      </w:r>
      <w:r w:rsidRPr="00BF4552">
        <w:rPr>
          <w:rFonts w:hint="eastAsia"/>
        </w:rPr>
        <w:t>B</w:t>
      </w:r>
      <w:r w:rsidR="00D300B4" w:rsidRPr="00BF4552">
        <w:rPr>
          <w:rFonts w:hint="eastAsia"/>
        </w:rPr>
        <w:t>君部分</w:t>
      </w:r>
      <w:r w:rsidR="009A4474" w:rsidRPr="00BF4552">
        <w:rPr>
          <w:rFonts w:hint="eastAsia"/>
        </w:rPr>
        <w:t>亦同</w:t>
      </w:r>
      <w:r w:rsidRPr="00BF4552">
        <w:rPr>
          <w:rFonts w:hint="eastAsia"/>
        </w:rPr>
        <w:t>，北科大以105年7月18日北科大人字第1050800773號函報教育部B君自105學年度起不續聘案。該校於105年12月19日函復說明本案係依大學法第19條、該校教師聘約及新進教師限期升等辦法不予續聘B君，並非依教師法第14條規定不予續聘，經學校105年11月25日學校教師評審委員會重新審議，作出自105年8月1日起不予續聘B君之決議。</w:t>
      </w:r>
      <w:r w:rsidR="009A4474" w:rsidRPr="00BF4552">
        <w:rPr>
          <w:rFonts w:hint="eastAsia"/>
        </w:rPr>
        <w:t>惟教育部歷次回復北科大均未明確告知</w:t>
      </w:r>
      <w:r w:rsidR="009A4474" w:rsidRPr="00BF4552">
        <w:rPr>
          <w:rFonts w:hint="eastAsia"/>
        </w:rPr>
        <w:lastRenderedPageBreak/>
        <w:t>該校「依據大學法第19條辦理之不續聘案毋須報經該部」等情。</w:t>
      </w:r>
    </w:p>
    <w:p w:rsidR="00606C2B" w:rsidRPr="00BF4552" w:rsidRDefault="00606C2B" w:rsidP="001B7B0C">
      <w:pPr>
        <w:pStyle w:val="4"/>
      </w:pPr>
      <w:r w:rsidRPr="00BF4552">
        <w:rPr>
          <w:rFonts w:hint="eastAsia"/>
        </w:rPr>
        <w:t>核</w:t>
      </w:r>
      <w:r w:rsidR="009A4474" w:rsidRPr="00BF4552">
        <w:rPr>
          <w:rFonts w:hint="eastAsia"/>
        </w:rPr>
        <w:t>上開2案</w:t>
      </w:r>
      <w:r w:rsidRPr="00BF4552">
        <w:rPr>
          <w:rFonts w:hint="eastAsia"/>
        </w:rPr>
        <w:t>教育部</w:t>
      </w:r>
      <w:r w:rsidR="009A4474" w:rsidRPr="00BF4552">
        <w:rPr>
          <w:rFonts w:hint="eastAsia"/>
        </w:rPr>
        <w:t>之復文處理</w:t>
      </w:r>
      <w:r w:rsidRPr="00BF4552">
        <w:rPr>
          <w:rFonts w:hint="eastAsia"/>
        </w:rPr>
        <w:t>，徒增學校報核之公文往返作業時間，致</w:t>
      </w:r>
      <w:r w:rsidR="009A4474" w:rsidRPr="00BF4552">
        <w:rPr>
          <w:rFonts w:hint="eastAsia"/>
        </w:rPr>
        <w:t>均</w:t>
      </w:r>
      <w:r w:rsidRPr="00BF4552">
        <w:rPr>
          <w:rFonts w:hint="eastAsia"/>
        </w:rPr>
        <w:t>已逾105學年度(105年8月1日)，仍未能確認</w:t>
      </w:r>
      <w:r w:rsidR="001B7B0C" w:rsidRPr="00BF4552">
        <w:rPr>
          <w:rFonts w:hint="eastAsia"/>
        </w:rPr>
        <w:t>本案</w:t>
      </w:r>
      <w:r w:rsidR="009A4474" w:rsidRPr="00BF4552">
        <w:rPr>
          <w:rFonts w:hint="eastAsia"/>
        </w:rPr>
        <w:t>2名教師</w:t>
      </w:r>
      <w:r w:rsidR="001B7B0C" w:rsidRPr="00BF4552">
        <w:rPr>
          <w:rFonts w:hint="eastAsia"/>
        </w:rPr>
        <w:t>是否須依教師法第14條之1第1項：「</w:t>
      </w:r>
      <w:r w:rsidR="001B7B0C" w:rsidRPr="00BF4552">
        <w:rPr>
          <w:rFonts w:hint="eastAsia"/>
          <w:color w:val="auto"/>
        </w:rPr>
        <w:t>學校教師評審委員會依第14條規定作成教師解聘、停聘或不續聘之決議後，學校應自決議作成之日起10日內報請主管教育行政機關核准，並同時以書面附理由通知當事人。」之規定</w:t>
      </w:r>
      <w:r w:rsidR="00671472" w:rsidRPr="00BF4552">
        <w:rPr>
          <w:rFonts w:hint="eastAsia"/>
          <w:color w:val="auto"/>
        </w:rPr>
        <w:t>報部核定</w:t>
      </w:r>
      <w:r w:rsidR="009A4474" w:rsidRPr="00BF4552">
        <w:rPr>
          <w:rFonts w:hint="eastAsia"/>
          <w:color w:val="auto"/>
        </w:rPr>
        <w:t>，</w:t>
      </w:r>
      <w:r w:rsidRPr="00BF4552">
        <w:rPr>
          <w:rFonts w:hint="eastAsia"/>
        </w:rPr>
        <w:t>顯非妥適。</w:t>
      </w:r>
      <w:r w:rsidR="009A4474" w:rsidRPr="00BF4552">
        <w:rPr>
          <w:rFonts w:hint="eastAsia"/>
        </w:rPr>
        <w:t>又，該</w:t>
      </w:r>
      <w:r w:rsidRPr="00BF4552">
        <w:rPr>
          <w:rFonts w:hint="eastAsia"/>
        </w:rPr>
        <w:t>部於本院調查函詢時稱「</w:t>
      </w:r>
      <w:r w:rsidRPr="00BF4552">
        <w:rPr>
          <w:rFonts w:cs="標楷體" w:hint="eastAsia"/>
          <w:kern w:val="0"/>
          <w:szCs w:val="32"/>
          <w:lang w:val="zh-TW"/>
        </w:rPr>
        <w:t>該校非以教師法第</w:t>
      </w:r>
      <w:r w:rsidRPr="00BF4552">
        <w:rPr>
          <w:rFonts w:cs="標楷體"/>
          <w:kern w:val="0"/>
          <w:szCs w:val="32"/>
          <w:lang w:val="zh-TW"/>
        </w:rPr>
        <w:t>14</w:t>
      </w:r>
      <w:r w:rsidRPr="00BF4552">
        <w:rPr>
          <w:rFonts w:cs="標楷體" w:hint="eastAsia"/>
          <w:kern w:val="0"/>
          <w:szCs w:val="32"/>
          <w:lang w:val="zh-TW"/>
        </w:rPr>
        <w:t>條辦理教師不續聘案，爰本部未受理</w:t>
      </w:r>
      <w:r w:rsidRPr="00BF4552">
        <w:rPr>
          <w:rFonts w:hint="eastAsia"/>
        </w:rPr>
        <w:t>」云云，說法實不足採。</w:t>
      </w:r>
    </w:p>
    <w:p w:rsidR="00606C2B" w:rsidRPr="00BF4552" w:rsidRDefault="00606C2B" w:rsidP="00606C2B">
      <w:pPr>
        <w:pStyle w:val="3"/>
      </w:pPr>
      <w:r w:rsidRPr="00BF4552">
        <w:rPr>
          <w:rFonts w:hint="eastAsia"/>
        </w:rPr>
        <w:t>本案諮詢專家學者意見指出，學校在操作不續聘、解聘等人事案程序的是人事單位，很多人事單位並不清楚大學法第19條與教師法第14條規定的差別，因此在接續處理教評會不續聘、解聘決定的時候，都會併引大學法第19條與教師法第14條等語；以本案而言，北科大初次將A、B君不予續聘之案件函報教育部時，確有檢附教師法適用之表單的情形，</w:t>
      </w:r>
      <w:r w:rsidR="00671472" w:rsidRPr="00BF4552">
        <w:rPr>
          <w:rFonts w:hint="eastAsia"/>
        </w:rPr>
        <w:t>此益證</w:t>
      </w:r>
      <w:r w:rsidRPr="00BF4552">
        <w:rPr>
          <w:rFonts w:hint="eastAsia"/>
        </w:rPr>
        <w:t>大學法第19條與教師法第14條之連結，與實務操作方式</w:t>
      </w:r>
      <w:r w:rsidR="00671472" w:rsidRPr="00BF4552">
        <w:rPr>
          <w:rFonts w:hint="eastAsia"/>
        </w:rPr>
        <w:t>確</w:t>
      </w:r>
      <w:r w:rsidRPr="00BF4552">
        <w:rPr>
          <w:rFonts w:hint="eastAsia"/>
        </w:rPr>
        <w:t>有高度</w:t>
      </w:r>
      <w:r w:rsidR="00671472" w:rsidRPr="00BF4552">
        <w:rPr>
          <w:rFonts w:hint="eastAsia"/>
        </w:rPr>
        <w:t>之</w:t>
      </w:r>
      <w:r w:rsidRPr="00BF4552">
        <w:rPr>
          <w:rFonts w:hint="eastAsia"/>
        </w:rPr>
        <w:t>關聯性，</w:t>
      </w:r>
      <w:r w:rsidR="00671472" w:rsidRPr="00BF4552">
        <w:rPr>
          <w:rFonts w:hint="eastAsia"/>
        </w:rPr>
        <w:t>顯見教育部</w:t>
      </w:r>
      <w:r w:rsidRPr="00BF4552">
        <w:rPr>
          <w:rFonts w:hint="eastAsia"/>
        </w:rPr>
        <w:t>未來不論是針對學校行政單位</w:t>
      </w:r>
      <w:r w:rsidR="00671472" w:rsidRPr="00BF4552">
        <w:rPr>
          <w:rFonts w:hint="eastAsia"/>
        </w:rPr>
        <w:t>之</w:t>
      </w:r>
      <w:r w:rsidRPr="00BF4552">
        <w:rPr>
          <w:rFonts w:hint="eastAsia"/>
        </w:rPr>
        <w:t>宣導，或是在法令與其配套措施及文件上，</w:t>
      </w:r>
      <w:r w:rsidR="00671472" w:rsidRPr="00BF4552">
        <w:rPr>
          <w:rFonts w:hint="eastAsia"/>
        </w:rPr>
        <w:t>均有</w:t>
      </w:r>
      <w:r w:rsidRPr="00BF4552">
        <w:rPr>
          <w:rFonts w:hint="eastAsia"/>
        </w:rPr>
        <w:t>明確區隔適用法條、主管權限與報核程序等</w:t>
      </w:r>
      <w:r w:rsidR="00671472" w:rsidRPr="00BF4552">
        <w:rPr>
          <w:rFonts w:hint="eastAsia"/>
        </w:rPr>
        <w:t>之必要</w:t>
      </w:r>
      <w:r w:rsidRPr="00BF4552">
        <w:rPr>
          <w:rFonts w:hint="eastAsia"/>
        </w:rPr>
        <w:t>。</w:t>
      </w:r>
    </w:p>
    <w:p w:rsidR="00606C2B" w:rsidRPr="00BF4552" w:rsidRDefault="00606C2B" w:rsidP="00606C2B">
      <w:pPr>
        <w:pStyle w:val="3"/>
      </w:pPr>
      <w:r w:rsidRPr="00BF4552">
        <w:rPr>
          <w:rFonts w:hint="eastAsia"/>
        </w:rPr>
        <w:t>北科大針對上述兩案後續進度，已向司法院聲請釋憲在案，且校教評會委員一致認為，應俟司法院大法官作成統一解釋後再審議本案，以杜爭議等語。又北科大亦稱本案教育部援引與大學法第19條無涉之判決，是其認事用法與該校相左等</w:t>
      </w:r>
      <w:r w:rsidRPr="00BF4552">
        <w:rPr>
          <w:rFonts w:hint="eastAsia"/>
        </w:rPr>
        <w:lastRenderedPageBreak/>
        <w:t>語。另一方面，教育部對於大專校院適用大學法第19條之困擾，自94年修法後並未積極指導或訂定相關準則性規定以供依循，遲至歷年行政法院判決歧異，及本案相關爭議後，至105年9月方始諮詢法律學者意見研商</w:t>
      </w:r>
      <w:r w:rsidRPr="00BF4552">
        <w:rPr>
          <w:rFonts w:hAnsi="標楷體" w:hint="eastAsia"/>
        </w:rPr>
        <w:t>，並稱</w:t>
      </w:r>
      <w:r w:rsidRPr="00BF4552">
        <w:rPr>
          <w:rFonts w:hint="eastAsia"/>
        </w:rPr>
        <w:t>即將進行大學法修法作業</w:t>
      </w:r>
      <w:r w:rsidRPr="00BF4552">
        <w:rPr>
          <w:rFonts w:hAnsi="標楷體" w:hint="eastAsia"/>
        </w:rPr>
        <w:t>。</w:t>
      </w:r>
      <w:r w:rsidRPr="00BF4552">
        <w:rPr>
          <w:rFonts w:hint="eastAsia"/>
        </w:rPr>
        <w:t>是以，94年大學法修法迄今，教育部不僅針對依該法第19條規定予不續聘處分之</w:t>
      </w:r>
      <w:r w:rsidRPr="00BF4552">
        <w:rPr>
          <w:rFonts w:hAnsi="標楷體" w:hint="eastAsia"/>
        </w:rPr>
        <w:t>「</w:t>
      </w:r>
      <w:r w:rsidRPr="00BF4552">
        <w:rPr>
          <w:rFonts w:hint="eastAsia"/>
        </w:rPr>
        <w:t>報部核准</w:t>
      </w:r>
      <w:r w:rsidRPr="00BF4552">
        <w:rPr>
          <w:rFonts w:hAnsi="標楷體" w:hint="eastAsia"/>
        </w:rPr>
        <w:t>」標準流程仍未臻明確，</w:t>
      </w:r>
      <w:r w:rsidRPr="00BF4552">
        <w:rPr>
          <w:rFonts w:hint="eastAsia"/>
        </w:rPr>
        <w:t>且整體督導作為緩不濟急，實難謂積極任事，洵有</w:t>
      </w:r>
      <w:r w:rsidR="00671472" w:rsidRPr="00BF4552">
        <w:rPr>
          <w:rFonts w:hAnsi="標楷體" w:hint="eastAsia"/>
        </w:rPr>
        <w:t>確實</w:t>
      </w:r>
      <w:r w:rsidRPr="00BF4552">
        <w:rPr>
          <w:rFonts w:hAnsi="標楷體" w:hint="eastAsia"/>
        </w:rPr>
        <w:t>檢討</w:t>
      </w:r>
      <w:r w:rsidR="00671472" w:rsidRPr="00BF4552">
        <w:rPr>
          <w:rFonts w:hAnsi="標楷體" w:hint="eastAsia"/>
        </w:rPr>
        <w:t>之</w:t>
      </w:r>
      <w:r w:rsidRPr="00BF4552">
        <w:rPr>
          <w:rFonts w:hAnsi="標楷體" w:hint="eastAsia"/>
        </w:rPr>
        <w:t>必要。</w:t>
      </w:r>
    </w:p>
    <w:p w:rsidR="00606C2B" w:rsidRPr="00BF4552" w:rsidRDefault="005510B5" w:rsidP="00606C2B">
      <w:pPr>
        <w:pStyle w:val="3"/>
      </w:pPr>
      <w:r w:rsidRPr="00BF4552">
        <w:rPr>
          <w:rFonts w:hint="eastAsia"/>
        </w:rPr>
        <w:t>復查，大學訂定教師限期升等並非北科大特例，然94年大學法增訂第19條規定後，教育部未能積極督導協助，致適用爭議不斷，亦徵該部疏失。本院調查統計全國各大專校院依大學法第19條實施教師限期升等制度之情形</w:t>
      </w:r>
      <w:r w:rsidRPr="00BF4552">
        <w:rPr>
          <w:rFonts w:hAnsi="標楷體" w:hint="eastAsia"/>
        </w:rPr>
        <w:t>，</w:t>
      </w:r>
      <w:r w:rsidRPr="00BF4552">
        <w:rPr>
          <w:rFonts w:hint="eastAsia"/>
        </w:rPr>
        <w:t>分析各校實施限期升等之情形顯示，納入聘約及規定之校數達107所，然施行中僅87所，甚有15所已廢止(詳如下表3)。</w:t>
      </w:r>
      <w:r w:rsidR="00671472" w:rsidRPr="00BF4552">
        <w:rPr>
          <w:rFonts w:hint="eastAsia"/>
        </w:rPr>
        <w:t>此外，</w:t>
      </w:r>
      <w:r w:rsidRPr="00BF4552">
        <w:rPr>
          <w:rFonts w:hint="eastAsia"/>
        </w:rPr>
        <w:t>觀察學校廢止限期升等制度之日期，多於102年以後陸續出現廢止或研議廢止情形，此情究與102年以後出現之行政法院判決是否有關？抑或，學校因欠缺明確執行程序而導致大學法第19條於實務作業爭議不斷</w:t>
      </w:r>
      <w:r w:rsidRPr="00BF4552">
        <w:rPr>
          <w:rFonts w:hAnsi="標楷體" w:hint="eastAsia"/>
        </w:rPr>
        <w:t>？</w:t>
      </w:r>
      <w:r w:rsidRPr="00BF4552">
        <w:rPr>
          <w:rFonts w:hint="eastAsia"/>
        </w:rPr>
        <w:t>問題癥結亟待教育部釐清溝通。</w:t>
      </w:r>
    </w:p>
    <w:p w:rsidR="00606C2B" w:rsidRPr="00BF4552" w:rsidRDefault="00606C2B" w:rsidP="00606C2B">
      <w:pPr>
        <w:pStyle w:val="a4"/>
        <w:ind w:hanging="196"/>
        <w:rPr>
          <w:b/>
        </w:rPr>
      </w:pPr>
      <w:r w:rsidRPr="00BF4552">
        <w:rPr>
          <w:rFonts w:hint="eastAsia"/>
          <w:b/>
        </w:rPr>
        <w:t>公私立大專校院實施教師限期升等制度情形-數量統計表</w:t>
      </w:r>
    </w:p>
    <w:tbl>
      <w:tblPr>
        <w:tblStyle w:val="af7"/>
        <w:tblW w:w="7698" w:type="dxa"/>
        <w:tblInd w:w="1390" w:type="dxa"/>
        <w:tblLook w:val="04A0" w:firstRow="1" w:lastRow="0" w:firstColumn="1" w:lastColumn="0" w:noHBand="0" w:noVBand="1"/>
      </w:tblPr>
      <w:tblGrid>
        <w:gridCol w:w="1559"/>
        <w:gridCol w:w="2977"/>
        <w:gridCol w:w="3162"/>
      </w:tblGrid>
      <w:tr w:rsidR="005510B5" w:rsidRPr="00BF4552" w:rsidTr="00606C2B">
        <w:tc>
          <w:tcPr>
            <w:tcW w:w="1559" w:type="dxa"/>
          </w:tcPr>
          <w:p w:rsidR="00606C2B" w:rsidRPr="00BF4552" w:rsidRDefault="00606C2B" w:rsidP="00606C2B">
            <w:pPr>
              <w:jc w:val="center"/>
              <w:rPr>
                <w:b/>
                <w:sz w:val="27"/>
                <w:szCs w:val="27"/>
              </w:rPr>
            </w:pPr>
            <w:r w:rsidRPr="00BF4552">
              <w:rPr>
                <w:rFonts w:hint="eastAsia"/>
                <w:b/>
                <w:sz w:val="27"/>
                <w:szCs w:val="27"/>
              </w:rPr>
              <w:t>類別</w:t>
            </w:r>
          </w:p>
        </w:tc>
        <w:tc>
          <w:tcPr>
            <w:tcW w:w="2977" w:type="dxa"/>
          </w:tcPr>
          <w:p w:rsidR="00606C2B" w:rsidRPr="00BF4552" w:rsidRDefault="00606C2B" w:rsidP="00606C2B">
            <w:pPr>
              <w:jc w:val="center"/>
              <w:rPr>
                <w:b/>
                <w:sz w:val="27"/>
                <w:szCs w:val="27"/>
              </w:rPr>
            </w:pPr>
            <w:r w:rsidRPr="00BF4552">
              <w:rPr>
                <w:rFonts w:hAnsi="標楷體" w:cs="新細明體" w:hint="eastAsia"/>
                <w:b/>
                <w:bCs/>
                <w:kern w:val="0"/>
                <w:sz w:val="27"/>
                <w:szCs w:val="27"/>
              </w:rPr>
              <w:t>訂定規定/或納入聘約</w:t>
            </w:r>
          </w:p>
        </w:tc>
        <w:tc>
          <w:tcPr>
            <w:tcW w:w="3162" w:type="dxa"/>
          </w:tcPr>
          <w:p w:rsidR="00606C2B" w:rsidRPr="00BF4552" w:rsidRDefault="00606C2B" w:rsidP="00606C2B">
            <w:pPr>
              <w:jc w:val="center"/>
              <w:rPr>
                <w:b/>
                <w:sz w:val="27"/>
                <w:szCs w:val="27"/>
              </w:rPr>
            </w:pPr>
            <w:r w:rsidRPr="00BF4552">
              <w:rPr>
                <w:rFonts w:hAnsi="標楷體" w:cs="新細明體" w:hint="eastAsia"/>
                <w:b/>
                <w:bCs/>
                <w:kern w:val="0"/>
                <w:sz w:val="27"/>
                <w:szCs w:val="27"/>
              </w:rPr>
              <w:t>已廢止</w:t>
            </w:r>
          </w:p>
        </w:tc>
      </w:tr>
      <w:tr w:rsidR="005510B5" w:rsidRPr="00BF4552" w:rsidTr="00606C2B">
        <w:tc>
          <w:tcPr>
            <w:tcW w:w="1559" w:type="dxa"/>
          </w:tcPr>
          <w:p w:rsidR="00606C2B" w:rsidRPr="00BF4552" w:rsidRDefault="00606C2B" w:rsidP="00606C2B">
            <w:pPr>
              <w:jc w:val="center"/>
              <w:rPr>
                <w:b/>
                <w:sz w:val="27"/>
                <w:szCs w:val="27"/>
              </w:rPr>
            </w:pPr>
            <w:r w:rsidRPr="00BF4552">
              <w:rPr>
                <w:rFonts w:hint="eastAsia"/>
                <w:b/>
                <w:sz w:val="27"/>
                <w:szCs w:val="27"/>
              </w:rPr>
              <w:t>公    立</w:t>
            </w:r>
          </w:p>
        </w:tc>
        <w:tc>
          <w:tcPr>
            <w:tcW w:w="2977" w:type="dxa"/>
          </w:tcPr>
          <w:p w:rsidR="00606C2B" w:rsidRPr="00BF4552" w:rsidRDefault="00606C2B" w:rsidP="00606C2B">
            <w:pPr>
              <w:jc w:val="center"/>
              <w:rPr>
                <w:sz w:val="27"/>
                <w:szCs w:val="27"/>
              </w:rPr>
            </w:pPr>
            <w:r w:rsidRPr="00BF4552">
              <w:rPr>
                <w:rFonts w:hint="eastAsia"/>
                <w:sz w:val="27"/>
                <w:szCs w:val="27"/>
              </w:rPr>
              <w:t>41</w:t>
            </w:r>
          </w:p>
        </w:tc>
        <w:tc>
          <w:tcPr>
            <w:tcW w:w="3162" w:type="dxa"/>
          </w:tcPr>
          <w:p w:rsidR="00606C2B" w:rsidRPr="00BF4552" w:rsidRDefault="00606C2B" w:rsidP="00606C2B">
            <w:pPr>
              <w:jc w:val="center"/>
              <w:rPr>
                <w:sz w:val="27"/>
                <w:szCs w:val="27"/>
              </w:rPr>
            </w:pPr>
            <w:r w:rsidRPr="00BF4552">
              <w:rPr>
                <w:rFonts w:hint="eastAsia"/>
                <w:sz w:val="27"/>
                <w:szCs w:val="27"/>
              </w:rPr>
              <w:t>1</w:t>
            </w:r>
            <w:r w:rsidRPr="00BF4552">
              <w:rPr>
                <w:rStyle w:val="aff2"/>
                <w:sz w:val="27"/>
                <w:szCs w:val="27"/>
              </w:rPr>
              <w:footnoteReference w:id="8"/>
            </w:r>
          </w:p>
        </w:tc>
      </w:tr>
      <w:tr w:rsidR="005510B5" w:rsidRPr="00BF4552" w:rsidTr="00606C2B">
        <w:tc>
          <w:tcPr>
            <w:tcW w:w="1559" w:type="dxa"/>
          </w:tcPr>
          <w:p w:rsidR="00606C2B" w:rsidRPr="00BF4552" w:rsidRDefault="00606C2B" w:rsidP="00606C2B">
            <w:pPr>
              <w:jc w:val="center"/>
              <w:rPr>
                <w:b/>
                <w:sz w:val="27"/>
                <w:szCs w:val="27"/>
              </w:rPr>
            </w:pPr>
            <w:r w:rsidRPr="00BF4552">
              <w:rPr>
                <w:rFonts w:hint="eastAsia"/>
                <w:b/>
                <w:sz w:val="27"/>
                <w:szCs w:val="27"/>
              </w:rPr>
              <w:t>私    立</w:t>
            </w:r>
          </w:p>
        </w:tc>
        <w:tc>
          <w:tcPr>
            <w:tcW w:w="2977" w:type="dxa"/>
          </w:tcPr>
          <w:p w:rsidR="00606C2B" w:rsidRPr="00BF4552" w:rsidRDefault="00606C2B" w:rsidP="00606C2B">
            <w:pPr>
              <w:jc w:val="center"/>
              <w:rPr>
                <w:sz w:val="27"/>
                <w:szCs w:val="27"/>
              </w:rPr>
            </w:pPr>
            <w:r w:rsidRPr="00BF4552">
              <w:rPr>
                <w:rFonts w:hint="eastAsia"/>
                <w:sz w:val="27"/>
                <w:szCs w:val="27"/>
              </w:rPr>
              <w:t>66</w:t>
            </w:r>
          </w:p>
        </w:tc>
        <w:tc>
          <w:tcPr>
            <w:tcW w:w="3162" w:type="dxa"/>
          </w:tcPr>
          <w:p w:rsidR="00606C2B" w:rsidRPr="00BF4552" w:rsidRDefault="00606C2B" w:rsidP="00606C2B">
            <w:pPr>
              <w:jc w:val="center"/>
              <w:rPr>
                <w:sz w:val="27"/>
                <w:szCs w:val="27"/>
              </w:rPr>
            </w:pPr>
            <w:r w:rsidRPr="00BF4552">
              <w:rPr>
                <w:rFonts w:hint="eastAsia"/>
                <w:sz w:val="27"/>
                <w:szCs w:val="27"/>
              </w:rPr>
              <w:t>14</w:t>
            </w:r>
            <w:r w:rsidRPr="00BF4552">
              <w:rPr>
                <w:rStyle w:val="aff2"/>
                <w:sz w:val="27"/>
                <w:szCs w:val="27"/>
              </w:rPr>
              <w:footnoteReference w:id="9"/>
            </w:r>
          </w:p>
        </w:tc>
      </w:tr>
      <w:tr w:rsidR="005510B5" w:rsidRPr="00BF4552" w:rsidTr="00606C2B">
        <w:tc>
          <w:tcPr>
            <w:tcW w:w="1559" w:type="dxa"/>
          </w:tcPr>
          <w:p w:rsidR="00606C2B" w:rsidRPr="00BF4552" w:rsidRDefault="00606C2B" w:rsidP="00606C2B">
            <w:pPr>
              <w:jc w:val="center"/>
              <w:rPr>
                <w:b/>
                <w:sz w:val="27"/>
                <w:szCs w:val="27"/>
              </w:rPr>
            </w:pPr>
            <w:r w:rsidRPr="00BF4552">
              <w:rPr>
                <w:rFonts w:hint="eastAsia"/>
                <w:b/>
                <w:sz w:val="27"/>
                <w:szCs w:val="27"/>
              </w:rPr>
              <w:t>總計</w:t>
            </w:r>
          </w:p>
        </w:tc>
        <w:tc>
          <w:tcPr>
            <w:tcW w:w="2977" w:type="dxa"/>
          </w:tcPr>
          <w:p w:rsidR="00606C2B" w:rsidRPr="00BF4552" w:rsidRDefault="00606C2B" w:rsidP="00606C2B">
            <w:pPr>
              <w:jc w:val="center"/>
              <w:rPr>
                <w:sz w:val="27"/>
                <w:szCs w:val="27"/>
              </w:rPr>
            </w:pPr>
            <w:r w:rsidRPr="00BF4552">
              <w:rPr>
                <w:rFonts w:hint="eastAsia"/>
                <w:sz w:val="27"/>
                <w:szCs w:val="27"/>
              </w:rPr>
              <w:t>107</w:t>
            </w:r>
          </w:p>
        </w:tc>
        <w:tc>
          <w:tcPr>
            <w:tcW w:w="3162" w:type="dxa"/>
          </w:tcPr>
          <w:p w:rsidR="00606C2B" w:rsidRPr="00BF4552" w:rsidRDefault="00606C2B" w:rsidP="00606C2B">
            <w:pPr>
              <w:jc w:val="center"/>
              <w:rPr>
                <w:sz w:val="27"/>
                <w:szCs w:val="27"/>
              </w:rPr>
            </w:pPr>
            <w:r w:rsidRPr="00BF4552">
              <w:rPr>
                <w:rFonts w:hint="eastAsia"/>
                <w:sz w:val="27"/>
                <w:szCs w:val="27"/>
              </w:rPr>
              <w:t>15</w:t>
            </w:r>
          </w:p>
        </w:tc>
      </w:tr>
    </w:tbl>
    <w:p w:rsidR="005510B5" w:rsidRPr="00BF4552" w:rsidRDefault="005510B5" w:rsidP="005510B5">
      <w:pPr>
        <w:widowControl/>
        <w:overflowPunct/>
        <w:autoSpaceDE/>
        <w:autoSpaceDN/>
        <w:spacing w:line="240" w:lineRule="exact"/>
        <w:ind w:firstLineChars="500" w:firstLine="1301"/>
        <w:jc w:val="left"/>
        <w:rPr>
          <w:bCs/>
          <w:kern w:val="0"/>
          <w:sz w:val="24"/>
          <w:szCs w:val="24"/>
        </w:rPr>
      </w:pPr>
      <w:r w:rsidRPr="00BF4552">
        <w:rPr>
          <w:rFonts w:hint="eastAsia"/>
          <w:bCs/>
          <w:kern w:val="0"/>
          <w:sz w:val="24"/>
          <w:szCs w:val="24"/>
        </w:rPr>
        <w:t>註：公立部分約有40校施行、私立部分約有47校施行，未廢止規</w:t>
      </w:r>
    </w:p>
    <w:p w:rsidR="00606C2B" w:rsidRPr="00BF4552" w:rsidRDefault="005510B5" w:rsidP="005510B5">
      <w:pPr>
        <w:widowControl/>
        <w:overflowPunct/>
        <w:autoSpaceDE/>
        <w:autoSpaceDN/>
        <w:spacing w:line="240" w:lineRule="exact"/>
        <w:jc w:val="left"/>
        <w:rPr>
          <w:bCs/>
          <w:kern w:val="0"/>
          <w:sz w:val="24"/>
          <w:szCs w:val="24"/>
        </w:rPr>
      </w:pPr>
      <w:r w:rsidRPr="00BF4552">
        <w:rPr>
          <w:rFonts w:hint="eastAsia"/>
          <w:bCs/>
          <w:kern w:val="0"/>
          <w:sz w:val="24"/>
          <w:szCs w:val="24"/>
        </w:rPr>
        <w:t xml:space="preserve">              定亦未施行之學校數量及事由，教育部尚未完全掌握。</w:t>
      </w:r>
    </w:p>
    <w:p w:rsidR="00606C2B" w:rsidRPr="00BF4552" w:rsidRDefault="00606C2B" w:rsidP="00606C2B">
      <w:pPr>
        <w:widowControl/>
        <w:overflowPunct/>
        <w:autoSpaceDE/>
        <w:autoSpaceDN/>
        <w:spacing w:line="240" w:lineRule="exact"/>
        <w:jc w:val="left"/>
        <w:rPr>
          <w:bCs/>
          <w:kern w:val="0"/>
          <w:sz w:val="24"/>
          <w:szCs w:val="24"/>
        </w:rPr>
      </w:pPr>
      <w:r w:rsidRPr="00BF4552">
        <w:rPr>
          <w:rFonts w:hint="eastAsia"/>
          <w:bCs/>
          <w:kern w:val="0"/>
          <w:sz w:val="24"/>
          <w:szCs w:val="24"/>
        </w:rPr>
        <w:lastRenderedPageBreak/>
        <w:t xml:space="preserve">          資料來源：本院根據教育部資料彙整。</w:t>
      </w:r>
    </w:p>
    <w:p w:rsidR="00606C2B" w:rsidRPr="00BF4552" w:rsidRDefault="00606C2B" w:rsidP="00606C2B">
      <w:pPr>
        <w:widowControl/>
        <w:overflowPunct/>
        <w:autoSpaceDE/>
        <w:autoSpaceDN/>
        <w:spacing w:line="240" w:lineRule="exact"/>
        <w:jc w:val="left"/>
        <w:rPr>
          <w:bCs/>
          <w:kern w:val="0"/>
          <w:sz w:val="24"/>
          <w:szCs w:val="24"/>
        </w:rPr>
      </w:pPr>
    </w:p>
    <w:p w:rsidR="001C5179" w:rsidRPr="00BF4552" w:rsidRDefault="005510B5" w:rsidP="00606C2B">
      <w:pPr>
        <w:pStyle w:val="3"/>
        <w:rPr>
          <w:b/>
        </w:rPr>
      </w:pPr>
      <w:r w:rsidRPr="00BF4552">
        <w:rPr>
          <w:rFonts w:hint="eastAsia"/>
        </w:rPr>
        <w:t>綜上，大學法自94年修正增訂第19條規定迄今，各大專校院紛紛依該條文授權訂定有關規定並予施行，查目前全國已有107所大專校院訂有教師限期升等規定，期限定為6年或8年不等，故於102年以降，陸續出現教師不服學校限期升等決定而提出爭訟之案例，爭議方興未艾，本案即為其中一例；又，教育部調查更顯示，近年已有學校開始廢止限期升等制度之情形，學校實務運作情形允應加以正視；況教育部處理本件北科大不續聘案程序混亂，於法律或準則性規定完成修正前，仍應儘速檢討改善現行配套措施，以符合</w:t>
      </w:r>
      <w:r w:rsidRPr="00BF4552">
        <w:rPr>
          <w:rFonts w:hint="eastAsia"/>
          <w:kern w:val="0"/>
        </w:rPr>
        <w:t>該條之立法意旨並加以具體落實</w:t>
      </w:r>
      <w:r w:rsidRPr="00BF4552">
        <w:rPr>
          <w:rFonts w:hAnsi="標楷體" w:hint="eastAsia"/>
          <w:b/>
        </w:rPr>
        <w:t>。</w:t>
      </w:r>
    </w:p>
    <w:p w:rsidR="00EA27E0" w:rsidRPr="00BF4552" w:rsidRDefault="00EA27E0" w:rsidP="00DF1E56">
      <w:pPr>
        <w:pStyle w:val="2"/>
        <w:overflowPunct/>
        <w:autoSpaceDE/>
        <w:autoSpaceDN/>
        <w:ind w:left="1020" w:hanging="680"/>
        <w:rPr>
          <w:b/>
        </w:rPr>
      </w:pPr>
      <w:bookmarkStart w:id="35" w:name="_Toc494985681"/>
      <w:r w:rsidRPr="00BF4552">
        <w:rPr>
          <w:rFonts w:hint="eastAsia"/>
          <w:b/>
        </w:rPr>
        <w:t>對於大學於經由校務會務通過之相關辦法中明定教師未於一定期限內升等者不予續聘(下稱限期升等條款)並納入教師聘約之爭訟案件</w:t>
      </w:r>
      <w:r w:rsidRPr="00BF4552">
        <w:rPr>
          <w:rFonts w:hAnsi="標楷體" w:hint="eastAsia"/>
          <w:b/>
        </w:rPr>
        <w:t>，</w:t>
      </w:r>
      <w:r w:rsidRPr="00BF4552">
        <w:rPr>
          <w:rFonts w:hint="eastAsia"/>
          <w:b/>
        </w:rPr>
        <w:t>最高行政法院曾於101年度判字第1025號判決中以該條款屬憲法第11條大學自治範疇</w:t>
      </w:r>
      <w:r w:rsidRPr="00BF4552">
        <w:rPr>
          <w:rFonts w:hAnsi="標楷體" w:hint="eastAsia"/>
          <w:b/>
        </w:rPr>
        <w:t>、教師受</w:t>
      </w:r>
      <w:r w:rsidRPr="00BF4552">
        <w:rPr>
          <w:rFonts w:hint="eastAsia"/>
          <w:b/>
        </w:rPr>
        <w:t>聘約拘束</w:t>
      </w:r>
      <w:r w:rsidRPr="00BF4552">
        <w:rPr>
          <w:rFonts w:hAnsi="標楷體" w:hint="eastAsia"/>
          <w:b/>
        </w:rPr>
        <w:t>、</w:t>
      </w:r>
      <w:r w:rsidRPr="00BF4552">
        <w:rPr>
          <w:rFonts w:hint="eastAsia"/>
          <w:b/>
        </w:rPr>
        <w:t>大學法第19條增訂前之不續聘事由無違法律保留原則</w:t>
      </w:r>
      <w:r w:rsidRPr="00BF4552">
        <w:rPr>
          <w:rFonts w:hAnsi="標楷體" w:hint="eastAsia"/>
          <w:b/>
        </w:rPr>
        <w:t>、</w:t>
      </w:r>
      <w:r w:rsidRPr="00BF4552">
        <w:rPr>
          <w:rFonts w:hint="eastAsia"/>
          <w:b/>
        </w:rPr>
        <w:t>尊重學校判斷餘地等理由判決教師敗訴。惟</w:t>
      </w:r>
      <w:r w:rsidR="00A01308" w:rsidRPr="00BF4552">
        <w:rPr>
          <w:rFonts w:hint="eastAsia"/>
          <w:b/>
        </w:rPr>
        <w:t>最高行政法院</w:t>
      </w:r>
      <w:r w:rsidRPr="00BF4552">
        <w:rPr>
          <w:rFonts w:hint="eastAsia"/>
          <w:b/>
        </w:rPr>
        <w:t>自102年起</w:t>
      </w:r>
      <w:r w:rsidR="00FD5FFC" w:rsidRPr="00BF4552">
        <w:rPr>
          <w:rFonts w:hint="eastAsia"/>
          <w:b/>
        </w:rPr>
        <w:t>在</w:t>
      </w:r>
      <w:r w:rsidRPr="00BF4552">
        <w:rPr>
          <w:rFonts w:hint="eastAsia"/>
          <w:b/>
        </w:rPr>
        <w:t>多份判決</w:t>
      </w:r>
      <w:r w:rsidR="00217D94" w:rsidRPr="00BF4552">
        <w:rPr>
          <w:rFonts w:hint="eastAsia"/>
          <w:b/>
        </w:rPr>
        <w:t>中</w:t>
      </w:r>
      <w:r w:rsidRPr="00BF4552">
        <w:rPr>
          <w:rFonts w:hint="eastAsia"/>
          <w:b/>
        </w:rPr>
        <w:t>強調</w:t>
      </w:r>
      <w:r w:rsidRPr="00BF4552">
        <w:rPr>
          <w:rFonts w:hAnsi="標楷體" w:hint="eastAsia"/>
          <w:b/>
        </w:rPr>
        <w:t>「</w:t>
      </w:r>
      <w:r w:rsidRPr="00BF4552">
        <w:rPr>
          <w:b/>
        </w:rPr>
        <w:t>學校不得於聘約中約定教師有一定違反聘約行為</w:t>
      </w:r>
      <w:r w:rsidRPr="00BF4552">
        <w:rPr>
          <w:rFonts w:hAnsi="標楷體" w:hint="eastAsia"/>
          <w:b/>
        </w:rPr>
        <w:t>，</w:t>
      </w:r>
      <w:r w:rsidRPr="00BF4552">
        <w:rPr>
          <w:rFonts w:hint="eastAsia"/>
          <w:b/>
        </w:rPr>
        <w:t>即屬情節重大</w:t>
      </w:r>
      <w:r w:rsidRPr="00BF4552">
        <w:rPr>
          <w:rFonts w:hAnsi="標楷體" w:hint="eastAsia"/>
          <w:b/>
        </w:rPr>
        <w:t>，</w:t>
      </w:r>
      <w:r w:rsidRPr="00BF4552">
        <w:rPr>
          <w:rFonts w:hint="eastAsia"/>
          <w:b/>
        </w:rPr>
        <w:t>應於個案中予以判斷；大學依大學法第19條擬將</w:t>
      </w:r>
      <w:r w:rsidR="00217D94" w:rsidRPr="00BF4552">
        <w:rPr>
          <w:rFonts w:hint="eastAsia"/>
          <w:b/>
        </w:rPr>
        <w:t>教師停聘或不續聘時，仍應受『情節重大』之</w:t>
      </w:r>
      <w:r w:rsidRPr="00BF4552">
        <w:rPr>
          <w:rFonts w:hint="eastAsia"/>
          <w:b/>
        </w:rPr>
        <w:t>限制」等語而判決教育部敗訴</w:t>
      </w:r>
      <w:r w:rsidRPr="00BF4552">
        <w:rPr>
          <w:rFonts w:hAnsi="標楷體" w:hint="eastAsia"/>
          <w:b/>
        </w:rPr>
        <w:t>，</w:t>
      </w:r>
      <w:r w:rsidRPr="00BF4552">
        <w:rPr>
          <w:rFonts w:hint="eastAsia"/>
          <w:b/>
        </w:rPr>
        <w:t>與</w:t>
      </w:r>
      <w:r w:rsidRPr="00BF4552">
        <w:rPr>
          <w:b/>
        </w:rPr>
        <w:t>教師法</w:t>
      </w:r>
      <w:r w:rsidRPr="00BF4552">
        <w:rPr>
          <w:rFonts w:hint="eastAsia"/>
          <w:b/>
        </w:rPr>
        <w:t>第14條第1項第14款(101年1月4日修正前為第8款)之規定連結解釋</w:t>
      </w:r>
      <w:r w:rsidRPr="00BF4552">
        <w:rPr>
          <w:rFonts w:hAnsi="標楷體" w:hint="eastAsia"/>
          <w:b/>
        </w:rPr>
        <w:t>，</w:t>
      </w:r>
      <w:r w:rsidRPr="00BF4552">
        <w:rPr>
          <w:rFonts w:hint="eastAsia"/>
          <w:b/>
        </w:rPr>
        <w:t>顯然</w:t>
      </w:r>
      <w:r w:rsidR="00A01308" w:rsidRPr="00BF4552">
        <w:rPr>
          <w:rFonts w:hint="eastAsia"/>
          <w:b/>
        </w:rPr>
        <w:t>最高行政法院</w:t>
      </w:r>
      <w:r w:rsidRPr="00BF4552">
        <w:rPr>
          <w:rFonts w:hint="eastAsia"/>
          <w:b/>
        </w:rPr>
        <w:t>不同庭間先後見解歧異</w:t>
      </w:r>
      <w:r w:rsidRPr="00BF4552">
        <w:rPr>
          <w:rFonts w:hAnsi="標楷體" w:hint="eastAsia"/>
          <w:b/>
        </w:rPr>
        <w:t>。</w:t>
      </w:r>
      <w:r w:rsidRPr="00BF4552">
        <w:rPr>
          <w:rFonts w:hint="eastAsia"/>
          <w:b/>
        </w:rPr>
        <w:t>究大學法第19條是否為教師法第14條第1項第14款之特別規定應優先適用</w:t>
      </w:r>
      <w:r w:rsidRPr="00BF4552">
        <w:rPr>
          <w:rFonts w:hAnsi="標楷體" w:hint="eastAsia"/>
          <w:b/>
        </w:rPr>
        <w:t>，</w:t>
      </w:r>
      <w:r w:rsidRPr="00BF4552">
        <w:rPr>
          <w:rFonts w:hint="eastAsia"/>
          <w:b/>
        </w:rPr>
        <w:t>及符合大學法第19條程序所定停聘或不續聘之情形是否係教師法上開規定以外之獨立事由</w:t>
      </w:r>
      <w:r w:rsidRPr="00BF4552">
        <w:rPr>
          <w:rFonts w:hAnsi="標楷體" w:hint="eastAsia"/>
          <w:b/>
        </w:rPr>
        <w:t>，</w:t>
      </w:r>
      <w:r w:rsidRPr="00BF4552">
        <w:rPr>
          <w:rFonts w:hint="eastAsia"/>
          <w:b/>
        </w:rPr>
        <w:t>亟須在</w:t>
      </w:r>
      <w:r w:rsidRPr="00BF4552">
        <w:rPr>
          <w:rFonts w:hint="eastAsia"/>
          <w:b/>
        </w:rPr>
        <w:lastRenderedPageBreak/>
        <w:t>實務上有一致之見解</w:t>
      </w:r>
      <w:r w:rsidRPr="00BF4552">
        <w:rPr>
          <w:rFonts w:hAnsi="標楷體" w:hint="eastAsia"/>
          <w:b/>
        </w:rPr>
        <w:t>，</w:t>
      </w:r>
      <w:r w:rsidR="00A01308" w:rsidRPr="00BF4552">
        <w:rPr>
          <w:rFonts w:hint="eastAsia"/>
          <w:b/>
        </w:rPr>
        <w:t>最高行政法院</w:t>
      </w:r>
      <w:r w:rsidRPr="00BF4552">
        <w:rPr>
          <w:rFonts w:hint="eastAsia"/>
          <w:b/>
        </w:rPr>
        <w:t>允宜依法作成決議</w:t>
      </w:r>
      <w:r w:rsidRPr="00BF4552">
        <w:rPr>
          <w:rFonts w:hAnsi="標楷體" w:hint="eastAsia"/>
          <w:b/>
        </w:rPr>
        <w:t>，</w:t>
      </w:r>
      <w:r w:rsidRPr="00BF4552">
        <w:rPr>
          <w:rFonts w:hint="eastAsia"/>
          <w:b/>
        </w:rPr>
        <w:t>俾利教育部及各大學有所依循</w:t>
      </w:r>
      <w:r w:rsidRPr="00BF4552">
        <w:rPr>
          <w:rFonts w:hAnsi="標楷體" w:hint="eastAsia"/>
          <w:b/>
        </w:rPr>
        <w:t>，</w:t>
      </w:r>
      <w:r w:rsidRPr="00BF4552">
        <w:rPr>
          <w:rFonts w:hint="eastAsia"/>
          <w:b/>
        </w:rPr>
        <w:t>亦免案關當事人經年訟累</w:t>
      </w:r>
      <w:r w:rsidRPr="00BF4552">
        <w:rPr>
          <w:rFonts w:hAnsi="標楷體" w:hint="eastAsia"/>
          <w:b/>
        </w:rPr>
        <w:t>。</w:t>
      </w:r>
      <w:bookmarkEnd w:id="35"/>
    </w:p>
    <w:p w:rsidR="00EA27E0" w:rsidRPr="00BF4552" w:rsidRDefault="00EA27E0" w:rsidP="003663C6">
      <w:pPr>
        <w:pStyle w:val="3"/>
      </w:pPr>
      <w:r w:rsidRPr="00BF4552">
        <w:rPr>
          <w:rFonts w:hint="eastAsia"/>
        </w:rPr>
        <w:t>經檢索大學法第19條相關行政訴訟案件作成判決者</w:t>
      </w:r>
      <w:r w:rsidR="000D5542" w:rsidRPr="00BF4552">
        <w:rPr>
          <w:rFonts w:hAnsi="標楷體" w:hint="eastAsia"/>
        </w:rPr>
        <w:t>，</w:t>
      </w:r>
      <w:r w:rsidR="000D5542" w:rsidRPr="00BF4552">
        <w:rPr>
          <w:rFonts w:hint="eastAsia"/>
        </w:rPr>
        <w:t>自101年起</w:t>
      </w:r>
      <w:r w:rsidRPr="00BF4552">
        <w:rPr>
          <w:rFonts w:hint="eastAsia"/>
        </w:rPr>
        <w:t>共有以下7案27份判決</w:t>
      </w:r>
      <w:r w:rsidRPr="00BF4552">
        <w:rPr>
          <w:rFonts w:hAnsi="標楷體" w:hint="eastAsia"/>
        </w:rPr>
        <w:t>：</w:t>
      </w:r>
    </w:p>
    <w:p w:rsidR="00DF2AE9" w:rsidRPr="00BF4552" w:rsidRDefault="00217D94" w:rsidP="00DF2AE9">
      <w:pPr>
        <w:pStyle w:val="4"/>
        <w:rPr>
          <w:color w:val="auto"/>
        </w:rPr>
      </w:pPr>
      <w:r w:rsidRPr="00BF4552">
        <w:rPr>
          <w:rFonts w:hint="eastAsia"/>
          <w:color w:val="auto"/>
        </w:rPr>
        <w:t>某</w:t>
      </w:r>
      <w:r w:rsidR="00DF2AE9" w:rsidRPr="00BF4552">
        <w:rPr>
          <w:rFonts w:hint="eastAsia"/>
          <w:color w:val="auto"/>
        </w:rPr>
        <w:t>助理教授因未於期限內升等為副教授</w:t>
      </w:r>
      <w:r w:rsidR="00DF2AE9" w:rsidRPr="00BF4552">
        <w:rPr>
          <w:rFonts w:hAnsi="標楷體" w:hint="eastAsia"/>
          <w:color w:val="auto"/>
        </w:rPr>
        <w:t>，</w:t>
      </w:r>
      <w:r w:rsidR="00DF2AE9" w:rsidRPr="00BF4552">
        <w:rPr>
          <w:rFonts w:hint="eastAsia"/>
          <w:color w:val="auto"/>
        </w:rPr>
        <w:t>經學校於100年間決議不予續聘</w:t>
      </w:r>
      <w:r w:rsidR="00DF2AE9" w:rsidRPr="00BF4552">
        <w:rPr>
          <w:rFonts w:hAnsi="標楷體" w:hint="eastAsia"/>
          <w:color w:val="auto"/>
        </w:rPr>
        <w:t>，</w:t>
      </w:r>
      <w:r w:rsidR="00DF2AE9" w:rsidRPr="00BF4552">
        <w:rPr>
          <w:rFonts w:hint="eastAsia"/>
          <w:color w:val="auto"/>
        </w:rPr>
        <w:t>其不服提起行政訴訟</w:t>
      </w:r>
      <w:r w:rsidR="00DF2AE9" w:rsidRPr="00BF4552">
        <w:rPr>
          <w:rFonts w:hAnsi="標楷體" w:hint="eastAsia"/>
          <w:color w:val="auto"/>
        </w:rPr>
        <w:t>，經</w:t>
      </w:r>
      <w:r w:rsidR="00DF2AE9" w:rsidRPr="00BF4552">
        <w:rPr>
          <w:rFonts w:hint="eastAsia"/>
          <w:color w:val="auto"/>
        </w:rPr>
        <w:t>高雄高等行政法院及</w:t>
      </w:r>
      <w:r w:rsidR="00A01308" w:rsidRPr="00BF4552">
        <w:rPr>
          <w:rFonts w:hint="eastAsia"/>
          <w:color w:val="auto"/>
        </w:rPr>
        <w:t>最高行政法院</w:t>
      </w:r>
      <w:r w:rsidR="00DF2AE9" w:rsidRPr="00BF4552">
        <w:rPr>
          <w:rFonts w:hint="eastAsia"/>
          <w:color w:val="auto"/>
        </w:rPr>
        <w:t>(第二庭)審理後皆判其敗訴</w:t>
      </w:r>
      <w:r w:rsidR="00DF2AE9" w:rsidRPr="00BF4552">
        <w:rPr>
          <w:rFonts w:hAnsi="標楷體" w:hint="eastAsia"/>
          <w:color w:val="auto"/>
        </w:rPr>
        <w:t>，說明如下：</w:t>
      </w:r>
    </w:p>
    <w:p w:rsidR="00414769" w:rsidRPr="00BF4552" w:rsidRDefault="00A01308" w:rsidP="00441162">
      <w:pPr>
        <w:pStyle w:val="5"/>
        <w:rPr>
          <w:color w:val="auto"/>
        </w:rPr>
      </w:pPr>
      <w:r w:rsidRPr="00BF4552">
        <w:rPr>
          <w:rFonts w:hint="eastAsia"/>
          <w:color w:val="auto"/>
        </w:rPr>
        <w:t>高雄高等行政法院</w:t>
      </w:r>
      <w:r w:rsidR="00414769" w:rsidRPr="00BF4552">
        <w:rPr>
          <w:rFonts w:hint="eastAsia"/>
          <w:color w:val="auto"/>
        </w:rPr>
        <w:t>101年度訴字第37號判決理由略以</w:t>
      </w:r>
      <w:r w:rsidR="00414769" w:rsidRPr="00BF4552">
        <w:rPr>
          <w:rFonts w:hAnsi="標楷體" w:hint="eastAsia"/>
          <w:color w:val="auto"/>
        </w:rPr>
        <w:t>：</w:t>
      </w:r>
    </w:p>
    <w:p w:rsidR="001B14B1" w:rsidRPr="00BF4552" w:rsidRDefault="001B14B1" w:rsidP="00494B48">
      <w:pPr>
        <w:pStyle w:val="6"/>
        <w:numPr>
          <w:ilvl w:val="0"/>
          <w:numId w:val="30"/>
        </w:numPr>
        <w:ind w:left="2268" w:hanging="567"/>
        <w:rPr>
          <w:color w:val="auto"/>
        </w:rPr>
      </w:pPr>
      <w:r w:rsidRPr="00BF4552">
        <w:rPr>
          <w:rFonts w:hint="eastAsia"/>
          <w:color w:val="auto"/>
        </w:rPr>
        <w:t>大學自治</w:t>
      </w:r>
      <w:r w:rsidRPr="00BF4552">
        <w:rPr>
          <w:rFonts w:hAnsi="標楷體" w:hint="eastAsia"/>
          <w:color w:val="auto"/>
        </w:rPr>
        <w:t>：</w:t>
      </w:r>
      <w:r w:rsidR="00D94FFE" w:rsidRPr="00BF4552">
        <w:rPr>
          <w:rFonts w:hint="eastAsia"/>
          <w:color w:val="auto"/>
        </w:rPr>
        <w:t>依憲法第11條講學自由之規定，以保障學術自由為目的，為保障大學之學術自由，應承認大學自治之制度，對於研究、教學及學習等活動，擔保其不受不當之干涉，使大學享有組織經營之自治權能，個人享有學術自由。研究之自由與教學之自由，其保障範圍並應延伸至其他重要學術活動</w:t>
      </w:r>
      <w:r w:rsidR="00D94FFE" w:rsidRPr="00BF4552">
        <w:rPr>
          <w:rFonts w:hAnsi="標楷體" w:hint="eastAsia"/>
          <w:color w:val="auto"/>
        </w:rPr>
        <w:t>……</w:t>
      </w:r>
      <w:r w:rsidR="00D94FFE" w:rsidRPr="00BF4552">
        <w:rPr>
          <w:rFonts w:hint="eastAsia"/>
          <w:color w:val="auto"/>
        </w:rPr>
        <w:t>除此之外，大學內部組織、教師聘任及資格評量，亦為大學之自治權限，尤應杜絕外來之不當干涉。是大學受憲法第11條保障之學術自由，應以大學自治加以確保，有關大學教師之聘任及資格評量，應屬大學自治之自治事項範圍。</w:t>
      </w:r>
    </w:p>
    <w:p w:rsidR="00D94FFE" w:rsidRPr="00BF4552" w:rsidRDefault="00D94FFE" w:rsidP="00494B48">
      <w:pPr>
        <w:pStyle w:val="6"/>
        <w:numPr>
          <w:ilvl w:val="0"/>
          <w:numId w:val="30"/>
        </w:numPr>
        <w:ind w:left="2268" w:hanging="567"/>
        <w:rPr>
          <w:color w:val="auto"/>
        </w:rPr>
      </w:pPr>
      <w:r w:rsidRPr="00BF4552">
        <w:rPr>
          <w:rFonts w:hint="eastAsia"/>
          <w:color w:val="auto"/>
        </w:rPr>
        <w:t>聘約拘束：基於憲法第11條學術自由之大學自治制度性保障，大學應與其教師成立聘任關係，由雙方締結聘任契約，俾大學藉由聘任教師及對教師進行資格評量，維繫學校學術研究及教學品質，實現其學術自由</w:t>
      </w:r>
      <w:r w:rsidRPr="00BF4552">
        <w:rPr>
          <w:rFonts w:hAnsi="標楷體" w:hint="eastAsia"/>
          <w:color w:val="auto"/>
        </w:rPr>
        <w:t>……</w:t>
      </w:r>
      <w:r w:rsidRPr="00BF4552">
        <w:rPr>
          <w:rFonts w:hint="eastAsia"/>
          <w:color w:val="auto"/>
        </w:rPr>
        <w:t>公立大學與教師間聘任關係之性質應屬行政契</w:t>
      </w:r>
      <w:r w:rsidRPr="00BF4552">
        <w:rPr>
          <w:rFonts w:hint="eastAsia"/>
          <w:color w:val="auto"/>
        </w:rPr>
        <w:lastRenderedPageBreak/>
        <w:t>約</w:t>
      </w:r>
      <w:r w:rsidRPr="00BF4552">
        <w:rPr>
          <w:rFonts w:hAnsi="標楷體" w:hint="eastAsia"/>
          <w:color w:val="auto"/>
        </w:rPr>
        <w:t>，</w:t>
      </w:r>
      <w:r w:rsidRPr="00BF4552">
        <w:rPr>
          <w:rFonts w:hint="eastAsia"/>
          <w:color w:val="auto"/>
        </w:rPr>
        <w:t>聘約有效成立者，教師基於聘約之法律關係，自應履行各項聘約所約定之義務。</w:t>
      </w:r>
    </w:p>
    <w:p w:rsidR="00D94FFE" w:rsidRPr="00BF4552" w:rsidRDefault="00D94FFE" w:rsidP="00494B48">
      <w:pPr>
        <w:pStyle w:val="6"/>
        <w:numPr>
          <w:ilvl w:val="0"/>
          <w:numId w:val="30"/>
        </w:numPr>
        <w:ind w:left="2268" w:hanging="567"/>
        <w:rPr>
          <w:color w:val="auto"/>
        </w:rPr>
      </w:pPr>
      <w:r w:rsidRPr="00BF4552">
        <w:rPr>
          <w:rFonts w:hint="eastAsia"/>
          <w:color w:val="auto"/>
        </w:rPr>
        <w:t>大學法第19條增訂前有關校內辦法或聘約之不續聘事由</w:t>
      </w:r>
      <w:r w:rsidRPr="00BF4552">
        <w:rPr>
          <w:rFonts w:hint="eastAsia"/>
          <w:bCs/>
          <w:color w:val="auto"/>
        </w:rPr>
        <w:t>未違反法律保留原則：</w:t>
      </w:r>
      <w:r w:rsidRPr="00BF4552">
        <w:rPr>
          <w:rFonts w:hint="eastAsia"/>
          <w:color w:val="auto"/>
        </w:rPr>
        <w:t>83年1月5日修正施行之大學法第1條第2項明定，大學應受學術自由之保障，並在法律規定範圍內，享有自治權，又司法院釋字第380號解釋理由書指明大學自治之範圍應包含教師聘任及資格審查之學術重要事項，及司法院釋字第462號解釋意旨，大學依大學教師升等評審之法令規範，訂定有關大學教師升等資格之審查要件，維持各大學教師素質與大學教學、研究水準，並使未符合一定標準之教師不予升等，亦屬大學自治範疇。從而，有關大學依規定程序訂定教師聘任辦法，限制助理教授及講師之升等年限，並以其未能依年限升等作為不予續聘之事由，仍屬前揭憲法及大學法制下的大學自治範疇。被告經校務會議通過之教師聘任辦法第5條第2項規定，經核並未逾越大學自治範疇，並與法律保留原則無違。參以94年12月28日新增之大學法第19條規定其立法理由，本條僅係將前揭大學教師聘約實務之處理予以明文化，自難謂本條增訂前之教師聘任辦法或聘約有關不續聘之事由違反法律保留原則。</w:t>
      </w:r>
    </w:p>
    <w:p w:rsidR="00D94FFE" w:rsidRPr="00BF4552" w:rsidRDefault="00D94FFE" w:rsidP="00494B48">
      <w:pPr>
        <w:pStyle w:val="6"/>
        <w:numPr>
          <w:ilvl w:val="0"/>
          <w:numId w:val="30"/>
        </w:numPr>
        <w:ind w:left="2268" w:hanging="567"/>
        <w:rPr>
          <w:color w:val="auto"/>
        </w:rPr>
      </w:pPr>
      <w:r w:rsidRPr="00BF4552">
        <w:rPr>
          <w:rFonts w:hint="eastAsia"/>
          <w:color w:val="auto"/>
        </w:rPr>
        <w:t>尊重學校判斷餘地：關於教師是否違反聘約情節重大，教師法明文委之於教評會決定，教評會對此之決定具有專業性及屬人性，自有其判斷餘地。對於不予續聘原告之決定，如其判斷無出於錯誤之事實認定或錯誤之資</w:t>
      </w:r>
      <w:r w:rsidRPr="00BF4552">
        <w:rPr>
          <w:rFonts w:hint="eastAsia"/>
          <w:color w:val="auto"/>
        </w:rPr>
        <w:lastRenderedPageBreak/>
        <w:t>訊、違反一般公認之價值判斷、違反法定之正當程序、判斷之行政機關組織不合法、違反不當連結之禁止或違反平等原則等情事，其決定自應予尊重。</w:t>
      </w:r>
    </w:p>
    <w:p w:rsidR="00D94FFE" w:rsidRPr="00BF4552" w:rsidRDefault="00A01308" w:rsidP="00441162">
      <w:pPr>
        <w:pStyle w:val="5"/>
        <w:rPr>
          <w:color w:val="auto"/>
        </w:rPr>
      </w:pPr>
      <w:r w:rsidRPr="00BF4552">
        <w:rPr>
          <w:rFonts w:hint="eastAsia"/>
          <w:color w:val="auto"/>
        </w:rPr>
        <w:t>最高行政法院</w:t>
      </w:r>
      <w:r w:rsidR="00582365" w:rsidRPr="00BF4552">
        <w:rPr>
          <w:rFonts w:hint="eastAsia"/>
          <w:color w:val="auto"/>
        </w:rPr>
        <w:t>101年度判字第1025號判決理由略以</w:t>
      </w:r>
      <w:r w:rsidR="00582365" w:rsidRPr="00BF4552">
        <w:rPr>
          <w:rFonts w:hAnsi="標楷體" w:hint="eastAsia"/>
          <w:color w:val="auto"/>
        </w:rPr>
        <w:t>：</w:t>
      </w:r>
    </w:p>
    <w:p w:rsidR="00582365" w:rsidRPr="00BF4552" w:rsidRDefault="00582365" w:rsidP="00494B48">
      <w:pPr>
        <w:pStyle w:val="6"/>
        <w:numPr>
          <w:ilvl w:val="0"/>
          <w:numId w:val="31"/>
        </w:numPr>
        <w:ind w:left="2268" w:hanging="567"/>
        <w:rPr>
          <w:color w:val="auto"/>
        </w:rPr>
      </w:pPr>
      <w:r w:rsidRPr="00BF4552">
        <w:rPr>
          <w:rFonts w:hint="eastAsia"/>
          <w:color w:val="auto"/>
        </w:rPr>
        <w:t>經核原判決並無違誤</w:t>
      </w:r>
      <w:r w:rsidRPr="00BF4552">
        <w:rPr>
          <w:rFonts w:hAnsi="標楷體" w:hint="eastAsia"/>
          <w:color w:val="auto"/>
        </w:rPr>
        <w:t>，</w:t>
      </w:r>
      <w:r w:rsidRPr="00BF4552">
        <w:rPr>
          <w:rFonts w:hint="eastAsia"/>
          <w:color w:val="auto"/>
        </w:rPr>
        <w:t>駁回上訴。</w:t>
      </w:r>
    </w:p>
    <w:p w:rsidR="00582365" w:rsidRPr="00BF4552" w:rsidRDefault="00582365" w:rsidP="00494B48">
      <w:pPr>
        <w:pStyle w:val="6"/>
        <w:numPr>
          <w:ilvl w:val="0"/>
          <w:numId w:val="31"/>
        </w:numPr>
        <w:ind w:left="2268" w:hanging="567"/>
        <w:rPr>
          <w:color w:val="auto"/>
        </w:rPr>
      </w:pPr>
      <w:r w:rsidRPr="00BF4552">
        <w:rPr>
          <w:rFonts w:hint="eastAsia"/>
          <w:color w:val="auto"/>
        </w:rPr>
        <w:t>聘約拘束</w:t>
      </w:r>
      <w:r w:rsidRPr="00BF4552">
        <w:rPr>
          <w:rFonts w:hAnsi="標楷體" w:hint="eastAsia"/>
          <w:color w:val="auto"/>
        </w:rPr>
        <w:t>：</w:t>
      </w:r>
      <w:r w:rsidRPr="00BF4552">
        <w:rPr>
          <w:rFonts w:hint="eastAsia"/>
          <w:color w:val="auto"/>
        </w:rPr>
        <w:t>上訴人既同意受聘為被上訴人助理教授，對於教師聘約及教師聘任辦法第5條第2項「新聘助理教授於到職6年內未能升等者，自第7年起不予續聘，……。」之規範，自不得否認其拘束力。</w:t>
      </w:r>
    </w:p>
    <w:p w:rsidR="00582365" w:rsidRPr="00BF4552" w:rsidRDefault="00582365" w:rsidP="00582365">
      <w:pPr>
        <w:pStyle w:val="4"/>
        <w:rPr>
          <w:color w:val="auto"/>
        </w:rPr>
      </w:pPr>
      <w:r w:rsidRPr="00BF4552">
        <w:rPr>
          <w:rFonts w:hint="eastAsia"/>
          <w:color w:val="auto"/>
        </w:rPr>
        <w:t>某講師因未於期限內在博士班進修完畢</w:t>
      </w:r>
      <w:r w:rsidRPr="00BF4552">
        <w:rPr>
          <w:rFonts w:hAnsi="標楷體" w:hint="eastAsia"/>
          <w:color w:val="auto"/>
        </w:rPr>
        <w:t>，</w:t>
      </w:r>
      <w:r w:rsidRPr="00BF4552">
        <w:rPr>
          <w:rFonts w:hint="eastAsia"/>
          <w:color w:val="auto"/>
        </w:rPr>
        <w:t>經學校於100年間決議不予續聘</w:t>
      </w:r>
      <w:r w:rsidRPr="00BF4552">
        <w:rPr>
          <w:rFonts w:hAnsi="標楷體" w:hint="eastAsia"/>
          <w:color w:val="auto"/>
        </w:rPr>
        <w:t>，</w:t>
      </w:r>
      <w:r w:rsidRPr="00BF4552">
        <w:rPr>
          <w:rFonts w:hint="eastAsia"/>
          <w:color w:val="auto"/>
        </w:rPr>
        <w:t>其不服提起行政訴訟</w:t>
      </w:r>
      <w:r w:rsidRPr="00BF4552">
        <w:rPr>
          <w:rFonts w:hAnsi="標楷體" w:hint="eastAsia"/>
          <w:color w:val="auto"/>
        </w:rPr>
        <w:t>，先經</w:t>
      </w:r>
      <w:r w:rsidRPr="00BF4552">
        <w:rPr>
          <w:rFonts w:hint="eastAsia"/>
          <w:color w:val="auto"/>
        </w:rPr>
        <w:t>臺北高等行政法院101年度訴字第1139號判決判原告勝訴</w:t>
      </w:r>
      <w:r w:rsidRPr="00BF4552">
        <w:rPr>
          <w:rFonts w:hAnsi="標楷體" w:hint="eastAsia"/>
          <w:color w:val="auto"/>
        </w:rPr>
        <w:t>，嗣經</w:t>
      </w:r>
      <w:r w:rsidR="00A01308" w:rsidRPr="00BF4552">
        <w:rPr>
          <w:rFonts w:hint="eastAsia"/>
          <w:color w:val="auto"/>
        </w:rPr>
        <w:t>最高行政法院</w:t>
      </w:r>
      <w:r w:rsidRPr="00BF4552">
        <w:rPr>
          <w:rFonts w:hint="eastAsia"/>
          <w:color w:val="auto"/>
        </w:rPr>
        <w:t>(第三庭)102年度判字第513號判決廢棄原判決發回</w:t>
      </w:r>
      <w:r w:rsidR="00A01308" w:rsidRPr="00BF4552">
        <w:rPr>
          <w:rFonts w:hint="eastAsia"/>
          <w:color w:val="auto"/>
        </w:rPr>
        <w:t>臺北高等行政法院</w:t>
      </w:r>
      <w:r w:rsidRPr="00BF4552">
        <w:rPr>
          <w:rFonts w:hint="eastAsia"/>
          <w:color w:val="auto"/>
        </w:rPr>
        <w:t>更審</w:t>
      </w:r>
      <w:r w:rsidRPr="00BF4552">
        <w:rPr>
          <w:rFonts w:hAnsi="標楷體" w:hint="eastAsia"/>
          <w:color w:val="auto"/>
        </w:rPr>
        <w:t>，再經</w:t>
      </w:r>
      <w:r w:rsidR="00A01308" w:rsidRPr="00BF4552">
        <w:rPr>
          <w:rFonts w:hint="eastAsia"/>
          <w:color w:val="auto"/>
        </w:rPr>
        <w:t>臺北高等行政法院</w:t>
      </w:r>
      <w:r w:rsidRPr="00BF4552">
        <w:rPr>
          <w:rFonts w:hint="eastAsia"/>
          <w:color w:val="auto"/>
        </w:rPr>
        <w:t>102年度訴更一字第111號判決駁回原告之訴</w:t>
      </w:r>
      <w:r w:rsidRPr="00BF4552">
        <w:rPr>
          <w:rFonts w:hAnsi="標楷體" w:hint="eastAsia"/>
          <w:color w:val="auto"/>
        </w:rPr>
        <w:t>，</w:t>
      </w:r>
      <w:r w:rsidRPr="00BF4552">
        <w:rPr>
          <w:rFonts w:hint="eastAsia"/>
          <w:color w:val="auto"/>
        </w:rPr>
        <w:t>說明如下</w:t>
      </w:r>
      <w:r w:rsidRPr="00BF4552">
        <w:rPr>
          <w:rFonts w:hAnsi="標楷體" w:hint="eastAsia"/>
          <w:color w:val="auto"/>
        </w:rPr>
        <w:t>：</w:t>
      </w:r>
    </w:p>
    <w:p w:rsidR="00582365" w:rsidRPr="00BF4552" w:rsidRDefault="00A01308" w:rsidP="00441162">
      <w:pPr>
        <w:pStyle w:val="5"/>
        <w:rPr>
          <w:color w:val="auto"/>
        </w:rPr>
      </w:pPr>
      <w:r w:rsidRPr="00BF4552">
        <w:rPr>
          <w:rFonts w:hint="eastAsia"/>
          <w:color w:val="auto"/>
        </w:rPr>
        <w:t>臺北高等行政法院</w:t>
      </w:r>
      <w:r w:rsidR="00B924F7" w:rsidRPr="00BF4552">
        <w:rPr>
          <w:rFonts w:hint="eastAsia"/>
          <w:color w:val="auto"/>
        </w:rPr>
        <w:t>101年度訴字第1139號判決理由略以</w:t>
      </w:r>
      <w:r w:rsidR="00B924F7" w:rsidRPr="00BF4552">
        <w:rPr>
          <w:rFonts w:hAnsi="標楷體" w:hint="eastAsia"/>
          <w:color w:val="auto"/>
        </w:rPr>
        <w:t>：</w:t>
      </w:r>
    </w:p>
    <w:p w:rsidR="00B924F7" w:rsidRPr="00BF4552" w:rsidRDefault="00B924F7" w:rsidP="00494B48">
      <w:pPr>
        <w:pStyle w:val="6"/>
        <w:numPr>
          <w:ilvl w:val="0"/>
          <w:numId w:val="32"/>
        </w:numPr>
        <w:ind w:left="2296" w:hanging="602"/>
        <w:rPr>
          <w:color w:val="auto"/>
        </w:rPr>
      </w:pPr>
      <w:r w:rsidRPr="00BF4552">
        <w:rPr>
          <w:rFonts w:hint="eastAsia"/>
          <w:color w:val="auto"/>
        </w:rPr>
        <w:t>情節重大不得於聘約中約定</w:t>
      </w:r>
      <w:r w:rsidRPr="00BF4552">
        <w:rPr>
          <w:rFonts w:hAnsi="標楷體" w:hint="eastAsia"/>
          <w:color w:val="auto"/>
        </w:rPr>
        <w:t>：</w:t>
      </w:r>
      <w:r w:rsidRPr="00BF4552">
        <w:rPr>
          <w:rFonts w:hint="eastAsia"/>
          <w:color w:val="auto"/>
        </w:rPr>
        <w:t>有關私立大專院校教師之「不續聘」之處置，對私立大專院校教師工作權及學術自由之侵害，並不下於「教師資格及升等」，故解釋有關教師法第14條第1項第8款「違反聘約情節重大」(而不續聘)時，自宜加以限制，不得任由當事人於聘約中任意約定。</w:t>
      </w:r>
    </w:p>
    <w:p w:rsidR="00B924F7" w:rsidRPr="00BF4552" w:rsidRDefault="00B924F7" w:rsidP="00494B48">
      <w:pPr>
        <w:pStyle w:val="6"/>
        <w:numPr>
          <w:ilvl w:val="0"/>
          <w:numId w:val="32"/>
        </w:numPr>
        <w:ind w:left="2296" w:hanging="602"/>
        <w:rPr>
          <w:color w:val="auto"/>
        </w:rPr>
      </w:pPr>
      <w:r w:rsidRPr="00BF4552">
        <w:rPr>
          <w:rFonts w:hint="eastAsia"/>
          <w:color w:val="auto"/>
        </w:rPr>
        <w:t>教育部應審查聘約約定是否合法</w:t>
      </w:r>
      <w:r w:rsidRPr="00BF4552">
        <w:rPr>
          <w:rFonts w:hAnsi="標楷體" w:hint="eastAsia"/>
          <w:color w:val="auto"/>
        </w:rPr>
        <w:t>：</w:t>
      </w:r>
      <w:r w:rsidRPr="00BF4552">
        <w:rPr>
          <w:rFonts w:hint="eastAsia"/>
          <w:color w:val="auto"/>
        </w:rPr>
        <w:t>為保障大學教學、研究之自由，行政機關固不得以命</w:t>
      </w:r>
      <w:r w:rsidRPr="00BF4552">
        <w:rPr>
          <w:rFonts w:hint="eastAsia"/>
          <w:color w:val="auto"/>
        </w:rPr>
        <w:lastRenderedPageBreak/>
        <w:t>令干預大學教學之內容及課程之訂定，惟仍應於法律所定之範圍內，對大學為適法性之監督，何況不續聘教師具有損害其憲法基本權中之工作權及生存權之虞，被告自應於審查時，斟酌審斷私立大專院校與教師間之聘約約定是否合法。</w:t>
      </w:r>
    </w:p>
    <w:p w:rsidR="00B924F7" w:rsidRPr="00BF4552" w:rsidRDefault="00B924F7" w:rsidP="00494B48">
      <w:pPr>
        <w:pStyle w:val="6"/>
        <w:numPr>
          <w:ilvl w:val="0"/>
          <w:numId w:val="32"/>
        </w:numPr>
        <w:ind w:left="2296" w:hanging="602"/>
        <w:rPr>
          <w:color w:val="auto"/>
        </w:rPr>
      </w:pPr>
      <w:r w:rsidRPr="00BF4552">
        <w:rPr>
          <w:rFonts w:hint="eastAsia"/>
          <w:color w:val="auto"/>
        </w:rPr>
        <w:t>情節重大亦不得於</w:t>
      </w:r>
      <w:r w:rsidRPr="00BF4552">
        <w:rPr>
          <w:rFonts w:hint="eastAsia"/>
          <w:bCs/>
          <w:color w:val="auto"/>
        </w:rPr>
        <w:t>校內辦法規定</w:t>
      </w:r>
      <w:r w:rsidRPr="00BF4552">
        <w:rPr>
          <w:rFonts w:hAnsi="標楷體" w:hint="eastAsia"/>
          <w:bCs/>
          <w:color w:val="auto"/>
        </w:rPr>
        <w:t>：</w:t>
      </w:r>
      <w:r w:rsidRPr="00BF4552">
        <w:rPr>
          <w:rFonts w:hint="eastAsia"/>
          <w:color w:val="auto"/>
        </w:rPr>
        <w:t>所謂「違反聘約情節重大」，當事人尚不得以契約任意約定，亦不得由大學內部之教師聘任待遇服務辦法任意規定之，否則教師法對私立教師之保障勢將形同具文。</w:t>
      </w:r>
    </w:p>
    <w:p w:rsidR="00B924F7" w:rsidRPr="00BF4552" w:rsidRDefault="00B924F7" w:rsidP="00494B48">
      <w:pPr>
        <w:pStyle w:val="6"/>
        <w:numPr>
          <w:ilvl w:val="0"/>
          <w:numId w:val="32"/>
        </w:numPr>
        <w:ind w:left="2296" w:hanging="602"/>
        <w:rPr>
          <w:color w:val="auto"/>
        </w:rPr>
      </w:pPr>
      <w:r w:rsidRPr="00BF4552">
        <w:rPr>
          <w:rFonts w:hint="eastAsia"/>
          <w:color w:val="auto"/>
        </w:rPr>
        <w:t>違反聘約情節重大應實質審查</w:t>
      </w:r>
      <w:r w:rsidRPr="00BF4552">
        <w:rPr>
          <w:rFonts w:hAnsi="標楷體" w:hint="eastAsia"/>
          <w:color w:val="auto"/>
        </w:rPr>
        <w:t>：</w:t>
      </w:r>
      <w:r w:rsidRPr="00BF4552">
        <w:rPr>
          <w:rFonts w:hint="eastAsia"/>
          <w:color w:val="auto"/>
        </w:rPr>
        <w:t>必須從實質上審查，該私立學校教師確有危害學校達「教學不力或不能勝任工作，有具體事實」相類似程度之危害，方能認定為「違反聘約情節重大」。</w:t>
      </w:r>
    </w:p>
    <w:p w:rsidR="007A0805" w:rsidRPr="00BF4552" w:rsidRDefault="00A01308" w:rsidP="00441162">
      <w:pPr>
        <w:pStyle w:val="5"/>
        <w:rPr>
          <w:color w:val="auto"/>
        </w:rPr>
      </w:pPr>
      <w:r w:rsidRPr="00BF4552">
        <w:rPr>
          <w:rFonts w:hint="eastAsia"/>
          <w:color w:val="auto"/>
        </w:rPr>
        <w:t>最高行政法院</w:t>
      </w:r>
      <w:r w:rsidR="007A0805" w:rsidRPr="00BF4552">
        <w:rPr>
          <w:rFonts w:hint="eastAsia"/>
          <w:color w:val="auto"/>
        </w:rPr>
        <w:t>102年度判字第513號判決理由略以</w:t>
      </w:r>
      <w:r w:rsidR="007A0805" w:rsidRPr="00BF4552">
        <w:rPr>
          <w:rFonts w:hAnsi="標楷體" w:hint="eastAsia"/>
          <w:color w:val="auto"/>
        </w:rPr>
        <w:t>：</w:t>
      </w:r>
    </w:p>
    <w:p w:rsidR="007A0805" w:rsidRPr="00BF4552" w:rsidRDefault="007A0805" w:rsidP="00494B48">
      <w:pPr>
        <w:pStyle w:val="6"/>
        <w:numPr>
          <w:ilvl w:val="0"/>
          <w:numId w:val="33"/>
        </w:numPr>
        <w:ind w:left="2268" w:hanging="567"/>
        <w:rPr>
          <w:color w:val="auto"/>
        </w:rPr>
      </w:pPr>
      <w:r w:rsidRPr="00BF4552">
        <w:rPr>
          <w:rFonts w:hint="eastAsia"/>
          <w:color w:val="auto"/>
        </w:rPr>
        <w:t>程序瑕疵：原審未命大學獨立參加訴訟，逕為判決，已有未洽。</w:t>
      </w:r>
    </w:p>
    <w:p w:rsidR="0019661B" w:rsidRPr="00BF4552" w:rsidRDefault="0019661B" w:rsidP="00494B48">
      <w:pPr>
        <w:pStyle w:val="6"/>
        <w:numPr>
          <w:ilvl w:val="0"/>
          <w:numId w:val="33"/>
        </w:numPr>
        <w:ind w:left="2268" w:hanging="567"/>
        <w:rPr>
          <w:color w:val="auto"/>
        </w:rPr>
      </w:pPr>
      <w:r w:rsidRPr="00BF4552">
        <w:rPr>
          <w:rFonts w:hint="eastAsia"/>
          <w:color w:val="auto"/>
        </w:rPr>
        <w:t>應就個案判斷違反聘約情形是否情節重大：教師法第14條第1項第8款既將「違反聘約」與「情節重大」並列，足見是否「情節重大」，並非聘約所得約定之事項，學校不得於聘約中約定教師有一定違反聘約行為，即屬情節重大，而應就個案違反聘約相關事由判斷該違反聘約行為，是否確達情節重大程度；如其於聘約中約定教師有一定違反聘約行為，即得予以解聘、停聘或不續聘者，於適用時仍應受「情節重大」之限制，不得僅以教師</w:t>
      </w:r>
      <w:r w:rsidRPr="00BF4552">
        <w:rPr>
          <w:rFonts w:hint="eastAsia"/>
          <w:color w:val="auto"/>
        </w:rPr>
        <w:lastRenderedPageBreak/>
        <w:t>有一定違反聘約行為，即予以解聘、停聘或不續聘。教育主管機關應審查該校教評會於決議時是否有考量個案違反聘約之情節達於重大程度，以及其判斷情節重大是否依據與違反聘約相關之具體事證。</w:t>
      </w:r>
    </w:p>
    <w:p w:rsidR="0019661B" w:rsidRPr="00BF4552" w:rsidRDefault="0019661B" w:rsidP="00494B48">
      <w:pPr>
        <w:pStyle w:val="6"/>
        <w:numPr>
          <w:ilvl w:val="0"/>
          <w:numId w:val="33"/>
        </w:numPr>
        <w:ind w:left="2268" w:hanging="567"/>
        <w:rPr>
          <w:color w:val="auto"/>
        </w:rPr>
      </w:pPr>
      <w:r w:rsidRPr="00BF4552">
        <w:rPr>
          <w:rFonts w:hint="eastAsia"/>
          <w:color w:val="auto"/>
        </w:rPr>
        <w:t>原審未審查教育部有無對大學作適法性監督</w:t>
      </w:r>
      <w:r w:rsidRPr="00BF4552">
        <w:rPr>
          <w:rFonts w:hAnsi="標楷體" w:hint="eastAsia"/>
          <w:color w:val="auto"/>
        </w:rPr>
        <w:t>：</w:t>
      </w:r>
      <w:r w:rsidRPr="00BF4552">
        <w:rPr>
          <w:rFonts w:hint="eastAsia"/>
          <w:color w:val="auto"/>
        </w:rPr>
        <w:t>校教評會既係依據95年12月20日修正通過的大學教師聘任待遇服務辦法第11條及記載相同內容之教師聘約第5點第7項規定，作成系爭不續聘決議，則該規定內容是否牴觸行為時教師法第14條第1項第8款後段規定？該校教評會作成決議時，是否有考量被上訴人違反此聘約義務之情節達於重大程度，以及其判斷情節重大是否依據與違反聘約相關之具體事證？即為上訴人對大學作適法性監督的範圍，亦為原審依法應加以究明之事項，然原判決未審查及於此，亦有未洽。</w:t>
      </w:r>
    </w:p>
    <w:p w:rsidR="007A0805" w:rsidRPr="00BF4552" w:rsidRDefault="009F0749" w:rsidP="00441162">
      <w:pPr>
        <w:pStyle w:val="5"/>
        <w:rPr>
          <w:color w:val="auto"/>
        </w:rPr>
      </w:pPr>
      <w:r w:rsidRPr="00BF4552">
        <w:rPr>
          <w:rFonts w:hint="eastAsia"/>
          <w:color w:val="auto"/>
        </w:rPr>
        <w:t>發回更審後作成之</w:t>
      </w:r>
      <w:r w:rsidR="00A01308" w:rsidRPr="00BF4552">
        <w:rPr>
          <w:rFonts w:hint="eastAsia"/>
          <w:color w:val="auto"/>
        </w:rPr>
        <w:t>臺北高等行政法院</w:t>
      </w:r>
      <w:r w:rsidRPr="00BF4552">
        <w:rPr>
          <w:rFonts w:hint="eastAsia"/>
          <w:color w:val="auto"/>
        </w:rPr>
        <w:t>102年度訴更一字第111號判決並未採納上開</w:t>
      </w:r>
      <w:r w:rsidR="00A01308" w:rsidRPr="00BF4552">
        <w:rPr>
          <w:rFonts w:hint="eastAsia"/>
          <w:color w:val="auto"/>
        </w:rPr>
        <w:t>最高行政法院</w:t>
      </w:r>
      <w:r w:rsidRPr="00BF4552">
        <w:rPr>
          <w:rFonts w:hint="eastAsia"/>
          <w:color w:val="auto"/>
        </w:rPr>
        <w:t>判決揭示之法律見解</w:t>
      </w:r>
      <w:r w:rsidRPr="00BF4552">
        <w:rPr>
          <w:rFonts w:hAnsi="標楷體" w:hint="eastAsia"/>
          <w:color w:val="auto"/>
        </w:rPr>
        <w:t>，</w:t>
      </w:r>
      <w:r w:rsidRPr="00BF4552">
        <w:rPr>
          <w:rFonts w:hint="eastAsia"/>
          <w:color w:val="auto"/>
        </w:rPr>
        <w:t>且因教師未再上訴</w:t>
      </w:r>
      <w:r w:rsidRPr="00BF4552">
        <w:rPr>
          <w:rFonts w:hAnsi="標楷體" w:hint="eastAsia"/>
          <w:color w:val="auto"/>
        </w:rPr>
        <w:t>，</w:t>
      </w:r>
      <w:r w:rsidRPr="00BF4552">
        <w:rPr>
          <w:rFonts w:hint="eastAsia"/>
          <w:color w:val="auto"/>
        </w:rPr>
        <w:t>該更審判決即確定</w:t>
      </w:r>
      <w:r w:rsidRPr="00BF4552">
        <w:rPr>
          <w:rFonts w:hAnsi="標楷體" w:hint="eastAsia"/>
          <w:color w:val="auto"/>
        </w:rPr>
        <w:t>，</w:t>
      </w:r>
      <w:r w:rsidRPr="00BF4552">
        <w:rPr>
          <w:rFonts w:hint="eastAsia"/>
          <w:color w:val="auto"/>
        </w:rPr>
        <w:t>理由略以</w:t>
      </w:r>
      <w:r w:rsidRPr="00BF4552">
        <w:rPr>
          <w:rFonts w:hAnsi="標楷體" w:hint="eastAsia"/>
          <w:color w:val="auto"/>
        </w:rPr>
        <w:t>：</w:t>
      </w:r>
    </w:p>
    <w:p w:rsidR="009F0749" w:rsidRPr="00BF4552" w:rsidRDefault="009F0749" w:rsidP="00494B48">
      <w:pPr>
        <w:pStyle w:val="6"/>
        <w:numPr>
          <w:ilvl w:val="0"/>
          <w:numId w:val="34"/>
        </w:numPr>
        <w:ind w:left="2352" w:hanging="651"/>
        <w:rPr>
          <w:color w:val="auto"/>
        </w:rPr>
      </w:pPr>
      <w:r w:rsidRPr="00BF4552">
        <w:rPr>
          <w:rFonts w:hint="eastAsia"/>
          <w:color w:val="auto"/>
        </w:rPr>
        <w:t>尊重大學於自治範圍內之專業判斷：基於憲法對於大學自治之保障，教育主管機關依法行使其行政監督權之際，仍應避免涉入大學內部組織、教師聘任及資格評量等受學術自由保障之事項；行政法院受理教師對於大學提起之行政爭訟事件，審理時亦應本於維護大學自治原則，尊重大學於自治範圍內之專業判斷，即涉及行政法院受理行政爭訟之審查密度問題。又關於教師違反聘約情節重</w:t>
      </w:r>
      <w:r w:rsidRPr="00BF4552">
        <w:rPr>
          <w:rFonts w:hint="eastAsia"/>
          <w:color w:val="auto"/>
        </w:rPr>
        <w:lastRenderedPageBreak/>
        <w:t>大，教師法明文委之於教評會之決定處理，教評會對此作成之決定，具有高度專業性及屬人性，自有其判斷餘地。對於教評會不予續聘之決議，如其判斷無出於錯誤之事實認定或錯誤之資訊、違反一般公認之價值判斷標準、違反法定之正當程序、判斷之行政機關組織不合法、違反不當連結之禁止或違反平等原則等情事，其決定自應予尊重。</w:t>
      </w:r>
    </w:p>
    <w:p w:rsidR="009F0749" w:rsidRPr="00BF4552" w:rsidRDefault="009F0749" w:rsidP="00494B48">
      <w:pPr>
        <w:pStyle w:val="6"/>
        <w:numPr>
          <w:ilvl w:val="0"/>
          <w:numId w:val="34"/>
        </w:numPr>
        <w:ind w:left="2352" w:hanging="651"/>
        <w:rPr>
          <w:color w:val="auto"/>
        </w:rPr>
      </w:pPr>
      <w:r w:rsidRPr="00BF4552">
        <w:rPr>
          <w:rFonts w:hint="eastAsia"/>
          <w:color w:val="auto"/>
        </w:rPr>
        <w:t>大學核心自治事項本得以自治規章定之</w:t>
      </w:r>
      <w:r w:rsidRPr="00BF4552">
        <w:rPr>
          <w:rFonts w:hAnsi="標楷體" w:hint="eastAsia"/>
          <w:color w:val="auto"/>
        </w:rPr>
        <w:t>：</w:t>
      </w:r>
      <w:r w:rsidRPr="00BF4552">
        <w:rPr>
          <w:rFonts w:hint="eastAsia"/>
          <w:color w:val="auto"/>
        </w:rPr>
        <w:t>揆諸上述司法院釋字第380號解釋理由書及司法院釋字第563號解釋意旨，以「限期取得博士學位」作為決定續聘或不續聘之標準，核屬「直接關涉教學、研究之學術事項」之大學核心自治事項，而享有憲法保障之大學自治權限，參加人本得自行訂定自治規章予以規定，無須法律之授權，且縱使法律亦不得以限制或剝奪，則不論為93年或95年修訂之教師聘任辦法，均不得以教師有工作權存在，而認此範圍內有保律保留原則之適用，自不生是否牴觸行為時教師法第14條第1項第8款後段規定之問題。</w:t>
      </w:r>
    </w:p>
    <w:p w:rsidR="009F0749" w:rsidRPr="00BF4552" w:rsidRDefault="009F0749" w:rsidP="00494B48">
      <w:pPr>
        <w:pStyle w:val="6"/>
        <w:numPr>
          <w:ilvl w:val="0"/>
          <w:numId w:val="34"/>
        </w:numPr>
        <w:ind w:left="2352" w:hanging="651"/>
        <w:rPr>
          <w:color w:val="auto"/>
        </w:rPr>
      </w:pPr>
      <w:r w:rsidRPr="00BF4552">
        <w:rPr>
          <w:rFonts w:hint="eastAsia"/>
          <w:color w:val="auto"/>
        </w:rPr>
        <w:t>聘約拘束：兩造間之聘約雖歷經變更、更新，但每一份聘約最後一條均訂明「其他未記載事項依教育法令及本校教師聘任待遇服務等辦法辦理」，且原告同意接受96年8月1日至98年7月31日聘書時，參加人已將修正後95年教師聘任辦法第11條訂定於聘約第5條中，嗣98年8月1日至99年7月31日之聘約中，復明訂「於99年7月31日前取得博士學位，否則自99年8月1日起不予續聘」等語，故雙方既已同</w:t>
      </w:r>
      <w:r w:rsidRPr="00BF4552">
        <w:rPr>
          <w:rFonts w:hint="eastAsia"/>
          <w:color w:val="auto"/>
        </w:rPr>
        <w:lastRenderedPageBreak/>
        <w:t>意契約變更之內容，原告即應受其拘束。</w:t>
      </w:r>
    </w:p>
    <w:p w:rsidR="009F0749" w:rsidRPr="00BF4552" w:rsidRDefault="009F0749" w:rsidP="00494B48">
      <w:pPr>
        <w:pStyle w:val="6"/>
        <w:numPr>
          <w:ilvl w:val="0"/>
          <w:numId w:val="34"/>
        </w:numPr>
        <w:ind w:left="2352" w:hanging="651"/>
        <w:rPr>
          <w:color w:val="auto"/>
        </w:rPr>
      </w:pPr>
      <w:r w:rsidRPr="00BF4552">
        <w:rPr>
          <w:rFonts w:hint="eastAsia"/>
          <w:color w:val="auto"/>
        </w:rPr>
        <w:t>大學法第19條規定僅係確認大學自治具有憲法位階之效力：94年12月28日增訂之大學法第19條規定，大學得基於學術研究發展需要，另定教師停聘或不續聘之規定，以學校章程或聘約之方式展現之，無非「重申」並「確認」學術自由、大學自治此一憲法位階之理念而已，並非創設任何權利。而學術自由、大學自治此等憲法之基本權，原也無待法律規定，即應予以實現，非謂大學法第19條修正前，大學不得享有大學自治，不得自行以自治規章或聘約等方式，決定其專業學術走向及學術能力之要求。</w:t>
      </w:r>
    </w:p>
    <w:p w:rsidR="009F0749" w:rsidRPr="00BF4552" w:rsidRDefault="006B58B8" w:rsidP="009F0749">
      <w:pPr>
        <w:pStyle w:val="4"/>
        <w:rPr>
          <w:color w:val="auto"/>
        </w:rPr>
      </w:pPr>
      <w:r w:rsidRPr="00BF4552">
        <w:rPr>
          <w:rFonts w:hint="eastAsia"/>
          <w:color w:val="auto"/>
        </w:rPr>
        <w:t>某</w:t>
      </w:r>
      <w:r w:rsidR="009F0749" w:rsidRPr="00BF4552">
        <w:rPr>
          <w:rFonts w:hint="eastAsia"/>
          <w:color w:val="auto"/>
        </w:rPr>
        <w:t>副教授因未於6年期限內升等為教授</w:t>
      </w:r>
      <w:r w:rsidR="009F0749" w:rsidRPr="00BF4552">
        <w:rPr>
          <w:rFonts w:hAnsi="標楷體" w:hint="eastAsia"/>
          <w:color w:val="auto"/>
        </w:rPr>
        <w:t>，</w:t>
      </w:r>
      <w:r w:rsidR="009F0749" w:rsidRPr="00BF4552">
        <w:rPr>
          <w:rFonts w:hint="eastAsia"/>
          <w:color w:val="auto"/>
        </w:rPr>
        <w:t>經學校於100年間決議不予續聘</w:t>
      </w:r>
      <w:r w:rsidR="009F0749" w:rsidRPr="00BF4552">
        <w:rPr>
          <w:rFonts w:hAnsi="標楷體" w:hint="eastAsia"/>
          <w:color w:val="auto"/>
        </w:rPr>
        <w:t>，</w:t>
      </w:r>
      <w:r w:rsidR="009F0749" w:rsidRPr="00BF4552">
        <w:rPr>
          <w:rFonts w:hint="eastAsia"/>
          <w:color w:val="auto"/>
        </w:rPr>
        <w:t>其不服提起行政訴訟</w:t>
      </w:r>
      <w:r w:rsidR="009F0749" w:rsidRPr="00BF4552">
        <w:rPr>
          <w:rFonts w:hAnsi="標楷體" w:hint="eastAsia"/>
          <w:color w:val="auto"/>
        </w:rPr>
        <w:t>，先後歷經</w:t>
      </w:r>
      <w:r w:rsidR="00A01308" w:rsidRPr="00BF4552">
        <w:rPr>
          <w:rFonts w:hint="eastAsia"/>
          <w:color w:val="auto"/>
        </w:rPr>
        <w:t>臺北高等行政法院</w:t>
      </w:r>
      <w:r w:rsidR="009F0749" w:rsidRPr="00BF4552">
        <w:rPr>
          <w:rFonts w:hint="eastAsia"/>
          <w:color w:val="auto"/>
        </w:rPr>
        <w:t>及</w:t>
      </w:r>
      <w:r w:rsidR="00A01308" w:rsidRPr="00BF4552">
        <w:rPr>
          <w:rFonts w:hint="eastAsia"/>
          <w:color w:val="auto"/>
        </w:rPr>
        <w:t>最高行政法院</w:t>
      </w:r>
      <w:r w:rsidR="009F0749" w:rsidRPr="00BF4552">
        <w:rPr>
          <w:rFonts w:hint="eastAsia"/>
          <w:color w:val="auto"/>
        </w:rPr>
        <w:t>(第四庭)6次審理</w:t>
      </w:r>
      <w:r w:rsidR="009F0749" w:rsidRPr="00BF4552">
        <w:rPr>
          <w:rFonts w:hAnsi="標楷體" w:hint="eastAsia"/>
          <w:color w:val="auto"/>
        </w:rPr>
        <w:t>，最後判決教育部敗訴，</w:t>
      </w:r>
      <w:r w:rsidR="009F0749" w:rsidRPr="00BF4552">
        <w:rPr>
          <w:rFonts w:hint="eastAsia"/>
          <w:color w:val="auto"/>
        </w:rPr>
        <w:t>說明如下</w:t>
      </w:r>
      <w:r w:rsidR="009F0749" w:rsidRPr="00BF4552">
        <w:rPr>
          <w:rFonts w:hAnsi="標楷體" w:hint="eastAsia"/>
          <w:color w:val="auto"/>
        </w:rPr>
        <w:t>：</w:t>
      </w:r>
    </w:p>
    <w:p w:rsidR="006B58B8" w:rsidRPr="00BF4552" w:rsidRDefault="00A01308" w:rsidP="00441162">
      <w:pPr>
        <w:pStyle w:val="5"/>
        <w:rPr>
          <w:color w:val="auto"/>
        </w:rPr>
      </w:pPr>
      <w:r w:rsidRPr="00BF4552">
        <w:rPr>
          <w:rFonts w:hint="eastAsia"/>
          <w:color w:val="auto"/>
        </w:rPr>
        <w:t>臺北高等行政法院</w:t>
      </w:r>
      <w:r w:rsidR="006B58B8" w:rsidRPr="00BF4552">
        <w:rPr>
          <w:rFonts w:hint="eastAsia"/>
          <w:color w:val="auto"/>
        </w:rPr>
        <w:t>101年度訴字第1188號判決係判教師勝訴</w:t>
      </w:r>
      <w:r w:rsidR="006B58B8" w:rsidRPr="00BF4552">
        <w:rPr>
          <w:rFonts w:hAnsi="標楷體" w:hint="eastAsia"/>
          <w:color w:val="auto"/>
        </w:rPr>
        <w:t>(</w:t>
      </w:r>
      <w:r w:rsidR="006B58B8" w:rsidRPr="00BF4552">
        <w:rPr>
          <w:rFonts w:hint="eastAsia"/>
          <w:color w:val="auto"/>
        </w:rPr>
        <w:t>訴願決定及原處分均撤銷)</w:t>
      </w:r>
      <w:r w:rsidR="006B58B8" w:rsidRPr="00BF4552">
        <w:rPr>
          <w:rFonts w:hAnsi="標楷體" w:hint="eastAsia"/>
          <w:color w:val="auto"/>
        </w:rPr>
        <w:t>，</w:t>
      </w:r>
      <w:r w:rsidRPr="00BF4552">
        <w:rPr>
          <w:rFonts w:hint="eastAsia"/>
          <w:color w:val="auto"/>
        </w:rPr>
        <w:t>所採理由與臺北高等行政法院上開101年度訴字第1139號判決大致相同</w:t>
      </w:r>
      <w:r w:rsidRPr="00BF4552">
        <w:rPr>
          <w:rFonts w:hAnsi="標楷體" w:hint="eastAsia"/>
          <w:color w:val="auto"/>
        </w:rPr>
        <w:t>。</w:t>
      </w:r>
    </w:p>
    <w:p w:rsidR="006B58B8" w:rsidRPr="00BF4552" w:rsidRDefault="00A01308" w:rsidP="00441162">
      <w:pPr>
        <w:pStyle w:val="5"/>
        <w:rPr>
          <w:color w:val="auto"/>
        </w:rPr>
      </w:pPr>
      <w:r w:rsidRPr="00BF4552">
        <w:rPr>
          <w:rFonts w:hint="eastAsia"/>
          <w:color w:val="auto"/>
        </w:rPr>
        <w:t>最高行政法院</w:t>
      </w:r>
      <w:r w:rsidR="00A80D91" w:rsidRPr="00BF4552">
        <w:rPr>
          <w:rFonts w:hint="eastAsia"/>
          <w:color w:val="auto"/>
        </w:rPr>
        <w:t>102年度判字第617號判決廢棄原判決</w:t>
      </w:r>
      <w:r w:rsidR="00A80D91" w:rsidRPr="00BF4552">
        <w:rPr>
          <w:rFonts w:hAnsi="標楷體" w:hint="eastAsia"/>
          <w:color w:val="auto"/>
        </w:rPr>
        <w:t>，</w:t>
      </w:r>
      <w:r w:rsidR="00A80D91" w:rsidRPr="00BF4552">
        <w:rPr>
          <w:rFonts w:hint="eastAsia"/>
          <w:color w:val="auto"/>
        </w:rPr>
        <w:t>理由略以</w:t>
      </w:r>
      <w:r w:rsidR="00A80D91" w:rsidRPr="00BF4552">
        <w:rPr>
          <w:rFonts w:hAnsi="標楷體" w:hint="eastAsia"/>
          <w:color w:val="auto"/>
        </w:rPr>
        <w:t>：</w:t>
      </w:r>
    </w:p>
    <w:p w:rsidR="00A80D91" w:rsidRPr="00BF4552" w:rsidRDefault="00A80D91" w:rsidP="00494B48">
      <w:pPr>
        <w:pStyle w:val="6"/>
        <w:numPr>
          <w:ilvl w:val="0"/>
          <w:numId w:val="36"/>
        </w:numPr>
        <w:ind w:left="2268" w:hanging="567"/>
        <w:rPr>
          <w:color w:val="auto"/>
        </w:rPr>
      </w:pPr>
      <w:r w:rsidRPr="00BF4552">
        <w:rPr>
          <w:rFonts w:hint="eastAsia"/>
          <w:color w:val="auto"/>
        </w:rPr>
        <w:t>程序瑕疵：原審未命大學獨立參加訴訟，逕為判決，已有未洽。</w:t>
      </w:r>
    </w:p>
    <w:p w:rsidR="00A80D91" w:rsidRPr="00BF4552" w:rsidRDefault="00A80D91" w:rsidP="00494B48">
      <w:pPr>
        <w:pStyle w:val="6"/>
        <w:numPr>
          <w:ilvl w:val="0"/>
          <w:numId w:val="36"/>
        </w:numPr>
        <w:ind w:left="2268" w:hanging="567"/>
        <w:rPr>
          <w:color w:val="auto"/>
        </w:rPr>
      </w:pPr>
      <w:r w:rsidRPr="00BF4552">
        <w:rPr>
          <w:rFonts w:hint="eastAsia"/>
          <w:color w:val="auto"/>
        </w:rPr>
        <w:t>大學法第19條僅屬確認大學自治之規範</w:t>
      </w:r>
      <w:r w:rsidRPr="00BF4552">
        <w:rPr>
          <w:rFonts w:hAnsi="標楷體" w:hint="eastAsia"/>
          <w:color w:val="auto"/>
        </w:rPr>
        <w:t>：</w:t>
      </w:r>
      <w:r w:rsidRPr="00BF4552">
        <w:rPr>
          <w:rFonts w:hint="eastAsia"/>
          <w:color w:val="auto"/>
        </w:rPr>
        <w:t>94年12月28日增訂之大學法第19條規定，僅屬「確認」性質之規範，即縱無此規定，大學本於憲法賦與之自治權，仍得經校務會議審議通過學校章則，對教師權利義務予以規</w:t>
      </w:r>
      <w:r w:rsidRPr="00BF4552">
        <w:rPr>
          <w:rFonts w:hint="eastAsia"/>
          <w:color w:val="auto"/>
        </w:rPr>
        <w:lastRenderedPageBreak/>
        <w:t>定，並基於學術研究發展需要，另定教師停聘或不續聘之規定。原判決誤解大學法第19條規定之意旨。</w:t>
      </w:r>
    </w:p>
    <w:p w:rsidR="00A80D91" w:rsidRPr="00BF4552" w:rsidRDefault="00A80D91" w:rsidP="00494B48">
      <w:pPr>
        <w:pStyle w:val="6"/>
        <w:numPr>
          <w:ilvl w:val="0"/>
          <w:numId w:val="36"/>
        </w:numPr>
        <w:ind w:left="2268" w:hanging="567"/>
        <w:rPr>
          <w:color w:val="auto"/>
        </w:rPr>
      </w:pPr>
      <w:r w:rsidRPr="00BF4552">
        <w:rPr>
          <w:rFonts w:hint="eastAsia"/>
          <w:color w:val="auto"/>
        </w:rPr>
        <w:t>應就個案判斷違反聘約情形是否情節重大：內容同上開</w:t>
      </w:r>
      <w:r w:rsidR="00A01308" w:rsidRPr="00BF4552">
        <w:rPr>
          <w:rFonts w:hint="eastAsia"/>
          <w:color w:val="auto"/>
        </w:rPr>
        <w:t>最高行政法院</w:t>
      </w:r>
      <w:r w:rsidRPr="00BF4552">
        <w:rPr>
          <w:rFonts w:hint="eastAsia"/>
          <w:color w:val="auto"/>
        </w:rPr>
        <w:t>102年度判字第513號判決</w:t>
      </w:r>
      <w:r w:rsidRPr="00BF4552">
        <w:rPr>
          <w:rFonts w:hAnsi="標楷體" w:hint="eastAsia"/>
          <w:color w:val="auto"/>
        </w:rPr>
        <w:t>。</w:t>
      </w:r>
    </w:p>
    <w:p w:rsidR="00A80D91" w:rsidRPr="00BF4552" w:rsidRDefault="00A80D91" w:rsidP="00494B48">
      <w:pPr>
        <w:pStyle w:val="6"/>
        <w:numPr>
          <w:ilvl w:val="0"/>
          <w:numId w:val="36"/>
        </w:numPr>
        <w:ind w:left="2268" w:hanging="567"/>
        <w:rPr>
          <w:color w:val="auto"/>
        </w:rPr>
      </w:pPr>
      <w:r w:rsidRPr="00BF4552">
        <w:rPr>
          <w:rFonts w:hint="eastAsia"/>
          <w:color w:val="auto"/>
        </w:rPr>
        <w:t>未依限升等是否已達違反聘約情節重大之程度原審未調查</w:t>
      </w:r>
      <w:r w:rsidRPr="00BF4552">
        <w:rPr>
          <w:rFonts w:hAnsi="標楷體" w:hint="eastAsia"/>
          <w:color w:val="auto"/>
        </w:rPr>
        <w:t>：</w:t>
      </w:r>
      <w:r w:rsidRPr="00BF4552">
        <w:rPr>
          <w:rFonts w:hint="eastAsia"/>
          <w:color w:val="auto"/>
        </w:rPr>
        <w:t>被上訴人未於6年內升等為教授，其未依限升等之事實，是否已達違反聘約情節重大之程度，亦攸關訴外人校教評會對被上訴人為不續聘之決議，是否合於教師法第14條第1項第8款所規定之要件，及上訴人核准訴外人不續聘被上訴人之處分有無違法</w:t>
      </w:r>
      <w:r w:rsidRPr="00BF4552">
        <w:rPr>
          <w:rFonts w:hAnsi="標楷體" w:hint="eastAsia"/>
          <w:color w:val="auto"/>
        </w:rPr>
        <w:t>，</w:t>
      </w:r>
      <w:r w:rsidRPr="00BF4552">
        <w:rPr>
          <w:rFonts w:hint="eastAsia"/>
          <w:color w:val="auto"/>
        </w:rPr>
        <w:t>原審就此一事實未為調查及認定。</w:t>
      </w:r>
    </w:p>
    <w:p w:rsidR="00A80D91" w:rsidRPr="00BF4552" w:rsidRDefault="00A80D91" w:rsidP="00441162">
      <w:pPr>
        <w:pStyle w:val="5"/>
        <w:rPr>
          <w:color w:val="auto"/>
        </w:rPr>
      </w:pPr>
      <w:r w:rsidRPr="00BF4552">
        <w:rPr>
          <w:rFonts w:hint="eastAsia"/>
          <w:color w:val="auto"/>
        </w:rPr>
        <w:t>發回更審後作成之</w:t>
      </w:r>
      <w:r w:rsidR="00A01308" w:rsidRPr="00BF4552">
        <w:rPr>
          <w:rFonts w:hint="eastAsia"/>
          <w:color w:val="auto"/>
        </w:rPr>
        <w:t>臺北高等行政法院</w:t>
      </w:r>
      <w:r w:rsidRPr="00BF4552">
        <w:rPr>
          <w:rFonts w:hint="eastAsia"/>
          <w:color w:val="auto"/>
        </w:rPr>
        <w:t>102年度訴更一字第128號判決</w:t>
      </w:r>
      <w:r w:rsidRPr="00BF4552">
        <w:rPr>
          <w:rFonts w:hAnsi="標楷體" w:hint="eastAsia"/>
          <w:color w:val="auto"/>
        </w:rPr>
        <w:t>，在「</w:t>
      </w:r>
      <w:r w:rsidRPr="00BF4552">
        <w:rPr>
          <w:rFonts w:hint="eastAsia"/>
          <w:color w:val="auto"/>
        </w:rPr>
        <w:t>大學法第19條僅屬確認大學自治之規範</w:t>
      </w:r>
      <w:r w:rsidRPr="00BF4552">
        <w:rPr>
          <w:rFonts w:hAnsi="標楷體" w:hint="eastAsia"/>
          <w:color w:val="auto"/>
        </w:rPr>
        <w:t>」</w:t>
      </w:r>
      <w:r w:rsidRPr="00BF4552">
        <w:rPr>
          <w:rFonts w:hint="eastAsia"/>
          <w:color w:val="auto"/>
        </w:rPr>
        <w:t>及</w:t>
      </w:r>
      <w:r w:rsidRPr="00BF4552">
        <w:rPr>
          <w:rFonts w:hAnsi="標楷體" w:hint="eastAsia"/>
          <w:color w:val="auto"/>
        </w:rPr>
        <w:t>「</w:t>
      </w:r>
      <w:r w:rsidRPr="00BF4552">
        <w:rPr>
          <w:rFonts w:hint="eastAsia"/>
          <w:color w:val="auto"/>
        </w:rPr>
        <w:t>應就個案判斷違反聘約情形是否情節重大</w:t>
      </w:r>
      <w:r w:rsidRPr="00BF4552">
        <w:rPr>
          <w:rFonts w:hAnsi="標楷體" w:hint="eastAsia"/>
          <w:color w:val="auto"/>
        </w:rPr>
        <w:t>」</w:t>
      </w:r>
      <w:r w:rsidRPr="00BF4552">
        <w:rPr>
          <w:rFonts w:hint="eastAsia"/>
          <w:color w:val="auto"/>
        </w:rPr>
        <w:t>部分採納上開</w:t>
      </w:r>
      <w:r w:rsidR="00A01308" w:rsidRPr="00BF4552">
        <w:rPr>
          <w:rFonts w:hint="eastAsia"/>
          <w:color w:val="auto"/>
        </w:rPr>
        <w:t>最高行政法院</w:t>
      </w:r>
      <w:r w:rsidRPr="00BF4552">
        <w:rPr>
          <w:rFonts w:hint="eastAsia"/>
          <w:color w:val="auto"/>
        </w:rPr>
        <w:t>102年度判字第617號判決揭示之法律見解</w:t>
      </w:r>
      <w:r w:rsidRPr="00BF4552">
        <w:rPr>
          <w:rFonts w:hAnsi="標楷體" w:hint="eastAsia"/>
          <w:color w:val="auto"/>
        </w:rPr>
        <w:t>，</w:t>
      </w:r>
      <w:r w:rsidRPr="00BF4552">
        <w:rPr>
          <w:rFonts w:hint="eastAsia"/>
          <w:color w:val="auto"/>
        </w:rPr>
        <w:t>惟仍基於尊重學校判斷餘地</w:t>
      </w:r>
      <w:r w:rsidRPr="00BF4552">
        <w:rPr>
          <w:rFonts w:hAnsi="標楷體" w:hint="eastAsia"/>
          <w:color w:val="auto"/>
        </w:rPr>
        <w:t>、</w:t>
      </w:r>
      <w:r w:rsidRPr="00BF4552">
        <w:rPr>
          <w:rFonts w:hint="eastAsia"/>
          <w:color w:val="auto"/>
        </w:rPr>
        <w:t>聘約拘束及教育部已為適法性審查等駁回原告之訴</w:t>
      </w:r>
      <w:r w:rsidRPr="00BF4552">
        <w:rPr>
          <w:rFonts w:hAnsi="標楷體" w:hint="eastAsia"/>
          <w:color w:val="auto"/>
        </w:rPr>
        <w:t>，</w:t>
      </w:r>
      <w:r w:rsidRPr="00BF4552">
        <w:rPr>
          <w:rFonts w:hint="eastAsia"/>
          <w:color w:val="auto"/>
        </w:rPr>
        <w:t>理由略以</w:t>
      </w:r>
      <w:r w:rsidRPr="00BF4552">
        <w:rPr>
          <w:rFonts w:hAnsi="標楷體" w:hint="eastAsia"/>
          <w:color w:val="auto"/>
        </w:rPr>
        <w:t>：</w:t>
      </w:r>
    </w:p>
    <w:p w:rsidR="00132522" w:rsidRPr="00BF4552" w:rsidRDefault="00132522" w:rsidP="00494B48">
      <w:pPr>
        <w:pStyle w:val="6"/>
        <w:numPr>
          <w:ilvl w:val="0"/>
          <w:numId w:val="37"/>
        </w:numPr>
        <w:ind w:left="2268" w:hanging="567"/>
        <w:rPr>
          <w:color w:val="auto"/>
        </w:rPr>
      </w:pPr>
      <w:r w:rsidRPr="00BF4552">
        <w:rPr>
          <w:rFonts w:hint="eastAsia"/>
          <w:color w:val="auto"/>
        </w:rPr>
        <w:t>尊重學校判斷餘地</w:t>
      </w:r>
      <w:r w:rsidRPr="00BF4552">
        <w:rPr>
          <w:rFonts w:hAnsi="標楷體" w:hint="eastAsia"/>
          <w:color w:val="auto"/>
        </w:rPr>
        <w:t>：</w:t>
      </w:r>
      <w:r w:rsidRPr="00BF4552">
        <w:rPr>
          <w:rFonts w:hint="eastAsia"/>
          <w:color w:val="auto"/>
        </w:rPr>
        <w:t>內容同上開</w:t>
      </w:r>
      <w:r w:rsidR="00A01308" w:rsidRPr="00BF4552">
        <w:rPr>
          <w:rFonts w:hint="eastAsia"/>
          <w:color w:val="auto"/>
        </w:rPr>
        <w:t>臺北高等行政法院</w:t>
      </w:r>
      <w:r w:rsidRPr="00BF4552">
        <w:rPr>
          <w:rFonts w:hint="eastAsia"/>
          <w:color w:val="auto"/>
        </w:rPr>
        <w:t>102年度訴更一字第111號判決</w:t>
      </w:r>
      <w:r w:rsidRPr="00BF4552">
        <w:rPr>
          <w:rFonts w:hAnsi="標楷體" w:hint="eastAsia"/>
          <w:color w:val="auto"/>
        </w:rPr>
        <w:t>。</w:t>
      </w:r>
    </w:p>
    <w:p w:rsidR="00132522" w:rsidRPr="00BF4552" w:rsidRDefault="00132522" w:rsidP="00494B48">
      <w:pPr>
        <w:pStyle w:val="6"/>
        <w:numPr>
          <w:ilvl w:val="0"/>
          <w:numId w:val="37"/>
        </w:numPr>
        <w:ind w:left="2268" w:hanging="567"/>
        <w:rPr>
          <w:color w:val="auto"/>
        </w:rPr>
      </w:pPr>
      <w:r w:rsidRPr="00BF4552">
        <w:rPr>
          <w:rFonts w:hint="eastAsia"/>
          <w:color w:val="auto"/>
        </w:rPr>
        <w:t>校內辦法及聘約無違大學法第19條規定且教師應受聘約拘束</w:t>
      </w:r>
      <w:r w:rsidRPr="00BF4552">
        <w:rPr>
          <w:rFonts w:hAnsi="標楷體" w:hint="eastAsia"/>
          <w:color w:val="auto"/>
        </w:rPr>
        <w:t>：</w:t>
      </w:r>
      <w:r w:rsidRPr="00BF4552">
        <w:rPr>
          <w:rFonts w:hint="eastAsia"/>
          <w:color w:val="auto"/>
        </w:rPr>
        <w:t>參加人業將教師聘任辦法納為聘約之一部，嗣於各該教師之聘書後附聘約條款中亦予載明，各教師亦依此條件而接受聘書，自與大學法第19條規定無違。參加人校務會議於93年9月22日修正通過教師聘任辦法第13條，且經教師聘約所援用，自</w:t>
      </w:r>
      <w:r w:rsidRPr="00BF4552">
        <w:rPr>
          <w:rFonts w:hint="eastAsia"/>
          <w:color w:val="auto"/>
        </w:rPr>
        <w:lastRenderedPageBreak/>
        <w:t>應認係參加人與教師間有效之聘約約定。</w:t>
      </w:r>
    </w:p>
    <w:p w:rsidR="00A80D91" w:rsidRPr="00BF4552" w:rsidRDefault="00132522" w:rsidP="00494B48">
      <w:pPr>
        <w:pStyle w:val="6"/>
        <w:numPr>
          <w:ilvl w:val="0"/>
          <w:numId w:val="37"/>
        </w:numPr>
        <w:ind w:left="2268" w:hanging="567"/>
        <w:rPr>
          <w:color w:val="auto"/>
        </w:rPr>
      </w:pPr>
      <w:r w:rsidRPr="00BF4552">
        <w:rPr>
          <w:rFonts w:hint="eastAsia"/>
          <w:color w:val="auto"/>
        </w:rPr>
        <w:t>教育部已盡適法性監督之責</w:t>
      </w:r>
      <w:r w:rsidRPr="00BF4552">
        <w:rPr>
          <w:rFonts w:hAnsi="標楷體" w:hint="eastAsia"/>
          <w:color w:val="auto"/>
        </w:rPr>
        <w:t>：</w:t>
      </w:r>
      <w:r w:rsidRPr="00BF4552">
        <w:rPr>
          <w:rFonts w:hint="eastAsia"/>
          <w:color w:val="auto"/>
        </w:rPr>
        <w:t>按大學法第1條第1項規定：「大學以研究學術，培育人才，提升文化，服務社會，促進國家發展為宗旨。」教師之升等，有助於大學維持學術研究與教學之品質，發揮大學培育學術人才之功能。參加人教師聘任辦法第13條增訂6年升等條款，即為達成大學法之上開宗旨，參酌國內諸多公私立大學亦採取對於教師定有一定期間未能升等者即不予續聘之聘約條款，足認以教師升等作為決定教師停聘或不續聘之標準，係屬眾多大學維繫學術水準之重要方法，自應認屬聘約約定中之核心部分，若有違反，通常即應認係違反聘約之重要部分。本件原告6年未完成升等，經參加人校教評會審酌認定為違反聘約情節重大，而不予續聘，係屬大學自治之核心事項，被告基於適法性審查之地位，以原處分核准原告之不續聘案，於法尚無不合。</w:t>
      </w:r>
    </w:p>
    <w:p w:rsidR="00132522" w:rsidRPr="00BF4552" w:rsidRDefault="00A01308" w:rsidP="00441162">
      <w:pPr>
        <w:pStyle w:val="5"/>
        <w:rPr>
          <w:color w:val="auto"/>
        </w:rPr>
      </w:pPr>
      <w:r w:rsidRPr="00BF4552">
        <w:rPr>
          <w:rFonts w:hint="eastAsia"/>
          <w:color w:val="auto"/>
        </w:rPr>
        <w:t>最高行政法院</w:t>
      </w:r>
      <w:r w:rsidR="00132522" w:rsidRPr="00BF4552">
        <w:rPr>
          <w:rFonts w:hint="eastAsia"/>
          <w:color w:val="auto"/>
        </w:rPr>
        <w:t>103年度判字第583號判決廢棄第一次更審判決</w:t>
      </w:r>
      <w:r w:rsidR="00132522" w:rsidRPr="00BF4552">
        <w:rPr>
          <w:rFonts w:hAnsi="標楷體" w:hint="eastAsia"/>
          <w:color w:val="auto"/>
        </w:rPr>
        <w:t>，</w:t>
      </w:r>
      <w:r w:rsidR="00132522" w:rsidRPr="00BF4552">
        <w:rPr>
          <w:rFonts w:hint="eastAsia"/>
          <w:color w:val="auto"/>
        </w:rPr>
        <w:t>理由略以</w:t>
      </w:r>
      <w:r w:rsidR="00132522" w:rsidRPr="00BF4552">
        <w:rPr>
          <w:rFonts w:hAnsi="標楷體" w:hint="eastAsia"/>
          <w:color w:val="auto"/>
        </w:rPr>
        <w:t>：</w:t>
      </w:r>
    </w:p>
    <w:p w:rsidR="00DC3660" w:rsidRPr="00BF4552" w:rsidRDefault="00DC3660" w:rsidP="00494B48">
      <w:pPr>
        <w:pStyle w:val="6"/>
        <w:numPr>
          <w:ilvl w:val="0"/>
          <w:numId w:val="38"/>
        </w:numPr>
        <w:ind w:left="2268" w:hanging="567"/>
        <w:rPr>
          <w:color w:val="auto"/>
        </w:rPr>
      </w:pPr>
      <w:r w:rsidRPr="00BF4552">
        <w:rPr>
          <w:rFonts w:hint="eastAsia"/>
          <w:color w:val="auto"/>
        </w:rPr>
        <w:t>原審未調查校務會議組織是否合法：大學法第19條所謂「經校務會議審議通過」係指組織合法之校務會議，經合法程序審議通過而言。原審未就上訴人爭執參加人93年9月22日校務會議之組織違法一事予以調查，亦未就何以無須調查於理由中說明。</w:t>
      </w:r>
    </w:p>
    <w:p w:rsidR="00DC3660" w:rsidRPr="00BF4552" w:rsidRDefault="00DC3660" w:rsidP="00494B48">
      <w:pPr>
        <w:pStyle w:val="6"/>
        <w:numPr>
          <w:ilvl w:val="0"/>
          <w:numId w:val="38"/>
        </w:numPr>
        <w:ind w:left="2268" w:hanging="567"/>
        <w:rPr>
          <w:color w:val="auto"/>
        </w:rPr>
      </w:pPr>
      <w:r w:rsidRPr="00BF4552">
        <w:rPr>
          <w:rFonts w:hint="eastAsia"/>
          <w:color w:val="auto"/>
        </w:rPr>
        <w:t>應就個案判斷違反聘約情形是否情節重大：內容同上開</w:t>
      </w:r>
      <w:r w:rsidR="00A01308" w:rsidRPr="00BF4552">
        <w:rPr>
          <w:rFonts w:hint="eastAsia"/>
          <w:color w:val="auto"/>
        </w:rPr>
        <w:t>最高行政法院</w:t>
      </w:r>
      <w:r w:rsidRPr="00BF4552">
        <w:rPr>
          <w:rFonts w:hint="eastAsia"/>
          <w:color w:val="auto"/>
        </w:rPr>
        <w:t>102年度判字第513號判決</w:t>
      </w:r>
      <w:r w:rsidRPr="00BF4552">
        <w:rPr>
          <w:rFonts w:hAnsi="標楷體" w:hint="eastAsia"/>
          <w:color w:val="auto"/>
        </w:rPr>
        <w:t>。</w:t>
      </w:r>
    </w:p>
    <w:p w:rsidR="00132522" w:rsidRPr="00BF4552" w:rsidRDefault="00DC3660" w:rsidP="00494B48">
      <w:pPr>
        <w:pStyle w:val="6"/>
        <w:numPr>
          <w:ilvl w:val="0"/>
          <w:numId w:val="38"/>
        </w:numPr>
        <w:ind w:left="2268" w:hanging="567"/>
        <w:rPr>
          <w:color w:val="auto"/>
        </w:rPr>
      </w:pPr>
      <w:r w:rsidRPr="00BF4552">
        <w:rPr>
          <w:rFonts w:hint="eastAsia"/>
          <w:color w:val="auto"/>
        </w:rPr>
        <w:lastRenderedPageBreak/>
        <w:t>須審酌校教評會作成決定之過程是否適法</w:t>
      </w:r>
      <w:r w:rsidRPr="00BF4552">
        <w:rPr>
          <w:rFonts w:hAnsi="標楷體" w:hint="eastAsia"/>
          <w:color w:val="auto"/>
        </w:rPr>
        <w:t>：</w:t>
      </w:r>
      <w:r w:rsidRPr="00BF4552">
        <w:rPr>
          <w:rFonts w:hint="eastAsia"/>
          <w:color w:val="auto"/>
        </w:rPr>
        <w:t>對於大學不予續聘教師之決定，固應予以尊重，惟原處分核准參加人系爭不續聘案有無違法，仍須經由對教評會作成決定之過程，及用以作為判斷之具體事證之認定入手，始能為合法與否之判斷。經查，參加人各級教評會審議結果均無積極審酌上訴人違反聘約相關情節之具體事證之記載，似均認其逾6年未完成升等即屬「違反聘約情節重大」，並非另依具體事證，考量個案違反聘約之情節認已達重大程度。</w:t>
      </w:r>
    </w:p>
    <w:p w:rsidR="009F1CB3" w:rsidRPr="00BF4552" w:rsidRDefault="009F1CB3" w:rsidP="00441162">
      <w:pPr>
        <w:pStyle w:val="5"/>
        <w:rPr>
          <w:color w:val="auto"/>
        </w:rPr>
      </w:pPr>
      <w:r w:rsidRPr="00BF4552">
        <w:rPr>
          <w:rFonts w:hint="eastAsia"/>
          <w:color w:val="auto"/>
        </w:rPr>
        <w:t>第2次發回更審後作成之</w:t>
      </w:r>
      <w:r w:rsidR="00A01308" w:rsidRPr="00BF4552">
        <w:rPr>
          <w:rFonts w:hint="eastAsia"/>
          <w:color w:val="auto"/>
        </w:rPr>
        <w:t>臺北高等行政法院</w:t>
      </w:r>
      <w:r w:rsidRPr="00BF4552">
        <w:rPr>
          <w:rFonts w:hint="eastAsia"/>
          <w:color w:val="auto"/>
        </w:rPr>
        <w:t>103年度訴更二字第124號判決仍不採納</w:t>
      </w:r>
      <w:r w:rsidR="00A01308" w:rsidRPr="00BF4552">
        <w:rPr>
          <w:rFonts w:hint="eastAsia"/>
          <w:color w:val="auto"/>
        </w:rPr>
        <w:t>最高行政法院</w:t>
      </w:r>
      <w:r w:rsidRPr="00BF4552">
        <w:rPr>
          <w:rFonts w:hint="eastAsia"/>
          <w:color w:val="auto"/>
        </w:rPr>
        <w:t>見解</w:t>
      </w:r>
      <w:r w:rsidRPr="00BF4552">
        <w:rPr>
          <w:rFonts w:hAnsi="標楷體" w:hint="eastAsia"/>
          <w:color w:val="auto"/>
        </w:rPr>
        <w:t>，仍駁回原告之訴，</w:t>
      </w:r>
      <w:r w:rsidRPr="00BF4552">
        <w:rPr>
          <w:rFonts w:hint="eastAsia"/>
          <w:color w:val="auto"/>
        </w:rPr>
        <w:t>理由略以</w:t>
      </w:r>
      <w:r w:rsidRPr="00BF4552">
        <w:rPr>
          <w:rFonts w:hAnsi="標楷體" w:hint="eastAsia"/>
          <w:color w:val="auto"/>
        </w:rPr>
        <w:t>：</w:t>
      </w:r>
    </w:p>
    <w:p w:rsidR="009F1CB3" w:rsidRPr="00BF4552" w:rsidRDefault="009F1CB3" w:rsidP="00494B48">
      <w:pPr>
        <w:pStyle w:val="6"/>
        <w:numPr>
          <w:ilvl w:val="0"/>
          <w:numId w:val="39"/>
        </w:numPr>
        <w:ind w:left="2296" w:hanging="595"/>
        <w:rPr>
          <w:color w:val="auto"/>
        </w:rPr>
      </w:pPr>
      <w:r w:rsidRPr="00BF4552">
        <w:rPr>
          <w:rFonts w:hAnsi="標楷體" w:hint="eastAsia"/>
          <w:color w:val="auto"/>
        </w:rPr>
        <w:t>在「</w:t>
      </w:r>
      <w:r w:rsidRPr="00BF4552">
        <w:rPr>
          <w:rFonts w:hint="eastAsia"/>
          <w:color w:val="auto"/>
        </w:rPr>
        <w:t>尊重大學於自治範圍內之專業判斷</w:t>
      </w:r>
      <w:r w:rsidRPr="00BF4552">
        <w:rPr>
          <w:rFonts w:hAnsi="標楷體" w:hint="eastAsia"/>
          <w:bCs/>
          <w:color w:val="auto"/>
        </w:rPr>
        <w:t>」、「</w:t>
      </w:r>
      <w:r w:rsidRPr="00BF4552">
        <w:rPr>
          <w:rFonts w:hint="eastAsia"/>
          <w:color w:val="auto"/>
        </w:rPr>
        <w:t>大學核心自治事項本得以自治規章定之</w:t>
      </w:r>
      <w:r w:rsidRPr="00BF4552">
        <w:rPr>
          <w:rFonts w:hAnsi="標楷體" w:hint="eastAsia"/>
          <w:bCs/>
          <w:color w:val="auto"/>
        </w:rPr>
        <w:t>」、「</w:t>
      </w:r>
      <w:r w:rsidRPr="00BF4552">
        <w:rPr>
          <w:rFonts w:hAnsi="標楷體" w:cs="細明體" w:hint="eastAsia"/>
          <w:color w:val="auto"/>
          <w:kern w:val="0"/>
          <w:szCs w:val="32"/>
        </w:rPr>
        <w:t>聘約拘束</w:t>
      </w:r>
      <w:r w:rsidRPr="00BF4552">
        <w:rPr>
          <w:rFonts w:hAnsi="標楷體" w:hint="eastAsia"/>
          <w:bCs/>
          <w:color w:val="auto"/>
        </w:rPr>
        <w:t>」</w:t>
      </w:r>
      <w:r w:rsidRPr="00BF4552">
        <w:rPr>
          <w:rFonts w:hint="eastAsia"/>
          <w:bCs/>
          <w:color w:val="auto"/>
        </w:rPr>
        <w:t>及</w:t>
      </w:r>
      <w:r w:rsidRPr="00BF4552">
        <w:rPr>
          <w:rFonts w:hAnsi="標楷體" w:hint="eastAsia"/>
          <w:bCs/>
          <w:color w:val="auto"/>
        </w:rPr>
        <w:t>「</w:t>
      </w:r>
      <w:r w:rsidRPr="00BF4552">
        <w:rPr>
          <w:rFonts w:hAnsi="標楷體" w:cs="細明體" w:hint="eastAsia"/>
          <w:color w:val="auto"/>
          <w:kern w:val="0"/>
          <w:szCs w:val="32"/>
        </w:rPr>
        <w:t>大學法第19條規定僅係確認大學自治具有憲法位階之效力</w:t>
      </w:r>
      <w:r w:rsidRPr="00BF4552">
        <w:rPr>
          <w:rFonts w:hAnsi="標楷體" w:hint="eastAsia"/>
          <w:bCs/>
          <w:color w:val="auto"/>
        </w:rPr>
        <w:t>」</w:t>
      </w:r>
      <w:r w:rsidRPr="00BF4552">
        <w:rPr>
          <w:rFonts w:hint="eastAsia"/>
          <w:color w:val="auto"/>
        </w:rPr>
        <w:t>部分</w:t>
      </w:r>
      <w:r w:rsidRPr="00BF4552">
        <w:rPr>
          <w:rFonts w:hAnsi="標楷體" w:hint="eastAsia"/>
          <w:color w:val="auto"/>
        </w:rPr>
        <w:t>，</w:t>
      </w:r>
      <w:r w:rsidRPr="00BF4552">
        <w:rPr>
          <w:rFonts w:hint="eastAsia"/>
          <w:color w:val="auto"/>
        </w:rPr>
        <w:t>內容與上開</w:t>
      </w:r>
      <w:r w:rsidR="00A01308" w:rsidRPr="00BF4552">
        <w:rPr>
          <w:rFonts w:hint="eastAsia"/>
          <w:color w:val="auto"/>
        </w:rPr>
        <w:t>臺北高等行政法院</w:t>
      </w:r>
      <w:r w:rsidRPr="00BF4552">
        <w:rPr>
          <w:rFonts w:hint="eastAsia"/>
          <w:color w:val="auto"/>
        </w:rPr>
        <w:t>102年度訴更一字第111號判決揭示之法律見解</w:t>
      </w:r>
      <w:r w:rsidRPr="00BF4552">
        <w:rPr>
          <w:rFonts w:hAnsi="標楷體" w:hint="eastAsia"/>
          <w:color w:val="auto"/>
        </w:rPr>
        <w:t>相同。</w:t>
      </w:r>
    </w:p>
    <w:p w:rsidR="009F1CB3" w:rsidRPr="00BF4552" w:rsidRDefault="009F1CB3" w:rsidP="00494B48">
      <w:pPr>
        <w:pStyle w:val="6"/>
        <w:numPr>
          <w:ilvl w:val="0"/>
          <w:numId w:val="39"/>
        </w:numPr>
        <w:ind w:left="2296" w:hanging="595"/>
        <w:rPr>
          <w:color w:val="auto"/>
        </w:rPr>
      </w:pPr>
      <w:r w:rsidRPr="00BF4552">
        <w:rPr>
          <w:rFonts w:hint="eastAsia"/>
          <w:color w:val="auto"/>
        </w:rPr>
        <w:t>校內辦法及聘約得為不予續聘教師之依據</w:t>
      </w:r>
      <w:r w:rsidRPr="00BF4552">
        <w:rPr>
          <w:rFonts w:hAnsi="標楷體" w:hint="eastAsia"/>
          <w:color w:val="auto"/>
        </w:rPr>
        <w:t>：</w:t>
      </w:r>
      <w:r w:rsidRPr="00BF4552">
        <w:rPr>
          <w:rFonts w:hint="eastAsia"/>
          <w:color w:val="auto"/>
        </w:rPr>
        <w:t>參加人93年9月22日修正通過聘任辦法第13條，將專任副教授6年未能升等，列為不予續聘事由，並載明於聘約，確係基於學術研究發展之需要，未逾參加人受憲法保障及大學法第19條所重申之大學自治範疇，自得作為參加人對於教師不予續聘之依據。</w:t>
      </w:r>
    </w:p>
    <w:p w:rsidR="009F1CB3" w:rsidRPr="00BF4552" w:rsidRDefault="009F1CB3" w:rsidP="00494B48">
      <w:pPr>
        <w:pStyle w:val="6"/>
        <w:numPr>
          <w:ilvl w:val="0"/>
          <w:numId w:val="39"/>
        </w:numPr>
        <w:ind w:left="2296" w:hanging="595"/>
        <w:rPr>
          <w:color w:val="auto"/>
        </w:rPr>
      </w:pPr>
      <w:r w:rsidRPr="00BF4552">
        <w:rPr>
          <w:rFonts w:hint="eastAsia"/>
          <w:color w:val="auto"/>
        </w:rPr>
        <w:t>教師違反大學自治章則及聘約約定之不續聘事由即構成違反聘約情節重大</w:t>
      </w:r>
      <w:r w:rsidRPr="00BF4552">
        <w:rPr>
          <w:rFonts w:hAnsi="標楷體" w:hint="eastAsia"/>
          <w:color w:val="auto"/>
        </w:rPr>
        <w:t>：</w:t>
      </w:r>
      <w:r w:rsidRPr="00BF4552">
        <w:rPr>
          <w:rFonts w:hint="eastAsia"/>
          <w:color w:val="auto"/>
        </w:rPr>
        <w:t>行為時教師法第14條第1項第8款後段，固規定教師違反</w:t>
      </w:r>
      <w:r w:rsidRPr="00BF4552">
        <w:rPr>
          <w:rFonts w:hint="eastAsia"/>
          <w:color w:val="auto"/>
        </w:rPr>
        <w:lastRenderedPageBreak/>
        <w:t>聘約必須情節重大始得不予續聘，惟該條文對所有公立及已立案私立學校之專任教師均有適用(同法第3條規定參照)，非以大學教師為唯一適用對象，且其開始施行時間係在大學法第19條實施前，對於大學為學術研究發展之需要，本於大學法第19條揭示憲法保障大學自治之權限，於章則及聘約內訂定不續聘事由，並以教師違反此等聘約所定義務為由，決議不予續聘時，是否仍須審酌該大學教師違反聘約情節已達重大程度，未及增設特別規定，則在前述教師法及大學法條文均為有效法律之情況下，判斷大學教師於上開情形是否符合「違反聘約情節重大」，必須尊重大學在憲法保障之自治權限下，基於學術考量所自訂對教師不續聘規定之效力，認為大學教師若確實違反類此大學自治規章及聘約約定，且不符合自治規章及聘約就該不續聘條款所設例外規定，復查無其係因天災、人禍，乃至其個人身體、家庭等因素，致無法遵守該自治規章及聘約約定者，即構成違反聘約情節重大。</w:t>
      </w:r>
    </w:p>
    <w:p w:rsidR="009F1CB3" w:rsidRPr="00BF4552" w:rsidRDefault="00A01308" w:rsidP="00441162">
      <w:pPr>
        <w:pStyle w:val="5"/>
        <w:rPr>
          <w:color w:val="auto"/>
        </w:rPr>
      </w:pPr>
      <w:r w:rsidRPr="00BF4552">
        <w:rPr>
          <w:rFonts w:hint="eastAsia"/>
          <w:color w:val="auto"/>
        </w:rPr>
        <w:t>最高行政法院</w:t>
      </w:r>
      <w:r w:rsidR="009F1CB3" w:rsidRPr="00BF4552">
        <w:rPr>
          <w:rFonts w:hint="eastAsia"/>
          <w:color w:val="auto"/>
        </w:rPr>
        <w:t>105年度判字第384號判決除廢棄第二次更審判決外</w:t>
      </w:r>
      <w:r w:rsidR="009F1CB3" w:rsidRPr="00BF4552">
        <w:rPr>
          <w:rFonts w:hAnsi="標楷體" w:hint="eastAsia"/>
          <w:color w:val="auto"/>
        </w:rPr>
        <w:t>，並逕予撤銷訴願決定及原處分，</w:t>
      </w:r>
      <w:r w:rsidR="009F1CB3" w:rsidRPr="00BF4552">
        <w:rPr>
          <w:rFonts w:hint="eastAsia"/>
          <w:color w:val="auto"/>
        </w:rPr>
        <w:t>理由略以</w:t>
      </w:r>
      <w:r w:rsidR="009F1CB3" w:rsidRPr="00BF4552">
        <w:rPr>
          <w:rFonts w:hAnsi="標楷體" w:hint="eastAsia"/>
          <w:color w:val="auto"/>
        </w:rPr>
        <w:t>：</w:t>
      </w:r>
    </w:p>
    <w:p w:rsidR="009F1CB3" w:rsidRPr="00BF4552" w:rsidRDefault="009F1CB3" w:rsidP="00494B48">
      <w:pPr>
        <w:pStyle w:val="6"/>
        <w:numPr>
          <w:ilvl w:val="0"/>
          <w:numId w:val="40"/>
        </w:numPr>
        <w:ind w:left="2324" w:hanging="581"/>
        <w:rPr>
          <w:color w:val="auto"/>
        </w:rPr>
      </w:pPr>
      <w:r w:rsidRPr="00BF4552">
        <w:rPr>
          <w:rFonts w:hint="eastAsia"/>
          <w:color w:val="auto"/>
        </w:rPr>
        <w:t>重申上開</w:t>
      </w:r>
      <w:r w:rsidR="00A01308" w:rsidRPr="00BF4552">
        <w:rPr>
          <w:rFonts w:hint="eastAsia"/>
          <w:color w:val="auto"/>
        </w:rPr>
        <w:t>最高行政法院</w:t>
      </w:r>
      <w:r w:rsidRPr="00BF4552">
        <w:rPr>
          <w:rFonts w:hint="eastAsia"/>
          <w:color w:val="auto"/>
        </w:rPr>
        <w:t>103年度判字第583號判決之法律見解</w:t>
      </w:r>
      <w:r w:rsidRPr="00BF4552">
        <w:rPr>
          <w:rFonts w:hAnsi="標楷體" w:hint="eastAsia"/>
          <w:color w:val="auto"/>
        </w:rPr>
        <w:t>。</w:t>
      </w:r>
    </w:p>
    <w:p w:rsidR="009F1CB3" w:rsidRPr="00BF4552" w:rsidRDefault="009F1CB3" w:rsidP="00494B48">
      <w:pPr>
        <w:pStyle w:val="6"/>
        <w:numPr>
          <w:ilvl w:val="0"/>
          <w:numId w:val="40"/>
        </w:numPr>
        <w:ind w:left="2324" w:hanging="581"/>
        <w:rPr>
          <w:color w:val="auto"/>
        </w:rPr>
      </w:pPr>
      <w:r w:rsidRPr="00BF4552">
        <w:rPr>
          <w:rFonts w:hint="eastAsia"/>
          <w:color w:val="auto"/>
        </w:rPr>
        <w:t>否定原判決主張教師符合聘約中不予續聘之條件即得不續聘之見解</w:t>
      </w:r>
      <w:r w:rsidRPr="00BF4552">
        <w:rPr>
          <w:rFonts w:hAnsi="標楷體" w:hint="eastAsia"/>
          <w:color w:val="auto"/>
        </w:rPr>
        <w:t>：</w:t>
      </w:r>
      <w:r w:rsidRPr="00BF4552">
        <w:rPr>
          <w:rFonts w:hint="eastAsia"/>
          <w:color w:val="auto"/>
        </w:rPr>
        <w:t>原判決認為參加人於聘任辦法第13條規定以「限期升等」作為決定續聘與否之標準，核屬「直接關涉教學、</w:t>
      </w:r>
      <w:r w:rsidRPr="00BF4552">
        <w:rPr>
          <w:rFonts w:hint="eastAsia"/>
          <w:color w:val="auto"/>
        </w:rPr>
        <w:lastRenderedPageBreak/>
        <w:t>研究之學術事項」之大學核心自治事項，而享有憲法保障之大學自治權限，參加人無待法律授權，本得自行訂定自治規章予以規定，法律亦不得加以限制或剝奪，不得以教師有工作權存在為由，認為有關大學續聘教師與否之標準，有法律保留原則之適用，自不生是否牴觸行為時教師法第14條第1項第8款後段規定之問題。此項見解無異認同參加人學校如將未依限期完成升等即不予續聘之約定納入聘約時，一旦教師符合此項條件，參加人學校即得予以不續聘，教評會無庸再就個案審酌教師未能依限完成升等之違約情節，是否已達情節重大之情形，核與本院發回判決所採見解顯有不同，自已違反行政訴訟法第260條第3項規定，而違背法令。</w:t>
      </w:r>
    </w:p>
    <w:p w:rsidR="009F1CB3" w:rsidRPr="00BF4552" w:rsidRDefault="009F1CB3" w:rsidP="00494B48">
      <w:pPr>
        <w:pStyle w:val="6"/>
        <w:numPr>
          <w:ilvl w:val="0"/>
          <w:numId w:val="40"/>
        </w:numPr>
        <w:ind w:left="2324" w:hanging="581"/>
        <w:rPr>
          <w:color w:val="auto"/>
        </w:rPr>
      </w:pPr>
      <w:r w:rsidRPr="00BF4552">
        <w:rPr>
          <w:rFonts w:hint="eastAsia"/>
          <w:color w:val="auto"/>
        </w:rPr>
        <w:t>教育部及行政法院均不得代大學教評會為教師違反聘約是否達情節重大之認定</w:t>
      </w:r>
      <w:r w:rsidRPr="00BF4552">
        <w:rPr>
          <w:rFonts w:hAnsi="標楷體" w:hint="eastAsia"/>
          <w:color w:val="auto"/>
        </w:rPr>
        <w:t>：</w:t>
      </w:r>
      <w:r w:rsidRPr="00BF4552">
        <w:rPr>
          <w:rFonts w:hint="eastAsia"/>
          <w:color w:val="auto"/>
        </w:rPr>
        <w:t>按大學教師違反聘約是否達情節重大程度，應就個案違反聘約之相關事由為判斷，所屬大學教評會對違反聘約情節是否重大具判斷餘地，其判斷之結果，在大學自治下，應予高度之尊重，惟其判斷理由，應於教評會審查時討論，決議時應說明其理由，教育部為主管機關，基於行政監督職責，得對之為適法性監督；行政法院為司法審查時，亦係為合法性審查，均不得代大學教評會為教師違反聘約是否達情節重大之認定。參加人院教評會及校教評會並未對上訴人未於6年內升等，是否違反聘約情節重大，予以審查，為原判決所確定之事實。依此事實，揆諸前開說明，參</w:t>
      </w:r>
      <w:r w:rsidRPr="00BF4552">
        <w:rPr>
          <w:rFonts w:hint="eastAsia"/>
          <w:color w:val="auto"/>
        </w:rPr>
        <w:lastRenderedPageBreak/>
        <w:t>加人校教評會為上訴人不續聘之決議，即有不合。</w:t>
      </w:r>
    </w:p>
    <w:p w:rsidR="008E594C" w:rsidRPr="00BF4552" w:rsidRDefault="008E594C" w:rsidP="008E594C">
      <w:pPr>
        <w:pStyle w:val="4"/>
        <w:rPr>
          <w:color w:val="auto"/>
        </w:rPr>
      </w:pPr>
      <w:r w:rsidRPr="00BF4552">
        <w:rPr>
          <w:rFonts w:hint="eastAsia"/>
          <w:color w:val="auto"/>
        </w:rPr>
        <w:t>某助理教授因未於6年期限內升等為副教授</w:t>
      </w:r>
      <w:r w:rsidRPr="00BF4552">
        <w:rPr>
          <w:rFonts w:hAnsi="標楷體" w:hint="eastAsia"/>
          <w:color w:val="auto"/>
        </w:rPr>
        <w:t>，</w:t>
      </w:r>
      <w:r w:rsidRPr="00BF4552">
        <w:rPr>
          <w:rFonts w:hint="eastAsia"/>
          <w:color w:val="auto"/>
        </w:rPr>
        <w:t>經學校於100年間決議不予續聘</w:t>
      </w:r>
      <w:r w:rsidRPr="00BF4552">
        <w:rPr>
          <w:rFonts w:hAnsi="標楷體" w:hint="eastAsia"/>
          <w:color w:val="auto"/>
        </w:rPr>
        <w:t>，</w:t>
      </w:r>
      <w:r w:rsidRPr="00BF4552">
        <w:rPr>
          <w:rFonts w:hint="eastAsia"/>
          <w:color w:val="auto"/>
        </w:rPr>
        <w:t>其不服提起行政訴訟</w:t>
      </w:r>
      <w:r w:rsidRPr="00BF4552">
        <w:rPr>
          <w:rFonts w:hAnsi="標楷體" w:hint="eastAsia"/>
          <w:color w:val="auto"/>
        </w:rPr>
        <w:t>，先後歷經</w:t>
      </w:r>
      <w:r w:rsidR="00A01308" w:rsidRPr="00BF4552">
        <w:rPr>
          <w:rFonts w:hint="eastAsia"/>
          <w:color w:val="auto"/>
        </w:rPr>
        <w:t>臺北高等行政法院</w:t>
      </w:r>
      <w:r w:rsidRPr="00BF4552">
        <w:rPr>
          <w:rFonts w:hint="eastAsia"/>
          <w:color w:val="auto"/>
        </w:rPr>
        <w:t>及</w:t>
      </w:r>
      <w:r w:rsidR="00A01308" w:rsidRPr="00BF4552">
        <w:rPr>
          <w:rFonts w:hint="eastAsia"/>
          <w:color w:val="auto"/>
        </w:rPr>
        <w:t>最高行政法院</w:t>
      </w:r>
      <w:r w:rsidRPr="00BF4552">
        <w:rPr>
          <w:rFonts w:hint="eastAsia"/>
          <w:color w:val="auto"/>
        </w:rPr>
        <w:t>(第三庭)4次審理</w:t>
      </w:r>
      <w:r w:rsidRPr="00BF4552">
        <w:rPr>
          <w:rFonts w:hAnsi="標楷體" w:hint="eastAsia"/>
          <w:color w:val="auto"/>
        </w:rPr>
        <w:t>，最後判決教育部敗訴，</w:t>
      </w:r>
      <w:r w:rsidRPr="00BF4552">
        <w:rPr>
          <w:rFonts w:hint="eastAsia"/>
          <w:color w:val="auto"/>
        </w:rPr>
        <w:t>說明如下</w:t>
      </w:r>
      <w:r w:rsidRPr="00BF4552">
        <w:rPr>
          <w:rFonts w:hAnsi="標楷體" w:hint="eastAsia"/>
          <w:color w:val="auto"/>
        </w:rPr>
        <w:t>：</w:t>
      </w:r>
    </w:p>
    <w:p w:rsidR="008E594C" w:rsidRPr="00BF4552" w:rsidRDefault="00A01308" w:rsidP="00441162">
      <w:pPr>
        <w:pStyle w:val="5"/>
        <w:rPr>
          <w:color w:val="auto"/>
        </w:rPr>
      </w:pPr>
      <w:r w:rsidRPr="00BF4552">
        <w:rPr>
          <w:rFonts w:hint="eastAsia"/>
          <w:color w:val="auto"/>
        </w:rPr>
        <w:t>臺北高等行政法院</w:t>
      </w:r>
      <w:r w:rsidR="008E594C" w:rsidRPr="00BF4552">
        <w:rPr>
          <w:rFonts w:hint="eastAsia"/>
          <w:color w:val="auto"/>
        </w:rPr>
        <w:t>101年度訴字第1189號判決駁回原告之訴</w:t>
      </w:r>
      <w:r w:rsidR="008E594C" w:rsidRPr="00BF4552">
        <w:rPr>
          <w:rFonts w:hAnsi="標楷體" w:hint="eastAsia"/>
          <w:color w:val="auto"/>
        </w:rPr>
        <w:t>，</w:t>
      </w:r>
      <w:r w:rsidR="008E594C" w:rsidRPr="00BF4552">
        <w:rPr>
          <w:rFonts w:hint="eastAsia"/>
          <w:color w:val="auto"/>
        </w:rPr>
        <w:t>理由略以</w:t>
      </w:r>
      <w:r w:rsidR="008E594C" w:rsidRPr="00BF4552">
        <w:rPr>
          <w:rFonts w:hAnsi="標楷體" w:hint="eastAsia"/>
          <w:color w:val="auto"/>
        </w:rPr>
        <w:t>：</w:t>
      </w:r>
    </w:p>
    <w:p w:rsidR="00AE2DA8" w:rsidRPr="00BF4552" w:rsidRDefault="00AE2DA8" w:rsidP="00494B48">
      <w:pPr>
        <w:pStyle w:val="6"/>
        <w:numPr>
          <w:ilvl w:val="0"/>
          <w:numId w:val="41"/>
        </w:numPr>
        <w:ind w:left="2338" w:hanging="637"/>
        <w:rPr>
          <w:color w:val="auto"/>
        </w:rPr>
      </w:pPr>
      <w:r w:rsidRPr="00BF4552">
        <w:rPr>
          <w:rFonts w:hint="eastAsia"/>
          <w:color w:val="auto"/>
        </w:rPr>
        <w:t>原告應遵守學校基於大學自主所訂定關於教師權利義務之規定：大學法第19條修正公布施行前，學校基於大學自主所訂定教師權利義務之章則，如符合上開規定及立法理由，亦即所定教師停聘或不續聘之事由，係基於學術研究發展需要，且經校務會議審議通過，自得適用。況教師之升等，有助於維持學術研究與教學之品質，大學教師升等資格之審查，係就申請人專業學術能力及成就作評量，關係大學教師素質與大學教學、研究水準。本件原告受聘時之聘約第14條，已明白約定：「……其他未載明事項依教育相關法令及本校教師聘任待遇服務等辦法辦理」，再依聘任待遇服務辦法第13條規定專任助理教授、副教授6年未能升等者，不予續聘，自屬基於學術研究發展需要，且該辦法經校務會議通過，原告自應遵守。</w:t>
      </w:r>
    </w:p>
    <w:p w:rsidR="008E594C" w:rsidRPr="00BF4552" w:rsidRDefault="00AE2DA8" w:rsidP="00494B48">
      <w:pPr>
        <w:pStyle w:val="6"/>
        <w:numPr>
          <w:ilvl w:val="0"/>
          <w:numId w:val="41"/>
        </w:numPr>
        <w:ind w:left="2338" w:hanging="637"/>
        <w:rPr>
          <w:color w:val="auto"/>
        </w:rPr>
      </w:pPr>
      <w:r w:rsidRPr="00BF4552">
        <w:rPr>
          <w:rFonts w:hint="eastAsia"/>
          <w:color w:val="auto"/>
        </w:rPr>
        <w:t>尊重學校判斷餘地</w:t>
      </w:r>
      <w:r w:rsidRPr="00BF4552">
        <w:rPr>
          <w:rFonts w:hAnsi="標楷體" w:hint="eastAsia"/>
          <w:color w:val="auto"/>
        </w:rPr>
        <w:t>：</w:t>
      </w:r>
      <w:r w:rsidRPr="00BF4552">
        <w:rPr>
          <w:rFonts w:hint="eastAsia"/>
          <w:color w:val="auto"/>
        </w:rPr>
        <w:t>內容同上開</w:t>
      </w:r>
      <w:r w:rsidR="00A01308" w:rsidRPr="00BF4552">
        <w:rPr>
          <w:rFonts w:hint="eastAsia"/>
          <w:color w:val="auto"/>
        </w:rPr>
        <w:t>臺北高等行政法院</w:t>
      </w:r>
      <w:r w:rsidRPr="00BF4552">
        <w:rPr>
          <w:rFonts w:hint="eastAsia"/>
          <w:color w:val="auto"/>
        </w:rPr>
        <w:t>102年度訴更一字第111號判決</w:t>
      </w:r>
      <w:r w:rsidRPr="00BF4552">
        <w:rPr>
          <w:rFonts w:hAnsi="標楷體" w:hint="eastAsia"/>
          <w:color w:val="auto"/>
        </w:rPr>
        <w:t>。</w:t>
      </w:r>
    </w:p>
    <w:p w:rsidR="00055F97" w:rsidRPr="00BF4552" w:rsidRDefault="00A01308" w:rsidP="00441162">
      <w:pPr>
        <w:pStyle w:val="5"/>
        <w:rPr>
          <w:color w:val="auto"/>
        </w:rPr>
      </w:pPr>
      <w:r w:rsidRPr="00BF4552">
        <w:rPr>
          <w:rFonts w:hint="eastAsia"/>
          <w:color w:val="auto"/>
        </w:rPr>
        <w:t>最高行政法院</w:t>
      </w:r>
      <w:r w:rsidR="00055F97" w:rsidRPr="00BF4552">
        <w:rPr>
          <w:rFonts w:hint="eastAsia"/>
          <w:color w:val="auto"/>
        </w:rPr>
        <w:t>103年度判字第290號判決廢棄原判決</w:t>
      </w:r>
      <w:r w:rsidR="00055F97" w:rsidRPr="00BF4552">
        <w:rPr>
          <w:rFonts w:hAnsi="標楷體" w:hint="eastAsia"/>
          <w:color w:val="auto"/>
        </w:rPr>
        <w:t>，</w:t>
      </w:r>
      <w:r w:rsidR="00055F97" w:rsidRPr="00BF4552">
        <w:rPr>
          <w:rFonts w:hint="eastAsia"/>
          <w:color w:val="auto"/>
        </w:rPr>
        <w:t>理由略以</w:t>
      </w:r>
      <w:r w:rsidR="00055F97" w:rsidRPr="00BF4552">
        <w:rPr>
          <w:rFonts w:hAnsi="標楷體" w:hint="eastAsia"/>
          <w:color w:val="auto"/>
        </w:rPr>
        <w:t>：</w:t>
      </w:r>
    </w:p>
    <w:p w:rsidR="00055F97" w:rsidRPr="00BF4552" w:rsidRDefault="00055F97" w:rsidP="00494B48">
      <w:pPr>
        <w:pStyle w:val="6"/>
        <w:numPr>
          <w:ilvl w:val="0"/>
          <w:numId w:val="42"/>
        </w:numPr>
        <w:ind w:left="2352" w:hanging="651"/>
        <w:rPr>
          <w:color w:val="auto"/>
        </w:rPr>
      </w:pPr>
      <w:r w:rsidRPr="00BF4552">
        <w:rPr>
          <w:rFonts w:hint="eastAsia"/>
          <w:color w:val="auto"/>
        </w:rPr>
        <w:lastRenderedPageBreak/>
        <w:t>大學法第19條之增訂僅係確認大學之自治權限</w:t>
      </w:r>
      <w:r w:rsidRPr="00BF4552">
        <w:rPr>
          <w:rFonts w:hAnsi="標楷體" w:hint="eastAsia"/>
          <w:color w:val="auto"/>
        </w:rPr>
        <w:t>：</w:t>
      </w:r>
      <w:r w:rsidRPr="00BF4552">
        <w:rPr>
          <w:rFonts w:hint="eastAsia"/>
          <w:color w:val="auto"/>
        </w:rPr>
        <w:t>凡「直接涉及研究與教學之學術重要事項」與「有關大學內部組織、教師聘任及評鑑」，亦為大學之自治權限，是大學基於學術責任及追求卓越之要求，在不違反大學教學、研究與服務目的之情形下，自得於其「學校章則」中訂定教師停聘或不續聘之規定，經校務會議審議通過後實施，並納入聘約。94年12月28日修正增訂前述大學法第19條規定條文，僅在確認大學具有該部分之自治權限，並不因該條文之增訂影響前經合法程序所為符合大學自治精神而訂定之各大學學校章則的適用。</w:t>
      </w:r>
    </w:p>
    <w:p w:rsidR="00055F97" w:rsidRPr="00BF4552" w:rsidRDefault="00055F97" w:rsidP="00494B48">
      <w:pPr>
        <w:pStyle w:val="6"/>
        <w:numPr>
          <w:ilvl w:val="0"/>
          <w:numId w:val="42"/>
        </w:numPr>
        <w:ind w:left="2352" w:hanging="651"/>
        <w:rPr>
          <w:color w:val="auto"/>
        </w:rPr>
      </w:pPr>
      <w:r w:rsidRPr="00BF4552">
        <w:rPr>
          <w:rFonts w:hint="eastAsia"/>
          <w:color w:val="auto"/>
        </w:rPr>
        <w:t>大學因教師「違反聘約『情節重大』」予以停聘或不續聘須多方考量：選擇職業自由為人民充實生活內涵及自由發展人格所必要；工作權是實現其他人權的根本所在，並構成人的尊嚴的不可分割和固有的一部分；而大學自治係對學術自由之制度性保障，學術自由與教育之發展具有密切之關係；另人民享有接受各階段教育公平機會之「受教權利」，也是實現其他人權不可或缺的手段，均為憲法所保障。是「大學」因教師「違反聘約『情節重大』」予以停聘或不續聘，除各大學訂定之學校章則關於教師停聘、不續聘納入契約之規定內容應符合大學自治之範疇，及應衡酌、考量學生受教權、憲法教育目的與教師選擇職業自由之平衡外；該教師違反聘約是否「情節重大」，並應審查公益性、必要性、符合比例原則、符合正當法律程序。</w:t>
      </w:r>
    </w:p>
    <w:p w:rsidR="00055F97" w:rsidRPr="00BF4552" w:rsidRDefault="00055F97" w:rsidP="00494B48">
      <w:pPr>
        <w:pStyle w:val="6"/>
        <w:numPr>
          <w:ilvl w:val="0"/>
          <w:numId w:val="42"/>
        </w:numPr>
        <w:ind w:left="2352" w:hanging="651"/>
        <w:rPr>
          <w:color w:val="auto"/>
        </w:rPr>
      </w:pPr>
      <w:r w:rsidRPr="00BF4552">
        <w:rPr>
          <w:rFonts w:hint="eastAsia"/>
          <w:color w:val="auto"/>
        </w:rPr>
        <w:lastRenderedPageBreak/>
        <w:t>各級教評會均無違反系爭聘約情節是否重大之記載：依卷附「系教評會」、「院教評會」、「校教評會」會議紀錄記載，皆僅載明各該次教評會就上訴人不續聘案之投票(票數)結果，並無各該級教評會審查、評斷有關上訴人違反系爭聘約「限年升等條款」約定其情節是否重大之記載。揆諸前揭說明，原審對攸關上訴人違反系爭聘約「未於6年內升等(副教授)」約定是否已達情節重大之程度；訴外人校教評會對上訴人為不續聘之決議，是否合於教師法第14條第1項第8款所規定之要件，及被上訴人(教育部)核准訴外人不續聘上訴人之處分有無違法等事實，未為審查判斷，於法亦有未合。</w:t>
      </w:r>
    </w:p>
    <w:p w:rsidR="00055F97" w:rsidRPr="00BF4552" w:rsidRDefault="008577B8" w:rsidP="00441162">
      <w:pPr>
        <w:pStyle w:val="5"/>
        <w:rPr>
          <w:color w:val="auto"/>
        </w:rPr>
      </w:pPr>
      <w:r w:rsidRPr="00BF4552">
        <w:rPr>
          <w:rFonts w:hint="eastAsia"/>
          <w:color w:val="auto"/>
        </w:rPr>
        <w:t>發回更審後作成之</w:t>
      </w:r>
      <w:r w:rsidR="00A01308" w:rsidRPr="00BF4552">
        <w:rPr>
          <w:rFonts w:hint="eastAsia"/>
          <w:color w:val="auto"/>
        </w:rPr>
        <w:t>臺北高等行政法院</w:t>
      </w:r>
      <w:r w:rsidRPr="00BF4552">
        <w:rPr>
          <w:rFonts w:hint="eastAsia"/>
          <w:color w:val="auto"/>
        </w:rPr>
        <w:t>103年度訴更一字第71號判決</w:t>
      </w:r>
      <w:r w:rsidRPr="00BF4552">
        <w:rPr>
          <w:rFonts w:hAnsi="標楷體" w:hint="eastAsia"/>
          <w:color w:val="auto"/>
        </w:rPr>
        <w:t>，則</w:t>
      </w:r>
      <w:r w:rsidRPr="00BF4552">
        <w:rPr>
          <w:rFonts w:hint="eastAsia"/>
          <w:color w:val="auto"/>
        </w:rPr>
        <w:t>採納上開</w:t>
      </w:r>
      <w:r w:rsidR="00A01308" w:rsidRPr="00BF4552">
        <w:rPr>
          <w:rFonts w:hint="eastAsia"/>
          <w:color w:val="auto"/>
        </w:rPr>
        <w:t>最高行政法院</w:t>
      </w:r>
      <w:r w:rsidRPr="00BF4552">
        <w:rPr>
          <w:rFonts w:hint="eastAsia"/>
          <w:color w:val="auto"/>
        </w:rPr>
        <w:t>之法律見解</w:t>
      </w:r>
      <w:r w:rsidRPr="00BF4552">
        <w:rPr>
          <w:rFonts w:hAnsi="標楷體" w:hint="eastAsia"/>
          <w:color w:val="auto"/>
        </w:rPr>
        <w:t>，將訴願決定及原處分均撤銷，</w:t>
      </w:r>
      <w:r w:rsidRPr="00BF4552">
        <w:rPr>
          <w:rFonts w:hint="eastAsia"/>
          <w:color w:val="auto"/>
        </w:rPr>
        <w:t>理由略以</w:t>
      </w:r>
      <w:r w:rsidRPr="00BF4552">
        <w:rPr>
          <w:rFonts w:hAnsi="標楷體" w:hint="eastAsia"/>
          <w:color w:val="auto"/>
        </w:rPr>
        <w:t>：</w:t>
      </w:r>
    </w:p>
    <w:p w:rsidR="008577B8" w:rsidRPr="00BF4552" w:rsidRDefault="008577B8" w:rsidP="00494B48">
      <w:pPr>
        <w:pStyle w:val="6"/>
        <w:numPr>
          <w:ilvl w:val="0"/>
          <w:numId w:val="43"/>
        </w:numPr>
        <w:ind w:left="2268" w:hanging="567"/>
        <w:rPr>
          <w:color w:val="auto"/>
        </w:rPr>
      </w:pPr>
      <w:r w:rsidRPr="00BF4552">
        <w:rPr>
          <w:rFonts w:hint="eastAsia"/>
          <w:color w:val="auto"/>
        </w:rPr>
        <w:t>是否確屬情節重大屬事實認定問題而非單純判斷餘地：教師違反聘約而「情節重大」者，仍應就個案判斷教師違反約款之情事是否確屬情節重大，核屬事實認定問題，自應本於客觀證據證明之，而被告於原處分作成時，如因關於「教師違反聘約而情節重大」事實欠缺客觀證據支持時，其認定事實即難謂無錯誤情形，即非單純判斷餘地範圍，而應受法院合法性之審查。</w:t>
      </w:r>
    </w:p>
    <w:p w:rsidR="008577B8" w:rsidRPr="00BF4552" w:rsidRDefault="008577B8" w:rsidP="00494B48">
      <w:pPr>
        <w:pStyle w:val="6"/>
        <w:numPr>
          <w:ilvl w:val="0"/>
          <w:numId w:val="43"/>
        </w:numPr>
        <w:ind w:left="2268" w:hanging="567"/>
        <w:rPr>
          <w:color w:val="auto"/>
        </w:rPr>
      </w:pPr>
      <w:r w:rsidRPr="00BF4552">
        <w:rPr>
          <w:rFonts w:hint="eastAsia"/>
          <w:color w:val="auto"/>
        </w:rPr>
        <w:t>教育部未為相關事實之審查判斷：被告對原告是否違反系爭聘約「未於6年內升等(副教授)」約定是否已達情節重大之程度、校教評</w:t>
      </w:r>
      <w:r w:rsidRPr="00BF4552">
        <w:rPr>
          <w:rFonts w:hint="eastAsia"/>
          <w:color w:val="auto"/>
        </w:rPr>
        <w:lastRenderedPageBreak/>
        <w:t>會對原告為不續聘之決議，是否合於教師法第14條第1項第8款所規定之要件，及被告核准參加人不續聘原告之處分有無違法等事實，既未為審查判斷，於法自有不合。</w:t>
      </w:r>
    </w:p>
    <w:p w:rsidR="008577B8" w:rsidRPr="00BF4552" w:rsidRDefault="00A01308" w:rsidP="00441162">
      <w:pPr>
        <w:pStyle w:val="5"/>
        <w:rPr>
          <w:color w:val="auto"/>
        </w:rPr>
      </w:pPr>
      <w:r w:rsidRPr="00BF4552">
        <w:rPr>
          <w:rFonts w:hint="eastAsia"/>
          <w:color w:val="auto"/>
        </w:rPr>
        <w:t>最高行政法院</w:t>
      </w:r>
      <w:r w:rsidR="008577B8" w:rsidRPr="00BF4552">
        <w:rPr>
          <w:rFonts w:hint="eastAsia"/>
          <w:color w:val="auto"/>
        </w:rPr>
        <w:t>105年度判字第280號判決維持更審判決</w:t>
      </w:r>
      <w:r w:rsidR="008577B8" w:rsidRPr="00BF4552">
        <w:rPr>
          <w:rFonts w:hAnsi="標楷體" w:hint="eastAsia"/>
          <w:color w:val="auto"/>
        </w:rPr>
        <w:t>，駁回教育部提起之上訴。</w:t>
      </w:r>
    </w:p>
    <w:p w:rsidR="008577B8" w:rsidRPr="00BF4552" w:rsidRDefault="008577B8" w:rsidP="008577B8">
      <w:pPr>
        <w:pStyle w:val="4"/>
        <w:rPr>
          <w:color w:val="auto"/>
        </w:rPr>
      </w:pPr>
      <w:r w:rsidRPr="00BF4552">
        <w:rPr>
          <w:rFonts w:hint="eastAsia"/>
          <w:color w:val="auto"/>
        </w:rPr>
        <w:t>某副教授因未於6年期限內升等為教授</w:t>
      </w:r>
      <w:r w:rsidRPr="00BF4552">
        <w:rPr>
          <w:rFonts w:hAnsi="標楷體" w:hint="eastAsia"/>
          <w:color w:val="auto"/>
        </w:rPr>
        <w:t>，</w:t>
      </w:r>
      <w:r w:rsidRPr="00BF4552">
        <w:rPr>
          <w:rFonts w:hint="eastAsia"/>
          <w:color w:val="auto"/>
        </w:rPr>
        <w:t>經學校於101年間決議不予續聘</w:t>
      </w:r>
      <w:r w:rsidRPr="00BF4552">
        <w:rPr>
          <w:rFonts w:hAnsi="標楷體" w:hint="eastAsia"/>
          <w:color w:val="auto"/>
        </w:rPr>
        <w:t>，</w:t>
      </w:r>
      <w:r w:rsidRPr="00BF4552">
        <w:rPr>
          <w:rFonts w:hint="eastAsia"/>
          <w:color w:val="auto"/>
        </w:rPr>
        <w:t>其不服提起行政訴訟</w:t>
      </w:r>
      <w:r w:rsidRPr="00BF4552">
        <w:rPr>
          <w:rFonts w:hAnsi="標楷體" w:hint="eastAsia"/>
          <w:color w:val="auto"/>
        </w:rPr>
        <w:t>，先後歷經</w:t>
      </w:r>
      <w:r w:rsidR="00A01308" w:rsidRPr="00BF4552">
        <w:rPr>
          <w:rFonts w:hint="eastAsia"/>
          <w:color w:val="auto"/>
        </w:rPr>
        <w:t>臺北高等行政法院</w:t>
      </w:r>
      <w:r w:rsidRPr="00BF4552">
        <w:rPr>
          <w:rFonts w:hint="eastAsia"/>
          <w:color w:val="auto"/>
        </w:rPr>
        <w:t>及</w:t>
      </w:r>
      <w:r w:rsidR="00A01308" w:rsidRPr="00BF4552">
        <w:rPr>
          <w:rFonts w:hint="eastAsia"/>
          <w:color w:val="auto"/>
        </w:rPr>
        <w:t>最高行政法院</w:t>
      </w:r>
      <w:r w:rsidRPr="00BF4552">
        <w:rPr>
          <w:rFonts w:hint="eastAsia"/>
          <w:color w:val="auto"/>
        </w:rPr>
        <w:t>(第三庭)4次審理</w:t>
      </w:r>
      <w:r w:rsidRPr="00BF4552">
        <w:rPr>
          <w:rFonts w:hAnsi="標楷體" w:hint="eastAsia"/>
          <w:color w:val="auto"/>
        </w:rPr>
        <w:t>，最後判決教育部敗訴，</w:t>
      </w:r>
      <w:r w:rsidRPr="00BF4552">
        <w:rPr>
          <w:rFonts w:hint="eastAsia"/>
          <w:color w:val="auto"/>
        </w:rPr>
        <w:t>說明如下</w:t>
      </w:r>
      <w:r w:rsidRPr="00BF4552">
        <w:rPr>
          <w:rFonts w:hAnsi="標楷體" w:hint="eastAsia"/>
          <w:color w:val="auto"/>
        </w:rPr>
        <w:t>：</w:t>
      </w:r>
    </w:p>
    <w:p w:rsidR="008577B8" w:rsidRPr="00BF4552" w:rsidRDefault="00A01308" w:rsidP="00441162">
      <w:pPr>
        <w:pStyle w:val="5"/>
        <w:rPr>
          <w:color w:val="auto"/>
        </w:rPr>
      </w:pPr>
      <w:r w:rsidRPr="00BF4552">
        <w:rPr>
          <w:rFonts w:hint="eastAsia"/>
          <w:color w:val="auto"/>
        </w:rPr>
        <w:t>臺北高等行政法院</w:t>
      </w:r>
      <w:r w:rsidR="008577B8" w:rsidRPr="00BF4552">
        <w:rPr>
          <w:rFonts w:hint="eastAsia"/>
          <w:color w:val="auto"/>
        </w:rPr>
        <w:t>102年度訴字第782號判決駁回原告之訴</w:t>
      </w:r>
      <w:r w:rsidR="008577B8" w:rsidRPr="00BF4552">
        <w:rPr>
          <w:rFonts w:hAnsi="標楷體" w:hint="eastAsia"/>
          <w:color w:val="auto"/>
        </w:rPr>
        <w:t>，</w:t>
      </w:r>
      <w:r w:rsidR="008577B8" w:rsidRPr="00BF4552">
        <w:rPr>
          <w:rFonts w:hint="eastAsia"/>
          <w:color w:val="auto"/>
        </w:rPr>
        <w:t>理由略以</w:t>
      </w:r>
      <w:r w:rsidR="008577B8" w:rsidRPr="00BF4552">
        <w:rPr>
          <w:rFonts w:hAnsi="標楷體" w:hint="eastAsia"/>
          <w:color w:val="auto"/>
        </w:rPr>
        <w:t>：</w:t>
      </w:r>
    </w:p>
    <w:p w:rsidR="008577B8" w:rsidRPr="00BF4552" w:rsidRDefault="008577B8" w:rsidP="00494B48">
      <w:pPr>
        <w:pStyle w:val="6"/>
        <w:numPr>
          <w:ilvl w:val="0"/>
          <w:numId w:val="44"/>
        </w:numPr>
        <w:ind w:left="2268" w:hanging="567"/>
        <w:rPr>
          <w:color w:val="auto"/>
        </w:rPr>
      </w:pPr>
      <w:r w:rsidRPr="00BF4552">
        <w:rPr>
          <w:rFonts w:hint="eastAsia"/>
          <w:color w:val="auto"/>
        </w:rPr>
        <w:t>重申大學法第19條之規定，僅屬「確認」性質之規範，即縱無此規定，大學本於憲法賦與之自治權，仍得經校務會議審議通過學校章則，對教師權利義務予以規定，並基於學術研究發展需要，另定教師停聘或不續聘之規定。</w:t>
      </w:r>
    </w:p>
    <w:p w:rsidR="008577B8" w:rsidRPr="00BF4552" w:rsidRDefault="008577B8" w:rsidP="00494B48">
      <w:pPr>
        <w:pStyle w:val="6"/>
        <w:numPr>
          <w:ilvl w:val="0"/>
          <w:numId w:val="44"/>
        </w:numPr>
        <w:ind w:left="2268" w:hanging="567"/>
        <w:rPr>
          <w:color w:val="auto"/>
        </w:rPr>
      </w:pPr>
      <w:r w:rsidRPr="00BF4552">
        <w:rPr>
          <w:rFonts w:hint="eastAsia"/>
          <w:color w:val="auto"/>
        </w:rPr>
        <w:t>保障大學自治僅限適法監督：大學自治乃為落實學術自由，是憲法上所保障的一種制度，直接可由學術自由所引出的保護法益，具有憲法位階之效力。基此，國家立法限制大學自治，係依憲法第23條而來的例外，行政機關只能根據法律監督大學。故保障大學自治的核心，便是要把行政機關的監督權侷限在適法監督，尚不及於適當監督。而法院對於行政機關此監督權行使違法與否的判斷，與其強調審查監督權是否確實行使，毋寧謂應著重於審查監督權是否逾越適法監督之權限。易言之，被告對於大學以「違反聘</w:t>
      </w:r>
      <w:r w:rsidRPr="00BF4552">
        <w:rPr>
          <w:rFonts w:hint="eastAsia"/>
          <w:color w:val="auto"/>
        </w:rPr>
        <w:lastRenderedPageBreak/>
        <w:t>約情節重大」為由不續聘教師之行為，適法與否之審查，除非聘約原約定事項有挾大學自治之名，而為控制大學教師講學自由之實；或擔任大學自治團體之意思決定機構，如教評會組織不合法、決議違反正當程序，以及決議出於錯誤之事實認定或錯誤之資訊、違反一般公認之價值判斷標準等情事外，其決定被告均應予以尊重，避免過度介入。而本院審查被告核准處分合法與否，即係審查被告就大學教評會決議之監督，是否善盡並恪守上開分際。</w:t>
      </w:r>
    </w:p>
    <w:p w:rsidR="008577B8" w:rsidRPr="00BF4552" w:rsidRDefault="008577B8" w:rsidP="00494B48">
      <w:pPr>
        <w:pStyle w:val="6"/>
        <w:numPr>
          <w:ilvl w:val="0"/>
          <w:numId w:val="44"/>
        </w:numPr>
        <w:ind w:left="2268" w:hanging="567"/>
        <w:rPr>
          <w:color w:val="auto"/>
        </w:rPr>
      </w:pPr>
      <w:r w:rsidRPr="00BF4552">
        <w:rPr>
          <w:rFonts w:hint="eastAsia"/>
          <w:color w:val="auto"/>
        </w:rPr>
        <w:t>尊重學校之專業判斷</w:t>
      </w:r>
      <w:r w:rsidRPr="00BF4552">
        <w:rPr>
          <w:rFonts w:hAnsi="標楷體" w:hint="eastAsia"/>
          <w:color w:val="auto"/>
        </w:rPr>
        <w:t>：</w:t>
      </w:r>
      <w:r w:rsidRPr="00BF4552">
        <w:rPr>
          <w:rFonts w:hint="eastAsia"/>
          <w:color w:val="auto"/>
        </w:rPr>
        <w:t>本件原告6年未完成升等，經參加人校評會審酌認定為違約情節重大而不予續聘，乃為大學自治之核心事項，原處分既已充分審核系爭不續聘案作成並無程序違法，且尊重參加人校教評會對於具體個案是否有違約情節重大之判斷，展現行政機關對大學自治此一憲法基本權行使之自我克制。原告所述各節，經核尚難認參加人校教評會之判斷有違反正當程序、出於錯誤事實、違反一般公認之價值判斷標準等恣意、濫用或其他違法情事，是其決議自應予以尊重。</w:t>
      </w:r>
    </w:p>
    <w:p w:rsidR="008577B8" w:rsidRPr="00BF4552" w:rsidRDefault="00A01308" w:rsidP="00441162">
      <w:pPr>
        <w:pStyle w:val="5"/>
        <w:rPr>
          <w:color w:val="auto"/>
        </w:rPr>
      </w:pPr>
      <w:r w:rsidRPr="00BF4552">
        <w:rPr>
          <w:rFonts w:hint="eastAsia"/>
          <w:color w:val="auto"/>
        </w:rPr>
        <w:t>最高行政法院</w:t>
      </w:r>
      <w:r w:rsidR="008577B8" w:rsidRPr="00BF4552">
        <w:rPr>
          <w:rFonts w:hint="eastAsia"/>
          <w:color w:val="auto"/>
        </w:rPr>
        <w:t>103年度判字第501號判決將原判決廢棄發回更審</w:t>
      </w:r>
      <w:r w:rsidR="008577B8" w:rsidRPr="00BF4552">
        <w:rPr>
          <w:rFonts w:hAnsi="標楷體" w:hint="eastAsia"/>
          <w:color w:val="auto"/>
        </w:rPr>
        <w:t>，</w:t>
      </w:r>
      <w:r w:rsidR="008577B8" w:rsidRPr="00BF4552">
        <w:rPr>
          <w:rFonts w:hint="eastAsia"/>
          <w:color w:val="auto"/>
        </w:rPr>
        <w:t>理由與上開</w:t>
      </w:r>
      <w:r w:rsidRPr="00BF4552">
        <w:rPr>
          <w:rFonts w:hint="eastAsia"/>
          <w:color w:val="auto"/>
        </w:rPr>
        <w:t>最高行政法院</w:t>
      </w:r>
      <w:r w:rsidR="008577B8" w:rsidRPr="00BF4552">
        <w:rPr>
          <w:rFonts w:hint="eastAsia"/>
          <w:color w:val="auto"/>
        </w:rPr>
        <w:t>103年判字第583號判決大致相同</w:t>
      </w:r>
      <w:r w:rsidR="008577B8" w:rsidRPr="00BF4552">
        <w:rPr>
          <w:rFonts w:hAnsi="標楷體" w:hint="eastAsia"/>
          <w:color w:val="auto"/>
        </w:rPr>
        <w:t>。</w:t>
      </w:r>
    </w:p>
    <w:p w:rsidR="008577B8" w:rsidRPr="00BF4552" w:rsidRDefault="008577B8" w:rsidP="00441162">
      <w:pPr>
        <w:pStyle w:val="5"/>
        <w:rPr>
          <w:color w:val="auto"/>
        </w:rPr>
      </w:pPr>
      <w:r w:rsidRPr="00BF4552">
        <w:rPr>
          <w:rFonts w:hint="eastAsia"/>
          <w:color w:val="auto"/>
        </w:rPr>
        <w:t>發回更審後作成之</w:t>
      </w:r>
      <w:r w:rsidR="00A01308" w:rsidRPr="00BF4552">
        <w:rPr>
          <w:rFonts w:hint="eastAsia"/>
          <w:color w:val="auto"/>
        </w:rPr>
        <w:t>臺北高等行政法院</w:t>
      </w:r>
      <w:r w:rsidRPr="00BF4552">
        <w:rPr>
          <w:rFonts w:hint="eastAsia"/>
          <w:color w:val="auto"/>
        </w:rPr>
        <w:t>103年度訴更一字第106號判決</w:t>
      </w:r>
      <w:r w:rsidRPr="00BF4552">
        <w:rPr>
          <w:rFonts w:hAnsi="標楷體" w:hint="eastAsia"/>
          <w:color w:val="auto"/>
        </w:rPr>
        <w:t>，並未</w:t>
      </w:r>
      <w:r w:rsidRPr="00BF4552">
        <w:rPr>
          <w:rFonts w:hint="eastAsia"/>
          <w:color w:val="auto"/>
        </w:rPr>
        <w:t>採納上開</w:t>
      </w:r>
      <w:r w:rsidR="00A01308" w:rsidRPr="00BF4552">
        <w:rPr>
          <w:rFonts w:hint="eastAsia"/>
          <w:color w:val="auto"/>
        </w:rPr>
        <w:t>最高行政法院</w:t>
      </w:r>
      <w:r w:rsidRPr="00BF4552">
        <w:rPr>
          <w:rFonts w:hint="eastAsia"/>
          <w:color w:val="auto"/>
        </w:rPr>
        <w:t>103年度判字第617號判決揭示之法律見解</w:t>
      </w:r>
      <w:r w:rsidRPr="00BF4552">
        <w:rPr>
          <w:rFonts w:hAnsi="標楷體" w:hint="eastAsia"/>
          <w:color w:val="auto"/>
        </w:rPr>
        <w:t>，</w:t>
      </w:r>
      <w:r w:rsidRPr="00BF4552">
        <w:rPr>
          <w:rFonts w:hint="eastAsia"/>
          <w:color w:val="auto"/>
        </w:rPr>
        <w:t>仍參照上開</w:t>
      </w:r>
      <w:r w:rsidR="00A01308" w:rsidRPr="00BF4552">
        <w:rPr>
          <w:rFonts w:hint="eastAsia"/>
          <w:color w:val="auto"/>
        </w:rPr>
        <w:t>臺北高等行政法院</w:t>
      </w:r>
      <w:r w:rsidRPr="00BF4552">
        <w:rPr>
          <w:rFonts w:hint="eastAsia"/>
          <w:color w:val="auto"/>
        </w:rPr>
        <w:t>103年度訴更二字第</w:t>
      </w:r>
      <w:r w:rsidRPr="00BF4552">
        <w:rPr>
          <w:rFonts w:hint="eastAsia"/>
          <w:color w:val="auto"/>
        </w:rPr>
        <w:lastRenderedPageBreak/>
        <w:t>124號判決之見解駁回原告之訴</w:t>
      </w:r>
      <w:r w:rsidRPr="00BF4552">
        <w:rPr>
          <w:rFonts w:hAnsi="標楷體" w:hint="eastAsia"/>
          <w:color w:val="auto"/>
        </w:rPr>
        <w:t>。</w:t>
      </w:r>
    </w:p>
    <w:p w:rsidR="008577B8" w:rsidRPr="00BF4552" w:rsidRDefault="00A01308" w:rsidP="00441162">
      <w:pPr>
        <w:pStyle w:val="5"/>
        <w:rPr>
          <w:color w:val="auto"/>
        </w:rPr>
      </w:pPr>
      <w:r w:rsidRPr="00BF4552">
        <w:rPr>
          <w:rFonts w:hint="eastAsia"/>
          <w:color w:val="auto"/>
        </w:rPr>
        <w:t>最高行政法院</w:t>
      </w:r>
      <w:r w:rsidR="008577B8" w:rsidRPr="00BF4552">
        <w:rPr>
          <w:rFonts w:hint="eastAsia"/>
          <w:color w:val="auto"/>
        </w:rPr>
        <w:t>105年度判字第210號判決除廢棄更審判決外</w:t>
      </w:r>
      <w:r w:rsidR="008577B8" w:rsidRPr="00BF4552">
        <w:rPr>
          <w:rFonts w:hAnsi="標楷體" w:hint="eastAsia"/>
          <w:color w:val="auto"/>
        </w:rPr>
        <w:t>，並逕予撤銷訴願決定及原處分，</w:t>
      </w:r>
      <w:r w:rsidR="008577B8" w:rsidRPr="00BF4552">
        <w:rPr>
          <w:rFonts w:hint="eastAsia"/>
          <w:color w:val="auto"/>
        </w:rPr>
        <w:t>理由略以</w:t>
      </w:r>
      <w:r w:rsidR="008577B8" w:rsidRPr="00BF4552">
        <w:rPr>
          <w:rFonts w:hAnsi="標楷體" w:hint="eastAsia"/>
          <w:color w:val="auto"/>
        </w:rPr>
        <w:t>：</w:t>
      </w:r>
    </w:p>
    <w:p w:rsidR="009B6EFB" w:rsidRPr="00BF4552" w:rsidRDefault="00D13D94" w:rsidP="00494B48">
      <w:pPr>
        <w:pStyle w:val="6"/>
        <w:numPr>
          <w:ilvl w:val="0"/>
          <w:numId w:val="45"/>
        </w:numPr>
        <w:ind w:left="2268" w:hanging="567"/>
        <w:rPr>
          <w:color w:val="auto"/>
        </w:rPr>
      </w:pPr>
      <w:r w:rsidRPr="00BF4552">
        <w:rPr>
          <w:rFonts w:hint="eastAsia"/>
          <w:color w:val="auto"/>
        </w:rPr>
        <w:t>重申前揭</w:t>
      </w:r>
      <w:r w:rsidR="00A01308" w:rsidRPr="00BF4552">
        <w:rPr>
          <w:rFonts w:hint="eastAsia"/>
          <w:color w:val="auto"/>
        </w:rPr>
        <w:t>最高行政法院</w:t>
      </w:r>
      <w:r w:rsidRPr="00BF4552">
        <w:rPr>
          <w:rFonts w:hint="eastAsia"/>
          <w:color w:val="auto"/>
        </w:rPr>
        <w:t>多號判決所主張「是否情節重大非聘約所得約定之事項」之見解。</w:t>
      </w:r>
    </w:p>
    <w:p w:rsidR="008577B8" w:rsidRPr="00BF4552" w:rsidRDefault="00D13D94" w:rsidP="00494B48">
      <w:pPr>
        <w:pStyle w:val="6"/>
        <w:numPr>
          <w:ilvl w:val="0"/>
          <w:numId w:val="45"/>
        </w:numPr>
        <w:ind w:left="2268" w:hanging="567"/>
        <w:rPr>
          <w:color w:val="auto"/>
        </w:rPr>
      </w:pPr>
      <w:r w:rsidRPr="00BF4552">
        <w:rPr>
          <w:rFonts w:hint="eastAsia"/>
          <w:color w:val="auto"/>
        </w:rPr>
        <w:t>教評會如未於審查時就「違反聘約是否情節重大」加以認定不得事後補正：參加人校教評會就「違反聘約是否情節重大」之認定，固具有判斷餘地，然若未為認定，即與法不合，除非當初審查時已為審查判斷，僅資料未提出得於訴訟程序補提證據外，參加人亦無藉由訴訟審理程序代其陳述而為補正。被上訴人既為教育主管機關，基於行政監督之職責，雖不能干預大學自治及各級教評會所為具判斷餘地之認定，然非謂得令大學徒持大學自治之名逸脫於教師法及大學法之規範。本件參加人校教評會之決議既有上述違法之處，被上訴人仍以原處分核准，亦非適法，原判決未予糾正，自屬可議。</w:t>
      </w:r>
    </w:p>
    <w:p w:rsidR="009B6EFB" w:rsidRPr="00BF4552" w:rsidRDefault="009B6EFB" w:rsidP="009B6EFB">
      <w:pPr>
        <w:pStyle w:val="4"/>
        <w:rPr>
          <w:color w:val="auto"/>
        </w:rPr>
      </w:pPr>
      <w:r w:rsidRPr="00BF4552">
        <w:rPr>
          <w:rFonts w:hint="eastAsia"/>
          <w:color w:val="auto"/>
        </w:rPr>
        <w:t>某副教授因未於6年期限內升等為教授</w:t>
      </w:r>
      <w:r w:rsidRPr="00BF4552">
        <w:rPr>
          <w:rFonts w:hAnsi="標楷體" w:hint="eastAsia"/>
          <w:color w:val="auto"/>
        </w:rPr>
        <w:t>，</w:t>
      </w:r>
      <w:r w:rsidRPr="00BF4552">
        <w:rPr>
          <w:rFonts w:hint="eastAsia"/>
          <w:color w:val="auto"/>
        </w:rPr>
        <w:t>經學校於101年間決議不予續聘</w:t>
      </w:r>
      <w:r w:rsidRPr="00BF4552">
        <w:rPr>
          <w:rFonts w:hAnsi="標楷體" w:hint="eastAsia"/>
          <w:color w:val="auto"/>
        </w:rPr>
        <w:t>，</w:t>
      </w:r>
      <w:r w:rsidRPr="00BF4552">
        <w:rPr>
          <w:rFonts w:hint="eastAsia"/>
          <w:color w:val="auto"/>
        </w:rPr>
        <w:t>其不服提起行政訴訟</w:t>
      </w:r>
      <w:r w:rsidRPr="00BF4552">
        <w:rPr>
          <w:rFonts w:hAnsi="標楷體" w:hint="eastAsia"/>
          <w:color w:val="auto"/>
        </w:rPr>
        <w:t>，先後歷經</w:t>
      </w:r>
      <w:r w:rsidR="00A01308" w:rsidRPr="00BF4552">
        <w:rPr>
          <w:rFonts w:hint="eastAsia"/>
          <w:color w:val="auto"/>
        </w:rPr>
        <w:t>臺北高等行政法院</w:t>
      </w:r>
      <w:r w:rsidRPr="00BF4552">
        <w:rPr>
          <w:rFonts w:hint="eastAsia"/>
          <w:color w:val="auto"/>
        </w:rPr>
        <w:t>及</w:t>
      </w:r>
      <w:r w:rsidR="00A01308" w:rsidRPr="00BF4552">
        <w:rPr>
          <w:rFonts w:hint="eastAsia"/>
          <w:color w:val="auto"/>
        </w:rPr>
        <w:t>最高行政法院</w:t>
      </w:r>
      <w:r w:rsidRPr="00BF4552">
        <w:rPr>
          <w:rFonts w:hint="eastAsia"/>
          <w:color w:val="auto"/>
        </w:rPr>
        <w:t>(第三庭)4次審理</w:t>
      </w:r>
      <w:r w:rsidRPr="00BF4552">
        <w:rPr>
          <w:rFonts w:hAnsi="標楷體" w:hint="eastAsia"/>
          <w:color w:val="auto"/>
        </w:rPr>
        <w:t>，最後判決教育部敗訴，</w:t>
      </w:r>
      <w:r w:rsidRPr="00BF4552">
        <w:rPr>
          <w:rFonts w:hint="eastAsia"/>
          <w:color w:val="auto"/>
        </w:rPr>
        <w:t>說明如下</w:t>
      </w:r>
      <w:r w:rsidRPr="00BF4552">
        <w:rPr>
          <w:rFonts w:hAnsi="標楷體" w:hint="eastAsia"/>
          <w:color w:val="auto"/>
        </w:rPr>
        <w:t>：</w:t>
      </w:r>
    </w:p>
    <w:p w:rsidR="009B6EFB" w:rsidRPr="00BF4552" w:rsidRDefault="00A01308" w:rsidP="00441162">
      <w:pPr>
        <w:pStyle w:val="5"/>
        <w:rPr>
          <w:color w:val="auto"/>
        </w:rPr>
      </w:pPr>
      <w:r w:rsidRPr="00BF4552">
        <w:rPr>
          <w:rFonts w:hint="eastAsia"/>
          <w:color w:val="auto"/>
        </w:rPr>
        <w:t>臺北高等行政法院</w:t>
      </w:r>
      <w:r w:rsidR="009B6EFB" w:rsidRPr="00BF4552">
        <w:rPr>
          <w:rFonts w:hint="eastAsia"/>
          <w:color w:val="auto"/>
        </w:rPr>
        <w:t>102年度訴字第782號判決駁回原告之訴</w:t>
      </w:r>
      <w:r w:rsidR="009B6EFB" w:rsidRPr="00BF4552">
        <w:rPr>
          <w:rFonts w:hAnsi="標楷體" w:hint="eastAsia"/>
          <w:color w:val="auto"/>
        </w:rPr>
        <w:t>，</w:t>
      </w:r>
      <w:r w:rsidR="009B6EFB" w:rsidRPr="00BF4552">
        <w:rPr>
          <w:rFonts w:hint="eastAsia"/>
          <w:color w:val="auto"/>
        </w:rPr>
        <w:t>理由與上開</w:t>
      </w:r>
      <w:r w:rsidRPr="00BF4552">
        <w:rPr>
          <w:rFonts w:hint="eastAsia"/>
          <w:color w:val="auto"/>
        </w:rPr>
        <w:t>臺北高等行政法院</w:t>
      </w:r>
      <w:r w:rsidR="009B6EFB" w:rsidRPr="00BF4552">
        <w:rPr>
          <w:rFonts w:hint="eastAsia"/>
          <w:color w:val="auto"/>
        </w:rPr>
        <w:t>102年度訴字第782號判決大致相同</w:t>
      </w:r>
      <w:r w:rsidR="009B6EFB" w:rsidRPr="00BF4552">
        <w:rPr>
          <w:rFonts w:hAnsi="標楷體" w:hint="eastAsia"/>
          <w:color w:val="auto"/>
        </w:rPr>
        <w:t>。</w:t>
      </w:r>
    </w:p>
    <w:p w:rsidR="009B6EFB" w:rsidRPr="00BF4552" w:rsidRDefault="00A01308" w:rsidP="00441162">
      <w:pPr>
        <w:pStyle w:val="5"/>
        <w:rPr>
          <w:color w:val="auto"/>
        </w:rPr>
      </w:pPr>
      <w:r w:rsidRPr="00BF4552">
        <w:rPr>
          <w:rFonts w:hint="eastAsia"/>
          <w:color w:val="auto"/>
        </w:rPr>
        <w:t>最高行政法院</w:t>
      </w:r>
      <w:r w:rsidR="009B6EFB" w:rsidRPr="00BF4552">
        <w:rPr>
          <w:rFonts w:hint="eastAsia"/>
          <w:color w:val="auto"/>
        </w:rPr>
        <w:t>104年度判字第258號判決將原判決廢棄發回更審</w:t>
      </w:r>
      <w:r w:rsidR="009B6EFB" w:rsidRPr="00BF4552">
        <w:rPr>
          <w:rFonts w:hAnsi="標楷體" w:hint="eastAsia"/>
          <w:color w:val="auto"/>
        </w:rPr>
        <w:t>，</w:t>
      </w:r>
      <w:r w:rsidR="009B6EFB" w:rsidRPr="00BF4552">
        <w:rPr>
          <w:rFonts w:hint="eastAsia"/>
          <w:color w:val="auto"/>
        </w:rPr>
        <w:t>理由與上開</w:t>
      </w:r>
      <w:r w:rsidRPr="00BF4552">
        <w:rPr>
          <w:rFonts w:hint="eastAsia"/>
          <w:color w:val="auto"/>
        </w:rPr>
        <w:t>最高行政法院</w:t>
      </w:r>
      <w:r w:rsidR="009B6EFB" w:rsidRPr="00BF4552">
        <w:rPr>
          <w:rFonts w:hint="eastAsia"/>
          <w:color w:val="auto"/>
        </w:rPr>
        <w:t>103年判字第290號判決大致相同</w:t>
      </w:r>
      <w:r w:rsidR="009B6EFB" w:rsidRPr="00BF4552">
        <w:rPr>
          <w:rFonts w:hAnsi="標楷體" w:hint="eastAsia"/>
          <w:color w:val="auto"/>
        </w:rPr>
        <w:t>。</w:t>
      </w:r>
    </w:p>
    <w:p w:rsidR="009B6EFB" w:rsidRPr="00BF4552" w:rsidRDefault="009B6EFB" w:rsidP="00441162">
      <w:pPr>
        <w:pStyle w:val="5"/>
        <w:rPr>
          <w:color w:val="auto"/>
        </w:rPr>
      </w:pPr>
      <w:r w:rsidRPr="00BF4552">
        <w:rPr>
          <w:rFonts w:hint="eastAsia"/>
          <w:color w:val="auto"/>
        </w:rPr>
        <w:lastRenderedPageBreak/>
        <w:t>發回更審後作成之</w:t>
      </w:r>
      <w:r w:rsidR="00A01308" w:rsidRPr="00BF4552">
        <w:rPr>
          <w:rFonts w:hint="eastAsia"/>
          <w:color w:val="auto"/>
        </w:rPr>
        <w:t>臺北高等行政法院</w:t>
      </w:r>
      <w:r w:rsidRPr="00BF4552">
        <w:rPr>
          <w:rFonts w:hint="eastAsia"/>
          <w:color w:val="auto"/>
        </w:rPr>
        <w:t>104年度訴更一字第60號判決</w:t>
      </w:r>
      <w:r w:rsidRPr="00BF4552">
        <w:rPr>
          <w:rFonts w:hAnsi="標楷體" w:hint="eastAsia"/>
          <w:color w:val="auto"/>
        </w:rPr>
        <w:t>，並未</w:t>
      </w:r>
      <w:r w:rsidRPr="00BF4552">
        <w:rPr>
          <w:rFonts w:hint="eastAsia"/>
          <w:color w:val="auto"/>
        </w:rPr>
        <w:t>採納上開</w:t>
      </w:r>
      <w:r w:rsidR="00A01308" w:rsidRPr="00BF4552">
        <w:rPr>
          <w:rFonts w:hint="eastAsia"/>
          <w:color w:val="auto"/>
        </w:rPr>
        <w:t>最高行政法院</w:t>
      </w:r>
      <w:r w:rsidRPr="00BF4552">
        <w:rPr>
          <w:rFonts w:hint="eastAsia"/>
          <w:color w:val="auto"/>
        </w:rPr>
        <w:t>104年度判字第258號判決揭示之法律見解</w:t>
      </w:r>
      <w:r w:rsidRPr="00BF4552">
        <w:rPr>
          <w:rFonts w:hAnsi="標楷體" w:hint="eastAsia"/>
          <w:color w:val="auto"/>
        </w:rPr>
        <w:t>，</w:t>
      </w:r>
      <w:r w:rsidRPr="00BF4552">
        <w:rPr>
          <w:rFonts w:hint="eastAsia"/>
          <w:color w:val="auto"/>
        </w:rPr>
        <w:t>仍參照前揭</w:t>
      </w:r>
      <w:r w:rsidR="00A01308" w:rsidRPr="00BF4552">
        <w:rPr>
          <w:rFonts w:hint="eastAsia"/>
          <w:color w:val="auto"/>
        </w:rPr>
        <w:t>臺北高等行政法院</w:t>
      </w:r>
      <w:r w:rsidRPr="00BF4552">
        <w:rPr>
          <w:rFonts w:hint="eastAsia"/>
          <w:color w:val="auto"/>
        </w:rPr>
        <w:t>102年度訴更一字第111號判決及103年度訴更二字第124後判決之見解駁回原告之訴</w:t>
      </w:r>
      <w:r w:rsidRPr="00BF4552">
        <w:rPr>
          <w:rFonts w:hAnsi="標楷體" w:hint="eastAsia"/>
          <w:color w:val="auto"/>
        </w:rPr>
        <w:t>。</w:t>
      </w:r>
    </w:p>
    <w:p w:rsidR="009B6EFB" w:rsidRPr="00BF4552" w:rsidRDefault="00A01308" w:rsidP="00441162">
      <w:pPr>
        <w:pStyle w:val="5"/>
        <w:rPr>
          <w:color w:val="auto"/>
        </w:rPr>
      </w:pPr>
      <w:r w:rsidRPr="00BF4552">
        <w:rPr>
          <w:rFonts w:hint="eastAsia"/>
          <w:color w:val="auto"/>
        </w:rPr>
        <w:t>最高行政法院</w:t>
      </w:r>
      <w:r w:rsidR="009B6EFB" w:rsidRPr="00BF4552">
        <w:rPr>
          <w:rFonts w:hint="eastAsia"/>
          <w:color w:val="auto"/>
        </w:rPr>
        <w:t>105年度判字第550號判決除廢棄更審判決外</w:t>
      </w:r>
      <w:r w:rsidR="009B6EFB" w:rsidRPr="00BF4552">
        <w:rPr>
          <w:rFonts w:hAnsi="標楷體" w:hint="eastAsia"/>
          <w:color w:val="auto"/>
        </w:rPr>
        <w:t>，並逕予撤銷訴願決定及原處分，</w:t>
      </w:r>
      <w:r w:rsidR="009B6EFB" w:rsidRPr="00BF4552">
        <w:rPr>
          <w:rFonts w:hint="eastAsia"/>
          <w:color w:val="auto"/>
        </w:rPr>
        <w:t>理由與上開</w:t>
      </w:r>
      <w:r w:rsidRPr="00BF4552">
        <w:rPr>
          <w:rFonts w:hint="eastAsia"/>
          <w:color w:val="auto"/>
        </w:rPr>
        <w:t>最高行政法院</w:t>
      </w:r>
      <w:r w:rsidR="009B6EFB" w:rsidRPr="00BF4552">
        <w:rPr>
          <w:rFonts w:hint="eastAsia"/>
          <w:color w:val="auto"/>
        </w:rPr>
        <w:t>105年度判字第210號判決大致相同</w:t>
      </w:r>
      <w:r w:rsidR="009B6EFB" w:rsidRPr="00BF4552">
        <w:rPr>
          <w:rFonts w:hAnsi="標楷體" w:hint="eastAsia"/>
          <w:color w:val="auto"/>
        </w:rPr>
        <w:t>。</w:t>
      </w:r>
    </w:p>
    <w:p w:rsidR="009B6EFB" w:rsidRPr="00BF4552" w:rsidRDefault="009B6EFB" w:rsidP="009B6EFB">
      <w:pPr>
        <w:pStyle w:val="4"/>
        <w:rPr>
          <w:color w:val="auto"/>
        </w:rPr>
      </w:pPr>
      <w:r w:rsidRPr="00BF4552">
        <w:rPr>
          <w:rFonts w:hint="eastAsia"/>
          <w:color w:val="auto"/>
        </w:rPr>
        <w:t>某助理教授因未於6年期限內升等為副教授</w:t>
      </w:r>
      <w:r w:rsidRPr="00BF4552">
        <w:rPr>
          <w:rFonts w:hAnsi="標楷體" w:hint="eastAsia"/>
          <w:color w:val="auto"/>
        </w:rPr>
        <w:t>，</w:t>
      </w:r>
      <w:r w:rsidRPr="00BF4552">
        <w:rPr>
          <w:rFonts w:hint="eastAsia"/>
          <w:color w:val="auto"/>
        </w:rPr>
        <w:t>經學校於101年間決議不予續聘</w:t>
      </w:r>
      <w:r w:rsidRPr="00BF4552">
        <w:rPr>
          <w:rFonts w:hAnsi="標楷體" w:hint="eastAsia"/>
          <w:color w:val="auto"/>
        </w:rPr>
        <w:t>，</w:t>
      </w:r>
      <w:r w:rsidRPr="00BF4552">
        <w:rPr>
          <w:rFonts w:hint="eastAsia"/>
          <w:color w:val="auto"/>
        </w:rPr>
        <w:t>其不服提起行政訴訟</w:t>
      </w:r>
      <w:r w:rsidRPr="00BF4552">
        <w:rPr>
          <w:rFonts w:hAnsi="標楷體" w:hint="eastAsia"/>
          <w:color w:val="auto"/>
        </w:rPr>
        <w:t>，先後歷經</w:t>
      </w:r>
      <w:r w:rsidR="00A01308" w:rsidRPr="00BF4552">
        <w:rPr>
          <w:rFonts w:hint="eastAsia"/>
          <w:color w:val="auto"/>
        </w:rPr>
        <w:t>臺北高等行政法院</w:t>
      </w:r>
      <w:r w:rsidRPr="00BF4552">
        <w:rPr>
          <w:rFonts w:hint="eastAsia"/>
          <w:color w:val="auto"/>
        </w:rPr>
        <w:t>及</w:t>
      </w:r>
      <w:r w:rsidR="00A01308" w:rsidRPr="00BF4552">
        <w:rPr>
          <w:rFonts w:hint="eastAsia"/>
          <w:color w:val="auto"/>
        </w:rPr>
        <w:t>最高行政法院</w:t>
      </w:r>
      <w:r w:rsidRPr="00BF4552">
        <w:rPr>
          <w:rFonts w:hint="eastAsia"/>
          <w:color w:val="auto"/>
        </w:rPr>
        <w:t>(第三庭)4次審理</w:t>
      </w:r>
      <w:r w:rsidRPr="00BF4552">
        <w:rPr>
          <w:rFonts w:hAnsi="標楷體" w:hint="eastAsia"/>
          <w:color w:val="auto"/>
        </w:rPr>
        <w:t>，最後判決教育部敗訴，</w:t>
      </w:r>
      <w:r w:rsidRPr="00BF4552">
        <w:rPr>
          <w:rFonts w:hint="eastAsia"/>
          <w:color w:val="auto"/>
        </w:rPr>
        <w:t>說明如下</w:t>
      </w:r>
      <w:r w:rsidRPr="00BF4552">
        <w:rPr>
          <w:rFonts w:hAnsi="標楷體" w:hint="eastAsia"/>
          <w:color w:val="auto"/>
        </w:rPr>
        <w:t>：</w:t>
      </w:r>
    </w:p>
    <w:p w:rsidR="009B6EFB" w:rsidRPr="00BF4552" w:rsidRDefault="00A01308" w:rsidP="00441162">
      <w:pPr>
        <w:pStyle w:val="5"/>
        <w:rPr>
          <w:color w:val="auto"/>
        </w:rPr>
      </w:pPr>
      <w:r w:rsidRPr="00BF4552">
        <w:rPr>
          <w:rFonts w:hint="eastAsia"/>
          <w:color w:val="auto"/>
        </w:rPr>
        <w:t>臺北高等行政法院</w:t>
      </w:r>
      <w:r w:rsidR="009B6EFB" w:rsidRPr="00BF4552">
        <w:rPr>
          <w:rFonts w:hint="eastAsia"/>
          <w:color w:val="auto"/>
        </w:rPr>
        <w:t>102年度訴字第1173號判決駁回原告之訴</w:t>
      </w:r>
      <w:r w:rsidR="009B6EFB" w:rsidRPr="00BF4552">
        <w:rPr>
          <w:rFonts w:hAnsi="標楷體" w:hint="eastAsia"/>
          <w:color w:val="auto"/>
        </w:rPr>
        <w:t>，</w:t>
      </w:r>
      <w:r w:rsidR="009B6EFB" w:rsidRPr="00BF4552">
        <w:rPr>
          <w:rFonts w:hint="eastAsia"/>
          <w:color w:val="auto"/>
        </w:rPr>
        <w:t>理由與上開</w:t>
      </w:r>
      <w:r w:rsidRPr="00BF4552">
        <w:rPr>
          <w:rFonts w:hint="eastAsia"/>
          <w:color w:val="auto"/>
        </w:rPr>
        <w:t>臺北高等行政法院</w:t>
      </w:r>
      <w:r w:rsidR="009B6EFB" w:rsidRPr="00BF4552">
        <w:rPr>
          <w:rFonts w:hint="eastAsia"/>
          <w:color w:val="auto"/>
        </w:rPr>
        <w:t>102年度訴字第1090號判決大致相同</w:t>
      </w:r>
      <w:r w:rsidR="009B6EFB" w:rsidRPr="00BF4552">
        <w:rPr>
          <w:rFonts w:hAnsi="標楷體" w:hint="eastAsia"/>
          <w:color w:val="auto"/>
        </w:rPr>
        <w:t>。</w:t>
      </w:r>
    </w:p>
    <w:p w:rsidR="009B6EFB" w:rsidRPr="00BF4552" w:rsidRDefault="00A01308" w:rsidP="00441162">
      <w:pPr>
        <w:pStyle w:val="5"/>
        <w:rPr>
          <w:color w:val="auto"/>
        </w:rPr>
      </w:pPr>
      <w:r w:rsidRPr="00BF4552">
        <w:rPr>
          <w:rFonts w:hint="eastAsia"/>
          <w:color w:val="auto"/>
        </w:rPr>
        <w:t>最高行政法院</w:t>
      </w:r>
      <w:r w:rsidR="009B6EFB" w:rsidRPr="00BF4552">
        <w:rPr>
          <w:rFonts w:hint="eastAsia"/>
          <w:color w:val="auto"/>
        </w:rPr>
        <w:t>103年度判字第431號判決將原判決廢棄發回更審</w:t>
      </w:r>
      <w:r w:rsidR="009B6EFB" w:rsidRPr="00BF4552">
        <w:rPr>
          <w:rFonts w:hAnsi="標楷體" w:hint="eastAsia"/>
          <w:color w:val="auto"/>
        </w:rPr>
        <w:t>，</w:t>
      </w:r>
      <w:r w:rsidR="009B6EFB" w:rsidRPr="00BF4552">
        <w:rPr>
          <w:rFonts w:hint="eastAsia"/>
          <w:color w:val="auto"/>
        </w:rPr>
        <w:t>理由與上開</w:t>
      </w:r>
      <w:r w:rsidRPr="00BF4552">
        <w:rPr>
          <w:rFonts w:hint="eastAsia"/>
          <w:color w:val="auto"/>
        </w:rPr>
        <w:t>最高行政法院</w:t>
      </w:r>
      <w:r w:rsidR="009B6EFB" w:rsidRPr="00BF4552">
        <w:rPr>
          <w:rFonts w:hint="eastAsia"/>
          <w:color w:val="auto"/>
        </w:rPr>
        <w:t>102年判字第513號判決及103年判字第501號判決大致相同</w:t>
      </w:r>
      <w:r w:rsidR="009B6EFB" w:rsidRPr="00BF4552">
        <w:rPr>
          <w:rFonts w:hAnsi="標楷體" w:hint="eastAsia"/>
          <w:color w:val="auto"/>
        </w:rPr>
        <w:t>。</w:t>
      </w:r>
    </w:p>
    <w:p w:rsidR="009B6EFB" w:rsidRPr="00BF4552" w:rsidRDefault="009B6EFB" w:rsidP="00441162">
      <w:pPr>
        <w:pStyle w:val="5"/>
        <w:rPr>
          <w:color w:val="auto"/>
        </w:rPr>
      </w:pPr>
      <w:r w:rsidRPr="00BF4552">
        <w:rPr>
          <w:rFonts w:hint="eastAsia"/>
          <w:color w:val="auto"/>
        </w:rPr>
        <w:t>發回更審後作成之</w:t>
      </w:r>
      <w:r w:rsidR="00A01308" w:rsidRPr="00BF4552">
        <w:rPr>
          <w:rFonts w:hint="eastAsia"/>
          <w:color w:val="auto"/>
        </w:rPr>
        <w:t>臺北高等行政法院</w:t>
      </w:r>
      <w:r w:rsidRPr="00BF4552">
        <w:rPr>
          <w:rFonts w:hint="eastAsia"/>
          <w:color w:val="auto"/>
        </w:rPr>
        <w:t>103年度訴更一字第88號判決</w:t>
      </w:r>
      <w:r w:rsidRPr="00BF4552">
        <w:rPr>
          <w:rFonts w:hAnsi="標楷體" w:hint="eastAsia"/>
          <w:color w:val="auto"/>
        </w:rPr>
        <w:t>，則</w:t>
      </w:r>
      <w:r w:rsidRPr="00BF4552">
        <w:rPr>
          <w:rFonts w:hint="eastAsia"/>
          <w:color w:val="auto"/>
        </w:rPr>
        <w:t>採納上開</w:t>
      </w:r>
      <w:r w:rsidR="00A01308" w:rsidRPr="00BF4552">
        <w:rPr>
          <w:rFonts w:hint="eastAsia"/>
          <w:color w:val="auto"/>
        </w:rPr>
        <w:t>最高行政法院</w:t>
      </w:r>
      <w:r w:rsidRPr="00BF4552">
        <w:rPr>
          <w:rFonts w:hint="eastAsia"/>
          <w:color w:val="auto"/>
        </w:rPr>
        <w:t>之法律見解</w:t>
      </w:r>
      <w:r w:rsidRPr="00BF4552">
        <w:rPr>
          <w:rFonts w:hAnsi="標楷體" w:hint="eastAsia"/>
          <w:color w:val="auto"/>
        </w:rPr>
        <w:t>，將訴願決定及原處分均撤銷。</w:t>
      </w:r>
    </w:p>
    <w:p w:rsidR="009B6EFB" w:rsidRPr="00BF4552" w:rsidRDefault="00A01308" w:rsidP="00441162">
      <w:pPr>
        <w:pStyle w:val="5"/>
        <w:rPr>
          <w:color w:val="auto"/>
        </w:rPr>
      </w:pPr>
      <w:r w:rsidRPr="00BF4552">
        <w:rPr>
          <w:rFonts w:hint="eastAsia"/>
          <w:color w:val="auto"/>
        </w:rPr>
        <w:t>最高行政法院</w:t>
      </w:r>
      <w:r w:rsidR="009B6EFB" w:rsidRPr="00BF4552">
        <w:rPr>
          <w:rFonts w:hint="eastAsia"/>
          <w:color w:val="auto"/>
        </w:rPr>
        <w:t>105年度判字第150號判決維持更審判決</w:t>
      </w:r>
      <w:r w:rsidR="009B6EFB" w:rsidRPr="00BF4552">
        <w:rPr>
          <w:rFonts w:hAnsi="標楷體" w:hint="eastAsia"/>
          <w:color w:val="auto"/>
        </w:rPr>
        <w:t>，駁回教育部提起之上訴，理由略以：</w:t>
      </w:r>
    </w:p>
    <w:p w:rsidR="009B6EFB" w:rsidRPr="00BF4552" w:rsidRDefault="009B6EFB" w:rsidP="00494B48">
      <w:pPr>
        <w:pStyle w:val="6"/>
        <w:numPr>
          <w:ilvl w:val="0"/>
          <w:numId w:val="46"/>
        </w:numPr>
        <w:ind w:left="2268" w:hanging="567"/>
        <w:rPr>
          <w:color w:val="auto"/>
        </w:rPr>
      </w:pPr>
      <w:r w:rsidRPr="00BF4552">
        <w:rPr>
          <w:rFonts w:hint="eastAsia"/>
          <w:color w:val="auto"/>
        </w:rPr>
        <w:t>重申最高行政法院103年度判字第431號判決內容。</w:t>
      </w:r>
    </w:p>
    <w:p w:rsidR="009B6EFB" w:rsidRPr="00BF4552" w:rsidRDefault="009B6EFB" w:rsidP="00494B48">
      <w:pPr>
        <w:pStyle w:val="6"/>
        <w:numPr>
          <w:ilvl w:val="0"/>
          <w:numId w:val="46"/>
        </w:numPr>
        <w:ind w:left="2268" w:hanging="567"/>
        <w:rPr>
          <w:color w:val="auto"/>
        </w:rPr>
      </w:pPr>
      <w:r w:rsidRPr="00BF4552">
        <w:rPr>
          <w:rFonts w:hint="eastAsia"/>
          <w:color w:val="auto"/>
        </w:rPr>
        <w:t>大學法第19條仍應受「情節重大」的限制：</w:t>
      </w:r>
      <w:r w:rsidRPr="00BF4552">
        <w:rPr>
          <w:rFonts w:hint="eastAsia"/>
          <w:color w:val="auto"/>
        </w:rPr>
        <w:lastRenderedPageBreak/>
        <w:t>工作權係一項受憲法、國際公約及國內法律保障的基本權利，且「是實現其他人權的根本所在，並構成人的尊嚴的不可分割和固有的一部分」。教師法第14條第1項規定，教師聘任後，除有該項各款法定事由之一者外，不得解聘、停聘或不續聘，既係為維護公益(包括教師工作權及講學自由)，而對學校是否終止、停止聘任教師之契約，以及是否繼續簽訂聘任教師之契約之自由與權利，所為公法上限制，其中教師法第14條第1項第8款將「違反聘約」與「情節重大」並列的目的，即係以「情節重大」作為平衡尊重契約自由(或大學自治)與維護教師工作權(或講學自由)的緩衝機制。故大學法第19條雖規定</w:t>
      </w:r>
      <w:r w:rsidRPr="00BF4552">
        <w:rPr>
          <w:rFonts w:hAnsi="標楷體" w:hint="eastAsia"/>
          <w:color w:val="auto"/>
        </w:rPr>
        <w:t>……</w:t>
      </w:r>
      <w:r w:rsidRPr="00BF4552">
        <w:rPr>
          <w:rFonts w:hint="eastAsia"/>
          <w:color w:val="auto"/>
        </w:rPr>
        <w:t>但大學以教師違反聘約規定的義務為由，擬將其解聘、停聘或不續聘時，仍應受「情節重大」的限制(就此而言，大學法第19條的適用僅係受到教師法第14條第1項第8款的節制，並未被架空)，俾免濫用契約自由與大學自治，而兼顧教師的工作權與講學自由，始為合憲性解釋。</w:t>
      </w:r>
    </w:p>
    <w:p w:rsidR="009201F3" w:rsidRPr="00BF4552" w:rsidRDefault="009201F3" w:rsidP="003663C6">
      <w:pPr>
        <w:pStyle w:val="3"/>
      </w:pPr>
      <w:r w:rsidRPr="00BF4552">
        <w:rPr>
          <w:rFonts w:hint="eastAsia"/>
        </w:rPr>
        <w:t>綜合觀察上開7案實務見解可知</w:t>
      </w:r>
      <w:r w:rsidRPr="00BF4552">
        <w:rPr>
          <w:rFonts w:hAnsi="標楷體" w:hint="eastAsia"/>
        </w:rPr>
        <w:t>：</w:t>
      </w:r>
    </w:p>
    <w:p w:rsidR="009201F3" w:rsidRPr="00BF4552" w:rsidRDefault="009201F3" w:rsidP="009201F3">
      <w:pPr>
        <w:pStyle w:val="4"/>
        <w:rPr>
          <w:color w:val="auto"/>
        </w:rPr>
      </w:pPr>
      <w:r w:rsidRPr="00BF4552">
        <w:rPr>
          <w:rFonts w:hint="eastAsia"/>
          <w:color w:val="auto"/>
        </w:rPr>
        <w:t>相同之法律規定，相同之案件事實，卻在不同之高</w:t>
      </w:r>
      <w:r w:rsidR="000A10BD" w:rsidRPr="00BF4552">
        <w:rPr>
          <w:rFonts w:hint="eastAsia"/>
          <w:color w:val="auto"/>
        </w:rPr>
        <w:t>等</w:t>
      </w:r>
      <w:r w:rsidRPr="00BF4552">
        <w:rPr>
          <w:rFonts w:hint="eastAsia"/>
          <w:color w:val="auto"/>
        </w:rPr>
        <w:t>行</w:t>
      </w:r>
      <w:r w:rsidR="000A10BD" w:rsidRPr="00BF4552">
        <w:rPr>
          <w:rFonts w:hint="eastAsia"/>
          <w:color w:val="auto"/>
        </w:rPr>
        <w:t>政法</w:t>
      </w:r>
      <w:r w:rsidRPr="00BF4552">
        <w:rPr>
          <w:rFonts w:hint="eastAsia"/>
          <w:color w:val="auto"/>
        </w:rPr>
        <w:t>院及</w:t>
      </w:r>
      <w:r w:rsidR="00A01308" w:rsidRPr="00BF4552">
        <w:rPr>
          <w:rFonts w:hint="eastAsia"/>
          <w:color w:val="auto"/>
        </w:rPr>
        <w:t>最高行政法院</w:t>
      </w:r>
      <w:r w:rsidRPr="00BF4552">
        <w:rPr>
          <w:rFonts w:hint="eastAsia"/>
          <w:color w:val="auto"/>
        </w:rPr>
        <w:t>不同庭法官審理時，產生了各種不同之法令詮釋及法理論述，其中2案在第一審時原告教師皆勝訴，其餘5案原告教師在第一審皆敗訴。</w:t>
      </w:r>
    </w:p>
    <w:p w:rsidR="009201F3" w:rsidRPr="00BF4552" w:rsidRDefault="009201F3" w:rsidP="009201F3">
      <w:pPr>
        <w:pStyle w:val="4"/>
        <w:rPr>
          <w:color w:val="auto"/>
        </w:rPr>
      </w:pPr>
      <w:r w:rsidRPr="00BF4552">
        <w:rPr>
          <w:rFonts w:hint="eastAsia"/>
          <w:color w:val="auto"/>
        </w:rPr>
        <w:t>上開7案經上訴後：</w:t>
      </w:r>
    </w:p>
    <w:p w:rsidR="009201F3" w:rsidRPr="00BF4552" w:rsidRDefault="009201F3" w:rsidP="00441162">
      <w:pPr>
        <w:pStyle w:val="5"/>
        <w:rPr>
          <w:color w:val="auto"/>
        </w:rPr>
      </w:pPr>
      <w:r w:rsidRPr="00BF4552">
        <w:rPr>
          <w:rFonts w:hint="eastAsia"/>
          <w:color w:val="auto"/>
        </w:rPr>
        <w:t>其中第1案經</w:t>
      </w:r>
      <w:r w:rsidR="00A01308" w:rsidRPr="00BF4552">
        <w:rPr>
          <w:rFonts w:hint="eastAsia"/>
          <w:color w:val="auto"/>
        </w:rPr>
        <w:t>最高行政法院</w:t>
      </w:r>
      <w:r w:rsidRPr="00BF4552">
        <w:rPr>
          <w:rFonts w:hint="eastAsia"/>
          <w:color w:val="auto"/>
        </w:rPr>
        <w:t>(第二庭)101年度第1025號判決駁回上訴而告確定</w:t>
      </w:r>
      <w:r w:rsidRPr="00BF4552">
        <w:rPr>
          <w:rFonts w:hAnsi="標楷體" w:hint="eastAsia"/>
          <w:color w:val="auto"/>
        </w:rPr>
        <w:t>。</w:t>
      </w:r>
    </w:p>
    <w:p w:rsidR="009201F3" w:rsidRPr="00BF4552" w:rsidRDefault="009201F3" w:rsidP="00441162">
      <w:pPr>
        <w:pStyle w:val="5"/>
        <w:rPr>
          <w:color w:val="auto"/>
        </w:rPr>
      </w:pPr>
      <w:r w:rsidRPr="00BF4552">
        <w:rPr>
          <w:rFonts w:hint="eastAsia"/>
          <w:color w:val="auto"/>
        </w:rPr>
        <w:lastRenderedPageBreak/>
        <w:t>其餘6案經</w:t>
      </w:r>
      <w:r w:rsidR="00A01308" w:rsidRPr="00BF4552">
        <w:rPr>
          <w:rFonts w:hint="eastAsia"/>
          <w:color w:val="auto"/>
        </w:rPr>
        <w:t>最高行政法院</w:t>
      </w:r>
      <w:r w:rsidRPr="00BF4552">
        <w:rPr>
          <w:rFonts w:hint="eastAsia"/>
          <w:color w:val="auto"/>
        </w:rPr>
        <w:t>發回更審時，下級審原應受上級審判決揭示之法律見解拘束，惟竟有4案，</w:t>
      </w:r>
      <w:r w:rsidR="00A01308" w:rsidRPr="00BF4552">
        <w:rPr>
          <w:rFonts w:hint="eastAsia"/>
          <w:color w:val="auto"/>
        </w:rPr>
        <w:t>臺北高等行政法院</w:t>
      </w:r>
      <w:r w:rsidRPr="00BF4552">
        <w:rPr>
          <w:rFonts w:hint="eastAsia"/>
          <w:color w:val="auto"/>
        </w:rPr>
        <w:t>判決仍駁回原告之訴(102年度訴更一字第111號判決、102年度訴更一字第128號及103年度訴更二字第124號判決、103年度訴更一字第106號判決、104年度訴更一字第60號判決)，其中1案甚至更審2次皆駁回原告之訴。至於另外2案更審後</w:t>
      </w:r>
      <w:r w:rsidRPr="00BF4552">
        <w:rPr>
          <w:rFonts w:hAnsi="標楷體" w:hint="eastAsia"/>
          <w:color w:val="auto"/>
        </w:rPr>
        <w:t>，</w:t>
      </w:r>
      <w:r w:rsidR="00A01308" w:rsidRPr="00BF4552">
        <w:rPr>
          <w:rFonts w:hint="eastAsia"/>
          <w:color w:val="auto"/>
        </w:rPr>
        <w:t>臺北高等行政法院</w:t>
      </w:r>
      <w:r w:rsidRPr="00BF4552">
        <w:rPr>
          <w:rFonts w:hint="eastAsia"/>
          <w:color w:val="auto"/>
        </w:rPr>
        <w:t>承審法官接受</w:t>
      </w:r>
      <w:r w:rsidR="00A01308" w:rsidRPr="00BF4552">
        <w:rPr>
          <w:rFonts w:hint="eastAsia"/>
          <w:color w:val="auto"/>
        </w:rPr>
        <w:t>最高行政法院</w:t>
      </w:r>
      <w:r w:rsidRPr="00BF4552">
        <w:rPr>
          <w:rFonts w:hint="eastAsia"/>
          <w:color w:val="auto"/>
        </w:rPr>
        <w:t>判決見解而判原告勝訴</w:t>
      </w:r>
      <w:r w:rsidRPr="00BF4552">
        <w:rPr>
          <w:rFonts w:hAnsi="標楷體" w:hint="eastAsia"/>
          <w:color w:val="auto"/>
        </w:rPr>
        <w:t>，</w:t>
      </w:r>
      <w:r w:rsidRPr="00BF4552">
        <w:rPr>
          <w:rFonts w:hint="eastAsia"/>
          <w:color w:val="auto"/>
        </w:rPr>
        <w:t>教育部上訴後亦遭駁回而告確定</w:t>
      </w:r>
      <w:r w:rsidRPr="00BF4552">
        <w:rPr>
          <w:rFonts w:hAnsi="標楷體" w:hint="eastAsia"/>
          <w:color w:val="auto"/>
        </w:rPr>
        <w:t>。經由前揭7案27份判決之審理情形，</w:t>
      </w:r>
      <w:r w:rsidRPr="00BF4552">
        <w:rPr>
          <w:rFonts w:hint="eastAsia"/>
          <w:color w:val="auto"/>
        </w:rPr>
        <w:t>突顯出不同法官對法律認知及詮釋差異甚大之現象</w:t>
      </w:r>
      <w:r w:rsidRPr="00BF4552">
        <w:rPr>
          <w:rFonts w:hAnsi="標楷體" w:hint="eastAsia"/>
          <w:color w:val="auto"/>
        </w:rPr>
        <w:t>。</w:t>
      </w:r>
    </w:p>
    <w:p w:rsidR="0008117F" w:rsidRPr="00BF4552" w:rsidRDefault="009201F3" w:rsidP="009201F3">
      <w:pPr>
        <w:pStyle w:val="4"/>
        <w:rPr>
          <w:color w:val="auto"/>
        </w:rPr>
      </w:pPr>
      <w:r w:rsidRPr="00BF4552">
        <w:rPr>
          <w:rFonts w:hint="eastAsia"/>
          <w:color w:val="auto"/>
        </w:rPr>
        <w:t>103年度訴更二字第124號判決承審法官隱約指出101年1月4日修正前教師法第14條第1項第8款對大學教師而言是普通法，而依大學法第19條所訂之不續聘事由是否仍須審酌違反聘約情節已達重大程度，因未設特別規定，在判斷時須尊重大學自治</w:t>
      </w:r>
      <w:r w:rsidRPr="00BF4552">
        <w:rPr>
          <w:rFonts w:hAnsi="標楷體" w:hint="eastAsia"/>
          <w:color w:val="auto"/>
        </w:rPr>
        <w:t>：</w:t>
      </w:r>
      <w:r w:rsidRPr="00BF4552">
        <w:rPr>
          <w:rFonts w:hint="eastAsia"/>
          <w:color w:val="auto"/>
        </w:rPr>
        <w:t>其內容為「行為時教師法第14條第1項第8款後段，固規定教師違反聘約必須情節重大始得不予續聘，惟該條文對所有公立及已立案私立學校之專任教師均有適用(同法第3條規定參照)，非以大學教師為唯一適用對象，且其開始施行時間係在大學法第19條實施前，對於大學為學術研究發展之需要，本於大學法第19條揭示憲法保障大學自治之權限，於章則及聘約內訂定不續聘事由，並以教師違反此等聘約所定義務為由，決議不予續聘時，是否仍須審酌該大學教師違反聘約情節已達重大程度，未及增設特別規定，則在前述教師法及大學法條文均為有效法律之情況下，判斷大學教師於上開情形是否符合違反聘約情節重大，必須尊重大學在</w:t>
      </w:r>
      <w:r w:rsidRPr="00BF4552">
        <w:rPr>
          <w:rFonts w:hint="eastAsia"/>
          <w:color w:val="auto"/>
        </w:rPr>
        <w:lastRenderedPageBreak/>
        <w:t>憲法保障之自治權限下，基於學術考量所自訂對教師不續聘規定之效力，認為大學教師若確實違反類此大學自治規章及聘約約定，且不符合自治規章及聘約就該不續聘條款所設例外規定，復查無其係因天災、人禍，乃至其個人身體、家庭等因素，致無法遵守該自治規章及聘約約定者，即構成違反聘約情節重大。」</w:t>
      </w:r>
    </w:p>
    <w:p w:rsidR="009201F3" w:rsidRPr="00BF4552" w:rsidRDefault="009201F3" w:rsidP="009201F3">
      <w:pPr>
        <w:pStyle w:val="4"/>
        <w:rPr>
          <w:color w:val="auto"/>
        </w:rPr>
      </w:pPr>
      <w:r w:rsidRPr="00BF4552">
        <w:rPr>
          <w:rFonts w:hint="eastAsia"/>
          <w:color w:val="auto"/>
        </w:rPr>
        <w:t>惟該</w:t>
      </w:r>
      <w:r w:rsidR="0008117F" w:rsidRPr="00BF4552">
        <w:rPr>
          <w:rFonts w:hint="eastAsia"/>
          <w:color w:val="auto"/>
        </w:rPr>
        <w:t>103年度訴更二字第124號判決</w:t>
      </w:r>
      <w:r w:rsidRPr="00BF4552">
        <w:rPr>
          <w:rFonts w:hint="eastAsia"/>
          <w:color w:val="auto"/>
        </w:rPr>
        <w:t>隨後遭</w:t>
      </w:r>
      <w:r w:rsidR="00A01308" w:rsidRPr="00BF4552">
        <w:rPr>
          <w:rFonts w:hint="eastAsia"/>
          <w:color w:val="auto"/>
        </w:rPr>
        <w:t>最高行政法院</w:t>
      </w:r>
      <w:r w:rsidRPr="00BF4552">
        <w:rPr>
          <w:rFonts w:hint="eastAsia"/>
          <w:color w:val="auto"/>
        </w:rPr>
        <w:t>105年度判字第384號判決逕予廢棄，指明「按大學教師違反聘約是否達情節重大程度，應就個案違反聘約之相關事由為判斷，所屬大學教評會對違反聘約情節是否重大具判斷餘地，其判斷之結果，在大學自治下，應予高度之尊重，惟其判斷理由，應於教評會審查時討論，決議時應說明其理由，教育部為主管機關，基於行政監督職責，得對之為適法性監督；行政法院為司法審查時，亦係為合法性審查，均不得代大學教評會為教師違反聘約是否達情節重大之認定。」</w:t>
      </w:r>
    </w:p>
    <w:p w:rsidR="009201F3" w:rsidRPr="00BF4552" w:rsidRDefault="009201F3" w:rsidP="009201F3">
      <w:pPr>
        <w:pStyle w:val="4"/>
        <w:rPr>
          <w:color w:val="auto"/>
        </w:rPr>
      </w:pPr>
      <w:r w:rsidRPr="00BF4552">
        <w:rPr>
          <w:rFonts w:hint="eastAsia"/>
          <w:color w:val="auto"/>
        </w:rPr>
        <w:t>上開多號</w:t>
      </w:r>
      <w:r w:rsidR="00A01308" w:rsidRPr="00BF4552">
        <w:rPr>
          <w:rFonts w:hint="eastAsia"/>
          <w:color w:val="auto"/>
        </w:rPr>
        <w:t>最高行政法院</w:t>
      </w:r>
      <w:r w:rsidRPr="00BF4552">
        <w:rPr>
          <w:rFonts w:hint="eastAsia"/>
          <w:color w:val="auto"/>
        </w:rPr>
        <w:t>之判決</w:t>
      </w:r>
      <w:r w:rsidR="005552A2" w:rsidRPr="00BF4552">
        <w:rPr>
          <w:rFonts w:hint="eastAsia"/>
          <w:color w:val="auto"/>
        </w:rPr>
        <w:t>所採之法律見解</w:t>
      </w:r>
      <w:r w:rsidR="005552A2" w:rsidRPr="00BF4552">
        <w:rPr>
          <w:rFonts w:hAnsi="標楷體" w:hint="eastAsia"/>
          <w:color w:val="auto"/>
        </w:rPr>
        <w:t>，</w:t>
      </w:r>
      <w:r w:rsidR="005552A2" w:rsidRPr="00BF4552">
        <w:rPr>
          <w:rFonts w:hint="eastAsia"/>
          <w:color w:val="auto"/>
        </w:rPr>
        <w:t>係植基於大學以</w:t>
      </w:r>
      <w:r w:rsidR="00986D8F" w:rsidRPr="00BF4552">
        <w:rPr>
          <w:rFonts w:hint="eastAsia"/>
          <w:color w:val="auto"/>
        </w:rPr>
        <w:t>教師違反</w:t>
      </w:r>
      <w:r w:rsidR="005552A2" w:rsidRPr="00BF4552">
        <w:rPr>
          <w:rFonts w:hint="eastAsia"/>
          <w:color w:val="auto"/>
        </w:rPr>
        <w:t>行為時之教師法第14條第1項第8款所謂</w:t>
      </w:r>
      <w:r w:rsidR="005552A2" w:rsidRPr="00BF4552">
        <w:rPr>
          <w:rFonts w:hAnsi="標楷體" w:hint="eastAsia"/>
          <w:color w:val="auto"/>
        </w:rPr>
        <w:t>「違反聘約情節重大」為由</w:t>
      </w:r>
      <w:r w:rsidR="00986D8F" w:rsidRPr="00BF4552">
        <w:rPr>
          <w:rFonts w:hAnsi="標楷體" w:hint="eastAsia"/>
          <w:color w:val="auto"/>
        </w:rPr>
        <w:t>之不續聘案</w:t>
      </w:r>
      <w:r w:rsidR="005552A2" w:rsidRPr="00BF4552">
        <w:rPr>
          <w:rFonts w:hAnsi="標楷體" w:hint="eastAsia"/>
          <w:color w:val="auto"/>
        </w:rPr>
        <w:t>加以闡釋</w:t>
      </w:r>
      <w:r w:rsidRPr="00BF4552">
        <w:rPr>
          <w:rFonts w:hint="eastAsia"/>
          <w:color w:val="auto"/>
        </w:rPr>
        <w:t>，</w:t>
      </w:r>
      <w:r w:rsidR="005552A2" w:rsidRPr="00BF4552">
        <w:rPr>
          <w:rFonts w:hint="eastAsia"/>
          <w:color w:val="auto"/>
        </w:rPr>
        <w:t>而當</w:t>
      </w:r>
      <w:r w:rsidRPr="00BF4552">
        <w:rPr>
          <w:rFonts w:hint="eastAsia"/>
          <w:color w:val="auto"/>
        </w:rPr>
        <w:t>大學各級教評會於審查符合大學法第19</w:t>
      </w:r>
      <w:r w:rsidR="00B15E9F" w:rsidRPr="00BF4552">
        <w:rPr>
          <w:rFonts w:hint="eastAsia"/>
          <w:color w:val="auto"/>
        </w:rPr>
        <w:t>條規定之校內辦法及聘約而不</w:t>
      </w:r>
      <w:r w:rsidRPr="00BF4552">
        <w:rPr>
          <w:rFonts w:hint="eastAsia"/>
          <w:color w:val="auto"/>
        </w:rPr>
        <w:t>續聘教師之案件時，</w:t>
      </w:r>
      <w:r w:rsidR="005552A2" w:rsidRPr="00BF4552">
        <w:rPr>
          <w:rFonts w:hint="eastAsia"/>
          <w:color w:val="auto"/>
        </w:rPr>
        <w:t>究竟</w:t>
      </w:r>
      <w:r w:rsidRPr="00BF4552">
        <w:rPr>
          <w:rFonts w:hint="eastAsia"/>
          <w:color w:val="auto"/>
        </w:rPr>
        <w:t>是否仍須連結現行教師法第14條第1項第14款後段之「違反聘約情節重大」合併判斷</w:t>
      </w:r>
      <w:r w:rsidR="00986D8F" w:rsidRPr="00BF4552">
        <w:rPr>
          <w:rFonts w:hAnsi="標楷體" w:hint="eastAsia"/>
          <w:color w:val="auto"/>
        </w:rPr>
        <w:t>，</w:t>
      </w:r>
      <w:r w:rsidR="00986D8F" w:rsidRPr="00BF4552">
        <w:rPr>
          <w:rFonts w:hint="eastAsia"/>
          <w:color w:val="auto"/>
        </w:rPr>
        <w:t>容有疑義</w:t>
      </w:r>
      <w:r w:rsidRPr="00BF4552">
        <w:rPr>
          <w:rFonts w:hint="eastAsia"/>
          <w:color w:val="auto"/>
        </w:rPr>
        <w:t>。縱使經解釋後認定需要，司法機關於判決</w:t>
      </w:r>
      <w:r w:rsidR="009B66B3" w:rsidRPr="00BF4552">
        <w:rPr>
          <w:rFonts w:hint="eastAsia"/>
          <w:color w:val="auto"/>
        </w:rPr>
        <w:t>理由</w:t>
      </w:r>
      <w:r w:rsidRPr="00BF4552">
        <w:rPr>
          <w:rFonts w:hint="eastAsia"/>
          <w:color w:val="auto"/>
        </w:rPr>
        <w:t>中允宜具體</w:t>
      </w:r>
      <w:r w:rsidR="009B66B3" w:rsidRPr="00BF4552">
        <w:rPr>
          <w:rFonts w:hint="eastAsia"/>
          <w:color w:val="auto"/>
        </w:rPr>
        <w:t>說明</w:t>
      </w:r>
      <w:r w:rsidRPr="00BF4552">
        <w:rPr>
          <w:rFonts w:hint="eastAsia"/>
          <w:color w:val="auto"/>
        </w:rPr>
        <w:t>教評會究應於審查時如何描述</w:t>
      </w:r>
      <w:r w:rsidR="009B66B3" w:rsidRPr="00BF4552">
        <w:rPr>
          <w:rFonts w:hint="eastAsia"/>
          <w:color w:val="auto"/>
        </w:rPr>
        <w:t>其</w:t>
      </w:r>
      <w:r w:rsidRPr="00BF4552">
        <w:rPr>
          <w:rFonts w:hint="eastAsia"/>
          <w:color w:val="auto"/>
        </w:rPr>
        <w:t>判斷過程，始能符合</w:t>
      </w:r>
      <w:r w:rsidR="00A01308" w:rsidRPr="00BF4552">
        <w:rPr>
          <w:rFonts w:hint="eastAsia"/>
          <w:color w:val="auto"/>
        </w:rPr>
        <w:t>最高行政法院</w:t>
      </w:r>
      <w:r w:rsidRPr="00BF4552">
        <w:rPr>
          <w:rFonts w:hint="eastAsia"/>
          <w:color w:val="auto"/>
        </w:rPr>
        <w:t>於判決中多次所要求於個案中判斷是否情節重大而不會</w:t>
      </w:r>
      <w:r w:rsidR="009B66B3" w:rsidRPr="00BF4552">
        <w:rPr>
          <w:rFonts w:hint="eastAsia"/>
          <w:color w:val="auto"/>
        </w:rPr>
        <w:t>遭法院</w:t>
      </w:r>
      <w:r w:rsidRPr="00BF4552">
        <w:rPr>
          <w:rFonts w:hint="eastAsia"/>
          <w:color w:val="auto"/>
        </w:rPr>
        <w:t>駁回。</w:t>
      </w:r>
    </w:p>
    <w:p w:rsidR="005552A2" w:rsidRPr="00BF4552" w:rsidRDefault="00A01308" w:rsidP="003663C6">
      <w:pPr>
        <w:pStyle w:val="3"/>
      </w:pPr>
      <w:r w:rsidRPr="00BF4552">
        <w:rPr>
          <w:rFonts w:hint="eastAsia"/>
        </w:rPr>
        <w:lastRenderedPageBreak/>
        <w:t>最高行政法院</w:t>
      </w:r>
      <w:r w:rsidR="005552A2" w:rsidRPr="00BF4552">
        <w:rPr>
          <w:rFonts w:hint="eastAsia"/>
        </w:rPr>
        <w:t>作成決議統一本案法律見解</w:t>
      </w:r>
      <w:r w:rsidR="00B15E9F" w:rsidRPr="00BF4552">
        <w:rPr>
          <w:rFonts w:hint="eastAsia"/>
        </w:rPr>
        <w:t>確</w:t>
      </w:r>
      <w:r w:rsidR="005552A2" w:rsidRPr="00BF4552">
        <w:rPr>
          <w:rFonts w:hint="eastAsia"/>
        </w:rPr>
        <w:t>有其必要性及急迫性</w:t>
      </w:r>
      <w:r w:rsidR="005552A2" w:rsidRPr="00BF4552">
        <w:rPr>
          <w:rFonts w:hAnsi="標楷體" w:hint="eastAsia"/>
        </w:rPr>
        <w:t>：</w:t>
      </w:r>
    </w:p>
    <w:p w:rsidR="00B15E9F" w:rsidRPr="00BF4552" w:rsidRDefault="00B15E9F" w:rsidP="00B15E9F">
      <w:pPr>
        <w:pStyle w:val="4"/>
        <w:rPr>
          <w:color w:val="auto"/>
        </w:rPr>
      </w:pPr>
      <w:r w:rsidRPr="00BF4552">
        <w:rPr>
          <w:rFonts w:hint="eastAsia"/>
          <w:color w:val="auto"/>
        </w:rPr>
        <w:t>按行政法院組織法第16條第3項規定：「最高行政法院之裁判，其所持之法律見解，各庭間見解不一致者，於依第1項規定編為判例之前，應舉行院長、庭長、法官聯席會議，以決議統一其法律見解。」前已言之</w:t>
      </w:r>
      <w:r w:rsidRPr="00BF4552">
        <w:rPr>
          <w:rFonts w:hAnsi="標楷體" w:hint="eastAsia"/>
          <w:color w:val="auto"/>
        </w:rPr>
        <w:t>，</w:t>
      </w:r>
      <w:r w:rsidR="00A01308" w:rsidRPr="00BF4552">
        <w:rPr>
          <w:rFonts w:hint="eastAsia"/>
          <w:color w:val="auto"/>
        </w:rPr>
        <w:t>最高行政法院</w:t>
      </w:r>
      <w:r w:rsidRPr="00BF4552">
        <w:rPr>
          <w:rFonts w:hint="eastAsia"/>
          <w:color w:val="auto"/>
        </w:rPr>
        <w:t>第</w:t>
      </w:r>
      <w:r w:rsidR="009B1E5B" w:rsidRPr="00BF4552">
        <w:rPr>
          <w:rFonts w:hint="eastAsia"/>
          <w:color w:val="auto"/>
        </w:rPr>
        <w:t>二</w:t>
      </w:r>
      <w:r w:rsidRPr="00BF4552">
        <w:rPr>
          <w:rFonts w:hint="eastAsia"/>
          <w:color w:val="auto"/>
        </w:rPr>
        <w:t>庭與第</w:t>
      </w:r>
      <w:r w:rsidR="009B1E5B" w:rsidRPr="00BF4552">
        <w:rPr>
          <w:rFonts w:hint="eastAsia"/>
          <w:color w:val="auto"/>
        </w:rPr>
        <w:t>三</w:t>
      </w:r>
      <w:r w:rsidRPr="00BF4552">
        <w:rPr>
          <w:rFonts w:hint="eastAsia"/>
          <w:color w:val="auto"/>
        </w:rPr>
        <w:t>庭</w:t>
      </w:r>
      <w:r w:rsidRPr="00BF4552">
        <w:rPr>
          <w:rFonts w:hAnsi="標楷體" w:hint="eastAsia"/>
          <w:color w:val="auto"/>
        </w:rPr>
        <w:t>、</w:t>
      </w:r>
      <w:r w:rsidRPr="00BF4552">
        <w:rPr>
          <w:rFonts w:hint="eastAsia"/>
          <w:color w:val="auto"/>
        </w:rPr>
        <w:t>第</w:t>
      </w:r>
      <w:r w:rsidR="009B1E5B" w:rsidRPr="00BF4552">
        <w:rPr>
          <w:rFonts w:hint="eastAsia"/>
          <w:color w:val="auto"/>
        </w:rPr>
        <w:t>四</w:t>
      </w:r>
      <w:r w:rsidRPr="00BF4552">
        <w:rPr>
          <w:rFonts w:hint="eastAsia"/>
          <w:color w:val="auto"/>
        </w:rPr>
        <w:t>庭於前揭7案中之判決所持之法律見解確有不一致之情形，已符合行政法院組織法第16條第3項作成決議之要件</w:t>
      </w:r>
      <w:r w:rsidRPr="00BF4552">
        <w:rPr>
          <w:rFonts w:hAnsi="標楷體" w:hint="eastAsia"/>
          <w:color w:val="auto"/>
        </w:rPr>
        <w:t>。</w:t>
      </w:r>
    </w:p>
    <w:p w:rsidR="00B15E9F" w:rsidRPr="00BF4552" w:rsidRDefault="00B15E9F" w:rsidP="00B15E9F">
      <w:pPr>
        <w:pStyle w:val="4"/>
        <w:rPr>
          <w:color w:val="auto"/>
        </w:rPr>
      </w:pPr>
      <w:r w:rsidRPr="00BF4552">
        <w:rPr>
          <w:rFonts w:hint="eastAsia"/>
          <w:color w:val="auto"/>
        </w:rPr>
        <w:t>由於上百所大學近幾年來皆有施行限期升等條款，且因年限屆滿未升等而不續聘教師之案件陸續發生，為避免爾後進入行政爭訟(包括訴願及行政訴訟)程序時，因不同高行院間、同一高行院不同法官間或</w:t>
      </w:r>
      <w:r w:rsidR="00A01308" w:rsidRPr="00BF4552">
        <w:rPr>
          <w:rFonts w:hint="eastAsia"/>
          <w:color w:val="auto"/>
        </w:rPr>
        <w:t>最高行政法院</w:t>
      </w:r>
      <w:r w:rsidRPr="00BF4552">
        <w:rPr>
          <w:rFonts w:hint="eastAsia"/>
          <w:color w:val="auto"/>
        </w:rPr>
        <w:t>不同庭間採取之法律見解不一，而造成訴訟當事人對案件之不可預測性，</w:t>
      </w:r>
      <w:r w:rsidR="00A01308" w:rsidRPr="00BF4552">
        <w:rPr>
          <w:rFonts w:hint="eastAsia"/>
          <w:color w:val="auto"/>
        </w:rPr>
        <w:t>最高行政法院</w:t>
      </w:r>
      <w:r w:rsidRPr="00BF4552">
        <w:rPr>
          <w:rFonts w:hint="eastAsia"/>
          <w:color w:val="auto"/>
        </w:rPr>
        <w:t>實有必要就大學法第19條是否為教師法第14條第1項第14款之特別規定應優先適用</w:t>
      </w:r>
      <w:r w:rsidRPr="00BF4552">
        <w:rPr>
          <w:rFonts w:hAnsi="標楷體" w:hint="eastAsia"/>
          <w:color w:val="auto"/>
        </w:rPr>
        <w:t>，</w:t>
      </w:r>
      <w:r w:rsidRPr="00BF4552">
        <w:rPr>
          <w:rFonts w:hint="eastAsia"/>
          <w:color w:val="auto"/>
        </w:rPr>
        <w:t>及符合大學法第19條程序所定停聘或不續聘之情形是否係教師法上開規定以外之獨立事由等爭點</w:t>
      </w:r>
      <w:r w:rsidRPr="00BF4552">
        <w:rPr>
          <w:rFonts w:hAnsi="標楷體" w:hint="eastAsia"/>
          <w:color w:val="auto"/>
        </w:rPr>
        <w:t>，</w:t>
      </w:r>
      <w:r w:rsidRPr="00BF4552">
        <w:rPr>
          <w:rFonts w:hint="eastAsia"/>
          <w:color w:val="auto"/>
        </w:rPr>
        <w:t>亟須在實務上有一致之見解</w:t>
      </w:r>
      <w:r w:rsidRPr="00BF4552">
        <w:rPr>
          <w:rFonts w:hAnsi="標楷體" w:hint="eastAsia"/>
          <w:color w:val="auto"/>
        </w:rPr>
        <w:t>，否則就如同上開7案</w:t>
      </w:r>
      <w:r w:rsidRPr="00BF4552">
        <w:rPr>
          <w:rFonts w:hint="eastAsia"/>
          <w:color w:val="auto"/>
        </w:rPr>
        <w:t>來回更審造成數年的訟累。</w:t>
      </w:r>
    </w:p>
    <w:p w:rsidR="00B15E9F" w:rsidRPr="00BF4552" w:rsidRDefault="00B15E9F" w:rsidP="00B15E9F">
      <w:pPr>
        <w:pStyle w:val="4"/>
        <w:rPr>
          <w:color w:val="auto"/>
        </w:rPr>
      </w:pPr>
      <w:r w:rsidRPr="00BF4552">
        <w:rPr>
          <w:rFonts w:hint="eastAsia"/>
          <w:color w:val="auto"/>
        </w:rPr>
        <w:t>以往曾發生國家通訊傳播委員會(下稱通傳會)自設訴願審議委員會對通傳會所作成之行政處分是否有訴願管轄權之爭議，在96年至97年間</w:t>
      </w:r>
      <w:r w:rsidR="00A01308" w:rsidRPr="00BF4552">
        <w:rPr>
          <w:rFonts w:hint="eastAsia"/>
          <w:color w:val="auto"/>
        </w:rPr>
        <w:t>臺北高等行政法院</w:t>
      </w:r>
      <w:r w:rsidRPr="00BF4552">
        <w:rPr>
          <w:rFonts w:hint="eastAsia"/>
          <w:color w:val="auto"/>
        </w:rPr>
        <w:t>就有4種裁判結果，有採否定說</w:t>
      </w:r>
      <w:r w:rsidRPr="00BF4552">
        <w:rPr>
          <w:rStyle w:val="aff2"/>
          <w:rFonts w:hAnsi="標楷體"/>
          <w:color w:val="auto"/>
        </w:rPr>
        <w:footnoteReference w:id="10"/>
      </w:r>
      <w:r w:rsidRPr="00BF4552">
        <w:rPr>
          <w:rFonts w:hint="eastAsia"/>
          <w:color w:val="auto"/>
        </w:rPr>
        <w:t>、肯定說</w:t>
      </w:r>
      <w:r w:rsidRPr="00BF4552">
        <w:rPr>
          <w:rStyle w:val="aff2"/>
          <w:rFonts w:hAnsi="標楷體"/>
          <w:color w:val="auto"/>
        </w:rPr>
        <w:footnoteReference w:id="11"/>
      </w:r>
      <w:r w:rsidRPr="00BF4552">
        <w:rPr>
          <w:rFonts w:hint="eastAsia"/>
          <w:color w:val="auto"/>
        </w:rPr>
        <w:t>、在</w:t>
      </w:r>
      <w:r w:rsidR="00A01308" w:rsidRPr="00BF4552">
        <w:rPr>
          <w:rFonts w:hint="eastAsia"/>
          <w:color w:val="auto"/>
        </w:rPr>
        <w:t>最高行政法院</w:t>
      </w:r>
      <w:r w:rsidRPr="00BF4552">
        <w:rPr>
          <w:rFonts w:hint="eastAsia"/>
          <w:color w:val="auto"/>
        </w:rPr>
        <w:t>未確定訴願管轄權歸屬前暫停</w:t>
      </w:r>
      <w:r w:rsidRPr="00BF4552">
        <w:rPr>
          <w:rFonts w:hint="eastAsia"/>
          <w:color w:val="auto"/>
        </w:rPr>
        <w:lastRenderedPageBreak/>
        <w:t>訴訟程序</w:t>
      </w:r>
      <w:r w:rsidRPr="00BF4552">
        <w:rPr>
          <w:rStyle w:val="aff2"/>
          <w:rFonts w:hAnsi="標楷體"/>
          <w:color w:val="auto"/>
        </w:rPr>
        <w:footnoteReference w:id="12"/>
      </w:r>
      <w:r w:rsidRPr="00BF4552">
        <w:rPr>
          <w:rFonts w:hint="eastAsia"/>
          <w:color w:val="auto"/>
        </w:rPr>
        <w:t>及逕就實體加以判決而未予論究訴願管轄權</w:t>
      </w:r>
      <w:r w:rsidRPr="00BF4552">
        <w:rPr>
          <w:rStyle w:val="aff2"/>
          <w:rFonts w:hAnsi="標楷體"/>
          <w:color w:val="auto"/>
        </w:rPr>
        <w:footnoteReference w:id="13"/>
      </w:r>
      <w:r w:rsidRPr="00BF4552">
        <w:rPr>
          <w:rFonts w:hint="eastAsia"/>
          <w:color w:val="auto"/>
        </w:rPr>
        <w:t>，該爭議直至97年12月26日</w:t>
      </w:r>
      <w:r w:rsidR="00A01308" w:rsidRPr="00BF4552">
        <w:rPr>
          <w:color w:val="auto"/>
        </w:rPr>
        <w:t>最高行政法院</w:t>
      </w:r>
      <w:r w:rsidRPr="00BF4552">
        <w:rPr>
          <w:rFonts w:hint="eastAsia"/>
          <w:color w:val="auto"/>
        </w:rPr>
        <w:t>作成</w:t>
      </w:r>
      <w:r w:rsidRPr="00BF4552">
        <w:rPr>
          <w:color w:val="auto"/>
        </w:rPr>
        <w:t>97年12月份第3次庭長法官聯席會議</w:t>
      </w:r>
      <w:r w:rsidRPr="00BF4552">
        <w:rPr>
          <w:rFonts w:hint="eastAsia"/>
          <w:color w:val="auto"/>
        </w:rPr>
        <w:t>決議</w:t>
      </w:r>
      <w:r w:rsidRPr="00BF4552">
        <w:rPr>
          <w:rStyle w:val="aff2"/>
          <w:rFonts w:hAnsi="標楷體"/>
          <w:color w:val="auto"/>
        </w:rPr>
        <w:footnoteReference w:id="14"/>
      </w:r>
      <w:r w:rsidRPr="00BF4552">
        <w:rPr>
          <w:rFonts w:hint="eastAsia"/>
          <w:color w:val="auto"/>
        </w:rPr>
        <w:t>後始告一段落。惟後續仍產生若干之影響，因該決議確認訴願管轄權屬行政院後，通傳會原所作成之訴願決定均予撤銷並發回行政院重為訴願決定，如行政院仍維持原處分，處分相對人不服又須重新提起行政訴訟加以救濟，耗費之司法資源及當事人經年</w:t>
      </w:r>
      <w:r w:rsidR="0057349C">
        <w:rPr>
          <w:rFonts w:hint="eastAsia"/>
          <w:color w:val="auto"/>
        </w:rPr>
        <w:t>訟</w:t>
      </w:r>
      <w:r w:rsidRPr="00BF4552">
        <w:rPr>
          <w:rFonts w:hint="eastAsia"/>
          <w:color w:val="auto"/>
        </w:rPr>
        <w:t>累之成本不知凡幾。</w:t>
      </w:r>
    </w:p>
    <w:p w:rsidR="00B15E9F" w:rsidRPr="00BF4552" w:rsidRDefault="00B15E9F" w:rsidP="003663C6">
      <w:pPr>
        <w:pStyle w:val="3"/>
      </w:pPr>
      <w:r w:rsidRPr="00BF4552">
        <w:rPr>
          <w:rFonts w:hint="eastAsia"/>
        </w:rPr>
        <w:t>綜上</w:t>
      </w:r>
      <w:r w:rsidRPr="00BF4552">
        <w:rPr>
          <w:rFonts w:hAnsi="標楷體" w:hint="eastAsia"/>
        </w:rPr>
        <w:t>，</w:t>
      </w:r>
      <w:r w:rsidR="00A01308" w:rsidRPr="00BF4552">
        <w:rPr>
          <w:rFonts w:hint="eastAsia"/>
        </w:rPr>
        <w:t>最高行政法院</w:t>
      </w:r>
      <w:r w:rsidRPr="00BF4552">
        <w:rPr>
          <w:rFonts w:hint="eastAsia"/>
        </w:rPr>
        <w:t>不同庭間對於大學經由校務會務通過之限期升等條款衍生之爭訟案件</w:t>
      </w:r>
      <w:r w:rsidRPr="00BF4552">
        <w:rPr>
          <w:rFonts w:hAnsi="標楷體" w:hint="eastAsia"/>
        </w:rPr>
        <w:t>，</w:t>
      </w:r>
      <w:r w:rsidRPr="00BF4552">
        <w:rPr>
          <w:rFonts w:hint="eastAsia"/>
        </w:rPr>
        <w:t>先後主張之法律見解歧異</w:t>
      </w:r>
      <w:r w:rsidRPr="00BF4552">
        <w:rPr>
          <w:rFonts w:hAnsi="標楷體" w:hint="eastAsia"/>
        </w:rPr>
        <w:t>。</w:t>
      </w:r>
      <w:r w:rsidRPr="00BF4552">
        <w:rPr>
          <w:rFonts w:hint="eastAsia"/>
        </w:rPr>
        <w:t>究大學法第19條是否為教師法第14條第1項第14款之特別規定應優先適用</w:t>
      </w:r>
      <w:r w:rsidRPr="00BF4552">
        <w:rPr>
          <w:rFonts w:hAnsi="標楷體" w:hint="eastAsia"/>
        </w:rPr>
        <w:t>，</w:t>
      </w:r>
      <w:r w:rsidRPr="00BF4552">
        <w:rPr>
          <w:rFonts w:hint="eastAsia"/>
        </w:rPr>
        <w:t>及符合大學法第19條程序所定停聘或不續聘之情形是否係教師法上開規定以外之獨立事由</w:t>
      </w:r>
      <w:r w:rsidRPr="00BF4552">
        <w:rPr>
          <w:rFonts w:hAnsi="標楷體" w:hint="eastAsia"/>
        </w:rPr>
        <w:t>，</w:t>
      </w:r>
      <w:r w:rsidRPr="00BF4552">
        <w:rPr>
          <w:rFonts w:hint="eastAsia"/>
        </w:rPr>
        <w:t>亟須在實務上有一致之見解</w:t>
      </w:r>
      <w:r w:rsidRPr="00BF4552">
        <w:rPr>
          <w:rFonts w:hAnsi="標楷體" w:hint="eastAsia"/>
        </w:rPr>
        <w:t>，</w:t>
      </w:r>
      <w:r w:rsidR="00A01308" w:rsidRPr="00BF4552">
        <w:rPr>
          <w:rFonts w:hint="eastAsia"/>
        </w:rPr>
        <w:t>最高行政法院</w:t>
      </w:r>
      <w:r w:rsidRPr="00BF4552">
        <w:rPr>
          <w:rFonts w:hint="eastAsia"/>
        </w:rPr>
        <w:t>允宜依法作成決議</w:t>
      </w:r>
      <w:r w:rsidRPr="00BF4552">
        <w:rPr>
          <w:rFonts w:hAnsi="標楷體" w:hint="eastAsia"/>
        </w:rPr>
        <w:t>，</w:t>
      </w:r>
      <w:r w:rsidRPr="00BF4552">
        <w:rPr>
          <w:rFonts w:hint="eastAsia"/>
        </w:rPr>
        <w:t>俾利教育部及各大學有所依循</w:t>
      </w:r>
      <w:r w:rsidRPr="00BF4552">
        <w:rPr>
          <w:rFonts w:hAnsi="標楷體" w:hint="eastAsia"/>
        </w:rPr>
        <w:t>，</w:t>
      </w:r>
      <w:r w:rsidRPr="00BF4552">
        <w:rPr>
          <w:rFonts w:hint="eastAsia"/>
        </w:rPr>
        <w:t>亦免案關當事人經年訟累</w:t>
      </w:r>
      <w:r w:rsidRPr="00BF4552">
        <w:rPr>
          <w:rFonts w:hAnsi="標楷體" w:hint="eastAsia"/>
        </w:rPr>
        <w:t>。</w:t>
      </w:r>
    </w:p>
    <w:p w:rsidR="00D535E3" w:rsidRPr="00BF4552" w:rsidRDefault="002A7D69" w:rsidP="002A7D69">
      <w:pPr>
        <w:pStyle w:val="2"/>
      </w:pPr>
      <w:bookmarkStart w:id="36" w:name="_Toc494985682"/>
      <w:r w:rsidRPr="00BF4552">
        <w:rPr>
          <w:rFonts w:hint="eastAsia"/>
          <w:b/>
        </w:rPr>
        <w:t>有關本案陳訴人與北科大間之爭執，陳訴人僅向行政法院聲請定暫時狀態處分，並未就其與北科大間所爭執之公法上法律關係提起本案訴訟，為終局解決雙方間所爭議之實質法律關係，爰建請陳訴人儘速提起本</w:t>
      </w:r>
      <w:r w:rsidRPr="00BF4552">
        <w:rPr>
          <w:rFonts w:hint="eastAsia"/>
          <w:b/>
        </w:rPr>
        <w:lastRenderedPageBreak/>
        <w:t>案訴訟為宜。</w:t>
      </w:r>
      <w:bookmarkEnd w:id="36"/>
    </w:p>
    <w:p w:rsidR="00D535E3" w:rsidRPr="00BF4552" w:rsidRDefault="00D535E3" w:rsidP="003663C6">
      <w:pPr>
        <w:pStyle w:val="3"/>
      </w:pPr>
      <w:r w:rsidRPr="00BF4552">
        <w:rPr>
          <w:rFonts w:hint="eastAsia"/>
        </w:rPr>
        <w:t>行政訴訟法第298條第2項規定：「於爭執之公法上法律關係，為防止發生重大之損害或避免急迫之危險而有必要時，得聲請為定暫時狀態之處分。」準此，假處分中有關定暫時狀態之處分，係為防止發生重大之損害或避免急迫之危險而有必要時，於爭執之公法上法律關係尚未經確定終局裁判前，作成暫時擴張聲請人法律地位之措施，俾聲請人於裁定准許定暫時狀態之處分後，在</w:t>
      </w:r>
      <w:r w:rsidRPr="00BF4552">
        <w:rPr>
          <w:rFonts w:hAnsi="標楷體" w:hint="eastAsia"/>
        </w:rPr>
        <w:t>「</w:t>
      </w:r>
      <w:r w:rsidRPr="00BF4552">
        <w:rPr>
          <w:rFonts w:hint="eastAsia"/>
        </w:rPr>
        <w:t>本案確定</w:t>
      </w:r>
      <w:r w:rsidRPr="00BF4552">
        <w:rPr>
          <w:rFonts w:hAnsi="標楷體" w:hint="eastAsia"/>
        </w:rPr>
        <w:t>」</w:t>
      </w:r>
      <w:r w:rsidRPr="00BF4552">
        <w:rPr>
          <w:rFonts w:hint="eastAsia"/>
        </w:rPr>
        <w:t>前，可依該裁定所定暫時狀態實現其權利，相對人亦應依該裁定所定暫時狀態履行其義務。</w:t>
      </w:r>
      <w:r w:rsidRPr="00BF4552">
        <w:rPr>
          <w:rFonts w:asciiTheme="minorEastAsia" w:hAnsiTheme="minorEastAsia" w:hint="eastAsia"/>
        </w:rPr>
        <w:t>換言之</w:t>
      </w:r>
      <w:r w:rsidRPr="00BF4552">
        <w:rPr>
          <w:rFonts w:hint="eastAsia"/>
        </w:rPr>
        <w:t>，當事人間爭執之法律關係</w:t>
      </w:r>
      <w:r w:rsidRPr="00BF4552">
        <w:rPr>
          <w:rFonts w:asciiTheme="minorEastAsia" w:hAnsiTheme="minorEastAsia" w:hint="eastAsia"/>
        </w:rPr>
        <w:t>，仍須提起</w:t>
      </w:r>
      <w:r w:rsidR="00561D0A" w:rsidRPr="00BF4552">
        <w:rPr>
          <w:rFonts w:hAnsi="標楷體" w:hint="eastAsia"/>
        </w:rPr>
        <w:t>「</w:t>
      </w:r>
      <w:r w:rsidRPr="00BF4552">
        <w:rPr>
          <w:rFonts w:asciiTheme="minorEastAsia" w:hAnsiTheme="minorEastAsia" w:hint="eastAsia"/>
        </w:rPr>
        <w:t>本案訴訟</w:t>
      </w:r>
      <w:r w:rsidR="00561D0A" w:rsidRPr="00BF4552">
        <w:rPr>
          <w:rFonts w:hAnsi="標楷體" w:hint="eastAsia"/>
        </w:rPr>
        <w:t>」</w:t>
      </w:r>
      <w:r w:rsidRPr="00BF4552">
        <w:rPr>
          <w:rFonts w:asciiTheme="minorEastAsia" w:hAnsiTheme="minorEastAsia" w:hint="eastAsia"/>
        </w:rPr>
        <w:t>，始能加以確定。</w:t>
      </w:r>
      <w:r w:rsidRPr="00BF4552">
        <w:rPr>
          <w:rFonts w:hint="eastAsia"/>
        </w:rPr>
        <w:t>定暫時狀態處分僅係權利之保全程序</w:t>
      </w:r>
      <w:r w:rsidRPr="00BF4552">
        <w:rPr>
          <w:rFonts w:asciiTheme="minorEastAsia" w:hAnsiTheme="minorEastAsia" w:hint="eastAsia"/>
        </w:rPr>
        <w:t>，唯有儘速提起本案訴訟，對所爭執之法律關係，方能獲致終局之解決。</w:t>
      </w:r>
    </w:p>
    <w:p w:rsidR="000B6A17" w:rsidRPr="00BF4552" w:rsidRDefault="000B6A17" w:rsidP="003663C6">
      <w:pPr>
        <w:pStyle w:val="3"/>
      </w:pPr>
      <w:r w:rsidRPr="00BF4552">
        <w:rPr>
          <w:rFonts w:hint="eastAsia"/>
        </w:rPr>
        <w:t>本案陳訴人陳訴意旨及請求救濟之過程：</w:t>
      </w:r>
    </w:p>
    <w:p w:rsidR="000B6A17" w:rsidRPr="00BF4552" w:rsidRDefault="000B6A17" w:rsidP="000B6A17">
      <w:pPr>
        <w:pStyle w:val="4"/>
        <w:rPr>
          <w:rFonts w:hAnsi="標楷體"/>
          <w:color w:val="auto"/>
        </w:rPr>
      </w:pPr>
      <w:r w:rsidRPr="00BF4552">
        <w:rPr>
          <w:rFonts w:hint="eastAsia"/>
          <w:color w:val="auto"/>
        </w:rPr>
        <w:t>陳訴人A君：</w:t>
      </w:r>
    </w:p>
    <w:p w:rsidR="000B6A17" w:rsidRPr="00BF4552" w:rsidRDefault="000B6A17" w:rsidP="00441162">
      <w:pPr>
        <w:pStyle w:val="5"/>
        <w:rPr>
          <w:color w:val="auto"/>
        </w:rPr>
      </w:pPr>
      <w:r w:rsidRPr="00BF4552">
        <w:rPr>
          <w:rFonts w:hint="eastAsia"/>
          <w:color w:val="auto"/>
        </w:rPr>
        <w:t>其於99年8月進入北科大擔任專任助理教授，該校</w:t>
      </w:r>
      <w:r w:rsidR="006A2898" w:rsidRPr="00BF4552">
        <w:rPr>
          <w:rFonts w:hint="eastAsia"/>
          <w:color w:val="auto"/>
        </w:rPr>
        <w:t>於</w:t>
      </w:r>
      <w:r w:rsidRPr="00BF4552">
        <w:rPr>
          <w:rFonts w:hint="eastAsia"/>
          <w:color w:val="auto"/>
        </w:rPr>
        <w:t>105年6月24日召開之104學年度第2學期第3次校教評會議決「不予續聘」，惟經其不服此不續聘行政處分，依法提起申訴，經該校教師申訴評議委員會(下稱校申評會)於105年9月13日，針對A君升等案件未獲通過案，以「部分外審委員所提審查意見不夠詳盡，難謂妥適，經該會決議，本件申訴有理由，請原措施單位另為適當之處置」；針對升等未通過不予續聘案，則以：「校教評會通過A君不續聘案，決議內容僅引據相關法規，卻未具體敘明校教評會審議認定A君影響校務發展之程度，難謂妥適，經該會決議，本件申訴有理由，請原措施單位另為適當之處置」，</w:t>
      </w:r>
      <w:r w:rsidRPr="00BF4552">
        <w:rPr>
          <w:rFonts w:hint="eastAsia"/>
          <w:color w:val="auto"/>
        </w:rPr>
        <w:lastRenderedPageBreak/>
        <w:t>而審議認定其申訴有理由。</w:t>
      </w:r>
    </w:p>
    <w:p w:rsidR="000B6A17" w:rsidRPr="00BF4552" w:rsidRDefault="000B6A17" w:rsidP="00441162">
      <w:pPr>
        <w:pStyle w:val="5"/>
        <w:rPr>
          <w:color w:val="auto"/>
        </w:rPr>
      </w:pPr>
      <w:r w:rsidRPr="00BF4552">
        <w:rPr>
          <w:rFonts w:hint="eastAsia"/>
          <w:color w:val="auto"/>
        </w:rPr>
        <w:t>該校105年11月25日復於105學年度第1學期第2次校教評會再次審議，針對A君校外審未通過案，</w:t>
      </w:r>
      <w:r w:rsidRPr="00BF4552">
        <w:rPr>
          <w:color w:val="auto"/>
        </w:rPr>
        <w:t>議</w:t>
      </w:r>
      <w:r w:rsidRPr="00BF4552">
        <w:rPr>
          <w:rFonts w:hint="eastAsia"/>
          <w:color w:val="auto"/>
        </w:rPr>
        <w:t>決：尊</w:t>
      </w:r>
      <w:r w:rsidRPr="00BF4552">
        <w:rPr>
          <w:color w:val="auto"/>
        </w:rPr>
        <w:t>重</w:t>
      </w:r>
      <w:r w:rsidRPr="00BF4552">
        <w:rPr>
          <w:rFonts w:hint="eastAsia"/>
          <w:color w:val="auto"/>
        </w:rPr>
        <w:t>校</w:t>
      </w:r>
      <w:r w:rsidRPr="00BF4552">
        <w:rPr>
          <w:color w:val="auto"/>
        </w:rPr>
        <w:t>外審委員專業</w:t>
      </w:r>
      <w:r w:rsidRPr="00BF4552">
        <w:rPr>
          <w:rFonts w:hint="eastAsia"/>
          <w:color w:val="auto"/>
        </w:rPr>
        <w:t>判斷下之</w:t>
      </w:r>
      <w:r w:rsidRPr="00BF4552">
        <w:rPr>
          <w:color w:val="auto"/>
        </w:rPr>
        <w:t>審查</w:t>
      </w:r>
      <w:r w:rsidRPr="00BF4552">
        <w:rPr>
          <w:rFonts w:hint="eastAsia"/>
          <w:color w:val="auto"/>
        </w:rPr>
        <w:t>結</w:t>
      </w:r>
      <w:r w:rsidRPr="00BF4552">
        <w:rPr>
          <w:color w:val="auto"/>
        </w:rPr>
        <w:t>果</w:t>
      </w:r>
      <w:r w:rsidRPr="00BF4552">
        <w:rPr>
          <w:rFonts w:hint="eastAsia"/>
          <w:color w:val="auto"/>
        </w:rPr>
        <w:t>，</w:t>
      </w:r>
      <w:r w:rsidRPr="00BF4552">
        <w:rPr>
          <w:color w:val="auto"/>
        </w:rPr>
        <w:t>毋須重送校外審</w:t>
      </w:r>
      <w:r w:rsidRPr="00BF4552">
        <w:rPr>
          <w:rFonts w:hint="eastAsia"/>
          <w:color w:val="auto"/>
        </w:rPr>
        <w:t>；針對</w:t>
      </w:r>
      <w:r w:rsidRPr="00BF4552">
        <w:rPr>
          <w:color w:val="auto"/>
        </w:rPr>
        <w:t>A君</w:t>
      </w:r>
      <w:r w:rsidRPr="00BF4552">
        <w:rPr>
          <w:rFonts w:hint="eastAsia"/>
          <w:color w:val="auto"/>
        </w:rPr>
        <w:t>升</w:t>
      </w:r>
      <w:r w:rsidRPr="00BF4552">
        <w:rPr>
          <w:color w:val="auto"/>
        </w:rPr>
        <w:t>等未通過之不續聘</w:t>
      </w:r>
      <w:r w:rsidRPr="00BF4552">
        <w:rPr>
          <w:rFonts w:hint="eastAsia"/>
          <w:color w:val="auto"/>
        </w:rPr>
        <w:t>案</w:t>
      </w:r>
      <w:r w:rsidRPr="00BF4552">
        <w:rPr>
          <w:color w:val="auto"/>
        </w:rPr>
        <w:t>，</w:t>
      </w:r>
      <w:r w:rsidRPr="00BF4552">
        <w:rPr>
          <w:rFonts w:hint="eastAsia"/>
          <w:color w:val="auto"/>
        </w:rPr>
        <w:t>議決：該校校教評會</w:t>
      </w:r>
      <w:r w:rsidRPr="00BF4552">
        <w:rPr>
          <w:color w:val="auto"/>
        </w:rPr>
        <w:t>決議</w:t>
      </w:r>
      <w:r w:rsidRPr="00BF4552">
        <w:rPr>
          <w:rFonts w:hint="eastAsia"/>
          <w:color w:val="auto"/>
        </w:rPr>
        <w:t>依大學法第19條、該校教師聘約及新聘教師限期升等辦法之規定，視為</w:t>
      </w:r>
      <w:r w:rsidRPr="00BF4552">
        <w:rPr>
          <w:color w:val="auto"/>
        </w:rPr>
        <w:t>不</w:t>
      </w:r>
      <w:r w:rsidRPr="00BF4552">
        <w:rPr>
          <w:rFonts w:hint="eastAsia"/>
          <w:color w:val="auto"/>
        </w:rPr>
        <w:t>符該校教學、研究及服務整體發展需要，影響校務發展重大，自105年8月1日</w:t>
      </w:r>
      <w:r w:rsidRPr="00BF4552">
        <w:rPr>
          <w:color w:val="auto"/>
        </w:rPr>
        <w:t>起</w:t>
      </w:r>
      <w:r w:rsidRPr="00BF4552">
        <w:rPr>
          <w:rFonts w:hint="eastAsia"/>
          <w:color w:val="auto"/>
        </w:rPr>
        <w:t>不再續聘，而維持原不予續聘決議，並於同年12月5日函知A君。A君105年12月23日不</w:t>
      </w:r>
      <w:r w:rsidRPr="00BF4552">
        <w:rPr>
          <w:color w:val="auto"/>
        </w:rPr>
        <w:t>服</w:t>
      </w:r>
      <w:r w:rsidRPr="00BF4552">
        <w:rPr>
          <w:rFonts w:hint="eastAsia"/>
          <w:color w:val="auto"/>
        </w:rPr>
        <w:t>北科大105年11月25日105學年度第1學期第2次校教評會前開決</w:t>
      </w:r>
      <w:r w:rsidRPr="00BF4552">
        <w:rPr>
          <w:color w:val="auto"/>
        </w:rPr>
        <w:t>議</w:t>
      </w:r>
      <w:r w:rsidRPr="00BF4552">
        <w:rPr>
          <w:rFonts w:hint="eastAsia"/>
          <w:color w:val="auto"/>
        </w:rPr>
        <w:t>，</w:t>
      </w:r>
      <w:r w:rsidRPr="00BF4552">
        <w:rPr>
          <w:color w:val="auto"/>
        </w:rPr>
        <w:t>向教育部</w:t>
      </w:r>
      <w:r w:rsidRPr="00BF4552">
        <w:rPr>
          <w:rFonts w:hint="eastAsia"/>
          <w:color w:val="auto"/>
        </w:rPr>
        <w:t>訴願會</w:t>
      </w:r>
      <w:r w:rsidRPr="00BF4552">
        <w:rPr>
          <w:color w:val="auto"/>
        </w:rPr>
        <w:t>提起訴願，</w:t>
      </w:r>
      <w:r w:rsidRPr="00BF4552">
        <w:rPr>
          <w:rFonts w:hint="eastAsia"/>
          <w:color w:val="auto"/>
        </w:rPr>
        <w:t>訴願決定為原處分(即105年11月25日</w:t>
      </w:r>
      <w:r w:rsidRPr="00BF4552">
        <w:rPr>
          <w:color w:val="auto"/>
        </w:rPr>
        <w:t>校教評會決議</w:t>
      </w:r>
      <w:r w:rsidRPr="00BF4552">
        <w:rPr>
          <w:rFonts w:hint="eastAsia"/>
          <w:color w:val="auto"/>
        </w:rPr>
        <w:t>)撤銷</w:t>
      </w:r>
      <w:r w:rsidRPr="00BF4552">
        <w:rPr>
          <w:rStyle w:val="aff2"/>
          <w:color w:val="auto"/>
        </w:rPr>
        <w:footnoteReference w:id="15"/>
      </w:r>
      <w:r w:rsidRPr="00BF4552">
        <w:rPr>
          <w:rFonts w:hint="eastAsia"/>
          <w:color w:val="auto"/>
        </w:rPr>
        <w:t>。</w:t>
      </w:r>
    </w:p>
    <w:p w:rsidR="000B6A17" w:rsidRPr="00BF4552" w:rsidRDefault="000B6A17" w:rsidP="00441162">
      <w:pPr>
        <w:pStyle w:val="5"/>
        <w:rPr>
          <w:color w:val="auto"/>
        </w:rPr>
      </w:pPr>
      <w:r w:rsidRPr="00BF4552">
        <w:rPr>
          <w:rFonts w:hint="eastAsia"/>
          <w:color w:val="auto"/>
        </w:rPr>
        <w:t>A君就北科大校教評會作成之2次不續聘決定，分別</w:t>
      </w:r>
      <w:r w:rsidRPr="00BF4552">
        <w:rPr>
          <w:color w:val="auto"/>
        </w:rPr>
        <w:t>向臺北高等</w:t>
      </w:r>
      <w:r w:rsidRPr="00BF4552">
        <w:rPr>
          <w:rFonts w:hint="eastAsia"/>
          <w:color w:val="auto"/>
        </w:rPr>
        <w:t>行</w:t>
      </w:r>
      <w:r w:rsidRPr="00BF4552">
        <w:rPr>
          <w:color w:val="auto"/>
        </w:rPr>
        <w:t>政法院</w:t>
      </w:r>
      <w:r w:rsidRPr="00BF4552">
        <w:rPr>
          <w:rFonts w:hint="eastAsia"/>
          <w:color w:val="auto"/>
        </w:rPr>
        <w:t>聲</w:t>
      </w:r>
      <w:r w:rsidRPr="00BF4552">
        <w:rPr>
          <w:color w:val="auto"/>
        </w:rPr>
        <w:t>請</w:t>
      </w:r>
      <w:r w:rsidRPr="00BF4552">
        <w:rPr>
          <w:rFonts w:hint="eastAsia"/>
          <w:color w:val="auto"/>
        </w:rPr>
        <w:t>2</w:t>
      </w:r>
      <w:r w:rsidRPr="00BF4552">
        <w:rPr>
          <w:color w:val="auto"/>
        </w:rPr>
        <w:t>次假處分</w:t>
      </w:r>
      <w:r w:rsidRPr="00BF4552">
        <w:rPr>
          <w:rFonts w:hint="eastAsia"/>
          <w:color w:val="auto"/>
        </w:rPr>
        <w:t>，該院分別於105年8月19日以105年度全字第105號裁定、106年1月9日以105年度全字第133號裁</w:t>
      </w:r>
      <w:r w:rsidRPr="00BF4552">
        <w:rPr>
          <w:color w:val="auto"/>
        </w:rPr>
        <w:t>定</w:t>
      </w:r>
      <w:r w:rsidRPr="00BF4552">
        <w:rPr>
          <w:rFonts w:hint="eastAsia"/>
          <w:color w:val="auto"/>
        </w:rPr>
        <w:t>，</w:t>
      </w:r>
      <w:r w:rsidRPr="00BF4552">
        <w:rPr>
          <w:rFonts w:hint="eastAsia"/>
          <w:color w:val="auto"/>
        </w:rPr>
        <w:lastRenderedPageBreak/>
        <w:t>認A君不續聘案於主</w:t>
      </w:r>
      <w:r w:rsidRPr="00BF4552">
        <w:rPr>
          <w:color w:val="auto"/>
        </w:rPr>
        <w:t>管教育機關</w:t>
      </w:r>
      <w:r w:rsidRPr="00BF4552">
        <w:rPr>
          <w:rFonts w:hint="eastAsia"/>
          <w:color w:val="auto"/>
        </w:rPr>
        <w:t>教育部核准前，校方應予暫時繼續聘任A君，並安排授課。北科大不服上開臺北高等行政法院2裁定，依法向</w:t>
      </w:r>
      <w:r w:rsidRPr="00BF4552">
        <w:rPr>
          <w:color w:val="auto"/>
        </w:rPr>
        <w:t>最高行政法院</w:t>
      </w:r>
      <w:r w:rsidRPr="00BF4552">
        <w:rPr>
          <w:rFonts w:hint="eastAsia"/>
          <w:color w:val="auto"/>
        </w:rPr>
        <w:t>提起</w:t>
      </w:r>
      <w:r w:rsidRPr="00BF4552">
        <w:rPr>
          <w:color w:val="auto"/>
        </w:rPr>
        <w:t>抗告</w:t>
      </w:r>
      <w:r w:rsidRPr="00BF4552">
        <w:rPr>
          <w:rFonts w:hint="eastAsia"/>
          <w:color w:val="auto"/>
        </w:rPr>
        <w:t>，最高行政法院分別作成105年9月9日105年度裁字第1075號、106年2月9日106年度裁字第72號裁定，前者為抗告駁回，後者為抗告有理由，原裁定廢棄，</w:t>
      </w:r>
      <w:r w:rsidRPr="00BF4552">
        <w:rPr>
          <w:rFonts w:hint="eastAsia"/>
          <w:color w:val="auto"/>
          <w:szCs w:val="32"/>
        </w:rPr>
        <w:t>理由略以</w:t>
      </w:r>
      <w:r w:rsidRPr="00BF4552">
        <w:rPr>
          <w:rFonts w:hAnsi="標楷體" w:hint="eastAsia"/>
          <w:color w:val="auto"/>
          <w:szCs w:val="32"/>
        </w:rPr>
        <w:t>：</w:t>
      </w:r>
      <w:r w:rsidRPr="00BF4552">
        <w:rPr>
          <w:rFonts w:hint="eastAsia"/>
          <w:color w:val="auto"/>
        </w:rPr>
        <w:t>「……兩造間聘約關係於教育部核定不續聘處分前，因不續聘處分效力尚未發生，本即暫時繼續存在，自無於不續聘處分之本案爭訟前，聲請法院為此定暫時狀態處分之必要。至抗告人未於教育部核定不續聘處分前，支付相對人薪資或為其安排課程，乃抗告人是否違反教師法第</w:t>
      </w:r>
      <w:r w:rsidRPr="00BF4552">
        <w:rPr>
          <w:color w:val="auto"/>
        </w:rPr>
        <w:t>14條之1第2項規定及聘約關係，相對人得否請求抗告人履約或賠償問題</w:t>
      </w:r>
      <w:r w:rsidRPr="00BF4552">
        <w:rPr>
          <w:rFonts w:hint="eastAsia"/>
          <w:color w:val="auto"/>
        </w:rPr>
        <w:t>，其所涉之</w:t>
      </w:r>
      <w:r w:rsidRPr="00BF4552">
        <w:rPr>
          <w:rFonts w:hAnsi="標楷體" w:hint="eastAsia"/>
          <w:color w:val="auto"/>
          <w:szCs w:val="32"/>
        </w:rPr>
        <w:t>法律關係與不續聘本案爭執之法律關係顯非同一，是相對人於不續聘本案爭訟前，請求法院作成命抗告人為其安排課程之暫時狀態處分，自無從許可。……」</w:t>
      </w:r>
    </w:p>
    <w:p w:rsidR="000B6A17" w:rsidRPr="00BF4552" w:rsidRDefault="000B6A17" w:rsidP="00441162">
      <w:pPr>
        <w:pStyle w:val="5"/>
        <w:rPr>
          <w:color w:val="auto"/>
        </w:rPr>
      </w:pPr>
      <w:r w:rsidRPr="00BF4552">
        <w:rPr>
          <w:rFonts w:hint="eastAsia"/>
          <w:color w:val="auto"/>
        </w:rPr>
        <w:t>惟北科大不續聘A君之決定，迄未獲教育部核定，且經上開司法救濟程序，該校竟逕予不續聘，並自105年8月1日停付其薪資、將其全民健康保險退保，雖該校已補發</w:t>
      </w:r>
      <w:r w:rsidR="006C4874" w:rsidRPr="00BF4552">
        <w:rPr>
          <w:rFonts w:hint="eastAsia"/>
          <w:color w:val="auto"/>
        </w:rPr>
        <w:t>自105年8月1日至12月5日之薪資</w:t>
      </w:r>
      <w:r w:rsidRPr="00BF4552">
        <w:rPr>
          <w:rFonts w:hint="eastAsia"/>
          <w:color w:val="auto"/>
        </w:rPr>
        <w:t>，然該校迄未回復其助理教授資格及其有關權利義務，教育部亦未本於主管機關職權善盡督導之責</w:t>
      </w:r>
      <w:r w:rsidRPr="00BF4552">
        <w:rPr>
          <w:rFonts w:hAnsi="標楷體" w:hint="eastAsia"/>
          <w:color w:val="auto"/>
          <w:szCs w:val="48"/>
        </w:rPr>
        <w:t>。</w:t>
      </w:r>
    </w:p>
    <w:p w:rsidR="000B6A17" w:rsidRPr="00BF4552" w:rsidRDefault="000B6A17" w:rsidP="000B6A17">
      <w:pPr>
        <w:pStyle w:val="4"/>
        <w:rPr>
          <w:color w:val="auto"/>
        </w:rPr>
      </w:pPr>
      <w:r w:rsidRPr="00BF4552">
        <w:rPr>
          <w:rFonts w:hint="eastAsia"/>
          <w:color w:val="auto"/>
        </w:rPr>
        <w:t>陳訴人B君：</w:t>
      </w:r>
    </w:p>
    <w:p w:rsidR="000B6A17" w:rsidRPr="00BF4552" w:rsidRDefault="000B6A17" w:rsidP="00441162">
      <w:pPr>
        <w:pStyle w:val="5"/>
        <w:rPr>
          <w:color w:val="auto"/>
        </w:rPr>
      </w:pPr>
      <w:r w:rsidRPr="00BF4552">
        <w:rPr>
          <w:rFonts w:hint="eastAsia"/>
          <w:color w:val="auto"/>
        </w:rPr>
        <w:t>其於99年8月1日受聘北科大專任助理教授；該校105年6月24日104學</w:t>
      </w:r>
      <w:r w:rsidRPr="00BF4552">
        <w:rPr>
          <w:color w:val="auto"/>
        </w:rPr>
        <w:t>年度第</w:t>
      </w:r>
      <w:r w:rsidRPr="00BF4552">
        <w:rPr>
          <w:rFonts w:hint="eastAsia"/>
          <w:color w:val="auto"/>
        </w:rPr>
        <w:t>2學</w:t>
      </w:r>
      <w:r w:rsidRPr="00BF4552">
        <w:rPr>
          <w:color w:val="auto"/>
        </w:rPr>
        <w:t>期第</w:t>
      </w:r>
      <w:r w:rsidRPr="00BF4552">
        <w:rPr>
          <w:rFonts w:hint="eastAsia"/>
          <w:color w:val="auto"/>
        </w:rPr>
        <w:t>3次</w:t>
      </w:r>
      <w:r w:rsidRPr="00BF4552">
        <w:rPr>
          <w:color w:val="auto"/>
        </w:rPr>
        <w:t>校教評會</w:t>
      </w:r>
      <w:r w:rsidRPr="00BF4552">
        <w:rPr>
          <w:rFonts w:hint="eastAsia"/>
          <w:color w:val="auto"/>
        </w:rPr>
        <w:t>、同年11月25日105學</w:t>
      </w:r>
      <w:r w:rsidRPr="00BF4552">
        <w:rPr>
          <w:color w:val="auto"/>
        </w:rPr>
        <w:t>年度第</w:t>
      </w:r>
      <w:r w:rsidRPr="00BF4552">
        <w:rPr>
          <w:rFonts w:hint="eastAsia"/>
          <w:color w:val="auto"/>
        </w:rPr>
        <w:t>1學</w:t>
      </w:r>
      <w:r w:rsidRPr="00BF4552">
        <w:rPr>
          <w:color w:val="auto"/>
        </w:rPr>
        <w:t>期第</w:t>
      </w:r>
      <w:r w:rsidRPr="00BF4552">
        <w:rPr>
          <w:rFonts w:hint="eastAsia"/>
          <w:color w:val="auto"/>
        </w:rPr>
        <w:t>2次校</w:t>
      </w:r>
      <w:r w:rsidRPr="00BF4552">
        <w:rPr>
          <w:color w:val="auto"/>
        </w:rPr>
        <w:t>教評會</w:t>
      </w:r>
      <w:r w:rsidRPr="00BF4552">
        <w:rPr>
          <w:rFonts w:hint="eastAsia"/>
          <w:color w:val="auto"/>
        </w:rPr>
        <w:t>分別審</w:t>
      </w:r>
      <w:r w:rsidRPr="00BF4552">
        <w:rPr>
          <w:color w:val="auto"/>
        </w:rPr>
        <w:t>議</w:t>
      </w:r>
      <w:r w:rsidRPr="00BF4552">
        <w:rPr>
          <w:rFonts w:hint="eastAsia"/>
          <w:color w:val="auto"/>
        </w:rPr>
        <w:t>通</w:t>
      </w:r>
      <w:r w:rsidRPr="00BF4552">
        <w:rPr>
          <w:color w:val="auto"/>
        </w:rPr>
        <w:t>過</w:t>
      </w:r>
      <w:r w:rsidRPr="00BF4552">
        <w:rPr>
          <w:rFonts w:hint="eastAsia"/>
          <w:color w:val="auto"/>
        </w:rPr>
        <w:t>B</w:t>
      </w:r>
      <w:r w:rsidRPr="00BF4552">
        <w:rPr>
          <w:color w:val="auto"/>
        </w:rPr>
        <w:t>君</w:t>
      </w:r>
      <w:r w:rsidRPr="00BF4552">
        <w:rPr>
          <w:rFonts w:hint="eastAsia"/>
          <w:color w:val="auto"/>
        </w:rPr>
        <w:t>未於規定期限內升等，作</w:t>
      </w:r>
      <w:r w:rsidRPr="00BF4552">
        <w:rPr>
          <w:rFonts w:hint="eastAsia"/>
          <w:color w:val="auto"/>
        </w:rPr>
        <w:lastRenderedPageBreak/>
        <w:t>成不續聘決定。其於105年</w:t>
      </w:r>
      <w:r w:rsidRPr="00BF4552">
        <w:rPr>
          <w:color w:val="auto"/>
        </w:rPr>
        <w:t>8</w:t>
      </w:r>
      <w:r w:rsidRPr="00BF4552">
        <w:rPr>
          <w:rFonts w:hint="eastAsia"/>
          <w:color w:val="auto"/>
        </w:rPr>
        <w:t>月</w:t>
      </w:r>
      <w:r w:rsidRPr="00BF4552">
        <w:rPr>
          <w:color w:val="auto"/>
        </w:rPr>
        <w:t>1</w:t>
      </w:r>
      <w:r w:rsidRPr="00BF4552">
        <w:rPr>
          <w:rFonts w:hint="eastAsia"/>
          <w:color w:val="auto"/>
        </w:rPr>
        <w:t>日就該校105年6月24日104學</w:t>
      </w:r>
      <w:r w:rsidRPr="00BF4552">
        <w:rPr>
          <w:color w:val="auto"/>
        </w:rPr>
        <w:t>年度第</w:t>
      </w:r>
      <w:r w:rsidRPr="00BF4552">
        <w:rPr>
          <w:rFonts w:hint="eastAsia"/>
          <w:color w:val="auto"/>
        </w:rPr>
        <w:t>2學</w:t>
      </w:r>
      <w:r w:rsidRPr="00BF4552">
        <w:rPr>
          <w:color w:val="auto"/>
        </w:rPr>
        <w:t>期第</w:t>
      </w:r>
      <w:r w:rsidRPr="00BF4552">
        <w:rPr>
          <w:rFonts w:hint="eastAsia"/>
          <w:color w:val="auto"/>
        </w:rPr>
        <w:t>3次</w:t>
      </w:r>
      <w:r w:rsidRPr="00BF4552">
        <w:rPr>
          <w:color w:val="auto"/>
        </w:rPr>
        <w:t>校教評會</w:t>
      </w:r>
      <w:r w:rsidRPr="00BF4552">
        <w:rPr>
          <w:rFonts w:hint="eastAsia"/>
          <w:color w:val="auto"/>
        </w:rPr>
        <w:t>之決議，</w:t>
      </w:r>
      <w:r w:rsidRPr="00BF4552">
        <w:rPr>
          <w:color w:val="auto"/>
        </w:rPr>
        <w:t>向校</w:t>
      </w:r>
      <w:r w:rsidRPr="00BF4552">
        <w:rPr>
          <w:rFonts w:hint="eastAsia"/>
          <w:color w:val="auto"/>
        </w:rPr>
        <w:t>申評會提起申訴，</w:t>
      </w:r>
      <w:r w:rsidRPr="00BF4552">
        <w:rPr>
          <w:rFonts w:hAnsi="標楷體" w:hint="eastAsia"/>
          <w:color w:val="auto"/>
          <w:szCs w:val="48"/>
        </w:rPr>
        <w:t>經該申評會評議為：</w:t>
      </w:r>
      <w:r w:rsidRPr="00BF4552">
        <w:rPr>
          <w:rFonts w:hAnsi="標楷體"/>
          <w:color w:val="auto"/>
          <w:szCs w:val="48"/>
        </w:rPr>
        <w:t>升等</w:t>
      </w:r>
      <w:r w:rsidRPr="00BF4552">
        <w:rPr>
          <w:rFonts w:hAnsi="標楷體" w:hint="eastAsia"/>
          <w:color w:val="auto"/>
          <w:szCs w:val="48"/>
        </w:rPr>
        <w:t>未通過之部分為申</w:t>
      </w:r>
      <w:r w:rsidRPr="00BF4552">
        <w:rPr>
          <w:rFonts w:hAnsi="標楷體"/>
          <w:color w:val="auto"/>
          <w:szCs w:val="48"/>
        </w:rPr>
        <w:t>訴無理</w:t>
      </w:r>
      <w:r w:rsidRPr="00BF4552">
        <w:rPr>
          <w:rFonts w:hAnsi="標楷體" w:hint="eastAsia"/>
          <w:color w:val="auto"/>
          <w:szCs w:val="48"/>
        </w:rPr>
        <w:t>由。另就不予續聘部分評議為：申訴有理由。</w:t>
      </w:r>
      <w:r w:rsidRPr="00BF4552">
        <w:rPr>
          <w:rFonts w:hint="eastAsia"/>
          <w:color w:val="auto"/>
        </w:rPr>
        <w:t>理由略以：「校教評會通過申訴人不續聘案，決議內容僅引據相關法規，卻未具體敘明校教評會審議認定申訴人影響校務發展之程度，難謂妥適，經本會決議，本件申訴有理由，請原措施單位另為適當之處置。」</w:t>
      </w:r>
    </w:p>
    <w:p w:rsidR="000B6A17" w:rsidRPr="00BF4552" w:rsidRDefault="009D1EC0" w:rsidP="00441162">
      <w:pPr>
        <w:pStyle w:val="5"/>
        <w:rPr>
          <w:color w:val="auto"/>
        </w:rPr>
      </w:pPr>
      <w:r w:rsidRPr="00BF4552">
        <w:rPr>
          <w:rFonts w:hint="eastAsia"/>
          <w:color w:val="auto"/>
        </w:rPr>
        <w:t>嗣後，該</w:t>
      </w:r>
      <w:r w:rsidRPr="00BF4552">
        <w:rPr>
          <w:color w:val="auto"/>
        </w:rPr>
        <w:t>校</w:t>
      </w:r>
      <w:r w:rsidRPr="00BF4552">
        <w:rPr>
          <w:rFonts w:hint="eastAsia"/>
          <w:color w:val="auto"/>
        </w:rPr>
        <w:t>105年11月25日105學</w:t>
      </w:r>
      <w:r w:rsidRPr="00BF4552">
        <w:rPr>
          <w:color w:val="auto"/>
        </w:rPr>
        <w:t>年度第</w:t>
      </w:r>
      <w:r w:rsidRPr="00BF4552">
        <w:rPr>
          <w:rFonts w:hint="eastAsia"/>
          <w:color w:val="auto"/>
        </w:rPr>
        <w:t>1學</w:t>
      </w:r>
      <w:r w:rsidRPr="00BF4552">
        <w:rPr>
          <w:color w:val="auto"/>
        </w:rPr>
        <w:t>期第</w:t>
      </w:r>
      <w:r w:rsidRPr="00BF4552">
        <w:rPr>
          <w:rFonts w:hint="eastAsia"/>
          <w:color w:val="auto"/>
        </w:rPr>
        <w:t>2次</w:t>
      </w:r>
      <w:r w:rsidRPr="00BF4552">
        <w:rPr>
          <w:color w:val="auto"/>
        </w:rPr>
        <w:t>校教評會</w:t>
      </w:r>
      <w:r w:rsidRPr="00BF4552">
        <w:rPr>
          <w:rFonts w:hint="eastAsia"/>
          <w:color w:val="auto"/>
        </w:rPr>
        <w:t>仍決</w:t>
      </w:r>
      <w:r w:rsidRPr="00BF4552">
        <w:rPr>
          <w:color w:val="auto"/>
        </w:rPr>
        <w:t>議</w:t>
      </w:r>
      <w:r w:rsidRPr="00BF4552">
        <w:rPr>
          <w:rFonts w:hint="eastAsia"/>
          <w:color w:val="auto"/>
        </w:rPr>
        <w:t>自同年8月1日不續聘。其針對該不續聘之決議提</w:t>
      </w:r>
      <w:r w:rsidRPr="00BF4552">
        <w:rPr>
          <w:color w:val="auto"/>
        </w:rPr>
        <w:t>起</w:t>
      </w:r>
      <w:r w:rsidRPr="00BF4552">
        <w:rPr>
          <w:rFonts w:hint="eastAsia"/>
          <w:color w:val="auto"/>
        </w:rPr>
        <w:t>訴</w:t>
      </w:r>
      <w:r w:rsidRPr="00BF4552">
        <w:rPr>
          <w:color w:val="auto"/>
        </w:rPr>
        <w:t>願</w:t>
      </w:r>
      <w:r w:rsidRPr="00BF4552">
        <w:rPr>
          <w:rFonts w:hint="eastAsia"/>
          <w:color w:val="auto"/>
        </w:rPr>
        <w:t>，經</w:t>
      </w:r>
      <w:r w:rsidRPr="00BF4552">
        <w:rPr>
          <w:color w:val="auto"/>
        </w:rPr>
        <w:t>教育部</w:t>
      </w:r>
      <w:r w:rsidRPr="00BF4552">
        <w:rPr>
          <w:rFonts w:hint="eastAsia"/>
          <w:color w:val="auto"/>
        </w:rPr>
        <w:t>訴願會撤銷原處分(撤銷理由與前揭A君之訴願決定相同)。然該校106年4月校教評會仍維持不續聘之處分。</w:t>
      </w:r>
    </w:p>
    <w:p w:rsidR="009D1EC0" w:rsidRPr="00BF4552" w:rsidRDefault="009D1EC0" w:rsidP="00441162">
      <w:pPr>
        <w:pStyle w:val="5"/>
        <w:rPr>
          <w:color w:val="auto"/>
        </w:rPr>
      </w:pPr>
      <w:r w:rsidRPr="00BF4552">
        <w:rPr>
          <w:rFonts w:hint="eastAsia"/>
          <w:color w:val="auto"/>
        </w:rPr>
        <w:t>B君因不服該校不予續聘之決議，</w:t>
      </w:r>
      <w:r w:rsidRPr="00BF4552">
        <w:rPr>
          <w:color w:val="auto"/>
        </w:rPr>
        <w:t>向臺北高等</w:t>
      </w:r>
      <w:r w:rsidRPr="00BF4552">
        <w:rPr>
          <w:rFonts w:hint="eastAsia"/>
          <w:color w:val="auto"/>
        </w:rPr>
        <w:t>行</w:t>
      </w:r>
      <w:r w:rsidRPr="00BF4552">
        <w:rPr>
          <w:color w:val="auto"/>
        </w:rPr>
        <w:t>政法院</w:t>
      </w:r>
      <w:r w:rsidRPr="00BF4552">
        <w:rPr>
          <w:rFonts w:hint="eastAsia"/>
          <w:color w:val="auto"/>
        </w:rPr>
        <w:t>聲</w:t>
      </w:r>
      <w:r w:rsidRPr="00BF4552">
        <w:rPr>
          <w:color w:val="auto"/>
        </w:rPr>
        <w:t>請假處分</w:t>
      </w:r>
      <w:r w:rsidRPr="00BF4552">
        <w:rPr>
          <w:rFonts w:hint="eastAsia"/>
          <w:color w:val="auto"/>
        </w:rPr>
        <w:t>，該院於105年</w:t>
      </w:r>
      <w:r w:rsidRPr="00BF4552">
        <w:rPr>
          <w:color w:val="auto"/>
        </w:rPr>
        <w:t>12</w:t>
      </w:r>
      <w:r w:rsidRPr="00BF4552">
        <w:rPr>
          <w:rFonts w:hint="eastAsia"/>
          <w:color w:val="auto"/>
        </w:rPr>
        <w:t>月</w:t>
      </w:r>
      <w:r w:rsidRPr="00BF4552">
        <w:rPr>
          <w:color w:val="auto"/>
        </w:rPr>
        <w:t>28</w:t>
      </w:r>
      <w:r w:rsidRPr="00BF4552">
        <w:rPr>
          <w:rFonts w:hint="eastAsia"/>
          <w:color w:val="auto"/>
        </w:rPr>
        <w:t>日作成105年度全字第1</w:t>
      </w:r>
      <w:r w:rsidRPr="00BF4552">
        <w:rPr>
          <w:color w:val="auto"/>
        </w:rPr>
        <w:t>34</w:t>
      </w:r>
      <w:r w:rsidRPr="00BF4552">
        <w:rPr>
          <w:rFonts w:hint="eastAsia"/>
          <w:color w:val="auto"/>
        </w:rPr>
        <w:t>號裁</w:t>
      </w:r>
      <w:r w:rsidRPr="00BF4552">
        <w:rPr>
          <w:color w:val="auto"/>
        </w:rPr>
        <w:t>定</w:t>
      </w:r>
      <w:r w:rsidRPr="00BF4552">
        <w:rPr>
          <w:rFonts w:hint="eastAsia"/>
          <w:color w:val="auto"/>
        </w:rPr>
        <w:t>，認B君不續聘案於主</w:t>
      </w:r>
      <w:r w:rsidRPr="00BF4552">
        <w:rPr>
          <w:color w:val="auto"/>
        </w:rPr>
        <w:t>管教育機關</w:t>
      </w:r>
      <w:r w:rsidRPr="00BF4552">
        <w:rPr>
          <w:rFonts w:hint="eastAsia"/>
          <w:color w:val="auto"/>
        </w:rPr>
        <w:t>教育部核准前，該校應予暫時繼續聘任B君，並安排授課；該校不服上開臺北高等行政法院裁定，依法向最高</w:t>
      </w:r>
      <w:r w:rsidRPr="00BF4552">
        <w:rPr>
          <w:color w:val="auto"/>
        </w:rPr>
        <w:t>行政法院</w:t>
      </w:r>
      <w:r w:rsidRPr="00BF4552">
        <w:rPr>
          <w:rFonts w:hint="eastAsia"/>
          <w:color w:val="auto"/>
        </w:rPr>
        <w:t>提起</w:t>
      </w:r>
      <w:r w:rsidRPr="00BF4552">
        <w:rPr>
          <w:color w:val="auto"/>
        </w:rPr>
        <w:t>抗告</w:t>
      </w:r>
      <w:r w:rsidRPr="00BF4552">
        <w:rPr>
          <w:rFonts w:hint="eastAsia"/>
          <w:color w:val="auto"/>
        </w:rPr>
        <w:t>，嗣</w:t>
      </w:r>
      <w:r w:rsidRPr="00BF4552">
        <w:rPr>
          <w:color w:val="auto"/>
        </w:rPr>
        <w:t>經</w:t>
      </w:r>
      <w:r w:rsidRPr="00BF4552">
        <w:rPr>
          <w:rFonts w:hint="eastAsia"/>
          <w:color w:val="auto"/>
        </w:rPr>
        <w:t>該院作成</w:t>
      </w:r>
      <w:r w:rsidRPr="00BF4552">
        <w:rPr>
          <w:color w:val="auto"/>
        </w:rPr>
        <w:t>106</w:t>
      </w:r>
      <w:r w:rsidRPr="00BF4552">
        <w:rPr>
          <w:rFonts w:hint="eastAsia"/>
          <w:color w:val="auto"/>
        </w:rPr>
        <w:t>年</w:t>
      </w:r>
      <w:r w:rsidRPr="00BF4552">
        <w:rPr>
          <w:color w:val="auto"/>
        </w:rPr>
        <w:t>2</w:t>
      </w:r>
      <w:r w:rsidRPr="00BF4552">
        <w:rPr>
          <w:rFonts w:hint="eastAsia"/>
          <w:color w:val="auto"/>
        </w:rPr>
        <w:t>月</w:t>
      </w:r>
      <w:r w:rsidRPr="00BF4552">
        <w:rPr>
          <w:color w:val="auto"/>
        </w:rPr>
        <w:t>10</w:t>
      </w:r>
      <w:r w:rsidRPr="00BF4552">
        <w:rPr>
          <w:rFonts w:hint="eastAsia"/>
          <w:color w:val="auto"/>
        </w:rPr>
        <w:t>日10</w:t>
      </w:r>
      <w:r w:rsidRPr="00BF4552">
        <w:rPr>
          <w:color w:val="auto"/>
        </w:rPr>
        <w:t>6</w:t>
      </w:r>
      <w:r w:rsidRPr="00BF4552">
        <w:rPr>
          <w:rFonts w:hint="eastAsia"/>
          <w:color w:val="auto"/>
        </w:rPr>
        <w:t>年度裁字第</w:t>
      </w:r>
      <w:r w:rsidRPr="00BF4552">
        <w:rPr>
          <w:color w:val="auto"/>
        </w:rPr>
        <w:t>78</w:t>
      </w:r>
      <w:r w:rsidRPr="00BF4552">
        <w:rPr>
          <w:rFonts w:hint="eastAsia"/>
          <w:color w:val="auto"/>
        </w:rPr>
        <w:t>號裁定，裁定主文為：「原裁定廢棄」。</w:t>
      </w:r>
      <w:r w:rsidRPr="00BF4552">
        <w:rPr>
          <w:rFonts w:hint="eastAsia"/>
          <w:color w:val="auto"/>
          <w:szCs w:val="32"/>
        </w:rPr>
        <w:t>理由略以</w:t>
      </w:r>
      <w:r w:rsidRPr="00BF4552">
        <w:rPr>
          <w:rFonts w:hAnsi="標楷體" w:hint="eastAsia"/>
          <w:color w:val="auto"/>
          <w:szCs w:val="32"/>
        </w:rPr>
        <w:t>：查相對人本件請求之暫時狀態內容「命抗告人在相對人不續聘案於教育部核准前，應予暫時繼續聘任相對人，且依規定安排每週基本授課時數9小時之課程予相對人」，核其主張之法律關係實為：於教育部核定系爭不續聘處分前，教師法第14條之1第2項規定兩造間之聘任關係暫時繼續存在；與相對人本案所爭執之抗告人得否不與相對人續訂聘約，尚屬有間。依上開規定及說明，</w:t>
      </w:r>
      <w:r w:rsidRPr="00BF4552">
        <w:rPr>
          <w:rFonts w:hAnsi="標楷體" w:hint="eastAsia"/>
          <w:color w:val="auto"/>
          <w:szCs w:val="32"/>
        </w:rPr>
        <w:lastRenderedPageBreak/>
        <w:t>兩造間聘約關係於教育部核定不續聘處分前，因不續聘處分效力尚未發生，本即暫時繼續存在，自無於不續聘處分之本案爭訟前，聲請法院為此定暫時狀態處分之必要。至抗告人未於教育部核定不續聘處分前，支付相對人薪資或為其安排課程，乃抗告人是否違反教師法第14條之1第2項規定及聘約關係，相對人得否請求抗告人履約或賠償問題，其所涉之法律關係與不續聘本案爭執之法律關係顯非同一，是相對人於不續聘本案爭訟前，請求法院作成命抗告人為其安排課程之暫時狀態處分，自無從許可。」等語。</w:t>
      </w:r>
    </w:p>
    <w:p w:rsidR="006C4874" w:rsidRPr="00BF4552" w:rsidRDefault="009D1EC0" w:rsidP="007C2782">
      <w:pPr>
        <w:pStyle w:val="5"/>
        <w:rPr>
          <w:color w:val="auto"/>
        </w:rPr>
      </w:pPr>
      <w:r w:rsidRPr="00BF4552">
        <w:rPr>
          <w:rFonts w:hint="eastAsia"/>
          <w:color w:val="auto"/>
        </w:rPr>
        <w:t>嗣該</w:t>
      </w:r>
      <w:r w:rsidRPr="00BF4552">
        <w:rPr>
          <w:color w:val="auto"/>
        </w:rPr>
        <w:t>校</w:t>
      </w:r>
      <w:r w:rsidRPr="00BF4552">
        <w:rPr>
          <w:rFonts w:hint="eastAsia"/>
          <w:color w:val="auto"/>
        </w:rPr>
        <w:t>106年3月24日105學</w:t>
      </w:r>
      <w:r w:rsidRPr="00BF4552">
        <w:rPr>
          <w:color w:val="auto"/>
        </w:rPr>
        <w:t>年度第</w:t>
      </w:r>
      <w:r w:rsidRPr="00BF4552">
        <w:rPr>
          <w:rFonts w:hint="eastAsia"/>
          <w:color w:val="auto"/>
        </w:rPr>
        <w:t>2學</w:t>
      </w:r>
      <w:r w:rsidRPr="00BF4552">
        <w:rPr>
          <w:color w:val="auto"/>
        </w:rPr>
        <w:t>期第</w:t>
      </w:r>
      <w:r w:rsidRPr="00BF4552">
        <w:rPr>
          <w:rFonts w:hint="eastAsia"/>
          <w:color w:val="auto"/>
        </w:rPr>
        <w:t>1次</w:t>
      </w:r>
      <w:r w:rsidRPr="00BF4552">
        <w:rPr>
          <w:color w:val="auto"/>
        </w:rPr>
        <w:t>校教評會決議，</w:t>
      </w:r>
      <w:r w:rsidRPr="00BF4552">
        <w:rPr>
          <w:rFonts w:hint="eastAsia"/>
          <w:color w:val="auto"/>
        </w:rPr>
        <w:t>同意於B君升等未通過乙案申訴結果及司法院大法官就本案相關法律疑義作出解釋前，暫不予繼續聘任B君。鑑於教育部仍於106年6月3日函該校依該部訴願決定書、90年2月21日函釋及訴願法等規定，繼續自原不續聘執行日期繼續聘任該師及補發薪資等</w:t>
      </w:r>
      <w:r w:rsidRPr="00BF4552">
        <w:rPr>
          <w:color w:val="auto"/>
        </w:rPr>
        <w:t>節</w:t>
      </w:r>
      <w:r w:rsidRPr="00BF4552">
        <w:rPr>
          <w:rFonts w:hint="eastAsia"/>
          <w:color w:val="auto"/>
        </w:rPr>
        <w:t>，該校嗣於106年6月23日105學年度第2學期第3次校教評會作成決議，因106年3月24日教評會業已決議，於B君升等未通過案再申訴結果及司法院大法官就本案相關法律疑義作出解釋前，暫不回復聘任B君，爰遵循上開決議意旨，本次不審議B君不續聘案。</w:t>
      </w:r>
    </w:p>
    <w:p w:rsidR="009D1EC0" w:rsidRPr="00BF4552" w:rsidRDefault="006C4874" w:rsidP="007C2782">
      <w:pPr>
        <w:pStyle w:val="5"/>
        <w:rPr>
          <w:color w:val="auto"/>
        </w:rPr>
      </w:pPr>
      <w:r w:rsidRPr="00BF4552">
        <w:rPr>
          <w:rFonts w:hint="eastAsia"/>
          <w:color w:val="auto"/>
        </w:rPr>
        <w:t>B君對於</w:t>
      </w:r>
      <w:r w:rsidR="007C2782" w:rsidRPr="00BF4552">
        <w:rPr>
          <w:rFonts w:hint="eastAsia"/>
          <w:color w:val="auto"/>
        </w:rPr>
        <w:t>該校迄未依教師法規定於申訴期間給予臨時聘約，並自105年8月起已無支薪，公保亦遭取消，健保亦遭轉出，</w:t>
      </w:r>
      <w:r w:rsidRPr="00BF4552">
        <w:rPr>
          <w:rFonts w:hint="eastAsia"/>
          <w:color w:val="auto"/>
        </w:rPr>
        <w:t>雖該校已補發自105年8月1日至12月5日之薪資，然因北科大刻意延宕(提起釋憲)，致復職遙遙無期。</w:t>
      </w:r>
    </w:p>
    <w:p w:rsidR="000B6A17" w:rsidRPr="00BF4552" w:rsidRDefault="009D1EC0" w:rsidP="003663C6">
      <w:pPr>
        <w:pStyle w:val="3"/>
      </w:pPr>
      <w:r w:rsidRPr="00BF4552">
        <w:rPr>
          <w:rFonts w:hint="eastAsia"/>
        </w:rPr>
        <w:t>綜上</w:t>
      </w:r>
      <w:r w:rsidRPr="00BF4552">
        <w:rPr>
          <w:rFonts w:hAnsi="標楷體" w:hint="eastAsia"/>
        </w:rPr>
        <w:t>，</w:t>
      </w:r>
      <w:r w:rsidRPr="00BF4552">
        <w:rPr>
          <w:rFonts w:hint="eastAsia"/>
        </w:rPr>
        <w:t>陳訴人係因不服北科大對其所為不續聘之</w:t>
      </w:r>
      <w:r w:rsidRPr="00BF4552">
        <w:rPr>
          <w:rFonts w:hint="eastAsia"/>
        </w:rPr>
        <w:lastRenderedPageBreak/>
        <w:t>處分，依行政訴訟法第298條第2項規定，以有防止發生重大之損害或避免急迫危險之必要，而向法院聲請定暫時狀態處分，並未就其與北科大間所爭執之公法上法律關係，向法院提起本案</w:t>
      </w:r>
      <w:r w:rsidRPr="00BF4552">
        <w:t>訴訟</w:t>
      </w:r>
      <w:r w:rsidRPr="00BF4552">
        <w:rPr>
          <w:rFonts w:hint="eastAsia"/>
        </w:rPr>
        <w:t>。為終局解決雙方之間所爭執之公法上法律關係，爰建議陳訴人儘速提起本案訴訟為宜。</w:t>
      </w:r>
      <w:r w:rsidR="00606C2B" w:rsidRPr="00BF4552">
        <w:rPr>
          <w:rFonts w:hint="eastAsia"/>
        </w:rPr>
        <w:t>另有關</w:t>
      </w:r>
      <w:r w:rsidRPr="00BF4552">
        <w:rPr>
          <w:rFonts w:hint="eastAsia"/>
        </w:rPr>
        <w:t>陳訴人主張北科大不續聘之處分，業經上開司法救濟程序，確認</w:t>
      </w:r>
      <w:r w:rsidRPr="00BF4552">
        <w:rPr>
          <w:rFonts w:hAnsi="標楷體" w:hint="eastAsia"/>
          <w:szCs w:val="32"/>
        </w:rPr>
        <w:t>兩造間聘約關係於教育部核定不續聘處分前繼續存在，</w:t>
      </w:r>
      <w:r w:rsidRPr="00BF4552">
        <w:rPr>
          <w:rFonts w:hint="eastAsia"/>
        </w:rPr>
        <w:t>該校竟逕予不續聘，並自105年8月1日停付其薪資、將其全民健康保險退保，雖該校已補發</w:t>
      </w:r>
      <w:r w:rsidR="00CD351F" w:rsidRPr="00BF4552">
        <w:rPr>
          <w:rFonts w:hint="eastAsia"/>
        </w:rPr>
        <w:t>自105年8月1日至12月5日之薪資</w:t>
      </w:r>
      <w:r w:rsidRPr="00BF4552">
        <w:rPr>
          <w:rFonts w:hint="eastAsia"/>
        </w:rPr>
        <w:t>，然該校迄未回復其助理教授資格及其有關權利義務等語，亦須陳訴人向司法機關提起本案訴訟加以解決</w:t>
      </w:r>
      <w:r w:rsidR="006C4874" w:rsidRPr="00BF4552">
        <w:rPr>
          <w:rFonts w:hint="eastAsia"/>
        </w:rPr>
        <w:t>，併予敘明</w:t>
      </w:r>
      <w:r w:rsidRPr="00BF4552">
        <w:rPr>
          <w:rFonts w:hAnsi="標楷體" w:hint="eastAsia"/>
        </w:rPr>
        <w:t>。</w:t>
      </w:r>
    </w:p>
    <w:bookmarkEnd w:id="27"/>
    <w:bookmarkEnd w:id="28"/>
    <w:bookmarkEnd w:id="29"/>
    <w:bookmarkEnd w:id="30"/>
    <w:bookmarkEnd w:id="31"/>
    <w:bookmarkEnd w:id="32"/>
    <w:p w:rsidR="002D7433" w:rsidRPr="00BF4552" w:rsidRDefault="002D7433" w:rsidP="00441162">
      <w:pPr>
        <w:pStyle w:val="5"/>
        <w:rPr>
          <w:color w:val="auto"/>
        </w:rPr>
      </w:pPr>
      <w:r w:rsidRPr="00BF4552">
        <w:rPr>
          <w:color w:val="auto"/>
        </w:rPr>
        <w:br w:type="page"/>
      </w:r>
    </w:p>
    <w:p w:rsidR="002D7433" w:rsidRPr="00BF4552" w:rsidRDefault="002D7433" w:rsidP="002D7433">
      <w:pPr>
        <w:numPr>
          <w:ilvl w:val="0"/>
          <w:numId w:val="6"/>
        </w:numPr>
        <w:ind w:left="2380" w:hanging="2380"/>
        <w:outlineLvl w:val="0"/>
        <w:rPr>
          <w:rFonts w:hAnsi="Arial"/>
          <w:bCs/>
          <w:kern w:val="32"/>
          <w:szCs w:val="52"/>
        </w:rPr>
      </w:pPr>
      <w:bookmarkStart w:id="37" w:name="_Toc529222689"/>
      <w:bookmarkStart w:id="38" w:name="_Toc529223111"/>
      <w:bookmarkStart w:id="39" w:name="_Toc529223862"/>
      <w:bookmarkStart w:id="40" w:name="_Toc529228265"/>
      <w:bookmarkStart w:id="41" w:name="_Toc2400395"/>
      <w:bookmarkStart w:id="42" w:name="_Toc4316189"/>
      <w:bookmarkStart w:id="43" w:name="_Toc4473330"/>
      <w:bookmarkStart w:id="44" w:name="_Toc69556897"/>
      <w:bookmarkStart w:id="45" w:name="_Toc69556946"/>
      <w:bookmarkStart w:id="46" w:name="_Toc69609820"/>
      <w:bookmarkStart w:id="47" w:name="_Toc70241816"/>
      <w:bookmarkStart w:id="48" w:name="_Toc70242205"/>
      <w:bookmarkStart w:id="49" w:name="_Toc421794875"/>
      <w:bookmarkStart w:id="50" w:name="_Toc422834160"/>
      <w:bookmarkStart w:id="51" w:name="_Toc494985683"/>
      <w:r w:rsidRPr="00BF4552">
        <w:rPr>
          <w:rFonts w:hAnsi="Arial" w:hint="eastAsia"/>
          <w:bCs/>
          <w:kern w:val="32"/>
          <w:szCs w:val="52"/>
        </w:rPr>
        <w:lastRenderedPageBreak/>
        <w:t>處理辦法：</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2D7433" w:rsidRPr="00BF4552" w:rsidRDefault="002D7433" w:rsidP="002D7433">
      <w:pPr>
        <w:numPr>
          <w:ilvl w:val="1"/>
          <w:numId w:val="6"/>
        </w:numPr>
        <w:ind w:left="1021"/>
        <w:outlineLvl w:val="1"/>
        <w:rPr>
          <w:rFonts w:hAnsi="Arial"/>
          <w:bCs/>
          <w:kern w:val="32"/>
          <w:szCs w:val="48"/>
        </w:rPr>
      </w:pPr>
      <w:bookmarkStart w:id="52" w:name="_Toc524895649"/>
      <w:bookmarkStart w:id="53" w:name="_Toc524896195"/>
      <w:bookmarkStart w:id="54" w:name="_Toc524896225"/>
      <w:bookmarkStart w:id="55" w:name="_Toc70241820"/>
      <w:bookmarkStart w:id="56" w:name="_Toc70242209"/>
      <w:bookmarkStart w:id="57" w:name="_Toc421794876"/>
      <w:bookmarkStart w:id="58" w:name="_Toc421795442"/>
      <w:bookmarkStart w:id="59" w:name="_Toc421796023"/>
      <w:bookmarkStart w:id="60" w:name="_Toc422728958"/>
      <w:bookmarkStart w:id="61" w:name="_Toc422834161"/>
      <w:bookmarkStart w:id="62" w:name="_Toc2400396"/>
      <w:bookmarkStart w:id="63" w:name="_Toc4316190"/>
      <w:bookmarkStart w:id="64" w:name="_Toc4473331"/>
      <w:bookmarkStart w:id="65" w:name="_Toc69556898"/>
      <w:bookmarkStart w:id="66" w:name="_Toc69556947"/>
      <w:bookmarkStart w:id="67" w:name="_Toc69609821"/>
      <w:bookmarkStart w:id="68" w:name="_Toc70241817"/>
      <w:bookmarkStart w:id="69" w:name="_Toc70242206"/>
      <w:bookmarkStart w:id="70" w:name="_Toc494719734"/>
      <w:bookmarkStart w:id="71" w:name="_Toc494985684"/>
      <w:bookmarkStart w:id="72" w:name="_Toc524902735"/>
      <w:bookmarkStart w:id="73" w:name="_Toc525066149"/>
      <w:bookmarkStart w:id="74" w:name="_Toc525070840"/>
      <w:bookmarkStart w:id="75" w:name="_Toc525938380"/>
      <w:bookmarkStart w:id="76" w:name="_Toc525939228"/>
      <w:bookmarkStart w:id="77" w:name="_Toc525939733"/>
      <w:bookmarkStart w:id="78" w:name="_Toc529218273"/>
      <w:bookmarkStart w:id="79" w:name="_Toc529222690"/>
      <w:bookmarkStart w:id="80" w:name="_Toc529223112"/>
      <w:bookmarkStart w:id="81" w:name="_Toc529223863"/>
      <w:bookmarkStart w:id="82" w:name="_Toc529228266"/>
      <w:bookmarkEnd w:id="52"/>
      <w:bookmarkEnd w:id="53"/>
      <w:bookmarkEnd w:id="54"/>
      <w:r w:rsidRPr="00BF4552">
        <w:rPr>
          <w:rFonts w:hAnsi="Arial" w:hint="eastAsia"/>
          <w:bCs/>
          <w:kern w:val="32"/>
          <w:szCs w:val="48"/>
        </w:rPr>
        <w:t>調查意見</w:t>
      </w:r>
      <w:bookmarkStart w:id="83" w:name="_Toc421794877"/>
      <w:bookmarkStart w:id="84" w:name="_Toc421795443"/>
      <w:bookmarkStart w:id="85" w:name="_Toc421796024"/>
      <w:bookmarkStart w:id="86" w:name="_Toc422728959"/>
      <w:bookmarkStart w:id="87" w:name="_Toc422834162"/>
      <w:bookmarkEnd w:id="55"/>
      <w:bookmarkEnd w:id="56"/>
      <w:bookmarkEnd w:id="57"/>
      <w:bookmarkEnd w:id="58"/>
      <w:bookmarkEnd w:id="59"/>
      <w:bookmarkEnd w:id="60"/>
      <w:bookmarkEnd w:id="61"/>
      <w:r w:rsidRPr="00BF4552">
        <w:rPr>
          <w:rFonts w:hAnsi="Arial" w:hint="eastAsia"/>
          <w:bCs/>
          <w:kern w:val="32"/>
          <w:szCs w:val="48"/>
        </w:rPr>
        <w:t>一及</w:t>
      </w:r>
      <w:r w:rsidR="00AD506A" w:rsidRPr="00BF4552">
        <w:rPr>
          <w:rFonts w:hAnsi="Arial" w:hint="eastAsia"/>
          <w:bCs/>
          <w:kern w:val="32"/>
          <w:szCs w:val="48"/>
        </w:rPr>
        <w:t>二</w:t>
      </w:r>
      <w:r w:rsidRPr="00BF4552">
        <w:rPr>
          <w:rFonts w:hAnsi="標楷體" w:hint="eastAsia"/>
          <w:bCs/>
          <w:kern w:val="32"/>
          <w:szCs w:val="48"/>
        </w:rPr>
        <w:t>，</w:t>
      </w:r>
      <w:r w:rsidRPr="00BF4552">
        <w:rPr>
          <w:rFonts w:hAnsi="Arial" w:hint="eastAsia"/>
          <w:bCs/>
          <w:kern w:val="32"/>
          <w:szCs w:val="48"/>
        </w:rPr>
        <w:t>函請教育部確實檢討改進，並於2個月內見復</w:t>
      </w:r>
      <w:bookmarkEnd w:id="62"/>
      <w:bookmarkEnd w:id="63"/>
      <w:bookmarkEnd w:id="64"/>
      <w:bookmarkEnd w:id="65"/>
      <w:bookmarkEnd w:id="66"/>
      <w:bookmarkEnd w:id="67"/>
      <w:bookmarkEnd w:id="68"/>
      <w:bookmarkEnd w:id="69"/>
      <w:bookmarkEnd w:id="70"/>
      <w:bookmarkEnd w:id="83"/>
      <w:bookmarkEnd w:id="84"/>
      <w:bookmarkEnd w:id="85"/>
      <w:bookmarkEnd w:id="86"/>
      <w:bookmarkEnd w:id="87"/>
      <w:r w:rsidR="00693199" w:rsidRPr="00BF4552">
        <w:rPr>
          <w:rFonts w:hAnsi="Arial" w:hint="eastAsia"/>
          <w:bCs/>
          <w:kern w:val="32"/>
          <w:szCs w:val="48"/>
        </w:rPr>
        <w:t>；調查意見</w:t>
      </w:r>
      <w:r w:rsidR="00AD506A" w:rsidRPr="00BF4552">
        <w:rPr>
          <w:rFonts w:hAnsi="Arial" w:hint="eastAsia"/>
          <w:bCs/>
          <w:kern w:val="32"/>
          <w:szCs w:val="48"/>
        </w:rPr>
        <w:t>三</w:t>
      </w:r>
      <w:r w:rsidR="00693199" w:rsidRPr="00BF4552">
        <w:rPr>
          <w:rFonts w:hAnsi="Arial" w:hint="eastAsia"/>
          <w:bCs/>
          <w:kern w:val="32"/>
          <w:szCs w:val="48"/>
        </w:rPr>
        <w:t>及四，函請教育部參考。</w:t>
      </w:r>
      <w:bookmarkEnd w:id="71"/>
    </w:p>
    <w:p w:rsidR="002D7433" w:rsidRPr="00BF4552" w:rsidRDefault="002D7433" w:rsidP="002D7433">
      <w:pPr>
        <w:numPr>
          <w:ilvl w:val="1"/>
          <w:numId w:val="6"/>
        </w:numPr>
        <w:ind w:left="1021"/>
        <w:outlineLvl w:val="1"/>
        <w:rPr>
          <w:rFonts w:hAnsi="Arial"/>
          <w:bCs/>
          <w:kern w:val="32"/>
          <w:szCs w:val="48"/>
        </w:rPr>
      </w:pPr>
      <w:bookmarkStart w:id="88" w:name="_Toc70241819"/>
      <w:bookmarkStart w:id="89" w:name="_Toc70242208"/>
      <w:bookmarkStart w:id="90" w:name="_Toc421794878"/>
      <w:bookmarkStart w:id="91" w:name="_Toc421795444"/>
      <w:bookmarkStart w:id="92" w:name="_Toc421796025"/>
      <w:bookmarkStart w:id="93" w:name="_Toc422728960"/>
      <w:bookmarkStart w:id="94" w:name="_Toc422834163"/>
      <w:bookmarkStart w:id="95" w:name="_Toc494719735"/>
      <w:bookmarkStart w:id="96" w:name="_Toc494985685"/>
      <w:bookmarkStart w:id="97" w:name="_Toc70241818"/>
      <w:bookmarkStart w:id="98" w:name="_Toc70242207"/>
      <w:bookmarkStart w:id="99" w:name="_Toc69556899"/>
      <w:bookmarkStart w:id="100" w:name="_Toc69556948"/>
      <w:bookmarkStart w:id="101" w:name="_Toc69609822"/>
      <w:r w:rsidRPr="00BF4552">
        <w:rPr>
          <w:rFonts w:hAnsi="Arial" w:hint="eastAsia"/>
          <w:bCs/>
          <w:kern w:val="32"/>
          <w:szCs w:val="48"/>
        </w:rPr>
        <w:t>調查意見</w:t>
      </w:r>
      <w:r w:rsidR="001B0103" w:rsidRPr="00BF4552">
        <w:rPr>
          <w:rFonts w:hAnsi="Arial" w:hint="eastAsia"/>
          <w:bCs/>
          <w:kern w:val="32"/>
          <w:szCs w:val="48"/>
        </w:rPr>
        <w:t>一、</w:t>
      </w:r>
      <w:r w:rsidR="00AD506A" w:rsidRPr="00BF4552">
        <w:rPr>
          <w:rFonts w:hAnsi="Arial" w:hint="eastAsia"/>
          <w:bCs/>
          <w:kern w:val="32"/>
          <w:szCs w:val="48"/>
        </w:rPr>
        <w:t>三</w:t>
      </w:r>
      <w:r w:rsidRPr="00BF4552">
        <w:rPr>
          <w:rFonts w:hAnsi="標楷體" w:hint="eastAsia"/>
          <w:bCs/>
          <w:kern w:val="32"/>
          <w:szCs w:val="48"/>
        </w:rPr>
        <w:t>，</w:t>
      </w:r>
      <w:r w:rsidR="00804517" w:rsidRPr="00BF4552">
        <w:rPr>
          <w:rFonts w:hAnsi="Arial" w:hint="eastAsia"/>
          <w:bCs/>
          <w:kern w:val="32"/>
          <w:szCs w:val="48"/>
        </w:rPr>
        <w:t>函請司法院轉請最高行政法院參處</w:t>
      </w:r>
      <w:r w:rsidRPr="00BF4552">
        <w:rPr>
          <w:rFonts w:hAnsi="Arial" w:hint="eastAsia"/>
          <w:bCs/>
          <w:kern w:val="32"/>
          <w:szCs w:val="48"/>
        </w:rPr>
        <w:t>。</w:t>
      </w:r>
      <w:bookmarkEnd w:id="88"/>
      <w:bookmarkEnd w:id="89"/>
      <w:bookmarkEnd w:id="90"/>
      <w:bookmarkEnd w:id="91"/>
      <w:bookmarkEnd w:id="92"/>
      <w:bookmarkEnd w:id="93"/>
      <w:bookmarkEnd w:id="94"/>
      <w:bookmarkEnd w:id="95"/>
      <w:bookmarkEnd w:id="96"/>
    </w:p>
    <w:p w:rsidR="00693199" w:rsidRPr="00BF4552" w:rsidRDefault="00693199" w:rsidP="002D7433">
      <w:pPr>
        <w:numPr>
          <w:ilvl w:val="1"/>
          <w:numId w:val="6"/>
        </w:numPr>
        <w:ind w:left="1021"/>
        <w:outlineLvl w:val="1"/>
        <w:rPr>
          <w:rFonts w:hAnsi="Arial"/>
          <w:bCs/>
          <w:kern w:val="32"/>
          <w:szCs w:val="48"/>
        </w:rPr>
      </w:pPr>
      <w:bookmarkStart w:id="102" w:name="_Toc494985686"/>
      <w:bookmarkStart w:id="103" w:name="_Toc494719736"/>
      <w:r w:rsidRPr="00BF4552">
        <w:rPr>
          <w:rFonts w:hAnsi="標楷體" w:hint="eastAsia"/>
          <w:bCs/>
          <w:kern w:val="32"/>
          <w:szCs w:val="48"/>
        </w:rPr>
        <w:t>調查意見函北科大參考。</w:t>
      </w:r>
      <w:bookmarkEnd w:id="102"/>
    </w:p>
    <w:p w:rsidR="002D7433" w:rsidRPr="0000679D" w:rsidRDefault="002D7433" w:rsidP="002D7433">
      <w:pPr>
        <w:numPr>
          <w:ilvl w:val="1"/>
          <w:numId w:val="6"/>
        </w:numPr>
        <w:ind w:left="1021"/>
        <w:outlineLvl w:val="1"/>
        <w:rPr>
          <w:rFonts w:hAnsi="Arial"/>
          <w:bCs/>
          <w:kern w:val="32"/>
          <w:szCs w:val="48"/>
        </w:rPr>
      </w:pPr>
      <w:bookmarkStart w:id="104" w:name="_Toc494985687"/>
      <w:r w:rsidRPr="00BF4552">
        <w:rPr>
          <w:rFonts w:hAnsi="Arial" w:hint="eastAsia"/>
          <w:bCs/>
          <w:kern w:val="32"/>
          <w:szCs w:val="48"/>
        </w:rPr>
        <w:t>調查意見</w:t>
      </w:r>
      <w:r w:rsidR="00804517" w:rsidRPr="00BF4552">
        <w:rPr>
          <w:rFonts w:hAnsi="Arial" w:hint="eastAsia"/>
          <w:bCs/>
          <w:kern w:val="32"/>
          <w:szCs w:val="48"/>
        </w:rPr>
        <w:t>函復陳訴人</w:t>
      </w:r>
      <w:r w:rsidRPr="00BF4552">
        <w:rPr>
          <w:rFonts w:hAnsi="標楷體" w:hint="eastAsia"/>
          <w:bCs/>
          <w:kern w:val="32"/>
          <w:szCs w:val="48"/>
        </w:rPr>
        <w:t>。</w:t>
      </w:r>
      <w:bookmarkEnd w:id="103"/>
      <w:bookmarkEnd w:id="104"/>
    </w:p>
    <w:p w:rsidR="0000679D" w:rsidRDefault="0000679D" w:rsidP="0000679D">
      <w:pPr>
        <w:pStyle w:val="1"/>
        <w:numPr>
          <w:ilvl w:val="0"/>
          <w:numId w:val="0"/>
        </w:numPr>
        <w:ind w:left="2381" w:hanging="2381"/>
      </w:pPr>
    </w:p>
    <w:p w:rsidR="0000679D" w:rsidRDefault="0000679D" w:rsidP="0000679D">
      <w:pPr>
        <w:pStyle w:val="1"/>
        <w:numPr>
          <w:ilvl w:val="0"/>
          <w:numId w:val="0"/>
        </w:numPr>
        <w:ind w:left="2381" w:hanging="2381"/>
      </w:pPr>
      <w:bookmarkStart w:id="105" w:name="_GoBack"/>
      <w:bookmarkEnd w:id="105"/>
    </w:p>
    <w:p w:rsidR="0000679D" w:rsidRPr="00BF4552" w:rsidRDefault="0000679D" w:rsidP="0000679D">
      <w:pPr>
        <w:pStyle w:val="1"/>
        <w:numPr>
          <w:ilvl w:val="0"/>
          <w:numId w:val="0"/>
        </w:numPr>
        <w:ind w:left="2381" w:hanging="2381"/>
        <w:jc w:val="center"/>
        <w:rPr>
          <w:rFonts w:hint="eastAsia"/>
        </w:rPr>
      </w:pPr>
      <w:r w:rsidRPr="00BF4552">
        <w:rPr>
          <w:rFonts w:hint="eastAsia"/>
          <w:spacing w:val="12"/>
          <w:kern w:val="0"/>
          <w:sz w:val="40"/>
        </w:rPr>
        <w:t>調查委員：</w:t>
      </w:r>
      <w:r>
        <w:rPr>
          <w:rFonts w:hint="eastAsia"/>
          <w:spacing w:val="12"/>
          <w:kern w:val="0"/>
          <w:sz w:val="40"/>
        </w:rPr>
        <w:t>仉桂美</w:t>
      </w:r>
    </w:p>
    <w:bookmarkEnd w:id="72"/>
    <w:bookmarkEnd w:id="73"/>
    <w:bookmarkEnd w:id="74"/>
    <w:bookmarkEnd w:id="75"/>
    <w:bookmarkEnd w:id="76"/>
    <w:bookmarkEnd w:id="77"/>
    <w:bookmarkEnd w:id="78"/>
    <w:bookmarkEnd w:id="79"/>
    <w:bookmarkEnd w:id="80"/>
    <w:bookmarkEnd w:id="81"/>
    <w:bookmarkEnd w:id="82"/>
    <w:bookmarkEnd w:id="97"/>
    <w:bookmarkEnd w:id="98"/>
    <w:bookmarkEnd w:id="99"/>
    <w:bookmarkEnd w:id="100"/>
    <w:bookmarkEnd w:id="101"/>
    <w:sectPr w:rsidR="0000679D" w:rsidRPr="00BF4552" w:rsidSect="002453D3">
      <w:footerReference w:type="default" r:id="rId9"/>
      <w:type w:val="continuous"/>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762" w:rsidRDefault="00540762">
      <w:r>
        <w:separator/>
      </w:r>
    </w:p>
  </w:endnote>
  <w:endnote w:type="continuationSeparator" w:id="0">
    <w:p w:rsidR="00540762" w:rsidRDefault="0054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762" w:rsidRDefault="00540762">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00679D">
      <w:rPr>
        <w:rStyle w:val="ad"/>
        <w:noProof/>
        <w:sz w:val="24"/>
      </w:rPr>
      <w:t>53</w:t>
    </w:r>
    <w:r>
      <w:rPr>
        <w:rStyle w:val="ad"/>
        <w:sz w:val="24"/>
      </w:rPr>
      <w:fldChar w:fldCharType="end"/>
    </w:r>
  </w:p>
  <w:p w:rsidR="00540762" w:rsidRDefault="0054076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762" w:rsidRDefault="00540762">
      <w:r>
        <w:separator/>
      </w:r>
    </w:p>
  </w:footnote>
  <w:footnote w:type="continuationSeparator" w:id="0">
    <w:p w:rsidR="00540762" w:rsidRDefault="00540762">
      <w:r>
        <w:continuationSeparator/>
      </w:r>
    </w:p>
  </w:footnote>
  <w:footnote w:id="1">
    <w:p w:rsidR="00540762" w:rsidRPr="00793ECA" w:rsidRDefault="00540762" w:rsidP="00DB45D2">
      <w:pPr>
        <w:pStyle w:val="aff0"/>
        <w:ind w:left="216" w:hangingChars="98" w:hanging="216"/>
      </w:pPr>
      <w:r>
        <w:rPr>
          <w:rStyle w:val="aff2"/>
        </w:rPr>
        <w:footnoteRef/>
      </w:r>
      <w:r>
        <w:t xml:space="preserve"> </w:t>
      </w:r>
      <w:r>
        <w:rPr>
          <w:rFonts w:hint="eastAsia"/>
        </w:rPr>
        <w:t>參見</w:t>
      </w:r>
      <w:r>
        <w:rPr>
          <w:rFonts w:hAnsi="標楷體" w:hint="eastAsia"/>
        </w:rPr>
        <w:t>「大專教師限期升等相關</w:t>
      </w:r>
      <w:r w:rsidRPr="00BF4552">
        <w:rPr>
          <w:rFonts w:hAnsi="標楷體" w:hint="eastAsia"/>
        </w:rPr>
        <w:t>法律問題」座談會會議紀錄，與談人中興大學法律學系教授李惠宗之見解，登載於臺灣法學</w:t>
      </w:r>
      <w:r w:rsidRPr="00154FEB">
        <w:rPr>
          <w:rFonts w:hAnsi="標楷體" w:hint="eastAsia"/>
        </w:rPr>
        <w:t>雜誌106年3月28日第316期，</w:t>
      </w:r>
      <w:r>
        <w:rPr>
          <w:rFonts w:hAnsi="標楷體" w:hint="eastAsia"/>
        </w:rPr>
        <w:t>57頁。</w:t>
      </w:r>
    </w:p>
  </w:footnote>
  <w:footnote w:id="2">
    <w:p w:rsidR="00540762" w:rsidRPr="00793ECA" w:rsidRDefault="00540762" w:rsidP="00DB45D2">
      <w:pPr>
        <w:pStyle w:val="aff0"/>
        <w:ind w:left="200" w:hangingChars="91" w:hanging="200"/>
      </w:pPr>
      <w:r>
        <w:rPr>
          <w:rStyle w:val="aff2"/>
        </w:rPr>
        <w:footnoteRef/>
      </w:r>
      <w:r>
        <w:rPr>
          <w:rFonts w:hint="eastAsia"/>
        </w:rPr>
        <w:t xml:space="preserve"> 參見</w:t>
      </w:r>
      <w:r>
        <w:rPr>
          <w:rFonts w:hAnsi="標楷體" w:hint="eastAsia"/>
        </w:rPr>
        <w:t>「大專教師限期升等相關法律問題」座談會</w:t>
      </w:r>
      <w:r w:rsidRPr="00BF4552">
        <w:rPr>
          <w:rFonts w:hAnsi="標楷體" w:hint="eastAsia"/>
        </w:rPr>
        <w:t>會議紀錄，與談人臺北教育大學教育經營與管理學系教授周志宏之見解，登載於臺灣法學雜誌</w:t>
      </w:r>
      <w:r>
        <w:rPr>
          <w:rFonts w:hAnsi="標楷體" w:hint="eastAsia"/>
        </w:rPr>
        <w:t>106年3月28日第316期，69-73頁。</w:t>
      </w:r>
    </w:p>
  </w:footnote>
  <w:footnote w:id="3">
    <w:p w:rsidR="00540762" w:rsidRPr="00BF4552" w:rsidRDefault="00540762" w:rsidP="00DB45D2">
      <w:pPr>
        <w:pStyle w:val="aff0"/>
        <w:ind w:left="231" w:hangingChars="105" w:hanging="231"/>
      </w:pPr>
      <w:r>
        <w:rPr>
          <w:rStyle w:val="aff2"/>
        </w:rPr>
        <w:footnoteRef/>
      </w:r>
      <w:r>
        <w:rPr>
          <w:rFonts w:hint="eastAsia"/>
        </w:rPr>
        <w:t xml:space="preserve"> 參見</w:t>
      </w:r>
      <w:r>
        <w:rPr>
          <w:rFonts w:hAnsi="標楷體" w:hint="eastAsia"/>
        </w:rPr>
        <w:t>「大專教師限期升等相關法律問題」座談</w:t>
      </w:r>
      <w:r w:rsidRPr="00BF4552">
        <w:rPr>
          <w:rFonts w:hAnsi="標楷體" w:hint="eastAsia"/>
        </w:rPr>
        <w:t>會會議紀錄，與談人政治大學法律學系教授林佳和之見解，登載於臺灣法學雜誌106年3月28日第316期，62及77頁。</w:t>
      </w:r>
    </w:p>
  </w:footnote>
  <w:footnote w:id="4">
    <w:p w:rsidR="00540762" w:rsidRPr="00BF4552" w:rsidRDefault="00540762" w:rsidP="00DB45D2">
      <w:pPr>
        <w:pStyle w:val="aff0"/>
        <w:ind w:left="216" w:hangingChars="98" w:hanging="216"/>
      </w:pPr>
      <w:r w:rsidRPr="00BF4552">
        <w:rPr>
          <w:rStyle w:val="aff2"/>
        </w:rPr>
        <w:footnoteRef/>
      </w:r>
      <w:r w:rsidRPr="00BF4552">
        <w:rPr>
          <w:rFonts w:hint="eastAsia"/>
        </w:rPr>
        <w:t xml:space="preserve"> 參見</w:t>
      </w:r>
      <w:r w:rsidRPr="00BF4552">
        <w:rPr>
          <w:rFonts w:hAnsi="標楷體" w:hint="eastAsia"/>
        </w:rPr>
        <w:t>「大專教師限期升等相關法律問題」座談會會議紀錄，與談人臺北高等行政法院法官闕銘富之見解，登載於臺灣法學雜誌106年3月28日第316期，63頁。</w:t>
      </w:r>
    </w:p>
  </w:footnote>
  <w:footnote w:id="5">
    <w:p w:rsidR="00540762" w:rsidRPr="0034497E" w:rsidRDefault="00540762" w:rsidP="00DB45D2">
      <w:pPr>
        <w:pStyle w:val="aff0"/>
        <w:ind w:left="200" w:hangingChars="91" w:hanging="200"/>
      </w:pPr>
      <w:r w:rsidRPr="00BF4552">
        <w:rPr>
          <w:rStyle w:val="aff2"/>
        </w:rPr>
        <w:footnoteRef/>
      </w:r>
      <w:r w:rsidRPr="00BF4552">
        <w:rPr>
          <w:rFonts w:hint="eastAsia"/>
        </w:rPr>
        <w:t xml:space="preserve"> 參見</w:t>
      </w:r>
      <w:r w:rsidRPr="00BF4552">
        <w:rPr>
          <w:rFonts w:hAnsi="標楷體" w:hint="eastAsia"/>
        </w:rPr>
        <w:t>「大專教師限期升等相關法律問題」座談會會議紀錄，與談人最高行政法院法官林文舟之見解，登載於臺灣法學雜誌106年3月28日第316期</w:t>
      </w:r>
      <w:r>
        <w:rPr>
          <w:rFonts w:hAnsi="標楷體" w:hint="eastAsia"/>
        </w:rPr>
        <w:t>，68頁。</w:t>
      </w:r>
    </w:p>
  </w:footnote>
  <w:footnote w:id="6">
    <w:p w:rsidR="00540762" w:rsidRPr="00F34FF6" w:rsidRDefault="00540762" w:rsidP="00606C2B">
      <w:pPr>
        <w:pStyle w:val="aff0"/>
        <w:ind w:left="231" w:hangingChars="105" w:hanging="231"/>
      </w:pPr>
      <w:r>
        <w:rPr>
          <w:rStyle w:val="aff2"/>
        </w:rPr>
        <w:footnoteRef/>
      </w:r>
      <w:r>
        <w:rPr>
          <w:rFonts w:hint="eastAsia"/>
        </w:rPr>
        <w:t xml:space="preserve"> </w:t>
      </w:r>
      <w:r w:rsidRPr="00F34FF6">
        <w:rPr>
          <w:rFonts w:hint="eastAsia"/>
        </w:rPr>
        <w:t>北科大表示，係依大學法第19條及該校相關法規不續聘A君，非以教師法第14條規定之事由不予續聘；又因該校以前並無類此案例，方函通知教育部。</w:t>
      </w:r>
    </w:p>
  </w:footnote>
  <w:footnote w:id="7">
    <w:p w:rsidR="00540762" w:rsidRPr="0009428A" w:rsidRDefault="00540762" w:rsidP="00606C2B">
      <w:pPr>
        <w:pStyle w:val="aff0"/>
      </w:pPr>
      <w:r>
        <w:rPr>
          <w:rStyle w:val="aff2"/>
        </w:rPr>
        <w:footnoteRef/>
      </w:r>
      <w:r>
        <w:t xml:space="preserve"> </w:t>
      </w:r>
      <w:r w:rsidRPr="0009428A">
        <w:t>北科大105</w:t>
      </w:r>
      <w:r w:rsidRPr="0009428A">
        <w:rPr>
          <w:rFonts w:hint="eastAsia"/>
        </w:rPr>
        <w:t>年8月31日</w:t>
      </w:r>
      <w:r w:rsidRPr="0009428A">
        <w:t>北科大人字第</w:t>
      </w:r>
      <w:r w:rsidRPr="0009428A">
        <w:rPr>
          <w:rFonts w:hint="eastAsia"/>
        </w:rPr>
        <w:t>1050001482號</w:t>
      </w:r>
      <w:r w:rsidRPr="0009428A">
        <w:t>函</w:t>
      </w:r>
      <w:r>
        <w:rPr>
          <w:rFonts w:hint="eastAsia"/>
        </w:rPr>
        <w:t>。</w:t>
      </w:r>
    </w:p>
  </w:footnote>
  <w:footnote w:id="8">
    <w:p w:rsidR="00540762" w:rsidRDefault="00540762" w:rsidP="00606C2B">
      <w:pPr>
        <w:pStyle w:val="aff0"/>
      </w:pPr>
      <w:r>
        <w:rPr>
          <w:rStyle w:val="aff2"/>
        </w:rPr>
        <w:footnoteRef/>
      </w:r>
      <w:r>
        <w:t xml:space="preserve"> </w:t>
      </w:r>
      <w:r w:rsidRPr="001F08F1">
        <w:rPr>
          <w:rFonts w:hint="eastAsia"/>
        </w:rPr>
        <w:t>國立高雄第一科技大學</w:t>
      </w:r>
      <w:r>
        <w:rPr>
          <w:rFonts w:hint="eastAsia"/>
        </w:rPr>
        <w:t>於</w:t>
      </w:r>
      <w:r w:rsidRPr="003E04B6">
        <w:rPr>
          <w:rFonts w:hint="eastAsia"/>
        </w:rPr>
        <w:t>105年7月21日</w:t>
      </w:r>
      <w:r>
        <w:rPr>
          <w:rFonts w:hint="eastAsia"/>
        </w:rPr>
        <w:t>廢止。</w:t>
      </w:r>
    </w:p>
  </w:footnote>
  <w:footnote w:id="9">
    <w:p w:rsidR="00540762" w:rsidRDefault="00540762" w:rsidP="00606C2B">
      <w:pPr>
        <w:pStyle w:val="aff0"/>
      </w:pPr>
      <w:r>
        <w:rPr>
          <w:rStyle w:val="aff2"/>
        </w:rPr>
        <w:footnoteRef/>
      </w:r>
      <w:r>
        <w:t xml:space="preserve"> </w:t>
      </w:r>
      <w:r>
        <w:rPr>
          <w:rFonts w:hint="eastAsia"/>
        </w:rPr>
        <w:t>尚不包括</w:t>
      </w:r>
      <w:r>
        <w:rPr>
          <w:rFonts w:hAnsi="標楷體" w:hint="eastAsia"/>
        </w:rPr>
        <w:t>「</w:t>
      </w:r>
      <w:r w:rsidRPr="00E254BB">
        <w:rPr>
          <w:rFonts w:hint="eastAsia"/>
        </w:rPr>
        <w:t>雖未廢止，惟已停止實施</w:t>
      </w:r>
      <w:r>
        <w:rPr>
          <w:rFonts w:hAnsi="標楷體" w:hint="eastAsia"/>
        </w:rPr>
        <w:t>」、</w:t>
      </w:r>
      <w:r>
        <w:rPr>
          <w:rFonts w:hint="eastAsia"/>
        </w:rPr>
        <w:t>已定日期預計提案廢止等3校</w:t>
      </w:r>
      <w:r>
        <w:rPr>
          <w:rFonts w:hAnsi="標楷體" w:hint="eastAsia"/>
        </w:rPr>
        <w:t>。</w:t>
      </w:r>
    </w:p>
  </w:footnote>
  <w:footnote w:id="10">
    <w:p w:rsidR="00540762" w:rsidRDefault="00540762" w:rsidP="00DB45D2">
      <w:pPr>
        <w:pStyle w:val="aff0"/>
        <w:ind w:left="251" w:hangingChars="114" w:hanging="251"/>
      </w:pPr>
      <w:r>
        <w:rPr>
          <w:rStyle w:val="aff2"/>
        </w:rPr>
        <w:footnoteRef/>
      </w:r>
      <w:r>
        <w:rPr>
          <w:rFonts w:hAnsi="標楷體" w:hint="eastAsia"/>
        </w:rPr>
        <w:t xml:space="preserve"> 例如臺北高等行政法院</w:t>
      </w:r>
      <w:r>
        <w:rPr>
          <w:rFonts w:hint="eastAsia"/>
        </w:rPr>
        <w:t>96年度訴字第2010號判決訴願決定撤銷</w:t>
      </w:r>
      <w:r>
        <w:rPr>
          <w:rFonts w:hAnsi="標楷體" w:hint="eastAsia"/>
        </w:rPr>
        <w:t>，</w:t>
      </w:r>
      <w:r>
        <w:rPr>
          <w:rFonts w:hint="eastAsia"/>
        </w:rPr>
        <w:t>認為通傳會</w:t>
      </w:r>
      <w:r w:rsidRPr="007E324E">
        <w:rPr>
          <w:rFonts w:hint="eastAsia"/>
        </w:rPr>
        <w:t>既屬中央部會之地位，自應依訴願法第4條第7款規定定其訴願管轄，即應由行政院受理訴願。</w:t>
      </w:r>
    </w:p>
  </w:footnote>
  <w:footnote w:id="11">
    <w:p w:rsidR="00540762" w:rsidRDefault="00540762" w:rsidP="00DB45D2">
      <w:pPr>
        <w:pStyle w:val="aff0"/>
        <w:ind w:left="238" w:hangingChars="108" w:hanging="238"/>
      </w:pPr>
      <w:r>
        <w:rPr>
          <w:rStyle w:val="aff2"/>
        </w:rPr>
        <w:footnoteRef/>
      </w:r>
      <w:r>
        <w:rPr>
          <w:rFonts w:hAnsi="標楷體" w:hint="eastAsia"/>
        </w:rPr>
        <w:t xml:space="preserve"> 例如臺北高等行政法院</w:t>
      </w:r>
      <w:r>
        <w:rPr>
          <w:rFonts w:hint="eastAsia"/>
        </w:rPr>
        <w:t>97年度訴字第0524號判決駁回原告之訴</w:t>
      </w:r>
      <w:r>
        <w:rPr>
          <w:rFonts w:hAnsi="標楷體" w:hint="eastAsia"/>
        </w:rPr>
        <w:t>，</w:t>
      </w:r>
      <w:r>
        <w:rPr>
          <w:rFonts w:hint="eastAsia"/>
        </w:rPr>
        <w:t>認為通傳</w:t>
      </w:r>
      <w:r w:rsidRPr="007E324E">
        <w:rPr>
          <w:rFonts w:hint="eastAsia"/>
        </w:rPr>
        <w:t>會所作成之處分均經該會設置訴願審議委員會受理不服其處分之訴願，與訴願法第4條第8款及第5條第1項規定，要無相悖</w:t>
      </w:r>
      <w:r>
        <w:rPr>
          <w:rFonts w:hAnsi="標楷體" w:hint="eastAsia"/>
        </w:rPr>
        <w:t>。</w:t>
      </w:r>
    </w:p>
  </w:footnote>
  <w:footnote w:id="12">
    <w:p w:rsidR="00540762" w:rsidRDefault="00540762" w:rsidP="00DB45D2">
      <w:pPr>
        <w:pStyle w:val="aff0"/>
        <w:ind w:left="222" w:hangingChars="101" w:hanging="222"/>
      </w:pPr>
      <w:r>
        <w:rPr>
          <w:rStyle w:val="aff2"/>
        </w:rPr>
        <w:footnoteRef/>
      </w:r>
      <w:r>
        <w:rPr>
          <w:rFonts w:hAnsi="標楷體" w:hint="eastAsia"/>
        </w:rPr>
        <w:t xml:space="preserve"> 例如臺北高等行政法院於97年5月26日裁定，本</w:t>
      </w:r>
      <w:r>
        <w:rPr>
          <w:rFonts w:hint="eastAsia"/>
        </w:rPr>
        <w:t>案</w:t>
      </w:r>
      <w:r>
        <w:rPr>
          <w:rFonts w:hAnsi="標楷體" w:hint="eastAsia"/>
        </w:rPr>
        <w:t>(</w:t>
      </w:r>
      <w:r>
        <w:rPr>
          <w:rFonts w:hint="eastAsia"/>
        </w:rPr>
        <w:t>96年度訴字第1638號</w:t>
      </w:r>
      <w:r>
        <w:rPr>
          <w:rFonts w:hAnsi="標楷體" w:hint="eastAsia"/>
        </w:rPr>
        <w:t>)</w:t>
      </w:r>
      <w:r>
        <w:rPr>
          <w:rFonts w:hint="eastAsia"/>
        </w:rPr>
        <w:t>於最高行政法院96年度上字第2738號衛星廣播電視法事件行政訴訟終結前，停止訴訟程序。</w:t>
      </w:r>
    </w:p>
  </w:footnote>
  <w:footnote w:id="13">
    <w:p w:rsidR="00540762" w:rsidRDefault="00540762" w:rsidP="00DB45D2">
      <w:pPr>
        <w:pStyle w:val="aff0"/>
        <w:ind w:left="238" w:hangingChars="108" w:hanging="238"/>
      </w:pPr>
      <w:r>
        <w:rPr>
          <w:rStyle w:val="aff2"/>
        </w:rPr>
        <w:footnoteRef/>
      </w:r>
      <w:r>
        <w:rPr>
          <w:rFonts w:hAnsi="標楷體" w:hint="eastAsia"/>
        </w:rPr>
        <w:t xml:space="preserve"> 例如臺北高等行政法院96年度</w:t>
      </w:r>
      <w:r>
        <w:rPr>
          <w:rFonts w:hint="eastAsia"/>
        </w:rPr>
        <w:t>訴字第1391號判決駁回原告之訴</w:t>
      </w:r>
      <w:r>
        <w:rPr>
          <w:rFonts w:hAnsi="標楷體" w:hint="eastAsia"/>
        </w:rPr>
        <w:t>，</w:t>
      </w:r>
      <w:r>
        <w:rPr>
          <w:rFonts w:hint="eastAsia"/>
        </w:rPr>
        <w:t>雖原告有主張以原處分機關通傳會為訴願管轄機關適格性恐有疑義</w:t>
      </w:r>
      <w:r>
        <w:rPr>
          <w:rFonts w:hAnsi="標楷體" w:hint="eastAsia"/>
        </w:rPr>
        <w:t>，惟該判決從實體上審究相關法律規定及事證後</w:t>
      </w:r>
      <w:r>
        <w:rPr>
          <w:rFonts w:hint="eastAsia"/>
        </w:rPr>
        <w:t>，維持通傳會所為之原處分及訴願決定。至於兩造其餘之主張與陳述</w:t>
      </w:r>
      <w:r>
        <w:rPr>
          <w:rFonts w:hAnsi="標楷體" w:hint="eastAsia"/>
        </w:rPr>
        <w:t>，</w:t>
      </w:r>
      <w:r>
        <w:rPr>
          <w:rFonts w:hint="eastAsia"/>
        </w:rPr>
        <w:t>因與本件判決結果不生影響</w:t>
      </w:r>
      <w:r>
        <w:rPr>
          <w:rFonts w:hAnsi="標楷體" w:hint="eastAsia"/>
        </w:rPr>
        <w:t>，</w:t>
      </w:r>
      <w:r>
        <w:rPr>
          <w:rFonts w:hint="eastAsia"/>
        </w:rPr>
        <w:t>不一一指駁論述</w:t>
      </w:r>
      <w:r>
        <w:rPr>
          <w:rFonts w:hAnsi="標楷體" w:hint="eastAsia"/>
        </w:rPr>
        <w:t>。</w:t>
      </w:r>
    </w:p>
  </w:footnote>
  <w:footnote w:id="14">
    <w:p w:rsidR="00540762" w:rsidRDefault="00540762" w:rsidP="00DB45D2">
      <w:pPr>
        <w:pStyle w:val="aff0"/>
        <w:ind w:left="251" w:hangingChars="114" w:hanging="251"/>
      </w:pPr>
      <w:r>
        <w:rPr>
          <w:rStyle w:val="aff2"/>
        </w:rPr>
        <w:footnoteRef/>
      </w:r>
      <w:r>
        <w:rPr>
          <w:rFonts w:hint="eastAsia"/>
        </w:rPr>
        <w:t xml:space="preserve"> </w:t>
      </w:r>
      <w:r w:rsidRPr="009A06D2">
        <w:t>人民不服通傳會作成之行政處分提起訴願時，因通傳會組織法及其他法規就其訴願管轄並無特別規定，而通傳會係行政院所屬之行政機關，其層級相當於部會等之二級機關，故應依訴願法第4條第7款規定，由行政院管轄之。</w:t>
      </w:r>
    </w:p>
  </w:footnote>
  <w:footnote w:id="15">
    <w:p w:rsidR="00540762" w:rsidRDefault="00540762" w:rsidP="00DB45D2">
      <w:pPr>
        <w:pStyle w:val="aff0"/>
        <w:ind w:left="222" w:hangingChars="101" w:hanging="222"/>
      </w:pPr>
      <w:r>
        <w:rPr>
          <w:rStyle w:val="aff2"/>
        </w:rPr>
        <w:footnoteRef/>
      </w:r>
      <w:r>
        <w:rPr>
          <w:rFonts w:hint="eastAsia"/>
        </w:rPr>
        <w:t xml:space="preserve"> 撤銷理由略以：(1)</w:t>
      </w:r>
      <w:r w:rsidRPr="00E520B2">
        <w:rPr>
          <w:rFonts w:hint="eastAsia"/>
        </w:rPr>
        <w:t>訴願人既為北</w:t>
      </w:r>
      <w:r>
        <w:rPr>
          <w:rFonts w:hint="eastAsia"/>
        </w:rPr>
        <w:t>科</w:t>
      </w:r>
      <w:r w:rsidRPr="00E520B2">
        <w:rPr>
          <w:rFonts w:hint="eastAsia"/>
        </w:rPr>
        <w:t>大之專任教師，則其就教師權益相關身分之保障，除適用教師法外，同時亦應適用大學法規定。</w:t>
      </w:r>
      <w:r>
        <w:rPr>
          <w:rFonts w:hint="eastAsia"/>
        </w:rPr>
        <w:t>(2)北科大雖稱依大學法第19條規定對訴願人作成不續聘處分。惟依最高行政法院105年度判字第150號判決意旨，教師法第14條第1項第14款將「違反聘約」與「情節重大」並列的目的，即係以「情節重大」作為平衡尊重契約自由(或大學自治)與維護教師工作權(或講學自由)的緩衝機制。故大學以教師違反聘約規定的義務為由，擬將其解聘、停聘或不續聘時，仍應受「情節重大」的限制。(3)揆諸</w:t>
      </w:r>
      <w:r w:rsidRPr="000A3D79">
        <w:rPr>
          <w:rFonts w:hint="eastAsia"/>
        </w:rPr>
        <w:t>學校聘任訴願人所據99年初聘聘書所附學校教師聘約第1</w:t>
      </w:r>
      <w:r>
        <w:rPr>
          <w:rFonts w:hint="eastAsia"/>
        </w:rPr>
        <w:t>2點明定，86學年度起新聘教師須限期升等，並依學校限期升辦法規定辦理，復查97年學校限期升等辦法，該辦法第1條僅明定制定意旨係為鼓勵新進教師提升教學、研究與服務水準特訂定該辦法，且於第3條第2項第2款所定95學年度第2學期起新聘之講師、助理教授、副教授，未於前項規定期限升者，亦僅稱不再續聘等語，該辦法雖經該校校務會議修正過，惟該辦法第1條授權依據未載有「大學法」，且第3條第2項第2款所定關於新聘教師未限期升等不再續聘事宜，未訂定依大學法第19條規定予教師不續聘之事由及程序，亦欠缺依大學法增訂之不續聘事由納入訴願人聘約約定之要件。(4)縱學校稱其於105年11月22日校務會議修正通過學校限期升等辦法，明定係依大學法第19條規定予教師不續聘，惟亦未及納入訴願人與學校間103年8月1日至105年7月31日之聘約而拘束訴願人，學校不得依大學法第19條規定不續聘訴願人。爰本件學校辦理訴願人不續聘案件應回歸教師法不續聘之程序，審酌是否符合教師法第14條第1項各款之法定要件，並依同法第14條之l第1項規定，於學校三級教評會決議不續聘教師通過後，報請教育部核准，始為適法。</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E8C48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D4C4B7C"/>
    <w:multiLevelType w:val="hybridMultilevel"/>
    <w:tmpl w:val="7166B1CE"/>
    <w:lvl w:ilvl="0" w:tplc="B6A69520">
      <w:start w:val="1"/>
      <w:numFmt w:val="decimal"/>
      <w:pStyle w:val="6"/>
      <w:lvlText w:val="&lt;%1&gt;"/>
      <w:lvlJc w:val="left"/>
      <w:pPr>
        <w:ind w:left="2040" w:hanging="4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 w15:restartNumberingAfterBreak="0">
    <w:nsid w:val="140E010C"/>
    <w:multiLevelType w:val="multilevel"/>
    <w:tmpl w:val="A07E8E9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6"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532" w:hanging="68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928" w:hanging="51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2410" w:hanging="85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suff w:val="nothing"/>
      <w:lvlText w:val="〈%6〉"/>
      <w:lvlJc w:val="left"/>
      <w:pPr>
        <w:ind w:left="2269" w:hanging="850"/>
      </w:pPr>
      <w:rPr>
        <w:rFonts w:ascii="標楷體" w:eastAsia="標楷體" w:hint="eastAsia"/>
        <w:b w:val="0"/>
        <w:i w:val="0"/>
        <w:snapToGrid/>
        <w:spacing w:val="0"/>
        <w:w w:val="100"/>
        <w:kern w:val="32"/>
        <w:position w:val="0"/>
        <w:sz w:val="32"/>
        <w:szCs w:val="32"/>
      </w:rPr>
    </w:lvl>
    <w:lvl w:ilvl="6">
      <w:start w:val="1"/>
      <w:numFmt w:val="decimal"/>
      <w:pStyle w:val="7"/>
      <w:suff w:val="nothing"/>
      <w:lvlText w:val="《%7》"/>
      <w:lvlJc w:val="left"/>
      <w:pPr>
        <w:ind w:left="2411"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8DD1937"/>
    <w:multiLevelType w:val="hybridMultilevel"/>
    <w:tmpl w:val="2DD80790"/>
    <w:lvl w:ilvl="0" w:tplc="9F12074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07669A9"/>
    <w:multiLevelType w:val="hybridMultilevel"/>
    <w:tmpl w:val="2DD80790"/>
    <w:lvl w:ilvl="0" w:tplc="9F12074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6650198"/>
    <w:multiLevelType w:val="hybridMultilevel"/>
    <w:tmpl w:val="2DD80790"/>
    <w:lvl w:ilvl="0" w:tplc="9F12074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C84CC2"/>
    <w:multiLevelType w:val="hybridMultilevel"/>
    <w:tmpl w:val="8D8236B4"/>
    <w:lvl w:ilvl="0" w:tplc="E968BF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99025F"/>
    <w:multiLevelType w:val="hybridMultilevel"/>
    <w:tmpl w:val="2DD80790"/>
    <w:lvl w:ilvl="0" w:tplc="9F12074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6E1216C4"/>
    <w:lvl w:ilvl="0" w:tplc="D8EEAE92">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color w:val="000000" w:themeColor="text1"/>
        <w:spacing w:val="0"/>
        <w:w w:val="100"/>
        <w:kern w:val="32"/>
        <w:position w:val="0"/>
        <w:sz w:val="32"/>
        <w:vertAlign w:val="baseli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352B544"/>
    <w:lvl w:ilvl="0" w:tplc="A166613A">
      <w:start w:val="1"/>
      <w:numFmt w:val="decimal"/>
      <w:pStyle w:val="a4"/>
      <w:lvlText w:val="表%1　"/>
      <w:lvlJc w:val="left"/>
      <w:pPr>
        <w:ind w:left="1189"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1A01BD1"/>
    <w:multiLevelType w:val="hybridMultilevel"/>
    <w:tmpl w:val="2DD80790"/>
    <w:lvl w:ilvl="0" w:tplc="9F12074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01352CA"/>
    <w:multiLevelType w:val="hybridMultilevel"/>
    <w:tmpl w:val="2DD80790"/>
    <w:lvl w:ilvl="0" w:tplc="9F120746">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12"/>
  </w:num>
  <w:num w:numId="4">
    <w:abstractNumId w:val="9"/>
  </w:num>
  <w:num w:numId="5">
    <w:abstractNumId w:val="14"/>
  </w:num>
  <w:num w:numId="6">
    <w:abstractNumId w:val="3"/>
  </w:num>
  <w:num w:numId="7">
    <w:abstractNumId w:val="15"/>
  </w:num>
  <w:num w:numId="8">
    <w:abstractNumId w:val="11"/>
  </w:num>
  <w:num w:numId="9">
    <w:abstractNumId w:val="0"/>
  </w:num>
  <w:num w:numId="10">
    <w:abstractNumId w:val="2"/>
  </w:num>
  <w:num w:numId="11">
    <w:abstractNumId w:val="8"/>
  </w:num>
  <w:num w:numId="12">
    <w:abstractNumId w:val="3"/>
    <w:lvlOverride w:ilvl="0">
      <w:startOverride w:val="6"/>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
    <w:lvlOverride w:ilvl="0">
      <w:startOverride w:val="1"/>
    </w:lvlOverride>
  </w:num>
  <w:num w:numId="15">
    <w:abstractNumId w:val="4"/>
  </w:num>
  <w:num w:numId="16">
    <w:abstractNumId w:val="10"/>
  </w:num>
  <w:num w:numId="17">
    <w:abstractNumId w:val="7"/>
  </w:num>
  <w:num w:numId="18">
    <w:abstractNumId w:val="6"/>
  </w:num>
  <w:num w:numId="19">
    <w:abstractNumId w:val="13"/>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2"/>
    <w:lvlOverride w:ilvl="0">
      <w:startOverride w:val="1"/>
    </w:lvlOverride>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2"/>
    <w:lvlOverride w:ilvl="0">
      <w:startOverride w:val="1"/>
    </w:lvlOverride>
  </w:num>
  <w:num w:numId="41">
    <w:abstractNumId w:val="2"/>
    <w:lvlOverride w:ilvl="0">
      <w:startOverride w:val="1"/>
    </w:lvlOverride>
  </w:num>
  <w:num w:numId="42">
    <w:abstractNumId w:val="2"/>
    <w:lvlOverride w:ilvl="0">
      <w:startOverride w:val="1"/>
    </w:lvlOverride>
  </w:num>
  <w:num w:numId="43">
    <w:abstractNumId w:val="2"/>
    <w:lvlOverride w:ilvl="0">
      <w:startOverride w:val="1"/>
    </w:lvlOverride>
  </w:num>
  <w:num w:numId="44">
    <w:abstractNumId w:val="2"/>
    <w:lvlOverride w:ilvl="0">
      <w:startOverride w:val="1"/>
    </w:lvlOverride>
  </w:num>
  <w:num w:numId="45">
    <w:abstractNumId w:val="2"/>
    <w:lvlOverride w:ilvl="0">
      <w:startOverride w:val="1"/>
    </w:lvlOverride>
  </w:num>
  <w:num w:numId="46">
    <w:abstractNumId w:val="2"/>
    <w:lvlOverride w:ilvl="0">
      <w:startOverride w:val="1"/>
    </w:lvlOverride>
  </w:num>
  <w:num w:numId="47">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1"/>
  </w:mailMerge>
  <w:defaultTabStop w:val="0"/>
  <w:drawingGridHorizontalSpacing w:val="170"/>
  <w:drawingGridVerticalSpacing w:val="457"/>
  <w:displayHorizontalDrawingGridEvery w:val="0"/>
  <w:characterSpacingControl w:val="compressPunctuation"/>
  <w:hdrShapeDefaults>
    <o:shapedefaults v:ext="edit" spidmax="2109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55A"/>
    <w:rsid w:val="00001EF3"/>
    <w:rsid w:val="00002544"/>
    <w:rsid w:val="0000289D"/>
    <w:rsid w:val="000028BC"/>
    <w:rsid w:val="00003CF2"/>
    <w:rsid w:val="00003E48"/>
    <w:rsid w:val="00005DCD"/>
    <w:rsid w:val="0000679D"/>
    <w:rsid w:val="00006871"/>
    <w:rsid w:val="00006961"/>
    <w:rsid w:val="00007EBE"/>
    <w:rsid w:val="000112BF"/>
    <w:rsid w:val="00011668"/>
    <w:rsid w:val="00011981"/>
    <w:rsid w:val="00011AE3"/>
    <w:rsid w:val="00011EE8"/>
    <w:rsid w:val="00012080"/>
    <w:rsid w:val="00012233"/>
    <w:rsid w:val="00012CF0"/>
    <w:rsid w:val="000134C6"/>
    <w:rsid w:val="00013DF9"/>
    <w:rsid w:val="00013F3C"/>
    <w:rsid w:val="00016B27"/>
    <w:rsid w:val="000172B6"/>
    <w:rsid w:val="00017318"/>
    <w:rsid w:val="0002179B"/>
    <w:rsid w:val="000236F7"/>
    <w:rsid w:val="00023A97"/>
    <w:rsid w:val="000246F7"/>
    <w:rsid w:val="00024895"/>
    <w:rsid w:val="00025979"/>
    <w:rsid w:val="00025A7F"/>
    <w:rsid w:val="000265DC"/>
    <w:rsid w:val="00026A69"/>
    <w:rsid w:val="00026EE9"/>
    <w:rsid w:val="000273A3"/>
    <w:rsid w:val="000303E7"/>
    <w:rsid w:val="00030915"/>
    <w:rsid w:val="0003114D"/>
    <w:rsid w:val="00031825"/>
    <w:rsid w:val="00031FCD"/>
    <w:rsid w:val="000322E1"/>
    <w:rsid w:val="00036484"/>
    <w:rsid w:val="00036D59"/>
    <w:rsid w:val="00036D76"/>
    <w:rsid w:val="00037673"/>
    <w:rsid w:val="00040332"/>
    <w:rsid w:val="000405B3"/>
    <w:rsid w:val="0004198C"/>
    <w:rsid w:val="00042364"/>
    <w:rsid w:val="000425CE"/>
    <w:rsid w:val="00042C80"/>
    <w:rsid w:val="000452B1"/>
    <w:rsid w:val="00045EA0"/>
    <w:rsid w:val="000503B5"/>
    <w:rsid w:val="00050AAC"/>
    <w:rsid w:val="000518F7"/>
    <w:rsid w:val="000522A3"/>
    <w:rsid w:val="00052420"/>
    <w:rsid w:val="000524A5"/>
    <w:rsid w:val="00052847"/>
    <w:rsid w:val="000542A0"/>
    <w:rsid w:val="000555ED"/>
    <w:rsid w:val="00055682"/>
    <w:rsid w:val="0005575E"/>
    <w:rsid w:val="00055F97"/>
    <w:rsid w:val="00056213"/>
    <w:rsid w:val="00057523"/>
    <w:rsid w:val="00057621"/>
    <w:rsid w:val="00057F32"/>
    <w:rsid w:val="00060049"/>
    <w:rsid w:val="00060055"/>
    <w:rsid w:val="00060E7A"/>
    <w:rsid w:val="0006202E"/>
    <w:rsid w:val="00062A25"/>
    <w:rsid w:val="00063BCD"/>
    <w:rsid w:val="000643D3"/>
    <w:rsid w:val="00064A43"/>
    <w:rsid w:val="00065A1B"/>
    <w:rsid w:val="00066D5C"/>
    <w:rsid w:val="0007045F"/>
    <w:rsid w:val="000705D8"/>
    <w:rsid w:val="00070BB1"/>
    <w:rsid w:val="00070BB6"/>
    <w:rsid w:val="00070FB0"/>
    <w:rsid w:val="000710C6"/>
    <w:rsid w:val="00072408"/>
    <w:rsid w:val="000727FB"/>
    <w:rsid w:val="00072D49"/>
    <w:rsid w:val="00073CB5"/>
    <w:rsid w:val="0007425C"/>
    <w:rsid w:val="000753BD"/>
    <w:rsid w:val="00076F55"/>
    <w:rsid w:val="0007725B"/>
    <w:rsid w:val="00077553"/>
    <w:rsid w:val="00077644"/>
    <w:rsid w:val="0008117F"/>
    <w:rsid w:val="000811EB"/>
    <w:rsid w:val="000812FA"/>
    <w:rsid w:val="00082A3B"/>
    <w:rsid w:val="00083EF5"/>
    <w:rsid w:val="00083F6B"/>
    <w:rsid w:val="00083FE5"/>
    <w:rsid w:val="000845F5"/>
    <w:rsid w:val="00084650"/>
    <w:rsid w:val="0008472E"/>
    <w:rsid w:val="000851A2"/>
    <w:rsid w:val="000851C3"/>
    <w:rsid w:val="00085DDA"/>
    <w:rsid w:val="00085E6B"/>
    <w:rsid w:val="0008621F"/>
    <w:rsid w:val="000862CD"/>
    <w:rsid w:val="00086551"/>
    <w:rsid w:val="00086742"/>
    <w:rsid w:val="000868DC"/>
    <w:rsid w:val="00086D94"/>
    <w:rsid w:val="000909DA"/>
    <w:rsid w:val="00090AA0"/>
    <w:rsid w:val="00091C6B"/>
    <w:rsid w:val="00092774"/>
    <w:rsid w:val="0009291E"/>
    <w:rsid w:val="000930FA"/>
    <w:rsid w:val="0009352E"/>
    <w:rsid w:val="0009428A"/>
    <w:rsid w:val="00094954"/>
    <w:rsid w:val="00094B03"/>
    <w:rsid w:val="00096B96"/>
    <w:rsid w:val="00096E4B"/>
    <w:rsid w:val="00097A20"/>
    <w:rsid w:val="00097C1A"/>
    <w:rsid w:val="000A076B"/>
    <w:rsid w:val="000A1093"/>
    <w:rsid w:val="000A10BD"/>
    <w:rsid w:val="000A1222"/>
    <w:rsid w:val="000A1C1D"/>
    <w:rsid w:val="000A1DAE"/>
    <w:rsid w:val="000A292C"/>
    <w:rsid w:val="000A2B15"/>
    <w:rsid w:val="000A2CF7"/>
    <w:rsid w:val="000A2F3F"/>
    <w:rsid w:val="000A3395"/>
    <w:rsid w:val="000A3B26"/>
    <w:rsid w:val="000A3D79"/>
    <w:rsid w:val="000A3FAA"/>
    <w:rsid w:val="000A404E"/>
    <w:rsid w:val="000A415A"/>
    <w:rsid w:val="000A4E34"/>
    <w:rsid w:val="000A51EE"/>
    <w:rsid w:val="000A6516"/>
    <w:rsid w:val="000A6872"/>
    <w:rsid w:val="000A6A4C"/>
    <w:rsid w:val="000B02D5"/>
    <w:rsid w:val="000B0B4A"/>
    <w:rsid w:val="000B117B"/>
    <w:rsid w:val="000B2281"/>
    <w:rsid w:val="000B279A"/>
    <w:rsid w:val="000B2BD5"/>
    <w:rsid w:val="000B370F"/>
    <w:rsid w:val="000B4244"/>
    <w:rsid w:val="000B4B04"/>
    <w:rsid w:val="000B5DE7"/>
    <w:rsid w:val="000B60C6"/>
    <w:rsid w:val="000B61D2"/>
    <w:rsid w:val="000B67A5"/>
    <w:rsid w:val="000B6A17"/>
    <w:rsid w:val="000B70A7"/>
    <w:rsid w:val="000B70FD"/>
    <w:rsid w:val="000B777B"/>
    <w:rsid w:val="000C0839"/>
    <w:rsid w:val="000C1DDE"/>
    <w:rsid w:val="000C2A4D"/>
    <w:rsid w:val="000C31EA"/>
    <w:rsid w:val="000C378A"/>
    <w:rsid w:val="000C404A"/>
    <w:rsid w:val="000C40AC"/>
    <w:rsid w:val="000C41C9"/>
    <w:rsid w:val="000C495F"/>
    <w:rsid w:val="000C4AA6"/>
    <w:rsid w:val="000C4C8A"/>
    <w:rsid w:val="000C5623"/>
    <w:rsid w:val="000C5BF7"/>
    <w:rsid w:val="000C6870"/>
    <w:rsid w:val="000C6B03"/>
    <w:rsid w:val="000C7A63"/>
    <w:rsid w:val="000C7B05"/>
    <w:rsid w:val="000D0317"/>
    <w:rsid w:val="000D0702"/>
    <w:rsid w:val="000D0879"/>
    <w:rsid w:val="000D0A1C"/>
    <w:rsid w:val="000D0BDB"/>
    <w:rsid w:val="000D137A"/>
    <w:rsid w:val="000D1C6E"/>
    <w:rsid w:val="000D2EFE"/>
    <w:rsid w:val="000D44EC"/>
    <w:rsid w:val="000D4E34"/>
    <w:rsid w:val="000D539A"/>
    <w:rsid w:val="000D5542"/>
    <w:rsid w:val="000D5B46"/>
    <w:rsid w:val="000D5DB5"/>
    <w:rsid w:val="000D6250"/>
    <w:rsid w:val="000D635D"/>
    <w:rsid w:val="000D6760"/>
    <w:rsid w:val="000D6859"/>
    <w:rsid w:val="000D686E"/>
    <w:rsid w:val="000D7373"/>
    <w:rsid w:val="000D78AD"/>
    <w:rsid w:val="000E0DA0"/>
    <w:rsid w:val="000E1384"/>
    <w:rsid w:val="000E19A6"/>
    <w:rsid w:val="000E1E8A"/>
    <w:rsid w:val="000E2253"/>
    <w:rsid w:val="000E23D6"/>
    <w:rsid w:val="000E2880"/>
    <w:rsid w:val="000E367F"/>
    <w:rsid w:val="000E3A61"/>
    <w:rsid w:val="000E406F"/>
    <w:rsid w:val="000E4ED8"/>
    <w:rsid w:val="000E502B"/>
    <w:rsid w:val="000E5174"/>
    <w:rsid w:val="000E530E"/>
    <w:rsid w:val="000E5A5D"/>
    <w:rsid w:val="000E5B30"/>
    <w:rsid w:val="000E6431"/>
    <w:rsid w:val="000E6C88"/>
    <w:rsid w:val="000F0080"/>
    <w:rsid w:val="000F0AA9"/>
    <w:rsid w:val="000F1FB1"/>
    <w:rsid w:val="000F21A5"/>
    <w:rsid w:val="000F367F"/>
    <w:rsid w:val="000F38E8"/>
    <w:rsid w:val="000F455A"/>
    <w:rsid w:val="000F57CE"/>
    <w:rsid w:val="000F5914"/>
    <w:rsid w:val="000F5DE5"/>
    <w:rsid w:val="000F6DDB"/>
    <w:rsid w:val="00100106"/>
    <w:rsid w:val="001007ED"/>
    <w:rsid w:val="001017EF"/>
    <w:rsid w:val="001021C2"/>
    <w:rsid w:val="00102B9F"/>
    <w:rsid w:val="00102F03"/>
    <w:rsid w:val="001032F2"/>
    <w:rsid w:val="001037EA"/>
    <w:rsid w:val="00103AD1"/>
    <w:rsid w:val="0010420C"/>
    <w:rsid w:val="00104304"/>
    <w:rsid w:val="00104FD8"/>
    <w:rsid w:val="00106243"/>
    <w:rsid w:val="001063AC"/>
    <w:rsid w:val="001067F1"/>
    <w:rsid w:val="00106B3A"/>
    <w:rsid w:val="00106D63"/>
    <w:rsid w:val="00106DF1"/>
    <w:rsid w:val="0011010F"/>
    <w:rsid w:val="001101CE"/>
    <w:rsid w:val="001108D9"/>
    <w:rsid w:val="001117AC"/>
    <w:rsid w:val="00112050"/>
    <w:rsid w:val="00112408"/>
    <w:rsid w:val="00112637"/>
    <w:rsid w:val="00112ABC"/>
    <w:rsid w:val="00112AF2"/>
    <w:rsid w:val="001136A0"/>
    <w:rsid w:val="00113CA6"/>
    <w:rsid w:val="00114544"/>
    <w:rsid w:val="0011479C"/>
    <w:rsid w:val="0011521E"/>
    <w:rsid w:val="001155DC"/>
    <w:rsid w:val="00115CAA"/>
    <w:rsid w:val="001161C3"/>
    <w:rsid w:val="00116859"/>
    <w:rsid w:val="00116BAB"/>
    <w:rsid w:val="0011748B"/>
    <w:rsid w:val="00117C80"/>
    <w:rsid w:val="00117D9E"/>
    <w:rsid w:val="0012001E"/>
    <w:rsid w:val="00120B15"/>
    <w:rsid w:val="00120E84"/>
    <w:rsid w:val="00122100"/>
    <w:rsid w:val="001239C9"/>
    <w:rsid w:val="00125519"/>
    <w:rsid w:val="00126580"/>
    <w:rsid w:val="00126A55"/>
    <w:rsid w:val="00126C78"/>
    <w:rsid w:val="00127770"/>
    <w:rsid w:val="00127BDC"/>
    <w:rsid w:val="00131DE3"/>
    <w:rsid w:val="00131E6B"/>
    <w:rsid w:val="00132522"/>
    <w:rsid w:val="00132780"/>
    <w:rsid w:val="00132BE8"/>
    <w:rsid w:val="00132C59"/>
    <w:rsid w:val="001330A6"/>
    <w:rsid w:val="0013376F"/>
    <w:rsid w:val="00133F08"/>
    <w:rsid w:val="0013452D"/>
    <w:rsid w:val="001345E6"/>
    <w:rsid w:val="00135CF3"/>
    <w:rsid w:val="0013698B"/>
    <w:rsid w:val="00136A9D"/>
    <w:rsid w:val="00136AEA"/>
    <w:rsid w:val="00136F60"/>
    <w:rsid w:val="001377F3"/>
    <w:rsid w:val="001378B0"/>
    <w:rsid w:val="001403C7"/>
    <w:rsid w:val="001403EC"/>
    <w:rsid w:val="00140453"/>
    <w:rsid w:val="00140872"/>
    <w:rsid w:val="00140A54"/>
    <w:rsid w:val="00142818"/>
    <w:rsid w:val="00142E00"/>
    <w:rsid w:val="00143266"/>
    <w:rsid w:val="001432AE"/>
    <w:rsid w:val="001435F6"/>
    <w:rsid w:val="001442FD"/>
    <w:rsid w:val="001451F6"/>
    <w:rsid w:val="00145714"/>
    <w:rsid w:val="0014579A"/>
    <w:rsid w:val="00145D0C"/>
    <w:rsid w:val="00146B13"/>
    <w:rsid w:val="001471A8"/>
    <w:rsid w:val="00147353"/>
    <w:rsid w:val="0014740A"/>
    <w:rsid w:val="0014744E"/>
    <w:rsid w:val="001474BF"/>
    <w:rsid w:val="00147A84"/>
    <w:rsid w:val="00147F5E"/>
    <w:rsid w:val="00147FCE"/>
    <w:rsid w:val="00150445"/>
    <w:rsid w:val="001504D9"/>
    <w:rsid w:val="0015083F"/>
    <w:rsid w:val="00150B91"/>
    <w:rsid w:val="00151013"/>
    <w:rsid w:val="0015175C"/>
    <w:rsid w:val="0015185E"/>
    <w:rsid w:val="00151938"/>
    <w:rsid w:val="00151D87"/>
    <w:rsid w:val="001526D1"/>
    <w:rsid w:val="00152793"/>
    <w:rsid w:val="00153B7E"/>
    <w:rsid w:val="00153C68"/>
    <w:rsid w:val="001545A9"/>
    <w:rsid w:val="00154E81"/>
    <w:rsid w:val="00154EDA"/>
    <w:rsid w:val="00154FEB"/>
    <w:rsid w:val="001556E7"/>
    <w:rsid w:val="001565F6"/>
    <w:rsid w:val="00157877"/>
    <w:rsid w:val="00157951"/>
    <w:rsid w:val="0016059F"/>
    <w:rsid w:val="001612E6"/>
    <w:rsid w:val="001616C9"/>
    <w:rsid w:val="00161D20"/>
    <w:rsid w:val="00162C68"/>
    <w:rsid w:val="001637C7"/>
    <w:rsid w:val="001639E7"/>
    <w:rsid w:val="00163F01"/>
    <w:rsid w:val="0016480E"/>
    <w:rsid w:val="0016491F"/>
    <w:rsid w:val="00164A4D"/>
    <w:rsid w:val="00164A8E"/>
    <w:rsid w:val="00165459"/>
    <w:rsid w:val="00165859"/>
    <w:rsid w:val="0016679B"/>
    <w:rsid w:val="00166B0A"/>
    <w:rsid w:val="00167216"/>
    <w:rsid w:val="001674CB"/>
    <w:rsid w:val="001679F9"/>
    <w:rsid w:val="00167C97"/>
    <w:rsid w:val="0017118B"/>
    <w:rsid w:val="001714AF"/>
    <w:rsid w:val="001717FA"/>
    <w:rsid w:val="00171A0F"/>
    <w:rsid w:val="00172690"/>
    <w:rsid w:val="0017286A"/>
    <w:rsid w:val="00172D8E"/>
    <w:rsid w:val="00174297"/>
    <w:rsid w:val="001746E0"/>
    <w:rsid w:val="0017476E"/>
    <w:rsid w:val="001749D2"/>
    <w:rsid w:val="0017522D"/>
    <w:rsid w:val="00176130"/>
    <w:rsid w:val="00176DCA"/>
    <w:rsid w:val="00177487"/>
    <w:rsid w:val="00177D2F"/>
    <w:rsid w:val="001800F7"/>
    <w:rsid w:val="0018051D"/>
    <w:rsid w:val="00180E06"/>
    <w:rsid w:val="001817B3"/>
    <w:rsid w:val="001817F9"/>
    <w:rsid w:val="0018197B"/>
    <w:rsid w:val="00181B84"/>
    <w:rsid w:val="001821B2"/>
    <w:rsid w:val="0018279B"/>
    <w:rsid w:val="00183014"/>
    <w:rsid w:val="00184014"/>
    <w:rsid w:val="00184312"/>
    <w:rsid w:val="0018479D"/>
    <w:rsid w:val="00185119"/>
    <w:rsid w:val="0018627A"/>
    <w:rsid w:val="00186A2A"/>
    <w:rsid w:val="00192B89"/>
    <w:rsid w:val="00194860"/>
    <w:rsid w:val="001948E5"/>
    <w:rsid w:val="00194AB1"/>
    <w:rsid w:val="001959C2"/>
    <w:rsid w:val="00195B64"/>
    <w:rsid w:val="0019661B"/>
    <w:rsid w:val="00196FE3"/>
    <w:rsid w:val="00197A27"/>
    <w:rsid w:val="001A0D4A"/>
    <w:rsid w:val="001A1955"/>
    <w:rsid w:val="001A1A6E"/>
    <w:rsid w:val="001A1F7D"/>
    <w:rsid w:val="001A2550"/>
    <w:rsid w:val="001A2916"/>
    <w:rsid w:val="001A37D5"/>
    <w:rsid w:val="001A3CED"/>
    <w:rsid w:val="001A3F5A"/>
    <w:rsid w:val="001A4B59"/>
    <w:rsid w:val="001A51E3"/>
    <w:rsid w:val="001A5256"/>
    <w:rsid w:val="001A5F05"/>
    <w:rsid w:val="001A690A"/>
    <w:rsid w:val="001A7934"/>
    <w:rsid w:val="001A7968"/>
    <w:rsid w:val="001A7CE5"/>
    <w:rsid w:val="001B0103"/>
    <w:rsid w:val="001B02E5"/>
    <w:rsid w:val="001B053D"/>
    <w:rsid w:val="001B0915"/>
    <w:rsid w:val="001B14B1"/>
    <w:rsid w:val="001B1C3E"/>
    <w:rsid w:val="001B2435"/>
    <w:rsid w:val="001B2E98"/>
    <w:rsid w:val="001B3483"/>
    <w:rsid w:val="001B34CA"/>
    <w:rsid w:val="001B36C7"/>
    <w:rsid w:val="001B3A8D"/>
    <w:rsid w:val="001B3C1E"/>
    <w:rsid w:val="001B3E6C"/>
    <w:rsid w:val="001B3EF5"/>
    <w:rsid w:val="001B3FA2"/>
    <w:rsid w:val="001B3FA4"/>
    <w:rsid w:val="001B40DB"/>
    <w:rsid w:val="001B422F"/>
    <w:rsid w:val="001B43C4"/>
    <w:rsid w:val="001B4494"/>
    <w:rsid w:val="001B4642"/>
    <w:rsid w:val="001B4842"/>
    <w:rsid w:val="001B6A1D"/>
    <w:rsid w:val="001B75F7"/>
    <w:rsid w:val="001B7B0C"/>
    <w:rsid w:val="001C0D8B"/>
    <w:rsid w:val="001C0DA8"/>
    <w:rsid w:val="001C14E2"/>
    <w:rsid w:val="001C17D0"/>
    <w:rsid w:val="001C1829"/>
    <w:rsid w:val="001C216A"/>
    <w:rsid w:val="001C33BB"/>
    <w:rsid w:val="001C3B83"/>
    <w:rsid w:val="001C46DF"/>
    <w:rsid w:val="001C47A2"/>
    <w:rsid w:val="001C4D74"/>
    <w:rsid w:val="001C4EC7"/>
    <w:rsid w:val="001C5179"/>
    <w:rsid w:val="001C61D4"/>
    <w:rsid w:val="001C6248"/>
    <w:rsid w:val="001C6AD5"/>
    <w:rsid w:val="001C6C42"/>
    <w:rsid w:val="001C6D0B"/>
    <w:rsid w:val="001C7D5A"/>
    <w:rsid w:val="001D0357"/>
    <w:rsid w:val="001D0DE5"/>
    <w:rsid w:val="001D1130"/>
    <w:rsid w:val="001D12FD"/>
    <w:rsid w:val="001D15A5"/>
    <w:rsid w:val="001D2880"/>
    <w:rsid w:val="001D2F3D"/>
    <w:rsid w:val="001D31A5"/>
    <w:rsid w:val="001D4011"/>
    <w:rsid w:val="001D4AD7"/>
    <w:rsid w:val="001D4FAA"/>
    <w:rsid w:val="001D58A8"/>
    <w:rsid w:val="001D5F77"/>
    <w:rsid w:val="001D6BCC"/>
    <w:rsid w:val="001D72C1"/>
    <w:rsid w:val="001E0156"/>
    <w:rsid w:val="001E0D8A"/>
    <w:rsid w:val="001E0DB4"/>
    <w:rsid w:val="001E213A"/>
    <w:rsid w:val="001E2B01"/>
    <w:rsid w:val="001E30A2"/>
    <w:rsid w:val="001E31DF"/>
    <w:rsid w:val="001E3508"/>
    <w:rsid w:val="001E4209"/>
    <w:rsid w:val="001E4B25"/>
    <w:rsid w:val="001E5509"/>
    <w:rsid w:val="001E5603"/>
    <w:rsid w:val="001E6076"/>
    <w:rsid w:val="001E67BA"/>
    <w:rsid w:val="001E6DD1"/>
    <w:rsid w:val="001E6FE7"/>
    <w:rsid w:val="001E739D"/>
    <w:rsid w:val="001E74C2"/>
    <w:rsid w:val="001E778B"/>
    <w:rsid w:val="001F023D"/>
    <w:rsid w:val="001F0294"/>
    <w:rsid w:val="001F0691"/>
    <w:rsid w:val="001F08F1"/>
    <w:rsid w:val="001F1D7A"/>
    <w:rsid w:val="001F27E0"/>
    <w:rsid w:val="001F2B37"/>
    <w:rsid w:val="001F2C33"/>
    <w:rsid w:val="001F3067"/>
    <w:rsid w:val="001F313C"/>
    <w:rsid w:val="001F320E"/>
    <w:rsid w:val="001F32D1"/>
    <w:rsid w:val="001F416D"/>
    <w:rsid w:val="001F4BF0"/>
    <w:rsid w:val="001F4C3A"/>
    <w:rsid w:val="001F5572"/>
    <w:rsid w:val="001F5A48"/>
    <w:rsid w:val="001F6260"/>
    <w:rsid w:val="001F63A2"/>
    <w:rsid w:val="001F66BD"/>
    <w:rsid w:val="001F6880"/>
    <w:rsid w:val="001F6933"/>
    <w:rsid w:val="001F6DF8"/>
    <w:rsid w:val="001F71AE"/>
    <w:rsid w:val="00200007"/>
    <w:rsid w:val="00200BC2"/>
    <w:rsid w:val="0020140E"/>
    <w:rsid w:val="0020148B"/>
    <w:rsid w:val="00201761"/>
    <w:rsid w:val="00202701"/>
    <w:rsid w:val="00202A0A"/>
    <w:rsid w:val="002030A5"/>
    <w:rsid w:val="00203131"/>
    <w:rsid w:val="002032E2"/>
    <w:rsid w:val="0020337A"/>
    <w:rsid w:val="0020421A"/>
    <w:rsid w:val="00204B95"/>
    <w:rsid w:val="002058CC"/>
    <w:rsid w:val="00205EA9"/>
    <w:rsid w:val="00205F06"/>
    <w:rsid w:val="00206944"/>
    <w:rsid w:val="002101B8"/>
    <w:rsid w:val="00210453"/>
    <w:rsid w:val="0021272A"/>
    <w:rsid w:val="00212E88"/>
    <w:rsid w:val="00212EA6"/>
    <w:rsid w:val="002134A6"/>
    <w:rsid w:val="00213C9C"/>
    <w:rsid w:val="00213DF9"/>
    <w:rsid w:val="00213FD4"/>
    <w:rsid w:val="00214D42"/>
    <w:rsid w:val="00215CE7"/>
    <w:rsid w:val="0021664F"/>
    <w:rsid w:val="0021719C"/>
    <w:rsid w:val="00217616"/>
    <w:rsid w:val="00217D94"/>
    <w:rsid w:val="0022009E"/>
    <w:rsid w:val="00220494"/>
    <w:rsid w:val="00220CDE"/>
    <w:rsid w:val="002211BA"/>
    <w:rsid w:val="00222315"/>
    <w:rsid w:val="0022243D"/>
    <w:rsid w:val="00223241"/>
    <w:rsid w:val="002241A4"/>
    <w:rsid w:val="0022425C"/>
    <w:rsid w:val="002246DE"/>
    <w:rsid w:val="002251A5"/>
    <w:rsid w:val="00225353"/>
    <w:rsid w:val="00227896"/>
    <w:rsid w:val="00227E17"/>
    <w:rsid w:val="00227FA6"/>
    <w:rsid w:val="002306D8"/>
    <w:rsid w:val="00230DE3"/>
    <w:rsid w:val="00230EC1"/>
    <w:rsid w:val="0023191F"/>
    <w:rsid w:val="002319AA"/>
    <w:rsid w:val="0023295D"/>
    <w:rsid w:val="00232EC9"/>
    <w:rsid w:val="00233072"/>
    <w:rsid w:val="002335E0"/>
    <w:rsid w:val="0023371E"/>
    <w:rsid w:val="002344A0"/>
    <w:rsid w:val="0023496D"/>
    <w:rsid w:val="0023629D"/>
    <w:rsid w:val="002369CE"/>
    <w:rsid w:val="00236C83"/>
    <w:rsid w:val="002371A3"/>
    <w:rsid w:val="002373F8"/>
    <w:rsid w:val="00240D26"/>
    <w:rsid w:val="002419A9"/>
    <w:rsid w:val="00241D3E"/>
    <w:rsid w:val="00242796"/>
    <w:rsid w:val="00242846"/>
    <w:rsid w:val="00242B24"/>
    <w:rsid w:val="002436BB"/>
    <w:rsid w:val="0024486C"/>
    <w:rsid w:val="00244A51"/>
    <w:rsid w:val="002453D3"/>
    <w:rsid w:val="0024553A"/>
    <w:rsid w:val="00245706"/>
    <w:rsid w:val="00245FBF"/>
    <w:rsid w:val="002460C7"/>
    <w:rsid w:val="0024686F"/>
    <w:rsid w:val="00247507"/>
    <w:rsid w:val="00250782"/>
    <w:rsid w:val="00250800"/>
    <w:rsid w:val="00250CB0"/>
    <w:rsid w:val="00251E2B"/>
    <w:rsid w:val="00252493"/>
    <w:rsid w:val="00252532"/>
    <w:rsid w:val="00252BC4"/>
    <w:rsid w:val="00252D92"/>
    <w:rsid w:val="00254014"/>
    <w:rsid w:val="00254488"/>
    <w:rsid w:val="002544E9"/>
    <w:rsid w:val="00254665"/>
    <w:rsid w:val="00255527"/>
    <w:rsid w:val="002557B3"/>
    <w:rsid w:val="0025607D"/>
    <w:rsid w:val="00256B32"/>
    <w:rsid w:val="00257A66"/>
    <w:rsid w:val="00257D3C"/>
    <w:rsid w:val="00260735"/>
    <w:rsid w:val="00260A09"/>
    <w:rsid w:val="00260C7C"/>
    <w:rsid w:val="002619E1"/>
    <w:rsid w:val="00261CEE"/>
    <w:rsid w:val="00261FE7"/>
    <w:rsid w:val="002620ED"/>
    <w:rsid w:val="0026212F"/>
    <w:rsid w:val="00262516"/>
    <w:rsid w:val="0026271E"/>
    <w:rsid w:val="00262847"/>
    <w:rsid w:val="00262A2D"/>
    <w:rsid w:val="00262B63"/>
    <w:rsid w:val="00262D93"/>
    <w:rsid w:val="00262EBE"/>
    <w:rsid w:val="0026343C"/>
    <w:rsid w:val="0026495C"/>
    <w:rsid w:val="0026504D"/>
    <w:rsid w:val="00265612"/>
    <w:rsid w:val="00265A71"/>
    <w:rsid w:val="00265C95"/>
    <w:rsid w:val="00266500"/>
    <w:rsid w:val="00266D73"/>
    <w:rsid w:val="00266D8B"/>
    <w:rsid w:val="00266F24"/>
    <w:rsid w:val="00270C2B"/>
    <w:rsid w:val="00271DB7"/>
    <w:rsid w:val="00272359"/>
    <w:rsid w:val="00272C2F"/>
    <w:rsid w:val="00272F47"/>
    <w:rsid w:val="002736EB"/>
    <w:rsid w:val="002738E8"/>
    <w:rsid w:val="00273A2F"/>
    <w:rsid w:val="002740F2"/>
    <w:rsid w:val="00274402"/>
    <w:rsid w:val="00274DAB"/>
    <w:rsid w:val="00275CA9"/>
    <w:rsid w:val="00276002"/>
    <w:rsid w:val="00276BAC"/>
    <w:rsid w:val="0027734E"/>
    <w:rsid w:val="002773F9"/>
    <w:rsid w:val="00277521"/>
    <w:rsid w:val="00277695"/>
    <w:rsid w:val="00280145"/>
    <w:rsid w:val="00280986"/>
    <w:rsid w:val="00280B99"/>
    <w:rsid w:val="00280C61"/>
    <w:rsid w:val="0028174B"/>
    <w:rsid w:val="00281AB8"/>
    <w:rsid w:val="00281ECE"/>
    <w:rsid w:val="0028205A"/>
    <w:rsid w:val="00282CD1"/>
    <w:rsid w:val="0028309A"/>
    <w:rsid w:val="002831C7"/>
    <w:rsid w:val="0028372F"/>
    <w:rsid w:val="00283922"/>
    <w:rsid w:val="00283948"/>
    <w:rsid w:val="002840C6"/>
    <w:rsid w:val="00284853"/>
    <w:rsid w:val="002859AD"/>
    <w:rsid w:val="00286B5D"/>
    <w:rsid w:val="00286FC9"/>
    <w:rsid w:val="00287387"/>
    <w:rsid w:val="002874EB"/>
    <w:rsid w:val="00291163"/>
    <w:rsid w:val="00291DB3"/>
    <w:rsid w:val="00292FEC"/>
    <w:rsid w:val="00293349"/>
    <w:rsid w:val="002942CF"/>
    <w:rsid w:val="00295174"/>
    <w:rsid w:val="00296172"/>
    <w:rsid w:val="0029686F"/>
    <w:rsid w:val="00296ABF"/>
    <w:rsid w:val="00296AEC"/>
    <w:rsid w:val="00296B92"/>
    <w:rsid w:val="00296D75"/>
    <w:rsid w:val="00297B92"/>
    <w:rsid w:val="002A0A0A"/>
    <w:rsid w:val="002A1300"/>
    <w:rsid w:val="002A15EB"/>
    <w:rsid w:val="002A192A"/>
    <w:rsid w:val="002A2C22"/>
    <w:rsid w:val="002A4ACA"/>
    <w:rsid w:val="002A5E06"/>
    <w:rsid w:val="002A5FE0"/>
    <w:rsid w:val="002A6627"/>
    <w:rsid w:val="002A6957"/>
    <w:rsid w:val="002A6D85"/>
    <w:rsid w:val="002A79F5"/>
    <w:rsid w:val="002A7D39"/>
    <w:rsid w:val="002A7D69"/>
    <w:rsid w:val="002B02EB"/>
    <w:rsid w:val="002B06A8"/>
    <w:rsid w:val="002B1B7E"/>
    <w:rsid w:val="002B1C33"/>
    <w:rsid w:val="002B2894"/>
    <w:rsid w:val="002B2B8D"/>
    <w:rsid w:val="002B4A62"/>
    <w:rsid w:val="002B4F0A"/>
    <w:rsid w:val="002B621D"/>
    <w:rsid w:val="002B621E"/>
    <w:rsid w:val="002B6C3F"/>
    <w:rsid w:val="002B78AD"/>
    <w:rsid w:val="002B7BD2"/>
    <w:rsid w:val="002B7F95"/>
    <w:rsid w:val="002C0602"/>
    <w:rsid w:val="002C0632"/>
    <w:rsid w:val="002C1CB0"/>
    <w:rsid w:val="002C233D"/>
    <w:rsid w:val="002C271D"/>
    <w:rsid w:val="002C2AD2"/>
    <w:rsid w:val="002C3170"/>
    <w:rsid w:val="002C31DB"/>
    <w:rsid w:val="002C37E5"/>
    <w:rsid w:val="002C4D3C"/>
    <w:rsid w:val="002C5DC6"/>
    <w:rsid w:val="002C6364"/>
    <w:rsid w:val="002C666C"/>
    <w:rsid w:val="002C6678"/>
    <w:rsid w:val="002C68C6"/>
    <w:rsid w:val="002C6FDC"/>
    <w:rsid w:val="002C77C8"/>
    <w:rsid w:val="002D0087"/>
    <w:rsid w:val="002D0288"/>
    <w:rsid w:val="002D029F"/>
    <w:rsid w:val="002D0FA3"/>
    <w:rsid w:val="002D2498"/>
    <w:rsid w:val="002D349D"/>
    <w:rsid w:val="002D4B00"/>
    <w:rsid w:val="002D4F99"/>
    <w:rsid w:val="002D50C6"/>
    <w:rsid w:val="002D5C16"/>
    <w:rsid w:val="002D5E0F"/>
    <w:rsid w:val="002D63FF"/>
    <w:rsid w:val="002D65CE"/>
    <w:rsid w:val="002D6CCC"/>
    <w:rsid w:val="002D6F91"/>
    <w:rsid w:val="002D7433"/>
    <w:rsid w:val="002D7827"/>
    <w:rsid w:val="002E0410"/>
    <w:rsid w:val="002E0680"/>
    <w:rsid w:val="002E10F2"/>
    <w:rsid w:val="002E1333"/>
    <w:rsid w:val="002E2132"/>
    <w:rsid w:val="002E26A9"/>
    <w:rsid w:val="002E294E"/>
    <w:rsid w:val="002E2AE1"/>
    <w:rsid w:val="002E2E32"/>
    <w:rsid w:val="002E3703"/>
    <w:rsid w:val="002E3990"/>
    <w:rsid w:val="002E58A9"/>
    <w:rsid w:val="002E5B11"/>
    <w:rsid w:val="002E5B8D"/>
    <w:rsid w:val="002E6488"/>
    <w:rsid w:val="002E6936"/>
    <w:rsid w:val="002E75E1"/>
    <w:rsid w:val="002E773E"/>
    <w:rsid w:val="002E78F9"/>
    <w:rsid w:val="002E79F2"/>
    <w:rsid w:val="002F0B3F"/>
    <w:rsid w:val="002F0FBF"/>
    <w:rsid w:val="002F180A"/>
    <w:rsid w:val="002F1E60"/>
    <w:rsid w:val="002F20FC"/>
    <w:rsid w:val="002F212C"/>
    <w:rsid w:val="002F28E2"/>
    <w:rsid w:val="002F2AFA"/>
    <w:rsid w:val="002F33D7"/>
    <w:rsid w:val="002F3451"/>
    <w:rsid w:val="002F3DFF"/>
    <w:rsid w:val="002F5E05"/>
    <w:rsid w:val="002F5E41"/>
    <w:rsid w:val="002F6C08"/>
    <w:rsid w:val="002F7315"/>
    <w:rsid w:val="002F760C"/>
    <w:rsid w:val="002F7999"/>
    <w:rsid w:val="00300645"/>
    <w:rsid w:val="003009E8"/>
    <w:rsid w:val="0030186E"/>
    <w:rsid w:val="00301C0A"/>
    <w:rsid w:val="003025BC"/>
    <w:rsid w:val="003037FA"/>
    <w:rsid w:val="00305666"/>
    <w:rsid w:val="0030573A"/>
    <w:rsid w:val="00305D42"/>
    <w:rsid w:val="00306BA5"/>
    <w:rsid w:val="0031048C"/>
    <w:rsid w:val="00310B39"/>
    <w:rsid w:val="003118FC"/>
    <w:rsid w:val="00311BEE"/>
    <w:rsid w:val="003139D3"/>
    <w:rsid w:val="0031424F"/>
    <w:rsid w:val="0031489F"/>
    <w:rsid w:val="003151C9"/>
    <w:rsid w:val="003156F8"/>
    <w:rsid w:val="00315A16"/>
    <w:rsid w:val="00315E9D"/>
    <w:rsid w:val="00316B73"/>
    <w:rsid w:val="00317053"/>
    <w:rsid w:val="00320489"/>
    <w:rsid w:val="0032109C"/>
    <w:rsid w:val="00321DFF"/>
    <w:rsid w:val="00322B45"/>
    <w:rsid w:val="00323809"/>
    <w:rsid w:val="003239E2"/>
    <w:rsid w:val="00323D41"/>
    <w:rsid w:val="00324C33"/>
    <w:rsid w:val="00325414"/>
    <w:rsid w:val="003258D8"/>
    <w:rsid w:val="003259F3"/>
    <w:rsid w:val="00326E20"/>
    <w:rsid w:val="003272D3"/>
    <w:rsid w:val="003302F1"/>
    <w:rsid w:val="00330967"/>
    <w:rsid w:val="003309C9"/>
    <w:rsid w:val="00332DC6"/>
    <w:rsid w:val="00333488"/>
    <w:rsid w:val="00333852"/>
    <w:rsid w:val="00334307"/>
    <w:rsid w:val="00334CED"/>
    <w:rsid w:val="00334E78"/>
    <w:rsid w:val="00335334"/>
    <w:rsid w:val="00335515"/>
    <w:rsid w:val="0033567B"/>
    <w:rsid w:val="00335751"/>
    <w:rsid w:val="00335A44"/>
    <w:rsid w:val="00335B94"/>
    <w:rsid w:val="00336EC1"/>
    <w:rsid w:val="00337190"/>
    <w:rsid w:val="003372FB"/>
    <w:rsid w:val="00337845"/>
    <w:rsid w:val="0033791F"/>
    <w:rsid w:val="00337B92"/>
    <w:rsid w:val="00337DF7"/>
    <w:rsid w:val="00337E9B"/>
    <w:rsid w:val="003400FE"/>
    <w:rsid w:val="003404BD"/>
    <w:rsid w:val="00340D4D"/>
    <w:rsid w:val="00341158"/>
    <w:rsid w:val="0034184A"/>
    <w:rsid w:val="00344436"/>
    <w:rsid w:val="0034469A"/>
    <w:rsid w:val="0034470E"/>
    <w:rsid w:val="00344724"/>
    <w:rsid w:val="0034497E"/>
    <w:rsid w:val="003456C8"/>
    <w:rsid w:val="00345A09"/>
    <w:rsid w:val="00346372"/>
    <w:rsid w:val="003467CA"/>
    <w:rsid w:val="003469FE"/>
    <w:rsid w:val="00346B14"/>
    <w:rsid w:val="00346CB9"/>
    <w:rsid w:val="00347533"/>
    <w:rsid w:val="00347A61"/>
    <w:rsid w:val="00350942"/>
    <w:rsid w:val="00350DAC"/>
    <w:rsid w:val="00351104"/>
    <w:rsid w:val="00351A88"/>
    <w:rsid w:val="003522F2"/>
    <w:rsid w:val="00352DB0"/>
    <w:rsid w:val="00354648"/>
    <w:rsid w:val="0035526A"/>
    <w:rsid w:val="00355463"/>
    <w:rsid w:val="003557A5"/>
    <w:rsid w:val="0035583C"/>
    <w:rsid w:val="0035601A"/>
    <w:rsid w:val="003572DD"/>
    <w:rsid w:val="003578D5"/>
    <w:rsid w:val="003579D9"/>
    <w:rsid w:val="00357F6F"/>
    <w:rsid w:val="003607DF"/>
    <w:rsid w:val="00361063"/>
    <w:rsid w:val="00361CAB"/>
    <w:rsid w:val="003630B3"/>
    <w:rsid w:val="0036336E"/>
    <w:rsid w:val="00363A34"/>
    <w:rsid w:val="00364F38"/>
    <w:rsid w:val="00365B50"/>
    <w:rsid w:val="003663C6"/>
    <w:rsid w:val="00366E56"/>
    <w:rsid w:val="0036707E"/>
    <w:rsid w:val="003673A8"/>
    <w:rsid w:val="003677D3"/>
    <w:rsid w:val="00367E34"/>
    <w:rsid w:val="0037094A"/>
    <w:rsid w:val="00370C7B"/>
    <w:rsid w:val="00370D95"/>
    <w:rsid w:val="00371ED3"/>
    <w:rsid w:val="00372297"/>
    <w:rsid w:val="003727A1"/>
    <w:rsid w:val="00372FFC"/>
    <w:rsid w:val="003735B3"/>
    <w:rsid w:val="003737B8"/>
    <w:rsid w:val="003743D8"/>
    <w:rsid w:val="003744FF"/>
    <w:rsid w:val="00374EC5"/>
    <w:rsid w:val="00375DE5"/>
    <w:rsid w:val="00375F0A"/>
    <w:rsid w:val="00376253"/>
    <w:rsid w:val="00376350"/>
    <w:rsid w:val="003767CE"/>
    <w:rsid w:val="0037728A"/>
    <w:rsid w:val="003778F6"/>
    <w:rsid w:val="00380B7D"/>
    <w:rsid w:val="003817B9"/>
    <w:rsid w:val="00381A99"/>
    <w:rsid w:val="0038298E"/>
    <w:rsid w:val="003829C2"/>
    <w:rsid w:val="003830B2"/>
    <w:rsid w:val="00384724"/>
    <w:rsid w:val="00384881"/>
    <w:rsid w:val="003859C1"/>
    <w:rsid w:val="00386006"/>
    <w:rsid w:val="003862E6"/>
    <w:rsid w:val="003872C4"/>
    <w:rsid w:val="00387A82"/>
    <w:rsid w:val="003915AD"/>
    <w:rsid w:val="003919AA"/>
    <w:rsid w:val="003919B7"/>
    <w:rsid w:val="00391D57"/>
    <w:rsid w:val="00392292"/>
    <w:rsid w:val="00393D53"/>
    <w:rsid w:val="0039420D"/>
    <w:rsid w:val="00395198"/>
    <w:rsid w:val="0039526E"/>
    <w:rsid w:val="00396925"/>
    <w:rsid w:val="00396BB5"/>
    <w:rsid w:val="00396D38"/>
    <w:rsid w:val="003977C9"/>
    <w:rsid w:val="00397AE8"/>
    <w:rsid w:val="003A05C0"/>
    <w:rsid w:val="003A17FA"/>
    <w:rsid w:val="003A1D58"/>
    <w:rsid w:val="003A2359"/>
    <w:rsid w:val="003A3BCE"/>
    <w:rsid w:val="003A643A"/>
    <w:rsid w:val="003A68C8"/>
    <w:rsid w:val="003A7750"/>
    <w:rsid w:val="003B04DE"/>
    <w:rsid w:val="003B0ECB"/>
    <w:rsid w:val="003B1017"/>
    <w:rsid w:val="003B10AE"/>
    <w:rsid w:val="003B175E"/>
    <w:rsid w:val="003B241D"/>
    <w:rsid w:val="003B3318"/>
    <w:rsid w:val="003B3C07"/>
    <w:rsid w:val="003B3C2B"/>
    <w:rsid w:val="003B3D0E"/>
    <w:rsid w:val="003B4330"/>
    <w:rsid w:val="003B46B7"/>
    <w:rsid w:val="003B46CB"/>
    <w:rsid w:val="003B52BF"/>
    <w:rsid w:val="003B62BF"/>
    <w:rsid w:val="003B6775"/>
    <w:rsid w:val="003B6E25"/>
    <w:rsid w:val="003B71EB"/>
    <w:rsid w:val="003B77D6"/>
    <w:rsid w:val="003B78E5"/>
    <w:rsid w:val="003C0617"/>
    <w:rsid w:val="003C0AD7"/>
    <w:rsid w:val="003C0B71"/>
    <w:rsid w:val="003C2258"/>
    <w:rsid w:val="003C2CF6"/>
    <w:rsid w:val="003C3552"/>
    <w:rsid w:val="003C381D"/>
    <w:rsid w:val="003C3B06"/>
    <w:rsid w:val="003C4D98"/>
    <w:rsid w:val="003C4DD2"/>
    <w:rsid w:val="003C5FE2"/>
    <w:rsid w:val="003C64BC"/>
    <w:rsid w:val="003C6799"/>
    <w:rsid w:val="003C68AB"/>
    <w:rsid w:val="003C7DA9"/>
    <w:rsid w:val="003C7EA5"/>
    <w:rsid w:val="003D05FB"/>
    <w:rsid w:val="003D0D4E"/>
    <w:rsid w:val="003D17BB"/>
    <w:rsid w:val="003D1B16"/>
    <w:rsid w:val="003D1BF2"/>
    <w:rsid w:val="003D1E03"/>
    <w:rsid w:val="003D2545"/>
    <w:rsid w:val="003D45BF"/>
    <w:rsid w:val="003D4673"/>
    <w:rsid w:val="003D508A"/>
    <w:rsid w:val="003D51C0"/>
    <w:rsid w:val="003D537F"/>
    <w:rsid w:val="003D584D"/>
    <w:rsid w:val="003D5B8E"/>
    <w:rsid w:val="003D79BA"/>
    <w:rsid w:val="003D7B75"/>
    <w:rsid w:val="003D7F2A"/>
    <w:rsid w:val="003E0208"/>
    <w:rsid w:val="003E04B6"/>
    <w:rsid w:val="003E1B2B"/>
    <w:rsid w:val="003E25CD"/>
    <w:rsid w:val="003E28D7"/>
    <w:rsid w:val="003E34B6"/>
    <w:rsid w:val="003E3C24"/>
    <w:rsid w:val="003E43B0"/>
    <w:rsid w:val="003E4B57"/>
    <w:rsid w:val="003E4F38"/>
    <w:rsid w:val="003E5476"/>
    <w:rsid w:val="003E6B0C"/>
    <w:rsid w:val="003E6F62"/>
    <w:rsid w:val="003E7099"/>
    <w:rsid w:val="003E7135"/>
    <w:rsid w:val="003E77FA"/>
    <w:rsid w:val="003E799C"/>
    <w:rsid w:val="003E7D13"/>
    <w:rsid w:val="003F0355"/>
    <w:rsid w:val="003F0FE4"/>
    <w:rsid w:val="003F14FB"/>
    <w:rsid w:val="003F15FE"/>
    <w:rsid w:val="003F1AD9"/>
    <w:rsid w:val="003F27E1"/>
    <w:rsid w:val="003F32E9"/>
    <w:rsid w:val="003F3C3E"/>
    <w:rsid w:val="003F437A"/>
    <w:rsid w:val="003F4A1D"/>
    <w:rsid w:val="003F4DCE"/>
    <w:rsid w:val="003F5C2B"/>
    <w:rsid w:val="003F63DC"/>
    <w:rsid w:val="003F73A0"/>
    <w:rsid w:val="003F74B8"/>
    <w:rsid w:val="003F78CF"/>
    <w:rsid w:val="003F7A03"/>
    <w:rsid w:val="00400FC4"/>
    <w:rsid w:val="00401B69"/>
    <w:rsid w:val="004023E9"/>
    <w:rsid w:val="00402CF8"/>
    <w:rsid w:val="0040454A"/>
    <w:rsid w:val="00404BAA"/>
    <w:rsid w:val="004071FC"/>
    <w:rsid w:val="00407764"/>
    <w:rsid w:val="00410382"/>
    <w:rsid w:val="00410BB3"/>
    <w:rsid w:val="00411220"/>
    <w:rsid w:val="00411903"/>
    <w:rsid w:val="004121EB"/>
    <w:rsid w:val="004124E0"/>
    <w:rsid w:val="00413E34"/>
    <w:rsid w:val="00413F83"/>
    <w:rsid w:val="0041408F"/>
    <w:rsid w:val="00414248"/>
    <w:rsid w:val="0041454A"/>
    <w:rsid w:val="00414769"/>
    <w:rsid w:val="0041490C"/>
    <w:rsid w:val="00414937"/>
    <w:rsid w:val="004152B3"/>
    <w:rsid w:val="0041571D"/>
    <w:rsid w:val="00416191"/>
    <w:rsid w:val="00416451"/>
    <w:rsid w:val="00416721"/>
    <w:rsid w:val="00417B30"/>
    <w:rsid w:val="004200BD"/>
    <w:rsid w:val="004207BB"/>
    <w:rsid w:val="00420CE3"/>
    <w:rsid w:val="004211D6"/>
    <w:rsid w:val="00421ECB"/>
    <w:rsid w:val="00421EF0"/>
    <w:rsid w:val="00422413"/>
    <w:rsid w:val="004224FA"/>
    <w:rsid w:val="0042311D"/>
    <w:rsid w:val="00423473"/>
    <w:rsid w:val="00423CA9"/>
    <w:rsid w:val="00423D07"/>
    <w:rsid w:val="00423D6B"/>
    <w:rsid w:val="00423D7F"/>
    <w:rsid w:val="004253E3"/>
    <w:rsid w:val="004264AD"/>
    <w:rsid w:val="00426B35"/>
    <w:rsid w:val="0042777A"/>
    <w:rsid w:val="004301F1"/>
    <w:rsid w:val="00430574"/>
    <w:rsid w:val="004307DA"/>
    <w:rsid w:val="00430D57"/>
    <w:rsid w:val="004313B7"/>
    <w:rsid w:val="00431A8B"/>
    <w:rsid w:val="00433167"/>
    <w:rsid w:val="00433E1E"/>
    <w:rsid w:val="00433EFD"/>
    <w:rsid w:val="00433F65"/>
    <w:rsid w:val="00434346"/>
    <w:rsid w:val="0043472E"/>
    <w:rsid w:val="004349D2"/>
    <w:rsid w:val="00435C16"/>
    <w:rsid w:val="00436913"/>
    <w:rsid w:val="00436E07"/>
    <w:rsid w:val="004371CC"/>
    <w:rsid w:val="0043786E"/>
    <w:rsid w:val="00437F1B"/>
    <w:rsid w:val="00440CAF"/>
    <w:rsid w:val="00441162"/>
    <w:rsid w:val="004421D7"/>
    <w:rsid w:val="004423A9"/>
    <w:rsid w:val="00442D8A"/>
    <w:rsid w:val="0044346F"/>
    <w:rsid w:val="00444FB3"/>
    <w:rsid w:val="0044511F"/>
    <w:rsid w:val="00445264"/>
    <w:rsid w:val="004452AF"/>
    <w:rsid w:val="004456DE"/>
    <w:rsid w:val="004471A1"/>
    <w:rsid w:val="004500F1"/>
    <w:rsid w:val="0045019A"/>
    <w:rsid w:val="004501B1"/>
    <w:rsid w:val="00451282"/>
    <w:rsid w:val="00451374"/>
    <w:rsid w:val="004513DE"/>
    <w:rsid w:val="00451903"/>
    <w:rsid w:val="00451E32"/>
    <w:rsid w:val="00452262"/>
    <w:rsid w:val="00454800"/>
    <w:rsid w:val="00454AD8"/>
    <w:rsid w:val="004568D7"/>
    <w:rsid w:val="00456A2D"/>
    <w:rsid w:val="00457135"/>
    <w:rsid w:val="00457A38"/>
    <w:rsid w:val="00460F61"/>
    <w:rsid w:val="004635A3"/>
    <w:rsid w:val="00463807"/>
    <w:rsid w:val="00463C9B"/>
    <w:rsid w:val="00464666"/>
    <w:rsid w:val="004649A5"/>
    <w:rsid w:val="00464C24"/>
    <w:rsid w:val="0046520A"/>
    <w:rsid w:val="004655CE"/>
    <w:rsid w:val="004672AB"/>
    <w:rsid w:val="0046777A"/>
    <w:rsid w:val="00467804"/>
    <w:rsid w:val="00470259"/>
    <w:rsid w:val="004714FE"/>
    <w:rsid w:val="00471617"/>
    <w:rsid w:val="0047226E"/>
    <w:rsid w:val="00472891"/>
    <w:rsid w:val="00473174"/>
    <w:rsid w:val="00473A9D"/>
    <w:rsid w:val="00474CE1"/>
    <w:rsid w:val="00474EBE"/>
    <w:rsid w:val="0047608C"/>
    <w:rsid w:val="00476596"/>
    <w:rsid w:val="00476969"/>
    <w:rsid w:val="00476BBD"/>
    <w:rsid w:val="00476F77"/>
    <w:rsid w:val="00477314"/>
    <w:rsid w:val="00477B49"/>
    <w:rsid w:val="00477BAA"/>
    <w:rsid w:val="00477C31"/>
    <w:rsid w:val="00477CF1"/>
    <w:rsid w:val="00480132"/>
    <w:rsid w:val="00480C6D"/>
    <w:rsid w:val="00480E07"/>
    <w:rsid w:val="00481155"/>
    <w:rsid w:val="00481656"/>
    <w:rsid w:val="004816A5"/>
    <w:rsid w:val="00481922"/>
    <w:rsid w:val="00481BF9"/>
    <w:rsid w:val="0048231A"/>
    <w:rsid w:val="00482407"/>
    <w:rsid w:val="00482E14"/>
    <w:rsid w:val="00483E64"/>
    <w:rsid w:val="00484B9E"/>
    <w:rsid w:val="00485146"/>
    <w:rsid w:val="004856EE"/>
    <w:rsid w:val="00485723"/>
    <w:rsid w:val="004857FA"/>
    <w:rsid w:val="004867C4"/>
    <w:rsid w:val="00487124"/>
    <w:rsid w:val="004876CE"/>
    <w:rsid w:val="00487712"/>
    <w:rsid w:val="00487ECB"/>
    <w:rsid w:val="00490395"/>
    <w:rsid w:val="00492790"/>
    <w:rsid w:val="004939DF"/>
    <w:rsid w:val="00493F18"/>
    <w:rsid w:val="00494A3F"/>
    <w:rsid w:val="00494B48"/>
    <w:rsid w:val="00495053"/>
    <w:rsid w:val="0049515A"/>
    <w:rsid w:val="004957A6"/>
    <w:rsid w:val="00495BCB"/>
    <w:rsid w:val="004968AA"/>
    <w:rsid w:val="004971AD"/>
    <w:rsid w:val="00497EBA"/>
    <w:rsid w:val="004A0F0A"/>
    <w:rsid w:val="004A119D"/>
    <w:rsid w:val="004A1F59"/>
    <w:rsid w:val="004A29BE"/>
    <w:rsid w:val="004A2C78"/>
    <w:rsid w:val="004A2CEF"/>
    <w:rsid w:val="004A3225"/>
    <w:rsid w:val="004A33EE"/>
    <w:rsid w:val="004A354E"/>
    <w:rsid w:val="004A3AA8"/>
    <w:rsid w:val="004A3BA2"/>
    <w:rsid w:val="004A402F"/>
    <w:rsid w:val="004A4864"/>
    <w:rsid w:val="004A4CC4"/>
    <w:rsid w:val="004A4CD7"/>
    <w:rsid w:val="004A577F"/>
    <w:rsid w:val="004A6851"/>
    <w:rsid w:val="004A6D32"/>
    <w:rsid w:val="004A7CDB"/>
    <w:rsid w:val="004A7ED9"/>
    <w:rsid w:val="004B13C7"/>
    <w:rsid w:val="004B185D"/>
    <w:rsid w:val="004B1961"/>
    <w:rsid w:val="004B2D31"/>
    <w:rsid w:val="004B2F28"/>
    <w:rsid w:val="004B3294"/>
    <w:rsid w:val="004B3459"/>
    <w:rsid w:val="004B36AE"/>
    <w:rsid w:val="004B3EF6"/>
    <w:rsid w:val="004B4619"/>
    <w:rsid w:val="004B4C73"/>
    <w:rsid w:val="004B5117"/>
    <w:rsid w:val="004B54DB"/>
    <w:rsid w:val="004B62C8"/>
    <w:rsid w:val="004B67B7"/>
    <w:rsid w:val="004B6A55"/>
    <w:rsid w:val="004B7504"/>
    <w:rsid w:val="004B778F"/>
    <w:rsid w:val="004B797B"/>
    <w:rsid w:val="004B7F6E"/>
    <w:rsid w:val="004C08AC"/>
    <w:rsid w:val="004C0BEF"/>
    <w:rsid w:val="004C1CE6"/>
    <w:rsid w:val="004C1E3E"/>
    <w:rsid w:val="004C21B0"/>
    <w:rsid w:val="004C296E"/>
    <w:rsid w:val="004C2D8C"/>
    <w:rsid w:val="004C3106"/>
    <w:rsid w:val="004C3228"/>
    <w:rsid w:val="004C3D79"/>
    <w:rsid w:val="004C457C"/>
    <w:rsid w:val="004C5338"/>
    <w:rsid w:val="004C54DF"/>
    <w:rsid w:val="004C5864"/>
    <w:rsid w:val="004C62C3"/>
    <w:rsid w:val="004C6412"/>
    <w:rsid w:val="004C7069"/>
    <w:rsid w:val="004C71C2"/>
    <w:rsid w:val="004C787F"/>
    <w:rsid w:val="004C7D71"/>
    <w:rsid w:val="004D05AA"/>
    <w:rsid w:val="004D10F8"/>
    <w:rsid w:val="004D141F"/>
    <w:rsid w:val="004D1E28"/>
    <w:rsid w:val="004D2742"/>
    <w:rsid w:val="004D2A97"/>
    <w:rsid w:val="004D2F0F"/>
    <w:rsid w:val="004D3153"/>
    <w:rsid w:val="004D3160"/>
    <w:rsid w:val="004D37DE"/>
    <w:rsid w:val="004D3DD0"/>
    <w:rsid w:val="004D534E"/>
    <w:rsid w:val="004D5586"/>
    <w:rsid w:val="004D5F2C"/>
    <w:rsid w:val="004D60CF"/>
    <w:rsid w:val="004D612C"/>
    <w:rsid w:val="004D6132"/>
    <w:rsid w:val="004D61EC"/>
    <w:rsid w:val="004D6310"/>
    <w:rsid w:val="004D670C"/>
    <w:rsid w:val="004D6710"/>
    <w:rsid w:val="004D72E6"/>
    <w:rsid w:val="004D7D95"/>
    <w:rsid w:val="004E0062"/>
    <w:rsid w:val="004E05A1"/>
    <w:rsid w:val="004E23B7"/>
    <w:rsid w:val="004E2A49"/>
    <w:rsid w:val="004E2A4C"/>
    <w:rsid w:val="004E3293"/>
    <w:rsid w:val="004E4538"/>
    <w:rsid w:val="004E45CB"/>
    <w:rsid w:val="004E56DC"/>
    <w:rsid w:val="004E6A74"/>
    <w:rsid w:val="004E6CBB"/>
    <w:rsid w:val="004E74EA"/>
    <w:rsid w:val="004E7794"/>
    <w:rsid w:val="004F0AD4"/>
    <w:rsid w:val="004F1C37"/>
    <w:rsid w:val="004F3025"/>
    <w:rsid w:val="004F5E57"/>
    <w:rsid w:val="004F6710"/>
    <w:rsid w:val="004F6C09"/>
    <w:rsid w:val="004F7982"/>
    <w:rsid w:val="00500292"/>
    <w:rsid w:val="00500724"/>
    <w:rsid w:val="00500C3E"/>
    <w:rsid w:val="005011D7"/>
    <w:rsid w:val="00501825"/>
    <w:rsid w:val="00501859"/>
    <w:rsid w:val="005023BB"/>
    <w:rsid w:val="00502849"/>
    <w:rsid w:val="00502B70"/>
    <w:rsid w:val="00502DB4"/>
    <w:rsid w:val="00503572"/>
    <w:rsid w:val="00503655"/>
    <w:rsid w:val="00504334"/>
    <w:rsid w:val="0050498D"/>
    <w:rsid w:val="00505465"/>
    <w:rsid w:val="00506148"/>
    <w:rsid w:val="00506A9E"/>
    <w:rsid w:val="005070ED"/>
    <w:rsid w:val="0050740C"/>
    <w:rsid w:val="005104D7"/>
    <w:rsid w:val="00510611"/>
    <w:rsid w:val="00510757"/>
    <w:rsid w:val="005109CE"/>
    <w:rsid w:val="00510B9E"/>
    <w:rsid w:val="00510FF9"/>
    <w:rsid w:val="00513AA0"/>
    <w:rsid w:val="0051420C"/>
    <w:rsid w:val="005146C2"/>
    <w:rsid w:val="00514B50"/>
    <w:rsid w:val="00515A36"/>
    <w:rsid w:val="00515AAB"/>
    <w:rsid w:val="00516DB7"/>
    <w:rsid w:val="0051738C"/>
    <w:rsid w:val="0051744D"/>
    <w:rsid w:val="00517631"/>
    <w:rsid w:val="0052043B"/>
    <w:rsid w:val="00520CEA"/>
    <w:rsid w:val="00521637"/>
    <w:rsid w:val="00521714"/>
    <w:rsid w:val="00522717"/>
    <w:rsid w:val="0052292B"/>
    <w:rsid w:val="00522D1C"/>
    <w:rsid w:val="00523285"/>
    <w:rsid w:val="005234E0"/>
    <w:rsid w:val="0052380F"/>
    <w:rsid w:val="00524B29"/>
    <w:rsid w:val="005254A5"/>
    <w:rsid w:val="00525BB1"/>
    <w:rsid w:val="00526B25"/>
    <w:rsid w:val="00526D97"/>
    <w:rsid w:val="00526E98"/>
    <w:rsid w:val="005278EA"/>
    <w:rsid w:val="00527921"/>
    <w:rsid w:val="00530188"/>
    <w:rsid w:val="00531342"/>
    <w:rsid w:val="00532C73"/>
    <w:rsid w:val="00534565"/>
    <w:rsid w:val="00534FE7"/>
    <w:rsid w:val="00535B73"/>
    <w:rsid w:val="00535E5C"/>
    <w:rsid w:val="005360E3"/>
    <w:rsid w:val="005361A2"/>
    <w:rsid w:val="00536407"/>
    <w:rsid w:val="00536BC2"/>
    <w:rsid w:val="00536BFB"/>
    <w:rsid w:val="0054001E"/>
    <w:rsid w:val="00540762"/>
    <w:rsid w:val="0054117F"/>
    <w:rsid w:val="0054152F"/>
    <w:rsid w:val="00541958"/>
    <w:rsid w:val="00541CF3"/>
    <w:rsid w:val="005420C7"/>
    <w:rsid w:val="0054228E"/>
    <w:rsid w:val="005425E1"/>
    <w:rsid w:val="005427C5"/>
    <w:rsid w:val="00542CF6"/>
    <w:rsid w:val="00542F70"/>
    <w:rsid w:val="005453BC"/>
    <w:rsid w:val="00545ACE"/>
    <w:rsid w:val="0054653F"/>
    <w:rsid w:val="005468BA"/>
    <w:rsid w:val="0054779A"/>
    <w:rsid w:val="00550589"/>
    <w:rsid w:val="00550669"/>
    <w:rsid w:val="00550973"/>
    <w:rsid w:val="00550AE4"/>
    <w:rsid w:val="00550B87"/>
    <w:rsid w:val="005510B5"/>
    <w:rsid w:val="00551A5B"/>
    <w:rsid w:val="00551F22"/>
    <w:rsid w:val="005525A8"/>
    <w:rsid w:val="00553182"/>
    <w:rsid w:val="00553C03"/>
    <w:rsid w:val="00554D59"/>
    <w:rsid w:val="00554F98"/>
    <w:rsid w:val="005552A2"/>
    <w:rsid w:val="00556616"/>
    <w:rsid w:val="00560D15"/>
    <w:rsid w:val="00561142"/>
    <w:rsid w:val="00561D0A"/>
    <w:rsid w:val="005622A0"/>
    <w:rsid w:val="00563692"/>
    <w:rsid w:val="005647D2"/>
    <w:rsid w:val="00564F14"/>
    <w:rsid w:val="00566D90"/>
    <w:rsid w:val="00566F7F"/>
    <w:rsid w:val="005673C0"/>
    <w:rsid w:val="00567808"/>
    <w:rsid w:val="00567909"/>
    <w:rsid w:val="00567EC2"/>
    <w:rsid w:val="00570B6B"/>
    <w:rsid w:val="00571679"/>
    <w:rsid w:val="00572132"/>
    <w:rsid w:val="0057349C"/>
    <w:rsid w:val="00573CC2"/>
    <w:rsid w:val="00574782"/>
    <w:rsid w:val="005749A3"/>
    <w:rsid w:val="00574C84"/>
    <w:rsid w:val="00575E72"/>
    <w:rsid w:val="00575F4B"/>
    <w:rsid w:val="005762E5"/>
    <w:rsid w:val="005776B8"/>
    <w:rsid w:val="00580437"/>
    <w:rsid w:val="00580510"/>
    <w:rsid w:val="00580820"/>
    <w:rsid w:val="005808FC"/>
    <w:rsid w:val="005810C7"/>
    <w:rsid w:val="005812B6"/>
    <w:rsid w:val="00581706"/>
    <w:rsid w:val="00582365"/>
    <w:rsid w:val="00582C4C"/>
    <w:rsid w:val="00583C21"/>
    <w:rsid w:val="0058439B"/>
    <w:rsid w:val="005844E7"/>
    <w:rsid w:val="00584D25"/>
    <w:rsid w:val="00586F9A"/>
    <w:rsid w:val="0058730B"/>
    <w:rsid w:val="0058754A"/>
    <w:rsid w:val="005878B5"/>
    <w:rsid w:val="00587B42"/>
    <w:rsid w:val="0059036B"/>
    <w:rsid w:val="0059079B"/>
    <w:rsid w:val="005908B8"/>
    <w:rsid w:val="0059105E"/>
    <w:rsid w:val="005912AF"/>
    <w:rsid w:val="0059286B"/>
    <w:rsid w:val="00592C31"/>
    <w:rsid w:val="0059343A"/>
    <w:rsid w:val="005938AF"/>
    <w:rsid w:val="00593ED6"/>
    <w:rsid w:val="00593F21"/>
    <w:rsid w:val="00594F3D"/>
    <w:rsid w:val="00594FE6"/>
    <w:rsid w:val="0059512E"/>
    <w:rsid w:val="00595BD4"/>
    <w:rsid w:val="0059679C"/>
    <w:rsid w:val="00596889"/>
    <w:rsid w:val="00597D87"/>
    <w:rsid w:val="005A0511"/>
    <w:rsid w:val="005A1081"/>
    <w:rsid w:val="005A19B3"/>
    <w:rsid w:val="005A1D57"/>
    <w:rsid w:val="005A22ED"/>
    <w:rsid w:val="005A24EF"/>
    <w:rsid w:val="005A2F99"/>
    <w:rsid w:val="005A3238"/>
    <w:rsid w:val="005A37E9"/>
    <w:rsid w:val="005A3837"/>
    <w:rsid w:val="005A3AC3"/>
    <w:rsid w:val="005A488A"/>
    <w:rsid w:val="005A4F41"/>
    <w:rsid w:val="005A5BE4"/>
    <w:rsid w:val="005A6177"/>
    <w:rsid w:val="005A6506"/>
    <w:rsid w:val="005A6CAD"/>
    <w:rsid w:val="005A6DD2"/>
    <w:rsid w:val="005A7014"/>
    <w:rsid w:val="005A7E82"/>
    <w:rsid w:val="005B08C7"/>
    <w:rsid w:val="005B0EBD"/>
    <w:rsid w:val="005B1515"/>
    <w:rsid w:val="005B1C30"/>
    <w:rsid w:val="005B2292"/>
    <w:rsid w:val="005B2860"/>
    <w:rsid w:val="005B35E8"/>
    <w:rsid w:val="005B3822"/>
    <w:rsid w:val="005B385D"/>
    <w:rsid w:val="005B41CD"/>
    <w:rsid w:val="005B4367"/>
    <w:rsid w:val="005B4FDB"/>
    <w:rsid w:val="005B563F"/>
    <w:rsid w:val="005B5A90"/>
    <w:rsid w:val="005B668D"/>
    <w:rsid w:val="005B696C"/>
    <w:rsid w:val="005B6EA6"/>
    <w:rsid w:val="005B6EE4"/>
    <w:rsid w:val="005B73BC"/>
    <w:rsid w:val="005B77E3"/>
    <w:rsid w:val="005B7A3F"/>
    <w:rsid w:val="005C01FB"/>
    <w:rsid w:val="005C028C"/>
    <w:rsid w:val="005C14C4"/>
    <w:rsid w:val="005C1C08"/>
    <w:rsid w:val="005C1C70"/>
    <w:rsid w:val="005C20D5"/>
    <w:rsid w:val="005C2E41"/>
    <w:rsid w:val="005C3656"/>
    <w:rsid w:val="005C3813"/>
    <w:rsid w:val="005C385D"/>
    <w:rsid w:val="005C4365"/>
    <w:rsid w:val="005C4B95"/>
    <w:rsid w:val="005C4CCD"/>
    <w:rsid w:val="005C53ED"/>
    <w:rsid w:val="005D08FD"/>
    <w:rsid w:val="005D0A73"/>
    <w:rsid w:val="005D0EF3"/>
    <w:rsid w:val="005D3089"/>
    <w:rsid w:val="005D3ABC"/>
    <w:rsid w:val="005D3B20"/>
    <w:rsid w:val="005D3BE6"/>
    <w:rsid w:val="005D406E"/>
    <w:rsid w:val="005D4094"/>
    <w:rsid w:val="005D414D"/>
    <w:rsid w:val="005D4326"/>
    <w:rsid w:val="005D49FC"/>
    <w:rsid w:val="005D50D0"/>
    <w:rsid w:val="005D52A6"/>
    <w:rsid w:val="005D5FC0"/>
    <w:rsid w:val="005D64C6"/>
    <w:rsid w:val="005D6843"/>
    <w:rsid w:val="005D6E04"/>
    <w:rsid w:val="005D76C2"/>
    <w:rsid w:val="005E0C66"/>
    <w:rsid w:val="005E154D"/>
    <w:rsid w:val="005E23D4"/>
    <w:rsid w:val="005E2FC3"/>
    <w:rsid w:val="005E37C9"/>
    <w:rsid w:val="005E4759"/>
    <w:rsid w:val="005E49DA"/>
    <w:rsid w:val="005E4CB4"/>
    <w:rsid w:val="005E4D43"/>
    <w:rsid w:val="005E51AC"/>
    <w:rsid w:val="005E573D"/>
    <w:rsid w:val="005E57E4"/>
    <w:rsid w:val="005E5AF7"/>
    <w:rsid w:val="005E5BC0"/>
    <w:rsid w:val="005E5C68"/>
    <w:rsid w:val="005E5DCB"/>
    <w:rsid w:val="005E65C0"/>
    <w:rsid w:val="005E723D"/>
    <w:rsid w:val="005E7615"/>
    <w:rsid w:val="005F0390"/>
    <w:rsid w:val="005F1A7C"/>
    <w:rsid w:val="005F2285"/>
    <w:rsid w:val="005F22BF"/>
    <w:rsid w:val="005F269F"/>
    <w:rsid w:val="005F2BC3"/>
    <w:rsid w:val="005F2C4D"/>
    <w:rsid w:val="005F386E"/>
    <w:rsid w:val="005F425A"/>
    <w:rsid w:val="005F45A6"/>
    <w:rsid w:val="005F47B0"/>
    <w:rsid w:val="005F51C8"/>
    <w:rsid w:val="005F56A3"/>
    <w:rsid w:val="005F56BA"/>
    <w:rsid w:val="005F5C79"/>
    <w:rsid w:val="005F70A2"/>
    <w:rsid w:val="005F7385"/>
    <w:rsid w:val="005F7460"/>
    <w:rsid w:val="005F7CB8"/>
    <w:rsid w:val="00600787"/>
    <w:rsid w:val="00600AE6"/>
    <w:rsid w:val="00601B12"/>
    <w:rsid w:val="0060291F"/>
    <w:rsid w:val="00602BAE"/>
    <w:rsid w:val="00603469"/>
    <w:rsid w:val="00603985"/>
    <w:rsid w:val="00603BC2"/>
    <w:rsid w:val="00604666"/>
    <w:rsid w:val="006058C1"/>
    <w:rsid w:val="00606684"/>
    <w:rsid w:val="00606C2B"/>
    <w:rsid w:val="006072CD"/>
    <w:rsid w:val="0060752F"/>
    <w:rsid w:val="00607D55"/>
    <w:rsid w:val="00610560"/>
    <w:rsid w:val="00610989"/>
    <w:rsid w:val="006111C5"/>
    <w:rsid w:val="00612023"/>
    <w:rsid w:val="006120A3"/>
    <w:rsid w:val="00612D6B"/>
    <w:rsid w:val="00613A62"/>
    <w:rsid w:val="00614190"/>
    <w:rsid w:val="0061432C"/>
    <w:rsid w:val="006143ED"/>
    <w:rsid w:val="00614619"/>
    <w:rsid w:val="00614A1E"/>
    <w:rsid w:val="006162BD"/>
    <w:rsid w:val="00617088"/>
    <w:rsid w:val="006175EF"/>
    <w:rsid w:val="00617664"/>
    <w:rsid w:val="00617C9A"/>
    <w:rsid w:val="00620B59"/>
    <w:rsid w:val="006222D3"/>
    <w:rsid w:val="00622475"/>
    <w:rsid w:val="00622839"/>
    <w:rsid w:val="00622A99"/>
    <w:rsid w:val="00622E67"/>
    <w:rsid w:val="00622F48"/>
    <w:rsid w:val="00623029"/>
    <w:rsid w:val="006240A6"/>
    <w:rsid w:val="006258DA"/>
    <w:rsid w:val="00626EDC"/>
    <w:rsid w:val="006276A8"/>
    <w:rsid w:val="00627ECF"/>
    <w:rsid w:val="006300F4"/>
    <w:rsid w:val="00631915"/>
    <w:rsid w:val="006326E0"/>
    <w:rsid w:val="00633076"/>
    <w:rsid w:val="0063388E"/>
    <w:rsid w:val="0063447D"/>
    <w:rsid w:val="00634770"/>
    <w:rsid w:val="006356CD"/>
    <w:rsid w:val="006358AB"/>
    <w:rsid w:val="006358B7"/>
    <w:rsid w:val="00635A35"/>
    <w:rsid w:val="006368F9"/>
    <w:rsid w:val="006370C1"/>
    <w:rsid w:val="00637DAB"/>
    <w:rsid w:val="00642336"/>
    <w:rsid w:val="006429E2"/>
    <w:rsid w:val="00642A2B"/>
    <w:rsid w:val="00642DD1"/>
    <w:rsid w:val="006437B1"/>
    <w:rsid w:val="00643A73"/>
    <w:rsid w:val="00644670"/>
    <w:rsid w:val="0064547C"/>
    <w:rsid w:val="00645BD4"/>
    <w:rsid w:val="00645F95"/>
    <w:rsid w:val="006465D9"/>
    <w:rsid w:val="006470EC"/>
    <w:rsid w:val="00650136"/>
    <w:rsid w:val="00651A84"/>
    <w:rsid w:val="00651A99"/>
    <w:rsid w:val="006524B5"/>
    <w:rsid w:val="00652B2A"/>
    <w:rsid w:val="0065316B"/>
    <w:rsid w:val="00653482"/>
    <w:rsid w:val="0065418C"/>
    <w:rsid w:val="006542D6"/>
    <w:rsid w:val="00654531"/>
    <w:rsid w:val="00654665"/>
    <w:rsid w:val="0065598E"/>
    <w:rsid w:val="00655AF2"/>
    <w:rsid w:val="00655BC5"/>
    <w:rsid w:val="00655D05"/>
    <w:rsid w:val="006560ED"/>
    <w:rsid w:val="00656703"/>
    <w:rsid w:val="006568BE"/>
    <w:rsid w:val="00656DB3"/>
    <w:rsid w:val="0065777C"/>
    <w:rsid w:val="006601AB"/>
    <w:rsid w:val="0066025D"/>
    <w:rsid w:val="00660307"/>
    <w:rsid w:val="006604E3"/>
    <w:rsid w:val="00660512"/>
    <w:rsid w:val="0066091A"/>
    <w:rsid w:val="00661F48"/>
    <w:rsid w:val="00662A23"/>
    <w:rsid w:val="00663956"/>
    <w:rsid w:val="00663FE9"/>
    <w:rsid w:val="00665633"/>
    <w:rsid w:val="00665D42"/>
    <w:rsid w:val="0066661E"/>
    <w:rsid w:val="006666EC"/>
    <w:rsid w:val="006668F3"/>
    <w:rsid w:val="00666A94"/>
    <w:rsid w:val="0066701C"/>
    <w:rsid w:val="00667A2E"/>
    <w:rsid w:val="00667AA8"/>
    <w:rsid w:val="00667CE9"/>
    <w:rsid w:val="00670030"/>
    <w:rsid w:val="00670129"/>
    <w:rsid w:val="0067111D"/>
    <w:rsid w:val="00671382"/>
    <w:rsid w:val="00671472"/>
    <w:rsid w:val="00671C4E"/>
    <w:rsid w:val="00671E10"/>
    <w:rsid w:val="006723A4"/>
    <w:rsid w:val="006724E9"/>
    <w:rsid w:val="00674885"/>
    <w:rsid w:val="00674928"/>
    <w:rsid w:val="00675646"/>
    <w:rsid w:val="00675846"/>
    <w:rsid w:val="006760E7"/>
    <w:rsid w:val="006760E8"/>
    <w:rsid w:val="006773EC"/>
    <w:rsid w:val="00680504"/>
    <w:rsid w:val="006806E3"/>
    <w:rsid w:val="0068157B"/>
    <w:rsid w:val="00681631"/>
    <w:rsid w:val="00681C43"/>
    <w:rsid w:val="00681CD9"/>
    <w:rsid w:val="00681DA4"/>
    <w:rsid w:val="00682037"/>
    <w:rsid w:val="00682D94"/>
    <w:rsid w:val="00683933"/>
    <w:rsid w:val="00683CC6"/>
    <w:rsid w:val="00683E30"/>
    <w:rsid w:val="00684646"/>
    <w:rsid w:val="00684FA3"/>
    <w:rsid w:val="00686BCC"/>
    <w:rsid w:val="00687012"/>
    <w:rsid w:val="00687021"/>
    <w:rsid w:val="00687024"/>
    <w:rsid w:val="006870A6"/>
    <w:rsid w:val="00687743"/>
    <w:rsid w:val="00690B68"/>
    <w:rsid w:val="00690D47"/>
    <w:rsid w:val="00691A29"/>
    <w:rsid w:val="00691BA1"/>
    <w:rsid w:val="00691DA6"/>
    <w:rsid w:val="00693199"/>
    <w:rsid w:val="00694299"/>
    <w:rsid w:val="00695E22"/>
    <w:rsid w:val="00697387"/>
    <w:rsid w:val="006974F3"/>
    <w:rsid w:val="00697CF2"/>
    <w:rsid w:val="006A0523"/>
    <w:rsid w:val="006A0B74"/>
    <w:rsid w:val="006A0CC6"/>
    <w:rsid w:val="006A0D43"/>
    <w:rsid w:val="006A236B"/>
    <w:rsid w:val="006A2898"/>
    <w:rsid w:val="006A2CCE"/>
    <w:rsid w:val="006A2F5E"/>
    <w:rsid w:val="006A3130"/>
    <w:rsid w:val="006A32F8"/>
    <w:rsid w:val="006A4A9D"/>
    <w:rsid w:val="006A4E49"/>
    <w:rsid w:val="006A57BF"/>
    <w:rsid w:val="006A5D40"/>
    <w:rsid w:val="006A6A4E"/>
    <w:rsid w:val="006A74EE"/>
    <w:rsid w:val="006B00B6"/>
    <w:rsid w:val="006B0CF2"/>
    <w:rsid w:val="006B12C7"/>
    <w:rsid w:val="006B16D1"/>
    <w:rsid w:val="006B1811"/>
    <w:rsid w:val="006B1EA8"/>
    <w:rsid w:val="006B208D"/>
    <w:rsid w:val="006B22AE"/>
    <w:rsid w:val="006B289F"/>
    <w:rsid w:val="006B32A1"/>
    <w:rsid w:val="006B35DA"/>
    <w:rsid w:val="006B36DF"/>
    <w:rsid w:val="006B388F"/>
    <w:rsid w:val="006B3DA1"/>
    <w:rsid w:val="006B460A"/>
    <w:rsid w:val="006B48A3"/>
    <w:rsid w:val="006B4A3E"/>
    <w:rsid w:val="006B4F2F"/>
    <w:rsid w:val="006B58B8"/>
    <w:rsid w:val="006B5CE5"/>
    <w:rsid w:val="006B60BF"/>
    <w:rsid w:val="006B7093"/>
    <w:rsid w:val="006B7417"/>
    <w:rsid w:val="006C0FC9"/>
    <w:rsid w:val="006C12B8"/>
    <w:rsid w:val="006C12D0"/>
    <w:rsid w:val="006C1357"/>
    <w:rsid w:val="006C1656"/>
    <w:rsid w:val="006C1805"/>
    <w:rsid w:val="006C22AB"/>
    <w:rsid w:val="006C36FA"/>
    <w:rsid w:val="006C4140"/>
    <w:rsid w:val="006C4757"/>
    <w:rsid w:val="006C4874"/>
    <w:rsid w:val="006C4E1C"/>
    <w:rsid w:val="006C5C69"/>
    <w:rsid w:val="006C5CED"/>
    <w:rsid w:val="006C6A28"/>
    <w:rsid w:val="006C6CD6"/>
    <w:rsid w:val="006C7368"/>
    <w:rsid w:val="006C781C"/>
    <w:rsid w:val="006C7976"/>
    <w:rsid w:val="006C7C4A"/>
    <w:rsid w:val="006D09E8"/>
    <w:rsid w:val="006D0CF5"/>
    <w:rsid w:val="006D1580"/>
    <w:rsid w:val="006D31DE"/>
    <w:rsid w:val="006D3691"/>
    <w:rsid w:val="006D4167"/>
    <w:rsid w:val="006D4404"/>
    <w:rsid w:val="006D4E22"/>
    <w:rsid w:val="006D5C14"/>
    <w:rsid w:val="006D60F0"/>
    <w:rsid w:val="006D6B8E"/>
    <w:rsid w:val="006D6F38"/>
    <w:rsid w:val="006E0CCF"/>
    <w:rsid w:val="006E1643"/>
    <w:rsid w:val="006E1BCC"/>
    <w:rsid w:val="006E35B9"/>
    <w:rsid w:val="006E411E"/>
    <w:rsid w:val="006E4153"/>
    <w:rsid w:val="006E42EC"/>
    <w:rsid w:val="006E46E2"/>
    <w:rsid w:val="006E4838"/>
    <w:rsid w:val="006E4C4D"/>
    <w:rsid w:val="006E4FFD"/>
    <w:rsid w:val="006E5381"/>
    <w:rsid w:val="006E5AAB"/>
    <w:rsid w:val="006E5EF0"/>
    <w:rsid w:val="006E69EB"/>
    <w:rsid w:val="006E6B7E"/>
    <w:rsid w:val="006E7157"/>
    <w:rsid w:val="006E7D30"/>
    <w:rsid w:val="006F040C"/>
    <w:rsid w:val="006F08B0"/>
    <w:rsid w:val="006F0D36"/>
    <w:rsid w:val="006F0E34"/>
    <w:rsid w:val="006F0F2A"/>
    <w:rsid w:val="006F1075"/>
    <w:rsid w:val="006F10EE"/>
    <w:rsid w:val="006F2422"/>
    <w:rsid w:val="006F2C2A"/>
    <w:rsid w:val="006F3563"/>
    <w:rsid w:val="006F38D1"/>
    <w:rsid w:val="006F42B9"/>
    <w:rsid w:val="006F43BC"/>
    <w:rsid w:val="006F507E"/>
    <w:rsid w:val="006F55EA"/>
    <w:rsid w:val="006F5DDB"/>
    <w:rsid w:val="006F5DF3"/>
    <w:rsid w:val="006F6103"/>
    <w:rsid w:val="006F6234"/>
    <w:rsid w:val="006F7455"/>
    <w:rsid w:val="006F7D93"/>
    <w:rsid w:val="00700067"/>
    <w:rsid w:val="007004F9"/>
    <w:rsid w:val="007010AA"/>
    <w:rsid w:val="00701329"/>
    <w:rsid w:val="00701A4C"/>
    <w:rsid w:val="00701DD1"/>
    <w:rsid w:val="007028A7"/>
    <w:rsid w:val="0070317F"/>
    <w:rsid w:val="00703460"/>
    <w:rsid w:val="0070361F"/>
    <w:rsid w:val="00703763"/>
    <w:rsid w:val="00703BAB"/>
    <w:rsid w:val="00704183"/>
    <w:rsid w:val="007048E9"/>
    <w:rsid w:val="00704B27"/>
    <w:rsid w:val="00704E00"/>
    <w:rsid w:val="007050B2"/>
    <w:rsid w:val="00705898"/>
    <w:rsid w:val="007060D6"/>
    <w:rsid w:val="00706D3D"/>
    <w:rsid w:val="007070E4"/>
    <w:rsid w:val="00707AAF"/>
    <w:rsid w:val="00707FD1"/>
    <w:rsid w:val="00707FD6"/>
    <w:rsid w:val="00710FC0"/>
    <w:rsid w:val="0071142A"/>
    <w:rsid w:val="007118AB"/>
    <w:rsid w:val="007118E2"/>
    <w:rsid w:val="00711CA2"/>
    <w:rsid w:val="0071204F"/>
    <w:rsid w:val="00713535"/>
    <w:rsid w:val="007145C0"/>
    <w:rsid w:val="00714E91"/>
    <w:rsid w:val="00715B79"/>
    <w:rsid w:val="00715EBA"/>
    <w:rsid w:val="007164B5"/>
    <w:rsid w:val="00716932"/>
    <w:rsid w:val="007178F0"/>
    <w:rsid w:val="00717C3B"/>
    <w:rsid w:val="0072024B"/>
    <w:rsid w:val="0072056E"/>
    <w:rsid w:val="007209E7"/>
    <w:rsid w:val="0072130C"/>
    <w:rsid w:val="00721608"/>
    <w:rsid w:val="00721D82"/>
    <w:rsid w:val="0072214B"/>
    <w:rsid w:val="0072484B"/>
    <w:rsid w:val="00724A64"/>
    <w:rsid w:val="00724B23"/>
    <w:rsid w:val="00724BC9"/>
    <w:rsid w:val="007259BC"/>
    <w:rsid w:val="00726182"/>
    <w:rsid w:val="00727635"/>
    <w:rsid w:val="00731579"/>
    <w:rsid w:val="007315FB"/>
    <w:rsid w:val="00732329"/>
    <w:rsid w:val="00732C0A"/>
    <w:rsid w:val="0073331A"/>
    <w:rsid w:val="007335D1"/>
    <w:rsid w:val="007337CA"/>
    <w:rsid w:val="00734C64"/>
    <w:rsid w:val="00734CE4"/>
    <w:rsid w:val="00735076"/>
    <w:rsid w:val="00735123"/>
    <w:rsid w:val="0073784E"/>
    <w:rsid w:val="00737D62"/>
    <w:rsid w:val="00740A6F"/>
    <w:rsid w:val="00741837"/>
    <w:rsid w:val="00741DA3"/>
    <w:rsid w:val="00743DAD"/>
    <w:rsid w:val="00744493"/>
    <w:rsid w:val="00744EC9"/>
    <w:rsid w:val="007453E6"/>
    <w:rsid w:val="00745755"/>
    <w:rsid w:val="00745CA6"/>
    <w:rsid w:val="007461EA"/>
    <w:rsid w:val="00746756"/>
    <w:rsid w:val="00746CFA"/>
    <w:rsid w:val="007477F1"/>
    <w:rsid w:val="00747AC8"/>
    <w:rsid w:val="00750EFE"/>
    <w:rsid w:val="007513F9"/>
    <w:rsid w:val="00751464"/>
    <w:rsid w:val="00751902"/>
    <w:rsid w:val="00751AA5"/>
    <w:rsid w:val="00751EDF"/>
    <w:rsid w:val="007521D4"/>
    <w:rsid w:val="0075299D"/>
    <w:rsid w:val="00753B11"/>
    <w:rsid w:val="007549F7"/>
    <w:rsid w:val="0075578D"/>
    <w:rsid w:val="0075620D"/>
    <w:rsid w:val="0075663D"/>
    <w:rsid w:val="007573B4"/>
    <w:rsid w:val="0075746D"/>
    <w:rsid w:val="00757CEB"/>
    <w:rsid w:val="007602CA"/>
    <w:rsid w:val="00760AD1"/>
    <w:rsid w:val="00761000"/>
    <w:rsid w:val="007611B7"/>
    <w:rsid w:val="00761F63"/>
    <w:rsid w:val="007626FE"/>
    <w:rsid w:val="007637B2"/>
    <w:rsid w:val="007638FA"/>
    <w:rsid w:val="00764A19"/>
    <w:rsid w:val="007654BB"/>
    <w:rsid w:val="007660EB"/>
    <w:rsid w:val="007672DB"/>
    <w:rsid w:val="00767AE3"/>
    <w:rsid w:val="00767D50"/>
    <w:rsid w:val="00767D75"/>
    <w:rsid w:val="00767E98"/>
    <w:rsid w:val="00767F4F"/>
    <w:rsid w:val="00771242"/>
    <w:rsid w:val="007718C9"/>
    <w:rsid w:val="007726E6"/>
    <w:rsid w:val="00772C30"/>
    <w:rsid w:val="0077309D"/>
    <w:rsid w:val="00773189"/>
    <w:rsid w:val="0077329B"/>
    <w:rsid w:val="007732C3"/>
    <w:rsid w:val="00773FD9"/>
    <w:rsid w:val="00774BEA"/>
    <w:rsid w:val="00774F06"/>
    <w:rsid w:val="00775A21"/>
    <w:rsid w:val="00775B47"/>
    <w:rsid w:val="0077600C"/>
    <w:rsid w:val="00776C95"/>
    <w:rsid w:val="00776D5F"/>
    <w:rsid w:val="007774EE"/>
    <w:rsid w:val="00777F02"/>
    <w:rsid w:val="00780286"/>
    <w:rsid w:val="0078086A"/>
    <w:rsid w:val="00780992"/>
    <w:rsid w:val="00780A80"/>
    <w:rsid w:val="00780CE0"/>
    <w:rsid w:val="00781822"/>
    <w:rsid w:val="00782630"/>
    <w:rsid w:val="00782F63"/>
    <w:rsid w:val="00783112"/>
    <w:rsid w:val="00783A46"/>
    <w:rsid w:val="00783F21"/>
    <w:rsid w:val="00785390"/>
    <w:rsid w:val="007859DD"/>
    <w:rsid w:val="00785DC6"/>
    <w:rsid w:val="0078608A"/>
    <w:rsid w:val="00787159"/>
    <w:rsid w:val="0078732A"/>
    <w:rsid w:val="007878A7"/>
    <w:rsid w:val="007879E8"/>
    <w:rsid w:val="00787B06"/>
    <w:rsid w:val="00787C63"/>
    <w:rsid w:val="0079043A"/>
    <w:rsid w:val="0079141B"/>
    <w:rsid w:val="00791668"/>
    <w:rsid w:val="00791AA1"/>
    <w:rsid w:val="00791E22"/>
    <w:rsid w:val="00793BA9"/>
    <w:rsid w:val="00793C5C"/>
    <w:rsid w:val="00793D63"/>
    <w:rsid w:val="00793ECA"/>
    <w:rsid w:val="007940CB"/>
    <w:rsid w:val="00794466"/>
    <w:rsid w:val="00795157"/>
    <w:rsid w:val="0079637E"/>
    <w:rsid w:val="0079706B"/>
    <w:rsid w:val="007A0352"/>
    <w:rsid w:val="007A0570"/>
    <w:rsid w:val="007A0805"/>
    <w:rsid w:val="007A08AF"/>
    <w:rsid w:val="007A095D"/>
    <w:rsid w:val="007A0C2A"/>
    <w:rsid w:val="007A0F48"/>
    <w:rsid w:val="007A1503"/>
    <w:rsid w:val="007A189B"/>
    <w:rsid w:val="007A1F23"/>
    <w:rsid w:val="007A2803"/>
    <w:rsid w:val="007A3793"/>
    <w:rsid w:val="007A3A32"/>
    <w:rsid w:val="007A3F0A"/>
    <w:rsid w:val="007A42CE"/>
    <w:rsid w:val="007A483B"/>
    <w:rsid w:val="007A52AA"/>
    <w:rsid w:val="007A55C3"/>
    <w:rsid w:val="007A66B5"/>
    <w:rsid w:val="007A6A4C"/>
    <w:rsid w:val="007A6F6E"/>
    <w:rsid w:val="007A7013"/>
    <w:rsid w:val="007A7A3D"/>
    <w:rsid w:val="007A7FE0"/>
    <w:rsid w:val="007B04D4"/>
    <w:rsid w:val="007B062F"/>
    <w:rsid w:val="007B0914"/>
    <w:rsid w:val="007B0C23"/>
    <w:rsid w:val="007B1EB1"/>
    <w:rsid w:val="007B23D9"/>
    <w:rsid w:val="007B28FF"/>
    <w:rsid w:val="007B29BC"/>
    <w:rsid w:val="007B43CC"/>
    <w:rsid w:val="007B58BA"/>
    <w:rsid w:val="007B6A9E"/>
    <w:rsid w:val="007B6FEA"/>
    <w:rsid w:val="007C0F39"/>
    <w:rsid w:val="007C1BA2"/>
    <w:rsid w:val="007C2782"/>
    <w:rsid w:val="007C2B31"/>
    <w:rsid w:val="007C2B48"/>
    <w:rsid w:val="007C2F4D"/>
    <w:rsid w:val="007C4872"/>
    <w:rsid w:val="007C49F9"/>
    <w:rsid w:val="007C53F7"/>
    <w:rsid w:val="007C638D"/>
    <w:rsid w:val="007D1537"/>
    <w:rsid w:val="007D1ADD"/>
    <w:rsid w:val="007D20E9"/>
    <w:rsid w:val="007D2395"/>
    <w:rsid w:val="007D2C2A"/>
    <w:rsid w:val="007D32DC"/>
    <w:rsid w:val="007D45CD"/>
    <w:rsid w:val="007D4831"/>
    <w:rsid w:val="007D5C08"/>
    <w:rsid w:val="007D5DE7"/>
    <w:rsid w:val="007D7881"/>
    <w:rsid w:val="007D7E3A"/>
    <w:rsid w:val="007E01DE"/>
    <w:rsid w:val="007E04A0"/>
    <w:rsid w:val="007E0693"/>
    <w:rsid w:val="007E0CF1"/>
    <w:rsid w:val="007E0E10"/>
    <w:rsid w:val="007E11B0"/>
    <w:rsid w:val="007E15BA"/>
    <w:rsid w:val="007E1D01"/>
    <w:rsid w:val="007E2CE7"/>
    <w:rsid w:val="007E324E"/>
    <w:rsid w:val="007E340C"/>
    <w:rsid w:val="007E3AE4"/>
    <w:rsid w:val="007E4358"/>
    <w:rsid w:val="007E4768"/>
    <w:rsid w:val="007E4E59"/>
    <w:rsid w:val="007E4FD5"/>
    <w:rsid w:val="007E5B43"/>
    <w:rsid w:val="007E70CD"/>
    <w:rsid w:val="007E777B"/>
    <w:rsid w:val="007E7B92"/>
    <w:rsid w:val="007E7D16"/>
    <w:rsid w:val="007F1E0F"/>
    <w:rsid w:val="007F2070"/>
    <w:rsid w:val="007F2CBD"/>
    <w:rsid w:val="007F45D2"/>
    <w:rsid w:val="007F479E"/>
    <w:rsid w:val="007F576C"/>
    <w:rsid w:val="007F5828"/>
    <w:rsid w:val="007F665B"/>
    <w:rsid w:val="007F6BF3"/>
    <w:rsid w:val="007F706F"/>
    <w:rsid w:val="007F71E9"/>
    <w:rsid w:val="007F7298"/>
    <w:rsid w:val="007F7F51"/>
    <w:rsid w:val="00800315"/>
    <w:rsid w:val="00800F2F"/>
    <w:rsid w:val="008010B2"/>
    <w:rsid w:val="00801BCB"/>
    <w:rsid w:val="00802221"/>
    <w:rsid w:val="008028F6"/>
    <w:rsid w:val="00802C8F"/>
    <w:rsid w:val="00802CAE"/>
    <w:rsid w:val="0080356A"/>
    <w:rsid w:val="00803A18"/>
    <w:rsid w:val="00803D2C"/>
    <w:rsid w:val="00804517"/>
    <w:rsid w:val="008053F5"/>
    <w:rsid w:val="00805906"/>
    <w:rsid w:val="008063F8"/>
    <w:rsid w:val="00806D7D"/>
    <w:rsid w:val="008072BB"/>
    <w:rsid w:val="00807AF7"/>
    <w:rsid w:val="00810198"/>
    <w:rsid w:val="00810D5D"/>
    <w:rsid w:val="00811886"/>
    <w:rsid w:val="00812F0C"/>
    <w:rsid w:val="0081332F"/>
    <w:rsid w:val="0081361A"/>
    <w:rsid w:val="00813DE3"/>
    <w:rsid w:val="00815145"/>
    <w:rsid w:val="00815388"/>
    <w:rsid w:val="00815DA8"/>
    <w:rsid w:val="00816413"/>
    <w:rsid w:val="008169C1"/>
    <w:rsid w:val="00816E61"/>
    <w:rsid w:val="008177DD"/>
    <w:rsid w:val="0082194D"/>
    <w:rsid w:val="00821F92"/>
    <w:rsid w:val="0082232A"/>
    <w:rsid w:val="008227C6"/>
    <w:rsid w:val="008229BD"/>
    <w:rsid w:val="00822F65"/>
    <w:rsid w:val="00823ABF"/>
    <w:rsid w:val="0082418A"/>
    <w:rsid w:val="008242B1"/>
    <w:rsid w:val="008253D1"/>
    <w:rsid w:val="0082566E"/>
    <w:rsid w:val="00826EF5"/>
    <w:rsid w:val="008279C0"/>
    <w:rsid w:val="008310AD"/>
    <w:rsid w:val="0083110C"/>
    <w:rsid w:val="00831693"/>
    <w:rsid w:val="00831F2D"/>
    <w:rsid w:val="00832AC3"/>
    <w:rsid w:val="00833337"/>
    <w:rsid w:val="0083357B"/>
    <w:rsid w:val="00834A5B"/>
    <w:rsid w:val="00836555"/>
    <w:rsid w:val="008367BA"/>
    <w:rsid w:val="0083703B"/>
    <w:rsid w:val="00837374"/>
    <w:rsid w:val="008373FE"/>
    <w:rsid w:val="00837BC9"/>
    <w:rsid w:val="00840104"/>
    <w:rsid w:val="00840C1F"/>
    <w:rsid w:val="008418B9"/>
    <w:rsid w:val="00841E7A"/>
    <w:rsid w:val="00841FC5"/>
    <w:rsid w:val="00842449"/>
    <w:rsid w:val="0084374B"/>
    <w:rsid w:val="00843804"/>
    <w:rsid w:val="008449F7"/>
    <w:rsid w:val="00844BD8"/>
    <w:rsid w:val="00844BE2"/>
    <w:rsid w:val="00844DC3"/>
    <w:rsid w:val="00845089"/>
    <w:rsid w:val="00845709"/>
    <w:rsid w:val="0084575D"/>
    <w:rsid w:val="00845B24"/>
    <w:rsid w:val="00845CB9"/>
    <w:rsid w:val="008460D4"/>
    <w:rsid w:val="0084668C"/>
    <w:rsid w:val="00846885"/>
    <w:rsid w:val="0084725F"/>
    <w:rsid w:val="008476B2"/>
    <w:rsid w:val="0084776E"/>
    <w:rsid w:val="0085071F"/>
    <w:rsid w:val="0085087E"/>
    <w:rsid w:val="00850BD9"/>
    <w:rsid w:val="00851EF3"/>
    <w:rsid w:val="008526DA"/>
    <w:rsid w:val="0085391E"/>
    <w:rsid w:val="00854044"/>
    <w:rsid w:val="00854098"/>
    <w:rsid w:val="00854515"/>
    <w:rsid w:val="008545B7"/>
    <w:rsid w:val="008556DA"/>
    <w:rsid w:val="0085588A"/>
    <w:rsid w:val="00856A1E"/>
    <w:rsid w:val="008576BD"/>
    <w:rsid w:val="008577B8"/>
    <w:rsid w:val="00860359"/>
    <w:rsid w:val="00860463"/>
    <w:rsid w:val="008604AB"/>
    <w:rsid w:val="00862AB0"/>
    <w:rsid w:val="00862DDE"/>
    <w:rsid w:val="00864277"/>
    <w:rsid w:val="00864DBD"/>
    <w:rsid w:val="0086520B"/>
    <w:rsid w:val="008677BC"/>
    <w:rsid w:val="00867C46"/>
    <w:rsid w:val="00870CFE"/>
    <w:rsid w:val="0087202E"/>
    <w:rsid w:val="008721DE"/>
    <w:rsid w:val="00872373"/>
    <w:rsid w:val="008728F9"/>
    <w:rsid w:val="00872BA0"/>
    <w:rsid w:val="008733DA"/>
    <w:rsid w:val="0087403D"/>
    <w:rsid w:val="00874D6A"/>
    <w:rsid w:val="00875728"/>
    <w:rsid w:val="00875912"/>
    <w:rsid w:val="00876F45"/>
    <w:rsid w:val="008770FC"/>
    <w:rsid w:val="008774CD"/>
    <w:rsid w:val="0087766D"/>
    <w:rsid w:val="00877AEC"/>
    <w:rsid w:val="008807C3"/>
    <w:rsid w:val="008809D3"/>
    <w:rsid w:val="00881191"/>
    <w:rsid w:val="00881ED0"/>
    <w:rsid w:val="0088255C"/>
    <w:rsid w:val="008827AD"/>
    <w:rsid w:val="00882C88"/>
    <w:rsid w:val="0088319C"/>
    <w:rsid w:val="00883558"/>
    <w:rsid w:val="00883778"/>
    <w:rsid w:val="00883840"/>
    <w:rsid w:val="00883C81"/>
    <w:rsid w:val="00884873"/>
    <w:rsid w:val="00884D4D"/>
    <w:rsid w:val="008850E4"/>
    <w:rsid w:val="00885366"/>
    <w:rsid w:val="00885CCD"/>
    <w:rsid w:val="008860F0"/>
    <w:rsid w:val="008865F5"/>
    <w:rsid w:val="00887176"/>
    <w:rsid w:val="008872B0"/>
    <w:rsid w:val="00887F66"/>
    <w:rsid w:val="008907CE"/>
    <w:rsid w:val="0089113E"/>
    <w:rsid w:val="00891EC2"/>
    <w:rsid w:val="008926C5"/>
    <w:rsid w:val="00892F09"/>
    <w:rsid w:val="00893688"/>
    <w:rsid w:val="008939AB"/>
    <w:rsid w:val="0089424E"/>
    <w:rsid w:val="00894767"/>
    <w:rsid w:val="0089480A"/>
    <w:rsid w:val="00895CBF"/>
    <w:rsid w:val="00895FC3"/>
    <w:rsid w:val="008961BC"/>
    <w:rsid w:val="00896740"/>
    <w:rsid w:val="00896B2F"/>
    <w:rsid w:val="00896DAF"/>
    <w:rsid w:val="00897641"/>
    <w:rsid w:val="00897B0F"/>
    <w:rsid w:val="00897BB4"/>
    <w:rsid w:val="008A1057"/>
    <w:rsid w:val="008A12F5"/>
    <w:rsid w:val="008A241C"/>
    <w:rsid w:val="008A28DA"/>
    <w:rsid w:val="008A3088"/>
    <w:rsid w:val="008A31DF"/>
    <w:rsid w:val="008A3565"/>
    <w:rsid w:val="008A398C"/>
    <w:rsid w:val="008A4FD2"/>
    <w:rsid w:val="008A539F"/>
    <w:rsid w:val="008A5D45"/>
    <w:rsid w:val="008B000C"/>
    <w:rsid w:val="008B0279"/>
    <w:rsid w:val="008B0638"/>
    <w:rsid w:val="008B0737"/>
    <w:rsid w:val="008B1113"/>
    <w:rsid w:val="008B1587"/>
    <w:rsid w:val="008B15E5"/>
    <w:rsid w:val="008B1B01"/>
    <w:rsid w:val="008B20E7"/>
    <w:rsid w:val="008B2490"/>
    <w:rsid w:val="008B3BCD"/>
    <w:rsid w:val="008B3C3F"/>
    <w:rsid w:val="008B3F3D"/>
    <w:rsid w:val="008B4582"/>
    <w:rsid w:val="008B4861"/>
    <w:rsid w:val="008B49A9"/>
    <w:rsid w:val="008B50A4"/>
    <w:rsid w:val="008B59B8"/>
    <w:rsid w:val="008B5EBB"/>
    <w:rsid w:val="008B60F0"/>
    <w:rsid w:val="008B68AF"/>
    <w:rsid w:val="008B6DF8"/>
    <w:rsid w:val="008B7313"/>
    <w:rsid w:val="008B7689"/>
    <w:rsid w:val="008B7DC2"/>
    <w:rsid w:val="008C0D07"/>
    <w:rsid w:val="008C0F23"/>
    <w:rsid w:val="008C106C"/>
    <w:rsid w:val="008C10CC"/>
    <w:rsid w:val="008C10F1"/>
    <w:rsid w:val="008C1926"/>
    <w:rsid w:val="008C1A5C"/>
    <w:rsid w:val="008C1E99"/>
    <w:rsid w:val="008C24D1"/>
    <w:rsid w:val="008C2985"/>
    <w:rsid w:val="008C3144"/>
    <w:rsid w:val="008C35E2"/>
    <w:rsid w:val="008C39C2"/>
    <w:rsid w:val="008C3C2E"/>
    <w:rsid w:val="008C41C8"/>
    <w:rsid w:val="008C429D"/>
    <w:rsid w:val="008C5A59"/>
    <w:rsid w:val="008C5BA7"/>
    <w:rsid w:val="008C63E4"/>
    <w:rsid w:val="008C64D2"/>
    <w:rsid w:val="008C7380"/>
    <w:rsid w:val="008D1D42"/>
    <w:rsid w:val="008D23BD"/>
    <w:rsid w:val="008D2472"/>
    <w:rsid w:val="008D2D51"/>
    <w:rsid w:val="008D3C92"/>
    <w:rsid w:val="008D401B"/>
    <w:rsid w:val="008D5409"/>
    <w:rsid w:val="008D5647"/>
    <w:rsid w:val="008D5F9E"/>
    <w:rsid w:val="008D655F"/>
    <w:rsid w:val="008D660B"/>
    <w:rsid w:val="008D66D6"/>
    <w:rsid w:val="008D6BD3"/>
    <w:rsid w:val="008E0085"/>
    <w:rsid w:val="008E048C"/>
    <w:rsid w:val="008E04DB"/>
    <w:rsid w:val="008E270A"/>
    <w:rsid w:val="008E2AA6"/>
    <w:rsid w:val="008E2ADB"/>
    <w:rsid w:val="008E2B7B"/>
    <w:rsid w:val="008E2F7B"/>
    <w:rsid w:val="008E311B"/>
    <w:rsid w:val="008E31F2"/>
    <w:rsid w:val="008E4D5F"/>
    <w:rsid w:val="008E53DA"/>
    <w:rsid w:val="008E594C"/>
    <w:rsid w:val="008E5A0D"/>
    <w:rsid w:val="008E6186"/>
    <w:rsid w:val="008E6999"/>
    <w:rsid w:val="008E6C93"/>
    <w:rsid w:val="008E6EDA"/>
    <w:rsid w:val="008F0116"/>
    <w:rsid w:val="008F06A1"/>
    <w:rsid w:val="008F1156"/>
    <w:rsid w:val="008F18C0"/>
    <w:rsid w:val="008F1BD1"/>
    <w:rsid w:val="008F1DC3"/>
    <w:rsid w:val="008F2592"/>
    <w:rsid w:val="008F46E7"/>
    <w:rsid w:val="008F4C23"/>
    <w:rsid w:val="008F55C4"/>
    <w:rsid w:val="008F5DC4"/>
    <w:rsid w:val="008F6F0B"/>
    <w:rsid w:val="00900264"/>
    <w:rsid w:val="0090244E"/>
    <w:rsid w:val="009024F6"/>
    <w:rsid w:val="00903112"/>
    <w:rsid w:val="00903AF9"/>
    <w:rsid w:val="00904257"/>
    <w:rsid w:val="00904373"/>
    <w:rsid w:val="0090464A"/>
    <w:rsid w:val="00905011"/>
    <w:rsid w:val="009053AB"/>
    <w:rsid w:val="00907BA7"/>
    <w:rsid w:val="00907BAE"/>
    <w:rsid w:val="0091064E"/>
    <w:rsid w:val="00910D5B"/>
    <w:rsid w:val="00911FC5"/>
    <w:rsid w:val="00912603"/>
    <w:rsid w:val="0091276D"/>
    <w:rsid w:val="00912D62"/>
    <w:rsid w:val="0091328C"/>
    <w:rsid w:val="00913771"/>
    <w:rsid w:val="009137C1"/>
    <w:rsid w:val="00913916"/>
    <w:rsid w:val="00913CA7"/>
    <w:rsid w:val="00914274"/>
    <w:rsid w:val="0091577D"/>
    <w:rsid w:val="00915D1D"/>
    <w:rsid w:val="009161B3"/>
    <w:rsid w:val="009167F3"/>
    <w:rsid w:val="00916A75"/>
    <w:rsid w:val="00917895"/>
    <w:rsid w:val="00917B30"/>
    <w:rsid w:val="009201F3"/>
    <w:rsid w:val="009207E6"/>
    <w:rsid w:val="00920867"/>
    <w:rsid w:val="00921108"/>
    <w:rsid w:val="00921E22"/>
    <w:rsid w:val="00921FB9"/>
    <w:rsid w:val="0092225A"/>
    <w:rsid w:val="00923B38"/>
    <w:rsid w:val="00923CAE"/>
    <w:rsid w:val="00923FC5"/>
    <w:rsid w:val="00923FC9"/>
    <w:rsid w:val="00924239"/>
    <w:rsid w:val="009243F1"/>
    <w:rsid w:val="00924A89"/>
    <w:rsid w:val="00925BC7"/>
    <w:rsid w:val="00925DCE"/>
    <w:rsid w:val="009267AC"/>
    <w:rsid w:val="00926DDC"/>
    <w:rsid w:val="00926E45"/>
    <w:rsid w:val="0092724A"/>
    <w:rsid w:val="009273B7"/>
    <w:rsid w:val="00927F81"/>
    <w:rsid w:val="009302E5"/>
    <w:rsid w:val="00930823"/>
    <w:rsid w:val="00930B62"/>
    <w:rsid w:val="009312BB"/>
    <w:rsid w:val="0093168F"/>
    <w:rsid w:val="00931761"/>
    <w:rsid w:val="00931860"/>
    <w:rsid w:val="00931A10"/>
    <w:rsid w:val="0093438B"/>
    <w:rsid w:val="00934447"/>
    <w:rsid w:val="0093647D"/>
    <w:rsid w:val="00936AD3"/>
    <w:rsid w:val="009402BB"/>
    <w:rsid w:val="00940621"/>
    <w:rsid w:val="00940962"/>
    <w:rsid w:val="00940B2B"/>
    <w:rsid w:val="0094134A"/>
    <w:rsid w:val="009413BF"/>
    <w:rsid w:val="00941EA1"/>
    <w:rsid w:val="009428E2"/>
    <w:rsid w:val="00942EC4"/>
    <w:rsid w:val="00943702"/>
    <w:rsid w:val="009444FB"/>
    <w:rsid w:val="0094487C"/>
    <w:rsid w:val="00944D05"/>
    <w:rsid w:val="009461B7"/>
    <w:rsid w:val="009463C1"/>
    <w:rsid w:val="00946E6E"/>
    <w:rsid w:val="00947967"/>
    <w:rsid w:val="00950BF3"/>
    <w:rsid w:val="0095143C"/>
    <w:rsid w:val="0095192D"/>
    <w:rsid w:val="0095296C"/>
    <w:rsid w:val="009529B6"/>
    <w:rsid w:val="00952A0C"/>
    <w:rsid w:val="0095397D"/>
    <w:rsid w:val="00953DC7"/>
    <w:rsid w:val="00954568"/>
    <w:rsid w:val="00954AF6"/>
    <w:rsid w:val="00954D14"/>
    <w:rsid w:val="00954E6B"/>
    <w:rsid w:val="00955201"/>
    <w:rsid w:val="00955DB5"/>
    <w:rsid w:val="0095700D"/>
    <w:rsid w:val="00957D2B"/>
    <w:rsid w:val="009602B8"/>
    <w:rsid w:val="0096034C"/>
    <w:rsid w:val="009609A2"/>
    <w:rsid w:val="00960D70"/>
    <w:rsid w:val="00961539"/>
    <w:rsid w:val="009624C3"/>
    <w:rsid w:val="0096268E"/>
    <w:rsid w:val="00962D44"/>
    <w:rsid w:val="00962D8C"/>
    <w:rsid w:val="009631F7"/>
    <w:rsid w:val="0096337E"/>
    <w:rsid w:val="00964F35"/>
    <w:rsid w:val="00965200"/>
    <w:rsid w:val="00965584"/>
    <w:rsid w:val="00965795"/>
    <w:rsid w:val="00966248"/>
    <w:rsid w:val="00966590"/>
    <w:rsid w:val="009668B3"/>
    <w:rsid w:val="00966C67"/>
    <w:rsid w:val="00966FD8"/>
    <w:rsid w:val="0096707E"/>
    <w:rsid w:val="00967852"/>
    <w:rsid w:val="00970019"/>
    <w:rsid w:val="00970174"/>
    <w:rsid w:val="00970DBC"/>
    <w:rsid w:val="00971113"/>
    <w:rsid w:val="00971471"/>
    <w:rsid w:val="0097167B"/>
    <w:rsid w:val="0097210A"/>
    <w:rsid w:val="00972687"/>
    <w:rsid w:val="009728BB"/>
    <w:rsid w:val="009733EA"/>
    <w:rsid w:val="00973569"/>
    <w:rsid w:val="009736EA"/>
    <w:rsid w:val="00973837"/>
    <w:rsid w:val="009742AF"/>
    <w:rsid w:val="00974880"/>
    <w:rsid w:val="00974BEB"/>
    <w:rsid w:val="00974F49"/>
    <w:rsid w:val="00975502"/>
    <w:rsid w:val="00975656"/>
    <w:rsid w:val="00975AE6"/>
    <w:rsid w:val="00976547"/>
    <w:rsid w:val="0097679A"/>
    <w:rsid w:val="009773F3"/>
    <w:rsid w:val="009778C6"/>
    <w:rsid w:val="009807A4"/>
    <w:rsid w:val="00981466"/>
    <w:rsid w:val="0098163B"/>
    <w:rsid w:val="00981AA4"/>
    <w:rsid w:val="009821A8"/>
    <w:rsid w:val="00982BF2"/>
    <w:rsid w:val="00983170"/>
    <w:rsid w:val="009849C2"/>
    <w:rsid w:val="00984D24"/>
    <w:rsid w:val="0098537B"/>
    <w:rsid w:val="00985542"/>
    <w:rsid w:val="009858EB"/>
    <w:rsid w:val="0098620C"/>
    <w:rsid w:val="00986A97"/>
    <w:rsid w:val="00986D8F"/>
    <w:rsid w:val="00986E1C"/>
    <w:rsid w:val="00986FD1"/>
    <w:rsid w:val="00990E7A"/>
    <w:rsid w:val="00991C55"/>
    <w:rsid w:val="00991E3F"/>
    <w:rsid w:val="0099232A"/>
    <w:rsid w:val="0099237A"/>
    <w:rsid w:val="00992A97"/>
    <w:rsid w:val="00992F46"/>
    <w:rsid w:val="00993229"/>
    <w:rsid w:val="00994428"/>
    <w:rsid w:val="009948D2"/>
    <w:rsid w:val="009949A8"/>
    <w:rsid w:val="00994E46"/>
    <w:rsid w:val="00995140"/>
    <w:rsid w:val="0099562E"/>
    <w:rsid w:val="00995CCA"/>
    <w:rsid w:val="009963E3"/>
    <w:rsid w:val="00997FFC"/>
    <w:rsid w:val="009A06D2"/>
    <w:rsid w:val="009A0771"/>
    <w:rsid w:val="009A136D"/>
    <w:rsid w:val="009A1B36"/>
    <w:rsid w:val="009A2020"/>
    <w:rsid w:val="009A2679"/>
    <w:rsid w:val="009A27D3"/>
    <w:rsid w:val="009A2AFE"/>
    <w:rsid w:val="009A4474"/>
    <w:rsid w:val="009A4EEE"/>
    <w:rsid w:val="009A5D47"/>
    <w:rsid w:val="009A610A"/>
    <w:rsid w:val="009B0046"/>
    <w:rsid w:val="009B04AF"/>
    <w:rsid w:val="009B0A33"/>
    <w:rsid w:val="009B18BB"/>
    <w:rsid w:val="009B1E5B"/>
    <w:rsid w:val="009B25BF"/>
    <w:rsid w:val="009B2AA0"/>
    <w:rsid w:val="009B2B98"/>
    <w:rsid w:val="009B3002"/>
    <w:rsid w:val="009B3ABE"/>
    <w:rsid w:val="009B3ADE"/>
    <w:rsid w:val="009B4836"/>
    <w:rsid w:val="009B5655"/>
    <w:rsid w:val="009B6240"/>
    <w:rsid w:val="009B66B3"/>
    <w:rsid w:val="009B66B4"/>
    <w:rsid w:val="009B6EAC"/>
    <w:rsid w:val="009B6EFB"/>
    <w:rsid w:val="009B7E5B"/>
    <w:rsid w:val="009C0012"/>
    <w:rsid w:val="009C1130"/>
    <w:rsid w:val="009C141D"/>
    <w:rsid w:val="009C1440"/>
    <w:rsid w:val="009C1706"/>
    <w:rsid w:val="009C1B1D"/>
    <w:rsid w:val="009C1B8A"/>
    <w:rsid w:val="009C2107"/>
    <w:rsid w:val="009C2246"/>
    <w:rsid w:val="009C29C9"/>
    <w:rsid w:val="009C3390"/>
    <w:rsid w:val="009C33B4"/>
    <w:rsid w:val="009C444C"/>
    <w:rsid w:val="009C48C4"/>
    <w:rsid w:val="009C498F"/>
    <w:rsid w:val="009C4BB4"/>
    <w:rsid w:val="009C4F5C"/>
    <w:rsid w:val="009C5488"/>
    <w:rsid w:val="009C5D9E"/>
    <w:rsid w:val="009C5FB8"/>
    <w:rsid w:val="009C6727"/>
    <w:rsid w:val="009C7AD1"/>
    <w:rsid w:val="009C7D5D"/>
    <w:rsid w:val="009D0A0C"/>
    <w:rsid w:val="009D0F97"/>
    <w:rsid w:val="009D122C"/>
    <w:rsid w:val="009D15CD"/>
    <w:rsid w:val="009D16B9"/>
    <w:rsid w:val="009D197B"/>
    <w:rsid w:val="009D1EC0"/>
    <w:rsid w:val="009D28B5"/>
    <w:rsid w:val="009D2C3E"/>
    <w:rsid w:val="009D3ADC"/>
    <w:rsid w:val="009D3ADD"/>
    <w:rsid w:val="009D4170"/>
    <w:rsid w:val="009D4185"/>
    <w:rsid w:val="009D4634"/>
    <w:rsid w:val="009D5288"/>
    <w:rsid w:val="009D5880"/>
    <w:rsid w:val="009D5991"/>
    <w:rsid w:val="009D6156"/>
    <w:rsid w:val="009D717E"/>
    <w:rsid w:val="009D7729"/>
    <w:rsid w:val="009D7A3B"/>
    <w:rsid w:val="009D7B81"/>
    <w:rsid w:val="009E03EF"/>
    <w:rsid w:val="009E0586"/>
    <w:rsid w:val="009E0625"/>
    <w:rsid w:val="009E0669"/>
    <w:rsid w:val="009E0C71"/>
    <w:rsid w:val="009E0F0C"/>
    <w:rsid w:val="009E10A6"/>
    <w:rsid w:val="009E25AC"/>
    <w:rsid w:val="009E3034"/>
    <w:rsid w:val="009E3468"/>
    <w:rsid w:val="009E3AD9"/>
    <w:rsid w:val="009E3B77"/>
    <w:rsid w:val="009E3BEE"/>
    <w:rsid w:val="009E40DB"/>
    <w:rsid w:val="009E4281"/>
    <w:rsid w:val="009E4339"/>
    <w:rsid w:val="009E549F"/>
    <w:rsid w:val="009E5B47"/>
    <w:rsid w:val="009E64D1"/>
    <w:rsid w:val="009E6A8F"/>
    <w:rsid w:val="009E79B2"/>
    <w:rsid w:val="009E7A9D"/>
    <w:rsid w:val="009E7F86"/>
    <w:rsid w:val="009E7FCF"/>
    <w:rsid w:val="009F0749"/>
    <w:rsid w:val="009F0DAE"/>
    <w:rsid w:val="009F17B2"/>
    <w:rsid w:val="009F1802"/>
    <w:rsid w:val="009F1CB3"/>
    <w:rsid w:val="009F24B7"/>
    <w:rsid w:val="009F28A8"/>
    <w:rsid w:val="009F29E5"/>
    <w:rsid w:val="009F2A14"/>
    <w:rsid w:val="009F371E"/>
    <w:rsid w:val="009F37FD"/>
    <w:rsid w:val="009F42E9"/>
    <w:rsid w:val="009F473E"/>
    <w:rsid w:val="009F4780"/>
    <w:rsid w:val="009F5A16"/>
    <w:rsid w:val="009F682A"/>
    <w:rsid w:val="009F72DC"/>
    <w:rsid w:val="00A00619"/>
    <w:rsid w:val="00A01308"/>
    <w:rsid w:val="00A01D26"/>
    <w:rsid w:val="00A022BE"/>
    <w:rsid w:val="00A0284B"/>
    <w:rsid w:val="00A03182"/>
    <w:rsid w:val="00A03961"/>
    <w:rsid w:val="00A03E75"/>
    <w:rsid w:val="00A0541F"/>
    <w:rsid w:val="00A054C1"/>
    <w:rsid w:val="00A05C56"/>
    <w:rsid w:val="00A05E49"/>
    <w:rsid w:val="00A065C2"/>
    <w:rsid w:val="00A06860"/>
    <w:rsid w:val="00A06A27"/>
    <w:rsid w:val="00A100B1"/>
    <w:rsid w:val="00A104BE"/>
    <w:rsid w:val="00A11262"/>
    <w:rsid w:val="00A120CD"/>
    <w:rsid w:val="00A123EC"/>
    <w:rsid w:val="00A12635"/>
    <w:rsid w:val="00A131D1"/>
    <w:rsid w:val="00A13908"/>
    <w:rsid w:val="00A1410B"/>
    <w:rsid w:val="00A1451C"/>
    <w:rsid w:val="00A1476B"/>
    <w:rsid w:val="00A15BB8"/>
    <w:rsid w:val="00A1606A"/>
    <w:rsid w:val="00A1615F"/>
    <w:rsid w:val="00A16E19"/>
    <w:rsid w:val="00A16EEA"/>
    <w:rsid w:val="00A20262"/>
    <w:rsid w:val="00A20B05"/>
    <w:rsid w:val="00A2172C"/>
    <w:rsid w:val="00A218B1"/>
    <w:rsid w:val="00A220F8"/>
    <w:rsid w:val="00A22E27"/>
    <w:rsid w:val="00A232B6"/>
    <w:rsid w:val="00A233AB"/>
    <w:rsid w:val="00A23B84"/>
    <w:rsid w:val="00A23FBA"/>
    <w:rsid w:val="00A24575"/>
    <w:rsid w:val="00A24C95"/>
    <w:rsid w:val="00A24CBC"/>
    <w:rsid w:val="00A24FCD"/>
    <w:rsid w:val="00A254B1"/>
    <w:rsid w:val="00A25603"/>
    <w:rsid w:val="00A25791"/>
    <w:rsid w:val="00A2599A"/>
    <w:rsid w:val="00A26012"/>
    <w:rsid w:val="00A26094"/>
    <w:rsid w:val="00A270E9"/>
    <w:rsid w:val="00A27533"/>
    <w:rsid w:val="00A27B86"/>
    <w:rsid w:val="00A3018C"/>
    <w:rsid w:val="00A301BF"/>
    <w:rsid w:val="00A302B2"/>
    <w:rsid w:val="00A305DA"/>
    <w:rsid w:val="00A3140E"/>
    <w:rsid w:val="00A316F3"/>
    <w:rsid w:val="00A325CB"/>
    <w:rsid w:val="00A3299A"/>
    <w:rsid w:val="00A32E51"/>
    <w:rsid w:val="00A331B4"/>
    <w:rsid w:val="00A33ABB"/>
    <w:rsid w:val="00A33EDE"/>
    <w:rsid w:val="00A3484E"/>
    <w:rsid w:val="00A34BC7"/>
    <w:rsid w:val="00A34F0C"/>
    <w:rsid w:val="00A3508B"/>
    <w:rsid w:val="00A356D3"/>
    <w:rsid w:val="00A36192"/>
    <w:rsid w:val="00A36ADA"/>
    <w:rsid w:val="00A40449"/>
    <w:rsid w:val="00A412A1"/>
    <w:rsid w:val="00A41C90"/>
    <w:rsid w:val="00A42B0C"/>
    <w:rsid w:val="00A4327D"/>
    <w:rsid w:val="00A43296"/>
    <w:rsid w:val="00A438D8"/>
    <w:rsid w:val="00A43AEA"/>
    <w:rsid w:val="00A43B13"/>
    <w:rsid w:val="00A43D83"/>
    <w:rsid w:val="00A4429D"/>
    <w:rsid w:val="00A446A3"/>
    <w:rsid w:val="00A44DF6"/>
    <w:rsid w:val="00A4512F"/>
    <w:rsid w:val="00A45E14"/>
    <w:rsid w:val="00A46027"/>
    <w:rsid w:val="00A46168"/>
    <w:rsid w:val="00A46DFD"/>
    <w:rsid w:val="00A473F5"/>
    <w:rsid w:val="00A476FB"/>
    <w:rsid w:val="00A47B63"/>
    <w:rsid w:val="00A50467"/>
    <w:rsid w:val="00A5073E"/>
    <w:rsid w:val="00A50D26"/>
    <w:rsid w:val="00A51F9D"/>
    <w:rsid w:val="00A52E1C"/>
    <w:rsid w:val="00A530DD"/>
    <w:rsid w:val="00A53584"/>
    <w:rsid w:val="00A53762"/>
    <w:rsid w:val="00A538B5"/>
    <w:rsid w:val="00A539E9"/>
    <w:rsid w:val="00A53FBA"/>
    <w:rsid w:val="00A5416A"/>
    <w:rsid w:val="00A55063"/>
    <w:rsid w:val="00A55AFE"/>
    <w:rsid w:val="00A55D45"/>
    <w:rsid w:val="00A56FB6"/>
    <w:rsid w:val="00A57494"/>
    <w:rsid w:val="00A600A8"/>
    <w:rsid w:val="00A605A4"/>
    <w:rsid w:val="00A60621"/>
    <w:rsid w:val="00A61D78"/>
    <w:rsid w:val="00A62069"/>
    <w:rsid w:val="00A63303"/>
    <w:rsid w:val="00A634AC"/>
    <w:rsid w:val="00A6365A"/>
    <w:rsid w:val="00A6397A"/>
    <w:rsid w:val="00A639F4"/>
    <w:rsid w:val="00A63DD8"/>
    <w:rsid w:val="00A64345"/>
    <w:rsid w:val="00A651EA"/>
    <w:rsid w:val="00A65729"/>
    <w:rsid w:val="00A6628C"/>
    <w:rsid w:val="00A66AA2"/>
    <w:rsid w:val="00A66CBB"/>
    <w:rsid w:val="00A675C5"/>
    <w:rsid w:val="00A70AD8"/>
    <w:rsid w:val="00A70CED"/>
    <w:rsid w:val="00A7109F"/>
    <w:rsid w:val="00A71C1B"/>
    <w:rsid w:val="00A728B9"/>
    <w:rsid w:val="00A733ED"/>
    <w:rsid w:val="00A737FA"/>
    <w:rsid w:val="00A776BC"/>
    <w:rsid w:val="00A77B1E"/>
    <w:rsid w:val="00A77B66"/>
    <w:rsid w:val="00A80239"/>
    <w:rsid w:val="00A80780"/>
    <w:rsid w:val="00A808DB"/>
    <w:rsid w:val="00A80D91"/>
    <w:rsid w:val="00A81185"/>
    <w:rsid w:val="00A81A32"/>
    <w:rsid w:val="00A81A40"/>
    <w:rsid w:val="00A81A78"/>
    <w:rsid w:val="00A833C3"/>
    <w:rsid w:val="00A835BD"/>
    <w:rsid w:val="00A835D7"/>
    <w:rsid w:val="00A846C7"/>
    <w:rsid w:val="00A84C4B"/>
    <w:rsid w:val="00A85C04"/>
    <w:rsid w:val="00A86378"/>
    <w:rsid w:val="00A86E81"/>
    <w:rsid w:val="00A9077C"/>
    <w:rsid w:val="00A90898"/>
    <w:rsid w:val="00A9116C"/>
    <w:rsid w:val="00A91B71"/>
    <w:rsid w:val="00A923EC"/>
    <w:rsid w:val="00A92BDD"/>
    <w:rsid w:val="00A93027"/>
    <w:rsid w:val="00A93348"/>
    <w:rsid w:val="00A9528A"/>
    <w:rsid w:val="00A95D95"/>
    <w:rsid w:val="00A96689"/>
    <w:rsid w:val="00A97B15"/>
    <w:rsid w:val="00AA069C"/>
    <w:rsid w:val="00AA0916"/>
    <w:rsid w:val="00AA1171"/>
    <w:rsid w:val="00AA1617"/>
    <w:rsid w:val="00AA165A"/>
    <w:rsid w:val="00AA171B"/>
    <w:rsid w:val="00AA2432"/>
    <w:rsid w:val="00AA28EE"/>
    <w:rsid w:val="00AA339E"/>
    <w:rsid w:val="00AA42D5"/>
    <w:rsid w:val="00AA5FF5"/>
    <w:rsid w:val="00AA74E8"/>
    <w:rsid w:val="00AB0DB0"/>
    <w:rsid w:val="00AB146D"/>
    <w:rsid w:val="00AB1584"/>
    <w:rsid w:val="00AB1C24"/>
    <w:rsid w:val="00AB24FF"/>
    <w:rsid w:val="00AB2FAB"/>
    <w:rsid w:val="00AB30DF"/>
    <w:rsid w:val="00AB4ADB"/>
    <w:rsid w:val="00AB4B67"/>
    <w:rsid w:val="00AB4DED"/>
    <w:rsid w:val="00AB5760"/>
    <w:rsid w:val="00AB5C14"/>
    <w:rsid w:val="00AB5EEE"/>
    <w:rsid w:val="00AB669C"/>
    <w:rsid w:val="00AB69A2"/>
    <w:rsid w:val="00AC17CF"/>
    <w:rsid w:val="00AC1BAE"/>
    <w:rsid w:val="00AC1BFB"/>
    <w:rsid w:val="00AC1DB7"/>
    <w:rsid w:val="00AC1EE7"/>
    <w:rsid w:val="00AC2438"/>
    <w:rsid w:val="00AC333F"/>
    <w:rsid w:val="00AC3BC9"/>
    <w:rsid w:val="00AC49FB"/>
    <w:rsid w:val="00AC585C"/>
    <w:rsid w:val="00AC625C"/>
    <w:rsid w:val="00AC631C"/>
    <w:rsid w:val="00AC6F6F"/>
    <w:rsid w:val="00AC71E4"/>
    <w:rsid w:val="00AC7EA1"/>
    <w:rsid w:val="00AD080E"/>
    <w:rsid w:val="00AD0818"/>
    <w:rsid w:val="00AD0F4E"/>
    <w:rsid w:val="00AD1925"/>
    <w:rsid w:val="00AD2D3E"/>
    <w:rsid w:val="00AD2ED5"/>
    <w:rsid w:val="00AD3E34"/>
    <w:rsid w:val="00AD4238"/>
    <w:rsid w:val="00AD4C8E"/>
    <w:rsid w:val="00AD506A"/>
    <w:rsid w:val="00AD608E"/>
    <w:rsid w:val="00AD6312"/>
    <w:rsid w:val="00AD6CAC"/>
    <w:rsid w:val="00AD77E2"/>
    <w:rsid w:val="00AD7860"/>
    <w:rsid w:val="00AD7FF7"/>
    <w:rsid w:val="00AE02E8"/>
    <w:rsid w:val="00AE067D"/>
    <w:rsid w:val="00AE1C5B"/>
    <w:rsid w:val="00AE2C34"/>
    <w:rsid w:val="00AE2D2A"/>
    <w:rsid w:val="00AE2DA8"/>
    <w:rsid w:val="00AE3025"/>
    <w:rsid w:val="00AE351B"/>
    <w:rsid w:val="00AE36FF"/>
    <w:rsid w:val="00AE3ED4"/>
    <w:rsid w:val="00AE4BB6"/>
    <w:rsid w:val="00AE4CCB"/>
    <w:rsid w:val="00AE4DB8"/>
    <w:rsid w:val="00AE4F4D"/>
    <w:rsid w:val="00AE5021"/>
    <w:rsid w:val="00AE548F"/>
    <w:rsid w:val="00AE5ABB"/>
    <w:rsid w:val="00AE5E1D"/>
    <w:rsid w:val="00AE5FF7"/>
    <w:rsid w:val="00AE680C"/>
    <w:rsid w:val="00AE6A4F"/>
    <w:rsid w:val="00AE6B2A"/>
    <w:rsid w:val="00AE7195"/>
    <w:rsid w:val="00AE767E"/>
    <w:rsid w:val="00AE7CC6"/>
    <w:rsid w:val="00AF016A"/>
    <w:rsid w:val="00AF037C"/>
    <w:rsid w:val="00AF0B9F"/>
    <w:rsid w:val="00AF0EF2"/>
    <w:rsid w:val="00AF1181"/>
    <w:rsid w:val="00AF14D9"/>
    <w:rsid w:val="00AF15BF"/>
    <w:rsid w:val="00AF2F79"/>
    <w:rsid w:val="00AF372B"/>
    <w:rsid w:val="00AF4653"/>
    <w:rsid w:val="00AF632B"/>
    <w:rsid w:val="00AF6812"/>
    <w:rsid w:val="00AF7816"/>
    <w:rsid w:val="00AF7833"/>
    <w:rsid w:val="00AF7DB7"/>
    <w:rsid w:val="00B006CC"/>
    <w:rsid w:val="00B00AF7"/>
    <w:rsid w:val="00B01568"/>
    <w:rsid w:val="00B01709"/>
    <w:rsid w:val="00B017F9"/>
    <w:rsid w:val="00B01971"/>
    <w:rsid w:val="00B01BD7"/>
    <w:rsid w:val="00B03A5E"/>
    <w:rsid w:val="00B03D74"/>
    <w:rsid w:val="00B04431"/>
    <w:rsid w:val="00B0482C"/>
    <w:rsid w:val="00B049C7"/>
    <w:rsid w:val="00B0504C"/>
    <w:rsid w:val="00B05C42"/>
    <w:rsid w:val="00B0673A"/>
    <w:rsid w:val="00B067BB"/>
    <w:rsid w:val="00B07D8D"/>
    <w:rsid w:val="00B07F93"/>
    <w:rsid w:val="00B10CAC"/>
    <w:rsid w:val="00B10D3A"/>
    <w:rsid w:val="00B10E0D"/>
    <w:rsid w:val="00B11C76"/>
    <w:rsid w:val="00B11E49"/>
    <w:rsid w:val="00B11F30"/>
    <w:rsid w:val="00B120B7"/>
    <w:rsid w:val="00B121E4"/>
    <w:rsid w:val="00B12814"/>
    <w:rsid w:val="00B12885"/>
    <w:rsid w:val="00B12CD9"/>
    <w:rsid w:val="00B14303"/>
    <w:rsid w:val="00B14F66"/>
    <w:rsid w:val="00B15E9F"/>
    <w:rsid w:val="00B16311"/>
    <w:rsid w:val="00B1694E"/>
    <w:rsid w:val="00B16FB0"/>
    <w:rsid w:val="00B175CE"/>
    <w:rsid w:val="00B177A7"/>
    <w:rsid w:val="00B17ED8"/>
    <w:rsid w:val="00B2013B"/>
    <w:rsid w:val="00B201E2"/>
    <w:rsid w:val="00B20395"/>
    <w:rsid w:val="00B20455"/>
    <w:rsid w:val="00B2105F"/>
    <w:rsid w:val="00B2176D"/>
    <w:rsid w:val="00B21AC7"/>
    <w:rsid w:val="00B21EAF"/>
    <w:rsid w:val="00B230C3"/>
    <w:rsid w:val="00B2388E"/>
    <w:rsid w:val="00B240E7"/>
    <w:rsid w:val="00B24D5D"/>
    <w:rsid w:val="00B251A7"/>
    <w:rsid w:val="00B25419"/>
    <w:rsid w:val="00B26029"/>
    <w:rsid w:val="00B3026E"/>
    <w:rsid w:val="00B30595"/>
    <w:rsid w:val="00B30854"/>
    <w:rsid w:val="00B3162C"/>
    <w:rsid w:val="00B32473"/>
    <w:rsid w:val="00B338D4"/>
    <w:rsid w:val="00B3440F"/>
    <w:rsid w:val="00B345F3"/>
    <w:rsid w:val="00B36791"/>
    <w:rsid w:val="00B367E0"/>
    <w:rsid w:val="00B368E6"/>
    <w:rsid w:val="00B3732B"/>
    <w:rsid w:val="00B40298"/>
    <w:rsid w:val="00B40A81"/>
    <w:rsid w:val="00B40F70"/>
    <w:rsid w:val="00B41294"/>
    <w:rsid w:val="00B412D9"/>
    <w:rsid w:val="00B417E2"/>
    <w:rsid w:val="00B41CD5"/>
    <w:rsid w:val="00B41E3C"/>
    <w:rsid w:val="00B41EC4"/>
    <w:rsid w:val="00B42CF8"/>
    <w:rsid w:val="00B44379"/>
    <w:rsid w:val="00B443E4"/>
    <w:rsid w:val="00B4450D"/>
    <w:rsid w:val="00B445D5"/>
    <w:rsid w:val="00B445EE"/>
    <w:rsid w:val="00B44C1F"/>
    <w:rsid w:val="00B44C6B"/>
    <w:rsid w:val="00B44E5B"/>
    <w:rsid w:val="00B4662C"/>
    <w:rsid w:val="00B474FD"/>
    <w:rsid w:val="00B475A9"/>
    <w:rsid w:val="00B508D4"/>
    <w:rsid w:val="00B50ECA"/>
    <w:rsid w:val="00B5109C"/>
    <w:rsid w:val="00B51FF6"/>
    <w:rsid w:val="00B5208B"/>
    <w:rsid w:val="00B52796"/>
    <w:rsid w:val="00B5287C"/>
    <w:rsid w:val="00B52ADF"/>
    <w:rsid w:val="00B52CB9"/>
    <w:rsid w:val="00B54290"/>
    <w:rsid w:val="00B54630"/>
    <w:rsid w:val="00B54708"/>
    <w:rsid w:val="00B550E9"/>
    <w:rsid w:val="00B55AEE"/>
    <w:rsid w:val="00B55CB5"/>
    <w:rsid w:val="00B5612A"/>
    <w:rsid w:val="00B563EA"/>
    <w:rsid w:val="00B56CB1"/>
    <w:rsid w:val="00B57C56"/>
    <w:rsid w:val="00B605A3"/>
    <w:rsid w:val="00B60C78"/>
    <w:rsid w:val="00B60DBA"/>
    <w:rsid w:val="00B60E51"/>
    <w:rsid w:val="00B620C4"/>
    <w:rsid w:val="00B625C9"/>
    <w:rsid w:val="00B6323B"/>
    <w:rsid w:val="00B6375E"/>
    <w:rsid w:val="00B63A54"/>
    <w:rsid w:val="00B63B7D"/>
    <w:rsid w:val="00B644CD"/>
    <w:rsid w:val="00B64852"/>
    <w:rsid w:val="00B64D0D"/>
    <w:rsid w:val="00B65BF0"/>
    <w:rsid w:val="00B66769"/>
    <w:rsid w:val="00B67557"/>
    <w:rsid w:val="00B67AE5"/>
    <w:rsid w:val="00B67CA9"/>
    <w:rsid w:val="00B70EC5"/>
    <w:rsid w:val="00B72301"/>
    <w:rsid w:val="00B7272A"/>
    <w:rsid w:val="00B72C83"/>
    <w:rsid w:val="00B731D9"/>
    <w:rsid w:val="00B734F8"/>
    <w:rsid w:val="00B73553"/>
    <w:rsid w:val="00B73CA3"/>
    <w:rsid w:val="00B740B7"/>
    <w:rsid w:val="00B741A8"/>
    <w:rsid w:val="00B74305"/>
    <w:rsid w:val="00B74CEC"/>
    <w:rsid w:val="00B75791"/>
    <w:rsid w:val="00B77866"/>
    <w:rsid w:val="00B77D18"/>
    <w:rsid w:val="00B80161"/>
    <w:rsid w:val="00B80392"/>
    <w:rsid w:val="00B81B59"/>
    <w:rsid w:val="00B81BB7"/>
    <w:rsid w:val="00B8313A"/>
    <w:rsid w:val="00B835E5"/>
    <w:rsid w:val="00B83B43"/>
    <w:rsid w:val="00B83F3C"/>
    <w:rsid w:val="00B846F1"/>
    <w:rsid w:val="00B84E1F"/>
    <w:rsid w:val="00B84ED8"/>
    <w:rsid w:val="00B853A2"/>
    <w:rsid w:val="00B856DE"/>
    <w:rsid w:val="00B862D5"/>
    <w:rsid w:val="00B8642A"/>
    <w:rsid w:val="00B86460"/>
    <w:rsid w:val="00B867E4"/>
    <w:rsid w:val="00B871C3"/>
    <w:rsid w:val="00B9089E"/>
    <w:rsid w:val="00B90DB7"/>
    <w:rsid w:val="00B914EC"/>
    <w:rsid w:val="00B91EBD"/>
    <w:rsid w:val="00B924F7"/>
    <w:rsid w:val="00B926F9"/>
    <w:rsid w:val="00B92CB4"/>
    <w:rsid w:val="00B92FED"/>
    <w:rsid w:val="00B93503"/>
    <w:rsid w:val="00B93936"/>
    <w:rsid w:val="00B93C41"/>
    <w:rsid w:val="00B93C6C"/>
    <w:rsid w:val="00B94432"/>
    <w:rsid w:val="00B94FC4"/>
    <w:rsid w:val="00B9530D"/>
    <w:rsid w:val="00B96C47"/>
    <w:rsid w:val="00B97BE2"/>
    <w:rsid w:val="00B97F35"/>
    <w:rsid w:val="00BA0867"/>
    <w:rsid w:val="00BA14CF"/>
    <w:rsid w:val="00BA19A3"/>
    <w:rsid w:val="00BA1BE1"/>
    <w:rsid w:val="00BA1F79"/>
    <w:rsid w:val="00BA2799"/>
    <w:rsid w:val="00BA2A37"/>
    <w:rsid w:val="00BA2A60"/>
    <w:rsid w:val="00BA31E8"/>
    <w:rsid w:val="00BA3E85"/>
    <w:rsid w:val="00BA43C7"/>
    <w:rsid w:val="00BA55E0"/>
    <w:rsid w:val="00BA5ADF"/>
    <w:rsid w:val="00BA6BD4"/>
    <w:rsid w:val="00BA6C7A"/>
    <w:rsid w:val="00BA6FDA"/>
    <w:rsid w:val="00BA7715"/>
    <w:rsid w:val="00BA7768"/>
    <w:rsid w:val="00BB0727"/>
    <w:rsid w:val="00BB19C0"/>
    <w:rsid w:val="00BB2CD8"/>
    <w:rsid w:val="00BB3035"/>
    <w:rsid w:val="00BB3752"/>
    <w:rsid w:val="00BB3E5E"/>
    <w:rsid w:val="00BB3F31"/>
    <w:rsid w:val="00BB498A"/>
    <w:rsid w:val="00BB4D49"/>
    <w:rsid w:val="00BB4E66"/>
    <w:rsid w:val="00BB502D"/>
    <w:rsid w:val="00BB5442"/>
    <w:rsid w:val="00BB5BE5"/>
    <w:rsid w:val="00BB5F80"/>
    <w:rsid w:val="00BB64F0"/>
    <w:rsid w:val="00BB6688"/>
    <w:rsid w:val="00BB7B8F"/>
    <w:rsid w:val="00BC01F0"/>
    <w:rsid w:val="00BC0DB7"/>
    <w:rsid w:val="00BC16FF"/>
    <w:rsid w:val="00BC1DE2"/>
    <w:rsid w:val="00BC2402"/>
    <w:rsid w:val="00BC26D4"/>
    <w:rsid w:val="00BC311A"/>
    <w:rsid w:val="00BC6576"/>
    <w:rsid w:val="00BC6851"/>
    <w:rsid w:val="00BC715D"/>
    <w:rsid w:val="00BC74C1"/>
    <w:rsid w:val="00BC7E45"/>
    <w:rsid w:val="00BD03A0"/>
    <w:rsid w:val="00BD0446"/>
    <w:rsid w:val="00BD073A"/>
    <w:rsid w:val="00BD0867"/>
    <w:rsid w:val="00BD0985"/>
    <w:rsid w:val="00BD1342"/>
    <w:rsid w:val="00BD2AA6"/>
    <w:rsid w:val="00BD44CE"/>
    <w:rsid w:val="00BD4ABC"/>
    <w:rsid w:val="00BD6C3C"/>
    <w:rsid w:val="00BD75B2"/>
    <w:rsid w:val="00BE0C80"/>
    <w:rsid w:val="00BE10A8"/>
    <w:rsid w:val="00BE120B"/>
    <w:rsid w:val="00BE155C"/>
    <w:rsid w:val="00BE1DC8"/>
    <w:rsid w:val="00BE2F69"/>
    <w:rsid w:val="00BE34FB"/>
    <w:rsid w:val="00BE3588"/>
    <w:rsid w:val="00BE4C3D"/>
    <w:rsid w:val="00BE56DD"/>
    <w:rsid w:val="00BE6604"/>
    <w:rsid w:val="00BE6AF2"/>
    <w:rsid w:val="00BE7144"/>
    <w:rsid w:val="00BE7458"/>
    <w:rsid w:val="00BF0EAC"/>
    <w:rsid w:val="00BF156C"/>
    <w:rsid w:val="00BF1C89"/>
    <w:rsid w:val="00BF23E2"/>
    <w:rsid w:val="00BF2A42"/>
    <w:rsid w:val="00BF3683"/>
    <w:rsid w:val="00BF38A1"/>
    <w:rsid w:val="00BF39C8"/>
    <w:rsid w:val="00BF3D70"/>
    <w:rsid w:val="00BF4552"/>
    <w:rsid w:val="00BF64EE"/>
    <w:rsid w:val="00C0011E"/>
    <w:rsid w:val="00C0040A"/>
    <w:rsid w:val="00C0054F"/>
    <w:rsid w:val="00C00BD8"/>
    <w:rsid w:val="00C00E1C"/>
    <w:rsid w:val="00C0109E"/>
    <w:rsid w:val="00C01302"/>
    <w:rsid w:val="00C02262"/>
    <w:rsid w:val="00C02774"/>
    <w:rsid w:val="00C02E9E"/>
    <w:rsid w:val="00C02F54"/>
    <w:rsid w:val="00C033D4"/>
    <w:rsid w:val="00C038A6"/>
    <w:rsid w:val="00C03D8C"/>
    <w:rsid w:val="00C046AD"/>
    <w:rsid w:val="00C05017"/>
    <w:rsid w:val="00C055EC"/>
    <w:rsid w:val="00C055FA"/>
    <w:rsid w:val="00C05FCF"/>
    <w:rsid w:val="00C06E88"/>
    <w:rsid w:val="00C07396"/>
    <w:rsid w:val="00C076BE"/>
    <w:rsid w:val="00C10818"/>
    <w:rsid w:val="00C10DC9"/>
    <w:rsid w:val="00C123FB"/>
    <w:rsid w:val="00C12613"/>
    <w:rsid w:val="00C12FB3"/>
    <w:rsid w:val="00C13637"/>
    <w:rsid w:val="00C139FD"/>
    <w:rsid w:val="00C1402C"/>
    <w:rsid w:val="00C14D90"/>
    <w:rsid w:val="00C15047"/>
    <w:rsid w:val="00C15B9B"/>
    <w:rsid w:val="00C16D35"/>
    <w:rsid w:val="00C172EE"/>
    <w:rsid w:val="00C17341"/>
    <w:rsid w:val="00C17535"/>
    <w:rsid w:val="00C175C5"/>
    <w:rsid w:val="00C1773D"/>
    <w:rsid w:val="00C17ADC"/>
    <w:rsid w:val="00C207CF"/>
    <w:rsid w:val="00C20866"/>
    <w:rsid w:val="00C21414"/>
    <w:rsid w:val="00C217F9"/>
    <w:rsid w:val="00C21B8C"/>
    <w:rsid w:val="00C22618"/>
    <w:rsid w:val="00C226A5"/>
    <w:rsid w:val="00C23C11"/>
    <w:rsid w:val="00C24260"/>
    <w:rsid w:val="00C24BD8"/>
    <w:rsid w:val="00C24EEF"/>
    <w:rsid w:val="00C24F90"/>
    <w:rsid w:val="00C254F4"/>
    <w:rsid w:val="00C25CF6"/>
    <w:rsid w:val="00C2613F"/>
    <w:rsid w:val="00C2622E"/>
    <w:rsid w:val="00C26500"/>
    <w:rsid w:val="00C2694B"/>
    <w:rsid w:val="00C26C36"/>
    <w:rsid w:val="00C27342"/>
    <w:rsid w:val="00C27832"/>
    <w:rsid w:val="00C27A98"/>
    <w:rsid w:val="00C3157C"/>
    <w:rsid w:val="00C31D87"/>
    <w:rsid w:val="00C31F06"/>
    <w:rsid w:val="00C320EC"/>
    <w:rsid w:val="00C3239E"/>
    <w:rsid w:val="00C32768"/>
    <w:rsid w:val="00C33522"/>
    <w:rsid w:val="00C33DD2"/>
    <w:rsid w:val="00C358B1"/>
    <w:rsid w:val="00C35A3C"/>
    <w:rsid w:val="00C35CE5"/>
    <w:rsid w:val="00C367DA"/>
    <w:rsid w:val="00C36AA5"/>
    <w:rsid w:val="00C37EC6"/>
    <w:rsid w:val="00C400D1"/>
    <w:rsid w:val="00C40913"/>
    <w:rsid w:val="00C41010"/>
    <w:rsid w:val="00C4193C"/>
    <w:rsid w:val="00C41C8F"/>
    <w:rsid w:val="00C431DF"/>
    <w:rsid w:val="00C43780"/>
    <w:rsid w:val="00C43FCA"/>
    <w:rsid w:val="00C4433A"/>
    <w:rsid w:val="00C44386"/>
    <w:rsid w:val="00C4450B"/>
    <w:rsid w:val="00C445B8"/>
    <w:rsid w:val="00C450A0"/>
    <w:rsid w:val="00C456BD"/>
    <w:rsid w:val="00C463E5"/>
    <w:rsid w:val="00C465E6"/>
    <w:rsid w:val="00C46972"/>
    <w:rsid w:val="00C46A44"/>
    <w:rsid w:val="00C4745F"/>
    <w:rsid w:val="00C475E3"/>
    <w:rsid w:val="00C47722"/>
    <w:rsid w:val="00C47725"/>
    <w:rsid w:val="00C47881"/>
    <w:rsid w:val="00C478A7"/>
    <w:rsid w:val="00C47EFB"/>
    <w:rsid w:val="00C50087"/>
    <w:rsid w:val="00C50E54"/>
    <w:rsid w:val="00C511B8"/>
    <w:rsid w:val="00C52027"/>
    <w:rsid w:val="00C52597"/>
    <w:rsid w:val="00C530DC"/>
    <w:rsid w:val="00C53151"/>
    <w:rsid w:val="00C53197"/>
    <w:rsid w:val="00C5350D"/>
    <w:rsid w:val="00C53C7D"/>
    <w:rsid w:val="00C53F31"/>
    <w:rsid w:val="00C557B6"/>
    <w:rsid w:val="00C55F54"/>
    <w:rsid w:val="00C570DF"/>
    <w:rsid w:val="00C57A70"/>
    <w:rsid w:val="00C60A63"/>
    <w:rsid w:val="00C60C6D"/>
    <w:rsid w:val="00C60C9D"/>
    <w:rsid w:val="00C6123C"/>
    <w:rsid w:val="00C61C3B"/>
    <w:rsid w:val="00C61D60"/>
    <w:rsid w:val="00C62101"/>
    <w:rsid w:val="00C621F1"/>
    <w:rsid w:val="00C6284D"/>
    <w:rsid w:val="00C6311A"/>
    <w:rsid w:val="00C6365F"/>
    <w:rsid w:val="00C64E9A"/>
    <w:rsid w:val="00C65875"/>
    <w:rsid w:val="00C65A5E"/>
    <w:rsid w:val="00C667DC"/>
    <w:rsid w:val="00C66AF6"/>
    <w:rsid w:val="00C70537"/>
    <w:rsid w:val="00C7084D"/>
    <w:rsid w:val="00C7138C"/>
    <w:rsid w:val="00C7165A"/>
    <w:rsid w:val="00C72113"/>
    <w:rsid w:val="00C72FB6"/>
    <w:rsid w:val="00C7315E"/>
    <w:rsid w:val="00C73707"/>
    <w:rsid w:val="00C75895"/>
    <w:rsid w:val="00C75947"/>
    <w:rsid w:val="00C76B07"/>
    <w:rsid w:val="00C77180"/>
    <w:rsid w:val="00C77565"/>
    <w:rsid w:val="00C77A7F"/>
    <w:rsid w:val="00C81D51"/>
    <w:rsid w:val="00C82196"/>
    <w:rsid w:val="00C82DF7"/>
    <w:rsid w:val="00C8318A"/>
    <w:rsid w:val="00C83B83"/>
    <w:rsid w:val="00C83C9F"/>
    <w:rsid w:val="00C83EF6"/>
    <w:rsid w:val="00C84035"/>
    <w:rsid w:val="00C8433C"/>
    <w:rsid w:val="00C846BE"/>
    <w:rsid w:val="00C846F1"/>
    <w:rsid w:val="00C8702D"/>
    <w:rsid w:val="00C879C7"/>
    <w:rsid w:val="00C9097A"/>
    <w:rsid w:val="00C90E0D"/>
    <w:rsid w:val="00C925F8"/>
    <w:rsid w:val="00C927B7"/>
    <w:rsid w:val="00C927DF"/>
    <w:rsid w:val="00C9353E"/>
    <w:rsid w:val="00C935FC"/>
    <w:rsid w:val="00C93EEB"/>
    <w:rsid w:val="00C93F8C"/>
    <w:rsid w:val="00C94840"/>
    <w:rsid w:val="00C959A9"/>
    <w:rsid w:val="00C95FA2"/>
    <w:rsid w:val="00C96801"/>
    <w:rsid w:val="00C96846"/>
    <w:rsid w:val="00C97A7B"/>
    <w:rsid w:val="00CA1017"/>
    <w:rsid w:val="00CA107D"/>
    <w:rsid w:val="00CA1683"/>
    <w:rsid w:val="00CA1918"/>
    <w:rsid w:val="00CA2A3B"/>
    <w:rsid w:val="00CA2BED"/>
    <w:rsid w:val="00CA2C04"/>
    <w:rsid w:val="00CA31C2"/>
    <w:rsid w:val="00CA3833"/>
    <w:rsid w:val="00CA393B"/>
    <w:rsid w:val="00CA4AA2"/>
    <w:rsid w:val="00CA4EE3"/>
    <w:rsid w:val="00CA5938"/>
    <w:rsid w:val="00CA59B0"/>
    <w:rsid w:val="00CA5B54"/>
    <w:rsid w:val="00CA6F3F"/>
    <w:rsid w:val="00CA74BE"/>
    <w:rsid w:val="00CA7EE3"/>
    <w:rsid w:val="00CB006A"/>
    <w:rsid w:val="00CB027F"/>
    <w:rsid w:val="00CB269F"/>
    <w:rsid w:val="00CB28D9"/>
    <w:rsid w:val="00CB3675"/>
    <w:rsid w:val="00CB3D2A"/>
    <w:rsid w:val="00CB7376"/>
    <w:rsid w:val="00CB767D"/>
    <w:rsid w:val="00CC0550"/>
    <w:rsid w:val="00CC0EBB"/>
    <w:rsid w:val="00CC1A97"/>
    <w:rsid w:val="00CC26F7"/>
    <w:rsid w:val="00CC2B6B"/>
    <w:rsid w:val="00CC3296"/>
    <w:rsid w:val="00CC3509"/>
    <w:rsid w:val="00CC3850"/>
    <w:rsid w:val="00CC3CEB"/>
    <w:rsid w:val="00CC3F66"/>
    <w:rsid w:val="00CC595F"/>
    <w:rsid w:val="00CC6297"/>
    <w:rsid w:val="00CC6A41"/>
    <w:rsid w:val="00CC6F1F"/>
    <w:rsid w:val="00CC7690"/>
    <w:rsid w:val="00CD04A4"/>
    <w:rsid w:val="00CD0632"/>
    <w:rsid w:val="00CD17F6"/>
    <w:rsid w:val="00CD1986"/>
    <w:rsid w:val="00CD1D96"/>
    <w:rsid w:val="00CD214E"/>
    <w:rsid w:val="00CD286C"/>
    <w:rsid w:val="00CD29B5"/>
    <w:rsid w:val="00CD3104"/>
    <w:rsid w:val="00CD327F"/>
    <w:rsid w:val="00CD351F"/>
    <w:rsid w:val="00CD3AA5"/>
    <w:rsid w:val="00CD3FE0"/>
    <w:rsid w:val="00CD448E"/>
    <w:rsid w:val="00CD4807"/>
    <w:rsid w:val="00CD54BF"/>
    <w:rsid w:val="00CD5553"/>
    <w:rsid w:val="00CD566D"/>
    <w:rsid w:val="00CD7486"/>
    <w:rsid w:val="00CE0151"/>
    <w:rsid w:val="00CE19C6"/>
    <w:rsid w:val="00CE1E45"/>
    <w:rsid w:val="00CE2772"/>
    <w:rsid w:val="00CE3156"/>
    <w:rsid w:val="00CE350A"/>
    <w:rsid w:val="00CE384C"/>
    <w:rsid w:val="00CE3E34"/>
    <w:rsid w:val="00CE4B3A"/>
    <w:rsid w:val="00CE4D5C"/>
    <w:rsid w:val="00CE5686"/>
    <w:rsid w:val="00CE5817"/>
    <w:rsid w:val="00CE5979"/>
    <w:rsid w:val="00CE6095"/>
    <w:rsid w:val="00CF05DA"/>
    <w:rsid w:val="00CF0C0C"/>
    <w:rsid w:val="00CF0F30"/>
    <w:rsid w:val="00CF104F"/>
    <w:rsid w:val="00CF1631"/>
    <w:rsid w:val="00CF1644"/>
    <w:rsid w:val="00CF1EF3"/>
    <w:rsid w:val="00CF1FE5"/>
    <w:rsid w:val="00CF273F"/>
    <w:rsid w:val="00CF2D00"/>
    <w:rsid w:val="00CF2FE1"/>
    <w:rsid w:val="00CF32E8"/>
    <w:rsid w:val="00CF3602"/>
    <w:rsid w:val="00CF58EB"/>
    <w:rsid w:val="00CF5A5C"/>
    <w:rsid w:val="00CF5D62"/>
    <w:rsid w:val="00CF6570"/>
    <w:rsid w:val="00CF6A1F"/>
    <w:rsid w:val="00CF6FEC"/>
    <w:rsid w:val="00CF7681"/>
    <w:rsid w:val="00CF7683"/>
    <w:rsid w:val="00CF7C19"/>
    <w:rsid w:val="00D00025"/>
    <w:rsid w:val="00D006F8"/>
    <w:rsid w:val="00D00B42"/>
    <w:rsid w:val="00D0106E"/>
    <w:rsid w:val="00D011FF"/>
    <w:rsid w:val="00D015B7"/>
    <w:rsid w:val="00D01F74"/>
    <w:rsid w:val="00D02D6F"/>
    <w:rsid w:val="00D032F1"/>
    <w:rsid w:val="00D04133"/>
    <w:rsid w:val="00D048B9"/>
    <w:rsid w:val="00D04AD8"/>
    <w:rsid w:val="00D04B74"/>
    <w:rsid w:val="00D04E4D"/>
    <w:rsid w:val="00D04F46"/>
    <w:rsid w:val="00D04F59"/>
    <w:rsid w:val="00D052CB"/>
    <w:rsid w:val="00D05363"/>
    <w:rsid w:val="00D057F1"/>
    <w:rsid w:val="00D061E9"/>
    <w:rsid w:val="00D06383"/>
    <w:rsid w:val="00D063A1"/>
    <w:rsid w:val="00D06774"/>
    <w:rsid w:val="00D078DF"/>
    <w:rsid w:val="00D07D3A"/>
    <w:rsid w:val="00D10852"/>
    <w:rsid w:val="00D1107A"/>
    <w:rsid w:val="00D1184E"/>
    <w:rsid w:val="00D11A25"/>
    <w:rsid w:val="00D13D94"/>
    <w:rsid w:val="00D14275"/>
    <w:rsid w:val="00D144A0"/>
    <w:rsid w:val="00D14B2B"/>
    <w:rsid w:val="00D1664D"/>
    <w:rsid w:val="00D16A1C"/>
    <w:rsid w:val="00D205CF"/>
    <w:rsid w:val="00D20DA7"/>
    <w:rsid w:val="00D20E85"/>
    <w:rsid w:val="00D21075"/>
    <w:rsid w:val="00D213DD"/>
    <w:rsid w:val="00D21C43"/>
    <w:rsid w:val="00D220C4"/>
    <w:rsid w:val="00D22B4D"/>
    <w:rsid w:val="00D230AC"/>
    <w:rsid w:val="00D235E9"/>
    <w:rsid w:val="00D240EE"/>
    <w:rsid w:val="00D24599"/>
    <w:rsid w:val="00D24615"/>
    <w:rsid w:val="00D258ED"/>
    <w:rsid w:val="00D25CBD"/>
    <w:rsid w:val="00D25E76"/>
    <w:rsid w:val="00D300B4"/>
    <w:rsid w:val="00D30E7B"/>
    <w:rsid w:val="00D31AD7"/>
    <w:rsid w:val="00D32362"/>
    <w:rsid w:val="00D32751"/>
    <w:rsid w:val="00D33BF4"/>
    <w:rsid w:val="00D34817"/>
    <w:rsid w:val="00D355B3"/>
    <w:rsid w:val="00D356DB"/>
    <w:rsid w:val="00D35F07"/>
    <w:rsid w:val="00D37151"/>
    <w:rsid w:val="00D37757"/>
    <w:rsid w:val="00D37842"/>
    <w:rsid w:val="00D42399"/>
    <w:rsid w:val="00D42BBD"/>
    <w:rsid w:val="00D42DC2"/>
    <w:rsid w:val="00D42F32"/>
    <w:rsid w:val="00D432DE"/>
    <w:rsid w:val="00D434D6"/>
    <w:rsid w:val="00D439A3"/>
    <w:rsid w:val="00D44A52"/>
    <w:rsid w:val="00D450E1"/>
    <w:rsid w:val="00D45645"/>
    <w:rsid w:val="00D476EA"/>
    <w:rsid w:val="00D47BDB"/>
    <w:rsid w:val="00D50458"/>
    <w:rsid w:val="00D5168C"/>
    <w:rsid w:val="00D53295"/>
    <w:rsid w:val="00D535E3"/>
    <w:rsid w:val="00D537E1"/>
    <w:rsid w:val="00D55246"/>
    <w:rsid w:val="00D55BB2"/>
    <w:rsid w:val="00D55E54"/>
    <w:rsid w:val="00D55F11"/>
    <w:rsid w:val="00D560F4"/>
    <w:rsid w:val="00D56767"/>
    <w:rsid w:val="00D57747"/>
    <w:rsid w:val="00D606CE"/>
    <w:rsid w:val="00D6091A"/>
    <w:rsid w:val="00D609D5"/>
    <w:rsid w:val="00D60B82"/>
    <w:rsid w:val="00D615C1"/>
    <w:rsid w:val="00D6168E"/>
    <w:rsid w:val="00D616E1"/>
    <w:rsid w:val="00D61ABB"/>
    <w:rsid w:val="00D62CC1"/>
    <w:rsid w:val="00D63114"/>
    <w:rsid w:val="00D63955"/>
    <w:rsid w:val="00D63A8E"/>
    <w:rsid w:val="00D63EAF"/>
    <w:rsid w:val="00D649F1"/>
    <w:rsid w:val="00D65454"/>
    <w:rsid w:val="00D65BD9"/>
    <w:rsid w:val="00D65F10"/>
    <w:rsid w:val="00D6605A"/>
    <w:rsid w:val="00D6695F"/>
    <w:rsid w:val="00D70242"/>
    <w:rsid w:val="00D71FCA"/>
    <w:rsid w:val="00D72C64"/>
    <w:rsid w:val="00D739AA"/>
    <w:rsid w:val="00D73A3D"/>
    <w:rsid w:val="00D73BB9"/>
    <w:rsid w:val="00D73FC6"/>
    <w:rsid w:val="00D74395"/>
    <w:rsid w:val="00D745AA"/>
    <w:rsid w:val="00D750B6"/>
    <w:rsid w:val="00D75644"/>
    <w:rsid w:val="00D766E1"/>
    <w:rsid w:val="00D771B7"/>
    <w:rsid w:val="00D77479"/>
    <w:rsid w:val="00D7798C"/>
    <w:rsid w:val="00D77F78"/>
    <w:rsid w:val="00D8046F"/>
    <w:rsid w:val="00D804E1"/>
    <w:rsid w:val="00D8069B"/>
    <w:rsid w:val="00D81656"/>
    <w:rsid w:val="00D81861"/>
    <w:rsid w:val="00D81964"/>
    <w:rsid w:val="00D8204B"/>
    <w:rsid w:val="00D8210E"/>
    <w:rsid w:val="00D82444"/>
    <w:rsid w:val="00D8271F"/>
    <w:rsid w:val="00D828EF"/>
    <w:rsid w:val="00D82C23"/>
    <w:rsid w:val="00D83032"/>
    <w:rsid w:val="00D83D87"/>
    <w:rsid w:val="00D84324"/>
    <w:rsid w:val="00D848E1"/>
    <w:rsid w:val="00D84A6D"/>
    <w:rsid w:val="00D85D31"/>
    <w:rsid w:val="00D864B4"/>
    <w:rsid w:val="00D86A30"/>
    <w:rsid w:val="00D86AA7"/>
    <w:rsid w:val="00D86ADB"/>
    <w:rsid w:val="00D86FEE"/>
    <w:rsid w:val="00D8721E"/>
    <w:rsid w:val="00D878FA"/>
    <w:rsid w:val="00D90B5D"/>
    <w:rsid w:val="00D914F9"/>
    <w:rsid w:val="00D924E8"/>
    <w:rsid w:val="00D925FC"/>
    <w:rsid w:val="00D92E18"/>
    <w:rsid w:val="00D9366D"/>
    <w:rsid w:val="00D93869"/>
    <w:rsid w:val="00D94329"/>
    <w:rsid w:val="00D94FFE"/>
    <w:rsid w:val="00D95517"/>
    <w:rsid w:val="00D95D4D"/>
    <w:rsid w:val="00D96664"/>
    <w:rsid w:val="00D9697C"/>
    <w:rsid w:val="00D970A6"/>
    <w:rsid w:val="00D974D2"/>
    <w:rsid w:val="00D97AFB"/>
    <w:rsid w:val="00D97CB4"/>
    <w:rsid w:val="00D97DD4"/>
    <w:rsid w:val="00D97EC8"/>
    <w:rsid w:val="00DA0190"/>
    <w:rsid w:val="00DA0489"/>
    <w:rsid w:val="00DA097D"/>
    <w:rsid w:val="00DA13E2"/>
    <w:rsid w:val="00DA311F"/>
    <w:rsid w:val="00DA31F9"/>
    <w:rsid w:val="00DA3562"/>
    <w:rsid w:val="00DA3A87"/>
    <w:rsid w:val="00DA45C2"/>
    <w:rsid w:val="00DA4D13"/>
    <w:rsid w:val="00DA5068"/>
    <w:rsid w:val="00DA5419"/>
    <w:rsid w:val="00DA5895"/>
    <w:rsid w:val="00DA5A8A"/>
    <w:rsid w:val="00DA658C"/>
    <w:rsid w:val="00DA70BB"/>
    <w:rsid w:val="00DB0029"/>
    <w:rsid w:val="00DB12B5"/>
    <w:rsid w:val="00DB1702"/>
    <w:rsid w:val="00DB17BA"/>
    <w:rsid w:val="00DB1E02"/>
    <w:rsid w:val="00DB2057"/>
    <w:rsid w:val="00DB253B"/>
    <w:rsid w:val="00DB26CD"/>
    <w:rsid w:val="00DB29F3"/>
    <w:rsid w:val="00DB35B0"/>
    <w:rsid w:val="00DB361F"/>
    <w:rsid w:val="00DB387C"/>
    <w:rsid w:val="00DB3F1A"/>
    <w:rsid w:val="00DB410E"/>
    <w:rsid w:val="00DB441C"/>
    <w:rsid w:val="00DB44AF"/>
    <w:rsid w:val="00DB45D2"/>
    <w:rsid w:val="00DB6199"/>
    <w:rsid w:val="00DB635A"/>
    <w:rsid w:val="00DB77E2"/>
    <w:rsid w:val="00DB7A93"/>
    <w:rsid w:val="00DC07D7"/>
    <w:rsid w:val="00DC12F0"/>
    <w:rsid w:val="00DC1743"/>
    <w:rsid w:val="00DC1B81"/>
    <w:rsid w:val="00DC1F58"/>
    <w:rsid w:val="00DC328E"/>
    <w:rsid w:val="00DC339B"/>
    <w:rsid w:val="00DC3660"/>
    <w:rsid w:val="00DC3815"/>
    <w:rsid w:val="00DC3CF9"/>
    <w:rsid w:val="00DC4329"/>
    <w:rsid w:val="00DC4ECE"/>
    <w:rsid w:val="00DC5007"/>
    <w:rsid w:val="00DC51D2"/>
    <w:rsid w:val="00DC5419"/>
    <w:rsid w:val="00DC552A"/>
    <w:rsid w:val="00DC55FA"/>
    <w:rsid w:val="00DC5D40"/>
    <w:rsid w:val="00DC638F"/>
    <w:rsid w:val="00DC6393"/>
    <w:rsid w:val="00DC69A7"/>
    <w:rsid w:val="00DC6F4F"/>
    <w:rsid w:val="00DC7776"/>
    <w:rsid w:val="00DC77B5"/>
    <w:rsid w:val="00DD00FF"/>
    <w:rsid w:val="00DD200C"/>
    <w:rsid w:val="00DD257A"/>
    <w:rsid w:val="00DD25E6"/>
    <w:rsid w:val="00DD2A90"/>
    <w:rsid w:val="00DD2C28"/>
    <w:rsid w:val="00DD30E9"/>
    <w:rsid w:val="00DD3A9F"/>
    <w:rsid w:val="00DD4205"/>
    <w:rsid w:val="00DD4336"/>
    <w:rsid w:val="00DD4F47"/>
    <w:rsid w:val="00DD5000"/>
    <w:rsid w:val="00DD5220"/>
    <w:rsid w:val="00DD5642"/>
    <w:rsid w:val="00DD5B22"/>
    <w:rsid w:val="00DD5B49"/>
    <w:rsid w:val="00DD5FD6"/>
    <w:rsid w:val="00DD66E1"/>
    <w:rsid w:val="00DD67CC"/>
    <w:rsid w:val="00DD68ED"/>
    <w:rsid w:val="00DD6BEB"/>
    <w:rsid w:val="00DD6EB7"/>
    <w:rsid w:val="00DD71BC"/>
    <w:rsid w:val="00DD7D34"/>
    <w:rsid w:val="00DD7FBB"/>
    <w:rsid w:val="00DE0110"/>
    <w:rsid w:val="00DE05E2"/>
    <w:rsid w:val="00DE0B9F"/>
    <w:rsid w:val="00DE1D30"/>
    <w:rsid w:val="00DE2A4B"/>
    <w:rsid w:val="00DE2EF1"/>
    <w:rsid w:val="00DE3004"/>
    <w:rsid w:val="00DE322D"/>
    <w:rsid w:val="00DE3FDB"/>
    <w:rsid w:val="00DE4238"/>
    <w:rsid w:val="00DE4A43"/>
    <w:rsid w:val="00DE5256"/>
    <w:rsid w:val="00DE5296"/>
    <w:rsid w:val="00DE568C"/>
    <w:rsid w:val="00DE5EC2"/>
    <w:rsid w:val="00DE5F34"/>
    <w:rsid w:val="00DE657F"/>
    <w:rsid w:val="00DE739E"/>
    <w:rsid w:val="00DE7F51"/>
    <w:rsid w:val="00DF0807"/>
    <w:rsid w:val="00DF0E6F"/>
    <w:rsid w:val="00DF1218"/>
    <w:rsid w:val="00DF12C7"/>
    <w:rsid w:val="00DF1E56"/>
    <w:rsid w:val="00DF2238"/>
    <w:rsid w:val="00DF23A9"/>
    <w:rsid w:val="00DF295F"/>
    <w:rsid w:val="00DF2AE9"/>
    <w:rsid w:val="00DF55D8"/>
    <w:rsid w:val="00DF59E3"/>
    <w:rsid w:val="00DF602F"/>
    <w:rsid w:val="00DF6462"/>
    <w:rsid w:val="00DF7340"/>
    <w:rsid w:val="00DF74DC"/>
    <w:rsid w:val="00DF7D0F"/>
    <w:rsid w:val="00E002EA"/>
    <w:rsid w:val="00E0215F"/>
    <w:rsid w:val="00E026FD"/>
    <w:rsid w:val="00E02D1D"/>
    <w:rsid w:val="00E02FA0"/>
    <w:rsid w:val="00E036DC"/>
    <w:rsid w:val="00E04095"/>
    <w:rsid w:val="00E044CB"/>
    <w:rsid w:val="00E045DC"/>
    <w:rsid w:val="00E04901"/>
    <w:rsid w:val="00E04A14"/>
    <w:rsid w:val="00E04E9A"/>
    <w:rsid w:val="00E06485"/>
    <w:rsid w:val="00E064AE"/>
    <w:rsid w:val="00E071F6"/>
    <w:rsid w:val="00E075BD"/>
    <w:rsid w:val="00E0780B"/>
    <w:rsid w:val="00E07BAB"/>
    <w:rsid w:val="00E10454"/>
    <w:rsid w:val="00E112E5"/>
    <w:rsid w:val="00E1160D"/>
    <w:rsid w:val="00E11E2C"/>
    <w:rsid w:val="00E11E4A"/>
    <w:rsid w:val="00E12CC8"/>
    <w:rsid w:val="00E13A3A"/>
    <w:rsid w:val="00E142EC"/>
    <w:rsid w:val="00E14306"/>
    <w:rsid w:val="00E14B26"/>
    <w:rsid w:val="00E14BB6"/>
    <w:rsid w:val="00E15104"/>
    <w:rsid w:val="00E15352"/>
    <w:rsid w:val="00E1580F"/>
    <w:rsid w:val="00E15921"/>
    <w:rsid w:val="00E15AD7"/>
    <w:rsid w:val="00E15B3A"/>
    <w:rsid w:val="00E15E7B"/>
    <w:rsid w:val="00E1683A"/>
    <w:rsid w:val="00E16FFE"/>
    <w:rsid w:val="00E170DF"/>
    <w:rsid w:val="00E177D1"/>
    <w:rsid w:val="00E206FB"/>
    <w:rsid w:val="00E21B4D"/>
    <w:rsid w:val="00E21CC7"/>
    <w:rsid w:val="00E2262D"/>
    <w:rsid w:val="00E2333F"/>
    <w:rsid w:val="00E2384F"/>
    <w:rsid w:val="00E245F7"/>
    <w:rsid w:val="00E247B2"/>
    <w:rsid w:val="00E24D9E"/>
    <w:rsid w:val="00E254BB"/>
    <w:rsid w:val="00E25849"/>
    <w:rsid w:val="00E27427"/>
    <w:rsid w:val="00E27781"/>
    <w:rsid w:val="00E27BED"/>
    <w:rsid w:val="00E30414"/>
    <w:rsid w:val="00E3197E"/>
    <w:rsid w:val="00E33570"/>
    <w:rsid w:val="00E33B53"/>
    <w:rsid w:val="00E342F8"/>
    <w:rsid w:val="00E34E1D"/>
    <w:rsid w:val="00E351ED"/>
    <w:rsid w:val="00E35E62"/>
    <w:rsid w:val="00E35E7C"/>
    <w:rsid w:val="00E3667F"/>
    <w:rsid w:val="00E37AC4"/>
    <w:rsid w:val="00E401BD"/>
    <w:rsid w:val="00E40464"/>
    <w:rsid w:val="00E40BB7"/>
    <w:rsid w:val="00E40F50"/>
    <w:rsid w:val="00E4130E"/>
    <w:rsid w:val="00E42003"/>
    <w:rsid w:val="00E421C3"/>
    <w:rsid w:val="00E42776"/>
    <w:rsid w:val="00E427C8"/>
    <w:rsid w:val="00E42878"/>
    <w:rsid w:val="00E42DD8"/>
    <w:rsid w:val="00E46B31"/>
    <w:rsid w:val="00E47471"/>
    <w:rsid w:val="00E505EB"/>
    <w:rsid w:val="00E50C87"/>
    <w:rsid w:val="00E50CD9"/>
    <w:rsid w:val="00E50DB2"/>
    <w:rsid w:val="00E51E14"/>
    <w:rsid w:val="00E520B2"/>
    <w:rsid w:val="00E5215D"/>
    <w:rsid w:val="00E528E3"/>
    <w:rsid w:val="00E553D2"/>
    <w:rsid w:val="00E5564F"/>
    <w:rsid w:val="00E55B80"/>
    <w:rsid w:val="00E562D9"/>
    <w:rsid w:val="00E57CF8"/>
    <w:rsid w:val="00E57D33"/>
    <w:rsid w:val="00E6034B"/>
    <w:rsid w:val="00E60DFE"/>
    <w:rsid w:val="00E61186"/>
    <w:rsid w:val="00E623F8"/>
    <w:rsid w:val="00E624A8"/>
    <w:rsid w:val="00E62E43"/>
    <w:rsid w:val="00E632BF"/>
    <w:rsid w:val="00E632D3"/>
    <w:rsid w:val="00E634A8"/>
    <w:rsid w:val="00E65442"/>
    <w:rsid w:val="00E6549E"/>
    <w:rsid w:val="00E65EDE"/>
    <w:rsid w:val="00E6685F"/>
    <w:rsid w:val="00E66A99"/>
    <w:rsid w:val="00E67E23"/>
    <w:rsid w:val="00E703FF"/>
    <w:rsid w:val="00E70F81"/>
    <w:rsid w:val="00E71015"/>
    <w:rsid w:val="00E7305A"/>
    <w:rsid w:val="00E73475"/>
    <w:rsid w:val="00E738F1"/>
    <w:rsid w:val="00E73C7D"/>
    <w:rsid w:val="00E741CA"/>
    <w:rsid w:val="00E74E2F"/>
    <w:rsid w:val="00E75277"/>
    <w:rsid w:val="00E76D6E"/>
    <w:rsid w:val="00E77055"/>
    <w:rsid w:val="00E77460"/>
    <w:rsid w:val="00E774C8"/>
    <w:rsid w:val="00E77F5F"/>
    <w:rsid w:val="00E81326"/>
    <w:rsid w:val="00E81562"/>
    <w:rsid w:val="00E81EF6"/>
    <w:rsid w:val="00E8256A"/>
    <w:rsid w:val="00E835C2"/>
    <w:rsid w:val="00E839B1"/>
    <w:rsid w:val="00E83ABC"/>
    <w:rsid w:val="00E83E20"/>
    <w:rsid w:val="00E844F2"/>
    <w:rsid w:val="00E85355"/>
    <w:rsid w:val="00E85972"/>
    <w:rsid w:val="00E85A32"/>
    <w:rsid w:val="00E85CAD"/>
    <w:rsid w:val="00E861BE"/>
    <w:rsid w:val="00E8646F"/>
    <w:rsid w:val="00E86661"/>
    <w:rsid w:val="00E8783F"/>
    <w:rsid w:val="00E87A3C"/>
    <w:rsid w:val="00E90AD0"/>
    <w:rsid w:val="00E92617"/>
    <w:rsid w:val="00E92910"/>
    <w:rsid w:val="00E92F57"/>
    <w:rsid w:val="00E92FCB"/>
    <w:rsid w:val="00E942D8"/>
    <w:rsid w:val="00E9460B"/>
    <w:rsid w:val="00E951FF"/>
    <w:rsid w:val="00E9558E"/>
    <w:rsid w:val="00E955EA"/>
    <w:rsid w:val="00E956B7"/>
    <w:rsid w:val="00E95B3F"/>
    <w:rsid w:val="00E9683D"/>
    <w:rsid w:val="00E968AB"/>
    <w:rsid w:val="00E968B5"/>
    <w:rsid w:val="00E96F1E"/>
    <w:rsid w:val="00E96FA8"/>
    <w:rsid w:val="00E974AC"/>
    <w:rsid w:val="00E976BE"/>
    <w:rsid w:val="00E978A4"/>
    <w:rsid w:val="00E97988"/>
    <w:rsid w:val="00E97FA1"/>
    <w:rsid w:val="00EA08A3"/>
    <w:rsid w:val="00EA0962"/>
    <w:rsid w:val="00EA147F"/>
    <w:rsid w:val="00EA1677"/>
    <w:rsid w:val="00EA27E0"/>
    <w:rsid w:val="00EA3B24"/>
    <w:rsid w:val="00EA3F4A"/>
    <w:rsid w:val="00EA4A27"/>
    <w:rsid w:val="00EA4BDF"/>
    <w:rsid w:val="00EA4C01"/>
    <w:rsid w:val="00EA4FA6"/>
    <w:rsid w:val="00EA5169"/>
    <w:rsid w:val="00EA56D0"/>
    <w:rsid w:val="00EA6ADB"/>
    <w:rsid w:val="00EB0B26"/>
    <w:rsid w:val="00EB1A25"/>
    <w:rsid w:val="00EB2558"/>
    <w:rsid w:val="00EB2762"/>
    <w:rsid w:val="00EB42C3"/>
    <w:rsid w:val="00EB44FA"/>
    <w:rsid w:val="00EB4DC1"/>
    <w:rsid w:val="00EB53F1"/>
    <w:rsid w:val="00EB5837"/>
    <w:rsid w:val="00EB5C79"/>
    <w:rsid w:val="00EB5CCF"/>
    <w:rsid w:val="00EB6AA1"/>
    <w:rsid w:val="00EC1D2C"/>
    <w:rsid w:val="00EC2AF3"/>
    <w:rsid w:val="00EC2BD4"/>
    <w:rsid w:val="00EC3348"/>
    <w:rsid w:val="00EC386A"/>
    <w:rsid w:val="00EC3D87"/>
    <w:rsid w:val="00EC5574"/>
    <w:rsid w:val="00EC71D1"/>
    <w:rsid w:val="00EC72A0"/>
    <w:rsid w:val="00EC78C3"/>
    <w:rsid w:val="00ED03AB"/>
    <w:rsid w:val="00ED047B"/>
    <w:rsid w:val="00ED1CD4"/>
    <w:rsid w:val="00ED1D2B"/>
    <w:rsid w:val="00ED2C55"/>
    <w:rsid w:val="00ED57A6"/>
    <w:rsid w:val="00ED6009"/>
    <w:rsid w:val="00ED64B5"/>
    <w:rsid w:val="00ED6732"/>
    <w:rsid w:val="00ED7231"/>
    <w:rsid w:val="00ED7822"/>
    <w:rsid w:val="00ED791E"/>
    <w:rsid w:val="00ED7D53"/>
    <w:rsid w:val="00EE1121"/>
    <w:rsid w:val="00EE1582"/>
    <w:rsid w:val="00EE16C5"/>
    <w:rsid w:val="00EE16FD"/>
    <w:rsid w:val="00EE2576"/>
    <w:rsid w:val="00EE26CE"/>
    <w:rsid w:val="00EE283F"/>
    <w:rsid w:val="00EE2A9A"/>
    <w:rsid w:val="00EE31A1"/>
    <w:rsid w:val="00EE3F03"/>
    <w:rsid w:val="00EE3F86"/>
    <w:rsid w:val="00EE5C0B"/>
    <w:rsid w:val="00EE62BF"/>
    <w:rsid w:val="00EE6634"/>
    <w:rsid w:val="00EE7906"/>
    <w:rsid w:val="00EE7CCA"/>
    <w:rsid w:val="00EE7DEC"/>
    <w:rsid w:val="00EF009B"/>
    <w:rsid w:val="00EF0D10"/>
    <w:rsid w:val="00EF0E73"/>
    <w:rsid w:val="00EF1F2C"/>
    <w:rsid w:val="00EF29B2"/>
    <w:rsid w:val="00EF2A17"/>
    <w:rsid w:val="00EF30EC"/>
    <w:rsid w:val="00EF32F4"/>
    <w:rsid w:val="00EF4129"/>
    <w:rsid w:val="00EF4A05"/>
    <w:rsid w:val="00EF4A52"/>
    <w:rsid w:val="00EF52E3"/>
    <w:rsid w:val="00EF537A"/>
    <w:rsid w:val="00EF5470"/>
    <w:rsid w:val="00EF5C17"/>
    <w:rsid w:val="00EF5CBC"/>
    <w:rsid w:val="00EF6101"/>
    <w:rsid w:val="00EF6CC5"/>
    <w:rsid w:val="00EF7C2E"/>
    <w:rsid w:val="00F01D44"/>
    <w:rsid w:val="00F0334B"/>
    <w:rsid w:val="00F03BD3"/>
    <w:rsid w:val="00F048D9"/>
    <w:rsid w:val="00F051FC"/>
    <w:rsid w:val="00F058F3"/>
    <w:rsid w:val="00F05EB8"/>
    <w:rsid w:val="00F05F1E"/>
    <w:rsid w:val="00F0727E"/>
    <w:rsid w:val="00F1039F"/>
    <w:rsid w:val="00F106ED"/>
    <w:rsid w:val="00F11C0F"/>
    <w:rsid w:val="00F12653"/>
    <w:rsid w:val="00F1267E"/>
    <w:rsid w:val="00F12A8F"/>
    <w:rsid w:val="00F13081"/>
    <w:rsid w:val="00F1356E"/>
    <w:rsid w:val="00F143B7"/>
    <w:rsid w:val="00F1512C"/>
    <w:rsid w:val="00F15559"/>
    <w:rsid w:val="00F162DD"/>
    <w:rsid w:val="00F16785"/>
    <w:rsid w:val="00F16A14"/>
    <w:rsid w:val="00F16DCD"/>
    <w:rsid w:val="00F17301"/>
    <w:rsid w:val="00F206F4"/>
    <w:rsid w:val="00F20BBF"/>
    <w:rsid w:val="00F20CC6"/>
    <w:rsid w:val="00F21631"/>
    <w:rsid w:val="00F22864"/>
    <w:rsid w:val="00F22B37"/>
    <w:rsid w:val="00F2415F"/>
    <w:rsid w:val="00F24377"/>
    <w:rsid w:val="00F243F4"/>
    <w:rsid w:val="00F248CF"/>
    <w:rsid w:val="00F24B85"/>
    <w:rsid w:val="00F24D18"/>
    <w:rsid w:val="00F25442"/>
    <w:rsid w:val="00F258D4"/>
    <w:rsid w:val="00F25B19"/>
    <w:rsid w:val="00F25FA1"/>
    <w:rsid w:val="00F2656C"/>
    <w:rsid w:val="00F267F3"/>
    <w:rsid w:val="00F27046"/>
    <w:rsid w:val="00F27FC4"/>
    <w:rsid w:val="00F30DA9"/>
    <w:rsid w:val="00F31770"/>
    <w:rsid w:val="00F31E5D"/>
    <w:rsid w:val="00F34662"/>
    <w:rsid w:val="00F34C9E"/>
    <w:rsid w:val="00F34EF8"/>
    <w:rsid w:val="00F34FF6"/>
    <w:rsid w:val="00F362D7"/>
    <w:rsid w:val="00F364C5"/>
    <w:rsid w:val="00F36E50"/>
    <w:rsid w:val="00F3707F"/>
    <w:rsid w:val="00F3711C"/>
    <w:rsid w:val="00F37A59"/>
    <w:rsid w:val="00F37D7B"/>
    <w:rsid w:val="00F40910"/>
    <w:rsid w:val="00F40C4C"/>
    <w:rsid w:val="00F4105E"/>
    <w:rsid w:val="00F4256E"/>
    <w:rsid w:val="00F43323"/>
    <w:rsid w:val="00F433BB"/>
    <w:rsid w:val="00F43E7B"/>
    <w:rsid w:val="00F44A5E"/>
    <w:rsid w:val="00F44CE9"/>
    <w:rsid w:val="00F45F33"/>
    <w:rsid w:val="00F46318"/>
    <w:rsid w:val="00F46FF0"/>
    <w:rsid w:val="00F47430"/>
    <w:rsid w:val="00F47F0C"/>
    <w:rsid w:val="00F5031B"/>
    <w:rsid w:val="00F5043A"/>
    <w:rsid w:val="00F5255B"/>
    <w:rsid w:val="00F52853"/>
    <w:rsid w:val="00F52F61"/>
    <w:rsid w:val="00F5314C"/>
    <w:rsid w:val="00F53D52"/>
    <w:rsid w:val="00F540B8"/>
    <w:rsid w:val="00F55383"/>
    <w:rsid w:val="00F5577A"/>
    <w:rsid w:val="00F55938"/>
    <w:rsid w:val="00F55C5B"/>
    <w:rsid w:val="00F5688C"/>
    <w:rsid w:val="00F57999"/>
    <w:rsid w:val="00F61731"/>
    <w:rsid w:val="00F6231B"/>
    <w:rsid w:val="00F62468"/>
    <w:rsid w:val="00F62679"/>
    <w:rsid w:val="00F62C61"/>
    <w:rsid w:val="00F62F6C"/>
    <w:rsid w:val="00F63038"/>
    <w:rsid w:val="00F63157"/>
    <w:rsid w:val="00F633F7"/>
    <w:rsid w:val="00F63434"/>
    <w:rsid w:val="00F635DD"/>
    <w:rsid w:val="00F63B4B"/>
    <w:rsid w:val="00F63F57"/>
    <w:rsid w:val="00F64515"/>
    <w:rsid w:val="00F65F3F"/>
    <w:rsid w:val="00F660D0"/>
    <w:rsid w:val="00F6627B"/>
    <w:rsid w:val="00F668B0"/>
    <w:rsid w:val="00F71831"/>
    <w:rsid w:val="00F7336E"/>
    <w:rsid w:val="00F734F2"/>
    <w:rsid w:val="00F74B5C"/>
    <w:rsid w:val="00F75052"/>
    <w:rsid w:val="00F76426"/>
    <w:rsid w:val="00F76A9D"/>
    <w:rsid w:val="00F76E2F"/>
    <w:rsid w:val="00F777C5"/>
    <w:rsid w:val="00F77A78"/>
    <w:rsid w:val="00F804D3"/>
    <w:rsid w:val="00F804D5"/>
    <w:rsid w:val="00F81BF3"/>
    <w:rsid w:val="00F81CD2"/>
    <w:rsid w:val="00F81F28"/>
    <w:rsid w:val="00F822FB"/>
    <w:rsid w:val="00F82641"/>
    <w:rsid w:val="00F832EA"/>
    <w:rsid w:val="00F83F8C"/>
    <w:rsid w:val="00F83FC2"/>
    <w:rsid w:val="00F84BBF"/>
    <w:rsid w:val="00F855FD"/>
    <w:rsid w:val="00F860AD"/>
    <w:rsid w:val="00F87690"/>
    <w:rsid w:val="00F902A4"/>
    <w:rsid w:val="00F9083F"/>
    <w:rsid w:val="00F90F18"/>
    <w:rsid w:val="00F91650"/>
    <w:rsid w:val="00F937E4"/>
    <w:rsid w:val="00F93F28"/>
    <w:rsid w:val="00F95729"/>
    <w:rsid w:val="00F959C7"/>
    <w:rsid w:val="00F959DD"/>
    <w:rsid w:val="00F95D6C"/>
    <w:rsid w:val="00F95EE7"/>
    <w:rsid w:val="00F967E2"/>
    <w:rsid w:val="00FA08F7"/>
    <w:rsid w:val="00FA0B13"/>
    <w:rsid w:val="00FA2834"/>
    <w:rsid w:val="00FA2B23"/>
    <w:rsid w:val="00FA321F"/>
    <w:rsid w:val="00FA3730"/>
    <w:rsid w:val="00FA3954"/>
    <w:rsid w:val="00FA39E6"/>
    <w:rsid w:val="00FA3D59"/>
    <w:rsid w:val="00FA41DE"/>
    <w:rsid w:val="00FA53F9"/>
    <w:rsid w:val="00FA598A"/>
    <w:rsid w:val="00FA6039"/>
    <w:rsid w:val="00FA60BD"/>
    <w:rsid w:val="00FA69CE"/>
    <w:rsid w:val="00FA70D7"/>
    <w:rsid w:val="00FA7207"/>
    <w:rsid w:val="00FA7785"/>
    <w:rsid w:val="00FA7BC9"/>
    <w:rsid w:val="00FB0214"/>
    <w:rsid w:val="00FB03AF"/>
    <w:rsid w:val="00FB0BB9"/>
    <w:rsid w:val="00FB1053"/>
    <w:rsid w:val="00FB153E"/>
    <w:rsid w:val="00FB3732"/>
    <w:rsid w:val="00FB378E"/>
    <w:rsid w:val="00FB37F1"/>
    <w:rsid w:val="00FB47C0"/>
    <w:rsid w:val="00FB501B"/>
    <w:rsid w:val="00FB505B"/>
    <w:rsid w:val="00FB52BC"/>
    <w:rsid w:val="00FB52E4"/>
    <w:rsid w:val="00FB63E4"/>
    <w:rsid w:val="00FB6C77"/>
    <w:rsid w:val="00FB75B1"/>
    <w:rsid w:val="00FB75EA"/>
    <w:rsid w:val="00FB7639"/>
    <w:rsid w:val="00FB7770"/>
    <w:rsid w:val="00FB7B10"/>
    <w:rsid w:val="00FC0127"/>
    <w:rsid w:val="00FC0780"/>
    <w:rsid w:val="00FC1B3F"/>
    <w:rsid w:val="00FC2C52"/>
    <w:rsid w:val="00FC2CDA"/>
    <w:rsid w:val="00FC305A"/>
    <w:rsid w:val="00FC30E8"/>
    <w:rsid w:val="00FC3E60"/>
    <w:rsid w:val="00FC420D"/>
    <w:rsid w:val="00FC4467"/>
    <w:rsid w:val="00FC4AA5"/>
    <w:rsid w:val="00FC5653"/>
    <w:rsid w:val="00FC6C7E"/>
    <w:rsid w:val="00FC7668"/>
    <w:rsid w:val="00FC7D10"/>
    <w:rsid w:val="00FD03C3"/>
    <w:rsid w:val="00FD0FED"/>
    <w:rsid w:val="00FD1138"/>
    <w:rsid w:val="00FD12B2"/>
    <w:rsid w:val="00FD17A1"/>
    <w:rsid w:val="00FD1D51"/>
    <w:rsid w:val="00FD3731"/>
    <w:rsid w:val="00FD3B91"/>
    <w:rsid w:val="00FD494C"/>
    <w:rsid w:val="00FD4E3C"/>
    <w:rsid w:val="00FD4FEE"/>
    <w:rsid w:val="00FD576B"/>
    <w:rsid w:val="00FD579E"/>
    <w:rsid w:val="00FD5EE0"/>
    <w:rsid w:val="00FD5FEB"/>
    <w:rsid w:val="00FD5FFC"/>
    <w:rsid w:val="00FD6845"/>
    <w:rsid w:val="00FD6E48"/>
    <w:rsid w:val="00FD70E2"/>
    <w:rsid w:val="00FD7FF7"/>
    <w:rsid w:val="00FE0096"/>
    <w:rsid w:val="00FE08D8"/>
    <w:rsid w:val="00FE0A32"/>
    <w:rsid w:val="00FE0BFB"/>
    <w:rsid w:val="00FE1BEE"/>
    <w:rsid w:val="00FE200F"/>
    <w:rsid w:val="00FE2255"/>
    <w:rsid w:val="00FE2643"/>
    <w:rsid w:val="00FE3447"/>
    <w:rsid w:val="00FE37DC"/>
    <w:rsid w:val="00FE3F58"/>
    <w:rsid w:val="00FE4516"/>
    <w:rsid w:val="00FE492C"/>
    <w:rsid w:val="00FE629F"/>
    <w:rsid w:val="00FE64C8"/>
    <w:rsid w:val="00FE7418"/>
    <w:rsid w:val="00FE7828"/>
    <w:rsid w:val="00FF11EA"/>
    <w:rsid w:val="00FF1603"/>
    <w:rsid w:val="00FF202E"/>
    <w:rsid w:val="00FF2A11"/>
    <w:rsid w:val="00FF35B5"/>
    <w:rsid w:val="00FF3AF7"/>
    <w:rsid w:val="00FF3C40"/>
    <w:rsid w:val="00FF4310"/>
    <w:rsid w:val="00FF43E7"/>
    <w:rsid w:val="00FF5872"/>
    <w:rsid w:val="00FF5B8C"/>
    <w:rsid w:val="00FF5E5A"/>
    <w:rsid w:val="00FF60AF"/>
    <w:rsid w:val="00FF61C6"/>
    <w:rsid w:val="00FF624C"/>
    <w:rsid w:val="00FF7CC9"/>
    <w:rsid w:val="00FF7E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15:docId w15:val="{B64EF640-DE7B-467D-8078-A769A743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6"/>
      </w:numPr>
      <w:outlineLvl w:val="0"/>
    </w:pPr>
    <w:rPr>
      <w:rFonts w:hAnsi="Arial"/>
      <w:bCs/>
      <w:kern w:val="32"/>
      <w:szCs w:val="52"/>
    </w:rPr>
  </w:style>
  <w:style w:type="paragraph" w:styleId="2">
    <w:name w:val="heading 2"/>
    <w:basedOn w:val="a7"/>
    <w:qFormat/>
    <w:rsid w:val="004F5E57"/>
    <w:pPr>
      <w:numPr>
        <w:ilvl w:val="1"/>
        <w:numId w:val="6"/>
      </w:numPr>
      <w:outlineLvl w:val="1"/>
    </w:pPr>
    <w:rPr>
      <w:rFonts w:hAnsi="Arial"/>
      <w:bCs/>
      <w:kern w:val="32"/>
      <w:szCs w:val="48"/>
    </w:rPr>
  </w:style>
  <w:style w:type="paragraph" w:styleId="3">
    <w:name w:val="heading 3"/>
    <w:basedOn w:val="a7"/>
    <w:link w:val="30"/>
    <w:qFormat/>
    <w:rsid w:val="003663C6"/>
    <w:pPr>
      <w:numPr>
        <w:ilvl w:val="2"/>
        <w:numId w:val="6"/>
      </w:numPr>
      <w:outlineLvl w:val="2"/>
    </w:pPr>
    <w:rPr>
      <w:rFonts w:hAnsi="Arial"/>
      <w:bCs/>
      <w:kern w:val="32"/>
      <w:szCs w:val="36"/>
    </w:rPr>
  </w:style>
  <w:style w:type="paragraph" w:styleId="4">
    <w:name w:val="heading 4"/>
    <w:basedOn w:val="a7"/>
    <w:link w:val="40"/>
    <w:qFormat/>
    <w:rsid w:val="00DF2AE9"/>
    <w:pPr>
      <w:numPr>
        <w:ilvl w:val="3"/>
        <w:numId w:val="6"/>
      </w:numPr>
      <w:ind w:left="1503"/>
      <w:outlineLvl w:val="3"/>
    </w:pPr>
    <w:rPr>
      <w:rFonts w:hAnsi="Arial"/>
      <w:color w:val="000000" w:themeColor="text1"/>
      <w:kern w:val="32"/>
      <w:szCs w:val="36"/>
    </w:rPr>
  </w:style>
  <w:style w:type="paragraph" w:styleId="5">
    <w:name w:val="heading 5"/>
    <w:basedOn w:val="a7"/>
    <w:link w:val="50"/>
    <w:qFormat/>
    <w:rsid w:val="00441162"/>
    <w:pPr>
      <w:numPr>
        <w:ilvl w:val="4"/>
        <w:numId w:val="6"/>
      </w:numPr>
      <w:ind w:left="1843" w:hanging="851"/>
      <w:outlineLvl w:val="4"/>
    </w:pPr>
    <w:rPr>
      <w:rFonts w:hAnsi="Arial"/>
      <w:bCs/>
      <w:color w:val="000000" w:themeColor="text1"/>
      <w:kern w:val="32"/>
      <w:szCs w:val="36"/>
    </w:rPr>
  </w:style>
  <w:style w:type="paragraph" w:styleId="6">
    <w:name w:val="heading 6"/>
    <w:basedOn w:val="a7"/>
    <w:qFormat/>
    <w:rsid w:val="001B14B1"/>
    <w:pPr>
      <w:numPr>
        <w:numId w:val="10"/>
      </w:numPr>
      <w:ind w:left="2268" w:hanging="567"/>
      <w:outlineLvl w:val="5"/>
    </w:pPr>
    <w:rPr>
      <w:rFonts w:hAnsi="Arial"/>
      <w:color w:val="000000" w:themeColor="text1"/>
      <w:kern w:val="32"/>
      <w:szCs w:val="36"/>
      <w14:scene3d>
        <w14:camera w14:prst="orthographicFront"/>
        <w14:lightRig w14:rig="threePt" w14:dir="t">
          <w14:rot w14:lat="0" w14:lon="0" w14:rev="0"/>
        </w14:lightRig>
      </w14:scene3d>
    </w:rPr>
  </w:style>
  <w:style w:type="paragraph" w:styleId="7">
    <w:name w:val="heading 7"/>
    <w:basedOn w:val="a7"/>
    <w:qFormat/>
    <w:rsid w:val="004F5E57"/>
    <w:pPr>
      <w:numPr>
        <w:ilvl w:val="6"/>
        <w:numId w:val="6"/>
      </w:numPr>
      <w:outlineLvl w:val="6"/>
    </w:pPr>
    <w:rPr>
      <w:rFonts w:hAnsi="Arial"/>
      <w:bCs/>
      <w:kern w:val="32"/>
      <w:szCs w:val="36"/>
    </w:rPr>
  </w:style>
  <w:style w:type="paragraph" w:styleId="8">
    <w:name w:val="heading 8"/>
    <w:basedOn w:val="a7"/>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167216"/>
    <w:pPr>
      <w:tabs>
        <w:tab w:val="right" w:leader="hyphen" w:pos="8789"/>
      </w:tabs>
      <w:kinsoku w:val="0"/>
      <w:ind w:left="1361" w:rightChars="-25" w:right="-85" w:hangingChars="400" w:hanging="1361"/>
      <w:jc w:val="left"/>
    </w:pPr>
    <w:rPr>
      <w:noProof/>
      <w:szCs w:val="32"/>
    </w:rPr>
  </w:style>
  <w:style w:type="paragraph" w:styleId="21">
    <w:name w:val="toc 2"/>
    <w:basedOn w:val="a7"/>
    <w:next w:val="a7"/>
    <w:autoRedefine/>
    <w:uiPriority w:val="39"/>
    <w:rsid w:val="00EE31A1"/>
    <w:pPr>
      <w:tabs>
        <w:tab w:val="right" w:leader="hyphen" w:pos="8834"/>
      </w:tabs>
      <w:kinsoku w:val="0"/>
      <w:ind w:leftChars="100" w:left="1020" w:rightChars="182" w:right="619" w:hangingChars="200" w:hanging="680"/>
    </w:pPr>
    <w:rPr>
      <w:noProof/>
      <w:color w:val="000000" w:themeColor="text1"/>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480"/>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link w:val="af9"/>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Default">
    <w:name w:val="Default"/>
    <w:rsid w:val="00A52E1C"/>
    <w:pPr>
      <w:widowControl w:val="0"/>
      <w:autoSpaceDE w:val="0"/>
      <w:autoSpaceDN w:val="0"/>
      <w:adjustRightInd w:val="0"/>
    </w:pPr>
    <w:rPr>
      <w:rFonts w:ascii="標楷體" w:eastAsiaTheme="minorEastAsia" w:hAnsi="標楷體" w:cs="標楷體"/>
      <w:color w:val="000000"/>
      <w:sz w:val="24"/>
      <w:szCs w:val="24"/>
    </w:rPr>
  </w:style>
  <w:style w:type="paragraph" w:styleId="a">
    <w:name w:val="List Bullet"/>
    <w:basedOn w:val="a7"/>
    <w:uiPriority w:val="99"/>
    <w:unhideWhenUsed/>
    <w:rsid w:val="00885366"/>
    <w:pPr>
      <w:numPr>
        <w:numId w:val="9"/>
      </w:numPr>
      <w:contextualSpacing/>
    </w:pPr>
  </w:style>
  <w:style w:type="paragraph" w:styleId="afc">
    <w:name w:val="No Spacing"/>
    <w:uiPriority w:val="1"/>
    <w:qFormat/>
    <w:rsid w:val="004F6C09"/>
    <w:pPr>
      <w:widowControl w:val="0"/>
    </w:pPr>
    <w:rPr>
      <w:rFonts w:asciiTheme="minorHAnsi" w:eastAsiaTheme="minorEastAsia" w:hAnsiTheme="minorHAnsi" w:cstheme="minorBidi"/>
      <w:kern w:val="2"/>
      <w:sz w:val="24"/>
      <w:szCs w:val="22"/>
    </w:rPr>
  </w:style>
  <w:style w:type="paragraph" w:customStyle="1" w:styleId="TableParagraph">
    <w:name w:val="Table Paragraph"/>
    <w:basedOn w:val="a7"/>
    <w:uiPriority w:val="1"/>
    <w:qFormat/>
    <w:rsid w:val="008926C5"/>
    <w:pPr>
      <w:overflowPunct/>
      <w:autoSpaceDE/>
      <w:autoSpaceDN/>
      <w:jc w:val="left"/>
    </w:pPr>
    <w:rPr>
      <w:rFonts w:asciiTheme="minorHAnsi" w:eastAsiaTheme="minorEastAsia" w:hAnsiTheme="minorHAnsi" w:cstheme="minorBidi"/>
      <w:kern w:val="0"/>
      <w:sz w:val="22"/>
      <w:szCs w:val="22"/>
      <w:lang w:eastAsia="en-US"/>
    </w:rPr>
  </w:style>
  <w:style w:type="table" w:customStyle="1" w:styleId="13">
    <w:name w:val="表格格線1"/>
    <w:basedOn w:val="a9"/>
    <w:next w:val="af7"/>
    <w:uiPriority w:val="59"/>
    <w:rsid w:val="00B05C4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unhideWhenUsed/>
    <w:rsid w:val="00C02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C02262"/>
    <w:rPr>
      <w:rFonts w:ascii="細明體" w:eastAsia="細明體" w:hAnsi="細明體" w:cs="細明體"/>
      <w:sz w:val="22"/>
      <w:szCs w:val="22"/>
    </w:rPr>
  </w:style>
  <w:style w:type="paragraph" w:styleId="afd">
    <w:name w:val="TOC Heading"/>
    <w:basedOn w:val="1"/>
    <w:next w:val="a7"/>
    <w:uiPriority w:val="39"/>
    <w:semiHidden/>
    <w:unhideWhenUsed/>
    <w:qFormat/>
    <w:rsid w:val="00513AA0"/>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e">
    <w:name w:val="表樣式"/>
    <w:basedOn w:val="a7"/>
    <w:next w:val="a7"/>
    <w:rsid w:val="005C2E41"/>
    <w:pPr>
      <w:tabs>
        <w:tab w:val="num" w:pos="1440"/>
      </w:tabs>
      <w:overflowPunct/>
      <w:autoSpaceDE/>
      <w:autoSpaceDN/>
      <w:ind w:left="695" w:hanging="695"/>
    </w:pPr>
    <w:rPr>
      <w:kern w:val="0"/>
    </w:rPr>
  </w:style>
  <w:style w:type="character" w:styleId="aff">
    <w:name w:val="annotation reference"/>
    <w:basedOn w:val="a8"/>
    <w:uiPriority w:val="99"/>
    <w:semiHidden/>
    <w:unhideWhenUsed/>
    <w:rsid w:val="005C2E41"/>
    <w:rPr>
      <w:sz w:val="18"/>
      <w:szCs w:val="18"/>
    </w:rPr>
  </w:style>
  <w:style w:type="paragraph" w:styleId="aff0">
    <w:name w:val="footnote text"/>
    <w:basedOn w:val="a7"/>
    <w:link w:val="aff1"/>
    <w:uiPriority w:val="99"/>
    <w:semiHidden/>
    <w:unhideWhenUsed/>
    <w:rsid w:val="00A16EEA"/>
    <w:pPr>
      <w:snapToGrid w:val="0"/>
      <w:jc w:val="left"/>
    </w:pPr>
    <w:rPr>
      <w:sz w:val="20"/>
    </w:rPr>
  </w:style>
  <w:style w:type="character" w:customStyle="1" w:styleId="aff1">
    <w:name w:val="註腳文字 字元"/>
    <w:basedOn w:val="a8"/>
    <w:link w:val="aff0"/>
    <w:uiPriority w:val="99"/>
    <w:semiHidden/>
    <w:rsid w:val="00A16EEA"/>
    <w:rPr>
      <w:rFonts w:ascii="標楷體" w:eastAsia="標楷體"/>
      <w:kern w:val="2"/>
    </w:rPr>
  </w:style>
  <w:style w:type="character" w:styleId="aff2">
    <w:name w:val="footnote reference"/>
    <w:basedOn w:val="a8"/>
    <w:uiPriority w:val="99"/>
    <w:semiHidden/>
    <w:unhideWhenUsed/>
    <w:rsid w:val="00A16EEA"/>
    <w:rPr>
      <w:vertAlign w:val="superscript"/>
    </w:rPr>
  </w:style>
  <w:style w:type="paragraph" w:styleId="aff3">
    <w:name w:val="annotation text"/>
    <w:basedOn w:val="a7"/>
    <w:link w:val="aff4"/>
    <w:uiPriority w:val="99"/>
    <w:semiHidden/>
    <w:unhideWhenUsed/>
    <w:rsid w:val="00EE16FD"/>
    <w:pPr>
      <w:jc w:val="left"/>
    </w:pPr>
  </w:style>
  <w:style w:type="character" w:customStyle="1" w:styleId="aff4">
    <w:name w:val="註解文字 字元"/>
    <w:basedOn w:val="a8"/>
    <w:link w:val="aff3"/>
    <w:uiPriority w:val="99"/>
    <w:semiHidden/>
    <w:rsid w:val="00EE16FD"/>
    <w:rPr>
      <w:rFonts w:ascii="標楷體" w:eastAsia="標楷體"/>
      <w:kern w:val="2"/>
      <w:sz w:val="32"/>
    </w:rPr>
  </w:style>
  <w:style w:type="paragraph" w:styleId="aff5">
    <w:name w:val="annotation subject"/>
    <w:basedOn w:val="aff3"/>
    <w:next w:val="aff3"/>
    <w:link w:val="aff6"/>
    <w:uiPriority w:val="99"/>
    <w:semiHidden/>
    <w:unhideWhenUsed/>
    <w:rsid w:val="00EE16FD"/>
    <w:rPr>
      <w:b/>
      <w:bCs/>
    </w:rPr>
  </w:style>
  <w:style w:type="character" w:customStyle="1" w:styleId="aff6">
    <w:name w:val="註解主旨 字元"/>
    <w:basedOn w:val="aff4"/>
    <w:link w:val="aff5"/>
    <w:uiPriority w:val="99"/>
    <w:semiHidden/>
    <w:rsid w:val="00EE16FD"/>
    <w:rPr>
      <w:rFonts w:ascii="標楷體" w:eastAsia="標楷體"/>
      <w:b/>
      <w:bCs/>
      <w:kern w:val="2"/>
      <w:sz w:val="32"/>
    </w:rPr>
  </w:style>
  <w:style w:type="paragraph" w:customStyle="1" w:styleId="aff7">
    <w:name w:val="表頭"/>
    <w:basedOn w:val="a7"/>
    <w:rsid w:val="00F57999"/>
    <w:pPr>
      <w:overflowPunct/>
      <w:autoSpaceDE/>
      <w:autoSpaceDN/>
      <w:jc w:val="center"/>
    </w:pPr>
    <w:rPr>
      <w:rFonts w:ascii="Times New Roman"/>
      <w:b/>
      <w:bCs/>
      <w:sz w:val="28"/>
    </w:rPr>
  </w:style>
  <w:style w:type="paragraph" w:styleId="Web">
    <w:name w:val="Normal (Web)"/>
    <w:basedOn w:val="a7"/>
    <w:uiPriority w:val="99"/>
    <w:semiHidden/>
    <w:unhideWhenUsed/>
    <w:rsid w:val="003259F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9">
    <w:name w:val="清單段落 字元"/>
    <w:link w:val="af8"/>
    <w:uiPriority w:val="34"/>
    <w:locked/>
    <w:rsid w:val="00A218B1"/>
    <w:rPr>
      <w:rFonts w:ascii="標楷體" w:eastAsia="標楷體"/>
      <w:kern w:val="2"/>
      <w:sz w:val="32"/>
    </w:rPr>
  </w:style>
  <w:style w:type="character" w:customStyle="1" w:styleId="tx1">
    <w:name w:val="tx1"/>
    <w:basedOn w:val="a8"/>
    <w:rsid w:val="00254488"/>
    <w:rPr>
      <w:b/>
      <w:bCs/>
    </w:rPr>
  </w:style>
  <w:style w:type="character" w:styleId="aff8">
    <w:name w:val="Placeholder Text"/>
    <w:basedOn w:val="a8"/>
    <w:uiPriority w:val="99"/>
    <w:semiHidden/>
    <w:rsid w:val="00C47EFB"/>
    <w:rPr>
      <w:color w:val="808080"/>
    </w:rPr>
  </w:style>
  <w:style w:type="character" w:customStyle="1" w:styleId="40">
    <w:name w:val="標題 4 字元"/>
    <w:basedOn w:val="a8"/>
    <w:link w:val="4"/>
    <w:rsid w:val="00DF2AE9"/>
    <w:rPr>
      <w:rFonts w:ascii="標楷體" w:eastAsia="標楷體" w:hAnsi="Arial"/>
      <w:color w:val="000000" w:themeColor="text1"/>
      <w:kern w:val="32"/>
      <w:sz w:val="32"/>
      <w:szCs w:val="36"/>
    </w:rPr>
  </w:style>
  <w:style w:type="character" w:styleId="aff9">
    <w:name w:val="FollowedHyperlink"/>
    <w:basedOn w:val="a8"/>
    <w:uiPriority w:val="99"/>
    <w:semiHidden/>
    <w:unhideWhenUsed/>
    <w:rsid w:val="00850BD9"/>
    <w:rPr>
      <w:color w:val="800080"/>
      <w:u w:val="single"/>
    </w:rPr>
  </w:style>
  <w:style w:type="paragraph" w:customStyle="1" w:styleId="font5">
    <w:name w:val="font5"/>
    <w:basedOn w:val="a7"/>
    <w:rsid w:val="00850BD9"/>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7"/>
    <w:rsid w:val="00850BD9"/>
    <w:pPr>
      <w:widowControl/>
      <w:overflowPunct/>
      <w:autoSpaceDE/>
      <w:autoSpaceDN/>
      <w:spacing w:before="100" w:beforeAutospacing="1" w:after="100" w:afterAutospacing="1"/>
      <w:jc w:val="left"/>
    </w:pPr>
    <w:rPr>
      <w:rFonts w:ascii="細明體" w:eastAsia="細明體" w:hAnsi="細明體" w:cs="新細明體"/>
      <w:kern w:val="0"/>
      <w:sz w:val="18"/>
      <w:szCs w:val="18"/>
    </w:rPr>
  </w:style>
  <w:style w:type="paragraph" w:customStyle="1" w:styleId="font7">
    <w:name w:val="font7"/>
    <w:basedOn w:val="a7"/>
    <w:rsid w:val="00850BD9"/>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5">
    <w:name w:val="xl65"/>
    <w:basedOn w:val="a7"/>
    <w:rsid w:val="00850BD9"/>
    <w:pPr>
      <w:widowControl/>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66">
    <w:name w:val="xl66"/>
    <w:basedOn w:val="a7"/>
    <w:rsid w:val="00850BD9"/>
    <w:pPr>
      <w:widowControl/>
      <w:overflowPunct/>
      <w:autoSpaceDE/>
      <w:autoSpaceDN/>
      <w:spacing w:before="100" w:beforeAutospacing="1" w:after="100" w:afterAutospacing="1"/>
      <w:jc w:val="center"/>
    </w:pPr>
    <w:rPr>
      <w:rFonts w:hAnsi="標楷體" w:cs="新細明體"/>
      <w:b/>
      <w:bCs/>
      <w:kern w:val="0"/>
      <w:sz w:val="24"/>
      <w:szCs w:val="24"/>
    </w:rPr>
  </w:style>
  <w:style w:type="paragraph" w:customStyle="1" w:styleId="xl67">
    <w:name w:val="xl67"/>
    <w:basedOn w:val="a7"/>
    <w:rsid w:val="00850BD9"/>
    <w:pPr>
      <w:widowControl/>
      <w:pBdr>
        <w:top w:val="single" w:sz="8" w:space="0" w:color="auto"/>
        <w:left w:val="single" w:sz="8"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color w:val="000000"/>
      <w:kern w:val="0"/>
      <w:sz w:val="24"/>
      <w:szCs w:val="24"/>
    </w:rPr>
  </w:style>
  <w:style w:type="paragraph" w:customStyle="1" w:styleId="xl68">
    <w:name w:val="xl68"/>
    <w:basedOn w:val="a7"/>
    <w:rsid w:val="00850BD9"/>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color w:val="000000"/>
      <w:kern w:val="0"/>
      <w:sz w:val="24"/>
      <w:szCs w:val="24"/>
    </w:rPr>
  </w:style>
  <w:style w:type="paragraph" w:customStyle="1" w:styleId="xl69">
    <w:name w:val="xl69"/>
    <w:basedOn w:val="a7"/>
    <w:rsid w:val="00850BD9"/>
    <w:pPr>
      <w:widowControl/>
      <w:pBdr>
        <w:top w:val="single" w:sz="8" w:space="0" w:color="auto"/>
        <w:left w:val="single" w:sz="4" w:space="0" w:color="auto"/>
        <w:bottom w:val="single" w:sz="4" w:space="0" w:color="auto"/>
      </w:pBdr>
      <w:overflowPunct/>
      <w:autoSpaceDE/>
      <w:autoSpaceDN/>
      <w:spacing w:before="100" w:beforeAutospacing="1" w:after="100" w:afterAutospacing="1"/>
      <w:jc w:val="center"/>
    </w:pPr>
    <w:rPr>
      <w:rFonts w:hAnsi="標楷體" w:cs="新細明體"/>
      <w:b/>
      <w:bCs/>
      <w:color w:val="000000"/>
      <w:kern w:val="0"/>
      <w:sz w:val="24"/>
      <w:szCs w:val="24"/>
    </w:rPr>
  </w:style>
  <w:style w:type="paragraph" w:customStyle="1" w:styleId="xl70">
    <w:name w:val="xl70"/>
    <w:basedOn w:val="a7"/>
    <w:rsid w:val="00850BD9"/>
    <w:pPr>
      <w:widowControl/>
      <w:pBdr>
        <w:top w:val="single" w:sz="4" w:space="0" w:color="auto"/>
        <w:left w:val="single" w:sz="8"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4"/>
      <w:szCs w:val="24"/>
    </w:rPr>
  </w:style>
  <w:style w:type="paragraph" w:customStyle="1" w:styleId="xl71">
    <w:name w:val="xl71"/>
    <w:basedOn w:val="a7"/>
    <w:rsid w:val="00850BD9"/>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xl72">
    <w:name w:val="xl72"/>
    <w:basedOn w:val="a7"/>
    <w:rsid w:val="00850BD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color w:val="000000"/>
      <w:kern w:val="0"/>
      <w:sz w:val="24"/>
      <w:szCs w:val="24"/>
    </w:rPr>
  </w:style>
  <w:style w:type="paragraph" w:customStyle="1" w:styleId="xl73">
    <w:name w:val="xl73"/>
    <w:basedOn w:val="a7"/>
    <w:rsid w:val="00850BD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4">
    <w:name w:val="xl74"/>
    <w:basedOn w:val="a7"/>
    <w:rsid w:val="00850BD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5">
    <w:name w:val="xl75"/>
    <w:basedOn w:val="a7"/>
    <w:rsid w:val="00850BD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xl76">
    <w:name w:val="xl76"/>
    <w:basedOn w:val="a7"/>
    <w:rsid w:val="00850BD9"/>
    <w:pPr>
      <w:widowControl/>
      <w:pBdr>
        <w:top w:val="single" w:sz="4" w:space="0" w:color="auto"/>
        <w:left w:val="single" w:sz="4" w:space="0" w:color="auto"/>
        <w:bottom w:val="single" w:sz="4" w:space="0" w:color="auto"/>
        <w:right w:val="single" w:sz="4" w:space="0" w:color="auto"/>
      </w:pBdr>
      <w:shd w:val="clear" w:color="000000" w:fill="D2FFDF"/>
      <w:overflowPunct/>
      <w:autoSpaceDE/>
      <w:autoSpaceDN/>
      <w:spacing w:before="100" w:beforeAutospacing="1" w:after="100" w:afterAutospacing="1"/>
      <w:jc w:val="center"/>
    </w:pPr>
    <w:rPr>
      <w:rFonts w:hAnsi="標楷體" w:cs="新細明體"/>
      <w:color w:val="000000"/>
      <w:kern w:val="0"/>
      <w:sz w:val="24"/>
      <w:szCs w:val="24"/>
    </w:rPr>
  </w:style>
  <w:style w:type="paragraph" w:customStyle="1" w:styleId="xl77">
    <w:name w:val="xl77"/>
    <w:basedOn w:val="a7"/>
    <w:rsid w:val="00850BD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color w:val="0066CC"/>
      <w:kern w:val="0"/>
      <w:sz w:val="24"/>
      <w:szCs w:val="24"/>
    </w:rPr>
  </w:style>
  <w:style w:type="paragraph" w:customStyle="1" w:styleId="xl78">
    <w:name w:val="xl78"/>
    <w:basedOn w:val="a7"/>
    <w:rsid w:val="00850BD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79">
    <w:name w:val="xl79"/>
    <w:basedOn w:val="a7"/>
    <w:rsid w:val="00850BD9"/>
    <w:pPr>
      <w:widowControl/>
      <w:pBdr>
        <w:top w:val="single" w:sz="4" w:space="0" w:color="auto"/>
        <w:left w:val="single" w:sz="4" w:space="0" w:color="auto"/>
        <w:bottom w:val="single" w:sz="4" w:space="0" w:color="auto"/>
        <w:right w:val="single" w:sz="4" w:space="0" w:color="auto"/>
      </w:pBdr>
      <w:shd w:val="clear" w:color="000000" w:fill="D2FFDF"/>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xl80">
    <w:name w:val="xl80"/>
    <w:basedOn w:val="a7"/>
    <w:rsid w:val="00850BD9"/>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hAnsi="標楷體" w:cs="新細明體"/>
      <w:kern w:val="0"/>
      <w:sz w:val="24"/>
      <w:szCs w:val="24"/>
    </w:rPr>
  </w:style>
  <w:style w:type="paragraph" w:customStyle="1" w:styleId="xl81">
    <w:name w:val="xl81"/>
    <w:basedOn w:val="a7"/>
    <w:rsid w:val="00850BD9"/>
    <w:pPr>
      <w:widowControl/>
      <w:pBdr>
        <w:top w:val="single" w:sz="4" w:space="0" w:color="auto"/>
        <w:left w:val="single" w:sz="4" w:space="0" w:color="auto"/>
        <w:bottom w:val="single" w:sz="4" w:space="0" w:color="auto"/>
        <w:right w:val="single" w:sz="4" w:space="0" w:color="auto"/>
      </w:pBdr>
      <w:shd w:val="clear" w:color="000000" w:fill="D2FFDF"/>
      <w:overflowPunct/>
      <w:autoSpaceDE/>
      <w:autoSpaceDN/>
      <w:spacing w:before="100" w:beforeAutospacing="1" w:after="100" w:afterAutospacing="1"/>
      <w:jc w:val="left"/>
    </w:pPr>
    <w:rPr>
      <w:rFonts w:hAnsi="標楷體" w:cs="新細明體"/>
      <w:kern w:val="0"/>
      <w:sz w:val="24"/>
      <w:szCs w:val="24"/>
    </w:rPr>
  </w:style>
  <w:style w:type="paragraph" w:customStyle="1" w:styleId="xl82">
    <w:name w:val="xl82"/>
    <w:basedOn w:val="a7"/>
    <w:rsid w:val="00850BD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83">
    <w:name w:val="xl83"/>
    <w:basedOn w:val="a7"/>
    <w:rsid w:val="00850BD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4">
    <w:name w:val="xl84"/>
    <w:basedOn w:val="a7"/>
    <w:rsid w:val="00850BD9"/>
    <w:pPr>
      <w:widowControl/>
      <w:pBdr>
        <w:top w:val="single" w:sz="4" w:space="0" w:color="auto"/>
        <w:left w:val="single" w:sz="4" w:space="0" w:color="auto"/>
        <w:bottom w:val="single" w:sz="4" w:space="0" w:color="auto"/>
        <w:right w:val="single" w:sz="4" w:space="0" w:color="auto"/>
      </w:pBdr>
      <w:shd w:val="clear" w:color="000000" w:fill="D2FFDF"/>
      <w:overflowPunct/>
      <w:autoSpaceDE/>
      <w:autoSpaceDN/>
      <w:spacing w:before="100" w:beforeAutospacing="1" w:after="100" w:afterAutospacing="1"/>
      <w:jc w:val="left"/>
    </w:pPr>
    <w:rPr>
      <w:rFonts w:hAnsi="標楷體" w:cs="新細明體"/>
      <w:kern w:val="0"/>
      <w:sz w:val="24"/>
      <w:szCs w:val="24"/>
    </w:rPr>
  </w:style>
  <w:style w:type="paragraph" w:customStyle="1" w:styleId="xl85">
    <w:name w:val="xl85"/>
    <w:basedOn w:val="a7"/>
    <w:rsid w:val="00850BD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86">
    <w:name w:val="xl86"/>
    <w:basedOn w:val="a7"/>
    <w:rsid w:val="00850BD9"/>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微軟正黑體" w:eastAsia="微軟正黑體" w:hAnsi="微軟正黑體" w:cs="新細明體"/>
      <w:b/>
      <w:bCs/>
      <w:kern w:val="0"/>
      <w:sz w:val="24"/>
      <w:szCs w:val="24"/>
    </w:rPr>
  </w:style>
  <w:style w:type="character" w:customStyle="1" w:styleId="30">
    <w:name w:val="標題 3 字元"/>
    <w:basedOn w:val="a8"/>
    <w:link w:val="3"/>
    <w:rsid w:val="003663C6"/>
    <w:rPr>
      <w:rFonts w:ascii="標楷體" w:eastAsia="標楷體" w:hAnsi="Arial"/>
      <w:bCs/>
      <w:kern w:val="32"/>
      <w:sz w:val="32"/>
      <w:szCs w:val="36"/>
    </w:rPr>
  </w:style>
  <w:style w:type="character" w:customStyle="1" w:styleId="50">
    <w:name w:val="標題 5 字元"/>
    <w:basedOn w:val="a8"/>
    <w:link w:val="5"/>
    <w:rsid w:val="00441162"/>
    <w:rPr>
      <w:rFonts w:ascii="標楷體" w:eastAsia="標楷體" w:hAnsi="Arial"/>
      <w:bCs/>
      <w:color w:val="000000" w:themeColor="text1"/>
      <w:kern w:val="32"/>
      <w:sz w:val="32"/>
      <w:szCs w:val="36"/>
    </w:rPr>
  </w:style>
  <w:style w:type="character" w:styleId="affa">
    <w:name w:val="Strong"/>
    <w:basedOn w:val="a8"/>
    <w:uiPriority w:val="22"/>
    <w:qFormat/>
    <w:rsid w:val="00CC05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05741">
      <w:bodyDiv w:val="1"/>
      <w:marLeft w:val="0"/>
      <w:marRight w:val="0"/>
      <w:marTop w:val="0"/>
      <w:marBottom w:val="0"/>
      <w:divBdr>
        <w:top w:val="none" w:sz="0" w:space="0" w:color="auto"/>
        <w:left w:val="none" w:sz="0" w:space="0" w:color="auto"/>
        <w:bottom w:val="none" w:sz="0" w:space="0" w:color="auto"/>
        <w:right w:val="none" w:sz="0" w:space="0" w:color="auto"/>
      </w:divBdr>
    </w:div>
    <w:div w:id="118032786">
      <w:bodyDiv w:val="1"/>
      <w:marLeft w:val="0"/>
      <w:marRight w:val="0"/>
      <w:marTop w:val="0"/>
      <w:marBottom w:val="0"/>
      <w:divBdr>
        <w:top w:val="none" w:sz="0" w:space="0" w:color="auto"/>
        <w:left w:val="none" w:sz="0" w:space="0" w:color="auto"/>
        <w:bottom w:val="none" w:sz="0" w:space="0" w:color="auto"/>
        <w:right w:val="none" w:sz="0" w:space="0" w:color="auto"/>
      </w:divBdr>
    </w:div>
    <w:div w:id="120805448">
      <w:bodyDiv w:val="1"/>
      <w:marLeft w:val="0"/>
      <w:marRight w:val="0"/>
      <w:marTop w:val="0"/>
      <w:marBottom w:val="0"/>
      <w:divBdr>
        <w:top w:val="none" w:sz="0" w:space="0" w:color="auto"/>
        <w:left w:val="none" w:sz="0" w:space="0" w:color="auto"/>
        <w:bottom w:val="none" w:sz="0" w:space="0" w:color="auto"/>
        <w:right w:val="none" w:sz="0" w:space="0" w:color="auto"/>
      </w:divBdr>
    </w:div>
    <w:div w:id="340157465">
      <w:bodyDiv w:val="1"/>
      <w:marLeft w:val="0"/>
      <w:marRight w:val="0"/>
      <w:marTop w:val="0"/>
      <w:marBottom w:val="0"/>
      <w:divBdr>
        <w:top w:val="none" w:sz="0" w:space="0" w:color="auto"/>
        <w:left w:val="none" w:sz="0" w:space="0" w:color="auto"/>
        <w:bottom w:val="none" w:sz="0" w:space="0" w:color="auto"/>
        <w:right w:val="none" w:sz="0" w:space="0" w:color="auto"/>
      </w:divBdr>
    </w:div>
    <w:div w:id="357856375">
      <w:bodyDiv w:val="1"/>
      <w:marLeft w:val="0"/>
      <w:marRight w:val="0"/>
      <w:marTop w:val="0"/>
      <w:marBottom w:val="0"/>
      <w:divBdr>
        <w:top w:val="none" w:sz="0" w:space="0" w:color="auto"/>
        <w:left w:val="none" w:sz="0" w:space="0" w:color="auto"/>
        <w:bottom w:val="none" w:sz="0" w:space="0" w:color="auto"/>
        <w:right w:val="none" w:sz="0" w:space="0" w:color="auto"/>
      </w:divBdr>
    </w:div>
    <w:div w:id="386222219">
      <w:bodyDiv w:val="1"/>
      <w:marLeft w:val="0"/>
      <w:marRight w:val="0"/>
      <w:marTop w:val="0"/>
      <w:marBottom w:val="0"/>
      <w:divBdr>
        <w:top w:val="none" w:sz="0" w:space="0" w:color="auto"/>
        <w:left w:val="none" w:sz="0" w:space="0" w:color="auto"/>
        <w:bottom w:val="none" w:sz="0" w:space="0" w:color="auto"/>
        <w:right w:val="none" w:sz="0" w:space="0" w:color="auto"/>
      </w:divBdr>
    </w:div>
    <w:div w:id="498664942">
      <w:bodyDiv w:val="1"/>
      <w:marLeft w:val="0"/>
      <w:marRight w:val="0"/>
      <w:marTop w:val="0"/>
      <w:marBottom w:val="0"/>
      <w:divBdr>
        <w:top w:val="none" w:sz="0" w:space="0" w:color="auto"/>
        <w:left w:val="none" w:sz="0" w:space="0" w:color="auto"/>
        <w:bottom w:val="none" w:sz="0" w:space="0" w:color="auto"/>
        <w:right w:val="none" w:sz="0" w:space="0" w:color="auto"/>
      </w:divBdr>
    </w:div>
    <w:div w:id="505362591">
      <w:bodyDiv w:val="1"/>
      <w:marLeft w:val="0"/>
      <w:marRight w:val="0"/>
      <w:marTop w:val="0"/>
      <w:marBottom w:val="0"/>
      <w:divBdr>
        <w:top w:val="none" w:sz="0" w:space="0" w:color="auto"/>
        <w:left w:val="none" w:sz="0" w:space="0" w:color="auto"/>
        <w:bottom w:val="none" w:sz="0" w:space="0" w:color="auto"/>
        <w:right w:val="none" w:sz="0" w:space="0" w:color="auto"/>
      </w:divBdr>
    </w:div>
    <w:div w:id="512375318">
      <w:bodyDiv w:val="1"/>
      <w:marLeft w:val="0"/>
      <w:marRight w:val="0"/>
      <w:marTop w:val="0"/>
      <w:marBottom w:val="0"/>
      <w:divBdr>
        <w:top w:val="none" w:sz="0" w:space="0" w:color="auto"/>
        <w:left w:val="none" w:sz="0" w:space="0" w:color="auto"/>
        <w:bottom w:val="none" w:sz="0" w:space="0" w:color="auto"/>
        <w:right w:val="none" w:sz="0" w:space="0" w:color="auto"/>
      </w:divBdr>
    </w:div>
    <w:div w:id="526522499">
      <w:bodyDiv w:val="1"/>
      <w:marLeft w:val="0"/>
      <w:marRight w:val="0"/>
      <w:marTop w:val="0"/>
      <w:marBottom w:val="0"/>
      <w:divBdr>
        <w:top w:val="none" w:sz="0" w:space="0" w:color="auto"/>
        <w:left w:val="none" w:sz="0" w:space="0" w:color="auto"/>
        <w:bottom w:val="none" w:sz="0" w:space="0" w:color="auto"/>
        <w:right w:val="none" w:sz="0" w:space="0" w:color="auto"/>
      </w:divBdr>
    </w:div>
    <w:div w:id="538200675">
      <w:bodyDiv w:val="1"/>
      <w:marLeft w:val="0"/>
      <w:marRight w:val="0"/>
      <w:marTop w:val="0"/>
      <w:marBottom w:val="0"/>
      <w:divBdr>
        <w:top w:val="none" w:sz="0" w:space="0" w:color="auto"/>
        <w:left w:val="none" w:sz="0" w:space="0" w:color="auto"/>
        <w:bottom w:val="none" w:sz="0" w:space="0" w:color="auto"/>
        <w:right w:val="none" w:sz="0" w:space="0" w:color="auto"/>
      </w:divBdr>
    </w:div>
    <w:div w:id="584531729">
      <w:bodyDiv w:val="1"/>
      <w:marLeft w:val="0"/>
      <w:marRight w:val="0"/>
      <w:marTop w:val="0"/>
      <w:marBottom w:val="0"/>
      <w:divBdr>
        <w:top w:val="none" w:sz="0" w:space="0" w:color="auto"/>
        <w:left w:val="none" w:sz="0" w:space="0" w:color="auto"/>
        <w:bottom w:val="none" w:sz="0" w:space="0" w:color="auto"/>
        <w:right w:val="none" w:sz="0" w:space="0" w:color="auto"/>
      </w:divBdr>
    </w:div>
    <w:div w:id="606818174">
      <w:bodyDiv w:val="1"/>
      <w:marLeft w:val="0"/>
      <w:marRight w:val="0"/>
      <w:marTop w:val="0"/>
      <w:marBottom w:val="0"/>
      <w:divBdr>
        <w:top w:val="none" w:sz="0" w:space="0" w:color="auto"/>
        <w:left w:val="none" w:sz="0" w:space="0" w:color="auto"/>
        <w:bottom w:val="none" w:sz="0" w:space="0" w:color="auto"/>
        <w:right w:val="none" w:sz="0" w:space="0" w:color="auto"/>
      </w:divBdr>
    </w:div>
    <w:div w:id="609892331">
      <w:bodyDiv w:val="1"/>
      <w:marLeft w:val="0"/>
      <w:marRight w:val="0"/>
      <w:marTop w:val="0"/>
      <w:marBottom w:val="0"/>
      <w:divBdr>
        <w:top w:val="none" w:sz="0" w:space="0" w:color="auto"/>
        <w:left w:val="none" w:sz="0" w:space="0" w:color="auto"/>
        <w:bottom w:val="none" w:sz="0" w:space="0" w:color="auto"/>
        <w:right w:val="none" w:sz="0" w:space="0" w:color="auto"/>
      </w:divBdr>
    </w:div>
    <w:div w:id="695615514">
      <w:bodyDiv w:val="1"/>
      <w:marLeft w:val="0"/>
      <w:marRight w:val="0"/>
      <w:marTop w:val="0"/>
      <w:marBottom w:val="0"/>
      <w:divBdr>
        <w:top w:val="none" w:sz="0" w:space="0" w:color="auto"/>
        <w:left w:val="none" w:sz="0" w:space="0" w:color="auto"/>
        <w:bottom w:val="none" w:sz="0" w:space="0" w:color="auto"/>
        <w:right w:val="none" w:sz="0" w:space="0" w:color="auto"/>
      </w:divBdr>
    </w:div>
    <w:div w:id="698622152">
      <w:bodyDiv w:val="1"/>
      <w:marLeft w:val="0"/>
      <w:marRight w:val="0"/>
      <w:marTop w:val="0"/>
      <w:marBottom w:val="0"/>
      <w:divBdr>
        <w:top w:val="none" w:sz="0" w:space="0" w:color="auto"/>
        <w:left w:val="none" w:sz="0" w:space="0" w:color="auto"/>
        <w:bottom w:val="none" w:sz="0" w:space="0" w:color="auto"/>
        <w:right w:val="none" w:sz="0" w:space="0" w:color="auto"/>
      </w:divBdr>
    </w:div>
    <w:div w:id="714692914">
      <w:bodyDiv w:val="1"/>
      <w:marLeft w:val="0"/>
      <w:marRight w:val="0"/>
      <w:marTop w:val="0"/>
      <w:marBottom w:val="0"/>
      <w:divBdr>
        <w:top w:val="none" w:sz="0" w:space="0" w:color="auto"/>
        <w:left w:val="none" w:sz="0" w:space="0" w:color="auto"/>
        <w:bottom w:val="none" w:sz="0" w:space="0" w:color="auto"/>
        <w:right w:val="none" w:sz="0" w:space="0" w:color="auto"/>
      </w:divBdr>
      <w:divsChild>
        <w:div w:id="1514563649">
          <w:marLeft w:val="0"/>
          <w:marRight w:val="0"/>
          <w:marTop w:val="0"/>
          <w:marBottom w:val="0"/>
          <w:divBdr>
            <w:top w:val="none" w:sz="0" w:space="0" w:color="auto"/>
            <w:left w:val="none" w:sz="0" w:space="0" w:color="auto"/>
            <w:bottom w:val="none" w:sz="0" w:space="0" w:color="auto"/>
            <w:right w:val="none" w:sz="0" w:space="0" w:color="auto"/>
          </w:divBdr>
          <w:divsChild>
            <w:div w:id="1542815568">
              <w:marLeft w:val="0"/>
              <w:marRight w:val="0"/>
              <w:marTop w:val="0"/>
              <w:marBottom w:val="0"/>
              <w:divBdr>
                <w:top w:val="none" w:sz="0" w:space="0" w:color="auto"/>
                <w:left w:val="none" w:sz="0" w:space="0" w:color="auto"/>
                <w:bottom w:val="none" w:sz="0" w:space="0" w:color="auto"/>
                <w:right w:val="none" w:sz="0" w:space="0" w:color="auto"/>
              </w:divBdr>
              <w:divsChild>
                <w:div w:id="979840963">
                  <w:marLeft w:val="0"/>
                  <w:marRight w:val="0"/>
                  <w:marTop w:val="0"/>
                  <w:marBottom w:val="0"/>
                  <w:divBdr>
                    <w:top w:val="none" w:sz="0" w:space="0" w:color="auto"/>
                    <w:left w:val="none" w:sz="0" w:space="0" w:color="auto"/>
                    <w:bottom w:val="none" w:sz="0" w:space="0" w:color="auto"/>
                    <w:right w:val="none" w:sz="0" w:space="0" w:color="auto"/>
                  </w:divBdr>
                  <w:divsChild>
                    <w:div w:id="1154637041">
                      <w:marLeft w:val="10"/>
                      <w:marRight w:val="0"/>
                      <w:marTop w:val="0"/>
                      <w:marBottom w:val="0"/>
                      <w:divBdr>
                        <w:top w:val="none" w:sz="0" w:space="0" w:color="auto"/>
                        <w:left w:val="none" w:sz="0" w:space="0" w:color="auto"/>
                        <w:bottom w:val="none" w:sz="0" w:space="0" w:color="auto"/>
                        <w:right w:val="none" w:sz="0" w:space="0" w:color="auto"/>
                      </w:divBdr>
                      <w:divsChild>
                        <w:div w:id="1547982979">
                          <w:marLeft w:val="0"/>
                          <w:marRight w:val="0"/>
                          <w:marTop w:val="0"/>
                          <w:marBottom w:val="0"/>
                          <w:divBdr>
                            <w:top w:val="none" w:sz="0" w:space="0" w:color="auto"/>
                            <w:left w:val="none" w:sz="0" w:space="0" w:color="auto"/>
                            <w:bottom w:val="none" w:sz="0" w:space="0" w:color="auto"/>
                            <w:right w:val="none" w:sz="0" w:space="0" w:color="auto"/>
                          </w:divBdr>
                          <w:divsChild>
                            <w:div w:id="394671460">
                              <w:marLeft w:val="0"/>
                              <w:marRight w:val="0"/>
                              <w:marTop w:val="0"/>
                              <w:marBottom w:val="0"/>
                              <w:divBdr>
                                <w:top w:val="none" w:sz="0" w:space="0" w:color="auto"/>
                                <w:left w:val="none" w:sz="0" w:space="0" w:color="auto"/>
                                <w:bottom w:val="none" w:sz="0" w:space="0" w:color="auto"/>
                                <w:right w:val="none" w:sz="0" w:space="0" w:color="auto"/>
                              </w:divBdr>
                              <w:divsChild>
                                <w:div w:id="8100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792082">
      <w:bodyDiv w:val="1"/>
      <w:marLeft w:val="0"/>
      <w:marRight w:val="0"/>
      <w:marTop w:val="0"/>
      <w:marBottom w:val="0"/>
      <w:divBdr>
        <w:top w:val="none" w:sz="0" w:space="0" w:color="auto"/>
        <w:left w:val="none" w:sz="0" w:space="0" w:color="auto"/>
        <w:bottom w:val="none" w:sz="0" w:space="0" w:color="auto"/>
        <w:right w:val="none" w:sz="0" w:space="0" w:color="auto"/>
      </w:divBdr>
    </w:div>
    <w:div w:id="987710345">
      <w:bodyDiv w:val="1"/>
      <w:marLeft w:val="0"/>
      <w:marRight w:val="0"/>
      <w:marTop w:val="0"/>
      <w:marBottom w:val="0"/>
      <w:divBdr>
        <w:top w:val="none" w:sz="0" w:space="0" w:color="auto"/>
        <w:left w:val="none" w:sz="0" w:space="0" w:color="auto"/>
        <w:bottom w:val="none" w:sz="0" w:space="0" w:color="auto"/>
        <w:right w:val="none" w:sz="0" w:space="0" w:color="auto"/>
      </w:divBdr>
    </w:div>
    <w:div w:id="1010915961">
      <w:bodyDiv w:val="1"/>
      <w:marLeft w:val="0"/>
      <w:marRight w:val="0"/>
      <w:marTop w:val="0"/>
      <w:marBottom w:val="0"/>
      <w:divBdr>
        <w:top w:val="none" w:sz="0" w:space="0" w:color="auto"/>
        <w:left w:val="none" w:sz="0" w:space="0" w:color="auto"/>
        <w:bottom w:val="none" w:sz="0" w:space="0" w:color="auto"/>
        <w:right w:val="none" w:sz="0" w:space="0" w:color="auto"/>
      </w:divBdr>
    </w:div>
    <w:div w:id="1019357945">
      <w:bodyDiv w:val="1"/>
      <w:marLeft w:val="0"/>
      <w:marRight w:val="0"/>
      <w:marTop w:val="0"/>
      <w:marBottom w:val="0"/>
      <w:divBdr>
        <w:top w:val="none" w:sz="0" w:space="0" w:color="auto"/>
        <w:left w:val="none" w:sz="0" w:space="0" w:color="auto"/>
        <w:bottom w:val="none" w:sz="0" w:space="0" w:color="auto"/>
        <w:right w:val="none" w:sz="0" w:space="0" w:color="auto"/>
      </w:divBdr>
    </w:div>
    <w:div w:id="1026294254">
      <w:bodyDiv w:val="1"/>
      <w:marLeft w:val="0"/>
      <w:marRight w:val="0"/>
      <w:marTop w:val="0"/>
      <w:marBottom w:val="0"/>
      <w:divBdr>
        <w:top w:val="none" w:sz="0" w:space="0" w:color="auto"/>
        <w:left w:val="none" w:sz="0" w:space="0" w:color="auto"/>
        <w:bottom w:val="none" w:sz="0" w:space="0" w:color="auto"/>
        <w:right w:val="none" w:sz="0" w:space="0" w:color="auto"/>
      </w:divBdr>
    </w:div>
    <w:div w:id="1096945580">
      <w:bodyDiv w:val="1"/>
      <w:marLeft w:val="0"/>
      <w:marRight w:val="0"/>
      <w:marTop w:val="0"/>
      <w:marBottom w:val="0"/>
      <w:divBdr>
        <w:top w:val="none" w:sz="0" w:space="0" w:color="auto"/>
        <w:left w:val="none" w:sz="0" w:space="0" w:color="auto"/>
        <w:bottom w:val="none" w:sz="0" w:space="0" w:color="auto"/>
        <w:right w:val="none" w:sz="0" w:space="0" w:color="auto"/>
      </w:divBdr>
    </w:div>
    <w:div w:id="1518886599">
      <w:bodyDiv w:val="1"/>
      <w:marLeft w:val="0"/>
      <w:marRight w:val="0"/>
      <w:marTop w:val="0"/>
      <w:marBottom w:val="0"/>
      <w:divBdr>
        <w:top w:val="none" w:sz="0" w:space="0" w:color="auto"/>
        <w:left w:val="none" w:sz="0" w:space="0" w:color="auto"/>
        <w:bottom w:val="none" w:sz="0" w:space="0" w:color="auto"/>
        <w:right w:val="none" w:sz="0" w:space="0" w:color="auto"/>
      </w:divBdr>
    </w:div>
    <w:div w:id="1527450332">
      <w:bodyDiv w:val="1"/>
      <w:marLeft w:val="0"/>
      <w:marRight w:val="0"/>
      <w:marTop w:val="0"/>
      <w:marBottom w:val="0"/>
      <w:divBdr>
        <w:top w:val="none" w:sz="0" w:space="0" w:color="auto"/>
        <w:left w:val="none" w:sz="0" w:space="0" w:color="auto"/>
        <w:bottom w:val="none" w:sz="0" w:space="0" w:color="auto"/>
        <w:right w:val="none" w:sz="0" w:space="0" w:color="auto"/>
      </w:divBdr>
    </w:div>
    <w:div w:id="1534853319">
      <w:bodyDiv w:val="1"/>
      <w:marLeft w:val="0"/>
      <w:marRight w:val="0"/>
      <w:marTop w:val="0"/>
      <w:marBottom w:val="0"/>
      <w:divBdr>
        <w:top w:val="none" w:sz="0" w:space="0" w:color="auto"/>
        <w:left w:val="none" w:sz="0" w:space="0" w:color="auto"/>
        <w:bottom w:val="none" w:sz="0" w:space="0" w:color="auto"/>
        <w:right w:val="none" w:sz="0" w:space="0" w:color="auto"/>
      </w:divBdr>
    </w:div>
    <w:div w:id="1604997293">
      <w:bodyDiv w:val="1"/>
      <w:marLeft w:val="0"/>
      <w:marRight w:val="0"/>
      <w:marTop w:val="0"/>
      <w:marBottom w:val="0"/>
      <w:divBdr>
        <w:top w:val="none" w:sz="0" w:space="0" w:color="auto"/>
        <w:left w:val="none" w:sz="0" w:space="0" w:color="auto"/>
        <w:bottom w:val="none" w:sz="0" w:space="0" w:color="auto"/>
        <w:right w:val="none" w:sz="0" w:space="0" w:color="auto"/>
      </w:divBdr>
    </w:div>
    <w:div w:id="1646812008">
      <w:bodyDiv w:val="1"/>
      <w:marLeft w:val="0"/>
      <w:marRight w:val="0"/>
      <w:marTop w:val="0"/>
      <w:marBottom w:val="0"/>
      <w:divBdr>
        <w:top w:val="none" w:sz="0" w:space="0" w:color="auto"/>
        <w:left w:val="none" w:sz="0" w:space="0" w:color="auto"/>
        <w:bottom w:val="none" w:sz="0" w:space="0" w:color="auto"/>
        <w:right w:val="none" w:sz="0" w:space="0" w:color="auto"/>
      </w:divBdr>
    </w:div>
    <w:div w:id="1660429001">
      <w:bodyDiv w:val="1"/>
      <w:marLeft w:val="0"/>
      <w:marRight w:val="0"/>
      <w:marTop w:val="0"/>
      <w:marBottom w:val="0"/>
      <w:divBdr>
        <w:top w:val="none" w:sz="0" w:space="0" w:color="auto"/>
        <w:left w:val="none" w:sz="0" w:space="0" w:color="auto"/>
        <w:bottom w:val="none" w:sz="0" w:space="0" w:color="auto"/>
        <w:right w:val="none" w:sz="0" w:space="0" w:color="auto"/>
      </w:divBdr>
    </w:div>
    <w:div w:id="1698309132">
      <w:bodyDiv w:val="1"/>
      <w:marLeft w:val="0"/>
      <w:marRight w:val="0"/>
      <w:marTop w:val="0"/>
      <w:marBottom w:val="0"/>
      <w:divBdr>
        <w:top w:val="none" w:sz="0" w:space="0" w:color="auto"/>
        <w:left w:val="none" w:sz="0" w:space="0" w:color="auto"/>
        <w:bottom w:val="none" w:sz="0" w:space="0" w:color="auto"/>
        <w:right w:val="none" w:sz="0" w:space="0" w:color="auto"/>
      </w:divBdr>
    </w:div>
    <w:div w:id="1770659854">
      <w:bodyDiv w:val="1"/>
      <w:marLeft w:val="0"/>
      <w:marRight w:val="0"/>
      <w:marTop w:val="0"/>
      <w:marBottom w:val="0"/>
      <w:divBdr>
        <w:top w:val="none" w:sz="0" w:space="0" w:color="auto"/>
        <w:left w:val="none" w:sz="0" w:space="0" w:color="auto"/>
        <w:bottom w:val="none" w:sz="0" w:space="0" w:color="auto"/>
        <w:right w:val="none" w:sz="0" w:space="0" w:color="auto"/>
      </w:divBdr>
    </w:div>
    <w:div w:id="1773041648">
      <w:bodyDiv w:val="1"/>
      <w:marLeft w:val="0"/>
      <w:marRight w:val="0"/>
      <w:marTop w:val="0"/>
      <w:marBottom w:val="0"/>
      <w:divBdr>
        <w:top w:val="none" w:sz="0" w:space="0" w:color="auto"/>
        <w:left w:val="none" w:sz="0" w:space="0" w:color="auto"/>
        <w:bottom w:val="none" w:sz="0" w:space="0" w:color="auto"/>
        <w:right w:val="none" w:sz="0" w:space="0" w:color="auto"/>
      </w:divBdr>
    </w:div>
    <w:div w:id="1812870145">
      <w:bodyDiv w:val="1"/>
      <w:marLeft w:val="0"/>
      <w:marRight w:val="0"/>
      <w:marTop w:val="0"/>
      <w:marBottom w:val="0"/>
      <w:divBdr>
        <w:top w:val="none" w:sz="0" w:space="0" w:color="auto"/>
        <w:left w:val="none" w:sz="0" w:space="0" w:color="auto"/>
        <w:bottom w:val="none" w:sz="0" w:space="0" w:color="auto"/>
        <w:right w:val="none" w:sz="0" w:space="0" w:color="auto"/>
      </w:divBdr>
    </w:div>
    <w:div w:id="1818911553">
      <w:bodyDiv w:val="1"/>
      <w:marLeft w:val="0"/>
      <w:marRight w:val="0"/>
      <w:marTop w:val="0"/>
      <w:marBottom w:val="0"/>
      <w:divBdr>
        <w:top w:val="none" w:sz="0" w:space="0" w:color="auto"/>
        <w:left w:val="none" w:sz="0" w:space="0" w:color="auto"/>
        <w:bottom w:val="none" w:sz="0" w:space="0" w:color="auto"/>
        <w:right w:val="none" w:sz="0" w:space="0" w:color="auto"/>
      </w:divBdr>
    </w:div>
    <w:div w:id="1862619858">
      <w:bodyDiv w:val="1"/>
      <w:marLeft w:val="0"/>
      <w:marRight w:val="0"/>
      <w:marTop w:val="0"/>
      <w:marBottom w:val="0"/>
      <w:divBdr>
        <w:top w:val="none" w:sz="0" w:space="0" w:color="auto"/>
        <w:left w:val="none" w:sz="0" w:space="0" w:color="auto"/>
        <w:bottom w:val="none" w:sz="0" w:space="0" w:color="auto"/>
        <w:right w:val="none" w:sz="0" w:space="0" w:color="auto"/>
      </w:divBdr>
    </w:div>
    <w:div w:id="1883592727">
      <w:bodyDiv w:val="1"/>
      <w:marLeft w:val="0"/>
      <w:marRight w:val="0"/>
      <w:marTop w:val="0"/>
      <w:marBottom w:val="0"/>
      <w:divBdr>
        <w:top w:val="none" w:sz="0" w:space="0" w:color="auto"/>
        <w:left w:val="none" w:sz="0" w:space="0" w:color="auto"/>
        <w:bottom w:val="none" w:sz="0" w:space="0" w:color="auto"/>
        <w:right w:val="none" w:sz="0" w:space="0" w:color="auto"/>
      </w:divBdr>
    </w:div>
    <w:div w:id="1893223993">
      <w:bodyDiv w:val="1"/>
      <w:marLeft w:val="0"/>
      <w:marRight w:val="0"/>
      <w:marTop w:val="0"/>
      <w:marBottom w:val="0"/>
      <w:divBdr>
        <w:top w:val="none" w:sz="0" w:space="0" w:color="auto"/>
        <w:left w:val="none" w:sz="0" w:space="0" w:color="auto"/>
        <w:bottom w:val="none" w:sz="0" w:space="0" w:color="auto"/>
        <w:right w:val="none" w:sz="0" w:space="0" w:color="auto"/>
      </w:divBdr>
    </w:div>
    <w:div w:id="1898785845">
      <w:bodyDiv w:val="1"/>
      <w:marLeft w:val="0"/>
      <w:marRight w:val="0"/>
      <w:marTop w:val="0"/>
      <w:marBottom w:val="0"/>
      <w:divBdr>
        <w:top w:val="none" w:sz="0" w:space="0" w:color="auto"/>
        <w:left w:val="none" w:sz="0" w:space="0" w:color="auto"/>
        <w:bottom w:val="none" w:sz="0" w:space="0" w:color="auto"/>
        <w:right w:val="none" w:sz="0" w:space="0" w:color="auto"/>
      </w:divBdr>
    </w:div>
    <w:div w:id="2080250469">
      <w:bodyDiv w:val="1"/>
      <w:marLeft w:val="0"/>
      <w:marRight w:val="0"/>
      <w:marTop w:val="0"/>
      <w:marBottom w:val="0"/>
      <w:divBdr>
        <w:top w:val="none" w:sz="0" w:space="0" w:color="auto"/>
        <w:left w:val="none" w:sz="0" w:space="0" w:color="auto"/>
        <w:bottom w:val="none" w:sz="0" w:space="0" w:color="auto"/>
        <w:right w:val="none" w:sz="0" w:space="0" w:color="auto"/>
      </w:divBdr>
    </w:div>
    <w:div w:id="2090497260">
      <w:bodyDiv w:val="1"/>
      <w:marLeft w:val="0"/>
      <w:marRight w:val="0"/>
      <w:marTop w:val="0"/>
      <w:marBottom w:val="0"/>
      <w:divBdr>
        <w:top w:val="none" w:sz="0" w:space="0" w:color="auto"/>
        <w:left w:val="none" w:sz="0" w:space="0" w:color="auto"/>
        <w:bottom w:val="none" w:sz="0" w:space="0" w:color="auto"/>
        <w:right w:val="none" w:sz="0" w:space="0" w:color="auto"/>
      </w:divBdr>
    </w:div>
    <w:div w:id="210838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533C1-B20D-4E4A-9DB4-8CA08A5ED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53</Pages>
  <Words>4447</Words>
  <Characters>25353</Characters>
  <Application>Microsoft Office Word</Application>
  <DocSecurity>0</DocSecurity>
  <Lines>211</Lines>
  <Paragraphs>59</Paragraphs>
  <ScaleCrop>false</ScaleCrop>
  <Company>cy</Company>
  <LinksUpToDate>false</LinksUpToDate>
  <CharactersWithSpaces>29741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劉建成</dc:creator>
  <cp:lastModifiedBy>江明潔</cp:lastModifiedBy>
  <cp:revision>3</cp:revision>
  <cp:lastPrinted>2017-10-02T07:34:00Z</cp:lastPrinted>
  <dcterms:created xsi:type="dcterms:W3CDTF">2017-10-12T06:42:00Z</dcterms:created>
  <dcterms:modified xsi:type="dcterms:W3CDTF">2017-10-16T02:57:00Z</dcterms:modified>
</cp:coreProperties>
</file>